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67.xml" ContentType="application/vnd.openxmlformats-officedocument.wordprocessingml.footer+xml"/>
  <Override PartName="/word/footer68.xml" ContentType="application/vnd.openxmlformats-officedocument.wordprocessingml.footer+xml"/>
  <Override PartName="/word/header60.xml" ContentType="application/vnd.openxmlformats-officedocument.wordprocessingml.header+xml"/>
  <Override PartName="/word/footer69.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A0574" w14:textId="77777777" w:rsidR="003D0B26" w:rsidRDefault="003D0B26" w:rsidP="00FE5883">
      <w:pPr>
        <w:spacing w:before="480"/>
        <w:jc w:val="center"/>
      </w:pPr>
      <w:r>
        <w:rPr>
          <w:noProof/>
        </w:rPr>
        <w:drawing>
          <wp:inline distT="0" distB="0" distL="0" distR="0" wp14:anchorId="0C9092C4" wp14:editId="215B11BE">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00FE352" w14:textId="77777777" w:rsidR="003D0B26" w:rsidRDefault="003D0B26">
      <w:pPr>
        <w:jc w:val="center"/>
        <w:rPr>
          <w:rFonts w:ascii="Arial" w:hAnsi="Arial"/>
        </w:rPr>
      </w:pPr>
      <w:r>
        <w:rPr>
          <w:rFonts w:ascii="Arial" w:hAnsi="Arial"/>
        </w:rPr>
        <w:t>Australian Capital Territory</w:t>
      </w:r>
    </w:p>
    <w:p w14:paraId="74868E85" w14:textId="3FB1F09C" w:rsidR="004850E8" w:rsidRDefault="005D14C4" w:rsidP="004850E8">
      <w:pPr>
        <w:pStyle w:val="Billname1"/>
      </w:pPr>
      <w:r>
        <w:fldChar w:fldCharType="begin"/>
      </w:r>
      <w:r>
        <w:instrText xml:space="preserve"> REF Citation \*charformat </w:instrText>
      </w:r>
      <w:r>
        <w:fldChar w:fldCharType="separate"/>
      </w:r>
      <w:r w:rsidR="00243CB4">
        <w:t>Court Procedures Rules 2006</w:t>
      </w:r>
      <w:r>
        <w:fldChar w:fldCharType="end"/>
      </w:r>
      <w:r w:rsidR="004850E8">
        <w:t xml:space="preserve">    </w:t>
      </w:r>
    </w:p>
    <w:p w14:paraId="69166BDD" w14:textId="12865025" w:rsidR="004850E8" w:rsidRDefault="0092761B" w:rsidP="004850E8">
      <w:pPr>
        <w:pStyle w:val="ActNo"/>
      </w:pPr>
      <w:bookmarkStart w:id="0" w:name="LawNo"/>
      <w:r>
        <w:t>SL2006-29</w:t>
      </w:r>
      <w:bookmarkEnd w:id="0"/>
    </w:p>
    <w:p w14:paraId="1C34FEB0" w14:textId="77777777" w:rsidR="004850E8" w:rsidRDefault="004850E8" w:rsidP="004850E8">
      <w:pPr>
        <w:pStyle w:val="CoverInForce"/>
      </w:pPr>
      <w:r>
        <w:t>made under the</w:t>
      </w:r>
    </w:p>
    <w:p w14:paraId="381B7403" w14:textId="65265A8D" w:rsidR="004850E8" w:rsidRDefault="005D14C4" w:rsidP="004850E8">
      <w:pPr>
        <w:pStyle w:val="CoverActName"/>
      </w:pPr>
      <w:r>
        <w:fldChar w:fldCharType="begin"/>
      </w:r>
      <w:r>
        <w:instrText xml:space="preserve"> REF ActName \*charformat </w:instrText>
      </w:r>
      <w:r>
        <w:fldChar w:fldCharType="separate"/>
      </w:r>
      <w:r w:rsidR="00243CB4" w:rsidRPr="00243CB4">
        <w:t>Court Procedures Act 2004</w:t>
      </w:r>
      <w:r>
        <w:fldChar w:fldCharType="end"/>
      </w:r>
    </w:p>
    <w:p w14:paraId="103E7B46" w14:textId="186B5C69" w:rsidR="004850E8" w:rsidRDefault="004850E8" w:rsidP="004850E8">
      <w:pPr>
        <w:pStyle w:val="RepubNo"/>
      </w:pPr>
      <w:r>
        <w:t xml:space="preserve">Republication No </w:t>
      </w:r>
      <w:bookmarkStart w:id="1" w:name="RepubNo"/>
      <w:r w:rsidR="0092761B">
        <w:t>69</w:t>
      </w:r>
      <w:bookmarkEnd w:id="1"/>
    </w:p>
    <w:p w14:paraId="480BDA49" w14:textId="5FEE32D0" w:rsidR="004850E8" w:rsidRDefault="004850E8" w:rsidP="004850E8">
      <w:pPr>
        <w:pStyle w:val="EffectiveDate"/>
      </w:pPr>
      <w:r>
        <w:t xml:space="preserve">Effective:  </w:t>
      </w:r>
      <w:bookmarkStart w:id="2" w:name="EffectiveDate"/>
      <w:r w:rsidR="0092761B">
        <w:t>1 January 2025</w:t>
      </w:r>
      <w:bookmarkEnd w:id="2"/>
    </w:p>
    <w:p w14:paraId="09C202A8" w14:textId="67803EAD" w:rsidR="004850E8" w:rsidRDefault="004850E8" w:rsidP="004850E8">
      <w:pPr>
        <w:pStyle w:val="CoverInForce"/>
      </w:pPr>
      <w:r>
        <w:t xml:space="preserve">Republication date: </w:t>
      </w:r>
      <w:bookmarkStart w:id="3" w:name="InForceDate"/>
      <w:r w:rsidR="0092761B">
        <w:t>1 January 2025</w:t>
      </w:r>
      <w:bookmarkEnd w:id="3"/>
    </w:p>
    <w:p w14:paraId="72EC9C3A" w14:textId="64DBBD9A" w:rsidR="004850E8" w:rsidRDefault="004850E8" w:rsidP="004850E8">
      <w:pPr>
        <w:pStyle w:val="CoverInForce"/>
      </w:pPr>
      <w:r>
        <w:t xml:space="preserve">Last amendment made by </w:t>
      </w:r>
      <w:bookmarkStart w:id="4" w:name="LastAmdt"/>
      <w:r w:rsidRPr="004850E8">
        <w:rPr>
          <w:rStyle w:val="charCitHyperlinkAbbrev"/>
        </w:rPr>
        <w:fldChar w:fldCharType="begin"/>
      </w:r>
      <w:r w:rsidR="0092761B">
        <w:rPr>
          <w:rStyle w:val="charCitHyperlinkAbbrev"/>
        </w:rPr>
        <w:instrText>HYPERLINK "http://www.legislation.act.gov.au/sl/2024-37/" \o "Court Procedures Amendment Rules 2024 (No 2)"</w:instrText>
      </w:r>
      <w:r w:rsidRPr="004850E8">
        <w:rPr>
          <w:rStyle w:val="charCitHyperlinkAbbrev"/>
        </w:rPr>
      </w:r>
      <w:r w:rsidRPr="004850E8">
        <w:rPr>
          <w:rStyle w:val="charCitHyperlinkAbbrev"/>
        </w:rPr>
        <w:fldChar w:fldCharType="separate"/>
      </w:r>
      <w:r w:rsidR="0092761B">
        <w:rPr>
          <w:rStyle w:val="charCitHyperlinkAbbrev"/>
        </w:rPr>
        <w:t>SL2024</w:t>
      </w:r>
      <w:r w:rsidR="0092761B">
        <w:rPr>
          <w:rStyle w:val="charCitHyperlinkAbbrev"/>
        </w:rPr>
        <w:noBreakHyphen/>
        <w:t>37</w:t>
      </w:r>
      <w:r w:rsidRPr="004850E8">
        <w:rPr>
          <w:rStyle w:val="charCitHyperlinkAbbrev"/>
        </w:rPr>
        <w:fldChar w:fldCharType="end"/>
      </w:r>
      <w:bookmarkEnd w:id="4"/>
    </w:p>
    <w:p w14:paraId="6DA56427" w14:textId="77777777" w:rsidR="004850E8" w:rsidRDefault="004850E8" w:rsidP="004850E8"/>
    <w:p w14:paraId="7D00142A" w14:textId="77777777" w:rsidR="004850E8" w:rsidRDefault="004850E8" w:rsidP="004850E8">
      <w:pPr>
        <w:spacing w:after="240"/>
        <w:rPr>
          <w:rFonts w:ascii="Arial" w:hAnsi="Arial"/>
        </w:rPr>
      </w:pPr>
    </w:p>
    <w:p w14:paraId="071293F6" w14:textId="77777777" w:rsidR="004850E8" w:rsidRPr="00797332" w:rsidRDefault="004850E8" w:rsidP="004850E8">
      <w:pPr>
        <w:pStyle w:val="PageBreak"/>
      </w:pPr>
      <w:r w:rsidRPr="00797332">
        <w:br w:type="page"/>
      </w:r>
    </w:p>
    <w:p w14:paraId="6EC2EBDA" w14:textId="77777777" w:rsidR="004850E8" w:rsidRDefault="004850E8" w:rsidP="004850E8">
      <w:pPr>
        <w:pStyle w:val="CoverHeading"/>
      </w:pPr>
      <w:r>
        <w:lastRenderedPageBreak/>
        <w:t>About this republication</w:t>
      </w:r>
    </w:p>
    <w:p w14:paraId="46DEFFD5" w14:textId="77777777" w:rsidR="004850E8" w:rsidRDefault="004850E8" w:rsidP="004850E8">
      <w:pPr>
        <w:pStyle w:val="CoverSubHdg"/>
      </w:pPr>
      <w:r>
        <w:t>The republished law</w:t>
      </w:r>
    </w:p>
    <w:p w14:paraId="74096F1C" w14:textId="36393A9F" w:rsidR="004850E8" w:rsidRDefault="004850E8" w:rsidP="004850E8">
      <w:pPr>
        <w:pStyle w:val="CoverText"/>
      </w:pPr>
      <w:r>
        <w:t xml:space="preserve">This is a republication of the </w:t>
      </w:r>
      <w:r w:rsidRPr="0092761B">
        <w:rPr>
          <w:i/>
        </w:rPr>
        <w:fldChar w:fldCharType="begin"/>
      </w:r>
      <w:r w:rsidRPr="0092761B">
        <w:rPr>
          <w:i/>
        </w:rPr>
        <w:instrText xml:space="preserve"> REF citation *\charformat  \* MERGEFORMAT </w:instrText>
      </w:r>
      <w:r w:rsidRPr="0092761B">
        <w:rPr>
          <w:i/>
        </w:rPr>
        <w:fldChar w:fldCharType="separate"/>
      </w:r>
      <w:r w:rsidR="00243CB4" w:rsidRPr="00243CB4">
        <w:rPr>
          <w:i/>
        </w:rPr>
        <w:t>Court Procedures Rules 2006</w:t>
      </w:r>
      <w:r w:rsidRPr="0092761B">
        <w:rPr>
          <w:i/>
        </w:rPr>
        <w:fldChar w:fldCharType="end"/>
      </w:r>
      <w:r>
        <w:rPr>
          <w:iCs/>
        </w:rPr>
        <w:t>,</w:t>
      </w:r>
      <w:r>
        <w:t xml:space="preserve"> made under the </w:t>
      </w:r>
      <w:r w:rsidRPr="0092761B">
        <w:rPr>
          <w:i/>
        </w:rPr>
        <w:fldChar w:fldCharType="begin"/>
      </w:r>
      <w:r w:rsidRPr="0092761B">
        <w:rPr>
          <w:i/>
        </w:rPr>
        <w:instrText xml:space="preserve"> REF ActName \*charformat  \* MERGEFORMAT </w:instrText>
      </w:r>
      <w:r w:rsidRPr="0092761B">
        <w:rPr>
          <w:i/>
        </w:rPr>
        <w:fldChar w:fldCharType="separate"/>
      </w:r>
      <w:r w:rsidR="00243CB4" w:rsidRPr="00243CB4">
        <w:rPr>
          <w:i/>
        </w:rPr>
        <w:t>Court Procedures Act 2004</w:t>
      </w:r>
      <w:r w:rsidRPr="0092761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243CB4">
        <w:t>1 January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243CB4">
        <w:t>1 January 2025</w:t>
      </w:r>
      <w:r>
        <w:fldChar w:fldCharType="end"/>
      </w:r>
      <w:r>
        <w:t xml:space="preserve">.  </w:t>
      </w:r>
    </w:p>
    <w:p w14:paraId="28F8721F" w14:textId="77777777" w:rsidR="004850E8" w:rsidRDefault="004850E8" w:rsidP="004850E8">
      <w:pPr>
        <w:pStyle w:val="CoverText"/>
      </w:pPr>
      <w:r>
        <w:t xml:space="preserve">The legislation history and amendment history of the republished law are set out in endnotes 3 and 4. </w:t>
      </w:r>
    </w:p>
    <w:p w14:paraId="5E3EC6EF" w14:textId="77777777" w:rsidR="004850E8" w:rsidRDefault="004850E8" w:rsidP="004850E8">
      <w:pPr>
        <w:pStyle w:val="CoverSubHdg"/>
      </w:pPr>
      <w:r>
        <w:t>Kinds of republications</w:t>
      </w:r>
    </w:p>
    <w:p w14:paraId="29629717" w14:textId="00589A78"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64B2625" w14:textId="175E0DA1"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14:paraId="4C033CA5" w14:textId="77777777" w:rsidR="004850E8" w:rsidRDefault="004850E8" w:rsidP="004850E8">
      <w:pPr>
        <w:pStyle w:val="CoverTextBullet"/>
        <w:numPr>
          <w:ilvl w:val="0"/>
          <w:numId w:val="5"/>
        </w:numPr>
      </w:pPr>
      <w:r>
        <w:t>unauthorised republications.</w:t>
      </w:r>
    </w:p>
    <w:p w14:paraId="333A72AA" w14:textId="77777777" w:rsidR="004850E8" w:rsidRDefault="004850E8" w:rsidP="004850E8">
      <w:pPr>
        <w:pStyle w:val="CoverText"/>
      </w:pPr>
      <w:r>
        <w:t>The status of this republication appears on the bottom of each page.</w:t>
      </w:r>
    </w:p>
    <w:p w14:paraId="644DACBC" w14:textId="77777777" w:rsidR="004850E8" w:rsidRDefault="004850E8" w:rsidP="004850E8">
      <w:pPr>
        <w:pStyle w:val="CoverSubHdg"/>
      </w:pPr>
      <w:r>
        <w:t>Editorial changes</w:t>
      </w:r>
    </w:p>
    <w:p w14:paraId="12E8A55B" w14:textId="6C3B5AA7"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1C4D9C" w14:textId="24214A77" w:rsidR="004850E8" w:rsidRDefault="004850E8" w:rsidP="004850E8">
      <w:pPr>
        <w:pStyle w:val="CoverText"/>
      </w:pPr>
      <w:r>
        <w:t>This republicati</w:t>
      </w:r>
      <w:r w:rsidRPr="00D430A2">
        <w:t>on include</w:t>
      </w:r>
      <w:r w:rsidR="005E1A41" w:rsidRPr="00D430A2">
        <w:t>s</w:t>
      </w:r>
      <w:r w:rsidRPr="00D430A2">
        <w:t xml:space="preserve"> am</w:t>
      </w:r>
      <w:r>
        <w:t>endments made under part 11.3 (see endnote 1).</w:t>
      </w:r>
    </w:p>
    <w:p w14:paraId="12D9F9F8" w14:textId="77777777" w:rsidR="004850E8" w:rsidRDefault="004850E8" w:rsidP="004850E8">
      <w:pPr>
        <w:pStyle w:val="CoverSubHdg"/>
      </w:pPr>
      <w:r>
        <w:t>Uncommenced provisions and amendments</w:t>
      </w:r>
    </w:p>
    <w:p w14:paraId="4F575D96" w14:textId="0F3E9124"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5AE20B3" w14:textId="77777777" w:rsidR="004850E8" w:rsidRDefault="004850E8" w:rsidP="004850E8">
      <w:pPr>
        <w:pStyle w:val="CoverSubHdg"/>
      </w:pPr>
      <w:r>
        <w:t>Modifications</w:t>
      </w:r>
    </w:p>
    <w:p w14:paraId="642971BB" w14:textId="79603F85"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FCF2B2" w14:textId="77777777" w:rsidR="004850E8" w:rsidRDefault="004850E8" w:rsidP="004850E8">
      <w:pPr>
        <w:pStyle w:val="CoverSubHdg"/>
      </w:pPr>
      <w:r>
        <w:t>Penalties</w:t>
      </w:r>
    </w:p>
    <w:p w14:paraId="16F74F63" w14:textId="35ECE826"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8AD4FB3" w14:textId="77777777" w:rsidR="004850E8" w:rsidRDefault="004850E8" w:rsidP="004850E8">
      <w:pPr>
        <w:pStyle w:val="00SigningPage"/>
        <w:sectPr w:rsidR="004850E8" w:rsidSect="00CD3DF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4BE440" w14:textId="77777777" w:rsidR="00F3351F" w:rsidRDefault="00F3351F" w:rsidP="00FE5883">
      <w:pPr>
        <w:spacing w:before="480"/>
        <w:jc w:val="center"/>
      </w:pPr>
      <w:r>
        <w:rPr>
          <w:noProof/>
        </w:rPr>
        <w:lastRenderedPageBreak/>
        <w:drawing>
          <wp:inline distT="0" distB="0" distL="0" distR="0" wp14:anchorId="4ED2B37A" wp14:editId="043C3261">
            <wp:extent cx="1333500" cy="1167902"/>
            <wp:effectExtent l="0" t="0" r="0" b="0"/>
            <wp:docPr id="65872053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8805892" w14:textId="77777777" w:rsidR="00F3351F" w:rsidRDefault="00F3351F">
      <w:pPr>
        <w:jc w:val="center"/>
        <w:rPr>
          <w:rFonts w:ascii="Arial" w:hAnsi="Arial"/>
        </w:rPr>
      </w:pPr>
      <w:r>
        <w:rPr>
          <w:rFonts w:ascii="Arial" w:hAnsi="Arial"/>
        </w:rPr>
        <w:t>Australian Capital Territory</w:t>
      </w:r>
    </w:p>
    <w:p w14:paraId="658735EB" w14:textId="1F19AF27" w:rsidR="004850E8" w:rsidRDefault="005D14C4" w:rsidP="004850E8">
      <w:pPr>
        <w:pStyle w:val="Billname"/>
      </w:pPr>
      <w:r>
        <w:fldChar w:fldCharType="begin"/>
      </w:r>
      <w:r>
        <w:instrText xml:space="preserve"> REF Citation \*charformat  \* MERGEFORMAT </w:instrText>
      </w:r>
      <w:r>
        <w:fldChar w:fldCharType="separate"/>
      </w:r>
      <w:r w:rsidR="00243CB4">
        <w:t>Court Procedures Rules 2006</w:t>
      </w:r>
      <w:r>
        <w:fldChar w:fldCharType="end"/>
      </w:r>
    </w:p>
    <w:p w14:paraId="0F2C53C9" w14:textId="77777777" w:rsidR="004850E8" w:rsidRDefault="004850E8" w:rsidP="004850E8">
      <w:pPr>
        <w:pStyle w:val="CoverInForce"/>
      </w:pPr>
      <w:r>
        <w:t>made under the</w:t>
      </w:r>
    </w:p>
    <w:p w14:paraId="32971093" w14:textId="11CF6230" w:rsidR="004850E8" w:rsidRDefault="005D14C4" w:rsidP="004850E8">
      <w:pPr>
        <w:pStyle w:val="CoverActName"/>
      </w:pPr>
      <w:r>
        <w:fldChar w:fldCharType="begin"/>
      </w:r>
      <w:r>
        <w:instrText xml:space="preserve"> REF ActName \*charformat </w:instrText>
      </w:r>
      <w:r>
        <w:fldChar w:fldCharType="separate"/>
      </w:r>
      <w:r w:rsidR="00243CB4" w:rsidRPr="00243CB4">
        <w:t>Court Procedures Act 2004</w:t>
      </w:r>
      <w:r>
        <w:fldChar w:fldCharType="end"/>
      </w:r>
    </w:p>
    <w:p w14:paraId="6863A6F9" w14:textId="77777777" w:rsidR="004850E8" w:rsidRDefault="004850E8" w:rsidP="004850E8">
      <w:pPr>
        <w:pStyle w:val="Placeholder"/>
      </w:pPr>
      <w:r>
        <w:rPr>
          <w:rStyle w:val="charContents"/>
          <w:sz w:val="16"/>
        </w:rPr>
        <w:t xml:space="preserve">  </w:t>
      </w:r>
      <w:r>
        <w:rPr>
          <w:rStyle w:val="charPage"/>
        </w:rPr>
        <w:t xml:space="preserve">  </w:t>
      </w:r>
    </w:p>
    <w:p w14:paraId="52099AEA" w14:textId="77777777" w:rsidR="004850E8" w:rsidRDefault="004850E8" w:rsidP="004850E8">
      <w:pPr>
        <w:pStyle w:val="N-TOCheading"/>
      </w:pPr>
      <w:r>
        <w:rPr>
          <w:rStyle w:val="charContents"/>
        </w:rPr>
        <w:t>Contents</w:t>
      </w:r>
    </w:p>
    <w:p w14:paraId="5588D188" w14:textId="77777777" w:rsidR="004850E8" w:rsidRDefault="004850E8" w:rsidP="004850E8">
      <w:pPr>
        <w:pStyle w:val="N-9pt"/>
      </w:pPr>
      <w:r>
        <w:tab/>
      </w:r>
      <w:r>
        <w:rPr>
          <w:rStyle w:val="charPage"/>
        </w:rPr>
        <w:t>Page</w:t>
      </w:r>
    </w:p>
    <w:p w14:paraId="1489EDA3" w14:textId="0B190A02" w:rsidR="00AC5392" w:rsidRDefault="00AC5392">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513624" w:history="1">
        <w:r w:rsidRPr="00533B68">
          <w:t>Chapter 1</w:t>
        </w:r>
        <w:r>
          <w:rPr>
            <w:rFonts w:asciiTheme="minorHAnsi" w:eastAsiaTheme="minorEastAsia" w:hAnsiTheme="minorHAnsi" w:cstheme="minorBidi"/>
            <w:b w:val="0"/>
            <w:kern w:val="2"/>
            <w:szCs w:val="24"/>
            <w:lang w:eastAsia="en-AU"/>
            <w14:ligatures w14:val="standardContextual"/>
          </w:rPr>
          <w:tab/>
        </w:r>
        <w:r w:rsidRPr="00533B68">
          <w:t>Preliminary</w:t>
        </w:r>
        <w:r w:rsidRPr="00AC5392">
          <w:rPr>
            <w:vanish/>
          </w:rPr>
          <w:tab/>
        </w:r>
        <w:r w:rsidRPr="00AC5392">
          <w:rPr>
            <w:vanish/>
          </w:rPr>
          <w:fldChar w:fldCharType="begin"/>
        </w:r>
        <w:r w:rsidRPr="00AC5392">
          <w:rPr>
            <w:vanish/>
          </w:rPr>
          <w:instrText xml:space="preserve"> PAGEREF _Toc185513624 \h </w:instrText>
        </w:r>
        <w:r w:rsidRPr="00AC5392">
          <w:rPr>
            <w:vanish/>
          </w:rPr>
        </w:r>
        <w:r w:rsidRPr="00AC5392">
          <w:rPr>
            <w:vanish/>
          </w:rPr>
          <w:fldChar w:fldCharType="separate"/>
        </w:r>
        <w:r w:rsidRPr="00AC5392">
          <w:rPr>
            <w:vanish/>
          </w:rPr>
          <w:t>2</w:t>
        </w:r>
        <w:r w:rsidRPr="00AC5392">
          <w:rPr>
            <w:vanish/>
          </w:rPr>
          <w:fldChar w:fldCharType="end"/>
        </w:r>
      </w:hyperlink>
    </w:p>
    <w:p w14:paraId="0A6E3B7E" w14:textId="1068DD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25" w:history="1">
        <w:r w:rsidRPr="00533B68">
          <w:t>1</w:t>
        </w:r>
        <w:r>
          <w:rPr>
            <w:rFonts w:asciiTheme="minorHAnsi" w:eastAsiaTheme="minorEastAsia" w:hAnsiTheme="minorHAnsi" w:cstheme="minorBidi"/>
            <w:kern w:val="2"/>
            <w:sz w:val="24"/>
            <w:szCs w:val="24"/>
            <w:lang w:eastAsia="en-AU"/>
            <w14:ligatures w14:val="standardContextual"/>
          </w:rPr>
          <w:tab/>
        </w:r>
        <w:r w:rsidRPr="00533B68">
          <w:t>Name of rules</w:t>
        </w:r>
        <w:r>
          <w:tab/>
        </w:r>
        <w:r>
          <w:fldChar w:fldCharType="begin"/>
        </w:r>
        <w:r>
          <w:instrText xml:space="preserve"> PAGEREF _Toc185513625 \h </w:instrText>
        </w:r>
        <w:r>
          <w:fldChar w:fldCharType="separate"/>
        </w:r>
        <w:r>
          <w:t>2</w:t>
        </w:r>
        <w:r>
          <w:fldChar w:fldCharType="end"/>
        </w:r>
      </w:hyperlink>
    </w:p>
    <w:p w14:paraId="41ED09DE" w14:textId="21F568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26" w:history="1">
        <w:r w:rsidRPr="00533B68">
          <w:t>3</w:t>
        </w:r>
        <w:r>
          <w:rPr>
            <w:rFonts w:asciiTheme="minorHAnsi" w:eastAsiaTheme="minorEastAsia" w:hAnsiTheme="minorHAnsi" w:cstheme="minorBidi"/>
            <w:kern w:val="2"/>
            <w:sz w:val="24"/>
            <w:szCs w:val="24"/>
            <w:lang w:eastAsia="en-AU"/>
            <w14:ligatures w14:val="standardContextual"/>
          </w:rPr>
          <w:tab/>
        </w:r>
        <w:r w:rsidRPr="00533B68">
          <w:t>Overview of rules</w:t>
        </w:r>
        <w:r>
          <w:tab/>
        </w:r>
        <w:r>
          <w:fldChar w:fldCharType="begin"/>
        </w:r>
        <w:r>
          <w:instrText xml:space="preserve"> PAGEREF _Toc185513626 \h </w:instrText>
        </w:r>
        <w:r>
          <w:fldChar w:fldCharType="separate"/>
        </w:r>
        <w:r>
          <w:t>2</w:t>
        </w:r>
        <w:r>
          <w:fldChar w:fldCharType="end"/>
        </w:r>
      </w:hyperlink>
    </w:p>
    <w:p w14:paraId="3DA07339" w14:textId="5EB717D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27" w:history="1">
        <w:r w:rsidRPr="00533B68">
          <w:t>4</w:t>
        </w:r>
        <w:r>
          <w:rPr>
            <w:rFonts w:asciiTheme="minorHAnsi" w:eastAsiaTheme="minorEastAsia" w:hAnsiTheme="minorHAnsi" w:cstheme="minorBidi"/>
            <w:kern w:val="2"/>
            <w:sz w:val="24"/>
            <w:szCs w:val="24"/>
            <w:lang w:eastAsia="en-AU"/>
            <w14:ligatures w14:val="standardContextual"/>
          </w:rPr>
          <w:tab/>
        </w:r>
        <w:r w:rsidRPr="00533B68">
          <w:t>Application of rules</w:t>
        </w:r>
        <w:r>
          <w:tab/>
        </w:r>
        <w:r>
          <w:fldChar w:fldCharType="begin"/>
        </w:r>
        <w:r>
          <w:instrText xml:space="preserve"> PAGEREF _Toc185513627 \h </w:instrText>
        </w:r>
        <w:r>
          <w:fldChar w:fldCharType="separate"/>
        </w:r>
        <w:r>
          <w:t>3</w:t>
        </w:r>
        <w:r>
          <w:fldChar w:fldCharType="end"/>
        </w:r>
      </w:hyperlink>
    </w:p>
    <w:p w14:paraId="4F7128EC" w14:textId="3119AFE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28" w:history="1">
        <w:r w:rsidRPr="00533B68">
          <w:t>5</w:t>
        </w:r>
        <w:r>
          <w:rPr>
            <w:rFonts w:asciiTheme="minorHAnsi" w:eastAsiaTheme="minorEastAsia" w:hAnsiTheme="minorHAnsi" w:cstheme="minorBidi"/>
            <w:kern w:val="2"/>
            <w:sz w:val="24"/>
            <w:szCs w:val="24"/>
            <w:lang w:eastAsia="en-AU"/>
            <w14:ligatures w14:val="standardContextual"/>
          </w:rPr>
          <w:tab/>
        </w:r>
        <w:r w:rsidRPr="00533B68">
          <w:t xml:space="preserve">References to </w:t>
        </w:r>
        <w:r w:rsidRPr="00533B68">
          <w:rPr>
            <w:i/>
          </w:rPr>
          <w:t>court</w:t>
        </w:r>
        <w:r w:rsidRPr="00533B68">
          <w:t xml:space="preserve">, </w:t>
        </w:r>
        <w:r w:rsidRPr="00533B68">
          <w:rPr>
            <w:i/>
          </w:rPr>
          <w:t>judicial officer</w:t>
        </w:r>
        <w:r w:rsidRPr="00533B68">
          <w:t xml:space="preserve"> etc</w:t>
        </w:r>
        <w:r>
          <w:tab/>
        </w:r>
        <w:r>
          <w:fldChar w:fldCharType="begin"/>
        </w:r>
        <w:r>
          <w:instrText xml:space="preserve"> PAGEREF _Toc185513628 \h </w:instrText>
        </w:r>
        <w:r>
          <w:fldChar w:fldCharType="separate"/>
        </w:r>
        <w:r>
          <w:t>4</w:t>
        </w:r>
        <w:r>
          <w:fldChar w:fldCharType="end"/>
        </w:r>
      </w:hyperlink>
    </w:p>
    <w:p w14:paraId="433BD00F" w14:textId="417DF7E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29" w:history="1">
        <w:r w:rsidRPr="00533B68">
          <w:t>6</w:t>
        </w:r>
        <w:r>
          <w:rPr>
            <w:rFonts w:asciiTheme="minorHAnsi" w:eastAsiaTheme="minorEastAsia" w:hAnsiTheme="minorHAnsi" w:cstheme="minorBidi"/>
            <w:kern w:val="2"/>
            <w:sz w:val="24"/>
            <w:szCs w:val="24"/>
            <w:lang w:eastAsia="en-AU"/>
            <w14:ligatures w14:val="standardContextual"/>
          </w:rPr>
          <w:tab/>
        </w:r>
        <w:r w:rsidRPr="00533B68">
          <w:t>Dispensing with rules</w:t>
        </w:r>
        <w:r>
          <w:tab/>
        </w:r>
        <w:r>
          <w:fldChar w:fldCharType="begin"/>
        </w:r>
        <w:r>
          <w:instrText xml:space="preserve"> PAGEREF _Toc185513629 \h </w:instrText>
        </w:r>
        <w:r>
          <w:fldChar w:fldCharType="separate"/>
        </w:r>
        <w:r>
          <w:t>5</w:t>
        </w:r>
        <w:r>
          <w:fldChar w:fldCharType="end"/>
        </w:r>
      </w:hyperlink>
    </w:p>
    <w:p w14:paraId="68A99F9F" w14:textId="189B26B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30" w:history="1">
        <w:r w:rsidRPr="00533B68">
          <w:t>7</w:t>
        </w:r>
        <w:r>
          <w:rPr>
            <w:rFonts w:asciiTheme="minorHAnsi" w:eastAsiaTheme="minorEastAsia" w:hAnsiTheme="minorHAnsi" w:cstheme="minorBidi"/>
            <w:kern w:val="2"/>
            <w:sz w:val="24"/>
            <w:szCs w:val="24"/>
            <w:lang w:eastAsia="en-AU"/>
            <w14:ligatures w14:val="standardContextual"/>
          </w:rPr>
          <w:tab/>
        </w:r>
        <w:r w:rsidRPr="00533B68">
          <w:t>Dictionary</w:t>
        </w:r>
        <w:r>
          <w:tab/>
        </w:r>
        <w:r>
          <w:fldChar w:fldCharType="begin"/>
        </w:r>
        <w:r>
          <w:instrText xml:space="preserve"> PAGEREF _Toc185513630 \h </w:instrText>
        </w:r>
        <w:r>
          <w:fldChar w:fldCharType="separate"/>
        </w:r>
        <w:r>
          <w:t>6</w:t>
        </w:r>
        <w:r>
          <w:fldChar w:fldCharType="end"/>
        </w:r>
      </w:hyperlink>
    </w:p>
    <w:p w14:paraId="4E5D7E3D" w14:textId="1329FCC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31" w:history="1">
        <w:r w:rsidRPr="00533B68">
          <w:t>8</w:t>
        </w:r>
        <w:r>
          <w:rPr>
            <w:rFonts w:asciiTheme="minorHAnsi" w:eastAsiaTheme="minorEastAsia" w:hAnsiTheme="minorHAnsi" w:cstheme="minorBidi"/>
            <w:kern w:val="2"/>
            <w:sz w:val="24"/>
            <w:szCs w:val="24"/>
            <w:lang w:eastAsia="en-AU"/>
            <w14:ligatures w14:val="standardContextual"/>
          </w:rPr>
          <w:tab/>
        </w:r>
        <w:r w:rsidRPr="00533B68">
          <w:t>Notes</w:t>
        </w:r>
        <w:r>
          <w:tab/>
        </w:r>
        <w:r>
          <w:fldChar w:fldCharType="begin"/>
        </w:r>
        <w:r>
          <w:instrText xml:space="preserve"> PAGEREF _Toc185513631 \h </w:instrText>
        </w:r>
        <w:r>
          <w:fldChar w:fldCharType="separate"/>
        </w:r>
        <w:r>
          <w:t>6</w:t>
        </w:r>
        <w:r>
          <w:fldChar w:fldCharType="end"/>
        </w:r>
      </w:hyperlink>
    </w:p>
    <w:p w14:paraId="73C0BE14" w14:textId="5458A453" w:rsidR="00AC5392" w:rsidRDefault="001542D1">
      <w:pPr>
        <w:pStyle w:val="TOC1"/>
        <w:rPr>
          <w:rFonts w:asciiTheme="minorHAnsi" w:eastAsiaTheme="minorEastAsia" w:hAnsiTheme="minorHAnsi" w:cstheme="minorBidi"/>
          <w:b w:val="0"/>
          <w:kern w:val="2"/>
          <w:szCs w:val="24"/>
          <w:lang w:eastAsia="en-AU"/>
          <w14:ligatures w14:val="standardContextual"/>
        </w:rPr>
      </w:pPr>
      <w:hyperlink w:anchor="_Toc185513632" w:history="1">
        <w:r w:rsidR="00AC5392" w:rsidRPr="00533B68">
          <w:t>Chapter 2</w:t>
        </w:r>
        <w:r w:rsidR="00AC5392">
          <w:rPr>
            <w:rFonts w:asciiTheme="minorHAnsi" w:eastAsiaTheme="minorEastAsia" w:hAnsiTheme="minorHAnsi" w:cstheme="minorBidi"/>
            <w:b w:val="0"/>
            <w:kern w:val="2"/>
            <w:szCs w:val="24"/>
            <w:lang w:eastAsia="en-AU"/>
            <w14:ligatures w14:val="standardContextual"/>
          </w:rPr>
          <w:tab/>
        </w:r>
        <w:r w:rsidR="00AC5392" w:rsidRPr="00533B68">
          <w:t>Civil proceedings generally</w:t>
        </w:r>
        <w:r w:rsidR="00AC5392" w:rsidRPr="00AC5392">
          <w:rPr>
            <w:vanish/>
          </w:rPr>
          <w:tab/>
        </w:r>
        <w:r w:rsidR="00AC5392" w:rsidRPr="00AC5392">
          <w:rPr>
            <w:vanish/>
          </w:rPr>
          <w:fldChar w:fldCharType="begin"/>
        </w:r>
        <w:r w:rsidR="00AC5392" w:rsidRPr="00AC5392">
          <w:rPr>
            <w:vanish/>
          </w:rPr>
          <w:instrText xml:space="preserve"> PAGEREF _Toc185513632 \h </w:instrText>
        </w:r>
        <w:r w:rsidR="00AC5392" w:rsidRPr="00AC5392">
          <w:rPr>
            <w:vanish/>
          </w:rPr>
        </w:r>
        <w:r w:rsidR="00AC5392" w:rsidRPr="00AC5392">
          <w:rPr>
            <w:vanish/>
          </w:rPr>
          <w:fldChar w:fldCharType="separate"/>
        </w:r>
        <w:r w:rsidR="00AC5392" w:rsidRPr="00AC5392">
          <w:rPr>
            <w:vanish/>
          </w:rPr>
          <w:t>7</w:t>
        </w:r>
        <w:r w:rsidR="00AC5392" w:rsidRPr="00AC5392">
          <w:rPr>
            <w:vanish/>
          </w:rPr>
          <w:fldChar w:fldCharType="end"/>
        </w:r>
      </w:hyperlink>
    </w:p>
    <w:p w14:paraId="4448EFE3" w14:textId="784B1E10"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633" w:history="1">
        <w:r w:rsidR="00AC5392" w:rsidRPr="00533B68">
          <w:t>Part 2.1</w:t>
        </w:r>
        <w:r w:rsidR="00AC5392">
          <w:rPr>
            <w:rFonts w:asciiTheme="minorHAnsi" w:eastAsiaTheme="minorEastAsia" w:hAnsiTheme="minorHAnsi" w:cstheme="minorBidi"/>
            <w:b w:val="0"/>
            <w:kern w:val="2"/>
            <w:szCs w:val="24"/>
            <w:lang w:eastAsia="en-AU"/>
            <w14:ligatures w14:val="standardContextual"/>
          </w:rPr>
          <w:tab/>
        </w:r>
        <w:r w:rsidR="00AC5392" w:rsidRPr="00533B68">
          <w:t>Introductory provisions—ch 2</w:t>
        </w:r>
        <w:r w:rsidR="00AC5392" w:rsidRPr="00AC5392">
          <w:rPr>
            <w:vanish/>
          </w:rPr>
          <w:tab/>
        </w:r>
        <w:r w:rsidR="00AC5392" w:rsidRPr="00AC5392">
          <w:rPr>
            <w:vanish/>
          </w:rPr>
          <w:fldChar w:fldCharType="begin"/>
        </w:r>
        <w:r w:rsidR="00AC5392" w:rsidRPr="00AC5392">
          <w:rPr>
            <w:vanish/>
          </w:rPr>
          <w:instrText xml:space="preserve"> PAGEREF _Toc185513633 \h </w:instrText>
        </w:r>
        <w:r w:rsidR="00AC5392" w:rsidRPr="00AC5392">
          <w:rPr>
            <w:vanish/>
          </w:rPr>
        </w:r>
        <w:r w:rsidR="00AC5392" w:rsidRPr="00AC5392">
          <w:rPr>
            <w:vanish/>
          </w:rPr>
          <w:fldChar w:fldCharType="separate"/>
        </w:r>
        <w:r w:rsidR="00AC5392" w:rsidRPr="00AC5392">
          <w:rPr>
            <w:vanish/>
          </w:rPr>
          <w:t>7</w:t>
        </w:r>
        <w:r w:rsidR="00AC5392" w:rsidRPr="00AC5392">
          <w:rPr>
            <w:vanish/>
          </w:rPr>
          <w:fldChar w:fldCharType="end"/>
        </w:r>
      </w:hyperlink>
    </w:p>
    <w:p w14:paraId="3D27C396" w14:textId="4CD20E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34" w:history="1">
        <w:r w:rsidRPr="00533B68">
          <w:t>20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plaintiff</w:t>
        </w:r>
        <w:r w:rsidRPr="00533B68">
          <w:t xml:space="preserve"> and </w:t>
        </w:r>
        <w:r w:rsidRPr="00533B68">
          <w:rPr>
            <w:i/>
          </w:rPr>
          <w:t>defendant</w:t>
        </w:r>
        <w:r>
          <w:tab/>
        </w:r>
        <w:r>
          <w:fldChar w:fldCharType="begin"/>
        </w:r>
        <w:r>
          <w:instrText xml:space="preserve"> PAGEREF _Toc185513634 \h </w:instrText>
        </w:r>
        <w:r>
          <w:fldChar w:fldCharType="separate"/>
        </w:r>
        <w:r>
          <w:t>7</w:t>
        </w:r>
        <w:r>
          <w:fldChar w:fldCharType="end"/>
        </w:r>
      </w:hyperlink>
    </w:p>
    <w:p w14:paraId="39872F74" w14:textId="317B241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35" w:history="1">
        <w:r w:rsidRPr="00533B68">
          <w:t>22</w:t>
        </w:r>
        <w:r>
          <w:rPr>
            <w:rFonts w:asciiTheme="minorHAnsi" w:eastAsiaTheme="minorEastAsia" w:hAnsiTheme="minorHAnsi" w:cstheme="minorBidi"/>
            <w:kern w:val="2"/>
            <w:sz w:val="24"/>
            <w:szCs w:val="24"/>
            <w:lang w:eastAsia="en-AU"/>
            <w14:ligatures w14:val="standardContextual"/>
          </w:rPr>
          <w:tab/>
        </w:r>
        <w:r w:rsidRPr="00533B68">
          <w:t>Application—ch 2</w:t>
        </w:r>
        <w:r>
          <w:tab/>
        </w:r>
        <w:r>
          <w:fldChar w:fldCharType="begin"/>
        </w:r>
        <w:r>
          <w:instrText xml:space="preserve"> PAGEREF _Toc185513635 \h </w:instrText>
        </w:r>
        <w:r>
          <w:fldChar w:fldCharType="separate"/>
        </w:r>
        <w:r>
          <w:t>8</w:t>
        </w:r>
        <w:r>
          <w:fldChar w:fldCharType="end"/>
        </w:r>
      </w:hyperlink>
    </w:p>
    <w:p w14:paraId="12344671" w14:textId="1E1D5504"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636" w:history="1">
        <w:r w:rsidR="00AC5392" w:rsidRPr="00533B68">
          <w:t>Part 2.2</w:t>
        </w:r>
        <w:r w:rsidR="00AC5392">
          <w:rPr>
            <w:rFonts w:asciiTheme="minorHAnsi" w:eastAsiaTheme="minorEastAsia" w:hAnsiTheme="minorHAnsi" w:cstheme="minorBidi"/>
            <w:b w:val="0"/>
            <w:kern w:val="2"/>
            <w:szCs w:val="24"/>
            <w:lang w:eastAsia="en-AU"/>
            <w14:ligatures w14:val="standardContextual"/>
          </w:rPr>
          <w:tab/>
        </w:r>
        <w:r w:rsidR="00AC5392" w:rsidRPr="00533B68">
          <w:t>Starting civil proceedings</w:t>
        </w:r>
        <w:r w:rsidR="00AC5392" w:rsidRPr="00AC5392">
          <w:rPr>
            <w:vanish/>
          </w:rPr>
          <w:tab/>
        </w:r>
        <w:r w:rsidR="00AC5392" w:rsidRPr="00AC5392">
          <w:rPr>
            <w:vanish/>
          </w:rPr>
          <w:fldChar w:fldCharType="begin"/>
        </w:r>
        <w:r w:rsidR="00AC5392" w:rsidRPr="00AC5392">
          <w:rPr>
            <w:vanish/>
          </w:rPr>
          <w:instrText xml:space="preserve"> PAGEREF _Toc185513636 \h </w:instrText>
        </w:r>
        <w:r w:rsidR="00AC5392" w:rsidRPr="00AC5392">
          <w:rPr>
            <w:vanish/>
          </w:rPr>
        </w:r>
        <w:r w:rsidR="00AC5392" w:rsidRPr="00AC5392">
          <w:rPr>
            <w:vanish/>
          </w:rPr>
          <w:fldChar w:fldCharType="separate"/>
        </w:r>
        <w:r w:rsidR="00AC5392" w:rsidRPr="00AC5392">
          <w:rPr>
            <w:vanish/>
          </w:rPr>
          <w:t>9</w:t>
        </w:r>
        <w:r w:rsidR="00AC5392" w:rsidRPr="00AC5392">
          <w:rPr>
            <w:vanish/>
          </w:rPr>
          <w:fldChar w:fldCharType="end"/>
        </w:r>
      </w:hyperlink>
    </w:p>
    <w:p w14:paraId="7A7F1398" w14:textId="7C73334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37" w:history="1">
        <w:r w:rsidR="00AC5392" w:rsidRPr="00533B68">
          <w:t>Division 2.2.1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How civil proceedings are started</w:t>
        </w:r>
        <w:r w:rsidR="00AC5392" w:rsidRPr="00AC5392">
          <w:rPr>
            <w:vanish/>
          </w:rPr>
          <w:tab/>
        </w:r>
        <w:r w:rsidR="00AC5392" w:rsidRPr="00AC5392">
          <w:rPr>
            <w:vanish/>
          </w:rPr>
          <w:fldChar w:fldCharType="begin"/>
        </w:r>
        <w:r w:rsidR="00AC5392" w:rsidRPr="00AC5392">
          <w:rPr>
            <w:vanish/>
          </w:rPr>
          <w:instrText xml:space="preserve"> PAGEREF _Toc185513637 \h </w:instrText>
        </w:r>
        <w:r w:rsidR="00AC5392" w:rsidRPr="00AC5392">
          <w:rPr>
            <w:vanish/>
          </w:rPr>
        </w:r>
        <w:r w:rsidR="00AC5392" w:rsidRPr="00AC5392">
          <w:rPr>
            <w:vanish/>
          </w:rPr>
          <w:fldChar w:fldCharType="separate"/>
        </w:r>
        <w:r w:rsidR="00AC5392" w:rsidRPr="00AC5392">
          <w:rPr>
            <w:vanish/>
          </w:rPr>
          <w:t>9</w:t>
        </w:r>
        <w:r w:rsidR="00AC5392" w:rsidRPr="00AC5392">
          <w:rPr>
            <w:vanish/>
          </w:rPr>
          <w:fldChar w:fldCharType="end"/>
        </w:r>
      </w:hyperlink>
    </w:p>
    <w:p w14:paraId="781FB769" w14:textId="5C24862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38" w:history="1">
        <w:r w:rsidRPr="00533B68">
          <w:t>30</w:t>
        </w:r>
        <w:r>
          <w:rPr>
            <w:rFonts w:asciiTheme="minorHAnsi" w:eastAsiaTheme="minorEastAsia" w:hAnsiTheme="minorHAnsi" w:cstheme="minorBidi"/>
            <w:kern w:val="2"/>
            <w:sz w:val="24"/>
            <w:szCs w:val="24"/>
            <w:lang w:eastAsia="en-AU"/>
            <w14:ligatures w14:val="standardContextual"/>
          </w:rPr>
          <w:tab/>
        </w:r>
        <w:r w:rsidRPr="00533B68">
          <w:t>Who may start and carry on a proceeding</w:t>
        </w:r>
        <w:r>
          <w:tab/>
        </w:r>
        <w:r>
          <w:fldChar w:fldCharType="begin"/>
        </w:r>
        <w:r>
          <w:instrText xml:space="preserve"> PAGEREF _Toc185513638 \h </w:instrText>
        </w:r>
        <w:r>
          <w:fldChar w:fldCharType="separate"/>
        </w:r>
        <w:r>
          <w:t>9</w:t>
        </w:r>
        <w:r>
          <w:fldChar w:fldCharType="end"/>
        </w:r>
      </w:hyperlink>
    </w:p>
    <w:p w14:paraId="73CC2776" w14:textId="003C8E4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39" w:history="1">
        <w:r w:rsidRPr="00533B68">
          <w:t>31</w:t>
        </w:r>
        <w:r>
          <w:rPr>
            <w:rFonts w:asciiTheme="minorHAnsi" w:eastAsiaTheme="minorEastAsia" w:hAnsiTheme="minorHAnsi" w:cstheme="minorBidi"/>
            <w:kern w:val="2"/>
            <w:sz w:val="24"/>
            <w:szCs w:val="24"/>
            <w:lang w:eastAsia="en-AU"/>
            <w14:ligatures w14:val="standardContextual"/>
          </w:rPr>
          <w:tab/>
        </w:r>
        <w:r w:rsidRPr="00533B68">
          <w:t>Kinds of originating processes</w:t>
        </w:r>
        <w:r>
          <w:tab/>
        </w:r>
        <w:r>
          <w:fldChar w:fldCharType="begin"/>
        </w:r>
        <w:r>
          <w:instrText xml:space="preserve"> PAGEREF _Toc185513639 \h </w:instrText>
        </w:r>
        <w:r>
          <w:fldChar w:fldCharType="separate"/>
        </w:r>
        <w:r>
          <w:t>11</w:t>
        </w:r>
        <w:r>
          <w:fldChar w:fldCharType="end"/>
        </w:r>
      </w:hyperlink>
    </w:p>
    <w:p w14:paraId="7A12BE7E" w14:textId="2E2AB4B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0" w:history="1">
        <w:r w:rsidRPr="00533B68">
          <w:t>32</w:t>
        </w:r>
        <w:r>
          <w:rPr>
            <w:rFonts w:asciiTheme="minorHAnsi" w:eastAsiaTheme="minorEastAsia" w:hAnsiTheme="minorHAnsi" w:cstheme="minorBidi"/>
            <w:kern w:val="2"/>
            <w:sz w:val="24"/>
            <w:szCs w:val="24"/>
            <w:lang w:eastAsia="en-AU"/>
            <w14:ligatures w14:val="standardContextual"/>
          </w:rPr>
          <w:tab/>
        </w:r>
        <w:r w:rsidRPr="00533B68">
          <w:t>When civil proceeding starts</w:t>
        </w:r>
        <w:r>
          <w:tab/>
        </w:r>
        <w:r>
          <w:fldChar w:fldCharType="begin"/>
        </w:r>
        <w:r>
          <w:instrText xml:space="preserve"> PAGEREF _Toc185513640 \h </w:instrText>
        </w:r>
        <w:r>
          <w:fldChar w:fldCharType="separate"/>
        </w:r>
        <w:r>
          <w:t>11</w:t>
        </w:r>
        <w:r>
          <w:fldChar w:fldCharType="end"/>
        </w:r>
      </w:hyperlink>
    </w:p>
    <w:p w14:paraId="3C22E5E1" w14:textId="3763036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1" w:history="1">
        <w:r w:rsidRPr="00533B68">
          <w:t>33</w:t>
        </w:r>
        <w:r>
          <w:rPr>
            <w:rFonts w:asciiTheme="minorHAnsi" w:eastAsiaTheme="minorEastAsia" w:hAnsiTheme="minorHAnsi" w:cstheme="minorBidi"/>
            <w:kern w:val="2"/>
            <w:sz w:val="24"/>
            <w:szCs w:val="24"/>
            <w:lang w:eastAsia="en-AU"/>
            <w14:ligatures w14:val="standardContextual"/>
          </w:rPr>
          <w:tab/>
        </w:r>
        <w:r w:rsidRPr="00533B68">
          <w:t>When originating claim must be used</w:t>
        </w:r>
        <w:r>
          <w:tab/>
        </w:r>
        <w:r>
          <w:fldChar w:fldCharType="begin"/>
        </w:r>
        <w:r>
          <w:instrText xml:space="preserve"> PAGEREF _Toc185513641 \h </w:instrText>
        </w:r>
        <w:r>
          <w:fldChar w:fldCharType="separate"/>
        </w:r>
        <w:r>
          <w:t>12</w:t>
        </w:r>
        <w:r>
          <w:fldChar w:fldCharType="end"/>
        </w:r>
      </w:hyperlink>
    </w:p>
    <w:p w14:paraId="21D9B731" w14:textId="6C858BF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2" w:history="1">
        <w:r w:rsidRPr="00533B68">
          <w:t>34</w:t>
        </w:r>
        <w:r>
          <w:rPr>
            <w:rFonts w:asciiTheme="minorHAnsi" w:eastAsiaTheme="minorEastAsia" w:hAnsiTheme="minorHAnsi" w:cstheme="minorBidi"/>
            <w:kern w:val="2"/>
            <w:sz w:val="24"/>
            <w:szCs w:val="24"/>
            <w:lang w:eastAsia="en-AU"/>
            <w14:ligatures w14:val="standardContextual"/>
          </w:rPr>
          <w:tab/>
        </w:r>
        <w:r w:rsidRPr="00533B68">
          <w:t>When originating application must be used</w:t>
        </w:r>
        <w:r>
          <w:tab/>
        </w:r>
        <w:r>
          <w:fldChar w:fldCharType="begin"/>
        </w:r>
        <w:r>
          <w:instrText xml:space="preserve"> PAGEREF _Toc185513642 \h </w:instrText>
        </w:r>
        <w:r>
          <w:fldChar w:fldCharType="separate"/>
        </w:r>
        <w:r>
          <w:t>12</w:t>
        </w:r>
        <w:r>
          <w:fldChar w:fldCharType="end"/>
        </w:r>
      </w:hyperlink>
    </w:p>
    <w:p w14:paraId="38558D19" w14:textId="5A58240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3" w:history="1">
        <w:r w:rsidRPr="00533B68">
          <w:t>35</w:t>
        </w:r>
        <w:r>
          <w:rPr>
            <w:rFonts w:asciiTheme="minorHAnsi" w:eastAsiaTheme="minorEastAsia" w:hAnsiTheme="minorHAnsi" w:cstheme="minorBidi"/>
            <w:kern w:val="2"/>
            <w:sz w:val="24"/>
            <w:szCs w:val="24"/>
            <w:lang w:eastAsia="en-AU"/>
            <w14:ligatures w14:val="standardContextual"/>
          </w:rPr>
          <w:tab/>
        </w:r>
        <w:r w:rsidRPr="00533B68">
          <w:t>When originating application may be used</w:t>
        </w:r>
        <w:r>
          <w:tab/>
        </w:r>
        <w:r>
          <w:fldChar w:fldCharType="begin"/>
        </w:r>
        <w:r>
          <w:instrText xml:space="preserve"> PAGEREF _Toc185513643 \h </w:instrText>
        </w:r>
        <w:r>
          <w:fldChar w:fldCharType="separate"/>
        </w:r>
        <w:r>
          <w:t>13</w:t>
        </w:r>
        <w:r>
          <w:fldChar w:fldCharType="end"/>
        </w:r>
      </w:hyperlink>
    </w:p>
    <w:p w14:paraId="4512B7B2" w14:textId="026B06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4" w:history="1">
        <w:r w:rsidRPr="00533B68">
          <w:t>36</w:t>
        </w:r>
        <w:r>
          <w:rPr>
            <w:rFonts w:asciiTheme="minorHAnsi" w:eastAsiaTheme="minorEastAsia" w:hAnsiTheme="minorHAnsi" w:cstheme="minorBidi"/>
            <w:kern w:val="2"/>
            <w:sz w:val="24"/>
            <w:szCs w:val="24"/>
            <w:lang w:eastAsia="en-AU"/>
            <w14:ligatures w14:val="standardContextual"/>
          </w:rPr>
          <w:tab/>
        </w:r>
        <w:r w:rsidRPr="00533B68">
          <w:t>When originating application taken to be used</w:t>
        </w:r>
        <w:r>
          <w:tab/>
        </w:r>
        <w:r>
          <w:fldChar w:fldCharType="begin"/>
        </w:r>
        <w:r>
          <w:instrText xml:space="preserve"> PAGEREF _Toc185513644 \h </w:instrText>
        </w:r>
        <w:r>
          <w:fldChar w:fldCharType="separate"/>
        </w:r>
        <w:r>
          <w:t>15</w:t>
        </w:r>
        <w:r>
          <w:fldChar w:fldCharType="end"/>
        </w:r>
      </w:hyperlink>
    </w:p>
    <w:p w14:paraId="7A1E09AB" w14:textId="5EE5FE5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5" w:history="1">
        <w:r w:rsidRPr="00533B68">
          <w:t>37</w:t>
        </w:r>
        <w:r>
          <w:rPr>
            <w:rFonts w:asciiTheme="minorHAnsi" w:eastAsiaTheme="minorEastAsia" w:hAnsiTheme="minorHAnsi" w:cstheme="minorBidi"/>
            <w:kern w:val="2"/>
            <w:sz w:val="24"/>
            <w:szCs w:val="24"/>
            <w:lang w:eastAsia="en-AU"/>
            <w14:ligatures w14:val="standardContextual"/>
          </w:rPr>
          <w:tab/>
        </w:r>
        <w:r w:rsidRPr="00533B68">
          <w:t>When oral originating application may be made in Supreme Court</w:t>
        </w:r>
        <w:r>
          <w:tab/>
        </w:r>
        <w:r>
          <w:fldChar w:fldCharType="begin"/>
        </w:r>
        <w:r>
          <w:instrText xml:space="preserve"> PAGEREF _Toc185513645 \h </w:instrText>
        </w:r>
        <w:r>
          <w:fldChar w:fldCharType="separate"/>
        </w:r>
        <w:r>
          <w:t>15</w:t>
        </w:r>
        <w:r>
          <w:fldChar w:fldCharType="end"/>
        </w:r>
      </w:hyperlink>
    </w:p>
    <w:p w14:paraId="6D65D570" w14:textId="385A801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6" w:history="1">
        <w:r w:rsidRPr="00533B68">
          <w:t>38</w:t>
        </w:r>
        <w:r>
          <w:rPr>
            <w:rFonts w:asciiTheme="minorHAnsi" w:eastAsiaTheme="minorEastAsia" w:hAnsiTheme="minorHAnsi" w:cstheme="minorBidi"/>
            <w:kern w:val="2"/>
            <w:sz w:val="24"/>
            <w:szCs w:val="24"/>
            <w:lang w:eastAsia="en-AU"/>
            <w14:ligatures w14:val="standardContextual"/>
          </w:rPr>
          <w:tab/>
        </w:r>
        <w:r w:rsidRPr="00533B68">
          <w:t>Proceeding incorrectly started by originating claim</w:t>
        </w:r>
        <w:r>
          <w:tab/>
        </w:r>
        <w:r>
          <w:fldChar w:fldCharType="begin"/>
        </w:r>
        <w:r>
          <w:instrText xml:space="preserve"> PAGEREF _Toc185513646 \h </w:instrText>
        </w:r>
        <w:r>
          <w:fldChar w:fldCharType="separate"/>
        </w:r>
        <w:r>
          <w:t>16</w:t>
        </w:r>
        <w:r>
          <w:fldChar w:fldCharType="end"/>
        </w:r>
      </w:hyperlink>
    </w:p>
    <w:p w14:paraId="76BA0E50" w14:textId="02F187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7" w:history="1">
        <w:r w:rsidRPr="00533B68">
          <w:t>39</w:t>
        </w:r>
        <w:r>
          <w:rPr>
            <w:rFonts w:asciiTheme="minorHAnsi" w:eastAsiaTheme="minorEastAsia" w:hAnsiTheme="minorHAnsi" w:cstheme="minorBidi"/>
            <w:kern w:val="2"/>
            <w:sz w:val="24"/>
            <w:szCs w:val="24"/>
            <w:lang w:eastAsia="en-AU"/>
            <w14:ligatures w14:val="standardContextual"/>
          </w:rPr>
          <w:tab/>
        </w:r>
        <w:r w:rsidRPr="00533B68">
          <w:t>Proceeding incorrectly started by originating application</w:t>
        </w:r>
        <w:r>
          <w:tab/>
        </w:r>
        <w:r>
          <w:fldChar w:fldCharType="begin"/>
        </w:r>
        <w:r>
          <w:instrText xml:space="preserve"> PAGEREF _Toc185513647 \h </w:instrText>
        </w:r>
        <w:r>
          <w:fldChar w:fldCharType="separate"/>
        </w:r>
        <w:r>
          <w:t>17</w:t>
        </w:r>
        <w:r>
          <w:fldChar w:fldCharType="end"/>
        </w:r>
      </w:hyperlink>
    </w:p>
    <w:p w14:paraId="5AC4112A" w14:textId="06E2E8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48" w:history="1">
        <w:r w:rsidRPr="00533B68">
          <w:t>40</w:t>
        </w:r>
        <w:r>
          <w:rPr>
            <w:rFonts w:asciiTheme="minorHAnsi" w:eastAsiaTheme="minorEastAsia" w:hAnsiTheme="minorHAnsi" w:cstheme="minorBidi"/>
            <w:kern w:val="2"/>
            <w:sz w:val="24"/>
            <w:szCs w:val="24"/>
            <w:lang w:eastAsia="en-AU"/>
            <w14:ligatures w14:val="standardContextual"/>
          </w:rPr>
          <w:tab/>
        </w:r>
        <w:r w:rsidRPr="00533B68">
          <w:t>Setting aside originating process etc</w:t>
        </w:r>
        <w:r>
          <w:tab/>
        </w:r>
        <w:r>
          <w:fldChar w:fldCharType="begin"/>
        </w:r>
        <w:r>
          <w:instrText xml:space="preserve"> PAGEREF _Toc185513648 \h </w:instrText>
        </w:r>
        <w:r>
          <w:fldChar w:fldCharType="separate"/>
        </w:r>
        <w:r>
          <w:t>18</w:t>
        </w:r>
        <w:r>
          <w:fldChar w:fldCharType="end"/>
        </w:r>
      </w:hyperlink>
    </w:p>
    <w:p w14:paraId="2ED36D13" w14:textId="2113C9D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49" w:history="1">
        <w:r w:rsidR="00AC5392" w:rsidRPr="00533B68">
          <w:t>Division 2.2.2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Originating claims</w:t>
        </w:r>
        <w:r w:rsidR="00AC5392" w:rsidRPr="00AC5392">
          <w:rPr>
            <w:vanish/>
          </w:rPr>
          <w:tab/>
        </w:r>
        <w:r w:rsidR="00AC5392" w:rsidRPr="00AC5392">
          <w:rPr>
            <w:vanish/>
          </w:rPr>
          <w:fldChar w:fldCharType="begin"/>
        </w:r>
        <w:r w:rsidR="00AC5392" w:rsidRPr="00AC5392">
          <w:rPr>
            <w:vanish/>
          </w:rPr>
          <w:instrText xml:space="preserve"> PAGEREF _Toc185513649 \h </w:instrText>
        </w:r>
        <w:r w:rsidR="00AC5392" w:rsidRPr="00AC5392">
          <w:rPr>
            <w:vanish/>
          </w:rPr>
        </w:r>
        <w:r w:rsidR="00AC5392" w:rsidRPr="00AC5392">
          <w:rPr>
            <w:vanish/>
          </w:rPr>
          <w:fldChar w:fldCharType="separate"/>
        </w:r>
        <w:r w:rsidR="00AC5392" w:rsidRPr="00AC5392">
          <w:rPr>
            <w:vanish/>
          </w:rPr>
          <w:t>19</w:t>
        </w:r>
        <w:r w:rsidR="00AC5392" w:rsidRPr="00AC5392">
          <w:rPr>
            <w:vanish/>
          </w:rPr>
          <w:fldChar w:fldCharType="end"/>
        </w:r>
      </w:hyperlink>
    </w:p>
    <w:p w14:paraId="000C2C33" w14:textId="4A090D0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0" w:history="1">
        <w:r w:rsidRPr="00533B68">
          <w:t>50</w:t>
        </w:r>
        <w:r>
          <w:rPr>
            <w:rFonts w:asciiTheme="minorHAnsi" w:eastAsiaTheme="minorEastAsia" w:hAnsiTheme="minorHAnsi" w:cstheme="minorBidi"/>
            <w:kern w:val="2"/>
            <w:sz w:val="24"/>
            <w:szCs w:val="24"/>
            <w:lang w:eastAsia="en-AU"/>
            <w14:ligatures w14:val="standardContextual"/>
          </w:rPr>
          <w:tab/>
        </w:r>
        <w:r w:rsidRPr="00533B68">
          <w:rPr>
            <w:lang w:val="en-US"/>
          </w:rPr>
          <w:t>Originating claim—content etc</w:t>
        </w:r>
        <w:r>
          <w:tab/>
        </w:r>
        <w:r>
          <w:fldChar w:fldCharType="begin"/>
        </w:r>
        <w:r>
          <w:instrText xml:space="preserve"> PAGEREF _Toc185513650 \h </w:instrText>
        </w:r>
        <w:r>
          <w:fldChar w:fldCharType="separate"/>
        </w:r>
        <w:r>
          <w:t>19</w:t>
        </w:r>
        <w:r>
          <w:fldChar w:fldCharType="end"/>
        </w:r>
      </w:hyperlink>
    </w:p>
    <w:p w14:paraId="6E086024" w14:textId="5844FA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1" w:history="1">
        <w:r w:rsidRPr="00533B68">
          <w:t>51</w:t>
        </w:r>
        <w:r>
          <w:rPr>
            <w:rFonts w:asciiTheme="minorHAnsi" w:eastAsiaTheme="minorEastAsia" w:hAnsiTheme="minorHAnsi" w:cstheme="minorBidi"/>
            <w:kern w:val="2"/>
            <w:sz w:val="24"/>
            <w:szCs w:val="24"/>
            <w:lang w:eastAsia="en-AU"/>
            <w14:ligatures w14:val="standardContextual"/>
          </w:rPr>
          <w:tab/>
        </w:r>
        <w:r w:rsidRPr="00533B68">
          <w:rPr>
            <w:lang w:val="en-US"/>
          </w:rPr>
          <w:t>Originating claim—additional matters for claims for debt and liquidated demands</w:t>
        </w:r>
        <w:r>
          <w:tab/>
        </w:r>
        <w:r>
          <w:fldChar w:fldCharType="begin"/>
        </w:r>
        <w:r>
          <w:instrText xml:space="preserve"> PAGEREF _Toc185513651 \h </w:instrText>
        </w:r>
        <w:r>
          <w:fldChar w:fldCharType="separate"/>
        </w:r>
        <w:r>
          <w:t>21</w:t>
        </w:r>
        <w:r>
          <w:fldChar w:fldCharType="end"/>
        </w:r>
      </w:hyperlink>
    </w:p>
    <w:p w14:paraId="525D2716" w14:textId="693AC58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2" w:history="1">
        <w:r w:rsidRPr="00533B68">
          <w:t>52</w:t>
        </w:r>
        <w:r>
          <w:rPr>
            <w:rFonts w:asciiTheme="minorHAnsi" w:eastAsiaTheme="minorEastAsia" w:hAnsiTheme="minorHAnsi" w:cstheme="minorBidi"/>
            <w:kern w:val="2"/>
            <w:sz w:val="24"/>
            <w:szCs w:val="24"/>
            <w:lang w:eastAsia="en-AU"/>
            <w14:ligatures w14:val="standardContextual"/>
          </w:rPr>
          <w:tab/>
        </w:r>
        <w:r w:rsidRPr="00533B68">
          <w:rPr>
            <w:lang w:val="en-US"/>
          </w:rPr>
          <w:t>Originating claim—statement of claim for motor vehicle death and personal injury claims</w:t>
        </w:r>
        <w:r>
          <w:tab/>
        </w:r>
        <w:r>
          <w:fldChar w:fldCharType="begin"/>
        </w:r>
        <w:r>
          <w:instrText xml:space="preserve"> PAGEREF _Toc185513652 \h </w:instrText>
        </w:r>
        <w:r>
          <w:fldChar w:fldCharType="separate"/>
        </w:r>
        <w:r>
          <w:t>21</w:t>
        </w:r>
        <w:r>
          <w:fldChar w:fldCharType="end"/>
        </w:r>
      </w:hyperlink>
    </w:p>
    <w:p w14:paraId="5AB14EBB" w14:textId="0EB9AE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3" w:history="1">
        <w:r w:rsidRPr="00533B68">
          <w:t>53</w:t>
        </w:r>
        <w:r>
          <w:rPr>
            <w:rFonts w:asciiTheme="minorHAnsi" w:eastAsiaTheme="minorEastAsia" w:hAnsiTheme="minorHAnsi" w:cstheme="minorBidi"/>
            <w:kern w:val="2"/>
            <w:sz w:val="24"/>
            <w:szCs w:val="24"/>
            <w:lang w:eastAsia="en-AU"/>
            <w14:ligatures w14:val="standardContextual"/>
          </w:rPr>
          <w:tab/>
        </w:r>
        <w:r w:rsidRPr="00533B68">
          <w:rPr>
            <w:lang w:val="en-US"/>
          </w:rPr>
          <w:t>Originating claim—statement of claim for employment death and personal injury claims</w:t>
        </w:r>
        <w:r>
          <w:tab/>
        </w:r>
        <w:r>
          <w:fldChar w:fldCharType="begin"/>
        </w:r>
        <w:r>
          <w:instrText xml:space="preserve"> PAGEREF _Toc185513653 \h </w:instrText>
        </w:r>
        <w:r>
          <w:fldChar w:fldCharType="separate"/>
        </w:r>
        <w:r>
          <w:t>22</w:t>
        </w:r>
        <w:r>
          <w:fldChar w:fldCharType="end"/>
        </w:r>
      </w:hyperlink>
    </w:p>
    <w:p w14:paraId="5F2650AC" w14:textId="0474D77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4" w:history="1">
        <w:r w:rsidRPr="00533B68">
          <w:t>54</w:t>
        </w:r>
        <w:r>
          <w:rPr>
            <w:rFonts w:asciiTheme="minorHAnsi" w:eastAsiaTheme="minorEastAsia" w:hAnsiTheme="minorHAnsi" w:cstheme="minorBidi"/>
            <w:kern w:val="2"/>
            <w:sz w:val="24"/>
            <w:szCs w:val="24"/>
            <w:lang w:eastAsia="en-AU"/>
            <w14:ligatures w14:val="standardContextual"/>
          </w:rPr>
          <w:tab/>
        </w:r>
        <w:r w:rsidRPr="00533B68">
          <w:rPr>
            <w:lang w:val="en-US"/>
          </w:rPr>
          <w:t>Originating claim—filing and service</w:t>
        </w:r>
        <w:r>
          <w:tab/>
        </w:r>
        <w:r>
          <w:fldChar w:fldCharType="begin"/>
        </w:r>
        <w:r>
          <w:instrText xml:space="preserve"> PAGEREF _Toc185513654 \h </w:instrText>
        </w:r>
        <w:r>
          <w:fldChar w:fldCharType="separate"/>
        </w:r>
        <w:r>
          <w:t>24</w:t>
        </w:r>
        <w:r>
          <w:fldChar w:fldCharType="end"/>
        </w:r>
      </w:hyperlink>
    </w:p>
    <w:p w14:paraId="5BF1B02C" w14:textId="117B42B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5" w:history="1">
        <w:r w:rsidRPr="00533B68">
          <w:t>55</w:t>
        </w:r>
        <w:r>
          <w:rPr>
            <w:rFonts w:asciiTheme="minorHAnsi" w:eastAsiaTheme="minorEastAsia" w:hAnsiTheme="minorHAnsi" w:cstheme="minorBidi"/>
            <w:kern w:val="2"/>
            <w:sz w:val="24"/>
            <w:szCs w:val="24"/>
            <w:lang w:eastAsia="en-AU"/>
            <w14:ligatures w14:val="standardContextual"/>
          </w:rPr>
          <w:tab/>
        </w:r>
        <w:r w:rsidRPr="00533B68">
          <w:t>Originating claim—abandonment of excess in Magistrates Court</w:t>
        </w:r>
        <w:r>
          <w:tab/>
        </w:r>
        <w:r>
          <w:fldChar w:fldCharType="begin"/>
        </w:r>
        <w:r>
          <w:instrText xml:space="preserve"> PAGEREF _Toc185513655 \h </w:instrText>
        </w:r>
        <w:r>
          <w:fldChar w:fldCharType="separate"/>
        </w:r>
        <w:r>
          <w:t>24</w:t>
        </w:r>
        <w:r>
          <w:fldChar w:fldCharType="end"/>
        </w:r>
      </w:hyperlink>
    </w:p>
    <w:p w14:paraId="62007215" w14:textId="5F3AB2C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56" w:history="1">
        <w:r w:rsidR="00AC5392" w:rsidRPr="00533B68">
          <w:t>Division 2.2.3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Originating applications</w:t>
        </w:r>
        <w:r w:rsidR="00AC5392" w:rsidRPr="00AC5392">
          <w:rPr>
            <w:vanish/>
          </w:rPr>
          <w:tab/>
        </w:r>
        <w:r w:rsidR="00AC5392" w:rsidRPr="00AC5392">
          <w:rPr>
            <w:vanish/>
          </w:rPr>
          <w:fldChar w:fldCharType="begin"/>
        </w:r>
        <w:r w:rsidR="00AC5392" w:rsidRPr="00AC5392">
          <w:rPr>
            <w:vanish/>
          </w:rPr>
          <w:instrText xml:space="preserve"> PAGEREF _Toc185513656 \h </w:instrText>
        </w:r>
        <w:r w:rsidR="00AC5392" w:rsidRPr="00AC5392">
          <w:rPr>
            <w:vanish/>
          </w:rPr>
        </w:r>
        <w:r w:rsidR="00AC5392" w:rsidRPr="00AC5392">
          <w:rPr>
            <w:vanish/>
          </w:rPr>
          <w:fldChar w:fldCharType="separate"/>
        </w:r>
        <w:r w:rsidR="00AC5392" w:rsidRPr="00AC5392">
          <w:rPr>
            <w:vanish/>
          </w:rPr>
          <w:t>25</w:t>
        </w:r>
        <w:r w:rsidR="00AC5392" w:rsidRPr="00AC5392">
          <w:rPr>
            <w:vanish/>
          </w:rPr>
          <w:fldChar w:fldCharType="end"/>
        </w:r>
      </w:hyperlink>
    </w:p>
    <w:p w14:paraId="46257143" w14:textId="40BAD5F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7" w:history="1">
        <w:r w:rsidRPr="00533B68">
          <w:t>60</w:t>
        </w:r>
        <w:r>
          <w:rPr>
            <w:rFonts w:asciiTheme="minorHAnsi" w:eastAsiaTheme="minorEastAsia" w:hAnsiTheme="minorHAnsi" w:cstheme="minorBidi"/>
            <w:kern w:val="2"/>
            <w:sz w:val="24"/>
            <w:szCs w:val="24"/>
            <w:lang w:eastAsia="en-AU"/>
            <w14:ligatures w14:val="standardContextual"/>
          </w:rPr>
          <w:tab/>
        </w:r>
        <w:r w:rsidRPr="00533B68">
          <w:rPr>
            <w:lang w:val="en-US"/>
          </w:rPr>
          <w:t>Originating application—content etc</w:t>
        </w:r>
        <w:r>
          <w:tab/>
        </w:r>
        <w:r>
          <w:fldChar w:fldCharType="begin"/>
        </w:r>
        <w:r>
          <w:instrText xml:space="preserve"> PAGEREF _Toc185513657 \h </w:instrText>
        </w:r>
        <w:r>
          <w:fldChar w:fldCharType="separate"/>
        </w:r>
        <w:r>
          <w:t>25</w:t>
        </w:r>
        <w:r>
          <w:fldChar w:fldCharType="end"/>
        </w:r>
      </w:hyperlink>
    </w:p>
    <w:p w14:paraId="2576E4D1" w14:textId="5AB072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8" w:history="1">
        <w:r w:rsidRPr="00533B68">
          <w:t>61</w:t>
        </w:r>
        <w:r>
          <w:rPr>
            <w:rFonts w:asciiTheme="minorHAnsi" w:eastAsiaTheme="minorEastAsia" w:hAnsiTheme="minorHAnsi" w:cstheme="minorBidi"/>
            <w:kern w:val="2"/>
            <w:sz w:val="24"/>
            <w:szCs w:val="24"/>
            <w:lang w:eastAsia="en-AU"/>
            <w14:ligatures w14:val="standardContextual"/>
          </w:rPr>
          <w:tab/>
        </w:r>
        <w:r w:rsidRPr="00533B68">
          <w:rPr>
            <w:lang w:val="en-US"/>
          </w:rPr>
          <w:t>Originating application—filing and service</w:t>
        </w:r>
        <w:r>
          <w:tab/>
        </w:r>
        <w:r>
          <w:fldChar w:fldCharType="begin"/>
        </w:r>
        <w:r>
          <w:instrText xml:space="preserve"> PAGEREF _Toc185513658 \h </w:instrText>
        </w:r>
        <w:r>
          <w:fldChar w:fldCharType="separate"/>
        </w:r>
        <w:r>
          <w:t>27</w:t>
        </w:r>
        <w:r>
          <w:fldChar w:fldCharType="end"/>
        </w:r>
      </w:hyperlink>
    </w:p>
    <w:p w14:paraId="5D34F8B8" w14:textId="3E37A46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59" w:history="1">
        <w:r w:rsidRPr="00533B68">
          <w:t>62</w:t>
        </w:r>
        <w:r>
          <w:rPr>
            <w:rFonts w:asciiTheme="minorHAnsi" w:eastAsiaTheme="minorEastAsia" w:hAnsiTheme="minorHAnsi" w:cstheme="minorBidi"/>
            <w:kern w:val="2"/>
            <w:sz w:val="24"/>
            <w:szCs w:val="24"/>
            <w:lang w:eastAsia="en-AU"/>
            <w14:ligatures w14:val="standardContextual"/>
          </w:rPr>
          <w:tab/>
        </w:r>
        <w:r w:rsidRPr="00533B68">
          <w:t xml:space="preserve">When </w:t>
        </w:r>
        <w:r w:rsidRPr="00533B68">
          <w:rPr>
            <w:lang w:val="en-US"/>
          </w:rPr>
          <w:t>originating application must be served</w:t>
        </w:r>
        <w:r>
          <w:tab/>
        </w:r>
        <w:r>
          <w:fldChar w:fldCharType="begin"/>
        </w:r>
        <w:r>
          <w:instrText xml:space="preserve"> PAGEREF _Toc185513659 \h </w:instrText>
        </w:r>
        <w:r>
          <w:fldChar w:fldCharType="separate"/>
        </w:r>
        <w:r>
          <w:t>28</w:t>
        </w:r>
        <w:r>
          <w:fldChar w:fldCharType="end"/>
        </w:r>
      </w:hyperlink>
    </w:p>
    <w:p w14:paraId="5436A008" w14:textId="77AAFD7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0" w:history="1">
        <w:r w:rsidRPr="00533B68">
          <w:t>63</w:t>
        </w:r>
        <w:r>
          <w:rPr>
            <w:rFonts w:asciiTheme="minorHAnsi" w:eastAsiaTheme="minorEastAsia" w:hAnsiTheme="minorHAnsi" w:cstheme="minorBidi"/>
            <w:kern w:val="2"/>
            <w:sz w:val="24"/>
            <w:szCs w:val="24"/>
            <w:lang w:eastAsia="en-AU"/>
            <w14:ligatures w14:val="standardContextual"/>
          </w:rPr>
          <w:tab/>
        </w:r>
        <w:r w:rsidRPr="00533B68">
          <w:rPr>
            <w:lang w:val="en-US"/>
          </w:rPr>
          <w:t>What happens if originating application not served in time</w:t>
        </w:r>
        <w:r>
          <w:tab/>
        </w:r>
        <w:r>
          <w:fldChar w:fldCharType="begin"/>
        </w:r>
        <w:r>
          <w:instrText xml:space="preserve"> PAGEREF _Toc185513660 \h </w:instrText>
        </w:r>
        <w:r>
          <w:fldChar w:fldCharType="separate"/>
        </w:r>
        <w:r>
          <w:t>28</w:t>
        </w:r>
        <w:r>
          <w:fldChar w:fldCharType="end"/>
        </w:r>
      </w:hyperlink>
    </w:p>
    <w:p w14:paraId="4EA6300B" w14:textId="75CB070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1" w:history="1">
        <w:r w:rsidRPr="00533B68">
          <w:t>64</w:t>
        </w:r>
        <w:r>
          <w:rPr>
            <w:rFonts w:asciiTheme="minorHAnsi" w:eastAsiaTheme="minorEastAsia" w:hAnsiTheme="minorHAnsi" w:cstheme="minorBidi"/>
            <w:kern w:val="2"/>
            <w:sz w:val="24"/>
            <w:szCs w:val="24"/>
            <w:lang w:eastAsia="en-AU"/>
            <w14:ligatures w14:val="standardContextual"/>
          </w:rPr>
          <w:tab/>
        </w:r>
        <w:r w:rsidRPr="00533B68">
          <w:rPr>
            <w:lang w:val="en-US"/>
          </w:rPr>
          <w:t>Originating application—filing and service of supporting affidavits</w:t>
        </w:r>
        <w:r>
          <w:tab/>
        </w:r>
        <w:r>
          <w:fldChar w:fldCharType="begin"/>
        </w:r>
        <w:r>
          <w:instrText xml:space="preserve"> PAGEREF _Toc185513661 \h </w:instrText>
        </w:r>
        <w:r>
          <w:fldChar w:fldCharType="separate"/>
        </w:r>
        <w:r>
          <w:t>29</w:t>
        </w:r>
        <w:r>
          <w:fldChar w:fldCharType="end"/>
        </w:r>
      </w:hyperlink>
    </w:p>
    <w:p w14:paraId="588DE75E" w14:textId="0789FCF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62" w:history="1">
        <w:r w:rsidR="00AC5392" w:rsidRPr="00533B68">
          <w:t>Division 2.2.4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Rules about originating process</w:t>
        </w:r>
        <w:r w:rsidR="00AC5392" w:rsidRPr="00AC5392">
          <w:rPr>
            <w:vanish/>
          </w:rPr>
          <w:tab/>
        </w:r>
        <w:r w:rsidR="00AC5392" w:rsidRPr="00AC5392">
          <w:rPr>
            <w:vanish/>
          </w:rPr>
          <w:fldChar w:fldCharType="begin"/>
        </w:r>
        <w:r w:rsidR="00AC5392" w:rsidRPr="00AC5392">
          <w:rPr>
            <w:vanish/>
          </w:rPr>
          <w:instrText xml:space="preserve"> PAGEREF _Toc185513662 \h </w:instrText>
        </w:r>
        <w:r w:rsidR="00AC5392" w:rsidRPr="00AC5392">
          <w:rPr>
            <w:vanish/>
          </w:rPr>
        </w:r>
        <w:r w:rsidR="00AC5392" w:rsidRPr="00AC5392">
          <w:rPr>
            <w:vanish/>
          </w:rPr>
          <w:fldChar w:fldCharType="separate"/>
        </w:r>
        <w:r w:rsidR="00AC5392" w:rsidRPr="00AC5392">
          <w:rPr>
            <w:vanish/>
          </w:rPr>
          <w:t>29</w:t>
        </w:r>
        <w:r w:rsidR="00AC5392" w:rsidRPr="00AC5392">
          <w:rPr>
            <w:vanish/>
          </w:rPr>
          <w:fldChar w:fldCharType="end"/>
        </w:r>
      </w:hyperlink>
    </w:p>
    <w:p w14:paraId="56F1E507" w14:textId="08D9DC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3" w:history="1">
        <w:r w:rsidRPr="00533B68">
          <w:t>70</w:t>
        </w:r>
        <w:r>
          <w:rPr>
            <w:rFonts w:asciiTheme="minorHAnsi" w:eastAsiaTheme="minorEastAsia" w:hAnsiTheme="minorHAnsi" w:cstheme="minorBidi"/>
            <w:kern w:val="2"/>
            <w:sz w:val="24"/>
            <w:szCs w:val="24"/>
            <w:lang w:eastAsia="en-AU"/>
            <w14:ligatures w14:val="standardContextual"/>
          </w:rPr>
          <w:tab/>
        </w:r>
        <w:r w:rsidRPr="00533B68">
          <w:t>Originating process to be sealed</w:t>
        </w:r>
        <w:r>
          <w:tab/>
        </w:r>
        <w:r>
          <w:fldChar w:fldCharType="begin"/>
        </w:r>
        <w:r>
          <w:instrText xml:space="preserve"> PAGEREF _Toc185513663 \h </w:instrText>
        </w:r>
        <w:r>
          <w:fldChar w:fldCharType="separate"/>
        </w:r>
        <w:r>
          <w:t>29</w:t>
        </w:r>
        <w:r>
          <w:fldChar w:fldCharType="end"/>
        </w:r>
      </w:hyperlink>
    </w:p>
    <w:p w14:paraId="18EC1C41" w14:textId="28F3D5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4" w:history="1">
        <w:r w:rsidRPr="00533B68">
          <w:t>71</w:t>
        </w:r>
        <w:r>
          <w:rPr>
            <w:rFonts w:asciiTheme="minorHAnsi" w:eastAsiaTheme="minorEastAsia" w:hAnsiTheme="minorHAnsi" w:cstheme="minorBidi"/>
            <w:kern w:val="2"/>
            <w:sz w:val="24"/>
            <w:szCs w:val="24"/>
            <w:lang w:eastAsia="en-AU"/>
            <w14:ligatures w14:val="standardContextual"/>
          </w:rPr>
          <w:tab/>
        </w:r>
        <w:r w:rsidRPr="00533B68">
          <w:t>Numbering etc of proceedings</w:t>
        </w:r>
        <w:r>
          <w:tab/>
        </w:r>
        <w:r>
          <w:fldChar w:fldCharType="begin"/>
        </w:r>
        <w:r>
          <w:instrText xml:space="preserve"> PAGEREF _Toc185513664 \h </w:instrText>
        </w:r>
        <w:r>
          <w:fldChar w:fldCharType="separate"/>
        </w:r>
        <w:r>
          <w:t>30</w:t>
        </w:r>
        <w:r>
          <w:fldChar w:fldCharType="end"/>
        </w:r>
      </w:hyperlink>
    </w:p>
    <w:p w14:paraId="3504B3DE" w14:textId="2D45201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5" w:history="1">
        <w:r w:rsidRPr="00533B68">
          <w:t>72</w:t>
        </w:r>
        <w:r>
          <w:rPr>
            <w:rFonts w:asciiTheme="minorHAnsi" w:eastAsiaTheme="minorEastAsia" w:hAnsiTheme="minorHAnsi" w:cstheme="minorBidi"/>
            <w:kern w:val="2"/>
            <w:sz w:val="24"/>
            <w:szCs w:val="24"/>
            <w:lang w:eastAsia="en-AU"/>
            <w14:ligatures w14:val="standardContextual"/>
          </w:rPr>
          <w:tab/>
        </w:r>
        <w:r w:rsidRPr="00533B68">
          <w:t>Originating process—solicitor’s statement about filing</w:t>
        </w:r>
        <w:r>
          <w:tab/>
        </w:r>
        <w:r>
          <w:fldChar w:fldCharType="begin"/>
        </w:r>
        <w:r>
          <w:instrText xml:space="preserve"> PAGEREF _Toc185513665 \h </w:instrText>
        </w:r>
        <w:r>
          <w:fldChar w:fldCharType="separate"/>
        </w:r>
        <w:r>
          <w:t>30</w:t>
        </w:r>
        <w:r>
          <w:fldChar w:fldCharType="end"/>
        </w:r>
      </w:hyperlink>
    </w:p>
    <w:p w14:paraId="107525B7" w14:textId="4FEE0EC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6" w:history="1">
        <w:r w:rsidRPr="00533B68">
          <w:t>73</w:t>
        </w:r>
        <w:r>
          <w:rPr>
            <w:rFonts w:asciiTheme="minorHAnsi" w:eastAsiaTheme="minorEastAsia" w:hAnsiTheme="minorHAnsi" w:cstheme="minorBidi"/>
            <w:kern w:val="2"/>
            <w:sz w:val="24"/>
            <w:szCs w:val="24"/>
            <w:lang w:eastAsia="en-AU"/>
            <w14:ligatures w14:val="standardContextual"/>
          </w:rPr>
          <w:tab/>
        </w:r>
        <w:r w:rsidRPr="00533B68">
          <w:rPr>
            <w:lang w:val="en-US"/>
          </w:rPr>
          <w:t>Defendant taken to be served by filing notice of intention to respond or defence</w:t>
        </w:r>
        <w:r>
          <w:tab/>
        </w:r>
        <w:r>
          <w:fldChar w:fldCharType="begin"/>
        </w:r>
        <w:r>
          <w:instrText xml:space="preserve"> PAGEREF _Toc185513666 \h </w:instrText>
        </w:r>
        <w:r>
          <w:fldChar w:fldCharType="separate"/>
        </w:r>
        <w:r>
          <w:t>31</w:t>
        </w:r>
        <w:r>
          <w:fldChar w:fldCharType="end"/>
        </w:r>
      </w:hyperlink>
    </w:p>
    <w:p w14:paraId="79349DB1" w14:textId="7AB956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7" w:history="1">
        <w:r w:rsidRPr="00533B68">
          <w:t>74</w:t>
        </w:r>
        <w:r>
          <w:rPr>
            <w:rFonts w:asciiTheme="minorHAnsi" w:eastAsiaTheme="minorEastAsia" w:hAnsiTheme="minorHAnsi" w:cstheme="minorBidi"/>
            <w:kern w:val="2"/>
            <w:sz w:val="24"/>
            <w:szCs w:val="24"/>
            <w:lang w:eastAsia="en-AU"/>
            <w14:ligatures w14:val="standardContextual"/>
          </w:rPr>
          <w:tab/>
        </w:r>
        <w:r w:rsidRPr="00533B68">
          <w:t>Originating process—</w:t>
        </w:r>
        <w:r w:rsidRPr="00533B68">
          <w:rPr>
            <w:lang w:val="en-US"/>
          </w:rPr>
          <w:t>duration and renewal</w:t>
        </w:r>
        <w:r>
          <w:tab/>
        </w:r>
        <w:r>
          <w:fldChar w:fldCharType="begin"/>
        </w:r>
        <w:r>
          <w:instrText xml:space="preserve"> PAGEREF _Toc185513667 \h </w:instrText>
        </w:r>
        <w:r>
          <w:fldChar w:fldCharType="separate"/>
        </w:r>
        <w:r>
          <w:t>31</w:t>
        </w:r>
        <w:r>
          <w:fldChar w:fldCharType="end"/>
        </w:r>
      </w:hyperlink>
    </w:p>
    <w:p w14:paraId="729282B0" w14:textId="3330FE2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8" w:history="1">
        <w:r w:rsidRPr="00533B68">
          <w:t>75</w:t>
        </w:r>
        <w:r>
          <w:rPr>
            <w:rFonts w:asciiTheme="minorHAnsi" w:eastAsiaTheme="minorEastAsia" w:hAnsiTheme="minorHAnsi" w:cstheme="minorBidi"/>
            <w:kern w:val="2"/>
            <w:sz w:val="24"/>
            <w:szCs w:val="24"/>
            <w:lang w:eastAsia="en-AU"/>
            <w14:ligatures w14:val="standardContextual"/>
          </w:rPr>
          <w:tab/>
        </w:r>
        <w:r w:rsidRPr="00533B68">
          <w:rPr>
            <w:lang w:val="en-US"/>
          </w:rPr>
          <w:t>When proceeding taken to be dismissed</w:t>
        </w:r>
        <w:r>
          <w:tab/>
        </w:r>
        <w:r>
          <w:fldChar w:fldCharType="begin"/>
        </w:r>
        <w:r>
          <w:instrText xml:space="preserve"> PAGEREF _Toc185513668 \h </w:instrText>
        </w:r>
        <w:r>
          <w:fldChar w:fldCharType="separate"/>
        </w:r>
        <w:r>
          <w:t>32</w:t>
        </w:r>
        <w:r>
          <w:fldChar w:fldCharType="end"/>
        </w:r>
      </w:hyperlink>
    </w:p>
    <w:p w14:paraId="79AC8FA6" w14:textId="7991DAF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69" w:history="1">
        <w:r w:rsidRPr="00533B68">
          <w:t>76</w:t>
        </w:r>
        <w:r>
          <w:rPr>
            <w:rFonts w:asciiTheme="minorHAnsi" w:eastAsiaTheme="minorEastAsia" w:hAnsiTheme="minorHAnsi" w:cstheme="minorBidi"/>
            <w:kern w:val="2"/>
            <w:sz w:val="24"/>
            <w:szCs w:val="24"/>
            <w:lang w:eastAsia="en-AU"/>
            <w14:ligatures w14:val="standardContextual"/>
          </w:rPr>
          <w:tab/>
        </w:r>
        <w:r w:rsidRPr="00533B68">
          <w:t>Reinstating dismissed proceeding</w:t>
        </w:r>
        <w:r>
          <w:tab/>
        </w:r>
        <w:r>
          <w:fldChar w:fldCharType="begin"/>
        </w:r>
        <w:r>
          <w:instrText xml:space="preserve"> PAGEREF _Toc185513669 \h </w:instrText>
        </w:r>
        <w:r>
          <w:fldChar w:fldCharType="separate"/>
        </w:r>
        <w:r>
          <w:t>33</w:t>
        </w:r>
        <w:r>
          <w:fldChar w:fldCharType="end"/>
        </w:r>
      </w:hyperlink>
    </w:p>
    <w:p w14:paraId="6C0FBAEE" w14:textId="6F39BAC5"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670" w:history="1">
        <w:r w:rsidR="00AC5392" w:rsidRPr="00533B68">
          <w:t>Part 2.3</w:t>
        </w:r>
        <w:r w:rsidR="00AC5392">
          <w:rPr>
            <w:rFonts w:asciiTheme="minorHAnsi" w:eastAsiaTheme="minorEastAsia" w:hAnsiTheme="minorHAnsi" w:cstheme="minorBidi"/>
            <w:b w:val="0"/>
            <w:kern w:val="2"/>
            <w:szCs w:val="24"/>
            <w:lang w:eastAsia="en-AU"/>
            <w14:ligatures w14:val="standardContextual"/>
          </w:rPr>
          <w:tab/>
        </w:r>
        <w:r w:rsidR="00AC5392" w:rsidRPr="00533B68">
          <w:t>Notice of intention to respond and defence</w:t>
        </w:r>
        <w:r w:rsidR="00AC5392" w:rsidRPr="00AC5392">
          <w:rPr>
            <w:vanish/>
          </w:rPr>
          <w:tab/>
        </w:r>
        <w:r w:rsidR="00AC5392" w:rsidRPr="00AC5392">
          <w:rPr>
            <w:vanish/>
          </w:rPr>
          <w:fldChar w:fldCharType="begin"/>
        </w:r>
        <w:r w:rsidR="00AC5392" w:rsidRPr="00AC5392">
          <w:rPr>
            <w:vanish/>
          </w:rPr>
          <w:instrText xml:space="preserve"> PAGEREF _Toc185513670 \h </w:instrText>
        </w:r>
        <w:r w:rsidR="00AC5392" w:rsidRPr="00AC5392">
          <w:rPr>
            <w:vanish/>
          </w:rPr>
        </w:r>
        <w:r w:rsidR="00AC5392" w:rsidRPr="00AC5392">
          <w:rPr>
            <w:vanish/>
          </w:rPr>
          <w:fldChar w:fldCharType="separate"/>
        </w:r>
        <w:r w:rsidR="00AC5392" w:rsidRPr="00AC5392">
          <w:rPr>
            <w:vanish/>
          </w:rPr>
          <w:t>34</w:t>
        </w:r>
        <w:r w:rsidR="00AC5392" w:rsidRPr="00AC5392">
          <w:rPr>
            <w:vanish/>
          </w:rPr>
          <w:fldChar w:fldCharType="end"/>
        </w:r>
      </w:hyperlink>
    </w:p>
    <w:p w14:paraId="32831E65" w14:textId="5345733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71" w:history="1">
        <w:r w:rsidR="00AC5392" w:rsidRPr="00533B68">
          <w:t>Division 2.3.1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Notice of intention to respond and defence—general</w:t>
        </w:r>
        <w:r w:rsidR="00AC5392" w:rsidRPr="00AC5392">
          <w:rPr>
            <w:vanish/>
          </w:rPr>
          <w:tab/>
        </w:r>
        <w:r w:rsidR="00AC5392" w:rsidRPr="00AC5392">
          <w:rPr>
            <w:vanish/>
          </w:rPr>
          <w:fldChar w:fldCharType="begin"/>
        </w:r>
        <w:r w:rsidR="00AC5392" w:rsidRPr="00AC5392">
          <w:rPr>
            <w:vanish/>
          </w:rPr>
          <w:instrText xml:space="preserve"> PAGEREF _Toc185513671 \h </w:instrText>
        </w:r>
        <w:r w:rsidR="00AC5392" w:rsidRPr="00AC5392">
          <w:rPr>
            <w:vanish/>
          </w:rPr>
        </w:r>
        <w:r w:rsidR="00AC5392" w:rsidRPr="00AC5392">
          <w:rPr>
            <w:vanish/>
          </w:rPr>
          <w:fldChar w:fldCharType="separate"/>
        </w:r>
        <w:r w:rsidR="00AC5392" w:rsidRPr="00AC5392">
          <w:rPr>
            <w:vanish/>
          </w:rPr>
          <w:t>34</w:t>
        </w:r>
        <w:r w:rsidR="00AC5392" w:rsidRPr="00AC5392">
          <w:rPr>
            <w:vanish/>
          </w:rPr>
          <w:fldChar w:fldCharType="end"/>
        </w:r>
      </w:hyperlink>
    </w:p>
    <w:p w14:paraId="6B31CBC0" w14:textId="6B8AA25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2" w:history="1">
        <w:r w:rsidRPr="00533B68">
          <w:t>100</w:t>
        </w:r>
        <w:r>
          <w:rPr>
            <w:rFonts w:asciiTheme="minorHAnsi" w:eastAsiaTheme="minorEastAsia" w:hAnsiTheme="minorHAnsi" w:cstheme="minorBidi"/>
            <w:kern w:val="2"/>
            <w:sz w:val="24"/>
            <w:szCs w:val="24"/>
            <w:lang w:eastAsia="en-AU"/>
            <w14:ligatures w14:val="standardContextual"/>
          </w:rPr>
          <w:tab/>
        </w:r>
        <w:r w:rsidRPr="00533B68">
          <w:rPr>
            <w:lang w:val="en-US"/>
          </w:rPr>
          <w:t>No step without notice of intention to respond or defence</w:t>
        </w:r>
        <w:r>
          <w:tab/>
        </w:r>
        <w:r>
          <w:fldChar w:fldCharType="begin"/>
        </w:r>
        <w:r>
          <w:instrText xml:space="preserve"> PAGEREF _Toc185513672 \h </w:instrText>
        </w:r>
        <w:r>
          <w:fldChar w:fldCharType="separate"/>
        </w:r>
        <w:r>
          <w:t>34</w:t>
        </w:r>
        <w:r>
          <w:fldChar w:fldCharType="end"/>
        </w:r>
      </w:hyperlink>
    </w:p>
    <w:p w14:paraId="70627464" w14:textId="408348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3" w:history="1">
        <w:r w:rsidRPr="00533B68">
          <w:t>101</w:t>
        </w:r>
        <w:r>
          <w:rPr>
            <w:rFonts w:asciiTheme="minorHAnsi" w:eastAsiaTheme="minorEastAsia" w:hAnsiTheme="minorHAnsi" w:cstheme="minorBidi"/>
            <w:kern w:val="2"/>
            <w:sz w:val="24"/>
            <w:szCs w:val="24"/>
            <w:lang w:eastAsia="en-AU"/>
            <w14:ligatures w14:val="standardContextual"/>
          </w:rPr>
          <w:tab/>
        </w:r>
        <w:r w:rsidRPr="00533B68">
          <w:t>Notice of intention to respond or defence—details to be included</w:t>
        </w:r>
        <w:r>
          <w:tab/>
        </w:r>
        <w:r>
          <w:fldChar w:fldCharType="begin"/>
        </w:r>
        <w:r>
          <w:instrText xml:space="preserve"> PAGEREF _Toc185513673 \h </w:instrText>
        </w:r>
        <w:r>
          <w:fldChar w:fldCharType="separate"/>
        </w:r>
        <w:r>
          <w:t>35</w:t>
        </w:r>
        <w:r>
          <w:fldChar w:fldCharType="end"/>
        </w:r>
      </w:hyperlink>
    </w:p>
    <w:p w14:paraId="0C18130C" w14:textId="0781A0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4" w:history="1">
        <w:r w:rsidRPr="00533B68">
          <w:t>102</w:t>
        </w:r>
        <w:r>
          <w:rPr>
            <w:rFonts w:asciiTheme="minorHAnsi" w:eastAsiaTheme="minorEastAsia" w:hAnsiTheme="minorHAnsi" w:cstheme="minorBidi"/>
            <w:kern w:val="2"/>
            <w:sz w:val="24"/>
            <w:szCs w:val="24"/>
            <w:lang w:eastAsia="en-AU"/>
            <w14:ligatures w14:val="standardContextual"/>
          </w:rPr>
          <w:tab/>
        </w:r>
        <w:r w:rsidRPr="00533B68">
          <w:rPr>
            <w:lang w:val="en-US"/>
          </w:rPr>
          <w:t>Notice of intention to respond or defence—filing and service</w:t>
        </w:r>
        <w:r>
          <w:tab/>
        </w:r>
        <w:r>
          <w:fldChar w:fldCharType="begin"/>
        </w:r>
        <w:r>
          <w:instrText xml:space="preserve"> PAGEREF _Toc185513674 \h </w:instrText>
        </w:r>
        <w:r>
          <w:fldChar w:fldCharType="separate"/>
        </w:r>
        <w:r>
          <w:t>36</w:t>
        </w:r>
        <w:r>
          <w:fldChar w:fldCharType="end"/>
        </w:r>
      </w:hyperlink>
    </w:p>
    <w:p w14:paraId="129F6A6F" w14:textId="12E90A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5" w:history="1">
        <w:r w:rsidRPr="00533B68">
          <w:t>103</w:t>
        </w:r>
        <w:r>
          <w:rPr>
            <w:rFonts w:asciiTheme="minorHAnsi" w:eastAsiaTheme="minorEastAsia" w:hAnsiTheme="minorHAnsi" w:cstheme="minorBidi"/>
            <w:kern w:val="2"/>
            <w:sz w:val="24"/>
            <w:szCs w:val="24"/>
            <w:lang w:eastAsia="en-AU"/>
            <w14:ligatures w14:val="standardContextual"/>
          </w:rPr>
          <w:tab/>
        </w:r>
        <w:r w:rsidRPr="00533B68">
          <w:rPr>
            <w:lang w:val="en-US"/>
          </w:rPr>
          <w:t>Notice of intention to respond or defence—late filing or service</w:t>
        </w:r>
        <w:r>
          <w:tab/>
        </w:r>
        <w:r>
          <w:fldChar w:fldCharType="begin"/>
        </w:r>
        <w:r>
          <w:instrText xml:space="preserve"> PAGEREF _Toc185513675 \h </w:instrText>
        </w:r>
        <w:r>
          <w:fldChar w:fldCharType="separate"/>
        </w:r>
        <w:r>
          <w:t>37</w:t>
        </w:r>
        <w:r>
          <w:fldChar w:fldCharType="end"/>
        </w:r>
      </w:hyperlink>
    </w:p>
    <w:p w14:paraId="08C2EB36" w14:textId="113DE10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6" w:history="1">
        <w:r w:rsidRPr="00533B68">
          <w:t>104</w:t>
        </w:r>
        <w:r>
          <w:rPr>
            <w:rFonts w:asciiTheme="minorHAnsi" w:eastAsiaTheme="minorEastAsia" w:hAnsiTheme="minorHAnsi" w:cstheme="minorBidi"/>
            <w:kern w:val="2"/>
            <w:sz w:val="24"/>
            <w:szCs w:val="24"/>
            <w:lang w:eastAsia="en-AU"/>
            <w14:ligatures w14:val="standardContextual"/>
          </w:rPr>
          <w:tab/>
        </w:r>
        <w:r w:rsidRPr="00533B68">
          <w:rPr>
            <w:lang w:val="en-US"/>
          </w:rPr>
          <w:t>Ground of defence arising after defence filed etc</w:t>
        </w:r>
        <w:r>
          <w:tab/>
        </w:r>
        <w:r>
          <w:fldChar w:fldCharType="begin"/>
        </w:r>
        <w:r>
          <w:instrText xml:space="preserve"> PAGEREF _Toc185513676 \h </w:instrText>
        </w:r>
        <w:r>
          <w:fldChar w:fldCharType="separate"/>
        </w:r>
        <w:r>
          <w:t>38</w:t>
        </w:r>
        <w:r>
          <w:fldChar w:fldCharType="end"/>
        </w:r>
      </w:hyperlink>
    </w:p>
    <w:p w14:paraId="38C623A6" w14:textId="0DEF93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7" w:history="1">
        <w:r w:rsidRPr="00533B68">
          <w:t>105</w:t>
        </w:r>
        <w:r>
          <w:rPr>
            <w:rFonts w:asciiTheme="minorHAnsi" w:eastAsiaTheme="minorEastAsia" w:hAnsiTheme="minorHAnsi" w:cstheme="minorBidi"/>
            <w:kern w:val="2"/>
            <w:sz w:val="24"/>
            <w:szCs w:val="24"/>
            <w:lang w:eastAsia="en-AU"/>
            <w14:ligatures w14:val="standardContextual"/>
          </w:rPr>
          <w:tab/>
        </w:r>
        <w:r w:rsidRPr="00533B68">
          <w:rPr>
            <w:lang w:val="en-US"/>
          </w:rPr>
          <w:t>Defence—reliance on defence not disclosed</w:t>
        </w:r>
        <w:r>
          <w:tab/>
        </w:r>
        <w:r>
          <w:fldChar w:fldCharType="begin"/>
        </w:r>
        <w:r>
          <w:instrText xml:space="preserve"> PAGEREF _Toc185513677 \h </w:instrText>
        </w:r>
        <w:r>
          <w:fldChar w:fldCharType="separate"/>
        </w:r>
        <w:r>
          <w:t>39</w:t>
        </w:r>
        <w:r>
          <w:fldChar w:fldCharType="end"/>
        </w:r>
      </w:hyperlink>
    </w:p>
    <w:p w14:paraId="24527784" w14:textId="3B06F9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8" w:history="1">
        <w:r w:rsidRPr="00533B68">
          <w:t>106</w:t>
        </w:r>
        <w:r>
          <w:rPr>
            <w:rFonts w:asciiTheme="minorHAnsi" w:eastAsiaTheme="minorEastAsia" w:hAnsiTheme="minorHAnsi" w:cstheme="minorBidi"/>
            <w:kern w:val="2"/>
            <w:sz w:val="24"/>
            <w:szCs w:val="24"/>
            <w:lang w:eastAsia="en-AU"/>
            <w14:ligatures w14:val="standardContextual"/>
          </w:rPr>
          <w:tab/>
        </w:r>
        <w:r w:rsidRPr="00533B68">
          <w:rPr>
            <w:lang w:val="en-US"/>
          </w:rPr>
          <w:t>Defendant may submit to judgment by notice of intention to respond</w:t>
        </w:r>
        <w:r>
          <w:tab/>
        </w:r>
        <w:r>
          <w:fldChar w:fldCharType="begin"/>
        </w:r>
        <w:r>
          <w:instrText xml:space="preserve"> PAGEREF _Toc185513678 \h </w:instrText>
        </w:r>
        <w:r>
          <w:fldChar w:fldCharType="separate"/>
        </w:r>
        <w:r>
          <w:t>39</w:t>
        </w:r>
        <w:r>
          <w:fldChar w:fldCharType="end"/>
        </w:r>
      </w:hyperlink>
    </w:p>
    <w:p w14:paraId="0ABFBF20" w14:textId="159589F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79" w:history="1">
        <w:r w:rsidRPr="00533B68">
          <w:t>107</w:t>
        </w:r>
        <w:r>
          <w:rPr>
            <w:rFonts w:asciiTheme="minorHAnsi" w:eastAsiaTheme="minorEastAsia" w:hAnsiTheme="minorHAnsi" w:cstheme="minorBidi"/>
            <w:kern w:val="2"/>
            <w:sz w:val="24"/>
            <w:szCs w:val="24"/>
            <w:lang w:eastAsia="en-AU"/>
            <w14:ligatures w14:val="standardContextual"/>
          </w:rPr>
          <w:tab/>
        </w:r>
        <w:r w:rsidRPr="00533B68">
          <w:rPr>
            <w:lang w:val="en-US"/>
          </w:rPr>
          <w:t>Notice of intention to respond or defence—several defendants with same solicitor</w:t>
        </w:r>
        <w:r>
          <w:tab/>
        </w:r>
        <w:r>
          <w:fldChar w:fldCharType="begin"/>
        </w:r>
        <w:r>
          <w:instrText xml:space="preserve"> PAGEREF _Toc185513679 \h </w:instrText>
        </w:r>
        <w:r>
          <w:fldChar w:fldCharType="separate"/>
        </w:r>
        <w:r>
          <w:t>41</w:t>
        </w:r>
        <w:r>
          <w:fldChar w:fldCharType="end"/>
        </w:r>
      </w:hyperlink>
    </w:p>
    <w:p w14:paraId="7913DCA1" w14:textId="24DA573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0" w:history="1">
        <w:r w:rsidRPr="00533B68">
          <w:t>108</w:t>
        </w:r>
        <w:r>
          <w:rPr>
            <w:rFonts w:asciiTheme="minorHAnsi" w:eastAsiaTheme="minorEastAsia" w:hAnsiTheme="minorHAnsi" w:cstheme="minorBidi"/>
            <w:kern w:val="2"/>
            <w:sz w:val="24"/>
            <w:szCs w:val="24"/>
            <w:lang w:eastAsia="en-AU"/>
            <w14:ligatures w14:val="standardContextual"/>
          </w:rPr>
          <w:tab/>
        </w:r>
        <w:r w:rsidRPr="00533B68">
          <w:rPr>
            <w:lang w:val="en-US"/>
          </w:rPr>
          <w:t>Notice of intention to respond or defence—person sued under partnership name</w:t>
        </w:r>
        <w:r>
          <w:tab/>
        </w:r>
        <w:r>
          <w:fldChar w:fldCharType="begin"/>
        </w:r>
        <w:r>
          <w:instrText xml:space="preserve"> PAGEREF _Toc185513680 \h </w:instrText>
        </w:r>
        <w:r>
          <w:fldChar w:fldCharType="separate"/>
        </w:r>
        <w:r>
          <w:t>41</w:t>
        </w:r>
        <w:r>
          <w:fldChar w:fldCharType="end"/>
        </w:r>
      </w:hyperlink>
    </w:p>
    <w:p w14:paraId="0A03FA90" w14:textId="674FCED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1" w:history="1">
        <w:r w:rsidRPr="00533B68">
          <w:t>109</w:t>
        </w:r>
        <w:r>
          <w:rPr>
            <w:rFonts w:asciiTheme="minorHAnsi" w:eastAsiaTheme="minorEastAsia" w:hAnsiTheme="minorHAnsi" w:cstheme="minorBidi"/>
            <w:kern w:val="2"/>
            <w:sz w:val="24"/>
            <w:szCs w:val="24"/>
            <w:lang w:eastAsia="en-AU"/>
            <w14:ligatures w14:val="standardContextual"/>
          </w:rPr>
          <w:tab/>
        </w:r>
        <w:r w:rsidRPr="00533B68">
          <w:rPr>
            <w:lang w:val="en-US"/>
          </w:rPr>
          <w:t>Notice of intention to respond or defence—person incorrectly served as partner</w:t>
        </w:r>
        <w:r>
          <w:tab/>
        </w:r>
        <w:r>
          <w:fldChar w:fldCharType="begin"/>
        </w:r>
        <w:r>
          <w:instrText xml:space="preserve"> PAGEREF _Toc185513681 \h </w:instrText>
        </w:r>
        <w:r>
          <w:fldChar w:fldCharType="separate"/>
        </w:r>
        <w:r>
          <w:t>42</w:t>
        </w:r>
        <w:r>
          <w:fldChar w:fldCharType="end"/>
        </w:r>
      </w:hyperlink>
    </w:p>
    <w:p w14:paraId="55B01358" w14:textId="7BBDDD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2" w:history="1">
        <w:r w:rsidRPr="00533B68">
          <w:t>110</w:t>
        </w:r>
        <w:r>
          <w:rPr>
            <w:rFonts w:asciiTheme="minorHAnsi" w:eastAsiaTheme="minorEastAsia" w:hAnsiTheme="minorHAnsi" w:cstheme="minorBidi"/>
            <w:kern w:val="2"/>
            <w:sz w:val="24"/>
            <w:szCs w:val="24"/>
            <w:lang w:eastAsia="en-AU"/>
            <w14:ligatures w14:val="standardContextual"/>
          </w:rPr>
          <w:tab/>
        </w:r>
        <w:r w:rsidRPr="00533B68">
          <w:rPr>
            <w:lang w:val="en-US"/>
          </w:rPr>
          <w:t>Notice of intention to respond or defence—person sued under business name</w:t>
        </w:r>
        <w:r>
          <w:tab/>
        </w:r>
        <w:r>
          <w:fldChar w:fldCharType="begin"/>
        </w:r>
        <w:r>
          <w:instrText xml:space="preserve"> PAGEREF _Toc185513682 \h </w:instrText>
        </w:r>
        <w:r>
          <w:fldChar w:fldCharType="separate"/>
        </w:r>
        <w:r>
          <w:t>43</w:t>
        </w:r>
        <w:r>
          <w:fldChar w:fldCharType="end"/>
        </w:r>
      </w:hyperlink>
    </w:p>
    <w:p w14:paraId="5EE2F72D" w14:textId="3DE74C7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3" w:history="1">
        <w:r w:rsidRPr="00533B68">
          <w:t>111</w:t>
        </w:r>
        <w:r>
          <w:rPr>
            <w:rFonts w:asciiTheme="minorHAnsi" w:eastAsiaTheme="minorEastAsia" w:hAnsiTheme="minorHAnsi" w:cstheme="minorBidi"/>
            <w:kern w:val="2"/>
            <w:sz w:val="24"/>
            <w:szCs w:val="24"/>
            <w:lang w:eastAsia="en-AU"/>
            <w14:ligatures w14:val="standardContextual"/>
          </w:rPr>
          <w:tab/>
        </w:r>
        <w:r w:rsidRPr="00533B68">
          <w:rPr>
            <w:lang w:val="en-US"/>
          </w:rPr>
          <w:t>Conditional notice of intention to respond</w:t>
        </w:r>
        <w:r>
          <w:tab/>
        </w:r>
        <w:r>
          <w:fldChar w:fldCharType="begin"/>
        </w:r>
        <w:r>
          <w:instrText xml:space="preserve"> PAGEREF _Toc185513683 \h </w:instrText>
        </w:r>
        <w:r>
          <w:fldChar w:fldCharType="separate"/>
        </w:r>
        <w:r>
          <w:t>44</w:t>
        </w:r>
        <w:r>
          <w:fldChar w:fldCharType="end"/>
        </w:r>
      </w:hyperlink>
    </w:p>
    <w:p w14:paraId="44315BE1" w14:textId="7F09039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84" w:history="1">
        <w:r w:rsidR="00AC5392" w:rsidRPr="00533B68">
          <w:t>Division 2.3.2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Notice of intention to respond and defence—proceedings in Supreme Court for possession of land</w:t>
        </w:r>
        <w:r w:rsidR="00AC5392" w:rsidRPr="00AC5392">
          <w:rPr>
            <w:vanish/>
          </w:rPr>
          <w:tab/>
        </w:r>
        <w:r w:rsidR="00AC5392" w:rsidRPr="00AC5392">
          <w:rPr>
            <w:vanish/>
          </w:rPr>
          <w:fldChar w:fldCharType="begin"/>
        </w:r>
        <w:r w:rsidR="00AC5392" w:rsidRPr="00AC5392">
          <w:rPr>
            <w:vanish/>
          </w:rPr>
          <w:instrText xml:space="preserve"> PAGEREF _Toc185513684 \h </w:instrText>
        </w:r>
        <w:r w:rsidR="00AC5392" w:rsidRPr="00AC5392">
          <w:rPr>
            <w:vanish/>
          </w:rPr>
        </w:r>
        <w:r w:rsidR="00AC5392" w:rsidRPr="00AC5392">
          <w:rPr>
            <w:vanish/>
          </w:rPr>
          <w:fldChar w:fldCharType="separate"/>
        </w:r>
        <w:r w:rsidR="00AC5392" w:rsidRPr="00AC5392">
          <w:rPr>
            <w:vanish/>
          </w:rPr>
          <w:t>45</w:t>
        </w:r>
        <w:r w:rsidR="00AC5392" w:rsidRPr="00AC5392">
          <w:rPr>
            <w:vanish/>
          </w:rPr>
          <w:fldChar w:fldCharType="end"/>
        </w:r>
      </w:hyperlink>
    </w:p>
    <w:p w14:paraId="349E9B1C" w14:textId="6D6D70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5" w:history="1">
        <w:r w:rsidRPr="00533B68">
          <w:t>150</w:t>
        </w:r>
        <w:r>
          <w:rPr>
            <w:rFonts w:asciiTheme="minorHAnsi" w:eastAsiaTheme="minorEastAsia" w:hAnsiTheme="minorHAnsi" w:cstheme="minorBidi"/>
            <w:kern w:val="2"/>
            <w:sz w:val="24"/>
            <w:szCs w:val="24"/>
            <w:lang w:eastAsia="en-AU"/>
            <w14:ligatures w14:val="standardContextual"/>
          </w:rPr>
          <w:tab/>
        </w:r>
        <w:r w:rsidRPr="00533B68">
          <w:t>Application—div 2.3.2</w:t>
        </w:r>
        <w:r>
          <w:tab/>
        </w:r>
        <w:r>
          <w:fldChar w:fldCharType="begin"/>
        </w:r>
        <w:r>
          <w:instrText xml:space="preserve"> PAGEREF _Toc185513685 \h </w:instrText>
        </w:r>
        <w:r>
          <w:fldChar w:fldCharType="separate"/>
        </w:r>
        <w:r>
          <w:t>45</w:t>
        </w:r>
        <w:r>
          <w:fldChar w:fldCharType="end"/>
        </w:r>
      </w:hyperlink>
    </w:p>
    <w:p w14:paraId="43B148E1" w14:textId="1A8E820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6" w:history="1">
        <w:r w:rsidRPr="00533B68">
          <w:t>151</w:t>
        </w:r>
        <w:r>
          <w:rPr>
            <w:rFonts w:asciiTheme="minorHAnsi" w:eastAsiaTheme="minorEastAsia" w:hAnsiTheme="minorHAnsi" w:cstheme="minorBidi"/>
            <w:kern w:val="2"/>
            <w:sz w:val="24"/>
            <w:szCs w:val="24"/>
            <w:lang w:eastAsia="en-AU"/>
            <w14:ligatures w14:val="standardContextual"/>
          </w:rPr>
          <w:tab/>
        </w:r>
        <w:r w:rsidRPr="00533B68">
          <w:t>Proceeding for possession of land—leave to file defence etc</w:t>
        </w:r>
        <w:r>
          <w:tab/>
        </w:r>
        <w:r>
          <w:fldChar w:fldCharType="begin"/>
        </w:r>
        <w:r>
          <w:instrText xml:space="preserve"> PAGEREF _Toc185513686 \h </w:instrText>
        </w:r>
        <w:r>
          <w:fldChar w:fldCharType="separate"/>
        </w:r>
        <w:r>
          <w:t>45</w:t>
        </w:r>
        <w:r>
          <w:fldChar w:fldCharType="end"/>
        </w:r>
      </w:hyperlink>
    </w:p>
    <w:p w14:paraId="0345B310" w14:textId="681F410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7" w:history="1">
        <w:r w:rsidRPr="00533B68">
          <w:t>152</w:t>
        </w:r>
        <w:r>
          <w:rPr>
            <w:rFonts w:asciiTheme="minorHAnsi" w:eastAsiaTheme="minorEastAsia" w:hAnsiTheme="minorHAnsi" w:cstheme="minorBidi"/>
            <w:kern w:val="2"/>
            <w:sz w:val="24"/>
            <w:szCs w:val="24"/>
            <w:lang w:eastAsia="en-AU"/>
            <w14:ligatures w14:val="standardContextual"/>
          </w:rPr>
          <w:tab/>
        </w:r>
        <w:r w:rsidRPr="00533B68">
          <w:t>Proceeding for possession of land—filing defence etc</w:t>
        </w:r>
        <w:r>
          <w:tab/>
        </w:r>
        <w:r>
          <w:fldChar w:fldCharType="begin"/>
        </w:r>
        <w:r>
          <w:instrText xml:space="preserve"> PAGEREF _Toc185513687 \h </w:instrText>
        </w:r>
        <w:r>
          <w:fldChar w:fldCharType="separate"/>
        </w:r>
        <w:r>
          <w:t>45</w:t>
        </w:r>
        <w:r>
          <w:fldChar w:fldCharType="end"/>
        </w:r>
      </w:hyperlink>
    </w:p>
    <w:p w14:paraId="23F31FB1" w14:textId="120F68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88" w:history="1">
        <w:r w:rsidRPr="00533B68">
          <w:t>153</w:t>
        </w:r>
        <w:r>
          <w:rPr>
            <w:rFonts w:asciiTheme="minorHAnsi" w:eastAsiaTheme="minorEastAsia" w:hAnsiTheme="minorHAnsi" w:cstheme="minorBidi"/>
            <w:kern w:val="2"/>
            <w:sz w:val="24"/>
            <w:szCs w:val="24"/>
            <w:lang w:eastAsia="en-AU"/>
            <w14:ligatures w14:val="standardContextual"/>
          </w:rPr>
          <w:tab/>
        </w:r>
        <w:r w:rsidRPr="00533B68">
          <w:t>Proceeding for possession of land—service of defence etc</w:t>
        </w:r>
        <w:r>
          <w:tab/>
        </w:r>
        <w:r>
          <w:fldChar w:fldCharType="begin"/>
        </w:r>
        <w:r>
          <w:instrText xml:space="preserve"> PAGEREF _Toc185513688 \h </w:instrText>
        </w:r>
        <w:r>
          <w:fldChar w:fldCharType="separate"/>
        </w:r>
        <w:r>
          <w:t>46</w:t>
        </w:r>
        <w:r>
          <w:fldChar w:fldCharType="end"/>
        </w:r>
      </w:hyperlink>
    </w:p>
    <w:p w14:paraId="41138998" w14:textId="07079051"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689" w:history="1">
        <w:r w:rsidR="00AC5392" w:rsidRPr="00533B68">
          <w:t>Part 2.4</w:t>
        </w:r>
        <w:r w:rsidR="00AC5392">
          <w:rPr>
            <w:rFonts w:asciiTheme="minorHAnsi" w:eastAsiaTheme="minorEastAsia" w:hAnsiTheme="minorHAnsi" w:cstheme="minorBidi"/>
            <w:b w:val="0"/>
            <w:kern w:val="2"/>
            <w:szCs w:val="24"/>
            <w:lang w:eastAsia="en-AU"/>
            <w14:ligatures w14:val="standardContextual"/>
          </w:rPr>
          <w:tab/>
        </w:r>
        <w:r w:rsidR="00AC5392" w:rsidRPr="00533B68">
          <w:t>Parties and proceedings</w:t>
        </w:r>
        <w:r w:rsidR="00AC5392" w:rsidRPr="00AC5392">
          <w:rPr>
            <w:vanish/>
          </w:rPr>
          <w:tab/>
        </w:r>
        <w:r w:rsidR="00AC5392" w:rsidRPr="00AC5392">
          <w:rPr>
            <w:vanish/>
          </w:rPr>
          <w:fldChar w:fldCharType="begin"/>
        </w:r>
        <w:r w:rsidR="00AC5392" w:rsidRPr="00AC5392">
          <w:rPr>
            <w:vanish/>
          </w:rPr>
          <w:instrText xml:space="preserve"> PAGEREF _Toc185513689 \h </w:instrText>
        </w:r>
        <w:r w:rsidR="00AC5392" w:rsidRPr="00AC5392">
          <w:rPr>
            <w:vanish/>
          </w:rPr>
        </w:r>
        <w:r w:rsidR="00AC5392" w:rsidRPr="00AC5392">
          <w:rPr>
            <w:vanish/>
          </w:rPr>
          <w:fldChar w:fldCharType="separate"/>
        </w:r>
        <w:r w:rsidR="00AC5392" w:rsidRPr="00AC5392">
          <w:rPr>
            <w:vanish/>
          </w:rPr>
          <w:t>47</w:t>
        </w:r>
        <w:r w:rsidR="00AC5392" w:rsidRPr="00AC5392">
          <w:rPr>
            <w:vanish/>
          </w:rPr>
          <w:fldChar w:fldCharType="end"/>
        </w:r>
      </w:hyperlink>
    </w:p>
    <w:p w14:paraId="259250DB" w14:textId="2B8EEC9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90" w:history="1">
        <w:r w:rsidR="00AC5392" w:rsidRPr="00533B68">
          <w:t>Division 2.4.1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Including causes of action</w:t>
        </w:r>
        <w:r w:rsidR="00AC5392" w:rsidRPr="00AC5392">
          <w:rPr>
            <w:vanish/>
          </w:rPr>
          <w:tab/>
        </w:r>
        <w:r w:rsidR="00AC5392" w:rsidRPr="00AC5392">
          <w:rPr>
            <w:vanish/>
          </w:rPr>
          <w:fldChar w:fldCharType="begin"/>
        </w:r>
        <w:r w:rsidR="00AC5392" w:rsidRPr="00AC5392">
          <w:rPr>
            <w:vanish/>
          </w:rPr>
          <w:instrText xml:space="preserve"> PAGEREF _Toc185513690 \h </w:instrText>
        </w:r>
        <w:r w:rsidR="00AC5392" w:rsidRPr="00AC5392">
          <w:rPr>
            <w:vanish/>
          </w:rPr>
        </w:r>
        <w:r w:rsidR="00AC5392" w:rsidRPr="00AC5392">
          <w:rPr>
            <w:vanish/>
          </w:rPr>
          <w:fldChar w:fldCharType="separate"/>
        </w:r>
        <w:r w:rsidR="00AC5392" w:rsidRPr="00AC5392">
          <w:rPr>
            <w:vanish/>
          </w:rPr>
          <w:t>47</w:t>
        </w:r>
        <w:r w:rsidR="00AC5392" w:rsidRPr="00AC5392">
          <w:rPr>
            <w:vanish/>
          </w:rPr>
          <w:fldChar w:fldCharType="end"/>
        </w:r>
      </w:hyperlink>
    </w:p>
    <w:p w14:paraId="7934A3B8" w14:textId="7437AC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1" w:history="1">
        <w:r w:rsidRPr="00533B68">
          <w:t>200</w:t>
        </w:r>
        <w:r>
          <w:rPr>
            <w:rFonts w:asciiTheme="minorHAnsi" w:eastAsiaTheme="minorEastAsia" w:hAnsiTheme="minorHAnsi" w:cstheme="minorBidi"/>
            <w:kern w:val="2"/>
            <w:sz w:val="24"/>
            <w:szCs w:val="24"/>
            <w:lang w:eastAsia="en-AU"/>
            <w14:ligatures w14:val="standardContextual"/>
          </w:rPr>
          <w:tab/>
        </w:r>
        <w:r w:rsidRPr="00533B68">
          <w:t>Including causes of action</w:t>
        </w:r>
        <w:r>
          <w:tab/>
        </w:r>
        <w:r>
          <w:fldChar w:fldCharType="begin"/>
        </w:r>
        <w:r>
          <w:instrText xml:space="preserve"> PAGEREF _Toc185513691 \h </w:instrText>
        </w:r>
        <w:r>
          <w:fldChar w:fldCharType="separate"/>
        </w:r>
        <w:r>
          <w:t>47</w:t>
        </w:r>
        <w:r>
          <w:fldChar w:fldCharType="end"/>
        </w:r>
      </w:hyperlink>
    </w:p>
    <w:p w14:paraId="7379B297" w14:textId="16D405E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2" w:history="1">
        <w:r w:rsidRPr="00533B68">
          <w:t>201</w:t>
        </w:r>
        <w:r>
          <w:rPr>
            <w:rFonts w:asciiTheme="minorHAnsi" w:eastAsiaTheme="minorEastAsia" w:hAnsiTheme="minorHAnsi" w:cstheme="minorBidi"/>
            <w:kern w:val="2"/>
            <w:sz w:val="24"/>
            <w:szCs w:val="24"/>
            <w:lang w:eastAsia="en-AU"/>
            <w14:ligatures w14:val="standardContextual"/>
          </w:rPr>
          <w:tab/>
        </w:r>
        <w:r w:rsidRPr="00533B68">
          <w:t>Joint and separate claims</w:t>
        </w:r>
        <w:r>
          <w:tab/>
        </w:r>
        <w:r>
          <w:fldChar w:fldCharType="begin"/>
        </w:r>
        <w:r>
          <w:instrText xml:space="preserve"> PAGEREF _Toc185513692 \h </w:instrText>
        </w:r>
        <w:r>
          <w:fldChar w:fldCharType="separate"/>
        </w:r>
        <w:r>
          <w:t>47</w:t>
        </w:r>
        <w:r>
          <w:fldChar w:fldCharType="end"/>
        </w:r>
      </w:hyperlink>
    </w:p>
    <w:p w14:paraId="1EC548AA" w14:textId="5EF3F9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3" w:history="1">
        <w:r w:rsidRPr="00533B68">
          <w:t>202</w:t>
        </w:r>
        <w:r>
          <w:rPr>
            <w:rFonts w:asciiTheme="minorHAnsi" w:eastAsiaTheme="minorEastAsia" w:hAnsiTheme="minorHAnsi" w:cstheme="minorBidi"/>
            <w:kern w:val="2"/>
            <w:sz w:val="24"/>
            <w:szCs w:val="24"/>
            <w:lang w:eastAsia="en-AU"/>
            <w14:ligatures w14:val="standardContextual"/>
          </w:rPr>
          <w:tab/>
        </w:r>
        <w:r w:rsidRPr="00533B68">
          <w:t>Including causes of action inconveniently etc</w:t>
        </w:r>
        <w:r>
          <w:tab/>
        </w:r>
        <w:r>
          <w:fldChar w:fldCharType="begin"/>
        </w:r>
        <w:r>
          <w:instrText xml:space="preserve"> PAGEREF _Toc185513693 \h </w:instrText>
        </w:r>
        <w:r>
          <w:fldChar w:fldCharType="separate"/>
        </w:r>
        <w:r>
          <w:t>47</w:t>
        </w:r>
        <w:r>
          <w:fldChar w:fldCharType="end"/>
        </w:r>
      </w:hyperlink>
    </w:p>
    <w:p w14:paraId="11815456" w14:textId="63AFE20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694" w:history="1">
        <w:r w:rsidR="00AC5392" w:rsidRPr="00533B68">
          <w:t>Division 2.4.2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Including and substituting parties</w:t>
        </w:r>
        <w:r w:rsidR="00AC5392" w:rsidRPr="00AC5392">
          <w:rPr>
            <w:vanish/>
          </w:rPr>
          <w:tab/>
        </w:r>
        <w:r w:rsidR="00AC5392" w:rsidRPr="00AC5392">
          <w:rPr>
            <w:vanish/>
          </w:rPr>
          <w:fldChar w:fldCharType="begin"/>
        </w:r>
        <w:r w:rsidR="00AC5392" w:rsidRPr="00AC5392">
          <w:rPr>
            <w:vanish/>
          </w:rPr>
          <w:instrText xml:space="preserve"> PAGEREF _Toc185513694 \h </w:instrText>
        </w:r>
        <w:r w:rsidR="00AC5392" w:rsidRPr="00AC5392">
          <w:rPr>
            <w:vanish/>
          </w:rPr>
        </w:r>
        <w:r w:rsidR="00AC5392" w:rsidRPr="00AC5392">
          <w:rPr>
            <w:vanish/>
          </w:rPr>
          <w:fldChar w:fldCharType="separate"/>
        </w:r>
        <w:r w:rsidR="00AC5392" w:rsidRPr="00AC5392">
          <w:rPr>
            <w:vanish/>
          </w:rPr>
          <w:t>48</w:t>
        </w:r>
        <w:r w:rsidR="00AC5392" w:rsidRPr="00AC5392">
          <w:rPr>
            <w:vanish/>
          </w:rPr>
          <w:fldChar w:fldCharType="end"/>
        </w:r>
      </w:hyperlink>
    </w:p>
    <w:p w14:paraId="298D3206" w14:textId="50BADA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5" w:history="1">
        <w:r w:rsidRPr="00533B68">
          <w:t>210</w:t>
        </w:r>
        <w:r>
          <w:rPr>
            <w:rFonts w:asciiTheme="minorHAnsi" w:eastAsiaTheme="minorEastAsia" w:hAnsiTheme="minorHAnsi" w:cstheme="minorBidi"/>
            <w:kern w:val="2"/>
            <w:sz w:val="24"/>
            <w:szCs w:val="24"/>
            <w:lang w:eastAsia="en-AU"/>
            <w14:ligatures w14:val="standardContextual"/>
          </w:rPr>
          <w:tab/>
        </w:r>
        <w:r w:rsidRPr="00533B68">
          <w:t>Necessary parties</w:t>
        </w:r>
        <w:r>
          <w:tab/>
        </w:r>
        <w:r>
          <w:fldChar w:fldCharType="begin"/>
        </w:r>
        <w:r>
          <w:instrText xml:space="preserve"> PAGEREF _Toc185513695 \h </w:instrText>
        </w:r>
        <w:r>
          <w:fldChar w:fldCharType="separate"/>
        </w:r>
        <w:r>
          <w:t>48</w:t>
        </w:r>
        <w:r>
          <w:fldChar w:fldCharType="end"/>
        </w:r>
      </w:hyperlink>
    </w:p>
    <w:p w14:paraId="28C4CE4C" w14:textId="2B6E15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6" w:history="1">
        <w:r w:rsidRPr="00533B68">
          <w:t>211</w:t>
        </w:r>
        <w:r>
          <w:rPr>
            <w:rFonts w:asciiTheme="minorHAnsi" w:eastAsiaTheme="minorEastAsia" w:hAnsiTheme="minorHAnsi" w:cstheme="minorBidi"/>
            <w:kern w:val="2"/>
            <w:sz w:val="24"/>
            <w:szCs w:val="24"/>
            <w:lang w:eastAsia="en-AU"/>
            <w14:ligatures w14:val="standardContextual"/>
          </w:rPr>
          <w:tab/>
        </w:r>
        <w:r w:rsidRPr="00533B68">
          <w:t>Including parties—common issues of law or fact</w:t>
        </w:r>
        <w:r>
          <w:tab/>
        </w:r>
        <w:r>
          <w:fldChar w:fldCharType="begin"/>
        </w:r>
        <w:r>
          <w:instrText xml:space="preserve"> PAGEREF _Toc185513696 \h </w:instrText>
        </w:r>
        <w:r>
          <w:fldChar w:fldCharType="separate"/>
        </w:r>
        <w:r>
          <w:t>48</w:t>
        </w:r>
        <w:r>
          <w:fldChar w:fldCharType="end"/>
        </w:r>
      </w:hyperlink>
    </w:p>
    <w:p w14:paraId="212B0357" w14:textId="392E95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7" w:history="1">
        <w:r w:rsidRPr="00533B68">
          <w:t>212</w:t>
        </w:r>
        <w:r>
          <w:rPr>
            <w:rFonts w:asciiTheme="minorHAnsi" w:eastAsiaTheme="minorEastAsia" w:hAnsiTheme="minorHAnsi" w:cstheme="minorBidi"/>
            <w:kern w:val="2"/>
            <w:sz w:val="24"/>
            <w:szCs w:val="24"/>
            <w:lang w:eastAsia="en-AU"/>
            <w14:ligatures w14:val="standardContextual"/>
          </w:rPr>
          <w:tab/>
        </w:r>
        <w:r w:rsidRPr="00533B68">
          <w:t>Including parties—defendants may be sued jointly, severally, or in alternative</w:t>
        </w:r>
        <w:r>
          <w:tab/>
        </w:r>
        <w:r>
          <w:fldChar w:fldCharType="begin"/>
        </w:r>
        <w:r>
          <w:instrText xml:space="preserve"> PAGEREF _Toc185513697 \h </w:instrText>
        </w:r>
        <w:r>
          <w:fldChar w:fldCharType="separate"/>
        </w:r>
        <w:r>
          <w:t>49</w:t>
        </w:r>
        <w:r>
          <w:fldChar w:fldCharType="end"/>
        </w:r>
      </w:hyperlink>
    </w:p>
    <w:p w14:paraId="0A2BF042" w14:textId="4B3A31E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8" w:history="1">
        <w:r w:rsidRPr="00533B68">
          <w:t>213</w:t>
        </w:r>
        <w:r>
          <w:rPr>
            <w:rFonts w:asciiTheme="minorHAnsi" w:eastAsiaTheme="minorEastAsia" w:hAnsiTheme="minorHAnsi" w:cstheme="minorBidi"/>
            <w:kern w:val="2"/>
            <w:sz w:val="24"/>
            <w:szCs w:val="24"/>
            <w:lang w:eastAsia="en-AU"/>
            <w14:ligatures w14:val="standardContextual"/>
          </w:rPr>
          <w:tab/>
        </w:r>
        <w:r w:rsidRPr="00533B68">
          <w:t>Including parties—joint entitlement</w:t>
        </w:r>
        <w:r>
          <w:tab/>
        </w:r>
        <w:r>
          <w:fldChar w:fldCharType="begin"/>
        </w:r>
        <w:r>
          <w:instrText xml:space="preserve"> PAGEREF _Toc185513698 \h </w:instrText>
        </w:r>
        <w:r>
          <w:fldChar w:fldCharType="separate"/>
        </w:r>
        <w:r>
          <w:t>49</w:t>
        </w:r>
        <w:r>
          <w:fldChar w:fldCharType="end"/>
        </w:r>
      </w:hyperlink>
    </w:p>
    <w:p w14:paraId="52ACCAAC" w14:textId="129993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699" w:history="1">
        <w:r w:rsidRPr="00533B68">
          <w:t>214</w:t>
        </w:r>
        <w:r>
          <w:rPr>
            <w:rFonts w:asciiTheme="minorHAnsi" w:eastAsiaTheme="minorEastAsia" w:hAnsiTheme="minorHAnsi" w:cstheme="minorBidi"/>
            <w:kern w:val="2"/>
            <w:sz w:val="24"/>
            <w:szCs w:val="24"/>
            <w:lang w:eastAsia="en-AU"/>
            <w14:ligatures w14:val="standardContextual"/>
          </w:rPr>
          <w:tab/>
        </w:r>
        <w:r w:rsidRPr="00533B68">
          <w:t>Including parties—joint or several liability</w:t>
        </w:r>
        <w:r>
          <w:tab/>
        </w:r>
        <w:r>
          <w:fldChar w:fldCharType="begin"/>
        </w:r>
        <w:r>
          <w:instrText xml:space="preserve"> PAGEREF _Toc185513699 \h </w:instrText>
        </w:r>
        <w:r>
          <w:fldChar w:fldCharType="separate"/>
        </w:r>
        <w:r>
          <w:t>50</w:t>
        </w:r>
        <w:r>
          <w:fldChar w:fldCharType="end"/>
        </w:r>
      </w:hyperlink>
    </w:p>
    <w:p w14:paraId="49E81940" w14:textId="28C82FB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0" w:history="1">
        <w:r w:rsidRPr="00533B68">
          <w:t>215</w:t>
        </w:r>
        <w:r>
          <w:rPr>
            <w:rFonts w:asciiTheme="minorHAnsi" w:eastAsiaTheme="minorEastAsia" w:hAnsiTheme="minorHAnsi" w:cstheme="minorBidi"/>
            <w:kern w:val="2"/>
            <w:sz w:val="24"/>
            <w:szCs w:val="24"/>
            <w:lang w:eastAsia="en-AU"/>
            <w14:ligatures w14:val="standardContextual"/>
          </w:rPr>
          <w:tab/>
        </w:r>
        <w:r w:rsidRPr="00533B68">
          <w:t>Including parties—plaintiff in doubt about defendant etc</w:t>
        </w:r>
        <w:r>
          <w:tab/>
        </w:r>
        <w:r>
          <w:fldChar w:fldCharType="begin"/>
        </w:r>
        <w:r>
          <w:instrText xml:space="preserve"> PAGEREF _Toc185513700 \h </w:instrText>
        </w:r>
        <w:r>
          <w:fldChar w:fldCharType="separate"/>
        </w:r>
        <w:r>
          <w:t>50</w:t>
        </w:r>
        <w:r>
          <w:fldChar w:fldCharType="end"/>
        </w:r>
      </w:hyperlink>
    </w:p>
    <w:p w14:paraId="681D9440" w14:textId="22DB25D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1" w:history="1">
        <w:r w:rsidRPr="00533B68">
          <w:t>216</w:t>
        </w:r>
        <w:r>
          <w:rPr>
            <w:rFonts w:asciiTheme="minorHAnsi" w:eastAsiaTheme="minorEastAsia" w:hAnsiTheme="minorHAnsi" w:cstheme="minorBidi"/>
            <w:kern w:val="2"/>
            <w:sz w:val="24"/>
            <w:szCs w:val="24"/>
            <w:lang w:eastAsia="en-AU"/>
            <w14:ligatures w14:val="standardContextual"/>
          </w:rPr>
          <w:tab/>
        </w:r>
        <w:r w:rsidRPr="00533B68">
          <w:t>Including defendants—identical interest in relief unnecessary</w:t>
        </w:r>
        <w:r>
          <w:tab/>
        </w:r>
        <w:r>
          <w:fldChar w:fldCharType="begin"/>
        </w:r>
        <w:r>
          <w:instrText xml:space="preserve"> PAGEREF _Toc185513701 \h </w:instrText>
        </w:r>
        <w:r>
          <w:fldChar w:fldCharType="separate"/>
        </w:r>
        <w:r>
          <w:t>51</w:t>
        </w:r>
        <w:r>
          <w:fldChar w:fldCharType="end"/>
        </w:r>
      </w:hyperlink>
    </w:p>
    <w:p w14:paraId="51CD3995" w14:textId="4C47A9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2" w:history="1">
        <w:r w:rsidRPr="00533B68">
          <w:t>217</w:t>
        </w:r>
        <w:r>
          <w:rPr>
            <w:rFonts w:asciiTheme="minorHAnsi" w:eastAsiaTheme="minorEastAsia" w:hAnsiTheme="minorHAnsi" w:cstheme="minorBidi"/>
            <w:kern w:val="2"/>
            <w:sz w:val="24"/>
            <w:szCs w:val="24"/>
            <w:lang w:eastAsia="en-AU"/>
            <w14:ligatures w14:val="standardContextual"/>
          </w:rPr>
          <w:tab/>
        </w:r>
        <w:r w:rsidRPr="00533B68">
          <w:t>Including parties inconveniently etc</w:t>
        </w:r>
        <w:r>
          <w:tab/>
        </w:r>
        <w:r>
          <w:fldChar w:fldCharType="begin"/>
        </w:r>
        <w:r>
          <w:instrText xml:space="preserve"> PAGEREF _Toc185513702 \h </w:instrText>
        </w:r>
        <w:r>
          <w:fldChar w:fldCharType="separate"/>
        </w:r>
        <w:r>
          <w:t>51</w:t>
        </w:r>
        <w:r>
          <w:fldChar w:fldCharType="end"/>
        </w:r>
      </w:hyperlink>
    </w:p>
    <w:p w14:paraId="4926FD44" w14:textId="74370D5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3" w:history="1">
        <w:r w:rsidRPr="00533B68">
          <w:t>218</w:t>
        </w:r>
        <w:r>
          <w:rPr>
            <w:rFonts w:asciiTheme="minorHAnsi" w:eastAsiaTheme="minorEastAsia" w:hAnsiTheme="minorHAnsi" w:cstheme="minorBidi"/>
            <w:kern w:val="2"/>
            <w:sz w:val="24"/>
            <w:szCs w:val="24"/>
            <w:lang w:eastAsia="en-AU"/>
            <w14:ligatures w14:val="standardContextual"/>
          </w:rPr>
          <w:tab/>
        </w:r>
        <w:r w:rsidRPr="00533B68">
          <w:t>Including parties—parties incorrectly included or not included</w:t>
        </w:r>
        <w:r>
          <w:tab/>
        </w:r>
        <w:r>
          <w:fldChar w:fldCharType="begin"/>
        </w:r>
        <w:r>
          <w:instrText xml:space="preserve"> PAGEREF _Toc185513703 \h </w:instrText>
        </w:r>
        <w:r>
          <w:fldChar w:fldCharType="separate"/>
        </w:r>
        <w:r>
          <w:t>52</w:t>
        </w:r>
        <w:r>
          <w:fldChar w:fldCharType="end"/>
        </w:r>
      </w:hyperlink>
    </w:p>
    <w:p w14:paraId="77CF085E" w14:textId="7F08CEE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4" w:history="1">
        <w:r w:rsidRPr="00533B68">
          <w:t>219</w:t>
        </w:r>
        <w:r>
          <w:rPr>
            <w:rFonts w:asciiTheme="minorHAnsi" w:eastAsiaTheme="minorEastAsia" w:hAnsiTheme="minorHAnsi" w:cstheme="minorBidi"/>
            <w:kern w:val="2"/>
            <w:sz w:val="24"/>
            <w:szCs w:val="24"/>
            <w:lang w:eastAsia="en-AU"/>
            <w14:ligatures w14:val="standardContextual"/>
          </w:rPr>
          <w:tab/>
        </w:r>
        <w:r w:rsidRPr="00533B68">
          <w:t>Counterclaim or set-off when co-plaintiff wrongly included</w:t>
        </w:r>
        <w:r>
          <w:tab/>
        </w:r>
        <w:r>
          <w:fldChar w:fldCharType="begin"/>
        </w:r>
        <w:r>
          <w:instrText xml:space="preserve"> PAGEREF _Toc185513704 \h </w:instrText>
        </w:r>
        <w:r>
          <w:fldChar w:fldCharType="separate"/>
        </w:r>
        <w:r>
          <w:t>52</w:t>
        </w:r>
        <w:r>
          <w:fldChar w:fldCharType="end"/>
        </w:r>
      </w:hyperlink>
    </w:p>
    <w:p w14:paraId="5C810937" w14:textId="0FF6423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5" w:history="1">
        <w:r w:rsidRPr="00533B68">
          <w:t>220</w:t>
        </w:r>
        <w:r>
          <w:rPr>
            <w:rFonts w:asciiTheme="minorHAnsi" w:eastAsiaTheme="minorEastAsia" w:hAnsiTheme="minorHAnsi" w:cstheme="minorBidi"/>
            <w:kern w:val="2"/>
            <w:sz w:val="24"/>
            <w:szCs w:val="24"/>
            <w:lang w:eastAsia="en-AU"/>
            <w14:ligatures w14:val="standardContextual"/>
          </w:rPr>
          <w:tab/>
        </w:r>
        <w:r w:rsidRPr="00533B68">
          <w:t>Court may include party if appropriate or necessary</w:t>
        </w:r>
        <w:r>
          <w:tab/>
        </w:r>
        <w:r>
          <w:fldChar w:fldCharType="begin"/>
        </w:r>
        <w:r>
          <w:instrText xml:space="preserve"> PAGEREF _Toc185513705 \h </w:instrText>
        </w:r>
        <w:r>
          <w:fldChar w:fldCharType="separate"/>
        </w:r>
        <w:r>
          <w:t>52</w:t>
        </w:r>
        <w:r>
          <w:fldChar w:fldCharType="end"/>
        </w:r>
      </w:hyperlink>
    </w:p>
    <w:p w14:paraId="5D4B619D" w14:textId="755731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6" w:history="1">
        <w:r w:rsidRPr="00533B68">
          <w:t>221</w:t>
        </w:r>
        <w:r>
          <w:rPr>
            <w:rFonts w:asciiTheme="minorHAnsi" w:eastAsiaTheme="minorEastAsia" w:hAnsiTheme="minorHAnsi" w:cstheme="minorBidi"/>
            <w:kern w:val="2"/>
            <w:sz w:val="24"/>
            <w:szCs w:val="24"/>
            <w:lang w:eastAsia="en-AU"/>
            <w14:ligatures w14:val="standardContextual"/>
          </w:rPr>
          <w:tab/>
        </w:r>
        <w:r w:rsidRPr="00533B68">
          <w:t>Plaintiffs may be included or substituted</w:t>
        </w:r>
        <w:r>
          <w:tab/>
        </w:r>
        <w:r>
          <w:fldChar w:fldCharType="begin"/>
        </w:r>
        <w:r>
          <w:instrText xml:space="preserve"> PAGEREF _Toc185513706 \h </w:instrText>
        </w:r>
        <w:r>
          <w:fldChar w:fldCharType="separate"/>
        </w:r>
        <w:r>
          <w:t>53</w:t>
        </w:r>
        <w:r>
          <w:fldChar w:fldCharType="end"/>
        </w:r>
      </w:hyperlink>
    </w:p>
    <w:p w14:paraId="2FECADAF" w14:textId="2D0500E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7" w:history="1">
        <w:r w:rsidRPr="00533B68">
          <w:t>222</w:t>
        </w:r>
        <w:r>
          <w:rPr>
            <w:rFonts w:asciiTheme="minorHAnsi" w:eastAsiaTheme="minorEastAsia" w:hAnsiTheme="minorHAnsi" w:cstheme="minorBidi"/>
            <w:kern w:val="2"/>
            <w:sz w:val="24"/>
            <w:szCs w:val="24"/>
            <w:lang w:eastAsia="en-AU"/>
            <w14:ligatures w14:val="standardContextual"/>
          </w:rPr>
          <w:tab/>
        </w:r>
        <w:r w:rsidRPr="00533B68">
          <w:t>Inclusion or substitution as plaintiff requires agreement</w:t>
        </w:r>
        <w:r>
          <w:tab/>
        </w:r>
        <w:r>
          <w:fldChar w:fldCharType="begin"/>
        </w:r>
        <w:r>
          <w:instrText xml:space="preserve"> PAGEREF _Toc185513707 \h </w:instrText>
        </w:r>
        <w:r>
          <w:fldChar w:fldCharType="separate"/>
        </w:r>
        <w:r>
          <w:t>53</w:t>
        </w:r>
        <w:r>
          <w:fldChar w:fldCharType="end"/>
        </w:r>
      </w:hyperlink>
    </w:p>
    <w:p w14:paraId="25CFF0C3" w14:textId="34007B0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8" w:history="1">
        <w:r w:rsidRPr="00533B68">
          <w:t>223</w:t>
        </w:r>
        <w:r>
          <w:rPr>
            <w:rFonts w:asciiTheme="minorHAnsi" w:eastAsiaTheme="minorEastAsia" w:hAnsiTheme="minorHAnsi" w:cstheme="minorBidi"/>
            <w:kern w:val="2"/>
            <w:sz w:val="24"/>
            <w:szCs w:val="24"/>
            <w:lang w:eastAsia="en-AU"/>
            <w14:ligatures w14:val="standardContextual"/>
          </w:rPr>
          <w:tab/>
        </w:r>
        <w:r w:rsidRPr="00533B68">
          <w:t>Including parties—procedure</w:t>
        </w:r>
        <w:r>
          <w:tab/>
        </w:r>
        <w:r>
          <w:fldChar w:fldCharType="begin"/>
        </w:r>
        <w:r>
          <w:instrText xml:space="preserve"> PAGEREF _Toc185513708 \h </w:instrText>
        </w:r>
        <w:r>
          <w:fldChar w:fldCharType="separate"/>
        </w:r>
        <w:r>
          <w:t>54</w:t>
        </w:r>
        <w:r>
          <w:fldChar w:fldCharType="end"/>
        </w:r>
      </w:hyperlink>
    </w:p>
    <w:p w14:paraId="355428AE" w14:textId="117D997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09" w:history="1">
        <w:r w:rsidRPr="00533B68">
          <w:t>224</w:t>
        </w:r>
        <w:r>
          <w:rPr>
            <w:rFonts w:asciiTheme="minorHAnsi" w:eastAsiaTheme="minorEastAsia" w:hAnsiTheme="minorHAnsi" w:cstheme="minorBidi"/>
            <w:kern w:val="2"/>
            <w:sz w:val="24"/>
            <w:szCs w:val="24"/>
            <w:lang w:eastAsia="en-AU"/>
            <w14:ligatures w14:val="standardContextual"/>
          </w:rPr>
          <w:tab/>
        </w:r>
        <w:r w:rsidRPr="00533B68">
          <w:t>Including parties—inclusion to recover costs</w:t>
        </w:r>
        <w:r>
          <w:tab/>
        </w:r>
        <w:r>
          <w:fldChar w:fldCharType="begin"/>
        </w:r>
        <w:r>
          <w:instrText xml:space="preserve"> PAGEREF _Toc185513709 \h </w:instrText>
        </w:r>
        <w:r>
          <w:fldChar w:fldCharType="separate"/>
        </w:r>
        <w:r>
          <w:t>54</w:t>
        </w:r>
        <w:r>
          <w:fldChar w:fldCharType="end"/>
        </w:r>
      </w:hyperlink>
    </w:p>
    <w:p w14:paraId="78A96BC1" w14:textId="55D49C6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10" w:history="1">
        <w:r w:rsidR="00AC5392" w:rsidRPr="00533B68">
          <w:t>Division 2.4.3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Changing parties</w:t>
        </w:r>
        <w:r w:rsidR="00AC5392" w:rsidRPr="00AC5392">
          <w:rPr>
            <w:vanish/>
          </w:rPr>
          <w:tab/>
        </w:r>
        <w:r w:rsidR="00AC5392" w:rsidRPr="00AC5392">
          <w:rPr>
            <w:vanish/>
          </w:rPr>
          <w:fldChar w:fldCharType="begin"/>
        </w:r>
        <w:r w:rsidR="00AC5392" w:rsidRPr="00AC5392">
          <w:rPr>
            <w:vanish/>
          </w:rPr>
          <w:instrText xml:space="preserve"> PAGEREF _Toc185513710 \h </w:instrText>
        </w:r>
        <w:r w:rsidR="00AC5392" w:rsidRPr="00AC5392">
          <w:rPr>
            <w:vanish/>
          </w:rPr>
        </w:r>
        <w:r w:rsidR="00AC5392" w:rsidRPr="00AC5392">
          <w:rPr>
            <w:vanish/>
          </w:rPr>
          <w:fldChar w:fldCharType="separate"/>
        </w:r>
        <w:r w:rsidR="00AC5392" w:rsidRPr="00AC5392">
          <w:rPr>
            <w:vanish/>
          </w:rPr>
          <w:t>54</w:t>
        </w:r>
        <w:r w:rsidR="00AC5392" w:rsidRPr="00AC5392">
          <w:rPr>
            <w:vanish/>
          </w:rPr>
          <w:fldChar w:fldCharType="end"/>
        </w:r>
      </w:hyperlink>
    </w:p>
    <w:p w14:paraId="1697D56F" w14:textId="1A75016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11" w:history="1">
        <w:r w:rsidRPr="00533B68">
          <w:t>230</w:t>
        </w:r>
        <w:r>
          <w:rPr>
            <w:rFonts w:asciiTheme="minorHAnsi" w:eastAsiaTheme="minorEastAsia" w:hAnsiTheme="minorHAnsi" w:cstheme="minorBidi"/>
            <w:kern w:val="2"/>
            <w:sz w:val="24"/>
            <w:szCs w:val="24"/>
            <w:lang w:eastAsia="en-AU"/>
            <w14:ligatures w14:val="standardContextual"/>
          </w:rPr>
          <w:tab/>
        </w:r>
        <w:r w:rsidRPr="00533B68">
          <w:t>Removing parties</w:t>
        </w:r>
        <w:r>
          <w:tab/>
        </w:r>
        <w:r>
          <w:fldChar w:fldCharType="begin"/>
        </w:r>
        <w:r>
          <w:instrText xml:space="preserve"> PAGEREF _Toc185513711 \h </w:instrText>
        </w:r>
        <w:r>
          <w:fldChar w:fldCharType="separate"/>
        </w:r>
        <w:r>
          <w:t>54</w:t>
        </w:r>
        <w:r>
          <w:fldChar w:fldCharType="end"/>
        </w:r>
      </w:hyperlink>
    </w:p>
    <w:p w14:paraId="59E3C2CA" w14:textId="15C2EB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12" w:history="1">
        <w:r w:rsidRPr="00533B68">
          <w:t>231</w:t>
        </w:r>
        <w:r>
          <w:rPr>
            <w:rFonts w:asciiTheme="minorHAnsi" w:eastAsiaTheme="minorEastAsia" w:hAnsiTheme="minorHAnsi" w:cstheme="minorBidi"/>
            <w:kern w:val="2"/>
            <w:sz w:val="24"/>
            <w:szCs w:val="24"/>
            <w:lang w:eastAsia="en-AU"/>
            <w14:ligatures w14:val="standardContextual"/>
          </w:rPr>
          <w:tab/>
        </w:r>
        <w:r w:rsidRPr="00533B68">
          <w:t>Party becomes bankrupt, dies or becomes person with mental disability</w:t>
        </w:r>
        <w:r>
          <w:tab/>
        </w:r>
        <w:r>
          <w:fldChar w:fldCharType="begin"/>
        </w:r>
        <w:r>
          <w:instrText xml:space="preserve"> PAGEREF _Toc185513712 \h </w:instrText>
        </w:r>
        <w:r>
          <w:fldChar w:fldCharType="separate"/>
        </w:r>
        <w:r>
          <w:t>55</w:t>
        </w:r>
        <w:r>
          <w:fldChar w:fldCharType="end"/>
        </w:r>
      </w:hyperlink>
    </w:p>
    <w:p w14:paraId="11B49375" w14:textId="71CA26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13" w:history="1">
        <w:r w:rsidRPr="00533B68">
          <w:t>232</w:t>
        </w:r>
        <w:r>
          <w:rPr>
            <w:rFonts w:asciiTheme="minorHAnsi" w:eastAsiaTheme="minorEastAsia" w:hAnsiTheme="minorHAnsi" w:cstheme="minorBidi"/>
            <w:kern w:val="2"/>
            <w:sz w:val="24"/>
            <w:szCs w:val="24"/>
            <w:lang w:eastAsia="en-AU"/>
            <w14:ligatures w14:val="standardContextual"/>
          </w:rPr>
          <w:tab/>
        </w:r>
        <w:r w:rsidRPr="00533B68">
          <w:t>Amending or setting aside order for new party made on death etc of party</w:t>
        </w:r>
        <w:r>
          <w:tab/>
        </w:r>
        <w:r>
          <w:fldChar w:fldCharType="begin"/>
        </w:r>
        <w:r>
          <w:instrText xml:space="preserve"> PAGEREF _Toc185513713 \h </w:instrText>
        </w:r>
        <w:r>
          <w:fldChar w:fldCharType="separate"/>
        </w:r>
        <w:r>
          <w:t>57</w:t>
        </w:r>
        <w:r>
          <w:fldChar w:fldCharType="end"/>
        </w:r>
      </w:hyperlink>
    </w:p>
    <w:p w14:paraId="57899B56" w14:textId="732CCB7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14" w:history="1">
        <w:r w:rsidRPr="00533B68">
          <w:t>233</w:t>
        </w:r>
        <w:r>
          <w:rPr>
            <w:rFonts w:asciiTheme="minorHAnsi" w:eastAsiaTheme="minorEastAsia" w:hAnsiTheme="minorHAnsi" w:cstheme="minorBidi"/>
            <w:kern w:val="2"/>
            <w:sz w:val="24"/>
            <w:szCs w:val="24"/>
            <w:lang w:eastAsia="en-AU"/>
            <w14:ligatures w14:val="standardContextual"/>
          </w:rPr>
          <w:tab/>
        </w:r>
        <w:r w:rsidRPr="00533B68">
          <w:t>Failure to proceed after death of party</w:t>
        </w:r>
        <w:r>
          <w:tab/>
        </w:r>
        <w:r>
          <w:fldChar w:fldCharType="begin"/>
        </w:r>
        <w:r>
          <w:instrText xml:space="preserve"> PAGEREF _Toc185513714 \h </w:instrText>
        </w:r>
        <w:r>
          <w:fldChar w:fldCharType="separate"/>
        </w:r>
        <w:r>
          <w:t>57</w:t>
        </w:r>
        <w:r>
          <w:fldChar w:fldCharType="end"/>
        </w:r>
      </w:hyperlink>
    </w:p>
    <w:p w14:paraId="5519160C" w14:textId="78E86A1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15" w:history="1">
        <w:r w:rsidR="00AC5392" w:rsidRPr="00533B68">
          <w:t>Division 2.4.4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Included or changed parties—future conduct of proceedings</w:t>
        </w:r>
        <w:r w:rsidR="00AC5392" w:rsidRPr="00AC5392">
          <w:rPr>
            <w:vanish/>
          </w:rPr>
          <w:tab/>
        </w:r>
        <w:r w:rsidR="00AC5392" w:rsidRPr="00AC5392">
          <w:rPr>
            <w:vanish/>
          </w:rPr>
          <w:fldChar w:fldCharType="begin"/>
        </w:r>
        <w:r w:rsidR="00AC5392" w:rsidRPr="00AC5392">
          <w:rPr>
            <w:vanish/>
          </w:rPr>
          <w:instrText xml:space="preserve"> PAGEREF _Toc185513715 \h </w:instrText>
        </w:r>
        <w:r w:rsidR="00AC5392" w:rsidRPr="00AC5392">
          <w:rPr>
            <w:vanish/>
          </w:rPr>
        </w:r>
        <w:r w:rsidR="00AC5392" w:rsidRPr="00AC5392">
          <w:rPr>
            <w:vanish/>
          </w:rPr>
          <w:fldChar w:fldCharType="separate"/>
        </w:r>
        <w:r w:rsidR="00AC5392" w:rsidRPr="00AC5392">
          <w:rPr>
            <w:vanish/>
          </w:rPr>
          <w:t>58</w:t>
        </w:r>
        <w:r w:rsidR="00AC5392" w:rsidRPr="00AC5392">
          <w:rPr>
            <w:vanish/>
          </w:rPr>
          <w:fldChar w:fldCharType="end"/>
        </w:r>
      </w:hyperlink>
    </w:p>
    <w:p w14:paraId="3E6FA21A" w14:textId="1887612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16" w:history="1">
        <w:r w:rsidRPr="00533B68">
          <w:t>240</w:t>
        </w:r>
        <w:r>
          <w:rPr>
            <w:rFonts w:asciiTheme="minorHAnsi" w:eastAsiaTheme="minorEastAsia" w:hAnsiTheme="minorHAnsi" w:cstheme="minorBidi"/>
            <w:kern w:val="2"/>
            <w:sz w:val="24"/>
            <w:szCs w:val="24"/>
            <w:lang w:eastAsia="en-AU"/>
            <w14:ligatures w14:val="standardContextual"/>
          </w:rPr>
          <w:tab/>
        </w:r>
        <w:r w:rsidRPr="00533B68">
          <w:t>Application—div 2.4.4</w:t>
        </w:r>
        <w:r>
          <w:tab/>
        </w:r>
        <w:r>
          <w:fldChar w:fldCharType="begin"/>
        </w:r>
        <w:r>
          <w:instrText xml:space="preserve"> PAGEREF _Toc185513716 \h </w:instrText>
        </w:r>
        <w:r>
          <w:fldChar w:fldCharType="separate"/>
        </w:r>
        <w:r>
          <w:t>58</w:t>
        </w:r>
        <w:r>
          <w:fldChar w:fldCharType="end"/>
        </w:r>
      </w:hyperlink>
    </w:p>
    <w:p w14:paraId="5BAA8DD2" w14:textId="1CA656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17" w:history="1">
        <w:r w:rsidRPr="00533B68">
          <w:t>241</w:t>
        </w:r>
        <w:r>
          <w:rPr>
            <w:rFonts w:asciiTheme="minorHAnsi" w:eastAsiaTheme="minorEastAsia" w:hAnsiTheme="minorHAnsi" w:cstheme="minorBidi"/>
            <w:kern w:val="2"/>
            <w:sz w:val="24"/>
            <w:szCs w:val="24"/>
            <w:lang w:eastAsia="en-AU"/>
            <w14:ligatures w14:val="standardContextual"/>
          </w:rPr>
          <w:tab/>
        </w:r>
        <w:r w:rsidRPr="00533B68">
          <w:t>Included or substituted defendant—filing and service of amended originating process</w:t>
        </w:r>
        <w:r>
          <w:tab/>
        </w:r>
        <w:r>
          <w:fldChar w:fldCharType="begin"/>
        </w:r>
        <w:r>
          <w:instrText xml:space="preserve"> PAGEREF _Toc185513717 \h </w:instrText>
        </w:r>
        <w:r>
          <w:fldChar w:fldCharType="separate"/>
        </w:r>
        <w:r>
          <w:t>58</w:t>
        </w:r>
        <w:r>
          <w:fldChar w:fldCharType="end"/>
        </w:r>
      </w:hyperlink>
    </w:p>
    <w:p w14:paraId="390F8AFB" w14:textId="345AF83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18" w:history="1">
        <w:r w:rsidRPr="00533B68">
          <w:t>242</w:t>
        </w:r>
        <w:r>
          <w:rPr>
            <w:rFonts w:asciiTheme="minorHAnsi" w:eastAsiaTheme="minorEastAsia" w:hAnsiTheme="minorHAnsi" w:cstheme="minorBidi"/>
            <w:kern w:val="2"/>
            <w:sz w:val="24"/>
            <w:szCs w:val="24"/>
            <w:lang w:eastAsia="en-AU"/>
            <w14:ligatures w14:val="standardContextual"/>
          </w:rPr>
          <w:tab/>
        </w:r>
        <w:r w:rsidRPr="00533B68">
          <w:t>Included or substituted parties—date proceeding taken to start</w:t>
        </w:r>
        <w:r>
          <w:tab/>
        </w:r>
        <w:r>
          <w:fldChar w:fldCharType="begin"/>
        </w:r>
        <w:r>
          <w:instrText xml:space="preserve"> PAGEREF _Toc185513718 \h </w:instrText>
        </w:r>
        <w:r>
          <w:fldChar w:fldCharType="separate"/>
        </w:r>
        <w:r>
          <w:t>59</w:t>
        </w:r>
        <w:r>
          <w:fldChar w:fldCharType="end"/>
        </w:r>
      </w:hyperlink>
    </w:p>
    <w:p w14:paraId="245382EC" w14:textId="20F02D9E"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719" w:history="1">
        <w:r w:rsidRPr="00533B68">
          <w:t>243</w:t>
        </w:r>
        <w:r>
          <w:rPr>
            <w:rFonts w:asciiTheme="minorHAnsi" w:eastAsiaTheme="minorEastAsia" w:hAnsiTheme="minorHAnsi" w:cstheme="minorBidi"/>
            <w:kern w:val="2"/>
            <w:sz w:val="24"/>
            <w:szCs w:val="24"/>
            <w:lang w:eastAsia="en-AU"/>
            <w14:ligatures w14:val="standardContextual"/>
          </w:rPr>
          <w:tab/>
        </w:r>
        <w:r w:rsidRPr="00533B68">
          <w:t>Included or substituted parties—effect of action previously taken in proceeding</w:t>
        </w:r>
        <w:r>
          <w:tab/>
        </w:r>
        <w:r>
          <w:fldChar w:fldCharType="begin"/>
        </w:r>
        <w:r>
          <w:instrText xml:space="preserve"> PAGEREF _Toc185513719 \h </w:instrText>
        </w:r>
        <w:r>
          <w:fldChar w:fldCharType="separate"/>
        </w:r>
        <w:r>
          <w:t>59</w:t>
        </w:r>
        <w:r>
          <w:fldChar w:fldCharType="end"/>
        </w:r>
      </w:hyperlink>
    </w:p>
    <w:p w14:paraId="32D25301" w14:textId="3912DA9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20" w:history="1">
        <w:r w:rsidRPr="00533B68">
          <w:t>244</w:t>
        </w:r>
        <w:r>
          <w:rPr>
            <w:rFonts w:asciiTheme="minorHAnsi" w:eastAsiaTheme="minorEastAsia" w:hAnsiTheme="minorHAnsi" w:cstheme="minorBidi"/>
            <w:kern w:val="2"/>
            <w:sz w:val="24"/>
            <w:szCs w:val="24"/>
            <w:lang w:eastAsia="en-AU"/>
            <w14:ligatures w14:val="standardContextual"/>
          </w:rPr>
          <w:tab/>
        </w:r>
        <w:r w:rsidRPr="00533B68">
          <w:t>Included or changed parties—other orders about future conduct of proceeding</w:t>
        </w:r>
        <w:r>
          <w:tab/>
        </w:r>
        <w:r>
          <w:fldChar w:fldCharType="begin"/>
        </w:r>
        <w:r>
          <w:instrText xml:space="preserve"> PAGEREF _Toc185513720 \h </w:instrText>
        </w:r>
        <w:r>
          <w:fldChar w:fldCharType="separate"/>
        </w:r>
        <w:r>
          <w:t>60</w:t>
        </w:r>
        <w:r>
          <w:fldChar w:fldCharType="end"/>
        </w:r>
      </w:hyperlink>
    </w:p>
    <w:p w14:paraId="49C71AD7" w14:textId="42DC6C5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21" w:history="1">
        <w:r w:rsidR="00AC5392" w:rsidRPr="00533B68">
          <w:t>Division 2.4.4A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Representation in proceedings for personal injuries</w:t>
        </w:r>
        <w:r w:rsidR="00AC5392" w:rsidRPr="00AC5392">
          <w:rPr>
            <w:vanish/>
          </w:rPr>
          <w:tab/>
        </w:r>
        <w:r w:rsidR="00AC5392" w:rsidRPr="00AC5392">
          <w:rPr>
            <w:vanish/>
          </w:rPr>
          <w:fldChar w:fldCharType="begin"/>
        </w:r>
        <w:r w:rsidR="00AC5392" w:rsidRPr="00AC5392">
          <w:rPr>
            <w:vanish/>
          </w:rPr>
          <w:instrText xml:space="preserve"> PAGEREF _Toc185513721 \h </w:instrText>
        </w:r>
        <w:r w:rsidR="00AC5392" w:rsidRPr="00AC5392">
          <w:rPr>
            <w:vanish/>
          </w:rPr>
        </w:r>
        <w:r w:rsidR="00AC5392" w:rsidRPr="00AC5392">
          <w:rPr>
            <w:vanish/>
          </w:rPr>
          <w:fldChar w:fldCharType="separate"/>
        </w:r>
        <w:r w:rsidR="00AC5392" w:rsidRPr="00AC5392">
          <w:rPr>
            <w:vanish/>
          </w:rPr>
          <w:t>61</w:t>
        </w:r>
        <w:r w:rsidR="00AC5392" w:rsidRPr="00AC5392">
          <w:rPr>
            <w:vanish/>
          </w:rPr>
          <w:fldChar w:fldCharType="end"/>
        </w:r>
      </w:hyperlink>
    </w:p>
    <w:p w14:paraId="765D7CE6" w14:textId="2359BF8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22" w:history="1">
        <w:r w:rsidRPr="00533B68">
          <w:t>245</w:t>
        </w:r>
        <w:r>
          <w:rPr>
            <w:rFonts w:asciiTheme="minorHAnsi" w:eastAsiaTheme="minorEastAsia" w:hAnsiTheme="minorHAnsi" w:cstheme="minorBidi"/>
            <w:kern w:val="2"/>
            <w:sz w:val="24"/>
            <w:szCs w:val="24"/>
            <w:lang w:eastAsia="en-AU"/>
            <w14:ligatures w14:val="standardContextual"/>
          </w:rPr>
          <w:tab/>
        </w:r>
        <w:r w:rsidRPr="00533B68">
          <w:t>Separate representation of defendant for insurer’s period on risk</w:t>
        </w:r>
        <w:r>
          <w:tab/>
        </w:r>
        <w:r>
          <w:fldChar w:fldCharType="begin"/>
        </w:r>
        <w:r>
          <w:instrText xml:space="preserve"> PAGEREF _Toc185513722 \h </w:instrText>
        </w:r>
        <w:r>
          <w:fldChar w:fldCharType="separate"/>
        </w:r>
        <w:r>
          <w:t>61</w:t>
        </w:r>
        <w:r>
          <w:fldChar w:fldCharType="end"/>
        </w:r>
      </w:hyperlink>
    </w:p>
    <w:p w14:paraId="7B8D78BD" w14:textId="6FB7FCA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23" w:history="1">
        <w:r w:rsidR="00AC5392" w:rsidRPr="00533B68">
          <w:t>Division 2.4.5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Proceedings under Civil Law (Wrongs) Act 2002, pt 3.1</w:t>
        </w:r>
        <w:r w:rsidR="00AC5392" w:rsidRPr="00AC5392">
          <w:rPr>
            <w:vanish/>
          </w:rPr>
          <w:tab/>
        </w:r>
        <w:r w:rsidR="00AC5392" w:rsidRPr="00AC5392">
          <w:rPr>
            <w:vanish/>
          </w:rPr>
          <w:fldChar w:fldCharType="begin"/>
        </w:r>
        <w:r w:rsidR="00AC5392" w:rsidRPr="00AC5392">
          <w:rPr>
            <w:vanish/>
          </w:rPr>
          <w:instrText xml:space="preserve"> PAGEREF _Toc185513723 \h </w:instrText>
        </w:r>
        <w:r w:rsidR="00AC5392" w:rsidRPr="00AC5392">
          <w:rPr>
            <w:vanish/>
          </w:rPr>
        </w:r>
        <w:r w:rsidR="00AC5392" w:rsidRPr="00AC5392">
          <w:rPr>
            <w:vanish/>
          </w:rPr>
          <w:fldChar w:fldCharType="separate"/>
        </w:r>
        <w:r w:rsidR="00AC5392" w:rsidRPr="00AC5392">
          <w:rPr>
            <w:vanish/>
          </w:rPr>
          <w:t>61</w:t>
        </w:r>
        <w:r w:rsidR="00AC5392" w:rsidRPr="00AC5392">
          <w:rPr>
            <w:vanish/>
          </w:rPr>
          <w:fldChar w:fldCharType="end"/>
        </w:r>
      </w:hyperlink>
    </w:p>
    <w:p w14:paraId="7D5DEE28" w14:textId="45159FF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24" w:history="1">
        <w:r w:rsidRPr="00533B68">
          <w:t>250</w:t>
        </w:r>
        <w:r>
          <w:rPr>
            <w:rFonts w:asciiTheme="minorHAnsi" w:eastAsiaTheme="minorEastAsia" w:hAnsiTheme="minorHAnsi" w:cstheme="minorBidi"/>
            <w:kern w:val="2"/>
            <w:sz w:val="24"/>
            <w:szCs w:val="24"/>
            <w:lang w:eastAsia="en-AU"/>
            <w14:ligatures w14:val="standardContextual"/>
          </w:rPr>
          <w:tab/>
        </w:r>
        <w:r w:rsidRPr="00533B68">
          <w:t>One proceeding for benefit of members of deceased person’s family</w:t>
        </w:r>
        <w:r>
          <w:tab/>
        </w:r>
        <w:r>
          <w:fldChar w:fldCharType="begin"/>
        </w:r>
        <w:r>
          <w:instrText xml:space="preserve"> PAGEREF _Toc185513724 \h </w:instrText>
        </w:r>
        <w:r>
          <w:fldChar w:fldCharType="separate"/>
        </w:r>
        <w:r>
          <w:t>61</w:t>
        </w:r>
        <w:r>
          <w:fldChar w:fldCharType="end"/>
        </w:r>
      </w:hyperlink>
    </w:p>
    <w:p w14:paraId="17866C58" w14:textId="69A6C5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25" w:history="1">
        <w:r w:rsidRPr="00533B68">
          <w:t>251</w:t>
        </w:r>
        <w:r>
          <w:rPr>
            <w:rFonts w:asciiTheme="minorHAnsi" w:eastAsiaTheme="minorEastAsia" w:hAnsiTheme="minorHAnsi" w:cstheme="minorBidi"/>
            <w:kern w:val="2"/>
            <w:sz w:val="24"/>
            <w:szCs w:val="24"/>
            <w:lang w:eastAsia="en-AU"/>
            <w14:ligatures w14:val="standardContextual"/>
          </w:rPr>
          <w:tab/>
        </w:r>
        <w:r w:rsidRPr="00533B68">
          <w:t>Orders in proceedings for compensation to relatives in death claims</w:t>
        </w:r>
        <w:r>
          <w:tab/>
        </w:r>
        <w:r>
          <w:fldChar w:fldCharType="begin"/>
        </w:r>
        <w:r>
          <w:instrText xml:space="preserve"> PAGEREF _Toc185513725 \h </w:instrText>
        </w:r>
        <w:r>
          <w:fldChar w:fldCharType="separate"/>
        </w:r>
        <w:r>
          <w:t>62</w:t>
        </w:r>
        <w:r>
          <w:fldChar w:fldCharType="end"/>
        </w:r>
      </w:hyperlink>
    </w:p>
    <w:p w14:paraId="1AF73088" w14:textId="1843D44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26" w:history="1">
        <w:r w:rsidR="00AC5392" w:rsidRPr="00533B68">
          <w:t>Division 2.4.6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Representation—trustees and personal representatives</w:t>
        </w:r>
        <w:r w:rsidR="00AC5392" w:rsidRPr="00AC5392">
          <w:rPr>
            <w:vanish/>
          </w:rPr>
          <w:tab/>
        </w:r>
        <w:r w:rsidR="00AC5392" w:rsidRPr="00AC5392">
          <w:rPr>
            <w:vanish/>
          </w:rPr>
          <w:fldChar w:fldCharType="begin"/>
        </w:r>
        <w:r w:rsidR="00AC5392" w:rsidRPr="00AC5392">
          <w:rPr>
            <w:vanish/>
          </w:rPr>
          <w:instrText xml:space="preserve"> PAGEREF _Toc185513726 \h </w:instrText>
        </w:r>
        <w:r w:rsidR="00AC5392" w:rsidRPr="00AC5392">
          <w:rPr>
            <w:vanish/>
          </w:rPr>
        </w:r>
        <w:r w:rsidR="00AC5392" w:rsidRPr="00AC5392">
          <w:rPr>
            <w:vanish/>
          </w:rPr>
          <w:fldChar w:fldCharType="separate"/>
        </w:r>
        <w:r w:rsidR="00AC5392" w:rsidRPr="00AC5392">
          <w:rPr>
            <w:vanish/>
          </w:rPr>
          <w:t>63</w:t>
        </w:r>
        <w:r w:rsidR="00AC5392" w:rsidRPr="00AC5392">
          <w:rPr>
            <w:vanish/>
          </w:rPr>
          <w:fldChar w:fldCharType="end"/>
        </w:r>
      </w:hyperlink>
    </w:p>
    <w:p w14:paraId="180D8C9A" w14:textId="3DF6D2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27" w:history="1">
        <w:r w:rsidRPr="00533B68">
          <w:t>255</w:t>
        </w:r>
        <w:r>
          <w:rPr>
            <w:rFonts w:asciiTheme="minorHAnsi" w:eastAsiaTheme="minorEastAsia" w:hAnsiTheme="minorHAnsi" w:cstheme="minorBidi"/>
            <w:kern w:val="2"/>
            <w:sz w:val="24"/>
            <w:szCs w:val="24"/>
            <w:lang w:eastAsia="en-AU"/>
            <w14:ligatures w14:val="standardContextual"/>
          </w:rPr>
          <w:tab/>
        </w:r>
        <w:r w:rsidRPr="00533B68">
          <w:t>Application—div 2.4.6</w:t>
        </w:r>
        <w:r>
          <w:tab/>
        </w:r>
        <w:r>
          <w:fldChar w:fldCharType="begin"/>
        </w:r>
        <w:r>
          <w:instrText xml:space="preserve"> PAGEREF _Toc185513727 \h </w:instrText>
        </w:r>
        <w:r>
          <w:fldChar w:fldCharType="separate"/>
        </w:r>
        <w:r>
          <w:t>63</w:t>
        </w:r>
        <w:r>
          <w:fldChar w:fldCharType="end"/>
        </w:r>
      </w:hyperlink>
    </w:p>
    <w:p w14:paraId="5AD7B674" w14:textId="4102BF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28" w:history="1">
        <w:r w:rsidRPr="00533B68">
          <w:t>256</w:t>
        </w:r>
        <w:r>
          <w:rPr>
            <w:rFonts w:asciiTheme="minorHAnsi" w:eastAsiaTheme="minorEastAsia" w:hAnsiTheme="minorHAnsi" w:cstheme="minorBidi"/>
            <w:kern w:val="2"/>
            <w:sz w:val="24"/>
            <w:szCs w:val="24"/>
            <w:lang w:eastAsia="en-AU"/>
            <w14:ligatures w14:val="standardContextual"/>
          </w:rPr>
          <w:tab/>
        </w:r>
        <w:r w:rsidRPr="00533B68">
          <w:t>Representation—by trustees and personal representatives</w:t>
        </w:r>
        <w:r>
          <w:tab/>
        </w:r>
        <w:r>
          <w:fldChar w:fldCharType="begin"/>
        </w:r>
        <w:r>
          <w:instrText xml:space="preserve"> PAGEREF _Toc185513728 \h </w:instrText>
        </w:r>
        <w:r>
          <w:fldChar w:fldCharType="separate"/>
        </w:r>
        <w:r>
          <w:t>63</w:t>
        </w:r>
        <w:r>
          <w:fldChar w:fldCharType="end"/>
        </w:r>
      </w:hyperlink>
    </w:p>
    <w:p w14:paraId="207F570F" w14:textId="2179329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29" w:history="1">
        <w:r w:rsidRPr="00533B68">
          <w:t>257</w:t>
        </w:r>
        <w:r>
          <w:rPr>
            <w:rFonts w:asciiTheme="minorHAnsi" w:eastAsiaTheme="minorEastAsia" w:hAnsiTheme="minorHAnsi" w:cstheme="minorBidi"/>
            <w:kern w:val="2"/>
            <w:sz w:val="24"/>
            <w:szCs w:val="24"/>
            <w:lang w:eastAsia="en-AU"/>
            <w14:ligatures w14:val="standardContextual"/>
          </w:rPr>
          <w:tab/>
        </w:r>
        <w:r w:rsidRPr="00533B68">
          <w:t>Representation—trustees and personal representatives must be parties</w:t>
        </w:r>
        <w:r>
          <w:tab/>
        </w:r>
        <w:r>
          <w:fldChar w:fldCharType="begin"/>
        </w:r>
        <w:r>
          <w:instrText xml:space="preserve"> PAGEREF _Toc185513729 \h </w:instrText>
        </w:r>
        <w:r>
          <w:fldChar w:fldCharType="separate"/>
        </w:r>
        <w:r>
          <w:t>64</w:t>
        </w:r>
        <w:r>
          <w:fldChar w:fldCharType="end"/>
        </w:r>
      </w:hyperlink>
    </w:p>
    <w:p w14:paraId="503BA8E6" w14:textId="4197BC2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0" w:history="1">
        <w:r w:rsidRPr="00533B68">
          <w:t>258</w:t>
        </w:r>
        <w:r>
          <w:rPr>
            <w:rFonts w:asciiTheme="minorHAnsi" w:eastAsiaTheme="minorEastAsia" w:hAnsiTheme="minorHAnsi" w:cstheme="minorBidi"/>
            <w:kern w:val="2"/>
            <w:sz w:val="24"/>
            <w:szCs w:val="24"/>
            <w:lang w:eastAsia="en-AU"/>
            <w14:ligatures w14:val="standardContextual"/>
          </w:rPr>
          <w:tab/>
        </w:r>
        <w:r w:rsidRPr="00533B68">
          <w:t>Representation—beneficiaries and claimants</w:t>
        </w:r>
        <w:r>
          <w:tab/>
        </w:r>
        <w:r>
          <w:fldChar w:fldCharType="begin"/>
        </w:r>
        <w:r>
          <w:instrText xml:space="preserve"> PAGEREF _Toc185513730 \h </w:instrText>
        </w:r>
        <w:r>
          <w:fldChar w:fldCharType="separate"/>
        </w:r>
        <w:r>
          <w:t>64</w:t>
        </w:r>
        <w:r>
          <w:fldChar w:fldCharType="end"/>
        </w:r>
      </w:hyperlink>
    </w:p>
    <w:p w14:paraId="1BCB6037" w14:textId="751AEFF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1" w:history="1">
        <w:r w:rsidRPr="00533B68">
          <w:t>259</w:t>
        </w:r>
        <w:r>
          <w:rPr>
            <w:rFonts w:asciiTheme="minorHAnsi" w:eastAsiaTheme="minorEastAsia" w:hAnsiTheme="minorHAnsi" w:cstheme="minorBidi"/>
            <w:kern w:val="2"/>
            <w:sz w:val="24"/>
            <w:szCs w:val="24"/>
            <w:lang w:eastAsia="en-AU"/>
            <w14:ligatures w14:val="standardContextual"/>
          </w:rPr>
          <w:tab/>
        </w:r>
        <w:r w:rsidRPr="00533B68">
          <w:t>Representation—proceeding about administration of deceased person’s estate or trust property</w:t>
        </w:r>
        <w:r>
          <w:tab/>
        </w:r>
        <w:r>
          <w:fldChar w:fldCharType="begin"/>
        </w:r>
        <w:r>
          <w:instrText xml:space="preserve"> PAGEREF _Toc185513731 \h </w:instrText>
        </w:r>
        <w:r>
          <w:fldChar w:fldCharType="separate"/>
        </w:r>
        <w:r>
          <w:t>64</w:t>
        </w:r>
        <w:r>
          <w:fldChar w:fldCharType="end"/>
        </w:r>
      </w:hyperlink>
    </w:p>
    <w:p w14:paraId="6436DD98" w14:textId="257422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2" w:history="1">
        <w:r w:rsidRPr="00533B68">
          <w:t>260</w:t>
        </w:r>
        <w:r>
          <w:rPr>
            <w:rFonts w:asciiTheme="minorHAnsi" w:eastAsiaTheme="minorEastAsia" w:hAnsiTheme="minorHAnsi" w:cstheme="minorBidi"/>
            <w:kern w:val="2"/>
            <w:sz w:val="24"/>
            <w:szCs w:val="24"/>
            <w:lang w:eastAsia="en-AU"/>
            <w14:ligatures w14:val="standardContextual"/>
          </w:rPr>
          <w:tab/>
        </w:r>
        <w:r w:rsidRPr="00533B68">
          <w:t>Representation—orders bind represented people in estate or trust proceeding</w:t>
        </w:r>
        <w:r>
          <w:tab/>
        </w:r>
        <w:r>
          <w:fldChar w:fldCharType="begin"/>
        </w:r>
        <w:r>
          <w:instrText xml:space="preserve"> PAGEREF _Toc185513732 \h </w:instrText>
        </w:r>
        <w:r>
          <w:fldChar w:fldCharType="separate"/>
        </w:r>
        <w:r>
          <w:t>65</w:t>
        </w:r>
        <w:r>
          <w:fldChar w:fldCharType="end"/>
        </w:r>
      </w:hyperlink>
    </w:p>
    <w:p w14:paraId="27DFF23A" w14:textId="7368177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3" w:history="1">
        <w:r w:rsidRPr="00533B68">
          <w:t>261</w:t>
        </w:r>
        <w:r>
          <w:rPr>
            <w:rFonts w:asciiTheme="minorHAnsi" w:eastAsiaTheme="minorEastAsia" w:hAnsiTheme="minorHAnsi" w:cstheme="minorBidi"/>
            <w:kern w:val="2"/>
            <w:sz w:val="24"/>
            <w:szCs w:val="24"/>
            <w:lang w:eastAsia="en-AU"/>
            <w14:ligatures w14:val="standardContextual"/>
          </w:rPr>
          <w:tab/>
        </w:r>
        <w:r w:rsidRPr="00533B68">
          <w:t>Representation—interests of deceased person’s estate</w:t>
        </w:r>
        <w:r>
          <w:tab/>
        </w:r>
        <w:r>
          <w:fldChar w:fldCharType="begin"/>
        </w:r>
        <w:r>
          <w:instrText xml:space="preserve"> PAGEREF _Toc185513733 \h </w:instrText>
        </w:r>
        <w:r>
          <w:fldChar w:fldCharType="separate"/>
        </w:r>
        <w:r>
          <w:t>66</w:t>
        </w:r>
        <w:r>
          <w:fldChar w:fldCharType="end"/>
        </w:r>
      </w:hyperlink>
    </w:p>
    <w:p w14:paraId="555C6506" w14:textId="4C44574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34" w:history="1">
        <w:r w:rsidR="00AC5392" w:rsidRPr="00533B68">
          <w:t>Division 2.4.7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Representation—numerous concurrent interests</w:t>
        </w:r>
        <w:r w:rsidR="00AC5392" w:rsidRPr="00AC5392">
          <w:rPr>
            <w:vanish/>
          </w:rPr>
          <w:tab/>
        </w:r>
        <w:r w:rsidR="00AC5392" w:rsidRPr="00AC5392">
          <w:rPr>
            <w:vanish/>
          </w:rPr>
          <w:fldChar w:fldCharType="begin"/>
        </w:r>
        <w:r w:rsidR="00AC5392" w:rsidRPr="00AC5392">
          <w:rPr>
            <w:vanish/>
          </w:rPr>
          <w:instrText xml:space="preserve"> PAGEREF _Toc185513734 \h </w:instrText>
        </w:r>
        <w:r w:rsidR="00AC5392" w:rsidRPr="00AC5392">
          <w:rPr>
            <w:vanish/>
          </w:rPr>
        </w:r>
        <w:r w:rsidR="00AC5392" w:rsidRPr="00AC5392">
          <w:rPr>
            <w:vanish/>
          </w:rPr>
          <w:fldChar w:fldCharType="separate"/>
        </w:r>
        <w:r w:rsidR="00AC5392" w:rsidRPr="00AC5392">
          <w:rPr>
            <w:vanish/>
          </w:rPr>
          <w:t>67</w:t>
        </w:r>
        <w:r w:rsidR="00AC5392" w:rsidRPr="00AC5392">
          <w:rPr>
            <w:vanish/>
          </w:rPr>
          <w:fldChar w:fldCharType="end"/>
        </w:r>
      </w:hyperlink>
    </w:p>
    <w:p w14:paraId="549C7BBC" w14:textId="7B5940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5" w:history="1">
        <w:r w:rsidRPr="00533B68">
          <w:t>265</w:t>
        </w:r>
        <w:r>
          <w:rPr>
            <w:rFonts w:asciiTheme="minorHAnsi" w:eastAsiaTheme="minorEastAsia" w:hAnsiTheme="minorHAnsi" w:cstheme="minorBidi"/>
            <w:kern w:val="2"/>
            <w:sz w:val="24"/>
            <w:szCs w:val="24"/>
            <w:lang w:eastAsia="en-AU"/>
            <w14:ligatures w14:val="standardContextual"/>
          </w:rPr>
          <w:tab/>
        </w:r>
        <w:r w:rsidRPr="00533B68">
          <w:t>Application—div 2.4.7</w:t>
        </w:r>
        <w:r>
          <w:tab/>
        </w:r>
        <w:r>
          <w:fldChar w:fldCharType="begin"/>
        </w:r>
        <w:r>
          <w:instrText xml:space="preserve"> PAGEREF _Toc185513735 \h </w:instrText>
        </w:r>
        <w:r>
          <w:fldChar w:fldCharType="separate"/>
        </w:r>
        <w:r>
          <w:t>67</w:t>
        </w:r>
        <w:r>
          <w:fldChar w:fldCharType="end"/>
        </w:r>
      </w:hyperlink>
    </w:p>
    <w:p w14:paraId="1243ABFF" w14:textId="2A0268D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6" w:history="1">
        <w:r w:rsidRPr="00533B68">
          <w:t>266</w:t>
        </w:r>
        <w:r>
          <w:rPr>
            <w:rFonts w:asciiTheme="minorHAnsi" w:eastAsiaTheme="minorEastAsia" w:hAnsiTheme="minorHAnsi" w:cstheme="minorBidi"/>
            <w:kern w:val="2"/>
            <w:sz w:val="24"/>
            <w:szCs w:val="24"/>
            <w:lang w:eastAsia="en-AU"/>
            <w14:ligatures w14:val="standardContextual"/>
          </w:rPr>
          <w:tab/>
        </w:r>
        <w:r w:rsidRPr="00533B68">
          <w:t>Representation—numerous concurrent interests</w:t>
        </w:r>
        <w:r>
          <w:tab/>
        </w:r>
        <w:r>
          <w:fldChar w:fldCharType="begin"/>
        </w:r>
        <w:r>
          <w:instrText xml:space="preserve"> PAGEREF _Toc185513736 \h </w:instrText>
        </w:r>
        <w:r>
          <w:fldChar w:fldCharType="separate"/>
        </w:r>
        <w:r>
          <w:t>67</w:t>
        </w:r>
        <w:r>
          <w:fldChar w:fldCharType="end"/>
        </w:r>
      </w:hyperlink>
    </w:p>
    <w:p w14:paraId="492A212A" w14:textId="397D8DC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7" w:history="1">
        <w:r w:rsidRPr="00533B68">
          <w:t>267</w:t>
        </w:r>
        <w:r>
          <w:rPr>
            <w:rFonts w:asciiTheme="minorHAnsi" w:eastAsiaTheme="minorEastAsia" w:hAnsiTheme="minorHAnsi" w:cstheme="minorBidi"/>
            <w:kern w:val="2"/>
            <w:sz w:val="24"/>
            <w:szCs w:val="24"/>
            <w:lang w:eastAsia="en-AU"/>
            <w14:ligatures w14:val="standardContextual"/>
          </w:rPr>
          <w:tab/>
        </w:r>
        <w:r w:rsidRPr="00533B68">
          <w:t>Orders in div 2.4.7 proceeding bind represented people</w:t>
        </w:r>
        <w:r>
          <w:tab/>
        </w:r>
        <w:r>
          <w:fldChar w:fldCharType="begin"/>
        </w:r>
        <w:r>
          <w:instrText xml:space="preserve"> PAGEREF _Toc185513737 \h </w:instrText>
        </w:r>
        <w:r>
          <w:fldChar w:fldCharType="separate"/>
        </w:r>
        <w:r>
          <w:t>68</w:t>
        </w:r>
        <w:r>
          <w:fldChar w:fldCharType="end"/>
        </w:r>
      </w:hyperlink>
    </w:p>
    <w:p w14:paraId="704725B1" w14:textId="50AF93C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38" w:history="1">
        <w:r w:rsidR="00AC5392" w:rsidRPr="00533B68">
          <w:t>Division 2.4.8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Multiple proceedings</w:t>
        </w:r>
        <w:r w:rsidR="00AC5392" w:rsidRPr="00AC5392">
          <w:rPr>
            <w:vanish/>
          </w:rPr>
          <w:tab/>
        </w:r>
        <w:r w:rsidR="00AC5392" w:rsidRPr="00AC5392">
          <w:rPr>
            <w:vanish/>
          </w:rPr>
          <w:fldChar w:fldCharType="begin"/>
        </w:r>
        <w:r w:rsidR="00AC5392" w:rsidRPr="00AC5392">
          <w:rPr>
            <w:vanish/>
          </w:rPr>
          <w:instrText xml:space="preserve"> PAGEREF _Toc185513738 \h </w:instrText>
        </w:r>
        <w:r w:rsidR="00AC5392" w:rsidRPr="00AC5392">
          <w:rPr>
            <w:vanish/>
          </w:rPr>
        </w:r>
        <w:r w:rsidR="00AC5392" w:rsidRPr="00AC5392">
          <w:rPr>
            <w:vanish/>
          </w:rPr>
          <w:fldChar w:fldCharType="separate"/>
        </w:r>
        <w:r w:rsidR="00AC5392" w:rsidRPr="00AC5392">
          <w:rPr>
            <w:vanish/>
          </w:rPr>
          <w:t>68</w:t>
        </w:r>
        <w:r w:rsidR="00AC5392" w:rsidRPr="00AC5392">
          <w:rPr>
            <w:vanish/>
          </w:rPr>
          <w:fldChar w:fldCharType="end"/>
        </w:r>
      </w:hyperlink>
    </w:p>
    <w:p w14:paraId="747DE48B" w14:textId="20B4B43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39" w:history="1">
        <w:r w:rsidRPr="00533B68">
          <w:t>270</w:t>
        </w:r>
        <w:r>
          <w:rPr>
            <w:rFonts w:asciiTheme="minorHAnsi" w:eastAsiaTheme="minorEastAsia" w:hAnsiTheme="minorHAnsi" w:cstheme="minorBidi"/>
            <w:kern w:val="2"/>
            <w:sz w:val="24"/>
            <w:szCs w:val="24"/>
            <w:lang w:eastAsia="en-AU"/>
            <w14:ligatures w14:val="standardContextual"/>
          </w:rPr>
          <w:tab/>
        </w:r>
        <w:r w:rsidRPr="00533B68">
          <w:t>Consolidation etc of proceedings</w:t>
        </w:r>
        <w:r>
          <w:tab/>
        </w:r>
        <w:r>
          <w:fldChar w:fldCharType="begin"/>
        </w:r>
        <w:r>
          <w:instrText xml:space="preserve"> PAGEREF _Toc185513739 \h </w:instrText>
        </w:r>
        <w:r>
          <w:fldChar w:fldCharType="separate"/>
        </w:r>
        <w:r>
          <w:t>68</w:t>
        </w:r>
        <w:r>
          <w:fldChar w:fldCharType="end"/>
        </w:r>
      </w:hyperlink>
    </w:p>
    <w:p w14:paraId="1CB5A268" w14:textId="1C34BDE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40" w:history="1">
        <w:r w:rsidR="00AC5392" w:rsidRPr="00533B68">
          <w:t>Division 2.4.9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People with a legal disability</w:t>
        </w:r>
        <w:r w:rsidR="00AC5392" w:rsidRPr="00AC5392">
          <w:rPr>
            <w:vanish/>
          </w:rPr>
          <w:tab/>
        </w:r>
        <w:r w:rsidR="00AC5392" w:rsidRPr="00AC5392">
          <w:rPr>
            <w:vanish/>
          </w:rPr>
          <w:fldChar w:fldCharType="begin"/>
        </w:r>
        <w:r w:rsidR="00AC5392" w:rsidRPr="00AC5392">
          <w:rPr>
            <w:vanish/>
          </w:rPr>
          <w:instrText xml:space="preserve"> PAGEREF _Toc185513740 \h </w:instrText>
        </w:r>
        <w:r w:rsidR="00AC5392" w:rsidRPr="00AC5392">
          <w:rPr>
            <w:vanish/>
          </w:rPr>
        </w:r>
        <w:r w:rsidR="00AC5392" w:rsidRPr="00AC5392">
          <w:rPr>
            <w:vanish/>
          </w:rPr>
          <w:fldChar w:fldCharType="separate"/>
        </w:r>
        <w:r w:rsidR="00AC5392" w:rsidRPr="00AC5392">
          <w:rPr>
            <w:vanish/>
          </w:rPr>
          <w:t>70</w:t>
        </w:r>
        <w:r w:rsidR="00AC5392" w:rsidRPr="00AC5392">
          <w:rPr>
            <w:vanish/>
          </w:rPr>
          <w:fldChar w:fldCharType="end"/>
        </w:r>
      </w:hyperlink>
    </w:p>
    <w:p w14:paraId="7F2437A2" w14:textId="4F720F7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41" w:history="1">
        <w:r w:rsidRPr="00533B68">
          <w:t>275</w:t>
        </w:r>
        <w:r>
          <w:rPr>
            <w:rFonts w:asciiTheme="minorHAnsi" w:eastAsiaTheme="minorEastAsia" w:hAnsiTheme="minorHAnsi" w:cstheme="minorBidi"/>
            <w:kern w:val="2"/>
            <w:sz w:val="24"/>
            <w:szCs w:val="24"/>
            <w:lang w:eastAsia="en-AU"/>
            <w14:ligatures w14:val="standardContextual"/>
          </w:rPr>
          <w:tab/>
        </w:r>
        <w:r w:rsidRPr="00533B68">
          <w:t>Person with legal disability—litigation guardian to start proceeding etc</w:t>
        </w:r>
        <w:r>
          <w:tab/>
        </w:r>
        <w:r>
          <w:fldChar w:fldCharType="begin"/>
        </w:r>
        <w:r>
          <w:instrText xml:space="preserve"> PAGEREF _Toc185513741 \h </w:instrText>
        </w:r>
        <w:r>
          <w:fldChar w:fldCharType="separate"/>
        </w:r>
        <w:r>
          <w:t>70</w:t>
        </w:r>
        <w:r>
          <w:fldChar w:fldCharType="end"/>
        </w:r>
      </w:hyperlink>
    </w:p>
    <w:p w14:paraId="2B774979" w14:textId="65C873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42" w:history="1">
        <w:r w:rsidRPr="00533B68">
          <w:t>276</w:t>
        </w:r>
        <w:r>
          <w:rPr>
            <w:rFonts w:asciiTheme="minorHAnsi" w:eastAsiaTheme="minorEastAsia" w:hAnsiTheme="minorHAnsi" w:cstheme="minorBidi"/>
            <w:kern w:val="2"/>
            <w:sz w:val="24"/>
            <w:szCs w:val="24"/>
            <w:lang w:eastAsia="en-AU"/>
            <w14:ligatures w14:val="standardContextual"/>
          </w:rPr>
          <w:tab/>
        </w:r>
        <w:r w:rsidRPr="00533B68">
          <w:t>Who may be litigation guardian</w:t>
        </w:r>
        <w:r>
          <w:tab/>
        </w:r>
        <w:r>
          <w:fldChar w:fldCharType="begin"/>
        </w:r>
        <w:r>
          <w:instrText xml:space="preserve"> PAGEREF _Toc185513742 \h </w:instrText>
        </w:r>
        <w:r>
          <w:fldChar w:fldCharType="separate"/>
        </w:r>
        <w:r>
          <w:t>71</w:t>
        </w:r>
        <w:r>
          <w:fldChar w:fldCharType="end"/>
        </w:r>
      </w:hyperlink>
    </w:p>
    <w:p w14:paraId="1A4A781B" w14:textId="5615B0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43" w:history="1">
        <w:r w:rsidRPr="00533B68">
          <w:t>277</w:t>
        </w:r>
        <w:r>
          <w:rPr>
            <w:rFonts w:asciiTheme="minorHAnsi" w:eastAsiaTheme="minorEastAsia" w:hAnsiTheme="minorHAnsi" w:cstheme="minorBidi"/>
            <w:kern w:val="2"/>
            <w:sz w:val="24"/>
            <w:szCs w:val="24"/>
            <w:lang w:eastAsia="en-AU"/>
            <w14:ligatures w14:val="standardContextual"/>
          </w:rPr>
          <w:tab/>
        </w:r>
        <w:r w:rsidRPr="00533B68">
          <w:t>Litigation guardian—liability for costs</w:t>
        </w:r>
        <w:r>
          <w:tab/>
        </w:r>
        <w:r>
          <w:fldChar w:fldCharType="begin"/>
        </w:r>
        <w:r>
          <w:instrText xml:space="preserve"> PAGEREF _Toc185513743 \h </w:instrText>
        </w:r>
        <w:r>
          <w:fldChar w:fldCharType="separate"/>
        </w:r>
        <w:r>
          <w:t>71</w:t>
        </w:r>
        <w:r>
          <w:fldChar w:fldCharType="end"/>
        </w:r>
      </w:hyperlink>
    </w:p>
    <w:p w14:paraId="35EE72C9" w14:textId="192EB1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44" w:history="1">
        <w:r w:rsidRPr="00533B68">
          <w:t>278</w:t>
        </w:r>
        <w:r>
          <w:rPr>
            <w:rFonts w:asciiTheme="minorHAnsi" w:eastAsiaTheme="minorEastAsia" w:hAnsiTheme="minorHAnsi" w:cstheme="minorBidi"/>
            <w:kern w:val="2"/>
            <w:sz w:val="24"/>
            <w:szCs w:val="24"/>
            <w:lang w:eastAsia="en-AU"/>
            <w14:ligatures w14:val="standardContextual"/>
          </w:rPr>
          <w:tab/>
        </w:r>
        <w:r w:rsidRPr="00533B68">
          <w:t>Becoming a litigation guardian</w:t>
        </w:r>
        <w:r>
          <w:tab/>
        </w:r>
        <w:r>
          <w:fldChar w:fldCharType="begin"/>
        </w:r>
        <w:r>
          <w:instrText xml:space="preserve"> PAGEREF _Toc185513744 \h </w:instrText>
        </w:r>
        <w:r>
          <w:fldChar w:fldCharType="separate"/>
        </w:r>
        <w:r>
          <w:t>72</w:t>
        </w:r>
        <w:r>
          <w:fldChar w:fldCharType="end"/>
        </w:r>
      </w:hyperlink>
    </w:p>
    <w:p w14:paraId="17B64DBB" w14:textId="2F5C639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45" w:history="1">
        <w:r w:rsidRPr="00533B68">
          <w:t>279</w:t>
        </w:r>
        <w:r>
          <w:rPr>
            <w:rFonts w:asciiTheme="minorHAnsi" w:eastAsiaTheme="minorEastAsia" w:hAnsiTheme="minorHAnsi" w:cstheme="minorBidi"/>
            <w:kern w:val="2"/>
            <w:sz w:val="24"/>
            <w:szCs w:val="24"/>
            <w:lang w:eastAsia="en-AU"/>
            <w14:ligatures w14:val="standardContextual"/>
          </w:rPr>
          <w:tab/>
        </w:r>
        <w:r w:rsidRPr="00533B68">
          <w:t>Person with legal disability—effect of no notice of intention to respond or defence</w:t>
        </w:r>
        <w:r>
          <w:tab/>
        </w:r>
        <w:r>
          <w:fldChar w:fldCharType="begin"/>
        </w:r>
        <w:r>
          <w:instrText xml:space="preserve"> PAGEREF _Toc185513745 \h </w:instrText>
        </w:r>
        <w:r>
          <w:fldChar w:fldCharType="separate"/>
        </w:r>
        <w:r>
          <w:t>73</w:t>
        </w:r>
        <w:r>
          <w:fldChar w:fldCharType="end"/>
        </w:r>
      </w:hyperlink>
    </w:p>
    <w:p w14:paraId="47D0C810" w14:textId="0664E3B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46" w:history="1">
        <w:r w:rsidRPr="00533B68">
          <w:t>280</w:t>
        </w:r>
        <w:r>
          <w:rPr>
            <w:rFonts w:asciiTheme="minorHAnsi" w:eastAsiaTheme="minorEastAsia" w:hAnsiTheme="minorHAnsi" w:cstheme="minorBidi"/>
            <w:kern w:val="2"/>
            <w:sz w:val="24"/>
            <w:szCs w:val="24"/>
            <w:lang w:eastAsia="en-AU"/>
            <w14:ligatures w14:val="standardContextual"/>
          </w:rPr>
          <w:tab/>
        </w:r>
        <w:r w:rsidRPr="00533B68">
          <w:t>Litigation guardian—appointment and removal by court</w:t>
        </w:r>
        <w:r>
          <w:tab/>
        </w:r>
        <w:r>
          <w:fldChar w:fldCharType="begin"/>
        </w:r>
        <w:r>
          <w:instrText xml:space="preserve"> PAGEREF _Toc185513746 \h </w:instrText>
        </w:r>
        <w:r>
          <w:fldChar w:fldCharType="separate"/>
        </w:r>
        <w:r>
          <w:t>73</w:t>
        </w:r>
        <w:r>
          <w:fldChar w:fldCharType="end"/>
        </w:r>
      </w:hyperlink>
    </w:p>
    <w:p w14:paraId="2F97F271" w14:textId="67806068"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747" w:history="1">
        <w:r w:rsidRPr="00533B68">
          <w:t>281</w:t>
        </w:r>
        <w:r>
          <w:rPr>
            <w:rFonts w:asciiTheme="minorHAnsi" w:eastAsiaTheme="minorEastAsia" w:hAnsiTheme="minorHAnsi" w:cstheme="minorBidi"/>
            <w:kern w:val="2"/>
            <w:sz w:val="24"/>
            <w:szCs w:val="24"/>
            <w:lang w:eastAsia="en-AU"/>
            <w14:ligatures w14:val="standardContextual"/>
          </w:rPr>
          <w:tab/>
        </w:r>
        <w:r w:rsidRPr="00533B68">
          <w:t>Litigation guardian—accounts</w:t>
        </w:r>
        <w:r>
          <w:tab/>
        </w:r>
        <w:r>
          <w:fldChar w:fldCharType="begin"/>
        </w:r>
        <w:r>
          <w:instrText xml:space="preserve"> PAGEREF _Toc185513747 \h </w:instrText>
        </w:r>
        <w:r>
          <w:fldChar w:fldCharType="separate"/>
        </w:r>
        <w:r>
          <w:t>74</w:t>
        </w:r>
        <w:r>
          <w:fldChar w:fldCharType="end"/>
        </w:r>
      </w:hyperlink>
    </w:p>
    <w:p w14:paraId="733CB0B7" w14:textId="42FF64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48" w:history="1">
        <w:r w:rsidRPr="00533B68">
          <w:t>282</w:t>
        </w:r>
        <w:r>
          <w:rPr>
            <w:rFonts w:asciiTheme="minorHAnsi" w:eastAsiaTheme="minorEastAsia" w:hAnsiTheme="minorHAnsi" w:cstheme="minorBidi"/>
            <w:kern w:val="2"/>
            <w:sz w:val="24"/>
            <w:szCs w:val="24"/>
            <w:lang w:eastAsia="en-AU"/>
            <w14:ligatures w14:val="standardContextual"/>
          </w:rPr>
          <w:tab/>
        </w:r>
        <w:r w:rsidRPr="00533B68">
          <w:t>Person with legal disability—approval of settlement etc</w:t>
        </w:r>
        <w:r>
          <w:tab/>
        </w:r>
        <w:r>
          <w:fldChar w:fldCharType="begin"/>
        </w:r>
        <w:r>
          <w:instrText xml:space="preserve"> PAGEREF _Toc185513748 \h </w:instrText>
        </w:r>
        <w:r>
          <w:fldChar w:fldCharType="separate"/>
        </w:r>
        <w:r>
          <w:t>75</w:t>
        </w:r>
        <w:r>
          <w:fldChar w:fldCharType="end"/>
        </w:r>
      </w:hyperlink>
    </w:p>
    <w:p w14:paraId="7A544A3F" w14:textId="7699784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49" w:history="1">
        <w:r w:rsidR="00AC5392" w:rsidRPr="00533B68">
          <w:t>Division 2.4.10</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Partnerships</w:t>
        </w:r>
        <w:r w:rsidR="00AC5392" w:rsidRPr="00AC5392">
          <w:rPr>
            <w:vanish/>
          </w:rPr>
          <w:tab/>
        </w:r>
        <w:r w:rsidR="00AC5392" w:rsidRPr="00AC5392">
          <w:rPr>
            <w:vanish/>
          </w:rPr>
          <w:fldChar w:fldCharType="begin"/>
        </w:r>
        <w:r w:rsidR="00AC5392" w:rsidRPr="00AC5392">
          <w:rPr>
            <w:vanish/>
          </w:rPr>
          <w:instrText xml:space="preserve"> PAGEREF _Toc185513749 \h </w:instrText>
        </w:r>
        <w:r w:rsidR="00AC5392" w:rsidRPr="00AC5392">
          <w:rPr>
            <w:vanish/>
          </w:rPr>
        </w:r>
        <w:r w:rsidR="00AC5392" w:rsidRPr="00AC5392">
          <w:rPr>
            <w:vanish/>
          </w:rPr>
          <w:fldChar w:fldCharType="separate"/>
        </w:r>
        <w:r w:rsidR="00AC5392" w:rsidRPr="00AC5392">
          <w:rPr>
            <w:vanish/>
          </w:rPr>
          <w:t>75</w:t>
        </w:r>
        <w:r w:rsidR="00AC5392" w:rsidRPr="00AC5392">
          <w:rPr>
            <w:vanish/>
          </w:rPr>
          <w:fldChar w:fldCharType="end"/>
        </w:r>
      </w:hyperlink>
    </w:p>
    <w:p w14:paraId="0EB15723" w14:textId="5ACBD3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0" w:history="1">
        <w:r w:rsidRPr="00533B68">
          <w:t>285</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partnership proceeding</w:t>
        </w:r>
        <w:r w:rsidRPr="00533B68">
          <w:t>—div 2.4.10</w:t>
        </w:r>
        <w:r>
          <w:tab/>
        </w:r>
        <w:r>
          <w:fldChar w:fldCharType="begin"/>
        </w:r>
        <w:r>
          <w:instrText xml:space="preserve"> PAGEREF _Toc185513750 \h </w:instrText>
        </w:r>
        <w:r>
          <w:fldChar w:fldCharType="separate"/>
        </w:r>
        <w:r>
          <w:t>75</w:t>
        </w:r>
        <w:r>
          <w:fldChar w:fldCharType="end"/>
        </w:r>
      </w:hyperlink>
    </w:p>
    <w:p w14:paraId="4468A41E" w14:textId="588A82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1" w:history="1">
        <w:r w:rsidRPr="00533B68">
          <w:t>286</w:t>
        </w:r>
        <w:r>
          <w:rPr>
            <w:rFonts w:asciiTheme="minorHAnsi" w:eastAsiaTheme="minorEastAsia" w:hAnsiTheme="minorHAnsi" w:cstheme="minorBidi"/>
            <w:kern w:val="2"/>
            <w:sz w:val="24"/>
            <w:szCs w:val="24"/>
            <w:lang w:eastAsia="en-AU"/>
            <w14:ligatures w14:val="standardContextual"/>
          </w:rPr>
          <w:tab/>
        </w:r>
        <w:r w:rsidRPr="00533B68">
          <w:t>Proceeding in partnership name</w:t>
        </w:r>
        <w:r>
          <w:tab/>
        </w:r>
        <w:r>
          <w:fldChar w:fldCharType="begin"/>
        </w:r>
        <w:r>
          <w:instrText xml:space="preserve"> PAGEREF _Toc185513751 \h </w:instrText>
        </w:r>
        <w:r>
          <w:fldChar w:fldCharType="separate"/>
        </w:r>
        <w:r>
          <w:t>76</w:t>
        </w:r>
        <w:r>
          <w:fldChar w:fldCharType="end"/>
        </w:r>
      </w:hyperlink>
    </w:p>
    <w:p w14:paraId="7D6CFAE5" w14:textId="54C7AB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2" w:history="1">
        <w:r w:rsidRPr="00533B68">
          <w:t>287</w:t>
        </w:r>
        <w:r>
          <w:rPr>
            <w:rFonts w:asciiTheme="minorHAnsi" w:eastAsiaTheme="minorEastAsia" w:hAnsiTheme="minorHAnsi" w:cstheme="minorBidi"/>
            <w:kern w:val="2"/>
            <w:sz w:val="24"/>
            <w:szCs w:val="24"/>
            <w:lang w:eastAsia="en-AU"/>
            <w14:ligatures w14:val="standardContextual"/>
          </w:rPr>
          <w:tab/>
        </w:r>
        <w:r w:rsidRPr="00533B68">
          <w:t>Disclosure of partners’ names</w:t>
        </w:r>
        <w:r>
          <w:tab/>
        </w:r>
        <w:r>
          <w:fldChar w:fldCharType="begin"/>
        </w:r>
        <w:r>
          <w:instrText xml:space="preserve"> PAGEREF _Toc185513752 \h </w:instrText>
        </w:r>
        <w:r>
          <w:fldChar w:fldCharType="separate"/>
        </w:r>
        <w:r>
          <w:t>76</w:t>
        </w:r>
        <w:r>
          <w:fldChar w:fldCharType="end"/>
        </w:r>
      </w:hyperlink>
    </w:p>
    <w:p w14:paraId="58E227E3" w14:textId="5298376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53" w:history="1">
        <w:r w:rsidR="00AC5392" w:rsidRPr="00533B68">
          <w:t>Division 2.4.11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Business names</w:t>
        </w:r>
        <w:r w:rsidR="00AC5392" w:rsidRPr="00AC5392">
          <w:rPr>
            <w:vanish/>
          </w:rPr>
          <w:tab/>
        </w:r>
        <w:r w:rsidR="00AC5392" w:rsidRPr="00AC5392">
          <w:rPr>
            <w:vanish/>
          </w:rPr>
          <w:fldChar w:fldCharType="begin"/>
        </w:r>
        <w:r w:rsidR="00AC5392" w:rsidRPr="00AC5392">
          <w:rPr>
            <w:vanish/>
          </w:rPr>
          <w:instrText xml:space="preserve"> PAGEREF _Toc185513753 \h </w:instrText>
        </w:r>
        <w:r w:rsidR="00AC5392" w:rsidRPr="00AC5392">
          <w:rPr>
            <w:vanish/>
          </w:rPr>
        </w:r>
        <w:r w:rsidR="00AC5392" w:rsidRPr="00AC5392">
          <w:rPr>
            <w:vanish/>
          </w:rPr>
          <w:fldChar w:fldCharType="separate"/>
        </w:r>
        <w:r w:rsidR="00AC5392" w:rsidRPr="00AC5392">
          <w:rPr>
            <w:vanish/>
          </w:rPr>
          <w:t>77</w:t>
        </w:r>
        <w:r w:rsidR="00AC5392" w:rsidRPr="00AC5392">
          <w:rPr>
            <w:vanish/>
          </w:rPr>
          <w:fldChar w:fldCharType="end"/>
        </w:r>
      </w:hyperlink>
    </w:p>
    <w:p w14:paraId="772123AD" w14:textId="0AFB5D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4" w:history="1">
        <w:r w:rsidRPr="00533B68">
          <w:t>290</w:t>
        </w:r>
        <w:r>
          <w:rPr>
            <w:rFonts w:asciiTheme="minorHAnsi" w:eastAsiaTheme="minorEastAsia" w:hAnsiTheme="minorHAnsi" w:cstheme="minorBidi"/>
            <w:kern w:val="2"/>
            <w:sz w:val="24"/>
            <w:szCs w:val="24"/>
            <w:lang w:eastAsia="en-AU"/>
            <w14:ligatures w14:val="standardContextual"/>
          </w:rPr>
          <w:tab/>
        </w:r>
        <w:r w:rsidRPr="00533B68">
          <w:t>Proceeding in registered business name</w:t>
        </w:r>
        <w:r>
          <w:tab/>
        </w:r>
        <w:r>
          <w:fldChar w:fldCharType="begin"/>
        </w:r>
        <w:r>
          <w:instrText xml:space="preserve"> PAGEREF _Toc185513754 \h </w:instrText>
        </w:r>
        <w:r>
          <w:fldChar w:fldCharType="separate"/>
        </w:r>
        <w:r>
          <w:t>77</w:t>
        </w:r>
        <w:r>
          <w:fldChar w:fldCharType="end"/>
        </w:r>
      </w:hyperlink>
    </w:p>
    <w:p w14:paraId="4D62997C" w14:textId="684F65B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5" w:history="1">
        <w:r w:rsidRPr="00533B68">
          <w:t>291</w:t>
        </w:r>
        <w:r>
          <w:rPr>
            <w:rFonts w:asciiTheme="minorHAnsi" w:eastAsiaTheme="minorEastAsia" w:hAnsiTheme="minorHAnsi" w:cstheme="minorBidi"/>
            <w:kern w:val="2"/>
            <w:sz w:val="24"/>
            <w:szCs w:val="24"/>
            <w:lang w:eastAsia="en-AU"/>
            <w14:ligatures w14:val="standardContextual"/>
          </w:rPr>
          <w:tab/>
        </w:r>
        <w:r w:rsidRPr="00533B68">
          <w:t>Proceeding in business name if unregistered etc</w:t>
        </w:r>
        <w:r>
          <w:tab/>
        </w:r>
        <w:r>
          <w:fldChar w:fldCharType="begin"/>
        </w:r>
        <w:r>
          <w:instrText xml:space="preserve"> PAGEREF _Toc185513755 \h </w:instrText>
        </w:r>
        <w:r>
          <w:fldChar w:fldCharType="separate"/>
        </w:r>
        <w:r>
          <w:t>77</w:t>
        </w:r>
        <w:r>
          <w:fldChar w:fldCharType="end"/>
        </w:r>
      </w:hyperlink>
    </w:p>
    <w:p w14:paraId="5AA70AC7" w14:textId="48FE6A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6" w:history="1">
        <w:r w:rsidRPr="00533B68">
          <w:t>292</w:t>
        </w:r>
        <w:r>
          <w:rPr>
            <w:rFonts w:asciiTheme="minorHAnsi" w:eastAsiaTheme="minorEastAsia" w:hAnsiTheme="minorHAnsi" w:cstheme="minorBidi"/>
            <w:kern w:val="2"/>
            <w:sz w:val="24"/>
            <w:szCs w:val="24"/>
            <w:lang w:eastAsia="en-AU"/>
            <w14:ligatures w14:val="standardContextual"/>
          </w:rPr>
          <w:tab/>
        </w:r>
        <w:r w:rsidRPr="00533B68">
          <w:t>Business names—amendment about parties</w:t>
        </w:r>
        <w:r>
          <w:tab/>
        </w:r>
        <w:r>
          <w:fldChar w:fldCharType="begin"/>
        </w:r>
        <w:r>
          <w:instrText xml:space="preserve"> PAGEREF _Toc185513756 \h </w:instrText>
        </w:r>
        <w:r>
          <w:fldChar w:fldCharType="separate"/>
        </w:r>
        <w:r>
          <w:t>78</w:t>
        </w:r>
        <w:r>
          <w:fldChar w:fldCharType="end"/>
        </w:r>
      </w:hyperlink>
    </w:p>
    <w:p w14:paraId="5555613D" w14:textId="0563391A"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757" w:history="1">
        <w:r w:rsidR="00AC5392" w:rsidRPr="00533B68">
          <w:t>Part 2.5</w:t>
        </w:r>
        <w:r w:rsidR="00AC5392">
          <w:rPr>
            <w:rFonts w:asciiTheme="minorHAnsi" w:eastAsiaTheme="minorEastAsia" w:hAnsiTheme="minorHAnsi" w:cstheme="minorBidi"/>
            <w:b w:val="0"/>
            <w:kern w:val="2"/>
            <w:szCs w:val="24"/>
            <w:lang w:eastAsia="en-AU"/>
            <w14:ligatures w14:val="standardContextual"/>
          </w:rPr>
          <w:tab/>
        </w:r>
        <w:r w:rsidR="00AC5392" w:rsidRPr="00533B68">
          <w:t>Third-party and similar proceedings</w:t>
        </w:r>
        <w:r w:rsidR="00AC5392" w:rsidRPr="00AC5392">
          <w:rPr>
            <w:vanish/>
          </w:rPr>
          <w:tab/>
        </w:r>
        <w:r w:rsidR="00AC5392" w:rsidRPr="00AC5392">
          <w:rPr>
            <w:vanish/>
          </w:rPr>
          <w:fldChar w:fldCharType="begin"/>
        </w:r>
        <w:r w:rsidR="00AC5392" w:rsidRPr="00AC5392">
          <w:rPr>
            <w:vanish/>
          </w:rPr>
          <w:instrText xml:space="preserve"> PAGEREF _Toc185513757 \h </w:instrText>
        </w:r>
        <w:r w:rsidR="00AC5392" w:rsidRPr="00AC5392">
          <w:rPr>
            <w:vanish/>
          </w:rPr>
        </w:r>
        <w:r w:rsidR="00AC5392" w:rsidRPr="00AC5392">
          <w:rPr>
            <w:vanish/>
          </w:rPr>
          <w:fldChar w:fldCharType="separate"/>
        </w:r>
        <w:r w:rsidR="00AC5392" w:rsidRPr="00AC5392">
          <w:rPr>
            <w:vanish/>
          </w:rPr>
          <w:t>80</w:t>
        </w:r>
        <w:r w:rsidR="00AC5392" w:rsidRPr="00AC5392">
          <w:rPr>
            <w:vanish/>
          </w:rPr>
          <w:fldChar w:fldCharType="end"/>
        </w:r>
      </w:hyperlink>
    </w:p>
    <w:p w14:paraId="47803F0C" w14:textId="6347EF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8" w:history="1">
        <w:r w:rsidRPr="00533B68">
          <w:t>300</w:t>
        </w:r>
        <w:r>
          <w:rPr>
            <w:rFonts w:asciiTheme="minorHAnsi" w:eastAsiaTheme="minorEastAsia" w:hAnsiTheme="minorHAnsi" w:cstheme="minorBidi"/>
            <w:kern w:val="2"/>
            <w:sz w:val="24"/>
            <w:szCs w:val="24"/>
            <w:lang w:eastAsia="en-AU"/>
            <w14:ligatures w14:val="standardContextual"/>
          </w:rPr>
          <w:tab/>
        </w:r>
        <w:r w:rsidRPr="00533B68">
          <w:t>Purpose—pt 2.5</w:t>
        </w:r>
        <w:r>
          <w:tab/>
        </w:r>
        <w:r>
          <w:fldChar w:fldCharType="begin"/>
        </w:r>
        <w:r>
          <w:instrText xml:space="preserve"> PAGEREF _Toc185513758 \h </w:instrText>
        </w:r>
        <w:r>
          <w:fldChar w:fldCharType="separate"/>
        </w:r>
        <w:r>
          <w:t>80</w:t>
        </w:r>
        <w:r>
          <w:fldChar w:fldCharType="end"/>
        </w:r>
      </w:hyperlink>
    </w:p>
    <w:p w14:paraId="1DFF79B1" w14:textId="59C3083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59" w:history="1">
        <w:r w:rsidRPr="00533B68">
          <w:t>301</w:t>
        </w:r>
        <w:r>
          <w:rPr>
            <w:rFonts w:asciiTheme="minorHAnsi" w:eastAsiaTheme="minorEastAsia" w:hAnsiTheme="minorHAnsi" w:cstheme="minorBidi"/>
            <w:kern w:val="2"/>
            <w:sz w:val="24"/>
            <w:szCs w:val="24"/>
            <w:lang w:eastAsia="en-AU"/>
            <w14:ligatures w14:val="standardContextual"/>
          </w:rPr>
          <w:tab/>
        </w:r>
        <w:r w:rsidRPr="00533B68">
          <w:t>When a third-party proceeding starts</w:t>
        </w:r>
        <w:r>
          <w:tab/>
        </w:r>
        <w:r>
          <w:fldChar w:fldCharType="begin"/>
        </w:r>
        <w:r>
          <w:instrText xml:space="preserve"> PAGEREF _Toc185513759 \h </w:instrText>
        </w:r>
        <w:r>
          <w:fldChar w:fldCharType="separate"/>
        </w:r>
        <w:r>
          <w:t>80</w:t>
        </w:r>
        <w:r>
          <w:fldChar w:fldCharType="end"/>
        </w:r>
      </w:hyperlink>
    </w:p>
    <w:p w14:paraId="6CEC35F8" w14:textId="2A1EA7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0" w:history="1">
        <w:r w:rsidRPr="00533B68">
          <w:t>302</w:t>
        </w:r>
        <w:r>
          <w:rPr>
            <w:rFonts w:asciiTheme="minorHAnsi" w:eastAsiaTheme="minorEastAsia" w:hAnsiTheme="minorHAnsi" w:cstheme="minorBidi"/>
            <w:kern w:val="2"/>
            <w:sz w:val="24"/>
            <w:szCs w:val="24"/>
            <w:lang w:eastAsia="en-AU"/>
            <w14:ligatures w14:val="standardContextual"/>
          </w:rPr>
          <w:tab/>
        </w:r>
        <w:r w:rsidRPr="00533B68">
          <w:t>Third-party proceeding—when available</w:t>
        </w:r>
        <w:r>
          <w:tab/>
        </w:r>
        <w:r>
          <w:fldChar w:fldCharType="begin"/>
        </w:r>
        <w:r>
          <w:instrText xml:space="preserve"> PAGEREF _Toc185513760 \h </w:instrText>
        </w:r>
        <w:r>
          <w:fldChar w:fldCharType="separate"/>
        </w:r>
        <w:r>
          <w:t>80</w:t>
        </w:r>
        <w:r>
          <w:fldChar w:fldCharType="end"/>
        </w:r>
      </w:hyperlink>
    </w:p>
    <w:p w14:paraId="3CDF4D8D" w14:textId="751A44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1" w:history="1">
        <w:r w:rsidRPr="00533B68">
          <w:t>303</w:t>
        </w:r>
        <w:r>
          <w:rPr>
            <w:rFonts w:asciiTheme="minorHAnsi" w:eastAsiaTheme="minorEastAsia" w:hAnsiTheme="minorHAnsi" w:cstheme="minorBidi"/>
            <w:kern w:val="2"/>
            <w:sz w:val="24"/>
            <w:szCs w:val="24"/>
            <w:lang w:eastAsia="en-AU"/>
            <w14:ligatures w14:val="standardContextual"/>
          </w:rPr>
          <w:tab/>
        </w:r>
        <w:r w:rsidRPr="00533B68">
          <w:t>Third-party notice—content etc</w:t>
        </w:r>
        <w:r>
          <w:tab/>
        </w:r>
        <w:r>
          <w:fldChar w:fldCharType="begin"/>
        </w:r>
        <w:r>
          <w:instrText xml:space="preserve"> PAGEREF _Toc185513761 \h </w:instrText>
        </w:r>
        <w:r>
          <w:fldChar w:fldCharType="separate"/>
        </w:r>
        <w:r>
          <w:t>81</w:t>
        </w:r>
        <w:r>
          <w:fldChar w:fldCharType="end"/>
        </w:r>
      </w:hyperlink>
    </w:p>
    <w:p w14:paraId="5DAEE7C6" w14:textId="0BCDD71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2" w:history="1">
        <w:r w:rsidRPr="00533B68">
          <w:t>304</w:t>
        </w:r>
        <w:r>
          <w:rPr>
            <w:rFonts w:asciiTheme="minorHAnsi" w:eastAsiaTheme="minorEastAsia" w:hAnsiTheme="minorHAnsi" w:cstheme="minorBidi"/>
            <w:kern w:val="2"/>
            <w:sz w:val="24"/>
            <w:szCs w:val="24"/>
            <w:lang w:eastAsia="en-AU"/>
            <w14:ligatures w14:val="standardContextual"/>
          </w:rPr>
          <w:tab/>
        </w:r>
        <w:r w:rsidRPr="00533B68">
          <w:rPr>
            <w:lang w:val="en-US"/>
          </w:rPr>
          <w:t>Third-party notice—additional matters for claims for debt and liquidated demands</w:t>
        </w:r>
        <w:r>
          <w:tab/>
        </w:r>
        <w:r>
          <w:fldChar w:fldCharType="begin"/>
        </w:r>
        <w:r>
          <w:instrText xml:space="preserve"> PAGEREF _Toc185513762 \h </w:instrText>
        </w:r>
        <w:r>
          <w:fldChar w:fldCharType="separate"/>
        </w:r>
        <w:r>
          <w:t>82</w:t>
        </w:r>
        <w:r>
          <w:fldChar w:fldCharType="end"/>
        </w:r>
      </w:hyperlink>
    </w:p>
    <w:p w14:paraId="19FE70B2" w14:textId="72C27C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3" w:history="1">
        <w:r w:rsidRPr="00533B68">
          <w:t>305</w:t>
        </w:r>
        <w:r>
          <w:rPr>
            <w:rFonts w:asciiTheme="minorHAnsi" w:eastAsiaTheme="minorEastAsia" w:hAnsiTheme="minorHAnsi" w:cstheme="minorBidi"/>
            <w:kern w:val="2"/>
            <w:sz w:val="24"/>
            <w:szCs w:val="24"/>
            <w:lang w:eastAsia="en-AU"/>
            <w14:ligatures w14:val="standardContextual"/>
          </w:rPr>
          <w:tab/>
        </w:r>
        <w:r w:rsidRPr="00533B68">
          <w:rPr>
            <w:lang w:val="en-US"/>
          </w:rPr>
          <w:t>Third-party notice—statement of claim for certain personal injury claims</w:t>
        </w:r>
        <w:r>
          <w:tab/>
        </w:r>
        <w:r>
          <w:fldChar w:fldCharType="begin"/>
        </w:r>
        <w:r>
          <w:instrText xml:space="preserve"> PAGEREF _Toc185513763 \h </w:instrText>
        </w:r>
        <w:r>
          <w:fldChar w:fldCharType="separate"/>
        </w:r>
        <w:r>
          <w:t>83</w:t>
        </w:r>
        <w:r>
          <w:fldChar w:fldCharType="end"/>
        </w:r>
      </w:hyperlink>
    </w:p>
    <w:p w14:paraId="5136275E" w14:textId="2A37DB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4" w:history="1">
        <w:r w:rsidRPr="00533B68">
          <w:t>306</w:t>
        </w:r>
        <w:r>
          <w:rPr>
            <w:rFonts w:asciiTheme="minorHAnsi" w:eastAsiaTheme="minorEastAsia" w:hAnsiTheme="minorHAnsi" w:cstheme="minorBidi"/>
            <w:kern w:val="2"/>
            <w:sz w:val="24"/>
            <w:szCs w:val="24"/>
            <w:lang w:eastAsia="en-AU"/>
            <w14:ligatures w14:val="standardContextual"/>
          </w:rPr>
          <w:tab/>
        </w:r>
        <w:r w:rsidRPr="00533B68">
          <w:t>Third-party notice—filing</w:t>
        </w:r>
        <w:r>
          <w:tab/>
        </w:r>
        <w:r>
          <w:fldChar w:fldCharType="begin"/>
        </w:r>
        <w:r>
          <w:instrText xml:space="preserve"> PAGEREF _Toc185513764 \h </w:instrText>
        </w:r>
        <w:r>
          <w:fldChar w:fldCharType="separate"/>
        </w:r>
        <w:r>
          <w:t>83</w:t>
        </w:r>
        <w:r>
          <w:fldChar w:fldCharType="end"/>
        </w:r>
      </w:hyperlink>
    </w:p>
    <w:p w14:paraId="25911EA9" w14:textId="3BF898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5" w:history="1">
        <w:r w:rsidRPr="00533B68">
          <w:t>307</w:t>
        </w:r>
        <w:r>
          <w:rPr>
            <w:rFonts w:asciiTheme="minorHAnsi" w:eastAsiaTheme="minorEastAsia" w:hAnsiTheme="minorHAnsi" w:cstheme="minorBidi"/>
            <w:kern w:val="2"/>
            <w:sz w:val="24"/>
            <w:szCs w:val="24"/>
            <w:lang w:eastAsia="en-AU"/>
            <w14:ligatures w14:val="standardContextual"/>
          </w:rPr>
          <w:tab/>
        </w:r>
        <w:r w:rsidRPr="00533B68">
          <w:t>Third-party notice—sealing</w:t>
        </w:r>
        <w:r>
          <w:tab/>
        </w:r>
        <w:r>
          <w:fldChar w:fldCharType="begin"/>
        </w:r>
        <w:r>
          <w:instrText xml:space="preserve"> PAGEREF _Toc185513765 \h </w:instrText>
        </w:r>
        <w:r>
          <w:fldChar w:fldCharType="separate"/>
        </w:r>
        <w:r>
          <w:t>84</w:t>
        </w:r>
        <w:r>
          <w:fldChar w:fldCharType="end"/>
        </w:r>
      </w:hyperlink>
    </w:p>
    <w:p w14:paraId="4B52073F" w14:textId="4AF77E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6" w:history="1">
        <w:r w:rsidRPr="00533B68">
          <w:t>308</w:t>
        </w:r>
        <w:r>
          <w:rPr>
            <w:rFonts w:asciiTheme="minorHAnsi" w:eastAsiaTheme="minorEastAsia" w:hAnsiTheme="minorHAnsi" w:cstheme="minorBidi"/>
            <w:kern w:val="2"/>
            <w:sz w:val="24"/>
            <w:szCs w:val="24"/>
            <w:lang w:eastAsia="en-AU"/>
            <w14:ligatures w14:val="standardContextual"/>
          </w:rPr>
          <w:tab/>
        </w:r>
        <w:r w:rsidRPr="00533B68">
          <w:t>Third-party notice—service</w:t>
        </w:r>
        <w:r>
          <w:tab/>
        </w:r>
        <w:r>
          <w:fldChar w:fldCharType="begin"/>
        </w:r>
        <w:r>
          <w:instrText xml:space="preserve"> PAGEREF _Toc185513766 \h </w:instrText>
        </w:r>
        <w:r>
          <w:fldChar w:fldCharType="separate"/>
        </w:r>
        <w:r>
          <w:t>84</w:t>
        </w:r>
        <w:r>
          <w:fldChar w:fldCharType="end"/>
        </w:r>
      </w:hyperlink>
    </w:p>
    <w:p w14:paraId="24ECCB2A" w14:textId="13B79F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7" w:history="1">
        <w:r w:rsidRPr="00533B68">
          <w:t>309</w:t>
        </w:r>
        <w:r>
          <w:rPr>
            <w:rFonts w:asciiTheme="minorHAnsi" w:eastAsiaTheme="minorEastAsia" w:hAnsiTheme="minorHAnsi" w:cstheme="minorBidi"/>
            <w:kern w:val="2"/>
            <w:sz w:val="24"/>
            <w:szCs w:val="24"/>
            <w:lang w:eastAsia="en-AU"/>
            <w14:ligatures w14:val="standardContextual"/>
          </w:rPr>
          <w:tab/>
        </w:r>
        <w:r w:rsidRPr="00533B68">
          <w:t>Third-party notice—effect of service on third party</w:t>
        </w:r>
        <w:r>
          <w:tab/>
        </w:r>
        <w:r>
          <w:fldChar w:fldCharType="begin"/>
        </w:r>
        <w:r>
          <w:instrText xml:space="preserve"> PAGEREF _Toc185513767 \h </w:instrText>
        </w:r>
        <w:r>
          <w:fldChar w:fldCharType="separate"/>
        </w:r>
        <w:r>
          <w:t>85</w:t>
        </w:r>
        <w:r>
          <w:fldChar w:fldCharType="end"/>
        </w:r>
      </w:hyperlink>
    </w:p>
    <w:p w14:paraId="2B3AC47B" w14:textId="065DE4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8" w:history="1">
        <w:r w:rsidRPr="00533B68">
          <w:t>310</w:t>
        </w:r>
        <w:r>
          <w:rPr>
            <w:rFonts w:asciiTheme="minorHAnsi" w:eastAsiaTheme="minorEastAsia" w:hAnsiTheme="minorHAnsi" w:cstheme="minorBidi"/>
            <w:kern w:val="2"/>
            <w:sz w:val="24"/>
            <w:szCs w:val="24"/>
            <w:lang w:eastAsia="en-AU"/>
            <w14:ligatures w14:val="standardContextual"/>
          </w:rPr>
          <w:tab/>
        </w:r>
        <w:r w:rsidRPr="00533B68">
          <w:t>Third-party notice—setting aside</w:t>
        </w:r>
        <w:r>
          <w:tab/>
        </w:r>
        <w:r>
          <w:fldChar w:fldCharType="begin"/>
        </w:r>
        <w:r>
          <w:instrText xml:space="preserve"> PAGEREF _Toc185513768 \h </w:instrText>
        </w:r>
        <w:r>
          <w:fldChar w:fldCharType="separate"/>
        </w:r>
        <w:r>
          <w:t>85</w:t>
        </w:r>
        <w:r>
          <w:fldChar w:fldCharType="end"/>
        </w:r>
      </w:hyperlink>
    </w:p>
    <w:p w14:paraId="08905B55" w14:textId="5B06A6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69" w:history="1">
        <w:r w:rsidRPr="00533B68">
          <w:t>311</w:t>
        </w:r>
        <w:r>
          <w:rPr>
            <w:rFonts w:asciiTheme="minorHAnsi" w:eastAsiaTheme="minorEastAsia" w:hAnsiTheme="minorHAnsi" w:cstheme="minorBidi"/>
            <w:kern w:val="2"/>
            <w:sz w:val="24"/>
            <w:szCs w:val="24"/>
            <w:lang w:eastAsia="en-AU"/>
            <w14:ligatures w14:val="standardContextual"/>
          </w:rPr>
          <w:tab/>
        </w:r>
        <w:r w:rsidRPr="00533B68">
          <w:t>Third-party notice—notice of intention to respond and defence</w:t>
        </w:r>
        <w:r>
          <w:tab/>
        </w:r>
        <w:r>
          <w:fldChar w:fldCharType="begin"/>
        </w:r>
        <w:r>
          <w:instrText xml:space="preserve"> PAGEREF _Toc185513769 \h </w:instrText>
        </w:r>
        <w:r>
          <w:fldChar w:fldCharType="separate"/>
        </w:r>
        <w:r>
          <w:t>86</w:t>
        </w:r>
        <w:r>
          <w:fldChar w:fldCharType="end"/>
        </w:r>
      </w:hyperlink>
    </w:p>
    <w:p w14:paraId="250C8BA5" w14:textId="294093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0" w:history="1">
        <w:r w:rsidRPr="00533B68">
          <w:t>312</w:t>
        </w:r>
        <w:r>
          <w:rPr>
            <w:rFonts w:asciiTheme="minorHAnsi" w:eastAsiaTheme="minorEastAsia" w:hAnsiTheme="minorHAnsi" w:cstheme="minorBidi"/>
            <w:kern w:val="2"/>
            <w:sz w:val="24"/>
            <w:szCs w:val="24"/>
            <w:lang w:eastAsia="en-AU"/>
            <w14:ligatures w14:val="standardContextual"/>
          </w:rPr>
          <w:tab/>
        </w:r>
        <w:r w:rsidRPr="00533B68">
          <w:t>Service of pleadings after filing of third-party notice</w:t>
        </w:r>
        <w:r>
          <w:tab/>
        </w:r>
        <w:r>
          <w:fldChar w:fldCharType="begin"/>
        </w:r>
        <w:r>
          <w:instrText xml:space="preserve"> PAGEREF _Toc185513770 \h </w:instrText>
        </w:r>
        <w:r>
          <w:fldChar w:fldCharType="separate"/>
        </w:r>
        <w:r>
          <w:t>86</w:t>
        </w:r>
        <w:r>
          <w:fldChar w:fldCharType="end"/>
        </w:r>
      </w:hyperlink>
    </w:p>
    <w:p w14:paraId="6D560285" w14:textId="2D673E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1" w:history="1">
        <w:r w:rsidRPr="00533B68">
          <w:t>313</w:t>
        </w:r>
        <w:r>
          <w:rPr>
            <w:rFonts w:asciiTheme="minorHAnsi" w:eastAsiaTheme="minorEastAsia" w:hAnsiTheme="minorHAnsi" w:cstheme="minorBidi"/>
            <w:kern w:val="2"/>
            <w:sz w:val="24"/>
            <w:szCs w:val="24"/>
            <w:lang w:eastAsia="en-AU"/>
            <w14:ligatures w14:val="standardContextual"/>
          </w:rPr>
          <w:tab/>
        </w:r>
        <w:r w:rsidRPr="00533B68">
          <w:t>Counterclaim by third party</w:t>
        </w:r>
        <w:r>
          <w:tab/>
        </w:r>
        <w:r>
          <w:fldChar w:fldCharType="begin"/>
        </w:r>
        <w:r>
          <w:instrText xml:space="preserve"> PAGEREF _Toc185513771 \h </w:instrText>
        </w:r>
        <w:r>
          <w:fldChar w:fldCharType="separate"/>
        </w:r>
        <w:r>
          <w:t>86</w:t>
        </w:r>
        <w:r>
          <w:fldChar w:fldCharType="end"/>
        </w:r>
      </w:hyperlink>
    </w:p>
    <w:p w14:paraId="17AB9065" w14:textId="6CCF42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2" w:history="1">
        <w:r w:rsidRPr="00533B68">
          <w:t>314</w:t>
        </w:r>
        <w:r>
          <w:rPr>
            <w:rFonts w:asciiTheme="minorHAnsi" w:eastAsiaTheme="minorEastAsia" w:hAnsiTheme="minorHAnsi" w:cstheme="minorBidi"/>
            <w:kern w:val="2"/>
            <w:sz w:val="24"/>
            <w:szCs w:val="24"/>
            <w:lang w:eastAsia="en-AU"/>
            <w14:ligatures w14:val="standardContextual"/>
          </w:rPr>
          <w:tab/>
        </w:r>
        <w:r w:rsidRPr="00533B68">
          <w:t>Third-party notice—default by third party</w:t>
        </w:r>
        <w:r>
          <w:tab/>
        </w:r>
        <w:r>
          <w:fldChar w:fldCharType="begin"/>
        </w:r>
        <w:r>
          <w:instrText xml:space="preserve"> PAGEREF _Toc185513772 \h </w:instrText>
        </w:r>
        <w:r>
          <w:fldChar w:fldCharType="separate"/>
        </w:r>
        <w:r>
          <w:t>87</w:t>
        </w:r>
        <w:r>
          <w:fldChar w:fldCharType="end"/>
        </w:r>
      </w:hyperlink>
    </w:p>
    <w:p w14:paraId="2BCF31B5" w14:textId="6644AEB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3" w:history="1">
        <w:r w:rsidRPr="00533B68">
          <w:t>315</w:t>
        </w:r>
        <w:r>
          <w:rPr>
            <w:rFonts w:asciiTheme="minorHAnsi" w:eastAsiaTheme="minorEastAsia" w:hAnsiTheme="minorHAnsi" w:cstheme="minorBidi"/>
            <w:kern w:val="2"/>
            <w:sz w:val="24"/>
            <w:szCs w:val="24"/>
            <w:lang w:eastAsia="en-AU"/>
            <w14:ligatures w14:val="standardContextual"/>
          </w:rPr>
          <w:tab/>
        </w:r>
        <w:r w:rsidRPr="00533B68">
          <w:t>Third parties—disclosure</w:t>
        </w:r>
        <w:r>
          <w:tab/>
        </w:r>
        <w:r>
          <w:fldChar w:fldCharType="begin"/>
        </w:r>
        <w:r>
          <w:instrText xml:space="preserve"> PAGEREF _Toc185513773 \h </w:instrText>
        </w:r>
        <w:r>
          <w:fldChar w:fldCharType="separate"/>
        </w:r>
        <w:r>
          <w:t>88</w:t>
        </w:r>
        <w:r>
          <w:fldChar w:fldCharType="end"/>
        </w:r>
      </w:hyperlink>
    </w:p>
    <w:p w14:paraId="46B2BD60" w14:textId="73EE7B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4" w:history="1">
        <w:r w:rsidRPr="00533B68">
          <w:t>316</w:t>
        </w:r>
        <w:r>
          <w:rPr>
            <w:rFonts w:asciiTheme="minorHAnsi" w:eastAsiaTheme="minorEastAsia" w:hAnsiTheme="minorHAnsi" w:cstheme="minorBidi"/>
            <w:kern w:val="2"/>
            <w:sz w:val="24"/>
            <w:szCs w:val="24"/>
            <w:lang w:eastAsia="en-AU"/>
            <w14:ligatures w14:val="standardContextual"/>
          </w:rPr>
          <w:tab/>
        </w:r>
        <w:r w:rsidRPr="00533B68">
          <w:t>Third-party notice—hearing</w:t>
        </w:r>
        <w:r>
          <w:tab/>
        </w:r>
        <w:r>
          <w:fldChar w:fldCharType="begin"/>
        </w:r>
        <w:r>
          <w:instrText xml:space="preserve"> PAGEREF _Toc185513774 \h </w:instrText>
        </w:r>
        <w:r>
          <w:fldChar w:fldCharType="separate"/>
        </w:r>
        <w:r>
          <w:t>88</w:t>
        </w:r>
        <w:r>
          <w:fldChar w:fldCharType="end"/>
        </w:r>
      </w:hyperlink>
    </w:p>
    <w:p w14:paraId="5217F6CC" w14:textId="1F0EE24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5" w:history="1">
        <w:r w:rsidRPr="00533B68">
          <w:t>317</w:t>
        </w:r>
        <w:r>
          <w:rPr>
            <w:rFonts w:asciiTheme="minorHAnsi" w:eastAsiaTheme="minorEastAsia" w:hAnsiTheme="minorHAnsi" w:cstheme="minorBidi"/>
            <w:kern w:val="2"/>
            <w:sz w:val="24"/>
            <w:szCs w:val="24"/>
            <w:lang w:eastAsia="en-AU"/>
            <w14:ligatures w14:val="standardContextual"/>
          </w:rPr>
          <w:tab/>
        </w:r>
        <w:r w:rsidRPr="00533B68">
          <w:t>Third party—extent bound by judgment between plaintiff and defendant</w:t>
        </w:r>
        <w:r>
          <w:tab/>
        </w:r>
        <w:r>
          <w:fldChar w:fldCharType="begin"/>
        </w:r>
        <w:r>
          <w:instrText xml:space="preserve"> PAGEREF _Toc185513775 \h </w:instrText>
        </w:r>
        <w:r>
          <w:fldChar w:fldCharType="separate"/>
        </w:r>
        <w:r>
          <w:t>89</w:t>
        </w:r>
        <w:r>
          <w:fldChar w:fldCharType="end"/>
        </w:r>
      </w:hyperlink>
    </w:p>
    <w:p w14:paraId="7C63D1AA" w14:textId="190B69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6" w:history="1">
        <w:r w:rsidRPr="00533B68">
          <w:t>318</w:t>
        </w:r>
        <w:r>
          <w:rPr>
            <w:rFonts w:asciiTheme="minorHAnsi" w:eastAsiaTheme="minorEastAsia" w:hAnsiTheme="minorHAnsi" w:cstheme="minorBidi"/>
            <w:kern w:val="2"/>
            <w:sz w:val="24"/>
            <w:szCs w:val="24"/>
            <w:lang w:eastAsia="en-AU"/>
            <w14:ligatures w14:val="standardContextual"/>
          </w:rPr>
          <w:tab/>
        </w:r>
        <w:r w:rsidRPr="00533B68">
          <w:t>Third-party notice—judgment between defendant and third party</w:t>
        </w:r>
        <w:r>
          <w:tab/>
        </w:r>
        <w:r>
          <w:fldChar w:fldCharType="begin"/>
        </w:r>
        <w:r>
          <w:instrText xml:space="preserve"> PAGEREF _Toc185513776 \h </w:instrText>
        </w:r>
        <w:r>
          <w:fldChar w:fldCharType="separate"/>
        </w:r>
        <w:r>
          <w:t>89</w:t>
        </w:r>
        <w:r>
          <w:fldChar w:fldCharType="end"/>
        </w:r>
      </w:hyperlink>
    </w:p>
    <w:p w14:paraId="1C6F53A2" w14:textId="65E5C2A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7" w:history="1">
        <w:r w:rsidRPr="00533B68">
          <w:t>319</w:t>
        </w:r>
        <w:r>
          <w:rPr>
            <w:rFonts w:asciiTheme="minorHAnsi" w:eastAsiaTheme="minorEastAsia" w:hAnsiTheme="minorHAnsi" w:cstheme="minorBidi"/>
            <w:kern w:val="2"/>
            <w:sz w:val="24"/>
            <w:szCs w:val="24"/>
            <w:lang w:eastAsia="en-AU"/>
            <w14:ligatures w14:val="standardContextual"/>
          </w:rPr>
          <w:tab/>
        </w:r>
        <w:r w:rsidRPr="00533B68">
          <w:t>Notice claiming contribution or indemnity against another party</w:t>
        </w:r>
        <w:r>
          <w:tab/>
        </w:r>
        <w:r>
          <w:fldChar w:fldCharType="begin"/>
        </w:r>
        <w:r>
          <w:instrText xml:space="preserve"> PAGEREF _Toc185513777 \h </w:instrText>
        </w:r>
        <w:r>
          <w:fldChar w:fldCharType="separate"/>
        </w:r>
        <w:r>
          <w:t>90</w:t>
        </w:r>
        <w:r>
          <w:fldChar w:fldCharType="end"/>
        </w:r>
      </w:hyperlink>
    </w:p>
    <w:p w14:paraId="75E81E7A" w14:textId="3A6A0FFC"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778" w:history="1">
        <w:r w:rsidRPr="00533B68">
          <w:t>320</w:t>
        </w:r>
        <w:r>
          <w:rPr>
            <w:rFonts w:asciiTheme="minorHAnsi" w:eastAsiaTheme="minorEastAsia" w:hAnsiTheme="minorHAnsi" w:cstheme="minorBidi"/>
            <w:kern w:val="2"/>
            <w:sz w:val="24"/>
            <w:szCs w:val="24"/>
            <w:lang w:eastAsia="en-AU"/>
            <w14:ligatures w14:val="standardContextual"/>
          </w:rPr>
          <w:tab/>
        </w:r>
        <w:r w:rsidRPr="00533B68">
          <w:t>Notice claiming contribution or indemnity—filing and service etc</w:t>
        </w:r>
        <w:r>
          <w:tab/>
        </w:r>
        <w:r>
          <w:fldChar w:fldCharType="begin"/>
        </w:r>
        <w:r>
          <w:instrText xml:space="preserve"> PAGEREF _Toc185513778 \h </w:instrText>
        </w:r>
        <w:r>
          <w:fldChar w:fldCharType="separate"/>
        </w:r>
        <w:r>
          <w:t>91</w:t>
        </w:r>
        <w:r>
          <w:fldChar w:fldCharType="end"/>
        </w:r>
      </w:hyperlink>
    </w:p>
    <w:p w14:paraId="64E62A1A" w14:textId="11F405A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79" w:history="1">
        <w:r w:rsidRPr="00533B68">
          <w:t>321</w:t>
        </w:r>
        <w:r>
          <w:rPr>
            <w:rFonts w:asciiTheme="minorHAnsi" w:eastAsiaTheme="minorEastAsia" w:hAnsiTheme="minorHAnsi" w:cstheme="minorBidi"/>
            <w:kern w:val="2"/>
            <w:sz w:val="24"/>
            <w:szCs w:val="24"/>
            <w:lang w:eastAsia="en-AU"/>
            <w14:ligatures w14:val="standardContextual"/>
          </w:rPr>
          <w:tab/>
        </w:r>
        <w:r w:rsidRPr="00533B68">
          <w:t>Contribution under Civil Law (Wrongs) Act, s 21</w:t>
        </w:r>
        <w:r>
          <w:tab/>
        </w:r>
        <w:r>
          <w:fldChar w:fldCharType="begin"/>
        </w:r>
        <w:r>
          <w:instrText xml:space="preserve"> PAGEREF _Toc185513779 \h </w:instrText>
        </w:r>
        <w:r>
          <w:fldChar w:fldCharType="separate"/>
        </w:r>
        <w:r>
          <w:t>92</w:t>
        </w:r>
        <w:r>
          <w:fldChar w:fldCharType="end"/>
        </w:r>
      </w:hyperlink>
    </w:p>
    <w:p w14:paraId="6CEA03FB" w14:textId="598A6A2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80" w:history="1">
        <w:r w:rsidRPr="00533B68">
          <w:t>322</w:t>
        </w:r>
        <w:r>
          <w:rPr>
            <w:rFonts w:asciiTheme="minorHAnsi" w:eastAsiaTheme="minorEastAsia" w:hAnsiTheme="minorHAnsi" w:cstheme="minorBidi"/>
            <w:kern w:val="2"/>
            <w:sz w:val="24"/>
            <w:szCs w:val="24"/>
            <w:lang w:eastAsia="en-AU"/>
            <w14:ligatures w14:val="standardContextual"/>
          </w:rPr>
          <w:tab/>
        </w:r>
        <w:r w:rsidRPr="00533B68">
          <w:t>Third-party notice—fourth and subsequent parties</w:t>
        </w:r>
        <w:r>
          <w:tab/>
        </w:r>
        <w:r>
          <w:fldChar w:fldCharType="begin"/>
        </w:r>
        <w:r>
          <w:instrText xml:space="preserve"> PAGEREF _Toc185513780 \h </w:instrText>
        </w:r>
        <w:r>
          <w:fldChar w:fldCharType="separate"/>
        </w:r>
        <w:r>
          <w:t>92</w:t>
        </w:r>
        <w:r>
          <w:fldChar w:fldCharType="end"/>
        </w:r>
      </w:hyperlink>
    </w:p>
    <w:p w14:paraId="68A79A89" w14:textId="27C5567A"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781" w:history="1">
        <w:r w:rsidR="00AC5392" w:rsidRPr="00533B68">
          <w:t>Part 2.6</w:t>
        </w:r>
        <w:r w:rsidR="00AC5392">
          <w:rPr>
            <w:rFonts w:asciiTheme="minorHAnsi" w:eastAsiaTheme="minorEastAsia" w:hAnsiTheme="minorHAnsi" w:cstheme="minorBidi"/>
            <w:b w:val="0"/>
            <w:kern w:val="2"/>
            <w:szCs w:val="24"/>
            <w:lang w:eastAsia="en-AU"/>
            <w14:ligatures w14:val="standardContextual"/>
          </w:rPr>
          <w:tab/>
        </w:r>
        <w:r w:rsidR="00AC5392" w:rsidRPr="00533B68">
          <w:t>Pleadings</w:t>
        </w:r>
        <w:r w:rsidR="00AC5392" w:rsidRPr="00AC5392">
          <w:rPr>
            <w:vanish/>
          </w:rPr>
          <w:tab/>
        </w:r>
        <w:r w:rsidR="00AC5392" w:rsidRPr="00AC5392">
          <w:rPr>
            <w:vanish/>
          </w:rPr>
          <w:fldChar w:fldCharType="begin"/>
        </w:r>
        <w:r w:rsidR="00AC5392" w:rsidRPr="00AC5392">
          <w:rPr>
            <w:vanish/>
          </w:rPr>
          <w:instrText xml:space="preserve"> PAGEREF _Toc185513781 \h </w:instrText>
        </w:r>
        <w:r w:rsidR="00AC5392" w:rsidRPr="00AC5392">
          <w:rPr>
            <w:vanish/>
          </w:rPr>
        </w:r>
        <w:r w:rsidR="00AC5392" w:rsidRPr="00AC5392">
          <w:rPr>
            <w:vanish/>
          </w:rPr>
          <w:fldChar w:fldCharType="separate"/>
        </w:r>
        <w:r w:rsidR="00AC5392" w:rsidRPr="00AC5392">
          <w:rPr>
            <w:vanish/>
          </w:rPr>
          <w:t>94</w:t>
        </w:r>
        <w:r w:rsidR="00AC5392" w:rsidRPr="00AC5392">
          <w:rPr>
            <w:vanish/>
          </w:rPr>
          <w:fldChar w:fldCharType="end"/>
        </w:r>
      </w:hyperlink>
    </w:p>
    <w:p w14:paraId="00E05868" w14:textId="05F38FB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82" w:history="1">
        <w:r w:rsidR="00AC5392" w:rsidRPr="00533B68">
          <w:t>Division 2.6.1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Application—pt 2.6</w:t>
        </w:r>
        <w:r w:rsidR="00AC5392" w:rsidRPr="00AC5392">
          <w:rPr>
            <w:vanish/>
          </w:rPr>
          <w:tab/>
        </w:r>
        <w:r w:rsidR="00AC5392" w:rsidRPr="00AC5392">
          <w:rPr>
            <w:vanish/>
          </w:rPr>
          <w:fldChar w:fldCharType="begin"/>
        </w:r>
        <w:r w:rsidR="00AC5392" w:rsidRPr="00AC5392">
          <w:rPr>
            <w:vanish/>
          </w:rPr>
          <w:instrText xml:space="preserve"> PAGEREF _Toc185513782 \h </w:instrText>
        </w:r>
        <w:r w:rsidR="00AC5392" w:rsidRPr="00AC5392">
          <w:rPr>
            <w:vanish/>
          </w:rPr>
        </w:r>
        <w:r w:rsidR="00AC5392" w:rsidRPr="00AC5392">
          <w:rPr>
            <w:vanish/>
          </w:rPr>
          <w:fldChar w:fldCharType="separate"/>
        </w:r>
        <w:r w:rsidR="00AC5392" w:rsidRPr="00AC5392">
          <w:rPr>
            <w:vanish/>
          </w:rPr>
          <w:t>94</w:t>
        </w:r>
        <w:r w:rsidR="00AC5392" w:rsidRPr="00AC5392">
          <w:rPr>
            <w:vanish/>
          </w:rPr>
          <w:fldChar w:fldCharType="end"/>
        </w:r>
      </w:hyperlink>
    </w:p>
    <w:p w14:paraId="39AC5111" w14:textId="2E165B3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83" w:history="1">
        <w:r w:rsidRPr="00533B68">
          <w:t>400</w:t>
        </w:r>
        <w:r>
          <w:rPr>
            <w:rFonts w:asciiTheme="minorHAnsi" w:eastAsiaTheme="minorEastAsia" w:hAnsiTheme="minorHAnsi" w:cstheme="minorBidi"/>
            <w:kern w:val="2"/>
            <w:sz w:val="24"/>
            <w:szCs w:val="24"/>
            <w:lang w:eastAsia="en-AU"/>
            <w14:ligatures w14:val="standardContextual"/>
          </w:rPr>
          <w:tab/>
        </w:r>
        <w:r w:rsidRPr="00533B68">
          <w:t>Application—pt 2.6</w:t>
        </w:r>
        <w:r>
          <w:tab/>
        </w:r>
        <w:r>
          <w:fldChar w:fldCharType="begin"/>
        </w:r>
        <w:r>
          <w:instrText xml:space="preserve"> PAGEREF _Toc185513783 \h </w:instrText>
        </w:r>
        <w:r>
          <w:fldChar w:fldCharType="separate"/>
        </w:r>
        <w:r>
          <w:t>94</w:t>
        </w:r>
        <w:r>
          <w:fldChar w:fldCharType="end"/>
        </w:r>
      </w:hyperlink>
    </w:p>
    <w:p w14:paraId="22AED75D" w14:textId="30CD280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784" w:history="1">
        <w:r w:rsidR="00AC5392" w:rsidRPr="00533B68">
          <w:t>Division 2.6.2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Rules of pleading</w:t>
        </w:r>
        <w:r w:rsidR="00AC5392" w:rsidRPr="00AC5392">
          <w:rPr>
            <w:vanish/>
          </w:rPr>
          <w:tab/>
        </w:r>
        <w:r w:rsidR="00AC5392" w:rsidRPr="00AC5392">
          <w:rPr>
            <w:vanish/>
          </w:rPr>
          <w:fldChar w:fldCharType="begin"/>
        </w:r>
        <w:r w:rsidR="00AC5392" w:rsidRPr="00AC5392">
          <w:rPr>
            <w:vanish/>
          </w:rPr>
          <w:instrText xml:space="preserve"> PAGEREF _Toc185513784 \h </w:instrText>
        </w:r>
        <w:r w:rsidR="00AC5392" w:rsidRPr="00AC5392">
          <w:rPr>
            <w:vanish/>
          </w:rPr>
        </w:r>
        <w:r w:rsidR="00AC5392" w:rsidRPr="00AC5392">
          <w:rPr>
            <w:vanish/>
          </w:rPr>
          <w:fldChar w:fldCharType="separate"/>
        </w:r>
        <w:r w:rsidR="00AC5392" w:rsidRPr="00AC5392">
          <w:rPr>
            <w:vanish/>
          </w:rPr>
          <w:t>94</w:t>
        </w:r>
        <w:r w:rsidR="00AC5392" w:rsidRPr="00AC5392">
          <w:rPr>
            <w:vanish/>
          </w:rPr>
          <w:fldChar w:fldCharType="end"/>
        </w:r>
      </w:hyperlink>
    </w:p>
    <w:p w14:paraId="2888D617" w14:textId="2AB718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85" w:history="1">
        <w:r w:rsidRPr="00533B68">
          <w:t>405</w:t>
        </w:r>
        <w:r>
          <w:rPr>
            <w:rFonts w:asciiTheme="minorHAnsi" w:eastAsiaTheme="minorEastAsia" w:hAnsiTheme="minorHAnsi" w:cstheme="minorBidi"/>
            <w:kern w:val="2"/>
            <w:sz w:val="24"/>
            <w:szCs w:val="24"/>
            <w:lang w:eastAsia="en-AU"/>
            <w14:ligatures w14:val="standardContextual"/>
          </w:rPr>
          <w:tab/>
        </w:r>
        <w:r w:rsidRPr="00533B68">
          <w:t>Pleadings—formal requirements</w:t>
        </w:r>
        <w:r>
          <w:tab/>
        </w:r>
        <w:r>
          <w:fldChar w:fldCharType="begin"/>
        </w:r>
        <w:r>
          <w:instrText xml:space="preserve"> PAGEREF _Toc185513785 \h </w:instrText>
        </w:r>
        <w:r>
          <w:fldChar w:fldCharType="separate"/>
        </w:r>
        <w:r>
          <w:t>94</w:t>
        </w:r>
        <w:r>
          <w:fldChar w:fldCharType="end"/>
        </w:r>
      </w:hyperlink>
    </w:p>
    <w:p w14:paraId="2489F8E3" w14:textId="4D3536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86" w:history="1">
        <w:r w:rsidRPr="00533B68">
          <w:t>406</w:t>
        </w:r>
        <w:r>
          <w:rPr>
            <w:rFonts w:asciiTheme="minorHAnsi" w:eastAsiaTheme="minorEastAsia" w:hAnsiTheme="minorHAnsi" w:cstheme="minorBidi"/>
            <w:kern w:val="2"/>
            <w:sz w:val="24"/>
            <w:szCs w:val="24"/>
            <w:lang w:eastAsia="en-AU"/>
            <w14:ligatures w14:val="standardContextual"/>
          </w:rPr>
          <w:tab/>
        </w:r>
        <w:r w:rsidRPr="00533B68">
          <w:t>Pleadings—statements in</w:t>
        </w:r>
        <w:r>
          <w:tab/>
        </w:r>
        <w:r>
          <w:fldChar w:fldCharType="begin"/>
        </w:r>
        <w:r>
          <w:instrText xml:space="preserve"> PAGEREF _Toc185513786 \h </w:instrText>
        </w:r>
        <w:r>
          <w:fldChar w:fldCharType="separate"/>
        </w:r>
        <w:r>
          <w:t>95</w:t>
        </w:r>
        <w:r>
          <w:fldChar w:fldCharType="end"/>
        </w:r>
      </w:hyperlink>
    </w:p>
    <w:p w14:paraId="5C1DEFB5" w14:textId="0D82750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87" w:history="1">
        <w:r w:rsidRPr="00533B68">
          <w:t>407</w:t>
        </w:r>
        <w:r>
          <w:rPr>
            <w:rFonts w:asciiTheme="minorHAnsi" w:eastAsiaTheme="minorEastAsia" w:hAnsiTheme="minorHAnsi" w:cstheme="minorBidi"/>
            <w:kern w:val="2"/>
            <w:sz w:val="24"/>
            <w:szCs w:val="24"/>
            <w:lang w:eastAsia="en-AU"/>
            <w14:ligatures w14:val="standardContextual"/>
          </w:rPr>
          <w:tab/>
        </w:r>
        <w:r w:rsidRPr="00533B68">
          <w:t>Pleadings—matters to be specifically pleaded</w:t>
        </w:r>
        <w:r>
          <w:tab/>
        </w:r>
        <w:r>
          <w:fldChar w:fldCharType="begin"/>
        </w:r>
        <w:r>
          <w:instrText xml:space="preserve"> PAGEREF _Toc185513787 \h </w:instrText>
        </w:r>
        <w:r>
          <w:fldChar w:fldCharType="separate"/>
        </w:r>
        <w:r>
          <w:t>96</w:t>
        </w:r>
        <w:r>
          <w:fldChar w:fldCharType="end"/>
        </w:r>
      </w:hyperlink>
    </w:p>
    <w:p w14:paraId="0381EB64" w14:textId="60D0BB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88" w:history="1">
        <w:r w:rsidRPr="00533B68">
          <w:t>408</w:t>
        </w:r>
        <w:r>
          <w:rPr>
            <w:rFonts w:asciiTheme="minorHAnsi" w:eastAsiaTheme="minorEastAsia" w:hAnsiTheme="minorHAnsi" w:cstheme="minorBidi"/>
            <w:kern w:val="2"/>
            <w:sz w:val="24"/>
            <w:szCs w:val="24"/>
            <w:lang w:eastAsia="en-AU"/>
            <w14:ligatures w14:val="standardContextual"/>
          </w:rPr>
          <w:tab/>
        </w:r>
        <w:r w:rsidRPr="00533B68">
          <w:t>Pleadings—money claims short form</w:t>
        </w:r>
        <w:r>
          <w:tab/>
        </w:r>
        <w:r>
          <w:fldChar w:fldCharType="begin"/>
        </w:r>
        <w:r>
          <w:instrText xml:space="preserve"> PAGEREF _Toc185513788 \h </w:instrText>
        </w:r>
        <w:r>
          <w:fldChar w:fldCharType="separate"/>
        </w:r>
        <w:r>
          <w:t>97</w:t>
        </w:r>
        <w:r>
          <w:fldChar w:fldCharType="end"/>
        </w:r>
      </w:hyperlink>
    </w:p>
    <w:p w14:paraId="2A301FBD" w14:textId="42C27A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89" w:history="1">
        <w:r w:rsidRPr="00533B68">
          <w:t>409</w:t>
        </w:r>
        <w:r>
          <w:rPr>
            <w:rFonts w:asciiTheme="minorHAnsi" w:eastAsiaTheme="minorEastAsia" w:hAnsiTheme="minorHAnsi" w:cstheme="minorBidi"/>
            <w:kern w:val="2"/>
            <w:sz w:val="24"/>
            <w:szCs w:val="24"/>
            <w:lang w:eastAsia="en-AU"/>
            <w14:ligatures w14:val="standardContextual"/>
          </w:rPr>
          <w:tab/>
        </w:r>
        <w:r w:rsidRPr="00533B68">
          <w:t>Pleadings—certain facts need not be pleaded</w:t>
        </w:r>
        <w:r>
          <w:tab/>
        </w:r>
        <w:r>
          <w:fldChar w:fldCharType="begin"/>
        </w:r>
        <w:r>
          <w:instrText xml:space="preserve"> PAGEREF _Toc185513789 \h </w:instrText>
        </w:r>
        <w:r>
          <w:fldChar w:fldCharType="separate"/>
        </w:r>
        <w:r>
          <w:t>99</w:t>
        </w:r>
        <w:r>
          <w:fldChar w:fldCharType="end"/>
        </w:r>
      </w:hyperlink>
    </w:p>
    <w:p w14:paraId="133E6948" w14:textId="39E33D9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0" w:history="1">
        <w:r w:rsidRPr="00533B68">
          <w:t>410</w:t>
        </w:r>
        <w:r>
          <w:rPr>
            <w:rFonts w:asciiTheme="minorHAnsi" w:eastAsiaTheme="minorEastAsia" w:hAnsiTheme="minorHAnsi" w:cstheme="minorBidi"/>
            <w:kern w:val="2"/>
            <w:sz w:val="24"/>
            <w:szCs w:val="24"/>
            <w:lang w:eastAsia="en-AU"/>
            <w14:ligatures w14:val="standardContextual"/>
          </w:rPr>
          <w:tab/>
        </w:r>
        <w:r w:rsidRPr="00533B68">
          <w:t>Pleadings—technical objections</w:t>
        </w:r>
        <w:r>
          <w:tab/>
        </w:r>
        <w:r>
          <w:fldChar w:fldCharType="begin"/>
        </w:r>
        <w:r>
          <w:instrText xml:space="preserve"> PAGEREF _Toc185513790 \h </w:instrText>
        </w:r>
        <w:r>
          <w:fldChar w:fldCharType="separate"/>
        </w:r>
        <w:r>
          <w:t>100</w:t>
        </w:r>
        <w:r>
          <w:fldChar w:fldCharType="end"/>
        </w:r>
      </w:hyperlink>
    </w:p>
    <w:p w14:paraId="5C59BDE8" w14:textId="5DBEE5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1" w:history="1">
        <w:r w:rsidRPr="00533B68">
          <w:t>411</w:t>
        </w:r>
        <w:r>
          <w:rPr>
            <w:rFonts w:asciiTheme="minorHAnsi" w:eastAsiaTheme="minorEastAsia" w:hAnsiTheme="minorHAnsi" w:cstheme="minorBidi"/>
            <w:kern w:val="2"/>
            <w:sz w:val="24"/>
            <w:szCs w:val="24"/>
            <w:lang w:eastAsia="en-AU"/>
            <w14:ligatures w14:val="standardContextual"/>
          </w:rPr>
          <w:tab/>
        </w:r>
        <w:r w:rsidRPr="00533B68">
          <w:t>Pleadings—references to spoken words and documents</w:t>
        </w:r>
        <w:r>
          <w:tab/>
        </w:r>
        <w:r>
          <w:fldChar w:fldCharType="begin"/>
        </w:r>
        <w:r>
          <w:instrText xml:space="preserve"> PAGEREF _Toc185513791 \h </w:instrText>
        </w:r>
        <w:r>
          <w:fldChar w:fldCharType="separate"/>
        </w:r>
        <w:r>
          <w:t>100</w:t>
        </w:r>
        <w:r>
          <w:fldChar w:fldCharType="end"/>
        </w:r>
      </w:hyperlink>
    </w:p>
    <w:p w14:paraId="79D74372" w14:textId="7F65448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2" w:history="1">
        <w:r w:rsidRPr="00533B68">
          <w:t>412</w:t>
        </w:r>
        <w:r>
          <w:rPr>
            <w:rFonts w:asciiTheme="minorHAnsi" w:eastAsiaTheme="minorEastAsia" w:hAnsiTheme="minorHAnsi" w:cstheme="minorBidi"/>
            <w:kern w:val="2"/>
            <w:sz w:val="24"/>
            <w:szCs w:val="24"/>
            <w:lang w:eastAsia="en-AU"/>
            <w14:ligatures w14:val="standardContextual"/>
          </w:rPr>
          <w:tab/>
        </w:r>
        <w:r w:rsidRPr="00533B68">
          <w:t>Pleadings—conditions precedent</w:t>
        </w:r>
        <w:r>
          <w:tab/>
        </w:r>
        <w:r>
          <w:fldChar w:fldCharType="begin"/>
        </w:r>
        <w:r>
          <w:instrText xml:space="preserve"> PAGEREF _Toc185513792 \h </w:instrText>
        </w:r>
        <w:r>
          <w:fldChar w:fldCharType="separate"/>
        </w:r>
        <w:r>
          <w:t>100</w:t>
        </w:r>
        <w:r>
          <w:fldChar w:fldCharType="end"/>
        </w:r>
      </w:hyperlink>
    </w:p>
    <w:p w14:paraId="52436845" w14:textId="6B042E4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3" w:history="1">
        <w:r w:rsidRPr="00533B68">
          <w:t>413</w:t>
        </w:r>
        <w:r>
          <w:rPr>
            <w:rFonts w:asciiTheme="minorHAnsi" w:eastAsiaTheme="minorEastAsia" w:hAnsiTheme="minorHAnsi" w:cstheme="minorBidi"/>
            <w:kern w:val="2"/>
            <w:sz w:val="24"/>
            <w:szCs w:val="24"/>
            <w:lang w:eastAsia="en-AU"/>
            <w14:ligatures w14:val="standardContextual"/>
          </w:rPr>
          <w:tab/>
        </w:r>
        <w:r w:rsidRPr="00533B68">
          <w:t>Pleadings—matters arising after start of proceeding</w:t>
        </w:r>
        <w:r>
          <w:tab/>
        </w:r>
        <w:r>
          <w:fldChar w:fldCharType="begin"/>
        </w:r>
        <w:r>
          <w:instrText xml:space="preserve"> PAGEREF _Toc185513793 \h </w:instrText>
        </w:r>
        <w:r>
          <w:fldChar w:fldCharType="separate"/>
        </w:r>
        <w:r>
          <w:t>100</w:t>
        </w:r>
        <w:r>
          <w:fldChar w:fldCharType="end"/>
        </w:r>
      </w:hyperlink>
    </w:p>
    <w:p w14:paraId="7F0402A5" w14:textId="1A70AE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4" w:history="1">
        <w:r w:rsidRPr="00533B68">
          <w:t>414</w:t>
        </w:r>
        <w:r>
          <w:rPr>
            <w:rFonts w:asciiTheme="minorHAnsi" w:eastAsiaTheme="minorEastAsia" w:hAnsiTheme="minorHAnsi" w:cstheme="minorBidi"/>
            <w:kern w:val="2"/>
            <w:sz w:val="24"/>
            <w:szCs w:val="24"/>
            <w:lang w:eastAsia="en-AU"/>
            <w14:ligatures w14:val="standardContextual"/>
          </w:rPr>
          <w:tab/>
        </w:r>
        <w:r w:rsidRPr="00533B68">
          <w:t>Pleadings—inconsistent allegations etc</w:t>
        </w:r>
        <w:r>
          <w:tab/>
        </w:r>
        <w:r>
          <w:fldChar w:fldCharType="begin"/>
        </w:r>
        <w:r>
          <w:instrText xml:space="preserve"> PAGEREF _Toc185513794 \h </w:instrText>
        </w:r>
        <w:r>
          <w:fldChar w:fldCharType="separate"/>
        </w:r>
        <w:r>
          <w:t>101</w:t>
        </w:r>
        <w:r>
          <w:fldChar w:fldCharType="end"/>
        </w:r>
      </w:hyperlink>
    </w:p>
    <w:p w14:paraId="57E65D24" w14:textId="6FF50A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5" w:history="1">
        <w:r w:rsidRPr="00533B68">
          <w:t>415</w:t>
        </w:r>
        <w:r>
          <w:rPr>
            <w:rFonts w:asciiTheme="minorHAnsi" w:eastAsiaTheme="minorEastAsia" w:hAnsiTheme="minorHAnsi" w:cstheme="minorBidi"/>
            <w:kern w:val="2"/>
            <w:sz w:val="24"/>
            <w:szCs w:val="24"/>
            <w:lang w:eastAsia="en-AU"/>
            <w14:ligatures w14:val="standardContextual"/>
          </w:rPr>
          <w:tab/>
        </w:r>
        <w:r w:rsidRPr="00533B68">
          <w:t>Pleadings—notice pleaded as a fact</w:t>
        </w:r>
        <w:r>
          <w:tab/>
        </w:r>
        <w:r>
          <w:fldChar w:fldCharType="begin"/>
        </w:r>
        <w:r>
          <w:instrText xml:space="preserve"> PAGEREF _Toc185513795 \h </w:instrText>
        </w:r>
        <w:r>
          <w:fldChar w:fldCharType="separate"/>
        </w:r>
        <w:r>
          <w:t>101</w:t>
        </w:r>
        <w:r>
          <w:fldChar w:fldCharType="end"/>
        </w:r>
      </w:hyperlink>
    </w:p>
    <w:p w14:paraId="3B9008D1" w14:textId="26A968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6" w:history="1">
        <w:r w:rsidRPr="00533B68">
          <w:t>416</w:t>
        </w:r>
        <w:r>
          <w:rPr>
            <w:rFonts w:asciiTheme="minorHAnsi" w:eastAsiaTheme="minorEastAsia" w:hAnsiTheme="minorHAnsi" w:cstheme="minorBidi"/>
            <w:kern w:val="2"/>
            <w:sz w:val="24"/>
            <w:szCs w:val="24"/>
            <w:lang w:eastAsia="en-AU"/>
            <w14:ligatures w14:val="standardContextual"/>
          </w:rPr>
          <w:tab/>
        </w:r>
        <w:r w:rsidRPr="00533B68">
          <w:t>Pleadings—implied contracts or relations</w:t>
        </w:r>
        <w:r>
          <w:tab/>
        </w:r>
        <w:r>
          <w:fldChar w:fldCharType="begin"/>
        </w:r>
        <w:r>
          <w:instrText xml:space="preserve"> PAGEREF _Toc185513796 \h </w:instrText>
        </w:r>
        <w:r>
          <w:fldChar w:fldCharType="separate"/>
        </w:r>
        <w:r>
          <w:t>101</w:t>
        </w:r>
        <w:r>
          <w:fldChar w:fldCharType="end"/>
        </w:r>
      </w:hyperlink>
    </w:p>
    <w:p w14:paraId="1FAF127E" w14:textId="4C2CE56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7" w:history="1">
        <w:r w:rsidRPr="00533B68">
          <w:t>417</w:t>
        </w:r>
        <w:r>
          <w:rPr>
            <w:rFonts w:asciiTheme="minorHAnsi" w:eastAsiaTheme="minorEastAsia" w:hAnsiTheme="minorHAnsi" w:cstheme="minorBidi"/>
            <w:kern w:val="2"/>
            <w:sz w:val="24"/>
            <w:szCs w:val="24"/>
            <w:lang w:eastAsia="en-AU"/>
            <w14:ligatures w14:val="standardContextual"/>
          </w:rPr>
          <w:tab/>
        </w:r>
        <w:r w:rsidRPr="00533B68">
          <w:t>Pleadings—kind of damages etc</w:t>
        </w:r>
        <w:r>
          <w:tab/>
        </w:r>
        <w:r>
          <w:fldChar w:fldCharType="begin"/>
        </w:r>
        <w:r>
          <w:instrText xml:space="preserve"> PAGEREF _Toc185513797 \h </w:instrText>
        </w:r>
        <w:r>
          <w:fldChar w:fldCharType="separate"/>
        </w:r>
        <w:r>
          <w:t>102</w:t>
        </w:r>
        <w:r>
          <w:fldChar w:fldCharType="end"/>
        </w:r>
      </w:hyperlink>
    </w:p>
    <w:p w14:paraId="1A653A13" w14:textId="7169B5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8" w:history="1">
        <w:r w:rsidRPr="00533B68">
          <w:t>418</w:t>
        </w:r>
        <w:r>
          <w:rPr>
            <w:rFonts w:asciiTheme="minorHAnsi" w:eastAsiaTheme="minorEastAsia" w:hAnsiTheme="minorHAnsi" w:cstheme="minorBidi"/>
            <w:kern w:val="2"/>
            <w:sz w:val="24"/>
            <w:szCs w:val="24"/>
            <w:lang w:eastAsia="en-AU"/>
            <w14:ligatures w14:val="standardContextual"/>
          </w:rPr>
          <w:tab/>
        </w:r>
        <w:r w:rsidRPr="00533B68">
          <w:t>Pleadings—amount of unliquidated damages</w:t>
        </w:r>
        <w:r>
          <w:tab/>
        </w:r>
        <w:r>
          <w:fldChar w:fldCharType="begin"/>
        </w:r>
        <w:r>
          <w:instrText xml:space="preserve"> PAGEREF _Toc185513798 \h </w:instrText>
        </w:r>
        <w:r>
          <w:fldChar w:fldCharType="separate"/>
        </w:r>
        <w:r>
          <w:t>102</w:t>
        </w:r>
        <w:r>
          <w:fldChar w:fldCharType="end"/>
        </w:r>
      </w:hyperlink>
    </w:p>
    <w:p w14:paraId="3871BDA0" w14:textId="7F65C15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799" w:history="1">
        <w:r w:rsidRPr="00533B68">
          <w:t>419</w:t>
        </w:r>
        <w:r>
          <w:rPr>
            <w:rFonts w:asciiTheme="minorHAnsi" w:eastAsiaTheme="minorEastAsia" w:hAnsiTheme="minorHAnsi" w:cstheme="minorBidi"/>
            <w:kern w:val="2"/>
            <w:sz w:val="24"/>
            <w:szCs w:val="24"/>
            <w:lang w:eastAsia="en-AU"/>
            <w14:ligatures w14:val="standardContextual"/>
          </w:rPr>
          <w:tab/>
        </w:r>
        <w:r w:rsidRPr="00533B68">
          <w:t>Pleadings—other relief</w:t>
        </w:r>
        <w:r>
          <w:tab/>
        </w:r>
        <w:r>
          <w:fldChar w:fldCharType="begin"/>
        </w:r>
        <w:r>
          <w:instrText xml:space="preserve"> PAGEREF _Toc185513799 \h </w:instrText>
        </w:r>
        <w:r>
          <w:fldChar w:fldCharType="separate"/>
        </w:r>
        <w:r>
          <w:t>103</w:t>
        </w:r>
        <w:r>
          <w:fldChar w:fldCharType="end"/>
        </w:r>
      </w:hyperlink>
    </w:p>
    <w:p w14:paraId="7E846AFA" w14:textId="7F2258B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00" w:history="1">
        <w:r w:rsidR="00AC5392" w:rsidRPr="00533B68">
          <w:t>Division 2.6.3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Pleadings—general</w:t>
        </w:r>
        <w:r w:rsidR="00AC5392" w:rsidRPr="00AC5392">
          <w:rPr>
            <w:vanish/>
          </w:rPr>
          <w:tab/>
        </w:r>
        <w:r w:rsidR="00AC5392" w:rsidRPr="00AC5392">
          <w:rPr>
            <w:vanish/>
          </w:rPr>
          <w:fldChar w:fldCharType="begin"/>
        </w:r>
        <w:r w:rsidR="00AC5392" w:rsidRPr="00AC5392">
          <w:rPr>
            <w:vanish/>
          </w:rPr>
          <w:instrText xml:space="preserve"> PAGEREF _Toc185513800 \h </w:instrText>
        </w:r>
        <w:r w:rsidR="00AC5392" w:rsidRPr="00AC5392">
          <w:rPr>
            <w:vanish/>
          </w:rPr>
        </w:r>
        <w:r w:rsidR="00AC5392" w:rsidRPr="00AC5392">
          <w:rPr>
            <w:vanish/>
          </w:rPr>
          <w:fldChar w:fldCharType="separate"/>
        </w:r>
        <w:r w:rsidR="00AC5392" w:rsidRPr="00AC5392">
          <w:rPr>
            <w:vanish/>
          </w:rPr>
          <w:t>103</w:t>
        </w:r>
        <w:r w:rsidR="00AC5392" w:rsidRPr="00AC5392">
          <w:rPr>
            <w:vanish/>
          </w:rPr>
          <w:fldChar w:fldCharType="end"/>
        </w:r>
      </w:hyperlink>
    </w:p>
    <w:p w14:paraId="39090071" w14:textId="7DB7744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1" w:history="1">
        <w:r w:rsidRPr="00533B68">
          <w:t>425</w:t>
        </w:r>
        <w:r>
          <w:rPr>
            <w:rFonts w:asciiTheme="minorHAnsi" w:eastAsiaTheme="minorEastAsia" w:hAnsiTheme="minorHAnsi" w:cstheme="minorBidi"/>
            <w:kern w:val="2"/>
            <w:sz w:val="24"/>
            <w:szCs w:val="24"/>
            <w:lang w:eastAsia="en-AU"/>
            <w14:ligatures w14:val="standardContextual"/>
          </w:rPr>
          <w:tab/>
        </w:r>
        <w:r w:rsidRPr="00533B68">
          <w:t>Pleadings—striking out</w:t>
        </w:r>
        <w:r>
          <w:tab/>
        </w:r>
        <w:r>
          <w:fldChar w:fldCharType="begin"/>
        </w:r>
        <w:r>
          <w:instrText xml:space="preserve"> PAGEREF _Toc185513801 \h </w:instrText>
        </w:r>
        <w:r>
          <w:fldChar w:fldCharType="separate"/>
        </w:r>
        <w:r>
          <w:t>103</w:t>
        </w:r>
        <w:r>
          <w:fldChar w:fldCharType="end"/>
        </w:r>
      </w:hyperlink>
    </w:p>
    <w:p w14:paraId="2962C033" w14:textId="01F4DF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2" w:history="1">
        <w:r w:rsidRPr="00533B68">
          <w:t>426</w:t>
        </w:r>
        <w:r>
          <w:rPr>
            <w:rFonts w:asciiTheme="minorHAnsi" w:eastAsiaTheme="minorEastAsia" w:hAnsiTheme="minorHAnsi" w:cstheme="minorBidi"/>
            <w:kern w:val="2"/>
            <w:sz w:val="24"/>
            <w:szCs w:val="24"/>
            <w:lang w:eastAsia="en-AU"/>
            <w14:ligatures w14:val="standardContextual"/>
          </w:rPr>
          <w:tab/>
        </w:r>
        <w:r w:rsidRPr="00533B68">
          <w:t>Pleadings—trial without</w:t>
        </w:r>
        <w:r>
          <w:tab/>
        </w:r>
        <w:r>
          <w:fldChar w:fldCharType="begin"/>
        </w:r>
        <w:r>
          <w:instrText xml:space="preserve"> PAGEREF _Toc185513802 \h </w:instrText>
        </w:r>
        <w:r>
          <w:fldChar w:fldCharType="separate"/>
        </w:r>
        <w:r>
          <w:t>104</w:t>
        </w:r>
        <w:r>
          <w:fldChar w:fldCharType="end"/>
        </w:r>
      </w:hyperlink>
    </w:p>
    <w:p w14:paraId="4C743380" w14:textId="1D0DB6B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03" w:history="1">
        <w:r w:rsidR="00AC5392" w:rsidRPr="00533B68">
          <w:t>Division 2.6.4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Particulars</w:t>
        </w:r>
        <w:r w:rsidR="00AC5392" w:rsidRPr="00AC5392">
          <w:rPr>
            <w:vanish/>
          </w:rPr>
          <w:tab/>
        </w:r>
        <w:r w:rsidR="00AC5392" w:rsidRPr="00AC5392">
          <w:rPr>
            <w:vanish/>
          </w:rPr>
          <w:fldChar w:fldCharType="begin"/>
        </w:r>
        <w:r w:rsidR="00AC5392" w:rsidRPr="00AC5392">
          <w:rPr>
            <w:vanish/>
          </w:rPr>
          <w:instrText xml:space="preserve"> PAGEREF _Toc185513803 \h </w:instrText>
        </w:r>
        <w:r w:rsidR="00AC5392" w:rsidRPr="00AC5392">
          <w:rPr>
            <w:vanish/>
          </w:rPr>
        </w:r>
        <w:r w:rsidR="00AC5392" w:rsidRPr="00AC5392">
          <w:rPr>
            <w:vanish/>
          </w:rPr>
          <w:fldChar w:fldCharType="separate"/>
        </w:r>
        <w:r w:rsidR="00AC5392" w:rsidRPr="00AC5392">
          <w:rPr>
            <w:vanish/>
          </w:rPr>
          <w:t>105</w:t>
        </w:r>
        <w:r w:rsidR="00AC5392" w:rsidRPr="00AC5392">
          <w:rPr>
            <w:vanish/>
          </w:rPr>
          <w:fldChar w:fldCharType="end"/>
        </w:r>
      </w:hyperlink>
    </w:p>
    <w:p w14:paraId="20E8A093" w14:textId="2A246B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4" w:history="1">
        <w:r w:rsidRPr="00533B68">
          <w:t>430</w:t>
        </w:r>
        <w:r>
          <w:rPr>
            <w:rFonts w:asciiTheme="minorHAnsi" w:eastAsiaTheme="minorEastAsia" w:hAnsiTheme="minorHAnsi" w:cstheme="minorBidi"/>
            <w:kern w:val="2"/>
            <w:sz w:val="24"/>
            <w:szCs w:val="24"/>
            <w:lang w:eastAsia="en-AU"/>
            <w14:ligatures w14:val="standardContextual"/>
          </w:rPr>
          <w:tab/>
        </w:r>
        <w:r w:rsidRPr="00533B68">
          <w:t>Pleadings—all necessary particulars must be included</w:t>
        </w:r>
        <w:r>
          <w:tab/>
        </w:r>
        <w:r>
          <w:fldChar w:fldCharType="begin"/>
        </w:r>
        <w:r>
          <w:instrText xml:space="preserve"> PAGEREF _Toc185513804 \h </w:instrText>
        </w:r>
        <w:r>
          <w:fldChar w:fldCharType="separate"/>
        </w:r>
        <w:r>
          <w:t>105</w:t>
        </w:r>
        <w:r>
          <w:fldChar w:fldCharType="end"/>
        </w:r>
      </w:hyperlink>
    </w:p>
    <w:p w14:paraId="1764F089" w14:textId="5234F1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5" w:history="1">
        <w:r w:rsidRPr="00533B68">
          <w:t>431</w:t>
        </w:r>
        <w:r>
          <w:rPr>
            <w:rFonts w:asciiTheme="minorHAnsi" w:eastAsiaTheme="minorEastAsia" w:hAnsiTheme="minorHAnsi" w:cstheme="minorBidi"/>
            <w:kern w:val="2"/>
            <w:sz w:val="24"/>
            <w:szCs w:val="24"/>
            <w:lang w:eastAsia="en-AU"/>
            <w14:ligatures w14:val="standardContextual"/>
          </w:rPr>
          <w:tab/>
        </w:r>
        <w:r w:rsidRPr="00533B68">
          <w:t>Pleadings—use of ‘Scott schedule’</w:t>
        </w:r>
        <w:r>
          <w:tab/>
        </w:r>
        <w:r>
          <w:fldChar w:fldCharType="begin"/>
        </w:r>
        <w:r>
          <w:instrText xml:space="preserve"> PAGEREF _Toc185513805 \h </w:instrText>
        </w:r>
        <w:r>
          <w:fldChar w:fldCharType="separate"/>
        </w:r>
        <w:r>
          <w:t>105</w:t>
        </w:r>
        <w:r>
          <w:fldChar w:fldCharType="end"/>
        </w:r>
      </w:hyperlink>
    </w:p>
    <w:p w14:paraId="166C760A" w14:textId="5410FB5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6" w:history="1">
        <w:r w:rsidRPr="00533B68">
          <w:t>432</w:t>
        </w:r>
        <w:r>
          <w:rPr>
            <w:rFonts w:asciiTheme="minorHAnsi" w:eastAsiaTheme="minorEastAsia" w:hAnsiTheme="minorHAnsi" w:cstheme="minorBidi"/>
            <w:kern w:val="2"/>
            <w:sz w:val="24"/>
            <w:szCs w:val="24"/>
            <w:lang w:eastAsia="en-AU"/>
            <w14:ligatures w14:val="standardContextual"/>
          </w:rPr>
          <w:tab/>
        </w:r>
        <w:r w:rsidRPr="00533B68">
          <w:t>Pleadings—negligence and breach of statutory duty</w:t>
        </w:r>
        <w:r>
          <w:tab/>
        </w:r>
        <w:r>
          <w:fldChar w:fldCharType="begin"/>
        </w:r>
        <w:r>
          <w:instrText xml:space="preserve"> PAGEREF _Toc185513806 \h </w:instrText>
        </w:r>
        <w:r>
          <w:fldChar w:fldCharType="separate"/>
        </w:r>
        <w:r>
          <w:t>106</w:t>
        </w:r>
        <w:r>
          <w:fldChar w:fldCharType="end"/>
        </w:r>
      </w:hyperlink>
    </w:p>
    <w:p w14:paraId="59F90EEF" w14:textId="2A86C3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7" w:history="1">
        <w:r w:rsidRPr="00533B68">
          <w:t>433</w:t>
        </w:r>
        <w:r>
          <w:rPr>
            <w:rFonts w:asciiTheme="minorHAnsi" w:eastAsiaTheme="minorEastAsia" w:hAnsiTheme="minorHAnsi" w:cstheme="minorBidi"/>
            <w:kern w:val="2"/>
            <w:sz w:val="24"/>
            <w:szCs w:val="24"/>
            <w:lang w:eastAsia="en-AU"/>
            <w14:ligatures w14:val="standardContextual"/>
          </w:rPr>
          <w:tab/>
        </w:r>
        <w:r w:rsidRPr="00533B68">
          <w:t>Pleadings—how particulars must be given</w:t>
        </w:r>
        <w:r>
          <w:tab/>
        </w:r>
        <w:r>
          <w:fldChar w:fldCharType="begin"/>
        </w:r>
        <w:r>
          <w:instrText xml:space="preserve"> PAGEREF _Toc185513807 \h </w:instrText>
        </w:r>
        <w:r>
          <w:fldChar w:fldCharType="separate"/>
        </w:r>
        <w:r>
          <w:t>106</w:t>
        </w:r>
        <w:r>
          <w:fldChar w:fldCharType="end"/>
        </w:r>
      </w:hyperlink>
    </w:p>
    <w:p w14:paraId="42BED498" w14:textId="0F1138E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8" w:history="1">
        <w:r w:rsidRPr="00533B68">
          <w:t>434</w:t>
        </w:r>
        <w:r>
          <w:rPr>
            <w:rFonts w:asciiTheme="minorHAnsi" w:eastAsiaTheme="minorEastAsia" w:hAnsiTheme="minorHAnsi" w:cstheme="minorBidi"/>
            <w:kern w:val="2"/>
            <w:sz w:val="24"/>
            <w:szCs w:val="24"/>
            <w:lang w:eastAsia="en-AU"/>
            <w14:ligatures w14:val="standardContextual"/>
          </w:rPr>
          <w:tab/>
        </w:r>
        <w:r w:rsidRPr="00533B68">
          <w:t>Pleadings—application for better particulars</w:t>
        </w:r>
        <w:r>
          <w:tab/>
        </w:r>
        <w:r>
          <w:fldChar w:fldCharType="begin"/>
        </w:r>
        <w:r>
          <w:instrText xml:space="preserve"> PAGEREF _Toc185513808 \h </w:instrText>
        </w:r>
        <w:r>
          <w:fldChar w:fldCharType="separate"/>
        </w:r>
        <w:r>
          <w:t>106</w:t>
        </w:r>
        <w:r>
          <w:fldChar w:fldCharType="end"/>
        </w:r>
      </w:hyperlink>
    </w:p>
    <w:p w14:paraId="2DEEA908" w14:textId="22BFE13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09" w:history="1">
        <w:r w:rsidRPr="00533B68">
          <w:t>435</w:t>
        </w:r>
        <w:r>
          <w:rPr>
            <w:rFonts w:asciiTheme="minorHAnsi" w:eastAsiaTheme="minorEastAsia" w:hAnsiTheme="minorHAnsi" w:cstheme="minorBidi"/>
            <w:kern w:val="2"/>
            <w:sz w:val="24"/>
            <w:szCs w:val="24"/>
            <w:lang w:eastAsia="en-AU"/>
            <w14:ligatures w14:val="standardContextual"/>
          </w:rPr>
          <w:tab/>
        </w:r>
        <w:r w:rsidRPr="00533B68">
          <w:t>Pleadings—failure to comply with better particulars order</w:t>
        </w:r>
        <w:r>
          <w:tab/>
        </w:r>
        <w:r>
          <w:fldChar w:fldCharType="begin"/>
        </w:r>
        <w:r>
          <w:instrText xml:space="preserve"> PAGEREF _Toc185513809 \h </w:instrText>
        </w:r>
        <w:r>
          <w:fldChar w:fldCharType="separate"/>
        </w:r>
        <w:r>
          <w:t>107</w:t>
        </w:r>
        <w:r>
          <w:fldChar w:fldCharType="end"/>
        </w:r>
      </w:hyperlink>
    </w:p>
    <w:p w14:paraId="37D75B45" w14:textId="244E5A4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10" w:history="1">
        <w:r w:rsidR="00AC5392" w:rsidRPr="00533B68">
          <w:t>Division 2.6.5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Answering pleadings</w:t>
        </w:r>
        <w:r w:rsidR="00AC5392" w:rsidRPr="00AC5392">
          <w:rPr>
            <w:vanish/>
          </w:rPr>
          <w:tab/>
        </w:r>
        <w:r w:rsidR="00AC5392" w:rsidRPr="00AC5392">
          <w:rPr>
            <w:vanish/>
          </w:rPr>
          <w:fldChar w:fldCharType="begin"/>
        </w:r>
        <w:r w:rsidR="00AC5392" w:rsidRPr="00AC5392">
          <w:rPr>
            <w:vanish/>
          </w:rPr>
          <w:instrText xml:space="preserve"> PAGEREF _Toc185513810 \h </w:instrText>
        </w:r>
        <w:r w:rsidR="00AC5392" w:rsidRPr="00AC5392">
          <w:rPr>
            <w:vanish/>
          </w:rPr>
        </w:r>
        <w:r w:rsidR="00AC5392" w:rsidRPr="00AC5392">
          <w:rPr>
            <w:vanish/>
          </w:rPr>
          <w:fldChar w:fldCharType="separate"/>
        </w:r>
        <w:r w:rsidR="00AC5392" w:rsidRPr="00AC5392">
          <w:rPr>
            <w:vanish/>
          </w:rPr>
          <w:t>107</w:t>
        </w:r>
        <w:r w:rsidR="00AC5392" w:rsidRPr="00AC5392">
          <w:rPr>
            <w:vanish/>
          </w:rPr>
          <w:fldChar w:fldCharType="end"/>
        </w:r>
      </w:hyperlink>
    </w:p>
    <w:p w14:paraId="5BD524DB" w14:textId="362EB2E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1" w:history="1">
        <w:r w:rsidRPr="00533B68">
          <w:t>440</w:t>
        </w:r>
        <w:r>
          <w:rPr>
            <w:rFonts w:asciiTheme="minorHAnsi" w:eastAsiaTheme="minorEastAsia" w:hAnsiTheme="minorHAnsi" w:cstheme="minorBidi"/>
            <w:kern w:val="2"/>
            <w:sz w:val="24"/>
            <w:szCs w:val="24"/>
            <w:lang w:eastAsia="en-AU"/>
            <w14:ligatures w14:val="standardContextual"/>
          </w:rPr>
          <w:tab/>
        </w:r>
        <w:r w:rsidRPr="00533B68">
          <w:t>Pleadings—answering</w:t>
        </w:r>
        <w:r>
          <w:tab/>
        </w:r>
        <w:r>
          <w:fldChar w:fldCharType="begin"/>
        </w:r>
        <w:r>
          <w:instrText xml:space="preserve"> PAGEREF _Toc185513811 \h </w:instrText>
        </w:r>
        <w:r>
          <w:fldChar w:fldCharType="separate"/>
        </w:r>
        <w:r>
          <w:t>107</w:t>
        </w:r>
        <w:r>
          <w:fldChar w:fldCharType="end"/>
        </w:r>
      </w:hyperlink>
    </w:p>
    <w:p w14:paraId="1AF3C7A4" w14:textId="3892E2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2" w:history="1">
        <w:r w:rsidRPr="00533B68">
          <w:t>441</w:t>
        </w:r>
        <w:r>
          <w:rPr>
            <w:rFonts w:asciiTheme="minorHAnsi" w:eastAsiaTheme="minorEastAsia" w:hAnsiTheme="minorHAnsi" w:cstheme="minorBidi"/>
            <w:kern w:val="2"/>
            <w:sz w:val="24"/>
            <w:szCs w:val="24"/>
            <w:lang w:eastAsia="en-AU"/>
            <w14:ligatures w14:val="standardContextual"/>
          </w:rPr>
          <w:tab/>
        </w:r>
        <w:r w:rsidRPr="00533B68">
          <w:t>Pleadings—denials and non-admissions</w:t>
        </w:r>
        <w:r>
          <w:tab/>
        </w:r>
        <w:r>
          <w:fldChar w:fldCharType="begin"/>
        </w:r>
        <w:r>
          <w:instrText xml:space="preserve"> PAGEREF _Toc185513812 \h </w:instrText>
        </w:r>
        <w:r>
          <w:fldChar w:fldCharType="separate"/>
        </w:r>
        <w:r>
          <w:t>108</w:t>
        </w:r>
        <w:r>
          <w:fldChar w:fldCharType="end"/>
        </w:r>
      </w:hyperlink>
    </w:p>
    <w:p w14:paraId="153EAF81" w14:textId="760154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3" w:history="1">
        <w:r w:rsidRPr="00533B68">
          <w:t>442</w:t>
        </w:r>
        <w:r>
          <w:rPr>
            <w:rFonts w:asciiTheme="minorHAnsi" w:eastAsiaTheme="minorEastAsia" w:hAnsiTheme="minorHAnsi" w:cstheme="minorBidi"/>
            <w:kern w:val="2"/>
            <w:sz w:val="24"/>
            <w:szCs w:val="24"/>
            <w:lang w:eastAsia="en-AU"/>
            <w14:ligatures w14:val="standardContextual"/>
          </w:rPr>
          <w:tab/>
        </w:r>
        <w:r w:rsidRPr="00533B68">
          <w:t>Pleadings—defence to debt and liquidated demand claims</w:t>
        </w:r>
        <w:r>
          <w:tab/>
        </w:r>
        <w:r>
          <w:fldChar w:fldCharType="begin"/>
        </w:r>
        <w:r>
          <w:instrText xml:space="preserve"> PAGEREF _Toc185513813 \h </w:instrText>
        </w:r>
        <w:r>
          <w:fldChar w:fldCharType="separate"/>
        </w:r>
        <w:r>
          <w:t>108</w:t>
        </w:r>
        <w:r>
          <w:fldChar w:fldCharType="end"/>
        </w:r>
      </w:hyperlink>
    </w:p>
    <w:p w14:paraId="20DFA1EF" w14:textId="2C1E533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4" w:history="1">
        <w:r w:rsidRPr="00533B68">
          <w:t>443</w:t>
        </w:r>
        <w:r>
          <w:rPr>
            <w:rFonts w:asciiTheme="minorHAnsi" w:eastAsiaTheme="minorEastAsia" w:hAnsiTheme="minorHAnsi" w:cstheme="minorBidi"/>
            <w:kern w:val="2"/>
            <w:sz w:val="24"/>
            <w:szCs w:val="24"/>
            <w:lang w:eastAsia="en-AU"/>
            <w14:ligatures w14:val="standardContextual"/>
          </w:rPr>
          <w:tab/>
        </w:r>
        <w:r w:rsidRPr="00533B68">
          <w:t>Pleadings—defence to personal injury claims</w:t>
        </w:r>
        <w:r>
          <w:tab/>
        </w:r>
        <w:r>
          <w:fldChar w:fldCharType="begin"/>
        </w:r>
        <w:r>
          <w:instrText xml:space="preserve"> PAGEREF _Toc185513814 \h </w:instrText>
        </w:r>
        <w:r>
          <w:fldChar w:fldCharType="separate"/>
        </w:r>
        <w:r>
          <w:t>108</w:t>
        </w:r>
        <w:r>
          <w:fldChar w:fldCharType="end"/>
        </w:r>
      </w:hyperlink>
    </w:p>
    <w:p w14:paraId="3E541EE6" w14:textId="226A9D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5" w:history="1">
        <w:r w:rsidRPr="00533B68">
          <w:t>444</w:t>
        </w:r>
        <w:r>
          <w:rPr>
            <w:rFonts w:asciiTheme="minorHAnsi" w:eastAsiaTheme="minorEastAsia" w:hAnsiTheme="minorHAnsi" w:cstheme="minorBidi"/>
            <w:kern w:val="2"/>
            <w:sz w:val="24"/>
            <w:szCs w:val="24"/>
            <w:lang w:eastAsia="en-AU"/>
            <w14:ligatures w14:val="standardContextual"/>
          </w:rPr>
          <w:tab/>
        </w:r>
        <w:r w:rsidRPr="00533B68">
          <w:t>Pleadings—defence to proceeding on bill of exchange etc</w:t>
        </w:r>
        <w:r>
          <w:tab/>
        </w:r>
        <w:r>
          <w:fldChar w:fldCharType="begin"/>
        </w:r>
        <w:r>
          <w:instrText xml:space="preserve"> PAGEREF _Toc185513815 \h </w:instrText>
        </w:r>
        <w:r>
          <w:fldChar w:fldCharType="separate"/>
        </w:r>
        <w:r>
          <w:t>109</w:t>
        </w:r>
        <w:r>
          <w:fldChar w:fldCharType="end"/>
        </w:r>
      </w:hyperlink>
    </w:p>
    <w:p w14:paraId="3C322590" w14:textId="6F2BE64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6" w:history="1">
        <w:r w:rsidRPr="00533B68">
          <w:t>445</w:t>
        </w:r>
        <w:r>
          <w:rPr>
            <w:rFonts w:asciiTheme="minorHAnsi" w:eastAsiaTheme="minorEastAsia" w:hAnsiTheme="minorHAnsi" w:cstheme="minorBidi"/>
            <w:kern w:val="2"/>
            <w:sz w:val="24"/>
            <w:szCs w:val="24"/>
            <w:lang w:eastAsia="en-AU"/>
            <w14:ligatures w14:val="standardContextual"/>
          </w:rPr>
          <w:tab/>
        </w:r>
        <w:r w:rsidRPr="00533B68">
          <w:t>Pleadings—denial of representative capacity or partnership constitution</w:t>
        </w:r>
        <w:r>
          <w:tab/>
        </w:r>
        <w:r>
          <w:fldChar w:fldCharType="begin"/>
        </w:r>
        <w:r>
          <w:instrText xml:space="preserve"> PAGEREF _Toc185513816 \h </w:instrText>
        </w:r>
        <w:r>
          <w:fldChar w:fldCharType="separate"/>
        </w:r>
        <w:r>
          <w:t>109</w:t>
        </w:r>
        <w:r>
          <w:fldChar w:fldCharType="end"/>
        </w:r>
      </w:hyperlink>
    </w:p>
    <w:p w14:paraId="6AD7CE24" w14:textId="022DC50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7" w:history="1">
        <w:r w:rsidRPr="00533B68">
          <w:t>446</w:t>
        </w:r>
        <w:r>
          <w:rPr>
            <w:rFonts w:asciiTheme="minorHAnsi" w:eastAsiaTheme="minorEastAsia" w:hAnsiTheme="minorHAnsi" w:cstheme="minorBidi"/>
            <w:kern w:val="2"/>
            <w:sz w:val="24"/>
            <w:szCs w:val="24"/>
            <w:lang w:eastAsia="en-AU"/>
            <w14:ligatures w14:val="standardContextual"/>
          </w:rPr>
          <w:tab/>
        </w:r>
        <w:r w:rsidRPr="00533B68">
          <w:t>Pleadings—denial of contract</w:t>
        </w:r>
        <w:r>
          <w:tab/>
        </w:r>
        <w:r>
          <w:fldChar w:fldCharType="begin"/>
        </w:r>
        <w:r>
          <w:instrText xml:space="preserve"> PAGEREF _Toc185513817 \h </w:instrText>
        </w:r>
        <w:r>
          <w:fldChar w:fldCharType="separate"/>
        </w:r>
        <w:r>
          <w:t>110</w:t>
        </w:r>
        <w:r>
          <w:fldChar w:fldCharType="end"/>
        </w:r>
      </w:hyperlink>
    </w:p>
    <w:p w14:paraId="740C2A32" w14:textId="30ED51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8" w:history="1">
        <w:r w:rsidRPr="00533B68">
          <w:t>447</w:t>
        </w:r>
        <w:r>
          <w:rPr>
            <w:rFonts w:asciiTheme="minorHAnsi" w:eastAsiaTheme="minorEastAsia" w:hAnsiTheme="minorHAnsi" w:cstheme="minorBidi"/>
            <w:kern w:val="2"/>
            <w:sz w:val="24"/>
            <w:szCs w:val="24"/>
            <w:lang w:eastAsia="en-AU"/>
            <w14:ligatures w14:val="standardContextual"/>
          </w:rPr>
          <w:tab/>
        </w:r>
        <w:r w:rsidRPr="00533B68">
          <w:t>Pleadings—allegations admitted unless denied etc</w:t>
        </w:r>
        <w:r>
          <w:tab/>
        </w:r>
        <w:r>
          <w:fldChar w:fldCharType="begin"/>
        </w:r>
        <w:r>
          <w:instrText xml:space="preserve"> PAGEREF _Toc185513818 \h </w:instrText>
        </w:r>
        <w:r>
          <w:fldChar w:fldCharType="separate"/>
        </w:r>
        <w:r>
          <w:t>110</w:t>
        </w:r>
        <w:r>
          <w:fldChar w:fldCharType="end"/>
        </w:r>
      </w:hyperlink>
    </w:p>
    <w:p w14:paraId="11BBA864" w14:textId="1B5983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19" w:history="1">
        <w:r w:rsidRPr="00533B68">
          <w:t>448</w:t>
        </w:r>
        <w:r>
          <w:rPr>
            <w:rFonts w:asciiTheme="minorHAnsi" w:eastAsiaTheme="minorEastAsia" w:hAnsiTheme="minorHAnsi" w:cstheme="minorBidi"/>
            <w:kern w:val="2"/>
            <w:sz w:val="24"/>
            <w:szCs w:val="24"/>
            <w:lang w:eastAsia="en-AU"/>
            <w14:ligatures w14:val="standardContextual"/>
          </w:rPr>
          <w:tab/>
        </w:r>
        <w:r w:rsidRPr="00533B68">
          <w:t>Pleadings—unreasonable denials and non-admissions</w:t>
        </w:r>
        <w:r>
          <w:tab/>
        </w:r>
        <w:r>
          <w:fldChar w:fldCharType="begin"/>
        </w:r>
        <w:r>
          <w:instrText xml:space="preserve"> PAGEREF _Toc185513819 \h </w:instrText>
        </w:r>
        <w:r>
          <w:fldChar w:fldCharType="separate"/>
        </w:r>
        <w:r>
          <w:t>111</w:t>
        </w:r>
        <w:r>
          <w:fldChar w:fldCharType="end"/>
        </w:r>
      </w:hyperlink>
    </w:p>
    <w:p w14:paraId="6737D147" w14:textId="542767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0" w:history="1">
        <w:r w:rsidRPr="00533B68">
          <w:t>449</w:t>
        </w:r>
        <w:r>
          <w:rPr>
            <w:rFonts w:asciiTheme="minorHAnsi" w:eastAsiaTheme="minorEastAsia" w:hAnsiTheme="minorHAnsi" w:cstheme="minorBidi"/>
            <w:kern w:val="2"/>
            <w:sz w:val="24"/>
            <w:szCs w:val="24"/>
            <w:lang w:eastAsia="en-AU"/>
            <w14:ligatures w14:val="standardContextual"/>
          </w:rPr>
          <w:tab/>
        </w:r>
        <w:r w:rsidRPr="00533B68">
          <w:t>Pleadings—confession of defence</w:t>
        </w:r>
        <w:r>
          <w:tab/>
        </w:r>
        <w:r>
          <w:fldChar w:fldCharType="begin"/>
        </w:r>
        <w:r>
          <w:instrText xml:space="preserve"> PAGEREF _Toc185513820 \h </w:instrText>
        </w:r>
        <w:r>
          <w:fldChar w:fldCharType="separate"/>
        </w:r>
        <w:r>
          <w:t>111</w:t>
        </w:r>
        <w:r>
          <w:fldChar w:fldCharType="end"/>
        </w:r>
      </w:hyperlink>
    </w:p>
    <w:p w14:paraId="63647F89" w14:textId="6868842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21" w:history="1">
        <w:r w:rsidR="00AC5392" w:rsidRPr="00533B68">
          <w:t>Division 2.6.6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Special defences</w:t>
        </w:r>
        <w:r w:rsidR="00AC5392" w:rsidRPr="00AC5392">
          <w:rPr>
            <w:vanish/>
          </w:rPr>
          <w:tab/>
        </w:r>
        <w:r w:rsidR="00AC5392" w:rsidRPr="00AC5392">
          <w:rPr>
            <w:vanish/>
          </w:rPr>
          <w:fldChar w:fldCharType="begin"/>
        </w:r>
        <w:r w:rsidR="00AC5392" w:rsidRPr="00AC5392">
          <w:rPr>
            <w:vanish/>
          </w:rPr>
          <w:instrText xml:space="preserve"> PAGEREF _Toc185513821 \h </w:instrText>
        </w:r>
        <w:r w:rsidR="00AC5392" w:rsidRPr="00AC5392">
          <w:rPr>
            <w:vanish/>
          </w:rPr>
        </w:r>
        <w:r w:rsidR="00AC5392" w:rsidRPr="00AC5392">
          <w:rPr>
            <w:vanish/>
          </w:rPr>
          <w:fldChar w:fldCharType="separate"/>
        </w:r>
        <w:r w:rsidR="00AC5392" w:rsidRPr="00AC5392">
          <w:rPr>
            <w:vanish/>
          </w:rPr>
          <w:t>111</w:t>
        </w:r>
        <w:r w:rsidR="00AC5392" w:rsidRPr="00AC5392">
          <w:rPr>
            <w:vanish/>
          </w:rPr>
          <w:fldChar w:fldCharType="end"/>
        </w:r>
      </w:hyperlink>
    </w:p>
    <w:p w14:paraId="217D9672" w14:textId="06C046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2" w:history="1">
        <w:r w:rsidRPr="00533B68">
          <w:t>455</w:t>
        </w:r>
        <w:r>
          <w:rPr>
            <w:rFonts w:asciiTheme="minorHAnsi" w:eastAsiaTheme="minorEastAsia" w:hAnsiTheme="minorHAnsi" w:cstheme="minorBidi"/>
            <w:kern w:val="2"/>
            <w:sz w:val="24"/>
            <w:szCs w:val="24"/>
            <w:lang w:eastAsia="en-AU"/>
            <w14:ligatures w14:val="standardContextual"/>
          </w:rPr>
          <w:tab/>
        </w:r>
        <w:r w:rsidRPr="00533B68">
          <w:t>Pleadings—defence of tender</w:t>
        </w:r>
        <w:r>
          <w:tab/>
        </w:r>
        <w:r>
          <w:fldChar w:fldCharType="begin"/>
        </w:r>
        <w:r>
          <w:instrText xml:space="preserve"> PAGEREF _Toc185513822 \h </w:instrText>
        </w:r>
        <w:r>
          <w:fldChar w:fldCharType="separate"/>
        </w:r>
        <w:r>
          <w:t>111</w:t>
        </w:r>
        <w:r>
          <w:fldChar w:fldCharType="end"/>
        </w:r>
      </w:hyperlink>
    </w:p>
    <w:p w14:paraId="6A014790" w14:textId="196B53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3" w:history="1">
        <w:r w:rsidRPr="00533B68">
          <w:t>456</w:t>
        </w:r>
        <w:r>
          <w:rPr>
            <w:rFonts w:asciiTheme="minorHAnsi" w:eastAsiaTheme="minorEastAsia" w:hAnsiTheme="minorHAnsi" w:cstheme="minorBidi"/>
            <w:kern w:val="2"/>
            <w:sz w:val="24"/>
            <w:szCs w:val="24"/>
            <w:lang w:eastAsia="en-AU"/>
            <w14:ligatures w14:val="standardContextual"/>
          </w:rPr>
          <w:tab/>
        </w:r>
        <w:r w:rsidRPr="00533B68">
          <w:t>Pleadings—defence of set-off</w:t>
        </w:r>
        <w:r>
          <w:tab/>
        </w:r>
        <w:r>
          <w:fldChar w:fldCharType="begin"/>
        </w:r>
        <w:r>
          <w:instrText xml:space="preserve"> PAGEREF _Toc185513823 \h </w:instrText>
        </w:r>
        <w:r>
          <w:fldChar w:fldCharType="separate"/>
        </w:r>
        <w:r>
          <w:t>111</w:t>
        </w:r>
        <w:r>
          <w:fldChar w:fldCharType="end"/>
        </w:r>
      </w:hyperlink>
    </w:p>
    <w:p w14:paraId="4E234956" w14:textId="5EF9EA6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24" w:history="1">
        <w:r w:rsidR="00AC5392" w:rsidRPr="00533B68">
          <w:t>Division 2.6.7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Counterclaims</w:t>
        </w:r>
        <w:r w:rsidR="00AC5392" w:rsidRPr="00AC5392">
          <w:rPr>
            <w:vanish/>
          </w:rPr>
          <w:tab/>
        </w:r>
        <w:r w:rsidR="00AC5392" w:rsidRPr="00AC5392">
          <w:rPr>
            <w:vanish/>
          </w:rPr>
          <w:fldChar w:fldCharType="begin"/>
        </w:r>
        <w:r w:rsidR="00AC5392" w:rsidRPr="00AC5392">
          <w:rPr>
            <w:vanish/>
          </w:rPr>
          <w:instrText xml:space="preserve"> PAGEREF _Toc185513824 \h </w:instrText>
        </w:r>
        <w:r w:rsidR="00AC5392" w:rsidRPr="00AC5392">
          <w:rPr>
            <w:vanish/>
          </w:rPr>
        </w:r>
        <w:r w:rsidR="00AC5392" w:rsidRPr="00AC5392">
          <w:rPr>
            <w:vanish/>
          </w:rPr>
          <w:fldChar w:fldCharType="separate"/>
        </w:r>
        <w:r w:rsidR="00AC5392" w:rsidRPr="00AC5392">
          <w:rPr>
            <w:vanish/>
          </w:rPr>
          <w:t>112</w:t>
        </w:r>
        <w:r w:rsidR="00AC5392" w:rsidRPr="00AC5392">
          <w:rPr>
            <w:vanish/>
          </w:rPr>
          <w:fldChar w:fldCharType="end"/>
        </w:r>
      </w:hyperlink>
    </w:p>
    <w:p w14:paraId="3AC142E8" w14:textId="457F2AB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5" w:history="1">
        <w:r w:rsidRPr="00533B68">
          <w:t>460</w:t>
        </w:r>
        <w:r>
          <w:rPr>
            <w:rFonts w:asciiTheme="minorHAnsi" w:eastAsiaTheme="minorEastAsia" w:hAnsiTheme="minorHAnsi" w:cstheme="minorBidi"/>
            <w:kern w:val="2"/>
            <w:sz w:val="24"/>
            <w:szCs w:val="24"/>
            <w:lang w:eastAsia="en-AU"/>
            <w14:ligatures w14:val="standardContextual"/>
          </w:rPr>
          <w:tab/>
        </w:r>
        <w:r w:rsidRPr="00533B68">
          <w:t>Counterclaim—cause of action arising after start of proceeding</w:t>
        </w:r>
        <w:r>
          <w:tab/>
        </w:r>
        <w:r>
          <w:fldChar w:fldCharType="begin"/>
        </w:r>
        <w:r>
          <w:instrText xml:space="preserve"> PAGEREF _Toc185513825 \h </w:instrText>
        </w:r>
        <w:r>
          <w:fldChar w:fldCharType="separate"/>
        </w:r>
        <w:r>
          <w:t>112</w:t>
        </w:r>
        <w:r>
          <w:fldChar w:fldCharType="end"/>
        </w:r>
      </w:hyperlink>
    </w:p>
    <w:p w14:paraId="23308FE1" w14:textId="3A96D89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6" w:history="1">
        <w:r w:rsidRPr="00533B68">
          <w:t>461</w:t>
        </w:r>
        <w:r>
          <w:rPr>
            <w:rFonts w:asciiTheme="minorHAnsi" w:eastAsiaTheme="minorEastAsia" w:hAnsiTheme="minorHAnsi" w:cstheme="minorBidi"/>
            <w:kern w:val="2"/>
            <w:sz w:val="24"/>
            <w:szCs w:val="24"/>
            <w:lang w:eastAsia="en-AU"/>
            <w14:ligatures w14:val="standardContextual"/>
          </w:rPr>
          <w:tab/>
        </w:r>
        <w:r w:rsidRPr="00533B68">
          <w:t>Counterclaim—against plaintiff</w:t>
        </w:r>
        <w:r>
          <w:tab/>
        </w:r>
        <w:r>
          <w:fldChar w:fldCharType="begin"/>
        </w:r>
        <w:r>
          <w:instrText xml:space="preserve"> PAGEREF _Toc185513826 \h </w:instrText>
        </w:r>
        <w:r>
          <w:fldChar w:fldCharType="separate"/>
        </w:r>
        <w:r>
          <w:t>113</w:t>
        </w:r>
        <w:r>
          <w:fldChar w:fldCharType="end"/>
        </w:r>
      </w:hyperlink>
    </w:p>
    <w:p w14:paraId="190C7D29" w14:textId="47FF18F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7" w:history="1">
        <w:r w:rsidRPr="00533B68">
          <w:t>462</w:t>
        </w:r>
        <w:r>
          <w:rPr>
            <w:rFonts w:asciiTheme="minorHAnsi" w:eastAsiaTheme="minorEastAsia" w:hAnsiTheme="minorHAnsi" w:cstheme="minorBidi"/>
            <w:kern w:val="2"/>
            <w:sz w:val="24"/>
            <w:szCs w:val="24"/>
            <w:lang w:eastAsia="en-AU"/>
            <w14:ligatures w14:val="standardContextual"/>
          </w:rPr>
          <w:tab/>
        </w:r>
        <w:r w:rsidRPr="00533B68">
          <w:t>Counterclaim—against additional party</w:t>
        </w:r>
        <w:r>
          <w:tab/>
        </w:r>
        <w:r>
          <w:fldChar w:fldCharType="begin"/>
        </w:r>
        <w:r>
          <w:instrText xml:space="preserve"> PAGEREF _Toc185513827 \h </w:instrText>
        </w:r>
        <w:r>
          <w:fldChar w:fldCharType="separate"/>
        </w:r>
        <w:r>
          <w:t>113</w:t>
        </w:r>
        <w:r>
          <w:fldChar w:fldCharType="end"/>
        </w:r>
      </w:hyperlink>
    </w:p>
    <w:p w14:paraId="0F2A603E" w14:textId="206D20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8" w:history="1">
        <w:r w:rsidRPr="00533B68">
          <w:t>463</w:t>
        </w:r>
        <w:r>
          <w:rPr>
            <w:rFonts w:asciiTheme="minorHAnsi" w:eastAsiaTheme="minorEastAsia" w:hAnsiTheme="minorHAnsi" w:cstheme="minorBidi"/>
            <w:kern w:val="2"/>
            <w:sz w:val="24"/>
            <w:szCs w:val="24"/>
            <w:lang w:eastAsia="en-AU"/>
            <w14:ligatures w14:val="standardContextual"/>
          </w:rPr>
          <w:tab/>
        </w:r>
        <w:r w:rsidRPr="00533B68">
          <w:t>Counterclaim—abandonment of excess in Magistrates Court</w:t>
        </w:r>
        <w:r>
          <w:tab/>
        </w:r>
        <w:r>
          <w:fldChar w:fldCharType="begin"/>
        </w:r>
        <w:r>
          <w:instrText xml:space="preserve"> PAGEREF _Toc185513828 \h </w:instrText>
        </w:r>
        <w:r>
          <w:fldChar w:fldCharType="separate"/>
        </w:r>
        <w:r>
          <w:t>115</w:t>
        </w:r>
        <w:r>
          <w:fldChar w:fldCharType="end"/>
        </w:r>
      </w:hyperlink>
    </w:p>
    <w:p w14:paraId="67BAF5E6" w14:textId="15777E5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29" w:history="1">
        <w:r w:rsidRPr="00533B68">
          <w:t>464</w:t>
        </w:r>
        <w:r>
          <w:rPr>
            <w:rFonts w:asciiTheme="minorHAnsi" w:eastAsiaTheme="minorEastAsia" w:hAnsiTheme="minorHAnsi" w:cstheme="minorBidi"/>
            <w:kern w:val="2"/>
            <w:sz w:val="24"/>
            <w:szCs w:val="24"/>
            <w:lang w:eastAsia="en-AU"/>
            <w14:ligatures w14:val="standardContextual"/>
          </w:rPr>
          <w:tab/>
        </w:r>
        <w:r w:rsidRPr="00533B68">
          <w:t>Counterclaim—pleading</w:t>
        </w:r>
        <w:r>
          <w:tab/>
        </w:r>
        <w:r>
          <w:fldChar w:fldCharType="begin"/>
        </w:r>
        <w:r>
          <w:instrText xml:space="preserve"> PAGEREF _Toc185513829 \h </w:instrText>
        </w:r>
        <w:r>
          <w:fldChar w:fldCharType="separate"/>
        </w:r>
        <w:r>
          <w:t>116</w:t>
        </w:r>
        <w:r>
          <w:fldChar w:fldCharType="end"/>
        </w:r>
      </w:hyperlink>
    </w:p>
    <w:p w14:paraId="0A786E6C" w14:textId="24379BD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0" w:history="1">
        <w:r w:rsidRPr="00533B68">
          <w:t>465</w:t>
        </w:r>
        <w:r>
          <w:rPr>
            <w:rFonts w:asciiTheme="minorHAnsi" w:eastAsiaTheme="minorEastAsia" w:hAnsiTheme="minorHAnsi" w:cstheme="minorBidi"/>
            <w:kern w:val="2"/>
            <w:sz w:val="24"/>
            <w:szCs w:val="24"/>
            <w:lang w:eastAsia="en-AU"/>
            <w14:ligatures w14:val="standardContextual"/>
          </w:rPr>
          <w:tab/>
        </w:r>
        <w:r w:rsidRPr="00533B68">
          <w:t>Counterclaim—plaintiff may rely on previous pleadings</w:t>
        </w:r>
        <w:r>
          <w:tab/>
        </w:r>
        <w:r>
          <w:fldChar w:fldCharType="begin"/>
        </w:r>
        <w:r>
          <w:instrText xml:space="preserve"> PAGEREF _Toc185513830 \h </w:instrText>
        </w:r>
        <w:r>
          <w:fldChar w:fldCharType="separate"/>
        </w:r>
        <w:r>
          <w:t>116</w:t>
        </w:r>
        <w:r>
          <w:fldChar w:fldCharType="end"/>
        </w:r>
      </w:hyperlink>
    </w:p>
    <w:p w14:paraId="4930CDFF" w14:textId="046249B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1" w:history="1">
        <w:r w:rsidRPr="00533B68">
          <w:t>466</w:t>
        </w:r>
        <w:r>
          <w:rPr>
            <w:rFonts w:asciiTheme="minorHAnsi" w:eastAsiaTheme="minorEastAsia" w:hAnsiTheme="minorHAnsi" w:cstheme="minorBidi"/>
            <w:kern w:val="2"/>
            <w:sz w:val="24"/>
            <w:szCs w:val="24"/>
            <w:lang w:eastAsia="en-AU"/>
            <w14:ligatures w14:val="standardContextual"/>
          </w:rPr>
          <w:tab/>
        </w:r>
        <w:r w:rsidRPr="00533B68">
          <w:t>Counterclaim—answer to</w:t>
        </w:r>
        <w:r>
          <w:tab/>
        </w:r>
        <w:r>
          <w:fldChar w:fldCharType="begin"/>
        </w:r>
        <w:r>
          <w:instrText xml:space="preserve"> PAGEREF _Toc185513831 \h </w:instrText>
        </w:r>
        <w:r>
          <w:fldChar w:fldCharType="separate"/>
        </w:r>
        <w:r>
          <w:t>116</w:t>
        </w:r>
        <w:r>
          <w:fldChar w:fldCharType="end"/>
        </w:r>
      </w:hyperlink>
    </w:p>
    <w:p w14:paraId="705B8248" w14:textId="49B2DDA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2" w:history="1">
        <w:r w:rsidRPr="00533B68">
          <w:t>467</w:t>
        </w:r>
        <w:r>
          <w:rPr>
            <w:rFonts w:asciiTheme="minorHAnsi" w:eastAsiaTheme="minorEastAsia" w:hAnsiTheme="minorHAnsi" w:cstheme="minorBidi"/>
            <w:kern w:val="2"/>
            <w:sz w:val="24"/>
            <w:szCs w:val="24"/>
            <w:lang w:eastAsia="en-AU"/>
            <w14:ligatures w14:val="standardContextual"/>
          </w:rPr>
          <w:tab/>
        </w:r>
        <w:r w:rsidRPr="00533B68">
          <w:t>Counterclaim—defence arising after answer</w:t>
        </w:r>
        <w:r>
          <w:tab/>
        </w:r>
        <w:r>
          <w:fldChar w:fldCharType="begin"/>
        </w:r>
        <w:r>
          <w:instrText xml:space="preserve"> PAGEREF _Toc185513832 \h </w:instrText>
        </w:r>
        <w:r>
          <w:fldChar w:fldCharType="separate"/>
        </w:r>
        <w:r>
          <w:t>116</w:t>
        </w:r>
        <w:r>
          <w:fldChar w:fldCharType="end"/>
        </w:r>
      </w:hyperlink>
    </w:p>
    <w:p w14:paraId="01A1EB69" w14:textId="6DEF1AC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3" w:history="1">
        <w:r w:rsidRPr="00533B68">
          <w:t>468</w:t>
        </w:r>
        <w:r>
          <w:rPr>
            <w:rFonts w:asciiTheme="minorHAnsi" w:eastAsiaTheme="minorEastAsia" w:hAnsiTheme="minorHAnsi" w:cstheme="minorBidi"/>
            <w:kern w:val="2"/>
            <w:sz w:val="24"/>
            <w:szCs w:val="24"/>
            <w:lang w:eastAsia="en-AU"/>
            <w14:ligatures w14:val="standardContextual"/>
          </w:rPr>
          <w:tab/>
        </w:r>
        <w:r w:rsidRPr="00533B68">
          <w:t>Counterclaim—effect of no answer</w:t>
        </w:r>
        <w:r>
          <w:tab/>
        </w:r>
        <w:r>
          <w:fldChar w:fldCharType="begin"/>
        </w:r>
        <w:r>
          <w:instrText xml:space="preserve"> PAGEREF _Toc185513833 \h </w:instrText>
        </w:r>
        <w:r>
          <w:fldChar w:fldCharType="separate"/>
        </w:r>
        <w:r>
          <w:t>117</w:t>
        </w:r>
        <w:r>
          <w:fldChar w:fldCharType="end"/>
        </w:r>
      </w:hyperlink>
    </w:p>
    <w:p w14:paraId="3BD0DA4F" w14:textId="08E3117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4" w:history="1">
        <w:r w:rsidRPr="00533B68">
          <w:t>469</w:t>
        </w:r>
        <w:r>
          <w:rPr>
            <w:rFonts w:asciiTheme="minorHAnsi" w:eastAsiaTheme="minorEastAsia" w:hAnsiTheme="minorHAnsi" w:cstheme="minorBidi"/>
            <w:kern w:val="2"/>
            <w:sz w:val="24"/>
            <w:szCs w:val="24"/>
            <w:lang w:eastAsia="en-AU"/>
            <w14:ligatures w14:val="standardContextual"/>
          </w:rPr>
          <w:tab/>
        </w:r>
        <w:r w:rsidRPr="00533B68">
          <w:t>Counterclaim—response to answer</w:t>
        </w:r>
        <w:r>
          <w:tab/>
        </w:r>
        <w:r>
          <w:fldChar w:fldCharType="begin"/>
        </w:r>
        <w:r>
          <w:instrText xml:space="preserve"> PAGEREF _Toc185513834 \h </w:instrText>
        </w:r>
        <w:r>
          <w:fldChar w:fldCharType="separate"/>
        </w:r>
        <w:r>
          <w:t>117</w:t>
        </w:r>
        <w:r>
          <w:fldChar w:fldCharType="end"/>
        </w:r>
      </w:hyperlink>
    </w:p>
    <w:p w14:paraId="5653E742" w14:textId="0A2206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5" w:history="1">
        <w:r w:rsidRPr="00533B68">
          <w:t>470</w:t>
        </w:r>
        <w:r>
          <w:rPr>
            <w:rFonts w:asciiTheme="minorHAnsi" w:eastAsiaTheme="minorEastAsia" w:hAnsiTheme="minorHAnsi" w:cstheme="minorBidi"/>
            <w:kern w:val="2"/>
            <w:sz w:val="24"/>
            <w:szCs w:val="24"/>
            <w:lang w:eastAsia="en-AU"/>
            <w14:ligatures w14:val="standardContextual"/>
          </w:rPr>
          <w:tab/>
        </w:r>
        <w:r w:rsidRPr="00533B68">
          <w:t>Counterclaim—conduct and pleading</w:t>
        </w:r>
        <w:r>
          <w:tab/>
        </w:r>
        <w:r>
          <w:fldChar w:fldCharType="begin"/>
        </w:r>
        <w:r>
          <w:instrText xml:space="preserve"> PAGEREF _Toc185513835 \h </w:instrText>
        </w:r>
        <w:r>
          <w:fldChar w:fldCharType="separate"/>
        </w:r>
        <w:r>
          <w:t>118</w:t>
        </w:r>
        <w:r>
          <w:fldChar w:fldCharType="end"/>
        </w:r>
      </w:hyperlink>
    </w:p>
    <w:p w14:paraId="6BDBBD1E" w14:textId="564E27C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6" w:history="1">
        <w:r w:rsidRPr="00533B68">
          <w:t>471</w:t>
        </w:r>
        <w:r>
          <w:rPr>
            <w:rFonts w:asciiTheme="minorHAnsi" w:eastAsiaTheme="minorEastAsia" w:hAnsiTheme="minorHAnsi" w:cstheme="minorBidi"/>
            <w:kern w:val="2"/>
            <w:sz w:val="24"/>
            <w:szCs w:val="24"/>
            <w:lang w:eastAsia="en-AU"/>
            <w14:ligatures w14:val="standardContextual"/>
          </w:rPr>
          <w:tab/>
        </w:r>
        <w:r w:rsidRPr="00533B68">
          <w:t>Counterclaim—order for separate hearing</w:t>
        </w:r>
        <w:r>
          <w:tab/>
        </w:r>
        <w:r>
          <w:fldChar w:fldCharType="begin"/>
        </w:r>
        <w:r>
          <w:instrText xml:space="preserve"> PAGEREF _Toc185513836 \h </w:instrText>
        </w:r>
        <w:r>
          <w:fldChar w:fldCharType="separate"/>
        </w:r>
        <w:r>
          <w:t>118</w:t>
        </w:r>
        <w:r>
          <w:fldChar w:fldCharType="end"/>
        </w:r>
      </w:hyperlink>
    </w:p>
    <w:p w14:paraId="67F3288C" w14:textId="0F5943C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7" w:history="1">
        <w:r w:rsidRPr="00533B68">
          <w:t>472</w:t>
        </w:r>
        <w:r>
          <w:rPr>
            <w:rFonts w:asciiTheme="minorHAnsi" w:eastAsiaTheme="minorEastAsia" w:hAnsiTheme="minorHAnsi" w:cstheme="minorBidi"/>
            <w:kern w:val="2"/>
            <w:sz w:val="24"/>
            <w:szCs w:val="24"/>
            <w:lang w:eastAsia="en-AU"/>
            <w14:ligatures w14:val="standardContextual"/>
          </w:rPr>
          <w:tab/>
        </w:r>
        <w:r w:rsidRPr="00533B68">
          <w:t>Counterclaim—after judgment etc in original proceeding</w:t>
        </w:r>
        <w:r>
          <w:tab/>
        </w:r>
        <w:r>
          <w:fldChar w:fldCharType="begin"/>
        </w:r>
        <w:r>
          <w:instrText xml:space="preserve"> PAGEREF _Toc185513837 \h </w:instrText>
        </w:r>
        <w:r>
          <w:fldChar w:fldCharType="separate"/>
        </w:r>
        <w:r>
          <w:t>119</w:t>
        </w:r>
        <w:r>
          <w:fldChar w:fldCharType="end"/>
        </w:r>
      </w:hyperlink>
    </w:p>
    <w:p w14:paraId="76677E6A" w14:textId="6E8A098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8" w:history="1">
        <w:r w:rsidRPr="00533B68">
          <w:t>473</w:t>
        </w:r>
        <w:r>
          <w:rPr>
            <w:rFonts w:asciiTheme="minorHAnsi" w:eastAsiaTheme="minorEastAsia" w:hAnsiTheme="minorHAnsi" w:cstheme="minorBidi"/>
            <w:kern w:val="2"/>
            <w:sz w:val="24"/>
            <w:szCs w:val="24"/>
            <w:lang w:eastAsia="en-AU"/>
            <w14:ligatures w14:val="standardContextual"/>
          </w:rPr>
          <w:tab/>
        </w:r>
        <w:r w:rsidRPr="00533B68">
          <w:t>Counterclaim—judgment for balance</w:t>
        </w:r>
        <w:r>
          <w:tab/>
        </w:r>
        <w:r>
          <w:fldChar w:fldCharType="begin"/>
        </w:r>
        <w:r>
          <w:instrText xml:space="preserve"> PAGEREF _Toc185513838 \h </w:instrText>
        </w:r>
        <w:r>
          <w:fldChar w:fldCharType="separate"/>
        </w:r>
        <w:r>
          <w:t>119</w:t>
        </w:r>
        <w:r>
          <w:fldChar w:fldCharType="end"/>
        </w:r>
      </w:hyperlink>
    </w:p>
    <w:p w14:paraId="7B699680" w14:textId="409B56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39" w:history="1">
        <w:r w:rsidRPr="00533B68">
          <w:t>474</w:t>
        </w:r>
        <w:r>
          <w:rPr>
            <w:rFonts w:asciiTheme="minorHAnsi" w:eastAsiaTheme="minorEastAsia" w:hAnsiTheme="minorHAnsi" w:cstheme="minorBidi"/>
            <w:kern w:val="2"/>
            <w:sz w:val="24"/>
            <w:szCs w:val="24"/>
            <w:lang w:eastAsia="en-AU"/>
            <w14:ligatures w14:val="standardContextual"/>
          </w:rPr>
          <w:tab/>
        </w:r>
        <w:r w:rsidRPr="00533B68">
          <w:t>Counterclaim—stay of claim</w:t>
        </w:r>
        <w:r>
          <w:tab/>
        </w:r>
        <w:r>
          <w:fldChar w:fldCharType="begin"/>
        </w:r>
        <w:r>
          <w:instrText xml:space="preserve"> PAGEREF _Toc185513839 \h </w:instrText>
        </w:r>
        <w:r>
          <w:fldChar w:fldCharType="separate"/>
        </w:r>
        <w:r>
          <w:t>119</w:t>
        </w:r>
        <w:r>
          <w:fldChar w:fldCharType="end"/>
        </w:r>
      </w:hyperlink>
    </w:p>
    <w:p w14:paraId="1CBF9F38" w14:textId="3F6BBAA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40" w:history="1">
        <w:r w:rsidR="00AC5392" w:rsidRPr="00533B68">
          <w:t>Division 2.6.8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Progress of pleading</w:t>
        </w:r>
        <w:r w:rsidR="00AC5392" w:rsidRPr="00AC5392">
          <w:rPr>
            <w:vanish/>
          </w:rPr>
          <w:tab/>
        </w:r>
        <w:r w:rsidR="00AC5392" w:rsidRPr="00AC5392">
          <w:rPr>
            <w:vanish/>
          </w:rPr>
          <w:fldChar w:fldCharType="begin"/>
        </w:r>
        <w:r w:rsidR="00AC5392" w:rsidRPr="00AC5392">
          <w:rPr>
            <w:vanish/>
          </w:rPr>
          <w:instrText xml:space="preserve"> PAGEREF _Toc185513840 \h </w:instrText>
        </w:r>
        <w:r w:rsidR="00AC5392" w:rsidRPr="00AC5392">
          <w:rPr>
            <w:vanish/>
          </w:rPr>
        </w:r>
        <w:r w:rsidR="00AC5392" w:rsidRPr="00AC5392">
          <w:rPr>
            <w:vanish/>
          </w:rPr>
          <w:fldChar w:fldCharType="separate"/>
        </w:r>
        <w:r w:rsidR="00AC5392" w:rsidRPr="00AC5392">
          <w:rPr>
            <w:vanish/>
          </w:rPr>
          <w:t>120</w:t>
        </w:r>
        <w:r w:rsidR="00AC5392" w:rsidRPr="00AC5392">
          <w:rPr>
            <w:vanish/>
          </w:rPr>
          <w:fldChar w:fldCharType="end"/>
        </w:r>
      </w:hyperlink>
    </w:p>
    <w:p w14:paraId="7E4BDE6A" w14:textId="2240455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41" w:history="1">
        <w:r w:rsidRPr="00533B68">
          <w:t>480</w:t>
        </w:r>
        <w:r>
          <w:rPr>
            <w:rFonts w:asciiTheme="minorHAnsi" w:eastAsiaTheme="minorEastAsia" w:hAnsiTheme="minorHAnsi" w:cstheme="minorBidi"/>
            <w:kern w:val="2"/>
            <w:sz w:val="24"/>
            <w:szCs w:val="24"/>
            <w:lang w:eastAsia="en-AU"/>
            <w14:ligatures w14:val="standardContextual"/>
          </w:rPr>
          <w:tab/>
        </w:r>
        <w:r w:rsidRPr="00533B68">
          <w:t>Pleadings—reply to defence</w:t>
        </w:r>
        <w:r>
          <w:tab/>
        </w:r>
        <w:r>
          <w:fldChar w:fldCharType="begin"/>
        </w:r>
        <w:r>
          <w:instrText xml:space="preserve"> PAGEREF _Toc185513841 \h </w:instrText>
        </w:r>
        <w:r>
          <w:fldChar w:fldCharType="separate"/>
        </w:r>
        <w:r>
          <w:t>120</w:t>
        </w:r>
        <w:r>
          <w:fldChar w:fldCharType="end"/>
        </w:r>
      </w:hyperlink>
    </w:p>
    <w:p w14:paraId="3FA075C1" w14:textId="16B15C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42" w:history="1">
        <w:r w:rsidRPr="00533B68">
          <w:t>481</w:t>
        </w:r>
        <w:r>
          <w:rPr>
            <w:rFonts w:asciiTheme="minorHAnsi" w:eastAsiaTheme="minorEastAsia" w:hAnsiTheme="minorHAnsi" w:cstheme="minorBidi"/>
            <w:kern w:val="2"/>
            <w:sz w:val="24"/>
            <w:szCs w:val="24"/>
            <w:lang w:eastAsia="en-AU"/>
            <w14:ligatures w14:val="standardContextual"/>
          </w:rPr>
          <w:tab/>
        </w:r>
        <w:r w:rsidRPr="00533B68">
          <w:t>Pleadings—after reply</w:t>
        </w:r>
        <w:r>
          <w:tab/>
        </w:r>
        <w:r>
          <w:fldChar w:fldCharType="begin"/>
        </w:r>
        <w:r>
          <w:instrText xml:space="preserve"> PAGEREF _Toc185513842 \h </w:instrText>
        </w:r>
        <w:r>
          <w:fldChar w:fldCharType="separate"/>
        </w:r>
        <w:r>
          <w:t>120</w:t>
        </w:r>
        <w:r>
          <w:fldChar w:fldCharType="end"/>
        </w:r>
      </w:hyperlink>
    </w:p>
    <w:p w14:paraId="09D240A9" w14:textId="2D3177B6"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843" w:history="1">
        <w:r w:rsidRPr="00533B68">
          <w:t>482</w:t>
        </w:r>
        <w:r>
          <w:rPr>
            <w:rFonts w:asciiTheme="minorHAnsi" w:eastAsiaTheme="minorEastAsia" w:hAnsiTheme="minorHAnsi" w:cstheme="minorBidi"/>
            <w:kern w:val="2"/>
            <w:sz w:val="24"/>
            <w:szCs w:val="24"/>
            <w:lang w:eastAsia="en-AU"/>
            <w14:ligatures w14:val="standardContextual"/>
          </w:rPr>
          <w:tab/>
        </w:r>
        <w:r w:rsidRPr="00533B68">
          <w:t>Pleadings—joinder of issue</w:t>
        </w:r>
        <w:r>
          <w:tab/>
        </w:r>
        <w:r>
          <w:fldChar w:fldCharType="begin"/>
        </w:r>
        <w:r>
          <w:instrText xml:space="preserve"> PAGEREF _Toc185513843 \h </w:instrText>
        </w:r>
        <w:r>
          <w:fldChar w:fldCharType="separate"/>
        </w:r>
        <w:r>
          <w:t>121</w:t>
        </w:r>
        <w:r>
          <w:fldChar w:fldCharType="end"/>
        </w:r>
      </w:hyperlink>
    </w:p>
    <w:p w14:paraId="62075B2D" w14:textId="5DCA5AB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44" w:history="1">
        <w:r w:rsidRPr="00533B68">
          <w:t>483</w:t>
        </w:r>
        <w:r>
          <w:rPr>
            <w:rFonts w:asciiTheme="minorHAnsi" w:eastAsiaTheme="minorEastAsia" w:hAnsiTheme="minorHAnsi" w:cstheme="minorBidi"/>
            <w:kern w:val="2"/>
            <w:sz w:val="24"/>
            <w:szCs w:val="24"/>
            <w:lang w:eastAsia="en-AU"/>
            <w14:ligatures w14:val="standardContextual"/>
          </w:rPr>
          <w:tab/>
        </w:r>
        <w:r w:rsidRPr="00533B68">
          <w:t>Pleadings—close</w:t>
        </w:r>
        <w:r>
          <w:tab/>
        </w:r>
        <w:r>
          <w:fldChar w:fldCharType="begin"/>
        </w:r>
        <w:r>
          <w:instrText xml:space="preserve"> PAGEREF _Toc185513844 \h </w:instrText>
        </w:r>
        <w:r>
          <w:fldChar w:fldCharType="separate"/>
        </w:r>
        <w:r>
          <w:t>121</w:t>
        </w:r>
        <w:r>
          <w:fldChar w:fldCharType="end"/>
        </w:r>
      </w:hyperlink>
    </w:p>
    <w:p w14:paraId="4F41A7A3" w14:textId="0090268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45" w:history="1">
        <w:r w:rsidR="00AC5392" w:rsidRPr="00533B68">
          <w:t>Division 2.6.9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Admissions</w:t>
        </w:r>
        <w:r w:rsidR="00AC5392" w:rsidRPr="00AC5392">
          <w:rPr>
            <w:vanish/>
          </w:rPr>
          <w:tab/>
        </w:r>
        <w:r w:rsidR="00AC5392" w:rsidRPr="00AC5392">
          <w:rPr>
            <w:vanish/>
          </w:rPr>
          <w:fldChar w:fldCharType="begin"/>
        </w:r>
        <w:r w:rsidR="00AC5392" w:rsidRPr="00AC5392">
          <w:rPr>
            <w:vanish/>
          </w:rPr>
          <w:instrText xml:space="preserve"> PAGEREF _Toc185513845 \h </w:instrText>
        </w:r>
        <w:r w:rsidR="00AC5392" w:rsidRPr="00AC5392">
          <w:rPr>
            <w:vanish/>
          </w:rPr>
        </w:r>
        <w:r w:rsidR="00AC5392" w:rsidRPr="00AC5392">
          <w:rPr>
            <w:vanish/>
          </w:rPr>
          <w:fldChar w:fldCharType="separate"/>
        </w:r>
        <w:r w:rsidR="00AC5392" w:rsidRPr="00AC5392">
          <w:rPr>
            <w:vanish/>
          </w:rPr>
          <w:t>122</w:t>
        </w:r>
        <w:r w:rsidR="00AC5392" w:rsidRPr="00AC5392">
          <w:rPr>
            <w:vanish/>
          </w:rPr>
          <w:fldChar w:fldCharType="end"/>
        </w:r>
      </w:hyperlink>
    </w:p>
    <w:p w14:paraId="24C8ED56" w14:textId="37079B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46" w:history="1">
        <w:r w:rsidRPr="00533B68">
          <w:t>490</w:t>
        </w:r>
        <w:r>
          <w:rPr>
            <w:rFonts w:asciiTheme="minorHAnsi" w:eastAsiaTheme="minorEastAsia" w:hAnsiTheme="minorHAnsi" w:cstheme="minorBidi"/>
            <w:kern w:val="2"/>
            <w:sz w:val="24"/>
            <w:szCs w:val="24"/>
            <w:lang w:eastAsia="en-AU"/>
            <w14:ligatures w14:val="standardContextual"/>
          </w:rPr>
          <w:tab/>
        </w:r>
        <w:r w:rsidRPr="00533B68">
          <w:t>Admissions—voluntary admission</w:t>
        </w:r>
        <w:r>
          <w:tab/>
        </w:r>
        <w:r>
          <w:fldChar w:fldCharType="begin"/>
        </w:r>
        <w:r>
          <w:instrText xml:space="preserve"> PAGEREF _Toc185513846 \h </w:instrText>
        </w:r>
        <w:r>
          <w:fldChar w:fldCharType="separate"/>
        </w:r>
        <w:r>
          <w:t>122</w:t>
        </w:r>
        <w:r>
          <w:fldChar w:fldCharType="end"/>
        </w:r>
      </w:hyperlink>
    </w:p>
    <w:p w14:paraId="4B45BCE8" w14:textId="39D49A9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47" w:history="1">
        <w:r w:rsidRPr="00533B68">
          <w:t>491</w:t>
        </w:r>
        <w:r>
          <w:rPr>
            <w:rFonts w:asciiTheme="minorHAnsi" w:eastAsiaTheme="minorEastAsia" w:hAnsiTheme="minorHAnsi" w:cstheme="minorBidi"/>
            <w:kern w:val="2"/>
            <w:sz w:val="24"/>
            <w:szCs w:val="24"/>
            <w:lang w:eastAsia="en-AU"/>
            <w14:ligatures w14:val="standardContextual"/>
          </w:rPr>
          <w:tab/>
        </w:r>
        <w:r w:rsidRPr="00533B68">
          <w:t>Admissions—notice to admit facts or documents</w:t>
        </w:r>
        <w:r>
          <w:tab/>
        </w:r>
        <w:r>
          <w:fldChar w:fldCharType="begin"/>
        </w:r>
        <w:r>
          <w:instrText xml:space="preserve"> PAGEREF _Toc185513847 \h </w:instrText>
        </w:r>
        <w:r>
          <w:fldChar w:fldCharType="separate"/>
        </w:r>
        <w:r>
          <w:t>122</w:t>
        </w:r>
        <w:r>
          <w:fldChar w:fldCharType="end"/>
        </w:r>
      </w:hyperlink>
    </w:p>
    <w:p w14:paraId="4D6CE0C1" w14:textId="2C3A79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48" w:history="1">
        <w:r w:rsidRPr="00533B68">
          <w:t>492</w:t>
        </w:r>
        <w:r>
          <w:rPr>
            <w:rFonts w:asciiTheme="minorHAnsi" w:eastAsiaTheme="minorEastAsia" w:hAnsiTheme="minorHAnsi" w:cstheme="minorBidi"/>
            <w:kern w:val="2"/>
            <w:sz w:val="24"/>
            <w:szCs w:val="24"/>
            <w:lang w:eastAsia="en-AU"/>
            <w14:ligatures w14:val="standardContextual"/>
          </w:rPr>
          <w:tab/>
        </w:r>
        <w:r w:rsidRPr="00533B68">
          <w:t>Admissions—withdrawal</w:t>
        </w:r>
        <w:r>
          <w:tab/>
        </w:r>
        <w:r>
          <w:fldChar w:fldCharType="begin"/>
        </w:r>
        <w:r>
          <w:instrText xml:space="preserve"> PAGEREF _Toc185513848 \h </w:instrText>
        </w:r>
        <w:r>
          <w:fldChar w:fldCharType="separate"/>
        </w:r>
        <w:r>
          <w:t>123</w:t>
        </w:r>
        <w:r>
          <w:fldChar w:fldCharType="end"/>
        </w:r>
      </w:hyperlink>
    </w:p>
    <w:p w14:paraId="64F72919" w14:textId="5A5E9D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49" w:history="1">
        <w:r w:rsidRPr="00533B68">
          <w:t>493</w:t>
        </w:r>
        <w:r>
          <w:rPr>
            <w:rFonts w:asciiTheme="minorHAnsi" w:eastAsiaTheme="minorEastAsia" w:hAnsiTheme="minorHAnsi" w:cstheme="minorBidi"/>
            <w:kern w:val="2"/>
            <w:sz w:val="24"/>
            <w:szCs w:val="24"/>
            <w:lang w:eastAsia="en-AU"/>
            <w14:ligatures w14:val="standardContextual"/>
          </w:rPr>
          <w:tab/>
        </w:r>
        <w:r w:rsidRPr="00533B68">
          <w:t>Admissions—orders on</w:t>
        </w:r>
        <w:r>
          <w:tab/>
        </w:r>
        <w:r>
          <w:fldChar w:fldCharType="begin"/>
        </w:r>
        <w:r>
          <w:instrText xml:space="preserve"> PAGEREF _Toc185513849 \h </w:instrText>
        </w:r>
        <w:r>
          <w:fldChar w:fldCharType="separate"/>
        </w:r>
        <w:r>
          <w:t>124</w:t>
        </w:r>
        <w:r>
          <w:fldChar w:fldCharType="end"/>
        </w:r>
      </w:hyperlink>
    </w:p>
    <w:p w14:paraId="78F08DE1" w14:textId="7FCF5275"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850" w:history="1">
        <w:r w:rsidR="00AC5392" w:rsidRPr="00533B68">
          <w:t>Part 2.7</w:t>
        </w:r>
        <w:r w:rsidR="00AC5392">
          <w:rPr>
            <w:rFonts w:asciiTheme="minorHAnsi" w:eastAsiaTheme="minorEastAsia" w:hAnsiTheme="minorHAnsi" w:cstheme="minorBidi"/>
            <w:b w:val="0"/>
            <w:kern w:val="2"/>
            <w:szCs w:val="24"/>
            <w:lang w:eastAsia="en-AU"/>
            <w14:ligatures w14:val="standardContextual"/>
          </w:rPr>
          <w:tab/>
        </w:r>
        <w:r w:rsidR="00AC5392" w:rsidRPr="00533B68">
          <w:t>Amendment</w:t>
        </w:r>
        <w:r w:rsidR="00AC5392" w:rsidRPr="00AC5392">
          <w:rPr>
            <w:vanish/>
          </w:rPr>
          <w:tab/>
        </w:r>
        <w:r w:rsidR="00AC5392" w:rsidRPr="00AC5392">
          <w:rPr>
            <w:vanish/>
          </w:rPr>
          <w:fldChar w:fldCharType="begin"/>
        </w:r>
        <w:r w:rsidR="00AC5392" w:rsidRPr="00AC5392">
          <w:rPr>
            <w:vanish/>
          </w:rPr>
          <w:instrText xml:space="preserve"> PAGEREF _Toc185513850 \h </w:instrText>
        </w:r>
        <w:r w:rsidR="00AC5392" w:rsidRPr="00AC5392">
          <w:rPr>
            <w:vanish/>
          </w:rPr>
        </w:r>
        <w:r w:rsidR="00AC5392" w:rsidRPr="00AC5392">
          <w:rPr>
            <w:vanish/>
          </w:rPr>
          <w:fldChar w:fldCharType="separate"/>
        </w:r>
        <w:r w:rsidR="00AC5392" w:rsidRPr="00AC5392">
          <w:rPr>
            <w:vanish/>
          </w:rPr>
          <w:t>125</w:t>
        </w:r>
        <w:r w:rsidR="00AC5392" w:rsidRPr="00AC5392">
          <w:rPr>
            <w:vanish/>
          </w:rPr>
          <w:fldChar w:fldCharType="end"/>
        </w:r>
      </w:hyperlink>
    </w:p>
    <w:p w14:paraId="3F7FDCDC" w14:textId="7AD14D1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1" w:history="1">
        <w:r w:rsidRPr="00533B68">
          <w:t>500</w:t>
        </w:r>
        <w:r>
          <w:rPr>
            <w:rFonts w:asciiTheme="minorHAnsi" w:eastAsiaTheme="minorEastAsia" w:hAnsiTheme="minorHAnsi" w:cstheme="minorBidi"/>
            <w:kern w:val="2"/>
            <w:sz w:val="24"/>
            <w:szCs w:val="24"/>
            <w:lang w:eastAsia="en-AU"/>
            <w14:ligatures w14:val="standardContextual"/>
          </w:rPr>
          <w:tab/>
        </w:r>
        <w:r w:rsidRPr="00533B68">
          <w:t>Application—pt 2.7</w:t>
        </w:r>
        <w:r>
          <w:tab/>
        </w:r>
        <w:r>
          <w:fldChar w:fldCharType="begin"/>
        </w:r>
        <w:r>
          <w:instrText xml:space="preserve"> PAGEREF _Toc185513851 \h </w:instrText>
        </w:r>
        <w:r>
          <w:fldChar w:fldCharType="separate"/>
        </w:r>
        <w:r>
          <w:t>125</w:t>
        </w:r>
        <w:r>
          <w:fldChar w:fldCharType="end"/>
        </w:r>
      </w:hyperlink>
    </w:p>
    <w:p w14:paraId="2748C1F5" w14:textId="4A87B9B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2" w:history="1">
        <w:r w:rsidRPr="00533B68">
          <w:t>501</w:t>
        </w:r>
        <w:r>
          <w:rPr>
            <w:rFonts w:asciiTheme="minorHAnsi" w:eastAsiaTheme="minorEastAsia" w:hAnsiTheme="minorHAnsi" w:cstheme="minorBidi"/>
            <w:kern w:val="2"/>
            <w:sz w:val="24"/>
            <w:szCs w:val="24"/>
            <w:lang w:eastAsia="en-AU"/>
            <w14:ligatures w14:val="standardContextual"/>
          </w:rPr>
          <w:tab/>
        </w:r>
        <w:r w:rsidRPr="00533B68">
          <w:t>Amendment—when must be made</w:t>
        </w:r>
        <w:r>
          <w:tab/>
        </w:r>
        <w:r>
          <w:fldChar w:fldCharType="begin"/>
        </w:r>
        <w:r>
          <w:instrText xml:space="preserve"> PAGEREF _Toc185513852 \h </w:instrText>
        </w:r>
        <w:r>
          <w:fldChar w:fldCharType="separate"/>
        </w:r>
        <w:r>
          <w:t>125</w:t>
        </w:r>
        <w:r>
          <w:fldChar w:fldCharType="end"/>
        </w:r>
      </w:hyperlink>
    </w:p>
    <w:p w14:paraId="2D45AC45" w14:textId="53EC37E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3" w:history="1">
        <w:r w:rsidRPr="00533B68">
          <w:t>502</w:t>
        </w:r>
        <w:r>
          <w:rPr>
            <w:rFonts w:asciiTheme="minorHAnsi" w:eastAsiaTheme="minorEastAsia" w:hAnsiTheme="minorHAnsi" w:cstheme="minorBidi"/>
            <w:kern w:val="2"/>
            <w:sz w:val="24"/>
            <w:szCs w:val="24"/>
            <w:lang w:eastAsia="en-AU"/>
            <w14:ligatures w14:val="standardContextual"/>
          </w:rPr>
          <w:tab/>
        </w:r>
        <w:r w:rsidRPr="00533B68">
          <w:t>Amendment—of documents</w:t>
        </w:r>
        <w:r>
          <w:tab/>
        </w:r>
        <w:r>
          <w:fldChar w:fldCharType="begin"/>
        </w:r>
        <w:r>
          <w:instrText xml:space="preserve"> PAGEREF _Toc185513853 \h </w:instrText>
        </w:r>
        <w:r>
          <w:fldChar w:fldCharType="separate"/>
        </w:r>
        <w:r>
          <w:t>125</w:t>
        </w:r>
        <w:r>
          <w:fldChar w:fldCharType="end"/>
        </w:r>
      </w:hyperlink>
    </w:p>
    <w:p w14:paraId="64EEABDB" w14:textId="2828BE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4" w:history="1">
        <w:r w:rsidRPr="00533B68">
          <w:t>503</w:t>
        </w:r>
        <w:r>
          <w:rPr>
            <w:rFonts w:asciiTheme="minorHAnsi" w:eastAsiaTheme="minorEastAsia" w:hAnsiTheme="minorHAnsi" w:cstheme="minorBidi"/>
            <w:kern w:val="2"/>
            <w:sz w:val="24"/>
            <w:szCs w:val="24"/>
            <w:lang w:eastAsia="en-AU"/>
            <w14:ligatures w14:val="standardContextual"/>
          </w:rPr>
          <w:tab/>
        </w:r>
        <w:r w:rsidRPr="00533B68">
          <w:t>Amendment—after limitation period</w:t>
        </w:r>
        <w:r>
          <w:tab/>
        </w:r>
        <w:r>
          <w:fldChar w:fldCharType="begin"/>
        </w:r>
        <w:r>
          <w:instrText xml:space="preserve"> PAGEREF _Toc185513854 \h </w:instrText>
        </w:r>
        <w:r>
          <w:fldChar w:fldCharType="separate"/>
        </w:r>
        <w:r>
          <w:t>126</w:t>
        </w:r>
        <w:r>
          <w:fldChar w:fldCharType="end"/>
        </w:r>
      </w:hyperlink>
    </w:p>
    <w:p w14:paraId="3343D3C4" w14:textId="3E2EA4A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5" w:history="1">
        <w:r w:rsidRPr="00533B68">
          <w:t>504</w:t>
        </w:r>
        <w:r>
          <w:rPr>
            <w:rFonts w:asciiTheme="minorHAnsi" w:eastAsiaTheme="minorEastAsia" w:hAnsiTheme="minorHAnsi" w:cstheme="minorBidi"/>
            <w:kern w:val="2"/>
            <w:sz w:val="24"/>
            <w:szCs w:val="24"/>
            <w:lang w:eastAsia="en-AU"/>
            <w14:ligatures w14:val="standardContextual"/>
          </w:rPr>
          <w:tab/>
        </w:r>
        <w:r w:rsidRPr="00533B68">
          <w:t>Amendment—of originating process</w:t>
        </w:r>
        <w:r>
          <w:tab/>
        </w:r>
        <w:r>
          <w:fldChar w:fldCharType="begin"/>
        </w:r>
        <w:r>
          <w:instrText xml:space="preserve"> PAGEREF _Toc185513855 \h </w:instrText>
        </w:r>
        <w:r>
          <w:fldChar w:fldCharType="separate"/>
        </w:r>
        <w:r>
          <w:t>127</w:t>
        </w:r>
        <w:r>
          <w:fldChar w:fldCharType="end"/>
        </w:r>
      </w:hyperlink>
    </w:p>
    <w:p w14:paraId="4C1FCC8F" w14:textId="1E6FBDB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6" w:history="1">
        <w:r w:rsidRPr="00533B68">
          <w:t>505</w:t>
        </w:r>
        <w:r>
          <w:rPr>
            <w:rFonts w:asciiTheme="minorHAnsi" w:eastAsiaTheme="minorEastAsia" w:hAnsiTheme="minorHAnsi" w:cstheme="minorBidi"/>
            <w:kern w:val="2"/>
            <w:sz w:val="24"/>
            <w:szCs w:val="24"/>
            <w:lang w:eastAsia="en-AU"/>
            <w14:ligatures w14:val="standardContextual"/>
          </w:rPr>
          <w:tab/>
        </w:r>
        <w:r w:rsidRPr="00533B68">
          <w:t>Amendment—of pleadings before close of pleadings</w:t>
        </w:r>
        <w:r>
          <w:tab/>
        </w:r>
        <w:r>
          <w:fldChar w:fldCharType="begin"/>
        </w:r>
        <w:r>
          <w:instrText xml:space="preserve"> PAGEREF _Toc185513856 \h </w:instrText>
        </w:r>
        <w:r>
          <w:fldChar w:fldCharType="separate"/>
        </w:r>
        <w:r>
          <w:t>127</w:t>
        </w:r>
        <w:r>
          <w:fldChar w:fldCharType="end"/>
        </w:r>
      </w:hyperlink>
    </w:p>
    <w:p w14:paraId="7AF7794A" w14:textId="3FCDD28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7" w:history="1">
        <w:r w:rsidRPr="00533B68">
          <w:t>506</w:t>
        </w:r>
        <w:r>
          <w:rPr>
            <w:rFonts w:asciiTheme="minorHAnsi" w:eastAsiaTheme="minorEastAsia" w:hAnsiTheme="minorHAnsi" w:cstheme="minorBidi"/>
            <w:kern w:val="2"/>
            <w:sz w:val="24"/>
            <w:szCs w:val="24"/>
            <w:lang w:eastAsia="en-AU"/>
            <w14:ligatures w14:val="standardContextual"/>
          </w:rPr>
          <w:tab/>
        </w:r>
        <w:r w:rsidRPr="00533B68">
          <w:t>Amendment—of pleadings disallowed</w:t>
        </w:r>
        <w:r>
          <w:tab/>
        </w:r>
        <w:r>
          <w:fldChar w:fldCharType="begin"/>
        </w:r>
        <w:r>
          <w:instrText xml:space="preserve"> PAGEREF _Toc185513857 \h </w:instrText>
        </w:r>
        <w:r>
          <w:fldChar w:fldCharType="separate"/>
        </w:r>
        <w:r>
          <w:t>128</w:t>
        </w:r>
        <w:r>
          <w:fldChar w:fldCharType="end"/>
        </w:r>
      </w:hyperlink>
    </w:p>
    <w:p w14:paraId="02F508F1" w14:textId="5613201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8" w:history="1">
        <w:r w:rsidRPr="00533B68">
          <w:t>507</w:t>
        </w:r>
        <w:r>
          <w:rPr>
            <w:rFonts w:asciiTheme="minorHAnsi" w:eastAsiaTheme="minorEastAsia" w:hAnsiTheme="minorHAnsi" w:cstheme="minorBidi"/>
            <w:kern w:val="2"/>
            <w:sz w:val="24"/>
            <w:szCs w:val="24"/>
            <w:lang w:eastAsia="en-AU"/>
            <w14:ligatures w14:val="standardContextual"/>
          </w:rPr>
          <w:tab/>
        </w:r>
        <w:r w:rsidRPr="00533B68">
          <w:t>Amendment—of pleadings after close of pleadings</w:t>
        </w:r>
        <w:r>
          <w:tab/>
        </w:r>
        <w:r>
          <w:fldChar w:fldCharType="begin"/>
        </w:r>
        <w:r>
          <w:instrText xml:space="preserve"> PAGEREF _Toc185513858 \h </w:instrText>
        </w:r>
        <w:r>
          <w:fldChar w:fldCharType="separate"/>
        </w:r>
        <w:r>
          <w:t>128</w:t>
        </w:r>
        <w:r>
          <w:fldChar w:fldCharType="end"/>
        </w:r>
      </w:hyperlink>
    </w:p>
    <w:p w14:paraId="0D64BF2D" w14:textId="36C4283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59" w:history="1">
        <w:r w:rsidRPr="00533B68">
          <w:t>508</w:t>
        </w:r>
        <w:r>
          <w:rPr>
            <w:rFonts w:asciiTheme="minorHAnsi" w:eastAsiaTheme="minorEastAsia" w:hAnsiTheme="minorHAnsi" w:cstheme="minorBidi"/>
            <w:kern w:val="2"/>
            <w:sz w:val="24"/>
            <w:szCs w:val="24"/>
            <w:lang w:eastAsia="en-AU"/>
            <w14:ligatures w14:val="standardContextual"/>
          </w:rPr>
          <w:tab/>
        </w:r>
        <w:r w:rsidRPr="00533B68">
          <w:t>Amendment—when leave to amend ceases to have effect</w:t>
        </w:r>
        <w:r>
          <w:tab/>
        </w:r>
        <w:r>
          <w:fldChar w:fldCharType="begin"/>
        </w:r>
        <w:r>
          <w:instrText xml:space="preserve"> PAGEREF _Toc185513859 \h </w:instrText>
        </w:r>
        <w:r>
          <w:fldChar w:fldCharType="separate"/>
        </w:r>
        <w:r>
          <w:t>129</w:t>
        </w:r>
        <w:r>
          <w:fldChar w:fldCharType="end"/>
        </w:r>
      </w:hyperlink>
    </w:p>
    <w:p w14:paraId="6D06C89C" w14:textId="1E48AA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0" w:history="1">
        <w:r w:rsidRPr="00533B68">
          <w:t>509</w:t>
        </w:r>
        <w:r>
          <w:rPr>
            <w:rFonts w:asciiTheme="minorHAnsi" w:eastAsiaTheme="minorEastAsia" w:hAnsiTheme="minorHAnsi" w:cstheme="minorBidi"/>
            <w:kern w:val="2"/>
            <w:sz w:val="24"/>
            <w:szCs w:val="24"/>
            <w:lang w:eastAsia="en-AU"/>
            <w14:ligatures w14:val="standardContextual"/>
          </w:rPr>
          <w:tab/>
        </w:r>
        <w:r w:rsidRPr="00533B68">
          <w:t>Amendment—procedure</w:t>
        </w:r>
        <w:r>
          <w:tab/>
        </w:r>
        <w:r>
          <w:fldChar w:fldCharType="begin"/>
        </w:r>
        <w:r>
          <w:instrText xml:space="preserve"> PAGEREF _Toc185513860 \h </w:instrText>
        </w:r>
        <w:r>
          <w:fldChar w:fldCharType="separate"/>
        </w:r>
        <w:r>
          <w:t>129</w:t>
        </w:r>
        <w:r>
          <w:fldChar w:fldCharType="end"/>
        </w:r>
      </w:hyperlink>
    </w:p>
    <w:p w14:paraId="384B0068" w14:textId="64BBA0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1" w:history="1">
        <w:r w:rsidRPr="00533B68">
          <w:t>510</w:t>
        </w:r>
        <w:r>
          <w:rPr>
            <w:rFonts w:asciiTheme="minorHAnsi" w:eastAsiaTheme="minorEastAsia" w:hAnsiTheme="minorHAnsi" w:cstheme="minorBidi"/>
            <w:kern w:val="2"/>
            <w:sz w:val="24"/>
            <w:szCs w:val="24"/>
            <w:lang w:eastAsia="en-AU"/>
            <w14:ligatures w14:val="standardContextual"/>
          </w:rPr>
          <w:tab/>
        </w:r>
        <w:r w:rsidRPr="00533B68">
          <w:t>Amendment—person required to make</w:t>
        </w:r>
        <w:r>
          <w:tab/>
        </w:r>
        <w:r>
          <w:fldChar w:fldCharType="begin"/>
        </w:r>
        <w:r>
          <w:instrText xml:space="preserve"> PAGEREF _Toc185513861 \h </w:instrText>
        </w:r>
        <w:r>
          <w:fldChar w:fldCharType="separate"/>
        </w:r>
        <w:r>
          <w:t>130</w:t>
        </w:r>
        <w:r>
          <w:fldChar w:fldCharType="end"/>
        </w:r>
      </w:hyperlink>
    </w:p>
    <w:p w14:paraId="305B79D0" w14:textId="0D1A5FD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2" w:history="1">
        <w:r w:rsidRPr="00533B68">
          <w:t>511</w:t>
        </w:r>
        <w:r>
          <w:rPr>
            <w:rFonts w:asciiTheme="minorHAnsi" w:eastAsiaTheme="minorEastAsia" w:hAnsiTheme="minorHAnsi" w:cstheme="minorBidi"/>
            <w:kern w:val="2"/>
            <w:sz w:val="24"/>
            <w:szCs w:val="24"/>
            <w:lang w:eastAsia="en-AU"/>
            <w14:ligatures w14:val="standardContextual"/>
          </w:rPr>
          <w:tab/>
        </w:r>
        <w:r w:rsidRPr="00533B68">
          <w:t>Amendment—service of amended or revised document etc</w:t>
        </w:r>
        <w:r>
          <w:tab/>
        </w:r>
        <w:r>
          <w:fldChar w:fldCharType="begin"/>
        </w:r>
        <w:r>
          <w:instrText xml:space="preserve"> PAGEREF _Toc185513862 \h </w:instrText>
        </w:r>
        <w:r>
          <w:fldChar w:fldCharType="separate"/>
        </w:r>
        <w:r>
          <w:t>131</w:t>
        </w:r>
        <w:r>
          <w:fldChar w:fldCharType="end"/>
        </w:r>
      </w:hyperlink>
    </w:p>
    <w:p w14:paraId="405CE6D8" w14:textId="47DBCB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3" w:history="1">
        <w:r w:rsidRPr="00533B68">
          <w:t>512</w:t>
        </w:r>
        <w:r>
          <w:rPr>
            <w:rFonts w:asciiTheme="minorHAnsi" w:eastAsiaTheme="minorEastAsia" w:hAnsiTheme="minorHAnsi" w:cstheme="minorBidi"/>
            <w:kern w:val="2"/>
            <w:sz w:val="24"/>
            <w:szCs w:val="24"/>
            <w:lang w:eastAsia="en-AU"/>
            <w14:ligatures w14:val="standardContextual"/>
          </w:rPr>
          <w:tab/>
        </w:r>
        <w:r w:rsidRPr="00533B68">
          <w:t>Amendment—pleading to</w:t>
        </w:r>
        <w:r>
          <w:tab/>
        </w:r>
        <w:r>
          <w:fldChar w:fldCharType="begin"/>
        </w:r>
        <w:r>
          <w:instrText xml:space="preserve"> PAGEREF _Toc185513863 \h </w:instrText>
        </w:r>
        <w:r>
          <w:fldChar w:fldCharType="separate"/>
        </w:r>
        <w:r>
          <w:t>131</w:t>
        </w:r>
        <w:r>
          <w:fldChar w:fldCharType="end"/>
        </w:r>
      </w:hyperlink>
    </w:p>
    <w:p w14:paraId="4710D4D8" w14:textId="562BBAA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4" w:history="1">
        <w:r w:rsidRPr="00533B68">
          <w:t>513</w:t>
        </w:r>
        <w:r>
          <w:rPr>
            <w:rFonts w:asciiTheme="minorHAnsi" w:eastAsiaTheme="minorEastAsia" w:hAnsiTheme="minorHAnsi" w:cstheme="minorBidi"/>
            <w:kern w:val="2"/>
            <w:sz w:val="24"/>
            <w:szCs w:val="24"/>
            <w:lang w:eastAsia="en-AU"/>
            <w14:ligatures w14:val="standardContextual"/>
          </w:rPr>
          <w:tab/>
        </w:r>
        <w:r w:rsidRPr="00533B68">
          <w:t>Amendment—costs</w:t>
        </w:r>
        <w:r>
          <w:tab/>
        </w:r>
        <w:r>
          <w:fldChar w:fldCharType="begin"/>
        </w:r>
        <w:r>
          <w:instrText xml:space="preserve"> PAGEREF _Toc185513864 \h </w:instrText>
        </w:r>
        <w:r>
          <w:fldChar w:fldCharType="separate"/>
        </w:r>
        <w:r>
          <w:t>131</w:t>
        </w:r>
        <w:r>
          <w:fldChar w:fldCharType="end"/>
        </w:r>
      </w:hyperlink>
    </w:p>
    <w:p w14:paraId="6BC23D48" w14:textId="66A4C4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5" w:history="1">
        <w:r w:rsidRPr="00533B68">
          <w:t>514</w:t>
        </w:r>
        <w:r>
          <w:rPr>
            <w:rFonts w:asciiTheme="minorHAnsi" w:eastAsiaTheme="minorEastAsia" w:hAnsiTheme="minorHAnsi" w:cstheme="minorBidi"/>
            <w:kern w:val="2"/>
            <w:sz w:val="24"/>
            <w:szCs w:val="24"/>
            <w:lang w:eastAsia="en-AU"/>
            <w14:ligatures w14:val="standardContextual"/>
          </w:rPr>
          <w:tab/>
        </w:r>
        <w:r w:rsidRPr="00533B68">
          <w:t>Amendment—taking effect</w:t>
        </w:r>
        <w:r>
          <w:tab/>
        </w:r>
        <w:r>
          <w:fldChar w:fldCharType="begin"/>
        </w:r>
        <w:r>
          <w:instrText xml:space="preserve"> PAGEREF _Toc185513865 \h </w:instrText>
        </w:r>
        <w:r>
          <w:fldChar w:fldCharType="separate"/>
        </w:r>
        <w:r>
          <w:t>132</w:t>
        </w:r>
        <w:r>
          <w:fldChar w:fldCharType="end"/>
        </w:r>
      </w:hyperlink>
    </w:p>
    <w:p w14:paraId="15B5D2B1" w14:textId="0C4FD749"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866" w:history="1">
        <w:r w:rsidR="00AC5392" w:rsidRPr="00533B68">
          <w:t>Part 2.8</w:t>
        </w:r>
        <w:r w:rsidR="00AC5392">
          <w:rPr>
            <w:rFonts w:asciiTheme="minorHAnsi" w:eastAsiaTheme="minorEastAsia" w:hAnsiTheme="minorHAnsi" w:cstheme="minorBidi"/>
            <w:b w:val="0"/>
            <w:kern w:val="2"/>
            <w:szCs w:val="24"/>
            <w:lang w:eastAsia="en-AU"/>
            <w14:ligatures w14:val="standardContextual"/>
          </w:rPr>
          <w:tab/>
        </w:r>
        <w:r w:rsidR="00AC5392" w:rsidRPr="00533B68">
          <w:t>Disclosure</w:t>
        </w:r>
        <w:r w:rsidR="00AC5392" w:rsidRPr="00AC5392">
          <w:rPr>
            <w:vanish/>
          </w:rPr>
          <w:tab/>
        </w:r>
        <w:r w:rsidR="00AC5392" w:rsidRPr="00AC5392">
          <w:rPr>
            <w:vanish/>
          </w:rPr>
          <w:fldChar w:fldCharType="begin"/>
        </w:r>
        <w:r w:rsidR="00AC5392" w:rsidRPr="00AC5392">
          <w:rPr>
            <w:vanish/>
          </w:rPr>
          <w:instrText xml:space="preserve"> PAGEREF _Toc185513866 \h </w:instrText>
        </w:r>
        <w:r w:rsidR="00AC5392" w:rsidRPr="00AC5392">
          <w:rPr>
            <w:vanish/>
          </w:rPr>
        </w:r>
        <w:r w:rsidR="00AC5392" w:rsidRPr="00AC5392">
          <w:rPr>
            <w:vanish/>
          </w:rPr>
          <w:fldChar w:fldCharType="separate"/>
        </w:r>
        <w:r w:rsidR="00AC5392" w:rsidRPr="00AC5392">
          <w:rPr>
            <w:vanish/>
          </w:rPr>
          <w:t>133</w:t>
        </w:r>
        <w:r w:rsidR="00AC5392" w:rsidRPr="00AC5392">
          <w:rPr>
            <w:vanish/>
          </w:rPr>
          <w:fldChar w:fldCharType="end"/>
        </w:r>
      </w:hyperlink>
    </w:p>
    <w:p w14:paraId="7B609A8D" w14:textId="0683749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67" w:history="1">
        <w:r w:rsidR="00AC5392" w:rsidRPr="00533B68">
          <w:t>Division 2.8.1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Interpretation—pt 2.8</w:t>
        </w:r>
        <w:r w:rsidR="00AC5392" w:rsidRPr="00AC5392">
          <w:rPr>
            <w:vanish/>
          </w:rPr>
          <w:tab/>
        </w:r>
        <w:r w:rsidR="00AC5392" w:rsidRPr="00AC5392">
          <w:rPr>
            <w:vanish/>
          </w:rPr>
          <w:fldChar w:fldCharType="begin"/>
        </w:r>
        <w:r w:rsidR="00AC5392" w:rsidRPr="00AC5392">
          <w:rPr>
            <w:vanish/>
          </w:rPr>
          <w:instrText xml:space="preserve"> PAGEREF _Toc185513867 \h </w:instrText>
        </w:r>
        <w:r w:rsidR="00AC5392" w:rsidRPr="00AC5392">
          <w:rPr>
            <w:vanish/>
          </w:rPr>
        </w:r>
        <w:r w:rsidR="00AC5392" w:rsidRPr="00AC5392">
          <w:rPr>
            <w:vanish/>
          </w:rPr>
          <w:fldChar w:fldCharType="separate"/>
        </w:r>
        <w:r w:rsidR="00AC5392" w:rsidRPr="00AC5392">
          <w:rPr>
            <w:vanish/>
          </w:rPr>
          <w:t>133</w:t>
        </w:r>
        <w:r w:rsidR="00AC5392" w:rsidRPr="00AC5392">
          <w:rPr>
            <w:vanish/>
          </w:rPr>
          <w:fldChar w:fldCharType="end"/>
        </w:r>
      </w:hyperlink>
    </w:p>
    <w:p w14:paraId="441613A6" w14:textId="5A1829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8" w:history="1">
        <w:r w:rsidRPr="00533B68">
          <w:t>600</w:t>
        </w:r>
        <w:r>
          <w:rPr>
            <w:rFonts w:asciiTheme="minorHAnsi" w:eastAsiaTheme="minorEastAsia" w:hAnsiTheme="minorHAnsi" w:cstheme="minorBidi"/>
            <w:kern w:val="2"/>
            <w:sz w:val="24"/>
            <w:szCs w:val="24"/>
            <w:lang w:eastAsia="en-AU"/>
            <w14:ligatures w14:val="standardContextual"/>
          </w:rPr>
          <w:tab/>
        </w:r>
        <w:r w:rsidRPr="00533B68">
          <w:t>Definitions—pt 2.8</w:t>
        </w:r>
        <w:r>
          <w:tab/>
        </w:r>
        <w:r>
          <w:fldChar w:fldCharType="begin"/>
        </w:r>
        <w:r>
          <w:instrText xml:space="preserve"> PAGEREF _Toc185513868 \h </w:instrText>
        </w:r>
        <w:r>
          <w:fldChar w:fldCharType="separate"/>
        </w:r>
        <w:r>
          <w:t>133</w:t>
        </w:r>
        <w:r>
          <w:fldChar w:fldCharType="end"/>
        </w:r>
      </w:hyperlink>
    </w:p>
    <w:p w14:paraId="1DFCAE09" w14:textId="6BEFC71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69" w:history="1">
        <w:r w:rsidRPr="00533B68">
          <w:t>601</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privileged from production</w:t>
        </w:r>
        <w:r w:rsidRPr="00533B68">
          <w:t>—pt 2.8</w:t>
        </w:r>
        <w:r>
          <w:tab/>
        </w:r>
        <w:r>
          <w:fldChar w:fldCharType="begin"/>
        </w:r>
        <w:r>
          <w:instrText xml:space="preserve"> PAGEREF _Toc185513869 \h </w:instrText>
        </w:r>
        <w:r>
          <w:fldChar w:fldCharType="separate"/>
        </w:r>
        <w:r>
          <w:t>134</w:t>
        </w:r>
        <w:r>
          <w:fldChar w:fldCharType="end"/>
        </w:r>
      </w:hyperlink>
    </w:p>
    <w:p w14:paraId="01AD43E0" w14:textId="55A114F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70" w:history="1">
        <w:r w:rsidR="00AC5392" w:rsidRPr="00533B68">
          <w:t>Division 2.8.2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Disclosure of documents</w:t>
        </w:r>
        <w:r w:rsidR="00AC5392" w:rsidRPr="00AC5392">
          <w:rPr>
            <w:vanish/>
          </w:rPr>
          <w:tab/>
        </w:r>
        <w:r w:rsidR="00AC5392" w:rsidRPr="00AC5392">
          <w:rPr>
            <w:vanish/>
          </w:rPr>
          <w:fldChar w:fldCharType="begin"/>
        </w:r>
        <w:r w:rsidR="00AC5392" w:rsidRPr="00AC5392">
          <w:rPr>
            <w:vanish/>
          </w:rPr>
          <w:instrText xml:space="preserve"> PAGEREF _Toc185513870 \h </w:instrText>
        </w:r>
        <w:r w:rsidR="00AC5392" w:rsidRPr="00AC5392">
          <w:rPr>
            <w:vanish/>
          </w:rPr>
        </w:r>
        <w:r w:rsidR="00AC5392" w:rsidRPr="00AC5392">
          <w:rPr>
            <w:vanish/>
          </w:rPr>
          <w:fldChar w:fldCharType="separate"/>
        </w:r>
        <w:r w:rsidR="00AC5392" w:rsidRPr="00AC5392">
          <w:rPr>
            <w:vanish/>
          </w:rPr>
          <w:t>135</w:t>
        </w:r>
        <w:r w:rsidR="00AC5392" w:rsidRPr="00AC5392">
          <w:rPr>
            <w:vanish/>
          </w:rPr>
          <w:fldChar w:fldCharType="end"/>
        </w:r>
      </w:hyperlink>
    </w:p>
    <w:p w14:paraId="6F11891E" w14:textId="68B6665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71" w:history="1">
        <w:r w:rsidRPr="00533B68">
          <w:t>605</w:t>
        </w:r>
        <w:r>
          <w:rPr>
            <w:rFonts w:asciiTheme="minorHAnsi" w:eastAsiaTheme="minorEastAsia" w:hAnsiTheme="minorHAnsi" w:cstheme="minorBidi"/>
            <w:kern w:val="2"/>
            <w:sz w:val="24"/>
            <w:szCs w:val="24"/>
            <w:lang w:eastAsia="en-AU"/>
            <w14:ligatures w14:val="standardContextual"/>
          </w:rPr>
          <w:tab/>
        </w:r>
        <w:r w:rsidRPr="00533B68">
          <w:t>Discoverable documents</w:t>
        </w:r>
        <w:r>
          <w:tab/>
        </w:r>
        <w:r>
          <w:fldChar w:fldCharType="begin"/>
        </w:r>
        <w:r>
          <w:instrText xml:space="preserve"> PAGEREF _Toc185513871 \h </w:instrText>
        </w:r>
        <w:r>
          <w:fldChar w:fldCharType="separate"/>
        </w:r>
        <w:r>
          <w:t>135</w:t>
        </w:r>
        <w:r>
          <w:fldChar w:fldCharType="end"/>
        </w:r>
      </w:hyperlink>
    </w:p>
    <w:p w14:paraId="0EC62C34" w14:textId="388225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72" w:history="1">
        <w:r w:rsidRPr="00533B68">
          <w:t>606</w:t>
        </w:r>
        <w:r>
          <w:rPr>
            <w:rFonts w:asciiTheme="minorHAnsi" w:eastAsiaTheme="minorEastAsia" w:hAnsiTheme="minorHAnsi" w:cstheme="minorBidi"/>
            <w:kern w:val="2"/>
            <w:sz w:val="24"/>
            <w:szCs w:val="24"/>
            <w:lang w:eastAsia="en-AU"/>
            <w14:ligatures w14:val="standardContextual"/>
          </w:rPr>
          <w:tab/>
        </w:r>
        <w:r w:rsidRPr="00533B68">
          <w:t>Orders about disclosure</w:t>
        </w:r>
        <w:r>
          <w:tab/>
        </w:r>
        <w:r>
          <w:fldChar w:fldCharType="begin"/>
        </w:r>
        <w:r>
          <w:instrText xml:space="preserve"> PAGEREF _Toc185513872 \h </w:instrText>
        </w:r>
        <w:r>
          <w:fldChar w:fldCharType="separate"/>
        </w:r>
        <w:r>
          <w:t>137</w:t>
        </w:r>
        <w:r>
          <w:fldChar w:fldCharType="end"/>
        </w:r>
      </w:hyperlink>
    </w:p>
    <w:p w14:paraId="639A8B73" w14:textId="73DBE0D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73" w:history="1">
        <w:r w:rsidRPr="00533B68">
          <w:t>607</w:t>
        </w:r>
        <w:r>
          <w:rPr>
            <w:rFonts w:asciiTheme="minorHAnsi" w:eastAsiaTheme="minorEastAsia" w:hAnsiTheme="minorHAnsi" w:cstheme="minorBidi"/>
            <w:kern w:val="2"/>
            <w:sz w:val="24"/>
            <w:szCs w:val="24"/>
            <w:lang w:eastAsia="en-AU"/>
            <w14:ligatures w14:val="standardContextual"/>
          </w:rPr>
          <w:tab/>
        </w:r>
        <w:r w:rsidRPr="00533B68">
          <w:t>Notice to disclose discoverable documents</w:t>
        </w:r>
        <w:r>
          <w:tab/>
        </w:r>
        <w:r>
          <w:fldChar w:fldCharType="begin"/>
        </w:r>
        <w:r>
          <w:instrText xml:space="preserve"> PAGEREF _Toc185513873 \h </w:instrText>
        </w:r>
        <w:r>
          <w:fldChar w:fldCharType="separate"/>
        </w:r>
        <w:r>
          <w:t>138</w:t>
        </w:r>
        <w:r>
          <w:fldChar w:fldCharType="end"/>
        </w:r>
      </w:hyperlink>
    </w:p>
    <w:p w14:paraId="3AE49C56" w14:textId="554C80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74" w:history="1">
        <w:r w:rsidRPr="00533B68">
          <w:t>608</w:t>
        </w:r>
        <w:r>
          <w:rPr>
            <w:rFonts w:asciiTheme="minorHAnsi" w:eastAsiaTheme="minorEastAsia" w:hAnsiTheme="minorHAnsi" w:cstheme="minorBidi"/>
            <w:kern w:val="2"/>
            <w:sz w:val="24"/>
            <w:szCs w:val="24"/>
            <w:lang w:eastAsia="en-AU"/>
            <w14:ligatures w14:val="standardContextual"/>
          </w:rPr>
          <w:tab/>
        </w:r>
        <w:r w:rsidRPr="00533B68">
          <w:t>List of discoverable and privileged documents etc</w:t>
        </w:r>
        <w:r>
          <w:tab/>
        </w:r>
        <w:r>
          <w:fldChar w:fldCharType="begin"/>
        </w:r>
        <w:r>
          <w:instrText xml:space="preserve"> PAGEREF _Toc185513874 \h </w:instrText>
        </w:r>
        <w:r>
          <w:fldChar w:fldCharType="separate"/>
        </w:r>
        <w:r>
          <w:t>139</w:t>
        </w:r>
        <w:r>
          <w:fldChar w:fldCharType="end"/>
        </w:r>
      </w:hyperlink>
    </w:p>
    <w:p w14:paraId="6F4E55BF" w14:textId="72E003DD"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875" w:history="1">
        <w:r w:rsidRPr="00533B68">
          <w:t>609</w:t>
        </w:r>
        <w:r>
          <w:rPr>
            <w:rFonts w:asciiTheme="minorHAnsi" w:eastAsiaTheme="minorEastAsia" w:hAnsiTheme="minorHAnsi" w:cstheme="minorBidi"/>
            <w:kern w:val="2"/>
            <w:sz w:val="24"/>
            <w:szCs w:val="24"/>
            <w:lang w:eastAsia="en-AU"/>
            <w14:ligatures w14:val="standardContextual"/>
          </w:rPr>
          <w:tab/>
        </w:r>
        <w:r w:rsidRPr="00533B68">
          <w:t>Claim for privilege—challenge etc</w:t>
        </w:r>
        <w:r>
          <w:tab/>
        </w:r>
        <w:r>
          <w:fldChar w:fldCharType="begin"/>
        </w:r>
        <w:r>
          <w:instrText xml:space="preserve"> PAGEREF _Toc185513875 \h </w:instrText>
        </w:r>
        <w:r>
          <w:fldChar w:fldCharType="separate"/>
        </w:r>
        <w:r>
          <w:t>141</w:t>
        </w:r>
        <w:r>
          <w:fldChar w:fldCharType="end"/>
        </w:r>
      </w:hyperlink>
    </w:p>
    <w:p w14:paraId="2B3C7DAB" w14:textId="17012A7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76" w:history="1">
        <w:r w:rsidRPr="00533B68">
          <w:t>610</w:t>
        </w:r>
        <w:r>
          <w:rPr>
            <w:rFonts w:asciiTheme="minorHAnsi" w:eastAsiaTheme="minorEastAsia" w:hAnsiTheme="minorHAnsi" w:cstheme="minorBidi"/>
            <w:kern w:val="2"/>
            <w:sz w:val="24"/>
            <w:szCs w:val="24"/>
            <w:lang w:eastAsia="en-AU"/>
            <w14:ligatures w14:val="standardContextual"/>
          </w:rPr>
          <w:tab/>
        </w:r>
        <w:r w:rsidRPr="00533B68">
          <w:t>Claim for privilege—waiver</w:t>
        </w:r>
        <w:r>
          <w:tab/>
        </w:r>
        <w:r>
          <w:fldChar w:fldCharType="begin"/>
        </w:r>
        <w:r>
          <w:instrText xml:space="preserve"> PAGEREF _Toc185513876 \h </w:instrText>
        </w:r>
        <w:r>
          <w:fldChar w:fldCharType="separate"/>
        </w:r>
        <w:r>
          <w:t>142</w:t>
        </w:r>
        <w:r>
          <w:fldChar w:fldCharType="end"/>
        </w:r>
      </w:hyperlink>
    </w:p>
    <w:p w14:paraId="4AADD792" w14:textId="22C7411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77" w:history="1">
        <w:r w:rsidRPr="00533B68">
          <w:t>611</w:t>
        </w:r>
        <w:r>
          <w:rPr>
            <w:rFonts w:asciiTheme="minorHAnsi" w:eastAsiaTheme="minorEastAsia" w:hAnsiTheme="minorHAnsi" w:cstheme="minorBidi"/>
            <w:kern w:val="2"/>
            <w:sz w:val="24"/>
            <w:szCs w:val="24"/>
            <w:lang w:eastAsia="en-AU"/>
            <w14:ligatures w14:val="standardContextual"/>
          </w:rPr>
          <w:tab/>
        </w:r>
        <w:r w:rsidRPr="00533B68">
          <w:t>Continuing disclosure</w:t>
        </w:r>
        <w:r>
          <w:tab/>
        </w:r>
        <w:r>
          <w:fldChar w:fldCharType="begin"/>
        </w:r>
        <w:r>
          <w:instrText xml:space="preserve"> PAGEREF _Toc185513877 \h </w:instrText>
        </w:r>
        <w:r>
          <w:fldChar w:fldCharType="separate"/>
        </w:r>
        <w:r>
          <w:t>142</w:t>
        </w:r>
        <w:r>
          <w:fldChar w:fldCharType="end"/>
        </w:r>
      </w:hyperlink>
    </w:p>
    <w:p w14:paraId="0A33DCB3" w14:textId="1B6B56A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78" w:history="1">
        <w:r w:rsidR="00AC5392" w:rsidRPr="00533B68">
          <w:t>Division 2.8.3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Production and inspection</w:t>
        </w:r>
        <w:r w:rsidR="00AC5392" w:rsidRPr="00AC5392">
          <w:rPr>
            <w:vanish/>
          </w:rPr>
          <w:tab/>
        </w:r>
        <w:r w:rsidR="00AC5392" w:rsidRPr="00AC5392">
          <w:rPr>
            <w:vanish/>
          </w:rPr>
          <w:fldChar w:fldCharType="begin"/>
        </w:r>
        <w:r w:rsidR="00AC5392" w:rsidRPr="00AC5392">
          <w:rPr>
            <w:vanish/>
          </w:rPr>
          <w:instrText xml:space="preserve"> PAGEREF _Toc185513878 \h </w:instrText>
        </w:r>
        <w:r w:rsidR="00AC5392" w:rsidRPr="00AC5392">
          <w:rPr>
            <w:vanish/>
          </w:rPr>
        </w:r>
        <w:r w:rsidR="00AC5392" w:rsidRPr="00AC5392">
          <w:rPr>
            <w:vanish/>
          </w:rPr>
          <w:fldChar w:fldCharType="separate"/>
        </w:r>
        <w:r w:rsidR="00AC5392" w:rsidRPr="00AC5392">
          <w:rPr>
            <w:vanish/>
          </w:rPr>
          <w:t>143</w:t>
        </w:r>
        <w:r w:rsidR="00AC5392" w:rsidRPr="00AC5392">
          <w:rPr>
            <w:vanish/>
          </w:rPr>
          <w:fldChar w:fldCharType="end"/>
        </w:r>
      </w:hyperlink>
    </w:p>
    <w:p w14:paraId="02A67EA5" w14:textId="511907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79" w:history="1">
        <w:r w:rsidRPr="00533B68">
          <w:t>620</w:t>
        </w:r>
        <w:r>
          <w:rPr>
            <w:rFonts w:asciiTheme="minorHAnsi" w:eastAsiaTheme="minorEastAsia" w:hAnsiTheme="minorHAnsi" w:cstheme="minorBidi"/>
            <w:kern w:val="2"/>
            <w:sz w:val="24"/>
            <w:szCs w:val="24"/>
            <w:lang w:eastAsia="en-AU"/>
            <w14:ligatures w14:val="standardContextual"/>
          </w:rPr>
          <w:tab/>
        </w:r>
        <w:r w:rsidRPr="00533B68">
          <w:t>Production of documents for inspection</w:t>
        </w:r>
        <w:r>
          <w:tab/>
        </w:r>
        <w:r>
          <w:fldChar w:fldCharType="begin"/>
        </w:r>
        <w:r>
          <w:instrText xml:space="preserve"> PAGEREF _Toc185513879 \h </w:instrText>
        </w:r>
        <w:r>
          <w:fldChar w:fldCharType="separate"/>
        </w:r>
        <w:r>
          <w:t>143</w:t>
        </w:r>
        <w:r>
          <w:fldChar w:fldCharType="end"/>
        </w:r>
      </w:hyperlink>
    </w:p>
    <w:p w14:paraId="48553B96" w14:textId="4831E1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0" w:history="1">
        <w:r w:rsidRPr="00533B68">
          <w:t>621</w:t>
        </w:r>
        <w:r>
          <w:rPr>
            <w:rFonts w:asciiTheme="minorHAnsi" w:eastAsiaTheme="minorEastAsia" w:hAnsiTheme="minorHAnsi" w:cstheme="minorBidi"/>
            <w:kern w:val="2"/>
            <w:sz w:val="24"/>
            <w:szCs w:val="24"/>
            <w:lang w:eastAsia="en-AU"/>
            <w14:ligatures w14:val="standardContextual"/>
          </w:rPr>
          <w:tab/>
        </w:r>
        <w:r w:rsidRPr="00533B68">
          <w:t>Orders about production of documents for inspection</w:t>
        </w:r>
        <w:r>
          <w:tab/>
        </w:r>
        <w:r>
          <w:fldChar w:fldCharType="begin"/>
        </w:r>
        <w:r>
          <w:instrText xml:space="preserve"> PAGEREF _Toc185513880 \h </w:instrText>
        </w:r>
        <w:r>
          <w:fldChar w:fldCharType="separate"/>
        </w:r>
        <w:r>
          <w:t>144</w:t>
        </w:r>
        <w:r>
          <w:fldChar w:fldCharType="end"/>
        </w:r>
      </w:hyperlink>
    </w:p>
    <w:p w14:paraId="08DBB374" w14:textId="3C9A99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1" w:history="1">
        <w:r w:rsidRPr="00533B68">
          <w:t>622</w:t>
        </w:r>
        <w:r>
          <w:rPr>
            <w:rFonts w:asciiTheme="minorHAnsi" w:eastAsiaTheme="minorEastAsia" w:hAnsiTheme="minorHAnsi" w:cstheme="minorBidi"/>
            <w:kern w:val="2"/>
            <w:sz w:val="24"/>
            <w:szCs w:val="24"/>
            <w:lang w:eastAsia="en-AU"/>
            <w14:ligatures w14:val="standardContextual"/>
          </w:rPr>
          <w:tab/>
        </w:r>
        <w:r w:rsidRPr="00533B68">
          <w:t>Effect of inspection of documents disclosed by another party</w:t>
        </w:r>
        <w:r>
          <w:tab/>
        </w:r>
        <w:r>
          <w:fldChar w:fldCharType="begin"/>
        </w:r>
        <w:r>
          <w:instrText xml:space="preserve"> PAGEREF _Toc185513881 \h </w:instrText>
        </w:r>
        <w:r>
          <w:fldChar w:fldCharType="separate"/>
        </w:r>
        <w:r>
          <w:t>146</w:t>
        </w:r>
        <w:r>
          <w:fldChar w:fldCharType="end"/>
        </w:r>
      </w:hyperlink>
    </w:p>
    <w:p w14:paraId="6F8017F8" w14:textId="11FFDA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2" w:history="1">
        <w:r w:rsidRPr="00533B68">
          <w:t>623</w:t>
        </w:r>
        <w:r>
          <w:rPr>
            <w:rFonts w:asciiTheme="minorHAnsi" w:eastAsiaTheme="minorEastAsia" w:hAnsiTheme="minorHAnsi" w:cstheme="minorBidi"/>
            <w:kern w:val="2"/>
            <w:sz w:val="24"/>
            <w:szCs w:val="24"/>
            <w:lang w:eastAsia="en-AU"/>
            <w14:ligatures w14:val="standardContextual"/>
          </w:rPr>
          <w:tab/>
        </w:r>
        <w:r w:rsidRPr="00533B68">
          <w:t>Production of documents at hearing of proceeding</w:t>
        </w:r>
        <w:r>
          <w:tab/>
        </w:r>
        <w:r>
          <w:fldChar w:fldCharType="begin"/>
        </w:r>
        <w:r>
          <w:instrText xml:space="preserve"> PAGEREF _Toc185513882 \h </w:instrText>
        </w:r>
        <w:r>
          <w:fldChar w:fldCharType="separate"/>
        </w:r>
        <w:r>
          <w:t>146</w:t>
        </w:r>
        <w:r>
          <w:fldChar w:fldCharType="end"/>
        </w:r>
      </w:hyperlink>
    </w:p>
    <w:p w14:paraId="20247317" w14:textId="153BDC6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83" w:history="1">
        <w:r w:rsidR="00AC5392" w:rsidRPr="00533B68">
          <w:t>Division 2.8.4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Interrogatories</w:t>
        </w:r>
        <w:r w:rsidR="00AC5392" w:rsidRPr="00AC5392">
          <w:rPr>
            <w:vanish/>
          </w:rPr>
          <w:tab/>
        </w:r>
        <w:r w:rsidR="00AC5392" w:rsidRPr="00AC5392">
          <w:rPr>
            <w:vanish/>
          </w:rPr>
          <w:fldChar w:fldCharType="begin"/>
        </w:r>
        <w:r w:rsidR="00AC5392" w:rsidRPr="00AC5392">
          <w:rPr>
            <w:vanish/>
          </w:rPr>
          <w:instrText xml:space="preserve"> PAGEREF _Toc185513883 \h </w:instrText>
        </w:r>
        <w:r w:rsidR="00AC5392" w:rsidRPr="00AC5392">
          <w:rPr>
            <w:vanish/>
          </w:rPr>
        </w:r>
        <w:r w:rsidR="00AC5392" w:rsidRPr="00AC5392">
          <w:rPr>
            <w:vanish/>
          </w:rPr>
          <w:fldChar w:fldCharType="separate"/>
        </w:r>
        <w:r w:rsidR="00AC5392" w:rsidRPr="00AC5392">
          <w:rPr>
            <w:vanish/>
          </w:rPr>
          <w:t>147</w:t>
        </w:r>
        <w:r w:rsidR="00AC5392" w:rsidRPr="00AC5392">
          <w:rPr>
            <w:vanish/>
          </w:rPr>
          <w:fldChar w:fldCharType="end"/>
        </w:r>
      </w:hyperlink>
    </w:p>
    <w:p w14:paraId="316005B5" w14:textId="1F6D7AC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4" w:history="1">
        <w:r w:rsidRPr="00533B68">
          <w:t>630</w:t>
        </w:r>
        <w:r>
          <w:rPr>
            <w:rFonts w:asciiTheme="minorHAnsi" w:eastAsiaTheme="minorEastAsia" w:hAnsiTheme="minorHAnsi" w:cstheme="minorBidi"/>
            <w:kern w:val="2"/>
            <w:sz w:val="24"/>
            <w:szCs w:val="24"/>
            <w:lang w:eastAsia="en-AU"/>
            <w14:ligatures w14:val="standardContextual"/>
          </w:rPr>
          <w:tab/>
        </w:r>
        <w:r w:rsidRPr="00533B68">
          <w:t>Order for party to answer interrogatories</w:t>
        </w:r>
        <w:r>
          <w:tab/>
        </w:r>
        <w:r>
          <w:fldChar w:fldCharType="begin"/>
        </w:r>
        <w:r>
          <w:instrText xml:space="preserve"> PAGEREF _Toc185513884 \h </w:instrText>
        </w:r>
        <w:r>
          <w:fldChar w:fldCharType="separate"/>
        </w:r>
        <w:r>
          <w:t>147</w:t>
        </w:r>
        <w:r>
          <w:fldChar w:fldCharType="end"/>
        </w:r>
      </w:hyperlink>
    </w:p>
    <w:p w14:paraId="4BC7CE1D" w14:textId="460AD7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5" w:history="1">
        <w:r w:rsidRPr="00533B68">
          <w:t>631</w:t>
        </w:r>
        <w:r>
          <w:rPr>
            <w:rFonts w:asciiTheme="minorHAnsi" w:eastAsiaTheme="minorEastAsia" w:hAnsiTheme="minorHAnsi" w:cstheme="minorBidi"/>
            <w:kern w:val="2"/>
            <w:sz w:val="24"/>
            <w:szCs w:val="24"/>
            <w:lang w:eastAsia="en-AU"/>
            <w14:ligatures w14:val="standardContextual"/>
          </w:rPr>
          <w:tab/>
        </w:r>
        <w:r w:rsidRPr="00533B68">
          <w:t>Objections to answer interrogatories</w:t>
        </w:r>
        <w:r>
          <w:tab/>
        </w:r>
        <w:r>
          <w:fldChar w:fldCharType="begin"/>
        </w:r>
        <w:r>
          <w:instrText xml:space="preserve"> PAGEREF _Toc185513885 \h </w:instrText>
        </w:r>
        <w:r>
          <w:fldChar w:fldCharType="separate"/>
        </w:r>
        <w:r>
          <w:t>147</w:t>
        </w:r>
        <w:r>
          <w:fldChar w:fldCharType="end"/>
        </w:r>
      </w:hyperlink>
    </w:p>
    <w:p w14:paraId="4B3B14D0" w14:textId="290BEB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6" w:history="1">
        <w:r w:rsidRPr="00533B68">
          <w:t>632</w:t>
        </w:r>
        <w:r>
          <w:rPr>
            <w:rFonts w:asciiTheme="minorHAnsi" w:eastAsiaTheme="minorEastAsia" w:hAnsiTheme="minorHAnsi" w:cstheme="minorBidi"/>
            <w:kern w:val="2"/>
            <w:sz w:val="24"/>
            <w:szCs w:val="24"/>
            <w:lang w:eastAsia="en-AU"/>
            <w14:ligatures w14:val="standardContextual"/>
          </w:rPr>
          <w:tab/>
        </w:r>
        <w:r w:rsidRPr="00533B68">
          <w:t>Orders about interrogatories</w:t>
        </w:r>
        <w:r>
          <w:tab/>
        </w:r>
        <w:r>
          <w:fldChar w:fldCharType="begin"/>
        </w:r>
        <w:r>
          <w:instrText xml:space="preserve"> PAGEREF _Toc185513886 \h </w:instrText>
        </w:r>
        <w:r>
          <w:fldChar w:fldCharType="separate"/>
        </w:r>
        <w:r>
          <w:t>148</w:t>
        </w:r>
        <w:r>
          <w:fldChar w:fldCharType="end"/>
        </w:r>
      </w:hyperlink>
    </w:p>
    <w:p w14:paraId="349A4714" w14:textId="496040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7" w:history="1">
        <w:r w:rsidRPr="00533B68">
          <w:t>633</w:t>
        </w:r>
        <w:r>
          <w:rPr>
            <w:rFonts w:asciiTheme="minorHAnsi" w:eastAsiaTheme="minorEastAsia" w:hAnsiTheme="minorHAnsi" w:cstheme="minorBidi"/>
            <w:kern w:val="2"/>
            <w:sz w:val="24"/>
            <w:szCs w:val="24"/>
            <w:lang w:eastAsia="en-AU"/>
            <w14:ligatures w14:val="standardContextual"/>
          </w:rPr>
          <w:tab/>
        </w:r>
        <w:r w:rsidRPr="00533B68">
          <w:t>Answers to interrogatories</w:t>
        </w:r>
        <w:r>
          <w:tab/>
        </w:r>
        <w:r>
          <w:fldChar w:fldCharType="begin"/>
        </w:r>
        <w:r>
          <w:instrText xml:space="preserve"> PAGEREF _Toc185513887 \h </w:instrText>
        </w:r>
        <w:r>
          <w:fldChar w:fldCharType="separate"/>
        </w:r>
        <w:r>
          <w:t>150</w:t>
        </w:r>
        <w:r>
          <w:fldChar w:fldCharType="end"/>
        </w:r>
      </w:hyperlink>
    </w:p>
    <w:p w14:paraId="1DA5AA1A" w14:textId="0CA3C63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8" w:history="1">
        <w:r w:rsidRPr="00533B68">
          <w:t>634</w:t>
        </w:r>
        <w:r>
          <w:rPr>
            <w:rFonts w:asciiTheme="minorHAnsi" w:eastAsiaTheme="minorEastAsia" w:hAnsiTheme="minorHAnsi" w:cstheme="minorBidi"/>
            <w:kern w:val="2"/>
            <w:sz w:val="24"/>
            <w:szCs w:val="24"/>
            <w:lang w:eastAsia="en-AU"/>
            <w14:ligatures w14:val="standardContextual"/>
          </w:rPr>
          <w:tab/>
        </w:r>
        <w:r w:rsidRPr="00533B68">
          <w:t>Answers to interrogatories—belief</w:t>
        </w:r>
        <w:r>
          <w:tab/>
        </w:r>
        <w:r>
          <w:fldChar w:fldCharType="begin"/>
        </w:r>
        <w:r>
          <w:instrText xml:space="preserve"> PAGEREF _Toc185513888 \h </w:instrText>
        </w:r>
        <w:r>
          <w:fldChar w:fldCharType="separate"/>
        </w:r>
        <w:r>
          <w:t>151</w:t>
        </w:r>
        <w:r>
          <w:fldChar w:fldCharType="end"/>
        </w:r>
      </w:hyperlink>
    </w:p>
    <w:p w14:paraId="777B6722" w14:textId="01F793C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89" w:history="1">
        <w:r w:rsidRPr="00533B68">
          <w:t>635</w:t>
        </w:r>
        <w:r>
          <w:rPr>
            <w:rFonts w:asciiTheme="minorHAnsi" w:eastAsiaTheme="minorEastAsia" w:hAnsiTheme="minorHAnsi" w:cstheme="minorBidi"/>
            <w:kern w:val="2"/>
            <w:sz w:val="24"/>
            <w:szCs w:val="24"/>
            <w:lang w:eastAsia="en-AU"/>
            <w14:ligatures w14:val="standardContextual"/>
          </w:rPr>
          <w:tab/>
        </w:r>
        <w:r w:rsidRPr="00533B68">
          <w:t>Answers to interrogatories to be verified</w:t>
        </w:r>
        <w:r>
          <w:tab/>
        </w:r>
        <w:r>
          <w:fldChar w:fldCharType="begin"/>
        </w:r>
        <w:r>
          <w:instrText xml:space="preserve"> PAGEREF _Toc185513889 \h </w:instrText>
        </w:r>
        <w:r>
          <w:fldChar w:fldCharType="separate"/>
        </w:r>
        <w:r>
          <w:t>152</w:t>
        </w:r>
        <w:r>
          <w:fldChar w:fldCharType="end"/>
        </w:r>
      </w:hyperlink>
    </w:p>
    <w:p w14:paraId="54306C53" w14:textId="11ED1F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90" w:history="1">
        <w:r w:rsidRPr="00533B68">
          <w:t>636</w:t>
        </w:r>
        <w:r>
          <w:rPr>
            <w:rFonts w:asciiTheme="minorHAnsi" w:eastAsiaTheme="minorEastAsia" w:hAnsiTheme="minorHAnsi" w:cstheme="minorBidi"/>
            <w:kern w:val="2"/>
            <w:sz w:val="24"/>
            <w:szCs w:val="24"/>
            <w:lang w:eastAsia="en-AU"/>
            <w14:ligatures w14:val="standardContextual"/>
          </w:rPr>
          <w:tab/>
        </w:r>
        <w:r w:rsidRPr="00533B68">
          <w:t>Tendering of answers to interrogatories in evidence</w:t>
        </w:r>
        <w:r>
          <w:tab/>
        </w:r>
        <w:r>
          <w:fldChar w:fldCharType="begin"/>
        </w:r>
        <w:r>
          <w:instrText xml:space="preserve"> PAGEREF _Toc185513890 \h </w:instrText>
        </w:r>
        <w:r>
          <w:fldChar w:fldCharType="separate"/>
        </w:r>
        <w:r>
          <w:t>152</w:t>
        </w:r>
        <w:r>
          <w:fldChar w:fldCharType="end"/>
        </w:r>
      </w:hyperlink>
    </w:p>
    <w:p w14:paraId="60B8986C" w14:textId="4FD15F7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91" w:history="1">
        <w:r w:rsidR="00AC5392" w:rsidRPr="00533B68">
          <w:t>Division 2.8.5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Who may verify list of documents or answers to interrogatories?</w:t>
        </w:r>
        <w:r w:rsidR="00AC5392" w:rsidRPr="00AC5392">
          <w:rPr>
            <w:vanish/>
          </w:rPr>
          <w:tab/>
        </w:r>
        <w:r w:rsidR="00AC5392" w:rsidRPr="00AC5392">
          <w:rPr>
            <w:vanish/>
          </w:rPr>
          <w:fldChar w:fldCharType="begin"/>
        </w:r>
        <w:r w:rsidR="00AC5392" w:rsidRPr="00AC5392">
          <w:rPr>
            <w:vanish/>
          </w:rPr>
          <w:instrText xml:space="preserve"> PAGEREF _Toc185513891 \h </w:instrText>
        </w:r>
        <w:r w:rsidR="00AC5392" w:rsidRPr="00AC5392">
          <w:rPr>
            <w:vanish/>
          </w:rPr>
        </w:r>
        <w:r w:rsidR="00AC5392" w:rsidRPr="00AC5392">
          <w:rPr>
            <w:vanish/>
          </w:rPr>
          <w:fldChar w:fldCharType="separate"/>
        </w:r>
        <w:r w:rsidR="00AC5392" w:rsidRPr="00AC5392">
          <w:rPr>
            <w:vanish/>
          </w:rPr>
          <w:t>152</w:t>
        </w:r>
        <w:r w:rsidR="00AC5392" w:rsidRPr="00AC5392">
          <w:rPr>
            <w:vanish/>
          </w:rPr>
          <w:fldChar w:fldCharType="end"/>
        </w:r>
      </w:hyperlink>
    </w:p>
    <w:p w14:paraId="24BC5322" w14:textId="50E99B2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92" w:history="1">
        <w:r w:rsidRPr="00533B68">
          <w:t>640</w:t>
        </w:r>
        <w:r>
          <w:rPr>
            <w:rFonts w:asciiTheme="minorHAnsi" w:eastAsiaTheme="minorEastAsia" w:hAnsiTheme="minorHAnsi" w:cstheme="minorBidi"/>
            <w:kern w:val="2"/>
            <w:sz w:val="24"/>
            <w:szCs w:val="24"/>
            <w:lang w:eastAsia="en-AU"/>
            <w14:ligatures w14:val="standardContextual"/>
          </w:rPr>
          <w:tab/>
        </w:r>
        <w:r w:rsidRPr="00533B68">
          <w:t>Answers by governments, corporations etc</w:t>
        </w:r>
        <w:r>
          <w:tab/>
        </w:r>
        <w:r>
          <w:fldChar w:fldCharType="begin"/>
        </w:r>
        <w:r>
          <w:instrText xml:space="preserve"> PAGEREF _Toc185513892 \h </w:instrText>
        </w:r>
        <w:r>
          <w:fldChar w:fldCharType="separate"/>
        </w:r>
        <w:r>
          <w:t>152</w:t>
        </w:r>
        <w:r>
          <w:fldChar w:fldCharType="end"/>
        </w:r>
      </w:hyperlink>
    </w:p>
    <w:p w14:paraId="67CE0868" w14:textId="2CF2AB1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93" w:history="1">
        <w:r w:rsidRPr="00533B68">
          <w:t>641</w:t>
        </w:r>
        <w:r>
          <w:rPr>
            <w:rFonts w:asciiTheme="minorHAnsi" w:eastAsiaTheme="minorEastAsia" w:hAnsiTheme="minorHAnsi" w:cstheme="minorBidi"/>
            <w:kern w:val="2"/>
            <w:sz w:val="24"/>
            <w:szCs w:val="24"/>
            <w:lang w:eastAsia="en-AU"/>
            <w14:ligatures w14:val="standardContextual"/>
          </w:rPr>
          <w:tab/>
        </w:r>
        <w:r w:rsidRPr="00533B68">
          <w:t>Party cannot swear affidavit personally</w:t>
        </w:r>
        <w:r>
          <w:tab/>
        </w:r>
        <w:r>
          <w:fldChar w:fldCharType="begin"/>
        </w:r>
        <w:r>
          <w:instrText xml:space="preserve"> PAGEREF _Toc185513893 \h </w:instrText>
        </w:r>
        <w:r>
          <w:fldChar w:fldCharType="separate"/>
        </w:r>
        <w:r>
          <w:t>153</w:t>
        </w:r>
        <w:r>
          <w:fldChar w:fldCharType="end"/>
        </w:r>
      </w:hyperlink>
    </w:p>
    <w:p w14:paraId="66255B71" w14:textId="7715DC6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94" w:history="1">
        <w:r w:rsidR="00AC5392" w:rsidRPr="00533B68">
          <w:t>Division 2.8.6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Preliminary discovery</w:t>
        </w:r>
        <w:r w:rsidR="00AC5392" w:rsidRPr="00AC5392">
          <w:rPr>
            <w:vanish/>
          </w:rPr>
          <w:tab/>
        </w:r>
        <w:r w:rsidR="00AC5392" w:rsidRPr="00AC5392">
          <w:rPr>
            <w:vanish/>
          </w:rPr>
          <w:fldChar w:fldCharType="begin"/>
        </w:r>
        <w:r w:rsidR="00AC5392" w:rsidRPr="00AC5392">
          <w:rPr>
            <w:vanish/>
          </w:rPr>
          <w:instrText xml:space="preserve"> PAGEREF _Toc185513894 \h </w:instrText>
        </w:r>
        <w:r w:rsidR="00AC5392" w:rsidRPr="00AC5392">
          <w:rPr>
            <w:vanish/>
          </w:rPr>
        </w:r>
        <w:r w:rsidR="00AC5392" w:rsidRPr="00AC5392">
          <w:rPr>
            <w:vanish/>
          </w:rPr>
          <w:fldChar w:fldCharType="separate"/>
        </w:r>
        <w:r w:rsidR="00AC5392" w:rsidRPr="00AC5392">
          <w:rPr>
            <w:vanish/>
          </w:rPr>
          <w:t>154</w:t>
        </w:r>
        <w:r w:rsidR="00AC5392" w:rsidRPr="00AC5392">
          <w:rPr>
            <w:vanish/>
          </w:rPr>
          <w:fldChar w:fldCharType="end"/>
        </w:r>
      </w:hyperlink>
    </w:p>
    <w:p w14:paraId="4231D9D7" w14:textId="749A95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95" w:history="1">
        <w:r w:rsidRPr="00533B68">
          <w:t>650</w:t>
        </w:r>
        <w:r>
          <w:rPr>
            <w:rFonts w:asciiTheme="minorHAnsi" w:eastAsiaTheme="minorEastAsia" w:hAnsiTheme="minorHAnsi" w:cstheme="minorBidi"/>
            <w:kern w:val="2"/>
            <w:sz w:val="24"/>
            <w:szCs w:val="24"/>
            <w:lang w:eastAsia="en-AU"/>
            <w14:ligatures w14:val="standardContextual"/>
          </w:rPr>
          <w:tab/>
        </w:r>
        <w:r w:rsidRPr="00533B68">
          <w:t>Discovery to identify potential defendant</w:t>
        </w:r>
        <w:r>
          <w:tab/>
        </w:r>
        <w:r>
          <w:fldChar w:fldCharType="begin"/>
        </w:r>
        <w:r>
          <w:instrText xml:space="preserve"> PAGEREF _Toc185513895 \h </w:instrText>
        </w:r>
        <w:r>
          <w:fldChar w:fldCharType="separate"/>
        </w:r>
        <w:r>
          <w:t>154</w:t>
        </w:r>
        <w:r>
          <w:fldChar w:fldCharType="end"/>
        </w:r>
      </w:hyperlink>
    </w:p>
    <w:p w14:paraId="0D7ED424" w14:textId="6972C53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96" w:history="1">
        <w:r w:rsidRPr="00533B68">
          <w:t>651</w:t>
        </w:r>
        <w:r>
          <w:rPr>
            <w:rFonts w:asciiTheme="minorHAnsi" w:eastAsiaTheme="minorEastAsia" w:hAnsiTheme="minorHAnsi" w:cstheme="minorBidi"/>
            <w:kern w:val="2"/>
            <w:sz w:val="24"/>
            <w:szCs w:val="24"/>
            <w:lang w:eastAsia="en-AU"/>
            <w14:ligatures w14:val="standardContextual"/>
          </w:rPr>
          <w:tab/>
        </w:r>
        <w:r w:rsidRPr="00533B68">
          <w:t>Discovery to identify right to claim relief</w:t>
        </w:r>
        <w:r>
          <w:tab/>
        </w:r>
        <w:r>
          <w:fldChar w:fldCharType="begin"/>
        </w:r>
        <w:r>
          <w:instrText xml:space="preserve"> PAGEREF _Toc185513896 \h </w:instrText>
        </w:r>
        <w:r>
          <w:fldChar w:fldCharType="separate"/>
        </w:r>
        <w:r>
          <w:t>156</w:t>
        </w:r>
        <w:r>
          <w:fldChar w:fldCharType="end"/>
        </w:r>
      </w:hyperlink>
    </w:p>
    <w:p w14:paraId="559D240C" w14:textId="7305FCF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97" w:history="1">
        <w:r w:rsidRPr="00533B68">
          <w:t>652</w:t>
        </w:r>
        <w:r>
          <w:rPr>
            <w:rFonts w:asciiTheme="minorHAnsi" w:eastAsiaTheme="minorEastAsia" w:hAnsiTheme="minorHAnsi" w:cstheme="minorBidi"/>
            <w:kern w:val="2"/>
            <w:sz w:val="24"/>
            <w:szCs w:val="24"/>
            <w:lang w:eastAsia="en-AU"/>
            <w14:ligatures w14:val="standardContextual"/>
          </w:rPr>
          <w:tab/>
        </w:r>
        <w:r w:rsidRPr="00533B68">
          <w:t>Order under div 2.8.6—privilege</w:t>
        </w:r>
        <w:r>
          <w:tab/>
        </w:r>
        <w:r>
          <w:fldChar w:fldCharType="begin"/>
        </w:r>
        <w:r>
          <w:instrText xml:space="preserve"> PAGEREF _Toc185513897 \h </w:instrText>
        </w:r>
        <w:r>
          <w:fldChar w:fldCharType="separate"/>
        </w:r>
        <w:r>
          <w:t>158</w:t>
        </w:r>
        <w:r>
          <w:fldChar w:fldCharType="end"/>
        </w:r>
      </w:hyperlink>
    </w:p>
    <w:p w14:paraId="087CB854" w14:textId="47C786D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898" w:history="1">
        <w:r w:rsidRPr="00533B68">
          <w:t>653</w:t>
        </w:r>
        <w:r>
          <w:rPr>
            <w:rFonts w:asciiTheme="minorHAnsi" w:eastAsiaTheme="minorEastAsia" w:hAnsiTheme="minorHAnsi" w:cstheme="minorBidi"/>
            <w:kern w:val="2"/>
            <w:sz w:val="24"/>
            <w:szCs w:val="24"/>
            <w:lang w:eastAsia="en-AU"/>
            <w14:ligatures w14:val="standardContextual"/>
          </w:rPr>
          <w:tab/>
        </w:r>
        <w:r w:rsidRPr="00533B68">
          <w:t>Order under div 2.8.6—costs</w:t>
        </w:r>
        <w:r>
          <w:tab/>
        </w:r>
        <w:r>
          <w:fldChar w:fldCharType="begin"/>
        </w:r>
        <w:r>
          <w:instrText xml:space="preserve"> PAGEREF _Toc185513898 \h </w:instrText>
        </w:r>
        <w:r>
          <w:fldChar w:fldCharType="separate"/>
        </w:r>
        <w:r>
          <w:t>158</w:t>
        </w:r>
        <w:r>
          <w:fldChar w:fldCharType="end"/>
        </w:r>
      </w:hyperlink>
    </w:p>
    <w:p w14:paraId="33B82B6F" w14:textId="1DE9261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899" w:history="1">
        <w:r w:rsidR="00AC5392" w:rsidRPr="00533B68">
          <w:t>Division 2.8.7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Non-party production</w:t>
        </w:r>
        <w:r w:rsidR="00AC5392" w:rsidRPr="00AC5392">
          <w:rPr>
            <w:vanish/>
          </w:rPr>
          <w:tab/>
        </w:r>
        <w:r w:rsidR="00AC5392" w:rsidRPr="00AC5392">
          <w:rPr>
            <w:vanish/>
          </w:rPr>
          <w:fldChar w:fldCharType="begin"/>
        </w:r>
        <w:r w:rsidR="00AC5392" w:rsidRPr="00AC5392">
          <w:rPr>
            <w:vanish/>
          </w:rPr>
          <w:instrText xml:space="preserve"> PAGEREF _Toc185513899 \h </w:instrText>
        </w:r>
        <w:r w:rsidR="00AC5392" w:rsidRPr="00AC5392">
          <w:rPr>
            <w:vanish/>
          </w:rPr>
        </w:r>
        <w:r w:rsidR="00AC5392" w:rsidRPr="00AC5392">
          <w:rPr>
            <w:vanish/>
          </w:rPr>
          <w:fldChar w:fldCharType="separate"/>
        </w:r>
        <w:r w:rsidR="00AC5392" w:rsidRPr="00AC5392">
          <w:rPr>
            <w:vanish/>
          </w:rPr>
          <w:t>159</w:t>
        </w:r>
        <w:r w:rsidR="00AC5392" w:rsidRPr="00AC5392">
          <w:rPr>
            <w:vanish/>
          </w:rPr>
          <w:fldChar w:fldCharType="end"/>
        </w:r>
      </w:hyperlink>
    </w:p>
    <w:p w14:paraId="3B670EA7" w14:textId="4C8C0B8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0" w:history="1">
        <w:r w:rsidRPr="00533B68">
          <w:t>659</w:t>
        </w:r>
        <w:r>
          <w:rPr>
            <w:rFonts w:asciiTheme="minorHAnsi" w:eastAsiaTheme="minorEastAsia" w:hAnsiTheme="minorHAnsi" w:cstheme="minorBidi"/>
            <w:kern w:val="2"/>
            <w:sz w:val="24"/>
            <w:szCs w:val="24"/>
            <w:lang w:eastAsia="en-AU"/>
            <w14:ligatures w14:val="standardContextual"/>
          </w:rPr>
          <w:tab/>
        </w:r>
        <w:r w:rsidRPr="00533B68">
          <w:t>Application—div 2.8.7</w:t>
        </w:r>
        <w:r>
          <w:tab/>
        </w:r>
        <w:r>
          <w:fldChar w:fldCharType="begin"/>
        </w:r>
        <w:r>
          <w:instrText xml:space="preserve"> PAGEREF _Toc185513900 \h </w:instrText>
        </w:r>
        <w:r>
          <w:fldChar w:fldCharType="separate"/>
        </w:r>
        <w:r>
          <w:t>159</w:t>
        </w:r>
        <w:r>
          <w:fldChar w:fldCharType="end"/>
        </w:r>
      </w:hyperlink>
    </w:p>
    <w:p w14:paraId="7BA9E186" w14:textId="33A2B00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1" w:history="1">
        <w:r w:rsidRPr="00533B68">
          <w:t>660</w:t>
        </w:r>
        <w:r>
          <w:rPr>
            <w:rFonts w:asciiTheme="minorHAnsi" w:eastAsiaTheme="minorEastAsia" w:hAnsiTheme="minorHAnsi" w:cstheme="minorBidi"/>
            <w:kern w:val="2"/>
            <w:sz w:val="24"/>
            <w:szCs w:val="24"/>
            <w:lang w:eastAsia="en-AU"/>
            <w14:ligatures w14:val="standardContextual"/>
          </w:rPr>
          <w:tab/>
        </w:r>
        <w:r w:rsidRPr="00533B68">
          <w:t>Notice for non-party production—issue</w:t>
        </w:r>
        <w:r>
          <w:tab/>
        </w:r>
        <w:r>
          <w:fldChar w:fldCharType="begin"/>
        </w:r>
        <w:r>
          <w:instrText xml:space="preserve"> PAGEREF _Toc185513901 \h </w:instrText>
        </w:r>
        <w:r>
          <w:fldChar w:fldCharType="separate"/>
        </w:r>
        <w:r>
          <w:t>159</w:t>
        </w:r>
        <w:r>
          <w:fldChar w:fldCharType="end"/>
        </w:r>
      </w:hyperlink>
    </w:p>
    <w:p w14:paraId="3F3DCF1C" w14:textId="0346E32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2" w:history="1">
        <w:r w:rsidRPr="00533B68">
          <w:t>661</w:t>
        </w:r>
        <w:r>
          <w:rPr>
            <w:rFonts w:asciiTheme="minorHAnsi" w:eastAsiaTheme="minorEastAsia" w:hAnsiTheme="minorHAnsi" w:cstheme="minorBidi"/>
            <w:kern w:val="2"/>
            <w:sz w:val="24"/>
            <w:szCs w:val="24"/>
            <w:lang w:eastAsia="en-AU"/>
            <w14:ligatures w14:val="standardContextual"/>
          </w:rPr>
          <w:tab/>
        </w:r>
        <w:r w:rsidRPr="00533B68">
          <w:t>Notice for non-party production—service</w:t>
        </w:r>
        <w:r>
          <w:tab/>
        </w:r>
        <w:r>
          <w:fldChar w:fldCharType="begin"/>
        </w:r>
        <w:r>
          <w:instrText xml:space="preserve"> PAGEREF _Toc185513902 \h </w:instrText>
        </w:r>
        <w:r>
          <w:fldChar w:fldCharType="separate"/>
        </w:r>
        <w:r>
          <w:t>160</w:t>
        </w:r>
        <w:r>
          <w:fldChar w:fldCharType="end"/>
        </w:r>
      </w:hyperlink>
    </w:p>
    <w:p w14:paraId="413F41B5" w14:textId="5185A3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3" w:history="1">
        <w:r w:rsidRPr="00533B68">
          <w:t>662</w:t>
        </w:r>
        <w:r>
          <w:rPr>
            <w:rFonts w:asciiTheme="minorHAnsi" w:eastAsiaTheme="minorEastAsia" w:hAnsiTheme="minorHAnsi" w:cstheme="minorBidi"/>
            <w:kern w:val="2"/>
            <w:sz w:val="24"/>
            <w:szCs w:val="24"/>
            <w:lang w:eastAsia="en-AU"/>
            <w14:ligatures w14:val="standardContextual"/>
          </w:rPr>
          <w:tab/>
        </w:r>
        <w:r w:rsidRPr="00533B68">
          <w:t>Notice for non-party production—inspection by other parties</w:t>
        </w:r>
        <w:r>
          <w:tab/>
        </w:r>
        <w:r>
          <w:fldChar w:fldCharType="begin"/>
        </w:r>
        <w:r>
          <w:instrText xml:space="preserve"> PAGEREF _Toc185513903 \h </w:instrText>
        </w:r>
        <w:r>
          <w:fldChar w:fldCharType="separate"/>
        </w:r>
        <w:r>
          <w:t>160</w:t>
        </w:r>
        <w:r>
          <w:fldChar w:fldCharType="end"/>
        </w:r>
      </w:hyperlink>
    </w:p>
    <w:p w14:paraId="32C8A31B" w14:textId="0ECD90B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4" w:history="1">
        <w:r w:rsidRPr="00533B68">
          <w:t>663</w:t>
        </w:r>
        <w:r>
          <w:rPr>
            <w:rFonts w:asciiTheme="minorHAnsi" w:eastAsiaTheme="minorEastAsia" w:hAnsiTheme="minorHAnsi" w:cstheme="minorBidi"/>
            <w:kern w:val="2"/>
            <w:sz w:val="24"/>
            <w:szCs w:val="24"/>
            <w:lang w:eastAsia="en-AU"/>
            <w14:ligatures w14:val="standardContextual"/>
          </w:rPr>
          <w:tab/>
        </w:r>
        <w:r w:rsidRPr="00533B68">
          <w:t>Notice for non-party production—application to set aside</w:t>
        </w:r>
        <w:r>
          <w:tab/>
        </w:r>
        <w:r>
          <w:fldChar w:fldCharType="begin"/>
        </w:r>
        <w:r>
          <w:instrText xml:space="preserve"> PAGEREF _Toc185513904 \h </w:instrText>
        </w:r>
        <w:r>
          <w:fldChar w:fldCharType="separate"/>
        </w:r>
        <w:r>
          <w:t>161</w:t>
        </w:r>
        <w:r>
          <w:fldChar w:fldCharType="end"/>
        </w:r>
      </w:hyperlink>
    </w:p>
    <w:p w14:paraId="5626214B" w14:textId="7F36205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5" w:history="1">
        <w:r w:rsidRPr="00533B68">
          <w:t>664</w:t>
        </w:r>
        <w:r>
          <w:rPr>
            <w:rFonts w:asciiTheme="minorHAnsi" w:eastAsiaTheme="minorEastAsia" w:hAnsiTheme="minorHAnsi" w:cstheme="minorBidi"/>
            <w:kern w:val="2"/>
            <w:sz w:val="24"/>
            <w:szCs w:val="24"/>
            <w:lang w:eastAsia="en-AU"/>
            <w14:ligatures w14:val="standardContextual"/>
          </w:rPr>
          <w:tab/>
        </w:r>
        <w:r w:rsidRPr="00533B68">
          <w:t>Notice for non-party production—privilege or objection</w:t>
        </w:r>
        <w:r>
          <w:tab/>
        </w:r>
        <w:r>
          <w:fldChar w:fldCharType="begin"/>
        </w:r>
        <w:r>
          <w:instrText xml:space="preserve"> PAGEREF _Toc185513905 \h </w:instrText>
        </w:r>
        <w:r>
          <w:fldChar w:fldCharType="separate"/>
        </w:r>
        <w:r>
          <w:t>162</w:t>
        </w:r>
        <w:r>
          <w:fldChar w:fldCharType="end"/>
        </w:r>
      </w:hyperlink>
    </w:p>
    <w:p w14:paraId="0FD815F6" w14:textId="5A836B3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6" w:history="1">
        <w:r w:rsidRPr="00533B68">
          <w:t>665</w:t>
        </w:r>
        <w:r>
          <w:rPr>
            <w:rFonts w:asciiTheme="minorHAnsi" w:eastAsiaTheme="minorEastAsia" w:hAnsiTheme="minorHAnsi" w:cstheme="minorBidi"/>
            <w:kern w:val="2"/>
            <w:sz w:val="24"/>
            <w:szCs w:val="24"/>
            <w:lang w:eastAsia="en-AU"/>
            <w14:ligatures w14:val="standardContextual"/>
          </w:rPr>
          <w:tab/>
        </w:r>
        <w:r w:rsidRPr="00533B68">
          <w:t>Notice for non-party production—failure to produce documents</w:t>
        </w:r>
        <w:r>
          <w:tab/>
        </w:r>
        <w:r>
          <w:fldChar w:fldCharType="begin"/>
        </w:r>
        <w:r>
          <w:instrText xml:space="preserve"> PAGEREF _Toc185513906 \h </w:instrText>
        </w:r>
        <w:r>
          <w:fldChar w:fldCharType="separate"/>
        </w:r>
        <w:r>
          <w:t>163</w:t>
        </w:r>
        <w:r>
          <w:fldChar w:fldCharType="end"/>
        </w:r>
      </w:hyperlink>
    </w:p>
    <w:p w14:paraId="6FCF3E6E" w14:textId="7EB607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07" w:history="1">
        <w:r w:rsidRPr="00533B68">
          <w:t>666</w:t>
        </w:r>
        <w:r>
          <w:rPr>
            <w:rFonts w:asciiTheme="minorHAnsi" w:eastAsiaTheme="minorEastAsia" w:hAnsiTheme="minorHAnsi" w:cstheme="minorBidi"/>
            <w:kern w:val="2"/>
            <w:sz w:val="24"/>
            <w:szCs w:val="24"/>
            <w:lang w:eastAsia="en-AU"/>
            <w14:ligatures w14:val="standardContextual"/>
          </w:rPr>
          <w:tab/>
        </w:r>
        <w:r w:rsidRPr="00533B68">
          <w:t>Notice for non-party production—copying produced documents</w:t>
        </w:r>
        <w:r>
          <w:tab/>
        </w:r>
        <w:r>
          <w:fldChar w:fldCharType="begin"/>
        </w:r>
        <w:r>
          <w:instrText xml:space="preserve"> PAGEREF _Toc185513907 \h </w:instrText>
        </w:r>
        <w:r>
          <w:fldChar w:fldCharType="separate"/>
        </w:r>
        <w:r>
          <w:t>163</w:t>
        </w:r>
        <w:r>
          <w:fldChar w:fldCharType="end"/>
        </w:r>
      </w:hyperlink>
    </w:p>
    <w:p w14:paraId="7C9AE769" w14:textId="285850B3"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908" w:history="1">
        <w:r w:rsidRPr="00533B68">
          <w:t>667</w:t>
        </w:r>
        <w:r>
          <w:rPr>
            <w:rFonts w:asciiTheme="minorHAnsi" w:eastAsiaTheme="minorEastAsia" w:hAnsiTheme="minorHAnsi" w:cstheme="minorBidi"/>
            <w:kern w:val="2"/>
            <w:sz w:val="24"/>
            <w:szCs w:val="24"/>
            <w:lang w:eastAsia="en-AU"/>
            <w14:ligatures w14:val="standardContextual"/>
          </w:rPr>
          <w:tab/>
        </w:r>
        <w:r w:rsidRPr="00533B68">
          <w:t>Notice for non-party production—costs</w:t>
        </w:r>
        <w:r>
          <w:tab/>
        </w:r>
        <w:r>
          <w:fldChar w:fldCharType="begin"/>
        </w:r>
        <w:r>
          <w:instrText xml:space="preserve"> PAGEREF _Toc185513908 \h </w:instrText>
        </w:r>
        <w:r>
          <w:fldChar w:fldCharType="separate"/>
        </w:r>
        <w:r>
          <w:t>164</w:t>
        </w:r>
        <w:r>
          <w:fldChar w:fldCharType="end"/>
        </w:r>
      </w:hyperlink>
    </w:p>
    <w:p w14:paraId="5DACA53F" w14:textId="7E8DB6A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09" w:history="1">
        <w:r w:rsidR="00AC5392" w:rsidRPr="00533B68">
          <w:t>Division 2.8.8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Discovery—other provisions</w:t>
        </w:r>
        <w:r w:rsidR="00AC5392" w:rsidRPr="00AC5392">
          <w:rPr>
            <w:vanish/>
          </w:rPr>
          <w:tab/>
        </w:r>
        <w:r w:rsidR="00AC5392" w:rsidRPr="00AC5392">
          <w:rPr>
            <w:vanish/>
          </w:rPr>
          <w:fldChar w:fldCharType="begin"/>
        </w:r>
        <w:r w:rsidR="00AC5392" w:rsidRPr="00AC5392">
          <w:rPr>
            <w:vanish/>
          </w:rPr>
          <w:instrText xml:space="preserve"> PAGEREF _Toc185513909 \h </w:instrText>
        </w:r>
        <w:r w:rsidR="00AC5392" w:rsidRPr="00AC5392">
          <w:rPr>
            <w:vanish/>
          </w:rPr>
        </w:r>
        <w:r w:rsidR="00AC5392" w:rsidRPr="00AC5392">
          <w:rPr>
            <w:vanish/>
          </w:rPr>
          <w:fldChar w:fldCharType="separate"/>
        </w:r>
        <w:r w:rsidR="00AC5392" w:rsidRPr="00AC5392">
          <w:rPr>
            <w:vanish/>
          </w:rPr>
          <w:t>164</w:t>
        </w:r>
        <w:r w:rsidR="00AC5392" w:rsidRPr="00AC5392">
          <w:rPr>
            <w:vanish/>
          </w:rPr>
          <w:fldChar w:fldCharType="end"/>
        </w:r>
      </w:hyperlink>
    </w:p>
    <w:p w14:paraId="434C56B3" w14:textId="5F1CAB7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10" w:history="1">
        <w:r w:rsidRPr="00533B68">
          <w:t>670</w:t>
        </w:r>
        <w:r>
          <w:rPr>
            <w:rFonts w:asciiTheme="minorHAnsi" w:eastAsiaTheme="minorEastAsia" w:hAnsiTheme="minorHAnsi" w:cstheme="minorBidi"/>
            <w:kern w:val="2"/>
            <w:sz w:val="24"/>
            <w:szCs w:val="24"/>
            <w:lang w:eastAsia="en-AU"/>
            <w14:ligatures w14:val="standardContextual"/>
          </w:rPr>
          <w:tab/>
        </w:r>
        <w:r w:rsidRPr="00533B68">
          <w:t>Contravention of pt 2.8 order—contempt of court</w:t>
        </w:r>
        <w:r>
          <w:tab/>
        </w:r>
        <w:r>
          <w:fldChar w:fldCharType="begin"/>
        </w:r>
        <w:r>
          <w:instrText xml:space="preserve"> PAGEREF _Toc185513910 \h </w:instrText>
        </w:r>
        <w:r>
          <w:fldChar w:fldCharType="separate"/>
        </w:r>
        <w:r>
          <w:t>164</w:t>
        </w:r>
        <w:r>
          <w:fldChar w:fldCharType="end"/>
        </w:r>
      </w:hyperlink>
    </w:p>
    <w:p w14:paraId="62A6F1AF" w14:textId="69EB805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11" w:history="1">
        <w:r w:rsidRPr="00533B68">
          <w:t>671</w:t>
        </w:r>
        <w:r>
          <w:rPr>
            <w:rFonts w:asciiTheme="minorHAnsi" w:eastAsiaTheme="minorEastAsia" w:hAnsiTheme="minorHAnsi" w:cstheme="minorBidi"/>
            <w:kern w:val="2"/>
            <w:sz w:val="24"/>
            <w:szCs w:val="24"/>
            <w:lang w:eastAsia="en-AU"/>
            <w14:ligatures w14:val="standardContextual"/>
          </w:rPr>
          <w:tab/>
        </w:r>
        <w:r w:rsidRPr="00533B68">
          <w:t>Contravention of pt 2.8 order—other action</w:t>
        </w:r>
        <w:r>
          <w:tab/>
        </w:r>
        <w:r>
          <w:fldChar w:fldCharType="begin"/>
        </w:r>
        <w:r>
          <w:instrText xml:space="preserve"> PAGEREF _Toc185513911 \h </w:instrText>
        </w:r>
        <w:r>
          <w:fldChar w:fldCharType="separate"/>
        </w:r>
        <w:r>
          <w:t>165</w:t>
        </w:r>
        <w:r>
          <w:fldChar w:fldCharType="end"/>
        </w:r>
      </w:hyperlink>
    </w:p>
    <w:p w14:paraId="3992AC8D" w14:textId="0AA6C68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12" w:history="1">
        <w:r w:rsidRPr="00533B68">
          <w:t>672</w:t>
        </w:r>
        <w:r>
          <w:rPr>
            <w:rFonts w:asciiTheme="minorHAnsi" w:eastAsiaTheme="minorEastAsia" w:hAnsiTheme="minorHAnsi" w:cstheme="minorBidi"/>
            <w:kern w:val="2"/>
            <w:sz w:val="24"/>
            <w:szCs w:val="24"/>
            <w:lang w:eastAsia="en-AU"/>
            <w14:ligatures w14:val="standardContextual"/>
          </w:rPr>
          <w:tab/>
        </w:r>
        <w:r w:rsidRPr="00533B68">
          <w:t>Solicitor to notify party of certain matters about pt 2.8</w:t>
        </w:r>
        <w:r>
          <w:tab/>
        </w:r>
        <w:r>
          <w:fldChar w:fldCharType="begin"/>
        </w:r>
        <w:r>
          <w:instrText xml:space="preserve"> PAGEREF _Toc185513912 \h </w:instrText>
        </w:r>
        <w:r>
          <w:fldChar w:fldCharType="separate"/>
        </w:r>
        <w:r>
          <w:t>165</w:t>
        </w:r>
        <w:r>
          <w:fldChar w:fldCharType="end"/>
        </w:r>
      </w:hyperlink>
    </w:p>
    <w:p w14:paraId="4AF27F3B" w14:textId="3B1BACE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13" w:history="1">
        <w:r w:rsidRPr="00533B68">
          <w:t>673</w:t>
        </w:r>
        <w:r>
          <w:rPr>
            <w:rFonts w:asciiTheme="minorHAnsi" w:eastAsiaTheme="minorEastAsia" w:hAnsiTheme="minorHAnsi" w:cstheme="minorBidi"/>
            <w:kern w:val="2"/>
            <w:sz w:val="24"/>
            <w:szCs w:val="24"/>
            <w:lang w:eastAsia="en-AU"/>
            <w14:ligatures w14:val="standardContextual"/>
          </w:rPr>
          <w:tab/>
        </w:r>
        <w:r w:rsidRPr="00533B68">
          <w:t>Improper use of disclosed document</w:t>
        </w:r>
        <w:r>
          <w:tab/>
        </w:r>
        <w:r>
          <w:fldChar w:fldCharType="begin"/>
        </w:r>
        <w:r>
          <w:instrText xml:space="preserve"> PAGEREF _Toc185513913 \h </w:instrText>
        </w:r>
        <w:r>
          <w:fldChar w:fldCharType="separate"/>
        </w:r>
        <w:r>
          <w:t>166</w:t>
        </w:r>
        <w:r>
          <w:fldChar w:fldCharType="end"/>
        </w:r>
      </w:hyperlink>
    </w:p>
    <w:p w14:paraId="5407C463" w14:textId="2FC4A4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14" w:history="1">
        <w:r w:rsidRPr="00533B68">
          <w:t>674</w:t>
        </w:r>
        <w:r>
          <w:rPr>
            <w:rFonts w:asciiTheme="minorHAnsi" w:eastAsiaTheme="minorEastAsia" w:hAnsiTheme="minorHAnsi" w:cstheme="minorBidi"/>
            <w:kern w:val="2"/>
            <w:sz w:val="24"/>
            <w:szCs w:val="24"/>
            <w:lang w:eastAsia="en-AU"/>
            <w14:ligatures w14:val="standardContextual"/>
          </w:rPr>
          <w:tab/>
        </w:r>
        <w:r w:rsidRPr="00533B68">
          <w:t>Failure to disclose document</w:t>
        </w:r>
        <w:r>
          <w:tab/>
        </w:r>
        <w:r>
          <w:fldChar w:fldCharType="begin"/>
        </w:r>
        <w:r>
          <w:instrText xml:space="preserve"> PAGEREF _Toc185513914 \h </w:instrText>
        </w:r>
        <w:r>
          <w:fldChar w:fldCharType="separate"/>
        </w:r>
        <w:r>
          <w:t>167</w:t>
        </w:r>
        <w:r>
          <w:fldChar w:fldCharType="end"/>
        </w:r>
      </w:hyperlink>
    </w:p>
    <w:p w14:paraId="4905EE85" w14:textId="25E134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15" w:history="1">
        <w:r w:rsidRPr="00533B68">
          <w:t>675</w:t>
        </w:r>
        <w:r>
          <w:rPr>
            <w:rFonts w:asciiTheme="minorHAnsi" w:eastAsiaTheme="minorEastAsia" w:hAnsiTheme="minorHAnsi" w:cstheme="minorBidi"/>
            <w:kern w:val="2"/>
            <w:sz w:val="24"/>
            <w:szCs w:val="24"/>
            <w:lang w:eastAsia="en-AU"/>
            <w14:ligatures w14:val="standardContextual"/>
          </w:rPr>
          <w:tab/>
        </w:r>
        <w:r w:rsidRPr="00533B68">
          <w:t>Discovery by electronic means—practice notes</w:t>
        </w:r>
        <w:r>
          <w:tab/>
        </w:r>
        <w:r>
          <w:fldChar w:fldCharType="begin"/>
        </w:r>
        <w:r>
          <w:instrText xml:space="preserve"> PAGEREF _Toc185513915 \h </w:instrText>
        </w:r>
        <w:r>
          <w:fldChar w:fldCharType="separate"/>
        </w:r>
        <w:r>
          <w:t>167</w:t>
        </w:r>
        <w:r>
          <w:fldChar w:fldCharType="end"/>
        </w:r>
      </w:hyperlink>
    </w:p>
    <w:p w14:paraId="039C3505" w14:textId="037E1202"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916" w:history="1">
        <w:r w:rsidR="00AC5392" w:rsidRPr="00533B68">
          <w:t>Part 2.9</w:t>
        </w:r>
        <w:r w:rsidR="00AC5392">
          <w:rPr>
            <w:rFonts w:asciiTheme="minorHAnsi" w:eastAsiaTheme="minorEastAsia" w:hAnsiTheme="minorHAnsi" w:cstheme="minorBidi"/>
            <w:b w:val="0"/>
            <w:kern w:val="2"/>
            <w:szCs w:val="24"/>
            <w:lang w:eastAsia="en-AU"/>
            <w14:ligatures w14:val="standardContextual"/>
          </w:rPr>
          <w:tab/>
        </w:r>
        <w:r w:rsidR="00AC5392" w:rsidRPr="00533B68">
          <w:t>Preservation of rights and property</w:t>
        </w:r>
        <w:r w:rsidR="00AC5392" w:rsidRPr="00AC5392">
          <w:rPr>
            <w:vanish/>
          </w:rPr>
          <w:tab/>
        </w:r>
        <w:r w:rsidR="00AC5392" w:rsidRPr="00AC5392">
          <w:rPr>
            <w:vanish/>
          </w:rPr>
          <w:fldChar w:fldCharType="begin"/>
        </w:r>
        <w:r w:rsidR="00AC5392" w:rsidRPr="00AC5392">
          <w:rPr>
            <w:vanish/>
          </w:rPr>
          <w:instrText xml:space="preserve"> PAGEREF _Toc185513916 \h </w:instrText>
        </w:r>
        <w:r w:rsidR="00AC5392" w:rsidRPr="00AC5392">
          <w:rPr>
            <w:vanish/>
          </w:rPr>
        </w:r>
        <w:r w:rsidR="00AC5392" w:rsidRPr="00AC5392">
          <w:rPr>
            <w:vanish/>
          </w:rPr>
          <w:fldChar w:fldCharType="separate"/>
        </w:r>
        <w:r w:rsidR="00AC5392" w:rsidRPr="00AC5392">
          <w:rPr>
            <w:vanish/>
          </w:rPr>
          <w:t>168</w:t>
        </w:r>
        <w:r w:rsidR="00AC5392" w:rsidRPr="00AC5392">
          <w:rPr>
            <w:vanish/>
          </w:rPr>
          <w:fldChar w:fldCharType="end"/>
        </w:r>
      </w:hyperlink>
    </w:p>
    <w:p w14:paraId="1AAAA5FC" w14:textId="32A2A81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17" w:history="1">
        <w:r w:rsidR="00AC5392" w:rsidRPr="00533B68">
          <w:t>Division 2.9.1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Interpretation—pt 2.9</w:t>
        </w:r>
        <w:r w:rsidR="00AC5392" w:rsidRPr="00AC5392">
          <w:rPr>
            <w:vanish/>
          </w:rPr>
          <w:tab/>
        </w:r>
        <w:r w:rsidR="00AC5392" w:rsidRPr="00AC5392">
          <w:rPr>
            <w:vanish/>
          </w:rPr>
          <w:fldChar w:fldCharType="begin"/>
        </w:r>
        <w:r w:rsidR="00AC5392" w:rsidRPr="00AC5392">
          <w:rPr>
            <w:vanish/>
          </w:rPr>
          <w:instrText xml:space="preserve"> PAGEREF _Toc185513917 \h </w:instrText>
        </w:r>
        <w:r w:rsidR="00AC5392" w:rsidRPr="00AC5392">
          <w:rPr>
            <w:vanish/>
          </w:rPr>
        </w:r>
        <w:r w:rsidR="00AC5392" w:rsidRPr="00AC5392">
          <w:rPr>
            <w:vanish/>
          </w:rPr>
          <w:fldChar w:fldCharType="separate"/>
        </w:r>
        <w:r w:rsidR="00AC5392" w:rsidRPr="00AC5392">
          <w:rPr>
            <w:vanish/>
          </w:rPr>
          <w:t>168</w:t>
        </w:r>
        <w:r w:rsidR="00AC5392" w:rsidRPr="00AC5392">
          <w:rPr>
            <w:vanish/>
          </w:rPr>
          <w:fldChar w:fldCharType="end"/>
        </w:r>
      </w:hyperlink>
    </w:p>
    <w:p w14:paraId="1FAE6B9F" w14:textId="4B9DB6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18" w:history="1">
        <w:r w:rsidRPr="00533B68">
          <w:t>700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usual undertaking as to damages</w:t>
        </w:r>
        <w:r w:rsidRPr="00533B68">
          <w:t>—pt 2.9</w:t>
        </w:r>
        <w:r>
          <w:tab/>
        </w:r>
        <w:r>
          <w:fldChar w:fldCharType="begin"/>
        </w:r>
        <w:r>
          <w:instrText xml:space="preserve"> PAGEREF _Toc185513918 \h </w:instrText>
        </w:r>
        <w:r>
          <w:fldChar w:fldCharType="separate"/>
        </w:r>
        <w:r>
          <w:t>168</w:t>
        </w:r>
        <w:r>
          <w:fldChar w:fldCharType="end"/>
        </w:r>
      </w:hyperlink>
    </w:p>
    <w:p w14:paraId="016379A6" w14:textId="0A28061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19" w:history="1">
        <w:r w:rsidR="00AC5392" w:rsidRPr="00533B68">
          <w:t>Division 2.9.2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Interim preservation, distribution and payment</w:t>
        </w:r>
        <w:r w:rsidR="00AC5392" w:rsidRPr="00AC5392">
          <w:rPr>
            <w:vanish/>
          </w:rPr>
          <w:tab/>
        </w:r>
        <w:r w:rsidR="00AC5392" w:rsidRPr="00AC5392">
          <w:rPr>
            <w:vanish/>
          </w:rPr>
          <w:fldChar w:fldCharType="begin"/>
        </w:r>
        <w:r w:rsidR="00AC5392" w:rsidRPr="00AC5392">
          <w:rPr>
            <w:vanish/>
          </w:rPr>
          <w:instrText xml:space="preserve"> PAGEREF _Toc185513919 \h </w:instrText>
        </w:r>
        <w:r w:rsidR="00AC5392" w:rsidRPr="00AC5392">
          <w:rPr>
            <w:vanish/>
          </w:rPr>
        </w:r>
        <w:r w:rsidR="00AC5392" w:rsidRPr="00AC5392">
          <w:rPr>
            <w:vanish/>
          </w:rPr>
          <w:fldChar w:fldCharType="separate"/>
        </w:r>
        <w:r w:rsidR="00AC5392" w:rsidRPr="00AC5392">
          <w:rPr>
            <w:vanish/>
          </w:rPr>
          <w:t>168</w:t>
        </w:r>
        <w:r w:rsidR="00AC5392" w:rsidRPr="00AC5392">
          <w:rPr>
            <w:vanish/>
          </w:rPr>
          <w:fldChar w:fldCharType="end"/>
        </w:r>
      </w:hyperlink>
    </w:p>
    <w:p w14:paraId="603E8256" w14:textId="7C5F77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0" w:history="1">
        <w:r w:rsidRPr="00533B68">
          <w:t>705</w:t>
        </w:r>
        <w:r>
          <w:rPr>
            <w:rFonts w:asciiTheme="minorHAnsi" w:eastAsiaTheme="minorEastAsia" w:hAnsiTheme="minorHAnsi" w:cstheme="minorBidi"/>
            <w:kern w:val="2"/>
            <w:sz w:val="24"/>
            <w:szCs w:val="24"/>
            <w:lang w:eastAsia="en-AU"/>
            <w14:ligatures w14:val="standardContextual"/>
          </w:rPr>
          <w:tab/>
        </w:r>
        <w:r w:rsidRPr="00533B68">
          <w:t>Application—div 2.9.2</w:t>
        </w:r>
        <w:r>
          <w:tab/>
        </w:r>
        <w:r>
          <w:fldChar w:fldCharType="begin"/>
        </w:r>
        <w:r>
          <w:instrText xml:space="preserve"> PAGEREF _Toc185513920 \h </w:instrText>
        </w:r>
        <w:r>
          <w:fldChar w:fldCharType="separate"/>
        </w:r>
        <w:r>
          <w:t>168</w:t>
        </w:r>
        <w:r>
          <w:fldChar w:fldCharType="end"/>
        </w:r>
      </w:hyperlink>
    </w:p>
    <w:p w14:paraId="591AFD73" w14:textId="75769A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1" w:history="1">
        <w:r w:rsidRPr="00533B68">
          <w:t>706</w:t>
        </w:r>
        <w:r>
          <w:rPr>
            <w:rFonts w:asciiTheme="minorHAnsi" w:eastAsiaTheme="minorEastAsia" w:hAnsiTheme="minorHAnsi" w:cstheme="minorBidi"/>
            <w:kern w:val="2"/>
            <w:sz w:val="24"/>
            <w:szCs w:val="24"/>
            <w:lang w:eastAsia="en-AU"/>
            <w14:ligatures w14:val="standardContextual"/>
          </w:rPr>
          <w:tab/>
        </w:r>
        <w:r w:rsidRPr="00533B68">
          <w:t>Urgent orders before start of proceeding</w:t>
        </w:r>
        <w:r>
          <w:tab/>
        </w:r>
        <w:r>
          <w:fldChar w:fldCharType="begin"/>
        </w:r>
        <w:r>
          <w:instrText xml:space="preserve"> PAGEREF _Toc185513921 \h </w:instrText>
        </w:r>
        <w:r>
          <w:fldChar w:fldCharType="separate"/>
        </w:r>
        <w:r>
          <w:t>168</w:t>
        </w:r>
        <w:r>
          <w:fldChar w:fldCharType="end"/>
        </w:r>
      </w:hyperlink>
    </w:p>
    <w:p w14:paraId="7B7A12C5" w14:textId="62230ED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2" w:history="1">
        <w:r w:rsidRPr="00533B68">
          <w:t>707</w:t>
        </w:r>
        <w:r>
          <w:rPr>
            <w:rFonts w:asciiTheme="minorHAnsi" w:eastAsiaTheme="minorEastAsia" w:hAnsiTheme="minorHAnsi" w:cstheme="minorBidi"/>
            <w:kern w:val="2"/>
            <w:sz w:val="24"/>
            <w:szCs w:val="24"/>
            <w:lang w:eastAsia="en-AU"/>
            <w14:ligatures w14:val="standardContextual"/>
          </w:rPr>
          <w:tab/>
        </w:r>
        <w:r w:rsidRPr="00533B68">
          <w:t>Interim distribution</w:t>
        </w:r>
        <w:r>
          <w:tab/>
        </w:r>
        <w:r>
          <w:fldChar w:fldCharType="begin"/>
        </w:r>
        <w:r>
          <w:instrText xml:space="preserve"> PAGEREF _Toc185513922 \h </w:instrText>
        </w:r>
        <w:r>
          <w:fldChar w:fldCharType="separate"/>
        </w:r>
        <w:r>
          <w:t>170</w:t>
        </w:r>
        <w:r>
          <w:fldChar w:fldCharType="end"/>
        </w:r>
      </w:hyperlink>
    </w:p>
    <w:p w14:paraId="152F0249" w14:textId="75FDB26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3" w:history="1">
        <w:r w:rsidRPr="00533B68">
          <w:t>708</w:t>
        </w:r>
        <w:r>
          <w:rPr>
            <w:rFonts w:asciiTheme="minorHAnsi" w:eastAsiaTheme="minorEastAsia" w:hAnsiTheme="minorHAnsi" w:cstheme="minorBidi"/>
            <w:kern w:val="2"/>
            <w:sz w:val="24"/>
            <w:szCs w:val="24"/>
            <w:lang w:eastAsia="en-AU"/>
            <w14:ligatures w14:val="standardContextual"/>
          </w:rPr>
          <w:tab/>
        </w:r>
        <w:r w:rsidRPr="00533B68">
          <w:t>Interim income</w:t>
        </w:r>
        <w:r>
          <w:tab/>
        </w:r>
        <w:r>
          <w:fldChar w:fldCharType="begin"/>
        </w:r>
        <w:r>
          <w:instrText xml:space="preserve"> PAGEREF _Toc185513923 \h </w:instrText>
        </w:r>
        <w:r>
          <w:fldChar w:fldCharType="separate"/>
        </w:r>
        <w:r>
          <w:t>170</w:t>
        </w:r>
        <w:r>
          <w:fldChar w:fldCharType="end"/>
        </w:r>
      </w:hyperlink>
    </w:p>
    <w:p w14:paraId="47776197" w14:textId="20B2519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4" w:history="1">
        <w:r w:rsidRPr="00533B68">
          <w:t>709</w:t>
        </w:r>
        <w:r>
          <w:rPr>
            <w:rFonts w:asciiTheme="minorHAnsi" w:eastAsiaTheme="minorEastAsia" w:hAnsiTheme="minorHAnsi" w:cstheme="minorBidi"/>
            <w:kern w:val="2"/>
            <w:sz w:val="24"/>
            <w:szCs w:val="24"/>
            <w:lang w:eastAsia="en-AU"/>
            <w14:ligatures w14:val="standardContextual"/>
          </w:rPr>
          <w:tab/>
        </w:r>
        <w:r w:rsidRPr="00533B68">
          <w:t>Payment before finding out everyone interested</w:t>
        </w:r>
        <w:r>
          <w:tab/>
        </w:r>
        <w:r>
          <w:fldChar w:fldCharType="begin"/>
        </w:r>
        <w:r>
          <w:instrText xml:space="preserve"> PAGEREF _Toc185513924 \h </w:instrText>
        </w:r>
        <w:r>
          <w:fldChar w:fldCharType="separate"/>
        </w:r>
        <w:r>
          <w:t>171</w:t>
        </w:r>
        <w:r>
          <w:fldChar w:fldCharType="end"/>
        </w:r>
      </w:hyperlink>
    </w:p>
    <w:p w14:paraId="49E7CB1A" w14:textId="350A254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25" w:history="1">
        <w:r w:rsidR="00AC5392" w:rsidRPr="00533B68">
          <w:t>Division 2.9.3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Inspection, detention, custody and preservation of property</w:t>
        </w:r>
        <w:r w:rsidR="00AC5392" w:rsidRPr="00AC5392">
          <w:rPr>
            <w:vanish/>
          </w:rPr>
          <w:tab/>
        </w:r>
        <w:r w:rsidR="00AC5392" w:rsidRPr="00AC5392">
          <w:rPr>
            <w:vanish/>
          </w:rPr>
          <w:fldChar w:fldCharType="begin"/>
        </w:r>
        <w:r w:rsidR="00AC5392" w:rsidRPr="00AC5392">
          <w:rPr>
            <w:vanish/>
          </w:rPr>
          <w:instrText xml:space="preserve"> PAGEREF _Toc185513925 \h </w:instrText>
        </w:r>
        <w:r w:rsidR="00AC5392" w:rsidRPr="00AC5392">
          <w:rPr>
            <w:vanish/>
          </w:rPr>
        </w:r>
        <w:r w:rsidR="00AC5392" w:rsidRPr="00AC5392">
          <w:rPr>
            <w:vanish/>
          </w:rPr>
          <w:fldChar w:fldCharType="separate"/>
        </w:r>
        <w:r w:rsidR="00AC5392" w:rsidRPr="00AC5392">
          <w:rPr>
            <w:vanish/>
          </w:rPr>
          <w:t>171</w:t>
        </w:r>
        <w:r w:rsidR="00AC5392" w:rsidRPr="00AC5392">
          <w:rPr>
            <w:vanish/>
          </w:rPr>
          <w:fldChar w:fldCharType="end"/>
        </w:r>
      </w:hyperlink>
    </w:p>
    <w:p w14:paraId="5C6777D7" w14:textId="73F0F9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6" w:history="1">
        <w:r w:rsidRPr="00533B68">
          <w:t>715</w:t>
        </w:r>
        <w:r>
          <w:rPr>
            <w:rFonts w:asciiTheme="minorHAnsi" w:eastAsiaTheme="minorEastAsia" w:hAnsiTheme="minorHAnsi" w:cstheme="minorBidi"/>
            <w:kern w:val="2"/>
            <w:sz w:val="24"/>
            <w:szCs w:val="24"/>
            <w:lang w:eastAsia="en-AU"/>
            <w14:ligatures w14:val="standardContextual"/>
          </w:rPr>
          <w:tab/>
        </w:r>
        <w:r w:rsidRPr="00533B68">
          <w:t>Inspection, detention, custody and preservation of property—orders etc</w:t>
        </w:r>
        <w:r>
          <w:tab/>
        </w:r>
        <w:r>
          <w:fldChar w:fldCharType="begin"/>
        </w:r>
        <w:r>
          <w:instrText xml:space="preserve"> PAGEREF _Toc185513926 \h </w:instrText>
        </w:r>
        <w:r>
          <w:fldChar w:fldCharType="separate"/>
        </w:r>
        <w:r>
          <w:t>171</w:t>
        </w:r>
        <w:r>
          <w:fldChar w:fldCharType="end"/>
        </w:r>
      </w:hyperlink>
    </w:p>
    <w:p w14:paraId="086D5351" w14:textId="7EB2C9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7" w:history="1">
        <w:r w:rsidRPr="00533B68">
          <w:t>716</w:t>
        </w:r>
        <w:r>
          <w:rPr>
            <w:rFonts w:asciiTheme="minorHAnsi" w:eastAsiaTheme="minorEastAsia" w:hAnsiTheme="minorHAnsi" w:cstheme="minorBidi"/>
            <w:kern w:val="2"/>
            <w:sz w:val="24"/>
            <w:szCs w:val="24"/>
            <w:lang w:eastAsia="en-AU"/>
            <w14:ligatures w14:val="standardContextual"/>
          </w:rPr>
          <w:tab/>
        </w:r>
        <w:r w:rsidRPr="00533B68">
          <w:t>Disposal of property other than land</w:t>
        </w:r>
        <w:r>
          <w:tab/>
        </w:r>
        <w:r>
          <w:fldChar w:fldCharType="begin"/>
        </w:r>
        <w:r>
          <w:instrText xml:space="preserve"> PAGEREF _Toc185513927 \h </w:instrText>
        </w:r>
        <w:r>
          <w:fldChar w:fldCharType="separate"/>
        </w:r>
        <w:r>
          <w:t>173</w:t>
        </w:r>
        <w:r>
          <w:fldChar w:fldCharType="end"/>
        </w:r>
      </w:hyperlink>
    </w:p>
    <w:p w14:paraId="65220697" w14:textId="2BF3CF1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8" w:history="1">
        <w:r w:rsidRPr="00533B68">
          <w:t>717</w:t>
        </w:r>
        <w:r>
          <w:rPr>
            <w:rFonts w:asciiTheme="minorHAnsi" w:eastAsiaTheme="minorEastAsia" w:hAnsiTheme="minorHAnsi" w:cstheme="minorBidi"/>
            <w:kern w:val="2"/>
            <w:sz w:val="24"/>
            <w:szCs w:val="24"/>
            <w:lang w:eastAsia="en-AU"/>
            <w14:ligatures w14:val="standardContextual"/>
          </w:rPr>
          <w:tab/>
        </w:r>
        <w:r w:rsidRPr="00533B68">
          <w:t>Order for inspection, detention, custody or preservation affecting non-party</w:t>
        </w:r>
        <w:r>
          <w:tab/>
        </w:r>
        <w:r>
          <w:fldChar w:fldCharType="begin"/>
        </w:r>
        <w:r>
          <w:instrText xml:space="preserve"> PAGEREF _Toc185513928 \h </w:instrText>
        </w:r>
        <w:r>
          <w:fldChar w:fldCharType="separate"/>
        </w:r>
        <w:r>
          <w:t>173</w:t>
        </w:r>
        <w:r>
          <w:fldChar w:fldCharType="end"/>
        </w:r>
      </w:hyperlink>
    </w:p>
    <w:p w14:paraId="6563C996" w14:textId="435D035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29" w:history="1">
        <w:r w:rsidRPr="00533B68">
          <w:t>718</w:t>
        </w:r>
        <w:r>
          <w:rPr>
            <w:rFonts w:asciiTheme="minorHAnsi" w:eastAsiaTheme="minorEastAsia" w:hAnsiTheme="minorHAnsi" w:cstheme="minorBidi"/>
            <w:kern w:val="2"/>
            <w:sz w:val="24"/>
            <w:szCs w:val="24"/>
            <w:lang w:eastAsia="en-AU"/>
            <w14:ligatures w14:val="standardContextual"/>
          </w:rPr>
          <w:tab/>
        </w:r>
        <w:r w:rsidRPr="00533B68">
          <w:t>Application for order for inspection, detention, custody or preservation</w:t>
        </w:r>
        <w:r>
          <w:tab/>
        </w:r>
        <w:r>
          <w:fldChar w:fldCharType="begin"/>
        </w:r>
        <w:r>
          <w:instrText xml:space="preserve"> PAGEREF _Toc185513929 \h </w:instrText>
        </w:r>
        <w:r>
          <w:fldChar w:fldCharType="separate"/>
        </w:r>
        <w:r>
          <w:t>174</w:t>
        </w:r>
        <w:r>
          <w:fldChar w:fldCharType="end"/>
        </w:r>
      </w:hyperlink>
    </w:p>
    <w:p w14:paraId="40396D90" w14:textId="62570EB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30" w:history="1">
        <w:r w:rsidRPr="00533B68">
          <w:t>719</w:t>
        </w:r>
        <w:r>
          <w:rPr>
            <w:rFonts w:asciiTheme="minorHAnsi" w:eastAsiaTheme="minorEastAsia" w:hAnsiTheme="minorHAnsi" w:cstheme="minorBidi"/>
            <w:kern w:val="2"/>
            <w:sz w:val="24"/>
            <w:szCs w:val="24"/>
            <w:lang w:eastAsia="en-AU"/>
            <w14:ligatures w14:val="standardContextual"/>
          </w:rPr>
          <w:tab/>
        </w:r>
        <w:r w:rsidRPr="00533B68">
          <w:t>Division 2.9.3—other jurisdiction of court not affected</w:t>
        </w:r>
        <w:r>
          <w:tab/>
        </w:r>
        <w:r>
          <w:fldChar w:fldCharType="begin"/>
        </w:r>
        <w:r>
          <w:instrText xml:space="preserve"> PAGEREF _Toc185513930 \h </w:instrText>
        </w:r>
        <w:r>
          <w:fldChar w:fldCharType="separate"/>
        </w:r>
        <w:r>
          <w:t>174</w:t>
        </w:r>
        <w:r>
          <w:fldChar w:fldCharType="end"/>
        </w:r>
      </w:hyperlink>
    </w:p>
    <w:p w14:paraId="762D00A1" w14:textId="01D4DBC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31" w:history="1">
        <w:r w:rsidR="00AC5392" w:rsidRPr="00533B68">
          <w:t>Division 2.9.4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Injunctions and similar orders</w:t>
        </w:r>
        <w:r w:rsidR="00AC5392" w:rsidRPr="00AC5392">
          <w:rPr>
            <w:vanish/>
          </w:rPr>
          <w:tab/>
        </w:r>
        <w:r w:rsidR="00AC5392" w:rsidRPr="00AC5392">
          <w:rPr>
            <w:vanish/>
          </w:rPr>
          <w:fldChar w:fldCharType="begin"/>
        </w:r>
        <w:r w:rsidR="00AC5392" w:rsidRPr="00AC5392">
          <w:rPr>
            <w:vanish/>
          </w:rPr>
          <w:instrText xml:space="preserve"> PAGEREF _Toc185513931 \h </w:instrText>
        </w:r>
        <w:r w:rsidR="00AC5392" w:rsidRPr="00AC5392">
          <w:rPr>
            <w:vanish/>
          </w:rPr>
        </w:r>
        <w:r w:rsidR="00AC5392" w:rsidRPr="00AC5392">
          <w:rPr>
            <w:vanish/>
          </w:rPr>
          <w:fldChar w:fldCharType="separate"/>
        </w:r>
        <w:r w:rsidR="00AC5392" w:rsidRPr="00AC5392">
          <w:rPr>
            <w:vanish/>
          </w:rPr>
          <w:t>175</w:t>
        </w:r>
        <w:r w:rsidR="00AC5392" w:rsidRPr="00AC5392">
          <w:rPr>
            <w:vanish/>
          </w:rPr>
          <w:fldChar w:fldCharType="end"/>
        </w:r>
      </w:hyperlink>
    </w:p>
    <w:p w14:paraId="377E2018" w14:textId="531650AD"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3932" w:history="1">
        <w:r w:rsidR="00AC5392" w:rsidRPr="00533B68">
          <w:t>Subdivision 2.9.4.1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Injunctions and similar orders—generally</w:t>
        </w:r>
        <w:r w:rsidR="00AC5392" w:rsidRPr="00AC5392">
          <w:rPr>
            <w:vanish/>
          </w:rPr>
          <w:tab/>
        </w:r>
        <w:r w:rsidR="00AC5392" w:rsidRPr="00AC5392">
          <w:rPr>
            <w:vanish/>
          </w:rPr>
          <w:fldChar w:fldCharType="begin"/>
        </w:r>
        <w:r w:rsidR="00AC5392" w:rsidRPr="00AC5392">
          <w:rPr>
            <w:vanish/>
          </w:rPr>
          <w:instrText xml:space="preserve"> PAGEREF _Toc185513932 \h </w:instrText>
        </w:r>
        <w:r w:rsidR="00AC5392" w:rsidRPr="00AC5392">
          <w:rPr>
            <w:vanish/>
          </w:rPr>
        </w:r>
        <w:r w:rsidR="00AC5392" w:rsidRPr="00AC5392">
          <w:rPr>
            <w:vanish/>
          </w:rPr>
          <w:fldChar w:fldCharType="separate"/>
        </w:r>
        <w:r w:rsidR="00AC5392" w:rsidRPr="00AC5392">
          <w:rPr>
            <w:vanish/>
          </w:rPr>
          <w:t>175</w:t>
        </w:r>
        <w:r w:rsidR="00AC5392" w:rsidRPr="00AC5392">
          <w:rPr>
            <w:vanish/>
          </w:rPr>
          <w:fldChar w:fldCharType="end"/>
        </w:r>
      </w:hyperlink>
    </w:p>
    <w:p w14:paraId="7CA1F914" w14:textId="40DBFC4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33" w:history="1">
        <w:r w:rsidRPr="00533B68">
          <w:t>725</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division 2.9.4 order</w:t>
        </w:r>
        <w:r>
          <w:tab/>
        </w:r>
        <w:r>
          <w:fldChar w:fldCharType="begin"/>
        </w:r>
        <w:r>
          <w:instrText xml:space="preserve"> PAGEREF _Toc185513933 \h </w:instrText>
        </w:r>
        <w:r>
          <w:fldChar w:fldCharType="separate"/>
        </w:r>
        <w:r>
          <w:t>175</w:t>
        </w:r>
        <w:r>
          <w:fldChar w:fldCharType="end"/>
        </w:r>
      </w:hyperlink>
    </w:p>
    <w:p w14:paraId="6CDD7597" w14:textId="52696D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34" w:history="1">
        <w:r w:rsidRPr="00533B68">
          <w:t>726</w:t>
        </w:r>
        <w:r>
          <w:rPr>
            <w:rFonts w:asciiTheme="minorHAnsi" w:eastAsiaTheme="minorEastAsia" w:hAnsiTheme="minorHAnsi" w:cstheme="minorBidi"/>
            <w:kern w:val="2"/>
            <w:sz w:val="24"/>
            <w:szCs w:val="24"/>
            <w:lang w:eastAsia="en-AU"/>
            <w14:ligatures w14:val="standardContextual"/>
          </w:rPr>
          <w:tab/>
        </w:r>
        <w:r w:rsidRPr="00533B68">
          <w:t>Definitions—div 2.9.4</w:t>
        </w:r>
        <w:r>
          <w:tab/>
        </w:r>
        <w:r>
          <w:fldChar w:fldCharType="begin"/>
        </w:r>
        <w:r>
          <w:instrText xml:space="preserve"> PAGEREF _Toc185513934 \h </w:instrText>
        </w:r>
        <w:r>
          <w:fldChar w:fldCharType="separate"/>
        </w:r>
        <w:r>
          <w:t>175</w:t>
        </w:r>
        <w:r>
          <w:fldChar w:fldCharType="end"/>
        </w:r>
      </w:hyperlink>
    </w:p>
    <w:p w14:paraId="06F50F7B" w14:textId="31914B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35" w:history="1">
        <w:r w:rsidRPr="00533B68">
          <w:t>727</w:t>
        </w:r>
        <w:r>
          <w:rPr>
            <w:rFonts w:asciiTheme="minorHAnsi" w:eastAsiaTheme="minorEastAsia" w:hAnsiTheme="minorHAnsi" w:cstheme="minorBidi"/>
            <w:kern w:val="2"/>
            <w:sz w:val="24"/>
            <w:szCs w:val="24"/>
            <w:lang w:eastAsia="en-AU"/>
            <w14:ligatures w14:val="standardContextual"/>
          </w:rPr>
          <w:tab/>
        </w:r>
        <w:r w:rsidRPr="00533B68">
          <w:rPr>
            <w:lang w:val="en-US"/>
          </w:rPr>
          <w:t xml:space="preserve">Division 2.9.4—other </w:t>
        </w:r>
        <w:r w:rsidRPr="00533B68">
          <w:t>jurisdiction of court not affected</w:t>
        </w:r>
        <w:r>
          <w:tab/>
        </w:r>
        <w:r>
          <w:fldChar w:fldCharType="begin"/>
        </w:r>
        <w:r>
          <w:instrText xml:space="preserve"> PAGEREF _Toc185513935 \h </w:instrText>
        </w:r>
        <w:r>
          <w:fldChar w:fldCharType="separate"/>
        </w:r>
        <w:r>
          <w:t>175</w:t>
        </w:r>
        <w:r>
          <w:fldChar w:fldCharType="end"/>
        </w:r>
      </w:hyperlink>
    </w:p>
    <w:p w14:paraId="025F8B46" w14:textId="2E0775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36" w:history="1">
        <w:r w:rsidRPr="00533B68">
          <w:t>728</w:t>
        </w:r>
        <w:r>
          <w:rPr>
            <w:rFonts w:asciiTheme="minorHAnsi" w:eastAsiaTheme="minorEastAsia" w:hAnsiTheme="minorHAnsi" w:cstheme="minorBidi"/>
            <w:kern w:val="2"/>
            <w:sz w:val="24"/>
            <w:szCs w:val="24"/>
            <w:lang w:eastAsia="en-AU"/>
            <w14:ligatures w14:val="standardContextual"/>
          </w:rPr>
          <w:tab/>
        </w:r>
        <w:r w:rsidRPr="00533B68">
          <w:rPr>
            <w:lang w:val="en-US"/>
          </w:rPr>
          <w:t>Division 2.9.4 order</w:t>
        </w:r>
        <w:r w:rsidRPr="00533B68">
          <w:t>—procedure</w:t>
        </w:r>
        <w:r>
          <w:tab/>
        </w:r>
        <w:r>
          <w:fldChar w:fldCharType="begin"/>
        </w:r>
        <w:r>
          <w:instrText xml:space="preserve"> PAGEREF _Toc185513936 \h </w:instrText>
        </w:r>
        <w:r>
          <w:fldChar w:fldCharType="separate"/>
        </w:r>
        <w:r>
          <w:t>176</w:t>
        </w:r>
        <w:r>
          <w:fldChar w:fldCharType="end"/>
        </w:r>
      </w:hyperlink>
    </w:p>
    <w:p w14:paraId="266EA8A4" w14:textId="6F2A24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37" w:history="1">
        <w:r w:rsidRPr="00533B68">
          <w:t>729</w:t>
        </w:r>
        <w:r>
          <w:rPr>
            <w:rFonts w:asciiTheme="minorHAnsi" w:eastAsiaTheme="minorEastAsia" w:hAnsiTheme="minorHAnsi" w:cstheme="minorBidi"/>
            <w:kern w:val="2"/>
            <w:sz w:val="24"/>
            <w:szCs w:val="24"/>
            <w:lang w:eastAsia="en-AU"/>
            <w14:ligatures w14:val="standardContextual"/>
          </w:rPr>
          <w:tab/>
        </w:r>
        <w:r w:rsidRPr="00533B68">
          <w:t>Division 2.9.4 order without notice etc</w:t>
        </w:r>
        <w:r>
          <w:tab/>
        </w:r>
        <w:r>
          <w:fldChar w:fldCharType="begin"/>
        </w:r>
        <w:r>
          <w:instrText xml:space="preserve"> PAGEREF _Toc185513937 \h </w:instrText>
        </w:r>
        <w:r>
          <w:fldChar w:fldCharType="separate"/>
        </w:r>
        <w:r>
          <w:t>176</w:t>
        </w:r>
        <w:r>
          <w:fldChar w:fldCharType="end"/>
        </w:r>
      </w:hyperlink>
    </w:p>
    <w:p w14:paraId="7E48557F" w14:textId="3ECA96DD"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938" w:history="1">
        <w:r w:rsidRPr="00533B68">
          <w:t>730</w:t>
        </w:r>
        <w:r>
          <w:rPr>
            <w:rFonts w:asciiTheme="minorHAnsi" w:eastAsiaTheme="minorEastAsia" w:hAnsiTheme="minorHAnsi" w:cstheme="minorBidi"/>
            <w:kern w:val="2"/>
            <w:sz w:val="24"/>
            <w:szCs w:val="24"/>
            <w:lang w:eastAsia="en-AU"/>
            <w14:ligatures w14:val="standardContextual"/>
          </w:rPr>
          <w:tab/>
        </w:r>
        <w:r w:rsidRPr="00533B68">
          <w:rPr>
            <w:lang w:val="en-US"/>
          </w:rPr>
          <w:t>Division 2.9.4 order without trial</w:t>
        </w:r>
        <w:r>
          <w:tab/>
        </w:r>
        <w:r>
          <w:fldChar w:fldCharType="begin"/>
        </w:r>
        <w:r>
          <w:instrText xml:space="preserve"> PAGEREF _Toc185513938 \h </w:instrText>
        </w:r>
        <w:r>
          <w:fldChar w:fldCharType="separate"/>
        </w:r>
        <w:r>
          <w:t>177</w:t>
        </w:r>
        <w:r>
          <w:fldChar w:fldCharType="end"/>
        </w:r>
      </w:hyperlink>
    </w:p>
    <w:p w14:paraId="3804E9A4" w14:textId="7D0A66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39" w:history="1">
        <w:r w:rsidRPr="00533B68">
          <w:t>731</w:t>
        </w:r>
        <w:r>
          <w:rPr>
            <w:rFonts w:asciiTheme="minorHAnsi" w:eastAsiaTheme="minorEastAsia" w:hAnsiTheme="minorHAnsi" w:cstheme="minorBidi"/>
            <w:kern w:val="2"/>
            <w:sz w:val="24"/>
            <w:szCs w:val="24"/>
            <w:lang w:eastAsia="en-AU"/>
            <w14:ligatures w14:val="standardContextual"/>
          </w:rPr>
          <w:tab/>
        </w:r>
        <w:r w:rsidRPr="00533B68">
          <w:rPr>
            <w:lang w:val="en-US"/>
          </w:rPr>
          <w:t>Division 2.9.4 order—expedited trial</w:t>
        </w:r>
        <w:r>
          <w:tab/>
        </w:r>
        <w:r>
          <w:fldChar w:fldCharType="begin"/>
        </w:r>
        <w:r>
          <w:instrText xml:space="preserve"> PAGEREF _Toc185513939 \h </w:instrText>
        </w:r>
        <w:r>
          <w:fldChar w:fldCharType="separate"/>
        </w:r>
        <w:r>
          <w:t>178</w:t>
        </w:r>
        <w:r>
          <w:fldChar w:fldCharType="end"/>
        </w:r>
      </w:hyperlink>
    </w:p>
    <w:p w14:paraId="2F83FFD6" w14:textId="130116B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0" w:history="1">
        <w:r w:rsidRPr="00533B68">
          <w:t>732</w:t>
        </w:r>
        <w:r>
          <w:rPr>
            <w:rFonts w:asciiTheme="minorHAnsi" w:eastAsiaTheme="minorEastAsia" w:hAnsiTheme="minorHAnsi" w:cstheme="minorBidi"/>
            <w:kern w:val="2"/>
            <w:sz w:val="24"/>
            <w:szCs w:val="24"/>
            <w:lang w:eastAsia="en-AU"/>
            <w14:ligatures w14:val="standardContextual"/>
          </w:rPr>
          <w:tab/>
        </w:r>
        <w:r w:rsidRPr="00533B68">
          <w:rPr>
            <w:lang w:val="en-US"/>
          </w:rPr>
          <w:t>Division 2.9.4 order—damages and undertaking as to damages</w:t>
        </w:r>
        <w:r>
          <w:tab/>
        </w:r>
        <w:r>
          <w:fldChar w:fldCharType="begin"/>
        </w:r>
        <w:r>
          <w:instrText xml:space="preserve"> PAGEREF _Toc185513940 \h </w:instrText>
        </w:r>
        <w:r>
          <w:fldChar w:fldCharType="separate"/>
        </w:r>
        <w:r>
          <w:t>178</w:t>
        </w:r>
        <w:r>
          <w:fldChar w:fldCharType="end"/>
        </w:r>
      </w:hyperlink>
    </w:p>
    <w:p w14:paraId="75FA849D" w14:textId="2BD13B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1" w:history="1">
        <w:r w:rsidRPr="00533B68">
          <w:t>733</w:t>
        </w:r>
        <w:r>
          <w:rPr>
            <w:rFonts w:asciiTheme="minorHAnsi" w:eastAsiaTheme="minorEastAsia" w:hAnsiTheme="minorHAnsi" w:cstheme="minorBidi"/>
            <w:kern w:val="2"/>
            <w:sz w:val="24"/>
            <w:szCs w:val="24"/>
            <w:lang w:eastAsia="en-AU"/>
            <w14:ligatures w14:val="standardContextual"/>
          </w:rPr>
          <w:tab/>
        </w:r>
        <w:r w:rsidRPr="00533B68">
          <w:rPr>
            <w:lang w:val="en-US"/>
          </w:rPr>
          <w:t>Division 2.9.4 order—other undertakings and security to perform undertaking</w:t>
        </w:r>
        <w:r>
          <w:tab/>
        </w:r>
        <w:r>
          <w:fldChar w:fldCharType="begin"/>
        </w:r>
        <w:r>
          <w:instrText xml:space="preserve"> PAGEREF _Toc185513941 \h </w:instrText>
        </w:r>
        <w:r>
          <w:fldChar w:fldCharType="separate"/>
        </w:r>
        <w:r>
          <w:t>178</w:t>
        </w:r>
        <w:r>
          <w:fldChar w:fldCharType="end"/>
        </w:r>
      </w:hyperlink>
    </w:p>
    <w:p w14:paraId="26BE6D01" w14:textId="6B77020F"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3942" w:history="1">
        <w:r w:rsidR="00AC5392" w:rsidRPr="00533B68">
          <w:t>Subdivision 2.9.4.2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Freezing orders</w:t>
        </w:r>
        <w:r w:rsidR="00AC5392" w:rsidRPr="00AC5392">
          <w:rPr>
            <w:vanish/>
          </w:rPr>
          <w:tab/>
        </w:r>
        <w:r w:rsidR="00AC5392" w:rsidRPr="00AC5392">
          <w:rPr>
            <w:vanish/>
          </w:rPr>
          <w:fldChar w:fldCharType="begin"/>
        </w:r>
        <w:r w:rsidR="00AC5392" w:rsidRPr="00AC5392">
          <w:rPr>
            <w:vanish/>
          </w:rPr>
          <w:instrText xml:space="preserve"> PAGEREF _Toc185513942 \h </w:instrText>
        </w:r>
        <w:r w:rsidR="00AC5392" w:rsidRPr="00AC5392">
          <w:rPr>
            <w:vanish/>
          </w:rPr>
        </w:r>
        <w:r w:rsidR="00AC5392" w:rsidRPr="00AC5392">
          <w:rPr>
            <w:vanish/>
          </w:rPr>
          <w:fldChar w:fldCharType="separate"/>
        </w:r>
        <w:r w:rsidR="00AC5392" w:rsidRPr="00AC5392">
          <w:rPr>
            <w:vanish/>
          </w:rPr>
          <w:t>179</w:t>
        </w:r>
        <w:r w:rsidR="00AC5392" w:rsidRPr="00AC5392">
          <w:rPr>
            <w:vanish/>
          </w:rPr>
          <w:fldChar w:fldCharType="end"/>
        </w:r>
      </w:hyperlink>
    </w:p>
    <w:p w14:paraId="72687D7A" w14:textId="14DDDEF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3" w:history="1">
        <w:r w:rsidRPr="00533B68">
          <w:t>740</w:t>
        </w:r>
        <w:r>
          <w:rPr>
            <w:rFonts w:asciiTheme="minorHAnsi" w:eastAsiaTheme="minorEastAsia" w:hAnsiTheme="minorHAnsi" w:cstheme="minorBidi"/>
            <w:kern w:val="2"/>
            <w:sz w:val="24"/>
            <w:szCs w:val="24"/>
            <w:lang w:eastAsia="en-AU"/>
            <w14:ligatures w14:val="standardContextual"/>
          </w:rPr>
          <w:tab/>
        </w:r>
        <w:r w:rsidRPr="00533B68">
          <w:t>Definitions—sdiv 2.9.4.2</w:t>
        </w:r>
        <w:r>
          <w:tab/>
        </w:r>
        <w:r>
          <w:fldChar w:fldCharType="begin"/>
        </w:r>
        <w:r>
          <w:instrText xml:space="preserve"> PAGEREF _Toc185513943 \h </w:instrText>
        </w:r>
        <w:r>
          <w:fldChar w:fldCharType="separate"/>
        </w:r>
        <w:r>
          <w:t>179</w:t>
        </w:r>
        <w:r>
          <w:fldChar w:fldCharType="end"/>
        </w:r>
      </w:hyperlink>
    </w:p>
    <w:p w14:paraId="2DA2A16A" w14:textId="1EC0186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4" w:history="1">
        <w:r w:rsidRPr="00533B68">
          <w:t>741</w:t>
        </w:r>
        <w:r>
          <w:rPr>
            <w:rFonts w:asciiTheme="minorHAnsi" w:eastAsiaTheme="minorEastAsia" w:hAnsiTheme="minorHAnsi" w:cstheme="minorBidi"/>
            <w:kern w:val="2"/>
            <w:sz w:val="24"/>
            <w:szCs w:val="24"/>
            <w:lang w:eastAsia="en-AU"/>
            <w14:ligatures w14:val="standardContextual"/>
          </w:rPr>
          <w:tab/>
        </w:r>
        <w:r w:rsidRPr="00533B68">
          <w:t>Freezing orders—general</w:t>
        </w:r>
        <w:r>
          <w:tab/>
        </w:r>
        <w:r>
          <w:fldChar w:fldCharType="begin"/>
        </w:r>
        <w:r>
          <w:instrText xml:space="preserve"> PAGEREF _Toc185513944 \h </w:instrText>
        </w:r>
        <w:r>
          <w:fldChar w:fldCharType="separate"/>
        </w:r>
        <w:r>
          <w:t>179</w:t>
        </w:r>
        <w:r>
          <w:fldChar w:fldCharType="end"/>
        </w:r>
      </w:hyperlink>
    </w:p>
    <w:p w14:paraId="53172F28" w14:textId="4A7408D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5" w:history="1">
        <w:r w:rsidRPr="00533B68">
          <w:t>742</w:t>
        </w:r>
        <w:r>
          <w:rPr>
            <w:rFonts w:asciiTheme="minorHAnsi" w:eastAsiaTheme="minorEastAsia" w:hAnsiTheme="minorHAnsi" w:cstheme="minorBidi"/>
            <w:kern w:val="2"/>
            <w:sz w:val="24"/>
            <w:szCs w:val="24"/>
            <w:lang w:eastAsia="en-AU"/>
            <w14:ligatures w14:val="standardContextual"/>
          </w:rPr>
          <w:tab/>
        </w:r>
        <w:r w:rsidRPr="00533B68">
          <w:rPr>
            <w:lang w:val="en-US"/>
          </w:rPr>
          <w:t>Ancillary orders</w:t>
        </w:r>
        <w:r>
          <w:tab/>
        </w:r>
        <w:r>
          <w:fldChar w:fldCharType="begin"/>
        </w:r>
        <w:r>
          <w:instrText xml:space="preserve"> PAGEREF _Toc185513945 \h </w:instrText>
        </w:r>
        <w:r>
          <w:fldChar w:fldCharType="separate"/>
        </w:r>
        <w:r>
          <w:t>181</w:t>
        </w:r>
        <w:r>
          <w:fldChar w:fldCharType="end"/>
        </w:r>
      </w:hyperlink>
    </w:p>
    <w:p w14:paraId="3B78EE98" w14:textId="60851F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6" w:history="1">
        <w:r w:rsidRPr="00533B68">
          <w:t>743</w:t>
        </w:r>
        <w:r>
          <w:rPr>
            <w:rFonts w:asciiTheme="minorHAnsi" w:eastAsiaTheme="minorEastAsia" w:hAnsiTheme="minorHAnsi" w:cstheme="minorBidi"/>
            <w:kern w:val="2"/>
            <w:sz w:val="24"/>
            <w:szCs w:val="24"/>
            <w:lang w:eastAsia="en-AU"/>
            <w14:ligatures w14:val="standardContextual"/>
          </w:rPr>
          <w:tab/>
        </w:r>
        <w:r w:rsidRPr="00533B68">
          <w:rPr>
            <w:lang w:val="en-US"/>
          </w:rPr>
          <w:t>Freezing orders—order against enforcement debtor or prospective enforcement debtor or third party</w:t>
        </w:r>
        <w:r>
          <w:tab/>
        </w:r>
        <w:r>
          <w:fldChar w:fldCharType="begin"/>
        </w:r>
        <w:r>
          <w:instrText xml:space="preserve"> PAGEREF _Toc185513946 \h </w:instrText>
        </w:r>
        <w:r>
          <w:fldChar w:fldCharType="separate"/>
        </w:r>
        <w:r>
          <w:t>181</w:t>
        </w:r>
        <w:r>
          <w:fldChar w:fldCharType="end"/>
        </w:r>
      </w:hyperlink>
    </w:p>
    <w:p w14:paraId="296607A0" w14:textId="6E1110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7" w:history="1">
        <w:r w:rsidRPr="00533B68">
          <w:t>745</w:t>
        </w:r>
        <w:r>
          <w:rPr>
            <w:rFonts w:asciiTheme="minorHAnsi" w:eastAsiaTheme="minorEastAsia" w:hAnsiTheme="minorHAnsi" w:cstheme="minorBidi"/>
            <w:kern w:val="2"/>
            <w:sz w:val="24"/>
            <w:szCs w:val="24"/>
            <w:lang w:eastAsia="en-AU"/>
            <w14:ligatures w14:val="standardContextual"/>
          </w:rPr>
          <w:tab/>
        </w:r>
        <w:r w:rsidRPr="00533B68">
          <w:rPr>
            <w:lang w:val="en-US"/>
          </w:rPr>
          <w:t>Freezing orders—costs</w:t>
        </w:r>
        <w:r>
          <w:tab/>
        </w:r>
        <w:r>
          <w:fldChar w:fldCharType="begin"/>
        </w:r>
        <w:r>
          <w:instrText xml:space="preserve"> PAGEREF _Toc185513947 \h </w:instrText>
        </w:r>
        <w:r>
          <w:fldChar w:fldCharType="separate"/>
        </w:r>
        <w:r>
          <w:t>183</w:t>
        </w:r>
        <w:r>
          <w:fldChar w:fldCharType="end"/>
        </w:r>
      </w:hyperlink>
    </w:p>
    <w:p w14:paraId="4A3F46C3" w14:textId="6A943451"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3948" w:history="1">
        <w:r w:rsidR="00AC5392" w:rsidRPr="00533B68">
          <w:rPr>
            <w:lang w:val="en-US"/>
          </w:rPr>
          <w:t>Subdivision 2.9.4.3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Search orders</w:t>
        </w:r>
        <w:r w:rsidR="00AC5392" w:rsidRPr="00AC5392">
          <w:rPr>
            <w:vanish/>
          </w:rPr>
          <w:tab/>
        </w:r>
        <w:r w:rsidR="00AC5392" w:rsidRPr="00AC5392">
          <w:rPr>
            <w:vanish/>
          </w:rPr>
          <w:fldChar w:fldCharType="begin"/>
        </w:r>
        <w:r w:rsidR="00AC5392" w:rsidRPr="00AC5392">
          <w:rPr>
            <w:vanish/>
          </w:rPr>
          <w:instrText xml:space="preserve"> PAGEREF _Toc185513948 \h </w:instrText>
        </w:r>
        <w:r w:rsidR="00AC5392" w:rsidRPr="00AC5392">
          <w:rPr>
            <w:vanish/>
          </w:rPr>
        </w:r>
        <w:r w:rsidR="00AC5392" w:rsidRPr="00AC5392">
          <w:rPr>
            <w:vanish/>
          </w:rPr>
          <w:fldChar w:fldCharType="separate"/>
        </w:r>
        <w:r w:rsidR="00AC5392" w:rsidRPr="00AC5392">
          <w:rPr>
            <w:vanish/>
          </w:rPr>
          <w:t>184</w:t>
        </w:r>
        <w:r w:rsidR="00AC5392" w:rsidRPr="00AC5392">
          <w:rPr>
            <w:vanish/>
          </w:rPr>
          <w:fldChar w:fldCharType="end"/>
        </w:r>
      </w:hyperlink>
    </w:p>
    <w:p w14:paraId="788A852C" w14:textId="1FA541B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49" w:history="1">
        <w:r w:rsidRPr="00533B68">
          <w:t>750</w:t>
        </w:r>
        <w:r>
          <w:rPr>
            <w:rFonts w:asciiTheme="minorHAnsi" w:eastAsiaTheme="minorEastAsia" w:hAnsiTheme="minorHAnsi" w:cstheme="minorBidi"/>
            <w:kern w:val="2"/>
            <w:sz w:val="24"/>
            <w:szCs w:val="24"/>
            <w:lang w:eastAsia="en-AU"/>
            <w14:ligatures w14:val="standardContextual"/>
          </w:rPr>
          <w:tab/>
        </w:r>
        <w:r w:rsidRPr="00533B68">
          <w:rPr>
            <w:lang w:val="en-US"/>
          </w:rPr>
          <w:t>Definitions—sdiv 2.9.4.3</w:t>
        </w:r>
        <w:r>
          <w:tab/>
        </w:r>
        <w:r>
          <w:fldChar w:fldCharType="begin"/>
        </w:r>
        <w:r>
          <w:instrText xml:space="preserve"> PAGEREF _Toc185513949 \h </w:instrText>
        </w:r>
        <w:r>
          <w:fldChar w:fldCharType="separate"/>
        </w:r>
        <w:r>
          <w:t>184</w:t>
        </w:r>
        <w:r>
          <w:fldChar w:fldCharType="end"/>
        </w:r>
      </w:hyperlink>
    </w:p>
    <w:p w14:paraId="7523DD1F" w14:textId="21D7077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0" w:history="1">
        <w:r w:rsidRPr="00533B68">
          <w:t>751</w:t>
        </w:r>
        <w:r>
          <w:rPr>
            <w:rFonts w:asciiTheme="minorHAnsi" w:eastAsiaTheme="minorEastAsia" w:hAnsiTheme="minorHAnsi" w:cstheme="minorBidi"/>
            <w:kern w:val="2"/>
            <w:sz w:val="24"/>
            <w:szCs w:val="24"/>
            <w:lang w:eastAsia="en-AU"/>
            <w14:ligatures w14:val="standardContextual"/>
          </w:rPr>
          <w:tab/>
        </w:r>
        <w:r w:rsidRPr="00533B68">
          <w:rPr>
            <w:lang w:val="en-US"/>
          </w:rPr>
          <w:t>Search orders—general</w:t>
        </w:r>
        <w:r>
          <w:tab/>
        </w:r>
        <w:r>
          <w:fldChar w:fldCharType="begin"/>
        </w:r>
        <w:r>
          <w:instrText xml:space="preserve"> PAGEREF _Toc185513950 \h </w:instrText>
        </w:r>
        <w:r>
          <w:fldChar w:fldCharType="separate"/>
        </w:r>
        <w:r>
          <w:t>184</w:t>
        </w:r>
        <w:r>
          <w:fldChar w:fldCharType="end"/>
        </w:r>
      </w:hyperlink>
    </w:p>
    <w:p w14:paraId="7BE6DD14" w14:textId="5145142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1" w:history="1">
        <w:r w:rsidRPr="00533B68">
          <w:t>752</w:t>
        </w:r>
        <w:r>
          <w:rPr>
            <w:rFonts w:asciiTheme="minorHAnsi" w:eastAsiaTheme="minorEastAsia" w:hAnsiTheme="minorHAnsi" w:cstheme="minorBidi"/>
            <w:kern w:val="2"/>
            <w:sz w:val="24"/>
            <w:szCs w:val="24"/>
            <w:lang w:eastAsia="en-AU"/>
            <w14:ligatures w14:val="standardContextual"/>
          </w:rPr>
          <w:tab/>
        </w:r>
        <w:r w:rsidRPr="00533B68">
          <w:rPr>
            <w:lang w:val="en-US"/>
          </w:rPr>
          <w:t>Search orders—requirements for making order</w:t>
        </w:r>
        <w:r>
          <w:tab/>
        </w:r>
        <w:r>
          <w:fldChar w:fldCharType="begin"/>
        </w:r>
        <w:r>
          <w:instrText xml:space="preserve"> PAGEREF _Toc185513951 \h </w:instrText>
        </w:r>
        <w:r>
          <w:fldChar w:fldCharType="separate"/>
        </w:r>
        <w:r>
          <w:t>186</w:t>
        </w:r>
        <w:r>
          <w:fldChar w:fldCharType="end"/>
        </w:r>
      </w:hyperlink>
    </w:p>
    <w:p w14:paraId="62BC3AFB" w14:textId="6221F18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2" w:history="1">
        <w:r w:rsidRPr="00533B68">
          <w:t>753</w:t>
        </w:r>
        <w:r>
          <w:rPr>
            <w:rFonts w:asciiTheme="minorHAnsi" w:eastAsiaTheme="minorEastAsia" w:hAnsiTheme="minorHAnsi" w:cstheme="minorBidi"/>
            <w:kern w:val="2"/>
            <w:sz w:val="24"/>
            <w:szCs w:val="24"/>
            <w:lang w:eastAsia="en-AU"/>
            <w14:ligatures w14:val="standardContextual"/>
          </w:rPr>
          <w:tab/>
        </w:r>
        <w:r w:rsidRPr="00533B68">
          <w:rPr>
            <w:lang w:val="en-US"/>
          </w:rPr>
          <w:t>Search orders—terms of order</w:t>
        </w:r>
        <w:r>
          <w:tab/>
        </w:r>
        <w:r>
          <w:fldChar w:fldCharType="begin"/>
        </w:r>
        <w:r>
          <w:instrText xml:space="preserve"> PAGEREF _Toc185513952 \h </w:instrText>
        </w:r>
        <w:r>
          <w:fldChar w:fldCharType="separate"/>
        </w:r>
        <w:r>
          <w:t>187</w:t>
        </w:r>
        <w:r>
          <w:fldChar w:fldCharType="end"/>
        </w:r>
      </w:hyperlink>
    </w:p>
    <w:p w14:paraId="6A2F8C9E" w14:textId="4B3CBD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3" w:history="1">
        <w:r w:rsidRPr="00533B68">
          <w:t>754</w:t>
        </w:r>
        <w:r>
          <w:rPr>
            <w:rFonts w:asciiTheme="minorHAnsi" w:eastAsiaTheme="minorEastAsia" w:hAnsiTheme="minorHAnsi" w:cstheme="minorBidi"/>
            <w:kern w:val="2"/>
            <w:sz w:val="24"/>
            <w:szCs w:val="24"/>
            <w:lang w:eastAsia="en-AU"/>
            <w14:ligatures w14:val="standardContextual"/>
          </w:rPr>
          <w:tab/>
        </w:r>
        <w:r w:rsidRPr="00533B68">
          <w:rPr>
            <w:lang w:val="en-US"/>
          </w:rPr>
          <w:t>Search orders—independent solicitors</w:t>
        </w:r>
        <w:r>
          <w:tab/>
        </w:r>
        <w:r>
          <w:fldChar w:fldCharType="begin"/>
        </w:r>
        <w:r>
          <w:instrText xml:space="preserve"> PAGEREF _Toc185513953 \h </w:instrText>
        </w:r>
        <w:r>
          <w:fldChar w:fldCharType="separate"/>
        </w:r>
        <w:r>
          <w:t>188</w:t>
        </w:r>
        <w:r>
          <w:fldChar w:fldCharType="end"/>
        </w:r>
      </w:hyperlink>
    </w:p>
    <w:p w14:paraId="3D3276A5" w14:textId="744F62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4" w:history="1">
        <w:r w:rsidRPr="00533B68">
          <w:t>755</w:t>
        </w:r>
        <w:r>
          <w:rPr>
            <w:rFonts w:asciiTheme="minorHAnsi" w:eastAsiaTheme="minorEastAsia" w:hAnsiTheme="minorHAnsi" w:cstheme="minorBidi"/>
            <w:kern w:val="2"/>
            <w:sz w:val="24"/>
            <w:szCs w:val="24"/>
            <w:lang w:eastAsia="en-AU"/>
            <w14:ligatures w14:val="standardContextual"/>
          </w:rPr>
          <w:tab/>
        </w:r>
        <w:r w:rsidRPr="00533B68">
          <w:rPr>
            <w:lang w:val="en-US"/>
          </w:rPr>
          <w:t>Search orders—costs</w:t>
        </w:r>
        <w:r>
          <w:tab/>
        </w:r>
        <w:r>
          <w:fldChar w:fldCharType="begin"/>
        </w:r>
        <w:r>
          <w:instrText xml:space="preserve"> PAGEREF _Toc185513954 \h </w:instrText>
        </w:r>
        <w:r>
          <w:fldChar w:fldCharType="separate"/>
        </w:r>
        <w:r>
          <w:t>188</w:t>
        </w:r>
        <w:r>
          <w:fldChar w:fldCharType="end"/>
        </w:r>
      </w:hyperlink>
    </w:p>
    <w:p w14:paraId="53FE6B56" w14:textId="7C50E95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55" w:history="1">
        <w:r w:rsidR="00AC5392" w:rsidRPr="00533B68">
          <w:t>Division 2.9.5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Receivers</w:t>
        </w:r>
        <w:r w:rsidR="00AC5392" w:rsidRPr="00AC5392">
          <w:rPr>
            <w:vanish/>
          </w:rPr>
          <w:tab/>
        </w:r>
        <w:r w:rsidR="00AC5392" w:rsidRPr="00AC5392">
          <w:rPr>
            <w:vanish/>
          </w:rPr>
          <w:fldChar w:fldCharType="begin"/>
        </w:r>
        <w:r w:rsidR="00AC5392" w:rsidRPr="00AC5392">
          <w:rPr>
            <w:vanish/>
          </w:rPr>
          <w:instrText xml:space="preserve"> PAGEREF _Toc185513955 \h </w:instrText>
        </w:r>
        <w:r w:rsidR="00AC5392" w:rsidRPr="00AC5392">
          <w:rPr>
            <w:vanish/>
          </w:rPr>
        </w:r>
        <w:r w:rsidR="00AC5392" w:rsidRPr="00AC5392">
          <w:rPr>
            <w:vanish/>
          </w:rPr>
          <w:fldChar w:fldCharType="separate"/>
        </w:r>
        <w:r w:rsidR="00AC5392" w:rsidRPr="00AC5392">
          <w:rPr>
            <w:vanish/>
          </w:rPr>
          <w:t>188</w:t>
        </w:r>
        <w:r w:rsidR="00AC5392" w:rsidRPr="00AC5392">
          <w:rPr>
            <w:vanish/>
          </w:rPr>
          <w:fldChar w:fldCharType="end"/>
        </w:r>
      </w:hyperlink>
    </w:p>
    <w:p w14:paraId="6268A273" w14:textId="248298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6" w:history="1">
        <w:r w:rsidRPr="00533B68">
          <w:t>765</w:t>
        </w:r>
        <w:r>
          <w:rPr>
            <w:rFonts w:asciiTheme="minorHAnsi" w:eastAsiaTheme="minorEastAsia" w:hAnsiTheme="minorHAnsi" w:cstheme="minorBidi"/>
            <w:kern w:val="2"/>
            <w:sz w:val="24"/>
            <w:szCs w:val="24"/>
            <w:lang w:eastAsia="en-AU"/>
            <w14:ligatures w14:val="standardContextual"/>
          </w:rPr>
          <w:tab/>
        </w:r>
        <w:r w:rsidRPr="00533B68">
          <w:t>Application—div 2.9.5</w:t>
        </w:r>
        <w:r>
          <w:tab/>
        </w:r>
        <w:r>
          <w:fldChar w:fldCharType="begin"/>
        </w:r>
        <w:r>
          <w:instrText xml:space="preserve"> PAGEREF _Toc185513956 \h </w:instrText>
        </w:r>
        <w:r>
          <w:fldChar w:fldCharType="separate"/>
        </w:r>
        <w:r>
          <w:t>188</w:t>
        </w:r>
        <w:r>
          <w:fldChar w:fldCharType="end"/>
        </w:r>
      </w:hyperlink>
    </w:p>
    <w:p w14:paraId="632CF84E" w14:textId="412DA5B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7" w:history="1">
        <w:r w:rsidRPr="00533B68">
          <w:t>766</w:t>
        </w:r>
        <w:r>
          <w:rPr>
            <w:rFonts w:asciiTheme="minorHAnsi" w:eastAsiaTheme="minorEastAsia" w:hAnsiTheme="minorHAnsi" w:cstheme="minorBidi"/>
            <w:kern w:val="2"/>
            <w:sz w:val="24"/>
            <w:szCs w:val="24"/>
            <w:lang w:eastAsia="en-AU"/>
            <w14:ligatures w14:val="standardContextual"/>
          </w:rPr>
          <w:tab/>
        </w:r>
        <w:r w:rsidRPr="00533B68">
          <w:t>Receiver—agreement to act as etc</w:t>
        </w:r>
        <w:r>
          <w:tab/>
        </w:r>
        <w:r>
          <w:fldChar w:fldCharType="begin"/>
        </w:r>
        <w:r>
          <w:instrText xml:space="preserve"> PAGEREF _Toc185513957 \h </w:instrText>
        </w:r>
        <w:r>
          <w:fldChar w:fldCharType="separate"/>
        </w:r>
        <w:r>
          <w:t>189</w:t>
        </w:r>
        <w:r>
          <w:fldChar w:fldCharType="end"/>
        </w:r>
      </w:hyperlink>
    </w:p>
    <w:p w14:paraId="4F3EC311" w14:textId="0F3AB61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8" w:history="1">
        <w:r w:rsidRPr="00533B68">
          <w:t>767</w:t>
        </w:r>
        <w:r>
          <w:rPr>
            <w:rFonts w:asciiTheme="minorHAnsi" w:eastAsiaTheme="minorEastAsia" w:hAnsiTheme="minorHAnsi" w:cstheme="minorBidi"/>
            <w:kern w:val="2"/>
            <w:sz w:val="24"/>
            <w:szCs w:val="24"/>
            <w:lang w:eastAsia="en-AU"/>
            <w14:ligatures w14:val="standardContextual"/>
          </w:rPr>
          <w:tab/>
        </w:r>
        <w:r w:rsidRPr="00533B68">
          <w:t>Receiver—application for order appointing etc</w:t>
        </w:r>
        <w:r>
          <w:tab/>
        </w:r>
        <w:r>
          <w:fldChar w:fldCharType="begin"/>
        </w:r>
        <w:r>
          <w:instrText xml:space="preserve"> PAGEREF _Toc185513958 \h </w:instrText>
        </w:r>
        <w:r>
          <w:fldChar w:fldCharType="separate"/>
        </w:r>
        <w:r>
          <w:t>189</w:t>
        </w:r>
        <w:r>
          <w:fldChar w:fldCharType="end"/>
        </w:r>
      </w:hyperlink>
    </w:p>
    <w:p w14:paraId="35CE513F" w14:textId="5A67958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59" w:history="1">
        <w:r w:rsidRPr="00533B68">
          <w:t>768</w:t>
        </w:r>
        <w:r>
          <w:rPr>
            <w:rFonts w:asciiTheme="minorHAnsi" w:eastAsiaTheme="minorEastAsia" w:hAnsiTheme="minorHAnsi" w:cstheme="minorBidi"/>
            <w:kern w:val="2"/>
            <w:sz w:val="24"/>
            <w:szCs w:val="24"/>
            <w:lang w:eastAsia="en-AU"/>
            <w14:ligatures w14:val="standardContextual"/>
          </w:rPr>
          <w:tab/>
        </w:r>
        <w:r w:rsidRPr="00533B68">
          <w:t>Receiver—address for service</w:t>
        </w:r>
        <w:r>
          <w:tab/>
        </w:r>
        <w:r>
          <w:fldChar w:fldCharType="begin"/>
        </w:r>
        <w:r>
          <w:instrText xml:space="preserve"> PAGEREF _Toc185513959 \h </w:instrText>
        </w:r>
        <w:r>
          <w:fldChar w:fldCharType="separate"/>
        </w:r>
        <w:r>
          <w:t>189</w:t>
        </w:r>
        <w:r>
          <w:fldChar w:fldCharType="end"/>
        </w:r>
      </w:hyperlink>
    </w:p>
    <w:p w14:paraId="470FB135" w14:textId="52E100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0" w:history="1">
        <w:r w:rsidRPr="00533B68">
          <w:t>769</w:t>
        </w:r>
        <w:r>
          <w:rPr>
            <w:rFonts w:asciiTheme="minorHAnsi" w:eastAsiaTheme="minorEastAsia" w:hAnsiTheme="minorHAnsi" w:cstheme="minorBidi"/>
            <w:kern w:val="2"/>
            <w:sz w:val="24"/>
            <w:szCs w:val="24"/>
            <w:lang w:eastAsia="en-AU"/>
            <w14:ligatures w14:val="standardContextual"/>
          </w:rPr>
          <w:tab/>
        </w:r>
        <w:r w:rsidRPr="00533B68">
          <w:t>Receiver—security</w:t>
        </w:r>
        <w:r>
          <w:tab/>
        </w:r>
        <w:r>
          <w:fldChar w:fldCharType="begin"/>
        </w:r>
        <w:r>
          <w:instrText xml:space="preserve"> PAGEREF _Toc185513960 \h </w:instrText>
        </w:r>
        <w:r>
          <w:fldChar w:fldCharType="separate"/>
        </w:r>
        <w:r>
          <w:t>190</w:t>
        </w:r>
        <w:r>
          <w:fldChar w:fldCharType="end"/>
        </w:r>
      </w:hyperlink>
    </w:p>
    <w:p w14:paraId="400E177E" w14:textId="1CEAF26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1" w:history="1">
        <w:r w:rsidRPr="00533B68">
          <w:t>770</w:t>
        </w:r>
        <w:r>
          <w:rPr>
            <w:rFonts w:asciiTheme="minorHAnsi" w:eastAsiaTheme="minorEastAsia" w:hAnsiTheme="minorHAnsi" w:cstheme="minorBidi"/>
            <w:kern w:val="2"/>
            <w:sz w:val="24"/>
            <w:szCs w:val="24"/>
            <w:lang w:eastAsia="en-AU"/>
            <w14:ligatures w14:val="standardContextual"/>
          </w:rPr>
          <w:tab/>
        </w:r>
        <w:r w:rsidRPr="00533B68">
          <w:t>Receiver—remuneration</w:t>
        </w:r>
        <w:r>
          <w:tab/>
        </w:r>
        <w:r>
          <w:fldChar w:fldCharType="begin"/>
        </w:r>
        <w:r>
          <w:instrText xml:space="preserve"> PAGEREF _Toc185513961 \h </w:instrText>
        </w:r>
        <w:r>
          <w:fldChar w:fldCharType="separate"/>
        </w:r>
        <w:r>
          <w:t>190</w:t>
        </w:r>
        <w:r>
          <w:fldChar w:fldCharType="end"/>
        </w:r>
      </w:hyperlink>
    </w:p>
    <w:p w14:paraId="77A8236C" w14:textId="7C633F1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2" w:history="1">
        <w:r w:rsidRPr="00533B68">
          <w:t>771</w:t>
        </w:r>
        <w:r>
          <w:rPr>
            <w:rFonts w:asciiTheme="minorHAnsi" w:eastAsiaTheme="minorEastAsia" w:hAnsiTheme="minorHAnsi" w:cstheme="minorBidi"/>
            <w:kern w:val="2"/>
            <w:sz w:val="24"/>
            <w:szCs w:val="24"/>
            <w:lang w:eastAsia="en-AU"/>
            <w14:ligatures w14:val="standardContextual"/>
          </w:rPr>
          <w:tab/>
        </w:r>
        <w:r w:rsidRPr="00533B68">
          <w:t>Receiver—accounts</w:t>
        </w:r>
        <w:r>
          <w:tab/>
        </w:r>
        <w:r>
          <w:fldChar w:fldCharType="begin"/>
        </w:r>
        <w:r>
          <w:instrText xml:space="preserve"> PAGEREF _Toc185513962 \h </w:instrText>
        </w:r>
        <w:r>
          <w:fldChar w:fldCharType="separate"/>
        </w:r>
        <w:r>
          <w:t>190</w:t>
        </w:r>
        <w:r>
          <w:fldChar w:fldCharType="end"/>
        </w:r>
      </w:hyperlink>
    </w:p>
    <w:p w14:paraId="0863E099" w14:textId="06798E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3" w:history="1">
        <w:r w:rsidRPr="00533B68">
          <w:t>772</w:t>
        </w:r>
        <w:r>
          <w:rPr>
            <w:rFonts w:asciiTheme="minorHAnsi" w:eastAsiaTheme="minorEastAsia" w:hAnsiTheme="minorHAnsi" w:cstheme="minorBidi"/>
            <w:kern w:val="2"/>
            <w:sz w:val="24"/>
            <w:szCs w:val="24"/>
            <w:lang w:eastAsia="en-AU"/>
            <w14:ligatures w14:val="standardContextual"/>
          </w:rPr>
          <w:tab/>
        </w:r>
        <w:r w:rsidRPr="00533B68">
          <w:t>Receiver—default</w:t>
        </w:r>
        <w:r>
          <w:tab/>
        </w:r>
        <w:r>
          <w:fldChar w:fldCharType="begin"/>
        </w:r>
        <w:r>
          <w:instrText xml:space="preserve"> PAGEREF _Toc185513963 \h </w:instrText>
        </w:r>
        <w:r>
          <w:fldChar w:fldCharType="separate"/>
        </w:r>
        <w:r>
          <w:t>191</w:t>
        </w:r>
        <w:r>
          <w:fldChar w:fldCharType="end"/>
        </w:r>
      </w:hyperlink>
    </w:p>
    <w:p w14:paraId="7AABF285" w14:textId="005544E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4" w:history="1">
        <w:r w:rsidRPr="00533B68">
          <w:t>773</w:t>
        </w:r>
        <w:r>
          <w:rPr>
            <w:rFonts w:asciiTheme="minorHAnsi" w:eastAsiaTheme="minorEastAsia" w:hAnsiTheme="minorHAnsi" w:cstheme="minorBidi"/>
            <w:kern w:val="2"/>
            <w:sz w:val="24"/>
            <w:szCs w:val="24"/>
            <w:lang w:eastAsia="en-AU"/>
            <w14:ligatures w14:val="standardContextual"/>
          </w:rPr>
          <w:tab/>
        </w:r>
        <w:r w:rsidRPr="00533B68">
          <w:t>Receiver—powers</w:t>
        </w:r>
        <w:r>
          <w:tab/>
        </w:r>
        <w:r>
          <w:fldChar w:fldCharType="begin"/>
        </w:r>
        <w:r>
          <w:instrText xml:space="preserve"> PAGEREF _Toc185513964 \h </w:instrText>
        </w:r>
        <w:r>
          <w:fldChar w:fldCharType="separate"/>
        </w:r>
        <w:r>
          <w:t>192</w:t>
        </w:r>
        <w:r>
          <w:fldChar w:fldCharType="end"/>
        </w:r>
      </w:hyperlink>
    </w:p>
    <w:p w14:paraId="3183C736" w14:textId="6240B0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5" w:history="1">
        <w:r w:rsidRPr="00533B68">
          <w:t>774</w:t>
        </w:r>
        <w:r>
          <w:rPr>
            <w:rFonts w:asciiTheme="minorHAnsi" w:eastAsiaTheme="minorEastAsia" w:hAnsiTheme="minorHAnsi" w:cstheme="minorBidi"/>
            <w:kern w:val="2"/>
            <w:sz w:val="24"/>
            <w:szCs w:val="24"/>
            <w:lang w:eastAsia="en-AU"/>
            <w14:ligatures w14:val="standardContextual"/>
          </w:rPr>
          <w:tab/>
        </w:r>
        <w:r w:rsidRPr="00533B68">
          <w:t>Receiver—duty in relation to property</w:t>
        </w:r>
        <w:r>
          <w:tab/>
        </w:r>
        <w:r>
          <w:fldChar w:fldCharType="begin"/>
        </w:r>
        <w:r>
          <w:instrText xml:space="preserve"> PAGEREF _Toc185513965 \h </w:instrText>
        </w:r>
        <w:r>
          <w:fldChar w:fldCharType="separate"/>
        </w:r>
        <w:r>
          <w:t>193</w:t>
        </w:r>
        <w:r>
          <w:fldChar w:fldCharType="end"/>
        </w:r>
      </w:hyperlink>
    </w:p>
    <w:p w14:paraId="277E35DD" w14:textId="66C5B7A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6" w:history="1">
        <w:r w:rsidRPr="00533B68">
          <w:t>775</w:t>
        </w:r>
        <w:r>
          <w:rPr>
            <w:rFonts w:asciiTheme="minorHAnsi" w:eastAsiaTheme="minorEastAsia" w:hAnsiTheme="minorHAnsi" w:cstheme="minorBidi"/>
            <w:kern w:val="2"/>
            <w:sz w:val="24"/>
            <w:szCs w:val="24"/>
            <w:lang w:eastAsia="en-AU"/>
            <w14:ligatures w14:val="standardContextual"/>
          </w:rPr>
          <w:tab/>
        </w:r>
        <w:r w:rsidRPr="00533B68">
          <w:t>Receiver—liability</w:t>
        </w:r>
        <w:r>
          <w:tab/>
        </w:r>
        <w:r>
          <w:fldChar w:fldCharType="begin"/>
        </w:r>
        <w:r>
          <w:instrText xml:space="preserve"> PAGEREF _Toc185513966 \h </w:instrText>
        </w:r>
        <w:r>
          <w:fldChar w:fldCharType="separate"/>
        </w:r>
        <w:r>
          <w:t>193</w:t>
        </w:r>
        <w:r>
          <w:fldChar w:fldCharType="end"/>
        </w:r>
      </w:hyperlink>
    </w:p>
    <w:p w14:paraId="2FE5318F" w14:textId="4A22963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7" w:history="1">
        <w:r w:rsidRPr="00533B68">
          <w:t>776</w:t>
        </w:r>
        <w:r>
          <w:rPr>
            <w:rFonts w:asciiTheme="minorHAnsi" w:eastAsiaTheme="minorEastAsia" w:hAnsiTheme="minorHAnsi" w:cstheme="minorBidi"/>
            <w:kern w:val="2"/>
            <w:sz w:val="24"/>
            <w:szCs w:val="24"/>
            <w:lang w:eastAsia="en-AU"/>
            <w14:ligatures w14:val="standardContextual"/>
          </w:rPr>
          <w:tab/>
        </w:r>
        <w:r w:rsidRPr="00533B68">
          <w:t>Receiver—death of</w:t>
        </w:r>
        <w:r>
          <w:tab/>
        </w:r>
        <w:r>
          <w:fldChar w:fldCharType="begin"/>
        </w:r>
        <w:r>
          <w:instrText xml:space="preserve"> PAGEREF _Toc185513967 \h </w:instrText>
        </w:r>
        <w:r>
          <w:fldChar w:fldCharType="separate"/>
        </w:r>
        <w:r>
          <w:t>193</w:t>
        </w:r>
        <w:r>
          <w:fldChar w:fldCharType="end"/>
        </w:r>
      </w:hyperlink>
    </w:p>
    <w:p w14:paraId="06AAFF5D" w14:textId="1EF1597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68" w:history="1">
        <w:r w:rsidR="00AC5392" w:rsidRPr="00533B68">
          <w:t>Division 2.9.6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Sales of land by court order</w:t>
        </w:r>
        <w:r w:rsidR="00AC5392" w:rsidRPr="00AC5392">
          <w:rPr>
            <w:vanish/>
          </w:rPr>
          <w:tab/>
        </w:r>
        <w:r w:rsidR="00AC5392" w:rsidRPr="00AC5392">
          <w:rPr>
            <w:vanish/>
          </w:rPr>
          <w:fldChar w:fldCharType="begin"/>
        </w:r>
        <w:r w:rsidR="00AC5392" w:rsidRPr="00AC5392">
          <w:rPr>
            <w:vanish/>
          </w:rPr>
          <w:instrText xml:space="preserve"> PAGEREF _Toc185513968 \h </w:instrText>
        </w:r>
        <w:r w:rsidR="00AC5392" w:rsidRPr="00AC5392">
          <w:rPr>
            <w:vanish/>
          </w:rPr>
        </w:r>
        <w:r w:rsidR="00AC5392" w:rsidRPr="00AC5392">
          <w:rPr>
            <w:vanish/>
          </w:rPr>
          <w:fldChar w:fldCharType="separate"/>
        </w:r>
        <w:r w:rsidR="00AC5392" w:rsidRPr="00AC5392">
          <w:rPr>
            <w:vanish/>
          </w:rPr>
          <w:t>194</w:t>
        </w:r>
        <w:r w:rsidR="00AC5392" w:rsidRPr="00AC5392">
          <w:rPr>
            <w:vanish/>
          </w:rPr>
          <w:fldChar w:fldCharType="end"/>
        </w:r>
      </w:hyperlink>
    </w:p>
    <w:p w14:paraId="6913400A" w14:textId="2BE9D06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69" w:history="1">
        <w:r w:rsidRPr="00533B68">
          <w:t>780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land</w:t>
        </w:r>
        <w:r w:rsidRPr="00533B68">
          <w:t>—div 2.9.6</w:t>
        </w:r>
        <w:r>
          <w:tab/>
        </w:r>
        <w:r>
          <w:fldChar w:fldCharType="begin"/>
        </w:r>
        <w:r>
          <w:instrText xml:space="preserve"> PAGEREF _Toc185513969 \h </w:instrText>
        </w:r>
        <w:r>
          <w:fldChar w:fldCharType="separate"/>
        </w:r>
        <w:r>
          <w:t>194</w:t>
        </w:r>
        <w:r>
          <w:fldChar w:fldCharType="end"/>
        </w:r>
      </w:hyperlink>
    </w:p>
    <w:p w14:paraId="228CB4BF" w14:textId="43ED45D4"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3970" w:history="1">
        <w:r w:rsidRPr="00533B68">
          <w:t>781</w:t>
        </w:r>
        <w:r>
          <w:rPr>
            <w:rFonts w:asciiTheme="minorHAnsi" w:eastAsiaTheme="minorEastAsia" w:hAnsiTheme="minorHAnsi" w:cstheme="minorBidi"/>
            <w:kern w:val="2"/>
            <w:sz w:val="24"/>
            <w:szCs w:val="24"/>
            <w:lang w:eastAsia="en-AU"/>
            <w14:ligatures w14:val="standardContextual"/>
          </w:rPr>
          <w:tab/>
        </w:r>
        <w:r w:rsidRPr="00533B68">
          <w:t>Application—div 2.9.6</w:t>
        </w:r>
        <w:r>
          <w:tab/>
        </w:r>
        <w:r>
          <w:fldChar w:fldCharType="begin"/>
        </w:r>
        <w:r>
          <w:instrText xml:space="preserve"> PAGEREF _Toc185513970 \h </w:instrText>
        </w:r>
        <w:r>
          <w:fldChar w:fldCharType="separate"/>
        </w:r>
        <w:r>
          <w:t>194</w:t>
        </w:r>
        <w:r>
          <w:fldChar w:fldCharType="end"/>
        </w:r>
      </w:hyperlink>
    </w:p>
    <w:p w14:paraId="0AFED98F" w14:textId="009CAF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1" w:history="1">
        <w:r w:rsidRPr="00533B68">
          <w:t>782</w:t>
        </w:r>
        <w:r>
          <w:rPr>
            <w:rFonts w:asciiTheme="minorHAnsi" w:eastAsiaTheme="minorEastAsia" w:hAnsiTheme="minorHAnsi" w:cstheme="minorBidi"/>
            <w:kern w:val="2"/>
            <w:sz w:val="24"/>
            <w:szCs w:val="24"/>
            <w:lang w:eastAsia="en-AU"/>
            <w14:ligatures w14:val="standardContextual"/>
          </w:rPr>
          <w:tab/>
        </w:r>
        <w:r w:rsidRPr="00533B68">
          <w:t>Sale of land—order</w:t>
        </w:r>
        <w:r>
          <w:tab/>
        </w:r>
        <w:r>
          <w:fldChar w:fldCharType="begin"/>
        </w:r>
        <w:r>
          <w:instrText xml:space="preserve"> PAGEREF _Toc185513971 \h </w:instrText>
        </w:r>
        <w:r>
          <w:fldChar w:fldCharType="separate"/>
        </w:r>
        <w:r>
          <w:t>194</w:t>
        </w:r>
        <w:r>
          <w:fldChar w:fldCharType="end"/>
        </w:r>
      </w:hyperlink>
    </w:p>
    <w:p w14:paraId="6DECF214" w14:textId="15FC374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2" w:history="1">
        <w:r w:rsidRPr="00533B68">
          <w:t>783</w:t>
        </w:r>
        <w:r>
          <w:rPr>
            <w:rFonts w:asciiTheme="minorHAnsi" w:eastAsiaTheme="minorEastAsia" w:hAnsiTheme="minorHAnsi" w:cstheme="minorBidi"/>
            <w:kern w:val="2"/>
            <w:sz w:val="24"/>
            <w:szCs w:val="24"/>
            <w:lang w:eastAsia="en-AU"/>
            <w14:ligatures w14:val="standardContextual"/>
          </w:rPr>
          <w:tab/>
        </w:r>
        <w:r w:rsidRPr="00533B68">
          <w:t>Sale of land—conduct of sale</w:t>
        </w:r>
        <w:r>
          <w:tab/>
        </w:r>
        <w:r>
          <w:fldChar w:fldCharType="begin"/>
        </w:r>
        <w:r>
          <w:instrText xml:space="preserve"> PAGEREF _Toc185513972 \h </w:instrText>
        </w:r>
        <w:r>
          <w:fldChar w:fldCharType="separate"/>
        </w:r>
        <w:r>
          <w:t>194</w:t>
        </w:r>
        <w:r>
          <w:fldChar w:fldCharType="end"/>
        </w:r>
      </w:hyperlink>
    </w:p>
    <w:p w14:paraId="360FCCC5" w14:textId="07E0FFB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3" w:history="1">
        <w:r w:rsidRPr="00533B68">
          <w:t>784</w:t>
        </w:r>
        <w:r>
          <w:rPr>
            <w:rFonts w:asciiTheme="minorHAnsi" w:eastAsiaTheme="minorEastAsia" w:hAnsiTheme="minorHAnsi" w:cstheme="minorBidi"/>
            <w:kern w:val="2"/>
            <w:sz w:val="24"/>
            <w:szCs w:val="24"/>
            <w:lang w:eastAsia="en-AU"/>
            <w14:ligatures w14:val="standardContextual"/>
          </w:rPr>
          <w:tab/>
        </w:r>
        <w:r w:rsidRPr="00533B68">
          <w:t>Sale of land—certificate of sale result</w:t>
        </w:r>
        <w:r>
          <w:tab/>
        </w:r>
        <w:r>
          <w:fldChar w:fldCharType="begin"/>
        </w:r>
        <w:r>
          <w:instrText xml:space="preserve"> PAGEREF _Toc185513973 \h </w:instrText>
        </w:r>
        <w:r>
          <w:fldChar w:fldCharType="separate"/>
        </w:r>
        <w:r>
          <w:t>195</w:t>
        </w:r>
        <w:r>
          <w:fldChar w:fldCharType="end"/>
        </w:r>
      </w:hyperlink>
    </w:p>
    <w:p w14:paraId="172F83CD" w14:textId="5DBE4C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4" w:history="1">
        <w:r w:rsidRPr="00533B68">
          <w:t>785</w:t>
        </w:r>
        <w:r>
          <w:rPr>
            <w:rFonts w:asciiTheme="minorHAnsi" w:eastAsiaTheme="minorEastAsia" w:hAnsiTheme="minorHAnsi" w:cstheme="minorBidi"/>
            <w:kern w:val="2"/>
            <w:sz w:val="24"/>
            <w:szCs w:val="24"/>
            <w:lang w:eastAsia="en-AU"/>
            <w14:ligatures w14:val="standardContextual"/>
          </w:rPr>
          <w:tab/>
        </w:r>
        <w:r w:rsidRPr="00533B68">
          <w:t>Mortgage, exchange or partition</w:t>
        </w:r>
        <w:r>
          <w:tab/>
        </w:r>
        <w:r>
          <w:fldChar w:fldCharType="begin"/>
        </w:r>
        <w:r>
          <w:instrText xml:space="preserve"> PAGEREF _Toc185513974 \h </w:instrText>
        </w:r>
        <w:r>
          <w:fldChar w:fldCharType="separate"/>
        </w:r>
        <w:r>
          <w:t>196</w:t>
        </w:r>
        <w:r>
          <w:fldChar w:fldCharType="end"/>
        </w:r>
      </w:hyperlink>
    </w:p>
    <w:p w14:paraId="14E007F9" w14:textId="5E6FC597"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975" w:history="1">
        <w:r w:rsidR="00AC5392" w:rsidRPr="00533B68">
          <w:t>Part 2.10</w:t>
        </w:r>
        <w:r w:rsidR="00AC5392">
          <w:rPr>
            <w:rFonts w:asciiTheme="minorHAnsi" w:eastAsiaTheme="minorEastAsia" w:hAnsiTheme="minorHAnsi" w:cstheme="minorBidi"/>
            <w:b w:val="0"/>
            <w:kern w:val="2"/>
            <w:szCs w:val="24"/>
            <w:lang w:eastAsia="en-AU"/>
            <w14:ligatures w14:val="standardContextual"/>
          </w:rPr>
          <w:tab/>
        </w:r>
        <w:r w:rsidR="00AC5392" w:rsidRPr="00533B68">
          <w:t>Offers of compromise</w:t>
        </w:r>
        <w:r w:rsidR="00AC5392" w:rsidRPr="00AC5392">
          <w:rPr>
            <w:vanish/>
          </w:rPr>
          <w:tab/>
        </w:r>
        <w:r w:rsidR="00AC5392" w:rsidRPr="00AC5392">
          <w:rPr>
            <w:vanish/>
          </w:rPr>
          <w:fldChar w:fldCharType="begin"/>
        </w:r>
        <w:r w:rsidR="00AC5392" w:rsidRPr="00AC5392">
          <w:rPr>
            <w:vanish/>
          </w:rPr>
          <w:instrText xml:space="preserve"> PAGEREF _Toc185513975 \h </w:instrText>
        </w:r>
        <w:r w:rsidR="00AC5392" w:rsidRPr="00AC5392">
          <w:rPr>
            <w:vanish/>
          </w:rPr>
        </w:r>
        <w:r w:rsidR="00AC5392" w:rsidRPr="00AC5392">
          <w:rPr>
            <w:vanish/>
          </w:rPr>
          <w:fldChar w:fldCharType="separate"/>
        </w:r>
        <w:r w:rsidR="00AC5392" w:rsidRPr="00AC5392">
          <w:rPr>
            <w:vanish/>
          </w:rPr>
          <w:t>197</w:t>
        </w:r>
        <w:r w:rsidR="00AC5392" w:rsidRPr="00AC5392">
          <w:rPr>
            <w:vanish/>
          </w:rPr>
          <w:fldChar w:fldCharType="end"/>
        </w:r>
      </w:hyperlink>
    </w:p>
    <w:p w14:paraId="719E8D48" w14:textId="68937E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6" w:history="1">
        <w:r w:rsidRPr="00533B68">
          <w:t>1000</w:t>
        </w:r>
        <w:r>
          <w:rPr>
            <w:rFonts w:asciiTheme="minorHAnsi" w:eastAsiaTheme="minorEastAsia" w:hAnsiTheme="minorHAnsi" w:cstheme="minorBidi"/>
            <w:kern w:val="2"/>
            <w:sz w:val="24"/>
            <w:szCs w:val="24"/>
            <w:lang w:eastAsia="en-AU"/>
            <w14:ligatures w14:val="standardContextual"/>
          </w:rPr>
          <w:tab/>
        </w:r>
        <w:r w:rsidRPr="00533B68">
          <w:t>Application—pt 2.10</w:t>
        </w:r>
        <w:r>
          <w:tab/>
        </w:r>
        <w:r>
          <w:fldChar w:fldCharType="begin"/>
        </w:r>
        <w:r>
          <w:instrText xml:space="preserve"> PAGEREF _Toc185513976 \h </w:instrText>
        </w:r>
        <w:r>
          <w:fldChar w:fldCharType="separate"/>
        </w:r>
        <w:r>
          <w:t>197</w:t>
        </w:r>
        <w:r>
          <w:fldChar w:fldCharType="end"/>
        </w:r>
      </w:hyperlink>
    </w:p>
    <w:p w14:paraId="6A9EFB57" w14:textId="7D6FFDC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7" w:history="1">
        <w:r w:rsidRPr="00533B68">
          <w:t>1001</w:t>
        </w:r>
        <w:r>
          <w:rPr>
            <w:rFonts w:asciiTheme="minorHAnsi" w:eastAsiaTheme="minorEastAsia" w:hAnsiTheme="minorHAnsi" w:cstheme="minorBidi"/>
            <w:kern w:val="2"/>
            <w:sz w:val="24"/>
            <w:szCs w:val="24"/>
            <w:lang w:eastAsia="en-AU"/>
            <w14:ligatures w14:val="standardContextual"/>
          </w:rPr>
          <w:tab/>
        </w:r>
        <w:r w:rsidRPr="00533B68">
          <w:t>Definitions—pt 2.10</w:t>
        </w:r>
        <w:r>
          <w:tab/>
        </w:r>
        <w:r>
          <w:fldChar w:fldCharType="begin"/>
        </w:r>
        <w:r>
          <w:instrText xml:space="preserve"> PAGEREF _Toc185513977 \h </w:instrText>
        </w:r>
        <w:r>
          <w:fldChar w:fldCharType="separate"/>
        </w:r>
        <w:r>
          <w:t>197</w:t>
        </w:r>
        <w:r>
          <w:fldChar w:fldCharType="end"/>
        </w:r>
      </w:hyperlink>
    </w:p>
    <w:p w14:paraId="701D1FEE" w14:textId="4C66AA7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8" w:history="1">
        <w:r w:rsidRPr="00533B68">
          <w:t>1002</w:t>
        </w:r>
        <w:r>
          <w:rPr>
            <w:rFonts w:asciiTheme="minorHAnsi" w:eastAsiaTheme="minorEastAsia" w:hAnsiTheme="minorHAnsi" w:cstheme="minorBidi"/>
            <w:kern w:val="2"/>
            <w:sz w:val="24"/>
            <w:szCs w:val="24"/>
            <w:lang w:eastAsia="en-AU"/>
            <w14:ligatures w14:val="standardContextual"/>
          </w:rPr>
          <w:tab/>
        </w:r>
        <w:r w:rsidRPr="00533B68">
          <w:t>Making offer</w:t>
        </w:r>
        <w:r>
          <w:tab/>
        </w:r>
        <w:r>
          <w:fldChar w:fldCharType="begin"/>
        </w:r>
        <w:r>
          <w:instrText xml:space="preserve"> PAGEREF _Toc185513978 \h </w:instrText>
        </w:r>
        <w:r>
          <w:fldChar w:fldCharType="separate"/>
        </w:r>
        <w:r>
          <w:t>197</w:t>
        </w:r>
        <w:r>
          <w:fldChar w:fldCharType="end"/>
        </w:r>
      </w:hyperlink>
    </w:p>
    <w:p w14:paraId="285ED9CF" w14:textId="19A6202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79" w:history="1">
        <w:r w:rsidRPr="00533B68">
          <w:t>1003</w:t>
        </w:r>
        <w:r>
          <w:rPr>
            <w:rFonts w:asciiTheme="minorHAnsi" w:eastAsiaTheme="minorEastAsia" w:hAnsiTheme="minorHAnsi" w:cstheme="minorBidi"/>
            <w:kern w:val="2"/>
            <w:sz w:val="24"/>
            <w:szCs w:val="24"/>
            <w:lang w:eastAsia="en-AU"/>
            <w14:ligatures w14:val="standardContextual"/>
          </w:rPr>
          <w:tab/>
        </w:r>
        <w:r w:rsidRPr="00533B68">
          <w:t>Acceptance of offer</w:t>
        </w:r>
        <w:r>
          <w:tab/>
        </w:r>
        <w:r>
          <w:fldChar w:fldCharType="begin"/>
        </w:r>
        <w:r>
          <w:instrText xml:space="preserve"> PAGEREF _Toc185513979 \h </w:instrText>
        </w:r>
        <w:r>
          <w:fldChar w:fldCharType="separate"/>
        </w:r>
        <w:r>
          <w:t>199</w:t>
        </w:r>
        <w:r>
          <w:fldChar w:fldCharType="end"/>
        </w:r>
      </w:hyperlink>
    </w:p>
    <w:p w14:paraId="59D6A6DA" w14:textId="152C1CE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0" w:history="1">
        <w:r w:rsidRPr="00533B68">
          <w:t>1004</w:t>
        </w:r>
        <w:r>
          <w:rPr>
            <w:rFonts w:asciiTheme="minorHAnsi" w:eastAsiaTheme="minorEastAsia" w:hAnsiTheme="minorHAnsi" w:cstheme="minorBidi"/>
            <w:kern w:val="2"/>
            <w:sz w:val="24"/>
            <w:szCs w:val="24"/>
            <w:lang w:eastAsia="en-AU"/>
            <w14:ligatures w14:val="standardContextual"/>
          </w:rPr>
          <w:tab/>
        </w:r>
        <w:r w:rsidRPr="00533B68">
          <w:t>Withdrawal of acceptance</w:t>
        </w:r>
        <w:r>
          <w:tab/>
        </w:r>
        <w:r>
          <w:fldChar w:fldCharType="begin"/>
        </w:r>
        <w:r>
          <w:instrText xml:space="preserve"> PAGEREF _Toc185513980 \h </w:instrText>
        </w:r>
        <w:r>
          <w:fldChar w:fldCharType="separate"/>
        </w:r>
        <w:r>
          <w:t>200</w:t>
        </w:r>
        <w:r>
          <w:fldChar w:fldCharType="end"/>
        </w:r>
      </w:hyperlink>
    </w:p>
    <w:p w14:paraId="1ACBCC12" w14:textId="585CE4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1" w:history="1">
        <w:r w:rsidRPr="00533B68">
          <w:t>1005</w:t>
        </w:r>
        <w:r>
          <w:rPr>
            <w:rFonts w:asciiTheme="minorHAnsi" w:eastAsiaTheme="minorEastAsia" w:hAnsiTheme="minorHAnsi" w:cstheme="minorBidi"/>
            <w:kern w:val="2"/>
            <w:sz w:val="24"/>
            <w:szCs w:val="24"/>
            <w:lang w:eastAsia="en-AU"/>
            <w14:ligatures w14:val="standardContextual"/>
          </w:rPr>
          <w:tab/>
        </w:r>
        <w:r w:rsidRPr="00533B68">
          <w:t>Failure to comply with accepted offer</w:t>
        </w:r>
        <w:r>
          <w:tab/>
        </w:r>
        <w:r>
          <w:fldChar w:fldCharType="begin"/>
        </w:r>
        <w:r>
          <w:instrText xml:space="preserve"> PAGEREF _Toc185513981 \h </w:instrText>
        </w:r>
        <w:r>
          <w:fldChar w:fldCharType="separate"/>
        </w:r>
        <w:r>
          <w:t>200</w:t>
        </w:r>
        <w:r>
          <w:fldChar w:fldCharType="end"/>
        </w:r>
      </w:hyperlink>
    </w:p>
    <w:p w14:paraId="17607DF9" w14:textId="7EA725F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2" w:history="1">
        <w:r w:rsidRPr="00533B68">
          <w:t>1006</w:t>
        </w:r>
        <w:r>
          <w:rPr>
            <w:rFonts w:asciiTheme="minorHAnsi" w:eastAsiaTheme="minorEastAsia" w:hAnsiTheme="minorHAnsi" w:cstheme="minorBidi"/>
            <w:kern w:val="2"/>
            <w:sz w:val="24"/>
            <w:szCs w:val="24"/>
            <w:lang w:eastAsia="en-AU"/>
            <w14:ligatures w14:val="standardContextual"/>
          </w:rPr>
          <w:tab/>
        </w:r>
        <w:r w:rsidRPr="00533B68">
          <w:t>Disclosure of offer to court</w:t>
        </w:r>
        <w:r>
          <w:tab/>
        </w:r>
        <w:r>
          <w:fldChar w:fldCharType="begin"/>
        </w:r>
        <w:r>
          <w:instrText xml:space="preserve"> PAGEREF _Toc185513982 \h </w:instrText>
        </w:r>
        <w:r>
          <w:fldChar w:fldCharType="separate"/>
        </w:r>
        <w:r>
          <w:t>201</w:t>
        </w:r>
        <w:r>
          <w:fldChar w:fldCharType="end"/>
        </w:r>
      </w:hyperlink>
    </w:p>
    <w:p w14:paraId="6BCD6C1B" w14:textId="6D6845E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3" w:history="1">
        <w:r w:rsidRPr="00533B68">
          <w:t>1007</w:t>
        </w:r>
        <w:r>
          <w:rPr>
            <w:rFonts w:asciiTheme="minorHAnsi" w:eastAsiaTheme="minorEastAsia" w:hAnsiTheme="minorHAnsi" w:cstheme="minorBidi"/>
            <w:kern w:val="2"/>
            <w:sz w:val="24"/>
            <w:szCs w:val="24"/>
            <w:lang w:eastAsia="en-AU"/>
            <w14:ligatures w14:val="standardContextual"/>
          </w:rPr>
          <w:tab/>
        </w:r>
        <w:r w:rsidRPr="00533B68">
          <w:t>Compromises in certain Supreme Court proceedings</w:t>
        </w:r>
        <w:r>
          <w:tab/>
        </w:r>
        <w:r>
          <w:fldChar w:fldCharType="begin"/>
        </w:r>
        <w:r>
          <w:instrText xml:space="preserve"> PAGEREF _Toc185513983 \h </w:instrText>
        </w:r>
        <w:r>
          <w:fldChar w:fldCharType="separate"/>
        </w:r>
        <w:r>
          <w:t>202</w:t>
        </w:r>
        <w:r>
          <w:fldChar w:fldCharType="end"/>
        </w:r>
      </w:hyperlink>
    </w:p>
    <w:p w14:paraId="42B93FEB" w14:textId="544D97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4" w:history="1">
        <w:r w:rsidRPr="00533B68">
          <w:t>1008</w:t>
        </w:r>
        <w:r>
          <w:rPr>
            <w:rFonts w:asciiTheme="minorHAnsi" w:eastAsiaTheme="minorEastAsia" w:hAnsiTheme="minorHAnsi" w:cstheme="minorBidi"/>
            <w:kern w:val="2"/>
            <w:sz w:val="24"/>
            <w:szCs w:val="24"/>
            <w:lang w:eastAsia="en-AU"/>
            <w14:ligatures w14:val="standardContextual"/>
          </w:rPr>
          <w:tab/>
        </w:r>
        <w:r w:rsidRPr="00533B68">
          <w:t>Offer to contribute</w:t>
        </w:r>
        <w:r>
          <w:tab/>
        </w:r>
        <w:r>
          <w:fldChar w:fldCharType="begin"/>
        </w:r>
        <w:r>
          <w:instrText xml:space="preserve"> PAGEREF _Toc185513984 \h </w:instrText>
        </w:r>
        <w:r>
          <w:fldChar w:fldCharType="separate"/>
        </w:r>
        <w:r>
          <w:t>202</w:t>
        </w:r>
        <w:r>
          <w:fldChar w:fldCharType="end"/>
        </w:r>
      </w:hyperlink>
    </w:p>
    <w:p w14:paraId="57D5FACD" w14:textId="3FC4EC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5" w:history="1">
        <w:r w:rsidRPr="00533B68">
          <w:t>1009</w:t>
        </w:r>
        <w:r>
          <w:rPr>
            <w:rFonts w:asciiTheme="minorHAnsi" w:eastAsiaTheme="minorEastAsia" w:hAnsiTheme="minorHAnsi" w:cstheme="minorBidi"/>
            <w:kern w:val="2"/>
            <w:sz w:val="24"/>
            <w:szCs w:val="24"/>
            <w:lang w:eastAsia="en-AU"/>
            <w14:ligatures w14:val="standardContextual"/>
          </w:rPr>
          <w:tab/>
        </w:r>
        <w:r w:rsidRPr="00533B68">
          <w:t>Offer accepted and no provision for costs</w:t>
        </w:r>
        <w:r>
          <w:tab/>
        </w:r>
        <w:r>
          <w:fldChar w:fldCharType="begin"/>
        </w:r>
        <w:r>
          <w:instrText xml:space="preserve"> PAGEREF _Toc185513985 \h </w:instrText>
        </w:r>
        <w:r>
          <w:fldChar w:fldCharType="separate"/>
        </w:r>
        <w:r>
          <w:t>203</w:t>
        </w:r>
        <w:r>
          <w:fldChar w:fldCharType="end"/>
        </w:r>
      </w:hyperlink>
    </w:p>
    <w:p w14:paraId="470381E9" w14:textId="00A3C6B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6" w:history="1">
        <w:r w:rsidRPr="00533B68">
          <w:t>1010</w:t>
        </w:r>
        <w:r>
          <w:rPr>
            <w:rFonts w:asciiTheme="minorHAnsi" w:eastAsiaTheme="minorEastAsia" w:hAnsiTheme="minorHAnsi" w:cstheme="minorBidi"/>
            <w:kern w:val="2"/>
            <w:sz w:val="24"/>
            <w:szCs w:val="24"/>
            <w:lang w:eastAsia="en-AU"/>
            <w14:ligatures w14:val="standardContextual"/>
          </w:rPr>
          <w:tab/>
        </w:r>
        <w:r w:rsidRPr="00533B68">
          <w:t>Offer not accepted and judgment no less favourable to plaintiff</w:t>
        </w:r>
        <w:r>
          <w:tab/>
        </w:r>
        <w:r>
          <w:fldChar w:fldCharType="begin"/>
        </w:r>
        <w:r>
          <w:instrText xml:space="preserve"> PAGEREF _Toc185513986 \h </w:instrText>
        </w:r>
        <w:r>
          <w:fldChar w:fldCharType="separate"/>
        </w:r>
        <w:r>
          <w:t>203</w:t>
        </w:r>
        <w:r>
          <w:fldChar w:fldCharType="end"/>
        </w:r>
      </w:hyperlink>
    </w:p>
    <w:p w14:paraId="6C9B8FA6" w14:textId="260A552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7" w:history="1">
        <w:r w:rsidRPr="00533B68">
          <w:t>1011</w:t>
        </w:r>
        <w:r>
          <w:rPr>
            <w:rFonts w:asciiTheme="minorHAnsi" w:eastAsiaTheme="minorEastAsia" w:hAnsiTheme="minorHAnsi" w:cstheme="minorBidi"/>
            <w:kern w:val="2"/>
            <w:sz w:val="24"/>
            <w:szCs w:val="24"/>
            <w:lang w:eastAsia="en-AU"/>
            <w14:ligatures w14:val="standardContextual"/>
          </w:rPr>
          <w:tab/>
        </w:r>
        <w:r w:rsidRPr="00533B68">
          <w:t>Offer not accepted and judgment no more favourable to plaintiff</w:t>
        </w:r>
        <w:r>
          <w:tab/>
        </w:r>
        <w:r>
          <w:fldChar w:fldCharType="begin"/>
        </w:r>
        <w:r>
          <w:instrText xml:space="preserve"> PAGEREF _Toc185513987 \h </w:instrText>
        </w:r>
        <w:r>
          <w:fldChar w:fldCharType="separate"/>
        </w:r>
        <w:r>
          <w:t>204</w:t>
        </w:r>
        <w:r>
          <w:fldChar w:fldCharType="end"/>
        </w:r>
      </w:hyperlink>
    </w:p>
    <w:p w14:paraId="26E2C280" w14:textId="7572C0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8" w:history="1">
        <w:r w:rsidRPr="00533B68">
          <w:t>1012</w:t>
        </w:r>
        <w:r>
          <w:rPr>
            <w:rFonts w:asciiTheme="minorHAnsi" w:eastAsiaTheme="minorEastAsia" w:hAnsiTheme="minorHAnsi" w:cstheme="minorBidi"/>
            <w:kern w:val="2"/>
            <w:sz w:val="24"/>
            <w:szCs w:val="24"/>
            <w:lang w:eastAsia="en-AU"/>
            <w14:ligatures w14:val="standardContextual"/>
          </w:rPr>
          <w:tab/>
        </w:r>
        <w:r w:rsidRPr="00533B68">
          <w:t>Offer not accepted and judgment no less favourable to defendant</w:t>
        </w:r>
        <w:r>
          <w:tab/>
        </w:r>
        <w:r>
          <w:fldChar w:fldCharType="begin"/>
        </w:r>
        <w:r>
          <w:instrText xml:space="preserve"> PAGEREF _Toc185513988 \h </w:instrText>
        </w:r>
        <w:r>
          <w:fldChar w:fldCharType="separate"/>
        </w:r>
        <w:r>
          <w:t>205</w:t>
        </w:r>
        <w:r>
          <w:fldChar w:fldCharType="end"/>
        </w:r>
      </w:hyperlink>
    </w:p>
    <w:p w14:paraId="644C7141" w14:textId="4E5368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89" w:history="1">
        <w:r w:rsidRPr="00533B68">
          <w:t>1013</w:t>
        </w:r>
        <w:r>
          <w:rPr>
            <w:rFonts w:asciiTheme="minorHAnsi" w:eastAsiaTheme="minorEastAsia" w:hAnsiTheme="minorHAnsi" w:cstheme="minorBidi"/>
            <w:kern w:val="2"/>
            <w:sz w:val="24"/>
            <w:szCs w:val="24"/>
            <w:lang w:eastAsia="en-AU"/>
            <w14:ligatures w14:val="standardContextual"/>
          </w:rPr>
          <w:tab/>
        </w:r>
        <w:r w:rsidRPr="00533B68">
          <w:t>Costs in relation to interest</w:t>
        </w:r>
        <w:r>
          <w:tab/>
        </w:r>
        <w:r>
          <w:fldChar w:fldCharType="begin"/>
        </w:r>
        <w:r>
          <w:instrText xml:space="preserve"> PAGEREF _Toc185513989 \h </w:instrText>
        </w:r>
        <w:r>
          <w:fldChar w:fldCharType="separate"/>
        </w:r>
        <w:r>
          <w:t>206</w:t>
        </w:r>
        <w:r>
          <w:fldChar w:fldCharType="end"/>
        </w:r>
      </w:hyperlink>
    </w:p>
    <w:p w14:paraId="63A1B2C3" w14:textId="70D7919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90" w:history="1">
        <w:r w:rsidRPr="00533B68">
          <w:t>1014</w:t>
        </w:r>
        <w:r>
          <w:rPr>
            <w:rFonts w:asciiTheme="minorHAnsi" w:eastAsiaTheme="minorEastAsia" w:hAnsiTheme="minorHAnsi" w:cstheme="minorBidi"/>
            <w:kern w:val="2"/>
            <w:sz w:val="24"/>
            <w:szCs w:val="24"/>
            <w:lang w:eastAsia="en-AU"/>
            <w14:ligatures w14:val="standardContextual"/>
          </w:rPr>
          <w:tab/>
        </w:r>
        <w:r w:rsidRPr="00533B68">
          <w:t>Miscellaneous</w:t>
        </w:r>
        <w:r>
          <w:tab/>
        </w:r>
        <w:r>
          <w:fldChar w:fldCharType="begin"/>
        </w:r>
        <w:r>
          <w:instrText xml:space="preserve"> PAGEREF _Toc185513990 \h </w:instrText>
        </w:r>
        <w:r>
          <w:fldChar w:fldCharType="separate"/>
        </w:r>
        <w:r>
          <w:t>206</w:t>
        </w:r>
        <w:r>
          <w:fldChar w:fldCharType="end"/>
        </w:r>
      </w:hyperlink>
    </w:p>
    <w:p w14:paraId="4D53CF1C" w14:textId="737171B3"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3991" w:history="1">
        <w:r w:rsidR="00AC5392" w:rsidRPr="00533B68">
          <w:t>Part 2.11</w:t>
        </w:r>
        <w:r w:rsidR="00AC5392">
          <w:rPr>
            <w:rFonts w:asciiTheme="minorHAnsi" w:eastAsiaTheme="minorEastAsia" w:hAnsiTheme="minorHAnsi" w:cstheme="minorBidi"/>
            <w:b w:val="0"/>
            <w:kern w:val="2"/>
            <w:szCs w:val="24"/>
            <w:lang w:eastAsia="en-AU"/>
            <w14:ligatures w14:val="standardContextual"/>
          </w:rPr>
          <w:tab/>
        </w:r>
        <w:r w:rsidR="00AC5392" w:rsidRPr="00533B68">
          <w:t>Resolving proceedings early</w:t>
        </w:r>
        <w:r w:rsidR="00AC5392" w:rsidRPr="00AC5392">
          <w:rPr>
            <w:vanish/>
          </w:rPr>
          <w:tab/>
        </w:r>
        <w:r w:rsidR="00AC5392" w:rsidRPr="00AC5392">
          <w:rPr>
            <w:vanish/>
          </w:rPr>
          <w:fldChar w:fldCharType="begin"/>
        </w:r>
        <w:r w:rsidR="00AC5392" w:rsidRPr="00AC5392">
          <w:rPr>
            <w:vanish/>
          </w:rPr>
          <w:instrText xml:space="preserve"> PAGEREF _Toc185513991 \h </w:instrText>
        </w:r>
        <w:r w:rsidR="00AC5392" w:rsidRPr="00AC5392">
          <w:rPr>
            <w:vanish/>
          </w:rPr>
        </w:r>
        <w:r w:rsidR="00AC5392" w:rsidRPr="00AC5392">
          <w:rPr>
            <w:vanish/>
          </w:rPr>
          <w:fldChar w:fldCharType="separate"/>
        </w:r>
        <w:r w:rsidR="00AC5392" w:rsidRPr="00AC5392">
          <w:rPr>
            <w:vanish/>
          </w:rPr>
          <w:t>208</w:t>
        </w:r>
        <w:r w:rsidR="00AC5392" w:rsidRPr="00AC5392">
          <w:rPr>
            <w:vanish/>
          </w:rPr>
          <w:fldChar w:fldCharType="end"/>
        </w:r>
      </w:hyperlink>
    </w:p>
    <w:p w14:paraId="233D5112" w14:textId="47AD3D4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92" w:history="1">
        <w:r w:rsidR="00AC5392" w:rsidRPr="00533B68">
          <w:t>Division 2.11.1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Uncontested debts and liquidated demands</w:t>
        </w:r>
        <w:r w:rsidR="00AC5392" w:rsidRPr="00AC5392">
          <w:rPr>
            <w:vanish/>
          </w:rPr>
          <w:tab/>
        </w:r>
        <w:r w:rsidR="00AC5392" w:rsidRPr="00AC5392">
          <w:rPr>
            <w:vanish/>
          </w:rPr>
          <w:fldChar w:fldCharType="begin"/>
        </w:r>
        <w:r w:rsidR="00AC5392" w:rsidRPr="00AC5392">
          <w:rPr>
            <w:vanish/>
          </w:rPr>
          <w:instrText xml:space="preserve"> PAGEREF _Toc185513992 \h </w:instrText>
        </w:r>
        <w:r w:rsidR="00AC5392" w:rsidRPr="00AC5392">
          <w:rPr>
            <w:vanish/>
          </w:rPr>
        </w:r>
        <w:r w:rsidR="00AC5392" w:rsidRPr="00AC5392">
          <w:rPr>
            <w:vanish/>
          </w:rPr>
          <w:fldChar w:fldCharType="separate"/>
        </w:r>
        <w:r w:rsidR="00AC5392" w:rsidRPr="00AC5392">
          <w:rPr>
            <w:vanish/>
          </w:rPr>
          <w:t>208</w:t>
        </w:r>
        <w:r w:rsidR="00AC5392" w:rsidRPr="00AC5392">
          <w:rPr>
            <w:vanish/>
          </w:rPr>
          <w:fldChar w:fldCharType="end"/>
        </w:r>
      </w:hyperlink>
    </w:p>
    <w:p w14:paraId="025BE899" w14:textId="18FA78C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93" w:history="1">
        <w:r w:rsidRPr="00533B68">
          <w:t>1100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prescribed costs amount</w:t>
        </w:r>
        <w:r w:rsidRPr="00533B68">
          <w:t>—div 2.11.1</w:t>
        </w:r>
        <w:r>
          <w:tab/>
        </w:r>
        <w:r>
          <w:fldChar w:fldCharType="begin"/>
        </w:r>
        <w:r>
          <w:instrText xml:space="preserve"> PAGEREF _Toc185513993 \h </w:instrText>
        </w:r>
        <w:r>
          <w:fldChar w:fldCharType="separate"/>
        </w:r>
        <w:r>
          <w:t>208</w:t>
        </w:r>
        <w:r>
          <w:fldChar w:fldCharType="end"/>
        </w:r>
      </w:hyperlink>
    </w:p>
    <w:p w14:paraId="1AF6ECE2" w14:textId="5BF903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94" w:history="1">
        <w:r w:rsidRPr="00533B68">
          <w:t>1101</w:t>
        </w:r>
        <w:r>
          <w:rPr>
            <w:rFonts w:asciiTheme="minorHAnsi" w:eastAsiaTheme="minorEastAsia" w:hAnsiTheme="minorHAnsi" w:cstheme="minorBidi"/>
            <w:kern w:val="2"/>
            <w:sz w:val="24"/>
            <w:szCs w:val="24"/>
            <w:lang w:eastAsia="en-AU"/>
            <w14:ligatures w14:val="standardContextual"/>
          </w:rPr>
          <w:tab/>
        </w:r>
        <w:r w:rsidRPr="00533B68">
          <w:t>Application—div 2.11.1</w:t>
        </w:r>
        <w:r>
          <w:tab/>
        </w:r>
        <w:r>
          <w:fldChar w:fldCharType="begin"/>
        </w:r>
        <w:r>
          <w:instrText xml:space="preserve"> PAGEREF _Toc185513994 \h </w:instrText>
        </w:r>
        <w:r>
          <w:fldChar w:fldCharType="separate"/>
        </w:r>
        <w:r>
          <w:t>208</w:t>
        </w:r>
        <w:r>
          <w:fldChar w:fldCharType="end"/>
        </w:r>
      </w:hyperlink>
    </w:p>
    <w:p w14:paraId="0DEA4F88" w14:textId="7B0DD3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95" w:history="1">
        <w:r w:rsidRPr="00533B68">
          <w:t>1102</w:t>
        </w:r>
        <w:r>
          <w:rPr>
            <w:rFonts w:asciiTheme="minorHAnsi" w:eastAsiaTheme="minorEastAsia" w:hAnsiTheme="minorHAnsi" w:cstheme="minorBidi"/>
            <w:kern w:val="2"/>
            <w:sz w:val="24"/>
            <w:szCs w:val="24"/>
            <w:lang w:eastAsia="en-AU"/>
            <w14:ligatures w14:val="standardContextual"/>
          </w:rPr>
          <w:tab/>
        </w:r>
        <w:r w:rsidRPr="00533B68">
          <w:t>Stay of debt etc proceeding on payment of amount sought</w:t>
        </w:r>
        <w:r>
          <w:tab/>
        </w:r>
        <w:r>
          <w:fldChar w:fldCharType="begin"/>
        </w:r>
        <w:r>
          <w:instrText xml:space="preserve"> PAGEREF _Toc185513995 \h </w:instrText>
        </w:r>
        <w:r>
          <w:fldChar w:fldCharType="separate"/>
        </w:r>
        <w:r>
          <w:t>208</w:t>
        </w:r>
        <w:r>
          <w:fldChar w:fldCharType="end"/>
        </w:r>
      </w:hyperlink>
    </w:p>
    <w:p w14:paraId="70F9CC13" w14:textId="5C76661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96" w:history="1">
        <w:r w:rsidRPr="00533B68">
          <w:t>1103</w:t>
        </w:r>
        <w:r>
          <w:rPr>
            <w:rFonts w:asciiTheme="minorHAnsi" w:eastAsiaTheme="minorEastAsia" w:hAnsiTheme="minorHAnsi" w:cstheme="minorBidi"/>
            <w:kern w:val="2"/>
            <w:sz w:val="24"/>
            <w:szCs w:val="24"/>
            <w:lang w:eastAsia="en-AU"/>
            <w14:ligatures w14:val="standardContextual"/>
          </w:rPr>
          <w:tab/>
        </w:r>
        <w:r w:rsidRPr="00533B68">
          <w:t>Assessment of costs for stayed debt etc proceeding</w:t>
        </w:r>
        <w:r>
          <w:tab/>
        </w:r>
        <w:r>
          <w:fldChar w:fldCharType="begin"/>
        </w:r>
        <w:r>
          <w:instrText xml:space="preserve"> PAGEREF _Toc185513996 \h </w:instrText>
        </w:r>
        <w:r>
          <w:fldChar w:fldCharType="separate"/>
        </w:r>
        <w:r>
          <w:t>209</w:t>
        </w:r>
        <w:r>
          <w:fldChar w:fldCharType="end"/>
        </w:r>
      </w:hyperlink>
    </w:p>
    <w:p w14:paraId="3A16F388" w14:textId="4537E6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97" w:history="1">
        <w:r w:rsidRPr="00533B68">
          <w:t>1104</w:t>
        </w:r>
        <w:r>
          <w:rPr>
            <w:rFonts w:asciiTheme="minorHAnsi" w:eastAsiaTheme="minorEastAsia" w:hAnsiTheme="minorHAnsi" w:cstheme="minorBidi"/>
            <w:kern w:val="2"/>
            <w:sz w:val="24"/>
            <w:szCs w:val="24"/>
            <w:lang w:eastAsia="en-AU"/>
            <w14:ligatures w14:val="standardContextual"/>
          </w:rPr>
          <w:tab/>
        </w:r>
        <w:r w:rsidRPr="00533B68">
          <w:t>Judgment on acknowledgment of debt or liquidated demand</w:t>
        </w:r>
        <w:r>
          <w:tab/>
        </w:r>
        <w:r>
          <w:fldChar w:fldCharType="begin"/>
        </w:r>
        <w:r>
          <w:instrText xml:space="preserve"> PAGEREF _Toc185513997 \h </w:instrText>
        </w:r>
        <w:r>
          <w:fldChar w:fldCharType="separate"/>
        </w:r>
        <w:r>
          <w:t>209</w:t>
        </w:r>
        <w:r>
          <w:fldChar w:fldCharType="end"/>
        </w:r>
      </w:hyperlink>
    </w:p>
    <w:p w14:paraId="1D898159" w14:textId="5C6EC84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3998" w:history="1">
        <w:r w:rsidR="00AC5392" w:rsidRPr="00533B68">
          <w:t>Division 2.11.2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Default by plaintiff</w:t>
        </w:r>
        <w:r w:rsidR="00AC5392" w:rsidRPr="00AC5392">
          <w:rPr>
            <w:vanish/>
          </w:rPr>
          <w:tab/>
        </w:r>
        <w:r w:rsidR="00AC5392" w:rsidRPr="00AC5392">
          <w:rPr>
            <w:vanish/>
          </w:rPr>
          <w:fldChar w:fldCharType="begin"/>
        </w:r>
        <w:r w:rsidR="00AC5392" w:rsidRPr="00AC5392">
          <w:rPr>
            <w:vanish/>
          </w:rPr>
          <w:instrText xml:space="preserve"> PAGEREF _Toc185513998 \h </w:instrText>
        </w:r>
        <w:r w:rsidR="00AC5392" w:rsidRPr="00AC5392">
          <w:rPr>
            <w:vanish/>
          </w:rPr>
        </w:r>
        <w:r w:rsidR="00AC5392" w:rsidRPr="00AC5392">
          <w:rPr>
            <w:vanish/>
          </w:rPr>
          <w:fldChar w:fldCharType="separate"/>
        </w:r>
        <w:r w:rsidR="00AC5392" w:rsidRPr="00AC5392">
          <w:rPr>
            <w:vanish/>
          </w:rPr>
          <w:t>211</w:t>
        </w:r>
        <w:r w:rsidR="00AC5392" w:rsidRPr="00AC5392">
          <w:rPr>
            <w:vanish/>
          </w:rPr>
          <w:fldChar w:fldCharType="end"/>
        </w:r>
      </w:hyperlink>
    </w:p>
    <w:p w14:paraId="3F33FE1C" w14:textId="0C96CF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3999" w:history="1">
        <w:r w:rsidRPr="00533B68">
          <w:t>1110</w:t>
        </w:r>
        <w:r>
          <w:rPr>
            <w:rFonts w:asciiTheme="minorHAnsi" w:eastAsiaTheme="minorEastAsia" w:hAnsiTheme="minorHAnsi" w:cstheme="minorBidi"/>
            <w:kern w:val="2"/>
            <w:sz w:val="24"/>
            <w:szCs w:val="24"/>
            <w:lang w:eastAsia="en-AU"/>
            <w14:ligatures w14:val="standardContextual"/>
          </w:rPr>
          <w:tab/>
        </w:r>
        <w:r w:rsidRPr="00533B68">
          <w:t>Default by plaintiff—dismissal of proceeding</w:t>
        </w:r>
        <w:r>
          <w:tab/>
        </w:r>
        <w:r>
          <w:fldChar w:fldCharType="begin"/>
        </w:r>
        <w:r>
          <w:instrText xml:space="preserve"> PAGEREF _Toc185513999 \h </w:instrText>
        </w:r>
        <w:r>
          <w:fldChar w:fldCharType="separate"/>
        </w:r>
        <w:r>
          <w:t>211</w:t>
        </w:r>
        <w:r>
          <w:fldChar w:fldCharType="end"/>
        </w:r>
      </w:hyperlink>
    </w:p>
    <w:p w14:paraId="48A85CA7" w14:textId="6F51863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00" w:history="1">
        <w:r w:rsidR="00AC5392" w:rsidRPr="00533B68">
          <w:t>Division 2.11.3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Default by defendant</w:t>
        </w:r>
        <w:r w:rsidR="00AC5392" w:rsidRPr="00AC5392">
          <w:rPr>
            <w:vanish/>
          </w:rPr>
          <w:tab/>
        </w:r>
        <w:r w:rsidR="00AC5392" w:rsidRPr="00AC5392">
          <w:rPr>
            <w:vanish/>
          </w:rPr>
          <w:fldChar w:fldCharType="begin"/>
        </w:r>
        <w:r w:rsidR="00AC5392" w:rsidRPr="00AC5392">
          <w:rPr>
            <w:vanish/>
          </w:rPr>
          <w:instrText xml:space="preserve"> PAGEREF _Toc185514000 \h </w:instrText>
        </w:r>
        <w:r w:rsidR="00AC5392" w:rsidRPr="00AC5392">
          <w:rPr>
            <w:vanish/>
          </w:rPr>
        </w:r>
        <w:r w:rsidR="00AC5392" w:rsidRPr="00AC5392">
          <w:rPr>
            <w:vanish/>
          </w:rPr>
          <w:fldChar w:fldCharType="separate"/>
        </w:r>
        <w:r w:rsidR="00AC5392" w:rsidRPr="00AC5392">
          <w:rPr>
            <w:vanish/>
          </w:rPr>
          <w:t>212</w:t>
        </w:r>
        <w:r w:rsidR="00AC5392" w:rsidRPr="00AC5392">
          <w:rPr>
            <w:vanish/>
          </w:rPr>
          <w:fldChar w:fldCharType="end"/>
        </w:r>
      </w:hyperlink>
    </w:p>
    <w:p w14:paraId="7DF73C65" w14:textId="10A26F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1" w:history="1">
        <w:r w:rsidRPr="00533B68">
          <w:t>1115</w:t>
        </w:r>
        <w:r>
          <w:rPr>
            <w:rFonts w:asciiTheme="minorHAnsi" w:eastAsiaTheme="minorEastAsia" w:hAnsiTheme="minorHAnsi" w:cstheme="minorBidi"/>
            <w:kern w:val="2"/>
            <w:sz w:val="24"/>
            <w:szCs w:val="24"/>
            <w:lang w:eastAsia="en-AU"/>
            <w14:ligatures w14:val="standardContextual"/>
          </w:rPr>
          <w:tab/>
        </w:r>
        <w:r w:rsidRPr="00533B68">
          <w:t>Definitions—div 2.11.3</w:t>
        </w:r>
        <w:r>
          <w:tab/>
        </w:r>
        <w:r>
          <w:fldChar w:fldCharType="begin"/>
        </w:r>
        <w:r>
          <w:instrText xml:space="preserve"> PAGEREF _Toc185514001 \h </w:instrText>
        </w:r>
        <w:r>
          <w:fldChar w:fldCharType="separate"/>
        </w:r>
        <w:r>
          <w:t>212</w:t>
        </w:r>
        <w:r>
          <w:fldChar w:fldCharType="end"/>
        </w:r>
      </w:hyperlink>
    </w:p>
    <w:p w14:paraId="10D4E4B5" w14:textId="42922A90"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002" w:history="1">
        <w:r w:rsidRPr="00533B68">
          <w:t>1116</w:t>
        </w:r>
        <w:r>
          <w:rPr>
            <w:rFonts w:asciiTheme="minorHAnsi" w:eastAsiaTheme="minorEastAsia" w:hAnsiTheme="minorHAnsi" w:cstheme="minorBidi"/>
            <w:kern w:val="2"/>
            <w:sz w:val="24"/>
            <w:szCs w:val="24"/>
            <w:lang w:eastAsia="en-AU"/>
            <w14:ligatures w14:val="standardContextual"/>
          </w:rPr>
          <w:tab/>
        </w:r>
        <w:r w:rsidRPr="00533B68">
          <w:t>Application—div 2.11.3</w:t>
        </w:r>
        <w:r>
          <w:tab/>
        </w:r>
        <w:r>
          <w:fldChar w:fldCharType="begin"/>
        </w:r>
        <w:r>
          <w:instrText xml:space="preserve"> PAGEREF _Toc185514002 \h </w:instrText>
        </w:r>
        <w:r>
          <w:fldChar w:fldCharType="separate"/>
        </w:r>
        <w:r>
          <w:t>213</w:t>
        </w:r>
        <w:r>
          <w:fldChar w:fldCharType="end"/>
        </w:r>
      </w:hyperlink>
    </w:p>
    <w:p w14:paraId="5256AA87" w14:textId="7C77A10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3" w:history="1">
        <w:r w:rsidRPr="00533B68">
          <w:t>1117</w:t>
        </w:r>
        <w:r>
          <w:rPr>
            <w:rFonts w:asciiTheme="minorHAnsi" w:eastAsiaTheme="minorEastAsia" w:hAnsiTheme="minorHAnsi" w:cstheme="minorBidi"/>
            <w:kern w:val="2"/>
            <w:sz w:val="24"/>
            <w:szCs w:val="24"/>
            <w:lang w:eastAsia="en-AU"/>
            <w14:ligatures w14:val="standardContextual"/>
          </w:rPr>
          <w:tab/>
        </w:r>
        <w:r w:rsidRPr="00533B68">
          <w:t xml:space="preserve">When is a defendant </w:t>
        </w:r>
        <w:r w:rsidRPr="00533B68">
          <w:rPr>
            <w:i/>
          </w:rPr>
          <w:t>in default</w:t>
        </w:r>
        <w:r w:rsidRPr="00533B68">
          <w:t>—generally</w:t>
        </w:r>
        <w:r>
          <w:tab/>
        </w:r>
        <w:r>
          <w:fldChar w:fldCharType="begin"/>
        </w:r>
        <w:r>
          <w:instrText xml:space="preserve"> PAGEREF _Toc185514003 \h </w:instrText>
        </w:r>
        <w:r>
          <w:fldChar w:fldCharType="separate"/>
        </w:r>
        <w:r>
          <w:t>213</w:t>
        </w:r>
        <w:r>
          <w:fldChar w:fldCharType="end"/>
        </w:r>
      </w:hyperlink>
    </w:p>
    <w:p w14:paraId="61D8CE6A" w14:textId="1468F3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4" w:history="1">
        <w:r w:rsidRPr="00533B68">
          <w:t>1118</w:t>
        </w:r>
        <w:r>
          <w:rPr>
            <w:rFonts w:asciiTheme="minorHAnsi" w:eastAsiaTheme="minorEastAsia" w:hAnsiTheme="minorHAnsi" w:cstheme="minorBidi"/>
            <w:kern w:val="2"/>
            <w:sz w:val="24"/>
            <w:szCs w:val="24"/>
            <w:lang w:eastAsia="en-AU"/>
            <w14:ligatures w14:val="standardContextual"/>
          </w:rPr>
          <w:tab/>
        </w:r>
        <w:r w:rsidRPr="00533B68">
          <w:t>Default judgment—generally</w:t>
        </w:r>
        <w:r>
          <w:tab/>
        </w:r>
        <w:r>
          <w:fldChar w:fldCharType="begin"/>
        </w:r>
        <w:r>
          <w:instrText xml:space="preserve"> PAGEREF _Toc185514004 \h </w:instrText>
        </w:r>
        <w:r>
          <w:fldChar w:fldCharType="separate"/>
        </w:r>
        <w:r>
          <w:t>216</w:t>
        </w:r>
        <w:r>
          <w:fldChar w:fldCharType="end"/>
        </w:r>
      </w:hyperlink>
    </w:p>
    <w:p w14:paraId="55739C63" w14:textId="196418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5" w:history="1">
        <w:r w:rsidRPr="00533B68">
          <w:t>1119</w:t>
        </w:r>
        <w:r>
          <w:rPr>
            <w:rFonts w:asciiTheme="minorHAnsi" w:eastAsiaTheme="minorEastAsia" w:hAnsiTheme="minorHAnsi" w:cstheme="minorBidi"/>
            <w:kern w:val="2"/>
            <w:sz w:val="24"/>
            <w:szCs w:val="24"/>
            <w:lang w:eastAsia="en-AU"/>
            <w14:ligatures w14:val="standardContextual"/>
          </w:rPr>
          <w:tab/>
        </w:r>
        <w:r w:rsidRPr="00533B68">
          <w:t>Default judgment—relevant affidavits</w:t>
        </w:r>
        <w:r>
          <w:tab/>
        </w:r>
        <w:r>
          <w:fldChar w:fldCharType="begin"/>
        </w:r>
        <w:r>
          <w:instrText xml:space="preserve"> PAGEREF _Toc185514005 \h </w:instrText>
        </w:r>
        <w:r>
          <w:fldChar w:fldCharType="separate"/>
        </w:r>
        <w:r>
          <w:t>217</w:t>
        </w:r>
        <w:r>
          <w:fldChar w:fldCharType="end"/>
        </w:r>
      </w:hyperlink>
    </w:p>
    <w:p w14:paraId="4F4360AC" w14:textId="300FDB6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6" w:history="1">
        <w:r w:rsidRPr="00533B68">
          <w:t>1120</w:t>
        </w:r>
        <w:r>
          <w:rPr>
            <w:rFonts w:asciiTheme="minorHAnsi" w:eastAsiaTheme="minorEastAsia" w:hAnsiTheme="minorHAnsi" w:cstheme="minorBidi"/>
            <w:kern w:val="2"/>
            <w:sz w:val="24"/>
            <w:szCs w:val="24"/>
            <w:lang w:eastAsia="en-AU"/>
            <w14:ligatures w14:val="standardContextual"/>
          </w:rPr>
          <w:tab/>
        </w:r>
        <w:r w:rsidRPr="00533B68">
          <w:t>Default judgment—debt or liquidated demand</w:t>
        </w:r>
        <w:r>
          <w:tab/>
        </w:r>
        <w:r>
          <w:fldChar w:fldCharType="begin"/>
        </w:r>
        <w:r>
          <w:instrText xml:space="preserve"> PAGEREF _Toc185514006 \h </w:instrText>
        </w:r>
        <w:r>
          <w:fldChar w:fldCharType="separate"/>
        </w:r>
        <w:r>
          <w:t>218</w:t>
        </w:r>
        <w:r>
          <w:fldChar w:fldCharType="end"/>
        </w:r>
      </w:hyperlink>
    </w:p>
    <w:p w14:paraId="66E09719" w14:textId="6B60DF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7" w:history="1">
        <w:r w:rsidRPr="00533B68">
          <w:t>1121</w:t>
        </w:r>
        <w:r>
          <w:rPr>
            <w:rFonts w:asciiTheme="minorHAnsi" w:eastAsiaTheme="minorEastAsia" w:hAnsiTheme="minorHAnsi" w:cstheme="minorBidi"/>
            <w:kern w:val="2"/>
            <w:sz w:val="24"/>
            <w:szCs w:val="24"/>
            <w:lang w:eastAsia="en-AU"/>
            <w14:ligatures w14:val="standardContextual"/>
          </w:rPr>
          <w:tab/>
        </w:r>
        <w:r w:rsidRPr="00533B68">
          <w:t>Default judgment for debt or liquidated demand—assessment of costs</w:t>
        </w:r>
        <w:r>
          <w:tab/>
        </w:r>
        <w:r>
          <w:fldChar w:fldCharType="begin"/>
        </w:r>
        <w:r>
          <w:instrText xml:space="preserve"> PAGEREF _Toc185514007 \h </w:instrText>
        </w:r>
        <w:r>
          <w:fldChar w:fldCharType="separate"/>
        </w:r>
        <w:r>
          <w:t>219</w:t>
        </w:r>
        <w:r>
          <w:fldChar w:fldCharType="end"/>
        </w:r>
      </w:hyperlink>
    </w:p>
    <w:p w14:paraId="51119A82" w14:textId="7E57E20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8" w:history="1">
        <w:r w:rsidRPr="00533B68">
          <w:t>1122</w:t>
        </w:r>
        <w:r>
          <w:rPr>
            <w:rFonts w:asciiTheme="minorHAnsi" w:eastAsiaTheme="minorEastAsia" w:hAnsiTheme="minorHAnsi" w:cstheme="minorBidi"/>
            <w:kern w:val="2"/>
            <w:sz w:val="24"/>
            <w:szCs w:val="24"/>
            <w:lang w:eastAsia="en-AU"/>
            <w14:ligatures w14:val="standardContextual"/>
          </w:rPr>
          <w:tab/>
        </w:r>
        <w:r w:rsidRPr="00533B68">
          <w:t>Default judgment—unliquidated damages</w:t>
        </w:r>
        <w:r>
          <w:tab/>
        </w:r>
        <w:r>
          <w:fldChar w:fldCharType="begin"/>
        </w:r>
        <w:r>
          <w:instrText xml:space="preserve"> PAGEREF _Toc185514008 \h </w:instrText>
        </w:r>
        <w:r>
          <w:fldChar w:fldCharType="separate"/>
        </w:r>
        <w:r>
          <w:t>220</w:t>
        </w:r>
        <w:r>
          <w:fldChar w:fldCharType="end"/>
        </w:r>
      </w:hyperlink>
    </w:p>
    <w:p w14:paraId="2B6153CE" w14:textId="0C864C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09" w:history="1">
        <w:r w:rsidRPr="00533B68">
          <w:t>1123</w:t>
        </w:r>
        <w:r>
          <w:rPr>
            <w:rFonts w:asciiTheme="minorHAnsi" w:eastAsiaTheme="minorEastAsia" w:hAnsiTheme="minorHAnsi" w:cstheme="minorBidi"/>
            <w:kern w:val="2"/>
            <w:sz w:val="24"/>
            <w:szCs w:val="24"/>
            <w:lang w:eastAsia="en-AU"/>
            <w14:ligatures w14:val="standardContextual"/>
          </w:rPr>
          <w:tab/>
        </w:r>
        <w:r w:rsidRPr="00533B68">
          <w:t>Default judgment—detention of goods</w:t>
        </w:r>
        <w:r>
          <w:tab/>
        </w:r>
        <w:r>
          <w:fldChar w:fldCharType="begin"/>
        </w:r>
        <w:r>
          <w:instrText xml:space="preserve"> PAGEREF _Toc185514009 \h </w:instrText>
        </w:r>
        <w:r>
          <w:fldChar w:fldCharType="separate"/>
        </w:r>
        <w:r>
          <w:t>221</w:t>
        </w:r>
        <w:r>
          <w:fldChar w:fldCharType="end"/>
        </w:r>
      </w:hyperlink>
    </w:p>
    <w:p w14:paraId="4FD8D2DD" w14:textId="173F37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0" w:history="1">
        <w:r w:rsidRPr="00533B68">
          <w:t>1124</w:t>
        </w:r>
        <w:r>
          <w:rPr>
            <w:rFonts w:asciiTheme="minorHAnsi" w:eastAsiaTheme="minorEastAsia" w:hAnsiTheme="minorHAnsi" w:cstheme="minorBidi"/>
            <w:kern w:val="2"/>
            <w:sz w:val="24"/>
            <w:szCs w:val="24"/>
            <w:lang w:eastAsia="en-AU"/>
            <w14:ligatures w14:val="standardContextual"/>
          </w:rPr>
          <w:tab/>
        </w:r>
        <w:r w:rsidRPr="00533B68">
          <w:t>Default judgment—recovery of possession of land</w:t>
        </w:r>
        <w:r>
          <w:tab/>
        </w:r>
        <w:r>
          <w:fldChar w:fldCharType="begin"/>
        </w:r>
        <w:r>
          <w:instrText xml:space="preserve"> PAGEREF _Toc185514010 \h </w:instrText>
        </w:r>
        <w:r>
          <w:fldChar w:fldCharType="separate"/>
        </w:r>
        <w:r>
          <w:t>222</w:t>
        </w:r>
        <w:r>
          <w:fldChar w:fldCharType="end"/>
        </w:r>
      </w:hyperlink>
    </w:p>
    <w:p w14:paraId="4C1E37A2" w14:textId="6F3601A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1" w:history="1">
        <w:r w:rsidRPr="00533B68">
          <w:t>1125</w:t>
        </w:r>
        <w:r>
          <w:rPr>
            <w:rFonts w:asciiTheme="minorHAnsi" w:eastAsiaTheme="minorEastAsia" w:hAnsiTheme="minorHAnsi" w:cstheme="minorBidi"/>
            <w:kern w:val="2"/>
            <w:sz w:val="24"/>
            <w:szCs w:val="24"/>
            <w:lang w:eastAsia="en-AU"/>
            <w14:ligatures w14:val="standardContextual"/>
          </w:rPr>
          <w:tab/>
        </w:r>
        <w:r w:rsidRPr="00533B68">
          <w:t>Default judgment—mixed claims</w:t>
        </w:r>
        <w:r>
          <w:tab/>
        </w:r>
        <w:r>
          <w:fldChar w:fldCharType="begin"/>
        </w:r>
        <w:r>
          <w:instrText xml:space="preserve"> PAGEREF _Toc185514011 \h </w:instrText>
        </w:r>
        <w:r>
          <w:fldChar w:fldCharType="separate"/>
        </w:r>
        <w:r>
          <w:t>224</w:t>
        </w:r>
        <w:r>
          <w:fldChar w:fldCharType="end"/>
        </w:r>
      </w:hyperlink>
    </w:p>
    <w:p w14:paraId="3E492967" w14:textId="05EA91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2" w:history="1">
        <w:r w:rsidRPr="00533B68">
          <w:t>1126</w:t>
        </w:r>
        <w:r>
          <w:rPr>
            <w:rFonts w:asciiTheme="minorHAnsi" w:eastAsiaTheme="minorEastAsia" w:hAnsiTheme="minorHAnsi" w:cstheme="minorBidi"/>
            <w:kern w:val="2"/>
            <w:sz w:val="24"/>
            <w:szCs w:val="24"/>
            <w:lang w:eastAsia="en-AU"/>
            <w14:ligatures w14:val="standardContextual"/>
          </w:rPr>
          <w:tab/>
        </w:r>
        <w:r w:rsidRPr="00533B68">
          <w:t>Default judgment—other claims</w:t>
        </w:r>
        <w:r>
          <w:tab/>
        </w:r>
        <w:r>
          <w:fldChar w:fldCharType="begin"/>
        </w:r>
        <w:r>
          <w:instrText xml:space="preserve"> PAGEREF _Toc185514012 \h </w:instrText>
        </w:r>
        <w:r>
          <w:fldChar w:fldCharType="separate"/>
        </w:r>
        <w:r>
          <w:t>224</w:t>
        </w:r>
        <w:r>
          <w:fldChar w:fldCharType="end"/>
        </w:r>
      </w:hyperlink>
    </w:p>
    <w:p w14:paraId="17C62F4F" w14:textId="12DFA4D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3" w:history="1">
        <w:r w:rsidRPr="00533B68">
          <w:t>1127</w:t>
        </w:r>
        <w:r>
          <w:rPr>
            <w:rFonts w:asciiTheme="minorHAnsi" w:eastAsiaTheme="minorEastAsia" w:hAnsiTheme="minorHAnsi" w:cstheme="minorBidi"/>
            <w:kern w:val="2"/>
            <w:sz w:val="24"/>
            <w:szCs w:val="24"/>
            <w:lang w:eastAsia="en-AU"/>
            <w14:ligatures w14:val="standardContextual"/>
          </w:rPr>
          <w:tab/>
        </w:r>
        <w:r w:rsidRPr="00533B68">
          <w:t>Default judgment—costs only</w:t>
        </w:r>
        <w:r>
          <w:tab/>
        </w:r>
        <w:r>
          <w:fldChar w:fldCharType="begin"/>
        </w:r>
        <w:r>
          <w:instrText xml:space="preserve"> PAGEREF _Toc185514013 \h </w:instrText>
        </w:r>
        <w:r>
          <w:fldChar w:fldCharType="separate"/>
        </w:r>
        <w:r>
          <w:t>225</w:t>
        </w:r>
        <w:r>
          <w:fldChar w:fldCharType="end"/>
        </w:r>
      </w:hyperlink>
    </w:p>
    <w:p w14:paraId="2911A9D7" w14:textId="28C4CB2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4" w:history="1">
        <w:r w:rsidRPr="00533B68">
          <w:t>1128</w:t>
        </w:r>
        <w:r>
          <w:rPr>
            <w:rFonts w:asciiTheme="minorHAnsi" w:eastAsiaTheme="minorEastAsia" w:hAnsiTheme="minorHAnsi" w:cstheme="minorBidi"/>
            <w:kern w:val="2"/>
            <w:sz w:val="24"/>
            <w:szCs w:val="24"/>
            <w:lang w:eastAsia="en-AU"/>
            <w14:ligatures w14:val="standardContextual"/>
          </w:rPr>
          <w:tab/>
        </w:r>
        <w:r w:rsidRPr="00533B68">
          <w:t>Default judgment—setting aside etc</w:t>
        </w:r>
        <w:r>
          <w:tab/>
        </w:r>
        <w:r>
          <w:fldChar w:fldCharType="begin"/>
        </w:r>
        <w:r>
          <w:instrText xml:space="preserve"> PAGEREF _Toc185514014 \h </w:instrText>
        </w:r>
        <w:r>
          <w:fldChar w:fldCharType="separate"/>
        </w:r>
        <w:r>
          <w:t>225</w:t>
        </w:r>
        <w:r>
          <w:fldChar w:fldCharType="end"/>
        </w:r>
      </w:hyperlink>
    </w:p>
    <w:p w14:paraId="25AD632A" w14:textId="7697FCF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15" w:history="1">
        <w:r w:rsidR="00AC5392" w:rsidRPr="00533B68">
          <w:t>Division 2.11.4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Default by defendant—partial defence</w:t>
        </w:r>
        <w:r w:rsidR="00AC5392" w:rsidRPr="00AC5392">
          <w:rPr>
            <w:vanish/>
          </w:rPr>
          <w:tab/>
        </w:r>
        <w:r w:rsidR="00AC5392" w:rsidRPr="00AC5392">
          <w:rPr>
            <w:vanish/>
          </w:rPr>
          <w:fldChar w:fldCharType="begin"/>
        </w:r>
        <w:r w:rsidR="00AC5392" w:rsidRPr="00AC5392">
          <w:rPr>
            <w:vanish/>
          </w:rPr>
          <w:instrText xml:space="preserve"> PAGEREF _Toc185514015 \h </w:instrText>
        </w:r>
        <w:r w:rsidR="00AC5392" w:rsidRPr="00AC5392">
          <w:rPr>
            <w:vanish/>
          </w:rPr>
        </w:r>
        <w:r w:rsidR="00AC5392" w:rsidRPr="00AC5392">
          <w:rPr>
            <w:vanish/>
          </w:rPr>
          <w:fldChar w:fldCharType="separate"/>
        </w:r>
        <w:r w:rsidR="00AC5392" w:rsidRPr="00AC5392">
          <w:rPr>
            <w:vanish/>
          </w:rPr>
          <w:t>226</w:t>
        </w:r>
        <w:r w:rsidR="00AC5392" w:rsidRPr="00AC5392">
          <w:rPr>
            <w:vanish/>
          </w:rPr>
          <w:fldChar w:fldCharType="end"/>
        </w:r>
      </w:hyperlink>
    </w:p>
    <w:p w14:paraId="07C215BB" w14:textId="20B1EC8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6" w:history="1">
        <w:r w:rsidRPr="00533B68">
          <w:t>1135</w:t>
        </w:r>
        <w:r>
          <w:rPr>
            <w:rFonts w:asciiTheme="minorHAnsi" w:eastAsiaTheme="minorEastAsia" w:hAnsiTheme="minorHAnsi" w:cstheme="minorBidi"/>
            <w:kern w:val="2"/>
            <w:sz w:val="24"/>
            <w:szCs w:val="24"/>
            <w:lang w:eastAsia="en-AU"/>
            <w14:ligatures w14:val="standardContextual"/>
          </w:rPr>
          <w:tab/>
        </w:r>
        <w:r w:rsidRPr="00533B68">
          <w:t>Definitions—div 2.11.4</w:t>
        </w:r>
        <w:r>
          <w:tab/>
        </w:r>
        <w:r>
          <w:fldChar w:fldCharType="begin"/>
        </w:r>
        <w:r>
          <w:instrText xml:space="preserve"> PAGEREF _Toc185514016 \h </w:instrText>
        </w:r>
        <w:r>
          <w:fldChar w:fldCharType="separate"/>
        </w:r>
        <w:r>
          <w:t>226</w:t>
        </w:r>
        <w:r>
          <w:fldChar w:fldCharType="end"/>
        </w:r>
      </w:hyperlink>
    </w:p>
    <w:p w14:paraId="3BC867BF" w14:textId="64CC100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7" w:history="1">
        <w:r w:rsidRPr="00533B68">
          <w:t>1136</w:t>
        </w:r>
        <w:r>
          <w:rPr>
            <w:rFonts w:asciiTheme="minorHAnsi" w:eastAsiaTheme="minorEastAsia" w:hAnsiTheme="minorHAnsi" w:cstheme="minorBidi"/>
            <w:kern w:val="2"/>
            <w:sz w:val="24"/>
            <w:szCs w:val="24"/>
            <w:lang w:eastAsia="en-AU"/>
            <w14:ligatures w14:val="standardContextual"/>
          </w:rPr>
          <w:tab/>
        </w:r>
        <w:r w:rsidRPr="00533B68">
          <w:t>Application—div 2.11.4</w:t>
        </w:r>
        <w:r>
          <w:tab/>
        </w:r>
        <w:r>
          <w:fldChar w:fldCharType="begin"/>
        </w:r>
        <w:r>
          <w:instrText xml:space="preserve"> PAGEREF _Toc185514017 \h </w:instrText>
        </w:r>
        <w:r>
          <w:fldChar w:fldCharType="separate"/>
        </w:r>
        <w:r>
          <w:t>226</w:t>
        </w:r>
        <w:r>
          <w:fldChar w:fldCharType="end"/>
        </w:r>
      </w:hyperlink>
    </w:p>
    <w:p w14:paraId="1240E8CD" w14:textId="039072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8" w:history="1">
        <w:r w:rsidRPr="00533B68">
          <w:t>1137</w:t>
        </w:r>
        <w:r>
          <w:rPr>
            <w:rFonts w:asciiTheme="minorHAnsi" w:eastAsiaTheme="minorEastAsia" w:hAnsiTheme="minorHAnsi" w:cstheme="minorBidi"/>
            <w:kern w:val="2"/>
            <w:sz w:val="24"/>
            <w:szCs w:val="24"/>
            <w:lang w:eastAsia="en-AU"/>
            <w14:ligatures w14:val="standardContextual"/>
          </w:rPr>
          <w:tab/>
        </w:r>
        <w:r w:rsidRPr="00533B68">
          <w:t xml:space="preserve">When is a defendant </w:t>
        </w:r>
        <w:r w:rsidRPr="00533B68">
          <w:rPr>
            <w:i/>
          </w:rPr>
          <w:t>in default</w:t>
        </w:r>
        <w:r w:rsidRPr="00533B68">
          <w:t>—partial defence</w:t>
        </w:r>
        <w:r>
          <w:tab/>
        </w:r>
        <w:r>
          <w:fldChar w:fldCharType="begin"/>
        </w:r>
        <w:r>
          <w:instrText xml:space="preserve"> PAGEREF _Toc185514018 \h </w:instrText>
        </w:r>
        <w:r>
          <w:fldChar w:fldCharType="separate"/>
        </w:r>
        <w:r>
          <w:t>227</w:t>
        </w:r>
        <w:r>
          <w:fldChar w:fldCharType="end"/>
        </w:r>
      </w:hyperlink>
    </w:p>
    <w:p w14:paraId="5F2FAEDA" w14:textId="578F1A2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19" w:history="1">
        <w:r w:rsidRPr="00533B68">
          <w:t>1138</w:t>
        </w:r>
        <w:r>
          <w:rPr>
            <w:rFonts w:asciiTheme="minorHAnsi" w:eastAsiaTheme="minorEastAsia" w:hAnsiTheme="minorHAnsi" w:cstheme="minorBidi"/>
            <w:kern w:val="2"/>
            <w:sz w:val="24"/>
            <w:szCs w:val="24"/>
            <w:lang w:eastAsia="en-AU"/>
            <w14:ligatures w14:val="standardContextual"/>
          </w:rPr>
          <w:tab/>
        </w:r>
        <w:r w:rsidRPr="00533B68">
          <w:t>Default judgment—partial defence</w:t>
        </w:r>
        <w:r>
          <w:tab/>
        </w:r>
        <w:r>
          <w:fldChar w:fldCharType="begin"/>
        </w:r>
        <w:r>
          <w:instrText xml:space="preserve"> PAGEREF _Toc185514019 \h </w:instrText>
        </w:r>
        <w:r>
          <w:fldChar w:fldCharType="separate"/>
        </w:r>
        <w:r>
          <w:t>228</w:t>
        </w:r>
        <w:r>
          <w:fldChar w:fldCharType="end"/>
        </w:r>
      </w:hyperlink>
    </w:p>
    <w:p w14:paraId="4353CBBE" w14:textId="27EAFAF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0" w:history="1">
        <w:r w:rsidRPr="00533B68">
          <w:t>1139</w:t>
        </w:r>
        <w:r>
          <w:rPr>
            <w:rFonts w:asciiTheme="minorHAnsi" w:eastAsiaTheme="minorEastAsia" w:hAnsiTheme="minorHAnsi" w:cstheme="minorBidi"/>
            <w:kern w:val="2"/>
            <w:sz w:val="24"/>
            <w:szCs w:val="24"/>
            <w:lang w:eastAsia="en-AU"/>
            <w14:ligatures w14:val="standardContextual"/>
          </w:rPr>
          <w:tab/>
        </w:r>
        <w:r w:rsidRPr="00533B68">
          <w:t>Default judgment—application of div 2.11.3</w:t>
        </w:r>
        <w:r>
          <w:tab/>
        </w:r>
        <w:r>
          <w:fldChar w:fldCharType="begin"/>
        </w:r>
        <w:r>
          <w:instrText xml:space="preserve"> PAGEREF _Toc185514020 \h </w:instrText>
        </w:r>
        <w:r>
          <w:fldChar w:fldCharType="separate"/>
        </w:r>
        <w:r>
          <w:t>229</w:t>
        </w:r>
        <w:r>
          <w:fldChar w:fldCharType="end"/>
        </w:r>
      </w:hyperlink>
    </w:p>
    <w:p w14:paraId="00BC1D1B" w14:textId="5BD32AB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21" w:history="1">
        <w:r w:rsidR="00AC5392" w:rsidRPr="00533B68">
          <w:t>Division 2.11.5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Summary judgment</w:t>
        </w:r>
        <w:r w:rsidR="00AC5392" w:rsidRPr="00AC5392">
          <w:rPr>
            <w:vanish/>
          </w:rPr>
          <w:tab/>
        </w:r>
        <w:r w:rsidR="00AC5392" w:rsidRPr="00AC5392">
          <w:rPr>
            <w:vanish/>
          </w:rPr>
          <w:fldChar w:fldCharType="begin"/>
        </w:r>
        <w:r w:rsidR="00AC5392" w:rsidRPr="00AC5392">
          <w:rPr>
            <w:vanish/>
          </w:rPr>
          <w:instrText xml:space="preserve"> PAGEREF _Toc185514021 \h </w:instrText>
        </w:r>
        <w:r w:rsidR="00AC5392" w:rsidRPr="00AC5392">
          <w:rPr>
            <w:vanish/>
          </w:rPr>
        </w:r>
        <w:r w:rsidR="00AC5392" w:rsidRPr="00AC5392">
          <w:rPr>
            <w:vanish/>
          </w:rPr>
          <w:fldChar w:fldCharType="separate"/>
        </w:r>
        <w:r w:rsidR="00AC5392" w:rsidRPr="00AC5392">
          <w:rPr>
            <w:vanish/>
          </w:rPr>
          <w:t>230</w:t>
        </w:r>
        <w:r w:rsidR="00AC5392" w:rsidRPr="00AC5392">
          <w:rPr>
            <w:vanish/>
          </w:rPr>
          <w:fldChar w:fldCharType="end"/>
        </w:r>
      </w:hyperlink>
    </w:p>
    <w:p w14:paraId="4BB5498F" w14:textId="7CA9F9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2" w:history="1">
        <w:r w:rsidRPr="00533B68">
          <w:t>1145</w:t>
        </w:r>
        <w:r>
          <w:rPr>
            <w:rFonts w:asciiTheme="minorHAnsi" w:eastAsiaTheme="minorEastAsia" w:hAnsiTheme="minorHAnsi" w:cstheme="minorBidi"/>
            <w:kern w:val="2"/>
            <w:sz w:val="24"/>
            <w:szCs w:val="24"/>
            <w:lang w:eastAsia="en-AU"/>
            <w14:ligatures w14:val="standardContextual"/>
          </w:rPr>
          <w:tab/>
        </w:r>
        <w:r w:rsidRPr="00533B68">
          <w:t>Application—div 2.11.5</w:t>
        </w:r>
        <w:r>
          <w:tab/>
        </w:r>
        <w:r>
          <w:fldChar w:fldCharType="begin"/>
        </w:r>
        <w:r>
          <w:instrText xml:space="preserve"> PAGEREF _Toc185514022 \h </w:instrText>
        </w:r>
        <w:r>
          <w:fldChar w:fldCharType="separate"/>
        </w:r>
        <w:r>
          <w:t>230</w:t>
        </w:r>
        <w:r>
          <w:fldChar w:fldCharType="end"/>
        </w:r>
      </w:hyperlink>
    </w:p>
    <w:p w14:paraId="04D3C7FF" w14:textId="1FCCA0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3" w:history="1">
        <w:r w:rsidRPr="00533B68">
          <w:t>1146</w:t>
        </w:r>
        <w:r>
          <w:rPr>
            <w:rFonts w:asciiTheme="minorHAnsi" w:eastAsiaTheme="minorEastAsia" w:hAnsiTheme="minorHAnsi" w:cstheme="minorBidi"/>
            <w:kern w:val="2"/>
            <w:sz w:val="24"/>
            <w:szCs w:val="24"/>
            <w:lang w:eastAsia="en-AU"/>
            <w14:ligatures w14:val="standardContextual"/>
          </w:rPr>
          <w:tab/>
        </w:r>
        <w:r w:rsidRPr="00533B68">
          <w:t>Summary judgment—for plaintiff</w:t>
        </w:r>
        <w:r>
          <w:tab/>
        </w:r>
        <w:r>
          <w:fldChar w:fldCharType="begin"/>
        </w:r>
        <w:r>
          <w:instrText xml:space="preserve"> PAGEREF _Toc185514023 \h </w:instrText>
        </w:r>
        <w:r>
          <w:fldChar w:fldCharType="separate"/>
        </w:r>
        <w:r>
          <w:t>230</w:t>
        </w:r>
        <w:r>
          <w:fldChar w:fldCharType="end"/>
        </w:r>
      </w:hyperlink>
    </w:p>
    <w:p w14:paraId="4BAC46CC" w14:textId="0830D09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4" w:history="1">
        <w:r w:rsidRPr="00533B68">
          <w:t>1147</w:t>
        </w:r>
        <w:r>
          <w:rPr>
            <w:rFonts w:asciiTheme="minorHAnsi" w:eastAsiaTheme="minorEastAsia" w:hAnsiTheme="minorHAnsi" w:cstheme="minorBidi"/>
            <w:kern w:val="2"/>
            <w:sz w:val="24"/>
            <w:szCs w:val="24"/>
            <w:lang w:eastAsia="en-AU"/>
            <w14:ligatures w14:val="standardContextual"/>
          </w:rPr>
          <w:tab/>
        </w:r>
        <w:r w:rsidRPr="00533B68">
          <w:t>Summary judgment—for defendant</w:t>
        </w:r>
        <w:r>
          <w:tab/>
        </w:r>
        <w:r>
          <w:fldChar w:fldCharType="begin"/>
        </w:r>
        <w:r>
          <w:instrText xml:space="preserve"> PAGEREF _Toc185514024 \h </w:instrText>
        </w:r>
        <w:r>
          <w:fldChar w:fldCharType="separate"/>
        </w:r>
        <w:r>
          <w:t>231</w:t>
        </w:r>
        <w:r>
          <w:fldChar w:fldCharType="end"/>
        </w:r>
      </w:hyperlink>
    </w:p>
    <w:p w14:paraId="2B24CCB0" w14:textId="53BF5BF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5" w:history="1">
        <w:r w:rsidRPr="00533B68">
          <w:t>1148</w:t>
        </w:r>
        <w:r>
          <w:rPr>
            <w:rFonts w:asciiTheme="minorHAnsi" w:eastAsiaTheme="minorEastAsia" w:hAnsiTheme="minorHAnsi" w:cstheme="minorBidi"/>
            <w:kern w:val="2"/>
            <w:sz w:val="24"/>
            <w:szCs w:val="24"/>
            <w:lang w:eastAsia="en-AU"/>
            <w14:ligatures w14:val="standardContextual"/>
          </w:rPr>
          <w:tab/>
        </w:r>
        <w:r w:rsidRPr="00533B68">
          <w:t>Claims not disposed of by summary disposal</w:t>
        </w:r>
        <w:r>
          <w:tab/>
        </w:r>
        <w:r>
          <w:fldChar w:fldCharType="begin"/>
        </w:r>
        <w:r>
          <w:instrText xml:space="preserve"> PAGEREF _Toc185514025 \h </w:instrText>
        </w:r>
        <w:r>
          <w:fldChar w:fldCharType="separate"/>
        </w:r>
        <w:r>
          <w:t>232</w:t>
        </w:r>
        <w:r>
          <w:fldChar w:fldCharType="end"/>
        </w:r>
      </w:hyperlink>
    </w:p>
    <w:p w14:paraId="3DCD47D7" w14:textId="6F38F40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6" w:history="1">
        <w:r w:rsidRPr="00533B68">
          <w:t>1149</w:t>
        </w:r>
        <w:r>
          <w:rPr>
            <w:rFonts w:asciiTheme="minorHAnsi" w:eastAsiaTheme="minorEastAsia" w:hAnsiTheme="minorHAnsi" w:cstheme="minorBidi"/>
            <w:kern w:val="2"/>
            <w:sz w:val="24"/>
            <w:szCs w:val="24"/>
            <w:lang w:eastAsia="en-AU"/>
            <w14:ligatures w14:val="standardContextual"/>
          </w:rPr>
          <w:tab/>
        </w:r>
        <w:r w:rsidRPr="00533B68">
          <w:t>Evidence in summary judgment proceedings</w:t>
        </w:r>
        <w:r>
          <w:tab/>
        </w:r>
        <w:r>
          <w:fldChar w:fldCharType="begin"/>
        </w:r>
        <w:r>
          <w:instrText xml:space="preserve"> PAGEREF _Toc185514026 \h </w:instrText>
        </w:r>
        <w:r>
          <w:fldChar w:fldCharType="separate"/>
        </w:r>
        <w:r>
          <w:t>232</w:t>
        </w:r>
        <w:r>
          <w:fldChar w:fldCharType="end"/>
        </w:r>
      </w:hyperlink>
    </w:p>
    <w:p w14:paraId="0749DD06" w14:textId="76F628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7" w:history="1">
        <w:r w:rsidRPr="00533B68">
          <w:t>1150</w:t>
        </w:r>
        <w:r>
          <w:rPr>
            <w:rFonts w:asciiTheme="minorHAnsi" w:eastAsiaTheme="minorEastAsia" w:hAnsiTheme="minorHAnsi" w:cstheme="minorBidi"/>
            <w:kern w:val="2"/>
            <w:sz w:val="24"/>
            <w:szCs w:val="24"/>
            <w:lang w:eastAsia="en-AU"/>
            <w14:ligatures w14:val="standardContextual"/>
          </w:rPr>
          <w:tab/>
        </w:r>
        <w:r w:rsidRPr="00533B68">
          <w:t>Summary judgment applications—filing and service</w:t>
        </w:r>
        <w:r>
          <w:tab/>
        </w:r>
        <w:r>
          <w:fldChar w:fldCharType="begin"/>
        </w:r>
        <w:r>
          <w:instrText xml:space="preserve"> PAGEREF _Toc185514027 \h </w:instrText>
        </w:r>
        <w:r>
          <w:fldChar w:fldCharType="separate"/>
        </w:r>
        <w:r>
          <w:t>232</w:t>
        </w:r>
        <w:r>
          <w:fldChar w:fldCharType="end"/>
        </w:r>
      </w:hyperlink>
    </w:p>
    <w:p w14:paraId="37B0E175" w14:textId="5C696D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8" w:history="1">
        <w:r w:rsidRPr="00533B68">
          <w:t>1151</w:t>
        </w:r>
        <w:r>
          <w:rPr>
            <w:rFonts w:asciiTheme="minorHAnsi" w:eastAsiaTheme="minorEastAsia" w:hAnsiTheme="minorHAnsi" w:cstheme="minorBidi"/>
            <w:kern w:val="2"/>
            <w:sz w:val="24"/>
            <w:szCs w:val="24"/>
            <w:lang w:eastAsia="en-AU"/>
            <w14:ligatures w14:val="standardContextual"/>
          </w:rPr>
          <w:tab/>
        </w:r>
        <w:r w:rsidRPr="00533B68">
          <w:t>Summary judgment applications—directions etc</w:t>
        </w:r>
        <w:r>
          <w:tab/>
        </w:r>
        <w:r>
          <w:fldChar w:fldCharType="begin"/>
        </w:r>
        <w:r>
          <w:instrText xml:space="preserve"> PAGEREF _Toc185514028 \h </w:instrText>
        </w:r>
        <w:r>
          <w:fldChar w:fldCharType="separate"/>
        </w:r>
        <w:r>
          <w:t>233</w:t>
        </w:r>
        <w:r>
          <w:fldChar w:fldCharType="end"/>
        </w:r>
      </w:hyperlink>
    </w:p>
    <w:p w14:paraId="17C61AC6" w14:textId="5390333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29" w:history="1">
        <w:r w:rsidRPr="00533B68">
          <w:t>1152</w:t>
        </w:r>
        <w:r>
          <w:rPr>
            <w:rFonts w:asciiTheme="minorHAnsi" w:eastAsiaTheme="minorEastAsia" w:hAnsiTheme="minorHAnsi" w:cstheme="minorBidi"/>
            <w:kern w:val="2"/>
            <w:sz w:val="24"/>
            <w:szCs w:val="24"/>
            <w:lang w:eastAsia="en-AU"/>
            <w14:ligatures w14:val="standardContextual"/>
          </w:rPr>
          <w:tab/>
        </w:r>
        <w:r w:rsidRPr="00533B68">
          <w:t>Summary judgment applications—costs</w:t>
        </w:r>
        <w:r>
          <w:tab/>
        </w:r>
        <w:r>
          <w:fldChar w:fldCharType="begin"/>
        </w:r>
        <w:r>
          <w:instrText xml:space="preserve"> PAGEREF _Toc185514029 \h </w:instrText>
        </w:r>
        <w:r>
          <w:fldChar w:fldCharType="separate"/>
        </w:r>
        <w:r>
          <w:t>234</w:t>
        </w:r>
        <w:r>
          <w:fldChar w:fldCharType="end"/>
        </w:r>
      </w:hyperlink>
    </w:p>
    <w:p w14:paraId="25FDEC88" w14:textId="5E08D8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0" w:history="1">
        <w:r w:rsidRPr="00533B68">
          <w:t>1153</w:t>
        </w:r>
        <w:r>
          <w:rPr>
            <w:rFonts w:asciiTheme="minorHAnsi" w:eastAsiaTheme="minorEastAsia" w:hAnsiTheme="minorHAnsi" w:cstheme="minorBidi"/>
            <w:kern w:val="2"/>
            <w:sz w:val="24"/>
            <w:szCs w:val="24"/>
            <w:lang w:eastAsia="en-AU"/>
            <w14:ligatures w14:val="standardContextual"/>
          </w:rPr>
          <w:tab/>
        </w:r>
        <w:r w:rsidRPr="00533B68">
          <w:t>Summary judgment—stay of enforcement</w:t>
        </w:r>
        <w:r>
          <w:tab/>
        </w:r>
        <w:r>
          <w:fldChar w:fldCharType="begin"/>
        </w:r>
        <w:r>
          <w:instrText xml:space="preserve"> PAGEREF _Toc185514030 \h </w:instrText>
        </w:r>
        <w:r>
          <w:fldChar w:fldCharType="separate"/>
        </w:r>
        <w:r>
          <w:t>234</w:t>
        </w:r>
        <w:r>
          <w:fldChar w:fldCharType="end"/>
        </w:r>
      </w:hyperlink>
    </w:p>
    <w:p w14:paraId="1967E5A4" w14:textId="147725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1" w:history="1">
        <w:r w:rsidRPr="00533B68">
          <w:t>1154</w:t>
        </w:r>
        <w:r>
          <w:rPr>
            <w:rFonts w:asciiTheme="minorHAnsi" w:eastAsiaTheme="minorEastAsia" w:hAnsiTheme="minorHAnsi" w:cstheme="minorBidi"/>
            <w:kern w:val="2"/>
            <w:sz w:val="24"/>
            <w:szCs w:val="24"/>
            <w:lang w:eastAsia="en-AU"/>
            <w14:ligatures w14:val="standardContextual"/>
          </w:rPr>
          <w:tab/>
        </w:r>
        <w:r w:rsidRPr="00533B68">
          <w:t>Summary judgment—relief from forfeiture</w:t>
        </w:r>
        <w:r>
          <w:tab/>
        </w:r>
        <w:r>
          <w:fldChar w:fldCharType="begin"/>
        </w:r>
        <w:r>
          <w:instrText xml:space="preserve"> PAGEREF _Toc185514031 \h </w:instrText>
        </w:r>
        <w:r>
          <w:fldChar w:fldCharType="separate"/>
        </w:r>
        <w:r>
          <w:t>234</w:t>
        </w:r>
        <w:r>
          <w:fldChar w:fldCharType="end"/>
        </w:r>
      </w:hyperlink>
    </w:p>
    <w:p w14:paraId="41E17BF3" w14:textId="39E6E08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2" w:history="1">
        <w:r w:rsidRPr="00533B68">
          <w:t>1155</w:t>
        </w:r>
        <w:r>
          <w:rPr>
            <w:rFonts w:asciiTheme="minorHAnsi" w:eastAsiaTheme="minorEastAsia" w:hAnsiTheme="minorHAnsi" w:cstheme="minorBidi"/>
            <w:kern w:val="2"/>
            <w:sz w:val="24"/>
            <w:szCs w:val="24"/>
            <w:lang w:eastAsia="en-AU"/>
            <w14:ligatures w14:val="standardContextual"/>
          </w:rPr>
          <w:tab/>
        </w:r>
        <w:r w:rsidRPr="00533B68">
          <w:t>Summary judgment—setting aside</w:t>
        </w:r>
        <w:r>
          <w:tab/>
        </w:r>
        <w:r>
          <w:fldChar w:fldCharType="begin"/>
        </w:r>
        <w:r>
          <w:instrText xml:space="preserve"> PAGEREF _Toc185514032 \h </w:instrText>
        </w:r>
        <w:r>
          <w:fldChar w:fldCharType="separate"/>
        </w:r>
        <w:r>
          <w:t>234</w:t>
        </w:r>
        <w:r>
          <w:fldChar w:fldCharType="end"/>
        </w:r>
      </w:hyperlink>
    </w:p>
    <w:p w14:paraId="025CFC09" w14:textId="18FF54B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33" w:history="1">
        <w:r w:rsidR="00AC5392" w:rsidRPr="00533B68">
          <w:t>Division 2.11.6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Discontinuance and withdrawal</w:t>
        </w:r>
        <w:r w:rsidR="00AC5392" w:rsidRPr="00AC5392">
          <w:rPr>
            <w:vanish/>
          </w:rPr>
          <w:tab/>
        </w:r>
        <w:r w:rsidR="00AC5392" w:rsidRPr="00AC5392">
          <w:rPr>
            <w:vanish/>
          </w:rPr>
          <w:fldChar w:fldCharType="begin"/>
        </w:r>
        <w:r w:rsidR="00AC5392" w:rsidRPr="00AC5392">
          <w:rPr>
            <w:vanish/>
          </w:rPr>
          <w:instrText xml:space="preserve"> PAGEREF _Toc185514033 \h </w:instrText>
        </w:r>
        <w:r w:rsidR="00AC5392" w:rsidRPr="00AC5392">
          <w:rPr>
            <w:vanish/>
          </w:rPr>
        </w:r>
        <w:r w:rsidR="00AC5392" w:rsidRPr="00AC5392">
          <w:rPr>
            <w:vanish/>
          </w:rPr>
          <w:fldChar w:fldCharType="separate"/>
        </w:r>
        <w:r w:rsidR="00AC5392" w:rsidRPr="00AC5392">
          <w:rPr>
            <w:vanish/>
          </w:rPr>
          <w:t>235</w:t>
        </w:r>
        <w:r w:rsidR="00AC5392" w:rsidRPr="00AC5392">
          <w:rPr>
            <w:vanish/>
          </w:rPr>
          <w:fldChar w:fldCharType="end"/>
        </w:r>
      </w:hyperlink>
    </w:p>
    <w:p w14:paraId="443DA82E" w14:textId="693FFE3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4" w:history="1">
        <w:r w:rsidRPr="00533B68">
          <w:t>1160</w:t>
        </w:r>
        <w:r>
          <w:rPr>
            <w:rFonts w:asciiTheme="minorHAnsi" w:eastAsiaTheme="minorEastAsia" w:hAnsiTheme="minorHAnsi" w:cstheme="minorBidi"/>
            <w:kern w:val="2"/>
            <w:sz w:val="24"/>
            <w:szCs w:val="24"/>
            <w:lang w:eastAsia="en-AU"/>
            <w14:ligatures w14:val="standardContextual"/>
          </w:rPr>
          <w:tab/>
        </w:r>
        <w:r w:rsidRPr="00533B68">
          <w:t>Discontinuance or withdrawal by plaintiff</w:t>
        </w:r>
        <w:r>
          <w:tab/>
        </w:r>
        <w:r>
          <w:fldChar w:fldCharType="begin"/>
        </w:r>
        <w:r>
          <w:instrText xml:space="preserve"> PAGEREF _Toc185514034 \h </w:instrText>
        </w:r>
        <w:r>
          <w:fldChar w:fldCharType="separate"/>
        </w:r>
        <w:r>
          <w:t>235</w:t>
        </w:r>
        <w:r>
          <w:fldChar w:fldCharType="end"/>
        </w:r>
      </w:hyperlink>
    </w:p>
    <w:p w14:paraId="0C69CE6C" w14:textId="5707A0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5" w:history="1">
        <w:r w:rsidRPr="00533B68">
          <w:t>1161</w:t>
        </w:r>
        <w:r>
          <w:rPr>
            <w:rFonts w:asciiTheme="minorHAnsi" w:eastAsiaTheme="minorEastAsia" w:hAnsiTheme="minorHAnsi" w:cstheme="minorBidi"/>
            <w:kern w:val="2"/>
            <w:sz w:val="24"/>
            <w:szCs w:val="24"/>
            <w:lang w:eastAsia="en-AU"/>
            <w14:ligatures w14:val="standardContextual"/>
          </w:rPr>
          <w:tab/>
        </w:r>
        <w:r w:rsidRPr="00533B68">
          <w:t>Discontinuance or withdrawal of counterclaim by defendant</w:t>
        </w:r>
        <w:r>
          <w:tab/>
        </w:r>
        <w:r>
          <w:fldChar w:fldCharType="begin"/>
        </w:r>
        <w:r>
          <w:instrText xml:space="preserve"> PAGEREF _Toc185514035 \h </w:instrText>
        </w:r>
        <w:r>
          <w:fldChar w:fldCharType="separate"/>
        </w:r>
        <w:r>
          <w:t>235</w:t>
        </w:r>
        <w:r>
          <w:fldChar w:fldCharType="end"/>
        </w:r>
      </w:hyperlink>
    </w:p>
    <w:p w14:paraId="5220CA51" w14:textId="5AA9F982"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036" w:history="1">
        <w:r w:rsidRPr="00533B68">
          <w:t>1162</w:t>
        </w:r>
        <w:r>
          <w:rPr>
            <w:rFonts w:asciiTheme="minorHAnsi" w:eastAsiaTheme="minorEastAsia" w:hAnsiTheme="minorHAnsi" w:cstheme="minorBidi"/>
            <w:kern w:val="2"/>
            <w:sz w:val="24"/>
            <w:szCs w:val="24"/>
            <w:lang w:eastAsia="en-AU"/>
            <w14:ligatures w14:val="standardContextual"/>
          </w:rPr>
          <w:tab/>
        </w:r>
        <w:r w:rsidRPr="00533B68">
          <w:t>Withdrawal of notice of intention to respond</w:t>
        </w:r>
        <w:r>
          <w:tab/>
        </w:r>
        <w:r>
          <w:fldChar w:fldCharType="begin"/>
        </w:r>
        <w:r>
          <w:instrText xml:space="preserve"> PAGEREF _Toc185514036 \h </w:instrText>
        </w:r>
        <w:r>
          <w:fldChar w:fldCharType="separate"/>
        </w:r>
        <w:r>
          <w:t>236</w:t>
        </w:r>
        <w:r>
          <w:fldChar w:fldCharType="end"/>
        </w:r>
      </w:hyperlink>
    </w:p>
    <w:p w14:paraId="4EFE7166" w14:textId="45D5D2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7" w:history="1">
        <w:r w:rsidRPr="00533B68">
          <w:t>1163</w:t>
        </w:r>
        <w:r>
          <w:rPr>
            <w:rFonts w:asciiTheme="minorHAnsi" w:eastAsiaTheme="minorEastAsia" w:hAnsiTheme="minorHAnsi" w:cstheme="minorBidi"/>
            <w:kern w:val="2"/>
            <w:sz w:val="24"/>
            <w:szCs w:val="24"/>
            <w:lang w:eastAsia="en-AU"/>
            <w14:ligatures w14:val="standardContextual"/>
          </w:rPr>
          <w:tab/>
        </w:r>
        <w:r w:rsidRPr="00533B68">
          <w:t>Costs of discontinuance or withdrawal</w:t>
        </w:r>
        <w:r>
          <w:tab/>
        </w:r>
        <w:r>
          <w:fldChar w:fldCharType="begin"/>
        </w:r>
        <w:r>
          <w:instrText xml:space="preserve"> PAGEREF _Toc185514037 \h </w:instrText>
        </w:r>
        <w:r>
          <w:fldChar w:fldCharType="separate"/>
        </w:r>
        <w:r>
          <w:t>236</w:t>
        </w:r>
        <w:r>
          <w:fldChar w:fldCharType="end"/>
        </w:r>
      </w:hyperlink>
    </w:p>
    <w:p w14:paraId="12512615" w14:textId="370610B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8" w:history="1">
        <w:r w:rsidRPr="00533B68">
          <w:t>1164</w:t>
        </w:r>
        <w:r>
          <w:rPr>
            <w:rFonts w:asciiTheme="minorHAnsi" w:eastAsiaTheme="minorEastAsia" w:hAnsiTheme="minorHAnsi" w:cstheme="minorBidi"/>
            <w:kern w:val="2"/>
            <w:sz w:val="24"/>
            <w:szCs w:val="24"/>
            <w:lang w:eastAsia="en-AU"/>
            <w14:ligatures w14:val="standardContextual"/>
          </w:rPr>
          <w:tab/>
        </w:r>
        <w:r w:rsidRPr="00533B68">
          <w:t>Withdrawal of defence or further pleading</w:t>
        </w:r>
        <w:r>
          <w:tab/>
        </w:r>
        <w:r>
          <w:fldChar w:fldCharType="begin"/>
        </w:r>
        <w:r>
          <w:instrText xml:space="preserve"> PAGEREF _Toc185514038 \h </w:instrText>
        </w:r>
        <w:r>
          <w:fldChar w:fldCharType="separate"/>
        </w:r>
        <w:r>
          <w:t>236</w:t>
        </w:r>
        <w:r>
          <w:fldChar w:fldCharType="end"/>
        </w:r>
      </w:hyperlink>
    </w:p>
    <w:p w14:paraId="4E2EA6CE" w14:textId="7EBC26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39" w:history="1">
        <w:r w:rsidRPr="00533B68">
          <w:t>1165</w:t>
        </w:r>
        <w:r>
          <w:rPr>
            <w:rFonts w:asciiTheme="minorHAnsi" w:eastAsiaTheme="minorEastAsia" w:hAnsiTheme="minorHAnsi" w:cstheme="minorBidi"/>
            <w:kern w:val="2"/>
            <w:sz w:val="24"/>
            <w:szCs w:val="24"/>
            <w:lang w:eastAsia="en-AU"/>
            <w14:ligatures w14:val="standardContextual"/>
          </w:rPr>
          <w:tab/>
        </w:r>
        <w:r w:rsidRPr="00533B68">
          <w:t>Notice of discontinuance or withdrawal</w:t>
        </w:r>
        <w:r>
          <w:tab/>
        </w:r>
        <w:r>
          <w:fldChar w:fldCharType="begin"/>
        </w:r>
        <w:r>
          <w:instrText xml:space="preserve"> PAGEREF _Toc185514039 \h </w:instrText>
        </w:r>
        <w:r>
          <w:fldChar w:fldCharType="separate"/>
        </w:r>
        <w:r>
          <w:t>237</w:t>
        </w:r>
        <w:r>
          <w:fldChar w:fldCharType="end"/>
        </w:r>
      </w:hyperlink>
    </w:p>
    <w:p w14:paraId="6EC208FF" w14:textId="131B1DA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0" w:history="1">
        <w:r w:rsidRPr="00533B68">
          <w:t>1166</w:t>
        </w:r>
        <w:r>
          <w:rPr>
            <w:rFonts w:asciiTheme="minorHAnsi" w:eastAsiaTheme="minorEastAsia" w:hAnsiTheme="minorHAnsi" w:cstheme="minorBidi"/>
            <w:kern w:val="2"/>
            <w:sz w:val="24"/>
            <w:szCs w:val="24"/>
            <w:lang w:eastAsia="en-AU"/>
            <w14:ligatures w14:val="standardContextual"/>
          </w:rPr>
          <w:tab/>
        </w:r>
        <w:r w:rsidRPr="00533B68">
          <w:t>Discontinuance or withdrawal by party representing someone else etc</w:t>
        </w:r>
        <w:r>
          <w:tab/>
        </w:r>
        <w:r>
          <w:fldChar w:fldCharType="begin"/>
        </w:r>
        <w:r>
          <w:instrText xml:space="preserve"> PAGEREF _Toc185514040 \h </w:instrText>
        </w:r>
        <w:r>
          <w:fldChar w:fldCharType="separate"/>
        </w:r>
        <w:r>
          <w:t>237</w:t>
        </w:r>
        <w:r>
          <w:fldChar w:fldCharType="end"/>
        </w:r>
      </w:hyperlink>
    </w:p>
    <w:p w14:paraId="24E00883" w14:textId="124D8BD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1" w:history="1">
        <w:r w:rsidRPr="00533B68">
          <w:t>1167</w:t>
        </w:r>
        <w:r>
          <w:rPr>
            <w:rFonts w:asciiTheme="minorHAnsi" w:eastAsiaTheme="minorEastAsia" w:hAnsiTheme="minorHAnsi" w:cstheme="minorBidi"/>
            <w:kern w:val="2"/>
            <w:sz w:val="24"/>
            <w:szCs w:val="24"/>
            <w:lang w:eastAsia="en-AU"/>
            <w14:ligatures w14:val="standardContextual"/>
          </w:rPr>
          <w:tab/>
        </w:r>
        <w:r w:rsidRPr="00533B68">
          <w:t>Discontinuance or withdrawal—subsequent proceeding</w:t>
        </w:r>
        <w:r>
          <w:tab/>
        </w:r>
        <w:r>
          <w:fldChar w:fldCharType="begin"/>
        </w:r>
        <w:r>
          <w:instrText xml:space="preserve"> PAGEREF _Toc185514041 \h </w:instrText>
        </w:r>
        <w:r>
          <w:fldChar w:fldCharType="separate"/>
        </w:r>
        <w:r>
          <w:t>237</w:t>
        </w:r>
        <w:r>
          <w:fldChar w:fldCharType="end"/>
        </w:r>
      </w:hyperlink>
    </w:p>
    <w:p w14:paraId="41B35664" w14:textId="43F9F6A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2" w:history="1">
        <w:r w:rsidRPr="00533B68">
          <w:t>1168</w:t>
        </w:r>
        <w:r>
          <w:rPr>
            <w:rFonts w:asciiTheme="minorHAnsi" w:eastAsiaTheme="minorEastAsia" w:hAnsiTheme="minorHAnsi" w:cstheme="minorBidi"/>
            <w:kern w:val="2"/>
            <w:sz w:val="24"/>
            <w:szCs w:val="24"/>
            <w:lang w:eastAsia="en-AU"/>
            <w14:ligatures w14:val="standardContextual"/>
          </w:rPr>
          <w:tab/>
        </w:r>
        <w:r w:rsidRPr="00533B68">
          <w:t>Consolidated proceedings and counterclaims</w:t>
        </w:r>
        <w:r>
          <w:tab/>
        </w:r>
        <w:r>
          <w:fldChar w:fldCharType="begin"/>
        </w:r>
        <w:r>
          <w:instrText xml:space="preserve"> PAGEREF _Toc185514042 \h </w:instrText>
        </w:r>
        <w:r>
          <w:fldChar w:fldCharType="separate"/>
        </w:r>
        <w:r>
          <w:t>238</w:t>
        </w:r>
        <w:r>
          <w:fldChar w:fldCharType="end"/>
        </w:r>
      </w:hyperlink>
    </w:p>
    <w:p w14:paraId="18061B23" w14:textId="6778CF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3" w:history="1">
        <w:r w:rsidRPr="00533B68">
          <w:t>1169</w:t>
        </w:r>
        <w:r>
          <w:rPr>
            <w:rFonts w:asciiTheme="minorHAnsi" w:eastAsiaTheme="minorEastAsia" w:hAnsiTheme="minorHAnsi" w:cstheme="minorBidi"/>
            <w:kern w:val="2"/>
            <w:sz w:val="24"/>
            <w:szCs w:val="24"/>
            <w:lang w:eastAsia="en-AU"/>
            <w14:ligatures w14:val="standardContextual"/>
          </w:rPr>
          <w:tab/>
        </w:r>
        <w:r w:rsidRPr="00533B68">
          <w:t>Stay pending payment of costs</w:t>
        </w:r>
        <w:r>
          <w:tab/>
        </w:r>
        <w:r>
          <w:fldChar w:fldCharType="begin"/>
        </w:r>
        <w:r>
          <w:instrText xml:space="preserve"> PAGEREF _Toc185514043 \h </w:instrText>
        </w:r>
        <w:r>
          <w:fldChar w:fldCharType="separate"/>
        </w:r>
        <w:r>
          <w:t>238</w:t>
        </w:r>
        <w:r>
          <w:fldChar w:fldCharType="end"/>
        </w:r>
      </w:hyperlink>
    </w:p>
    <w:p w14:paraId="3D4BDB44" w14:textId="3316DF6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44" w:history="1">
        <w:r w:rsidR="00AC5392" w:rsidRPr="00533B68">
          <w:t>Division 2.11.7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Mediation and neutral evaluation</w:t>
        </w:r>
        <w:r w:rsidR="00AC5392" w:rsidRPr="00AC5392">
          <w:rPr>
            <w:vanish/>
          </w:rPr>
          <w:tab/>
        </w:r>
        <w:r w:rsidR="00AC5392" w:rsidRPr="00AC5392">
          <w:rPr>
            <w:vanish/>
          </w:rPr>
          <w:fldChar w:fldCharType="begin"/>
        </w:r>
        <w:r w:rsidR="00AC5392" w:rsidRPr="00AC5392">
          <w:rPr>
            <w:vanish/>
          </w:rPr>
          <w:instrText xml:space="preserve"> PAGEREF _Toc185514044 \h </w:instrText>
        </w:r>
        <w:r w:rsidR="00AC5392" w:rsidRPr="00AC5392">
          <w:rPr>
            <w:vanish/>
          </w:rPr>
        </w:r>
        <w:r w:rsidR="00AC5392" w:rsidRPr="00AC5392">
          <w:rPr>
            <w:vanish/>
          </w:rPr>
          <w:fldChar w:fldCharType="separate"/>
        </w:r>
        <w:r w:rsidR="00AC5392" w:rsidRPr="00AC5392">
          <w:rPr>
            <w:vanish/>
          </w:rPr>
          <w:t>238</w:t>
        </w:r>
        <w:r w:rsidR="00AC5392" w:rsidRPr="00AC5392">
          <w:rPr>
            <w:vanish/>
          </w:rPr>
          <w:fldChar w:fldCharType="end"/>
        </w:r>
      </w:hyperlink>
    </w:p>
    <w:p w14:paraId="22279978" w14:textId="20CB58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5" w:history="1">
        <w:r w:rsidRPr="00533B68">
          <w:t>1175</w:t>
        </w:r>
        <w:r>
          <w:rPr>
            <w:rFonts w:asciiTheme="minorHAnsi" w:eastAsiaTheme="minorEastAsia" w:hAnsiTheme="minorHAnsi" w:cstheme="minorBidi"/>
            <w:kern w:val="2"/>
            <w:sz w:val="24"/>
            <w:szCs w:val="24"/>
            <w:lang w:eastAsia="en-AU"/>
            <w14:ligatures w14:val="standardContextual"/>
          </w:rPr>
          <w:tab/>
        </w:r>
        <w:r w:rsidRPr="00533B68">
          <w:t>Purpose—div 2.11.7</w:t>
        </w:r>
        <w:r>
          <w:tab/>
        </w:r>
        <w:r>
          <w:fldChar w:fldCharType="begin"/>
        </w:r>
        <w:r>
          <w:instrText xml:space="preserve"> PAGEREF _Toc185514045 \h </w:instrText>
        </w:r>
        <w:r>
          <w:fldChar w:fldCharType="separate"/>
        </w:r>
        <w:r>
          <w:t>238</w:t>
        </w:r>
        <w:r>
          <w:fldChar w:fldCharType="end"/>
        </w:r>
      </w:hyperlink>
    </w:p>
    <w:p w14:paraId="64375B4C" w14:textId="33FC0E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6" w:history="1">
        <w:r w:rsidRPr="00533B68">
          <w:t>1176</w:t>
        </w:r>
        <w:r>
          <w:rPr>
            <w:rFonts w:asciiTheme="minorHAnsi" w:eastAsiaTheme="minorEastAsia" w:hAnsiTheme="minorHAnsi" w:cstheme="minorBidi"/>
            <w:kern w:val="2"/>
            <w:sz w:val="24"/>
            <w:szCs w:val="24"/>
            <w:lang w:eastAsia="en-AU"/>
            <w14:ligatures w14:val="standardContextual"/>
          </w:rPr>
          <w:tab/>
        </w:r>
        <w:r w:rsidRPr="00533B68">
          <w:t>Definitions—div 2.11.7</w:t>
        </w:r>
        <w:r>
          <w:tab/>
        </w:r>
        <w:r>
          <w:fldChar w:fldCharType="begin"/>
        </w:r>
        <w:r>
          <w:instrText xml:space="preserve"> PAGEREF _Toc185514046 \h </w:instrText>
        </w:r>
        <w:r>
          <w:fldChar w:fldCharType="separate"/>
        </w:r>
        <w:r>
          <w:t>238</w:t>
        </w:r>
        <w:r>
          <w:fldChar w:fldCharType="end"/>
        </w:r>
      </w:hyperlink>
    </w:p>
    <w:p w14:paraId="3AB6501F" w14:textId="67D1CD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7" w:history="1">
        <w:r w:rsidRPr="00533B68">
          <w:t>1177</w:t>
        </w:r>
        <w:r>
          <w:rPr>
            <w:rFonts w:asciiTheme="minorHAnsi" w:eastAsiaTheme="minorEastAsia" w:hAnsiTheme="minorHAnsi" w:cstheme="minorBidi"/>
            <w:kern w:val="2"/>
            <w:sz w:val="24"/>
            <w:szCs w:val="24"/>
            <w:lang w:eastAsia="en-AU"/>
            <w14:ligatures w14:val="standardContextual"/>
          </w:rPr>
          <w:tab/>
        </w:r>
        <w:r w:rsidRPr="00533B68">
          <w:t>Mediation—appointment of mediator</w:t>
        </w:r>
        <w:r>
          <w:tab/>
        </w:r>
        <w:r>
          <w:fldChar w:fldCharType="begin"/>
        </w:r>
        <w:r>
          <w:instrText xml:space="preserve"> PAGEREF _Toc185514047 \h </w:instrText>
        </w:r>
        <w:r>
          <w:fldChar w:fldCharType="separate"/>
        </w:r>
        <w:r>
          <w:t>239</w:t>
        </w:r>
        <w:r>
          <w:fldChar w:fldCharType="end"/>
        </w:r>
      </w:hyperlink>
    </w:p>
    <w:p w14:paraId="7F2C831C" w14:textId="76C5BCA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8" w:history="1">
        <w:r w:rsidRPr="00533B68">
          <w:t>1178</w:t>
        </w:r>
        <w:r>
          <w:rPr>
            <w:rFonts w:asciiTheme="minorHAnsi" w:eastAsiaTheme="minorEastAsia" w:hAnsiTheme="minorHAnsi" w:cstheme="minorBidi"/>
            <w:kern w:val="2"/>
            <w:sz w:val="24"/>
            <w:szCs w:val="24"/>
            <w:lang w:eastAsia="en-AU"/>
            <w14:ligatures w14:val="standardContextual"/>
          </w:rPr>
          <w:tab/>
        </w:r>
        <w:r w:rsidRPr="00533B68">
          <w:t>Neutral evaluation—appointment of evaluator</w:t>
        </w:r>
        <w:r>
          <w:tab/>
        </w:r>
        <w:r>
          <w:fldChar w:fldCharType="begin"/>
        </w:r>
        <w:r>
          <w:instrText xml:space="preserve"> PAGEREF _Toc185514048 \h </w:instrText>
        </w:r>
        <w:r>
          <w:fldChar w:fldCharType="separate"/>
        </w:r>
        <w:r>
          <w:t>239</w:t>
        </w:r>
        <w:r>
          <w:fldChar w:fldCharType="end"/>
        </w:r>
      </w:hyperlink>
    </w:p>
    <w:p w14:paraId="69AEBECF" w14:textId="1AE451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49" w:history="1">
        <w:r w:rsidRPr="00533B68">
          <w:t>1179</w:t>
        </w:r>
        <w:r>
          <w:rPr>
            <w:rFonts w:asciiTheme="minorHAnsi" w:eastAsiaTheme="minorEastAsia" w:hAnsiTheme="minorHAnsi" w:cstheme="minorBidi"/>
            <w:kern w:val="2"/>
            <w:sz w:val="24"/>
            <w:szCs w:val="24"/>
            <w:lang w:eastAsia="en-AU"/>
            <w14:ligatures w14:val="standardContextual"/>
          </w:rPr>
          <w:tab/>
        </w:r>
        <w:r w:rsidRPr="00533B68">
          <w:t>Mediation or neutral evaluation—referral by court</w:t>
        </w:r>
        <w:r>
          <w:tab/>
        </w:r>
        <w:r>
          <w:fldChar w:fldCharType="begin"/>
        </w:r>
        <w:r>
          <w:instrText xml:space="preserve"> PAGEREF _Toc185514049 \h </w:instrText>
        </w:r>
        <w:r>
          <w:fldChar w:fldCharType="separate"/>
        </w:r>
        <w:r>
          <w:t>240</w:t>
        </w:r>
        <w:r>
          <w:fldChar w:fldCharType="end"/>
        </w:r>
      </w:hyperlink>
    </w:p>
    <w:p w14:paraId="6FDAEBEE" w14:textId="4424EE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0" w:history="1">
        <w:r w:rsidRPr="00533B68">
          <w:t>1180</w:t>
        </w:r>
        <w:r>
          <w:rPr>
            <w:rFonts w:asciiTheme="minorHAnsi" w:eastAsiaTheme="minorEastAsia" w:hAnsiTheme="minorHAnsi" w:cstheme="minorBidi"/>
            <w:kern w:val="2"/>
            <w:sz w:val="24"/>
            <w:szCs w:val="24"/>
            <w:lang w:eastAsia="en-AU"/>
            <w14:ligatures w14:val="standardContextual"/>
          </w:rPr>
          <w:tab/>
        </w:r>
        <w:r w:rsidRPr="00533B68">
          <w:t>Mediation or neutral evaluation—duty of parties to take part</w:t>
        </w:r>
        <w:r>
          <w:tab/>
        </w:r>
        <w:r>
          <w:fldChar w:fldCharType="begin"/>
        </w:r>
        <w:r>
          <w:instrText xml:space="preserve"> PAGEREF _Toc185514050 \h </w:instrText>
        </w:r>
        <w:r>
          <w:fldChar w:fldCharType="separate"/>
        </w:r>
        <w:r>
          <w:t>240</w:t>
        </w:r>
        <w:r>
          <w:fldChar w:fldCharType="end"/>
        </w:r>
      </w:hyperlink>
    </w:p>
    <w:p w14:paraId="3C99F668" w14:textId="57E79AA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1" w:history="1">
        <w:r w:rsidRPr="00533B68">
          <w:t>1181</w:t>
        </w:r>
        <w:r>
          <w:rPr>
            <w:rFonts w:asciiTheme="minorHAnsi" w:eastAsiaTheme="minorEastAsia" w:hAnsiTheme="minorHAnsi" w:cstheme="minorBidi"/>
            <w:kern w:val="2"/>
            <w:sz w:val="24"/>
            <w:szCs w:val="24"/>
            <w:lang w:eastAsia="en-AU"/>
            <w14:ligatures w14:val="standardContextual"/>
          </w:rPr>
          <w:tab/>
        </w:r>
        <w:r w:rsidRPr="00533B68">
          <w:t>Mediation or neutral evaluation—costs</w:t>
        </w:r>
        <w:r>
          <w:tab/>
        </w:r>
        <w:r>
          <w:fldChar w:fldCharType="begin"/>
        </w:r>
        <w:r>
          <w:instrText xml:space="preserve"> PAGEREF _Toc185514051 \h </w:instrText>
        </w:r>
        <w:r>
          <w:fldChar w:fldCharType="separate"/>
        </w:r>
        <w:r>
          <w:t>240</w:t>
        </w:r>
        <w:r>
          <w:fldChar w:fldCharType="end"/>
        </w:r>
      </w:hyperlink>
    </w:p>
    <w:p w14:paraId="798ED1D0" w14:textId="6B2407C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2" w:history="1">
        <w:r w:rsidRPr="00533B68">
          <w:t>1182</w:t>
        </w:r>
        <w:r>
          <w:rPr>
            <w:rFonts w:asciiTheme="minorHAnsi" w:eastAsiaTheme="minorEastAsia" w:hAnsiTheme="minorHAnsi" w:cstheme="minorBidi"/>
            <w:kern w:val="2"/>
            <w:sz w:val="24"/>
            <w:szCs w:val="24"/>
            <w:lang w:eastAsia="en-AU"/>
            <w14:ligatures w14:val="standardContextual"/>
          </w:rPr>
          <w:tab/>
        </w:r>
        <w:r w:rsidRPr="00533B68">
          <w:t>Mediation or neutral evaluation—agreements and arrangements arising from sessions</w:t>
        </w:r>
        <w:r>
          <w:tab/>
        </w:r>
        <w:r>
          <w:fldChar w:fldCharType="begin"/>
        </w:r>
        <w:r>
          <w:instrText xml:space="preserve"> PAGEREF _Toc185514052 \h </w:instrText>
        </w:r>
        <w:r>
          <w:fldChar w:fldCharType="separate"/>
        </w:r>
        <w:r>
          <w:t>241</w:t>
        </w:r>
        <w:r>
          <w:fldChar w:fldCharType="end"/>
        </w:r>
      </w:hyperlink>
    </w:p>
    <w:p w14:paraId="77141730" w14:textId="604A34D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3" w:history="1">
        <w:r w:rsidRPr="00533B68">
          <w:t>1183</w:t>
        </w:r>
        <w:r>
          <w:rPr>
            <w:rFonts w:asciiTheme="minorHAnsi" w:eastAsiaTheme="minorEastAsia" w:hAnsiTheme="minorHAnsi" w:cstheme="minorBidi"/>
            <w:kern w:val="2"/>
            <w:sz w:val="24"/>
            <w:szCs w:val="24"/>
            <w:lang w:eastAsia="en-AU"/>
            <w14:ligatures w14:val="standardContextual"/>
          </w:rPr>
          <w:tab/>
        </w:r>
        <w:r w:rsidRPr="00533B68">
          <w:t>Neutral evaluation—privilege</w:t>
        </w:r>
        <w:r>
          <w:tab/>
        </w:r>
        <w:r>
          <w:fldChar w:fldCharType="begin"/>
        </w:r>
        <w:r>
          <w:instrText xml:space="preserve"> PAGEREF _Toc185514053 \h </w:instrText>
        </w:r>
        <w:r>
          <w:fldChar w:fldCharType="separate"/>
        </w:r>
        <w:r>
          <w:t>241</w:t>
        </w:r>
        <w:r>
          <w:fldChar w:fldCharType="end"/>
        </w:r>
      </w:hyperlink>
    </w:p>
    <w:p w14:paraId="58CA8BBD" w14:textId="19DA82D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4" w:history="1">
        <w:r w:rsidRPr="00533B68">
          <w:t>1184</w:t>
        </w:r>
        <w:r>
          <w:rPr>
            <w:rFonts w:asciiTheme="minorHAnsi" w:eastAsiaTheme="minorEastAsia" w:hAnsiTheme="minorHAnsi" w:cstheme="minorBidi"/>
            <w:kern w:val="2"/>
            <w:sz w:val="24"/>
            <w:szCs w:val="24"/>
            <w:lang w:eastAsia="en-AU"/>
            <w14:ligatures w14:val="standardContextual"/>
          </w:rPr>
          <w:tab/>
        </w:r>
        <w:r w:rsidRPr="00533B68">
          <w:t>Evaluators—secrecy</w:t>
        </w:r>
        <w:r>
          <w:tab/>
        </w:r>
        <w:r>
          <w:fldChar w:fldCharType="begin"/>
        </w:r>
        <w:r>
          <w:instrText xml:space="preserve"> PAGEREF _Toc185514054 \h </w:instrText>
        </w:r>
        <w:r>
          <w:fldChar w:fldCharType="separate"/>
        </w:r>
        <w:r>
          <w:t>242</w:t>
        </w:r>
        <w:r>
          <w:fldChar w:fldCharType="end"/>
        </w:r>
      </w:hyperlink>
    </w:p>
    <w:p w14:paraId="6D5FC2E0" w14:textId="6ED923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5" w:history="1">
        <w:r w:rsidRPr="00533B68">
          <w:t>1185</w:t>
        </w:r>
        <w:r>
          <w:rPr>
            <w:rFonts w:asciiTheme="minorHAnsi" w:eastAsiaTheme="minorEastAsia" w:hAnsiTheme="minorHAnsi" w:cstheme="minorBidi"/>
            <w:kern w:val="2"/>
            <w:sz w:val="24"/>
            <w:szCs w:val="24"/>
            <w:lang w:eastAsia="en-AU"/>
            <w14:ligatures w14:val="standardContextual"/>
          </w:rPr>
          <w:tab/>
        </w:r>
        <w:r w:rsidRPr="00533B68">
          <w:t>Evaluators—protection from liability</w:t>
        </w:r>
        <w:r>
          <w:tab/>
        </w:r>
        <w:r>
          <w:fldChar w:fldCharType="begin"/>
        </w:r>
        <w:r>
          <w:instrText xml:space="preserve"> PAGEREF _Toc185514055 \h </w:instrText>
        </w:r>
        <w:r>
          <w:fldChar w:fldCharType="separate"/>
        </w:r>
        <w:r>
          <w:t>242</w:t>
        </w:r>
        <w:r>
          <w:fldChar w:fldCharType="end"/>
        </w:r>
      </w:hyperlink>
    </w:p>
    <w:p w14:paraId="0DC3F6D3" w14:textId="2472BD16"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056" w:history="1">
        <w:r w:rsidR="00AC5392" w:rsidRPr="00533B68">
          <w:t>Part 2.12</w:t>
        </w:r>
        <w:r w:rsidR="00AC5392">
          <w:rPr>
            <w:rFonts w:asciiTheme="minorHAnsi" w:eastAsiaTheme="minorEastAsia" w:hAnsiTheme="minorHAnsi" w:cstheme="minorBidi"/>
            <w:b w:val="0"/>
            <w:kern w:val="2"/>
            <w:szCs w:val="24"/>
            <w:lang w:eastAsia="en-AU"/>
            <w14:ligatures w14:val="standardContextual"/>
          </w:rPr>
          <w:tab/>
        </w:r>
        <w:r w:rsidR="00AC5392" w:rsidRPr="00533B68">
          <w:t>Expert evidence</w:t>
        </w:r>
        <w:r w:rsidR="00AC5392" w:rsidRPr="00AC5392">
          <w:rPr>
            <w:vanish/>
          </w:rPr>
          <w:tab/>
        </w:r>
        <w:r w:rsidR="00AC5392" w:rsidRPr="00AC5392">
          <w:rPr>
            <w:vanish/>
          </w:rPr>
          <w:fldChar w:fldCharType="begin"/>
        </w:r>
        <w:r w:rsidR="00AC5392" w:rsidRPr="00AC5392">
          <w:rPr>
            <w:vanish/>
          </w:rPr>
          <w:instrText xml:space="preserve"> PAGEREF _Toc185514056 \h </w:instrText>
        </w:r>
        <w:r w:rsidR="00AC5392" w:rsidRPr="00AC5392">
          <w:rPr>
            <w:vanish/>
          </w:rPr>
        </w:r>
        <w:r w:rsidR="00AC5392" w:rsidRPr="00AC5392">
          <w:rPr>
            <w:vanish/>
          </w:rPr>
          <w:fldChar w:fldCharType="separate"/>
        </w:r>
        <w:r w:rsidR="00AC5392" w:rsidRPr="00AC5392">
          <w:rPr>
            <w:vanish/>
          </w:rPr>
          <w:t>243</w:t>
        </w:r>
        <w:r w:rsidR="00AC5392" w:rsidRPr="00AC5392">
          <w:rPr>
            <w:vanish/>
          </w:rPr>
          <w:fldChar w:fldCharType="end"/>
        </w:r>
      </w:hyperlink>
    </w:p>
    <w:p w14:paraId="31E0C269" w14:textId="689AB90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57" w:history="1">
        <w:r w:rsidR="00AC5392" w:rsidRPr="00533B68">
          <w:t>Division 2.12.1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Expert evidence generally</w:t>
        </w:r>
        <w:r w:rsidR="00AC5392" w:rsidRPr="00AC5392">
          <w:rPr>
            <w:vanish/>
          </w:rPr>
          <w:tab/>
        </w:r>
        <w:r w:rsidR="00AC5392" w:rsidRPr="00AC5392">
          <w:rPr>
            <w:vanish/>
          </w:rPr>
          <w:fldChar w:fldCharType="begin"/>
        </w:r>
        <w:r w:rsidR="00AC5392" w:rsidRPr="00AC5392">
          <w:rPr>
            <w:vanish/>
          </w:rPr>
          <w:instrText xml:space="preserve"> PAGEREF _Toc185514057 \h </w:instrText>
        </w:r>
        <w:r w:rsidR="00AC5392" w:rsidRPr="00AC5392">
          <w:rPr>
            <w:vanish/>
          </w:rPr>
        </w:r>
        <w:r w:rsidR="00AC5392" w:rsidRPr="00AC5392">
          <w:rPr>
            <w:vanish/>
          </w:rPr>
          <w:fldChar w:fldCharType="separate"/>
        </w:r>
        <w:r w:rsidR="00AC5392" w:rsidRPr="00AC5392">
          <w:rPr>
            <w:vanish/>
          </w:rPr>
          <w:t>243</w:t>
        </w:r>
        <w:r w:rsidR="00AC5392" w:rsidRPr="00AC5392">
          <w:rPr>
            <w:vanish/>
          </w:rPr>
          <w:fldChar w:fldCharType="end"/>
        </w:r>
      </w:hyperlink>
    </w:p>
    <w:p w14:paraId="168F141C" w14:textId="1B31F45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8" w:history="1">
        <w:r w:rsidRPr="00533B68">
          <w:t>1200</w:t>
        </w:r>
        <w:r>
          <w:rPr>
            <w:rFonts w:asciiTheme="minorHAnsi" w:eastAsiaTheme="minorEastAsia" w:hAnsiTheme="minorHAnsi" w:cstheme="minorBidi"/>
            <w:kern w:val="2"/>
            <w:sz w:val="24"/>
            <w:szCs w:val="24"/>
            <w:lang w:eastAsia="en-AU"/>
            <w14:ligatures w14:val="standardContextual"/>
          </w:rPr>
          <w:tab/>
        </w:r>
        <w:r w:rsidRPr="00533B68">
          <w:t>Purposes—pt 2.12</w:t>
        </w:r>
        <w:r>
          <w:tab/>
        </w:r>
        <w:r>
          <w:fldChar w:fldCharType="begin"/>
        </w:r>
        <w:r>
          <w:instrText xml:space="preserve"> PAGEREF _Toc185514058 \h </w:instrText>
        </w:r>
        <w:r>
          <w:fldChar w:fldCharType="separate"/>
        </w:r>
        <w:r>
          <w:t>243</w:t>
        </w:r>
        <w:r>
          <w:fldChar w:fldCharType="end"/>
        </w:r>
      </w:hyperlink>
    </w:p>
    <w:p w14:paraId="0A03211C" w14:textId="6677169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59" w:history="1">
        <w:r w:rsidRPr="00533B68">
          <w:t>1201</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code of conduct</w:t>
        </w:r>
        <w:r w:rsidRPr="00533B68">
          <w:t>—pt 2.12</w:t>
        </w:r>
        <w:r>
          <w:tab/>
        </w:r>
        <w:r>
          <w:fldChar w:fldCharType="begin"/>
        </w:r>
        <w:r>
          <w:instrText xml:space="preserve"> PAGEREF _Toc185514059 \h </w:instrText>
        </w:r>
        <w:r>
          <w:fldChar w:fldCharType="separate"/>
        </w:r>
        <w:r>
          <w:t>243</w:t>
        </w:r>
        <w:r>
          <w:fldChar w:fldCharType="end"/>
        </w:r>
      </w:hyperlink>
    </w:p>
    <w:p w14:paraId="3519E5B8" w14:textId="01AAF4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0" w:history="1">
        <w:r w:rsidRPr="00533B68">
          <w:t>1202</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expert</w:t>
        </w:r>
        <w:r w:rsidRPr="00533B68">
          <w:t xml:space="preserve">, </w:t>
        </w:r>
        <w:r w:rsidRPr="00533B68">
          <w:rPr>
            <w:i/>
          </w:rPr>
          <w:t>expert witness</w:t>
        </w:r>
        <w:r w:rsidRPr="00533B68">
          <w:t xml:space="preserve"> and </w:t>
        </w:r>
        <w:r w:rsidRPr="00533B68">
          <w:rPr>
            <w:i/>
          </w:rPr>
          <w:t>expert report</w:t>
        </w:r>
        <w:r>
          <w:tab/>
        </w:r>
        <w:r>
          <w:fldChar w:fldCharType="begin"/>
        </w:r>
        <w:r>
          <w:instrText xml:space="preserve"> PAGEREF _Toc185514060 \h </w:instrText>
        </w:r>
        <w:r>
          <w:fldChar w:fldCharType="separate"/>
        </w:r>
        <w:r>
          <w:t>244</w:t>
        </w:r>
        <w:r>
          <w:fldChar w:fldCharType="end"/>
        </w:r>
      </w:hyperlink>
    </w:p>
    <w:p w14:paraId="3D8EA6AD" w14:textId="1680200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1" w:history="1">
        <w:r w:rsidRPr="00533B68">
          <w:t>1203</w:t>
        </w:r>
        <w:r>
          <w:rPr>
            <w:rFonts w:asciiTheme="minorHAnsi" w:eastAsiaTheme="minorEastAsia" w:hAnsiTheme="minorHAnsi" w:cstheme="minorBidi"/>
            <w:kern w:val="2"/>
            <w:sz w:val="24"/>
            <w:szCs w:val="24"/>
            <w:lang w:eastAsia="en-AU"/>
            <w14:ligatures w14:val="standardContextual"/>
          </w:rPr>
          <w:tab/>
        </w:r>
        <w:r w:rsidRPr="00533B68">
          <w:t>Expert witnesses to agree to be bound by code of conduct</w:t>
        </w:r>
        <w:r>
          <w:tab/>
        </w:r>
        <w:r>
          <w:fldChar w:fldCharType="begin"/>
        </w:r>
        <w:r>
          <w:instrText xml:space="preserve"> PAGEREF _Toc185514061 \h </w:instrText>
        </w:r>
        <w:r>
          <w:fldChar w:fldCharType="separate"/>
        </w:r>
        <w:r>
          <w:t>245</w:t>
        </w:r>
        <w:r>
          <w:fldChar w:fldCharType="end"/>
        </w:r>
      </w:hyperlink>
    </w:p>
    <w:p w14:paraId="249D04BB" w14:textId="4C5A1F7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2" w:history="1">
        <w:r w:rsidRPr="00533B68">
          <w:t>1204</w:t>
        </w:r>
        <w:r>
          <w:rPr>
            <w:rFonts w:asciiTheme="minorHAnsi" w:eastAsiaTheme="minorEastAsia" w:hAnsiTheme="minorHAnsi" w:cstheme="minorBidi"/>
            <w:kern w:val="2"/>
            <w:sz w:val="24"/>
            <w:szCs w:val="24"/>
            <w:lang w:eastAsia="en-AU"/>
            <w14:ligatures w14:val="standardContextual"/>
          </w:rPr>
          <w:tab/>
        </w:r>
        <w:r w:rsidRPr="00533B68">
          <w:t>Expert witness—immunity</w:t>
        </w:r>
        <w:r>
          <w:tab/>
        </w:r>
        <w:r>
          <w:fldChar w:fldCharType="begin"/>
        </w:r>
        <w:r>
          <w:instrText xml:space="preserve"> PAGEREF _Toc185514062 \h </w:instrText>
        </w:r>
        <w:r>
          <w:fldChar w:fldCharType="separate"/>
        </w:r>
        <w:r>
          <w:t>245</w:t>
        </w:r>
        <w:r>
          <w:fldChar w:fldCharType="end"/>
        </w:r>
      </w:hyperlink>
    </w:p>
    <w:p w14:paraId="36CB3128" w14:textId="3875DE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3" w:history="1">
        <w:r w:rsidRPr="00533B68">
          <w:t>1205</w:t>
        </w:r>
        <w:r>
          <w:rPr>
            <w:rFonts w:asciiTheme="minorHAnsi" w:eastAsiaTheme="minorEastAsia" w:hAnsiTheme="minorHAnsi" w:cstheme="minorBidi"/>
            <w:kern w:val="2"/>
            <w:sz w:val="24"/>
            <w:szCs w:val="24"/>
            <w:lang w:eastAsia="en-AU"/>
            <w14:ligatures w14:val="standardContextual"/>
          </w:rPr>
          <w:tab/>
        </w:r>
        <w:r w:rsidRPr="00533B68">
          <w:t>Court may give directions in relation to expert evidence</w:t>
        </w:r>
        <w:r>
          <w:tab/>
        </w:r>
        <w:r>
          <w:fldChar w:fldCharType="begin"/>
        </w:r>
        <w:r>
          <w:instrText xml:space="preserve"> PAGEREF _Toc185514063 \h </w:instrText>
        </w:r>
        <w:r>
          <w:fldChar w:fldCharType="separate"/>
        </w:r>
        <w:r>
          <w:t>245</w:t>
        </w:r>
        <w:r>
          <w:fldChar w:fldCharType="end"/>
        </w:r>
      </w:hyperlink>
    </w:p>
    <w:p w14:paraId="2C29A05A" w14:textId="0454C0D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64" w:history="1">
        <w:r w:rsidR="00AC5392" w:rsidRPr="00533B68">
          <w:t>Division 2.12.2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Multiple expert witnesses for same issue</w:t>
        </w:r>
        <w:r w:rsidR="00AC5392" w:rsidRPr="00AC5392">
          <w:rPr>
            <w:vanish/>
          </w:rPr>
          <w:tab/>
        </w:r>
        <w:r w:rsidR="00AC5392" w:rsidRPr="00AC5392">
          <w:rPr>
            <w:vanish/>
          </w:rPr>
          <w:fldChar w:fldCharType="begin"/>
        </w:r>
        <w:r w:rsidR="00AC5392" w:rsidRPr="00AC5392">
          <w:rPr>
            <w:vanish/>
          </w:rPr>
          <w:instrText xml:space="preserve"> PAGEREF _Toc185514064 \h </w:instrText>
        </w:r>
        <w:r w:rsidR="00AC5392" w:rsidRPr="00AC5392">
          <w:rPr>
            <w:vanish/>
          </w:rPr>
        </w:r>
        <w:r w:rsidR="00AC5392" w:rsidRPr="00AC5392">
          <w:rPr>
            <w:vanish/>
          </w:rPr>
          <w:fldChar w:fldCharType="separate"/>
        </w:r>
        <w:r w:rsidR="00AC5392" w:rsidRPr="00AC5392">
          <w:rPr>
            <w:vanish/>
          </w:rPr>
          <w:t>247</w:t>
        </w:r>
        <w:r w:rsidR="00AC5392" w:rsidRPr="00AC5392">
          <w:rPr>
            <w:vanish/>
          </w:rPr>
          <w:fldChar w:fldCharType="end"/>
        </w:r>
      </w:hyperlink>
    </w:p>
    <w:p w14:paraId="53F967D9" w14:textId="1CD4F0B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5" w:history="1">
        <w:r w:rsidRPr="00533B68">
          <w:t>1210</w:t>
        </w:r>
        <w:r>
          <w:rPr>
            <w:rFonts w:asciiTheme="minorHAnsi" w:eastAsiaTheme="minorEastAsia" w:hAnsiTheme="minorHAnsi" w:cstheme="minorBidi"/>
            <w:kern w:val="2"/>
            <w:sz w:val="24"/>
            <w:szCs w:val="24"/>
            <w:lang w:eastAsia="en-AU"/>
            <w14:ligatures w14:val="standardContextual"/>
          </w:rPr>
          <w:tab/>
        </w:r>
        <w:r w:rsidRPr="00533B68">
          <w:t>Application—div 2.12.2</w:t>
        </w:r>
        <w:r>
          <w:tab/>
        </w:r>
        <w:r>
          <w:fldChar w:fldCharType="begin"/>
        </w:r>
        <w:r>
          <w:instrText xml:space="preserve"> PAGEREF _Toc185514065 \h </w:instrText>
        </w:r>
        <w:r>
          <w:fldChar w:fldCharType="separate"/>
        </w:r>
        <w:r>
          <w:t>247</w:t>
        </w:r>
        <w:r>
          <w:fldChar w:fldCharType="end"/>
        </w:r>
      </w:hyperlink>
    </w:p>
    <w:p w14:paraId="2211D0CB" w14:textId="3024763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6" w:history="1">
        <w:r w:rsidRPr="00533B68">
          <w:t>1211</w:t>
        </w:r>
        <w:r>
          <w:rPr>
            <w:rFonts w:asciiTheme="minorHAnsi" w:eastAsiaTheme="minorEastAsia" w:hAnsiTheme="minorHAnsi" w:cstheme="minorBidi"/>
            <w:kern w:val="2"/>
            <w:sz w:val="24"/>
            <w:szCs w:val="24"/>
            <w:lang w:eastAsia="en-AU"/>
            <w14:ligatures w14:val="standardContextual"/>
          </w:rPr>
          <w:tab/>
        </w:r>
        <w:r w:rsidRPr="00533B68">
          <w:t>Court may direct experts to meet etc</w:t>
        </w:r>
        <w:r>
          <w:tab/>
        </w:r>
        <w:r>
          <w:fldChar w:fldCharType="begin"/>
        </w:r>
        <w:r>
          <w:instrText xml:space="preserve"> PAGEREF _Toc185514066 \h </w:instrText>
        </w:r>
        <w:r>
          <w:fldChar w:fldCharType="separate"/>
        </w:r>
        <w:r>
          <w:t>247</w:t>
        </w:r>
        <w:r>
          <w:fldChar w:fldCharType="end"/>
        </w:r>
      </w:hyperlink>
    </w:p>
    <w:p w14:paraId="2083B0DF" w14:textId="59FAACE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67" w:history="1">
        <w:r w:rsidR="00AC5392" w:rsidRPr="00533B68">
          <w:t>Division 2.12.3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Expert reports</w:t>
        </w:r>
        <w:r w:rsidR="00AC5392" w:rsidRPr="00AC5392">
          <w:rPr>
            <w:vanish/>
          </w:rPr>
          <w:tab/>
        </w:r>
        <w:r w:rsidR="00AC5392" w:rsidRPr="00AC5392">
          <w:rPr>
            <w:vanish/>
          </w:rPr>
          <w:fldChar w:fldCharType="begin"/>
        </w:r>
        <w:r w:rsidR="00AC5392" w:rsidRPr="00AC5392">
          <w:rPr>
            <w:vanish/>
          </w:rPr>
          <w:instrText xml:space="preserve"> PAGEREF _Toc185514067 \h </w:instrText>
        </w:r>
        <w:r w:rsidR="00AC5392" w:rsidRPr="00AC5392">
          <w:rPr>
            <w:vanish/>
          </w:rPr>
        </w:r>
        <w:r w:rsidR="00AC5392" w:rsidRPr="00AC5392">
          <w:rPr>
            <w:vanish/>
          </w:rPr>
          <w:fldChar w:fldCharType="separate"/>
        </w:r>
        <w:r w:rsidR="00AC5392" w:rsidRPr="00AC5392">
          <w:rPr>
            <w:vanish/>
          </w:rPr>
          <w:t>249</w:t>
        </w:r>
        <w:r w:rsidR="00AC5392" w:rsidRPr="00AC5392">
          <w:rPr>
            <w:vanish/>
          </w:rPr>
          <w:fldChar w:fldCharType="end"/>
        </w:r>
      </w:hyperlink>
    </w:p>
    <w:p w14:paraId="77252C88" w14:textId="01D75F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8" w:history="1">
        <w:r w:rsidRPr="00533B68">
          <w:t>1240</w:t>
        </w:r>
        <w:r>
          <w:rPr>
            <w:rFonts w:asciiTheme="minorHAnsi" w:eastAsiaTheme="minorEastAsia" w:hAnsiTheme="minorHAnsi" w:cstheme="minorBidi"/>
            <w:kern w:val="2"/>
            <w:sz w:val="24"/>
            <w:szCs w:val="24"/>
            <w:lang w:eastAsia="en-AU"/>
            <w14:ligatures w14:val="standardContextual"/>
          </w:rPr>
          <w:tab/>
        </w:r>
        <w:r w:rsidRPr="00533B68">
          <w:t>Application—div 2.12.3</w:t>
        </w:r>
        <w:r>
          <w:tab/>
        </w:r>
        <w:r>
          <w:fldChar w:fldCharType="begin"/>
        </w:r>
        <w:r>
          <w:instrText xml:space="preserve"> PAGEREF _Toc185514068 \h </w:instrText>
        </w:r>
        <w:r>
          <w:fldChar w:fldCharType="separate"/>
        </w:r>
        <w:r>
          <w:t>249</w:t>
        </w:r>
        <w:r>
          <w:fldChar w:fldCharType="end"/>
        </w:r>
      </w:hyperlink>
    </w:p>
    <w:p w14:paraId="682A4F38" w14:textId="3E838DD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69" w:history="1">
        <w:r w:rsidRPr="00533B68">
          <w:t>1241</w:t>
        </w:r>
        <w:r>
          <w:rPr>
            <w:rFonts w:asciiTheme="minorHAnsi" w:eastAsiaTheme="minorEastAsia" w:hAnsiTheme="minorHAnsi" w:cstheme="minorBidi"/>
            <w:kern w:val="2"/>
            <w:sz w:val="24"/>
            <w:szCs w:val="24"/>
            <w:lang w:eastAsia="en-AU"/>
            <w14:ligatures w14:val="standardContextual"/>
          </w:rPr>
          <w:tab/>
        </w:r>
        <w:r w:rsidRPr="00533B68">
          <w:t>Service of expert reports</w:t>
        </w:r>
        <w:r>
          <w:tab/>
        </w:r>
        <w:r>
          <w:fldChar w:fldCharType="begin"/>
        </w:r>
        <w:r>
          <w:instrText xml:space="preserve"> PAGEREF _Toc185514069 \h </w:instrText>
        </w:r>
        <w:r>
          <w:fldChar w:fldCharType="separate"/>
        </w:r>
        <w:r>
          <w:t>250</w:t>
        </w:r>
        <w:r>
          <w:fldChar w:fldCharType="end"/>
        </w:r>
      </w:hyperlink>
    </w:p>
    <w:p w14:paraId="3A2E1440" w14:textId="57E67F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0" w:history="1">
        <w:r w:rsidRPr="00533B68">
          <w:t>1242</w:t>
        </w:r>
        <w:r>
          <w:rPr>
            <w:rFonts w:asciiTheme="minorHAnsi" w:eastAsiaTheme="minorEastAsia" w:hAnsiTheme="minorHAnsi" w:cstheme="minorBidi"/>
            <w:kern w:val="2"/>
            <w:sz w:val="24"/>
            <w:szCs w:val="24"/>
            <w:lang w:eastAsia="en-AU"/>
            <w14:ligatures w14:val="standardContextual"/>
          </w:rPr>
          <w:tab/>
        </w:r>
        <w:r w:rsidRPr="00533B68">
          <w:t>Supplementary expert reports</w:t>
        </w:r>
        <w:r>
          <w:tab/>
        </w:r>
        <w:r>
          <w:fldChar w:fldCharType="begin"/>
        </w:r>
        <w:r>
          <w:instrText xml:space="preserve"> PAGEREF _Toc185514070 \h </w:instrText>
        </w:r>
        <w:r>
          <w:fldChar w:fldCharType="separate"/>
        </w:r>
        <w:r>
          <w:t>251</w:t>
        </w:r>
        <w:r>
          <w:fldChar w:fldCharType="end"/>
        </w:r>
      </w:hyperlink>
    </w:p>
    <w:p w14:paraId="14CBAD39" w14:textId="40BBF9C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1" w:history="1">
        <w:r w:rsidRPr="00533B68">
          <w:t>1243</w:t>
        </w:r>
        <w:r>
          <w:rPr>
            <w:rFonts w:asciiTheme="minorHAnsi" w:eastAsiaTheme="minorEastAsia" w:hAnsiTheme="minorHAnsi" w:cstheme="minorBidi"/>
            <w:kern w:val="2"/>
            <w:sz w:val="24"/>
            <w:szCs w:val="24"/>
            <w:lang w:eastAsia="en-AU"/>
            <w14:ligatures w14:val="standardContextual"/>
          </w:rPr>
          <w:tab/>
        </w:r>
        <w:r w:rsidRPr="00533B68">
          <w:t>Expert evidence to be covered by expert report</w:t>
        </w:r>
        <w:r>
          <w:tab/>
        </w:r>
        <w:r>
          <w:fldChar w:fldCharType="begin"/>
        </w:r>
        <w:r>
          <w:instrText xml:space="preserve"> PAGEREF _Toc185514071 \h </w:instrText>
        </w:r>
        <w:r>
          <w:fldChar w:fldCharType="separate"/>
        </w:r>
        <w:r>
          <w:t>251</w:t>
        </w:r>
        <w:r>
          <w:fldChar w:fldCharType="end"/>
        </w:r>
      </w:hyperlink>
    </w:p>
    <w:p w14:paraId="64C1329B" w14:textId="0669B4B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2" w:history="1">
        <w:r w:rsidRPr="00533B68">
          <w:t>1244</w:t>
        </w:r>
        <w:r>
          <w:rPr>
            <w:rFonts w:asciiTheme="minorHAnsi" w:eastAsiaTheme="minorEastAsia" w:hAnsiTheme="minorHAnsi" w:cstheme="minorBidi"/>
            <w:kern w:val="2"/>
            <w:sz w:val="24"/>
            <w:szCs w:val="24"/>
            <w:lang w:eastAsia="en-AU"/>
            <w14:ligatures w14:val="standardContextual"/>
          </w:rPr>
          <w:tab/>
        </w:r>
        <w:r w:rsidRPr="00533B68">
          <w:t>Expert reports admissible as evidence of opinion etc</w:t>
        </w:r>
        <w:r>
          <w:tab/>
        </w:r>
        <w:r>
          <w:fldChar w:fldCharType="begin"/>
        </w:r>
        <w:r>
          <w:instrText xml:space="preserve"> PAGEREF _Toc185514072 \h </w:instrText>
        </w:r>
        <w:r>
          <w:fldChar w:fldCharType="separate"/>
        </w:r>
        <w:r>
          <w:t>251</w:t>
        </w:r>
        <w:r>
          <w:fldChar w:fldCharType="end"/>
        </w:r>
      </w:hyperlink>
    </w:p>
    <w:p w14:paraId="62BF4869" w14:textId="204682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3" w:history="1">
        <w:r w:rsidRPr="00533B68">
          <w:t>1245</w:t>
        </w:r>
        <w:r>
          <w:rPr>
            <w:rFonts w:asciiTheme="minorHAnsi" w:eastAsiaTheme="minorEastAsia" w:hAnsiTheme="minorHAnsi" w:cstheme="minorBidi"/>
            <w:kern w:val="2"/>
            <w:sz w:val="24"/>
            <w:szCs w:val="24"/>
            <w:lang w:eastAsia="en-AU"/>
            <w14:ligatures w14:val="standardContextual"/>
          </w:rPr>
          <w:tab/>
        </w:r>
        <w:r w:rsidRPr="00533B68">
          <w:t>Requiring attendance of expert for cross-examination etc</w:t>
        </w:r>
        <w:r>
          <w:tab/>
        </w:r>
        <w:r>
          <w:fldChar w:fldCharType="begin"/>
        </w:r>
        <w:r>
          <w:instrText xml:space="preserve"> PAGEREF _Toc185514073 \h </w:instrText>
        </w:r>
        <w:r>
          <w:fldChar w:fldCharType="separate"/>
        </w:r>
        <w:r>
          <w:t>252</w:t>
        </w:r>
        <w:r>
          <w:fldChar w:fldCharType="end"/>
        </w:r>
      </w:hyperlink>
    </w:p>
    <w:p w14:paraId="5F49D7C2" w14:textId="4BFC22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4" w:history="1">
        <w:r w:rsidRPr="00533B68">
          <w:t>1246</w:t>
        </w:r>
        <w:r>
          <w:rPr>
            <w:rFonts w:asciiTheme="minorHAnsi" w:eastAsiaTheme="minorEastAsia" w:hAnsiTheme="minorHAnsi" w:cstheme="minorBidi"/>
            <w:kern w:val="2"/>
            <w:sz w:val="24"/>
            <w:szCs w:val="24"/>
            <w:lang w:eastAsia="en-AU"/>
            <w14:ligatures w14:val="standardContextual"/>
          </w:rPr>
          <w:tab/>
        </w:r>
        <w:r w:rsidRPr="00533B68">
          <w:t>Tender of expert report</w:t>
        </w:r>
        <w:r>
          <w:tab/>
        </w:r>
        <w:r>
          <w:fldChar w:fldCharType="begin"/>
        </w:r>
        <w:r>
          <w:instrText xml:space="preserve"> PAGEREF _Toc185514074 \h </w:instrText>
        </w:r>
        <w:r>
          <w:fldChar w:fldCharType="separate"/>
        </w:r>
        <w:r>
          <w:t>252</w:t>
        </w:r>
        <w:r>
          <w:fldChar w:fldCharType="end"/>
        </w:r>
      </w:hyperlink>
    </w:p>
    <w:p w14:paraId="2EE711BB" w14:textId="5FE71AF7"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075" w:history="1">
        <w:r w:rsidR="00AC5392" w:rsidRPr="00533B68">
          <w:t>Part 2.13</w:t>
        </w:r>
        <w:r w:rsidR="00AC5392">
          <w:rPr>
            <w:rFonts w:asciiTheme="minorHAnsi" w:eastAsiaTheme="minorEastAsia" w:hAnsiTheme="minorHAnsi" w:cstheme="minorBidi"/>
            <w:b w:val="0"/>
            <w:kern w:val="2"/>
            <w:szCs w:val="24"/>
            <w:lang w:eastAsia="en-AU"/>
            <w14:ligatures w14:val="standardContextual"/>
          </w:rPr>
          <w:tab/>
        </w:r>
        <w:r w:rsidR="00AC5392" w:rsidRPr="00533B68">
          <w:t>Pre-trial procedures</w:t>
        </w:r>
        <w:r w:rsidR="00AC5392" w:rsidRPr="00AC5392">
          <w:rPr>
            <w:vanish/>
          </w:rPr>
          <w:tab/>
        </w:r>
        <w:r w:rsidR="00AC5392" w:rsidRPr="00AC5392">
          <w:rPr>
            <w:vanish/>
          </w:rPr>
          <w:fldChar w:fldCharType="begin"/>
        </w:r>
        <w:r w:rsidR="00AC5392" w:rsidRPr="00AC5392">
          <w:rPr>
            <w:vanish/>
          </w:rPr>
          <w:instrText xml:space="preserve"> PAGEREF _Toc185514075 \h </w:instrText>
        </w:r>
        <w:r w:rsidR="00AC5392" w:rsidRPr="00AC5392">
          <w:rPr>
            <w:vanish/>
          </w:rPr>
        </w:r>
        <w:r w:rsidR="00AC5392" w:rsidRPr="00AC5392">
          <w:rPr>
            <w:vanish/>
          </w:rPr>
          <w:fldChar w:fldCharType="separate"/>
        </w:r>
        <w:r w:rsidR="00AC5392" w:rsidRPr="00AC5392">
          <w:rPr>
            <w:vanish/>
          </w:rPr>
          <w:t>253</w:t>
        </w:r>
        <w:r w:rsidR="00AC5392" w:rsidRPr="00AC5392">
          <w:rPr>
            <w:vanish/>
          </w:rPr>
          <w:fldChar w:fldCharType="end"/>
        </w:r>
      </w:hyperlink>
    </w:p>
    <w:p w14:paraId="71A00E1E" w14:textId="22CF1B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6" w:history="1">
        <w:r w:rsidRPr="00533B68">
          <w:t>1301</w:t>
        </w:r>
        <w:r>
          <w:rPr>
            <w:rFonts w:asciiTheme="minorHAnsi" w:eastAsiaTheme="minorEastAsia" w:hAnsiTheme="minorHAnsi" w:cstheme="minorBidi"/>
            <w:kern w:val="2"/>
            <w:sz w:val="24"/>
            <w:szCs w:val="24"/>
            <w:lang w:eastAsia="en-AU"/>
            <w14:ligatures w14:val="standardContextual"/>
          </w:rPr>
          <w:tab/>
        </w:r>
        <w:r w:rsidRPr="00533B68">
          <w:t>Application—pt 2.13</w:t>
        </w:r>
        <w:r>
          <w:tab/>
        </w:r>
        <w:r>
          <w:fldChar w:fldCharType="begin"/>
        </w:r>
        <w:r>
          <w:instrText xml:space="preserve"> PAGEREF _Toc185514076 \h </w:instrText>
        </w:r>
        <w:r>
          <w:fldChar w:fldCharType="separate"/>
        </w:r>
        <w:r>
          <w:t>253</w:t>
        </w:r>
        <w:r>
          <w:fldChar w:fldCharType="end"/>
        </w:r>
      </w:hyperlink>
    </w:p>
    <w:p w14:paraId="244A9747" w14:textId="7E6CB28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7" w:history="1">
        <w:r w:rsidRPr="00533B68">
          <w:t>1304</w:t>
        </w:r>
        <w:r>
          <w:rPr>
            <w:rFonts w:asciiTheme="minorHAnsi" w:eastAsiaTheme="minorEastAsia" w:hAnsiTheme="minorHAnsi" w:cstheme="minorBidi"/>
            <w:kern w:val="2"/>
            <w:sz w:val="24"/>
            <w:szCs w:val="24"/>
            <w:lang w:eastAsia="en-AU"/>
            <w14:ligatures w14:val="standardContextual"/>
          </w:rPr>
          <w:tab/>
        </w:r>
        <w:r w:rsidRPr="00533B68">
          <w:t>Statement of particulars before trial—personal injury claims</w:t>
        </w:r>
        <w:r>
          <w:tab/>
        </w:r>
        <w:r>
          <w:fldChar w:fldCharType="begin"/>
        </w:r>
        <w:r>
          <w:instrText xml:space="preserve"> PAGEREF _Toc185514077 \h </w:instrText>
        </w:r>
        <w:r>
          <w:fldChar w:fldCharType="separate"/>
        </w:r>
        <w:r>
          <w:t>253</w:t>
        </w:r>
        <w:r>
          <w:fldChar w:fldCharType="end"/>
        </w:r>
      </w:hyperlink>
    </w:p>
    <w:p w14:paraId="5C9A345E" w14:textId="2B096B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8" w:history="1">
        <w:r w:rsidRPr="00533B68">
          <w:t>1305</w:t>
        </w:r>
        <w:r>
          <w:rPr>
            <w:rFonts w:asciiTheme="minorHAnsi" w:eastAsiaTheme="minorEastAsia" w:hAnsiTheme="minorHAnsi" w:cstheme="minorBidi"/>
            <w:kern w:val="2"/>
            <w:sz w:val="24"/>
            <w:szCs w:val="24"/>
            <w:lang w:eastAsia="en-AU"/>
            <w14:ligatures w14:val="standardContextual"/>
          </w:rPr>
          <w:tab/>
        </w:r>
        <w:r w:rsidRPr="00533B68">
          <w:t>Statement of particulars before trial—compensation to relatives in death claims</w:t>
        </w:r>
        <w:r>
          <w:tab/>
        </w:r>
        <w:r>
          <w:fldChar w:fldCharType="begin"/>
        </w:r>
        <w:r>
          <w:instrText xml:space="preserve"> PAGEREF _Toc185514078 \h </w:instrText>
        </w:r>
        <w:r>
          <w:fldChar w:fldCharType="separate"/>
        </w:r>
        <w:r>
          <w:t>256</w:t>
        </w:r>
        <w:r>
          <w:fldChar w:fldCharType="end"/>
        </w:r>
      </w:hyperlink>
    </w:p>
    <w:p w14:paraId="22D7CF1F" w14:textId="237BC5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79" w:history="1">
        <w:r w:rsidRPr="00533B68">
          <w:t>1311</w:t>
        </w:r>
        <w:r>
          <w:rPr>
            <w:rFonts w:asciiTheme="minorHAnsi" w:eastAsiaTheme="minorEastAsia" w:hAnsiTheme="minorHAnsi" w:cstheme="minorBidi"/>
            <w:kern w:val="2"/>
            <w:sz w:val="24"/>
            <w:szCs w:val="24"/>
            <w:lang w:eastAsia="en-AU"/>
            <w14:ligatures w14:val="standardContextual"/>
          </w:rPr>
          <w:tab/>
        </w:r>
        <w:r w:rsidRPr="00533B68">
          <w:t>Expedited trial</w:t>
        </w:r>
        <w:r>
          <w:tab/>
        </w:r>
        <w:r>
          <w:fldChar w:fldCharType="begin"/>
        </w:r>
        <w:r>
          <w:instrText xml:space="preserve"> PAGEREF _Toc185514079 \h </w:instrText>
        </w:r>
        <w:r>
          <w:fldChar w:fldCharType="separate"/>
        </w:r>
        <w:r>
          <w:t>258</w:t>
        </w:r>
        <w:r>
          <w:fldChar w:fldCharType="end"/>
        </w:r>
      </w:hyperlink>
    </w:p>
    <w:p w14:paraId="4C318AFD" w14:textId="5E46D75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0" w:history="1">
        <w:r w:rsidRPr="00533B68">
          <w:t>1312</w:t>
        </w:r>
        <w:r>
          <w:rPr>
            <w:rFonts w:asciiTheme="minorHAnsi" w:eastAsiaTheme="minorEastAsia" w:hAnsiTheme="minorHAnsi" w:cstheme="minorBidi"/>
            <w:kern w:val="2"/>
            <w:sz w:val="24"/>
            <w:szCs w:val="24"/>
            <w:lang w:eastAsia="en-AU"/>
            <w14:ligatures w14:val="standardContextual"/>
          </w:rPr>
          <w:tab/>
        </w:r>
        <w:r w:rsidRPr="00533B68">
          <w:t>Court book</w:t>
        </w:r>
        <w:r>
          <w:tab/>
        </w:r>
        <w:r>
          <w:fldChar w:fldCharType="begin"/>
        </w:r>
        <w:r>
          <w:instrText xml:space="preserve"> PAGEREF _Toc185514080 \h </w:instrText>
        </w:r>
        <w:r>
          <w:fldChar w:fldCharType="separate"/>
        </w:r>
        <w:r>
          <w:t>259</w:t>
        </w:r>
        <w:r>
          <w:fldChar w:fldCharType="end"/>
        </w:r>
      </w:hyperlink>
    </w:p>
    <w:p w14:paraId="23ADE4A1" w14:textId="5EBFCF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1" w:history="1">
        <w:r w:rsidRPr="00533B68">
          <w:t>1325</w:t>
        </w:r>
        <w:r>
          <w:rPr>
            <w:rFonts w:asciiTheme="minorHAnsi" w:eastAsiaTheme="minorEastAsia" w:hAnsiTheme="minorHAnsi" w:cstheme="minorBidi"/>
            <w:kern w:val="2"/>
            <w:sz w:val="24"/>
            <w:szCs w:val="24"/>
            <w:lang w:eastAsia="en-AU"/>
            <w14:ligatures w14:val="standardContextual"/>
          </w:rPr>
          <w:tab/>
        </w:r>
        <w:r w:rsidRPr="00533B68">
          <w:t>Listing hearing</w:t>
        </w:r>
        <w:r>
          <w:tab/>
        </w:r>
        <w:r>
          <w:fldChar w:fldCharType="begin"/>
        </w:r>
        <w:r>
          <w:instrText xml:space="preserve"> PAGEREF _Toc185514081 \h </w:instrText>
        </w:r>
        <w:r>
          <w:fldChar w:fldCharType="separate"/>
        </w:r>
        <w:r>
          <w:t>260</w:t>
        </w:r>
        <w:r>
          <w:fldChar w:fldCharType="end"/>
        </w:r>
      </w:hyperlink>
    </w:p>
    <w:p w14:paraId="6128AA5C" w14:textId="7F7E3E8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2" w:history="1">
        <w:r w:rsidRPr="00533B68">
          <w:t>1326</w:t>
        </w:r>
        <w:r>
          <w:rPr>
            <w:rFonts w:asciiTheme="minorHAnsi" w:eastAsiaTheme="minorEastAsia" w:hAnsiTheme="minorHAnsi" w:cstheme="minorBidi"/>
            <w:kern w:val="2"/>
            <w:sz w:val="24"/>
            <w:szCs w:val="24"/>
            <w:lang w:eastAsia="en-AU"/>
            <w14:ligatures w14:val="standardContextual"/>
          </w:rPr>
          <w:tab/>
        </w:r>
        <w:r w:rsidRPr="00533B68">
          <w:t>Special fixture</w:t>
        </w:r>
        <w:r>
          <w:tab/>
        </w:r>
        <w:r>
          <w:fldChar w:fldCharType="begin"/>
        </w:r>
        <w:r>
          <w:instrText xml:space="preserve"> PAGEREF _Toc185514082 \h </w:instrText>
        </w:r>
        <w:r>
          <w:fldChar w:fldCharType="separate"/>
        </w:r>
        <w:r>
          <w:t>261</w:t>
        </w:r>
        <w:r>
          <w:fldChar w:fldCharType="end"/>
        </w:r>
      </w:hyperlink>
    </w:p>
    <w:p w14:paraId="701C7C43" w14:textId="2932E7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3" w:history="1">
        <w:r w:rsidRPr="00533B68">
          <w:t>1327</w:t>
        </w:r>
        <w:r>
          <w:rPr>
            <w:rFonts w:asciiTheme="minorHAnsi" w:eastAsiaTheme="minorEastAsia" w:hAnsiTheme="minorHAnsi" w:cstheme="minorBidi"/>
            <w:kern w:val="2"/>
            <w:sz w:val="24"/>
            <w:szCs w:val="24"/>
            <w:lang w:eastAsia="en-AU"/>
            <w14:ligatures w14:val="standardContextual"/>
          </w:rPr>
          <w:tab/>
        </w:r>
        <w:r w:rsidRPr="00533B68">
          <w:t>Directions hearings and listing hearings—costs</w:t>
        </w:r>
        <w:r>
          <w:tab/>
        </w:r>
        <w:r>
          <w:fldChar w:fldCharType="begin"/>
        </w:r>
        <w:r>
          <w:instrText xml:space="preserve"> PAGEREF _Toc185514083 \h </w:instrText>
        </w:r>
        <w:r>
          <w:fldChar w:fldCharType="separate"/>
        </w:r>
        <w:r>
          <w:t>262</w:t>
        </w:r>
        <w:r>
          <w:fldChar w:fldCharType="end"/>
        </w:r>
      </w:hyperlink>
    </w:p>
    <w:p w14:paraId="0FD80550" w14:textId="1923FC57"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084" w:history="1">
        <w:r w:rsidR="00AC5392" w:rsidRPr="00533B68">
          <w:t>Part 2.14</w:t>
        </w:r>
        <w:r w:rsidR="00AC5392">
          <w:rPr>
            <w:rFonts w:asciiTheme="minorHAnsi" w:eastAsiaTheme="minorEastAsia" w:hAnsiTheme="minorHAnsi" w:cstheme="minorBidi"/>
            <w:b w:val="0"/>
            <w:kern w:val="2"/>
            <w:szCs w:val="24"/>
            <w:lang w:eastAsia="en-AU"/>
            <w14:ligatures w14:val="standardContextual"/>
          </w:rPr>
          <w:tab/>
        </w:r>
        <w:r w:rsidR="00AC5392" w:rsidRPr="00533B68">
          <w:t>Court supervision</w:t>
        </w:r>
        <w:r w:rsidR="00AC5392" w:rsidRPr="00AC5392">
          <w:rPr>
            <w:vanish/>
          </w:rPr>
          <w:tab/>
        </w:r>
        <w:r w:rsidR="00AC5392" w:rsidRPr="00AC5392">
          <w:rPr>
            <w:vanish/>
          </w:rPr>
          <w:fldChar w:fldCharType="begin"/>
        </w:r>
        <w:r w:rsidR="00AC5392" w:rsidRPr="00AC5392">
          <w:rPr>
            <w:vanish/>
          </w:rPr>
          <w:instrText xml:space="preserve"> PAGEREF _Toc185514084 \h </w:instrText>
        </w:r>
        <w:r w:rsidR="00AC5392" w:rsidRPr="00AC5392">
          <w:rPr>
            <w:vanish/>
          </w:rPr>
        </w:r>
        <w:r w:rsidR="00AC5392" w:rsidRPr="00AC5392">
          <w:rPr>
            <w:vanish/>
          </w:rPr>
          <w:fldChar w:fldCharType="separate"/>
        </w:r>
        <w:r w:rsidR="00AC5392" w:rsidRPr="00AC5392">
          <w:rPr>
            <w:vanish/>
          </w:rPr>
          <w:t>263</w:t>
        </w:r>
        <w:r w:rsidR="00AC5392" w:rsidRPr="00AC5392">
          <w:rPr>
            <w:vanish/>
          </w:rPr>
          <w:fldChar w:fldCharType="end"/>
        </w:r>
      </w:hyperlink>
    </w:p>
    <w:p w14:paraId="6D5081FC" w14:textId="73C73C2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85" w:history="1">
        <w:r w:rsidR="00AC5392" w:rsidRPr="00533B68">
          <w:t>Division 2.14.1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Directions</w:t>
        </w:r>
        <w:r w:rsidR="00AC5392" w:rsidRPr="00AC5392">
          <w:rPr>
            <w:vanish/>
          </w:rPr>
          <w:tab/>
        </w:r>
        <w:r w:rsidR="00AC5392" w:rsidRPr="00AC5392">
          <w:rPr>
            <w:vanish/>
          </w:rPr>
          <w:fldChar w:fldCharType="begin"/>
        </w:r>
        <w:r w:rsidR="00AC5392" w:rsidRPr="00AC5392">
          <w:rPr>
            <w:vanish/>
          </w:rPr>
          <w:instrText xml:space="preserve"> PAGEREF _Toc185514085 \h </w:instrText>
        </w:r>
        <w:r w:rsidR="00AC5392" w:rsidRPr="00AC5392">
          <w:rPr>
            <w:vanish/>
          </w:rPr>
        </w:r>
        <w:r w:rsidR="00AC5392" w:rsidRPr="00AC5392">
          <w:rPr>
            <w:vanish/>
          </w:rPr>
          <w:fldChar w:fldCharType="separate"/>
        </w:r>
        <w:r w:rsidR="00AC5392" w:rsidRPr="00AC5392">
          <w:rPr>
            <w:vanish/>
          </w:rPr>
          <w:t>263</w:t>
        </w:r>
        <w:r w:rsidR="00AC5392" w:rsidRPr="00AC5392">
          <w:rPr>
            <w:vanish/>
          </w:rPr>
          <w:fldChar w:fldCharType="end"/>
        </w:r>
      </w:hyperlink>
    </w:p>
    <w:p w14:paraId="44979C07" w14:textId="20DEE4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6" w:history="1">
        <w:r w:rsidRPr="00533B68">
          <w:t>1400</w:t>
        </w:r>
        <w:r>
          <w:rPr>
            <w:rFonts w:asciiTheme="minorHAnsi" w:eastAsiaTheme="minorEastAsia" w:hAnsiTheme="minorHAnsi" w:cstheme="minorBidi"/>
            <w:kern w:val="2"/>
            <w:sz w:val="24"/>
            <w:szCs w:val="24"/>
            <w:lang w:eastAsia="en-AU"/>
            <w14:ligatures w14:val="standardContextual"/>
          </w:rPr>
          <w:tab/>
        </w:r>
        <w:r w:rsidRPr="00533B68">
          <w:t>Directions—application</w:t>
        </w:r>
        <w:r>
          <w:tab/>
        </w:r>
        <w:r>
          <w:fldChar w:fldCharType="begin"/>
        </w:r>
        <w:r>
          <w:instrText xml:space="preserve"> PAGEREF _Toc185514086 \h </w:instrText>
        </w:r>
        <w:r>
          <w:fldChar w:fldCharType="separate"/>
        </w:r>
        <w:r>
          <w:t>263</w:t>
        </w:r>
        <w:r>
          <w:fldChar w:fldCharType="end"/>
        </w:r>
      </w:hyperlink>
    </w:p>
    <w:p w14:paraId="07499F93" w14:textId="21E3C52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7" w:history="1">
        <w:r w:rsidRPr="00533B68">
          <w:t>1401</w:t>
        </w:r>
        <w:r>
          <w:rPr>
            <w:rFonts w:asciiTheme="minorHAnsi" w:eastAsiaTheme="minorEastAsia" w:hAnsiTheme="minorHAnsi" w:cstheme="minorBidi"/>
            <w:kern w:val="2"/>
            <w:sz w:val="24"/>
            <w:szCs w:val="24"/>
            <w:lang w:eastAsia="en-AU"/>
            <w14:ligatures w14:val="standardContextual"/>
          </w:rPr>
          <w:tab/>
        </w:r>
        <w:r w:rsidRPr="00533B68">
          <w:t>Directions generally</w:t>
        </w:r>
        <w:r>
          <w:tab/>
        </w:r>
        <w:r>
          <w:fldChar w:fldCharType="begin"/>
        </w:r>
        <w:r>
          <w:instrText xml:space="preserve"> PAGEREF _Toc185514087 \h </w:instrText>
        </w:r>
        <w:r>
          <w:fldChar w:fldCharType="separate"/>
        </w:r>
        <w:r>
          <w:t>263</w:t>
        </w:r>
        <w:r>
          <w:fldChar w:fldCharType="end"/>
        </w:r>
      </w:hyperlink>
    </w:p>
    <w:p w14:paraId="2E7B7483" w14:textId="3A0FFF6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8" w:history="1">
        <w:r w:rsidRPr="00533B68">
          <w:t>1402</w:t>
        </w:r>
        <w:r>
          <w:rPr>
            <w:rFonts w:asciiTheme="minorHAnsi" w:eastAsiaTheme="minorEastAsia" w:hAnsiTheme="minorHAnsi" w:cstheme="minorBidi"/>
            <w:kern w:val="2"/>
            <w:sz w:val="24"/>
            <w:szCs w:val="24"/>
            <w:lang w:eastAsia="en-AU"/>
            <w14:ligatures w14:val="standardContextual"/>
          </w:rPr>
          <w:tab/>
        </w:r>
        <w:r w:rsidRPr="00533B68">
          <w:t>Proceeding already being managed by court</w:t>
        </w:r>
        <w:r>
          <w:tab/>
        </w:r>
        <w:r>
          <w:fldChar w:fldCharType="begin"/>
        </w:r>
        <w:r>
          <w:instrText xml:space="preserve"> PAGEREF _Toc185514088 \h </w:instrText>
        </w:r>
        <w:r>
          <w:fldChar w:fldCharType="separate"/>
        </w:r>
        <w:r>
          <w:t>266</w:t>
        </w:r>
        <w:r>
          <w:fldChar w:fldCharType="end"/>
        </w:r>
      </w:hyperlink>
    </w:p>
    <w:p w14:paraId="5131A293" w14:textId="12C4F0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89" w:history="1">
        <w:r w:rsidRPr="00533B68">
          <w:t>1403</w:t>
        </w:r>
        <w:r>
          <w:rPr>
            <w:rFonts w:asciiTheme="minorHAnsi" w:eastAsiaTheme="minorEastAsia" w:hAnsiTheme="minorHAnsi" w:cstheme="minorBidi"/>
            <w:kern w:val="2"/>
            <w:sz w:val="24"/>
            <w:szCs w:val="24"/>
            <w:lang w:eastAsia="en-AU"/>
            <w14:ligatures w14:val="standardContextual"/>
          </w:rPr>
          <w:tab/>
        </w:r>
        <w:r w:rsidRPr="00533B68">
          <w:t>Decision in proceeding</w:t>
        </w:r>
        <w:r>
          <w:tab/>
        </w:r>
        <w:r>
          <w:fldChar w:fldCharType="begin"/>
        </w:r>
        <w:r>
          <w:instrText xml:space="preserve"> PAGEREF _Toc185514089 \h </w:instrText>
        </w:r>
        <w:r>
          <w:fldChar w:fldCharType="separate"/>
        </w:r>
        <w:r>
          <w:t>266</w:t>
        </w:r>
        <w:r>
          <w:fldChar w:fldCharType="end"/>
        </w:r>
      </w:hyperlink>
    </w:p>
    <w:p w14:paraId="7836CB33" w14:textId="284284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90" w:history="1">
        <w:r w:rsidRPr="00533B68">
          <w:t>1404</w:t>
        </w:r>
        <w:r>
          <w:rPr>
            <w:rFonts w:asciiTheme="minorHAnsi" w:eastAsiaTheme="minorEastAsia" w:hAnsiTheme="minorHAnsi" w:cstheme="minorBidi"/>
            <w:kern w:val="2"/>
            <w:sz w:val="24"/>
            <w:szCs w:val="24"/>
            <w:lang w:eastAsia="en-AU"/>
            <w14:ligatures w14:val="standardContextual"/>
          </w:rPr>
          <w:tab/>
        </w:r>
        <w:r w:rsidRPr="00533B68">
          <w:t>Failure to comply with direction etc</w:t>
        </w:r>
        <w:r>
          <w:tab/>
        </w:r>
        <w:r>
          <w:fldChar w:fldCharType="begin"/>
        </w:r>
        <w:r>
          <w:instrText xml:space="preserve"> PAGEREF _Toc185514090 \h </w:instrText>
        </w:r>
        <w:r>
          <w:fldChar w:fldCharType="separate"/>
        </w:r>
        <w:r>
          <w:t>266</w:t>
        </w:r>
        <w:r>
          <w:fldChar w:fldCharType="end"/>
        </w:r>
      </w:hyperlink>
    </w:p>
    <w:p w14:paraId="691E4FA6" w14:textId="4DBF885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91" w:history="1">
        <w:r w:rsidR="00AC5392" w:rsidRPr="00533B68">
          <w:t>Division 2.14.1A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Transfer of proceedings between courts</w:t>
        </w:r>
        <w:r w:rsidR="00AC5392" w:rsidRPr="00AC5392">
          <w:rPr>
            <w:vanish/>
          </w:rPr>
          <w:tab/>
        </w:r>
        <w:r w:rsidR="00AC5392" w:rsidRPr="00AC5392">
          <w:rPr>
            <w:vanish/>
          </w:rPr>
          <w:fldChar w:fldCharType="begin"/>
        </w:r>
        <w:r w:rsidR="00AC5392" w:rsidRPr="00AC5392">
          <w:rPr>
            <w:vanish/>
          </w:rPr>
          <w:instrText xml:space="preserve"> PAGEREF _Toc185514091 \h </w:instrText>
        </w:r>
        <w:r w:rsidR="00AC5392" w:rsidRPr="00AC5392">
          <w:rPr>
            <w:vanish/>
          </w:rPr>
        </w:r>
        <w:r w:rsidR="00AC5392" w:rsidRPr="00AC5392">
          <w:rPr>
            <w:vanish/>
          </w:rPr>
          <w:fldChar w:fldCharType="separate"/>
        </w:r>
        <w:r w:rsidR="00AC5392" w:rsidRPr="00AC5392">
          <w:rPr>
            <w:vanish/>
          </w:rPr>
          <w:t>268</w:t>
        </w:r>
        <w:r w:rsidR="00AC5392" w:rsidRPr="00AC5392">
          <w:rPr>
            <w:vanish/>
          </w:rPr>
          <w:fldChar w:fldCharType="end"/>
        </w:r>
      </w:hyperlink>
    </w:p>
    <w:p w14:paraId="4AE27157" w14:textId="1AE4B86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92" w:history="1">
        <w:r w:rsidRPr="00533B68">
          <w:t>1430</w:t>
        </w:r>
        <w:r>
          <w:rPr>
            <w:rFonts w:asciiTheme="minorHAnsi" w:eastAsiaTheme="minorEastAsia" w:hAnsiTheme="minorHAnsi" w:cstheme="minorBidi"/>
            <w:kern w:val="2"/>
            <w:sz w:val="24"/>
            <w:szCs w:val="24"/>
            <w:lang w:eastAsia="en-AU"/>
            <w14:ligatures w14:val="standardContextual"/>
          </w:rPr>
          <w:tab/>
        </w:r>
        <w:r w:rsidRPr="00533B68">
          <w:t>Transfer of proceeding from Supreme Court to Magistrates Court—application</w:t>
        </w:r>
        <w:r>
          <w:tab/>
        </w:r>
        <w:r>
          <w:fldChar w:fldCharType="begin"/>
        </w:r>
        <w:r>
          <w:instrText xml:space="preserve"> PAGEREF _Toc185514092 \h </w:instrText>
        </w:r>
        <w:r>
          <w:fldChar w:fldCharType="separate"/>
        </w:r>
        <w:r>
          <w:t>268</w:t>
        </w:r>
        <w:r>
          <w:fldChar w:fldCharType="end"/>
        </w:r>
      </w:hyperlink>
    </w:p>
    <w:p w14:paraId="6C22EEDE" w14:textId="5382CEF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93" w:history="1">
        <w:r w:rsidRPr="00533B68">
          <w:t>1431</w:t>
        </w:r>
        <w:r>
          <w:rPr>
            <w:rFonts w:asciiTheme="minorHAnsi" w:eastAsiaTheme="minorEastAsia" w:hAnsiTheme="minorHAnsi" w:cstheme="minorBidi"/>
            <w:kern w:val="2"/>
            <w:sz w:val="24"/>
            <w:szCs w:val="24"/>
            <w:lang w:eastAsia="en-AU"/>
            <w14:ligatures w14:val="standardContextual"/>
          </w:rPr>
          <w:tab/>
        </w:r>
        <w:r w:rsidRPr="00533B68">
          <w:t>Transfer of proceeding from Supreme Court to Magistrates Court—procedure</w:t>
        </w:r>
        <w:r>
          <w:tab/>
        </w:r>
        <w:r>
          <w:fldChar w:fldCharType="begin"/>
        </w:r>
        <w:r>
          <w:instrText xml:space="preserve"> PAGEREF _Toc185514093 \h </w:instrText>
        </w:r>
        <w:r>
          <w:fldChar w:fldCharType="separate"/>
        </w:r>
        <w:r>
          <w:t>268</w:t>
        </w:r>
        <w:r>
          <w:fldChar w:fldCharType="end"/>
        </w:r>
      </w:hyperlink>
    </w:p>
    <w:p w14:paraId="1332B9CE" w14:textId="5C4B80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94" w:history="1">
        <w:r w:rsidRPr="00533B68">
          <w:t>1432</w:t>
        </w:r>
        <w:r>
          <w:rPr>
            <w:rFonts w:asciiTheme="minorHAnsi" w:eastAsiaTheme="minorEastAsia" w:hAnsiTheme="minorHAnsi" w:cstheme="minorBidi"/>
            <w:kern w:val="2"/>
            <w:sz w:val="24"/>
            <w:szCs w:val="24"/>
            <w:lang w:eastAsia="en-AU"/>
            <w14:ligatures w14:val="standardContextual"/>
          </w:rPr>
          <w:tab/>
        </w:r>
        <w:r w:rsidRPr="00533B68">
          <w:t>Transfer of proceeding from Magistrates Court to Supreme Court—application</w:t>
        </w:r>
        <w:r>
          <w:tab/>
        </w:r>
        <w:r>
          <w:fldChar w:fldCharType="begin"/>
        </w:r>
        <w:r>
          <w:instrText xml:space="preserve"> PAGEREF _Toc185514094 \h </w:instrText>
        </w:r>
        <w:r>
          <w:fldChar w:fldCharType="separate"/>
        </w:r>
        <w:r>
          <w:t>270</w:t>
        </w:r>
        <w:r>
          <w:fldChar w:fldCharType="end"/>
        </w:r>
      </w:hyperlink>
    </w:p>
    <w:p w14:paraId="1C0ED0C1" w14:textId="579337B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95" w:history="1">
        <w:r w:rsidRPr="00533B68">
          <w:t>1433</w:t>
        </w:r>
        <w:r>
          <w:rPr>
            <w:rFonts w:asciiTheme="minorHAnsi" w:eastAsiaTheme="minorEastAsia" w:hAnsiTheme="minorHAnsi" w:cstheme="minorBidi"/>
            <w:kern w:val="2"/>
            <w:sz w:val="24"/>
            <w:szCs w:val="24"/>
            <w:lang w:eastAsia="en-AU"/>
            <w14:ligatures w14:val="standardContextual"/>
          </w:rPr>
          <w:tab/>
        </w:r>
        <w:r w:rsidRPr="00533B68">
          <w:t>Transfer of proceeding from Magistrates Court to Supreme Court—stay of proceeding</w:t>
        </w:r>
        <w:r>
          <w:tab/>
        </w:r>
        <w:r>
          <w:fldChar w:fldCharType="begin"/>
        </w:r>
        <w:r>
          <w:instrText xml:space="preserve"> PAGEREF _Toc185514095 \h </w:instrText>
        </w:r>
        <w:r>
          <w:fldChar w:fldCharType="separate"/>
        </w:r>
        <w:r>
          <w:t>270</w:t>
        </w:r>
        <w:r>
          <w:fldChar w:fldCharType="end"/>
        </w:r>
      </w:hyperlink>
    </w:p>
    <w:p w14:paraId="7F6B4970" w14:textId="3960034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96" w:history="1">
        <w:r w:rsidR="00AC5392" w:rsidRPr="00533B68">
          <w:t>Division 2.14.1B</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Removal of applications from ACAT to Supreme Court</w:t>
        </w:r>
        <w:r w:rsidR="00AC5392" w:rsidRPr="00AC5392">
          <w:rPr>
            <w:vanish/>
          </w:rPr>
          <w:tab/>
        </w:r>
        <w:r w:rsidR="00AC5392" w:rsidRPr="00AC5392">
          <w:rPr>
            <w:vanish/>
          </w:rPr>
          <w:fldChar w:fldCharType="begin"/>
        </w:r>
        <w:r w:rsidR="00AC5392" w:rsidRPr="00AC5392">
          <w:rPr>
            <w:vanish/>
          </w:rPr>
          <w:instrText xml:space="preserve"> PAGEREF _Toc185514096 \h </w:instrText>
        </w:r>
        <w:r w:rsidR="00AC5392" w:rsidRPr="00AC5392">
          <w:rPr>
            <w:vanish/>
          </w:rPr>
        </w:r>
        <w:r w:rsidR="00AC5392" w:rsidRPr="00AC5392">
          <w:rPr>
            <w:vanish/>
          </w:rPr>
          <w:fldChar w:fldCharType="separate"/>
        </w:r>
        <w:r w:rsidR="00AC5392" w:rsidRPr="00AC5392">
          <w:rPr>
            <w:vanish/>
          </w:rPr>
          <w:t>270</w:t>
        </w:r>
        <w:r w:rsidR="00AC5392" w:rsidRPr="00AC5392">
          <w:rPr>
            <w:vanish/>
          </w:rPr>
          <w:fldChar w:fldCharType="end"/>
        </w:r>
      </w:hyperlink>
    </w:p>
    <w:p w14:paraId="51ED38E9" w14:textId="45CE73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97" w:history="1">
        <w:r w:rsidRPr="00533B68">
          <w:t>1440</w:t>
        </w:r>
        <w:r>
          <w:rPr>
            <w:rFonts w:asciiTheme="minorHAnsi" w:eastAsiaTheme="minorEastAsia" w:hAnsiTheme="minorHAnsi" w:cstheme="minorBidi"/>
            <w:kern w:val="2"/>
            <w:sz w:val="24"/>
            <w:szCs w:val="24"/>
            <w:lang w:eastAsia="en-AU"/>
            <w14:ligatures w14:val="standardContextual"/>
          </w:rPr>
          <w:tab/>
        </w:r>
        <w:r w:rsidRPr="00533B68">
          <w:t>Removal of applications from ACAT to Supreme Court—application</w:t>
        </w:r>
        <w:r>
          <w:tab/>
        </w:r>
        <w:r>
          <w:fldChar w:fldCharType="begin"/>
        </w:r>
        <w:r>
          <w:instrText xml:space="preserve"> PAGEREF _Toc185514097 \h </w:instrText>
        </w:r>
        <w:r>
          <w:fldChar w:fldCharType="separate"/>
        </w:r>
        <w:r>
          <w:t>270</w:t>
        </w:r>
        <w:r>
          <w:fldChar w:fldCharType="end"/>
        </w:r>
      </w:hyperlink>
    </w:p>
    <w:p w14:paraId="14AD19CA" w14:textId="1C2848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098" w:history="1">
        <w:r w:rsidRPr="00533B68">
          <w:t>1441</w:t>
        </w:r>
        <w:r>
          <w:rPr>
            <w:rFonts w:asciiTheme="minorHAnsi" w:eastAsiaTheme="minorEastAsia" w:hAnsiTheme="minorHAnsi" w:cstheme="minorBidi"/>
            <w:kern w:val="2"/>
            <w:sz w:val="24"/>
            <w:szCs w:val="24"/>
            <w:lang w:eastAsia="en-AU"/>
            <w14:ligatures w14:val="standardContextual"/>
          </w:rPr>
          <w:tab/>
        </w:r>
        <w:r w:rsidRPr="00533B68">
          <w:t>Removal of applications from ACAT to Supreme Court—procedure</w:t>
        </w:r>
        <w:r>
          <w:tab/>
        </w:r>
        <w:r>
          <w:fldChar w:fldCharType="begin"/>
        </w:r>
        <w:r>
          <w:instrText xml:space="preserve"> PAGEREF _Toc185514098 \h </w:instrText>
        </w:r>
        <w:r>
          <w:fldChar w:fldCharType="separate"/>
        </w:r>
        <w:r>
          <w:t>271</w:t>
        </w:r>
        <w:r>
          <w:fldChar w:fldCharType="end"/>
        </w:r>
      </w:hyperlink>
    </w:p>
    <w:p w14:paraId="4FC31760" w14:textId="35DC520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099" w:history="1">
        <w:r w:rsidR="00AC5392" w:rsidRPr="00533B68">
          <w:t>Division 2.14.2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Failure to comply with rules or order</w:t>
        </w:r>
        <w:r w:rsidR="00AC5392" w:rsidRPr="00AC5392">
          <w:rPr>
            <w:vanish/>
          </w:rPr>
          <w:tab/>
        </w:r>
        <w:r w:rsidR="00AC5392" w:rsidRPr="00AC5392">
          <w:rPr>
            <w:vanish/>
          </w:rPr>
          <w:fldChar w:fldCharType="begin"/>
        </w:r>
        <w:r w:rsidR="00AC5392" w:rsidRPr="00AC5392">
          <w:rPr>
            <w:vanish/>
          </w:rPr>
          <w:instrText xml:space="preserve"> PAGEREF _Toc185514099 \h </w:instrText>
        </w:r>
        <w:r w:rsidR="00AC5392" w:rsidRPr="00AC5392">
          <w:rPr>
            <w:vanish/>
          </w:rPr>
        </w:r>
        <w:r w:rsidR="00AC5392" w:rsidRPr="00AC5392">
          <w:rPr>
            <w:vanish/>
          </w:rPr>
          <w:fldChar w:fldCharType="separate"/>
        </w:r>
        <w:r w:rsidR="00AC5392" w:rsidRPr="00AC5392">
          <w:rPr>
            <w:vanish/>
          </w:rPr>
          <w:t>271</w:t>
        </w:r>
        <w:r w:rsidR="00AC5392" w:rsidRPr="00AC5392">
          <w:rPr>
            <w:vanish/>
          </w:rPr>
          <w:fldChar w:fldCharType="end"/>
        </w:r>
      </w:hyperlink>
    </w:p>
    <w:p w14:paraId="0A64922C" w14:textId="506F3F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00" w:history="1">
        <w:r w:rsidRPr="00533B68">
          <w:t>1450</w:t>
        </w:r>
        <w:r>
          <w:rPr>
            <w:rFonts w:asciiTheme="minorHAnsi" w:eastAsiaTheme="minorEastAsia" w:hAnsiTheme="minorHAnsi" w:cstheme="minorBidi"/>
            <w:kern w:val="2"/>
            <w:sz w:val="24"/>
            <w:szCs w:val="24"/>
            <w:lang w:eastAsia="en-AU"/>
            <w14:ligatures w14:val="standardContextual"/>
          </w:rPr>
          <w:tab/>
        </w:r>
        <w:r w:rsidRPr="00533B68">
          <w:t>Effect of failure to comply with rules</w:t>
        </w:r>
        <w:r>
          <w:tab/>
        </w:r>
        <w:r>
          <w:fldChar w:fldCharType="begin"/>
        </w:r>
        <w:r>
          <w:instrText xml:space="preserve"> PAGEREF _Toc185514100 \h </w:instrText>
        </w:r>
        <w:r>
          <w:fldChar w:fldCharType="separate"/>
        </w:r>
        <w:r>
          <w:t>271</w:t>
        </w:r>
        <w:r>
          <w:fldChar w:fldCharType="end"/>
        </w:r>
      </w:hyperlink>
    </w:p>
    <w:p w14:paraId="4F4862B9" w14:textId="56F0BE1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01" w:history="1">
        <w:r w:rsidRPr="00533B68">
          <w:t>1451</w:t>
        </w:r>
        <w:r>
          <w:rPr>
            <w:rFonts w:asciiTheme="minorHAnsi" w:eastAsiaTheme="minorEastAsia" w:hAnsiTheme="minorHAnsi" w:cstheme="minorBidi"/>
            <w:kern w:val="2"/>
            <w:sz w:val="24"/>
            <w:szCs w:val="24"/>
            <w:lang w:eastAsia="en-AU"/>
            <w14:ligatures w14:val="standardContextual"/>
          </w:rPr>
          <w:tab/>
        </w:r>
        <w:r w:rsidRPr="00533B68">
          <w:t>Application because of failure to comply with rules</w:t>
        </w:r>
        <w:r>
          <w:tab/>
        </w:r>
        <w:r>
          <w:fldChar w:fldCharType="begin"/>
        </w:r>
        <w:r>
          <w:instrText xml:space="preserve"> PAGEREF _Toc185514101 \h </w:instrText>
        </w:r>
        <w:r>
          <w:fldChar w:fldCharType="separate"/>
        </w:r>
        <w:r>
          <w:t>272</w:t>
        </w:r>
        <w:r>
          <w:fldChar w:fldCharType="end"/>
        </w:r>
      </w:hyperlink>
    </w:p>
    <w:p w14:paraId="27002AA6" w14:textId="6CB998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02" w:history="1">
        <w:r w:rsidRPr="00533B68">
          <w:t>1452</w:t>
        </w:r>
        <w:r>
          <w:rPr>
            <w:rFonts w:asciiTheme="minorHAnsi" w:eastAsiaTheme="minorEastAsia" w:hAnsiTheme="minorHAnsi" w:cstheme="minorBidi"/>
            <w:kern w:val="2"/>
            <w:sz w:val="24"/>
            <w:szCs w:val="24"/>
            <w:lang w:eastAsia="en-AU"/>
            <w14:ligatures w14:val="standardContextual"/>
          </w:rPr>
          <w:tab/>
        </w:r>
        <w:r w:rsidRPr="00533B68">
          <w:t>Failure to comply with order to take step</w:t>
        </w:r>
        <w:r>
          <w:tab/>
        </w:r>
        <w:r>
          <w:fldChar w:fldCharType="begin"/>
        </w:r>
        <w:r>
          <w:instrText xml:space="preserve"> PAGEREF _Toc185514102 \h </w:instrText>
        </w:r>
        <w:r>
          <w:fldChar w:fldCharType="separate"/>
        </w:r>
        <w:r>
          <w:t>273</w:t>
        </w:r>
        <w:r>
          <w:fldChar w:fldCharType="end"/>
        </w:r>
      </w:hyperlink>
    </w:p>
    <w:p w14:paraId="4C70FB2B" w14:textId="11E2677C"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103" w:history="1">
        <w:r w:rsidR="00AC5392" w:rsidRPr="00533B68">
          <w:t>Part 2.15</w:t>
        </w:r>
        <w:r w:rsidR="00AC5392">
          <w:rPr>
            <w:rFonts w:asciiTheme="minorHAnsi" w:eastAsiaTheme="minorEastAsia" w:hAnsiTheme="minorHAnsi" w:cstheme="minorBidi"/>
            <w:b w:val="0"/>
            <w:kern w:val="2"/>
            <w:szCs w:val="24"/>
            <w:lang w:eastAsia="en-AU"/>
            <w14:ligatures w14:val="standardContextual"/>
          </w:rPr>
          <w:tab/>
        </w:r>
        <w:r w:rsidR="00AC5392" w:rsidRPr="00533B68">
          <w:t>Trial</w:t>
        </w:r>
        <w:r w:rsidR="00AC5392" w:rsidRPr="00AC5392">
          <w:rPr>
            <w:vanish/>
          </w:rPr>
          <w:tab/>
        </w:r>
        <w:r w:rsidR="00AC5392" w:rsidRPr="00AC5392">
          <w:rPr>
            <w:vanish/>
          </w:rPr>
          <w:fldChar w:fldCharType="begin"/>
        </w:r>
        <w:r w:rsidR="00AC5392" w:rsidRPr="00AC5392">
          <w:rPr>
            <w:vanish/>
          </w:rPr>
          <w:instrText xml:space="preserve"> PAGEREF _Toc185514103 \h </w:instrText>
        </w:r>
        <w:r w:rsidR="00AC5392" w:rsidRPr="00AC5392">
          <w:rPr>
            <w:vanish/>
          </w:rPr>
        </w:r>
        <w:r w:rsidR="00AC5392" w:rsidRPr="00AC5392">
          <w:rPr>
            <w:vanish/>
          </w:rPr>
          <w:fldChar w:fldCharType="separate"/>
        </w:r>
        <w:r w:rsidR="00AC5392" w:rsidRPr="00AC5392">
          <w:rPr>
            <w:vanish/>
          </w:rPr>
          <w:t>275</w:t>
        </w:r>
        <w:r w:rsidR="00AC5392" w:rsidRPr="00AC5392">
          <w:rPr>
            <w:vanish/>
          </w:rPr>
          <w:fldChar w:fldCharType="end"/>
        </w:r>
      </w:hyperlink>
    </w:p>
    <w:p w14:paraId="25608ACC" w14:textId="108933B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04" w:history="1">
        <w:r w:rsidR="00AC5392" w:rsidRPr="00533B68">
          <w:t>Division 2.15.1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Interpretation—pt 2.15</w:t>
        </w:r>
        <w:r w:rsidR="00AC5392" w:rsidRPr="00AC5392">
          <w:rPr>
            <w:vanish/>
          </w:rPr>
          <w:tab/>
        </w:r>
        <w:r w:rsidR="00AC5392" w:rsidRPr="00AC5392">
          <w:rPr>
            <w:vanish/>
          </w:rPr>
          <w:fldChar w:fldCharType="begin"/>
        </w:r>
        <w:r w:rsidR="00AC5392" w:rsidRPr="00AC5392">
          <w:rPr>
            <w:vanish/>
          </w:rPr>
          <w:instrText xml:space="preserve"> PAGEREF _Toc185514104 \h </w:instrText>
        </w:r>
        <w:r w:rsidR="00AC5392" w:rsidRPr="00AC5392">
          <w:rPr>
            <w:vanish/>
          </w:rPr>
        </w:r>
        <w:r w:rsidR="00AC5392" w:rsidRPr="00AC5392">
          <w:rPr>
            <w:vanish/>
          </w:rPr>
          <w:fldChar w:fldCharType="separate"/>
        </w:r>
        <w:r w:rsidR="00AC5392" w:rsidRPr="00AC5392">
          <w:rPr>
            <w:vanish/>
          </w:rPr>
          <w:t>275</w:t>
        </w:r>
        <w:r w:rsidR="00AC5392" w:rsidRPr="00AC5392">
          <w:rPr>
            <w:vanish/>
          </w:rPr>
          <w:fldChar w:fldCharType="end"/>
        </w:r>
      </w:hyperlink>
    </w:p>
    <w:p w14:paraId="03B9765A" w14:textId="2712C0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05" w:history="1">
        <w:r w:rsidRPr="00533B68">
          <w:t>1500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question</w:t>
        </w:r>
        <w:r w:rsidRPr="00533B68">
          <w:t>—pt 2.15</w:t>
        </w:r>
        <w:r>
          <w:tab/>
        </w:r>
        <w:r>
          <w:fldChar w:fldCharType="begin"/>
        </w:r>
        <w:r>
          <w:instrText xml:space="preserve"> PAGEREF _Toc185514105 \h </w:instrText>
        </w:r>
        <w:r>
          <w:fldChar w:fldCharType="separate"/>
        </w:r>
        <w:r>
          <w:t>275</w:t>
        </w:r>
        <w:r>
          <w:fldChar w:fldCharType="end"/>
        </w:r>
      </w:hyperlink>
    </w:p>
    <w:p w14:paraId="7CFDFDAF" w14:textId="5083D5C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06" w:history="1">
        <w:r w:rsidR="00AC5392" w:rsidRPr="00533B68">
          <w:t>Division 2.15.2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Proceedings at trial</w:t>
        </w:r>
        <w:r w:rsidR="00AC5392" w:rsidRPr="00AC5392">
          <w:rPr>
            <w:vanish/>
          </w:rPr>
          <w:tab/>
        </w:r>
        <w:r w:rsidR="00AC5392" w:rsidRPr="00AC5392">
          <w:rPr>
            <w:vanish/>
          </w:rPr>
          <w:fldChar w:fldCharType="begin"/>
        </w:r>
        <w:r w:rsidR="00AC5392" w:rsidRPr="00AC5392">
          <w:rPr>
            <w:vanish/>
          </w:rPr>
          <w:instrText xml:space="preserve"> PAGEREF _Toc185514106 \h </w:instrText>
        </w:r>
        <w:r w:rsidR="00AC5392" w:rsidRPr="00AC5392">
          <w:rPr>
            <w:vanish/>
          </w:rPr>
        </w:r>
        <w:r w:rsidR="00AC5392" w:rsidRPr="00AC5392">
          <w:rPr>
            <w:vanish/>
          </w:rPr>
          <w:fldChar w:fldCharType="separate"/>
        </w:r>
        <w:r w:rsidR="00AC5392" w:rsidRPr="00AC5392">
          <w:rPr>
            <w:vanish/>
          </w:rPr>
          <w:t>275</w:t>
        </w:r>
        <w:r w:rsidR="00AC5392" w:rsidRPr="00AC5392">
          <w:rPr>
            <w:vanish/>
          </w:rPr>
          <w:fldChar w:fldCharType="end"/>
        </w:r>
      </w:hyperlink>
    </w:p>
    <w:p w14:paraId="36FA1C1C" w14:textId="157FBF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07" w:history="1">
        <w:r w:rsidRPr="00533B68">
          <w:t>1505</w:t>
        </w:r>
        <w:r>
          <w:rPr>
            <w:rFonts w:asciiTheme="minorHAnsi" w:eastAsiaTheme="minorEastAsia" w:hAnsiTheme="minorHAnsi" w:cstheme="minorBidi"/>
            <w:kern w:val="2"/>
            <w:sz w:val="24"/>
            <w:szCs w:val="24"/>
            <w:lang w:eastAsia="en-AU"/>
            <w14:ligatures w14:val="standardContextual"/>
          </w:rPr>
          <w:tab/>
        </w:r>
        <w:r w:rsidRPr="00533B68">
          <w:t>Trial—defendant or plaintiff not appearing</w:t>
        </w:r>
        <w:r>
          <w:tab/>
        </w:r>
        <w:r>
          <w:fldChar w:fldCharType="begin"/>
        </w:r>
        <w:r>
          <w:instrText xml:space="preserve"> PAGEREF _Toc185514107 \h </w:instrText>
        </w:r>
        <w:r>
          <w:fldChar w:fldCharType="separate"/>
        </w:r>
        <w:r>
          <w:t>275</w:t>
        </w:r>
        <w:r>
          <w:fldChar w:fldCharType="end"/>
        </w:r>
      </w:hyperlink>
    </w:p>
    <w:p w14:paraId="341529A0" w14:textId="60F4B4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08" w:history="1">
        <w:r w:rsidRPr="00533B68">
          <w:t>1506</w:t>
        </w:r>
        <w:r>
          <w:rPr>
            <w:rFonts w:asciiTheme="minorHAnsi" w:eastAsiaTheme="minorEastAsia" w:hAnsiTheme="minorHAnsi" w:cstheme="minorBidi"/>
            <w:kern w:val="2"/>
            <w:sz w:val="24"/>
            <w:szCs w:val="24"/>
            <w:lang w:eastAsia="en-AU"/>
            <w14:ligatures w14:val="standardContextual"/>
          </w:rPr>
          <w:tab/>
        </w:r>
        <w:r w:rsidRPr="00533B68">
          <w:t>Trial—adjournment etc</w:t>
        </w:r>
        <w:r>
          <w:tab/>
        </w:r>
        <w:r>
          <w:fldChar w:fldCharType="begin"/>
        </w:r>
        <w:r>
          <w:instrText xml:space="preserve"> PAGEREF _Toc185514108 \h </w:instrText>
        </w:r>
        <w:r>
          <w:fldChar w:fldCharType="separate"/>
        </w:r>
        <w:r>
          <w:t>276</w:t>
        </w:r>
        <w:r>
          <w:fldChar w:fldCharType="end"/>
        </w:r>
      </w:hyperlink>
    </w:p>
    <w:p w14:paraId="2AEAB598" w14:textId="26AB8B6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09" w:history="1">
        <w:r w:rsidRPr="00533B68">
          <w:t>1507</w:t>
        </w:r>
        <w:r>
          <w:rPr>
            <w:rFonts w:asciiTheme="minorHAnsi" w:eastAsiaTheme="minorEastAsia" w:hAnsiTheme="minorHAnsi" w:cstheme="minorBidi"/>
            <w:kern w:val="2"/>
            <w:sz w:val="24"/>
            <w:szCs w:val="24"/>
            <w:lang w:eastAsia="en-AU"/>
            <w14:ligatures w14:val="standardContextual"/>
          </w:rPr>
          <w:tab/>
        </w:r>
        <w:r w:rsidRPr="00533B68">
          <w:t>Trial—third-party proceeding</w:t>
        </w:r>
        <w:r>
          <w:tab/>
        </w:r>
        <w:r>
          <w:fldChar w:fldCharType="begin"/>
        </w:r>
        <w:r>
          <w:instrText xml:space="preserve"> PAGEREF _Toc185514109 \h </w:instrText>
        </w:r>
        <w:r>
          <w:fldChar w:fldCharType="separate"/>
        </w:r>
        <w:r>
          <w:t>276</w:t>
        </w:r>
        <w:r>
          <w:fldChar w:fldCharType="end"/>
        </w:r>
      </w:hyperlink>
    </w:p>
    <w:p w14:paraId="0945533A" w14:textId="1E10730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0" w:history="1">
        <w:r w:rsidRPr="00533B68">
          <w:t>1508</w:t>
        </w:r>
        <w:r>
          <w:rPr>
            <w:rFonts w:asciiTheme="minorHAnsi" w:eastAsiaTheme="minorEastAsia" w:hAnsiTheme="minorHAnsi" w:cstheme="minorBidi"/>
            <w:kern w:val="2"/>
            <w:sz w:val="24"/>
            <w:szCs w:val="24"/>
            <w:lang w:eastAsia="en-AU"/>
            <w14:ligatures w14:val="standardContextual"/>
          </w:rPr>
          <w:tab/>
        </w:r>
        <w:r w:rsidRPr="00533B68">
          <w:t>Order of evidence and addresses</w:t>
        </w:r>
        <w:r>
          <w:tab/>
        </w:r>
        <w:r>
          <w:fldChar w:fldCharType="begin"/>
        </w:r>
        <w:r>
          <w:instrText xml:space="preserve"> PAGEREF _Toc185514110 \h </w:instrText>
        </w:r>
        <w:r>
          <w:fldChar w:fldCharType="separate"/>
        </w:r>
        <w:r>
          <w:t>276</w:t>
        </w:r>
        <w:r>
          <w:fldChar w:fldCharType="end"/>
        </w:r>
      </w:hyperlink>
    </w:p>
    <w:p w14:paraId="439684BA" w14:textId="781956E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1" w:history="1">
        <w:r w:rsidRPr="00533B68">
          <w:t>1509</w:t>
        </w:r>
        <w:r>
          <w:rPr>
            <w:rFonts w:asciiTheme="minorHAnsi" w:eastAsiaTheme="minorEastAsia" w:hAnsiTheme="minorHAnsi" w:cstheme="minorBidi"/>
            <w:kern w:val="2"/>
            <w:sz w:val="24"/>
            <w:szCs w:val="24"/>
            <w:lang w:eastAsia="en-AU"/>
            <w14:ligatures w14:val="standardContextual"/>
          </w:rPr>
          <w:tab/>
        </w:r>
        <w:r w:rsidRPr="00533B68">
          <w:t>View by court</w:t>
        </w:r>
        <w:r>
          <w:tab/>
        </w:r>
        <w:r>
          <w:fldChar w:fldCharType="begin"/>
        </w:r>
        <w:r>
          <w:instrText xml:space="preserve"> PAGEREF _Toc185514111 \h </w:instrText>
        </w:r>
        <w:r>
          <w:fldChar w:fldCharType="separate"/>
        </w:r>
        <w:r>
          <w:t>277</w:t>
        </w:r>
        <w:r>
          <w:fldChar w:fldCharType="end"/>
        </w:r>
      </w:hyperlink>
    </w:p>
    <w:p w14:paraId="006EB74E" w14:textId="7F282F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2" w:history="1">
        <w:r w:rsidRPr="00533B68">
          <w:t>1510</w:t>
        </w:r>
        <w:r>
          <w:rPr>
            <w:rFonts w:asciiTheme="minorHAnsi" w:eastAsiaTheme="minorEastAsia" w:hAnsiTheme="minorHAnsi" w:cstheme="minorBidi"/>
            <w:kern w:val="2"/>
            <w:sz w:val="24"/>
            <w:szCs w:val="24"/>
            <w:lang w:eastAsia="en-AU"/>
            <w14:ligatures w14:val="standardContextual"/>
          </w:rPr>
          <w:tab/>
        </w:r>
        <w:r w:rsidRPr="00533B68">
          <w:t>Associate etc to record hearing times</w:t>
        </w:r>
        <w:r>
          <w:tab/>
        </w:r>
        <w:r>
          <w:fldChar w:fldCharType="begin"/>
        </w:r>
        <w:r>
          <w:instrText xml:space="preserve"> PAGEREF _Toc185514112 \h </w:instrText>
        </w:r>
        <w:r>
          <w:fldChar w:fldCharType="separate"/>
        </w:r>
        <w:r>
          <w:t>278</w:t>
        </w:r>
        <w:r>
          <w:fldChar w:fldCharType="end"/>
        </w:r>
      </w:hyperlink>
    </w:p>
    <w:p w14:paraId="327AD5BF" w14:textId="43B3B2F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3" w:history="1">
        <w:r w:rsidRPr="00533B68">
          <w:t>1511</w:t>
        </w:r>
        <w:r>
          <w:rPr>
            <w:rFonts w:asciiTheme="minorHAnsi" w:eastAsiaTheme="minorEastAsia" w:hAnsiTheme="minorHAnsi" w:cstheme="minorBidi"/>
            <w:kern w:val="2"/>
            <w:sz w:val="24"/>
            <w:szCs w:val="24"/>
            <w:lang w:eastAsia="en-AU"/>
            <w14:ligatures w14:val="standardContextual"/>
          </w:rPr>
          <w:tab/>
        </w:r>
        <w:r w:rsidRPr="00533B68">
          <w:t>Associate to enter findings etc</w:t>
        </w:r>
        <w:r>
          <w:tab/>
        </w:r>
        <w:r>
          <w:fldChar w:fldCharType="begin"/>
        </w:r>
        <w:r>
          <w:instrText xml:space="preserve"> PAGEREF _Toc185514113 \h </w:instrText>
        </w:r>
        <w:r>
          <w:fldChar w:fldCharType="separate"/>
        </w:r>
        <w:r>
          <w:t>278</w:t>
        </w:r>
        <w:r>
          <w:fldChar w:fldCharType="end"/>
        </w:r>
      </w:hyperlink>
    </w:p>
    <w:p w14:paraId="2D66D2E3" w14:textId="0B35B4B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14" w:history="1">
        <w:r w:rsidR="00AC5392" w:rsidRPr="00533B68">
          <w:t>Division 2.15.3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Separate decisions on questions</w:t>
        </w:r>
        <w:r w:rsidR="00AC5392" w:rsidRPr="00AC5392">
          <w:rPr>
            <w:vanish/>
          </w:rPr>
          <w:tab/>
        </w:r>
        <w:r w:rsidR="00AC5392" w:rsidRPr="00AC5392">
          <w:rPr>
            <w:vanish/>
          </w:rPr>
          <w:fldChar w:fldCharType="begin"/>
        </w:r>
        <w:r w:rsidR="00AC5392" w:rsidRPr="00AC5392">
          <w:rPr>
            <w:vanish/>
          </w:rPr>
          <w:instrText xml:space="preserve"> PAGEREF _Toc185514114 \h </w:instrText>
        </w:r>
        <w:r w:rsidR="00AC5392" w:rsidRPr="00AC5392">
          <w:rPr>
            <w:vanish/>
          </w:rPr>
        </w:r>
        <w:r w:rsidR="00AC5392" w:rsidRPr="00AC5392">
          <w:rPr>
            <w:vanish/>
          </w:rPr>
          <w:fldChar w:fldCharType="separate"/>
        </w:r>
        <w:r w:rsidR="00AC5392" w:rsidRPr="00AC5392">
          <w:rPr>
            <w:vanish/>
          </w:rPr>
          <w:t>278</w:t>
        </w:r>
        <w:r w:rsidR="00AC5392" w:rsidRPr="00AC5392">
          <w:rPr>
            <w:vanish/>
          </w:rPr>
          <w:fldChar w:fldCharType="end"/>
        </w:r>
      </w:hyperlink>
    </w:p>
    <w:p w14:paraId="5CB50CEB" w14:textId="5FE6A49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5" w:history="1">
        <w:r w:rsidRPr="00533B68">
          <w:t>1520</w:t>
        </w:r>
        <w:r>
          <w:rPr>
            <w:rFonts w:asciiTheme="minorHAnsi" w:eastAsiaTheme="minorEastAsia" w:hAnsiTheme="minorHAnsi" w:cstheme="minorBidi"/>
            <w:kern w:val="2"/>
            <w:sz w:val="24"/>
            <w:szCs w:val="24"/>
            <w:lang w:eastAsia="en-AU"/>
            <w14:ligatures w14:val="standardContextual"/>
          </w:rPr>
          <w:tab/>
        </w:r>
        <w:r w:rsidRPr="00533B68">
          <w:t>Application—div 2.15.3</w:t>
        </w:r>
        <w:r>
          <w:tab/>
        </w:r>
        <w:r>
          <w:fldChar w:fldCharType="begin"/>
        </w:r>
        <w:r>
          <w:instrText xml:space="preserve"> PAGEREF _Toc185514115 \h </w:instrText>
        </w:r>
        <w:r>
          <w:fldChar w:fldCharType="separate"/>
        </w:r>
        <w:r>
          <w:t>278</w:t>
        </w:r>
        <w:r>
          <w:fldChar w:fldCharType="end"/>
        </w:r>
      </w:hyperlink>
    </w:p>
    <w:p w14:paraId="28BD6947" w14:textId="2E4551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6" w:history="1">
        <w:r w:rsidRPr="00533B68">
          <w:t>1521</w:t>
        </w:r>
        <w:r>
          <w:rPr>
            <w:rFonts w:asciiTheme="minorHAnsi" w:eastAsiaTheme="minorEastAsia" w:hAnsiTheme="minorHAnsi" w:cstheme="minorBidi"/>
            <w:kern w:val="2"/>
            <w:sz w:val="24"/>
            <w:szCs w:val="24"/>
            <w:lang w:eastAsia="en-AU"/>
            <w14:ligatures w14:val="standardContextual"/>
          </w:rPr>
          <w:tab/>
        </w:r>
        <w:r w:rsidRPr="00533B68">
          <w:t>Separate decisions on questions—order</w:t>
        </w:r>
        <w:r>
          <w:tab/>
        </w:r>
        <w:r>
          <w:fldChar w:fldCharType="begin"/>
        </w:r>
        <w:r>
          <w:instrText xml:space="preserve"> PAGEREF _Toc185514116 \h </w:instrText>
        </w:r>
        <w:r>
          <w:fldChar w:fldCharType="separate"/>
        </w:r>
        <w:r>
          <w:t>279</w:t>
        </w:r>
        <w:r>
          <w:fldChar w:fldCharType="end"/>
        </w:r>
      </w:hyperlink>
    </w:p>
    <w:p w14:paraId="057C991F" w14:textId="345E40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7" w:history="1">
        <w:r w:rsidRPr="00533B68">
          <w:t>1522</w:t>
        </w:r>
        <w:r>
          <w:rPr>
            <w:rFonts w:asciiTheme="minorHAnsi" w:eastAsiaTheme="minorEastAsia" w:hAnsiTheme="minorHAnsi" w:cstheme="minorBidi"/>
            <w:kern w:val="2"/>
            <w:sz w:val="24"/>
            <w:szCs w:val="24"/>
            <w:lang w:eastAsia="en-AU"/>
            <w14:ligatures w14:val="standardContextual"/>
          </w:rPr>
          <w:tab/>
        </w:r>
        <w:r w:rsidRPr="00533B68">
          <w:t>Separate decisions on questions—directions</w:t>
        </w:r>
        <w:r>
          <w:tab/>
        </w:r>
        <w:r>
          <w:fldChar w:fldCharType="begin"/>
        </w:r>
        <w:r>
          <w:instrText xml:space="preserve"> PAGEREF _Toc185514117 \h </w:instrText>
        </w:r>
        <w:r>
          <w:fldChar w:fldCharType="separate"/>
        </w:r>
        <w:r>
          <w:t>280</w:t>
        </w:r>
        <w:r>
          <w:fldChar w:fldCharType="end"/>
        </w:r>
      </w:hyperlink>
    </w:p>
    <w:p w14:paraId="180AE2F3" w14:textId="1EE0B4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18" w:history="1">
        <w:r w:rsidRPr="00533B68">
          <w:t>1523</w:t>
        </w:r>
        <w:r>
          <w:rPr>
            <w:rFonts w:asciiTheme="minorHAnsi" w:eastAsiaTheme="minorEastAsia" w:hAnsiTheme="minorHAnsi" w:cstheme="minorBidi"/>
            <w:kern w:val="2"/>
            <w:sz w:val="24"/>
            <w:szCs w:val="24"/>
            <w:lang w:eastAsia="en-AU"/>
            <w14:ligatures w14:val="standardContextual"/>
          </w:rPr>
          <w:tab/>
        </w:r>
        <w:r w:rsidRPr="00533B68">
          <w:t>Separate decisions on questions—decision</w:t>
        </w:r>
        <w:r>
          <w:tab/>
        </w:r>
        <w:r>
          <w:fldChar w:fldCharType="begin"/>
        </w:r>
        <w:r>
          <w:instrText xml:space="preserve"> PAGEREF _Toc185514118 \h </w:instrText>
        </w:r>
        <w:r>
          <w:fldChar w:fldCharType="separate"/>
        </w:r>
        <w:r>
          <w:t>280</w:t>
        </w:r>
        <w:r>
          <w:fldChar w:fldCharType="end"/>
        </w:r>
      </w:hyperlink>
    </w:p>
    <w:p w14:paraId="74B14FF4" w14:textId="213E1C2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19" w:history="1">
        <w:r w:rsidR="00AC5392" w:rsidRPr="00533B68">
          <w:t>Division 2.15.4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Assessors and court-appointed referees</w:t>
        </w:r>
        <w:r w:rsidR="00AC5392" w:rsidRPr="00AC5392">
          <w:rPr>
            <w:vanish/>
          </w:rPr>
          <w:tab/>
        </w:r>
        <w:r w:rsidR="00AC5392" w:rsidRPr="00AC5392">
          <w:rPr>
            <w:vanish/>
          </w:rPr>
          <w:fldChar w:fldCharType="begin"/>
        </w:r>
        <w:r w:rsidR="00AC5392" w:rsidRPr="00AC5392">
          <w:rPr>
            <w:vanish/>
          </w:rPr>
          <w:instrText xml:space="preserve"> PAGEREF _Toc185514119 \h </w:instrText>
        </w:r>
        <w:r w:rsidR="00AC5392" w:rsidRPr="00AC5392">
          <w:rPr>
            <w:vanish/>
          </w:rPr>
        </w:r>
        <w:r w:rsidR="00AC5392" w:rsidRPr="00AC5392">
          <w:rPr>
            <w:vanish/>
          </w:rPr>
          <w:fldChar w:fldCharType="separate"/>
        </w:r>
        <w:r w:rsidR="00AC5392" w:rsidRPr="00AC5392">
          <w:rPr>
            <w:vanish/>
          </w:rPr>
          <w:t>280</w:t>
        </w:r>
        <w:r w:rsidR="00AC5392" w:rsidRPr="00AC5392">
          <w:rPr>
            <w:vanish/>
          </w:rPr>
          <w:fldChar w:fldCharType="end"/>
        </w:r>
      </w:hyperlink>
    </w:p>
    <w:p w14:paraId="51552F03" w14:textId="2D83FA8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0" w:history="1">
        <w:r w:rsidRPr="00533B68">
          <w:t>1530</w:t>
        </w:r>
        <w:r>
          <w:rPr>
            <w:rFonts w:asciiTheme="minorHAnsi" w:eastAsiaTheme="minorEastAsia" w:hAnsiTheme="minorHAnsi" w:cstheme="minorBidi"/>
            <w:kern w:val="2"/>
            <w:sz w:val="24"/>
            <w:szCs w:val="24"/>
            <w:lang w:eastAsia="en-AU"/>
            <w14:ligatures w14:val="standardContextual"/>
          </w:rPr>
          <w:tab/>
        </w:r>
        <w:r w:rsidRPr="00533B68">
          <w:t>Assessors</w:t>
        </w:r>
        <w:r>
          <w:tab/>
        </w:r>
        <w:r>
          <w:fldChar w:fldCharType="begin"/>
        </w:r>
        <w:r>
          <w:instrText xml:space="preserve"> PAGEREF _Toc185514120 \h </w:instrText>
        </w:r>
        <w:r>
          <w:fldChar w:fldCharType="separate"/>
        </w:r>
        <w:r>
          <w:t>280</w:t>
        </w:r>
        <w:r>
          <w:fldChar w:fldCharType="end"/>
        </w:r>
      </w:hyperlink>
    </w:p>
    <w:p w14:paraId="4BF96B2B" w14:textId="3B2FDF4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1" w:history="1">
        <w:r w:rsidRPr="00533B68">
          <w:t>1531</w:t>
        </w:r>
        <w:r>
          <w:rPr>
            <w:rFonts w:asciiTheme="minorHAnsi" w:eastAsiaTheme="minorEastAsia" w:hAnsiTheme="minorHAnsi" w:cstheme="minorBidi"/>
            <w:kern w:val="2"/>
            <w:sz w:val="24"/>
            <w:szCs w:val="24"/>
            <w:lang w:eastAsia="en-AU"/>
            <w14:ligatures w14:val="standardContextual"/>
          </w:rPr>
          <w:tab/>
        </w:r>
        <w:r w:rsidRPr="00533B68">
          <w:t>Referee—referral of question etc</w:t>
        </w:r>
        <w:r>
          <w:tab/>
        </w:r>
        <w:r>
          <w:fldChar w:fldCharType="begin"/>
        </w:r>
        <w:r>
          <w:instrText xml:space="preserve"> PAGEREF _Toc185514121 \h </w:instrText>
        </w:r>
        <w:r>
          <w:fldChar w:fldCharType="separate"/>
        </w:r>
        <w:r>
          <w:t>281</w:t>
        </w:r>
        <w:r>
          <w:fldChar w:fldCharType="end"/>
        </w:r>
      </w:hyperlink>
    </w:p>
    <w:p w14:paraId="3A912BBC" w14:textId="369531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2" w:history="1">
        <w:r w:rsidRPr="00533B68">
          <w:t>1532</w:t>
        </w:r>
        <w:r>
          <w:rPr>
            <w:rFonts w:asciiTheme="minorHAnsi" w:eastAsiaTheme="minorEastAsia" w:hAnsiTheme="minorHAnsi" w:cstheme="minorBidi"/>
            <w:kern w:val="2"/>
            <w:sz w:val="24"/>
            <w:szCs w:val="24"/>
            <w:lang w:eastAsia="en-AU"/>
            <w14:ligatures w14:val="standardContextual"/>
          </w:rPr>
          <w:tab/>
        </w:r>
        <w:r w:rsidRPr="00533B68">
          <w:t>Referee—appointment</w:t>
        </w:r>
        <w:r>
          <w:tab/>
        </w:r>
        <w:r>
          <w:fldChar w:fldCharType="begin"/>
        </w:r>
        <w:r>
          <w:instrText xml:space="preserve"> PAGEREF _Toc185514122 \h </w:instrText>
        </w:r>
        <w:r>
          <w:fldChar w:fldCharType="separate"/>
        </w:r>
        <w:r>
          <w:t>281</w:t>
        </w:r>
        <w:r>
          <w:fldChar w:fldCharType="end"/>
        </w:r>
      </w:hyperlink>
    </w:p>
    <w:p w14:paraId="6E47A057" w14:textId="1487E1D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3" w:history="1">
        <w:r w:rsidRPr="00533B68">
          <w:t>1533</w:t>
        </w:r>
        <w:r>
          <w:rPr>
            <w:rFonts w:asciiTheme="minorHAnsi" w:eastAsiaTheme="minorEastAsia" w:hAnsiTheme="minorHAnsi" w:cstheme="minorBidi"/>
            <w:kern w:val="2"/>
            <w:sz w:val="24"/>
            <w:szCs w:val="24"/>
            <w:lang w:eastAsia="en-AU"/>
            <w14:ligatures w14:val="standardContextual"/>
          </w:rPr>
          <w:tab/>
        </w:r>
        <w:r w:rsidRPr="00533B68">
          <w:t>Referee—amendment of order referring question etc</w:t>
        </w:r>
        <w:r>
          <w:tab/>
        </w:r>
        <w:r>
          <w:fldChar w:fldCharType="begin"/>
        </w:r>
        <w:r>
          <w:instrText xml:space="preserve"> PAGEREF _Toc185514123 \h </w:instrText>
        </w:r>
        <w:r>
          <w:fldChar w:fldCharType="separate"/>
        </w:r>
        <w:r>
          <w:t>282</w:t>
        </w:r>
        <w:r>
          <w:fldChar w:fldCharType="end"/>
        </w:r>
      </w:hyperlink>
    </w:p>
    <w:p w14:paraId="4CDF09AA" w14:textId="3BF0DE2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4" w:history="1">
        <w:r w:rsidRPr="00533B68">
          <w:t>1534</w:t>
        </w:r>
        <w:r>
          <w:rPr>
            <w:rFonts w:asciiTheme="minorHAnsi" w:eastAsiaTheme="minorEastAsia" w:hAnsiTheme="minorHAnsi" w:cstheme="minorBidi"/>
            <w:kern w:val="2"/>
            <w:sz w:val="24"/>
            <w:szCs w:val="24"/>
            <w:lang w:eastAsia="en-AU"/>
            <w14:ligatures w14:val="standardContextual"/>
          </w:rPr>
          <w:tab/>
        </w:r>
        <w:r w:rsidRPr="00533B68">
          <w:t>Referee—conduct under reference</w:t>
        </w:r>
        <w:r>
          <w:tab/>
        </w:r>
        <w:r>
          <w:fldChar w:fldCharType="begin"/>
        </w:r>
        <w:r>
          <w:instrText xml:space="preserve"> PAGEREF _Toc185514124 \h </w:instrText>
        </w:r>
        <w:r>
          <w:fldChar w:fldCharType="separate"/>
        </w:r>
        <w:r>
          <w:t>282</w:t>
        </w:r>
        <w:r>
          <w:fldChar w:fldCharType="end"/>
        </w:r>
      </w:hyperlink>
    </w:p>
    <w:p w14:paraId="23829381" w14:textId="2288976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5" w:history="1">
        <w:r w:rsidRPr="00533B68">
          <w:t>1535</w:t>
        </w:r>
        <w:r>
          <w:rPr>
            <w:rFonts w:asciiTheme="minorHAnsi" w:eastAsiaTheme="minorEastAsia" w:hAnsiTheme="minorHAnsi" w:cstheme="minorBidi"/>
            <w:kern w:val="2"/>
            <w:sz w:val="24"/>
            <w:szCs w:val="24"/>
            <w:lang w:eastAsia="en-AU"/>
            <w14:ligatures w14:val="standardContextual"/>
          </w:rPr>
          <w:tab/>
        </w:r>
        <w:r w:rsidRPr="00533B68">
          <w:t>Referee—submission of question to court</w:t>
        </w:r>
        <w:r>
          <w:tab/>
        </w:r>
        <w:r>
          <w:fldChar w:fldCharType="begin"/>
        </w:r>
        <w:r>
          <w:instrText xml:space="preserve"> PAGEREF _Toc185514125 \h </w:instrText>
        </w:r>
        <w:r>
          <w:fldChar w:fldCharType="separate"/>
        </w:r>
        <w:r>
          <w:t>283</w:t>
        </w:r>
        <w:r>
          <w:fldChar w:fldCharType="end"/>
        </w:r>
      </w:hyperlink>
    </w:p>
    <w:p w14:paraId="6361800C" w14:textId="6D260F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6" w:history="1">
        <w:r w:rsidRPr="00533B68">
          <w:t>1536</w:t>
        </w:r>
        <w:r>
          <w:rPr>
            <w:rFonts w:asciiTheme="minorHAnsi" w:eastAsiaTheme="minorEastAsia" w:hAnsiTheme="minorHAnsi" w:cstheme="minorBidi"/>
            <w:kern w:val="2"/>
            <w:sz w:val="24"/>
            <w:szCs w:val="24"/>
            <w:lang w:eastAsia="en-AU"/>
            <w14:ligatures w14:val="standardContextual"/>
          </w:rPr>
          <w:tab/>
        </w:r>
        <w:r w:rsidRPr="00533B68">
          <w:t>Referee—report</w:t>
        </w:r>
        <w:r>
          <w:tab/>
        </w:r>
        <w:r>
          <w:fldChar w:fldCharType="begin"/>
        </w:r>
        <w:r>
          <w:instrText xml:space="preserve"> PAGEREF _Toc185514126 \h </w:instrText>
        </w:r>
        <w:r>
          <w:fldChar w:fldCharType="separate"/>
        </w:r>
        <w:r>
          <w:t>283</w:t>
        </w:r>
        <w:r>
          <w:fldChar w:fldCharType="end"/>
        </w:r>
      </w:hyperlink>
    </w:p>
    <w:p w14:paraId="2E7A3170" w14:textId="681D74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7" w:history="1">
        <w:r w:rsidRPr="00533B68">
          <w:t>1537</w:t>
        </w:r>
        <w:r>
          <w:rPr>
            <w:rFonts w:asciiTheme="minorHAnsi" w:eastAsiaTheme="minorEastAsia" w:hAnsiTheme="minorHAnsi" w:cstheme="minorBidi"/>
            <w:kern w:val="2"/>
            <w:sz w:val="24"/>
            <w:szCs w:val="24"/>
            <w:lang w:eastAsia="en-AU"/>
            <w14:ligatures w14:val="standardContextual"/>
          </w:rPr>
          <w:tab/>
        </w:r>
        <w:r w:rsidRPr="00533B68">
          <w:t>Referee—proceeding on report</w:t>
        </w:r>
        <w:r>
          <w:tab/>
        </w:r>
        <w:r>
          <w:fldChar w:fldCharType="begin"/>
        </w:r>
        <w:r>
          <w:instrText xml:space="preserve"> PAGEREF _Toc185514127 \h </w:instrText>
        </w:r>
        <w:r>
          <w:fldChar w:fldCharType="separate"/>
        </w:r>
        <w:r>
          <w:t>284</w:t>
        </w:r>
        <w:r>
          <w:fldChar w:fldCharType="end"/>
        </w:r>
      </w:hyperlink>
    </w:p>
    <w:p w14:paraId="20C770CD" w14:textId="4D0514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28" w:history="1">
        <w:r w:rsidRPr="00533B68">
          <w:t>1538</w:t>
        </w:r>
        <w:r>
          <w:rPr>
            <w:rFonts w:asciiTheme="minorHAnsi" w:eastAsiaTheme="minorEastAsia" w:hAnsiTheme="minorHAnsi" w:cstheme="minorBidi"/>
            <w:kern w:val="2"/>
            <w:sz w:val="24"/>
            <w:szCs w:val="24"/>
            <w:lang w:eastAsia="en-AU"/>
            <w14:ligatures w14:val="standardContextual"/>
          </w:rPr>
          <w:tab/>
        </w:r>
        <w:r w:rsidRPr="00533B68">
          <w:t>Assessor and referee—remuneration</w:t>
        </w:r>
        <w:r>
          <w:tab/>
        </w:r>
        <w:r>
          <w:fldChar w:fldCharType="begin"/>
        </w:r>
        <w:r>
          <w:instrText xml:space="preserve"> PAGEREF _Toc185514128 \h </w:instrText>
        </w:r>
        <w:r>
          <w:fldChar w:fldCharType="separate"/>
        </w:r>
        <w:r>
          <w:t>285</w:t>
        </w:r>
        <w:r>
          <w:fldChar w:fldCharType="end"/>
        </w:r>
      </w:hyperlink>
    </w:p>
    <w:p w14:paraId="1E3F3D85" w14:textId="1E62DD9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29" w:history="1">
        <w:r w:rsidR="00AC5392" w:rsidRPr="00533B68">
          <w:t>Division 2.15.5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Assessment of damages</w:t>
        </w:r>
        <w:r w:rsidR="00AC5392" w:rsidRPr="00AC5392">
          <w:rPr>
            <w:vanish/>
          </w:rPr>
          <w:tab/>
        </w:r>
        <w:r w:rsidR="00AC5392" w:rsidRPr="00AC5392">
          <w:rPr>
            <w:vanish/>
          </w:rPr>
          <w:fldChar w:fldCharType="begin"/>
        </w:r>
        <w:r w:rsidR="00AC5392" w:rsidRPr="00AC5392">
          <w:rPr>
            <w:vanish/>
          </w:rPr>
          <w:instrText xml:space="preserve"> PAGEREF _Toc185514129 \h </w:instrText>
        </w:r>
        <w:r w:rsidR="00AC5392" w:rsidRPr="00AC5392">
          <w:rPr>
            <w:vanish/>
          </w:rPr>
        </w:r>
        <w:r w:rsidR="00AC5392" w:rsidRPr="00AC5392">
          <w:rPr>
            <w:vanish/>
          </w:rPr>
          <w:fldChar w:fldCharType="separate"/>
        </w:r>
        <w:r w:rsidR="00AC5392" w:rsidRPr="00AC5392">
          <w:rPr>
            <w:vanish/>
          </w:rPr>
          <w:t>285</w:t>
        </w:r>
        <w:r w:rsidR="00AC5392" w:rsidRPr="00AC5392">
          <w:rPr>
            <w:vanish/>
          </w:rPr>
          <w:fldChar w:fldCharType="end"/>
        </w:r>
      </w:hyperlink>
    </w:p>
    <w:p w14:paraId="7B27D102" w14:textId="56DE5C5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0" w:history="1">
        <w:r w:rsidRPr="00533B68">
          <w:t>1545</w:t>
        </w:r>
        <w:r>
          <w:rPr>
            <w:rFonts w:asciiTheme="minorHAnsi" w:eastAsiaTheme="minorEastAsia" w:hAnsiTheme="minorHAnsi" w:cstheme="minorBidi"/>
            <w:kern w:val="2"/>
            <w:sz w:val="24"/>
            <w:szCs w:val="24"/>
            <w:lang w:eastAsia="en-AU"/>
            <w14:ligatures w14:val="standardContextual"/>
          </w:rPr>
          <w:tab/>
        </w:r>
        <w:r w:rsidRPr="00533B68">
          <w:t>Application—div 2.15.5</w:t>
        </w:r>
        <w:r>
          <w:tab/>
        </w:r>
        <w:r>
          <w:fldChar w:fldCharType="begin"/>
        </w:r>
        <w:r>
          <w:instrText xml:space="preserve"> PAGEREF _Toc185514130 \h </w:instrText>
        </w:r>
        <w:r>
          <w:fldChar w:fldCharType="separate"/>
        </w:r>
        <w:r>
          <w:t>285</w:t>
        </w:r>
        <w:r>
          <w:fldChar w:fldCharType="end"/>
        </w:r>
      </w:hyperlink>
    </w:p>
    <w:p w14:paraId="418A34AF" w14:textId="2B8A0D0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1" w:history="1">
        <w:r w:rsidRPr="00533B68">
          <w:t>1546</w:t>
        </w:r>
        <w:r>
          <w:rPr>
            <w:rFonts w:asciiTheme="minorHAnsi" w:eastAsiaTheme="minorEastAsia" w:hAnsiTheme="minorHAnsi" w:cstheme="minorBidi"/>
            <w:kern w:val="2"/>
            <w:sz w:val="24"/>
            <w:szCs w:val="24"/>
            <w:lang w:eastAsia="en-AU"/>
            <w14:ligatures w14:val="standardContextual"/>
          </w:rPr>
          <w:tab/>
        </w:r>
        <w:r w:rsidRPr="00533B68">
          <w:t>Assessment of damages</w:t>
        </w:r>
        <w:r>
          <w:tab/>
        </w:r>
        <w:r>
          <w:fldChar w:fldCharType="begin"/>
        </w:r>
        <w:r>
          <w:instrText xml:space="preserve"> PAGEREF _Toc185514131 \h </w:instrText>
        </w:r>
        <w:r>
          <w:fldChar w:fldCharType="separate"/>
        </w:r>
        <w:r>
          <w:t>285</w:t>
        </w:r>
        <w:r>
          <w:fldChar w:fldCharType="end"/>
        </w:r>
      </w:hyperlink>
    </w:p>
    <w:p w14:paraId="6E13FA42" w14:textId="6A2212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2" w:history="1">
        <w:r w:rsidRPr="00533B68">
          <w:t>1547</w:t>
        </w:r>
        <w:r>
          <w:rPr>
            <w:rFonts w:asciiTheme="minorHAnsi" w:eastAsiaTheme="minorEastAsia" w:hAnsiTheme="minorHAnsi" w:cstheme="minorBidi"/>
            <w:kern w:val="2"/>
            <w:sz w:val="24"/>
            <w:szCs w:val="24"/>
            <w:lang w:eastAsia="en-AU"/>
            <w14:ligatures w14:val="standardContextual"/>
          </w:rPr>
          <w:tab/>
        </w:r>
        <w:r w:rsidRPr="00533B68">
          <w:t>Assessment of damages—use of affidavit evidence</w:t>
        </w:r>
        <w:r>
          <w:tab/>
        </w:r>
        <w:r>
          <w:fldChar w:fldCharType="begin"/>
        </w:r>
        <w:r>
          <w:instrText xml:space="preserve"> PAGEREF _Toc185514132 \h </w:instrText>
        </w:r>
        <w:r>
          <w:fldChar w:fldCharType="separate"/>
        </w:r>
        <w:r>
          <w:t>286</w:t>
        </w:r>
        <w:r>
          <w:fldChar w:fldCharType="end"/>
        </w:r>
      </w:hyperlink>
    </w:p>
    <w:p w14:paraId="0F74AA45" w14:textId="383B96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3" w:history="1">
        <w:r w:rsidRPr="00533B68">
          <w:t>1548</w:t>
        </w:r>
        <w:r>
          <w:rPr>
            <w:rFonts w:asciiTheme="minorHAnsi" w:eastAsiaTheme="minorEastAsia" w:hAnsiTheme="minorHAnsi" w:cstheme="minorBidi"/>
            <w:kern w:val="2"/>
            <w:sz w:val="24"/>
            <w:szCs w:val="24"/>
            <w:lang w:eastAsia="en-AU"/>
            <w14:ligatures w14:val="standardContextual"/>
          </w:rPr>
          <w:tab/>
        </w:r>
        <w:r w:rsidRPr="00533B68">
          <w:t>Partial judgment for damages to be assessed</w:t>
        </w:r>
        <w:r>
          <w:tab/>
        </w:r>
        <w:r>
          <w:fldChar w:fldCharType="begin"/>
        </w:r>
        <w:r>
          <w:instrText xml:space="preserve"> PAGEREF _Toc185514133 \h </w:instrText>
        </w:r>
        <w:r>
          <w:fldChar w:fldCharType="separate"/>
        </w:r>
        <w:r>
          <w:t>286</w:t>
        </w:r>
        <w:r>
          <w:fldChar w:fldCharType="end"/>
        </w:r>
      </w:hyperlink>
    </w:p>
    <w:p w14:paraId="09B4C8F3" w14:textId="611379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4" w:history="1">
        <w:r w:rsidRPr="00533B68">
          <w:t>1549</w:t>
        </w:r>
        <w:r>
          <w:rPr>
            <w:rFonts w:asciiTheme="minorHAnsi" w:eastAsiaTheme="minorEastAsia" w:hAnsiTheme="minorHAnsi" w:cstheme="minorBidi"/>
            <w:kern w:val="2"/>
            <w:sz w:val="24"/>
            <w:szCs w:val="24"/>
            <w:lang w:eastAsia="en-AU"/>
            <w14:ligatures w14:val="standardContextual"/>
          </w:rPr>
          <w:tab/>
        </w:r>
        <w:r w:rsidRPr="00533B68">
          <w:t>Damages to time of assessment</w:t>
        </w:r>
        <w:r>
          <w:tab/>
        </w:r>
        <w:r>
          <w:fldChar w:fldCharType="begin"/>
        </w:r>
        <w:r>
          <w:instrText xml:space="preserve"> PAGEREF _Toc185514134 \h </w:instrText>
        </w:r>
        <w:r>
          <w:fldChar w:fldCharType="separate"/>
        </w:r>
        <w:r>
          <w:t>286</w:t>
        </w:r>
        <w:r>
          <w:fldChar w:fldCharType="end"/>
        </w:r>
      </w:hyperlink>
    </w:p>
    <w:p w14:paraId="778DC85F" w14:textId="6AC65161"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135" w:history="1">
        <w:r w:rsidR="00AC5392" w:rsidRPr="00533B68">
          <w:t>Part 2.16</w:t>
        </w:r>
        <w:r w:rsidR="00AC5392">
          <w:rPr>
            <w:rFonts w:asciiTheme="minorHAnsi" w:eastAsiaTheme="minorEastAsia" w:hAnsiTheme="minorHAnsi" w:cstheme="minorBidi"/>
            <w:b w:val="0"/>
            <w:kern w:val="2"/>
            <w:szCs w:val="24"/>
            <w:lang w:eastAsia="en-AU"/>
            <w14:ligatures w14:val="standardContextual"/>
          </w:rPr>
          <w:tab/>
        </w:r>
        <w:r w:rsidR="00AC5392" w:rsidRPr="00533B68">
          <w:t>Judgments and other orders</w:t>
        </w:r>
        <w:r w:rsidR="00AC5392" w:rsidRPr="00AC5392">
          <w:rPr>
            <w:vanish/>
          </w:rPr>
          <w:tab/>
        </w:r>
        <w:r w:rsidR="00AC5392" w:rsidRPr="00AC5392">
          <w:rPr>
            <w:vanish/>
          </w:rPr>
          <w:fldChar w:fldCharType="begin"/>
        </w:r>
        <w:r w:rsidR="00AC5392" w:rsidRPr="00AC5392">
          <w:rPr>
            <w:vanish/>
          </w:rPr>
          <w:instrText xml:space="preserve"> PAGEREF _Toc185514135 \h </w:instrText>
        </w:r>
        <w:r w:rsidR="00AC5392" w:rsidRPr="00AC5392">
          <w:rPr>
            <w:vanish/>
          </w:rPr>
        </w:r>
        <w:r w:rsidR="00AC5392" w:rsidRPr="00AC5392">
          <w:rPr>
            <w:vanish/>
          </w:rPr>
          <w:fldChar w:fldCharType="separate"/>
        </w:r>
        <w:r w:rsidR="00AC5392" w:rsidRPr="00AC5392">
          <w:rPr>
            <w:vanish/>
          </w:rPr>
          <w:t>288</w:t>
        </w:r>
        <w:r w:rsidR="00AC5392" w:rsidRPr="00AC5392">
          <w:rPr>
            <w:vanish/>
          </w:rPr>
          <w:fldChar w:fldCharType="end"/>
        </w:r>
      </w:hyperlink>
    </w:p>
    <w:p w14:paraId="154CEA43" w14:textId="43357C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6" w:history="1">
        <w:r w:rsidRPr="00533B68">
          <w:t>1600</w:t>
        </w:r>
        <w:r>
          <w:rPr>
            <w:rFonts w:asciiTheme="minorHAnsi" w:eastAsiaTheme="minorEastAsia" w:hAnsiTheme="minorHAnsi" w:cstheme="minorBidi"/>
            <w:kern w:val="2"/>
            <w:sz w:val="24"/>
            <w:szCs w:val="24"/>
            <w:lang w:eastAsia="en-AU"/>
            <w14:ligatures w14:val="standardContextual"/>
          </w:rPr>
          <w:tab/>
        </w:r>
        <w:r w:rsidRPr="00533B68">
          <w:t>Orders—required by nature of case</w:t>
        </w:r>
        <w:r>
          <w:tab/>
        </w:r>
        <w:r>
          <w:fldChar w:fldCharType="begin"/>
        </w:r>
        <w:r>
          <w:instrText xml:space="preserve"> PAGEREF _Toc185514136 \h </w:instrText>
        </w:r>
        <w:r>
          <w:fldChar w:fldCharType="separate"/>
        </w:r>
        <w:r>
          <w:t>288</w:t>
        </w:r>
        <w:r>
          <w:fldChar w:fldCharType="end"/>
        </w:r>
      </w:hyperlink>
    </w:p>
    <w:p w14:paraId="42C3C8A8" w14:textId="75EF72D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7" w:history="1">
        <w:r w:rsidRPr="00533B68">
          <w:t>1601</w:t>
        </w:r>
        <w:r>
          <w:rPr>
            <w:rFonts w:asciiTheme="minorHAnsi" w:eastAsiaTheme="minorEastAsia" w:hAnsiTheme="minorHAnsi" w:cstheme="minorBidi"/>
            <w:kern w:val="2"/>
            <w:sz w:val="24"/>
            <w:szCs w:val="24"/>
            <w:lang w:eastAsia="en-AU"/>
            <w14:ligatures w14:val="standardContextual"/>
          </w:rPr>
          <w:tab/>
        </w:r>
        <w:r w:rsidRPr="00533B68">
          <w:t>Judgment book</w:t>
        </w:r>
        <w:r>
          <w:tab/>
        </w:r>
        <w:r>
          <w:fldChar w:fldCharType="begin"/>
        </w:r>
        <w:r>
          <w:instrText xml:space="preserve"> PAGEREF _Toc185514137 \h </w:instrText>
        </w:r>
        <w:r>
          <w:fldChar w:fldCharType="separate"/>
        </w:r>
        <w:r>
          <w:t>288</w:t>
        </w:r>
        <w:r>
          <w:fldChar w:fldCharType="end"/>
        </w:r>
      </w:hyperlink>
    </w:p>
    <w:p w14:paraId="6BF5B756" w14:textId="7E15712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8" w:history="1">
        <w:r w:rsidRPr="00533B68">
          <w:t>1602</w:t>
        </w:r>
        <w:r>
          <w:rPr>
            <w:rFonts w:asciiTheme="minorHAnsi" w:eastAsiaTheme="minorEastAsia" w:hAnsiTheme="minorHAnsi" w:cstheme="minorBidi"/>
            <w:kern w:val="2"/>
            <w:sz w:val="24"/>
            <w:szCs w:val="24"/>
            <w:lang w:eastAsia="en-AU"/>
            <w14:ligatures w14:val="standardContextual"/>
          </w:rPr>
          <w:tab/>
        </w:r>
        <w:r w:rsidRPr="00533B68">
          <w:t>Judgments—several claims</w:t>
        </w:r>
        <w:r>
          <w:tab/>
        </w:r>
        <w:r>
          <w:fldChar w:fldCharType="begin"/>
        </w:r>
        <w:r>
          <w:instrText xml:space="preserve"> PAGEREF _Toc185514138 \h </w:instrText>
        </w:r>
        <w:r>
          <w:fldChar w:fldCharType="separate"/>
        </w:r>
        <w:r>
          <w:t>289</w:t>
        </w:r>
        <w:r>
          <w:fldChar w:fldCharType="end"/>
        </w:r>
      </w:hyperlink>
    </w:p>
    <w:p w14:paraId="4C874412" w14:textId="17A2D74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39" w:history="1">
        <w:r w:rsidRPr="00533B68">
          <w:t>1603</w:t>
        </w:r>
        <w:r>
          <w:rPr>
            <w:rFonts w:asciiTheme="minorHAnsi" w:eastAsiaTheme="minorEastAsia" w:hAnsiTheme="minorHAnsi" w:cstheme="minorBidi"/>
            <w:kern w:val="2"/>
            <w:sz w:val="24"/>
            <w:szCs w:val="24"/>
            <w:lang w:eastAsia="en-AU"/>
            <w14:ligatures w14:val="standardContextual"/>
          </w:rPr>
          <w:tab/>
        </w:r>
        <w:r w:rsidRPr="00533B68">
          <w:t>Orders—set off between enforceable money orders</w:t>
        </w:r>
        <w:r>
          <w:tab/>
        </w:r>
        <w:r>
          <w:fldChar w:fldCharType="begin"/>
        </w:r>
        <w:r>
          <w:instrText xml:space="preserve"> PAGEREF _Toc185514139 \h </w:instrText>
        </w:r>
        <w:r>
          <w:fldChar w:fldCharType="separate"/>
        </w:r>
        <w:r>
          <w:t>289</w:t>
        </w:r>
        <w:r>
          <w:fldChar w:fldCharType="end"/>
        </w:r>
      </w:hyperlink>
    </w:p>
    <w:p w14:paraId="7C4B3AAE" w14:textId="5D29D79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0" w:history="1">
        <w:r w:rsidRPr="00533B68">
          <w:t>1604</w:t>
        </w:r>
        <w:r>
          <w:rPr>
            <w:rFonts w:asciiTheme="minorHAnsi" w:eastAsiaTheme="minorEastAsia" w:hAnsiTheme="minorHAnsi" w:cstheme="minorBidi"/>
            <w:kern w:val="2"/>
            <w:sz w:val="24"/>
            <w:szCs w:val="24"/>
            <w:lang w:eastAsia="en-AU"/>
            <w14:ligatures w14:val="standardContextual"/>
          </w:rPr>
          <w:tab/>
        </w:r>
        <w:r w:rsidRPr="00533B68">
          <w:t>Judgments—detention of goods</w:t>
        </w:r>
        <w:r>
          <w:tab/>
        </w:r>
        <w:r>
          <w:fldChar w:fldCharType="begin"/>
        </w:r>
        <w:r>
          <w:instrText xml:space="preserve"> PAGEREF _Toc185514140 \h </w:instrText>
        </w:r>
        <w:r>
          <w:fldChar w:fldCharType="separate"/>
        </w:r>
        <w:r>
          <w:t>290</w:t>
        </w:r>
        <w:r>
          <w:fldChar w:fldCharType="end"/>
        </w:r>
      </w:hyperlink>
    </w:p>
    <w:p w14:paraId="6D1724BD" w14:textId="293FE3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1" w:history="1">
        <w:r w:rsidRPr="00533B68">
          <w:t>1605</w:t>
        </w:r>
        <w:r>
          <w:rPr>
            <w:rFonts w:asciiTheme="minorHAnsi" w:eastAsiaTheme="minorEastAsia" w:hAnsiTheme="minorHAnsi" w:cstheme="minorBidi"/>
            <w:kern w:val="2"/>
            <w:sz w:val="24"/>
            <w:szCs w:val="24"/>
            <w:lang w:eastAsia="en-AU"/>
            <w14:ligatures w14:val="standardContextual"/>
          </w:rPr>
          <w:tab/>
        </w:r>
        <w:r w:rsidRPr="00533B68">
          <w:t>Orders—making and effect</w:t>
        </w:r>
        <w:r>
          <w:tab/>
        </w:r>
        <w:r>
          <w:fldChar w:fldCharType="begin"/>
        </w:r>
        <w:r>
          <w:instrText xml:space="preserve"> PAGEREF _Toc185514141 \h </w:instrText>
        </w:r>
        <w:r>
          <w:fldChar w:fldCharType="separate"/>
        </w:r>
        <w:r>
          <w:t>291</w:t>
        </w:r>
        <w:r>
          <w:fldChar w:fldCharType="end"/>
        </w:r>
      </w:hyperlink>
    </w:p>
    <w:p w14:paraId="2BE9467F" w14:textId="1316723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2" w:history="1">
        <w:r w:rsidRPr="00533B68">
          <w:t>1606</w:t>
        </w:r>
        <w:r>
          <w:rPr>
            <w:rFonts w:asciiTheme="minorHAnsi" w:eastAsiaTheme="minorEastAsia" w:hAnsiTheme="minorHAnsi" w:cstheme="minorBidi"/>
            <w:kern w:val="2"/>
            <w:sz w:val="24"/>
            <w:szCs w:val="24"/>
            <w:lang w:eastAsia="en-AU"/>
            <w14:ligatures w14:val="standardContextual"/>
          </w:rPr>
          <w:tab/>
        </w:r>
        <w:r w:rsidRPr="00533B68">
          <w:t>Orders—entry</w:t>
        </w:r>
        <w:r>
          <w:tab/>
        </w:r>
        <w:r>
          <w:fldChar w:fldCharType="begin"/>
        </w:r>
        <w:r>
          <w:instrText xml:space="preserve"> PAGEREF _Toc185514142 \h </w:instrText>
        </w:r>
        <w:r>
          <w:fldChar w:fldCharType="separate"/>
        </w:r>
        <w:r>
          <w:t>291</w:t>
        </w:r>
        <w:r>
          <w:fldChar w:fldCharType="end"/>
        </w:r>
      </w:hyperlink>
    </w:p>
    <w:p w14:paraId="2F4235E7" w14:textId="5F28F1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3" w:history="1">
        <w:r w:rsidRPr="00533B68">
          <w:t>1607</w:t>
        </w:r>
        <w:r>
          <w:rPr>
            <w:rFonts w:asciiTheme="minorHAnsi" w:eastAsiaTheme="minorEastAsia" w:hAnsiTheme="minorHAnsi" w:cstheme="minorBidi"/>
            <w:kern w:val="2"/>
            <w:sz w:val="24"/>
            <w:szCs w:val="24"/>
            <w:lang w:eastAsia="en-AU"/>
            <w14:ligatures w14:val="standardContextual"/>
          </w:rPr>
          <w:tab/>
        </w:r>
        <w:r w:rsidRPr="00533B68">
          <w:t>Orders—certified duplicate</w:t>
        </w:r>
        <w:r>
          <w:tab/>
        </w:r>
        <w:r>
          <w:fldChar w:fldCharType="begin"/>
        </w:r>
        <w:r>
          <w:instrText xml:space="preserve"> PAGEREF _Toc185514143 \h </w:instrText>
        </w:r>
        <w:r>
          <w:fldChar w:fldCharType="separate"/>
        </w:r>
        <w:r>
          <w:t>292</w:t>
        </w:r>
        <w:r>
          <w:fldChar w:fldCharType="end"/>
        </w:r>
      </w:hyperlink>
    </w:p>
    <w:p w14:paraId="1A1AA880" w14:textId="40B5C6E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4" w:history="1">
        <w:r w:rsidRPr="00533B68">
          <w:t>1608</w:t>
        </w:r>
        <w:r>
          <w:rPr>
            <w:rFonts w:asciiTheme="minorHAnsi" w:eastAsiaTheme="minorEastAsia" w:hAnsiTheme="minorHAnsi" w:cstheme="minorBidi"/>
            <w:kern w:val="2"/>
            <w:sz w:val="24"/>
            <w:szCs w:val="24"/>
            <w:lang w:eastAsia="en-AU"/>
            <w14:ligatures w14:val="standardContextual"/>
          </w:rPr>
          <w:tab/>
        </w:r>
        <w:r w:rsidRPr="00533B68">
          <w:t>Orders—reasons</w:t>
        </w:r>
        <w:r>
          <w:tab/>
        </w:r>
        <w:r>
          <w:fldChar w:fldCharType="begin"/>
        </w:r>
        <w:r>
          <w:instrText xml:space="preserve"> PAGEREF _Toc185514144 \h </w:instrText>
        </w:r>
        <w:r>
          <w:fldChar w:fldCharType="separate"/>
        </w:r>
        <w:r>
          <w:t>293</w:t>
        </w:r>
        <w:r>
          <w:fldChar w:fldCharType="end"/>
        </w:r>
      </w:hyperlink>
    </w:p>
    <w:p w14:paraId="0BBEF837" w14:textId="189CC46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5" w:history="1">
        <w:r w:rsidRPr="00533B68">
          <w:t>1609</w:t>
        </w:r>
        <w:r>
          <w:rPr>
            <w:rFonts w:asciiTheme="minorHAnsi" w:eastAsiaTheme="minorEastAsia" w:hAnsiTheme="minorHAnsi" w:cstheme="minorBidi"/>
            <w:kern w:val="2"/>
            <w:sz w:val="24"/>
            <w:szCs w:val="24"/>
            <w:lang w:eastAsia="en-AU"/>
            <w14:ligatures w14:val="standardContextual"/>
          </w:rPr>
          <w:tab/>
        </w:r>
        <w:r w:rsidRPr="00533B68">
          <w:t>Orders—reservation of decision</w:t>
        </w:r>
        <w:r>
          <w:tab/>
        </w:r>
        <w:r>
          <w:fldChar w:fldCharType="begin"/>
        </w:r>
        <w:r>
          <w:instrText xml:space="preserve"> PAGEREF _Toc185514145 \h </w:instrText>
        </w:r>
        <w:r>
          <w:fldChar w:fldCharType="separate"/>
        </w:r>
        <w:r>
          <w:t>293</w:t>
        </w:r>
        <w:r>
          <w:fldChar w:fldCharType="end"/>
        </w:r>
      </w:hyperlink>
    </w:p>
    <w:p w14:paraId="384514EC" w14:textId="512711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6" w:history="1">
        <w:r w:rsidRPr="00533B68">
          <w:t>1610</w:t>
        </w:r>
        <w:r>
          <w:rPr>
            <w:rFonts w:asciiTheme="minorHAnsi" w:eastAsiaTheme="minorEastAsia" w:hAnsiTheme="minorHAnsi" w:cstheme="minorBidi"/>
            <w:kern w:val="2"/>
            <w:sz w:val="24"/>
            <w:szCs w:val="24"/>
            <w:lang w:eastAsia="en-AU"/>
            <w14:ligatures w14:val="standardContextual"/>
          </w:rPr>
          <w:tab/>
        </w:r>
        <w:r w:rsidRPr="00533B68">
          <w:t>Orders—time for compliance</w:t>
        </w:r>
        <w:r>
          <w:tab/>
        </w:r>
        <w:r>
          <w:fldChar w:fldCharType="begin"/>
        </w:r>
        <w:r>
          <w:instrText xml:space="preserve"> PAGEREF _Toc185514146 \h </w:instrText>
        </w:r>
        <w:r>
          <w:fldChar w:fldCharType="separate"/>
        </w:r>
        <w:r>
          <w:t>294</w:t>
        </w:r>
        <w:r>
          <w:fldChar w:fldCharType="end"/>
        </w:r>
      </w:hyperlink>
    </w:p>
    <w:p w14:paraId="4D406B63" w14:textId="62E3181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7" w:history="1">
        <w:r w:rsidRPr="00533B68">
          <w:t>1611</w:t>
        </w:r>
        <w:r>
          <w:rPr>
            <w:rFonts w:asciiTheme="minorHAnsi" w:eastAsiaTheme="minorEastAsia" w:hAnsiTheme="minorHAnsi" w:cstheme="minorBidi"/>
            <w:kern w:val="2"/>
            <w:sz w:val="24"/>
            <w:szCs w:val="24"/>
            <w:lang w:eastAsia="en-AU"/>
            <w14:ligatures w14:val="standardContextual"/>
          </w:rPr>
          <w:tab/>
        </w:r>
        <w:r w:rsidRPr="00533B68">
          <w:t>Orders—by consent</w:t>
        </w:r>
        <w:r>
          <w:tab/>
        </w:r>
        <w:r>
          <w:fldChar w:fldCharType="begin"/>
        </w:r>
        <w:r>
          <w:instrText xml:space="preserve"> PAGEREF _Toc185514147 \h </w:instrText>
        </w:r>
        <w:r>
          <w:fldChar w:fldCharType="separate"/>
        </w:r>
        <w:r>
          <w:t>294</w:t>
        </w:r>
        <w:r>
          <w:fldChar w:fldCharType="end"/>
        </w:r>
      </w:hyperlink>
    </w:p>
    <w:p w14:paraId="3B64A402" w14:textId="3D2078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8" w:history="1">
        <w:r w:rsidRPr="00533B68">
          <w:t>1612</w:t>
        </w:r>
        <w:r>
          <w:rPr>
            <w:rFonts w:asciiTheme="minorHAnsi" w:eastAsiaTheme="minorEastAsia" w:hAnsiTheme="minorHAnsi" w:cstheme="minorBidi"/>
            <w:kern w:val="2"/>
            <w:sz w:val="24"/>
            <w:szCs w:val="24"/>
            <w:lang w:eastAsia="en-AU"/>
            <w14:ligatures w14:val="standardContextual"/>
          </w:rPr>
          <w:tab/>
        </w:r>
        <w:r w:rsidRPr="00533B68">
          <w:t>Orders—by consent in proceeding</w:t>
        </w:r>
        <w:r>
          <w:tab/>
        </w:r>
        <w:r>
          <w:fldChar w:fldCharType="begin"/>
        </w:r>
        <w:r>
          <w:instrText xml:space="preserve"> PAGEREF _Toc185514148 \h </w:instrText>
        </w:r>
        <w:r>
          <w:fldChar w:fldCharType="separate"/>
        </w:r>
        <w:r>
          <w:t>294</w:t>
        </w:r>
        <w:r>
          <w:fldChar w:fldCharType="end"/>
        </w:r>
      </w:hyperlink>
    </w:p>
    <w:p w14:paraId="1EF4C1E9" w14:textId="21BAFB2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49" w:history="1">
        <w:r w:rsidRPr="00533B68">
          <w:t>1613</w:t>
        </w:r>
        <w:r>
          <w:rPr>
            <w:rFonts w:asciiTheme="minorHAnsi" w:eastAsiaTheme="minorEastAsia" w:hAnsiTheme="minorHAnsi" w:cstheme="minorBidi"/>
            <w:kern w:val="2"/>
            <w:sz w:val="24"/>
            <w:szCs w:val="24"/>
            <w:lang w:eastAsia="en-AU"/>
            <w14:ligatures w14:val="standardContextual"/>
          </w:rPr>
          <w:tab/>
        </w:r>
        <w:r w:rsidRPr="00533B68">
          <w:t>Orders—setting aside etc</w:t>
        </w:r>
        <w:r>
          <w:tab/>
        </w:r>
        <w:r>
          <w:fldChar w:fldCharType="begin"/>
        </w:r>
        <w:r>
          <w:instrText xml:space="preserve"> PAGEREF _Toc185514149 \h </w:instrText>
        </w:r>
        <w:r>
          <w:fldChar w:fldCharType="separate"/>
        </w:r>
        <w:r>
          <w:t>295</w:t>
        </w:r>
        <w:r>
          <w:fldChar w:fldCharType="end"/>
        </w:r>
      </w:hyperlink>
    </w:p>
    <w:p w14:paraId="2EBFD1AD" w14:textId="1D40B87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0" w:history="1">
        <w:r w:rsidRPr="00533B68">
          <w:t>1614</w:t>
        </w:r>
        <w:r>
          <w:rPr>
            <w:rFonts w:asciiTheme="minorHAnsi" w:eastAsiaTheme="minorEastAsia" w:hAnsiTheme="minorHAnsi" w:cstheme="minorBidi"/>
            <w:kern w:val="2"/>
            <w:sz w:val="24"/>
            <w:szCs w:val="24"/>
            <w:lang w:eastAsia="en-AU"/>
            <w14:ligatures w14:val="standardContextual"/>
          </w:rPr>
          <w:tab/>
        </w:r>
        <w:r w:rsidRPr="00533B68">
          <w:t>Order dismissing proceeding—effect</w:t>
        </w:r>
        <w:r>
          <w:tab/>
        </w:r>
        <w:r>
          <w:fldChar w:fldCharType="begin"/>
        </w:r>
        <w:r>
          <w:instrText xml:space="preserve"> PAGEREF _Toc185514150 \h </w:instrText>
        </w:r>
        <w:r>
          <w:fldChar w:fldCharType="separate"/>
        </w:r>
        <w:r>
          <w:t>296</w:t>
        </w:r>
        <w:r>
          <w:fldChar w:fldCharType="end"/>
        </w:r>
      </w:hyperlink>
    </w:p>
    <w:p w14:paraId="0FDB9F02" w14:textId="56F09B4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1" w:history="1">
        <w:r w:rsidRPr="00533B68">
          <w:t>1615</w:t>
        </w:r>
        <w:r>
          <w:rPr>
            <w:rFonts w:asciiTheme="minorHAnsi" w:eastAsiaTheme="minorEastAsia" w:hAnsiTheme="minorHAnsi" w:cstheme="minorBidi"/>
            <w:kern w:val="2"/>
            <w:sz w:val="24"/>
            <w:szCs w:val="24"/>
            <w:lang w:eastAsia="en-AU"/>
            <w14:ligatures w14:val="standardContextual"/>
          </w:rPr>
          <w:tab/>
        </w:r>
        <w:r w:rsidRPr="00533B68">
          <w:t>Orders—joint liability</w:t>
        </w:r>
        <w:r>
          <w:tab/>
        </w:r>
        <w:r>
          <w:fldChar w:fldCharType="begin"/>
        </w:r>
        <w:r>
          <w:instrText xml:space="preserve"> PAGEREF _Toc185514151 \h </w:instrText>
        </w:r>
        <w:r>
          <w:fldChar w:fldCharType="separate"/>
        </w:r>
        <w:r>
          <w:t>296</w:t>
        </w:r>
        <w:r>
          <w:fldChar w:fldCharType="end"/>
        </w:r>
      </w:hyperlink>
    </w:p>
    <w:p w14:paraId="776FDC4D" w14:textId="6781863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2" w:history="1">
        <w:r w:rsidRPr="00533B68">
          <w:t>1616</w:t>
        </w:r>
        <w:r>
          <w:rPr>
            <w:rFonts w:asciiTheme="minorHAnsi" w:eastAsiaTheme="minorEastAsia" w:hAnsiTheme="minorHAnsi" w:cstheme="minorBidi"/>
            <w:kern w:val="2"/>
            <w:sz w:val="24"/>
            <w:szCs w:val="24"/>
            <w:lang w:eastAsia="en-AU"/>
            <w14:ligatures w14:val="standardContextual"/>
          </w:rPr>
          <w:tab/>
        </w:r>
        <w:r w:rsidRPr="00533B68">
          <w:t>Payment into court—payment of amount paid into court under order</w:t>
        </w:r>
        <w:r>
          <w:tab/>
        </w:r>
        <w:r>
          <w:fldChar w:fldCharType="begin"/>
        </w:r>
        <w:r>
          <w:instrText xml:space="preserve"> PAGEREF _Toc185514152 \h </w:instrText>
        </w:r>
        <w:r>
          <w:fldChar w:fldCharType="separate"/>
        </w:r>
        <w:r>
          <w:t>298</w:t>
        </w:r>
        <w:r>
          <w:fldChar w:fldCharType="end"/>
        </w:r>
      </w:hyperlink>
    </w:p>
    <w:p w14:paraId="1963683E" w14:textId="6F062E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3" w:history="1">
        <w:r w:rsidRPr="00533B68">
          <w:t>1617</w:t>
        </w:r>
        <w:r>
          <w:rPr>
            <w:rFonts w:asciiTheme="minorHAnsi" w:eastAsiaTheme="minorEastAsia" w:hAnsiTheme="minorHAnsi" w:cstheme="minorBidi"/>
            <w:kern w:val="2"/>
            <w:sz w:val="24"/>
            <w:szCs w:val="24"/>
            <w:lang w:eastAsia="en-AU"/>
            <w14:ligatures w14:val="standardContextual"/>
          </w:rPr>
          <w:tab/>
        </w:r>
        <w:r w:rsidRPr="00533B68">
          <w:t>Payment into court—amount recovered by person with legal disability</w:t>
        </w:r>
        <w:r>
          <w:tab/>
        </w:r>
        <w:r>
          <w:fldChar w:fldCharType="begin"/>
        </w:r>
        <w:r>
          <w:instrText xml:space="preserve"> PAGEREF _Toc185514153 \h </w:instrText>
        </w:r>
        <w:r>
          <w:fldChar w:fldCharType="separate"/>
        </w:r>
        <w:r>
          <w:t>298</w:t>
        </w:r>
        <w:r>
          <w:fldChar w:fldCharType="end"/>
        </w:r>
      </w:hyperlink>
    </w:p>
    <w:p w14:paraId="15A2C627" w14:textId="5B2300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4" w:history="1">
        <w:r w:rsidRPr="00533B68">
          <w:t>1618</w:t>
        </w:r>
        <w:r>
          <w:rPr>
            <w:rFonts w:asciiTheme="minorHAnsi" w:eastAsiaTheme="minorEastAsia" w:hAnsiTheme="minorHAnsi" w:cstheme="minorBidi"/>
            <w:kern w:val="2"/>
            <w:sz w:val="24"/>
            <w:szCs w:val="24"/>
            <w:lang w:eastAsia="en-AU"/>
            <w14:ligatures w14:val="standardContextual"/>
          </w:rPr>
          <w:tab/>
        </w:r>
        <w:r w:rsidRPr="00533B68">
          <w:t>Person with legal disability—orders about recovered amounts etc</w:t>
        </w:r>
        <w:r>
          <w:tab/>
        </w:r>
        <w:r>
          <w:fldChar w:fldCharType="begin"/>
        </w:r>
        <w:r>
          <w:instrText xml:space="preserve"> PAGEREF _Toc185514154 \h </w:instrText>
        </w:r>
        <w:r>
          <w:fldChar w:fldCharType="separate"/>
        </w:r>
        <w:r>
          <w:t>298</w:t>
        </w:r>
        <w:r>
          <w:fldChar w:fldCharType="end"/>
        </w:r>
      </w:hyperlink>
    </w:p>
    <w:p w14:paraId="20987F6A" w14:textId="68E44C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5" w:history="1">
        <w:r w:rsidRPr="00533B68">
          <w:t>1618A</w:t>
        </w:r>
        <w:r>
          <w:rPr>
            <w:rFonts w:asciiTheme="minorHAnsi" w:eastAsiaTheme="minorEastAsia" w:hAnsiTheme="minorHAnsi" w:cstheme="minorBidi"/>
            <w:kern w:val="2"/>
            <w:sz w:val="24"/>
            <w:szCs w:val="24"/>
            <w:lang w:eastAsia="en-AU"/>
            <w14:ligatures w14:val="standardContextual"/>
          </w:rPr>
          <w:tab/>
        </w:r>
        <w:r w:rsidRPr="00533B68">
          <w:t>Person with mental disability—payment out to public trustee and guardian</w:t>
        </w:r>
        <w:r>
          <w:tab/>
        </w:r>
        <w:r>
          <w:fldChar w:fldCharType="begin"/>
        </w:r>
        <w:r>
          <w:instrText xml:space="preserve"> PAGEREF _Toc185514155 \h </w:instrText>
        </w:r>
        <w:r>
          <w:fldChar w:fldCharType="separate"/>
        </w:r>
        <w:r>
          <w:t>300</w:t>
        </w:r>
        <w:r>
          <w:fldChar w:fldCharType="end"/>
        </w:r>
      </w:hyperlink>
    </w:p>
    <w:p w14:paraId="155CD6A8" w14:textId="194D9D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6" w:history="1">
        <w:r w:rsidRPr="00533B68">
          <w:t>1619</w:t>
        </w:r>
        <w:r>
          <w:rPr>
            <w:rFonts w:asciiTheme="minorHAnsi" w:eastAsiaTheme="minorEastAsia" w:hAnsiTheme="minorHAnsi" w:cstheme="minorBidi"/>
            <w:kern w:val="2"/>
            <w:sz w:val="24"/>
            <w:szCs w:val="24"/>
            <w:lang w:eastAsia="en-AU"/>
            <w14:ligatures w14:val="standardContextual"/>
          </w:rPr>
          <w:tab/>
        </w:r>
        <w:r w:rsidRPr="00533B68">
          <w:t>Interest up to judgment</w:t>
        </w:r>
        <w:r>
          <w:tab/>
        </w:r>
        <w:r>
          <w:fldChar w:fldCharType="begin"/>
        </w:r>
        <w:r>
          <w:instrText xml:space="preserve"> PAGEREF _Toc185514156 \h </w:instrText>
        </w:r>
        <w:r>
          <w:fldChar w:fldCharType="separate"/>
        </w:r>
        <w:r>
          <w:t>300</w:t>
        </w:r>
        <w:r>
          <w:fldChar w:fldCharType="end"/>
        </w:r>
      </w:hyperlink>
    </w:p>
    <w:p w14:paraId="25A3BA02" w14:textId="51B21C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7" w:history="1">
        <w:r w:rsidRPr="00533B68">
          <w:t>1620</w:t>
        </w:r>
        <w:r>
          <w:rPr>
            <w:rFonts w:asciiTheme="minorHAnsi" w:eastAsiaTheme="minorEastAsia" w:hAnsiTheme="minorHAnsi" w:cstheme="minorBidi"/>
            <w:kern w:val="2"/>
            <w:sz w:val="24"/>
            <w:szCs w:val="24"/>
            <w:lang w:eastAsia="en-AU"/>
            <w14:ligatures w14:val="standardContextual"/>
          </w:rPr>
          <w:tab/>
        </w:r>
        <w:r w:rsidRPr="00533B68">
          <w:t>Interest after judgment</w:t>
        </w:r>
        <w:r>
          <w:tab/>
        </w:r>
        <w:r>
          <w:fldChar w:fldCharType="begin"/>
        </w:r>
        <w:r>
          <w:instrText xml:space="preserve"> PAGEREF _Toc185514157 \h </w:instrText>
        </w:r>
        <w:r>
          <w:fldChar w:fldCharType="separate"/>
        </w:r>
        <w:r>
          <w:t>302</w:t>
        </w:r>
        <w:r>
          <w:fldChar w:fldCharType="end"/>
        </w:r>
      </w:hyperlink>
    </w:p>
    <w:p w14:paraId="1523A370" w14:textId="390863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8" w:history="1">
        <w:r w:rsidRPr="00533B68">
          <w:t>1621</w:t>
        </w:r>
        <w:r>
          <w:rPr>
            <w:rFonts w:asciiTheme="minorHAnsi" w:eastAsiaTheme="minorEastAsia" w:hAnsiTheme="minorHAnsi" w:cstheme="minorBidi"/>
            <w:kern w:val="2"/>
            <w:sz w:val="24"/>
            <w:szCs w:val="24"/>
            <w:lang w:eastAsia="en-AU"/>
            <w14:ligatures w14:val="standardContextual"/>
          </w:rPr>
          <w:tab/>
        </w:r>
        <w:r w:rsidRPr="00533B68">
          <w:t>Judgment for interest only</w:t>
        </w:r>
        <w:r>
          <w:tab/>
        </w:r>
        <w:r>
          <w:fldChar w:fldCharType="begin"/>
        </w:r>
        <w:r>
          <w:instrText xml:space="preserve"> PAGEREF _Toc185514158 \h </w:instrText>
        </w:r>
        <w:r>
          <w:fldChar w:fldCharType="separate"/>
        </w:r>
        <w:r>
          <w:t>303</w:t>
        </w:r>
        <w:r>
          <w:fldChar w:fldCharType="end"/>
        </w:r>
      </w:hyperlink>
    </w:p>
    <w:p w14:paraId="1341C8D2" w14:textId="11CDD85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59" w:history="1">
        <w:r w:rsidRPr="00533B68">
          <w:t>1622</w:t>
        </w:r>
        <w:r>
          <w:rPr>
            <w:rFonts w:asciiTheme="minorHAnsi" w:eastAsiaTheme="minorEastAsia" w:hAnsiTheme="minorHAnsi" w:cstheme="minorBidi"/>
            <w:kern w:val="2"/>
            <w:sz w:val="24"/>
            <w:szCs w:val="24"/>
            <w:lang w:eastAsia="en-AU"/>
            <w14:ligatures w14:val="standardContextual"/>
          </w:rPr>
          <w:tab/>
        </w:r>
        <w:r w:rsidRPr="00533B68">
          <w:t>Interest after judgment—usual order as to interest</w:t>
        </w:r>
        <w:r>
          <w:tab/>
        </w:r>
        <w:r>
          <w:fldChar w:fldCharType="begin"/>
        </w:r>
        <w:r>
          <w:instrText xml:space="preserve"> PAGEREF _Toc185514159 \h </w:instrText>
        </w:r>
        <w:r>
          <w:fldChar w:fldCharType="separate"/>
        </w:r>
        <w:r>
          <w:t>303</w:t>
        </w:r>
        <w:r>
          <w:fldChar w:fldCharType="end"/>
        </w:r>
      </w:hyperlink>
    </w:p>
    <w:p w14:paraId="5DC1DE8E" w14:textId="20F19F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0" w:history="1">
        <w:r w:rsidRPr="00533B68">
          <w:t>1623</w:t>
        </w:r>
        <w:r>
          <w:rPr>
            <w:rFonts w:asciiTheme="minorHAnsi" w:eastAsiaTheme="minorEastAsia" w:hAnsiTheme="minorHAnsi" w:cstheme="minorBidi"/>
            <w:kern w:val="2"/>
            <w:sz w:val="24"/>
            <w:szCs w:val="24"/>
            <w:lang w:eastAsia="en-AU"/>
            <w14:ligatures w14:val="standardContextual"/>
          </w:rPr>
          <w:tab/>
        </w:r>
        <w:r w:rsidRPr="00533B68">
          <w:t>Change in interest rates up to and after judgment</w:t>
        </w:r>
        <w:r>
          <w:tab/>
        </w:r>
        <w:r>
          <w:fldChar w:fldCharType="begin"/>
        </w:r>
        <w:r>
          <w:instrText xml:space="preserve"> PAGEREF _Toc185514160 \h </w:instrText>
        </w:r>
        <w:r>
          <w:fldChar w:fldCharType="separate"/>
        </w:r>
        <w:r>
          <w:t>305</w:t>
        </w:r>
        <w:r>
          <w:fldChar w:fldCharType="end"/>
        </w:r>
      </w:hyperlink>
    </w:p>
    <w:p w14:paraId="7183C540" w14:textId="1C136D25"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161" w:history="1">
        <w:r w:rsidR="00AC5392" w:rsidRPr="00533B68">
          <w:t>Part 2.17</w:t>
        </w:r>
        <w:r w:rsidR="00AC5392">
          <w:rPr>
            <w:rFonts w:asciiTheme="minorHAnsi" w:eastAsiaTheme="minorEastAsia" w:hAnsiTheme="minorHAnsi" w:cstheme="minorBidi"/>
            <w:b w:val="0"/>
            <w:kern w:val="2"/>
            <w:szCs w:val="24"/>
            <w:lang w:eastAsia="en-AU"/>
            <w14:ligatures w14:val="standardContextual"/>
          </w:rPr>
          <w:tab/>
        </w:r>
        <w:r w:rsidR="00AC5392" w:rsidRPr="00533B68">
          <w:t>Costs</w:t>
        </w:r>
        <w:r w:rsidR="00AC5392" w:rsidRPr="00AC5392">
          <w:rPr>
            <w:vanish/>
          </w:rPr>
          <w:tab/>
        </w:r>
        <w:r w:rsidR="00AC5392" w:rsidRPr="00AC5392">
          <w:rPr>
            <w:vanish/>
          </w:rPr>
          <w:fldChar w:fldCharType="begin"/>
        </w:r>
        <w:r w:rsidR="00AC5392" w:rsidRPr="00AC5392">
          <w:rPr>
            <w:vanish/>
          </w:rPr>
          <w:instrText xml:space="preserve"> PAGEREF _Toc185514161 \h </w:instrText>
        </w:r>
        <w:r w:rsidR="00AC5392" w:rsidRPr="00AC5392">
          <w:rPr>
            <w:vanish/>
          </w:rPr>
        </w:r>
        <w:r w:rsidR="00AC5392" w:rsidRPr="00AC5392">
          <w:rPr>
            <w:vanish/>
          </w:rPr>
          <w:fldChar w:fldCharType="separate"/>
        </w:r>
        <w:r w:rsidR="00AC5392" w:rsidRPr="00AC5392">
          <w:rPr>
            <w:vanish/>
          </w:rPr>
          <w:t>306</w:t>
        </w:r>
        <w:r w:rsidR="00AC5392" w:rsidRPr="00AC5392">
          <w:rPr>
            <w:vanish/>
          </w:rPr>
          <w:fldChar w:fldCharType="end"/>
        </w:r>
      </w:hyperlink>
    </w:p>
    <w:p w14:paraId="67331605" w14:textId="31FC07B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62" w:history="1">
        <w:r w:rsidR="00AC5392" w:rsidRPr="00533B68">
          <w:t>Division 2.17.1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Costs generally</w:t>
        </w:r>
        <w:r w:rsidR="00AC5392" w:rsidRPr="00AC5392">
          <w:rPr>
            <w:vanish/>
          </w:rPr>
          <w:tab/>
        </w:r>
        <w:r w:rsidR="00AC5392" w:rsidRPr="00AC5392">
          <w:rPr>
            <w:vanish/>
          </w:rPr>
          <w:fldChar w:fldCharType="begin"/>
        </w:r>
        <w:r w:rsidR="00AC5392" w:rsidRPr="00AC5392">
          <w:rPr>
            <w:vanish/>
          </w:rPr>
          <w:instrText xml:space="preserve"> PAGEREF _Toc185514162 \h </w:instrText>
        </w:r>
        <w:r w:rsidR="00AC5392" w:rsidRPr="00AC5392">
          <w:rPr>
            <w:vanish/>
          </w:rPr>
        </w:r>
        <w:r w:rsidR="00AC5392" w:rsidRPr="00AC5392">
          <w:rPr>
            <w:vanish/>
          </w:rPr>
          <w:fldChar w:fldCharType="separate"/>
        </w:r>
        <w:r w:rsidR="00AC5392" w:rsidRPr="00AC5392">
          <w:rPr>
            <w:vanish/>
          </w:rPr>
          <w:t>306</w:t>
        </w:r>
        <w:r w:rsidR="00AC5392" w:rsidRPr="00AC5392">
          <w:rPr>
            <w:vanish/>
          </w:rPr>
          <w:fldChar w:fldCharType="end"/>
        </w:r>
      </w:hyperlink>
    </w:p>
    <w:p w14:paraId="2DE09BB4" w14:textId="7077610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3" w:history="1">
        <w:r w:rsidRPr="00533B68">
          <w:t>1700</w:t>
        </w:r>
        <w:r>
          <w:rPr>
            <w:rFonts w:asciiTheme="minorHAnsi" w:eastAsiaTheme="minorEastAsia" w:hAnsiTheme="minorHAnsi" w:cstheme="minorBidi"/>
            <w:kern w:val="2"/>
            <w:sz w:val="24"/>
            <w:szCs w:val="24"/>
            <w:lang w:eastAsia="en-AU"/>
            <w14:ligatures w14:val="standardContextual"/>
          </w:rPr>
          <w:tab/>
        </w:r>
        <w:r w:rsidRPr="00533B68">
          <w:t>Definitions—pt 2.17</w:t>
        </w:r>
        <w:r>
          <w:tab/>
        </w:r>
        <w:r>
          <w:fldChar w:fldCharType="begin"/>
        </w:r>
        <w:r>
          <w:instrText xml:space="preserve"> PAGEREF _Toc185514163 \h </w:instrText>
        </w:r>
        <w:r>
          <w:fldChar w:fldCharType="separate"/>
        </w:r>
        <w:r>
          <w:t>306</w:t>
        </w:r>
        <w:r>
          <w:fldChar w:fldCharType="end"/>
        </w:r>
      </w:hyperlink>
    </w:p>
    <w:p w14:paraId="1CC212B9" w14:textId="2ED2DA6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4" w:history="1">
        <w:r w:rsidRPr="00533B68">
          <w:t>1701</w:t>
        </w:r>
        <w:r>
          <w:rPr>
            <w:rFonts w:asciiTheme="minorHAnsi" w:eastAsiaTheme="minorEastAsia" w:hAnsiTheme="minorHAnsi" w:cstheme="minorBidi"/>
            <w:kern w:val="2"/>
            <w:sz w:val="24"/>
            <w:szCs w:val="24"/>
            <w:lang w:eastAsia="en-AU"/>
            <w14:ligatures w14:val="standardContextual"/>
          </w:rPr>
          <w:tab/>
        </w:r>
        <w:r w:rsidRPr="00533B68">
          <w:t>Costs—general provisions</w:t>
        </w:r>
        <w:r>
          <w:tab/>
        </w:r>
        <w:r>
          <w:fldChar w:fldCharType="begin"/>
        </w:r>
        <w:r>
          <w:instrText xml:space="preserve"> PAGEREF _Toc185514164 \h </w:instrText>
        </w:r>
        <w:r>
          <w:fldChar w:fldCharType="separate"/>
        </w:r>
        <w:r>
          <w:t>307</w:t>
        </w:r>
        <w:r>
          <w:fldChar w:fldCharType="end"/>
        </w:r>
      </w:hyperlink>
    </w:p>
    <w:p w14:paraId="5C54FDE0" w14:textId="6A129C7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5" w:history="1">
        <w:r w:rsidRPr="00533B68">
          <w:t>1702</w:t>
        </w:r>
        <w:r>
          <w:rPr>
            <w:rFonts w:asciiTheme="minorHAnsi" w:eastAsiaTheme="minorEastAsia" w:hAnsiTheme="minorHAnsi" w:cstheme="minorBidi"/>
            <w:kern w:val="2"/>
            <w:sz w:val="24"/>
            <w:szCs w:val="24"/>
            <w:lang w:eastAsia="en-AU"/>
            <w14:ligatures w14:val="standardContextual"/>
          </w:rPr>
          <w:tab/>
        </w:r>
        <w:r w:rsidRPr="00533B68">
          <w:t>Costs—agreement about costs</w:t>
        </w:r>
        <w:r>
          <w:tab/>
        </w:r>
        <w:r>
          <w:fldChar w:fldCharType="begin"/>
        </w:r>
        <w:r>
          <w:instrText xml:space="preserve"> PAGEREF _Toc185514165 \h </w:instrText>
        </w:r>
        <w:r>
          <w:fldChar w:fldCharType="separate"/>
        </w:r>
        <w:r>
          <w:t>307</w:t>
        </w:r>
        <w:r>
          <w:fldChar w:fldCharType="end"/>
        </w:r>
      </w:hyperlink>
    </w:p>
    <w:p w14:paraId="439C5CD5" w14:textId="6709F1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6" w:history="1">
        <w:r w:rsidRPr="00533B68">
          <w:t>1703</w:t>
        </w:r>
        <w:r>
          <w:rPr>
            <w:rFonts w:asciiTheme="minorHAnsi" w:eastAsiaTheme="minorEastAsia" w:hAnsiTheme="minorHAnsi" w:cstheme="minorBidi"/>
            <w:kern w:val="2"/>
            <w:sz w:val="24"/>
            <w:szCs w:val="24"/>
            <w:lang w:eastAsia="en-AU"/>
            <w14:ligatures w14:val="standardContextual"/>
          </w:rPr>
          <w:tab/>
        </w:r>
        <w:r w:rsidRPr="00533B68">
          <w:t>Costs—order against non-party</w:t>
        </w:r>
        <w:r>
          <w:tab/>
        </w:r>
        <w:r>
          <w:fldChar w:fldCharType="begin"/>
        </w:r>
        <w:r>
          <w:instrText xml:space="preserve"> PAGEREF _Toc185514166 \h </w:instrText>
        </w:r>
        <w:r>
          <w:fldChar w:fldCharType="separate"/>
        </w:r>
        <w:r>
          <w:t>307</w:t>
        </w:r>
        <w:r>
          <w:fldChar w:fldCharType="end"/>
        </w:r>
      </w:hyperlink>
    </w:p>
    <w:p w14:paraId="60A224C7" w14:textId="0380AFA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7" w:history="1">
        <w:r w:rsidRPr="00533B68">
          <w:t>1704</w:t>
        </w:r>
        <w:r>
          <w:rPr>
            <w:rFonts w:asciiTheme="minorHAnsi" w:eastAsiaTheme="minorEastAsia" w:hAnsiTheme="minorHAnsi" w:cstheme="minorBidi"/>
            <w:kern w:val="2"/>
            <w:sz w:val="24"/>
            <w:szCs w:val="24"/>
            <w:lang w:eastAsia="en-AU"/>
            <w14:ligatures w14:val="standardContextual"/>
          </w:rPr>
          <w:tab/>
        </w:r>
        <w:r w:rsidRPr="00533B68">
          <w:t>Costs—failure to comply with subpoena etc</w:t>
        </w:r>
        <w:r>
          <w:tab/>
        </w:r>
        <w:r>
          <w:fldChar w:fldCharType="begin"/>
        </w:r>
        <w:r>
          <w:instrText xml:space="preserve"> PAGEREF _Toc185514167 \h </w:instrText>
        </w:r>
        <w:r>
          <w:fldChar w:fldCharType="separate"/>
        </w:r>
        <w:r>
          <w:t>309</w:t>
        </w:r>
        <w:r>
          <w:fldChar w:fldCharType="end"/>
        </w:r>
      </w:hyperlink>
    </w:p>
    <w:p w14:paraId="4769D87C" w14:textId="7ADF829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8" w:history="1">
        <w:r w:rsidRPr="00533B68">
          <w:t>1705</w:t>
        </w:r>
        <w:r>
          <w:rPr>
            <w:rFonts w:asciiTheme="minorHAnsi" w:eastAsiaTheme="minorEastAsia" w:hAnsiTheme="minorHAnsi" w:cstheme="minorBidi"/>
            <w:kern w:val="2"/>
            <w:sz w:val="24"/>
            <w:szCs w:val="24"/>
            <w:lang w:eastAsia="en-AU"/>
            <w14:ligatures w14:val="standardContextual"/>
          </w:rPr>
          <w:tab/>
        </w:r>
        <w:r w:rsidRPr="00533B68">
          <w:t>Costs—for issue or part of proceeding</w:t>
        </w:r>
        <w:r>
          <w:tab/>
        </w:r>
        <w:r>
          <w:fldChar w:fldCharType="begin"/>
        </w:r>
        <w:r>
          <w:instrText xml:space="preserve"> PAGEREF _Toc185514168 \h </w:instrText>
        </w:r>
        <w:r>
          <w:fldChar w:fldCharType="separate"/>
        </w:r>
        <w:r>
          <w:t>310</w:t>
        </w:r>
        <w:r>
          <w:fldChar w:fldCharType="end"/>
        </w:r>
      </w:hyperlink>
    </w:p>
    <w:p w14:paraId="42A2DFFE" w14:textId="6BA0D9E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69" w:history="1">
        <w:r w:rsidRPr="00533B68">
          <w:t>1706</w:t>
        </w:r>
        <w:r>
          <w:rPr>
            <w:rFonts w:asciiTheme="minorHAnsi" w:eastAsiaTheme="minorEastAsia" w:hAnsiTheme="minorHAnsi" w:cstheme="minorBidi"/>
            <w:kern w:val="2"/>
            <w:sz w:val="24"/>
            <w:szCs w:val="24"/>
            <w:lang w:eastAsia="en-AU"/>
            <w14:ligatures w14:val="standardContextual"/>
          </w:rPr>
          <w:tab/>
        </w:r>
        <w:r w:rsidRPr="00533B68">
          <w:t>Costs—if unnecessary to continue proceeding</w:t>
        </w:r>
        <w:r>
          <w:tab/>
        </w:r>
        <w:r>
          <w:fldChar w:fldCharType="begin"/>
        </w:r>
        <w:r>
          <w:instrText xml:space="preserve"> PAGEREF _Toc185514169 \h </w:instrText>
        </w:r>
        <w:r>
          <w:fldChar w:fldCharType="separate"/>
        </w:r>
        <w:r>
          <w:t>310</w:t>
        </w:r>
        <w:r>
          <w:fldChar w:fldCharType="end"/>
        </w:r>
      </w:hyperlink>
    </w:p>
    <w:p w14:paraId="7D77F008" w14:textId="14D45C0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0" w:history="1">
        <w:r w:rsidRPr="00533B68">
          <w:t>1707</w:t>
        </w:r>
        <w:r>
          <w:rPr>
            <w:rFonts w:asciiTheme="minorHAnsi" w:eastAsiaTheme="minorEastAsia" w:hAnsiTheme="minorHAnsi" w:cstheme="minorBidi"/>
            <w:kern w:val="2"/>
            <w:sz w:val="24"/>
            <w:szCs w:val="24"/>
            <w:lang w:eastAsia="en-AU"/>
            <w14:ligatures w14:val="standardContextual"/>
          </w:rPr>
          <w:tab/>
        </w:r>
        <w:r w:rsidRPr="00533B68">
          <w:t>Costs—proceeding removed to another court</w:t>
        </w:r>
        <w:r>
          <w:tab/>
        </w:r>
        <w:r>
          <w:fldChar w:fldCharType="begin"/>
        </w:r>
        <w:r>
          <w:instrText xml:space="preserve"> PAGEREF _Toc185514170 \h </w:instrText>
        </w:r>
        <w:r>
          <w:fldChar w:fldCharType="separate"/>
        </w:r>
        <w:r>
          <w:t>310</w:t>
        </w:r>
        <w:r>
          <w:fldChar w:fldCharType="end"/>
        </w:r>
      </w:hyperlink>
    </w:p>
    <w:p w14:paraId="7D405E29" w14:textId="31DBE5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1" w:history="1">
        <w:r w:rsidRPr="00533B68">
          <w:t>1708</w:t>
        </w:r>
        <w:r>
          <w:rPr>
            <w:rFonts w:asciiTheme="minorHAnsi" w:eastAsiaTheme="minorEastAsia" w:hAnsiTheme="minorHAnsi" w:cstheme="minorBidi"/>
            <w:kern w:val="2"/>
            <w:sz w:val="24"/>
            <w:szCs w:val="24"/>
            <w:lang w:eastAsia="en-AU"/>
            <w14:ligatures w14:val="standardContextual"/>
          </w:rPr>
          <w:tab/>
        </w:r>
        <w:r w:rsidRPr="00533B68">
          <w:t>Costs—in account</w:t>
        </w:r>
        <w:r>
          <w:tab/>
        </w:r>
        <w:r>
          <w:fldChar w:fldCharType="begin"/>
        </w:r>
        <w:r>
          <w:instrText xml:space="preserve"> PAGEREF _Toc185514171 \h </w:instrText>
        </w:r>
        <w:r>
          <w:fldChar w:fldCharType="separate"/>
        </w:r>
        <w:r>
          <w:t>311</w:t>
        </w:r>
        <w:r>
          <w:fldChar w:fldCharType="end"/>
        </w:r>
      </w:hyperlink>
    </w:p>
    <w:p w14:paraId="29694375" w14:textId="2E248BE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72" w:history="1">
        <w:r w:rsidR="00AC5392" w:rsidRPr="00533B68">
          <w:t>Division 2.17.2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Entitlement to costs</w:t>
        </w:r>
        <w:r w:rsidR="00AC5392" w:rsidRPr="00AC5392">
          <w:rPr>
            <w:vanish/>
          </w:rPr>
          <w:tab/>
        </w:r>
        <w:r w:rsidR="00AC5392" w:rsidRPr="00AC5392">
          <w:rPr>
            <w:vanish/>
          </w:rPr>
          <w:fldChar w:fldCharType="begin"/>
        </w:r>
        <w:r w:rsidR="00AC5392" w:rsidRPr="00AC5392">
          <w:rPr>
            <w:vanish/>
          </w:rPr>
          <w:instrText xml:space="preserve"> PAGEREF _Toc185514172 \h </w:instrText>
        </w:r>
        <w:r w:rsidR="00AC5392" w:rsidRPr="00AC5392">
          <w:rPr>
            <w:vanish/>
          </w:rPr>
        </w:r>
        <w:r w:rsidR="00AC5392" w:rsidRPr="00AC5392">
          <w:rPr>
            <w:vanish/>
          </w:rPr>
          <w:fldChar w:fldCharType="separate"/>
        </w:r>
        <w:r w:rsidR="00AC5392" w:rsidRPr="00AC5392">
          <w:rPr>
            <w:vanish/>
          </w:rPr>
          <w:t>311</w:t>
        </w:r>
        <w:r w:rsidR="00AC5392" w:rsidRPr="00AC5392">
          <w:rPr>
            <w:vanish/>
          </w:rPr>
          <w:fldChar w:fldCharType="end"/>
        </w:r>
      </w:hyperlink>
    </w:p>
    <w:p w14:paraId="464D9D05" w14:textId="5C0D4C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3" w:history="1">
        <w:r w:rsidRPr="00533B68">
          <w:t>1720</w:t>
        </w:r>
        <w:r>
          <w:rPr>
            <w:rFonts w:asciiTheme="minorHAnsi" w:eastAsiaTheme="minorEastAsia" w:hAnsiTheme="minorHAnsi" w:cstheme="minorBidi"/>
            <w:kern w:val="2"/>
            <w:sz w:val="24"/>
            <w:szCs w:val="24"/>
            <w:lang w:eastAsia="en-AU"/>
            <w14:ligatures w14:val="standardContextual"/>
          </w:rPr>
          <w:tab/>
        </w:r>
        <w:r w:rsidRPr="00533B68">
          <w:t>Costs—entitlement to recover</w:t>
        </w:r>
        <w:r>
          <w:tab/>
        </w:r>
        <w:r>
          <w:fldChar w:fldCharType="begin"/>
        </w:r>
        <w:r>
          <w:instrText xml:space="preserve"> PAGEREF _Toc185514173 \h </w:instrText>
        </w:r>
        <w:r>
          <w:fldChar w:fldCharType="separate"/>
        </w:r>
        <w:r>
          <w:t>311</w:t>
        </w:r>
        <w:r>
          <w:fldChar w:fldCharType="end"/>
        </w:r>
      </w:hyperlink>
    </w:p>
    <w:p w14:paraId="2A8DA787" w14:textId="05469E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4" w:history="1">
        <w:r w:rsidRPr="00533B68">
          <w:t>1721</w:t>
        </w:r>
        <w:r>
          <w:rPr>
            <w:rFonts w:asciiTheme="minorHAnsi" w:eastAsiaTheme="minorEastAsia" w:hAnsiTheme="minorHAnsi" w:cstheme="minorBidi"/>
            <w:kern w:val="2"/>
            <w:sz w:val="24"/>
            <w:szCs w:val="24"/>
            <w:lang w:eastAsia="en-AU"/>
            <w14:ligatures w14:val="standardContextual"/>
          </w:rPr>
          <w:tab/>
        </w:r>
        <w:r w:rsidRPr="00533B68">
          <w:t>Costs—general rule</w:t>
        </w:r>
        <w:r>
          <w:tab/>
        </w:r>
        <w:r>
          <w:fldChar w:fldCharType="begin"/>
        </w:r>
        <w:r>
          <w:instrText xml:space="preserve"> PAGEREF _Toc185514174 \h </w:instrText>
        </w:r>
        <w:r>
          <w:fldChar w:fldCharType="separate"/>
        </w:r>
        <w:r>
          <w:t>312</w:t>
        </w:r>
        <w:r>
          <w:fldChar w:fldCharType="end"/>
        </w:r>
      </w:hyperlink>
    </w:p>
    <w:p w14:paraId="1760B04D" w14:textId="0140F69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5" w:history="1">
        <w:r w:rsidRPr="00533B68">
          <w:t>1722</w:t>
        </w:r>
        <w:r>
          <w:rPr>
            <w:rFonts w:asciiTheme="minorHAnsi" w:eastAsiaTheme="minorEastAsia" w:hAnsiTheme="minorHAnsi" w:cstheme="minorBidi"/>
            <w:kern w:val="2"/>
            <w:sz w:val="24"/>
            <w:szCs w:val="24"/>
            <w:lang w:eastAsia="en-AU"/>
            <w14:ligatures w14:val="standardContextual"/>
          </w:rPr>
          <w:tab/>
        </w:r>
        <w:r w:rsidRPr="00533B68">
          <w:t>Costs—solicitors’ costs generally</w:t>
        </w:r>
        <w:r>
          <w:tab/>
        </w:r>
        <w:r>
          <w:fldChar w:fldCharType="begin"/>
        </w:r>
        <w:r>
          <w:instrText xml:space="preserve"> PAGEREF _Toc185514175 \h </w:instrText>
        </w:r>
        <w:r>
          <w:fldChar w:fldCharType="separate"/>
        </w:r>
        <w:r>
          <w:t>312</w:t>
        </w:r>
        <w:r>
          <w:fldChar w:fldCharType="end"/>
        </w:r>
      </w:hyperlink>
    </w:p>
    <w:p w14:paraId="73582DAC" w14:textId="343FA4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6" w:history="1">
        <w:r w:rsidRPr="00533B68">
          <w:t>1723</w:t>
        </w:r>
        <w:r>
          <w:rPr>
            <w:rFonts w:asciiTheme="minorHAnsi" w:eastAsiaTheme="minorEastAsia" w:hAnsiTheme="minorHAnsi" w:cstheme="minorBidi"/>
            <w:kern w:val="2"/>
            <w:sz w:val="24"/>
            <w:szCs w:val="24"/>
            <w:lang w:eastAsia="en-AU"/>
            <w14:ligatures w14:val="standardContextual"/>
          </w:rPr>
          <w:tab/>
        </w:r>
        <w:r w:rsidRPr="00533B68">
          <w:t>Costs—</w:t>
        </w:r>
        <w:r w:rsidRPr="00533B68">
          <w:rPr>
            <w:i/>
          </w:rPr>
          <w:t>relevant amount</w:t>
        </w:r>
        <w:r w:rsidRPr="00533B68">
          <w:t xml:space="preserve"> for Magistrates Court proceedings</w:t>
        </w:r>
        <w:r>
          <w:tab/>
        </w:r>
        <w:r>
          <w:fldChar w:fldCharType="begin"/>
        </w:r>
        <w:r>
          <w:instrText xml:space="preserve"> PAGEREF _Toc185514176 \h </w:instrText>
        </w:r>
        <w:r>
          <w:fldChar w:fldCharType="separate"/>
        </w:r>
        <w:r>
          <w:t>313</w:t>
        </w:r>
        <w:r>
          <w:fldChar w:fldCharType="end"/>
        </w:r>
      </w:hyperlink>
    </w:p>
    <w:p w14:paraId="18DD0610" w14:textId="08A5899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7" w:history="1">
        <w:r w:rsidRPr="00533B68">
          <w:t>1724</w:t>
        </w:r>
        <w:r>
          <w:rPr>
            <w:rFonts w:asciiTheme="minorHAnsi" w:eastAsiaTheme="minorEastAsia" w:hAnsiTheme="minorHAnsi" w:cstheme="minorBidi"/>
            <w:kern w:val="2"/>
            <w:sz w:val="24"/>
            <w:szCs w:val="24"/>
            <w:lang w:eastAsia="en-AU"/>
            <w14:ligatures w14:val="standardContextual"/>
          </w:rPr>
          <w:tab/>
        </w:r>
        <w:r w:rsidRPr="00533B68">
          <w:t>Solicitors’ costs—separate judgments against defendants in Magistrates Court</w:t>
        </w:r>
        <w:r>
          <w:tab/>
        </w:r>
        <w:r>
          <w:fldChar w:fldCharType="begin"/>
        </w:r>
        <w:r>
          <w:instrText xml:space="preserve"> PAGEREF _Toc185514177 \h </w:instrText>
        </w:r>
        <w:r>
          <w:fldChar w:fldCharType="separate"/>
        </w:r>
        <w:r>
          <w:t>315</w:t>
        </w:r>
        <w:r>
          <w:fldChar w:fldCharType="end"/>
        </w:r>
      </w:hyperlink>
    </w:p>
    <w:p w14:paraId="723E60E9" w14:textId="519CEF4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8" w:history="1">
        <w:r w:rsidRPr="00533B68">
          <w:t>1725</w:t>
        </w:r>
        <w:r>
          <w:rPr>
            <w:rFonts w:asciiTheme="minorHAnsi" w:eastAsiaTheme="minorEastAsia" w:hAnsiTheme="minorHAnsi" w:cstheme="minorBidi"/>
            <w:kern w:val="2"/>
            <w:sz w:val="24"/>
            <w:szCs w:val="24"/>
            <w:lang w:eastAsia="en-AU"/>
            <w14:ligatures w14:val="standardContextual"/>
          </w:rPr>
          <w:tab/>
        </w:r>
        <w:r w:rsidRPr="00533B68">
          <w:t>Solicitors’ costs and determined fees—Supreme Court judgment within Magistrates Court jurisdiction</w:t>
        </w:r>
        <w:r>
          <w:tab/>
        </w:r>
        <w:r>
          <w:fldChar w:fldCharType="begin"/>
        </w:r>
        <w:r>
          <w:instrText xml:space="preserve"> PAGEREF _Toc185514178 \h </w:instrText>
        </w:r>
        <w:r>
          <w:fldChar w:fldCharType="separate"/>
        </w:r>
        <w:r>
          <w:t>315</w:t>
        </w:r>
        <w:r>
          <w:fldChar w:fldCharType="end"/>
        </w:r>
      </w:hyperlink>
    </w:p>
    <w:p w14:paraId="5E18C753" w14:textId="0C94C2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79" w:history="1">
        <w:r w:rsidRPr="00533B68">
          <w:t>1726</w:t>
        </w:r>
        <w:r>
          <w:rPr>
            <w:rFonts w:asciiTheme="minorHAnsi" w:eastAsiaTheme="minorEastAsia" w:hAnsiTheme="minorHAnsi" w:cstheme="minorBidi"/>
            <w:kern w:val="2"/>
            <w:sz w:val="24"/>
            <w:szCs w:val="24"/>
            <w:lang w:eastAsia="en-AU"/>
            <w14:ligatures w14:val="standardContextual"/>
          </w:rPr>
          <w:tab/>
        </w:r>
        <w:r w:rsidRPr="00533B68">
          <w:t>Costs—amendment of documents</w:t>
        </w:r>
        <w:r>
          <w:tab/>
        </w:r>
        <w:r>
          <w:fldChar w:fldCharType="begin"/>
        </w:r>
        <w:r>
          <w:instrText xml:space="preserve"> PAGEREF _Toc185514179 \h </w:instrText>
        </w:r>
        <w:r>
          <w:fldChar w:fldCharType="separate"/>
        </w:r>
        <w:r>
          <w:t>317</w:t>
        </w:r>
        <w:r>
          <w:fldChar w:fldCharType="end"/>
        </w:r>
      </w:hyperlink>
    </w:p>
    <w:p w14:paraId="77A39E94" w14:textId="41ED54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0" w:history="1">
        <w:r w:rsidRPr="00533B68">
          <w:t>1727</w:t>
        </w:r>
        <w:r>
          <w:rPr>
            <w:rFonts w:asciiTheme="minorHAnsi" w:eastAsiaTheme="minorEastAsia" w:hAnsiTheme="minorHAnsi" w:cstheme="minorBidi"/>
            <w:kern w:val="2"/>
            <w:sz w:val="24"/>
            <w:szCs w:val="24"/>
            <w:lang w:eastAsia="en-AU"/>
            <w14:ligatures w14:val="standardContextual"/>
          </w:rPr>
          <w:tab/>
        </w:r>
        <w:r w:rsidRPr="00533B68">
          <w:t>Costs—party not interested in application</w:t>
        </w:r>
        <w:r>
          <w:tab/>
        </w:r>
        <w:r>
          <w:fldChar w:fldCharType="begin"/>
        </w:r>
        <w:r>
          <w:instrText xml:space="preserve"> PAGEREF _Toc185514180 \h </w:instrText>
        </w:r>
        <w:r>
          <w:fldChar w:fldCharType="separate"/>
        </w:r>
        <w:r>
          <w:t>317</w:t>
        </w:r>
        <w:r>
          <w:fldChar w:fldCharType="end"/>
        </w:r>
      </w:hyperlink>
    </w:p>
    <w:p w14:paraId="5B079564" w14:textId="48CA4D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1" w:history="1">
        <w:r w:rsidRPr="00533B68">
          <w:t>1728</w:t>
        </w:r>
        <w:r>
          <w:rPr>
            <w:rFonts w:asciiTheme="minorHAnsi" w:eastAsiaTheme="minorEastAsia" w:hAnsiTheme="minorHAnsi" w:cstheme="minorBidi"/>
            <w:kern w:val="2"/>
            <w:sz w:val="24"/>
            <w:szCs w:val="24"/>
            <w:lang w:eastAsia="en-AU"/>
            <w14:ligatures w14:val="standardContextual"/>
          </w:rPr>
          <w:tab/>
        </w:r>
        <w:r w:rsidRPr="00533B68">
          <w:t>Costs—for application reserved</w:t>
        </w:r>
        <w:r>
          <w:tab/>
        </w:r>
        <w:r>
          <w:fldChar w:fldCharType="begin"/>
        </w:r>
        <w:r>
          <w:instrText xml:space="preserve"> PAGEREF _Toc185514181 \h </w:instrText>
        </w:r>
        <w:r>
          <w:fldChar w:fldCharType="separate"/>
        </w:r>
        <w:r>
          <w:t>317</w:t>
        </w:r>
        <w:r>
          <w:fldChar w:fldCharType="end"/>
        </w:r>
      </w:hyperlink>
    </w:p>
    <w:p w14:paraId="4CFB0075" w14:textId="140545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2" w:history="1">
        <w:r w:rsidRPr="00533B68">
          <w:t>1729</w:t>
        </w:r>
        <w:r>
          <w:rPr>
            <w:rFonts w:asciiTheme="minorHAnsi" w:eastAsiaTheme="minorEastAsia" w:hAnsiTheme="minorHAnsi" w:cstheme="minorBidi"/>
            <w:kern w:val="2"/>
            <w:sz w:val="24"/>
            <w:szCs w:val="24"/>
            <w:lang w:eastAsia="en-AU"/>
            <w14:ligatures w14:val="standardContextual"/>
          </w:rPr>
          <w:tab/>
        </w:r>
        <w:r w:rsidRPr="00533B68">
          <w:t>Costs—extending or shortening time</w:t>
        </w:r>
        <w:r>
          <w:tab/>
        </w:r>
        <w:r>
          <w:fldChar w:fldCharType="begin"/>
        </w:r>
        <w:r>
          <w:instrText xml:space="preserve"> PAGEREF _Toc185514182 \h </w:instrText>
        </w:r>
        <w:r>
          <w:fldChar w:fldCharType="separate"/>
        </w:r>
        <w:r>
          <w:t>318</w:t>
        </w:r>
        <w:r>
          <w:fldChar w:fldCharType="end"/>
        </w:r>
      </w:hyperlink>
    </w:p>
    <w:p w14:paraId="544D6E41" w14:textId="2940F7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3" w:history="1">
        <w:r w:rsidRPr="00533B68">
          <w:t>1730</w:t>
        </w:r>
        <w:r>
          <w:rPr>
            <w:rFonts w:asciiTheme="minorHAnsi" w:eastAsiaTheme="minorEastAsia" w:hAnsiTheme="minorHAnsi" w:cstheme="minorBidi"/>
            <w:kern w:val="2"/>
            <w:sz w:val="24"/>
            <w:szCs w:val="24"/>
            <w:lang w:eastAsia="en-AU"/>
            <w14:ligatures w14:val="standardContextual"/>
          </w:rPr>
          <w:tab/>
        </w:r>
        <w:r w:rsidRPr="00533B68">
          <w:t>Costs—inquiry to find person entitled to property</w:t>
        </w:r>
        <w:r>
          <w:tab/>
        </w:r>
        <w:r>
          <w:fldChar w:fldCharType="begin"/>
        </w:r>
        <w:r>
          <w:instrText xml:space="preserve"> PAGEREF _Toc185514183 \h </w:instrText>
        </w:r>
        <w:r>
          <w:fldChar w:fldCharType="separate"/>
        </w:r>
        <w:r>
          <w:t>318</w:t>
        </w:r>
        <w:r>
          <w:fldChar w:fldCharType="end"/>
        </w:r>
      </w:hyperlink>
    </w:p>
    <w:p w14:paraId="398BA714" w14:textId="3C747EE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4" w:history="1">
        <w:r w:rsidRPr="00533B68">
          <w:t>1731</w:t>
        </w:r>
        <w:r>
          <w:rPr>
            <w:rFonts w:asciiTheme="minorHAnsi" w:eastAsiaTheme="minorEastAsia" w:hAnsiTheme="minorHAnsi" w:cstheme="minorBidi"/>
            <w:kern w:val="2"/>
            <w:sz w:val="24"/>
            <w:szCs w:val="24"/>
            <w:lang w:eastAsia="en-AU"/>
            <w14:ligatures w14:val="standardContextual"/>
          </w:rPr>
          <w:tab/>
        </w:r>
        <w:r w:rsidRPr="00533B68">
          <w:t>Costs—assessment of receiver’s costs</w:t>
        </w:r>
        <w:r>
          <w:tab/>
        </w:r>
        <w:r>
          <w:fldChar w:fldCharType="begin"/>
        </w:r>
        <w:r>
          <w:instrText xml:space="preserve"> PAGEREF _Toc185514184 \h </w:instrText>
        </w:r>
        <w:r>
          <w:fldChar w:fldCharType="separate"/>
        </w:r>
        <w:r>
          <w:t>318</w:t>
        </w:r>
        <w:r>
          <w:fldChar w:fldCharType="end"/>
        </w:r>
      </w:hyperlink>
    </w:p>
    <w:p w14:paraId="3D958095" w14:textId="5C35B0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5" w:history="1">
        <w:r w:rsidRPr="00533B68">
          <w:t>1732</w:t>
        </w:r>
        <w:r>
          <w:rPr>
            <w:rFonts w:asciiTheme="minorHAnsi" w:eastAsiaTheme="minorEastAsia" w:hAnsiTheme="minorHAnsi" w:cstheme="minorBidi"/>
            <w:kern w:val="2"/>
            <w:sz w:val="24"/>
            <w:szCs w:val="24"/>
            <w:lang w:eastAsia="en-AU"/>
            <w14:ligatures w14:val="standardContextual"/>
          </w:rPr>
          <w:tab/>
        </w:r>
        <w:r w:rsidRPr="00533B68">
          <w:t>Costs—trustee</w:t>
        </w:r>
        <w:r>
          <w:tab/>
        </w:r>
        <w:r>
          <w:fldChar w:fldCharType="begin"/>
        </w:r>
        <w:r>
          <w:instrText xml:space="preserve"> PAGEREF _Toc185514185 \h </w:instrText>
        </w:r>
        <w:r>
          <w:fldChar w:fldCharType="separate"/>
        </w:r>
        <w:r>
          <w:t>318</w:t>
        </w:r>
        <w:r>
          <w:fldChar w:fldCharType="end"/>
        </w:r>
      </w:hyperlink>
    </w:p>
    <w:p w14:paraId="2B72B78F" w14:textId="12CE46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6" w:history="1">
        <w:r w:rsidRPr="00533B68">
          <w:t>1733</w:t>
        </w:r>
        <w:r>
          <w:rPr>
            <w:rFonts w:asciiTheme="minorHAnsi" w:eastAsiaTheme="minorEastAsia" w:hAnsiTheme="minorHAnsi" w:cstheme="minorBidi"/>
            <w:kern w:val="2"/>
            <w:sz w:val="24"/>
            <w:szCs w:val="24"/>
            <w:lang w:eastAsia="en-AU"/>
            <w14:ligatures w14:val="standardContextual"/>
          </w:rPr>
          <w:tab/>
        </w:r>
        <w:r w:rsidRPr="00533B68">
          <w:t>Costs—solicitor appointed litigation guardian</w:t>
        </w:r>
        <w:r>
          <w:tab/>
        </w:r>
        <w:r>
          <w:fldChar w:fldCharType="begin"/>
        </w:r>
        <w:r>
          <w:instrText xml:space="preserve"> PAGEREF _Toc185514186 \h </w:instrText>
        </w:r>
        <w:r>
          <w:fldChar w:fldCharType="separate"/>
        </w:r>
        <w:r>
          <w:t>319</w:t>
        </w:r>
        <w:r>
          <w:fldChar w:fldCharType="end"/>
        </w:r>
      </w:hyperlink>
    </w:p>
    <w:p w14:paraId="6AF8C436" w14:textId="0E739C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7" w:history="1">
        <w:r w:rsidRPr="00533B68">
          <w:t>1734</w:t>
        </w:r>
        <w:r>
          <w:rPr>
            <w:rFonts w:asciiTheme="minorHAnsi" w:eastAsiaTheme="minorEastAsia" w:hAnsiTheme="minorHAnsi" w:cstheme="minorBidi"/>
            <w:kern w:val="2"/>
            <w:sz w:val="24"/>
            <w:szCs w:val="24"/>
            <w:lang w:eastAsia="en-AU"/>
            <w14:ligatures w14:val="standardContextual"/>
          </w:rPr>
          <w:tab/>
        </w:r>
        <w:r w:rsidRPr="00533B68">
          <w:t>Costs—assessment costs</w:t>
        </w:r>
        <w:r>
          <w:tab/>
        </w:r>
        <w:r>
          <w:fldChar w:fldCharType="begin"/>
        </w:r>
        <w:r>
          <w:instrText xml:space="preserve"> PAGEREF _Toc185514187 \h </w:instrText>
        </w:r>
        <w:r>
          <w:fldChar w:fldCharType="separate"/>
        </w:r>
        <w:r>
          <w:t>319</w:t>
        </w:r>
        <w:r>
          <w:fldChar w:fldCharType="end"/>
        </w:r>
      </w:hyperlink>
    </w:p>
    <w:p w14:paraId="648C2E98" w14:textId="043E37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8" w:history="1">
        <w:r w:rsidRPr="00533B68">
          <w:t>1735</w:t>
        </w:r>
        <w:r>
          <w:rPr>
            <w:rFonts w:asciiTheme="minorHAnsi" w:eastAsiaTheme="minorEastAsia" w:hAnsiTheme="minorHAnsi" w:cstheme="minorBidi"/>
            <w:kern w:val="2"/>
            <w:sz w:val="24"/>
            <w:szCs w:val="24"/>
            <w:lang w:eastAsia="en-AU"/>
            <w14:ligatures w14:val="standardContextual"/>
          </w:rPr>
          <w:tab/>
        </w:r>
        <w:r w:rsidRPr="00533B68">
          <w:t>Costs—counsel’s advice and settling documents</w:t>
        </w:r>
        <w:r>
          <w:tab/>
        </w:r>
        <w:r>
          <w:fldChar w:fldCharType="begin"/>
        </w:r>
        <w:r>
          <w:instrText xml:space="preserve"> PAGEREF _Toc185514188 \h </w:instrText>
        </w:r>
        <w:r>
          <w:fldChar w:fldCharType="separate"/>
        </w:r>
        <w:r>
          <w:t>319</w:t>
        </w:r>
        <w:r>
          <w:fldChar w:fldCharType="end"/>
        </w:r>
      </w:hyperlink>
    </w:p>
    <w:p w14:paraId="70E47B78" w14:textId="61F0FE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89" w:history="1">
        <w:r w:rsidRPr="00533B68">
          <w:t>1736</w:t>
        </w:r>
        <w:r>
          <w:rPr>
            <w:rFonts w:asciiTheme="minorHAnsi" w:eastAsiaTheme="minorEastAsia" w:hAnsiTheme="minorHAnsi" w:cstheme="minorBidi"/>
            <w:kern w:val="2"/>
            <w:sz w:val="24"/>
            <w:szCs w:val="24"/>
            <w:lang w:eastAsia="en-AU"/>
            <w14:ligatures w14:val="standardContextual"/>
          </w:rPr>
          <w:tab/>
        </w:r>
        <w:r w:rsidRPr="00533B68">
          <w:t>Costs—evidence</w:t>
        </w:r>
        <w:r>
          <w:tab/>
        </w:r>
        <w:r>
          <w:fldChar w:fldCharType="begin"/>
        </w:r>
        <w:r>
          <w:instrText xml:space="preserve"> PAGEREF _Toc185514189 \h </w:instrText>
        </w:r>
        <w:r>
          <w:fldChar w:fldCharType="separate"/>
        </w:r>
        <w:r>
          <w:t>320</w:t>
        </w:r>
        <w:r>
          <w:fldChar w:fldCharType="end"/>
        </w:r>
      </w:hyperlink>
    </w:p>
    <w:p w14:paraId="0861AD46" w14:textId="756E09E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0" w:history="1">
        <w:r w:rsidRPr="00533B68">
          <w:t>1737</w:t>
        </w:r>
        <w:r>
          <w:rPr>
            <w:rFonts w:asciiTheme="minorHAnsi" w:eastAsiaTheme="minorEastAsia" w:hAnsiTheme="minorHAnsi" w:cstheme="minorBidi"/>
            <w:kern w:val="2"/>
            <w:sz w:val="24"/>
            <w:szCs w:val="24"/>
            <w:lang w:eastAsia="en-AU"/>
            <w14:ligatures w14:val="standardContextual"/>
          </w:rPr>
          <w:tab/>
        </w:r>
        <w:r w:rsidRPr="00533B68">
          <w:t>Costs—solicitor advocate</w:t>
        </w:r>
        <w:r>
          <w:tab/>
        </w:r>
        <w:r>
          <w:fldChar w:fldCharType="begin"/>
        </w:r>
        <w:r>
          <w:instrText xml:space="preserve"> PAGEREF _Toc185514190 \h </w:instrText>
        </w:r>
        <w:r>
          <w:fldChar w:fldCharType="separate"/>
        </w:r>
        <w:r>
          <w:t>320</w:t>
        </w:r>
        <w:r>
          <w:fldChar w:fldCharType="end"/>
        </w:r>
      </w:hyperlink>
    </w:p>
    <w:p w14:paraId="26410184" w14:textId="197E9D7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1" w:history="1">
        <w:r w:rsidRPr="00533B68">
          <w:t>1738</w:t>
        </w:r>
        <w:r>
          <w:rPr>
            <w:rFonts w:asciiTheme="minorHAnsi" w:eastAsiaTheme="minorEastAsia" w:hAnsiTheme="minorHAnsi" w:cstheme="minorBidi"/>
            <w:kern w:val="2"/>
            <w:sz w:val="24"/>
            <w:szCs w:val="24"/>
            <w:lang w:eastAsia="en-AU"/>
            <w14:ligatures w14:val="standardContextual"/>
          </w:rPr>
          <w:tab/>
        </w:r>
        <w:r w:rsidRPr="00533B68">
          <w:t>Costs—retainer for counsel</w:t>
        </w:r>
        <w:r>
          <w:tab/>
        </w:r>
        <w:r>
          <w:fldChar w:fldCharType="begin"/>
        </w:r>
        <w:r>
          <w:instrText xml:space="preserve"> PAGEREF _Toc185514191 \h </w:instrText>
        </w:r>
        <w:r>
          <w:fldChar w:fldCharType="separate"/>
        </w:r>
        <w:r>
          <w:t>320</w:t>
        </w:r>
        <w:r>
          <w:fldChar w:fldCharType="end"/>
        </w:r>
      </w:hyperlink>
    </w:p>
    <w:p w14:paraId="26E3E970" w14:textId="296AA64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2" w:history="1">
        <w:r w:rsidRPr="00533B68">
          <w:t>1739</w:t>
        </w:r>
        <w:r>
          <w:rPr>
            <w:rFonts w:asciiTheme="minorHAnsi" w:eastAsiaTheme="minorEastAsia" w:hAnsiTheme="minorHAnsi" w:cstheme="minorBidi"/>
            <w:kern w:val="2"/>
            <w:sz w:val="24"/>
            <w:szCs w:val="24"/>
            <w:lang w:eastAsia="en-AU"/>
            <w14:ligatures w14:val="standardContextual"/>
          </w:rPr>
          <w:tab/>
        </w:r>
        <w:r w:rsidRPr="00533B68">
          <w:t>Costs—counsel’s fees for applications</w:t>
        </w:r>
        <w:r>
          <w:tab/>
        </w:r>
        <w:r>
          <w:fldChar w:fldCharType="begin"/>
        </w:r>
        <w:r>
          <w:instrText xml:space="preserve"> PAGEREF _Toc185514192 \h </w:instrText>
        </w:r>
        <w:r>
          <w:fldChar w:fldCharType="separate"/>
        </w:r>
        <w:r>
          <w:t>320</w:t>
        </w:r>
        <w:r>
          <w:fldChar w:fldCharType="end"/>
        </w:r>
      </w:hyperlink>
    </w:p>
    <w:p w14:paraId="107F4847" w14:textId="7B79F4C4"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193" w:history="1">
        <w:r w:rsidRPr="00533B68">
          <w:t>1740</w:t>
        </w:r>
        <w:r>
          <w:rPr>
            <w:rFonts w:asciiTheme="minorHAnsi" w:eastAsiaTheme="minorEastAsia" w:hAnsiTheme="minorHAnsi" w:cstheme="minorBidi"/>
            <w:kern w:val="2"/>
            <w:sz w:val="24"/>
            <w:szCs w:val="24"/>
            <w:lang w:eastAsia="en-AU"/>
            <w14:ligatures w14:val="standardContextual"/>
          </w:rPr>
          <w:tab/>
        </w:r>
        <w:r w:rsidRPr="00533B68">
          <w:t>Costs—fixed costs for winding-up application</w:t>
        </w:r>
        <w:r>
          <w:tab/>
        </w:r>
        <w:r>
          <w:fldChar w:fldCharType="begin"/>
        </w:r>
        <w:r>
          <w:instrText xml:space="preserve"> PAGEREF _Toc185514193 \h </w:instrText>
        </w:r>
        <w:r>
          <w:fldChar w:fldCharType="separate"/>
        </w:r>
        <w:r>
          <w:t>321</w:t>
        </w:r>
        <w:r>
          <w:fldChar w:fldCharType="end"/>
        </w:r>
      </w:hyperlink>
    </w:p>
    <w:p w14:paraId="7E04966B" w14:textId="10AFF08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4" w:history="1">
        <w:r w:rsidRPr="00533B68">
          <w:t>1741</w:t>
        </w:r>
        <w:r>
          <w:rPr>
            <w:rFonts w:asciiTheme="minorHAnsi" w:eastAsiaTheme="minorEastAsia" w:hAnsiTheme="minorHAnsi" w:cstheme="minorBidi"/>
            <w:kern w:val="2"/>
            <w:sz w:val="24"/>
            <w:szCs w:val="24"/>
            <w:lang w:eastAsia="en-AU"/>
            <w14:ligatures w14:val="standardContextual"/>
          </w:rPr>
          <w:tab/>
        </w:r>
        <w:r w:rsidRPr="00533B68">
          <w:t>Costs—fixed costs for enforcement order</w:t>
        </w:r>
        <w:r>
          <w:tab/>
        </w:r>
        <w:r>
          <w:fldChar w:fldCharType="begin"/>
        </w:r>
        <w:r>
          <w:instrText xml:space="preserve"> PAGEREF _Toc185514194 \h </w:instrText>
        </w:r>
        <w:r>
          <w:fldChar w:fldCharType="separate"/>
        </w:r>
        <w:r>
          <w:t>321</w:t>
        </w:r>
        <w:r>
          <w:fldChar w:fldCharType="end"/>
        </w:r>
      </w:hyperlink>
    </w:p>
    <w:p w14:paraId="110B83C8" w14:textId="1FCA90D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195" w:history="1">
        <w:r w:rsidR="00AC5392" w:rsidRPr="00533B68">
          <w:t>Division 2.17.3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Costs of party in proceeding</w:t>
        </w:r>
        <w:r w:rsidR="00AC5392" w:rsidRPr="00AC5392">
          <w:rPr>
            <w:vanish/>
          </w:rPr>
          <w:tab/>
        </w:r>
        <w:r w:rsidR="00AC5392" w:rsidRPr="00AC5392">
          <w:rPr>
            <w:vanish/>
          </w:rPr>
          <w:fldChar w:fldCharType="begin"/>
        </w:r>
        <w:r w:rsidR="00AC5392" w:rsidRPr="00AC5392">
          <w:rPr>
            <w:vanish/>
          </w:rPr>
          <w:instrText xml:space="preserve"> PAGEREF _Toc185514195 \h </w:instrText>
        </w:r>
        <w:r w:rsidR="00AC5392" w:rsidRPr="00AC5392">
          <w:rPr>
            <w:vanish/>
          </w:rPr>
        </w:r>
        <w:r w:rsidR="00AC5392" w:rsidRPr="00AC5392">
          <w:rPr>
            <w:vanish/>
          </w:rPr>
          <w:fldChar w:fldCharType="separate"/>
        </w:r>
        <w:r w:rsidR="00AC5392" w:rsidRPr="00AC5392">
          <w:rPr>
            <w:vanish/>
          </w:rPr>
          <w:t>322</w:t>
        </w:r>
        <w:r w:rsidR="00AC5392" w:rsidRPr="00AC5392">
          <w:rPr>
            <w:vanish/>
          </w:rPr>
          <w:fldChar w:fldCharType="end"/>
        </w:r>
      </w:hyperlink>
    </w:p>
    <w:p w14:paraId="01CB3B58" w14:textId="48AB1F1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6" w:history="1">
        <w:r w:rsidRPr="00533B68">
          <w:t>1750</w:t>
        </w:r>
        <w:r>
          <w:rPr>
            <w:rFonts w:asciiTheme="minorHAnsi" w:eastAsiaTheme="minorEastAsia" w:hAnsiTheme="minorHAnsi" w:cstheme="minorBidi"/>
            <w:kern w:val="2"/>
            <w:sz w:val="24"/>
            <w:szCs w:val="24"/>
            <w:lang w:eastAsia="en-AU"/>
            <w14:ligatures w14:val="standardContextual"/>
          </w:rPr>
          <w:tab/>
        </w:r>
        <w:r w:rsidRPr="00533B68">
          <w:t>Application—div 2.17.3</w:t>
        </w:r>
        <w:r>
          <w:tab/>
        </w:r>
        <w:r>
          <w:fldChar w:fldCharType="begin"/>
        </w:r>
        <w:r>
          <w:instrText xml:space="preserve"> PAGEREF _Toc185514196 \h </w:instrText>
        </w:r>
        <w:r>
          <w:fldChar w:fldCharType="separate"/>
        </w:r>
        <w:r>
          <w:t>322</w:t>
        </w:r>
        <w:r>
          <w:fldChar w:fldCharType="end"/>
        </w:r>
      </w:hyperlink>
    </w:p>
    <w:p w14:paraId="6CB04E79" w14:textId="67D5A4F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7" w:history="1">
        <w:r w:rsidRPr="00533B68">
          <w:t>1751</w:t>
        </w:r>
        <w:r>
          <w:rPr>
            <w:rFonts w:asciiTheme="minorHAnsi" w:eastAsiaTheme="minorEastAsia" w:hAnsiTheme="minorHAnsi" w:cstheme="minorBidi"/>
            <w:kern w:val="2"/>
            <w:sz w:val="24"/>
            <w:szCs w:val="24"/>
            <w:lang w:eastAsia="en-AU"/>
            <w14:ligatures w14:val="standardContextual"/>
          </w:rPr>
          <w:tab/>
        </w:r>
        <w:r w:rsidRPr="00533B68">
          <w:t>Costs—assessed on party and party basis</w:t>
        </w:r>
        <w:r>
          <w:tab/>
        </w:r>
        <w:r>
          <w:fldChar w:fldCharType="begin"/>
        </w:r>
        <w:r>
          <w:instrText xml:space="preserve"> PAGEREF _Toc185514197 \h </w:instrText>
        </w:r>
        <w:r>
          <w:fldChar w:fldCharType="separate"/>
        </w:r>
        <w:r>
          <w:t>323</w:t>
        </w:r>
        <w:r>
          <w:fldChar w:fldCharType="end"/>
        </w:r>
      </w:hyperlink>
    </w:p>
    <w:p w14:paraId="42BF57F1" w14:textId="0A26036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8" w:history="1">
        <w:r w:rsidRPr="00533B68">
          <w:t>1752</w:t>
        </w:r>
        <w:r>
          <w:rPr>
            <w:rFonts w:asciiTheme="minorHAnsi" w:eastAsiaTheme="minorEastAsia" w:hAnsiTheme="minorHAnsi" w:cstheme="minorBidi"/>
            <w:kern w:val="2"/>
            <w:sz w:val="24"/>
            <w:szCs w:val="24"/>
            <w:lang w:eastAsia="en-AU"/>
            <w14:ligatures w14:val="standardContextual"/>
          </w:rPr>
          <w:tab/>
        </w:r>
        <w:r w:rsidRPr="00533B68">
          <w:t>Costs—assessed on solicitor and client etc basis</w:t>
        </w:r>
        <w:r>
          <w:tab/>
        </w:r>
        <w:r>
          <w:fldChar w:fldCharType="begin"/>
        </w:r>
        <w:r>
          <w:instrText xml:space="preserve"> PAGEREF _Toc185514198 \h </w:instrText>
        </w:r>
        <w:r>
          <w:fldChar w:fldCharType="separate"/>
        </w:r>
        <w:r>
          <w:t>323</w:t>
        </w:r>
        <w:r>
          <w:fldChar w:fldCharType="end"/>
        </w:r>
      </w:hyperlink>
    </w:p>
    <w:p w14:paraId="419D9D2E" w14:textId="6F5E3D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199" w:history="1">
        <w:r w:rsidRPr="00533B68">
          <w:t>1753</w:t>
        </w:r>
        <w:r>
          <w:rPr>
            <w:rFonts w:asciiTheme="minorHAnsi" w:eastAsiaTheme="minorEastAsia" w:hAnsiTheme="minorHAnsi" w:cstheme="minorBidi"/>
            <w:kern w:val="2"/>
            <w:sz w:val="24"/>
            <w:szCs w:val="24"/>
            <w:lang w:eastAsia="en-AU"/>
            <w14:ligatures w14:val="standardContextual"/>
          </w:rPr>
          <w:tab/>
        </w:r>
        <w:r w:rsidRPr="00533B68">
          <w:t>Costs—legal practitioner’s delay etc</w:t>
        </w:r>
        <w:r>
          <w:tab/>
        </w:r>
        <w:r>
          <w:fldChar w:fldCharType="begin"/>
        </w:r>
        <w:r>
          <w:instrText xml:space="preserve"> PAGEREF _Toc185514199 \h </w:instrText>
        </w:r>
        <w:r>
          <w:fldChar w:fldCharType="separate"/>
        </w:r>
        <w:r>
          <w:t>324</w:t>
        </w:r>
        <w:r>
          <w:fldChar w:fldCharType="end"/>
        </w:r>
      </w:hyperlink>
    </w:p>
    <w:p w14:paraId="56A3C560" w14:textId="0D7677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0" w:history="1">
        <w:r w:rsidRPr="00533B68">
          <w:t>1754</w:t>
        </w:r>
        <w:r>
          <w:rPr>
            <w:rFonts w:asciiTheme="minorHAnsi" w:eastAsiaTheme="minorEastAsia" w:hAnsiTheme="minorHAnsi" w:cstheme="minorBidi"/>
            <w:kern w:val="2"/>
            <w:sz w:val="24"/>
            <w:szCs w:val="24"/>
            <w:lang w:eastAsia="en-AU"/>
            <w14:ligatures w14:val="standardContextual"/>
          </w:rPr>
          <w:tab/>
        </w:r>
        <w:r w:rsidRPr="00533B68">
          <w:t>Costs—disallowance of costs for vexatious document etc</w:t>
        </w:r>
        <w:r>
          <w:tab/>
        </w:r>
        <w:r>
          <w:fldChar w:fldCharType="begin"/>
        </w:r>
        <w:r>
          <w:instrText xml:space="preserve"> PAGEREF _Toc185514200 \h </w:instrText>
        </w:r>
        <w:r>
          <w:fldChar w:fldCharType="separate"/>
        </w:r>
        <w:r>
          <w:t>325</w:t>
        </w:r>
        <w:r>
          <w:fldChar w:fldCharType="end"/>
        </w:r>
      </w:hyperlink>
    </w:p>
    <w:p w14:paraId="63D7E1A5" w14:textId="58090F0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01" w:history="1">
        <w:r w:rsidR="00AC5392" w:rsidRPr="00533B68">
          <w:t>Division 2.17.4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Costs—registrar’s powers and discretion</w:t>
        </w:r>
        <w:r w:rsidR="00AC5392" w:rsidRPr="00AC5392">
          <w:rPr>
            <w:vanish/>
          </w:rPr>
          <w:tab/>
        </w:r>
        <w:r w:rsidR="00AC5392" w:rsidRPr="00AC5392">
          <w:rPr>
            <w:vanish/>
          </w:rPr>
          <w:fldChar w:fldCharType="begin"/>
        </w:r>
        <w:r w:rsidR="00AC5392" w:rsidRPr="00AC5392">
          <w:rPr>
            <w:vanish/>
          </w:rPr>
          <w:instrText xml:space="preserve"> PAGEREF _Toc185514201 \h </w:instrText>
        </w:r>
        <w:r w:rsidR="00AC5392" w:rsidRPr="00AC5392">
          <w:rPr>
            <w:vanish/>
          </w:rPr>
        </w:r>
        <w:r w:rsidR="00AC5392" w:rsidRPr="00AC5392">
          <w:rPr>
            <w:vanish/>
          </w:rPr>
          <w:fldChar w:fldCharType="separate"/>
        </w:r>
        <w:r w:rsidR="00AC5392" w:rsidRPr="00AC5392">
          <w:rPr>
            <w:vanish/>
          </w:rPr>
          <w:t>327</w:t>
        </w:r>
        <w:r w:rsidR="00AC5392" w:rsidRPr="00AC5392">
          <w:rPr>
            <w:vanish/>
          </w:rPr>
          <w:fldChar w:fldCharType="end"/>
        </w:r>
      </w:hyperlink>
    </w:p>
    <w:p w14:paraId="6BF854C0" w14:textId="14C8F9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2" w:history="1">
        <w:r w:rsidRPr="00533B68">
          <w:t>1760</w:t>
        </w:r>
        <w:r>
          <w:rPr>
            <w:rFonts w:asciiTheme="minorHAnsi" w:eastAsiaTheme="minorEastAsia" w:hAnsiTheme="minorHAnsi" w:cstheme="minorBidi"/>
            <w:kern w:val="2"/>
            <w:sz w:val="24"/>
            <w:szCs w:val="24"/>
            <w:lang w:eastAsia="en-AU"/>
            <w14:ligatures w14:val="standardContextual"/>
          </w:rPr>
          <w:tab/>
        </w:r>
        <w:r w:rsidRPr="00533B68">
          <w:t>Costs—registrar’s general powers</w:t>
        </w:r>
        <w:r>
          <w:tab/>
        </w:r>
        <w:r>
          <w:fldChar w:fldCharType="begin"/>
        </w:r>
        <w:r>
          <w:instrText xml:space="preserve"> PAGEREF _Toc185514202 \h </w:instrText>
        </w:r>
        <w:r>
          <w:fldChar w:fldCharType="separate"/>
        </w:r>
        <w:r>
          <w:t>327</w:t>
        </w:r>
        <w:r>
          <w:fldChar w:fldCharType="end"/>
        </w:r>
      </w:hyperlink>
    </w:p>
    <w:p w14:paraId="30D8337A" w14:textId="7D16F4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3" w:history="1">
        <w:r w:rsidRPr="00533B68">
          <w:t>1761</w:t>
        </w:r>
        <w:r>
          <w:rPr>
            <w:rFonts w:asciiTheme="minorHAnsi" w:eastAsiaTheme="minorEastAsia" w:hAnsiTheme="minorHAnsi" w:cstheme="minorBidi"/>
            <w:kern w:val="2"/>
            <w:sz w:val="24"/>
            <w:szCs w:val="24"/>
            <w:lang w:eastAsia="en-AU"/>
            <w14:ligatures w14:val="standardContextual"/>
          </w:rPr>
          <w:tab/>
        </w:r>
        <w:r w:rsidRPr="00533B68">
          <w:t>Costs—registrar’s discretion in assessing</w:t>
        </w:r>
        <w:r>
          <w:tab/>
        </w:r>
        <w:r>
          <w:fldChar w:fldCharType="begin"/>
        </w:r>
        <w:r>
          <w:instrText xml:space="preserve"> PAGEREF _Toc185514203 \h </w:instrText>
        </w:r>
        <w:r>
          <w:fldChar w:fldCharType="separate"/>
        </w:r>
        <w:r>
          <w:t>327</w:t>
        </w:r>
        <w:r>
          <w:fldChar w:fldCharType="end"/>
        </w:r>
      </w:hyperlink>
    </w:p>
    <w:p w14:paraId="713B8E2F" w14:textId="1B9E035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04" w:history="1">
        <w:r w:rsidR="00AC5392" w:rsidRPr="00533B68">
          <w:t>Division 2.17.5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Procedure for assessing costs</w:t>
        </w:r>
        <w:r w:rsidR="00AC5392" w:rsidRPr="00AC5392">
          <w:rPr>
            <w:vanish/>
          </w:rPr>
          <w:tab/>
        </w:r>
        <w:r w:rsidR="00AC5392" w:rsidRPr="00AC5392">
          <w:rPr>
            <w:vanish/>
          </w:rPr>
          <w:fldChar w:fldCharType="begin"/>
        </w:r>
        <w:r w:rsidR="00AC5392" w:rsidRPr="00AC5392">
          <w:rPr>
            <w:vanish/>
          </w:rPr>
          <w:instrText xml:space="preserve"> PAGEREF _Toc185514204 \h </w:instrText>
        </w:r>
        <w:r w:rsidR="00AC5392" w:rsidRPr="00AC5392">
          <w:rPr>
            <w:vanish/>
          </w:rPr>
        </w:r>
        <w:r w:rsidR="00AC5392" w:rsidRPr="00AC5392">
          <w:rPr>
            <w:vanish/>
          </w:rPr>
          <w:fldChar w:fldCharType="separate"/>
        </w:r>
        <w:r w:rsidR="00AC5392" w:rsidRPr="00AC5392">
          <w:rPr>
            <w:vanish/>
          </w:rPr>
          <w:t>328</w:t>
        </w:r>
        <w:r w:rsidR="00AC5392" w:rsidRPr="00AC5392">
          <w:rPr>
            <w:vanish/>
          </w:rPr>
          <w:fldChar w:fldCharType="end"/>
        </w:r>
      </w:hyperlink>
    </w:p>
    <w:p w14:paraId="14CA8A20" w14:textId="74A88A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5" w:history="1">
        <w:r w:rsidRPr="00533B68">
          <w:t>1800</w:t>
        </w:r>
        <w:r>
          <w:rPr>
            <w:rFonts w:asciiTheme="minorHAnsi" w:eastAsiaTheme="minorEastAsia" w:hAnsiTheme="minorHAnsi" w:cstheme="minorBidi"/>
            <w:kern w:val="2"/>
            <w:sz w:val="24"/>
            <w:szCs w:val="24"/>
            <w:lang w:eastAsia="en-AU"/>
            <w14:ligatures w14:val="standardContextual"/>
          </w:rPr>
          <w:tab/>
        </w:r>
        <w:r w:rsidRPr="00533B68">
          <w:t>Costs—when bill of costs to be filed etc</w:t>
        </w:r>
        <w:r>
          <w:tab/>
        </w:r>
        <w:r>
          <w:fldChar w:fldCharType="begin"/>
        </w:r>
        <w:r>
          <w:instrText xml:space="preserve"> PAGEREF _Toc185514205 \h </w:instrText>
        </w:r>
        <w:r>
          <w:fldChar w:fldCharType="separate"/>
        </w:r>
        <w:r>
          <w:t>328</w:t>
        </w:r>
        <w:r>
          <w:fldChar w:fldCharType="end"/>
        </w:r>
      </w:hyperlink>
    </w:p>
    <w:p w14:paraId="3921BA94" w14:textId="00D9AC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6" w:history="1">
        <w:r w:rsidRPr="00533B68">
          <w:t>1801</w:t>
        </w:r>
        <w:r>
          <w:rPr>
            <w:rFonts w:asciiTheme="minorHAnsi" w:eastAsiaTheme="minorEastAsia" w:hAnsiTheme="minorHAnsi" w:cstheme="minorBidi"/>
            <w:kern w:val="2"/>
            <w:sz w:val="24"/>
            <w:szCs w:val="24"/>
            <w:lang w:eastAsia="en-AU"/>
            <w14:ligatures w14:val="standardContextual"/>
          </w:rPr>
          <w:tab/>
        </w:r>
        <w:r w:rsidRPr="00533B68">
          <w:t>Costs—if costs out of fund bill to be sent to clients</w:t>
        </w:r>
        <w:r>
          <w:tab/>
        </w:r>
        <w:r>
          <w:fldChar w:fldCharType="begin"/>
        </w:r>
        <w:r>
          <w:instrText xml:space="preserve"> PAGEREF _Toc185514206 \h </w:instrText>
        </w:r>
        <w:r>
          <w:fldChar w:fldCharType="separate"/>
        </w:r>
        <w:r>
          <w:t>329</w:t>
        </w:r>
        <w:r>
          <w:fldChar w:fldCharType="end"/>
        </w:r>
      </w:hyperlink>
    </w:p>
    <w:p w14:paraId="5DFF8825" w14:textId="39C44E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7" w:history="1">
        <w:r w:rsidRPr="00533B68">
          <w:t>1802</w:t>
        </w:r>
        <w:r>
          <w:rPr>
            <w:rFonts w:asciiTheme="minorHAnsi" w:eastAsiaTheme="minorEastAsia" w:hAnsiTheme="minorHAnsi" w:cstheme="minorBidi"/>
            <w:kern w:val="2"/>
            <w:sz w:val="24"/>
            <w:szCs w:val="24"/>
            <w:lang w:eastAsia="en-AU"/>
            <w14:ligatures w14:val="standardContextual"/>
          </w:rPr>
          <w:tab/>
        </w:r>
        <w:r w:rsidRPr="00533B68">
          <w:t>Costs—content of bill of costs</w:t>
        </w:r>
        <w:r>
          <w:tab/>
        </w:r>
        <w:r>
          <w:fldChar w:fldCharType="begin"/>
        </w:r>
        <w:r>
          <w:instrText xml:space="preserve"> PAGEREF _Toc185514207 \h </w:instrText>
        </w:r>
        <w:r>
          <w:fldChar w:fldCharType="separate"/>
        </w:r>
        <w:r>
          <w:t>329</w:t>
        </w:r>
        <w:r>
          <w:fldChar w:fldCharType="end"/>
        </w:r>
      </w:hyperlink>
    </w:p>
    <w:p w14:paraId="2F16DF1D" w14:textId="3B0D631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8" w:history="1">
        <w:r w:rsidRPr="00533B68">
          <w:t>1803</w:t>
        </w:r>
        <w:r>
          <w:rPr>
            <w:rFonts w:asciiTheme="minorHAnsi" w:eastAsiaTheme="minorEastAsia" w:hAnsiTheme="minorHAnsi" w:cstheme="minorBidi"/>
            <w:kern w:val="2"/>
            <w:sz w:val="24"/>
            <w:szCs w:val="24"/>
            <w:lang w:eastAsia="en-AU"/>
            <w14:ligatures w14:val="standardContextual"/>
          </w:rPr>
          <w:tab/>
        </w:r>
        <w:r w:rsidRPr="00533B68">
          <w:t>Costs—failure to file and serve bill of costs</w:t>
        </w:r>
        <w:r>
          <w:tab/>
        </w:r>
        <w:r>
          <w:fldChar w:fldCharType="begin"/>
        </w:r>
        <w:r>
          <w:instrText xml:space="preserve"> PAGEREF _Toc185514208 \h </w:instrText>
        </w:r>
        <w:r>
          <w:fldChar w:fldCharType="separate"/>
        </w:r>
        <w:r>
          <w:t>330</w:t>
        </w:r>
        <w:r>
          <w:fldChar w:fldCharType="end"/>
        </w:r>
      </w:hyperlink>
    </w:p>
    <w:p w14:paraId="1B7A360D" w14:textId="0B9FDBD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09" w:history="1">
        <w:r w:rsidRPr="00533B68">
          <w:t>1804</w:t>
        </w:r>
        <w:r>
          <w:rPr>
            <w:rFonts w:asciiTheme="minorHAnsi" w:eastAsiaTheme="minorEastAsia" w:hAnsiTheme="minorHAnsi" w:cstheme="minorBidi"/>
            <w:kern w:val="2"/>
            <w:sz w:val="24"/>
            <w:szCs w:val="24"/>
            <w:lang w:eastAsia="en-AU"/>
            <w14:ligatures w14:val="standardContextual"/>
          </w:rPr>
          <w:tab/>
        </w:r>
        <w:r w:rsidRPr="00533B68">
          <w:t>Costs—payment of disbursements</w:t>
        </w:r>
        <w:r>
          <w:tab/>
        </w:r>
        <w:r>
          <w:fldChar w:fldCharType="begin"/>
        </w:r>
        <w:r>
          <w:instrText xml:space="preserve"> PAGEREF _Toc185514209 \h </w:instrText>
        </w:r>
        <w:r>
          <w:fldChar w:fldCharType="separate"/>
        </w:r>
        <w:r>
          <w:t>330</w:t>
        </w:r>
        <w:r>
          <w:fldChar w:fldCharType="end"/>
        </w:r>
      </w:hyperlink>
    </w:p>
    <w:p w14:paraId="3A785462" w14:textId="0EC0FF6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0" w:history="1">
        <w:r w:rsidRPr="00533B68">
          <w:t>1805</w:t>
        </w:r>
        <w:r>
          <w:rPr>
            <w:rFonts w:asciiTheme="minorHAnsi" w:eastAsiaTheme="minorEastAsia" w:hAnsiTheme="minorHAnsi" w:cstheme="minorBidi"/>
            <w:kern w:val="2"/>
            <w:sz w:val="24"/>
            <w:szCs w:val="24"/>
            <w:lang w:eastAsia="en-AU"/>
            <w14:ligatures w14:val="standardContextual"/>
          </w:rPr>
          <w:tab/>
        </w:r>
        <w:r w:rsidRPr="00533B68">
          <w:t>Costs—professional charges and disbursements</w:t>
        </w:r>
        <w:r>
          <w:tab/>
        </w:r>
        <w:r>
          <w:fldChar w:fldCharType="begin"/>
        </w:r>
        <w:r>
          <w:instrText xml:space="preserve"> PAGEREF _Toc185514210 \h </w:instrText>
        </w:r>
        <w:r>
          <w:fldChar w:fldCharType="separate"/>
        </w:r>
        <w:r>
          <w:t>331</w:t>
        </w:r>
        <w:r>
          <w:fldChar w:fldCharType="end"/>
        </w:r>
      </w:hyperlink>
    </w:p>
    <w:p w14:paraId="354A0E44" w14:textId="1D12CC6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1" w:history="1">
        <w:r w:rsidRPr="00533B68">
          <w:t>1806</w:t>
        </w:r>
        <w:r>
          <w:rPr>
            <w:rFonts w:asciiTheme="minorHAnsi" w:eastAsiaTheme="minorEastAsia" w:hAnsiTheme="minorHAnsi" w:cstheme="minorBidi"/>
            <w:kern w:val="2"/>
            <w:sz w:val="24"/>
            <w:szCs w:val="24"/>
            <w:lang w:eastAsia="en-AU"/>
            <w14:ligatures w14:val="standardContextual"/>
          </w:rPr>
          <w:tab/>
        </w:r>
        <w:r w:rsidRPr="00533B68">
          <w:t>Costs—amendment and withdrawal of bill of costs</w:t>
        </w:r>
        <w:r>
          <w:tab/>
        </w:r>
        <w:r>
          <w:fldChar w:fldCharType="begin"/>
        </w:r>
        <w:r>
          <w:instrText xml:space="preserve"> PAGEREF _Toc185514211 \h </w:instrText>
        </w:r>
        <w:r>
          <w:fldChar w:fldCharType="separate"/>
        </w:r>
        <w:r>
          <w:t>331</w:t>
        </w:r>
        <w:r>
          <w:fldChar w:fldCharType="end"/>
        </w:r>
      </w:hyperlink>
    </w:p>
    <w:p w14:paraId="7512184C" w14:textId="7538C8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2" w:history="1">
        <w:r w:rsidRPr="00533B68">
          <w:t>1807</w:t>
        </w:r>
        <w:r>
          <w:rPr>
            <w:rFonts w:asciiTheme="minorHAnsi" w:eastAsiaTheme="minorEastAsia" w:hAnsiTheme="minorHAnsi" w:cstheme="minorBidi"/>
            <w:kern w:val="2"/>
            <w:sz w:val="24"/>
            <w:szCs w:val="24"/>
            <w:lang w:eastAsia="en-AU"/>
            <w14:ligatures w14:val="standardContextual"/>
          </w:rPr>
          <w:tab/>
        </w:r>
        <w:r w:rsidRPr="00533B68">
          <w:t>Costs—notice of objection to bill of costs</w:t>
        </w:r>
        <w:r>
          <w:tab/>
        </w:r>
        <w:r>
          <w:fldChar w:fldCharType="begin"/>
        </w:r>
        <w:r>
          <w:instrText xml:space="preserve"> PAGEREF _Toc185514212 \h </w:instrText>
        </w:r>
        <w:r>
          <w:fldChar w:fldCharType="separate"/>
        </w:r>
        <w:r>
          <w:t>332</w:t>
        </w:r>
        <w:r>
          <w:fldChar w:fldCharType="end"/>
        </w:r>
      </w:hyperlink>
    </w:p>
    <w:p w14:paraId="523B1465" w14:textId="1E74FB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3" w:history="1">
        <w:r w:rsidRPr="00533B68">
          <w:t>1808</w:t>
        </w:r>
        <w:r>
          <w:rPr>
            <w:rFonts w:asciiTheme="minorHAnsi" w:eastAsiaTheme="minorEastAsia" w:hAnsiTheme="minorHAnsi" w:cstheme="minorBidi"/>
            <w:kern w:val="2"/>
            <w:sz w:val="24"/>
            <w:szCs w:val="24"/>
            <w:lang w:eastAsia="en-AU"/>
            <w14:ligatures w14:val="standardContextual"/>
          </w:rPr>
          <w:tab/>
        </w:r>
        <w:r w:rsidRPr="00533B68">
          <w:t>Costs—assessment must be limited</w:t>
        </w:r>
        <w:r>
          <w:tab/>
        </w:r>
        <w:r>
          <w:fldChar w:fldCharType="begin"/>
        </w:r>
        <w:r>
          <w:instrText xml:space="preserve"> PAGEREF _Toc185514213 \h </w:instrText>
        </w:r>
        <w:r>
          <w:fldChar w:fldCharType="separate"/>
        </w:r>
        <w:r>
          <w:t>333</w:t>
        </w:r>
        <w:r>
          <w:fldChar w:fldCharType="end"/>
        </w:r>
      </w:hyperlink>
    </w:p>
    <w:p w14:paraId="3F8A390A" w14:textId="08D442B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4" w:history="1">
        <w:r w:rsidRPr="00533B68">
          <w:t>1809</w:t>
        </w:r>
        <w:r>
          <w:rPr>
            <w:rFonts w:asciiTheme="minorHAnsi" w:eastAsiaTheme="minorEastAsia" w:hAnsiTheme="minorHAnsi" w:cstheme="minorBidi"/>
            <w:kern w:val="2"/>
            <w:sz w:val="24"/>
            <w:szCs w:val="24"/>
            <w:lang w:eastAsia="en-AU"/>
            <w14:ligatures w14:val="standardContextual"/>
          </w:rPr>
          <w:tab/>
        </w:r>
        <w:r w:rsidRPr="00533B68">
          <w:t>Costs—default assessment if no objection to bill of costs</w:t>
        </w:r>
        <w:r>
          <w:tab/>
        </w:r>
        <w:r>
          <w:fldChar w:fldCharType="begin"/>
        </w:r>
        <w:r>
          <w:instrText xml:space="preserve"> PAGEREF _Toc185514214 \h </w:instrText>
        </w:r>
        <w:r>
          <w:fldChar w:fldCharType="separate"/>
        </w:r>
        <w:r>
          <w:t>333</w:t>
        </w:r>
        <w:r>
          <w:fldChar w:fldCharType="end"/>
        </w:r>
      </w:hyperlink>
    </w:p>
    <w:p w14:paraId="34BB0003" w14:textId="521032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5" w:history="1">
        <w:r w:rsidRPr="00533B68">
          <w:t>1810</w:t>
        </w:r>
        <w:r>
          <w:rPr>
            <w:rFonts w:asciiTheme="minorHAnsi" w:eastAsiaTheme="minorEastAsia" w:hAnsiTheme="minorHAnsi" w:cstheme="minorBidi"/>
            <w:kern w:val="2"/>
            <w:sz w:val="24"/>
            <w:szCs w:val="24"/>
            <w:lang w:eastAsia="en-AU"/>
            <w14:ligatures w14:val="standardContextual"/>
          </w:rPr>
          <w:tab/>
        </w:r>
        <w:r w:rsidRPr="00533B68">
          <w:t>Costs—setting aside default assessment</w:t>
        </w:r>
        <w:r>
          <w:tab/>
        </w:r>
        <w:r>
          <w:fldChar w:fldCharType="begin"/>
        </w:r>
        <w:r>
          <w:instrText xml:space="preserve"> PAGEREF _Toc185514215 \h </w:instrText>
        </w:r>
        <w:r>
          <w:fldChar w:fldCharType="separate"/>
        </w:r>
        <w:r>
          <w:t>334</w:t>
        </w:r>
        <w:r>
          <w:fldChar w:fldCharType="end"/>
        </w:r>
      </w:hyperlink>
    </w:p>
    <w:p w14:paraId="04FC4298" w14:textId="527812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6" w:history="1">
        <w:r w:rsidRPr="00533B68">
          <w:t>1811</w:t>
        </w:r>
        <w:r>
          <w:rPr>
            <w:rFonts w:asciiTheme="minorHAnsi" w:eastAsiaTheme="minorEastAsia" w:hAnsiTheme="minorHAnsi" w:cstheme="minorBidi"/>
            <w:kern w:val="2"/>
            <w:sz w:val="24"/>
            <w:szCs w:val="24"/>
            <w:lang w:eastAsia="en-AU"/>
            <w14:ligatures w14:val="standardContextual"/>
          </w:rPr>
          <w:tab/>
        </w:r>
        <w:r w:rsidRPr="00533B68">
          <w:t>Costs—offer to settle</w:t>
        </w:r>
        <w:r>
          <w:tab/>
        </w:r>
        <w:r>
          <w:fldChar w:fldCharType="begin"/>
        </w:r>
        <w:r>
          <w:instrText xml:space="preserve"> PAGEREF _Toc185514216 \h </w:instrText>
        </w:r>
        <w:r>
          <w:fldChar w:fldCharType="separate"/>
        </w:r>
        <w:r>
          <w:t>334</w:t>
        </w:r>
        <w:r>
          <w:fldChar w:fldCharType="end"/>
        </w:r>
      </w:hyperlink>
    </w:p>
    <w:p w14:paraId="5C9369FA" w14:textId="6378B90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7" w:history="1">
        <w:r w:rsidRPr="00533B68">
          <w:t>1812</w:t>
        </w:r>
        <w:r>
          <w:rPr>
            <w:rFonts w:asciiTheme="minorHAnsi" w:eastAsiaTheme="minorEastAsia" w:hAnsiTheme="minorHAnsi" w:cstheme="minorBidi"/>
            <w:kern w:val="2"/>
            <w:sz w:val="24"/>
            <w:szCs w:val="24"/>
            <w:lang w:eastAsia="en-AU"/>
            <w14:ligatures w14:val="standardContextual"/>
          </w:rPr>
          <w:tab/>
        </w:r>
        <w:r w:rsidRPr="00533B68">
          <w:t>Costs—acceptance of offer to settle</w:t>
        </w:r>
        <w:r>
          <w:tab/>
        </w:r>
        <w:r>
          <w:fldChar w:fldCharType="begin"/>
        </w:r>
        <w:r>
          <w:instrText xml:space="preserve"> PAGEREF _Toc185514217 \h </w:instrText>
        </w:r>
        <w:r>
          <w:fldChar w:fldCharType="separate"/>
        </w:r>
        <w:r>
          <w:t>336</w:t>
        </w:r>
        <w:r>
          <w:fldChar w:fldCharType="end"/>
        </w:r>
      </w:hyperlink>
    </w:p>
    <w:p w14:paraId="1E5594D5" w14:textId="295FD8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8" w:history="1">
        <w:r w:rsidRPr="00533B68">
          <w:t>1813</w:t>
        </w:r>
        <w:r>
          <w:rPr>
            <w:rFonts w:asciiTheme="minorHAnsi" w:eastAsiaTheme="minorEastAsia" w:hAnsiTheme="minorHAnsi" w:cstheme="minorBidi"/>
            <w:kern w:val="2"/>
            <w:sz w:val="24"/>
            <w:szCs w:val="24"/>
            <w:lang w:eastAsia="en-AU"/>
            <w14:ligatures w14:val="standardContextual"/>
          </w:rPr>
          <w:tab/>
        </w:r>
        <w:r w:rsidRPr="00533B68">
          <w:t>Costs—rejection of offer to settle</w:t>
        </w:r>
        <w:r>
          <w:tab/>
        </w:r>
        <w:r>
          <w:fldChar w:fldCharType="begin"/>
        </w:r>
        <w:r>
          <w:instrText xml:space="preserve"> PAGEREF _Toc185514218 \h </w:instrText>
        </w:r>
        <w:r>
          <w:fldChar w:fldCharType="separate"/>
        </w:r>
        <w:r>
          <w:t>336</w:t>
        </w:r>
        <w:r>
          <w:fldChar w:fldCharType="end"/>
        </w:r>
      </w:hyperlink>
    </w:p>
    <w:p w14:paraId="543B7044" w14:textId="5D0189D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19" w:history="1">
        <w:r w:rsidRPr="00533B68">
          <w:t>1814</w:t>
        </w:r>
        <w:r>
          <w:rPr>
            <w:rFonts w:asciiTheme="minorHAnsi" w:eastAsiaTheme="minorEastAsia" w:hAnsiTheme="minorHAnsi" w:cstheme="minorBidi"/>
            <w:kern w:val="2"/>
            <w:sz w:val="24"/>
            <w:szCs w:val="24"/>
            <w:lang w:eastAsia="en-AU"/>
            <w14:ligatures w14:val="standardContextual"/>
          </w:rPr>
          <w:tab/>
        </w:r>
        <w:r w:rsidRPr="00533B68">
          <w:t>Costs—Calderbank offer to settle</w:t>
        </w:r>
        <w:r>
          <w:tab/>
        </w:r>
        <w:r>
          <w:fldChar w:fldCharType="begin"/>
        </w:r>
        <w:r>
          <w:instrText xml:space="preserve"> PAGEREF _Toc185514219 \h </w:instrText>
        </w:r>
        <w:r>
          <w:fldChar w:fldCharType="separate"/>
        </w:r>
        <w:r>
          <w:t>336</w:t>
        </w:r>
        <w:r>
          <w:fldChar w:fldCharType="end"/>
        </w:r>
      </w:hyperlink>
    </w:p>
    <w:p w14:paraId="074EC616" w14:textId="6850323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20" w:history="1">
        <w:r w:rsidR="00AC5392" w:rsidRPr="00533B68">
          <w:t>Division 2.17.6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Procedure on costs assessment</w:t>
        </w:r>
        <w:r w:rsidR="00AC5392" w:rsidRPr="00AC5392">
          <w:rPr>
            <w:vanish/>
          </w:rPr>
          <w:tab/>
        </w:r>
        <w:r w:rsidR="00AC5392" w:rsidRPr="00AC5392">
          <w:rPr>
            <w:vanish/>
          </w:rPr>
          <w:fldChar w:fldCharType="begin"/>
        </w:r>
        <w:r w:rsidR="00AC5392" w:rsidRPr="00AC5392">
          <w:rPr>
            <w:vanish/>
          </w:rPr>
          <w:instrText xml:space="preserve"> PAGEREF _Toc185514220 \h </w:instrText>
        </w:r>
        <w:r w:rsidR="00AC5392" w:rsidRPr="00AC5392">
          <w:rPr>
            <w:vanish/>
          </w:rPr>
        </w:r>
        <w:r w:rsidR="00AC5392" w:rsidRPr="00AC5392">
          <w:rPr>
            <w:vanish/>
          </w:rPr>
          <w:fldChar w:fldCharType="separate"/>
        </w:r>
        <w:r w:rsidR="00AC5392" w:rsidRPr="00AC5392">
          <w:rPr>
            <w:vanish/>
          </w:rPr>
          <w:t>337</w:t>
        </w:r>
        <w:r w:rsidR="00AC5392" w:rsidRPr="00AC5392">
          <w:rPr>
            <w:vanish/>
          </w:rPr>
          <w:fldChar w:fldCharType="end"/>
        </w:r>
      </w:hyperlink>
    </w:p>
    <w:p w14:paraId="7411E440" w14:textId="1F126A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21" w:history="1">
        <w:r w:rsidRPr="00533B68">
          <w:t>1830</w:t>
        </w:r>
        <w:r>
          <w:rPr>
            <w:rFonts w:asciiTheme="minorHAnsi" w:eastAsiaTheme="minorEastAsia" w:hAnsiTheme="minorHAnsi" w:cstheme="minorBidi"/>
            <w:kern w:val="2"/>
            <w:sz w:val="24"/>
            <w:szCs w:val="24"/>
            <w:lang w:eastAsia="en-AU"/>
            <w14:ligatures w14:val="standardContextual"/>
          </w:rPr>
          <w:tab/>
        </w:r>
        <w:r w:rsidRPr="00533B68">
          <w:t>Costs—attendance of parties at assessment</w:t>
        </w:r>
        <w:r>
          <w:tab/>
        </w:r>
        <w:r>
          <w:fldChar w:fldCharType="begin"/>
        </w:r>
        <w:r>
          <w:instrText xml:space="preserve"> PAGEREF _Toc185514221 \h </w:instrText>
        </w:r>
        <w:r>
          <w:fldChar w:fldCharType="separate"/>
        </w:r>
        <w:r>
          <w:t>337</w:t>
        </w:r>
        <w:r>
          <w:fldChar w:fldCharType="end"/>
        </w:r>
      </w:hyperlink>
    </w:p>
    <w:p w14:paraId="6D6E562C" w14:textId="209A144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22" w:history="1">
        <w:r w:rsidRPr="00533B68">
          <w:t>1831</w:t>
        </w:r>
        <w:r>
          <w:rPr>
            <w:rFonts w:asciiTheme="minorHAnsi" w:eastAsiaTheme="minorEastAsia" w:hAnsiTheme="minorHAnsi" w:cstheme="minorBidi"/>
            <w:kern w:val="2"/>
            <w:sz w:val="24"/>
            <w:szCs w:val="24"/>
            <w:lang w:eastAsia="en-AU"/>
            <w14:ligatures w14:val="standardContextual"/>
          </w:rPr>
          <w:tab/>
        </w:r>
        <w:r w:rsidRPr="00533B68">
          <w:t>Costs—notice of adjournment of assessment</w:t>
        </w:r>
        <w:r>
          <w:tab/>
        </w:r>
        <w:r>
          <w:fldChar w:fldCharType="begin"/>
        </w:r>
        <w:r>
          <w:instrText xml:space="preserve"> PAGEREF _Toc185514222 \h </w:instrText>
        </w:r>
        <w:r>
          <w:fldChar w:fldCharType="separate"/>
        </w:r>
        <w:r>
          <w:t>338</w:t>
        </w:r>
        <w:r>
          <w:fldChar w:fldCharType="end"/>
        </w:r>
      </w:hyperlink>
    </w:p>
    <w:p w14:paraId="3CECB79E" w14:textId="52097F0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23" w:history="1">
        <w:r w:rsidRPr="00533B68">
          <w:t>1832</w:t>
        </w:r>
        <w:r>
          <w:rPr>
            <w:rFonts w:asciiTheme="minorHAnsi" w:eastAsiaTheme="minorEastAsia" w:hAnsiTheme="minorHAnsi" w:cstheme="minorBidi"/>
            <w:kern w:val="2"/>
            <w:sz w:val="24"/>
            <w:szCs w:val="24"/>
            <w:lang w:eastAsia="en-AU"/>
            <w14:ligatures w14:val="standardContextual"/>
          </w:rPr>
          <w:tab/>
        </w:r>
        <w:r w:rsidRPr="00533B68">
          <w:t>Costs—delay before registrar etc</w:t>
        </w:r>
        <w:r>
          <w:tab/>
        </w:r>
        <w:r>
          <w:fldChar w:fldCharType="begin"/>
        </w:r>
        <w:r>
          <w:instrText xml:space="preserve"> PAGEREF _Toc185514223 \h </w:instrText>
        </w:r>
        <w:r>
          <w:fldChar w:fldCharType="separate"/>
        </w:r>
        <w:r>
          <w:t>338</w:t>
        </w:r>
        <w:r>
          <w:fldChar w:fldCharType="end"/>
        </w:r>
      </w:hyperlink>
    </w:p>
    <w:p w14:paraId="604CF5F3" w14:textId="515BEE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24" w:history="1">
        <w:r w:rsidRPr="00533B68">
          <w:t>1833</w:t>
        </w:r>
        <w:r>
          <w:rPr>
            <w:rFonts w:asciiTheme="minorHAnsi" w:eastAsiaTheme="minorEastAsia" w:hAnsiTheme="minorHAnsi" w:cstheme="minorBidi"/>
            <w:kern w:val="2"/>
            <w:sz w:val="24"/>
            <w:szCs w:val="24"/>
            <w:lang w:eastAsia="en-AU"/>
            <w14:ligatures w14:val="standardContextual"/>
          </w:rPr>
          <w:tab/>
        </w:r>
        <w:r w:rsidRPr="00533B68">
          <w:t>Costs—set off of costs</w:t>
        </w:r>
        <w:r>
          <w:tab/>
        </w:r>
        <w:r>
          <w:fldChar w:fldCharType="begin"/>
        </w:r>
        <w:r>
          <w:instrText xml:space="preserve"> PAGEREF _Toc185514224 \h </w:instrText>
        </w:r>
        <w:r>
          <w:fldChar w:fldCharType="separate"/>
        </w:r>
        <w:r>
          <w:t>339</w:t>
        </w:r>
        <w:r>
          <w:fldChar w:fldCharType="end"/>
        </w:r>
      </w:hyperlink>
    </w:p>
    <w:p w14:paraId="0384450C" w14:textId="4EDCDAA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25" w:history="1">
        <w:r w:rsidRPr="00533B68">
          <w:t>1834</w:t>
        </w:r>
        <w:r>
          <w:rPr>
            <w:rFonts w:asciiTheme="minorHAnsi" w:eastAsiaTheme="minorEastAsia" w:hAnsiTheme="minorHAnsi" w:cstheme="minorBidi"/>
            <w:kern w:val="2"/>
            <w:sz w:val="24"/>
            <w:szCs w:val="24"/>
            <w:lang w:eastAsia="en-AU"/>
            <w14:ligatures w14:val="standardContextual"/>
          </w:rPr>
          <w:tab/>
        </w:r>
        <w:r w:rsidRPr="00533B68">
          <w:t>Costs—bill of costs reduced by 15% or more</w:t>
        </w:r>
        <w:r>
          <w:tab/>
        </w:r>
        <w:r>
          <w:fldChar w:fldCharType="begin"/>
        </w:r>
        <w:r>
          <w:instrText xml:space="preserve"> PAGEREF _Toc185514225 \h </w:instrText>
        </w:r>
        <w:r>
          <w:fldChar w:fldCharType="separate"/>
        </w:r>
        <w:r>
          <w:t>339</w:t>
        </w:r>
        <w:r>
          <w:fldChar w:fldCharType="end"/>
        </w:r>
      </w:hyperlink>
    </w:p>
    <w:p w14:paraId="045981B4" w14:textId="09BD94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26" w:history="1">
        <w:r w:rsidRPr="00533B68">
          <w:t>1835</w:t>
        </w:r>
        <w:r>
          <w:rPr>
            <w:rFonts w:asciiTheme="minorHAnsi" w:eastAsiaTheme="minorEastAsia" w:hAnsiTheme="minorHAnsi" w:cstheme="minorBidi"/>
            <w:kern w:val="2"/>
            <w:sz w:val="24"/>
            <w:szCs w:val="24"/>
            <w:lang w:eastAsia="en-AU"/>
            <w14:ligatures w14:val="standardContextual"/>
          </w:rPr>
          <w:tab/>
        </w:r>
        <w:r w:rsidRPr="00533B68">
          <w:t>Costs—registrar’s certificate of assessment</w:t>
        </w:r>
        <w:r>
          <w:tab/>
        </w:r>
        <w:r>
          <w:fldChar w:fldCharType="begin"/>
        </w:r>
        <w:r>
          <w:instrText xml:space="preserve"> PAGEREF _Toc185514226 \h </w:instrText>
        </w:r>
        <w:r>
          <w:fldChar w:fldCharType="separate"/>
        </w:r>
        <w:r>
          <w:t>339</w:t>
        </w:r>
        <w:r>
          <w:fldChar w:fldCharType="end"/>
        </w:r>
      </w:hyperlink>
    </w:p>
    <w:p w14:paraId="78D18D89" w14:textId="48F156C7"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227" w:history="1">
        <w:r w:rsidRPr="00533B68">
          <w:t>1836</w:t>
        </w:r>
        <w:r>
          <w:rPr>
            <w:rFonts w:asciiTheme="minorHAnsi" w:eastAsiaTheme="minorEastAsia" w:hAnsiTheme="minorHAnsi" w:cstheme="minorBidi"/>
            <w:kern w:val="2"/>
            <w:sz w:val="24"/>
            <w:szCs w:val="24"/>
            <w:lang w:eastAsia="en-AU"/>
            <w14:ligatures w14:val="standardContextual"/>
          </w:rPr>
          <w:tab/>
        </w:r>
        <w:r w:rsidRPr="00533B68">
          <w:t>Costs—interim certificates of assessment</w:t>
        </w:r>
        <w:r>
          <w:tab/>
        </w:r>
        <w:r>
          <w:fldChar w:fldCharType="begin"/>
        </w:r>
        <w:r>
          <w:instrText xml:space="preserve"> PAGEREF _Toc185514227 \h </w:instrText>
        </w:r>
        <w:r>
          <w:fldChar w:fldCharType="separate"/>
        </w:r>
        <w:r>
          <w:t>340</w:t>
        </w:r>
        <w:r>
          <w:fldChar w:fldCharType="end"/>
        </w:r>
      </w:hyperlink>
    </w:p>
    <w:p w14:paraId="1A2FB4FC" w14:textId="6270011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28" w:history="1">
        <w:r w:rsidR="00AC5392" w:rsidRPr="00533B68">
          <w:t>Division 2.17.7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Reconsideration and review of costs assessment</w:t>
        </w:r>
        <w:r w:rsidR="00AC5392" w:rsidRPr="00AC5392">
          <w:rPr>
            <w:vanish/>
          </w:rPr>
          <w:tab/>
        </w:r>
        <w:r w:rsidR="00AC5392" w:rsidRPr="00AC5392">
          <w:rPr>
            <w:vanish/>
          </w:rPr>
          <w:fldChar w:fldCharType="begin"/>
        </w:r>
        <w:r w:rsidR="00AC5392" w:rsidRPr="00AC5392">
          <w:rPr>
            <w:vanish/>
          </w:rPr>
          <w:instrText xml:space="preserve"> PAGEREF _Toc185514228 \h </w:instrText>
        </w:r>
        <w:r w:rsidR="00AC5392" w:rsidRPr="00AC5392">
          <w:rPr>
            <w:vanish/>
          </w:rPr>
        </w:r>
        <w:r w:rsidR="00AC5392" w:rsidRPr="00AC5392">
          <w:rPr>
            <w:vanish/>
          </w:rPr>
          <w:fldChar w:fldCharType="separate"/>
        </w:r>
        <w:r w:rsidR="00AC5392" w:rsidRPr="00AC5392">
          <w:rPr>
            <w:vanish/>
          </w:rPr>
          <w:t>340</w:t>
        </w:r>
        <w:r w:rsidR="00AC5392" w:rsidRPr="00AC5392">
          <w:rPr>
            <w:vanish/>
          </w:rPr>
          <w:fldChar w:fldCharType="end"/>
        </w:r>
      </w:hyperlink>
    </w:p>
    <w:p w14:paraId="333EF6E6" w14:textId="6D9AE37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29" w:history="1">
        <w:r w:rsidRPr="00533B68">
          <w:t>1850</w:t>
        </w:r>
        <w:r>
          <w:rPr>
            <w:rFonts w:asciiTheme="minorHAnsi" w:eastAsiaTheme="minorEastAsia" w:hAnsiTheme="minorHAnsi" w:cstheme="minorBidi"/>
            <w:kern w:val="2"/>
            <w:sz w:val="24"/>
            <w:szCs w:val="24"/>
            <w:lang w:eastAsia="en-AU"/>
            <w14:ligatures w14:val="standardContextual"/>
          </w:rPr>
          <w:tab/>
        </w:r>
        <w:r w:rsidRPr="00533B68">
          <w:t>Application—div 2.17.7</w:t>
        </w:r>
        <w:r>
          <w:tab/>
        </w:r>
        <w:r>
          <w:fldChar w:fldCharType="begin"/>
        </w:r>
        <w:r>
          <w:instrText xml:space="preserve"> PAGEREF _Toc185514229 \h </w:instrText>
        </w:r>
        <w:r>
          <w:fldChar w:fldCharType="separate"/>
        </w:r>
        <w:r>
          <w:t>340</w:t>
        </w:r>
        <w:r>
          <w:fldChar w:fldCharType="end"/>
        </w:r>
      </w:hyperlink>
    </w:p>
    <w:p w14:paraId="119296BF" w14:textId="6A15178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0" w:history="1">
        <w:r w:rsidRPr="00533B68">
          <w:t>1851</w:t>
        </w:r>
        <w:r>
          <w:rPr>
            <w:rFonts w:asciiTheme="minorHAnsi" w:eastAsiaTheme="minorEastAsia" w:hAnsiTheme="minorHAnsi" w:cstheme="minorBidi"/>
            <w:kern w:val="2"/>
            <w:sz w:val="24"/>
            <w:szCs w:val="24"/>
            <w:lang w:eastAsia="en-AU"/>
            <w14:ligatures w14:val="standardContextual"/>
          </w:rPr>
          <w:tab/>
        </w:r>
        <w:r w:rsidRPr="00533B68">
          <w:t>Costs—application for reconsideration</w:t>
        </w:r>
        <w:r>
          <w:tab/>
        </w:r>
        <w:r>
          <w:fldChar w:fldCharType="begin"/>
        </w:r>
        <w:r>
          <w:instrText xml:space="preserve"> PAGEREF _Toc185514230 \h </w:instrText>
        </w:r>
        <w:r>
          <w:fldChar w:fldCharType="separate"/>
        </w:r>
        <w:r>
          <w:t>341</w:t>
        </w:r>
        <w:r>
          <w:fldChar w:fldCharType="end"/>
        </w:r>
      </w:hyperlink>
    </w:p>
    <w:p w14:paraId="3FADD1E9" w14:textId="4634AB6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1" w:history="1">
        <w:r w:rsidRPr="00533B68">
          <w:t>1852</w:t>
        </w:r>
        <w:r>
          <w:rPr>
            <w:rFonts w:asciiTheme="minorHAnsi" w:eastAsiaTheme="minorEastAsia" w:hAnsiTheme="minorHAnsi" w:cstheme="minorBidi"/>
            <w:kern w:val="2"/>
            <w:sz w:val="24"/>
            <w:szCs w:val="24"/>
            <w:lang w:eastAsia="en-AU"/>
            <w14:ligatures w14:val="standardContextual"/>
          </w:rPr>
          <w:tab/>
        </w:r>
        <w:r w:rsidRPr="00533B68">
          <w:t>Costs—procedure for reconsideration</w:t>
        </w:r>
        <w:r>
          <w:tab/>
        </w:r>
        <w:r>
          <w:fldChar w:fldCharType="begin"/>
        </w:r>
        <w:r>
          <w:instrText xml:space="preserve"> PAGEREF _Toc185514231 \h </w:instrText>
        </w:r>
        <w:r>
          <w:fldChar w:fldCharType="separate"/>
        </w:r>
        <w:r>
          <w:t>341</w:t>
        </w:r>
        <w:r>
          <w:fldChar w:fldCharType="end"/>
        </w:r>
      </w:hyperlink>
    </w:p>
    <w:p w14:paraId="0A5ABE26" w14:textId="6D9F5C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2" w:history="1">
        <w:r w:rsidRPr="00533B68">
          <w:t>1853</w:t>
        </w:r>
        <w:r>
          <w:rPr>
            <w:rFonts w:asciiTheme="minorHAnsi" w:eastAsiaTheme="minorEastAsia" w:hAnsiTheme="minorHAnsi" w:cstheme="minorBidi"/>
            <w:kern w:val="2"/>
            <w:sz w:val="24"/>
            <w:szCs w:val="24"/>
            <w:lang w:eastAsia="en-AU"/>
            <w14:ligatures w14:val="standardContextual"/>
          </w:rPr>
          <w:tab/>
        </w:r>
        <w:r w:rsidRPr="00533B68">
          <w:t>Costs—reply to objection on reconsideration</w:t>
        </w:r>
        <w:r>
          <w:tab/>
        </w:r>
        <w:r>
          <w:fldChar w:fldCharType="begin"/>
        </w:r>
        <w:r>
          <w:instrText xml:space="preserve"> PAGEREF _Toc185514232 \h </w:instrText>
        </w:r>
        <w:r>
          <w:fldChar w:fldCharType="separate"/>
        </w:r>
        <w:r>
          <w:t>342</w:t>
        </w:r>
        <w:r>
          <w:fldChar w:fldCharType="end"/>
        </w:r>
      </w:hyperlink>
    </w:p>
    <w:p w14:paraId="563D7DDD" w14:textId="159CAC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3" w:history="1">
        <w:r w:rsidRPr="00533B68">
          <w:t>1854</w:t>
        </w:r>
        <w:r>
          <w:rPr>
            <w:rFonts w:asciiTheme="minorHAnsi" w:eastAsiaTheme="minorEastAsia" w:hAnsiTheme="minorHAnsi" w:cstheme="minorBidi"/>
            <w:kern w:val="2"/>
            <w:sz w:val="24"/>
            <w:szCs w:val="24"/>
            <w:lang w:eastAsia="en-AU"/>
            <w14:ligatures w14:val="standardContextual"/>
          </w:rPr>
          <w:tab/>
        </w:r>
        <w:r w:rsidRPr="00533B68">
          <w:t>Costs—reconsideration of registrar’s assessment</w:t>
        </w:r>
        <w:r>
          <w:tab/>
        </w:r>
        <w:r>
          <w:fldChar w:fldCharType="begin"/>
        </w:r>
        <w:r>
          <w:instrText xml:space="preserve"> PAGEREF _Toc185514233 \h </w:instrText>
        </w:r>
        <w:r>
          <w:fldChar w:fldCharType="separate"/>
        </w:r>
        <w:r>
          <w:t>342</w:t>
        </w:r>
        <w:r>
          <w:fldChar w:fldCharType="end"/>
        </w:r>
      </w:hyperlink>
    </w:p>
    <w:p w14:paraId="10125AC2" w14:textId="3692BC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4" w:history="1">
        <w:r w:rsidRPr="00533B68">
          <w:t>1855</w:t>
        </w:r>
        <w:r>
          <w:rPr>
            <w:rFonts w:asciiTheme="minorHAnsi" w:eastAsiaTheme="minorEastAsia" w:hAnsiTheme="minorHAnsi" w:cstheme="minorBidi"/>
            <w:kern w:val="2"/>
            <w:sz w:val="24"/>
            <w:szCs w:val="24"/>
            <w:lang w:eastAsia="en-AU"/>
            <w14:ligatures w14:val="standardContextual"/>
          </w:rPr>
          <w:tab/>
        </w:r>
        <w:r w:rsidRPr="00533B68">
          <w:t>Costs—review by court</w:t>
        </w:r>
        <w:r>
          <w:tab/>
        </w:r>
        <w:r>
          <w:fldChar w:fldCharType="begin"/>
        </w:r>
        <w:r>
          <w:instrText xml:space="preserve"> PAGEREF _Toc185514234 \h </w:instrText>
        </w:r>
        <w:r>
          <w:fldChar w:fldCharType="separate"/>
        </w:r>
        <w:r>
          <w:t>343</w:t>
        </w:r>
        <w:r>
          <w:fldChar w:fldCharType="end"/>
        </w:r>
      </w:hyperlink>
    </w:p>
    <w:p w14:paraId="2B30854B" w14:textId="13F18CE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35" w:history="1">
        <w:r w:rsidR="00AC5392" w:rsidRPr="00533B68">
          <w:t>Division 2.17.8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Security for costs</w:t>
        </w:r>
        <w:r w:rsidR="00AC5392" w:rsidRPr="00AC5392">
          <w:rPr>
            <w:vanish/>
          </w:rPr>
          <w:tab/>
        </w:r>
        <w:r w:rsidR="00AC5392" w:rsidRPr="00AC5392">
          <w:rPr>
            <w:vanish/>
          </w:rPr>
          <w:fldChar w:fldCharType="begin"/>
        </w:r>
        <w:r w:rsidR="00AC5392" w:rsidRPr="00AC5392">
          <w:rPr>
            <w:vanish/>
          </w:rPr>
          <w:instrText xml:space="preserve"> PAGEREF _Toc185514235 \h </w:instrText>
        </w:r>
        <w:r w:rsidR="00AC5392" w:rsidRPr="00AC5392">
          <w:rPr>
            <w:vanish/>
          </w:rPr>
        </w:r>
        <w:r w:rsidR="00AC5392" w:rsidRPr="00AC5392">
          <w:rPr>
            <w:vanish/>
          </w:rPr>
          <w:fldChar w:fldCharType="separate"/>
        </w:r>
        <w:r w:rsidR="00AC5392" w:rsidRPr="00AC5392">
          <w:rPr>
            <w:vanish/>
          </w:rPr>
          <w:t>344</w:t>
        </w:r>
        <w:r w:rsidR="00AC5392" w:rsidRPr="00AC5392">
          <w:rPr>
            <w:vanish/>
          </w:rPr>
          <w:fldChar w:fldCharType="end"/>
        </w:r>
      </w:hyperlink>
    </w:p>
    <w:p w14:paraId="7F76464A" w14:textId="36466F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6" w:history="1">
        <w:r w:rsidRPr="00533B68">
          <w:t>1900</w:t>
        </w:r>
        <w:r>
          <w:rPr>
            <w:rFonts w:asciiTheme="minorHAnsi" w:eastAsiaTheme="minorEastAsia" w:hAnsiTheme="minorHAnsi" w:cstheme="minorBidi"/>
            <w:kern w:val="2"/>
            <w:sz w:val="24"/>
            <w:szCs w:val="24"/>
            <w:lang w:eastAsia="en-AU"/>
            <w14:ligatures w14:val="standardContextual"/>
          </w:rPr>
          <w:tab/>
        </w:r>
        <w:r w:rsidRPr="00533B68">
          <w:t>Security for costs—application and order</w:t>
        </w:r>
        <w:r>
          <w:tab/>
        </w:r>
        <w:r>
          <w:fldChar w:fldCharType="begin"/>
        </w:r>
        <w:r>
          <w:instrText xml:space="preserve"> PAGEREF _Toc185514236 \h </w:instrText>
        </w:r>
        <w:r>
          <w:fldChar w:fldCharType="separate"/>
        </w:r>
        <w:r>
          <w:t>344</w:t>
        </w:r>
        <w:r>
          <w:fldChar w:fldCharType="end"/>
        </w:r>
      </w:hyperlink>
    </w:p>
    <w:p w14:paraId="77737FFD" w14:textId="471F6ED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7" w:history="1">
        <w:r w:rsidRPr="00533B68">
          <w:t>1901</w:t>
        </w:r>
        <w:r>
          <w:rPr>
            <w:rFonts w:asciiTheme="minorHAnsi" w:eastAsiaTheme="minorEastAsia" w:hAnsiTheme="minorHAnsi" w:cstheme="minorBidi"/>
            <w:kern w:val="2"/>
            <w:sz w:val="24"/>
            <w:szCs w:val="24"/>
            <w:lang w:eastAsia="en-AU"/>
            <w14:ligatures w14:val="standardContextual"/>
          </w:rPr>
          <w:tab/>
        </w:r>
        <w:r w:rsidRPr="00533B68">
          <w:t>Security for costs—when court may make order</w:t>
        </w:r>
        <w:r>
          <w:tab/>
        </w:r>
        <w:r>
          <w:fldChar w:fldCharType="begin"/>
        </w:r>
        <w:r>
          <w:instrText xml:space="preserve"> PAGEREF _Toc185514237 \h </w:instrText>
        </w:r>
        <w:r>
          <w:fldChar w:fldCharType="separate"/>
        </w:r>
        <w:r>
          <w:t>344</w:t>
        </w:r>
        <w:r>
          <w:fldChar w:fldCharType="end"/>
        </w:r>
      </w:hyperlink>
    </w:p>
    <w:p w14:paraId="2501F789" w14:textId="1BEBE0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8" w:history="1">
        <w:r w:rsidRPr="00533B68">
          <w:t>1902</w:t>
        </w:r>
        <w:r>
          <w:rPr>
            <w:rFonts w:asciiTheme="minorHAnsi" w:eastAsiaTheme="minorEastAsia" w:hAnsiTheme="minorHAnsi" w:cstheme="minorBidi"/>
            <w:kern w:val="2"/>
            <w:sz w:val="24"/>
            <w:szCs w:val="24"/>
            <w:lang w:eastAsia="en-AU"/>
            <w14:ligatures w14:val="standardContextual"/>
          </w:rPr>
          <w:tab/>
        </w:r>
        <w:r w:rsidRPr="00533B68">
          <w:t>Security for costs—discretionary factors</w:t>
        </w:r>
        <w:r>
          <w:tab/>
        </w:r>
        <w:r>
          <w:fldChar w:fldCharType="begin"/>
        </w:r>
        <w:r>
          <w:instrText xml:space="preserve"> PAGEREF _Toc185514238 \h </w:instrText>
        </w:r>
        <w:r>
          <w:fldChar w:fldCharType="separate"/>
        </w:r>
        <w:r>
          <w:t>345</w:t>
        </w:r>
        <w:r>
          <w:fldChar w:fldCharType="end"/>
        </w:r>
      </w:hyperlink>
    </w:p>
    <w:p w14:paraId="57820887" w14:textId="430345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39" w:history="1">
        <w:r w:rsidRPr="00533B68">
          <w:t>1903</w:t>
        </w:r>
        <w:r>
          <w:rPr>
            <w:rFonts w:asciiTheme="minorHAnsi" w:eastAsiaTheme="minorEastAsia" w:hAnsiTheme="minorHAnsi" w:cstheme="minorBidi"/>
            <w:kern w:val="2"/>
            <w:sz w:val="24"/>
            <w:szCs w:val="24"/>
            <w:lang w:eastAsia="en-AU"/>
            <w14:ligatures w14:val="standardContextual"/>
          </w:rPr>
          <w:tab/>
        </w:r>
        <w:r w:rsidRPr="00533B68">
          <w:t>Security for costs—way security given</w:t>
        </w:r>
        <w:r>
          <w:tab/>
        </w:r>
        <w:r>
          <w:fldChar w:fldCharType="begin"/>
        </w:r>
        <w:r>
          <w:instrText xml:space="preserve"> PAGEREF _Toc185514239 \h </w:instrText>
        </w:r>
        <w:r>
          <w:fldChar w:fldCharType="separate"/>
        </w:r>
        <w:r>
          <w:t>346</w:t>
        </w:r>
        <w:r>
          <w:fldChar w:fldCharType="end"/>
        </w:r>
      </w:hyperlink>
    </w:p>
    <w:p w14:paraId="328E0101" w14:textId="6F84CF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40" w:history="1">
        <w:r w:rsidRPr="00533B68">
          <w:t>1904</w:t>
        </w:r>
        <w:r>
          <w:rPr>
            <w:rFonts w:asciiTheme="minorHAnsi" w:eastAsiaTheme="minorEastAsia" w:hAnsiTheme="minorHAnsi" w:cstheme="minorBidi"/>
            <w:kern w:val="2"/>
            <w:sz w:val="24"/>
            <w:szCs w:val="24"/>
            <w:lang w:eastAsia="en-AU"/>
            <w14:ligatures w14:val="standardContextual"/>
          </w:rPr>
          <w:tab/>
        </w:r>
        <w:r w:rsidRPr="00533B68">
          <w:t>Security for costs—effect of order</w:t>
        </w:r>
        <w:r>
          <w:tab/>
        </w:r>
        <w:r>
          <w:fldChar w:fldCharType="begin"/>
        </w:r>
        <w:r>
          <w:instrText xml:space="preserve"> PAGEREF _Toc185514240 \h </w:instrText>
        </w:r>
        <w:r>
          <w:fldChar w:fldCharType="separate"/>
        </w:r>
        <w:r>
          <w:t>346</w:t>
        </w:r>
        <w:r>
          <w:fldChar w:fldCharType="end"/>
        </w:r>
      </w:hyperlink>
    </w:p>
    <w:p w14:paraId="0CC954AA" w14:textId="552A17A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41" w:history="1">
        <w:r w:rsidRPr="00533B68">
          <w:t>1905</w:t>
        </w:r>
        <w:r>
          <w:rPr>
            <w:rFonts w:asciiTheme="minorHAnsi" w:eastAsiaTheme="minorEastAsia" w:hAnsiTheme="minorHAnsi" w:cstheme="minorBidi"/>
            <w:kern w:val="2"/>
            <w:sz w:val="24"/>
            <w:szCs w:val="24"/>
            <w:lang w:eastAsia="en-AU"/>
            <w14:ligatures w14:val="standardContextual"/>
          </w:rPr>
          <w:tab/>
        </w:r>
        <w:r w:rsidRPr="00533B68">
          <w:t>Security for costs—setting aside or amending order</w:t>
        </w:r>
        <w:r>
          <w:tab/>
        </w:r>
        <w:r>
          <w:fldChar w:fldCharType="begin"/>
        </w:r>
        <w:r>
          <w:instrText xml:space="preserve"> PAGEREF _Toc185514241 \h </w:instrText>
        </w:r>
        <w:r>
          <w:fldChar w:fldCharType="separate"/>
        </w:r>
        <w:r>
          <w:t>347</w:t>
        </w:r>
        <w:r>
          <w:fldChar w:fldCharType="end"/>
        </w:r>
      </w:hyperlink>
    </w:p>
    <w:p w14:paraId="22C1B44F" w14:textId="4ADA706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42" w:history="1">
        <w:r w:rsidRPr="00533B68">
          <w:t>1906</w:t>
        </w:r>
        <w:r>
          <w:rPr>
            <w:rFonts w:asciiTheme="minorHAnsi" w:eastAsiaTheme="minorEastAsia" w:hAnsiTheme="minorHAnsi" w:cstheme="minorBidi"/>
            <w:kern w:val="2"/>
            <w:sz w:val="24"/>
            <w:szCs w:val="24"/>
            <w:lang w:eastAsia="en-AU"/>
            <w14:ligatures w14:val="standardContextual"/>
          </w:rPr>
          <w:tab/>
        </w:r>
        <w:r w:rsidRPr="00533B68">
          <w:t>Security for costs—finalising security</w:t>
        </w:r>
        <w:r>
          <w:tab/>
        </w:r>
        <w:r>
          <w:fldChar w:fldCharType="begin"/>
        </w:r>
        <w:r>
          <w:instrText xml:space="preserve"> PAGEREF _Toc185514242 \h </w:instrText>
        </w:r>
        <w:r>
          <w:fldChar w:fldCharType="separate"/>
        </w:r>
        <w:r>
          <w:t>347</w:t>
        </w:r>
        <w:r>
          <w:fldChar w:fldCharType="end"/>
        </w:r>
      </w:hyperlink>
    </w:p>
    <w:p w14:paraId="7C2EF72A" w14:textId="1D1F22E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43" w:history="1">
        <w:r w:rsidR="00AC5392" w:rsidRPr="00533B68">
          <w:t>Division 2.17.9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Miscellaneous—pt 2.17</w:t>
        </w:r>
        <w:r w:rsidR="00AC5392" w:rsidRPr="00AC5392">
          <w:rPr>
            <w:vanish/>
          </w:rPr>
          <w:tab/>
        </w:r>
        <w:r w:rsidR="00AC5392" w:rsidRPr="00AC5392">
          <w:rPr>
            <w:vanish/>
          </w:rPr>
          <w:fldChar w:fldCharType="begin"/>
        </w:r>
        <w:r w:rsidR="00AC5392" w:rsidRPr="00AC5392">
          <w:rPr>
            <w:vanish/>
          </w:rPr>
          <w:instrText xml:space="preserve"> PAGEREF _Toc185514243 \h </w:instrText>
        </w:r>
        <w:r w:rsidR="00AC5392" w:rsidRPr="00AC5392">
          <w:rPr>
            <w:vanish/>
          </w:rPr>
        </w:r>
        <w:r w:rsidR="00AC5392" w:rsidRPr="00AC5392">
          <w:rPr>
            <w:vanish/>
          </w:rPr>
          <w:fldChar w:fldCharType="separate"/>
        </w:r>
        <w:r w:rsidR="00AC5392" w:rsidRPr="00AC5392">
          <w:rPr>
            <w:vanish/>
          </w:rPr>
          <w:t>348</w:t>
        </w:r>
        <w:r w:rsidR="00AC5392" w:rsidRPr="00AC5392">
          <w:rPr>
            <w:vanish/>
          </w:rPr>
          <w:fldChar w:fldCharType="end"/>
        </w:r>
      </w:hyperlink>
    </w:p>
    <w:p w14:paraId="30CCF680" w14:textId="3917209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44" w:history="1">
        <w:r w:rsidRPr="00533B68">
          <w:t>1920</w:t>
        </w:r>
        <w:r>
          <w:rPr>
            <w:rFonts w:asciiTheme="minorHAnsi" w:eastAsiaTheme="minorEastAsia" w:hAnsiTheme="minorHAnsi" w:cstheme="minorBidi"/>
            <w:kern w:val="2"/>
            <w:sz w:val="24"/>
            <w:szCs w:val="24"/>
            <w:lang w:eastAsia="en-AU"/>
            <w14:ligatures w14:val="standardContextual"/>
          </w:rPr>
          <w:tab/>
        </w:r>
        <w:r w:rsidRPr="00533B68">
          <w:t>Liquidator, guardian or manager—accounts</w:t>
        </w:r>
        <w:r>
          <w:tab/>
        </w:r>
        <w:r>
          <w:fldChar w:fldCharType="begin"/>
        </w:r>
        <w:r>
          <w:instrText xml:space="preserve"> PAGEREF _Toc185514244 \h </w:instrText>
        </w:r>
        <w:r>
          <w:fldChar w:fldCharType="separate"/>
        </w:r>
        <w:r>
          <w:t>348</w:t>
        </w:r>
        <w:r>
          <w:fldChar w:fldCharType="end"/>
        </w:r>
      </w:hyperlink>
    </w:p>
    <w:p w14:paraId="42196A3C" w14:textId="59895D1B"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245" w:history="1">
        <w:r w:rsidR="00AC5392" w:rsidRPr="00533B68">
          <w:t>Part 2.18</w:t>
        </w:r>
        <w:r w:rsidR="00AC5392">
          <w:rPr>
            <w:rFonts w:asciiTheme="minorHAnsi" w:eastAsiaTheme="minorEastAsia" w:hAnsiTheme="minorHAnsi" w:cstheme="minorBidi"/>
            <w:b w:val="0"/>
            <w:kern w:val="2"/>
            <w:szCs w:val="24"/>
            <w:lang w:eastAsia="en-AU"/>
            <w14:ligatures w14:val="standardContextual"/>
          </w:rPr>
          <w:tab/>
        </w:r>
        <w:r w:rsidR="00AC5392" w:rsidRPr="00533B68">
          <w:t>Enforcement</w:t>
        </w:r>
        <w:r w:rsidR="00AC5392" w:rsidRPr="00AC5392">
          <w:rPr>
            <w:vanish/>
          </w:rPr>
          <w:tab/>
        </w:r>
        <w:r w:rsidR="00AC5392" w:rsidRPr="00AC5392">
          <w:rPr>
            <w:vanish/>
          </w:rPr>
          <w:fldChar w:fldCharType="begin"/>
        </w:r>
        <w:r w:rsidR="00AC5392" w:rsidRPr="00AC5392">
          <w:rPr>
            <w:vanish/>
          </w:rPr>
          <w:instrText xml:space="preserve"> PAGEREF _Toc185514245 \h </w:instrText>
        </w:r>
        <w:r w:rsidR="00AC5392" w:rsidRPr="00AC5392">
          <w:rPr>
            <w:vanish/>
          </w:rPr>
        </w:r>
        <w:r w:rsidR="00AC5392" w:rsidRPr="00AC5392">
          <w:rPr>
            <w:vanish/>
          </w:rPr>
          <w:fldChar w:fldCharType="separate"/>
        </w:r>
        <w:r w:rsidR="00AC5392" w:rsidRPr="00AC5392">
          <w:rPr>
            <w:vanish/>
          </w:rPr>
          <w:t>349</w:t>
        </w:r>
        <w:r w:rsidR="00AC5392" w:rsidRPr="00AC5392">
          <w:rPr>
            <w:vanish/>
          </w:rPr>
          <w:fldChar w:fldCharType="end"/>
        </w:r>
      </w:hyperlink>
    </w:p>
    <w:p w14:paraId="640D628D" w14:textId="1AA38EF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46" w:history="1">
        <w:r w:rsidR="00AC5392" w:rsidRPr="00533B68">
          <w:t>Division 2.18.1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Enforcement—general</w:t>
        </w:r>
        <w:r w:rsidR="00AC5392" w:rsidRPr="00AC5392">
          <w:rPr>
            <w:vanish/>
          </w:rPr>
          <w:tab/>
        </w:r>
        <w:r w:rsidR="00AC5392" w:rsidRPr="00AC5392">
          <w:rPr>
            <w:vanish/>
          </w:rPr>
          <w:fldChar w:fldCharType="begin"/>
        </w:r>
        <w:r w:rsidR="00AC5392" w:rsidRPr="00AC5392">
          <w:rPr>
            <w:vanish/>
          </w:rPr>
          <w:instrText xml:space="preserve"> PAGEREF _Toc185514246 \h </w:instrText>
        </w:r>
        <w:r w:rsidR="00AC5392" w:rsidRPr="00AC5392">
          <w:rPr>
            <w:vanish/>
          </w:rPr>
        </w:r>
        <w:r w:rsidR="00AC5392" w:rsidRPr="00AC5392">
          <w:rPr>
            <w:vanish/>
          </w:rPr>
          <w:fldChar w:fldCharType="separate"/>
        </w:r>
        <w:r w:rsidR="00AC5392" w:rsidRPr="00AC5392">
          <w:rPr>
            <w:vanish/>
          </w:rPr>
          <w:t>349</w:t>
        </w:r>
        <w:r w:rsidR="00AC5392" w:rsidRPr="00AC5392">
          <w:rPr>
            <w:vanish/>
          </w:rPr>
          <w:fldChar w:fldCharType="end"/>
        </w:r>
      </w:hyperlink>
    </w:p>
    <w:p w14:paraId="708AA47F" w14:textId="474A46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47" w:history="1">
        <w:r w:rsidRPr="00533B68">
          <w:t>2000</w:t>
        </w:r>
        <w:r>
          <w:rPr>
            <w:rFonts w:asciiTheme="minorHAnsi" w:eastAsiaTheme="minorEastAsia" w:hAnsiTheme="minorHAnsi" w:cstheme="minorBidi"/>
            <w:kern w:val="2"/>
            <w:sz w:val="24"/>
            <w:szCs w:val="24"/>
            <w:lang w:eastAsia="en-AU"/>
            <w14:ligatures w14:val="standardContextual"/>
          </w:rPr>
          <w:tab/>
        </w:r>
        <w:r w:rsidRPr="00533B68">
          <w:t>Definitions—pt 2.18</w:t>
        </w:r>
        <w:r>
          <w:tab/>
        </w:r>
        <w:r>
          <w:fldChar w:fldCharType="begin"/>
        </w:r>
        <w:r>
          <w:instrText xml:space="preserve"> PAGEREF _Toc185514247 \h </w:instrText>
        </w:r>
        <w:r>
          <w:fldChar w:fldCharType="separate"/>
        </w:r>
        <w:r>
          <w:t>349</w:t>
        </w:r>
        <w:r>
          <w:fldChar w:fldCharType="end"/>
        </w:r>
      </w:hyperlink>
    </w:p>
    <w:p w14:paraId="11D57DD9" w14:textId="078924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48" w:history="1">
        <w:r w:rsidRPr="00533B68">
          <w:t>2001</w:t>
        </w:r>
        <w:r>
          <w:rPr>
            <w:rFonts w:asciiTheme="minorHAnsi" w:eastAsiaTheme="minorEastAsia" w:hAnsiTheme="minorHAnsi" w:cstheme="minorBidi"/>
            <w:kern w:val="2"/>
            <w:sz w:val="24"/>
            <w:szCs w:val="24"/>
            <w:lang w:eastAsia="en-AU"/>
            <w14:ligatures w14:val="standardContextual"/>
          </w:rPr>
          <w:tab/>
        </w:r>
        <w:r w:rsidRPr="00533B68">
          <w:t>Enforcement orders generally</w:t>
        </w:r>
        <w:r>
          <w:tab/>
        </w:r>
        <w:r>
          <w:fldChar w:fldCharType="begin"/>
        </w:r>
        <w:r>
          <w:instrText xml:space="preserve"> PAGEREF _Toc185514248 \h </w:instrText>
        </w:r>
        <w:r>
          <w:fldChar w:fldCharType="separate"/>
        </w:r>
        <w:r>
          <w:t>354</w:t>
        </w:r>
        <w:r>
          <w:fldChar w:fldCharType="end"/>
        </w:r>
      </w:hyperlink>
    </w:p>
    <w:p w14:paraId="46499BEA" w14:textId="3342245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49" w:history="1">
        <w:r w:rsidRPr="00533B68">
          <w:t>2002</w:t>
        </w:r>
        <w:r>
          <w:rPr>
            <w:rFonts w:asciiTheme="minorHAnsi" w:eastAsiaTheme="minorEastAsia" w:hAnsiTheme="minorHAnsi" w:cstheme="minorBidi"/>
            <w:kern w:val="2"/>
            <w:sz w:val="24"/>
            <w:szCs w:val="24"/>
            <w:lang w:eastAsia="en-AU"/>
            <w14:ligatures w14:val="standardContextual"/>
          </w:rPr>
          <w:tab/>
        </w:r>
        <w:r w:rsidRPr="00533B68">
          <w:t>Enforcement—enforcement application is application in original proceeding</w:t>
        </w:r>
        <w:r>
          <w:tab/>
        </w:r>
        <w:r>
          <w:fldChar w:fldCharType="begin"/>
        </w:r>
        <w:r>
          <w:instrText xml:space="preserve"> PAGEREF _Toc185514249 \h </w:instrText>
        </w:r>
        <w:r>
          <w:fldChar w:fldCharType="separate"/>
        </w:r>
        <w:r>
          <w:t>355</w:t>
        </w:r>
        <w:r>
          <w:fldChar w:fldCharType="end"/>
        </w:r>
      </w:hyperlink>
    </w:p>
    <w:p w14:paraId="10EF2EB0" w14:textId="0B7908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0" w:history="1">
        <w:r w:rsidRPr="00533B68">
          <w:t>2003</w:t>
        </w:r>
        <w:r>
          <w:rPr>
            <w:rFonts w:asciiTheme="minorHAnsi" w:eastAsiaTheme="minorEastAsia" w:hAnsiTheme="minorHAnsi" w:cstheme="minorBidi"/>
            <w:kern w:val="2"/>
            <w:sz w:val="24"/>
            <w:szCs w:val="24"/>
            <w:lang w:eastAsia="en-AU"/>
            <w14:ligatures w14:val="standardContextual"/>
          </w:rPr>
          <w:tab/>
        </w:r>
        <w:r w:rsidRPr="00533B68">
          <w:t>Enforcement—by or against non-party</w:t>
        </w:r>
        <w:r>
          <w:tab/>
        </w:r>
        <w:r>
          <w:fldChar w:fldCharType="begin"/>
        </w:r>
        <w:r>
          <w:instrText xml:space="preserve"> PAGEREF _Toc185514250 \h </w:instrText>
        </w:r>
        <w:r>
          <w:fldChar w:fldCharType="separate"/>
        </w:r>
        <w:r>
          <w:t>355</w:t>
        </w:r>
        <w:r>
          <w:fldChar w:fldCharType="end"/>
        </w:r>
      </w:hyperlink>
    </w:p>
    <w:p w14:paraId="42DEBEC6" w14:textId="3D4064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1" w:history="1">
        <w:r w:rsidRPr="00533B68">
          <w:t>2004</w:t>
        </w:r>
        <w:r>
          <w:rPr>
            <w:rFonts w:asciiTheme="minorHAnsi" w:eastAsiaTheme="minorEastAsia" w:hAnsiTheme="minorHAnsi" w:cstheme="minorBidi"/>
            <w:kern w:val="2"/>
            <w:sz w:val="24"/>
            <w:szCs w:val="24"/>
            <w:lang w:eastAsia="en-AU"/>
            <w14:ligatures w14:val="standardContextual"/>
          </w:rPr>
          <w:tab/>
        </w:r>
        <w:r w:rsidRPr="00533B68">
          <w:t>Enforcement—amount recoverable</w:t>
        </w:r>
        <w:r>
          <w:tab/>
        </w:r>
        <w:r>
          <w:fldChar w:fldCharType="begin"/>
        </w:r>
        <w:r>
          <w:instrText xml:space="preserve"> PAGEREF _Toc185514251 \h </w:instrText>
        </w:r>
        <w:r>
          <w:fldChar w:fldCharType="separate"/>
        </w:r>
        <w:r>
          <w:t>356</w:t>
        </w:r>
        <w:r>
          <w:fldChar w:fldCharType="end"/>
        </w:r>
      </w:hyperlink>
    </w:p>
    <w:p w14:paraId="76498B8A" w14:textId="6A6F10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2" w:history="1">
        <w:r w:rsidRPr="00533B68">
          <w:t>2005</w:t>
        </w:r>
        <w:r>
          <w:rPr>
            <w:rFonts w:asciiTheme="minorHAnsi" w:eastAsiaTheme="minorEastAsia" w:hAnsiTheme="minorHAnsi" w:cstheme="minorBidi"/>
            <w:kern w:val="2"/>
            <w:sz w:val="24"/>
            <w:szCs w:val="24"/>
            <w:lang w:eastAsia="en-AU"/>
            <w14:ligatures w14:val="standardContextual"/>
          </w:rPr>
          <w:tab/>
        </w:r>
        <w:r w:rsidRPr="00533B68">
          <w:t>Enforcement—separate enforcement for costs</w:t>
        </w:r>
        <w:r>
          <w:tab/>
        </w:r>
        <w:r>
          <w:fldChar w:fldCharType="begin"/>
        </w:r>
        <w:r>
          <w:instrText xml:space="preserve"> PAGEREF _Toc185514252 \h </w:instrText>
        </w:r>
        <w:r>
          <w:fldChar w:fldCharType="separate"/>
        </w:r>
        <w:r>
          <w:t>356</w:t>
        </w:r>
        <w:r>
          <w:fldChar w:fldCharType="end"/>
        </w:r>
      </w:hyperlink>
    </w:p>
    <w:p w14:paraId="7E7B369F" w14:textId="41E39E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3" w:history="1">
        <w:r w:rsidRPr="00533B68">
          <w:t>2006</w:t>
        </w:r>
        <w:r>
          <w:rPr>
            <w:rFonts w:asciiTheme="minorHAnsi" w:eastAsiaTheme="minorEastAsia" w:hAnsiTheme="minorHAnsi" w:cstheme="minorBidi"/>
            <w:kern w:val="2"/>
            <w:sz w:val="24"/>
            <w:szCs w:val="24"/>
            <w:lang w:eastAsia="en-AU"/>
            <w14:ligatures w14:val="standardContextual"/>
          </w:rPr>
          <w:tab/>
        </w:r>
        <w:r w:rsidRPr="00533B68">
          <w:t>Enforcement—order in partnership name</w:t>
        </w:r>
        <w:r>
          <w:tab/>
        </w:r>
        <w:r>
          <w:fldChar w:fldCharType="begin"/>
        </w:r>
        <w:r>
          <w:instrText xml:space="preserve"> PAGEREF _Toc185514253 \h </w:instrText>
        </w:r>
        <w:r>
          <w:fldChar w:fldCharType="separate"/>
        </w:r>
        <w:r>
          <w:t>356</w:t>
        </w:r>
        <w:r>
          <w:fldChar w:fldCharType="end"/>
        </w:r>
      </w:hyperlink>
    </w:p>
    <w:p w14:paraId="57EB7DF4" w14:textId="54427AC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4" w:history="1">
        <w:r w:rsidRPr="00533B68">
          <w:t>2007</w:t>
        </w:r>
        <w:r>
          <w:rPr>
            <w:rFonts w:asciiTheme="minorHAnsi" w:eastAsiaTheme="minorEastAsia" w:hAnsiTheme="minorHAnsi" w:cstheme="minorBidi"/>
            <w:kern w:val="2"/>
            <w:sz w:val="24"/>
            <w:szCs w:val="24"/>
            <w:lang w:eastAsia="en-AU"/>
            <w14:ligatures w14:val="standardContextual"/>
          </w:rPr>
          <w:tab/>
        </w:r>
        <w:r w:rsidRPr="00533B68">
          <w:t>Enforcement—against property of partnership</w:t>
        </w:r>
        <w:r>
          <w:tab/>
        </w:r>
        <w:r>
          <w:fldChar w:fldCharType="begin"/>
        </w:r>
        <w:r>
          <w:instrText xml:space="preserve"> PAGEREF _Toc185514254 \h </w:instrText>
        </w:r>
        <w:r>
          <w:fldChar w:fldCharType="separate"/>
        </w:r>
        <w:r>
          <w:t>357</w:t>
        </w:r>
        <w:r>
          <w:fldChar w:fldCharType="end"/>
        </w:r>
      </w:hyperlink>
    </w:p>
    <w:p w14:paraId="004BCDCA" w14:textId="156D8F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5" w:history="1">
        <w:r w:rsidRPr="00533B68">
          <w:t>2008</w:t>
        </w:r>
        <w:r>
          <w:rPr>
            <w:rFonts w:asciiTheme="minorHAnsi" w:eastAsiaTheme="minorEastAsia" w:hAnsiTheme="minorHAnsi" w:cstheme="minorBidi"/>
            <w:kern w:val="2"/>
            <w:sz w:val="24"/>
            <w:szCs w:val="24"/>
            <w:lang w:eastAsia="en-AU"/>
            <w14:ligatures w14:val="standardContextual"/>
          </w:rPr>
          <w:tab/>
        </w:r>
        <w:r w:rsidRPr="00533B68">
          <w:t>Enforcement—against property of business</w:t>
        </w:r>
        <w:r>
          <w:tab/>
        </w:r>
        <w:r>
          <w:fldChar w:fldCharType="begin"/>
        </w:r>
        <w:r>
          <w:instrText xml:space="preserve"> PAGEREF _Toc185514255 \h </w:instrText>
        </w:r>
        <w:r>
          <w:fldChar w:fldCharType="separate"/>
        </w:r>
        <w:r>
          <w:t>357</w:t>
        </w:r>
        <w:r>
          <w:fldChar w:fldCharType="end"/>
        </w:r>
      </w:hyperlink>
    </w:p>
    <w:p w14:paraId="7722712E" w14:textId="2726B52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6" w:history="1">
        <w:r w:rsidRPr="00533B68">
          <w:t>2009</w:t>
        </w:r>
        <w:r>
          <w:rPr>
            <w:rFonts w:asciiTheme="minorHAnsi" w:eastAsiaTheme="minorEastAsia" w:hAnsiTheme="minorHAnsi" w:cstheme="minorBidi"/>
            <w:kern w:val="2"/>
            <w:sz w:val="24"/>
            <w:szCs w:val="24"/>
            <w:lang w:eastAsia="en-AU"/>
            <w14:ligatures w14:val="standardContextual"/>
          </w:rPr>
          <w:tab/>
        </w:r>
        <w:r w:rsidRPr="00533B68">
          <w:t>Enforcement—enforcement of Supreme Court order in Magistrates Court</w:t>
        </w:r>
        <w:r>
          <w:tab/>
        </w:r>
        <w:r>
          <w:fldChar w:fldCharType="begin"/>
        </w:r>
        <w:r>
          <w:instrText xml:space="preserve"> PAGEREF _Toc185514256 \h </w:instrText>
        </w:r>
        <w:r>
          <w:fldChar w:fldCharType="separate"/>
        </w:r>
        <w:r>
          <w:t>358</w:t>
        </w:r>
        <w:r>
          <w:fldChar w:fldCharType="end"/>
        </w:r>
      </w:hyperlink>
    </w:p>
    <w:p w14:paraId="7F5CF7C1" w14:textId="12FFA37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7" w:history="1">
        <w:r w:rsidRPr="00533B68">
          <w:t>2010</w:t>
        </w:r>
        <w:r>
          <w:rPr>
            <w:rFonts w:asciiTheme="minorHAnsi" w:eastAsiaTheme="minorEastAsia" w:hAnsiTheme="minorHAnsi" w:cstheme="minorBidi"/>
            <w:kern w:val="2"/>
            <w:sz w:val="24"/>
            <w:szCs w:val="24"/>
            <w:lang w:eastAsia="en-AU"/>
            <w14:ligatures w14:val="standardContextual"/>
          </w:rPr>
          <w:tab/>
        </w:r>
        <w:r w:rsidRPr="00533B68">
          <w:t>Enforcement—enforcement of Magistrates Court order in Supreme Court</w:t>
        </w:r>
        <w:r>
          <w:tab/>
        </w:r>
        <w:r>
          <w:fldChar w:fldCharType="begin"/>
        </w:r>
        <w:r>
          <w:instrText xml:space="preserve"> PAGEREF _Toc185514257 \h </w:instrText>
        </w:r>
        <w:r>
          <w:fldChar w:fldCharType="separate"/>
        </w:r>
        <w:r>
          <w:t>358</w:t>
        </w:r>
        <w:r>
          <w:fldChar w:fldCharType="end"/>
        </w:r>
      </w:hyperlink>
    </w:p>
    <w:p w14:paraId="2C99B40E" w14:textId="742E8BA1"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258" w:history="1">
        <w:r w:rsidRPr="00533B68">
          <w:t>2010A</w:t>
        </w:r>
        <w:r>
          <w:rPr>
            <w:rFonts w:asciiTheme="minorHAnsi" w:eastAsiaTheme="minorEastAsia" w:hAnsiTheme="minorHAnsi" w:cstheme="minorBidi"/>
            <w:kern w:val="2"/>
            <w:sz w:val="24"/>
            <w:szCs w:val="24"/>
            <w:lang w:eastAsia="en-AU"/>
            <w14:ligatures w14:val="standardContextual"/>
          </w:rPr>
          <w:tab/>
        </w:r>
        <w:r w:rsidRPr="00533B68">
          <w:t>Enforcement—certificate of registration of enforceable order under Service and Execution of Process Act</w:t>
        </w:r>
        <w:r>
          <w:tab/>
        </w:r>
        <w:r>
          <w:fldChar w:fldCharType="begin"/>
        </w:r>
        <w:r>
          <w:instrText xml:space="preserve"> PAGEREF _Toc185514258 \h </w:instrText>
        </w:r>
        <w:r>
          <w:fldChar w:fldCharType="separate"/>
        </w:r>
        <w:r>
          <w:t>359</w:t>
        </w:r>
        <w:r>
          <w:fldChar w:fldCharType="end"/>
        </w:r>
      </w:hyperlink>
    </w:p>
    <w:p w14:paraId="1F9D4A31" w14:textId="38AF8E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59" w:history="1">
        <w:r w:rsidRPr="00533B68">
          <w:t>2010B</w:t>
        </w:r>
        <w:r>
          <w:rPr>
            <w:rFonts w:asciiTheme="minorHAnsi" w:eastAsiaTheme="minorEastAsia" w:hAnsiTheme="minorHAnsi" w:cstheme="minorBidi"/>
            <w:kern w:val="2"/>
            <w:sz w:val="24"/>
            <w:szCs w:val="24"/>
            <w:lang w:eastAsia="en-AU"/>
            <w14:ligatures w14:val="standardContextual"/>
          </w:rPr>
          <w:tab/>
        </w:r>
        <w:r w:rsidRPr="00533B68">
          <w:t>Enforcement—assessment of costs for certificate of registration</w:t>
        </w:r>
        <w:r>
          <w:tab/>
        </w:r>
        <w:r>
          <w:fldChar w:fldCharType="begin"/>
        </w:r>
        <w:r>
          <w:instrText xml:space="preserve"> PAGEREF _Toc185514259 \h </w:instrText>
        </w:r>
        <w:r>
          <w:fldChar w:fldCharType="separate"/>
        </w:r>
        <w:r>
          <w:t>361</w:t>
        </w:r>
        <w:r>
          <w:fldChar w:fldCharType="end"/>
        </w:r>
      </w:hyperlink>
    </w:p>
    <w:p w14:paraId="7033E9C1" w14:textId="41F3390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0" w:history="1">
        <w:r w:rsidRPr="00533B68">
          <w:t>2011</w:t>
        </w:r>
        <w:r>
          <w:rPr>
            <w:rFonts w:asciiTheme="minorHAnsi" w:eastAsiaTheme="minorEastAsia" w:hAnsiTheme="minorHAnsi" w:cstheme="minorBidi"/>
            <w:kern w:val="2"/>
            <w:sz w:val="24"/>
            <w:szCs w:val="24"/>
            <w:lang w:eastAsia="en-AU"/>
            <w14:ligatures w14:val="standardContextual"/>
          </w:rPr>
          <w:tab/>
        </w:r>
        <w:r w:rsidRPr="00533B68">
          <w:t>Enforcement—demand for compliance unnecessary</w:t>
        </w:r>
        <w:r>
          <w:tab/>
        </w:r>
        <w:r>
          <w:fldChar w:fldCharType="begin"/>
        </w:r>
        <w:r>
          <w:instrText xml:space="preserve"> PAGEREF _Toc185514260 \h </w:instrText>
        </w:r>
        <w:r>
          <w:fldChar w:fldCharType="separate"/>
        </w:r>
        <w:r>
          <w:t>362</w:t>
        </w:r>
        <w:r>
          <w:fldChar w:fldCharType="end"/>
        </w:r>
      </w:hyperlink>
    </w:p>
    <w:p w14:paraId="129B748C" w14:textId="2AE085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1" w:history="1">
        <w:r w:rsidRPr="00533B68">
          <w:t>2012</w:t>
        </w:r>
        <w:r>
          <w:rPr>
            <w:rFonts w:asciiTheme="minorHAnsi" w:eastAsiaTheme="minorEastAsia" w:hAnsiTheme="minorHAnsi" w:cstheme="minorBidi"/>
            <w:kern w:val="2"/>
            <w:sz w:val="24"/>
            <w:szCs w:val="24"/>
            <w:lang w:eastAsia="en-AU"/>
            <w14:ligatures w14:val="standardContextual"/>
          </w:rPr>
          <w:tab/>
        </w:r>
        <w:r w:rsidRPr="00533B68">
          <w:t>Enforcement—when leave required</w:t>
        </w:r>
        <w:r>
          <w:tab/>
        </w:r>
        <w:r>
          <w:fldChar w:fldCharType="begin"/>
        </w:r>
        <w:r>
          <w:instrText xml:space="preserve"> PAGEREF _Toc185514261 \h </w:instrText>
        </w:r>
        <w:r>
          <w:fldChar w:fldCharType="separate"/>
        </w:r>
        <w:r>
          <w:t>362</w:t>
        </w:r>
        <w:r>
          <w:fldChar w:fldCharType="end"/>
        </w:r>
      </w:hyperlink>
    </w:p>
    <w:p w14:paraId="70D2D3D5" w14:textId="025E5CE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2" w:history="1">
        <w:r w:rsidRPr="00533B68">
          <w:t>2013</w:t>
        </w:r>
        <w:r>
          <w:rPr>
            <w:rFonts w:asciiTheme="minorHAnsi" w:eastAsiaTheme="minorEastAsia" w:hAnsiTheme="minorHAnsi" w:cstheme="minorBidi"/>
            <w:kern w:val="2"/>
            <w:sz w:val="24"/>
            <w:szCs w:val="24"/>
            <w:lang w:eastAsia="en-AU"/>
            <w14:ligatures w14:val="standardContextual"/>
          </w:rPr>
          <w:tab/>
        </w:r>
        <w:r w:rsidRPr="00533B68">
          <w:t>Enforcement—stay</w:t>
        </w:r>
        <w:r>
          <w:tab/>
        </w:r>
        <w:r>
          <w:fldChar w:fldCharType="begin"/>
        </w:r>
        <w:r>
          <w:instrText xml:space="preserve"> PAGEREF _Toc185514262 \h </w:instrText>
        </w:r>
        <w:r>
          <w:fldChar w:fldCharType="separate"/>
        </w:r>
        <w:r>
          <w:t>364</w:t>
        </w:r>
        <w:r>
          <w:fldChar w:fldCharType="end"/>
        </w:r>
      </w:hyperlink>
    </w:p>
    <w:p w14:paraId="63157C53" w14:textId="791F07C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3" w:history="1">
        <w:r w:rsidRPr="00533B68">
          <w:t>2014</w:t>
        </w:r>
        <w:r>
          <w:rPr>
            <w:rFonts w:asciiTheme="minorHAnsi" w:eastAsiaTheme="minorEastAsia" w:hAnsiTheme="minorHAnsi" w:cstheme="minorBidi"/>
            <w:kern w:val="2"/>
            <w:sz w:val="24"/>
            <w:szCs w:val="24"/>
            <w:lang w:eastAsia="en-AU"/>
            <w14:ligatures w14:val="standardContextual"/>
          </w:rPr>
          <w:tab/>
        </w:r>
        <w:r w:rsidRPr="00533B68">
          <w:t>Enforcement—conditional orders</w:t>
        </w:r>
        <w:r>
          <w:tab/>
        </w:r>
        <w:r>
          <w:fldChar w:fldCharType="begin"/>
        </w:r>
        <w:r>
          <w:instrText xml:space="preserve"> PAGEREF _Toc185514263 \h </w:instrText>
        </w:r>
        <w:r>
          <w:fldChar w:fldCharType="separate"/>
        </w:r>
        <w:r>
          <w:t>365</w:t>
        </w:r>
        <w:r>
          <w:fldChar w:fldCharType="end"/>
        </w:r>
      </w:hyperlink>
    </w:p>
    <w:p w14:paraId="4A4F765C" w14:textId="367AFC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4" w:history="1">
        <w:r w:rsidRPr="00533B68">
          <w:t>2015</w:t>
        </w:r>
        <w:r>
          <w:rPr>
            <w:rFonts w:asciiTheme="minorHAnsi" w:eastAsiaTheme="minorEastAsia" w:hAnsiTheme="minorHAnsi" w:cstheme="minorBidi"/>
            <w:kern w:val="2"/>
            <w:sz w:val="24"/>
            <w:szCs w:val="24"/>
            <w:lang w:eastAsia="en-AU"/>
            <w14:ligatures w14:val="standardContextual"/>
          </w:rPr>
          <w:tab/>
        </w:r>
        <w:r w:rsidRPr="00533B68">
          <w:t>Enforcement—service of order and related information</w:t>
        </w:r>
        <w:r>
          <w:tab/>
        </w:r>
        <w:r>
          <w:fldChar w:fldCharType="begin"/>
        </w:r>
        <w:r>
          <w:instrText xml:space="preserve"> PAGEREF _Toc185514264 \h </w:instrText>
        </w:r>
        <w:r>
          <w:fldChar w:fldCharType="separate"/>
        </w:r>
        <w:r>
          <w:t>365</w:t>
        </w:r>
        <w:r>
          <w:fldChar w:fldCharType="end"/>
        </w:r>
      </w:hyperlink>
    </w:p>
    <w:p w14:paraId="657C8B13" w14:textId="15AA938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65" w:history="1">
        <w:r w:rsidR="00AC5392" w:rsidRPr="00533B68">
          <w:t>Division 2.18.2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orders—general</w:t>
        </w:r>
        <w:r w:rsidR="00AC5392" w:rsidRPr="00AC5392">
          <w:rPr>
            <w:vanish/>
          </w:rPr>
          <w:tab/>
        </w:r>
        <w:r w:rsidR="00AC5392" w:rsidRPr="00AC5392">
          <w:rPr>
            <w:vanish/>
          </w:rPr>
          <w:fldChar w:fldCharType="begin"/>
        </w:r>
        <w:r w:rsidR="00AC5392" w:rsidRPr="00AC5392">
          <w:rPr>
            <w:vanish/>
          </w:rPr>
          <w:instrText xml:space="preserve"> PAGEREF _Toc185514265 \h </w:instrText>
        </w:r>
        <w:r w:rsidR="00AC5392" w:rsidRPr="00AC5392">
          <w:rPr>
            <w:vanish/>
          </w:rPr>
        </w:r>
        <w:r w:rsidR="00AC5392" w:rsidRPr="00AC5392">
          <w:rPr>
            <w:vanish/>
          </w:rPr>
          <w:fldChar w:fldCharType="separate"/>
        </w:r>
        <w:r w:rsidR="00AC5392" w:rsidRPr="00AC5392">
          <w:rPr>
            <w:vanish/>
          </w:rPr>
          <w:t>366</w:t>
        </w:r>
        <w:r w:rsidR="00AC5392" w:rsidRPr="00AC5392">
          <w:rPr>
            <w:vanish/>
          </w:rPr>
          <w:fldChar w:fldCharType="end"/>
        </w:r>
      </w:hyperlink>
    </w:p>
    <w:p w14:paraId="75F04811" w14:textId="2746A6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6" w:history="1">
        <w:r w:rsidRPr="00533B68">
          <w:t>2050</w:t>
        </w:r>
        <w:r>
          <w:rPr>
            <w:rFonts w:asciiTheme="minorHAnsi" w:eastAsiaTheme="minorEastAsia" w:hAnsiTheme="minorHAnsi" w:cstheme="minorBidi"/>
            <w:kern w:val="2"/>
            <w:sz w:val="24"/>
            <w:szCs w:val="24"/>
            <w:lang w:eastAsia="en-AU"/>
            <w14:ligatures w14:val="standardContextual"/>
          </w:rPr>
          <w:tab/>
        </w:r>
        <w:r w:rsidRPr="00533B68">
          <w:t>Enforcement orders—content and issue</w:t>
        </w:r>
        <w:r>
          <w:tab/>
        </w:r>
        <w:r>
          <w:fldChar w:fldCharType="begin"/>
        </w:r>
        <w:r>
          <w:instrText xml:space="preserve"> PAGEREF _Toc185514266 \h </w:instrText>
        </w:r>
        <w:r>
          <w:fldChar w:fldCharType="separate"/>
        </w:r>
        <w:r>
          <w:t>366</w:t>
        </w:r>
        <w:r>
          <w:fldChar w:fldCharType="end"/>
        </w:r>
      </w:hyperlink>
    </w:p>
    <w:p w14:paraId="1E09B129" w14:textId="5C7268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7" w:history="1">
        <w:r w:rsidRPr="00533B68">
          <w:t>2051</w:t>
        </w:r>
        <w:r>
          <w:rPr>
            <w:rFonts w:asciiTheme="minorHAnsi" w:eastAsiaTheme="minorEastAsia" w:hAnsiTheme="minorHAnsi" w:cstheme="minorBidi"/>
            <w:kern w:val="2"/>
            <w:sz w:val="24"/>
            <w:szCs w:val="24"/>
            <w:lang w:eastAsia="en-AU"/>
            <w14:ligatures w14:val="standardContextual"/>
          </w:rPr>
          <w:tab/>
        </w:r>
        <w:r w:rsidRPr="00533B68">
          <w:t>Enforcement orders—application to set aside</w:t>
        </w:r>
        <w:r>
          <w:tab/>
        </w:r>
        <w:r>
          <w:fldChar w:fldCharType="begin"/>
        </w:r>
        <w:r>
          <w:instrText xml:space="preserve"> PAGEREF _Toc185514267 \h </w:instrText>
        </w:r>
        <w:r>
          <w:fldChar w:fldCharType="separate"/>
        </w:r>
        <w:r>
          <w:t>368</w:t>
        </w:r>
        <w:r>
          <w:fldChar w:fldCharType="end"/>
        </w:r>
      </w:hyperlink>
    </w:p>
    <w:p w14:paraId="74DE2478" w14:textId="2C14F30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8" w:history="1">
        <w:r w:rsidRPr="00533B68">
          <w:t>2052</w:t>
        </w:r>
        <w:r>
          <w:rPr>
            <w:rFonts w:asciiTheme="minorHAnsi" w:eastAsiaTheme="minorEastAsia" w:hAnsiTheme="minorHAnsi" w:cstheme="minorBidi"/>
            <w:kern w:val="2"/>
            <w:sz w:val="24"/>
            <w:szCs w:val="24"/>
            <w:lang w:eastAsia="en-AU"/>
            <w14:ligatures w14:val="standardContextual"/>
          </w:rPr>
          <w:tab/>
        </w:r>
        <w:r w:rsidRPr="00533B68">
          <w:t>Enforcement orders—duration and renewal of certain enforcement orders given to enforcement officers</w:t>
        </w:r>
        <w:r>
          <w:tab/>
        </w:r>
        <w:r>
          <w:fldChar w:fldCharType="begin"/>
        </w:r>
        <w:r>
          <w:instrText xml:space="preserve"> PAGEREF _Toc185514268 \h </w:instrText>
        </w:r>
        <w:r>
          <w:fldChar w:fldCharType="separate"/>
        </w:r>
        <w:r>
          <w:t>369</w:t>
        </w:r>
        <w:r>
          <w:fldChar w:fldCharType="end"/>
        </w:r>
      </w:hyperlink>
    </w:p>
    <w:p w14:paraId="092A00BD" w14:textId="3ABB2B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69" w:history="1">
        <w:r w:rsidRPr="00533B68">
          <w:t>2053</w:t>
        </w:r>
        <w:r>
          <w:rPr>
            <w:rFonts w:asciiTheme="minorHAnsi" w:eastAsiaTheme="minorEastAsia" w:hAnsiTheme="minorHAnsi" w:cstheme="minorBidi"/>
            <w:kern w:val="2"/>
            <w:sz w:val="24"/>
            <w:szCs w:val="24"/>
            <w:lang w:eastAsia="en-AU"/>
            <w14:ligatures w14:val="standardContextual"/>
          </w:rPr>
          <w:tab/>
        </w:r>
        <w:r w:rsidRPr="00533B68">
          <w:t>Enforcement orders—return by enforcement officer</w:t>
        </w:r>
        <w:r>
          <w:tab/>
        </w:r>
        <w:r>
          <w:fldChar w:fldCharType="begin"/>
        </w:r>
        <w:r>
          <w:instrText xml:space="preserve"> PAGEREF _Toc185514269 \h </w:instrText>
        </w:r>
        <w:r>
          <w:fldChar w:fldCharType="separate"/>
        </w:r>
        <w:r>
          <w:t>370</w:t>
        </w:r>
        <w:r>
          <w:fldChar w:fldCharType="end"/>
        </w:r>
      </w:hyperlink>
    </w:p>
    <w:p w14:paraId="2B6B10ED" w14:textId="398E36C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0" w:history="1">
        <w:r w:rsidRPr="00533B68">
          <w:t>2054</w:t>
        </w:r>
        <w:r>
          <w:rPr>
            <w:rFonts w:asciiTheme="minorHAnsi" w:eastAsiaTheme="minorEastAsia" w:hAnsiTheme="minorHAnsi" w:cstheme="minorBidi"/>
            <w:kern w:val="2"/>
            <w:sz w:val="24"/>
            <w:szCs w:val="24"/>
            <w:lang w:eastAsia="en-AU"/>
            <w14:ligatures w14:val="standardContextual"/>
          </w:rPr>
          <w:tab/>
        </w:r>
        <w:r w:rsidRPr="00533B68">
          <w:t>Enforcement orders—priority</w:t>
        </w:r>
        <w:r>
          <w:tab/>
        </w:r>
        <w:r>
          <w:fldChar w:fldCharType="begin"/>
        </w:r>
        <w:r>
          <w:instrText xml:space="preserve"> PAGEREF _Toc185514270 \h </w:instrText>
        </w:r>
        <w:r>
          <w:fldChar w:fldCharType="separate"/>
        </w:r>
        <w:r>
          <w:t>371</w:t>
        </w:r>
        <w:r>
          <w:fldChar w:fldCharType="end"/>
        </w:r>
      </w:hyperlink>
    </w:p>
    <w:p w14:paraId="45752BC4" w14:textId="1FD7DE9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1" w:history="1">
        <w:r w:rsidRPr="00533B68">
          <w:t>2055</w:t>
        </w:r>
        <w:r>
          <w:rPr>
            <w:rFonts w:asciiTheme="minorHAnsi" w:eastAsiaTheme="minorEastAsia" w:hAnsiTheme="minorHAnsi" w:cstheme="minorBidi"/>
            <w:kern w:val="2"/>
            <w:sz w:val="24"/>
            <w:szCs w:val="24"/>
            <w:lang w:eastAsia="en-AU"/>
            <w14:ligatures w14:val="standardContextual"/>
          </w:rPr>
          <w:tab/>
        </w:r>
        <w:r w:rsidRPr="00533B68">
          <w:t>Enforcement orders—payment under order</w:t>
        </w:r>
        <w:r>
          <w:tab/>
        </w:r>
        <w:r>
          <w:fldChar w:fldCharType="begin"/>
        </w:r>
        <w:r>
          <w:instrText xml:space="preserve"> PAGEREF _Toc185514271 \h </w:instrText>
        </w:r>
        <w:r>
          <w:fldChar w:fldCharType="separate"/>
        </w:r>
        <w:r>
          <w:t>371</w:t>
        </w:r>
        <w:r>
          <w:fldChar w:fldCharType="end"/>
        </w:r>
      </w:hyperlink>
    </w:p>
    <w:p w14:paraId="3B1CC59C" w14:textId="3783E5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2" w:history="1">
        <w:r w:rsidRPr="00533B68">
          <w:t>2056</w:t>
        </w:r>
        <w:r>
          <w:rPr>
            <w:rFonts w:asciiTheme="minorHAnsi" w:eastAsiaTheme="minorEastAsia" w:hAnsiTheme="minorHAnsi" w:cstheme="minorBidi"/>
            <w:kern w:val="2"/>
            <w:sz w:val="24"/>
            <w:szCs w:val="24"/>
            <w:lang w:eastAsia="en-AU"/>
            <w14:ligatures w14:val="standardContextual"/>
          </w:rPr>
          <w:tab/>
        </w:r>
        <w:r w:rsidRPr="00533B68">
          <w:t>Enforcement orders—orders about enforcement</w:t>
        </w:r>
        <w:r>
          <w:tab/>
        </w:r>
        <w:r>
          <w:fldChar w:fldCharType="begin"/>
        </w:r>
        <w:r>
          <w:instrText xml:space="preserve"> PAGEREF _Toc185514272 \h </w:instrText>
        </w:r>
        <w:r>
          <w:fldChar w:fldCharType="separate"/>
        </w:r>
        <w:r>
          <w:t>372</w:t>
        </w:r>
        <w:r>
          <w:fldChar w:fldCharType="end"/>
        </w:r>
      </w:hyperlink>
    </w:p>
    <w:p w14:paraId="59D5CF7B" w14:textId="5A0C4A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3" w:history="1">
        <w:r w:rsidRPr="00533B68">
          <w:t>2057</w:t>
        </w:r>
        <w:r>
          <w:rPr>
            <w:rFonts w:asciiTheme="minorHAnsi" w:eastAsiaTheme="minorEastAsia" w:hAnsiTheme="minorHAnsi" w:cstheme="minorBidi"/>
            <w:kern w:val="2"/>
            <w:sz w:val="24"/>
            <w:szCs w:val="24"/>
            <w:lang w:eastAsia="en-AU"/>
            <w14:ligatures w14:val="standardContextual"/>
          </w:rPr>
          <w:tab/>
        </w:r>
        <w:r w:rsidRPr="00533B68">
          <w:t>Enforcement orders—consecutive and concurrent orders</w:t>
        </w:r>
        <w:r>
          <w:tab/>
        </w:r>
        <w:r>
          <w:fldChar w:fldCharType="begin"/>
        </w:r>
        <w:r>
          <w:instrText xml:space="preserve"> PAGEREF _Toc185514273 \h </w:instrText>
        </w:r>
        <w:r>
          <w:fldChar w:fldCharType="separate"/>
        </w:r>
        <w:r>
          <w:t>372</w:t>
        </w:r>
        <w:r>
          <w:fldChar w:fldCharType="end"/>
        </w:r>
      </w:hyperlink>
    </w:p>
    <w:p w14:paraId="7A858B67" w14:textId="2491AB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4" w:history="1">
        <w:r w:rsidRPr="00533B68">
          <w:t>2058</w:t>
        </w:r>
        <w:r>
          <w:rPr>
            <w:rFonts w:asciiTheme="minorHAnsi" w:eastAsiaTheme="minorEastAsia" w:hAnsiTheme="minorHAnsi" w:cstheme="minorBidi"/>
            <w:kern w:val="2"/>
            <w:sz w:val="24"/>
            <w:szCs w:val="24"/>
            <w:lang w:eastAsia="en-AU"/>
            <w14:ligatures w14:val="standardContextual"/>
          </w:rPr>
          <w:tab/>
        </w:r>
        <w:r w:rsidRPr="00533B68">
          <w:t>Enforcement orders—deceased enforcement debtor</w:t>
        </w:r>
        <w:r>
          <w:tab/>
        </w:r>
        <w:r>
          <w:fldChar w:fldCharType="begin"/>
        </w:r>
        <w:r>
          <w:instrText xml:space="preserve"> PAGEREF _Toc185514274 \h </w:instrText>
        </w:r>
        <w:r>
          <w:fldChar w:fldCharType="separate"/>
        </w:r>
        <w:r>
          <w:t>373</w:t>
        </w:r>
        <w:r>
          <w:fldChar w:fldCharType="end"/>
        </w:r>
      </w:hyperlink>
    </w:p>
    <w:p w14:paraId="7041F9EF" w14:textId="190515C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75" w:history="1">
        <w:r w:rsidR="00AC5392" w:rsidRPr="00533B68">
          <w:t>Division 2.18.3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orders—enforcement hearings</w:t>
        </w:r>
        <w:r w:rsidR="00AC5392" w:rsidRPr="00AC5392">
          <w:rPr>
            <w:vanish/>
          </w:rPr>
          <w:tab/>
        </w:r>
        <w:r w:rsidR="00AC5392" w:rsidRPr="00AC5392">
          <w:rPr>
            <w:vanish/>
          </w:rPr>
          <w:fldChar w:fldCharType="begin"/>
        </w:r>
        <w:r w:rsidR="00AC5392" w:rsidRPr="00AC5392">
          <w:rPr>
            <w:vanish/>
          </w:rPr>
          <w:instrText xml:space="preserve"> PAGEREF _Toc185514275 \h </w:instrText>
        </w:r>
        <w:r w:rsidR="00AC5392" w:rsidRPr="00AC5392">
          <w:rPr>
            <w:vanish/>
          </w:rPr>
        </w:r>
        <w:r w:rsidR="00AC5392" w:rsidRPr="00AC5392">
          <w:rPr>
            <w:vanish/>
          </w:rPr>
          <w:fldChar w:fldCharType="separate"/>
        </w:r>
        <w:r w:rsidR="00AC5392" w:rsidRPr="00AC5392">
          <w:rPr>
            <w:vanish/>
          </w:rPr>
          <w:t>373</w:t>
        </w:r>
        <w:r w:rsidR="00AC5392" w:rsidRPr="00AC5392">
          <w:rPr>
            <w:vanish/>
          </w:rPr>
          <w:fldChar w:fldCharType="end"/>
        </w:r>
      </w:hyperlink>
    </w:p>
    <w:p w14:paraId="2E1E280E" w14:textId="036543F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6" w:history="1">
        <w:r w:rsidRPr="00533B68">
          <w:t>2100</w:t>
        </w:r>
        <w:r>
          <w:rPr>
            <w:rFonts w:asciiTheme="minorHAnsi" w:eastAsiaTheme="minorEastAsia" w:hAnsiTheme="minorHAnsi" w:cstheme="minorBidi"/>
            <w:kern w:val="2"/>
            <w:sz w:val="24"/>
            <w:szCs w:val="24"/>
            <w:lang w:eastAsia="en-AU"/>
            <w14:ligatures w14:val="standardContextual"/>
          </w:rPr>
          <w:tab/>
        </w:r>
        <w:r w:rsidRPr="00533B68">
          <w:t>Enforcement hearing—application by enforcement creditor</w:t>
        </w:r>
        <w:r>
          <w:tab/>
        </w:r>
        <w:r>
          <w:fldChar w:fldCharType="begin"/>
        </w:r>
        <w:r>
          <w:instrText xml:space="preserve"> PAGEREF _Toc185514276 \h </w:instrText>
        </w:r>
        <w:r>
          <w:fldChar w:fldCharType="separate"/>
        </w:r>
        <w:r>
          <w:t>373</w:t>
        </w:r>
        <w:r>
          <w:fldChar w:fldCharType="end"/>
        </w:r>
      </w:hyperlink>
    </w:p>
    <w:p w14:paraId="55F38005" w14:textId="5EEC83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7" w:history="1">
        <w:r w:rsidRPr="00533B68">
          <w:t>2101</w:t>
        </w:r>
        <w:r>
          <w:rPr>
            <w:rFonts w:asciiTheme="minorHAnsi" w:eastAsiaTheme="minorEastAsia" w:hAnsiTheme="minorHAnsi" w:cstheme="minorBidi"/>
            <w:kern w:val="2"/>
            <w:sz w:val="24"/>
            <w:szCs w:val="24"/>
            <w:lang w:eastAsia="en-AU"/>
            <w14:ligatures w14:val="standardContextual"/>
          </w:rPr>
          <w:tab/>
        </w:r>
        <w:r w:rsidRPr="00533B68">
          <w:t>Enforcement hearing—otherwise than on enforcement creditor’s application</w:t>
        </w:r>
        <w:r>
          <w:tab/>
        </w:r>
        <w:r>
          <w:fldChar w:fldCharType="begin"/>
        </w:r>
        <w:r>
          <w:instrText xml:space="preserve"> PAGEREF _Toc185514277 \h </w:instrText>
        </w:r>
        <w:r>
          <w:fldChar w:fldCharType="separate"/>
        </w:r>
        <w:r>
          <w:t>375</w:t>
        </w:r>
        <w:r>
          <w:fldChar w:fldCharType="end"/>
        </w:r>
      </w:hyperlink>
    </w:p>
    <w:p w14:paraId="79831EF9" w14:textId="3286C7E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8" w:history="1">
        <w:r w:rsidRPr="00533B68">
          <w:t>2102</w:t>
        </w:r>
        <w:r>
          <w:rPr>
            <w:rFonts w:asciiTheme="minorHAnsi" w:eastAsiaTheme="minorEastAsia" w:hAnsiTheme="minorHAnsi" w:cstheme="minorBidi"/>
            <w:kern w:val="2"/>
            <w:sz w:val="24"/>
            <w:szCs w:val="24"/>
            <w:lang w:eastAsia="en-AU"/>
            <w14:ligatures w14:val="standardContextual"/>
          </w:rPr>
          <w:tab/>
        </w:r>
        <w:r w:rsidRPr="00533B68">
          <w:t>Enforcement hearing—limit on number of applications</w:t>
        </w:r>
        <w:r>
          <w:tab/>
        </w:r>
        <w:r>
          <w:fldChar w:fldCharType="begin"/>
        </w:r>
        <w:r>
          <w:instrText xml:space="preserve"> PAGEREF _Toc185514278 \h </w:instrText>
        </w:r>
        <w:r>
          <w:fldChar w:fldCharType="separate"/>
        </w:r>
        <w:r>
          <w:t>375</w:t>
        </w:r>
        <w:r>
          <w:fldChar w:fldCharType="end"/>
        </w:r>
      </w:hyperlink>
    </w:p>
    <w:p w14:paraId="36482A86" w14:textId="77B06F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79" w:history="1">
        <w:r w:rsidRPr="00533B68">
          <w:t>2103</w:t>
        </w:r>
        <w:r>
          <w:rPr>
            <w:rFonts w:asciiTheme="minorHAnsi" w:eastAsiaTheme="minorEastAsia" w:hAnsiTheme="minorHAnsi" w:cstheme="minorBidi"/>
            <w:kern w:val="2"/>
            <w:sz w:val="24"/>
            <w:szCs w:val="24"/>
            <w:lang w:eastAsia="en-AU"/>
            <w14:ligatures w14:val="standardContextual"/>
          </w:rPr>
          <w:tab/>
        </w:r>
        <w:r w:rsidRPr="00533B68">
          <w:t>Enforcement hearing—order for hearing etc</w:t>
        </w:r>
        <w:r>
          <w:tab/>
        </w:r>
        <w:r>
          <w:fldChar w:fldCharType="begin"/>
        </w:r>
        <w:r>
          <w:instrText xml:space="preserve"> PAGEREF _Toc185514279 \h </w:instrText>
        </w:r>
        <w:r>
          <w:fldChar w:fldCharType="separate"/>
        </w:r>
        <w:r>
          <w:t>376</w:t>
        </w:r>
        <w:r>
          <w:fldChar w:fldCharType="end"/>
        </w:r>
      </w:hyperlink>
    </w:p>
    <w:p w14:paraId="09941819" w14:textId="46B3F3E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0" w:history="1">
        <w:r w:rsidRPr="00533B68">
          <w:t>2104</w:t>
        </w:r>
        <w:r>
          <w:rPr>
            <w:rFonts w:asciiTheme="minorHAnsi" w:eastAsiaTheme="minorEastAsia" w:hAnsiTheme="minorHAnsi" w:cstheme="minorBidi"/>
            <w:kern w:val="2"/>
            <w:sz w:val="24"/>
            <w:szCs w:val="24"/>
            <w:lang w:eastAsia="en-AU"/>
            <w14:ligatures w14:val="standardContextual"/>
          </w:rPr>
          <w:tab/>
        </w:r>
        <w:r w:rsidRPr="00533B68">
          <w:t>Enforcement hearing—who may be directed to attend by enforcement hearing subpoena</w:t>
        </w:r>
        <w:r>
          <w:tab/>
        </w:r>
        <w:r>
          <w:fldChar w:fldCharType="begin"/>
        </w:r>
        <w:r>
          <w:instrText xml:space="preserve"> PAGEREF _Toc185514280 \h </w:instrText>
        </w:r>
        <w:r>
          <w:fldChar w:fldCharType="separate"/>
        </w:r>
        <w:r>
          <w:t>377</w:t>
        </w:r>
        <w:r>
          <w:fldChar w:fldCharType="end"/>
        </w:r>
      </w:hyperlink>
    </w:p>
    <w:p w14:paraId="116D1A27" w14:textId="00A189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1" w:history="1">
        <w:r w:rsidRPr="00533B68">
          <w:t>2105</w:t>
        </w:r>
        <w:r>
          <w:rPr>
            <w:rFonts w:asciiTheme="minorHAnsi" w:eastAsiaTheme="minorEastAsia" w:hAnsiTheme="minorHAnsi" w:cstheme="minorBidi"/>
            <w:kern w:val="2"/>
            <w:sz w:val="24"/>
            <w:szCs w:val="24"/>
            <w:lang w:eastAsia="en-AU"/>
            <w14:ligatures w14:val="standardContextual"/>
          </w:rPr>
          <w:tab/>
        </w:r>
        <w:r w:rsidRPr="00533B68">
          <w:t>Enforcement hearing—service of enforcement hearing subpoena</w:t>
        </w:r>
        <w:r>
          <w:tab/>
        </w:r>
        <w:r>
          <w:fldChar w:fldCharType="begin"/>
        </w:r>
        <w:r>
          <w:instrText xml:space="preserve"> PAGEREF _Toc185514281 \h </w:instrText>
        </w:r>
        <w:r>
          <w:fldChar w:fldCharType="separate"/>
        </w:r>
        <w:r>
          <w:t>378</w:t>
        </w:r>
        <w:r>
          <w:fldChar w:fldCharType="end"/>
        </w:r>
      </w:hyperlink>
    </w:p>
    <w:p w14:paraId="2190FDF2" w14:textId="50140CF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2" w:history="1">
        <w:r w:rsidRPr="00533B68">
          <w:t>2106</w:t>
        </w:r>
        <w:r>
          <w:rPr>
            <w:rFonts w:asciiTheme="minorHAnsi" w:eastAsiaTheme="minorEastAsia" w:hAnsiTheme="minorHAnsi" w:cstheme="minorBidi"/>
            <w:kern w:val="2"/>
            <w:sz w:val="24"/>
            <w:szCs w:val="24"/>
            <w:lang w:eastAsia="en-AU"/>
            <w14:ligatures w14:val="standardContextual"/>
          </w:rPr>
          <w:tab/>
        </w:r>
        <w:r w:rsidRPr="00533B68">
          <w:t>Enforcement hearing—statement of enforcement debtor’s financial position</w:t>
        </w:r>
        <w:r>
          <w:tab/>
        </w:r>
        <w:r>
          <w:fldChar w:fldCharType="begin"/>
        </w:r>
        <w:r>
          <w:instrText xml:space="preserve"> PAGEREF _Toc185514282 \h </w:instrText>
        </w:r>
        <w:r>
          <w:fldChar w:fldCharType="separate"/>
        </w:r>
        <w:r>
          <w:t>378</w:t>
        </w:r>
        <w:r>
          <w:fldChar w:fldCharType="end"/>
        </w:r>
      </w:hyperlink>
    </w:p>
    <w:p w14:paraId="526AF418" w14:textId="2C425D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3" w:history="1">
        <w:r w:rsidRPr="00533B68">
          <w:t>2107</w:t>
        </w:r>
        <w:r>
          <w:rPr>
            <w:rFonts w:asciiTheme="minorHAnsi" w:eastAsiaTheme="minorEastAsia" w:hAnsiTheme="minorHAnsi" w:cstheme="minorBidi"/>
            <w:kern w:val="2"/>
            <w:sz w:val="24"/>
            <w:szCs w:val="24"/>
            <w:lang w:eastAsia="en-AU"/>
            <w14:ligatures w14:val="standardContextual"/>
          </w:rPr>
          <w:tab/>
        </w:r>
        <w:r w:rsidRPr="00533B68">
          <w:t>Enforcement hearing—subpoena to other person</w:t>
        </w:r>
        <w:r>
          <w:tab/>
        </w:r>
        <w:r>
          <w:fldChar w:fldCharType="begin"/>
        </w:r>
        <w:r>
          <w:instrText xml:space="preserve"> PAGEREF _Toc185514283 \h </w:instrText>
        </w:r>
        <w:r>
          <w:fldChar w:fldCharType="separate"/>
        </w:r>
        <w:r>
          <w:t>379</w:t>
        </w:r>
        <w:r>
          <w:fldChar w:fldCharType="end"/>
        </w:r>
      </w:hyperlink>
    </w:p>
    <w:p w14:paraId="6C232BFC" w14:textId="091C74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4" w:history="1">
        <w:r w:rsidRPr="00533B68">
          <w:t>2108</w:t>
        </w:r>
        <w:r>
          <w:rPr>
            <w:rFonts w:asciiTheme="minorHAnsi" w:eastAsiaTheme="minorEastAsia" w:hAnsiTheme="minorHAnsi" w:cstheme="minorBidi"/>
            <w:kern w:val="2"/>
            <w:sz w:val="24"/>
            <w:szCs w:val="24"/>
            <w:lang w:eastAsia="en-AU"/>
            <w14:ligatures w14:val="standardContextual"/>
          </w:rPr>
          <w:tab/>
        </w:r>
        <w:r w:rsidRPr="00533B68">
          <w:t>Enforcement hearing—meeting of parties</w:t>
        </w:r>
        <w:r>
          <w:tab/>
        </w:r>
        <w:r>
          <w:fldChar w:fldCharType="begin"/>
        </w:r>
        <w:r>
          <w:instrText xml:space="preserve"> PAGEREF _Toc185514284 \h </w:instrText>
        </w:r>
        <w:r>
          <w:fldChar w:fldCharType="separate"/>
        </w:r>
        <w:r>
          <w:t>379</w:t>
        </w:r>
        <w:r>
          <w:fldChar w:fldCharType="end"/>
        </w:r>
      </w:hyperlink>
    </w:p>
    <w:p w14:paraId="1C5B58A3" w14:textId="23A75D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5" w:history="1">
        <w:r w:rsidRPr="00533B68">
          <w:t>2109</w:t>
        </w:r>
        <w:r>
          <w:rPr>
            <w:rFonts w:asciiTheme="minorHAnsi" w:eastAsiaTheme="minorEastAsia" w:hAnsiTheme="minorHAnsi" w:cstheme="minorBidi"/>
            <w:kern w:val="2"/>
            <w:sz w:val="24"/>
            <w:szCs w:val="24"/>
            <w:lang w:eastAsia="en-AU"/>
            <w14:ligatures w14:val="standardContextual"/>
          </w:rPr>
          <w:tab/>
        </w:r>
        <w:r w:rsidRPr="00533B68">
          <w:t>Enforcement hearing—examination</w:t>
        </w:r>
        <w:r>
          <w:tab/>
        </w:r>
        <w:r>
          <w:fldChar w:fldCharType="begin"/>
        </w:r>
        <w:r>
          <w:instrText xml:space="preserve"> PAGEREF _Toc185514285 \h </w:instrText>
        </w:r>
        <w:r>
          <w:fldChar w:fldCharType="separate"/>
        </w:r>
        <w:r>
          <w:t>380</w:t>
        </w:r>
        <w:r>
          <w:fldChar w:fldCharType="end"/>
        </w:r>
      </w:hyperlink>
    </w:p>
    <w:p w14:paraId="776422E1" w14:textId="66BDF7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6" w:history="1">
        <w:r w:rsidRPr="00533B68">
          <w:t>2110</w:t>
        </w:r>
        <w:r>
          <w:rPr>
            <w:rFonts w:asciiTheme="minorHAnsi" w:eastAsiaTheme="minorEastAsia" w:hAnsiTheme="minorHAnsi" w:cstheme="minorBidi"/>
            <w:kern w:val="2"/>
            <w:sz w:val="24"/>
            <w:szCs w:val="24"/>
            <w:lang w:eastAsia="en-AU"/>
            <w14:ligatures w14:val="standardContextual"/>
          </w:rPr>
          <w:tab/>
        </w:r>
        <w:r w:rsidRPr="00533B68">
          <w:t>Enforcement hearing—enforcement hearing warrant issue</w:t>
        </w:r>
        <w:r>
          <w:tab/>
        </w:r>
        <w:r>
          <w:fldChar w:fldCharType="begin"/>
        </w:r>
        <w:r>
          <w:instrText xml:space="preserve"> PAGEREF _Toc185514286 \h </w:instrText>
        </w:r>
        <w:r>
          <w:fldChar w:fldCharType="separate"/>
        </w:r>
        <w:r>
          <w:t>382</w:t>
        </w:r>
        <w:r>
          <w:fldChar w:fldCharType="end"/>
        </w:r>
      </w:hyperlink>
    </w:p>
    <w:p w14:paraId="579AFE62" w14:textId="20C3D9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87" w:history="1">
        <w:r w:rsidRPr="00533B68">
          <w:t>2111</w:t>
        </w:r>
        <w:r>
          <w:rPr>
            <w:rFonts w:asciiTheme="minorHAnsi" w:eastAsiaTheme="minorEastAsia" w:hAnsiTheme="minorHAnsi" w:cstheme="minorBidi"/>
            <w:kern w:val="2"/>
            <w:sz w:val="24"/>
            <w:szCs w:val="24"/>
            <w:lang w:eastAsia="en-AU"/>
            <w14:ligatures w14:val="standardContextual"/>
          </w:rPr>
          <w:tab/>
        </w:r>
        <w:r w:rsidRPr="00533B68">
          <w:t>Enforcement hearing—enforcement hearing warrant contents etc</w:t>
        </w:r>
        <w:r>
          <w:tab/>
        </w:r>
        <w:r>
          <w:fldChar w:fldCharType="begin"/>
        </w:r>
        <w:r>
          <w:instrText xml:space="preserve"> PAGEREF _Toc185514287 \h </w:instrText>
        </w:r>
        <w:r>
          <w:fldChar w:fldCharType="separate"/>
        </w:r>
        <w:r>
          <w:t>383</w:t>
        </w:r>
        <w:r>
          <w:fldChar w:fldCharType="end"/>
        </w:r>
      </w:hyperlink>
    </w:p>
    <w:p w14:paraId="701DDE20" w14:textId="14723529"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288" w:history="1">
        <w:r w:rsidRPr="00533B68">
          <w:t>2112</w:t>
        </w:r>
        <w:r>
          <w:rPr>
            <w:rFonts w:asciiTheme="minorHAnsi" w:eastAsiaTheme="minorEastAsia" w:hAnsiTheme="minorHAnsi" w:cstheme="minorBidi"/>
            <w:kern w:val="2"/>
            <w:sz w:val="24"/>
            <w:szCs w:val="24"/>
            <w:lang w:eastAsia="en-AU"/>
            <w14:ligatures w14:val="standardContextual"/>
          </w:rPr>
          <w:tab/>
        </w:r>
        <w:r w:rsidRPr="00533B68">
          <w:t>Enforcement hearing—orders</w:t>
        </w:r>
        <w:r>
          <w:tab/>
        </w:r>
        <w:r>
          <w:fldChar w:fldCharType="begin"/>
        </w:r>
        <w:r>
          <w:instrText xml:space="preserve"> PAGEREF _Toc185514288 \h </w:instrText>
        </w:r>
        <w:r>
          <w:fldChar w:fldCharType="separate"/>
        </w:r>
        <w:r>
          <w:t>385</w:t>
        </w:r>
        <w:r>
          <w:fldChar w:fldCharType="end"/>
        </w:r>
      </w:hyperlink>
    </w:p>
    <w:p w14:paraId="44DF5A60" w14:textId="79CE7A5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289" w:history="1">
        <w:r w:rsidR="00AC5392" w:rsidRPr="00533B68">
          <w:t>Division 2.18.4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orders—instalment orders</w:t>
        </w:r>
        <w:r w:rsidR="00AC5392" w:rsidRPr="00AC5392">
          <w:rPr>
            <w:vanish/>
          </w:rPr>
          <w:tab/>
        </w:r>
        <w:r w:rsidR="00AC5392" w:rsidRPr="00AC5392">
          <w:rPr>
            <w:vanish/>
          </w:rPr>
          <w:fldChar w:fldCharType="begin"/>
        </w:r>
        <w:r w:rsidR="00AC5392" w:rsidRPr="00AC5392">
          <w:rPr>
            <w:vanish/>
          </w:rPr>
          <w:instrText xml:space="preserve"> PAGEREF _Toc185514289 \h </w:instrText>
        </w:r>
        <w:r w:rsidR="00AC5392" w:rsidRPr="00AC5392">
          <w:rPr>
            <w:vanish/>
          </w:rPr>
        </w:r>
        <w:r w:rsidR="00AC5392" w:rsidRPr="00AC5392">
          <w:rPr>
            <w:vanish/>
          </w:rPr>
          <w:fldChar w:fldCharType="separate"/>
        </w:r>
        <w:r w:rsidR="00AC5392" w:rsidRPr="00AC5392">
          <w:rPr>
            <w:vanish/>
          </w:rPr>
          <w:t>387</w:t>
        </w:r>
        <w:r w:rsidR="00AC5392" w:rsidRPr="00AC5392">
          <w:rPr>
            <w:vanish/>
          </w:rPr>
          <w:fldChar w:fldCharType="end"/>
        </w:r>
      </w:hyperlink>
    </w:p>
    <w:p w14:paraId="479AEC51" w14:textId="7C6E0F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0" w:history="1">
        <w:r w:rsidRPr="00533B68">
          <w:t>2150</w:t>
        </w:r>
        <w:r>
          <w:rPr>
            <w:rFonts w:asciiTheme="minorHAnsi" w:eastAsiaTheme="minorEastAsia" w:hAnsiTheme="minorHAnsi" w:cstheme="minorBidi"/>
            <w:kern w:val="2"/>
            <w:sz w:val="24"/>
            <w:szCs w:val="24"/>
            <w:lang w:eastAsia="en-AU"/>
            <w14:ligatures w14:val="standardContextual"/>
          </w:rPr>
          <w:tab/>
        </w:r>
        <w:r w:rsidRPr="00533B68">
          <w:t>Instalment order—making</w:t>
        </w:r>
        <w:r>
          <w:tab/>
        </w:r>
        <w:r>
          <w:fldChar w:fldCharType="begin"/>
        </w:r>
        <w:r>
          <w:instrText xml:space="preserve"> PAGEREF _Toc185514290 \h </w:instrText>
        </w:r>
        <w:r>
          <w:fldChar w:fldCharType="separate"/>
        </w:r>
        <w:r>
          <w:t>387</w:t>
        </w:r>
        <w:r>
          <w:fldChar w:fldCharType="end"/>
        </w:r>
      </w:hyperlink>
    </w:p>
    <w:p w14:paraId="1D68B84B" w14:textId="254C14A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1" w:history="1">
        <w:r w:rsidRPr="00533B68">
          <w:t>2151</w:t>
        </w:r>
        <w:r>
          <w:rPr>
            <w:rFonts w:asciiTheme="minorHAnsi" w:eastAsiaTheme="minorEastAsia" w:hAnsiTheme="minorHAnsi" w:cstheme="minorBidi"/>
            <w:kern w:val="2"/>
            <w:sz w:val="24"/>
            <w:szCs w:val="24"/>
            <w:lang w:eastAsia="en-AU"/>
            <w14:ligatures w14:val="standardContextual"/>
          </w:rPr>
          <w:tab/>
        </w:r>
        <w:r w:rsidRPr="00533B68">
          <w:t>Instalment order—application by enforcement debtor</w:t>
        </w:r>
        <w:r>
          <w:tab/>
        </w:r>
        <w:r>
          <w:fldChar w:fldCharType="begin"/>
        </w:r>
        <w:r>
          <w:instrText xml:space="preserve"> PAGEREF _Toc185514291 \h </w:instrText>
        </w:r>
        <w:r>
          <w:fldChar w:fldCharType="separate"/>
        </w:r>
        <w:r>
          <w:t>387</w:t>
        </w:r>
        <w:r>
          <w:fldChar w:fldCharType="end"/>
        </w:r>
      </w:hyperlink>
    </w:p>
    <w:p w14:paraId="5572D90E" w14:textId="72C0C4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2" w:history="1">
        <w:r w:rsidRPr="00533B68">
          <w:t>2152</w:t>
        </w:r>
        <w:r>
          <w:rPr>
            <w:rFonts w:asciiTheme="minorHAnsi" w:eastAsiaTheme="minorEastAsia" w:hAnsiTheme="minorHAnsi" w:cstheme="minorBidi"/>
            <w:kern w:val="2"/>
            <w:sz w:val="24"/>
            <w:szCs w:val="24"/>
            <w:lang w:eastAsia="en-AU"/>
            <w14:ligatures w14:val="standardContextual"/>
          </w:rPr>
          <w:tab/>
        </w:r>
        <w:r w:rsidRPr="00533B68">
          <w:t>Instalment order—when application by enforcement debtor requires leave</w:t>
        </w:r>
        <w:r>
          <w:tab/>
        </w:r>
        <w:r>
          <w:fldChar w:fldCharType="begin"/>
        </w:r>
        <w:r>
          <w:instrText xml:space="preserve"> PAGEREF _Toc185514292 \h </w:instrText>
        </w:r>
        <w:r>
          <w:fldChar w:fldCharType="separate"/>
        </w:r>
        <w:r>
          <w:t>389</w:t>
        </w:r>
        <w:r>
          <w:fldChar w:fldCharType="end"/>
        </w:r>
      </w:hyperlink>
    </w:p>
    <w:p w14:paraId="31FDD6B0" w14:textId="683786F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3" w:history="1">
        <w:r w:rsidRPr="00533B68">
          <w:t>2153</w:t>
        </w:r>
        <w:r>
          <w:rPr>
            <w:rFonts w:asciiTheme="minorHAnsi" w:eastAsiaTheme="minorEastAsia" w:hAnsiTheme="minorHAnsi" w:cstheme="minorBidi"/>
            <w:kern w:val="2"/>
            <w:sz w:val="24"/>
            <w:szCs w:val="24"/>
            <w:lang w:eastAsia="en-AU"/>
            <w14:ligatures w14:val="standardContextual"/>
          </w:rPr>
          <w:tab/>
        </w:r>
        <w:r w:rsidRPr="00533B68">
          <w:t>Instalment order—application by enforcement creditor</w:t>
        </w:r>
        <w:r>
          <w:tab/>
        </w:r>
        <w:r>
          <w:fldChar w:fldCharType="begin"/>
        </w:r>
        <w:r>
          <w:instrText xml:space="preserve"> PAGEREF _Toc185514293 \h </w:instrText>
        </w:r>
        <w:r>
          <w:fldChar w:fldCharType="separate"/>
        </w:r>
        <w:r>
          <w:t>390</w:t>
        </w:r>
        <w:r>
          <w:fldChar w:fldCharType="end"/>
        </w:r>
      </w:hyperlink>
    </w:p>
    <w:p w14:paraId="7221E74A" w14:textId="354115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4" w:history="1">
        <w:r w:rsidRPr="00533B68">
          <w:t>2154</w:t>
        </w:r>
        <w:r>
          <w:rPr>
            <w:rFonts w:asciiTheme="minorHAnsi" w:eastAsiaTheme="minorEastAsia" w:hAnsiTheme="minorHAnsi" w:cstheme="minorBidi"/>
            <w:kern w:val="2"/>
            <w:sz w:val="24"/>
            <w:szCs w:val="24"/>
            <w:lang w:eastAsia="en-AU"/>
            <w14:ligatures w14:val="standardContextual"/>
          </w:rPr>
          <w:tab/>
        </w:r>
        <w:r w:rsidRPr="00533B68">
          <w:t>Instalment order—relevant considerations</w:t>
        </w:r>
        <w:r>
          <w:tab/>
        </w:r>
        <w:r>
          <w:fldChar w:fldCharType="begin"/>
        </w:r>
        <w:r>
          <w:instrText xml:space="preserve"> PAGEREF _Toc185514294 \h </w:instrText>
        </w:r>
        <w:r>
          <w:fldChar w:fldCharType="separate"/>
        </w:r>
        <w:r>
          <w:t>391</w:t>
        </w:r>
        <w:r>
          <w:fldChar w:fldCharType="end"/>
        </w:r>
      </w:hyperlink>
    </w:p>
    <w:p w14:paraId="19B2FB6B" w14:textId="1CE1FD8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5" w:history="1">
        <w:r w:rsidRPr="00533B68">
          <w:t>2155</w:t>
        </w:r>
        <w:r>
          <w:rPr>
            <w:rFonts w:asciiTheme="minorHAnsi" w:eastAsiaTheme="minorEastAsia" w:hAnsiTheme="minorHAnsi" w:cstheme="minorBidi"/>
            <w:kern w:val="2"/>
            <w:sz w:val="24"/>
            <w:szCs w:val="24"/>
            <w:lang w:eastAsia="en-AU"/>
            <w14:ligatures w14:val="standardContextual"/>
          </w:rPr>
          <w:tab/>
        </w:r>
        <w:r w:rsidRPr="00533B68">
          <w:t>Instalment order—stay of enforcement</w:t>
        </w:r>
        <w:r>
          <w:tab/>
        </w:r>
        <w:r>
          <w:fldChar w:fldCharType="begin"/>
        </w:r>
        <w:r>
          <w:instrText xml:space="preserve"> PAGEREF _Toc185514295 \h </w:instrText>
        </w:r>
        <w:r>
          <w:fldChar w:fldCharType="separate"/>
        </w:r>
        <w:r>
          <w:t>392</w:t>
        </w:r>
        <w:r>
          <w:fldChar w:fldCharType="end"/>
        </w:r>
      </w:hyperlink>
    </w:p>
    <w:p w14:paraId="02640354" w14:textId="24C808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6" w:history="1">
        <w:r w:rsidRPr="00533B68">
          <w:t>2156</w:t>
        </w:r>
        <w:r>
          <w:rPr>
            <w:rFonts w:asciiTheme="minorHAnsi" w:eastAsiaTheme="minorEastAsia" w:hAnsiTheme="minorHAnsi" w:cstheme="minorBidi"/>
            <w:kern w:val="2"/>
            <w:sz w:val="24"/>
            <w:szCs w:val="24"/>
            <w:lang w:eastAsia="en-AU"/>
            <w14:ligatures w14:val="standardContextual"/>
          </w:rPr>
          <w:tab/>
        </w:r>
        <w:r w:rsidRPr="00533B68">
          <w:t>Instalment order—content and issue</w:t>
        </w:r>
        <w:r>
          <w:tab/>
        </w:r>
        <w:r>
          <w:fldChar w:fldCharType="begin"/>
        </w:r>
        <w:r>
          <w:instrText xml:space="preserve"> PAGEREF _Toc185514296 \h </w:instrText>
        </w:r>
        <w:r>
          <w:fldChar w:fldCharType="separate"/>
        </w:r>
        <w:r>
          <w:t>392</w:t>
        </w:r>
        <w:r>
          <w:fldChar w:fldCharType="end"/>
        </w:r>
      </w:hyperlink>
    </w:p>
    <w:p w14:paraId="51E05D9E" w14:textId="290745E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7" w:history="1">
        <w:r w:rsidRPr="00533B68">
          <w:t>2157</w:t>
        </w:r>
        <w:r>
          <w:rPr>
            <w:rFonts w:asciiTheme="minorHAnsi" w:eastAsiaTheme="minorEastAsia" w:hAnsiTheme="minorHAnsi" w:cstheme="minorBidi"/>
            <w:kern w:val="2"/>
            <w:sz w:val="24"/>
            <w:szCs w:val="24"/>
            <w:lang w:eastAsia="en-AU"/>
            <w14:ligatures w14:val="standardContextual"/>
          </w:rPr>
          <w:tab/>
        </w:r>
        <w:r w:rsidRPr="00533B68">
          <w:t>Instalment order—instalment order agreement</w:t>
        </w:r>
        <w:r>
          <w:tab/>
        </w:r>
        <w:r>
          <w:fldChar w:fldCharType="begin"/>
        </w:r>
        <w:r>
          <w:instrText xml:space="preserve"> PAGEREF _Toc185514297 \h </w:instrText>
        </w:r>
        <w:r>
          <w:fldChar w:fldCharType="separate"/>
        </w:r>
        <w:r>
          <w:t>393</w:t>
        </w:r>
        <w:r>
          <w:fldChar w:fldCharType="end"/>
        </w:r>
      </w:hyperlink>
    </w:p>
    <w:p w14:paraId="277467C5" w14:textId="1711215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8" w:history="1">
        <w:r w:rsidRPr="00533B68">
          <w:t>2158</w:t>
        </w:r>
        <w:r>
          <w:rPr>
            <w:rFonts w:asciiTheme="minorHAnsi" w:eastAsiaTheme="minorEastAsia" w:hAnsiTheme="minorHAnsi" w:cstheme="minorBidi"/>
            <w:kern w:val="2"/>
            <w:sz w:val="24"/>
            <w:szCs w:val="24"/>
            <w:lang w:eastAsia="en-AU"/>
            <w14:ligatures w14:val="standardContextual"/>
          </w:rPr>
          <w:tab/>
        </w:r>
        <w:r w:rsidRPr="00533B68">
          <w:t>Instalment order—service</w:t>
        </w:r>
        <w:r>
          <w:tab/>
        </w:r>
        <w:r>
          <w:fldChar w:fldCharType="begin"/>
        </w:r>
        <w:r>
          <w:instrText xml:space="preserve"> PAGEREF _Toc185514298 \h </w:instrText>
        </w:r>
        <w:r>
          <w:fldChar w:fldCharType="separate"/>
        </w:r>
        <w:r>
          <w:t>394</w:t>
        </w:r>
        <w:r>
          <w:fldChar w:fldCharType="end"/>
        </w:r>
      </w:hyperlink>
    </w:p>
    <w:p w14:paraId="37BDB43A" w14:textId="07397E9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299" w:history="1">
        <w:r w:rsidRPr="00533B68">
          <w:t>2159</w:t>
        </w:r>
        <w:r>
          <w:rPr>
            <w:rFonts w:asciiTheme="minorHAnsi" w:eastAsiaTheme="minorEastAsia" w:hAnsiTheme="minorHAnsi" w:cstheme="minorBidi"/>
            <w:kern w:val="2"/>
            <w:sz w:val="24"/>
            <w:szCs w:val="24"/>
            <w:lang w:eastAsia="en-AU"/>
            <w14:ligatures w14:val="standardContextual"/>
          </w:rPr>
          <w:tab/>
        </w:r>
        <w:r w:rsidRPr="00533B68">
          <w:t>Instalment order—no other enforcement while in force</w:t>
        </w:r>
        <w:r>
          <w:tab/>
        </w:r>
        <w:r>
          <w:fldChar w:fldCharType="begin"/>
        </w:r>
        <w:r>
          <w:instrText xml:space="preserve"> PAGEREF _Toc185514299 \h </w:instrText>
        </w:r>
        <w:r>
          <w:fldChar w:fldCharType="separate"/>
        </w:r>
        <w:r>
          <w:t>394</w:t>
        </w:r>
        <w:r>
          <w:fldChar w:fldCharType="end"/>
        </w:r>
      </w:hyperlink>
    </w:p>
    <w:p w14:paraId="03B7EFBD" w14:textId="43BB56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0" w:history="1">
        <w:r w:rsidRPr="00533B68">
          <w:t>2160</w:t>
        </w:r>
        <w:r>
          <w:rPr>
            <w:rFonts w:asciiTheme="minorHAnsi" w:eastAsiaTheme="minorEastAsia" w:hAnsiTheme="minorHAnsi" w:cstheme="minorBidi"/>
            <w:kern w:val="2"/>
            <w:sz w:val="24"/>
            <w:szCs w:val="24"/>
            <w:lang w:eastAsia="en-AU"/>
            <w14:ligatures w14:val="standardContextual"/>
          </w:rPr>
          <w:tab/>
        </w:r>
        <w:r w:rsidRPr="00533B68">
          <w:t>Instalment order—amending, suspending or setting aside</w:t>
        </w:r>
        <w:r>
          <w:tab/>
        </w:r>
        <w:r>
          <w:fldChar w:fldCharType="begin"/>
        </w:r>
        <w:r>
          <w:instrText xml:space="preserve"> PAGEREF _Toc185514300 \h </w:instrText>
        </w:r>
        <w:r>
          <w:fldChar w:fldCharType="separate"/>
        </w:r>
        <w:r>
          <w:t>395</w:t>
        </w:r>
        <w:r>
          <w:fldChar w:fldCharType="end"/>
        </w:r>
      </w:hyperlink>
    </w:p>
    <w:p w14:paraId="4274D0E5" w14:textId="04E21F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1" w:history="1">
        <w:r w:rsidRPr="00533B68">
          <w:t>2161</w:t>
        </w:r>
        <w:r>
          <w:rPr>
            <w:rFonts w:asciiTheme="minorHAnsi" w:eastAsiaTheme="minorEastAsia" w:hAnsiTheme="minorHAnsi" w:cstheme="minorBidi"/>
            <w:kern w:val="2"/>
            <w:sz w:val="24"/>
            <w:szCs w:val="24"/>
            <w:lang w:eastAsia="en-AU"/>
            <w14:ligatures w14:val="standardContextual"/>
          </w:rPr>
          <w:tab/>
        </w:r>
        <w:r w:rsidRPr="00533B68">
          <w:t>Instalment order—ceasing to have effect other than for nonpayment</w:t>
        </w:r>
        <w:r>
          <w:tab/>
        </w:r>
        <w:r>
          <w:fldChar w:fldCharType="begin"/>
        </w:r>
        <w:r>
          <w:instrText xml:space="preserve"> PAGEREF _Toc185514301 \h </w:instrText>
        </w:r>
        <w:r>
          <w:fldChar w:fldCharType="separate"/>
        </w:r>
        <w:r>
          <w:t>396</w:t>
        </w:r>
        <w:r>
          <w:fldChar w:fldCharType="end"/>
        </w:r>
      </w:hyperlink>
    </w:p>
    <w:p w14:paraId="167EB39E" w14:textId="71E209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2" w:history="1">
        <w:r w:rsidRPr="00533B68">
          <w:t>2162</w:t>
        </w:r>
        <w:r>
          <w:rPr>
            <w:rFonts w:asciiTheme="minorHAnsi" w:eastAsiaTheme="minorEastAsia" w:hAnsiTheme="minorHAnsi" w:cstheme="minorBidi"/>
            <w:kern w:val="2"/>
            <w:sz w:val="24"/>
            <w:szCs w:val="24"/>
            <w:lang w:eastAsia="en-AU"/>
            <w14:ligatures w14:val="standardContextual"/>
          </w:rPr>
          <w:tab/>
        </w:r>
        <w:r w:rsidRPr="00533B68">
          <w:t>Instalment order—ceasing to have effect for nonpayment</w:t>
        </w:r>
        <w:r>
          <w:tab/>
        </w:r>
        <w:r>
          <w:fldChar w:fldCharType="begin"/>
        </w:r>
        <w:r>
          <w:instrText xml:space="preserve"> PAGEREF _Toc185514302 \h </w:instrText>
        </w:r>
        <w:r>
          <w:fldChar w:fldCharType="separate"/>
        </w:r>
        <w:r>
          <w:t>397</w:t>
        </w:r>
        <w:r>
          <w:fldChar w:fldCharType="end"/>
        </w:r>
      </w:hyperlink>
    </w:p>
    <w:p w14:paraId="15BD6062" w14:textId="07A15DB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3" w:history="1">
        <w:r w:rsidRPr="00533B68">
          <w:t>2163</w:t>
        </w:r>
        <w:r>
          <w:rPr>
            <w:rFonts w:asciiTheme="minorHAnsi" w:eastAsiaTheme="minorEastAsia" w:hAnsiTheme="minorHAnsi" w:cstheme="minorBidi"/>
            <w:kern w:val="2"/>
            <w:sz w:val="24"/>
            <w:szCs w:val="24"/>
            <w:lang w:eastAsia="en-AU"/>
            <w14:ligatures w14:val="standardContextual"/>
          </w:rPr>
          <w:tab/>
        </w:r>
        <w:r w:rsidRPr="00533B68">
          <w:t>Instalment order—record of payments</w:t>
        </w:r>
        <w:r>
          <w:tab/>
        </w:r>
        <w:r>
          <w:fldChar w:fldCharType="begin"/>
        </w:r>
        <w:r>
          <w:instrText xml:space="preserve"> PAGEREF _Toc185514303 \h </w:instrText>
        </w:r>
        <w:r>
          <w:fldChar w:fldCharType="separate"/>
        </w:r>
        <w:r>
          <w:t>397</w:t>
        </w:r>
        <w:r>
          <w:fldChar w:fldCharType="end"/>
        </w:r>
      </w:hyperlink>
    </w:p>
    <w:p w14:paraId="1D275AFB" w14:textId="3E8DCEF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304" w:history="1">
        <w:r w:rsidR="00AC5392" w:rsidRPr="00533B68">
          <w:t>Division 2.18.5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orders—seizure and sale orders</w:t>
        </w:r>
        <w:r w:rsidR="00AC5392" w:rsidRPr="00AC5392">
          <w:rPr>
            <w:vanish/>
          </w:rPr>
          <w:tab/>
        </w:r>
        <w:r w:rsidR="00AC5392" w:rsidRPr="00AC5392">
          <w:rPr>
            <w:vanish/>
          </w:rPr>
          <w:fldChar w:fldCharType="begin"/>
        </w:r>
        <w:r w:rsidR="00AC5392" w:rsidRPr="00AC5392">
          <w:rPr>
            <w:vanish/>
          </w:rPr>
          <w:instrText xml:space="preserve"> PAGEREF _Toc185514304 \h </w:instrText>
        </w:r>
        <w:r w:rsidR="00AC5392" w:rsidRPr="00AC5392">
          <w:rPr>
            <w:vanish/>
          </w:rPr>
        </w:r>
        <w:r w:rsidR="00AC5392" w:rsidRPr="00AC5392">
          <w:rPr>
            <w:vanish/>
          </w:rPr>
          <w:fldChar w:fldCharType="separate"/>
        </w:r>
        <w:r w:rsidR="00AC5392" w:rsidRPr="00AC5392">
          <w:rPr>
            <w:vanish/>
          </w:rPr>
          <w:t>399</w:t>
        </w:r>
        <w:r w:rsidR="00AC5392" w:rsidRPr="00AC5392">
          <w:rPr>
            <w:vanish/>
          </w:rPr>
          <w:fldChar w:fldCharType="end"/>
        </w:r>
      </w:hyperlink>
    </w:p>
    <w:p w14:paraId="09DA1EB0" w14:textId="54952E3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5" w:history="1">
        <w:r w:rsidRPr="00533B68">
          <w:t>2200</w:t>
        </w:r>
        <w:r>
          <w:rPr>
            <w:rFonts w:asciiTheme="minorHAnsi" w:eastAsiaTheme="minorEastAsia" w:hAnsiTheme="minorHAnsi" w:cstheme="minorBidi"/>
            <w:kern w:val="2"/>
            <w:sz w:val="24"/>
            <w:szCs w:val="24"/>
            <w:lang w:eastAsia="en-AU"/>
            <w14:ligatures w14:val="standardContextual"/>
          </w:rPr>
          <w:tab/>
        </w:r>
        <w:r w:rsidRPr="00533B68">
          <w:t>Seizure and sale order—making</w:t>
        </w:r>
        <w:r>
          <w:tab/>
        </w:r>
        <w:r>
          <w:fldChar w:fldCharType="begin"/>
        </w:r>
        <w:r>
          <w:instrText xml:space="preserve"> PAGEREF _Toc185514305 \h </w:instrText>
        </w:r>
        <w:r>
          <w:fldChar w:fldCharType="separate"/>
        </w:r>
        <w:r>
          <w:t>399</w:t>
        </w:r>
        <w:r>
          <w:fldChar w:fldCharType="end"/>
        </w:r>
      </w:hyperlink>
    </w:p>
    <w:p w14:paraId="0FD7EEB4" w14:textId="7A19D92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6" w:history="1">
        <w:r w:rsidRPr="00533B68">
          <w:t>2201</w:t>
        </w:r>
        <w:r>
          <w:rPr>
            <w:rFonts w:asciiTheme="minorHAnsi" w:eastAsiaTheme="minorEastAsia" w:hAnsiTheme="minorHAnsi" w:cstheme="minorBidi"/>
            <w:kern w:val="2"/>
            <w:sz w:val="24"/>
            <w:szCs w:val="24"/>
            <w:lang w:eastAsia="en-AU"/>
            <w14:ligatures w14:val="standardContextual"/>
          </w:rPr>
          <w:tab/>
        </w:r>
        <w:r w:rsidRPr="00533B68">
          <w:t>Seizure and sale order—application</w:t>
        </w:r>
        <w:r>
          <w:tab/>
        </w:r>
        <w:r>
          <w:fldChar w:fldCharType="begin"/>
        </w:r>
        <w:r>
          <w:instrText xml:space="preserve"> PAGEREF _Toc185514306 \h </w:instrText>
        </w:r>
        <w:r>
          <w:fldChar w:fldCharType="separate"/>
        </w:r>
        <w:r>
          <w:t>399</w:t>
        </w:r>
        <w:r>
          <w:fldChar w:fldCharType="end"/>
        </w:r>
      </w:hyperlink>
    </w:p>
    <w:p w14:paraId="69ED1BAC" w14:textId="4CAD893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7" w:history="1">
        <w:r w:rsidRPr="00533B68">
          <w:t>2202</w:t>
        </w:r>
        <w:r>
          <w:rPr>
            <w:rFonts w:asciiTheme="minorHAnsi" w:eastAsiaTheme="minorEastAsia" w:hAnsiTheme="minorHAnsi" w:cstheme="minorBidi"/>
            <w:kern w:val="2"/>
            <w:sz w:val="24"/>
            <w:szCs w:val="24"/>
            <w:lang w:eastAsia="en-AU"/>
            <w14:ligatures w14:val="standardContextual"/>
          </w:rPr>
          <w:tab/>
        </w:r>
        <w:r w:rsidRPr="00533B68">
          <w:t>Seizure and sale order—additional exempt property</w:t>
        </w:r>
        <w:r>
          <w:tab/>
        </w:r>
        <w:r>
          <w:fldChar w:fldCharType="begin"/>
        </w:r>
        <w:r>
          <w:instrText xml:space="preserve"> PAGEREF _Toc185514307 \h </w:instrText>
        </w:r>
        <w:r>
          <w:fldChar w:fldCharType="separate"/>
        </w:r>
        <w:r>
          <w:t>401</w:t>
        </w:r>
        <w:r>
          <w:fldChar w:fldCharType="end"/>
        </w:r>
      </w:hyperlink>
    </w:p>
    <w:p w14:paraId="484B7CBC" w14:textId="3875AB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8" w:history="1">
        <w:r w:rsidRPr="00533B68">
          <w:t>2203</w:t>
        </w:r>
        <w:r>
          <w:rPr>
            <w:rFonts w:asciiTheme="minorHAnsi" w:eastAsiaTheme="minorEastAsia" w:hAnsiTheme="minorHAnsi" w:cstheme="minorBidi"/>
            <w:kern w:val="2"/>
            <w:sz w:val="24"/>
            <w:szCs w:val="24"/>
            <w:lang w:eastAsia="en-AU"/>
            <w14:ligatures w14:val="standardContextual"/>
          </w:rPr>
          <w:tab/>
        </w:r>
        <w:r w:rsidRPr="00533B68">
          <w:t>Seizure and sale order—entry, search and seizure powers if no consent</w:t>
        </w:r>
        <w:r>
          <w:tab/>
        </w:r>
        <w:r>
          <w:fldChar w:fldCharType="begin"/>
        </w:r>
        <w:r>
          <w:instrText xml:space="preserve"> PAGEREF _Toc185514308 \h </w:instrText>
        </w:r>
        <w:r>
          <w:fldChar w:fldCharType="separate"/>
        </w:r>
        <w:r>
          <w:t>401</w:t>
        </w:r>
        <w:r>
          <w:fldChar w:fldCharType="end"/>
        </w:r>
      </w:hyperlink>
    </w:p>
    <w:p w14:paraId="12FD1DAE" w14:textId="154D4A8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09" w:history="1">
        <w:r w:rsidRPr="00533B68">
          <w:t>2204</w:t>
        </w:r>
        <w:r>
          <w:rPr>
            <w:rFonts w:asciiTheme="minorHAnsi" w:eastAsiaTheme="minorEastAsia" w:hAnsiTheme="minorHAnsi" w:cstheme="minorBidi"/>
            <w:kern w:val="2"/>
            <w:sz w:val="24"/>
            <w:szCs w:val="24"/>
            <w:lang w:eastAsia="en-AU"/>
            <w14:ligatures w14:val="standardContextual"/>
          </w:rPr>
          <w:tab/>
        </w:r>
        <w:r w:rsidRPr="00533B68">
          <w:t>Seizure and sale order—assistance to enforcement debtor</w:t>
        </w:r>
        <w:r>
          <w:tab/>
        </w:r>
        <w:r>
          <w:fldChar w:fldCharType="begin"/>
        </w:r>
        <w:r>
          <w:instrText xml:space="preserve"> PAGEREF _Toc185514309 \h </w:instrText>
        </w:r>
        <w:r>
          <w:fldChar w:fldCharType="separate"/>
        </w:r>
        <w:r>
          <w:t>403</w:t>
        </w:r>
        <w:r>
          <w:fldChar w:fldCharType="end"/>
        </w:r>
      </w:hyperlink>
    </w:p>
    <w:p w14:paraId="13684679" w14:textId="5131734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0" w:history="1">
        <w:r w:rsidRPr="00533B68">
          <w:t>2205</w:t>
        </w:r>
        <w:r>
          <w:rPr>
            <w:rFonts w:asciiTheme="minorHAnsi" w:eastAsiaTheme="minorEastAsia" w:hAnsiTheme="minorHAnsi" w:cstheme="minorBidi"/>
            <w:kern w:val="2"/>
            <w:sz w:val="24"/>
            <w:szCs w:val="24"/>
            <w:lang w:eastAsia="en-AU"/>
            <w14:ligatures w14:val="standardContextual"/>
          </w:rPr>
          <w:tab/>
        </w:r>
        <w:r w:rsidRPr="00533B68">
          <w:t>Seizure and sale order—notice of order</w:t>
        </w:r>
        <w:r>
          <w:tab/>
        </w:r>
        <w:r>
          <w:fldChar w:fldCharType="begin"/>
        </w:r>
        <w:r>
          <w:instrText xml:space="preserve"> PAGEREF _Toc185514310 \h </w:instrText>
        </w:r>
        <w:r>
          <w:fldChar w:fldCharType="separate"/>
        </w:r>
        <w:r>
          <w:t>403</w:t>
        </w:r>
        <w:r>
          <w:fldChar w:fldCharType="end"/>
        </w:r>
      </w:hyperlink>
    </w:p>
    <w:p w14:paraId="22645485" w14:textId="711FB7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1" w:history="1">
        <w:r w:rsidRPr="00533B68">
          <w:t>2206</w:t>
        </w:r>
        <w:r>
          <w:rPr>
            <w:rFonts w:asciiTheme="minorHAnsi" w:eastAsiaTheme="minorEastAsia" w:hAnsiTheme="minorHAnsi" w:cstheme="minorBidi"/>
            <w:kern w:val="2"/>
            <w:sz w:val="24"/>
            <w:szCs w:val="24"/>
            <w:lang w:eastAsia="en-AU"/>
            <w14:ligatures w14:val="standardContextual"/>
          </w:rPr>
          <w:tab/>
        </w:r>
        <w:r w:rsidRPr="00533B68">
          <w:t>Seizure and sale order—notice of property seized</w:t>
        </w:r>
        <w:r>
          <w:tab/>
        </w:r>
        <w:r>
          <w:fldChar w:fldCharType="begin"/>
        </w:r>
        <w:r>
          <w:instrText xml:space="preserve"> PAGEREF _Toc185514311 \h </w:instrText>
        </w:r>
        <w:r>
          <w:fldChar w:fldCharType="separate"/>
        </w:r>
        <w:r>
          <w:t>405</w:t>
        </w:r>
        <w:r>
          <w:fldChar w:fldCharType="end"/>
        </w:r>
      </w:hyperlink>
    </w:p>
    <w:p w14:paraId="7E0B2D82" w14:textId="68BFE0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2" w:history="1">
        <w:r w:rsidRPr="00533B68">
          <w:t>2207</w:t>
        </w:r>
        <w:r>
          <w:rPr>
            <w:rFonts w:asciiTheme="minorHAnsi" w:eastAsiaTheme="minorEastAsia" w:hAnsiTheme="minorHAnsi" w:cstheme="minorBidi"/>
            <w:kern w:val="2"/>
            <w:sz w:val="24"/>
            <w:szCs w:val="24"/>
            <w:lang w:eastAsia="en-AU"/>
            <w14:ligatures w14:val="standardContextual"/>
          </w:rPr>
          <w:tab/>
        </w:r>
        <w:r w:rsidRPr="00533B68">
          <w:t>Seizure and sale order—removal etc of seized property</w:t>
        </w:r>
        <w:r>
          <w:tab/>
        </w:r>
        <w:r>
          <w:fldChar w:fldCharType="begin"/>
        </w:r>
        <w:r>
          <w:instrText xml:space="preserve"> PAGEREF _Toc185514312 \h </w:instrText>
        </w:r>
        <w:r>
          <w:fldChar w:fldCharType="separate"/>
        </w:r>
        <w:r>
          <w:t>406</w:t>
        </w:r>
        <w:r>
          <w:fldChar w:fldCharType="end"/>
        </w:r>
      </w:hyperlink>
    </w:p>
    <w:p w14:paraId="0DDDC11A" w14:textId="2420AE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3" w:history="1">
        <w:r w:rsidRPr="00533B68">
          <w:t>2208</w:t>
        </w:r>
        <w:r>
          <w:rPr>
            <w:rFonts w:asciiTheme="minorHAnsi" w:eastAsiaTheme="minorEastAsia" w:hAnsiTheme="minorHAnsi" w:cstheme="minorBidi"/>
            <w:kern w:val="2"/>
            <w:sz w:val="24"/>
            <w:szCs w:val="24"/>
            <w:lang w:eastAsia="en-AU"/>
            <w14:ligatures w14:val="standardContextual"/>
          </w:rPr>
          <w:tab/>
        </w:r>
        <w:r w:rsidRPr="00533B68">
          <w:t>Seizure and sale order—application for instalment order stays sale of seized property</w:t>
        </w:r>
        <w:r>
          <w:tab/>
        </w:r>
        <w:r>
          <w:fldChar w:fldCharType="begin"/>
        </w:r>
        <w:r>
          <w:instrText xml:space="preserve"> PAGEREF _Toc185514313 \h </w:instrText>
        </w:r>
        <w:r>
          <w:fldChar w:fldCharType="separate"/>
        </w:r>
        <w:r>
          <w:t>406</w:t>
        </w:r>
        <w:r>
          <w:fldChar w:fldCharType="end"/>
        </w:r>
      </w:hyperlink>
    </w:p>
    <w:p w14:paraId="0F45B314" w14:textId="14DA339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4" w:history="1">
        <w:r w:rsidRPr="00533B68">
          <w:t>2209</w:t>
        </w:r>
        <w:r>
          <w:rPr>
            <w:rFonts w:asciiTheme="minorHAnsi" w:eastAsiaTheme="minorEastAsia" w:hAnsiTheme="minorHAnsi" w:cstheme="minorBidi"/>
            <w:kern w:val="2"/>
            <w:sz w:val="24"/>
            <w:szCs w:val="24"/>
            <w:lang w:eastAsia="en-AU"/>
            <w14:ligatures w14:val="standardContextual"/>
          </w:rPr>
          <w:tab/>
        </w:r>
        <w:r w:rsidRPr="00533B68">
          <w:t>Seizure and sale order—property seized not abandoned</w:t>
        </w:r>
        <w:r>
          <w:tab/>
        </w:r>
        <w:r>
          <w:fldChar w:fldCharType="begin"/>
        </w:r>
        <w:r>
          <w:instrText xml:space="preserve"> PAGEREF _Toc185514314 \h </w:instrText>
        </w:r>
        <w:r>
          <w:fldChar w:fldCharType="separate"/>
        </w:r>
        <w:r>
          <w:t>407</w:t>
        </w:r>
        <w:r>
          <w:fldChar w:fldCharType="end"/>
        </w:r>
      </w:hyperlink>
    </w:p>
    <w:p w14:paraId="7FF3B551" w14:textId="11FABE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5" w:history="1">
        <w:r w:rsidRPr="00533B68">
          <w:t>2210</w:t>
        </w:r>
        <w:r>
          <w:rPr>
            <w:rFonts w:asciiTheme="minorHAnsi" w:eastAsiaTheme="minorEastAsia" w:hAnsiTheme="minorHAnsi" w:cstheme="minorBidi"/>
            <w:kern w:val="2"/>
            <w:sz w:val="24"/>
            <w:szCs w:val="24"/>
            <w:lang w:eastAsia="en-AU"/>
            <w14:ligatures w14:val="standardContextual"/>
          </w:rPr>
          <w:tab/>
        </w:r>
        <w:r w:rsidRPr="00533B68">
          <w:t>Seizure and sale order—seizure of real property</w:t>
        </w:r>
        <w:r>
          <w:tab/>
        </w:r>
        <w:r>
          <w:fldChar w:fldCharType="begin"/>
        </w:r>
        <w:r>
          <w:instrText xml:space="preserve"> PAGEREF _Toc185514315 \h </w:instrText>
        </w:r>
        <w:r>
          <w:fldChar w:fldCharType="separate"/>
        </w:r>
        <w:r>
          <w:t>407</w:t>
        </w:r>
        <w:r>
          <w:fldChar w:fldCharType="end"/>
        </w:r>
      </w:hyperlink>
    </w:p>
    <w:p w14:paraId="437FE753" w14:textId="5B7714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6" w:history="1">
        <w:r w:rsidRPr="00533B68">
          <w:t>2211</w:t>
        </w:r>
        <w:r>
          <w:rPr>
            <w:rFonts w:asciiTheme="minorHAnsi" w:eastAsiaTheme="minorEastAsia" w:hAnsiTheme="minorHAnsi" w:cstheme="minorBidi"/>
            <w:kern w:val="2"/>
            <w:sz w:val="24"/>
            <w:szCs w:val="24"/>
            <w:lang w:eastAsia="en-AU"/>
            <w14:ligatures w14:val="standardContextual"/>
          </w:rPr>
          <w:tab/>
        </w:r>
        <w:r w:rsidRPr="00533B68">
          <w:t>Seizure and sale order—enforcement debtor not to deal with real property</w:t>
        </w:r>
        <w:r>
          <w:tab/>
        </w:r>
        <w:r>
          <w:fldChar w:fldCharType="begin"/>
        </w:r>
        <w:r>
          <w:instrText xml:space="preserve"> PAGEREF _Toc185514316 \h </w:instrText>
        </w:r>
        <w:r>
          <w:fldChar w:fldCharType="separate"/>
        </w:r>
        <w:r>
          <w:t>407</w:t>
        </w:r>
        <w:r>
          <w:fldChar w:fldCharType="end"/>
        </w:r>
      </w:hyperlink>
    </w:p>
    <w:p w14:paraId="1CDA4195" w14:textId="026A4FA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7" w:history="1">
        <w:r w:rsidRPr="00533B68">
          <w:t>2212</w:t>
        </w:r>
        <w:r>
          <w:rPr>
            <w:rFonts w:asciiTheme="minorHAnsi" w:eastAsiaTheme="minorEastAsia" w:hAnsiTheme="minorHAnsi" w:cstheme="minorBidi"/>
            <w:kern w:val="2"/>
            <w:sz w:val="24"/>
            <w:szCs w:val="24"/>
            <w:lang w:eastAsia="en-AU"/>
            <w14:ligatures w14:val="standardContextual"/>
          </w:rPr>
          <w:tab/>
        </w:r>
        <w:r w:rsidRPr="00533B68">
          <w:t>Seizure and sale order—order of seizing and selling property</w:t>
        </w:r>
        <w:r>
          <w:tab/>
        </w:r>
        <w:r>
          <w:fldChar w:fldCharType="begin"/>
        </w:r>
        <w:r>
          <w:instrText xml:space="preserve"> PAGEREF _Toc185514317 \h </w:instrText>
        </w:r>
        <w:r>
          <w:fldChar w:fldCharType="separate"/>
        </w:r>
        <w:r>
          <w:t>408</w:t>
        </w:r>
        <w:r>
          <w:fldChar w:fldCharType="end"/>
        </w:r>
      </w:hyperlink>
    </w:p>
    <w:p w14:paraId="7C12B037" w14:textId="437F13DC"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318" w:history="1">
        <w:r w:rsidRPr="00533B68">
          <w:t>2213</w:t>
        </w:r>
        <w:r>
          <w:rPr>
            <w:rFonts w:asciiTheme="minorHAnsi" w:eastAsiaTheme="minorEastAsia" w:hAnsiTheme="minorHAnsi" w:cstheme="minorBidi"/>
            <w:kern w:val="2"/>
            <w:sz w:val="24"/>
            <w:szCs w:val="24"/>
            <w:lang w:eastAsia="en-AU"/>
            <w14:ligatures w14:val="standardContextual"/>
          </w:rPr>
          <w:tab/>
        </w:r>
        <w:r w:rsidRPr="00533B68">
          <w:t>Seizure and sale order—payment before sale</w:t>
        </w:r>
        <w:r>
          <w:tab/>
        </w:r>
        <w:r>
          <w:fldChar w:fldCharType="begin"/>
        </w:r>
        <w:r>
          <w:instrText xml:space="preserve"> PAGEREF _Toc185514318 \h </w:instrText>
        </w:r>
        <w:r>
          <w:fldChar w:fldCharType="separate"/>
        </w:r>
        <w:r>
          <w:t>409</w:t>
        </w:r>
        <w:r>
          <w:fldChar w:fldCharType="end"/>
        </w:r>
      </w:hyperlink>
    </w:p>
    <w:p w14:paraId="73FF2BEF" w14:textId="7D29B6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19" w:history="1">
        <w:r w:rsidRPr="00533B68">
          <w:t>2214</w:t>
        </w:r>
        <w:r>
          <w:rPr>
            <w:rFonts w:asciiTheme="minorHAnsi" w:eastAsiaTheme="minorEastAsia" w:hAnsiTheme="minorHAnsi" w:cstheme="minorBidi"/>
            <w:kern w:val="2"/>
            <w:sz w:val="24"/>
            <w:szCs w:val="24"/>
            <w:lang w:eastAsia="en-AU"/>
            <w14:ligatures w14:val="standardContextual"/>
          </w:rPr>
          <w:tab/>
        </w:r>
        <w:r w:rsidRPr="00533B68">
          <w:t>Seizure and sale order—suspension etc of enforcement</w:t>
        </w:r>
        <w:r>
          <w:tab/>
        </w:r>
        <w:r>
          <w:fldChar w:fldCharType="begin"/>
        </w:r>
        <w:r>
          <w:instrText xml:space="preserve"> PAGEREF _Toc185514319 \h </w:instrText>
        </w:r>
        <w:r>
          <w:fldChar w:fldCharType="separate"/>
        </w:r>
        <w:r>
          <w:t>409</w:t>
        </w:r>
        <w:r>
          <w:fldChar w:fldCharType="end"/>
        </w:r>
      </w:hyperlink>
    </w:p>
    <w:p w14:paraId="1F4556B4" w14:textId="4445FD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0" w:history="1">
        <w:r w:rsidRPr="00533B68">
          <w:t>2215</w:t>
        </w:r>
        <w:r>
          <w:rPr>
            <w:rFonts w:asciiTheme="minorHAnsi" w:eastAsiaTheme="minorEastAsia" w:hAnsiTheme="minorHAnsi" w:cstheme="minorBidi"/>
            <w:kern w:val="2"/>
            <w:sz w:val="24"/>
            <w:szCs w:val="24"/>
            <w:lang w:eastAsia="en-AU"/>
            <w14:ligatures w14:val="standardContextual"/>
          </w:rPr>
          <w:tab/>
        </w:r>
        <w:r w:rsidRPr="00533B68">
          <w:t>Seizure and sale order—agreements to withdraw and re</w:t>
        </w:r>
        <w:r w:rsidRPr="00533B68">
          <w:noBreakHyphen/>
          <w:t>enter</w:t>
        </w:r>
        <w:r>
          <w:tab/>
        </w:r>
        <w:r>
          <w:fldChar w:fldCharType="begin"/>
        </w:r>
        <w:r>
          <w:instrText xml:space="preserve"> PAGEREF _Toc185514320 \h </w:instrText>
        </w:r>
        <w:r>
          <w:fldChar w:fldCharType="separate"/>
        </w:r>
        <w:r>
          <w:t>409</w:t>
        </w:r>
        <w:r>
          <w:fldChar w:fldCharType="end"/>
        </w:r>
      </w:hyperlink>
    </w:p>
    <w:p w14:paraId="421BFA01" w14:textId="4C20D0D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1" w:history="1">
        <w:r w:rsidRPr="00533B68">
          <w:t>2216</w:t>
        </w:r>
        <w:r>
          <w:rPr>
            <w:rFonts w:asciiTheme="minorHAnsi" w:eastAsiaTheme="minorEastAsia" w:hAnsiTheme="minorHAnsi" w:cstheme="minorBidi"/>
            <w:kern w:val="2"/>
            <w:sz w:val="24"/>
            <w:szCs w:val="24"/>
            <w:lang w:eastAsia="en-AU"/>
            <w14:ligatures w14:val="standardContextual"/>
          </w:rPr>
          <w:tab/>
        </w:r>
        <w:r w:rsidRPr="00533B68">
          <w:t>Seizure and sale order—nature of sale</w:t>
        </w:r>
        <w:r>
          <w:tab/>
        </w:r>
        <w:r>
          <w:fldChar w:fldCharType="begin"/>
        </w:r>
        <w:r>
          <w:instrText xml:space="preserve"> PAGEREF _Toc185514321 \h </w:instrText>
        </w:r>
        <w:r>
          <w:fldChar w:fldCharType="separate"/>
        </w:r>
        <w:r>
          <w:t>410</w:t>
        </w:r>
        <w:r>
          <w:fldChar w:fldCharType="end"/>
        </w:r>
      </w:hyperlink>
    </w:p>
    <w:p w14:paraId="4652BE32" w14:textId="21F905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2" w:history="1">
        <w:r w:rsidRPr="00533B68">
          <w:t>2217</w:t>
        </w:r>
        <w:r>
          <w:rPr>
            <w:rFonts w:asciiTheme="minorHAnsi" w:eastAsiaTheme="minorEastAsia" w:hAnsiTheme="minorHAnsi" w:cstheme="minorBidi"/>
            <w:kern w:val="2"/>
            <w:sz w:val="24"/>
            <w:szCs w:val="24"/>
            <w:lang w:eastAsia="en-AU"/>
            <w14:ligatures w14:val="standardContextual"/>
          </w:rPr>
          <w:tab/>
        </w:r>
        <w:r w:rsidRPr="00533B68">
          <w:t>Seizure and sale order—setting reasonable amount</w:t>
        </w:r>
        <w:r>
          <w:tab/>
        </w:r>
        <w:r>
          <w:fldChar w:fldCharType="begin"/>
        </w:r>
        <w:r>
          <w:instrText xml:space="preserve"> PAGEREF _Toc185514322 \h </w:instrText>
        </w:r>
        <w:r>
          <w:fldChar w:fldCharType="separate"/>
        </w:r>
        <w:r>
          <w:t>412</w:t>
        </w:r>
        <w:r>
          <w:fldChar w:fldCharType="end"/>
        </w:r>
      </w:hyperlink>
    </w:p>
    <w:p w14:paraId="6F576917" w14:textId="694A47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3" w:history="1">
        <w:r w:rsidRPr="00533B68">
          <w:t>2218</w:t>
        </w:r>
        <w:r>
          <w:rPr>
            <w:rFonts w:asciiTheme="minorHAnsi" w:eastAsiaTheme="minorEastAsia" w:hAnsiTheme="minorHAnsi" w:cstheme="minorBidi"/>
            <w:kern w:val="2"/>
            <w:sz w:val="24"/>
            <w:szCs w:val="24"/>
            <w:lang w:eastAsia="en-AU"/>
            <w14:ligatures w14:val="standardContextual"/>
          </w:rPr>
          <w:tab/>
        </w:r>
        <w:r w:rsidRPr="00533B68">
          <w:t>Seizure and sale order—additional provisions relating to land</w:t>
        </w:r>
        <w:r>
          <w:tab/>
        </w:r>
        <w:r>
          <w:fldChar w:fldCharType="begin"/>
        </w:r>
        <w:r>
          <w:instrText xml:space="preserve"> PAGEREF _Toc185514323 \h </w:instrText>
        </w:r>
        <w:r>
          <w:fldChar w:fldCharType="separate"/>
        </w:r>
        <w:r>
          <w:t>413</w:t>
        </w:r>
        <w:r>
          <w:fldChar w:fldCharType="end"/>
        </w:r>
      </w:hyperlink>
    </w:p>
    <w:p w14:paraId="07678AE6" w14:textId="619B6F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4" w:history="1">
        <w:r w:rsidRPr="00533B68">
          <w:t>2218A</w:t>
        </w:r>
        <w:r>
          <w:rPr>
            <w:rFonts w:asciiTheme="minorHAnsi" w:eastAsiaTheme="minorEastAsia" w:hAnsiTheme="minorHAnsi" w:cstheme="minorBidi"/>
            <w:kern w:val="2"/>
            <w:sz w:val="24"/>
            <w:szCs w:val="24"/>
            <w:lang w:eastAsia="en-AU"/>
            <w14:ligatures w14:val="standardContextual"/>
          </w:rPr>
          <w:tab/>
        </w:r>
        <w:r w:rsidRPr="00533B68">
          <w:t>Seizure and sale order—appointment of real estate agent</w:t>
        </w:r>
        <w:r>
          <w:tab/>
        </w:r>
        <w:r>
          <w:fldChar w:fldCharType="begin"/>
        </w:r>
        <w:r>
          <w:instrText xml:space="preserve"> PAGEREF _Toc185514324 \h </w:instrText>
        </w:r>
        <w:r>
          <w:fldChar w:fldCharType="separate"/>
        </w:r>
        <w:r>
          <w:t>414</w:t>
        </w:r>
        <w:r>
          <w:fldChar w:fldCharType="end"/>
        </w:r>
      </w:hyperlink>
    </w:p>
    <w:p w14:paraId="2A4850A1" w14:textId="22FE91F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5" w:history="1">
        <w:r w:rsidRPr="00533B68">
          <w:t>2219</w:t>
        </w:r>
        <w:r>
          <w:rPr>
            <w:rFonts w:asciiTheme="minorHAnsi" w:eastAsiaTheme="minorEastAsia" w:hAnsiTheme="minorHAnsi" w:cstheme="minorBidi"/>
            <w:kern w:val="2"/>
            <w:sz w:val="24"/>
            <w:szCs w:val="24"/>
            <w:lang w:eastAsia="en-AU"/>
            <w14:ligatures w14:val="standardContextual"/>
          </w:rPr>
          <w:tab/>
        </w:r>
        <w:r w:rsidRPr="00533B68">
          <w:t>Seizure and sale order—power of entry for auction of land</w:t>
        </w:r>
        <w:r>
          <w:tab/>
        </w:r>
        <w:r>
          <w:fldChar w:fldCharType="begin"/>
        </w:r>
        <w:r>
          <w:instrText xml:space="preserve"> PAGEREF _Toc185514325 \h </w:instrText>
        </w:r>
        <w:r>
          <w:fldChar w:fldCharType="separate"/>
        </w:r>
        <w:r>
          <w:t>415</w:t>
        </w:r>
        <w:r>
          <w:fldChar w:fldCharType="end"/>
        </w:r>
      </w:hyperlink>
    </w:p>
    <w:p w14:paraId="3349F75F" w14:textId="1B33973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6" w:history="1">
        <w:r w:rsidRPr="00533B68">
          <w:t>2220</w:t>
        </w:r>
        <w:r>
          <w:rPr>
            <w:rFonts w:asciiTheme="minorHAnsi" w:eastAsiaTheme="minorEastAsia" w:hAnsiTheme="minorHAnsi" w:cstheme="minorBidi"/>
            <w:kern w:val="2"/>
            <w:sz w:val="24"/>
            <w:szCs w:val="24"/>
            <w:lang w:eastAsia="en-AU"/>
            <w14:ligatures w14:val="standardContextual"/>
          </w:rPr>
          <w:tab/>
        </w:r>
        <w:r w:rsidRPr="00533B68">
          <w:t>Seizure and sale order—sale at best price obtainable</w:t>
        </w:r>
        <w:r>
          <w:tab/>
        </w:r>
        <w:r>
          <w:fldChar w:fldCharType="begin"/>
        </w:r>
        <w:r>
          <w:instrText xml:space="preserve"> PAGEREF _Toc185514326 \h </w:instrText>
        </w:r>
        <w:r>
          <w:fldChar w:fldCharType="separate"/>
        </w:r>
        <w:r>
          <w:t>416</w:t>
        </w:r>
        <w:r>
          <w:fldChar w:fldCharType="end"/>
        </w:r>
      </w:hyperlink>
    </w:p>
    <w:p w14:paraId="37A3CAE8" w14:textId="253BE5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7" w:history="1">
        <w:r w:rsidRPr="00533B68">
          <w:t>2221</w:t>
        </w:r>
        <w:r>
          <w:rPr>
            <w:rFonts w:asciiTheme="minorHAnsi" w:eastAsiaTheme="minorEastAsia" w:hAnsiTheme="minorHAnsi" w:cstheme="minorBidi"/>
            <w:kern w:val="2"/>
            <w:sz w:val="24"/>
            <w:szCs w:val="24"/>
            <w:lang w:eastAsia="en-AU"/>
            <w14:ligatures w14:val="standardContextual"/>
          </w:rPr>
          <w:tab/>
        </w:r>
        <w:r w:rsidRPr="00533B68">
          <w:t>Seizure and sale order—advertisement of sale</w:t>
        </w:r>
        <w:r>
          <w:tab/>
        </w:r>
        <w:r>
          <w:fldChar w:fldCharType="begin"/>
        </w:r>
        <w:r>
          <w:instrText xml:space="preserve"> PAGEREF _Toc185514327 \h </w:instrText>
        </w:r>
        <w:r>
          <w:fldChar w:fldCharType="separate"/>
        </w:r>
        <w:r>
          <w:t>416</w:t>
        </w:r>
        <w:r>
          <w:fldChar w:fldCharType="end"/>
        </w:r>
      </w:hyperlink>
    </w:p>
    <w:p w14:paraId="21AC067E" w14:textId="05D005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8" w:history="1">
        <w:r w:rsidRPr="00533B68">
          <w:t>2222</w:t>
        </w:r>
        <w:r>
          <w:rPr>
            <w:rFonts w:asciiTheme="minorHAnsi" w:eastAsiaTheme="minorEastAsia" w:hAnsiTheme="minorHAnsi" w:cstheme="minorBidi"/>
            <w:kern w:val="2"/>
            <w:sz w:val="24"/>
            <w:szCs w:val="24"/>
            <w:lang w:eastAsia="en-AU"/>
            <w14:ligatures w14:val="standardContextual"/>
          </w:rPr>
          <w:tab/>
        </w:r>
        <w:r w:rsidRPr="00533B68">
          <w:t>Seizure and sale order—postponement of sale</w:t>
        </w:r>
        <w:r>
          <w:tab/>
        </w:r>
        <w:r>
          <w:fldChar w:fldCharType="begin"/>
        </w:r>
        <w:r>
          <w:instrText xml:space="preserve"> PAGEREF _Toc185514328 \h </w:instrText>
        </w:r>
        <w:r>
          <w:fldChar w:fldCharType="separate"/>
        </w:r>
        <w:r>
          <w:t>418</w:t>
        </w:r>
        <w:r>
          <w:fldChar w:fldCharType="end"/>
        </w:r>
      </w:hyperlink>
    </w:p>
    <w:p w14:paraId="5F81CBF0" w14:textId="187127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29" w:history="1">
        <w:r w:rsidRPr="00533B68">
          <w:t>2223</w:t>
        </w:r>
        <w:r>
          <w:rPr>
            <w:rFonts w:asciiTheme="minorHAnsi" w:eastAsiaTheme="minorEastAsia" w:hAnsiTheme="minorHAnsi" w:cstheme="minorBidi"/>
            <w:kern w:val="2"/>
            <w:sz w:val="24"/>
            <w:szCs w:val="24"/>
            <w:lang w:eastAsia="en-AU"/>
            <w14:ligatures w14:val="standardContextual"/>
          </w:rPr>
          <w:tab/>
        </w:r>
        <w:r w:rsidRPr="00533B68">
          <w:t>Seizure and sale order—amounts received</w:t>
        </w:r>
        <w:r>
          <w:tab/>
        </w:r>
        <w:r>
          <w:fldChar w:fldCharType="begin"/>
        </w:r>
        <w:r>
          <w:instrText xml:space="preserve"> PAGEREF _Toc185514329 \h </w:instrText>
        </w:r>
        <w:r>
          <w:fldChar w:fldCharType="separate"/>
        </w:r>
        <w:r>
          <w:t>418</w:t>
        </w:r>
        <w:r>
          <w:fldChar w:fldCharType="end"/>
        </w:r>
      </w:hyperlink>
    </w:p>
    <w:p w14:paraId="1179B0EC" w14:textId="48002FB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0" w:history="1">
        <w:r w:rsidRPr="00533B68">
          <w:t>2224</w:t>
        </w:r>
        <w:r>
          <w:rPr>
            <w:rFonts w:asciiTheme="minorHAnsi" w:eastAsiaTheme="minorEastAsia" w:hAnsiTheme="minorHAnsi" w:cstheme="minorBidi"/>
            <w:kern w:val="2"/>
            <w:sz w:val="24"/>
            <w:szCs w:val="24"/>
            <w:lang w:eastAsia="en-AU"/>
            <w14:ligatures w14:val="standardContextual"/>
          </w:rPr>
          <w:tab/>
        </w:r>
        <w:r w:rsidRPr="00533B68">
          <w:t>Seizure and sale order—terms about payment</w:t>
        </w:r>
        <w:r>
          <w:tab/>
        </w:r>
        <w:r>
          <w:fldChar w:fldCharType="begin"/>
        </w:r>
        <w:r>
          <w:instrText xml:space="preserve"> PAGEREF _Toc185514330 \h </w:instrText>
        </w:r>
        <w:r>
          <w:fldChar w:fldCharType="separate"/>
        </w:r>
        <w:r>
          <w:t>419</w:t>
        </w:r>
        <w:r>
          <w:fldChar w:fldCharType="end"/>
        </w:r>
      </w:hyperlink>
    </w:p>
    <w:p w14:paraId="04851572" w14:textId="4A3469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1" w:history="1">
        <w:r w:rsidRPr="00533B68">
          <w:t>2225</w:t>
        </w:r>
        <w:r>
          <w:rPr>
            <w:rFonts w:asciiTheme="minorHAnsi" w:eastAsiaTheme="minorEastAsia" w:hAnsiTheme="minorHAnsi" w:cstheme="minorBidi"/>
            <w:kern w:val="2"/>
            <w:sz w:val="24"/>
            <w:szCs w:val="24"/>
            <w:lang w:eastAsia="en-AU"/>
            <w14:ligatures w14:val="standardContextual"/>
          </w:rPr>
          <w:tab/>
        </w:r>
        <w:r w:rsidRPr="00533B68">
          <w:t>Seizure and sale order—securities held by enforcement officer</w:t>
        </w:r>
        <w:r>
          <w:tab/>
        </w:r>
        <w:r>
          <w:fldChar w:fldCharType="begin"/>
        </w:r>
        <w:r>
          <w:instrText xml:space="preserve"> PAGEREF _Toc185514331 \h </w:instrText>
        </w:r>
        <w:r>
          <w:fldChar w:fldCharType="separate"/>
        </w:r>
        <w:r>
          <w:t>419</w:t>
        </w:r>
        <w:r>
          <w:fldChar w:fldCharType="end"/>
        </w:r>
      </w:hyperlink>
    </w:p>
    <w:p w14:paraId="00946360" w14:textId="57CA1A3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2" w:history="1">
        <w:r w:rsidRPr="00533B68">
          <w:t>2226</w:t>
        </w:r>
        <w:r>
          <w:rPr>
            <w:rFonts w:asciiTheme="minorHAnsi" w:eastAsiaTheme="minorEastAsia" w:hAnsiTheme="minorHAnsi" w:cstheme="minorBidi"/>
            <w:kern w:val="2"/>
            <w:sz w:val="24"/>
            <w:szCs w:val="24"/>
            <w:lang w:eastAsia="en-AU"/>
            <w14:ligatures w14:val="standardContextual"/>
          </w:rPr>
          <w:tab/>
        </w:r>
        <w:r w:rsidRPr="00533B68">
          <w:t>Seizure and sale order—personal property subject to conditional bill of sale</w:t>
        </w:r>
        <w:r>
          <w:tab/>
        </w:r>
        <w:r>
          <w:fldChar w:fldCharType="begin"/>
        </w:r>
        <w:r>
          <w:instrText xml:space="preserve"> PAGEREF _Toc185514332 \h </w:instrText>
        </w:r>
        <w:r>
          <w:fldChar w:fldCharType="separate"/>
        </w:r>
        <w:r>
          <w:t>420</w:t>
        </w:r>
        <w:r>
          <w:fldChar w:fldCharType="end"/>
        </w:r>
      </w:hyperlink>
    </w:p>
    <w:p w14:paraId="57B50CC0" w14:textId="7F5D32B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3" w:history="1">
        <w:r w:rsidRPr="00533B68">
          <w:t>2227</w:t>
        </w:r>
        <w:r>
          <w:rPr>
            <w:rFonts w:asciiTheme="minorHAnsi" w:eastAsiaTheme="minorEastAsia" w:hAnsiTheme="minorHAnsi" w:cstheme="minorBidi"/>
            <w:kern w:val="2"/>
            <w:sz w:val="24"/>
            <w:szCs w:val="24"/>
            <w:lang w:eastAsia="en-AU"/>
            <w14:ligatures w14:val="standardContextual"/>
          </w:rPr>
          <w:tab/>
        </w:r>
        <w:r w:rsidRPr="00533B68">
          <w:t>Seizure and sale order—effect of sale of property</w:t>
        </w:r>
        <w:r>
          <w:tab/>
        </w:r>
        <w:r>
          <w:fldChar w:fldCharType="begin"/>
        </w:r>
        <w:r>
          <w:instrText xml:space="preserve"> PAGEREF _Toc185514333 \h </w:instrText>
        </w:r>
        <w:r>
          <w:fldChar w:fldCharType="separate"/>
        </w:r>
        <w:r>
          <w:t>420</w:t>
        </w:r>
        <w:r>
          <w:fldChar w:fldCharType="end"/>
        </w:r>
      </w:hyperlink>
    </w:p>
    <w:p w14:paraId="57B70867" w14:textId="356F2B7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4" w:history="1">
        <w:r w:rsidRPr="00533B68">
          <w:t>2228</w:t>
        </w:r>
        <w:r>
          <w:rPr>
            <w:rFonts w:asciiTheme="minorHAnsi" w:eastAsiaTheme="minorEastAsia" w:hAnsiTheme="minorHAnsi" w:cstheme="minorBidi"/>
            <w:kern w:val="2"/>
            <w:sz w:val="24"/>
            <w:szCs w:val="24"/>
            <w:lang w:eastAsia="en-AU"/>
            <w14:ligatures w14:val="standardContextual"/>
          </w:rPr>
          <w:tab/>
        </w:r>
        <w:r w:rsidRPr="00533B68">
          <w:t>Seizure and sale order—effect of ending of order on completion of sale etc</w:t>
        </w:r>
        <w:r>
          <w:tab/>
        </w:r>
        <w:r>
          <w:fldChar w:fldCharType="begin"/>
        </w:r>
        <w:r>
          <w:instrText xml:space="preserve"> PAGEREF _Toc185514334 \h </w:instrText>
        </w:r>
        <w:r>
          <w:fldChar w:fldCharType="separate"/>
        </w:r>
        <w:r>
          <w:t>421</w:t>
        </w:r>
        <w:r>
          <w:fldChar w:fldCharType="end"/>
        </w:r>
      </w:hyperlink>
    </w:p>
    <w:p w14:paraId="23CA36E1" w14:textId="04E322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5" w:history="1">
        <w:r w:rsidRPr="00533B68">
          <w:t>2229</w:t>
        </w:r>
        <w:r>
          <w:rPr>
            <w:rFonts w:asciiTheme="minorHAnsi" w:eastAsiaTheme="minorEastAsia" w:hAnsiTheme="minorHAnsi" w:cstheme="minorBidi"/>
            <w:kern w:val="2"/>
            <w:sz w:val="24"/>
            <w:szCs w:val="24"/>
            <w:lang w:eastAsia="en-AU"/>
            <w14:ligatures w14:val="standardContextual"/>
          </w:rPr>
          <w:tab/>
        </w:r>
        <w:r w:rsidRPr="00533B68">
          <w:t>Seizure and sale order—appropriation of payments towards order debt</w:t>
        </w:r>
        <w:r>
          <w:tab/>
        </w:r>
        <w:r>
          <w:fldChar w:fldCharType="begin"/>
        </w:r>
        <w:r>
          <w:instrText xml:space="preserve"> PAGEREF _Toc185514335 \h </w:instrText>
        </w:r>
        <w:r>
          <w:fldChar w:fldCharType="separate"/>
        </w:r>
        <w:r>
          <w:t>421</w:t>
        </w:r>
        <w:r>
          <w:fldChar w:fldCharType="end"/>
        </w:r>
      </w:hyperlink>
    </w:p>
    <w:p w14:paraId="1FA818F4" w14:textId="18A825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6" w:history="1">
        <w:r w:rsidRPr="00533B68">
          <w:t>2230</w:t>
        </w:r>
        <w:r>
          <w:rPr>
            <w:rFonts w:asciiTheme="minorHAnsi" w:eastAsiaTheme="minorEastAsia" w:hAnsiTheme="minorHAnsi" w:cstheme="minorBidi"/>
            <w:kern w:val="2"/>
            <w:sz w:val="24"/>
            <w:szCs w:val="24"/>
            <w:lang w:eastAsia="en-AU"/>
            <w14:ligatures w14:val="standardContextual"/>
          </w:rPr>
          <w:tab/>
        </w:r>
        <w:r w:rsidRPr="00533B68">
          <w:t>Seizure and sale order—documents giving effect to sale</w:t>
        </w:r>
        <w:r>
          <w:tab/>
        </w:r>
        <w:r>
          <w:fldChar w:fldCharType="begin"/>
        </w:r>
        <w:r>
          <w:instrText xml:space="preserve"> PAGEREF _Toc185514336 \h </w:instrText>
        </w:r>
        <w:r>
          <w:fldChar w:fldCharType="separate"/>
        </w:r>
        <w:r>
          <w:t>422</w:t>
        </w:r>
        <w:r>
          <w:fldChar w:fldCharType="end"/>
        </w:r>
      </w:hyperlink>
    </w:p>
    <w:p w14:paraId="0ED1F97F" w14:textId="05BC92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7" w:history="1">
        <w:r w:rsidRPr="00533B68">
          <w:t>2231</w:t>
        </w:r>
        <w:r>
          <w:rPr>
            <w:rFonts w:asciiTheme="minorHAnsi" w:eastAsiaTheme="minorEastAsia" w:hAnsiTheme="minorHAnsi" w:cstheme="minorBidi"/>
            <w:kern w:val="2"/>
            <w:sz w:val="24"/>
            <w:szCs w:val="24"/>
            <w:lang w:eastAsia="en-AU"/>
            <w14:ligatures w14:val="standardContextual"/>
          </w:rPr>
          <w:tab/>
        </w:r>
        <w:r w:rsidRPr="00533B68">
          <w:t>Seizure and sale order—payment to enforcement debtor</w:t>
        </w:r>
        <w:r>
          <w:tab/>
        </w:r>
        <w:r>
          <w:fldChar w:fldCharType="begin"/>
        </w:r>
        <w:r>
          <w:instrText xml:space="preserve"> PAGEREF _Toc185514337 \h </w:instrText>
        </w:r>
        <w:r>
          <w:fldChar w:fldCharType="separate"/>
        </w:r>
        <w:r>
          <w:t>422</w:t>
        </w:r>
        <w:r>
          <w:fldChar w:fldCharType="end"/>
        </w:r>
      </w:hyperlink>
    </w:p>
    <w:p w14:paraId="285D4119" w14:textId="2E5ADB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8" w:history="1">
        <w:r w:rsidRPr="00533B68">
          <w:t>2232</w:t>
        </w:r>
        <w:r>
          <w:rPr>
            <w:rFonts w:asciiTheme="minorHAnsi" w:eastAsiaTheme="minorEastAsia" w:hAnsiTheme="minorHAnsi" w:cstheme="minorBidi"/>
            <w:kern w:val="2"/>
            <w:sz w:val="24"/>
            <w:szCs w:val="24"/>
            <w:lang w:eastAsia="en-AU"/>
            <w14:ligatures w14:val="standardContextual"/>
          </w:rPr>
          <w:tab/>
        </w:r>
        <w:r w:rsidRPr="00533B68">
          <w:t>Seizure and sale order—purchase by enforcement officer or auctioneer prohibited</w:t>
        </w:r>
        <w:r>
          <w:tab/>
        </w:r>
        <w:r>
          <w:fldChar w:fldCharType="begin"/>
        </w:r>
        <w:r>
          <w:instrText xml:space="preserve"> PAGEREF _Toc185514338 \h </w:instrText>
        </w:r>
        <w:r>
          <w:fldChar w:fldCharType="separate"/>
        </w:r>
        <w:r>
          <w:t>423</w:t>
        </w:r>
        <w:r>
          <w:fldChar w:fldCharType="end"/>
        </w:r>
      </w:hyperlink>
    </w:p>
    <w:p w14:paraId="1C972C42" w14:textId="6EA4F9E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39" w:history="1">
        <w:r w:rsidRPr="00533B68">
          <w:t>2233</w:t>
        </w:r>
        <w:r>
          <w:rPr>
            <w:rFonts w:asciiTheme="minorHAnsi" w:eastAsiaTheme="minorEastAsia" w:hAnsiTheme="minorHAnsi" w:cstheme="minorBidi"/>
            <w:kern w:val="2"/>
            <w:sz w:val="24"/>
            <w:szCs w:val="24"/>
            <w:lang w:eastAsia="en-AU"/>
            <w14:ligatures w14:val="standardContextual"/>
          </w:rPr>
          <w:tab/>
        </w:r>
        <w:r w:rsidRPr="00533B68">
          <w:t>Seizure and sale order—account etc</w:t>
        </w:r>
        <w:r>
          <w:tab/>
        </w:r>
        <w:r>
          <w:fldChar w:fldCharType="begin"/>
        </w:r>
        <w:r>
          <w:instrText xml:space="preserve"> PAGEREF _Toc185514339 \h </w:instrText>
        </w:r>
        <w:r>
          <w:fldChar w:fldCharType="separate"/>
        </w:r>
        <w:r>
          <w:t>424</w:t>
        </w:r>
        <w:r>
          <w:fldChar w:fldCharType="end"/>
        </w:r>
      </w:hyperlink>
    </w:p>
    <w:p w14:paraId="6E89A116" w14:textId="4A13D2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0" w:history="1">
        <w:r w:rsidRPr="00533B68">
          <w:t>2234</w:t>
        </w:r>
        <w:r>
          <w:rPr>
            <w:rFonts w:asciiTheme="minorHAnsi" w:eastAsiaTheme="minorEastAsia" w:hAnsiTheme="minorHAnsi" w:cstheme="minorBidi"/>
            <w:kern w:val="2"/>
            <w:sz w:val="24"/>
            <w:szCs w:val="24"/>
            <w:lang w:eastAsia="en-AU"/>
            <w14:ligatures w14:val="standardContextual"/>
          </w:rPr>
          <w:tab/>
        </w:r>
        <w:r w:rsidRPr="00533B68">
          <w:t>Seizure and sale order—report by enforcement officer</w:t>
        </w:r>
        <w:r>
          <w:tab/>
        </w:r>
        <w:r>
          <w:fldChar w:fldCharType="begin"/>
        </w:r>
        <w:r>
          <w:instrText xml:space="preserve"> PAGEREF _Toc185514340 \h </w:instrText>
        </w:r>
        <w:r>
          <w:fldChar w:fldCharType="separate"/>
        </w:r>
        <w:r>
          <w:t>424</w:t>
        </w:r>
        <w:r>
          <w:fldChar w:fldCharType="end"/>
        </w:r>
      </w:hyperlink>
    </w:p>
    <w:p w14:paraId="30F5C347" w14:textId="7577EDF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1" w:history="1">
        <w:r w:rsidRPr="00533B68">
          <w:t>2235</w:t>
        </w:r>
        <w:r>
          <w:rPr>
            <w:rFonts w:asciiTheme="minorHAnsi" w:eastAsiaTheme="minorEastAsia" w:hAnsiTheme="minorHAnsi" w:cstheme="minorBidi"/>
            <w:kern w:val="2"/>
            <w:sz w:val="24"/>
            <w:szCs w:val="24"/>
            <w:lang w:eastAsia="en-AU"/>
            <w14:ligatures w14:val="standardContextual"/>
          </w:rPr>
          <w:tab/>
        </w:r>
        <w:r w:rsidRPr="00533B68">
          <w:t>Seizure and sale order—order for disposal and return of property to enforcement debtor</w:t>
        </w:r>
        <w:r>
          <w:tab/>
        </w:r>
        <w:r>
          <w:fldChar w:fldCharType="begin"/>
        </w:r>
        <w:r>
          <w:instrText xml:space="preserve"> PAGEREF _Toc185514341 \h </w:instrText>
        </w:r>
        <w:r>
          <w:fldChar w:fldCharType="separate"/>
        </w:r>
        <w:r>
          <w:t>425</w:t>
        </w:r>
        <w:r>
          <w:fldChar w:fldCharType="end"/>
        </w:r>
      </w:hyperlink>
    </w:p>
    <w:p w14:paraId="5F513F0D" w14:textId="23D5850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342" w:history="1">
        <w:r w:rsidR="00AC5392" w:rsidRPr="00533B68">
          <w:t>Division 2.18.6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orders—debt redirection orders generally</w:t>
        </w:r>
        <w:r w:rsidR="00AC5392" w:rsidRPr="00AC5392">
          <w:rPr>
            <w:vanish/>
          </w:rPr>
          <w:tab/>
        </w:r>
        <w:r w:rsidR="00AC5392" w:rsidRPr="00AC5392">
          <w:rPr>
            <w:vanish/>
          </w:rPr>
          <w:fldChar w:fldCharType="begin"/>
        </w:r>
        <w:r w:rsidR="00AC5392" w:rsidRPr="00AC5392">
          <w:rPr>
            <w:vanish/>
          </w:rPr>
          <w:instrText xml:space="preserve"> PAGEREF _Toc185514342 \h </w:instrText>
        </w:r>
        <w:r w:rsidR="00AC5392" w:rsidRPr="00AC5392">
          <w:rPr>
            <w:vanish/>
          </w:rPr>
        </w:r>
        <w:r w:rsidR="00AC5392" w:rsidRPr="00AC5392">
          <w:rPr>
            <w:vanish/>
          </w:rPr>
          <w:fldChar w:fldCharType="separate"/>
        </w:r>
        <w:r w:rsidR="00AC5392" w:rsidRPr="00AC5392">
          <w:rPr>
            <w:vanish/>
          </w:rPr>
          <w:t>426</w:t>
        </w:r>
        <w:r w:rsidR="00AC5392" w:rsidRPr="00AC5392">
          <w:rPr>
            <w:vanish/>
          </w:rPr>
          <w:fldChar w:fldCharType="end"/>
        </w:r>
      </w:hyperlink>
    </w:p>
    <w:p w14:paraId="4AECC1C5" w14:textId="14F0678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3" w:history="1">
        <w:r w:rsidRPr="00533B68">
          <w:t>2300</w:t>
        </w:r>
        <w:r>
          <w:rPr>
            <w:rFonts w:asciiTheme="minorHAnsi" w:eastAsiaTheme="minorEastAsia" w:hAnsiTheme="minorHAnsi" w:cstheme="minorBidi"/>
            <w:kern w:val="2"/>
            <w:sz w:val="24"/>
            <w:szCs w:val="24"/>
            <w:lang w:eastAsia="en-AU"/>
            <w14:ligatures w14:val="standardContextual"/>
          </w:rPr>
          <w:tab/>
        </w:r>
        <w:r w:rsidRPr="00533B68">
          <w:t>Application—div 2.18.6</w:t>
        </w:r>
        <w:r>
          <w:tab/>
        </w:r>
        <w:r>
          <w:fldChar w:fldCharType="begin"/>
        </w:r>
        <w:r>
          <w:instrText xml:space="preserve"> PAGEREF _Toc185514343 \h </w:instrText>
        </w:r>
        <w:r>
          <w:fldChar w:fldCharType="separate"/>
        </w:r>
        <w:r>
          <w:t>426</w:t>
        </w:r>
        <w:r>
          <w:fldChar w:fldCharType="end"/>
        </w:r>
      </w:hyperlink>
    </w:p>
    <w:p w14:paraId="77D2798E" w14:textId="65C0A7B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4" w:history="1">
        <w:r w:rsidRPr="00533B68">
          <w:t>2301</w:t>
        </w:r>
        <w:r>
          <w:rPr>
            <w:rFonts w:asciiTheme="minorHAnsi" w:eastAsiaTheme="minorEastAsia" w:hAnsiTheme="minorHAnsi" w:cstheme="minorBidi"/>
            <w:kern w:val="2"/>
            <w:sz w:val="24"/>
            <w:szCs w:val="24"/>
            <w:lang w:eastAsia="en-AU"/>
            <w14:ligatures w14:val="standardContextual"/>
          </w:rPr>
          <w:tab/>
        </w:r>
        <w:r w:rsidRPr="00533B68">
          <w:t>Debt redirection order—making</w:t>
        </w:r>
        <w:r>
          <w:tab/>
        </w:r>
        <w:r>
          <w:fldChar w:fldCharType="begin"/>
        </w:r>
        <w:r>
          <w:instrText xml:space="preserve"> PAGEREF _Toc185514344 \h </w:instrText>
        </w:r>
        <w:r>
          <w:fldChar w:fldCharType="separate"/>
        </w:r>
        <w:r>
          <w:t>426</w:t>
        </w:r>
        <w:r>
          <w:fldChar w:fldCharType="end"/>
        </w:r>
      </w:hyperlink>
    </w:p>
    <w:p w14:paraId="608E385E" w14:textId="2AF00D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5" w:history="1">
        <w:r w:rsidRPr="00533B68">
          <w:t>2302</w:t>
        </w:r>
        <w:r>
          <w:rPr>
            <w:rFonts w:asciiTheme="minorHAnsi" w:eastAsiaTheme="minorEastAsia" w:hAnsiTheme="minorHAnsi" w:cstheme="minorBidi"/>
            <w:kern w:val="2"/>
            <w:sz w:val="24"/>
            <w:szCs w:val="24"/>
            <w:lang w:eastAsia="en-AU"/>
            <w14:ligatures w14:val="standardContextual"/>
          </w:rPr>
          <w:tab/>
        </w:r>
        <w:r w:rsidRPr="00533B68">
          <w:t>Debt redirection order—application</w:t>
        </w:r>
        <w:r>
          <w:tab/>
        </w:r>
        <w:r>
          <w:fldChar w:fldCharType="begin"/>
        </w:r>
        <w:r>
          <w:instrText xml:space="preserve"> PAGEREF _Toc185514345 \h </w:instrText>
        </w:r>
        <w:r>
          <w:fldChar w:fldCharType="separate"/>
        </w:r>
        <w:r>
          <w:t>427</w:t>
        </w:r>
        <w:r>
          <w:fldChar w:fldCharType="end"/>
        </w:r>
      </w:hyperlink>
    </w:p>
    <w:p w14:paraId="4B154AAF" w14:textId="5654DD2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6" w:history="1">
        <w:r w:rsidRPr="00533B68">
          <w:t>2303</w:t>
        </w:r>
        <w:r>
          <w:rPr>
            <w:rFonts w:asciiTheme="minorHAnsi" w:eastAsiaTheme="minorEastAsia" w:hAnsiTheme="minorHAnsi" w:cstheme="minorBidi"/>
            <w:kern w:val="2"/>
            <w:sz w:val="24"/>
            <w:szCs w:val="24"/>
            <w:lang w:eastAsia="en-AU"/>
            <w14:ligatures w14:val="standardContextual"/>
          </w:rPr>
          <w:tab/>
        </w:r>
        <w:r w:rsidRPr="00533B68">
          <w:t>Debt redirection order—relevant considerations</w:t>
        </w:r>
        <w:r>
          <w:tab/>
        </w:r>
        <w:r>
          <w:fldChar w:fldCharType="begin"/>
        </w:r>
        <w:r>
          <w:instrText xml:space="preserve"> PAGEREF _Toc185514346 \h </w:instrText>
        </w:r>
        <w:r>
          <w:fldChar w:fldCharType="separate"/>
        </w:r>
        <w:r>
          <w:t>428</w:t>
        </w:r>
        <w:r>
          <w:fldChar w:fldCharType="end"/>
        </w:r>
      </w:hyperlink>
    </w:p>
    <w:p w14:paraId="0ADF01EE" w14:textId="10B4F6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7" w:history="1">
        <w:r w:rsidRPr="00533B68">
          <w:t>2304</w:t>
        </w:r>
        <w:r>
          <w:rPr>
            <w:rFonts w:asciiTheme="minorHAnsi" w:eastAsiaTheme="minorEastAsia" w:hAnsiTheme="minorHAnsi" w:cstheme="minorBidi"/>
            <w:kern w:val="2"/>
            <w:sz w:val="24"/>
            <w:szCs w:val="24"/>
            <w:lang w:eastAsia="en-AU"/>
            <w14:ligatures w14:val="standardContextual"/>
          </w:rPr>
          <w:tab/>
        </w:r>
        <w:r w:rsidRPr="00533B68">
          <w:t>Debt redirection order—joint funds</w:t>
        </w:r>
        <w:r>
          <w:tab/>
        </w:r>
        <w:r>
          <w:fldChar w:fldCharType="begin"/>
        </w:r>
        <w:r>
          <w:instrText xml:space="preserve"> PAGEREF _Toc185514347 \h </w:instrText>
        </w:r>
        <w:r>
          <w:fldChar w:fldCharType="separate"/>
        </w:r>
        <w:r>
          <w:t>429</w:t>
        </w:r>
        <w:r>
          <w:fldChar w:fldCharType="end"/>
        </w:r>
      </w:hyperlink>
    </w:p>
    <w:p w14:paraId="2859BF96" w14:textId="09703484"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348" w:history="1">
        <w:r w:rsidRPr="00533B68">
          <w:t>2305</w:t>
        </w:r>
        <w:r>
          <w:rPr>
            <w:rFonts w:asciiTheme="minorHAnsi" w:eastAsiaTheme="minorEastAsia" w:hAnsiTheme="minorHAnsi" w:cstheme="minorBidi"/>
            <w:kern w:val="2"/>
            <w:sz w:val="24"/>
            <w:szCs w:val="24"/>
            <w:lang w:eastAsia="en-AU"/>
            <w14:ligatures w14:val="standardContextual"/>
          </w:rPr>
          <w:tab/>
        </w:r>
        <w:r w:rsidRPr="00533B68">
          <w:t>Debt redirection order—partnership debts</w:t>
        </w:r>
        <w:r>
          <w:tab/>
        </w:r>
        <w:r>
          <w:fldChar w:fldCharType="begin"/>
        </w:r>
        <w:r>
          <w:instrText xml:space="preserve"> PAGEREF _Toc185514348 \h </w:instrText>
        </w:r>
        <w:r>
          <w:fldChar w:fldCharType="separate"/>
        </w:r>
        <w:r>
          <w:t>429</w:t>
        </w:r>
        <w:r>
          <w:fldChar w:fldCharType="end"/>
        </w:r>
      </w:hyperlink>
    </w:p>
    <w:p w14:paraId="161792D8" w14:textId="309B5B7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49" w:history="1">
        <w:r w:rsidRPr="00533B68">
          <w:t>2306</w:t>
        </w:r>
        <w:r>
          <w:rPr>
            <w:rFonts w:asciiTheme="minorHAnsi" w:eastAsiaTheme="minorEastAsia" w:hAnsiTheme="minorHAnsi" w:cstheme="minorBidi"/>
            <w:kern w:val="2"/>
            <w:sz w:val="24"/>
            <w:szCs w:val="24"/>
            <w:lang w:eastAsia="en-AU"/>
            <w14:ligatures w14:val="standardContextual"/>
          </w:rPr>
          <w:tab/>
        </w:r>
        <w:r w:rsidRPr="00533B68">
          <w:t>Debt redirection order—account with financial institution</w:t>
        </w:r>
        <w:r>
          <w:tab/>
        </w:r>
        <w:r>
          <w:fldChar w:fldCharType="begin"/>
        </w:r>
        <w:r>
          <w:instrText xml:space="preserve"> PAGEREF _Toc185514349 \h </w:instrText>
        </w:r>
        <w:r>
          <w:fldChar w:fldCharType="separate"/>
        </w:r>
        <w:r>
          <w:t>430</w:t>
        </w:r>
        <w:r>
          <w:fldChar w:fldCharType="end"/>
        </w:r>
      </w:hyperlink>
    </w:p>
    <w:p w14:paraId="21692889" w14:textId="531077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0" w:history="1">
        <w:r w:rsidRPr="00533B68">
          <w:t>2307</w:t>
        </w:r>
        <w:r>
          <w:rPr>
            <w:rFonts w:asciiTheme="minorHAnsi" w:eastAsiaTheme="minorEastAsia" w:hAnsiTheme="minorHAnsi" w:cstheme="minorBidi"/>
            <w:kern w:val="2"/>
            <w:sz w:val="24"/>
            <w:szCs w:val="24"/>
            <w:lang w:eastAsia="en-AU"/>
            <w14:ligatures w14:val="standardContextual"/>
          </w:rPr>
          <w:tab/>
        </w:r>
        <w:r w:rsidRPr="00533B68">
          <w:t>Debt redirection order—claim by someone else</w:t>
        </w:r>
        <w:r>
          <w:tab/>
        </w:r>
        <w:r>
          <w:fldChar w:fldCharType="begin"/>
        </w:r>
        <w:r>
          <w:instrText xml:space="preserve"> PAGEREF _Toc185514350 \h </w:instrText>
        </w:r>
        <w:r>
          <w:fldChar w:fldCharType="separate"/>
        </w:r>
        <w:r>
          <w:t>431</w:t>
        </w:r>
        <w:r>
          <w:fldChar w:fldCharType="end"/>
        </w:r>
      </w:hyperlink>
    </w:p>
    <w:p w14:paraId="5A44CEDC" w14:textId="39C4C40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1" w:history="1">
        <w:r w:rsidRPr="00533B68">
          <w:t>2308</w:t>
        </w:r>
        <w:r>
          <w:rPr>
            <w:rFonts w:asciiTheme="minorHAnsi" w:eastAsiaTheme="minorEastAsia" w:hAnsiTheme="minorHAnsi" w:cstheme="minorBidi"/>
            <w:kern w:val="2"/>
            <w:sz w:val="24"/>
            <w:szCs w:val="24"/>
            <w:lang w:eastAsia="en-AU"/>
            <w14:ligatures w14:val="standardContextual"/>
          </w:rPr>
          <w:tab/>
        </w:r>
        <w:r w:rsidRPr="00533B68">
          <w:t>Debt redirection order—when debt redirected</w:t>
        </w:r>
        <w:r>
          <w:tab/>
        </w:r>
        <w:r>
          <w:fldChar w:fldCharType="begin"/>
        </w:r>
        <w:r>
          <w:instrText xml:space="preserve"> PAGEREF _Toc185514351 \h </w:instrText>
        </w:r>
        <w:r>
          <w:fldChar w:fldCharType="separate"/>
        </w:r>
        <w:r>
          <w:t>431</w:t>
        </w:r>
        <w:r>
          <w:fldChar w:fldCharType="end"/>
        </w:r>
      </w:hyperlink>
    </w:p>
    <w:p w14:paraId="1CC0A584" w14:textId="4CA16E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2" w:history="1">
        <w:r w:rsidRPr="00533B68">
          <w:t>2309</w:t>
        </w:r>
        <w:r>
          <w:rPr>
            <w:rFonts w:asciiTheme="minorHAnsi" w:eastAsiaTheme="minorEastAsia" w:hAnsiTheme="minorHAnsi" w:cstheme="minorBidi"/>
            <w:kern w:val="2"/>
            <w:sz w:val="24"/>
            <w:szCs w:val="24"/>
            <w:lang w:eastAsia="en-AU"/>
            <w14:ligatures w14:val="standardContextual"/>
          </w:rPr>
          <w:tab/>
        </w:r>
        <w:r w:rsidRPr="00533B68">
          <w:t>Debt redirection order—notice by third person to enforcement creditor</w:t>
        </w:r>
        <w:r>
          <w:tab/>
        </w:r>
        <w:r>
          <w:fldChar w:fldCharType="begin"/>
        </w:r>
        <w:r>
          <w:instrText xml:space="preserve"> PAGEREF _Toc185514352 \h </w:instrText>
        </w:r>
        <w:r>
          <w:fldChar w:fldCharType="separate"/>
        </w:r>
        <w:r>
          <w:t>432</w:t>
        </w:r>
        <w:r>
          <w:fldChar w:fldCharType="end"/>
        </w:r>
      </w:hyperlink>
    </w:p>
    <w:p w14:paraId="259A7965" w14:textId="6805E2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3" w:history="1">
        <w:r w:rsidRPr="00533B68">
          <w:t>2310</w:t>
        </w:r>
        <w:r>
          <w:rPr>
            <w:rFonts w:asciiTheme="minorHAnsi" w:eastAsiaTheme="minorEastAsia" w:hAnsiTheme="minorHAnsi" w:cstheme="minorBidi"/>
            <w:kern w:val="2"/>
            <w:sz w:val="24"/>
            <w:szCs w:val="24"/>
            <w:lang w:eastAsia="en-AU"/>
            <w14:ligatures w14:val="standardContextual"/>
          </w:rPr>
          <w:tab/>
        </w:r>
        <w:r w:rsidRPr="00533B68">
          <w:t>Debt redirection order—payments by third person</w:t>
        </w:r>
        <w:r>
          <w:tab/>
        </w:r>
        <w:r>
          <w:fldChar w:fldCharType="begin"/>
        </w:r>
        <w:r>
          <w:instrText xml:space="preserve"> PAGEREF _Toc185514353 \h </w:instrText>
        </w:r>
        <w:r>
          <w:fldChar w:fldCharType="separate"/>
        </w:r>
        <w:r>
          <w:t>432</w:t>
        </w:r>
        <w:r>
          <w:fldChar w:fldCharType="end"/>
        </w:r>
      </w:hyperlink>
    </w:p>
    <w:p w14:paraId="322FD343" w14:textId="44E03BC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4" w:history="1">
        <w:r w:rsidRPr="00533B68">
          <w:t>2311</w:t>
        </w:r>
        <w:r>
          <w:rPr>
            <w:rFonts w:asciiTheme="minorHAnsi" w:eastAsiaTheme="minorEastAsia" w:hAnsiTheme="minorHAnsi" w:cstheme="minorBidi"/>
            <w:kern w:val="2"/>
            <w:sz w:val="24"/>
            <w:szCs w:val="24"/>
            <w:lang w:eastAsia="en-AU"/>
            <w14:ligatures w14:val="standardContextual"/>
          </w:rPr>
          <w:tab/>
        </w:r>
        <w:r w:rsidRPr="00533B68">
          <w:t>Debt redirection order—third person disputes liability</w:t>
        </w:r>
        <w:r>
          <w:tab/>
        </w:r>
        <w:r>
          <w:fldChar w:fldCharType="begin"/>
        </w:r>
        <w:r>
          <w:instrText xml:space="preserve"> PAGEREF _Toc185514354 \h </w:instrText>
        </w:r>
        <w:r>
          <w:fldChar w:fldCharType="separate"/>
        </w:r>
        <w:r>
          <w:t>432</w:t>
        </w:r>
        <w:r>
          <w:fldChar w:fldCharType="end"/>
        </w:r>
      </w:hyperlink>
    </w:p>
    <w:p w14:paraId="6FC87453" w14:textId="6962F1C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5" w:history="1">
        <w:r w:rsidRPr="00533B68">
          <w:t>2312</w:t>
        </w:r>
        <w:r>
          <w:rPr>
            <w:rFonts w:asciiTheme="minorHAnsi" w:eastAsiaTheme="minorEastAsia" w:hAnsiTheme="minorHAnsi" w:cstheme="minorBidi"/>
            <w:kern w:val="2"/>
            <w:sz w:val="24"/>
            <w:szCs w:val="24"/>
            <w:lang w:eastAsia="en-AU"/>
            <w14:ligatures w14:val="standardContextual"/>
          </w:rPr>
          <w:tab/>
        </w:r>
        <w:r w:rsidRPr="00533B68">
          <w:t>Debt redirection order—discharge of third person</w:t>
        </w:r>
        <w:r>
          <w:tab/>
        </w:r>
        <w:r>
          <w:fldChar w:fldCharType="begin"/>
        </w:r>
        <w:r>
          <w:instrText xml:space="preserve"> PAGEREF _Toc185514355 \h </w:instrText>
        </w:r>
        <w:r>
          <w:fldChar w:fldCharType="separate"/>
        </w:r>
        <w:r>
          <w:t>433</w:t>
        </w:r>
        <w:r>
          <w:fldChar w:fldCharType="end"/>
        </w:r>
      </w:hyperlink>
    </w:p>
    <w:p w14:paraId="78237CD3" w14:textId="13E326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6" w:history="1">
        <w:r w:rsidRPr="00533B68">
          <w:t>2313</w:t>
        </w:r>
        <w:r>
          <w:rPr>
            <w:rFonts w:asciiTheme="minorHAnsi" w:eastAsiaTheme="minorEastAsia" w:hAnsiTheme="minorHAnsi" w:cstheme="minorBidi"/>
            <w:kern w:val="2"/>
            <w:sz w:val="24"/>
            <w:szCs w:val="24"/>
            <w:lang w:eastAsia="en-AU"/>
            <w14:ligatures w14:val="standardContextual"/>
          </w:rPr>
          <w:tab/>
        </w:r>
        <w:r w:rsidRPr="00533B68">
          <w:t>Debt redirection order—payment to enforcement debtor despite redirection</w:t>
        </w:r>
        <w:r>
          <w:tab/>
        </w:r>
        <w:r>
          <w:fldChar w:fldCharType="begin"/>
        </w:r>
        <w:r>
          <w:instrText xml:space="preserve"> PAGEREF _Toc185514356 \h </w:instrText>
        </w:r>
        <w:r>
          <w:fldChar w:fldCharType="separate"/>
        </w:r>
        <w:r>
          <w:t>434</w:t>
        </w:r>
        <w:r>
          <w:fldChar w:fldCharType="end"/>
        </w:r>
      </w:hyperlink>
    </w:p>
    <w:p w14:paraId="0478A16B" w14:textId="0C4905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7" w:history="1">
        <w:r w:rsidRPr="00533B68">
          <w:t>2314</w:t>
        </w:r>
        <w:r>
          <w:rPr>
            <w:rFonts w:asciiTheme="minorHAnsi" w:eastAsiaTheme="minorEastAsia" w:hAnsiTheme="minorHAnsi" w:cstheme="minorBidi"/>
            <w:kern w:val="2"/>
            <w:sz w:val="24"/>
            <w:szCs w:val="24"/>
            <w:lang w:eastAsia="en-AU"/>
            <w14:ligatures w14:val="standardContextual"/>
          </w:rPr>
          <w:tab/>
        </w:r>
        <w:r w:rsidRPr="00533B68">
          <w:t>Debt redirection order—amending, suspending or setting aside</w:t>
        </w:r>
        <w:r>
          <w:tab/>
        </w:r>
        <w:r>
          <w:fldChar w:fldCharType="begin"/>
        </w:r>
        <w:r>
          <w:instrText xml:space="preserve"> PAGEREF _Toc185514357 \h </w:instrText>
        </w:r>
        <w:r>
          <w:fldChar w:fldCharType="separate"/>
        </w:r>
        <w:r>
          <w:t>434</w:t>
        </w:r>
        <w:r>
          <w:fldChar w:fldCharType="end"/>
        </w:r>
      </w:hyperlink>
    </w:p>
    <w:p w14:paraId="22D5359A" w14:textId="685DE83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58" w:history="1">
        <w:r w:rsidRPr="00533B68">
          <w:t>2315</w:t>
        </w:r>
        <w:r>
          <w:rPr>
            <w:rFonts w:asciiTheme="minorHAnsi" w:eastAsiaTheme="minorEastAsia" w:hAnsiTheme="minorHAnsi" w:cstheme="minorBidi"/>
            <w:kern w:val="2"/>
            <w:sz w:val="24"/>
            <w:szCs w:val="24"/>
            <w:lang w:eastAsia="en-AU"/>
            <w14:ligatures w14:val="standardContextual"/>
          </w:rPr>
          <w:tab/>
        </w:r>
        <w:r w:rsidRPr="00533B68">
          <w:t>Debt redirection order—procedure if order not complied with</w:t>
        </w:r>
        <w:r>
          <w:tab/>
        </w:r>
        <w:r>
          <w:fldChar w:fldCharType="begin"/>
        </w:r>
        <w:r>
          <w:instrText xml:space="preserve"> PAGEREF _Toc185514358 \h </w:instrText>
        </w:r>
        <w:r>
          <w:fldChar w:fldCharType="separate"/>
        </w:r>
        <w:r>
          <w:t>436</w:t>
        </w:r>
        <w:r>
          <w:fldChar w:fldCharType="end"/>
        </w:r>
      </w:hyperlink>
    </w:p>
    <w:p w14:paraId="68762378" w14:textId="16190E6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359" w:history="1">
        <w:r w:rsidR="00AC5392" w:rsidRPr="00533B68">
          <w:t>Division 2.18.7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orders—regular redirections from financial institutions</w:t>
        </w:r>
        <w:r w:rsidR="00AC5392" w:rsidRPr="00AC5392">
          <w:rPr>
            <w:vanish/>
          </w:rPr>
          <w:tab/>
        </w:r>
        <w:r w:rsidR="00AC5392" w:rsidRPr="00AC5392">
          <w:rPr>
            <w:vanish/>
          </w:rPr>
          <w:fldChar w:fldCharType="begin"/>
        </w:r>
        <w:r w:rsidR="00AC5392" w:rsidRPr="00AC5392">
          <w:rPr>
            <w:vanish/>
          </w:rPr>
          <w:instrText xml:space="preserve"> PAGEREF _Toc185514359 \h </w:instrText>
        </w:r>
        <w:r w:rsidR="00AC5392" w:rsidRPr="00AC5392">
          <w:rPr>
            <w:vanish/>
          </w:rPr>
        </w:r>
        <w:r w:rsidR="00AC5392" w:rsidRPr="00AC5392">
          <w:rPr>
            <w:vanish/>
          </w:rPr>
          <w:fldChar w:fldCharType="separate"/>
        </w:r>
        <w:r w:rsidR="00AC5392" w:rsidRPr="00AC5392">
          <w:rPr>
            <w:vanish/>
          </w:rPr>
          <w:t>437</w:t>
        </w:r>
        <w:r w:rsidR="00AC5392" w:rsidRPr="00AC5392">
          <w:rPr>
            <w:vanish/>
          </w:rPr>
          <w:fldChar w:fldCharType="end"/>
        </w:r>
      </w:hyperlink>
    </w:p>
    <w:p w14:paraId="173B9A39" w14:textId="75A16B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0" w:history="1">
        <w:r w:rsidRPr="00533B68">
          <w:t>2330</w:t>
        </w:r>
        <w:r>
          <w:rPr>
            <w:rFonts w:asciiTheme="minorHAnsi" w:eastAsiaTheme="minorEastAsia" w:hAnsiTheme="minorHAnsi" w:cstheme="minorBidi"/>
            <w:kern w:val="2"/>
            <w:sz w:val="24"/>
            <w:szCs w:val="24"/>
            <w:lang w:eastAsia="en-AU"/>
            <w14:ligatures w14:val="standardContextual"/>
          </w:rPr>
          <w:tab/>
        </w:r>
        <w:r w:rsidRPr="00533B68">
          <w:t>Application—div 2.18.7</w:t>
        </w:r>
        <w:r>
          <w:tab/>
        </w:r>
        <w:r>
          <w:fldChar w:fldCharType="begin"/>
        </w:r>
        <w:r>
          <w:instrText xml:space="preserve"> PAGEREF _Toc185514360 \h </w:instrText>
        </w:r>
        <w:r>
          <w:fldChar w:fldCharType="separate"/>
        </w:r>
        <w:r>
          <w:t>437</w:t>
        </w:r>
        <w:r>
          <w:fldChar w:fldCharType="end"/>
        </w:r>
      </w:hyperlink>
    </w:p>
    <w:p w14:paraId="64983833" w14:textId="4CAAD26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1" w:history="1">
        <w:r w:rsidRPr="00533B68">
          <w:t>2331</w:t>
        </w:r>
        <w:r>
          <w:rPr>
            <w:rFonts w:asciiTheme="minorHAnsi" w:eastAsiaTheme="minorEastAsia" w:hAnsiTheme="minorHAnsi" w:cstheme="minorBidi"/>
            <w:kern w:val="2"/>
            <w:sz w:val="24"/>
            <w:szCs w:val="24"/>
            <w:lang w:eastAsia="en-AU"/>
            <w14:ligatures w14:val="standardContextual"/>
          </w:rPr>
          <w:tab/>
        </w:r>
        <w:r w:rsidRPr="00533B68">
          <w:t>Regular redirection order—application of div 2.18.6</w:t>
        </w:r>
        <w:r>
          <w:tab/>
        </w:r>
        <w:r>
          <w:fldChar w:fldCharType="begin"/>
        </w:r>
        <w:r>
          <w:instrText xml:space="preserve"> PAGEREF _Toc185514361 \h </w:instrText>
        </w:r>
        <w:r>
          <w:fldChar w:fldCharType="separate"/>
        </w:r>
        <w:r>
          <w:t>437</w:t>
        </w:r>
        <w:r>
          <w:fldChar w:fldCharType="end"/>
        </w:r>
      </w:hyperlink>
    </w:p>
    <w:p w14:paraId="3EB0DEE9" w14:textId="5057C9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2" w:history="1">
        <w:r w:rsidRPr="00533B68">
          <w:t>2332</w:t>
        </w:r>
        <w:r>
          <w:rPr>
            <w:rFonts w:asciiTheme="minorHAnsi" w:eastAsiaTheme="minorEastAsia" w:hAnsiTheme="minorHAnsi" w:cstheme="minorBidi"/>
            <w:kern w:val="2"/>
            <w:sz w:val="24"/>
            <w:szCs w:val="24"/>
            <w:lang w:eastAsia="en-AU"/>
            <w14:ligatures w14:val="standardContextual"/>
          </w:rPr>
          <w:tab/>
        </w:r>
        <w:r w:rsidRPr="00533B68">
          <w:t>Regular redirection order—making</w:t>
        </w:r>
        <w:r>
          <w:tab/>
        </w:r>
        <w:r>
          <w:fldChar w:fldCharType="begin"/>
        </w:r>
        <w:r>
          <w:instrText xml:space="preserve"> PAGEREF _Toc185514362 \h </w:instrText>
        </w:r>
        <w:r>
          <w:fldChar w:fldCharType="separate"/>
        </w:r>
        <w:r>
          <w:t>437</w:t>
        </w:r>
        <w:r>
          <w:fldChar w:fldCharType="end"/>
        </w:r>
      </w:hyperlink>
    </w:p>
    <w:p w14:paraId="22645714" w14:textId="52CD05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3" w:history="1">
        <w:r w:rsidRPr="00533B68">
          <w:t>2333</w:t>
        </w:r>
        <w:r>
          <w:rPr>
            <w:rFonts w:asciiTheme="minorHAnsi" w:eastAsiaTheme="minorEastAsia" w:hAnsiTheme="minorHAnsi" w:cstheme="minorBidi"/>
            <w:kern w:val="2"/>
            <w:sz w:val="24"/>
            <w:szCs w:val="24"/>
            <w:lang w:eastAsia="en-AU"/>
            <w14:ligatures w14:val="standardContextual"/>
          </w:rPr>
          <w:tab/>
        </w:r>
        <w:r w:rsidRPr="00533B68">
          <w:t>Regular redirection order—content</w:t>
        </w:r>
        <w:r>
          <w:tab/>
        </w:r>
        <w:r>
          <w:fldChar w:fldCharType="begin"/>
        </w:r>
        <w:r>
          <w:instrText xml:space="preserve"> PAGEREF _Toc185514363 \h </w:instrText>
        </w:r>
        <w:r>
          <w:fldChar w:fldCharType="separate"/>
        </w:r>
        <w:r>
          <w:t>438</w:t>
        </w:r>
        <w:r>
          <w:fldChar w:fldCharType="end"/>
        </w:r>
      </w:hyperlink>
    </w:p>
    <w:p w14:paraId="7E6D6A36" w14:textId="1E62B17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4" w:history="1">
        <w:r w:rsidRPr="00533B68">
          <w:t>2334</w:t>
        </w:r>
        <w:r>
          <w:rPr>
            <w:rFonts w:asciiTheme="minorHAnsi" w:eastAsiaTheme="minorEastAsia" w:hAnsiTheme="minorHAnsi" w:cstheme="minorBidi"/>
            <w:kern w:val="2"/>
            <w:sz w:val="24"/>
            <w:szCs w:val="24"/>
            <w:lang w:eastAsia="en-AU"/>
            <w14:ligatures w14:val="standardContextual"/>
          </w:rPr>
          <w:tab/>
        </w:r>
        <w:r w:rsidRPr="00533B68">
          <w:t>Regular redirection order—service and coming into force</w:t>
        </w:r>
        <w:r>
          <w:tab/>
        </w:r>
        <w:r>
          <w:fldChar w:fldCharType="begin"/>
        </w:r>
        <w:r>
          <w:instrText xml:space="preserve"> PAGEREF _Toc185514364 \h </w:instrText>
        </w:r>
        <w:r>
          <w:fldChar w:fldCharType="separate"/>
        </w:r>
        <w:r>
          <w:t>438</w:t>
        </w:r>
        <w:r>
          <w:fldChar w:fldCharType="end"/>
        </w:r>
      </w:hyperlink>
    </w:p>
    <w:p w14:paraId="4690928D" w14:textId="4B3F728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5" w:history="1">
        <w:r w:rsidRPr="00533B68">
          <w:t>2335</w:t>
        </w:r>
        <w:r>
          <w:rPr>
            <w:rFonts w:asciiTheme="minorHAnsi" w:eastAsiaTheme="minorEastAsia" w:hAnsiTheme="minorHAnsi" w:cstheme="minorBidi"/>
            <w:kern w:val="2"/>
            <w:sz w:val="24"/>
            <w:szCs w:val="24"/>
            <w:lang w:eastAsia="en-AU"/>
            <w14:ligatures w14:val="standardContextual"/>
          </w:rPr>
          <w:tab/>
        </w:r>
        <w:r w:rsidRPr="00533B68">
          <w:t>Regular redirection order—financial institution to make payments etc</w:t>
        </w:r>
        <w:r>
          <w:tab/>
        </w:r>
        <w:r>
          <w:fldChar w:fldCharType="begin"/>
        </w:r>
        <w:r>
          <w:instrText xml:space="preserve"> PAGEREF _Toc185514365 \h </w:instrText>
        </w:r>
        <w:r>
          <w:fldChar w:fldCharType="separate"/>
        </w:r>
        <w:r>
          <w:t>439</w:t>
        </w:r>
        <w:r>
          <w:fldChar w:fldCharType="end"/>
        </w:r>
      </w:hyperlink>
    </w:p>
    <w:p w14:paraId="33530BA8" w14:textId="5C19A3B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6" w:history="1">
        <w:r w:rsidRPr="00533B68">
          <w:t>2336</w:t>
        </w:r>
        <w:r>
          <w:rPr>
            <w:rFonts w:asciiTheme="minorHAnsi" w:eastAsiaTheme="minorEastAsia" w:hAnsiTheme="minorHAnsi" w:cstheme="minorBidi"/>
            <w:kern w:val="2"/>
            <w:sz w:val="24"/>
            <w:szCs w:val="24"/>
            <w:lang w:eastAsia="en-AU"/>
            <w14:ligatures w14:val="standardContextual"/>
          </w:rPr>
          <w:tab/>
        </w:r>
        <w:r w:rsidRPr="00533B68">
          <w:t>Regular redirection order—enforcement debtor not to defeat order</w:t>
        </w:r>
        <w:r>
          <w:tab/>
        </w:r>
        <w:r>
          <w:fldChar w:fldCharType="begin"/>
        </w:r>
        <w:r>
          <w:instrText xml:space="preserve"> PAGEREF _Toc185514366 \h </w:instrText>
        </w:r>
        <w:r>
          <w:fldChar w:fldCharType="separate"/>
        </w:r>
        <w:r>
          <w:t>440</w:t>
        </w:r>
        <w:r>
          <w:fldChar w:fldCharType="end"/>
        </w:r>
      </w:hyperlink>
    </w:p>
    <w:p w14:paraId="13F2FD1B" w14:textId="5EABB6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7" w:history="1">
        <w:r w:rsidRPr="00533B68">
          <w:t>2337</w:t>
        </w:r>
        <w:r>
          <w:rPr>
            <w:rFonts w:asciiTheme="minorHAnsi" w:eastAsiaTheme="minorEastAsia" w:hAnsiTheme="minorHAnsi" w:cstheme="minorBidi"/>
            <w:kern w:val="2"/>
            <w:sz w:val="24"/>
            <w:szCs w:val="24"/>
            <w:lang w:eastAsia="en-AU"/>
            <w14:ligatures w14:val="standardContextual"/>
          </w:rPr>
          <w:tab/>
        </w:r>
        <w:r w:rsidRPr="00533B68">
          <w:t>Regular redirection order—no other enforcement while in force</w:t>
        </w:r>
        <w:r>
          <w:tab/>
        </w:r>
        <w:r>
          <w:fldChar w:fldCharType="begin"/>
        </w:r>
        <w:r>
          <w:instrText xml:space="preserve"> PAGEREF _Toc185514367 \h </w:instrText>
        </w:r>
        <w:r>
          <w:fldChar w:fldCharType="separate"/>
        </w:r>
        <w:r>
          <w:t>440</w:t>
        </w:r>
        <w:r>
          <w:fldChar w:fldCharType="end"/>
        </w:r>
      </w:hyperlink>
    </w:p>
    <w:p w14:paraId="6BE4BCD0" w14:textId="7C7788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8" w:history="1">
        <w:r w:rsidRPr="00533B68">
          <w:t>2338</w:t>
        </w:r>
        <w:r>
          <w:rPr>
            <w:rFonts w:asciiTheme="minorHAnsi" w:eastAsiaTheme="minorEastAsia" w:hAnsiTheme="minorHAnsi" w:cstheme="minorBidi"/>
            <w:kern w:val="2"/>
            <w:sz w:val="24"/>
            <w:szCs w:val="24"/>
            <w:lang w:eastAsia="en-AU"/>
            <w14:ligatures w14:val="standardContextual"/>
          </w:rPr>
          <w:tab/>
        </w:r>
        <w:r w:rsidRPr="00533B68">
          <w:t>Regular redirection order—ceasing to have effect</w:t>
        </w:r>
        <w:r>
          <w:tab/>
        </w:r>
        <w:r>
          <w:fldChar w:fldCharType="begin"/>
        </w:r>
        <w:r>
          <w:instrText xml:space="preserve"> PAGEREF _Toc185514368 \h </w:instrText>
        </w:r>
        <w:r>
          <w:fldChar w:fldCharType="separate"/>
        </w:r>
        <w:r>
          <w:t>440</w:t>
        </w:r>
        <w:r>
          <w:fldChar w:fldCharType="end"/>
        </w:r>
      </w:hyperlink>
    </w:p>
    <w:p w14:paraId="412C66C2" w14:textId="10BD69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69" w:history="1">
        <w:r w:rsidRPr="00533B68">
          <w:t>2339</w:t>
        </w:r>
        <w:r>
          <w:rPr>
            <w:rFonts w:asciiTheme="minorHAnsi" w:eastAsiaTheme="minorEastAsia" w:hAnsiTheme="minorHAnsi" w:cstheme="minorBidi"/>
            <w:kern w:val="2"/>
            <w:sz w:val="24"/>
            <w:szCs w:val="24"/>
            <w:lang w:eastAsia="en-AU"/>
            <w14:ligatures w14:val="standardContextual"/>
          </w:rPr>
          <w:tab/>
        </w:r>
        <w:r w:rsidRPr="00533B68">
          <w:t>Regular redirection order—return of excess</w:t>
        </w:r>
        <w:r>
          <w:tab/>
        </w:r>
        <w:r>
          <w:fldChar w:fldCharType="begin"/>
        </w:r>
        <w:r>
          <w:instrText xml:space="preserve"> PAGEREF _Toc185514369 \h </w:instrText>
        </w:r>
        <w:r>
          <w:fldChar w:fldCharType="separate"/>
        </w:r>
        <w:r>
          <w:t>441</w:t>
        </w:r>
        <w:r>
          <w:fldChar w:fldCharType="end"/>
        </w:r>
      </w:hyperlink>
    </w:p>
    <w:p w14:paraId="5F6EE93B" w14:textId="4D8FBCC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0" w:history="1">
        <w:r w:rsidRPr="00533B68">
          <w:t>2340</w:t>
        </w:r>
        <w:r>
          <w:rPr>
            <w:rFonts w:asciiTheme="minorHAnsi" w:eastAsiaTheme="minorEastAsia" w:hAnsiTheme="minorHAnsi" w:cstheme="minorBidi"/>
            <w:kern w:val="2"/>
            <w:sz w:val="24"/>
            <w:szCs w:val="24"/>
            <w:lang w:eastAsia="en-AU"/>
            <w14:ligatures w14:val="standardContextual"/>
          </w:rPr>
          <w:tab/>
        </w:r>
        <w:r w:rsidRPr="00533B68">
          <w:t>Regular redirection order—record of payments</w:t>
        </w:r>
        <w:r>
          <w:tab/>
        </w:r>
        <w:r>
          <w:fldChar w:fldCharType="begin"/>
        </w:r>
        <w:r>
          <w:instrText xml:space="preserve"> PAGEREF _Toc185514370 \h </w:instrText>
        </w:r>
        <w:r>
          <w:fldChar w:fldCharType="separate"/>
        </w:r>
        <w:r>
          <w:t>442</w:t>
        </w:r>
        <w:r>
          <w:fldChar w:fldCharType="end"/>
        </w:r>
      </w:hyperlink>
    </w:p>
    <w:p w14:paraId="3CF66496" w14:textId="716C46D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371" w:history="1">
        <w:r w:rsidR="00AC5392" w:rsidRPr="00533B68">
          <w:t>Division 2.18.8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orders—earnings redirection orders</w:t>
        </w:r>
        <w:r w:rsidR="00AC5392" w:rsidRPr="00AC5392">
          <w:rPr>
            <w:vanish/>
          </w:rPr>
          <w:tab/>
        </w:r>
        <w:r w:rsidR="00AC5392" w:rsidRPr="00AC5392">
          <w:rPr>
            <w:vanish/>
          </w:rPr>
          <w:fldChar w:fldCharType="begin"/>
        </w:r>
        <w:r w:rsidR="00AC5392" w:rsidRPr="00AC5392">
          <w:rPr>
            <w:vanish/>
          </w:rPr>
          <w:instrText xml:space="preserve"> PAGEREF _Toc185514371 \h </w:instrText>
        </w:r>
        <w:r w:rsidR="00AC5392" w:rsidRPr="00AC5392">
          <w:rPr>
            <w:vanish/>
          </w:rPr>
        </w:r>
        <w:r w:rsidR="00AC5392" w:rsidRPr="00AC5392">
          <w:rPr>
            <w:vanish/>
          </w:rPr>
          <w:fldChar w:fldCharType="separate"/>
        </w:r>
        <w:r w:rsidR="00AC5392" w:rsidRPr="00AC5392">
          <w:rPr>
            <w:vanish/>
          </w:rPr>
          <w:t>443</w:t>
        </w:r>
        <w:r w:rsidR="00AC5392" w:rsidRPr="00AC5392">
          <w:rPr>
            <w:vanish/>
          </w:rPr>
          <w:fldChar w:fldCharType="end"/>
        </w:r>
      </w:hyperlink>
    </w:p>
    <w:p w14:paraId="537D9466" w14:textId="1E48FA3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2" w:history="1">
        <w:r w:rsidRPr="00533B68">
          <w:t>2350</w:t>
        </w:r>
        <w:r>
          <w:rPr>
            <w:rFonts w:asciiTheme="minorHAnsi" w:eastAsiaTheme="minorEastAsia" w:hAnsiTheme="minorHAnsi" w:cstheme="minorBidi"/>
            <w:kern w:val="2"/>
            <w:sz w:val="24"/>
            <w:szCs w:val="24"/>
            <w:lang w:eastAsia="en-AU"/>
            <w14:ligatures w14:val="standardContextual"/>
          </w:rPr>
          <w:tab/>
        </w:r>
        <w:r w:rsidRPr="00533B68">
          <w:t>Earnings redirection order—making</w:t>
        </w:r>
        <w:r>
          <w:tab/>
        </w:r>
        <w:r>
          <w:fldChar w:fldCharType="begin"/>
        </w:r>
        <w:r>
          <w:instrText xml:space="preserve"> PAGEREF _Toc185514372 \h </w:instrText>
        </w:r>
        <w:r>
          <w:fldChar w:fldCharType="separate"/>
        </w:r>
        <w:r>
          <w:t>443</w:t>
        </w:r>
        <w:r>
          <w:fldChar w:fldCharType="end"/>
        </w:r>
      </w:hyperlink>
    </w:p>
    <w:p w14:paraId="13B2F8F4" w14:textId="70B3584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3" w:history="1">
        <w:r w:rsidRPr="00533B68">
          <w:t>2351</w:t>
        </w:r>
        <w:r>
          <w:rPr>
            <w:rFonts w:asciiTheme="minorHAnsi" w:eastAsiaTheme="minorEastAsia" w:hAnsiTheme="minorHAnsi" w:cstheme="minorBidi"/>
            <w:kern w:val="2"/>
            <w:sz w:val="24"/>
            <w:szCs w:val="24"/>
            <w:lang w:eastAsia="en-AU"/>
            <w14:ligatures w14:val="standardContextual"/>
          </w:rPr>
          <w:tab/>
        </w:r>
        <w:r w:rsidRPr="00533B68">
          <w:t>Earnings redirection order—application</w:t>
        </w:r>
        <w:r>
          <w:tab/>
        </w:r>
        <w:r>
          <w:fldChar w:fldCharType="begin"/>
        </w:r>
        <w:r>
          <w:instrText xml:space="preserve"> PAGEREF _Toc185514373 \h </w:instrText>
        </w:r>
        <w:r>
          <w:fldChar w:fldCharType="separate"/>
        </w:r>
        <w:r>
          <w:t>443</w:t>
        </w:r>
        <w:r>
          <w:fldChar w:fldCharType="end"/>
        </w:r>
      </w:hyperlink>
    </w:p>
    <w:p w14:paraId="540571B2" w14:textId="2B4FAA1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4" w:history="1">
        <w:r w:rsidRPr="00533B68">
          <w:t>2352</w:t>
        </w:r>
        <w:r>
          <w:rPr>
            <w:rFonts w:asciiTheme="minorHAnsi" w:eastAsiaTheme="minorEastAsia" w:hAnsiTheme="minorHAnsi" w:cstheme="minorBidi"/>
            <w:kern w:val="2"/>
            <w:sz w:val="24"/>
            <w:szCs w:val="24"/>
            <w:lang w:eastAsia="en-AU"/>
            <w14:ligatures w14:val="standardContextual"/>
          </w:rPr>
          <w:tab/>
        </w:r>
        <w:r w:rsidRPr="00533B68">
          <w:t>Earnings redirection order—relevant considerations</w:t>
        </w:r>
        <w:r>
          <w:tab/>
        </w:r>
        <w:r>
          <w:fldChar w:fldCharType="begin"/>
        </w:r>
        <w:r>
          <w:instrText xml:space="preserve"> PAGEREF _Toc185514374 \h </w:instrText>
        </w:r>
        <w:r>
          <w:fldChar w:fldCharType="separate"/>
        </w:r>
        <w:r>
          <w:t>444</w:t>
        </w:r>
        <w:r>
          <w:fldChar w:fldCharType="end"/>
        </w:r>
      </w:hyperlink>
    </w:p>
    <w:p w14:paraId="6FE79752" w14:textId="2A3DE5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5" w:history="1">
        <w:r w:rsidRPr="00533B68">
          <w:t>2353</w:t>
        </w:r>
        <w:r>
          <w:rPr>
            <w:rFonts w:asciiTheme="minorHAnsi" w:eastAsiaTheme="minorEastAsia" w:hAnsiTheme="minorHAnsi" w:cstheme="minorBidi"/>
            <w:kern w:val="2"/>
            <w:sz w:val="24"/>
            <w:szCs w:val="24"/>
            <w:lang w:eastAsia="en-AU"/>
            <w14:ligatures w14:val="standardContextual"/>
          </w:rPr>
          <w:tab/>
        </w:r>
        <w:r w:rsidRPr="00533B68">
          <w:t>Earnings redirection order—limit</w:t>
        </w:r>
        <w:r>
          <w:tab/>
        </w:r>
        <w:r>
          <w:fldChar w:fldCharType="begin"/>
        </w:r>
        <w:r>
          <w:instrText xml:space="preserve"> PAGEREF _Toc185514375 \h </w:instrText>
        </w:r>
        <w:r>
          <w:fldChar w:fldCharType="separate"/>
        </w:r>
        <w:r>
          <w:t>445</w:t>
        </w:r>
        <w:r>
          <w:fldChar w:fldCharType="end"/>
        </w:r>
      </w:hyperlink>
    </w:p>
    <w:p w14:paraId="22A526F1" w14:textId="238A72E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6" w:history="1">
        <w:r w:rsidRPr="00533B68">
          <w:t>2354</w:t>
        </w:r>
        <w:r>
          <w:rPr>
            <w:rFonts w:asciiTheme="minorHAnsi" w:eastAsiaTheme="minorEastAsia" w:hAnsiTheme="minorHAnsi" w:cstheme="minorBidi"/>
            <w:kern w:val="2"/>
            <w:sz w:val="24"/>
            <w:szCs w:val="24"/>
            <w:lang w:eastAsia="en-AU"/>
            <w14:ligatures w14:val="standardContextual"/>
          </w:rPr>
          <w:tab/>
        </w:r>
        <w:r w:rsidRPr="00533B68">
          <w:t>Earnings redirection order—information about enforcement debtor’s earnings</w:t>
        </w:r>
        <w:r>
          <w:tab/>
        </w:r>
        <w:r>
          <w:fldChar w:fldCharType="begin"/>
        </w:r>
        <w:r>
          <w:instrText xml:space="preserve"> PAGEREF _Toc185514376 \h </w:instrText>
        </w:r>
        <w:r>
          <w:fldChar w:fldCharType="separate"/>
        </w:r>
        <w:r>
          <w:t>446</w:t>
        </w:r>
        <w:r>
          <w:fldChar w:fldCharType="end"/>
        </w:r>
      </w:hyperlink>
    </w:p>
    <w:p w14:paraId="34D3B2A9" w14:textId="1167EA8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7" w:history="1">
        <w:r w:rsidRPr="00533B68">
          <w:t>2355</w:t>
        </w:r>
        <w:r>
          <w:rPr>
            <w:rFonts w:asciiTheme="minorHAnsi" w:eastAsiaTheme="minorEastAsia" w:hAnsiTheme="minorHAnsi" w:cstheme="minorBidi"/>
            <w:kern w:val="2"/>
            <w:sz w:val="24"/>
            <w:szCs w:val="24"/>
            <w:lang w:eastAsia="en-AU"/>
            <w14:ligatures w14:val="standardContextual"/>
          </w:rPr>
          <w:tab/>
        </w:r>
        <w:r w:rsidRPr="00533B68">
          <w:t>Earnings redirection order—content</w:t>
        </w:r>
        <w:r>
          <w:tab/>
        </w:r>
        <w:r>
          <w:fldChar w:fldCharType="begin"/>
        </w:r>
        <w:r>
          <w:instrText xml:space="preserve"> PAGEREF _Toc185514377 \h </w:instrText>
        </w:r>
        <w:r>
          <w:fldChar w:fldCharType="separate"/>
        </w:r>
        <w:r>
          <w:t>446</w:t>
        </w:r>
        <w:r>
          <w:fldChar w:fldCharType="end"/>
        </w:r>
      </w:hyperlink>
    </w:p>
    <w:p w14:paraId="3879BF55" w14:textId="5A9E181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78" w:history="1">
        <w:r w:rsidRPr="00533B68">
          <w:t>2356</w:t>
        </w:r>
        <w:r>
          <w:rPr>
            <w:rFonts w:asciiTheme="minorHAnsi" w:eastAsiaTheme="minorEastAsia" w:hAnsiTheme="minorHAnsi" w:cstheme="minorBidi"/>
            <w:kern w:val="2"/>
            <w:sz w:val="24"/>
            <w:szCs w:val="24"/>
            <w:lang w:eastAsia="en-AU"/>
            <w14:ligatures w14:val="standardContextual"/>
          </w:rPr>
          <w:tab/>
        </w:r>
        <w:r w:rsidRPr="00533B68">
          <w:t>Earnings redirection order—service and coming into force</w:t>
        </w:r>
        <w:r>
          <w:tab/>
        </w:r>
        <w:r>
          <w:fldChar w:fldCharType="begin"/>
        </w:r>
        <w:r>
          <w:instrText xml:space="preserve"> PAGEREF _Toc185514378 \h </w:instrText>
        </w:r>
        <w:r>
          <w:fldChar w:fldCharType="separate"/>
        </w:r>
        <w:r>
          <w:t>447</w:t>
        </w:r>
        <w:r>
          <w:fldChar w:fldCharType="end"/>
        </w:r>
      </w:hyperlink>
    </w:p>
    <w:p w14:paraId="31ADF3BA" w14:textId="7E0FD1CB"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379" w:history="1">
        <w:r w:rsidRPr="00533B68">
          <w:t>2357</w:t>
        </w:r>
        <w:r>
          <w:rPr>
            <w:rFonts w:asciiTheme="minorHAnsi" w:eastAsiaTheme="minorEastAsia" w:hAnsiTheme="minorHAnsi" w:cstheme="minorBidi"/>
            <w:kern w:val="2"/>
            <w:sz w:val="24"/>
            <w:szCs w:val="24"/>
            <w:lang w:eastAsia="en-AU"/>
            <w14:ligatures w14:val="standardContextual"/>
          </w:rPr>
          <w:tab/>
        </w:r>
        <w:r w:rsidRPr="00533B68">
          <w:t>Earnings redirection order—person served not employer</w:t>
        </w:r>
        <w:r>
          <w:tab/>
        </w:r>
        <w:r>
          <w:fldChar w:fldCharType="begin"/>
        </w:r>
        <w:r>
          <w:instrText xml:space="preserve"> PAGEREF _Toc185514379 \h </w:instrText>
        </w:r>
        <w:r>
          <w:fldChar w:fldCharType="separate"/>
        </w:r>
        <w:r>
          <w:t>448</w:t>
        </w:r>
        <w:r>
          <w:fldChar w:fldCharType="end"/>
        </w:r>
      </w:hyperlink>
    </w:p>
    <w:p w14:paraId="796BE3DC" w14:textId="3FF060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0" w:history="1">
        <w:r w:rsidRPr="00533B68">
          <w:t>2358</w:t>
        </w:r>
        <w:r>
          <w:rPr>
            <w:rFonts w:asciiTheme="minorHAnsi" w:eastAsiaTheme="minorEastAsia" w:hAnsiTheme="minorHAnsi" w:cstheme="minorBidi"/>
            <w:kern w:val="2"/>
            <w:sz w:val="24"/>
            <w:szCs w:val="24"/>
            <w:lang w:eastAsia="en-AU"/>
            <w14:ligatures w14:val="standardContextual"/>
          </w:rPr>
          <w:tab/>
        </w:r>
        <w:r w:rsidRPr="00533B68">
          <w:t>Earnings redirection order—employer to make payments etc</w:t>
        </w:r>
        <w:r>
          <w:tab/>
        </w:r>
        <w:r>
          <w:fldChar w:fldCharType="begin"/>
        </w:r>
        <w:r>
          <w:instrText xml:space="preserve"> PAGEREF _Toc185514380 \h </w:instrText>
        </w:r>
        <w:r>
          <w:fldChar w:fldCharType="separate"/>
        </w:r>
        <w:r>
          <w:t>448</w:t>
        </w:r>
        <w:r>
          <w:fldChar w:fldCharType="end"/>
        </w:r>
      </w:hyperlink>
    </w:p>
    <w:p w14:paraId="3B115F17" w14:textId="03C4C6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1" w:history="1">
        <w:r w:rsidRPr="00533B68">
          <w:t>2359</w:t>
        </w:r>
        <w:r>
          <w:rPr>
            <w:rFonts w:asciiTheme="minorHAnsi" w:eastAsiaTheme="minorEastAsia" w:hAnsiTheme="minorHAnsi" w:cstheme="minorBidi"/>
            <w:kern w:val="2"/>
            <w:sz w:val="24"/>
            <w:szCs w:val="24"/>
            <w:lang w:eastAsia="en-AU"/>
            <w14:ligatures w14:val="standardContextual"/>
          </w:rPr>
          <w:tab/>
        </w:r>
        <w:r w:rsidRPr="00533B68">
          <w:t>Earnings redirection order—no other enforcement while in force</w:t>
        </w:r>
        <w:r>
          <w:tab/>
        </w:r>
        <w:r>
          <w:fldChar w:fldCharType="begin"/>
        </w:r>
        <w:r>
          <w:instrText xml:space="preserve"> PAGEREF _Toc185514381 \h </w:instrText>
        </w:r>
        <w:r>
          <w:fldChar w:fldCharType="separate"/>
        </w:r>
        <w:r>
          <w:t>449</w:t>
        </w:r>
        <w:r>
          <w:fldChar w:fldCharType="end"/>
        </w:r>
      </w:hyperlink>
    </w:p>
    <w:p w14:paraId="2479CC0D" w14:textId="2EF6CCB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2" w:history="1">
        <w:r w:rsidRPr="00533B68">
          <w:t>2360</w:t>
        </w:r>
        <w:r>
          <w:rPr>
            <w:rFonts w:asciiTheme="minorHAnsi" w:eastAsiaTheme="minorEastAsia" w:hAnsiTheme="minorHAnsi" w:cstheme="minorBidi"/>
            <w:kern w:val="2"/>
            <w:sz w:val="24"/>
            <w:szCs w:val="24"/>
            <w:lang w:eastAsia="en-AU"/>
            <w14:ligatures w14:val="standardContextual"/>
          </w:rPr>
          <w:tab/>
        </w:r>
        <w:r w:rsidRPr="00533B68">
          <w:t>Earnings redirection order—amending, suspending or setting aside</w:t>
        </w:r>
        <w:r>
          <w:tab/>
        </w:r>
        <w:r>
          <w:fldChar w:fldCharType="begin"/>
        </w:r>
        <w:r>
          <w:instrText xml:space="preserve"> PAGEREF _Toc185514382 \h </w:instrText>
        </w:r>
        <w:r>
          <w:fldChar w:fldCharType="separate"/>
        </w:r>
        <w:r>
          <w:t>449</w:t>
        </w:r>
        <w:r>
          <w:fldChar w:fldCharType="end"/>
        </w:r>
      </w:hyperlink>
    </w:p>
    <w:p w14:paraId="6F95C844" w14:textId="4D1829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3" w:history="1">
        <w:r w:rsidRPr="00533B68">
          <w:t>2361</w:t>
        </w:r>
        <w:r>
          <w:rPr>
            <w:rFonts w:asciiTheme="minorHAnsi" w:eastAsiaTheme="minorEastAsia" w:hAnsiTheme="minorHAnsi" w:cstheme="minorBidi"/>
            <w:kern w:val="2"/>
            <w:sz w:val="24"/>
            <w:szCs w:val="24"/>
            <w:lang w:eastAsia="en-AU"/>
            <w14:ligatures w14:val="standardContextual"/>
          </w:rPr>
          <w:tab/>
        </w:r>
        <w:r w:rsidRPr="00533B68">
          <w:t>Earnings redirection order—ceasing to have effect</w:t>
        </w:r>
        <w:r>
          <w:tab/>
        </w:r>
        <w:r>
          <w:fldChar w:fldCharType="begin"/>
        </w:r>
        <w:r>
          <w:instrText xml:space="preserve"> PAGEREF _Toc185514383 \h </w:instrText>
        </w:r>
        <w:r>
          <w:fldChar w:fldCharType="separate"/>
        </w:r>
        <w:r>
          <w:t>451</w:t>
        </w:r>
        <w:r>
          <w:fldChar w:fldCharType="end"/>
        </w:r>
      </w:hyperlink>
    </w:p>
    <w:p w14:paraId="6030C5B9" w14:textId="330956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4" w:history="1">
        <w:r w:rsidRPr="00533B68">
          <w:t>2362</w:t>
        </w:r>
        <w:r>
          <w:rPr>
            <w:rFonts w:asciiTheme="minorHAnsi" w:eastAsiaTheme="minorEastAsia" w:hAnsiTheme="minorHAnsi" w:cstheme="minorBidi"/>
            <w:kern w:val="2"/>
            <w:sz w:val="24"/>
            <w:szCs w:val="24"/>
            <w:lang w:eastAsia="en-AU"/>
            <w14:ligatures w14:val="standardContextual"/>
          </w:rPr>
          <w:tab/>
        </w:r>
        <w:r w:rsidRPr="00533B68">
          <w:t>Earnings redirection order—return of excess</w:t>
        </w:r>
        <w:r>
          <w:tab/>
        </w:r>
        <w:r>
          <w:fldChar w:fldCharType="begin"/>
        </w:r>
        <w:r>
          <w:instrText xml:space="preserve"> PAGEREF _Toc185514384 \h </w:instrText>
        </w:r>
        <w:r>
          <w:fldChar w:fldCharType="separate"/>
        </w:r>
        <w:r>
          <w:t>452</w:t>
        </w:r>
        <w:r>
          <w:fldChar w:fldCharType="end"/>
        </w:r>
      </w:hyperlink>
    </w:p>
    <w:p w14:paraId="4A1E2F23" w14:textId="085A67B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5" w:history="1">
        <w:r w:rsidRPr="00533B68">
          <w:t>2363</w:t>
        </w:r>
        <w:r>
          <w:rPr>
            <w:rFonts w:asciiTheme="minorHAnsi" w:eastAsiaTheme="minorEastAsia" w:hAnsiTheme="minorHAnsi" w:cstheme="minorBidi"/>
            <w:kern w:val="2"/>
            <w:sz w:val="24"/>
            <w:szCs w:val="24"/>
            <w:lang w:eastAsia="en-AU"/>
            <w14:ligatures w14:val="standardContextual"/>
          </w:rPr>
          <w:tab/>
        </w:r>
        <w:r w:rsidRPr="00533B68">
          <w:t>Earnings redirection order—record of payments</w:t>
        </w:r>
        <w:r>
          <w:tab/>
        </w:r>
        <w:r>
          <w:fldChar w:fldCharType="begin"/>
        </w:r>
        <w:r>
          <w:instrText xml:space="preserve"> PAGEREF _Toc185514385 \h </w:instrText>
        </w:r>
        <w:r>
          <w:fldChar w:fldCharType="separate"/>
        </w:r>
        <w:r>
          <w:t>452</w:t>
        </w:r>
        <w:r>
          <w:fldChar w:fldCharType="end"/>
        </w:r>
      </w:hyperlink>
    </w:p>
    <w:p w14:paraId="03031EE5" w14:textId="0F48FE5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6" w:history="1">
        <w:r w:rsidRPr="00533B68">
          <w:t>2364</w:t>
        </w:r>
        <w:r>
          <w:rPr>
            <w:rFonts w:asciiTheme="minorHAnsi" w:eastAsiaTheme="minorEastAsia" w:hAnsiTheme="minorHAnsi" w:cstheme="minorBidi"/>
            <w:kern w:val="2"/>
            <w:sz w:val="24"/>
            <w:szCs w:val="24"/>
            <w:lang w:eastAsia="en-AU"/>
            <w14:ligatures w14:val="standardContextual"/>
          </w:rPr>
          <w:tab/>
        </w:r>
        <w:r w:rsidRPr="00533B68">
          <w:t>Earnings redirection order—2 or more orders in force</w:t>
        </w:r>
        <w:r>
          <w:tab/>
        </w:r>
        <w:r>
          <w:fldChar w:fldCharType="begin"/>
        </w:r>
        <w:r>
          <w:instrText xml:space="preserve"> PAGEREF _Toc185514386 \h </w:instrText>
        </w:r>
        <w:r>
          <w:fldChar w:fldCharType="separate"/>
        </w:r>
        <w:r>
          <w:t>453</w:t>
        </w:r>
        <w:r>
          <w:fldChar w:fldCharType="end"/>
        </w:r>
      </w:hyperlink>
    </w:p>
    <w:p w14:paraId="29C4EE1E" w14:textId="7E513D6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7" w:history="1">
        <w:r w:rsidRPr="00533B68">
          <w:t>2365</w:t>
        </w:r>
        <w:r>
          <w:rPr>
            <w:rFonts w:asciiTheme="minorHAnsi" w:eastAsiaTheme="minorEastAsia" w:hAnsiTheme="minorHAnsi" w:cstheme="minorBidi"/>
            <w:kern w:val="2"/>
            <w:sz w:val="24"/>
            <w:szCs w:val="24"/>
            <w:lang w:eastAsia="en-AU"/>
            <w14:ligatures w14:val="standardContextual"/>
          </w:rPr>
          <w:tab/>
        </w:r>
        <w:r w:rsidRPr="00533B68">
          <w:t>Earnings redirection order—person served ceasing to be employer</w:t>
        </w:r>
        <w:r>
          <w:tab/>
        </w:r>
        <w:r>
          <w:fldChar w:fldCharType="begin"/>
        </w:r>
        <w:r>
          <w:instrText xml:space="preserve"> PAGEREF _Toc185514387 \h </w:instrText>
        </w:r>
        <w:r>
          <w:fldChar w:fldCharType="separate"/>
        </w:r>
        <w:r>
          <w:t>453</w:t>
        </w:r>
        <w:r>
          <w:fldChar w:fldCharType="end"/>
        </w:r>
      </w:hyperlink>
    </w:p>
    <w:p w14:paraId="02EFADDA" w14:textId="0DAE23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8" w:history="1">
        <w:r w:rsidRPr="00533B68">
          <w:t>2366</w:t>
        </w:r>
        <w:r>
          <w:rPr>
            <w:rFonts w:asciiTheme="minorHAnsi" w:eastAsiaTheme="minorEastAsia" w:hAnsiTheme="minorHAnsi" w:cstheme="minorBidi"/>
            <w:kern w:val="2"/>
            <w:sz w:val="24"/>
            <w:szCs w:val="24"/>
            <w:lang w:eastAsia="en-AU"/>
            <w14:ligatures w14:val="standardContextual"/>
          </w:rPr>
          <w:tab/>
        </w:r>
        <w:r w:rsidRPr="00533B68">
          <w:t>Earnings redirection order—enforcement debtor changes or ceases employment</w:t>
        </w:r>
        <w:r>
          <w:tab/>
        </w:r>
        <w:r>
          <w:fldChar w:fldCharType="begin"/>
        </w:r>
        <w:r>
          <w:instrText xml:space="preserve"> PAGEREF _Toc185514388 \h </w:instrText>
        </w:r>
        <w:r>
          <w:fldChar w:fldCharType="separate"/>
        </w:r>
        <w:r>
          <w:t>454</w:t>
        </w:r>
        <w:r>
          <w:fldChar w:fldCharType="end"/>
        </w:r>
      </w:hyperlink>
    </w:p>
    <w:p w14:paraId="3FED2A1C" w14:textId="6C934DC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89" w:history="1">
        <w:r w:rsidRPr="00533B68">
          <w:t>2367</w:t>
        </w:r>
        <w:r>
          <w:rPr>
            <w:rFonts w:asciiTheme="minorHAnsi" w:eastAsiaTheme="minorEastAsia" w:hAnsiTheme="minorHAnsi" w:cstheme="minorBidi"/>
            <w:kern w:val="2"/>
            <w:sz w:val="24"/>
            <w:szCs w:val="24"/>
            <w:lang w:eastAsia="en-AU"/>
            <w14:ligatures w14:val="standardContextual"/>
          </w:rPr>
          <w:tab/>
        </w:r>
        <w:r w:rsidRPr="00533B68">
          <w:t>Earnings redirection order—directions</w:t>
        </w:r>
        <w:r>
          <w:tab/>
        </w:r>
        <w:r>
          <w:fldChar w:fldCharType="begin"/>
        </w:r>
        <w:r>
          <w:instrText xml:space="preserve"> PAGEREF _Toc185514389 \h </w:instrText>
        </w:r>
        <w:r>
          <w:fldChar w:fldCharType="separate"/>
        </w:r>
        <w:r>
          <w:t>454</w:t>
        </w:r>
        <w:r>
          <w:fldChar w:fldCharType="end"/>
        </w:r>
      </w:hyperlink>
    </w:p>
    <w:p w14:paraId="08754A92" w14:textId="6A1C3C1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0" w:history="1">
        <w:r w:rsidRPr="00533B68">
          <w:t>2368</w:t>
        </w:r>
        <w:r>
          <w:rPr>
            <w:rFonts w:asciiTheme="minorHAnsi" w:eastAsiaTheme="minorEastAsia" w:hAnsiTheme="minorHAnsi" w:cstheme="minorBidi"/>
            <w:kern w:val="2"/>
            <w:sz w:val="24"/>
            <w:szCs w:val="24"/>
            <w:lang w:eastAsia="en-AU"/>
            <w14:ligatures w14:val="standardContextual"/>
          </w:rPr>
          <w:tab/>
        </w:r>
        <w:r w:rsidRPr="00533B68">
          <w:t>Earnings redirection order—employment protection</w:t>
        </w:r>
        <w:r>
          <w:tab/>
        </w:r>
        <w:r>
          <w:fldChar w:fldCharType="begin"/>
        </w:r>
        <w:r>
          <w:instrText xml:space="preserve"> PAGEREF _Toc185514390 \h </w:instrText>
        </w:r>
        <w:r>
          <w:fldChar w:fldCharType="separate"/>
        </w:r>
        <w:r>
          <w:t>455</w:t>
        </w:r>
        <w:r>
          <w:fldChar w:fldCharType="end"/>
        </w:r>
      </w:hyperlink>
    </w:p>
    <w:p w14:paraId="16BA77B7" w14:textId="583AF6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1" w:history="1">
        <w:r w:rsidRPr="00533B68">
          <w:t>2369</w:t>
        </w:r>
        <w:r>
          <w:rPr>
            <w:rFonts w:asciiTheme="minorHAnsi" w:eastAsiaTheme="minorEastAsia" w:hAnsiTheme="minorHAnsi" w:cstheme="minorBidi"/>
            <w:kern w:val="2"/>
            <w:sz w:val="24"/>
            <w:szCs w:val="24"/>
            <w:lang w:eastAsia="en-AU"/>
            <w14:ligatures w14:val="standardContextual"/>
          </w:rPr>
          <w:tab/>
        </w:r>
        <w:r w:rsidRPr="00533B68">
          <w:t>Earnings redirection order—procedure if order not complied with</w:t>
        </w:r>
        <w:r>
          <w:tab/>
        </w:r>
        <w:r>
          <w:fldChar w:fldCharType="begin"/>
        </w:r>
        <w:r>
          <w:instrText xml:space="preserve"> PAGEREF _Toc185514391 \h </w:instrText>
        </w:r>
        <w:r>
          <w:fldChar w:fldCharType="separate"/>
        </w:r>
        <w:r>
          <w:t>455</w:t>
        </w:r>
        <w:r>
          <w:fldChar w:fldCharType="end"/>
        </w:r>
      </w:hyperlink>
    </w:p>
    <w:p w14:paraId="0A8F758F" w14:textId="3A9E877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392" w:history="1">
        <w:r w:rsidR="00AC5392" w:rsidRPr="00533B68">
          <w:t>Division 2.18.9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orders—charging orders</w:t>
        </w:r>
        <w:r w:rsidR="00AC5392" w:rsidRPr="00AC5392">
          <w:rPr>
            <w:vanish/>
          </w:rPr>
          <w:tab/>
        </w:r>
        <w:r w:rsidR="00AC5392" w:rsidRPr="00AC5392">
          <w:rPr>
            <w:vanish/>
          </w:rPr>
          <w:fldChar w:fldCharType="begin"/>
        </w:r>
        <w:r w:rsidR="00AC5392" w:rsidRPr="00AC5392">
          <w:rPr>
            <w:vanish/>
          </w:rPr>
          <w:instrText xml:space="preserve"> PAGEREF _Toc185514392 \h </w:instrText>
        </w:r>
        <w:r w:rsidR="00AC5392" w:rsidRPr="00AC5392">
          <w:rPr>
            <w:vanish/>
          </w:rPr>
        </w:r>
        <w:r w:rsidR="00AC5392" w:rsidRPr="00AC5392">
          <w:rPr>
            <w:vanish/>
          </w:rPr>
          <w:fldChar w:fldCharType="separate"/>
        </w:r>
        <w:r w:rsidR="00AC5392" w:rsidRPr="00AC5392">
          <w:rPr>
            <w:vanish/>
          </w:rPr>
          <w:t>456</w:t>
        </w:r>
        <w:r w:rsidR="00AC5392" w:rsidRPr="00AC5392">
          <w:rPr>
            <w:vanish/>
          </w:rPr>
          <w:fldChar w:fldCharType="end"/>
        </w:r>
      </w:hyperlink>
    </w:p>
    <w:p w14:paraId="3C9DACC4" w14:textId="691287F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3" w:history="1">
        <w:r w:rsidRPr="00533B68">
          <w:t>2400</w:t>
        </w:r>
        <w:r>
          <w:rPr>
            <w:rFonts w:asciiTheme="minorHAnsi" w:eastAsiaTheme="minorEastAsia" w:hAnsiTheme="minorHAnsi" w:cstheme="minorBidi"/>
            <w:kern w:val="2"/>
            <w:sz w:val="24"/>
            <w:szCs w:val="24"/>
            <w:lang w:eastAsia="en-AU"/>
            <w14:ligatures w14:val="standardContextual"/>
          </w:rPr>
          <w:tab/>
        </w:r>
        <w:r w:rsidRPr="00533B68">
          <w:t>Application—div 2.18.9</w:t>
        </w:r>
        <w:r>
          <w:tab/>
        </w:r>
        <w:r>
          <w:fldChar w:fldCharType="begin"/>
        </w:r>
        <w:r>
          <w:instrText xml:space="preserve"> PAGEREF _Toc185514393 \h </w:instrText>
        </w:r>
        <w:r>
          <w:fldChar w:fldCharType="separate"/>
        </w:r>
        <w:r>
          <w:t>456</w:t>
        </w:r>
        <w:r>
          <w:fldChar w:fldCharType="end"/>
        </w:r>
      </w:hyperlink>
    </w:p>
    <w:p w14:paraId="07F9AF6D" w14:textId="06F821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4" w:history="1">
        <w:r w:rsidRPr="00533B68">
          <w:t>2401</w:t>
        </w:r>
        <w:r>
          <w:rPr>
            <w:rFonts w:asciiTheme="minorHAnsi" w:eastAsiaTheme="minorEastAsia" w:hAnsiTheme="minorHAnsi" w:cstheme="minorBidi"/>
            <w:kern w:val="2"/>
            <w:sz w:val="24"/>
            <w:szCs w:val="24"/>
            <w:lang w:eastAsia="en-AU"/>
            <w14:ligatures w14:val="standardContextual"/>
          </w:rPr>
          <w:tab/>
        </w:r>
        <w:r w:rsidRPr="00533B68">
          <w:t>Charging order—making</w:t>
        </w:r>
        <w:r>
          <w:tab/>
        </w:r>
        <w:r>
          <w:fldChar w:fldCharType="begin"/>
        </w:r>
        <w:r>
          <w:instrText xml:space="preserve"> PAGEREF _Toc185514394 \h </w:instrText>
        </w:r>
        <w:r>
          <w:fldChar w:fldCharType="separate"/>
        </w:r>
        <w:r>
          <w:t>456</w:t>
        </w:r>
        <w:r>
          <w:fldChar w:fldCharType="end"/>
        </w:r>
      </w:hyperlink>
    </w:p>
    <w:p w14:paraId="10CBA25F" w14:textId="782E9E6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5" w:history="1">
        <w:r w:rsidRPr="00533B68">
          <w:t>2402</w:t>
        </w:r>
        <w:r>
          <w:rPr>
            <w:rFonts w:asciiTheme="minorHAnsi" w:eastAsiaTheme="minorEastAsia" w:hAnsiTheme="minorHAnsi" w:cstheme="minorBidi"/>
            <w:kern w:val="2"/>
            <w:sz w:val="24"/>
            <w:szCs w:val="24"/>
            <w:lang w:eastAsia="en-AU"/>
            <w14:ligatures w14:val="standardContextual"/>
          </w:rPr>
          <w:tab/>
        </w:r>
        <w:r w:rsidRPr="00533B68">
          <w:t>Charging order—application</w:t>
        </w:r>
        <w:r>
          <w:tab/>
        </w:r>
        <w:r>
          <w:fldChar w:fldCharType="begin"/>
        </w:r>
        <w:r>
          <w:instrText xml:space="preserve"> PAGEREF _Toc185514395 \h </w:instrText>
        </w:r>
        <w:r>
          <w:fldChar w:fldCharType="separate"/>
        </w:r>
        <w:r>
          <w:t>457</w:t>
        </w:r>
        <w:r>
          <w:fldChar w:fldCharType="end"/>
        </w:r>
      </w:hyperlink>
    </w:p>
    <w:p w14:paraId="6F20CBB5" w14:textId="2F7F1CB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6" w:history="1">
        <w:r w:rsidRPr="00533B68">
          <w:t>2403</w:t>
        </w:r>
        <w:r>
          <w:rPr>
            <w:rFonts w:asciiTheme="minorHAnsi" w:eastAsiaTheme="minorEastAsia" w:hAnsiTheme="minorHAnsi" w:cstheme="minorBidi"/>
            <w:kern w:val="2"/>
            <w:sz w:val="24"/>
            <w:szCs w:val="24"/>
            <w:lang w:eastAsia="en-AU"/>
            <w14:ligatures w14:val="standardContextual"/>
          </w:rPr>
          <w:tab/>
        </w:r>
        <w:r w:rsidRPr="00533B68">
          <w:t>Charging order—effect</w:t>
        </w:r>
        <w:r>
          <w:tab/>
        </w:r>
        <w:r>
          <w:fldChar w:fldCharType="begin"/>
        </w:r>
        <w:r>
          <w:instrText xml:space="preserve"> PAGEREF _Toc185514396 \h </w:instrText>
        </w:r>
        <w:r>
          <w:fldChar w:fldCharType="separate"/>
        </w:r>
        <w:r>
          <w:t>459</w:t>
        </w:r>
        <w:r>
          <w:fldChar w:fldCharType="end"/>
        </w:r>
      </w:hyperlink>
    </w:p>
    <w:p w14:paraId="5833DD9B" w14:textId="3A7CC5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7" w:history="1">
        <w:r w:rsidRPr="00533B68">
          <w:t>2404</w:t>
        </w:r>
        <w:r>
          <w:rPr>
            <w:rFonts w:asciiTheme="minorHAnsi" w:eastAsiaTheme="minorEastAsia" w:hAnsiTheme="minorHAnsi" w:cstheme="minorBidi"/>
            <w:kern w:val="2"/>
            <w:sz w:val="24"/>
            <w:szCs w:val="24"/>
            <w:lang w:eastAsia="en-AU"/>
            <w14:ligatures w14:val="standardContextual"/>
          </w:rPr>
          <w:tab/>
        </w:r>
        <w:r w:rsidRPr="00533B68">
          <w:t>Charging order—enforcement debtor dealing with charged property</w:t>
        </w:r>
        <w:r>
          <w:tab/>
        </w:r>
        <w:r>
          <w:fldChar w:fldCharType="begin"/>
        </w:r>
        <w:r>
          <w:instrText xml:space="preserve"> PAGEREF _Toc185514397 \h </w:instrText>
        </w:r>
        <w:r>
          <w:fldChar w:fldCharType="separate"/>
        </w:r>
        <w:r>
          <w:t>459</w:t>
        </w:r>
        <w:r>
          <w:fldChar w:fldCharType="end"/>
        </w:r>
      </w:hyperlink>
    </w:p>
    <w:p w14:paraId="58C97114" w14:textId="5FB8AF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8" w:history="1">
        <w:r w:rsidRPr="00533B68">
          <w:t>2405</w:t>
        </w:r>
        <w:r>
          <w:rPr>
            <w:rFonts w:asciiTheme="minorHAnsi" w:eastAsiaTheme="minorEastAsia" w:hAnsiTheme="minorHAnsi" w:cstheme="minorBidi"/>
            <w:kern w:val="2"/>
            <w:sz w:val="24"/>
            <w:szCs w:val="24"/>
            <w:lang w:eastAsia="en-AU"/>
            <w14:ligatures w14:val="standardContextual"/>
          </w:rPr>
          <w:tab/>
        </w:r>
        <w:r w:rsidRPr="00533B68">
          <w:t>Charging order—issuer etc dealing with charged property</w:t>
        </w:r>
        <w:r>
          <w:tab/>
        </w:r>
        <w:r>
          <w:fldChar w:fldCharType="begin"/>
        </w:r>
        <w:r>
          <w:instrText xml:space="preserve"> PAGEREF _Toc185514398 \h </w:instrText>
        </w:r>
        <w:r>
          <w:fldChar w:fldCharType="separate"/>
        </w:r>
        <w:r>
          <w:t>460</w:t>
        </w:r>
        <w:r>
          <w:fldChar w:fldCharType="end"/>
        </w:r>
      </w:hyperlink>
    </w:p>
    <w:p w14:paraId="4303EA13" w14:textId="4B2ED52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399" w:history="1">
        <w:r w:rsidRPr="00533B68">
          <w:t>2406</w:t>
        </w:r>
        <w:r>
          <w:rPr>
            <w:rFonts w:asciiTheme="minorHAnsi" w:eastAsiaTheme="minorEastAsia" w:hAnsiTheme="minorHAnsi" w:cstheme="minorBidi"/>
            <w:kern w:val="2"/>
            <w:sz w:val="24"/>
            <w:szCs w:val="24"/>
            <w:lang w:eastAsia="en-AU"/>
            <w14:ligatures w14:val="standardContextual"/>
          </w:rPr>
          <w:tab/>
        </w:r>
        <w:r w:rsidRPr="00533B68">
          <w:t>Charging order—application to enforce charge</w:t>
        </w:r>
        <w:r>
          <w:tab/>
        </w:r>
        <w:r>
          <w:fldChar w:fldCharType="begin"/>
        </w:r>
        <w:r>
          <w:instrText xml:space="preserve"> PAGEREF _Toc185514399 \h </w:instrText>
        </w:r>
        <w:r>
          <w:fldChar w:fldCharType="separate"/>
        </w:r>
        <w:r>
          <w:t>460</w:t>
        </w:r>
        <w:r>
          <w:fldChar w:fldCharType="end"/>
        </w:r>
      </w:hyperlink>
    </w:p>
    <w:p w14:paraId="0837C4A1" w14:textId="5EB4B40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0" w:history="1">
        <w:r w:rsidRPr="00533B68">
          <w:t>2407</w:t>
        </w:r>
        <w:r>
          <w:rPr>
            <w:rFonts w:asciiTheme="minorHAnsi" w:eastAsiaTheme="minorEastAsia" w:hAnsiTheme="minorHAnsi" w:cstheme="minorBidi"/>
            <w:kern w:val="2"/>
            <w:sz w:val="24"/>
            <w:szCs w:val="24"/>
            <w:lang w:eastAsia="en-AU"/>
            <w14:ligatures w14:val="standardContextual"/>
          </w:rPr>
          <w:tab/>
        </w:r>
        <w:r w:rsidRPr="00533B68">
          <w:t>Charging order—procedure against partnership property for partner’s separate order debt</w:t>
        </w:r>
        <w:r>
          <w:tab/>
        </w:r>
        <w:r>
          <w:fldChar w:fldCharType="begin"/>
        </w:r>
        <w:r>
          <w:instrText xml:space="preserve"> PAGEREF _Toc185514400 \h </w:instrText>
        </w:r>
        <w:r>
          <w:fldChar w:fldCharType="separate"/>
        </w:r>
        <w:r>
          <w:t>460</w:t>
        </w:r>
        <w:r>
          <w:fldChar w:fldCharType="end"/>
        </w:r>
      </w:hyperlink>
    </w:p>
    <w:p w14:paraId="5E7F1347" w14:textId="7F07D0D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01" w:history="1">
        <w:r w:rsidR="00AC5392" w:rsidRPr="00533B68">
          <w:t>Division 2.18.10</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orders—amounts in court and stop orders</w:t>
        </w:r>
        <w:r w:rsidR="00AC5392" w:rsidRPr="00AC5392">
          <w:rPr>
            <w:vanish/>
          </w:rPr>
          <w:tab/>
        </w:r>
        <w:r w:rsidR="00AC5392" w:rsidRPr="00AC5392">
          <w:rPr>
            <w:vanish/>
          </w:rPr>
          <w:fldChar w:fldCharType="begin"/>
        </w:r>
        <w:r w:rsidR="00AC5392" w:rsidRPr="00AC5392">
          <w:rPr>
            <w:vanish/>
          </w:rPr>
          <w:instrText xml:space="preserve"> PAGEREF _Toc185514401 \h </w:instrText>
        </w:r>
        <w:r w:rsidR="00AC5392" w:rsidRPr="00AC5392">
          <w:rPr>
            <w:vanish/>
          </w:rPr>
        </w:r>
        <w:r w:rsidR="00AC5392" w:rsidRPr="00AC5392">
          <w:rPr>
            <w:vanish/>
          </w:rPr>
          <w:fldChar w:fldCharType="separate"/>
        </w:r>
        <w:r w:rsidR="00AC5392" w:rsidRPr="00AC5392">
          <w:rPr>
            <w:vanish/>
          </w:rPr>
          <w:t>462</w:t>
        </w:r>
        <w:r w:rsidR="00AC5392" w:rsidRPr="00AC5392">
          <w:rPr>
            <w:vanish/>
          </w:rPr>
          <w:fldChar w:fldCharType="end"/>
        </w:r>
      </w:hyperlink>
    </w:p>
    <w:p w14:paraId="4C136CE0" w14:textId="556B4F7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2" w:history="1">
        <w:r w:rsidRPr="00533B68">
          <w:t>2420</w:t>
        </w:r>
        <w:r>
          <w:rPr>
            <w:rFonts w:asciiTheme="minorHAnsi" w:eastAsiaTheme="minorEastAsia" w:hAnsiTheme="minorHAnsi" w:cstheme="minorBidi"/>
            <w:kern w:val="2"/>
            <w:sz w:val="24"/>
            <w:szCs w:val="24"/>
            <w:lang w:eastAsia="en-AU"/>
            <w14:ligatures w14:val="standardContextual"/>
          </w:rPr>
          <w:tab/>
        </w:r>
        <w:r w:rsidRPr="00533B68">
          <w:t>Enforcement orders—amounts in court</w:t>
        </w:r>
        <w:r>
          <w:tab/>
        </w:r>
        <w:r>
          <w:fldChar w:fldCharType="begin"/>
        </w:r>
        <w:r>
          <w:instrText xml:space="preserve"> PAGEREF _Toc185514402 \h </w:instrText>
        </w:r>
        <w:r>
          <w:fldChar w:fldCharType="separate"/>
        </w:r>
        <w:r>
          <w:t>462</w:t>
        </w:r>
        <w:r>
          <w:fldChar w:fldCharType="end"/>
        </w:r>
      </w:hyperlink>
    </w:p>
    <w:p w14:paraId="20449E4D" w14:textId="10D4DA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3" w:history="1">
        <w:r w:rsidRPr="00533B68">
          <w:t>2421</w:t>
        </w:r>
        <w:r>
          <w:rPr>
            <w:rFonts w:asciiTheme="minorHAnsi" w:eastAsiaTheme="minorEastAsia" w:hAnsiTheme="minorHAnsi" w:cstheme="minorBidi"/>
            <w:kern w:val="2"/>
            <w:sz w:val="24"/>
            <w:szCs w:val="24"/>
            <w:lang w:eastAsia="en-AU"/>
            <w14:ligatures w14:val="standardContextual"/>
          </w:rPr>
          <w:tab/>
        </w:r>
        <w:r w:rsidRPr="00533B68">
          <w:rPr>
            <w:lang w:val="en-US"/>
          </w:rPr>
          <w:t>Enforcement orders—stop orders</w:t>
        </w:r>
        <w:r>
          <w:tab/>
        </w:r>
        <w:r>
          <w:fldChar w:fldCharType="begin"/>
        </w:r>
        <w:r>
          <w:instrText xml:space="preserve"> PAGEREF _Toc185514403 \h </w:instrText>
        </w:r>
        <w:r>
          <w:fldChar w:fldCharType="separate"/>
        </w:r>
        <w:r>
          <w:t>462</w:t>
        </w:r>
        <w:r>
          <w:fldChar w:fldCharType="end"/>
        </w:r>
      </w:hyperlink>
    </w:p>
    <w:p w14:paraId="0379AA0C" w14:textId="671A624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04" w:history="1">
        <w:r w:rsidR="00AC5392" w:rsidRPr="00533B68">
          <w:t>Division 2.18.11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money orders—receivers</w:t>
        </w:r>
        <w:r w:rsidR="00AC5392" w:rsidRPr="00AC5392">
          <w:rPr>
            <w:vanish/>
          </w:rPr>
          <w:tab/>
        </w:r>
        <w:r w:rsidR="00AC5392" w:rsidRPr="00AC5392">
          <w:rPr>
            <w:vanish/>
          </w:rPr>
          <w:fldChar w:fldCharType="begin"/>
        </w:r>
        <w:r w:rsidR="00AC5392" w:rsidRPr="00AC5392">
          <w:rPr>
            <w:vanish/>
          </w:rPr>
          <w:instrText xml:space="preserve"> PAGEREF _Toc185514404 \h </w:instrText>
        </w:r>
        <w:r w:rsidR="00AC5392" w:rsidRPr="00AC5392">
          <w:rPr>
            <w:vanish/>
          </w:rPr>
        </w:r>
        <w:r w:rsidR="00AC5392" w:rsidRPr="00AC5392">
          <w:rPr>
            <w:vanish/>
          </w:rPr>
          <w:fldChar w:fldCharType="separate"/>
        </w:r>
        <w:r w:rsidR="00AC5392" w:rsidRPr="00AC5392">
          <w:rPr>
            <w:vanish/>
          </w:rPr>
          <w:t>463</w:t>
        </w:r>
        <w:r w:rsidR="00AC5392" w:rsidRPr="00AC5392">
          <w:rPr>
            <w:vanish/>
          </w:rPr>
          <w:fldChar w:fldCharType="end"/>
        </w:r>
      </w:hyperlink>
    </w:p>
    <w:p w14:paraId="6D7D3911" w14:textId="50CE6E6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5" w:history="1">
        <w:r w:rsidRPr="00533B68">
          <w:t>2430</w:t>
        </w:r>
        <w:r>
          <w:rPr>
            <w:rFonts w:asciiTheme="minorHAnsi" w:eastAsiaTheme="minorEastAsia" w:hAnsiTheme="minorHAnsi" w:cstheme="minorBidi"/>
            <w:kern w:val="2"/>
            <w:sz w:val="24"/>
            <w:szCs w:val="24"/>
            <w:lang w:eastAsia="en-AU"/>
            <w14:ligatures w14:val="standardContextual"/>
          </w:rPr>
          <w:tab/>
        </w:r>
        <w:r w:rsidRPr="00533B68">
          <w:t>Application—div 2.18.11</w:t>
        </w:r>
        <w:r>
          <w:tab/>
        </w:r>
        <w:r>
          <w:fldChar w:fldCharType="begin"/>
        </w:r>
        <w:r>
          <w:instrText xml:space="preserve"> PAGEREF _Toc185514405 \h </w:instrText>
        </w:r>
        <w:r>
          <w:fldChar w:fldCharType="separate"/>
        </w:r>
        <w:r>
          <w:t>463</w:t>
        </w:r>
        <w:r>
          <w:fldChar w:fldCharType="end"/>
        </w:r>
      </w:hyperlink>
    </w:p>
    <w:p w14:paraId="78032F8B" w14:textId="1A6D8D4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6" w:history="1">
        <w:r w:rsidRPr="00533B68">
          <w:t>2431</w:t>
        </w:r>
        <w:r>
          <w:rPr>
            <w:rFonts w:asciiTheme="minorHAnsi" w:eastAsiaTheme="minorEastAsia" w:hAnsiTheme="minorHAnsi" w:cstheme="minorBidi"/>
            <w:kern w:val="2"/>
            <w:sz w:val="24"/>
            <w:szCs w:val="24"/>
            <w:lang w:eastAsia="en-AU"/>
            <w14:ligatures w14:val="standardContextual"/>
          </w:rPr>
          <w:tab/>
        </w:r>
        <w:r w:rsidRPr="00533B68">
          <w:t>Receiver—appointment</w:t>
        </w:r>
        <w:r>
          <w:tab/>
        </w:r>
        <w:r>
          <w:fldChar w:fldCharType="begin"/>
        </w:r>
        <w:r>
          <w:instrText xml:space="preserve"> PAGEREF _Toc185514406 \h </w:instrText>
        </w:r>
        <w:r>
          <w:fldChar w:fldCharType="separate"/>
        </w:r>
        <w:r>
          <w:t>463</w:t>
        </w:r>
        <w:r>
          <w:fldChar w:fldCharType="end"/>
        </w:r>
      </w:hyperlink>
    </w:p>
    <w:p w14:paraId="2D43D6C4" w14:textId="77D2ABC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7" w:history="1">
        <w:r w:rsidRPr="00533B68">
          <w:t>2432</w:t>
        </w:r>
        <w:r>
          <w:rPr>
            <w:rFonts w:asciiTheme="minorHAnsi" w:eastAsiaTheme="minorEastAsia" w:hAnsiTheme="minorHAnsi" w:cstheme="minorBidi"/>
            <w:kern w:val="2"/>
            <w:sz w:val="24"/>
            <w:szCs w:val="24"/>
            <w:lang w:eastAsia="en-AU"/>
            <w14:ligatures w14:val="standardContextual"/>
          </w:rPr>
          <w:tab/>
        </w:r>
        <w:r w:rsidRPr="00533B68">
          <w:t>Receiver—application for appointment</w:t>
        </w:r>
        <w:r>
          <w:tab/>
        </w:r>
        <w:r>
          <w:fldChar w:fldCharType="begin"/>
        </w:r>
        <w:r>
          <w:instrText xml:space="preserve"> PAGEREF _Toc185514407 \h </w:instrText>
        </w:r>
        <w:r>
          <w:fldChar w:fldCharType="separate"/>
        </w:r>
        <w:r>
          <w:t>463</w:t>
        </w:r>
        <w:r>
          <w:fldChar w:fldCharType="end"/>
        </w:r>
      </w:hyperlink>
    </w:p>
    <w:p w14:paraId="1E92ED01" w14:textId="68158F5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8" w:history="1">
        <w:r w:rsidRPr="00533B68">
          <w:t>2433</w:t>
        </w:r>
        <w:r>
          <w:rPr>
            <w:rFonts w:asciiTheme="minorHAnsi" w:eastAsiaTheme="minorEastAsia" w:hAnsiTheme="minorHAnsi" w:cstheme="minorBidi"/>
            <w:kern w:val="2"/>
            <w:sz w:val="24"/>
            <w:szCs w:val="24"/>
            <w:lang w:eastAsia="en-AU"/>
            <w14:ligatures w14:val="standardContextual"/>
          </w:rPr>
          <w:tab/>
        </w:r>
        <w:r w:rsidRPr="00533B68">
          <w:t>Receiver—relevant considerations for appointment</w:t>
        </w:r>
        <w:r>
          <w:tab/>
        </w:r>
        <w:r>
          <w:fldChar w:fldCharType="begin"/>
        </w:r>
        <w:r>
          <w:instrText xml:space="preserve"> PAGEREF _Toc185514408 \h </w:instrText>
        </w:r>
        <w:r>
          <w:fldChar w:fldCharType="separate"/>
        </w:r>
        <w:r>
          <w:t>464</w:t>
        </w:r>
        <w:r>
          <w:fldChar w:fldCharType="end"/>
        </w:r>
      </w:hyperlink>
    </w:p>
    <w:p w14:paraId="059B0400" w14:textId="1E29F67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09" w:history="1">
        <w:r w:rsidRPr="00533B68">
          <w:t>2434</w:t>
        </w:r>
        <w:r>
          <w:rPr>
            <w:rFonts w:asciiTheme="minorHAnsi" w:eastAsiaTheme="minorEastAsia" w:hAnsiTheme="minorHAnsi" w:cstheme="minorBidi"/>
            <w:kern w:val="2"/>
            <w:sz w:val="24"/>
            <w:szCs w:val="24"/>
            <w:lang w:eastAsia="en-AU"/>
            <w14:ligatures w14:val="standardContextual"/>
          </w:rPr>
          <w:tab/>
        </w:r>
        <w:r w:rsidRPr="00533B68">
          <w:t>Receiver—powers</w:t>
        </w:r>
        <w:r>
          <w:tab/>
        </w:r>
        <w:r>
          <w:fldChar w:fldCharType="begin"/>
        </w:r>
        <w:r>
          <w:instrText xml:space="preserve"> PAGEREF _Toc185514409 \h </w:instrText>
        </w:r>
        <w:r>
          <w:fldChar w:fldCharType="separate"/>
        </w:r>
        <w:r>
          <w:t>465</w:t>
        </w:r>
        <w:r>
          <w:fldChar w:fldCharType="end"/>
        </w:r>
      </w:hyperlink>
    </w:p>
    <w:p w14:paraId="26F5362A" w14:textId="4AE133F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0" w:history="1">
        <w:r w:rsidRPr="00533B68">
          <w:t>2435</w:t>
        </w:r>
        <w:r>
          <w:rPr>
            <w:rFonts w:asciiTheme="minorHAnsi" w:eastAsiaTheme="minorEastAsia" w:hAnsiTheme="minorHAnsi" w:cstheme="minorBidi"/>
            <w:kern w:val="2"/>
            <w:sz w:val="24"/>
            <w:szCs w:val="24"/>
            <w:lang w:eastAsia="en-AU"/>
            <w14:ligatures w14:val="standardContextual"/>
          </w:rPr>
          <w:tab/>
        </w:r>
        <w:r w:rsidRPr="00533B68">
          <w:t>Receiver—general provisions apply</w:t>
        </w:r>
        <w:r>
          <w:tab/>
        </w:r>
        <w:r>
          <w:fldChar w:fldCharType="begin"/>
        </w:r>
        <w:r>
          <w:instrText xml:space="preserve"> PAGEREF _Toc185514410 \h </w:instrText>
        </w:r>
        <w:r>
          <w:fldChar w:fldCharType="separate"/>
        </w:r>
        <w:r>
          <w:t>465</w:t>
        </w:r>
        <w:r>
          <w:fldChar w:fldCharType="end"/>
        </w:r>
      </w:hyperlink>
    </w:p>
    <w:p w14:paraId="282BABA5" w14:textId="0D9A67D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11" w:history="1">
        <w:r w:rsidR="00AC5392" w:rsidRPr="00533B68">
          <w:t>Division 2.18.12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non-money orders—general</w:t>
        </w:r>
        <w:r w:rsidR="00AC5392" w:rsidRPr="00AC5392">
          <w:rPr>
            <w:vanish/>
          </w:rPr>
          <w:tab/>
        </w:r>
        <w:r w:rsidR="00AC5392" w:rsidRPr="00AC5392">
          <w:rPr>
            <w:vanish/>
          </w:rPr>
          <w:fldChar w:fldCharType="begin"/>
        </w:r>
        <w:r w:rsidR="00AC5392" w:rsidRPr="00AC5392">
          <w:rPr>
            <w:vanish/>
          </w:rPr>
          <w:instrText xml:space="preserve"> PAGEREF _Toc185514411 \h </w:instrText>
        </w:r>
        <w:r w:rsidR="00AC5392" w:rsidRPr="00AC5392">
          <w:rPr>
            <w:vanish/>
          </w:rPr>
        </w:r>
        <w:r w:rsidR="00AC5392" w:rsidRPr="00AC5392">
          <w:rPr>
            <w:vanish/>
          </w:rPr>
          <w:fldChar w:fldCharType="separate"/>
        </w:r>
        <w:r w:rsidR="00AC5392" w:rsidRPr="00AC5392">
          <w:rPr>
            <w:vanish/>
          </w:rPr>
          <w:t>465</w:t>
        </w:r>
        <w:r w:rsidR="00AC5392" w:rsidRPr="00AC5392">
          <w:rPr>
            <w:vanish/>
          </w:rPr>
          <w:fldChar w:fldCharType="end"/>
        </w:r>
      </w:hyperlink>
    </w:p>
    <w:p w14:paraId="2E64B03C" w14:textId="3C931A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2" w:history="1">
        <w:r w:rsidRPr="00533B68">
          <w:t>2440</w:t>
        </w:r>
        <w:r>
          <w:rPr>
            <w:rFonts w:asciiTheme="minorHAnsi" w:eastAsiaTheme="minorEastAsia" w:hAnsiTheme="minorHAnsi" w:cstheme="minorBidi"/>
            <w:kern w:val="2"/>
            <w:sz w:val="24"/>
            <w:szCs w:val="24"/>
            <w:lang w:eastAsia="en-AU"/>
            <w14:ligatures w14:val="standardContextual"/>
          </w:rPr>
          <w:tab/>
        </w:r>
        <w:r w:rsidRPr="00533B68">
          <w:t>Enforcement—orders for possession of land</w:t>
        </w:r>
        <w:r>
          <w:tab/>
        </w:r>
        <w:r>
          <w:fldChar w:fldCharType="begin"/>
        </w:r>
        <w:r>
          <w:instrText xml:space="preserve"> PAGEREF _Toc185514412 \h </w:instrText>
        </w:r>
        <w:r>
          <w:fldChar w:fldCharType="separate"/>
        </w:r>
        <w:r>
          <w:t>465</w:t>
        </w:r>
        <w:r>
          <w:fldChar w:fldCharType="end"/>
        </w:r>
      </w:hyperlink>
    </w:p>
    <w:p w14:paraId="67C9B8B9" w14:textId="725CC7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3" w:history="1">
        <w:r w:rsidRPr="00533B68">
          <w:t>2441</w:t>
        </w:r>
        <w:r>
          <w:rPr>
            <w:rFonts w:asciiTheme="minorHAnsi" w:eastAsiaTheme="minorEastAsia" w:hAnsiTheme="minorHAnsi" w:cstheme="minorBidi"/>
            <w:kern w:val="2"/>
            <w:sz w:val="24"/>
            <w:szCs w:val="24"/>
            <w:lang w:eastAsia="en-AU"/>
            <w14:ligatures w14:val="standardContextual"/>
          </w:rPr>
          <w:tab/>
        </w:r>
        <w:r w:rsidRPr="00533B68">
          <w:t>Enforcement—orders for return of goods etc</w:t>
        </w:r>
        <w:r>
          <w:tab/>
        </w:r>
        <w:r>
          <w:fldChar w:fldCharType="begin"/>
        </w:r>
        <w:r>
          <w:instrText xml:space="preserve"> PAGEREF _Toc185514413 \h </w:instrText>
        </w:r>
        <w:r>
          <w:fldChar w:fldCharType="separate"/>
        </w:r>
        <w:r>
          <w:t>466</w:t>
        </w:r>
        <w:r>
          <w:fldChar w:fldCharType="end"/>
        </w:r>
      </w:hyperlink>
    </w:p>
    <w:p w14:paraId="40C0839F" w14:textId="6C55262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4" w:history="1">
        <w:r w:rsidRPr="00533B68">
          <w:t>2442</w:t>
        </w:r>
        <w:r>
          <w:rPr>
            <w:rFonts w:asciiTheme="minorHAnsi" w:eastAsiaTheme="minorEastAsia" w:hAnsiTheme="minorHAnsi" w:cstheme="minorBidi"/>
            <w:kern w:val="2"/>
            <w:sz w:val="24"/>
            <w:szCs w:val="24"/>
            <w:lang w:eastAsia="en-AU"/>
            <w14:ligatures w14:val="standardContextual"/>
          </w:rPr>
          <w:tab/>
        </w:r>
        <w:r w:rsidRPr="00533B68">
          <w:t>Enforcement—orders to do or not do an act</w:t>
        </w:r>
        <w:r>
          <w:tab/>
        </w:r>
        <w:r>
          <w:fldChar w:fldCharType="begin"/>
        </w:r>
        <w:r>
          <w:instrText xml:space="preserve"> PAGEREF _Toc185514414 \h </w:instrText>
        </w:r>
        <w:r>
          <w:fldChar w:fldCharType="separate"/>
        </w:r>
        <w:r>
          <w:t>467</w:t>
        </w:r>
        <w:r>
          <w:fldChar w:fldCharType="end"/>
        </w:r>
      </w:hyperlink>
    </w:p>
    <w:p w14:paraId="3486529D" w14:textId="19A6D8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5" w:history="1">
        <w:r w:rsidRPr="00533B68">
          <w:t>2443</w:t>
        </w:r>
        <w:r>
          <w:rPr>
            <w:rFonts w:asciiTheme="minorHAnsi" w:eastAsiaTheme="minorEastAsia" w:hAnsiTheme="minorHAnsi" w:cstheme="minorBidi"/>
            <w:kern w:val="2"/>
            <w:sz w:val="24"/>
            <w:szCs w:val="24"/>
            <w:lang w:eastAsia="en-AU"/>
            <w14:ligatures w14:val="standardContextual"/>
          </w:rPr>
          <w:tab/>
        </w:r>
        <w:r w:rsidRPr="00533B68">
          <w:t>Enforcement—undertakings</w:t>
        </w:r>
        <w:r>
          <w:tab/>
        </w:r>
        <w:r>
          <w:fldChar w:fldCharType="begin"/>
        </w:r>
        <w:r>
          <w:instrText xml:space="preserve"> PAGEREF _Toc185514415 \h </w:instrText>
        </w:r>
        <w:r>
          <w:fldChar w:fldCharType="separate"/>
        </w:r>
        <w:r>
          <w:t>468</w:t>
        </w:r>
        <w:r>
          <w:fldChar w:fldCharType="end"/>
        </w:r>
      </w:hyperlink>
    </w:p>
    <w:p w14:paraId="201C216F" w14:textId="30DECB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6" w:history="1">
        <w:r w:rsidRPr="00533B68">
          <w:t>2444</w:t>
        </w:r>
        <w:r>
          <w:rPr>
            <w:rFonts w:asciiTheme="minorHAnsi" w:eastAsiaTheme="minorEastAsia" w:hAnsiTheme="minorHAnsi" w:cstheme="minorBidi"/>
            <w:kern w:val="2"/>
            <w:sz w:val="24"/>
            <w:szCs w:val="24"/>
            <w:lang w:eastAsia="en-AU"/>
            <w14:ligatures w14:val="standardContextual"/>
          </w:rPr>
          <w:tab/>
        </w:r>
        <w:r w:rsidRPr="00533B68">
          <w:t>Enforcement—failure of individual to comply with subpoena etc</w:t>
        </w:r>
        <w:r>
          <w:tab/>
        </w:r>
        <w:r>
          <w:fldChar w:fldCharType="begin"/>
        </w:r>
        <w:r>
          <w:instrText xml:space="preserve"> PAGEREF _Toc185514416 \h </w:instrText>
        </w:r>
        <w:r>
          <w:fldChar w:fldCharType="separate"/>
        </w:r>
        <w:r>
          <w:t>469</w:t>
        </w:r>
        <w:r>
          <w:fldChar w:fldCharType="end"/>
        </w:r>
      </w:hyperlink>
    </w:p>
    <w:p w14:paraId="723B7557" w14:textId="6E20C8E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7" w:history="1">
        <w:r w:rsidRPr="00533B68">
          <w:t>2445</w:t>
        </w:r>
        <w:r>
          <w:rPr>
            <w:rFonts w:asciiTheme="minorHAnsi" w:eastAsiaTheme="minorEastAsia" w:hAnsiTheme="minorHAnsi" w:cstheme="minorBidi"/>
            <w:kern w:val="2"/>
            <w:sz w:val="24"/>
            <w:szCs w:val="24"/>
            <w:lang w:eastAsia="en-AU"/>
            <w14:ligatures w14:val="standardContextual"/>
          </w:rPr>
          <w:tab/>
        </w:r>
        <w:r w:rsidRPr="00533B68">
          <w:t>Enforcement—failure of corporation to comply with subpoena etc</w:t>
        </w:r>
        <w:r>
          <w:tab/>
        </w:r>
        <w:r>
          <w:fldChar w:fldCharType="begin"/>
        </w:r>
        <w:r>
          <w:instrText xml:space="preserve"> PAGEREF _Toc185514417 \h </w:instrText>
        </w:r>
        <w:r>
          <w:fldChar w:fldCharType="separate"/>
        </w:r>
        <w:r>
          <w:t>470</w:t>
        </w:r>
        <w:r>
          <w:fldChar w:fldCharType="end"/>
        </w:r>
      </w:hyperlink>
    </w:p>
    <w:p w14:paraId="6E117886" w14:textId="7AC91B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18" w:history="1">
        <w:r w:rsidRPr="00533B68">
          <w:t>2446</w:t>
        </w:r>
        <w:r>
          <w:rPr>
            <w:rFonts w:asciiTheme="minorHAnsi" w:eastAsiaTheme="minorEastAsia" w:hAnsiTheme="minorHAnsi" w:cstheme="minorBidi"/>
            <w:kern w:val="2"/>
            <w:sz w:val="24"/>
            <w:szCs w:val="24"/>
            <w:lang w:eastAsia="en-AU"/>
            <w14:ligatures w14:val="standardContextual"/>
          </w:rPr>
          <w:tab/>
        </w:r>
        <w:r w:rsidRPr="00533B68">
          <w:t>Enforcement by contempt or seizing and detaining property—preconditions</w:t>
        </w:r>
        <w:r>
          <w:tab/>
        </w:r>
        <w:r>
          <w:fldChar w:fldCharType="begin"/>
        </w:r>
        <w:r>
          <w:instrText xml:space="preserve"> PAGEREF _Toc185514418 \h </w:instrText>
        </w:r>
        <w:r>
          <w:fldChar w:fldCharType="separate"/>
        </w:r>
        <w:r>
          <w:t>471</w:t>
        </w:r>
        <w:r>
          <w:fldChar w:fldCharType="end"/>
        </w:r>
      </w:hyperlink>
    </w:p>
    <w:p w14:paraId="2F499881" w14:textId="5EE55BA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19" w:history="1">
        <w:r w:rsidR="00AC5392" w:rsidRPr="00533B68">
          <w:t>Division 2.18.13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non-money orders—orders for delivery of possession of land</w:t>
        </w:r>
        <w:r w:rsidR="00AC5392" w:rsidRPr="00AC5392">
          <w:rPr>
            <w:vanish/>
          </w:rPr>
          <w:tab/>
        </w:r>
        <w:r w:rsidR="00AC5392" w:rsidRPr="00AC5392">
          <w:rPr>
            <w:vanish/>
          </w:rPr>
          <w:fldChar w:fldCharType="begin"/>
        </w:r>
        <w:r w:rsidR="00AC5392" w:rsidRPr="00AC5392">
          <w:rPr>
            <w:vanish/>
          </w:rPr>
          <w:instrText xml:space="preserve"> PAGEREF _Toc185514419 \h </w:instrText>
        </w:r>
        <w:r w:rsidR="00AC5392" w:rsidRPr="00AC5392">
          <w:rPr>
            <w:vanish/>
          </w:rPr>
        </w:r>
        <w:r w:rsidR="00AC5392" w:rsidRPr="00AC5392">
          <w:rPr>
            <w:vanish/>
          </w:rPr>
          <w:fldChar w:fldCharType="separate"/>
        </w:r>
        <w:r w:rsidR="00AC5392" w:rsidRPr="00AC5392">
          <w:rPr>
            <w:vanish/>
          </w:rPr>
          <w:t>472</w:t>
        </w:r>
        <w:r w:rsidR="00AC5392" w:rsidRPr="00AC5392">
          <w:rPr>
            <w:vanish/>
          </w:rPr>
          <w:fldChar w:fldCharType="end"/>
        </w:r>
      </w:hyperlink>
    </w:p>
    <w:p w14:paraId="356C4F07" w14:textId="1020357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0" w:history="1">
        <w:r w:rsidRPr="00533B68">
          <w:t>2450</w:t>
        </w:r>
        <w:r>
          <w:rPr>
            <w:rFonts w:asciiTheme="minorHAnsi" w:eastAsiaTheme="minorEastAsia" w:hAnsiTheme="minorHAnsi" w:cstheme="minorBidi"/>
            <w:kern w:val="2"/>
            <w:sz w:val="24"/>
            <w:szCs w:val="24"/>
            <w:lang w:eastAsia="en-AU"/>
            <w14:ligatures w14:val="standardContextual"/>
          </w:rPr>
          <w:tab/>
        </w:r>
        <w:r w:rsidRPr="00533B68">
          <w:t>Application—div 2.18.13</w:t>
        </w:r>
        <w:r>
          <w:tab/>
        </w:r>
        <w:r>
          <w:fldChar w:fldCharType="begin"/>
        </w:r>
        <w:r>
          <w:instrText xml:space="preserve"> PAGEREF _Toc185514420 \h </w:instrText>
        </w:r>
        <w:r>
          <w:fldChar w:fldCharType="separate"/>
        </w:r>
        <w:r>
          <w:t>472</w:t>
        </w:r>
        <w:r>
          <w:fldChar w:fldCharType="end"/>
        </w:r>
      </w:hyperlink>
    </w:p>
    <w:p w14:paraId="172081EF" w14:textId="3EAFEB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1" w:history="1">
        <w:r w:rsidRPr="00533B68">
          <w:t>2451</w:t>
        </w:r>
        <w:r>
          <w:rPr>
            <w:rFonts w:asciiTheme="minorHAnsi" w:eastAsiaTheme="minorEastAsia" w:hAnsiTheme="minorHAnsi" w:cstheme="minorBidi"/>
            <w:kern w:val="2"/>
            <w:sz w:val="24"/>
            <w:szCs w:val="24"/>
            <w:lang w:eastAsia="en-AU"/>
            <w14:ligatures w14:val="standardContextual"/>
          </w:rPr>
          <w:tab/>
        </w:r>
        <w:r w:rsidRPr="00533B68">
          <w:t>Order for delivery of possession of land—making</w:t>
        </w:r>
        <w:r>
          <w:tab/>
        </w:r>
        <w:r>
          <w:fldChar w:fldCharType="begin"/>
        </w:r>
        <w:r>
          <w:instrText xml:space="preserve"> PAGEREF _Toc185514421 \h </w:instrText>
        </w:r>
        <w:r>
          <w:fldChar w:fldCharType="separate"/>
        </w:r>
        <w:r>
          <w:t>472</w:t>
        </w:r>
        <w:r>
          <w:fldChar w:fldCharType="end"/>
        </w:r>
      </w:hyperlink>
    </w:p>
    <w:p w14:paraId="55255EC0" w14:textId="7DE77C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2" w:history="1">
        <w:r w:rsidRPr="00533B68">
          <w:t>2452</w:t>
        </w:r>
        <w:r>
          <w:rPr>
            <w:rFonts w:asciiTheme="minorHAnsi" w:eastAsiaTheme="minorEastAsia" w:hAnsiTheme="minorHAnsi" w:cstheme="minorBidi"/>
            <w:kern w:val="2"/>
            <w:sz w:val="24"/>
            <w:szCs w:val="24"/>
            <w:lang w:eastAsia="en-AU"/>
            <w14:ligatures w14:val="standardContextual"/>
          </w:rPr>
          <w:tab/>
        </w:r>
        <w:r w:rsidRPr="00533B68">
          <w:t>Orders for delivery of possession of land—preconditions</w:t>
        </w:r>
        <w:r>
          <w:tab/>
        </w:r>
        <w:r>
          <w:fldChar w:fldCharType="begin"/>
        </w:r>
        <w:r>
          <w:instrText xml:space="preserve"> PAGEREF _Toc185514422 \h </w:instrText>
        </w:r>
        <w:r>
          <w:fldChar w:fldCharType="separate"/>
        </w:r>
        <w:r>
          <w:t>474</w:t>
        </w:r>
        <w:r>
          <w:fldChar w:fldCharType="end"/>
        </w:r>
      </w:hyperlink>
    </w:p>
    <w:p w14:paraId="15B0DD0B" w14:textId="15B1FE7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23" w:history="1">
        <w:r w:rsidR="00AC5392" w:rsidRPr="00533B68">
          <w:t>Division 2.18.14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non-money orders—orders for seizure and delivery of goods</w:t>
        </w:r>
        <w:r w:rsidR="00AC5392" w:rsidRPr="00AC5392">
          <w:rPr>
            <w:vanish/>
          </w:rPr>
          <w:tab/>
        </w:r>
        <w:r w:rsidR="00AC5392" w:rsidRPr="00AC5392">
          <w:rPr>
            <w:vanish/>
          </w:rPr>
          <w:fldChar w:fldCharType="begin"/>
        </w:r>
        <w:r w:rsidR="00AC5392" w:rsidRPr="00AC5392">
          <w:rPr>
            <w:vanish/>
          </w:rPr>
          <w:instrText xml:space="preserve"> PAGEREF _Toc185514423 \h </w:instrText>
        </w:r>
        <w:r w:rsidR="00AC5392" w:rsidRPr="00AC5392">
          <w:rPr>
            <w:vanish/>
          </w:rPr>
        </w:r>
        <w:r w:rsidR="00AC5392" w:rsidRPr="00AC5392">
          <w:rPr>
            <w:vanish/>
          </w:rPr>
          <w:fldChar w:fldCharType="separate"/>
        </w:r>
        <w:r w:rsidR="00AC5392" w:rsidRPr="00AC5392">
          <w:rPr>
            <w:vanish/>
          </w:rPr>
          <w:t>474</w:t>
        </w:r>
        <w:r w:rsidR="00AC5392" w:rsidRPr="00AC5392">
          <w:rPr>
            <w:vanish/>
          </w:rPr>
          <w:fldChar w:fldCharType="end"/>
        </w:r>
      </w:hyperlink>
    </w:p>
    <w:p w14:paraId="3D1CBB0C" w14:textId="3495AF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4" w:history="1">
        <w:r w:rsidRPr="00533B68">
          <w:t>2460</w:t>
        </w:r>
        <w:r>
          <w:rPr>
            <w:rFonts w:asciiTheme="minorHAnsi" w:eastAsiaTheme="minorEastAsia" w:hAnsiTheme="minorHAnsi" w:cstheme="minorBidi"/>
            <w:kern w:val="2"/>
            <w:sz w:val="24"/>
            <w:szCs w:val="24"/>
            <w:lang w:eastAsia="en-AU"/>
            <w14:ligatures w14:val="standardContextual"/>
          </w:rPr>
          <w:tab/>
        </w:r>
        <w:r w:rsidRPr="00533B68">
          <w:t>Order for seizure and delivery of goods—making</w:t>
        </w:r>
        <w:r>
          <w:tab/>
        </w:r>
        <w:r>
          <w:fldChar w:fldCharType="begin"/>
        </w:r>
        <w:r>
          <w:instrText xml:space="preserve"> PAGEREF _Toc185514424 \h </w:instrText>
        </w:r>
        <w:r>
          <w:fldChar w:fldCharType="separate"/>
        </w:r>
        <w:r>
          <w:t>474</w:t>
        </w:r>
        <w:r>
          <w:fldChar w:fldCharType="end"/>
        </w:r>
      </w:hyperlink>
    </w:p>
    <w:p w14:paraId="1240A337" w14:textId="32F2347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25" w:history="1">
        <w:r w:rsidR="00AC5392" w:rsidRPr="00533B68">
          <w:t>Division 2.18.15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 non-money orders—orders for seizure and detention of property</w:t>
        </w:r>
        <w:r w:rsidR="00AC5392" w:rsidRPr="00AC5392">
          <w:rPr>
            <w:vanish/>
          </w:rPr>
          <w:tab/>
        </w:r>
        <w:r w:rsidR="00AC5392" w:rsidRPr="00AC5392">
          <w:rPr>
            <w:vanish/>
          </w:rPr>
          <w:fldChar w:fldCharType="begin"/>
        </w:r>
        <w:r w:rsidR="00AC5392" w:rsidRPr="00AC5392">
          <w:rPr>
            <w:vanish/>
          </w:rPr>
          <w:instrText xml:space="preserve"> PAGEREF _Toc185514425 \h </w:instrText>
        </w:r>
        <w:r w:rsidR="00AC5392" w:rsidRPr="00AC5392">
          <w:rPr>
            <w:vanish/>
          </w:rPr>
        </w:r>
        <w:r w:rsidR="00AC5392" w:rsidRPr="00AC5392">
          <w:rPr>
            <w:vanish/>
          </w:rPr>
          <w:fldChar w:fldCharType="separate"/>
        </w:r>
        <w:r w:rsidR="00AC5392" w:rsidRPr="00AC5392">
          <w:rPr>
            <w:vanish/>
          </w:rPr>
          <w:t>476</w:t>
        </w:r>
        <w:r w:rsidR="00AC5392" w:rsidRPr="00AC5392">
          <w:rPr>
            <w:vanish/>
          </w:rPr>
          <w:fldChar w:fldCharType="end"/>
        </w:r>
      </w:hyperlink>
    </w:p>
    <w:p w14:paraId="54C21F04" w14:textId="6D858F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6" w:history="1">
        <w:r w:rsidRPr="00533B68">
          <w:t>2470</w:t>
        </w:r>
        <w:r>
          <w:rPr>
            <w:rFonts w:asciiTheme="minorHAnsi" w:eastAsiaTheme="minorEastAsia" w:hAnsiTheme="minorHAnsi" w:cstheme="minorBidi"/>
            <w:kern w:val="2"/>
            <w:sz w:val="24"/>
            <w:szCs w:val="24"/>
            <w:lang w:eastAsia="en-AU"/>
            <w14:ligatures w14:val="standardContextual"/>
          </w:rPr>
          <w:tab/>
        </w:r>
        <w:r w:rsidRPr="00533B68">
          <w:t>Order for seizure and detention of property—making</w:t>
        </w:r>
        <w:r>
          <w:tab/>
        </w:r>
        <w:r>
          <w:fldChar w:fldCharType="begin"/>
        </w:r>
        <w:r>
          <w:instrText xml:space="preserve"> PAGEREF _Toc185514426 \h </w:instrText>
        </w:r>
        <w:r>
          <w:fldChar w:fldCharType="separate"/>
        </w:r>
        <w:r>
          <w:t>476</w:t>
        </w:r>
        <w:r>
          <w:fldChar w:fldCharType="end"/>
        </w:r>
      </w:hyperlink>
    </w:p>
    <w:p w14:paraId="362CB279" w14:textId="37DD426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7" w:history="1">
        <w:r w:rsidRPr="00533B68">
          <w:t>2471</w:t>
        </w:r>
        <w:r>
          <w:rPr>
            <w:rFonts w:asciiTheme="minorHAnsi" w:eastAsiaTheme="minorEastAsia" w:hAnsiTheme="minorHAnsi" w:cstheme="minorBidi"/>
            <w:kern w:val="2"/>
            <w:sz w:val="24"/>
            <w:szCs w:val="24"/>
            <w:lang w:eastAsia="en-AU"/>
            <w14:ligatures w14:val="standardContextual"/>
          </w:rPr>
          <w:tab/>
        </w:r>
        <w:r w:rsidRPr="00533B68">
          <w:t>Order for seizure and detention of property—preconditions</w:t>
        </w:r>
        <w:r>
          <w:tab/>
        </w:r>
        <w:r>
          <w:fldChar w:fldCharType="begin"/>
        </w:r>
        <w:r>
          <w:instrText xml:space="preserve"> PAGEREF _Toc185514427 \h </w:instrText>
        </w:r>
        <w:r>
          <w:fldChar w:fldCharType="separate"/>
        </w:r>
        <w:r>
          <w:t>476</w:t>
        </w:r>
        <w:r>
          <w:fldChar w:fldCharType="end"/>
        </w:r>
      </w:hyperlink>
    </w:p>
    <w:p w14:paraId="6BC79383" w14:textId="3E48A3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8" w:history="1">
        <w:r w:rsidRPr="00533B68">
          <w:t>2472</w:t>
        </w:r>
        <w:r>
          <w:rPr>
            <w:rFonts w:asciiTheme="minorHAnsi" w:eastAsiaTheme="minorEastAsia" w:hAnsiTheme="minorHAnsi" w:cstheme="minorBidi"/>
            <w:kern w:val="2"/>
            <w:sz w:val="24"/>
            <w:szCs w:val="24"/>
            <w:lang w:eastAsia="en-AU"/>
            <w14:ligatures w14:val="standardContextual"/>
          </w:rPr>
          <w:tab/>
        </w:r>
        <w:r w:rsidRPr="00533B68">
          <w:t>Order for seizure and detention of property—against officer of corporation</w:t>
        </w:r>
        <w:r>
          <w:tab/>
        </w:r>
        <w:r>
          <w:fldChar w:fldCharType="begin"/>
        </w:r>
        <w:r>
          <w:instrText xml:space="preserve"> PAGEREF _Toc185514428 \h </w:instrText>
        </w:r>
        <w:r>
          <w:fldChar w:fldCharType="separate"/>
        </w:r>
        <w:r>
          <w:t>476</w:t>
        </w:r>
        <w:r>
          <w:fldChar w:fldCharType="end"/>
        </w:r>
      </w:hyperlink>
    </w:p>
    <w:p w14:paraId="6272F456" w14:textId="03B5A06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29" w:history="1">
        <w:r w:rsidRPr="00533B68">
          <w:t>2473</w:t>
        </w:r>
        <w:r>
          <w:rPr>
            <w:rFonts w:asciiTheme="minorHAnsi" w:eastAsiaTheme="minorEastAsia" w:hAnsiTheme="minorHAnsi" w:cstheme="minorBidi"/>
            <w:kern w:val="2"/>
            <w:sz w:val="24"/>
            <w:szCs w:val="24"/>
            <w:lang w:eastAsia="en-AU"/>
            <w14:ligatures w14:val="standardContextual"/>
          </w:rPr>
          <w:tab/>
        </w:r>
        <w:r w:rsidRPr="00533B68">
          <w:t>Order for seizure and detention of property—return of seized property</w:t>
        </w:r>
        <w:r>
          <w:tab/>
        </w:r>
        <w:r>
          <w:fldChar w:fldCharType="begin"/>
        </w:r>
        <w:r>
          <w:instrText xml:space="preserve"> PAGEREF _Toc185514429 \h </w:instrText>
        </w:r>
        <w:r>
          <w:fldChar w:fldCharType="separate"/>
        </w:r>
        <w:r>
          <w:t>477</w:t>
        </w:r>
        <w:r>
          <w:fldChar w:fldCharType="end"/>
        </w:r>
      </w:hyperlink>
    </w:p>
    <w:p w14:paraId="6F1468DF" w14:textId="3F29729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30" w:history="1">
        <w:r w:rsidR="00AC5392" w:rsidRPr="00533B68">
          <w:t>Division 2.18.16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Enforcement—contempt</w:t>
        </w:r>
        <w:r w:rsidR="00AC5392" w:rsidRPr="00AC5392">
          <w:rPr>
            <w:vanish/>
          </w:rPr>
          <w:tab/>
        </w:r>
        <w:r w:rsidR="00AC5392" w:rsidRPr="00AC5392">
          <w:rPr>
            <w:vanish/>
          </w:rPr>
          <w:fldChar w:fldCharType="begin"/>
        </w:r>
        <w:r w:rsidR="00AC5392" w:rsidRPr="00AC5392">
          <w:rPr>
            <w:vanish/>
          </w:rPr>
          <w:instrText xml:space="preserve"> PAGEREF _Toc185514430 \h </w:instrText>
        </w:r>
        <w:r w:rsidR="00AC5392" w:rsidRPr="00AC5392">
          <w:rPr>
            <w:vanish/>
          </w:rPr>
        </w:r>
        <w:r w:rsidR="00AC5392" w:rsidRPr="00AC5392">
          <w:rPr>
            <w:vanish/>
          </w:rPr>
          <w:fldChar w:fldCharType="separate"/>
        </w:r>
        <w:r w:rsidR="00AC5392" w:rsidRPr="00AC5392">
          <w:rPr>
            <w:vanish/>
          </w:rPr>
          <w:t>477</w:t>
        </w:r>
        <w:r w:rsidR="00AC5392" w:rsidRPr="00AC5392">
          <w:rPr>
            <w:vanish/>
          </w:rPr>
          <w:fldChar w:fldCharType="end"/>
        </w:r>
      </w:hyperlink>
    </w:p>
    <w:p w14:paraId="7D0826D9" w14:textId="69D636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1" w:history="1">
        <w:r w:rsidRPr="00533B68">
          <w:t>2500</w:t>
        </w:r>
        <w:r>
          <w:rPr>
            <w:rFonts w:asciiTheme="minorHAnsi" w:eastAsiaTheme="minorEastAsia" w:hAnsiTheme="minorHAnsi" w:cstheme="minorBidi"/>
            <w:kern w:val="2"/>
            <w:sz w:val="24"/>
            <w:szCs w:val="24"/>
            <w:lang w:eastAsia="en-AU"/>
            <w14:ligatures w14:val="standardContextual"/>
          </w:rPr>
          <w:tab/>
        </w:r>
        <w:r w:rsidRPr="00533B68">
          <w:t>Contempt—application of div 2.18.16</w:t>
        </w:r>
        <w:r>
          <w:tab/>
        </w:r>
        <w:r>
          <w:fldChar w:fldCharType="begin"/>
        </w:r>
        <w:r>
          <w:instrText xml:space="preserve"> PAGEREF _Toc185514431 \h </w:instrText>
        </w:r>
        <w:r>
          <w:fldChar w:fldCharType="separate"/>
        </w:r>
        <w:r>
          <w:t>477</w:t>
        </w:r>
        <w:r>
          <w:fldChar w:fldCharType="end"/>
        </w:r>
      </w:hyperlink>
    </w:p>
    <w:p w14:paraId="3CC74C24" w14:textId="5A012B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2" w:history="1">
        <w:r w:rsidRPr="00533B68">
          <w:t>2501</w:t>
        </w:r>
        <w:r>
          <w:rPr>
            <w:rFonts w:asciiTheme="minorHAnsi" w:eastAsiaTheme="minorEastAsia" w:hAnsiTheme="minorHAnsi" w:cstheme="minorBidi"/>
            <w:kern w:val="2"/>
            <w:sz w:val="24"/>
            <w:szCs w:val="24"/>
            <w:lang w:eastAsia="en-AU"/>
            <w14:ligatures w14:val="standardContextual"/>
          </w:rPr>
          <w:tab/>
        </w:r>
        <w:r w:rsidRPr="00533B68">
          <w:t>Contempt—applications generally</w:t>
        </w:r>
        <w:r>
          <w:tab/>
        </w:r>
        <w:r>
          <w:fldChar w:fldCharType="begin"/>
        </w:r>
        <w:r>
          <w:instrText xml:space="preserve"> PAGEREF _Toc185514432 \h </w:instrText>
        </w:r>
        <w:r>
          <w:fldChar w:fldCharType="separate"/>
        </w:r>
        <w:r>
          <w:t>477</w:t>
        </w:r>
        <w:r>
          <w:fldChar w:fldCharType="end"/>
        </w:r>
      </w:hyperlink>
    </w:p>
    <w:p w14:paraId="44C0DDEA" w14:textId="79F226E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3" w:history="1">
        <w:r w:rsidRPr="00533B68">
          <w:t>2502</w:t>
        </w:r>
        <w:r>
          <w:rPr>
            <w:rFonts w:asciiTheme="minorHAnsi" w:eastAsiaTheme="minorEastAsia" w:hAnsiTheme="minorHAnsi" w:cstheme="minorBidi"/>
            <w:kern w:val="2"/>
            <w:sz w:val="24"/>
            <w:szCs w:val="24"/>
            <w:lang w:eastAsia="en-AU"/>
            <w14:ligatures w14:val="standardContextual"/>
          </w:rPr>
          <w:tab/>
        </w:r>
        <w:r w:rsidRPr="00533B68">
          <w:t>Contempt—application by registrar</w:t>
        </w:r>
        <w:r>
          <w:tab/>
        </w:r>
        <w:r>
          <w:fldChar w:fldCharType="begin"/>
        </w:r>
        <w:r>
          <w:instrText xml:space="preserve"> PAGEREF _Toc185514433 \h </w:instrText>
        </w:r>
        <w:r>
          <w:fldChar w:fldCharType="separate"/>
        </w:r>
        <w:r>
          <w:t>478</w:t>
        </w:r>
        <w:r>
          <w:fldChar w:fldCharType="end"/>
        </w:r>
      </w:hyperlink>
    </w:p>
    <w:p w14:paraId="360E35DF" w14:textId="59CA7C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4" w:history="1">
        <w:r w:rsidRPr="00533B68">
          <w:t>2502A</w:t>
        </w:r>
        <w:r>
          <w:rPr>
            <w:rFonts w:asciiTheme="minorHAnsi" w:eastAsiaTheme="minorEastAsia" w:hAnsiTheme="minorHAnsi" w:cstheme="minorBidi"/>
            <w:kern w:val="2"/>
            <w:sz w:val="24"/>
            <w:szCs w:val="24"/>
            <w:lang w:eastAsia="en-AU"/>
            <w14:ligatures w14:val="standardContextual"/>
          </w:rPr>
          <w:tab/>
        </w:r>
        <w:r w:rsidRPr="00533B68">
          <w:t>Contempt of the Australian Crime Commission</w:t>
        </w:r>
        <w:r>
          <w:tab/>
        </w:r>
        <w:r>
          <w:fldChar w:fldCharType="begin"/>
        </w:r>
        <w:r>
          <w:instrText xml:space="preserve"> PAGEREF _Toc185514434 \h </w:instrText>
        </w:r>
        <w:r>
          <w:fldChar w:fldCharType="separate"/>
        </w:r>
        <w:r>
          <w:t>478</w:t>
        </w:r>
        <w:r>
          <w:fldChar w:fldCharType="end"/>
        </w:r>
      </w:hyperlink>
    </w:p>
    <w:p w14:paraId="5A357A03" w14:textId="4819F0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5" w:history="1">
        <w:r w:rsidRPr="00533B68">
          <w:t>2502B</w:t>
        </w:r>
        <w:r>
          <w:rPr>
            <w:rFonts w:asciiTheme="minorHAnsi" w:eastAsiaTheme="minorEastAsia" w:hAnsiTheme="minorHAnsi" w:cstheme="minorBidi"/>
            <w:kern w:val="2"/>
            <w:sz w:val="24"/>
            <w:szCs w:val="24"/>
            <w:lang w:eastAsia="en-AU"/>
            <w14:ligatures w14:val="standardContextual"/>
          </w:rPr>
          <w:tab/>
        </w:r>
        <w:r w:rsidRPr="00533B68">
          <w:t>Contempt of the ACT Integrity Commission</w:t>
        </w:r>
        <w:r>
          <w:tab/>
        </w:r>
        <w:r>
          <w:fldChar w:fldCharType="begin"/>
        </w:r>
        <w:r>
          <w:instrText xml:space="preserve"> PAGEREF _Toc185514435 \h </w:instrText>
        </w:r>
        <w:r>
          <w:fldChar w:fldCharType="separate"/>
        </w:r>
        <w:r>
          <w:t>479</w:t>
        </w:r>
        <w:r>
          <w:fldChar w:fldCharType="end"/>
        </w:r>
      </w:hyperlink>
    </w:p>
    <w:p w14:paraId="5096A24D" w14:textId="262DAF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6" w:history="1">
        <w:r w:rsidRPr="00533B68">
          <w:t>2503</w:t>
        </w:r>
        <w:r>
          <w:rPr>
            <w:rFonts w:asciiTheme="minorHAnsi" w:eastAsiaTheme="minorEastAsia" w:hAnsiTheme="minorHAnsi" w:cstheme="minorBidi"/>
            <w:kern w:val="2"/>
            <w:sz w:val="24"/>
            <w:szCs w:val="24"/>
            <w:lang w:eastAsia="en-AU"/>
            <w14:ligatures w14:val="standardContextual"/>
          </w:rPr>
          <w:tab/>
        </w:r>
        <w:r w:rsidRPr="00533B68">
          <w:t>Contempt—arrest warrant if respondent likely to abscond etc</w:t>
        </w:r>
        <w:r>
          <w:tab/>
        </w:r>
        <w:r>
          <w:fldChar w:fldCharType="begin"/>
        </w:r>
        <w:r>
          <w:instrText xml:space="preserve"> PAGEREF _Toc185514436 \h </w:instrText>
        </w:r>
        <w:r>
          <w:fldChar w:fldCharType="separate"/>
        </w:r>
        <w:r>
          <w:t>479</w:t>
        </w:r>
        <w:r>
          <w:fldChar w:fldCharType="end"/>
        </w:r>
      </w:hyperlink>
    </w:p>
    <w:p w14:paraId="3DDD3C50" w14:textId="41B2CBB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7" w:history="1">
        <w:r w:rsidRPr="00533B68">
          <w:t>2504</w:t>
        </w:r>
        <w:r>
          <w:rPr>
            <w:rFonts w:asciiTheme="minorHAnsi" w:eastAsiaTheme="minorEastAsia" w:hAnsiTheme="minorHAnsi" w:cstheme="minorBidi"/>
            <w:kern w:val="2"/>
            <w:sz w:val="24"/>
            <w:szCs w:val="24"/>
            <w:lang w:eastAsia="en-AU"/>
            <w14:ligatures w14:val="standardContextual"/>
          </w:rPr>
          <w:tab/>
        </w:r>
        <w:r w:rsidRPr="00533B68">
          <w:t>Contempt in face or hearing of court—alternative procedure</w:t>
        </w:r>
        <w:r>
          <w:tab/>
        </w:r>
        <w:r>
          <w:fldChar w:fldCharType="begin"/>
        </w:r>
        <w:r>
          <w:instrText xml:space="preserve"> PAGEREF _Toc185514437 \h </w:instrText>
        </w:r>
        <w:r>
          <w:fldChar w:fldCharType="separate"/>
        </w:r>
        <w:r>
          <w:t>479</w:t>
        </w:r>
        <w:r>
          <w:fldChar w:fldCharType="end"/>
        </w:r>
      </w:hyperlink>
    </w:p>
    <w:p w14:paraId="6B5FA8D2" w14:textId="033F16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8" w:history="1">
        <w:r w:rsidRPr="00533B68">
          <w:t>2505</w:t>
        </w:r>
        <w:r>
          <w:rPr>
            <w:rFonts w:asciiTheme="minorHAnsi" w:eastAsiaTheme="minorEastAsia" w:hAnsiTheme="minorHAnsi" w:cstheme="minorBidi"/>
            <w:kern w:val="2"/>
            <w:sz w:val="24"/>
            <w:szCs w:val="24"/>
            <w:lang w:eastAsia="en-AU"/>
            <w14:ligatures w14:val="standardContextual"/>
          </w:rPr>
          <w:tab/>
        </w:r>
        <w:r w:rsidRPr="00533B68">
          <w:t>Contempt—arrest warrant</w:t>
        </w:r>
        <w:r>
          <w:tab/>
        </w:r>
        <w:r>
          <w:fldChar w:fldCharType="begin"/>
        </w:r>
        <w:r>
          <w:instrText xml:space="preserve"> PAGEREF _Toc185514438 \h </w:instrText>
        </w:r>
        <w:r>
          <w:fldChar w:fldCharType="separate"/>
        </w:r>
        <w:r>
          <w:t>480</w:t>
        </w:r>
        <w:r>
          <w:fldChar w:fldCharType="end"/>
        </w:r>
      </w:hyperlink>
    </w:p>
    <w:p w14:paraId="4FDC5F5F" w14:textId="2657F48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39" w:history="1">
        <w:r w:rsidRPr="00533B68">
          <w:t>2506</w:t>
        </w:r>
        <w:r>
          <w:rPr>
            <w:rFonts w:asciiTheme="minorHAnsi" w:eastAsiaTheme="minorEastAsia" w:hAnsiTheme="minorHAnsi" w:cstheme="minorBidi"/>
            <w:kern w:val="2"/>
            <w:sz w:val="24"/>
            <w:szCs w:val="24"/>
            <w:lang w:eastAsia="en-AU"/>
            <w14:ligatures w14:val="standardContextual"/>
          </w:rPr>
          <w:tab/>
        </w:r>
        <w:r w:rsidRPr="00533B68">
          <w:t>Contempt—punishment</w:t>
        </w:r>
        <w:r>
          <w:tab/>
        </w:r>
        <w:r>
          <w:fldChar w:fldCharType="begin"/>
        </w:r>
        <w:r>
          <w:instrText xml:space="preserve"> PAGEREF _Toc185514439 \h </w:instrText>
        </w:r>
        <w:r>
          <w:fldChar w:fldCharType="separate"/>
        </w:r>
        <w:r>
          <w:t>481</w:t>
        </w:r>
        <w:r>
          <w:fldChar w:fldCharType="end"/>
        </w:r>
      </w:hyperlink>
    </w:p>
    <w:p w14:paraId="5443ACAE" w14:textId="174D9F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0" w:history="1">
        <w:r w:rsidRPr="00533B68">
          <w:t>2507</w:t>
        </w:r>
        <w:r>
          <w:rPr>
            <w:rFonts w:asciiTheme="minorHAnsi" w:eastAsiaTheme="minorEastAsia" w:hAnsiTheme="minorHAnsi" w:cstheme="minorBidi"/>
            <w:kern w:val="2"/>
            <w:sz w:val="24"/>
            <w:szCs w:val="24"/>
            <w:lang w:eastAsia="en-AU"/>
            <w14:ligatures w14:val="standardContextual"/>
          </w:rPr>
          <w:tab/>
        </w:r>
        <w:r w:rsidRPr="00533B68">
          <w:t>Contempt—costs</w:t>
        </w:r>
        <w:r>
          <w:tab/>
        </w:r>
        <w:r>
          <w:fldChar w:fldCharType="begin"/>
        </w:r>
        <w:r>
          <w:instrText xml:space="preserve"> PAGEREF _Toc185514440 \h </w:instrText>
        </w:r>
        <w:r>
          <w:fldChar w:fldCharType="separate"/>
        </w:r>
        <w:r>
          <w:t>481</w:t>
        </w:r>
        <w:r>
          <w:fldChar w:fldCharType="end"/>
        </w:r>
      </w:hyperlink>
    </w:p>
    <w:p w14:paraId="43448200" w14:textId="308309E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41" w:history="1">
        <w:r w:rsidR="00AC5392" w:rsidRPr="00533B68">
          <w:t>Division 2.18.17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Enforcement—arrest warrants for absconding defendants</w:t>
        </w:r>
        <w:r w:rsidR="00AC5392" w:rsidRPr="00AC5392">
          <w:rPr>
            <w:vanish/>
          </w:rPr>
          <w:tab/>
        </w:r>
        <w:r w:rsidR="00AC5392" w:rsidRPr="00AC5392">
          <w:rPr>
            <w:vanish/>
          </w:rPr>
          <w:fldChar w:fldCharType="begin"/>
        </w:r>
        <w:r w:rsidR="00AC5392" w:rsidRPr="00AC5392">
          <w:rPr>
            <w:vanish/>
          </w:rPr>
          <w:instrText xml:space="preserve"> PAGEREF _Toc185514441 \h </w:instrText>
        </w:r>
        <w:r w:rsidR="00AC5392" w:rsidRPr="00AC5392">
          <w:rPr>
            <w:vanish/>
          </w:rPr>
        </w:r>
        <w:r w:rsidR="00AC5392" w:rsidRPr="00AC5392">
          <w:rPr>
            <w:vanish/>
          </w:rPr>
          <w:fldChar w:fldCharType="separate"/>
        </w:r>
        <w:r w:rsidR="00AC5392" w:rsidRPr="00AC5392">
          <w:rPr>
            <w:vanish/>
          </w:rPr>
          <w:t>482</w:t>
        </w:r>
        <w:r w:rsidR="00AC5392" w:rsidRPr="00AC5392">
          <w:rPr>
            <w:vanish/>
          </w:rPr>
          <w:fldChar w:fldCharType="end"/>
        </w:r>
      </w:hyperlink>
    </w:p>
    <w:p w14:paraId="363C1E54" w14:textId="17E4B11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2" w:history="1">
        <w:r w:rsidRPr="00533B68">
          <w:t>2550</w:t>
        </w:r>
        <w:r>
          <w:rPr>
            <w:rFonts w:asciiTheme="minorHAnsi" w:eastAsiaTheme="minorEastAsia" w:hAnsiTheme="minorHAnsi" w:cstheme="minorBidi"/>
            <w:kern w:val="2"/>
            <w:sz w:val="24"/>
            <w:szCs w:val="24"/>
            <w:lang w:eastAsia="en-AU"/>
            <w14:ligatures w14:val="standardContextual"/>
          </w:rPr>
          <w:tab/>
        </w:r>
        <w:r w:rsidRPr="00533B68">
          <w:t>Application—div 2.18.17</w:t>
        </w:r>
        <w:r>
          <w:tab/>
        </w:r>
        <w:r>
          <w:fldChar w:fldCharType="begin"/>
        </w:r>
        <w:r>
          <w:instrText xml:space="preserve"> PAGEREF _Toc185514442 \h </w:instrText>
        </w:r>
        <w:r>
          <w:fldChar w:fldCharType="separate"/>
        </w:r>
        <w:r>
          <w:t>482</w:t>
        </w:r>
        <w:r>
          <w:fldChar w:fldCharType="end"/>
        </w:r>
      </w:hyperlink>
    </w:p>
    <w:p w14:paraId="3B645EAC" w14:textId="3B6AF66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3" w:history="1">
        <w:r w:rsidRPr="00533B68">
          <w:t>2551</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plaintiff</w:t>
        </w:r>
        <w:r w:rsidRPr="00533B68">
          <w:t xml:space="preserve"> and </w:t>
        </w:r>
        <w:r w:rsidRPr="00533B68">
          <w:rPr>
            <w:i/>
          </w:rPr>
          <w:t>defendant</w:t>
        </w:r>
        <w:r w:rsidRPr="00533B68">
          <w:t>—div 2.18.17</w:t>
        </w:r>
        <w:r>
          <w:tab/>
        </w:r>
        <w:r>
          <w:fldChar w:fldCharType="begin"/>
        </w:r>
        <w:r>
          <w:instrText xml:space="preserve"> PAGEREF _Toc185514443 \h </w:instrText>
        </w:r>
        <w:r>
          <w:fldChar w:fldCharType="separate"/>
        </w:r>
        <w:r>
          <w:t>482</w:t>
        </w:r>
        <w:r>
          <w:fldChar w:fldCharType="end"/>
        </w:r>
      </w:hyperlink>
    </w:p>
    <w:p w14:paraId="1490C461" w14:textId="117BC3F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4" w:history="1">
        <w:r w:rsidRPr="00533B68">
          <w:t>2552</w:t>
        </w:r>
        <w:r>
          <w:rPr>
            <w:rFonts w:asciiTheme="minorHAnsi" w:eastAsiaTheme="minorEastAsia" w:hAnsiTheme="minorHAnsi" w:cstheme="minorBidi"/>
            <w:kern w:val="2"/>
            <w:sz w:val="24"/>
            <w:szCs w:val="24"/>
            <w:lang w:eastAsia="en-AU"/>
            <w14:ligatures w14:val="standardContextual"/>
          </w:rPr>
          <w:tab/>
        </w:r>
        <w:r w:rsidRPr="00533B68">
          <w:t>Arrest warrant for defendant—application</w:t>
        </w:r>
        <w:r>
          <w:tab/>
        </w:r>
        <w:r>
          <w:fldChar w:fldCharType="begin"/>
        </w:r>
        <w:r>
          <w:instrText xml:space="preserve"> PAGEREF _Toc185514444 \h </w:instrText>
        </w:r>
        <w:r>
          <w:fldChar w:fldCharType="separate"/>
        </w:r>
        <w:r>
          <w:t>482</w:t>
        </w:r>
        <w:r>
          <w:fldChar w:fldCharType="end"/>
        </w:r>
      </w:hyperlink>
    </w:p>
    <w:p w14:paraId="10CA7331" w14:textId="54194F1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5" w:history="1">
        <w:r w:rsidRPr="00533B68">
          <w:t>2553</w:t>
        </w:r>
        <w:r>
          <w:rPr>
            <w:rFonts w:asciiTheme="minorHAnsi" w:eastAsiaTheme="minorEastAsia" w:hAnsiTheme="minorHAnsi" w:cstheme="minorBidi"/>
            <w:kern w:val="2"/>
            <w:sz w:val="24"/>
            <w:szCs w:val="24"/>
            <w:lang w:eastAsia="en-AU"/>
            <w14:ligatures w14:val="standardContextual"/>
          </w:rPr>
          <w:tab/>
        </w:r>
        <w:r w:rsidRPr="00533B68">
          <w:t>Arrest warrant for defendant—issue</w:t>
        </w:r>
        <w:r>
          <w:tab/>
        </w:r>
        <w:r>
          <w:fldChar w:fldCharType="begin"/>
        </w:r>
        <w:r>
          <w:instrText xml:space="preserve"> PAGEREF _Toc185514445 \h </w:instrText>
        </w:r>
        <w:r>
          <w:fldChar w:fldCharType="separate"/>
        </w:r>
        <w:r>
          <w:t>482</w:t>
        </w:r>
        <w:r>
          <w:fldChar w:fldCharType="end"/>
        </w:r>
      </w:hyperlink>
    </w:p>
    <w:p w14:paraId="41B1C9E3" w14:textId="69FD05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6" w:history="1">
        <w:r w:rsidRPr="00533B68">
          <w:t>2554</w:t>
        </w:r>
        <w:r>
          <w:rPr>
            <w:rFonts w:asciiTheme="minorHAnsi" w:eastAsiaTheme="minorEastAsia" w:hAnsiTheme="minorHAnsi" w:cstheme="minorBidi"/>
            <w:kern w:val="2"/>
            <w:sz w:val="24"/>
            <w:szCs w:val="24"/>
            <w:lang w:eastAsia="en-AU"/>
            <w14:ligatures w14:val="standardContextual"/>
          </w:rPr>
          <w:tab/>
        </w:r>
        <w:r w:rsidRPr="00533B68">
          <w:t>Arrest warrant for defendant—enforcement</w:t>
        </w:r>
        <w:r>
          <w:tab/>
        </w:r>
        <w:r>
          <w:fldChar w:fldCharType="begin"/>
        </w:r>
        <w:r>
          <w:instrText xml:space="preserve"> PAGEREF _Toc185514446 \h </w:instrText>
        </w:r>
        <w:r>
          <w:fldChar w:fldCharType="separate"/>
        </w:r>
        <w:r>
          <w:t>483</w:t>
        </w:r>
        <w:r>
          <w:fldChar w:fldCharType="end"/>
        </w:r>
      </w:hyperlink>
    </w:p>
    <w:p w14:paraId="5C9ACDF3" w14:textId="2AD50D8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7" w:history="1">
        <w:r w:rsidRPr="00533B68">
          <w:t>2555</w:t>
        </w:r>
        <w:r>
          <w:rPr>
            <w:rFonts w:asciiTheme="minorHAnsi" w:eastAsiaTheme="minorEastAsia" w:hAnsiTheme="minorHAnsi" w:cstheme="minorBidi"/>
            <w:kern w:val="2"/>
            <w:sz w:val="24"/>
            <w:szCs w:val="24"/>
            <w:lang w:eastAsia="en-AU"/>
            <w14:ligatures w14:val="standardContextual"/>
          </w:rPr>
          <w:tab/>
        </w:r>
        <w:r w:rsidRPr="00533B68">
          <w:t>Arrest warrant for defendant—costs of enforcement</w:t>
        </w:r>
        <w:r>
          <w:tab/>
        </w:r>
        <w:r>
          <w:fldChar w:fldCharType="begin"/>
        </w:r>
        <w:r>
          <w:instrText xml:space="preserve"> PAGEREF _Toc185514447 \h </w:instrText>
        </w:r>
        <w:r>
          <w:fldChar w:fldCharType="separate"/>
        </w:r>
        <w:r>
          <w:t>484</w:t>
        </w:r>
        <w:r>
          <w:fldChar w:fldCharType="end"/>
        </w:r>
      </w:hyperlink>
    </w:p>
    <w:p w14:paraId="39DBBDDE" w14:textId="4A759FE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8" w:history="1">
        <w:r w:rsidRPr="00533B68">
          <w:t>2556</w:t>
        </w:r>
        <w:r>
          <w:rPr>
            <w:rFonts w:asciiTheme="minorHAnsi" w:eastAsiaTheme="minorEastAsia" w:hAnsiTheme="minorHAnsi" w:cstheme="minorBidi"/>
            <w:kern w:val="2"/>
            <w:sz w:val="24"/>
            <w:szCs w:val="24"/>
            <w:lang w:eastAsia="en-AU"/>
            <w14:ligatures w14:val="standardContextual"/>
          </w:rPr>
          <w:tab/>
        </w:r>
        <w:r w:rsidRPr="00533B68">
          <w:t>Arrest warrant for defendant—service of warrant and claim</w:t>
        </w:r>
        <w:r>
          <w:tab/>
        </w:r>
        <w:r>
          <w:fldChar w:fldCharType="begin"/>
        </w:r>
        <w:r>
          <w:instrText xml:space="preserve"> PAGEREF _Toc185514448 \h </w:instrText>
        </w:r>
        <w:r>
          <w:fldChar w:fldCharType="separate"/>
        </w:r>
        <w:r>
          <w:t>484</w:t>
        </w:r>
        <w:r>
          <w:fldChar w:fldCharType="end"/>
        </w:r>
      </w:hyperlink>
    </w:p>
    <w:p w14:paraId="3E0FB847" w14:textId="1D845E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49" w:history="1">
        <w:r w:rsidRPr="00533B68">
          <w:t>2557</w:t>
        </w:r>
        <w:r>
          <w:rPr>
            <w:rFonts w:asciiTheme="minorHAnsi" w:eastAsiaTheme="minorEastAsia" w:hAnsiTheme="minorHAnsi" w:cstheme="minorBidi"/>
            <w:kern w:val="2"/>
            <w:sz w:val="24"/>
            <w:szCs w:val="24"/>
            <w:lang w:eastAsia="en-AU"/>
            <w14:ligatures w14:val="standardContextual"/>
          </w:rPr>
          <w:tab/>
        </w:r>
        <w:r w:rsidRPr="00533B68">
          <w:t>Arrest warrant for defendant—record of enforcement</w:t>
        </w:r>
        <w:r>
          <w:tab/>
        </w:r>
        <w:r>
          <w:fldChar w:fldCharType="begin"/>
        </w:r>
        <w:r>
          <w:instrText xml:space="preserve"> PAGEREF _Toc185514449 \h </w:instrText>
        </w:r>
        <w:r>
          <w:fldChar w:fldCharType="separate"/>
        </w:r>
        <w:r>
          <w:t>485</w:t>
        </w:r>
        <w:r>
          <w:fldChar w:fldCharType="end"/>
        </w:r>
      </w:hyperlink>
    </w:p>
    <w:p w14:paraId="7C1D5255" w14:textId="7A2178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0" w:history="1">
        <w:r w:rsidRPr="00533B68">
          <w:t>2558</w:t>
        </w:r>
        <w:r>
          <w:rPr>
            <w:rFonts w:asciiTheme="minorHAnsi" w:eastAsiaTheme="minorEastAsia" w:hAnsiTheme="minorHAnsi" w:cstheme="minorBidi"/>
            <w:kern w:val="2"/>
            <w:sz w:val="24"/>
            <w:szCs w:val="24"/>
            <w:lang w:eastAsia="en-AU"/>
            <w14:ligatures w14:val="standardContextual"/>
          </w:rPr>
          <w:tab/>
        </w:r>
        <w:r w:rsidRPr="00533B68">
          <w:t>Arrest warrant for defendant—procedure after arrest</w:t>
        </w:r>
        <w:r>
          <w:tab/>
        </w:r>
        <w:r>
          <w:fldChar w:fldCharType="begin"/>
        </w:r>
        <w:r>
          <w:instrText xml:space="preserve"> PAGEREF _Toc185514450 \h </w:instrText>
        </w:r>
        <w:r>
          <w:fldChar w:fldCharType="separate"/>
        </w:r>
        <w:r>
          <w:t>485</w:t>
        </w:r>
        <w:r>
          <w:fldChar w:fldCharType="end"/>
        </w:r>
      </w:hyperlink>
    </w:p>
    <w:p w14:paraId="0BEC7F38" w14:textId="7125F95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1" w:history="1">
        <w:r w:rsidRPr="00533B68">
          <w:t>2559</w:t>
        </w:r>
        <w:r>
          <w:rPr>
            <w:rFonts w:asciiTheme="minorHAnsi" w:eastAsiaTheme="minorEastAsia" w:hAnsiTheme="minorHAnsi" w:cstheme="minorBidi"/>
            <w:kern w:val="2"/>
            <w:sz w:val="24"/>
            <w:szCs w:val="24"/>
            <w:lang w:eastAsia="en-AU"/>
            <w14:ligatures w14:val="standardContextual"/>
          </w:rPr>
          <w:tab/>
        </w:r>
        <w:r w:rsidRPr="00533B68">
          <w:t>Arrest warrant for defendant—release of defendant</w:t>
        </w:r>
        <w:r>
          <w:tab/>
        </w:r>
        <w:r>
          <w:fldChar w:fldCharType="begin"/>
        </w:r>
        <w:r>
          <w:instrText xml:space="preserve"> PAGEREF _Toc185514451 \h </w:instrText>
        </w:r>
        <w:r>
          <w:fldChar w:fldCharType="separate"/>
        </w:r>
        <w:r>
          <w:t>485</w:t>
        </w:r>
        <w:r>
          <w:fldChar w:fldCharType="end"/>
        </w:r>
      </w:hyperlink>
    </w:p>
    <w:p w14:paraId="0AD93009" w14:textId="58DC71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2" w:history="1">
        <w:r w:rsidRPr="00533B68">
          <w:t>2560</w:t>
        </w:r>
        <w:r>
          <w:rPr>
            <w:rFonts w:asciiTheme="minorHAnsi" w:eastAsiaTheme="minorEastAsia" w:hAnsiTheme="minorHAnsi" w:cstheme="minorBidi"/>
            <w:kern w:val="2"/>
            <w:sz w:val="24"/>
            <w:szCs w:val="24"/>
            <w:lang w:eastAsia="en-AU"/>
            <w14:ligatures w14:val="standardContextual"/>
          </w:rPr>
          <w:tab/>
        </w:r>
        <w:r w:rsidRPr="00533B68">
          <w:t>Arrest warrant for defendant—court powers</w:t>
        </w:r>
        <w:r>
          <w:tab/>
        </w:r>
        <w:r>
          <w:fldChar w:fldCharType="begin"/>
        </w:r>
        <w:r>
          <w:instrText xml:space="preserve"> PAGEREF _Toc185514452 \h </w:instrText>
        </w:r>
        <w:r>
          <w:fldChar w:fldCharType="separate"/>
        </w:r>
        <w:r>
          <w:t>486</w:t>
        </w:r>
        <w:r>
          <w:fldChar w:fldCharType="end"/>
        </w:r>
      </w:hyperlink>
    </w:p>
    <w:p w14:paraId="49146E95" w14:textId="1BFDF9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3" w:history="1">
        <w:r w:rsidRPr="00533B68">
          <w:t>2561</w:t>
        </w:r>
        <w:r>
          <w:rPr>
            <w:rFonts w:asciiTheme="minorHAnsi" w:eastAsiaTheme="minorEastAsia" w:hAnsiTheme="minorHAnsi" w:cstheme="minorBidi"/>
            <w:kern w:val="2"/>
            <w:sz w:val="24"/>
            <w:szCs w:val="24"/>
            <w:lang w:eastAsia="en-AU"/>
            <w14:ligatures w14:val="standardContextual"/>
          </w:rPr>
          <w:tab/>
        </w:r>
        <w:r w:rsidRPr="00533B68">
          <w:t>Arrest warrant for defendant—failure to comply with conditions</w:t>
        </w:r>
        <w:r>
          <w:tab/>
        </w:r>
        <w:r>
          <w:fldChar w:fldCharType="begin"/>
        </w:r>
        <w:r>
          <w:instrText xml:space="preserve"> PAGEREF _Toc185514453 \h </w:instrText>
        </w:r>
        <w:r>
          <w:fldChar w:fldCharType="separate"/>
        </w:r>
        <w:r>
          <w:t>487</w:t>
        </w:r>
        <w:r>
          <w:fldChar w:fldCharType="end"/>
        </w:r>
      </w:hyperlink>
    </w:p>
    <w:p w14:paraId="2FE33581" w14:textId="7969FE0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4" w:history="1">
        <w:r w:rsidRPr="00533B68">
          <w:t>2562</w:t>
        </w:r>
        <w:r>
          <w:rPr>
            <w:rFonts w:asciiTheme="minorHAnsi" w:eastAsiaTheme="minorEastAsia" w:hAnsiTheme="minorHAnsi" w:cstheme="minorBidi"/>
            <w:kern w:val="2"/>
            <w:sz w:val="24"/>
            <w:szCs w:val="24"/>
            <w:lang w:eastAsia="en-AU"/>
            <w14:ligatures w14:val="standardContextual"/>
          </w:rPr>
          <w:tab/>
        </w:r>
        <w:r w:rsidRPr="00533B68">
          <w:t>Arrest warrant for defendant—review</w:t>
        </w:r>
        <w:r>
          <w:tab/>
        </w:r>
        <w:r>
          <w:fldChar w:fldCharType="begin"/>
        </w:r>
        <w:r>
          <w:instrText xml:space="preserve"> PAGEREF _Toc185514454 \h </w:instrText>
        </w:r>
        <w:r>
          <w:fldChar w:fldCharType="separate"/>
        </w:r>
        <w:r>
          <w:t>488</w:t>
        </w:r>
        <w:r>
          <w:fldChar w:fldCharType="end"/>
        </w:r>
      </w:hyperlink>
    </w:p>
    <w:p w14:paraId="3A885481" w14:textId="7242E8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5" w:history="1">
        <w:r w:rsidRPr="00533B68">
          <w:t>2563</w:t>
        </w:r>
        <w:r>
          <w:rPr>
            <w:rFonts w:asciiTheme="minorHAnsi" w:eastAsiaTheme="minorEastAsia" w:hAnsiTheme="minorHAnsi" w:cstheme="minorBidi"/>
            <w:kern w:val="2"/>
            <w:sz w:val="24"/>
            <w:szCs w:val="24"/>
            <w:lang w:eastAsia="en-AU"/>
            <w14:ligatures w14:val="standardContextual"/>
          </w:rPr>
          <w:tab/>
        </w:r>
        <w:r w:rsidRPr="00533B68">
          <w:t>Arrest warrant for defendant—restriction on further applications</w:t>
        </w:r>
        <w:r>
          <w:tab/>
        </w:r>
        <w:r>
          <w:fldChar w:fldCharType="begin"/>
        </w:r>
        <w:r>
          <w:instrText xml:space="preserve"> PAGEREF _Toc185514455 \h </w:instrText>
        </w:r>
        <w:r>
          <w:fldChar w:fldCharType="separate"/>
        </w:r>
        <w:r>
          <w:t>489</w:t>
        </w:r>
        <w:r>
          <w:fldChar w:fldCharType="end"/>
        </w:r>
      </w:hyperlink>
    </w:p>
    <w:p w14:paraId="1B1EAD03" w14:textId="0BDE328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6" w:history="1">
        <w:r w:rsidRPr="00533B68">
          <w:t>2564</w:t>
        </w:r>
        <w:r>
          <w:rPr>
            <w:rFonts w:asciiTheme="minorHAnsi" w:eastAsiaTheme="minorEastAsia" w:hAnsiTheme="minorHAnsi" w:cstheme="minorBidi"/>
            <w:kern w:val="2"/>
            <w:sz w:val="24"/>
            <w:szCs w:val="24"/>
            <w:lang w:eastAsia="en-AU"/>
            <w14:ligatures w14:val="standardContextual"/>
          </w:rPr>
          <w:tab/>
        </w:r>
        <w:r w:rsidRPr="00533B68">
          <w:t>Arrest warrant for defendant—costs</w:t>
        </w:r>
        <w:r>
          <w:tab/>
        </w:r>
        <w:r>
          <w:fldChar w:fldCharType="begin"/>
        </w:r>
        <w:r>
          <w:instrText xml:space="preserve"> PAGEREF _Toc185514456 \h </w:instrText>
        </w:r>
        <w:r>
          <w:fldChar w:fldCharType="separate"/>
        </w:r>
        <w:r>
          <w:t>489</w:t>
        </w:r>
        <w:r>
          <w:fldChar w:fldCharType="end"/>
        </w:r>
      </w:hyperlink>
    </w:p>
    <w:p w14:paraId="02DFFEE5" w14:textId="0E2F5E73"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457" w:history="1">
        <w:r w:rsidR="00AC5392" w:rsidRPr="00533B68">
          <w:t>Part 2.19</w:t>
        </w:r>
        <w:r w:rsidR="00AC5392">
          <w:rPr>
            <w:rFonts w:asciiTheme="minorHAnsi" w:eastAsiaTheme="minorEastAsia" w:hAnsiTheme="minorHAnsi" w:cstheme="minorBidi"/>
            <w:b w:val="0"/>
            <w:kern w:val="2"/>
            <w:szCs w:val="24"/>
            <w:lang w:eastAsia="en-AU"/>
            <w14:ligatures w14:val="standardContextual"/>
          </w:rPr>
          <w:tab/>
        </w:r>
        <w:r w:rsidR="00AC5392" w:rsidRPr="00533B68">
          <w:t>Interpleader proceedings</w:t>
        </w:r>
        <w:r w:rsidR="00AC5392" w:rsidRPr="00AC5392">
          <w:rPr>
            <w:vanish/>
          </w:rPr>
          <w:tab/>
        </w:r>
        <w:r w:rsidR="00AC5392" w:rsidRPr="00AC5392">
          <w:rPr>
            <w:vanish/>
          </w:rPr>
          <w:fldChar w:fldCharType="begin"/>
        </w:r>
        <w:r w:rsidR="00AC5392" w:rsidRPr="00AC5392">
          <w:rPr>
            <w:vanish/>
          </w:rPr>
          <w:instrText xml:space="preserve"> PAGEREF _Toc185514457 \h </w:instrText>
        </w:r>
        <w:r w:rsidR="00AC5392" w:rsidRPr="00AC5392">
          <w:rPr>
            <w:vanish/>
          </w:rPr>
        </w:r>
        <w:r w:rsidR="00AC5392" w:rsidRPr="00AC5392">
          <w:rPr>
            <w:vanish/>
          </w:rPr>
          <w:fldChar w:fldCharType="separate"/>
        </w:r>
        <w:r w:rsidR="00AC5392" w:rsidRPr="00AC5392">
          <w:rPr>
            <w:vanish/>
          </w:rPr>
          <w:t>490</w:t>
        </w:r>
        <w:r w:rsidR="00AC5392" w:rsidRPr="00AC5392">
          <w:rPr>
            <w:vanish/>
          </w:rPr>
          <w:fldChar w:fldCharType="end"/>
        </w:r>
      </w:hyperlink>
    </w:p>
    <w:p w14:paraId="66425082" w14:textId="543078B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58" w:history="1">
        <w:r w:rsidR="00AC5392" w:rsidRPr="00533B68">
          <w:t>Division 2.19.1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Stakeholder’s interpleader</w:t>
        </w:r>
        <w:r w:rsidR="00AC5392" w:rsidRPr="00AC5392">
          <w:rPr>
            <w:vanish/>
          </w:rPr>
          <w:tab/>
        </w:r>
        <w:r w:rsidR="00AC5392" w:rsidRPr="00AC5392">
          <w:rPr>
            <w:vanish/>
          </w:rPr>
          <w:fldChar w:fldCharType="begin"/>
        </w:r>
        <w:r w:rsidR="00AC5392" w:rsidRPr="00AC5392">
          <w:rPr>
            <w:vanish/>
          </w:rPr>
          <w:instrText xml:space="preserve"> PAGEREF _Toc185514458 \h </w:instrText>
        </w:r>
        <w:r w:rsidR="00AC5392" w:rsidRPr="00AC5392">
          <w:rPr>
            <w:vanish/>
          </w:rPr>
        </w:r>
        <w:r w:rsidR="00AC5392" w:rsidRPr="00AC5392">
          <w:rPr>
            <w:vanish/>
          </w:rPr>
          <w:fldChar w:fldCharType="separate"/>
        </w:r>
        <w:r w:rsidR="00AC5392" w:rsidRPr="00AC5392">
          <w:rPr>
            <w:vanish/>
          </w:rPr>
          <w:t>490</w:t>
        </w:r>
        <w:r w:rsidR="00AC5392" w:rsidRPr="00AC5392">
          <w:rPr>
            <w:vanish/>
          </w:rPr>
          <w:fldChar w:fldCharType="end"/>
        </w:r>
      </w:hyperlink>
    </w:p>
    <w:p w14:paraId="191789B6" w14:textId="6644DED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59" w:history="1">
        <w:r w:rsidRPr="00533B68">
          <w:t>2600</w:t>
        </w:r>
        <w:r>
          <w:rPr>
            <w:rFonts w:asciiTheme="minorHAnsi" w:eastAsiaTheme="minorEastAsia" w:hAnsiTheme="minorHAnsi" w:cstheme="minorBidi"/>
            <w:kern w:val="2"/>
            <w:sz w:val="24"/>
            <w:szCs w:val="24"/>
            <w:lang w:eastAsia="en-AU"/>
            <w14:ligatures w14:val="standardContextual"/>
          </w:rPr>
          <w:tab/>
        </w:r>
        <w:r w:rsidRPr="00533B68">
          <w:t>Interpleader—application by stakeholder</w:t>
        </w:r>
        <w:r>
          <w:tab/>
        </w:r>
        <w:r>
          <w:fldChar w:fldCharType="begin"/>
        </w:r>
        <w:r>
          <w:instrText xml:space="preserve"> PAGEREF _Toc185514459 \h </w:instrText>
        </w:r>
        <w:r>
          <w:fldChar w:fldCharType="separate"/>
        </w:r>
        <w:r>
          <w:t>490</w:t>
        </w:r>
        <w:r>
          <w:fldChar w:fldCharType="end"/>
        </w:r>
      </w:hyperlink>
    </w:p>
    <w:p w14:paraId="370AC69C" w14:textId="57AD1F1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60" w:history="1">
        <w:r w:rsidR="00AC5392" w:rsidRPr="00533B68">
          <w:t>Division 2.19.2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officer’s interpleader</w:t>
        </w:r>
        <w:r w:rsidR="00AC5392" w:rsidRPr="00AC5392">
          <w:rPr>
            <w:vanish/>
          </w:rPr>
          <w:tab/>
        </w:r>
        <w:r w:rsidR="00AC5392" w:rsidRPr="00AC5392">
          <w:rPr>
            <w:vanish/>
          </w:rPr>
          <w:fldChar w:fldCharType="begin"/>
        </w:r>
        <w:r w:rsidR="00AC5392" w:rsidRPr="00AC5392">
          <w:rPr>
            <w:vanish/>
          </w:rPr>
          <w:instrText xml:space="preserve"> PAGEREF _Toc185514460 \h </w:instrText>
        </w:r>
        <w:r w:rsidR="00AC5392" w:rsidRPr="00AC5392">
          <w:rPr>
            <w:vanish/>
          </w:rPr>
        </w:r>
        <w:r w:rsidR="00AC5392" w:rsidRPr="00AC5392">
          <w:rPr>
            <w:vanish/>
          </w:rPr>
          <w:fldChar w:fldCharType="separate"/>
        </w:r>
        <w:r w:rsidR="00AC5392" w:rsidRPr="00AC5392">
          <w:rPr>
            <w:vanish/>
          </w:rPr>
          <w:t>491</w:t>
        </w:r>
        <w:r w:rsidR="00AC5392" w:rsidRPr="00AC5392">
          <w:rPr>
            <w:vanish/>
          </w:rPr>
          <w:fldChar w:fldCharType="end"/>
        </w:r>
      </w:hyperlink>
    </w:p>
    <w:p w14:paraId="3372310E" w14:textId="7B251B9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1" w:history="1">
        <w:r w:rsidRPr="00533B68">
          <w:t>2605</w:t>
        </w:r>
        <w:r>
          <w:rPr>
            <w:rFonts w:asciiTheme="minorHAnsi" w:eastAsiaTheme="minorEastAsia" w:hAnsiTheme="minorHAnsi" w:cstheme="minorBidi"/>
            <w:kern w:val="2"/>
            <w:sz w:val="24"/>
            <w:szCs w:val="24"/>
            <w:lang w:eastAsia="en-AU"/>
            <w14:ligatures w14:val="standardContextual"/>
          </w:rPr>
          <w:tab/>
        </w:r>
        <w:r w:rsidRPr="00533B68">
          <w:t>Interpleader—notice of claim to enforcement officer</w:t>
        </w:r>
        <w:r>
          <w:tab/>
        </w:r>
        <w:r>
          <w:fldChar w:fldCharType="begin"/>
        </w:r>
        <w:r>
          <w:instrText xml:space="preserve"> PAGEREF _Toc185514461 \h </w:instrText>
        </w:r>
        <w:r>
          <w:fldChar w:fldCharType="separate"/>
        </w:r>
        <w:r>
          <w:t>491</w:t>
        </w:r>
        <w:r>
          <w:fldChar w:fldCharType="end"/>
        </w:r>
      </w:hyperlink>
    </w:p>
    <w:p w14:paraId="3ED0AC85" w14:textId="599F7E7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2" w:history="1">
        <w:r w:rsidRPr="00533B68">
          <w:t>2606</w:t>
        </w:r>
        <w:r>
          <w:rPr>
            <w:rFonts w:asciiTheme="minorHAnsi" w:eastAsiaTheme="minorEastAsia" w:hAnsiTheme="minorHAnsi" w:cstheme="minorBidi"/>
            <w:kern w:val="2"/>
            <w:sz w:val="24"/>
            <w:szCs w:val="24"/>
            <w:lang w:eastAsia="en-AU"/>
            <w14:ligatures w14:val="standardContextual"/>
          </w:rPr>
          <w:tab/>
        </w:r>
        <w:r w:rsidRPr="00533B68">
          <w:t>Interpleader—failure to give notice of claim</w:t>
        </w:r>
        <w:r>
          <w:tab/>
        </w:r>
        <w:r>
          <w:fldChar w:fldCharType="begin"/>
        </w:r>
        <w:r>
          <w:instrText xml:space="preserve"> PAGEREF _Toc185514462 \h </w:instrText>
        </w:r>
        <w:r>
          <w:fldChar w:fldCharType="separate"/>
        </w:r>
        <w:r>
          <w:t>491</w:t>
        </w:r>
        <w:r>
          <w:fldChar w:fldCharType="end"/>
        </w:r>
      </w:hyperlink>
    </w:p>
    <w:p w14:paraId="66773A43" w14:textId="56C4622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3" w:history="1">
        <w:r w:rsidRPr="00533B68">
          <w:t>2607</w:t>
        </w:r>
        <w:r>
          <w:rPr>
            <w:rFonts w:asciiTheme="minorHAnsi" w:eastAsiaTheme="minorEastAsia" w:hAnsiTheme="minorHAnsi" w:cstheme="minorBidi"/>
            <w:kern w:val="2"/>
            <w:sz w:val="24"/>
            <w:szCs w:val="24"/>
            <w:lang w:eastAsia="en-AU"/>
            <w14:ligatures w14:val="standardContextual"/>
          </w:rPr>
          <w:tab/>
        </w:r>
        <w:r w:rsidRPr="00533B68">
          <w:t>Interpleader—notice to enforcement creditor</w:t>
        </w:r>
        <w:r>
          <w:tab/>
        </w:r>
        <w:r>
          <w:fldChar w:fldCharType="begin"/>
        </w:r>
        <w:r>
          <w:instrText xml:space="preserve"> PAGEREF _Toc185514463 \h </w:instrText>
        </w:r>
        <w:r>
          <w:fldChar w:fldCharType="separate"/>
        </w:r>
        <w:r>
          <w:t>492</w:t>
        </w:r>
        <w:r>
          <w:fldChar w:fldCharType="end"/>
        </w:r>
      </w:hyperlink>
    </w:p>
    <w:p w14:paraId="07031547" w14:textId="46F5EC0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4" w:history="1">
        <w:r w:rsidRPr="00533B68">
          <w:t>2608</w:t>
        </w:r>
        <w:r>
          <w:rPr>
            <w:rFonts w:asciiTheme="minorHAnsi" w:eastAsiaTheme="minorEastAsia" w:hAnsiTheme="minorHAnsi" w:cstheme="minorBidi"/>
            <w:kern w:val="2"/>
            <w:sz w:val="24"/>
            <w:szCs w:val="24"/>
            <w:lang w:eastAsia="en-AU"/>
            <w14:ligatures w14:val="standardContextual"/>
          </w:rPr>
          <w:tab/>
        </w:r>
        <w:r w:rsidRPr="00533B68">
          <w:t>Interpleader—admission of claim</w:t>
        </w:r>
        <w:r>
          <w:tab/>
        </w:r>
        <w:r>
          <w:fldChar w:fldCharType="begin"/>
        </w:r>
        <w:r>
          <w:instrText xml:space="preserve"> PAGEREF _Toc185514464 \h </w:instrText>
        </w:r>
        <w:r>
          <w:fldChar w:fldCharType="separate"/>
        </w:r>
        <w:r>
          <w:t>493</w:t>
        </w:r>
        <w:r>
          <w:fldChar w:fldCharType="end"/>
        </w:r>
      </w:hyperlink>
    </w:p>
    <w:p w14:paraId="1C53FEB7" w14:textId="636C80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5" w:history="1">
        <w:r w:rsidRPr="00533B68">
          <w:t>2609</w:t>
        </w:r>
        <w:r>
          <w:rPr>
            <w:rFonts w:asciiTheme="minorHAnsi" w:eastAsiaTheme="minorEastAsia" w:hAnsiTheme="minorHAnsi" w:cstheme="minorBidi"/>
            <w:kern w:val="2"/>
            <w:sz w:val="24"/>
            <w:szCs w:val="24"/>
            <w:lang w:eastAsia="en-AU"/>
            <w14:ligatures w14:val="standardContextual"/>
          </w:rPr>
          <w:tab/>
        </w:r>
        <w:r w:rsidRPr="00533B68">
          <w:t>Interpleader—enforcement officer’s interpleader application</w:t>
        </w:r>
        <w:r>
          <w:tab/>
        </w:r>
        <w:r>
          <w:fldChar w:fldCharType="begin"/>
        </w:r>
        <w:r>
          <w:instrText xml:space="preserve"> PAGEREF _Toc185514465 \h </w:instrText>
        </w:r>
        <w:r>
          <w:fldChar w:fldCharType="separate"/>
        </w:r>
        <w:r>
          <w:t>494</w:t>
        </w:r>
        <w:r>
          <w:fldChar w:fldCharType="end"/>
        </w:r>
      </w:hyperlink>
    </w:p>
    <w:p w14:paraId="5D5F759D" w14:textId="5479D6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6" w:history="1">
        <w:r w:rsidRPr="00533B68">
          <w:t>2610</w:t>
        </w:r>
        <w:r>
          <w:rPr>
            <w:rFonts w:asciiTheme="minorHAnsi" w:eastAsiaTheme="minorEastAsia" w:hAnsiTheme="minorHAnsi" w:cstheme="minorBidi"/>
            <w:kern w:val="2"/>
            <w:sz w:val="24"/>
            <w:szCs w:val="24"/>
            <w:lang w:eastAsia="en-AU"/>
            <w14:ligatures w14:val="standardContextual"/>
          </w:rPr>
          <w:tab/>
        </w:r>
        <w:r w:rsidRPr="00533B68">
          <w:t>Interpleader—enforcement debtor’s rights not affected</w:t>
        </w:r>
        <w:r>
          <w:tab/>
        </w:r>
        <w:r>
          <w:fldChar w:fldCharType="begin"/>
        </w:r>
        <w:r>
          <w:instrText xml:space="preserve"> PAGEREF _Toc185514466 \h </w:instrText>
        </w:r>
        <w:r>
          <w:fldChar w:fldCharType="separate"/>
        </w:r>
        <w:r>
          <w:t>494</w:t>
        </w:r>
        <w:r>
          <w:fldChar w:fldCharType="end"/>
        </w:r>
      </w:hyperlink>
    </w:p>
    <w:p w14:paraId="322FFEA6" w14:textId="041935B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67" w:history="1">
        <w:r w:rsidR="00AC5392" w:rsidRPr="00533B68">
          <w:t>Division 2.19.3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Interpleader orders</w:t>
        </w:r>
        <w:r w:rsidR="00AC5392" w:rsidRPr="00AC5392">
          <w:rPr>
            <w:vanish/>
          </w:rPr>
          <w:tab/>
        </w:r>
        <w:r w:rsidR="00AC5392" w:rsidRPr="00AC5392">
          <w:rPr>
            <w:vanish/>
          </w:rPr>
          <w:fldChar w:fldCharType="begin"/>
        </w:r>
        <w:r w:rsidR="00AC5392" w:rsidRPr="00AC5392">
          <w:rPr>
            <w:vanish/>
          </w:rPr>
          <w:instrText xml:space="preserve"> PAGEREF _Toc185514467 \h </w:instrText>
        </w:r>
        <w:r w:rsidR="00AC5392" w:rsidRPr="00AC5392">
          <w:rPr>
            <w:vanish/>
          </w:rPr>
        </w:r>
        <w:r w:rsidR="00AC5392" w:rsidRPr="00AC5392">
          <w:rPr>
            <w:vanish/>
          </w:rPr>
          <w:fldChar w:fldCharType="separate"/>
        </w:r>
        <w:r w:rsidR="00AC5392" w:rsidRPr="00AC5392">
          <w:rPr>
            <w:vanish/>
          </w:rPr>
          <w:t>495</w:t>
        </w:r>
        <w:r w:rsidR="00AC5392" w:rsidRPr="00AC5392">
          <w:rPr>
            <w:vanish/>
          </w:rPr>
          <w:fldChar w:fldCharType="end"/>
        </w:r>
      </w:hyperlink>
    </w:p>
    <w:p w14:paraId="7648EE62" w14:textId="6126F3E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8" w:history="1">
        <w:r w:rsidRPr="00533B68">
          <w:t>2620</w:t>
        </w:r>
        <w:r>
          <w:rPr>
            <w:rFonts w:asciiTheme="minorHAnsi" w:eastAsiaTheme="minorEastAsia" w:hAnsiTheme="minorHAnsi" w:cstheme="minorBidi"/>
            <w:kern w:val="2"/>
            <w:sz w:val="24"/>
            <w:szCs w:val="24"/>
            <w:lang w:eastAsia="en-AU"/>
            <w14:ligatures w14:val="standardContextual"/>
          </w:rPr>
          <w:tab/>
        </w:r>
        <w:r w:rsidRPr="00533B68">
          <w:t>Interpleader—orders</w:t>
        </w:r>
        <w:r>
          <w:tab/>
        </w:r>
        <w:r>
          <w:fldChar w:fldCharType="begin"/>
        </w:r>
        <w:r>
          <w:instrText xml:space="preserve"> PAGEREF _Toc185514468 \h </w:instrText>
        </w:r>
        <w:r>
          <w:fldChar w:fldCharType="separate"/>
        </w:r>
        <w:r>
          <w:t>495</w:t>
        </w:r>
        <w:r>
          <w:fldChar w:fldCharType="end"/>
        </w:r>
      </w:hyperlink>
    </w:p>
    <w:p w14:paraId="66EE1BC3" w14:textId="2E677A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69" w:history="1">
        <w:r w:rsidRPr="00533B68">
          <w:t>2621</w:t>
        </w:r>
        <w:r>
          <w:rPr>
            <w:rFonts w:asciiTheme="minorHAnsi" w:eastAsiaTheme="minorEastAsia" w:hAnsiTheme="minorHAnsi" w:cstheme="minorBidi"/>
            <w:kern w:val="2"/>
            <w:sz w:val="24"/>
            <w:szCs w:val="24"/>
            <w:lang w:eastAsia="en-AU"/>
            <w14:ligatures w14:val="standardContextual"/>
          </w:rPr>
          <w:tab/>
        </w:r>
        <w:r w:rsidRPr="00533B68">
          <w:t>Interpleader—summary disposal of proceeding</w:t>
        </w:r>
        <w:r>
          <w:tab/>
        </w:r>
        <w:r>
          <w:fldChar w:fldCharType="begin"/>
        </w:r>
        <w:r>
          <w:instrText xml:space="preserve"> PAGEREF _Toc185514469 \h </w:instrText>
        </w:r>
        <w:r>
          <w:fldChar w:fldCharType="separate"/>
        </w:r>
        <w:r>
          <w:t>496</w:t>
        </w:r>
        <w:r>
          <w:fldChar w:fldCharType="end"/>
        </w:r>
      </w:hyperlink>
    </w:p>
    <w:p w14:paraId="57ABF2E9" w14:textId="52D8FFB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70" w:history="1">
        <w:r w:rsidRPr="00533B68">
          <w:t>2622</w:t>
        </w:r>
        <w:r>
          <w:rPr>
            <w:rFonts w:asciiTheme="minorHAnsi" w:eastAsiaTheme="minorEastAsia" w:hAnsiTheme="minorHAnsi" w:cstheme="minorBidi"/>
            <w:kern w:val="2"/>
            <w:sz w:val="24"/>
            <w:szCs w:val="24"/>
            <w:lang w:eastAsia="en-AU"/>
            <w14:ligatures w14:val="standardContextual"/>
          </w:rPr>
          <w:tab/>
        </w:r>
        <w:r w:rsidRPr="00533B68">
          <w:t>Interpleader—adverse claims</w:t>
        </w:r>
        <w:r>
          <w:tab/>
        </w:r>
        <w:r>
          <w:fldChar w:fldCharType="begin"/>
        </w:r>
        <w:r>
          <w:instrText xml:space="preserve"> PAGEREF _Toc185514470 \h </w:instrText>
        </w:r>
        <w:r>
          <w:fldChar w:fldCharType="separate"/>
        </w:r>
        <w:r>
          <w:t>496</w:t>
        </w:r>
        <w:r>
          <w:fldChar w:fldCharType="end"/>
        </w:r>
      </w:hyperlink>
    </w:p>
    <w:p w14:paraId="7A92C422" w14:textId="69D68E9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71" w:history="1">
        <w:r w:rsidRPr="00533B68">
          <w:t>2623</w:t>
        </w:r>
        <w:r>
          <w:rPr>
            <w:rFonts w:asciiTheme="minorHAnsi" w:eastAsiaTheme="minorEastAsia" w:hAnsiTheme="minorHAnsi" w:cstheme="minorBidi"/>
            <w:kern w:val="2"/>
            <w:sz w:val="24"/>
            <w:szCs w:val="24"/>
            <w:lang w:eastAsia="en-AU"/>
            <w14:ligatures w14:val="standardContextual"/>
          </w:rPr>
          <w:tab/>
        </w:r>
        <w:r w:rsidRPr="00533B68">
          <w:t>Interpleader—default by claimant</w:t>
        </w:r>
        <w:r>
          <w:tab/>
        </w:r>
        <w:r>
          <w:fldChar w:fldCharType="begin"/>
        </w:r>
        <w:r>
          <w:instrText xml:space="preserve"> PAGEREF _Toc185514471 \h </w:instrText>
        </w:r>
        <w:r>
          <w:fldChar w:fldCharType="separate"/>
        </w:r>
        <w:r>
          <w:t>496</w:t>
        </w:r>
        <w:r>
          <w:fldChar w:fldCharType="end"/>
        </w:r>
      </w:hyperlink>
    </w:p>
    <w:p w14:paraId="6B7B5757" w14:textId="6728BD1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72" w:history="1">
        <w:r w:rsidRPr="00533B68">
          <w:t>2624</w:t>
        </w:r>
        <w:r>
          <w:rPr>
            <w:rFonts w:asciiTheme="minorHAnsi" w:eastAsiaTheme="minorEastAsia" w:hAnsiTheme="minorHAnsi" w:cstheme="minorBidi"/>
            <w:kern w:val="2"/>
            <w:sz w:val="24"/>
            <w:szCs w:val="24"/>
            <w:lang w:eastAsia="en-AU"/>
            <w14:ligatures w14:val="standardContextual"/>
          </w:rPr>
          <w:tab/>
        </w:r>
        <w:r w:rsidRPr="00533B68">
          <w:t>Interpleader—neutrality of applicant</w:t>
        </w:r>
        <w:r>
          <w:tab/>
        </w:r>
        <w:r>
          <w:fldChar w:fldCharType="begin"/>
        </w:r>
        <w:r>
          <w:instrText xml:space="preserve"> PAGEREF _Toc185514472 \h </w:instrText>
        </w:r>
        <w:r>
          <w:fldChar w:fldCharType="separate"/>
        </w:r>
        <w:r>
          <w:t>497</w:t>
        </w:r>
        <w:r>
          <w:fldChar w:fldCharType="end"/>
        </w:r>
      </w:hyperlink>
    </w:p>
    <w:p w14:paraId="75D2A2B5" w14:textId="20EA5EAA"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473" w:history="1">
        <w:r w:rsidRPr="00533B68">
          <w:t>2625</w:t>
        </w:r>
        <w:r>
          <w:rPr>
            <w:rFonts w:asciiTheme="minorHAnsi" w:eastAsiaTheme="minorEastAsia" w:hAnsiTheme="minorHAnsi" w:cstheme="minorBidi"/>
            <w:kern w:val="2"/>
            <w:sz w:val="24"/>
            <w:szCs w:val="24"/>
            <w:lang w:eastAsia="en-AU"/>
            <w14:ligatures w14:val="standardContextual"/>
          </w:rPr>
          <w:tab/>
        </w:r>
        <w:r w:rsidRPr="00533B68">
          <w:t>Interpleader order—2 or more proceedings</w:t>
        </w:r>
        <w:r>
          <w:tab/>
        </w:r>
        <w:r>
          <w:fldChar w:fldCharType="begin"/>
        </w:r>
        <w:r>
          <w:instrText xml:space="preserve"> PAGEREF _Toc185514473 \h </w:instrText>
        </w:r>
        <w:r>
          <w:fldChar w:fldCharType="separate"/>
        </w:r>
        <w:r>
          <w:t>497</w:t>
        </w:r>
        <w:r>
          <w:fldChar w:fldCharType="end"/>
        </w:r>
      </w:hyperlink>
    </w:p>
    <w:p w14:paraId="2CB8EE92" w14:textId="5A3E74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74" w:history="1">
        <w:r w:rsidRPr="00533B68">
          <w:t>2626</w:t>
        </w:r>
        <w:r>
          <w:rPr>
            <w:rFonts w:asciiTheme="minorHAnsi" w:eastAsiaTheme="minorEastAsia" w:hAnsiTheme="minorHAnsi" w:cstheme="minorBidi"/>
            <w:kern w:val="2"/>
            <w:sz w:val="24"/>
            <w:szCs w:val="24"/>
            <w:lang w:eastAsia="en-AU"/>
            <w14:ligatures w14:val="standardContextual"/>
          </w:rPr>
          <w:tab/>
        </w:r>
        <w:r w:rsidRPr="00533B68">
          <w:t>Interpleader—trial</w:t>
        </w:r>
        <w:r>
          <w:tab/>
        </w:r>
        <w:r>
          <w:fldChar w:fldCharType="begin"/>
        </w:r>
        <w:r>
          <w:instrText xml:space="preserve"> PAGEREF _Toc185514474 \h </w:instrText>
        </w:r>
        <w:r>
          <w:fldChar w:fldCharType="separate"/>
        </w:r>
        <w:r>
          <w:t>498</w:t>
        </w:r>
        <w:r>
          <w:fldChar w:fldCharType="end"/>
        </w:r>
      </w:hyperlink>
    </w:p>
    <w:p w14:paraId="4DA51168" w14:textId="290DFCC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75" w:history="1">
        <w:r w:rsidRPr="00533B68">
          <w:t>2627</w:t>
        </w:r>
        <w:r>
          <w:rPr>
            <w:rFonts w:asciiTheme="minorHAnsi" w:eastAsiaTheme="minorEastAsia" w:hAnsiTheme="minorHAnsi" w:cstheme="minorBidi"/>
            <w:kern w:val="2"/>
            <w:sz w:val="24"/>
            <w:szCs w:val="24"/>
            <w:lang w:eastAsia="en-AU"/>
            <w14:ligatures w14:val="standardContextual"/>
          </w:rPr>
          <w:tab/>
        </w:r>
        <w:r w:rsidRPr="00533B68">
          <w:t>Interpleader—disposal of amounts in court</w:t>
        </w:r>
        <w:r>
          <w:tab/>
        </w:r>
        <w:r>
          <w:fldChar w:fldCharType="begin"/>
        </w:r>
        <w:r>
          <w:instrText xml:space="preserve"> PAGEREF _Toc185514475 \h </w:instrText>
        </w:r>
        <w:r>
          <w:fldChar w:fldCharType="separate"/>
        </w:r>
        <w:r>
          <w:t>498</w:t>
        </w:r>
        <w:r>
          <w:fldChar w:fldCharType="end"/>
        </w:r>
      </w:hyperlink>
    </w:p>
    <w:p w14:paraId="5099AFBA" w14:textId="6D82F7B2"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476" w:history="1">
        <w:r w:rsidR="00AC5392" w:rsidRPr="00533B68">
          <w:t>Part 2.20</w:t>
        </w:r>
        <w:r w:rsidR="00AC5392">
          <w:rPr>
            <w:rFonts w:asciiTheme="minorHAnsi" w:eastAsiaTheme="minorEastAsia" w:hAnsiTheme="minorHAnsi" w:cstheme="minorBidi"/>
            <w:b w:val="0"/>
            <w:kern w:val="2"/>
            <w:szCs w:val="24"/>
            <w:lang w:eastAsia="en-AU"/>
            <w14:ligatures w14:val="standardContextual"/>
          </w:rPr>
          <w:tab/>
        </w:r>
        <w:r w:rsidR="00AC5392" w:rsidRPr="00533B68">
          <w:t>Trusts, estates, accounts and inquiries</w:t>
        </w:r>
        <w:r w:rsidR="00AC5392" w:rsidRPr="00AC5392">
          <w:rPr>
            <w:vanish/>
          </w:rPr>
          <w:tab/>
        </w:r>
        <w:r w:rsidR="00AC5392" w:rsidRPr="00AC5392">
          <w:rPr>
            <w:vanish/>
          </w:rPr>
          <w:fldChar w:fldCharType="begin"/>
        </w:r>
        <w:r w:rsidR="00AC5392" w:rsidRPr="00AC5392">
          <w:rPr>
            <w:vanish/>
          </w:rPr>
          <w:instrText xml:space="preserve"> PAGEREF _Toc185514476 \h </w:instrText>
        </w:r>
        <w:r w:rsidR="00AC5392" w:rsidRPr="00AC5392">
          <w:rPr>
            <w:vanish/>
          </w:rPr>
        </w:r>
        <w:r w:rsidR="00AC5392" w:rsidRPr="00AC5392">
          <w:rPr>
            <w:vanish/>
          </w:rPr>
          <w:fldChar w:fldCharType="separate"/>
        </w:r>
        <w:r w:rsidR="00AC5392" w:rsidRPr="00AC5392">
          <w:rPr>
            <w:vanish/>
          </w:rPr>
          <w:t>499</w:t>
        </w:r>
        <w:r w:rsidR="00AC5392" w:rsidRPr="00AC5392">
          <w:rPr>
            <w:vanish/>
          </w:rPr>
          <w:fldChar w:fldCharType="end"/>
        </w:r>
      </w:hyperlink>
    </w:p>
    <w:p w14:paraId="32F75075" w14:textId="0D96FDB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77" w:history="1">
        <w:r w:rsidR="00AC5392" w:rsidRPr="00533B68">
          <w:t>Division 2.20.1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Trusts and estates generally</w:t>
        </w:r>
        <w:r w:rsidR="00AC5392" w:rsidRPr="00AC5392">
          <w:rPr>
            <w:vanish/>
          </w:rPr>
          <w:tab/>
        </w:r>
        <w:r w:rsidR="00AC5392" w:rsidRPr="00AC5392">
          <w:rPr>
            <w:vanish/>
          </w:rPr>
          <w:fldChar w:fldCharType="begin"/>
        </w:r>
        <w:r w:rsidR="00AC5392" w:rsidRPr="00AC5392">
          <w:rPr>
            <w:vanish/>
          </w:rPr>
          <w:instrText xml:space="preserve"> PAGEREF _Toc185514477 \h </w:instrText>
        </w:r>
        <w:r w:rsidR="00AC5392" w:rsidRPr="00AC5392">
          <w:rPr>
            <w:vanish/>
          </w:rPr>
        </w:r>
        <w:r w:rsidR="00AC5392" w:rsidRPr="00AC5392">
          <w:rPr>
            <w:vanish/>
          </w:rPr>
          <w:fldChar w:fldCharType="separate"/>
        </w:r>
        <w:r w:rsidR="00AC5392" w:rsidRPr="00AC5392">
          <w:rPr>
            <w:vanish/>
          </w:rPr>
          <w:t>499</w:t>
        </w:r>
        <w:r w:rsidR="00AC5392" w:rsidRPr="00AC5392">
          <w:rPr>
            <w:vanish/>
          </w:rPr>
          <w:fldChar w:fldCharType="end"/>
        </w:r>
      </w:hyperlink>
    </w:p>
    <w:p w14:paraId="54D662D5" w14:textId="18A7AE3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78" w:history="1">
        <w:r w:rsidRPr="00533B68">
          <w:t>2700</w:t>
        </w:r>
        <w:r>
          <w:rPr>
            <w:rFonts w:asciiTheme="minorHAnsi" w:eastAsiaTheme="minorEastAsia" w:hAnsiTheme="minorHAnsi" w:cstheme="minorBidi"/>
            <w:kern w:val="2"/>
            <w:sz w:val="24"/>
            <w:szCs w:val="24"/>
            <w:lang w:eastAsia="en-AU"/>
            <w14:ligatures w14:val="standardContextual"/>
          </w:rPr>
          <w:tab/>
        </w:r>
        <w:r w:rsidRPr="00533B68">
          <w:t>Trusts and estates—decision without order for administration</w:t>
        </w:r>
        <w:r>
          <w:tab/>
        </w:r>
        <w:r>
          <w:fldChar w:fldCharType="begin"/>
        </w:r>
        <w:r>
          <w:instrText xml:space="preserve"> PAGEREF _Toc185514478 \h </w:instrText>
        </w:r>
        <w:r>
          <w:fldChar w:fldCharType="separate"/>
        </w:r>
        <w:r>
          <w:t>499</w:t>
        </w:r>
        <w:r>
          <w:fldChar w:fldCharType="end"/>
        </w:r>
      </w:hyperlink>
    </w:p>
    <w:p w14:paraId="3F9A6669" w14:textId="73D3763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79" w:history="1">
        <w:r w:rsidRPr="00533B68">
          <w:t>2701</w:t>
        </w:r>
        <w:r>
          <w:rPr>
            <w:rFonts w:asciiTheme="minorHAnsi" w:eastAsiaTheme="minorEastAsia" w:hAnsiTheme="minorHAnsi" w:cstheme="minorBidi"/>
            <w:kern w:val="2"/>
            <w:sz w:val="24"/>
            <w:szCs w:val="24"/>
            <w:lang w:eastAsia="en-AU"/>
            <w14:ligatures w14:val="standardContextual"/>
          </w:rPr>
          <w:tab/>
        </w:r>
        <w:r w:rsidRPr="00533B68">
          <w:t>Trusts and estates—application not to affect powers</w:t>
        </w:r>
        <w:r>
          <w:tab/>
        </w:r>
        <w:r>
          <w:fldChar w:fldCharType="begin"/>
        </w:r>
        <w:r>
          <w:instrText xml:space="preserve"> PAGEREF _Toc185514479 \h </w:instrText>
        </w:r>
        <w:r>
          <w:fldChar w:fldCharType="separate"/>
        </w:r>
        <w:r>
          <w:t>499</w:t>
        </w:r>
        <w:r>
          <w:fldChar w:fldCharType="end"/>
        </w:r>
      </w:hyperlink>
    </w:p>
    <w:p w14:paraId="2157AC9A" w14:textId="126A9D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0" w:history="1">
        <w:r w:rsidRPr="00533B68">
          <w:t>2702</w:t>
        </w:r>
        <w:r>
          <w:rPr>
            <w:rFonts w:asciiTheme="minorHAnsi" w:eastAsiaTheme="minorEastAsia" w:hAnsiTheme="minorHAnsi" w:cstheme="minorBidi"/>
            <w:kern w:val="2"/>
            <w:sz w:val="24"/>
            <w:szCs w:val="24"/>
            <w:lang w:eastAsia="en-AU"/>
            <w14:ligatures w14:val="standardContextual"/>
          </w:rPr>
          <w:tab/>
        </w:r>
        <w:r w:rsidRPr="00533B68">
          <w:t>Trusts and estates—conduct of sale</w:t>
        </w:r>
        <w:r>
          <w:tab/>
        </w:r>
        <w:r>
          <w:fldChar w:fldCharType="begin"/>
        </w:r>
        <w:r>
          <w:instrText xml:space="preserve"> PAGEREF _Toc185514480 \h </w:instrText>
        </w:r>
        <w:r>
          <w:fldChar w:fldCharType="separate"/>
        </w:r>
        <w:r>
          <w:t>500</w:t>
        </w:r>
        <w:r>
          <w:fldChar w:fldCharType="end"/>
        </w:r>
      </w:hyperlink>
    </w:p>
    <w:p w14:paraId="3B855D59" w14:textId="04D3F13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81" w:history="1">
        <w:r w:rsidR="00AC5392" w:rsidRPr="00533B68">
          <w:t>Division 2.20.2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Taking of accounts</w:t>
        </w:r>
        <w:r w:rsidR="00AC5392" w:rsidRPr="00AC5392">
          <w:rPr>
            <w:vanish/>
          </w:rPr>
          <w:tab/>
        </w:r>
        <w:r w:rsidR="00AC5392" w:rsidRPr="00AC5392">
          <w:rPr>
            <w:vanish/>
          </w:rPr>
          <w:fldChar w:fldCharType="begin"/>
        </w:r>
        <w:r w:rsidR="00AC5392" w:rsidRPr="00AC5392">
          <w:rPr>
            <w:vanish/>
          </w:rPr>
          <w:instrText xml:space="preserve"> PAGEREF _Toc185514481 \h </w:instrText>
        </w:r>
        <w:r w:rsidR="00AC5392" w:rsidRPr="00AC5392">
          <w:rPr>
            <w:vanish/>
          </w:rPr>
        </w:r>
        <w:r w:rsidR="00AC5392" w:rsidRPr="00AC5392">
          <w:rPr>
            <w:vanish/>
          </w:rPr>
          <w:fldChar w:fldCharType="separate"/>
        </w:r>
        <w:r w:rsidR="00AC5392" w:rsidRPr="00AC5392">
          <w:rPr>
            <w:vanish/>
          </w:rPr>
          <w:t>500</w:t>
        </w:r>
        <w:r w:rsidR="00AC5392" w:rsidRPr="00AC5392">
          <w:rPr>
            <w:vanish/>
          </w:rPr>
          <w:fldChar w:fldCharType="end"/>
        </w:r>
      </w:hyperlink>
    </w:p>
    <w:p w14:paraId="065AEB2A" w14:textId="1F1FA3E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2" w:history="1">
        <w:r w:rsidRPr="00533B68">
          <w:t>2720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accounting party</w:t>
        </w:r>
        <w:r w:rsidRPr="00533B68">
          <w:t>—div 2.20.2</w:t>
        </w:r>
        <w:r>
          <w:tab/>
        </w:r>
        <w:r>
          <w:fldChar w:fldCharType="begin"/>
        </w:r>
        <w:r>
          <w:instrText xml:space="preserve"> PAGEREF _Toc185514482 \h </w:instrText>
        </w:r>
        <w:r>
          <w:fldChar w:fldCharType="separate"/>
        </w:r>
        <w:r>
          <w:t>500</w:t>
        </w:r>
        <w:r>
          <w:fldChar w:fldCharType="end"/>
        </w:r>
      </w:hyperlink>
    </w:p>
    <w:p w14:paraId="68FC56D7" w14:textId="1BDF8D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3" w:history="1">
        <w:r w:rsidRPr="00533B68">
          <w:t>2721</w:t>
        </w:r>
        <w:r>
          <w:rPr>
            <w:rFonts w:asciiTheme="minorHAnsi" w:eastAsiaTheme="minorEastAsia" w:hAnsiTheme="minorHAnsi" w:cstheme="minorBidi"/>
            <w:kern w:val="2"/>
            <w:sz w:val="24"/>
            <w:szCs w:val="24"/>
            <w:lang w:eastAsia="en-AU"/>
            <w14:ligatures w14:val="standardContextual"/>
          </w:rPr>
          <w:tab/>
        </w:r>
        <w:r w:rsidRPr="00533B68">
          <w:t>Account—order for account</w:t>
        </w:r>
        <w:r>
          <w:tab/>
        </w:r>
        <w:r>
          <w:fldChar w:fldCharType="begin"/>
        </w:r>
        <w:r>
          <w:instrText xml:space="preserve"> PAGEREF _Toc185514483 \h </w:instrText>
        </w:r>
        <w:r>
          <w:fldChar w:fldCharType="separate"/>
        </w:r>
        <w:r>
          <w:t>500</w:t>
        </w:r>
        <w:r>
          <w:fldChar w:fldCharType="end"/>
        </w:r>
      </w:hyperlink>
    </w:p>
    <w:p w14:paraId="339C52DE" w14:textId="6A5232E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4" w:history="1">
        <w:r w:rsidRPr="00533B68">
          <w:t>2722</w:t>
        </w:r>
        <w:r>
          <w:rPr>
            <w:rFonts w:asciiTheme="minorHAnsi" w:eastAsiaTheme="minorEastAsia" w:hAnsiTheme="minorHAnsi" w:cstheme="minorBidi"/>
            <w:kern w:val="2"/>
            <w:sz w:val="24"/>
            <w:szCs w:val="24"/>
            <w:lang w:eastAsia="en-AU"/>
            <w14:ligatures w14:val="standardContextual"/>
          </w:rPr>
          <w:tab/>
        </w:r>
        <w:r w:rsidRPr="00533B68">
          <w:t>Account—orders</w:t>
        </w:r>
        <w:r>
          <w:tab/>
        </w:r>
        <w:r>
          <w:fldChar w:fldCharType="begin"/>
        </w:r>
        <w:r>
          <w:instrText xml:space="preserve"> PAGEREF _Toc185514484 \h </w:instrText>
        </w:r>
        <w:r>
          <w:fldChar w:fldCharType="separate"/>
        </w:r>
        <w:r>
          <w:t>501</w:t>
        </w:r>
        <w:r>
          <w:fldChar w:fldCharType="end"/>
        </w:r>
      </w:hyperlink>
    </w:p>
    <w:p w14:paraId="0F23E38C" w14:textId="6E78673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5" w:history="1">
        <w:r w:rsidRPr="00533B68">
          <w:t>2723</w:t>
        </w:r>
        <w:r>
          <w:rPr>
            <w:rFonts w:asciiTheme="minorHAnsi" w:eastAsiaTheme="minorEastAsia" w:hAnsiTheme="minorHAnsi" w:cstheme="minorBidi"/>
            <w:kern w:val="2"/>
            <w:sz w:val="24"/>
            <w:szCs w:val="24"/>
            <w:lang w:eastAsia="en-AU"/>
            <w14:ligatures w14:val="standardContextual"/>
          </w:rPr>
          <w:tab/>
        </w:r>
        <w:r w:rsidRPr="00533B68">
          <w:t>Accounts—service of order etc</w:t>
        </w:r>
        <w:r>
          <w:tab/>
        </w:r>
        <w:r>
          <w:fldChar w:fldCharType="begin"/>
        </w:r>
        <w:r>
          <w:instrText xml:space="preserve"> PAGEREF _Toc185514485 \h </w:instrText>
        </w:r>
        <w:r>
          <w:fldChar w:fldCharType="separate"/>
        </w:r>
        <w:r>
          <w:t>502</w:t>
        </w:r>
        <w:r>
          <w:fldChar w:fldCharType="end"/>
        </w:r>
      </w:hyperlink>
    </w:p>
    <w:p w14:paraId="6EDD1D9D" w14:textId="1C1BAC6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6" w:history="1">
        <w:r w:rsidRPr="00533B68">
          <w:t>2724</w:t>
        </w:r>
        <w:r>
          <w:rPr>
            <w:rFonts w:asciiTheme="minorHAnsi" w:eastAsiaTheme="minorEastAsia" w:hAnsiTheme="minorHAnsi" w:cstheme="minorBidi"/>
            <w:kern w:val="2"/>
            <w:sz w:val="24"/>
            <w:szCs w:val="24"/>
            <w:lang w:eastAsia="en-AU"/>
            <w14:ligatures w14:val="standardContextual"/>
          </w:rPr>
          <w:tab/>
        </w:r>
        <w:r w:rsidRPr="00533B68">
          <w:t>Accounts—form and verification</w:t>
        </w:r>
        <w:r>
          <w:tab/>
        </w:r>
        <w:r>
          <w:fldChar w:fldCharType="begin"/>
        </w:r>
        <w:r>
          <w:instrText xml:space="preserve"> PAGEREF _Toc185514486 \h </w:instrText>
        </w:r>
        <w:r>
          <w:fldChar w:fldCharType="separate"/>
        </w:r>
        <w:r>
          <w:t>503</w:t>
        </w:r>
        <w:r>
          <w:fldChar w:fldCharType="end"/>
        </w:r>
      </w:hyperlink>
    </w:p>
    <w:p w14:paraId="33C6133C" w14:textId="6CB0B6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7" w:history="1">
        <w:r w:rsidRPr="00533B68">
          <w:t>2725</w:t>
        </w:r>
        <w:r>
          <w:rPr>
            <w:rFonts w:asciiTheme="minorHAnsi" w:eastAsiaTheme="minorEastAsia" w:hAnsiTheme="minorHAnsi" w:cstheme="minorBidi"/>
            <w:kern w:val="2"/>
            <w:sz w:val="24"/>
            <w:szCs w:val="24"/>
            <w:lang w:eastAsia="en-AU"/>
            <w14:ligatures w14:val="standardContextual"/>
          </w:rPr>
          <w:tab/>
        </w:r>
        <w:r w:rsidRPr="00533B68">
          <w:t>Accounts—filing and service</w:t>
        </w:r>
        <w:r>
          <w:tab/>
        </w:r>
        <w:r>
          <w:fldChar w:fldCharType="begin"/>
        </w:r>
        <w:r>
          <w:instrText xml:space="preserve"> PAGEREF _Toc185514487 \h </w:instrText>
        </w:r>
        <w:r>
          <w:fldChar w:fldCharType="separate"/>
        </w:r>
        <w:r>
          <w:t>503</w:t>
        </w:r>
        <w:r>
          <w:fldChar w:fldCharType="end"/>
        </w:r>
      </w:hyperlink>
    </w:p>
    <w:p w14:paraId="50DCC0BC" w14:textId="52495A8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8" w:history="1">
        <w:r w:rsidRPr="00533B68">
          <w:t>2726</w:t>
        </w:r>
        <w:r>
          <w:rPr>
            <w:rFonts w:asciiTheme="minorHAnsi" w:eastAsiaTheme="minorEastAsia" w:hAnsiTheme="minorHAnsi" w:cstheme="minorBidi"/>
            <w:kern w:val="2"/>
            <w:sz w:val="24"/>
            <w:szCs w:val="24"/>
            <w:lang w:eastAsia="en-AU"/>
            <w14:ligatures w14:val="standardContextual"/>
          </w:rPr>
          <w:tab/>
        </w:r>
        <w:r w:rsidRPr="00533B68">
          <w:t>Accounts—challenging account</w:t>
        </w:r>
        <w:r>
          <w:tab/>
        </w:r>
        <w:r>
          <w:fldChar w:fldCharType="begin"/>
        </w:r>
        <w:r>
          <w:instrText xml:space="preserve"> PAGEREF _Toc185514488 \h </w:instrText>
        </w:r>
        <w:r>
          <w:fldChar w:fldCharType="separate"/>
        </w:r>
        <w:r>
          <w:t>503</w:t>
        </w:r>
        <w:r>
          <w:fldChar w:fldCharType="end"/>
        </w:r>
      </w:hyperlink>
    </w:p>
    <w:p w14:paraId="3FDAC144" w14:textId="63239F4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89" w:history="1">
        <w:r w:rsidRPr="00533B68">
          <w:t>2727</w:t>
        </w:r>
        <w:r>
          <w:rPr>
            <w:rFonts w:asciiTheme="minorHAnsi" w:eastAsiaTheme="minorEastAsia" w:hAnsiTheme="minorHAnsi" w:cstheme="minorBidi"/>
            <w:kern w:val="2"/>
            <w:sz w:val="24"/>
            <w:szCs w:val="24"/>
            <w:lang w:eastAsia="en-AU"/>
            <w14:ligatures w14:val="standardContextual"/>
          </w:rPr>
          <w:tab/>
        </w:r>
        <w:r w:rsidRPr="00533B68">
          <w:t>Accounts—witness</w:t>
        </w:r>
        <w:r>
          <w:tab/>
        </w:r>
        <w:r>
          <w:fldChar w:fldCharType="begin"/>
        </w:r>
        <w:r>
          <w:instrText xml:space="preserve"> PAGEREF _Toc185514489 \h </w:instrText>
        </w:r>
        <w:r>
          <w:fldChar w:fldCharType="separate"/>
        </w:r>
        <w:r>
          <w:t>504</w:t>
        </w:r>
        <w:r>
          <w:fldChar w:fldCharType="end"/>
        </w:r>
      </w:hyperlink>
    </w:p>
    <w:p w14:paraId="463526CB" w14:textId="68A228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0" w:history="1">
        <w:r w:rsidRPr="00533B68">
          <w:t>2728</w:t>
        </w:r>
        <w:r>
          <w:rPr>
            <w:rFonts w:asciiTheme="minorHAnsi" w:eastAsiaTheme="minorEastAsia" w:hAnsiTheme="minorHAnsi" w:cstheme="minorBidi"/>
            <w:kern w:val="2"/>
            <w:sz w:val="24"/>
            <w:szCs w:val="24"/>
            <w:lang w:eastAsia="en-AU"/>
            <w14:ligatures w14:val="standardContextual"/>
          </w:rPr>
          <w:tab/>
        </w:r>
        <w:r w:rsidRPr="00533B68">
          <w:t>Accounts—allowances</w:t>
        </w:r>
        <w:r>
          <w:tab/>
        </w:r>
        <w:r>
          <w:fldChar w:fldCharType="begin"/>
        </w:r>
        <w:r>
          <w:instrText xml:space="preserve"> PAGEREF _Toc185514490 \h </w:instrText>
        </w:r>
        <w:r>
          <w:fldChar w:fldCharType="separate"/>
        </w:r>
        <w:r>
          <w:t>504</w:t>
        </w:r>
        <w:r>
          <w:fldChar w:fldCharType="end"/>
        </w:r>
      </w:hyperlink>
    </w:p>
    <w:p w14:paraId="001E1277" w14:textId="2FF0228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1" w:history="1">
        <w:r w:rsidRPr="00533B68">
          <w:t>2729</w:t>
        </w:r>
        <w:r>
          <w:rPr>
            <w:rFonts w:asciiTheme="minorHAnsi" w:eastAsiaTheme="minorEastAsia" w:hAnsiTheme="minorHAnsi" w:cstheme="minorBidi"/>
            <w:kern w:val="2"/>
            <w:sz w:val="24"/>
            <w:szCs w:val="24"/>
            <w:lang w:eastAsia="en-AU"/>
            <w14:ligatures w14:val="standardContextual"/>
          </w:rPr>
          <w:tab/>
        </w:r>
        <w:r w:rsidRPr="00533B68">
          <w:t>Accounts—delay</w:t>
        </w:r>
        <w:r>
          <w:tab/>
        </w:r>
        <w:r>
          <w:fldChar w:fldCharType="begin"/>
        </w:r>
        <w:r>
          <w:instrText xml:space="preserve"> PAGEREF _Toc185514491 \h </w:instrText>
        </w:r>
        <w:r>
          <w:fldChar w:fldCharType="separate"/>
        </w:r>
        <w:r>
          <w:t>504</w:t>
        </w:r>
        <w:r>
          <w:fldChar w:fldCharType="end"/>
        </w:r>
      </w:hyperlink>
    </w:p>
    <w:p w14:paraId="1CB7151B" w14:textId="2A6A77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2" w:history="1">
        <w:r w:rsidRPr="00533B68">
          <w:t>2730</w:t>
        </w:r>
        <w:r>
          <w:rPr>
            <w:rFonts w:asciiTheme="minorHAnsi" w:eastAsiaTheme="minorEastAsia" w:hAnsiTheme="minorHAnsi" w:cstheme="minorBidi"/>
            <w:kern w:val="2"/>
            <w:sz w:val="24"/>
            <w:szCs w:val="24"/>
            <w:lang w:eastAsia="en-AU"/>
            <w14:ligatures w14:val="standardContextual"/>
          </w:rPr>
          <w:tab/>
        </w:r>
        <w:r w:rsidRPr="00533B68">
          <w:t>Accounts—powers exercisable on taking account</w:t>
        </w:r>
        <w:r>
          <w:tab/>
        </w:r>
        <w:r>
          <w:fldChar w:fldCharType="begin"/>
        </w:r>
        <w:r>
          <w:instrText xml:space="preserve"> PAGEREF _Toc185514492 \h </w:instrText>
        </w:r>
        <w:r>
          <w:fldChar w:fldCharType="separate"/>
        </w:r>
        <w:r>
          <w:t>504</w:t>
        </w:r>
        <w:r>
          <w:fldChar w:fldCharType="end"/>
        </w:r>
      </w:hyperlink>
    </w:p>
    <w:p w14:paraId="36B1774A" w14:textId="517B3C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3" w:history="1">
        <w:r w:rsidRPr="00533B68">
          <w:t>2731</w:t>
        </w:r>
        <w:r>
          <w:rPr>
            <w:rFonts w:asciiTheme="minorHAnsi" w:eastAsiaTheme="minorEastAsia" w:hAnsiTheme="minorHAnsi" w:cstheme="minorBidi"/>
            <w:kern w:val="2"/>
            <w:sz w:val="24"/>
            <w:szCs w:val="24"/>
            <w:lang w:eastAsia="en-AU"/>
            <w14:ligatures w14:val="standardContextual"/>
          </w:rPr>
          <w:tab/>
        </w:r>
        <w:r w:rsidRPr="00533B68">
          <w:t>Accounts—class interests</w:t>
        </w:r>
        <w:r>
          <w:tab/>
        </w:r>
        <w:r>
          <w:fldChar w:fldCharType="begin"/>
        </w:r>
        <w:r>
          <w:instrText xml:space="preserve"> PAGEREF _Toc185514493 \h </w:instrText>
        </w:r>
        <w:r>
          <w:fldChar w:fldCharType="separate"/>
        </w:r>
        <w:r>
          <w:t>505</w:t>
        </w:r>
        <w:r>
          <w:fldChar w:fldCharType="end"/>
        </w:r>
      </w:hyperlink>
    </w:p>
    <w:p w14:paraId="513A28E0" w14:textId="7FDAD60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4" w:history="1">
        <w:r w:rsidRPr="00533B68">
          <w:t>2732</w:t>
        </w:r>
        <w:r>
          <w:rPr>
            <w:rFonts w:asciiTheme="minorHAnsi" w:eastAsiaTheme="minorEastAsia" w:hAnsiTheme="minorHAnsi" w:cstheme="minorBidi"/>
            <w:kern w:val="2"/>
            <w:sz w:val="24"/>
            <w:szCs w:val="24"/>
            <w:lang w:eastAsia="en-AU"/>
            <w14:ligatures w14:val="standardContextual"/>
          </w:rPr>
          <w:tab/>
        </w:r>
        <w:r w:rsidRPr="00533B68">
          <w:t>Accounts—reference to judicial officer</w:t>
        </w:r>
        <w:r>
          <w:tab/>
        </w:r>
        <w:r>
          <w:fldChar w:fldCharType="begin"/>
        </w:r>
        <w:r>
          <w:instrText xml:space="preserve"> PAGEREF _Toc185514494 \h </w:instrText>
        </w:r>
        <w:r>
          <w:fldChar w:fldCharType="separate"/>
        </w:r>
        <w:r>
          <w:t>505</w:t>
        </w:r>
        <w:r>
          <w:fldChar w:fldCharType="end"/>
        </w:r>
      </w:hyperlink>
    </w:p>
    <w:p w14:paraId="3F3EEECB" w14:textId="0951D26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5" w:history="1">
        <w:r w:rsidRPr="00533B68">
          <w:t>2733</w:t>
        </w:r>
        <w:r>
          <w:rPr>
            <w:rFonts w:asciiTheme="minorHAnsi" w:eastAsiaTheme="minorEastAsia" w:hAnsiTheme="minorHAnsi" w:cstheme="minorBidi"/>
            <w:kern w:val="2"/>
            <w:sz w:val="24"/>
            <w:szCs w:val="24"/>
            <w:lang w:eastAsia="en-AU"/>
            <w14:ligatures w14:val="standardContextual"/>
          </w:rPr>
          <w:tab/>
        </w:r>
        <w:r w:rsidRPr="00533B68">
          <w:t>Accounts—certificate about taking of account</w:t>
        </w:r>
        <w:r>
          <w:tab/>
        </w:r>
        <w:r>
          <w:fldChar w:fldCharType="begin"/>
        </w:r>
        <w:r>
          <w:instrText xml:space="preserve"> PAGEREF _Toc185514495 \h </w:instrText>
        </w:r>
        <w:r>
          <w:fldChar w:fldCharType="separate"/>
        </w:r>
        <w:r>
          <w:t>506</w:t>
        </w:r>
        <w:r>
          <w:fldChar w:fldCharType="end"/>
        </w:r>
      </w:hyperlink>
    </w:p>
    <w:p w14:paraId="6C5BBE48" w14:textId="230105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6" w:history="1">
        <w:r w:rsidRPr="00533B68">
          <w:t>2734</w:t>
        </w:r>
        <w:r>
          <w:rPr>
            <w:rFonts w:asciiTheme="minorHAnsi" w:eastAsiaTheme="minorEastAsia" w:hAnsiTheme="minorHAnsi" w:cstheme="minorBidi"/>
            <w:kern w:val="2"/>
            <w:sz w:val="24"/>
            <w:szCs w:val="24"/>
            <w:lang w:eastAsia="en-AU"/>
            <w14:ligatures w14:val="standardContextual"/>
          </w:rPr>
          <w:tab/>
        </w:r>
        <w:r w:rsidRPr="00533B68">
          <w:t>Accounts—further consideration</w:t>
        </w:r>
        <w:r>
          <w:tab/>
        </w:r>
        <w:r>
          <w:fldChar w:fldCharType="begin"/>
        </w:r>
        <w:r>
          <w:instrText xml:space="preserve"> PAGEREF _Toc185514496 \h </w:instrText>
        </w:r>
        <w:r>
          <w:fldChar w:fldCharType="separate"/>
        </w:r>
        <w:r>
          <w:t>507</w:t>
        </w:r>
        <w:r>
          <w:fldChar w:fldCharType="end"/>
        </w:r>
      </w:hyperlink>
    </w:p>
    <w:p w14:paraId="169FB683" w14:textId="16DF9EB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497" w:history="1">
        <w:r w:rsidR="00AC5392" w:rsidRPr="00533B68">
          <w:t>Division 2.20.3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Making of inquiries</w:t>
        </w:r>
        <w:r w:rsidR="00AC5392" w:rsidRPr="00AC5392">
          <w:rPr>
            <w:vanish/>
          </w:rPr>
          <w:tab/>
        </w:r>
        <w:r w:rsidR="00AC5392" w:rsidRPr="00AC5392">
          <w:rPr>
            <w:vanish/>
          </w:rPr>
          <w:fldChar w:fldCharType="begin"/>
        </w:r>
        <w:r w:rsidR="00AC5392" w:rsidRPr="00AC5392">
          <w:rPr>
            <w:vanish/>
          </w:rPr>
          <w:instrText xml:space="preserve"> PAGEREF _Toc185514497 \h </w:instrText>
        </w:r>
        <w:r w:rsidR="00AC5392" w:rsidRPr="00AC5392">
          <w:rPr>
            <w:vanish/>
          </w:rPr>
        </w:r>
        <w:r w:rsidR="00AC5392" w:rsidRPr="00AC5392">
          <w:rPr>
            <w:vanish/>
          </w:rPr>
          <w:fldChar w:fldCharType="separate"/>
        </w:r>
        <w:r w:rsidR="00AC5392" w:rsidRPr="00AC5392">
          <w:rPr>
            <w:vanish/>
          </w:rPr>
          <w:t>507</w:t>
        </w:r>
        <w:r w:rsidR="00AC5392" w:rsidRPr="00AC5392">
          <w:rPr>
            <w:vanish/>
          </w:rPr>
          <w:fldChar w:fldCharType="end"/>
        </w:r>
      </w:hyperlink>
    </w:p>
    <w:p w14:paraId="082977DD" w14:textId="794DD08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8" w:history="1">
        <w:r w:rsidRPr="00533B68">
          <w:t>2740</w:t>
        </w:r>
        <w:r>
          <w:rPr>
            <w:rFonts w:asciiTheme="minorHAnsi" w:eastAsiaTheme="minorEastAsia" w:hAnsiTheme="minorHAnsi" w:cstheme="minorBidi"/>
            <w:kern w:val="2"/>
            <w:sz w:val="24"/>
            <w:szCs w:val="24"/>
            <w:lang w:eastAsia="en-AU"/>
            <w14:ligatures w14:val="standardContextual"/>
          </w:rPr>
          <w:tab/>
        </w:r>
        <w:r w:rsidRPr="00533B68">
          <w:t>Inquiries—procedure for inquiries</w:t>
        </w:r>
        <w:r>
          <w:tab/>
        </w:r>
        <w:r>
          <w:fldChar w:fldCharType="begin"/>
        </w:r>
        <w:r>
          <w:instrText xml:space="preserve"> PAGEREF _Toc185514498 \h </w:instrText>
        </w:r>
        <w:r>
          <w:fldChar w:fldCharType="separate"/>
        </w:r>
        <w:r>
          <w:t>507</w:t>
        </w:r>
        <w:r>
          <w:fldChar w:fldCharType="end"/>
        </w:r>
      </w:hyperlink>
    </w:p>
    <w:p w14:paraId="39E81C92" w14:textId="3946C7E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499" w:history="1">
        <w:r w:rsidRPr="00533B68">
          <w:t>2741</w:t>
        </w:r>
        <w:r>
          <w:rPr>
            <w:rFonts w:asciiTheme="minorHAnsi" w:eastAsiaTheme="minorEastAsia" w:hAnsiTheme="minorHAnsi" w:cstheme="minorBidi"/>
            <w:kern w:val="2"/>
            <w:sz w:val="24"/>
            <w:szCs w:val="24"/>
            <w:lang w:eastAsia="en-AU"/>
            <w14:ligatures w14:val="standardContextual"/>
          </w:rPr>
          <w:tab/>
        </w:r>
        <w:r w:rsidRPr="00533B68">
          <w:t>Inquiries—orders</w:t>
        </w:r>
        <w:r>
          <w:tab/>
        </w:r>
        <w:r>
          <w:fldChar w:fldCharType="begin"/>
        </w:r>
        <w:r>
          <w:instrText xml:space="preserve"> PAGEREF _Toc185514499 \h </w:instrText>
        </w:r>
        <w:r>
          <w:fldChar w:fldCharType="separate"/>
        </w:r>
        <w:r>
          <w:t>507</w:t>
        </w:r>
        <w:r>
          <w:fldChar w:fldCharType="end"/>
        </w:r>
      </w:hyperlink>
    </w:p>
    <w:p w14:paraId="189CEB3A" w14:textId="16D47FA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00" w:history="1">
        <w:r w:rsidR="00AC5392" w:rsidRPr="00533B68">
          <w:t>Division 2.20.4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Executors, administrators and trustees—accounts and commission</w:t>
        </w:r>
        <w:r w:rsidR="00AC5392" w:rsidRPr="00AC5392">
          <w:rPr>
            <w:vanish/>
          </w:rPr>
          <w:tab/>
        </w:r>
        <w:r w:rsidR="00AC5392" w:rsidRPr="00AC5392">
          <w:rPr>
            <w:vanish/>
          </w:rPr>
          <w:fldChar w:fldCharType="begin"/>
        </w:r>
        <w:r w:rsidR="00AC5392" w:rsidRPr="00AC5392">
          <w:rPr>
            <w:vanish/>
          </w:rPr>
          <w:instrText xml:space="preserve"> PAGEREF _Toc185514500 \h </w:instrText>
        </w:r>
        <w:r w:rsidR="00AC5392" w:rsidRPr="00AC5392">
          <w:rPr>
            <w:vanish/>
          </w:rPr>
        </w:r>
        <w:r w:rsidR="00AC5392" w:rsidRPr="00AC5392">
          <w:rPr>
            <w:vanish/>
          </w:rPr>
          <w:fldChar w:fldCharType="separate"/>
        </w:r>
        <w:r w:rsidR="00AC5392" w:rsidRPr="00AC5392">
          <w:rPr>
            <w:vanish/>
          </w:rPr>
          <w:t>507</w:t>
        </w:r>
        <w:r w:rsidR="00AC5392" w:rsidRPr="00AC5392">
          <w:rPr>
            <w:vanish/>
          </w:rPr>
          <w:fldChar w:fldCharType="end"/>
        </w:r>
      </w:hyperlink>
    </w:p>
    <w:p w14:paraId="56F8CFE8" w14:textId="6B6FCD8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1" w:history="1">
        <w:r w:rsidRPr="00533B68">
          <w:t>2745</w:t>
        </w:r>
        <w:r>
          <w:rPr>
            <w:rFonts w:asciiTheme="minorHAnsi" w:eastAsiaTheme="minorEastAsia" w:hAnsiTheme="minorHAnsi" w:cstheme="minorBidi"/>
            <w:kern w:val="2"/>
            <w:sz w:val="24"/>
            <w:szCs w:val="24"/>
            <w:lang w:eastAsia="en-AU"/>
            <w14:ligatures w14:val="standardContextual"/>
          </w:rPr>
          <w:tab/>
        </w:r>
        <w:r w:rsidRPr="00533B68">
          <w:t>Definitions—div 2.20.4</w:t>
        </w:r>
        <w:r>
          <w:tab/>
        </w:r>
        <w:r>
          <w:fldChar w:fldCharType="begin"/>
        </w:r>
        <w:r>
          <w:instrText xml:space="preserve"> PAGEREF _Toc185514501 \h </w:instrText>
        </w:r>
        <w:r>
          <w:fldChar w:fldCharType="separate"/>
        </w:r>
        <w:r>
          <w:t>507</w:t>
        </w:r>
        <w:r>
          <w:fldChar w:fldCharType="end"/>
        </w:r>
      </w:hyperlink>
    </w:p>
    <w:p w14:paraId="224CEE32" w14:textId="3B2D4B8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2" w:history="1">
        <w:r w:rsidRPr="00533B68">
          <w:t>2746</w:t>
        </w:r>
        <w:r>
          <w:rPr>
            <w:rFonts w:asciiTheme="minorHAnsi" w:eastAsiaTheme="minorEastAsia" w:hAnsiTheme="minorHAnsi" w:cstheme="minorBidi"/>
            <w:kern w:val="2"/>
            <w:sz w:val="24"/>
            <w:szCs w:val="24"/>
            <w:lang w:eastAsia="en-AU"/>
            <w14:ligatures w14:val="standardContextual"/>
          </w:rPr>
          <w:tab/>
        </w:r>
        <w:r w:rsidRPr="00533B68">
          <w:t>Estate and trust accounts—order requiring examination and passing of accounts</w:t>
        </w:r>
        <w:r>
          <w:tab/>
        </w:r>
        <w:r>
          <w:fldChar w:fldCharType="begin"/>
        </w:r>
        <w:r>
          <w:instrText xml:space="preserve"> PAGEREF _Toc185514502 \h </w:instrText>
        </w:r>
        <w:r>
          <w:fldChar w:fldCharType="separate"/>
        </w:r>
        <w:r>
          <w:t>508</w:t>
        </w:r>
        <w:r>
          <w:fldChar w:fldCharType="end"/>
        </w:r>
      </w:hyperlink>
    </w:p>
    <w:p w14:paraId="7C5AB1C0" w14:textId="53B7419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3" w:history="1">
        <w:r w:rsidRPr="00533B68">
          <w:t>2747</w:t>
        </w:r>
        <w:r>
          <w:rPr>
            <w:rFonts w:asciiTheme="minorHAnsi" w:eastAsiaTheme="minorEastAsia" w:hAnsiTheme="minorHAnsi" w:cstheme="minorBidi"/>
            <w:kern w:val="2"/>
            <w:sz w:val="24"/>
            <w:szCs w:val="24"/>
            <w:lang w:eastAsia="en-AU"/>
            <w14:ligatures w14:val="standardContextual"/>
          </w:rPr>
          <w:tab/>
        </w:r>
        <w:r w:rsidRPr="00533B68">
          <w:t>Estate and trust accounts—compliance with order for examination and passing of accounts</w:t>
        </w:r>
        <w:r>
          <w:tab/>
        </w:r>
        <w:r>
          <w:fldChar w:fldCharType="begin"/>
        </w:r>
        <w:r>
          <w:instrText xml:space="preserve"> PAGEREF _Toc185514503 \h </w:instrText>
        </w:r>
        <w:r>
          <w:fldChar w:fldCharType="separate"/>
        </w:r>
        <w:r>
          <w:t>509</w:t>
        </w:r>
        <w:r>
          <w:fldChar w:fldCharType="end"/>
        </w:r>
      </w:hyperlink>
    </w:p>
    <w:p w14:paraId="3E621ECB" w14:textId="385C7654"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504" w:history="1">
        <w:r w:rsidRPr="00533B68">
          <w:t>2748</w:t>
        </w:r>
        <w:r>
          <w:rPr>
            <w:rFonts w:asciiTheme="minorHAnsi" w:eastAsiaTheme="minorEastAsia" w:hAnsiTheme="minorHAnsi" w:cstheme="minorBidi"/>
            <w:kern w:val="2"/>
            <w:sz w:val="24"/>
            <w:szCs w:val="24"/>
            <w:lang w:eastAsia="en-AU"/>
            <w14:ligatures w14:val="standardContextual"/>
          </w:rPr>
          <w:tab/>
        </w:r>
        <w:r w:rsidRPr="00533B68">
          <w:t>Estate and trust accounts—application for commission</w:t>
        </w:r>
        <w:r>
          <w:tab/>
        </w:r>
        <w:r>
          <w:fldChar w:fldCharType="begin"/>
        </w:r>
        <w:r>
          <w:instrText xml:space="preserve"> PAGEREF _Toc185514504 \h </w:instrText>
        </w:r>
        <w:r>
          <w:fldChar w:fldCharType="separate"/>
        </w:r>
        <w:r>
          <w:t>510</w:t>
        </w:r>
        <w:r>
          <w:fldChar w:fldCharType="end"/>
        </w:r>
      </w:hyperlink>
    </w:p>
    <w:p w14:paraId="554417F4" w14:textId="4E3455F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5" w:history="1">
        <w:r w:rsidRPr="00533B68">
          <w:t>2749</w:t>
        </w:r>
        <w:r>
          <w:rPr>
            <w:rFonts w:asciiTheme="minorHAnsi" w:eastAsiaTheme="minorEastAsia" w:hAnsiTheme="minorHAnsi" w:cstheme="minorBidi"/>
            <w:kern w:val="2"/>
            <w:sz w:val="24"/>
            <w:szCs w:val="24"/>
            <w:lang w:eastAsia="en-AU"/>
            <w14:ligatures w14:val="standardContextual"/>
          </w:rPr>
          <w:tab/>
        </w:r>
        <w:r w:rsidRPr="00533B68">
          <w:t>Estate and trust accounts—notice of filing of accounts etc</w:t>
        </w:r>
        <w:r>
          <w:tab/>
        </w:r>
        <w:r>
          <w:fldChar w:fldCharType="begin"/>
        </w:r>
        <w:r>
          <w:instrText xml:space="preserve"> PAGEREF _Toc185514505 \h </w:instrText>
        </w:r>
        <w:r>
          <w:fldChar w:fldCharType="separate"/>
        </w:r>
        <w:r>
          <w:t>510</w:t>
        </w:r>
        <w:r>
          <w:fldChar w:fldCharType="end"/>
        </w:r>
      </w:hyperlink>
    </w:p>
    <w:p w14:paraId="3057CD0C" w14:textId="48D3FD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6" w:history="1">
        <w:r w:rsidRPr="00533B68">
          <w:t>2750</w:t>
        </w:r>
        <w:r>
          <w:rPr>
            <w:rFonts w:asciiTheme="minorHAnsi" w:eastAsiaTheme="minorEastAsia" w:hAnsiTheme="minorHAnsi" w:cstheme="minorBidi"/>
            <w:kern w:val="2"/>
            <w:sz w:val="24"/>
            <w:szCs w:val="24"/>
            <w:lang w:eastAsia="en-AU"/>
            <w14:ligatures w14:val="standardContextual"/>
          </w:rPr>
          <w:tab/>
        </w:r>
        <w:r w:rsidRPr="00533B68">
          <w:t>Estate and trust accounts—appearance of beneficiary at examination</w:t>
        </w:r>
        <w:r>
          <w:tab/>
        </w:r>
        <w:r>
          <w:fldChar w:fldCharType="begin"/>
        </w:r>
        <w:r>
          <w:instrText xml:space="preserve"> PAGEREF _Toc185514506 \h </w:instrText>
        </w:r>
        <w:r>
          <w:fldChar w:fldCharType="separate"/>
        </w:r>
        <w:r>
          <w:t>511</w:t>
        </w:r>
        <w:r>
          <w:fldChar w:fldCharType="end"/>
        </w:r>
      </w:hyperlink>
    </w:p>
    <w:p w14:paraId="3362244B" w14:textId="07B2722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7" w:history="1">
        <w:r w:rsidRPr="00533B68">
          <w:t>2751</w:t>
        </w:r>
        <w:r>
          <w:rPr>
            <w:rFonts w:asciiTheme="minorHAnsi" w:eastAsiaTheme="minorEastAsia" w:hAnsiTheme="minorHAnsi" w:cstheme="minorBidi"/>
            <w:kern w:val="2"/>
            <w:sz w:val="24"/>
            <w:szCs w:val="24"/>
            <w:lang w:eastAsia="en-AU"/>
            <w14:ligatures w14:val="standardContextual"/>
          </w:rPr>
          <w:tab/>
        </w:r>
        <w:r w:rsidRPr="00533B68">
          <w:t>Estate and trust accounts—examination</w:t>
        </w:r>
        <w:r>
          <w:tab/>
        </w:r>
        <w:r>
          <w:fldChar w:fldCharType="begin"/>
        </w:r>
        <w:r>
          <w:instrText xml:space="preserve"> PAGEREF _Toc185514507 \h </w:instrText>
        </w:r>
        <w:r>
          <w:fldChar w:fldCharType="separate"/>
        </w:r>
        <w:r>
          <w:t>512</w:t>
        </w:r>
        <w:r>
          <w:fldChar w:fldCharType="end"/>
        </w:r>
      </w:hyperlink>
    </w:p>
    <w:p w14:paraId="57173067" w14:textId="63D2D0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8" w:history="1">
        <w:r w:rsidRPr="00533B68">
          <w:t>2752</w:t>
        </w:r>
        <w:r>
          <w:rPr>
            <w:rFonts w:asciiTheme="minorHAnsi" w:eastAsiaTheme="minorEastAsia" w:hAnsiTheme="minorHAnsi" w:cstheme="minorBidi"/>
            <w:kern w:val="2"/>
            <w:sz w:val="24"/>
            <w:szCs w:val="24"/>
            <w:lang w:eastAsia="en-AU"/>
            <w14:ligatures w14:val="standardContextual"/>
          </w:rPr>
          <w:tab/>
        </w:r>
        <w:r w:rsidRPr="00533B68">
          <w:t>Estate and trust accounts—conduct of examination</w:t>
        </w:r>
        <w:r>
          <w:tab/>
        </w:r>
        <w:r>
          <w:fldChar w:fldCharType="begin"/>
        </w:r>
        <w:r>
          <w:instrText xml:space="preserve"> PAGEREF _Toc185514508 \h </w:instrText>
        </w:r>
        <w:r>
          <w:fldChar w:fldCharType="separate"/>
        </w:r>
        <w:r>
          <w:t>513</w:t>
        </w:r>
        <w:r>
          <w:fldChar w:fldCharType="end"/>
        </w:r>
      </w:hyperlink>
    </w:p>
    <w:p w14:paraId="2FA8D37C" w14:textId="2984B3A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09" w:history="1">
        <w:r w:rsidRPr="00533B68">
          <w:t>2753</w:t>
        </w:r>
        <w:r>
          <w:rPr>
            <w:rFonts w:asciiTheme="minorHAnsi" w:eastAsiaTheme="minorEastAsia" w:hAnsiTheme="minorHAnsi" w:cstheme="minorBidi"/>
            <w:kern w:val="2"/>
            <w:sz w:val="24"/>
            <w:szCs w:val="24"/>
            <w:lang w:eastAsia="en-AU"/>
            <w14:ligatures w14:val="standardContextual"/>
          </w:rPr>
          <w:tab/>
        </w:r>
        <w:r w:rsidRPr="00533B68">
          <w:t>Estate and trust accounts—application for passing accounts etc</w:t>
        </w:r>
        <w:r>
          <w:tab/>
        </w:r>
        <w:r>
          <w:fldChar w:fldCharType="begin"/>
        </w:r>
        <w:r>
          <w:instrText xml:space="preserve"> PAGEREF _Toc185514509 \h </w:instrText>
        </w:r>
        <w:r>
          <w:fldChar w:fldCharType="separate"/>
        </w:r>
        <w:r>
          <w:t>514</w:t>
        </w:r>
        <w:r>
          <w:fldChar w:fldCharType="end"/>
        </w:r>
      </w:hyperlink>
    </w:p>
    <w:p w14:paraId="7AC5FD62" w14:textId="62EBFBB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0" w:history="1">
        <w:r w:rsidRPr="00533B68">
          <w:t>2754</w:t>
        </w:r>
        <w:r>
          <w:rPr>
            <w:rFonts w:asciiTheme="minorHAnsi" w:eastAsiaTheme="minorEastAsia" w:hAnsiTheme="minorHAnsi" w:cstheme="minorBidi"/>
            <w:kern w:val="2"/>
            <w:sz w:val="24"/>
            <w:szCs w:val="24"/>
            <w:lang w:eastAsia="en-AU"/>
            <w14:ligatures w14:val="standardContextual"/>
          </w:rPr>
          <w:tab/>
        </w:r>
        <w:r w:rsidRPr="00533B68">
          <w:t>Estate and trust accounts—passing of accounts etc</w:t>
        </w:r>
        <w:r>
          <w:tab/>
        </w:r>
        <w:r>
          <w:fldChar w:fldCharType="begin"/>
        </w:r>
        <w:r>
          <w:instrText xml:space="preserve"> PAGEREF _Toc185514510 \h </w:instrText>
        </w:r>
        <w:r>
          <w:fldChar w:fldCharType="separate"/>
        </w:r>
        <w:r>
          <w:t>515</w:t>
        </w:r>
        <w:r>
          <w:fldChar w:fldCharType="end"/>
        </w:r>
      </w:hyperlink>
    </w:p>
    <w:p w14:paraId="1896816E" w14:textId="12242E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1" w:history="1">
        <w:r w:rsidRPr="00533B68">
          <w:t>2755</w:t>
        </w:r>
        <w:r>
          <w:rPr>
            <w:rFonts w:asciiTheme="minorHAnsi" w:eastAsiaTheme="minorEastAsia" w:hAnsiTheme="minorHAnsi" w:cstheme="minorBidi"/>
            <w:kern w:val="2"/>
            <w:sz w:val="24"/>
            <w:szCs w:val="24"/>
            <w:lang w:eastAsia="en-AU"/>
            <w14:ligatures w14:val="standardContextual"/>
          </w:rPr>
          <w:tab/>
        </w:r>
        <w:r w:rsidRPr="00533B68">
          <w:t>Estate and trust accounts—amended or further accounts</w:t>
        </w:r>
        <w:r>
          <w:tab/>
        </w:r>
        <w:r>
          <w:fldChar w:fldCharType="begin"/>
        </w:r>
        <w:r>
          <w:instrText xml:space="preserve"> PAGEREF _Toc185514511 \h </w:instrText>
        </w:r>
        <w:r>
          <w:fldChar w:fldCharType="separate"/>
        </w:r>
        <w:r>
          <w:t>515</w:t>
        </w:r>
        <w:r>
          <w:fldChar w:fldCharType="end"/>
        </w:r>
      </w:hyperlink>
    </w:p>
    <w:p w14:paraId="60F010EE" w14:textId="112796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2" w:history="1">
        <w:r w:rsidRPr="00533B68">
          <w:t>2756</w:t>
        </w:r>
        <w:r>
          <w:rPr>
            <w:rFonts w:asciiTheme="minorHAnsi" w:eastAsiaTheme="minorEastAsia" w:hAnsiTheme="minorHAnsi" w:cstheme="minorBidi"/>
            <w:kern w:val="2"/>
            <w:sz w:val="24"/>
            <w:szCs w:val="24"/>
            <w:lang w:eastAsia="en-AU"/>
            <w14:ligatures w14:val="standardContextual"/>
          </w:rPr>
          <w:tab/>
        </w:r>
        <w:r w:rsidRPr="00533B68">
          <w:t>Estate and trust accounts—renewal of objection in subsequent proceeding</w:t>
        </w:r>
        <w:r>
          <w:tab/>
        </w:r>
        <w:r>
          <w:fldChar w:fldCharType="begin"/>
        </w:r>
        <w:r>
          <w:instrText xml:space="preserve"> PAGEREF _Toc185514512 \h </w:instrText>
        </w:r>
        <w:r>
          <w:fldChar w:fldCharType="separate"/>
        </w:r>
        <w:r>
          <w:t>515</w:t>
        </w:r>
        <w:r>
          <w:fldChar w:fldCharType="end"/>
        </w:r>
      </w:hyperlink>
    </w:p>
    <w:p w14:paraId="74C66E99" w14:textId="36B3630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3" w:history="1">
        <w:r w:rsidRPr="00533B68">
          <w:t>2757</w:t>
        </w:r>
        <w:r>
          <w:rPr>
            <w:rFonts w:asciiTheme="minorHAnsi" w:eastAsiaTheme="minorEastAsia" w:hAnsiTheme="minorHAnsi" w:cstheme="minorBidi"/>
            <w:kern w:val="2"/>
            <w:sz w:val="24"/>
            <w:szCs w:val="24"/>
            <w:lang w:eastAsia="en-AU"/>
            <w14:ligatures w14:val="standardContextual"/>
          </w:rPr>
          <w:tab/>
        </w:r>
        <w:r w:rsidRPr="00533B68">
          <w:t>Estate and trust accounts—evidence in subsequent proceeding</w:t>
        </w:r>
        <w:r>
          <w:tab/>
        </w:r>
        <w:r>
          <w:fldChar w:fldCharType="begin"/>
        </w:r>
        <w:r>
          <w:instrText xml:space="preserve"> PAGEREF _Toc185514513 \h </w:instrText>
        </w:r>
        <w:r>
          <w:fldChar w:fldCharType="separate"/>
        </w:r>
        <w:r>
          <w:t>516</w:t>
        </w:r>
        <w:r>
          <w:fldChar w:fldCharType="end"/>
        </w:r>
      </w:hyperlink>
    </w:p>
    <w:p w14:paraId="7B8DD23F" w14:textId="1AEB17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4" w:history="1">
        <w:r w:rsidRPr="00533B68">
          <w:t>2758</w:t>
        </w:r>
        <w:r>
          <w:rPr>
            <w:rFonts w:asciiTheme="minorHAnsi" w:eastAsiaTheme="minorEastAsia" w:hAnsiTheme="minorHAnsi" w:cstheme="minorBidi"/>
            <w:kern w:val="2"/>
            <w:sz w:val="24"/>
            <w:szCs w:val="24"/>
            <w:lang w:eastAsia="en-AU"/>
            <w14:ligatures w14:val="standardContextual"/>
          </w:rPr>
          <w:tab/>
        </w:r>
        <w:r w:rsidRPr="00533B68">
          <w:t>Estate and trust accounts—general practice to apply</w:t>
        </w:r>
        <w:r>
          <w:tab/>
        </w:r>
        <w:r>
          <w:fldChar w:fldCharType="begin"/>
        </w:r>
        <w:r>
          <w:instrText xml:space="preserve"> PAGEREF _Toc185514514 \h </w:instrText>
        </w:r>
        <w:r>
          <w:fldChar w:fldCharType="separate"/>
        </w:r>
        <w:r>
          <w:t>516</w:t>
        </w:r>
        <w:r>
          <w:fldChar w:fldCharType="end"/>
        </w:r>
      </w:hyperlink>
    </w:p>
    <w:p w14:paraId="0AC7C608" w14:textId="47F545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5" w:history="1">
        <w:r w:rsidRPr="00533B68">
          <w:t>2759</w:t>
        </w:r>
        <w:r>
          <w:rPr>
            <w:rFonts w:asciiTheme="minorHAnsi" w:eastAsiaTheme="minorEastAsia" w:hAnsiTheme="minorHAnsi" w:cstheme="minorBidi"/>
            <w:kern w:val="2"/>
            <w:sz w:val="24"/>
            <w:szCs w:val="24"/>
            <w:lang w:eastAsia="en-AU"/>
            <w14:ligatures w14:val="standardContextual"/>
          </w:rPr>
          <w:tab/>
        </w:r>
        <w:r w:rsidRPr="00533B68">
          <w:t>Estate and trust accounts—combined executors’ and trustees’ account</w:t>
        </w:r>
        <w:r>
          <w:tab/>
        </w:r>
        <w:r>
          <w:fldChar w:fldCharType="begin"/>
        </w:r>
        <w:r>
          <w:instrText xml:space="preserve"> PAGEREF _Toc185514515 \h </w:instrText>
        </w:r>
        <w:r>
          <w:fldChar w:fldCharType="separate"/>
        </w:r>
        <w:r>
          <w:t>516</w:t>
        </w:r>
        <w:r>
          <w:fldChar w:fldCharType="end"/>
        </w:r>
      </w:hyperlink>
    </w:p>
    <w:p w14:paraId="2D04E039" w14:textId="27831D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6" w:history="1">
        <w:r w:rsidRPr="00533B68">
          <w:t>2760</w:t>
        </w:r>
        <w:r>
          <w:rPr>
            <w:rFonts w:asciiTheme="minorHAnsi" w:eastAsiaTheme="minorEastAsia" w:hAnsiTheme="minorHAnsi" w:cstheme="minorBidi"/>
            <w:kern w:val="2"/>
            <w:sz w:val="24"/>
            <w:szCs w:val="24"/>
            <w:lang w:eastAsia="en-AU"/>
            <w14:ligatures w14:val="standardContextual"/>
          </w:rPr>
          <w:tab/>
        </w:r>
        <w:r w:rsidRPr="00533B68">
          <w:t>Trustees—allowance of commission in proceeding</w:t>
        </w:r>
        <w:r>
          <w:tab/>
        </w:r>
        <w:r>
          <w:fldChar w:fldCharType="begin"/>
        </w:r>
        <w:r>
          <w:instrText xml:space="preserve"> PAGEREF _Toc185514516 \h </w:instrText>
        </w:r>
        <w:r>
          <w:fldChar w:fldCharType="separate"/>
        </w:r>
        <w:r>
          <w:t>517</w:t>
        </w:r>
        <w:r>
          <w:fldChar w:fldCharType="end"/>
        </w:r>
      </w:hyperlink>
    </w:p>
    <w:p w14:paraId="2F1AB0D7" w14:textId="6D7E81DD"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517" w:history="1">
        <w:r w:rsidR="00AC5392" w:rsidRPr="00533B68">
          <w:t>Part 2.21</w:t>
        </w:r>
        <w:r w:rsidR="00AC5392">
          <w:rPr>
            <w:rFonts w:asciiTheme="minorHAnsi" w:eastAsiaTheme="minorEastAsia" w:hAnsiTheme="minorHAnsi" w:cstheme="minorBidi"/>
            <w:b w:val="0"/>
            <w:kern w:val="2"/>
            <w:szCs w:val="24"/>
            <w:lang w:eastAsia="en-AU"/>
            <w14:ligatures w14:val="standardContextual"/>
          </w:rPr>
          <w:tab/>
        </w:r>
        <w:r w:rsidR="00AC5392" w:rsidRPr="00533B68">
          <w:t>Representation by solicitors</w:t>
        </w:r>
        <w:r w:rsidR="00AC5392" w:rsidRPr="00AC5392">
          <w:rPr>
            <w:vanish/>
          </w:rPr>
          <w:tab/>
        </w:r>
        <w:r w:rsidR="00AC5392" w:rsidRPr="00AC5392">
          <w:rPr>
            <w:vanish/>
          </w:rPr>
          <w:fldChar w:fldCharType="begin"/>
        </w:r>
        <w:r w:rsidR="00AC5392" w:rsidRPr="00AC5392">
          <w:rPr>
            <w:vanish/>
          </w:rPr>
          <w:instrText xml:space="preserve"> PAGEREF _Toc185514517 \h </w:instrText>
        </w:r>
        <w:r w:rsidR="00AC5392" w:rsidRPr="00AC5392">
          <w:rPr>
            <w:vanish/>
          </w:rPr>
        </w:r>
        <w:r w:rsidR="00AC5392" w:rsidRPr="00AC5392">
          <w:rPr>
            <w:vanish/>
          </w:rPr>
          <w:fldChar w:fldCharType="separate"/>
        </w:r>
        <w:r w:rsidR="00AC5392" w:rsidRPr="00AC5392">
          <w:rPr>
            <w:vanish/>
          </w:rPr>
          <w:t>518</w:t>
        </w:r>
        <w:r w:rsidR="00AC5392" w:rsidRPr="00AC5392">
          <w:rPr>
            <w:vanish/>
          </w:rPr>
          <w:fldChar w:fldCharType="end"/>
        </w:r>
      </w:hyperlink>
    </w:p>
    <w:p w14:paraId="2DFF028C" w14:textId="6C1D8C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8" w:history="1">
        <w:r w:rsidRPr="00533B68">
          <w:t>2800</w:t>
        </w:r>
        <w:r>
          <w:rPr>
            <w:rFonts w:asciiTheme="minorHAnsi" w:eastAsiaTheme="minorEastAsia" w:hAnsiTheme="minorHAnsi" w:cstheme="minorBidi"/>
            <w:kern w:val="2"/>
            <w:sz w:val="24"/>
            <w:szCs w:val="24"/>
            <w:lang w:eastAsia="en-AU"/>
            <w14:ligatures w14:val="standardContextual"/>
          </w:rPr>
          <w:tab/>
        </w:r>
        <w:r w:rsidRPr="00533B68">
          <w:t>Power to act by solicitor</w:t>
        </w:r>
        <w:r>
          <w:tab/>
        </w:r>
        <w:r>
          <w:fldChar w:fldCharType="begin"/>
        </w:r>
        <w:r>
          <w:instrText xml:space="preserve"> PAGEREF _Toc185514518 \h </w:instrText>
        </w:r>
        <w:r>
          <w:fldChar w:fldCharType="separate"/>
        </w:r>
        <w:r>
          <w:t>518</w:t>
        </w:r>
        <w:r>
          <w:fldChar w:fldCharType="end"/>
        </w:r>
      </w:hyperlink>
    </w:p>
    <w:p w14:paraId="2B11718E" w14:textId="4493276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19" w:history="1">
        <w:r w:rsidRPr="00533B68">
          <w:t>2801</w:t>
        </w:r>
        <w:r>
          <w:rPr>
            <w:rFonts w:asciiTheme="minorHAnsi" w:eastAsiaTheme="minorEastAsia" w:hAnsiTheme="minorHAnsi" w:cstheme="minorBidi"/>
            <w:kern w:val="2"/>
            <w:sz w:val="24"/>
            <w:szCs w:val="24"/>
            <w:lang w:eastAsia="en-AU"/>
            <w14:ligatures w14:val="standardContextual"/>
          </w:rPr>
          <w:tab/>
        </w:r>
        <w:r w:rsidRPr="00533B68">
          <w:t>Appointment of solicitor</w:t>
        </w:r>
        <w:r>
          <w:tab/>
        </w:r>
        <w:r>
          <w:fldChar w:fldCharType="begin"/>
        </w:r>
        <w:r>
          <w:instrText xml:space="preserve"> PAGEREF _Toc185514519 \h </w:instrText>
        </w:r>
        <w:r>
          <w:fldChar w:fldCharType="separate"/>
        </w:r>
        <w:r>
          <w:t>518</w:t>
        </w:r>
        <w:r>
          <w:fldChar w:fldCharType="end"/>
        </w:r>
      </w:hyperlink>
    </w:p>
    <w:p w14:paraId="573E0D01" w14:textId="5C5BF30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0" w:history="1">
        <w:r w:rsidRPr="00533B68">
          <w:t>2802</w:t>
        </w:r>
        <w:r>
          <w:rPr>
            <w:rFonts w:asciiTheme="minorHAnsi" w:eastAsiaTheme="minorEastAsia" w:hAnsiTheme="minorHAnsi" w:cstheme="minorBidi"/>
            <w:kern w:val="2"/>
            <w:sz w:val="24"/>
            <w:szCs w:val="24"/>
            <w:lang w:eastAsia="en-AU"/>
            <w14:ligatures w14:val="standardContextual"/>
          </w:rPr>
          <w:tab/>
        </w:r>
        <w:r w:rsidRPr="00533B68">
          <w:t>Change between acting personally and acting by solicitor</w:t>
        </w:r>
        <w:r>
          <w:tab/>
        </w:r>
        <w:r>
          <w:fldChar w:fldCharType="begin"/>
        </w:r>
        <w:r>
          <w:instrText xml:space="preserve"> PAGEREF _Toc185514520 \h </w:instrText>
        </w:r>
        <w:r>
          <w:fldChar w:fldCharType="separate"/>
        </w:r>
        <w:r>
          <w:t>518</w:t>
        </w:r>
        <w:r>
          <w:fldChar w:fldCharType="end"/>
        </w:r>
      </w:hyperlink>
    </w:p>
    <w:p w14:paraId="0285D6F4" w14:textId="4E877ED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1" w:history="1">
        <w:r w:rsidRPr="00533B68">
          <w:t>2803</w:t>
        </w:r>
        <w:r>
          <w:rPr>
            <w:rFonts w:asciiTheme="minorHAnsi" w:eastAsiaTheme="minorEastAsia" w:hAnsiTheme="minorHAnsi" w:cstheme="minorBidi"/>
            <w:kern w:val="2"/>
            <w:sz w:val="24"/>
            <w:szCs w:val="24"/>
            <w:lang w:eastAsia="en-AU"/>
            <w14:ligatures w14:val="standardContextual"/>
          </w:rPr>
          <w:tab/>
        </w:r>
        <w:r w:rsidRPr="00533B68">
          <w:t>Change of solicitor</w:t>
        </w:r>
        <w:r>
          <w:tab/>
        </w:r>
        <w:r>
          <w:fldChar w:fldCharType="begin"/>
        </w:r>
        <w:r>
          <w:instrText xml:space="preserve"> PAGEREF _Toc185514521 \h </w:instrText>
        </w:r>
        <w:r>
          <w:fldChar w:fldCharType="separate"/>
        </w:r>
        <w:r>
          <w:t>519</w:t>
        </w:r>
        <w:r>
          <w:fldChar w:fldCharType="end"/>
        </w:r>
      </w:hyperlink>
    </w:p>
    <w:p w14:paraId="6393FE38" w14:textId="3F196DB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2" w:history="1">
        <w:r w:rsidRPr="00533B68">
          <w:t>2804</w:t>
        </w:r>
        <w:r>
          <w:rPr>
            <w:rFonts w:asciiTheme="minorHAnsi" w:eastAsiaTheme="minorEastAsia" w:hAnsiTheme="minorHAnsi" w:cstheme="minorBidi"/>
            <w:kern w:val="2"/>
            <w:sz w:val="24"/>
            <w:szCs w:val="24"/>
            <w:lang w:eastAsia="en-AU"/>
            <w14:ligatures w14:val="standardContextual"/>
          </w:rPr>
          <w:tab/>
        </w:r>
        <w:r w:rsidRPr="00533B68">
          <w:t>Removal of solicitor by court</w:t>
        </w:r>
        <w:r>
          <w:tab/>
        </w:r>
        <w:r>
          <w:fldChar w:fldCharType="begin"/>
        </w:r>
        <w:r>
          <w:instrText xml:space="preserve"> PAGEREF _Toc185514522 \h </w:instrText>
        </w:r>
        <w:r>
          <w:fldChar w:fldCharType="separate"/>
        </w:r>
        <w:r>
          <w:t>519</w:t>
        </w:r>
        <w:r>
          <w:fldChar w:fldCharType="end"/>
        </w:r>
      </w:hyperlink>
    </w:p>
    <w:p w14:paraId="3F8C914C" w14:textId="4D9227F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3" w:history="1">
        <w:r w:rsidRPr="00533B68">
          <w:t>2805</w:t>
        </w:r>
        <w:r>
          <w:rPr>
            <w:rFonts w:asciiTheme="minorHAnsi" w:eastAsiaTheme="minorEastAsia" w:hAnsiTheme="minorHAnsi" w:cstheme="minorBidi"/>
            <w:kern w:val="2"/>
            <w:sz w:val="24"/>
            <w:szCs w:val="24"/>
            <w:lang w:eastAsia="en-AU"/>
            <w14:ligatures w14:val="standardContextual"/>
          </w:rPr>
          <w:tab/>
        </w:r>
        <w:r w:rsidRPr="00533B68">
          <w:t>Solicitor removed from roll etc</w:t>
        </w:r>
        <w:r>
          <w:tab/>
        </w:r>
        <w:r>
          <w:fldChar w:fldCharType="begin"/>
        </w:r>
        <w:r>
          <w:instrText xml:space="preserve"> PAGEREF _Toc185514523 \h </w:instrText>
        </w:r>
        <w:r>
          <w:fldChar w:fldCharType="separate"/>
        </w:r>
        <w:r>
          <w:t>520</w:t>
        </w:r>
        <w:r>
          <w:fldChar w:fldCharType="end"/>
        </w:r>
      </w:hyperlink>
    </w:p>
    <w:p w14:paraId="0EAEF11F" w14:textId="7B143A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4" w:history="1">
        <w:r w:rsidRPr="00533B68">
          <w:t>2806</w:t>
        </w:r>
        <w:r>
          <w:rPr>
            <w:rFonts w:asciiTheme="minorHAnsi" w:eastAsiaTheme="minorEastAsia" w:hAnsiTheme="minorHAnsi" w:cstheme="minorBidi"/>
            <w:kern w:val="2"/>
            <w:sz w:val="24"/>
            <w:szCs w:val="24"/>
            <w:lang w:eastAsia="en-AU"/>
            <w14:ligatures w14:val="standardContextual"/>
          </w:rPr>
          <w:tab/>
        </w:r>
        <w:r w:rsidRPr="00533B68">
          <w:t>Withdrawal as solicitor</w:t>
        </w:r>
        <w:r>
          <w:tab/>
        </w:r>
        <w:r>
          <w:fldChar w:fldCharType="begin"/>
        </w:r>
        <w:r>
          <w:instrText xml:space="preserve"> PAGEREF _Toc185514524 \h </w:instrText>
        </w:r>
        <w:r>
          <w:fldChar w:fldCharType="separate"/>
        </w:r>
        <w:r>
          <w:t>521</w:t>
        </w:r>
        <w:r>
          <w:fldChar w:fldCharType="end"/>
        </w:r>
      </w:hyperlink>
    </w:p>
    <w:p w14:paraId="6864E3F0" w14:textId="522543C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5" w:history="1">
        <w:r w:rsidRPr="00533B68">
          <w:t>2807</w:t>
        </w:r>
        <w:r>
          <w:rPr>
            <w:rFonts w:asciiTheme="minorHAnsi" w:eastAsiaTheme="minorEastAsia" w:hAnsiTheme="minorHAnsi" w:cstheme="minorBidi"/>
            <w:kern w:val="2"/>
            <w:sz w:val="24"/>
            <w:szCs w:val="24"/>
            <w:lang w:eastAsia="en-AU"/>
            <w14:ligatures w14:val="standardContextual"/>
          </w:rPr>
          <w:tab/>
        </w:r>
        <w:r w:rsidRPr="00533B68">
          <w:t>Leave to withdraw as solicitor</w:t>
        </w:r>
        <w:r>
          <w:tab/>
        </w:r>
        <w:r>
          <w:fldChar w:fldCharType="begin"/>
        </w:r>
        <w:r>
          <w:instrText xml:space="preserve"> PAGEREF _Toc185514525 \h </w:instrText>
        </w:r>
        <w:r>
          <w:fldChar w:fldCharType="separate"/>
        </w:r>
        <w:r>
          <w:t>522</w:t>
        </w:r>
        <w:r>
          <w:fldChar w:fldCharType="end"/>
        </w:r>
      </w:hyperlink>
    </w:p>
    <w:p w14:paraId="01895871" w14:textId="7AA7082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6" w:history="1">
        <w:r w:rsidRPr="00533B68">
          <w:t>2808</w:t>
        </w:r>
        <w:r>
          <w:rPr>
            <w:rFonts w:asciiTheme="minorHAnsi" w:eastAsiaTheme="minorEastAsia" w:hAnsiTheme="minorHAnsi" w:cstheme="minorBidi"/>
            <w:kern w:val="2"/>
            <w:sz w:val="24"/>
            <w:szCs w:val="24"/>
            <w:lang w:eastAsia="en-AU"/>
            <w14:ligatures w14:val="standardContextual"/>
          </w:rPr>
          <w:tab/>
        </w:r>
        <w:r w:rsidRPr="00533B68">
          <w:t>Effect of removal of, or leave to withdraw as, solicitor</w:t>
        </w:r>
        <w:r>
          <w:tab/>
        </w:r>
        <w:r>
          <w:fldChar w:fldCharType="begin"/>
        </w:r>
        <w:r>
          <w:instrText xml:space="preserve"> PAGEREF _Toc185514526 \h </w:instrText>
        </w:r>
        <w:r>
          <w:fldChar w:fldCharType="separate"/>
        </w:r>
        <w:r>
          <w:t>523</w:t>
        </w:r>
        <w:r>
          <w:fldChar w:fldCharType="end"/>
        </w:r>
      </w:hyperlink>
    </w:p>
    <w:p w14:paraId="0D1289E5" w14:textId="74F1BE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7" w:history="1">
        <w:r w:rsidRPr="00533B68">
          <w:t>2809</w:t>
        </w:r>
        <w:r>
          <w:rPr>
            <w:rFonts w:asciiTheme="minorHAnsi" w:eastAsiaTheme="minorEastAsia" w:hAnsiTheme="minorHAnsi" w:cstheme="minorBidi"/>
            <w:kern w:val="2"/>
            <w:sz w:val="24"/>
            <w:szCs w:val="24"/>
            <w:lang w:eastAsia="en-AU"/>
            <w14:ligatures w14:val="standardContextual"/>
          </w:rPr>
          <w:tab/>
        </w:r>
        <w:r w:rsidRPr="00533B68">
          <w:t>Withdrawal of solicitor’s agent</w:t>
        </w:r>
        <w:r>
          <w:tab/>
        </w:r>
        <w:r>
          <w:fldChar w:fldCharType="begin"/>
        </w:r>
        <w:r>
          <w:instrText xml:space="preserve"> PAGEREF _Toc185514527 \h </w:instrText>
        </w:r>
        <w:r>
          <w:fldChar w:fldCharType="separate"/>
        </w:r>
        <w:r>
          <w:t>524</w:t>
        </w:r>
        <w:r>
          <w:fldChar w:fldCharType="end"/>
        </w:r>
      </w:hyperlink>
    </w:p>
    <w:p w14:paraId="1B40DB6E" w14:textId="792437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28" w:history="1">
        <w:r w:rsidRPr="00533B68">
          <w:t>2810</w:t>
        </w:r>
        <w:r>
          <w:rPr>
            <w:rFonts w:asciiTheme="minorHAnsi" w:eastAsiaTheme="minorEastAsia" w:hAnsiTheme="minorHAnsi" w:cstheme="minorBidi"/>
            <w:kern w:val="2"/>
            <w:sz w:val="24"/>
            <w:szCs w:val="24"/>
            <w:lang w:eastAsia="en-AU"/>
            <w14:ligatures w14:val="standardContextual"/>
          </w:rPr>
          <w:tab/>
        </w:r>
        <w:r w:rsidRPr="00533B68">
          <w:t>Solicitor not to act for adverse parties</w:t>
        </w:r>
        <w:r>
          <w:tab/>
        </w:r>
        <w:r>
          <w:fldChar w:fldCharType="begin"/>
        </w:r>
        <w:r>
          <w:instrText xml:space="preserve"> PAGEREF _Toc185514528 \h </w:instrText>
        </w:r>
        <w:r>
          <w:fldChar w:fldCharType="separate"/>
        </w:r>
        <w:r>
          <w:t>525</w:t>
        </w:r>
        <w:r>
          <w:fldChar w:fldCharType="end"/>
        </w:r>
      </w:hyperlink>
    </w:p>
    <w:p w14:paraId="222EC3A5" w14:textId="79215655"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529" w:history="1">
        <w:r w:rsidR="00AC5392" w:rsidRPr="00533B68">
          <w:t>Part 2.22</w:t>
        </w:r>
        <w:r w:rsidR="00AC5392">
          <w:rPr>
            <w:rFonts w:asciiTheme="minorHAnsi" w:eastAsiaTheme="minorEastAsia" w:hAnsiTheme="minorHAnsi" w:cstheme="minorBidi"/>
            <w:b w:val="0"/>
            <w:kern w:val="2"/>
            <w:szCs w:val="24"/>
            <w:lang w:eastAsia="en-AU"/>
            <w14:ligatures w14:val="standardContextual"/>
          </w:rPr>
          <w:tab/>
        </w:r>
        <w:r w:rsidR="00AC5392" w:rsidRPr="00533B68">
          <w:t>Miscellaneous—ch 2</w:t>
        </w:r>
        <w:r w:rsidR="00AC5392" w:rsidRPr="00AC5392">
          <w:rPr>
            <w:vanish/>
          </w:rPr>
          <w:tab/>
        </w:r>
        <w:r w:rsidR="00AC5392" w:rsidRPr="00AC5392">
          <w:rPr>
            <w:vanish/>
          </w:rPr>
          <w:fldChar w:fldCharType="begin"/>
        </w:r>
        <w:r w:rsidR="00AC5392" w:rsidRPr="00AC5392">
          <w:rPr>
            <w:vanish/>
          </w:rPr>
          <w:instrText xml:space="preserve"> PAGEREF _Toc185514529 \h </w:instrText>
        </w:r>
        <w:r w:rsidR="00AC5392" w:rsidRPr="00AC5392">
          <w:rPr>
            <w:vanish/>
          </w:rPr>
        </w:r>
        <w:r w:rsidR="00AC5392" w:rsidRPr="00AC5392">
          <w:rPr>
            <w:vanish/>
          </w:rPr>
          <w:fldChar w:fldCharType="separate"/>
        </w:r>
        <w:r w:rsidR="00AC5392" w:rsidRPr="00AC5392">
          <w:rPr>
            <w:vanish/>
          </w:rPr>
          <w:t>526</w:t>
        </w:r>
        <w:r w:rsidR="00AC5392" w:rsidRPr="00AC5392">
          <w:rPr>
            <w:vanish/>
          </w:rPr>
          <w:fldChar w:fldCharType="end"/>
        </w:r>
      </w:hyperlink>
    </w:p>
    <w:p w14:paraId="7714675E" w14:textId="7D7D1D8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30" w:history="1">
        <w:r w:rsidRPr="00533B68">
          <w:t>2900</w:t>
        </w:r>
        <w:r>
          <w:rPr>
            <w:rFonts w:asciiTheme="minorHAnsi" w:eastAsiaTheme="minorEastAsia" w:hAnsiTheme="minorHAnsi" w:cstheme="minorBidi"/>
            <w:kern w:val="2"/>
            <w:sz w:val="24"/>
            <w:szCs w:val="24"/>
            <w:lang w:eastAsia="en-AU"/>
            <w14:ligatures w14:val="standardContextual"/>
          </w:rPr>
          <w:tab/>
        </w:r>
        <w:r w:rsidRPr="00533B68">
          <w:t>Declaratory order</w:t>
        </w:r>
        <w:r>
          <w:tab/>
        </w:r>
        <w:r>
          <w:fldChar w:fldCharType="begin"/>
        </w:r>
        <w:r>
          <w:instrText xml:space="preserve"> PAGEREF _Toc185514530 \h </w:instrText>
        </w:r>
        <w:r>
          <w:fldChar w:fldCharType="separate"/>
        </w:r>
        <w:r>
          <w:t>526</w:t>
        </w:r>
        <w:r>
          <w:fldChar w:fldCharType="end"/>
        </w:r>
      </w:hyperlink>
    </w:p>
    <w:p w14:paraId="64CE8236" w14:textId="43E248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31" w:history="1">
        <w:r w:rsidRPr="00533B68">
          <w:t>2901</w:t>
        </w:r>
        <w:r>
          <w:rPr>
            <w:rFonts w:asciiTheme="minorHAnsi" w:eastAsiaTheme="minorEastAsia" w:hAnsiTheme="minorHAnsi" w:cstheme="minorBidi"/>
            <w:kern w:val="2"/>
            <w:sz w:val="24"/>
            <w:szCs w:val="24"/>
            <w:lang w:eastAsia="en-AU"/>
            <w14:ligatures w14:val="standardContextual"/>
          </w:rPr>
          <w:tab/>
        </w:r>
        <w:r w:rsidRPr="00533B68">
          <w:t>Copies of documents from registrar</w:t>
        </w:r>
        <w:r>
          <w:tab/>
        </w:r>
        <w:r>
          <w:fldChar w:fldCharType="begin"/>
        </w:r>
        <w:r>
          <w:instrText xml:space="preserve"> PAGEREF _Toc185514531 \h </w:instrText>
        </w:r>
        <w:r>
          <w:fldChar w:fldCharType="separate"/>
        </w:r>
        <w:r>
          <w:t>526</w:t>
        </w:r>
        <w:r>
          <w:fldChar w:fldCharType="end"/>
        </w:r>
      </w:hyperlink>
    </w:p>
    <w:p w14:paraId="616639FE" w14:textId="5B0E4B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32" w:history="1">
        <w:r w:rsidRPr="00533B68">
          <w:t>2902</w:t>
        </w:r>
        <w:r>
          <w:rPr>
            <w:rFonts w:asciiTheme="minorHAnsi" w:eastAsiaTheme="minorEastAsia" w:hAnsiTheme="minorHAnsi" w:cstheme="minorBidi"/>
            <w:kern w:val="2"/>
            <w:sz w:val="24"/>
            <w:szCs w:val="24"/>
            <w:lang w:eastAsia="en-AU"/>
            <w14:ligatures w14:val="standardContextual"/>
          </w:rPr>
          <w:tab/>
        </w:r>
        <w:r w:rsidRPr="00533B68">
          <w:t>Searches of registers etc</w:t>
        </w:r>
        <w:r>
          <w:tab/>
        </w:r>
        <w:r>
          <w:fldChar w:fldCharType="begin"/>
        </w:r>
        <w:r>
          <w:instrText xml:space="preserve"> PAGEREF _Toc185514532 \h </w:instrText>
        </w:r>
        <w:r>
          <w:fldChar w:fldCharType="separate"/>
        </w:r>
        <w:r>
          <w:t>527</w:t>
        </w:r>
        <w:r>
          <w:fldChar w:fldCharType="end"/>
        </w:r>
      </w:hyperlink>
    </w:p>
    <w:p w14:paraId="29CBA017" w14:textId="4E7D596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33" w:history="1">
        <w:r w:rsidRPr="00533B68">
          <w:t>2903</w:t>
        </w:r>
        <w:r>
          <w:rPr>
            <w:rFonts w:asciiTheme="minorHAnsi" w:eastAsiaTheme="minorEastAsia" w:hAnsiTheme="minorHAnsi" w:cstheme="minorBidi"/>
            <w:kern w:val="2"/>
            <w:sz w:val="24"/>
            <w:szCs w:val="24"/>
            <w:lang w:eastAsia="en-AU"/>
            <w14:ligatures w14:val="standardContextual"/>
          </w:rPr>
          <w:tab/>
        </w:r>
        <w:r w:rsidRPr="00533B68">
          <w:t>Inspection of registry files</w:t>
        </w:r>
        <w:r>
          <w:tab/>
        </w:r>
        <w:r>
          <w:fldChar w:fldCharType="begin"/>
        </w:r>
        <w:r>
          <w:instrText xml:space="preserve"> PAGEREF _Toc185514533 \h </w:instrText>
        </w:r>
        <w:r>
          <w:fldChar w:fldCharType="separate"/>
        </w:r>
        <w:r>
          <w:t>527</w:t>
        </w:r>
        <w:r>
          <w:fldChar w:fldCharType="end"/>
        </w:r>
      </w:hyperlink>
    </w:p>
    <w:p w14:paraId="03C94B88" w14:textId="682D5055" w:rsidR="00AC5392" w:rsidRDefault="001542D1">
      <w:pPr>
        <w:pStyle w:val="TOC1"/>
        <w:rPr>
          <w:rFonts w:asciiTheme="minorHAnsi" w:eastAsiaTheme="minorEastAsia" w:hAnsiTheme="minorHAnsi" w:cstheme="minorBidi"/>
          <w:b w:val="0"/>
          <w:kern w:val="2"/>
          <w:szCs w:val="24"/>
          <w:lang w:eastAsia="en-AU"/>
          <w14:ligatures w14:val="standardContextual"/>
        </w:rPr>
      </w:pPr>
      <w:hyperlink w:anchor="_Toc185514534" w:history="1">
        <w:r w:rsidR="00AC5392" w:rsidRPr="00533B68">
          <w:t>Chapter 3</w:t>
        </w:r>
        <w:r w:rsidR="00AC5392">
          <w:rPr>
            <w:rFonts w:asciiTheme="minorHAnsi" w:eastAsiaTheme="minorEastAsia" w:hAnsiTheme="minorHAnsi" w:cstheme="minorBidi"/>
            <w:b w:val="0"/>
            <w:kern w:val="2"/>
            <w:szCs w:val="24"/>
            <w:lang w:eastAsia="en-AU"/>
            <w14:ligatures w14:val="standardContextual"/>
          </w:rPr>
          <w:tab/>
        </w:r>
        <w:r w:rsidR="00AC5392" w:rsidRPr="00533B68">
          <w:t>Particular civil proceedings</w:t>
        </w:r>
        <w:r w:rsidR="00AC5392" w:rsidRPr="00AC5392">
          <w:rPr>
            <w:vanish/>
          </w:rPr>
          <w:tab/>
        </w:r>
        <w:r w:rsidR="00AC5392" w:rsidRPr="00AC5392">
          <w:rPr>
            <w:vanish/>
          </w:rPr>
          <w:fldChar w:fldCharType="begin"/>
        </w:r>
        <w:r w:rsidR="00AC5392" w:rsidRPr="00AC5392">
          <w:rPr>
            <w:vanish/>
          </w:rPr>
          <w:instrText xml:space="preserve"> PAGEREF _Toc185514534 \h </w:instrText>
        </w:r>
        <w:r w:rsidR="00AC5392" w:rsidRPr="00AC5392">
          <w:rPr>
            <w:vanish/>
          </w:rPr>
        </w:r>
        <w:r w:rsidR="00AC5392" w:rsidRPr="00AC5392">
          <w:rPr>
            <w:vanish/>
          </w:rPr>
          <w:fldChar w:fldCharType="separate"/>
        </w:r>
        <w:r w:rsidR="00AC5392" w:rsidRPr="00AC5392">
          <w:rPr>
            <w:vanish/>
          </w:rPr>
          <w:t>531</w:t>
        </w:r>
        <w:r w:rsidR="00AC5392" w:rsidRPr="00AC5392">
          <w:rPr>
            <w:vanish/>
          </w:rPr>
          <w:fldChar w:fldCharType="end"/>
        </w:r>
      </w:hyperlink>
    </w:p>
    <w:p w14:paraId="5C634438" w14:textId="77076982"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535" w:history="1">
        <w:r w:rsidR="00AC5392" w:rsidRPr="00533B68">
          <w:t>Part 3.1</w:t>
        </w:r>
        <w:r w:rsidR="00AC5392">
          <w:rPr>
            <w:rFonts w:asciiTheme="minorHAnsi" w:eastAsiaTheme="minorEastAsia" w:hAnsiTheme="minorHAnsi" w:cstheme="minorBidi"/>
            <w:b w:val="0"/>
            <w:kern w:val="2"/>
            <w:szCs w:val="24"/>
            <w:lang w:eastAsia="en-AU"/>
            <w14:ligatures w14:val="standardContextual"/>
          </w:rPr>
          <w:tab/>
        </w:r>
        <w:r w:rsidR="00AC5392" w:rsidRPr="00533B68">
          <w:t>Administration and probate</w:t>
        </w:r>
        <w:r w:rsidR="00AC5392" w:rsidRPr="00AC5392">
          <w:rPr>
            <w:vanish/>
          </w:rPr>
          <w:tab/>
        </w:r>
        <w:r w:rsidR="00AC5392" w:rsidRPr="00AC5392">
          <w:rPr>
            <w:vanish/>
          </w:rPr>
          <w:fldChar w:fldCharType="begin"/>
        </w:r>
        <w:r w:rsidR="00AC5392" w:rsidRPr="00AC5392">
          <w:rPr>
            <w:vanish/>
          </w:rPr>
          <w:instrText xml:space="preserve"> PAGEREF _Toc185514535 \h </w:instrText>
        </w:r>
        <w:r w:rsidR="00AC5392" w:rsidRPr="00AC5392">
          <w:rPr>
            <w:vanish/>
          </w:rPr>
        </w:r>
        <w:r w:rsidR="00AC5392" w:rsidRPr="00AC5392">
          <w:rPr>
            <w:vanish/>
          </w:rPr>
          <w:fldChar w:fldCharType="separate"/>
        </w:r>
        <w:r w:rsidR="00AC5392" w:rsidRPr="00AC5392">
          <w:rPr>
            <w:vanish/>
          </w:rPr>
          <w:t>531</w:t>
        </w:r>
        <w:r w:rsidR="00AC5392" w:rsidRPr="00AC5392">
          <w:rPr>
            <w:vanish/>
          </w:rPr>
          <w:fldChar w:fldCharType="end"/>
        </w:r>
      </w:hyperlink>
    </w:p>
    <w:p w14:paraId="673D11CD" w14:textId="4F749AC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36" w:history="1">
        <w:r w:rsidR="00AC5392" w:rsidRPr="00533B68">
          <w:t>Division 3.1.1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Administration and probate—general</w:t>
        </w:r>
        <w:r w:rsidR="00AC5392" w:rsidRPr="00AC5392">
          <w:rPr>
            <w:vanish/>
          </w:rPr>
          <w:tab/>
        </w:r>
        <w:r w:rsidR="00AC5392" w:rsidRPr="00AC5392">
          <w:rPr>
            <w:vanish/>
          </w:rPr>
          <w:fldChar w:fldCharType="begin"/>
        </w:r>
        <w:r w:rsidR="00AC5392" w:rsidRPr="00AC5392">
          <w:rPr>
            <w:vanish/>
          </w:rPr>
          <w:instrText xml:space="preserve"> PAGEREF _Toc185514536 \h </w:instrText>
        </w:r>
        <w:r w:rsidR="00AC5392" w:rsidRPr="00AC5392">
          <w:rPr>
            <w:vanish/>
          </w:rPr>
        </w:r>
        <w:r w:rsidR="00AC5392" w:rsidRPr="00AC5392">
          <w:rPr>
            <w:vanish/>
          </w:rPr>
          <w:fldChar w:fldCharType="separate"/>
        </w:r>
        <w:r w:rsidR="00AC5392" w:rsidRPr="00AC5392">
          <w:rPr>
            <w:vanish/>
          </w:rPr>
          <w:t>531</w:t>
        </w:r>
        <w:r w:rsidR="00AC5392" w:rsidRPr="00AC5392">
          <w:rPr>
            <w:vanish/>
          </w:rPr>
          <w:fldChar w:fldCharType="end"/>
        </w:r>
      </w:hyperlink>
    </w:p>
    <w:p w14:paraId="2CE0D02C" w14:textId="39DB649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37" w:history="1">
        <w:r w:rsidRPr="00533B68">
          <w:t>3000</w:t>
        </w:r>
        <w:r>
          <w:rPr>
            <w:rFonts w:asciiTheme="minorHAnsi" w:eastAsiaTheme="minorEastAsia" w:hAnsiTheme="minorHAnsi" w:cstheme="minorBidi"/>
            <w:kern w:val="2"/>
            <w:sz w:val="24"/>
            <w:szCs w:val="24"/>
            <w:lang w:eastAsia="en-AU"/>
            <w14:ligatures w14:val="standardContextual"/>
          </w:rPr>
          <w:tab/>
        </w:r>
        <w:r w:rsidRPr="00533B68">
          <w:t>Definitions—pt 3.1</w:t>
        </w:r>
        <w:r>
          <w:tab/>
        </w:r>
        <w:r>
          <w:fldChar w:fldCharType="begin"/>
        </w:r>
        <w:r>
          <w:instrText xml:space="preserve"> PAGEREF _Toc185514537 \h </w:instrText>
        </w:r>
        <w:r>
          <w:fldChar w:fldCharType="separate"/>
        </w:r>
        <w:r>
          <w:t>531</w:t>
        </w:r>
        <w:r>
          <w:fldChar w:fldCharType="end"/>
        </w:r>
      </w:hyperlink>
    </w:p>
    <w:p w14:paraId="479EF4A3" w14:textId="30ADBF3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38" w:history="1">
        <w:r w:rsidRPr="00533B68">
          <w:t>3001</w:t>
        </w:r>
        <w:r>
          <w:rPr>
            <w:rFonts w:asciiTheme="minorHAnsi" w:eastAsiaTheme="minorEastAsia" w:hAnsiTheme="minorHAnsi" w:cstheme="minorBidi"/>
            <w:kern w:val="2"/>
            <w:sz w:val="24"/>
            <w:szCs w:val="24"/>
            <w:lang w:eastAsia="en-AU"/>
            <w14:ligatures w14:val="standardContextual"/>
          </w:rPr>
          <w:tab/>
        </w:r>
        <w:r w:rsidRPr="00533B68">
          <w:t>Terms used in Administration and Probate Act</w:t>
        </w:r>
        <w:r>
          <w:tab/>
        </w:r>
        <w:r>
          <w:fldChar w:fldCharType="begin"/>
        </w:r>
        <w:r>
          <w:instrText xml:space="preserve"> PAGEREF _Toc185514538 \h </w:instrText>
        </w:r>
        <w:r>
          <w:fldChar w:fldCharType="separate"/>
        </w:r>
        <w:r>
          <w:t>531</w:t>
        </w:r>
        <w:r>
          <w:fldChar w:fldCharType="end"/>
        </w:r>
      </w:hyperlink>
    </w:p>
    <w:p w14:paraId="381BE416" w14:textId="148E08E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39" w:history="1">
        <w:r w:rsidRPr="00533B68">
          <w:t>3002</w:t>
        </w:r>
        <w:r>
          <w:rPr>
            <w:rFonts w:asciiTheme="minorHAnsi" w:eastAsiaTheme="minorEastAsia" w:hAnsiTheme="minorHAnsi" w:cstheme="minorBidi"/>
            <w:kern w:val="2"/>
            <w:sz w:val="24"/>
            <w:szCs w:val="24"/>
            <w:lang w:eastAsia="en-AU"/>
            <w14:ligatures w14:val="standardContextual"/>
          </w:rPr>
          <w:tab/>
        </w:r>
        <w:r w:rsidRPr="00533B68">
          <w:t>Application—pt 3.1</w:t>
        </w:r>
        <w:r>
          <w:tab/>
        </w:r>
        <w:r>
          <w:fldChar w:fldCharType="begin"/>
        </w:r>
        <w:r>
          <w:instrText xml:space="preserve"> PAGEREF _Toc185514539 \h </w:instrText>
        </w:r>
        <w:r>
          <w:fldChar w:fldCharType="separate"/>
        </w:r>
        <w:r>
          <w:t>531</w:t>
        </w:r>
        <w:r>
          <w:fldChar w:fldCharType="end"/>
        </w:r>
      </w:hyperlink>
    </w:p>
    <w:p w14:paraId="2109F5CA" w14:textId="07BC595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40" w:history="1">
        <w:r w:rsidR="00AC5392" w:rsidRPr="00533B68">
          <w:t>Division 3.1.2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Application for grant of representation</w:t>
        </w:r>
        <w:r w:rsidR="00AC5392" w:rsidRPr="00AC5392">
          <w:rPr>
            <w:vanish/>
          </w:rPr>
          <w:tab/>
        </w:r>
        <w:r w:rsidR="00AC5392" w:rsidRPr="00AC5392">
          <w:rPr>
            <w:vanish/>
          </w:rPr>
          <w:fldChar w:fldCharType="begin"/>
        </w:r>
        <w:r w:rsidR="00AC5392" w:rsidRPr="00AC5392">
          <w:rPr>
            <w:vanish/>
          </w:rPr>
          <w:instrText xml:space="preserve"> PAGEREF _Toc185514540 \h </w:instrText>
        </w:r>
        <w:r w:rsidR="00AC5392" w:rsidRPr="00AC5392">
          <w:rPr>
            <w:vanish/>
          </w:rPr>
        </w:r>
        <w:r w:rsidR="00AC5392" w:rsidRPr="00AC5392">
          <w:rPr>
            <w:vanish/>
          </w:rPr>
          <w:fldChar w:fldCharType="separate"/>
        </w:r>
        <w:r w:rsidR="00AC5392" w:rsidRPr="00AC5392">
          <w:rPr>
            <w:vanish/>
          </w:rPr>
          <w:t>532</w:t>
        </w:r>
        <w:r w:rsidR="00AC5392" w:rsidRPr="00AC5392">
          <w:rPr>
            <w:vanish/>
          </w:rPr>
          <w:fldChar w:fldCharType="end"/>
        </w:r>
      </w:hyperlink>
    </w:p>
    <w:p w14:paraId="1626F90A" w14:textId="27F7A6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1" w:history="1">
        <w:r w:rsidRPr="00533B68">
          <w:t>3005</w:t>
        </w:r>
        <w:r>
          <w:rPr>
            <w:rFonts w:asciiTheme="minorHAnsi" w:eastAsiaTheme="minorEastAsia" w:hAnsiTheme="minorHAnsi" w:cstheme="minorBidi"/>
            <w:kern w:val="2"/>
            <w:sz w:val="24"/>
            <w:szCs w:val="24"/>
            <w:lang w:eastAsia="en-AU"/>
            <w14:ligatures w14:val="standardContextual"/>
          </w:rPr>
          <w:tab/>
        </w:r>
        <w:r w:rsidRPr="00533B68">
          <w:t>Grant of representation—application</w:t>
        </w:r>
        <w:r>
          <w:tab/>
        </w:r>
        <w:r>
          <w:fldChar w:fldCharType="begin"/>
        </w:r>
        <w:r>
          <w:instrText xml:space="preserve"> PAGEREF _Toc185514541 \h </w:instrText>
        </w:r>
        <w:r>
          <w:fldChar w:fldCharType="separate"/>
        </w:r>
        <w:r>
          <w:t>532</w:t>
        </w:r>
        <w:r>
          <w:fldChar w:fldCharType="end"/>
        </w:r>
      </w:hyperlink>
    </w:p>
    <w:p w14:paraId="702CA004" w14:textId="62C546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2" w:history="1">
        <w:r w:rsidRPr="00533B68">
          <w:t>3006</w:t>
        </w:r>
        <w:r>
          <w:rPr>
            <w:rFonts w:asciiTheme="minorHAnsi" w:eastAsiaTheme="minorEastAsia" w:hAnsiTheme="minorHAnsi" w:cstheme="minorBidi"/>
            <w:kern w:val="2"/>
            <w:sz w:val="24"/>
            <w:szCs w:val="24"/>
            <w:lang w:eastAsia="en-AU"/>
            <w14:ligatures w14:val="standardContextual"/>
          </w:rPr>
          <w:tab/>
        </w:r>
        <w:r w:rsidRPr="00533B68">
          <w:t>Grant of representation—notice of intention to apply to be published online etc</w:t>
        </w:r>
        <w:r>
          <w:tab/>
        </w:r>
        <w:r>
          <w:fldChar w:fldCharType="begin"/>
        </w:r>
        <w:r>
          <w:instrText xml:space="preserve"> PAGEREF _Toc185514542 \h </w:instrText>
        </w:r>
        <w:r>
          <w:fldChar w:fldCharType="separate"/>
        </w:r>
        <w:r>
          <w:t>534</w:t>
        </w:r>
        <w:r>
          <w:fldChar w:fldCharType="end"/>
        </w:r>
      </w:hyperlink>
    </w:p>
    <w:p w14:paraId="7B0399CF" w14:textId="452CB22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3" w:history="1">
        <w:r w:rsidRPr="00533B68">
          <w:t>3007</w:t>
        </w:r>
        <w:r>
          <w:rPr>
            <w:rFonts w:asciiTheme="minorHAnsi" w:eastAsiaTheme="minorEastAsia" w:hAnsiTheme="minorHAnsi" w:cstheme="minorBidi"/>
            <w:kern w:val="2"/>
            <w:sz w:val="24"/>
            <w:szCs w:val="24"/>
            <w:lang w:eastAsia="en-AU"/>
            <w14:ligatures w14:val="standardContextual"/>
          </w:rPr>
          <w:tab/>
        </w:r>
        <w:r w:rsidRPr="00533B68">
          <w:t>Grant of administration—notice of intention to apply to be served on non-applicant domestic partner or next of kin</w:t>
        </w:r>
        <w:r>
          <w:tab/>
        </w:r>
        <w:r>
          <w:fldChar w:fldCharType="begin"/>
        </w:r>
        <w:r>
          <w:instrText xml:space="preserve"> PAGEREF _Toc185514543 \h </w:instrText>
        </w:r>
        <w:r>
          <w:fldChar w:fldCharType="separate"/>
        </w:r>
        <w:r>
          <w:t>535</w:t>
        </w:r>
        <w:r>
          <w:fldChar w:fldCharType="end"/>
        </w:r>
      </w:hyperlink>
    </w:p>
    <w:p w14:paraId="54308AD1" w14:textId="5EBB25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4" w:history="1">
        <w:r w:rsidRPr="00533B68">
          <w:t>3008</w:t>
        </w:r>
        <w:r>
          <w:rPr>
            <w:rFonts w:asciiTheme="minorHAnsi" w:eastAsiaTheme="minorEastAsia" w:hAnsiTheme="minorHAnsi" w:cstheme="minorBidi"/>
            <w:kern w:val="2"/>
            <w:sz w:val="24"/>
            <w:szCs w:val="24"/>
            <w:lang w:eastAsia="en-AU"/>
            <w14:ligatures w14:val="standardContextual"/>
          </w:rPr>
          <w:tab/>
        </w:r>
        <w:r w:rsidRPr="00533B68">
          <w:t>Grant of administration—notice of intention of creditor to apply to be served on domestic partner and next of kin</w:t>
        </w:r>
        <w:r>
          <w:tab/>
        </w:r>
        <w:r>
          <w:fldChar w:fldCharType="begin"/>
        </w:r>
        <w:r>
          <w:instrText xml:space="preserve"> PAGEREF _Toc185514544 \h </w:instrText>
        </w:r>
        <w:r>
          <w:fldChar w:fldCharType="separate"/>
        </w:r>
        <w:r>
          <w:t>536</w:t>
        </w:r>
        <w:r>
          <w:fldChar w:fldCharType="end"/>
        </w:r>
      </w:hyperlink>
    </w:p>
    <w:p w14:paraId="654A4E10" w14:textId="4CA468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5" w:history="1">
        <w:r w:rsidRPr="00533B68">
          <w:t>3009</w:t>
        </w:r>
        <w:r>
          <w:rPr>
            <w:rFonts w:asciiTheme="minorHAnsi" w:eastAsiaTheme="minorEastAsia" w:hAnsiTheme="minorHAnsi" w:cstheme="minorBidi"/>
            <w:kern w:val="2"/>
            <w:sz w:val="24"/>
            <w:szCs w:val="24"/>
            <w:lang w:eastAsia="en-AU"/>
            <w14:ligatures w14:val="standardContextual"/>
          </w:rPr>
          <w:tab/>
        </w:r>
        <w:r w:rsidRPr="00533B68">
          <w:t>Grant of representation—when notice of intention to apply to be served on public trustee and guardian</w:t>
        </w:r>
        <w:r>
          <w:tab/>
        </w:r>
        <w:r>
          <w:fldChar w:fldCharType="begin"/>
        </w:r>
        <w:r>
          <w:instrText xml:space="preserve"> PAGEREF _Toc185514545 \h </w:instrText>
        </w:r>
        <w:r>
          <w:fldChar w:fldCharType="separate"/>
        </w:r>
        <w:r>
          <w:t>537</w:t>
        </w:r>
        <w:r>
          <w:fldChar w:fldCharType="end"/>
        </w:r>
      </w:hyperlink>
    </w:p>
    <w:p w14:paraId="6EA1A95B" w14:textId="5A37CB9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6" w:history="1">
        <w:r w:rsidRPr="00533B68">
          <w:t>3010</w:t>
        </w:r>
        <w:r>
          <w:rPr>
            <w:rFonts w:asciiTheme="minorHAnsi" w:eastAsiaTheme="minorEastAsia" w:hAnsiTheme="minorHAnsi" w:cstheme="minorBidi"/>
            <w:kern w:val="2"/>
            <w:sz w:val="24"/>
            <w:szCs w:val="24"/>
            <w:lang w:eastAsia="en-AU"/>
            <w14:ligatures w14:val="standardContextual"/>
          </w:rPr>
          <w:tab/>
        </w:r>
        <w:r w:rsidRPr="00533B68">
          <w:t>Grant of representation—supporting affidavit for application</w:t>
        </w:r>
        <w:r>
          <w:tab/>
        </w:r>
        <w:r>
          <w:fldChar w:fldCharType="begin"/>
        </w:r>
        <w:r>
          <w:instrText xml:space="preserve"> PAGEREF _Toc185514546 \h </w:instrText>
        </w:r>
        <w:r>
          <w:fldChar w:fldCharType="separate"/>
        </w:r>
        <w:r>
          <w:t>538</w:t>
        </w:r>
        <w:r>
          <w:fldChar w:fldCharType="end"/>
        </w:r>
      </w:hyperlink>
    </w:p>
    <w:p w14:paraId="4AEAF754" w14:textId="298AC4D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7" w:history="1">
        <w:r w:rsidRPr="00533B68">
          <w:t>3011</w:t>
        </w:r>
        <w:r>
          <w:rPr>
            <w:rFonts w:asciiTheme="minorHAnsi" w:eastAsiaTheme="minorEastAsia" w:hAnsiTheme="minorHAnsi" w:cstheme="minorBidi"/>
            <w:kern w:val="2"/>
            <w:sz w:val="24"/>
            <w:szCs w:val="24"/>
            <w:lang w:eastAsia="en-AU"/>
            <w14:ligatures w14:val="standardContextual"/>
          </w:rPr>
          <w:tab/>
        </w:r>
        <w:r w:rsidRPr="00533B68">
          <w:t>Grant of representation—affidavit of search</w:t>
        </w:r>
        <w:r>
          <w:tab/>
        </w:r>
        <w:r>
          <w:fldChar w:fldCharType="begin"/>
        </w:r>
        <w:r>
          <w:instrText xml:space="preserve"> PAGEREF _Toc185514547 \h </w:instrText>
        </w:r>
        <w:r>
          <w:fldChar w:fldCharType="separate"/>
        </w:r>
        <w:r>
          <w:t>543</w:t>
        </w:r>
        <w:r>
          <w:fldChar w:fldCharType="end"/>
        </w:r>
      </w:hyperlink>
    </w:p>
    <w:p w14:paraId="331F2151" w14:textId="4BAE232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8" w:history="1">
        <w:r w:rsidRPr="00533B68">
          <w:t>3012</w:t>
        </w:r>
        <w:r>
          <w:rPr>
            <w:rFonts w:asciiTheme="minorHAnsi" w:eastAsiaTheme="minorEastAsia" w:hAnsiTheme="minorHAnsi" w:cstheme="minorBidi"/>
            <w:kern w:val="2"/>
            <w:sz w:val="24"/>
            <w:szCs w:val="24"/>
            <w:lang w:eastAsia="en-AU"/>
            <w14:ligatures w14:val="standardContextual"/>
          </w:rPr>
          <w:tab/>
        </w:r>
        <w:r w:rsidRPr="00533B68">
          <w:t>Grant of representation—proof of identity and death</w:t>
        </w:r>
        <w:r>
          <w:tab/>
        </w:r>
        <w:r>
          <w:fldChar w:fldCharType="begin"/>
        </w:r>
        <w:r>
          <w:instrText xml:space="preserve"> PAGEREF _Toc185514548 \h </w:instrText>
        </w:r>
        <w:r>
          <w:fldChar w:fldCharType="separate"/>
        </w:r>
        <w:r>
          <w:t>544</w:t>
        </w:r>
        <w:r>
          <w:fldChar w:fldCharType="end"/>
        </w:r>
      </w:hyperlink>
    </w:p>
    <w:p w14:paraId="4C4DE50F" w14:textId="728862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49" w:history="1">
        <w:r w:rsidRPr="00533B68">
          <w:t>3013</w:t>
        </w:r>
        <w:r>
          <w:rPr>
            <w:rFonts w:asciiTheme="minorHAnsi" w:eastAsiaTheme="minorEastAsia" w:hAnsiTheme="minorHAnsi" w:cstheme="minorBidi"/>
            <w:kern w:val="2"/>
            <w:sz w:val="24"/>
            <w:szCs w:val="24"/>
            <w:lang w:eastAsia="en-AU"/>
            <w14:ligatures w14:val="standardContextual"/>
          </w:rPr>
          <w:tab/>
        </w:r>
        <w:r w:rsidRPr="00533B68">
          <w:t>Grant of representation—further evidence, documents and notices</w:t>
        </w:r>
        <w:r>
          <w:tab/>
        </w:r>
        <w:r>
          <w:fldChar w:fldCharType="begin"/>
        </w:r>
        <w:r>
          <w:instrText xml:space="preserve"> PAGEREF _Toc185514549 \h </w:instrText>
        </w:r>
        <w:r>
          <w:fldChar w:fldCharType="separate"/>
        </w:r>
        <w:r>
          <w:t>544</w:t>
        </w:r>
        <w:r>
          <w:fldChar w:fldCharType="end"/>
        </w:r>
      </w:hyperlink>
    </w:p>
    <w:p w14:paraId="635958F9" w14:textId="753B34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0" w:history="1">
        <w:r w:rsidRPr="00533B68">
          <w:t>3014</w:t>
        </w:r>
        <w:r>
          <w:rPr>
            <w:rFonts w:asciiTheme="minorHAnsi" w:eastAsiaTheme="minorEastAsia" w:hAnsiTheme="minorHAnsi" w:cstheme="minorBidi"/>
            <w:kern w:val="2"/>
            <w:sz w:val="24"/>
            <w:szCs w:val="24"/>
            <w:lang w:eastAsia="en-AU"/>
            <w14:ligatures w14:val="standardContextual"/>
          </w:rPr>
          <w:tab/>
        </w:r>
        <w:r w:rsidRPr="00533B68">
          <w:t>Grant of representation—no grant to executor etc who has renounced</w:t>
        </w:r>
        <w:r>
          <w:tab/>
        </w:r>
        <w:r>
          <w:fldChar w:fldCharType="begin"/>
        </w:r>
        <w:r>
          <w:instrText xml:space="preserve"> PAGEREF _Toc185514550 \h </w:instrText>
        </w:r>
        <w:r>
          <w:fldChar w:fldCharType="separate"/>
        </w:r>
        <w:r>
          <w:t>544</w:t>
        </w:r>
        <w:r>
          <w:fldChar w:fldCharType="end"/>
        </w:r>
      </w:hyperlink>
    </w:p>
    <w:p w14:paraId="75B73134" w14:textId="7B5E4B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1" w:history="1">
        <w:r w:rsidRPr="00533B68">
          <w:t>3015</w:t>
        </w:r>
        <w:r>
          <w:rPr>
            <w:rFonts w:asciiTheme="minorHAnsi" w:eastAsiaTheme="minorEastAsia" w:hAnsiTheme="minorHAnsi" w:cstheme="minorBidi"/>
            <w:kern w:val="2"/>
            <w:sz w:val="24"/>
            <w:szCs w:val="24"/>
            <w:lang w:eastAsia="en-AU"/>
            <w14:ligatures w14:val="standardContextual"/>
          </w:rPr>
          <w:tab/>
        </w:r>
        <w:r w:rsidRPr="00533B68">
          <w:t>Grant of representation—when hearing not required</w:t>
        </w:r>
        <w:r>
          <w:tab/>
        </w:r>
        <w:r>
          <w:fldChar w:fldCharType="begin"/>
        </w:r>
        <w:r>
          <w:instrText xml:space="preserve"> PAGEREF _Toc185514551 \h </w:instrText>
        </w:r>
        <w:r>
          <w:fldChar w:fldCharType="separate"/>
        </w:r>
        <w:r>
          <w:t>545</w:t>
        </w:r>
        <w:r>
          <w:fldChar w:fldCharType="end"/>
        </w:r>
      </w:hyperlink>
    </w:p>
    <w:p w14:paraId="0FE7958C" w14:textId="76D9FAF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52" w:history="1">
        <w:r w:rsidR="00AC5392" w:rsidRPr="00533B68">
          <w:t>Division 3.1.3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Application for reseal of foreign grant</w:t>
        </w:r>
        <w:r w:rsidR="00AC5392" w:rsidRPr="00AC5392">
          <w:rPr>
            <w:vanish/>
          </w:rPr>
          <w:tab/>
        </w:r>
        <w:r w:rsidR="00AC5392" w:rsidRPr="00AC5392">
          <w:rPr>
            <w:vanish/>
          </w:rPr>
          <w:fldChar w:fldCharType="begin"/>
        </w:r>
        <w:r w:rsidR="00AC5392" w:rsidRPr="00AC5392">
          <w:rPr>
            <w:vanish/>
          </w:rPr>
          <w:instrText xml:space="preserve"> PAGEREF _Toc185514552 \h </w:instrText>
        </w:r>
        <w:r w:rsidR="00AC5392" w:rsidRPr="00AC5392">
          <w:rPr>
            <w:vanish/>
          </w:rPr>
        </w:r>
        <w:r w:rsidR="00AC5392" w:rsidRPr="00AC5392">
          <w:rPr>
            <w:vanish/>
          </w:rPr>
          <w:fldChar w:fldCharType="separate"/>
        </w:r>
        <w:r w:rsidR="00AC5392" w:rsidRPr="00AC5392">
          <w:rPr>
            <w:vanish/>
          </w:rPr>
          <w:t>545</w:t>
        </w:r>
        <w:r w:rsidR="00AC5392" w:rsidRPr="00AC5392">
          <w:rPr>
            <w:vanish/>
          </w:rPr>
          <w:fldChar w:fldCharType="end"/>
        </w:r>
      </w:hyperlink>
    </w:p>
    <w:p w14:paraId="4260E6DD" w14:textId="6B7C4BF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3" w:history="1">
        <w:r w:rsidRPr="00533B68">
          <w:t>3020</w:t>
        </w:r>
        <w:r>
          <w:rPr>
            <w:rFonts w:asciiTheme="minorHAnsi" w:eastAsiaTheme="minorEastAsia" w:hAnsiTheme="minorHAnsi" w:cstheme="minorBidi"/>
            <w:kern w:val="2"/>
            <w:sz w:val="24"/>
            <w:szCs w:val="24"/>
            <w:lang w:eastAsia="en-AU"/>
            <w14:ligatures w14:val="standardContextual"/>
          </w:rPr>
          <w:tab/>
        </w:r>
        <w:r w:rsidRPr="00533B68">
          <w:t>Reseal of foreign grant—application</w:t>
        </w:r>
        <w:r>
          <w:tab/>
        </w:r>
        <w:r>
          <w:fldChar w:fldCharType="begin"/>
        </w:r>
        <w:r>
          <w:instrText xml:space="preserve"> PAGEREF _Toc185514553 \h </w:instrText>
        </w:r>
        <w:r>
          <w:fldChar w:fldCharType="separate"/>
        </w:r>
        <w:r>
          <w:t>545</w:t>
        </w:r>
        <w:r>
          <w:fldChar w:fldCharType="end"/>
        </w:r>
      </w:hyperlink>
    </w:p>
    <w:p w14:paraId="1A857F4F" w14:textId="1A7C73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4" w:history="1">
        <w:r w:rsidRPr="00533B68">
          <w:t>3021</w:t>
        </w:r>
        <w:r>
          <w:rPr>
            <w:rFonts w:asciiTheme="minorHAnsi" w:eastAsiaTheme="minorEastAsia" w:hAnsiTheme="minorHAnsi" w:cstheme="minorBidi"/>
            <w:kern w:val="2"/>
            <w:sz w:val="24"/>
            <w:szCs w:val="24"/>
            <w:lang w:eastAsia="en-AU"/>
            <w14:ligatures w14:val="standardContextual"/>
          </w:rPr>
          <w:tab/>
        </w:r>
        <w:r w:rsidRPr="00533B68">
          <w:t>Reseal of foreign grant—notice of intention to apply to be published online etc</w:t>
        </w:r>
        <w:r>
          <w:tab/>
        </w:r>
        <w:r>
          <w:fldChar w:fldCharType="begin"/>
        </w:r>
        <w:r>
          <w:instrText xml:space="preserve"> PAGEREF _Toc185514554 \h </w:instrText>
        </w:r>
        <w:r>
          <w:fldChar w:fldCharType="separate"/>
        </w:r>
        <w:r>
          <w:t>546</w:t>
        </w:r>
        <w:r>
          <w:fldChar w:fldCharType="end"/>
        </w:r>
      </w:hyperlink>
    </w:p>
    <w:p w14:paraId="0E71B712" w14:textId="335FCF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5" w:history="1">
        <w:r w:rsidRPr="00533B68">
          <w:t>3022</w:t>
        </w:r>
        <w:r>
          <w:rPr>
            <w:rFonts w:asciiTheme="minorHAnsi" w:eastAsiaTheme="minorEastAsia" w:hAnsiTheme="minorHAnsi" w:cstheme="minorBidi"/>
            <w:kern w:val="2"/>
            <w:sz w:val="24"/>
            <w:szCs w:val="24"/>
            <w:lang w:eastAsia="en-AU"/>
            <w14:ligatures w14:val="standardContextual"/>
          </w:rPr>
          <w:tab/>
        </w:r>
        <w:r w:rsidRPr="00533B68">
          <w:t>Reseal of foreign grant—supporting affidavit for application</w:t>
        </w:r>
        <w:r>
          <w:tab/>
        </w:r>
        <w:r>
          <w:fldChar w:fldCharType="begin"/>
        </w:r>
        <w:r>
          <w:instrText xml:space="preserve"> PAGEREF _Toc185514555 \h </w:instrText>
        </w:r>
        <w:r>
          <w:fldChar w:fldCharType="separate"/>
        </w:r>
        <w:r>
          <w:t>547</w:t>
        </w:r>
        <w:r>
          <w:fldChar w:fldCharType="end"/>
        </w:r>
      </w:hyperlink>
    </w:p>
    <w:p w14:paraId="3B88D7F3" w14:textId="7D9E9D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6" w:history="1">
        <w:r w:rsidRPr="00533B68">
          <w:t>3023</w:t>
        </w:r>
        <w:r>
          <w:rPr>
            <w:rFonts w:asciiTheme="minorHAnsi" w:eastAsiaTheme="minorEastAsia" w:hAnsiTheme="minorHAnsi" w:cstheme="minorBidi"/>
            <w:kern w:val="2"/>
            <w:sz w:val="24"/>
            <w:szCs w:val="24"/>
            <w:lang w:eastAsia="en-AU"/>
            <w14:ligatures w14:val="standardContextual"/>
          </w:rPr>
          <w:tab/>
        </w:r>
        <w:r w:rsidRPr="00533B68">
          <w:t>Reseal of foreign grant—affidavit of search</w:t>
        </w:r>
        <w:r>
          <w:tab/>
        </w:r>
        <w:r>
          <w:fldChar w:fldCharType="begin"/>
        </w:r>
        <w:r>
          <w:instrText xml:space="preserve"> PAGEREF _Toc185514556 \h </w:instrText>
        </w:r>
        <w:r>
          <w:fldChar w:fldCharType="separate"/>
        </w:r>
        <w:r>
          <w:t>548</w:t>
        </w:r>
        <w:r>
          <w:fldChar w:fldCharType="end"/>
        </w:r>
      </w:hyperlink>
    </w:p>
    <w:p w14:paraId="0BD157C7" w14:textId="490443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7" w:history="1">
        <w:r w:rsidRPr="00533B68">
          <w:t>3024</w:t>
        </w:r>
        <w:r>
          <w:rPr>
            <w:rFonts w:asciiTheme="minorHAnsi" w:eastAsiaTheme="minorEastAsia" w:hAnsiTheme="minorHAnsi" w:cstheme="minorBidi"/>
            <w:kern w:val="2"/>
            <w:sz w:val="24"/>
            <w:szCs w:val="24"/>
            <w:lang w:eastAsia="en-AU"/>
            <w14:ligatures w14:val="standardContextual"/>
          </w:rPr>
          <w:tab/>
        </w:r>
        <w:r w:rsidRPr="00533B68">
          <w:t>Reseal of foreign grant—when hearing required</w:t>
        </w:r>
        <w:r>
          <w:tab/>
        </w:r>
        <w:r>
          <w:fldChar w:fldCharType="begin"/>
        </w:r>
        <w:r>
          <w:instrText xml:space="preserve"> PAGEREF _Toc185514557 \h </w:instrText>
        </w:r>
        <w:r>
          <w:fldChar w:fldCharType="separate"/>
        </w:r>
        <w:r>
          <w:t>549</w:t>
        </w:r>
        <w:r>
          <w:fldChar w:fldCharType="end"/>
        </w:r>
      </w:hyperlink>
    </w:p>
    <w:p w14:paraId="7921203E" w14:textId="25FB131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58" w:history="1">
        <w:r w:rsidR="00AC5392" w:rsidRPr="00533B68">
          <w:t>Division 3.1.4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Validity and form of wills</w:t>
        </w:r>
        <w:r w:rsidR="00AC5392" w:rsidRPr="00AC5392">
          <w:rPr>
            <w:vanish/>
          </w:rPr>
          <w:tab/>
        </w:r>
        <w:r w:rsidR="00AC5392" w:rsidRPr="00AC5392">
          <w:rPr>
            <w:vanish/>
          </w:rPr>
          <w:fldChar w:fldCharType="begin"/>
        </w:r>
        <w:r w:rsidR="00AC5392" w:rsidRPr="00AC5392">
          <w:rPr>
            <w:vanish/>
          </w:rPr>
          <w:instrText xml:space="preserve"> PAGEREF _Toc185514558 \h </w:instrText>
        </w:r>
        <w:r w:rsidR="00AC5392" w:rsidRPr="00AC5392">
          <w:rPr>
            <w:vanish/>
          </w:rPr>
        </w:r>
        <w:r w:rsidR="00AC5392" w:rsidRPr="00AC5392">
          <w:rPr>
            <w:vanish/>
          </w:rPr>
          <w:fldChar w:fldCharType="separate"/>
        </w:r>
        <w:r w:rsidR="00AC5392" w:rsidRPr="00AC5392">
          <w:rPr>
            <w:vanish/>
          </w:rPr>
          <w:t>549</w:t>
        </w:r>
        <w:r w:rsidR="00AC5392" w:rsidRPr="00AC5392">
          <w:rPr>
            <w:vanish/>
          </w:rPr>
          <w:fldChar w:fldCharType="end"/>
        </w:r>
      </w:hyperlink>
    </w:p>
    <w:p w14:paraId="06DED826" w14:textId="43A9B9F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59" w:history="1">
        <w:r w:rsidRPr="00533B68">
          <w:t>3030</w:t>
        </w:r>
        <w:r>
          <w:rPr>
            <w:rFonts w:asciiTheme="minorHAnsi" w:eastAsiaTheme="minorEastAsia" w:hAnsiTheme="minorHAnsi" w:cstheme="minorBidi"/>
            <w:kern w:val="2"/>
            <w:sz w:val="24"/>
            <w:szCs w:val="24"/>
            <w:lang w:eastAsia="en-AU"/>
            <w14:ligatures w14:val="standardContextual"/>
          </w:rPr>
          <w:tab/>
        </w:r>
        <w:r w:rsidRPr="00533B68">
          <w:t>Grant of representation—evidence of proper attestation of will</w:t>
        </w:r>
        <w:r>
          <w:tab/>
        </w:r>
        <w:r>
          <w:fldChar w:fldCharType="begin"/>
        </w:r>
        <w:r>
          <w:instrText xml:space="preserve"> PAGEREF _Toc185514559 \h </w:instrText>
        </w:r>
        <w:r>
          <w:fldChar w:fldCharType="separate"/>
        </w:r>
        <w:r>
          <w:t>549</w:t>
        </w:r>
        <w:r>
          <w:fldChar w:fldCharType="end"/>
        </w:r>
      </w:hyperlink>
    </w:p>
    <w:p w14:paraId="2E16D364" w14:textId="614FC5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0" w:history="1">
        <w:r w:rsidRPr="00533B68">
          <w:t>3031</w:t>
        </w:r>
        <w:r>
          <w:rPr>
            <w:rFonts w:asciiTheme="minorHAnsi" w:eastAsiaTheme="minorEastAsia" w:hAnsiTheme="minorHAnsi" w:cstheme="minorBidi"/>
            <w:kern w:val="2"/>
            <w:sz w:val="24"/>
            <w:szCs w:val="24"/>
            <w:lang w:eastAsia="en-AU"/>
            <w14:ligatures w14:val="standardContextual"/>
          </w:rPr>
          <w:tab/>
        </w:r>
        <w:r w:rsidRPr="00533B68">
          <w:t>Grant of representation—will by blind or illiterate person</w:t>
        </w:r>
        <w:r>
          <w:tab/>
        </w:r>
        <w:r>
          <w:fldChar w:fldCharType="begin"/>
        </w:r>
        <w:r>
          <w:instrText xml:space="preserve"> PAGEREF _Toc185514560 \h </w:instrText>
        </w:r>
        <w:r>
          <w:fldChar w:fldCharType="separate"/>
        </w:r>
        <w:r>
          <w:t>550</w:t>
        </w:r>
        <w:r>
          <w:fldChar w:fldCharType="end"/>
        </w:r>
      </w:hyperlink>
    </w:p>
    <w:p w14:paraId="3CB875E6" w14:textId="4C5761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1" w:history="1">
        <w:r w:rsidRPr="00533B68">
          <w:t>3032</w:t>
        </w:r>
        <w:r>
          <w:rPr>
            <w:rFonts w:asciiTheme="minorHAnsi" w:eastAsiaTheme="minorEastAsia" w:hAnsiTheme="minorHAnsi" w:cstheme="minorBidi"/>
            <w:kern w:val="2"/>
            <w:sz w:val="24"/>
            <w:szCs w:val="24"/>
            <w:lang w:eastAsia="en-AU"/>
            <w14:ligatures w14:val="standardContextual"/>
          </w:rPr>
          <w:tab/>
        </w:r>
        <w:r w:rsidRPr="00533B68">
          <w:t>Grant of representation—alterations in will</w:t>
        </w:r>
        <w:r>
          <w:tab/>
        </w:r>
        <w:r>
          <w:fldChar w:fldCharType="begin"/>
        </w:r>
        <w:r>
          <w:instrText xml:space="preserve"> PAGEREF _Toc185514561 \h </w:instrText>
        </w:r>
        <w:r>
          <w:fldChar w:fldCharType="separate"/>
        </w:r>
        <w:r>
          <w:t>550</w:t>
        </w:r>
        <w:r>
          <w:fldChar w:fldCharType="end"/>
        </w:r>
      </w:hyperlink>
    </w:p>
    <w:p w14:paraId="0B8FD8D7" w14:textId="4F4F4A0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2" w:history="1">
        <w:r w:rsidRPr="00533B68">
          <w:t>3033</w:t>
        </w:r>
        <w:r>
          <w:rPr>
            <w:rFonts w:asciiTheme="minorHAnsi" w:eastAsiaTheme="minorEastAsia" w:hAnsiTheme="minorHAnsi" w:cstheme="minorBidi"/>
            <w:kern w:val="2"/>
            <w:sz w:val="24"/>
            <w:szCs w:val="24"/>
            <w:lang w:eastAsia="en-AU"/>
            <w14:ligatures w14:val="standardContextual"/>
          </w:rPr>
          <w:tab/>
        </w:r>
        <w:r w:rsidRPr="00533B68">
          <w:t>Grant of representation—documents mentioned in or attached to will</w:t>
        </w:r>
        <w:r>
          <w:tab/>
        </w:r>
        <w:r>
          <w:fldChar w:fldCharType="begin"/>
        </w:r>
        <w:r>
          <w:instrText xml:space="preserve"> PAGEREF _Toc185514562 \h </w:instrText>
        </w:r>
        <w:r>
          <w:fldChar w:fldCharType="separate"/>
        </w:r>
        <w:r>
          <w:t>551</w:t>
        </w:r>
        <w:r>
          <w:fldChar w:fldCharType="end"/>
        </w:r>
      </w:hyperlink>
    </w:p>
    <w:p w14:paraId="287E733E" w14:textId="2FD747CE"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563" w:history="1">
        <w:r w:rsidRPr="00533B68">
          <w:t>3034</w:t>
        </w:r>
        <w:r>
          <w:rPr>
            <w:rFonts w:asciiTheme="minorHAnsi" w:eastAsiaTheme="minorEastAsia" w:hAnsiTheme="minorHAnsi" w:cstheme="minorBidi"/>
            <w:kern w:val="2"/>
            <w:sz w:val="24"/>
            <w:szCs w:val="24"/>
            <w:lang w:eastAsia="en-AU"/>
            <w14:ligatures w14:val="standardContextual"/>
          </w:rPr>
          <w:tab/>
        </w:r>
        <w:r w:rsidRPr="00533B68">
          <w:t>Grant of representation—evidence of proper execution of will etc</w:t>
        </w:r>
        <w:r>
          <w:tab/>
        </w:r>
        <w:r>
          <w:fldChar w:fldCharType="begin"/>
        </w:r>
        <w:r>
          <w:instrText xml:space="preserve"> PAGEREF _Toc185514563 \h </w:instrText>
        </w:r>
        <w:r>
          <w:fldChar w:fldCharType="separate"/>
        </w:r>
        <w:r>
          <w:t>552</w:t>
        </w:r>
        <w:r>
          <w:fldChar w:fldCharType="end"/>
        </w:r>
      </w:hyperlink>
    </w:p>
    <w:p w14:paraId="1617E1C6" w14:textId="70EA873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4" w:history="1">
        <w:r w:rsidRPr="00533B68">
          <w:t>3035</w:t>
        </w:r>
        <w:r>
          <w:rPr>
            <w:rFonts w:asciiTheme="minorHAnsi" w:eastAsiaTheme="minorEastAsia" w:hAnsiTheme="minorHAnsi" w:cstheme="minorBidi"/>
            <w:kern w:val="2"/>
            <w:sz w:val="24"/>
            <w:szCs w:val="24"/>
            <w:lang w:eastAsia="en-AU"/>
            <w14:ligatures w14:val="standardContextual"/>
          </w:rPr>
          <w:tab/>
        </w:r>
        <w:r w:rsidRPr="00533B68">
          <w:t>Grant of representation—will inoperative or partly inoperative</w:t>
        </w:r>
        <w:r>
          <w:tab/>
        </w:r>
        <w:r>
          <w:fldChar w:fldCharType="begin"/>
        </w:r>
        <w:r>
          <w:instrText xml:space="preserve"> PAGEREF _Toc185514564 \h </w:instrText>
        </w:r>
        <w:r>
          <w:fldChar w:fldCharType="separate"/>
        </w:r>
        <w:r>
          <w:t>552</w:t>
        </w:r>
        <w:r>
          <w:fldChar w:fldCharType="end"/>
        </w:r>
      </w:hyperlink>
    </w:p>
    <w:p w14:paraId="2D3D3103" w14:textId="33B7108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65" w:history="1">
        <w:r w:rsidR="00AC5392" w:rsidRPr="00533B68">
          <w:t>Division 3.1.5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Administration bonds</w:t>
        </w:r>
        <w:r w:rsidR="00AC5392" w:rsidRPr="00AC5392">
          <w:rPr>
            <w:vanish/>
          </w:rPr>
          <w:tab/>
        </w:r>
        <w:r w:rsidR="00AC5392" w:rsidRPr="00AC5392">
          <w:rPr>
            <w:vanish/>
          </w:rPr>
          <w:fldChar w:fldCharType="begin"/>
        </w:r>
        <w:r w:rsidR="00AC5392" w:rsidRPr="00AC5392">
          <w:rPr>
            <w:vanish/>
          </w:rPr>
          <w:instrText xml:space="preserve"> PAGEREF _Toc185514565 \h </w:instrText>
        </w:r>
        <w:r w:rsidR="00AC5392" w:rsidRPr="00AC5392">
          <w:rPr>
            <w:vanish/>
          </w:rPr>
        </w:r>
        <w:r w:rsidR="00AC5392" w:rsidRPr="00AC5392">
          <w:rPr>
            <w:vanish/>
          </w:rPr>
          <w:fldChar w:fldCharType="separate"/>
        </w:r>
        <w:r w:rsidR="00AC5392" w:rsidRPr="00AC5392">
          <w:rPr>
            <w:vanish/>
          </w:rPr>
          <w:t>553</w:t>
        </w:r>
        <w:r w:rsidR="00AC5392" w:rsidRPr="00AC5392">
          <w:rPr>
            <w:vanish/>
          </w:rPr>
          <w:fldChar w:fldCharType="end"/>
        </w:r>
      </w:hyperlink>
    </w:p>
    <w:p w14:paraId="1F8E0FE4" w14:textId="70516F7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6" w:history="1">
        <w:r w:rsidRPr="00533B68">
          <w:t>3045</w:t>
        </w:r>
        <w:r>
          <w:rPr>
            <w:rFonts w:asciiTheme="minorHAnsi" w:eastAsiaTheme="minorEastAsia" w:hAnsiTheme="minorHAnsi" w:cstheme="minorBidi"/>
            <w:kern w:val="2"/>
            <w:sz w:val="24"/>
            <w:szCs w:val="24"/>
            <w:lang w:eastAsia="en-AU"/>
            <w14:ligatures w14:val="standardContextual"/>
          </w:rPr>
          <w:tab/>
        </w:r>
        <w:r w:rsidRPr="00533B68">
          <w:t>Administration bond—requirement for bond</w:t>
        </w:r>
        <w:r>
          <w:tab/>
        </w:r>
        <w:r>
          <w:fldChar w:fldCharType="begin"/>
        </w:r>
        <w:r>
          <w:instrText xml:space="preserve"> PAGEREF _Toc185514566 \h </w:instrText>
        </w:r>
        <w:r>
          <w:fldChar w:fldCharType="separate"/>
        </w:r>
        <w:r>
          <w:t>553</w:t>
        </w:r>
        <w:r>
          <w:fldChar w:fldCharType="end"/>
        </w:r>
      </w:hyperlink>
    </w:p>
    <w:p w14:paraId="28046277" w14:textId="7F2D19A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7" w:history="1">
        <w:r w:rsidRPr="00533B68">
          <w:t>3046</w:t>
        </w:r>
        <w:r>
          <w:rPr>
            <w:rFonts w:asciiTheme="minorHAnsi" w:eastAsiaTheme="minorEastAsia" w:hAnsiTheme="minorHAnsi" w:cstheme="minorBidi"/>
            <w:kern w:val="2"/>
            <w:sz w:val="24"/>
            <w:szCs w:val="24"/>
            <w:lang w:eastAsia="en-AU"/>
            <w14:ligatures w14:val="standardContextual"/>
          </w:rPr>
          <w:tab/>
        </w:r>
        <w:r w:rsidRPr="00533B68">
          <w:t>Administration bond—dispensing with bond</w:t>
        </w:r>
        <w:r>
          <w:tab/>
        </w:r>
        <w:r>
          <w:fldChar w:fldCharType="begin"/>
        </w:r>
        <w:r>
          <w:instrText xml:space="preserve"> PAGEREF _Toc185514567 \h </w:instrText>
        </w:r>
        <w:r>
          <w:fldChar w:fldCharType="separate"/>
        </w:r>
        <w:r>
          <w:t>554</w:t>
        </w:r>
        <w:r>
          <w:fldChar w:fldCharType="end"/>
        </w:r>
      </w:hyperlink>
    </w:p>
    <w:p w14:paraId="4B423164" w14:textId="003D8F7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8" w:history="1">
        <w:r w:rsidRPr="00533B68">
          <w:t>3047</w:t>
        </w:r>
        <w:r>
          <w:rPr>
            <w:rFonts w:asciiTheme="minorHAnsi" w:eastAsiaTheme="minorEastAsia" w:hAnsiTheme="minorHAnsi" w:cstheme="minorBidi"/>
            <w:kern w:val="2"/>
            <w:sz w:val="24"/>
            <w:szCs w:val="24"/>
            <w:lang w:eastAsia="en-AU"/>
            <w14:ligatures w14:val="standardContextual"/>
          </w:rPr>
          <w:tab/>
        </w:r>
        <w:r w:rsidRPr="00533B68">
          <w:t>Administration bond—affidavit of justification</w:t>
        </w:r>
        <w:r>
          <w:tab/>
        </w:r>
        <w:r>
          <w:fldChar w:fldCharType="begin"/>
        </w:r>
        <w:r>
          <w:instrText xml:space="preserve"> PAGEREF _Toc185514568 \h </w:instrText>
        </w:r>
        <w:r>
          <w:fldChar w:fldCharType="separate"/>
        </w:r>
        <w:r>
          <w:t>555</w:t>
        </w:r>
        <w:r>
          <w:fldChar w:fldCharType="end"/>
        </w:r>
      </w:hyperlink>
    </w:p>
    <w:p w14:paraId="456DB214" w14:textId="54B53E1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69" w:history="1">
        <w:r w:rsidRPr="00533B68">
          <w:t>3048</w:t>
        </w:r>
        <w:r>
          <w:rPr>
            <w:rFonts w:asciiTheme="minorHAnsi" w:eastAsiaTheme="minorEastAsia" w:hAnsiTheme="minorHAnsi" w:cstheme="minorBidi"/>
            <w:kern w:val="2"/>
            <w:sz w:val="24"/>
            <w:szCs w:val="24"/>
            <w:lang w:eastAsia="en-AU"/>
            <w14:ligatures w14:val="standardContextual"/>
          </w:rPr>
          <w:tab/>
        </w:r>
        <w:r w:rsidRPr="00533B68">
          <w:t>Administration bond—exempt surety</w:t>
        </w:r>
        <w:r>
          <w:tab/>
        </w:r>
        <w:r>
          <w:fldChar w:fldCharType="begin"/>
        </w:r>
        <w:r>
          <w:instrText xml:space="preserve"> PAGEREF _Toc185514569 \h </w:instrText>
        </w:r>
        <w:r>
          <w:fldChar w:fldCharType="separate"/>
        </w:r>
        <w:r>
          <w:t>556</w:t>
        </w:r>
        <w:r>
          <w:fldChar w:fldCharType="end"/>
        </w:r>
      </w:hyperlink>
    </w:p>
    <w:p w14:paraId="1C55808F" w14:textId="481CCA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0" w:history="1">
        <w:r w:rsidRPr="00533B68">
          <w:t>3049</w:t>
        </w:r>
        <w:r>
          <w:rPr>
            <w:rFonts w:asciiTheme="minorHAnsi" w:eastAsiaTheme="minorEastAsia" w:hAnsiTheme="minorHAnsi" w:cstheme="minorBidi"/>
            <w:kern w:val="2"/>
            <w:sz w:val="24"/>
            <w:szCs w:val="24"/>
            <w:lang w:eastAsia="en-AU"/>
            <w14:ligatures w14:val="standardContextual"/>
          </w:rPr>
          <w:tab/>
        </w:r>
        <w:r w:rsidRPr="00533B68">
          <w:t>Administration bond—addition or reduction after required but before given</w:t>
        </w:r>
        <w:r>
          <w:tab/>
        </w:r>
        <w:r>
          <w:fldChar w:fldCharType="begin"/>
        </w:r>
        <w:r>
          <w:instrText xml:space="preserve"> PAGEREF _Toc185514570 \h </w:instrText>
        </w:r>
        <w:r>
          <w:fldChar w:fldCharType="separate"/>
        </w:r>
        <w:r>
          <w:t>556</w:t>
        </w:r>
        <w:r>
          <w:fldChar w:fldCharType="end"/>
        </w:r>
      </w:hyperlink>
    </w:p>
    <w:p w14:paraId="1731B8E1" w14:textId="139A5B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1" w:history="1">
        <w:r w:rsidRPr="00533B68">
          <w:t>3050</w:t>
        </w:r>
        <w:r>
          <w:rPr>
            <w:rFonts w:asciiTheme="minorHAnsi" w:eastAsiaTheme="minorEastAsia" w:hAnsiTheme="minorHAnsi" w:cstheme="minorBidi"/>
            <w:kern w:val="2"/>
            <w:sz w:val="24"/>
            <w:szCs w:val="24"/>
            <w:lang w:eastAsia="en-AU"/>
            <w14:ligatures w14:val="standardContextual"/>
          </w:rPr>
          <w:tab/>
        </w:r>
        <w:r w:rsidRPr="00533B68">
          <w:t>Administration bond—addition or reduction after given</w:t>
        </w:r>
        <w:r>
          <w:tab/>
        </w:r>
        <w:r>
          <w:fldChar w:fldCharType="begin"/>
        </w:r>
        <w:r>
          <w:instrText xml:space="preserve"> PAGEREF _Toc185514571 \h </w:instrText>
        </w:r>
        <w:r>
          <w:fldChar w:fldCharType="separate"/>
        </w:r>
        <w:r>
          <w:t>557</w:t>
        </w:r>
        <w:r>
          <w:fldChar w:fldCharType="end"/>
        </w:r>
      </w:hyperlink>
    </w:p>
    <w:p w14:paraId="698E5BCA" w14:textId="23AB6EA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2" w:history="1">
        <w:r w:rsidRPr="00533B68">
          <w:t>3051</w:t>
        </w:r>
        <w:r>
          <w:rPr>
            <w:rFonts w:asciiTheme="minorHAnsi" w:eastAsiaTheme="minorEastAsia" w:hAnsiTheme="minorHAnsi" w:cstheme="minorBidi"/>
            <w:kern w:val="2"/>
            <w:sz w:val="24"/>
            <w:szCs w:val="24"/>
            <w:lang w:eastAsia="en-AU"/>
            <w14:ligatures w14:val="standardContextual"/>
          </w:rPr>
          <w:tab/>
        </w:r>
        <w:r w:rsidRPr="00533B68">
          <w:t>Administration bond—proceeding on bond</w:t>
        </w:r>
        <w:r>
          <w:tab/>
        </w:r>
        <w:r>
          <w:fldChar w:fldCharType="begin"/>
        </w:r>
        <w:r>
          <w:instrText xml:space="preserve"> PAGEREF _Toc185514572 \h </w:instrText>
        </w:r>
        <w:r>
          <w:fldChar w:fldCharType="separate"/>
        </w:r>
        <w:r>
          <w:t>558</w:t>
        </w:r>
        <w:r>
          <w:fldChar w:fldCharType="end"/>
        </w:r>
      </w:hyperlink>
    </w:p>
    <w:p w14:paraId="15643C3D" w14:textId="02C002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3" w:history="1">
        <w:r w:rsidRPr="00533B68">
          <w:t>3052</w:t>
        </w:r>
        <w:r>
          <w:rPr>
            <w:rFonts w:asciiTheme="minorHAnsi" w:eastAsiaTheme="minorEastAsia" w:hAnsiTheme="minorHAnsi" w:cstheme="minorBidi"/>
            <w:kern w:val="2"/>
            <w:sz w:val="24"/>
            <w:szCs w:val="24"/>
            <w:lang w:eastAsia="en-AU"/>
            <w14:ligatures w14:val="standardContextual"/>
          </w:rPr>
          <w:tab/>
        </w:r>
        <w:r w:rsidRPr="00533B68">
          <w:t>Administration bond—application by surety</w:t>
        </w:r>
        <w:r>
          <w:tab/>
        </w:r>
        <w:r>
          <w:fldChar w:fldCharType="begin"/>
        </w:r>
        <w:r>
          <w:instrText xml:space="preserve"> PAGEREF _Toc185514573 \h </w:instrText>
        </w:r>
        <w:r>
          <w:fldChar w:fldCharType="separate"/>
        </w:r>
        <w:r>
          <w:t>558</w:t>
        </w:r>
        <w:r>
          <w:fldChar w:fldCharType="end"/>
        </w:r>
      </w:hyperlink>
    </w:p>
    <w:p w14:paraId="41679A32" w14:textId="1B1FB96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4" w:history="1">
        <w:r w:rsidRPr="00533B68">
          <w:t>3053</w:t>
        </w:r>
        <w:r>
          <w:rPr>
            <w:rFonts w:asciiTheme="minorHAnsi" w:eastAsiaTheme="minorEastAsia" w:hAnsiTheme="minorHAnsi" w:cstheme="minorBidi"/>
            <w:kern w:val="2"/>
            <w:sz w:val="24"/>
            <w:szCs w:val="24"/>
            <w:lang w:eastAsia="en-AU"/>
            <w14:ligatures w14:val="standardContextual"/>
          </w:rPr>
          <w:tab/>
        </w:r>
        <w:r w:rsidRPr="00533B68">
          <w:t>Administration bond—reseal of foreign grant</w:t>
        </w:r>
        <w:r>
          <w:tab/>
        </w:r>
        <w:r>
          <w:fldChar w:fldCharType="begin"/>
        </w:r>
        <w:r>
          <w:instrText xml:space="preserve"> PAGEREF _Toc185514574 \h </w:instrText>
        </w:r>
        <w:r>
          <w:fldChar w:fldCharType="separate"/>
        </w:r>
        <w:r>
          <w:t>558</w:t>
        </w:r>
        <w:r>
          <w:fldChar w:fldCharType="end"/>
        </w:r>
      </w:hyperlink>
    </w:p>
    <w:p w14:paraId="3E93462F" w14:textId="71ABC09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75" w:history="1">
        <w:r w:rsidR="00AC5392" w:rsidRPr="00533B68">
          <w:t>Division 3.1.6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Administration by public trustee and guardian</w:t>
        </w:r>
        <w:r w:rsidR="00AC5392" w:rsidRPr="00AC5392">
          <w:rPr>
            <w:vanish/>
          </w:rPr>
          <w:tab/>
        </w:r>
        <w:r w:rsidR="00AC5392" w:rsidRPr="00AC5392">
          <w:rPr>
            <w:vanish/>
          </w:rPr>
          <w:fldChar w:fldCharType="begin"/>
        </w:r>
        <w:r w:rsidR="00AC5392" w:rsidRPr="00AC5392">
          <w:rPr>
            <w:vanish/>
          </w:rPr>
          <w:instrText xml:space="preserve"> PAGEREF _Toc185514575 \h </w:instrText>
        </w:r>
        <w:r w:rsidR="00AC5392" w:rsidRPr="00AC5392">
          <w:rPr>
            <w:vanish/>
          </w:rPr>
        </w:r>
        <w:r w:rsidR="00AC5392" w:rsidRPr="00AC5392">
          <w:rPr>
            <w:vanish/>
          </w:rPr>
          <w:fldChar w:fldCharType="separate"/>
        </w:r>
        <w:r w:rsidR="00AC5392" w:rsidRPr="00AC5392">
          <w:rPr>
            <w:vanish/>
          </w:rPr>
          <w:t>559</w:t>
        </w:r>
        <w:r w:rsidR="00AC5392" w:rsidRPr="00AC5392">
          <w:rPr>
            <w:vanish/>
          </w:rPr>
          <w:fldChar w:fldCharType="end"/>
        </w:r>
      </w:hyperlink>
    </w:p>
    <w:p w14:paraId="32F840A2" w14:textId="2B18B4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6" w:history="1">
        <w:r w:rsidRPr="00533B68">
          <w:t>3055</w:t>
        </w:r>
        <w:r>
          <w:rPr>
            <w:rFonts w:asciiTheme="minorHAnsi" w:eastAsiaTheme="minorEastAsia" w:hAnsiTheme="minorHAnsi" w:cstheme="minorBidi"/>
            <w:kern w:val="2"/>
            <w:sz w:val="24"/>
            <w:szCs w:val="24"/>
            <w:lang w:eastAsia="en-AU"/>
            <w14:ligatures w14:val="standardContextual"/>
          </w:rPr>
          <w:tab/>
        </w:r>
        <w:r w:rsidRPr="00533B68">
          <w:t>Administration by public trustee and guardian—application</w:t>
        </w:r>
        <w:r>
          <w:tab/>
        </w:r>
        <w:r>
          <w:fldChar w:fldCharType="begin"/>
        </w:r>
        <w:r>
          <w:instrText xml:space="preserve"> PAGEREF _Toc185514576 \h </w:instrText>
        </w:r>
        <w:r>
          <w:fldChar w:fldCharType="separate"/>
        </w:r>
        <w:r>
          <w:t>559</w:t>
        </w:r>
        <w:r>
          <w:fldChar w:fldCharType="end"/>
        </w:r>
      </w:hyperlink>
    </w:p>
    <w:p w14:paraId="78D44C3B" w14:textId="6DDD348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7" w:history="1">
        <w:r w:rsidRPr="00533B68">
          <w:t>3056</w:t>
        </w:r>
        <w:r>
          <w:rPr>
            <w:rFonts w:asciiTheme="minorHAnsi" w:eastAsiaTheme="minorEastAsia" w:hAnsiTheme="minorHAnsi" w:cstheme="minorBidi"/>
            <w:kern w:val="2"/>
            <w:sz w:val="24"/>
            <w:szCs w:val="24"/>
            <w:lang w:eastAsia="en-AU"/>
            <w14:ligatures w14:val="standardContextual"/>
          </w:rPr>
          <w:tab/>
        </w:r>
        <w:r w:rsidRPr="00533B68">
          <w:t>Administration by public trustee and guardian—renunciation of probate by executors</w:t>
        </w:r>
        <w:r>
          <w:tab/>
        </w:r>
        <w:r>
          <w:fldChar w:fldCharType="begin"/>
        </w:r>
        <w:r>
          <w:instrText xml:space="preserve"> PAGEREF _Toc185514577 \h </w:instrText>
        </w:r>
        <w:r>
          <w:fldChar w:fldCharType="separate"/>
        </w:r>
        <w:r>
          <w:t>559</w:t>
        </w:r>
        <w:r>
          <w:fldChar w:fldCharType="end"/>
        </w:r>
      </w:hyperlink>
    </w:p>
    <w:p w14:paraId="037D7B48" w14:textId="5A34016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8" w:history="1">
        <w:r w:rsidRPr="00533B68">
          <w:t>3057</w:t>
        </w:r>
        <w:r>
          <w:rPr>
            <w:rFonts w:asciiTheme="minorHAnsi" w:eastAsiaTheme="minorEastAsia" w:hAnsiTheme="minorHAnsi" w:cstheme="minorBidi"/>
            <w:kern w:val="2"/>
            <w:sz w:val="24"/>
            <w:szCs w:val="24"/>
            <w:lang w:eastAsia="en-AU"/>
            <w14:ligatures w14:val="standardContextual"/>
          </w:rPr>
          <w:tab/>
        </w:r>
        <w:r w:rsidRPr="00533B68">
          <w:t>Administration by public trustee and guardian—renunciation of letters of administration by entitled people</w:t>
        </w:r>
        <w:r>
          <w:tab/>
        </w:r>
        <w:r>
          <w:fldChar w:fldCharType="begin"/>
        </w:r>
        <w:r>
          <w:instrText xml:space="preserve"> PAGEREF _Toc185514578 \h </w:instrText>
        </w:r>
        <w:r>
          <w:fldChar w:fldCharType="separate"/>
        </w:r>
        <w:r>
          <w:t>560</w:t>
        </w:r>
        <w:r>
          <w:fldChar w:fldCharType="end"/>
        </w:r>
      </w:hyperlink>
    </w:p>
    <w:p w14:paraId="7FEF38C4" w14:textId="182652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79" w:history="1">
        <w:r w:rsidRPr="00533B68">
          <w:t>3058</w:t>
        </w:r>
        <w:r>
          <w:rPr>
            <w:rFonts w:asciiTheme="minorHAnsi" w:eastAsiaTheme="minorEastAsia" w:hAnsiTheme="minorHAnsi" w:cstheme="minorBidi"/>
            <w:kern w:val="2"/>
            <w:sz w:val="24"/>
            <w:szCs w:val="24"/>
            <w:lang w:eastAsia="en-AU"/>
            <w14:ligatures w14:val="standardContextual"/>
          </w:rPr>
          <w:tab/>
        </w:r>
        <w:r w:rsidRPr="00533B68">
          <w:t>Administration by public trustee and guardian—service of documents on public trustee and guardian</w:t>
        </w:r>
        <w:r>
          <w:tab/>
        </w:r>
        <w:r>
          <w:fldChar w:fldCharType="begin"/>
        </w:r>
        <w:r>
          <w:instrText xml:space="preserve"> PAGEREF _Toc185514579 \h </w:instrText>
        </w:r>
        <w:r>
          <w:fldChar w:fldCharType="separate"/>
        </w:r>
        <w:r>
          <w:t>560</w:t>
        </w:r>
        <w:r>
          <w:fldChar w:fldCharType="end"/>
        </w:r>
      </w:hyperlink>
    </w:p>
    <w:p w14:paraId="1761BF93" w14:textId="693A8A7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80" w:history="1">
        <w:r w:rsidR="00AC5392" w:rsidRPr="00533B68">
          <w:t>Division 3.1.7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Caveats</w:t>
        </w:r>
        <w:r w:rsidR="00AC5392" w:rsidRPr="00AC5392">
          <w:rPr>
            <w:vanish/>
          </w:rPr>
          <w:tab/>
        </w:r>
        <w:r w:rsidR="00AC5392" w:rsidRPr="00AC5392">
          <w:rPr>
            <w:vanish/>
          </w:rPr>
          <w:fldChar w:fldCharType="begin"/>
        </w:r>
        <w:r w:rsidR="00AC5392" w:rsidRPr="00AC5392">
          <w:rPr>
            <w:vanish/>
          </w:rPr>
          <w:instrText xml:space="preserve"> PAGEREF _Toc185514580 \h </w:instrText>
        </w:r>
        <w:r w:rsidR="00AC5392" w:rsidRPr="00AC5392">
          <w:rPr>
            <w:vanish/>
          </w:rPr>
        </w:r>
        <w:r w:rsidR="00AC5392" w:rsidRPr="00AC5392">
          <w:rPr>
            <w:vanish/>
          </w:rPr>
          <w:fldChar w:fldCharType="separate"/>
        </w:r>
        <w:r w:rsidR="00AC5392" w:rsidRPr="00AC5392">
          <w:rPr>
            <w:vanish/>
          </w:rPr>
          <w:t>561</w:t>
        </w:r>
        <w:r w:rsidR="00AC5392" w:rsidRPr="00AC5392">
          <w:rPr>
            <w:vanish/>
          </w:rPr>
          <w:fldChar w:fldCharType="end"/>
        </w:r>
      </w:hyperlink>
    </w:p>
    <w:p w14:paraId="1BFF345C" w14:textId="1148937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1" w:history="1">
        <w:r w:rsidRPr="00533B68">
          <w:t>3065</w:t>
        </w:r>
        <w:r>
          <w:rPr>
            <w:rFonts w:asciiTheme="minorHAnsi" w:eastAsiaTheme="minorEastAsia" w:hAnsiTheme="minorHAnsi" w:cstheme="minorBidi"/>
            <w:kern w:val="2"/>
            <w:sz w:val="24"/>
            <w:szCs w:val="24"/>
            <w:lang w:eastAsia="en-AU"/>
            <w14:ligatures w14:val="standardContextual"/>
          </w:rPr>
          <w:tab/>
        </w:r>
        <w:r w:rsidRPr="00533B68">
          <w:t>Definitions—div 3.1.7</w:t>
        </w:r>
        <w:r>
          <w:tab/>
        </w:r>
        <w:r>
          <w:fldChar w:fldCharType="begin"/>
        </w:r>
        <w:r>
          <w:instrText xml:space="preserve"> PAGEREF _Toc185514581 \h </w:instrText>
        </w:r>
        <w:r>
          <w:fldChar w:fldCharType="separate"/>
        </w:r>
        <w:r>
          <w:t>561</w:t>
        </w:r>
        <w:r>
          <w:fldChar w:fldCharType="end"/>
        </w:r>
      </w:hyperlink>
    </w:p>
    <w:p w14:paraId="28886B9D" w14:textId="284DDA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2" w:history="1">
        <w:r w:rsidRPr="00533B68">
          <w:t>3066</w:t>
        </w:r>
        <w:r>
          <w:rPr>
            <w:rFonts w:asciiTheme="minorHAnsi" w:eastAsiaTheme="minorEastAsia" w:hAnsiTheme="minorHAnsi" w:cstheme="minorBidi"/>
            <w:kern w:val="2"/>
            <w:sz w:val="24"/>
            <w:szCs w:val="24"/>
            <w:lang w:eastAsia="en-AU"/>
            <w14:ligatures w14:val="standardContextual"/>
          </w:rPr>
          <w:tab/>
        </w:r>
        <w:r w:rsidRPr="00533B68">
          <w:t>Caveat—filing</w:t>
        </w:r>
        <w:r>
          <w:tab/>
        </w:r>
        <w:r>
          <w:fldChar w:fldCharType="begin"/>
        </w:r>
        <w:r>
          <w:instrText xml:space="preserve"> PAGEREF _Toc185514582 \h </w:instrText>
        </w:r>
        <w:r>
          <w:fldChar w:fldCharType="separate"/>
        </w:r>
        <w:r>
          <w:t>561</w:t>
        </w:r>
        <w:r>
          <w:fldChar w:fldCharType="end"/>
        </w:r>
      </w:hyperlink>
    </w:p>
    <w:p w14:paraId="149536BC" w14:textId="4DBBA96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3" w:history="1">
        <w:r w:rsidRPr="00533B68">
          <w:t>3067</w:t>
        </w:r>
        <w:r>
          <w:rPr>
            <w:rFonts w:asciiTheme="minorHAnsi" w:eastAsiaTheme="minorEastAsia" w:hAnsiTheme="minorHAnsi" w:cstheme="minorBidi"/>
            <w:kern w:val="2"/>
            <w:sz w:val="24"/>
            <w:szCs w:val="24"/>
            <w:lang w:eastAsia="en-AU"/>
            <w14:ligatures w14:val="standardContextual"/>
          </w:rPr>
          <w:tab/>
        </w:r>
        <w:r w:rsidRPr="00533B68">
          <w:t>Caveat—service</w:t>
        </w:r>
        <w:r>
          <w:tab/>
        </w:r>
        <w:r>
          <w:fldChar w:fldCharType="begin"/>
        </w:r>
        <w:r>
          <w:instrText xml:space="preserve"> PAGEREF _Toc185514583 \h </w:instrText>
        </w:r>
        <w:r>
          <w:fldChar w:fldCharType="separate"/>
        </w:r>
        <w:r>
          <w:t>563</w:t>
        </w:r>
        <w:r>
          <w:fldChar w:fldCharType="end"/>
        </w:r>
      </w:hyperlink>
    </w:p>
    <w:p w14:paraId="3B6195D3" w14:textId="335F16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4" w:history="1">
        <w:r w:rsidRPr="00533B68">
          <w:t>3068</w:t>
        </w:r>
        <w:r>
          <w:rPr>
            <w:rFonts w:asciiTheme="minorHAnsi" w:eastAsiaTheme="minorEastAsia" w:hAnsiTheme="minorHAnsi" w:cstheme="minorBidi"/>
            <w:kern w:val="2"/>
            <w:sz w:val="24"/>
            <w:szCs w:val="24"/>
            <w:lang w:eastAsia="en-AU"/>
            <w14:ligatures w14:val="standardContextual"/>
          </w:rPr>
          <w:tab/>
        </w:r>
        <w:r w:rsidRPr="00533B68">
          <w:t>Caveat—period of operation</w:t>
        </w:r>
        <w:r>
          <w:tab/>
        </w:r>
        <w:r>
          <w:fldChar w:fldCharType="begin"/>
        </w:r>
        <w:r>
          <w:instrText xml:space="preserve"> PAGEREF _Toc185514584 \h </w:instrText>
        </w:r>
        <w:r>
          <w:fldChar w:fldCharType="separate"/>
        </w:r>
        <w:r>
          <w:t>563</w:t>
        </w:r>
        <w:r>
          <w:fldChar w:fldCharType="end"/>
        </w:r>
      </w:hyperlink>
    </w:p>
    <w:p w14:paraId="29BD9D17" w14:textId="61E5B82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5" w:history="1">
        <w:r w:rsidRPr="00533B68">
          <w:t>3069</w:t>
        </w:r>
        <w:r>
          <w:rPr>
            <w:rFonts w:asciiTheme="minorHAnsi" w:eastAsiaTheme="minorEastAsia" w:hAnsiTheme="minorHAnsi" w:cstheme="minorBidi"/>
            <w:kern w:val="2"/>
            <w:sz w:val="24"/>
            <w:szCs w:val="24"/>
            <w:lang w:eastAsia="en-AU"/>
            <w14:ligatures w14:val="standardContextual"/>
          </w:rPr>
          <w:tab/>
        </w:r>
        <w:r w:rsidRPr="00533B68">
          <w:t>Caveat—setting aside</w:t>
        </w:r>
        <w:r>
          <w:tab/>
        </w:r>
        <w:r>
          <w:fldChar w:fldCharType="begin"/>
        </w:r>
        <w:r>
          <w:instrText xml:space="preserve"> PAGEREF _Toc185514585 \h </w:instrText>
        </w:r>
        <w:r>
          <w:fldChar w:fldCharType="separate"/>
        </w:r>
        <w:r>
          <w:t>563</w:t>
        </w:r>
        <w:r>
          <w:fldChar w:fldCharType="end"/>
        </w:r>
      </w:hyperlink>
    </w:p>
    <w:p w14:paraId="6A40423C" w14:textId="44D638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6" w:history="1">
        <w:r w:rsidRPr="00533B68">
          <w:t>3070</w:t>
        </w:r>
        <w:r>
          <w:rPr>
            <w:rFonts w:asciiTheme="minorHAnsi" w:eastAsiaTheme="minorEastAsia" w:hAnsiTheme="minorHAnsi" w:cstheme="minorBidi"/>
            <w:kern w:val="2"/>
            <w:sz w:val="24"/>
            <w:szCs w:val="24"/>
            <w:lang w:eastAsia="en-AU"/>
            <w14:ligatures w14:val="standardContextual"/>
          </w:rPr>
          <w:tab/>
        </w:r>
        <w:r w:rsidRPr="00533B68">
          <w:t>Caveat—withdrawal if no pending proceeding for grant of representation etc</w:t>
        </w:r>
        <w:r>
          <w:tab/>
        </w:r>
        <w:r>
          <w:fldChar w:fldCharType="begin"/>
        </w:r>
        <w:r>
          <w:instrText xml:space="preserve"> PAGEREF _Toc185514586 \h </w:instrText>
        </w:r>
        <w:r>
          <w:fldChar w:fldCharType="separate"/>
        </w:r>
        <w:r>
          <w:t>565</w:t>
        </w:r>
        <w:r>
          <w:fldChar w:fldCharType="end"/>
        </w:r>
      </w:hyperlink>
    </w:p>
    <w:p w14:paraId="3E39F18E" w14:textId="69530C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7" w:history="1">
        <w:r w:rsidRPr="00533B68">
          <w:t>3071</w:t>
        </w:r>
        <w:r>
          <w:rPr>
            <w:rFonts w:asciiTheme="minorHAnsi" w:eastAsiaTheme="minorEastAsia" w:hAnsiTheme="minorHAnsi" w:cstheme="minorBidi"/>
            <w:kern w:val="2"/>
            <w:sz w:val="24"/>
            <w:szCs w:val="24"/>
            <w:lang w:eastAsia="en-AU"/>
            <w14:ligatures w14:val="standardContextual"/>
          </w:rPr>
          <w:tab/>
        </w:r>
        <w:r w:rsidRPr="00533B68">
          <w:t>Caveat—leave to withdraw</w:t>
        </w:r>
        <w:r>
          <w:tab/>
        </w:r>
        <w:r>
          <w:fldChar w:fldCharType="begin"/>
        </w:r>
        <w:r>
          <w:instrText xml:space="preserve"> PAGEREF _Toc185514587 \h </w:instrText>
        </w:r>
        <w:r>
          <w:fldChar w:fldCharType="separate"/>
        </w:r>
        <w:r>
          <w:t>565</w:t>
        </w:r>
        <w:r>
          <w:fldChar w:fldCharType="end"/>
        </w:r>
      </w:hyperlink>
    </w:p>
    <w:p w14:paraId="4FF4B4CB" w14:textId="320CD4B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88" w:history="1">
        <w:r w:rsidRPr="00533B68">
          <w:t>3072</w:t>
        </w:r>
        <w:r>
          <w:rPr>
            <w:rFonts w:asciiTheme="minorHAnsi" w:eastAsiaTheme="minorEastAsia" w:hAnsiTheme="minorHAnsi" w:cstheme="minorBidi"/>
            <w:kern w:val="2"/>
            <w:sz w:val="24"/>
            <w:szCs w:val="24"/>
            <w:lang w:eastAsia="en-AU"/>
            <w14:ligatures w14:val="standardContextual"/>
          </w:rPr>
          <w:tab/>
        </w:r>
        <w:r w:rsidRPr="00533B68">
          <w:t>Caveat—effect if filed on day of grant</w:t>
        </w:r>
        <w:r>
          <w:tab/>
        </w:r>
        <w:r>
          <w:fldChar w:fldCharType="begin"/>
        </w:r>
        <w:r>
          <w:instrText xml:space="preserve"> PAGEREF _Toc185514588 \h </w:instrText>
        </w:r>
        <w:r>
          <w:fldChar w:fldCharType="separate"/>
        </w:r>
        <w:r>
          <w:t>566</w:t>
        </w:r>
        <w:r>
          <w:fldChar w:fldCharType="end"/>
        </w:r>
      </w:hyperlink>
    </w:p>
    <w:p w14:paraId="79C8B246" w14:textId="55375D3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89" w:history="1">
        <w:r w:rsidR="00AC5392" w:rsidRPr="00533B68">
          <w:t>Division 3.1.8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Revocation of grant</w:t>
        </w:r>
        <w:r w:rsidR="00AC5392" w:rsidRPr="00AC5392">
          <w:rPr>
            <w:vanish/>
          </w:rPr>
          <w:tab/>
        </w:r>
        <w:r w:rsidR="00AC5392" w:rsidRPr="00AC5392">
          <w:rPr>
            <w:vanish/>
          </w:rPr>
          <w:fldChar w:fldCharType="begin"/>
        </w:r>
        <w:r w:rsidR="00AC5392" w:rsidRPr="00AC5392">
          <w:rPr>
            <w:vanish/>
          </w:rPr>
          <w:instrText xml:space="preserve"> PAGEREF _Toc185514589 \h </w:instrText>
        </w:r>
        <w:r w:rsidR="00AC5392" w:rsidRPr="00AC5392">
          <w:rPr>
            <w:vanish/>
          </w:rPr>
        </w:r>
        <w:r w:rsidR="00AC5392" w:rsidRPr="00AC5392">
          <w:rPr>
            <w:vanish/>
          </w:rPr>
          <w:fldChar w:fldCharType="separate"/>
        </w:r>
        <w:r w:rsidR="00AC5392" w:rsidRPr="00AC5392">
          <w:rPr>
            <w:vanish/>
          </w:rPr>
          <w:t>566</w:t>
        </w:r>
        <w:r w:rsidR="00AC5392" w:rsidRPr="00AC5392">
          <w:rPr>
            <w:vanish/>
          </w:rPr>
          <w:fldChar w:fldCharType="end"/>
        </w:r>
      </w:hyperlink>
    </w:p>
    <w:p w14:paraId="236C222A" w14:textId="314A823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0" w:history="1">
        <w:r w:rsidRPr="00533B68">
          <w:t>3080</w:t>
        </w:r>
        <w:r>
          <w:rPr>
            <w:rFonts w:asciiTheme="minorHAnsi" w:eastAsiaTheme="minorEastAsia" w:hAnsiTheme="minorHAnsi" w:cstheme="minorBidi"/>
            <w:kern w:val="2"/>
            <w:sz w:val="24"/>
            <w:szCs w:val="24"/>
            <w:lang w:eastAsia="en-AU"/>
            <w14:ligatures w14:val="standardContextual"/>
          </w:rPr>
          <w:tab/>
        </w:r>
        <w:r w:rsidRPr="00533B68">
          <w:t>Revocation of grant—urgent order before start of proceeding</w:t>
        </w:r>
        <w:r>
          <w:tab/>
        </w:r>
        <w:r>
          <w:fldChar w:fldCharType="begin"/>
        </w:r>
        <w:r>
          <w:instrText xml:space="preserve"> PAGEREF _Toc185514590 \h </w:instrText>
        </w:r>
        <w:r>
          <w:fldChar w:fldCharType="separate"/>
        </w:r>
        <w:r>
          <w:t>566</w:t>
        </w:r>
        <w:r>
          <w:fldChar w:fldCharType="end"/>
        </w:r>
      </w:hyperlink>
    </w:p>
    <w:p w14:paraId="06676D1E" w14:textId="1273831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1" w:history="1">
        <w:r w:rsidRPr="00533B68">
          <w:t>3081</w:t>
        </w:r>
        <w:r>
          <w:rPr>
            <w:rFonts w:asciiTheme="minorHAnsi" w:eastAsiaTheme="minorEastAsia" w:hAnsiTheme="minorHAnsi" w:cstheme="minorBidi"/>
            <w:kern w:val="2"/>
            <w:sz w:val="24"/>
            <w:szCs w:val="24"/>
            <w:lang w:eastAsia="en-AU"/>
            <w14:ligatures w14:val="standardContextual"/>
          </w:rPr>
          <w:tab/>
        </w:r>
        <w:r w:rsidRPr="00533B68">
          <w:t>Revocation of grant—application</w:t>
        </w:r>
        <w:r>
          <w:tab/>
        </w:r>
        <w:r>
          <w:fldChar w:fldCharType="begin"/>
        </w:r>
        <w:r>
          <w:instrText xml:space="preserve"> PAGEREF _Toc185514591 \h </w:instrText>
        </w:r>
        <w:r>
          <w:fldChar w:fldCharType="separate"/>
        </w:r>
        <w:r>
          <w:t>567</w:t>
        </w:r>
        <w:r>
          <w:fldChar w:fldCharType="end"/>
        </w:r>
      </w:hyperlink>
    </w:p>
    <w:p w14:paraId="48D1D2CB" w14:textId="747868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2" w:history="1">
        <w:r w:rsidRPr="00533B68">
          <w:t>3082</w:t>
        </w:r>
        <w:r>
          <w:rPr>
            <w:rFonts w:asciiTheme="minorHAnsi" w:eastAsiaTheme="minorEastAsia" w:hAnsiTheme="minorHAnsi" w:cstheme="minorBidi"/>
            <w:kern w:val="2"/>
            <w:sz w:val="24"/>
            <w:szCs w:val="24"/>
            <w:lang w:eastAsia="en-AU"/>
            <w14:ligatures w14:val="standardContextual"/>
          </w:rPr>
          <w:tab/>
        </w:r>
        <w:r w:rsidRPr="00533B68">
          <w:t>Revocation of grant—orders</w:t>
        </w:r>
        <w:r>
          <w:tab/>
        </w:r>
        <w:r>
          <w:fldChar w:fldCharType="begin"/>
        </w:r>
        <w:r>
          <w:instrText xml:space="preserve"> PAGEREF _Toc185514592 \h </w:instrText>
        </w:r>
        <w:r>
          <w:fldChar w:fldCharType="separate"/>
        </w:r>
        <w:r>
          <w:t>567</w:t>
        </w:r>
        <w:r>
          <w:fldChar w:fldCharType="end"/>
        </w:r>
      </w:hyperlink>
    </w:p>
    <w:p w14:paraId="349086BF" w14:textId="4A3DFB51"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593" w:history="1">
        <w:r w:rsidRPr="00533B68">
          <w:t>3083</w:t>
        </w:r>
        <w:r>
          <w:rPr>
            <w:rFonts w:asciiTheme="minorHAnsi" w:eastAsiaTheme="minorEastAsia" w:hAnsiTheme="minorHAnsi" w:cstheme="minorBidi"/>
            <w:kern w:val="2"/>
            <w:sz w:val="24"/>
            <w:szCs w:val="24"/>
            <w:lang w:eastAsia="en-AU"/>
            <w14:ligatures w14:val="standardContextual"/>
          </w:rPr>
          <w:tab/>
        </w:r>
        <w:r w:rsidRPr="00533B68">
          <w:t>Revocation of grant—return of original grant</w:t>
        </w:r>
        <w:r>
          <w:tab/>
        </w:r>
        <w:r>
          <w:fldChar w:fldCharType="begin"/>
        </w:r>
        <w:r>
          <w:instrText xml:space="preserve"> PAGEREF _Toc185514593 \h </w:instrText>
        </w:r>
        <w:r>
          <w:fldChar w:fldCharType="separate"/>
        </w:r>
        <w:r>
          <w:t>568</w:t>
        </w:r>
        <w:r>
          <w:fldChar w:fldCharType="end"/>
        </w:r>
      </w:hyperlink>
    </w:p>
    <w:p w14:paraId="278E0E6D" w14:textId="315BDBF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594" w:history="1">
        <w:r w:rsidR="00AC5392" w:rsidRPr="00533B68">
          <w:t>Division 3.1.9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Other probate proceedings</w:t>
        </w:r>
        <w:r w:rsidR="00AC5392" w:rsidRPr="00AC5392">
          <w:rPr>
            <w:vanish/>
          </w:rPr>
          <w:tab/>
        </w:r>
        <w:r w:rsidR="00AC5392" w:rsidRPr="00AC5392">
          <w:rPr>
            <w:vanish/>
          </w:rPr>
          <w:fldChar w:fldCharType="begin"/>
        </w:r>
        <w:r w:rsidR="00AC5392" w:rsidRPr="00AC5392">
          <w:rPr>
            <w:vanish/>
          </w:rPr>
          <w:instrText xml:space="preserve"> PAGEREF _Toc185514594 \h </w:instrText>
        </w:r>
        <w:r w:rsidR="00AC5392" w:rsidRPr="00AC5392">
          <w:rPr>
            <w:vanish/>
          </w:rPr>
        </w:r>
        <w:r w:rsidR="00AC5392" w:rsidRPr="00AC5392">
          <w:rPr>
            <w:vanish/>
          </w:rPr>
          <w:fldChar w:fldCharType="separate"/>
        </w:r>
        <w:r w:rsidR="00AC5392" w:rsidRPr="00AC5392">
          <w:rPr>
            <w:vanish/>
          </w:rPr>
          <w:t>568</w:t>
        </w:r>
        <w:r w:rsidR="00AC5392" w:rsidRPr="00AC5392">
          <w:rPr>
            <w:vanish/>
          </w:rPr>
          <w:fldChar w:fldCharType="end"/>
        </w:r>
      </w:hyperlink>
    </w:p>
    <w:p w14:paraId="0FCC388D" w14:textId="46DF3ED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5" w:history="1">
        <w:r w:rsidRPr="00533B68">
          <w:t>3090</w:t>
        </w:r>
        <w:r>
          <w:rPr>
            <w:rFonts w:asciiTheme="minorHAnsi" w:eastAsiaTheme="minorEastAsia" w:hAnsiTheme="minorHAnsi" w:cstheme="minorBidi"/>
            <w:kern w:val="2"/>
            <w:sz w:val="24"/>
            <w:szCs w:val="24"/>
            <w:lang w:eastAsia="en-AU"/>
            <w14:ligatures w14:val="standardContextual"/>
          </w:rPr>
          <w:tab/>
        </w:r>
        <w:r w:rsidRPr="00533B68">
          <w:t>Definitions—div 3.1.9</w:t>
        </w:r>
        <w:r>
          <w:tab/>
        </w:r>
        <w:r>
          <w:fldChar w:fldCharType="begin"/>
        </w:r>
        <w:r>
          <w:instrText xml:space="preserve"> PAGEREF _Toc185514595 \h </w:instrText>
        </w:r>
        <w:r>
          <w:fldChar w:fldCharType="separate"/>
        </w:r>
        <w:r>
          <w:t>568</w:t>
        </w:r>
        <w:r>
          <w:fldChar w:fldCharType="end"/>
        </w:r>
      </w:hyperlink>
    </w:p>
    <w:p w14:paraId="28A2419B" w14:textId="7D7ADE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6" w:history="1">
        <w:r w:rsidRPr="00533B68">
          <w:t>3091</w:t>
        </w:r>
        <w:r>
          <w:rPr>
            <w:rFonts w:asciiTheme="minorHAnsi" w:eastAsiaTheme="minorEastAsia" w:hAnsiTheme="minorHAnsi" w:cstheme="minorBidi"/>
            <w:kern w:val="2"/>
            <w:sz w:val="24"/>
            <w:szCs w:val="24"/>
            <w:lang w:eastAsia="en-AU"/>
            <w14:ligatures w14:val="standardContextual"/>
          </w:rPr>
          <w:tab/>
        </w:r>
        <w:r w:rsidRPr="00533B68">
          <w:t>Application—div 3.1.9</w:t>
        </w:r>
        <w:r>
          <w:tab/>
        </w:r>
        <w:r>
          <w:fldChar w:fldCharType="begin"/>
        </w:r>
        <w:r>
          <w:instrText xml:space="preserve"> PAGEREF _Toc185514596 \h </w:instrText>
        </w:r>
        <w:r>
          <w:fldChar w:fldCharType="separate"/>
        </w:r>
        <w:r>
          <w:t>568</w:t>
        </w:r>
        <w:r>
          <w:fldChar w:fldCharType="end"/>
        </w:r>
      </w:hyperlink>
    </w:p>
    <w:p w14:paraId="73BB9C9D" w14:textId="6DAF17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7" w:history="1">
        <w:r w:rsidRPr="00533B68">
          <w:t>3092</w:t>
        </w:r>
        <w:r>
          <w:rPr>
            <w:rFonts w:asciiTheme="minorHAnsi" w:eastAsiaTheme="minorEastAsia" w:hAnsiTheme="minorHAnsi" w:cstheme="minorBidi"/>
            <w:kern w:val="2"/>
            <w:sz w:val="24"/>
            <w:szCs w:val="24"/>
            <w:lang w:eastAsia="en-AU"/>
            <w14:ligatures w14:val="standardContextual"/>
          </w:rPr>
          <w:tab/>
        </w:r>
        <w:r w:rsidRPr="00533B68">
          <w:t>Division 3.1.9 proceeding—starting</w:t>
        </w:r>
        <w:r>
          <w:tab/>
        </w:r>
        <w:r>
          <w:fldChar w:fldCharType="begin"/>
        </w:r>
        <w:r>
          <w:instrText xml:space="preserve"> PAGEREF _Toc185514597 \h </w:instrText>
        </w:r>
        <w:r>
          <w:fldChar w:fldCharType="separate"/>
        </w:r>
        <w:r>
          <w:t>570</w:t>
        </w:r>
        <w:r>
          <w:fldChar w:fldCharType="end"/>
        </w:r>
      </w:hyperlink>
    </w:p>
    <w:p w14:paraId="7F7433E9" w14:textId="7117EB4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8" w:history="1">
        <w:r w:rsidRPr="00533B68">
          <w:t>3093</w:t>
        </w:r>
        <w:r>
          <w:rPr>
            <w:rFonts w:asciiTheme="minorHAnsi" w:eastAsiaTheme="minorEastAsia" w:hAnsiTheme="minorHAnsi" w:cstheme="minorBidi"/>
            <w:kern w:val="2"/>
            <w:sz w:val="24"/>
            <w:szCs w:val="24"/>
            <w:lang w:eastAsia="en-AU"/>
            <w14:ligatures w14:val="standardContextual"/>
          </w:rPr>
          <w:tab/>
        </w:r>
        <w:r w:rsidRPr="00533B68">
          <w:t>Division 3.1.9 proceeding—application for revocation</w:t>
        </w:r>
        <w:r>
          <w:tab/>
        </w:r>
        <w:r>
          <w:fldChar w:fldCharType="begin"/>
        </w:r>
        <w:r>
          <w:instrText xml:space="preserve"> PAGEREF _Toc185514598 \h </w:instrText>
        </w:r>
        <w:r>
          <w:fldChar w:fldCharType="separate"/>
        </w:r>
        <w:r>
          <w:t>570</w:t>
        </w:r>
        <w:r>
          <w:fldChar w:fldCharType="end"/>
        </w:r>
      </w:hyperlink>
    </w:p>
    <w:p w14:paraId="27F85BAB" w14:textId="3DAA51A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599" w:history="1">
        <w:r w:rsidRPr="00533B68">
          <w:t>3094</w:t>
        </w:r>
        <w:r>
          <w:rPr>
            <w:rFonts w:asciiTheme="minorHAnsi" w:eastAsiaTheme="minorEastAsia" w:hAnsiTheme="minorHAnsi" w:cstheme="minorBidi"/>
            <w:kern w:val="2"/>
            <w:sz w:val="24"/>
            <w:szCs w:val="24"/>
            <w:lang w:eastAsia="en-AU"/>
            <w14:ligatures w14:val="standardContextual"/>
          </w:rPr>
          <w:tab/>
        </w:r>
        <w:r w:rsidRPr="00533B68">
          <w:t>Division 3.1.9 proceeding—affidavits</w:t>
        </w:r>
        <w:r>
          <w:tab/>
        </w:r>
        <w:r>
          <w:fldChar w:fldCharType="begin"/>
        </w:r>
        <w:r>
          <w:instrText xml:space="preserve"> PAGEREF _Toc185514599 \h </w:instrText>
        </w:r>
        <w:r>
          <w:fldChar w:fldCharType="separate"/>
        </w:r>
        <w:r>
          <w:t>570</w:t>
        </w:r>
        <w:r>
          <w:fldChar w:fldCharType="end"/>
        </w:r>
      </w:hyperlink>
    </w:p>
    <w:p w14:paraId="7DE189DB" w14:textId="4A0BFA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0" w:history="1">
        <w:r w:rsidRPr="00533B68">
          <w:t>3095</w:t>
        </w:r>
        <w:r>
          <w:rPr>
            <w:rFonts w:asciiTheme="minorHAnsi" w:eastAsiaTheme="minorEastAsia" w:hAnsiTheme="minorHAnsi" w:cstheme="minorBidi"/>
            <w:kern w:val="2"/>
            <w:sz w:val="24"/>
            <w:szCs w:val="24"/>
            <w:lang w:eastAsia="en-AU"/>
            <w14:ligatures w14:val="standardContextual"/>
          </w:rPr>
          <w:tab/>
        </w:r>
        <w:r w:rsidRPr="00533B68">
          <w:t>Division 3.1.9 proceeding—affidavits of scripts</w:t>
        </w:r>
        <w:r>
          <w:tab/>
        </w:r>
        <w:r>
          <w:fldChar w:fldCharType="begin"/>
        </w:r>
        <w:r>
          <w:instrText xml:space="preserve"> PAGEREF _Toc185514600 \h </w:instrText>
        </w:r>
        <w:r>
          <w:fldChar w:fldCharType="separate"/>
        </w:r>
        <w:r>
          <w:t>571</w:t>
        </w:r>
        <w:r>
          <w:fldChar w:fldCharType="end"/>
        </w:r>
      </w:hyperlink>
    </w:p>
    <w:p w14:paraId="5072957D" w14:textId="48995B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1" w:history="1">
        <w:r w:rsidRPr="00533B68">
          <w:t>3096</w:t>
        </w:r>
        <w:r>
          <w:rPr>
            <w:rFonts w:asciiTheme="minorHAnsi" w:eastAsiaTheme="minorEastAsia" w:hAnsiTheme="minorHAnsi" w:cstheme="minorBidi"/>
            <w:kern w:val="2"/>
            <w:sz w:val="24"/>
            <w:szCs w:val="24"/>
            <w:lang w:eastAsia="en-AU"/>
            <w14:ligatures w14:val="standardContextual"/>
          </w:rPr>
          <w:tab/>
        </w:r>
        <w:r w:rsidRPr="00533B68">
          <w:t>Division 3.1.9 proceeding—directions for notice to people with beneficial interests</w:t>
        </w:r>
        <w:r>
          <w:tab/>
        </w:r>
        <w:r>
          <w:fldChar w:fldCharType="begin"/>
        </w:r>
        <w:r>
          <w:instrText xml:space="preserve"> PAGEREF _Toc185514601 \h </w:instrText>
        </w:r>
        <w:r>
          <w:fldChar w:fldCharType="separate"/>
        </w:r>
        <w:r>
          <w:t>572</w:t>
        </w:r>
        <w:r>
          <w:fldChar w:fldCharType="end"/>
        </w:r>
      </w:hyperlink>
    </w:p>
    <w:p w14:paraId="56DDAADC" w14:textId="3E4AE16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2" w:history="1">
        <w:r w:rsidRPr="00533B68">
          <w:t>3097</w:t>
        </w:r>
        <w:r>
          <w:rPr>
            <w:rFonts w:asciiTheme="minorHAnsi" w:eastAsiaTheme="minorEastAsia" w:hAnsiTheme="minorHAnsi" w:cstheme="minorBidi"/>
            <w:kern w:val="2"/>
            <w:sz w:val="24"/>
            <w:szCs w:val="24"/>
            <w:lang w:eastAsia="en-AU"/>
            <w14:ligatures w14:val="standardContextual"/>
          </w:rPr>
          <w:tab/>
        </w:r>
        <w:r w:rsidRPr="00533B68">
          <w:t>Division 3.1.9 proceeding—notice of intention to intervene</w:t>
        </w:r>
        <w:r>
          <w:tab/>
        </w:r>
        <w:r>
          <w:fldChar w:fldCharType="begin"/>
        </w:r>
        <w:r>
          <w:instrText xml:space="preserve"> PAGEREF _Toc185514602 \h </w:instrText>
        </w:r>
        <w:r>
          <w:fldChar w:fldCharType="separate"/>
        </w:r>
        <w:r>
          <w:t>572</w:t>
        </w:r>
        <w:r>
          <w:fldChar w:fldCharType="end"/>
        </w:r>
      </w:hyperlink>
    </w:p>
    <w:p w14:paraId="10F09A95" w14:textId="59B5038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3" w:history="1">
        <w:r w:rsidRPr="00533B68">
          <w:t>3098</w:t>
        </w:r>
        <w:r>
          <w:rPr>
            <w:rFonts w:asciiTheme="minorHAnsi" w:eastAsiaTheme="minorEastAsia" w:hAnsiTheme="minorHAnsi" w:cstheme="minorBidi"/>
            <w:kern w:val="2"/>
            <w:sz w:val="24"/>
            <w:szCs w:val="24"/>
            <w:lang w:eastAsia="en-AU"/>
            <w14:ligatures w14:val="standardContextual"/>
          </w:rPr>
          <w:tab/>
        </w:r>
        <w:r w:rsidRPr="00533B68">
          <w:t>Division 3.1.9 proceeding—filing of grant of representation</w:t>
        </w:r>
        <w:r>
          <w:tab/>
        </w:r>
        <w:r>
          <w:fldChar w:fldCharType="begin"/>
        </w:r>
        <w:r>
          <w:instrText xml:space="preserve"> PAGEREF _Toc185514603 \h </w:instrText>
        </w:r>
        <w:r>
          <w:fldChar w:fldCharType="separate"/>
        </w:r>
        <w:r>
          <w:t>573</w:t>
        </w:r>
        <w:r>
          <w:fldChar w:fldCharType="end"/>
        </w:r>
      </w:hyperlink>
    </w:p>
    <w:p w14:paraId="796705BD" w14:textId="10C8673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04" w:history="1">
        <w:r w:rsidR="00AC5392" w:rsidRPr="00533B68">
          <w:t>Division 3.1.10</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Administration and probate—other provisions</w:t>
        </w:r>
        <w:r w:rsidR="00AC5392" w:rsidRPr="00AC5392">
          <w:rPr>
            <w:vanish/>
          </w:rPr>
          <w:tab/>
        </w:r>
        <w:r w:rsidR="00AC5392" w:rsidRPr="00AC5392">
          <w:rPr>
            <w:vanish/>
          </w:rPr>
          <w:fldChar w:fldCharType="begin"/>
        </w:r>
        <w:r w:rsidR="00AC5392" w:rsidRPr="00AC5392">
          <w:rPr>
            <w:vanish/>
          </w:rPr>
          <w:instrText xml:space="preserve"> PAGEREF _Toc185514604 \h </w:instrText>
        </w:r>
        <w:r w:rsidR="00AC5392" w:rsidRPr="00AC5392">
          <w:rPr>
            <w:vanish/>
          </w:rPr>
        </w:r>
        <w:r w:rsidR="00AC5392" w:rsidRPr="00AC5392">
          <w:rPr>
            <w:vanish/>
          </w:rPr>
          <w:fldChar w:fldCharType="separate"/>
        </w:r>
        <w:r w:rsidR="00AC5392" w:rsidRPr="00AC5392">
          <w:rPr>
            <w:vanish/>
          </w:rPr>
          <w:t>573</w:t>
        </w:r>
        <w:r w:rsidR="00AC5392" w:rsidRPr="00AC5392">
          <w:rPr>
            <w:vanish/>
          </w:rPr>
          <w:fldChar w:fldCharType="end"/>
        </w:r>
      </w:hyperlink>
    </w:p>
    <w:p w14:paraId="00542C09" w14:textId="105542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5" w:history="1">
        <w:r w:rsidRPr="00533B68">
          <w:t>3110</w:t>
        </w:r>
        <w:r>
          <w:rPr>
            <w:rFonts w:asciiTheme="minorHAnsi" w:eastAsiaTheme="minorEastAsia" w:hAnsiTheme="minorHAnsi" w:cstheme="minorBidi"/>
            <w:kern w:val="2"/>
            <w:sz w:val="24"/>
            <w:szCs w:val="24"/>
            <w:lang w:eastAsia="en-AU"/>
            <w14:ligatures w14:val="standardContextual"/>
          </w:rPr>
          <w:tab/>
        </w:r>
        <w:r w:rsidRPr="00533B68">
          <w:t>Administration and probate—registrar may make inquiries</w:t>
        </w:r>
        <w:r>
          <w:tab/>
        </w:r>
        <w:r>
          <w:fldChar w:fldCharType="begin"/>
        </w:r>
        <w:r>
          <w:instrText xml:space="preserve"> PAGEREF _Toc185514605 \h </w:instrText>
        </w:r>
        <w:r>
          <w:fldChar w:fldCharType="separate"/>
        </w:r>
        <w:r>
          <w:t>573</w:t>
        </w:r>
        <w:r>
          <w:fldChar w:fldCharType="end"/>
        </w:r>
      </w:hyperlink>
    </w:p>
    <w:p w14:paraId="3829F8DC" w14:textId="31D9E8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6" w:history="1">
        <w:r w:rsidRPr="00533B68">
          <w:t>3111</w:t>
        </w:r>
        <w:r>
          <w:rPr>
            <w:rFonts w:asciiTheme="minorHAnsi" w:eastAsiaTheme="minorEastAsia" w:hAnsiTheme="minorHAnsi" w:cstheme="minorBidi"/>
            <w:kern w:val="2"/>
            <w:sz w:val="24"/>
            <w:szCs w:val="24"/>
            <w:lang w:eastAsia="en-AU"/>
            <w14:ligatures w14:val="standardContextual"/>
          </w:rPr>
          <w:tab/>
        </w:r>
        <w:r w:rsidRPr="00533B68">
          <w:t>Administration and probate—subpoenas</w:t>
        </w:r>
        <w:r>
          <w:tab/>
        </w:r>
        <w:r>
          <w:fldChar w:fldCharType="begin"/>
        </w:r>
        <w:r>
          <w:instrText xml:space="preserve"> PAGEREF _Toc185514606 \h </w:instrText>
        </w:r>
        <w:r>
          <w:fldChar w:fldCharType="separate"/>
        </w:r>
        <w:r>
          <w:t>573</w:t>
        </w:r>
        <w:r>
          <w:fldChar w:fldCharType="end"/>
        </w:r>
      </w:hyperlink>
    </w:p>
    <w:p w14:paraId="3D3CF47A" w14:textId="0FAF1E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7" w:history="1">
        <w:r w:rsidRPr="00533B68">
          <w:t>3112</w:t>
        </w:r>
        <w:r>
          <w:rPr>
            <w:rFonts w:asciiTheme="minorHAnsi" w:eastAsiaTheme="minorEastAsia" w:hAnsiTheme="minorHAnsi" w:cstheme="minorBidi"/>
            <w:kern w:val="2"/>
            <w:sz w:val="24"/>
            <w:szCs w:val="24"/>
            <w:lang w:eastAsia="en-AU"/>
            <w14:ligatures w14:val="standardContextual"/>
          </w:rPr>
          <w:tab/>
        </w:r>
        <w:r w:rsidRPr="00533B68">
          <w:t>Administration and probate—evidence about domicile</w:t>
        </w:r>
        <w:r>
          <w:tab/>
        </w:r>
        <w:r>
          <w:fldChar w:fldCharType="begin"/>
        </w:r>
        <w:r>
          <w:instrText xml:space="preserve"> PAGEREF _Toc185514607 \h </w:instrText>
        </w:r>
        <w:r>
          <w:fldChar w:fldCharType="separate"/>
        </w:r>
        <w:r>
          <w:t>574</w:t>
        </w:r>
        <w:r>
          <w:fldChar w:fldCharType="end"/>
        </w:r>
      </w:hyperlink>
    </w:p>
    <w:p w14:paraId="667BCB67" w14:textId="4C3B037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8" w:history="1">
        <w:r w:rsidRPr="00533B68">
          <w:t>3113</w:t>
        </w:r>
        <w:r>
          <w:rPr>
            <w:rFonts w:asciiTheme="minorHAnsi" w:eastAsiaTheme="minorEastAsia" w:hAnsiTheme="minorHAnsi" w:cstheme="minorBidi"/>
            <w:kern w:val="2"/>
            <w:sz w:val="24"/>
            <w:szCs w:val="24"/>
            <w:lang w:eastAsia="en-AU"/>
            <w14:ligatures w14:val="standardContextual"/>
          </w:rPr>
          <w:tab/>
        </w:r>
        <w:r w:rsidRPr="00533B68">
          <w:t>Administration and probate—proof in solemn form</w:t>
        </w:r>
        <w:r>
          <w:tab/>
        </w:r>
        <w:r>
          <w:fldChar w:fldCharType="begin"/>
        </w:r>
        <w:r>
          <w:instrText xml:space="preserve"> PAGEREF _Toc185514608 \h </w:instrText>
        </w:r>
        <w:r>
          <w:fldChar w:fldCharType="separate"/>
        </w:r>
        <w:r>
          <w:t>574</w:t>
        </w:r>
        <w:r>
          <w:fldChar w:fldCharType="end"/>
        </w:r>
      </w:hyperlink>
    </w:p>
    <w:p w14:paraId="36371B84" w14:textId="0EFFC42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09" w:history="1">
        <w:r w:rsidRPr="00533B68">
          <w:t>3114</w:t>
        </w:r>
        <w:r>
          <w:rPr>
            <w:rFonts w:asciiTheme="minorHAnsi" w:eastAsiaTheme="minorEastAsia" w:hAnsiTheme="minorHAnsi" w:cstheme="minorBidi"/>
            <w:kern w:val="2"/>
            <w:sz w:val="24"/>
            <w:szCs w:val="24"/>
            <w:lang w:eastAsia="en-AU"/>
            <w14:ligatures w14:val="standardContextual"/>
          </w:rPr>
          <w:tab/>
        </w:r>
        <w:r w:rsidRPr="00533B68">
          <w:t>Failure of executor to prove will—Administration and Probate Act, s 25</w:t>
        </w:r>
        <w:r>
          <w:tab/>
        </w:r>
        <w:r>
          <w:fldChar w:fldCharType="begin"/>
        </w:r>
        <w:r>
          <w:instrText xml:space="preserve"> PAGEREF _Toc185514609 \h </w:instrText>
        </w:r>
        <w:r>
          <w:fldChar w:fldCharType="separate"/>
        </w:r>
        <w:r>
          <w:t>575</w:t>
        </w:r>
        <w:r>
          <w:fldChar w:fldCharType="end"/>
        </w:r>
      </w:hyperlink>
    </w:p>
    <w:p w14:paraId="7B275C69" w14:textId="05156F5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0" w:history="1">
        <w:r w:rsidRPr="00533B68">
          <w:t>3115</w:t>
        </w:r>
        <w:r>
          <w:rPr>
            <w:rFonts w:asciiTheme="minorHAnsi" w:eastAsiaTheme="minorEastAsia" w:hAnsiTheme="minorHAnsi" w:cstheme="minorBidi"/>
            <w:kern w:val="2"/>
            <w:sz w:val="24"/>
            <w:szCs w:val="24"/>
            <w:lang w:eastAsia="en-AU"/>
            <w14:ligatures w14:val="standardContextual"/>
          </w:rPr>
          <w:tab/>
        </w:r>
        <w:r w:rsidRPr="00533B68">
          <w:t>Failure by executor, administrator or trustee to comply with beneficiary’s request etc</w:t>
        </w:r>
        <w:r>
          <w:tab/>
        </w:r>
        <w:r>
          <w:fldChar w:fldCharType="begin"/>
        </w:r>
        <w:r>
          <w:instrText xml:space="preserve"> PAGEREF _Toc185514610 \h </w:instrText>
        </w:r>
        <w:r>
          <w:fldChar w:fldCharType="separate"/>
        </w:r>
        <w:r>
          <w:t>576</w:t>
        </w:r>
        <w:r>
          <w:fldChar w:fldCharType="end"/>
        </w:r>
      </w:hyperlink>
    </w:p>
    <w:p w14:paraId="30111099" w14:textId="225D9F5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1" w:history="1">
        <w:r w:rsidRPr="00533B68">
          <w:t>3116</w:t>
        </w:r>
        <w:r>
          <w:rPr>
            <w:rFonts w:asciiTheme="minorHAnsi" w:eastAsiaTheme="minorEastAsia" w:hAnsiTheme="minorHAnsi" w:cstheme="minorBidi"/>
            <w:kern w:val="2"/>
            <w:sz w:val="24"/>
            <w:szCs w:val="24"/>
            <w:lang w:eastAsia="en-AU"/>
            <w14:ligatures w14:val="standardContextual"/>
          </w:rPr>
          <w:tab/>
        </w:r>
        <w:r w:rsidRPr="00533B68">
          <w:t>Grant of administration—grant to child</w:t>
        </w:r>
        <w:r>
          <w:tab/>
        </w:r>
        <w:r>
          <w:fldChar w:fldCharType="begin"/>
        </w:r>
        <w:r>
          <w:instrText xml:space="preserve"> PAGEREF _Toc185514611 \h </w:instrText>
        </w:r>
        <w:r>
          <w:fldChar w:fldCharType="separate"/>
        </w:r>
        <w:r>
          <w:t>577</w:t>
        </w:r>
        <w:r>
          <w:fldChar w:fldCharType="end"/>
        </w:r>
      </w:hyperlink>
    </w:p>
    <w:p w14:paraId="19B67927" w14:textId="7CB6D00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2" w:history="1">
        <w:r w:rsidRPr="00533B68">
          <w:t>3117</w:t>
        </w:r>
        <w:r>
          <w:rPr>
            <w:rFonts w:asciiTheme="minorHAnsi" w:eastAsiaTheme="minorEastAsia" w:hAnsiTheme="minorHAnsi" w:cstheme="minorBidi"/>
            <w:kern w:val="2"/>
            <w:sz w:val="24"/>
            <w:szCs w:val="24"/>
            <w:lang w:eastAsia="en-AU"/>
            <w14:ligatures w14:val="standardContextual"/>
          </w:rPr>
          <w:tab/>
        </w:r>
        <w:r w:rsidRPr="00533B68">
          <w:t>Order about administration of real estate—Administration and Probate Act, s 51</w:t>
        </w:r>
        <w:r>
          <w:tab/>
        </w:r>
        <w:r>
          <w:fldChar w:fldCharType="begin"/>
        </w:r>
        <w:r>
          <w:instrText xml:space="preserve"> PAGEREF _Toc185514612 \h </w:instrText>
        </w:r>
        <w:r>
          <w:fldChar w:fldCharType="separate"/>
        </w:r>
        <w:r>
          <w:t>578</w:t>
        </w:r>
        <w:r>
          <w:fldChar w:fldCharType="end"/>
        </w:r>
      </w:hyperlink>
    </w:p>
    <w:p w14:paraId="08529028" w14:textId="0C578D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3" w:history="1">
        <w:r w:rsidRPr="00533B68">
          <w:t>3118</w:t>
        </w:r>
        <w:r>
          <w:rPr>
            <w:rFonts w:asciiTheme="minorHAnsi" w:eastAsiaTheme="minorEastAsia" w:hAnsiTheme="minorHAnsi" w:cstheme="minorBidi"/>
            <w:kern w:val="2"/>
            <w:sz w:val="24"/>
            <w:szCs w:val="24"/>
            <w:lang w:eastAsia="en-AU"/>
            <w14:ligatures w14:val="standardContextual"/>
          </w:rPr>
          <w:tab/>
        </w:r>
        <w:r w:rsidRPr="00533B68">
          <w:t>Assessment of costs—Administration and Probate Act, s 71</w:t>
        </w:r>
        <w:r>
          <w:tab/>
        </w:r>
        <w:r>
          <w:fldChar w:fldCharType="begin"/>
        </w:r>
        <w:r>
          <w:instrText xml:space="preserve"> PAGEREF _Toc185514613 \h </w:instrText>
        </w:r>
        <w:r>
          <w:fldChar w:fldCharType="separate"/>
        </w:r>
        <w:r>
          <w:t>578</w:t>
        </w:r>
        <w:r>
          <w:fldChar w:fldCharType="end"/>
        </w:r>
      </w:hyperlink>
    </w:p>
    <w:p w14:paraId="627110D7" w14:textId="15D4F7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4" w:history="1">
        <w:r w:rsidRPr="00533B68">
          <w:t>3119</w:t>
        </w:r>
        <w:r>
          <w:rPr>
            <w:rFonts w:asciiTheme="minorHAnsi" w:eastAsiaTheme="minorEastAsia" w:hAnsiTheme="minorHAnsi" w:cstheme="minorBidi"/>
            <w:kern w:val="2"/>
            <w:sz w:val="24"/>
            <w:szCs w:val="24"/>
            <w:lang w:eastAsia="en-AU"/>
            <w14:ligatures w14:val="standardContextual"/>
          </w:rPr>
          <w:tab/>
        </w:r>
        <w:r w:rsidRPr="00533B68">
          <w:t>Administration and probate book</w:t>
        </w:r>
        <w:r>
          <w:tab/>
        </w:r>
        <w:r>
          <w:fldChar w:fldCharType="begin"/>
        </w:r>
        <w:r>
          <w:instrText xml:space="preserve"> PAGEREF _Toc185514614 \h </w:instrText>
        </w:r>
        <w:r>
          <w:fldChar w:fldCharType="separate"/>
        </w:r>
        <w:r>
          <w:t>578</w:t>
        </w:r>
        <w:r>
          <w:fldChar w:fldCharType="end"/>
        </w:r>
      </w:hyperlink>
    </w:p>
    <w:p w14:paraId="269FFECB" w14:textId="26324C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5" w:history="1">
        <w:r w:rsidRPr="00533B68">
          <w:t>3120</w:t>
        </w:r>
        <w:r>
          <w:rPr>
            <w:rFonts w:asciiTheme="minorHAnsi" w:eastAsiaTheme="minorEastAsia" w:hAnsiTheme="minorHAnsi" w:cstheme="minorBidi"/>
            <w:kern w:val="2"/>
            <w:sz w:val="24"/>
            <w:szCs w:val="24"/>
            <w:lang w:eastAsia="en-AU"/>
            <w14:ligatures w14:val="standardContextual"/>
          </w:rPr>
          <w:tab/>
        </w:r>
        <w:r w:rsidRPr="00533B68">
          <w:t>Proved wills to be kept by court</w:t>
        </w:r>
        <w:r>
          <w:tab/>
        </w:r>
        <w:r>
          <w:fldChar w:fldCharType="begin"/>
        </w:r>
        <w:r>
          <w:instrText xml:space="preserve"> PAGEREF _Toc185514615 \h </w:instrText>
        </w:r>
        <w:r>
          <w:fldChar w:fldCharType="separate"/>
        </w:r>
        <w:r>
          <w:t>579</w:t>
        </w:r>
        <w:r>
          <w:fldChar w:fldCharType="end"/>
        </w:r>
      </w:hyperlink>
    </w:p>
    <w:p w14:paraId="62FE80CB" w14:textId="726E6631"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616" w:history="1">
        <w:r w:rsidR="00AC5392" w:rsidRPr="00533B68">
          <w:t>Part 3.2</w:t>
        </w:r>
        <w:r w:rsidR="00AC5392">
          <w:rPr>
            <w:rFonts w:asciiTheme="minorHAnsi" w:eastAsiaTheme="minorEastAsia" w:hAnsiTheme="minorHAnsi" w:cstheme="minorBidi"/>
            <w:b w:val="0"/>
            <w:kern w:val="2"/>
            <w:szCs w:val="24"/>
            <w:lang w:eastAsia="en-AU"/>
            <w14:ligatures w14:val="standardContextual"/>
          </w:rPr>
          <w:tab/>
        </w:r>
        <w:r w:rsidR="00AC5392" w:rsidRPr="00533B68">
          <w:t>Adoption</w:t>
        </w:r>
        <w:r w:rsidR="00AC5392" w:rsidRPr="00AC5392">
          <w:rPr>
            <w:vanish/>
          </w:rPr>
          <w:tab/>
        </w:r>
        <w:r w:rsidR="00AC5392" w:rsidRPr="00AC5392">
          <w:rPr>
            <w:vanish/>
          </w:rPr>
          <w:fldChar w:fldCharType="begin"/>
        </w:r>
        <w:r w:rsidR="00AC5392" w:rsidRPr="00AC5392">
          <w:rPr>
            <w:vanish/>
          </w:rPr>
          <w:instrText xml:space="preserve"> PAGEREF _Toc185514616 \h </w:instrText>
        </w:r>
        <w:r w:rsidR="00AC5392" w:rsidRPr="00AC5392">
          <w:rPr>
            <w:vanish/>
          </w:rPr>
        </w:r>
        <w:r w:rsidR="00AC5392" w:rsidRPr="00AC5392">
          <w:rPr>
            <w:vanish/>
          </w:rPr>
          <w:fldChar w:fldCharType="separate"/>
        </w:r>
        <w:r w:rsidR="00AC5392" w:rsidRPr="00AC5392">
          <w:rPr>
            <w:vanish/>
          </w:rPr>
          <w:t>580</w:t>
        </w:r>
        <w:r w:rsidR="00AC5392" w:rsidRPr="00AC5392">
          <w:rPr>
            <w:vanish/>
          </w:rPr>
          <w:fldChar w:fldCharType="end"/>
        </w:r>
      </w:hyperlink>
    </w:p>
    <w:p w14:paraId="589FDDC9" w14:textId="6FC16A8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17" w:history="1">
        <w:r w:rsidR="00AC5392" w:rsidRPr="00533B68">
          <w:t>Division 3.2.1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Adoption—general</w:t>
        </w:r>
        <w:r w:rsidR="00AC5392" w:rsidRPr="00AC5392">
          <w:rPr>
            <w:vanish/>
          </w:rPr>
          <w:tab/>
        </w:r>
        <w:r w:rsidR="00AC5392" w:rsidRPr="00AC5392">
          <w:rPr>
            <w:vanish/>
          </w:rPr>
          <w:fldChar w:fldCharType="begin"/>
        </w:r>
        <w:r w:rsidR="00AC5392" w:rsidRPr="00AC5392">
          <w:rPr>
            <w:vanish/>
          </w:rPr>
          <w:instrText xml:space="preserve"> PAGEREF _Toc185514617 \h </w:instrText>
        </w:r>
        <w:r w:rsidR="00AC5392" w:rsidRPr="00AC5392">
          <w:rPr>
            <w:vanish/>
          </w:rPr>
        </w:r>
        <w:r w:rsidR="00AC5392" w:rsidRPr="00AC5392">
          <w:rPr>
            <w:vanish/>
          </w:rPr>
          <w:fldChar w:fldCharType="separate"/>
        </w:r>
        <w:r w:rsidR="00AC5392" w:rsidRPr="00AC5392">
          <w:rPr>
            <w:vanish/>
          </w:rPr>
          <w:t>580</w:t>
        </w:r>
        <w:r w:rsidR="00AC5392" w:rsidRPr="00AC5392">
          <w:rPr>
            <w:vanish/>
          </w:rPr>
          <w:fldChar w:fldCharType="end"/>
        </w:r>
      </w:hyperlink>
    </w:p>
    <w:p w14:paraId="080C5365" w14:textId="72A363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8" w:history="1">
        <w:r w:rsidRPr="00533B68">
          <w:t>3150</w:t>
        </w:r>
        <w:r>
          <w:rPr>
            <w:rFonts w:asciiTheme="minorHAnsi" w:eastAsiaTheme="minorEastAsia" w:hAnsiTheme="minorHAnsi" w:cstheme="minorBidi"/>
            <w:kern w:val="2"/>
            <w:sz w:val="24"/>
            <w:szCs w:val="24"/>
            <w:lang w:eastAsia="en-AU"/>
            <w14:ligatures w14:val="standardContextual"/>
          </w:rPr>
          <w:tab/>
        </w:r>
        <w:r w:rsidRPr="00533B68">
          <w:t>Definitions—pt 3.2</w:t>
        </w:r>
        <w:r>
          <w:tab/>
        </w:r>
        <w:r>
          <w:fldChar w:fldCharType="begin"/>
        </w:r>
        <w:r>
          <w:instrText xml:space="preserve"> PAGEREF _Toc185514618 \h </w:instrText>
        </w:r>
        <w:r>
          <w:fldChar w:fldCharType="separate"/>
        </w:r>
        <w:r>
          <w:t>580</w:t>
        </w:r>
        <w:r>
          <w:fldChar w:fldCharType="end"/>
        </w:r>
      </w:hyperlink>
    </w:p>
    <w:p w14:paraId="5BE80855" w14:textId="012B21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19" w:history="1">
        <w:r w:rsidRPr="00533B68">
          <w:t>3151</w:t>
        </w:r>
        <w:r>
          <w:rPr>
            <w:rFonts w:asciiTheme="minorHAnsi" w:eastAsiaTheme="minorEastAsia" w:hAnsiTheme="minorHAnsi" w:cstheme="minorBidi"/>
            <w:kern w:val="2"/>
            <w:sz w:val="24"/>
            <w:szCs w:val="24"/>
            <w:lang w:eastAsia="en-AU"/>
            <w14:ligatures w14:val="standardContextual"/>
          </w:rPr>
          <w:tab/>
        </w:r>
        <w:r w:rsidRPr="00533B68">
          <w:t>Terms used in Adoption Act</w:t>
        </w:r>
        <w:r>
          <w:tab/>
        </w:r>
        <w:r>
          <w:fldChar w:fldCharType="begin"/>
        </w:r>
        <w:r>
          <w:instrText xml:space="preserve"> PAGEREF _Toc185514619 \h </w:instrText>
        </w:r>
        <w:r>
          <w:fldChar w:fldCharType="separate"/>
        </w:r>
        <w:r>
          <w:t>581</w:t>
        </w:r>
        <w:r>
          <w:fldChar w:fldCharType="end"/>
        </w:r>
      </w:hyperlink>
    </w:p>
    <w:p w14:paraId="6F947905" w14:textId="6EBD569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20" w:history="1">
        <w:r w:rsidRPr="00533B68">
          <w:t>3152</w:t>
        </w:r>
        <w:r>
          <w:rPr>
            <w:rFonts w:asciiTheme="minorHAnsi" w:eastAsiaTheme="minorEastAsia" w:hAnsiTheme="minorHAnsi" w:cstheme="minorBidi"/>
            <w:kern w:val="2"/>
            <w:sz w:val="24"/>
            <w:szCs w:val="24"/>
            <w:lang w:eastAsia="en-AU"/>
            <w14:ligatures w14:val="standardContextual"/>
          </w:rPr>
          <w:tab/>
        </w:r>
        <w:r w:rsidRPr="00533B68">
          <w:t>Application—pt 3.2</w:t>
        </w:r>
        <w:r>
          <w:tab/>
        </w:r>
        <w:r>
          <w:fldChar w:fldCharType="begin"/>
        </w:r>
        <w:r>
          <w:instrText xml:space="preserve"> PAGEREF _Toc185514620 \h </w:instrText>
        </w:r>
        <w:r>
          <w:fldChar w:fldCharType="separate"/>
        </w:r>
        <w:r>
          <w:t>581</w:t>
        </w:r>
        <w:r>
          <w:fldChar w:fldCharType="end"/>
        </w:r>
      </w:hyperlink>
    </w:p>
    <w:p w14:paraId="2DF3B459" w14:textId="32F347F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21" w:history="1">
        <w:r w:rsidR="00AC5392" w:rsidRPr="00533B68">
          <w:t>Division 3.2.2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Adoption orders</w:t>
        </w:r>
        <w:r w:rsidR="00AC5392" w:rsidRPr="00AC5392">
          <w:rPr>
            <w:vanish/>
          </w:rPr>
          <w:tab/>
        </w:r>
        <w:r w:rsidR="00AC5392" w:rsidRPr="00AC5392">
          <w:rPr>
            <w:vanish/>
          </w:rPr>
          <w:fldChar w:fldCharType="begin"/>
        </w:r>
        <w:r w:rsidR="00AC5392" w:rsidRPr="00AC5392">
          <w:rPr>
            <w:vanish/>
          </w:rPr>
          <w:instrText xml:space="preserve"> PAGEREF _Toc185514621 \h </w:instrText>
        </w:r>
        <w:r w:rsidR="00AC5392" w:rsidRPr="00AC5392">
          <w:rPr>
            <w:vanish/>
          </w:rPr>
        </w:r>
        <w:r w:rsidR="00AC5392" w:rsidRPr="00AC5392">
          <w:rPr>
            <w:vanish/>
          </w:rPr>
          <w:fldChar w:fldCharType="separate"/>
        </w:r>
        <w:r w:rsidR="00AC5392" w:rsidRPr="00AC5392">
          <w:rPr>
            <w:vanish/>
          </w:rPr>
          <w:t>581</w:t>
        </w:r>
        <w:r w:rsidR="00AC5392" w:rsidRPr="00AC5392">
          <w:rPr>
            <w:vanish/>
          </w:rPr>
          <w:fldChar w:fldCharType="end"/>
        </w:r>
      </w:hyperlink>
    </w:p>
    <w:p w14:paraId="795A73CD" w14:textId="70B0E9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22" w:history="1">
        <w:r w:rsidRPr="00533B68">
          <w:t>3155</w:t>
        </w:r>
        <w:r>
          <w:rPr>
            <w:rFonts w:asciiTheme="minorHAnsi" w:eastAsiaTheme="minorEastAsia" w:hAnsiTheme="minorHAnsi" w:cstheme="minorBidi"/>
            <w:kern w:val="2"/>
            <w:sz w:val="24"/>
            <w:szCs w:val="24"/>
            <w:lang w:eastAsia="en-AU"/>
            <w14:ligatures w14:val="standardContextual"/>
          </w:rPr>
          <w:tab/>
        </w:r>
        <w:r w:rsidRPr="00533B68">
          <w:t xml:space="preserve">References to </w:t>
        </w:r>
        <w:r w:rsidRPr="00533B68">
          <w:rPr>
            <w:i/>
          </w:rPr>
          <w:t>applicants</w:t>
        </w:r>
        <w:r w:rsidRPr="00533B68">
          <w:t>—div 3.2.2</w:t>
        </w:r>
        <w:r>
          <w:tab/>
        </w:r>
        <w:r>
          <w:fldChar w:fldCharType="begin"/>
        </w:r>
        <w:r>
          <w:instrText xml:space="preserve"> PAGEREF _Toc185514622 \h </w:instrText>
        </w:r>
        <w:r>
          <w:fldChar w:fldCharType="separate"/>
        </w:r>
        <w:r>
          <w:t>581</w:t>
        </w:r>
        <w:r>
          <w:fldChar w:fldCharType="end"/>
        </w:r>
      </w:hyperlink>
    </w:p>
    <w:p w14:paraId="1E196587" w14:textId="4E03736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23" w:history="1">
        <w:r w:rsidRPr="00533B68">
          <w:t>3156</w:t>
        </w:r>
        <w:r>
          <w:rPr>
            <w:rFonts w:asciiTheme="minorHAnsi" w:eastAsiaTheme="minorEastAsia" w:hAnsiTheme="minorHAnsi" w:cstheme="minorBidi"/>
            <w:kern w:val="2"/>
            <w:sz w:val="24"/>
            <w:szCs w:val="24"/>
            <w:lang w:eastAsia="en-AU"/>
            <w14:ligatures w14:val="standardContextual"/>
          </w:rPr>
          <w:tab/>
        </w:r>
        <w:r w:rsidRPr="00533B68">
          <w:t>Adoption order—application</w:t>
        </w:r>
        <w:r>
          <w:tab/>
        </w:r>
        <w:r>
          <w:fldChar w:fldCharType="begin"/>
        </w:r>
        <w:r>
          <w:instrText xml:space="preserve"> PAGEREF _Toc185514623 \h </w:instrText>
        </w:r>
        <w:r>
          <w:fldChar w:fldCharType="separate"/>
        </w:r>
        <w:r>
          <w:t>582</w:t>
        </w:r>
        <w:r>
          <w:fldChar w:fldCharType="end"/>
        </w:r>
      </w:hyperlink>
    </w:p>
    <w:p w14:paraId="4F58AECE" w14:textId="756E8FAD"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624" w:history="1">
        <w:r w:rsidRPr="00533B68">
          <w:t>3157</w:t>
        </w:r>
        <w:r>
          <w:rPr>
            <w:rFonts w:asciiTheme="minorHAnsi" w:eastAsiaTheme="minorEastAsia" w:hAnsiTheme="minorHAnsi" w:cstheme="minorBidi"/>
            <w:kern w:val="2"/>
            <w:sz w:val="24"/>
            <w:szCs w:val="24"/>
            <w:lang w:eastAsia="en-AU"/>
            <w14:ligatures w14:val="standardContextual"/>
          </w:rPr>
          <w:tab/>
        </w:r>
        <w:r w:rsidRPr="00533B68">
          <w:t>Adoption order—supporting affidavit for application for adoption of child or young person</w:t>
        </w:r>
        <w:r>
          <w:tab/>
        </w:r>
        <w:r>
          <w:fldChar w:fldCharType="begin"/>
        </w:r>
        <w:r>
          <w:instrText xml:space="preserve"> PAGEREF _Toc185514624 \h </w:instrText>
        </w:r>
        <w:r>
          <w:fldChar w:fldCharType="separate"/>
        </w:r>
        <w:r>
          <w:t>582</w:t>
        </w:r>
        <w:r>
          <w:fldChar w:fldCharType="end"/>
        </w:r>
      </w:hyperlink>
    </w:p>
    <w:p w14:paraId="1836E89C" w14:textId="2D8AE3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25" w:history="1">
        <w:r w:rsidRPr="00533B68">
          <w:t>3157A</w:t>
        </w:r>
        <w:r>
          <w:rPr>
            <w:rFonts w:asciiTheme="minorHAnsi" w:eastAsiaTheme="minorEastAsia" w:hAnsiTheme="minorHAnsi" w:cstheme="minorBidi"/>
            <w:kern w:val="2"/>
            <w:sz w:val="24"/>
            <w:szCs w:val="24"/>
            <w:lang w:eastAsia="en-AU"/>
            <w14:ligatures w14:val="standardContextual"/>
          </w:rPr>
          <w:tab/>
        </w:r>
        <w:r w:rsidRPr="00533B68">
          <w:t xml:space="preserve">Adoption order—supporting affidavit for application </w:t>
        </w:r>
        <w:r w:rsidRPr="00533B68">
          <w:rPr>
            <w:lang w:eastAsia="en-AU"/>
          </w:rPr>
          <w:t>for adoption of person 18 years old or older</w:t>
        </w:r>
        <w:r>
          <w:tab/>
        </w:r>
        <w:r>
          <w:fldChar w:fldCharType="begin"/>
        </w:r>
        <w:r>
          <w:instrText xml:space="preserve"> PAGEREF _Toc185514625 \h </w:instrText>
        </w:r>
        <w:r>
          <w:fldChar w:fldCharType="separate"/>
        </w:r>
        <w:r>
          <w:t>585</w:t>
        </w:r>
        <w:r>
          <w:fldChar w:fldCharType="end"/>
        </w:r>
      </w:hyperlink>
    </w:p>
    <w:p w14:paraId="0D865F00" w14:textId="44493E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26" w:history="1">
        <w:r w:rsidRPr="00533B68">
          <w:t>3158</w:t>
        </w:r>
        <w:r>
          <w:rPr>
            <w:rFonts w:asciiTheme="minorHAnsi" w:eastAsiaTheme="minorEastAsia" w:hAnsiTheme="minorHAnsi" w:cstheme="minorBidi"/>
            <w:kern w:val="2"/>
            <w:sz w:val="24"/>
            <w:szCs w:val="24"/>
            <w:lang w:eastAsia="en-AU"/>
            <w14:ligatures w14:val="standardContextual"/>
          </w:rPr>
          <w:tab/>
        </w:r>
        <w:r w:rsidRPr="00533B68">
          <w:t>Adoption order—documents accompanying application</w:t>
        </w:r>
        <w:r>
          <w:tab/>
        </w:r>
        <w:r>
          <w:fldChar w:fldCharType="begin"/>
        </w:r>
        <w:r>
          <w:instrText xml:space="preserve"> PAGEREF _Toc185514626 \h </w:instrText>
        </w:r>
        <w:r>
          <w:fldChar w:fldCharType="separate"/>
        </w:r>
        <w:r>
          <w:t>585</w:t>
        </w:r>
        <w:r>
          <w:fldChar w:fldCharType="end"/>
        </w:r>
      </w:hyperlink>
    </w:p>
    <w:p w14:paraId="76F72A8F" w14:textId="48EE40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27" w:history="1">
        <w:r w:rsidRPr="00533B68">
          <w:t>3159</w:t>
        </w:r>
        <w:r>
          <w:rPr>
            <w:rFonts w:asciiTheme="minorHAnsi" w:eastAsiaTheme="minorEastAsia" w:hAnsiTheme="minorHAnsi" w:cstheme="minorBidi"/>
            <w:kern w:val="2"/>
            <w:sz w:val="24"/>
            <w:szCs w:val="24"/>
            <w:lang w:eastAsia="en-AU"/>
            <w14:ligatures w14:val="standardContextual"/>
          </w:rPr>
          <w:tab/>
        </w:r>
        <w:r w:rsidRPr="00533B68">
          <w:t>Adoption order—service of application on CYP director</w:t>
        </w:r>
        <w:r w:rsidRPr="00533B68">
          <w:noBreakHyphen/>
          <w:t>general</w:t>
        </w:r>
        <w:r>
          <w:tab/>
        </w:r>
        <w:r>
          <w:fldChar w:fldCharType="begin"/>
        </w:r>
        <w:r>
          <w:instrText xml:space="preserve"> PAGEREF _Toc185514627 \h </w:instrText>
        </w:r>
        <w:r>
          <w:fldChar w:fldCharType="separate"/>
        </w:r>
        <w:r>
          <w:t>588</w:t>
        </w:r>
        <w:r>
          <w:fldChar w:fldCharType="end"/>
        </w:r>
      </w:hyperlink>
    </w:p>
    <w:p w14:paraId="0328AC8F" w14:textId="773451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28" w:history="1">
        <w:r w:rsidRPr="00533B68">
          <w:t>3160</w:t>
        </w:r>
        <w:r>
          <w:rPr>
            <w:rFonts w:asciiTheme="minorHAnsi" w:eastAsiaTheme="minorEastAsia" w:hAnsiTheme="minorHAnsi" w:cstheme="minorBidi"/>
            <w:kern w:val="2"/>
            <w:sz w:val="24"/>
            <w:szCs w:val="24"/>
            <w:lang w:eastAsia="en-AU"/>
            <w14:ligatures w14:val="standardContextual"/>
          </w:rPr>
          <w:tab/>
        </w:r>
        <w:r w:rsidRPr="00533B68">
          <w:t>Adoption order—notice of intention to oppose</w:t>
        </w:r>
        <w:r>
          <w:tab/>
        </w:r>
        <w:r>
          <w:fldChar w:fldCharType="begin"/>
        </w:r>
        <w:r>
          <w:instrText xml:space="preserve"> PAGEREF _Toc185514628 \h </w:instrText>
        </w:r>
        <w:r>
          <w:fldChar w:fldCharType="separate"/>
        </w:r>
        <w:r>
          <w:t>588</w:t>
        </w:r>
        <w:r>
          <w:fldChar w:fldCharType="end"/>
        </w:r>
      </w:hyperlink>
    </w:p>
    <w:p w14:paraId="4A70A01F" w14:textId="091EA5C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29" w:history="1">
        <w:r w:rsidR="00AC5392" w:rsidRPr="00533B68">
          <w:t>Division 3.2.3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Orders for dispensing with consent to adoption</w:t>
        </w:r>
        <w:r w:rsidR="00AC5392" w:rsidRPr="00AC5392">
          <w:rPr>
            <w:vanish/>
          </w:rPr>
          <w:tab/>
        </w:r>
        <w:r w:rsidR="00AC5392" w:rsidRPr="00AC5392">
          <w:rPr>
            <w:vanish/>
          </w:rPr>
          <w:fldChar w:fldCharType="begin"/>
        </w:r>
        <w:r w:rsidR="00AC5392" w:rsidRPr="00AC5392">
          <w:rPr>
            <w:vanish/>
          </w:rPr>
          <w:instrText xml:space="preserve"> PAGEREF _Toc185514629 \h </w:instrText>
        </w:r>
        <w:r w:rsidR="00AC5392" w:rsidRPr="00AC5392">
          <w:rPr>
            <w:vanish/>
          </w:rPr>
        </w:r>
        <w:r w:rsidR="00AC5392" w:rsidRPr="00AC5392">
          <w:rPr>
            <w:vanish/>
          </w:rPr>
          <w:fldChar w:fldCharType="separate"/>
        </w:r>
        <w:r w:rsidR="00AC5392" w:rsidRPr="00AC5392">
          <w:rPr>
            <w:vanish/>
          </w:rPr>
          <w:t>589</w:t>
        </w:r>
        <w:r w:rsidR="00AC5392" w:rsidRPr="00AC5392">
          <w:rPr>
            <w:vanish/>
          </w:rPr>
          <w:fldChar w:fldCharType="end"/>
        </w:r>
      </w:hyperlink>
    </w:p>
    <w:p w14:paraId="5DBBAB9D" w14:textId="2D1A9F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0" w:history="1">
        <w:r w:rsidRPr="00533B68">
          <w:t>3170</w:t>
        </w:r>
        <w:r>
          <w:rPr>
            <w:rFonts w:asciiTheme="minorHAnsi" w:eastAsiaTheme="minorEastAsia" w:hAnsiTheme="minorHAnsi" w:cstheme="minorBidi"/>
            <w:kern w:val="2"/>
            <w:sz w:val="24"/>
            <w:szCs w:val="24"/>
            <w:lang w:eastAsia="en-AU"/>
            <w14:ligatures w14:val="standardContextual"/>
          </w:rPr>
          <w:tab/>
        </w:r>
        <w:r w:rsidRPr="00533B68">
          <w:t>Dispensing order—application</w:t>
        </w:r>
        <w:r>
          <w:tab/>
        </w:r>
        <w:r>
          <w:fldChar w:fldCharType="begin"/>
        </w:r>
        <w:r>
          <w:instrText xml:space="preserve"> PAGEREF _Toc185514630 \h </w:instrText>
        </w:r>
        <w:r>
          <w:fldChar w:fldCharType="separate"/>
        </w:r>
        <w:r>
          <w:t>589</w:t>
        </w:r>
        <w:r>
          <w:fldChar w:fldCharType="end"/>
        </w:r>
      </w:hyperlink>
    </w:p>
    <w:p w14:paraId="03B39B87" w14:textId="7154E46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1" w:history="1">
        <w:r w:rsidRPr="00533B68">
          <w:t>3171</w:t>
        </w:r>
        <w:r>
          <w:rPr>
            <w:rFonts w:asciiTheme="minorHAnsi" w:eastAsiaTheme="minorEastAsia" w:hAnsiTheme="minorHAnsi" w:cstheme="minorBidi"/>
            <w:kern w:val="2"/>
            <w:sz w:val="24"/>
            <w:szCs w:val="24"/>
            <w:lang w:eastAsia="en-AU"/>
            <w14:ligatures w14:val="standardContextual"/>
          </w:rPr>
          <w:tab/>
        </w:r>
        <w:r w:rsidRPr="00533B68">
          <w:t>Dispensing order—service of application</w:t>
        </w:r>
        <w:r>
          <w:tab/>
        </w:r>
        <w:r>
          <w:fldChar w:fldCharType="begin"/>
        </w:r>
        <w:r>
          <w:instrText xml:space="preserve"> PAGEREF _Toc185514631 \h </w:instrText>
        </w:r>
        <w:r>
          <w:fldChar w:fldCharType="separate"/>
        </w:r>
        <w:r>
          <w:t>590</w:t>
        </w:r>
        <w:r>
          <w:fldChar w:fldCharType="end"/>
        </w:r>
      </w:hyperlink>
    </w:p>
    <w:p w14:paraId="1C623654" w14:textId="60CA46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2" w:history="1">
        <w:r w:rsidRPr="00533B68">
          <w:t>3172</w:t>
        </w:r>
        <w:r>
          <w:rPr>
            <w:rFonts w:asciiTheme="minorHAnsi" w:eastAsiaTheme="minorEastAsia" w:hAnsiTheme="minorHAnsi" w:cstheme="minorBidi"/>
            <w:kern w:val="2"/>
            <w:sz w:val="24"/>
            <w:szCs w:val="24"/>
            <w:lang w:eastAsia="en-AU"/>
            <w14:ligatures w14:val="standardContextual"/>
          </w:rPr>
          <w:tab/>
        </w:r>
        <w:r w:rsidRPr="00533B68">
          <w:t>Dispensing order—notice of intention to oppose</w:t>
        </w:r>
        <w:r>
          <w:tab/>
        </w:r>
        <w:r>
          <w:fldChar w:fldCharType="begin"/>
        </w:r>
        <w:r>
          <w:instrText xml:space="preserve"> PAGEREF _Toc185514632 \h </w:instrText>
        </w:r>
        <w:r>
          <w:fldChar w:fldCharType="separate"/>
        </w:r>
        <w:r>
          <w:t>590</w:t>
        </w:r>
        <w:r>
          <w:fldChar w:fldCharType="end"/>
        </w:r>
      </w:hyperlink>
    </w:p>
    <w:p w14:paraId="7ECAF566" w14:textId="3B480BE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33" w:history="1">
        <w:r w:rsidR="00AC5392" w:rsidRPr="00533B68">
          <w:t>Division 3.2.4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Amendment of adoption order</w:t>
        </w:r>
        <w:r w:rsidR="00AC5392" w:rsidRPr="00AC5392">
          <w:rPr>
            <w:vanish/>
          </w:rPr>
          <w:tab/>
        </w:r>
        <w:r w:rsidR="00AC5392" w:rsidRPr="00AC5392">
          <w:rPr>
            <w:vanish/>
          </w:rPr>
          <w:fldChar w:fldCharType="begin"/>
        </w:r>
        <w:r w:rsidR="00AC5392" w:rsidRPr="00AC5392">
          <w:rPr>
            <w:vanish/>
          </w:rPr>
          <w:instrText xml:space="preserve"> PAGEREF _Toc185514633 \h </w:instrText>
        </w:r>
        <w:r w:rsidR="00AC5392" w:rsidRPr="00AC5392">
          <w:rPr>
            <w:vanish/>
          </w:rPr>
        </w:r>
        <w:r w:rsidR="00AC5392" w:rsidRPr="00AC5392">
          <w:rPr>
            <w:vanish/>
          </w:rPr>
          <w:fldChar w:fldCharType="separate"/>
        </w:r>
        <w:r w:rsidR="00AC5392" w:rsidRPr="00AC5392">
          <w:rPr>
            <w:vanish/>
          </w:rPr>
          <w:t>591</w:t>
        </w:r>
        <w:r w:rsidR="00AC5392" w:rsidRPr="00AC5392">
          <w:rPr>
            <w:vanish/>
          </w:rPr>
          <w:fldChar w:fldCharType="end"/>
        </w:r>
      </w:hyperlink>
    </w:p>
    <w:p w14:paraId="4B3555CC" w14:textId="4B02D1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4" w:history="1">
        <w:r w:rsidRPr="00533B68">
          <w:t>3180</w:t>
        </w:r>
        <w:r>
          <w:rPr>
            <w:rFonts w:asciiTheme="minorHAnsi" w:eastAsiaTheme="minorEastAsia" w:hAnsiTheme="minorHAnsi" w:cstheme="minorBidi"/>
            <w:kern w:val="2"/>
            <w:sz w:val="24"/>
            <w:szCs w:val="24"/>
            <w:lang w:eastAsia="en-AU"/>
            <w14:ligatures w14:val="standardContextual"/>
          </w:rPr>
          <w:tab/>
        </w:r>
        <w:r w:rsidRPr="00533B68">
          <w:t>Amendment order—application</w:t>
        </w:r>
        <w:r>
          <w:tab/>
        </w:r>
        <w:r>
          <w:fldChar w:fldCharType="begin"/>
        </w:r>
        <w:r>
          <w:instrText xml:space="preserve"> PAGEREF _Toc185514634 \h </w:instrText>
        </w:r>
        <w:r>
          <w:fldChar w:fldCharType="separate"/>
        </w:r>
        <w:r>
          <w:t>591</w:t>
        </w:r>
        <w:r>
          <w:fldChar w:fldCharType="end"/>
        </w:r>
      </w:hyperlink>
    </w:p>
    <w:p w14:paraId="582943CE" w14:textId="4624EE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5" w:history="1">
        <w:r w:rsidRPr="00533B68">
          <w:t>3181</w:t>
        </w:r>
        <w:r>
          <w:rPr>
            <w:rFonts w:asciiTheme="minorHAnsi" w:eastAsiaTheme="minorEastAsia" w:hAnsiTheme="minorHAnsi" w:cstheme="minorBidi"/>
            <w:kern w:val="2"/>
            <w:sz w:val="24"/>
            <w:szCs w:val="24"/>
            <w:lang w:eastAsia="en-AU"/>
            <w14:ligatures w14:val="standardContextual"/>
          </w:rPr>
          <w:tab/>
        </w:r>
        <w:r w:rsidRPr="00533B68">
          <w:t>Amendment order—service of application</w:t>
        </w:r>
        <w:r>
          <w:tab/>
        </w:r>
        <w:r>
          <w:fldChar w:fldCharType="begin"/>
        </w:r>
        <w:r>
          <w:instrText xml:space="preserve"> PAGEREF _Toc185514635 \h </w:instrText>
        </w:r>
        <w:r>
          <w:fldChar w:fldCharType="separate"/>
        </w:r>
        <w:r>
          <w:t>591</w:t>
        </w:r>
        <w:r>
          <w:fldChar w:fldCharType="end"/>
        </w:r>
      </w:hyperlink>
    </w:p>
    <w:p w14:paraId="421B27BA" w14:textId="11E59CB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6" w:history="1">
        <w:r w:rsidRPr="00533B68">
          <w:t>3182</w:t>
        </w:r>
        <w:r>
          <w:rPr>
            <w:rFonts w:asciiTheme="minorHAnsi" w:eastAsiaTheme="minorEastAsia" w:hAnsiTheme="minorHAnsi" w:cstheme="minorBidi"/>
            <w:kern w:val="2"/>
            <w:sz w:val="24"/>
            <w:szCs w:val="24"/>
            <w:lang w:eastAsia="en-AU"/>
            <w14:ligatures w14:val="standardContextual"/>
          </w:rPr>
          <w:tab/>
        </w:r>
        <w:r w:rsidRPr="00533B68">
          <w:t>Amendment order—notice of intention to oppose</w:t>
        </w:r>
        <w:r>
          <w:tab/>
        </w:r>
        <w:r>
          <w:fldChar w:fldCharType="begin"/>
        </w:r>
        <w:r>
          <w:instrText xml:space="preserve"> PAGEREF _Toc185514636 \h </w:instrText>
        </w:r>
        <w:r>
          <w:fldChar w:fldCharType="separate"/>
        </w:r>
        <w:r>
          <w:t>591</w:t>
        </w:r>
        <w:r>
          <w:fldChar w:fldCharType="end"/>
        </w:r>
      </w:hyperlink>
    </w:p>
    <w:p w14:paraId="26CFE802" w14:textId="37FE362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37" w:history="1">
        <w:r w:rsidR="00AC5392" w:rsidRPr="00533B68">
          <w:t>Division 3.2.5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Discharge of interim orders and adoption orders</w:t>
        </w:r>
        <w:r w:rsidR="00AC5392" w:rsidRPr="00AC5392">
          <w:rPr>
            <w:vanish/>
          </w:rPr>
          <w:tab/>
        </w:r>
        <w:r w:rsidR="00AC5392" w:rsidRPr="00AC5392">
          <w:rPr>
            <w:vanish/>
          </w:rPr>
          <w:fldChar w:fldCharType="begin"/>
        </w:r>
        <w:r w:rsidR="00AC5392" w:rsidRPr="00AC5392">
          <w:rPr>
            <w:vanish/>
          </w:rPr>
          <w:instrText xml:space="preserve"> PAGEREF _Toc185514637 \h </w:instrText>
        </w:r>
        <w:r w:rsidR="00AC5392" w:rsidRPr="00AC5392">
          <w:rPr>
            <w:vanish/>
          </w:rPr>
        </w:r>
        <w:r w:rsidR="00AC5392" w:rsidRPr="00AC5392">
          <w:rPr>
            <w:vanish/>
          </w:rPr>
          <w:fldChar w:fldCharType="separate"/>
        </w:r>
        <w:r w:rsidR="00AC5392" w:rsidRPr="00AC5392">
          <w:rPr>
            <w:vanish/>
          </w:rPr>
          <w:t>592</w:t>
        </w:r>
        <w:r w:rsidR="00AC5392" w:rsidRPr="00AC5392">
          <w:rPr>
            <w:vanish/>
          </w:rPr>
          <w:fldChar w:fldCharType="end"/>
        </w:r>
      </w:hyperlink>
    </w:p>
    <w:p w14:paraId="11045B9D" w14:textId="30BB17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8" w:history="1">
        <w:r w:rsidRPr="00533B68">
          <w:t>3190</w:t>
        </w:r>
        <w:r>
          <w:rPr>
            <w:rFonts w:asciiTheme="minorHAnsi" w:eastAsiaTheme="minorEastAsia" w:hAnsiTheme="minorHAnsi" w:cstheme="minorBidi"/>
            <w:kern w:val="2"/>
            <w:sz w:val="24"/>
            <w:szCs w:val="24"/>
            <w:lang w:eastAsia="en-AU"/>
            <w14:ligatures w14:val="standardContextual"/>
          </w:rPr>
          <w:tab/>
        </w:r>
        <w:r w:rsidRPr="00533B68">
          <w:t>Discharging order—application</w:t>
        </w:r>
        <w:r>
          <w:tab/>
        </w:r>
        <w:r>
          <w:fldChar w:fldCharType="begin"/>
        </w:r>
        <w:r>
          <w:instrText xml:space="preserve"> PAGEREF _Toc185514638 \h </w:instrText>
        </w:r>
        <w:r>
          <w:fldChar w:fldCharType="separate"/>
        </w:r>
        <w:r>
          <w:t>592</w:t>
        </w:r>
        <w:r>
          <w:fldChar w:fldCharType="end"/>
        </w:r>
      </w:hyperlink>
    </w:p>
    <w:p w14:paraId="6F3B4311" w14:textId="148D6AE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39" w:history="1">
        <w:r w:rsidRPr="00533B68">
          <w:t>3191</w:t>
        </w:r>
        <w:r>
          <w:rPr>
            <w:rFonts w:asciiTheme="minorHAnsi" w:eastAsiaTheme="minorEastAsia" w:hAnsiTheme="minorHAnsi" w:cstheme="minorBidi"/>
            <w:kern w:val="2"/>
            <w:sz w:val="24"/>
            <w:szCs w:val="24"/>
            <w:lang w:eastAsia="en-AU"/>
            <w14:ligatures w14:val="standardContextual"/>
          </w:rPr>
          <w:tab/>
        </w:r>
        <w:r w:rsidRPr="00533B68">
          <w:t>Discharging order—service of application</w:t>
        </w:r>
        <w:r>
          <w:tab/>
        </w:r>
        <w:r>
          <w:fldChar w:fldCharType="begin"/>
        </w:r>
        <w:r>
          <w:instrText xml:space="preserve"> PAGEREF _Toc185514639 \h </w:instrText>
        </w:r>
        <w:r>
          <w:fldChar w:fldCharType="separate"/>
        </w:r>
        <w:r>
          <w:t>592</w:t>
        </w:r>
        <w:r>
          <w:fldChar w:fldCharType="end"/>
        </w:r>
      </w:hyperlink>
    </w:p>
    <w:p w14:paraId="4F88C362" w14:textId="104A8E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40" w:history="1">
        <w:r w:rsidRPr="00533B68">
          <w:t>3192</w:t>
        </w:r>
        <w:r>
          <w:rPr>
            <w:rFonts w:asciiTheme="minorHAnsi" w:eastAsiaTheme="minorEastAsia" w:hAnsiTheme="minorHAnsi" w:cstheme="minorBidi"/>
            <w:kern w:val="2"/>
            <w:sz w:val="24"/>
            <w:szCs w:val="24"/>
            <w:lang w:eastAsia="en-AU"/>
            <w14:ligatures w14:val="standardContextual"/>
          </w:rPr>
          <w:tab/>
        </w:r>
        <w:r w:rsidRPr="00533B68">
          <w:t>Discharging order—notice of intention to oppose</w:t>
        </w:r>
        <w:r>
          <w:tab/>
        </w:r>
        <w:r>
          <w:fldChar w:fldCharType="begin"/>
        </w:r>
        <w:r>
          <w:instrText xml:space="preserve"> PAGEREF _Toc185514640 \h </w:instrText>
        </w:r>
        <w:r>
          <w:fldChar w:fldCharType="separate"/>
        </w:r>
        <w:r>
          <w:t>592</w:t>
        </w:r>
        <w:r>
          <w:fldChar w:fldCharType="end"/>
        </w:r>
      </w:hyperlink>
    </w:p>
    <w:p w14:paraId="4CBC6922" w14:textId="37CDD87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41" w:history="1">
        <w:r w:rsidR="00AC5392" w:rsidRPr="00533B68">
          <w:t>Division 3.2.6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Access to identifying information</w:t>
        </w:r>
        <w:r w:rsidR="00AC5392" w:rsidRPr="00AC5392">
          <w:rPr>
            <w:vanish/>
          </w:rPr>
          <w:tab/>
        </w:r>
        <w:r w:rsidR="00AC5392" w:rsidRPr="00AC5392">
          <w:rPr>
            <w:vanish/>
          </w:rPr>
          <w:fldChar w:fldCharType="begin"/>
        </w:r>
        <w:r w:rsidR="00AC5392" w:rsidRPr="00AC5392">
          <w:rPr>
            <w:vanish/>
          </w:rPr>
          <w:instrText xml:space="preserve"> PAGEREF _Toc185514641 \h </w:instrText>
        </w:r>
        <w:r w:rsidR="00AC5392" w:rsidRPr="00AC5392">
          <w:rPr>
            <w:vanish/>
          </w:rPr>
        </w:r>
        <w:r w:rsidR="00AC5392" w:rsidRPr="00AC5392">
          <w:rPr>
            <w:vanish/>
          </w:rPr>
          <w:fldChar w:fldCharType="separate"/>
        </w:r>
        <w:r w:rsidR="00AC5392" w:rsidRPr="00AC5392">
          <w:rPr>
            <w:vanish/>
          </w:rPr>
          <w:t>593</w:t>
        </w:r>
        <w:r w:rsidR="00AC5392" w:rsidRPr="00AC5392">
          <w:rPr>
            <w:vanish/>
          </w:rPr>
          <w:fldChar w:fldCharType="end"/>
        </w:r>
      </w:hyperlink>
    </w:p>
    <w:p w14:paraId="731A11B8" w14:textId="175C317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42" w:history="1">
        <w:r w:rsidRPr="00533B68">
          <w:t>3200</w:t>
        </w:r>
        <w:r>
          <w:rPr>
            <w:rFonts w:asciiTheme="minorHAnsi" w:eastAsiaTheme="minorEastAsia" w:hAnsiTheme="minorHAnsi" w:cstheme="minorBidi"/>
            <w:kern w:val="2"/>
            <w:sz w:val="24"/>
            <w:szCs w:val="24"/>
            <w:lang w:eastAsia="en-AU"/>
            <w14:ligatures w14:val="standardContextual"/>
          </w:rPr>
          <w:tab/>
        </w:r>
        <w:r w:rsidRPr="00533B68">
          <w:t>Order for access to identifying information—application</w:t>
        </w:r>
        <w:r>
          <w:tab/>
        </w:r>
        <w:r>
          <w:fldChar w:fldCharType="begin"/>
        </w:r>
        <w:r>
          <w:instrText xml:space="preserve"> PAGEREF _Toc185514642 \h </w:instrText>
        </w:r>
        <w:r>
          <w:fldChar w:fldCharType="separate"/>
        </w:r>
        <w:r>
          <w:t>593</w:t>
        </w:r>
        <w:r>
          <w:fldChar w:fldCharType="end"/>
        </w:r>
      </w:hyperlink>
    </w:p>
    <w:p w14:paraId="4A26ADEA" w14:textId="46E172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43" w:history="1">
        <w:r w:rsidRPr="00533B68">
          <w:t>3201</w:t>
        </w:r>
        <w:r>
          <w:rPr>
            <w:rFonts w:asciiTheme="minorHAnsi" w:eastAsiaTheme="minorEastAsia" w:hAnsiTheme="minorHAnsi" w:cstheme="minorBidi"/>
            <w:kern w:val="2"/>
            <w:sz w:val="24"/>
            <w:szCs w:val="24"/>
            <w:lang w:eastAsia="en-AU"/>
            <w14:ligatures w14:val="standardContextual"/>
          </w:rPr>
          <w:tab/>
        </w:r>
        <w:r w:rsidRPr="00533B68">
          <w:t>Order for access to identifying information—service of application</w:t>
        </w:r>
        <w:r>
          <w:tab/>
        </w:r>
        <w:r>
          <w:fldChar w:fldCharType="begin"/>
        </w:r>
        <w:r>
          <w:instrText xml:space="preserve"> PAGEREF _Toc185514643 \h </w:instrText>
        </w:r>
        <w:r>
          <w:fldChar w:fldCharType="separate"/>
        </w:r>
        <w:r>
          <w:t>593</w:t>
        </w:r>
        <w:r>
          <w:fldChar w:fldCharType="end"/>
        </w:r>
      </w:hyperlink>
    </w:p>
    <w:p w14:paraId="48EABD67" w14:textId="51DF3B7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44" w:history="1">
        <w:r w:rsidRPr="00533B68">
          <w:t>3202</w:t>
        </w:r>
        <w:r>
          <w:rPr>
            <w:rFonts w:asciiTheme="minorHAnsi" w:eastAsiaTheme="minorEastAsia" w:hAnsiTheme="minorHAnsi" w:cstheme="minorBidi"/>
            <w:kern w:val="2"/>
            <w:sz w:val="24"/>
            <w:szCs w:val="24"/>
            <w:lang w:eastAsia="en-AU"/>
            <w14:ligatures w14:val="standardContextual"/>
          </w:rPr>
          <w:tab/>
        </w:r>
        <w:r w:rsidRPr="00533B68">
          <w:t>Order for access to identifying information—notice of intention to oppose</w:t>
        </w:r>
        <w:r>
          <w:tab/>
        </w:r>
        <w:r>
          <w:fldChar w:fldCharType="begin"/>
        </w:r>
        <w:r>
          <w:instrText xml:space="preserve"> PAGEREF _Toc185514644 \h </w:instrText>
        </w:r>
        <w:r>
          <w:fldChar w:fldCharType="separate"/>
        </w:r>
        <w:r>
          <w:t>594</w:t>
        </w:r>
        <w:r>
          <w:fldChar w:fldCharType="end"/>
        </w:r>
      </w:hyperlink>
    </w:p>
    <w:p w14:paraId="7070F8A0" w14:textId="1467290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45" w:history="1">
        <w:r w:rsidR="00AC5392" w:rsidRPr="00533B68">
          <w:t>Division 3.2.7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Adoption proceedings—general procedures</w:t>
        </w:r>
        <w:r w:rsidR="00AC5392" w:rsidRPr="00AC5392">
          <w:rPr>
            <w:vanish/>
          </w:rPr>
          <w:tab/>
        </w:r>
        <w:r w:rsidR="00AC5392" w:rsidRPr="00AC5392">
          <w:rPr>
            <w:vanish/>
          </w:rPr>
          <w:fldChar w:fldCharType="begin"/>
        </w:r>
        <w:r w:rsidR="00AC5392" w:rsidRPr="00AC5392">
          <w:rPr>
            <w:vanish/>
          </w:rPr>
          <w:instrText xml:space="preserve"> PAGEREF _Toc185514645 \h </w:instrText>
        </w:r>
        <w:r w:rsidR="00AC5392" w:rsidRPr="00AC5392">
          <w:rPr>
            <w:vanish/>
          </w:rPr>
        </w:r>
        <w:r w:rsidR="00AC5392" w:rsidRPr="00AC5392">
          <w:rPr>
            <w:vanish/>
          </w:rPr>
          <w:fldChar w:fldCharType="separate"/>
        </w:r>
        <w:r w:rsidR="00AC5392" w:rsidRPr="00AC5392">
          <w:rPr>
            <w:vanish/>
          </w:rPr>
          <w:t>594</w:t>
        </w:r>
        <w:r w:rsidR="00AC5392" w:rsidRPr="00AC5392">
          <w:rPr>
            <w:vanish/>
          </w:rPr>
          <w:fldChar w:fldCharType="end"/>
        </w:r>
      </w:hyperlink>
    </w:p>
    <w:p w14:paraId="38FEF4A8" w14:textId="7BF86F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46" w:history="1">
        <w:r w:rsidRPr="00533B68">
          <w:t>3210</w:t>
        </w:r>
        <w:r>
          <w:rPr>
            <w:rFonts w:asciiTheme="minorHAnsi" w:eastAsiaTheme="minorEastAsia" w:hAnsiTheme="minorHAnsi" w:cstheme="minorBidi"/>
            <w:kern w:val="2"/>
            <w:sz w:val="24"/>
            <w:szCs w:val="24"/>
            <w:lang w:eastAsia="en-AU"/>
            <w14:ligatures w14:val="standardContextual"/>
          </w:rPr>
          <w:tab/>
        </w:r>
        <w:r w:rsidRPr="00533B68">
          <w:t>Adoption proceedings—service of applications</w:t>
        </w:r>
        <w:r>
          <w:tab/>
        </w:r>
        <w:r>
          <w:fldChar w:fldCharType="begin"/>
        </w:r>
        <w:r>
          <w:instrText xml:space="preserve"> PAGEREF _Toc185514646 \h </w:instrText>
        </w:r>
        <w:r>
          <w:fldChar w:fldCharType="separate"/>
        </w:r>
        <w:r>
          <w:t>594</w:t>
        </w:r>
        <w:r>
          <w:fldChar w:fldCharType="end"/>
        </w:r>
      </w:hyperlink>
    </w:p>
    <w:p w14:paraId="27FCA57A" w14:textId="04D137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47" w:history="1">
        <w:r w:rsidRPr="00533B68">
          <w:t>3211</w:t>
        </w:r>
        <w:r>
          <w:rPr>
            <w:rFonts w:asciiTheme="minorHAnsi" w:eastAsiaTheme="minorEastAsia" w:hAnsiTheme="minorHAnsi" w:cstheme="minorBidi"/>
            <w:kern w:val="2"/>
            <w:sz w:val="24"/>
            <w:szCs w:val="24"/>
            <w:lang w:eastAsia="en-AU"/>
            <w14:ligatures w14:val="standardContextual"/>
          </w:rPr>
          <w:tab/>
        </w:r>
        <w:r w:rsidRPr="00533B68">
          <w:t>Adoption proceedings—service of documents containing identifying information</w:t>
        </w:r>
        <w:r>
          <w:tab/>
        </w:r>
        <w:r>
          <w:fldChar w:fldCharType="begin"/>
        </w:r>
        <w:r>
          <w:instrText xml:space="preserve"> PAGEREF _Toc185514647 \h </w:instrText>
        </w:r>
        <w:r>
          <w:fldChar w:fldCharType="separate"/>
        </w:r>
        <w:r>
          <w:t>595</w:t>
        </w:r>
        <w:r>
          <w:fldChar w:fldCharType="end"/>
        </w:r>
      </w:hyperlink>
    </w:p>
    <w:p w14:paraId="226507FF" w14:textId="17E02EDD"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648" w:history="1">
        <w:r w:rsidR="00AC5392" w:rsidRPr="00533B68">
          <w:t>Part 3.3</w:t>
        </w:r>
        <w:r w:rsidR="00AC5392">
          <w:rPr>
            <w:rFonts w:asciiTheme="minorHAnsi" w:eastAsiaTheme="minorEastAsia" w:hAnsiTheme="minorHAnsi" w:cstheme="minorBidi"/>
            <w:b w:val="0"/>
            <w:kern w:val="2"/>
            <w:szCs w:val="24"/>
            <w:lang w:eastAsia="en-AU"/>
            <w14:ligatures w14:val="standardContextual"/>
          </w:rPr>
          <w:tab/>
        </w:r>
        <w:r w:rsidR="00AC5392" w:rsidRPr="00533B68">
          <w:t>Commercial arbitration</w:t>
        </w:r>
        <w:r w:rsidR="00AC5392" w:rsidRPr="00AC5392">
          <w:rPr>
            <w:vanish/>
          </w:rPr>
          <w:tab/>
        </w:r>
        <w:r w:rsidR="00AC5392" w:rsidRPr="00AC5392">
          <w:rPr>
            <w:vanish/>
          </w:rPr>
          <w:fldChar w:fldCharType="begin"/>
        </w:r>
        <w:r w:rsidR="00AC5392" w:rsidRPr="00AC5392">
          <w:rPr>
            <w:vanish/>
          </w:rPr>
          <w:instrText xml:space="preserve"> PAGEREF _Toc185514648 \h </w:instrText>
        </w:r>
        <w:r w:rsidR="00AC5392" w:rsidRPr="00AC5392">
          <w:rPr>
            <w:vanish/>
          </w:rPr>
        </w:r>
        <w:r w:rsidR="00AC5392" w:rsidRPr="00AC5392">
          <w:rPr>
            <w:vanish/>
          </w:rPr>
          <w:fldChar w:fldCharType="separate"/>
        </w:r>
        <w:r w:rsidR="00AC5392" w:rsidRPr="00AC5392">
          <w:rPr>
            <w:vanish/>
          </w:rPr>
          <w:t>596</w:t>
        </w:r>
        <w:r w:rsidR="00AC5392" w:rsidRPr="00AC5392">
          <w:rPr>
            <w:vanish/>
          </w:rPr>
          <w:fldChar w:fldCharType="end"/>
        </w:r>
      </w:hyperlink>
    </w:p>
    <w:p w14:paraId="18F090D7" w14:textId="3FB3838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49" w:history="1">
        <w:r w:rsidR="00AC5392" w:rsidRPr="00533B68">
          <w:t>Division 3.3.1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Commercial arbitration—general</w:t>
        </w:r>
        <w:r w:rsidR="00AC5392" w:rsidRPr="00AC5392">
          <w:rPr>
            <w:vanish/>
          </w:rPr>
          <w:tab/>
        </w:r>
        <w:r w:rsidR="00AC5392" w:rsidRPr="00AC5392">
          <w:rPr>
            <w:vanish/>
          </w:rPr>
          <w:fldChar w:fldCharType="begin"/>
        </w:r>
        <w:r w:rsidR="00AC5392" w:rsidRPr="00AC5392">
          <w:rPr>
            <w:vanish/>
          </w:rPr>
          <w:instrText xml:space="preserve"> PAGEREF _Toc185514649 \h </w:instrText>
        </w:r>
        <w:r w:rsidR="00AC5392" w:rsidRPr="00AC5392">
          <w:rPr>
            <w:vanish/>
          </w:rPr>
        </w:r>
        <w:r w:rsidR="00AC5392" w:rsidRPr="00AC5392">
          <w:rPr>
            <w:vanish/>
          </w:rPr>
          <w:fldChar w:fldCharType="separate"/>
        </w:r>
        <w:r w:rsidR="00AC5392" w:rsidRPr="00AC5392">
          <w:rPr>
            <w:vanish/>
          </w:rPr>
          <w:t>596</w:t>
        </w:r>
        <w:r w:rsidR="00AC5392" w:rsidRPr="00AC5392">
          <w:rPr>
            <w:vanish/>
          </w:rPr>
          <w:fldChar w:fldCharType="end"/>
        </w:r>
      </w:hyperlink>
    </w:p>
    <w:p w14:paraId="5FF13B5B" w14:textId="695B70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0" w:history="1">
        <w:r w:rsidRPr="00533B68">
          <w:t>3250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Commercial Arbitration Act</w:t>
        </w:r>
        <w:r w:rsidRPr="00533B68">
          <w:t>—pt 3.3</w:t>
        </w:r>
        <w:r>
          <w:tab/>
        </w:r>
        <w:r>
          <w:fldChar w:fldCharType="begin"/>
        </w:r>
        <w:r>
          <w:instrText xml:space="preserve"> PAGEREF _Toc185514650 \h </w:instrText>
        </w:r>
        <w:r>
          <w:fldChar w:fldCharType="separate"/>
        </w:r>
        <w:r>
          <w:t>596</w:t>
        </w:r>
        <w:r>
          <w:fldChar w:fldCharType="end"/>
        </w:r>
      </w:hyperlink>
    </w:p>
    <w:p w14:paraId="447EF530" w14:textId="73EAD8C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1" w:history="1">
        <w:r w:rsidRPr="00533B68">
          <w:t>3251</w:t>
        </w:r>
        <w:r>
          <w:rPr>
            <w:rFonts w:asciiTheme="minorHAnsi" w:eastAsiaTheme="minorEastAsia" w:hAnsiTheme="minorHAnsi" w:cstheme="minorBidi"/>
            <w:kern w:val="2"/>
            <w:sz w:val="24"/>
            <w:szCs w:val="24"/>
            <w:lang w:eastAsia="en-AU"/>
            <w14:ligatures w14:val="standardContextual"/>
          </w:rPr>
          <w:tab/>
        </w:r>
        <w:r w:rsidRPr="00533B68">
          <w:t>Terms used in Commercial Arbitration Act</w:t>
        </w:r>
        <w:r>
          <w:tab/>
        </w:r>
        <w:r>
          <w:fldChar w:fldCharType="begin"/>
        </w:r>
        <w:r>
          <w:instrText xml:space="preserve"> PAGEREF _Toc185514651 \h </w:instrText>
        </w:r>
        <w:r>
          <w:fldChar w:fldCharType="separate"/>
        </w:r>
        <w:r>
          <w:t>596</w:t>
        </w:r>
        <w:r>
          <w:fldChar w:fldCharType="end"/>
        </w:r>
      </w:hyperlink>
    </w:p>
    <w:p w14:paraId="55911830" w14:textId="138ACB6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2" w:history="1">
        <w:r w:rsidRPr="00533B68">
          <w:t>3252</w:t>
        </w:r>
        <w:r>
          <w:rPr>
            <w:rFonts w:asciiTheme="minorHAnsi" w:eastAsiaTheme="minorEastAsia" w:hAnsiTheme="minorHAnsi" w:cstheme="minorBidi"/>
            <w:kern w:val="2"/>
            <w:sz w:val="24"/>
            <w:szCs w:val="24"/>
            <w:lang w:eastAsia="en-AU"/>
            <w14:ligatures w14:val="standardContextual"/>
          </w:rPr>
          <w:tab/>
        </w:r>
        <w:r w:rsidRPr="00533B68">
          <w:t>Commercial arbitration—application</w:t>
        </w:r>
        <w:r>
          <w:tab/>
        </w:r>
        <w:r>
          <w:fldChar w:fldCharType="begin"/>
        </w:r>
        <w:r>
          <w:instrText xml:space="preserve"> PAGEREF _Toc185514652 \h </w:instrText>
        </w:r>
        <w:r>
          <w:fldChar w:fldCharType="separate"/>
        </w:r>
        <w:r>
          <w:t>597</w:t>
        </w:r>
        <w:r>
          <w:fldChar w:fldCharType="end"/>
        </w:r>
      </w:hyperlink>
    </w:p>
    <w:p w14:paraId="3A59DCE7" w14:textId="4EAA9738"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653" w:history="1">
        <w:r w:rsidRPr="00533B68">
          <w:t>3253</w:t>
        </w:r>
        <w:r>
          <w:rPr>
            <w:rFonts w:asciiTheme="minorHAnsi" w:eastAsiaTheme="minorEastAsia" w:hAnsiTheme="minorHAnsi" w:cstheme="minorBidi"/>
            <w:kern w:val="2"/>
            <w:sz w:val="24"/>
            <w:szCs w:val="24"/>
            <w:lang w:eastAsia="en-AU"/>
            <w14:ligatures w14:val="standardContextual"/>
          </w:rPr>
          <w:tab/>
        </w:r>
        <w:r w:rsidRPr="00533B68">
          <w:t>Commercial arbitration—leave to appeal under Commercial Arbitration Act, s 34A</w:t>
        </w:r>
        <w:r>
          <w:tab/>
        </w:r>
        <w:r>
          <w:fldChar w:fldCharType="begin"/>
        </w:r>
        <w:r>
          <w:instrText xml:space="preserve"> PAGEREF _Toc185514653 \h </w:instrText>
        </w:r>
        <w:r>
          <w:fldChar w:fldCharType="separate"/>
        </w:r>
        <w:r>
          <w:t>597</w:t>
        </w:r>
        <w:r>
          <w:fldChar w:fldCharType="end"/>
        </w:r>
      </w:hyperlink>
    </w:p>
    <w:p w14:paraId="247C603D" w14:textId="017826E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4" w:history="1">
        <w:r w:rsidRPr="00533B68">
          <w:t>3255</w:t>
        </w:r>
        <w:r>
          <w:rPr>
            <w:rFonts w:asciiTheme="minorHAnsi" w:eastAsiaTheme="minorEastAsia" w:hAnsiTheme="minorHAnsi" w:cstheme="minorBidi"/>
            <w:kern w:val="2"/>
            <w:sz w:val="24"/>
            <w:szCs w:val="24"/>
            <w:lang w:eastAsia="en-AU"/>
            <w14:ligatures w14:val="standardContextual"/>
          </w:rPr>
          <w:tab/>
        </w:r>
        <w:r w:rsidRPr="00533B68">
          <w:t>Commercial arbitration—application under Commercial Arbitration Act, s 27J</w:t>
        </w:r>
        <w:r>
          <w:tab/>
        </w:r>
        <w:r>
          <w:fldChar w:fldCharType="begin"/>
        </w:r>
        <w:r>
          <w:instrText xml:space="preserve"> PAGEREF _Toc185514654 \h </w:instrText>
        </w:r>
        <w:r>
          <w:fldChar w:fldCharType="separate"/>
        </w:r>
        <w:r>
          <w:t>598</w:t>
        </w:r>
        <w:r>
          <w:fldChar w:fldCharType="end"/>
        </w:r>
      </w:hyperlink>
    </w:p>
    <w:p w14:paraId="5284C13A" w14:textId="7978FA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5" w:history="1">
        <w:r w:rsidRPr="00533B68">
          <w:t>3256</w:t>
        </w:r>
        <w:r>
          <w:rPr>
            <w:rFonts w:asciiTheme="minorHAnsi" w:eastAsiaTheme="minorEastAsia" w:hAnsiTheme="minorHAnsi" w:cstheme="minorBidi"/>
            <w:kern w:val="2"/>
            <w:sz w:val="24"/>
            <w:szCs w:val="24"/>
            <w:lang w:eastAsia="en-AU"/>
            <w14:ligatures w14:val="standardContextual"/>
          </w:rPr>
          <w:tab/>
        </w:r>
        <w:r w:rsidRPr="00533B68">
          <w:t>Commercial arbitration—application for order under Commercial Arbitration Act, s 34 (1)</w:t>
        </w:r>
        <w:r>
          <w:tab/>
        </w:r>
        <w:r>
          <w:fldChar w:fldCharType="begin"/>
        </w:r>
        <w:r>
          <w:instrText xml:space="preserve"> PAGEREF _Toc185514655 \h </w:instrText>
        </w:r>
        <w:r>
          <w:fldChar w:fldCharType="separate"/>
        </w:r>
        <w:r>
          <w:t>598</w:t>
        </w:r>
        <w:r>
          <w:fldChar w:fldCharType="end"/>
        </w:r>
      </w:hyperlink>
    </w:p>
    <w:p w14:paraId="49F5A955" w14:textId="311EB7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6" w:history="1">
        <w:r w:rsidRPr="00533B68">
          <w:t>3257</w:t>
        </w:r>
        <w:r>
          <w:rPr>
            <w:rFonts w:asciiTheme="minorHAnsi" w:eastAsiaTheme="minorEastAsia" w:hAnsiTheme="minorHAnsi" w:cstheme="minorBidi"/>
            <w:kern w:val="2"/>
            <w:sz w:val="24"/>
            <w:szCs w:val="24"/>
            <w:lang w:eastAsia="en-AU"/>
            <w14:ligatures w14:val="standardContextual"/>
          </w:rPr>
          <w:tab/>
        </w:r>
        <w:r w:rsidRPr="00533B68">
          <w:t>Commercial arbitration—offers of compromise</w:t>
        </w:r>
        <w:r>
          <w:tab/>
        </w:r>
        <w:r>
          <w:fldChar w:fldCharType="begin"/>
        </w:r>
        <w:r>
          <w:instrText xml:space="preserve"> PAGEREF _Toc185514656 \h </w:instrText>
        </w:r>
        <w:r>
          <w:fldChar w:fldCharType="separate"/>
        </w:r>
        <w:r>
          <w:t>599</w:t>
        </w:r>
        <w:r>
          <w:fldChar w:fldCharType="end"/>
        </w:r>
      </w:hyperlink>
    </w:p>
    <w:p w14:paraId="706E04DB" w14:textId="027CD22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7" w:history="1">
        <w:r w:rsidRPr="00533B68">
          <w:t>3258</w:t>
        </w:r>
        <w:r>
          <w:rPr>
            <w:rFonts w:asciiTheme="minorHAnsi" w:eastAsiaTheme="minorEastAsia" w:hAnsiTheme="minorHAnsi" w:cstheme="minorBidi"/>
            <w:kern w:val="2"/>
            <w:sz w:val="24"/>
            <w:szCs w:val="24"/>
            <w:lang w:eastAsia="en-AU"/>
            <w14:ligatures w14:val="standardContextual"/>
          </w:rPr>
          <w:tab/>
        </w:r>
        <w:r w:rsidRPr="00533B68">
          <w:t>Commercial arbitration—examination of witnesses</w:t>
        </w:r>
        <w:r>
          <w:tab/>
        </w:r>
        <w:r>
          <w:fldChar w:fldCharType="begin"/>
        </w:r>
        <w:r>
          <w:instrText xml:space="preserve"> PAGEREF _Toc185514657 \h </w:instrText>
        </w:r>
        <w:r>
          <w:fldChar w:fldCharType="separate"/>
        </w:r>
        <w:r>
          <w:t>599</w:t>
        </w:r>
        <w:r>
          <w:fldChar w:fldCharType="end"/>
        </w:r>
      </w:hyperlink>
    </w:p>
    <w:p w14:paraId="47BD43BD" w14:textId="099767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8" w:history="1">
        <w:r w:rsidRPr="00533B68">
          <w:t>3259</w:t>
        </w:r>
        <w:r>
          <w:rPr>
            <w:rFonts w:asciiTheme="minorHAnsi" w:eastAsiaTheme="minorEastAsia" w:hAnsiTheme="minorHAnsi" w:cstheme="minorBidi"/>
            <w:kern w:val="2"/>
            <w:sz w:val="24"/>
            <w:szCs w:val="24"/>
            <w:lang w:eastAsia="en-AU"/>
            <w14:ligatures w14:val="standardContextual"/>
          </w:rPr>
          <w:tab/>
        </w:r>
        <w:r w:rsidRPr="00533B68">
          <w:t>Commercial arbitration—decision to refuse to issue interim measure</w:t>
        </w:r>
        <w:r>
          <w:tab/>
        </w:r>
        <w:r>
          <w:fldChar w:fldCharType="begin"/>
        </w:r>
        <w:r>
          <w:instrText xml:space="preserve"> PAGEREF _Toc185514658 \h </w:instrText>
        </w:r>
        <w:r>
          <w:fldChar w:fldCharType="separate"/>
        </w:r>
        <w:r>
          <w:t>600</w:t>
        </w:r>
        <w:r>
          <w:fldChar w:fldCharType="end"/>
        </w:r>
      </w:hyperlink>
    </w:p>
    <w:p w14:paraId="42DC7F01" w14:textId="1071509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59" w:history="1">
        <w:r w:rsidRPr="00533B68">
          <w:t>3260</w:t>
        </w:r>
        <w:r>
          <w:rPr>
            <w:rFonts w:asciiTheme="minorHAnsi" w:eastAsiaTheme="minorEastAsia" w:hAnsiTheme="minorHAnsi" w:cstheme="minorBidi"/>
            <w:kern w:val="2"/>
            <w:sz w:val="24"/>
            <w:szCs w:val="24"/>
            <w:lang w:eastAsia="en-AU"/>
            <w14:ligatures w14:val="standardContextual"/>
          </w:rPr>
          <w:tab/>
        </w:r>
        <w:r w:rsidRPr="00533B68">
          <w:t>Commercial arbitration—application to enforce arbitral award</w:t>
        </w:r>
        <w:r>
          <w:tab/>
        </w:r>
        <w:r>
          <w:fldChar w:fldCharType="begin"/>
        </w:r>
        <w:r>
          <w:instrText xml:space="preserve"> PAGEREF _Toc185514659 \h </w:instrText>
        </w:r>
        <w:r>
          <w:fldChar w:fldCharType="separate"/>
        </w:r>
        <w:r>
          <w:t>600</w:t>
        </w:r>
        <w:r>
          <w:fldChar w:fldCharType="end"/>
        </w:r>
      </w:hyperlink>
    </w:p>
    <w:p w14:paraId="20011EEF" w14:textId="662C605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0" w:history="1">
        <w:r w:rsidRPr="00533B68">
          <w:t>3261</w:t>
        </w:r>
        <w:r>
          <w:rPr>
            <w:rFonts w:asciiTheme="minorHAnsi" w:eastAsiaTheme="minorEastAsia" w:hAnsiTheme="minorHAnsi" w:cstheme="minorBidi"/>
            <w:kern w:val="2"/>
            <w:sz w:val="24"/>
            <w:szCs w:val="24"/>
            <w:lang w:eastAsia="en-AU"/>
            <w14:ligatures w14:val="standardContextual"/>
          </w:rPr>
          <w:tab/>
        </w:r>
        <w:r w:rsidRPr="00533B68">
          <w:t>Commercial arbitration—evidence of arbitral award for purposes of enforcement</w:t>
        </w:r>
        <w:r>
          <w:tab/>
        </w:r>
        <w:r>
          <w:fldChar w:fldCharType="begin"/>
        </w:r>
        <w:r>
          <w:instrText xml:space="preserve"> PAGEREF _Toc185514660 \h </w:instrText>
        </w:r>
        <w:r>
          <w:fldChar w:fldCharType="separate"/>
        </w:r>
        <w:r>
          <w:t>600</w:t>
        </w:r>
        <w:r>
          <w:fldChar w:fldCharType="end"/>
        </w:r>
      </w:hyperlink>
    </w:p>
    <w:p w14:paraId="660C7AEF" w14:textId="4F7807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1" w:history="1">
        <w:r w:rsidRPr="00533B68">
          <w:t>3262</w:t>
        </w:r>
        <w:r>
          <w:rPr>
            <w:rFonts w:asciiTheme="minorHAnsi" w:eastAsiaTheme="minorEastAsia" w:hAnsiTheme="minorHAnsi" w:cstheme="minorBidi"/>
            <w:kern w:val="2"/>
            <w:sz w:val="24"/>
            <w:szCs w:val="24"/>
            <w:lang w:eastAsia="en-AU"/>
            <w14:ligatures w14:val="standardContextual"/>
          </w:rPr>
          <w:tab/>
        </w:r>
        <w:r w:rsidRPr="00533B68">
          <w:t>Commercial arbitration—endorsement and service of application for enforcement</w:t>
        </w:r>
        <w:r>
          <w:tab/>
        </w:r>
        <w:r>
          <w:fldChar w:fldCharType="begin"/>
        </w:r>
        <w:r>
          <w:instrText xml:space="preserve"> PAGEREF _Toc185514661 \h </w:instrText>
        </w:r>
        <w:r>
          <w:fldChar w:fldCharType="separate"/>
        </w:r>
        <w:r>
          <w:t>601</w:t>
        </w:r>
        <w:r>
          <w:fldChar w:fldCharType="end"/>
        </w:r>
      </w:hyperlink>
    </w:p>
    <w:p w14:paraId="07D500F0" w14:textId="126E722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62" w:history="1">
        <w:r w:rsidR="00AC5392" w:rsidRPr="00533B68">
          <w:t>Division 3.3.2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Commercial arbitration—payment into court</w:t>
        </w:r>
        <w:r w:rsidR="00AC5392" w:rsidRPr="00AC5392">
          <w:rPr>
            <w:vanish/>
          </w:rPr>
          <w:tab/>
        </w:r>
        <w:r w:rsidR="00AC5392" w:rsidRPr="00AC5392">
          <w:rPr>
            <w:vanish/>
          </w:rPr>
          <w:fldChar w:fldCharType="begin"/>
        </w:r>
        <w:r w:rsidR="00AC5392" w:rsidRPr="00AC5392">
          <w:rPr>
            <w:vanish/>
          </w:rPr>
          <w:instrText xml:space="preserve"> PAGEREF _Toc185514662 \h </w:instrText>
        </w:r>
        <w:r w:rsidR="00AC5392" w:rsidRPr="00AC5392">
          <w:rPr>
            <w:vanish/>
          </w:rPr>
        </w:r>
        <w:r w:rsidR="00AC5392" w:rsidRPr="00AC5392">
          <w:rPr>
            <w:vanish/>
          </w:rPr>
          <w:fldChar w:fldCharType="separate"/>
        </w:r>
        <w:r w:rsidR="00AC5392" w:rsidRPr="00AC5392">
          <w:rPr>
            <w:vanish/>
          </w:rPr>
          <w:t>601</w:t>
        </w:r>
        <w:r w:rsidR="00AC5392" w:rsidRPr="00AC5392">
          <w:rPr>
            <w:vanish/>
          </w:rPr>
          <w:fldChar w:fldCharType="end"/>
        </w:r>
      </w:hyperlink>
    </w:p>
    <w:p w14:paraId="1191B010" w14:textId="4ABE52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3" w:history="1">
        <w:r w:rsidRPr="00533B68">
          <w:t>3263</w:t>
        </w:r>
        <w:r>
          <w:rPr>
            <w:rFonts w:asciiTheme="minorHAnsi" w:eastAsiaTheme="minorEastAsia" w:hAnsiTheme="minorHAnsi" w:cstheme="minorBidi"/>
            <w:kern w:val="2"/>
            <w:sz w:val="24"/>
            <w:szCs w:val="24"/>
            <w:lang w:eastAsia="en-AU"/>
            <w14:ligatures w14:val="standardContextual"/>
          </w:rPr>
          <w:tab/>
        </w:r>
        <w:r w:rsidRPr="00533B68">
          <w:t>Commercial arbitration—payment into court</w:t>
        </w:r>
        <w:r>
          <w:tab/>
        </w:r>
        <w:r>
          <w:fldChar w:fldCharType="begin"/>
        </w:r>
        <w:r>
          <w:instrText xml:space="preserve"> PAGEREF _Toc185514663 \h </w:instrText>
        </w:r>
        <w:r>
          <w:fldChar w:fldCharType="separate"/>
        </w:r>
        <w:r>
          <w:t>601</w:t>
        </w:r>
        <w:r>
          <w:fldChar w:fldCharType="end"/>
        </w:r>
      </w:hyperlink>
    </w:p>
    <w:p w14:paraId="1D1C041F" w14:textId="027B2CD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4" w:history="1">
        <w:r w:rsidRPr="00533B68">
          <w:t>3264</w:t>
        </w:r>
        <w:r>
          <w:rPr>
            <w:rFonts w:asciiTheme="minorHAnsi" w:eastAsiaTheme="minorEastAsia" w:hAnsiTheme="minorHAnsi" w:cstheme="minorBidi"/>
            <w:kern w:val="2"/>
            <w:sz w:val="24"/>
            <w:szCs w:val="24"/>
            <w:lang w:eastAsia="en-AU"/>
            <w14:ligatures w14:val="standardContextual"/>
          </w:rPr>
          <w:tab/>
        </w:r>
        <w:r w:rsidRPr="00533B68">
          <w:t>Payment into court—costs</w:t>
        </w:r>
        <w:r>
          <w:tab/>
        </w:r>
        <w:r>
          <w:fldChar w:fldCharType="begin"/>
        </w:r>
        <w:r>
          <w:instrText xml:space="preserve"> PAGEREF _Toc185514664 \h </w:instrText>
        </w:r>
        <w:r>
          <w:fldChar w:fldCharType="separate"/>
        </w:r>
        <w:r>
          <w:t>602</w:t>
        </w:r>
        <w:r>
          <w:fldChar w:fldCharType="end"/>
        </w:r>
      </w:hyperlink>
    </w:p>
    <w:p w14:paraId="56D6D67A" w14:textId="4A72CC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5" w:history="1">
        <w:r w:rsidRPr="00533B68">
          <w:t>3265</w:t>
        </w:r>
        <w:r>
          <w:rPr>
            <w:rFonts w:asciiTheme="minorHAnsi" w:eastAsiaTheme="minorEastAsia" w:hAnsiTheme="minorHAnsi" w:cstheme="minorBidi"/>
            <w:kern w:val="2"/>
            <w:sz w:val="24"/>
            <w:szCs w:val="24"/>
            <w:lang w:eastAsia="en-AU"/>
            <w14:ligatures w14:val="standardContextual"/>
          </w:rPr>
          <w:tab/>
        </w:r>
        <w:r w:rsidRPr="00533B68">
          <w:t>Payment into court—bond or security</w:t>
        </w:r>
        <w:r>
          <w:tab/>
        </w:r>
        <w:r>
          <w:fldChar w:fldCharType="begin"/>
        </w:r>
        <w:r>
          <w:instrText xml:space="preserve"> PAGEREF _Toc185514665 \h </w:instrText>
        </w:r>
        <w:r>
          <w:fldChar w:fldCharType="separate"/>
        </w:r>
        <w:r>
          <w:t>602</w:t>
        </w:r>
        <w:r>
          <w:fldChar w:fldCharType="end"/>
        </w:r>
      </w:hyperlink>
    </w:p>
    <w:p w14:paraId="0AEEEF86" w14:textId="3124D9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6" w:history="1">
        <w:r w:rsidRPr="00533B68">
          <w:t>3266</w:t>
        </w:r>
        <w:r>
          <w:rPr>
            <w:rFonts w:asciiTheme="minorHAnsi" w:eastAsiaTheme="minorEastAsia" w:hAnsiTheme="minorHAnsi" w:cstheme="minorBidi"/>
            <w:kern w:val="2"/>
            <w:sz w:val="24"/>
            <w:szCs w:val="24"/>
            <w:lang w:eastAsia="en-AU"/>
            <w14:ligatures w14:val="standardContextual"/>
          </w:rPr>
          <w:tab/>
        </w:r>
        <w:r w:rsidRPr="00533B68">
          <w:t>Payment into court—interest up to payment</w:t>
        </w:r>
        <w:r>
          <w:tab/>
        </w:r>
        <w:r>
          <w:fldChar w:fldCharType="begin"/>
        </w:r>
        <w:r>
          <w:instrText xml:space="preserve"> PAGEREF _Toc185514666 \h </w:instrText>
        </w:r>
        <w:r>
          <w:fldChar w:fldCharType="separate"/>
        </w:r>
        <w:r>
          <w:t>603</w:t>
        </w:r>
        <w:r>
          <w:fldChar w:fldCharType="end"/>
        </w:r>
      </w:hyperlink>
    </w:p>
    <w:p w14:paraId="0B679C0F" w14:textId="6DA5FF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7" w:history="1">
        <w:r w:rsidRPr="00533B68">
          <w:t>3267</w:t>
        </w:r>
        <w:r>
          <w:rPr>
            <w:rFonts w:asciiTheme="minorHAnsi" w:eastAsiaTheme="minorEastAsia" w:hAnsiTheme="minorHAnsi" w:cstheme="minorBidi"/>
            <w:kern w:val="2"/>
            <w:sz w:val="24"/>
            <w:szCs w:val="24"/>
            <w:lang w:eastAsia="en-AU"/>
            <w14:ligatures w14:val="standardContextual"/>
          </w:rPr>
          <w:tab/>
        </w:r>
        <w:r w:rsidRPr="00533B68">
          <w:t>Payment into court—acceptance</w:t>
        </w:r>
        <w:r>
          <w:tab/>
        </w:r>
        <w:r>
          <w:fldChar w:fldCharType="begin"/>
        </w:r>
        <w:r>
          <w:instrText xml:space="preserve"> PAGEREF _Toc185514667 \h </w:instrText>
        </w:r>
        <w:r>
          <w:fldChar w:fldCharType="separate"/>
        </w:r>
        <w:r>
          <w:t>603</w:t>
        </w:r>
        <w:r>
          <w:fldChar w:fldCharType="end"/>
        </w:r>
      </w:hyperlink>
    </w:p>
    <w:p w14:paraId="20DA9DA7" w14:textId="144BF45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8" w:history="1">
        <w:r w:rsidRPr="00533B68">
          <w:t>3268</w:t>
        </w:r>
        <w:r>
          <w:rPr>
            <w:rFonts w:asciiTheme="minorHAnsi" w:eastAsiaTheme="minorEastAsia" w:hAnsiTheme="minorHAnsi" w:cstheme="minorBidi"/>
            <w:kern w:val="2"/>
            <w:sz w:val="24"/>
            <w:szCs w:val="24"/>
            <w:lang w:eastAsia="en-AU"/>
            <w14:ligatures w14:val="standardContextual"/>
          </w:rPr>
          <w:tab/>
        </w:r>
        <w:r w:rsidRPr="00533B68">
          <w:t>Payment into court—costs on acceptance by claimant</w:t>
        </w:r>
        <w:r>
          <w:tab/>
        </w:r>
        <w:r>
          <w:fldChar w:fldCharType="begin"/>
        </w:r>
        <w:r>
          <w:instrText xml:space="preserve"> PAGEREF _Toc185514668 \h </w:instrText>
        </w:r>
        <w:r>
          <w:fldChar w:fldCharType="separate"/>
        </w:r>
        <w:r>
          <w:t>604</w:t>
        </w:r>
        <w:r>
          <w:fldChar w:fldCharType="end"/>
        </w:r>
      </w:hyperlink>
    </w:p>
    <w:p w14:paraId="7DDEDDF7" w14:textId="40EA74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69" w:history="1">
        <w:r w:rsidRPr="00533B68">
          <w:t>3269</w:t>
        </w:r>
        <w:r>
          <w:rPr>
            <w:rFonts w:asciiTheme="minorHAnsi" w:eastAsiaTheme="minorEastAsia" w:hAnsiTheme="minorHAnsi" w:cstheme="minorBidi"/>
            <w:kern w:val="2"/>
            <w:sz w:val="24"/>
            <w:szCs w:val="24"/>
            <w:lang w:eastAsia="en-AU"/>
            <w14:ligatures w14:val="standardContextual"/>
          </w:rPr>
          <w:tab/>
        </w:r>
        <w:r w:rsidRPr="00533B68">
          <w:t>Payment into court—payment out of remaining amount</w:t>
        </w:r>
        <w:r>
          <w:tab/>
        </w:r>
        <w:r>
          <w:fldChar w:fldCharType="begin"/>
        </w:r>
        <w:r>
          <w:instrText xml:space="preserve"> PAGEREF _Toc185514669 \h </w:instrText>
        </w:r>
        <w:r>
          <w:fldChar w:fldCharType="separate"/>
        </w:r>
        <w:r>
          <w:t>604</w:t>
        </w:r>
        <w:r>
          <w:fldChar w:fldCharType="end"/>
        </w:r>
      </w:hyperlink>
    </w:p>
    <w:p w14:paraId="69F645D0" w14:textId="7D90586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0" w:history="1">
        <w:r w:rsidRPr="00533B68">
          <w:t>3269A</w:t>
        </w:r>
        <w:r>
          <w:rPr>
            <w:rFonts w:asciiTheme="minorHAnsi" w:eastAsiaTheme="minorEastAsia" w:hAnsiTheme="minorHAnsi" w:cstheme="minorBidi"/>
            <w:kern w:val="2"/>
            <w:sz w:val="24"/>
            <w:szCs w:val="24"/>
            <w:lang w:eastAsia="en-AU"/>
            <w14:ligatures w14:val="standardContextual"/>
          </w:rPr>
          <w:tab/>
        </w:r>
        <w:r w:rsidRPr="00533B68">
          <w:t>Payment into court—nondisclosure</w:t>
        </w:r>
        <w:r>
          <w:tab/>
        </w:r>
        <w:r>
          <w:fldChar w:fldCharType="begin"/>
        </w:r>
        <w:r>
          <w:instrText xml:space="preserve"> PAGEREF _Toc185514670 \h </w:instrText>
        </w:r>
        <w:r>
          <w:fldChar w:fldCharType="separate"/>
        </w:r>
        <w:r>
          <w:t>604</w:t>
        </w:r>
        <w:r>
          <w:fldChar w:fldCharType="end"/>
        </w:r>
      </w:hyperlink>
    </w:p>
    <w:p w14:paraId="27E12AC9" w14:textId="7C0A884A"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671" w:history="1">
        <w:r w:rsidR="00AC5392" w:rsidRPr="00533B68">
          <w:t>Part 3.4</w:t>
        </w:r>
        <w:r w:rsidR="00AC5392">
          <w:rPr>
            <w:rFonts w:asciiTheme="minorHAnsi" w:eastAsiaTheme="minorEastAsia" w:hAnsiTheme="minorHAnsi" w:cstheme="minorBidi"/>
            <w:b w:val="0"/>
            <w:kern w:val="2"/>
            <w:szCs w:val="24"/>
            <w:lang w:eastAsia="en-AU"/>
            <w14:ligatures w14:val="standardContextual"/>
          </w:rPr>
          <w:tab/>
        </w:r>
        <w:r w:rsidR="00AC5392" w:rsidRPr="00533B68">
          <w:t>Corporations Act and ASIC Act</w:t>
        </w:r>
        <w:r w:rsidR="00AC5392" w:rsidRPr="00AC5392">
          <w:rPr>
            <w:vanish/>
          </w:rPr>
          <w:tab/>
        </w:r>
        <w:r w:rsidR="00AC5392" w:rsidRPr="00AC5392">
          <w:rPr>
            <w:vanish/>
          </w:rPr>
          <w:fldChar w:fldCharType="begin"/>
        </w:r>
        <w:r w:rsidR="00AC5392" w:rsidRPr="00AC5392">
          <w:rPr>
            <w:vanish/>
          </w:rPr>
          <w:instrText xml:space="preserve"> PAGEREF _Toc185514671 \h </w:instrText>
        </w:r>
        <w:r w:rsidR="00AC5392" w:rsidRPr="00AC5392">
          <w:rPr>
            <w:vanish/>
          </w:rPr>
        </w:r>
        <w:r w:rsidR="00AC5392" w:rsidRPr="00AC5392">
          <w:rPr>
            <w:vanish/>
          </w:rPr>
          <w:fldChar w:fldCharType="separate"/>
        </w:r>
        <w:r w:rsidR="00AC5392" w:rsidRPr="00AC5392">
          <w:rPr>
            <w:vanish/>
          </w:rPr>
          <w:t>605</w:t>
        </w:r>
        <w:r w:rsidR="00AC5392" w:rsidRPr="00AC5392">
          <w:rPr>
            <w:vanish/>
          </w:rPr>
          <w:fldChar w:fldCharType="end"/>
        </w:r>
      </w:hyperlink>
    </w:p>
    <w:p w14:paraId="04331BEB" w14:textId="259B750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2" w:history="1">
        <w:r w:rsidRPr="00533B68">
          <w:t>3270</w:t>
        </w:r>
        <w:r>
          <w:rPr>
            <w:rFonts w:asciiTheme="minorHAnsi" w:eastAsiaTheme="minorEastAsia" w:hAnsiTheme="minorHAnsi" w:cstheme="minorBidi"/>
            <w:kern w:val="2"/>
            <w:sz w:val="24"/>
            <w:szCs w:val="24"/>
            <w:lang w:eastAsia="en-AU"/>
            <w14:ligatures w14:val="standardContextual"/>
          </w:rPr>
          <w:tab/>
        </w:r>
        <w:r w:rsidRPr="00533B68">
          <w:t>Rules for proceedings under Corporations Act or ASIC Act</w:t>
        </w:r>
        <w:r>
          <w:tab/>
        </w:r>
        <w:r>
          <w:fldChar w:fldCharType="begin"/>
        </w:r>
        <w:r>
          <w:instrText xml:space="preserve"> PAGEREF _Toc185514672 \h </w:instrText>
        </w:r>
        <w:r>
          <w:fldChar w:fldCharType="separate"/>
        </w:r>
        <w:r>
          <w:t>605</w:t>
        </w:r>
        <w:r>
          <w:fldChar w:fldCharType="end"/>
        </w:r>
      </w:hyperlink>
    </w:p>
    <w:p w14:paraId="37C2B102" w14:textId="54CA3EF8"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673" w:history="1">
        <w:r w:rsidR="00AC5392" w:rsidRPr="00533B68">
          <w:t>Part 3.5</w:t>
        </w:r>
        <w:r w:rsidR="00AC5392">
          <w:rPr>
            <w:rFonts w:asciiTheme="minorHAnsi" w:eastAsiaTheme="minorEastAsia" w:hAnsiTheme="minorHAnsi" w:cstheme="minorBidi"/>
            <w:b w:val="0"/>
            <w:kern w:val="2"/>
            <w:szCs w:val="24"/>
            <w:lang w:eastAsia="en-AU"/>
            <w14:ligatures w14:val="standardContextual"/>
          </w:rPr>
          <w:tab/>
        </w:r>
        <w:r w:rsidR="00AC5392" w:rsidRPr="00533B68">
          <w:t>Cross-vesting</w:t>
        </w:r>
        <w:r w:rsidR="00AC5392" w:rsidRPr="00AC5392">
          <w:rPr>
            <w:vanish/>
          </w:rPr>
          <w:tab/>
        </w:r>
        <w:r w:rsidR="00AC5392" w:rsidRPr="00AC5392">
          <w:rPr>
            <w:vanish/>
          </w:rPr>
          <w:fldChar w:fldCharType="begin"/>
        </w:r>
        <w:r w:rsidR="00AC5392" w:rsidRPr="00AC5392">
          <w:rPr>
            <w:vanish/>
          </w:rPr>
          <w:instrText xml:space="preserve"> PAGEREF _Toc185514673 \h </w:instrText>
        </w:r>
        <w:r w:rsidR="00AC5392" w:rsidRPr="00AC5392">
          <w:rPr>
            <w:vanish/>
          </w:rPr>
        </w:r>
        <w:r w:rsidR="00AC5392" w:rsidRPr="00AC5392">
          <w:rPr>
            <w:vanish/>
          </w:rPr>
          <w:fldChar w:fldCharType="separate"/>
        </w:r>
        <w:r w:rsidR="00AC5392" w:rsidRPr="00AC5392">
          <w:rPr>
            <w:vanish/>
          </w:rPr>
          <w:t>606</w:t>
        </w:r>
        <w:r w:rsidR="00AC5392" w:rsidRPr="00AC5392">
          <w:rPr>
            <w:vanish/>
          </w:rPr>
          <w:fldChar w:fldCharType="end"/>
        </w:r>
      </w:hyperlink>
    </w:p>
    <w:p w14:paraId="430D5AC4" w14:textId="57E473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4" w:history="1">
        <w:r w:rsidRPr="00533B68">
          <w:t>3300</w:t>
        </w:r>
        <w:r>
          <w:rPr>
            <w:rFonts w:asciiTheme="minorHAnsi" w:eastAsiaTheme="minorEastAsia" w:hAnsiTheme="minorHAnsi" w:cstheme="minorBidi"/>
            <w:kern w:val="2"/>
            <w:sz w:val="24"/>
            <w:szCs w:val="24"/>
            <w:lang w:eastAsia="en-AU"/>
            <w14:ligatures w14:val="standardContextual"/>
          </w:rPr>
          <w:tab/>
        </w:r>
        <w:r w:rsidRPr="00533B68">
          <w:t>Definitions—pt 3.5</w:t>
        </w:r>
        <w:r>
          <w:tab/>
        </w:r>
        <w:r>
          <w:fldChar w:fldCharType="begin"/>
        </w:r>
        <w:r>
          <w:instrText xml:space="preserve"> PAGEREF _Toc185514674 \h </w:instrText>
        </w:r>
        <w:r>
          <w:fldChar w:fldCharType="separate"/>
        </w:r>
        <w:r>
          <w:t>606</w:t>
        </w:r>
        <w:r>
          <w:fldChar w:fldCharType="end"/>
        </w:r>
      </w:hyperlink>
    </w:p>
    <w:p w14:paraId="725FDE27" w14:textId="7226D19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5" w:history="1">
        <w:r w:rsidRPr="00533B68">
          <w:t>3301</w:t>
        </w:r>
        <w:r>
          <w:rPr>
            <w:rFonts w:asciiTheme="minorHAnsi" w:eastAsiaTheme="minorEastAsia" w:hAnsiTheme="minorHAnsi" w:cstheme="minorBidi"/>
            <w:kern w:val="2"/>
            <w:sz w:val="24"/>
            <w:szCs w:val="24"/>
            <w:lang w:eastAsia="en-AU"/>
            <w14:ligatures w14:val="standardContextual"/>
          </w:rPr>
          <w:tab/>
        </w:r>
        <w:r w:rsidRPr="00533B68">
          <w:t>Terms used in Cross-vesting Act</w:t>
        </w:r>
        <w:r>
          <w:tab/>
        </w:r>
        <w:r>
          <w:fldChar w:fldCharType="begin"/>
        </w:r>
        <w:r>
          <w:instrText xml:space="preserve"> PAGEREF _Toc185514675 \h </w:instrText>
        </w:r>
        <w:r>
          <w:fldChar w:fldCharType="separate"/>
        </w:r>
        <w:r>
          <w:t>606</w:t>
        </w:r>
        <w:r>
          <w:fldChar w:fldCharType="end"/>
        </w:r>
      </w:hyperlink>
    </w:p>
    <w:p w14:paraId="62DA6CE9" w14:textId="5644730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6" w:history="1">
        <w:r w:rsidRPr="00533B68">
          <w:t>3302</w:t>
        </w:r>
        <w:r>
          <w:rPr>
            <w:rFonts w:asciiTheme="minorHAnsi" w:eastAsiaTheme="minorEastAsia" w:hAnsiTheme="minorHAnsi" w:cstheme="minorBidi"/>
            <w:kern w:val="2"/>
            <w:sz w:val="24"/>
            <w:szCs w:val="24"/>
            <w:lang w:eastAsia="en-AU"/>
            <w14:ligatures w14:val="standardContextual"/>
          </w:rPr>
          <w:tab/>
        </w:r>
        <w:r w:rsidRPr="00533B68">
          <w:t>Application—pt 3.5</w:t>
        </w:r>
        <w:r>
          <w:tab/>
        </w:r>
        <w:r>
          <w:fldChar w:fldCharType="begin"/>
        </w:r>
        <w:r>
          <w:instrText xml:space="preserve"> PAGEREF _Toc185514676 \h </w:instrText>
        </w:r>
        <w:r>
          <w:fldChar w:fldCharType="separate"/>
        </w:r>
        <w:r>
          <w:t>606</w:t>
        </w:r>
        <w:r>
          <w:fldChar w:fldCharType="end"/>
        </w:r>
      </w:hyperlink>
    </w:p>
    <w:p w14:paraId="70911277" w14:textId="1AFE1B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7" w:history="1">
        <w:r w:rsidRPr="00533B68">
          <w:t>3303</w:t>
        </w:r>
        <w:r>
          <w:rPr>
            <w:rFonts w:asciiTheme="minorHAnsi" w:eastAsiaTheme="minorEastAsia" w:hAnsiTheme="minorHAnsi" w:cstheme="minorBidi"/>
            <w:kern w:val="2"/>
            <w:sz w:val="24"/>
            <w:szCs w:val="24"/>
            <w:lang w:eastAsia="en-AU"/>
            <w14:ligatures w14:val="standardContextual"/>
          </w:rPr>
          <w:tab/>
        </w:r>
        <w:r w:rsidRPr="00533B68">
          <w:t>Cross-vesting—application for transfer or removal of proceedings</w:t>
        </w:r>
        <w:r>
          <w:tab/>
        </w:r>
        <w:r>
          <w:fldChar w:fldCharType="begin"/>
        </w:r>
        <w:r>
          <w:instrText xml:space="preserve"> PAGEREF _Toc185514677 \h </w:instrText>
        </w:r>
        <w:r>
          <w:fldChar w:fldCharType="separate"/>
        </w:r>
        <w:r>
          <w:t>607</w:t>
        </w:r>
        <w:r>
          <w:fldChar w:fldCharType="end"/>
        </w:r>
      </w:hyperlink>
    </w:p>
    <w:p w14:paraId="087E47AF" w14:textId="21841B6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8" w:history="1">
        <w:r w:rsidRPr="00533B68">
          <w:t>3304</w:t>
        </w:r>
        <w:r>
          <w:rPr>
            <w:rFonts w:asciiTheme="minorHAnsi" w:eastAsiaTheme="minorEastAsia" w:hAnsiTheme="minorHAnsi" w:cstheme="minorBidi"/>
            <w:kern w:val="2"/>
            <w:sz w:val="24"/>
            <w:szCs w:val="24"/>
            <w:lang w:eastAsia="en-AU"/>
            <w14:ligatures w14:val="standardContextual"/>
          </w:rPr>
          <w:tab/>
        </w:r>
        <w:r w:rsidRPr="00533B68">
          <w:t>Cross-vesting—application by Attorney-General</w:t>
        </w:r>
        <w:r>
          <w:tab/>
        </w:r>
        <w:r>
          <w:fldChar w:fldCharType="begin"/>
        </w:r>
        <w:r>
          <w:instrText xml:space="preserve"> PAGEREF _Toc185514678 \h </w:instrText>
        </w:r>
        <w:r>
          <w:fldChar w:fldCharType="separate"/>
        </w:r>
        <w:r>
          <w:t>607</w:t>
        </w:r>
        <w:r>
          <w:fldChar w:fldCharType="end"/>
        </w:r>
      </w:hyperlink>
    </w:p>
    <w:p w14:paraId="6F90C024" w14:textId="641B8F7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79" w:history="1">
        <w:r w:rsidRPr="00533B68">
          <w:t>3305</w:t>
        </w:r>
        <w:r>
          <w:rPr>
            <w:rFonts w:asciiTheme="minorHAnsi" w:eastAsiaTheme="minorEastAsia" w:hAnsiTheme="minorHAnsi" w:cstheme="minorBidi"/>
            <w:kern w:val="2"/>
            <w:sz w:val="24"/>
            <w:szCs w:val="24"/>
            <w:lang w:eastAsia="en-AU"/>
            <w14:ligatures w14:val="standardContextual"/>
          </w:rPr>
          <w:tab/>
        </w:r>
        <w:r w:rsidRPr="00533B68">
          <w:t>Cross-vesting—removal of proceedings</w:t>
        </w:r>
        <w:r>
          <w:tab/>
        </w:r>
        <w:r>
          <w:fldChar w:fldCharType="begin"/>
        </w:r>
        <w:r>
          <w:instrText xml:space="preserve"> PAGEREF _Toc185514679 \h </w:instrText>
        </w:r>
        <w:r>
          <w:fldChar w:fldCharType="separate"/>
        </w:r>
        <w:r>
          <w:t>607</w:t>
        </w:r>
        <w:r>
          <w:fldChar w:fldCharType="end"/>
        </w:r>
      </w:hyperlink>
    </w:p>
    <w:p w14:paraId="1F280E6E" w14:textId="105A99C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80" w:history="1">
        <w:r w:rsidRPr="00533B68">
          <w:t>3306</w:t>
        </w:r>
        <w:r>
          <w:rPr>
            <w:rFonts w:asciiTheme="minorHAnsi" w:eastAsiaTheme="minorEastAsia" w:hAnsiTheme="minorHAnsi" w:cstheme="minorBidi"/>
            <w:kern w:val="2"/>
            <w:sz w:val="24"/>
            <w:szCs w:val="24"/>
            <w:lang w:eastAsia="en-AU"/>
            <w14:ligatures w14:val="standardContextual"/>
          </w:rPr>
          <w:tab/>
        </w:r>
        <w:r w:rsidRPr="00533B68">
          <w:t>Cross-vesting—relying on jurisdiction under cross-vesting laws</w:t>
        </w:r>
        <w:r>
          <w:tab/>
        </w:r>
        <w:r>
          <w:fldChar w:fldCharType="begin"/>
        </w:r>
        <w:r>
          <w:instrText xml:space="preserve"> PAGEREF _Toc185514680 \h </w:instrText>
        </w:r>
        <w:r>
          <w:fldChar w:fldCharType="separate"/>
        </w:r>
        <w:r>
          <w:t>608</w:t>
        </w:r>
        <w:r>
          <w:fldChar w:fldCharType="end"/>
        </w:r>
      </w:hyperlink>
    </w:p>
    <w:p w14:paraId="5EBE546C" w14:textId="7ECB06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81" w:history="1">
        <w:r w:rsidRPr="00533B68">
          <w:t>3307</w:t>
        </w:r>
        <w:r>
          <w:rPr>
            <w:rFonts w:asciiTheme="minorHAnsi" w:eastAsiaTheme="minorEastAsia" w:hAnsiTheme="minorHAnsi" w:cstheme="minorBidi"/>
            <w:kern w:val="2"/>
            <w:sz w:val="24"/>
            <w:szCs w:val="24"/>
            <w:lang w:eastAsia="en-AU"/>
            <w14:ligatures w14:val="standardContextual"/>
          </w:rPr>
          <w:tab/>
        </w:r>
        <w:r w:rsidRPr="00533B68">
          <w:t>Cross-vesting—service</w:t>
        </w:r>
        <w:r>
          <w:tab/>
        </w:r>
        <w:r>
          <w:fldChar w:fldCharType="begin"/>
        </w:r>
        <w:r>
          <w:instrText xml:space="preserve"> PAGEREF _Toc185514681 \h </w:instrText>
        </w:r>
        <w:r>
          <w:fldChar w:fldCharType="separate"/>
        </w:r>
        <w:r>
          <w:t>608</w:t>
        </w:r>
        <w:r>
          <w:fldChar w:fldCharType="end"/>
        </w:r>
      </w:hyperlink>
    </w:p>
    <w:p w14:paraId="46B9917E" w14:textId="4DBF32A3"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682" w:history="1">
        <w:r w:rsidRPr="00533B68">
          <w:t>3308</w:t>
        </w:r>
        <w:r>
          <w:rPr>
            <w:rFonts w:asciiTheme="minorHAnsi" w:eastAsiaTheme="minorEastAsia" w:hAnsiTheme="minorHAnsi" w:cstheme="minorBidi"/>
            <w:kern w:val="2"/>
            <w:sz w:val="24"/>
            <w:szCs w:val="24"/>
            <w:lang w:eastAsia="en-AU"/>
            <w14:ligatures w14:val="standardContextual"/>
          </w:rPr>
          <w:tab/>
        </w:r>
        <w:r w:rsidRPr="00533B68">
          <w:t>Cross-vesting—directions</w:t>
        </w:r>
        <w:r>
          <w:tab/>
        </w:r>
        <w:r>
          <w:fldChar w:fldCharType="begin"/>
        </w:r>
        <w:r>
          <w:instrText xml:space="preserve"> PAGEREF _Toc185514682 \h </w:instrText>
        </w:r>
        <w:r>
          <w:fldChar w:fldCharType="separate"/>
        </w:r>
        <w:r>
          <w:t>609</w:t>
        </w:r>
        <w:r>
          <w:fldChar w:fldCharType="end"/>
        </w:r>
      </w:hyperlink>
    </w:p>
    <w:p w14:paraId="580F7BF1" w14:textId="3B067A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83" w:history="1">
        <w:r w:rsidRPr="00533B68">
          <w:t>3309</w:t>
        </w:r>
        <w:r>
          <w:rPr>
            <w:rFonts w:asciiTheme="minorHAnsi" w:eastAsiaTheme="minorEastAsia" w:hAnsiTheme="minorHAnsi" w:cstheme="minorBidi"/>
            <w:kern w:val="2"/>
            <w:sz w:val="24"/>
            <w:szCs w:val="24"/>
            <w:lang w:eastAsia="en-AU"/>
            <w14:ligatures w14:val="standardContextual"/>
          </w:rPr>
          <w:tab/>
        </w:r>
        <w:r w:rsidRPr="00533B68">
          <w:t>Cross-vesting—procedure following transfer of proceeding from court</w:t>
        </w:r>
        <w:r>
          <w:tab/>
        </w:r>
        <w:r>
          <w:fldChar w:fldCharType="begin"/>
        </w:r>
        <w:r>
          <w:instrText xml:space="preserve"> PAGEREF _Toc185514683 \h </w:instrText>
        </w:r>
        <w:r>
          <w:fldChar w:fldCharType="separate"/>
        </w:r>
        <w:r>
          <w:t>610</w:t>
        </w:r>
        <w:r>
          <w:fldChar w:fldCharType="end"/>
        </w:r>
      </w:hyperlink>
    </w:p>
    <w:p w14:paraId="6512BF57" w14:textId="02A766B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84" w:history="1">
        <w:r w:rsidRPr="00533B68">
          <w:t>3310</w:t>
        </w:r>
        <w:r>
          <w:rPr>
            <w:rFonts w:asciiTheme="minorHAnsi" w:eastAsiaTheme="minorEastAsia" w:hAnsiTheme="minorHAnsi" w:cstheme="minorBidi"/>
            <w:kern w:val="2"/>
            <w:sz w:val="24"/>
            <w:szCs w:val="24"/>
            <w:lang w:eastAsia="en-AU"/>
            <w14:ligatures w14:val="standardContextual"/>
          </w:rPr>
          <w:tab/>
        </w:r>
        <w:r w:rsidRPr="00533B68">
          <w:t>Cross-vesting—procedure following transfer of proceeding to court</w:t>
        </w:r>
        <w:r>
          <w:tab/>
        </w:r>
        <w:r>
          <w:fldChar w:fldCharType="begin"/>
        </w:r>
        <w:r>
          <w:instrText xml:space="preserve"> PAGEREF _Toc185514684 \h </w:instrText>
        </w:r>
        <w:r>
          <w:fldChar w:fldCharType="separate"/>
        </w:r>
        <w:r>
          <w:t>610</w:t>
        </w:r>
        <w:r>
          <w:fldChar w:fldCharType="end"/>
        </w:r>
      </w:hyperlink>
    </w:p>
    <w:p w14:paraId="1B4350F0" w14:textId="6B1B406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85" w:history="1">
        <w:r w:rsidRPr="00533B68">
          <w:t>3311</w:t>
        </w:r>
        <w:r>
          <w:rPr>
            <w:rFonts w:asciiTheme="minorHAnsi" w:eastAsiaTheme="minorEastAsia" w:hAnsiTheme="minorHAnsi" w:cstheme="minorBidi"/>
            <w:kern w:val="2"/>
            <w:sz w:val="24"/>
            <w:szCs w:val="24"/>
            <w:lang w:eastAsia="en-AU"/>
            <w14:ligatures w14:val="standardContextual"/>
          </w:rPr>
          <w:tab/>
        </w:r>
        <w:r w:rsidRPr="00533B68">
          <w:t>Cross-vesting—application of another jurisdiction’s written law</w:t>
        </w:r>
        <w:r>
          <w:tab/>
        </w:r>
        <w:r>
          <w:fldChar w:fldCharType="begin"/>
        </w:r>
        <w:r>
          <w:instrText xml:space="preserve"> PAGEREF _Toc185514685 \h </w:instrText>
        </w:r>
        <w:r>
          <w:fldChar w:fldCharType="separate"/>
        </w:r>
        <w:r>
          <w:t>611</w:t>
        </w:r>
        <w:r>
          <w:fldChar w:fldCharType="end"/>
        </w:r>
      </w:hyperlink>
    </w:p>
    <w:p w14:paraId="0084C2FC" w14:textId="0F83BBA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86" w:history="1">
        <w:r w:rsidRPr="00533B68">
          <w:t>3312</w:t>
        </w:r>
        <w:r>
          <w:rPr>
            <w:rFonts w:asciiTheme="minorHAnsi" w:eastAsiaTheme="minorEastAsia" w:hAnsiTheme="minorHAnsi" w:cstheme="minorBidi"/>
            <w:kern w:val="2"/>
            <w:sz w:val="24"/>
            <w:szCs w:val="24"/>
            <w:lang w:eastAsia="en-AU"/>
            <w14:ligatures w14:val="standardContextual"/>
          </w:rPr>
          <w:tab/>
        </w:r>
        <w:r w:rsidRPr="00533B68">
          <w:t>Cross-vesting—application of another jurisdiction’s rules of evidence and procedure</w:t>
        </w:r>
        <w:r>
          <w:tab/>
        </w:r>
        <w:r>
          <w:fldChar w:fldCharType="begin"/>
        </w:r>
        <w:r>
          <w:instrText xml:space="preserve"> PAGEREF _Toc185514686 \h </w:instrText>
        </w:r>
        <w:r>
          <w:fldChar w:fldCharType="separate"/>
        </w:r>
        <w:r>
          <w:t>611</w:t>
        </w:r>
        <w:r>
          <w:fldChar w:fldCharType="end"/>
        </w:r>
      </w:hyperlink>
    </w:p>
    <w:p w14:paraId="0038EF14" w14:textId="39AFF297"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687" w:history="1">
        <w:r w:rsidR="00AC5392" w:rsidRPr="00533B68">
          <w:t>Part 3.6</w:t>
        </w:r>
        <w:r w:rsidR="00AC5392">
          <w:rPr>
            <w:rFonts w:asciiTheme="minorHAnsi" w:eastAsiaTheme="minorEastAsia" w:hAnsiTheme="minorHAnsi" w:cstheme="minorBidi"/>
            <w:b w:val="0"/>
            <w:kern w:val="2"/>
            <w:szCs w:val="24"/>
            <w:lang w:eastAsia="en-AU"/>
            <w14:ligatures w14:val="standardContextual"/>
          </w:rPr>
          <w:tab/>
        </w:r>
        <w:r w:rsidR="00AC5392" w:rsidRPr="00533B68">
          <w:t>Electoral matters</w:t>
        </w:r>
        <w:r w:rsidR="00AC5392" w:rsidRPr="00AC5392">
          <w:rPr>
            <w:vanish/>
          </w:rPr>
          <w:tab/>
        </w:r>
        <w:r w:rsidR="00AC5392" w:rsidRPr="00AC5392">
          <w:rPr>
            <w:vanish/>
          </w:rPr>
          <w:fldChar w:fldCharType="begin"/>
        </w:r>
        <w:r w:rsidR="00AC5392" w:rsidRPr="00AC5392">
          <w:rPr>
            <w:vanish/>
          </w:rPr>
          <w:instrText xml:space="preserve"> PAGEREF _Toc185514687 \h </w:instrText>
        </w:r>
        <w:r w:rsidR="00AC5392" w:rsidRPr="00AC5392">
          <w:rPr>
            <w:vanish/>
          </w:rPr>
        </w:r>
        <w:r w:rsidR="00AC5392" w:rsidRPr="00AC5392">
          <w:rPr>
            <w:vanish/>
          </w:rPr>
          <w:fldChar w:fldCharType="separate"/>
        </w:r>
        <w:r w:rsidR="00AC5392" w:rsidRPr="00AC5392">
          <w:rPr>
            <w:vanish/>
          </w:rPr>
          <w:t>612</w:t>
        </w:r>
        <w:r w:rsidR="00AC5392" w:rsidRPr="00AC5392">
          <w:rPr>
            <w:vanish/>
          </w:rPr>
          <w:fldChar w:fldCharType="end"/>
        </w:r>
      </w:hyperlink>
    </w:p>
    <w:p w14:paraId="23388838" w14:textId="4D9B379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88" w:history="1">
        <w:r w:rsidR="00AC5392" w:rsidRPr="00533B68">
          <w:t>Division 3.6.1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Electoral matters—general</w:t>
        </w:r>
        <w:r w:rsidR="00AC5392" w:rsidRPr="00AC5392">
          <w:rPr>
            <w:vanish/>
          </w:rPr>
          <w:tab/>
        </w:r>
        <w:r w:rsidR="00AC5392" w:rsidRPr="00AC5392">
          <w:rPr>
            <w:vanish/>
          </w:rPr>
          <w:fldChar w:fldCharType="begin"/>
        </w:r>
        <w:r w:rsidR="00AC5392" w:rsidRPr="00AC5392">
          <w:rPr>
            <w:vanish/>
          </w:rPr>
          <w:instrText xml:space="preserve"> PAGEREF _Toc185514688 \h </w:instrText>
        </w:r>
        <w:r w:rsidR="00AC5392" w:rsidRPr="00AC5392">
          <w:rPr>
            <w:vanish/>
          </w:rPr>
        </w:r>
        <w:r w:rsidR="00AC5392" w:rsidRPr="00AC5392">
          <w:rPr>
            <w:vanish/>
          </w:rPr>
          <w:fldChar w:fldCharType="separate"/>
        </w:r>
        <w:r w:rsidR="00AC5392" w:rsidRPr="00AC5392">
          <w:rPr>
            <w:vanish/>
          </w:rPr>
          <w:t>612</w:t>
        </w:r>
        <w:r w:rsidR="00AC5392" w:rsidRPr="00AC5392">
          <w:rPr>
            <w:vanish/>
          </w:rPr>
          <w:fldChar w:fldCharType="end"/>
        </w:r>
      </w:hyperlink>
    </w:p>
    <w:p w14:paraId="4ACE82ED" w14:textId="4BC260E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89" w:history="1">
        <w:r w:rsidRPr="00533B68">
          <w:t>3350</w:t>
        </w:r>
        <w:r>
          <w:rPr>
            <w:rFonts w:asciiTheme="minorHAnsi" w:eastAsiaTheme="minorEastAsia" w:hAnsiTheme="minorHAnsi" w:cstheme="minorBidi"/>
            <w:kern w:val="2"/>
            <w:sz w:val="24"/>
            <w:szCs w:val="24"/>
            <w:lang w:eastAsia="en-AU"/>
            <w14:ligatures w14:val="standardContextual"/>
          </w:rPr>
          <w:tab/>
        </w:r>
        <w:r w:rsidRPr="00533B68">
          <w:t>Definitions—pt 3.6</w:t>
        </w:r>
        <w:r>
          <w:tab/>
        </w:r>
        <w:r>
          <w:fldChar w:fldCharType="begin"/>
        </w:r>
        <w:r>
          <w:instrText xml:space="preserve"> PAGEREF _Toc185514689 \h </w:instrText>
        </w:r>
        <w:r>
          <w:fldChar w:fldCharType="separate"/>
        </w:r>
        <w:r>
          <w:t>612</w:t>
        </w:r>
        <w:r>
          <w:fldChar w:fldCharType="end"/>
        </w:r>
      </w:hyperlink>
    </w:p>
    <w:p w14:paraId="6F81A379" w14:textId="7B0CBEC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0" w:history="1">
        <w:r w:rsidRPr="00533B68">
          <w:t>3351</w:t>
        </w:r>
        <w:r>
          <w:rPr>
            <w:rFonts w:asciiTheme="minorHAnsi" w:eastAsiaTheme="minorEastAsia" w:hAnsiTheme="minorHAnsi" w:cstheme="minorBidi"/>
            <w:kern w:val="2"/>
            <w:sz w:val="24"/>
            <w:szCs w:val="24"/>
            <w:lang w:eastAsia="en-AU"/>
            <w14:ligatures w14:val="standardContextual"/>
          </w:rPr>
          <w:tab/>
        </w:r>
        <w:r w:rsidRPr="00533B68">
          <w:t>Terms used in Electoral Act</w:t>
        </w:r>
        <w:r>
          <w:tab/>
        </w:r>
        <w:r>
          <w:fldChar w:fldCharType="begin"/>
        </w:r>
        <w:r>
          <w:instrText xml:space="preserve"> PAGEREF _Toc185514690 \h </w:instrText>
        </w:r>
        <w:r>
          <w:fldChar w:fldCharType="separate"/>
        </w:r>
        <w:r>
          <w:t>612</w:t>
        </w:r>
        <w:r>
          <w:fldChar w:fldCharType="end"/>
        </w:r>
      </w:hyperlink>
    </w:p>
    <w:p w14:paraId="5B694FF1" w14:textId="32FFED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1" w:history="1">
        <w:r w:rsidRPr="00533B68">
          <w:t>3352</w:t>
        </w:r>
        <w:r>
          <w:rPr>
            <w:rFonts w:asciiTheme="minorHAnsi" w:eastAsiaTheme="minorEastAsia" w:hAnsiTheme="minorHAnsi" w:cstheme="minorBidi"/>
            <w:kern w:val="2"/>
            <w:sz w:val="24"/>
            <w:szCs w:val="24"/>
            <w:lang w:eastAsia="en-AU"/>
            <w14:ligatures w14:val="standardContextual"/>
          </w:rPr>
          <w:tab/>
        </w:r>
        <w:r w:rsidRPr="00533B68">
          <w:t>Application—pt 3.6</w:t>
        </w:r>
        <w:r>
          <w:tab/>
        </w:r>
        <w:r>
          <w:fldChar w:fldCharType="begin"/>
        </w:r>
        <w:r>
          <w:instrText xml:space="preserve"> PAGEREF _Toc185514691 \h </w:instrText>
        </w:r>
        <w:r>
          <w:fldChar w:fldCharType="separate"/>
        </w:r>
        <w:r>
          <w:t>613</w:t>
        </w:r>
        <w:r>
          <w:fldChar w:fldCharType="end"/>
        </w:r>
      </w:hyperlink>
    </w:p>
    <w:p w14:paraId="722CBB79" w14:textId="1F406D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2" w:history="1">
        <w:r w:rsidRPr="00533B68">
          <w:t>3353</w:t>
        </w:r>
        <w:r>
          <w:rPr>
            <w:rFonts w:asciiTheme="minorHAnsi" w:eastAsiaTheme="minorEastAsia" w:hAnsiTheme="minorHAnsi" w:cstheme="minorBidi"/>
            <w:kern w:val="2"/>
            <w:sz w:val="24"/>
            <w:szCs w:val="24"/>
            <w:lang w:eastAsia="en-AU"/>
            <w14:ligatures w14:val="standardContextual"/>
          </w:rPr>
          <w:tab/>
        </w:r>
        <w:r w:rsidRPr="00533B68">
          <w:t>Election application etc originating application</w:t>
        </w:r>
        <w:r>
          <w:tab/>
        </w:r>
        <w:r>
          <w:fldChar w:fldCharType="begin"/>
        </w:r>
        <w:r>
          <w:instrText xml:space="preserve"> PAGEREF _Toc185514692 \h </w:instrText>
        </w:r>
        <w:r>
          <w:fldChar w:fldCharType="separate"/>
        </w:r>
        <w:r>
          <w:t>613</w:t>
        </w:r>
        <w:r>
          <w:fldChar w:fldCharType="end"/>
        </w:r>
      </w:hyperlink>
    </w:p>
    <w:p w14:paraId="3920F284" w14:textId="29A6B72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693" w:history="1">
        <w:r w:rsidR="00AC5392" w:rsidRPr="00533B68">
          <w:t>Division 3.6.2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Disputed elections</w:t>
        </w:r>
        <w:r w:rsidR="00AC5392" w:rsidRPr="00AC5392">
          <w:rPr>
            <w:vanish/>
          </w:rPr>
          <w:tab/>
        </w:r>
        <w:r w:rsidR="00AC5392" w:rsidRPr="00AC5392">
          <w:rPr>
            <w:vanish/>
          </w:rPr>
          <w:fldChar w:fldCharType="begin"/>
        </w:r>
        <w:r w:rsidR="00AC5392" w:rsidRPr="00AC5392">
          <w:rPr>
            <w:vanish/>
          </w:rPr>
          <w:instrText xml:space="preserve"> PAGEREF _Toc185514693 \h </w:instrText>
        </w:r>
        <w:r w:rsidR="00AC5392" w:rsidRPr="00AC5392">
          <w:rPr>
            <w:vanish/>
          </w:rPr>
        </w:r>
        <w:r w:rsidR="00AC5392" w:rsidRPr="00AC5392">
          <w:rPr>
            <w:vanish/>
          </w:rPr>
          <w:fldChar w:fldCharType="separate"/>
        </w:r>
        <w:r w:rsidR="00AC5392" w:rsidRPr="00AC5392">
          <w:rPr>
            <w:vanish/>
          </w:rPr>
          <w:t>614</w:t>
        </w:r>
        <w:r w:rsidR="00AC5392" w:rsidRPr="00AC5392">
          <w:rPr>
            <w:vanish/>
          </w:rPr>
          <w:fldChar w:fldCharType="end"/>
        </w:r>
      </w:hyperlink>
    </w:p>
    <w:p w14:paraId="4004789C" w14:textId="05C629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4" w:history="1">
        <w:r w:rsidRPr="00533B68">
          <w:t>3355</w:t>
        </w:r>
        <w:r>
          <w:rPr>
            <w:rFonts w:asciiTheme="minorHAnsi" w:eastAsiaTheme="minorEastAsia" w:hAnsiTheme="minorHAnsi" w:cstheme="minorBidi"/>
            <w:kern w:val="2"/>
            <w:sz w:val="24"/>
            <w:szCs w:val="24"/>
            <w:lang w:eastAsia="en-AU"/>
            <w14:ligatures w14:val="standardContextual"/>
          </w:rPr>
          <w:tab/>
        </w:r>
        <w:r w:rsidRPr="00533B68">
          <w:t>Disputed election—deposit as security for costs</w:t>
        </w:r>
        <w:r>
          <w:tab/>
        </w:r>
        <w:r>
          <w:fldChar w:fldCharType="begin"/>
        </w:r>
        <w:r>
          <w:instrText xml:space="preserve"> PAGEREF _Toc185514694 \h </w:instrText>
        </w:r>
        <w:r>
          <w:fldChar w:fldCharType="separate"/>
        </w:r>
        <w:r>
          <w:t>614</w:t>
        </w:r>
        <w:r>
          <w:fldChar w:fldCharType="end"/>
        </w:r>
      </w:hyperlink>
    </w:p>
    <w:p w14:paraId="0693DD87" w14:textId="1E22305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5" w:history="1">
        <w:r w:rsidRPr="00533B68">
          <w:t>3356</w:t>
        </w:r>
        <w:r>
          <w:rPr>
            <w:rFonts w:asciiTheme="minorHAnsi" w:eastAsiaTheme="minorEastAsia" w:hAnsiTheme="minorHAnsi" w:cstheme="minorBidi"/>
            <w:kern w:val="2"/>
            <w:sz w:val="24"/>
            <w:szCs w:val="24"/>
            <w:lang w:eastAsia="en-AU"/>
            <w14:ligatures w14:val="standardContextual"/>
          </w:rPr>
          <w:tab/>
        </w:r>
        <w:r w:rsidRPr="00533B68">
          <w:t>Disputed election—public notice of election application</w:t>
        </w:r>
        <w:r>
          <w:tab/>
        </w:r>
        <w:r>
          <w:fldChar w:fldCharType="begin"/>
        </w:r>
        <w:r>
          <w:instrText xml:space="preserve"> PAGEREF _Toc185514695 \h </w:instrText>
        </w:r>
        <w:r>
          <w:fldChar w:fldCharType="separate"/>
        </w:r>
        <w:r>
          <w:t>614</w:t>
        </w:r>
        <w:r>
          <w:fldChar w:fldCharType="end"/>
        </w:r>
      </w:hyperlink>
    </w:p>
    <w:p w14:paraId="71A64A40" w14:textId="20A5582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6" w:history="1">
        <w:r w:rsidRPr="00533B68">
          <w:t>3357</w:t>
        </w:r>
        <w:r>
          <w:rPr>
            <w:rFonts w:asciiTheme="minorHAnsi" w:eastAsiaTheme="minorEastAsia" w:hAnsiTheme="minorHAnsi" w:cstheme="minorBidi"/>
            <w:kern w:val="2"/>
            <w:sz w:val="24"/>
            <w:szCs w:val="24"/>
            <w:lang w:eastAsia="en-AU"/>
            <w14:ligatures w14:val="standardContextual"/>
          </w:rPr>
          <w:tab/>
        </w:r>
        <w:r w:rsidRPr="00533B68">
          <w:t>Disputed election—parties to proceeding</w:t>
        </w:r>
        <w:r>
          <w:tab/>
        </w:r>
        <w:r>
          <w:fldChar w:fldCharType="begin"/>
        </w:r>
        <w:r>
          <w:instrText xml:space="preserve"> PAGEREF _Toc185514696 \h </w:instrText>
        </w:r>
        <w:r>
          <w:fldChar w:fldCharType="separate"/>
        </w:r>
        <w:r>
          <w:t>614</w:t>
        </w:r>
        <w:r>
          <w:fldChar w:fldCharType="end"/>
        </w:r>
      </w:hyperlink>
    </w:p>
    <w:p w14:paraId="137B5AA9" w14:textId="023425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7" w:history="1">
        <w:r w:rsidRPr="00533B68">
          <w:t>3358</w:t>
        </w:r>
        <w:r>
          <w:rPr>
            <w:rFonts w:asciiTheme="minorHAnsi" w:eastAsiaTheme="minorEastAsia" w:hAnsiTheme="minorHAnsi" w:cstheme="minorBidi"/>
            <w:kern w:val="2"/>
            <w:sz w:val="24"/>
            <w:szCs w:val="24"/>
            <w:lang w:eastAsia="en-AU"/>
            <w14:ligatures w14:val="standardContextual"/>
          </w:rPr>
          <w:tab/>
        </w:r>
        <w:r w:rsidRPr="00533B68">
          <w:t>Disputed election—public notice of intention to make application for leave to withdraw</w:t>
        </w:r>
        <w:r>
          <w:tab/>
        </w:r>
        <w:r>
          <w:fldChar w:fldCharType="begin"/>
        </w:r>
        <w:r>
          <w:instrText xml:space="preserve"> PAGEREF _Toc185514697 \h </w:instrText>
        </w:r>
        <w:r>
          <w:fldChar w:fldCharType="separate"/>
        </w:r>
        <w:r>
          <w:t>615</w:t>
        </w:r>
        <w:r>
          <w:fldChar w:fldCharType="end"/>
        </w:r>
      </w:hyperlink>
    </w:p>
    <w:p w14:paraId="7E51BDF6" w14:textId="25A04A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8" w:history="1">
        <w:r w:rsidRPr="00533B68">
          <w:t>3359</w:t>
        </w:r>
        <w:r>
          <w:rPr>
            <w:rFonts w:asciiTheme="minorHAnsi" w:eastAsiaTheme="minorEastAsia" w:hAnsiTheme="minorHAnsi" w:cstheme="minorBidi"/>
            <w:kern w:val="2"/>
            <w:sz w:val="24"/>
            <w:szCs w:val="24"/>
            <w:lang w:eastAsia="en-AU"/>
            <w14:ligatures w14:val="standardContextual"/>
          </w:rPr>
          <w:tab/>
        </w:r>
        <w:r w:rsidRPr="00533B68">
          <w:t>Disputed election—particulars of contested ballot papers</w:t>
        </w:r>
        <w:r>
          <w:tab/>
        </w:r>
        <w:r>
          <w:fldChar w:fldCharType="begin"/>
        </w:r>
        <w:r>
          <w:instrText xml:space="preserve"> PAGEREF _Toc185514698 \h </w:instrText>
        </w:r>
        <w:r>
          <w:fldChar w:fldCharType="separate"/>
        </w:r>
        <w:r>
          <w:t>615</w:t>
        </w:r>
        <w:r>
          <w:fldChar w:fldCharType="end"/>
        </w:r>
      </w:hyperlink>
    </w:p>
    <w:p w14:paraId="20F18BE4" w14:textId="1156A9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699" w:history="1">
        <w:r w:rsidRPr="00533B68">
          <w:t>3360</w:t>
        </w:r>
        <w:r>
          <w:rPr>
            <w:rFonts w:asciiTheme="minorHAnsi" w:eastAsiaTheme="minorEastAsia" w:hAnsiTheme="minorHAnsi" w:cstheme="minorBidi"/>
            <w:kern w:val="2"/>
            <w:sz w:val="24"/>
            <w:szCs w:val="24"/>
            <w:lang w:eastAsia="en-AU"/>
            <w14:ligatures w14:val="standardContextual"/>
          </w:rPr>
          <w:tab/>
        </w:r>
        <w:r w:rsidRPr="00533B68">
          <w:t>Disputed election—countercharges</w:t>
        </w:r>
        <w:r>
          <w:tab/>
        </w:r>
        <w:r>
          <w:fldChar w:fldCharType="begin"/>
        </w:r>
        <w:r>
          <w:instrText xml:space="preserve"> PAGEREF _Toc185514699 \h </w:instrText>
        </w:r>
        <w:r>
          <w:fldChar w:fldCharType="separate"/>
        </w:r>
        <w:r>
          <w:t>616</w:t>
        </w:r>
        <w:r>
          <w:fldChar w:fldCharType="end"/>
        </w:r>
      </w:hyperlink>
    </w:p>
    <w:p w14:paraId="6D9077AD" w14:textId="44B5640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00" w:history="1">
        <w:r w:rsidRPr="00533B68">
          <w:t>3361</w:t>
        </w:r>
        <w:r>
          <w:rPr>
            <w:rFonts w:asciiTheme="minorHAnsi" w:eastAsiaTheme="minorEastAsia" w:hAnsiTheme="minorHAnsi" w:cstheme="minorBidi"/>
            <w:kern w:val="2"/>
            <w:sz w:val="24"/>
            <w:szCs w:val="24"/>
            <w:lang w:eastAsia="en-AU"/>
            <w14:ligatures w14:val="standardContextual"/>
          </w:rPr>
          <w:tab/>
        </w:r>
        <w:r w:rsidRPr="00533B68">
          <w:t>Disputed election—time of trial etc</w:t>
        </w:r>
        <w:r>
          <w:tab/>
        </w:r>
        <w:r>
          <w:fldChar w:fldCharType="begin"/>
        </w:r>
        <w:r>
          <w:instrText xml:space="preserve"> PAGEREF _Toc185514700 \h </w:instrText>
        </w:r>
        <w:r>
          <w:fldChar w:fldCharType="separate"/>
        </w:r>
        <w:r>
          <w:t>617</w:t>
        </w:r>
        <w:r>
          <w:fldChar w:fldCharType="end"/>
        </w:r>
      </w:hyperlink>
    </w:p>
    <w:p w14:paraId="5A4C1D7C" w14:textId="7DCADC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01" w:history="1">
        <w:r w:rsidRPr="00533B68">
          <w:t>3362</w:t>
        </w:r>
        <w:r>
          <w:rPr>
            <w:rFonts w:asciiTheme="minorHAnsi" w:eastAsiaTheme="minorEastAsia" w:hAnsiTheme="minorHAnsi" w:cstheme="minorBidi"/>
            <w:kern w:val="2"/>
            <w:sz w:val="24"/>
            <w:szCs w:val="24"/>
            <w:lang w:eastAsia="en-AU"/>
            <w14:ligatures w14:val="standardContextual"/>
          </w:rPr>
          <w:tab/>
        </w:r>
        <w:r w:rsidRPr="00533B68">
          <w:t>Disputed election—substitution of plaintiff</w:t>
        </w:r>
        <w:r>
          <w:tab/>
        </w:r>
        <w:r>
          <w:fldChar w:fldCharType="begin"/>
        </w:r>
        <w:r>
          <w:instrText xml:space="preserve"> PAGEREF _Toc185514701 \h </w:instrText>
        </w:r>
        <w:r>
          <w:fldChar w:fldCharType="separate"/>
        </w:r>
        <w:r>
          <w:t>617</w:t>
        </w:r>
        <w:r>
          <w:fldChar w:fldCharType="end"/>
        </w:r>
      </w:hyperlink>
    </w:p>
    <w:p w14:paraId="3513FEC8" w14:textId="6A8B14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02" w:history="1">
        <w:r w:rsidRPr="00533B68">
          <w:t>3363</w:t>
        </w:r>
        <w:r>
          <w:rPr>
            <w:rFonts w:asciiTheme="minorHAnsi" w:eastAsiaTheme="minorEastAsia" w:hAnsiTheme="minorHAnsi" w:cstheme="minorBidi"/>
            <w:kern w:val="2"/>
            <w:sz w:val="24"/>
            <w:szCs w:val="24"/>
            <w:lang w:eastAsia="en-AU"/>
            <w14:ligatures w14:val="standardContextual"/>
          </w:rPr>
          <w:tab/>
        </w:r>
        <w:r w:rsidRPr="00533B68">
          <w:t>Disputed election—withdrawal of defendant</w:t>
        </w:r>
        <w:r>
          <w:tab/>
        </w:r>
        <w:r>
          <w:fldChar w:fldCharType="begin"/>
        </w:r>
        <w:r>
          <w:instrText xml:space="preserve"> PAGEREF _Toc185514702 \h </w:instrText>
        </w:r>
        <w:r>
          <w:fldChar w:fldCharType="separate"/>
        </w:r>
        <w:r>
          <w:t>618</w:t>
        </w:r>
        <w:r>
          <w:fldChar w:fldCharType="end"/>
        </w:r>
      </w:hyperlink>
    </w:p>
    <w:p w14:paraId="5B22053D" w14:textId="749FF0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03" w:history="1">
        <w:r w:rsidRPr="00533B68">
          <w:t>3364</w:t>
        </w:r>
        <w:r>
          <w:rPr>
            <w:rFonts w:asciiTheme="minorHAnsi" w:eastAsiaTheme="minorEastAsia" w:hAnsiTheme="minorHAnsi" w:cstheme="minorBidi"/>
            <w:kern w:val="2"/>
            <w:sz w:val="24"/>
            <w:szCs w:val="24"/>
            <w:lang w:eastAsia="en-AU"/>
            <w14:ligatures w14:val="standardContextual"/>
          </w:rPr>
          <w:tab/>
        </w:r>
        <w:r w:rsidRPr="00533B68">
          <w:t>Disputed election—substitution of defendant</w:t>
        </w:r>
        <w:r>
          <w:tab/>
        </w:r>
        <w:r>
          <w:fldChar w:fldCharType="begin"/>
        </w:r>
        <w:r>
          <w:instrText xml:space="preserve"> PAGEREF _Toc185514703 \h </w:instrText>
        </w:r>
        <w:r>
          <w:fldChar w:fldCharType="separate"/>
        </w:r>
        <w:r>
          <w:t>618</w:t>
        </w:r>
        <w:r>
          <w:fldChar w:fldCharType="end"/>
        </w:r>
      </w:hyperlink>
    </w:p>
    <w:p w14:paraId="432FD30C" w14:textId="0285D44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704" w:history="1">
        <w:r w:rsidR="00AC5392" w:rsidRPr="00533B68">
          <w:t>Division 3.6.3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Questions referred by Legislative Assembly</w:t>
        </w:r>
        <w:r w:rsidR="00AC5392" w:rsidRPr="00AC5392">
          <w:rPr>
            <w:vanish/>
          </w:rPr>
          <w:tab/>
        </w:r>
        <w:r w:rsidR="00AC5392" w:rsidRPr="00AC5392">
          <w:rPr>
            <w:vanish/>
          </w:rPr>
          <w:fldChar w:fldCharType="begin"/>
        </w:r>
        <w:r w:rsidR="00AC5392" w:rsidRPr="00AC5392">
          <w:rPr>
            <w:vanish/>
          </w:rPr>
          <w:instrText xml:space="preserve"> PAGEREF _Toc185514704 \h </w:instrText>
        </w:r>
        <w:r w:rsidR="00AC5392" w:rsidRPr="00AC5392">
          <w:rPr>
            <w:vanish/>
          </w:rPr>
        </w:r>
        <w:r w:rsidR="00AC5392" w:rsidRPr="00AC5392">
          <w:rPr>
            <w:vanish/>
          </w:rPr>
          <w:fldChar w:fldCharType="separate"/>
        </w:r>
        <w:r w:rsidR="00AC5392" w:rsidRPr="00AC5392">
          <w:rPr>
            <w:vanish/>
          </w:rPr>
          <w:t>618</w:t>
        </w:r>
        <w:r w:rsidR="00AC5392" w:rsidRPr="00AC5392">
          <w:rPr>
            <w:vanish/>
          </w:rPr>
          <w:fldChar w:fldCharType="end"/>
        </w:r>
      </w:hyperlink>
    </w:p>
    <w:p w14:paraId="1CC03DB1" w14:textId="36D0228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05" w:history="1">
        <w:r w:rsidRPr="00533B68">
          <w:t>3400</w:t>
        </w:r>
        <w:r>
          <w:rPr>
            <w:rFonts w:asciiTheme="minorHAnsi" w:eastAsiaTheme="minorEastAsia" w:hAnsiTheme="minorHAnsi" w:cstheme="minorBidi"/>
            <w:kern w:val="2"/>
            <w:sz w:val="24"/>
            <w:szCs w:val="24"/>
            <w:lang w:eastAsia="en-AU"/>
            <w14:ligatures w14:val="standardContextual"/>
          </w:rPr>
          <w:tab/>
        </w:r>
        <w:r w:rsidRPr="00533B68">
          <w:t>Question referred—parties to proceeding</w:t>
        </w:r>
        <w:r>
          <w:tab/>
        </w:r>
        <w:r>
          <w:fldChar w:fldCharType="begin"/>
        </w:r>
        <w:r>
          <w:instrText xml:space="preserve"> PAGEREF _Toc185514705 \h </w:instrText>
        </w:r>
        <w:r>
          <w:fldChar w:fldCharType="separate"/>
        </w:r>
        <w:r>
          <w:t>618</w:t>
        </w:r>
        <w:r>
          <w:fldChar w:fldCharType="end"/>
        </w:r>
      </w:hyperlink>
    </w:p>
    <w:p w14:paraId="160B69F9" w14:textId="2D0CAD7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706" w:history="1">
        <w:r w:rsidR="00AC5392" w:rsidRPr="00533B68">
          <w:t>Division 3.6.4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Electoral matters—general procedure</w:t>
        </w:r>
        <w:r w:rsidR="00AC5392" w:rsidRPr="00AC5392">
          <w:rPr>
            <w:vanish/>
          </w:rPr>
          <w:tab/>
        </w:r>
        <w:r w:rsidR="00AC5392" w:rsidRPr="00AC5392">
          <w:rPr>
            <w:vanish/>
          </w:rPr>
          <w:fldChar w:fldCharType="begin"/>
        </w:r>
        <w:r w:rsidR="00AC5392" w:rsidRPr="00AC5392">
          <w:rPr>
            <w:vanish/>
          </w:rPr>
          <w:instrText xml:space="preserve"> PAGEREF _Toc185514706 \h </w:instrText>
        </w:r>
        <w:r w:rsidR="00AC5392" w:rsidRPr="00AC5392">
          <w:rPr>
            <w:vanish/>
          </w:rPr>
        </w:r>
        <w:r w:rsidR="00AC5392" w:rsidRPr="00AC5392">
          <w:rPr>
            <w:vanish/>
          </w:rPr>
          <w:fldChar w:fldCharType="separate"/>
        </w:r>
        <w:r w:rsidR="00AC5392" w:rsidRPr="00AC5392">
          <w:rPr>
            <w:vanish/>
          </w:rPr>
          <w:t>619</w:t>
        </w:r>
        <w:r w:rsidR="00AC5392" w:rsidRPr="00AC5392">
          <w:rPr>
            <w:vanish/>
          </w:rPr>
          <w:fldChar w:fldCharType="end"/>
        </w:r>
      </w:hyperlink>
    </w:p>
    <w:p w14:paraId="4EED318D" w14:textId="69C9BB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07" w:history="1">
        <w:r w:rsidRPr="00533B68">
          <w:t>3405</w:t>
        </w:r>
        <w:r>
          <w:rPr>
            <w:rFonts w:asciiTheme="minorHAnsi" w:eastAsiaTheme="minorEastAsia" w:hAnsiTheme="minorHAnsi" w:cstheme="minorBidi"/>
            <w:kern w:val="2"/>
            <w:sz w:val="24"/>
            <w:szCs w:val="24"/>
            <w:lang w:eastAsia="en-AU"/>
            <w14:ligatures w14:val="standardContextual"/>
          </w:rPr>
          <w:tab/>
        </w:r>
        <w:r w:rsidRPr="00533B68">
          <w:t>Electoral matters—better particulars</w:t>
        </w:r>
        <w:r>
          <w:tab/>
        </w:r>
        <w:r>
          <w:fldChar w:fldCharType="begin"/>
        </w:r>
        <w:r>
          <w:instrText xml:space="preserve"> PAGEREF _Toc185514707 \h </w:instrText>
        </w:r>
        <w:r>
          <w:fldChar w:fldCharType="separate"/>
        </w:r>
        <w:r>
          <w:t>619</w:t>
        </w:r>
        <w:r>
          <w:fldChar w:fldCharType="end"/>
        </w:r>
      </w:hyperlink>
    </w:p>
    <w:p w14:paraId="7C92BB9F" w14:textId="33B9AC3C"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708" w:history="1">
        <w:r w:rsidR="00AC5392" w:rsidRPr="00533B68">
          <w:t>Part 3.7</w:t>
        </w:r>
        <w:r w:rsidR="00AC5392">
          <w:rPr>
            <w:rFonts w:asciiTheme="minorHAnsi" w:eastAsiaTheme="minorEastAsia" w:hAnsiTheme="minorHAnsi" w:cstheme="minorBidi"/>
            <w:b w:val="0"/>
            <w:kern w:val="2"/>
            <w:szCs w:val="24"/>
            <w:lang w:eastAsia="en-AU"/>
            <w14:ligatures w14:val="standardContextual"/>
          </w:rPr>
          <w:tab/>
        </w:r>
        <w:r w:rsidR="00AC5392" w:rsidRPr="00533B68">
          <w:t>Foreign and interstate confiscation orders—registration</w:t>
        </w:r>
        <w:r w:rsidR="00AC5392" w:rsidRPr="00AC5392">
          <w:rPr>
            <w:vanish/>
          </w:rPr>
          <w:tab/>
        </w:r>
        <w:r w:rsidR="00AC5392" w:rsidRPr="00AC5392">
          <w:rPr>
            <w:vanish/>
          </w:rPr>
          <w:fldChar w:fldCharType="begin"/>
        </w:r>
        <w:r w:rsidR="00AC5392" w:rsidRPr="00AC5392">
          <w:rPr>
            <w:vanish/>
          </w:rPr>
          <w:instrText xml:space="preserve"> PAGEREF _Toc185514708 \h </w:instrText>
        </w:r>
        <w:r w:rsidR="00AC5392" w:rsidRPr="00AC5392">
          <w:rPr>
            <w:vanish/>
          </w:rPr>
        </w:r>
        <w:r w:rsidR="00AC5392" w:rsidRPr="00AC5392">
          <w:rPr>
            <w:vanish/>
          </w:rPr>
          <w:fldChar w:fldCharType="separate"/>
        </w:r>
        <w:r w:rsidR="00AC5392" w:rsidRPr="00AC5392">
          <w:rPr>
            <w:vanish/>
          </w:rPr>
          <w:t>620</w:t>
        </w:r>
        <w:r w:rsidR="00AC5392" w:rsidRPr="00AC5392">
          <w:rPr>
            <w:vanish/>
          </w:rPr>
          <w:fldChar w:fldCharType="end"/>
        </w:r>
      </w:hyperlink>
    </w:p>
    <w:p w14:paraId="2434B4F4" w14:textId="1F22E50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709" w:history="1">
        <w:r w:rsidR="00AC5392" w:rsidRPr="00533B68">
          <w:t>Division 3.7.1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Foreign confiscation orders—registration</w:t>
        </w:r>
        <w:r w:rsidR="00AC5392" w:rsidRPr="00AC5392">
          <w:rPr>
            <w:vanish/>
          </w:rPr>
          <w:tab/>
        </w:r>
        <w:r w:rsidR="00AC5392" w:rsidRPr="00AC5392">
          <w:rPr>
            <w:vanish/>
          </w:rPr>
          <w:fldChar w:fldCharType="begin"/>
        </w:r>
        <w:r w:rsidR="00AC5392" w:rsidRPr="00AC5392">
          <w:rPr>
            <w:vanish/>
          </w:rPr>
          <w:instrText xml:space="preserve"> PAGEREF _Toc185514709 \h </w:instrText>
        </w:r>
        <w:r w:rsidR="00AC5392" w:rsidRPr="00AC5392">
          <w:rPr>
            <w:vanish/>
          </w:rPr>
        </w:r>
        <w:r w:rsidR="00AC5392" w:rsidRPr="00AC5392">
          <w:rPr>
            <w:vanish/>
          </w:rPr>
          <w:fldChar w:fldCharType="separate"/>
        </w:r>
        <w:r w:rsidR="00AC5392" w:rsidRPr="00AC5392">
          <w:rPr>
            <w:vanish/>
          </w:rPr>
          <w:t>620</w:t>
        </w:r>
        <w:r w:rsidR="00AC5392" w:rsidRPr="00AC5392">
          <w:rPr>
            <w:vanish/>
          </w:rPr>
          <w:fldChar w:fldCharType="end"/>
        </w:r>
      </w:hyperlink>
    </w:p>
    <w:p w14:paraId="150EC797" w14:textId="7B2F21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0" w:history="1">
        <w:r w:rsidRPr="00533B68">
          <w:t>3450</w:t>
        </w:r>
        <w:r>
          <w:rPr>
            <w:rFonts w:asciiTheme="minorHAnsi" w:eastAsiaTheme="minorEastAsia" w:hAnsiTheme="minorHAnsi" w:cstheme="minorBidi"/>
            <w:kern w:val="2"/>
            <w:sz w:val="24"/>
            <w:szCs w:val="24"/>
            <w:lang w:eastAsia="en-AU"/>
            <w14:ligatures w14:val="standardContextual"/>
          </w:rPr>
          <w:tab/>
        </w:r>
        <w:r w:rsidRPr="00533B68">
          <w:t>Definitions—div 3.7.1</w:t>
        </w:r>
        <w:r>
          <w:tab/>
        </w:r>
        <w:r>
          <w:fldChar w:fldCharType="begin"/>
        </w:r>
        <w:r>
          <w:instrText xml:space="preserve"> PAGEREF _Toc185514710 \h </w:instrText>
        </w:r>
        <w:r>
          <w:fldChar w:fldCharType="separate"/>
        </w:r>
        <w:r>
          <w:t>620</w:t>
        </w:r>
        <w:r>
          <w:fldChar w:fldCharType="end"/>
        </w:r>
      </w:hyperlink>
    </w:p>
    <w:p w14:paraId="730BA240" w14:textId="5A1F065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1" w:history="1">
        <w:r w:rsidRPr="00533B68">
          <w:t>3451</w:t>
        </w:r>
        <w:r>
          <w:rPr>
            <w:rFonts w:asciiTheme="minorHAnsi" w:eastAsiaTheme="minorEastAsia" w:hAnsiTheme="minorHAnsi" w:cstheme="minorBidi"/>
            <w:kern w:val="2"/>
            <w:sz w:val="24"/>
            <w:szCs w:val="24"/>
            <w:lang w:eastAsia="en-AU"/>
            <w14:ligatures w14:val="standardContextual"/>
          </w:rPr>
          <w:tab/>
        </w:r>
        <w:r w:rsidRPr="00533B68">
          <w:t>Application—div 3.7.1</w:t>
        </w:r>
        <w:r>
          <w:tab/>
        </w:r>
        <w:r>
          <w:fldChar w:fldCharType="begin"/>
        </w:r>
        <w:r>
          <w:instrText xml:space="preserve"> PAGEREF _Toc185514711 \h </w:instrText>
        </w:r>
        <w:r>
          <w:fldChar w:fldCharType="separate"/>
        </w:r>
        <w:r>
          <w:t>620</w:t>
        </w:r>
        <w:r>
          <w:fldChar w:fldCharType="end"/>
        </w:r>
      </w:hyperlink>
    </w:p>
    <w:p w14:paraId="205C6C82" w14:textId="7343C5B8"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712" w:history="1">
        <w:r w:rsidRPr="00533B68">
          <w:t>3452</w:t>
        </w:r>
        <w:r>
          <w:rPr>
            <w:rFonts w:asciiTheme="minorHAnsi" w:eastAsiaTheme="minorEastAsia" w:hAnsiTheme="minorHAnsi" w:cstheme="minorBidi"/>
            <w:kern w:val="2"/>
            <w:sz w:val="24"/>
            <w:szCs w:val="24"/>
            <w:lang w:eastAsia="en-AU"/>
            <w14:ligatures w14:val="standardContextual"/>
          </w:rPr>
          <w:tab/>
        </w:r>
        <w:r w:rsidRPr="00533B68">
          <w:t>Foreign confiscation orders—register</w:t>
        </w:r>
        <w:r>
          <w:tab/>
        </w:r>
        <w:r>
          <w:fldChar w:fldCharType="begin"/>
        </w:r>
        <w:r>
          <w:instrText xml:space="preserve"> PAGEREF _Toc185514712 \h </w:instrText>
        </w:r>
        <w:r>
          <w:fldChar w:fldCharType="separate"/>
        </w:r>
        <w:r>
          <w:t>620</w:t>
        </w:r>
        <w:r>
          <w:fldChar w:fldCharType="end"/>
        </w:r>
      </w:hyperlink>
    </w:p>
    <w:p w14:paraId="14BB896D" w14:textId="0A051CE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3" w:history="1">
        <w:r w:rsidRPr="00533B68">
          <w:t>3453</w:t>
        </w:r>
        <w:r>
          <w:rPr>
            <w:rFonts w:asciiTheme="minorHAnsi" w:eastAsiaTheme="minorEastAsia" w:hAnsiTheme="minorHAnsi" w:cstheme="minorBidi"/>
            <w:kern w:val="2"/>
            <w:sz w:val="24"/>
            <w:szCs w:val="24"/>
            <w:lang w:eastAsia="en-AU"/>
            <w14:ligatures w14:val="standardContextual"/>
          </w:rPr>
          <w:tab/>
        </w:r>
        <w:r w:rsidRPr="00533B68">
          <w:t>Foreign confiscation orders—registration</w:t>
        </w:r>
        <w:r>
          <w:tab/>
        </w:r>
        <w:r>
          <w:fldChar w:fldCharType="begin"/>
        </w:r>
        <w:r>
          <w:instrText xml:space="preserve"> PAGEREF _Toc185514713 \h </w:instrText>
        </w:r>
        <w:r>
          <w:fldChar w:fldCharType="separate"/>
        </w:r>
        <w:r>
          <w:t>621</w:t>
        </w:r>
        <w:r>
          <w:fldChar w:fldCharType="end"/>
        </w:r>
      </w:hyperlink>
    </w:p>
    <w:p w14:paraId="7993D809" w14:textId="01339E5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4" w:history="1">
        <w:r w:rsidRPr="00533B68">
          <w:t>3454</w:t>
        </w:r>
        <w:r>
          <w:rPr>
            <w:rFonts w:asciiTheme="minorHAnsi" w:eastAsiaTheme="minorEastAsia" w:hAnsiTheme="minorHAnsi" w:cstheme="minorBidi"/>
            <w:kern w:val="2"/>
            <w:sz w:val="24"/>
            <w:szCs w:val="24"/>
            <w:lang w:eastAsia="en-AU"/>
            <w14:ligatures w14:val="standardContextual"/>
          </w:rPr>
          <w:tab/>
        </w:r>
        <w:r w:rsidRPr="00533B68">
          <w:t>Foreign confiscation orders—proceedings for registration</w:t>
        </w:r>
        <w:r>
          <w:tab/>
        </w:r>
        <w:r>
          <w:fldChar w:fldCharType="begin"/>
        </w:r>
        <w:r>
          <w:instrText xml:space="preserve"> PAGEREF _Toc185514714 \h </w:instrText>
        </w:r>
        <w:r>
          <w:fldChar w:fldCharType="separate"/>
        </w:r>
        <w:r>
          <w:t>621</w:t>
        </w:r>
        <w:r>
          <w:fldChar w:fldCharType="end"/>
        </w:r>
      </w:hyperlink>
    </w:p>
    <w:p w14:paraId="37D3CF60" w14:textId="344D6A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5" w:history="1">
        <w:r w:rsidRPr="00533B68">
          <w:t>3455</w:t>
        </w:r>
        <w:r>
          <w:rPr>
            <w:rFonts w:asciiTheme="minorHAnsi" w:eastAsiaTheme="minorEastAsia" w:hAnsiTheme="minorHAnsi" w:cstheme="minorBidi"/>
            <w:kern w:val="2"/>
            <w:sz w:val="24"/>
            <w:szCs w:val="24"/>
            <w:lang w:eastAsia="en-AU"/>
            <w14:ligatures w14:val="standardContextual"/>
          </w:rPr>
          <w:tab/>
        </w:r>
        <w:r w:rsidRPr="00533B68">
          <w:t>Foreign confiscation orders—when registration cancelled</w:t>
        </w:r>
        <w:r>
          <w:tab/>
        </w:r>
        <w:r>
          <w:fldChar w:fldCharType="begin"/>
        </w:r>
        <w:r>
          <w:instrText xml:space="preserve"> PAGEREF _Toc185514715 \h </w:instrText>
        </w:r>
        <w:r>
          <w:fldChar w:fldCharType="separate"/>
        </w:r>
        <w:r>
          <w:t>623</w:t>
        </w:r>
        <w:r>
          <w:fldChar w:fldCharType="end"/>
        </w:r>
      </w:hyperlink>
    </w:p>
    <w:p w14:paraId="53C76453" w14:textId="47C342A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716" w:history="1">
        <w:r w:rsidR="00AC5392" w:rsidRPr="00533B68">
          <w:t>Division 3.7.2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Interstate confiscation orders—registration</w:t>
        </w:r>
        <w:r w:rsidR="00AC5392" w:rsidRPr="00AC5392">
          <w:rPr>
            <w:vanish/>
          </w:rPr>
          <w:tab/>
        </w:r>
        <w:r w:rsidR="00AC5392" w:rsidRPr="00AC5392">
          <w:rPr>
            <w:vanish/>
          </w:rPr>
          <w:fldChar w:fldCharType="begin"/>
        </w:r>
        <w:r w:rsidR="00AC5392" w:rsidRPr="00AC5392">
          <w:rPr>
            <w:vanish/>
          </w:rPr>
          <w:instrText xml:space="preserve"> PAGEREF _Toc185514716 \h </w:instrText>
        </w:r>
        <w:r w:rsidR="00AC5392" w:rsidRPr="00AC5392">
          <w:rPr>
            <w:vanish/>
          </w:rPr>
        </w:r>
        <w:r w:rsidR="00AC5392" w:rsidRPr="00AC5392">
          <w:rPr>
            <w:vanish/>
          </w:rPr>
          <w:fldChar w:fldCharType="separate"/>
        </w:r>
        <w:r w:rsidR="00AC5392" w:rsidRPr="00AC5392">
          <w:rPr>
            <w:vanish/>
          </w:rPr>
          <w:t>623</w:t>
        </w:r>
        <w:r w:rsidR="00AC5392" w:rsidRPr="00AC5392">
          <w:rPr>
            <w:vanish/>
          </w:rPr>
          <w:fldChar w:fldCharType="end"/>
        </w:r>
      </w:hyperlink>
    </w:p>
    <w:p w14:paraId="2360A4D0" w14:textId="19028C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7" w:history="1">
        <w:r w:rsidRPr="00533B68">
          <w:t>3460</w:t>
        </w:r>
        <w:r>
          <w:rPr>
            <w:rFonts w:asciiTheme="minorHAnsi" w:eastAsiaTheme="minorEastAsia" w:hAnsiTheme="minorHAnsi" w:cstheme="minorBidi"/>
            <w:kern w:val="2"/>
            <w:sz w:val="24"/>
            <w:szCs w:val="24"/>
            <w:lang w:eastAsia="en-AU"/>
            <w14:ligatures w14:val="standardContextual"/>
          </w:rPr>
          <w:tab/>
        </w:r>
        <w:r w:rsidRPr="00533B68">
          <w:t>Definitions—div 3.7.2</w:t>
        </w:r>
        <w:r>
          <w:tab/>
        </w:r>
        <w:r>
          <w:fldChar w:fldCharType="begin"/>
        </w:r>
        <w:r>
          <w:instrText xml:space="preserve"> PAGEREF _Toc185514717 \h </w:instrText>
        </w:r>
        <w:r>
          <w:fldChar w:fldCharType="separate"/>
        </w:r>
        <w:r>
          <w:t>623</w:t>
        </w:r>
        <w:r>
          <w:fldChar w:fldCharType="end"/>
        </w:r>
      </w:hyperlink>
    </w:p>
    <w:p w14:paraId="4D9F7F2D" w14:textId="11D7AF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8" w:history="1">
        <w:r w:rsidRPr="00533B68">
          <w:t>3461</w:t>
        </w:r>
        <w:r>
          <w:rPr>
            <w:rFonts w:asciiTheme="minorHAnsi" w:eastAsiaTheme="minorEastAsia" w:hAnsiTheme="minorHAnsi" w:cstheme="minorBidi"/>
            <w:kern w:val="2"/>
            <w:sz w:val="24"/>
            <w:szCs w:val="24"/>
            <w:lang w:eastAsia="en-AU"/>
            <w14:ligatures w14:val="standardContextual"/>
          </w:rPr>
          <w:tab/>
        </w:r>
        <w:r w:rsidRPr="00533B68">
          <w:t>Interstate confiscation orders—register</w:t>
        </w:r>
        <w:r>
          <w:tab/>
        </w:r>
        <w:r>
          <w:fldChar w:fldCharType="begin"/>
        </w:r>
        <w:r>
          <w:instrText xml:space="preserve"> PAGEREF _Toc185514718 \h </w:instrText>
        </w:r>
        <w:r>
          <w:fldChar w:fldCharType="separate"/>
        </w:r>
        <w:r>
          <w:t>623</w:t>
        </w:r>
        <w:r>
          <w:fldChar w:fldCharType="end"/>
        </w:r>
      </w:hyperlink>
    </w:p>
    <w:p w14:paraId="7ADEC35A" w14:textId="1A858C2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19" w:history="1">
        <w:r w:rsidRPr="00533B68">
          <w:t>3462</w:t>
        </w:r>
        <w:r>
          <w:rPr>
            <w:rFonts w:asciiTheme="minorHAnsi" w:eastAsiaTheme="minorEastAsia" w:hAnsiTheme="minorHAnsi" w:cstheme="minorBidi"/>
            <w:kern w:val="2"/>
            <w:sz w:val="24"/>
            <w:szCs w:val="24"/>
            <w:lang w:eastAsia="en-AU"/>
            <w14:ligatures w14:val="standardContextual"/>
          </w:rPr>
          <w:tab/>
        </w:r>
        <w:r w:rsidRPr="00533B68">
          <w:t>Interstate confiscation orders—registration</w:t>
        </w:r>
        <w:r>
          <w:tab/>
        </w:r>
        <w:r>
          <w:fldChar w:fldCharType="begin"/>
        </w:r>
        <w:r>
          <w:instrText xml:space="preserve"> PAGEREF _Toc185514719 \h </w:instrText>
        </w:r>
        <w:r>
          <w:fldChar w:fldCharType="separate"/>
        </w:r>
        <w:r>
          <w:t>624</w:t>
        </w:r>
        <w:r>
          <w:fldChar w:fldCharType="end"/>
        </w:r>
      </w:hyperlink>
    </w:p>
    <w:p w14:paraId="4EF94403" w14:textId="105E7C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0" w:history="1">
        <w:r w:rsidRPr="00533B68">
          <w:t>3463</w:t>
        </w:r>
        <w:r>
          <w:rPr>
            <w:rFonts w:asciiTheme="minorHAnsi" w:eastAsiaTheme="minorEastAsia" w:hAnsiTheme="minorHAnsi" w:cstheme="minorBidi"/>
            <w:kern w:val="2"/>
            <w:sz w:val="24"/>
            <w:szCs w:val="24"/>
            <w:lang w:eastAsia="en-AU"/>
            <w14:ligatures w14:val="standardContextual"/>
          </w:rPr>
          <w:tab/>
        </w:r>
        <w:r w:rsidRPr="00533B68">
          <w:t>Interstate confiscation orders—proceedings for registration</w:t>
        </w:r>
        <w:r>
          <w:tab/>
        </w:r>
        <w:r>
          <w:fldChar w:fldCharType="begin"/>
        </w:r>
        <w:r>
          <w:instrText xml:space="preserve"> PAGEREF _Toc185514720 \h </w:instrText>
        </w:r>
        <w:r>
          <w:fldChar w:fldCharType="separate"/>
        </w:r>
        <w:r>
          <w:t>624</w:t>
        </w:r>
        <w:r>
          <w:fldChar w:fldCharType="end"/>
        </w:r>
      </w:hyperlink>
    </w:p>
    <w:p w14:paraId="4BB30BB8" w14:textId="13ECC1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1" w:history="1">
        <w:r w:rsidRPr="00533B68">
          <w:t>3464</w:t>
        </w:r>
        <w:r>
          <w:rPr>
            <w:rFonts w:asciiTheme="minorHAnsi" w:eastAsiaTheme="minorEastAsia" w:hAnsiTheme="minorHAnsi" w:cstheme="minorBidi"/>
            <w:kern w:val="2"/>
            <w:sz w:val="24"/>
            <w:szCs w:val="24"/>
            <w:lang w:eastAsia="en-AU"/>
            <w14:ligatures w14:val="standardContextual"/>
          </w:rPr>
          <w:tab/>
        </w:r>
        <w:r w:rsidRPr="00533B68">
          <w:t>Interstate confiscation orders—when registration cancelled</w:t>
        </w:r>
        <w:r>
          <w:tab/>
        </w:r>
        <w:r>
          <w:fldChar w:fldCharType="begin"/>
        </w:r>
        <w:r>
          <w:instrText xml:space="preserve"> PAGEREF _Toc185514721 \h </w:instrText>
        </w:r>
        <w:r>
          <w:fldChar w:fldCharType="separate"/>
        </w:r>
        <w:r>
          <w:t>625</w:t>
        </w:r>
        <w:r>
          <w:fldChar w:fldCharType="end"/>
        </w:r>
      </w:hyperlink>
    </w:p>
    <w:p w14:paraId="2ED56983" w14:textId="7CD46C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2" w:history="1">
        <w:r w:rsidRPr="00533B68">
          <w:t>3465</w:t>
        </w:r>
        <w:r>
          <w:rPr>
            <w:rFonts w:asciiTheme="minorHAnsi" w:eastAsiaTheme="minorEastAsia" w:hAnsiTheme="minorHAnsi" w:cstheme="minorBidi"/>
            <w:kern w:val="2"/>
            <w:sz w:val="24"/>
            <w:szCs w:val="24"/>
            <w:lang w:eastAsia="en-AU"/>
            <w14:ligatures w14:val="standardContextual"/>
          </w:rPr>
          <w:tab/>
        </w:r>
        <w:r w:rsidRPr="00533B68">
          <w:t>Interstate confiscation orders—filing of amendments etc</w:t>
        </w:r>
        <w:r>
          <w:tab/>
        </w:r>
        <w:r>
          <w:fldChar w:fldCharType="begin"/>
        </w:r>
        <w:r>
          <w:instrText xml:space="preserve"> PAGEREF _Toc185514722 \h </w:instrText>
        </w:r>
        <w:r>
          <w:fldChar w:fldCharType="separate"/>
        </w:r>
        <w:r>
          <w:t>625</w:t>
        </w:r>
        <w:r>
          <w:fldChar w:fldCharType="end"/>
        </w:r>
      </w:hyperlink>
    </w:p>
    <w:p w14:paraId="4C3D8DFF" w14:textId="1EF6AB20"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723" w:history="1">
        <w:r w:rsidR="00AC5392" w:rsidRPr="00533B68">
          <w:t>Part 3.8</w:t>
        </w:r>
        <w:r w:rsidR="00AC5392">
          <w:rPr>
            <w:rFonts w:asciiTheme="minorHAnsi" w:eastAsiaTheme="minorEastAsia" w:hAnsiTheme="minorHAnsi" w:cstheme="minorBidi"/>
            <w:b w:val="0"/>
            <w:kern w:val="2"/>
            <w:szCs w:val="24"/>
            <w:lang w:eastAsia="en-AU"/>
            <w14:ligatures w14:val="standardContextual"/>
          </w:rPr>
          <w:tab/>
        </w:r>
        <w:r w:rsidR="00AC5392" w:rsidRPr="00533B68">
          <w:t>Foreign judgments—reciprocal enforcement</w:t>
        </w:r>
        <w:r w:rsidR="00AC5392" w:rsidRPr="00AC5392">
          <w:rPr>
            <w:vanish/>
          </w:rPr>
          <w:tab/>
        </w:r>
        <w:r w:rsidR="00AC5392" w:rsidRPr="00AC5392">
          <w:rPr>
            <w:vanish/>
          </w:rPr>
          <w:fldChar w:fldCharType="begin"/>
        </w:r>
        <w:r w:rsidR="00AC5392" w:rsidRPr="00AC5392">
          <w:rPr>
            <w:vanish/>
          </w:rPr>
          <w:instrText xml:space="preserve"> PAGEREF _Toc185514723 \h </w:instrText>
        </w:r>
        <w:r w:rsidR="00AC5392" w:rsidRPr="00AC5392">
          <w:rPr>
            <w:vanish/>
          </w:rPr>
        </w:r>
        <w:r w:rsidR="00AC5392" w:rsidRPr="00AC5392">
          <w:rPr>
            <w:vanish/>
          </w:rPr>
          <w:fldChar w:fldCharType="separate"/>
        </w:r>
        <w:r w:rsidR="00AC5392" w:rsidRPr="00AC5392">
          <w:rPr>
            <w:vanish/>
          </w:rPr>
          <w:t>626</w:t>
        </w:r>
        <w:r w:rsidR="00AC5392" w:rsidRPr="00AC5392">
          <w:rPr>
            <w:vanish/>
          </w:rPr>
          <w:fldChar w:fldCharType="end"/>
        </w:r>
      </w:hyperlink>
    </w:p>
    <w:p w14:paraId="707D4D72" w14:textId="7C4C4B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4" w:history="1">
        <w:r w:rsidRPr="00533B68">
          <w:t>3470</w:t>
        </w:r>
        <w:r>
          <w:rPr>
            <w:rFonts w:asciiTheme="minorHAnsi" w:eastAsiaTheme="minorEastAsia" w:hAnsiTheme="minorHAnsi" w:cstheme="minorBidi"/>
            <w:kern w:val="2"/>
            <w:sz w:val="24"/>
            <w:szCs w:val="24"/>
            <w:lang w:eastAsia="en-AU"/>
            <w14:ligatures w14:val="standardContextual"/>
          </w:rPr>
          <w:tab/>
        </w:r>
        <w:r w:rsidRPr="00533B68">
          <w:t>Definitions—pt 3.8</w:t>
        </w:r>
        <w:r>
          <w:tab/>
        </w:r>
        <w:r>
          <w:fldChar w:fldCharType="begin"/>
        </w:r>
        <w:r>
          <w:instrText xml:space="preserve"> PAGEREF _Toc185514724 \h </w:instrText>
        </w:r>
        <w:r>
          <w:fldChar w:fldCharType="separate"/>
        </w:r>
        <w:r>
          <w:t>626</w:t>
        </w:r>
        <w:r>
          <w:fldChar w:fldCharType="end"/>
        </w:r>
      </w:hyperlink>
    </w:p>
    <w:p w14:paraId="1210F824" w14:textId="15F9A8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5" w:history="1">
        <w:r w:rsidRPr="00533B68">
          <w:t>3471</w:t>
        </w:r>
        <w:r>
          <w:rPr>
            <w:rFonts w:asciiTheme="minorHAnsi" w:eastAsiaTheme="minorEastAsia" w:hAnsiTheme="minorHAnsi" w:cstheme="minorBidi"/>
            <w:kern w:val="2"/>
            <w:sz w:val="24"/>
            <w:szCs w:val="24"/>
            <w:lang w:eastAsia="en-AU"/>
            <w14:ligatures w14:val="standardContextual"/>
          </w:rPr>
          <w:tab/>
        </w:r>
        <w:r w:rsidRPr="00533B68">
          <w:t>Terms used in Foreign Judgments Act</w:t>
        </w:r>
        <w:r>
          <w:tab/>
        </w:r>
        <w:r>
          <w:fldChar w:fldCharType="begin"/>
        </w:r>
        <w:r>
          <w:instrText xml:space="preserve"> PAGEREF _Toc185514725 \h </w:instrText>
        </w:r>
        <w:r>
          <w:fldChar w:fldCharType="separate"/>
        </w:r>
        <w:r>
          <w:t>626</w:t>
        </w:r>
        <w:r>
          <w:fldChar w:fldCharType="end"/>
        </w:r>
      </w:hyperlink>
    </w:p>
    <w:p w14:paraId="300C3BF2" w14:textId="25AEBF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6" w:history="1">
        <w:r w:rsidRPr="00533B68">
          <w:t>3472</w:t>
        </w:r>
        <w:r>
          <w:rPr>
            <w:rFonts w:asciiTheme="minorHAnsi" w:eastAsiaTheme="minorEastAsia" w:hAnsiTheme="minorHAnsi" w:cstheme="minorBidi"/>
            <w:kern w:val="2"/>
            <w:sz w:val="24"/>
            <w:szCs w:val="24"/>
            <w:lang w:eastAsia="en-AU"/>
            <w14:ligatures w14:val="standardContextual"/>
          </w:rPr>
          <w:tab/>
        </w:r>
        <w:r w:rsidRPr="00533B68">
          <w:t>Application—pt 3.8</w:t>
        </w:r>
        <w:r>
          <w:tab/>
        </w:r>
        <w:r>
          <w:fldChar w:fldCharType="begin"/>
        </w:r>
        <w:r>
          <w:instrText xml:space="preserve"> PAGEREF _Toc185514726 \h </w:instrText>
        </w:r>
        <w:r>
          <w:fldChar w:fldCharType="separate"/>
        </w:r>
        <w:r>
          <w:t>626</w:t>
        </w:r>
        <w:r>
          <w:fldChar w:fldCharType="end"/>
        </w:r>
      </w:hyperlink>
    </w:p>
    <w:p w14:paraId="60647599" w14:textId="3BF642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7" w:history="1">
        <w:r w:rsidRPr="00533B68">
          <w:t>3473</w:t>
        </w:r>
        <w:r>
          <w:rPr>
            <w:rFonts w:asciiTheme="minorHAnsi" w:eastAsiaTheme="minorEastAsia" w:hAnsiTheme="minorHAnsi" w:cstheme="minorBidi"/>
            <w:kern w:val="2"/>
            <w:sz w:val="24"/>
            <w:szCs w:val="24"/>
            <w:lang w:eastAsia="en-AU"/>
            <w14:ligatures w14:val="standardContextual"/>
          </w:rPr>
          <w:tab/>
        </w:r>
        <w:r w:rsidRPr="00533B68">
          <w:t>Foreign judgment—application for registration</w:t>
        </w:r>
        <w:r>
          <w:tab/>
        </w:r>
        <w:r>
          <w:fldChar w:fldCharType="begin"/>
        </w:r>
        <w:r>
          <w:instrText xml:space="preserve"> PAGEREF _Toc185514727 \h </w:instrText>
        </w:r>
        <w:r>
          <w:fldChar w:fldCharType="separate"/>
        </w:r>
        <w:r>
          <w:t>627</w:t>
        </w:r>
        <w:r>
          <w:fldChar w:fldCharType="end"/>
        </w:r>
      </w:hyperlink>
    </w:p>
    <w:p w14:paraId="090061C0" w14:textId="714F27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8" w:history="1">
        <w:r w:rsidRPr="00533B68">
          <w:t>3474</w:t>
        </w:r>
        <w:r>
          <w:rPr>
            <w:rFonts w:asciiTheme="minorHAnsi" w:eastAsiaTheme="minorEastAsia" w:hAnsiTheme="minorHAnsi" w:cstheme="minorBidi"/>
            <w:kern w:val="2"/>
            <w:sz w:val="24"/>
            <w:szCs w:val="24"/>
            <w:lang w:eastAsia="en-AU"/>
            <w14:ligatures w14:val="standardContextual"/>
          </w:rPr>
          <w:tab/>
        </w:r>
        <w:r w:rsidRPr="00533B68">
          <w:t>Foreign judgment—evidence in support of application for registration</w:t>
        </w:r>
        <w:r>
          <w:tab/>
        </w:r>
        <w:r>
          <w:fldChar w:fldCharType="begin"/>
        </w:r>
        <w:r>
          <w:instrText xml:space="preserve"> PAGEREF _Toc185514728 \h </w:instrText>
        </w:r>
        <w:r>
          <w:fldChar w:fldCharType="separate"/>
        </w:r>
        <w:r>
          <w:t>627</w:t>
        </w:r>
        <w:r>
          <w:fldChar w:fldCharType="end"/>
        </w:r>
      </w:hyperlink>
    </w:p>
    <w:p w14:paraId="6EB2BD31" w14:textId="04B51F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29" w:history="1">
        <w:r w:rsidRPr="00533B68">
          <w:t>3475</w:t>
        </w:r>
        <w:r>
          <w:rPr>
            <w:rFonts w:asciiTheme="minorHAnsi" w:eastAsiaTheme="minorEastAsia" w:hAnsiTheme="minorHAnsi" w:cstheme="minorBidi"/>
            <w:kern w:val="2"/>
            <w:sz w:val="24"/>
            <w:szCs w:val="24"/>
            <w:lang w:eastAsia="en-AU"/>
            <w14:ligatures w14:val="standardContextual"/>
          </w:rPr>
          <w:tab/>
        </w:r>
        <w:r w:rsidRPr="00533B68">
          <w:t>Foreign judgment—security for costs of application for registration</w:t>
        </w:r>
        <w:r>
          <w:tab/>
        </w:r>
        <w:r>
          <w:fldChar w:fldCharType="begin"/>
        </w:r>
        <w:r>
          <w:instrText xml:space="preserve"> PAGEREF _Toc185514729 \h </w:instrText>
        </w:r>
        <w:r>
          <w:fldChar w:fldCharType="separate"/>
        </w:r>
        <w:r>
          <w:t>629</w:t>
        </w:r>
        <w:r>
          <w:fldChar w:fldCharType="end"/>
        </w:r>
      </w:hyperlink>
    </w:p>
    <w:p w14:paraId="5A10F4B7" w14:textId="3396E16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0" w:history="1">
        <w:r w:rsidRPr="00533B68">
          <w:t>3476</w:t>
        </w:r>
        <w:r>
          <w:rPr>
            <w:rFonts w:asciiTheme="minorHAnsi" w:eastAsiaTheme="minorEastAsia" w:hAnsiTheme="minorHAnsi" w:cstheme="minorBidi"/>
            <w:kern w:val="2"/>
            <w:sz w:val="24"/>
            <w:szCs w:val="24"/>
            <w:lang w:eastAsia="en-AU"/>
            <w14:ligatures w14:val="standardContextual"/>
          </w:rPr>
          <w:tab/>
        </w:r>
        <w:r w:rsidRPr="00533B68">
          <w:t>Foreign judgment—order for registration</w:t>
        </w:r>
        <w:r>
          <w:tab/>
        </w:r>
        <w:r>
          <w:fldChar w:fldCharType="begin"/>
        </w:r>
        <w:r>
          <w:instrText xml:space="preserve"> PAGEREF _Toc185514730 \h </w:instrText>
        </w:r>
        <w:r>
          <w:fldChar w:fldCharType="separate"/>
        </w:r>
        <w:r>
          <w:t>629</w:t>
        </w:r>
        <w:r>
          <w:fldChar w:fldCharType="end"/>
        </w:r>
      </w:hyperlink>
    </w:p>
    <w:p w14:paraId="5788EA52" w14:textId="3E50F9A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1" w:history="1">
        <w:r w:rsidRPr="00533B68">
          <w:t>3477</w:t>
        </w:r>
        <w:r>
          <w:rPr>
            <w:rFonts w:asciiTheme="minorHAnsi" w:eastAsiaTheme="minorEastAsia" w:hAnsiTheme="minorHAnsi" w:cstheme="minorBidi"/>
            <w:kern w:val="2"/>
            <w:sz w:val="24"/>
            <w:szCs w:val="24"/>
            <w:lang w:eastAsia="en-AU"/>
            <w14:ligatures w14:val="standardContextual"/>
          </w:rPr>
          <w:tab/>
        </w:r>
        <w:r w:rsidRPr="00533B68">
          <w:t>Foreign judgment—register</w:t>
        </w:r>
        <w:r>
          <w:tab/>
        </w:r>
        <w:r>
          <w:fldChar w:fldCharType="begin"/>
        </w:r>
        <w:r>
          <w:instrText xml:space="preserve"> PAGEREF _Toc185514731 \h </w:instrText>
        </w:r>
        <w:r>
          <w:fldChar w:fldCharType="separate"/>
        </w:r>
        <w:r>
          <w:t>629</w:t>
        </w:r>
        <w:r>
          <w:fldChar w:fldCharType="end"/>
        </w:r>
      </w:hyperlink>
    </w:p>
    <w:p w14:paraId="3A921D76" w14:textId="4385D34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2" w:history="1">
        <w:r w:rsidRPr="00533B68">
          <w:t>3478</w:t>
        </w:r>
        <w:r>
          <w:rPr>
            <w:rFonts w:asciiTheme="minorHAnsi" w:eastAsiaTheme="minorEastAsia" w:hAnsiTheme="minorHAnsi" w:cstheme="minorBidi"/>
            <w:kern w:val="2"/>
            <w:sz w:val="24"/>
            <w:szCs w:val="24"/>
            <w:lang w:eastAsia="en-AU"/>
            <w14:ligatures w14:val="standardContextual"/>
          </w:rPr>
          <w:tab/>
        </w:r>
        <w:r w:rsidRPr="00533B68">
          <w:t>Foreign judgment—registration</w:t>
        </w:r>
        <w:r>
          <w:tab/>
        </w:r>
        <w:r>
          <w:fldChar w:fldCharType="begin"/>
        </w:r>
        <w:r>
          <w:instrText xml:space="preserve"> PAGEREF _Toc185514732 \h </w:instrText>
        </w:r>
        <w:r>
          <w:fldChar w:fldCharType="separate"/>
        </w:r>
        <w:r>
          <w:t>630</w:t>
        </w:r>
        <w:r>
          <w:fldChar w:fldCharType="end"/>
        </w:r>
      </w:hyperlink>
    </w:p>
    <w:p w14:paraId="12811142" w14:textId="00074EA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3" w:history="1">
        <w:r w:rsidRPr="00533B68">
          <w:t>3479</w:t>
        </w:r>
        <w:r>
          <w:rPr>
            <w:rFonts w:asciiTheme="minorHAnsi" w:eastAsiaTheme="minorEastAsia" w:hAnsiTheme="minorHAnsi" w:cstheme="minorBidi"/>
            <w:kern w:val="2"/>
            <w:sz w:val="24"/>
            <w:szCs w:val="24"/>
            <w:lang w:eastAsia="en-AU"/>
            <w14:ligatures w14:val="standardContextual"/>
          </w:rPr>
          <w:tab/>
        </w:r>
        <w:r w:rsidRPr="00533B68">
          <w:t>Foreign judgment—notice of registration</w:t>
        </w:r>
        <w:r>
          <w:tab/>
        </w:r>
        <w:r>
          <w:fldChar w:fldCharType="begin"/>
        </w:r>
        <w:r>
          <w:instrText xml:space="preserve"> PAGEREF _Toc185514733 \h </w:instrText>
        </w:r>
        <w:r>
          <w:fldChar w:fldCharType="separate"/>
        </w:r>
        <w:r>
          <w:t>631</w:t>
        </w:r>
        <w:r>
          <w:fldChar w:fldCharType="end"/>
        </w:r>
      </w:hyperlink>
    </w:p>
    <w:p w14:paraId="7C7FDF33" w14:textId="3361C3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4" w:history="1">
        <w:r w:rsidRPr="00533B68">
          <w:t>3480</w:t>
        </w:r>
        <w:r>
          <w:rPr>
            <w:rFonts w:asciiTheme="minorHAnsi" w:eastAsiaTheme="minorEastAsia" w:hAnsiTheme="minorHAnsi" w:cstheme="minorBidi"/>
            <w:kern w:val="2"/>
            <w:sz w:val="24"/>
            <w:szCs w:val="24"/>
            <w:lang w:eastAsia="en-AU"/>
            <w14:ligatures w14:val="standardContextual"/>
          </w:rPr>
          <w:tab/>
        </w:r>
        <w:r w:rsidRPr="00533B68">
          <w:t>Notice of registration—affidavit of service to be filed</w:t>
        </w:r>
        <w:r>
          <w:tab/>
        </w:r>
        <w:r>
          <w:fldChar w:fldCharType="begin"/>
        </w:r>
        <w:r>
          <w:instrText xml:space="preserve"> PAGEREF _Toc185514734 \h </w:instrText>
        </w:r>
        <w:r>
          <w:fldChar w:fldCharType="separate"/>
        </w:r>
        <w:r>
          <w:t>631</w:t>
        </w:r>
        <w:r>
          <w:fldChar w:fldCharType="end"/>
        </w:r>
      </w:hyperlink>
    </w:p>
    <w:p w14:paraId="50A299A4" w14:textId="48A7F6B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5" w:history="1">
        <w:r w:rsidRPr="00533B68">
          <w:t>3481</w:t>
        </w:r>
        <w:r>
          <w:rPr>
            <w:rFonts w:asciiTheme="minorHAnsi" w:eastAsiaTheme="minorEastAsia" w:hAnsiTheme="minorHAnsi" w:cstheme="minorBidi"/>
            <w:kern w:val="2"/>
            <w:sz w:val="24"/>
            <w:szCs w:val="24"/>
            <w:lang w:eastAsia="en-AU"/>
            <w14:ligatures w14:val="standardContextual"/>
          </w:rPr>
          <w:tab/>
        </w:r>
        <w:r w:rsidRPr="00533B68">
          <w:t>Registration of judgment—application to set aside</w:t>
        </w:r>
        <w:r>
          <w:tab/>
        </w:r>
        <w:r>
          <w:fldChar w:fldCharType="begin"/>
        </w:r>
        <w:r>
          <w:instrText xml:space="preserve"> PAGEREF _Toc185514735 \h </w:instrText>
        </w:r>
        <w:r>
          <w:fldChar w:fldCharType="separate"/>
        </w:r>
        <w:r>
          <w:t>631</w:t>
        </w:r>
        <w:r>
          <w:fldChar w:fldCharType="end"/>
        </w:r>
      </w:hyperlink>
    </w:p>
    <w:p w14:paraId="08ED1AFF" w14:textId="6EB1522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6" w:history="1">
        <w:r w:rsidRPr="00533B68">
          <w:t>3482</w:t>
        </w:r>
        <w:r>
          <w:rPr>
            <w:rFonts w:asciiTheme="minorHAnsi" w:eastAsiaTheme="minorEastAsia" w:hAnsiTheme="minorHAnsi" w:cstheme="minorBidi"/>
            <w:kern w:val="2"/>
            <w:sz w:val="24"/>
            <w:szCs w:val="24"/>
            <w:lang w:eastAsia="en-AU"/>
            <w14:ligatures w14:val="standardContextual"/>
          </w:rPr>
          <w:tab/>
        </w:r>
        <w:r w:rsidRPr="00533B68">
          <w:t>Foreign judgment—enforcement</w:t>
        </w:r>
        <w:r>
          <w:tab/>
        </w:r>
        <w:r>
          <w:fldChar w:fldCharType="begin"/>
        </w:r>
        <w:r>
          <w:instrText xml:space="preserve"> PAGEREF _Toc185514736 \h </w:instrText>
        </w:r>
        <w:r>
          <w:fldChar w:fldCharType="separate"/>
        </w:r>
        <w:r>
          <w:t>632</w:t>
        </w:r>
        <w:r>
          <w:fldChar w:fldCharType="end"/>
        </w:r>
      </w:hyperlink>
    </w:p>
    <w:p w14:paraId="0B316A21" w14:textId="23A983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7" w:history="1">
        <w:r w:rsidRPr="00533B68">
          <w:t>3483</w:t>
        </w:r>
        <w:r>
          <w:rPr>
            <w:rFonts w:asciiTheme="minorHAnsi" w:eastAsiaTheme="minorEastAsia" w:hAnsiTheme="minorHAnsi" w:cstheme="minorBidi"/>
            <w:kern w:val="2"/>
            <w:sz w:val="24"/>
            <w:szCs w:val="24"/>
            <w:lang w:eastAsia="en-AU"/>
            <w14:ligatures w14:val="standardContextual"/>
          </w:rPr>
          <w:tab/>
        </w:r>
        <w:r w:rsidRPr="00533B68">
          <w:t>Australian judgment—certificate for foreign registration</w:t>
        </w:r>
        <w:r>
          <w:tab/>
        </w:r>
        <w:r>
          <w:fldChar w:fldCharType="begin"/>
        </w:r>
        <w:r>
          <w:instrText xml:space="preserve"> PAGEREF _Toc185514737 \h </w:instrText>
        </w:r>
        <w:r>
          <w:fldChar w:fldCharType="separate"/>
        </w:r>
        <w:r>
          <w:t>632</w:t>
        </w:r>
        <w:r>
          <w:fldChar w:fldCharType="end"/>
        </w:r>
      </w:hyperlink>
    </w:p>
    <w:p w14:paraId="01C11E07" w14:textId="17C9B239"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738" w:history="1">
        <w:r w:rsidR="00AC5392" w:rsidRPr="00533B68">
          <w:t>Part 3.9</w:t>
        </w:r>
        <w:r w:rsidR="00AC5392">
          <w:rPr>
            <w:rFonts w:asciiTheme="minorHAnsi" w:eastAsiaTheme="minorEastAsia" w:hAnsiTheme="minorHAnsi" w:cstheme="minorBidi"/>
            <w:b w:val="0"/>
            <w:kern w:val="2"/>
            <w:szCs w:val="24"/>
            <w:lang w:eastAsia="en-AU"/>
            <w14:ligatures w14:val="standardContextual"/>
          </w:rPr>
          <w:tab/>
        </w:r>
        <w:r w:rsidR="00AC5392" w:rsidRPr="00533B68">
          <w:t>Habeas corpus</w:t>
        </w:r>
        <w:r w:rsidR="00AC5392" w:rsidRPr="00AC5392">
          <w:rPr>
            <w:vanish/>
          </w:rPr>
          <w:tab/>
        </w:r>
        <w:r w:rsidR="00AC5392" w:rsidRPr="00AC5392">
          <w:rPr>
            <w:vanish/>
          </w:rPr>
          <w:fldChar w:fldCharType="begin"/>
        </w:r>
        <w:r w:rsidR="00AC5392" w:rsidRPr="00AC5392">
          <w:rPr>
            <w:vanish/>
          </w:rPr>
          <w:instrText xml:space="preserve"> PAGEREF _Toc185514738 \h </w:instrText>
        </w:r>
        <w:r w:rsidR="00AC5392" w:rsidRPr="00AC5392">
          <w:rPr>
            <w:vanish/>
          </w:rPr>
        </w:r>
        <w:r w:rsidR="00AC5392" w:rsidRPr="00AC5392">
          <w:rPr>
            <w:vanish/>
          </w:rPr>
          <w:fldChar w:fldCharType="separate"/>
        </w:r>
        <w:r w:rsidR="00AC5392" w:rsidRPr="00AC5392">
          <w:rPr>
            <w:vanish/>
          </w:rPr>
          <w:t>634</w:t>
        </w:r>
        <w:r w:rsidR="00AC5392" w:rsidRPr="00AC5392">
          <w:rPr>
            <w:vanish/>
          </w:rPr>
          <w:fldChar w:fldCharType="end"/>
        </w:r>
      </w:hyperlink>
    </w:p>
    <w:p w14:paraId="68A9A232" w14:textId="3923BDB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39" w:history="1">
        <w:r w:rsidRPr="00533B68">
          <w:t>3500</w:t>
        </w:r>
        <w:r>
          <w:rPr>
            <w:rFonts w:asciiTheme="minorHAnsi" w:eastAsiaTheme="minorEastAsia" w:hAnsiTheme="minorHAnsi" w:cstheme="minorBidi"/>
            <w:kern w:val="2"/>
            <w:sz w:val="24"/>
            <w:szCs w:val="24"/>
            <w:lang w:eastAsia="en-AU"/>
            <w14:ligatures w14:val="standardContextual"/>
          </w:rPr>
          <w:tab/>
        </w:r>
        <w:r w:rsidRPr="00533B68">
          <w:t>Definitions—pt 3.9</w:t>
        </w:r>
        <w:r>
          <w:tab/>
        </w:r>
        <w:r>
          <w:fldChar w:fldCharType="begin"/>
        </w:r>
        <w:r>
          <w:instrText xml:space="preserve"> PAGEREF _Toc185514739 \h </w:instrText>
        </w:r>
        <w:r>
          <w:fldChar w:fldCharType="separate"/>
        </w:r>
        <w:r>
          <w:t>634</w:t>
        </w:r>
        <w:r>
          <w:fldChar w:fldCharType="end"/>
        </w:r>
      </w:hyperlink>
    </w:p>
    <w:p w14:paraId="4EC04616" w14:textId="2B3317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0" w:history="1">
        <w:r w:rsidRPr="00533B68">
          <w:t>3501</w:t>
        </w:r>
        <w:r>
          <w:rPr>
            <w:rFonts w:asciiTheme="minorHAnsi" w:eastAsiaTheme="minorEastAsia" w:hAnsiTheme="minorHAnsi" w:cstheme="minorBidi"/>
            <w:kern w:val="2"/>
            <w:sz w:val="24"/>
            <w:szCs w:val="24"/>
            <w:lang w:eastAsia="en-AU"/>
            <w14:ligatures w14:val="standardContextual"/>
          </w:rPr>
          <w:tab/>
        </w:r>
        <w:r w:rsidRPr="00533B68">
          <w:t>Application—pt 3.9</w:t>
        </w:r>
        <w:r>
          <w:tab/>
        </w:r>
        <w:r>
          <w:fldChar w:fldCharType="begin"/>
        </w:r>
        <w:r>
          <w:instrText xml:space="preserve"> PAGEREF _Toc185514740 \h </w:instrText>
        </w:r>
        <w:r>
          <w:fldChar w:fldCharType="separate"/>
        </w:r>
        <w:r>
          <w:t>634</w:t>
        </w:r>
        <w:r>
          <w:fldChar w:fldCharType="end"/>
        </w:r>
      </w:hyperlink>
    </w:p>
    <w:p w14:paraId="414D9661" w14:textId="62140F7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1" w:history="1">
        <w:r w:rsidRPr="00533B68">
          <w:t>3502</w:t>
        </w:r>
        <w:r>
          <w:rPr>
            <w:rFonts w:asciiTheme="minorHAnsi" w:eastAsiaTheme="minorEastAsia" w:hAnsiTheme="minorHAnsi" w:cstheme="minorBidi"/>
            <w:kern w:val="2"/>
            <w:sz w:val="24"/>
            <w:szCs w:val="24"/>
            <w:lang w:eastAsia="en-AU"/>
            <w14:ligatures w14:val="standardContextual"/>
          </w:rPr>
          <w:tab/>
        </w:r>
        <w:r w:rsidRPr="00533B68">
          <w:t>Habeas corpus—writs of habeas corpus abolished</w:t>
        </w:r>
        <w:r>
          <w:tab/>
        </w:r>
        <w:r>
          <w:fldChar w:fldCharType="begin"/>
        </w:r>
        <w:r>
          <w:instrText xml:space="preserve"> PAGEREF _Toc185514741 \h </w:instrText>
        </w:r>
        <w:r>
          <w:fldChar w:fldCharType="separate"/>
        </w:r>
        <w:r>
          <w:t>634</w:t>
        </w:r>
        <w:r>
          <w:fldChar w:fldCharType="end"/>
        </w:r>
      </w:hyperlink>
    </w:p>
    <w:p w14:paraId="588EDFA7" w14:textId="36A3444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2" w:history="1">
        <w:r w:rsidRPr="00533B68">
          <w:t>3503</w:t>
        </w:r>
        <w:r>
          <w:rPr>
            <w:rFonts w:asciiTheme="minorHAnsi" w:eastAsiaTheme="minorEastAsia" w:hAnsiTheme="minorHAnsi" w:cstheme="minorBidi"/>
            <w:kern w:val="2"/>
            <w:sz w:val="24"/>
            <w:szCs w:val="24"/>
            <w:lang w:eastAsia="en-AU"/>
            <w14:ligatures w14:val="standardContextual"/>
          </w:rPr>
          <w:tab/>
        </w:r>
        <w:r w:rsidRPr="00533B68">
          <w:t>Habeas corpus—order instead of writ of habeas corpus</w:t>
        </w:r>
        <w:r>
          <w:tab/>
        </w:r>
        <w:r>
          <w:fldChar w:fldCharType="begin"/>
        </w:r>
        <w:r>
          <w:instrText xml:space="preserve"> PAGEREF _Toc185514742 \h </w:instrText>
        </w:r>
        <w:r>
          <w:fldChar w:fldCharType="separate"/>
        </w:r>
        <w:r>
          <w:t>634</w:t>
        </w:r>
        <w:r>
          <w:fldChar w:fldCharType="end"/>
        </w:r>
      </w:hyperlink>
    </w:p>
    <w:p w14:paraId="7C26F064" w14:textId="307EC95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3" w:history="1">
        <w:r w:rsidRPr="00533B68">
          <w:t>3504</w:t>
        </w:r>
        <w:r>
          <w:rPr>
            <w:rFonts w:asciiTheme="minorHAnsi" w:eastAsiaTheme="minorEastAsia" w:hAnsiTheme="minorHAnsi" w:cstheme="minorBidi"/>
            <w:kern w:val="2"/>
            <w:sz w:val="24"/>
            <w:szCs w:val="24"/>
            <w:lang w:eastAsia="en-AU"/>
            <w14:ligatures w14:val="standardContextual"/>
          </w:rPr>
          <w:tab/>
        </w:r>
        <w:r w:rsidRPr="00533B68">
          <w:t>Habeas corpus—application and service</w:t>
        </w:r>
        <w:r>
          <w:tab/>
        </w:r>
        <w:r>
          <w:fldChar w:fldCharType="begin"/>
        </w:r>
        <w:r>
          <w:instrText xml:space="preserve"> PAGEREF _Toc185514743 \h </w:instrText>
        </w:r>
        <w:r>
          <w:fldChar w:fldCharType="separate"/>
        </w:r>
        <w:r>
          <w:t>635</w:t>
        </w:r>
        <w:r>
          <w:fldChar w:fldCharType="end"/>
        </w:r>
      </w:hyperlink>
    </w:p>
    <w:p w14:paraId="7CE12DA7" w14:textId="0AFE998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4" w:history="1">
        <w:r w:rsidRPr="00533B68">
          <w:t>3505</w:t>
        </w:r>
        <w:r>
          <w:rPr>
            <w:rFonts w:asciiTheme="minorHAnsi" w:eastAsiaTheme="minorEastAsia" w:hAnsiTheme="minorHAnsi" w:cstheme="minorBidi"/>
            <w:kern w:val="2"/>
            <w:sz w:val="24"/>
            <w:szCs w:val="24"/>
            <w:lang w:eastAsia="en-AU"/>
            <w14:ligatures w14:val="standardContextual"/>
          </w:rPr>
          <w:tab/>
        </w:r>
        <w:r w:rsidRPr="00533B68">
          <w:t>Habeas corpus—parties</w:t>
        </w:r>
        <w:r>
          <w:tab/>
        </w:r>
        <w:r>
          <w:fldChar w:fldCharType="begin"/>
        </w:r>
        <w:r>
          <w:instrText xml:space="preserve"> PAGEREF _Toc185514744 \h </w:instrText>
        </w:r>
        <w:r>
          <w:fldChar w:fldCharType="separate"/>
        </w:r>
        <w:r>
          <w:t>635</w:t>
        </w:r>
        <w:r>
          <w:fldChar w:fldCharType="end"/>
        </w:r>
      </w:hyperlink>
    </w:p>
    <w:p w14:paraId="65A14D49" w14:textId="64555744"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745" w:history="1">
        <w:r w:rsidRPr="00533B68">
          <w:t>3506</w:t>
        </w:r>
        <w:r>
          <w:rPr>
            <w:rFonts w:asciiTheme="minorHAnsi" w:eastAsiaTheme="minorEastAsia" w:hAnsiTheme="minorHAnsi" w:cstheme="minorBidi"/>
            <w:kern w:val="2"/>
            <w:sz w:val="24"/>
            <w:szCs w:val="24"/>
            <w:lang w:eastAsia="en-AU"/>
            <w14:ligatures w14:val="standardContextual"/>
          </w:rPr>
          <w:tab/>
        </w:r>
        <w:r w:rsidRPr="00533B68">
          <w:t>Habeas corpus—procedure on application etc</w:t>
        </w:r>
        <w:r>
          <w:tab/>
        </w:r>
        <w:r>
          <w:fldChar w:fldCharType="begin"/>
        </w:r>
        <w:r>
          <w:instrText xml:space="preserve"> PAGEREF _Toc185514745 \h </w:instrText>
        </w:r>
        <w:r>
          <w:fldChar w:fldCharType="separate"/>
        </w:r>
        <w:r>
          <w:t>636</w:t>
        </w:r>
        <w:r>
          <w:fldChar w:fldCharType="end"/>
        </w:r>
      </w:hyperlink>
    </w:p>
    <w:p w14:paraId="781EDFD4" w14:textId="3901A98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6" w:history="1">
        <w:r w:rsidRPr="00533B68">
          <w:t>3507</w:t>
        </w:r>
        <w:r>
          <w:rPr>
            <w:rFonts w:asciiTheme="minorHAnsi" w:eastAsiaTheme="minorEastAsia" w:hAnsiTheme="minorHAnsi" w:cstheme="minorBidi"/>
            <w:kern w:val="2"/>
            <w:sz w:val="24"/>
            <w:szCs w:val="24"/>
            <w:lang w:eastAsia="en-AU"/>
            <w14:ligatures w14:val="standardContextual"/>
          </w:rPr>
          <w:tab/>
        </w:r>
        <w:r w:rsidRPr="00533B68">
          <w:t>Habeas corpus—return of order</w:t>
        </w:r>
        <w:r>
          <w:tab/>
        </w:r>
        <w:r>
          <w:fldChar w:fldCharType="begin"/>
        </w:r>
        <w:r>
          <w:instrText xml:space="preserve"> PAGEREF _Toc185514746 \h </w:instrText>
        </w:r>
        <w:r>
          <w:fldChar w:fldCharType="separate"/>
        </w:r>
        <w:r>
          <w:t>637</w:t>
        </w:r>
        <w:r>
          <w:fldChar w:fldCharType="end"/>
        </w:r>
      </w:hyperlink>
    </w:p>
    <w:p w14:paraId="537DC0F3" w14:textId="5E76AC84"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747" w:history="1">
        <w:r w:rsidR="00AC5392" w:rsidRPr="00533B68">
          <w:t>Part 3.10</w:t>
        </w:r>
        <w:r w:rsidR="00AC5392">
          <w:rPr>
            <w:rFonts w:asciiTheme="minorHAnsi" w:eastAsiaTheme="minorEastAsia" w:hAnsiTheme="minorHAnsi" w:cstheme="minorBidi"/>
            <w:b w:val="0"/>
            <w:kern w:val="2"/>
            <w:szCs w:val="24"/>
            <w:lang w:eastAsia="en-AU"/>
            <w14:ligatures w14:val="standardContextual"/>
          </w:rPr>
          <w:tab/>
        </w:r>
        <w:r w:rsidR="00AC5392" w:rsidRPr="00533B68">
          <w:t>Judicial review</w:t>
        </w:r>
        <w:r w:rsidR="00AC5392" w:rsidRPr="00AC5392">
          <w:rPr>
            <w:vanish/>
          </w:rPr>
          <w:tab/>
        </w:r>
        <w:r w:rsidR="00AC5392" w:rsidRPr="00AC5392">
          <w:rPr>
            <w:vanish/>
          </w:rPr>
          <w:fldChar w:fldCharType="begin"/>
        </w:r>
        <w:r w:rsidR="00AC5392" w:rsidRPr="00AC5392">
          <w:rPr>
            <w:vanish/>
          </w:rPr>
          <w:instrText xml:space="preserve"> PAGEREF _Toc185514747 \h </w:instrText>
        </w:r>
        <w:r w:rsidR="00AC5392" w:rsidRPr="00AC5392">
          <w:rPr>
            <w:vanish/>
          </w:rPr>
        </w:r>
        <w:r w:rsidR="00AC5392" w:rsidRPr="00AC5392">
          <w:rPr>
            <w:vanish/>
          </w:rPr>
          <w:fldChar w:fldCharType="separate"/>
        </w:r>
        <w:r w:rsidR="00AC5392" w:rsidRPr="00AC5392">
          <w:rPr>
            <w:vanish/>
          </w:rPr>
          <w:t>639</w:t>
        </w:r>
        <w:r w:rsidR="00AC5392" w:rsidRPr="00AC5392">
          <w:rPr>
            <w:vanish/>
          </w:rPr>
          <w:fldChar w:fldCharType="end"/>
        </w:r>
      </w:hyperlink>
    </w:p>
    <w:p w14:paraId="1A600AB6" w14:textId="0FD0F0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8" w:history="1">
        <w:r w:rsidRPr="00533B68">
          <w:t>3550</w:t>
        </w:r>
        <w:r>
          <w:rPr>
            <w:rFonts w:asciiTheme="minorHAnsi" w:eastAsiaTheme="minorEastAsia" w:hAnsiTheme="minorHAnsi" w:cstheme="minorBidi"/>
            <w:kern w:val="2"/>
            <w:sz w:val="24"/>
            <w:szCs w:val="24"/>
            <w:lang w:eastAsia="en-AU"/>
            <w14:ligatures w14:val="standardContextual"/>
          </w:rPr>
          <w:tab/>
        </w:r>
        <w:r w:rsidRPr="00533B68">
          <w:t>Definitions—pt 3.10</w:t>
        </w:r>
        <w:r>
          <w:tab/>
        </w:r>
        <w:r>
          <w:fldChar w:fldCharType="begin"/>
        </w:r>
        <w:r>
          <w:instrText xml:space="preserve"> PAGEREF _Toc185514748 \h </w:instrText>
        </w:r>
        <w:r>
          <w:fldChar w:fldCharType="separate"/>
        </w:r>
        <w:r>
          <w:t>639</w:t>
        </w:r>
        <w:r>
          <w:fldChar w:fldCharType="end"/>
        </w:r>
      </w:hyperlink>
    </w:p>
    <w:p w14:paraId="7187B930" w14:textId="5DA012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49" w:history="1">
        <w:r w:rsidRPr="00533B68">
          <w:t>3551</w:t>
        </w:r>
        <w:r>
          <w:rPr>
            <w:rFonts w:asciiTheme="minorHAnsi" w:eastAsiaTheme="minorEastAsia" w:hAnsiTheme="minorHAnsi" w:cstheme="minorBidi"/>
            <w:kern w:val="2"/>
            <w:sz w:val="24"/>
            <w:szCs w:val="24"/>
            <w:lang w:eastAsia="en-AU"/>
            <w14:ligatures w14:val="standardContextual"/>
          </w:rPr>
          <w:tab/>
        </w:r>
        <w:r w:rsidRPr="00533B68">
          <w:t>Terms defined in Judicial Review Act</w:t>
        </w:r>
        <w:r>
          <w:tab/>
        </w:r>
        <w:r>
          <w:fldChar w:fldCharType="begin"/>
        </w:r>
        <w:r>
          <w:instrText xml:space="preserve"> PAGEREF _Toc185514749 \h </w:instrText>
        </w:r>
        <w:r>
          <w:fldChar w:fldCharType="separate"/>
        </w:r>
        <w:r>
          <w:t>640</w:t>
        </w:r>
        <w:r>
          <w:fldChar w:fldCharType="end"/>
        </w:r>
      </w:hyperlink>
    </w:p>
    <w:p w14:paraId="7ED854CE" w14:textId="60E7AA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0" w:history="1">
        <w:r w:rsidRPr="00533B68">
          <w:t>3552</w:t>
        </w:r>
        <w:r>
          <w:rPr>
            <w:rFonts w:asciiTheme="minorHAnsi" w:eastAsiaTheme="minorEastAsia" w:hAnsiTheme="minorHAnsi" w:cstheme="minorBidi"/>
            <w:kern w:val="2"/>
            <w:sz w:val="24"/>
            <w:szCs w:val="24"/>
            <w:lang w:eastAsia="en-AU"/>
            <w14:ligatures w14:val="standardContextual"/>
          </w:rPr>
          <w:tab/>
        </w:r>
        <w:r w:rsidRPr="00533B68">
          <w:t>Application—pt 3.10</w:t>
        </w:r>
        <w:r>
          <w:tab/>
        </w:r>
        <w:r>
          <w:fldChar w:fldCharType="begin"/>
        </w:r>
        <w:r>
          <w:instrText xml:space="preserve"> PAGEREF _Toc185514750 \h </w:instrText>
        </w:r>
        <w:r>
          <w:fldChar w:fldCharType="separate"/>
        </w:r>
        <w:r>
          <w:t>640</w:t>
        </w:r>
        <w:r>
          <w:fldChar w:fldCharType="end"/>
        </w:r>
      </w:hyperlink>
    </w:p>
    <w:p w14:paraId="4C3A521B" w14:textId="3273F8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1" w:history="1">
        <w:r w:rsidRPr="00533B68">
          <w:t>3553</w:t>
        </w:r>
        <w:r>
          <w:rPr>
            <w:rFonts w:asciiTheme="minorHAnsi" w:eastAsiaTheme="minorEastAsia" w:hAnsiTheme="minorHAnsi" w:cstheme="minorBidi"/>
            <w:kern w:val="2"/>
            <w:sz w:val="24"/>
            <w:szCs w:val="24"/>
            <w:lang w:eastAsia="en-AU"/>
            <w14:ligatures w14:val="standardContextual"/>
          </w:rPr>
          <w:tab/>
        </w:r>
        <w:r w:rsidRPr="00533B68">
          <w:t>Judicial review—prerogative writs etc abolished</w:t>
        </w:r>
        <w:r>
          <w:tab/>
        </w:r>
        <w:r>
          <w:fldChar w:fldCharType="begin"/>
        </w:r>
        <w:r>
          <w:instrText xml:space="preserve"> PAGEREF _Toc185514751 \h </w:instrText>
        </w:r>
        <w:r>
          <w:fldChar w:fldCharType="separate"/>
        </w:r>
        <w:r>
          <w:t>641</w:t>
        </w:r>
        <w:r>
          <w:fldChar w:fldCharType="end"/>
        </w:r>
      </w:hyperlink>
    </w:p>
    <w:p w14:paraId="746CA59B" w14:textId="261A24B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2" w:history="1">
        <w:r w:rsidRPr="00533B68">
          <w:t>3554</w:t>
        </w:r>
        <w:r>
          <w:rPr>
            <w:rFonts w:asciiTheme="minorHAnsi" w:eastAsiaTheme="minorEastAsia" w:hAnsiTheme="minorHAnsi" w:cstheme="minorBidi"/>
            <w:kern w:val="2"/>
            <w:sz w:val="24"/>
            <w:szCs w:val="24"/>
            <w:lang w:eastAsia="en-AU"/>
            <w14:ligatures w14:val="standardContextual"/>
          </w:rPr>
          <w:tab/>
        </w:r>
        <w:r w:rsidRPr="00533B68">
          <w:t>Judicial review—relief previously granted by prerogative writ etc</w:t>
        </w:r>
        <w:r>
          <w:tab/>
        </w:r>
        <w:r>
          <w:fldChar w:fldCharType="begin"/>
        </w:r>
        <w:r>
          <w:instrText xml:space="preserve"> PAGEREF _Toc185514752 \h </w:instrText>
        </w:r>
        <w:r>
          <w:fldChar w:fldCharType="separate"/>
        </w:r>
        <w:r>
          <w:t>641</w:t>
        </w:r>
        <w:r>
          <w:fldChar w:fldCharType="end"/>
        </w:r>
      </w:hyperlink>
    </w:p>
    <w:p w14:paraId="071A164F" w14:textId="53FFEB0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3" w:history="1">
        <w:r w:rsidRPr="00533B68">
          <w:t>3555</w:t>
        </w:r>
        <w:r>
          <w:rPr>
            <w:rFonts w:asciiTheme="minorHAnsi" w:eastAsiaTheme="minorEastAsia" w:hAnsiTheme="minorHAnsi" w:cstheme="minorBidi"/>
            <w:kern w:val="2"/>
            <w:sz w:val="24"/>
            <w:szCs w:val="24"/>
            <w:lang w:eastAsia="en-AU"/>
            <w14:ligatures w14:val="standardContextual"/>
          </w:rPr>
          <w:tab/>
        </w:r>
        <w:r w:rsidRPr="00533B68">
          <w:t>Judicial review—other jurisdiction not excluded</w:t>
        </w:r>
        <w:r>
          <w:tab/>
        </w:r>
        <w:r>
          <w:fldChar w:fldCharType="begin"/>
        </w:r>
        <w:r>
          <w:instrText xml:space="preserve"> PAGEREF _Toc185514753 \h </w:instrText>
        </w:r>
        <w:r>
          <w:fldChar w:fldCharType="separate"/>
        </w:r>
        <w:r>
          <w:t>642</w:t>
        </w:r>
        <w:r>
          <w:fldChar w:fldCharType="end"/>
        </w:r>
      </w:hyperlink>
    </w:p>
    <w:p w14:paraId="0ED696DD" w14:textId="1BE773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4" w:history="1">
        <w:r w:rsidRPr="00533B68">
          <w:t>3556</w:t>
        </w:r>
        <w:r>
          <w:rPr>
            <w:rFonts w:asciiTheme="minorHAnsi" w:eastAsiaTheme="minorEastAsia" w:hAnsiTheme="minorHAnsi" w:cstheme="minorBidi"/>
            <w:kern w:val="2"/>
            <w:sz w:val="24"/>
            <w:szCs w:val="24"/>
            <w:lang w:eastAsia="en-AU"/>
            <w14:ligatures w14:val="standardContextual"/>
          </w:rPr>
          <w:tab/>
        </w:r>
        <w:r w:rsidRPr="00533B68">
          <w:t>Judicial review—application etc</w:t>
        </w:r>
        <w:r>
          <w:tab/>
        </w:r>
        <w:r>
          <w:fldChar w:fldCharType="begin"/>
        </w:r>
        <w:r>
          <w:instrText xml:space="preserve"> PAGEREF _Toc185514754 \h </w:instrText>
        </w:r>
        <w:r>
          <w:fldChar w:fldCharType="separate"/>
        </w:r>
        <w:r>
          <w:t>642</w:t>
        </w:r>
        <w:r>
          <w:fldChar w:fldCharType="end"/>
        </w:r>
      </w:hyperlink>
    </w:p>
    <w:p w14:paraId="59665EAC" w14:textId="194FBC2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5" w:history="1">
        <w:r w:rsidRPr="00533B68">
          <w:t>3557</w:t>
        </w:r>
        <w:r>
          <w:rPr>
            <w:rFonts w:asciiTheme="minorHAnsi" w:eastAsiaTheme="minorEastAsia" w:hAnsiTheme="minorHAnsi" w:cstheme="minorBidi"/>
            <w:kern w:val="2"/>
            <w:sz w:val="24"/>
            <w:szCs w:val="24"/>
            <w:lang w:eastAsia="en-AU"/>
            <w14:ligatures w14:val="standardContextual"/>
          </w:rPr>
          <w:tab/>
        </w:r>
        <w:r w:rsidRPr="00533B68">
          <w:t>Judicial review—time for starting proceeding</w:t>
        </w:r>
        <w:r>
          <w:tab/>
        </w:r>
        <w:r>
          <w:fldChar w:fldCharType="begin"/>
        </w:r>
        <w:r>
          <w:instrText xml:space="preserve"> PAGEREF _Toc185514755 \h </w:instrText>
        </w:r>
        <w:r>
          <w:fldChar w:fldCharType="separate"/>
        </w:r>
        <w:r>
          <w:t>644</w:t>
        </w:r>
        <w:r>
          <w:fldChar w:fldCharType="end"/>
        </w:r>
      </w:hyperlink>
    </w:p>
    <w:p w14:paraId="474AC3C7" w14:textId="22F106B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6" w:history="1">
        <w:r w:rsidRPr="00533B68">
          <w:t>3558</w:t>
        </w:r>
        <w:r>
          <w:rPr>
            <w:rFonts w:asciiTheme="minorHAnsi" w:eastAsiaTheme="minorEastAsia" w:hAnsiTheme="minorHAnsi" w:cstheme="minorBidi"/>
            <w:kern w:val="2"/>
            <w:sz w:val="24"/>
            <w:szCs w:val="24"/>
            <w:lang w:eastAsia="en-AU"/>
            <w14:ligatures w14:val="standardContextual"/>
          </w:rPr>
          <w:tab/>
        </w:r>
        <w:r w:rsidRPr="00533B68">
          <w:t>Judicial review—declaration or injunction</w:t>
        </w:r>
        <w:r>
          <w:tab/>
        </w:r>
        <w:r>
          <w:fldChar w:fldCharType="begin"/>
        </w:r>
        <w:r>
          <w:instrText xml:space="preserve"> PAGEREF _Toc185514756 \h </w:instrText>
        </w:r>
        <w:r>
          <w:fldChar w:fldCharType="separate"/>
        </w:r>
        <w:r>
          <w:t>645</w:t>
        </w:r>
        <w:r>
          <w:fldChar w:fldCharType="end"/>
        </w:r>
      </w:hyperlink>
    </w:p>
    <w:p w14:paraId="1A457439" w14:textId="139C8F2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7" w:history="1">
        <w:r w:rsidRPr="00533B68">
          <w:t>3559</w:t>
        </w:r>
        <w:r>
          <w:rPr>
            <w:rFonts w:asciiTheme="minorHAnsi" w:eastAsiaTheme="minorEastAsia" w:hAnsiTheme="minorHAnsi" w:cstheme="minorBidi"/>
            <w:kern w:val="2"/>
            <w:sz w:val="24"/>
            <w:szCs w:val="24"/>
            <w:lang w:eastAsia="en-AU"/>
            <w14:ligatures w14:val="standardContextual"/>
          </w:rPr>
          <w:tab/>
        </w:r>
        <w:r w:rsidRPr="00533B68">
          <w:t>Judicial review—other prerogative relief etc</w:t>
        </w:r>
        <w:r>
          <w:tab/>
        </w:r>
        <w:r>
          <w:fldChar w:fldCharType="begin"/>
        </w:r>
        <w:r>
          <w:instrText xml:space="preserve"> PAGEREF _Toc185514757 \h </w:instrText>
        </w:r>
        <w:r>
          <w:fldChar w:fldCharType="separate"/>
        </w:r>
        <w:r>
          <w:t>645</w:t>
        </w:r>
        <w:r>
          <w:fldChar w:fldCharType="end"/>
        </w:r>
      </w:hyperlink>
    </w:p>
    <w:p w14:paraId="75887AC2" w14:textId="782D774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8" w:history="1">
        <w:r w:rsidRPr="00533B68">
          <w:t>3560</w:t>
        </w:r>
        <w:r>
          <w:rPr>
            <w:rFonts w:asciiTheme="minorHAnsi" w:eastAsiaTheme="minorEastAsia" w:hAnsiTheme="minorHAnsi" w:cstheme="minorBidi"/>
            <w:kern w:val="2"/>
            <w:sz w:val="24"/>
            <w:szCs w:val="24"/>
            <w:lang w:eastAsia="en-AU"/>
            <w14:ligatures w14:val="standardContextual"/>
          </w:rPr>
          <w:tab/>
        </w:r>
        <w:r w:rsidRPr="00533B68">
          <w:t>Judicial review—additional orders</w:t>
        </w:r>
        <w:r>
          <w:tab/>
        </w:r>
        <w:r>
          <w:fldChar w:fldCharType="begin"/>
        </w:r>
        <w:r>
          <w:instrText xml:space="preserve"> PAGEREF _Toc185514758 \h </w:instrText>
        </w:r>
        <w:r>
          <w:fldChar w:fldCharType="separate"/>
        </w:r>
        <w:r>
          <w:t>646</w:t>
        </w:r>
        <w:r>
          <w:fldChar w:fldCharType="end"/>
        </w:r>
      </w:hyperlink>
    </w:p>
    <w:p w14:paraId="0FDA4C55" w14:textId="0344E48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59" w:history="1">
        <w:r w:rsidRPr="00533B68">
          <w:t>3561</w:t>
        </w:r>
        <w:r>
          <w:rPr>
            <w:rFonts w:asciiTheme="minorHAnsi" w:eastAsiaTheme="minorEastAsia" w:hAnsiTheme="minorHAnsi" w:cstheme="minorBidi"/>
            <w:kern w:val="2"/>
            <w:sz w:val="24"/>
            <w:szCs w:val="24"/>
            <w:lang w:eastAsia="en-AU"/>
            <w14:ligatures w14:val="standardContextual"/>
          </w:rPr>
          <w:tab/>
        </w:r>
        <w:r w:rsidRPr="00533B68">
          <w:t>Judicial review—application for statutory order of review and prerogative relief etc</w:t>
        </w:r>
        <w:r>
          <w:tab/>
        </w:r>
        <w:r>
          <w:fldChar w:fldCharType="begin"/>
        </w:r>
        <w:r>
          <w:instrText xml:space="preserve"> PAGEREF _Toc185514759 \h </w:instrText>
        </w:r>
        <w:r>
          <w:fldChar w:fldCharType="separate"/>
        </w:r>
        <w:r>
          <w:t>647</w:t>
        </w:r>
        <w:r>
          <w:fldChar w:fldCharType="end"/>
        </w:r>
      </w:hyperlink>
    </w:p>
    <w:p w14:paraId="44AF0310" w14:textId="04FF3E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0" w:history="1">
        <w:r w:rsidRPr="00533B68">
          <w:t>3562</w:t>
        </w:r>
        <w:r>
          <w:rPr>
            <w:rFonts w:asciiTheme="minorHAnsi" w:eastAsiaTheme="minorEastAsia" w:hAnsiTheme="minorHAnsi" w:cstheme="minorBidi"/>
            <w:kern w:val="2"/>
            <w:sz w:val="24"/>
            <w:szCs w:val="24"/>
            <w:lang w:eastAsia="en-AU"/>
            <w14:ligatures w14:val="standardContextual"/>
          </w:rPr>
          <w:tab/>
        </w:r>
        <w:r w:rsidRPr="00533B68">
          <w:t>Judicial review—relief based on application for prerogative relief etc if application made for statutory order of review</w:t>
        </w:r>
        <w:r>
          <w:tab/>
        </w:r>
        <w:r>
          <w:fldChar w:fldCharType="begin"/>
        </w:r>
        <w:r>
          <w:instrText xml:space="preserve"> PAGEREF _Toc185514760 \h </w:instrText>
        </w:r>
        <w:r>
          <w:fldChar w:fldCharType="separate"/>
        </w:r>
        <w:r>
          <w:t>647</w:t>
        </w:r>
        <w:r>
          <w:fldChar w:fldCharType="end"/>
        </w:r>
      </w:hyperlink>
    </w:p>
    <w:p w14:paraId="091560C5" w14:textId="4F131D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1" w:history="1">
        <w:r w:rsidRPr="00533B68">
          <w:t>3563</w:t>
        </w:r>
        <w:r>
          <w:rPr>
            <w:rFonts w:asciiTheme="minorHAnsi" w:eastAsiaTheme="minorEastAsia" w:hAnsiTheme="minorHAnsi" w:cstheme="minorBidi"/>
            <w:kern w:val="2"/>
            <w:sz w:val="24"/>
            <w:szCs w:val="24"/>
            <w:lang w:eastAsia="en-AU"/>
            <w14:ligatures w14:val="standardContextual"/>
          </w:rPr>
          <w:tab/>
        </w:r>
        <w:r w:rsidRPr="00533B68">
          <w:t>Judicial review—filing and serving statements</w:t>
        </w:r>
        <w:r>
          <w:tab/>
        </w:r>
        <w:r>
          <w:fldChar w:fldCharType="begin"/>
        </w:r>
        <w:r>
          <w:instrText xml:space="preserve"> PAGEREF _Toc185514761 \h </w:instrText>
        </w:r>
        <w:r>
          <w:fldChar w:fldCharType="separate"/>
        </w:r>
        <w:r>
          <w:t>648</w:t>
        </w:r>
        <w:r>
          <w:fldChar w:fldCharType="end"/>
        </w:r>
      </w:hyperlink>
    </w:p>
    <w:p w14:paraId="142E24E2" w14:textId="2B638F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2" w:history="1">
        <w:r w:rsidRPr="00533B68">
          <w:t>3564</w:t>
        </w:r>
        <w:r>
          <w:rPr>
            <w:rFonts w:asciiTheme="minorHAnsi" w:eastAsiaTheme="minorEastAsia" w:hAnsiTheme="minorHAnsi" w:cstheme="minorBidi"/>
            <w:kern w:val="2"/>
            <w:sz w:val="24"/>
            <w:szCs w:val="24"/>
            <w:lang w:eastAsia="en-AU"/>
            <w14:ligatures w14:val="standardContextual"/>
          </w:rPr>
          <w:tab/>
        </w:r>
        <w:r w:rsidRPr="00533B68">
          <w:t>Judicial review—stay or dismissal of application for statutory order of review on return date</w:t>
        </w:r>
        <w:r>
          <w:tab/>
        </w:r>
        <w:r>
          <w:fldChar w:fldCharType="begin"/>
        </w:r>
        <w:r>
          <w:instrText xml:space="preserve"> PAGEREF _Toc185514762 \h </w:instrText>
        </w:r>
        <w:r>
          <w:fldChar w:fldCharType="separate"/>
        </w:r>
        <w:r>
          <w:t>649</w:t>
        </w:r>
        <w:r>
          <w:fldChar w:fldCharType="end"/>
        </w:r>
      </w:hyperlink>
    </w:p>
    <w:p w14:paraId="4949B83C" w14:textId="258DA79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3" w:history="1">
        <w:r w:rsidRPr="00533B68">
          <w:t>3565</w:t>
        </w:r>
        <w:r>
          <w:rPr>
            <w:rFonts w:asciiTheme="minorHAnsi" w:eastAsiaTheme="minorEastAsia" w:hAnsiTheme="minorHAnsi" w:cstheme="minorBidi"/>
            <w:kern w:val="2"/>
            <w:sz w:val="24"/>
            <w:szCs w:val="24"/>
            <w:lang w:eastAsia="en-AU"/>
            <w14:ligatures w14:val="standardContextual"/>
          </w:rPr>
          <w:tab/>
        </w:r>
        <w:r w:rsidRPr="00533B68">
          <w:t>Judicial review—directions on return date</w:t>
        </w:r>
        <w:r>
          <w:tab/>
        </w:r>
        <w:r>
          <w:fldChar w:fldCharType="begin"/>
        </w:r>
        <w:r>
          <w:instrText xml:space="preserve"> PAGEREF _Toc185514763 \h </w:instrText>
        </w:r>
        <w:r>
          <w:fldChar w:fldCharType="separate"/>
        </w:r>
        <w:r>
          <w:t>650</w:t>
        </w:r>
        <w:r>
          <w:fldChar w:fldCharType="end"/>
        </w:r>
      </w:hyperlink>
    </w:p>
    <w:p w14:paraId="2C2DB03D" w14:textId="4664121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4" w:history="1">
        <w:r w:rsidRPr="00533B68">
          <w:t>3566</w:t>
        </w:r>
        <w:r>
          <w:rPr>
            <w:rFonts w:asciiTheme="minorHAnsi" w:eastAsiaTheme="minorEastAsia" w:hAnsiTheme="minorHAnsi" w:cstheme="minorBidi"/>
            <w:kern w:val="2"/>
            <w:sz w:val="24"/>
            <w:szCs w:val="24"/>
            <w:lang w:eastAsia="en-AU"/>
            <w14:ligatures w14:val="standardContextual"/>
          </w:rPr>
          <w:tab/>
        </w:r>
        <w:r w:rsidRPr="00533B68">
          <w:t>Judicial review—power of the court to stay or dismiss applications in certain circumstances</w:t>
        </w:r>
        <w:r>
          <w:tab/>
        </w:r>
        <w:r>
          <w:fldChar w:fldCharType="begin"/>
        </w:r>
        <w:r>
          <w:instrText xml:space="preserve"> PAGEREF _Toc185514764 \h </w:instrText>
        </w:r>
        <w:r>
          <w:fldChar w:fldCharType="separate"/>
        </w:r>
        <w:r>
          <w:t>651</w:t>
        </w:r>
        <w:r>
          <w:fldChar w:fldCharType="end"/>
        </w:r>
      </w:hyperlink>
    </w:p>
    <w:p w14:paraId="6FCED0D9" w14:textId="0816F7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5" w:history="1">
        <w:r w:rsidRPr="00533B68">
          <w:t>3567</w:t>
        </w:r>
        <w:r>
          <w:rPr>
            <w:rFonts w:asciiTheme="minorHAnsi" w:eastAsiaTheme="minorEastAsia" w:hAnsiTheme="minorHAnsi" w:cstheme="minorBidi"/>
            <w:kern w:val="2"/>
            <w:sz w:val="24"/>
            <w:szCs w:val="24"/>
            <w:lang w:eastAsia="en-AU"/>
            <w14:ligatures w14:val="standardContextual"/>
          </w:rPr>
          <w:tab/>
        </w:r>
        <w:r w:rsidRPr="00533B68">
          <w:t>Judicial review—additional requirements for certiorari order</w:t>
        </w:r>
        <w:r>
          <w:tab/>
        </w:r>
        <w:r>
          <w:fldChar w:fldCharType="begin"/>
        </w:r>
        <w:r>
          <w:instrText xml:space="preserve"> PAGEREF _Toc185514765 \h </w:instrText>
        </w:r>
        <w:r>
          <w:fldChar w:fldCharType="separate"/>
        </w:r>
        <w:r>
          <w:t>652</w:t>
        </w:r>
        <w:r>
          <w:fldChar w:fldCharType="end"/>
        </w:r>
      </w:hyperlink>
    </w:p>
    <w:p w14:paraId="6C2F19FA" w14:textId="741A94A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6" w:history="1">
        <w:r w:rsidRPr="00533B68">
          <w:t>3568</w:t>
        </w:r>
        <w:r>
          <w:rPr>
            <w:rFonts w:asciiTheme="minorHAnsi" w:eastAsiaTheme="minorEastAsia" w:hAnsiTheme="minorHAnsi" w:cstheme="minorBidi"/>
            <w:kern w:val="2"/>
            <w:sz w:val="24"/>
            <w:szCs w:val="24"/>
            <w:lang w:eastAsia="en-AU"/>
            <w14:ligatures w14:val="standardContextual"/>
          </w:rPr>
          <w:tab/>
        </w:r>
        <w:r w:rsidRPr="00533B68">
          <w:t>Judicial review—no proceeding in relation to things done under mandamus order</w:t>
        </w:r>
        <w:r>
          <w:tab/>
        </w:r>
        <w:r>
          <w:fldChar w:fldCharType="begin"/>
        </w:r>
        <w:r>
          <w:instrText xml:space="preserve"> PAGEREF _Toc185514766 \h </w:instrText>
        </w:r>
        <w:r>
          <w:fldChar w:fldCharType="separate"/>
        </w:r>
        <w:r>
          <w:t>652</w:t>
        </w:r>
        <w:r>
          <w:fldChar w:fldCharType="end"/>
        </w:r>
      </w:hyperlink>
    </w:p>
    <w:p w14:paraId="6604837B" w14:textId="3AC677C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7" w:history="1">
        <w:r w:rsidRPr="00533B68">
          <w:t>3569</w:t>
        </w:r>
        <w:r>
          <w:rPr>
            <w:rFonts w:asciiTheme="minorHAnsi" w:eastAsiaTheme="minorEastAsia" w:hAnsiTheme="minorHAnsi" w:cstheme="minorBidi"/>
            <w:kern w:val="2"/>
            <w:sz w:val="24"/>
            <w:szCs w:val="24"/>
            <w:lang w:eastAsia="en-AU"/>
            <w14:ligatures w14:val="standardContextual"/>
          </w:rPr>
          <w:tab/>
        </w:r>
        <w:r w:rsidRPr="00533B68">
          <w:t>Judicial review—disclaimer in relation to quo warranto order</w:t>
        </w:r>
        <w:r>
          <w:tab/>
        </w:r>
        <w:r>
          <w:fldChar w:fldCharType="begin"/>
        </w:r>
        <w:r>
          <w:instrText xml:space="preserve"> PAGEREF _Toc185514767 \h </w:instrText>
        </w:r>
        <w:r>
          <w:fldChar w:fldCharType="separate"/>
        </w:r>
        <w:r>
          <w:t>653</w:t>
        </w:r>
        <w:r>
          <w:fldChar w:fldCharType="end"/>
        </w:r>
      </w:hyperlink>
    </w:p>
    <w:p w14:paraId="5634E2AB" w14:textId="6AEEF44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68" w:history="1">
        <w:r w:rsidRPr="00533B68">
          <w:t>3570</w:t>
        </w:r>
        <w:r>
          <w:rPr>
            <w:rFonts w:asciiTheme="minorHAnsi" w:eastAsiaTheme="minorEastAsia" w:hAnsiTheme="minorHAnsi" w:cstheme="minorBidi"/>
            <w:kern w:val="2"/>
            <w:sz w:val="24"/>
            <w:szCs w:val="24"/>
            <w:lang w:eastAsia="en-AU"/>
            <w14:ligatures w14:val="standardContextual"/>
          </w:rPr>
          <w:tab/>
        </w:r>
        <w:r w:rsidRPr="00533B68">
          <w:t>Judicial review—proceeding in relation to statement of reasons</w:t>
        </w:r>
        <w:r>
          <w:tab/>
        </w:r>
        <w:r>
          <w:fldChar w:fldCharType="begin"/>
        </w:r>
        <w:r>
          <w:instrText xml:space="preserve"> PAGEREF _Toc185514768 \h </w:instrText>
        </w:r>
        <w:r>
          <w:fldChar w:fldCharType="separate"/>
        </w:r>
        <w:r>
          <w:t>654</w:t>
        </w:r>
        <w:r>
          <w:fldChar w:fldCharType="end"/>
        </w:r>
      </w:hyperlink>
    </w:p>
    <w:p w14:paraId="45E8A3EB" w14:textId="01DF21D6"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769" w:history="1">
        <w:r w:rsidR="00AC5392" w:rsidRPr="00533B68">
          <w:t>Part 3.11</w:t>
        </w:r>
        <w:r w:rsidR="00AC5392">
          <w:rPr>
            <w:rFonts w:asciiTheme="minorHAnsi" w:eastAsiaTheme="minorEastAsia" w:hAnsiTheme="minorHAnsi" w:cstheme="minorBidi"/>
            <w:b w:val="0"/>
            <w:kern w:val="2"/>
            <w:szCs w:val="24"/>
            <w:lang w:eastAsia="en-AU"/>
            <w14:ligatures w14:val="standardContextual"/>
          </w:rPr>
          <w:tab/>
        </w:r>
        <w:r w:rsidR="00AC5392" w:rsidRPr="00533B68">
          <w:t>Legal profession</w:t>
        </w:r>
        <w:r w:rsidR="00AC5392" w:rsidRPr="00AC5392">
          <w:rPr>
            <w:vanish/>
          </w:rPr>
          <w:tab/>
        </w:r>
        <w:r w:rsidR="00AC5392" w:rsidRPr="00AC5392">
          <w:rPr>
            <w:vanish/>
          </w:rPr>
          <w:fldChar w:fldCharType="begin"/>
        </w:r>
        <w:r w:rsidR="00AC5392" w:rsidRPr="00AC5392">
          <w:rPr>
            <w:vanish/>
          </w:rPr>
          <w:instrText xml:space="preserve"> PAGEREF _Toc185514769 \h </w:instrText>
        </w:r>
        <w:r w:rsidR="00AC5392" w:rsidRPr="00AC5392">
          <w:rPr>
            <w:vanish/>
          </w:rPr>
        </w:r>
        <w:r w:rsidR="00AC5392" w:rsidRPr="00AC5392">
          <w:rPr>
            <w:vanish/>
          </w:rPr>
          <w:fldChar w:fldCharType="separate"/>
        </w:r>
        <w:r w:rsidR="00AC5392" w:rsidRPr="00AC5392">
          <w:rPr>
            <w:vanish/>
          </w:rPr>
          <w:t>655</w:t>
        </w:r>
        <w:r w:rsidR="00AC5392" w:rsidRPr="00AC5392">
          <w:rPr>
            <w:vanish/>
          </w:rPr>
          <w:fldChar w:fldCharType="end"/>
        </w:r>
      </w:hyperlink>
    </w:p>
    <w:p w14:paraId="08E55A7F" w14:textId="37A83B0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770" w:history="1">
        <w:r w:rsidR="00AC5392" w:rsidRPr="00533B68">
          <w:t>Division 3.11.1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Legal profession—general</w:t>
        </w:r>
        <w:r w:rsidR="00AC5392" w:rsidRPr="00AC5392">
          <w:rPr>
            <w:vanish/>
          </w:rPr>
          <w:tab/>
        </w:r>
        <w:r w:rsidR="00AC5392" w:rsidRPr="00AC5392">
          <w:rPr>
            <w:vanish/>
          </w:rPr>
          <w:fldChar w:fldCharType="begin"/>
        </w:r>
        <w:r w:rsidR="00AC5392" w:rsidRPr="00AC5392">
          <w:rPr>
            <w:vanish/>
          </w:rPr>
          <w:instrText xml:space="preserve"> PAGEREF _Toc185514770 \h </w:instrText>
        </w:r>
        <w:r w:rsidR="00AC5392" w:rsidRPr="00AC5392">
          <w:rPr>
            <w:vanish/>
          </w:rPr>
        </w:r>
        <w:r w:rsidR="00AC5392" w:rsidRPr="00AC5392">
          <w:rPr>
            <w:vanish/>
          </w:rPr>
          <w:fldChar w:fldCharType="separate"/>
        </w:r>
        <w:r w:rsidR="00AC5392" w:rsidRPr="00AC5392">
          <w:rPr>
            <w:vanish/>
          </w:rPr>
          <w:t>655</w:t>
        </w:r>
        <w:r w:rsidR="00AC5392" w:rsidRPr="00AC5392">
          <w:rPr>
            <w:vanish/>
          </w:rPr>
          <w:fldChar w:fldCharType="end"/>
        </w:r>
      </w:hyperlink>
    </w:p>
    <w:p w14:paraId="61CD71BB" w14:textId="6C1E04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71" w:history="1">
        <w:r w:rsidRPr="00533B68">
          <w:t>3600</w:t>
        </w:r>
        <w:r>
          <w:rPr>
            <w:rFonts w:asciiTheme="minorHAnsi" w:eastAsiaTheme="minorEastAsia" w:hAnsiTheme="minorHAnsi" w:cstheme="minorBidi"/>
            <w:kern w:val="2"/>
            <w:sz w:val="24"/>
            <w:szCs w:val="24"/>
            <w:lang w:eastAsia="en-AU"/>
            <w14:ligatures w14:val="standardContextual"/>
          </w:rPr>
          <w:tab/>
        </w:r>
        <w:r w:rsidRPr="00533B68">
          <w:t>Definitions—pt 3.11</w:t>
        </w:r>
        <w:r>
          <w:tab/>
        </w:r>
        <w:r>
          <w:fldChar w:fldCharType="begin"/>
        </w:r>
        <w:r>
          <w:instrText xml:space="preserve"> PAGEREF _Toc185514771 \h </w:instrText>
        </w:r>
        <w:r>
          <w:fldChar w:fldCharType="separate"/>
        </w:r>
        <w:r>
          <w:t>655</w:t>
        </w:r>
        <w:r>
          <w:fldChar w:fldCharType="end"/>
        </w:r>
      </w:hyperlink>
    </w:p>
    <w:p w14:paraId="21910A99" w14:textId="569EE7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72" w:history="1">
        <w:r w:rsidRPr="00533B68">
          <w:t>3601</w:t>
        </w:r>
        <w:r>
          <w:rPr>
            <w:rFonts w:asciiTheme="minorHAnsi" w:eastAsiaTheme="minorEastAsia" w:hAnsiTheme="minorHAnsi" w:cstheme="minorBidi"/>
            <w:kern w:val="2"/>
            <w:sz w:val="24"/>
            <w:szCs w:val="24"/>
            <w:lang w:eastAsia="en-AU"/>
            <w14:ligatures w14:val="standardContextual"/>
          </w:rPr>
          <w:tab/>
        </w:r>
        <w:r w:rsidRPr="00533B68">
          <w:t>Terms used in Legal Profession Act</w:t>
        </w:r>
        <w:r>
          <w:tab/>
        </w:r>
        <w:r>
          <w:fldChar w:fldCharType="begin"/>
        </w:r>
        <w:r>
          <w:instrText xml:space="preserve"> PAGEREF _Toc185514772 \h </w:instrText>
        </w:r>
        <w:r>
          <w:fldChar w:fldCharType="separate"/>
        </w:r>
        <w:r>
          <w:t>656</w:t>
        </w:r>
        <w:r>
          <w:fldChar w:fldCharType="end"/>
        </w:r>
      </w:hyperlink>
    </w:p>
    <w:p w14:paraId="54504621" w14:textId="2936676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73" w:history="1">
        <w:r w:rsidRPr="00533B68">
          <w:t>3602</w:t>
        </w:r>
        <w:r>
          <w:rPr>
            <w:rFonts w:asciiTheme="minorHAnsi" w:eastAsiaTheme="minorEastAsia" w:hAnsiTheme="minorHAnsi" w:cstheme="minorBidi"/>
            <w:kern w:val="2"/>
            <w:sz w:val="24"/>
            <w:szCs w:val="24"/>
            <w:lang w:eastAsia="en-AU"/>
            <w14:ligatures w14:val="standardContextual"/>
          </w:rPr>
          <w:tab/>
        </w:r>
        <w:r w:rsidRPr="00533B68">
          <w:t>Application—pt 3.11</w:t>
        </w:r>
        <w:r>
          <w:tab/>
        </w:r>
        <w:r>
          <w:fldChar w:fldCharType="begin"/>
        </w:r>
        <w:r>
          <w:instrText xml:space="preserve"> PAGEREF _Toc185514773 \h </w:instrText>
        </w:r>
        <w:r>
          <w:fldChar w:fldCharType="separate"/>
        </w:r>
        <w:r>
          <w:t>656</w:t>
        </w:r>
        <w:r>
          <w:fldChar w:fldCharType="end"/>
        </w:r>
      </w:hyperlink>
    </w:p>
    <w:p w14:paraId="269F42D2" w14:textId="0B8083E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774" w:history="1">
        <w:r w:rsidR="00AC5392" w:rsidRPr="00533B68">
          <w:t>Division 3.11.2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Admission of local lawyers</w:t>
        </w:r>
        <w:r w:rsidR="00AC5392" w:rsidRPr="00AC5392">
          <w:rPr>
            <w:vanish/>
          </w:rPr>
          <w:tab/>
        </w:r>
        <w:r w:rsidR="00AC5392" w:rsidRPr="00AC5392">
          <w:rPr>
            <w:vanish/>
          </w:rPr>
          <w:fldChar w:fldCharType="begin"/>
        </w:r>
        <w:r w:rsidR="00AC5392" w:rsidRPr="00AC5392">
          <w:rPr>
            <w:vanish/>
          </w:rPr>
          <w:instrText xml:space="preserve"> PAGEREF _Toc185514774 \h </w:instrText>
        </w:r>
        <w:r w:rsidR="00AC5392" w:rsidRPr="00AC5392">
          <w:rPr>
            <w:vanish/>
          </w:rPr>
        </w:r>
        <w:r w:rsidR="00AC5392" w:rsidRPr="00AC5392">
          <w:rPr>
            <w:vanish/>
          </w:rPr>
          <w:fldChar w:fldCharType="separate"/>
        </w:r>
        <w:r w:rsidR="00AC5392" w:rsidRPr="00AC5392">
          <w:rPr>
            <w:vanish/>
          </w:rPr>
          <w:t>657</w:t>
        </w:r>
        <w:r w:rsidR="00AC5392" w:rsidRPr="00AC5392">
          <w:rPr>
            <w:vanish/>
          </w:rPr>
          <w:fldChar w:fldCharType="end"/>
        </w:r>
      </w:hyperlink>
    </w:p>
    <w:p w14:paraId="46D33C2B" w14:textId="1AE41DC2"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4775" w:history="1">
        <w:r w:rsidR="00AC5392" w:rsidRPr="00533B68">
          <w:t>Subdivision 3.11.2.1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Academic qualifications</w:t>
        </w:r>
        <w:r w:rsidR="00AC5392" w:rsidRPr="00AC5392">
          <w:rPr>
            <w:vanish/>
          </w:rPr>
          <w:tab/>
        </w:r>
        <w:r w:rsidR="00AC5392" w:rsidRPr="00AC5392">
          <w:rPr>
            <w:vanish/>
          </w:rPr>
          <w:fldChar w:fldCharType="begin"/>
        </w:r>
        <w:r w:rsidR="00AC5392" w:rsidRPr="00AC5392">
          <w:rPr>
            <w:vanish/>
          </w:rPr>
          <w:instrText xml:space="preserve"> PAGEREF _Toc185514775 \h </w:instrText>
        </w:r>
        <w:r w:rsidR="00AC5392" w:rsidRPr="00AC5392">
          <w:rPr>
            <w:vanish/>
          </w:rPr>
        </w:r>
        <w:r w:rsidR="00AC5392" w:rsidRPr="00AC5392">
          <w:rPr>
            <w:vanish/>
          </w:rPr>
          <w:fldChar w:fldCharType="separate"/>
        </w:r>
        <w:r w:rsidR="00AC5392" w:rsidRPr="00AC5392">
          <w:rPr>
            <w:vanish/>
          </w:rPr>
          <w:t>657</w:t>
        </w:r>
        <w:r w:rsidR="00AC5392" w:rsidRPr="00AC5392">
          <w:rPr>
            <w:vanish/>
          </w:rPr>
          <w:fldChar w:fldCharType="end"/>
        </w:r>
      </w:hyperlink>
    </w:p>
    <w:p w14:paraId="30B81B35" w14:textId="272A488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76" w:history="1">
        <w:r w:rsidRPr="00533B68">
          <w:t>3605</w:t>
        </w:r>
        <w:r>
          <w:rPr>
            <w:rFonts w:asciiTheme="minorHAnsi" w:eastAsiaTheme="minorEastAsia" w:hAnsiTheme="minorHAnsi" w:cstheme="minorBidi"/>
            <w:kern w:val="2"/>
            <w:sz w:val="24"/>
            <w:szCs w:val="24"/>
            <w:lang w:eastAsia="en-AU"/>
            <w14:ligatures w14:val="standardContextual"/>
          </w:rPr>
          <w:tab/>
        </w:r>
        <w:r w:rsidRPr="00533B68">
          <w:t>Admission—approved academic qualifications—Legal Profession Act, s 21 (5)</w:t>
        </w:r>
        <w:r>
          <w:tab/>
        </w:r>
        <w:r>
          <w:fldChar w:fldCharType="begin"/>
        </w:r>
        <w:r>
          <w:instrText xml:space="preserve"> PAGEREF _Toc185514776 \h </w:instrText>
        </w:r>
        <w:r>
          <w:fldChar w:fldCharType="separate"/>
        </w:r>
        <w:r>
          <w:t>657</w:t>
        </w:r>
        <w:r>
          <w:fldChar w:fldCharType="end"/>
        </w:r>
      </w:hyperlink>
    </w:p>
    <w:p w14:paraId="21F89513" w14:textId="488661EC"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4777" w:history="1">
        <w:r w:rsidR="00AC5392" w:rsidRPr="00533B68">
          <w:t>Subdivision 3.11.2.2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Approval of academic institutions</w:t>
        </w:r>
        <w:r w:rsidR="00AC5392" w:rsidRPr="00AC5392">
          <w:rPr>
            <w:vanish/>
          </w:rPr>
          <w:tab/>
        </w:r>
        <w:r w:rsidR="00AC5392" w:rsidRPr="00AC5392">
          <w:rPr>
            <w:vanish/>
          </w:rPr>
          <w:fldChar w:fldCharType="begin"/>
        </w:r>
        <w:r w:rsidR="00AC5392" w:rsidRPr="00AC5392">
          <w:rPr>
            <w:vanish/>
          </w:rPr>
          <w:instrText xml:space="preserve"> PAGEREF _Toc185514777 \h </w:instrText>
        </w:r>
        <w:r w:rsidR="00AC5392" w:rsidRPr="00AC5392">
          <w:rPr>
            <w:vanish/>
          </w:rPr>
        </w:r>
        <w:r w:rsidR="00AC5392" w:rsidRPr="00AC5392">
          <w:rPr>
            <w:vanish/>
          </w:rPr>
          <w:fldChar w:fldCharType="separate"/>
        </w:r>
        <w:r w:rsidR="00AC5392" w:rsidRPr="00AC5392">
          <w:rPr>
            <w:vanish/>
          </w:rPr>
          <w:t>658</w:t>
        </w:r>
        <w:r w:rsidR="00AC5392" w:rsidRPr="00AC5392">
          <w:rPr>
            <w:vanish/>
          </w:rPr>
          <w:fldChar w:fldCharType="end"/>
        </w:r>
      </w:hyperlink>
    </w:p>
    <w:p w14:paraId="587BC50E" w14:textId="1C2DB9B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78" w:history="1">
        <w:r w:rsidRPr="00533B68">
          <w:t>3606</w:t>
        </w:r>
        <w:r>
          <w:rPr>
            <w:rFonts w:asciiTheme="minorHAnsi" w:eastAsiaTheme="minorEastAsia" w:hAnsiTheme="minorHAnsi" w:cstheme="minorBidi"/>
            <w:kern w:val="2"/>
            <w:sz w:val="24"/>
            <w:szCs w:val="24"/>
            <w:lang w:eastAsia="en-AU"/>
            <w14:ligatures w14:val="standardContextual"/>
          </w:rPr>
          <w:tab/>
        </w:r>
        <w:r w:rsidRPr="00533B68">
          <w:t>Approved academic institutions</w:t>
        </w:r>
        <w:r>
          <w:tab/>
        </w:r>
        <w:r>
          <w:fldChar w:fldCharType="begin"/>
        </w:r>
        <w:r>
          <w:instrText xml:space="preserve"> PAGEREF _Toc185514778 \h </w:instrText>
        </w:r>
        <w:r>
          <w:fldChar w:fldCharType="separate"/>
        </w:r>
        <w:r>
          <w:t>658</w:t>
        </w:r>
        <w:r>
          <w:fldChar w:fldCharType="end"/>
        </w:r>
      </w:hyperlink>
    </w:p>
    <w:p w14:paraId="1F438B0C" w14:textId="213A645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79" w:history="1">
        <w:r w:rsidRPr="00533B68">
          <w:t>3607</w:t>
        </w:r>
        <w:r>
          <w:rPr>
            <w:rFonts w:asciiTheme="minorHAnsi" w:eastAsiaTheme="minorEastAsia" w:hAnsiTheme="minorHAnsi" w:cstheme="minorBidi"/>
            <w:kern w:val="2"/>
            <w:sz w:val="24"/>
            <w:szCs w:val="24"/>
            <w:lang w:eastAsia="en-AU"/>
            <w14:ligatures w14:val="standardContextual"/>
          </w:rPr>
          <w:tab/>
        </w:r>
        <w:r w:rsidRPr="00533B68">
          <w:t>Monitoring and review</w:t>
        </w:r>
        <w:r>
          <w:tab/>
        </w:r>
        <w:r>
          <w:fldChar w:fldCharType="begin"/>
        </w:r>
        <w:r>
          <w:instrText xml:space="preserve"> PAGEREF _Toc185514779 \h </w:instrText>
        </w:r>
        <w:r>
          <w:fldChar w:fldCharType="separate"/>
        </w:r>
        <w:r>
          <w:t>659</w:t>
        </w:r>
        <w:r>
          <w:fldChar w:fldCharType="end"/>
        </w:r>
      </w:hyperlink>
    </w:p>
    <w:p w14:paraId="7D3A007B" w14:textId="634A7950"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4780" w:history="1">
        <w:r w:rsidR="00AC5392" w:rsidRPr="00533B68">
          <w:t>Subdivision 3.11.2.3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Approval of course of study</w:t>
        </w:r>
        <w:r w:rsidR="00AC5392" w:rsidRPr="00AC5392">
          <w:rPr>
            <w:vanish/>
          </w:rPr>
          <w:tab/>
        </w:r>
        <w:r w:rsidR="00AC5392" w:rsidRPr="00AC5392">
          <w:rPr>
            <w:vanish/>
          </w:rPr>
          <w:fldChar w:fldCharType="begin"/>
        </w:r>
        <w:r w:rsidR="00AC5392" w:rsidRPr="00AC5392">
          <w:rPr>
            <w:vanish/>
          </w:rPr>
          <w:instrText xml:space="preserve"> PAGEREF _Toc185514780 \h </w:instrText>
        </w:r>
        <w:r w:rsidR="00AC5392" w:rsidRPr="00AC5392">
          <w:rPr>
            <w:vanish/>
          </w:rPr>
        </w:r>
        <w:r w:rsidR="00AC5392" w:rsidRPr="00AC5392">
          <w:rPr>
            <w:vanish/>
          </w:rPr>
          <w:fldChar w:fldCharType="separate"/>
        </w:r>
        <w:r w:rsidR="00AC5392" w:rsidRPr="00AC5392">
          <w:rPr>
            <w:vanish/>
          </w:rPr>
          <w:t>660</w:t>
        </w:r>
        <w:r w:rsidR="00AC5392" w:rsidRPr="00AC5392">
          <w:rPr>
            <w:vanish/>
          </w:rPr>
          <w:fldChar w:fldCharType="end"/>
        </w:r>
      </w:hyperlink>
    </w:p>
    <w:p w14:paraId="35316692" w14:textId="582752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81" w:history="1">
        <w:r w:rsidRPr="00533B68">
          <w:t>3607A</w:t>
        </w:r>
        <w:r>
          <w:rPr>
            <w:rFonts w:asciiTheme="minorHAnsi" w:eastAsiaTheme="minorEastAsia" w:hAnsiTheme="minorHAnsi" w:cstheme="minorBidi"/>
            <w:kern w:val="2"/>
            <w:sz w:val="24"/>
            <w:szCs w:val="24"/>
            <w:lang w:eastAsia="en-AU"/>
            <w14:ligatures w14:val="standardContextual"/>
          </w:rPr>
          <w:tab/>
        </w:r>
        <w:r w:rsidRPr="00533B68">
          <w:t>Approval of course of study</w:t>
        </w:r>
        <w:r>
          <w:tab/>
        </w:r>
        <w:r>
          <w:fldChar w:fldCharType="begin"/>
        </w:r>
        <w:r>
          <w:instrText xml:space="preserve"> PAGEREF _Toc185514781 \h </w:instrText>
        </w:r>
        <w:r>
          <w:fldChar w:fldCharType="separate"/>
        </w:r>
        <w:r>
          <w:t>660</w:t>
        </w:r>
        <w:r>
          <w:fldChar w:fldCharType="end"/>
        </w:r>
      </w:hyperlink>
    </w:p>
    <w:p w14:paraId="4338BA7E" w14:textId="7787EDD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82" w:history="1">
        <w:r w:rsidRPr="00533B68">
          <w:t>3607B</w:t>
        </w:r>
        <w:r>
          <w:rPr>
            <w:rFonts w:asciiTheme="minorHAnsi" w:eastAsiaTheme="minorEastAsia" w:hAnsiTheme="minorHAnsi" w:cstheme="minorBidi"/>
            <w:kern w:val="2"/>
            <w:sz w:val="24"/>
            <w:szCs w:val="24"/>
            <w:lang w:eastAsia="en-AU"/>
            <w14:ligatures w14:val="standardContextual"/>
          </w:rPr>
          <w:tab/>
        </w:r>
        <w:r w:rsidRPr="00533B68">
          <w:t>Approval of subjects</w:t>
        </w:r>
        <w:r>
          <w:tab/>
        </w:r>
        <w:r>
          <w:fldChar w:fldCharType="begin"/>
        </w:r>
        <w:r>
          <w:instrText xml:space="preserve"> PAGEREF _Toc185514782 \h </w:instrText>
        </w:r>
        <w:r>
          <w:fldChar w:fldCharType="separate"/>
        </w:r>
        <w:r>
          <w:t>660</w:t>
        </w:r>
        <w:r>
          <w:fldChar w:fldCharType="end"/>
        </w:r>
      </w:hyperlink>
    </w:p>
    <w:p w14:paraId="72574A3D" w14:textId="34BB85F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83" w:history="1">
        <w:r w:rsidRPr="00533B68">
          <w:t>3607C</w:t>
        </w:r>
        <w:r>
          <w:rPr>
            <w:rFonts w:asciiTheme="minorHAnsi" w:eastAsiaTheme="minorEastAsia" w:hAnsiTheme="minorHAnsi" w:cstheme="minorBidi"/>
            <w:kern w:val="2"/>
            <w:sz w:val="24"/>
            <w:szCs w:val="24"/>
            <w:lang w:eastAsia="en-AU"/>
            <w14:ligatures w14:val="standardContextual"/>
          </w:rPr>
          <w:tab/>
        </w:r>
        <w:r w:rsidRPr="00533B68">
          <w:t>Changes to approved courses of study</w:t>
        </w:r>
        <w:r>
          <w:tab/>
        </w:r>
        <w:r>
          <w:fldChar w:fldCharType="begin"/>
        </w:r>
        <w:r>
          <w:instrText xml:space="preserve"> PAGEREF _Toc185514783 \h </w:instrText>
        </w:r>
        <w:r>
          <w:fldChar w:fldCharType="separate"/>
        </w:r>
        <w:r>
          <w:t>661</w:t>
        </w:r>
        <w:r>
          <w:fldChar w:fldCharType="end"/>
        </w:r>
      </w:hyperlink>
    </w:p>
    <w:p w14:paraId="19C7F788" w14:textId="646A4663"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4784" w:history="1">
        <w:r w:rsidR="00AC5392" w:rsidRPr="00533B68">
          <w:t>Subdivision 3.11.2.4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Practical legal training</w:t>
        </w:r>
        <w:r w:rsidR="00AC5392" w:rsidRPr="00AC5392">
          <w:rPr>
            <w:vanish/>
          </w:rPr>
          <w:tab/>
        </w:r>
        <w:r w:rsidR="00AC5392" w:rsidRPr="00AC5392">
          <w:rPr>
            <w:vanish/>
          </w:rPr>
          <w:fldChar w:fldCharType="begin"/>
        </w:r>
        <w:r w:rsidR="00AC5392" w:rsidRPr="00AC5392">
          <w:rPr>
            <w:vanish/>
          </w:rPr>
          <w:instrText xml:space="preserve"> PAGEREF _Toc185514784 \h </w:instrText>
        </w:r>
        <w:r w:rsidR="00AC5392" w:rsidRPr="00AC5392">
          <w:rPr>
            <w:vanish/>
          </w:rPr>
        </w:r>
        <w:r w:rsidR="00AC5392" w:rsidRPr="00AC5392">
          <w:rPr>
            <w:vanish/>
          </w:rPr>
          <w:fldChar w:fldCharType="separate"/>
        </w:r>
        <w:r w:rsidR="00AC5392" w:rsidRPr="00AC5392">
          <w:rPr>
            <w:vanish/>
          </w:rPr>
          <w:t>662</w:t>
        </w:r>
        <w:r w:rsidR="00AC5392" w:rsidRPr="00AC5392">
          <w:rPr>
            <w:vanish/>
          </w:rPr>
          <w:fldChar w:fldCharType="end"/>
        </w:r>
      </w:hyperlink>
    </w:p>
    <w:p w14:paraId="276FC924" w14:textId="190EB47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85" w:history="1">
        <w:r w:rsidRPr="00533B68">
          <w:t>3607D</w:t>
        </w:r>
        <w:r>
          <w:rPr>
            <w:rFonts w:asciiTheme="minorHAnsi" w:eastAsiaTheme="minorEastAsia" w:hAnsiTheme="minorHAnsi" w:cstheme="minorBidi"/>
            <w:kern w:val="2"/>
            <w:sz w:val="24"/>
            <w:szCs w:val="24"/>
            <w:lang w:eastAsia="en-AU"/>
            <w14:ligatures w14:val="standardContextual"/>
          </w:rPr>
          <w:tab/>
        </w:r>
        <w:r w:rsidRPr="00533B68">
          <w:t>Practical legal training</w:t>
        </w:r>
        <w:r>
          <w:tab/>
        </w:r>
        <w:r>
          <w:fldChar w:fldCharType="begin"/>
        </w:r>
        <w:r>
          <w:instrText xml:space="preserve"> PAGEREF _Toc185514785 \h </w:instrText>
        </w:r>
        <w:r>
          <w:fldChar w:fldCharType="separate"/>
        </w:r>
        <w:r>
          <w:t>662</w:t>
        </w:r>
        <w:r>
          <w:fldChar w:fldCharType="end"/>
        </w:r>
      </w:hyperlink>
    </w:p>
    <w:p w14:paraId="06842E6B" w14:textId="642CFB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86" w:history="1">
        <w:r w:rsidRPr="00533B68">
          <w:t>3607DA</w:t>
        </w:r>
        <w:r>
          <w:rPr>
            <w:rFonts w:asciiTheme="minorHAnsi" w:eastAsiaTheme="minorEastAsia" w:hAnsiTheme="minorHAnsi" w:cstheme="minorBidi"/>
            <w:kern w:val="2"/>
            <w:sz w:val="24"/>
            <w:szCs w:val="24"/>
            <w:lang w:eastAsia="en-AU"/>
            <w14:ligatures w14:val="standardContextual"/>
          </w:rPr>
          <w:tab/>
        </w:r>
        <w:r w:rsidRPr="00533B68">
          <w:t>Early commencement of practical legal training</w:t>
        </w:r>
        <w:r>
          <w:tab/>
        </w:r>
        <w:r>
          <w:fldChar w:fldCharType="begin"/>
        </w:r>
        <w:r>
          <w:instrText xml:space="preserve"> PAGEREF _Toc185514786 \h </w:instrText>
        </w:r>
        <w:r>
          <w:fldChar w:fldCharType="separate"/>
        </w:r>
        <w:r>
          <w:t>663</w:t>
        </w:r>
        <w:r>
          <w:fldChar w:fldCharType="end"/>
        </w:r>
      </w:hyperlink>
    </w:p>
    <w:p w14:paraId="17F5652A" w14:textId="6BEEC3EC"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4787" w:history="1">
        <w:r w:rsidR="00AC5392" w:rsidRPr="00533B68">
          <w:t>Subdivision 3.11.2.5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Practical legal training providers and courses</w:t>
        </w:r>
        <w:r w:rsidR="00AC5392" w:rsidRPr="00AC5392">
          <w:rPr>
            <w:vanish/>
          </w:rPr>
          <w:tab/>
        </w:r>
        <w:r w:rsidR="00AC5392" w:rsidRPr="00AC5392">
          <w:rPr>
            <w:vanish/>
          </w:rPr>
          <w:fldChar w:fldCharType="begin"/>
        </w:r>
        <w:r w:rsidR="00AC5392" w:rsidRPr="00AC5392">
          <w:rPr>
            <w:vanish/>
          </w:rPr>
          <w:instrText xml:space="preserve"> PAGEREF _Toc185514787 \h </w:instrText>
        </w:r>
        <w:r w:rsidR="00AC5392" w:rsidRPr="00AC5392">
          <w:rPr>
            <w:vanish/>
          </w:rPr>
        </w:r>
        <w:r w:rsidR="00AC5392" w:rsidRPr="00AC5392">
          <w:rPr>
            <w:vanish/>
          </w:rPr>
          <w:fldChar w:fldCharType="separate"/>
        </w:r>
        <w:r w:rsidR="00AC5392" w:rsidRPr="00AC5392">
          <w:rPr>
            <w:vanish/>
          </w:rPr>
          <w:t>664</w:t>
        </w:r>
        <w:r w:rsidR="00AC5392" w:rsidRPr="00AC5392">
          <w:rPr>
            <w:vanish/>
          </w:rPr>
          <w:fldChar w:fldCharType="end"/>
        </w:r>
      </w:hyperlink>
    </w:p>
    <w:p w14:paraId="3C36A8C4" w14:textId="2CB9AD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88" w:history="1">
        <w:r w:rsidRPr="00533B68">
          <w:t>3607E</w:t>
        </w:r>
        <w:r>
          <w:rPr>
            <w:rFonts w:asciiTheme="minorHAnsi" w:eastAsiaTheme="minorEastAsia" w:hAnsiTheme="minorHAnsi" w:cstheme="minorBidi"/>
            <w:kern w:val="2"/>
            <w:sz w:val="24"/>
            <w:szCs w:val="24"/>
            <w:lang w:eastAsia="en-AU"/>
            <w14:ligatures w14:val="standardContextual"/>
          </w:rPr>
          <w:tab/>
        </w:r>
        <w:r w:rsidRPr="00533B68">
          <w:t>Approval of PLT providers</w:t>
        </w:r>
        <w:r>
          <w:tab/>
        </w:r>
        <w:r>
          <w:fldChar w:fldCharType="begin"/>
        </w:r>
        <w:r>
          <w:instrText xml:space="preserve"> PAGEREF _Toc185514788 \h </w:instrText>
        </w:r>
        <w:r>
          <w:fldChar w:fldCharType="separate"/>
        </w:r>
        <w:r>
          <w:t>664</w:t>
        </w:r>
        <w:r>
          <w:fldChar w:fldCharType="end"/>
        </w:r>
      </w:hyperlink>
    </w:p>
    <w:p w14:paraId="17F53D00" w14:textId="6A4A89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89" w:history="1">
        <w:r w:rsidRPr="00533B68">
          <w:t>3607F</w:t>
        </w:r>
        <w:r>
          <w:rPr>
            <w:rFonts w:asciiTheme="minorHAnsi" w:eastAsiaTheme="minorEastAsia" w:hAnsiTheme="minorHAnsi" w:cstheme="minorBidi"/>
            <w:kern w:val="2"/>
            <w:sz w:val="24"/>
            <w:szCs w:val="24"/>
            <w:lang w:eastAsia="en-AU"/>
            <w14:ligatures w14:val="standardContextual"/>
          </w:rPr>
          <w:tab/>
        </w:r>
        <w:r w:rsidRPr="00533B68">
          <w:t>Monitoring and review of approved PLT provider</w:t>
        </w:r>
        <w:r>
          <w:tab/>
        </w:r>
        <w:r>
          <w:fldChar w:fldCharType="begin"/>
        </w:r>
        <w:r>
          <w:instrText xml:space="preserve"> PAGEREF _Toc185514789 \h </w:instrText>
        </w:r>
        <w:r>
          <w:fldChar w:fldCharType="separate"/>
        </w:r>
        <w:r>
          <w:t>665</w:t>
        </w:r>
        <w:r>
          <w:fldChar w:fldCharType="end"/>
        </w:r>
      </w:hyperlink>
    </w:p>
    <w:p w14:paraId="3631DBA7" w14:textId="489AC66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0" w:history="1">
        <w:r w:rsidRPr="00533B68">
          <w:t>3607G</w:t>
        </w:r>
        <w:r>
          <w:rPr>
            <w:rFonts w:asciiTheme="minorHAnsi" w:eastAsiaTheme="minorEastAsia" w:hAnsiTheme="minorHAnsi" w:cstheme="minorBidi"/>
            <w:kern w:val="2"/>
            <w:sz w:val="24"/>
            <w:szCs w:val="24"/>
            <w:lang w:eastAsia="en-AU"/>
            <w14:ligatures w14:val="standardContextual"/>
          </w:rPr>
          <w:tab/>
        </w:r>
        <w:r w:rsidRPr="00533B68">
          <w:t>Approval of training course</w:t>
        </w:r>
        <w:r>
          <w:tab/>
        </w:r>
        <w:r>
          <w:fldChar w:fldCharType="begin"/>
        </w:r>
        <w:r>
          <w:instrText xml:space="preserve"> PAGEREF _Toc185514790 \h </w:instrText>
        </w:r>
        <w:r>
          <w:fldChar w:fldCharType="separate"/>
        </w:r>
        <w:r>
          <w:t>665</w:t>
        </w:r>
        <w:r>
          <w:fldChar w:fldCharType="end"/>
        </w:r>
      </w:hyperlink>
    </w:p>
    <w:p w14:paraId="31C4676A" w14:textId="74BB48A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1" w:history="1">
        <w:r w:rsidRPr="00533B68">
          <w:t>3607H</w:t>
        </w:r>
        <w:r>
          <w:rPr>
            <w:rFonts w:asciiTheme="minorHAnsi" w:eastAsiaTheme="minorEastAsia" w:hAnsiTheme="minorHAnsi" w:cstheme="minorBidi"/>
            <w:kern w:val="2"/>
            <w:sz w:val="24"/>
            <w:szCs w:val="24"/>
            <w:lang w:eastAsia="en-AU"/>
            <w14:ligatures w14:val="standardContextual"/>
          </w:rPr>
          <w:tab/>
        </w:r>
        <w:r w:rsidRPr="00533B68">
          <w:t>Changes to approved courses of study</w:t>
        </w:r>
        <w:r>
          <w:tab/>
        </w:r>
        <w:r>
          <w:fldChar w:fldCharType="begin"/>
        </w:r>
        <w:r>
          <w:instrText xml:space="preserve"> PAGEREF _Toc185514791 \h </w:instrText>
        </w:r>
        <w:r>
          <w:fldChar w:fldCharType="separate"/>
        </w:r>
        <w:r>
          <w:t>666</w:t>
        </w:r>
        <w:r>
          <w:fldChar w:fldCharType="end"/>
        </w:r>
      </w:hyperlink>
    </w:p>
    <w:p w14:paraId="56C02DDD" w14:textId="26EA9458"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4792" w:history="1">
        <w:r w:rsidR="00AC5392" w:rsidRPr="00533B68">
          <w:t>Subdivision 3.11.2.6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Admission—application and related matters</w:t>
        </w:r>
        <w:r w:rsidR="00AC5392" w:rsidRPr="00AC5392">
          <w:rPr>
            <w:vanish/>
          </w:rPr>
          <w:tab/>
        </w:r>
        <w:r w:rsidR="00AC5392" w:rsidRPr="00AC5392">
          <w:rPr>
            <w:vanish/>
          </w:rPr>
          <w:fldChar w:fldCharType="begin"/>
        </w:r>
        <w:r w:rsidR="00AC5392" w:rsidRPr="00AC5392">
          <w:rPr>
            <w:vanish/>
          </w:rPr>
          <w:instrText xml:space="preserve"> PAGEREF _Toc185514792 \h </w:instrText>
        </w:r>
        <w:r w:rsidR="00AC5392" w:rsidRPr="00AC5392">
          <w:rPr>
            <w:vanish/>
          </w:rPr>
        </w:r>
        <w:r w:rsidR="00AC5392" w:rsidRPr="00AC5392">
          <w:rPr>
            <w:vanish/>
          </w:rPr>
          <w:fldChar w:fldCharType="separate"/>
        </w:r>
        <w:r w:rsidR="00AC5392" w:rsidRPr="00AC5392">
          <w:rPr>
            <w:vanish/>
          </w:rPr>
          <w:t>667</w:t>
        </w:r>
        <w:r w:rsidR="00AC5392" w:rsidRPr="00AC5392">
          <w:rPr>
            <w:vanish/>
          </w:rPr>
          <w:fldChar w:fldCharType="end"/>
        </w:r>
      </w:hyperlink>
    </w:p>
    <w:p w14:paraId="25AC67C1" w14:textId="4FDFB8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3" w:history="1">
        <w:r w:rsidRPr="00533B68">
          <w:t>3608</w:t>
        </w:r>
        <w:r>
          <w:rPr>
            <w:rFonts w:asciiTheme="minorHAnsi" w:eastAsiaTheme="minorEastAsia" w:hAnsiTheme="minorHAnsi" w:cstheme="minorBidi"/>
            <w:kern w:val="2"/>
            <w:sz w:val="24"/>
            <w:szCs w:val="24"/>
            <w:lang w:eastAsia="en-AU"/>
            <w14:ligatures w14:val="standardContextual"/>
          </w:rPr>
          <w:tab/>
        </w:r>
        <w:r w:rsidRPr="00533B68">
          <w:t>Admission—application for admission</w:t>
        </w:r>
        <w:r>
          <w:tab/>
        </w:r>
        <w:r>
          <w:fldChar w:fldCharType="begin"/>
        </w:r>
        <w:r>
          <w:instrText xml:space="preserve"> PAGEREF _Toc185514793 \h </w:instrText>
        </w:r>
        <w:r>
          <w:fldChar w:fldCharType="separate"/>
        </w:r>
        <w:r>
          <w:t>667</w:t>
        </w:r>
        <w:r>
          <w:fldChar w:fldCharType="end"/>
        </w:r>
      </w:hyperlink>
    </w:p>
    <w:p w14:paraId="6215233D" w14:textId="54BF04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4" w:history="1">
        <w:r w:rsidRPr="00533B68">
          <w:t>3609</w:t>
        </w:r>
        <w:r>
          <w:rPr>
            <w:rFonts w:asciiTheme="minorHAnsi" w:eastAsiaTheme="minorEastAsia" w:hAnsiTheme="minorHAnsi" w:cstheme="minorBidi"/>
            <w:kern w:val="2"/>
            <w:sz w:val="24"/>
            <w:szCs w:val="24"/>
            <w:lang w:eastAsia="en-AU"/>
            <w14:ligatures w14:val="standardContextual"/>
          </w:rPr>
          <w:tab/>
        </w:r>
        <w:r w:rsidRPr="00533B68">
          <w:t>Admission—when application must be made</w:t>
        </w:r>
        <w:r>
          <w:tab/>
        </w:r>
        <w:r>
          <w:fldChar w:fldCharType="begin"/>
        </w:r>
        <w:r>
          <w:instrText xml:space="preserve"> PAGEREF _Toc185514794 \h </w:instrText>
        </w:r>
        <w:r>
          <w:fldChar w:fldCharType="separate"/>
        </w:r>
        <w:r>
          <w:t>669</w:t>
        </w:r>
        <w:r>
          <w:fldChar w:fldCharType="end"/>
        </w:r>
      </w:hyperlink>
    </w:p>
    <w:p w14:paraId="5FF5C9FA" w14:textId="3F27F3A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5" w:history="1">
        <w:r w:rsidRPr="00533B68">
          <w:t>3609A</w:t>
        </w:r>
        <w:r>
          <w:rPr>
            <w:rFonts w:asciiTheme="minorHAnsi" w:eastAsiaTheme="minorEastAsia" w:hAnsiTheme="minorHAnsi" w:cstheme="minorBidi"/>
            <w:kern w:val="2"/>
            <w:sz w:val="24"/>
            <w:szCs w:val="24"/>
            <w:lang w:eastAsia="en-AU"/>
            <w14:ligatures w14:val="standardContextual"/>
          </w:rPr>
          <w:tab/>
        </w:r>
        <w:r w:rsidRPr="00533B68">
          <w:t>Request for absentee admission</w:t>
        </w:r>
        <w:r>
          <w:tab/>
        </w:r>
        <w:r>
          <w:fldChar w:fldCharType="begin"/>
        </w:r>
        <w:r>
          <w:instrText xml:space="preserve"> PAGEREF _Toc185514795 \h </w:instrText>
        </w:r>
        <w:r>
          <w:fldChar w:fldCharType="separate"/>
        </w:r>
        <w:r>
          <w:t>669</w:t>
        </w:r>
        <w:r>
          <w:fldChar w:fldCharType="end"/>
        </w:r>
      </w:hyperlink>
    </w:p>
    <w:p w14:paraId="73526E75" w14:textId="7ABB3C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6" w:history="1">
        <w:r w:rsidRPr="00533B68">
          <w:t>3610</w:t>
        </w:r>
        <w:r>
          <w:rPr>
            <w:rFonts w:asciiTheme="minorHAnsi" w:eastAsiaTheme="minorEastAsia" w:hAnsiTheme="minorHAnsi" w:cstheme="minorBidi"/>
            <w:kern w:val="2"/>
            <w:sz w:val="24"/>
            <w:szCs w:val="24"/>
            <w:lang w:eastAsia="en-AU"/>
            <w14:ligatures w14:val="standardContextual"/>
          </w:rPr>
          <w:tab/>
        </w:r>
        <w:r w:rsidRPr="00533B68">
          <w:t>Admission—compliance certificate (Legal Profession Act, s 30 (2))</w:t>
        </w:r>
        <w:r>
          <w:tab/>
        </w:r>
        <w:r>
          <w:fldChar w:fldCharType="begin"/>
        </w:r>
        <w:r>
          <w:instrText xml:space="preserve"> PAGEREF _Toc185514796 \h </w:instrText>
        </w:r>
        <w:r>
          <w:fldChar w:fldCharType="separate"/>
        </w:r>
        <w:r>
          <w:t>670</w:t>
        </w:r>
        <w:r>
          <w:fldChar w:fldCharType="end"/>
        </w:r>
      </w:hyperlink>
    </w:p>
    <w:p w14:paraId="3C647B43" w14:textId="7C1D92E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7" w:history="1">
        <w:r w:rsidRPr="00533B68">
          <w:t>3611</w:t>
        </w:r>
        <w:r>
          <w:rPr>
            <w:rFonts w:asciiTheme="minorHAnsi" w:eastAsiaTheme="minorEastAsia" w:hAnsiTheme="minorHAnsi" w:cstheme="minorBidi"/>
            <w:kern w:val="2"/>
            <w:sz w:val="24"/>
            <w:szCs w:val="24"/>
            <w:lang w:eastAsia="en-AU"/>
            <w14:ligatures w14:val="standardContextual"/>
          </w:rPr>
          <w:tab/>
        </w:r>
        <w:r w:rsidRPr="00533B68">
          <w:t>Admission—objection by bar council or law society council</w:t>
        </w:r>
        <w:r>
          <w:tab/>
        </w:r>
        <w:r>
          <w:fldChar w:fldCharType="begin"/>
        </w:r>
        <w:r>
          <w:instrText xml:space="preserve"> PAGEREF _Toc185514797 \h </w:instrText>
        </w:r>
        <w:r>
          <w:fldChar w:fldCharType="separate"/>
        </w:r>
        <w:r>
          <w:t>670</w:t>
        </w:r>
        <w:r>
          <w:fldChar w:fldCharType="end"/>
        </w:r>
      </w:hyperlink>
    </w:p>
    <w:p w14:paraId="75D97D72" w14:textId="1599D8A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8" w:history="1">
        <w:r w:rsidRPr="00533B68">
          <w:t>3612</w:t>
        </w:r>
        <w:r>
          <w:rPr>
            <w:rFonts w:asciiTheme="minorHAnsi" w:eastAsiaTheme="minorEastAsia" w:hAnsiTheme="minorHAnsi" w:cstheme="minorBidi"/>
            <w:kern w:val="2"/>
            <w:sz w:val="24"/>
            <w:szCs w:val="24"/>
            <w:lang w:eastAsia="en-AU"/>
            <w14:ligatures w14:val="standardContextual"/>
          </w:rPr>
          <w:tab/>
        </w:r>
        <w:r w:rsidRPr="00533B68">
          <w:t>Admission—appearance by bar council or law society council</w:t>
        </w:r>
        <w:r>
          <w:tab/>
        </w:r>
        <w:r>
          <w:fldChar w:fldCharType="begin"/>
        </w:r>
        <w:r>
          <w:instrText xml:space="preserve"> PAGEREF _Toc185514798 \h </w:instrText>
        </w:r>
        <w:r>
          <w:fldChar w:fldCharType="separate"/>
        </w:r>
        <w:r>
          <w:t>671</w:t>
        </w:r>
        <w:r>
          <w:fldChar w:fldCharType="end"/>
        </w:r>
      </w:hyperlink>
    </w:p>
    <w:p w14:paraId="33AE82E3" w14:textId="4A1A2B3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799" w:history="1">
        <w:r w:rsidRPr="00533B68">
          <w:t>3613</w:t>
        </w:r>
        <w:r>
          <w:rPr>
            <w:rFonts w:asciiTheme="minorHAnsi" w:eastAsiaTheme="minorEastAsia" w:hAnsiTheme="minorHAnsi" w:cstheme="minorBidi"/>
            <w:kern w:val="2"/>
            <w:sz w:val="24"/>
            <w:szCs w:val="24"/>
            <w:lang w:eastAsia="en-AU"/>
            <w14:ligatures w14:val="standardContextual"/>
          </w:rPr>
          <w:tab/>
        </w:r>
        <w:r w:rsidRPr="00533B68">
          <w:t>Admission—applicant’s duty of frankness</w:t>
        </w:r>
        <w:r>
          <w:tab/>
        </w:r>
        <w:r>
          <w:fldChar w:fldCharType="begin"/>
        </w:r>
        <w:r>
          <w:instrText xml:space="preserve"> PAGEREF _Toc185514799 \h </w:instrText>
        </w:r>
        <w:r>
          <w:fldChar w:fldCharType="separate"/>
        </w:r>
        <w:r>
          <w:t>671</w:t>
        </w:r>
        <w:r>
          <w:fldChar w:fldCharType="end"/>
        </w:r>
      </w:hyperlink>
    </w:p>
    <w:p w14:paraId="48E01DB3" w14:textId="68F8593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0" w:history="1">
        <w:r w:rsidRPr="00533B68">
          <w:t>3614</w:t>
        </w:r>
        <w:r>
          <w:rPr>
            <w:rFonts w:asciiTheme="minorHAnsi" w:eastAsiaTheme="minorEastAsia" w:hAnsiTheme="minorHAnsi" w:cstheme="minorBidi"/>
            <w:kern w:val="2"/>
            <w:sz w:val="24"/>
            <w:szCs w:val="24"/>
            <w:lang w:eastAsia="en-AU"/>
            <w14:ligatures w14:val="standardContextual"/>
          </w:rPr>
          <w:tab/>
        </w:r>
        <w:r w:rsidRPr="00533B68">
          <w:t>Admission—oath or affirmation</w:t>
        </w:r>
        <w:r>
          <w:tab/>
        </w:r>
        <w:r>
          <w:fldChar w:fldCharType="begin"/>
        </w:r>
        <w:r>
          <w:instrText xml:space="preserve"> PAGEREF _Toc185514800 \h </w:instrText>
        </w:r>
        <w:r>
          <w:fldChar w:fldCharType="separate"/>
        </w:r>
        <w:r>
          <w:t>671</w:t>
        </w:r>
        <w:r>
          <w:fldChar w:fldCharType="end"/>
        </w:r>
      </w:hyperlink>
    </w:p>
    <w:p w14:paraId="58E030B2" w14:textId="1A84297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1" w:history="1">
        <w:r w:rsidRPr="00533B68">
          <w:t>3614A</w:t>
        </w:r>
        <w:r>
          <w:rPr>
            <w:rFonts w:asciiTheme="minorHAnsi" w:eastAsiaTheme="minorEastAsia" w:hAnsiTheme="minorHAnsi" w:cstheme="minorBidi"/>
            <w:kern w:val="2"/>
            <w:sz w:val="24"/>
            <w:szCs w:val="24"/>
            <w:lang w:eastAsia="en-AU"/>
            <w14:ligatures w14:val="standardContextual"/>
          </w:rPr>
          <w:tab/>
        </w:r>
        <w:r w:rsidRPr="00533B68">
          <w:t>Admission—absentee admission</w:t>
        </w:r>
        <w:r>
          <w:tab/>
        </w:r>
        <w:r>
          <w:fldChar w:fldCharType="begin"/>
        </w:r>
        <w:r>
          <w:instrText xml:space="preserve"> PAGEREF _Toc185514801 \h </w:instrText>
        </w:r>
        <w:r>
          <w:fldChar w:fldCharType="separate"/>
        </w:r>
        <w:r>
          <w:t>672</w:t>
        </w:r>
        <w:r>
          <w:fldChar w:fldCharType="end"/>
        </w:r>
      </w:hyperlink>
    </w:p>
    <w:p w14:paraId="2BB9003F" w14:textId="5B3880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2" w:history="1">
        <w:r w:rsidRPr="00533B68">
          <w:t>3615</w:t>
        </w:r>
        <w:r>
          <w:rPr>
            <w:rFonts w:asciiTheme="minorHAnsi" w:eastAsiaTheme="minorEastAsia" w:hAnsiTheme="minorHAnsi" w:cstheme="minorBidi"/>
            <w:kern w:val="2"/>
            <w:sz w:val="24"/>
            <w:szCs w:val="24"/>
            <w:lang w:eastAsia="en-AU"/>
            <w14:ligatures w14:val="standardContextual"/>
          </w:rPr>
          <w:tab/>
        </w:r>
        <w:r w:rsidRPr="00533B68">
          <w:t>Admission—entry on local roll</w:t>
        </w:r>
        <w:r>
          <w:tab/>
        </w:r>
        <w:r>
          <w:fldChar w:fldCharType="begin"/>
        </w:r>
        <w:r>
          <w:instrText xml:space="preserve"> PAGEREF _Toc185514802 \h </w:instrText>
        </w:r>
        <w:r>
          <w:fldChar w:fldCharType="separate"/>
        </w:r>
        <w:r>
          <w:t>673</w:t>
        </w:r>
        <w:r>
          <w:fldChar w:fldCharType="end"/>
        </w:r>
      </w:hyperlink>
    </w:p>
    <w:p w14:paraId="734B33B8" w14:textId="7478CFC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03" w:history="1">
        <w:r w:rsidR="00AC5392" w:rsidRPr="00533B68">
          <w:t>Division 3.11.3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Assessment of client costs</w:t>
        </w:r>
        <w:r w:rsidR="00AC5392" w:rsidRPr="00AC5392">
          <w:rPr>
            <w:vanish/>
          </w:rPr>
          <w:tab/>
        </w:r>
        <w:r w:rsidR="00AC5392" w:rsidRPr="00AC5392">
          <w:rPr>
            <w:vanish/>
          </w:rPr>
          <w:fldChar w:fldCharType="begin"/>
        </w:r>
        <w:r w:rsidR="00AC5392" w:rsidRPr="00AC5392">
          <w:rPr>
            <w:vanish/>
          </w:rPr>
          <w:instrText xml:space="preserve"> PAGEREF _Toc185514803 \h </w:instrText>
        </w:r>
        <w:r w:rsidR="00AC5392" w:rsidRPr="00AC5392">
          <w:rPr>
            <w:vanish/>
          </w:rPr>
        </w:r>
        <w:r w:rsidR="00AC5392" w:rsidRPr="00AC5392">
          <w:rPr>
            <w:vanish/>
          </w:rPr>
          <w:fldChar w:fldCharType="separate"/>
        </w:r>
        <w:r w:rsidR="00AC5392" w:rsidRPr="00AC5392">
          <w:rPr>
            <w:vanish/>
          </w:rPr>
          <w:t>673</w:t>
        </w:r>
        <w:r w:rsidR="00AC5392" w:rsidRPr="00AC5392">
          <w:rPr>
            <w:vanish/>
          </w:rPr>
          <w:fldChar w:fldCharType="end"/>
        </w:r>
      </w:hyperlink>
    </w:p>
    <w:p w14:paraId="270C1AF2" w14:textId="219F90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4" w:history="1">
        <w:r w:rsidRPr="00533B68">
          <w:t>3620</w:t>
        </w:r>
        <w:r>
          <w:rPr>
            <w:rFonts w:asciiTheme="minorHAnsi" w:eastAsiaTheme="minorEastAsia" w:hAnsiTheme="minorHAnsi" w:cstheme="minorBidi"/>
            <w:kern w:val="2"/>
            <w:sz w:val="24"/>
            <w:szCs w:val="24"/>
            <w:lang w:eastAsia="en-AU"/>
            <w14:ligatures w14:val="standardContextual"/>
          </w:rPr>
          <w:tab/>
        </w:r>
        <w:r w:rsidRPr="00533B68">
          <w:t>Application—div 3.11.3</w:t>
        </w:r>
        <w:r>
          <w:tab/>
        </w:r>
        <w:r>
          <w:fldChar w:fldCharType="begin"/>
        </w:r>
        <w:r>
          <w:instrText xml:space="preserve"> PAGEREF _Toc185514804 \h </w:instrText>
        </w:r>
        <w:r>
          <w:fldChar w:fldCharType="separate"/>
        </w:r>
        <w:r>
          <w:t>673</w:t>
        </w:r>
        <w:r>
          <w:fldChar w:fldCharType="end"/>
        </w:r>
      </w:hyperlink>
    </w:p>
    <w:p w14:paraId="16728E8F" w14:textId="01754A4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5" w:history="1">
        <w:r w:rsidRPr="00533B68">
          <w:t>3621</w:t>
        </w:r>
        <w:r>
          <w:rPr>
            <w:rFonts w:asciiTheme="minorHAnsi" w:eastAsiaTheme="minorEastAsia" w:hAnsiTheme="minorHAnsi" w:cstheme="minorBidi"/>
            <w:kern w:val="2"/>
            <w:sz w:val="24"/>
            <w:szCs w:val="24"/>
            <w:lang w:eastAsia="en-AU"/>
            <w14:ligatures w14:val="standardContextual"/>
          </w:rPr>
          <w:tab/>
        </w:r>
        <w:r w:rsidRPr="00533B68">
          <w:t>Form of application</w:t>
        </w:r>
        <w:r>
          <w:tab/>
        </w:r>
        <w:r>
          <w:fldChar w:fldCharType="begin"/>
        </w:r>
        <w:r>
          <w:instrText xml:space="preserve"> PAGEREF _Toc185514805 \h </w:instrText>
        </w:r>
        <w:r>
          <w:fldChar w:fldCharType="separate"/>
        </w:r>
        <w:r>
          <w:t>673</w:t>
        </w:r>
        <w:r>
          <w:fldChar w:fldCharType="end"/>
        </w:r>
      </w:hyperlink>
    </w:p>
    <w:p w14:paraId="43D3B2DB" w14:textId="0BAEFF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6" w:history="1">
        <w:r w:rsidRPr="00533B68">
          <w:t>3622</w:t>
        </w:r>
        <w:r>
          <w:rPr>
            <w:rFonts w:asciiTheme="minorHAnsi" w:eastAsiaTheme="minorEastAsia" w:hAnsiTheme="minorHAnsi" w:cstheme="minorBidi"/>
            <w:kern w:val="2"/>
            <w:sz w:val="24"/>
            <w:szCs w:val="24"/>
            <w:lang w:eastAsia="en-AU"/>
            <w14:ligatures w14:val="standardContextual"/>
          </w:rPr>
          <w:tab/>
        </w:r>
        <w:r w:rsidRPr="00533B68">
          <w:t>Application for leave to apply out of time</w:t>
        </w:r>
        <w:r>
          <w:tab/>
        </w:r>
        <w:r>
          <w:fldChar w:fldCharType="begin"/>
        </w:r>
        <w:r>
          <w:instrText xml:space="preserve"> PAGEREF _Toc185514806 \h </w:instrText>
        </w:r>
        <w:r>
          <w:fldChar w:fldCharType="separate"/>
        </w:r>
        <w:r>
          <w:t>674</w:t>
        </w:r>
        <w:r>
          <w:fldChar w:fldCharType="end"/>
        </w:r>
      </w:hyperlink>
    </w:p>
    <w:p w14:paraId="2B814A29" w14:textId="538401D6"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807" w:history="1">
        <w:r w:rsidRPr="00533B68">
          <w:t>3623</w:t>
        </w:r>
        <w:r>
          <w:rPr>
            <w:rFonts w:asciiTheme="minorHAnsi" w:eastAsiaTheme="minorEastAsia" w:hAnsiTheme="minorHAnsi" w:cstheme="minorBidi"/>
            <w:kern w:val="2"/>
            <w:sz w:val="24"/>
            <w:szCs w:val="24"/>
            <w:lang w:eastAsia="en-AU"/>
            <w14:ligatures w14:val="standardContextual"/>
          </w:rPr>
          <w:tab/>
        </w:r>
        <w:r w:rsidRPr="00533B68">
          <w:t>Directions</w:t>
        </w:r>
        <w:r>
          <w:tab/>
        </w:r>
        <w:r>
          <w:fldChar w:fldCharType="begin"/>
        </w:r>
        <w:r>
          <w:instrText xml:space="preserve"> PAGEREF _Toc185514807 \h </w:instrText>
        </w:r>
        <w:r>
          <w:fldChar w:fldCharType="separate"/>
        </w:r>
        <w:r>
          <w:t>674</w:t>
        </w:r>
        <w:r>
          <w:fldChar w:fldCharType="end"/>
        </w:r>
      </w:hyperlink>
    </w:p>
    <w:p w14:paraId="1A06CF21" w14:textId="0A47592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8" w:history="1">
        <w:r w:rsidRPr="00533B68">
          <w:t>3624</w:t>
        </w:r>
        <w:r>
          <w:rPr>
            <w:rFonts w:asciiTheme="minorHAnsi" w:eastAsiaTheme="minorEastAsia" w:hAnsiTheme="minorHAnsi" w:cstheme="minorBidi"/>
            <w:kern w:val="2"/>
            <w:sz w:val="24"/>
            <w:szCs w:val="24"/>
            <w:lang w:eastAsia="en-AU"/>
            <w14:ligatures w14:val="standardContextual"/>
          </w:rPr>
          <w:tab/>
        </w:r>
        <w:r w:rsidRPr="00533B68">
          <w:t>Response to application</w:t>
        </w:r>
        <w:r>
          <w:tab/>
        </w:r>
        <w:r>
          <w:fldChar w:fldCharType="begin"/>
        </w:r>
        <w:r>
          <w:instrText xml:space="preserve"> PAGEREF _Toc185514808 \h </w:instrText>
        </w:r>
        <w:r>
          <w:fldChar w:fldCharType="separate"/>
        </w:r>
        <w:r>
          <w:t>674</w:t>
        </w:r>
        <w:r>
          <w:fldChar w:fldCharType="end"/>
        </w:r>
      </w:hyperlink>
    </w:p>
    <w:p w14:paraId="1244DC5D" w14:textId="6E35013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09" w:history="1">
        <w:r w:rsidRPr="00533B68">
          <w:t>3625</w:t>
        </w:r>
        <w:r>
          <w:rPr>
            <w:rFonts w:asciiTheme="minorHAnsi" w:eastAsiaTheme="minorEastAsia" w:hAnsiTheme="minorHAnsi" w:cstheme="minorBidi"/>
            <w:kern w:val="2"/>
            <w:sz w:val="24"/>
            <w:szCs w:val="24"/>
            <w:lang w:eastAsia="en-AU"/>
            <w14:ligatures w14:val="standardContextual"/>
          </w:rPr>
          <w:tab/>
        </w:r>
        <w:r w:rsidRPr="00533B68">
          <w:t>Notice of objections to legal costs</w:t>
        </w:r>
        <w:r>
          <w:tab/>
        </w:r>
        <w:r>
          <w:fldChar w:fldCharType="begin"/>
        </w:r>
        <w:r>
          <w:instrText xml:space="preserve"> PAGEREF _Toc185514809 \h </w:instrText>
        </w:r>
        <w:r>
          <w:fldChar w:fldCharType="separate"/>
        </w:r>
        <w:r>
          <w:t>675</w:t>
        </w:r>
        <w:r>
          <w:fldChar w:fldCharType="end"/>
        </w:r>
      </w:hyperlink>
    </w:p>
    <w:p w14:paraId="76C6982D" w14:textId="2DCD5EDC"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810" w:history="1">
        <w:r w:rsidR="00AC5392" w:rsidRPr="00533B68">
          <w:t>Part 3.12</w:t>
        </w:r>
        <w:r w:rsidR="00AC5392">
          <w:rPr>
            <w:rFonts w:asciiTheme="minorHAnsi" w:eastAsiaTheme="minorEastAsia" w:hAnsiTheme="minorHAnsi" w:cstheme="minorBidi"/>
            <w:b w:val="0"/>
            <w:kern w:val="2"/>
            <w:szCs w:val="24"/>
            <w:lang w:eastAsia="en-AU"/>
            <w14:ligatures w14:val="standardContextual"/>
          </w:rPr>
          <w:tab/>
        </w:r>
        <w:r w:rsidR="00AC5392" w:rsidRPr="00533B68">
          <w:t>Family violence and personal violence proceedings</w:t>
        </w:r>
        <w:r w:rsidR="00AC5392" w:rsidRPr="00AC5392">
          <w:rPr>
            <w:vanish/>
          </w:rPr>
          <w:tab/>
        </w:r>
        <w:r w:rsidR="00AC5392" w:rsidRPr="00AC5392">
          <w:rPr>
            <w:vanish/>
          </w:rPr>
          <w:fldChar w:fldCharType="begin"/>
        </w:r>
        <w:r w:rsidR="00AC5392" w:rsidRPr="00AC5392">
          <w:rPr>
            <w:vanish/>
          </w:rPr>
          <w:instrText xml:space="preserve"> PAGEREF _Toc185514810 \h </w:instrText>
        </w:r>
        <w:r w:rsidR="00AC5392" w:rsidRPr="00AC5392">
          <w:rPr>
            <w:vanish/>
          </w:rPr>
        </w:r>
        <w:r w:rsidR="00AC5392" w:rsidRPr="00AC5392">
          <w:rPr>
            <w:vanish/>
          </w:rPr>
          <w:fldChar w:fldCharType="separate"/>
        </w:r>
        <w:r w:rsidR="00AC5392" w:rsidRPr="00AC5392">
          <w:rPr>
            <w:vanish/>
          </w:rPr>
          <w:t>676</w:t>
        </w:r>
        <w:r w:rsidR="00AC5392" w:rsidRPr="00AC5392">
          <w:rPr>
            <w:vanish/>
          </w:rPr>
          <w:fldChar w:fldCharType="end"/>
        </w:r>
      </w:hyperlink>
    </w:p>
    <w:p w14:paraId="3BC8DF9F" w14:textId="3273BF3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11" w:history="1">
        <w:r w:rsidR="00AC5392" w:rsidRPr="00533B68">
          <w:t>Division 3.12.1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Family violence and personal violence proceedings—general</w:t>
        </w:r>
        <w:r w:rsidR="00AC5392" w:rsidRPr="00AC5392">
          <w:rPr>
            <w:vanish/>
          </w:rPr>
          <w:tab/>
        </w:r>
        <w:r w:rsidR="00AC5392" w:rsidRPr="00AC5392">
          <w:rPr>
            <w:vanish/>
          </w:rPr>
          <w:fldChar w:fldCharType="begin"/>
        </w:r>
        <w:r w:rsidR="00AC5392" w:rsidRPr="00AC5392">
          <w:rPr>
            <w:vanish/>
          </w:rPr>
          <w:instrText xml:space="preserve"> PAGEREF _Toc185514811 \h </w:instrText>
        </w:r>
        <w:r w:rsidR="00AC5392" w:rsidRPr="00AC5392">
          <w:rPr>
            <w:vanish/>
          </w:rPr>
        </w:r>
        <w:r w:rsidR="00AC5392" w:rsidRPr="00AC5392">
          <w:rPr>
            <w:vanish/>
          </w:rPr>
          <w:fldChar w:fldCharType="separate"/>
        </w:r>
        <w:r w:rsidR="00AC5392" w:rsidRPr="00AC5392">
          <w:rPr>
            <w:vanish/>
          </w:rPr>
          <w:t>676</w:t>
        </w:r>
        <w:r w:rsidR="00AC5392" w:rsidRPr="00AC5392">
          <w:rPr>
            <w:vanish/>
          </w:rPr>
          <w:fldChar w:fldCharType="end"/>
        </w:r>
      </w:hyperlink>
    </w:p>
    <w:p w14:paraId="2437B88C" w14:textId="027B99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12" w:history="1">
        <w:r w:rsidRPr="00533B68">
          <w:t>3800</w:t>
        </w:r>
        <w:r>
          <w:rPr>
            <w:rFonts w:asciiTheme="minorHAnsi" w:eastAsiaTheme="minorEastAsia" w:hAnsiTheme="minorHAnsi" w:cstheme="minorBidi"/>
            <w:kern w:val="2"/>
            <w:sz w:val="24"/>
            <w:szCs w:val="24"/>
            <w:lang w:eastAsia="en-AU"/>
            <w14:ligatures w14:val="standardContextual"/>
          </w:rPr>
          <w:tab/>
        </w:r>
        <w:r w:rsidRPr="00533B68">
          <w:t>Terms used in Family Violence Act and Personal Violence Act</w:t>
        </w:r>
        <w:r>
          <w:tab/>
        </w:r>
        <w:r>
          <w:fldChar w:fldCharType="begin"/>
        </w:r>
        <w:r>
          <w:instrText xml:space="preserve"> PAGEREF _Toc185514812 \h </w:instrText>
        </w:r>
        <w:r>
          <w:fldChar w:fldCharType="separate"/>
        </w:r>
        <w:r>
          <w:t>676</w:t>
        </w:r>
        <w:r>
          <w:fldChar w:fldCharType="end"/>
        </w:r>
      </w:hyperlink>
    </w:p>
    <w:p w14:paraId="08AF87EA" w14:textId="5ABFA87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13" w:history="1">
        <w:r w:rsidRPr="00533B68">
          <w:t>3801</w:t>
        </w:r>
        <w:r>
          <w:rPr>
            <w:rFonts w:asciiTheme="minorHAnsi" w:eastAsiaTheme="minorEastAsia" w:hAnsiTheme="minorHAnsi" w:cstheme="minorBidi"/>
            <w:kern w:val="2"/>
            <w:sz w:val="24"/>
            <w:szCs w:val="24"/>
            <w:lang w:eastAsia="en-AU"/>
            <w14:ligatures w14:val="standardContextual"/>
          </w:rPr>
          <w:tab/>
        </w:r>
        <w:r w:rsidRPr="00533B68">
          <w:t>Application—pt 3.12</w:t>
        </w:r>
        <w:r>
          <w:tab/>
        </w:r>
        <w:r>
          <w:fldChar w:fldCharType="begin"/>
        </w:r>
        <w:r>
          <w:instrText xml:space="preserve"> PAGEREF _Toc185514813 \h </w:instrText>
        </w:r>
        <w:r>
          <w:fldChar w:fldCharType="separate"/>
        </w:r>
        <w:r>
          <w:t>676</w:t>
        </w:r>
        <w:r>
          <w:fldChar w:fldCharType="end"/>
        </w:r>
      </w:hyperlink>
    </w:p>
    <w:p w14:paraId="50FDC033" w14:textId="05ADE38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14" w:history="1">
        <w:r w:rsidRPr="00533B68">
          <w:t>3802</w:t>
        </w:r>
        <w:r>
          <w:rPr>
            <w:rFonts w:asciiTheme="minorHAnsi" w:eastAsiaTheme="minorEastAsia" w:hAnsiTheme="minorHAnsi" w:cstheme="minorBidi"/>
            <w:kern w:val="2"/>
            <w:sz w:val="24"/>
            <w:szCs w:val="24"/>
            <w:lang w:eastAsia="en-AU"/>
            <w14:ligatures w14:val="standardContextual"/>
          </w:rPr>
          <w:tab/>
        </w:r>
        <w:r w:rsidRPr="00533B68">
          <w:t>Rules in ch 2 disapplied</w:t>
        </w:r>
        <w:r>
          <w:tab/>
        </w:r>
        <w:r>
          <w:fldChar w:fldCharType="begin"/>
        </w:r>
        <w:r>
          <w:instrText xml:space="preserve"> PAGEREF _Toc185514814 \h </w:instrText>
        </w:r>
        <w:r>
          <w:fldChar w:fldCharType="separate"/>
        </w:r>
        <w:r>
          <w:t>676</w:t>
        </w:r>
        <w:r>
          <w:fldChar w:fldCharType="end"/>
        </w:r>
      </w:hyperlink>
    </w:p>
    <w:p w14:paraId="31C3341A" w14:textId="7AFF63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15" w:history="1">
        <w:r w:rsidRPr="00533B68">
          <w:t>3803</w:t>
        </w:r>
        <w:r>
          <w:rPr>
            <w:rFonts w:asciiTheme="minorHAnsi" w:eastAsiaTheme="minorEastAsia" w:hAnsiTheme="minorHAnsi" w:cstheme="minorBidi"/>
            <w:kern w:val="2"/>
            <w:sz w:val="24"/>
            <w:szCs w:val="24"/>
            <w:lang w:eastAsia="en-AU"/>
            <w14:ligatures w14:val="standardContextual"/>
          </w:rPr>
          <w:tab/>
        </w:r>
        <w:r w:rsidRPr="00533B68">
          <w:t>Other disapplied rules</w:t>
        </w:r>
        <w:r>
          <w:tab/>
        </w:r>
        <w:r>
          <w:fldChar w:fldCharType="begin"/>
        </w:r>
        <w:r>
          <w:instrText xml:space="preserve"> PAGEREF _Toc185514815 \h </w:instrText>
        </w:r>
        <w:r>
          <w:fldChar w:fldCharType="separate"/>
        </w:r>
        <w:r>
          <w:t>678</w:t>
        </w:r>
        <w:r>
          <w:fldChar w:fldCharType="end"/>
        </w:r>
      </w:hyperlink>
    </w:p>
    <w:p w14:paraId="28B29F8A" w14:textId="32915AF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16" w:history="1">
        <w:r w:rsidRPr="00533B68">
          <w:t>3804</w:t>
        </w:r>
        <w:r>
          <w:rPr>
            <w:rFonts w:asciiTheme="minorHAnsi" w:eastAsiaTheme="minorEastAsia" w:hAnsiTheme="minorHAnsi" w:cstheme="minorBidi"/>
            <w:kern w:val="2"/>
            <w:sz w:val="24"/>
            <w:szCs w:val="24"/>
            <w:lang w:eastAsia="en-AU"/>
            <w14:ligatures w14:val="standardContextual"/>
          </w:rPr>
          <w:tab/>
        </w:r>
        <w:r w:rsidRPr="00533B68">
          <w:t>Correction of name of respondent</w:t>
        </w:r>
        <w:r>
          <w:tab/>
        </w:r>
        <w:r>
          <w:fldChar w:fldCharType="begin"/>
        </w:r>
        <w:r>
          <w:instrText xml:space="preserve"> PAGEREF _Toc185514816 \h </w:instrText>
        </w:r>
        <w:r>
          <w:fldChar w:fldCharType="separate"/>
        </w:r>
        <w:r>
          <w:t>679</w:t>
        </w:r>
        <w:r>
          <w:fldChar w:fldCharType="end"/>
        </w:r>
      </w:hyperlink>
    </w:p>
    <w:p w14:paraId="679F3FA8" w14:textId="73940AD6"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817" w:history="1">
        <w:r w:rsidR="00AC5392" w:rsidRPr="00533B68">
          <w:t>Part 3.13</w:t>
        </w:r>
        <w:r w:rsidR="00AC5392">
          <w:rPr>
            <w:rFonts w:asciiTheme="minorHAnsi" w:eastAsiaTheme="minorEastAsia" w:hAnsiTheme="minorHAnsi" w:cstheme="minorBidi"/>
            <w:b w:val="0"/>
            <w:kern w:val="2"/>
            <w:szCs w:val="24"/>
            <w:lang w:eastAsia="en-AU"/>
            <w14:ligatures w14:val="standardContextual"/>
          </w:rPr>
          <w:tab/>
        </w:r>
        <w:r w:rsidR="00AC5392" w:rsidRPr="00533B68">
          <w:t>Workers compensation</w:t>
        </w:r>
        <w:r w:rsidR="00AC5392" w:rsidRPr="00AC5392">
          <w:rPr>
            <w:vanish/>
          </w:rPr>
          <w:tab/>
        </w:r>
        <w:r w:rsidR="00AC5392" w:rsidRPr="00AC5392">
          <w:rPr>
            <w:vanish/>
          </w:rPr>
          <w:fldChar w:fldCharType="begin"/>
        </w:r>
        <w:r w:rsidR="00AC5392" w:rsidRPr="00AC5392">
          <w:rPr>
            <w:vanish/>
          </w:rPr>
          <w:instrText xml:space="preserve"> PAGEREF _Toc185514817 \h </w:instrText>
        </w:r>
        <w:r w:rsidR="00AC5392" w:rsidRPr="00AC5392">
          <w:rPr>
            <w:vanish/>
          </w:rPr>
        </w:r>
        <w:r w:rsidR="00AC5392" w:rsidRPr="00AC5392">
          <w:rPr>
            <w:vanish/>
          </w:rPr>
          <w:fldChar w:fldCharType="separate"/>
        </w:r>
        <w:r w:rsidR="00AC5392" w:rsidRPr="00AC5392">
          <w:rPr>
            <w:vanish/>
          </w:rPr>
          <w:t>680</w:t>
        </w:r>
        <w:r w:rsidR="00AC5392" w:rsidRPr="00AC5392">
          <w:rPr>
            <w:vanish/>
          </w:rPr>
          <w:fldChar w:fldCharType="end"/>
        </w:r>
      </w:hyperlink>
    </w:p>
    <w:p w14:paraId="6359F7A8" w14:textId="5CFA32C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18" w:history="1">
        <w:r w:rsidR="00AC5392" w:rsidRPr="00533B68">
          <w:t>Division 3.13.1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 proceedings—general</w:t>
        </w:r>
        <w:r w:rsidR="00AC5392" w:rsidRPr="00AC5392">
          <w:rPr>
            <w:vanish/>
          </w:rPr>
          <w:tab/>
        </w:r>
        <w:r w:rsidR="00AC5392" w:rsidRPr="00AC5392">
          <w:rPr>
            <w:vanish/>
          </w:rPr>
          <w:fldChar w:fldCharType="begin"/>
        </w:r>
        <w:r w:rsidR="00AC5392" w:rsidRPr="00AC5392">
          <w:rPr>
            <w:vanish/>
          </w:rPr>
          <w:instrText xml:space="preserve"> PAGEREF _Toc185514818 \h </w:instrText>
        </w:r>
        <w:r w:rsidR="00AC5392" w:rsidRPr="00AC5392">
          <w:rPr>
            <w:vanish/>
          </w:rPr>
        </w:r>
        <w:r w:rsidR="00AC5392" w:rsidRPr="00AC5392">
          <w:rPr>
            <w:vanish/>
          </w:rPr>
          <w:fldChar w:fldCharType="separate"/>
        </w:r>
        <w:r w:rsidR="00AC5392" w:rsidRPr="00AC5392">
          <w:rPr>
            <w:vanish/>
          </w:rPr>
          <w:t>680</w:t>
        </w:r>
        <w:r w:rsidR="00AC5392" w:rsidRPr="00AC5392">
          <w:rPr>
            <w:vanish/>
          </w:rPr>
          <w:fldChar w:fldCharType="end"/>
        </w:r>
      </w:hyperlink>
    </w:p>
    <w:p w14:paraId="0D7EC9E4" w14:textId="0D5B6F0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19" w:history="1">
        <w:r w:rsidRPr="00533B68">
          <w:t>3900</w:t>
        </w:r>
        <w:r>
          <w:rPr>
            <w:rFonts w:asciiTheme="minorHAnsi" w:eastAsiaTheme="minorEastAsia" w:hAnsiTheme="minorHAnsi" w:cstheme="minorBidi"/>
            <w:kern w:val="2"/>
            <w:sz w:val="24"/>
            <w:szCs w:val="24"/>
            <w:lang w:eastAsia="en-AU"/>
            <w14:ligatures w14:val="standardContextual"/>
          </w:rPr>
          <w:tab/>
        </w:r>
        <w:r w:rsidRPr="00533B68">
          <w:t>Definitions—pt 3.13</w:t>
        </w:r>
        <w:r>
          <w:tab/>
        </w:r>
        <w:r>
          <w:fldChar w:fldCharType="begin"/>
        </w:r>
        <w:r>
          <w:instrText xml:space="preserve"> PAGEREF _Toc185514819 \h </w:instrText>
        </w:r>
        <w:r>
          <w:fldChar w:fldCharType="separate"/>
        </w:r>
        <w:r>
          <w:t>680</w:t>
        </w:r>
        <w:r>
          <w:fldChar w:fldCharType="end"/>
        </w:r>
      </w:hyperlink>
    </w:p>
    <w:p w14:paraId="5413EBD8" w14:textId="07C01D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0" w:history="1">
        <w:r w:rsidRPr="00533B68">
          <w:t>3901</w:t>
        </w:r>
        <w:r>
          <w:rPr>
            <w:rFonts w:asciiTheme="minorHAnsi" w:eastAsiaTheme="minorEastAsia" w:hAnsiTheme="minorHAnsi" w:cstheme="minorBidi"/>
            <w:kern w:val="2"/>
            <w:sz w:val="24"/>
            <w:szCs w:val="24"/>
            <w:lang w:eastAsia="en-AU"/>
            <w14:ligatures w14:val="standardContextual"/>
          </w:rPr>
          <w:tab/>
        </w:r>
        <w:r w:rsidRPr="00533B68">
          <w:t>Terms used in Workers Compensation Act</w:t>
        </w:r>
        <w:r>
          <w:tab/>
        </w:r>
        <w:r>
          <w:fldChar w:fldCharType="begin"/>
        </w:r>
        <w:r>
          <w:instrText xml:space="preserve"> PAGEREF _Toc185514820 \h </w:instrText>
        </w:r>
        <w:r>
          <w:fldChar w:fldCharType="separate"/>
        </w:r>
        <w:r>
          <w:t>681</w:t>
        </w:r>
        <w:r>
          <w:fldChar w:fldCharType="end"/>
        </w:r>
      </w:hyperlink>
    </w:p>
    <w:p w14:paraId="1B4BAA44" w14:textId="70458BF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1" w:history="1">
        <w:r w:rsidRPr="00533B68">
          <w:t>3902</w:t>
        </w:r>
        <w:r>
          <w:rPr>
            <w:rFonts w:asciiTheme="minorHAnsi" w:eastAsiaTheme="minorEastAsia" w:hAnsiTheme="minorHAnsi" w:cstheme="minorBidi"/>
            <w:kern w:val="2"/>
            <w:sz w:val="24"/>
            <w:szCs w:val="24"/>
            <w:lang w:eastAsia="en-AU"/>
            <w14:ligatures w14:val="standardContextual"/>
          </w:rPr>
          <w:tab/>
        </w:r>
        <w:r w:rsidRPr="00533B68">
          <w:t>Application—pt 3.13</w:t>
        </w:r>
        <w:r>
          <w:tab/>
        </w:r>
        <w:r>
          <w:fldChar w:fldCharType="begin"/>
        </w:r>
        <w:r>
          <w:instrText xml:space="preserve"> PAGEREF _Toc185514821 \h </w:instrText>
        </w:r>
        <w:r>
          <w:fldChar w:fldCharType="separate"/>
        </w:r>
        <w:r>
          <w:t>681</w:t>
        </w:r>
        <w:r>
          <w:fldChar w:fldCharType="end"/>
        </w:r>
      </w:hyperlink>
    </w:p>
    <w:p w14:paraId="40CFC2A7" w14:textId="371721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2" w:history="1">
        <w:r w:rsidRPr="00533B68">
          <w:t>3903</w:t>
        </w:r>
        <w:r>
          <w:rPr>
            <w:rFonts w:asciiTheme="minorHAnsi" w:eastAsiaTheme="minorEastAsia" w:hAnsiTheme="minorHAnsi" w:cstheme="minorBidi"/>
            <w:kern w:val="2"/>
            <w:sz w:val="24"/>
            <w:szCs w:val="24"/>
            <w:lang w:eastAsia="en-AU"/>
            <w14:ligatures w14:val="standardContextual"/>
          </w:rPr>
          <w:tab/>
        </w:r>
        <w:r w:rsidRPr="00533B68">
          <w:t>Workers compensation proceedings—application of ch 2 generally</w:t>
        </w:r>
        <w:r>
          <w:tab/>
        </w:r>
        <w:r>
          <w:fldChar w:fldCharType="begin"/>
        </w:r>
        <w:r>
          <w:instrText xml:space="preserve"> PAGEREF _Toc185514822 \h </w:instrText>
        </w:r>
        <w:r>
          <w:fldChar w:fldCharType="separate"/>
        </w:r>
        <w:r>
          <w:t>681</w:t>
        </w:r>
        <w:r>
          <w:fldChar w:fldCharType="end"/>
        </w:r>
      </w:hyperlink>
    </w:p>
    <w:p w14:paraId="7D6B533C" w14:textId="3D463F9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23" w:history="1">
        <w:r w:rsidR="00AC5392" w:rsidRPr="00533B68">
          <w:t>Division 3.13.2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compensation—applications for arbitration</w:t>
        </w:r>
        <w:r w:rsidR="00AC5392" w:rsidRPr="00AC5392">
          <w:rPr>
            <w:vanish/>
          </w:rPr>
          <w:tab/>
        </w:r>
        <w:r w:rsidR="00AC5392" w:rsidRPr="00AC5392">
          <w:rPr>
            <w:vanish/>
          </w:rPr>
          <w:fldChar w:fldCharType="begin"/>
        </w:r>
        <w:r w:rsidR="00AC5392" w:rsidRPr="00AC5392">
          <w:rPr>
            <w:vanish/>
          </w:rPr>
          <w:instrText xml:space="preserve"> PAGEREF _Toc185514823 \h </w:instrText>
        </w:r>
        <w:r w:rsidR="00AC5392" w:rsidRPr="00AC5392">
          <w:rPr>
            <w:vanish/>
          </w:rPr>
        </w:r>
        <w:r w:rsidR="00AC5392" w:rsidRPr="00AC5392">
          <w:rPr>
            <w:vanish/>
          </w:rPr>
          <w:fldChar w:fldCharType="separate"/>
        </w:r>
        <w:r w:rsidR="00AC5392" w:rsidRPr="00AC5392">
          <w:rPr>
            <w:vanish/>
          </w:rPr>
          <w:t>683</w:t>
        </w:r>
        <w:r w:rsidR="00AC5392" w:rsidRPr="00AC5392">
          <w:rPr>
            <w:vanish/>
          </w:rPr>
          <w:fldChar w:fldCharType="end"/>
        </w:r>
      </w:hyperlink>
    </w:p>
    <w:p w14:paraId="19652B72" w14:textId="0D6B24E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4" w:history="1">
        <w:r w:rsidRPr="00533B68">
          <w:t>3904</w:t>
        </w:r>
        <w:r>
          <w:rPr>
            <w:rFonts w:asciiTheme="minorHAnsi" w:eastAsiaTheme="minorEastAsia" w:hAnsiTheme="minorHAnsi" w:cstheme="minorBidi"/>
            <w:kern w:val="2"/>
            <w:sz w:val="24"/>
            <w:szCs w:val="24"/>
            <w:lang w:eastAsia="en-AU"/>
            <w14:ligatures w14:val="standardContextual"/>
          </w:rPr>
          <w:tab/>
        </w:r>
        <w:r w:rsidRPr="00533B68">
          <w:t>Application for arbitration—Commercial Arbitration Act not apply</w:t>
        </w:r>
        <w:r>
          <w:tab/>
        </w:r>
        <w:r>
          <w:fldChar w:fldCharType="begin"/>
        </w:r>
        <w:r>
          <w:instrText xml:space="preserve"> PAGEREF _Toc185514824 \h </w:instrText>
        </w:r>
        <w:r>
          <w:fldChar w:fldCharType="separate"/>
        </w:r>
        <w:r>
          <w:t>683</w:t>
        </w:r>
        <w:r>
          <w:fldChar w:fldCharType="end"/>
        </w:r>
      </w:hyperlink>
    </w:p>
    <w:p w14:paraId="594077A0" w14:textId="627369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5" w:history="1">
        <w:r w:rsidRPr="00533B68">
          <w:t>3905</w:t>
        </w:r>
        <w:r>
          <w:rPr>
            <w:rFonts w:asciiTheme="minorHAnsi" w:eastAsiaTheme="minorEastAsia" w:hAnsiTheme="minorHAnsi" w:cstheme="minorBidi"/>
            <w:kern w:val="2"/>
            <w:sz w:val="24"/>
            <w:szCs w:val="24"/>
            <w:lang w:eastAsia="en-AU"/>
            <w14:ligatures w14:val="standardContextual"/>
          </w:rPr>
          <w:tab/>
        </w:r>
        <w:r w:rsidRPr="00533B68">
          <w:t>Application for arbitration—by worker</w:t>
        </w:r>
        <w:r>
          <w:tab/>
        </w:r>
        <w:r>
          <w:fldChar w:fldCharType="begin"/>
        </w:r>
        <w:r>
          <w:instrText xml:space="preserve"> PAGEREF _Toc185514825 \h </w:instrText>
        </w:r>
        <w:r>
          <w:fldChar w:fldCharType="separate"/>
        </w:r>
        <w:r>
          <w:t>683</w:t>
        </w:r>
        <w:r>
          <w:fldChar w:fldCharType="end"/>
        </w:r>
      </w:hyperlink>
    </w:p>
    <w:p w14:paraId="193A0C58" w14:textId="00A3BE4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6" w:history="1">
        <w:r w:rsidRPr="00533B68">
          <w:t>3906</w:t>
        </w:r>
        <w:r>
          <w:rPr>
            <w:rFonts w:asciiTheme="minorHAnsi" w:eastAsiaTheme="minorEastAsia" w:hAnsiTheme="minorHAnsi" w:cstheme="minorBidi"/>
            <w:kern w:val="2"/>
            <w:sz w:val="24"/>
            <w:szCs w:val="24"/>
            <w:lang w:eastAsia="en-AU"/>
            <w14:ligatures w14:val="standardContextual"/>
          </w:rPr>
          <w:tab/>
        </w:r>
        <w:r w:rsidRPr="00533B68">
          <w:t>Application for arbitration—by dependant or estate of deceased worker</w:t>
        </w:r>
        <w:r>
          <w:tab/>
        </w:r>
        <w:r>
          <w:fldChar w:fldCharType="begin"/>
        </w:r>
        <w:r>
          <w:instrText xml:space="preserve"> PAGEREF _Toc185514826 \h </w:instrText>
        </w:r>
        <w:r>
          <w:fldChar w:fldCharType="separate"/>
        </w:r>
        <w:r>
          <w:t>683</w:t>
        </w:r>
        <w:r>
          <w:fldChar w:fldCharType="end"/>
        </w:r>
      </w:hyperlink>
    </w:p>
    <w:p w14:paraId="62F84FED" w14:textId="24C67A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7" w:history="1">
        <w:r w:rsidRPr="00533B68">
          <w:t>3907</w:t>
        </w:r>
        <w:r>
          <w:rPr>
            <w:rFonts w:asciiTheme="minorHAnsi" w:eastAsiaTheme="minorEastAsia" w:hAnsiTheme="minorHAnsi" w:cstheme="minorBidi"/>
            <w:kern w:val="2"/>
            <w:sz w:val="24"/>
            <w:szCs w:val="24"/>
            <w:lang w:eastAsia="en-AU"/>
            <w14:ligatures w14:val="standardContextual"/>
          </w:rPr>
          <w:tab/>
        </w:r>
        <w:r w:rsidRPr="00533B68">
          <w:t>Application for arbitration—by employer or insurer</w:t>
        </w:r>
        <w:r>
          <w:tab/>
        </w:r>
        <w:r>
          <w:fldChar w:fldCharType="begin"/>
        </w:r>
        <w:r>
          <w:instrText xml:space="preserve"> PAGEREF _Toc185514827 \h </w:instrText>
        </w:r>
        <w:r>
          <w:fldChar w:fldCharType="separate"/>
        </w:r>
        <w:r>
          <w:t>684</w:t>
        </w:r>
        <w:r>
          <w:fldChar w:fldCharType="end"/>
        </w:r>
      </w:hyperlink>
    </w:p>
    <w:p w14:paraId="6B1F2DA2" w14:textId="6D4959B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8" w:history="1">
        <w:r w:rsidRPr="00533B68">
          <w:t>3909</w:t>
        </w:r>
        <w:r>
          <w:rPr>
            <w:rFonts w:asciiTheme="minorHAnsi" w:eastAsiaTheme="minorEastAsia" w:hAnsiTheme="minorHAnsi" w:cstheme="minorBidi"/>
            <w:kern w:val="2"/>
            <w:sz w:val="24"/>
            <w:szCs w:val="24"/>
            <w:lang w:eastAsia="en-AU"/>
            <w14:ligatures w14:val="standardContextual"/>
          </w:rPr>
          <w:tab/>
        </w:r>
        <w:r w:rsidRPr="00533B68">
          <w:t>Application for arbitration—injury notice and medical evidence</w:t>
        </w:r>
        <w:r>
          <w:tab/>
        </w:r>
        <w:r>
          <w:fldChar w:fldCharType="begin"/>
        </w:r>
        <w:r>
          <w:instrText xml:space="preserve"> PAGEREF _Toc185514828 \h </w:instrText>
        </w:r>
        <w:r>
          <w:fldChar w:fldCharType="separate"/>
        </w:r>
        <w:r>
          <w:t>684</w:t>
        </w:r>
        <w:r>
          <w:fldChar w:fldCharType="end"/>
        </w:r>
      </w:hyperlink>
    </w:p>
    <w:p w14:paraId="26268754" w14:textId="320409F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29" w:history="1">
        <w:r w:rsidRPr="00533B68">
          <w:t>3910</w:t>
        </w:r>
        <w:r>
          <w:rPr>
            <w:rFonts w:asciiTheme="minorHAnsi" w:eastAsiaTheme="minorEastAsia" w:hAnsiTheme="minorHAnsi" w:cstheme="minorBidi"/>
            <w:kern w:val="2"/>
            <w:sz w:val="24"/>
            <w:szCs w:val="24"/>
            <w:lang w:eastAsia="en-AU"/>
            <w14:ligatures w14:val="standardContextual"/>
          </w:rPr>
          <w:tab/>
        </w:r>
        <w:r w:rsidRPr="00533B68">
          <w:t>Application for arbitration—copies</w:t>
        </w:r>
        <w:r>
          <w:tab/>
        </w:r>
        <w:r>
          <w:fldChar w:fldCharType="begin"/>
        </w:r>
        <w:r>
          <w:instrText xml:space="preserve"> PAGEREF _Toc185514829 \h </w:instrText>
        </w:r>
        <w:r>
          <w:fldChar w:fldCharType="separate"/>
        </w:r>
        <w:r>
          <w:t>685</w:t>
        </w:r>
        <w:r>
          <w:fldChar w:fldCharType="end"/>
        </w:r>
      </w:hyperlink>
    </w:p>
    <w:p w14:paraId="2F227583" w14:textId="5FFE9B8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0" w:history="1">
        <w:r w:rsidRPr="00533B68">
          <w:t>3911</w:t>
        </w:r>
        <w:r>
          <w:rPr>
            <w:rFonts w:asciiTheme="minorHAnsi" w:eastAsiaTheme="minorEastAsia" w:hAnsiTheme="minorHAnsi" w:cstheme="minorBidi"/>
            <w:kern w:val="2"/>
            <w:sz w:val="24"/>
            <w:szCs w:val="24"/>
            <w:lang w:eastAsia="en-AU"/>
            <w14:ligatures w14:val="standardContextual"/>
          </w:rPr>
          <w:tab/>
        </w:r>
        <w:r w:rsidRPr="00533B68">
          <w:t>Application for arbitration—service on respondent</w:t>
        </w:r>
        <w:r>
          <w:tab/>
        </w:r>
        <w:r>
          <w:fldChar w:fldCharType="begin"/>
        </w:r>
        <w:r>
          <w:instrText xml:space="preserve"> PAGEREF _Toc185514830 \h </w:instrText>
        </w:r>
        <w:r>
          <w:fldChar w:fldCharType="separate"/>
        </w:r>
        <w:r>
          <w:t>685</w:t>
        </w:r>
        <w:r>
          <w:fldChar w:fldCharType="end"/>
        </w:r>
      </w:hyperlink>
    </w:p>
    <w:p w14:paraId="5802EDD1" w14:textId="45A235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1" w:history="1">
        <w:r w:rsidRPr="00533B68">
          <w:t>3912</w:t>
        </w:r>
        <w:r>
          <w:rPr>
            <w:rFonts w:asciiTheme="minorHAnsi" w:eastAsiaTheme="minorEastAsia" w:hAnsiTheme="minorHAnsi" w:cstheme="minorBidi"/>
            <w:kern w:val="2"/>
            <w:sz w:val="24"/>
            <w:szCs w:val="24"/>
            <w:lang w:eastAsia="en-AU"/>
            <w14:ligatures w14:val="standardContextual"/>
          </w:rPr>
          <w:tab/>
        </w:r>
        <w:r w:rsidRPr="00533B68">
          <w:t>Application for arbitration—service on insurer</w:t>
        </w:r>
        <w:r>
          <w:tab/>
        </w:r>
        <w:r>
          <w:fldChar w:fldCharType="begin"/>
        </w:r>
        <w:r>
          <w:instrText xml:space="preserve"> PAGEREF _Toc185514831 \h </w:instrText>
        </w:r>
        <w:r>
          <w:fldChar w:fldCharType="separate"/>
        </w:r>
        <w:r>
          <w:t>685</w:t>
        </w:r>
        <w:r>
          <w:fldChar w:fldCharType="end"/>
        </w:r>
      </w:hyperlink>
    </w:p>
    <w:p w14:paraId="036A52DB" w14:textId="7AF51C8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2" w:history="1">
        <w:r w:rsidRPr="00533B68">
          <w:t>3913</w:t>
        </w:r>
        <w:r>
          <w:rPr>
            <w:rFonts w:asciiTheme="minorHAnsi" w:eastAsiaTheme="minorEastAsia" w:hAnsiTheme="minorHAnsi" w:cstheme="minorBidi"/>
            <w:kern w:val="2"/>
            <w:sz w:val="24"/>
            <w:szCs w:val="24"/>
            <w:lang w:eastAsia="en-AU"/>
            <w14:ligatures w14:val="standardContextual"/>
          </w:rPr>
          <w:tab/>
        </w:r>
        <w:r w:rsidRPr="00533B68">
          <w:t>Application for arbitration—answer by respondent or third-party respondent</w:t>
        </w:r>
        <w:r>
          <w:tab/>
        </w:r>
        <w:r>
          <w:fldChar w:fldCharType="begin"/>
        </w:r>
        <w:r>
          <w:instrText xml:space="preserve"> PAGEREF _Toc185514832 \h </w:instrText>
        </w:r>
        <w:r>
          <w:fldChar w:fldCharType="separate"/>
        </w:r>
        <w:r>
          <w:t>686</w:t>
        </w:r>
        <w:r>
          <w:fldChar w:fldCharType="end"/>
        </w:r>
      </w:hyperlink>
    </w:p>
    <w:p w14:paraId="20F94C90" w14:textId="28546B1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3" w:history="1">
        <w:r w:rsidRPr="00533B68">
          <w:t>3914</w:t>
        </w:r>
        <w:r>
          <w:rPr>
            <w:rFonts w:asciiTheme="minorHAnsi" w:eastAsiaTheme="minorEastAsia" w:hAnsiTheme="minorHAnsi" w:cstheme="minorBidi"/>
            <w:kern w:val="2"/>
            <w:sz w:val="24"/>
            <w:szCs w:val="24"/>
            <w:lang w:eastAsia="en-AU"/>
            <w14:ligatures w14:val="standardContextual"/>
          </w:rPr>
          <w:tab/>
        </w:r>
        <w:r w:rsidRPr="00533B68">
          <w:t>Application for arbitration—liability and particulars subject to answer</w:t>
        </w:r>
        <w:r>
          <w:tab/>
        </w:r>
        <w:r>
          <w:fldChar w:fldCharType="begin"/>
        </w:r>
        <w:r>
          <w:instrText xml:space="preserve"> PAGEREF _Toc185514833 \h </w:instrText>
        </w:r>
        <w:r>
          <w:fldChar w:fldCharType="separate"/>
        </w:r>
        <w:r>
          <w:t>686</w:t>
        </w:r>
        <w:r>
          <w:fldChar w:fldCharType="end"/>
        </w:r>
      </w:hyperlink>
    </w:p>
    <w:p w14:paraId="16FB0236" w14:textId="499C471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4" w:history="1">
        <w:r w:rsidRPr="00533B68">
          <w:t>3915</w:t>
        </w:r>
        <w:r>
          <w:rPr>
            <w:rFonts w:asciiTheme="minorHAnsi" w:eastAsiaTheme="minorEastAsia" w:hAnsiTheme="minorHAnsi" w:cstheme="minorBidi"/>
            <w:kern w:val="2"/>
            <w:sz w:val="24"/>
            <w:szCs w:val="24"/>
            <w:lang w:eastAsia="en-AU"/>
            <w14:ligatures w14:val="standardContextual"/>
          </w:rPr>
          <w:tab/>
        </w:r>
        <w:r w:rsidRPr="00533B68">
          <w:t>Application for arbitration—service of answer</w:t>
        </w:r>
        <w:r>
          <w:tab/>
        </w:r>
        <w:r>
          <w:fldChar w:fldCharType="begin"/>
        </w:r>
        <w:r>
          <w:instrText xml:space="preserve"> PAGEREF _Toc185514834 \h </w:instrText>
        </w:r>
        <w:r>
          <w:fldChar w:fldCharType="separate"/>
        </w:r>
        <w:r>
          <w:t>687</w:t>
        </w:r>
        <w:r>
          <w:fldChar w:fldCharType="end"/>
        </w:r>
      </w:hyperlink>
    </w:p>
    <w:p w14:paraId="3690998D" w14:textId="0B60F8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5" w:history="1">
        <w:r w:rsidRPr="00533B68">
          <w:t>3916</w:t>
        </w:r>
        <w:r>
          <w:rPr>
            <w:rFonts w:asciiTheme="minorHAnsi" w:eastAsiaTheme="minorEastAsia" w:hAnsiTheme="minorHAnsi" w:cstheme="minorBidi"/>
            <w:kern w:val="2"/>
            <w:sz w:val="24"/>
            <w:szCs w:val="24"/>
            <w:lang w:eastAsia="en-AU"/>
            <w14:ligatures w14:val="standardContextual"/>
          </w:rPr>
          <w:tab/>
        </w:r>
        <w:r w:rsidRPr="00533B68">
          <w:t>Application for arbitration—amendment</w:t>
        </w:r>
        <w:r>
          <w:tab/>
        </w:r>
        <w:r>
          <w:fldChar w:fldCharType="begin"/>
        </w:r>
        <w:r>
          <w:instrText xml:space="preserve"> PAGEREF _Toc185514835 \h </w:instrText>
        </w:r>
        <w:r>
          <w:fldChar w:fldCharType="separate"/>
        </w:r>
        <w:r>
          <w:t>687</w:t>
        </w:r>
        <w:r>
          <w:fldChar w:fldCharType="end"/>
        </w:r>
      </w:hyperlink>
    </w:p>
    <w:p w14:paraId="645F7815" w14:textId="222A45F5"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836" w:history="1">
        <w:r w:rsidRPr="00533B68">
          <w:t>3917</w:t>
        </w:r>
        <w:r>
          <w:rPr>
            <w:rFonts w:asciiTheme="minorHAnsi" w:eastAsiaTheme="minorEastAsia" w:hAnsiTheme="minorHAnsi" w:cstheme="minorBidi"/>
            <w:kern w:val="2"/>
            <w:sz w:val="24"/>
            <w:szCs w:val="24"/>
            <w:lang w:eastAsia="en-AU"/>
            <w14:ligatures w14:val="standardContextual"/>
          </w:rPr>
          <w:tab/>
        </w:r>
        <w:r w:rsidRPr="00533B68">
          <w:t>Application for arbitration—minor amendment or amendment by consent</w:t>
        </w:r>
        <w:r>
          <w:tab/>
        </w:r>
        <w:r>
          <w:fldChar w:fldCharType="begin"/>
        </w:r>
        <w:r>
          <w:instrText xml:space="preserve"> PAGEREF _Toc185514836 \h </w:instrText>
        </w:r>
        <w:r>
          <w:fldChar w:fldCharType="separate"/>
        </w:r>
        <w:r>
          <w:t>688</w:t>
        </w:r>
        <w:r>
          <w:fldChar w:fldCharType="end"/>
        </w:r>
      </w:hyperlink>
    </w:p>
    <w:p w14:paraId="3D8EB0DE" w14:textId="4ACA7A5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7" w:history="1">
        <w:r w:rsidRPr="00533B68">
          <w:t>3918</w:t>
        </w:r>
        <w:r>
          <w:rPr>
            <w:rFonts w:asciiTheme="minorHAnsi" w:eastAsiaTheme="minorEastAsia" w:hAnsiTheme="minorHAnsi" w:cstheme="minorBidi"/>
            <w:kern w:val="2"/>
            <w:sz w:val="24"/>
            <w:szCs w:val="24"/>
            <w:lang w:eastAsia="en-AU"/>
            <w14:ligatures w14:val="standardContextual"/>
          </w:rPr>
          <w:tab/>
        </w:r>
        <w:r w:rsidRPr="00533B68">
          <w:t>Application for arbitration—discontinuance</w:t>
        </w:r>
        <w:r>
          <w:tab/>
        </w:r>
        <w:r>
          <w:fldChar w:fldCharType="begin"/>
        </w:r>
        <w:r>
          <w:instrText xml:space="preserve"> PAGEREF _Toc185514837 \h </w:instrText>
        </w:r>
        <w:r>
          <w:fldChar w:fldCharType="separate"/>
        </w:r>
        <w:r>
          <w:t>689</w:t>
        </w:r>
        <w:r>
          <w:fldChar w:fldCharType="end"/>
        </w:r>
      </w:hyperlink>
    </w:p>
    <w:p w14:paraId="26241C6D" w14:textId="1BE451D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38" w:history="1">
        <w:r w:rsidR="00AC5392" w:rsidRPr="00533B68">
          <w:t>Division 3.13.3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compensation—parties for arbitration</w:t>
        </w:r>
        <w:r w:rsidR="00AC5392" w:rsidRPr="00AC5392">
          <w:rPr>
            <w:vanish/>
          </w:rPr>
          <w:tab/>
        </w:r>
        <w:r w:rsidR="00AC5392" w:rsidRPr="00AC5392">
          <w:rPr>
            <w:vanish/>
          </w:rPr>
          <w:fldChar w:fldCharType="begin"/>
        </w:r>
        <w:r w:rsidR="00AC5392" w:rsidRPr="00AC5392">
          <w:rPr>
            <w:vanish/>
          </w:rPr>
          <w:instrText xml:space="preserve"> PAGEREF _Toc185514838 \h </w:instrText>
        </w:r>
        <w:r w:rsidR="00AC5392" w:rsidRPr="00AC5392">
          <w:rPr>
            <w:vanish/>
          </w:rPr>
        </w:r>
        <w:r w:rsidR="00AC5392" w:rsidRPr="00AC5392">
          <w:rPr>
            <w:vanish/>
          </w:rPr>
          <w:fldChar w:fldCharType="separate"/>
        </w:r>
        <w:r w:rsidR="00AC5392" w:rsidRPr="00AC5392">
          <w:rPr>
            <w:vanish/>
          </w:rPr>
          <w:t>690</w:t>
        </w:r>
        <w:r w:rsidR="00AC5392" w:rsidRPr="00AC5392">
          <w:rPr>
            <w:vanish/>
          </w:rPr>
          <w:fldChar w:fldCharType="end"/>
        </w:r>
      </w:hyperlink>
    </w:p>
    <w:p w14:paraId="52634B07" w14:textId="54C4D1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39" w:history="1">
        <w:r w:rsidRPr="00533B68">
          <w:t>3919</w:t>
        </w:r>
        <w:r>
          <w:rPr>
            <w:rFonts w:asciiTheme="minorHAnsi" w:eastAsiaTheme="minorEastAsia" w:hAnsiTheme="minorHAnsi" w:cstheme="minorBidi"/>
            <w:kern w:val="2"/>
            <w:sz w:val="24"/>
            <w:szCs w:val="24"/>
            <w:lang w:eastAsia="en-AU"/>
            <w14:ligatures w14:val="standardContextual"/>
          </w:rPr>
          <w:tab/>
        </w:r>
        <w:r w:rsidRPr="00533B68">
          <w:t>Arbitration—necessary parties</w:t>
        </w:r>
        <w:r>
          <w:tab/>
        </w:r>
        <w:r>
          <w:fldChar w:fldCharType="begin"/>
        </w:r>
        <w:r>
          <w:instrText xml:space="preserve"> PAGEREF _Toc185514839 \h </w:instrText>
        </w:r>
        <w:r>
          <w:fldChar w:fldCharType="separate"/>
        </w:r>
        <w:r>
          <w:t>690</w:t>
        </w:r>
        <w:r>
          <w:fldChar w:fldCharType="end"/>
        </w:r>
      </w:hyperlink>
    </w:p>
    <w:p w14:paraId="464225AF" w14:textId="1D9E1B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0" w:history="1">
        <w:r w:rsidRPr="00533B68">
          <w:t>3919A</w:t>
        </w:r>
        <w:r>
          <w:rPr>
            <w:rFonts w:asciiTheme="minorHAnsi" w:eastAsiaTheme="minorEastAsia" w:hAnsiTheme="minorHAnsi" w:cstheme="minorBidi"/>
            <w:kern w:val="2"/>
            <w:sz w:val="24"/>
            <w:szCs w:val="24"/>
            <w:lang w:eastAsia="en-AU"/>
            <w14:ligatures w14:val="standardContextual"/>
          </w:rPr>
          <w:tab/>
        </w:r>
        <w:r w:rsidRPr="00533B68">
          <w:t>Arbitration—determination of Territory or State of connection</w:t>
        </w:r>
        <w:r>
          <w:tab/>
        </w:r>
        <w:r>
          <w:fldChar w:fldCharType="begin"/>
        </w:r>
        <w:r>
          <w:instrText xml:space="preserve"> PAGEREF _Toc185514840 \h </w:instrText>
        </w:r>
        <w:r>
          <w:fldChar w:fldCharType="separate"/>
        </w:r>
        <w:r>
          <w:t>690</w:t>
        </w:r>
        <w:r>
          <w:fldChar w:fldCharType="end"/>
        </w:r>
      </w:hyperlink>
    </w:p>
    <w:p w14:paraId="72AC71C1" w14:textId="558209F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1" w:history="1">
        <w:r w:rsidRPr="00533B68">
          <w:t>3920</w:t>
        </w:r>
        <w:r>
          <w:rPr>
            <w:rFonts w:asciiTheme="minorHAnsi" w:eastAsiaTheme="minorEastAsia" w:hAnsiTheme="minorHAnsi" w:cstheme="minorBidi"/>
            <w:kern w:val="2"/>
            <w:sz w:val="24"/>
            <w:szCs w:val="24"/>
            <w:lang w:eastAsia="en-AU"/>
            <w14:ligatures w14:val="standardContextual"/>
          </w:rPr>
          <w:tab/>
        </w:r>
        <w:r w:rsidRPr="00533B68">
          <w:t>Arbitration—including other parties</w:t>
        </w:r>
        <w:r>
          <w:tab/>
        </w:r>
        <w:r>
          <w:fldChar w:fldCharType="begin"/>
        </w:r>
        <w:r>
          <w:instrText xml:space="preserve"> PAGEREF _Toc185514841 \h </w:instrText>
        </w:r>
        <w:r>
          <w:fldChar w:fldCharType="separate"/>
        </w:r>
        <w:r>
          <w:t>691</w:t>
        </w:r>
        <w:r>
          <w:fldChar w:fldCharType="end"/>
        </w:r>
      </w:hyperlink>
    </w:p>
    <w:p w14:paraId="5C94E861" w14:textId="78C4FC9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2" w:history="1">
        <w:r w:rsidRPr="00533B68">
          <w:t>3921</w:t>
        </w:r>
        <w:r>
          <w:rPr>
            <w:rFonts w:asciiTheme="minorHAnsi" w:eastAsiaTheme="minorEastAsia" w:hAnsiTheme="minorHAnsi" w:cstheme="minorBidi"/>
            <w:kern w:val="2"/>
            <w:sz w:val="24"/>
            <w:szCs w:val="24"/>
            <w:lang w:eastAsia="en-AU"/>
            <w14:ligatures w14:val="standardContextual"/>
          </w:rPr>
          <w:tab/>
        </w:r>
        <w:r w:rsidRPr="00533B68">
          <w:t>Arbitration—person may apply to be included as party</w:t>
        </w:r>
        <w:r>
          <w:tab/>
        </w:r>
        <w:r>
          <w:fldChar w:fldCharType="begin"/>
        </w:r>
        <w:r>
          <w:instrText xml:space="preserve"> PAGEREF _Toc185514842 \h </w:instrText>
        </w:r>
        <w:r>
          <w:fldChar w:fldCharType="separate"/>
        </w:r>
        <w:r>
          <w:t>692</w:t>
        </w:r>
        <w:r>
          <w:fldChar w:fldCharType="end"/>
        </w:r>
      </w:hyperlink>
    </w:p>
    <w:p w14:paraId="57A3C766" w14:textId="381AAE4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3" w:history="1">
        <w:r w:rsidRPr="00533B68">
          <w:t>3922</w:t>
        </w:r>
        <w:r>
          <w:rPr>
            <w:rFonts w:asciiTheme="minorHAnsi" w:eastAsiaTheme="minorEastAsia" w:hAnsiTheme="minorHAnsi" w:cstheme="minorBidi"/>
            <w:kern w:val="2"/>
            <w:sz w:val="24"/>
            <w:szCs w:val="24"/>
            <w:lang w:eastAsia="en-AU"/>
            <w14:ligatures w14:val="standardContextual"/>
          </w:rPr>
          <w:tab/>
        </w:r>
        <w:r w:rsidRPr="00533B68">
          <w:t>Arbitration—party may apply to be removed as party</w:t>
        </w:r>
        <w:r>
          <w:tab/>
        </w:r>
        <w:r>
          <w:fldChar w:fldCharType="begin"/>
        </w:r>
        <w:r>
          <w:instrText xml:space="preserve"> PAGEREF _Toc185514843 \h </w:instrText>
        </w:r>
        <w:r>
          <w:fldChar w:fldCharType="separate"/>
        </w:r>
        <w:r>
          <w:t>692</w:t>
        </w:r>
        <w:r>
          <w:fldChar w:fldCharType="end"/>
        </w:r>
      </w:hyperlink>
    </w:p>
    <w:p w14:paraId="41257F0D" w14:textId="729CC50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4" w:history="1">
        <w:r w:rsidRPr="00533B68">
          <w:t>3923</w:t>
        </w:r>
        <w:r>
          <w:rPr>
            <w:rFonts w:asciiTheme="minorHAnsi" w:eastAsiaTheme="minorEastAsia" w:hAnsiTheme="minorHAnsi" w:cstheme="minorBidi"/>
            <w:kern w:val="2"/>
            <w:sz w:val="24"/>
            <w:szCs w:val="24"/>
            <w:lang w:eastAsia="en-AU"/>
            <w14:ligatures w14:val="standardContextual"/>
          </w:rPr>
          <w:tab/>
        </w:r>
        <w:r w:rsidRPr="00533B68">
          <w:t>Arbitration—employer not respondent in certain applications by dependant or personal representative</w:t>
        </w:r>
        <w:r>
          <w:tab/>
        </w:r>
        <w:r>
          <w:fldChar w:fldCharType="begin"/>
        </w:r>
        <w:r>
          <w:instrText xml:space="preserve"> PAGEREF _Toc185514844 \h </w:instrText>
        </w:r>
        <w:r>
          <w:fldChar w:fldCharType="separate"/>
        </w:r>
        <w:r>
          <w:t>692</w:t>
        </w:r>
        <w:r>
          <w:fldChar w:fldCharType="end"/>
        </w:r>
      </w:hyperlink>
    </w:p>
    <w:p w14:paraId="5687FE3F" w14:textId="32A7BBE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45" w:history="1">
        <w:r w:rsidR="00AC5392" w:rsidRPr="00533B68">
          <w:t>Division 3.13.4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compensation—representation in arbitrations</w:t>
        </w:r>
        <w:r w:rsidR="00AC5392" w:rsidRPr="00AC5392">
          <w:rPr>
            <w:vanish/>
          </w:rPr>
          <w:tab/>
        </w:r>
        <w:r w:rsidR="00AC5392" w:rsidRPr="00AC5392">
          <w:rPr>
            <w:vanish/>
          </w:rPr>
          <w:fldChar w:fldCharType="begin"/>
        </w:r>
        <w:r w:rsidR="00AC5392" w:rsidRPr="00AC5392">
          <w:rPr>
            <w:vanish/>
          </w:rPr>
          <w:instrText xml:space="preserve"> PAGEREF _Toc185514845 \h </w:instrText>
        </w:r>
        <w:r w:rsidR="00AC5392" w:rsidRPr="00AC5392">
          <w:rPr>
            <w:vanish/>
          </w:rPr>
        </w:r>
        <w:r w:rsidR="00AC5392" w:rsidRPr="00AC5392">
          <w:rPr>
            <w:vanish/>
          </w:rPr>
          <w:fldChar w:fldCharType="separate"/>
        </w:r>
        <w:r w:rsidR="00AC5392" w:rsidRPr="00AC5392">
          <w:rPr>
            <w:vanish/>
          </w:rPr>
          <w:t>693</w:t>
        </w:r>
        <w:r w:rsidR="00AC5392" w:rsidRPr="00AC5392">
          <w:rPr>
            <w:vanish/>
          </w:rPr>
          <w:fldChar w:fldCharType="end"/>
        </w:r>
      </w:hyperlink>
    </w:p>
    <w:p w14:paraId="3A319FA3" w14:textId="033F01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6" w:history="1">
        <w:r w:rsidRPr="00533B68">
          <w:t>3924</w:t>
        </w:r>
        <w:r>
          <w:rPr>
            <w:rFonts w:asciiTheme="minorHAnsi" w:eastAsiaTheme="minorEastAsia" w:hAnsiTheme="minorHAnsi" w:cstheme="minorBidi"/>
            <w:kern w:val="2"/>
            <w:sz w:val="24"/>
            <w:szCs w:val="24"/>
            <w:lang w:eastAsia="en-AU"/>
            <w14:ligatures w14:val="standardContextual"/>
          </w:rPr>
          <w:tab/>
        </w:r>
        <w:r w:rsidRPr="00533B68">
          <w:rPr>
            <w:lang w:val="en-US"/>
          </w:rPr>
          <w:t>Arbitration—party may be represented</w:t>
        </w:r>
        <w:r>
          <w:tab/>
        </w:r>
        <w:r>
          <w:fldChar w:fldCharType="begin"/>
        </w:r>
        <w:r>
          <w:instrText xml:space="preserve"> PAGEREF _Toc185514846 \h </w:instrText>
        </w:r>
        <w:r>
          <w:fldChar w:fldCharType="separate"/>
        </w:r>
        <w:r>
          <w:t>693</w:t>
        </w:r>
        <w:r>
          <w:fldChar w:fldCharType="end"/>
        </w:r>
      </w:hyperlink>
    </w:p>
    <w:p w14:paraId="1CC60782" w14:textId="232A27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7" w:history="1">
        <w:r w:rsidRPr="00533B68">
          <w:t>3925</w:t>
        </w:r>
        <w:r>
          <w:rPr>
            <w:rFonts w:asciiTheme="minorHAnsi" w:eastAsiaTheme="minorEastAsia" w:hAnsiTheme="minorHAnsi" w:cstheme="minorBidi"/>
            <w:kern w:val="2"/>
            <w:sz w:val="24"/>
            <w:szCs w:val="24"/>
            <w:lang w:eastAsia="en-AU"/>
            <w14:ligatures w14:val="standardContextual"/>
          </w:rPr>
          <w:tab/>
        </w:r>
        <w:r w:rsidRPr="00533B68">
          <w:t>Arbitration—separate representation of employer for insurer’s period on risk</w:t>
        </w:r>
        <w:r>
          <w:tab/>
        </w:r>
        <w:r>
          <w:fldChar w:fldCharType="begin"/>
        </w:r>
        <w:r>
          <w:instrText xml:space="preserve"> PAGEREF _Toc185514847 \h </w:instrText>
        </w:r>
        <w:r>
          <w:fldChar w:fldCharType="separate"/>
        </w:r>
        <w:r>
          <w:t>694</w:t>
        </w:r>
        <w:r>
          <w:fldChar w:fldCharType="end"/>
        </w:r>
      </w:hyperlink>
    </w:p>
    <w:p w14:paraId="741AD127" w14:textId="1E30DA5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48" w:history="1">
        <w:r w:rsidR="00AC5392" w:rsidRPr="00533B68">
          <w:t>Division 3.13.6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compensation—medical reports for arbitrations</w:t>
        </w:r>
        <w:r w:rsidR="00AC5392" w:rsidRPr="00AC5392">
          <w:rPr>
            <w:vanish/>
          </w:rPr>
          <w:tab/>
        </w:r>
        <w:r w:rsidR="00AC5392" w:rsidRPr="00AC5392">
          <w:rPr>
            <w:vanish/>
          </w:rPr>
          <w:fldChar w:fldCharType="begin"/>
        </w:r>
        <w:r w:rsidR="00AC5392" w:rsidRPr="00AC5392">
          <w:rPr>
            <w:vanish/>
          </w:rPr>
          <w:instrText xml:space="preserve"> PAGEREF _Toc185514848 \h </w:instrText>
        </w:r>
        <w:r w:rsidR="00AC5392" w:rsidRPr="00AC5392">
          <w:rPr>
            <w:vanish/>
          </w:rPr>
        </w:r>
        <w:r w:rsidR="00AC5392" w:rsidRPr="00AC5392">
          <w:rPr>
            <w:vanish/>
          </w:rPr>
          <w:fldChar w:fldCharType="separate"/>
        </w:r>
        <w:r w:rsidR="00AC5392" w:rsidRPr="00AC5392">
          <w:rPr>
            <w:vanish/>
          </w:rPr>
          <w:t>694</w:t>
        </w:r>
        <w:r w:rsidR="00AC5392" w:rsidRPr="00AC5392">
          <w:rPr>
            <w:vanish/>
          </w:rPr>
          <w:fldChar w:fldCharType="end"/>
        </w:r>
      </w:hyperlink>
    </w:p>
    <w:p w14:paraId="43D6B795" w14:textId="2347BC8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49" w:history="1">
        <w:r w:rsidRPr="00533B68">
          <w:t>3928</w:t>
        </w:r>
        <w:r>
          <w:rPr>
            <w:rFonts w:asciiTheme="minorHAnsi" w:eastAsiaTheme="minorEastAsia" w:hAnsiTheme="minorHAnsi" w:cstheme="minorBidi"/>
            <w:kern w:val="2"/>
            <w:sz w:val="24"/>
            <w:szCs w:val="24"/>
            <w:lang w:eastAsia="en-AU"/>
            <w14:ligatures w14:val="standardContextual"/>
          </w:rPr>
          <w:tab/>
        </w:r>
        <w:r w:rsidRPr="00533B68">
          <w:t>Arbitration—service of medical reports</w:t>
        </w:r>
        <w:r>
          <w:tab/>
        </w:r>
        <w:r>
          <w:fldChar w:fldCharType="begin"/>
        </w:r>
        <w:r>
          <w:instrText xml:space="preserve"> PAGEREF _Toc185514849 \h </w:instrText>
        </w:r>
        <w:r>
          <w:fldChar w:fldCharType="separate"/>
        </w:r>
        <w:r>
          <w:t>694</w:t>
        </w:r>
        <w:r>
          <w:fldChar w:fldCharType="end"/>
        </w:r>
      </w:hyperlink>
    </w:p>
    <w:p w14:paraId="1F4DB70F" w14:textId="12193C5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0" w:history="1">
        <w:r w:rsidRPr="00533B68">
          <w:t>3929</w:t>
        </w:r>
        <w:r>
          <w:rPr>
            <w:rFonts w:asciiTheme="minorHAnsi" w:eastAsiaTheme="minorEastAsia" w:hAnsiTheme="minorHAnsi" w:cstheme="minorBidi"/>
            <w:kern w:val="2"/>
            <w:sz w:val="24"/>
            <w:szCs w:val="24"/>
            <w:lang w:eastAsia="en-AU"/>
            <w14:ligatures w14:val="standardContextual"/>
          </w:rPr>
          <w:tab/>
        </w:r>
        <w:r w:rsidRPr="00533B68">
          <w:t>Arbitration—supplementary medical reports</w:t>
        </w:r>
        <w:r>
          <w:tab/>
        </w:r>
        <w:r>
          <w:fldChar w:fldCharType="begin"/>
        </w:r>
        <w:r>
          <w:instrText xml:space="preserve"> PAGEREF _Toc185514850 \h </w:instrText>
        </w:r>
        <w:r>
          <w:fldChar w:fldCharType="separate"/>
        </w:r>
        <w:r>
          <w:t>695</w:t>
        </w:r>
        <w:r>
          <w:fldChar w:fldCharType="end"/>
        </w:r>
      </w:hyperlink>
    </w:p>
    <w:p w14:paraId="03746B75" w14:textId="6D2CF4F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1" w:history="1">
        <w:r w:rsidRPr="00533B68">
          <w:t>3930</w:t>
        </w:r>
        <w:r>
          <w:rPr>
            <w:rFonts w:asciiTheme="minorHAnsi" w:eastAsiaTheme="minorEastAsia" w:hAnsiTheme="minorHAnsi" w:cstheme="minorBidi"/>
            <w:kern w:val="2"/>
            <w:sz w:val="24"/>
            <w:szCs w:val="24"/>
            <w:lang w:eastAsia="en-AU"/>
            <w14:ligatures w14:val="standardContextual"/>
          </w:rPr>
          <w:tab/>
        </w:r>
        <w:r w:rsidRPr="00533B68">
          <w:t>Arbitration—doctor’s evidence to be covered by medical report</w:t>
        </w:r>
        <w:r>
          <w:tab/>
        </w:r>
        <w:r>
          <w:fldChar w:fldCharType="begin"/>
        </w:r>
        <w:r>
          <w:instrText xml:space="preserve"> PAGEREF _Toc185514851 \h </w:instrText>
        </w:r>
        <w:r>
          <w:fldChar w:fldCharType="separate"/>
        </w:r>
        <w:r>
          <w:t>696</w:t>
        </w:r>
        <w:r>
          <w:fldChar w:fldCharType="end"/>
        </w:r>
      </w:hyperlink>
    </w:p>
    <w:p w14:paraId="244B130A" w14:textId="70BF021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2" w:history="1">
        <w:r w:rsidRPr="00533B68">
          <w:t>3931</w:t>
        </w:r>
        <w:r>
          <w:rPr>
            <w:rFonts w:asciiTheme="minorHAnsi" w:eastAsiaTheme="minorEastAsia" w:hAnsiTheme="minorHAnsi" w:cstheme="minorBidi"/>
            <w:kern w:val="2"/>
            <w:sz w:val="24"/>
            <w:szCs w:val="24"/>
            <w:lang w:eastAsia="en-AU"/>
            <w14:ligatures w14:val="standardContextual"/>
          </w:rPr>
          <w:tab/>
        </w:r>
        <w:r w:rsidRPr="00533B68">
          <w:t>Arbitration—medical reports admissible as evidence of opinion etc</w:t>
        </w:r>
        <w:r>
          <w:tab/>
        </w:r>
        <w:r>
          <w:fldChar w:fldCharType="begin"/>
        </w:r>
        <w:r>
          <w:instrText xml:space="preserve"> PAGEREF _Toc185514852 \h </w:instrText>
        </w:r>
        <w:r>
          <w:fldChar w:fldCharType="separate"/>
        </w:r>
        <w:r>
          <w:t>696</w:t>
        </w:r>
        <w:r>
          <w:fldChar w:fldCharType="end"/>
        </w:r>
      </w:hyperlink>
    </w:p>
    <w:p w14:paraId="6F262E90" w14:textId="6ABF52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3" w:history="1">
        <w:r w:rsidRPr="00533B68">
          <w:t>3932</w:t>
        </w:r>
        <w:r>
          <w:rPr>
            <w:rFonts w:asciiTheme="minorHAnsi" w:eastAsiaTheme="minorEastAsia" w:hAnsiTheme="minorHAnsi" w:cstheme="minorBidi"/>
            <w:kern w:val="2"/>
            <w:sz w:val="24"/>
            <w:szCs w:val="24"/>
            <w:lang w:eastAsia="en-AU"/>
            <w14:ligatures w14:val="standardContextual"/>
          </w:rPr>
          <w:tab/>
        </w:r>
        <w:r w:rsidRPr="00533B68">
          <w:t>Arbitration—requiring attendance of doctor for cross-examination etc</w:t>
        </w:r>
        <w:r>
          <w:tab/>
        </w:r>
        <w:r>
          <w:fldChar w:fldCharType="begin"/>
        </w:r>
        <w:r>
          <w:instrText xml:space="preserve"> PAGEREF _Toc185514853 \h </w:instrText>
        </w:r>
        <w:r>
          <w:fldChar w:fldCharType="separate"/>
        </w:r>
        <w:r>
          <w:t>696</w:t>
        </w:r>
        <w:r>
          <w:fldChar w:fldCharType="end"/>
        </w:r>
      </w:hyperlink>
    </w:p>
    <w:p w14:paraId="26D5328A" w14:textId="48BC34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4" w:history="1">
        <w:r w:rsidRPr="00533B68">
          <w:t>3933</w:t>
        </w:r>
        <w:r>
          <w:rPr>
            <w:rFonts w:asciiTheme="minorHAnsi" w:eastAsiaTheme="minorEastAsia" w:hAnsiTheme="minorHAnsi" w:cstheme="minorBidi"/>
            <w:kern w:val="2"/>
            <w:sz w:val="24"/>
            <w:szCs w:val="24"/>
            <w:lang w:eastAsia="en-AU"/>
            <w14:ligatures w14:val="standardContextual"/>
          </w:rPr>
          <w:tab/>
        </w:r>
        <w:r w:rsidRPr="00533B68">
          <w:t>Arbitration—tender of medical report</w:t>
        </w:r>
        <w:r>
          <w:tab/>
        </w:r>
        <w:r>
          <w:fldChar w:fldCharType="begin"/>
        </w:r>
        <w:r>
          <w:instrText xml:space="preserve"> PAGEREF _Toc185514854 \h </w:instrText>
        </w:r>
        <w:r>
          <w:fldChar w:fldCharType="separate"/>
        </w:r>
        <w:r>
          <w:t>697</w:t>
        </w:r>
        <w:r>
          <w:fldChar w:fldCharType="end"/>
        </w:r>
      </w:hyperlink>
    </w:p>
    <w:p w14:paraId="5C00A515" w14:textId="6201AC4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55" w:history="1">
        <w:r w:rsidR="00AC5392" w:rsidRPr="00533B68">
          <w:t>Division 3.13.7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compensation—medical referees for arbitrations</w:t>
        </w:r>
        <w:r w:rsidR="00AC5392" w:rsidRPr="00AC5392">
          <w:rPr>
            <w:vanish/>
          </w:rPr>
          <w:tab/>
        </w:r>
        <w:r w:rsidR="00AC5392" w:rsidRPr="00AC5392">
          <w:rPr>
            <w:vanish/>
          </w:rPr>
          <w:fldChar w:fldCharType="begin"/>
        </w:r>
        <w:r w:rsidR="00AC5392" w:rsidRPr="00AC5392">
          <w:rPr>
            <w:vanish/>
          </w:rPr>
          <w:instrText xml:space="preserve"> PAGEREF _Toc185514855 \h </w:instrText>
        </w:r>
        <w:r w:rsidR="00AC5392" w:rsidRPr="00AC5392">
          <w:rPr>
            <w:vanish/>
          </w:rPr>
        </w:r>
        <w:r w:rsidR="00AC5392" w:rsidRPr="00AC5392">
          <w:rPr>
            <w:vanish/>
          </w:rPr>
          <w:fldChar w:fldCharType="separate"/>
        </w:r>
        <w:r w:rsidR="00AC5392" w:rsidRPr="00AC5392">
          <w:rPr>
            <w:vanish/>
          </w:rPr>
          <w:t>697</w:t>
        </w:r>
        <w:r w:rsidR="00AC5392" w:rsidRPr="00AC5392">
          <w:rPr>
            <w:vanish/>
          </w:rPr>
          <w:fldChar w:fldCharType="end"/>
        </w:r>
      </w:hyperlink>
    </w:p>
    <w:p w14:paraId="1FCA0560" w14:textId="7742D2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6" w:history="1">
        <w:r w:rsidRPr="00533B68">
          <w:t>3934</w:t>
        </w:r>
        <w:r>
          <w:rPr>
            <w:rFonts w:asciiTheme="minorHAnsi" w:eastAsiaTheme="minorEastAsia" w:hAnsiTheme="minorHAnsi" w:cstheme="minorBidi"/>
            <w:kern w:val="2"/>
            <w:sz w:val="24"/>
            <w:szCs w:val="24"/>
            <w:lang w:eastAsia="en-AU"/>
            <w14:ligatures w14:val="standardContextual"/>
          </w:rPr>
          <w:tab/>
        </w:r>
        <w:r w:rsidRPr="00533B68">
          <w:rPr>
            <w:lang w:val="en-US"/>
          </w:rPr>
          <w:t>Arbitration—party may apply for medical referee etc</w:t>
        </w:r>
        <w:r>
          <w:tab/>
        </w:r>
        <w:r>
          <w:fldChar w:fldCharType="begin"/>
        </w:r>
        <w:r>
          <w:instrText xml:space="preserve"> PAGEREF _Toc185514856 \h </w:instrText>
        </w:r>
        <w:r>
          <w:fldChar w:fldCharType="separate"/>
        </w:r>
        <w:r>
          <w:t>697</w:t>
        </w:r>
        <w:r>
          <w:fldChar w:fldCharType="end"/>
        </w:r>
      </w:hyperlink>
    </w:p>
    <w:p w14:paraId="243CF930" w14:textId="599FAD0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7" w:history="1">
        <w:r w:rsidRPr="00533B68">
          <w:t>3935</w:t>
        </w:r>
        <w:r>
          <w:rPr>
            <w:rFonts w:asciiTheme="minorHAnsi" w:eastAsiaTheme="minorEastAsia" w:hAnsiTheme="minorHAnsi" w:cstheme="minorBidi"/>
            <w:kern w:val="2"/>
            <w:sz w:val="24"/>
            <w:szCs w:val="24"/>
            <w:lang w:eastAsia="en-AU"/>
            <w14:ligatures w14:val="standardContextual"/>
          </w:rPr>
          <w:tab/>
        </w:r>
        <w:r w:rsidRPr="00533B68">
          <w:rPr>
            <w:lang w:val="en-US"/>
          </w:rPr>
          <w:t>Arbitration—number of medical referees</w:t>
        </w:r>
        <w:r>
          <w:tab/>
        </w:r>
        <w:r>
          <w:fldChar w:fldCharType="begin"/>
        </w:r>
        <w:r>
          <w:instrText xml:space="preserve"> PAGEREF _Toc185514857 \h </w:instrText>
        </w:r>
        <w:r>
          <w:fldChar w:fldCharType="separate"/>
        </w:r>
        <w:r>
          <w:t>698</w:t>
        </w:r>
        <w:r>
          <w:fldChar w:fldCharType="end"/>
        </w:r>
      </w:hyperlink>
    </w:p>
    <w:p w14:paraId="52305A96" w14:textId="5DBD58B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8" w:history="1">
        <w:r w:rsidRPr="00533B68">
          <w:t>3936</w:t>
        </w:r>
        <w:r>
          <w:rPr>
            <w:rFonts w:asciiTheme="minorHAnsi" w:eastAsiaTheme="minorEastAsia" w:hAnsiTheme="minorHAnsi" w:cstheme="minorBidi"/>
            <w:kern w:val="2"/>
            <w:sz w:val="24"/>
            <w:szCs w:val="24"/>
            <w:lang w:eastAsia="en-AU"/>
            <w14:ligatures w14:val="standardContextual"/>
          </w:rPr>
          <w:tab/>
        </w:r>
        <w:r w:rsidRPr="00533B68">
          <w:rPr>
            <w:lang w:val="en-US"/>
          </w:rPr>
          <w:t>Arbitration—notice of request to medical referee</w:t>
        </w:r>
        <w:r>
          <w:tab/>
        </w:r>
        <w:r>
          <w:fldChar w:fldCharType="begin"/>
        </w:r>
        <w:r>
          <w:instrText xml:space="preserve"> PAGEREF _Toc185514858 \h </w:instrText>
        </w:r>
        <w:r>
          <w:fldChar w:fldCharType="separate"/>
        </w:r>
        <w:r>
          <w:t>698</w:t>
        </w:r>
        <w:r>
          <w:fldChar w:fldCharType="end"/>
        </w:r>
      </w:hyperlink>
    </w:p>
    <w:p w14:paraId="24101685" w14:textId="4401D5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59" w:history="1">
        <w:r w:rsidRPr="00533B68">
          <w:t>3937</w:t>
        </w:r>
        <w:r>
          <w:rPr>
            <w:rFonts w:asciiTheme="minorHAnsi" w:eastAsiaTheme="minorEastAsia" w:hAnsiTheme="minorHAnsi" w:cstheme="minorBidi"/>
            <w:kern w:val="2"/>
            <w:sz w:val="24"/>
            <w:szCs w:val="24"/>
            <w:lang w:eastAsia="en-AU"/>
            <w14:ligatures w14:val="standardContextual"/>
          </w:rPr>
          <w:tab/>
        </w:r>
        <w:r w:rsidRPr="00533B68">
          <w:rPr>
            <w:lang w:val="en-US"/>
          </w:rPr>
          <w:t>Arbitration—assessment of worker by medical referee</w:t>
        </w:r>
        <w:r>
          <w:tab/>
        </w:r>
        <w:r>
          <w:fldChar w:fldCharType="begin"/>
        </w:r>
        <w:r>
          <w:instrText xml:space="preserve"> PAGEREF _Toc185514859 \h </w:instrText>
        </w:r>
        <w:r>
          <w:fldChar w:fldCharType="separate"/>
        </w:r>
        <w:r>
          <w:t>698</w:t>
        </w:r>
        <w:r>
          <w:fldChar w:fldCharType="end"/>
        </w:r>
      </w:hyperlink>
    </w:p>
    <w:p w14:paraId="183CA09E" w14:textId="15667C9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0" w:history="1">
        <w:r w:rsidRPr="00533B68">
          <w:t>3938</w:t>
        </w:r>
        <w:r>
          <w:rPr>
            <w:rFonts w:asciiTheme="minorHAnsi" w:eastAsiaTheme="minorEastAsia" w:hAnsiTheme="minorHAnsi" w:cstheme="minorBidi"/>
            <w:kern w:val="2"/>
            <w:sz w:val="24"/>
            <w:szCs w:val="24"/>
            <w:lang w:eastAsia="en-AU"/>
            <w14:ligatures w14:val="standardContextual"/>
          </w:rPr>
          <w:tab/>
        </w:r>
        <w:r w:rsidRPr="00533B68">
          <w:rPr>
            <w:lang w:val="en-US"/>
          </w:rPr>
          <w:t xml:space="preserve">Arbitration—medical referee </w:t>
        </w:r>
        <w:r w:rsidRPr="00533B68">
          <w:t>to review medical evidence etc</w:t>
        </w:r>
        <w:r>
          <w:tab/>
        </w:r>
        <w:r>
          <w:fldChar w:fldCharType="begin"/>
        </w:r>
        <w:r>
          <w:instrText xml:space="preserve"> PAGEREF _Toc185514860 \h </w:instrText>
        </w:r>
        <w:r>
          <w:fldChar w:fldCharType="separate"/>
        </w:r>
        <w:r>
          <w:t>698</w:t>
        </w:r>
        <w:r>
          <w:fldChar w:fldCharType="end"/>
        </w:r>
      </w:hyperlink>
    </w:p>
    <w:p w14:paraId="68EA9EFE" w14:textId="17C752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1" w:history="1">
        <w:r w:rsidRPr="00533B68">
          <w:t>3939</w:t>
        </w:r>
        <w:r>
          <w:rPr>
            <w:rFonts w:asciiTheme="minorHAnsi" w:eastAsiaTheme="minorEastAsia" w:hAnsiTheme="minorHAnsi" w:cstheme="minorBidi"/>
            <w:kern w:val="2"/>
            <w:sz w:val="24"/>
            <w:szCs w:val="24"/>
            <w:lang w:eastAsia="en-AU"/>
            <w14:ligatures w14:val="standardContextual"/>
          </w:rPr>
          <w:tab/>
        </w:r>
        <w:r w:rsidRPr="00533B68">
          <w:rPr>
            <w:lang w:val="en-US"/>
          </w:rPr>
          <w:t xml:space="preserve">Arbitration—medical referee’s </w:t>
        </w:r>
        <w:r w:rsidRPr="00533B68">
          <w:t>report</w:t>
        </w:r>
        <w:r>
          <w:tab/>
        </w:r>
        <w:r>
          <w:fldChar w:fldCharType="begin"/>
        </w:r>
        <w:r>
          <w:instrText xml:space="preserve"> PAGEREF _Toc185514861 \h </w:instrText>
        </w:r>
        <w:r>
          <w:fldChar w:fldCharType="separate"/>
        </w:r>
        <w:r>
          <w:t>699</w:t>
        </w:r>
        <w:r>
          <w:fldChar w:fldCharType="end"/>
        </w:r>
      </w:hyperlink>
    </w:p>
    <w:p w14:paraId="0BE26F10" w14:textId="54BD6C2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2" w:history="1">
        <w:r w:rsidRPr="00533B68">
          <w:t>3940</w:t>
        </w:r>
        <w:r>
          <w:rPr>
            <w:rFonts w:asciiTheme="minorHAnsi" w:eastAsiaTheme="minorEastAsia" w:hAnsiTheme="minorHAnsi" w:cstheme="minorBidi"/>
            <w:kern w:val="2"/>
            <w:sz w:val="24"/>
            <w:szCs w:val="24"/>
            <w:lang w:eastAsia="en-AU"/>
            <w14:ligatures w14:val="standardContextual"/>
          </w:rPr>
          <w:tab/>
        </w:r>
        <w:r w:rsidRPr="00533B68">
          <w:rPr>
            <w:lang w:val="en-US"/>
          </w:rPr>
          <w:t>Arbitration—medical referee’s report to be given to parties</w:t>
        </w:r>
        <w:r>
          <w:tab/>
        </w:r>
        <w:r>
          <w:fldChar w:fldCharType="begin"/>
        </w:r>
        <w:r>
          <w:instrText xml:space="preserve"> PAGEREF _Toc185514862 \h </w:instrText>
        </w:r>
        <w:r>
          <w:fldChar w:fldCharType="separate"/>
        </w:r>
        <w:r>
          <w:t>700</w:t>
        </w:r>
        <w:r>
          <w:fldChar w:fldCharType="end"/>
        </w:r>
      </w:hyperlink>
    </w:p>
    <w:p w14:paraId="08CB64CD" w14:textId="01EC0CE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3" w:history="1">
        <w:r w:rsidRPr="00533B68">
          <w:t>3941</w:t>
        </w:r>
        <w:r>
          <w:rPr>
            <w:rFonts w:asciiTheme="minorHAnsi" w:eastAsiaTheme="minorEastAsia" w:hAnsiTheme="minorHAnsi" w:cstheme="minorBidi"/>
            <w:kern w:val="2"/>
            <w:sz w:val="24"/>
            <w:szCs w:val="24"/>
            <w:lang w:eastAsia="en-AU"/>
            <w14:ligatures w14:val="standardContextual"/>
          </w:rPr>
          <w:tab/>
        </w:r>
        <w:r w:rsidRPr="00533B68">
          <w:rPr>
            <w:lang w:val="en-US"/>
          </w:rPr>
          <w:t>Arbitration—court may decide claim without medical referee report</w:t>
        </w:r>
        <w:r>
          <w:tab/>
        </w:r>
        <w:r>
          <w:fldChar w:fldCharType="begin"/>
        </w:r>
        <w:r>
          <w:instrText xml:space="preserve"> PAGEREF _Toc185514863 \h </w:instrText>
        </w:r>
        <w:r>
          <w:fldChar w:fldCharType="separate"/>
        </w:r>
        <w:r>
          <w:t>700</w:t>
        </w:r>
        <w:r>
          <w:fldChar w:fldCharType="end"/>
        </w:r>
      </w:hyperlink>
    </w:p>
    <w:p w14:paraId="7DE6B17C" w14:textId="15AA8B5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64" w:history="1">
        <w:r w:rsidR="00AC5392" w:rsidRPr="00533B68">
          <w:t>Division 3.13.8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compensation—dispute resolution conference for arbitration</w:t>
        </w:r>
        <w:r w:rsidR="00AC5392" w:rsidRPr="00AC5392">
          <w:rPr>
            <w:vanish/>
          </w:rPr>
          <w:tab/>
        </w:r>
        <w:r w:rsidR="00AC5392" w:rsidRPr="00AC5392">
          <w:rPr>
            <w:vanish/>
          </w:rPr>
          <w:fldChar w:fldCharType="begin"/>
        </w:r>
        <w:r w:rsidR="00AC5392" w:rsidRPr="00AC5392">
          <w:rPr>
            <w:vanish/>
          </w:rPr>
          <w:instrText xml:space="preserve"> PAGEREF _Toc185514864 \h </w:instrText>
        </w:r>
        <w:r w:rsidR="00AC5392" w:rsidRPr="00AC5392">
          <w:rPr>
            <w:vanish/>
          </w:rPr>
        </w:r>
        <w:r w:rsidR="00AC5392" w:rsidRPr="00AC5392">
          <w:rPr>
            <w:vanish/>
          </w:rPr>
          <w:fldChar w:fldCharType="separate"/>
        </w:r>
        <w:r w:rsidR="00AC5392" w:rsidRPr="00AC5392">
          <w:rPr>
            <w:vanish/>
          </w:rPr>
          <w:t>700</w:t>
        </w:r>
        <w:r w:rsidR="00AC5392" w:rsidRPr="00AC5392">
          <w:rPr>
            <w:vanish/>
          </w:rPr>
          <w:fldChar w:fldCharType="end"/>
        </w:r>
      </w:hyperlink>
    </w:p>
    <w:p w14:paraId="1633D7E9" w14:textId="57B8053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5" w:history="1">
        <w:r w:rsidRPr="00533B68">
          <w:t>3942</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dispute resolution conference</w:t>
        </w:r>
        <w:r w:rsidRPr="00533B68">
          <w:t>—div 3.13.8</w:t>
        </w:r>
        <w:r>
          <w:tab/>
        </w:r>
        <w:r>
          <w:fldChar w:fldCharType="begin"/>
        </w:r>
        <w:r>
          <w:instrText xml:space="preserve"> PAGEREF _Toc185514865 \h </w:instrText>
        </w:r>
        <w:r>
          <w:fldChar w:fldCharType="separate"/>
        </w:r>
        <w:r>
          <w:t>700</w:t>
        </w:r>
        <w:r>
          <w:fldChar w:fldCharType="end"/>
        </w:r>
      </w:hyperlink>
    </w:p>
    <w:p w14:paraId="5DEED4D8" w14:textId="49ACB5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6" w:history="1">
        <w:r w:rsidRPr="00533B68">
          <w:t>3943</w:t>
        </w:r>
        <w:r>
          <w:rPr>
            <w:rFonts w:asciiTheme="minorHAnsi" w:eastAsiaTheme="minorEastAsia" w:hAnsiTheme="minorHAnsi" w:cstheme="minorBidi"/>
            <w:kern w:val="2"/>
            <w:sz w:val="24"/>
            <w:szCs w:val="24"/>
            <w:lang w:eastAsia="en-AU"/>
            <w14:ligatures w14:val="standardContextual"/>
          </w:rPr>
          <w:tab/>
        </w:r>
        <w:r w:rsidRPr="00533B68">
          <w:t>Dispute resolution conference—purpose</w:t>
        </w:r>
        <w:r>
          <w:tab/>
        </w:r>
        <w:r>
          <w:fldChar w:fldCharType="begin"/>
        </w:r>
        <w:r>
          <w:instrText xml:space="preserve"> PAGEREF _Toc185514866 \h </w:instrText>
        </w:r>
        <w:r>
          <w:fldChar w:fldCharType="separate"/>
        </w:r>
        <w:r>
          <w:t>700</w:t>
        </w:r>
        <w:r>
          <w:fldChar w:fldCharType="end"/>
        </w:r>
      </w:hyperlink>
    </w:p>
    <w:p w14:paraId="2E683C16" w14:textId="01C7210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7" w:history="1">
        <w:r w:rsidRPr="00533B68">
          <w:t>3944</w:t>
        </w:r>
        <w:r>
          <w:rPr>
            <w:rFonts w:asciiTheme="minorHAnsi" w:eastAsiaTheme="minorEastAsia" w:hAnsiTheme="minorHAnsi" w:cstheme="minorBidi"/>
            <w:kern w:val="2"/>
            <w:sz w:val="24"/>
            <w:szCs w:val="24"/>
            <w:lang w:eastAsia="en-AU"/>
            <w14:ligatures w14:val="standardContextual"/>
          </w:rPr>
          <w:tab/>
        </w:r>
        <w:r w:rsidRPr="00533B68">
          <w:t>Conciliator for dispute resolution conference—div 3.13.8</w:t>
        </w:r>
        <w:r>
          <w:tab/>
        </w:r>
        <w:r>
          <w:fldChar w:fldCharType="begin"/>
        </w:r>
        <w:r>
          <w:instrText xml:space="preserve"> PAGEREF _Toc185514867 \h </w:instrText>
        </w:r>
        <w:r>
          <w:fldChar w:fldCharType="separate"/>
        </w:r>
        <w:r>
          <w:t>701</w:t>
        </w:r>
        <w:r>
          <w:fldChar w:fldCharType="end"/>
        </w:r>
      </w:hyperlink>
    </w:p>
    <w:p w14:paraId="6FD5D4C2" w14:textId="4F4B2C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8" w:history="1">
        <w:r w:rsidRPr="00533B68">
          <w:t>3945</w:t>
        </w:r>
        <w:r>
          <w:rPr>
            <w:rFonts w:asciiTheme="minorHAnsi" w:eastAsiaTheme="minorEastAsia" w:hAnsiTheme="minorHAnsi" w:cstheme="minorBidi"/>
            <w:kern w:val="2"/>
            <w:sz w:val="24"/>
            <w:szCs w:val="24"/>
            <w:lang w:eastAsia="en-AU"/>
            <w14:ligatures w14:val="standardContextual"/>
          </w:rPr>
          <w:tab/>
        </w:r>
        <w:r w:rsidRPr="00533B68">
          <w:t>Dispute resolution conference—listings etc</w:t>
        </w:r>
        <w:r>
          <w:tab/>
        </w:r>
        <w:r>
          <w:fldChar w:fldCharType="begin"/>
        </w:r>
        <w:r>
          <w:instrText xml:space="preserve"> PAGEREF _Toc185514868 \h </w:instrText>
        </w:r>
        <w:r>
          <w:fldChar w:fldCharType="separate"/>
        </w:r>
        <w:r>
          <w:t>701</w:t>
        </w:r>
        <w:r>
          <w:fldChar w:fldCharType="end"/>
        </w:r>
      </w:hyperlink>
    </w:p>
    <w:p w14:paraId="794FFC3A" w14:textId="11F77A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69" w:history="1">
        <w:r w:rsidRPr="00533B68">
          <w:t>3946</w:t>
        </w:r>
        <w:r>
          <w:rPr>
            <w:rFonts w:asciiTheme="minorHAnsi" w:eastAsiaTheme="minorEastAsia" w:hAnsiTheme="minorHAnsi" w:cstheme="minorBidi"/>
            <w:kern w:val="2"/>
            <w:sz w:val="24"/>
            <w:szCs w:val="24"/>
            <w:lang w:eastAsia="en-AU"/>
            <w14:ligatures w14:val="standardContextual"/>
          </w:rPr>
          <w:tab/>
        </w:r>
        <w:r w:rsidRPr="00533B68">
          <w:t>Dispute resolution conference—requirement to attend</w:t>
        </w:r>
        <w:r>
          <w:tab/>
        </w:r>
        <w:r>
          <w:fldChar w:fldCharType="begin"/>
        </w:r>
        <w:r>
          <w:instrText xml:space="preserve"> PAGEREF _Toc185514869 \h </w:instrText>
        </w:r>
        <w:r>
          <w:fldChar w:fldCharType="separate"/>
        </w:r>
        <w:r>
          <w:t>702</w:t>
        </w:r>
        <w:r>
          <w:fldChar w:fldCharType="end"/>
        </w:r>
      </w:hyperlink>
    </w:p>
    <w:p w14:paraId="0C8C30B0" w14:textId="5E123B1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0" w:history="1">
        <w:r w:rsidRPr="00533B68">
          <w:t>3947</w:t>
        </w:r>
        <w:r>
          <w:rPr>
            <w:rFonts w:asciiTheme="minorHAnsi" w:eastAsiaTheme="minorEastAsia" w:hAnsiTheme="minorHAnsi" w:cstheme="minorBidi"/>
            <w:kern w:val="2"/>
            <w:sz w:val="24"/>
            <w:szCs w:val="24"/>
            <w:lang w:eastAsia="en-AU"/>
            <w14:ligatures w14:val="standardContextual"/>
          </w:rPr>
          <w:tab/>
        </w:r>
        <w:r w:rsidRPr="00533B68">
          <w:t>Dispute resolution conference—time</w:t>
        </w:r>
        <w:r>
          <w:tab/>
        </w:r>
        <w:r>
          <w:fldChar w:fldCharType="begin"/>
        </w:r>
        <w:r>
          <w:instrText xml:space="preserve"> PAGEREF _Toc185514870 \h </w:instrText>
        </w:r>
        <w:r>
          <w:fldChar w:fldCharType="separate"/>
        </w:r>
        <w:r>
          <w:t>702</w:t>
        </w:r>
        <w:r>
          <w:fldChar w:fldCharType="end"/>
        </w:r>
      </w:hyperlink>
    </w:p>
    <w:p w14:paraId="79348DE6" w14:textId="7C727AB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1" w:history="1">
        <w:r w:rsidRPr="00533B68">
          <w:t>3948</w:t>
        </w:r>
        <w:r>
          <w:rPr>
            <w:rFonts w:asciiTheme="minorHAnsi" w:eastAsiaTheme="minorEastAsia" w:hAnsiTheme="minorHAnsi" w:cstheme="minorBidi"/>
            <w:kern w:val="2"/>
            <w:sz w:val="24"/>
            <w:szCs w:val="24"/>
            <w:lang w:eastAsia="en-AU"/>
            <w14:ligatures w14:val="standardContextual"/>
          </w:rPr>
          <w:tab/>
        </w:r>
        <w:r w:rsidRPr="00533B68">
          <w:t>Dispute resolution conference—information to be provided before conference</w:t>
        </w:r>
        <w:r>
          <w:tab/>
        </w:r>
        <w:r>
          <w:fldChar w:fldCharType="begin"/>
        </w:r>
        <w:r>
          <w:instrText xml:space="preserve"> PAGEREF _Toc185514871 \h </w:instrText>
        </w:r>
        <w:r>
          <w:fldChar w:fldCharType="separate"/>
        </w:r>
        <w:r>
          <w:t>703</w:t>
        </w:r>
        <w:r>
          <w:fldChar w:fldCharType="end"/>
        </w:r>
      </w:hyperlink>
    </w:p>
    <w:p w14:paraId="7034B912" w14:textId="4EDA74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2" w:history="1">
        <w:r w:rsidRPr="00533B68">
          <w:t>3948A</w:t>
        </w:r>
        <w:r>
          <w:rPr>
            <w:rFonts w:asciiTheme="minorHAnsi" w:eastAsiaTheme="minorEastAsia" w:hAnsiTheme="minorHAnsi" w:cstheme="minorBidi"/>
            <w:kern w:val="2"/>
            <w:sz w:val="24"/>
            <w:szCs w:val="24"/>
            <w:lang w:eastAsia="en-AU"/>
            <w14:ligatures w14:val="standardContextual"/>
          </w:rPr>
          <w:tab/>
        </w:r>
        <w:r w:rsidRPr="00533B68">
          <w:t>Dispute resolution conference—confidentiality</w:t>
        </w:r>
        <w:r>
          <w:tab/>
        </w:r>
        <w:r>
          <w:fldChar w:fldCharType="begin"/>
        </w:r>
        <w:r>
          <w:instrText xml:space="preserve"> PAGEREF _Toc185514872 \h </w:instrText>
        </w:r>
        <w:r>
          <w:fldChar w:fldCharType="separate"/>
        </w:r>
        <w:r>
          <w:t>703</w:t>
        </w:r>
        <w:r>
          <w:fldChar w:fldCharType="end"/>
        </w:r>
      </w:hyperlink>
    </w:p>
    <w:p w14:paraId="31ACE5F2" w14:textId="2DABB1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3" w:history="1">
        <w:r w:rsidRPr="00533B68">
          <w:t>3948B</w:t>
        </w:r>
        <w:r>
          <w:rPr>
            <w:rFonts w:asciiTheme="minorHAnsi" w:eastAsiaTheme="minorEastAsia" w:hAnsiTheme="minorHAnsi" w:cstheme="minorBidi"/>
            <w:kern w:val="2"/>
            <w:sz w:val="24"/>
            <w:szCs w:val="24"/>
            <w:lang w:eastAsia="en-AU"/>
            <w14:ligatures w14:val="standardContextual"/>
          </w:rPr>
          <w:tab/>
        </w:r>
        <w:r w:rsidRPr="00533B68">
          <w:t>Dispute resolution conference—settlement must be in writing</w:t>
        </w:r>
        <w:r>
          <w:tab/>
        </w:r>
        <w:r>
          <w:fldChar w:fldCharType="begin"/>
        </w:r>
        <w:r>
          <w:instrText xml:space="preserve"> PAGEREF _Toc185514873 \h </w:instrText>
        </w:r>
        <w:r>
          <w:fldChar w:fldCharType="separate"/>
        </w:r>
        <w:r>
          <w:t>703</w:t>
        </w:r>
        <w:r>
          <w:fldChar w:fldCharType="end"/>
        </w:r>
      </w:hyperlink>
    </w:p>
    <w:p w14:paraId="50FE38E0" w14:textId="2ED179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4" w:history="1">
        <w:r w:rsidRPr="00533B68">
          <w:t>3948C</w:t>
        </w:r>
        <w:r>
          <w:rPr>
            <w:rFonts w:asciiTheme="minorHAnsi" w:eastAsiaTheme="minorEastAsia" w:hAnsiTheme="minorHAnsi" w:cstheme="minorBidi"/>
            <w:kern w:val="2"/>
            <w:sz w:val="24"/>
            <w:szCs w:val="24"/>
            <w:lang w:eastAsia="en-AU"/>
            <w14:ligatures w14:val="standardContextual"/>
          </w:rPr>
          <w:tab/>
        </w:r>
        <w:r w:rsidRPr="00533B68">
          <w:t>Dispute resolution conference—court orders on outcome of conference</w:t>
        </w:r>
        <w:r>
          <w:tab/>
        </w:r>
        <w:r>
          <w:fldChar w:fldCharType="begin"/>
        </w:r>
        <w:r>
          <w:instrText xml:space="preserve"> PAGEREF _Toc185514874 \h </w:instrText>
        </w:r>
        <w:r>
          <w:fldChar w:fldCharType="separate"/>
        </w:r>
        <w:r>
          <w:t>704</w:t>
        </w:r>
        <w:r>
          <w:fldChar w:fldCharType="end"/>
        </w:r>
      </w:hyperlink>
    </w:p>
    <w:p w14:paraId="43D8B98C" w14:textId="4084EE4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75" w:history="1">
        <w:r w:rsidR="00AC5392" w:rsidRPr="00533B68">
          <w:t>Division 3.13.9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compensation—conduct of arbitration</w:t>
        </w:r>
        <w:r w:rsidR="00AC5392" w:rsidRPr="00AC5392">
          <w:rPr>
            <w:vanish/>
          </w:rPr>
          <w:tab/>
        </w:r>
        <w:r w:rsidR="00AC5392" w:rsidRPr="00AC5392">
          <w:rPr>
            <w:vanish/>
          </w:rPr>
          <w:fldChar w:fldCharType="begin"/>
        </w:r>
        <w:r w:rsidR="00AC5392" w:rsidRPr="00AC5392">
          <w:rPr>
            <w:vanish/>
          </w:rPr>
          <w:instrText xml:space="preserve"> PAGEREF _Toc185514875 \h </w:instrText>
        </w:r>
        <w:r w:rsidR="00AC5392" w:rsidRPr="00AC5392">
          <w:rPr>
            <w:vanish/>
          </w:rPr>
        </w:r>
        <w:r w:rsidR="00AC5392" w:rsidRPr="00AC5392">
          <w:rPr>
            <w:vanish/>
          </w:rPr>
          <w:fldChar w:fldCharType="separate"/>
        </w:r>
        <w:r w:rsidR="00AC5392" w:rsidRPr="00AC5392">
          <w:rPr>
            <w:vanish/>
          </w:rPr>
          <w:t>705</w:t>
        </w:r>
        <w:r w:rsidR="00AC5392" w:rsidRPr="00AC5392">
          <w:rPr>
            <w:vanish/>
          </w:rPr>
          <w:fldChar w:fldCharType="end"/>
        </w:r>
      </w:hyperlink>
    </w:p>
    <w:p w14:paraId="6C531755" w14:textId="353267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6" w:history="1">
        <w:r w:rsidRPr="00533B68">
          <w:t>3949</w:t>
        </w:r>
        <w:r>
          <w:rPr>
            <w:rFonts w:asciiTheme="minorHAnsi" w:eastAsiaTheme="minorEastAsia" w:hAnsiTheme="minorHAnsi" w:cstheme="minorBidi"/>
            <w:kern w:val="2"/>
            <w:sz w:val="24"/>
            <w:szCs w:val="24"/>
            <w:lang w:eastAsia="en-AU"/>
            <w14:ligatures w14:val="standardContextual"/>
          </w:rPr>
          <w:tab/>
        </w:r>
        <w:r w:rsidRPr="00533B68">
          <w:t>Conduct of arbitration—date</w:t>
        </w:r>
        <w:r>
          <w:tab/>
        </w:r>
        <w:r>
          <w:fldChar w:fldCharType="begin"/>
        </w:r>
        <w:r>
          <w:instrText xml:space="preserve"> PAGEREF _Toc185514876 \h </w:instrText>
        </w:r>
        <w:r>
          <w:fldChar w:fldCharType="separate"/>
        </w:r>
        <w:r>
          <w:t>705</w:t>
        </w:r>
        <w:r>
          <w:fldChar w:fldCharType="end"/>
        </w:r>
      </w:hyperlink>
    </w:p>
    <w:p w14:paraId="4AB31229" w14:textId="69B79F8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7" w:history="1">
        <w:r w:rsidRPr="00533B68">
          <w:t>3950</w:t>
        </w:r>
        <w:r>
          <w:rPr>
            <w:rFonts w:asciiTheme="minorHAnsi" w:eastAsiaTheme="minorEastAsia" w:hAnsiTheme="minorHAnsi" w:cstheme="minorBidi"/>
            <w:kern w:val="2"/>
            <w:sz w:val="24"/>
            <w:szCs w:val="24"/>
            <w:lang w:eastAsia="en-AU"/>
            <w14:ligatures w14:val="standardContextual"/>
          </w:rPr>
          <w:tab/>
        </w:r>
        <w:r w:rsidRPr="00533B68">
          <w:t>Conduct of arbitration—burden of proof on party asserting fact</w:t>
        </w:r>
        <w:r>
          <w:tab/>
        </w:r>
        <w:r>
          <w:fldChar w:fldCharType="begin"/>
        </w:r>
        <w:r>
          <w:instrText xml:space="preserve"> PAGEREF _Toc185514877 \h </w:instrText>
        </w:r>
        <w:r>
          <w:fldChar w:fldCharType="separate"/>
        </w:r>
        <w:r>
          <w:t>705</w:t>
        </w:r>
        <w:r>
          <w:fldChar w:fldCharType="end"/>
        </w:r>
      </w:hyperlink>
    </w:p>
    <w:p w14:paraId="52CC9984" w14:textId="447129A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8" w:history="1">
        <w:r w:rsidRPr="00533B68">
          <w:t>3951</w:t>
        </w:r>
        <w:r>
          <w:rPr>
            <w:rFonts w:asciiTheme="minorHAnsi" w:eastAsiaTheme="minorEastAsia" w:hAnsiTheme="minorHAnsi" w:cstheme="minorBidi"/>
            <w:kern w:val="2"/>
            <w:sz w:val="24"/>
            <w:szCs w:val="24"/>
            <w:lang w:eastAsia="en-AU"/>
            <w14:ligatures w14:val="standardContextual"/>
          </w:rPr>
          <w:tab/>
        </w:r>
        <w:r w:rsidRPr="00533B68">
          <w:t>Conduct of arbitration—directions about third-party respondents</w:t>
        </w:r>
        <w:r>
          <w:tab/>
        </w:r>
        <w:r>
          <w:fldChar w:fldCharType="begin"/>
        </w:r>
        <w:r>
          <w:instrText xml:space="preserve"> PAGEREF _Toc185514878 \h </w:instrText>
        </w:r>
        <w:r>
          <w:fldChar w:fldCharType="separate"/>
        </w:r>
        <w:r>
          <w:t>705</w:t>
        </w:r>
        <w:r>
          <w:fldChar w:fldCharType="end"/>
        </w:r>
      </w:hyperlink>
    </w:p>
    <w:p w14:paraId="0E2A4901" w14:textId="445803C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79" w:history="1">
        <w:r w:rsidRPr="00533B68">
          <w:t>3952</w:t>
        </w:r>
        <w:r>
          <w:rPr>
            <w:rFonts w:asciiTheme="minorHAnsi" w:eastAsiaTheme="minorEastAsia" w:hAnsiTheme="minorHAnsi" w:cstheme="minorBidi"/>
            <w:kern w:val="2"/>
            <w:sz w:val="24"/>
            <w:szCs w:val="24"/>
            <w:lang w:eastAsia="en-AU"/>
            <w14:ligatures w14:val="standardContextual"/>
          </w:rPr>
          <w:tab/>
        </w:r>
        <w:r w:rsidRPr="00533B68">
          <w:t>Conduct of arbitration—directions and orders if remedy against employer and stranger</w:t>
        </w:r>
        <w:r>
          <w:tab/>
        </w:r>
        <w:r>
          <w:fldChar w:fldCharType="begin"/>
        </w:r>
        <w:r>
          <w:instrText xml:space="preserve"> PAGEREF _Toc185514879 \h </w:instrText>
        </w:r>
        <w:r>
          <w:fldChar w:fldCharType="separate"/>
        </w:r>
        <w:r>
          <w:t>706</w:t>
        </w:r>
        <w:r>
          <w:fldChar w:fldCharType="end"/>
        </w:r>
      </w:hyperlink>
    </w:p>
    <w:p w14:paraId="073F5BFF" w14:textId="7F9592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0" w:history="1">
        <w:r w:rsidRPr="00533B68">
          <w:t>3953</w:t>
        </w:r>
        <w:r>
          <w:rPr>
            <w:rFonts w:asciiTheme="minorHAnsi" w:eastAsiaTheme="minorEastAsia" w:hAnsiTheme="minorHAnsi" w:cstheme="minorBidi"/>
            <w:kern w:val="2"/>
            <w:sz w:val="24"/>
            <w:szCs w:val="24"/>
            <w:lang w:eastAsia="en-AU"/>
            <w14:ligatures w14:val="standardContextual"/>
          </w:rPr>
          <w:tab/>
        </w:r>
        <w:r w:rsidRPr="00533B68">
          <w:t>Conduct of arbitration—directions generally</w:t>
        </w:r>
        <w:r>
          <w:tab/>
        </w:r>
        <w:r>
          <w:fldChar w:fldCharType="begin"/>
        </w:r>
        <w:r>
          <w:instrText xml:space="preserve"> PAGEREF _Toc185514880 \h </w:instrText>
        </w:r>
        <w:r>
          <w:fldChar w:fldCharType="separate"/>
        </w:r>
        <w:r>
          <w:t>707</w:t>
        </w:r>
        <w:r>
          <w:fldChar w:fldCharType="end"/>
        </w:r>
      </w:hyperlink>
    </w:p>
    <w:p w14:paraId="24B8F4B2" w14:textId="10047D2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81" w:history="1">
        <w:r w:rsidR="00AC5392" w:rsidRPr="00533B68">
          <w:t>Division 3.13.10</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compensation—submission to award and payments into court</w:t>
        </w:r>
        <w:r w:rsidR="00AC5392" w:rsidRPr="00AC5392">
          <w:rPr>
            <w:vanish/>
          </w:rPr>
          <w:tab/>
        </w:r>
        <w:r w:rsidR="00AC5392" w:rsidRPr="00AC5392">
          <w:rPr>
            <w:vanish/>
          </w:rPr>
          <w:fldChar w:fldCharType="begin"/>
        </w:r>
        <w:r w:rsidR="00AC5392" w:rsidRPr="00AC5392">
          <w:rPr>
            <w:vanish/>
          </w:rPr>
          <w:instrText xml:space="preserve"> PAGEREF _Toc185514881 \h </w:instrText>
        </w:r>
        <w:r w:rsidR="00AC5392" w:rsidRPr="00AC5392">
          <w:rPr>
            <w:vanish/>
          </w:rPr>
        </w:r>
        <w:r w:rsidR="00AC5392" w:rsidRPr="00AC5392">
          <w:rPr>
            <w:vanish/>
          </w:rPr>
          <w:fldChar w:fldCharType="separate"/>
        </w:r>
        <w:r w:rsidR="00AC5392" w:rsidRPr="00AC5392">
          <w:rPr>
            <w:vanish/>
          </w:rPr>
          <w:t>708</w:t>
        </w:r>
        <w:r w:rsidR="00AC5392" w:rsidRPr="00AC5392">
          <w:rPr>
            <w:vanish/>
          </w:rPr>
          <w:fldChar w:fldCharType="end"/>
        </w:r>
      </w:hyperlink>
    </w:p>
    <w:p w14:paraId="669006D6" w14:textId="281F551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2" w:history="1">
        <w:r w:rsidRPr="00533B68">
          <w:t>3954</w:t>
        </w:r>
        <w:r>
          <w:rPr>
            <w:rFonts w:asciiTheme="minorHAnsi" w:eastAsiaTheme="minorEastAsia" w:hAnsiTheme="minorHAnsi" w:cstheme="minorBidi"/>
            <w:kern w:val="2"/>
            <w:sz w:val="24"/>
            <w:szCs w:val="24"/>
            <w:lang w:eastAsia="en-AU"/>
            <w14:ligatures w14:val="standardContextual"/>
          </w:rPr>
          <w:tab/>
        </w:r>
        <w:r w:rsidRPr="00533B68">
          <w:t>Arbitration—payment into court generally</w:t>
        </w:r>
        <w:r>
          <w:tab/>
        </w:r>
        <w:r>
          <w:fldChar w:fldCharType="begin"/>
        </w:r>
        <w:r>
          <w:instrText xml:space="preserve"> PAGEREF _Toc185514882 \h </w:instrText>
        </w:r>
        <w:r>
          <w:fldChar w:fldCharType="separate"/>
        </w:r>
        <w:r>
          <w:t>708</w:t>
        </w:r>
        <w:r>
          <w:fldChar w:fldCharType="end"/>
        </w:r>
      </w:hyperlink>
    </w:p>
    <w:p w14:paraId="3E632618" w14:textId="550FFFA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3" w:history="1">
        <w:r w:rsidRPr="00533B68">
          <w:t>3955</w:t>
        </w:r>
        <w:r>
          <w:rPr>
            <w:rFonts w:asciiTheme="minorHAnsi" w:eastAsiaTheme="minorEastAsia" w:hAnsiTheme="minorHAnsi" w:cstheme="minorBidi"/>
            <w:kern w:val="2"/>
            <w:sz w:val="24"/>
            <w:szCs w:val="24"/>
            <w:lang w:eastAsia="en-AU"/>
            <w14:ligatures w14:val="standardContextual"/>
          </w:rPr>
          <w:tab/>
        </w:r>
        <w:r w:rsidRPr="00533B68">
          <w:t>Arbitration—admission of liability to claim by worker</w:t>
        </w:r>
        <w:r>
          <w:tab/>
        </w:r>
        <w:r>
          <w:fldChar w:fldCharType="begin"/>
        </w:r>
        <w:r>
          <w:instrText xml:space="preserve"> PAGEREF _Toc185514883 \h </w:instrText>
        </w:r>
        <w:r>
          <w:fldChar w:fldCharType="separate"/>
        </w:r>
        <w:r>
          <w:t>708</w:t>
        </w:r>
        <w:r>
          <w:fldChar w:fldCharType="end"/>
        </w:r>
      </w:hyperlink>
    </w:p>
    <w:p w14:paraId="7CB94533" w14:textId="61CEF7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4" w:history="1">
        <w:r w:rsidRPr="00533B68">
          <w:t>3956</w:t>
        </w:r>
        <w:r>
          <w:rPr>
            <w:rFonts w:asciiTheme="minorHAnsi" w:eastAsiaTheme="minorEastAsia" w:hAnsiTheme="minorHAnsi" w:cstheme="minorBidi"/>
            <w:kern w:val="2"/>
            <w:sz w:val="24"/>
            <w:szCs w:val="24"/>
            <w:lang w:eastAsia="en-AU"/>
            <w14:ligatures w14:val="standardContextual"/>
          </w:rPr>
          <w:tab/>
        </w:r>
        <w:r w:rsidRPr="00533B68">
          <w:t>Arbitration—admission of liability to claim for deceased worker</w:t>
        </w:r>
        <w:r>
          <w:tab/>
        </w:r>
        <w:r>
          <w:fldChar w:fldCharType="begin"/>
        </w:r>
        <w:r>
          <w:instrText xml:space="preserve"> PAGEREF _Toc185514884 \h </w:instrText>
        </w:r>
        <w:r>
          <w:fldChar w:fldCharType="separate"/>
        </w:r>
        <w:r>
          <w:t>709</w:t>
        </w:r>
        <w:r>
          <w:fldChar w:fldCharType="end"/>
        </w:r>
      </w:hyperlink>
    </w:p>
    <w:p w14:paraId="6AA0B79A" w14:textId="5BF875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5" w:history="1">
        <w:r w:rsidRPr="00533B68">
          <w:t>3957</w:t>
        </w:r>
        <w:r>
          <w:rPr>
            <w:rFonts w:asciiTheme="minorHAnsi" w:eastAsiaTheme="minorEastAsia" w:hAnsiTheme="minorHAnsi" w:cstheme="minorBidi"/>
            <w:kern w:val="2"/>
            <w:sz w:val="24"/>
            <w:szCs w:val="24"/>
            <w:lang w:eastAsia="en-AU"/>
            <w14:ligatures w14:val="standardContextual"/>
          </w:rPr>
          <w:tab/>
        </w:r>
        <w:r w:rsidRPr="00533B68">
          <w:t>Arbitration—denial and submission to award or payment by employer</w:t>
        </w:r>
        <w:r>
          <w:tab/>
        </w:r>
        <w:r>
          <w:fldChar w:fldCharType="begin"/>
        </w:r>
        <w:r>
          <w:instrText xml:space="preserve"> PAGEREF _Toc185514885 \h </w:instrText>
        </w:r>
        <w:r>
          <w:fldChar w:fldCharType="separate"/>
        </w:r>
        <w:r>
          <w:t>709</w:t>
        </w:r>
        <w:r>
          <w:fldChar w:fldCharType="end"/>
        </w:r>
      </w:hyperlink>
    </w:p>
    <w:p w14:paraId="32B07560" w14:textId="65C4B2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6" w:history="1">
        <w:r w:rsidRPr="00533B68">
          <w:t>3958</w:t>
        </w:r>
        <w:r>
          <w:rPr>
            <w:rFonts w:asciiTheme="minorHAnsi" w:eastAsiaTheme="minorEastAsia" w:hAnsiTheme="minorHAnsi" w:cstheme="minorBidi"/>
            <w:kern w:val="2"/>
            <w:sz w:val="24"/>
            <w:szCs w:val="24"/>
            <w:lang w:eastAsia="en-AU"/>
            <w14:ligatures w14:val="standardContextual"/>
          </w:rPr>
          <w:tab/>
        </w:r>
        <w:r w:rsidRPr="00533B68">
          <w:t>Arbitration—acceptance of payment by worker</w:t>
        </w:r>
        <w:r>
          <w:tab/>
        </w:r>
        <w:r>
          <w:fldChar w:fldCharType="begin"/>
        </w:r>
        <w:r>
          <w:instrText xml:space="preserve"> PAGEREF _Toc185514886 \h </w:instrText>
        </w:r>
        <w:r>
          <w:fldChar w:fldCharType="separate"/>
        </w:r>
        <w:r>
          <w:t>710</w:t>
        </w:r>
        <w:r>
          <w:fldChar w:fldCharType="end"/>
        </w:r>
      </w:hyperlink>
    </w:p>
    <w:p w14:paraId="3693A2F7" w14:textId="45F8D22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7" w:history="1">
        <w:r w:rsidRPr="00533B68">
          <w:t>3959</w:t>
        </w:r>
        <w:r>
          <w:rPr>
            <w:rFonts w:asciiTheme="minorHAnsi" w:eastAsiaTheme="minorEastAsia" w:hAnsiTheme="minorHAnsi" w:cstheme="minorBidi"/>
            <w:kern w:val="2"/>
            <w:sz w:val="24"/>
            <w:szCs w:val="24"/>
            <w:lang w:eastAsia="en-AU"/>
            <w14:ligatures w14:val="standardContextual"/>
          </w:rPr>
          <w:tab/>
        </w:r>
        <w:r w:rsidRPr="00533B68">
          <w:t>Arbitration—acceptance of payment for deceased worker</w:t>
        </w:r>
        <w:r>
          <w:tab/>
        </w:r>
        <w:r>
          <w:fldChar w:fldCharType="begin"/>
        </w:r>
        <w:r>
          <w:instrText xml:space="preserve"> PAGEREF _Toc185514887 \h </w:instrText>
        </w:r>
        <w:r>
          <w:fldChar w:fldCharType="separate"/>
        </w:r>
        <w:r>
          <w:t>711</w:t>
        </w:r>
        <w:r>
          <w:fldChar w:fldCharType="end"/>
        </w:r>
      </w:hyperlink>
    </w:p>
    <w:p w14:paraId="58DFB552" w14:textId="75A39D2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8" w:history="1">
        <w:r w:rsidRPr="00533B68">
          <w:t>3960</w:t>
        </w:r>
        <w:r>
          <w:rPr>
            <w:rFonts w:asciiTheme="minorHAnsi" w:eastAsiaTheme="minorEastAsia" w:hAnsiTheme="minorHAnsi" w:cstheme="minorBidi"/>
            <w:kern w:val="2"/>
            <w:sz w:val="24"/>
            <w:szCs w:val="24"/>
            <w:lang w:eastAsia="en-AU"/>
            <w14:ligatures w14:val="standardContextual"/>
          </w:rPr>
          <w:tab/>
        </w:r>
        <w:r w:rsidRPr="00533B68">
          <w:t>Arbitration—payment on worker’s acceptance</w:t>
        </w:r>
        <w:r>
          <w:tab/>
        </w:r>
        <w:r>
          <w:fldChar w:fldCharType="begin"/>
        </w:r>
        <w:r>
          <w:instrText xml:space="preserve"> PAGEREF _Toc185514888 \h </w:instrText>
        </w:r>
        <w:r>
          <w:fldChar w:fldCharType="separate"/>
        </w:r>
        <w:r>
          <w:t>711</w:t>
        </w:r>
        <w:r>
          <w:fldChar w:fldCharType="end"/>
        </w:r>
      </w:hyperlink>
    </w:p>
    <w:p w14:paraId="193BF198" w14:textId="20D1B43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89" w:history="1">
        <w:r w:rsidRPr="00533B68">
          <w:t>3961</w:t>
        </w:r>
        <w:r>
          <w:rPr>
            <w:rFonts w:asciiTheme="minorHAnsi" w:eastAsiaTheme="minorEastAsia" w:hAnsiTheme="minorHAnsi" w:cstheme="minorBidi"/>
            <w:kern w:val="2"/>
            <w:sz w:val="24"/>
            <w:szCs w:val="24"/>
            <w:lang w:eastAsia="en-AU"/>
            <w14:ligatures w14:val="standardContextual"/>
          </w:rPr>
          <w:tab/>
        </w:r>
        <w:r w:rsidRPr="00533B68">
          <w:t>Arbitration—payment on dependant’s etc acceptance</w:t>
        </w:r>
        <w:r>
          <w:tab/>
        </w:r>
        <w:r>
          <w:fldChar w:fldCharType="begin"/>
        </w:r>
        <w:r>
          <w:instrText xml:space="preserve"> PAGEREF _Toc185514889 \h </w:instrText>
        </w:r>
        <w:r>
          <w:fldChar w:fldCharType="separate"/>
        </w:r>
        <w:r>
          <w:t>712</w:t>
        </w:r>
        <w:r>
          <w:fldChar w:fldCharType="end"/>
        </w:r>
      </w:hyperlink>
    </w:p>
    <w:p w14:paraId="2BB00FCA" w14:textId="27FB9F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90" w:history="1">
        <w:r w:rsidRPr="00533B68">
          <w:t>3962</w:t>
        </w:r>
        <w:r>
          <w:rPr>
            <w:rFonts w:asciiTheme="minorHAnsi" w:eastAsiaTheme="minorEastAsia" w:hAnsiTheme="minorHAnsi" w:cstheme="minorBidi"/>
            <w:kern w:val="2"/>
            <w:sz w:val="24"/>
            <w:szCs w:val="24"/>
            <w:lang w:eastAsia="en-AU"/>
            <w14:ligatures w14:val="standardContextual"/>
          </w:rPr>
          <w:tab/>
        </w:r>
        <w:r w:rsidRPr="00533B68">
          <w:t>Arbitration—no prompt acceptance of submission or payment</w:t>
        </w:r>
        <w:r>
          <w:tab/>
        </w:r>
        <w:r>
          <w:fldChar w:fldCharType="begin"/>
        </w:r>
        <w:r>
          <w:instrText xml:space="preserve"> PAGEREF _Toc185514890 \h </w:instrText>
        </w:r>
        <w:r>
          <w:fldChar w:fldCharType="separate"/>
        </w:r>
        <w:r>
          <w:t>712</w:t>
        </w:r>
        <w:r>
          <w:fldChar w:fldCharType="end"/>
        </w:r>
      </w:hyperlink>
    </w:p>
    <w:p w14:paraId="1C5A7B5F" w14:textId="7B1C7BA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91" w:history="1">
        <w:r w:rsidRPr="00533B68">
          <w:t>3963</w:t>
        </w:r>
        <w:r>
          <w:rPr>
            <w:rFonts w:asciiTheme="minorHAnsi" w:eastAsiaTheme="minorEastAsia" w:hAnsiTheme="minorHAnsi" w:cstheme="minorBidi"/>
            <w:kern w:val="2"/>
            <w:sz w:val="24"/>
            <w:szCs w:val="24"/>
            <w:lang w:eastAsia="en-AU"/>
            <w14:ligatures w14:val="standardContextual"/>
          </w:rPr>
          <w:tab/>
        </w:r>
        <w:r w:rsidRPr="00533B68">
          <w:t>Arbitration—award not greater than submission or payment</w:t>
        </w:r>
        <w:r>
          <w:tab/>
        </w:r>
        <w:r>
          <w:fldChar w:fldCharType="begin"/>
        </w:r>
        <w:r>
          <w:instrText xml:space="preserve"> PAGEREF _Toc185514891 \h </w:instrText>
        </w:r>
        <w:r>
          <w:fldChar w:fldCharType="separate"/>
        </w:r>
        <w:r>
          <w:t>713</w:t>
        </w:r>
        <w:r>
          <w:fldChar w:fldCharType="end"/>
        </w:r>
      </w:hyperlink>
    </w:p>
    <w:p w14:paraId="563BADD2" w14:textId="500F005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92" w:history="1">
        <w:r w:rsidR="00AC5392" w:rsidRPr="00533B68">
          <w:t>Division 3.13.11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compensation—awards</w:t>
        </w:r>
        <w:r w:rsidR="00AC5392" w:rsidRPr="00AC5392">
          <w:rPr>
            <w:vanish/>
          </w:rPr>
          <w:tab/>
        </w:r>
        <w:r w:rsidR="00AC5392" w:rsidRPr="00AC5392">
          <w:rPr>
            <w:vanish/>
          </w:rPr>
          <w:fldChar w:fldCharType="begin"/>
        </w:r>
        <w:r w:rsidR="00AC5392" w:rsidRPr="00AC5392">
          <w:rPr>
            <w:vanish/>
          </w:rPr>
          <w:instrText xml:space="preserve"> PAGEREF _Toc185514892 \h </w:instrText>
        </w:r>
        <w:r w:rsidR="00AC5392" w:rsidRPr="00AC5392">
          <w:rPr>
            <w:vanish/>
          </w:rPr>
        </w:r>
        <w:r w:rsidR="00AC5392" w:rsidRPr="00AC5392">
          <w:rPr>
            <w:vanish/>
          </w:rPr>
          <w:fldChar w:fldCharType="separate"/>
        </w:r>
        <w:r w:rsidR="00AC5392" w:rsidRPr="00AC5392">
          <w:rPr>
            <w:vanish/>
          </w:rPr>
          <w:t>714</w:t>
        </w:r>
        <w:r w:rsidR="00AC5392" w:rsidRPr="00AC5392">
          <w:rPr>
            <w:vanish/>
          </w:rPr>
          <w:fldChar w:fldCharType="end"/>
        </w:r>
      </w:hyperlink>
    </w:p>
    <w:p w14:paraId="4A8847FA" w14:textId="0EC0DE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93" w:history="1">
        <w:r w:rsidRPr="00533B68">
          <w:t>3964</w:t>
        </w:r>
        <w:r>
          <w:rPr>
            <w:rFonts w:asciiTheme="minorHAnsi" w:eastAsiaTheme="minorEastAsia" w:hAnsiTheme="minorHAnsi" w:cstheme="minorBidi"/>
            <w:kern w:val="2"/>
            <w:sz w:val="24"/>
            <w:szCs w:val="24"/>
            <w:lang w:eastAsia="en-AU"/>
            <w14:ligatures w14:val="standardContextual"/>
          </w:rPr>
          <w:tab/>
        </w:r>
        <w:r w:rsidRPr="00533B68">
          <w:t>Arbitration—award</w:t>
        </w:r>
        <w:r>
          <w:tab/>
        </w:r>
        <w:r>
          <w:fldChar w:fldCharType="begin"/>
        </w:r>
        <w:r>
          <w:instrText xml:space="preserve"> PAGEREF _Toc185514893 \h </w:instrText>
        </w:r>
        <w:r>
          <w:fldChar w:fldCharType="separate"/>
        </w:r>
        <w:r>
          <w:t>714</w:t>
        </w:r>
        <w:r>
          <w:fldChar w:fldCharType="end"/>
        </w:r>
      </w:hyperlink>
    </w:p>
    <w:p w14:paraId="693E10DE" w14:textId="183536E4"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894" w:history="1">
        <w:r w:rsidRPr="00533B68">
          <w:t>3965</w:t>
        </w:r>
        <w:r>
          <w:rPr>
            <w:rFonts w:asciiTheme="minorHAnsi" w:eastAsiaTheme="minorEastAsia" w:hAnsiTheme="minorHAnsi" w:cstheme="minorBidi"/>
            <w:kern w:val="2"/>
            <w:sz w:val="24"/>
            <w:szCs w:val="24"/>
            <w:lang w:eastAsia="en-AU"/>
            <w14:ligatures w14:val="standardContextual"/>
          </w:rPr>
          <w:tab/>
        </w:r>
        <w:r w:rsidRPr="00533B68">
          <w:t>Arbitration—setting aside or amending award</w:t>
        </w:r>
        <w:r>
          <w:tab/>
        </w:r>
        <w:r>
          <w:fldChar w:fldCharType="begin"/>
        </w:r>
        <w:r>
          <w:instrText xml:space="preserve"> PAGEREF _Toc185514894 \h </w:instrText>
        </w:r>
        <w:r>
          <w:fldChar w:fldCharType="separate"/>
        </w:r>
        <w:r>
          <w:t>715</w:t>
        </w:r>
        <w:r>
          <w:fldChar w:fldCharType="end"/>
        </w:r>
      </w:hyperlink>
    </w:p>
    <w:p w14:paraId="0D1A06B1" w14:textId="61F7638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95" w:history="1">
        <w:r w:rsidR="00AC5392" w:rsidRPr="00533B68">
          <w:t>Division 3.13.12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compensation—registered agreements</w:t>
        </w:r>
        <w:r w:rsidR="00AC5392" w:rsidRPr="00AC5392">
          <w:rPr>
            <w:vanish/>
          </w:rPr>
          <w:tab/>
        </w:r>
        <w:r w:rsidR="00AC5392" w:rsidRPr="00AC5392">
          <w:rPr>
            <w:vanish/>
          </w:rPr>
          <w:fldChar w:fldCharType="begin"/>
        </w:r>
        <w:r w:rsidR="00AC5392" w:rsidRPr="00AC5392">
          <w:rPr>
            <w:vanish/>
          </w:rPr>
          <w:instrText xml:space="preserve"> PAGEREF _Toc185514895 \h </w:instrText>
        </w:r>
        <w:r w:rsidR="00AC5392" w:rsidRPr="00AC5392">
          <w:rPr>
            <w:vanish/>
          </w:rPr>
        </w:r>
        <w:r w:rsidR="00AC5392" w:rsidRPr="00AC5392">
          <w:rPr>
            <w:vanish/>
          </w:rPr>
          <w:fldChar w:fldCharType="separate"/>
        </w:r>
        <w:r w:rsidR="00AC5392" w:rsidRPr="00AC5392">
          <w:rPr>
            <w:vanish/>
          </w:rPr>
          <w:t>716</w:t>
        </w:r>
        <w:r w:rsidR="00AC5392" w:rsidRPr="00AC5392">
          <w:rPr>
            <w:vanish/>
          </w:rPr>
          <w:fldChar w:fldCharType="end"/>
        </w:r>
      </w:hyperlink>
    </w:p>
    <w:p w14:paraId="3A7F794F" w14:textId="4C8787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96" w:history="1">
        <w:r w:rsidRPr="00533B68">
          <w:t>3966</w:t>
        </w:r>
        <w:r>
          <w:rPr>
            <w:rFonts w:asciiTheme="minorHAnsi" w:eastAsiaTheme="minorEastAsia" w:hAnsiTheme="minorHAnsi" w:cstheme="minorBidi"/>
            <w:kern w:val="2"/>
            <w:sz w:val="24"/>
            <w:szCs w:val="24"/>
            <w:lang w:eastAsia="en-AU"/>
            <w14:ligatures w14:val="standardContextual"/>
          </w:rPr>
          <w:tab/>
        </w:r>
        <w:r w:rsidRPr="00533B68">
          <w:t>Registered agreement—application for registration</w:t>
        </w:r>
        <w:r>
          <w:tab/>
        </w:r>
        <w:r>
          <w:fldChar w:fldCharType="begin"/>
        </w:r>
        <w:r>
          <w:instrText xml:space="preserve"> PAGEREF _Toc185514896 \h </w:instrText>
        </w:r>
        <w:r>
          <w:fldChar w:fldCharType="separate"/>
        </w:r>
        <w:r>
          <w:t>716</w:t>
        </w:r>
        <w:r>
          <w:fldChar w:fldCharType="end"/>
        </w:r>
      </w:hyperlink>
    </w:p>
    <w:p w14:paraId="475DB0B4" w14:textId="067619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97" w:history="1">
        <w:r w:rsidRPr="00533B68">
          <w:t>3967</w:t>
        </w:r>
        <w:r>
          <w:rPr>
            <w:rFonts w:asciiTheme="minorHAnsi" w:eastAsiaTheme="minorEastAsia" w:hAnsiTheme="minorHAnsi" w:cstheme="minorBidi"/>
            <w:kern w:val="2"/>
            <w:sz w:val="24"/>
            <w:szCs w:val="24"/>
            <w:lang w:eastAsia="en-AU"/>
            <w14:ligatures w14:val="standardContextual"/>
          </w:rPr>
          <w:tab/>
        </w:r>
        <w:r w:rsidRPr="00533B68">
          <w:t>Registered agreement—application for amendment or cancellation</w:t>
        </w:r>
        <w:r>
          <w:tab/>
        </w:r>
        <w:r>
          <w:fldChar w:fldCharType="begin"/>
        </w:r>
        <w:r>
          <w:instrText xml:space="preserve"> PAGEREF _Toc185514897 \h </w:instrText>
        </w:r>
        <w:r>
          <w:fldChar w:fldCharType="separate"/>
        </w:r>
        <w:r>
          <w:t>717</w:t>
        </w:r>
        <w:r>
          <w:fldChar w:fldCharType="end"/>
        </w:r>
      </w:hyperlink>
    </w:p>
    <w:p w14:paraId="7050BD88" w14:textId="047A52F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898" w:history="1">
        <w:r w:rsidR="00AC5392" w:rsidRPr="00533B68">
          <w:t>Division 3.13.13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compensation—costs</w:t>
        </w:r>
        <w:r w:rsidR="00AC5392" w:rsidRPr="00AC5392">
          <w:rPr>
            <w:vanish/>
          </w:rPr>
          <w:tab/>
        </w:r>
        <w:r w:rsidR="00AC5392" w:rsidRPr="00AC5392">
          <w:rPr>
            <w:vanish/>
          </w:rPr>
          <w:fldChar w:fldCharType="begin"/>
        </w:r>
        <w:r w:rsidR="00AC5392" w:rsidRPr="00AC5392">
          <w:rPr>
            <w:vanish/>
          </w:rPr>
          <w:instrText xml:space="preserve"> PAGEREF _Toc185514898 \h </w:instrText>
        </w:r>
        <w:r w:rsidR="00AC5392" w:rsidRPr="00AC5392">
          <w:rPr>
            <w:vanish/>
          </w:rPr>
        </w:r>
        <w:r w:rsidR="00AC5392" w:rsidRPr="00AC5392">
          <w:rPr>
            <w:vanish/>
          </w:rPr>
          <w:fldChar w:fldCharType="separate"/>
        </w:r>
        <w:r w:rsidR="00AC5392" w:rsidRPr="00AC5392">
          <w:rPr>
            <w:vanish/>
          </w:rPr>
          <w:t>717</w:t>
        </w:r>
        <w:r w:rsidR="00AC5392" w:rsidRPr="00AC5392">
          <w:rPr>
            <w:vanish/>
          </w:rPr>
          <w:fldChar w:fldCharType="end"/>
        </w:r>
      </w:hyperlink>
    </w:p>
    <w:p w14:paraId="648409EF" w14:textId="7BCED9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899" w:history="1">
        <w:r w:rsidRPr="00533B68">
          <w:t>3968</w:t>
        </w:r>
        <w:r>
          <w:rPr>
            <w:rFonts w:asciiTheme="minorHAnsi" w:eastAsiaTheme="minorEastAsia" w:hAnsiTheme="minorHAnsi" w:cstheme="minorBidi"/>
            <w:kern w:val="2"/>
            <w:sz w:val="24"/>
            <w:szCs w:val="24"/>
            <w:lang w:eastAsia="en-AU"/>
            <w14:ligatures w14:val="standardContextual"/>
          </w:rPr>
          <w:tab/>
        </w:r>
        <w:r w:rsidRPr="00533B68">
          <w:t>Workers compensation costs—generally</w:t>
        </w:r>
        <w:r>
          <w:tab/>
        </w:r>
        <w:r>
          <w:fldChar w:fldCharType="begin"/>
        </w:r>
        <w:r>
          <w:instrText xml:space="preserve"> PAGEREF _Toc185514899 \h </w:instrText>
        </w:r>
        <w:r>
          <w:fldChar w:fldCharType="separate"/>
        </w:r>
        <w:r>
          <w:t>717</w:t>
        </w:r>
        <w:r>
          <w:fldChar w:fldCharType="end"/>
        </w:r>
      </w:hyperlink>
    </w:p>
    <w:p w14:paraId="387DF5A9" w14:textId="496E288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00" w:history="1">
        <w:r w:rsidRPr="00533B68">
          <w:t>3969</w:t>
        </w:r>
        <w:r>
          <w:rPr>
            <w:rFonts w:asciiTheme="minorHAnsi" w:eastAsiaTheme="minorEastAsia" w:hAnsiTheme="minorHAnsi" w:cstheme="minorBidi"/>
            <w:kern w:val="2"/>
            <w:sz w:val="24"/>
            <w:szCs w:val="24"/>
            <w:lang w:eastAsia="en-AU"/>
            <w14:ligatures w14:val="standardContextual"/>
          </w:rPr>
          <w:tab/>
        </w:r>
        <w:r w:rsidRPr="00533B68">
          <w:t>Workers compensation costs—claim against arbitration award</w:t>
        </w:r>
        <w:r>
          <w:tab/>
        </w:r>
        <w:r>
          <w:fldChar w:fldCharType="begin"/>
        </w:r>
        <w:r>
          <w:instrText xml:space="preserve"> PAGEREF _Toc185514900 \h </w:instrText>
        </w:r>
        <w:r>
          <w:fldChar w:fldCharType="separate"/>
        </w:r>
        <w:r>
          <w:t>718</w:t>
        </w:r>
        <w:r>
          <w:fldChar w:fldCharType="end"/>
        </w:r>
      </w:hyperlink>
    </w:p>
    <w:p w14:paraId="53461415" w14:textId="428B84B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01" w:history="1">
        <w:r w:rsidR="00AC5392" w:rsidRPr="00533B68">
          <w:t>Division 3.13.14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Workers compensation—appeals</w:t>
        </w:r>
        <w:r w:rsidR="00AC5392" w:rsidRPr="00AC5392">
          <w:rPr>
            <w:vanish/>
          </w:rPr>
          <w:tab/>
        </w:r>
        <w:r w:rsidR="00AC5392" w:rsidRPr="00AC5392">
          <w:rPr>
            <w:vanish/>
          </w:rPr>
          <w:fldChar w:fldCharType="begin"/>
        </w:r>
        <w:r w:rsidR="00AC5392" w:rsidRPr="00AC5392">
          <w:rPr>
            <w:vanish/>
          </w:rPr>
          <w:instrText xml:space="preserve"> PAGEREF _Toc185514901 \h </w:instrText>
        </w:r>
        <w:r w:rsidR="00AC5392" w:rsidRPr="00AC5392">
          <w:rPr>
            <w:vanish/>
          </w:rPr>
        </w:r>
        <w:r w:rsidR="00AC5392" w:rsidRPr="00AC5392">
          <w:rPr>
            <w:vanish/>
          </w:rPr>
          <w:fldChar w:fldCharType="separate"/>
        </w:r>
        <w:r w:rsidR="00AC5392" w:rsidRPr="00AC5392">
          <w:rPr>
            <w:vanish/>
          </w:rPr>
          <w:t>719</w:t>
        </w:r>
        <w:r w:rsidR="00AC5392" w:rsidRPr="00AC5392">
          <w:rPr>
            <w:vanish/>
          </w:rPr>
          <w:fldChar w:fldCharType="end"/>
        </w:r>
      </w:hyperlink>
    </w:p>
    <w:p w14:paraId="427D529B" w14:textId="221692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02" w:history="1">
        <w:r w:rsidRPr="00533B68">
          <w:t>3970</w:t>
        </w:r>
        <w:r>
          <w:rPr>
            <w:rFonts w:asciiTheme="minorHAnsi" w:eastAsiaTheme="minorEastAsia" w:hAnsiTheme="minorHAnsi" w:cstheme="minorBidi"/>
            <w:kern w:val="2"/>
            <w:sz w:val="24"/>
            <w:szCs w:val="24"/>
            <w:lang w:eastAsia="en-AU"/>
            <w14:ligatures w14:val="standardContextual"/>
          </w:rPr>
          <w:tab/>
        </w:r>
        <w:r w:rsidRPr="00533B68">
          <w:t>Appeal—order of Supreme Court</w:t>
        </w:r>
        <w:r>
          <w:tab/>
        </w:r>
        <w:r>
          <w:fldChar w:fldCharType="begin"/>
        </w:r>
        <w:r>
          <w:instrText xml:space="preserve"> PAGEREF _Toc185514902 \h </w:instrText>
        </w:r>
        <w:r>
          <w:fldChar w:fldCharType="separate"/>
        </w:r>
        <w:r>
          <w:t>719</w:t>
        </w:r>
        <w:r>
          <w:fldChar w:fldCharType="end"/>
        </w:r>
      </w:hyperlink>
    </w:p>
    <w:p w14:paraId="5CD6CA24" w14:textId="6765DB14" w:rsidR="00AC5392" w:rsidRDefault="001542D1">
      <w:pPr>
        <w:pStyle w:val="TOC1"/>
        <w:rPr>
          <w:rFonts w:asciiTheme="minorHAnsi" w:eastAsiaTheme="minorEastAsia" w:hAnsiTheme="minorHAnsi" w:cstheme="minorBidi"/>
          <w:b w:val="0"/>
          <w:kern w:val="2"/>
          <w:szCs w:val="24"/>
          <w:lang w:eastAsia="en-AU"/>
          <w14:ligatures w14:val="standardContextual"/>
        </w:rPr>
      </w:pPr>
      <w:hyperlink w:anchor="_Toc185514903" w:history="1">
        <w:r w:rsidR="00AC5392" w:rsidRPr="00533B68">
          <w:t>Chapter 4</w:t>
        </w:r>
        <w:r w:rsidR="00AC5392">
          <w:rPr>
            <w:rFonts w:asciiTheme="minorHAnsi" w:eastAsiaTheme="minorEastAsia" w:hAnsiTheme="minorHAnsi" w:cstheme="minorBidi"/>
            <w:b w:val="0"/>
            <w:kern w:val="2"/>
            <w:szCs w:val="24"/>
            <w:lang w:eastAsia="en-AU"/>
            <w14:ligatures w14:val="standardContextual"/>
          </w:rPr>
          <w:tab/>
        </w:r>
        <w:r w:rsidR="00AC5392" w:rsidRPr="00533B68">
          <w:t>Criminal proceedings</w:t>
        </w:r>
        <w:r w:rsidR="00AC5392" w:rsidRPr="00AC5392">
          <w:rPr>
            <w:vanish/>
          </w:rPr>
          <w:tab/>
        </w:r>
        <w:r w:rsidR="00AC5392" w:rsidRPr="00AC5392">
          <w:rPr>
            <w:vanish/>
          </w:rPr>
          <w:fldChar w:fldCharType="begin"/>
        </w:r>
        <w:r w:rsidR="00AC5392" w:rsidRPr="00AC5392">
          <w:rPr>
            <w:vanish/>
          </w:rPr>
          <w:instrText xml:space="preserve"> PAGEREF _Toc185514903 \h </w:instrText>
        </w:r>
        <w:r w:rsidR="00AC5392" w:rsidRPr="00AC5392">
          <w:rPr>
            <w:vanish/>
          </w:rPr>
        </w:r>
        <w:r w:rsidR="00AC5392" w:rsidRPr="00AC5392">
          <w:rPr>
            <w:vanish/>
          </w:rPr>
          <w:fldChar w:fldCharType="separate"/>
        </w:r>
        <w:r w:rsidR="00AC5392" w:rsidRPr="00AC5392">
          <w:rPr>
            <w:vanish/>
          </w:rPr>
          <w:t>720</w:t>
        </w:r>
        <w:r w:rsidR="00AC5392" w:rsidRPr="00AC5392">
          <w:rPr>
            <w:vanish/>
          </w:rPr>
          <w:fldChar w:fldCharType="end"/>
        </w:r>
      </w:hyperlink>
    </w:p>
    <w:p w14:paraId="3715AC02" w14:textId="2DC2AB00"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904" w:history="1">
        <w:r w:rsidR="00AC5392" w:rsidRPr="00533B68">
          <w:t>Part 4.1</w:t>
        </w:r>
        <w:r w:rsidR="00AC5392">
          <w:rPr>
            <w:rFonts w:asciiTheme="minorHAnsi" w:eastAsiaTheme="minorEastAsia" w:hAnsiTheme="minorHAnsi" w:cstheme="minorBidi"/>
            <w:b w:val="0"/>
            <w:kern w:val="2"/>
            <w:szCs w:val="24"/>
            <w:lang w:eastAsia="en-AU"/>
            <w14:ligatures w14:val="standardContextual"/>
          </w:rPr>
          <w:tab/>
        </w:r>
        <w:r w:rsidR="00AC5392" w:rsidRPr="00533B68">
          <w:t>Criminal proceedings—general</w:t>
        </w:r>
        <w:r w:rsidR="00AC5392" w:rsidRPr="00AC5392">
          <w:rPr>
            <w:vanish/>
          </w:rPr>
          <w:tab/>
        </w:r>
        <w:r w:rsidR="00AC5392" w:rsidRPr="00AC5392">
          <w:rPr>
            <w:vanish/>
          </w:rPr>
          <w:fldChar w:fldCharType="begin"/>
        </w:r>
        <w:r w:rsidR="00AC5392" w:rsidRPr="00AC5392">
          <w:rPr>
            <w:vanish/>
          </w:rPr>
          <w:instrText xml:space="preserve"> PAGEREF _Toc185514904 \h </w:instrText>
        </w:r>
        <w:r w:rsidR="00AC5392" w:rsidRPr="00AC5392">
          <w:rPr>
            <w:vanish/>
          </w:rPr>
        </w:r>
        <w:r w:rsidR="00AC5392" w:rsidRPr="00AC5392">
          <w:rPr>
            <w:vanish/>
          </w:rPr>
          <w:fldChar w:fldCharType="separate"/>
        </w:r>
        <w:r w:rsidR="00AC5392" w:rsidRPr="00AC5392">
          <w:rPr>
            <w:vanish/>
          </w:rPr>
          <w:t>720</w:t>
        </w:r>
        <w:r w:rsidR="00AC5392" w:rsidRPr="00AC5392">
          <w:rPr>
            <w:vanish/>
          </w:rPr>
          <w:fldChar w:fldCharType="end"/>
        </w:r>
      </w:hyperlink>
    </w:p>
    <w:p w14:paraId="557495E7" w14:textId="22A7DD2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05" w:history="1">
        <w:r w:rsidR="00AC5392" w:rsidRPr="00533B68">
          <w:t>Division 4.1.1A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rFonts w:cs="Arial"/>
          </w:rPr>
          <w:t>Criminal proceedings—representation</w:t>
        </w:r>
        <w:r w:rsidR="00AC5392" w:rsidRPr="00AC5392">
          <w:rPr>
            <w:vanish/>
          </w:rPr>
          <w:tab/>
        </w:r>
        <w:r w:rsidR="00AC5392" w:rsidRPr="00AC5392">
          <w:rPr>
            <w:vanish/>
          </w:rPr>
          <w:fldChar w:fldCharType="begin"/>
        </w:r>
        <w:r w:rsidR="00AC5392" w:rsidRPr="00AC5392">
          <w:rPr>
            <w:vanish/>
          </w:rPr>
          <w:instrText xml:space="preserve"> PAGEREF _Toc185514905 \h </w:instrText>
        </w:r>
        <w:r w:rsidR="00AC5392" w:rsidRPr="00AC5392">
          <w:rPr>
            <w:vanish/>
          </w:rPr>
        </w:r>
        <w:r w:rsidR="00AC5392" w:rsidRPr="00AC5392">
          <w:rPr>
            <w:vanish/>
          </w:rPr>
          <w:fldChar w:fldCharType="separate"/>
        </w:r>
        <w:r w:rsidR="00AC5392" w:rsidRPr="00AC5392">
          <w:rPr>
            <w:vanish/>
          </w:rPr>
          <w:t>720</w:t>
        </w:r>
        <w:r w:rsidR="00AC5392" w:rsidRPr="00AC5392">
          <w:rPr>
            <w:vanish/>
          </w:rPr>
          <w:fldChar w:fldCharType="end"/>
        </w:r>
      </w:hyperlink>
    </w:p>
    <w:p w14:paraId="74A79C33" w14:textId="5704B3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06" w:history="1">
        <w:r w:rsidRPr="00533B68">
          <w:t>4000A</w:t>
        </w:r>
        <w:r>
          <w:rPr>
            <w:rFonts w:asciiTheme="minorHAnsi" w:eastAsiaTheme="minorEastAsia" w:hAnsiTheme="minorHAnsi" w:cstheme="minorBidi"/>
            <w:kern w:val="2"/>
            <w:sz w:val="24"/>
            <w:szCs w:val="24"/>
            <w:lang w:eastAsia="en-AU"/>
            <w14:ligatures w14:val="standardContextual"/>
          </w:rPr>
          <w:tab/>
        </w:r>
        <w:r w:rsidRPr="00533B68">
          <w:t>Definitions—div 4.1.1A</w:t>
        </w:r>
        <w:r>
          <w:tab/>
        </w:r>
        <w:r>
          <w:fldChar w:fldCharType="begin"/>
        </w:r>
        <w:r>
          <w:instrText xml:space="preserve"> PAGEREF _Toc185514906 \h </w:instrText>
        </w:r>
        <w:r>
          <w:fldChar w:fldCharType="separate"/>
        </w:r>
        <w:r>
          <w:t>720</w:t>
        </w:r>
        <w:r>
          <w:fldChar w:fldCharType="end"/>
        </w:r>
      </w:hyperlink>
    </w:p>
    <w:p w14:paraId="5D205633" w14:textId="6A6A4DB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07" w:history="1">
        <w:r w:rsidRPr="00533B68">
          <w:t>4000B</w:t>
        </w:r>
        <w:r>
          <w:rPr>
            <w:rFonts w:asciiTheme="minorHAnsi" w:eastAsiaTheme="minorEastAsia" w:hAnsiTheme="minorHAnsi" w:cstheme="minorBidi"/>
            <w:kern w:val="2"/>
            <w:sz w:val="24"/>
            <w:szCs w:val="24"/>
            <w:lang w:eastAsia="en-AU"/>
            <w14:ligatures w14:val="standardContextual"/>
          </w:rPr>
          <w:tab/>
        </w:r>
        <w:r w:rsidRPr="00533B68">
          <w:t>Criminal proceedings—notice of solicitor acting</w:t>
        </w:r>
        <w:r>
          <w:tab/>
        </w:r>
        <w:r>
          <w:fldChar w:fldCharType="begin"/>
        </w:r>
        <w:r>
          <w:instrText xml:space="preserve"> PAGEREF _Toc185514907 \h </w:instrText>
        </w:r>
        <w:r>
          <w:fldChar w:fldCharType="separate"/>
        </w:r>
        <w:r>
          <w:t>720</w:t>
        </w:r>
        <w:r>
          <w:fldChar w:fldCharType="end"/>
        </w:r>
      </w:hyperlink>
    </w:p>
    <w:p w14:paraId="3C97BE2A" w14:textId="0B3375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08" w:history="1">
        <w:r w:rsidRPr="00533B68">
          <w:t>4000C</w:t>
        </w:r>
        <w:r>
          <w:rPr>
            <w:rFonts w:asciiTheme="minorHAnsi" w:eastAsiaTheme="minorEastAsia" w:hAnsiTheme="minorHAnsi" w:cstheme="minorBidi"/>
            <w:kern w:val="2"/>
            <w:sz w:val="24"/>
            <w:szCs w:val="24"/>
            <w:lang w:eastAsia="en-AU"/>
            <w14:ligatures w14:val="standardContextual"/>
          </w:rPr>
          <w:tab/>
        </w:r>
        <w:r w:rsidRPr="00533B68">
          <w:t>Criminal proceedings—solicitor’s instructions to act for accused person ended</w:t>
        </w:r>
        <w:r>
          <w:tab/>
        </w:r>
        <w:r>
          <w:fldChar w:fldCharType="begin"/>
        </w:r>
        <w:r>
          <w:instrText xml:space="preserve"> PAGEREF _Toc185514908 \h </w:instrText>
        </w:r>
        <w:r>
          <w:fldChar w:fldCharType="separate"/>
        </w:r>
        <w:r>
          <w:t>722</w:t>
        </w:r>
        <w:r>
          <w:fldChar w:fldCharType="end"/>
        </w:r>
      </w:hyperlink>
    </w:p>
    <w:p w14:paraId="246730B8" w14:textId="501FBB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09" w:history="1">
        <w:r w:rsidRPr="00533B68">
          <w:t>4000D</w:t>
        </w:r>
        <w:r>
          <w:rPr>
            <w:rFonts w:asciiTheme="minorHAnsi" w:eastAsiaTheme="minorEastAsia" w:hAnsiTheme="minorHAnsi" w:cstheme="minorBidi"/>
            <w:kern w:val="2"/>
            <w:sz w:val="24"/>
            <w:szCs w:val="24"/>
            <w:lang w:eastAsia="en-AU"/>
            <w14:ligatures w14:val="standardContextual"/>
          </w:rPr>
          <w:tab/>
        </w:r>
        <w:r w:rsidRPr="00533B68">
          <w:t>Criminal proceedings—withdrawal of solicitor</w:t>
        </w:r>
        <w:r>
          <w:tab/>
        </w:r>
        <w:r>
          <w:fldChar w:fldCharType="begin"/>
        </w:r>
        <w:r>
          <w:instrText xml:space="preserve"> PAGEREF _Toc185514909 \h </w:instrText>
        </w:r>
        <w:r>
          <w:fldChar w:fldCharType="separate"/>
        </w:r>
        <w:r>
          <w:t>723</w:t>
        </w:r>
        <w:r>
          <w:fldChar w:fldCharType="end"/>
        </w:r>
      </w:hyperlink>
    </w:p>
    <w:p w14:paraId="25C4C60E" w14:textId="6C69675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0" w:history="1">
        <w:r w:rsidRPr="00533B68">
          <w:t>4000E</w:t>
        </w:r>
        <w:r>
          <w:rPr>
            <w:rFonts w:asciiTheme="minorHAnsi" w:eastAsiaTheme="minorEastAsia" w:hAnsiTheme="minorHAnsi" w:cstheme="minorBidi"/>
            <w:kern w:val="2"/>
            <w:sz w:val="24"/>
            <w:szCs w:val="24"/>
            <w:lang w:eastAsia="en-AU"/>
            <w14:ligatures w14:val="standardContextual"/>
          </w:rPr>
          <w:tab/>
        </w:r>
        <w:r w:rsidRPr="00533B68">
          <w:t>Criminal proceedings—removal of solicitor by court</w:t>
        </w:r>
        <w:r>
          <w:tab/>
        </w:r>
        <w:r>
          <w:fldChar w:fldCharType="begin"/>
        </w:r>
        <w:r>
          <w:instrText xml:space="preserve"> PAGEREF _Toc185514910 \h </w:instrText>
        </w:r>
        <w:r>
          <w:fldChar w:fldCharType="separate"/>
        </w:r>
        <w:r>
          <w:t>724</w:t>
        </w:r>
        <w:r>
          <w:fldChar w:fldCharType="end"/>
        </w:r>
      </w:hyperlink>
    </w:p>
    <w:p w14:paraId="08EEDE4E" w14:textId="22AEF4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1" w:history="1">
        <w:r w:rsidRPr="00533B68">
          <w:t>4000F</w:t>
        </w:r>
        <w:r>
          <w:rPr>
            <w:rFonts w:asciiTheme="minorHAnsi" w:eastAsiaTheme="minorEastAsia" w:hAnsiTheme="minorHAnsi" w:cstheme="minorBidi"/>
            <w:kern w:val="2"/>
            <w:sz w:val="24"/>
            <w:szCs w:val="24"/>
            <w:lang w:eastAsia="en-AU"/>
            <w14:ligatures w14:val="standardContextual"/>
          </w:rPr>
          <w:tab/>
        </w:r>
        <w:r w:rsidRPr="00533B68">
          <w:t>Criminal proceedings—solicitor removed from roll etc</w:t>
        </w:r>
        <w:r>
          <w:tab/>
        </w:r>
        <w:r>
          <w:fldChar w:fldCharType="begin"/>
        </w:r>
        <w:r>
          <w:instrText xml:space="preserve"> PAGEREF _Toc185514911 \h </w:instrText>
        </w:r>
        <w:r>
          <w:fldChar w:fldCharType="separate"/>
        </w:r>
        <w:r>
          <w:t>725</w:t>
        </w:r>
        <w:r>
          <w:fldChar w:fldCharType="end"/>
        </w:r>
      </w:hyperlink>
    </w:p>
    <w:p w14:paraId="4ED31A4C" w14:textId="2CF75DC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2" w:history="1">
        <w:r w:rsidRPr="00533B68">
          <w:t>4000G</w:t>
        </w:r>
        <w:r>
          <w:rPr>
            <w:rFonts w:asciiTheme="minorHAnsi" w:eastAsiaTheme="minorEastAsia" w:hAnsiTheme="minorHAnsi" w:cstheme="minorBidi"/>
            <w:kern w:val="2"/>
            <w:sz w:val="24"/>
            <w:szCs w:val="24"/>
            <w:lang w:eastAsia="en-AU"/>
            <w14:ligatures w14:val="standardContextual"/>
          </w:rPr>
          <w:tab/>
        </w:r>
        <w:r w:rsidRPr="00533B68">
          <w:t>Criminal proceedings—handing over depositions</w:t>
        </w:r>
        <w:r>
          <w:tab/>
        </w:r>
        <w:r>
          <w:fldChar w:fldCharType="begin"/>
        </w:r>
        <w:r>
          <w:instrText xml:space="preserve"> PAGEREF _Toc185514912 \h </w:instrText>
        </w:r>
        <w:r>
          <w:fldChar w:fldCharType="separate"/>
        </w:r>
        <w:r>
          <w:t>726</w:t>
        </w:r>
        <w:r>
          <w:fldChar w:fldCharType="end"/>
        </w:r>
      </w:hyperlink>
    </w:p>
    <w:p w14:paraId="13A4A5C9" w14:textId="2185B5C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13" w:history="1">
        <w:r w:rsidR="00AC5392" w:rsidRPr="00533B68">
          <w:t>Division 4.1.1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Criminal proceedings—application of ch 2</w:t>
        </w:r>
        <w:r w:rsidR="00AC5392" w:rsidRPr="00AC5392">
          <w:rPr>
            <w:vanish/>
          </w:rPr>
          <w:tab/>
        </w:r>
        <w:r w:rsidR="00AC5392" w:rsidRPr="00AC5392">
          <w:rPr>
            <w:vanish/>
          </w:rPr>
          <w:fldChar w:fldCharType="begin"/>
        </w:r>
        <w:r w:rsidR="00AC5392" w:rsidRPr="00AC5392">
          <w:rPr>
            <w:vanish/>
          </w:rPr>
          <w:instrText xml:space="preserve"> PAGEREF _Toc185514913 \h </w:instrText>
        </w:r>
        <w:r w:rsidR="00AC5392" w:rsidRPr="00AC5392">
          <w:rPr>
            <w:vanish/>
          </w:rPr>
        </w:r>
        <w:r w:rsidR="00AC5392" w:rsidRPr="00AC5392">
          <w:rPr>
            <w:vanish/>
          </w:rPr>
          <w:fldChar w:fldCharType="separate"/>
        </w:r>
        <w:r w:rsidR="00AC5392" w:rsidRPr="00AC5392">
          <w:rPr>
            <w:vanish/>
          </w:rPr>
          <w:t>726</w:t>
        </w:r>
        <w:r w:rsidR="00AC5392" w:rsidRPr="00AC5392">
          <w:rPr>
            <w:vanish/>
          </w:rPr>
          <w:fldChar w:fldCharType="end"/>
        </w:r>
      </w:hyperlink>
    </w:p>
    <w:p w14:paraId="2E78D122" w14:textId="28D647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4" w:history="1">
        <w:r w:rsidRPr="00533B68">
          <w:t>4000</w:t>
        </w:r>
        <w:r>
          <w:rPr>
            <w:rFonts w:asciiTheme="minorHAnsi" w:eastAsiaTheme="minorEastAsia" w:hAnsiTheme="minorHAnsi" w:cstheme="minorBidi"/>
            <w:kern w:val="2"/>
            <w:sz w:val="24"/>
            <w:szCs w:val="24"/>
            <w:lang w:eastAsia="en-AU"/>
            <w14:ligatures w14:val="standardContextual"/>
          </w:rPr>
          <w:tab/>
        </w:r>
        <w:r w:rsidRPr="00533B68">
          <w:t>Criminal proceedings—application of expert witness code of conduct</w:t>
        </w:r>
        <w:r>
          <w:tab/>
        </w:r>
        <w:r>
          <w:fldChar w:fldCharType="begin"/>
        </w:r>
        <w:r>
          <w:instrText xml:space="preserve"> PAGEREF _Toc185514914 \h </w:instrText>
        </w:r>
        <w:r>
          <w:fldChar w:fldCharType="separate"/>
        </w:r>
        <w:r>
          <w:t>726</w:t>
        </w:r>
        <w:r>
          <w:fldChar w:fldCharType="end"/>
        </w:r>
      </w:hyperlink>
    </w:p>
    <w:p w14:paraId="6BFBD945" w14:textId="1AE9EF5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15" w:history="1">
        <w:r w:rsidR="00AC5392" w:rsidRPr="00533B68">
          <w:t>Division 4.1.2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Criminal proceedings—service</w:t>
        </w:r>
        <w:r w:rsidR="00AC5392" w:rsidRPr="00AC5392">
          <w:rPr>
            <w:vanish/>
          </w:rPr>
          <w:tab/>
        </w:r>
        <w:r w:rsidR="00AC5392" w:rsidRPr="00AC5392">
          <w:rPr>
            <w:vanish/>
          </w:rPr>
          <w:fldChar w:fldCharType="begin"/>
        </w:r>
        <w:r w:rsidR="00AC5392" w:rsidRPr="00AC5392">
          <w:rPr>
            <w:vanish/>
          </w:rPr>
          <w:instrText xml:space="preserve"> PAGEREF _Toc185514915 \h </w:instrText>
        </w:r>
        <w:r w:rsidR="00AC5392" w:rsidRPr="00AC5392">
          <w:rPr>
            <w:vanish/>
          </w:rPr>
        </w:r>
        <w:r w:rsidR="00AC5392" w:rsidRPr="00AC5392">
          <w:rPr>
            <w:vanish/>
          </w:rPr>
          <w:fldChar w:fldCharType="separate"/>
        </w:r>
        <w:r w:rsidR="00AC5392" w:rsidRPr="00AC5392">
          <w:rPr>
            <w:vanish/>
          </w:rPr>
          <w:t>727</w:t>
        </w:r>
        <w:r w:rsidR="00AC5392" w:rsidRPr="00AC5392">
          <w:rPr>
            <w:vanish/>
          </w:rPr>
          <w:fldChar w:fldCharType="end"/>
        </w:r>
      </w:hyperlink>
    </w:p>
    <w:p w14:paraId="37CB16B1" w14:textId="3F7A60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6" w:history="1">
        <w:r w:rsidRPr="00533B68">
          <w:t>4005</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accused person</w:t>
        </w:r>
        <w:r w:rsidRPr="00533B68">
          <w:t xml:space="preserve"> for div 4.1.2—bail applications</w:t>
        </w:r>
        <w:r>
          <w:tab/>
        </w:r>
        <w:r>
          <w:fldChar w:fldCharType="begin"/>
        </w:r>
        <w:r>
          <w:instrText xml:space="preserve"> PAGEREF _Toc185514916 \h </w:instrText>
        </w:r>
        <w:r>
          <w:fldChar w:fldCharType="separate"/>
        </w:r>
        <w:r>
          <w:t>727</w:t>
        </w:r>
        <w:r>
          <w:fldChar w:fldCharType="end"/>
        </w:r>
      </w:hyperlink>
    </w:p>
    <w:p w14:paraId="05324A10" w14:textId="54CBDDE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7" w:history="1">
        <w:r w:rsidRPr="00533B68">
          <w:t>4006</w:t>
        </w:r>
        <w:r>
          <w:rPr>
            <w:rFonts w:asciiTheme="minorHAnsi" w:eastAsiaTheme="minorEastAsia" w:hAnsiTheme="minorHAnsi" w:cstheme="minorBidi"/>
            <w:kern w:val="2"/>
            <w:sz w:val="24"/>
            <w:szCs w:val="24"/>
            <w:lang w:eastAsia="en-AU"/>
            <w14:ligatures w14:val="standardContextual"/>
          </w:rPr>
          <w:tab/>
        </w:r>
        <w:r w:rsidRPr="00533B68">
          <w:t>Criminal proceedings—application of pt 6.8</w:t>
        </w:r>
        <w:r>
          <w:tab/>
        </w:r>
        <w:r>
          <w:fldChar w:fldCharType="begin"/>
        </w:r>
        <w:r>
          <w:instrText xml:space="preserve"> PAGEREF _Toc185514917 \h </w:instrText>
        </w:r>
        <w:r>
          <w:fldChar w:fldCharType="separate"/>
        </w:r>
        <w:r>
          <w:t>727</w:t>
        </w:r>
        <w:r>
          <w:fldChar w:fldCharType="end"/>
        </w:r>
      </w:hyperlink>
    </w:p>
    <w:p w14:paraId="754FFF68" w14:textId="2C0BDE0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8" w:history="1">
        <w:r w:rsidRPr="00533B68">
          <w:t>4007</w:t>
        </w:r>
        <w:r>
          <w:rPr>
            <w:rFonts w:asciiTheme="minorHAnsi" w:eastAsiaTheme="minorEastAsia" w:hAnsiTheme="minorHAnsi" w:cstheme="minorBidi"/>
            <w:kern w:val="2"/>
            <w:sz w:val="24"/>
            <w:szCs w:val="24"/>
            <w:lang w:eastAsia="en-AU"/>
            <w14:ligatures w14:val="standardContextual"/>
          </w:rPr>
          <w:tab/>
        </w:r>
        <w:r w:rsidRPr="00533B68">
          <w:t>Criminal proceedings—service on accused person by filing if no address for service</w:t>
        </w:r>
        <w:r>
          <w:tab/>
        </w:r>
        <w:r>
          <w:fldChar w:fldCharType="begin"/>
        </w:r>
        <w:r>
          <w:instrText xml:space="preserve"> PAGEREF _Toc185514918 \h </w:instrText>
        </w:r>
        <w:r>
          <w:fldChar w:fldCharType="separate"/>
        </w:r>
        <w:r>
          <w:t>728</w:t>
        </w:r>
        <w:r>
          <w:fldChar w:fldCharType="end"/>
        </w:r>
      </w:hyperlink>
    </w:p>
    <w:p w14:paraId="19063072" w14:textId="5E516B7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19" w:history="1">
        <w:r w:rsidRPr="00533B68">
          <w:t>4008</w:t>
        </w:r>
        <w:r>
          <w:rPr>
            <w:rFonts w:asciiTheme="minorHAnsi" w:eastAsiaTheme="minorEastAsia" w:hAnsiTheme="minorHAnsi" w:cstheme="minorBidi"/>
            <w:kern w:val="2"/>
            <w:sz w:val="24"/>
            <w:szCs w:val="24"/>
            <w:lang w:eastAsia="en-AU"/>
            <w14:ligatures w14:val="standardContextual"/>
          </w:rPr>
          <w:tab/>
        </w:r>
        <w:r w:rsidRPr="00533B68">
          <w:t>Criminal proceedings—service if no-one found at accused person’s address for service</w:t>
        </w:r>
        <w:r>
          <w:tab/>
        </w:r>
        <w:r>
          <w:fldChar w:fldCharType="begin"/>
        </w:r>
        <w:r>
          <w:instrText xml:space="preserve"> PAGEREF _Toc185514919 \h </w:instrText>
        </w:r>
        <w:r>
          <w:fldChar w:fldCharType="separate"/>
        </w:r>
        <w:r>
          <w:t>728</w:t>
        </w:r>
        <w:r>
          <w:fldChar w:fldCharType="end"/>
        </w:r>
      </w:hyperlink>
    </w:p>
    <w:p w14:paraId="1D7D3C0A" w14:textId="7495760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0" w:history="1">
        <w:r w:rsidRPr="00533B68">
          <w:t>4009</w:t>
        </w:r>
        <w:r>
          <w:rPr>
            <w:rFonts w:asciiTheme="minorHAnsi" w:eastAsiaTheme="minorEastAsia" w:hAnsiTheme="minorHAnsi" w:cstheme="minorBidi"/>
            <w:kern w:val="2"/>
            <w:sz w:val="24"/>
            <w:szCs w:val="24"/>
            <w:lang w:eastAsia="en-AU"/>
            <w14:ligatures w14:val="standardContextual"/>
          </w:rPr>
          <w:tab/>
        </w:r>
        <w:r w:rsidRPr="00533B68">
          <w:t>Criminal proceedings—service of documents when unrepresented accused person in custody</w:t>
        </w:r>
        <w:r>
          <w:tab/>
        </w:r>
        <w:r>
          <w:fldChar w:fldCharType="begin"/>
        </w:r>
        <w:r>
          <w:instrText xml:space="preserve"> PAGEREF _Toc185514920 \h </w:instrText>
        </w:r>
        <w:r>
          <w:fldChar w:fldCharType="separate"/>
        </w:r>
        <w:r>
          <w:t>729</w:t>
        </w:r>
        <w:r>
          <w:fldChar w:fldCharType="end"/>
        </w:r>
      </w:hyperlink>
    </w:p>
    <w:p w14:paraId="68750F11" w14:textId="23C1A43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21" w:history="1">
        <w:r w:rsidR="00AC5392" w:rsidRPr="00533B68">
          <w:t>Division 4.1.3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Criminal proceedings—enforcement</w:t>
        </w:r>
        <w:r w:rsidR="00AC5392" w:rsidRPr="00AC5392">
          <w:rPr>
            <w:vanish/>
          </w:rPr>
          <w:tab/>
        </w:r>
        <w:r w:rsidR="00AC5392" w:rsidRPr="00AC5392">
          <w:rPr>
            <w:vanish/>
          </w:rPr>
          <w:fldChar w:fldCharType="begin"/>
        </w:r>
        <w:r w:rsidR="00AC5392" w:rsidRPr="00AC5392">
          <w:rPr>
            <w:vanish/>
          </w:rPr>
          <w:instrText xml:space="preserve"> PAGEREF _Toc185514921 \h </w:instrText>
        </w:r>
        <w:r w:rsidR="00AC5392" w:rsidRPr="00AC5392">
          <w:rPr>
            <w:vanish/>
          </w:rPr>
        </w:r>
        <w:r w:rsidR="00AC5392" w:rsidRPr="00AC5392">
          <w:rPr>
            <w:vanish/>
          </w:rPr>
          <w:fldChar w:fldCharType="separate"/>
        </w:r>
        <w:r w:rsidR="00AC5392" w:rsidRPr="00AC5392">
          <w:rPr>
            <w:vanish/>
          </w:rPr>
          <w:t>730</w:t>
        </w:r>
        <w:r w:rsidR="00AC5392" w:rsidRPr="00AC5392">
          <w:rPr>
            <w:vanish/>
          </w:rPr>
          <w:fldChar w:fldCharType="end"/>
        </w:r>
      </w:hyperlink>
    </w:p>
    <w:p w14:paraId="6DCFEB4B" w14:textId="24DE89D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2" w:history="1">
        <w:r w:rsidRPr="00533B68">
          <w:t>4020</w:t>
        </w:r>
        <w:r>
          <w:rPr>
            <w:rFonts w:asciiTheme="minorHAnsi" w:eastAsiaTheme="minorEastAsia" w:hAnsiTheme="minorHAnsi" w:cstheme="minorBidi"/>
            <w:kern w:val="2"/>
            <w:sz w:val="24"/>
            <w:szCs w:val="24"/>
            <w:lang w:eastAsia="en-AU"/>
            <w14:ligatures w14:val="standardContextual"/>
          </w:rPr>
          <w:tab/>
        </w:r>
        <w:r w:rsidRPr="00533B68">
          <w:t>Criminal proceedings—failure of individual to comply with subpoena etc</w:t>
        </w:r>
        <w:r>
          <w:tab/>
        </w:r>
        <w:r>
          <w:fldChar w:fldCharType="begin"/>
        </w:r>
        <w:r>
          <w:instrText xml:space="preserve"> PAGEREF _Toc185514922 \h </w:instrText>
        </w:r>
        <w:r>
          <w:fldChar w:fldCharType="separate"/>
        </w:r>
        <w:r>
          <w:t>730</w:t>
        </w:r>
        <w:r>
          <w:fldChar w:fldCharType="end"/>
        </w:r>
      </w:hyperlink>
    </w:p>
    <w:p w14:paraId="5C82A091" w14:textId="085A00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3" w:history="1">
        <w:r w:rsidRPr="00533B68">
          <w:t>4021</w:t>
        </w:r>
        <w:r>
          <w:rPr>
            <w:rFonts w:asciiTheme="minorHAnsi" w:eastAsiaTheme="minorEastAsia" w:hAnsiTheme="minorHAnsi" w:cstheme="minorBidi"/>
            <w:kern w:val="2"/>
            <w:sz w:val="24"/>
            <w:szCs w:val="24"/>
            <w:lang w:eastAsia="en-AU"/>
            <w14:ligatures w14:val="standardContextual"/>
          </w:rPr>
          <w:tab/>
        </w:r>
        <w:r w:rsidRPr="00533B68">
          <w:t>Criminal proceedings—failure of corporation to comply with subpoena etc</w:t>
        </w:r>
        <w:r>
          <w:tab/>
        </w:r>
        <w:r>
          <w:fldChar w:fldCharType="begin"/>
        </w:r>
        <w:r>
          <w:instrText xml:space="preserve"> PAGEREF _Toc185514923 \h </w:instrText>
        </w:r>
        <w:r>
          <w:fldChar w:fldCharType="separate"/>
        </w:r>
        <w:r>
          <w:t>731</w:t>
        </w:r>
        <w:r>
          <w:fldChar w:fldCharType="end"/>
        </w:r>
      </w:hyperlink>
    </w:p>
    <w:p w14:paraId="1A56D27D" w14:textId="65890B3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24" w:history="1">
        <w:r w:rsidR="00AC5392" w:rsidRPr="00533B68">
          <w:t>Division 4.1.4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Criminal proceedings—other provisions</w:t>
        </w:r>
        <w:r w:rsidR="00AC5392" w:rsidRPr="00AC5392">
          <w:rPr>
            <w:vanish/>
          </w:rPr>
          <w:tab/>
        </w:r>
        <w:r w:rsidR="00AC5392" w:rsidRPr="00AC5392">
          <w:rPr>
            <w:vanish/>
          </w:rPr>
          <w:fldChar w:fldCharType="begin"/>
        </w:r>
        <w:r w:rsidR="00AC5392" w:rsidRPr="00AC5392">
          <w:rPr>
            <w:vanish/>
          </w:rPr>
          <w:instrText xml:space="preserve"> PAGEREF _Toc185514924 \h </w:instrText>
        </w:r>
        <w:r w:rsidR="00AC5392" w:rsidRPr="00AC5392">
          <w:rPr>
            <w:vanish/>
          </w:rPr>
        </w:r>
        <w:r w:rsidR="00AC5392" w:rsidRPr="00AC5392">
          <w:rPr>
            <w:vanish/>
          </w:rPr>
          <w:fldChar w:fldCharType="separate"/>
        </w:r>
        <w:r w:rsidR="00AC5392" w:rsidRPr="00AC5392">
          <w:rPr>
            <w:vanish/>
          </w:rPr>
          <w:t>732</w:t>
        </w:r>
        <w:r w:rsidR="00AC5392" w:rsidRPr="00AC5392">
          <w:rPr>
            <w:vanish/>
          </w:rPr>
          <w:fldChar w:fldCharType="end"/>
        </w:r>
      </w:hyperlink>
    </w:p>
    <w:p w14:paraId="0FD5C9E6" w14:textId="7FD7C5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5" w:history="1">
        <w:r w:rsidRPr="00533B68">
          <w:t>4050</w:t>
        </w:r>
        <w:r>
          <w:rPr>
            <w:rFonts w:asciiTheme="minorHAnsi" w:eastAsiaTheme="minorEastAsia" w:hAnsiTheme="minorHAnsi" w:cstheme="minorBidi"/>
            <w:kern w:val="2"/>
            <w:sz w:val="24"/>
            <w:szCs w:val="24"/>
            <w:lang w:eastAsia="en-AU"/>
            <w14:ligatures w14:val="standardContextual"/>
          </w:rPr>
          <w:tab/>
        </w:r>
        <w:r w:rsidRPr="00533B68">
          <w:t>Criminal proceedings—production of person in custody</w:t>
        </w:r>
        <w:r>
          <w:tab/>
        </w:r>
        <w:r>
          <w:fldChar w:fldCharType="begin"/>
        </w:r>
        <w:r>
          <w:instrText xml:space="preserve"> PAGEREF _Toc185514925 \h </w:instrText>
        </w:r>
        <w:r>
          <w:fldChar w:fldCharType="separate"/>
        </w:r>
        <w:r>
          <w:t>732</w:t>
        </w:r>
        <w:r>
          <w:fldChar w:fldCharType="end"/>
        </w:r>
      </w:hyperlink>
    </w:p>
    <w:p w14:paraId="17AF30C8" w14:textId="13BEFB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6" w:history="1">
        <w:r w:rsidRPr="00533B68">
          <w:t>4051</w:t>
        </w:r>
        <w:r>
          <w:rPr>
            <w:rFonts w:asciiTheme="minorHAnsi" w:eastAsiaTheme="minorEastAsia" w:hAnsiTheme="minorHAnsi" w:cstheme="minorBidi"/>
            <w:kern w:val="2"/>
            <w:sz w:val="24"/>
            <w:szCs w:val="24"/>
            <w:lang w:eastAsia="en-AU"/>
            <w14:ligatures w14:val="standardContextual"/>
          </w:rPr>
          <w:tab/>
        </w:r>
        <w:r w:rsidRPr="00533B68">
          <w:t>Criminal proceedings—defence response to prosecutor’s opening address</w:t>
        </w:r>
        <w:r>
          <w:tab/>
        </w:r>
        <w:r>
          <w:fldChar w:fldCharType="begin"/>
        </w:r>
        <w:r>
          <w:instrText xml:space="preserve"> PAGEREF _Toc185514926 \h </w:instrText>
        </w:r>
        <w:r>
          <w:fldChar w:fldCharType="separate"/>
        </w:r>
        <w:r>
          <w:t>732</w:t>
        </w:r>
        <w:r>
          <w:fldChar w:fldCharType="end"/>
        </w:r>
      </w:hyperlink>
    </w:p>
    <w:p w14:paraId="36EF3349" w14:textId="20C67A7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7" w:history="1">
        <w:r w:rsidRPr="00533B68">
          <w:t>4052</w:t>
        </w:r>
        <w:r>
          <w:rPr>
            <w:rFonts w:asciiTheme="minorHAnsi" w:eastAsiaTheme="minorEastAsia" w:hAnsiTheme="minorHAnsi" w:cstheme="minorBidi"/>
            <w:kern w:val="2"/>
            <w:sz w:val="24"/>
            <w:szCs w:val="24"/>
            <w:lang w:eastAsia="en-AU"/>
            <w14:ligatures w14:val="standardContextual"/>
          </w:rPr>
          <w:tab/>
        </w:r>
        <w:r w:rsidRPr="00533B68">
          <w:t>Criminal proceedings—execution of documents</w:t>
        </w:r>
        <w:r>
          <w:tab/>
        </w:r>
        <w:r>
          <w:fldChar w:fldCharType="begin"/>
        </w:r>
        <w:r>
          <w:instrText xml:space="preserve"> PAGEREF _Toc185514927 \h </w:instrText>
        </w:r>
        <w:r>
          <w:fldChar w:fldCharType="separate"/>
        </w:r>
        <w:r>
          <w:t>733</w:t>
        </w:r>
        <w:r>
          <w:fldChar w:fldCharType="end"/>
        </w:r>
      </w:hyperlink>
    </w:p>
    <w:p w14:paraId="118F4E11" w14:textId="7955F4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8" w:history="1">
        <w:r w:rsidRPr="00533B68">
          <w:t>4053</w:t>
        </w:r>
        <w:r>
          <w:rPr>
            <w:rFonts w:asciiTheme="minorHAnsi" w:eastAsiaTheme="minorEastAsia" w:hAnsiTheme="minorHAnsi" w:cstheme="minorBidi"/>
            <w:kern w:val="2"/>
            <w:sz w:val="24"/>
            <w:szCs w:val="24"/>
            <w:lang w:eastAsia="en-AU"/>
            <w14:ligatures w14:val="standardContextual"/>
          </w:rPr>
          <w:tab/>
        </w:r>
        <w:r w:rsidRPr="00533B68">
          <w:t>Criminal proceedings—inspection of registry files</w:t>
        </w:r>
        <w:r>
          <w:tab/>
        </w:r>
        <w:r>
          <w:fldChar w:fldCharType="begin"/>
        </w:r>
        <w:r>
          <w:instrText xml:space="preserve"> PAGEREF _Toc185514928 \h </w:instrText>
        </w:r>
        <w:r>
          <w:fldChar w:fldCharType="separate"/>
        </w:r>
        <w:r>
          <w:t>733</w:t>
        </w:r>
        <w:r>
          <w:fldChar w:fldCharType="end"/>
        </w:r>
      </w:hyperlink>
    </w:p>
    <w:p w14:paraId="41B28DC9" w14:textId="719D9C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29" w:history="1">
        <w:r w:rsidRPr="00533B68">
          <w:t>4054</w:t>
        </w:r>
        <w:r>
          <w:rPr>
            <w:rFonts w:asciiTheme="minorHAnsi" w:eastAsiaTheme="minorEastAsia" w:hAnsiTheme="minorHAnsi" w:cstheme="minorBidi"/>
            <w:kern w:val="2"/>
            <w:sz w:val="24"/>
            <w:szCs w:val="24"/>
            <w:lang w:eastAsia="en-AU"/>
            <w14:ligatures w14:val="standardContextual"/>
          </w:rPr>
          <w:tab/>
        </w:r>
        <w:r w:rsidRPr="00533B68">
          <w:t>Criminal proceedings—certificate of conviction</w:t>
        </w:r>
        <w:r>
          <w:tab/>
        </w:r>
        <w:r>
          <w:fldChar w:fldCharType="begin"/>
        </w:r>
        <w:r>
          <w:instrText xml:space="preserve"> PAGEREF _Toc185514929 \h </w:instrText>
        </w:r>
        <w:r>
          <w:fldChar w:fldCharType="separate"/>
        </w:r>
        <w:r>
          <w:t>735</w:t>
        </w:r>
        <w:r>
          <w:fldChar w:fldCharType="end"/>
        </w:r>
      </w:hyperlink>
    </w:p>
    <w:p w14:paraId="79F626EA" w14:textId="468A3C6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30" w:history="1">
        <w:r w:rsidRPr="00533B68">
          <w:t>4055</w:t>
        </w:r>
        <w:r>
          <w:rPr>
            <w:rFonts w:asciiTheme="minorHAnsi" w:eastAsiaTheme="minorEastAsia" w:hAnsiTheme="minorHAnsi" w:cstheme="minorBidi"/>
            <w:kern w:val="2"/>
            <w:sz w:val="24"/>
            <w:szCs w:val="24"/>
            <w:lang w:eastAsia="en-AU"/>
            <w14:ligatures w14:val="standardContextual"/>
          </w:rPr>
          <w:tab/>
        </w:r>
        <w:r w:rsidRPr="00533B68">
          <w:t>Criminal proceedings—preparation of judgments</w:t>
        </w:r>
        <w:r>
          <w:tab/>
        </w:r>
        <w:r>
          <w:fldChar w:fldCharType="begin"/>
        </w:r>
        <w:r>
          <w:instrText xml:space="preserve"> PAGEREF _Toc185514930 \h </w:instrText>
        </w:r>
        <w:r>
          <w:fldChar w:fldCharType="separate"/>
        </w:r>
        <w:r>
          <w:t>735</w:t>
        </w:r>
        <w:r>
          <w:fldChar w:fldCharType="end"/>
        </w:r>
      </w:hyperlink>
    </w:p>
    <w:p w14:paraId="733FE979" w14:textId="2638DE31"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931" w:history="1">
        <w:r w:rsidR="00AC5392" w:rsidRPr="00533B68">
          <w:t>Part 4.2</w:t>
        </w:r>
        <w:r w:rsidR="00AC5392">
          <w:rPr>
            <w:rFonts w:asciiTheme="minorHAnsi" w:eastAsiaTheme="minorEastAsia" w:hAnsiTheme="minorHAnsi" w:cstheme="minorBidi"/>
            <w:b w:val="0"/>
            <w:kern w:val="2"/>
            <w:szCs w:val="24"/>
            <w:lang w:eastAsia="en-AU"/>
            <w14:ligatures w14:val="standardContextual"/>
          </w:rPr>
          <w:tab/>
        </w:r>
        <w:r w:rsidR="00AC5392" w:rsidRPr="00533B68">
          <w:t>Magistrates Court criminal proceedings</w:t>
        </w:r>
        <w:r w:rsidR="00AC5392" w:rsidRPr="00AC5392">
          <w:rPr>
            <w:vanish/>
          </w:rPr>
          <w:tab/>
        </w:r>
        <w:r w:rsidR="00AC5392" w:rsidRPr="00AC5392">
          <w:rPr>
            <w:vanish/>
          </w:rPr>
          <w:fldChar w:fldCharType="begin"/>
        </w:r>
        <w:r w:rsidR="00AC5392" w:rsidRPr="00AC5392">
          <w:rPr>
            <w:vanish/>
          </w:rPr>
          <w:instrText xml:space="preserve"> PAGEREF _Toc185514931 \h </w:instrText>
        </w:r>
        <w:r w:rsidR="00AC5392" w:rsidRPr="00AC5392">
          <w:rPr>
            <w:vanish/>
          </w:rPr>
        </w:r>
        <w:r w:rsidR="00AC5392" w:rsidRPr="00AC5392">
          <w:rPr>
            <w:vanish/>
          </w:rPr>
          <w:fldChar w:fldCharType="separate"/>
        </w:r>
        <w:r w:rsidR="00AC5392" w:rsidRPr="00AC5392">
          <w:rPr>
            <w:vanish/>
          </w:rPr>
          <w:t>737</w:t>
        </w:r>
        <w:r w:rsidR="00AC5392" w:rsidRPr="00AC5392">
          <w:rPr>
            <w:vanish/>
          </w:rPr>
          <w:fldChar w:fldCharType="end"/>
        </w:r>
      </w:hyperlink>
    </w:p>
    <w:p w14:paraId="75ECBA92" w14:textId="6B30D70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32" w:history="1">
        <w:r w:rsidR="00AC5392" w:rsidRPr="00533B68">
          <w:t>Division 4.2.1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Magistrates Court criminal proceedings—preliminary</w:t>
        </w:r>
        <w:r w:rsidR="00AC5392" w:rsidRPr="00AC5392">
          <w:rPr>
            <w:vanish/>
          </w:rPr>
          <w:tab/>
        </w:r>
        <w:r w:rsidR="00AC5392" w:rsidRPr="00AC5392">
          <w:rPr>
            <w:vanish/>
          </w:rPr>
          <w:fldChar w:fldCharType="begin"/>
        </w:r>
        <w:r w:rsidR="00AC5392" w:rsidRPr="00AC5392">
          <w:rPr>
            <w:vanish/>
          </w:rPr>
          <w:instrText xml:space="preserve"> PAGEREF _Toc185514932 \h </w:instrText>
        </w:r>
        <w:r w:rsidR="00AC5392" w:rsidRPr="00AC5392">
          <w:rPr>
            <w:vanish/>
          </w:rPr>
        </w:r>
        <w:r w:rsidR="00AC5392" w:rsidRPr="00AC5392">
          <w:rPr>
            <w:vanish/>
          </w:rPr>
          <w:fldChar w:fldCharType="separate"/>
        </w:r>
        <w:r w:rsidR="00AC5392" w:rsidRPr="00AC5392">
          <w:rPr>
            <w:vanish/>
          </w:rPr>
          <w:t>737</w:t>
        </w:r>
        <w:r w:rsidR="00AC5392" w:rsidRPr="00AC5392">
          <w:rPr>
            <w:vanish/>
          </w:rPr>
          <w:fldChar w:fldCharType="end"/>
        </w:r>
      </w:hyperlink>
    </w:p>
    <w:p w14:paraId="15BE575F" w14:textId="403C54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33" w:history="1">
        <w:r w:rsidRPr="00533B68">
          <w:t>4300</w:t>
        </w:r>
        <w:r>
          <w:rPr>
            <w:rFonts w:asciiTheme="minorHAnsi" w:eastAsiaTheme="minorEastAsia" w:hAnsiTheme="minorHAnsi" w:cstheme="minorBidi"/>
            <w:kern w:val="2"/>
            <w:sz w:val="24"/>
            <w:szCs w:val="24"/>
            <w:lang w:eastAsia="en-AU"/>
            <w14:ligatures w14:val="standardContextual"/>
          </w:rPr>
          <w:tab/>
        </w:r>
        <w:r w:rsidRPr="00533B68">
          <w:t>Definitions—pt 4.2</w:t>
        </w:r>
        <w:r>
          <w:tab/>
        </w:r>
        <w:r>
          <w:fldChar w:fldCharType="begin"/>
        </w:r>
        <w:r>
          <w:instrText xml:space="preserve"> PAGEREF _Toc185514933 \h </w:instrText>
        </w:r>
        <w:r>
          <w:fldChar w:fldCharType="separate"/>
        </w:r>
        <w:r>
          <w:t>737</w:t>
        </w:r>
        <w:r>
          <w:fldChar w:fldCharType="end"/>
        </w:r>
      </w:hyperlink>
    </w:p>
    <w:p w14:paraId="422A9361" w14:textId="658269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34" w:history="1">
        <w:r w:rsidRPr="00533B68">
          <w:t>4301</w:t>
        </w:r>
        <w:r>
          <w:rPr>
            <w:rFonts w:asciiTheme="minorHAnsi" w:eastAsiaTheme="minorEastAsia" w:hAnsiTheme="minorHAnsi" w:cstheme="minorBidi"/>
            <w:kern w:val="2"/>
            <w:sz w:val="24"/>
            <w:szCs w:val="24"/>
            <w:lang w:eastAsia="en-AU"/>
            <w14:ligatures w14:val="standardContextual"/>
          </w:rPr>
          <w:tab/>
        </w:r>
        <w:r w:rsidRPr="00533B68">
          <w:t>Application—pt 4.2</w:t>
        </w:r>
        <w:r>
          <w:tab/>
        </w:r>
        <w:r>
          <w:fldChar w:fldCharType="begin"/>
        </w:r>
        <w:r>
          <w:instrText xml:space="preserve"> PAGEREF _Toc185514934 \h </w:instrText>
        </w:r>
        <w:r>
          <w:fldChar w:fldCharType="separate"/>
        </w:r>
        <w:r>
          <w:t>737</w:t>
        </w:r>
        <w:r>
          <w:fldChar w:fldCharType="end"/>
        </w:r>
      </w:hyperlink>
    </w:p>
    <w:p w14:paraId="7664CF18" w14:textId="74ADC6E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35" w:history="1">
        <w:r w:rsidR="00AC5392" w:rsidRPr="00533B68">
          <w:t>Division 4.2.1AA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Magistrates Court criminal proceedings—first appearance</w:t>
        </w:r>
        <w:r w:rsidR="00AC5392" w:rsidRPr="00AC5392">
          <w:rPr>
            <w:vanish/>
          </w:rPr>
          <w:tab/>
        </w:r>
        <w:r w:rsidR="00AC5392" w:rsidRPr="00AC5392">
          <w:rPr>
            <w:vanish/>
          </w:rPr>
          <w:fldChar w:fldCharType="begin"/>
        </w:r>
        <w:r w:rsidR="00AC5392" w:rsidRPr="00AC5392">
          <w:rPr>
            <w:vanish/>
          </w:rPr>
          <w:instrText xml:space="preserve"> PAGEREF _Toc185514935 \h </w:instrText>
        </w:r>
        <w:r w:rsidR="00AC5392" w:rsidRPr="00AC5392">
          <w:rPr>
            <w:vanish/>
          </w:rPr>
        </w:r>
        <w:r w:rsidR="00AC5392" w:rsidRPr="00AC5392">
          <w:rPr>
            <w:vanish/>
          </w:rPr>
          <w:fldChar w:fldCharType="separate"/>
        </w:r>
        <w:r w:rsidR="00AC5392" w:rsidRPr="00AC5392">
          <w:rPr>
            <w:vanish/>
          </w:rPr>
          <w:t>737</w:t>
        </w:r>
        <w:r w:rsidR="00AC5392" w:rsidRPr="00AC5392">
          <w:rPr>
            <w:vanish/>
          </w:rPr>
          <w:fldChar w:fldCharType="end"/>
        </w:r>
      </w:hyperlink>
    </w:p>
    <w:p w14:paraId="1469CA47" w14:textId="5716136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36" w:history="1">
        <w:r w:rsidRPr="00533B68">
          <w:t>4302</w:t>
        </w:r>
        <w:r>
          <w:rPr>
            <w:rFonts w:asciiTheme="minorHAnsi" w:eastAsiaTheme="minorEastAsia" w:hAnsiTheme="minorHAnsi" w:cstheme="minorBidi"/>
            <w:kern w:val="2"/>
            <w:sz w:val="24"/>
            <w:szCs w:val="24"/>
            <w:lang w:eastAsia="en-AU"/>
            <w14:ligatures w14:val="standardContextual"/>
          </w:rPr>
          <w:tab/>
        </w:r>
        <w:r w:rsidRPr="00533B68">
          <w:t>When not necessary for court to read charges to defendant</w:t>
        </w:r>
        <w:r>
          <w:tab/>
        </w:r>
        <w:r>
          <w:fldChar w:fldCharType="begin"/>
        </w:r>
        <w:r>
          <w:instrText xml:space="preserve"> PAGEREF _Toc185514936 \h </w:instrText>
        </w:r>
        <w:r>
          <w:fldChar w:fldCharType="separate"/>
        </w:r>
        <w:r>
          <w:t>737</w:t>
        </w:r>
        <w:r>
          <w:fldChar w:fldCharType="end"/>
        </w:r>
      </w:hyperlink>
    </w:p>
    <w:p w14:paraId="3981B154" w14:textId="04F3A10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37" w:history="1">
        <w:r w:rsidRPr="00533B68">
          <w:t>4303</w:t>
        </w:r>
        <w:r>
          <w:rPr>
            <w:rFonts w:asciiTheme="minorHAnsi" w:eastAsiaTheme="minorEastAsia" w:hAnsiTheme="minorHAnsi" w:cstheme="minorBidi"/>
            <w:kern w:val="2"/>
            <w:sz w:val="24"/>
            <w:szCs w:val="24"/>
            <w:lang w:eastAsia="en-AU"/>
            <w14:ligatures w14:val="standardContextual"/>
          </w:rPr>
          <w:tab/>
        </w:r>
        <w:r w:rsidRPr="00533B68">
          <w:t>Represented defendant may enter plea or consent to summary disposal of proceeding</w:t>
        </w:r>
        <w:r>
          <w:tab/>
        </w:r>
        <w:r>
          <w:fldChar w:fldCharType="begin"/>
        </w:r>
        <w:r>
          <w:instrText xml:space="preserve"> PAGEREF _Toc185514937 \h </w:instrText>
        </w:r>
        <w:r>
          <w:fldChar w:fldCharType="separate"/>
        </w:r>
        <w:r>
          <w:t>738</w:t>
        </w:r>
        <w:r>
          <w:fldChar w:fldCharType="end"/>
        </w:r>
      </w:hyperlink>
    </w:p>
    <w:p w14:paraId="3F7CAB72" w14:textId="22EC43B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38" w:history="1">
        <w:r w:rsidR="00AC5392" w:rsidRPr="00533B68">
          <w:t>Division 4.2.1A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Magistrates Court criminal proceedings—prosecution evidence in committal proceedings</w:t>
        </w:r>
        <w:r w:rsidR="00AC5392" w:rsidRPr="00AC5392">
          <w:rPr>
            <w:vanish/>
          </w:rPr>
          <w:tab/>
        </w:r>
        <w:r w:rsidR="00AC5392" w:rsidRPr="00AC5392">
          <w:rPr>
            <w:vanish/>
          </w:rPr>
          <w:fldChar w:fldCharType="begin"/>
        </w:r>
        <w:r w:rsidR="00AC5392" w:rsidRPr="00AC5392">
          <w:rPr>
            <w:vanish/>
          </w:rPr>
          <w:instrText xml:space="preserve"> PAGEREF _Toc185514938 \h </w:instrText>
        </w:r>
        <w:r w:rsidR="00AC5392" w:rsidRPr="00AC5392">
          <w:rPr>
            <w:vanish/>
          </w:rPr>
        </w:r>
        <w:r w:rsidR="00AC5392" w:rsidRPr="00AC5392">
          <w:rPr>
            <w:vanish/>
          </w:rPr>
          <w:fldChar w:fldCharType="separate"/>
        </w:r>
        <w:r w:rsidR="00AC5392" w:rsidRPr="00AC5392">
          <w:rPr>
            <w:vanish/>
          </w:rPr>
          <w:t>739</w:t>
        </w:r>
        <w:r w:rsidR="00AC5392" w:rsidRPr="00AC5392">
          <w:rPr>
            <w:vanish/>
          </w:rPr>
          <w:fldChar w:fldCharType="end"/>
        </w:r>
      </w:hyperlink>
    </w:p>
    <w:p w14:paraId="2CCA1CA4" w14:textId="1175430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39" w:history="1">
        <w:r w:rsidRPr="00533B68">
          <w:t>4305</w:t>
        </w:r>
        <w:r>
          <w:rPr>
            <w:rFonts w:asciiTheme="minorHAnsi" w:eastAsiaTheme="minorEastAsia" w:hAnsiTheme="minorHAnsi" w:cstheme="minorBidi"/>
            <w:kern w:val="2"/>
            <w:sz w:val="24"/>
            <w:szCs w:val="24"/>
            <w:lang w:eastAsia="en-AU"/>
            <w14:ligatures w14:val="standardContextual"/>
          </w:rPr>
          <w:tab/>
        </w:r>
        <w:r w:rsidRPr="00533B68">
          <w:t>Prosecution evidence to be given to accused etc—Magistrates Court Act, s 90</w:t>
        </w:r>
        <w:r>
          <w:tab/>
        </w:r>
        <w:r>
          <w:fldChar w:fldCharType="begin"/>
        </w:r>
        <w:r>
          <w:instrText xml:space="preserve"> PAGEREF _Toc185514939 \h </w:instrText>
        </w:r>
        <w:r>
          <w:fldChar w:fldCharType="separate"/>
        </w:r>
        <w:r>
          <w:t>739</w:t>
        </w:r>
        <w:r>
          <w:fldChar w:fldCharType="end"/>
        </w:r>
      </w:hyperlink>
    </w:p>
    <w:p w14:paraId="60B98C74" w14:textId="0C154BC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40" w:history="1">
        <w:r w:rsidR="00AC5392" w:rsidRPr="00533B68">
          <w:t>Division 4.2.2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Magistrates Court criminal proceedings—setting aside orders</w:t>
        </w:r>
        <w:r w:rsidR="00AC5392" w:rsidRPr="00AC5392">
          <w:rPr>
            <w:vanish/>
          </w:rPr>
          <w:tab/>
        </w:r>
        <w:r w:rsidR="00AC5392" w:rsidRPr="00AC5392">
          <w:rPr>
            <w:vanish/>
          </w:rPr>
          <w:fldChar w:fldCharType="begin"/>
        </w:r>
        <w:r w:rsidR="00AC5392" w:rsidRPr="00AC5392">
          <w:rPr>
            <w:vanish/>
          </w:rPr>
          <w:instrText xml:space="preserve"> PAGEREF _Toc185514940 \h </w:instrText>
        </w:r>
        <w:r w:rsidR="00AC5392" w:rsidRPr="00AC5392">
          <w:rPr>
            <w:vanish/>
          </w:rPr>
        </w:r>
        <w:r w:rsidR="00AC5392" w:rsidRPr="00AC5392">
          <w:rPr>
            <w:vanish/>
          </w:rPr>
          <w:fldChar w:fldCharType="separate"/>
        </w:r>
        <w:r w:rsidR="00AC5392" w:rsidRPr="00AC5392">
          <w:rPr>
            <w:vanish/>
          </w:rPr>
          <w:t>739</w:t>
        </w:r>
        <w:r w:rsidR="00AC5392" w:rsidRPr="00AC5392">
          <w:rPr>
            <w:vanish/>
          </w:rPr>
          <w:fldChar w:fldCharType="end"/>
        </w:r>
      </w:hyperlink>
    </w:p>
    <w:p w14:paraId="494E25EB" w14:textId="5A98B02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41" w:history="1">
        <w:r w:rsidRPr="00533B68">
          <w:t>4310</w:t>
        </w:r>
        <w:r>
          <w:rPr>
            <w:rFonts w:asciiTheme="minorHAnsi" w:eastAsiaTheme="minorEastAsia" w:hAnsiTheme="minorHAnsi" w:cstheme="minorBidi"/>
            <w:kern w:val="2"/>
            <w:sz w:val="24"/>
            <w:szCs w:val="24"/>
            <w:lang w:eastAsia="en-AU"/>
            <w14:ligatures w14:val="standardContextual"/>
          </w:rPr>
          <w:tab/>
        </w:r>
        <w:r w:rsidRPr="00533B68">
          <w:t>Magistrates Court order made in absence of party may be set aside—general</w:t>
        </w:r>
        <w:r>
          <w:tab/>
        </w:r>
        <w:r>
          <w:fldChar w:fldCharType="begin"/>
        </w:r>
        <w:r>
          <w:instrText xml:space="preserve"> PAGEREF _Toc185514941 \h </w:instrText>
        </w:r>
        <w:r>
          <w:fldChar w:fldCharType="separate"/>
        </w:r>
        <w:r>
          <w:t>739</w:t>
        </w:r>
        <w:r>
          <w:fldChar w:fldCharType="end"/>
        </w:r>
      </w:hyperlink>
    </w:p>
    <w:p w14:paraId="561171CD" w14:textId="2EAA3E0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42" w:history="1">
        <w:r w:rsidRPr="00533B68">
          <w:t>4311</w:t>
        </w:r>
        <w:r>
          <w:rPr>
            <w:rFonts w:asciiTheme="minorHAnsi" w:eastAsiaTheme="minorEastAsia" w:hAnsiTheme="minorHAnsi" w:cstheme="minorBidi"/>
            <w:kern w:val="2"/>
            <w:sz w:val="24"/>
            <w:szCs w:val="24"/>
            <w:lang w:eastAsia="en-AU"/>
            <w14:ligatures w14:val="standardContextual"/>
          </w:rPr>
          <w:tab/>
        </w:r>
        <w:r w:rsidRPr="00533B68">
          <w:t>Magistrates Court order made in absence of defendant may be set aside—summons for prescribed offence</w:t>
        </w:r>
        <w:r>
          <w:tab/>
        </w:r>
        <w:r>
          <w:fldChar w:fldCharType="begin"/>
        </w:r>
        <w:r>
          <w:instrText xml:space="preserve"> PAGEREF _Toc185514942 \h </w:instrText>
        </w:r>
        <w:r>
          <w:fldChar w:fldCharType="separate"/>
        </w:r>
        <w:r>
          <w:t>740</w:t>
        </w:r>
        <w:r>
          <w:fldChar w:fldCharType="end"/>
        </w:r>
      </w:hyperlink>
    </w:p>
    <w:p w14:paraId="76479F9C" w14:textId="541B64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43" w:history="1">
        <w:r w:rsidRPr="00533B68">
          <w:t>4312</w:t>
        </w:r>
        <w:r>
          <w:rPr>
            <w:rFonts w:asciiTheme="minorHAnsi" w:eastAsiaTheme="minorEastAsia" w:hAnsiTheme="minorHAnsi" w:cstheme="minorBidi"/>
            <w:kern w:val="2"/>
            <w:sz w:val="24"/>
            <w:szCs w:val="24"/>
            <w:lang w:eastAsia="en-AU"/>
            <w14:ligatures w14:val="standardContextual"/>
          </w:rPr>
          <w:tab/>
        </w:r>
        <w:r w:rsidRPr="00533B68">
          <w:t>Magistrates Court order made in absence of party may be set aside—other offences</w:t>
        </w:r>
        <w:r>
          <w:tab/>
        </w:r>
        <w:r>
          <w:fldChar w:fldCharType="begin"/>
        </w:r>
        <w:r>
          <w:instrText xml:space="preserve"> PAGEREF _Toc185514943 \h </w:instrText>
        </w:r>
        <w:r>
          <w:fldChar w:fldCharType="separate"/>
        </w:r>
        <w:r>
          <w:t>741</w:t>
        </w:r>
        <w:r>
          <w:fldChar w:fldCharType="end"/>
        </w:r>
      </w:hyperlink>
    </w:p>
    <w:p w14:paraId="34C31138" w14:textId="39FB704D"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4944" w:history="1">
        <w:r w:rsidRPr="00533B68">
          <w:t>4313</w:t>
        </w:r>
        <w:r>
          <w:rPr>
            <w:rFonts w:asciiTheme="minorHAnsi" w:eastAsiaTheme="minorEastAsia" w:hAnsiTheme="minorHAnsi" w:cstheme="minorBidi"/>
            <w:kern w:val="2"/>
            <w:sz w:val="24"/>
            <w:szCs w:val="24"/>
            <w:lang w:eastAsia="en-AU"/>
            <w14:ligatures w14:val="standardContextual"/>
          </w:rPr>
          <w:tab/>
        </w:r>
        <w:r w:rsidRPr="00533B68">
          <w:t>Magistrates Court conviction made in absence of party set aside—warrant may be set aside</w:t>
        </w:r>
        <w:r>
          <w:tab/>
        </w:r>
        <w:r>
          <w:fldChar w:fldCharType="begin"/>
        </w:r>
        <w:r>
          <w:instrText xml:space="preserve"> PAGEREF _Toc185514944 \h </w:instrText>
        </w:r>
        <w:r>
          <w:fldChar w:fldCharType="separate"/>
        </w:r>
        <w:r>
          <w:t>741</w:t>
        </w:r>
        <w:r>
          <w:fldChar w:fldCharType="end"/>
        </w:r>
      </w:hyperlink>
    </w:p>
    <w:p w14:paraId="3A785A66" w14:textId="7E1007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45" w:history="1">
        <w:r w:rsidRPr="00533B68">
          <w:t>4314</w:t>
        </w:r>
        <w:r>
          <w:rPr>
            <w:rFonts w:asciiTheme="minorHAnsi" w:eastAsiaTheme="minorEastAsia" w:hAnsiTheme="minorHAnsi" w:cstheme="minorBidi"/>
            <w:kern w:val="2"/>
            <w:sz w:val="24"/>
            <w:szCs w:val="24"/>
            <w:lang w:eastAsia="en-AU"/>
            <w14:ligatures w14:val="standardContextual"/>
          </w:rPr>
          <w:tab/>
        </w:r>
        <w:r w:rsidRPr="00533B68">
          <w:t>Magistrates Court conviction made in absence of party set aside—hearing</w:t>
        </w:r>
        <w:r>
          <w:tab/>
        </w:r>
        <w:r>
          <w:fldChar w:fldCharType="begin"/>
        </w:r>
        <w:r>
          <w:instrText xml:space="preserve"> PAGEREF _Toc185514945 \h </w:instrText>
        </w:r>
        <w:r>
          <w:fldChar w:fldCharType="separate"/>
        </w:r>
        <w:r>
          <w:t>742</w:t>
        </w:r>
        <w:r>
          <w:fldChar w:fldCharType="end"/>
        </w:r>
      </w:hyperlink>
    </w:p>
    <w:p w14:paraId="3630D8B7" w14:textId="47EF1A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46" w:history="1">
        <w:r w:rsidRPr="00533B68">
          <w:t>4315</w:t>
        </w:r>
        <w:r>
          <w:rPr>
            <w:rFonts w:asciiTheme="minorHAnsi" w:eastAsiaTheme="minorEastAsia" w:hAnsiTheme="minorHAnsi" w:cstheme="minorBidi"/>
            <w:kern w:val="2"/>
            <w:sz w:val="24"/>
            <w:szCs w:val="24"/>
            <w:lang w:eastAsia="en-AU"/>
            <w14:ligatures w14:val="standardContextual"/>
          </w:rPr>
          <w:tab/>
        </w:r>
        <w:r w:rsidRPr="00533B68">
          <w:t>Magistrates Court order made in absence of party may be set aside—application by informant</w:t>
        </w:r>
        <w:r>
          <w:tab/>
        </w:r>
        <w:r>
          <w:fldChar w:fldCharType="begin"/>
        </w:r>
        <w:r>
          <w:instrText xml:space="preserve"> PAGEREF _Toc185514946 \h </w:instrText>
        </w:r>
        <w:r>
          <w:fldChar w:fldCharType="separate"/>
        </w:r>
        <w:r>
          <w:t>742</w:t>
        </w:r>
        <w:r>
          <w:fldChar w:fldCharType="end"/>
        </w:r>
      </w:hyperlink>
    </w:p>
    <w:p w14:paraId="0AF6C045" w14:textId="75078F5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47" w:history="1">
        <w:r w:rsidR="00AC5392" w:rsidRPr="00533B68">
          <w:t>Division 4.2.3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Magistrates Court criminal proceedings—witnesses</w:t>
        </w:r>
        <w:r w:rsidR="00AC5392" w:rsidRPr="00AC5392">
          <w:rPr>
            <w:vanish/>
          </w:rPr>
          <w:tab/>
        </w:r>
        <w:r w:rsidR="00AC5392" w:rsidRPr="00AC5392">
          <w:rPr>
            <w:vanish/>
          </w:rPr>
          <w:fldChar w:fldCharType="begin"/>
        </w:r>
        <w:r w:rsidR="00AC5392" w:rsidRPr="00AC5392">
          <w:rPr>
            <w:vanish/>
          </w:rPr>
          <w:instrText xml:space="preserve"> PAGEREF _Toc185514947 \h </w:instrText>
        </w:r>
        <w:r w:rsidR="00AC5392" w:rsidRPr="00AC5392">
          <w:rPr>
            <w:vanish/>
          </w:rPr>
        </w:r>
        <w:r w:rsidR="00AC5392" w:rsidRPr="00AC5392">
          <w:rPr>
            <w:vanish/>
          </w:rPr>
          <w:fldChar w:fldCharType="separate"/>
        </w:r>
        <w:r w:rsidR="00AC5392" w:rsidRPr="00AC5392">
          <w:rPr>
            <w:vanish/>
          </w:rPr>
          <w:t>743</w:t>
        </w:r>
        <w:r w:rsidR="00AC5392" w:rsidRPr="00AC5392">
          <w:rPr>
            <w:vanish/>
          </w:rPr>
          <w:fldChar w:fldCharType="end"/>
        </w:r>
      </w:hyperlink>
    </w:p>
    <w:p w14:paraId="373ADE19" w14:textId="3AC8C3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48" w:history="1">
        <w:r w:rsidRPr="00533B68">
          <w:t>4330</w:t>
        </w:r>
        <w:r>
          <w:rPr>
            <w:rFonts w:asciiTheme="minorHAnsi" w:eastAsiaTheme="minorEastAsia" w:hAnsiTheme="minorHAnsi" w:cstheme="minorBidi"/>
            <w:kern w:val="2"/>
            <w:sz w:val="24"/>
            <w:szCs w:val="24"/>
            <w:lang w:eastAsia="en-AU"/>
            <w14:ligatures w14:val="standardContextual"/>
          </w:rPr>
          <w:tab/>
        </w:r>
        <w:r w:rsidRPr="00533B68">
          <w:t>Magistrates Court witness—informant may request attendance</w:t>
        </w:r>
        <w:r>
          <w:tab/>
        </w:r>
        <w:r>
          <w:fldChar w:fldCharType="begin"/>
        </w:r>
        <w:r>
          <w:instrText xml:space="preserve"> PAGEREF _Toc185514948 \h </w:instrText>
        </w:r>
        <w:r>
          <w:fldChar w:fldCharType="separate"/>
        </w:r>
        <w:r>
          <w:t>743</w:t>
        </w:r>
        <w:r>
          <w:fldChar w:fldCharType="end"/>
        </w:r>
      </w:hyperlink>
    </w:p>
    <w:p w14:paraId="68674669" w14:textId="430A0C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49" w:history="1">
        <w:r w:rsidRPr="00533B68">
          <w:t>4331</w:t>
        </w:r>
        <w:r>
          <w:rPr>
            <w:rFonts w:asciiTheme="minorHAnsi" w:eastAsiaTheme="minorEastAsia" w:hAnsiTheme="minorHAnsi" w:cstheme="minorBidi"/>
            <w:kern w:val="2"/>
            <w:sz w:val="24"/>
            <w:szCs w:val="24"/>
            <w:lang w:eastAsia="en-AU"/>
            <w14:ligatures w14:val="standardContextual"/>
          </w:rPr>
          <w:tab/>
        </w:r>
        <w:r w:rsidRPr="00533B68">
          <w:t>Magistrates Court witness—expenses</w:t>
        </w:r>
        <w:r>
          <w:tab/>
        </w:r>
        <w:r>
          <w:fldChar w:fldCharType="begin"/>
        </w:r>
        <w:r>
          <w:instrText xml:space="preserve"> PAGEREF _Toc185514949 \h </w:instrText>
        </w:r>
        <w:r>
          <w:fldChar w:fldCharType="separate"/>
        </w:r>
        <w:r>
          <w:t>744</w:t>
        </w:r>
        <w:r>
          <w:fldChar w:fldCharType="end"/>
        </w:r>
      </w:hyperlink>
    </w:p>
    <w:p w14:paraId="5D052879" w14:textId="578C310B"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950" w:history="1">
        <w:r w:rsidR="00AC5392" w:rsidRPr="00533B68">
          <w:t>Part 4.3</w:t>
        </w:r>
        <w:r w:rsidR="00AC5392">
          <w:rPr>
            <w:rFonts w:asciiTheme="minorHAnsi" w:eastAsiaTheme="minorEastAsia" w:hAnsiTheme="minorHAnsi" w:cstheme="minorBidi"/>
            <w:b w:val="0"/>
            <w:kern w:val="2"/>
            <w:szCs w:val="24"/>
            <w:lang w:eastAsia="en-AU"/>
            <w14:ligatures w14:val="standardContextual"/>
          </w:rPr>
          <w:tab/>
        </w:r>
        <w:r w:rsidR="00AC5392" w:rsidRPr="00533B68">
          <w:t>Supreme Court criminal proceedings</w:t>
        </w:r>
        <w:r w:rsidR="00AC5392" w:rsidRPr="00AC5392">
          <w:rPr>
            <w:vanish/>
          </w:rPr>
          <w:tab/>
        </w:r>
        <w:r w:rsidR="00AC5392" w:rsidRPr="00AC5392">
          <w:rPr>
            <w:vanish/>
          </w:rPr>
          <w:fldChar w:fldCharType="begin"/>
        </w:r>
        <w:r w:rsidR="00AC5392" w:rsidRPr="00AC5392">
          <w:rPr>
            <w:vanish/>
          </w:rPr>
          <w:instrText xml:space="preserve"> PAGEREF _Toc185514950 \h </w:instrText>
        </w:r>
        <w:r w:rsidR="00AC5392" w:rsidRPr="00AC5392">
          <w:rPr>
            <w:vanish/>
          </w:rPr>
        </w:r>
        <w:r w:rsidR="00AC5392" w:rsidRPr="00AC5392">
          <w:rPr>
            <w:vanish/>
          </w:rPr>
          <w:fldChar w:fldCharType="separate"/>
        </w:r>
        <w:r w:rsidR="00AC5392" w:rsidRPr="00AC5392">
          <w:rPr>
            <w:vanish/>
          </w:rPr>
          <w:t>745</w:t>
        </w:r>
        <w:r w:rsidR="00AC5392" w:rsidRPr="00AC5392">
          <w:rPr>
            <w:vanish/>
          </w:rPr>
          <w:fldChar w:fldCharType="end"/>
        </w:r>
      </w:hyperlink>
    </w:p>
    <w:p w14:paraId="29EE8D3D" w14:textId="4913042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51" w:history="1">
        <w:r w:rsidR="00AC5392" w:rsidRPr="00533B68">
          <w:t>Division 4.3.1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Supreme Court criminal proceedings—preliminary</w:t>
        </w:r>
        <w:r w:rsidR="00AC5392" w:rsidRPr="00AC5392">
          <w:rPr>
            <w:vanish/>
          </w:rPr>
          <w:tab/>
        </w:r>
        <w:r w:rsidR="00AC5392" w:rsidRPr="00AC5392">
          <w:rPr>
            <w:vanish/>
          </w:rPr>
          <w:fldChar w:fldCharType="begin"/>
        </w:r>
        <w:r w:rsidR="00AC5392" w:rsidRPr="00AC5392">
          <w:rPr>
            <w:vanish/>
          </w:rPr>
          <w:instrText xml:space="preserve"> PAGEREF _Toc185514951 \h </w:instrText>
        </w:r>
        <w:r w:rsidR="00AC5392" w:rsidRPr="00AC5392">
          <w:rPr>
            <w:vanish/>
          </w:rPr>
        </w:r>
        <w:r w:rsidR="00AC5392" w:rsidRPr="00AC5392">
          <w:rPr>
            <w:vanish/>
          </w:rPr>
          <w:fldChar w:fldCharType="separate"/>
        </w:r>
        <w:r w:rsidR="00AC5392" w:rsidRPr="00AC5392">
          <w:rPr>
            <w:vanish/>
          </w:rPr>
          <w:t>745</w:t>
        </w:r>
        <w:r w:rsidR="00AC5392" w:rsidRPr="00AC5392">
          <w:rPr>
            <w:vanish/>
          </w:rPr>
          <w:fldChar w:fldCharType="end"/>
        </w:r>
      </w:hyperlink>
    </w:p>
    <w:p w14:paraId="3FAD2A7D" w14:textId="7385680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52" w:history="1">
        <w:r w:rsidRPr="00533B68">
          <w:t>4700</w:t>
        </w:r>
        <w:r>
          <w:rPr>
            <w:rFonts w:asciiTheme="minorHAnsi" w:eastAsiaTheme="minorEastAsia" w:hAnsiTheme="minorHAnsi" w:cstheme="minorBidi"/>
            <w:kern w:val="2"/>
            <w:sz w:val="24"/>
            <w:szCs w:val="24"/>
            <w:lang w:eastAsia="en-AU"/>
            <w14:ligatures w14:val="standardContextual"/>
          </w:rPr>
          <w:tab/>
        </w:r>
        <w:r w:rsidRPr="00533B68">
          <w:t>Definitions—pt 4.3</w:t>
        </w:r>
        <w:r>
          <w:tab/>
        </w:r>
        <w:r>
          <w:fldChar w:fldCharType="begin"/>
        </w:r>
        <w:r>
          <w:instrText xml:space="preserve"> PAGEREF _Toc185514952 \h </w:instrText>
        </w:r>
        <w:r>
          <w:fldChar w:fldCharType="separate"/>
        </w:r>
        <w:r>
          <w:t>745</w:t>
        </w:r>
        <w:r>
          <w:fldChar w:fldCharType="end"/>
        </w:r>
      </w:hyperlink>
    </w:p>
    <w:p w14:paraId="7143C244" w14:textId="5FF5319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53" w:history="1">
        <w:r w:rsidRPr="00533B68">
          <w:t>4701</w:t>
        </w:r>
        <w:r>
          <w:rPr>
            <w:rFonts w:asciiTheme="minorHAnsi" w:eastAsiaTheme="minorEastAsia" w:hAnsiTheme="minorHAnsi" w:cstheme="minorBidi"/>
            <w:kern w:val="2"/>
            <w:sz w:val="24"/>
            <w:szCs w:val="24"/>
            <w:lang w:eastAsia="en-AU"/>
            <w14:ligatures w14:val="standardContextual"/>
          </w:rPr>
          <w:tab/>
        </w:r>
        <w:r w:rsidRPr="00533B68">
          <w:t>Application—pt 4.3</w:t>
        </w:r>
        <w:r>
          <w:tab/>
        </w:r>
        <w:r>
          <w:fldChar w:fldCharType="begin"/>
        </w:r>
        <w:r>
          <w:instrText xml:space="preserve"> PAGEREF _Toc185514953 \h </w:instrText>
        </w:r>
        <w:r>
          <w:fldChar w:fldCharType="separate"/>
        </w:r>
        <w:r>
          <w:t>746</w:t>
        </w:r>
        <w:r>
          <w:fldChar w:fldCharType="end"/>
        </w:r>
      </w:hyperlink>
    </w:p>
    <w:p w14:paraId="4F80A822" w14:textId="2A4BF13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54" w:history="1">
        <w:r w:rsidR="00AC5392" w:rsidRPr="00533B68">
          <w:t>Division 4.3.3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Supreme Court criminal proceedings—bail</w:t>
        </w:r>
        <w:r w:rsidR="00AC5392" w:rsidRPr="00AC5392">
          <w:rPr>
            <w:vanish/>
          </w:rPr>
          <w:tab/>
        </w:r>
        <w:r w:rsidR="00AC5392" w:rsidRPr="00AC5392">
          <w:rPr>
            <w:vanish/>
          </w:rPr>
          <w:fldChar w:fldCharType="begin"/>
        </w:r>
        <w:r w:rsidR="00AC5392" w:rsidRPr="00AC5392">
          <w:rPr>
            <w:vanish/>
          </w:rPr>
          <w:instrText xml:space="preserve"> PAGEREF _Toc185514954 \h </w:instrText>
        </w:r>
        <w:r w:rsidR="00AC5392" w:rsidRPr="00AC5392">
          <w:rPr>
            <w:vanish/>
          </w:rPr>
        </w:r>
        <w:r w:rsidR="00AC5392" w:rsidRPr="00AC5392">
          <w:rPr>
            <w:vanish/>
          </w:rPr>
          <w:fldChar w:fldCharType="separate"/>
        </w:r>
        <w:r w:rsidR="00AC5392" w:rsidRPr="00AC5392">
          <w:rPr>
            <w:vanish/>
          </w:rPr>
          <w:t>746</w:t>
        </w:r>
        <w:r w:rsidR="00AC5392" w:rsidRPr="00AC5392">
          <w:rPr>
            <w:vanish/>
          </w:rPr>
          <w:fldChar w:fldCharType="end"/>
        </w:r>
      </w:hyperlink>
    </w:p>
    <w:p w14:paraId="15BEFCE4" w14:textId="5C7BF4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55" w:history="1">
        <w:r w:rsidRPr="00533B68">
          <w:t>4720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accused person</w:t>
        </w:r>
        <w:r w:rsidRPr="00533B68">
          <w:t>—div 4.3.3</w:t>
        </w:r>
        <w:r>
          <w:tab/>
        </w:r>
        <w:r>
          <w:fldChar w:fldCharType="begin"/>
        </w:r>
        <w:r>
          <w:instrText xml:space="preserve"> PAGEREF _Toc185514955 \h </w:instrText>
        </w:r>
        <w:r>
          <w:fldChar w:fldCharType="separate"/>
        </w:r>
        <w:r>
          <w:t>746</w:t>
        </w:r>
        <w:r>
          <w:fldChar w:fldCharType="end"/>
        </w:r>
      </w:hyperlink>
    </w:p>
    <w:p w14:paraId="5AF876D1" w14:textId="1A71D81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56" w:history="1">
        <w:r w:rsidRPr="00533B68">
          <w:t>4721</w:t>
        </w:r>
        <w:r>
          <w:rPr>
            <w:rFonts w:asciiTheme="minorHAnsi" w:eastAsiaTheme="minorEastAsia" w:hAnsiTheme="minorHAnsi" w:cstheme="minorBidi"/>
            <w:kern w:val="2"/>
            <w:sz w:val="24"/>
            <w:szCs w:val="24"/>
            <w:lang w:eastAsia="en-AU"/>
            <w14:ligatures w14:val="standardContextual"/>
          </w:rPr>
          <w:tab/>
        </w:r>
        <w:r w:rsidRPr="00533B68">
          <w:t>Supreme Court bail application in relation to accused person</w:t>
        </w:r>
        <w:r>
          <w:tab/>
        </w:r>
        <w:r>
          <w:fldChar w:fldCharType="begin"/>
        </w:r>
        <w:r>
          <w:instrText xml:space="preserve"> PAGEREF _Toc185514956 \h </w:instrText>
        </w:r>
        <w:r>
          <w:fldChar w:fldCharType="separate"/>
        </w:r>
        <w:r>
          <w:t>746</w:t>
        </w:r>
        <w:r>
          <w:fldChar w:fldCharType="end"/>
        </w:r>
      </w:hyperlink>
    </w:p>
    <w:p w14:paraId="08F30E6A" w14:textId="1C7C9A5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57" w:history="1">
        <w:r w:rsidRPr="00533B68">
          <w:t>4722</w:t>
        </w:r>
        <w:r>
          <w:rPr>
            <w:rFonts w:asciiTheme="minorHAnsi" w:eastAsiaTheme="minorEastAsia" w:hAnsiTheme="minorHAnsi" w:cstheme="minorBidi"/>
            <w:kern w:val="2"/>
            <w:sz w:val="24"/>
            <w:szCs w:val="24"/>
            <w:lang w:eastAsia="en-AU"/>
            <w14:ligatures w14:val="standardContextual"/>
          </w:rPr>
          <w:tab/>
        </w:r>
        <w:r w:rsidRPr="00533B68">
          <w:t>Supreme Court bail application by informant</w:t>
        </w:r>
        <w:r>
          <w:tab/>
        </w:r>
        <w:r>
          <w:fldChar w:fldCharType="begin"/>
        </w:r>
        <w:r>
          <w:instrText xml:space="preserve"> PAGEREF _Toc185514957 \h </w:instrText>
        </w:r>
        <w:r>
          <w:fldChar w:fldCharType="separate"/>
        </w:r>
        <w:r>
          <w:t>749</w:t>
        </w:r>
        <w:r>
          <w:fldChar w:fldCharType="end"/>
        </w:r>
      </w:hyperlink>
    </w:p>
    <w:p w14:paraId="6F7CADDB" w14:textId="7339D23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58" w:history="1">
        <w:r w:rsidRPr="00533B68">
          <w:t>4723</w:t>
        </w:r>
        <w:r>
          <w:rPr>
            <w:rFonts w:asciiTheme="minorHAnsi" w:eastAsiaTheme="minorEastAsia" w:hAnsiTheme="minorHAnsi" w:cstheme="minorBidi"/>
            <w:kern w:val="2"/>
            <w:sz w:val="24"/>
            <w:szCs w:val="24"/>
            <w:lang w:eastAsia="en-AU"/>
            <w14:ligatures w14:val="standardContextual"/>
          </w:rPr>
          <w:tab/>
        </w:r>
        <w:r w:rsidRPr="00533B68">
          <w:t>Supreme Court application for bail by unrepresented accused person</w:t>
        </w:r>
        <w:r>
          <w:tab/>
        </w:r>
        <w:r>
          <w:fldChar w:fldCharType="begin"/>
        </w:r>
        <w:r>
          <w:instrText xml:space="preserve"> PAGEREF _Toc185514958 \h </w:instrText>
        </w:r>
        <w:r>
          <w:fldChar w:fldCharType="separate"/>
        </w:r>
        <w:r>
          <w:t>750</w:t>
        </w:r>
        <w:r>
          <w:fldChar w:fldCharType="end"/>
        </w:r>
      </w:hyperlink>
    </w:p>
    <w:p w14:paraId="1D2690FD" w14:textId="0C42AD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59" w:history="1">
        <w:r w:rsidRPr="00533B68">
          <w:t>4724</w:t>
        </w:r>
        <w:r>
          <w:rPr>
            <w:rFonts w:asciiTheme="minorHAnsi" w:eastAsiaTheme="minorEastAsia" w:hAnsiTheme="minorHAnsi" w:cstheme="minorBidi"/>
            <w:kern w:val="2"/>
            <w:sz w:val="24"/>
            <w:szCs w:val="24"/>
            <w:lang w:eastAsia="en-AU"/>
            <w14:ligatures w14:val="standardContextual"/>
          </w:rPr>
          <w:tab/>
        </w:r>
        <w:r w:rsidRPr="00533B68">
          <w:t>Prosecution application for review of bail decision</w:t>
        </w:r>
        <w:r>
          <w:tab/>
        </w:r>
        <w:r>
          <w:fldChar w:fldCharType="begin"/>
        </w:r>
        <w:r>
          <w:instrText xml:space="preserve"> PAGEREF _Toc185514959 \h </w:instrText>
        </w:r>
        <w:r>
          <w:fldChar w:fldCharType="separate"/>
        </w:r>
        <w:r>
          <w:t>750</w:t>
        </w:r>
        <w:r>
          <w:fldChar w:fldCharType="end"/>
        </w:r>
      </w:hyperlink>
    </w:p>
    <w:p w14:paraId="6B94F913" w14:textId="719B022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60" w:history="1">
        <w:r w:rsidR="00AC5392" w:rsidRPr="00533B68">
          <w:t>Division 4.3.4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Supreme Court criminal proceedings—pre-trial procedure</w:t>
        </w:r>
        <w:r w:rsidR="00AC5392" w:rsidRPr="00AC5392">
          <w:rPr>
            <w:vanish/>
          </w:rPr>
          <w:tab/>
        </w:r>
        <w:r w:rsidR="00AC5392" w:rsidRPr="00AC5392">
          <w:rPr>
            <w:vanish/>
          </w:rPr>
          <w:fldChar w:fldCharType="begin"/>
        </w:r>
        <w:r w:rsidR="00AC5392" w:rsidRPr="00AC5392">
          <w:rPr>
            <w:vanish/>
          </w:rPr>
          <w:instrText xml:space="preserve"> PAGEREF _Toc185514960 \h </w:instrText>
        </w:r>
        <w:r w:rsidR="00AC5392" w:rsidRPr="00AC5392">
          <w:rPr>
            <w:vanish/>
          </w:rPr>
        </w:r>
        <w:r w:rsidR="00AC5392" w:rsidRPr="00AC5392">
          <w:rPr>
            <w:vanish/>
          </w:rPr>
          <w:fldChar w:fldCharType="separate"/>
        </w:r>
        <w:r w:rsidR="00AC5392" w:rsidRPr="00AC5392">
          <w:rPr>
            <w:vanish/>
          </w:rPr>
          <w:t>751</w:t>
        </w:r>
        <w:r w:rsidR="00AC5392" w:rsidRPr="00AC5392">
          <w:rPr>
            <w:vanish/>
          </w:rPr>
          <w:fldChar w:fldCharType="end"/>
        </w:r>
      </w:hyperlink>
    </w:p>
    <w:p w14:paraId="4D242C76" w14:textId="750C84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1" w:history="1">
        <w:r w:rsidRPr="00533B68">
          <w:t>4730</w:t>
        </w:r>
        <w:r>
          <w:rPr>
            <w:rFonts w:asciiTheme="minorHAnsi" w:eastAsiaTheme="minorEastAsia" w:hAnsiTheme="minorHAnsi" w:cstheme="minorBidi"/>
            <w:kern w:val="2"/>
            <w:sz w:val="24"/>
            <w:szCs w:val="24"/>
            <w:lang w:eastAsia="en-AU"/>
            <w14:ligatures w14:val="standardContextual"/>
          </w:rPr>
          <w:tab/>
        </w:r>
        <w:r w:rsidRPr="00533B68">
          <w:t>Application—div 4.3.4</w:t>
        </w:r>
        <w:r>
          <w:tab/>
        </w:r>
        <w:r>
          <w:fldChar w:fldCharType="begin"/>
        </w:r>
        <w:r>
          <w:instrText xml:space="preserve"> PAGEREF _Toc185514961 \h </w:instrText>
        </w:r>
        <w:r>
          <w:fldChar w:fldCharType="separate"/>
        </w:r>
        <w:r>
          <w:t>751</w:t>
        </w:r>
        <w:r>
          <w:fldChar w:fldCharType="end"/>
        </w:r>
      </w:hyperlink>
    </w:p>
    <w:p w14:paraId="7FCA8DB2" w14:textId="7C36DDF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2" w:history="1">
        <w:r w:rsidRPr="00533B68">
          <w:t>4731</w:t>
        </w:r>
        <w:r>
          <w:rPr>
            <w:rFonts w:asciiTheme="minorHAnsi" w:eastAsiaTheme="minorEastAsia" w:hAnsiTheme="minorHAnsi" w:cstheme="minorBidi"/>
            <w:kern w:val="2"/>
            <w:sz w:val="24"/>
            <w:szCs w:val="24"/>
            <w:lang w:eastAsia="en-AU"/>
            <w14:ligatures w14:val="standardContextual"/>
          </w:rPr>
          <w:tab/>
        </w:r>
        <w:r w:rsidRPr="00533B68">
          <w:t>Supreme Court criminal proceedings—appearance of accused person</w:t>
        </w:r>
        <w:r>
          <w:tab/>
        </w:r>
        <w:r>
          <w:fldChar w:fldCharType="begin"/>
        </w:r>
        <w:r>
          <w:instrText xml:space="preserve"> PAGEREF _Toc185514962 \h </w:instrText>
        </w:r>
        <w:r>
          <w:fldChar w:fldCharType="separate"/>
        </w:r>
        <w:r>
          <w:t>751</w:t>
        </w:r>
        <w:r>
          <w:fldChar w:fldCharType="end"/>
        </w:r>
      </w:hyperlink>
    </w:p>
    <w:p w14:paraId="18AAD5E9" w14:textId="5FEEAB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3" w:history="1">
        <w:r w:rsidRPr="00533B68">
          <w:t>4732</w:t>
        </w:r>
        <w:r>
          <w:rPr>
            <w:rFonts w:asciiTheme="minorHAnsi" w:eastAsiaTheme="minorEastAsia" w:hAnsiTheme="minorHAnsi" w:cstheme="minorBidi"/>
            <w:kern w:val="2"/>
            <w:sz w:val="24"/>
            <w:szCs w:val="24"/>
            <w:lang w:eastAsia="en-AU"/>
            <w14:ligatures w14:val="standardContextual"/>
          </w:rPr>
          <w:tab/>
        </w:r>
        <w:r w:rsidRPr="00533B68">
          <w:t>Supreme Court criminal proceedings—appearance when committed for sentence</w:t>
        </w:r>
        <w:r>
          <w:tab/>
        </w:r>
        <w:r>
          <w:fldChar w:fldCharType="begin"/>
        </w:r>
        <w:r>
          <w:instrText xml:space="preserve"> PAGEREF _Toc185514963 \h </w:instrText>
        </w:r>
        <w:r>
          <w:fldChar w:fldCharType="separate"/>
        </w:r>
        <w:r>
          <w:t>752</w:t>
        </w:r>
        <w:r>
          <w:fldChar w:fldCharType="end"/>
        </w:r>
      </w:hyperlink>
    </w:p>
    <w:p w14:paraId="6CDD0304" w14:textId="62471A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4" w:history="1">
        <w:r w:rsidRPr="00533B68">
          <w:t>4733</w:t>
        </w:r>
        <w:r>
          <w:rPr>
            <w:rFonts w:asciiTheme="minorHAnsi" w:eastAsiaTheme="minorEastAsia" w:hAnsiTheme="minorHAnsi" w:cstheme="minorBidi"/>
            <w:kern w:val="2"/>
            <w:sz w:val="24"/>
            <w:szCs w:val="24"/>
            <w:lang w:eastAsia="en-AU"/>
            <w14:ligatures w14:val="standardContextual"/>
          </w:rPr>
          <w:tab/>
        </w:r>
        <w:r w:rsidRPr="00533B68">
          <w:t>Supreme Court criminal proceedings—appearance when committed for trial</w:t>
        </w:r>
        <w:r>
          <w:tab/>
        </w:r>
        <w:r>
          <w:fldChar w:fldCharType="begin"/>
        </w:r>
        <w:r>
          <w:instrText xml:space="preserve"> PAGEREF _Toc185514964 \h </w:instrText>
        </w:r>
        <w:r>
          <w:fldChar w:fldCharType="separate"/>
        </w:r>
        <w:r>
          <w:t>752</w:t>
        </w:r>
        <w:r>
          <w:fldChar w:fldCharType="end"/>
        </w:r>
      </w:hyperlink>
    </w:p>
    <w:p w14:paraId="75C99335" w14:textId="5CD3C4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5" w:history="1">
        <w:r w:rsidRPr="00533B68">
          <w:t>4734</w:t>
        </w:r>
        <w:r>
          <w:rPr>
            <w:rFonts w:asciiTheme="minorHAnsi" w:eastAsiaTheme="minorEastAsia" w:hAnsiTheme="minorHAnsi" w:cstheme="minorBidi"/>
            <w:kern w:val="2"/>
            <w:sz w:val="24"/>
            <w:szCs w:val="24"/>
            <w:lang w:eastAsia="en-AU"/>
            <w14:ligatures w14:val="standardContextual"/>
          </w:rPr>
          <w:tab/>
        </w:r>
        <w:r w:rsidRPr="00533B68">
          <w:t>Supreme Court criminal proceedings—pre-trial questionnaire</w:t>
        </w:r>
        <w:r>
          <w:tab/>
        </w:r>
        <w:r>
          <w:fldChar w:fldCharType="begin"/>
        </w:r>
        <w:r>
          <w:instrText xml:space="preserve"> PAGEREF _Toc185514965 \h </w:instrText>
        </w:r>
        <w:r>
          <w:fldChar w:fldCharType="separate"/>
        </w:r>
        <w:r>
          <w:t>754</w:t>
        </w:r>
        <w:r>
          <w:fldChar w:fldCharType="end"/>
        </w:r>
      </w:hyperlink>
    </w:p>
    <w:p w14:paraId="512141AD" w14:textId="43301F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6" w:history="1">
        <w:r w:rsidRPr="00533B68">
          <w:t>4735</w:t>
        </w:r>
        <w:r>
          <w:rPr>
            <w:rFonts w:asciiTheme="minorHAnsi" w:eastAsiaTheme="minorEastAsia" w:hAnsiTheme="minorHAnsi" w:cstheme="minorBidi"/>
            <w:kern w:val="2"/>
            <w:sz w:val="24"/>
            <w:szCs w:val="24"/>
            <w:lang w:eastAsia="en-AU"/>
            <w14:ligatures w14:val="standardContextual"/>
          </w:rPr>
          <w:tab/>
        </w:r>
        <w:r w:rsidRPr="00533B68">
          <w:t>Supreme Court criminal proceedings—completion of pre</w:t>
        </w:r>
        <w:r w:rsidRPr="00533B68">
          <w:noBreakHyphen/>
          <w:t>trial questionnaire</w:t>
        </w:r>
        <w:r>
          <w:tab/>
        </w:r>
        <w:r>
          <w:fldChar w:fldCharType="begin"/>
        </w:r>
        <w:r>
          <w:instrText xml:space="preserve"> PAGEREF _Toc185514966 \h </w:instrText>
        </w:r>
        <w:r>
          <w:fldChar w:fldCharType="separate"/>
        </w:r>
        <w:r>
          <w:t>754</w:t>
        </w:r>
        <w:r>
          <w:fldChar w:fldCharType="end"/>
        </w:r>
      </w:hyperlink>
    </w:p>
    <w:p w14:paraId="03E17992" w14:textId="282C56E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7" w:history="1">
        <w:r w:rsidRPr="00533B68">
          <w:t>4735A</w:t>
        </w:r>
        <w:r>
          <w:rPr>
            <w:rFonts w:asciiTheme="minorHAnsi" w:eastAsiaTheme="minorEastAsia" w:hAnsiTheme="minorHAnsi" w:cstheme="minorBidi"/>
            <w:kern w:val="2"/>
            <w:sz w:val="24"/>
            <w:szCs w:val="24"/>
            <w:lang w:eastAsia="en-AU"/>
            <w14:ligatures w14:val="standardContextual"/>
          </w:rPr>
          <w:tab/>
        </w:r>
        <w:r w:rsidRPr="00533B68">
          <w:t>Supreme Court criminal proceedings—registrar’s directions hearing</w:t>
        </w:r>
        <w:r>
          <w:tab/>
        </w:r>
        <w:r>
          <w:fldChar w:fldCharType="begin"/>
        </w:r>
        <w:r>
          <w:instrText xml:space="preserve"> PAGEREF _Toc185514967 \h </w:instrText>
        </w:r>
        <w:r>
          <w:fldChar w:fldCharType="separate"/>
        </w:r>
        <w:r>
          <w:t>755</w:t>
        </w:r>
        <w:r>
          <w:fldChar w:fldCharType="end"/>
        </w:r>
      </w:hyperlink>
    </w:p>
    <w:p w14:paraId="7C0182D8" w14:textId="480EEF0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8" w:history="1">
        <w:r w:rsidRPr="00533B68">
          <w:t>4736</w:t>
        </w:r>
        <w:r>
          <w:rPr>
            <w:rFonts w:asciiTheme="minorHAnsi" w:eastAsiaTheme="minorEastAsia" w:hAnsiTheme="minorHAnsi" w:cstheme="minorBidi"/>
            <w:kern w:val="2"/>
            <w:sz w:val="24"/>
            <w:szCs w:val="24"/>
            <w:lang w:eastAsia="en-AU"/>
            <w14:ligatures w14:val="standardContextual"/>
          </w:rPr>
          <w:tab/>
        </w:r>
        <w:r w:rsidRPr="00533B68">
          <w:t>Supreme Court criminal proceedings—arraignment</w:t>
        </w:r>
        <w:r>
          <w:tab/>
        </w:r>
        <w:r>
          <w:fldChar w:fldCharType="begin"/>
        </w:r>
        <w:r>
          <w:instrText xml:space="preserve"> PAGEREF _Toc185514968 \h </w:instrText>
        </w:r>
        <w:r>
          <w:fldChar w:fldCharType="separate"/>
        </w:r>
        <w:r>
          <w:t>755</w:t>
        </w:r>
        <w:r>
          <w:fldChar w:fldCharType="end"/>
        </w:r>
      </w:hyperlink>
    </w:p>
    <w:p w14:paraId="61058A22" w14:textId="7FF3C2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69" w:history="1">
        <w:r w:rsidRPr="00533B68">
          <w:t>4738</w:t>
        </w:r>
        <w:r>
          <w:rPr>
            <w:rFonts w:asciiTheme="minorHAnsi" w:eastAsiaTheme="minorEastAsia" w:hAnsiTheme="minorHAnsi" w:cstheme="minorBidi"/>
            <w:kern w:val="2"/>
            <w:sz w:val="24"/>
            <w:szCs w:val="24"/>
            <w:lang w:eastAsia="en-AU"/>
            <w14:ligatures w14:val="standardContextual"/>
          </w:rPr>
          <w:tab/>
        </w:r>
        <w:r w:rsidRPr="00533B68">
          <w:rPr>
            <w:bCs/>
            <w:lang w:eastAsia="en-AU"/>
          </w:rPr>
          <w:t>Supreme Court criminal</w:t>
        </w:r>
        <w:r w:rsidRPr="00533B68">
          <w:rPr>
            <w:lang w:eastAsia="en-AU"/>
          </w:rPr>
          <w:t xml:space="preserve"> proceedings—directions</w:t>
        </w:r>
        <w:r>
          <w:tab/>
        </w:r>
        <w:r>
          <w:fldChar w:fldCharType="begin"/>
        </w:r>
        <w:r>
          <w:instrText xml:space="preserve"> PAGEREF _Toc185514969 \h </w:instrText>
        </w:r>
        <w:r>
          <w:fldChar w:fldCharType="separate"/>
        </w:r>
        <w:r>
          <w:t>756</w:t>
        </w:r>
        <w:r>
          <w:fldChar w:fldCharType="end"/>
        </w:r>
      </w:hyperlink>
    </w:p>
    <w:p w14:paraId="2C912952" w14:textId="514E1B1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70" w:history="1">
        <w:r w:rsidR="00AC5392" w:rsidRPr="00533B68">
          <w:t>Division 4.3.5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Supreme Court criminal proceedings—pre-trial applications</w:t>
        </w:r>
        <w:r w:rsidR="00AC5392" w:rsidRPr="00AC5392">
          <w:rPr>
            <w:vanish/>
          </w:rPr>
          <w:tab/>
        </w:r>
        <w:r w:rsidR="00AC5392" w:rsidRPr="00AC5392">
          <w:rPr>
            <w:vanish/>
          </w:rPr>
          <w:fldChar w:fldCharType="begin"/>
        </w:r>
        <w:r w:rsidR="00AC5392" w:rsidRPr="00AC5392">
          <w:rPr>
            <w:vanish/>
          </w:rPr>
          <w:instrText xml:space="preserve"> PAGEREF _Toc185514970 \h </w:instrText>
        </w:r>
        <w:r w:rsidR="00AC5392" w:rsidRPr="00AC5392">
          <w:rPr>
            <w:vanish/>
          </w:rPr>
        </w:r>
        <w:r w:rsidR="00AC5392" w:rsidRPr="00AC5392">
          <w:rPr>
            <w:vanish/>
          </w:rPr>
          <w:fldChar w:fldCharType="separate"/>
        </w:r>
        <w:r w:rsidR="00AC5392" w:rsidRPr="00AC5392">
          <w:rPr>
            <w:vanish/>
          </w:rPr>
          <w:t>757</w:t>
        </w:r>
        <w:r w:rsidR="00AC5392" w:rsidRPr="00AC5392">
          <w:rPr>
            <w:vanish/>
          </w:rPr>
          <w:fldChar w:fldCharType="end"/>
        </w:r>
      </w:hyperlink>
    </w:p>
    <w:p w14:paraId="57EB0900" w14:textId="457380A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71" w:history="1">
        <w:r w:rsidRPr="00533B68">
          <w:t>4750</w:t>
        </w:r>
        <w:r>
          <w:rPr>
            <w:rFonts w:asciiTheme="minorHAnsi" w:eastAsiaTheme="minorEastAsia" w:hAnsiTheme="minorHAnsi" w:cstheme="minorBidi"/>
            <w:kern w:val="2"/>
            <w:sz w:val="24"/>
            <w:szCs w:val="24"/>
            <w:lang w:eastAsia="en-AU"/>
            <w14:ligatures w14:val="standardContextual"/>
          </w:rPr>
          <w:tab/>
        </w:r>
        <w:r w:rsidRPr="00533B68">
          <w:t>Supreme Court criminal proceedings—application to set aside or stay proceeding</w:t>
        </w:r>
        <w:r>
          <w:tab/>
        </w:r>
        <w:r>
          <w:fldChar w:fldCharType="begin"/>
        </w:r>
        <w:r>
          <w:instrText xml:space="preserve"> PAGEREF _Toc185514971 \h </w:instrText>
        </w:r>
        <w:r>
          <w:fldChar w:fldCharType="separate"/>
        </w:r>
        <w:r>
          <w:t>757</w:t>
        </w:r>
        <w:r>
          <w:fldChar w:fldCharType="end"/>
        </w:r>
      </w:hyperlink>
    </w:p>
    <w:p w14:paraId="6EC53983" w14:textId="7B1BB36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72" w:history="1">
        <w:r w:rsidRPr="00533B68">
          <w:t>4751</w:t>
        </w:r>
        <w:r>
          <w:rPr>
            <w:rFonts w:asciiTheme="minorHAnsi" w:eastAsiaTheme="minorEastAsia" w:hAnsiTheme="minorHAnsi" w:cstheme="minorBidi"/>
            <w:kern w:val="2"/>
            <w:sz w:val="24"/>
            <w:szCs w:val="24"/>
            <w:lang w:eastAsia="en-AU"/>
            <w14:ligatures w14:val="standardContextual"/>
          </w:rPr>
          <w:tab/>
        </w:r>
        <w:r w:rsidRPr="00533B68">
          <w:t>Supreme Court criminal proceedings—application for separate trials</w:t>
        </w:r>
        <w:r>
          <w:tab/>
        </w:r>
        <w:r>
          <w:fldChar w:fldCharType="begin"/>
        </w:r>
        <w:r>
          <w:instrText xml:space="preserve"> PAGEREF _Toc185514972 \h </w:instrText>
        </w:r>
        <w:r>
          <w:fldChar w:fldCharType="separate"/>
        </w:r>
        <w:r>
          <w:t>757</w:t>
        </w:r>
        <w:r>
          <w:fldChar w:fldCharType="end"/>
        </w:r>
      </w:hyperlink>
    </w:p>
    <w:p w14:paraId="1F3C41BD" w14:textId="70BD5D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73" w:history="1">
        <w:r w:rsidRPr="00533B68">
          <w:t>4752</w:t>
        </w:r>
        <w:r>
          <w:rPr>
            <w:rFonts w:asciiTheme="minorHAnsi" w:eastAsiaTheme="minorEastAsia" w:hAnsiTheme="minorHAnsi" w:cstheme="minorBidi"/>
            <w:kern w:val="2"/>
            <w:sz w:val="24"/>
            <w:szCs w:val="24"/>
            <w:lang w:eastAsia="en-AU"/>
            <w14:ligatures w14:val="standardContextual"/>
          </w:rPr>
          <w:tab/>
        </w:r>
        <w:r w:rsidRPr="00533B68">
          <w:t>Supreme Court criminal proceedings—other pre-trial applications</w:t>
        </w:r>
        <w:r>
          <w:tab/>
        </w:r>
        <w:r>
          <w:fldChar w:fldCharType="begin"/>
        </w:r>
        <w:r>
          <w:instrText xml:space="preserve"> PAGEREF _Toc185514973 \h </w:instrText>
        </w:r>
        <w:r>
          <w:fldChar w:fldCharType="separate"/>
        </w:r>
        <w:r>
          <w:t>758</w:t>
        </w:r>
        <w:r>
          <w:fldChar w:fldCharType="end"/>
        </w:r>
      </w:hyperlink>
    </w:p>
    <w:p w14:paraId="65B2BFE8" w14:textId="2BC6C80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74" w:history="1">
        <w:r w:rsidRPr="00533B68">
          <w:t>4753</w:t>
        </w:r>
        <w:r>
          <w:rPr>
            <w:rFonts w:asciiTheme="minorHAnsi" w:eastAsiaTheme="minorEastAsia" w:hAnsiTheme="minorHAnsi" w:cstheme="minorBidi"/>
            <w:kern w:val="2"/>
            <w:sz w:val="24"/>
            <w:szCs w:val="24"/>
            <w:lang w:eastAsia="en-AU"/>
            <w14:ligatures w14:val="standardContextual"/>
          </w:rPr>
          <w:tab/>
        </w:r>
        <w:r w:rsidRPr="00533B68">
          <w:t>Supreme Court criminal proceedings—applications under r 4750, r 4751 and r 4752</w:t>
        </w:r>
        <w:r>
          <w:tab/>
        </w:r>
        <w:r>
          <w:fldChar w:fldCharType="begin"/>
        </w:r>
        <w:r>
          <w:instrText xml:space="preserve"> PAGEREF _Toc185514974 \h </w:instrText>
        </w:r>
        <w:r>
          <w:fldChar w:fldCharType="separate"/>
        </w:r>
        <w:r>
          <w:t>758</w:t>
        </w:r>
        <w:r>
          <w:fldChar w:fldCharType="end"/>
        </w:r>
      </w:hyperlink>
    </w:p>
    <w:p w14:paraId="157915BA" w14:textId="691081E0"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975" w:history="1">
        <w:r w:rsidR="00AC5392" w:rsidRPr="00533B68">
          <w:t>Part 4.4</w:t>
        </w:r>
        <w:r w:rsidR="00AC5392">
          <w:rPr>
            <w:rFonts w:asciiTheme="minorHAnsi" w:eastAsiaTheme="minorEastAsia" w:hAnsiTheme="minorHAnsi" w:cstheme="minorBidi"/>
            <w:b w:val="0"/>
            <w:kern w:val="2"/>
            <w:szCs w:val="24"/>
            <w:lang w:eastAsia="en-AU"/>
            <w14:ligatures w14:val="standardContextual"/>
          </w:rPr>
          <w:tab/>
        </w:r>
        <w:r w:rsidR="00AC5392" w:rsidRPr="00533B68">
          <w:t>Forensic proceedings</w:t>
        </w:r>
        <w:r w:rsidR="00AC5392" w:rsidRPr="00AC5392">
          <w:rPr>
            <w:vanish/>
          </w:rPr>
          <w:tab/>
        </w:r>
        <w:r w:rsidR="00AC5392" w:rsidRPr="00AC5392">
          <w:rPr>
            <w:vanish/>
          </w:rPr>
          <w:fldChar w:fldCharType="begin"/>
        </w:r>
        <w:r w:rsidR="00AC5392" w:rsidRPr="00AC5392">
          <w:rPr>
            <w:vanish/>
          </w:rPr>
          <w:instrText xml:space="preserve"> PAGEREF _Toc185514975 \h </w:instrText>
        </w:r>
        <w:r w:rsidR="00AC5392" w:rsidRPr="00AC5392">
          <w:rPr>
            <w:vanish/>
          </w:rPr>
        </w:r>
        <w:r w:rsidR="00AC5392" w:rsidRPr="00AC5392">
          <w:rPr>
            <w:vanish/>
          </w:rPr>
          <w:fldChar w:fldCharType="separate"/>
        </w:r>
        <w:r w:rsidR="00AC5392" w:rsidRPr="00AC5392">
          <w:rPr>
            <w:vanish/>
          </w:rPr>
          <w:t>760</w:t>
        </w:r>
        <w:r w:rsidR="00AC5392" w:rsidRPr="00AC5392">
          <w:rPr>
            <w:vanish/>
          </w:rPr>
          <w:fldChar w:fldCharType="end"/>
        </w:r>
      </w:hyperlink>
    </w:p>
    <w:p w14:paraId="6143505E" w14:textId="4E46874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76" w:history="1">
        <w:r w:rsidR="00AC5392" w:rsidRPr="00533B68">
          <w:t>Division 4.4.1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Forensic proceedings—preliminary</w:t>
        </w:r>
        <w:r w:rsidR="00AC5392" w:rsidRPr="00AC5392">
          <w:rPr>
            <w:vanish/>
          </w:rPr>
          <w:tab/>
        </w:r>
        <w:r w:rsidR="00AC5392" w:rsidRPr="00AC5392">
          <w:rPr>
            <w:vanish/>
          </w:rPr>
          <w:fldChar w:fldCharType="begin"/>
        </w:r>
        <w:r w:rsidR="00AC5392" w:rsidRPr="00AC5392">
          <w:rPr>
            <w:vanish/>
          </w:rPr>
          <w:instrText xml:space="preserve"> PAGEREF _Toc185514976 \h </w:instrText>
        </w:r>
        <w:r w:rsidR="00AC5392" w:rsidRPr="00AC5392">
          <w:rPr>
            <w:vanish/>
          </w:rPr>
        </w:r>
        <w:r w:rsidR="00AC5392" w:rsidRPr="00AC5392">
          <w:rPr>
            <w:vanish/>
          </w:rPr>
          <w:fldChar w:fldCharType="separate"/>
        </w:r>
        <w:r w:rsidR="00AC5392" w:rsidRPr="00AC5392">
          <w:rPr>
            <w:vanish/>
          </w:rPr>
          <w:t>760</w:t>
        </w:r>
        <w:r w:rsidR="00AC5392" w:rsidRPr="00AC5392">
          <w:rPr>
            <w:vanish/>
          </w:rPr>
          <w:fldChar w:fldCharType="end"/>
        </w:r>
      </w:hyperlink>
    </w:p>
    <w:p w14:paraId="6E6F1125" w14:textId="03F42E7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77" w:history="1">
        <w:r w:rsidRPr="00533B68">
          <w:t>4800</w:t>
        </w:r>
        <w:r>
          <w:rPr>
            <w:rFonts w:asciiTheme="minorHAnsi" w:eastAsiaTheme="minorEastAsia" w:hAnsiTheme="minorHAnsi" w:cstheme="minorBidi"/>
            <w:kern w:val="2"/>
            <w:sz w:val="24"/>
            <w:szCs w:val="24"/>
            <w:lang w:eastAsia="en-AU"/>
            <w14:ligatures w14:val="standardContextual"/>
          </w:rPr>
          <w:tab/>
        </w:r>
        <w:r w:rsidRPr="00533B68">
          <w:t>Definitions—pt 4.4</w:t>
        </w:r>
        <w:r>
          <w:tab/>
        </w:r>
        <w:r>
          <w:fldChar w:fldCharType="begin"/>
        </w:r>
        <w:r>
          <w:instrText xml:space="preserve"> PAGEREF _Toc185514977 \h </w:instrText>
        </w:r>
        <w:r>
          <w:fldChar w:fldCharType="separate"/>
        </w:r>
        <w:r>
          <w:t>760</w:t>
        </w:r>
        <w:r>
          <w:fldChar w:fldCharType="end"/>
        </w:r>
      </w:hyperlink>
    </w:p>
    <w:p w14:paraId="35F1A0F8" w14:textId="49A7BC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78" w:history="1">
        <w:r w:rsidRPr="00533B68">
          <w:t>4801</w:t>
        </w:r>
        <w:r>
          <w:rPr>
            <w:rFonts w:asciiTheme="minorHAnsi" w:eastAsiaTheme="minorEastAsia" w:hAnsiTheme="minorHAnsi" w:cstheme="minorBidi"/>
            <w:kern w:val="2"/>
            <w:sz w:val="24"/>
            <w:szCs w:val="24"/>
            <w:lang w:eastAsia="en-AU"/>
            <w14:ligatures w14:val="standardContextual"/>
          </w:rPr>
          <w:tab/>
        </w:r>
        <w:r w:rsidRPr="00533B68">
          <w:rPr>
            <w:lang w:eastAsia="en-AU"/>
          </w:rPr>
          <w:t>Forensic proceedings—application of applied civil rules</w:t>
        </w:r>
        <w:r>
          <w:tab/>
        </w:r>
        <w:r>
          <w:fldChar w:fldCharType="begin"/>
        </w:r>
        <w:r>
          <w:instrText xml:space="preserve"> PAGEREF _Toc185514978 \h </w:instrText>
        </w:r>
        <w:r>
          <w:fldChar w:fldCharType="separate"/>
        </w:r>
        <w:r>
          <w:t>760</w:t>
        </w:r>
        <w:r>
          <w:fldChar w:fldCharType="end"/>
        </w:r>
      </w:hyperlink>
    </w:p>
    <w:p w14:paraId="11B90C8F" w14:textId="43033D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79" w:history="1">
        <w:r w:rsidRPr="00533B68">
          <w:t>4802</w:t>
        </w:r>
        <w:r>
          <w:rPr>
            <w:rFonts w:asciiTheme="minorHAnsi" w:eastAsiaTheme="minorEastAsia" w:hAnsiTheme="minorHAnsi" w:cstheme="minorBidi"/>
            <w:kern w:val="2"/>
            <w:sz w:val="24"/>
            <w:szCs w:val="24"/>
            <w:lang w:eastAsia="en-AU"/>
            <w14:ligatures w14:val="standardContextual"/>
          </w:rPr>
          <w:tab/>
        </w:r>
        <w:r w:rsidRPr="00533B68">
          <w:t>Forensic proceedings—application of applied criminal rules</w:t>
        </w:r>
        <w:r>
          <w:tab/>
        </w:r>
        <w:r>
          <w:fldChar w:fldCharType="begin"/>
        </w:r>
        <w:r>
          <w:instrText xml:space="preserve"> PAGEREF _Toc185514979 \h </w:instrText>
        </w:r>
        <w:r>
          <w:fldChar w:fldCharType="separate"/>
        </w:r>
        <w:r>
          <w:t>761</w:t>
        </w:r>
        <w:r>
          <w:fldChar w:fldCharType="end"/>
        </w:r>
      </w:hyperlink>
    </w:p>
    <w:p w14:paraId="032381DA" w14:textId="462DFD9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80" w:history="1">
        <w:r w:rsidR="00AC5392" w:rsidRPr="00533B68">
          <w:t>Division 4.4.2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Forensic proceedings under the Act, pt 2.5 and the Crimes Act, pt 1D, div 5</w:t>
        </w:r>
        <w:r w:rsidR="00AC5392" w:rsidRPr="00AC5392">
          <w:rPr>
            <w:vanish/>
          </w:rPr>
          <w:tab/>
        </w:r>
        <w:r w:rsidR="00AC5392" w:rsidRPr="00AC5392">
          <w:rPr>
            <w:vanish/>
          </w:rPr>
          <w:fldChar w:fldCharType="begin"/>
        </w:r>
        <w:r w:rsidR="00AC5392" w:rsidRPr="00AC5392">
          <w:rPr>
            <w:vanish/>
          </w:rPr>
          <w:instrText xml:space="preserve"> PAGEREF _Toc185514980 \h </w:instrText>
        </w:r>
        <w:r w:rsidR="00AC5392" w:rsidRPr="00AC5392">
          <w:rPr>
            <w:vanish/>
          </w:rPr>
        </w:r>
        <w:r w:rsidR="00AC5392" w:rsidRPr="00AC5392">
          <w:rPr>
            <w:vanish/>
          </w:rPr>
          <w:fldChar w:fldCharType="separate"/>
        </w:r>
        <w:r w:rsidR="00AC5392" w:rsidRPr="00AC5392">
          <w:rPr>
            <w:vanish/>
          </w:rPr>
          <w:t>761</w:t>
        </w:r>
        <w:r w:rsidR="00AC5392" w:rsidRPr="00AC5392">
          <w:rPr>
            <w:vanish/>
          </w:rPr>
          <w:fldChar w:fldCharType="end"/>
        </w:r>
      </w:hyperlink>
    </w:p>
    <w:p w14:paraId="043928A5" w14:textId="6E658FF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81" w:history="1">
        <w:r w:rsidRPr="00533B68">
          <w:t>4803</w:t>
        </w:r>
        <w:r>
          <w:rPr>
            <w:rFonts w:asciiTheme="minorHAnsi" w:eastAsiaTheme="minorEastAsia" w:hAnsiTheme="minorHAnsi" w:cstheme="minorBidi"/>
            <w:kern w:val="2"/>
            <w:sz w:val="24"/>
            <w:szCs w:val="24"/>
            <w:lang w:eastAsia="en-AU"/>
            <w14:ligatures w14:val="standardContextual"/>
          </w:rPr>
          <w:tab/>
        </w:r>
        <w:r w:rsidRPr="00533B68">
          <w:t>Application—div 4.4.2</w:t>
        </w:r>
        <w:r>
          <w:tab/>
        </w:r>
        <w:r>
          <w:fldChar w:fldCharType="begin"/>
        </w:r>
        <w:r>
          <w:instrText xml:space="preserve"> PAGEREF _Toc185514981 \h </w:instrText>
        </w:r>
        <w:r>
          <w:fldChar w:fldCharType="separate"/>
        </w:r>
        <w:r>
          <w:t>761</w:t>
        </w:r>
        <w:r>
          <w:fldChar w:fldCharType="end"/>
        </w:r>
      </w:hyperlink>
    </w:p>
    <w:p w14:paraId="1FD8E802" w14:textId="4951226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82" w:history="1">
        <w:r w:rsidRPr="00533B68">
          <w:t>4804</w:t>
        </w:r>
        <w:r>
          <w:rPr>
            <w:rFonts w:asciiTheme="minorHAnsi" w:eastAsiaTheme="minorEastAsia" w:hAnsiTheme="minorHAnsi" w:cstheme="minorBidi"/>
            <w:kern w:val="2"/>
            <w:sz w:val="24"/>
            <w:szCs w:val="24"/>
            <w:lang w:eastAsia="en-AU"/>
            <w14:ligatures w14:val="standardContextual"/>
          </w:rPr>
          <w:tab/>
        </w:r>
        <w:r w:rsidRPr="00533B68">
          <w:t>Forensic proceedings—filing of application</w:t>
        </w:r>
        <w:r>
          <w:tab/>
        </w:r>
        <w:r>
          <w:fldChar w:fldCharType="begin"/>
        </w:r>
        <w:r>
          <w:instrText xml:space="preserve"> PAGEREF _Toc185514982 \h </w:instrText>
        </w:r>
        <w:r>
          <w:fldChar w:fldCharType="separate"/>
        </w:r>
        <w:r>
          <w:t>762</w:t>
        </w:r>
        <w:r>
          <w:fldChar w:fldCharType="end"/>
        </w:r>
      </w:hyperlink>
    </w:p>
    <w:p w14:paraId="5F4969AF" w14:textId="48A1359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83" w:history="1">
        <w:r w:rsidRPr="00533B68">
          <w:t>4805</w:t>
        </w:r>
        <w:r>
          <w:rPr>
            <w:rFonts w:asciiTheme="minorHAnsi" w:eastAsiaTheme="minorEastAsia" w:hAnsiTheme="minorHAnsi" w:cstheme="minorBidi"/>
            <w:kern w:val="2"/>
            <w:sz w:val="24"/>
            <w:szCs w:val="24"/>
            <w:lang w:eastAsia="en-AU"/>
            <w14:ligatures w14:val="standardContextual"/>
          </w:rPr>
          <w:tab/>
        </w:r>
        <w:r w:rsidRPr="00533B68">
          <w:t>Forensic proceedings—personal service</w:t>
        </w:r>
        <w:r>
          <w:tab/>
        </w:r>
        <w:r>
          <w:fldChar w:fldCharType="begin"/>
        </w:r>
        <w:r>
          <w:instrText xml:space="preserve"> PAGEREF _Toc185514983 \h </w:instrText>
        </w:r>
        <w:r>
          <w:fldChar w:fldCharType="separate"/>
        </w:r>
        <w:r>
          <w:t>762</w:t>
        </w:r>
        <w:r>
          <w:fldChar w:fldCharType="end"/>
        </w:r>
      </w:hyperlink>
    </w:p>
    <w:p w14:paraId="1E684EC8" w14:textId="7776AB5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84" w:history="1">
        <w:r w:rsidR="00AC5392" w:rsidRPr="00533B68">
          <w:t>Division 4.4.3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Forensic proceedings under the Act, pt 2.7 and the Crimes Act, pt 1D, div 6A</w:t>
        </w:r>
        <w:r w:rsidR="00AC5392" w:rsidRPr="00AC5392">
          <w:rPr>
            <w:vanish/>
          </w:rPr>
          <w:tab/>
        </w:r>
        <w:r w:rsidR="00AC5392" w:rsidRPr="00AC5392">
          <w:rPr>
            <w:vanish/>
          </w:rPr>
          <w:fldChar w:fldCharType="begin"/>
        </w:r>
        <w:r w:rsidR="00AC5392" w:rsidRPr="00AC5392">
          <w:rPr>
            <w:vanish/>
          </w:rPr>
          <w:instrText xml:space="preserve"> PAGEREF _Toc185514984 \h </w:instrText>
        </w:r>
        <w:r w:rsidR="00AC5392" w:rsidRPr="00AC5392">
          <w:rPr>
            <w:vanish/>
          </w:rPr>
        </w:r>
        <w:r w:rsidR="00AC5392" w:rsidRPr="00AC5392">
          <w:rPr>
            <w:vanish/>
          </w:rPr>
          <w:fldChar w:fldCharType="separate"/>
        </w:r>
        <w:r w:rsidR="00AC5392" w:rsidRPr="00AC5392">
          <w:rPr>
            <w:vanish/>
          </w:rPr>
          <w:t>762</w:t>
        </w:r>
        <w:r w:rsidR="00AC5392" w:rsidRPr="00AC5392">
          <w:rPr>
            <w:vanish/>
          </w:rPr>
          <w:fldChar w:fldCharType="end"/>
        </w:r>
      </w:hyperlink>
    </w:p>
    <w:p w14:paraId="22A3158A" w14:textId="6B90A9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85" w:history="1">
        <w:r w:rsidRPr="00533B68">
          <w:t>4806</w:t>
        </w:r>
        <w:r>
          <w:rPr>
            <w:rFonts w:asciiTheme="minorHAnsi" w:eastAsiaTheme="minorEastAsia" w:hAnsiTheme="minorHAnsi" w:cstheme="minorBidi"/>
            <w:kern w:val="2"/>
            <w:sz w:val="24"/>
            <w:szCs w:val="24"/>
            <w:lang w:eastAsia="en-AU"/>
            <w14:ligatures w14:val="standardContextual"/>
          </w:rPr>
          <w:tab/>
        </w:r>
        <w:r w:rsidRPr="00533B68">
          <w:t>Application—div 4.4.3</w:t>
        </w:r>
        <w:r>
          <w:tab/>
        </w:r>
        <w:r>
          <w:fldChar w:fldCharType="begin"/>
        </w:r>
        <w:r>
          <w:instrText xml:space="preserve"> PAGEREF _Toc185514985 \h </w:instrText>
        </w:r>
        <w:r>
          <w:fldChar w:fldCharType="separate"/>
        </w:r>
        <w:r>
          <w:t>762</w:t>
        </w:r>
        <w:r>
          <w:fldChar w:fldCharType="end"/>
        </w:r>
      </w:hyperlink>
    </w:p>
    <w:p w14:paraId="657E2287" w14:textId="27D5E5C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86" w:history="1">
        <w:r w:rsidRPr="00533B68">
          <w:t>4807</w:t>
        </w:r>
        <w:r>
          <w:rPr>
            <w:rFonts w:asciiTheme="minorHAnsi" w:eastAsiaTheme="minorEastAsia" w:hAnsiTheme="minorHAnsi" w:cstheme="minorBidi"/>
            <w:kern w:val="2"/>
            <w:sz w:val="24"/>
            <w:szCs w:val="24"/>
            <w:lang w:eastAsia="en-AU"/>
            <w14:ligatures w14:val="standardContextual"/>
          </w:rPr>
          <w:tab/>
        </w:r>
        <w:r w:rsidRPr="00533B68">
          <w:rPr>
            <w:bCs/>
          </w:rPr>
          <w:t xml:space="preserve">Forensic </w:t>
        </w:r>
        <w:r w:rsidRPr="00533B68">
          <w:t>proceedings—</w:t>
        </w:r>
        <w:r w:rsidRPr="00533B68">
          <w:rPr>
            <w:bCs/>
          </w:rPr>
          <w:t>application and service</w:t>
        </w:r>
        <w:r>
          <w:tab/>
        </w:r>
        <w:r>
          <w:fldChar w:fldCharType="begin"/>
        </w:r>
        <w:r>
          <w:instrText xml:space="preserve"> PAGEREF _Toc185514986 \h </w:instrText>
        </w:r>
        <w:r>
          <w:fldChar w:fldCharType="separate"/>
        </w:r>
        <w:r>
          <w:t>763</w:t>
        </w:r>
        <w:r>
          <w:fldChar w:fldCharType="end"/>
        </w:r>
      </w:hyperlink>
    </w:p>
    <w:p w14:paraId="32FF7541" w14:textId="144FD4C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4987" w:history="1">
        <w:r w:rsidR="00AC5392" w:rsidRPr="00533B68">
          <w:t>Division 4.4.4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Forensic proceedings—general</w:t>
        </w:r>
        <w:r w:rsidR="00AC5392" w:rsidRPr="00AC5392">
          <w:rPr>
            <w:vanish/>
          </w:rPr>
          <w:tab/>
        </w:r>
        <w:r w:rsidR="00AC5392" w:rsidRPr="00AC5392">
          <w:rPr>
            <w:vanish/>
          </w:rPr>
          <w:fldChar w:fldCharType="begin"/>
        </w:r>
        <w:r w:rsidR="00AC5392" w:rsidRPr="00AC5392">
          <w:rPr>
            <w:vanish/>
          </w:rPr>
          <w:instrText xml:space="preserve"> PAGEREF _Toc185514987 \h </w:instrText>
        </w:r>
        <w:r w:rsidR="00AC5392" w:rsidRPr="00AC5392">
          <w:rPr>
            <w:vanish/>
          </w:rPr>
        </w:r>
        <w:r w:rsidR="00AC5392" w:rsidRPr="00AC5392">
          <w:rPr>
            <w:vanish/>
          </w:rPr>
          <w:fldChar w:fldCharType="separate"/>
        </w:r>
        <w:r w:rsidR="00AC5392" w:rsidRPr="00AC5392">
          <w:rPr>
            <w:vanish/>
          </w:rPr>
          <w:t>764</w:t>
        </w:r>
        <w:r w:rsidR="00AC5392" w:rsidRPr="00AC5392">
          <w:rPr>
            <w:vanish/>
          </w:rPr>
          <w:fldChar w:fldCharType="end"/>
        </w:r>
      </w:hyperlink>
    </w:p>
    <w:p w14:paraId="0D41FAC9" w14:textId="53DC531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88" w:history="1">
        <w:r w:rsidRPr="00533B68">
          <w:t>4808</w:t>
        </w:r>
        <w:r>
          <w:rPr>
            <w:rFonts w:asciiTheme="minorHAnsi" w:eastAsiaTheme="minorEastAsia" w:hAnsiTheme="minorHAnsi" w:cstheme="minorBidi"/>
            <w:kern w:val="2"/>
            <w:sz w:val="24"/>
            <w:szCs w:val="24"/>
            <w:lang w:eastAsia="en-AU"/>
            <w14:ligatures w14:val="standardContextual"/>
          </w:rPr>
          <w:tab/>
        </w:r>
        <w:r w:rsidRPr="00533B68">
          <w:rPr>
            <w:bCs/>
          </w:rPr>
          <w:t>Forensic proceedings</w:t>
        </w:r>
        <w:r w:rsidRPr="00533B68">
          <w:rPr>
            <w:lang w:eastAsia="en-AU"/>
          </w:rPr>
          <w:t>—application not served in time</w:t>
        </w:r>
        <w:r>
          <w:tab/>
        </w:r>
        <w:r>
          <w:fldChar w:fldCharType="begin"/>
        </w:r>
        <w:r>
          <w:instrText xml:space="preserve"> PAGEREF _Toc185514988 \h </w:instrText>
        </w:r>
        <w:r>
          <w:fldChar w:fldCharType="separate"/>
        </w:r>
        <w:r>
          <w:t>764</w:t>
        </w:r>
        <w:r>
          <w:fldChar w:fldCharType="end"/>
        </w:r>
      </w:hyperlink>
    </w:p>
    <w:p w14:paraId="373E9F07" w14:textId="466D613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89" w:history="1">
        <w:r w:rsidRPr="00533B68">
          <w:t>4809</w:t>
        </w:r>
        <w:r>
          <w:rPr>
            <w:rFonts w:asciiTheme="minorHAnsi" w:eastAsiaTheme="minorEastAsia" w:hAnsiTheme="minorHAnsi" w:cstheme="minorBidi"/>
            <w:kern w:val="2"/>
            <w:sz w:val="24"/>
            <w:szCs w:val="24"/>
            <w:lang w:eastAsia="en-AU"/>
            <w14:ligatures w14:val="standardContextual"/>
          </w:rPr>
          <w:tab/>
        </w:r>
        <w:r w:rsidRPr="00533B68">
          <w:rPr>
            <w:bCs/>
          </w:rPr>
          <w:t>Forensic proceedings</w:t>
        </w:r>
        <w:r w:rsidRPr="00533B68">
          <w:rPr>
            <w:lang w:eastAsia="en-AU"/>
          </w:rPr>
          <w:t>—filing and service of supporting affidavit</w:t>
        </w:r>
        <w:r>
          <w:tab/>
        </w:r>
        <w:r>
          <w:fldChar w:fldCharType="begin"/>
        </w:r>
        <w:r>
          <w:instrText xml:space="preserve"> PAGEREF _Toc185514989 \h </w:instrText>
        </w:r>
        <w:r>
          <w:fldChar w:fldCharType="separate"/>
        </w:r>
        <w:r>
          <w:t>764</w:t>
        </w:r>
        <w:r>
          <w:fldChar w:fldCharType="end"/>
        </w:r>
      </w:hyperlink>
    </w:p>
    <w:p w14:paraId="7867973F" w14:textId="6D385B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90" w:history="1">
        <w:r w:rsidRPr="00533B68">
          <w:t>4810</w:t>
        </w:r>
        <w:r>
          <w:rPr>
            <w:rFonts w:asciiTheme="minorHAnsi" w:eastAsiaTheme="minorEastAsia" w:hAnsiTheme="minorHAnsi" w:cstheme="minorBidi"/>
            <w:kern w:val="2"/>
            <w:sz w:val="24"/>
            <w:szCs w:val="24"/>
            <w:lang w:eastAsia="en-AU"/>
            <w14:ligatures w14:val="standardContextual"/>
          </w:rPr>
          <w:tab/>
        </w:r>
        <w:r w:rsidRPr="00533B68">
          <w:rPr>
            <w:lang w:eastAsia="en-AU"/>
          </w:rPr>
          <w:t>Forensic proceedings—costs</w:t>
        </w:r>
        <w:r>
          <w:tab/>
        </w:r>
        <w:r>
          <w:fldChar w:fldCharType="begin"/>
        </w:r>
        <w:r>
          <w:instrText xml:space="preserve"> PAGEREF _Toc185514990 \h </w:instrText>
        </w:r>
        <w:r>
          <w:fldChar w:fldCharType="separate"/>
        </w:r>
        <w:r>
          <w:t>765</w:t>
        </w:r>
        <w:r>
          <w:fldChar w:fldCharType="end"/>
        </w:r>
      </w:hyperlink>
    </w:p>
    <w:p w14:paraId="39224592" w14:textId="788DC37E" w:rsidR="00AC5392" w:rsidRDefault="001542D1">
      <w:pPr>
        <w:pStyle w:val="TOC1"/>
        <w:rPr>
          <w:rFonts w:asciiTheme="minorHAnsi" w:eastAsiaTheme="minorEastAsia" w:hAnsiTheme="minorHAnsi" w:cstheme="minorBidi"/>
          <w:b w:val="0"/>
          <w:kern w:val="2"/>
          <w:szCs w:val="24"/>
          <w:lang w:eastAsia="en-AU"/>
          <w14:ligatures w14:val="standardContextual"/>
        </w:rPr>
      </w:pPr>
      <w:hyperlink w:anchor="_Toc185514991" w:history="1">
        <w:r w:rsidR="00AC5392" w:rsidRPr="00533B68">
          <w:t>Chapter 5</w:t>
        </w:r>
        <w:r w:rsidR="00AC5392">
          <w:rPr>
            <w:rFonts w:asciiTheme="minorHAnsi" w:eastAsiaTheme="minorEastAsia" w:hAnsiTheme="minorHAnsi" w:cstheme="minorBidi"/>
            <w:b w:val="0"/>
            <w:kern w:val="2"/>
            <w:szCs w:val="24"/>
            <w:lang w:eastAsia="en-AU"/>
            <w14:ligatures w14:val="standardContextual"/>
          </w:rPr>
          <w:tab/>
        </w:r>
        <w:r w:rsidR="00AC5392" w:rsidRPr="00533B68">
          <w:t>Appellate proceedings</w:t>
        </w:r>
        <w:r w:rsidR="00AC5392" w:rsidRPr="00AC5392">
          <w:rPr>
            <w:vanish/>
          </w:rPr>
          <w:tab/>
        </w:r>
        <w:r w:rsidR="00AC5392" w:rsidRPr="00AC5392">
          <w:rPr>
            <w:vanish/>
          </w:rPr>
          <w:fldChar w:fldCharType="begin"/>
        </w:r>
        <w:r w:rsidR="00AC5392" w:rsidRPr="00AC5392">
          <w:rPr>
            <w:vanish/>
          </w:rPr>
          <w:instrText xml:space="preserve"> PAGEREF _Toc185514991 \h </w:instrText>
        </w:r>
        <w:r w:rsidR="00AC5392" w:rsidRPr="00AC5392">
          <w:rPr>
            <w:vanish/>
          </w:rPr>
        </w:r>
        <w:r w:rsidR="00AC5392" w:rsidRPr="00AC5392">
          <w:rPr>
            <w:vanish/>
          </w:rPr>
          <w:fldChar w:fldCharType="separate"/>
        </w:r>
        <w:r w:rsidR="00AC5392" w:rsidRPr="00AC5392">
          <w:rPr>
            <w:vanish/>
          </w:rPr>
          <w:t>766</w:t>
        </w:r>
        <w:r w:rsidR="00AC5392" w:rsidRPr="00AC5392">
          <w:rPr>
            <w:vanish/>
          </w:rPr>
          <w:fldChar w:fldCharType="end"/>
        </w:r>
      </w:hyperlink>
    </w:p>
    <w:p w14:paraId="72D3CB47" w14:textId="24801385"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992" w:history="1">
        <w:r w:rsidR="00AC5392" w:rsidRPr="00533B68">
          <w:t>Part 5.1</w:t>
        </w:r>
        <w:r w:rsidR="00AC5392">
          <w:rPr>
            <w:rFonts w:asciiTheme="minorHAnsi" w:eastAsiaTheme="minorEastAsia" w:hAnsiTheme="minorHAnsi" w:cstheme="minorBidi"/>
            <w:b w:val="0"/>
            <w:kern w:val="2"/>
            <w:szCs w:val="24"/>
            <w:lang w:eastAsia="en-AU"/>
            <w14:ligatures w14:val="standardContextual"/>
          </w:rPr>
          <w:tab/>
        </w:r>
        <w:r w:rsidR="00AC5392" w:rsidRPr="00533B68">
          <w:t>Appellate proceedings—preliminary</w:t>
        </w:r>
        <w:r w:rsidR="00AC5392" w:rsidRPr="00AC5392">
          <w:rPr>
            <w:vanish/>
          </w:rPr>
          <w:tab/>
        </w:r>
        <w:r w:rsidR="00AC5392" w:rsidRPr="00AC5392">
          <w:rPr>
            <w:vanish/>
          </w:rPr>
          <w:fldChar w:fldCharType="begin"/>
        </w:r>
        <w:r w:rsidR="00AC5392" w:rsidRPr="00AC5392">
          <w:rPr>
            <w:vanish/>
          </w:rPr>
          <w:instrText xml:space="preserve"> PAGEREF _Toc185514992 \h </w:instrText>
        </w:r>
        <w:r w:rsidR="00AC5392" w:rsidRPr="00AC5392">
          <w:rPr>
            <w:vanish/>
          </w:rPr>
        </w:r>
        <w:r w:rsidR="00AC5392" w:rsidRPr="00AC5392">
          <w:rPr>
            <w:vanish/>
          </w:rPr>
          <w:fldChar w:fldCharType="separate"/>
        </w:r>
        <w:r w:rsidR="00AC5392" w:rsidRPr="00AC5392">
          <w:rPr>
            <w:vanish/>
          </w:rPr>
          <w:t>766</w:t>
        </w:r>
        <w:r w:rsidR="00AC5392" w:rsidRPr="00AC5392">
          <w:rPr>
            <w:vanish/>
          </w:rPr>
          <w:fldChar w:fldCharType="end"/>
        </w:r>
      </w:hyperlink>
    </w:p>
    <w:p w14:paraId="422A4972" w14:textId="262D07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93" w:history="1">
        <w:r w:rsidRPr="00533B68">
          <w:t>5000</w:t>
        </w:r>
        <w:r>
          <w:rPr>
            <w:rFonts w:asciiTheme="minorHAnsi" w:eastAsiaTheme="minorEastAsia" w:hAnsiTheme="minorHAnsi" w:cstheme="minorBidi"/>
            <w:kern w:val="2"/>
            <w:sz w:val="24"/>
            <w:szCs w:val="24"/>
            <w:lang w:eastAsia="en-AU"/>
            <w14:ligatures w14:val="standardContextual"/>
          </w:rPr>
          <w:tab/>
        </w:r>
        <w:r w:rsidRPr="00533B68">
          <w:t>Definitions—ch 5</w:t>
        </w:r>
        <w:r>
          <w:tab/>
        </w:r>
        <w:r>
          <w:fldChar w:fldCharType="begin"/>
        </w:r>
        <w:r>
          <w:instrText xml:space="preserve"> PAGEREF _Toc185514993 \h </w:instrText>
        </w:r>
        <w:r>
          <w:fldChar w:fldCharType="separate"/>
        </w:r>
        <w:r>
          <w:t>766</w:t>
        </w:r>
        <w:r>
          <w:fldChar w:fldCharType="end"/>
        </w:r>
      </w:hyperlink>
    </w:p>
    <w:p w14:paraId="6B506E8E" w14:textId="288FDF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94" w:history="1">
        <w:r w:rsidRPr="00533B68">
          <w:t>5001</w:t>
        </w:r>
        <w:r>
          <w:rPr>
            <w:rFonts w:asciiTheme="minorHAnsi" w:eastAsiaTheme="minorEastAsia" w:hAnsiTheme="minorHAnsi" w:cstheme="minorBidi"/>
            <w:kern w:val="2"/>
            <w:sz w:val="24"/>
            <w:szCs w:val="24"/>
            <w:lang w:eastAsia="en-AU"/>
            <w14:ligatures w14:val="standardContextual"/>
          </w:rPr>
          <w:tab/>
        </w:r>
        <w:r w:rsidRPr="00533B68">
          <w:t>Appellate proceedings—application of ch 2 generally</w:t>
        </w:r>
        <w:r>
          <w:tab/>
        </w:r>
        <w:r>
          <w:fldChar w:fldCharType="begin"/>
        </w:r>
        <w:r>
          <w:instrText xml:space="preserve"> PAGEREF _Toc185514994 \h </w:instrText>
        </w:r>
        <w:r>
          <w:fldChar w:fldCharType="separate"/>
        </w:r>
        <w:r>
          <w:t>766</w:t>
        </w:r>
        <w:r>
          <w:fldChar w:fldCharType="end"/>
        </w:r>
      </w:hyperlink>
    </w:p>
    <w:p w14:paraId="07AE3D1E" w14:textId="2FB3B465"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4995" w:history="1">
        <w:r w:rsidR="00AC5392" w:rsidRPr="00533B68">
          <w:t>Part 5.2</w:t>
        </w:r>
        <w:r w:rsidR="00AC5392">
          <w:rPr>
            <w:rFonts w:asciiTheme="minorHAnsi" w:eastAsiaTheme="minorEastAsia" w:hAnsiTheme="minorHAnsi" w:cstheme="minorBidi"/>
            <w:b w:val="0"/>
            <w:kern w:val="2"/>
            <w:szCs w:val="24"/>
            <w:lang w:eastAsia="en-AU"/>
            <w14:ligatures w14:val="standardContextual"/>
          </w:rPr>
          <w:tab/>
        </w:r>
        <w:r w:rsidR="00AC5392" w:rsidRPr="00533B68">
          <w:t>Appeals from registrar</w:t>
        </w:r>
        <w:r w:rsidR="00AC5392" w:rsidRPr="00AC5392">
          <w:rPr>
            <w:vanish/>
          </w:rPr>
          <w:tab/>
        </w:r>
        <w:r w:rsidR="00AC5392" w:rsidRPr="00AC5392">
          <w:rPr>
            <w:vanish/>
          </w:rPr>
          <w:fldChar w:fldCharType="begin"/>
        </w:r>
        <w:r w:rsidR="00AC5392" w:rsidRPr="00AC5392">
          <w:rPr>
            <w:vanish/>
          </w:rPr>
          <w:instrText xml:space="preserve"> PAGEREF _Toc185514995 \h </w:instrText>
        </w:r>
        <w:r w:rsidR="00AC5392" w:rsidRPr="00AC5392">
          <w:rPr>
            <w:vanish/>
          </w:rPr>
        </w:r>
        <w:r w:rsidR="00AC5392" w:rsidRPr="00AC5392">
          <w:rPr>
            <w:vanish/>
          </w:rPr>
          <w:fldChar w:fldCharType="separate"/>
        </w:r>
        <w:r w:rsidR="00AC5392" w:rsidRPr="00AC5392">
          <w:rPr>
            <w:vanish/>
          </w:rPr>
          <w:t>768</w:t>
        </w:r>
        <w:r w:rsidR="00AC5392" w:rsidRPr="00AC5392">
          <w:rPr>
            <w:vanish/>
          </w:rPr>
          <w:fldChar w:fldCharType="end"/>
        </w:r>
      </w:hyperlink>
    </w:p>
    <w:p w14:paraId="426B615E" w14:textId="328DFB8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96" w:history="1">
        <w:r w:rsidRPr="00533B68">
          <w:t>5010</w:t>
        </w:r>
        <w:r>
          <w:rPr>
            <w:rFonts w:asciiTheme="minorHAnsi" w:eastAsiaTheme="minorEastAsia" w:hAnsiTheme="minorHAnsi" w:cstheme="minorBidi"/>
            <w:kern w:val="2"/>
            <w:sz w:val="24"/>
            <w:szCs w:val="24"/>
            <w:lang w:eastAsia="en-AU"/>
            <w14:ligatures w14:val="standardContextual"/>
          </w:rPr>
          <w:tab/>
        </w:r>
        <w:r w:rsidRPr="00533B68">
          <w:t>Definitions—pt 5.2</w:t>
        </w:r>
        <w:r>
          <w:tab/>
        </w:r>
        <w:r>
          <w:fldChar w:fldCharType="begin"/>
        </w:r>
        <w:r>
          <w:instrText xml:space="preserve"> PAGEREF _Toc185514996 \h </w:instrText>
        </w:r>
        <w:r>
          <w:fldChar w:fldCharType="separate"/>
        </w:r>
        <w:r>
          <w:t>768</w:t>
        </w:r>
        <w:r>
          <w:fldChar w:fldCharType="end"/>
        </w:r>
      </w:hyperlink>
    </w:p>
    <w:p w14:paraId="2C833934" w14:textId="0BF877D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97" w:history="1">
        <w:r w:rsidRPr="00533B68">
          <w:t>5011</w:t>
        </w:r>
        <w:r>
          <w:rPr>
            <w:rFonts w:asciiTheme="minorHAnsi" w:eastAsiaTheme="minorEastAsia" w:hAnsiTheme="minorHAnsi" w:cstheme="minorBidi"/>
            <w:kern w:val="2"/>
            <w:sz w:val="24"/>
            <w:szCs w:val="24"/>
            <w:lang w:eastAsia="en-AU"/>
            <w14:ligatures w14:val="standardContextual"/>
          </w:rPr>
          <w:tab/>
        </w:r>
        <w:r w:rsidRPr="00533B68">
          <w:t>Application—pt 5.2</w:t>
        </w:r>
        <w:r>
          <w:tab/>
        </w:r>
        <w:r>
          <w:fldChar w:fldCharType="begin"/>
        </w:r>
        <w:r>
          <w:instrText xml:space="preserve"> PAGEREF _Toc185514997 \h </w:instrText>
        </w:r>
        <w:r>
          <w:fldChar w:fldCharType="separate"/>
        </w:r>
        <w:r>
          <w:t>768</w:t>
        </w:r>
        <w:r>
          <w:fldChar w:fldCharType="end"/>
        </w:r>
      </w:hyperlink>
    </w:p>
    <w:p w14:paraId="41364281" w14:textId="561A333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98" w:history="1">
        <w:r w:rsidRPr="00533B68">
          <w:t>5012</w:t>
        </w:r>
        <w:r>
          <w:rPr>
            <w:rFonts w:asciiTheme="minorHAnsi" w:eastAsiaTheme="minorEastAsia" w:hAnsiTheme="minorHAnsi" w:cstheme="minorBidi"/>
            <w:kern w:val="2"/>
            <w:sz w:val="24"/>
            <w:szCs w:val="24"/>
            <w:lang w:eastAsia="en-AU"/>
            <w14:ligatures w14:val="standardContextual"/>
          </w:rPr>
          <w:tab/>
        </w:r>
        <w:r w:rsidRPr="00533B68">
          <w:t>Appeals from registrar—starting appeal</w:t>
        </w:r>
        <w:r>
          <w:tab/>
        </w:r>
        <w:r>
          <w:fldChar w:fldCharType="begin"/>
        </w:r>
        <w:r>
          <w:instrText xml:space="preserve"> PAGEREF _Toc185514998 \h </w:instrText>
        </w:r>
        <w:r>
          <w:fldChar w:fldCharType="separate"/>
        </w:r>
        <w:r>
          <w:t>768</w:t>
        </w:r>
        <w:r>
          <w:fldChar w:fldCharType="end"/>
        </w:r>
      </w:hyperlink>
    </w:p>
    <w:p w14:paraId="59A214B2" w14:textId="462CBD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4999" w:history="1">
        <w:r w:rsidRPr="00533B68">
          <w:t>5013</w:t>
        </w:r>
        <w:r>
          <w:rPr>
            <w:rFonts w:asciiTheme="minorHAnsi" w:eastAsiaTheme="minorEastAsia" w:hAnsiTheme="minorHAnsi" w:cstheme="minorBidi"/>
            <w:kern w:val="2"/>
            <w:sz w:val="24"/>
            <w:szCs w:val="24"/>
            <w:lang w:eastAsia="en-AU"/>
            <w14:ligatures w14:val="standardContextual"/>
          </w:rPr>
          <w:tab/>
        </w:r>
        <w:r w:rsidRPr="00533B68">
          <w:t>Appeals from registrar—requirements for notice of appeal</w:t>
        </w:r>
        <w:r>
          <w:tab/>
        </w:r>
        <w:r>
          <w:fldChar w:fldCharType="begin"/>
        </w:r>
        <w:r>
          <w:instrText xml:space="preserve"> PAGEREF _Toc185514999 \h </w:instrText>
        </w:r>
        <w:r>
          <w:fldChar w:fldCharType="separate"/>
        </w:r>
        <w:r>
          <w:t>768</w:t>
        </w:r>
        <w:r>
          <w:fldChar w:fldCharType="end"/>
        </w:r>
      </w:hyperlink>
    </w:p>
    <w:p w14:paraId="3A00D598" w14:textId="3D7FC06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0" w:history="1">
        <w:r w:rsidRPr="00533B68">
          <w:t>5014</w:t>
        </w:r>
        <w:r>
          <w:rPr>
            <w:rFonts w:asciiTheme="minorHAnsi" w:eastAsiaTheme="minorEastAsia" w:hAnsiTheme="minorHAnsi" w:cstheme="minorBidi"/>
            <w:kern w:val="2"/>
            <w:sz w:val="24"/>
            <w:szCs w:val="24"/>
            <w:lang w:eastAsia="en-AU"/>
            <w14:ligatures w14:val="standardContextual"/>
          </w:rPr>
          <w:tab/>
        </w:r>
        <w:r w:rsidRPr="00533B68">
          <w:t>Appeals from registrar—time for filing notice of appeal</w:t>
        </w:r>
        <w:r>
          <w:tab/>
        </w:r>
        <w:r>
          <w:fldChar w:fldCharType="begin"/>
        </w:r>
        <w:r>
          <w:instrText xml:space="preserve"> PAGEREF _Toc185515000 \h </w:instrText>
        </w:r>
        <w:r>
          <w:fldChar w:fldCharType="separate"/>
        </w:r>
        <w:r>
          <w:t>769</w:t>
        </w:r>
        <w:r>
          <w:fldChar w:fldCharType="end"/>
        </w:r>
      </w:hyperlink>
    </w:p>
    <w:p w14:paraId="4D0EF565" w14:textId="690456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1" w:history="1">
        <w:r w:rsidRPr="00533B68">
          <w:t>5015</w:t>
        </w:r>
        <w:r>
          <w:rPr>
            <w:rFonts w:asciiTheme="minorHAnsi" w:eastAsiaTheme="minorEastAsia" w:hAnsiTheme="minorHAnsi" w:cstheme="minorBidi"/>
            <w:kern w:val="2"/>
            <w:sz w:val="24"/>
            <w:szCs w:val="24"/>
            <w:lang w:eastAsia="en-AU"/>
            <w14:ligatures w14:val="standardContextual"/>
          </w:rPr>
          <w:tab/>
        </w:r>
        <w:r w:rsidRPr="00533B68">
          <w:t>Appeals from registrar—notice of appeal to be sealed</w:t>
        </w:r>
        <w:r>
          <w:tab/>
        </w:r>
        <w:r>
          <w:fldChar w:fldCharType="begin"/>
        </w:r>
        <w:r>
          <w:instrText xml:space="preserve"> PAGEREF _Toc185515001 \h </w:instrText>
        </w:r>
        <w:r>
          <w:fldChar w:fldCharType="separate"/>
        </w:r>
        <w:r>
          <w:t>770</w:t>
        </w:r>
        <w:r>
          <w:fldChar w:fldCharType="end"/>
        </w:r>
      </w:hyperlink>
    </w:p>
    <w:p w14:paraId="51E900FA" w14:textId="6681EEB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2" w:history="1">
        <w:r w:rsidRPr="00533B68">
          <w:t>5016</w:t>
        </w:r>
        <w:r>
          <w:rPr>
            <w:rFonts w:asciiTheme="minorHAnsi" w:eastAsiaTheme="minorEastAsia" w:hAnsiTheme="minorHAnsi" w:cstheme="minorBidi"/>
            <w:kern w:val="2"/>
            <w:sz w:val="24"/>
            <w:szCs w:val="24"/>
            <w:lang w:eastAsia="en-AU"/>
            <w14:ligatures w14:val="standardContextual"/>
          </w:rPr>
          <w:tab/>
        </w:r>
        <w:r w:rsidRPr="00533B68">
          <w:t>Appeals from registrar—serving notice of appeal</w:t>
        </w:r>
        <w:r>
          <w:tab/>
        </w:r>
        <w:r>
          <w:fldChar w:fldCharType="begin"/>
        </w:r>
        <w:r>
          <w:instrText xml:space="preserve"> PAGEREF _Toc185515002 \h </w:instrText>
        </w:r>
        <w:r>
          <w:fldChar w:fldCharType="separate"/>
        </w:r>
        <w:r>
          <w:t>770</w:t>
        </w:r>
        <w:r>
          <w:fldChar w:fldCharType="end"/>
        </w:r>
      </w:hyperlink>
    </w:p>
    <w:p w14:paraId="72D75620" w14:textId="21AF44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3" w:history="1">
        <w:r w:rsidRPr="00533B68">
          <w:t>5017</w:t>
        </w:r>
        <w:r>
          <w:rPr>
            <w:rFonts w:asciiTheme="minorHAnsi" w:eastAsiaTheme="minorEastAsia" w:hAnsiTheme="minorHAnsi" w:cstheme="minorBidi"/>
            <w:kern w:val="2"/>
            <w:sz w:val="24"/>
            <w:szCs w:val="24"/>
            <w:lang w:eastAsia="en-AU"/>
            <w14:ligatures w14:val="standardContextual"/>
          </w:rPr>
          <w:tab/>
        </w:r>
        <w:r w:rsidRPr="00533B68">
          <w:t>Appeals from registrar—stay and reinstatement</w:t>
        </w:r>
        <w:r>
          <w:tab/>
        </w:r>
        <w:r>
          <w:fldChar w:fldCharType="begin"/>
        </w:r>
        <w:r>
          <w:instrText xml:space="preserve"> PAGEREF _Toc185515003 \h </w:instrText>
        </w:r>
        <w:r>
          <w:fldChar w:fldCharType="separate"/>
        </w:r>
        <w:r>
          <w:t>770</w:t>
        </w:r>
        <w:r>
          <w:fldChar w:fldCharType="end"/>
        </w:r>
      </w:hyperlink>
    </w:p>
    <w:p w14:paraId="4A100BA0" w14:textId="0A318C98"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004" w:history="1">
        <w:r w:rsidR="00AC5392" w:rsidRPr="00533B68">
          <w:t>Part 5.3</w:t>
        </w:r>
        <w:r w:rsidR="00AC5392">
          <w:rPr>
            <w:rFonts w:asciiTheme="minorHAnsi" w:eastAsiaTheme="minorEastAsia" w:hAnsiTheme="minorHAnsi" w:cstheme="minorBidi"/>
            <w:b w:val="0"/>
            <w:kern w:val="2"/>
            <w:szCs w:val="24"/>
            <w:lang w:eastAsia="en-AU"/>
            <w14:ligatures w14:val="standardContextual"/>
          </w:rPr>
          <w:tab/>
        </w:r>
        <w:r w:rsidR="00AC5392" w:rsidRPr="00533B68">
          <w:t>Appeals to Supreme Court</w:t>
        </w:r>
        <w:r w:rsidR="00AC5392" w:rsidRPr="00AC5392">
          <w:rPr>
            <w:vanish/>
          </w:rPr>
          <w:tab/>
        </w:r>
        <w:r w:rsidR="00AC5392" w:rsidRPr="00AC5392">
          <w:rPr>
            <w:vanish/>
          </w:rPr>
          <w:fldChar w:fldCharType="begin"/>
        </w:r>
        <w:r w:rsidR="00AC5392" w:rsidRPr="00AC5392">
          <w:rPr>
            <w:vanish/>
          </w:rPr>
          <w:instrText xml:space="preserve"> PAGEREF _Toc185515004 \h </w:instrText>
        </w:r>
        <w:r w:rsidR="00AC5392" w:rsidRPr="00AC5392">
          <w:rPr>
            <w:vanish/>
          </w:rPr>
        </w:r>
        <w:r w:rsidR="00AC5392" w:rsidRPr="00AC5392">
          <w:rPr>
            <w:vanish/>
          </w:rPr>
          <w:fldChar w:fldCharType="separate"/>
        </w:r>
        <w:r w:rsidR="00AC5392" w:rsidRPr="00AC5392">
          <w:rPr>
            <w:vanish/>
          </w:rPr>
          <w:t>772</w:t>
        </w:r>
        <w:r w:rsidR="00AC5392" w:rsidRPr="00AC5392">
          <w:rPr>
            <w:vanish/>
          </w:rPr>
          <w:fldChar w:fldCharType="end"/>
        </w:r>
      </w:hyperlink>
    </w:p>
    <w:p w14:paraId="649AD8A8" w14:textId="42E54D4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05" w:history="1">
        <w:r w:rsidR="00AC5392" w:rsidRPr="00533B68">
          <w:t>Division 5.3.1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Supreme Court—preliminary</w:t>
        </w:r>
        <w:r w:rsidR="00AC5392" w:rsidRPr="00AC5392">
          <w:rPr>
            <w:vanish/>
          </w:rPr>
          <w:tab/>
        </w:r>
        <w:r w:rsidR="00AC5392" w:rsidRPr="00AC5392">
          <w:rPr>
            <w:vanish/>
          </w:rPr>
          <w:fldChar w:fldCharType="begin"/>
        </w:r>
        <w:r w:rsidR="00AC5392" w:rsidRPr="00AC5392">
          <w:rPr>
            <w:vanish/>
          </w:rPr>
          <w:instrText xml:space="preserve"> PAGEREF _Toc185515005 \h </w:instrText>
        </w:r>
        <w:r w:rsidR="00AC5392" w:rsidRPr="00AC5392">
          <w:rPr>
            <w:vanish/>
          </w:rPr>
        </w:r>
        <w:r w:rsidR="00AC5392" w:rsidRPr="00AC5392">
          <w:rPr>
            <w:vanish/>
          </w:rPr>
          <w:fldChar w:fldCharType="separate"/>
        </w:r>
        <w:r w:rsidR="00AC5392" w:rsidRPr="00AC5392">
          <w:rPr>
            <w:vanish/>
          </w:rPr>
          <w:t>772</w:t>
        </w:r>
        <w:r w:rsidR="00AC5392" w:rsidRPr="00AC5392">
          <w:rPr>
            <w:vanish/>
          </w:rPr>
          <w:fldChar w:fldCharType="end"/>
        </w:r>
      </w:hyperlink>
    </w:p>
    <w:p w14:paraId="23769593" w14:textId="5BD5B6E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6" w:history="1">
        <w:r w:rsidRPr="00533B68">
          <w:t>5050</w:t>
        </w:r>
        <w:r>
          <w:rPr>
            <w:rFonts w:asciiTheme="minorHAnsi" w:eastAsiaTheme="minorEastAsia" w:hAnsiTheme="minorHAnsi" w:cstheme="minorBidi"/>
            <w:kern w:val="2"/>
            <w:sz w:val="24"/>
            <w:szCs w:val="24"/>
            <w:lang w:eastAsia="en-AU"/>
            <w14:ligatures w14:val="standardContextual"/>
          </w:rPr>
          <w:tab/>
        </w:r>
        <w:r w:rsidRPr="00533B68">
          <w:t>Definitions—pt 5.3</w:t>
        </w:r>
        <w:r>
          <w:tab/>
        </w:r>
        <w:r>
          <w:fldChar w:fldCharType="begin"/>
        </w:r>
        <w:r>
          <w:instrText xml:space="preserve"> PAGEREF _Toc185515006 \h </w:instrText>
        </w:r>
        <w:r>
          <w:fldChar w:fldCharType="separate"/>
        </w:r>
        <w:r>
          <w:t>772</w:t>
        </w:r>
        <w:r>
          <w:fldChar w:fldCharType="end"/>
        </w:r>
      </w:hyperlink>
    </w:p>
    <w:p w14:paraId="1754FB80" w14:textId="30D67AA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7" w:history="1">
        <w:r w:rsidRPr="00533B68">
          <w:t>5051</w:t>
        </w:r>
        <w:r>
          <w:rPr>
            <w:rFonts w:asciiTheme="minorHAnsi" w:eastAsiaTheme="minorEastAsia" w:hAnsiTheme="minorHAnsi" w:cstheme="minorBidi"/>
            <w:kern w:val="2"/>
            <w:sz w:val="24"/>
            <w:szCs w:val="24"/>
            <w:lang w:eastAsia="en-AU"/>
            <w14:ligatures w14:val="standardContextual"/>
          </w:rPr>
          <w:tab/>
        </w:r>
        <w:r w:rsidRPr="00533B68">
          <w:t>Application—pt 5.3</w:t>
        </w:r>
        <w:r>
          <w:tab/>
        </w:r>
        <w:r>
          <w:fldChar w:fldCharType="begin"/>
        </w:r>
        <w:r>
          <w:instrText xml:space="preserve"> PAGEREF _Toc185515007 \h </w:instrText>
        </w:r>
        <w:r>
          <w:fldChar w:fldCharType="separate"/>
        </w:r>
        <w:r>
          <w:t>773</w:t>
        </w:r>
        <w:r>
          <w:fldChar w:fldCharType="end"/>
        </w:r>
      </w:hyperlink>
    </w:p>
    <w:p w14:paraId="324121D6" w14:textId="2F2B73F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8" w:history="1">
        <w:r w:rsidRPr="00533B68">
          <w:t>5052</w:t>
        </w:r>
        <w:r>
          <w:rPr>
            <w:rFonts w:asciiTheme="minorHAnsi" w:eastAsiaTheme="minorEastAsia" w:hAnsiTheme="minorHAnsi" w:cstheme="minorBidi"/>
            <w:kern w:val="2"/>
            <w:sz w:val="24"/>
            <w:szCs w:val="24"/>
            <w:lang w:eastAsia="en-AU"/>
            <w14:ligatures w14:val="standardContextual"/>
          </w:rPr>
          <w:tab/>
        </w:r>
        <w:r w:rsidRPr="00533B68">
          <w:t>Appeals to Supreme Court—general powers</w:t>
        </w:r>
        <w:r>
          <w:tab/>
        </w:r>
        <w:r>
          <w:fldChar w:fldCharType="begin"/>
        </w:r>
        <w:r>
          <w:instrText xml:space="preserve"> PAGEREF _Toc185515008 \h </w:instrText>
        </w:r>
        <w:r>
          <w:fldChar w:fldCharType="separate"/>
        </w:r>
        <w:r>
          <w:t>774</w:t>
        </w:r>
        <w:r>
          <w:fldChar w:fldCharType="end"/>
        </w:r>
      </w:hyperlink>
    </w:p>
    <w:p w14:paraId="07BBDB66" w14:textId="310C9FC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09" w:history="1">
        <w:r w:rsidRPr="00533B68">
          <w:t>5053</w:t>
        </w:r>
        <w:r>
          <w:rPr>
            <w:rFonts w:asciiTheme="minorHAnsi" w:eastAsiaTheme="minorEastAsia" w:hAnsiTheme="minorHAnsi" w:cstheme="minorBidi"/>
            <w:kern w:val="2"/>
            <w:sz w:val="24"/>
            <w:szCs w:val="24"/>
            <w:lang w:eastAsia="en-AU"/>
            <w14:ligatures w14:val="standardContextual"/>
          </w:rPr>
          <w:tab/>
        </w:r>
        <w:r w:rsidRPr="00533B68">
          <w:t>Appeals to Supreme Court—non-publication order</w:t>
        </w:r>
        <w:r>
          <w:tab/>
        </w:r>
        <w:r>
          <w:fldChar w:fldCharType="begin"/>
        </w:r>
        <w:r>
          <w:instrText xml:space="preserve"> PAGEREF _Toc185515009 \h </w:instrText>
        </w:r>
        <w:r>
          <w:fldChar w:fldCharType="separate"/>
        </w:r>
        <w:r>
          <w:t>775</w:t>
        </w:r>
        <w:r>
          <w:fldChar w:fldCharType="end"/>
        </w:r>
      </w:hyperlink>
    </w:p>
    <w:p w14:paraId="4CDC8490" w14:textId="4C5A4E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0" w:history="1">
        <w:r w:rsidRPr="00533B68">
          <w:t>5054</w:t>
        </w:r>
        <w:r>
          <w:rPr>
            <w:rFonts w:asciiTheme="minorHAnsi" w:eastAsiaTheme="minorEastAsia" w:hAnsiTheme="minorHAnsi" w:cstheme="minorBidi"/>
            <w:kern w:val="2"/>
            <w:sz w:val="24"/>
            <w:szCs w:val="24"/>
            <w:lang w:eastAsia="en-AU"/>
            <w14:ligatures w14:val="standardContextual"/>
          </w:rPr>
          <w:tab/>
        </w:r>
        <w:r w:rsidRPr="00533B68">
          <w:t>Appeals to Supreme Court—stay and reinstatement</w:t>
        </w:r>
        <w:r>
          <w:tab/>
        </w:r>
        <w:r>
          <w:fldChar w:fldCharType="begin"/>
        </w:r>
        <w:r>
          <w:instrText xml:space="preserve"> PAGEREF _Toc185515010 \h </w:instrText>
        </w:r>
        <w:r>
          <w:fldChar w:fldCharType="separate"/>
        </w:r>
        <w:r>
          <w:t>776</w:t>
        </w:r>
        <w:r>
          <w:fldChar w:fldCharType="end"/>
        </w:r>
      </w:hyperlink>
    </w:p>
    <w:p w14:paraId="42D65E1B" w14:textId="3F9514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1" w:history="1">
        <w:r w:rsidRPr="00533B68">
          <w:t>5055</w:t>
        </w:r>
        <w:r>
          <w:rPr>
            <w:rFonts w:asciiTheme="minorHAnsi" w:eastAsiaTheme="minorEastAsia" w:hAnsiTheme="minorHAnsi" w:cstheme="minorBidi"/>
            <w:kern w:val="2"/>
            <w:sz w:val="24"/>
            <w:szCs w:val="24"/>
            <w:lang w:eastAsia="en-AU"/>
            <w14:ligatures w14:val="standardContextual"/>
          </w:rPr>
          <w:tab/>
        </w:r>
        <w:r w:rsidRPr="00533B68">
          <w:t>Appeals to Supreme Court—security for costs</w:t>
        </w:r>
        <w:r>
          <w:tab/>
        </w:r>
        <w:r>
          <w:fldChar w:fldCharType="begin"/>
        </w:r>
        <w:r>
          <w:instrText xml:space="preserve"> PAGEREF _Toc185515011 \h </w:instrText>
        </w:r>
        <w:r>
          <w:fldChar w:fldCharType="separate"/>
        </w:r>
        <w:r>
          <w:t>778</w:t>
        </w:r>
        <w:r>
          <w:fldChar w:fldCharType="end"/>
        </w:r>
      </w:hyperlink>
    </w:p>
    <w:p w14:paraId="34E50AD3" w14:textId="4278965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12" w:history="1">
        <w:r w:rsidR="00AC5392" w:rsidRPr="00533B68">
          <w:t>Division 5.3.2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Supreme Court—leave to appeal</w:t>
        </w:r>
        <w:r w:rsidR="00AC5392" w:rsidRPr="00AC5392">
          <w:rPr>
            <w:vanish/>
          </w:rPr>
          <w:tab/>
        </w:r>
        <w:r w:rsidR="00AC5392" w:rsidRPr="00AC5392">
          <w:rPr>
            <w:vanish/>
          </w:rPr>
          <w:fldChar w:fldCharType="begin"/>
        </w:r>
        <w:r w:rsidR="00AC5392" w:rsidRPr="00AC5392">
          <w:rPr>
            <w:vanish/>
          </w:rPr>
          <w:instrText xml:space="preserve"> PAGEREF _Toc185515012 \h </w:instrText>
        </w:r>
        <w:r w:rsidR="00AC5392" w:rsidRPr="00AC5392">
          <w:rPr>
            <w:vanish/>
          </w:rPr>
        </w:r>
        <w:r w:rsidR="00AC5392" w:rsidRPr="00AC5392">
          <w:rPr>
            <w:vanish/>
          </w:rPr>
          <w:fldChar w:fldCharType="separate"/>
        </w:r>
        <w:r w:rsidR="00AC5392" w:rsidRPr="00AC5392">
          <w:rPr>
            <w:vanish/>
          </w:rPr>
          <w:t>778</w:t>
        </w:r>
        <w:r w:rsidR="00AC5392" w:rsidRPr="00AC5392">
          <w:rPr>
            <w:vanish/>
          </w:rPr>
          <w:fldChar w:fldCharType="end"/>
        </w:r>
      </w:hyperlink>
    </w:p>
    <w:p w14:paraId="51DD1266" w14:textId="5540757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3" w:history="1">
        <w:r w:rsidRPr="00533B68">
          <w:t>5070</w:t>
        </w:r>
        <w:r>
          <w:rPr>
            <w:rFonts w:asciiTheme="minorHAnsi" w:eastAsiaTheme="minorEastAsia" w:hAnsiTheme="minorHAnsi" w:cstheme="minorBidi"/>
            <w:kern w:val="2"/>
            <w:sz w:val="24"/>
            <w:szCs w:val="24"/>
            <w:lang w:eastAsia="en-AU"/>
            <w14:ligatures w14:val="standardContextual"/>
          </w:rPr>
          <w:tab/>
        </w:r>
        <w:r w:rsidRPr="00533B68">
          <w:t>Application—div 5.3.2</w:t>
        </w:r>
        <w:r>
          <w:tab/>
        </w:r>
        <w:r>
          <w:fldChar w:fldCharType="begin"/>
        </w:r>
        <w:r>
          <w:instrText xml:space="preserve"> PAGEREF _Toc185515013 \h </w:instrText>
        </w:r>
        <w:r>
          <w:fldChar w:fldCharType="separate"/>
        </w:r>
        <w:r>
          <w:t>778</w:t>
        </w:r>
        <w:r>
          <w:fldChar w:fldCharType="end"/>
        </w:r>
      </w:hyperlink>
    </w:p>
    <w:p w14:paraId="2917B36A" w14:textId="24E7904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4" w:history="1">
        <w:r w:rsidRPr="00533B68">
          <w:t>5071</w:t>
        </w:r>
        <w:r>
          <w:rPr>
            <w:rFonts w:asciiTheme="minorHAnsi" w:eastAsiaTheme="minorEastAsia" w:hAnsiTheme="minorHAnsi" w:cstheme="minorBidi"/>
            <w:kern w:val="2"/>
            <w:sz w:val="24"/>
            <w:szCs w:val="24"/>
            <w:lang w:eastAsia="en-AU"/>
            <w14:ligatures w14:val="standardContextual"/>
          </w:rPr>
          <w:tab/>
        </w:r>
        <w:r w:rsidRPr="00533B68">
          <w:t>Appeals to Supreme Court—application for leave to appeal</w:t>
        </w:r>
        <w:r>
          <w:tab/>
        </w:r>
        <w:r>
          <w:fldChar w:fldCharType="begin"/>
        </w:r>
        <w:r>
          <w:instrText xml:space="preserve"> PAGEREF _Toc185515014 \h </w:instrText>
        </w:r>
        <w:r>
          <w:fldChar w:fldCharType="separate"/>
        </w:r>
        <w:r>
          <w:t>779</w:t>
        </w:r>
        <w:r>
          <w:fldChar w:fldCharType="end"/>
        </w:r>
      </w:hyperlink>
    </w:p>
    <w:p w14:paraId="0D4AB39E" w14:textId="6296CE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5" w:history="1">
        <w:r w:rsidRPr="00533B68">
          <w:t>5072</w:t>
        </w:r>
        <w:r>
          <w:rPr>
            <w:rFonts w:asciiTheme="minorHAnsi" w:eastAsiaTheme="minorEastAsia" w:hAnsiTheme="minorHAnsi" w:cstheme="minorBidi"/>
            <w:kern w:val="2"/>
            <w:sz w:val="24"/>
            <w:szCs w:val="24"/>
            <w:lang w:eastAsia="en-AU"/>
            <w14:ligatures w14:val="standardContextual"/>
          </w:rPr>
          <w:tab/>
        </w:r>
        <w:r w:rsidRPr="00533B68">
          <w:t>Appeals to Supreme Court—time for filing application for leave to appeal</w:t>
        </w:r>
        <w:r>
          <w:tab/>
        </w:r>
        <w:r>
          <w:fldChar w:fldCharType="begin"/>
        </w:r>
        <w:r>
          <w:instrText xml:space="preserve"> PAGEREF _Toc185515015 \h </w:instrText>
        </w:r>
        <w:r>
          <w:fldChar w:fldCharType="separate"/>
        </w:r>
        <w:r>
          <w:t>780</w:t>
        </w:r>
        <w:r>
          <w:fldChar w:fldCharType="end"/>
        </w:r>
      </w:hyperlink>
    </w:p>
    <w:p w14:paraId="05D95A2B" w14:textId="4E6FB09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6" w:history="1">
        <w:r w:rsidRPr="00533B68">
          <w:t>5073</w:t>
        </w:r>
        <w:r>
          <w:rPr>
            <w:rFonts w:asciiTheme="minorHAnsi" w:eastAsiaTheme="minorEastAsia" w:hAnsiTheme="minorHAnsi" w:cstheme="minorBidi"/>
            <w:kern w:val="2"/>
            <w:sz w:val="24"/>
            <w:szCs w:val="24"/>
            <w:lang w:eastAsia="en-AU"/>
            <w14:ligatures w14:val="standardContextual"/>
          </w:rPr>
          <w:tab/>
        </w:r>
        <w:r w:rsidRPr="00533B68">
          <w:t>Appeals to Supreme Court—application for leave to appeal to be sealed</w:t>
        </w:r>
        <w:r>
          <w:tab/>
        </w:r>
        <w:r>
          <w:fldChar w:fldCharType="begin"/>
        </w:r>
        <w:r>
          <w:instrText xml:space="preserve"> PAGEREF _Toc185515016 \h </w:instrText>
        </w:r>
        <w:r>
          <w:fldChar w:fldCharType="separate"/>
        </w:r>
        <w:r>
          <w:t>780</w:t>
        </w:r>
        <w:r>
          <w:fldChar w:fldCharType="end"/>
        </w:r>
      </w:hyperlink>
    </w:p>
    <w:p w14:paraId="7E64C5B6" w14:textId="2DD7804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7" w:history="1">
        <w:r w:rsidRPr="00533B68">
          <w:t>5074</w:t>
        </w:r>
        <w:r>
          <w:rPr>
            <w:rFonts w:asciiTheme="minorHAnsi" w:eastAsiaTheme="minorEastAsia" w:hAnsiTheme="minorHAnsi" w:cstheme="minorBidi"/>
            <w:kern w:val="2"/>
            <w:sz w:val="24"/>
            <w:szCs w:val="24"/>
            <w:lang w:eastAsia="en-AU"/>
            <w14:ligatures w14:val="standardContextual"/>
          </w:rPr>
          <w:tab/>
        </w:r>
        <w:r w:rsidRPr="00533B68">
          <w:t>Appeals to Supreme Court—serving application for leave to appeal</w:t>
        </w:r>
        <w:r>
          <w:tab/>
        </w:r>
        <w:r>
          <w:fldChar w:fldCharType="begin"/>
        </w:r>
        <w:r>
          <w:instrText xml:space="preserve"> PAGEREF _Toc185515017 \h </w:instrText>
        </w:r>
        <w:r>
          <w:fldChar w:fldCharType="separate"/>
        </w:r>
        <w:r>
          <w:t>780</w:t>
        </w:r>
        <w:r>
          <w:fldChar w:fldCharType="end"/>
        </w:r>
      </w:hyperlink>
    </w:p>
    <w:p w14:paraId="7B01C9C1" w14:textId="3F62012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8" w:history="1">
        <w:r w:rsidRPr="00533B68">
          <w:t>5075</w:t>
        </w:r>
        <w:r>
          <w:rPr>
            <w:rFonts w:asciiTheme="minorHAnsi" w:eastAsiaTheme="minorEastAsia" w:hAnsiTheme="minorHAnsi" w:cstheme="minorBidi"/>
            <w:kern w:val="2"/>
            <w:sz w:val="24"/>
            <w:szCs w:val="24"/>
            <w:lang w:eastAsia="en-AU"/>
            <w14:ligatures w14:val="standardContextual"/>
          </w:rPr>
          <w:tab/>
        </w:r>
        <w:r w:rsidRPr="00533B68">
          <w:t>Appeals to Supreme Court—notice of intention to respond to application for leave to appeal</w:t>
        </w:r>
        <w:r>
          <w:tab/>
        </w:r>
        <w:r>
          <w:fldChar w:fldCharType="begin"/>
        </w:r>
        <w:r>
          <w:instrText xml:space="preserve"> PAGEREF _Toc185515018 \h </w:instrText>
        </w:r>
        <w:r>
          <w:fldChar w:fldCharType="separate"/>
        </w:r>
        <w:r>
          <w:t>781</w:t>
        </w:r>
        <w:r>
          <w:fldChar w:fldCharType="end"/>
        </w:r>
      </w:hyperlink>
    </w:p>
    <w:p w14:paraId="0EA5EE06" w14:textId="2DD4418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19" w:history="1">
        <w:r w:rsidRPr="00533B68">
          <w:t>5076</w:t>
        </w:r>
        <w:r>
          <w:rPr>
            <w:rFonts w:asciiTheme="minorHAnsi" w:eastAsiaTheme="minorEastAsia" w:hAnsiTheme="minorHAnsi" w:cstheme="minorBidi"/>
            <w:kern w:val="2"/>
            <w:sz w:val="24"/>
            <w:szCs w:val="24"/>
            <w:lang w:eastAsia="en-AU"/>
            <w14:ligatures w14:val="standardContextual"/>
          </w:rPr>
          <w:tab/>
        </w:r>
        <w:r w:rsidRPr="00533B68">
          <w:t>Appeals to Supreme Court—time for filing etc respondent’s affidavits for leave to appeal</w:t>
        </w:r>
        <w:r>
          <w:tab/>
        </w:r>
        <w:r>
          <w:fldChar w:fldCharType="begin"/>
        </w:r>
        <w:r>
          <w:instrText xml:space="preserve"> PAGEREF _Toc185515019 \h </w:instrText>
        </w:r>
        <w:r>
          <w:fldChar w:fldCharType="separate"/>
        </w:r>
        <w:r>
          <w:t>782</w:t>
        </w:r>
        <w:r>
          <w:fldChar w:fldCharType="end"/>
        </w:r>
      </w:hyperlink>
    </w:p>
    <w:p w14:paraId="0EA907DE" w14:textId="1A7A91A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20" w:history="1">
        <w:r w:rsidR="00AC5392" w:rsidRPr="00533B68">
          <w:t>Division 5.3.3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Supreme Court—leave to appeal out of time</w:t>
        </w:r>
        <w:r w:rsidR="00AC5392" w:rsidRPr="00AC5392">
          <w:rPr>
            <w:vanish/>
          </w:rPr>
          <w:tab/>
        </w:r>
        <w:r w:rsidR="00AC5392" w:rsidRPr="00AC5392">
          <w:rPr>
            <w:vanish/>
          </w:rPr>
          <w:fldChar w:fldCharType="begin"/>
        </w:r>
        <w:r w:rsidR="00AC5392" w:rsidRPr="00AC5392">
          <w:rPr>
            <w:vanish/>
          </w:rPr>
          <w:instrText xml:space="preserve"> PAGEREF _Toc185515020 \h </w:instrText>
        </w:r>
        <w:r w:rsidR="00AC5392" w:rsidRPr="00AC5392">
          <w:rPr>
            <w:vanish/>
          </w:rPr>
        </w:r>
        <w:r w:rsidR="00AC5392" w:rsidRPr="00AC5392">
          <w:rPr>
            <w:vanish/>
          </w:rPr>
          <w:fldChar w:fldCharType="separate"/>
        </w:r>
        <w:r w:rsidR="00AC5392" w:rsidRPr="00AC5392">
          <w:rPr>
            <w:vanish/>
          </w:rPr>
          <w:t>782</w:t>
        </w:r>
        <w:r w:rsidR="00AC5392" w:rsidRPr="00AC5392">
          <w:rPr>
            <w:vanish/>
          </w:rPr>
          <w:fldChar w:fldCharType="end"/>
        </w:r>
      </w:hyperlink>
    </w:p>
    <w:p w14:paraId="059F7F28" w14:textId="42E320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21" w:history="1">
        <w:r w:rsidRPr="00533B68">
          <w:t>5080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out of time</w:t>
        </w:r>
        <w:r w:rsidRPr="00533B68">
          <w:t>—div 5.3.3</w:t>
        </w:r>
        <w:r>
          <w:tab/>
        </w:r>
        <w:r>
          <w:fldChar w:fldCharType="begin"/>
        </w:r>
        <w:r>
          <w:instrText xml:space="preserve"> PAGEREF _Toc185515021 \h </w:instrText>
        </w:r>
        <w:r>
          <w:fldChar w:fldCharType="separate"/>
        </w:r>
        <w:r>
          <w:t>782</w:t>
        </w:r>
        <w:r>
          <w:fldChar w:fldCharType="end"/>
        </w:r>
      </w:hyperlink>
    </w:p>
    <w:p w14:paraId="52DDDB26" w14:textId="1E5BFE2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22" w:history="1">
        <w:r w:rsidRPr="00533B68">
          <w:t>5081</w:t>
        </w:r>
        <w:r>
          <w:rPr>
            <w:rFonts w:asciiTheme="minorHAnsi" w:eastAsiaTheme="minorEastAsia" w:hAnsiTheme="minorHAnsi" w:cstheme="minorBidi"/>
            <w:kern w:val="2"/>
            <w:sz w:val="24"/>
            <w:szCs w:val="24"/>
            <w:lang w:eastAsia="en-AU"/>
            <w14:ligatures w14:val="standardContextual"/>
          </w:rPr>
          <w:tab/>
        </w:r>
        <w:r w:rsidRPr="00533B68">
          <w:t>Application—div 5.3.3</w:t>
        </w:r>
        <w:r>
          <w:tab/>
        </w:r>
        <w:r>
          <w:fldChar w:fldCharType="begin"/>
        </w:r>
        <w:r>
          <w:instrText xml:space="preserve"> PAGEREF _Toc185515022 \h </w:instrText>
        </w:r>
        <w:r>
          <w:fldChar w:fldCharType="separate"/>
        </w:r>
        <w:r>
          <w:t>782</w:t>
        </w:r>
        <w:r>
          <w:fldChar w:fldCharType="end"/>
        </w:r>
      </w:hyperlink>
    </w:p>
    <w:p w14:paraId="242D34CC" w14:textId="4A31C4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23" w:history="1">
        <w:r w:rsidRPr="00533B68">
          <w:t>5082</w:t>
        </w:r>
        <w:r>
          <w:rPr>
            <w:rFonts w:asciiTheme="minorHAnsi" w:eastAsiaTheme="minorEastAsia" w:hAnsiTheme="minorHAnsi" w:cstheme="minorBidi"/>
            <w:kern w:val="2"/>
            <w:sz w:val="24"/>
            <w:szCs w:val="24"/>
            <w:lang w:eastAsia="en-AU"/>
            <w14:ligatures w14:val="standardContextual"/>
          </w:rPr>
          <w:tab/>
        </w:r>
        <w:r w:rsidRPr="00533B68">
          <w:t>Appeals to Supreme Court—application for leave to appeal out of time</w:t>
        </w:r>
        <w:r>
          <w:tab/>
        </w:r>
        <w:r>
          <w:fldChar w:fldCharType="begin"/>
        </w:r>
        <w:r>
          <w:instrText xml:space="preserve"> PAGEREF _Toc185515023 \h </w:instrText>
        </w:r>
        <w:r>
          <w:fldChar w:fldCharType="separate"/>
        </w:r>
        <w:r>
          <w:t>783</w:t>
        </w:r>
        <w:r>
          <w:fldChar w:fldCharType="end"/>
        </w:r>
      </w:hyperlink>
    </w:p>
    <w:p w14:paraId="754F307A" w14:textId="723F0FE4"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024" w:history="1">
        <w:r w:rsidRPr="00533B68">
          <w:t>5083</w:t>
        </w:r>
        <w:r>
          <w:rPr>
            <w:rFonts w:asciiTheme="minorHAnsi" w:eastAsiaTheme="minorEastAsia" w:hAnsiTheme="minorHAnsi" w:cstheme="minorBidi"/>
            <w:kern w:val="2"/>
            <w:sz w:val="24"/>
            <w:szCs w:val="24"/>
            <w:lang w:eastAsia="en-AU"/>
            <w14:ligatures w14:val="standardContextual"/>
          </w:rPr>
          <w:tab/>
        </w:r>
        <w:r w:rsidRPr="00533B68">
          <w:t>Appeals to Supreme Court—filing application for leave to appeal out of time</w:t>
        </w:r>
        <w:r>
          <w:tab/>
        </w:r>
        <w:r>
          <w:fldChar w:fldCharType="begin"/>
        </w:r>
        <w:r>
          <w:instrText xml:space="preserve"> PAGEREF _Toc185515024 \h </w:instrText>
        </w:r>
        <w:r>
          <w:fldChar w:fldCharType="separate"/>
        </w:r>
        <w:r>
          <w:t>783</w:t>
        </w:r>
        <w:r>
          <w:fldChar w:fldCharType="end"/>
        </w:r>
      </w:hyperlink>
    </w:p>
    <w:p w14:paraId="7A03A543" w14:textId="7851841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25" w:history="1">
        <w:r w:rsidRPr="00533B68">
          <w:t>5084</w:t>
        </w:r>
        <w:r>
          <w:rPr>
            <w:rFonts w:asciiTheme="minorHAnsi" w:eastAsiaTheme="minorEastAsia" w:hAnsiTheme="minorHAnsi" w:cstheme="minorBidi"/>
            <w:kern w:val="2"/>
            <w:sz w:val="24"/>
            <w:szCs w:val="24"/>
            <w:lang w:eastAsia="en-AU"/>
            <w14:ligatures w14:val="standardContextual"/>
          </w:rPr>
          <w:tab/>
        </w:r>
        <w:r w:rsidRPr="00533B68">
          <w:t>Appeals to Supreme Court—application for leave to appeal out of time to be sealed</w:t>
        </w:r>
        <w:r>
          <w:tab/>
        </w:r>
        <w:r>
          <w:fldChar w:fldCharType="begin"/>
        </w:r>
        <w:r>
          <w:instrText xml:space="preserve"> PAGEREF _Toc185515025 \h </w:instrText>
        </w:r>
        <w:r>
          <w:fldChar w:fldCharType="separate"/>
        </w:r>
        <w:r>
          <w:t>784</w:t>
        </w:r>
        <w:r>
          <w:fldChar w:fldCharType="end"/>
        </w:r>
      </w:hyperlink>
    </w:p>
    <w:p w14:paraId="78E7FFBC" w14:textId="6A45D76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26" w:history="1">
        <w:r w:rsidRPr="00533B68">
          <w:t>5085</w:t>
        </w:r>
        <w:r>
          <w:rPr>
            <w:rFonts w:asciiTheme="minorHAnsi" w:eastAsiaTheme="minorEastAsia" w:hAnsiTheme="minorHAnsi" w:cstheme="minorBidi"/>
            <w:kern w:val="2"/>
            <w:sz w:val="24"/>
            <w:szCs w:val="24"/>
            <w:lang w:eastAsia="en-AU"/>
            <w14:ligatures w14:val="standardContextual"/>
          </w:rPr>
          <w:tab/>
        </w:r>
        <w:r w:rsidRPr="00533B68">
          <w:t>Appeals to Supreme Court—serving application for leave to appeal out of time</w:t>
        </w:r>
        <w:r>
          <w:tab/>
        </w:r>
        <w:r>
          <w:fldChar w:fldCharType="begin"/>
        </w:r>
        <w:r>
          <w:instrText xml:space="preserve"> PAGEREF _Toc185515026 \h </w:instrText>
        </w:r>
        <w:r>
          <w:fldChar w:fldCharType="separate"/>
        </w:r>
        <w:r>
          <w:t>784</w:t>
        </w:r>
        <w:r>
          <w:fldChar w:fldCharType="end"/>
        </w:r>
      </w:hyperlink>
    </w:p>
    <w:p w14:paraId="774ACDFF" w14:textId="14654A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27" w:history="1">
        <w:r w:rsidRPr="00533B68">
          <w:t>5086</w:t>
        </w:r>
        <w:r>
          <w:rPr>
            <w:rFonts w:asciiTheme="minorHAnsi" w:eastAsiaTheme="minorEastAsia" w:hAnsiTheme="minorHAnsi" w:cstheme="minorBidi"/>
            <w:kern w:val="2"/>
            <w:sz w:val="24"/>
            <w:szCs w:val="24"/>
            <w:lang w:eastAsia="en-AU"/>
            <w14:ligatures w14:val="standardContextual"/>
          </w:rPr>
          <w:tab/>
        </w:r>
        <w:r w:rsidRPr="00533B68">
          <w:t>Appeals to Supreme Court—notice of intention to respond to application for leave to appeal out of time</w:t>
        </w:r>
        <w:r>
          <w:tab/>
        </w:r>
        <w:r>
          <w:fldChar w:fldCharType="begin"/>
        </w:r>
        <w:r>
          <w:instrText xml:space="preserve"> PAGEREF _Toc185515027 \h </w:instrText>
        </w:r>
        <w:r>
          <w:fldChar w:fldCharType="separate"/>
        </w:r>
        <w:r>
          <w:t>785</w:t>
        </w:r>
        <w:r>
          <w:fldChar w:fldCharType="end"/>
        </w:r>
      </w:hyperlink>
    </w:p>
    <w:p w14:paraId="0BCDB5D6" w14:textId="0CF875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28" w:history="1">
        <w:r w:rsidRPr="00533B68">
          <w:t>5087</w:t>
        </w:r>
        <w:r>
          <w:rPr>
            <w:rFonts w:asciiTheme="minorHAnsi" w:eastAsiaTheme="minorEastAsia" w:hAnsiTheme="minorHAnsi" w:cstheme="minorBidi"/>
            <w:kern w:val="2"/>
            <w:sz w:val="24"/>
            <w:szCs w:val="24"/>
            <w:lang w:eastAsia="en-AU"/>
            <w14:ligatures w14:val="standardContextual"/>
          </w:rPr>
          <w:tab/>
        </w:r>
        <w:r w:rsidRPr="00533B68">
          <w:t>Appeals to Supreme Court—time for filing etc respondent’s affidavits for leave to appeal out of time</w:t>
        </w:r>
        <w:r>
          <w:tab/>
        </w:r>
        <w:r>
          <w:fldChar w:fldCharType="begin"/>
        </w:r>
        <w:r>
          <w:instrText xml:space="preserve"> PAGEREF _Toc185515028 \h </w:instrText>
        </w:r>
        <w:r>
          <w:fldChar w:fldCharType="separate"/>
        </w:r>
        <w:r>
          <w:t>785</w:t>
        </w:r>
        <w:r>
          <w:fldChar w:fldCharType="end"/>
        </w:r>
      </w:hyperlink>
    </w:p>
    <w:p w14:paraId="6DC59281" w14:textId="20A35CC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29" w:history="1">
        <w:r w:rsidR="00AC5392" w:rsidRPr="00533B68">
          <w:t>Division 5.3.4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Supreme Court—procedure generally</w:t>
        </w:r>
        <w:r w:rsidR="00AC5392" w:rsidRPr="00AC5392">
          <w:rPr>
            <w:vanish/>
          </w:rPr>
          <w:tab/>
        </w:r>
        <w:r w:rsidR="00AC5392" w:rsidRPr="00AC5392">
          <w:rPr>
            <w:vanish/>
          </w:rPr>
          <w:fldChar w:fldCharType="begin"/>
        </w:r>
        <w:r w:rsidR="00AC5392" w:rsidRPr="00AC5392">
          <w:rPr>
            <w:vanish/>
          </w:rPr>
          <w:instrText xml:space="preserve"> PAGEREF _Toc185515029 \h </w:instrText>
        </w:r>
        <w:r w:rsidR="00AC5392" w:rsidRPr="00AC5392">
          <w:rPr>
            <w:vanish/>
          </w:rPr>
        </w:r>
        <w:r w:rsidR="00AC5392" w:rsidRPr="00AC5392">
          <w:rPr>
            <w:vanish/>
          </w:rPr>
          <w:fldChar w:fldCharType="separate"/>
        </w:r>
        <w:r w:rsidR="00AC5392" w:rsidRPr="00AC5392">
          <w:rPr>
            <w:vanish/>
          </w:rPr>
          <w:t>786</w:t>
        </w:r>
        <w:r w:rsidR="00AC5392" w:rsidRPr="00AC5392">
          <w:rPr>
            <w:vanish/>
          </w:rPr>
          <w:fldChar w:fldCharType="end"/>
        </w:r>
      </w:hyperlink>
    </w:p>
    <w:p w14:paraId="4F924ECE" w14:textId="32BB2F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0" w:history="1">
        <w:r w:rsidRPr="00533B68">
          <w:t>5100</w:t>
        </w:r>
        <w:r>
          <w:rPr>
            <w:rFonts w:asciiTheme="minorHAnsi" w:eastAsiaTheme="minorEastAsia" w:hAnsiTheme="minorHAnsi" w:cstheme="minorBidi"/>
            <w:kern w:val="2"/>
            <w:sz w:val="24"/>
            <w:szCs w:val="24"/>
            <w:lang w:eastAsia="en-AU"/>
            <w14:ligatures w14:val="standardContextual"/>
          </w:rPr>
          <w:tab/>
        </w:r>
        <w:r w:rsidRPr="00533B68">
          <w:t>Appeals to Supreme Court—starting appeal</w:t>
        </w:r>
        <w:r>
          <w:tab/>
        </w:r>
        <w:r>
          <w:fldChar w:fldCharType="begin"/>
        </w:r>
        <w:r>
          <w:instrText xml:space="preserve"> PAGEREF _Toc185515030 \h </w:instrText>
        </w:r>
        <w:r>
          <w:fldChar w:fldCharType="separate"/>
        </w:r>
        <w:r>
          <w:t>786</w:t>
        </w:r>
        <w:r>
          <w:fldChar w:fldCharType="end"/>
        </w:r>
      </w:hyperlink>
    </w:p>
    <w:p w14:paraId="3AE61D10" w14:textId="521FDC5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1" w:history="1">
        <w:r w:rsidRPr="00533B68">
          <w:t>5101</w:t>
        </w:r>
        <w:r>
          <w:rPr>
            <w:rFonts w:asciiTheme="minorHAnsi" w:eastAsiaTheme="minorEastAsia" w:hAnsiTheme="minorHAnsi" w:cstheme="minorBidi"/>
            <w:kern w:val="2"/>
            <w:sz w:val="24"/>
            <w:szCs w:val="24"/>
            <w:lang w:eastAsia="en-AU"/>
            <w14:ligatures w14:val="standardContextual"/>
          </w:rPr>
          <w:tab/>
        </w:r>
        <w:r w:rsidRPr="00533B68">
          <w:t>Appeals to Supreme Court—requirements for notice of appeal etc</w:t>
        </w:r>
        <w:r>
          <w:tab/>
        </w:r>
        <w:r>
          <w:fldChar w:fldCharType="begin"/>
        </w:r>
        <w:r>
          <w:instrText xml:space="preserve"> PAGEREF _Toc185515031 \h </w:instrText>
        </w:r>
        <w:r>
          <w:fldChar w:fldCharType="separate"/>
        </w:r>
        <w:r>
          <w:t>786</w:t>
        </w:r>
        <w:r>
          <w:fldChar w:fldCharType="end"/>
        </w:r>
      </w:hyperlink>
    </w:p>
    <w:p w14:paraId="28F5BBB1" w14:textId="2B555B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2" w:history="1">
        <w:r w:rsidRPr="00533B68">
          <w:t>5102</w:t>
        </w:r>
        <w:r>
          <w:rPr>
            <w:rFonts w:asciiTheme="minorHAnsi" w:eastAsiaTheme="minorEastAsia" w:hAnsiTheme="minorHAnsi" w:cstheme="minorBidi"/>
            <w:kern w:val="2"/>
            <w:sz w:val="24"/>
            <w:szCs w:val="24"/>
            <w:lang w:eastAsia="en-AU"/>
            <w14:ligatures w14:val="standardContextual"/>
          </w:rPr>
          <w:tab/>
        </w:r>
        <w:r w:rsidRPr="00533B68">
          <w:t>Appeals to Supreme Court—parties to appeal</w:t>
        </w:r>
        <w:r>
          <w:tab/>
        </w:r>
        <w:r>
          <w:fldChar w:fldCharType="begin"/>
        </w:r>
        <w:r>
          <w:instrText xml:space="preserve"> PAGEREF _Toc185515032 \h </w:instrText>
        </w:r>
        <w:r>
          <w:fldChar w:fldCharType="separate"/>
        </w:r>
        <w:r>
          <w:t>788</w:t>
        </w:r>
        <w:r>
          <w:fldChar w:fldCharType="end"/>
        </w:r>
      </w:hyperlink>
    </w:p>
    <w:p w14:paraId="762E36B6" w14:textId="04B1E7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3" w:history="1">
        <w:r w:rsidRPr="00533B68">
          <w:t>5103</w:t>
        </w:r>
        <w:r>
          <w:rPr>
            <w:rFonts w:asciiTheme="minorHAnsi" w:eastAsiaTheme="minorEastAsia" w:hAnsiTheme="minorHAnsi" w:cstheme="minorBidi"/>
            <w:kern w:val="2"/>
            <w:sz w:val="24"/>
            <w:szCs w:val="24"/>
            <w:lang w:eastAsia="en-AU"/>
            <w14:ligatures w14:val="standardContextual"/>
          </w:rPr>
          <w:tab/>
        </w:r>
        <w:r w:rsidRPr="00533B68">
          <w:t>Appeals to Supreme Court—time for filing notice of appeal</w:t>
        </w:r>
        <w:r>
          <w:tab/>
        </w:r>
        <w:r>
          <w:fldChar w:fldCharType="begin"/>
        </w:r>
        <w:r>
          <w:instrText xml:space="preserve"> PAGEREF _Toc185515033 \h </w:instrText>
        </w:r>
        <w:r>
          <w:fldChar w:fldCharType="separate"/>
        </w:r>
        <w:r>
          <w:t>789</w:t>
        </w:r>
        <w:r>
          <w:fldChar w:fldCharType="end"/>
        </w:r>
      </w:hyperlink>
    </w:p>
    <w:p w14:paraId="65F5D3E9" w14:textId="3813BE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4" w:history="1">
        <w:r w:rsidRPr="00533B68">
          <w:t>5104</w:t>
        </w:r>
        <w:r>
          <w:rPr>
            <w:rFonts w:asciiTheme="minorHAnsi" w:eastAsiaTheme="minorEastAsia" w:hAnsiTheme="minorHAnsi" w:cstheme="minorBidi"/>
            <w:kern w:val="2"/>
            <w:sz w:val="24"/>
            <w:szCs w:val="24"/>
            <w:lang w:eastAsia="en-AU"/>
            <w14:ligatures w14:val="standardContextual"/>
          </w:rPr>
          <w:tab/>
        </w:r>
        <w:r w:rsidRPr="00533B68">
          <w:t>Appeals to Supreme Court—notice of appeal to be sealed</w:t>
        </w:r>
        <w:r>
          <w:tab/>
        </w:r>
        <w:r>
          <w:fldChar w:fldCharType="begin"/>
        </w:r>
        <w:r>
          <w:instrText xml:space="preserve"> PAGEREF _Toc185515034 \h </w:instrText>
        </w:r>
        <w:r>
          <w:fldChar w:fldCharType="separate"/>
        </w:r>
        <w:r>
          <w:t>790</w:t>
        </w:r>
        <w:r>
          <w:fldChar w:fldCharType="end"/>
        </w:r>
      </w:hyperlink>
    </w:p>
    <w:p w14:paraId="22CF6BC9" w14:textId="687F74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5" w:history="1">
        <w:r w:rsidRPr="00533B68">
          <w:t>5105</w:t>
        </w:r>
        <w:r>
          <w:rPr>
            <w:rFonts w:asciiTheme="minorHAnsi" w:eastAsiaTheme="minorEastAsia" w:hAnsiTheme="minorHAnsi" w:cstheme="minorBidi"/>
            <w:kern w:val="2"/>
            <w:sz w:val="24"/>
            <w:szCs w:val="24"/>
            <w:lang w:eastAsia="en-AU"/>
            <w14:ligatures w14:val="standardContextual"/>
          </w:rPr>
          <w:tab/>
        </w:r>
        <w:r w:rsidRPr="00533B68">
          <w:t>Appeals to Supreme Court—numbering etc of appeals</w:t>
        </w:r>
        <w:r>
          <w:tab/>
        </w:r>
        <w:r>
          <w:fldChar w:fldCharType="begin"/>
        </w:r>
        <w:r>
          <w:instrText xml:space="preserve"> PAGEREF _Toc185515035 \h </w:instrText>
        </w:r>
        <w:r>
          <w:fldChar w:fldCharType="separate"/>
        </w:r>
        <w:r>
          <w:t>790</w:t>
        </w:r>
        <w:r>
          <w:fldChar w:fldCharType="end"/>
        </w:r>
      </w:hyperlink>
    </w:p>
    <w:p w14:paraId="0A66C534" w14:textId="7CB11A4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6" w:history="1">
        <w:r w:rsidRPr="00533B68">
          <w:t>5106</w:t>
        </w:r>
        <w:r>
          <w:rPr>
            <w:rFonts w:asciiTheme="minorHAnsi" w:eastAsiaTheme="minorEastAsia" w:hAnsiTheme="minorHAnsi" w:cstheme="minorBidi"/>
            <w:kern w:val="2"/>
            <w:sz w:val="24"/>
            <w:szCs w:val="24"/>
            <w:lang w:eastAsia="en-AU"/>
            <w14:ligatures w14:val="standardContextual"/>
          </w:rPr>
          <w:tab/>
        </w:r>
        <w:r w:rsidRPr="00533B68">
          <w:t>Appeals to Supreme Court—date for settlement of appeal papers</w:t>
        </w:r>
        <w:r>
          <w:tab/>
        </w:r>
        <w:r>
          <w:fldChar w:fldCharType="begin"/>
        </w:r>
        <w:r>
          <w:instrText xml:space="preserve"> PAGEREF _Toc185515036 \h </w:instrText>
        </w:r>
        <w:r>
          <w:fldChar w:fldCharType="separate"/>
        </w:r>
        <w:r>
          <w:t>790</w:t>
        </w:r>
        <w:r>
          <w:fldChar w:fldCharType="end"/>
        </w:r>
      </w:hyperlink>
    </w:p>
    <w:p w14:paraId="23A824CC" w14:textId="314980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7" w:history="1">
        <w:r w:rsidRPr="00533B68">
          <w:t>5107</w:t>
        </w:r>
        <w:r>
          <w:rPr>
            <w:rFonts w:asciiTheme="minorHAnsi" w:eastAsiaTheme="minorEastAsia" w:hAnsiTheme="minorHAnsi" w:cstheme="minorBidi"/>
            <w:kern w:val="2"/>
            <w:sz w:val="24"/>
            <w:szCs w:val="24"/>
            <w:lang w:eastAsia="en-AU"/>
            <w14:ligatures w14:val="standardContextual"/>
          </w:rPr>
          <w:tab/>
        </w:r>
        <w:r w:rsidRPr="00533B68">
          <w:t>Appeals to Supreme Court—serving notice of appeal</w:t>
        </w:r>
        <w:r>
          <w:tab/>
        </w:r>
        <w:r>
          <w:fldChar w:fldCharType="begin"/>
        </w:r>
        <w:r>
          <w:instrText xml:space="preserve"> PAGEREF _Toc185515037 \h </w:instrText>
        </w:r>
        <w:r>
          <w:fldChar w:fldCharType="separate"/>
        </w:r>
        <w:r>
          <w:t>791</w:t>
        </w:r>
        <w:r>
          <w:fldChar w:fldCharType="end"/>
        </w:r>
      </w:hyperlink>
    </w:p>
    <w:p w14:paraId="049875D6" w14:textId="6BC88BD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8" w:history="1">
        <w:r w:rsidRPr="00533B68">
          <w:t>5108</w:t>
        </w:r>
        <w:r>
          <w:rPr>
            <w:rFonts w:asciiTheme="minorHAnsi" w:eastAsiaTheme="minorEastAsia" w:hAnsiTheme="minorHAnsi" w:cstheme="minorBidi"/>
            <w:kern w:val="2"/>
            <w:sz w:val="24"/>
            <w:szCs w:val="24"/>
            <w:lang w:eastAsia="en-AU"/>
            <w14:ligatures w14:val="standardContextual"/>
          </w:rPr>
          <w:tab/>
        </w:r>
        <w:r w:rsidRPr="00533B68">
          <w:t>Appeals to Supreme Court—notice of intention to respond</w:t>
        </w:r>
        <w:r>
          <w:tab/>
        </w:r>
        <w:r>
          <w:fldChar w:fldCharType="begin"/>
        </w:r>
        <w:r>
          <w:instrText xml:space="preserve"> PAGEREF _Toc185515038 \h </w:instrText>
        </w:r>
        <w:r>
          <w:fldChar w:fldCharType="separate"/>
        </w:r>
        <w:r>
          <w:t>792</w:t>
        </w:r>
        <w:r>
          <w:fldChar w:fldCharType="end"/>
        </w:r>
      </w:hyperlink>
    </w:p>
    <w:p w14:paraId="67ED5068" w14:textId="07A939A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39" w:history="1">
        <w:r w:rsidRPr="00533B68">
          <w:t>5109</w:t>
        </w:r>
        <w:r>
          <w:rPr>
            <w:rFonts w:asciiTheme="minorHAnsi" w:eastAsiaTheme="minorEastAsia" w:hAnsiTheme="minorHAnsi" w:cstheme="minorBidi"/>
            <w:kern w:val="2"/>
            <w:sz w:val="24"/>
            <w:szCs w:val="24"/>
            <w:lang w:eastAsia="en-AU"/>
            <w14:ligatures w14:val="standardContextual"/>
          </w:rPr>
          <w:tab/>
        </w:r>
        <w:r w:rsidRPr="00533B68">
          <w:t>Appeals to Supreme Court—</w:t>
        </w:r>
        <w:r w:rsidRPr="00533B68">
          <w:rPr>
            <w:lang w:val="en-US"/>
          </w:rPr>
          <w:t>respondent taken to be served by filing notice of intention to respond</w:t>
        </w:r>
        <w:r>
          <w:tab/>
        </w:r>
        <w:r>
          <w:fldChar w:fldCharType="begin"/>
        </w:r>
        <w:r>
          <w:instrText xml:space="preserve"> PAGEREF _Toc185515039 \h </w:instrText>
        </w:r>
        <w:r>
          <w:fldChar w:fldCharType="separate"/>
        </w:r>
        <w:r>
          <w:t>793</w:t>
        </w:r>
        <w:r>
          <w:fldChar w:fldCharType="end"/>
        </w:r>
      </w:hyperlink>
    </w:p>
    <w:p w14:paraId="1632926E" w14:textId="02159C6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0" w:history="1">
        <w:r w:rsidRPr="00533B68">
          <w:t>5110</w:t>
        </w:r>
        <w:r>
          <w:rPr>
            <w:rFonts w:asciiTheme="minorHAnsi" w:eastAsiaTheme="minorEastAsia" w:hAnsiTheme="minorHAnsi" w:cstheme="minorBidi"/>
            <w:kern w:val="2"/>
            <w:sz w:val="24"/>
            <w:szCs w:val="24"/>
            <w:lang w:eastAsia="en-AU"/>
            <w14:ligatures w14:val="standardContextual"/>
          </w:rPr>
          <w:tab/>
        </w:r>
        <w:r w:rsidRPr="00533B68">
          <w:t>Appeals to Supreme Court—documents</w:t>
        </w:r>
        <w:r>
          <w:tab/>
        </w:r>
        <w:r>
          <w:fldChar w:fldCharType="begin"/>
        </w:r>
        <w:r>
          <w:instrText xml:space="preserve"> PAGEREF _Toc185515040 \h </w:instrText>
        </w:r>
        <w:r>
          <w:fldChar w:fldCharType="separate"/>
        </w:r>
        <w:r>
          <w:t>793</w:t>
        </w:r>
        <w:r>
          <w:fldChar w:fldCharType="end"/>
        </w:r>
      </w:hyperlink>
    </w:p>
    <w:p w14:paraId="2D2847F9" w14:textId="121DE20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1" w:history="1">
        <w:r w:rsidRPr="00533B68">
          <w:t>5111</w:t>
        </w:r>
        <w:r>
          <w:rPr>
            <w:rFonts w:asciiTheme="minorHAnsi" w:eastAsiaTheme="minorEastAsia" w:hAnsiTheme="minorHAnsi" w:cstheme="minorBidi"/>
            <w:kern w:val="2"/>
            <w:sz w:val="24"/>
            <w:szCs w:val="24"/>
            <w:lang w:eastAsia="en-AU"/>
            <w14:ligatures w14:val="standardContextual"/>
          </w:rPr>
          <w:tab/>
        </w:r>
        <w:r w:rsidRPr="00533B68">
          <w:t>Appeals to Supreme Court—amending notice of appeal</w:t>
        </w:r>
        <w:r>
          <w:tab/>
        </w:r>
        <w:r>
          <w:fldChar w:fldCharType="begin"/>
        </w:r>
        <w:r>
          <w:instrText xml:space="preserve"> PAGEREF _Toc185515041 \h </w:instrText>
        </w:r>
        <w:r>
          <w:fldChar w:fldCharType="separate"/>
        </w:r>
        <w:r>
          <w:t>795</w:t>
        </w:r>
        <w:r>
          <w:fldChar w:fldCharType="end"/>
        </w:r>
      </w:hyperlink>
    </w:p>
    <w:p w14:paraId="7D5DF644" w14:textId="1F73F7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2" w:history="1">
        <w:r w:rsidRPr="00533B68">
          <w:t>5112</w:t>
        </w:r>
        <w:r>
          <w:rPr>
            <w:rFonts w:asciiTheme="minorHAnsi" w:eastAsiaTheme="minorEastAsia" w:hAnsiTheme="minorHAnsi" w:cstheme="minorBidi"/>
            <w:kern w:val="2"/>
            <w:sz w:val="24"/>
            <w:szCs w:val="24"/>
            <w:lang w:eastAsia="en-AU"/>
            <w14:ligatures w14:val="standardContextual"/>
          </w:rPr>
          <w:tab/>
        </w:r>
        <w:r w:rsidRPr="00533B68">
          <w:t>Appeals to Supreme Court—cross-appeal</w:t>
        </w:r>
        <w:r>
          <w:tab/>
        </w:r>
        <w:r>
          <w:fldChar w:fldCharType="begin"/>
        </w:r>
        <w:r>
          <w:instrText xml:space="preserve"> PAGEREF _Toc185515042 \h </w:instrText>
        </w:r>
        <w:r>
          <w:fldChar w:fldCharType="separate"/>
        </w:r>
        <w:r>
          <w:t>796</w:t>
        </w:r>
        <w:r>
          <w:fldChar w:fldCharType="end"/>
        </w:r>
      </w:hyperlink>
    </w:p>
    <w:p w14:paraId="18BD949A" w14:textId="3EF9A0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3" w:history="1">
        <w:r w:rsidRPr="00533B68">
          <w:t>5113</w:t>
        </w:r>
        <w:r>
          <w:rPr>
            <w:rFonts w:asciiTheme="minorHAnsi" w:eastAsiaTheme="minorEastAsia" w:hAnsiTheme="minorHAnsi" w:cstheme="minorBidi"/>
            <w:kern w:val="2"/>
            <w:sz w:val="24"/>
            <w:szCs w:val="24"/>
            <w:lang w:eastAsia="en-AU"/>
            <w14:ligatures w14:val="standardContextual"/>
          </w:rPr>
          <w:tab/>
        </w:r>
        <w:r w:rsidRPr="00533B68">
          <w:t>Appeals to Supreme Court—application of certain rules to cross-appeals</w:t>
        </w:r>
        <w:r>
          <w:tab/>
        </w:r>
        <w:r>
          <w:fldChar w:fldCharType="begin"/>
        </w:r>
        <w:r>
          <w:instrText xml:space="preserve"> PAGEREF _Toc185515043 \h </w:instrText>
        </w:r>
        <w:r>
          <w:fldChar w:fldCharType="separate"/>
        </w:r>
        <w:r>
          <w:t>798</w:t>
        </w:r>
        <w:r>
          <w:fldChar w:fldCharType="end"/>
        </w:r>
      </w:hyperlink>
    </w:p>
    <w:p w14:paraId="3BFAA233" w14:textId="099A8A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4" w:history="1">
        <w:r w:rsidRPr="00533B68">
          <w:t>5114</w:t>
        </w:r>
        <w:r>
          <w:rPr>
            <w:rFonts w:asciiTheme="minorHAnsi" w:eastAsiaTheme="minorEastAsia" w:hAnsiTheme="minorHAnsi" w:cstheme="minorBidi"/>
            <w:kern w:val="2"/>
            <w:sz w:val="24"/>
            <w:szCs w:val="24"/>
            <w:lang w:eastAsia="en-AU"/>
            <w14:ligatures w14:val="standardContextual"/>
          </w:rPr>
          <w:tab/>
        </w:r>
        <w:r w:rsidRPr="00533B68">
          <w:t>Appeals to Supreme Court—effect of failure to give notice of cross-appeal</w:t>
        </w:r>
        <w:r>
          <w:tab/>
        </w:r>
        <w:r>
          <w:fldChar w:fldCharType="begin"/>
        </w:r>
        <w:r>
          <w:instrText xml:space="preserve"> PAGEREF _Toc185515044 \h </w:instrText>
        </w:r>
        <w:r>
          <w:fldChar w:fldCharType="separate"/>
        </w:r>
        <w:r>
          <w:t>799</w:t>
        </w:r>
        <w:r>
          <w:fldChar w:fldCharType="end"/>
        </w:r>
      </w:hyperlink>
    </w:p>
    <w:p w14:paraId="192D5898" w14:textId="08AFDE3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5" w:history="1">
        <w:r w:rsidRPr="00533B68">
          <w:t>5115</w:t>
        </w:r>
        <w:r>
          <w:rPr>
            <w:rFonts w:asciiTheme="minorHAnsi" w:eastAsiaTheme="minorEastAsia" w:hAnsiTheme="minorHAnsi" w:cstheme="minorBidi"/>
            <w:kern w:val="2"/>
            <w:sz w:val="24"/>
            <w:szCs w:val="24"/>
            <w:lang w:eastAsia="en-AU"/>
            <w14:ligatures w14:val="standardContextual"/>
          </w:rPr>
          <w:tab/>
        </w:r>
        <w:r w:rsidRPr="00533B68">
          <w:t>Appeals to Supreme Court—notice of contention</w:t>
        </w:r>
        <w:r>
          <w:tab/>
        </w:r>
        <w:r>
          <w:fldChar w:fldCharType="begin"/>
        </w:r>
        <w:r>
          <w:instrText xml:space="preserve"> PAGEREF _Toc185515045 \h </w:instrText>
        </w:r>
        <w:r>
          <w:fldChar w:fldCharType="separate"/>
        </w:r>
        <w:r>
          <w:t>799</w:t>
        </w:r>
        <w:r>
          <w:fldChar w:fldCharType="end"/>
        </w:r>
      </w:hyperlink>
    </w:p>
    <w:p w14:paraId="7BAC7F6E" w14:textId="6799BF0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46" w:history="1">
        <w:r w:rsidR="00AC5392" w:rsidRPr="00533B68">
          <w:t>Division 5.3.5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Supreme Court—appeal papers and hearing</w:t>
        </w:r>
        <w:r w:rsidR="00AC5392" w:rsidRPr="00AC5392">
          <w:rPr>
            <w:vanish/>
          </w:rPr>
          <w:tab/>
        </w:r>
        <w:r w:rsidR="00AC5392" w:rsidRPr="00AC5392">
          <w:rPr>
            <w:vanish/>
          </w:rPr>
          <w:fldChar w:fldCharType="begin"/>
        </w:r>
        <w:r w:rsidR="00AC5392" w:rsidRPr="00AC5392">
          <w:rPr>
            <w:vanish/>
          </w:rPr>
          <w:instrText xml:space="preserve"> PAGEREF _Toc185515046 \h </w:instrText>
        </w:r>
        <w:r w:rsidR="00AC5392" w:rsidRPr="00AC5392">
          <w:rPr>
            <w:vanish/>
          </w:rPr>
        </w:r>
        <w:r w:rsidR="00AC5392" w:rsidRPr="00AC5392">
          <w:rPr>
            <w:vanish/>
          </w:rPr>
          <w:fldChar w:fldCharType="separate"/>
        </w:r>
        <w:r w:rsidR="00AC5392" w:rsidRPr="00AC5392">
          <w:rPr>
            <w:vanish/>
          </w:rPr>
          <w:t>802</w:t>
        </w:r>
        <w:r w:rsidR="00AC5392" w:rsidRPr="00AC5392">
          <w:rPr>
            <w:vanish/>
          </w:rPr>
          <w:fldChar w:fldCharType="end"/>
        </w:r>
      </w:hyperlink>
    </w:p>
    <w:p w14:paraId="23A1925A" w14:textId="5DEB7E6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7" w:history="1">
        <w:r w:rsidRPr="00533B68">
          <w:t>5130</w:t>
        </w:r>
        <w:r>
          <w:rPr>
            <w:rFonts w:asciiTheme="minorHAnsi" w:eastAsiaTheme="minorEastAsia" w:hAnsiTheme="minorHAnsi" w:cstheme="minorBidi"/>
            <w:kern w:val="2"/>
            <w:sz w:val="24"/>
            <w:szCs w:val="24"/>
            <w:lang w:eastAsia="en-AU"/>
            <w14:ligatures w14:val="standardContextual"/>
          </w:rPr>
          <w:tab/>
        </w:r>
        <w:r w:rsidRPr="00533B68">
          <w:t>Appeals to Supreme Court—draft index of appeal papers</w:t>
        </w:r>
        <w:r>
          <w:tab/>
        </w:r>
        <w:r>
          <w:fldChar w:fldCharType="begin"/>
        </w:r>
        <w:r>
          <w:instrText xml:space="preserve"> PAGEREF _Toc185515047 \h </w:instrText>
        </w:r>
        <w:r>
          <w:fldChar w:fldCharType="separate"/>
        </w:r>
        <w:r>
          <w:t>802</w:t>
        </w:r>
        <w:r>
          <w:fldChar w:fldCharType="end"/>
        </w:r>
      </w:hyperlink>
    </w:p>
    <w:p w14:paraId="0878560C" w14:textId="2E5CFA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8" w:history="1">
        <w:r w:rsidRPr="00533B68">
          <w:t>5131</w:t>
        </w:r>
        <w:r>
          <w:rPr>
            <w:rFonts w:asciiTheme="minorHAnsi" w:eastAsiaTheme="minorEastAsia" w:hAnsiTheme="minorHAnsi" w:cstheme="minorBidi"/>
            <w:kern w:val="2"/>
            <w:sz w:val="24"/>
            <w:szCs w:val="24"/>
            <w:lang w:eastAsia="en-AU"/>
            <w14:ligatures w14:val="standardContextual"/>
          </w:rPr>
          <w:tab/>
        </w:r>
        <w:r w:rsidRPr="00533B68">
          <w:t>Appeals to Supreme Court—settlement of appeal papers</w:t>
        </w:r>
        <w:r>
          <w:tab/>
        </w:r>
        <w:r>
          <w:fldChar w:fldCharType="begin"/>
        </w:r>
        <w:r>
          <w:instrText xml:space="preserve"> PAGEREF _Toc185515048 \h </w:instrText>
        </w:r>
        <w:r>
          <w:fldChar w:fldCharType="separate"/>
        </w:r>
        <w:r>
          <w:t>802</w:t>
        </w:r>
        <w:r>
          <w:fldChar w:fldCharType="end"/>
        </w:r>
      </w:hyperlink>
    </w:p>
    <w:p w14:paraId="0B89CB8D" w14:textId="3FFA4CD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49" w:history="1">
        <w:r w:rsidRPr="00533B68">
          <w:t>5132</w:t>
        </w:r>
        <w:r>
          <w:rPr>
            <w:rFonts w:asciiTheme="minorHAnsi" w:eastAsiaTheme="minorEastAsia" w:hAnsiTheme="minorHAnsi" w:cstheme="minorBidi"/>
            <w:kern w:val="2"/>
            <w:sz w:val="24"/>
            <w:szCs w:val="24"/>
            <w:lang w:eastAsia="en-AU"/>
            <w14:ligatures w14:val="standardContextual"/>
          </w:rPr>
          <w:tab/>
        </w:r>
        <w:r w:rsidRPr="00533B68">
          <w:t>Appeals to Supreme Court—content of appeal papers</w:t>
        </w:r>
        <w:r>
          <w:tab/>
        </w:r>
        <w:r>
          <w:fldChar w:fldCharType="begin"/>
        </w:r>
        <w:r>
          <w:instrText xml:space="preserve"> PAGEREF _Toc185515049 \h </w:instrText>
        </w:r>
        <w:r>
          <w:fldChar w:fldCharType="separate"/>
        </w:r>
        <w:r>
          <w:t>802</w:t>
        </w:r>
        <w:r>
          <w:fldChar w:fldCharType="end"/>
        </w:r>
      </w:hyperlink>
    </w:p>
    <w:p w14:paraId="405294BF" w14:textId="006370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0" w:history="1">
        <w:r w:rsidRPr="00533B68">
          <w:t>5133</w:t>
        </w:r>
        <w:r>
          <w:rPr>
            <w:rFonts w:asciiTheme="minorHAnsi" w:eastAsiaTheme="minorEastAsia" w:hAnsiTheme="minorHAnsi" w:cstheme="minorBidi"/>
            <w:kern w:val="2"/>
            <w:sz w:val="24"/>
            <w:szCs w:val="24"/>
            <w:lang w:eastAsia="en-AU"/>
            <w14:ligatures w14:val="standardContextual"/>
          </w:rPr>
          <w:tab/>
        </w:r>
        <w:r w:rsidRPr="00533B68">
          <w:t>Appeals to Supreme Court—presentation of appeal papers</w:t>
        </w:r>
        <w:r>
          <w:tab/>
        </w:r>
        <w:r>
          <w:fldChar w:fldCharType="begin"/>
        </w:r>
        <w:r>
          <w:instrText xml:space="preserve"> PAGEREF _Toc185515050 \h </w:instrText>
        </w:r>
        <w:r>
          <w:fldChar w:fldCharType="separate"/>
        </w:r>
        <w:r>
          <w:t>804</w:t>
        </w:r>
        <w:r>
          <w:fldChar w:fldCharType="end"/>
        </w:r>
      </w:hyperlink>
    </w:p>
    <w:p w14:paraId="3B2149E4" w14:textId="01D85F1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1" w:history="1">
        <w:r w:rsidRPr="00533B68">
          <w:t>5134</w:t>
        </w:r>
        <w:r>
          <w:rPr>
            <w:rFonts w:asciiTheme="minorHAnsi" w:eastAsiaTheme="minorEastAsia" w:hAnsiTheme="minorHAnsi" w:cstheme="minorBidi"/>
            <w:kern w:val="2"/>
            <w:sz w:val="24"/>
            <w:szCs w:val="24"/>
            <w:lang w:eastAsia="en-AU"/>
            <w14:ligatures w14:val="standardContextual"/>
          </w:rPr>
          <w:tab/>
        </w:r>
        <w:r w:rsidRPr="00533B68">
          <w:t>Appeals to Supreme Court—filing and serving appeal papers</w:t>
        </w:r>
        <w:r>
          <w:tab/>
        </w:r>
        <w:r>
          <w:fldChar w:fldCharType="begin"/>
        </w:r>
        <w:r>
          <w:instrText xml:space="preserve"> PAGEREF _Toc185515051 \h </w:instrText>
        </w:r>
        <w:r>
          <w:fldChar w:fldCharType="separate"/>
        </w:r>
        <w:r>
          <w:t>804</w:t>
        </w:r>
        <w:r>
          <w:fldChar w:fldCharType="end"/>
        </w:r>
      </w:hyperlink>
    </w:p>
    <w:p w14:paraId="071C75E4" w14:textId="64C5C243"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052" w:history="1">
        <w:r w:rsidRPr="00533B68">
          <w:t>5135</w:t>
        </w:r>
        <w:r>
          <w:rPr>
            <w:rFonts w:asciiTheme="minorHAnsi" w:eastAsiaTheme="minorEastAsia" w:hAnsiTheme="minorHAnsi" w:cstheme="minorBidi"/>
            <w:kern w:val="2"/>
            <w:sz w:val="24"/>
            <w:szCs w:val="24"/>
            <w:lang w:eastAsia="en-AU"/>
            <w14:ligatures w14:val="standardContextual"/>
          </w:rPr>
          <w:tab/>
        </w:r>
        <w:r w:rsidRPr="00533B68">
          <w:t>Appeals to Supreme Court—setting appeal for hearing</w:t>
        </w:r>
        <w:r>
          <w:tab/>
        </w:r>
        <w:r>
          <w:fldChar w:fldCharType="begin"/>
        </w:r>
        <w:r>
          <w:instrText xml:space="preserve"> PAGEREF _Toc185515052 \h </w:instrText>
        </w:r>
        <w:r>
          <w:fldChar w:fldCharType="separate"/>
        </w:r>
        <w:r>
          <w:t>805</w:t>
        </w:r>
        <w:r>
          <w:fldChar w:fldCharType="end"/>
        </w:r>
      </w:hyperlink>
    </w:p>
    <w:p w14:paraId="69E358EF" w14:textId="11BA6DA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3" w:history="1">
        <w:r w:rsidRPr="00533B68">
          <w:t>5136</w:t>
        </w:r>
        <w:r>
          <w:rPr>
            <w:rFonts w:asciiTheme="minorHAnsi" w:eastAsiaTheme="minorEastAsia" w:hAnsiTheme="minorHAnsi" w:cstheme="minorBidi"/>
            <w:kern w:val="2"/>
            <w:sz w:val="24"/>
            <w:szCs w:val="24"/>
            <w:lang w:eastAsia="en-AU"/>
            <w14:ligatures w14:val="standardContextual"/>
          </w:rPr>
          <w:tab/>
        </w:r>
        <w:r w:rsidRPr="00533B68">
          <w:t>Appeals to Supreme Court—changing appeal hearing date</w:t>
        </w:r>
        <w:r>
          <w:tab/>
        </w:r>
        <w:r>
          <w:fldChar w:fldCharType="begin"/>
        </w:r>
        <w:r>
          <w:instrText xml:space="preserve"> PAGEREF _Toc185515053 \h </w:instrText>
        </w:r>
        <w:r>
          <w:fldChar w:fldCharType="separate"/>
        </w:r>
        <w:r>
          <w:t>805</w:t>
        </w:r>
        <w:r>
          <w:fldChar w:fldCharType="end"/>
        </w:r>
      </w:hyperlink>
    </w:p>
    <w:p w14:paraId="51D7B000" w14:textId="380E6E9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4" w:history="1">
        <w:r w:rsidRPr="00533B68">
          <w:t>5137</w:t>
        </w:r>
        <w:r>
          <w:rPr>
            <w:rFonts w:asciiTheme="minorHAnsi" w:eastAsiaTheme="minorEastAsia" w:hAnsiTheme="minorHAnsi" w:cstheme="minorBidi"/>
            <w:kern w:val="2"/>
            <w:sz w:val="24"/>
            <w:szCs w:val="24"/>
            <w:lang w:eastAsia="en-AU"/>
            <w14:ligatures w14:val="standardContextual"/>
          </w:rPr>
          <w:tab/>
        </w:r>
        <w:r w:rsidRPr="00533B68">
          <w:t>Appeals to Supreme Court—written summary and list for appeal hearing</w:t>
        </w:r>
        <w:r>
          <w:tab/>
        </w:r>
        <w:r>
          <w:fldChar w:fldCharType="begin"/>
        </w:r>
        <w:r>
          <w:instrText xml:space="preserve"> PAGEREF _Toc185515054 \h </w:instrText>
        </w:r>
        <w:r>
          <w:fldChar w:fldCharType="separate"/>
        </w:r>
        <w:r>
          <w:t>805</w:t>
        </w:r>
        <w:r>
          <w:fldChar w:fldCharType="end"/>
        </w:r>
      </w:hyperlink>
    </w:p>
    <w:p w14:paraId="5A87CE69" w14:textId="1CB5BAE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5" w:history="1">
        <w:r w:rsidRPr="00533B68">
          <w:t>5138</w:t>
        </w:r>
        <w:r>
          <w:rPr>
            <w:rFonts w:asciiTheme="minorHAnsi" w:eastAsiaTheme="minorEastAsia" w:hAnsiTheme="minorHAnsi" w:cstheme="minorBidi"/>
            <w:kern w:val="2"/>
            <w:sz w:val="24"/>
            <w:szCs w:val="24"/>
            <w:lang w:eastAsia="en-AU"/>
            <w14:ligatures w14:val="standardContextual"/>
          </w:rPr>
          <w:tab/>
        </w:r>
        <w:r w:rsidRPr="00533B68">
          <w:t>Appeals to Supreme Court—summaries of arguments</w:t>
        </w:r>
        <w:r>
          <w:tab/>
        </w:r>
        <w:r>
          <w:fldChar w:fldCharType="begin"/>
        </w:r>
        <w:r>
          <w:instrText xml:space="preserve"> PAGEREF _Toc185515055 \h </w:instrText>
        </w:r>
        <w:r>
          <w:fldChar w:fldCharType="separate"/>
        </w:r>
        <w:r>
          <w:t>806</w:t>
        </w:r>
        <w:r>
          <w:fldChar w:fldCharType="end"/>
        </w:r>
      </w:hyperlink>
    </w:p>
    <w:p w14:paraId="270666E4" w14:textId="02CEEE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6" w:history="1">
        <w:r w:rsidRPr="00533B68">
          <w:t>5139</w:t>
        </w:r>
        <w:r>
          <w:rPr>
            <w:rFonts w:asciiTheme="minorHAnsi" w:eastAsiaTheme="minorEastAsia" w:hAnsiTheme="minorHAnsi" w:cstheme="minorBidi"/>
            <w:kern w:val="2"/>
            <w:sz w:val="24"/>
            <w:szCs w:val="24"/>
            <w:lang w:eastAsia="en-AU"/>
            <w14:ligatures w14:val="standardContextual"/>
          </w:rPr>
          <w:tab/>
        </w:r>
        <w:r w:rsidRPr="00533B68">
          <w:t>Appeals to Supreme Court—list of authorities, legislation and texts</w:t>
        </w:r>
        <w:r>
          <w:tab/>
        </w:r>
        <w:r>
          <w:fldChar w:fldCharType="begin"/>
        </w:r>
        <w:r>
          <w:instrText xml:space="preserve"> PAGEREF _Toc185515056 \h </w:instrText>
        </w:r>
        <w:r>
          <w:fldChar w:fldCharType="separate"/>
        </w:r>
        <w:r>
          <w:t>807</w:t>
        </w:r>
        <w:r>
          <w:fldChar w:fldCharType="end"/>
        </w:r>
      </w:hyperlink>
    </w:p>
    <w:p w14:paraId="3BA5FD03" w14:textId="5798F26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7" w:history="1">
        <w:r w:rsidRPr="00533B68">
          <w:t>5140</w:t>
        </w:r>
        <w:r>
          <w:rPr>
            <w:rFonts w:asciiTheme="minorHAnsi" w:eastAsiaTheme="minorEastAsia" w:hAnsiTheme="minorHAnsi" w:cstheme="minorBidi"/>
            <w:kern w:val="2"/>
            <w:sz w:val="24"/>
            <w:szCs w:val="24"/>
            <w:lang w:eastAsia="en-AU"/>
            <w14:ligatures w14:val="standardContextual"/>
          </w:rPr>
          <w:tab/>
        </w:r>
        <w:r w:rsidRPr="00533B68">
          <w:t>Appeals to Supreme Court—absence of party</w:t>
        </w:r>
        <w:r>
          <w:tab/>
        </w:r>
        <w:r>
          <w:fldChar w:fldCharType="begin"/>
        </w:r>
        <w:r>
          <w:instrText xml:space="preserve"> PAGEREF _Toc185515057 \h </w:instrText>
        </w:r>
        <w:r>
          <w:fldChar w:fldCharType="separate"/>
        </w:r>
        <w:r>
          <w:t>808</w:t>
        </w:r>
        <w:r>
          <w:fldChar w:fldCharType="end"/>
        </w:r>
      </w:hyperlink>
    </w:p>
    <w:p w14:paraId="69E8412A" w14:textId="2197A7D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58" w:history="1">
        <w:r w:rsidRPr="00533B68">
          <w:t>5141</w:t>
        </w:r>
        <w:r>
          <w:rPr>
            <w:rFonts w:asciiTheme="minorHAnsi" w:eastAsiaTheme="minorEastAsia" w:hAnsiTheme="minorHAnsi" w:cstheme="minorBidi"/>
            <w:kern w:val="2"/>
            <w:sz w:val="24"/>
            <w:szCs w:val="24"/>
            <w:lang w:eastAsia="en-AU"/>
            <w14:ligatures w14:val="standardContextual"/>
          </w:rPr>
          <w:tab/>
        </w:r>
        <w:r w:rsidRPr="00533B68">
          <w:t>Appeals to Supreme Court—insufficient material</w:t>
        </w:r>
        <w:r>
          <w:tab/>
        </w:r>
        <w:r>
          <w:fldChar w:fldCharType="begin"/>
        </w:r>
        <w:r>
          <w:instrText xml:space="preserve"> PAGEREF _Toc185515058 \h </w:instrText>
        </w:r>
        <w:r>
          <w:fldChar w:fldCharType="separate"/>
        </w:r>
        <w:r>
          <w:t>809</w:t>
        </w:r>
        <w:r>
          <w:fldChar w:fldCharType="end"/>
        </w:r>
      </w:hyperlink>
    </w:p>
    <w:p w14:paraId="0E18E9BD" w14:textId="7D904D3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59" w:history="1">
        <w:r w:rsidR="00AC5392" w:rsidRPr="00533B68">
          <w:t>Division 5.3.6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Supreme Court—ending all or part of appeal</w:t>
        </w:r>
        <w:r w:rsidR="00AC5392" w:rsidRPr="00AC5392">
          <w:rPr>
            <w:vanish/>
          </w:rPr>
          <w:tab/>
        </w:r>
        <w:r w:rsidR="00AC5392" w:rsidRPr="00AC5392">
          <w:rPr>
            <w:vanish/>
          </w:rPr>
          <w:fldChar w:fldCharType="begin"/>
        </w:r>
        <w:r w:rsidR="00AC5392" w:rsidRPr="00AC5392">
          <w:rPr>
            <w:vanish/>
          </w:rPr>
          <w:instrText xml:space="preserve"> PAGEREF _Toc185515059 \h </w:instrText>
        </w:r>
        <w:r w:rsidR="00AC5392" w:rsidRPr="00AC5392">
          <w:rPr>
            <w:vanish/>
          </w:rPr>
        </w:r>
        <w:r w:rsidR="00AC5392" w:rsidRPr="00AC5392">
          <w:rPr>
            <w:vanish/>
          </w:rPr>
          <w:fldChar w:fldCharType="separate"/>
        </w:r>
        <w:r w:rsidR="00AC5392" w:rsidRPr="00AC5392">
          <w:rPr>
            <w:vanish/>
          </w:rPr>
          <w:t>809</w:t>
        </w:r>
        <w:r w:rsidR="00AC5392" w:rsidRPr="00AC5392">
          <w:rPr>
            <w:vanish/>
          </w:rPr>
          <w:fldChar w:fldCharType="end"/>
        </w:r>
      </w:hyperlink>
    </w:p>
    <w:p w14:paraId="6CCBA657" w14:textId="520DE4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0" w:history="1">
        <w:r w:rsidRPr="00533B68">
          <w:t>5170</w:t>
        </w:r>
        <w:r>
          <w:rPr>
            <w:rFonts w:asciiTheme="minorHAnsi" w:eastAsiaTheme="minorEastAsia" w:hAnsiTheme="minorHAnsi" w:cstheme="minorBidi"/>
            <w:kern w:val="2"/>
            <w:sz w:val="24"/>
            <w:szCs w:val="24"/>
            <w:lang w:eastAsia="en-AU"/>
            <w14:ligatures w14:val="standardContextual"/>
          </w:rPr>
          <w:tab/>
        </w:r>
        <w:r w:rsidRPr="00533B68">
          <w:t>Appeals to Supreme Court—abandonment of ground of appeal</w:t>
        </w:r>
        <w:r>
          <w:tab/>
        </w:r>
        <w:r>
          <w:fldChar w:fldCharType="begin"/>
        </w:r>
        <w:r>
          <w:instrText xml:space="preserve"> PAGEREF _Toc185515060 \h </w:instrText>
        </w:r>
        <w:r>
          <w:fldChar w:fldCharType="separate"/>
        </w:r>
        <w:r>
          <w:t>809</w:t>
        </w:r>
        <w:r>
          <w:fldChar w:fldCharType="end"/>
        </w:r>
      </w:hyperlink>
    </w:p>
    <w:p w14:paraId="5BB937AA" w14:textId="79FD377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1" w:history="1">
        <w:r w:rsidRPr="00533B68">
          <w:t>5171</w:t>
        </w:r>
        <w:r>
          <w:rPr>
            <w:rFonts w:asciiTheme="minorHAnsi" w:eastAsiaTheme="minorEastAsia" w:hAnsiTheme="minorHAnsi" w:cstheme="minorBidi"/>
            <w:kern w:val="2"/>
            <w:sz w:val="24"/>
            <w:szCs w:val="24"/>
            <w:lang w:eastAsia="en-AU"/>
            <w14:ligatures w14:val="standardContextual"/>
          </w:rPr>
          <w:tab/>
        </w:r>
        <w:r w:rsidRPr="00533B68">
          <w:t>Appeals to Supreme Court—discontinuance of appeal</w:t>
        </w:r>
        <w:r>
          <w:tab/>
        </w:r>
        <w:r>
          <w:fldChar w:fldCharType="begin"/>
        </w:r>
        <w:r>
          <w:instrText xml:space="preserve"> PAGEREF _Toc185515061 \h </w:instrText>
        </w:r>
        <w:r>
          <w:fldChar w:fldCharType="separate"/>
        </w:r>
        <w:r>
          <w:t>810</w:t>
        </w:r>
        <w:r>
          <w:fldChar w:fldCharType="end"/>
        </w:r>
      </w:hyperlink>
    </w:p>
    <w:p w14:paraId="6B994980" w14:textId="0245BE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2" w:history="1">
        <w:r w:rsidRPr="00533B68">
          <w:t>5172</w:t>
        </w:r>
        <w:r>
          <w:rPr>
            <w:rFonts w:asciiTheme="minorHAnsi" w:eastAsiaTheme="minorEastAsia" w:hAnsiTheme="minorHAnsi" w:cstheme="minorBidi"/>
            <w:kern w:val="2"/>
            <w:sz w:val="24"/>
            <w:szCs w:val="24"/>
            <w:lang w:eastAsia="en-AU"/>
            <w14:ligatures w14:val="standardContextual"/>
          </w:rPr>
          <w:tab/>
        </w:r>
        <w:r w:rsidRPr="00533B68">
          <w:t>Appeals to Supreme Court—competency of appeal</w:t>
        </w:r>
        <w:r>
          <w:tab/>
        </w:r>
        <w:r>
          <w:fldChar w:fldCharType="begin"/>
        </w:r>
        <w:r>
          <w:instrText xml:space="preserve"> PAGEREF _Toc185515062 \h </w:instrText>
        </w:r>
        <w:r>
          <w:fldChar w:fldCharType="separate"/>
        </w:r>
        <w:r>
          <w:t>811</w:t>
        </w:r>
        <w:r>
          <w:fldChar w:fldCharType="end"/>
        </w:r>
      </w:hyperlink>
    </w:p>
    <w:p w14:paraId="72A59E0C" w14:textId="48BC42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3" w:history="1">
        <w:r w:rsidRPr="00533B68">
          <w:t>5173</w:t>
        </w:r>
        <w:r>
          <w:rPr>
            <w:rFonts w:asciiTheme="minorHAnsi" w:eastAsiaTheme="minorEastAsia" w:hAnsiTheme="minorHAnsi" w:cstheme="minorBidi"/>
            <w:kern w:val="2"/>
            <w:sz w:val="24"/>
            <w:szCs w:val="24"/>
            <w:lang w:eastAsia="en-AU"/>
            <w14:ligatures w14:val="standardContextual"/>
          </w:rPr>
          <w:tab/>
        </w:r>
        <w:r w:rsidRPr="00533B68">
          <w:t>Appeals to Supreme Court—costs for failure to apply for appeal to be struck out as incompetent</w:t>
        </w:r>
        <w:r>
          <w:tab/>
        </w:r>
        <w:r>
          <w:fldChar w:fldCharType="begin"/>
        </w:r>
        <w:r>
          <w:instrText xml:space="preserve"> PAGEREF _Toc185515063 \h </w:instrText>
        </w:r>
        <w:r>
          <w:fldChar w:fldCharType="separate"/>
        </w:r>
        <w:r>
          <w:t>812</w:t>
        </w:r>
        <w:r>
          <w:fldChar w:fldCharType="end"/>
        </w:r>
      </w:hyperlink>
    </w:p>
    <w:p w14:paraId="56AD1796" w14:textId="7947863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4" w:history="1">
        <w:r w:rsidRPr="00533B68">
          <w:t>5174</w:t>
        </w:r>
        <w:r>
          <w:rPr>
            <w:rFonts w:asciiTheme="minorHAnsi" w:eastAsiaTheme="minorEastAsia" w:hAnsiTheme="minorHAnsi" w:cstheme="minorBidi"/>
            <w:kern w:val="2"/>
            <w:sz w:val="24"/>
            <w:szCs w:val="24"/>
            <w:lang w:eastAsia="en-AU"/>
            <w14:ligatures w14:val="standardContextual"/>
          </w:rPr>
          <w:tab/>
        </w:r>
        <w:r w:rsidRPr="00533B68">
          <w:t>Appeals to Supreme Court—dismissal by consent</w:t>
        </w:r>
        <w:r>
          <w:tab/>
        </w:r>
        <w:r>
          <w:fldChar w:fldCharType="begin"/>
        </w:r>
        <w:r>
          <w:instrText xml:space="preserve"> PAGEREF _Toc185515064 \h </w:instrText>
        </w:r>
        <w:r>
          <w:fldChar w:fldCharType="separate"/>
        </w:r>
        <w:r>
          <w:t>812</w:t>
        </w:r>
        <w:r>
          <w:fldChar w:fldCharType="end"/>
        </w:r>
      </w:hyperlink>
    </w:p>
    <w:p w14:paraId="496EBE9E" w14:textId="47F5F1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5" w:history="1">
        <w:r w:rsidRPr="00533B68">
          <w:t>5175</w:t>
        </w:r>
        <w:r>
          <w:rPr>
            <w:rFonts w:asciiTheme="minorHAnsi" w:eastAsiaTheme="minorEastAsia" w:hAnsiTheme="minorHAnsi" w:cstheme="minorBidi"/>
            <w:kern w:val="2"/>
            <w:sz w:val="24"/>
            <w:szCs w:val="24"/>
            <w:lang w:eastAsia="en-AU"/>
            <w14:ligatures w14:val="standardContextual"/>
          </w:rPr>
          <w:tab/>
        </w:r>
        <w:r w:rsidRPr="00533B68">
          <w:t>Appeals to Supreme Court—consent orders</w:t>
        </w:r>
        <w:r>
          <w:tab/>
        </w:r>
        <w:r>
          <w:fldChar w:fldCharType="begin"/>
        </w:r>
        <w:r>
          <w:instrText xml:space="preserve"> PAGEREF _Toc185515065 \h </w:instrText>
        </w:r>
        <w:r>
          <w:fldChar w:fldCharType="separate"/>
        </w:r>
        <w:r>
          <w:t>813</w:t>
        </w:r>
        <w:r>
          <w:fldChar w:fldCharType="end"/>
        </w:r>
      </w:hyperlink>
    </w:p>
    <w:p w14:paraId="3893872B" w14:textId="46D0B7A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66" w:history="1">
        <w:r w:rsidR="00AC5392" w:rsidRPr="00533B68">
          <w:t>Division 5.3.7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Supreme Court—miscellaneous</w:t>
        </w:r>
        <w:r w:rsidR="00AC5392" w:rsidRPr="00AC5392">
          <w:rPr>
            <w:vanish/>
          </w:rPr>
          <w:tab/>
        </w:r>
        <w:r w:rsidR="00AC5392" w:rsidRPr="00AC5392">
          <w:rPr>
            <w:vanish/>
          </w:rPr>
          <w:fldChar w:fldCharType="begin"/>
        </w:r>
        <w:r w:rsidR="00AC5392" w:rsidRPr="00AC5392">
          <w:rPr>
            <w:vanish/>
          </w:rPr>
          <w:instrText xml:space="preserve"> PAGEREF _Toc185515066 \h </w:instrText>
        </w:r>
        <w:r w:rsidR="00AC5392" w:rsidRPr="00AC5392">
          <w:rPr>
            <w:vanish/>
          </w:rPr>
        </w:r>
        <w:r w:rsidR="00AC5392" w:rsidRPr="00AC5392">
          <w:rPr>
            <w:vanish/>
          </w:rPr>
          <w:fldChar w:fldCharType="separate"/>
        </w:r>
        <w:r w:rsidR="00AC5392" w:rsidRPr="00AC5392">
          <w:rPr>
            <w:vanish/>
          </w:rPr>
          <w:t>813</w:t>
        </w:r>
        <w:r w:rsidR="00AC5392" w:rsidRPr="00AC5392">
          <w:rPr>
            <w:vanish/>
          </w:rPr>
          <w:fldChar w:fldCharType="end"/>
        </w:r>
      </w:hyperlink>
    </w:p>
    <w:p w14:paraId="0EB55950" w14:textId="4137360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7" w:history="1">
        <w:r w:rsidRPr="00533B68">
          <w:t>5190</w:t>
        </w:r>
        <w:r>
          <w:rPr>
            <w:rFonts w:asciiTheme="minorHAnsi" w:eastAsiaTheme="minorEastAsia" w:hAnsiTheme="minorHAnsi" w:cstheme="minorBidi"/>
            <w:kern w:val="2"/>
            <w:sz w:val="24"/>
            <w:szCs w:val="24"/>
            <w:lang w:eastAsia="en-AU"/>
            <w14:ligatures w14:val="standardContextual"/>
          </w:rPr>
          <w:tab/>
        </w:r>
        <w:r w:rsidRPr="00533B68">
          <w:t>Appeals to Supreme Court—directions about appeal etc</w:t>
        </w:r>
        <w:r>
          <w:tab/>
        </w:r>
        <w:r>
          <w:fldChar w:fldCharType="begin"/>
        </w:r>
        <w:r>
          <w:instrText xml:space="preserve"> PAGEREF _Toc185515067 \h </w:instrText>
        </w:r>
        <w:r>
          <w:fldChar w:fldCharType="separate"/>
        </w:r>
        <w:r>
          <w:t>813</w:t>
        </w:r>
        <w:r>
          <w:fldChar w:fldCharType="end"/>
        </w:r>
      </w:hyperlink>
    </w:p>
    <w:p w14:paraId="5E2FF9A0" w14:textId="7E2135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8" w:history="1">
        <w:r w:rsidRPr="00533B68">
          <w:t>5191</w:t>
        </w:r>
        <w:r>
          <w:rPr>
            <w:rFonts w:asciiTheme="minorHAnsi" w:eastAsiaTheme="minorEastAsia" w:hAnsiTheme="minorHAnsi" w:cstheme="minorBidi"/>
            <w:kern w:val="2"/>
            <w:sz w:val="24"/>
            <w:szCs w:val="24"/>
            <w:lang w:eastAsia="en-AU"/>
            <w14:ligatures w14:val="standardContextual"/>
          </w:rPr>
          <w:tab/>
        </w:r>
        <w:r w:rsidRPr="00533B68">
          <w:t>Appeals to Supreme Court—want of prosecution of appeal</w:t>
        </w:r>
        <w:r>
          <w:tab/>
        </w:r>
        <w:r>
          <w:fldChar w:fldCharType="begin"/>
        </w:r>
        <w:r>
          <w:instrText xml:space="preserve"> PAGEREF _Toc185515068 \h </w:instrText>
        </w:r>
        <w:r>
          <w:fldChar w:fldCharType="separate"/>
        </w:r>
        <w:r>
          <w:t>814</w:t>
        </w:r>
        <w:r>
          <w:fldChar w:fldCharType="end"/>
        </w:r>
      </w:hyperlink>
    </w:p>
    <w:p w14:paraId="7188455D" w14:textId="5B1763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69" w:history="1">
        <w:r w:rsidRPr="00533B68">
          <w:t>5192</w:t>
        </w:r>
        <w:r>
          <w:rPr>
            <w:rFonts w:asciiTheme="minorHAnsi" w:eastAsiaTheme="minorEastAsia" w:hAnsiTheme="minorHAnsi" w:cstheme="minorBidi"/>
            <w:kern w:val="2"/>
            <w:sz w:val="24"/>
            <w:szCs w:val="24"/>
            <w:lang w:eastAsia="en-AU"/>
            <w14:ligatures w14:val="standardContextual"/>
          </w:rPr>
          <w:tab/>
        </w:r>
        <w:r w:rsidRPr="00533B68">
          <w:t>Appeals to Supreme Court—matter happening in court or tribunal appealed from</w:t>
        </w:r>
        <w:r>
          <w:tab/>
        </w:r>
        <w:r>
          <w:fldChar w:fldCharType="begin"/>
        </w:r>
        <w:r>
          <w:instrText xml:space="preserve"> PAGEREF _Toc185515069 \h </w:instrText>
        </w:r>
        <w:r>
          <w:fldChar w:fldCharType="separate"/>
        </w:r>
        <w:r>
          <w:t>816</w:t>
        </w:r>
        <w:r>
          <w:fldChar w:fldCharType="end"/>
        </w:r>
      </w:hyperlink>
    </w:p>
    <w:p w14:paraId="13DA039D" w14:textId="2B43EB1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70" w:history="1">
        <w:r w:rsidRPr="00533B68">
          <w:t>5193</w:t>
        </w:r>
        <w:r>
          <w:rPr>
            <w:rFonts w:asciiTheme="minorHAnsi" w:eastAsiaTheme="minorEastAsia" w:hAnsiTheme="minorHAnsi" w:cstheme="minorBidi"/>
            <w:kern w:val="2"/>
            <w:sz w:val="24"/>
            <w:szCs w:val="24"/>
            <w:lang w:eastAsia="en-AU"/>
            <w14:ligatures w14:val="standardContextual"/>
          </w:rPr>
          <w:tab/>
        </w:r>
        <w:r w:rsidRPr="00533B68">
          <w:t>Further evidence on appeal to Supreme Court—</w:t>
        </w:r>
        <w:r w:rsidRPr="00533B68">
          <w:rPr>
            <w:rFonts w:cs="Arial"/>
          </w:rPr>
          <w:t>Magistrates Court Act 1930</w:t>
        </w:r>
        <w:r w:rsidRPr="00533B68">
          <w:t>, s 214</w:t>
        </w:r>
        <w:r>
          <w:tab/>
        </w:r>
        <w:r>
          <w:fldChar w:fldCharType="begin"/>
        </w:r>
        <w:r>
          <w:instrText xml:space="preserve"> PAGEREF _Toc185515070 \h </w:instrText>
        </w:r>
        <w:r>
          <w:fldChar w:fldCharType="separate"/>
        </w:r>
        <w:r>
          <w:t>816</w:t>
        </w:r>
        <w:r>
          <w:fldChar w:fldCharType="end"/>
        </w:r>
      </w:hyperlink>
    </w:p>
    <w:p w14:paraId="2DC95735" w14:textId="679ED15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71" w:history="1">
        <w:r w:rsidRPr="00533B68">
          <w:t>5194</w:t>
        </w:r>
        <w:r>
          <w:rPr>
            <w:rFonts w:asciiTheme="minorHAnsi" w:eastAsiaTheme="minorEastAsia" w:hAnsiTheme="minorHAnsi" w:cstheme="minorBidi"/>
            <w:kern w:val="2"/>
            <w:sz w:val="24"/>
            <w:szCs w:val="24"/>
            <w:lang w:eastAsia="en-AU"/>
            <w14:ligatures w14:val="standardContextual"/>
          </w:rPr>
          <w:tab/>
        </w:r>
        <w:r w:rsidRPr="00533B68">
          <w:t>Appeals to Supreme Court—keeping exhibits</w:t>
        </w:r>
        <w:r>
          <w:tab/>
        </w:r>
        <w:r>
          <w:fldChar w:fldCharType="begin"/>
        </w:r>
        <w:r>
          <w:instrText xml:space="preserve"> PAGEREF _Toc185515071 \h </w:instrText>
        </w:r>
        <w:r>
          <w:fldChar w:fldCharType="separate"/>
        </w:r>
        <w:r>
          <w:t>817</w:t>
        </w:r>
        <w:r>
          <w:fldChar w:fldCharType="end"/>
        </w:r>
      </w:hyperlink>
    </w:p>
    <w:p w14:paraId="2023566F" w14:textId="2C0E982F"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072" w:history="1">
        <w:r w:rsidR="00AC5392" w:rsidRPr="00533B68">
          <w:t>Part 5.4</w:t>
        </w:r>
        <w:r w:rsidR="00AC5392">
          <w:rPr>
            <w:rFonts w:asciiTheme="minorHAnsi" w:eastAsiaTheme="minorEastAsia" w:hAnsiTheme="minorHAnsi" w:cstheme="minorBidi"/>
            <w:b w:val="0"/>
            <w:kern w:val="2"/>
            <w:szCs w:val="24"/>
            <w:lang w:eastAsia="en-AU"/>
            <w14:ligatures w14:val="standardContextual"/>
          </w:rPr>
          <w:tab/>
        </w:r>
        <w:r w:rsidR="00AC5392" w:rsidRPr="00533B68">
          <w:t>Appeals to Court of Appeal</w:t>
        </w:r>
        <w:r w:rsidR="00AC5392" w:rsidRPr="00AC5392">
          <w:rPr>
            <w:vanish/>
          </w:rPr>
          <w:tab/>
        </w:r>
        <w:r w:rsidR="00AC5392" w:rsidRPr="00AC5392">
          <w:rPr>
            <w:vanish/>
          </w:rPr>
          <w:fldChar w:fldCharType="begin"/>
        </w:r>
        <w:r w:rsidR="00AC5392" w:rsidRPr="00AC5392">
          <w:rPr>
            <w:vanish/>
          </w:rPr>
          <w:instrText xml:space="preserve"> PAGEREF _Toc185515072 \h </w:instrText>
        </w:r>
        <w:r w:rsidR="00AC5392" w:rsidRPr="00AC5392">
          <w:rPr>
            <w:vanish/>
          </w:rPr>
        </w:r>
        <w:r w:rsidR="00AC5392" w:rsidRPr="00AC5392">
          <w:rPr>
            <w:vanish/>
          </w:rPr>
          <w:fldChar w:fldCharType="separate"/>
        </w:r>
        <w:r w:rsidR="00AC5392" w:rsidRPr="00AC5392">
          <w:rPr>
            <w:vanish/>
          </w:rPr>
          <w:t>818</w:t>
        </w:r>
        <w:r w:rsidR="00AC5392" w:rsidRPr="00AC5392">
          <w:rPr>
            <w:vanish/>
          </w:rPr>
          <w:fldChar w:fldCharType="end"/>
        </w:r>
      </w:hyperlink>
    </w:p>
    <w:p w14:paraId="06B7B36C" w14:textId="1A4F71A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73" w:history="1">
        <w:r w:rsidR="00AC5392" w:rsidRPr="00533B68">
          <w:t>Division 5.4.1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Appeal—preliminary</w:t>
        </w:r>
        <w:r w:rsidR="00AC5392" w:rsidRPr="00AC5392">
          <w:rPr>
            <w:vanish/>
          </w:rPr>
          <w:tab/>
        </w:r>
        <w:r w:rsidR="00AC5392" w:rsidRPr="00AC5392">
          <w:rPr>
            <w:vanish/>
          </w:rPr>
          <w:fldChar w:fldCharType="begin"/>
        </w:r>
        <w:r w:rsidR="00AC5392" w:rsidRPr="00AC5392">
          <w:rPr>
            <w:vanish/>
          </w:rPr>
          <w:instrText xml:space="preserve"> PAGEREF _Toc185515073 \h </w:instrText>
        </w:r>
        <w:r w:rsidR="00AC5392" w:rsidRPr="00AC5392">
          <w:rPr>
            <w:vanish/>
          </w:rPr>
        </w:r>
        <w:r w:rsidR="00AC5392" w:rsidRPr="00AC5392">
          <w:rPr>
            <w:vanish/>
          </w:rPr>
          <w:fldChar w:fldCharType="separate"/>
        </w:r>
        <w:r w:rsidR="00AC5392" w:rsidRPr="00AC5392">
          <w:rPr>
            <w:vanish/>
          </w:rPr>
          <w:t>818</w:t>
        </w:r>
        <w:r w:rsidR="00AC5392" w:rsidRPr="00AC5392">
          <w:rPr>
            <w:vanish/>
          </w:rPr>
          <w:fldChar w:fldCharType="end"/>
        </w:r>
      </w:hyperlink>
    </w:p>
    <w:p w14:paraId="506AFA91" w14:textId="52D18D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74" w:history="1">
        <w:r w:rsidRPr="00533B68">
          <w:t>5300A</w:t>
        </w:r>
        <w:r>
          <w:rPr>
            <w:rFonts w:asciiTheme="minorHAnsi" w:eastAsiaTheme="minorEastAsia" w:hAnsiTheme="minorHAnsi" w:cstheme="minorBidi"/>
            <w:kern w:val="2"/>
            <w:sz w:val="24"/>
            <w:szCs w:val="24"/>
            <w:lang w:eastAsia="en-AU"/>
            <w14:ligatures w14:val="standardContextual"/>
          </w:rPr>
          <w:tab/>
        </w:r>
        <w:r w:rsidRPr="00533B68">
          <w:t>Definitions—pt 5.4</w:t>
        </w:r>
        <w:r>
          <w:tab/>
        </w:r>
        <w:r>
          <w:fldChar w:fldCharType="begin"/>
        </w:r>
        <w:r>
          <w:instrText xml:space="preserve"> PAGEREF _Toc185515074 \h </w:instrText>
        </w:r>
        <w:r>
          <w:fldChar w:fldCharType="separate"/>
        </w:r>
        <w:r>
          <w:t>818</w:t>
        </w:r>
        <w:r>
          <w:fldChar w:fldCharType="end"/>
        </w:r>
      </w:hyperlink>
    </w:p>
    <w:p w14:paraId="331B7FB1" w14:textId="4C1B6B7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75" w:history="1">
        <w:r w:rsidRPr="00533B68">
          <w:t>5300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court</w:t>
        </w:r>
        <w:r w:rsidRPr="00533B68">
          <w:t>—pt 5.4</w:t>
        </w:r>
        <w:r>
          <w:tab/>
        </w:r>
        <w:r>
          <w:fldChar w:fldCharType="begin"/>
        </w:r>
        <w:r>
          <w:instrText xml:space="preserve"> PAGEREF _Toc185515075 \h </w:instrText>
        </w:r>
        <w:r>
          <w:fldChar w:fldCharType="separate"/>
        </w:r>
        <w:r>
          <w:t>818</w:t>
        </w:r>
        <w:r>
          <w:fldChar w:fldCharType="end"/>
        </w:r>
      </w:hyperlink>
    </w:p>
    <w:p w14:paraId="40FE7C2C" w14:textId="52F71A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76" w:history="1">
        <w:r w:rsidRPr="00533B68">
          <w:t>5301</w:t>
        </w:r>
        <w:r>
          <w:rPr>
            <w:rFonts w:asciiTheme="minorHAnsi" w:eastAsiaTheme="minorEastAsia" w:hAnsiTheme="minorHAnsi" w:cstheme="minorBidi"/>
            <w:kern w:val="2"/>
            <w:sz w:val="24"/>
            <w:szCs w:val="24"/>
            <w:lang w:eastAsia="en-AU"/>
            <w14:ligatures w14:val="standardContextual"/>
          </w:rPr>
          <w:tab/>
        </w:r>
        <w:r w:rsidRPr="00533B68">
          <w:t>Appeals to Court of Appeal—stay and reinstatement</w:t>
        </w:r>
        <w:r>
          <w:tab/>
        </w:r>
        <w:r>
          <w:fldChar w:fldCharType="begin"/>
        </w:r>
        <w:r>
          <w:instrText xml:space="preserve"> PAGEREF _Toc185515076 \h </w:instrText>
        </w:r>
        <w:r>
          <w:fldChar w:fldCharType="separate"/>
        </w:r>
        <w:r>
          <w:t>818</w:t>
        </w:r>
        <w:r>
          <w:fldChar w:fldCharType="end"/>
        </w:r>
      </w:hyperlink>
    </w:p>
    <w:p w14:paraId="7DEE79C6" w14:textId="6CCB67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77" w:history="1">
        <w:r w:rsidRPr="00533B68">
          <w:t>5302</w:t>
        </w:r>
        <w:r>
          <w:rPr>
            <w:rFonts w:asciiTheme="minorHAnsi" w:eastAsiaTheme="minorEastAsia" w:hAnsiTheme="minorHAnsi" w:cstheme="minorBidi"/>
            <w:kern w:val="2"/>
            <w:sz w:val="24"/>
            <w:szCs w:val="24"/>
            <w:lang w:eastAsia="en-AU"/>
            <w14:ligatures w14:val="standardContextual"/>
          </w:rPr>
          <w:tab/>
        </w:r>
        <w:r w:rsidRPr="00533B68">
          <w:t>Appeals to Court of Appeal—security for costs</w:t>
        </w:r>
        <w:r>
          <w:tab/>
        </w:r>
        <w:r>
          <w:fldChar w:fldCharType="begin"/>
        </w:r>
        <w:r>
          <w:instrText xml:space="preserve"> PAGEREF _Toc185515077 \h </w:instrText>
        </w:r>
        <w:r>
          <w:fldChar w:fldCharType="separate"/>
        </w:r>
        <w:r>
          <w:t>820</w:t>
        </w:r>
        <w:r>
          <w:fldChar w:fldCharType="end"/>
        </w:r>
      </w:hyperlink>
    </w:p>
    <w:p w14:paraId="40C2A04F" w14:textId="5723A33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78" w:history="1">
        <w:r w:rsidR="00AC5392" w:rsidRPr="00533B68">
          <w:t>Division 5.4.2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Appeal—leave to appeal from interlocutory orders</w:t>
        </w:r>
        <w:r w:rsidR="00AC5392" w:rsidRPr="00AC5392">
          <w:rPr>
            <w:vanish/>
          </w:rPr>
          <w:tab/>
        </w:r>
        <w:r w:rsidR="00AC5392" w:rsidRPr="00AC5392">
          <w:rPr>
            <w:vanish/>
          </w:rPr>
          <w:fldChar w:fldCharType="begin"/>
        </w:r>
        <w:r w:rsidR="00AC5392" w:rsidRPr="00AC5392">
          <w:rPr>
            <w:vanish/>
          </w:rPr>
          <w:instrText xml:space="preserve"> PAGEREF _Toc185515078 \h </w:instrText>
        </w:r>
        <w:r w:rsidR="00AC5392" w:rsidRPr="00AC5392">
          <w:rPr>
            <w:vanish/>
          </w:rPr>
        </w:r>
        <w:r w:rsidR="00AC5392" w:rsidRPr="00AC5392">
          <w:rPr>
            <w:vanish/>
          </w:rPr>
          <w:fldChar w:fldCharType="separate"/>
        </w:r>
        <w:r w:rsidR="00AC5392" w:rsidRPr="00AC5392">
          <w:rPr>
            <w:vanish/>
          </w:rPr>
          <w:t>820</w:t>
        </w:r>
        <w:r w:rsidR="00AC5392" w:rsidRPr="00AC5392">
          <w:rPr>
            <w:vanish/>
          </w:rPr>
          <w:fldChar w:fldCharType="end"/>
        </w:r>
      </w:hyperlink>
    </w:p>
    <w:p w14:paraId="058CC873" w14:textId="524831A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79" w:history="1">
        <w:r w:rsidRPr="00533B68">
          <w:t>5310</w:t>
        </w:r>
        <w:r>
          <w:rPr>
            <w:rFonts w:asciiTheme="minorHAnsi" w:eastAsiaTheme="minorEastAsia" w:hAnsiTheme="minorHAnsi" w:cstheme="minorBidi"/>
            <w:kern w:val="2"/>
            <w:sz w:val="24"/>
            <w:szCs w:val="24"/>
            <w:lang w:eastAsia="en-AU"/>
            <w14:ligatures w14:val="standardContextual"/>
          </w:rPr>
          <w:tab/>
        </w:r>
        <w:r w:rsidRPr="00533B68">
          <w:t>Application—div 5.4.2</w:t>
        </w:r>
        <w:r>
          <w:tab/>
        </w:r>
        <w:r>
          <w:fldChar w:fldCharType="begin"/>
        </w:r>
        <w:r>
          <w:instrText xml:space="preserve"> PAGEREF _Toc185515079 \h </w:instrText>
        </w:r>
        <w:r>
          <w:fldChar w:fldCharType="separate"/>
        </w:r>
        <w:r>
          <w:t>820</w:t>
        </w:r>
        <w:r>
          <w:fldChar w:fldCharType="end"/>
        </w:r>
      </w:hyperlink>
    </w:p>
    <w:p w14:paraId="04F29DC7" w14:textId="36A66ED3"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080" w:history="1">
        <w:r w:rsidRPr="00533B68">
          <w:t>5311</w:t>
        </w:r>
        <w:r>
          <w:rPr>
            <w:rFonts w:asciiTheme="minorHAnsi" w:eastAsiaTheme="minorEastAsia" w:hAnsiTheme="minorHAnsi" w:cstheme="minorBidi"/>
            <w:kern w:val="2"/>
            <w:sz w:val="24"/>
            <w:szCs w:val="24"/>
            <w:lang w:eastAsia="en-AU"/>
            <w14:ligatures w14:val="standardContextual"/>
          </w:rPr>
          <w:tab/>
        </w:r>
        <w:r w:rsidRPr="00533B68">
          <w:t>Appeals to Court of Appeal—application for leave to appeal</w:t>
        </w:r>
        <w:r>
          <w:tab/>
        </w:r>
        <w:r>
          <w:fldChar w:fldCharType="begin"/>
        </w:r>
        <w:r>
          <w:instrText xml:space="preserve"> PAGEREF _Toc185515080 \h </w:instrText>
        </w:r>
        <w:r>
          <w:fldChar w:fldCharType="separate"/>
        </w:r>
        <w:r>
          <w:t>820</w:t>
        </w:r>
        <w:r>
          <w:fldChar w:fldCharType="end"/>
        </w:r>
      </w:hyperlink>
    </w:p>
    <w:p w14:paraId="6A9B7F08" w14:textId="29F658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1" w:history="1">
        <w:r w:rsidRPr="00533B68">
          <w:t>5312</w:t>
        </w:r>
        <w:r>
          <w:rPr>
            <w:rFonts w:asciiTheme="minorHAnsi" w:eastAsiaTheme="minorEastAsia" w:hAnsiTheme="minorHAnsi" w:cstheme="minorBidi"/>
            <w:kern w:val="2"/>
            <w:sz w:val="24"/>
            <w:szCs w:val="24"/>
            <w:lang w:eastAsia="en-AU"/>
            <w14:ligatures w14:val="standardContextual"/>
          </w:rPr>
          <w:tab/>
        </w:r>
        <w:r w:rsidRPr="00533B68">
          <w:t>Appeals to Court of Appeal—time for filing application for leave to appeal</w:t>
        </w:r>
        <w:r>
          <w:tab/>
        </w:r>
        <w:r>
          <w:fldChar w:fldCharType="begin"/>
        </w:r>
        <w:r>
          <w:instrText xml:space="preserve"> PAGEREF _Toc185515081 \h </w:instrText>
        </w:r>
        <w:r>
          <w:fldChar w:fldCharType="separate"/>
        </w:r>
        <w:r>
          <w:t>821</w:t>
        </w:r>
        <w:r>
          <w:fldChar w:fldCharType="end"/>
        </w:r>
      </w:hyperlink>
    </w:p>
    <w:p w14:paraId="6A654865" w14:textId="6AA3EFD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2" w:history="1">
        <w:r w:rsidRPr="00533B68">
          <w:t>5313</w:t>
        </w:r>
        <w:r>
          <w:rPr>
            <w:rFonts w:asciiTheme="minorHAnsi" w:eastAsiaTheme="minorEastAsia" w:hAnsiTheme="minorHAnsi" w:cstheme="minorBidi"/>
            <w:kern w:val="2"/>
            <w:sz w:val="24"/>
            <w:szCs w:val="24"/>
            <w:lang w:eastAsia="en-AU"/>
            <w14:ligatures w14:val="standardContextual"/>
          </w:rPr>
          <w:tab/>
        </w:r>
        <w:r w:rsidRPr="00533B68">
          <w:t>Appeals to Court of Appeal—application for leave to appeal to be sealed</w:t>
        </w:r>
        <w:r>
          <w:tab/>
        </w:r>
        <w:r>
          <w:fldChar w:fldCharType="begin"/>
        </w:r>
        <w:r>
          <w:instrText xml:space="preserve"> PAGEREF _Toc185515082 \h </w:instrText>
        </w:r>
        <w:r>
          <w:fldChar w:fldCharType="separate"/>
        </w:r>
        <w:r>
          <w:t>821</w:t>
        </w:r>
        <w:r>
          <w:fldChar w:fldCharType="end"/>
        </w:r>
      </w:hyperlink>
    </w:p>
    <w:p w14:paraId="4A973983" w14:textId="2E357A4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3" w:history="1">
        <w:r w:rsidRPr="00533B68">
          <w:t>5314</w:t>
        </w:r>
        <w:r>
          <w:rPr>
            <w:rFonts w:asciiTheme="minorHAnsi" w:eastAsiaTheme="minorEastAsia" w:hAnsiTheme="minorHAnsi" w:cstheme="minorBidi"/>
            <w:kern w:val="2"/>
            <w:sz w:val="24"/>
            <w:szCs w:val="24"/>
            <w:lang w:eastAsia="en-AU"/>
            <w14:ligatures w14:val="standardContextual"/>
          </w:rPr>
          <w:tab/>
        </w:r>
        <w:r w:rsidRPr="00533B68">
          <w:t>Appeals to Court of Appeal—serving application for leave to appeal</w:t>
        </w:r>
        <w:r>
          <w:tab/>
        </w:r>
        <w:r>
          <w:fldChar w:fldCharType="begin"/>
        </w:r>
        <w:r>
          <w:instrText xml:space="preserve"> PAGEREF _Toc185515083 \h </w:instrText>
        </w:r>
        <w:r>
          <w:fldChar w:fldCharType="separate"/>
        </w:r>
        <w:r>
          <w:t>821</w:t>
        </w:r>
        <w:r>
          <w:fldChar w:fldCharType="end"/>
        </w:r>
      </w:hyperlink>
    </w:p>
    <w:p w14:paraId="268622DE" w14:textId="54A0C7D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4" w:history="1">
        <w:r w:rsidRPr="00533B68">
          <w:t>5315</w:t>
        </w:r>
        <w:r>
          <w:rPr>
            <w:rFonts w:asciiTheme="minorHAnsi" w:eastAsiaTheme="minorEastAsia" w:hAnsiTheme="minorHAnsi" w:cstheme="minorBidi"/>
            <w:kern w:val="2"/>
            <w:sz w:val="24"/>
            <w:szCs w:val="24"/>
            <w:lang w:eastAsia="en-AU"/>
            <w14:ligatures w14:val="standardContextual"/>
          </w:rPr>
          <w:tab/>
        </w:r>
        <w:r w:rsidRPr="00533B68">
          <w:t>Appeals to Court of Appeal—response to application for leave to appeal</w:t>
        </w:r>
        <w:r>
          <w:tab/>
        </w:r>
        <w:r>
          <w:fldChar w:fldCharType="begin"/>
        </w:r>
        <w:r>
          <w:instrText xml:space="preserve"> PAGEREF _Toc185515084 \h </w:instrText>
        </w:r>
        <w:r>
          <w:fldChar w:fldCharType="separate"/>
        </w:r>
        <w:r>
          <w:t>822</w:t>
        </w:r>
        <w:r>
          <w:fldChar w:fldCharType="end"/>
        </w:r>
      </w:hyperlink>
    </w:p>
    <w:p w14:paraId="02F4750B" w14:textId="1BB3F9D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85" w:history="1">
        <w:r w:rsidR="00AC5392" w:rsidRPr="00533B68">
          <w:t>Division 5.4.3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Appeal—leave to appeal out of time from final judgments</w:t>
        </w:r>
        <w:r w:rsidR="00AC5392" w:rsidRPr="00AC5392">
          <w:rPr>
            <w:vanish/>
          </w:rPr>
          <w:tab/>
        </w:r>
        <w:r w:rsidR="00AC5392" w:rsidRPr="00AC5392">
          <w:rPr>
            <w:vanish/>
          </w:rPr>
          <w:fldChar w:fldCharType="begin"/>
        </w:r>
        <w:r w:rsidR="00AC5392" w:rsidRPr="00AC5392">
          <w:rPr>
            <w:vanish/>
          </w:rPr>
          <w:instrText xml:space="preserve"> PAGEREF _Toc185515085 \h </w:instrText>
        </w:r>
        <w:r w:rsidR="00AC5392" w:rsidRPr="00AC5392">
          <w:rPr>
            <w:vanish/>
          </w:rPr>
        </w:r>
        <w:r w:rsidR="00AC5392" w:rsidRPr="00AC5392">
          <w:rPr>
            <w:vanish/>
          </w:rPr>
          <w:fldChar w:fldCharType="separate"/>
        </w:r>
        <w:r w:rsidR="00AC5392" w:rsidRPr="00AC5392">
          <w:rPr>
            <w:vanish/>
          </w:rPr>
          <w:t>823</w:t>
        </w:r>
        <w:r w:rsidR="00AC5392" w:rsidRPr="00AC5392">
          <w:rPr>
            <w:vanish/>
          </w:rPr>
          <w:fldChar w:fldCharType="end"/>
        </w:r>
      </w:hyperlink>
    </w:p>
    <w:p w14:paraId="773AEB07" w14:textId="371F58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6" w:history="1">
        <w:r w:rsidRPr="00533B68">
          <w:t>5330</w:t>
        </w:r>
        <w:r>
          <w:rPr>
            <w:rFonts w:asciiTheme="minorHAnsi" w:eastAsiaTheme="minorEastAsia" w:hAnsiTheme="minorHAnsi" w:cstheme="minorBidi"/>
            <w:kern w:val="2"/>
            <w:sz w:val="24"/>
            <w:szCs w:val="24"/>
            <w:lang w:eastAsia="en-AU"/>
            <w14:ligatures w14:val="standardContextual"/>
          </w:rPr>
          <w:tab/>
        </w:r>
        <w:r w:rsidRPr="00533B68">
          <w:t>Definitions—div 5.4.3</w:t>
        </w:r>
        <w:r>
          <w:tab/>
        </w:r>
        <w:r>
          <w:fldChar w:fldCharType="begin"/>
        </w:r>
        <w:r>
          <w:instrText xml:space="preserve"> PAGEREF _Toc185515086 \h </w:instrText>
        </w:r>
        <w:r>
          <w:fldChar w:fldCharType="separate"/>
        </w:r>
        <w:r>
          <w:t>823</w:t>
        </w:r>
        <w:r>
          <w:fldChar w:fldCharType="end"/>
        </w:r>
      </w:hyperlink>
    </w:p>
    <w:p w14:paraId="2A57690D" w14:textId="48A5287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7" w:history="1">
        <w:r w:rsidRPr="00533B68">
          <w:t>5331</w:t>
        </w:r>
        <w:r>
          <w:rPr>
            <w:rFonts w:asciiTheme="minorHAnsi" w:eastAsiaTheme="minorEastAsia" w:hAnsiTheme="minorHAnsi" w:cstheme="minorBidi"/>
            <w:kern w:val="2"/>
            <w:sz w:val="24"/>
            <w:szCs w:val="24"/>
            <w:lang w:eastAsia="en-AU"/>
            <w14:ligatures w14:val="standardContextual"/>
          </w:rPr>
          <w:tab/>
        </w:r>
        <w:r w:rsidRPr="00533B68">
          <w:t>Application—div 5.4.3</w:t>
        </w:r>
        <w:r>
          <w:tab/>
        </w:r>
        <w:r>
          <w:fldChar w:fldCharType="begin"/>
        </w:r>
        <w:r>
          <w:instrText xml:space="preserve"> PAGEREF _Toc185515087 \h </w:instrText>
        </w:r>
        <w:r>
          <w:fldChar w:fldCharType="separate"/>
        </w:r>
        <w:r>
          <w:t>823</w:t>
        </w:r>
        <w:r>
          <w:fldChar w:fldCharType="end"/>
        </w:r>
      </w:hyperlink>
    </w:p>
    <w:p w14:paraId="7665EBB7" w14:textId="030D44A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8" w:history="1">
        <w:r w:rsidRPr="00533B68">
          <w:t>5332</w:t>
        </w:r>
        <w:r>
          <w:rPr>
            <w:rFonts w:asciiTheme="minorHAnsi" w:eastAsiaTheme="minorEastAsia" w:hAnsiTheme="minorHAnsi" w:cstheme="minorBidi"/>
            <w:kern w:val="2"/>
            <w:sz w:val="24"/>
            <w:szCs w:val="24"/>
            <w:lang w:eastAsia="en-AU"/>
            <w14:ligatures w14:val="standardContextual"/>
          </w:rPr>
          <w:tab/>
        </w:r>
        <w:r w:rsidRPr="00533B68">
          <w:t>Appeals to Court of Appeal—application for leave to appeal out of time</w:t>
        </w:r>
        <w:r>
          <w:tab/>
        </w:r>
        <w:r>
          <w:fldChar w:fldCharType="begin"/>
        </w:r>
        <w:r>
          <w:instrText xml:space="preserve"> PAGEREF _Toc185515088 \h </w:instrText>
        </w:r>
        <w:r>
          <w:fldChar w:fldCharType="separate"/>
        </w:r>
        <w:r>
          <w:t>824</w:t>
        </w:r>
        <w:r>
          <w:fldChar w:fldCharType="end"/>
        </w:r>
      </w:hyperlink>
    </w:p>
    <w:p w14:paraId="3F10BD12" w14:textId="2F1081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89" w:history="1">
        <w:r w:rsidRPr="00533B68">
          <w:t>5333</w:t>
        </w:r>
        <w:r>
          <w:rPr>
            <w:rFonts w:asciiTheme="minorHAnsi" w:eastAsiaTheme="minorEastAsia" w:hAnsiTheme="minorHAnsi" w:cstheme="minorBidi"/>
            <w:kern w:val="2"/>
            <w:sz w:val="24"/>
            <w:szCs w:val="24"/>
            <w:lang w:eastAsia="en-AU"/>
            <w14:ligatures w14:val="standardContextual"/>
          </w:rPr>
          <w:tab/>
        </w:r>
        <w:r w:rsidRPr="00533B68">
          <w:t>Appeals to Court of Appeal—filing application for leave to appeal out of time</w:t>
        </w:r>
        <w:r>
          <w:tab/>
        </w:r>
        <w:r>
          <w:fldChar w:fldCharType="begin"/>
        </w:r>
        <w:r>
          <w:instrText xml:space="preserve"> PAGEREF _Toc185515089 \h </w:instrText>
        </w:r>
        <w:r>
          <w:fldChar w:fldCharType="separate"/>
        </w:r>
        <w:r>
          <w:t>824</w:t>
        </w:r>
        <w:r>
          <w:fldChar w:fldCharType="end"/>
        </w:r>
      </w:hyperlink>
    </w:p>
    <w:p w14:paraId="00324378" w14:textId="2747F7B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0" w:history="1">
        <w:r w:rsidRPr="00533B68">
          <w:t>5334</w:t>
        </w:r>
        <w:r>
          <w:rPr>
            <w:rFonts w:asciiTheme="minorHAnsi" w:eastAsiaTheme="minorEastAsia" w:hAnsiTheme="minorHAnsi" w:cstheme="minorBidi"/>
            <w:kern w:val="2"/>
            <w:sz w:val="24"/>
            <w:szCs w:val="24"/>
            <w:lang w:eastAsia="en-AU"/>
            <w14:ligatures w14:val="standardContextual"/>
          </w:rPr>
          <w:tab/>
        </w:r>
        <w:r w:rsidRPr="00533B68">
          <w:t>Appeals to Court of Appeal—application for leave to appeal out of time to be sealed</w:t>
        </w:r>
        <w:r>
          <w:tab/>
        </w:r>
        <w:r>
          <w:fldChar w:fldCharType="begin"/>
        </w:r>
        <w:r>
          <w:instrText xml:space="preserve"> PAGEREF _Toc185515090 \h </w:instrText>
        </w:r>
        <w:r>
          <w:fldChar w:fldCharType="separate"/>
        </w:r>
        <w:r>
          <w:t>824</w:t>
        </w:r>
        <w:r>
          <w:fldChar w:fldCharType="end"/>
        </w:r>
      </w:hyperlink>
    </w:p>
    <w:p w14:paraId="23530399" w14:textId="0EF6F6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1" w:history="1">
        <w:r w:rsidRPr="00533B68">
          <w:t>5335</w:t>
        </w:r>
        <w:r>
          <w:rPr>
            <w:rFonts w:asciiTheme="minorHAnsi" w:eastAsiaTheme="minorEastAsia" w:hAnsiTheme="minorHAnsi" w:cstheme="minorBidi"/>
            <w:kern w:val="2"/>
            <w:sz w:val="24"/>
            <w:szCs w:val="24"/>
            <w:lang w:eastAsia="en-AU"/>
            <w14:ligatures w14:val="standardContextual"/>
          </w:rPr>
          <w:tab/>
        </w:r>
        <w:r w:rsidRPr="00533B68">
          <w:t>Appeals to Court of Appeal—serving application for leave to appeal out of time</w:t>
        </w:r>
        <w:r>
          <w:tab/>
        </w:r>
        <w:r>
          <w:fldChar w:fldCharType="begin"/>
        </w:r>
        <w:r>
          <w:instrText xml:space="preserve"> PAGEREF _Toc185515091 \h </w:instrText>
        </w:r>
        <w:r>
          <w:fldChar w:fldCharType="separate"/>
        </w:r>
        <w:r>
          <w:t>825</w:t>
        </w:r>
        <w:r>
          <w:fldChar w:fldCharType="end"/>
        </w:r>
      </w:hyperlink>
    </w:p>
    <w:p w14:paraId="42BDD67B" w14:textId="33486B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2" w:history="1">
        <w:r w:rsidRPr="00533B68">
          <w:t>5336</w:t>
        </w:r>
        <w:r>
          <w:rPr>
            <w:rFonts w:asciiTheme="minorHAnsi" w:eastAsiaTheme="minorEastAsia" w:hAnsiTheme="minorHAnsi" w:cstheme="minorBidi"/>
            <w:kern w:val="2"/>
            <w:sz w:val="24"/>
            <w:szCs w:val="24"/>
            <w:lang w:eastAsia="en-AU"/>
            <w14:ligatures w14:val="standardContextual"/>
          </w:rPr>
          <w:tab/>
        </w:r>
        <w:r w:rsidRPr="00533B68">
          <w:t>Appeals to Court of Appeal—response to application for leave to appeal out of time</w:t>
        </w:r>
        <w:r>
          <w:tab/>
        </w:r>
        <w:r>
          <w:fldChar w:fldCharType="begin"/>
        </w:r>
        <w:r>
          <w:instrText xml:space="preserve"> PAGEREF _Toc185515092 \h </w:instrText>
        </w:r>
        <w:r>
          <w:fldChar w:fldCharType="separate"/>
        </w:r>
        <w:r>
          <w:t>825</w:t>
        </w:r>
        <w:r>
          <w:fldChar w:fldCharType="end"/>
        </w:r>
      </w:hyperlink>
    </w:p>
    <w:p w14:paraId="07DA0301" w14:textId="3CA1D87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093" w:history="1">
        <w:r w:rsidR="00AC5392" w:rsidRPr="00533B68">
          <w:t>Division 5.4.4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Appeal—procedure generally</w:t>
        </w:r>
        <w:r w:rsidR="00AC5392" w:rsidRPr="00AC5392">
          <w:rPr>
            <w:vanish/>
          </w:rPr>
          <w:tab/>
        </w:r>
        <w:r w:rsidR="00AC5392" w:rsidRPr="00AC5392">
          <w:rPr>
            <w:vanish/>
          </w:rPr>
          <w:fldChar w:fldCharType="begin"/>
        </w:r>
        <w:r w:rsidR="00AC5392" w:rsidRPr="00AC5392">
          <w:rPr>
            <w:vanish/>
          </w:rPr>
          <w:instrText xml:space="preserve"> PAGEREF _Toc185515093 \h </w:instrText>
        </w:r>
        <w:r w:rsidR="00AC5392" w:rsidRPr="00AC5392">
          <w:rPr>
            <w:vanish/>
          </w:rPr>
        </w:r>
        <w:r w:rsidR="00AC5392" w:rsidRPr="00AC5392">
          <w:rPr>
            <w:vanish/>
          </w:rPr>
          <w:fldChar w:fldCharType="separate"/>
        </w:r>
        <w:r w:rsidR="00AC5392" w:rsidRPr="00AC5392">
          <w:rPr>
            <w:vanish/>
          </w:rPr>
          <w:t>827</w:t>
        </w:r>
        <w:r w:rsidR="00AC5392" w:rsidRPr="00AC5392">
          <w:rPr>
            <w:vanish/>
          </w:rPr>
          <w:fldChar w:fldCharType="end"/>
        </w:r>
      </w:hyperlink>
    </w:p>
    <w:p w14:paraId="51B1FA6E" w14:textId="7C63AA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4" w:history="1">
        <w:r w:rsidRPr="00533B68">
          <w:t>5400</w:t>
        </w:r>
        <w:r>
          <w:rPr>
            <w:rFonts w:asciiTheme="minorHAnsi" w:eastAsiaTheme="minorEastAsia" w:hAnsiTheme="minorHAnsi" w:cstheme="minorBidi"/>
            <w:kern w:val="2"/>
            <w:sz w:val="24"/>
            <w:szCs w:val="24"/>
            <w:lang w:eastAsia="en-AU"/>
            <w14:ligatures w14:val="standardContextual"/>
          </w:rPr>
          <w:tab/>
        </w:r>
        <w:r w:rsidRPr="00533B68">
          <w:t>Definitions—divs 5.4.4 to 5.4.6</w:t>
        </w:r>
        <w:r>
          <w:tab/>
        </w:r>
        <w:r>
          <w:fldChar w:fldCharType="begin"/>
        </w:r>
        <w:r>
          <w:instrText xml:space="preserve"> PAGEREF _Toc185515094 \h </w:instrText>
        </w:r>
        <w:r>
          <w:fldChar w:fldCharType="separate"/>
        </w:r>
        <w:r>
          <w:t>827</w:t>
        </w:r>
        <w:r>
          <w:fldChar w:fldCharType="end"/>
        </w:r>
      </w:hyperlink>
    </w:p>
    <w:p w14:paraId="33E1293A" w14:textId="169B03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5" w:history="1">
        <w:r w:rsidRPr="00533B68">
          <w:t>5400A</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case summary</w:t>
        </w:r>
        <w:r w:rsidRPr="00533B68">
          <w:t>—div 5.4.4</w:t>
        </w:r>
        <w:r>
          <w:tab/>
        </w:r>
        <w:r>
          <w:fldChar w:fldCharType="begin"/>
        </w:r>
        <w:r>
          <w:instrText xml:space="preserve"> PAGEREF _Toc185515095 \h </w:instrText>
        </w:r>
        <w:r>
          <w:fldChar w:fldCharType="separate"/>
        </w:r>
        <w:r>
          <w:t>828</w:t>
        </w:r>
        <w:r>
          <w:fldChar w:fldCharType="end"/>
        </w:r>
      </w:hyperlink>
    </w:p>
    <w:p w14:paraId="5FF752B0" w14:textId="53E558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6" w:history="1">
        <w:r w:rsidRPr="00533B68">
          <w:t>5401</w:t>
        </w:r>
        <w:r>
          <w:rPr>
            <w:rFonts w:asciiTheme="minorHAnsi" w:eastAsiaTheme="minorEastAsia" w:hAnsiTheme="minorHAnsi" w:cstheme="minorBidi"/>
            <w:kern w:val="2"/>
            <w:sz w:val="24"/>
            <w:szCs w:val="24"/>
            <w:lang w:eastAsia="en-AU"/>
            <w14:ligatures w14:val="standardContextual"/>
          </w:rPr>
          <w:tab/>
        </w:r>
        <w:r w:rsidRPr="00533B68">
          <w:t>Application—divs 5.4.4 to 5.4.6</w:t>
        </w:r>
        <w:r>
          <w:tab/>
        </w:r>
        <w:r>
          <w:fldChar w:fldCharType="begin"/>
        </w:r>
        <w:r>
          <w:instrText xml:space="preserve"> PAGEREF _Toc185515096 \h </w:instrText>
        </w:r>
        <w:r>
          <w:fldChar w:fldCharType="separate"/>
        </w:r>
        <w:r>
          <w:t>828</w:t>
        </w:r>
        <w:r>
          <w:fldChar w:fldCharType="end"/>
        </w:r>
      </w:hyperlink>
    </w:p>
    <w:p w14:paraId="2E2C01C1" w14:textId="206DCE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7" w:history="1">
        <w:r w:rsidRPr="00533B68">
          <w:t>5402</w:t>
        </w:r>
        <w:r>
          <w:rPr>
            <w:rFonts w:asciiTheme="minorHAnsi" w:eastAsiaTheme="minorEastAsia" w:hAnsiTheme="minorHAnsi" w:cstheme="minorBidi"/>
            <w:kern w:val="2"/>
            <w:sz w:val="24"/>
            <w:szCs w:val="24"/>
            <w:lang w:eastAsia="en-AU"/>
            <w14:ligatures w14:val="standardContextual"/>
          </w:rPr>
          <w:tab/>
        </w:r>
        <w:r w:rsidRPr="00533B68">
          <w:t>Appeals to Court of Appeal—starting appeal</w:t>
        </w:r>
        <w:r>
          <w:tab/>
        </w:r>
        <w:r>
          <w:fldChar w:fldCharType="begin"/>
        </w:r>
        <w:r>
          <w:instrText xml:space="preserve"> PAGEREF _Toc185515097 \h </w:instrText>
        </w:r>
        <w:r>
          <w:fldChar w:fldCharType="separate"/>
        </w:r>
        <w:r>
          <w:t>828</w:t>
        </w:r>
        <w:r>
          <w:fldChar w:fldCharType="end"/>
        </w:r>
      </w:hyperlink>
    </w:p>
    <w:p w14:paraId="694C1E74" w14:textId="2FA7DB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8" w:history="1">
        <w:r w:rsidRPr="00533B68">
          <w:t>5403</w:t>
        </w:r>
        <w:r>
          <w:rPr>
            <w:rFonts w:asciiTheme="minorHAnsi" w:eastAsiaTheme="minorEastAsia" w:hAnsiTheme="minorHAnsi" w:cstheme="minorBidi"/>
            <w:kern w:val="2"/>
            <w:sz w:val="24"/>
            <w:szCs w:val="24"/>
            <w:lang w:eastAsia="en-AU"/>
            <w14:ligatures w14:val="standardContextual"/>
          </w:rPr>
          <w:tab/>
        </w:r>
        <w:r w:rsidRPr="00533B68">
          <w:t>Appeals to Court of Appeal—requirements for notice of appeal etc</w:t>
        </w:r>
        <w:r>
          <w:tab/>
        </w:r>
        <w:r>
          <w:fldChar w:fldCharType="begin"/>
        </w:r>
        <w:r>
          <w:instrText xml:space="preserve"> PAGEREF _Toc185515098 \h </w:instrText>
        </w:r>
        <w:r>
          <w:fldChar w:fldCharType="separate"/>
        </w:r>
        <w:r>
          <w:t>828</w:t>
        </w:r>
        <w:r>
          <w:fldChar w:fldCharType="end"/>
        </w:r>
      </w:hyperlink>
    </w:p>
    <w:p w14:paraId="28394413" w14:textId="55A8E7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099" w:history="1">
        <w:r w:rsidRPr="00533B68">
          <w:t>5404</w:t>
        </w:r>
        <w:r>
          <w:rPr>
            <w:rFonts w:asciiTheme="minorHAnsi" w:eastAsiaTheme="minorEastAsia" w:hAnsiTheme="minorHAnsi" w:cstheme="minorBidi"/>
            <w:kern w:val="2"/>
            <w:sz w:val="24"/>
            <w:szCs w:val="24"/>
            <w:lang w:eastAsia="en-AU"/>
            <w14:ligatures w14:val="standardContextual"/>
          </w:rPr>
          <w:tab/>
        </w:r>
        <w:r w:rsidRPr="00533B68">
          <w:t>Appeals to Court of Appeal—parties to appeal</w:t>
        </w:r>
        <w:r>
          <w:tab/>
        </w:r>
        <w:r>
          <w:fldChar w:fldCharType="begin"/>
        </w:r>
        <w:r>
          <w:instrText xml:space="preserve"> PAGEREF _Toc185515099 \h </w:instrText>
        </w:r>
        <w:r>
          <w:fldChar w:fldCharType="separate"/>
        </w:r>
        <w:r>
          <w:t>830</w:t>
        </w:r>
        <w:r>
          <w:fldChar w:fldCharType="end"/>
        </w:r>
      </w:hyperlink>
    </w:p>
    <w:p w14:paraId="37F55103" w14:textId="4BD714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0" w:history="1">
        <w:r w:rsidRPr="00533B68">
          <w:t>5405</w:t>
        </w:r>
        <w:r>
          <w:rPr>
            <w:rFonts w:asciiTheme="minorHAnsi" w:eastAsiaTheme="minorEastAsia" w:hAnsiTheme="minorHAnsi" w:cstheme="minorBidi"/>
            <w:kern w:val="2"/>
            <w:sz w:val="24"/>
            <w:szCs w:val="24"/>
            <w:lang w:eastAsia="en-AU"/>
            <w14:ligatures w14:val="standardContextual"/>
          </w:rPr>
          <w:tab/>
        </w:r>
        <w:r w:rsidRPr="00533B68">
          <w:t>Appeals to Court of Appeal—time for filing notice of appeal and case summary</w:t>
        </w:r>
        <w:r>
          <w:tab/>
        </w:r>
        <w:r>
          <w:fldChar w:fldCharType="begin"/>
        </w:r>
        <w:r>
          <w:instrText xml:space="preserve"> PAGEREF _Toc185515100 \h </w:instrText>
        </w:r>
        <w:r>
          <w:fldChar w:fldCharType="separate"/>
        </w:r>
        <w:r>
          <w:t>831</w:t>
        </w:r>
        <w:r>
          <w:fldChar w:fldCharType="end"/>
        </w:r>
      </w:hyperlink>
    </w:p>
    <w:p w14:paraId="5931BE33" w14:textId="154950D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1" w:history="1">
        <w:r w:rsidRPr="00533B68">
          <w:t>5406</w:t>
        </w:r>
        <w:r>
          <w:rPr>
            <w:rFonts w:asciiTheme="minorHAnsi" w:eastAsiaTheme="minorEastAsia" w:hAnsiTheme="minorHAnsi" w:cstheme="minorBidi"/>
            <w:kern w:val="2"/>
            <w:sz w:val="24"/>
            <w:szCs w:val="24"/>
            <w:lang w:eastAsia="en-AU"/>
            <w14:ligatures w14:val="standardContextual"/>
          </w:rPr>
          <w:tab/>
        </w:r>
        <w:r w:rsidRPr="00533B68">
          <w:t>Appeals to Court of Appeal—notice of appeal to be sealed</w:t>
        </w:r>
        <w:r>
          <w:tab/>
        </w:r>
        <w:r>
          <w:fldChar w:fldCharType="begin"/>
        </w:r>
        <w:r>
          <w:instrText xml:space="preserve"> PAGEREF _Toc185515101 \h </w:instrText>
        </w:r>
        <w:r>
          <w:fldChar w:fldCharType="separate"/>
        </w:r>
        <w:r>
          <w:t>832</w:t>
        </w:r>
        <w:r>
          <w:fldChar w:fldCharType="end"/>
        </w:r>
      </w:hyperlink>
    </w:p>
    <w:p w14:paraId="645A89C2" w14:textId="38AEEBB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2" w:history="1">
        <w:r w:rsidRPr="00533B68">
          <w:t>5407</w:t>
        </w:r>
        <w:r>
          <w:rPr>
            <w:rFonts w:asciiTheme="minorHAnsi" w:eastAsiaTheme="minorEastAsia" w:hAnsiTheme="minorHAnsi" w:cstheme="minorBidi"/>
            <w:kern w:val="2"/>
            <w:sz w:val="24"/>
            <w:szCs w:val="24"/>
            <w:lang w:eastAsia="en-AU"/>
            <w14:ligatures w14:val="standardContextual"/>
          </w:rPr>
          <w:tab/>
        </w:r>
        <w:r w:rsidRPr="00533B68">
          <w:t>Appeals to Court of Appeal——numbering etc of appeals</w:t>
        </w:r>
        <w:r>
          <w:tab/>
        </w:r>
        <w:r>
          <w:fldChar w:fldCharType="begin"/>
        </w:r>
        <w:r>
          <w:instrText xml:space="preserve"> PAGEREF _Toc185515102 \h </w:instrText>
        </w:r>
        <w:r>
          <w:fldChar w:fldCharType="separate"/>
        </w:r>
        <w:r>
          <w:t>832</w:t>
        </w:r>
        <w:r>
          <w:fldChar w:fldCharType="end"/>
        </w:r>
      </w:hyperlink>
    </w:p>
    <w:p w14:paraId="0063D283" w14:textId="2994F03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3" w:history="1">
        <w:r w:rsidRPr="00533B68">
          <w:t>5408</w:t>
        </w:r>
        <w:r>
          <w:rPr>
            <w:rFonts w:asciiTheme="minorHAnsi" w:eastAsiaTheme="minorEastAsia" w:hAnsiTheme="minorHAnsi" w:cstheme="minorBidi"/>
            <w:kern w:val="2"/>
            <w:sz w:val="24"/>
            <w:szCs w:val="24"/>
            <w:lang w:eastAsia="en-AU"/>
            <w14:ligatures w14:val="standardContextual"/>
          </w:rPr>
          <w:tab/>
        </w:r>
        <w:r w:rsidRPr="00533B68">
          <w:t>Appeals to Court of Appeal—date for settlement of appeal papers</w:t>
        </w:r>
        <w:r>
          <w:tab/>
        </w:r>
        <w:r>
          <w:fldChar w:fldCharType="begin"/>
        </w:r>
        <w:r>
          <w:instrText xml:space="preserve"> PAGEREF _Toc185515103 \h </w:instrText>
        </w:r>
        <w:r>
          <w:fldChar w:fldCharType="separate"/>
        </w:r>
        <w:r>
          <w:t>832</w:t>
        </w:r>
        <w:r>
          <w:fldChar w:fldCharType="end"/>
        </w:r>
      </w:hyperlink>
    </w:p>
    <w:p w14:paraId="108FA8CF" w14:textId="51D0650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4" w:history="1">
        <w:r w:rsidRPr="00533B68">
          <w:t>5409</w:t>
        </w:r>
        <w:r>
          <w:rPr>
            <w:rFonts w:asciiTheme="minorHAnsi" w:eastAsiaTheme="minorEastAsia" w:hAnsiTheme="minorHAnsi" w:cstheme="minorBidi"/>
            <w:kern w:val="2"/>
            <w:sz w:val="24"/>
            <w:szCs w:val="24"/>
            <w:lang w:eastAsia="en-AU"/>
            <w14:ligatures w14:val="standardContextual"/>
          </w:rPr>
          <w:tab/>
        </w:r>
        <w:r w:rsidRPr="00533B68">
          <w:t>Appeals to Court of Appeal—serving notice of appeal and case summary</w:t>
        </w:r>
        <w:r>
          <w:tab/>
        </w:r>
        <w:r>
          <w:fldChar w:fldCharType="begin"/>
        </w:r>
        <w:r>
          <w:instrText xml:space="preserve"> PAGEREF _Toc185515104 \h </w:instrText>
        </w:r>
        <w:r>
          <w:fldChar w:fldCharType="separate"/>
        </w:r>
        <w:r>
          <w:t>832</w:t>
        </w:r>
        <w:r>
          <w:fldChar w:fldCharType="end"/>
        </w:r>
      </w:hyperlink>
    </w:p>
    <w:p w14:paraId="724BD009" w14:textId="42C122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5" w:history="1">
        <w:r w:rsidRPr="00533B68">
          <w:t>5410</w:t>
        </w:r>
        <w:r>
          <w:rPr>
            <w:rFonts w:asciiTheme="minorHAnsi" w:eastAsiaTheme="minorEastAsia" w:hAnsiTheme="minorHAnsi" w:cstheme="minorBidi"/>
            <w:kern w:val="2"/>
            <w:sz w:val="24"/>
            <w:szCs w:val="24"/>
            <w:lang w:eastAsia="en-AU"/>
            <w14:ligatures w14:val="standardContextual"/>
          </w:rPr>
          <w:tab/>
        </w:r>
        <w:r w:rsidRPr="00533B68">
          <w:t>Appeals to Court of Appeal—notice of intention to respond</w:t>
        </w:r>
        <w:r>
          <w:tab/>
        </w:r>
        <w:r>
          <w:fldChar w:fldCharType="begin"/>
        </w:r>
        <w:r>
          <w:instrText xml:space="preserve"> PAGEREF _Toc185515105 \h </w:instrText>
        </w:r>
        <w:r>
          <w:fldChar w:fldCharType="separate"/>
        </w:r>
        <w:r>
          <w:t>834</w:t>
        </w:r>
        <w:r>
          <w:fldChar w:fldCharType="end"/>
        </w:r>
      </w:hyperlink>
    </w:p>
    <w:p w14:paraId="6178D260" w14:textId="06564C1E"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106" w:history="1">
        <w:r w:rsidRPr="00533B68">
          <w:t>5411</w:t>
        </w:r>
        <w:r>
          <w:rPr>
            <w:rFonts w:asciiTheme="minorHAnsi" w:eastAsiaTheme="minorEastAsia" w:hAnsiTheme="minorHAnsi" w:cstheme="minorBidi"/>
            <w:kern w:val="2"/>
            <w:sz w:val="24"/>
            <w:szCs w:val="24"/>
            <w:lang w:eastAsia="en-AU"/>
            <w14:ligatures w14:val="standardContextual"/>
          </w:rPr>
          <w:tab/>
        </w:r>
        <w:r w:rsidRPr="00533B68">
          <w:t>Appeals to Court of Appeal—</w:t>
        </w:r>
        <w:r w:rsidRPr="00533B68">
          <w:rPr>
            <w:lang w:val="en-US"/>
          </w:rPr>
          <w:t>respondent taken to be served by filing notice of intention to respond</w:t>
        </w:r>
        <w:r>
          <w:tab/>
        </w:r>
        <w:r>
          <w:fldChar w:fldCharType="begin"/>
        </w:r>
        <w:r>
          <w:instrText xml:space="preserve"> PAGEREF _Toc185515106 \h </w:instrText>
        </w:r>
        <w:r>
          <w:fldChar w:fldCharType="separate"/>
        </w:r>
        <w:r>
          <w:t>834</w:t>
        </w:r>
        <w:r>
          <w:fldChar w:fldCharType="end"/>
        </w:r>
      </w:hyperlink>
    </w:p>
    <w:p w14:paraId="732B8882" w14:textId="37B2E1C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7" w:history="1">
        <w:r w:rsidRPr="00533B68">
          <w:t>5412</w:t>
        </w:r>
        <w:r>
          <w:rPr>
            <w:rFonts w:asciiTheme="minorHAnsi" w:eastAsiaTheme="minorEastAsia" w:hAnsiTheme="minorHAnsi" w:cstheme="minorBidi"/>
            <w:kern w:val="2"/>
            <w:sz w:val="24"/>
            <w:szCs w:val="24"/>
            <w:lang w:eastAsia="en-AU"/>
            <w14:ligatures w14:val="standardContextual"/>
          </w:rPr>
          <w:tab/>
        </w:r>
        <w:r w:rsidRPr="00533B68">
          <w:t>Appeals to Court of Appeal—amending notice of appeal</w:t>
        </w:r>
        <w:r>
          <w:tab/>
        </w:r>
        <w:r>
          <w:fldChar w:fldCharType="begin"/>
        </w:r>
        <w:r>
          <w:instrText xml:space="preserve"> PAGEREF _Toc185515107 \h </w:instrText>
        </w:r>
        <w:r>
          <w:fldChar w:fldCharType="separate"/>
        </w:r>
        <w:r>
          <w:t>835</w:t>
        </w:r>
        <w:r>
          <w:fldChar w:fldCharType="end"/>
        </w:r>
      </w:hyperlink>
    </w:p>
    <w:p w14:paraId="6820E90C" w14:textId="648C890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8" w:history="1">
        <w:r w:rsidRPr="00533B68">
          <w:t>5413</w:t>
        </w:r>
        <w:r>
          <w:rPr>
            <w:rFonts w:asciiTheme="minorHAnsi" w:eastAsiaTheme="minorEastAsia" w:hAnsiTheme="minorHAnsi" w:cstheme="minorBidi"/>
            <w:kern w:val="2"/>
            <w:sz w:val="24"/>
            <w:szCs w:val="24"/>
            <w:lang w:eastAsia="en-AU"/>
            <w14:ligatures w14:val="standardContextual"/>
          </w:rPr>
          <w:tab/>
        </w:r>
        <w:r w:rsidRPr="00533B68">
          <w:t>Appeals to Court of Appeal—cross-appeal</w:t>
        </w:r>
        <w:r>
          <w:tab/>
        </w:r>
        <w:r>
          <w:fldChar w:fldCharType="begin"/>
        </w:r>
        <w:r>
          <w:instrText xml:space="preserve"> PAGEREF _Toc185515108 \h </w:instrText>
        </w:r>
        <w:r>
          <w:fldChar w:fldCharType="separate"/>
        </w:r>
        <w:r>
          <w:t>836</w:t>
        </w:r>
        <w:r>
          <w:fldChar w:fldCharType="end"/>
        </w:r>
      </w:hyperlink>
    </w:p>
    <w:p w14:paraId="51995B15" w14:textId="7E7297E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09" w:history="1">
        <w:r w:rsidRPr="00533B68">
          <w:t>5414</w:t>
        </w:r>
        <w:r>
          <w:rPr>
            <w:rFonts w:asciiTheme="minorHAnsi" w:eastAsiaTheme="minorEastAsia" w:hAnsiTheme="minorHAnsi" w:cstheme="minorBidi"/>
            <w:kern w:val="2"/>
            <w:sz w:val="24"/>
            <w:szCs w:val="24"/>
            <w:lang w:eastAsia="en-AU"/>
            <w14:ligatures w14:val="standardContextual"/>
          </w:rPr>
          <w:tab/>
        </w:r>
        <w:r w:rsidRPr="00533B68">
          <w:t>Appeals to Court of Appeal—application of certain rules to cross-appeals</w:t>
        </w:r>
        <w:r>
          <w:tab/>
        </w:r>
        <w:r>
          <w:fldChar w:fldCharType="begin"/>
        </w:r>
        <w:r>
          <w:instrText xml:space="preserve"> PAGEREF _Toc185515109 \h </w:instrText>
        </w:r>
        <w:r>
          <w:fldChar w:fldCharType="separate"/>
        </w:r>
        <w:r>
          <w:t>838</w:t>
        </w:r>
        <w:r>
          <w:fldChar w:fldCharType="end"/>
        </w:r>
      </w:hyperlink>
    </w:p>
    <w:p w14:paraId="034819C9" w14:textId="0D3B67F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0" w:history="1">
        <w:r w:rsidRPr="00533B68">
          <w:t>5415</w:t>
        </w:r>
        <w:r>
          <w:rPr>
            <w:rFonts w:asciiTheme="minorHAnsi" w:eastAsiaTheme="minorEastAsia" w:hAnsiTheme="minorHAnsi" w:cstheme="minorBidi"/>
            <w:kern w:val="2"/>
            <w:sz w:val="24"/>
            <w:szCs w:val="24"/>
            <w:lang w:eastAsia="en-AU"/>
            <w14:ligatures w14:val="standardContextual"/>
          </w:rPr>
          <w:tab/>
        </w:r>
        <w:r w:rsidRPr="00533B68">
          <w:t>Appeals to Court of Appeal—effect of failure to give notice of cross-appeal</w:t>
        </w:r>
        <w:r>
          <w:tab/>
        </w:r>
        <w:r>
          <w:fldChar w:fldCharType="begin"/>
        </w:r>
        <w:r>
          <w:instrText xml:space="preserve"> PAGEREF _Toc185515110 \h </w:instrText>
        </w:r>
        <w:r>
          <w:fldChar w:fldCharType="separate"/>
        </w:r>
        <w:r>
          <w:t>838</w:t>
        </w:r>
        <w:r>
          <w:fldChar w:fldCharType="end"/>
        </w:r>
      </w:hyperlink>
    </w:p>
    <w:p w14:paraId="0011EFBE" w14:textId="3B114FB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1" w:history="1">
        <w:r w:rsidRPr="00533B68">
          <w:t>5416</w:t>
        </w:r>
        <w:r>
          <w:rPr>
            <w:rFonts w:asciiTheme="minorHAnsi" w:eastAsiaTheme="minorEastAsia" w:hAnsiTheme="minorHAnsi" w:cstheme="minorBidi"/>
            <w:kern w:val="2"/>
            <w:sz w:val="24"/>
            <w:szCs w:val="24"/>
            <w:lang w:eastAsia="en-AU"/>
            <w14:ligatures w14:val="standardContextual"/>
          </w:rPr>
          <w:tab/>
        </w:r>
        <w:r w:rsidRPr="00533B68">
          <w:t>Appeals to Court of Appeal—notice of contention</w:t>
        </w:r>
        <w:r>
          <w:tab/>
        </w:r>
        <w:r>
          <w:fldChar w:fldCharType="begin"/>
        </w:r>
        <w:r>
          <w:instrText xml:space="preserve"> PAGEREF _Toc185515111 \h </w:instrText>
        </w:r>
        <w:r>
          <w:fldChar w:fldCharType="separate"/>
        </w:r>
        <w:r>
          <w:t>839</w:t>
        </w:r>
        <w:r>
          <w:fldChar w:fldCharType="end"/>
        </w:r>
      </w:hyperlink>
    </w:p>
    <w:p w14:paraId="4B26F696" w14:textId="1CAFE99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12" w:history="1">
        <w:r w:rsidR="00AC5392" w:rsidRPr="00533B68">
          <w:t>Division 5.4.5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Appeal—appeal papers and hearing</w:t>
        </w:r>
        <w:r w:rsidR="00AC5392" w:rsidRPr="00AC5392">
          <w:rPr>
            <w:vanish/>
          </w:rPr>
          <w:tab/>
        </w:r>
        <w:r w:rsidR="00AC5392" w:rsidRPr="00AC5392">
          <w:rPr>
            <w:vanish/>
          </w:rPr>
          <w:fldChar w:fldCharType="begin"/>
        </w:r>
        <w:r w:rsidR="00AC5392" w:rsidRPr="00AC5392">
          <w:rPr>
            <w:vanish/>
          </w:rPr>
          <w:instrText xml:space="preserve"> PAGEREF _Toc185515112 \h </w:instrText>
        </w:r>
        <w:r w:rsidR="00AC5392" w:rsidRPr="00AC5392">
          <w:rPr>
            <w:vanish/>
          </w:rPr>
        </w:r>
        <w:r w:rsidR="00AC5392" w:rsidRPr="00AC5392">
          <w:rPr>
            <w:vanish/>
          </w:rPr>
          <w:fldChar w:fldCharType="separate"/>
        </w:r>
        <w:r w:rsidR="00AC5392" w:rsidRPr="00AC5392">
          <w:rPr>
            <w:vanish/>
          </w:rPr>
          <w:t>841</w:t>
        </w:r>
        <w:r w:rsidR="00AC5392" w:rsidRPr="00AC5392">
          <w:rPr>
            <w:vanish/>
          </w:rPr>
          <w:fldChar w:fldCharType="end"/>
        </w:r>
      </w:hyperlink>
    </w:p>
    <w:p w14:paraId="30CEA98F" w14:textId="222C148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3" w:history="1">
        <w:r w:rsidRPr="00533B68">
          <w:t>5432</w:t>
        </w:r>
        <w:r>
          <w:rPr>
            <w:rFonts w:asciiTheme="minorHAnsi" w:eastAsiaTheme="minorEastAsia" w:hAnsiTheme="minorHAnsi" w:cstheme="minorBidi"/>
            <w:kern w:val="2"/>
            <w:sz w:val="24"/>
            <w:szCs w:val="24"/>
            <w:lang w:eastAsia="en-AU"/>
            <w14:ligatures w14:val="standardContextual"/>
          </w:rPr>
          <w:tab/>
        </w:r>
        <w:r w:rsidRPr="00533B68">
          <w:t>Appeals to Court of Appeal—settlement of appeal papers</w:t>
        </w:r>
        <w:r>
          <w:tab/>
        </w:r>
        <w:r>
          <w:fldChar w:fldCharType="begin"/>
        </w:r>
        <w:r>
          <w:instrText xml:space="preserve"> PAGEREF _Toc185515113 \h </w:instrText>
        </w:r>
        <w:r>
          <w:fldChar w:fldCharType="separate"/>
        </w:r>
        <w:r>
          <w:t>841</w:t>
        </w:r>
        <w:r>
          <w:fldChar w:fldCharType="end"/>
        </w:r>
      </w:hyperlink>
    </w:p>
    <w:p w14:paraId="034BB064" w14:textId="101C018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4" w:history="1">
        <w:r w:rsidRPr="00533B68">
          <w:t>5436</w:t>
        </w:r>
        <w:r>
          <w:rPr>
            <w:rFonts w:asciiTheme="minorHAnsi" w:eastAsiaTheme="minorEastAsia" w:hAnsiTheme="minorHAnsi" w:cstheme="minorBidi"/>
            <w:kern w:val="2"/>
            <w:sz w:val="24"/>
            <w:szCs w:val="24"/>
            <w:lang w:eastAsia="en-AU"/>
            <w14:ligatures w14:val="standardContextual"/>
          </w:rPr>
          <w:tab/>
        </w:r>
        <w:r w:rsidRPr="00533B68">
          <w:t>Appeals to Court of Appeal—setting appeal for hearing</w:t>
        </w:r>
        <w:r>
          <w:tab/>
        </w:r>
        <w:r>
          <w:fldChar w:fldCharType="begin"/>
        </w:r>
        <w:r>
          <w:instrText xml:space="preserve"> PAGEREF _Toc185515114 \h </w:instrText>
        </w:r>
        <w:r>
          <w:fldChar w:fldCharType="separate"/>
        </w:r>
        <w:r>
          <w:t>842</w:t>
        </w:r>
        <w:r>
          <w:fldChar w:fldCharType="end"/>
        </w:r>
      </w:hyperlink>
    </w:p>
    <w:p w14:paraId="09BA8CDA" w14:textId="1D72FE9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5" w:history="1">
        <w:r w:rsidRPr="00533B68">
          <w:t>5437</w:t>
        </w:r>
        <w:r>
          <w:rPr>
            <w:rFonts w:asciiTheme="minorHAnsi" w:eastAsiaTheme="minorEastAsia" w:hAnsiTheme="minorHAnsi" w:cstheme="minorBidi"/>
            <w:kern w:val="2"/>
            <w:sz w:val="24"/>
            <w:szCs w:val="24"/>
            <w:lang w:eastAsia="en-AU"/>
            <w14:ligatures w14:val="standardContextual"/>
          </w:rPr>
          <w:tab/>
        </w:r>
        <w:r w:rsidRPr="00533B68">
          <w:t>Appeals to Court of Appeal—changing appeal hearing date</w:t>
        </w:r>
        <w:r>
          <w:tab/>
        </w:r>
        <w:r>
          <w:fldChar w:fldCharType="begin"/>
        </w:r>
        <w:r>
          <w:instrText xml:space="preserve"> PAGEREF _Toc185515115 \h </w:instrText>
        </w:r>
        <w:r>
          <w:fldChar w:fldCharType="separate"/>
        </w:r>
        <w:r>
          <w:t>842</w:t>
        </w:r>
        <w:r>
          <w:fldChar w:fldCharType="end"/>
        </w:r>
      </w:hyperlink>
    </w:p>
    <w:p w14:paraId="54BA343B" w14:textId="5F9CE3C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6" w:history="1">
        <w:r w:rsidRPr="00533B68">
          <w:t>5441</w:t>
        </w:r>
        <w:r>
          <w:rPr>
            <w:rFonts w:asciiTheme="minorHAnsi" w:eastAsiaTheme="minorEastAsia" w:hAnsiTheme="minorHAnsi" w:cstheme="minorBidi"/>
            <w:kern w:val="2"/>
            <w:sz w:val="24"/>
            <w:szCs w:val="24"/>
            <w:lang w:eastAsia="en-AU"/>
            <w14:ligatures w14:val="standardContextual"/>
          </w:rPr>
          <w:tab/>
        </w:r>
        <w:r w:rsidRPr="00533B68">
          <w:t>Appeals to Court of Appeal—absence of party</w:t>
        </w:r>
        <w:r>
          <w:tab/>
        </w:r>
        <w:r>
          <w:fldChar w:fldCharType="begin"/>
        </w:r>
        <w:r>
          <w:instrText xml:space="preserve"> PAGEREF _Toc185515116 \h </w:instrText>
        </w:r>
        <w:r>
          <w:fldChar w:fldCharType="separate"/>
        </w:r>
        <w:r>
          <w:t>842</w:t>
        </w:r>
        <w:r>
          <w:fldChar w:fldCharType="end"/>
        </w:r>
      </w:hyperlink>
    </w:p>
    <w:p w14:paraId="06728C47" w14:textId="20DC3B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7" w:history="1">
        <w:r w:rsidRPr="00533B68">
          <w:t>5442</w:t>
        </w:r>
        <w:r>
          <w:rPr>
            <w:rFonts w:asciiTheme="minorHAnsi" w:eastAsiaTheme="minorEastAsia" w:hAnsiTheme="minorHAnsi" w:cstheme="minorBidi"/>
            <w:kern w:val="2"/>
            <w:sz w:val="24"/>
            <w:szCs w:val="24"/>
            <w:lang w:eastAsia="en-AU"/>
            <w14:ligatures w14:val="standardContextual"/>
          </w:rPr>
          <w:tab/>
        </w:r>
        <w:r w:rsidRPr="00533B68">
          <w:t>Appeals to Court of Appeal—insufficient material</w:t>
        </w:r>
        <w:r>
          <w:tab/>
        </w:r>
        <w:r>
          <w:fldChar w:fldCharType="begin"/>
        </w:r>
        <w:r>
          <w:instrText xml:space="preserve"> PAGEREF _Toc185515117 \h </w:instrText>
        </w:r>
        <w:r>
          <w:fldChar w:fldCharType="separate"/>
        </w:r>
        <w:r>
          <w:t>843</w:t>
        </w:r>
        <w:r>
          <w:fldChar w:fldCharType="end"/>
        </w:r>
      </w:hyperlink>
    </w:p>
    <w:p w14:paraId="737C239B" w14:textId="412E2DD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18" w:history="1">
        <w:r w:rsidR="00AC5392" w:rsidRPr="00533B68">
          <w:t>Division 5.4.6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Appeal—ending all or part of appeal</w:t>
        </w:r>
        <w:r w:rsidR="00AC5392" w:rsidRPr="00AC5392">
          <w:rPr>
            <w:vanish/>
          </w:rPr>
          <w:tab/>
        </w:r>
        <w:r w:rsidR="00AC5392" w:rsidRPr="00AC5392">
          <w:rPr>
            <w:vanish/>
          </w:rPr>
          <w:fldChar w:fldCharType="begin"/>
        </w:r>
        <w:r w:rsidR="00AC5392" w:rsidRPr="00AC5392">
          <w:rPr>
            <w:vanish/>
          </w:rPr>
          <w:instrText xml:space="preserve"> PAGEREF _Toc185515118 \h </w:instrText>
        </w:r>
        <w:r w:rsidR="00AC5392" w:rsidRPr="00AC5392">
          <w:rPr>
            <w:vanish/>
          </w:rPr>
        </w:r>
        <w:r w:rsidR="00AC5392" w:rsidRPr="00AC5392">
          <w:rPr>
            <w:vanish/>
          </w:rPr>
          <w:fldChar w:fldCharType="separate"/>
        </w:r>
        <w:r w:rsidR="00AC5392" w:rsidRPr="00AC5392">
          <w:rPr>
            <w:vanish/>
          </w:rPr>
          <w:t>844</w:t>
        </w:r>
        <w:r w:rsidR="00AC5392" w:rsidRPr="00AC5392">
          <w:rPr>
            <w:vanish/>
          </w:rPr>
          <w:fldChar w:fldCharType="end"/>
        </w:r>
      </w:hyperlink>
    </w:p>
    <w:p w14:paraId="7C6EEAC4" w14:textId="3BE6DCF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19" w:history="1">
        <w:r w:rsidRPr="00533B68">
          <w:t>5470</w:t>
        </w:r>
        <w:r>
          <w:rPr>
            <w:rFonts w:asciiTheme="minorHAnsi" w:eastAsiaTheme="minorEastAsia" w:hAnsiTheme="minorHAnsi" w:cstheme="minorBidi"/>
            <w:kern w:val="2"/>
            <w:sz w:val="24"/>
            <w:szCs w:val="24"/>
            <w:lang w:eastAsia="en-AU"/>
            <w14:ligatures w14:val="standardContextual"/>
          </w:rPr>
          <w:tab/>
        </w:r>
        <w:r w:rsidRPr="00533B68">
          <w:t>Appeals to Court of Appeal—abandonment of ground of appeal</w:t>
        </w:r>
        <w:r>
          <w:tab/>
        </w:r>
        <w:r>
          <w:fldChar w:fldCharType="begin"/>
        </w:r>
        <w:r>
          <w:instrText xml:space="preserve"> PAGEREF _Toc185515119 \h </w:instrText>
        </w:r>
        <w:r>
          <w:fldChar w:fldCharType="separate"/>
        </w:r>
        <w:r>
          <w:t>844</w:t>
        </w:r>
        <w:r>
          <w:fldChar w:fldCharType="end"/>
        </w:r>
      </w:hyperlink>
    </w:p>
    <w:p w14:paraId="46314BFA" w14:textId="22B779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20" w:history="1">
        <w:r w:rsidRPr="00533B68">
          <w:t>5471</w:t>
        </w:r>
        <w:r>
          <w:rPr>
            <w:rFonts w:asciiTheme="minorHAnsi" w:eastAsiaTheme="minorEastAsia" w:hAnsiTheme="minorHAnsi" w:cstheme="minorBidi"/>
            <w:kern w:val="2"/>
            <w:sz w:val="24"/>
            <w:szCs w:val="24"/>
            <w:lang w:eastAsia="en-AU"/>
            <w14:ligatures w14:val="standardContextual"/>
          </w:rPr>
          <w:tab/>
        </w:r>
        <w:r w:rsidRPr="00533B68">
          <w:t>Appeals to Court of Appeal—discontinuance of appeal</w:t>
        </w:r>
        <w:r>
          <w:tab/>
        </w:r>
        <w:r>
          <w:fldChar w:fldCharType="begin"/>
        </w:r>
        <w:r>
          <w:instrText xml:space="preserve"> PAGEREF _Toc185515120 \h </w:instrText>
        </w:r>
        <w:r>
          <w:fldChar w:fldCharType="separate"/>
        </w:r>
        <w:r>
          <w:t>844</w:t>
        </w:r>
        <w:r>
          <w:fldChar w:fldCharType="end"/>
        </w:r>
      </w:hyperlink>
    </w:p>
    <w:p w14:paraId="6C3C8983" w14:textId="73B622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21" w:history="1">
        <w:r w:rsidRPr="00533B68">
          <w:t>5472</w:t>
        </w:r>
        <w:r>
          <w:rPr>
            <w:rFonts w:asciiTheme="minorHAnsi" w:eastAsiaTheme="minorEastAsia" w:hAnsiTheme="minorHAnsi" w:cstheme="minorBidi"/>
            <w:kern w:val="2"/>
            <w:sz w:val="24"/>
            <w:szCs w:val="24"/>
            <w:lang w:eastAsia="en-AU"/>
            <w14:ligatures w14:val="standardContextual"/>
          </w:rPr>
          <w:tab/>
        </w:r>
        <w:r w:rsidRPr="00533B68">
          <w:t>Appeals to Court of Appeal—competency of appeal</w:t>
        </w:r>
        <w:r>
          <w:tab/>
        </w:r>
        <w:r>
          <w:fldChar w:fldCharType="begin"/>
        </w:r>
        <w:r>
          <w:instrText xml:space="preserve"> PAGEREF _Toc185515121 \h </w:instrText>
        </w:r>
        <w:r>
          <w:fldChar w:fldCharType="separate"/>
        </w:r>
        <w:r>
          <w:t>846</w:t>
        </w:r>
        <w:r>
          <w:fldChar w:fldCharType="end"/>
        </w:r>
      </w:hyperlink>
    </w:p>
    <w:p w14:paraId="697462AB" w14:textId="2D4B99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22" w:history="1">
        <w:r w:rsidRPr="00533B68">
          <w:t>5473</w:t>
        </w:r>
        <w:r>
          <w:rPr>
            <w:rFonts w:asciiTheme="minorHAnsi" w:eastAsiaTheme="minorEastAsia" w:hAnsiTheme="minorHAnsi" w:cstheme="minorBidi"/>
            <w:kern w:val="2"/>
            <w:sz w:val="24"/>
            <w:szCs w:val="24"/>
            <w:lang w:eastAsia="en-AU"/>
            <w14:ligatures w14:val="standardContextual"/>
          </w:rPr>
          <w:tab/>
        </w:r>
        <w:r w:rsidRPr="00533B68">
          <w:t>Appeals to Court of Appeal—costs for failure to apply for appeal to be struck out as incompetent</w:t>
        </w:r>
        <w:r>
          <w:tab/>
        </w:r>
        <w:r>
          <w:fldChar w:fldCharType="begin"/>
        </w:r>
        <w:r>
          <w:instrText xml:space="preserve"> PAGEREF _Toc185515122 \h </w:instrText>
        </w:r>
        <w:r>
          <w:fldChar w:fldCharType="separate"/>
        </w:r>
        <w:r>
          <w:t>846</w:t>
        </w:r>
        <w:r>
          <w:fldChar w:fldCharType="end"/>
        </w:r>
      </w:hyperlink>
    </w:p>
    <w:p w14:paraId="30FA3288" w14:textId="4850B27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23" w:history="1">
        <w:r w:rsidRPr="00533B68">
          <w:t>5474</w:t>
        </w:r>
        <w:r>
          <w:rPr>
            <w:rFonts w:asciiTheme="minorHAnsi" w:eastAsiaTheme="minorEastAsia" w:hAnsiTheme="minorHAnsi" w:cstheme="minorBidi"/>
            <w:kern w:val="2"/>
            <w:sz w:val="24"/>
            <w:szCs w:val="24"/>
            <w:lang w:eastAsia="en-AU"/>
            <w14:ligatures w14:val="standardContextual"/>
          </w:rPr>
          <w:tab/>
        </w:r>
        <w:r w:rsidRPr="00533B68">
          <w:t>Appeals to Court of Appeal—dismissal by consent</w:t>
        </w:r>
        <w:r>
          <w:tab/>
        </w:r>
        <w:r>
          <w:fldChar w:fldCharType="begin"/>
        </w:r>
        <w:r>
          <w:instrText xml:space="preserve"> PAGEREF _Toc185515123 \h </w:instrText>
        </w:r>
        <w:r>
          <w:fldChar w:fldCharType="separate"/>
        </w:r>
        <w:r>
          <w:t>846</w:t>
        </w:r>
        <w:r>
          <w:fldChar w:fldCharType="end"/>
        </w:r>
      </w:hyperlink>
    </w:p>
    <w:p w14:paraId="09716147" w14:textId="5ADA587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24" w:history="1">
        <w:r w:rsidRPr="00533B68">
          <w:t>5475</w:t>
        </w:r>
        <w:r>
          <w:rPr>
            <w:rFonts w:asciiTheme="minorHAnsi" w:eastAsiaTheme="minorEastAsia" w:hAnsiTheme="minorHAnsi" w:cstheme="minorBidi"/>
            <w:kern w:val="2"/>
            <w:sz w:val="24"/>
            <w:szCs w:val="24"/>
            <w:lang w:eastAsia="en-AU"/>
            <w14:ligatures w14:val="standardContextual"/>
          </w:rPr>
          <w:tab/>
        </w:r>
        <w:r w:rsidRPr="00533B68">
          <w:t>Appeals to Court of Appeal—consent orders</w:t>
        </w:r>
        <w:r>
          <w:tab/>
        </w:r>
        <w:r>
          <w:fldChar w:fldCharType="begin"/>
        </w:r>
        <w:r>
          <w:instrText xml:space="preserve"> PAGEREF _Toc185515124 \h </w:instrText>
        </w:r>
        <w:r>
          <w:fldChar w:fldCharType="separate"/>
        </w:r>
        <w:r>
          <w:t>847</w:t>
        </w:r>
        <w:r>
          <w:fldChar w:fldCharType="end"/>
        </w:r>
      </w:hyperlink>
    </w:p>
    <w:p w14:paraId="5DAD9A69" w14:textId="10B8649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25" w:history="1">
        <w:r w:rsidR="00AC5392" w:rsidRPr="00533B68">
          <w:t>Division 5.4.7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Appeal—convictions and sentences</w:t>
        </w:r>
        <w:r w:rsidR="00AC5392" w:rsidRPr="00AC5392">
          <w:rPr>
            <w:vanish/>
          </w:rPr>
          <w:tab/>
        </w:r>
        <w:r w:rsidR="00AC5392" w:rsidRPr="00AC5392">
          <w:rPr>
            <w:vanish/>
          </w:rPr>
          <w:fldChar w:fldCharType="begin"/>
        </w:r>
        <w:r w:rsidR="00AC5392" w:rsidRPr="00AC5392">
          <w:rPr>
            <w:vanish/>
          </w:rPr>
          <w:instrText xml:space="preserve"> PAGEREF _Toc185515125 \h </w:instrText>
        </w:r>
        <w:r w:rsidR="00AC5392" w:rsidRPr="00AC5392">
          <w:rPr>
            <w:vanish/>
          </w:rPr>
        </w:r>
        <w:r w:rsidR="00AC5392" w:rsidRPr="00AC5392">
          <w:rPr>
            <w:vanish/>
          </w:rPr>
          <w:fldChar w:fldCharType="separate"/>
        </w:r>
        <w:r w:rsidR="00AC5392" w:rsidRPr="00AC5392">
          <w:rPr>
            <w:vanish/>
          </w:rPr>
          <w:t>848</w:t>
        </w:r>
        <w:r w:rsidR="00AC5392" w:rsidRPr="00AC5392">
          <w:rPr>
            <w:vanish/>
          </w:rPr>
          <w:fldChar w:fldCharType="end"/>
        </w:r>
      </w:hyperlink>
    </w:p>
    <w:p w14:paraId="6809A222" w14:textId="21D683BA"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126" w:history="1">
        <w:r w:rsidR="00AC5392" w:rsidRPr="00533B68">
          <w:t>Subdivision 5.4.7.1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Appeal—convictions and sentences preliminary</w:t>
        </w:r>
        <w:r w:rsidR="00AC5392" w:rsidRPr="00AC5392">
          <w:rPr>
            <w:vanish/>
          </w:rPr>
          <w:tab/>
        </w:r>
        <w:r w:rsidR="00AC5392" w:rsidRPr="00AC5392">
          <w:rPr>
            <w:vanish/>
          </w:rPr>
          <w:fldChar w:fldCharType="begin"/>
        </w:r>
        <w:r w:rsidR="00AC5392" w:rsidRPr="00AC5392">
          <w:rPr>
            <w:vanish/>
          </w:rPr>
          <w:instrText xml:space="preserve"> PAGEREF _Toc185515126 \h </w:instrText>
        </w:r>
        <w:r w:rsidR="00AC5392" w:rsidRPr="00AC5392">
          <w:rPr>
            <w:vanish/>
          </w:rPr>
        </w:r>
        <w:r w:rsidR="00AC5392" w:rsidRPr="00AC5392">
          <w:rPr>
            <w:vanish/>
          </w:rPr>
          <w:fldChar w:fldCharType="separate"/>
        </w:r>
        <w:r w:rsidR="00AC5392" w:rsidRPr="00AC5392">
          <w:rPr>
            <w:vanish/>
          </w:rPr>
          <w:t>848</w:t>
        </w:r>
        <w:r w:rsidR="00AC5392" w:rsidRPr="00AC5392">
          <w:rPr>
            <w:vanish/>
          </w:rPr>
          <w:fldChar w:fldCharType="end"/>
        </w:r>
      </w:hyperlink>
    </w:p>
    <w:p w14:paraId="549DD315" w14:textId="057FB4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27" w:history="1">
        <w:r w:rsidRPr="00533B68">
          <w:t>5500</w:t>
        </w:r>
        <w:r>
          <w:rPr>
            <w:rFonts w:asciiTheme="minorHAnsi" w:eastAsiaTheme="minorEastAsia" w:hAnsiTheme="minorHAnsi" w:cstheme="minorBidi"/>
            <w:kern w:val="2"/>
            <w:sz w:val="24"/>
            <w:szCs w:val="24"/>
            <w:lang w:eastAsia="en-AU"/>
            <w14:ligatures w14:val="standardContextual"/>
          </w:rPr>
          <w:tab/>
        </w:r>
        <w:r w:rsidRPr="00533B68">
          <w:t>Definitions—div 5.4.7</w:t>
        </w:r>
        <w:r>
          <w:tab/>
        </w:r>
        <w:r>
          <w:fldChar w:fldCharType="begin"/>
        </w:r>
        <w:r>
          <w:instrText xml:space="preserve"> PAGEREF _Toc185515127 \h </w:instrText>
        </w:r>
        <w:r>
          <w:fldChar w:fldCharType="separate"/>
        </w:r>
        <w:r>
          <w:t>848</w:t>
        </w:r>
        <w:r>
          <w:fldChar w:fldCharType="end"/>
        </w:r>
      </w:hyperlink>
    </w:p>
    <w:p w14:paraId="45B7B993" w14:textId="11505769"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128" w:history="1">
        <w:r w:rsidR="00AC5392" w:rsidRPr="00533B68">
          <w:t>Subdivision 5.4.7.2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Appeal—leave to appeal out of time by convicted person</w:t>
        </w:r>
        <w:r w:rsidR="00AC5392" w:rsidRPr="00AC5392">
          <w:rPr>
            <w:vanish/>
          </w:rPr>
          <w:tab/>
        </w:r>
        <w:r w:rsidR="00AC5392" w:rsidRPr="00AC5392">
          <w:rPr>
            <w:vanish/>
          </w:rPr>
          <w:fldChar w:fldCharType="begin"/>
        </w:r>
        <w:r w:rsidR="00AC5392" w:rsidRPr="00AC5392">
          <w:rPr>
            <w:vanish/>
          </w:rPr>
          <w:instrText xml:space="preserve"> PAGEREF _Toc185515128 \h </w:instrText>
        </w:r>
        <w:r w:rsidR="00AC5392" w:rsidRPr="00AC5392">
          <w:rPr>
            <w:vanish/>
          </w:rPr>
        </w:r>
        <w:r w:rsidR="00AC5392" w:rsidRPr="00AC5392">
          <w:rPr>
            <w:vanish/>
          </w:rPr>
          <w:fldChar w:fldCharType="separate"/>
        </w:r>
        <w:r w:rsidR="00AC5392" w:rsidRPr="00AC5392">
          <w:rPr>
            <w:vanish/>
          </w:rPr>
          <w:t>848</w:t>
        </w:r>
        <w:r w:rsidR="00AC5392" w:rsidRPr="00AC5392">
          <w:rPr>
            <w:vanish/>
          </w:rPr>
          <w:fldChar w:fldCharType="end"/>
        </w:r>
      </w:hyperlink>
    </w:p>
    <w:p w14:paraId="34571A4A" w14:textId="0F2F127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29" w:history="1">
        <w:r w:rsidRPr="00533B68">
          <w:t>5505</w:t>
        </w:r>
        <w:r>
          <w:rPr>
            <w:rFonts w:asciiTheme="minorHAnsi" w:eastAsiaTheme="minorEastAsia" w:hAnsiTheme="minorHAnsi" w:cstheme="minorBidi"/>
            <w:kern w:val="2"/>
            <w:sz w:val="24"/>
            <w:szCs w:val="24"/>
            <w:lang w:eastAsia="en-AU"/>
            <w14:ligatures w14:val="standardContextual"/>
          </w:rPr>
          <w:tab/>
        </w:r>
        <w:r w:rsidRPr="00533B68">
          <w:t>Application—sdiv 5.4.7.2</w:t>
        </w:r>
        <w:r>
          <w:tab/>
        </w:r>
        <w:r>
          <w:fldChar w:fldCharType="begin"/>
        </w:r>
        <w:r>
          <w:instrText xml:space="preserve"> PAGEREF _Toc185515129 \h </w:instrText>
        </w:r>
        <w:r>
          <w:fldChar w:fldCharType="separate"/>
        </w:r>
        <w:r>
          <w:t>848</w:t>
        </w:r>
        <w:r>
          <w:fldChar w:fldCharType="end"/>
        </w:r>
      </w:hyperlink>
    </w:p>
    <w:p w14:paraId="0C985337" w14:textId="1BE5027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30" w:history="1">
        <w:r w:rsidRPr="00533B68">
          <w:t>5506</w:t>
        </w:r>
        <w:r>
          <w:rPr>
            <w:rFonts w:asciiTheme="minorHAnsi" w:eastAsiaTheme="minorEastAsia" w:hAnsiTheme="minorHAnsi" w:cstheme="minorBidi"/>
            <w:kern w:val="2"/>
            <w:sz w:val="24"/>
            <w:szCs w:val="24"/>
            <w:lang w:eastAsia="en-AU"/>
            <w14:ligatures w14:val="standardContextual"/>
          </w:rPr>
          <w:tab/>
        </w:r>
        <w:r w:rsidRPr="00533B68">
          <w:t>Appeals to Court of Appeal—application for leave to appeal out of time against conviction or sentence</w:t>
        </w:r>
        <w:r>
          <w:tab/>
        </w:r>
        <w:r>
          <w:fldChar w:fldCharType="begin"/>
        </w:r>
        <w:r>
          <w:instrText xml:space="preserve"> PAGEREF _Toc185515130 \h </w:instrText>
        </w:r>
        <w:r>
          <w:fldChar w:fldCharType="separate"/>
        </w:r>
        <w:r>
          <w:t>849</w:t>
        </w:r>
        <w:r>
          <w:fldChar w:fldCharType="end"/>
        </w:r>
      </w:hyperlink>
    </w:p>
    <w:p w14:paraId="4ABD1FA6" w14:textId="3B9CDD95"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131" w:history="1">
        <w:r w:rsidRPr="00533B68">
          <w:t>5507</w:t>
        </w:r>
        <w:r>
          <w:rPr>
            <w:rFonts w:asciiTheme="minorHAnsi" w:eastAsiaTheme="minorEastAsia" w:hAnsiTheme="minorHAnsi" w:cstheme="minorBidi"/>
            <w:kern w:val="2"/>
            <w:sz w:val="24"/>
            <w:szCs w:val="24"/>
            <w:lang w:eastAsia="en-AU"/>
            <w14:ligatures w14:val="standardContextual"/>
          </w:rPr>
          <w:tab/>
        </w:r>
        <w:r w:rsidRPr="00533B68">
          <w:t>Appeals to Court of Appeal—application for leave to appeal out of time against conviction or sentence to be sealed</w:t>
        </w:r>
        <w:r>
          <w:tab/>
        </w:r>
        <w:r>
          <w:fldChar w:fldCharType="begin"/>
        </w:r>
        <w:r>
          <w:instrText xml:space="preserve"> PAGEREF _Toc185515131 \h </w:instrText>
        </w:r>
        <w:r>
          <w:fldChar w:fldCharType="separate"/>
        </w:r>
        <w:r>
          <w:t>849</w:t>
        </w:r>
        <w:r>
          <w:fldChar w:fldCharType="end"/>
        </w:r>
      </w:hyperlink>
    </w:p>
    <w:p w14:paraId="547405C2" w14:textId="0BED801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32" w:history="1">
        <w:r w:rsidRPr="00533B68">
          <w:t>5508</w:t>
        </w:r>
        <w:r>
          <w:rPr>
            <w:rFonts w:asciiTheme="minorHAnsi" w:eastAsiaTheme="minorEastAsia" w:hAnsiTheme="minorHAnsi" w:cstheme="minorBidi"/>
            <w:kern w:val="2"/>
            <w:sz w:val="24"/>
            <w:szCs w:val="24"/>
            <w:lang w:eastAsia="en-AU"/>
            <w14:ligatures w14:val="standardContextual"/>
          </w:rPr>
          <w:tab/>
        </w:r>
        <w:r w:rsidRPr="00533B68">
          <w:t>Appeals to Court of Appeal—serving application for leave to appeal out of time against conviction or sentence</w:t>
        </w:r>
        <w:r>
          <w:tab/>
        </w:r>
        <w:r>
          <w:fldChar w:fldCharType="begin"/>
        </w:r>
        <w:r>
          <w:instrText xml:space="preserve"> PAGEREF _Toc185515132 \h </w:instrText>
        </w:r>
        <w:r>
          <w:fldChar w:fldCharType="separate"/>
        </w:r>
        <w:r>
          <w:t>850</w:t>
        </w:r>
        <w:r>
          <w:fldChar w:fldCharType="end"/>
        </w:r>
      </w:hyperlink>
    </w:p>
    <w:p w14:paraId="020DD73F" w14:textId="315889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33" w:history="1">
        <w:r w:rsidRPr="00533B68">
          <w:t>5509</w:t>
        </w:r>
        <w:r>
          <w:rPr>
            <w:rFonts w:asciiTheme="minorHAnsi" w:eastAsiaTheme="minorEastAsia" w:hAnsiTheme="minorHAnsi" w:cstheme="minorBidi"/>
            <w:kern w:val="2"/>
            <w:sz w:val="24"/>
            <w:szCs w:val="24"/>
            <w:lang w:eastAsia="en-AU"/>
            <w14:ligatures w14:val="standardContextual"/>
          </w:rPr>
          <w:tab/>
        </w:r>
        <w:r w:rsidRPr="00533B68">
          <w:t>Appeals to Court of Appeal—response by DPP to application for leave to appeal out of time against conviction or sentence</w:t>
        </w:r>
        <w:r>
          <w:tab/>
        </w:r>
        <w:r>
          <w:fldChar w:fldCharType="begin"/>
        </w:r>
        <w:r>
          <w:instrText xml:space="preserve"> PAGEREF _Toc185515133 \h </w:instrText>
        </w:r>
        <w:r>
          <w:fldChar w:fldCharType="separate"/>
        </w:r>
        <w:r>
          <w:t>850</w:t>
        </w:r>
        <w:r>
          <w:fldChar w:fldCharType="end"/>
        </w:r>
      </w:hyperlink>
    </w:p>
    <w:p w14:paraId="68073159" w14:textId="2CB2844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34" w:history="1">
        <w:r w:rsidRPr="00533B68">
          <w:t>5510</w:t>
        </w:r>
        <w:r>
          <w:rPr>
            <w:rFonts w:asciiTheme="minorHAnsi" w:eastAsiaTheme="minorEastAsia" w:hAnsiTheme="minorHAnsi" w:cstheme="minorBidi"/>
            <w:kern w:val="2"/>
            <w:sz w:val="24"/>
            <w:szCs w:val="24"/>
            <w:lang w:eastAsia="en-AU"/>
            <w14:ligatures w14:val="standardContextual"/>
          </w:rPr>
          <w:tab/>
        </w:r>
        <w:r w:rsidRPr="00533B68">
          <w:t>Appeals to Court of Appeal—registrar’s decision on application for leave to appeal out of time against conviction or sentence</w:t>
        </w:r>
        <w:r>
          <w:tab/>
        </w:r>
        <w:r>
          <w:fldChar w:fldCharType="begin"/>
        </w:r>
        <w:r>
          <w:instrText xml:space="preserve"> PAGEREF _Toc185515134 \h </w:instrText>
        </w:r>
        <w:r>
          <w:fldChar w:fldCharType="separate"/>
        </w:r>
        <w:r>
          <w:t>851</w:t>
        </w:r>
        <w:r>
          <w:fldChar w:fldCharType="end"/>
        </w:r>
      </w:hyperlink>
    </w:p>
    <w:p w14:paraId="76FD1CA4" w14:textId="481F1D3E"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135" w:history="1">
        <w:r w:rsidR="00AC5392" w:rsidRPr="00533B68">
          <w:t>Subdivision 5.4.7.3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Appeal—leave to appeal out of time by DPP</w:t>
        </w:r>
        <w:r w:rsidR="00AC5392" w:rsidRPr="00AC5392">
          <w:rPr>
            <w:vanish/>
          </w:rPr>
          <w:tab/>
        </w:r>
        <w:r w:rsidR="00AC5392" w:rsidRPr="00AC5392">
          <w:rPr>
            <w:vanish/>
          </w:rPr>
          <w:fldChar w:fldCharType="begin"/>
        </w:r>
        <w:r w:rsidR="00AC5392" w:rsidRPr="00AC5392">
          <w:rPr>
            <w:vanish/>
          </w:rPr>
          <w:instrText xml:space="preserve"> PAGEREF _Toc185515135 \h </w:instrText>
        </w:r>
        <w:r w:rsidR="00AC5392" w:rsidRPr="00AC5392">
          <w:rPr>
            <w:vanish/>
          </w:rPr>
        </w:r>
        <w:r w:rsidR="00AC5392" w:rsidRPr="00AC5392">
          <w:rPr>
            <w:vanish/>
          </w:rPr>
          <w:fldChar w:fldCharType="separate"/>
        </w:r>
        <w:r w:rsidR="00AC5392" w:rsidRPr="00AC5392">
          <w:rPr>
            <w:vanish/>
          </w:rPr>
          <w:t>852</w:t>
        </w:r>
        <w:r w:rsidR="00AC5392" w:rsidRPr="00AC5392">
          <w:rPr>
            <w:vanish/>
          </w:rPr>
          <w:fldChar w:fldCharType="end"/>
        </w:r>
      </w:hyperlink>
    </w:p>
    <w:p w14:paraId="6740B357" w14:textId="5788872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36" w:history="1">
        <w:r w:rsidRPr="00533B68">
          <w:t>5520</w:t>
        </w:r>
        <w:r>
          <w:rPr>
            <w:rFonts w:asciiTheme="minorHAnsi" w:eastAsiaTheme="minorEastAsia" w:hAnsiTheme="minorHAnsi" w:cstheme="minorBidi"/>
            <w:kern w:val="2"/>
            <w:sz w:val="24"/>
            <w:szCs w:val="24"/>
            <w:lang w:eastAsia="en-AU"/>
            <w14:ligatures w14:val="standardContextual"/>
          </w:rPr>
          <w:tab/>
        </w:r>
        <w:r w:rsidRPr="00533B68">
          <w:t>Application of div 5.4.3 to certain appeals by DPP</w:t>
        </w:r>
        <w:r>
          <w:tab/>
        </w:r>
        <w:r>
          <w:fldChar w:fldCharType="begin"/>
        </w:r>
        <w:r>
          <w:instrText xml:space="preserve"> PAGEREF _Toc185515136 \h </w:instrText>
        </w:r>
        <w:r>
          <w:fldChar w:fldCharType="separate"/>
        </w:r>
        <w:r>
          <w:t>852</w:t>
        </w:r>
        <w:r>
          <w:fldChar w:fldCharType="end"/>
        </w:r>
      </w:hyperlink>
    </w:p>
    <w:p w14:paraId="382D02DF" w14:textId="11E87941"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137" w:history="1">
        <w:r w:rsidR="00AC5392" w:rsidRPr="00533B68">
          <w:t>Subdivision 5.4.7.4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Appeal—convictions and sentences generally</w:t>
        </w:r>
        <w:r w:rsidR="00AC5392" w:rsidRPr="00AC5392">
          <w:rPr>
            <w:vanish/>
          </w:rPr>
          <w:tab/>
        </w:r>
        <w:r w:rsidR="00AC5392" w:rsidRPr="00AC5392">
          <w:rPr>
            <w:vanish/>
          </w:rPr>
          <w:fldChar w:fldCharType="begin"/>
        </w:r>
        <w:r w:rsidR="00AC5392" w:rsidRPr="00AC5392">
          <w:rPr>
            <w:vanish/>
          </w:rPr>
          <w:instrText xml:space="preserve"> PAGEREF _Toc185515137 \h </w:instrText>
        </w:r>
        <w:r w:rsidR="00AC5392" w:rsidRPr="00AC5392">
          <w:rPr>
            <w:vanish/>
          </w:rPr>
        </w:r>
        <w:r w:rsidR="00AC5392" w:rsidRPr="00AC5392">
          <w:rPr>
            <w:vanish/>
          </w:rPr>
          <w:fldChar w:fldCharType="separate"/>
        </w:r>
        <w:r w:rsidR="00AC5392" w:rsidRPr="00AC5392">
          <w:rPr>
            <w:vanish/>
          </w:rPr>
          <w:t>852</w:t>
        </w:r>
        <w:r w:rsidR="00AC5392" w:rsidRPr="00AC5392">
          <w:rPr>
            <w:vanish/>
          </w:rPr>
          <w:fldChar w:fldCharType="end"/>
        </w:r>
      </w:hyperlink>
    </w:p>
    <w:p w14:paraId="31D3FEED" w14:textId="2BB6DA3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38" w:history="1">
        <w:r w:rsidRPr="00533B68">
          <w:t>5530</w:t>
        </w:r>
        <w:r>
          <w:rPr>
            <w:rFonts w:asciiTheme="minorHAnsi" w:eastAsiaTheme="minorEastAsia" w:hAnsiTheme="minorHAnsi" w:cstheme="minorBidi"/>
            <w:kern w:val="2"/>
            <w:sz w:val="24"/>
            <w:szCs w:val="24"/>
            <w:lang w:eastAsia="en-AU"/>
            <w14:ligatures w14:val="standardContextual"/>
          </w:rPr>
          <w:tab/>
        </w:r>
        <w:r w:rsidRPr="00533B68">
          <w:t>Appeals to Court of Appeal—treating application for leave to appeal out of time against conviction or sentence as appeal</w:t>
        </w:r>
        <w:r>
          <w:tab/>
        </w:r>
        <w:r>
          <w:fldChar w:fldCharType="begin"/>
        </w:r>
        <w:r>
          <w:instrText xml:space="preserve"> PAGEREF _Toc185515138 \h </w:instrText>
        </w:r>
        <w:r>
          <w:fldChar w:fldCharType="separate"/>
        </w:r>
        <w:r>
          <w:t>852</w:t>
        </w:r>
        <w:r>
          <w:fldChar w:fldCharType="end"/>
        </w:r>
      </w:hyperlink>
    </w:p>
    <w:p w14:paraId="2CE7A2BD" w14:textId="20DD1B3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39" w:history="1">
        <w:r w:rsidRPr="00533B68">
          <w:t>5531</w:t>
        </w:r>
        <w:r>
          <w:rPr>
            <w:rFonts w:asciiTheme="minorHAnsi" w:eastAsiaTheme="minorEastAsia" w:hAnsiTheme="minorHAnsi" w:cstheme="minorBidi"/>
            <w:kern w:val="2"/>
            <w:sz w:val="24"/>
            <w:szCs w:val="24"/>
            <w:lang w:eastAsia="en-AU"/>
            <w14:ligatures w14:val="standardContextual"/>
          </w:rPr>
          <w:tab/>
        </w:r>
        <w:r w:rsidRPr="00533B68">
          <w:t>Appeals to Court of Appeal—grounds of appeal against conviction or sentence</w:t>
        </w:r>
        <w:r>
          <w:tab/>
        </w:r>
        <w:r>
          <w:fldChar w:fldCharType="begin"/>
        </w:r>
        <w:r>
          <w:instrText xml:space="preserve"> PAGEREF _Toc185515139 \h </w:instrText>
        </w:r>
        <w:r>
          <w:fldChar w:fldCharType="separate"/>
        </w:r>
        <w:r>
          <w:t>852</w:t>
        </w:r>
        <w:r>
          <w:fldChar w:fldCharType="end"/>
        </w:r>
      </w:hyperlink>
    </w:p>
    <w:p w14:paraId="4D5B01EE" w14:textId="5D68B94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0" w:history="1">
        <w:r w:rsidRPr="00533B68">
          <w:t>5532</w:t>
        </w:r>
        <w:r>
          <w:rPr>
            <w:rFonts w:asciiTheme="minorHAnsi" w:eastAsiaTheme="minorEastAsia" w:hAnsiTheme="minorHAnsi" w:cstheme="minorBidi"/>
            <w:kern w:val="2"/>
            <w:sz w:val="24"/>
            <w:szCs w:val="24"/>
            <w:lang w:eastAsia="en-AU"/>
            <w14:ligatures w14:val="standardContextual"/>
          </w:rPr>
          <w:tab/>
        </w:r>
        <w:r w:rsidRPr="00533B68">
          <w:t>Appeals to Court of Appeal—trial judge’s report for appeal against conviction or sentence</w:t>
        </w:r>
        <w:r>
          <w:tab/>
        </w:r>
        <w:r>
          <w:fldChar w:fldCharType="begin"/>
        </w:r>
        <w:r>
          <w:instrText xml:space="preserve"> PAGEREF _Toc185515140 \h </w:instrText>
        </w:r>
        <w:r>
          <w:fldChar w:fldCharType="separate"/>
        </w:r>
        <w:r>
          <w:t>853</w:t>
        </w:r>
        <w:r>
          <w:fldChar w:fldCharType="end"/>
        </w:r>
      </w:hyperlink>
    </w:p>
    <w:p w14:paraId="3765D610" w14:textId="1599E0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1" w:history="1">
        <w:r w:rsidRPr="00533B68">
          <w:t>5533</w:t>
        </w:r>
        <w:r>
          <w:rPr>
            <w:rFonts w:asciiTheme="minorHAnsi" w:eastAsiaTheme="minorEastAsia" w:hAnsiTheme="minorHAnsi" w:cstheme="minorBidi"/>
            <w:kern w:val="2"/>
            <w:sz w:val="24"/>
            <w:szCs w:val="24"/>
            <w:lang w:eastAsia="en-AU"/>
            <w14:ligatures w14:val="standardContextual"/>
          </w:rPr>
          <w:tab/>
        </w:r>
        <w:r w:rsidRPr="00533B68">
          <w:t>Appeals to Court of Appeal—service if convicted person in custody and unrepresented</w:t>
        </w:r>
        <w:r>
          <w:tab/>
        </w:r>
        <w:r>
          <w:fldChar w:fldCharType="begin"/>
        </w:r>
        <w:r>
          <w:instrText xml:space="preserve"> PAGEREF _Toc185515141 \h </w:instrText>
        </w:r>
        <w:r>
          <w:fldChar w:fldCharType="separate"/>
        </w:r>
        <w:r>
          <w:t>853</w:t>
        </w:r>
        <w:r>
          <w:fldChar w:fldCharType="end"/>
        </w:r>
      </w:hyperlink>
    </w:p>
    <w:p w14:paraId="58D1EC0B" w14:textId="4B4159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2" w:history="1">
        <w:r w:rsidRPr="00533B68">
          <w:t>5534</w:t>
        </w:r>
        <w:r>
          <w:rPr>
            <w:rFonts w:asciiTheme="minorHAnsi" w:eastAsiaTheme="minorEastAsia" w:hAnsiTheme="minorHAnsi" w:cstheme="minorBidi"/>
            <w:kern w:val="2"/>
            <w:sz w:val="24"/>
            <w:szCs w:val="24"/>
            <w:lang w:eastAsia="en-AU"/>
            <w14:ligatures w14:val="standardContextual"/>
          </w:rPr>
          <w:tab/>
        </w:r>
        <w:r w:rsidRPr="00533B68">
          <w:t>Appeals to Court of Appeal—written case and presence if convicted person appellant</w:t>
        </w:r>
        <w:r>
          <w:tab/>
        </w:r>
        <w:r>
          <w:fldChar w:fldCharType="begin"/>
        </w:r>
        <w:r>
          <w:instrText xml:space="preserve"> PAGEREF _Toc185515142 \h </w:instrText>
        </w:r>
        <w:r>
          <w:fldChar w:fldCharType="separate"/>
        </w:r>
        <w:r>
          <w:t>854</w:t>
        </w:r>
        <w:r>
          <w:fldChar w:fldCharType="end"/>
        </w:r>
      </w:hyperlink>
    </w:p>
    <w:p w14:paraId="08593FBC" w14:textId="251C1DC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3" w:history="1">
        <w:r w:rsidRPr="00533B68">
          <w:t>5535</w:t>
        </w:r>
        <w:r>
          <w:rPr>
            <w:rFonts w:asciiTheme="minorHAnsi" w:eastAsiaTheme="minorEastAsia" w:hAnsiTheme="minorHAnsi" w:cstheme="minorBidi"/>
            <w:kern w:val="2"/>
            <w:sz w:val="24"/>
            <w:szCs w:val="24"/>
            <w:lang w:eastAsia="en-AU"/>
            <w14:ligatures w14:val="standardContextual"/>
          </w:rPr>
          <w:tab/>
        </w:r>
        <w:r w:rsidRPr="00533B68">
          <w:t>Appeals to Court of Appeal—order for production of offender</w:t>
        </w:r>
        <w:r>
          <w:tab/>
        </w:r>
        <w:r>
          <w:fldChar w:fldCharType="begin"/>
        </w:r>
        <w:r>
          <w:instrText xml:space="preserve"> PAGEREF _Toc185515143 \h </w:instrText>
        </w:r>
        <w:r>
          <w:fldChar w:fldCharType="separate"/>
        </w:r>
        <w:r>
          <w:t>855</w:t>
        </w:r>
        <w:r>
          <w:fldChar w:fldCharType="end"/>
        </w:r>
      </w:hyperlink>
    </w:p>
    <w:p w14:paraId="62EECBB0" w14:textId="42AEE94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4" w:history="1">
        <w:r w:rsidRPr="00533B68">
          <w:t>5536</w:t>
        </w:r>
        <w:r>
          <w:rPr>
            <w:rFonts w:asciiTheme="minorHAnsi" w:eastAsiaTheme="minorEastAsia" w:hAnsiTheme="minorHAnsi" w:cstheme="minorBidi"/>
            <w:kern w:val="2"/>
            <w:sz w:val="24"/>
            <w:szCs w:val="24"/>
            <w:lang w:eastAsia="en-AU"/>
            <w14:ligatures w14:val="standardContextual"/>
          </w:rPr>
          <w:tab/>
        </w:r>
        <w:r w:rsidRPr="00533B68">
          <w:t>Appeals to Court of Appeal—fine paid to be kept pending appeal</w:t>
        </w:r>
        <w:r>
          <w:tab/>
        </w:r>
        <w:r>
          <w:fldChar w:fldCharType="begin"/>
        </w:r>
        <w:r>
          <w:instrText xml:space="preserve"> PAGEREF _Toc185515144 \h </w:instrText>
        </w:r>
        <w:r>
          <w:fldChar w:fldCharType="separate"/>
        </w:r>
        <w:r>
          <w:t>856</w:t>
        </w:r>
        <w:r>
          <w:fldChar w:fldCharType="end"/>
        </w:r>
      </w:hyperlink>
    </w:p>
    <w:p w14:paraId="7E090835" w14:textId="4B392DE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5" w:history="1">
        <w:r w:rsidRPr="00533B68">
          <w:t>5537</w:t>
        </w:r>
        <w:r>
          <w:rPr>
            <w:rFonts w:asciiTheme="minorHAnsi" w:eastAsiaTheme="minorEastAsia" w:hAnsiTheme="minorHAnsi" w:cstheme="minorBidi"/>
            <w:kern w:val="2"/>
            <w:sz w:val="24"/>
            <w:szCs w:val="24"/>
            <w:lang w:eastAsia="en-AU"/>
            <w14:ligatures w14:val="standardContextual"/>
          </w:rPr>
          <w:tab/>
        </w:r>
        <w:r w:rsidRPr="00533B68">
          <w:t>Appeals to Court of Appeal—solicitor’s instructions to act for convicted person ended</w:t>
        </w:r>
        <w:r>
          <w:tab/>
        </w:r>
        <w:r>
          <w:fldChar w:fldCharType="begin"/>
        </w:r>
        <w:r>
          <w:instrText xml:space="preserve"> PAGEREF _Toc185515145 \h </w:instrText>
        </w:r>
        <w:r>
          <w:fldChar w:fldCharType="separate"/>
        </w:r>
        <w:r>
          <w:t>857</w:t>
        </w:r>
        <w:r>
          <w:fldChar w:fldCharType="end"/>
        </w:r>
      </w:hyperlink>
    </w:p>
    <w:p w14:paraId="3B8CE153" w14:textId="6BA2C5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6" w:history="1">
        <w:r w:rsidRPr="00533B68">
          <w:t>5538</w:t>
        </w:r>
        <w:r>
          <w:rPr>
            <w:rFonts w:asciiTheme="minorHAnsi" w:eastAsiaTheme="minorEastAsia" w:hAnsiTheme="minorHAnsi" w:cstheme="minorBidi"/>
            <w:kern w:val="2"/>
            <w:sz w:val="24"/>
            <w:szCs w:val="24"/>
            <w:lang w:eastAsia="en-AU"/>
            <w14:ligatures w14:val="standardContextual"/>
          </w:rPr>
          <w:tab/>
        </w:r>
        <w:r w:rsidRPr="00533B68">
          <w:t>Appeals to Court of Appeal—solicitor wants to withdraw from acting for convicted person</w:t>
        </w:r>
        <w:r>
          <w:tab/>
        </w:r>
        <w:r>
          <w:fldChar w:fldCharType="begin"/>
        </w:r>
        <w:r>
          <w:instrText xml:space="preserve"> PAGEREF _Toc185515146 \h </w:instrText>
        </w:r>
        <w:r>
          <w:fldChar w:fldCharType="separate"/>
        </w:r>
        <w:r>
          <w:t>858</w:t>
        </w:r>
        <w:r>
          <w:fldChar w:fldCharType="end"/>
        </w:r>
      </w:hyperlink>
    </w:p>
    <w:p w14:paraId="26AD0199" w14:textId="5E74C8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7" w:history="1">
        <w:r w:rsidRPr="00533B68">
          <w:t>5539</w:t>
        </w:r>
        <w:r>
          <w:rPr>
            <w:rFonts w:asciiTheme="minorHAnsi" w:eastAsiaTheme="minorEastAsia" w:hAnsiTheme="minorHAnsi" w:cstheme="minorBidi"/>
            <w:kern w:val="2"/>
            <w:sz w:val="24"/>
            <w:szCs w:val="24"/>
            <w:lang w:eastAsia="en-AU"/>
            <w14:ligatures w14:val="standardContextual"/>
          </w:rPr>
          <w:tab/>
        </w:r>
        <w:r w:rsidRPr="00533B68">
          <w:t>Appeals to Court of Appeal—notification of result of appeal against conviction etc</w:t>
        </w:r>
        <w:r>
          <w:tab/>
        </w:r>
        <w:r>
          <w:fldChar w:fldCharType="begin"/>
        </w:r>
        <w:r>
          <w:instrText xml:space="preserve"> PAGEREF _Toc185515147 \h </w:instrText>
        </w:r>
        <w:r>
          <w:fldChar w:fldCharType="separate"/>
        </w:r>
        <w:r>
          <w:t>859</w:t>
        </w:r>
        <w:r>
          <w:fldChar w:fldCharType="end"/>
        </w:r>
      </w:hyperlink>
    </w:p>
    <w:p w14:paraId="56231941" w14:textId="378763E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48" w:history="1">
        <w:r w:rsidR="00AC5392" w:rsidRPr="00533B68">
          <w:t>Division 5.4.8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Appeals to Court of Appeal—miscellaneous</w:t>
        </w:r>
        <w:r w:rsidR="00AC5392" w:rsidRPr="00AC5392">
          <w:rPr>
            <w:vanish/>
          </w:rPr>
          <w:tab/>
        </w:r>
        <w:r w:rsidR="00AC5392" w:rsidRPr="00AC5392">
          <w:rPr>
            <w:vanish/>
          </w:rPr>
          <w:fldChar w:fldCharType="begin"/>
        </w:r>
        <w:r w:rsidR="00AC5392" w:rsidRPr="00AC5392">
          <w:rPr>
            <w:vanish/>
          </w:rPr>
          <w:instrText xml:space="preserve"> PAGEREF _Toc185515148 \h </w:instrText>
        </w:r>
        <w:r w:rsidR="00AC5392" w:rsidRPr="00AC5392">
          <w:rPr>
            <w:vanish/>
          </w:rPr>
        </w:r>
        <w:r w:rsidR="00AC5392" w:rsidRPr="00AC5392">
          <w:rPr>
            <w:vanish/>
          </w:rPr>
          <w:fldChar w:fldCharType="separate"/>
        </w:r>
        <w:r w:rsidR="00AC5392" w:rsidRPr="00AC5392">
          <w:rPr>
            <w:vanish/>
          </w:rPr>
          <w:t>860</w:t>
        </w:r>
        <w:r w:rsidR="00AC5392" w:rsidRPr="00AC5392">
          <w:rPr>
            <w:vanish/>
          </w:rPr>
          <w:fldChar w:fldCharType="end"/>
        </w:r>
      </w:hyperlink>
    </w:p>
    <w:p w14:paraId="1B8CC82E" w14:textId="412BFC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49" w:history="1">
        <w:r w:rsidRPr="00533B68">
          <w:t>5600</w:t>
        </w:r>
        <w:r>
          <w:rPr>
            <w:rFonts w:asciiTheme="minorHAnsi" w:eastAsiaTheme="minorEastAsia" w:hAnsiTheme="minorHAnsi" w:cstheme="minorBidi"/>
            <w:kern w:val="2"/>
            <w:sz w:val="24"/>
            <w:szCs w:val="24"/>
            <w:lang w:eastAsia="en-AU"/>
            <w14:ligatures w14:val="standardContextual"/>
          </w:rPr>
          <w:tab/>
        </w:r>
        <w:r w:rsidRPr="00533B68">
          <w:t>Appeals to Court of Appeal—power to amend proceedings in court below</w:t>
        </w:r>
        <w:r>
          <w:tab/>
        </w:r>
        <w:r>
          <w:fldChar w:fldCharType="begin"/>
        </w:r>
        <w:r>
          <w:instrText xml:space="preserve"> PAGEREF _Toc185515149 \h </w:instrText>
        </w:r>
        <w:r>
          <w:fldChar w:fldCharType="separate"/>
        </w:r>
        <w:r>
          <w:t>860</w:t>
        </w:r>
        <w:r>
          <w:fldChar w:fldCharType="end"/>
        </w:r>
      </w:hyperlink>
    </w:p>
    <w:p w14:paraId="02E83FF7" w14:textId="4F70A0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0" w:history="1">
        <w:r w:rsidRPr="00533B68">
          <w:t>5601</w:t>
        </w:r>
        <w:r>
          <w:rPr>
            <w:rFonts w:asciiTheme="minorHAnsi" w:eastAsiaTheme="minorEastAsia" w:hAnsiTheme="minorHAnsi" w:cstheme="minorBidi"/>
            <w:kern w:val="2"/>
            <w:sz w:val="24"/>
            <w:szCs w:val="24"/>
            <w:lang w:eastAsia="en-AU"/>
            <w14:ligatures w14:val="standardContextual"/>
          </w:rPr>
          <w:tab/>
        </w:r>
        <w:r w:rsidRPr="00533B68">
          <w:t>Appeals to Court of Appeal—expediting appeals etc</w:t>
        </w:r>
        <w:r>
          <w:tab/>
        </w:r>
        <w:r>
          <w:fldChar w:fldCharType="begin"/>
        </w:r>
        <w:r>
          <w:instrText xml:space="preserve"> PAGEREF _Toc185515150 \h </w:instrText>
        </w:r>
        <w:r>
          <w:fldChar w:fldCharType="separate"/>
        </w:r>
        <w:r>
          <w:t>860</w:t>
        </w:r>
        <w:r>
          <w:fldChar w:fldCharType="end"/>
        </w:r>
      </w:hyperlink>
    </w:p>
    <w:p w14:paraId="22EAA380" w14:textId="2EBD3C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1" w:history="1">
        <w:r w:rsidRPr="00533B68">
          <w:t>5602</w:t>
        </w:r>
        <w:r>
          <w:rPr>
            <w:rFonts w:asciiTheme="minorHAnsi" w:eastAsiaTheme="minorEastAsia" w:hAnsiTheme="minorHAnsi" w:cstheme="minorBidi"/>
            <w:kern w:val="2"/>
            <w:sz w:val="24"/>
            <w:szCs w:val="24"/>
            <w:lang w:eastAsia="en-AU"/>
            <w14:ligatures w14:val="standardContextual"/>
          </w:rPr>
          <w:tab/>
        </w:r>
        <w:r w:rsidRPr="00533B68">
          <w:t>Appeals to Court of Appeal—directions about appeal etc</w:t>
        </w:r>
        <w:r>
          <w:tab/>
        </w:r>
        <w:r>
          <w:fldChar w:fldCharType="begin"/>
        </w:r>
        <w:r>
          <w:instrText xml:space="preserve"> PAGEREF _Toc185515151 \h </w:instrText>
        </w:r>
        <w:r>
          <w:fldChar w:fldCharType="separate"/>
        </w:r>
        <w:r>
          <w:t>860</w:t>
        </w:r>
        <w:r>
          <w:fldChar w:fldCharType="end"/>
        </w:r>
      </w:hyperlink>
    </w:p>
    <w:p w14:paraId="1E8F24E5" w14:textId="2CBD710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2" w:history="1">
        <w:r w:rsidRPr="00533B68">
          <w:t>5603</w:t>
        </w:r>
        <w:r>
          <w:rPr>
            <w:rFonts w:asciiTheme="minorHAnsi" w:eastAsiaTheme="minorEastAsia" w:hAnsiTheme="minorHAnsi" w:cstheme="minorBidi"/>
            <w:kern w:val="2"/>
            <w:sz w:val="24"/>
            <w:szCs w:val="24"/>
            <w:lang w:eastAsia="en-AU"/>
            <w14:ligatures w14:val="standardContextual"/>
          </w:rPr>
          <w:tab/>
        </w:r>
        <w:r w:rsidRPr="00533B68">
          <w:t>Appeals to Court of Appeal—want of prosecution of appeal</w:t>
        </w:r>
        <w:r>
          <w:tab/>
        </w:r>
        <w:r>
          <w:fldChar w:fldCharType="begin"/>
        </w:r>
        <w:r>
          <w:instrText xml:space="preserve"> PAGEREF _Toc185515152 \h </w:instrText>
        </w:r>
        <w:r>
          <w:fldChar w:fldCharType="separate"/>
        </w:r>
        <w:r>
          <w:t>861</w:t>
        </w:r>
        <w:r>
          <w:fldChar w:fldCharType="end"/>
        </w:r>
      </w:hyperlink>
    </w:p>
    <w:p w14:paraId="748722EE" w14:textId="7AA57367"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153" w:history="1">
        <w:r w:rsidRPr="00533B68">
          <w:t>5604</w:t>
        </w:r>
        <w:r>
          <w:rPr>
            <w:rFonts w:asciiTheme="minorHAnsi" w:eastAsiaTheme="minorEastAsia" w:hAnsiTheme="minorHAnsi" w:cstheme="minorBidi"/>
            <w:kern w:val="2"/>
            <w:sz w:val="24"/>
            <w:szCs w:val="24"/>
            <w:lang w:eastAsia="en-AU"/>
            <w14:ligatures w14:val="standardContextual"/>
          </w:rPr>
          <w:tab/>
        </w:r>
        <w:r w:rsidRPr="00533B68">
          <w:t>When Court of Appeal may be constituted by single judge—</w:t>
        </w:r>
        <w:r w:rsidRPr="00533B68">
          <w:rPr>
            <w:rFonts w:cs="Arial"/>
          </w:rPr>
          <w:t>Supreme Court Act 1933</w:t>
        </w:r>
        <w:r w:rsidRPr="00533B68">
          <w:t>, s 37J (1) (h)</w:t>
        </w:r>
        <w:r>
          <w:tab/>
        </w:r>
        <w:r>
          <w:fldChar w:fldCharType="begin"/>
        </w:r>
        <w:r>
          <w:instrText xml:space="preserve"> PAGEREF _Toc185515153 \h </w:instrText>
        </w:r>
        <w:r>
          <w:fldChar w:fldCharType="separate"/>
        </w:r>
        <w:r>
          <w:t>863</w:t>
        </w:r>
        <w:r>
          <w:fldChar w:fldCharType="end"/>
        </w:r>
      </w:hyperlink>
    </w:p>
    <w:p w14:paraId="7F53F812" w14:textId="3849252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4" w:history="1">
        <w:r w:rsidRPr="00533B68">
          <w:t>5605</w:t>
        </w:r>
        <w:r>
          <w:rPr>
            <w:rFonts w:asciiTheme="minorHAnsi" w:eastAsiaTheme="minorEastAsia" w:hAnsiTheme="minorHAnsi" w:cstheme="minorBidi"/>
            <w:kern w:val="2"/>
            <w:sz w:val="24"/>
            <w:szCs w:val="24"/>
            <w:lang w:eastAsia="en-AU"/>
            <w14:ligatures w14:val="standardContextual"/>
          </w:rPr>
          <w:tab/>
        </w:r>
        <w:r w:rsidRPr="00533B68">
          <w:t>Jurisdiction of Court of Appeal that may be exercised by single judge—Supreme Court Act 1933, s 37J (3)</w:t>
        </w:r>
        <w:r>
          <w:tab/>
        </w:r>
        <w:r>
          <w:fldChar w:fldCharType="begin"/>
        </w:r>
        <w:r>
          <w:instrText xml:space="preserve"> PAGEREF _Toc185515154 \h </w:instrText>
        </w:r>
        <w:r>
          <w:fldChar w:fldCharType="separate"/>
        </w:r>
        <w:r>
          <w:t>864</w:t>
        </w:r>
        <w:r>
          <w:fldChar w:fldCharType="end"/>
        </w:r>
      </w:hyperlink>
    </w:p>
    <w:p w14:paraId="5360D53B" w14:textId="692381B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5" w:history="1">
        <w:r w:rsidRPr="00533B68">
          <w:t>5606</w:t>
        </w:r>
        <w:r>
          <w:rPr>
            <w:rFonts w:asciiTheme="minorHAnsi" w:eastAsiaTheme="minorEastAsia" w:hAnsiTheme="minorHAnsi" w:cstheme="minorBidi"/>
            <w:kern w:val="2"/>
            <w:sz w:val="24"/>
            <w:szCs w:val="24"/>
            <w:lang w:eastAsia="en-AU"/>
            <w14:ligatures w14:val="standardContextual"/>
          </w:rPr>
          <w:tab/>
        </w:r>
        <w:r w:rsidRPr="00533B68">
          <w:t>Appeals to Court of Appeal—further evidence on appeal</w:t>
        </w:r>
        <w:r>
          <w:tab/>
        </w:r>
        <w:r>
          <w:fldChar w:fldCharType="begin"/>
        </w:r>
        <w:r>
          <w:instrText xml:space="preserve"> PAGEREF _Toc185515155 \h </w:instrText>
        </w:r>
        <w:r>
          <w:fldChar w:fldCharType="separate"/>
        </w:r>
        <w:r>
          <w:t>864</w:t>
        </w:r>
        <w:r>
          <w:fldChar w:fldCharType="end"/>
        </w:r>
      </w:hyperlink>
    </w:p>
    <w:p w14:paraId="44E11AAA" w14:textId="123431E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6" w:history="1">
        <w:r w:rsidRPr="00533B68">
          <w:t>5607</w:t>
        </w:r>
        <w:r>
          <w:rPr>
            <w:rFonts w:asciiTheme="minorHAnsi" w:eastAsiaTheme="minorEastAsia" w:hAnsiTheme="minorHAnsi" w:cstheme="minorBidi"/>
            <w:kern w:val="2"/>
            <w:sz w:val="24"/>
            <w:szCs w:val="24"/>
            <w:lang w:eastAsia="en-AU"/>
            <w14:ligatures w14:val="standardContextual"/>
          </w:rPr>
          <w:tab/>
        </w:r>
        <w:r w:rsidRPr="00533B68">
          <w:t>Appeals to Court of Appeal—keeping exhibits</w:t>
        </w:r>
        <w:r>
          <w:tab/>
        </w:r>
        <w:r>
          <w:fldChar w:fldCharType="begin"/>
        </w:r>
        <w:r>
          <w:instrText xml:space="preserve"> PAGEREF _Toc185515156 \h </w:instrText>
        </w:r>
        <w:r>
          <w:fldChar w:fldCharType="separate"/>
        </w:r>
        <w:r>
          <w:t>865</w:t>
        </w:r>
        <w:r>
          <w:fldChar w:fldCharType="end"/>
        </w:r>
      </w:hyperlink>
    </w:p>
    <w:p w14:paraId="0AC8CA9F" w14:textId="10D5633D"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157" w:history="1">
        <w:r w:rsidR="00AC5392" w:rsidRPr="00533B68">
          <w:t>Part 5.5</w:t>
        </w:r>
        <w:r w:rsidR="00AC5392">
          <w:rPr>
            <w:rFonts w:asciiTheme="minorHAnsi" w:eastAsiaTheme="minorEastAsia" w:hAnsiTheme="minorHAnsi" w:cstheme="minorBidi"/>
            <w:b w:val="0"/>
            <w:kern w:val="2"/>
            <w:szCs w:val="24"/>
            <w:lang w:eastAsia="en-AU"/>
            <w14:ligatures w14:val="standardContextual"/>
          </w:rPr>
          <w:tab/>
        </w:r>
        <w:r w:rsidR="00AC5392" w:rsidRPr="00533B68">
          <w:t>Orders to review Magistrates Court decisions</w:t>
        </w:r>
        <w:r w:rsidR="00AC5392" w:rsidRPr="00AC5392">
          <w:rPr>
            <w:vanish/>
          </w:rPr>
          <w:tab/>
        </w:r>
        <w:r w:rsidR="00AC5392" w:rsidRPr="00AC5392">
          <w:rPr>
            <w:vanish/>
          </w:rPr>
          <w:fldChar w:fldCharType="begin"/>
        </w:r>
        <w:r w:rsidR="00AC5392" w:rsidRPr="00AC5392">
          <w:rPr>
            <w:vanish/>
          </w:rPr>
          <w:instrText xml:space="preserve"> PAGEREF _Toc185515157 \h </w:instrText>
        </w:r>
        <w:r w:rsidR="00AC5392" w:rsidRPr="00AC5392">
          <w:rPr>
            <w:vanish/>
          </w:rPr>
        </w:r>
        <w:r w:rsidR="00AC5392" w:rsidRPr="00AC5392">
          <w:rPr>
            <w:vanish/>
          </w:rPr>
          <w:fldChar w:fldCharType="separate"/>
        </w:r>
        <w:r w:rsidR="00AC5392" w:rsidRPr="00AC5392">
          <w:rPr>
            <w:vanish/>
          </w:rPr>
          <w:t>866</w:t>
        </w:r>
        <w:r w:rsidR="00AC5392" w:rsidRPr="00AC5392">
          <w:rPr>
            <w:vanish/>
          </w:rPr>
          <w:fldChar w:fldCharType="end"/>
        </w:r>
      </w:hyperlink>
    </w:p>
    <w:p w14:paraId="5411E797" w14:textId="776C59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8" w:history="1">
        <w:r w:rsidRPr="00533B68">
          <w:t>5700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review order</w:t>
        </w:r>
        <w:r w:rsidRPr="00533B68">
          <w:t>—pt 5.5</w:t>
        </w:r>
        <w:r>
          <w:tab/>
        </w:r>
        <w:r>
          <w:fldChar w:fldCharType="begin"/>
        </w:r>
        <w:r>
          <w:instrText xml:space="preserve"> PAGEREF _Toc185515158 \h </w:instrText>
        </w:r>
        <w:r>
          <w:fldChar w:fldCharType="separate"/>
        </w:r>
        <w:r>
          <w:t>866</w:t>
        </w:r>
        <w:r>
          <w:fldChar w:fldCharType="end"/>
        </w:r>
      </w:hyperlink>
    </w:p>
    <w:p w14:paraId="4DEE5DAD" w14:textId="12A87A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59" w:history="1">
        <w:r w:rsidRPr="00533B68">
          <w:t>5701</w:t>
        </w:r>
        <w:r>
          <w:rPr>
            <w:rFonts w:asciiTheme="minorHAnsi" w:eastAsiaTheme="minorEastAsia" w:hAnsiTheme="minorHAnsi" w:cstheme="minorBidi"/>
            <w:kern w:val="2"/>
            <w:sz w:val="24"/>
            <w:szCs w:val="24"/>
            <w:lang w:eastAsia="en-AU"/>
            <w14:ligatures w14:val="standardContextual"/>
          </w:rPr>
          <w:tab/>
        </w:r>
        <w:r w:rsidRPr="00533B68">
          <w:t>Review orders—application for order</w:t>
        </w:r>
        <w:r>
          <w:tab/>
        </w:r>
        <w:r>
          <w:fldChar w:fldCharType="begin"/>
        </w:r>
        <w:r>
          <w:instrText xml:space="preserve"> PAGEREF _Toc185515159 \h </w:instrText>
        </w:r>
        <w:r>
          <w:fldChar w:fldCharType="separate"/>
        </w:r>
        <w:r>
          <w:t>866</w:t>
        </w:r>
        <w:r>
          <w:fldChar w:fldCharType="end"/>
        </w:r>
      </w:hyperlink>
    </w:p>
    <w:p w14:paraId="4C8C9D2C" w14:textId="648113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0" w:history="1">
        <w:r w:rsidRPr="00533B68">
          <w:t>5702</w:t>
        </w:r>
        <w:r>
          <w:rPr>
            <w:rFonts w:asciiTheme="minorHAnsi" w:eastAsiaTheme="minorEastAsia" w:hAnsiTheme="minorHAnsi" w:cstheme="minorBidi"/>
            <w:kern w:val="2"/>
            <w:sz w:val="24"/>
            <w:szCs w:val="24"/>
            <w:lang w:eastAsia="en-AU"/>
            <w14:ligatures w14:val="standardContextual"/>
          </w:rPr>
          <w:tab/>
        </w:r>
        <w:r w:rsidRPr="00533B68">
          <w:t>Review orders—affidavits</w:t>
        </w:r>
        <w:r>
          <w:tab/>
        </w:r>
        <w:r>
          <w:fldChar w:fldCharType="begin"/>
        </w:r>
        <w:r>
          <w:instrText xml:space="preserve"> PAGEREF _Toc185515160 \h </w:instrText>
        </w:r>
        <w:r>
          <w:fldChar w:fldCharType="separate"/>
        </w:r>
        <w:r>
          <w:t>867</w:t>
        </w:r>
        <w:r>
          <w:fldChar w:fldCharType="end"/>
        </w:r>
      </w:hyperlink>
    </w:p>
    <w:p w14:paraId="49768D55" w14:textId="46DF2F9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1" w:history="1">
        <w:r w:rsidRPr="00533B68">
          <w:t>5703</w:t>
        </w:r>
        <w:r>
          <w:rPr>
            <w:rFonts w:asciiTheme="minorHAnsi" w:eastAsiaTheme="minorEastAsia" w:hAnsiTheme="minorHAnsi" w:cstheme="minorBidi"/>
            <w:kern w:val="2"/>
            <w:sz w:val="24"/>
            <w:szCs w:val="24"/>
            <w:lang w:eastAsia="en-AU"/>
            <w14:ligatures w14:val="standardContextual"/>
          </w:rPr>
          <w:tab/>
        </w:r>
        <w:r w:rsidRPr="00533B68">
          <w:t>Review orders—service of applications</w:t>
        </w:r>
        <w:r>
          <w:tab/>
        </w:r>
        <w:r>
          <w:fldChar w:fldCharType="begin"/>
        </w:r>
        <w:r>
          <w:instrText xml:space="preserve"> PAGEREF _Toc185515161 \h </w:instrText>
        </w:r>
        <w:r>
          <w:fldChar w:fldCharType="separate"/>
        </w:r>
        <w:r>
          <w:t>867</w:t>
        </w:r>
        <w:r>
          <w:fldChar w:fldCharType="end"/>
        </w:r>
      </w:hyperlink>
    </w:p>
    <w:p w14:paraId="6418C261" w14:textId="7B31D6A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2" w:history="1">
        <w:r w:rsidRPr="00533B68">
          <w:t>5704</w:t>
        </w:r>
        <w:r>
          <w:rPr>
            <w:rFonts w:asciiTheme="minorHAnsi" w:eastAsiaTheme="minorEastAsia" w:hAnsiTheme="minorHAnsi" w:cstheme="minorBidi"/>
            <w:kern w:val="2"/>
            <w:sz w:val="24"/>
            <w:szCs w:val="24"/>
            <w:lang w:eastAsia="en-AU"/>
            <w14:ligatures w14:val="standardContextual"/>
          </w:rPr>
          <w:tab/>
        </w:r>
        <w:r w:rsidRPr="00533B68">
          <w:t>Review orders—parties</w:t>
        </w:r>
        <w:r>
          <w:tab/>
        </w:r>
        <w:r>
          <w:fldChar w:fldCharType="begin"/>
        </w:r>
        <w:r>
          <w:instrText xml:space="preserve"> PAGEREF _Toc185515162 \h </w:instrText>
        </w:r>
        <w:r>
          <w:fldChar w:fldCharType="separate"/>
        </w:r>
        <w:r>
          <w:t>867</w:t>
        </w:r>
        <w:r>
          <w:fldChar w:fldCharType="end"/>
        </w:r>
      </w:hyperlink>
    </w:p>
    <w:p w14:paraId="24E5EE8A" w14:textId="420579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3" w:history="1">
        <w:r w:rsidRPr="00533B68">
          <w:t>5705</w:t>
        </w:r>
        <w:r>
          <w:rPr>
            <w:rFonts w:asciiTheme="minorHAnsi" w:eastAsiaTheme="minorEastAsia" w:hAnsiTheme="minorHAnsi" w:cstheme="minorBidi"/>
            <w:kern w:val="2"/>
            <w:sz w:val="24"/>
            <w:szCs w:val="24"/>
            <w:lang w:eastAsia="en-AU"/>
            <w14:ligatures w14:val="standardContextual"/>
          </w:rPr>
          <w:tab/>
        </w:r>
        <w:r w:rsidRPr="00533B68">
          <w:t>Review orders—service of review order</w:t>
        </w:r>
        <w:r>
          <w:tab/>
        </w:r>
        <w:r>
          <w:fldChar w:fldCharType="begin"/>
        </w:r>
        <w:r>
          <w:instrText xml:space="preserve"> PAGEREF _Toc185515163 \h </w:instrText>
        </w:r>
        <w:r>
          <w:fldChar w:fldCharType="separate"/>
        </w:r>
        <w:r>
          <w:t>867</w:t>
        </w:r>
        <w:r>
          <w:fldChar w:fldCharType="end"/>
        </w:r>
      </w:hyperlink>
    </w:p>
    <w:p w14:paraId="23FCDBCE" w14:textId="670E19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4" w:history="1">
        <w:r w:rsidRPr="00533B68">
          <w:t>5706</w:t>
        </w:r>
        <w:r>
          <w:rPr>
            <w:rFonts w:asciiTheme="minorHAnsi" w:eastAsiaTheme="minorEastAsia" w:hAnsiTheme="minorHAnsi" w:cstheme="minorBidi"/>
            <w:kern w:val="2"/>
            <w:sz w:val="24"/>
            <w:szCs w:val="24"/>
            <w:lang w:eastAsia="en-AU"/>
            <w14:ligatures w14:val="standardContextual"/>
          </w:rPr>
          <w:tab/>
        </w:r>
        <w:r w:rsidRPr="00533B68">
          <w:t>Review orders—notice of intention to respond to review order</w:t>
        </w:r>
        <w:r>
          <w:tab/>
        </w:r>
        <w:r>
          <w:fldChar w:fldCharType="begin"/>
        </w:r>
        <w:r>
          <w:instrText xml:space="preserve"> PAGEREF _Toc185515164 \h </w:instrText>
        </w:r>
        <w:r>
          <w:fldChar w:fldCharType="separate"/>
        </w:r>
        <w:r>
          <w:t>868</w:t>
        </w:r>
        <w:r>
          <w:fldChar w:fldCharType="end"/>
        </w:r>
      </w:hyperlink>
    </w:p>
    <w:p w14:paraId="3689461A" w14:textId="22E7359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5" w:history="1">
        <w:r w:rsidRPr="00533B68">
          <w:t>5707</w:t>
        </w:r>
        <w:r>
          <w:rPr>
            <w:rFonts w:asciiTheme="minorHAnsi" w:eastAsiaTheme="minorEastAsia" w:hAnsiTheme="minorHAnsi" w:cstheme="minorBidi"/>
            <w:kern w:val="2"/>
            <w:sz w:val="24"/>
            <w:szCs w:val="24"/>
            <w:lang w:eastAsia="en-AU"/>
            <w14:ligatures w14:val="standardContextual"/>
          </w:rPr>
          <w:tab/>
        </w:r>
        <w:r w:rsidRPr="00533B68">
          <w:t>Review orders—security for costs</w:t>
        </w:r>
        <w:r>
          <w:tab/>
        </w:r>
        <w:r>
          <w:fldChar w:fldCharType="begin"/>
        </w:r>
        <w:r>
          <w:instrText xml:space="preserve"> PAGEREF _Toc185515165 \h </w:instrText>
        </w:r>
        <w:r>
          <w:fldChar w:fldCharType="separate"/>
        </w:r>
        <w:r>
          <w:t>868</w:t>
        </w:r>
        <w:r>
          <w:fldChar w:fldCharType="end"/>
        </w:r>
      </w:hyperlink>
    </w:p>
    <w:p w14:paraId="4B532C3C" w14:textId="1AFF046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6" w:history="1">
        <w:r w:rsidRPr="00533B68">
          <w:t>5708</w:t>
        </w:r>
        <w:r>
          <w:rPr>
            <w:rFonts w:asciiTheme="minorHAnsi" w:eastAsiaTheme="minorEastAsia" w:hAnsiTheme="minorHAnsi" w:cstheme="minorBidi"/>
            <w:kern w:val="2"/>
            <w:sz w:val="24"/>
            <w:szCs w:val="24"/>
            <w:lang w:eastAsia="en-AU"/>
            <w14:ligatures w14:val="standardContextual"/>
          </w:rPr>
          <w:tab/>
        </w:r>
        <w:r w:rsidRPr="00533B68">
          <w:t>Review orders—stay</w:t>
        </w:r>
        <w:r>
          <w:tab/>
        </w:r>
        <w:r>
          <w:fldChar w:fldCharType="begin"/>
        </w:r>
        <w:r>
          <w:instrText xml:space="preserve"> PAGEREF _Toc185515166 \h </w:instrText>
        </w:r>
        <w:r>
          <w:fldChar w:fldCharType="separate"/>
        </w:r>
        <w:r>
          <w:t>869</w:t>
        </w:r>
        <w:r>
          <w:fldChar w:fldCharType="end"/>
        </w:r>
      </w:hyperlink>
    </w:p>
    <w:p w14:paraId="50D4DD00" w14:textId="445969A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7" w:history="1">
        <w:r w:rsidRPr="00533B68">
          <w:t>5709</w:t>
        </w:r>
        <w:r>
          <w:rPr>
            <w:rFonts w:asciiTheme="minorHAnsi" w:eastAsiaTheme="minorEastAsia" w:hAnsiTheme="minorHAnsi" w:cstheme="minorBidi"/>
            <w:kern w:val="2"/>
            <w:sz w:val="24"/>
            <w:szCs w:val="24"/>
            <w:lang w:eastAsia="en-AU"/>
            <w14:ligatures w14:val="standardContextual"/>
          </w:rPr>
          <w:tab/>
        </w:r>
        <w:r w:rsidRPr="00533B68">
          <w:t>Review orders—non-appearance of applicant</w:t>
        </w:r>
        <w:r>
          <w:tab/>
        </w:r>
        <w:r>
          <w:fldChar w:fldCharType="begin"/>
        </w:r>
        <w:r>
          <w:instrText xml:space="preserve"> PAGEREF _Toc185515167 \h </w:instrText>
        </w:r>
        <w:r>
          <w:fldChar w:fldCharType="separate"/>
        </w:r>
        <w:r>
          <w:t>870</w:t>
        </w:r>
        <w:r>
          <w:fldChar w:fldCharType="end"/>
        </w:r>
      </w:hyperlink>
    </w:p>
    <w:p w14:paraId="112F35B9" w14:textId="3537951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68" w:history="1">
        <w:r w:rsidRPr="00533B68">
          <w:t>5710</w:t>
        </w:r>
        <w:r>
          <w:rPr>
            <w:rFonts w:asciiTheme="minorHAnsi" w:eastAsiaTheme="minorEastAsia" w:hAnsiTheme="minorHAnsi" w:cstheme="minorBidi"/>
            <w:kern w:val="2"/>
            <w:sz w:val="24"/>
            <w:szCs w:val="24"/>
            <w:lang w:eastAsia="en-AU"/>
            <w14:ligatures w14:val="standardContextual"/>
          </w:rPr>
          <w:tab/>
        </w:r>
        <w:r w:rsidRPr="00533B68">
          <w:t>Review orders—application to revoke review order</w:t>
        </w:r>
        <w:r>
          <w:tab/>
        </w:r>
        <w:r>
          <w:fldChar w:fldCharType="begin"/>
        </w:r>
        <w:r>
          <w:instrText xml:space="preserve"> PAGEREF _Toc185515168 \h </w:instrText>
        </w:r>
        <w:r>
          <w:fldChar w:fldCharType="separate"/>
        </w:r>
        <w:r>
          <w:t>870</w:t>
        </w:r>
        <w:r>
          <w:fldChar w:fldCharType="end"/>
        </w:r>
      </w:hyperlink>
    </w:p>
    <w:p w14:paraId="5B2CC330" w14:textId="1033640D"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169" w:history="1">
        <w:r w:rsidR="00AC5392" w:rsidRPr="00533B68">
          <w:t>Part 5.6</w:t>
        </w:r>
        <w:r w:rsidR="00AC5392">
          <w:rPr>
            <w:rFonts w:asciiTheme="minorHAnsi" w:eastAsiaTheme="minorEastAsia" w:hAnsiTheme="minorHAnsi" w:cstheme="minorBidi"/>
            <w:b w:val="0"/>
            <w:kern w:val="2"/>
            <w:szCs w:val="24"/>
            <w:lang w:eastAsia="en-AU"/>
            <w14:ligatures w14:val="standardContextual"/>
          </w:rPr>
          <w:tab/>
        </w:r>
        <w:r w:rsidR="00AC5392" w:rsidRPr="00533B68">
          <w:t>Reference appeals</w:t>
        </w:r>
        <w:r w:rsidR="00AC5392" w:rsidRPr="00AC5392">
          <w:rPr>
            <w:vanish/>
          </w:rPr>
          <w:tab/>
        </w:r>
        <w:r w:rsidR="00AC5392" w:rsidRPr="00AC5392">
          <w:rPr>
            <w:vanish/>
          </w:rPr>
          <w:fldChar w:fldCharType="begin"/>
        </w:r>
        <w:r w:rsidR="00AC5392" w:rsidRPr="00AC5392">
          <w:rPr>
            <w:vanish/>
          </w:rPr>
          <w:instrText xml:space="preserve"> PAGEREF _Toc185515169 \h </w:instrText>
        </w:r>
        <w:r w:rsidR="00AC5392" w:rsidRPr="00AC5392">
          <w:rPr>
            <w:vanish/>
          </w:rPr>
        </w:r>
        <w:r w:rsidR="00AC5392" w:rsidRPr="00AC5392">
          <w:rPr>
            <w:vanish/>
          </w:rPr>
          <w:fldChar w:fldCharType="separate"/>
        </w:r>
        <w:r w:rsidR="00AC5392" w:rsidRPr="00AC5392">
          <w:rPr>
            <w:vanish/>
          </w:rPr>
          <w:t>871</w:t>
        </w:r>
        <w:r w:rsidR="00AC5392" w:rsidRPr="00AC5392">
          <w:rPr>
            <w:vanish/>
          </w:rPr>
          <w:fldChar w:fldCharType="end"/>
        </w:r>
      </w:hyperlink>
    </w:p>
    <w:p w14:paraId="5F48DF21" w14:textId="30F4990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70" w:history="1">
        <w:r w:rsidR="00AC5392" w:rsidRPr="00533B68">
          <w:t>Division 5.6.1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Reference appeals—Supreme Court</w:t>
        </w:r>
        <w:r w:rsidR="00AC5392" w:rsidRPr="00AC5392">
          <w:rPr>
            <w:vanish/>
          </w:rPr>
          <w:tab/>
        </w:r>
        <w:r w:rsidR="00AC5392" w:rsidRPr="00AC5392">
          <w:rPr>
            <w:vanish/>
          </w:rPr>
          <w:fldChar w:fldCharType="begin"/>
        </w:r>
        <w:r w:rsidR="00AC5392" w:rsidRPr="00AC5392">
          <w:rPr>
            <w:vanish/>
          </w:rPr>
          <w:instrText xml:space="preserve"> PAGEREF _Toc185515170 \h </w:instrText>
        </w:r>
        <w:r w:rsidR="00AC5392" w:rsidRPr="00AC5392">
          <w:rPr>
            <w:vanish/>
          </w:rPr>
        </w:r>
        <w:r w:rsidR="00AC5392" w:rsidRPr="00AC5392">
          <w:rPr>
            <w:vanish/>
          </w:rPr>
          <w:fldChar w:fldCharType="separate"/>
        </w:r>
        <w:r w:rsidR="00AC5392" w:rsidRPr="00AC5392">
          <w:rPr>
            <w:vanish/>
          </w:rPr>
          <w:t>871</w:t>
        </w:r>
        <w:r w:rsidR="00AC5392" w:rsidRPr="00AC5392">
          <w:rPr>
            <w:vanish/>
          </w:rPr>
          <w:fldChar w:fldCharType="end"/>
        </w:r>
      </w:hyperlink>
    </w:p>
    <w:p w14:paraId="09A4D4E6" w14:textId="305EA61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71" w:history="1">
        <w:r w:rsidRPr="00533B68">
          <w:t>5750</w:t>
        </w:r>
        <w:r>
          <w:rPr>
            <w:rFonts w:asciiTheme="minorHAnsi" w:eastAsiaTheme="minorEastAsia" w:hAnsiTheme="minorHAnsi" w:cstheme="minorBidi"/>
            <w:kern w:val="2"/>
            <w:sz w:val="24"/>
            <w:szCs w:val="24"/>
            <w:lang w:eastAsia="en-AU"/>
            <w14:ligatures w14:val="standardContextual"/>
          </w:rPr>
          <w:tab/>
        </w:r>
        <w:r w:rsidRPr="00533B68">
          <w:t>Definitions—div 5.6.1</w:t>
        </w:r>
        <w:r>
          <w:tab/>
        </w:r>
        <w:r>
          <w:fldChar w:fldCharType="begin"/>
        </w:r>
        <w:r>
          <w:instrText xml:space="preserve"> PAGEREF _Toc185515171 \h </w:instrText>
        </w:r>
        <w:r>
          <w:fldChar w:fldCharType="separate"/>
        </w:r>
        <w:r>
          <w:t>871</w:t>
        </w:r>
        <w:r>
          <w:fldChar w:fldCharType="end"/>
        </w:r>
      </w:hyperlink>
    </w:p>
    <w:p w14:paraId="13884237" w14:textId="3A17607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72" w:history="1">
        <w:r w:rsidRPr="00533B68">
          <w:t>5751</w:t>
        </w:r>
        <w:r>
          <w:rPr>
            <w:rFonts w:asciiTheme="minorHAnsi" w:eastAsiaTheme="minorEastAsia" w:hAnsiTheme="minorHAnsi" w:cstheme="minorBidi"/>
            <w:kern w:val="2"/>
            <w:sz w:val="24"/>
            <w:szCs w:val="24"/>
            <w:lang w:eastAsia="en-AU"/>
            <w14:ligatures w14:val="standardContextual"/>
          </w:rPr>
          <w:tab/>
        </w:r>
        <w:r w:rsidRPr="00533B68">
          <w:t>Reference appeals to Supreme Court—application for reference appeal</w:t>
        </w:r>
        <w:r>
          <w:tab/>
        </w:r>
        <w:r>
          <w:fldChar w:fldCharType="begin"/>
        </w:r>
        <w:r>
          <w:instrText xml:space="preserve"> PAGEREF _Toc185515172 \h </w:instrText>
        </w:r>
        <w:r>
          <w:fldChar w:fldCharType="separate"/>
        </w:r>
        <w:r>
          <w:t>871</w:t>
        </w:r>
        <w:r>
          <w:fldChar w:fldCharType="end"/>
        </w:r>
      </w:hyperlink>
    </w:p>
    <w:p w14:paraId="6D60F678" w14:textId="2DDC2BA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73" w:history="1">
        <w:r w:rsidRPr="00533B68">
          <w:t>5752</w:t>
        </w:r>
        <w:r>
          <w:rPr>
            <w:rFonts w:asciiTheme="minorHAnsi" w:eastAsiaTheme="minorEastAsia" w:hAnsiTheme="minorHAnsi" w:cstheme="minorBidi"/>
            <w:kern w:val="2"/>
            <w:sz w:val="24"/>
            <w:szCs w:val="24"/>
            <w:lang w:eastAsia="en-AU"/>
            <w14:ligatures w14:val="standardContextual"/>
          </w:rPr>
          <w:tab/>
        </w:r>
        <w:r w:rsidRPr="00533B68">
          <w:t>Reference appeals to Supreme Court—service of application etc for reference appeal</w:t>
        </w:r>
        <w:r>
          <w:tab/>
        </w:r>
        <w:r>
          <w:fldChar w:fldCharType="begin"/>
        </w:r>
        <w:r>
          <w:instrText xml:space="preserve"> PAGEREF _Toc185515173 \h </w:instrText>
        </w:r>
        <w:r>
          <w:fldChar w:fldCharType="separate"/>
        </w:r>
        <w:r>
          <w:t>872</w:t>
        </w:r>
        <w:r>
          <w:fldChar w:fldCharType="end"/>
        </w:r>
      </w:hyperlink>
    </w:p>
    <w:p w14:paraId="3BDC462A" w14:textId="728302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74" w:history="1">
        <w:r w:rsidRPr="00533B68">
          <w:t>5753</w:t>
        </w:r>
        <w:r>
          <w:rPr>
            <w:rFonts w:asciiTheme="minorHAnsi" w:eastAsiaTheme="minorEastAsia" w:hAnsiTheme="minorHAnsi" w:cstheme="minorBidi"/>
            <w:kern w:val="2"/>
            <w:sz w:val="24"/>
            <w:szCs w:val="24"/>
            <w:lang w:eastAsia="en-AU"/>
            <w14:ligatures w14:val="standardContextual"/>
          </w:rPr>
          <w:tab/>
        </w:r>
        <w:r w:rsidRPr="00533B68">
          <w:t>Reference appeals to Supreme Court—notice of intention to respond by interested party</w:t>
        </w:r>
        <w:r>
          <w:tab/>
        </w:r>
        <w:r>
          <w:fldChar w:fldCharType="begin"/>
        </w:r>
        <w:r>
          <w:instrText xml:space="preserve"> PAGEREF _Toc185515174 \h </w:instrText>
        </w:r>
        <w:r>
          <w:fldChar w:fldCharType="separate"/>
        </w:r>
        <w:r>
          <w:t>872</w:t>
        </w:r>
        <w:r>
          <w:fldChar w:fldCharType="end"/>
        </w:r>
      </w:hyperlink>
    </w:p>
    <w:p w14:paraId="0C7C9ABE" w14:textId="2710471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75" w:history="1">
        <w:r w:rsidRPr="00533B68">
          <w:t>5754</w:t>
        </w:r>
        <w:r>
          <w:rPr>
            <w:rFonts w:asciiTheme="minorHAnsi" w:eastAsiaTheme="minorEastAsia" w:hAnsiTheme="minorHAnsi" w:cstheme="minorBidi"/>
            <w:kern w:val="2"/>
            <w:sz w:val="24"/>
            <w:szCs w:val="24"/>
            <w:lang w:eastAsia="en-AU"/>
            <w14:ligatures w14:val="standardContextual"/>
          </w:rPr>
          <w:tab/>
        </w:r>
        <w:r w:rsidRPr="00533B68">
          <w:t>Reference appeals to Supreme Court—discontinuance of reference appeal</w:t>
        </w:r>
        <w:r>
          <w:tab/>
        </w:r>
        <w:r>
          <w:fldChar w:fldCharType="begin"/>
        </w:r>
        <w:r>
          <w:instrText xml:space="preserve"> PAGEREF _Toc185515175 \h </w:instrText>
        </w:r>
        <w:r>
          <w:fldChar w:fldCharType="separate"/>
        </w:r>
        <w:r>
          <w:t>873</w:t>
        </w:r>
        <w:r>
          <w:fldChar w:fldCharType="end"/>
        </w:r>
      </w:hyperlink>
    </w:p>
    <w:p w14:paraId="23492A91" w14:textId="36845A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76" w:history="1">
        <w:r w:rsidRPr="00533B68">
          <w:t>5755</w:t>
        </w:r>
        <w:r>
          <w:rPr>
            <w:rFonts w:asciiTheme="minorHAnsi" w:eastAsiaTheme="minorEastAsia" w:hAnsiTheme="minorHAnsi" w:cstheme="minorBidi"/>
            <w:kern w:val="2"/>
            <w:sz w:val="24"/>
            <w:szCs w:val="24"/>
            <w:lang w:eastAsia="en-AU"/>
            <w14:ligatures w14:val="standardContextual"/>
          </w:rPr>
          <w:tab/>
        </w:r>
        <w:r w:rsidRPr="00533B68">
          <w:t>Reference appeals to Supreme Court—application of certain rules to reference appeals</w:t>
        </w:r>
        <w:r>
          <w:tab/>
        </w:r>
        <w:r>
          <w:fldChar w:fldCharType="begin"/>
        </w:r>
        <w:r>
          <w:instrText xml:space="preserve"> PAGEREF _Toc185515176 \h </w:instrText>
        </w:r>
        <w:r>
          <w:fldChar w:fldCharType="separate"/>
        </w:r>
        <w:r>
          <w:t>874</w:t>
        </w:r>
        <w:r>
          <w:fldChar w:fldCharType="end"/>
        </w:r>
      </w:hyperlink>
    </w:p>
    <w:p w14:paraId="48F2B15A" w14:textId="5785A6A4"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77" w:history="1">
        <w:r w:rsidR="00AC5392" w:rsidRPr="00533B68">
          <w:t>Division 5.6.2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Reference appeals—Court of Appeal</w:t>
        </w:r>
        <w:r w:rsidR="00AC5392" w:rsidRPr="00AC5392">
          <w:rPr>
            <w:vanish/>
          </w:rPr>
          <w:tab/>
        </w:r>
        <w:r w:rsidR="00AC5392" w:rsidRPr="00AC5392">
          <w:rPr>
            <w:vanish/>
          </w:rPr>
          <w:fldChar w:fldCharType="begin"/>
        </w:r>
        <w:r w:rsidR="00AC5392" w:rsidRPr="00AC5392">
          <w:rPr>
            <w:vanish/>
          </w:rPr>
          <w:instrText xml:space="preserve"> PAGEREF _Toc185515177 \h </w:instrText>
        </w:r>
        <w:r w:rsidR="00AC5392" w:rsidRPr="00AC5392">
          <w:rPr>
            <w:vanish/>
          </w:rPr>
        </w:r>
        <w:r w:rsidR="00AC5392" w:rsidRPr="00AC5392">
          <w:rPr>
            <w:vanish/>
          </w:rPr>
          <w:fldChar w:fldCharType="separate"/>
        </w:r>
        <w:r w:rsidR="00AC5392" w:rsidRPr="00AC5392">
          <w:rPr>
            <w:vanish/>
          </w:rPr>
          <w:t>875</w:t>
        </w:r>
        <w:r w:rsidR="00AC5392" w:rsidRPr="00AC5392">
          <w:rPr>
            <w:vanish/>
          </w:rPr>
          <w:fldChar w:fldCharType="end"/>
        </w:r>
      </w:hyperlink>
    </w:p>
    <w:p w14:paraId="218A97C6" w14:textId="0E7EB77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78" w:history="1">
        <w:r w:rsidRPr="00533B68">
          <w:t>5770</w:t>
        </w:r>
        <w:r>
          <w:rPr>
            <w:rFonts w:asciiTheme="minorHAnsi" w:eastAsiaTheme="minorEastAsia" w:hAnsiTheme="minorHAnsi" w:cstheme="minorBidi"/>
            <w:kern w:val="2"/>
            <w:sz w:val="24"/>
            <w:szCs w:val="24"/>
            <w:lang w:eastAsia="en-AU"/>
            <w14:ligatures w14:val="standardContextual"/>
          </w:rPr>
          <w:tab/>
        </w:r>
        <w:r w:rsidRPr="00533B68">
          <w:t>Definitions—div 5.6.2</w:t>
        </w:r>
        <w:r>
          <w:tab/>
        </w:r>
        <w:r>
          <w:fldChar w:fldCharType="begin"/>
        </w:r>
        <w:r>
          <w:instrText xml:space="preserve"> PAGEREF _Toc185515178 \h </w:instrText>
        </w:r>
        <w:r>
          <w:fldChar w:fldCharType="separate"/>
        </w:r>
        <w:r>
          <w:t>875</w:t>
        </w:r>
        <w:r>
          <w:fldChar w:fldCharType="end"/>
        </w:r>
      </w:hyperlink>
    </w:p>
    <w:p w14:paraId="5CED44BE" w14:textId="2E51A39B"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179" w:history="1">
        <w:r w:rsidRPr="00533B68">
          <w:t>5771</w:t>
        </w:r>
        <w:r>
          <w:rPr>
            <w:rFonts w:asciiTheme="minorHAnsi" w:eastAsiaTheme="minorEastAsia" w:hAnsiTheme="minorHAnsi" w:cstheme="minorBidi"/>
            <w:kern w:val="2"/>
            <w:sz w:val="24"/>
            <w:szCs w:val="24"/>
            <w:lang w:eastAsia="en-AU"/>
            <w14:ligatures w14:val="standardContextual"/>
          </w:rPr>
          <w:tab/>
        </w:r>
        <w:r w:rsidRPr="00533B68">
          <w:t>Reference appeals to Court of Appeal—application for reference appeal</w:t>
        </w:r>
        <w:r>
          <w:tab/>
        </w:r>
        <w:r>
          <w:fldChar w:fldCharType="begin"/>
        </w:r>
        <w:r>
          <w:instrText xml:space="preserve"> PAGEREF _Toc185515179 \h </w:instrText>
        </w:r>
        <w:r>
          <w:fldChar w:fldCharType="separate"/>
        </w:r>
        <w:r>
          <w:t>876</w:t>
        </w:r>
        <w:r>
          <w:fldChar w:fldCharType="end"/>
        </w:r>
      </w:hyperlink>
    </w:p>
    <w:p w14:paraId="1573279C" w14:textId="0CFE347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0" w:history="1">
        <w:r w:rsidRPr="00533B68">
          <w:t>5772</w:t>
        </w:r>
        <w:r>
          <w:rPr>
            <w:rFonts w:asciiTheme="minorHAnsi" w:eastAsiaTheme="minorEastAsia" w:hAnsiTheme="minorHAnsi" w:cstheme="minorBidi"/>
            <w:kern w:val="2"/>
            <w:sz w:val="24"/>
            <w:szCs w:val="24"/>
            <w:lang w:eastAsia="en-AU"/>
            <w14:ligatures w14:val="standardContextual"/>
          </w:rPr>
          <w:tab/>
        </w:r>
        <w:r w:rsidRPr="00533B68">
          <w:t>Reference appeals to Court of Appeal—service of application etc for reference appeal</w:t>
        </w:r>
        <w:r>
          <w:tab/>
        </w:r>
        <w:r>
          <w:fldChar w:fldCharType="begin"/>
        </w:r>
        <w:r>
          <w:instrText xml:space="preserve"> PAGEREF _Toc185515180 \h </w:instrText>
        </w:r>
        <w:r>
          <w:fldChar w:fldCharType="separate"/>
        </w:r>
        <w:r>
          <w:t>876</w:t>
        </w:r>
        <w:r>
          <w:fldChar w:fldCharType="end"/>
        </w:r>
      </w:hyperlink>
    </w:p>
    <w:p w14:paraId="7DC34570" w14:textId="0F2EC9A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1" w:history="1">
        <w:r w:rsidRPr="00533B68">
          <w:t>5773</w:t>
        </w:r>
        <w:r>
          <w:rPr>
            <w:rFonts w:asciiTheme="minorHAnsi" w:eastAsiaTheme="minorEastAsia" w:hAnsiTheme="minorHAnsi" w:cstheme="minorBidi"/>
            <w:kern w:val="2"/>
            <w:sz w:val="24"/>
            <w:szCs w:val="24"/>
            <w:lang w:eastAsia="en-AU"/>
            <w14:ligatures w14:val="standardContextual"/>
          </w:rPr>
          <w:tab/>
        </w:r>
        <w:r w:rsidRPr="00533B68">
          <w:t>Reference appeals to Court of Appeal—notice of intention to respond by interested party</w:t>
        </w:r>
        <w:r>
          <w:tab/>
        </w:r>
        <w:r>
          <w:fldChar w:fldCharType="begin"/>
        </w:r>
        <w:r>
          <w:instrText xml:space="preserve"> PAGEREF _Toc185515181 \h </w:instrText>
        </w:r>
        <w:r>
          <w:fldChar w:fldCharType="separate"/>
        </w:r>
        <w:r>
          <w:t>876</w:t>
        </w:r>
        <w:r>
          <w:fldChar w:fldCharType="end"/>
        </w:r>
      </w:hyperlink>
    </w:p>
    <w:p w14:paraId="474BDB9D" w14:textId="10FB46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2" w:history="1">
        <w:r w:rsidRPr="00533B68">
          <w:t>5774</w:t>
        </w:r>
        <w:r>
          <w:rPr>
            <w:rFonts w:asciiTheme="minorHAnsi" w:eastAsiaTheme="minorEastAsia" w:hAnsiTheme="minorHAnsi" w:cstheme="minorBidi"/>
            <w:kern w:val="2"/>
            <w:sz w:val="24"/>
            <w:szCs w:val="24"/>
            <w:lang w:eastAsia="en-AU"/>
            <w14:ligatures w14:val="standardContextual"/>
          </w:rPr>
          <w:tab/>
        </w:r>
        <w:r w:rsidRPr="00533B68">
          <w:t>Reference appeals to Court of Appeal—discontinuance of reference appeal</w:t>
        </w:r>
        <w:r>
          <w:tab/>
        </w:r>
        <w:r>
          <w:fldChar w:fldCharType="begin"/>
        </w:r>
        <w:r>
          <w:instrText xml:space="preserve"> PAGEREF _Toc185515182 \h </w:instrText>
        </w:r>
        <w:r>
          <w:fldChar w:fldCharType="separate"/>
        </w:r>
        <w:r>
          <w:t>877</w:t>
        </w:r>
        <w:r>
          <w:fldChar w:fldCharType="end"/>
        </w:r>
      </w:hyperlink>
    </w:p>
    <w:p w14:paraId="4434EEAD" w14:textId="12D975E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3" w:history="1">
        <w:r w:rsidRPr="00533B68">
          <w:t>5775</w:t>
        </w:r>
        <w:r>
          <w:rPr>
            <w:rFonts w:asciiTheme="minorHAnsi" w:eastAsiaTheme="minorEastAsia" w:hAnsiTheme="minorHAnsi" w:cstheme="minorBidi"/>
            <w:kern w:val="2"/>
            <w:sz w:val="24"/>
            <w:szCs w:val="24"/>
            <w:lang w:eastAsia="en-AU"/>
            <w14:ligatures w14:val="standardContextual"/>
          </w:rPr>
          <w:tab/>
        </w:r>
        <w:r w:rsidRPr="00533B68">
          <w:t>Reference appeals to Court of Appeal—application of certain rules to reference appeals</w:t>
        </w:r>
        <w:r>
          <w:tab/>
        </w:r>
        <w:r>
          <w:fldChar w:fldCharType="begin"/>
        </w:r>
        <w:r>
          <w:instrText xml:space="preserve"> PAGEREF _Toc185515183 \h </w:instrText>
        </w:r>
        <w:r>
          <w:fldChar w:fldCharType="separate"/>
        </w:r>
        <w:r>
          <w:t>878</w:t>
        </w:r>
        <w:r>
          <w:fldChar w:fldCharType="end"/>
        </w:r>
      </w:hyperlink>
    </w:p>
    <w:p w14:paraId="3DB5381E" w14:textId="4AC622F2"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184" w:history="1">
        <w:r w:rsidR="00AC5392" w:rsidRPr="00533B68">
          <w:t>Part 5.7</w:t>
        </w:r>
        <w:r w:rsidR="00AC5392">
          <w:rPr>
            <w:rFonts w:asciiTheme="minorHAnsi" w:eastAsiaTheme="minorEastAsia" w:hAnsiTheme="minorHAnsi" w:cstheme="minorBidi"/>
            <w:b w:val="0"/>
            <w:kern w:val="2"/>
            <w:szCs w:val="24"/>
            <w:lang w:eastAsia="en-AU"/>
            <w14:ligatures w14:val="standardContextual"/>
          </w:rPr>
          <w:tab/>
        </w:r>
        <w:r w:rsidR="00AC5392" w:rsidRPr="00533B68">
          <w:t>Special cases</w:t>
        </w:r>
        <w:r w:rsidR="00AC5392" w:rsidRPr="00AC5392">
          <w:rPr>
            <w:vanish/>
          </w:rPr>
          <w:tab/>
        </w:r>
        <w:r w:rsidR="00AC5392" w:rsidRPr="00AC5392">
          <w:rPr>
            <w:vanish/>
          </w:rPr>
          <w:fldChar w:fldCharType="begin"/>
        </w:r>
        <w:r w:rsidR="00AC5392" w:rsidRPr="00AC5392">
          <w:rPr>
            <w:vanish/>
          </w:rPr>
          <w:instrText xml:space="preserve"> PAGEREF _Toc185515184 \h </w:instrText>
        </w:r>
        <w:r w:rsidR="00AC5392" w:rsidRPr="00AC5392">
          <w:rPr>
            <w:vanish/>
          </w:rPr>
        </w:r>
        <w:r w:rsidR="00AC5392" w:rsidRPr="00AC5392">
          <w:rPr>
            <w:vanish/>
          </w:rPr>
          <w:fldChar w:fldCharType="separate"/>
        </w:r>
        <w:r w:rsidR="00AC5392" w:rsidRPr="00AC5392">
          <w:rPr>
            <w:vanish/>
          </w:rPr>
          <w:t>879</w:t>
        </w:r>
        <w:r w:rsidR="00AC5392" w:rsidRPr="00AC5392">
          <w:rPr>
            <w:vanish/>
          </w:rPr>
          <w:fldChar w:fldCharType="end"/>
        </w:r>
      </w:hyperlink>
    </w:p>
    <w:p w14:paraId="6C36A57F" w14:textId="407DA55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85" w:history="1">
        <w:r w:rsidR="00AC5392" w:rsidRPr="00533B68">
          <w:t>Division 5.7.1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Questions referred—Supreme Court</w:t>
        </w:r>
        <w:r w:rsidR="00AC5392" w:rsidRPr="00AC5392">
          <w:rPr>
            <w:vanish/>
          </w:rPr>
          <w:tab/>
        </w:r>
        <w:r w:rsidR="00AC5392" w:rsidRPr="00AC5392">
          <w:rPr>
            <w:vanish/>
          </w:rPr>
          <w:fldChar w:fldCharType="begin"/>
        </w:r>
        <w:r w:rsidR="00AC5392" w:rsidRPr="00AC5392">
          <w:rPr>
            <w:vanish/>
          </w:rPr>
          <w:instrText xml:space="preserve"> PAGEREF _Toc185515185 \h </w:instrText>
        </w:r>
        <w:r w:rsidR="00AC5392" w:rsidRPr="00AC5392">
          <w:rPr>
            <w:vanish/>
          </w:rPr>
        </w:r>
        <w:r w:rsidR="00AC5392" w:rsidRPr="00AC5392">
          <w:rPr>
            <w:vanish/>
          </w:rPr>
          <w:fldChar w:fldCharType="separate"/>
        </w:r>
        <w:r w:rsidR="00AC5392" w:rsidRPr="00AC5392">
          <w:rPr>
            <w:vanish/>
          </w:rPr>
          <w:t>879</w:t>
        </w:r>
        <w:r w:rsidR="00AC5392" w:rsidRPr="00AC5392">
          <w:rPr>
            <w:vanish/>
          </w:rPr>
          <w:fldChar w:fldCharType="end"/>
        </w:r>
      </w:hyperlink>
    </w:p>
    <w:p w14:paraId="0777E7BC" w14:textId="3B8D09E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6" w:history="1">
        <w:r w:rsidRPr="00533B68">
          <w:t>5800</w:t>
        </w:r>
        <w:r>
          <w:rPr>
            <w:rFonts w:asciiTheme="minorHAnsi" w:eastAsiaTheme="minorEastAsia" w:hAnsiTheme="minorHAnsi" w:cstheme="minorBidi"/>
            <w:kern w:val="2"/>
            <w:sz w:val="24"/>
            <w:szCs w:val="24"/>
            <w:lang w:eastAsia="en-AU"/>
            <w14:ligatures w14:val="standardContextual"/>
          </w:rPr>
          <w:tab/>
        </w:r>
        <w:r w:rsidRPr="00533B68">
          <w:t>Application—div 5.7.1</w:t>
        </w:r>
        <w:r>
          <w:tab/>
        </w:r>
        <w:r>
          <w:fldChar w:fldCharType="begin"/>
        </w:r>
        <w:r>
          <w:instrText xml:space="preserve"> PAGEREF _Toc185515186 \h </w:instrText>
        </w:r>
        <w:r>
          <w:fldChar w:fldCharType="separate"/>
        </w:r>
        <w:r>
          <w:t>879</w:t>
        </w:r>
        <w:r>
          <w:fldChar w:fldCharType="end"/>
        </w:r>
      </w:hyperlink>
    </w:p>
    <w:p w14:paraId="1E01CEAC" w14:textId="2CC23E8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7" w:history="1">
        <w:r w:rsidRPr="00533B68">
          <w:t>5801</w:t>
        </w:r>
        <w:r>
          <w:rPr>
            <w:rFonts w:asciiTheme="minorHAnsi" w:eastAsiaTheme="minorEastAsia" w:hAnsiTheme="minorHAnsi" w:cstheme="minorBidi"/>
            <w:kern w:val="2"/>
            <w:sz w:val="24"/>
            <w:szCs w:val="24"/>
            <w:lang w:eastAsia="en-AU"/>
            <w14:ligatures w14:val="standardContextual"/>
          </w:rPr>
          <w:tab/>
        </w:r>
        <w:r w:rsidRPr="00533B68">
          <w:t>Definitions—div 5.7.1</w:t>
        </w:r>
        <w:r>
          <w:tab/>
        </w:r>
        <w:r>
          <w:fldChar w:fldCharType="begin"/>
        </w:r>
        <w:r>
          <w:instrText xml:space="preserve"> PAGEREF _Toc185515187 \h </w:instrText>
        </w:r>
        <w:r>
          <w:fldChar w:fldCharType="separate"/>
        </w:r>
        <w:r>
          <w:t>880</w:t>
        </w:r>
        <w:r>
          <w:fldChar w:fldCharType="end"/>
        </w:r>
      </w:hyperlink>
    </w:p>
    <w:p w14:paraId="466258E0" w14:textId="32E5D0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8" w:history="1">
        <w:r w:rsidRPr="00533B68">
          <w:t>5802</w:t>
        </w:r>
        <w:r>
          <w:rPr>
            <w:rFonts w:asciiTheme="minorHAnsi" w:eastAsiaTheme="minorEastAsia" w:hAnsiTheme="minorHAnsi" w:cstheme="minorBidi"/>
            <w:kern w:val="2"/>
            <w:sz w:val="24"/>
            <w:szCs w:val="24"/>
            <w:lang w:eastAsia="en-AU"/>
            <w14:ligatures w14:val="standardContextual"/>
          </w:rPr>
          <w:tab/>
        </w:r>
        <w:r w:rsidRPr="00533B68">
          <w:t>Question referred to Supreme Court—form</w:t>
        </w:r>
        <w:r>
          <w:tab/>
        </w:r>
        <w:r>
          <w:fldChar w:fldCharType="begin"/>
        </w:r>
        <w:r>
          <w:instrText xml:space="preserve"> PAGEREF _Toc185515188 \h </w:instrText>
        </w:r>
        <w:r>
          <w:fldChar w:fldCharType="separate"/>
        </w:r>
        <w:r>
          <w:t>880</w:t>
        </w:r>
        <w:r>
          <w:fldChar w:fldCharType="end"/>
        </w:r>
      </w:hyperlink>
    </w:p>
    <w:p w14:paraId="45F872A6" w14:textId="356F65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89" w:history="1">
        <w:r w:rsidRPr="00533B68">
          <w:t>5803</w:t>
        </w:r>
        <w:r>
          <w:rPr>
            <w:rFonts w:asciiTheme="minorHAnsi" w:eastAsiaTheme="minorEastAsia" w:hAnsiTheme="minorHAnsi" w:cstheme="minorBidi"/>
            <w:kern w:val="2"/>
            <w:sz w:val="24"/>
            <w:szCs w:val="24"/>
            <w:lang w:eastAsia="en-AU"/>
            <w14:ligatures w14:val="standardContextual"/>
          </w:rPr>
          <w:tab/>
        </w:r>
        <w:r w:rsidRPr="00533B68">
          <w:t>Special case to Supreme Court—preparation and settling</w:t>
        </w:r>
        <w:r>
          <w:tab/>
        </w:r>
        <w:r>
          <w:fldChar w:fldCharType="begin"/>
        </w:r>
        <w:r>
          <w:instrText xml:space="preserve"> PAGEREF _Toc185515189 \h </w:instrText>
        </w:r>
        <w:r>
          <w:fldChar w:fldCharType="separate"/>
        </w:r>
        <w:r>
          <w:t>881</w:t>
        </w:r>
        <w:r>
          <w:fldChar w:fldCharType="end"/>
        </w:r>
      </w:hyperlink>
    </w:p>
    <w:p w14:paraId="67532C02" w14:textId="0DA21A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0" w:history="1">
        <w:r w:rsidRPr="00533B68">
          <w:t>5804</w:t>
        </w:r>
        <w:r>
          <w:rPr>
            <w:rFonts w:asciiTheme="minorHAnsi" w:eastAsiaTheme="minorEastAsia" w:hAnsiTheme="minorHAnsi" w:cstheme="minorBidi"/>
            <w:kern w:val="2"/>
            <w:sz w:val="24"/>
            <w:szCs w:val="24"/>
            <w:lang w:eastAsia="en-AU"/>
            <w14:ligatures w14:val="standardContextual"/>
          </w:rPr>
          <w:tab/>
        </w:r>
        <w:r w:rsidRPr="00533B68">
          <w:t>Special case to Supreme Court—person with legal disability</w:t>
        </w:r>
        <w:r>
          <w:tab/>
        </w:r>
        <w:r>
          <w:fldChar w:fldCharType="begin"/>
        </w:r>
        <w:r>
          <w:instrText xml:space="preserve"> PAGEREF _Toc185515190 \h </w:instrText>
        </w:r>
        <w:r>
          <w:fldChar w:fldCharType="separate"/>
        </w:r>
        <w:r>
          <w:t>881</w:t>
        </w:r>
        <w:r>
          <w:fldChar w:fldCharType="end"/>
        </w:r>
      </w:hyperlink>
    </w:p>
    <w:p w14:paraId="7CCC4388" w14:textId="1EE2922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1" w:history="1">
        <w:r w:rsidRPr="00533B68">
          <w:t>5805</w:t>
        </w:r>
        <w:r>
          <w:rPr>
            <w:rFonts w:asciiTheme="minorHAnsi" w:eastAsiaTheme="minorEastAsia" w:hAnsiTheme="minorHAnsi" w:cstheme="minorBidi"/>
            <w:kern w:val="2"/>
            <w:sz w:val="24"/>
            <w:szCs w:val="24"/>
            <w:lang w:eastAsia="en-AU"/>
            <w14:ligatures w14:val="standardContextual"/>
          </w:rPr>
          <w:tab/>
        </w:r>
        <w:r w:rsidRPr="00533B68">
          <w:t>Special case to Supreme Court—directions hearing</w:t>
        </w:r>
        <w:r>
          <w:tab/>
        </w:r>
        <w:r>
          <w:fldChar w:fldCharType="begin"/>
        </w:r>
        <w:r>
          <w:instrText xml:space="preserve"> PAGEREF _Toc185515191 \h </w:instrText>
        </w:r>
        <w:r>
          <w:fldChar w:fldCharType="separate"/>
        </w:r>
        <w:r>
          <w:t>882</w:t>
        </w:r>
        <w:r>
          <w:fldChar w:fldCharType="end"/>
        </w:r>
      </w:hyperlink>
    </w:p>
    <w:p w14:paraId="4347AD72" w14:textId="750ED68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2" w:history="1">
        <w:r w:rsidRPr="00533B68">
          <w:t>5806</w:t>
        </w:r>
        <w:r>
          <w:rPr>
            <w:rFonts w:asciiTheme="minorHAnsi" w:eastAsiaTheme="minorEastAsia" w:hAnsiTheme="minorHAnsi" w:cstheme="minorBidi"/>
            <w:kern w:val="2"/>
            <w:sz w:val="24"/>
            <w:szCs w:val="24"/>
            <w:lang w:eastAsia="en-AU"/>
            <w14:ligatures w14:val="standardContextual"/>
          </w:rPr>
          <w:tab/>
        </w:r>
        <w:r w:rsidRPr="00533B68">
          <w:t>Special case to Supreme Court—setting down for hearing</w:t>
        </w:r>
        <w:r>
          <w:tab/>
        </w:r>
        <w:r>
          <w:fldChar w:fldCharType="begin"/>
        </w:r>
        <w:r>
          <w:instrText xml:space="preserve"> PAGEREF _Toc185515192 \h </w:instrText>
        </w:r>
        <w:r>
          <w:fldChar w:fldCharType="separate"/>
        </w:r>
        <w:r>
          <w:t>882</w:t>
        </w:r>
        <w:r>
          <w:fldChar w:fldCharType="end"/>
        </w:r>
      </w:hyperlink>
    </w:p>
    <w:p w14:paraId="2FD5BDC4" w14:textId="554A22B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3" w:history="1">
        <w:r w:rsidRPr="00533B68">
          <w:t>5807</w:t>
        </w:r>
        <w:r>
          <w:rPr>
            <w:rFonts w:asciiTheme="minorHAnsi" w:eastAsiaTheme="minorEastAsia" w:hAnsiTheme="minorHAnsi" w:cstheme="minorBidi"/>
            <w:kern w:val="2"/>
            <w:sz w:val="24"/>
            <w:szCs w:val="24"/>
            <w:lang w:eastAsia="en-AU"/>
            <w14:ligatures w14:val="standardContextual"/>
          </w:rPr>
          <w:tab/>
        </w:r>
        <w:r w:rsidRPr="00533B68">
          <w:t>Special case to Supreme Court—insufficient statement of case</w:t>
        </w:r>
        <w:r>
          <w:tab/>
        </w:r>
        <w:r>
          <w:fldChar w:fldCharType="begin"/>
        </w:r>
        <w:r>
          <w:instrText xml:space="preserve"> PAGEREF _Toc185515193 \h </w:instrText>
        </w:r>
        <w:r>
          <w:fldChar w:fldCharType="separate"/>
        </w:r>
        <w:r>
          <w:t>882</w:t>
        </w:r>
        <w:r>
          <w:fldChar w:fldCharType="end"/>
        </w:r>
      </w:hyperlink>
    </w:p>
    <w:p w14:paraId="35DDC964" w14:textId="1822763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4" w:history="1">
        <w:r w:rsidRPr="00533B68">
          <w:t>5808</w:t>
        </w:r>
        <w:r>
          <w:rPr>
            <w:rFonts w:asciiTheme="minorHAnsi" w:eastAsiaTheme="minorEastAsia" w:hAnsiTheme="minorHAnsi" w:cstheme="minorBidi"/>
            <w:kern w:val="2"/>
            <w:sz w:val="24"/>
            <w:szCs w:val="24"/>
            <w:lang w:eastAsia="en-AU"/>
            <w14:ligatures w14:val="standardContextual"/>
          </w:rPr>
          <w:tab/>
        </w:r>
        <w:r w:rsidRPr="00533B68">
          <w:t>Special case to Supreme Court—court can draw inferences</w:t>
        </w:r>
        <w:r>
          <w:tab/>
        </w:r>
        <w:r>
          <w:fldChar w:fldCharType="begin"/>
        </w:r>
        <w:r>
          <w:instrText xml:space="preserve"> PAGEREF _Toc185515194 \h </w:instrText>
        </w:r>
        <w:r>
          <w:fldChar w:fldCharType="separate"/>
        </w:r>
        <w:r>
          <w:t>883</w:t>
        </w:r>
        <w:r>
          <w:fldChar w:fldCharType="end"/>
        </w:r>
      </w:hyperlink>
    </w:p>
    <w:p w14:paraId="1883DC38" w14:textId="7D1DC4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5" w:history="1">
        <w:r w:rsidRPr="00533B68">
          <w:t>5809</w:t>
        </w:r>
        <w:r>
          <w:rPr>
            <w:rFonts w:asciiTheme="minorHAnsi" w:eastAsiaTheme="minorEastAsia" w:hAnsiTheme="minorHAnsi" w:cstheme="minorBidi"/>
            <w:kern w:val="2"/>
            <w:sz w:val="24"/>
            <w:szCs w:val="24"/>
            <w:lang w:eastAsia="en-AU"/>
            <w14:ligatures w14:val="standardContextual"/>
          </w:rPr>
          <w:tab/>
        </w:r>
        <w:r w:rsidRPr="00533B68">
          <w:t>Special case to Supreme Court—agreement about damages and costs</w:t>
        </w:r>
        <w:r>
          <w:tab/>
        </w:r>
        <w:r>
          <w:fldChar w:fldCharType="begin"/>
        </w:r>
        <w:r>
          <w:instrText xml:space="preserve"> PAGEREF _Toc185515195 \h </w:instrText>
        </w:r>
        <w:r>
          <w:fldChar w:fldCharType="separate"/>
        </w:r>
        <w:r>
          <w:t>883</w:t>
        </w:r>
        <w:r>
          <w:fldChar w:fldCharType="end"/>
        </w:r>
      </w:hyperlink>
    </w:p>
    <w:p w14:paraId="15A4107C" w14:textId="759B0B2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196" w:history="1">
        <w:r w:rsidR="00AC5392" w:rsidRPr="00533B68">
          <w:t>Division 5.7.2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Questions referred—Court of Appeal</w:t>
        </w:r>
        <w:r w:rsidR="00AC5392" w:rsidRPr="00AC5392">
          <w:rPr>
            <w:vanish/>
          </w:rPr>
          <w:tab/>
        </w:r>
        <w:r w:rsidR="00AC5392" w:rsidRPr="00AC5392">
          <w:rPr>
            <w:vanish/>
          </w:rPr>
          <w:fldChar w:fldCharType="begin"/>
        </w:r>
        <w:r w:rsidR="00AC5392" w:rsidRPr="00AC5392">
          <w:rPr>
            <w:vanish/>
          </w:rPr>
          <w:instrText xml:space="preserve"> PAGEREF _Toc185515196 \h </w:instrText>
        </w:r>
        <w:r w:rsidR="00AC5392" w:rsidRPr="00AC5392">
          <w:rPr>
            <w:vanish/>
          </w:rPr>
        </w:r>
        <w:r w:rsidR="00AC5392" w:rsidRPr="00AC5392">
          <w:rPr>
            <w:vanish/>
          </w:rPr>
          <w:fldChar w:fldCharType="separate"/>
        </w:r>
        <w:r w:rsidR="00AC5392" w:rsidRPr="00AC5392">
          <w:rPr>
            <w:vanish/>
          </w:rPr>
          <w:t>883</w:t>
        </w:r>
        <w:r w:rsidR="00AC5392" w:rsidRPr="00AC5392">
          <w:rPr>
            <w:vanish/>
          </w:rPr>
          <w:fldChar w:fldCharType="end"/>
        </w:r>
      </w:hyperlink>
    </w:p>
    <w:p w14:paraId="52192B1B" w14:textId="79FA80B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7" w:history="1">
        <w:r w:rsidRPr="00533B68">
          <w:t>5830</w:t>
        </w:r>
        <w:r>
          <w:rPr>
            <w:rFonts w:asciiTheme="minorHAnsi" w:eastAsiaTheme="minorEastAsia" w:hAnsiTheme="minorHAnsi" w:cstheme="minorBidi"/>
            <w:kern w:val="2"/>
            <w:sz w:val="24"/>
            <w:szCs w:val="24"/>
            <w:lang w:eastAsia="en-AU"/>
            <w14:ligatures w14:val="standardContextual"/>
          </w:rPr>
          <w:tab/>
        </w:r>
        <w:r w:rsidRPr="00533B68">
          <w:t>Application—div 5.7.2</w:t>
        </w:r>
        <w:r>
          <w:tab/>
        </w:r>
        <w:r>
          <w:fldChar w:fldCharType="begin"/>
        </w:r>
        <w:r>
          <w:instrText xml:space="preserve"> PAGEREF _Toc185515197 \h </w:instrText>
        </w:r>
        <w:r>
          <w:fldChar w:fldCharType="separate"/>
        </w:r>
        <w:r>
          <w:t>883</w:t>
        </w:r>
        <w:r>
          <w:fldChar w:fldCharType="end"/>
        </w:r>
      </w:hyperlink>
    </w:p>
    <w:p w14:paraId="2A977E48" w14:textId="1A285B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8" w:history="1">
        <w:r w:rsidRPr="00533B68">
          <w:t>5831</w:t>
        </w:r>
        <w:r>
          <w:rPr>
            <w:rFonts w:asciiTheme="minorHAnsi" w:eastAsiaTheme="minorEastAsia" w:hAnsiTheme="minorHAnsi" w:cstheme="minorBidi"/>
            <w:kern w:val="2"/>
            <w:sz w:val="24"/>
            <w:szCs w:val="24"/>
            <w:lang w:eastAsia="en-AU"/>
            <w14:ligatures w14:val="standardContextual"/>
          </w:rPr>
          <w:tab/>
        </w:r>
        <w:r w:rsidRPr="00533B68">
          <w:t>Definitions—div 5.7.2</w:t>
        </w:r>
        <w:r>
          <w:tab/>
        </w:r>
        <w:r>
          <w:fldChar w:fldCharType="begin"/>
        </w:r>
        <w:r>
          <w:instrText xml:space="preserve"> PAGEREF _Toc185515198 \h </w:instrText>
        </w:r>
        <w:r>
          <w:fldChar w:fldCharType="separate"/>
        </w:r>
        <w:r>
          <w:t>884</w:t>
        </w:r>
        <w:r>
          <w:fldChar w:fldCharType="end"/>
        </w:r>
      </w:hyperlink>
    </w:p>
    <w:p w14:paraId="10D450F9" w14:textId="1944423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199" w:history="1">
        <w:r w:rsidRPr="00533B68">
          <w:t>5832</w:t>
        </w:r>
        <w:r>
          <w:rPr>
            <w:rFonts w:asciiTheme="minorHAnsi" w:eastAsiaTheme="minorEastAsia" w:hAnsiTheme="minorHAnsi" w:cstheme="minorBidi"/>
            <w:kern w:val="2"/>
            <w:sz w:val="24"/>
            <w:szCs w:val="24"/>
            <w:lang w:eastAsia="en-AU"/>
            <w14:ligatures w14:val="standardContextual"/>
          </w:rPr>
          <w:tab/>
        </w:r>
        <w:r w:rsidRPr="00533B68">
          <w:t>Question referred to Court of Appeal—form</w:t>
        </w:r>
        <w:r>
          <w:tab/>
        </w:r>
        <w:r>
          <w:fldChar w:fldCharType="begin"/>
        </w:r>
        <w:r>
          <w:instrText xml:space="preserve"> PAGEREF _Toc185515199 \h </w:instrText>
        </w:r>
        <w:r>
          <w:fldChar w:fldCharType="separate"/>
        </w:r>
        <w:r>
          <w:t>884</w:t>
        </w:r>
        <w:r>
          <w:fldChar w:fldCharType="end"/>
        </w:r>
      </w:hyperlink>
    </w:p>
    <w:p w14:paraId="3C331881" w14:textId="6AAD01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0" w:history="1">
        <w:r w:rsidRPr="00533B68">
          <w:t>5833</w:t>
        </w:r>
        <w:r>
          <w:rPr>
            <w:rFonts w:asciiTheme="minorHAnsi" w:eastAsiaTheme="minorEastAsia" w:hAnsiTheme="minorHAnsi" w:cstheme="minorBidi"/>
            <w:kern w:val="2"/>
            <w:sz w:val="24"/>
            <w:szCs w:val="24"/>
            <w:lang w:eastAsia="en-AU"/>
            <w14:ligatures w14:val="standardContextual"/>
          </w:rPr>
          <w:tab/>
        </w:r>
        <w:r w:rsidRPr="00533B68">
          <w:t>Special case to Court of Appeal—preparation and settling</w:t>
        </w:r>
        <w:r>
          <w:tab/>
        </w:r>
        <w:r>
          <w:fldChar w:fldCharType="begin"/>
        </w:r>
        <w:r>
          <w:instrText xml:space="preserve"> PAGEREF _Toc185515200 \h </w:instrText>
        </w:r>
        <w:r>
          <w:fldChar w:fldCharType="separate"/>
        </w:r>
        <w:r>
          <w:t>885</w:t>
        </w:r>
        <w:r>
          <w:fldChar w:fldCharType="end"/>
        </w:r>
      </w:hyperlink>
    </w:p>
    <w:p w14:paraId="0F3FE19C" w14:textId="0A16338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1" w:history="1">
        <w:r w:rsidRPr="00533B68">
          <w:t>5834</w:t>
        </w:r>
        <w:r>
          <w:rPr>
            <w:rFonts w:asciiTheme="minorHAnsi" w:eastAsiaTheme="minorEastAsia" w:hAnsiTheme="minorHAnsi" w:cstheme="minorBidi"/>
            <w:kern w:val="2"/>
            <w:sz w:val="24"/>
            <w:szCs w:val="24"/>
            <w:lang w:eastAsia="en-AU"/>
            <w14:ligatures w14:val="standardContextual"/>
          </w:rPr>
          <w:tab/>
        </w:r>
        <w:r w:rsidRPr="00533B68">
          <w:t>Special case to Court of Appeal—setting down for hearing</w:t>
        </w:r>
        <w:r>
          <w:tab/>
        </w:r>
        <w:r>
          <w:fldChar w:fldCharType="begin"/>
        </w:r>
        <w:r>
          <w:instrText xml:space="preserve"> PAGEREF _Toc185515201 \h </w:instrText>
        </w:r>
        <w:r>
          <w:fldChar w:fldCharType="separate"/>
        </w:r>
        <w:r>
          <w:t>885</w:t>
        </w:r>
        <w:r>
          <w:fldChar w:fldCharType="end"/>
        </w:r>
      </w:hyperlink>
    </w:p>
    <w:p w14:paraId="20BEE1DC" w14:textId="10C42AE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2" w:history="1">
        <w:r w:rsidRPr="00533B68">
          <w:t>5835</w:t>
        </w:r>
        <w:r>
          <w:rPr>
            <w:rFonts w:asciiTheme="minorHAnsi" w:eastAsiaTheme="minorEastAsia" w:hAnsiTheme="minorHAnsi" w:cstheme="minorBidi"/>
            <w:kern w:val="2"/>
            <w:sz w:val="24"/>
            <w:szCs w:val="24"/>
            <w:lang w:eastAsia="en-AU"/>
            <w14:ligatures w14:val="standardContextual"/>
          </w:rPr>
          <w:tab/>
        </w:r>
        <w:r w:rsidRPr="00533B68">
          <w:t>Special case to Court of Appeal—court can draw inferences</w:t>
        </w:r>
        <w:r>
          <w:tab/>
        </w:r>
        <w:r>
          <w:fldChar w:fldCharType="begin"/>
        </w:r>
        <w:r>
          <w:instrText xml:space="preserve"> PAGEREF _Toc185515202 \h </w:instrText>
        </w:r>
        <w:r>
          <w:fldChar w:fldCharType="separate"/>
        </w:r>
        <w:r>
          <w:t>885</w:t>
        </w:r>
        <w:r>
          <w:fldChar w:fldCharType="end"/>
        </w:r>
      </w:hyperlink>
    </w:p>
    <w:p w14:paraId="55EB73A3" w14:textId="50AF67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3" w:history="1">
        <w:r w:rsidRPr="00533B68">
          <w:t>5836</w:t>
        </w:r>
        <w:r>
          <w:rPr>
            <w:rFonts w:asciiTheme="minorHAnsi" w:eastAsiaTheme="minorEastAsia" w:hAnsiTheme="minorHAnsi" w:cstheme="minorBidi"/>
            <w:kern w:val="2"/>
            <w:sz w:val="24"/>
            <w:szCs w:val="24"/>
            <w:lang w:eastAsia="en-AU"/>
            <w14:ligatures w14:val="standardContextual"/>
          </w:rPr>
          <w:tab/>
        </w:r>
        <w:r w:rsidRPr="00533B68">
          <w:t>Special case to Court of Appeal—agreement about damages and costs</w:t>
        </w:r>
        <w:r>
          <w:tab/>
        </w:r>
        <w:r>
          <w:fldChar w:fldCharType="begin"/>
        </w:r>
        <w:r>
          <w:instrText xml:space="preserve"> PAGEREF _Toc185515203 \h </w:instrText>
        </w:r>
        <w:r>
          <w:fldChar w:fldCharType="separate"/>
        </w:r>
        <w:r>
          <w:t>886</w:t>
        </w:r>
        <w:r>
          <w:fldChar w:fldCharType="end"/>
        </w:r>
      </w:hyperlink>
    </w:p>
    <w:p w14:paraId="44C00F54" w14:textId="3FBB5921"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04" w:history="1">
        <w:r w:rsidR="00AC5392" w:rsidRPr="00533B68">
          <w:t>Part 5.8</w:t>
        </w:r>
        <w:r w:rsidR="00AC5392">
          <w:rPr>
            <w:rFonts w:asciiTheme="minorHAnsi" w:eastAsiaTheme="minorEastAsia" w:hAnsiTheme="minorHAnsi" w:cstheme="minorBidi"/>
            <w:b w:val="0"/>
            <w:kern w:val="2"/>
            <w:szCs w:val="24"/>
            <w:lang w:eastAsia="en-AU"/>
            <w14:ligatures w14:val="standardContextual"/>
          </w:rPr>
          <w:tab/>
        </w:r>
        <w:r w:rsidR="00AC5392" w:rsidRPr="00533B68">
          <w:t>Written cases</w:t>
        </w:r>
        <w:r w:rsidR="00AC5392" w:rsidRPr="00AC5392">
          <w:rPr>
            <w:vanish/>
          </w:rPr>
          <w:tab/>
        </w:r>
        <w:r w:rsidR="00AC5392" w:rsidRPr="00AC5392">
          <w:rPr>
            <w:vanish/>
          </w:rPr>
          <w:fldChar w:fldCharType="begin"/>
        </w:r>
        <w:r w:rsidR="00AC5392" w:rsidRPr="00AC5392">
          <w:rPr>
            <w:vanish/>
          </w:rPr>
          <w:instrText xml:space="preserve"> PAGEREF _Toc185515204 \h </w:instrText>
        </w:r>
        <w:r w:rsidR="00AC5392" w:rsidRPr="00AC5392">
          <w:rPr>
            <w:vanish/>
          </w:rPr>
        </w:r>
        <w:r w:rsidR="00AC5392" w:rsidRPr="00AC5392">
          <w:rPr>
            <w:vanish/>
          </w:rPr>
          <w:fldChar w:fldCharType="separate"/>
        </w:r>
        <w:r w:rsidR="00AC5392" w:rsidRPr="00AC5392">
          <w:rPr>
            <w:vanish/>
          </w:rPr>
          <w:t>887</w:t>
        </w:r>
        <w:r w:rsidR="00AC5392" w:rsidRPr="00AC5392">
          <w:rPr>
            <w:vanish/>
          </w:rPr>
          <w:fldChar w:fldCharType="end"/>
        </w:r>
      </w:hyperlink>
    </w:p>
    <w:p w14:paraId="1718DE90" w14:textId="74316C9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5" w:history="1">
        <w:r w:rsidRPr="00533B68">
          <w:t>5850</w:t>
        </w:r>
        <w:r>
          <w:rPr>
            <w:rFonts w:asciiTheme="minorHAnsi" w:eastAsiaTheme="minorEastAsia" w:hAnsiTheme="minorHAnsi" w:cstheme="minorBidi"/>
            <w:kern w:val="2"/>
            <w:sz w:val="24"/>
            <w:szCs w:val="24"/>
            <w:lang w:eastAsia="en-AU"/>
            <w14:ligatures w14:val="standardContextual"/>
          </w:rPr>
          <w:tab/>
        </w:r>
        <w:r w:rsidRPr="00533B68">
          <w:t>Definitions—pt 5.8</w:t>
        </w:r>
        <w:r>
          <w:tab/>
        </w:r>
        <w:r>
          <w:fldChar w:fldCharType="begin"/>
        </w:r>
        <w:r>
          <w:instrText xml:space="preserve"> PAGEREF _Toc185515205 \h </w:instrText>
        </w:r>
        <w:r>
          <w:fldChar w:fldCharType="separate"/>
        </w:r>
        <w:r>
          <w:t>887</w:t>
        </w:r>
        <w:r>
          <w:fldChar w:fldCharType="end"/>
        </w:r>
      </w:hyperlink>
    </w:p>
    <w:p w14:paraId="301EF402" w14:textId="271FEA19"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206" w:history="1">
        <w:r w:rsidRPr="00533B68">
          <w:t>5851</w:t>
        </w:r>
        <w:r>
          <w:rPr>
            <w:rFonts w:asciiTheme="minorHAnsi" w:eastAsiaTheme="minorEastAsia" w:hAnsiTheme="minorHAnsi" w:cstheme="minorBidi"/>
            <w:kern w:val="2"/>
            <w:sz w:val="24"/>
            <w:szCs w:val="24"/>
            <w:lang w:eastAsia="en-AU"/>
            <w14:ligatures w14:val="standardContextual"/>
          </w:rPr>
          <w:tab/>
        </w:r>
        <w:r w:rsidRPr="00533B68">
          <w:t>Application of pt 5.8 to div 5.6.1 etc</w:t>
        </w:r>
        <w:r>
          <w:tab/>
        </w:r>
        <w:r>
          <w:fldChar w:fldCharType="begin"/>
        </w:r>
        <w:r>
          <w:instrText xml:space="preserve"> PAGEREF _Toc185515206 \h </w:instrText>
        </w:r>
        <w:r>
          <w:fldChar w:fldCharType="separate"/>
        </w:r>
        <w:r>
          <w:t>888</w:t>
        </w:r>
        <w:r>
          <w:fldChar w:fldCharType="end"/>
        </w:r>
      </w:hyperlink>
    </w:p>
    <w:p w14:paraId="2E83C552" w14:textId="0E6483B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7" w:history="1">
        <w:r w:rsidRPr="00533B68">
          <w:t>5852</w:t>
        </w:r>
        <w:r>
          <w:rPr>
            <w:rFonts w:asciiTheme="minorHAnsi" w:eastAsiaTheme="minorEastAsia" w:hAnsiTheme="minorHAnsi" w:cstheme="minorBidi"/>
            <w:kern w:val="2"/>
            <w:sz w:val="24"/>
            <w:szCs w:val="24"/>
            <w:lang w:eastAsia="en-AU"/>
            <w14:ligatures w14:val="standardContextual"/>
          </w:rPr>
          <w:tab/>
        </w:r>
        <w:r w:rsidRPr="00533B68">
          <w:t>Written cases—when used</w:t>
        </w:r>
        <w:r>
          <w:tab/>
        </w:r>
        <w:r>
          <w:fldChar w:fldCharType="begin"/>
        </w:r>
        <w:r>
          <w:instrText xml:space="preserve"> PAGEREF _Toc185515207 \h </w:instrText>
        </w:r>
        <w:r>
          <w:fldChar w:fldCharType="separate"/>
        </w:r>
        <w:r>
          <w:t>889</w:t>
        </w:r>
        <w:r>
          <w:fldChar w:fldCharType="end"/>
        </w:r>
      </w:hyperlink>
    </w:p>
    <w:p w14:paraId="1035B767" w14:textId="411D09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8" w:history="1">
        <w:r w:rsidRPr="00533B68">
          <w:t>5853</w:t>
        </w:r>
        <w:r>
          <w:rPr>
            <w:rFonts w:asciiTheme="minorHAnsi" w:eastAsiaTheme="minorEastAsia" w:hAnsiTheme="minorHAnsi" w:cstheme="minorBidi"/>
            <w:kern w:val="2"/>
            <w:sz w:val="24"/>
            <w:szCs w:val="24"/>
            <w:lang w:eastAsia="en-AU"/>
            <w14:ligatures w14:val="standardContextual"/>
          </w:rPr>
          <w:tab/>
        </w:r>
        <w:r w:rsidRPr="00533B68">
          <w:t>Written cases—appellant wants written case</w:t>
        </w:r>
        <w:r>
          <w:tab/>
        </w:r>
        <w:r>
          <w:fldChar w:fldCharType="begin"/>
        </w:r>
        <w:r>
          <w:instrText xml:space="preserve"> PAGEREF _Toc185515208 \h </w:instrText>
        </w:r>
        <w:r>
          <w:fldChar w:fldCharType="separate"/>
        </w:r>
        <w:r>
          <w:t>889</w:t>
        </w:r>
        <w:r>
          <w:fldChar w:fldCharType="end"/>
        </w:r>
      </w:hyperlink>
    </w:p>
    <w:p w14:paraId="77C9B15F" w14:textId="120232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09" w:history="1">
        <w:r w:rsidRPr="00533B68">
          <w:t>5854</w:t>
        </w:r>
        <w:r>
          <w:rPr>
            <w:rFonts w:asciiTheme="minorHAnsi" w:eastAsiaTheme="minorEastAsia" w:hAnsiTheme="minorHAnsi" w:cstheme="minorBidi"/>
            <w:kern w:val="2"/>
            <w:sz w:val="24"/>
            <w:szCs w:val="24"/>
            <w:lang w:eastAsia="en-AU"/>
            <w14:ligatures w14:val="standardContextual"/>
          </w:rPr>
          <w:tab/>
        </w:r>
        <w:r w:rsidRPr="00533B68">
          <w:t>Written cases—respondent wants written case</w:t>
        </w:r>
        <w:r>
          <w:tab/>
        </w:r>
        <w:r>
          <w:fldChar w:fldCharType="begin"/>
        </w:r>
        <w:r>
          <w:instrText xml:space="preserve"> PAGEREF _Toc185515209 \h </w:instrText>
        </w:r>
        <w:r>
          <w:fldChar w:fldCharType="separate"/>
        </w:r>
        <w:r>
          <w:t>890</w:t>
        </w:r>
        <w:r>
          <w:fldChar w:fldCharType="end"/>
        </w:r>
      </w:hyperlink>
    </w:p>
    <w:p w14:paraId="0FA68A3E" w14:textId="7947835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10" w:history="1">
        <w:r w:rsidRPr="00533B68">
          <w:t>5855</w:t>
        </w:r>
        <w:r>
          <w:rPr>
            <w:rFonts w:asciiTheme="minorHAnsi" w:eastAsiaTheme="minorEastAsia" w:hAnsiTheme="minorHAnsi" w:cstheme="minorBidi"/>
            <w:kern w:val="2"/>
            <w:sz w:val="24"/>
            <w:szCs w:val="24"/>
            <w:lang w:eastAsia="en-AU"/>
            <w14:ligatures w14:val="standardContextual"/>
          </w:rPr>
          <w:tab/>
        </w:r>
        <w:r w:rsidRPr="00533B68">
          <w:t>Written cases—filing etc written case for application</w:t>
        </w:r>
        <w:r>
          <w:tab/>
        </w:r>
        <w:r>
          <w:fldChar w:fldCharType="begin"/>
        </w:r>
        <w:r>
          <w:instrText xml:space="preserve"> PAGEREF _Toc185515210 \h </w:instrText>
        </w:r>
        <w:r>
          <w:fldChar w:fldCharType="separate"/>
        </w:r>
        <w:r>
          <w:t>891</w:t>
        </w:r>
        <w:r>
          <w:fldChar w:fldCharType="end"/>
        </w:r>
      </w:hyperlink>
    </w:p>
    <w:p w14:paraId="03122267" w14:textId="4786F0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11" w:history="1">
        <w:r w:rsidRPr="00533B68">
          <w:t>5856</w:t>
        </w:r>
        <w:r>
          <w:rPr>
            <w:rFonts w:asciiTheme="minorHAnsi" w:eastAsiaTheme="minorEastAsia" w:hAnsiTheme="minorHAnsi" w:cstheme="minorBidi"/>
            <w:kern w:val="2"/>
            <w:sz w:val="24"/>
            <w:szCs w:val="24"/>
            <w:lang w:eastAsia="en-AU"/>
            <w14:ligatures w14:val="standardContextual"/>
          </w:rPr>
          <w:tab/>
        </w:r>
        <w:r w:rsidRPr="00533B68">
          <w:t>Written cases—filing etc written case for appeal</w:t>
        </w:r>
        <w:r>
          <w:tab/>
        </w:r>
        <w:r>
          <w:fldChar w:fldCharType="begin"/>
        </w:r>
        <w:r>
          <w:instrText xml:space="preserve"> PAGEREF _Toc185515211 \h </w:instrText>
        </w:r>
        <w:r>
          <w:fldChar w:fldCharType="separate"/>
        </w:r>
        <w:r>
          <w:t>892</w:t>
        </w:r>
        <w:r>
          <w:fldChar w:fldCharType="end"/>
        </w:r>
      </w:hyperlink>
    </w:p>
    <w:p w14:paraId="69BE6D88" w14:textId="1ED7AC9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12" w:history="1">
        <w:r w:rsidRPr="00533B68">
          <w:t>5857</w:t>
        </w:r>
        <w:r>
          <w:rPr>
            <w:rFonts w:asciiTheme="minorHAnsi" w:eastAsiaTheme="minorEastAsia" w:hAnsiTheme="minorHAnsi" w:cstheme="minorBidi"/>
            <w:kern w:val="2"/>
            <w:sz w:val="24"/>
            <w:szCs w:val="24"/>
            <w:lang w:eastAsia="en-AU"/>
            <w14:ligatures w14:val="standardContextual"/>
          </w:rPr>
          <w:tab/>
        </w:r>
        <w:r w:rsidRPr="00533B68">
          <w:t>Written cases—form</w:t>
        </w:r>
        <w:r>
          <w:tab/>
        </w:r>
        <w:r>
          <w:fldChar w:fldCharType="begin"/>
        </w:r>
        <w:r>
          <w:instrText xml:space="preserve"> PAGEREF _Toc185515212 \h </w:instrText>
        </w:r>
        <w:r>
          <w:fldChar w:fldCharType="separate"/>
        </w:r>
        <w:r>
          <w:t>893</w:t>
        </w:r>
        <w:r>
          <w:fldChar w:fldCharType="end"/>
        </w:r>
      </w:hyperlink>
    </w:p>
    <w:p w14:paraId="497CE961" w14:textId="5304194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13" w:history="1">
        <w:r w:rsidRPr="00533B68">
          <w:t>5858</w:t>
        </w:r>
        <w:r>
          <w:rPr>
            <w:rFonts w:asciiTheme="minorHAnsi" w:eastAsiaTheme="minorEastAsia" w:hAnsiTheme="minorHAnsi" w:cstheme="minorBidi"/>
            <w:kern w:val="2"/>
            <w:sz w:val="24"/>
            <w:szCs w:val="24"/>
            <w:lang w:eastAsia="en-AU"/>
            <w14:ligatures w14:val="standardContextual"/>
          </w:rPr>
          <w:tab/>
        </w:r>
        <w:r w:rsidRPr="00533B68">
          <w:t>Written cases—inspection</w:t>
        </w:r>
        <w:r>
          <w:tab/>
        </w:r>
        <w:r>
          <w:fldChar w:fldCharType="begin"/>
        </w:r>
        <w:r>
          <w:instrText xml:space="preserve"> PAGEREF _Toc185515213 \h </w:instrText>
        </w:r>
        <w:r>
          <w:fldChar w:fldCharType="separate"/>
        </w:r>
        <w:r>
          <w:t>894</w:t>
        </w:r>
        <w:r>
          <w:fldChar w:fldCharType="end"/>
        </w:r>
      </w:hyperlink>
    </w:p>
    <w:p w14:paraId="5811F917" w14:textId="2DB67699" w:rsidR="00AC5392" w:rsidRDefault="001542D1">
      <w:pPr>
        <w:pStyle w:val="TOC1"/>
        <w:rPr>
          <w:rFonts w:asciiTheme="minorHAnsi" w:eastAsiaTheme="minorEastAsia" w:hAnsiTheme="minorHAnsi" w:cstheme="minorBidi"/>
          <w:b w:val="0"/>
          <w:kern w:val="2"/>
          <w:szCs w:val="24"/>
          <w:lang w:eastAsia="en-AU"/>
          <w14:ligatures w14:val="standardContextual"/>
        </w:rPr>
      </w:pPr>
      <w:hyperlink w:anchor="_Toc185515214" w:history="1">
        <w:r w:rsidR="00AC5392" w:rsidRPr="00533B68">
          <w:t>Chapter 6</w:t>
        </w:r>
        <w:r w:rsidR="00AC5392">
          <w:rPr>
            <w:rFonts w:asciiTheme="minorHAnsi" w:eastAsiaTheme="minorEastAsia" w:hAnsiTheme="minorHAnsi" w:cstheme="minorBidi"/>
            <w:b w:val="0"/>
            <w:kern w:val="2"/>
            <w:szCs w:val="24"/>
            <w:lang w:eastAsia="en-AU"/>
            <w14:ligatures w14:val="standardContextual"/>
          </w:rPr>
          <w:tab/>
        </w:r>
        <w:r w:rsidR="00AC5392" w:rsidRPr="00533B68">
          <w:t>General rules for all proceedings</w:t>
        </w:r>
        <w:r w:rsidR="00AC5392" w:rsidRPr="00AC5392">
          <w:rPr>
            <w:vanish/>
          </w:rPr>
          <w:tab/>
        </w:r>
        <w:r w:rsidR="00AC5392" w:rsidRPr="00AC5392">
          <w:rPr>
            <w:vanish/>
          </w:rPr>
          <w:fldChar w:fldCharType="begin"/>
        </w:r>
        <w:r w:rsidR="00AC5392" w:rsidRPr="00AC5392">
          <w:rPr>
            <w:vanish/>
          </w:rPr>
          <w:instrText xml:space="preserve"> PAGEREF _Toc185515214 \h </w:instrText>
        </w:r>
        <w:r w:rsidR="00AC5392" w:rsidRPr="00AC5392">
          <w:rPr>
            <w:vanish/>
          </w:rPr>
        </w:r>
        <w:r w:rsidR="00AC5392" w:rsidRPr="00AC5392">
          <w:rPr>
            <w:vanish/>
          </w:rPr>
          <w:fldChar w:fldCharType="separate"/>
        </w:r>
        <w:r w:rsidR="00AC5392" w:rsidRPr="00AC5392">
          <w:rPr>
            <w:vanish/>
          </w:rPr>
          <w:t>895</w:t>
        </w:r>
        <w:r w:rsidR="00AC5392" w:rsidRPr="00AC5392">
          <w:rPr>
            <w:vanish/>
          </w:rPr>
          <w:fldChar w:fldCharType="end"/>
        </w:r>
      </w:hyperlink>
    </w:p>
    <w:p w14:paraId="448DD2CD" w14:textId="23AD628C"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15" w:history="1">
        <w:r w:rsidR="00AC5392" w:rsidRPr="00533B68">
          <w:t>Part 6.1</w:t>
        </w:r>
        <w:r w:rsidR="00AC5392">
          <w:rPr>
            <w:rFonts w:asciiTheme="minorHAnsi" w:eastAsiaTheme="minorEastAsia" w:hAnsiTheme="minorHAnsi" w:cstheme="minorBidi"/>
            <w:b w:val="0"/>
            <w:kern w:val="2"/>
            <w:szCs w:val="24"/>
            <w:lang w:eastAsia="en-AU"/>
            <w14:ligatures w14:val="standardContextual"/>
          </w:rPr>
          <w:tab/>
        </w:r>
        <w:r w:rsidR="00AC5392" w:rsidRPr="00533B68">
          <w:t>Introductory provisions—ch 6</w:t>
        </w:r>
        <w:r w:rsidR="00AC5392" w:rsidRPr="00AC5392">
          <w:rPr>
            <w:vanish/>
          </w:rPr>
          <w:tab/>
        </w:r>
        <w:r w:rsidR="00AC5392" w:rsidRPr="00AC5392">
          <w:rPr>
            <w:vanish/>
          </w:rPr>
          <w:fldChar w:fldCharType="begin"/>
        </w:r>
        <w:r w:rsidR="00AC5392" w:rsidRPr="00AC5392">
          <w:rPr>
            <w:vanish/>
          </w:rPr>
          <w:instrText xml:space="preserve"> PAGEREF _Toc185515215 \h </w:instrText>
        </w:r>
        <w:r w:rsidR="00AC5392" w:rsidRPr="00AC5392">
          <w:rPr>
            <w:vanish/>
          </w:rPr>
        </w:r>
        <w:r w:rsidR="00AC5392" w:rsidRPr="00AC5392">
          <w:rPr>
            <w:vanish/>
          </w:rPr>
          <w:fldChar w:fldCharType="separate"/>
        </w:r>
        <w:r w:rsidR="00AC5392" w:rsidRPr="00AC5392">
          <w:rPr>
            <w:vanish/>
          </w:rPr>
          <w:t>895</w:t>
        </w:r>
        <w:r w:rsidR="00AC5392" w:rsidRPr="00AC5392">
          <w:rPr>
            <w:vanish/>
          </w:rPr>
          <w:fldChar w:fldCharType="end"/>
        </w:r>
      </w:hyperlink>
    </w:p>
    <w:p w14:paraId="0FDCEE73" w14:textId="5F4ABA7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16" w:history="1">
        <w:r w:rsidRPr="00533B68">
          <w:t>6000</w:t>
        </w:r>
        <w:r>
          <w:rPr>
            <w:rFonts w:asciiTheme="minorHAnsi" w:eastAsiaTheme="minorEastAsia" w:hAnsiTheme="minorHAnsi" w:cstheme="minorBidi"/>
            <w:kern w:val="2"/>
            <w:sz w:val="24"/>
            <w:szCs w:val="24"/>
            <w:lang w:eastAsia="en-AU"/>
            <w14:ligatures w14:val="standardContextual"/>
          </w:rPr>
          <w:tab/>
        </w:r>
        <w:r w:rsidRPr="00533B68">
          <w:t>Application—ch 6</w:t>
        </w:r>
        <w:r>
          <w:tab/>
        </w:r>
        <w:r>
          <w:fldChar w:fldCharType="begin"/>
        </w:r>
        <w:r>
          <w:instrText xml:space="preserve"> PAGEREF _Toc185515216 \h </w:instrText>
        </w:r>
        <w:r>
          <w:fldChar w:fldCharType="separate"/>
        </w:r>
        <w:r>
          <w:t>895</w:t>
        </w:r>
        <w:r>
          <w:fldChar w:fldCharType="end"/>
        </w:r>
      </w:hyperlink>
    </w:p>
    <w:p w14:paraId="29B45B70" w14:textId="78614BE7"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17" w:history="1">
        <w:r w:rsidR="00AC5392" w:rsidRPr="00533B68">
          <w:t>Part 6.2</w:t>
        </w:r>
        <w:r w:rsidR="00AC5392">
          <w:rPr>
            <w:rFonts w:asciiTheme="minorHAnsi" w:eastAsiaTheme="minorEastAsia" w:hAnsiTheme="minorHAnsi" w:cstheme="minorBidi"/>
            <w:b w:val="0"/>
            <w:kern w:val="2"/>
            <w:szCs w:val="24"/>
            <w:lang w:eastAsia="en-AU"/>
            <w14:ligatures w14:val="standardContextual"/>
          </w:rPr>
          <w:tab/>
        </w:r>
        <w:r w:rsidR="00AC5392" w:rsidRPr="00533B68">
          <w:t>Applications in proceedings</w:t>
        </w:r>
        <w:r w:rsidR="00AC5392" w:rsidRPr="00AC5392">
          <w:rPr>
            <w:vanish/>
          </w:rPr>
          <w:tab/>
        </w:r>
        <w:r w:rsidR="00AC5392" w:rsidRPr="00AC5392">
          <w:rPr>
            <w:vanish/>
          </w:rPr>
          <w:fldChar w:fldCharType="begin"/>
        </w:r>
        <w:r w:rsidR="00AC5392" w:rsidRPr="00AC5392">
          <w:rPr>
            <w:vanish/>
          </w:rPr>
          <w:instrText xml:space="preserve"> PAGEREF _Toc185515217 \h </w:instrText>
        </w:r>
        <w:r w:rsidR="00AC5392" w:rsidRPr="00AC5392">
          <w:rPr>
            <w:vanish/>
          </w:rPr>
        </w:r>
        <w:r w:rsidR="00AC5392" w:rsidRPr="00AC5392">
          <w:rPr>
            <w:vanish/>
          </w:rPr>
          <w:fldChar w:fldCharType="separate"/>
        </w:r>
        <w:r w:rsidR="00AC5392" w:rsidRPr="00AC5392">
          <w:rPr>
            <w:vanish/>
          </w:rPr>
          <w:t>896</w:t>
        </w:r>
        <w:r w:rsidR="00AC5392" w:rsidRPr="00AC5392">
          <w:rPr>
            <w:vanish/>
          </w:rPr>
          <w:fldChar w:fldCharType="end"/>
        </w:r>
      </w:hyperlink>
    </w:p>
    <w:p w14:paraId="0724B13B" w14:textId="50E15DB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18" w:history="1">
        <w:r w:rsidRPr="00533B68">
          <w:t>6005</w:t>
        </w:r>
        <w:r>
          <w:rPr>
            <w:rFonts w:asciiTheme="minorHAnsi" w:eastAsiaTheme="minorEastAsia" w:hAnsiTheme="minorHAnsi" w:cstheme="minorBidi"/>
            <w:kern w:val="2"/>
            <w:sz w:val="24"/>
            <w:szCs w:val="24"/>
            <w:lang w:eastAsia="en-AU"/>
            <w14:ligatures w14:val="standardContextual"/>
          </w:rPr>
          <w:tab/>
        </w:r>
        <w:r w:rsidRPr="00533B68">
          <w:t>Definitions</w:t>
        </w:r>
        <w:r w:rsidRPr="00533B68">
          <w:rPr>
            <w:bCs/>
          </w:rPr>
          <w:t>—</w:t>
        </w:r>
        <w:r w:rsidRPr="00533B68">
          <w:t>pt 6.2</w:t>
        </w:r>
        <w:r>
          <w:tab/>
        </w:r>
        <w:r>
          <w:fldChar w:fldCharType="begin"/>
        </w:r>
        <w:r>
          <w:instrText xml:space="preserve"> PAGEREF _Toc185515218 \h </w:instrText>
        </w:r>
        <w:r>
          <w:fldChar w:fldCharType="separate"/>
        </w:r>
        <w:r>
          <w:t>896</w:t>
        </w:r>
        <w:r>
          <w:fldChar w:fldCharType="end"/>
        </w:r>
      </w:hyperlink>
    </w:p>
    <w:p w14:paraId="25AFDA3C" w14:textId="70D555E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19" w:history="1">
        <w:r w:rsidRPr="00533B68">
          <w:t>6006</w:t>
        </w:r>
        <w:r>
          <w:rPr>
            <w:rFonts w:asciiTheme="minorHAnsi" w:eastAsiaTheme="minorEastAsia" w:hAnsiTheme="minorHAnsi" w:cstheme="minorBidi"/>
            <w:kern w:val="2"/>
            <w:sz w:val="24"/>
            <w:szCs w:val="24"/>
            <w:lang w:eastAsia="en-AU"/>
            <w14:ligatures w14:val="standardContextual"/>
          </w:rPr>
          <w:tab/>
        </w:r>
        <w:r w:rsidRPr="00533B68">
          <w:t>Application—pt 6.2</w:t>
        </w:r>
        <w:r>
          <w:tab/>
        </w:r>
        <w:r>
          <w:fldChar w:fldCharType="begin"/>
        </w:r>
        <w:r>
          <w:instrText xml:space="preserve"> PAGEREF _Toc185515219 \h </w:instrText>
        </w:r>
        <w:r>
          <w:fldChar w:fldCharType="separate"/>
        </w:r>
        <w:r>
          <w:t>896</w:t>
        </w:r>
        <w:r>
          <w:fldChar w:fldCharType="end"/>
        </w:r>
      </w:hyperlink>
    </w:p>
    <w:p w14:paraId="6653F34E" w14:textId="434D54A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0" w:history="1">
        <w:r w:rsidRPr="00533B68">
          <w:t>6007</w:t>
        </w:r>
        <w:r>
          <w:rPr>
            <w:rFonts w:asciiTheme="minorHAnsi" w:eastAsiaTheme="minorEastAsia" w:hAnsiTheme="minorHAnsi" w:cstheme="minorBidi"/>
            <w:kern w:val="2"/>
            <w:sz w:val="24"/>
            <w:szCs w:val="24"/>
            <w:lang w:eastAsia="en-AU"/>
            <w14:ligatures w14:val="standardContextual"/>
          </w:rPr>
          <w:tab/>
        </w:r>
        <w:r w:rsidRPr="00533B68">
          <w:t>Application in proceeding</w:t>
        </w:r>
        <w:r w:rsidRPr="00533B68">
          <w:rPr>
            <w:lang w:val="en-US"/>
          </w:rPr>
          <w:t>—contents</w:t>
        </w:r>
        <w:r>
          <w:tab/>
        </w:r>
        <w:r>
          <w:fldChar w:fldCharType="begin"/>
        </w:r>
        <w:r>
          <w:instrText xml:space="preserve"> PAGEREF _Toc185515220 \h </w:instrText>
        </w:r>
        <w:r>
          <w:fldChar w:fldCharType="separate"/>
        </w:r>
        <w:r>
          <w:t>897</w:t>
        </w:r>
        <w:r>
          <w:fldChar w:fldCharType="end"/>
        </w:r>
      </w:hyperlink>
    </w:p>
    <w:p w14:paraId="3DA9EA6D" w14:textId="08B4C3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1" w:history="1">
        <w:r w:rsidRPr="00533B68">
          <w:t>6008</w:t>
        </w:r>
        <w:r>
          <w:rPr>
            <w:rFonts w:asciiTheme="minorHAnsi" w:eastAsiaTheme="minorEastAsia" w:hAnsiTheme="minorHAnsi" w:cstheme="minorBidi"/>
            <w:kern w:val="2"/>
            <w:sz w:val="24"/>
            <w:szCs w:val="24"/>
            <w:lang w:eastAsia="en-AU"/>
            <w14:ligatures w14:val="standardContextual"/>
          </w:rPr>
          <w:tab/>
        </w:r>
        <w:r w:rsidRPr="00533B68">
          <w:t>Application in proceeding</w:t>
        </w:r>
        <w:r w:rsidRPr="00533B68">
          <w:rPr>
            <w:lang w:val="en-US"/>
          </w:rPr>
          <w:t>—filing and service</w:t>
        </w:r>
        <w:r>
          <w:tab/>
        </w:r>
        <w:r>
          <w:fldChar w:fldCharType="begin"/>
        </w:r>
        <w:r>
          <w:instrText xml:space="preserve"> PAGEREF _Toc185515221 \h </w:instrText>
        </w:r>
        <w:r>
          <w:fldChar w:fldCharType="separate"/>
        </w:r>
        <w:r>
          <w:t>899</w:t>
        </w:r>
        <w:r>
          <w:fldChar w:fldCharType="end"/>
        </w:r>
      </w:hyperlink>
    </w:p>
    <w:p w14:paraId="3A933170" w14:textId="19B3B73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2" w:history="1">
        <w:r w:rsidRPr="00533B68">
          <w:t>6009</w:t>
        </w:r>
        <w:r>
          <w:rPr>
            <w:rFonts w:asciiTheme="minorHAnsi" w:eastAsiaTheme="minorEastAsia" w:hAnsiTheme="minorHAnsi" w:cstheme="minorBidi"/>
            <w:kern w:val="2"/>
            <w:sz w:val="24"/>
            <w:szCs w:val="24"/>
            <w:lang w:eastAsia="en-AU"/>
            <w14:ligatures w14:val="standardContextual"/>
          </w:rPr>
          <w:tab/>
        </w:r>
        <w:r w:rsidRPr="00533B68">
          <w:t>Application in proceeding—filing and service of supporting material</w:t>
        </w:r>
        <w:r>
          <w:tab/>
        </w:r>
        <w:r>
          <w:fldChar w:fldCharType="begin"/>
        </w:r>
        <w:r>
          <w:instrText xml:space="preserve"> PAGEREF _Toc185515222 \h </w:instrText>
        </w:r>
        <w:r>
          <w:fldChar w:fldCharType="separate"/>
        </w:r>
        <w:r>
          <w:t>900</w:t>
        </w:r>
        <w:r>
          <w:fldChar w:fldCharType="end"/>
        </w:r>
      </w:hyperlink>
    </w:p>
    <w:p w14:paraId="3BDC675C" w14:textId="1E884C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3" w:history="1">
        <w:r w:rsidRPr="00533B68">
          <w:t>6010</w:t>
        </w:r>
        <w:r>
          <w:rPr>
            <w:rFonts w:asciiTheme="minorHAnsi" w:eastAsiaTheme="minorEastAsia" w:hAnsiTheme="minorHAnsi" w:cstheme="minorBidi"/>
            <w:kern w:val="2"/>
            <w:sz w:val="24"/>
            <w:szCs w:val="24"/>
            <w:lang w:eastAsia="en-AU"/>
            <w14:ligatures w14:val="standardContextual"/>
          </w:rPr>
          <w:tab/>
        </w:r>
        <w:r w:rsidRPr="00533B68">
          <w:t>Application in proceeding—absence of party</w:t>
        </w:r>
        <w:r>
          <w:tab/>
        </w:r>
        <w:r>
          <w:fldChar w:fldCharType="begin"/>
        </w:r>
        <w:r>
          <w:instrText xml:space="preserve"> PAGEREF _Toc185515223 \h </w:instrText>
        </w:r>
        <w:r>
          <w:fldChar w:fldCharType="separate"/>
        </w:r>
        <w:r>
          <w:t>900</w:t>
        </w:r>
        <w:r>
          <w:fldChar w:fldCharType="end"/>
        </w:r>
      </w:hyperlink>
    </w:p>
    <w:p w14:paraId="11760DD1" w14:textId="6DE18D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4" w:history="1">
        <w:r w:rsidRPr="00533B68">
          <w:t>6011</w:t>
        </w:r>
        <w:r>
          <w:rPr>
            <w:rFonts w:asciiTheme="minorHAnsi" w:eastAsiaTheme="minorEastAsia" w:hAnsiTheme="minorHAnsi" w:cstheme="minorBidi"/>
            <w:kern w:val="2"/>
            <w:sz w:val="24"/>
            <w:szCs w:val="24"/>
            <w:lang w:eastAsia="en-AU"/>
            <w14:ligatures w14:val="standardContextual"/>
          </w:rPr>
          <w:tab/>
        </w:r>
        <w:r w:rsidRPr="00533B68">
          <w:t>Application in proceeding—dismissal or adjournment if application not served etc</w:t>
        </w:r>
        <w:r>
          <w:tab/>
        </w:r>
        <w:r>
          <w:fldChar w:fldCharType="begin"/>
        </w:r>
        <w:r>
          <w:instrText xml:space="preserve"> PAGEREF _Toc185515224 \h </w:instrText>
        </w:r>
        <w:r>
          <w:fldChar w:fldCharType="separate"/>
        </w:r>
        <w:r>
          <w:t>900</w:t>
        </w:r>
        <w:r>
          <w:fldChar w:fldCharType="end"/>
        </w:r>
      </w:hyperlink>
    </w:p>
    <w:p w14:paraId="78FCB2C9" w14:textId="010938C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5" w:history="1">
        <w:r w:rsidRPr="00533B68">
          <w:t>6012</w:t>
        </w:r>
        <w:r>
          <w:rPr>
            <w:rFonts w:asciiTheme="minorHAnsi" w:eastAsiaTheme="minorEastAsia" w:hAnsiTheme="minorHAnsi" w:cstheme="minorBidi"/>
            <w:kern w:val="2"/>
            <w:sz w:val="24"/>
            <w:szCs w:val="24"/>
            <w:lang w:eastAsia="en-AU"/>
            <w14:ligatures w14:val="standardContextual"/>
          </w:rPr>
          <w:tab/>
        </w:r>
        <w:r w:rsidRPr="00533B68">
          <w:t>Application in proceeding—adjournment generally</w:t>
        </w:r>
        <w:r>
          <w:tab/>
        </w:r>
        <w:r>
          <w:fldChar w:fldCharType="begin"/>
        </w:r>
        <w:r>
          <w:instrText xml:space="preserve"> PAGEREF _Toc185515225 \h </w:instrText>
        </w:r>
        <w:r>
          <w:fldChar w:fldCharType="separate"/>
        </w:r>
        <w:r>
          <w:t>901</w:t>
        </w:r>
        <w:r>
          <w:fldChar w:fldCharType="end"/>
        </w:r>
      </w:hyperlink>
    </w:p>
    <w:p w14:paraId="1163BB23" w14:textId="59D30A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6" w:history="1">
        <w:r w:rsidRPr="00533B68">
          <w:t>6013</w:t>
        </w:r>
        <w:r>
          <w:rPr>
            <w:rFonts w:asciiTheme="minorHAnsi" w:eastAsiaTheme="minorEastAsia" w:hAnsiTheme="minorHAnsi" w:cstheme="minorBidi"/>
            <w:kern w:val="2"/>
            <w:sz w:val="24"/>
            <w:szCs w:val="24"/>
            <w:lang w:eastAsia="en-AU"/>
            <w14:ligatures w14:val="standardContextual"/>
          </w:rPr>
          <w:tab/>
        </w:r>
        <w:r w:rsidRPr="00533B68">
          <w:t>Application in proceeding—orders by consent without attendance</w:t>
        </w:r>
        <w:r>
          <w:tab/>
        </w:r>
        <w:r>
          <w:fldChar w:fldCharType="begin"/>
        </w:r>
        <w:r>
          <w:instrText xml:space="preserve"> PAGEREF _Toc185515226 \h </w:instrText>
        </w:r>
        <w:r>
          <w:fldChar w:fldCharType="separate"/>
        </w:r>
        <w:r>
          <w:t>901</w:t>
        </w:r>
        <w:r>
          <w:fldChar w:fldCharType="end"/>
        </w:r>
      </w:hyperlink>
    </w:p>
    <w:p w14:paraId="3A0EF9C5" w14:textId="10510C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7" w:history="1">
        <w:r w:rsidRPr="00533B68">
          <w:t>6014</w:t>
        </w:r>
        <w:r>
          <w:rPr>
            <w:rFonts w:asciiTheme="minorHAnsi" w:eastAsiaTheme="minorEastAsia" w:hAnsiTheme="minorHAnsi" w:cstheme="minorBidi"/>
            <w:kern w:val="2"/>
            <w:sz w:val="24"/>
            <w:szCs w:val="24"/>
            <w:lang w:eastAsia="en-AU"/>
            <w14:ligatures w14:val="standardContextual"/>
          </w:rPr>
          <w:tab/>
        </w:r>
        <w:r w:rsidRPr="00533B68">
          <w:t>Application in proceeding—further hearing</w:t>
        </w:r>
        <w:r>
          <w:tab/>
        </w:r>
        <w:r>
          <w:fldChar w:fldCharType="begin"/>
        </w:r>
        <w:r>
          <w:instrText xml:space="preserve"> PAGEREF _Toc185515227 \h </w:instrText>
        </w:r>
        <w:r>
          <w:fldChar w:fldCharType="separate"/>
        </w:r>
        <w:r>
          <w:t>902</w:t>
        </w:r>
        <w:r>
          <w:fldChar w:fldCharType="end"/>
        </w:r>
      </w:hyperlink>
    </w:p>
    <w:p w14:paraId="6B90BC0D" w14:textId="10565CE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8" w:history="1">
        <w:r w:rsidRPr="00533B68">
          <w:t>6015</w:t>
        </w:r>
        <w:r>
          <w:rPr>
            <w:rFonts w:asciiTheme="minorHAnsi" w:eastAsiaTheme="minorEastAsia" w:hAnsiTheme="minorHAnsi" w:cstheme="minorBidi"/>
            <w:kern w:val="2"/>
            <w:sz w:val="24"/>
            <w:szCs w:val="24"/>
            <w:lang w:eastAsia="en-AU"/>
            <w14:ligatures w14:val="standardContextual"/>
          </w:rPr>
          <w:tab/>
        </w:r>
        <w:r w:rsidRPr="00533B68">
          <w:t>Application in proceeding—</w:t>
        </w:r>
        <w:r w:rsidRPr="00533B68">
          <w:rPr>
            <w:lang w:val="en-US"/>
          </w:rPr>
          <w:t>application under r 40</w:t>
        </w:r>
        <w:r>
          <w:tab/>
        </w:r>
        <w:r>
          <w:fldChar w:fldCharType="begin"/>
        </w:r>
        <w:r>
          <w:instrText xml:space="preserve"> PAGEREF _Toc185515228 \h </w:instrText>
        </w:r>
        <w:r>
          <w:fldChar w:fldCharType="separate"/>
        </w:r>
        <w:r>
          <w:t>903</w:t>
        </w:r>
        <w:r>
          <w:fldChar w:fldCharType="end"/>
        </w:r>
      </w:hyperlink>
    </w:p>
    <w:p w14:paraId="2A8B357C" w14:textId="5C3709A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29" w:history="1">
        <w:r w:rsidRPr="00533B68">
          <w:t>6016</w:t>
        </w:r>
        <w:r>
          <w:rPr>
            <w:rFonts w:asciiTheme="minorHAnsi" w:eastAsiaTheme="minorEastAsia" w:hAnsiTheme="minorHAnsi" w:cstheme="minorBidi"/>
            <w:kern w:val="2"/>
            <w:sz w:val="24"/>
            <w:szCs w:val="24"/>
            <w:lang w:eastAsia="en-AU"/>
            <w14:ligatures w14:val="standardContextual"/>
          </w:rPr>
          <w:tab/>
        </w:r>
        <w:r w:rsidRPr="00533B68">
          <w:t>Application in proceeding—</w:t>
        </w:r>
        <w:r w:rsidRPr="00533B68">
          <w:rPr>
            <w:lang w:val="en-US"/>
          </w:rPr>
          <w:t>oral application</w:t>
        </w:r>
        <w:r>
          <w:tab/>
        </w:r>
        <w:r>
          <w:fldChar w:fldCharType="begin"/>
        </w:r>
        <w:r>
          <w:instrText xml:space="preserve"> PAGEREF _Toc185515229 \h </w:instrText>
        </w:r>
        <w:r>
          <w:fldChar w:fldCharType="separate"/>
        </w:r>
        <w:r>
          <w:t>903</w:t>
        </w:r>
        <w:r>
          <w:fldChar w:fldCharType="end"/>
        </w:r>
      </w:hyperlink>
    </w:p>
    <w:p w14:paraId="398FAC24" w14:textId="630B930C"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30" w:history="1">
        <w:r w:rsidR="00AC5392" w:rsidRPr="00533B68">
          <w:t>Part 6.2A</w:t>
        </w:r>
        <w:r w:rsidR="00AC5392">
          <w:rPr>
            <w:rFonts w:asciiTheme="minorHAnsi" w:eastAsiaTheme="minorEastAsia" w:hAnsiTheme="minorHAnsi" w:cstheme="minorBidi"/>
            <w:b w:val="0"/>
            <w:kern w:val="2"/>
            <w:szCs w:val="24"/>
            <w:lang w:eastAsia="en-AU"/>
            <w14:ligatures w14:val="standardContextual"/>
          </w:rPr>
          <w:tab/>
        </w:r>
        <w:r w:rsidR="00AC5392" w:rsidRPr="00533B68">
          <w:t>Human rights proceedings</w:t>
        </w:r>
        <w:r w:rsidR="00AC5392" w:rsidRPr="00AC5392">
          <w:rPr>
            <w:vanish/>
          </w:rPr>
          <w:tab/>
        </w:r>
        <w:r w:rsidR="00AC5392" w:rsidRPr="00AC5392">
          <w:rPr>
            <w:vanish/>
          </w:rPr>
          <w:fldChar w:fldCharType="begin"/>
        </w:r>
        <w:r w:rsidR="00AC5392" w:rsidRPr="00AC5392">
          <w:rPr>
            <w:vanish/>
          </w:rPr>
          <w:instrText xml:space="preserve"> PAGEREF _Toc185515230 \h </w:instrText>
        </w:r>
        <w:r w:rsidR="00AC5392" w:rsidRPr="00AC5392">
          <w:rPr>
            <w:vanish/>
          </w:rPr>
        </w:r>
        <w:r w:rsidR="00AC5392" w:rsidRPr="00AC5392">
          <w:rPr>
            <w:vanish/>
          </w:rPr>
          <w:fldChar w:fldCharType="separate"/>
        </w:r>
        <w:r w:rsidR="00AC5392" w:rsidRPr="00AC5392">
          <w:rPr>
            <w:vanish/>
          </w:rPr>
          <w:t>904</w:t>
        </w:r>
        <w:r w:rsidR="00AC5392" w:rsidRPr="00AC5392">
          <w:rPr>
            <w:vanish/>
          </w:rPr>
          <w:fldChar w:fldCharType="end"/>
        </w:r>
      </w:hyperlink>
    </w:p>
    <w:p w14:paraId="57CBAF9A" w14:textId="795AE00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31" w:history="1">
        <w:r w:rsidR="00AC5392" w:rsidRPr="00533B68">
          <w:t>Division 6.2A.1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Preliminary</w:t>
        </w:r>
        <w:r w:rsidR="00AC5392" w:rsidRPr="00AC5392">
          <w:rPr>
            <w:vanish/>
          </w:rPr>
          <w:tab/>
        </w:r>
        <w:r w:rsidR="00AC5392" w:rsidRPr="00AC5392">
          <w:rPr>
            <w:vanish/>
          </w:rPr>
          <w:fldChar w:fldCharType="begin"/>
        </w:r>
        <w:r w:rsidR="00AC5392" w:rsidRPr="00AC5392">
          <w:rPr>
            <w:vanish/>
          </w:rPr>
          <w:instrText xml:space="preserve"> PAGEREF _Toc185515231 \h </w:instrText>
        </w:r>
        <w:r w:rsidR="00AC5392" w:rsidRPr="00AC5392">
          <w:rPr>
            <w:vanish/>
          </w:rPr>
        </w:r>
        <w:r w:rsidR="00AC5392" w:rsidRPr="00AC5392">
          <w:rPr>
            <w:vanish/>
          </w:rPr>
          <w:fldChar w:fldCharType="separate"/>
        </w:r>
        <w:r w:rsidR="00AC5392" w:rsidRPr="00AC5392">
          <w:rPr>
            <w:vanish/>
          </w:rPr>
          <w:t>904</w:t>
        </w:r>
        <w:r w:rsidR="00AC5392" w:rsidRPr="00AC5392">
          <w:rPr>
            <w:vanish/>
          </w:rPr>
          <w:fldChar w:fldCharType="end"/>
        </w:r>
      </w:hyperlink>
    </w:p>
    <w:p w14:paraId="3C1C8E92" w14:textId="467AD9B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32" w:history="1">
        <w:r w:rsidRPr="00533B68">
          <w:t>6020</w:t>
        </w:r>
        <w:r>
          <w:rPr>
            <w:rFonts w:asciiTheme="minorHAnsi" w:eastAsiaTheme="minorEastAsia" w:hAnsiTheme="minorHAnsi" w:cstheme="minorBidi"/>
            <w:kern w:val="2"/>
            <w:sz w:val="24"/>
            <w:szCs w:val="24"/>
            <w:lang w:eastAsia="en-AU"/>
            <w14:ligatures w14:val="standardContextual"/>
          </w:rPr>
          <w:tab/>
        </w:r>
        <w:r w:rsidRPr="00533B68">
          <w:rPr>
            <w:lang w:eastAsia="en-AU"/>
          </w:rPr>
          <w:t>Terms used in Human Rights Act 2004</w:t>
        </w:r>
        <w:r>
          <w:tab/>
        </w:r>
        <w:r>
          <w:fldChar w:fldCharType="begin"/>
        </w:r>
        <w:r>
          <w:instrText xml:space="preserve"> PAGEREF _Toc185515232 \h </w:instrText>
        </w:r>
        <w:r>
          <w:fldChar w:fldCharType="separate"/>
        </w:r>
        <w:r>
          <w:t>904</w:t>
        </w:r>
        <w:r>
          <w:fldChar w:fldCharType="end"/>
        </w:r>
      </w:hyperlink>
    </w:p>
    <w:p w14:paraId="2E9658E6" w14:textId="71FEE6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33" w:history="1">
        <w:r w:rsidRPr="00533B68">
          <w:t>6021</w:t>
        </w:r>
        <w:r>
          <w:rPr>
            <w:rFonts w:asciiTheme="minorHAnsi" w:eastAsiaTheme="minorEastAsia" w:hAnsiTheme="minorHAnsi" w:cstheme="minorBidi"/>
            <w:kern w:val="2"/>
            <w:sz w:val="24"/>
            <w:szCs w:val="24"/>
            <w:lang w:eastAsia="en-AU"/>
            <w14:ligatures w14:val="standardContextual"/>
          </w:rPr>
          <w:tab/>
        </w:r>
        <w:r w:rsidRPr="00533B68">
          <w:rPr>
            <w:lang w:eastAsia="en-AU"/>
          </w:rPr>
          <w:t>Application—pt 6.2A</w:t>
        </w:r>
        <w:r>
          <w:tab/>
        </w:r>
        <w:r>
          <w:fldChar w:fldCharType="begin"/>
        </w:r>
        <w:r>
          <w:instrText xml:space="preserve"> PAGEREF _Toc185515233 \h </w:instrText>
        </w:r>
        <w:r>
          <w:fldChar w:fldCharType="separate"/>
        </w:r>
        <w:r>
          <w:t>904</w:t>
        </w:r>
        <w:r>
          <w:fldChar w:fldCharType="end"/>
        </w:r>
      </w:hyperlink>
    </w:p>
    <w:p w14:paraId="58DD2B92" w14:textId="6E0FDF4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34" w:history="1">
        <w:r w:rsidR="00AC5392" w:rsidRPr="00533B68">
          <w:t>Division 6.2A.1A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Pleadings and originating processes</w:t>
        </w:r>
        <w:r w:rsidR="00AC5392" w:rsidRPr="00AC5392">
          <w:rPr>
            <w:vanish/>
          </w:rPr>
          <w:tab/>
        </w:r>
        <w:r w:rsidR="00AC5392" w:rsidRPr="00AC5392">
          <w:rPr>
            <w:vanish/>
          </w:rPr>
          <w:fldChar w:fldCharType="begin"/>
        </w:r>
        <w:r w:rsidR="00AC5392" w:rsidRPr="00AC5392">
          <w:rPr>
            <w:vanish/>
          </w:rPr>
          <w:instrText xml:space="preserve"> PAGEREF _Toc185515234 \h </w:instrText>
        </w:r>
        <w:r w:rsidR="00AC5392" w:rsidRPr="00AC5392">
          <w:rPr>
            <w:vanish/>
          </w:rPr>
        </w:r>
        <w:r w:rsidR="00AC5392" w:rsidRPr="00AC5392">
          <w:rPr>
            <w:vanish/>
          </w:rPr>
          <w:fldChar w:fldCharType="separate"/>
        </w:r>
        <w:r w:rsidR="00AC5392" w:rsidRPr="00AC5392">
          <w:rPr>
            <w:vanish/>
          </w:rPr>
          <w:t>904</w:t>
        </w:r>
        <w:r w:rsidR="00AC5392" w:rsidRPr="00AC5392">
          <w:rPr>
            <w:vanish/>
          </w:rPr>
          <w:fldChar w:fldCharType="end"/>
        </w:r>
      </w:hyperlink>
    </w:p>
    <w:p w14:paraId="37DD6CD6" w14:textId="5AEBC4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35" w:history="1">
        <w:r w:rsidRPr="00533B68">
          <w:t>6022</w:t>
        </w:r>
        <w:r>
          <w:rPr>
            <w:rFonts w:asciiTheme="minorHAnsi" w:eastAsiaTheme="minorEastAsia" w:hAnsiTheme="minorHAnsi" w:cstheme="minorBidi"/>
            <w:kern w:val="2"/>
            <w:sz w:val="24"/>
            <w:szCs w:val="24"/>
            <w:lang w:eastAsia="en-AU"/>
            <w14:ligatures w14:val="standardContextual"/>
          </w:rPr>
          <w:tab/>
        </w:r>
        <w:r w:rsidRPr="00533B68">
          <w:t>Contents of pleadings or originating processes</w:t>
        </w:r>
        <w:r>
          <w:tab/>
        </w:r>
        <w:r>
          <w:fldChar w:fldCharType="begin"/>
        </w:r>
        <w:r>
          <w:instrText xml:space="preserve"> PAGEREF _Toc185515235 \h </w:instrText>
        </w:r>
        <w:r>
          <w:fldChar w:fldCharType="separate"/>
        </w:r>
        <w:r>
          <w:t>904</w:t>
        </w:r>
        <w:r>
          <w:fldChar w:fldCharType="end"/>
        </w:r>
      </w:hyperlink>
    </w:p>
    <w:p w14:paraId="44A51DB1" w14:textId="51C73C5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36" w:history="1">
        <w:r w:rsidR="00AC5392" w:rsidRPr="00533B68">
          <w:t>Division 6.2A.2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Notice to Attorney-General and commission</w:t>
        </w:r>
        <w:r w:rsidR="00AC5392" w:rsidRPr="00AC5392">
          <w:rPr>
            <w:vanish/>
          </w:rPr>
          <w:tab/>
        </w:r>
        <w:r w:rsidR="00AC5392" w:rsidRPr="00AC5392">
          <w:rPr>
            <w:vanish/>
          </w:rPr>
          <w:fldChar w:fldCharType="begin"/>
        </w:r>
        <w:r w:rsidR="00AC5392" w:rsidRPr="00AC5392">
          <w:rPr>
            <w:vanish/>
          </w:rPr>
          <w:instrText xml:space="preserve"> PAGEREF _Toc185515236 \h </w:instrText>
        </w:r>
        <w:r w:rsidR="00AC5392" w:rsidRPr="00AC5392">
          <w:rPr>
            <w:vanish/>
          </w:rPr>
        </w:r>
        <w:r w:rsidR="00AC5392" w:rsidRPr="00AC5392">
          <w:rPr>
            <w:vanish/>
          </w:rPr>
          <w:fldChar w:fldCharType="separate"/>
        </w:r>
        <w:r w:rsidR="00AC5392" w:rsidRPr="00AC5392">
          <w:rPr>
            <w:vanish/>
          </w:rPr>
          <w:t>905</w:t>
        </w:r>
        <w:r w:rsidR="00AC5392" w:rsidRPr="00AC5392">
          <w:rPr>
            <w:vanish/>
          </w:rPr>
          <w:fldChar w:fldCharType="end"/>
        </w:r>
      </w:hyperlink>
    </w:p>
    <w:p w14:paraId="0D70E1E0" w14:textId="21F0FEF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37" w:history="1">
        <w:r w:rsidRPr="00533B68">
          <w:t>6030</w:t>
        </w:r>
        <w:r>
          <w:rPr>
            <w:rFonts w:asciiTheme="minorHAnsi" w:eastAsiaTheme="minorEastAsia" w:hAnsiTheme="minorHAnsi" w:cstheme="minorBidi"/>
            <w:kern w:val="2"/>
            <w:sz w:val="24"/>
            <w:szCs w:val="24"/>
            <w:lang w:eastAsia="en-AU"/>
            <w14:ligatures w14:val="standardContextual"/>
          </w:rPr>
          <w:tab/>
        </w:r>
        <w:r w:rsidRPr="00533B68">
          <w:t>Application—div 6.2A.2</w:t>
        </w:r>
        <w:r>
          <w:tab/>
        </w:r>
        <w:r>
          <w:fldChar w:fldCharType="begin"/>
        </w:r>
        <w:r>
          <w:instrText xml:space="preserve"> PAGEREF _Toc185515237 \h </w:instrText>
        </w:r>
        <w:r>
          <w:fldChar w:fldCharType="separate"/>
        </w:r>
        <w:r>
          <w:t>905</w:t>
        </w:r>
        <w:r>
          <w:fldChar w:fldCharType="end"/>
        </w:r>
      </w:hyperlink>
    </w:p>
    <w:p w14:paraId="3E96084C" w14:textId="357146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38" w:history="1">
        <w:r w:rsidRPr="00533B68">
          <w:t>6031</w:t>
        </w:r>
        <w:r>
          <w:rPr>
            <w:rFonts w:asciiTheme="minorHAnsi" w:eastAsiaTheme="minorEastAsia" w:hAnsiTheme="minorHAnsi" w:cstheme="minorBidi"/>
            <w:kern w:val="2"/>
            <w:sz w:val="24"/>
            <w:szCs w:val="24"/>
            <w:lang w:eastAsia="en-AU"/>
            <w14:ligatures w14:val="standardContextual"/>
          </w:rPr>
          <w:tab/>
        </w:r>
        <w:r w:rsidRPr="00533B68">
          <w:t>Notice—human rights proceedings</w:t>
        </w:r>
        <w:r>
          <w:tab/>
        </w:r>
        <w:r>
          <w:fldChar w:fldCharType="begin"/>
        </w:r>
        <w:r>
          <w:instrText xml:space="preserve"> PAGEREF _Toc185515238 \h </w:instrText>
        </w:r>
        <w:r>
          <w:fldChar w:fldCharType="separate"/>
        </w:r>
        <w:r>
          <w:t>906</w:t>
        </w:r>
        <w:r>
          <w:fldChar w:fldCharType="end"/>
        </w:r>
      </w:hyperlink>
    </w:p>
    <w:p w14:paraId="1CC90EBF" w14:textId="5597882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39" w:history="1">
        <w:r w:rsidRPr="00533B68">
          <w:t>6032</w:t>
        </w:r>
        <w:r>
          <w:rPr>
            <w:rFonts w:asciiTheme="minorHAnsi" w:eastAsiaTheme="minorEastAsia" w:hAnsiTheme="minorHAnsi" w:cstheme="minorBidi"/>
            <w:kern w:val="2"/>
            <w:sz w:val="24"/>
            <w:szCs w:val="24"/>
            <w:lang w:eastAsia="en-AU"/>
            <w14:ligatures w14:val="standardContextual"/>
          </w:rPr>
          <w:tab/>
        </w:r>
        <w:r w:rsidRPr="00533B68">
          <w:rPr>
            <w:lang w:eastAsia="en-AU"/>
          </w:rPr>
          <w:t>Notice—direction by court</w:t>
        </w:r>
        <w:r>
          <w:tab/>
        </w:r>
        <w:r>
          <w:fldChar w:fldCharType="begin"/>
        </w:r>
        <w:r>
          <w:instrText xml:space="preserve"> PAGEREF _Toc185515239 \h </w:instrText>
        </w:r>
        <w:r>
          <w:fldChar w:fldCharType="separate"/>
        </w:r>
        <w:r>
          <w:t>906</w:t>
        </w:r>
        <w:r>
          <w:fldChar w:fldCharType="end"/>
        </w:r>
      </w:hyperlink>
    </w:p>
    <w:p w14:paraId="684785A2" w14:textId="314E25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40" w:history="1">
        <w:r w:rsidRPr="00533B68">
          <w:t>6033</w:t>
        </w:r>
        <w:r>
          <w:rPr>
            <w:rFonts w:asciiTheme="minorHAnsi" w:eastAsiaTheme="minorEastAsia" w:hAnsiTheme="minorHAnsi" w:cstheme="minorBidi"/>
            <w:kern w:val="2"/>
            <w:sz w:val="24"/>
            <w:szCs w:val="24"/>
            <w:lang w:eastAsia="en-AU"/>
            <w14:ligatures w14:val="standardContextual"/>
          </w:rPr>
          <w:tab/>
        </w:r>
        <w:r w:rsidRPr="00533B68">
          <w:t>Contents of notice of human rights matter</w:t>
        </w:r>
        <w:r>
          <w:tab/>
        </w:r>
        <w:r>
          <w:fldChar w:fldCharType="begin"/>
        </w:r>
        <w:r>
          <w:instrText xml:space="preserve"> PAGEREF _Toc185515240 \h </w:instrText>
        </w:r>
        <w:r>
          <w:fldChar w:fldCharType="separate"/>
        </w:r>
        <w:r>
          <w:t>907</w:t>
        </w:r>
        <w:r>
          <w:fldChar w:fldCharType="end"/>
        </w:r>
      </w:hyperlink>
    </w:p>
    <w:p w14:paraId="1ADE864C" w14:textId="1E0D95E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41" w:history="1">
        <w:r w:rsidRPr="00533B68">
          <w:t>6034</w:t>
        </w:r>
        <w:r>
          <w:rPr>
            <w:rFonts w:asciiTheme="minorHAnsi" w:eastAsiaTheme="minorEastAsia" w:hAnsiTheme="minorHAnsi" w:cstheme="minorBidi"/>
            <w:kern w:val="2"/>
            <w:sz w:val="24"/>
            <w:szCs w:val="24"/>
            <w:lang w:eastAsia="en-AU"/>
            <w14:ligatures w14:val="standardContextual"/>
          </w:rPr>
          <w:tab/>
        </w:r>
        <w:r w:rsidRPr="00533B68">
          <w:t>Directions hearing—human rights proceedings</w:t>
        </w:r>
        <w:r>
          <w:tab/>
        </w:r>
        <w:r>
          <w:fldChar w:fldCharType="begin"/>
        </w:r>
        <w:r>
          <w:instrText xml:space="preserve"> PAGEREF _Toc185515241 \h </w:instrText>
        </w:r>
        <w:r>
          <w:fldChar w:fldCharType="separate"/>
        </w:r>
        <w:r>
          <w:t>907</w:t>
        </w:r>
        <w:r>
          <w:fldChar w:fldCharType="end"/>
        </w:r>
      </w:hyperlink>
    </w:p>
    <w:p w14:paraId="65D2E168" w14:textId="0BB217F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42" w:history="1">
        <w:r w:rsidR="00AC5392" w:rsidRPr="00533B68">
          <w:t>Division 6.2A.3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Intervention of commission</w:t>
        </w:r>
        <w:r w:rsidR="00AC5392" w:rsidRPr="00AC5392">
          <w:rPr>
            <w:vanish/>
          </w:rPr>
          <w:tab/>
        </w:r>
        <w:r w:rsidR="00AC5392" w:rsidRPr="00AC5392">
          <w:rPr>
            <w:vanish/>
          </w:rPr>
          <w:fldChar w:fldCharType="begin"/>
        </w:r>
        <w:r w:rsidR="00AC5392" w:rsidRPr="00AC5392">
          <w:rPr>
            <w:vanish/>
          </w:rPr>
          <w:instrText xml:space="preserve"> PAGEREF _Toc185515242 \h </w:instrText>
        </w:r>
        <w:r w:rsidR="00AC5392" w:rsidRPr="00AC5392">
          <w:rPr>
            <w:vanish/>
          </w:rPr>
        </w:r>
        <w:r w:rsidR="00AC5392" w:rsidRPr="00AC5392">
          <w:rPr>
            <w:vanish/>
          </w:rPr>
          <w:fldChar w:fldCharType="separate"/>
        </w:r>
        <w:r w:rsidR="00AC5392" w:rsidRPr="00AC5392">
          <w:rPr>
            <w:vanish/>
          </w:rPr>
          <w:t>908</w:t>
        </w:r>
        <w:r w:rsidR="00AC5392" w:rsidRPr="00AC5392">
          <w:rPr>
            <w:vanish/>
          </w:rPr>
          <w:fldChar w:fldCharType="end"/>
        </w:r>
      </w:hyperlink>
    </w:p>
    <w:p w14:paraId="661E3DC7" w14:textId="0A3B68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43" w:history="1">
        <w:r w:rsidRPr="00533B68">
          <w:t>6040</w:t>
        </w:r>
        <w:r>
          <w:rPr>
            <w:rFonts w:asciiTheme="minorHAnsi" w:eastAsiaTheme="minorEastAsia" w:hAnsiTheme="minorHAnsi" w:cstheme="minorBidi"/>
            <w:kern w:val="2"/>
            <w:sz w:val="24"/>
            <w:szCs w:val="24"/>
            <w:lang w:eastAsia="en-AU"/>
            <w14:ligatures w14:val="standardContextual"/>
          </w:rPr>
          <w:tab/>
        </w:r>
        <w:r w:rsidRPr="00533B68">
          <w:t>Human rights commissioner—application for leave to intervene</w:t>
        </w:r>
        <w:r>
          <w:tab/>
        </w:r>
        <w:r>
          <w:fldChar w:fldCharType="begin"/>
        </w:r>
        <w:r>
          <w:instrText xml:space="preserve"> PAGEREF _Toc185515243 \h </w:instrText>
        </w:r>
        <w:r>
          <w:fldChar w:fldCharType="separate"/>
        </w:r>
        <w:r>
          <w:t>908</w:t>
        </w:r>
        <w:r>
          <w:fldChar w:fldCharType="end"/>
        </w:r>
      </w:hyperlink>
    </w:p>
    <w:p w14:paraId="3134E3D2" w14:textId="47D62D88"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44" w:history="1">
        <w:r w:rsidR="00AC5392" w:rsidRPr="00533B68">
          <w:t>Part 6.2B</w:t>
        </w:r>
        <w:r w:rsidR="00AC5392">
          <w:rPr>
            <w:rFonts w:asciiTheme="minorHAnsi" w:eastAsiaTheme="minorEastAsia" w:hAnsiTheme="minorHAnsi" w:cstheme="minorBidi"/>
            <w:b w:val="0"/>
            <w:kern w:val="2"/>
            <w:szCs w:val="24"/>
            <w:lang w:eastAsia="en-AU"/>
            <w14:ligatures w14:val="standardContextual"/>
          </w:rPr>
          <w:tab/>
        </w:r>
        <w:r w:rsidR="00AC5392" w:rsidRPr="00533B68">
          <w:rPr>
            <w:lang w:eastAsia="en-AU"/>
          </w:rPr>
          <w:t>Intervention of Attorney-General in proceedings</w:t>
        </w:r>
        <w:r w:rsidR="00AC5392" w:rsidRPr="00AC5392">
          <w:rPr>
            <w:vanish/>
          </w:rPr>
          <w:tab/>
        </w:r>
        <w:r w:rsidR="00AC5392" w:rsidRPr="00AC5392">
          <w:rPr>
            <w:vanish/>
          </w:rPr>
          <w:fldChar w:fldCharType="begin"/>
        </w:r>
        <w:r w:rsidR="00AC5392" w:rsidRPr="00AC5392">
          <w:rPr>
            <w:vanish/>
          </w:rPr>
          <w:instrText xml:space="preserve"> PAGEREF _Toc185515244 \h </w:instrText>
        </w:r>
        <w:r w:rsidR="00AC5392" w:rsidRPr="00AC5392">
          <w:rPr>
            <w:vanish/>
          </w:rPr>
        </w:r>
        <w:r w:rsidR="00AC5392" w:rsidRPr="00AC5392">
          <w:rPr>
            <w:vanish/>
          </w:rPr>
          <w:fldChar w:fldCharType="separate"/>
        </w:r>
        <w:r w:rsidR="00AC5392" w:rsidRPr="00AC5392">
          <w:rPr>
            <w:vanish/>
          </w:rPr>
          <w:t>909</w:t>
        </w:r>
        <w:r w:rsidR="00AC5392" w:rsidRPr="00AC5392">
          <w:rPr>
            <w:vanish/>
          </w:rPr>
          <w:fldChar w:fldCharType="end"/>
        </w:r>
      </w:hyperlink>
    </w:p>
    <w:p w14:paraId="5514B1AD" w14:textId="242F48D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45" w:history="1">
        <w:r w:rsidRPr="00533B68">
          <w:t>6045</w:t>
        </w:r>
        <w:r>
          <w:rPr>
            <w:rFonts w:asciiTheme="minorHAnsi" w:eastAsiaTheme="minorEastAsia" w:hAnsiTheme="minorHAnsi" w:cstheme="minorBidi"/>
            <w:kern w:val="2"/>
            <w:sz w:val="24"/>
            <w:szCs w:val="24"/>
            <w:lang w:eastAsia="en-AU"/>
            <w14:ligatures w14:val="standardContextual"/>
          </w:rPr>
          <w:tab/>
        </w:r>
        <w:r w:rsidRPr="00533B68">
          <w:t>Attorney-General—notice of intervention</w:t>
        </w:r>
        <w:r>
          <w:tab/>
        </w:r>
        <w:r>
          <w:fldChar w:fldCharType="begin"/>
        </w:r>
        <w:r>
          <w:instrText xml:space="preserve"> PAGEREF _Toc185515245 \h </w:instrText>
        </w:r>
        <w:r>
          <w:fldChar w:fldCharType="separate"/>
        </w:r>
        <w:r>
          <w:t>909</w:t>
        </w:r>
        <w:r>
          <w:fldChar w:fldCharType="end"/>
        </w:r>
      </w:hyperlink>
    </w:p>
    <w:p w14:paraId="15F11124" w14:textId="0818A7B8"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46" w:history="1">
        <w:r w:rsidR="00AC5392" w:rsidRPr="00533B68">
          <w:t>Part 6.3</w:t>
        </w:r>
        <w:r w:rsidR="00AC5392">
          <w:rPr>
            <w:rFonts w:asciiTheme="minorHAnsi" w:eastAsiaTheme="minorEastAsia" w:hAnsiTheme="minorHAnsi" w:cstheme="minorBidi"/>
            <w:b w:val="0"/>
            <w:kern w:val="2"/>
            <w:szCs w:val="24"/>
            <w:lang w:eastAsia="en-AU"/>
            <w14:ligatures w14:val="standardContextual"/>
          </w:rPr>
          <w:tab/>
        </w:r>
        <w:r w:rsidR="00AC5392" w:rsidRPr="00533B68">
          <w:t>Documents</w:t>
        </w:r>
        <w:r w:rsidR="00AC5392" w:rsidRPr="00AC5392">
          <w:rPr>
            <w:vanish/>
          </w:rPr>
          <w:tab/>
        </w:r>
        <w:r w:rsidR="00AC5392" w:rsidRPr="00AC5392">
          <w:rPr>
            <w:vanish/>
          </w:rPr>
          <w:fldChar w:fldCharType="begin"/>
        </w:r>
        <w:r w:rsidR="00AC5392" w:rsidRPr="00AC5392">
          <w:rPr>
            <w:vanish/>
          </w:rPr>
          <w:instrText xml:space="preserve"> PAGEREF _Toc185515246 \h </w:instrText>
        </w:r>
        <w:r w:rsidR="00AC5392" w:rsidRPr="00AC5392">
          <w:rPr>
            <w:vanish/>
          </w:rPr>
        </w:r>
        <w:r w:rsidR="00AC5392" w:rsidRPr="00AC5392">
          <w:rPr>
            <w:vanish/>
          </w:rPr>
          <w:fldChar w:fldCharType="separate"/>
        </w:r>
        <w:r w:rsidR="00AC5392" w:rsidRPr="00AC5392">
          <w:rPr>
            <w:vanish/>
          </w:rPr>
          <w:t>910</w:t>
        </w:r>
        <w:r w:rsidR="00AC5392" w:rsidRPr="00AC5392">
          <w:rPr>
            <w:vanish/>
          </w:rPr>
          <w:fldChar w:fldCharType="end"/>
        </w:r>
      </w:hyperlink>
    </w:p>
    <w:p w14:paraId="5C2B5D01" w14:textId="7D29515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47" w:history="1">
        <w:r w:rsidR="00AC5392" w:rsidRPr="00533B68">
          <w:t>Division 6.3.1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General provisions about documents for filing</w:t>
        </w:r>
        <w:r w:rsidR="00AC5392" w:rsidRPr="00AC5392">
          <w:rPr>
            <w:vanish/>
          </w:rPr>
          <w:tab/>
        </w:r>
        <w:r w:rsidR="00AC5392" w:rsidRPr="00AC5392">
          <w:rPr>
            <w:vanish/>
          </w:rPr>
          <w:fldChar w:fldCharType="begin"/>
        </w:r>
        <w:r w:rsidR="00AC5392" w:rsidRPr="00AC5392">
          <w:rPr>
            <w:vanish/>
          </w:rPr>
          <w:instrText xml:space="preserve"> PAGEREF _Toc185515247 \h </w:instrText>
        </w:r>
        <w:r w:rsidR="00AC5392" w:rsidRPr="00AC5392">
          <w:rPr>
            <w:vanish/>
          </w:rPr>
        </w:r>
        <w:r w:rsidR="00AC5392" w:rsidRPr="00AC5392">
          <w:rPr>
            <w:vanish/>
          </w:rPr>
          <w:fldChar w:fldCharType="separate"/>
        </w:r>
        <w:r w:rsidR="00AC5392" w:rsidRPr="00AC5392">
          <w:rPr>
            <w:vanish/>
          </w:rPr>
          <w:t>910</w:t>
        </w:r>
        <w:r w:rsidR="00AC5392" w:rsidRPr="00AC5392">
          <w:rPr>
            <w:vanish/>
          </w:rPr>
          <w:fldChar w:fldCharType="end"/>
        </w:r>
      </w:hyperlink>
    </w:p>
    <w:p w14:paraId="069BE1C8" w14:textId="450998C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48" w:history="1">
        <w:r w:rsidRPr="00533B68">
          <w:t>6100</w:t>
        </w:r>
        <w:r>
          <w:rPr>
            <w:rFonts w:asciiTheme="minorHAnsi" w:eastAsiaTheme="minorEastAsia" w:hAnsiTheme="minorHAnsi" w:cstheme="minorBidi"/>
            <w:kern w:val="2"/>
            <w:sz w:val="24"/>
            <w:szCs w:val="24"/>
            <w:lang w:eastAsia="en-AU"/>
            <w14:ligatures w14:val="standardContextual"/>
          </w:rPr>
          <w:tab/>
        </w:r>
        <w:r w:rsidRPr="00533B68">
          <w:t>Application—div 6.3.1</w:t>
        </w:r>
        <w:r>
          <w:tab/>
        </w:r>
        <w:r>
          <w:fldChar w:fldCharType="begin"/>
        </w:r>
        <w:r>
          <w:instrText xml:space="preserve"> PAGEREF _Toc185515248 \h </w:instrText>
        </w:r>
        <w:r>
          <w:fldChar w:fldCharType="separate"/>
        </w:r>
        <w:r>
          <w:t>910</w:t>
        </w:r>
        <w:r>
          <w:fldChar w:fldCharType="end"/>
        </w:r>
      </w:hyperlink>
    </w:p>
    <w:p w14:paraId="25317725" w14:textId="1C36C0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49" w:history="1">
        <w:r w:rsidRPr="00533B68">
          <w:t>6101</w:t>
        </w:r>
        <w:r>
          <w:rPr>
            <w:rFonts w:asciiTheme="minorHAnsi" w:eastAsiaTheme="minorEastAsia" w:hAnsiTheme="minorHAnsi" w:cstheme="minorBidi"/>
            <w:kern w:val="2"/>
            <w:sz w:val="24"/>
            <w:szCs w:val="24"/>
            <w:lang w:eastAsia="en-AU"/>
            <w14:ligatures w14:val="standardContextual"/>
          </w:rPr>
          <w:tab/>
        </w:r>
        <w:r w:rsidRPr="00533B68">
          <w:t>Documents—compliance with approved form</w:t>
        </w:r>
        <w:r>
          <w:tab/>
        </w:r>
        <w:r>
          <w:fldChar w:fldCharType="begin"/>
        </w:r>
        <w:r>
          <w:instrText xml:space="preserve"> PAGEREF _Toc185515249 \h </w:instrText>
        </w:r>
        <w:r>
          <w:fldChar w:fldCharType="separate"/>
        </w:r>
        <w:r>
          <w:t>910</w:t>
        </w:r>
        <w:r>
          <w:fldChar w:fldCharType="end"/>
        </w:r>
      </w:hyperlink>
    </w:p>
    <w:p w14:paraId="75B496D6" w14:textId="7B8DFB1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0" w:history="1">
        <w:r w:rsidRPr="00533B68">
          <w:t>6102</w:t>
        </w:r>
        <w:r>
          <w:rPr>
            <w:rFonts w:asciiTheme="minorHAnsi" w:eastAsiaTheme="minorEastAsia" w:hAnsiTheme="minorHAnsi" w:cstheme="minorBidi"/>
            <w:kern w:val="2"/>
            <w:sz w:val="24"/>
            <w:szCs w:val="24"/>
            <w:lang w:eastAsia="en-AU"/>
            <w14:ligatures w14:val="standardContextual"/>
          </w:rPr>
          <w:tab/>
        </w:r>
        <w:r w:rsidRPr="00533B68">
          <w:t>Documents—general heading style</w:t>
        </w:r>
        <w:r>
          <w:tab/>
        </w:r>
        <w:r>
          <w:fldChar w:fldCharType="begin"/>
        </w:r>
        <w:r>
          <w:instrText xml:space="preserve"> PAGEREF _Toc185515250 \h </w:instrText>
        </w:r>
        <w:r>
          <w:fldChar w:fldCharType="separate"/>
        </w:r>
        <w:r>
          <w:t>911</w:t>
        </w:r>
        <w:r>
          <w:fldChar w:fldCharType="end"/>
        </w:r>
      </w:hyperlink>
    </w:p>
    <w:p w14:paraId="2C0B8C20" w14:textId="10E5892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1" w:history="1">
        <w:r w:rsidRPr="00533B68">
          <w:t>6103</w:t>
        </w:r>
        <w:r>
          <w:rPr>
            <w:rFonts w:asciiTheme="minorHAnsi" w:eastAsiaTheme="minorEastAsia" w:hAnsiTheme="minorHAnsi" w:cstheme="minorBidi"/>
            <w:kern w:val="2"/>
            <w:sz w:val="24"/>
            <w:szCs w:val="24"/>
            <w:lang w:eastAsia="en-AU"/>
            <w14:ligatures w14:val="standardContextual"/>
          </w:rPr>
          <w:tab/>
        </w:r>
        <w:r w:rsidRPr="00533B68">
          <w:t>Documents—layout etc</w:t>
        </w:r>
        <w:r>
          <w:tab/>
        </w:r>
        <w:r>
          <w:fldChar w:fldCharType="begin"/>
        </w:r>
        <w:r>
          <w:instrText xml:space="preserve"> PAGEREF _Toc185515251 \h </w:instrText>
        </w:r>
        <w:r>
          <w:fldChar w:fldCharType="separate"/>
        </w:r>
        <w:r>
          <w:t>912</w:t>
        </w:r>
        <w:r>
          <w:fldChar w:fldCharType="end"/>
        </w:r>
      </w:hyperlink>
    </w:p>
    <w:p w14:paraId="520B6F2E" w14:textId="50CC60A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2" w:history="1">
        <w:r w:rsidRPr="00533B68">
          <w:t>6104</w:t>
        </w:r>
        <w:r>
          <w:rPr>
            <w:rFonts w:asciiTheme="minorHAnsi" w:eastAsiaTheme="minorEastAsia" w:hAnsiTheme="minorHAnsi" w:cstheme="minorBidi"/>
            <w:kern w:val="2"/>
            <w:sz w:val="24"/>
            <w:szCs w:val="24"/>
            <w:lang w:eastAsia="en-AU"/>
            <w14:ligatures w14:val="standardContextual"/>
          </w:rPr>
          <w:tab/>
        </w:r>
        <w:r w:rsidRPr="00533B68">
          <w:t>Documents—use of copies</w:t>
        </w:r>
        <w:r>
          <w:tab/>
        </w:r>
        <w:r>
          <w:fldChar w:fldCharType="begin"/>
        </w:r>
        <w:r>
          <w:instrText xml:space="preserve"> PAGEREF _Toc185515252 \h </w:instrText>
        </w:r>
        <w:r>
          <w:fldChar w:fldCharType="separate"/>
        </w:r>
        <w:r>
          <w:t>913</w:t>
        </w:r>
        <w:r>
          <w:fldChar w:fldCharType="end"/>
        </w:r>
      </w:hyperlink>
    </w:p>
    <w:p w14:paraId="1BB52376" w14:textId="4BA406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3" w:history="1">
        <w:r w:rsidRPr="00533B68">
          <w:t>6105</w:t>
        </w:r>
        <w:r>
          <w:rPr>
            <w:rFonts w:asciiTheme="minorHAnsi" w:eastAsiaTheme="minorEastAsia" w:hAnsiTheme="minorHAnsi" w:cstheme="minorBidi"/>
            <w:kern w:val="2"/>
            <w:sz w:val="24"/>
            <w:szCs w:val="24"/>
            <w:lang w:eastAsia="en-AU"/>
            <w14:ligatures w14:val="standardContextual"/>
          </w:rPr>
          <w:tab/>
        </w:r>
        <w:r w:rsidRPr="00533B68">
          <w:t>Documents—use of figures</w:t>
        </w:r>
        <w:r>
          <w:tab/>
        </w:r>
        <w:r>
          <w:fldChar w:fldCharType="begin"/>
        </w:r>
        <w:r>
          <w:instrText xml:space="preserve"> PAGEREF _Toc185515253 \h </w:instrText>
        </w:r>
        <w:r>
          <w:fldChar w:fldCharType="separate"/>
        </w:r>
        <w:r>
          <w:t>913</w:t>
        </w:r>
        <w:r>
          <w:fldChar w:fldCharType="end"/>
        </w:r>
      </w:hyperlink>
    </w:p>
    <w:p w14:paraId="0F1E20FD" w14:textId="6E8D2E8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4" w:history="1">
        <w:r w:rsidRPr="00533B68">
          <w:t>6106</w:t>
        </w:r>
        <w:r>
          <w:rPr>
            <w:rFonts w:asciiTheme="minorHAnsi" w:eastAsiaTheme="minorEastAsia" w:hAnsiTheme="minorHAnsi" w:cstheme="minorBidi"/>
            <w:kern w:val="2"/>
            <w:sz w:val="24"/>
            <w:szCs w:val="24"/>
            <w:lang w:eastAsia="en-AU"/>
            <w14:ligatures w14:val="standardContextual"/>
          </w:rPr>
          <w:tab/>
        </w:r>
        <w:r w:rsidRPr="00533B68">
          <w:t>Documents—signing</w:t>
        </w:r>
        <w:r>
          <w:tab/>
        </w:r>
        <w:r>
          <w:fldChar w:fldCharType="begin"/>
        </w:r>
        <w:r>
          <w:instrText xml:space="preserve"> PAGEREF _Toc185515254 \h </w:instrText>
        </w:r>
        <w:r>
          <w:fldChar w:fldCharType="separate"/>
        </w:r>
        <w:r>
          <w:t>913</w:t>
        </w:r>
        <w:r>
          <w:fldChar w:fldCharType="end"/>
        </w:r>
      </w:hyperlink>
    </w:p>
    <w:p w14:paraId="11E44974" w14:textId="393EF6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5" w:history="1">
        <w:r w:rsidRPr="00533B68">
          <w:t>6107</w:t>
        </w:r>
        <w:r>
          <w:rPr>
            <w:rFonts w:asciiTheme="minorHAnsi" w:eastAsiaTheme="minorEastAsia" w:hAnsiTheme="minorHAnsi" w:cstheme="minorBidi"/>
            <w:kern w:val="2"/>
            <w:sz w:val="24"/>
            <w:szCs w:val="24"/>
            <w:lang w:eastAsia="en-AU"/>
            <w14:ligatures w14:val="standardContextual"/>
          </w:rPr>
          <w:tab/>
        </w:r>
        <w:r w:rsidRPr="00533B68">
          <w:t>Documents—alterations</w:t>
        </w:r>
        <w:r>
          <w:tab/>
        </w:r>
        <w:r>
          <w:fldChar w:fldCharType="begin"/>
        </w:r>
        <w:r>
          <w:instrText xml:space="preserve"> PAGEREF _Toc185515255 \h </w:instrText>
        </w:r>
        <w:r>
          <w:fldChar w:fldCharType="separate"/>
        </w:r>
        <w:r>
          <w:t>915</w:t>
        </w:r>
        <w:r>
          <w:fldChar w:fldCharType="end"/>
        </w:r>
      </w:hyperlink>
    </w:p>
    <w:p w14:paraId="7DE29BD0" w14:textId="235345B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56" w:history="1">
        <w:r w:rsidR="00AC5392" w:rsidRPr="00533B68">
          <w:t>Division 6.3.2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Filing documents</w:t>
        </w:r>
        <w:r w:rsidR="00AC5392" w:rsidRPr="00AC5392">
          <w:rPr>
            <w:vanish/>
          </w:rPr>
          <w:tab/>
        </w:r>
        <w:r w:rsidR="00AC5392" w:rsidRPr="00AC5392">
          <w:rPr>
            <w:vanish/>
          </w:rPr>
          <w:fldChar w:fldCharType="begin"/>
        </w:r>
        <w:r w:rsidR="00AC5392" w:rsidRPr="00AC5392">
          <w:rPr>
            <w:vanish/>
          </w:rPr>
          <w:instrText xml:space="preserve"> PAGEREF _Toc185515256 \h </w:instrText>
        </w:r>
        <w:r w:rsidR="00AC5392" w:rsidRPr="00AC5392">
          <w:rPr>
            <w:vanish/>
          </w:rPr>
        </w:r>
        <w:r w:rsidR="00AC5392" w:rsidRPr="00AC5392">
          <w:rPr>
            <w:vanish/>
          </w:rPr>
          <w:fldChar w:fldCharType="separate"/>
        </w:r>
        <w:r w:rsidR="00AC5392" w:rsidRPr="00AC5392">
          <w:rPr>
            <w:vanish/>
          </w:rPr>
          <w:t>916</w:t>
        </w:r>
        <w:r w:rsidR="00AC5392" w:rsidRPr="00AC5392">
          <w:rPr>
            <w:vanish/>
          </w:rPr>
          <w:fldChar w:fldCharType="end"/>
        </w:r>
      </w:hyperlink>
    </w:p>
    <w:p w14:paraId="79806EFF" w14:textId="3F9166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7" w:history="1">
        <w:r w:rsidRPr="00533B68">
          <w:t>6120</w:t>
        </w:r>
        <w:r>
          <w:rPr>
            <w:rFonts w:asciiTheme="minorHAnsi" w:eastAsiaTheme="minorEastAsia" w:hAnsiTheme="minorHAnsi" w:cstheme="minorBidi"/>
            <w:kern w:val="2"/>
            <w:sz w:val="24"/>
            <w:szCs w:val="24"/>
            <w:lang w:eastAsia="en-AU"/>
            <w14:ligatures w14:val="standardContextual"/>
          </w:rPr>
          <w:tab/>
        </w:r>
        <w:r w:rsidRPr="00533B68">
          <w:t>Filing documents—number of copies</w:t>
        </w:r>
        <w:r>
          <w:tab/>
        </w:r>
        <w:r>
          <w:fldChar w:fldCharType="begin"/>
        </w:r>
        <w:r>
          <w:instrText xml:space="preserve"> PAGEREF _Toc185515257 \h </w:instrText>
        </w:r>
        <w:r>
          <w:fldChar w:fldCharType="separate"/>
        </w:r>
        <w:r>
          <w:t>916</w:t>
        </w:r>
        <w:r>
          <w:fldChar w:fldCharType="end"/>
        </w:r>
      </w:hyperlink>
    </w:p>
    <w:p w14:paraId="4F2F3754" w14:textId="48033FE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8" w:history="1">
        <w:r w:rsidRPr="00533B68">
          <w:t>6121</w:t>
        </w:r>
        <w:r>
          <w:rPr>
            <w:rFonts w:asciiTheme="minorHAnsi" w:eastAsiaTheme="minorEastAsia" w:hAnsiTheme="minorHAnsi" w:cstheme="minorBidi"/>
            <w:kern w:val="2"/>
            <w:sz w:val="24"/>
            <w:szCs w:val="24"/>
            <w:lang w:eastAsia="en-AU"/>
            <w14:ligatures w14:val="standardContextual"/>
          </w:rPr>
          <w:tab/>
        </w:r>
        <w:r w:rsidRPr="00533B68">
          <w:t>How documents may be filed</w:t>
        </w:r>
        <w:r>
          <w:tab/>
        </w:r>
        <w:r>
          <w:fldChar w:fldCharType="begin"/>
        </w:r>
        <w:r>
          <w:instrText xml:space="preserve"> PAGEREF _Toc185515258 \h </w:instrText>
        </w:r>
        <w:r>
          <w:fldChar w:fldCharType="separate"/>
        </w:r>
        <w:r>
          <w:t>916</w:t>
        </w:r>
        <w:r>
          <w:fldChar w:fldCharType="end"/>
        </w:r>
      </w:hyperlink>
    </w:p>
    <w:p w14:paraId="616A73BF" w14:textId="3FB67CD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59" w:history="1">
        <w:r w:rsidRPr="00533B68">
          <w:t>6122</w:t>
        </w:r>
        <w:r>
          <w:rPr>
            <w:rFonts w:asciiTheme="minorHAnsi" w:eastAsiaTheme="minorEastAsia" w:hAnsiTheme="minorHAnsi" w:cstheme="minorBidi"/>
            <w:kern w:val="2"/>
            <w:sz w:val="24"/>
            <w:szCs w:val="24"/>
            <w:lang w:eastAsia="en-AU"/>
            <w14:ligatures w14:val="standardContextual"/>
          </w:rPr>
          <w:tab/>
        </w:r>
        <w:r w:rsidRPr="00533B68">
          <w:t>Filing documents personally</w:t>
        </w:r>
        <w:r>
          <w:tab/>
        </w:r>
        <w:r>
          <w:fldChar w:fldCharType="begin"/>
        </w:r>
        <w:r>
          <w:instrText xml:space="preserve"> PAGEREF _Toc185515259 \h </w:instrText>
        </w:r>
        <w:r>
          <w:fldChar w:fldCharType="separate"/>
        </w:r>
        <w:r>
          <w:t>917</w:t>
        </w:r>
        <w:r>
          <w:fldChar w:fldCharType="end"/>
        </w:r>
      </w:hyperlink>
    </w:p>
    <w:p w14:paraId="4BE7453F" w14:textId="56DF553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0" w:history="1">
        <w:r w:rsidRPr="00533B68">
          <w:t>6123</w:t>
        </w:r>
        <w:r>
          <w:rPr>
            <w:rFonts w:asciiTheme="minorHAnsi" w:eastAsiaTheme="minorEastAsia" w:hAnsiTheme="minorHAnsi" w:cstheme="minorBidi"/>
            <w:kern w:val="2"/>
            <w:sz w:val="24"/>
            <w:szCs w:val="24"/>
            <w:lang w:eastAsia="en-AU"/>
            <w14:ligatures w14:val="standardContextual"/>
          </w:rPr>
          <w:tab/>
        </w:r>
        <w:r w:rsidRPr="00533B68">
          <w:t>Filing documents by post</w:t>
        </w:r>
        <w:r>
          <w:tab/>
        </w:r>
        <w:r>
          <w:fldChar w:fldCharType="begin"/>
        </w:r>
        <w:r>
          <w:instrText xml:space="preserve"> PAGEREF _Toc185515260 \h </w:instrText>
        </w:r>
        <w:r>
          <w:fldChar w:fldCharType="separate"/>
        </w:r>
        <w:r>
          <w:t>917</w:t>
        </w:r>
        <w:r>
          <w:fldChar w:fldCharType="end"/>
        </w:r>
      </w:hyperlink>
    </w:p>
    <w:p w14:paraId="02585A15" w14:textId="50D4D90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1" w:history="1">
        <w:r w:rsidRPr="00533B68">
          <w:t>6124</w:t>
        </w:r>
        <w:r>
          <w:rPr>
            <w:rFonts w:asciiTheme="minorHAnsi" w:eastAsiaTheme="minorEastAsia" w:hAnsiTheme="minorHAnsi" w:cstheme="minorBidi"/>
            <w:kern w:val="2"/>
            <w:sz w:val="24"/>
            <w:szCs w:val="24"/>
            <w:lang w:eastAsia="en-AU"/>
            <w14:ligatures w14:val="standardContextual"/>
          </w:rPr>
          <w:tab/>
        </w:r>
        <w:r w:rsidRPr="00533B68">
          <w:t>Filing documents electronically</w:t>
        </w:r>
        <w:r>
          <w:tab/>
        </w:r>
        <w:r>
          <w:fldChar w:fldCharType="begin"/>
        </w:r>
        <w:r>
          <w:instrText xml:space="preserve"> PAGEREF _Toc185515261 \h </w:instrText>
        </w:r>
        <w:r>
          <w:fldChar w:fldCharType="separate"/>
        </w:r>
        <w:r>
          <w:t>918</w:t>
        </w:r>
        <w:r>
          <w:fldChar w:fldCharType="end"/>
        </w:r>
      </w:hyperlink>
    </w:p>
    <w:p w14:paraId="12848317" w14:textId="109798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2" w:history="1">
        <w:r w:rsidRPr="00533B68">
          <w:t>6125</w:t>
        </w:r>
        <w:r>
          <w:rPr>
            <w:rFonts w:asciiTheme="minorHAnsi" w:eastAsiaTheme="minorEastAsia" w:hAnsiTheme="minorHAnsi" w:cstheme="minorBidi"/>
            <w:kern w:val="2"/>
            <w:sz w:val="24"/>
            <w:szCs w:val="24"/>
            <w:lang w:eastAsia="en-AU"/>
            <w14:ligatures w14:val="standardContextual"/>
          </w:rPr>
          <w:tab/>
        </w:r>
        <w:r w:rsidRPr="00533B68">
          <w:t>Practice notes about filing</w:t>
        </w:r>
        <w:r>
          <w:tab/>
        </w:r>
        <w:r>
          <w:fldChar w:fldCharType="begin"/>
        </w:r>
        <w:r>
          <w:instrText xml:space="preserve"> PAGEREF _Toc185515262 \h </w:instrText>
        </w:r>
        <w:r>
          <w:fldChar w:fldCharType="separate"/>
        </w:r>
        <w:r>
          <w:t>920</w:t>
        </w:r>
        <w:r>
          <w:fldChar w:fldCharType="end"/>
        </w:r>
      </w:hyperlink>
    </w:p>
    <w:p w14:paraId="00A5CA53" w14:textId="22CD921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3" w:history="1">
        <w:r w:rsidRPr="00533B68">
          <w:t>6126</w:t>
        </w:r>
        <w:r>
          <w:rPr>
            <w:rFonts w:asciiTheme="minorHAnsi" w:eastAsiaTheme="minorEastAsia" w:hAnsiTheme="minorHAnsi" w:cstheme="minorBidi"/>
            <w:kern w:val="2"/>
            <w:sz w:val="24"/>
            <w:szCs w:val="24"/>
            <w:lang w:eastAsia="en-AU"/>
            <w14:ligatures w14:val="standardContextual"/>
          </w:rPr>
          <w:tab/>
        </w:r>
        <w:r w:rsidRPr="00533B68">
          <w:t>Date of filing</w:t>
        </w:r>
        <w:r>
          <w:tab/>
        </w:r>
        <w:r>
          <w:fldChar w:fldCharType="begin"/>
        </w:r>
        <w:r>
          <w:instrText xml:space="preserve"> PAGEREF _Toc185515263 \h </w:instrText>
        </w:r>
        <w:r>
          <w:fldChar w:fldCharType="separate"/>
        </w:r>
        <w:r>
          <w:t>920</w:t>
        </w:r>
        <w:r>
          <w:fldChar w:fldCharType="end"/>
        </w:r>
      </w:hyperlink>
    </w:p>
    <w:p w14:paraId="734F88C6" w14:textId="436B51B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4" w:history="1">
        <w:r w:rsidRPr="00533B68">
          <w:t>6130</w:t>
        </w:r>
        <w:r>
          <w:rPr>
            <w:rFonts w:asciiTheme="minorHAnsi" w:eastAsiaTheme="minorEastAsia" w:hAnsiTheme="minorHAnsi" w:cstheme="minorBidi"/>
            <w:kern w:val="2"/>
            <w:sz w:val="24"/>
            <w:szCs w:val="24"/>
            <w:lang w:eastAsia="en-AU"/>
            <w14:ligatures w14:val="standardContextual"/>
          </w:rPr>
          <w:tab/>
        </w:r>
        <w:r w:rsidRPr="00533B68">
          <w:t>Keeping original documents</w:t>
        </w:r>
        <w:r>
          <w:tab/>
        </w:r>
        <w:r>
          <w:fldChar w:fldCharType="begin"/>
        </w:r>
        <w:r>
          <w:instrText xml:space="preserve"> PAGEREF _Toc185515264 \h </w:instrText>
        </w:r>
        <w:r>
          <w:fldChar w:fldCharType="separate"/>
        </w:r>
        <w:r>
          <w:t>921</w:t>
        </w:r>
        <w:r>
          <w:fldChar w:fldCharType="end"/>
        </w:r>
      </w:hyperlink>
    </w:p>
    <w:p w14:paraId="4D3EFDBB" w14:textId="072B3BB1"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265" w:history="1">
        <w:r w:rsidRPr="00533B68">
          <w:t>6133</w:t>
        </w:r>
        <w:r>
          <w:rPr>
            <w:rFonts w:asciiTheme="minorHAnsi" w:eastAsiaTheme="minorEastAsia" w:hAnsiTheme="minorHAnsi" w:cstheme="minorBidi"/>
            <w:kern w:val="2"/>
            <w:sz w:val="24"/>
            <w:szCs w:val="24"/>
            <w:lang w:eastAsia="en-AU"/>
            <w14:ligatures w14:val="standardContextual"/>
          </w:rPr>
          <w:tab/>
        </w:r>
        <w:r w:rsidRPr="00533B68">
          <w:t>Conversion of documents in paper form to electronic form</w:t>
        </w:r>
        <w:r>
          <w:tab/>
        </w:r>
        <w:r>
          <w:fldChar w:fldCharType="begin"/>
        </w:r>
        <w:r>
          <w:instrText xml:space="preserve"> PAGEREF _Toc185515265 \h </w:instrText>
        </w:r>
        <w:r>
          <w:fldChar w:fldCharType="separate"/>
        </w:r>
        <w:r>
          <w:t>922</w:t>
        </w:r>
        <w:r>
          <w:fldChar w:fldCharType="end"/>
        </w:r>
      </w:hyperlink>
    </w:p>
    <w:p w14:paraId="0498C03C" w14:textId="209DB7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6" w:history="1">
        <w:r w:rsidRPr="00533B68">
          <w:t>6134</w:t>
        </w:r>
        <w:r>
          <w:rPr>
            <w:rFonts w:asciiTheme="minorHAnsi" w:eastAsiaTheme="minorEastAsia" w:hAnsiTheme="minorHAnsi" w:cstheme="minorBidi"/>
            <w:kern w:val="2"/>
            <w:sz w:val="24"/>
            <w:szCs w:val="24"/>
            <w:lang w:eastAsia="en-AU"/>
            <w14:ligatures w14:val="standardContextual"/>
          </w:rPr>
          <w:tab/>
        </w:r>
        <w:r w:rsidRPr="00533B68">
          <w:t>Official record of the court</w:t>
        </w:r>
        <w:r>
          <w:tab/>
        </w:r>
        <w:r>
          <w:fldChar w:fldCharType="begin"/>
        </w:r>
        <w:r>
          <w:instrText xml:space="preserve"> PAGEREF _Toc185515266 \h </w:instrText>
        </w:r>
        <w:r>
          <w:fldChar w:fldCharType="separate"/>
        </w:r>
        <w:r>
          <w:t>923</w:t>
        </w:r>
        <w:r>
          <w:fldChar w:fldCharType="end"/>
        </w:r>
      </w:hyperlink>
    </w:p>
    <w:p w14:paraId="73137458" w14:textId="14F2740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67" w:history="1">
        <w:r w:rsidR="00AC5392" w:rsidRPr="00533B68">
          <w:t>Division 6.3.3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Rejecting filed documents</w:t>
        </w:r>
        <w:r w:rsidR="00AC5392" w:rsidRPr="00AC5392">
          <w:rPr>
            <w:vanish/>
          </w:rPr>
          <w:tab/>
        </w:r>
        <w:r w:rsidR="00AC5392" w:rsidRPr="00AC5392">
          <w:rPr>
            <w:vanish/>
          </w:rPr>
          <w:fldChar w:fldCharType="begin"/>
        </w:r>
        <w:r w:rsidR="00AC5392" w:rsidRPr="00AC5392">
          <w:rPr>
            <w:vanish/>
          </w:rPr>
          <w:instrText xml:space="preserve"> PAGEREF _Toc185515267 \h </w:instrText>
        </w:r>
        <w:r w:rsidR="00AC5392" w:rsidRPr="00AC5392">
          <w:rPr>
            <w:vanish/>
          </w:rPr>
        </w:r>
        <w:r w:rsidR="00AC5392" w:rsidRPr="00AC5392">
          <w:rPr>
            <w:vanish/>
          </w:rPr>
          <w:fldChar w:fldCharType="separate"/>
        </w:r>
        <w:r w:rsidR="00AC5392" w:rsidRPr="00AC5392">
          <w:rPr>
            <w:vanish/>
          </w:rPr>
          <w:t>923</w:t>
        </w:r>
        <w:r w:rsidR="00AC5392" w:rsidRPr="00AC5392">
          <w:rPr>
            <w:vanish/>
          </w:rPr>
          <w:fldChar w:fldCharType="end"/>
        </w:r>
      </w:hyperlink>
    </w:p>
    <w:p w14:paraId="4C6336CC" w14:textId="5D85B34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8" w:history="1">
        <w:r w:rsidRPr="00533B68">
          <w:t>6140</w:t>
        </w:r>
        <w:r>
          <w:rPr>
            <w:rFonts w:asciiTheme="minorHAnsi" w:eastAsiaTheme="minorEastAsia" w:hAnsiTheme="minorHAnsi" w:cstheme="minorBidi"/>
            <w:kern w:val="2"/>
            <w:sz w:val="24"/>
            <w:szCs w:val="24"/>
            <w:lang w:eastAsia="en-AU"/>
            <w14:ligatures w14:val="standardContextual"/>
          </w:rPr>
          <w:tab/>
        </w:r>
        <w:r w:rsidRPr="00533B68">
          <w:t>Rejecting documents—noncompliance with rules etc</w:t>
        </w:r>
        <w:r>
          <w:tab/>
        </w:r>
        <w:r>
          <w:fldChar w:fldCharType="begin"/>
        </w:r>
        <w:r>
          <w:instrText xml:space="preserve"> PAGEREF _Toc185515268 \h </w:instrText>
        </w:r>
        <w:r>
          <w:fldChar w:fldCharType="separate"/>
        </w:r>
        <w:r>
          <w:t>923</w:t>
        </w:r>
        <w:r>
          <w:fldChar w:fldCharType="end"/>
        </w:r>
      </w:hyperlink>
    </w:p>
    <w:p w14:paraId="153A206E" w14:textId="6D3AFD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69" w:history="1">
        <w:r w:rsidRPr="00533B68">
          <w:t>6141</w:t>
        </w:r>
        <w:r>
          <w:rPr>
            <w:rFonts w:asciiTheme="minorHAnsi" w:eastAsiaTheme="minorEastAsia" w:hAnsiTheme="minorHAnsi" w:cstheme="minorBidi"/>
            <w:kern w:val="2"/>
            <w:sz w:val="24"/>
            <w:szCs w:val="24"/>
            <w:lang w:eastAsia="en-AU"/>
            <w14:ligatures w14:val="standardContextual"/>
          </w:rPr>
          <w:tab/>
        </w:r>
        <w:r w:rsidRPr="00533B68">
          <w:rPr>
            <w:lang w:val="en-US"/>
          </w:rPr>
          <w:t>Rejecting documents—inconvenient address for service</w:t>
        </w:r>
        <w:r>
          <w:tab/>
        </w:r>
        <w:r>
          <w:fldChar w:fldCharType="begin"/>
        </w:r>
        <w:r>
          <w:instrText xml:space="preserve"> PAGEREF _Toc185515269 \h </w:instrText>
        </w:r>
        <w:r>
          <w:fldChar w:fldCharType="separate"/>
        </w:r>
        <w:r>
          <w:t>924</w:t>
        </w:r>
        <w:r>
          <w:fldChar w:fldCharType="end"/>
        </w:r>
      </w:hyperlink>
    </w:p>
    <w:p w14:paraId="71FADA26" w14:textId="0B11D63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0" w:history="1">
        <w:r w:rsidRPr="00533B68">
          <w:t>6142</w:t>
        </w:r>
        <w:r>
          <w:rPr>
            <w:rFonts w:asciiTheme="minorHAnsi" w:eastAsiaTheme="minorEastAsia" w:hAnsiTheme="minorHAnsi" w:cstheme="minorBidi"/>
            <w:kern w:val="2"/>
            <w:sz w:val="24"/>
            <w:szCs w:val="24"/>
            <w:lang w:eastAsia="en-AU"/>
            <w14:ligatures w14:val="standardContextual"/>
          </w:rPr>
          <w:tab/>
        </w:r>
        <w:r w:rsidRPr="00533B68">
          <w:t>Rejecting documents—abuse of process etc</w:t>
        </w:r>
        <w:r>
          <w:tab/>
        </w:r>
        <w:r>
          <w:fldChar w:fldCharType="begin"/>
        </w:r>
        <w:r>
          <w:instrText xml:space="preserve"> PAGEREF _Toc185515270 \h </w:instrText>
        </w:r>
        <w:r>
          <w:fldChar w:fldCharType="separate"/>
        </w:r>
        <w:r>
          <w:t>924</w:t>
        </w:r>
        <w:r>
          <w:fldChar w:fldCharType="end"/>
        </w:r>
      </w:hyperlink>
    </w:p>
    <w:p w14:paraId="3F8FDADE" w14:textId="4653D9B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1" w:history="1">
        <w:r w:rsidRPr="00533B68">
          <w:t>6143</w:t>
        </w:r>
        <w:r>
          <w:rPr>
            <w:rFonts w:asciiTheme="minorHAnsi" w:eastAsiaTheme="minorEastAsia" w:hAnsiTheme="minorHAnsi" w:cstheme="minorBidi"/>
            <w:kern w:val="2"/>
            <w:sz w:val="24"/>
            <w:szCs w:val="24"/>
            <w:lang w:eastAsia="en-AU"/>
            <w14:ligatures w14:val="standardContextual"/>
          </w:rPr>
          <w:tab/>
        </w:r>
        <w:r w:rsidRPr="00533B68">
          <w:t>Rejecting document—registrar to give notice etc</w:t>
        </w:r>
        <w:r>
          <w:tab/>
        </w:r>
        <w:r>
          <w:fldChar w:fldCharType="begin"/>
        </w:r>
        <w:r>
          <w:instrText xml:space="preserve"> PAGEREF _Toc185515271 \h </w:instrText>
        </w:r>
        <w:r>
          <w:fldChar w:fldCharType="separate"/>
        </w:r>
        <w:r>
          <w:t>925</w:t>
        </w:r>
        <w:r>
          <w:fldChar w:fldCharType="end"/>
        </w:r>
      </w:hyperlink>
    </w:p>
    <w:p w14:paraId="0CCC4241" w14:textId="19D424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2" w:history="1">
        <w:r w:rsidRPr="00533B68">
          <w:t>6144</w:t>
        </w:r>
        <w:r>
          <w:rPr>
            <w:rFonts w:asciiTheme="minorHAnsi" w:eastAsiaTheme="minorEastAsia" w:hAnsiTheme="minorHAnsi" w:cstheme="minorBidi"/>
            <w:kern w:val="2"/>
            <w:sz w:val="24"/>
            <w:szCs w:val="24"/>
            <w:lang w:eastAsia="en-AU"/>
            <w14:ligatures w14:val="standardContextual"/>
          </w:rPr>
          <w:tab/>
        </w:r>
        <w:r w:rsidRPr="00533B68">
          <w:t>Rejecting document—costs</w:t>
        </w:r>
        <w:r>
          <w:tab/>
        </w:r>
        <w:r>
          <w:fldChar w:fldCharType="begin"/>
        </w:r>
        <w:r>
          <w:instrText xml:space="preserve"> PAGEREF _Toc185515272 \h </w:instrText>
        </w:r>
        <w:r>
          <w:fldChar w:fldCharType="separate"/>
        </w:r>
        <w:r>
          <w:t>925</w:t>
        </w:r>
        <w:r>
          <w:fldChar w:fldCharType="end"/>
        </w:r>
      </w:hyperlink>
    </w:p>
    <w:p w14:paraId="131675A8" w14:textId="7A7EFB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3" w:history="1">
        <w:r w:rsidRPr="00533B68">
          <w:t>6145</w:t>
        </w:r>
        <w:r>
          <w:rPr>
            <w:rFonts w:asciiTheme="minorHAnsi" w:eastAsiaTheme="minorEastAsia" w:hAnsiTheme="minorHAnsi" w:cstheme="minorBidi"/>
            <w:kern w:val="2"/>
            <w:sz w:val="24"/>
            <w:szCs w:val="24"/>
            <w:lang w:eastAsia="en-AU"/>
            <w14:ligatures w14:val="standardContextual"/>
          </w:rPr>
          <w:tab/>
        </w:r>
        <w:r w:rsidRPr="00533B68">
          <w:t>Filed documents initially rejected</w:t>
        </w:r>
        <w:r>
          <w:tab/>
        </w:r>
        <w:r>
          <w:fldChar w:fldCharType="begin"/>
        </w:r>
        <w:r>
          <w:instrText xml:space="preserve"> PAGEREF _Toc185515273 \h </w:instrText>
        </w:r>
        <w:r>
          <w:fldChar w:fldCharType="separate"/>
        </w:r>
        <w:r>
          <w:t>925</w:t>
        </w:r>
        <w:r>
          <w:fldChar w:fldCharType="end"/>
        </w:r>
      </w:hyperlink>
    </w:p>
    <w:p w14:paraId="5FAC70CA" w14:textId="5026355A"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74" w:history="1">
        <w:r w:rsidR="00AC5392" w:rsidRPr="00533B68">
          <w:t>Part 6.5</w:t>
        </w:r>
        <w:r w:rsidR="00AC5392">
          <w:rPr>
            <w:rFonts w:asciiTheme="minorHAnsi" w:eastAsiaTheme="minorEastAsia" w:hAnsiTheme="minorHAnsi" w:cstheme="minorBidi"/>
            <w:b w:val="0"/>
            <w:kern w:val="2"/>
            <w:szCs w:val="24"/>
            <w:lang w:eastAsia="en-AU"/>
            <w14:ligatures w14:val="standardContextual"/>
          </w:rPr>
          <w:tab/>
        </w:r>
        <w:r w:rsidR="00AC5392" w:rsidRPr="00533B68">
          <w:t>Registrar</w:t>
        </w:r>
        <w:r w:rsidR="00AC5392" w:rsidRPr="00AC5392">
          <w:rPr>
            <w:vanish/>
          </w:rPr>
          <w:tab/>
        </w:r>
        <w:r w:rsidR="00AC5392" w:rsidRPr="00AC5392">
          <w:rPr>
            <w:vanish/>
          </w:rPr>
          <w:fldChar w:fldCharType="begin"/>
        </w:r>
        <w:r w:rsidR="00AC5392" w:rsidRPr="00AC5392">
          <w:rPr>
            <w:vanish/>
          </w:rPr>
          <w:instrText xml:space="preserve"> PAGEREF _Toc185515274 \h </w:instrText>
        </w:r>
        <w:r w:rsidR="00AC5392" w:rsidRPr="00AC5392">
          <w:rPr>
            <w:vanish/>
          </w:rPr>
        </w:r>
        <w:r w:rsidR="00AC5392" w:rsidRPr="00AC5392">
          <w:rPr>
            <w:vanish/>
          </w:rPr>
          <w:fldChar w:fldCharType="separate"/>
        </w:r>
        <w:r w:rsidR="00AC5392" w:rsidRPr="00AC5392">
          <w:rPr>
            <w:vanish/>
          </w:rPr>
          <w:t>927</w:t>
        </w:r>
        <w:r w:rsidR="00AC5392" w:rsidRPr="00AC5392">
          <w:rPr>
            <w:vanish/>
          </w:rPr>
          <w:fldChar w:fldCharType="end"/>
        </w:r>
      </w:hyperlink>
    </w:p>
    <w:p w14:paraId="756FEF83" w14:textId="7472C33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5" w:history="1">
        <w:r w:rsidRPr="00533B68">
          <w:t>6250</w:t>
        </w:r>
        <w:r>
          <w:rPr>
            <w:rFonts w:asciiTheme="minorHAnsi" w:eastAsiaTheme="minorEastAsia" w:hAnsiTheme="minorHAnsi" w:cstheme="minorBidi"/>
            <w:kern w:val="2"/>
            <w:sz w:val="24"/>
            <w:szCs w:val="24"/>
            <w:lang w:eastAsia="en-AU"/>
            <w14:ligatures w14:val="standardContextual"/>
          </w:rPr>
          <w:tab/>
        </w:r>
        <w:r w:rsidRPr="00533B68">
          <w:t>Jurisdiction exercisable by registrar of Supreme Court</w:t>
        </w:r>
        <w:r>
          <w:tab/>
        </w:r>
        <w:r>
          <w:fldChar w:fldCharType="begin"/>
        </w:r>
        <w:r>
          <w:instrText xml:space="preserve"> PAGEREF _Toc185515275 \h </w:instrText>
        </w:r>
        <w:r>
          <w:fldChar w:fldCharType="separate"/>
        </w:r>
        <w:r>
          <w:t>927</w:t>
        </w:r>
        <w:r>
          <w:fldChar w:fldCharType="end"/>
        </w:r>
      </w:hyperlink>
    </w:p>
    <w:p w14:paraId="624477A3" w14:textId="71B91C5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6" w:history="1">
        <w:r w:rsidRPr="00533B68">
          <w:t>6251</w:t>
        </w:r>
        <w:r>
          <w:rPr>
            <w:rFonts w:asciiTheme="minorHAnsi" w:eastAsiaTheme="minorEastAsia" w:hAnsiTheme="minorHAnsi" w:cstheme="minorBidi"/>
            <w:kern w:val="2"/>
            <w:sz w:val="24"/>
            <w:szCs w:val="24"/>
            <w:lang w:eastAsia="en-AU"/>
            <w14:ligatures w14:val="standardContextual"/>
          </w:rPr>
          <w:tab/>
        </w:r>
        <w:r w:rsidRPr="00533B68">
          <w:t>Jurisdiction exercisable by registrar of Magistrates Court</w:t>
        </w:r>
        <w:r>
          <w:tab/>
        </w:r>
        <w:r>
          <w:fldChar w:fldCharType="begin"/>
        </w:r>
        <w:r>
          <w:instrText xml:space="preserve"> PAGEREF _Toc185515276 \h </w:instrText>
        </w:r>
        <w:r>
          <w:fldChar w:fldCharType="separate"/>
        </w:r>
        <w:r>
          <w:t>933</w:t>
        </w:r>
        <w:r>
          <w:fldChar w:fldCharType="end"/>
        </w:r>
      </w:hyperlink>
    </w:p>
    <w:p w14:paraId="77AE9C93" w14:textId="6580B7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7" w:history="1">
        <w:r w:rsidRPr="00533B68">
          <w:t>6252</w:t>
        </w:r>
        <w:r>
          <w:rPr>
            <w:rFonts w:asciiTheme="minorHAnsi" w:eastAsiaTheme="minorEastAsia" w:hAnsiTheme="minorHAnsi" w:cstheme="minorBidi"/>
            <w:kern w:val="2"/>
            <w:sz w:val="24"/>
            <w:szCs w:val="24"/>
            <w:lang w:eastAsia="en-AU"/>
            <w14:ligatures w14:val="standardContextual"/>
          </w:rPr>
          <w:tab/>
        </w:r>
        <w:r w:rsidRPr="00533B68">
          <w:t>Registrar’s powers—postponement of hearing</w:t>
        </w:r>
        <w:r>
          <w:tab/>
        </w:r>
        <w:r>
          <w:fldChar w:fldCharType="begin"/>
        </w:r>
        <w:r>
          <w:instrText xml:space="preserve"> PAGEREF _Toc185515277 \h </w:instrText>
        </w:r>
        <w:r>
          <w:fldChar w:fldCharType="separate"/>
        </w:r>
        <w:r>
          <w:t>940</w:t>
        </w:r>
        <w:r>
          <w:fldChar w:fldCharType="end"/>
        </w:r>
      </w:hyperlink>
    </w:p>
    <w:p w14:paraId="00B9B6FB" w14:textId="161171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8" w:history="1">
        <w:r w:rsidRPr="00533B68">
          <w:t>6253</w:t>
        </w:r>
        <w:r>
          <w:rPr>
            <w:rFonts w:asciiTheme="minorHAnsi" w:eastAsiaTheme="minorEastAsia" w:hAnsiTheme="minorHAnsi" w:cstheme="minorBidi"/>
            <w:kern w:val="2"/>
            <w:sz w:val="24"/>
            <w:szCs w:val="24"/>
            <w:lang w:eastAsia="en-AU"/>
            <w14:ligatures w14:val="standardContextual"/>
          </w:rPr>
          <w:tab/>
        </w:r>
        <w:r w:rsidRPr="00533B68">
          <w:t>Registrar’s powers—subpoenas</w:t>
        </w:r>
        <w:r>
          <w:tab/>
        </w:r>
        <w:r>
          <w:fldChar w:fldCharType="begin"/>
        </w:r>
        <w:r>
          <w:instrText xml:space="preserve"> PAGEREF _Toc185515278 \h </w:instrText>
        </w:r>
        <w:r>
          <w:fldChar w:fldCharType="separate"/>
        </w:r>
        <w:r>
          <w:t>940</w:t>
        </w:r>
        <w:r>
          <w:fldChar w:fldCharType="end"/>
        </w:r>
      </w:hyperlink>
    </w:p>
    <w:p w14:paraId="6FAD6D28" w14:textId="3644EF6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79" w:history="1">
        <w:r w:rsidRPr="00533B68">
          <w:t>6254</w:t>
        </w:r>
        <w:r>
          <w:rPr>
            <w:rFonts w:asciiTheme="minorHAnsi" w:eastAsiaTheme="minorEastAsia" w:hAnsiTheme="minorHAnsi" w:cstheme="minorBidi"/>
            <w:kern w:val="2"/>
            <w:sz w:val="24"/>
            <w:szCs w:val="24"/>
            <w:lang w:eastAsia="en-AU"/>
            <w14:ligatures w14:val="standardContextual"/>
          </w:rPr>
          <w:tab/>
        </w:r>
        <w:r w:rsidRPr="00533B68">
          <w:t>Order that jurisdiction in proceeding be exercised by judicial officer other than registrar</w:t>
        </w:r>
        <w:r>
          <w:tab/>
        </w:r>
        <w:r>
          <w:fldChar w:fldCharType="begin"/>
        </w:r>
        <w:r>
          <w:instrText xml:space="preserve"> PAGEREF _Toc185515279 \h </w:instrText>
        </w:r>
        <w:r>
          <w:fldChar w:fldCharType="separate"/>
        </w:r>
        <w:r>
          <w:t>940</w:t>
        </w:r>
        <w:r>
          <w:fldChar w:fldCharType="end"/>
        </w:r>
      </w:hyperlink>
    </w:p>
    <w:p w14:paraId="6B419DA7" w14:textId="0DA0D5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0" w:history="1">
        <w:r w:rsidRPr="00533B68">
          <w:t>6255</w:t>
        </w:r>
        <w:r>
          <w:rPr>
            <w:rFonts w:asciiTheme="minorHAnsi" w:eastAsiaTheme="minorEastAsia" w:hAnsiTheme="minorHAnsi" w:cstheme="minorBidi"/>
            <w:kern w:val="2"/>
            <w:sz w:val="24"/>
            <w:szCs w:val="24"/>
            <w:lang w:eastAsia="en-AU"/>
            <w14:ligatures w14:val="standardContextual"/>
          </w:rPr>
          <w:tab/>
        </w:r>
        <w:r w:rsidRPr="00533B68">
          <w:t>Registrar referring proceeding or issue to judicial officer</w:t>
        </w:r>
        <w:r>
          <w:tab/>
        </w:r>
        <w:r>
          <w:fldChar w:fldCharType="begin"/>
        </w:r>
        <w:r>
          <w:instrText xml:space="preserve"> PAGEREF _Toc185515280 \h </w:instrText>
        </w:r>
        <w:r>
          <w:fldChar w:fldCharType="separate"/>
        </w:r>
        <w:r>
          <w:t>941</w:t>
        </w:r>
        <w:r>
          <w:fldChar w:fldCharType="end"/>
        </w:r>
      </w:hyperlink>
    </w:p>
    <w:p w14:paraId="4F49FA4A" w14:textId="6E1B1C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1" w:history="1">
        <w:r w:rsidRPr="00533B68">
          <w:t>6256</w:t>
        </w:r>
        <w:r>
          <w:rPr>
            <w:rFonts w:asciiTheme="minorHAnsi" w:eastAsiaTheme="minorEastAsia" w:hAnsiTheme="minorHAnsi" w:cstheme="minorBidi"/>
            <w:kern w:val="2"/>
            <w:sz w:val="24"/>
            <w:szCs w:val="24"/>
            <w:lang w:eastAsia="en-AU"/>
            <w14:ligatures w14:val="standardContextual"/>
          </w:rPr>
          <w:tab/>
        </w:r>
        <w:r w:rsidRPr="00533B68">
          <w:t>Appeals from registrar’s orders etc</w:t>
        </w:r>
        <w:r>
          <w:tab/>
        </w:r>
        <w:r>
          <w:fldChar w:fldCharType="begin"/>
        </w:r>
        <w:r>
          <w:instrText xml:space="preserve"> PAGEREF _Toc185515281 \h </w:instrText>
        </w:r>
        <w:r>
          <w:fldChar w:fldCharType="separate"/>
        </w:r>
        <w:r>
          <w:t>942</w:t>
        </w:r>
        <w:r>
          <w:fldChar w:fldCharType="end"/>
        </w:r>
      </w:hyperlink>
    </w:p>
    <w:p w14:paraId="6413D501" w14:textId="29A96B8D"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82" w:history="1">
        <w:r w:rsidR="00AC5392" w:rsidRPr="00533B68">
          <w:t>Part 6.6</w:t>
        </w:r>
        <w:r w:rsidR="00AC5392">
          <w:rPr>
            <w:rFonts w:asciiTheme="minorHAnsi" w:eastAsiaTheme="minorEastAsia" w:hAnsiTheme="minorHAnsi" w:cstheme="minorBidi"/>
            <w:b w:val="0"/>
            <w:kern w:val="2"/>
            <w:szCs w:val="24"/>
            <w:lang w:eastAsia="en-AU"/>
            <w14:ligatures w14:val="standardContextual"/>
          </w:rPr>
          <w:tab/>
        </w:r>
        <w:r w:rsidR="00AC5392" w:rsidRPr="00533B68">
          <w:t>Registry</w:t>
        </w:r>
        <w:r w:rsidR="00AC5392" w:rsidRPr="00AC5392">
          <w:rPr>
            <w:vanish/>
          </w:rPr>
          <w:tab/>
        </w:r>
        <w:r w:rsidR="00AC5392" w:rsidRPr="00AC5392">
          <w:rPr>
            <w:vanish/>
          </w:rPr>
          <w:fldChar w:fldCharType="begin"/>
        </w:r>
        <w:r w:rsidR="00AC5392" w:rsidRPr="00AC5392">
          <w:rPr>
            <w:vanish/>
          </w:rPr>
          <w:instrText xml:space="preserve"> PAGEREF _Toc185515282 \h </w:instrText>
        </w:r>
        <w:r w:rsidR="00AC5392" w:rsidRPr="00AC5392">
          <w:rPr>
            <w:vanish/>
          </w:rPr>
        </w:r>
        <w:r w:rsidR="00AC5392" w:rsidRPr="00AC5392">
          <w:rPr>
            <w:vanish/>
          </w:rPr>
          <w:fldChar w:fldCharType="separate"/>
        </w:r>
        <w:r w:rsidR="00AC5392" w:rsidRPr="00AC5392">
          <w:rPr>
            <w:vanish/>
          </w:rPr>
          <w:t>944</w:t>
        </w:r>
        <w:r w:rsidR="00AC5392" w:rsidRPr="00AC5392">
          <w:rPr>
            <w:vanish/>
          </w:rPr>
          <w:fldChar w:fldCharType="end"/>
        </w:r>
      </w:hyperlink>
    </w:p>
    <w:p w14:paraId="67DF6552" w14:textId="2121829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3" w:history="1">
        <w:r w:rsidRPr="00533B68">
          <w:t>6300</w:t>
        </w:r>
        <w:r>
          <w:rPr>
            <w:rFonts w:asciiTheme="minorHAnsi" w:eastAsiaTheme="minorEastAsia" w:hAnsiTheme="minorHAnsi" w:cstheme="minorBidi"/>
            <w:kern w:val="2"/>
            <w:sz w:val="24"/>
            <w:szCs w:val="24"/>
            <w:lang w:eastAsia="en-AU"/>
            <w14:ligatures w14:val="standardContextual"/>
          </w:rPr>
          <w:tab/>
        </w:r>
        <w:r w:rsidRPr="00533B68">
          <w:t>Office hours</w:t>
        </w:r>
        <w:r>
          <w:tab/>
        </w:r>
        <w:r>
          <w:fldChar w:fldCharType="begin"/>
        </w:r>
        <w:r>
          <w:instrText xml:space="preserve"> PAGEREF _Toc185515283 \h </w:instrText>
        </w:r>
        <w:r>
          <w:fldChar w:fldCharType="separate"/>
        </w:r>
        <w:r>
          <w:t>944</w:t>
        </w:r>
        <w:r>
          <w:fldChar w:fldCharType="end"/>
        </w:r>
      </w:hyperlink>
    </w:p>
    <w:p w14:paraId="003EF274" w14:textId="1D9AB8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4" w:history="1">
        <w:r w:rsidRPr="00533B68">
          <w:t>6301</w:t>
        </w:r>
        <w:r>
          <w:rPr>
            <w:rFonts w:asciiTheme="minorHAnsi" w:eastAsiaTheme="minorEastAsia" w:hAnsiTheme="minorHAnsi" w:cstheme="minorBidi"/>
            <w:kern w:val="2"/>
            <w:sz w:val="24"/>
            <w:szCs w:val="24"/>
            <w:lang w:eastAsia="en-AU"/>
            <w14:ligatures w14:val="standardContextual"/>
          </w:rPr>
          <w:tab/>
        </w:r>
        <w:r w:rsidRPr="00533B68">
          <w:t>Registrar’s duties</w:t>
        </w:r>
        <w:r>
          <w:tab/>
        </w:r>
        <w:r>
          <w:fldChar w:fldCharType="begin"/>
        </w:r>
        <w:r>
          <w:instrText xml:space="preserve"> PAGEREF _Toc185515284 \h </w:instrText>
        </w:r>
        <w:r>
          <w:fldChar w:fldCharType="separate"/>
        </w:r>
        <w:r>
          <w:t>944</w:t>
        </w:r>
        <w:r>
          <w:fldChar w:fldCharType="end"/>
        </w:r>
      </w:hyperlink>
    </w:p>
    <w:p w14:paraId="09E802B1" w14:textId="539E95E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5" w:history="1">
        <w:r w:rsidRPr="00533B68">
          <w:t>6302</w:t>
        </w:r>
        <w:r>
          <w:rPr>
            <w:rFonts w:asciiTheme="minorHAnsi" w:eastAsiaTheme="minorEastAsia" w:hAnsiTheme="minorHAnsi" w:cstheme="minorBidi"/>
            <w:kern w:val="2"/>
            <w:sz w:val="24"/>
            <w:szCs w:val="24"/>
            <w:lang w:eastAsia="en-AU"/>
            <w14:ligatures w14:val="standardContextual"/>
          </w:rPr>
          <w:tab/>
        </w:r>
        <w:r w:rsidRPr="00533B68">
          <w:t>Cause book</w:t>
        </w:r>
        <w:r>
          <w:tab/>
        </w:r>
        <w:r>
          <w:fldChar w:fldCharType="begin"/>
        </w:r>
        <w:r>
          <w:instrText xml:space="preserve"> PAGEREF _Toc185515285 \h </w:instrText>
        </w:r>
        <w:r>
          <w:fldChar w:fldCharType="separate"/>
        </w:r>
        <w:r>
          <w:t>945</w:t>
        </w:r>
        <w:r>
          <w:fldChar w:fldCharType="end"/>
        </w:r>
      </w:hyperlink>
    </w:p>
    <w:p w14:paraId="24BBFCC5" w14:textId="05E9B6E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6" w:history="1">
        <w:r w:rsidRPr="00533B68">
          <w:t>6303</w:t>
        </w:r>
        <w:r>
          <w:rPr>
            <w:rFonts w:asciiTheme="minorHAnsi" w:eastAsiaTheme="minorEastAsia" w:hAnsiTheme="minorHAnsi" w:cstheme="minorBidi"/>
            <w:kern w:val="2"/>
            <w:sz w:val="24"/>
            <w:szCs w:val="24"/>
            <w:lang w:eastAsia="en-AU"/>
            <w14:ligatures w14:val="standardContextual"/>
          </w:rPr>
          <w:tab/>
        </w:r>
        <w:r w:rsidRPr="00533B68">
          <w:t>Registrar to keep seals</w:t>
        </w:r>
        <w:r>
          <w:tab/>
        </w:r>
        <w:r>
          <w:fldChar w:fldCharType="begin"/>
        </w:r>
        <w:r>
          <w:instrText xml:space="preserve"> PAGEREF _Toc185515286 \h </w:instrText>
        </w:r>
        <w:r>
          <w:fldChar w:fldCharType="separate"/>
        </w:r>
        <w:r>
          <w:t>945</w:t>
        </w:r>
        <w:r>
          <w:fldChar w:fldCharType="end"/>
        </w:r>
      </w:hyperlink>
    </w:p>
    <w:p w14:paraId="5ADCE9D2" w14:textId="7219A82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7" w:history="1">
        <w:r w:rsidRPr="00533B68">
          <w:t>6304</w:t>
        </w:r>
        <w:r>
          <w:rPr>
            <w:rFonts w:asciiTheme="minorHAnsi" w:eastAsiaTheme="minorEastAsia" w:hAnsiTheme="minorHAnsi" w:cstheme="minorBidi"/>
            <w:kern w:val="2"/>
            <w:sz w:val="24"/>
            <w:szCs w:val="24"/>
            <w:lang w:eastAsia="en-AU"/>
            <w14:ligatures w14:val="standardContextual"/>
          </w:rPr>
          <w:tab/>
        </w:r>
        <w:r w:rsidRPr="00533B68">
          <w:t>Documents—sealing and stamping</w:t>
        </w:r>
        <w:r>
          <w:tab/>
        </w:r>
        <w:r>
          <w:fldChar w:fldCharType="begin"/>
        </w:r>
        <w:r>
          <w:instrText xml:space="preserve"> PAGEREF _Toc185515287 \h </w:instrText>
        </w:r>
        <w:r>
          <w:fldChar w:fldCharType="separate"/>
        </w:r>
        <w:r>
          <w:t>946</w:t>
        </w:r>
        <w:r>
          <w:fldChar w:fldCharType="end"/>
        </w:r>
      </w:hyperlink>
    </w:p>
    <w:p w14:paraId="68030D31" w14:textId="5D54FF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8" w:history="1">
        <w:r w:rsidRPr="00533B68">
          <w:t>6304A</w:t>
        </w:r>
        <w:r>
          <w:rPr>
            <w:rFonts w:asciiTheme="minorHAnsi" w:eastAsiaTheme="minorEastAsia" w:hAnsiTheme="minorHAnsi" w:cstheme="minorBidi"/>
            <w:kern w:val="2"/>
            <w:sz w:val="24"/>
            <w:szCs w:val="24"/>
            <w:lang w:eastAsia="en-AU"/>
            <w14:ligatures w14:val="standardContextual"/>
          </w:rPr>
          <w:tab/>
        </w:r>
        <w:r w:rsidRPr="00533B68">
          <w:t>Signing, sealing and stamping documents filed electronically</w:t>
        </w:r>
        <w:r>
          <w:tab/>
        </w:r>
        <w:r>
          <w:fldChar w:fldCharType="begin"/>
        </w:r>
        <w:r>
          <w:instrText xml:space="preserve"> PAGEREF _Toc185515288 \h </w:instrText>
        </w:r>
        <w:r>
          <w:fldChar w:fldCharType="separate"/>
        </w:r>
        <w:r>
          <w:t>947</w:t>
        </w:r>
        <w:r>
          <w:fldChar w:fldCharType="end"/>
        </w:r>
      </w:hyperlink>
    </w:p>
    <w:p w14:paraId="581E0889" w14:textId="20D0B8F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89" w:history="1">
        <w:r w:rsidRPr="00533B68">
          <w:t>6304B</w:t>
        </w:r>
        <w:r>
          <w:rPr>
            <w:rFonts w:asciiTheme="minorHAnsi" w:eastAsiaTheme="minorEastAsia" w:hAnsiTheme="minorHAnsi" w:cstheme="minorBidi"/>
            <w:kern w:val="2"/>
            <w:sz w:val="24"/>
            <w:szCs w:val="24"/>
            <w:lang w:eastAsia="en-AU"/>
            <w14:ligatures w14:val="standardContextual"/>
          </w:rPr>
          <w:tab/>
        </w:r>
        <w:r w:rsidRPr="00533B68">
          <w:t>Issue of documents electronically by court</w:t>
        </w:r>
        <w:r>
          <w:tab/>
        </w:r>
        <w:r>
          <w:fldChar w:fldCharType="begin"/>
        </w:r>
        <w:r>
          <w:instrText xml:space="preserve"> PAGEREF _Toc185515289 \h </w:instrText>
        </w:r>
        <w:r>
          <w:fldChar w:fldCharType="separate"/>
        </w:r>
        <w:r>
          <w:t>947</w:t>
        </w:r>
        <w:r>
          <w:fldChar w:fldCharType="end"/>
        </w:r>
      </w:hyperlink>
    </w:p>
    <w:p w14:paraId="133A53A7" w14:textId="025525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90" w:history="1">
        <w:r w:rsidRPr="00533B68">
          <w:t>6305</w:t>
        </w:r>
        <w:r>
          <w:rPr>
            <w:rFonts w:asciiTheme="minorHAnsi" w:eastAsiaTheme="minorEastAsia" w:hAnsiTheme="minorHAnsi" w:cstheme="minorBidi"/>
            <w:kern w:val="2"/>
            <w:sz w:val="24"/>
            <w:szCs w:val="24"/>
            <w:lang w:eastAsia="en-AU"/>
            <w14:ligatures w14:val="standardContextual"/>
          </w:rPr>
          <w:tab/>
        </w:r>
        <w:r w:rsidRPr="00533B68">
          <w:t>Issue of commissions</w:t>
        </w:r>
        <w:r>
          <w:tab/>
        </w:r>
        <w:r>
          <w:fldChar w:fldCharType="begin"/>
        </w:r>
        <w:r>
          <w:instrText xml:space="preserve"> PAGEREF _Toc185515290 \h </w:instrText>
        </w:r>
        <w:r>
          <w:fldChar w:fldCharType="separate"/>
        </w:r>
        <w:r>
          <w:t>947</w:t>
        </w:r>
        <w:r>
          <w:fldChar w:fldCharType="end"/>
        </w:r>
      </w:hyperlink>
    </w:p>
    <w:p w14:paraId="3FA7E604" w14:textId="178452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91" w:history="1">
        <w:r w:rsidRPr="00533B68">
          <w:t>6306</w:t>
        </w:r>
        <w:r>
          <w:rPr>
            <w:rFonts w:asciiTheme="minorHAnsi" w:eastAsiaTheme="minorEastAsia" w:hAnsiTheme="minorHAnsi" w:cstheme="minorBidi"/>
            <w:kern w:val="2"/>
            <w:sz w:val="24"/>
            <w:szCs w:val="24"/>
            <w:lang w:eastAsia="en-AU"/>
            <w14:ligatures w14:val="standardContextual"/>
          </w:rPr>
          <w:tab/>
        </w:r>
        <w:r w:rsidRPr="00533B68">
          <w:t>Duplicate sealed etc documents</w:t>
        </w:r>
        <w:r>
          <w:tab/>
        </w:r>
        <w:r>
          <w:fldChar w:fldCharType="begin"/>
        </w:r>
        <w:r>
          <w:instrText xml:space="preserve"> PAGEREF _Toc185515291 \h </w:instrText>
        </w:r>
        <w:r>
          <w:fldChar w:fldCharType="separate"/>
        </w:r>
        <w:r>
          <w:t>948</w:t>
        </w:r>
        <w:r>
          <w:fldChar w:fldCharType="end"/>
        </w:r>
      </w:hyperlink>
    </w:p>
    <w:p w14:paraId="272FF1B5" w14:textId="4A6CA17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92" w:history="1">
        <w:r w:rsidRPr="00533B68">
          <w:t>6307</w:t>
        </w:r>
        <w:r>
          <w:rPr>
            <w:rFonts w:asciiTheme="minorHAnsi" w:eastAsiaTheme="minorEastAsia" w:hAnsiTheme="minorHAnsi" w:cstheme="minorBidi"/>
            <w:kern w:val="2"/>
            <w:sz w:val="24"/>
            <w:szCs w:val="24"/>
            <w:lang w:eastAsia="en-AU"/>
            <w14:ligatures w14:val="standardContextual"/>
          </w:rPr>
          <w:tab/>
        </w:r>
        <w:r w:rsidRPr="00533B68">
          <w:t>Delegation by registrar</w:t>
        </w:r>
        <w:r>
          <w:tab/>
        </w:r>
        <w:r>
          <w:fldChar w:fldCharType="begin"/>
        </w:r>
        <w:r>
          <w:instrText xml:space="preserve"> PAGEREF _Toc185515292 \h </w:instrText>
        </w:r>
        <w:r>
          <w:fldChar w:fldCharType="separate"/>
        </w:r>
        <w:r>
          <w:t>948</w:t>
        </w:r>
        <w:r>
          <w:fldChar w:fldCharType="end"/>
        </w:r>
      </w:hyperlink>
    </w:p>
    <w:p w14:paraId="755886D1" w14:textId="58FC535F"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93" w:history="1">
        <w:r w:rsidR="00AC5392" w:rsidRPr="00533B68">
          <w:t>Part 6.7</w:t>
        </w:r>
        <w:r w:rsidR="00AC5392">
          <w:rPr>
            <w:rFonts w:asciiTheme="minorHAnsi" w:eastAsiaTheme="minorEastAsia" w:hAnsiTheme="minorHAnsi" w:cstheme="minorBidi"/>
            <w:b w:val="0"/>
            <w:kern w:val="2"/>
            <w:szCs w:val="24"/>
            <w:lang w:eastAsia="en-AU"/>
            <w14:ligatures w14:val="standardContextual"/>
          </w:rPr>
          <w:tab/>
        </w:r>
        <w:r w:rsidR="00AC5392" w:rsidRPr="00533B68">
          <w:t>Time</w:t>
        </w:r>
        <w:r w:rsidR="00AC5392" w:rsidRPr="00AC5392">
          <w:rPr>
            <w:vanish/>
          </w:rPr>
          <w:tab/>
        </w:r>
        <w:r w:rsidR="00AC5392" w:rsidRPr="00AC5392">
          <w:rPr>
            <w:vanish/>
          </w:rPr>
          <w:fldChar w:fldCharType="begin"/>
        </w:r>
        <w:r w:rsidR="00AC5392" w:rsidRPr="00AC5392">
          <w:rPr>
            <w:vanish/>
          </w:rPr>
          <w:instrText xml:space="preserve"> PAGEREF _Toc185515293 \h </w:instrText>
        </w:r>
        <w:r w:rsidR="00AC5392" w:rsidRPr="00AC5392">
          <w:rPr>
            <w:vanish/>
          </w:rPr>
        </w:r>
        <w:r w:rsidR="00AC5392" w:rsidRPr="00AC5392">
          <w:rPr>
            <w:vanish/>
          </w:rPr>
          <w:fldChar w:fldCharType="separate"/>
        </w:r>
        <w:r w:rsidR="00AC5392" w:rsidRPr="00AC5392">
          <w:rPr>
            <w:vanish/>
          </w:rPr>
          <w:t>949</w:t>
        </w:r>
        <w:r w:rsidR="00AC5392" w:rsidRPr="00AC5392">
          <w:rPr>
            <w:vanish/>
          </w:rPr>
          <w:fldChar w:fldCharType="end"/>
        </w:r>
      </w:hyperlink>
    </w:p>
    <w:p w14:paraId="6038E680" w14:textId="447C0CC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94" w:history="1">
        <w:r w:rsidRPr="00533B68">
          <w:t>6350</w:t>
        </w:r>
        <w:r>
          <w:rPr>
            <w:rFonts w:asciiTheme="minorHAnsi" w:eastAsiaTheme="minorEastAsia" w:hAnsiTheme="minorHAnsi" w:cstheme="minorBidi"/>
            <w:kern w:val="2"/>
            <w:sz w:val="24"/>
            <w:szCs w:val="24"/>
            <w:lang w:eastAsia="en-AU"/>
            <w14:ligatures w14:val="standardContextual"/>
          </w:rPr>
          <w:tab/>
        </w:r>
        <w:r w:rsidRPr="00533B68">
          <w:t>Time—certain days excluded in working out</w:t>
        </w:r>
        <w:r>
          <w:tab/>
        </w:r>
        <w:r>
          <w:fldChar w:fldCharType="begin"/>
        </w:r>
        <w:r>
          <w:instrText xml:space="preserve"> PAGEREF _Toc185515294 \h </w:instrText>
        </w:r>
        <w:r>
          <w:fldChar w:fldCharType="separate"/>
        </w:r>
        <w:r>
          <w:t>949</w:t>
        </w:r>
        <w:r>
          <w:fldChar w:fldCharType="end"/>
        </w:r>
      </w:hyperlink>
    </w:p>
    <w:p w14:paraId="01EFAFF8" w14:textId="66031C5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95" w:history="1">
        <w:r w:rsidRPr="00533B68">
          <w:t>6351</w:t>
        </w:r>
        <w:r>
          <w:rPr>
            <w:rFonts w:asciiTheme="minorHAnsi" w:eastAsiaTheme="minorEastAsia" w:hAnsiTheme="minorHAnsi" w:cstheme="minorBidi"/>
            <w:kern w:val="2"/>
            <w:sz w:val="24"/>
            <w:szCs w:val="24"/>
            <w:lang w:eastAsia="en-AU"/>
            <w14:ligatures w14:val="standardContextual"/>
          </w:rPr>
          <w:tab/>
        </w:r>
        <w:r w:rsidRPr="00533B68">
          <w:t>Time—extending and shortening by court order</w:t>
        </w:r>
        <w:r>
          <w:tab/>
        </w:r>
        <w:r>
          <w:fldChar w:fldCharType="begin"/>
        </w:r>
        <w:r>
          <w:instrText xml:space="preserve"> PAGEREF _Toc185515295 \h </w:instrText>
        </w:r>
        <w:r>
          <w:fldChar w:fldCharType="separate"/>
        </w:r>
        <w:r>
          <w:t>949</w:t>
        </w:r>
        <w:r>
          <w:fldChar w:fldCharType="end"/>
        </w:r>
      </w:hyperlink>
    </w:p>
    <w:p w14:paraId="633E6D0C" w14:textId="2063EF1C"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296" w:history="1">
        <w:r w:rsidRPr="00533B68">
          <w:t>6352</w:t>
        </w:r>
        <w:r>
          <w:rPr>
            <w:rFonts w:asciiTheme="minorHAnsi" w:eastAsiaTheme="minorEastAsia" w:hAnsiTheme="minorHAnsi" w:cstheme="minorBidi"/>
            <w:kern w:val="2"/>
            <w:sz w:val="24"/>
            <w:szCs w:val="24"/>
            <w:lang w:eastAsia="en-AU"/>
            <w14:ligatures w14:val="standardContextual"/>
          </w:rPr>
          <w:tab/>
        </w:r>
        <w:r w:rsidRPr="00533B68">
          <w:t>Time—fixing by court order</w:t>
        </w:r>
        <w:r>
          <w:tab/>
        </w:r>
        <w:r>
          <w:fldChar w:fldCharType="begin"/>
        </w:r>
        <w:r>
          <w:instrText xml:space="preserve"> PAGEREF _Toc185515296 \h </w:instrText>
        </w:r>
        <w:r>
          <w:fldChar w:fldCharType="separate"/>
        </w:r>
        <w:r>
          <w:t>950</w:t>
        </w:r>
        <w:r>
          <w:fldChar w:fldCharType="end"/>
        </w:r>
      </w:hyperlink>
    </w:p>
    <w:p w14:paraId="6CEA48CA" w14:textId="4B7C0E6E"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297" w:history="1">
        <w:r w:rsidR="00AC5392" w:rsidRPr="00533B68">
          <w:t>Part 6.8</w:t>
        </w:r>
        <w:r w:rsidR="00AC5392">
          <w:rPr>
            <w:rFonts w:asciiTheme="minorHAnsi" w:eastAsiaTheme="minorEastAsia" w:hAnsiTheme="minorHAnsi" w:cstheme="minorBidi"/>
            <w:b w:val="0"/>
            <w:kern w:val="2"/>
            <w:szCs w:val="24"/>
            <w:lang w:eastAsia="en-AU"/>
            <w14:ligatures w14:val="standardContextual"/>
          </w:rPr>
          <w:tab/>
        </w:r>
        <w:r w:rsidR="00AC5392" w:rsidRPr="00533B68">
          <w:t>Service</w:t>
        </w:r>
        <w:r w:rsidR="00AC5392" w:rsidRPr="00AC5392">
          <w:rPr>
            <w:vanish/>
          </w:rPr>
          <w:tab/>
        </w:r>
        <w:r w:rsidR="00AC5392" w:rsidRPr="00AC5392">
          <w:rPr>
            <w:vanish/>
          </w:rPr>
          <w:fldChar w:fldCharType="begin"/>
        </w:r>
        <w:r w:rsidR="00AC5392" w:rsidRPr="00AC5392">
          <w:rPr>
            <w:vanish/>
          </w:rPr>
          <w:instrText xml:space="preserve"> PAGEREF _Toc185515297 \h </w:instrText>
        </w:r>
        <w:r w:rsidR="00AC5392" w:rsidRPr="00AC5392">
          <w:rPr>
            <w:vanish/>
          </w:rPr>
        </w:r>
        <w:r w:rsidR="00AC5392" w:rsidRPr="00AC5392">
          <w:rPr>
            <w:vanish/>
          </w:rPr>
          <w:fldChar w:fldCharType="separate"/>
        </w:r>
        <w:r w:rsidR="00AC5392" w:rsidRPr="00AC5392">
          <w:rPr>
            <w:vanish/>
          </w:rPr>
          <w:t>951</w:t>
        </w:r>
        <w:r w:rsidR="00AC5392" w:rsidRPr="00AC5392">
          <w:rPr>
            <w:vanish/>
          </w:rPr>
          <w:fldChar w:fldCharType="end"/>
        </w:r>
      </w:hyperlink>
    </w:p>
    <w:p w14:paraId="72F75FA5" w14:textId="7A14A35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298" w:history="1">
        <w:r w:rsidR="00AC5392" w:rsidRPr="00533B68">
          <w:t>Division 6.8.1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Service—preliminary</w:t>
        </w:r>
        <w:r w:rsidR="00AC5392" w:rsidRPr="00AC5392">
          <w:rPr>
            <w:vanish/>
          </w:rPr>
          <w:tab/>
        </w:r>
        <w:r w:rsidR="00AC5392" w:rsidRPr="00AC5392">
          <w:rPr>
            <w:vanish/>
          </w:rPr>
          <w:fldChar w:fldCharType="begin"/>
        </w:r>
        <w:r w:rsidR="00AC5392" w:rsidRPr="00AC5392">
          <w:rPr>
            <w:vanish/>
          </w:rPr>
          <w:instrText xml:space="preserve"> PAGEREF _Toc185515298 \h </w:instrText>
        </w:r>
        <w:r w:rsidR="00AC5392" w:rsidRPr="00AC5392">
          <w:rPr>
            <w:vanish/>
          </w:rPr>
        </w:r>
        <w:r w:rsidR="00AC5392" w:rsidRPr="00AC5392">
          <w:rPr>
            <w:vanish/>
          </w:rPr>
          <w:fldChar w:fldCharType="separate"/>
        </w:r>
        <w:r w:rsidR="00AC5392" w:rsidRPr="00AC5392">
          <w:rPr>
            <w:vanish/>
          </w:rPr>
          <w:t>951</w:t>
        </w:r>
        <w:r w:rsidR="00AC5392" w:rsidRPr="00AC5392">
          <w:rPr>
            <w:vanish/>
          </w:rPr>
          <w:fldChar w:fldCharType="end"/>
        </w:r>
      </w:hyperlink>
    </w:p>
    <w:p w14:paraId="171D3D4C" w14:textId="34D8B80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299" w:history="1">
        <w:r w:rsidRPr="00533B68">
          <w:t>6400</w:t>
        </w:r>
        <w:r>
          <w:rPr>
            <w:rFonts w:asciiTheme="minorHAnsi" w:eastAsiaTheme="minorEastAsia" w:hAnsiTheme="minorHAnsi" w:cstheme="minorBidi"/>
            <w:kern w:val="2"/>
            <w:sz w:val="24"/>
            <w:szCs w:val="24"/>
            <w:lang w:eastAsia="en-AU"/>
            <w14:ligatures w14:val="standardContextual"/>
          </w:rPr>
          <w:tab/>
        </w:r>
        <w:r w:rsidRPr="00533B68">
          <w:rPr>
            <w:lang w:val="en-US"/>
          </w:rPr>
          <w:t>Application—pt 6.8</w:t>
        </w:r>
        <w:r>
          <w:tab/>
        </w:r>
        <w:r>
          <w:fldChar w:fldCharType="begin"/>
        </w:r>
        <w:r>
          <w:instrText xml:space="preserve"> PAGEREF _Toc185515299 \h </w:instrText>
        </w:r>
        <w:r>
          <w:fldChar w:fldCharType="separate"/>
        </w:r>
        <w:r>
          <w:t>951</w:t>
        </w:r>
        <w:r>
          <w:fldChar w:fldCharType="end"/>
        </w:r>
      </w:hyperlink>
    </w:p>
    <w:p w14:paraId="57C545EE" w14:textId="79198B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00" w:history="1">
        <w:r w:rsidRPr="00533B68">
          <w:t>6401</w:t>
        </w:r>
        <w:r>
          <w:rPr>
            <w:rFonts w:asciiTheme="minorHAnsi" w:eastAsiaTheme="minorEastAsia" w:hAnsiTheme="minorHAnsi" w:cstheme="minorBidi"/>
            <w:kern w:val="2"/>
            <w:sz w:val="24"/>
            <w:szCs w:val="24"/>
            <w:lang w:eastAsia="en-AU"/>
            <w14:ligatures w14:val="standardContextual"/>
          </w:rPr>
          <w:tab/>
        </w:r>
        <w:r w:rsidRPr="00533B68">
          <w:rPr>
            <w:lang w:val="en-US"/>
          </w:rPr>
          <w:t>Service of filed documents</w:t>
        </w:r>
        <w:r>
          <w:tab/>
        </w:r>
        <w:r>
          <w:fldChar w:fldCharType="begin"/>
        </w:r>
        <w:r>
          <w:instrText xml:space="preserve"> PAGEREF _Toc185515300 \h </w:instrText>
        </w:r>
        <w:r>
          <w:fldChar w:fldCharType="separate"/>
        </w:r>
        <w:r>
          <w:t>952</w:t>
        </w:r>
        <w:r>
          <w:fldChar w:fldCharType="end"/>
        </w:r>
      </w:hyperlink>
    </w:p>
    <w:p w14:paraId="46189394" w14:textId="2774879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01" w:history="1">
        <w:r w:rsidR="00AC5392" w:rsidRPr="00533B68">
          <w:t>Division 6.8.2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Personal service</w:t>
        </w:r>
        <w:r w:rsidR="00AC5392" w:rsidRPr="00AC5392">
          <w:rPr>
            <w:vanish/>
          </w:rPr>
          <w:tab/>
        </w:r>
        <w:r w:rsidR="00AC5392" w:rsidRPr="00AC5392">
          <w:rPr>
            <w:vanish/>
          </w:rPr>
          <w:fldChar w:fldCharType="begin"/>
        </w:r>
        <w:r w:rsidR="00AC5392" w:rsidRPr="00AC5392">
          <w:rPr>
            <w:vanish/>
          </w:rPr>
          <w:instrText xml:space="preserve"> PAGEREF _Toc185515301 \h </w:instrText>
        </w:r>
        <w:r w:rsidR="00AC5392" w:rsidRPr="00AC5392">
          <w:rPr>
            <w:vanish/>
          </w:rPr>
        </w:r>
        <w:r w:rsidR="00AC5392" w:rsidRPr="00AC5392">
          <w:rPr>
            <w:vanish/>
          </w:rPr>
          <w:fldChar w:fldCharType="separate"/>
        </w:r>
        <w:r w:rsidR="00AC5392" w:rsidRPr="00AC5392">
          <w:rPr>
            <w:vanish/>
          </w:rPr>
          <w:t>952</w:t>
        </w:r>
        <w:r w:rsidR="00AC5392" w:rsidRPr="00AC5392">
          <w:rPr>
            <w:vanish/>
          </w:rPr>
          <w:fldChar w:fldCharType="end"/>
        </w:r>
      </w:hyperlink>
    </w:p>
    <w:p w14:paraId="37E25F9F" w14:textId="63F6C61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02" w:history="1">
        <w:r w:rsidRPr="00533B68">
          <w:t>6405</w:t>
        </w:r>
        <w:r>
          <w:rPr>
            <w:rFonts w:asciiTheme="minorHAnsi" w:eastAsiaTheme="minorEastAsia" w:hAnsiTheme="minorHAnsi" w:cstheme="minorBidi"/>
            <w:kern w:val="2"/>
            <w:sz w:val="24"/>
            <w:szCs w:val="24"/>
            <w:lang w:eastAsia="en-AU"/>
            <w14:ligatures w14:val="standardContextual"/>
          </w:rPr>
          <w:tab/>
        </w:r>
        <w:r w:rsidRPr="00533B68">
          <w:rPr>
            <w:lang w:val="en-US"/>
          </w:rPr>
          <w:t>How document is personally served</w:t>
        </w:r>
        <w:r>
          <w:tab/>
        </w:r>
        <w:r>
          <w:fldChar w:fldCharType="begin"/>
        </w:r>
        <w:r>
          <w:instrText xml:space="preserve"> PAGEREF _Toc185515302 \h </w:instrText>
        </w:r>
        <w:r>
          <w:fldChar w:fldCharType="separate"/>
        </w:r>
        <w:r>
          <w:t>952</w:t>
        </w:r>
        <w:r>
          <w:fldChar w:fldCharType="end"/>
        </w:r>
      </w:hyperlink>
    </w:p>
    <w:p w14:paraId="027B1BDA" w14:textId="74231B5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03" w:history="1">
        <w:r w:rsidR="00AC5392" w:rsidRPr="00533B68">
          <w:t>Division 6.8.3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Service—Magistrates Court</w:t>
        </w:r>
        <w:r w:rsidR="00AC5392" w:rsidRPr="00AC5392">
          <w:rPr>
            <w:vanish/>
          </w:rPr>
          <w:tab/>
        </w:r>
        <w:r w:rsidR="00AC5392" w:rsidRPr="00AC5392">
          <w:rPr>
            <w:vanish/>
          </w:rPr>
          <w:fldChar w:fldCharType="begin"/>
        </w:r>
        <w:r w:rsidR="00AC5392" w:rsidRPr="00AC5392">
          <w:rPr>
            <w:vanish/>
          </w:rPr>
          <w:instrText xml:space="preserve"> PAGEREF _Toc185515303 \h </w:instrText>
        </w:r>
        <w:r w:rsidR="00AC5392" w:rsidRPr="00AC5392">
          <w:rPr>
            <w:vanish/>
          </w:rPr>
        </w:r>
        <w:r w:rsidR="00AC5392" w:rsidRPr="00AC5392">
          <w:rPr>
            <w:vanish/>
          </w:rPr>
          <w:fldChar w:fldCharType="separate"/>
        </w:r>
        <w:r w:rsidR="00AC5392" w:rsidRPr="00AC5392">
          <w:rPr>
            <w:vanish/>
          </w:rPr>
          <w:t>953</w:t>
        </w:r>
        <w:r w:rsidR="00AC5392" w:rsidRPr="00AC5392">
          <w:rPr>
            <w:vanish/>
          </w:rPr>
          <w:fldChar w:fldCharType="end"/>
        </w:r>
      </w:hyperlink>
    </w:p>
    <w:p w14:paraId="47E81971" w14:textId="0D1A05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04" w:history="1">
        <w:r w:rsidRPr="00533B68">
          <w:t>6410</w:t>
        </w:r>
        <w:r>
          <w:rPr>
            <w:rFonts w:asciiTheme="minorHAnsi" w:eastAsiaTheme="minorEastAsia" w:hAnsiTheme="minorHAnsi" w:cstheme="minorBidi"/>
            <w:kern w:val="2"/>
            <w:sz w:val="24"/>
            <w:szCs w:val="24"/>
            <w:lang w:eastAsia="en-AU"/>
            <w14:ligatures w14:val="standardContextual"/>
          </w:rPr>
          <w:tab/>
        </w:r>
        <w:r w:rsidRPr="00533B68">
          <w:rPr>
            <w:lang w:val="en-US"/>
          </w:rPr>
          <w:t>Application—div 6.8.3</w:t>
        </w:r>
        <w:r>
          <w:tab/>
        </w:r>
        <w:r>
          <w:fldChar w:fldCharType="begin"/>
        </w:r>
        <w:r>
          <w:instrText xml:space="preserve"> PAGEREF _Toc185515304 \h </w:instrText>
        </w:r>
        <w:r>
          <w:fldChar w:fldCharType="separate"/>
        </w:r>
        <w:r>
          <w:t>953</w:t>
        </w:r>
        <w:r>
          <w:fldChar w:fldCharType="end"/>
        </w:r>
      </w:hyperlink>
    </w:p>
    <w:p w14:paraId="2E24D414" w14:textId="3A49FD2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05" w:history="1">
        <w:r w:rsidRPr="00533B68">
          <w:t>6411</w:t>
        </w:r>
        <w:r>
          <w:rPr>
            <w:rFonts w:asciiTheme="minorHAnsi" w:eastAsiaTheme="minorEastAsia" w:hAnsiTheme="minorHAnsi" w:cstheme="minorBidi"/>
            <w:kern w:val="2"/>
            <w:sz w:val="24"/>
            <w:szCs w:val="24"/>
            <w:lang w:eastAsia="en-AU"/>
            <w14:ligatures w14:val="standardContextual"/>
          </w:rPr>
          <w:tab/>
        </w:r>
        <w:r w:rsidRPr="00533B68">
          <w:rPr>
            <w:lang w:val="en-US"/>
          </w:rPr>
          <w:t>Service on individuals generally—Magistrates Court</w:t>
        </w:r>
        <w:r>
          <w:tab/>
        </w:r>
        <w:r>
          <w:fldChar w:fldCharType="begin"/>
        </w:r>
        <w:r>
          <w:instrText xml:space="preserve"> PAGEREF _Toc185515305 \h </w:instrText>
        </w:r>
        <w:r>
          <w:fldChar w:fldCharType="separate"/>
        </w:r>
        <w:r>
          <w:t>953</w:t>
        </w:r>
        <w:r>
          <w:fldChar w:fldCharType="end"/>
        </w:r>
      </w:hyperlink>
    </w:p>
    <w:p w14:paraId="55E8CD72" w14:textId="438121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06" w:history="1">
        <w:r w:rsidRPr="00533B68">
          <w:t>6412</w:t>
        </w:r>
        <w:r>
          <w:rPr>
            <w:rFonts w:asciiTheme="minorHAnsi" w:eastAsiaTheme="minorEastAsia" w:hAnsiTheme="minorHAnsi" w:cstheme="minorBidi"/>
            <w:kern w:val="2"/>
            <w:sz w:val="24"/>
            <w:szCs w:val="24"/>
            <w:lang w:eastAsia="en-AU"/>
            <w14:ligatures w14:val="standardContextual"/>
          </w:rPr>
          <w:tab/>
        </w:r>
        <w:r w:rsidRPr="00533B68">
          <w:t>Service of originating process by post—Magistrates Court</w:t>
        </w:r>
        <w:r>
          <w:tab/>
        </w:r>
        <w:r>
          <w:fldChar w:fldCharType="begin"/>
        </w:r>
        <w:r>
          <w:instrText xml:space="preserve"> PAGEREF _Toc185515306 \h </w:instrText>
        </w:r>
        <w:r>
          <w:fldChar w:fldCharType="separate"/>
        </w:r>
        <w:r>
          <w:t>954</w:t>
        </w:r>
        <w:r>
          <w:fldChar w:fldCharType="end"/>
        </w:r>
      </w:hyperlink>
    </w:p>
    <w:p w14:paraId="5F1E6182" w14:textId="4BE83F6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07" w:history="1">
        <w:r w:rsidRPr="00533B68">
          <w:t>6413</w:t>
        </w:r>
        <w:r>
          <w:rPr>
            <w:rFonts w:asciiTheme="minorHAnsi" w:eastAsiaTheme="minorEastAsia" w:hAnsiTheme="minorHAnsi" w:cstheme="minorBidi"/>
            <w:kern w:val="2"/>
            <w:sz w:val="24"/>
            <w:szCs w:val="24"/>
            <w:lang w:eastAsia="en-AU"/>
            <w14:ligatures w14:val="standardContextual"/>
          </w:rPr>
          <w:tab/>
        </w:r>
        <w:r w:rsidRPr="00533B68">
          <w:t>Doubtful service—Magistrates Court</w:t>
        </w:r>
        <w:r>
          <w:tab/>
        </w:r>
        <w:r>
          <w:fldChar w:fldCharType="begin"/>
        </w:r>
        <w:r>
          <w:instrText xml:space="preserve"> PAGEREF _Toc185515307 \h </w:instrText>
        </w:r>
        <w:r>
          <w:fldChar w:fldCharType="separate"/>
        </w:r>
        <w:r>
          <w:t>955</w:t>
        </w:r>
        <w:r>
          <w:fldChar w:fldCharType="end"/>
        </w:r>
      </w:hyperlink>
    </w:p>
    <w:p w14:paraId="2B8FA2ED" w14:textId="663C2746"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08" w:history="1">
        <w:r w:rsidR="00AC5392" w:rsidRPr="00533B68">
          <w:t>Division 6.8.4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Ordinary service</w:t>
        </w:r>
        <w:r w:rsidR="00AC5392" w:rsidRPr="00AC5392">
          <w:rPr>
            <w:vanish/>
          </w:rPr>
          <w:tab/>
        </w:r>
        <w:r w:rsidR="00AC5392" w:rsidRPr="00AC5392">
          <w:rPr>
            <w:vanish/>
          </w:rPr>
          <w:fldChar w:fldCharType="begin"/>
        </w:r>
        <w:r w:rsidR="00AC5392" w:rsidRPr="00AC5392">
          <w:rPr>
            <w:vanish/>
          </w:rPr>
          <w:instrText xml:space="preserve"> PAGEREF _Toc185515308 \h </w:instrText>
        </w:r>
        <w:r w:rsidR="00AC5392" w:rsidRPr="00AC5392">
          <w:rPr>
            <w:vanish/>
          </w:rPr>
        </w:r>
        <w:r w:rsidR="00AC5392" w:rsidRPr="00AC5392">
          <w:rPr>
            <w:vanish/>
          </w:rPr>
          <w:fldChar w:fldCharType="separate"/>
        </w:r>
        <w:r w:rsidR="00AC5392" w:rsidRPr="00AC5392">
          <w:rPr>
            <w:vanish/>
          </w:rPr>
          <w:t>956</w:t>
        </w:r>
        <w:r w:rsidR="00AC5392" w:rsidRPr="00AC5392">
          <w:rPr>
            <w:vanish/>
          </w:rPr>
          <w:fldChar w:fldCharType="end"/>
        </w:r>
      </w:hyperlink>
    </w:p>
    <w:p w14:paraId="406A2AC0" w14:textId="27D5FD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09" w:history="1">
        <w:r w:rsidRPr="00533B68">
          <w:t>6420</w:t>
        </w:r>
        <w:r>
          <w:rPr>
            <w:rFonts w:asciiTheme="minorHAnsi" w:eastAsiaTheme="minorEastAsia" w:hAnsiTheme="minorHAnsi" w:cstheme="minorBidi"/>
            <w:kern w:val="2"/>
            <w:sz w:val="24"/>
            <w:szCs w:val="24"/>
            <w:lang w:eastAsia="en-AU"/>
            <w14:ligatures w14:val="standardContextual"/>
          </w:rPr>
          <w:tab/>
        </w:r>
        <w:r w:rsidRPr="00533B68">
          <w:rPr>
            <w:lang w:val="en-US"/>
          </w:rPr>
          <w:t>Ordinary service—address for service</w:t>
        </w:r>
        <w:r>
          <w:tab/>
        </w:r>
        <w:r>
          <w:fldChar w:fldCharType="begin"/>
        </w:r>
        <w:r>
          <w:instrText xml:space="preserve"> PAGEREF _Toc185515309 \h </w:instrText>
        </w:r>
        <w:r>
          <w:fldChar w:fldCharType="separate"/>
        </w:r>
        <w:r>
          <w:t>956</w:t>
        </w:r>
        <w:r>
          <w:fldChar w:fldCharType="end"/>
        </w:r>
      </w:hyperlink>
    </w:p>
    <w:p w14:paraId="43F6DA9F" w14:textId="5758095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0" w:history="1">
        <w:r w:rsidRPr="00533B68">
          <w:t>6421</w:t>
        </w:r>
        <w:r>
          <w:rPr>
            <w:rFonts w:asciiTheme="minorHAnsi" w:eastAsiaTheme="minorEastAsia" w:hAnsiTheme="minorHAnsi" w:cstheme="minorBidi"/>
            <w:kern w:val="2"/>
            <w:sz w:val="24"/>
            <w:szCs w:val="24"/>
            <w:lang w:eastAsia="en-AU"/>
            <w14:ligatures w14:val="standardContextual"/>
          </w:rPr>
          <w:tab/>
        </w:r>
        <w:r w:rsidRPr="00533B68">
          <w:t>Service by filing</w:t>
        </w:r>
        <w:r>
          <w:tab/>
        </w:r>
        <w:r>
          <w:fldChar w:fldCharType="begin"/>
        </w:r>
        <w:r>
          <w:instrText xml:space="preserve"> PAGEREF _Toc185515310 \h </w:instrText>
        </w:r>
        <w:r>
          <w:fldChar w:fldCharType="separate"/>
        </w:r>
        <w:r>
          <w:t>957</w:t>
        </w:r>
        <w:r>
          <w:fldChar w:fldCharType="end"/>
        </w:r>
      </w:hyperlink>
    </w:p>
    <w:p w14:paraId="702DDB8D" w14:textId="46F1177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11" w:history="1">
        <w:r w:rsidR="00AC5392" w:rsidRPr="00533B68">
          <w:t>Division 6.8.5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Service—particular cases</w:t>
        </w:r>
        <w:r w:rsidR="00AC5392" w:rsidRPr="00AC5392">
          <w:rPr>
            <w:vanish/>
          </w:rPr>
          <w:tab/>
        </w:r>
        <w:r w:rsidR="00AC5392" w:rsidRPr="00AC5392">
          <w:rPr>
            <w:vanish/>
          </w:rPr>
          <w:fldChar w:fldCharType="begin"/>
        </w:r>
        <w:r w:rsidR="00AC5392" w:rsidRPr="00AC5392">
          <w:rPr>
            <w:vanish/>
          </w:rPr>
          <w:instrText xml:space="preserve"> PAGEREF _Toc185515311 \h </w:instrText>
        </w:r>
        <w:r w:rsidR="00AC5392" w:rsidRPr="00AC5392">
          <w:rPr>
            <w:vanish/>
          </w:rPr>
        </w:r>
        <w:r w:rsidR="00AC5392" w:rsidRPr="00AC5392">
          <w:rPr>
            <w:vanish/>
          </w:rPr>
          <w:fldChar w:fldCharType="separate"/>
        </w:r>
        <w:r w:rsidR="00AC5392" w:rsidRPr="00AC5392">
          <w:rPr>
            <w:vanish/>
          </w:rPr>
          <w:t>957</w:t>
        </w:r>
        <w:r w:rsidR="00AC5392" w:rsidRPr="00AC5392">
          <w:rPr>
            <w:vanish/>
          </w:rPr>
          <w:fldChar w:fldCharType="end"/>
        </w:r>
      </w:hyperlink>
    </w:p>
    <w:p w14:paraId="2A4CAF9A" w14:textId="676B6A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2" w:history="1">
        <w:r w:rsidRPr="00533B68">
          <w:t>6430</w:t>
        </w:r>
        <w:r>
          <w:rPr>
            <w:rFonts w:asciiTheme="minorHAnsi" w:eastAsiaTheme="minorEastAsia" w:hAnsiTheme="minorHAnsi" w:cstheme="minorBidi"/>
            <w:kern w:val="2"/>
            <w:sz w:val="24"/>
            <w:szCs w:val="24"/>
            <w:lang w:eastAsia="en-AU"/>
            <w14:ligatures w14:val="standardContextual"/>
          </w:rPr>
          <w:tab/>
        </w:r>
        <w:r w:rsidRPr="00533B68">
          <w:t>Service in Australia but outside ACT</w:t>
        </w:r>
        <w:r>
          <w:tab/>
        </w:r>
        <w:r>
          <w:fldChar w:fldCharType="begin"/>
        </w:r>
        <w:r>
          <w:instrText xml:space="preserve"> PAGEREF _Toc185515312 \h </w:instrText>
        </w:r>
        <w:r>
          <w:fldChar w:fldCharType="separate"/>
        </w:r>
        <w:r>
          <w:t>957</w:t>
        </w:r>
        <w:r>
          <w:fldChar w:fldCharType="end"/>
        </w:r>
      </w:hyperlink>
    </w:p>
    <w:p w14:paraId="5AF978B1" w14:textId="1ED17D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3" w:history="1">
        <w:r w:rsidRPr="00533B68">
          <w:t>6431</w:t>
        </w:r>
        <w:r>
          <w:rPr>
            <w:rFonts w:asciiTheme="minorHAnsi" w:eastAsiaTheme="minorEastAsia" w:hAnsiTheme="minorHAnsi" w:cstheme="minorBidi"/>
            <w:kern w:val="2"/>
            <w:sz w:val="24"/>
            <w:szCs w:val="24"/>
            <w:lang w:eastAsia="en-AU"/>
            <w14:ligatures w14:val="standardContextual"/>
          </w:rPr>
          <w:tab/>
        </w:r>
        <w:r w:rsidRPr="00533B68">
          <w:rPr>
            <w:lang w:val="en-US"/>
          </w:rPr>
          <w:t>Service on corporations—generally</w:t>
        </w:r>
        <w:r>
          <w:tab/>
        </w:r>
        <w:r>
          <w:fldChar w:fldCharType="begin"/>
        </w:r>
        <w:r>
          <w:instrText xml:space="preserve"> PAGEREF _Toc185515313 \h </w:instrText>
        </w:r>
        <w:r>
          <w:fldChar w:fldCharType="separate"/>
        </w:r>
        <w:r>
          <w:t>958</w:t>
        </w:r>
        <w:r>
          <w:fldChar w:fldCharType="end"/>
        </w:r>
      </w:hyperlink>
    </w:p>
    <w:p w14:paraId="2F97FEA9" w14:textId="65D3D09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4" w:history="1">
        <w:r w:rsidRPr="00533B68">
          <w:t>6432</w:t>
        </w:r>
        <w:r>
          <w:rPr>
            <w:rFonts w:asciiTheme="minorHAnsi" w:eastAsiaTheme="minorEastAsia" w:hAnsiTheme="minorHAnsi" w:cstheme="minorBidi"/>
            <w:kern w:val="2"/>
            <w:sz w:val="24"/>
            <w:szCs w:val="24"/>
            <w:lang w:eastAsia="en-AU"/>
            <w14:ligatures w14:val="standardContextual"/>
          </w:rPr>
          <w:tab/>
        </w:r>
        <w:r w:rsidRPr="00533B68">
          <w:rPr>
            <w:lang w:val="en-US"/>
          </w:rPr>
          <w:t>Service on corporations—additional ways for all corporations</w:t>
        </w:r>
        <w:r>
          <w:tab/>
        </w:r>
        <w:r>
          <w:fldChar w:fldCharType="begin"/>
        </w:r>
        <w:r>
          <w:instrText xml:space="preserve"> PAGEREF _Toc185515314 \h </w:instrText>
        </w:r>
        <w:r>
          <w:fldChar w:fldCharType="separate"/>
        </w:r>
        <w:r>
          <w:t>959</w:t>
        </w:r>
        <w:r>
          <w:fldChar w:fldCharType="end"/>
        </w:r>
      </w:hyperlink>
    </w:p>
    <w:p w14:paraId="7511637F" w14:textId="09F687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5" w:history="1">
        <w:r w:rsidRPr="00533B68">
          <w:t>6433</w:t>
        </w:r>
        <w:r>
          <w:rPr>
            <w:rFonts w:asciiTheme="minorHAnsi" w:eastAsiaTheme="minorEastAsia" w:hAnsiTheme="minorHAnsi" w:cstheme="minorBidi"/>
            <w:kern w:val="2"/>
            <w:sz w:val="24"/>
            <w:szCs w:val="24"/>
            <w:lang w:eastAsia="en-AU"/>
            <w14:ligatures w14:val="standardContextual"/>
          </w:rPr>
          <w:tab/>
        </w:r>
        <w:r w:rsidRPr="00533B68">
          <w:rPr>
            <w:lang w:val="en-US"/>
          </w:rPr>
          <w:t>Service of originating process on partnership</w:t>
        </w:r>
        <w:r>
          <w:tab/>
        </w:r>
        <w:r>
          <w:fldChar w:fldCharType="begin"/>
        </w:r>
        <w:r>
          <w:instrText xml:space="preserve"> PAGEREF _Toc185515315 \h </w:instrText>
        </w:r>
        <w:r>
          <w:fldChar w:fldCharType="separate"/>
        </w:r>
        <w:r>
          <w:t>960</w:t>
        </w:r>
        <w:r>
          <w:fldChar w:fldCharType="end"/>
        </w:r>
      </w:hyperlink>
    </w:p>
    <w:p w14:paraId="3722F1A1" w14:textId="51B729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6" w:history="1">
        <w:r w:rsidRPr="00533B68">
          <w:t>6434</w:t>
        </w:r>
        <w:r>
          <w:rPr>
            <w:rFonts w:asciiTheme="minorHAnsi" w:eastAsiaTheme="minorEastAsia" w:hAnsiTheme="minorHAnsi" w:cstheme="minorBidi"/>
            <w:kern w:val="2"/>
            <w:sz w:val="24"/>
            <w:szCs w:val="24"/>
            <w:lang w:eastAsia="en-AU"/>
            <w14:ligatures w14:val="standardContextual"/>
          </w:rPr>
          <w:tab/>
        </w:r>
        <w:r w:rsidRPr="00533B68">
          <w:t>Service on defendant operating under business name</w:t>
        </w:r>
        <w:r>
          <w:tab/>
        </w:r>
        <w:r>
          <w:fldChar w:fldCharType="begin"/>
        </w:r>
        <w:r>
          <w:instrText xml:space="preserve"> PAGEREF _Toc185515316 \h </w:instrText>
        </w:r>
        <w:r>
          <w:fldChar w:fldCharType="separate"/>
        </w:r>
        <w:r>
          <w:t>961</w:t>
        </w:r>
        <w:r>
          <w:fldChar w:fldCharType="end"/>
        </w:r>
      </w:hyperlink>
    </w:p>
    <w:p w14:paraId="529C75F1" w14:textId="7AAD10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7" w:history="1">
        <w:r w:rsidRPr="00533B68">
          <w:t>6435</w:t>
        </w:r>
        <w:r>
          <w:rPr>
            <w:rFonts w:asciiTheme="minorHAnsi" w:eastAsiaTheme="minorEastAsia" w:hAnsiTheme="minorHAnsi" w:cstheme="minorBidi"/>
            <w:kern w:val="2"/>
            <w:sz w:val="24"/>
            <w:szCs w:val="24"/>
            <w:lang w:eastAsia="en-AU"/>
            <w14:ligatures w14:val="standardContextual"/>
          </w:rPr>
          <w:tab/>
        </w:r>
        <w:r w:rsidRPr="00533B68">
          <w:rPr>
            <w:lang w:val="en-US"/>
          </w:rPr>
          <w:t>Service on children</w:t>
        </w:r>
        <w:r>
          <w:tab/>
        </w:r>
        <w:r>
          <w:fldChar w:fldCharType="begin"/>
        </w:r>
        <w:r>
          <w:instrText xml:space="preserve"> PAGEREF _Toc185515317 \h </w:instrText>
        </w:r>
        <w:r>
          <w:fldChar w:fldCharType="separate"/>
        </w:r>
        <w:r>
          <w:t>962</w:t>
        </w:r>
        <w:r>
          <w:fldChar w:fldCharType="end"/>
        </w:r>
      </w:hyperlink>
    </w:p>
    <w:p w14:paraId="57659131" w14:textId="5C6222A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8" w:history="1">
        <w:r w:rsidRPr="00533B68">
          <w:t>6436</w:t>
        </w:r>
        <w:r>
          <w:rPr>
            <w:rFonts w:asciiTheme="minorHAnsi" w:eastAsiaTheme="minorEastAsia" w:hAnsiTheme="minorHAnsi" w:cstheme="minorBidi"/>
            <w:kern w:val="2"/>
            <w:sz w:val="24"/>
            <w:szCs w:val="24"/>
            <w:lang w:eastAsia="en-AU"/>
            <w14:ligatures w14:val="standardContextual"/>
          </w:rPr>
          <w:tab/>
        </w:r>
        <w:r w:rsidRPr="00533B68">
          <w:rPr>
            <w:lang w:val="en-US"/>
          </w:rPr>
          <w:t>Service on people with mental disabilities</w:t>
        </w:r>
        <w:r>
          <w:tab/>
        </w:r>
        <w:r>
          <w:fldChar w:fldCharType="begin"/>
        </w:r>
        <w:r>
          <w:instrText xml:space="preserve"> PAGEREF _Toc185515318 \h </w:instrText>
        </w:r>
        <w:r>
          <w:fldChar w:fldCharType="separate"/>
        </w:r>
        <w:r>
          <w:t>963</w:t>
        </w:r>
        <w:r>
          <w:fldChar w:fldCharType="end"/>
        </w:r>
      </w:hyperlink>
    </w:p>
    <w:p w14:paraId="6E7FDB31" w14:textId="3BD9657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19" w:history="1">
        <w:r w:rsidRPr="00533B68">
          <w:t>6437</w:t>
        </w:r>
        <w:r>
          <w:rPr>
            <w:rFonts w:asciiTheme="minorHAnsi" w:eastAsiaTheme="minorEastAsia" w:hAnsiTheme="minorHAnsi" w:cstheme="minorBidi"/>
            <w:kern w:val="2"/>
            <w:sz w:val="24"/>
            <w:szCs w:val="24"/>
            <w:lang w:eastAsia="en-AU"/>
            <w14:ligatures w14:val="standardContextual"/>
          </w:rPr>
          <w:tab/>
        </w:r>
        <w:r w:rsidRPr="00533B68">
          <w:rPr>
            <w:lang w:val="en-US"/>
          </w:rPr>
          <w:t>Service on detainees</w:t>
        </w:r>
        <w:r>
          <w:tab/>
        </w:r>
        <w:r>
          <w:fldChar w:fldCharType="begin"/>
        </w:r>
        <w:r>
          <w:instrText xml:space="preserve"> PAGEREF _Toc185515319 \h </w:instrText>
        </w:r>
        <w:r>
          <w:fldChar w:fldCharType="separate"/>
        </w:r>
        <w:r>
          <w:t>963</w:t>
        </w:r>
        <w:r>
          <w:fldChar w:fldCharType="end"/>
        </w:r>
      </w:hyperlink>
    </w:p>
    <w:p w14:paraId="3A08D133" w14:textId="1E169A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20" w:history="1">
        <w:r w:rsidRPr="00533B68">
          <w:t>6438</w:t>
        </w:r>
        <w:r>
          <w:rPr>
            <w:rFonts w:asciiTheme="minorHAnsi" w:eastAsiaTheme="minorEastAsia" w:hAnsiTheme="minorHAnsi" w:cstheme="minorBidi"/>
            <w:kern w:val="2"/>
            <w:sz w:val="24"/>
            <w:szCs w:val="24"/>
            <w:lang w:eastAsia="en-AU"/>
            <w14:ligatures w14:val="standardContextual"/>
          </w:rPr>
          <w:tab/>
        </w:r>
        <w:r w:rsidRPr="00533B68">
          <w:rPr>
            <w:lang w:val="en-US"/>
          </w:rPr>
          <w:t>Service if no-one found at party’s address for service</w:t>
        </w:r>
        <w:r>
          <w:tab/>
        </w:r>
        <w:r>
          <w:fldChar w:fldCharType="begin"/>
        </w:r>
        <w:r>
          <w:instrText xml:space="preserve"> PAGEREF _Toc185515320 \h </w:instrText>
        </w:r>
        <w:r>
          <w:fldChar w:fldCharType="separate"/>
        </w:r>
        <w:r>
          <w:t>964</w:t>
        </w:r>
        <w:r>
          <w:fldChar w:fldCharType="end"/>
        </w:r>
      </w:hyperlink>
    </w:p>
    <w:p w14:paraId="7F4E68AA" w14:textId="6440DEB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21" w:history="1">
        <w:r w:rsidRPr="00533B68">
          <w:t>6439</w:t>
        </w:r>
        <w:r>
          <w:rPr>
            <w:rFonts w:asciiTheme="minorHAnsi" w:eastAsiaTheme="minorEastAsia" w:hAnsiTheme="minorHAnsi" w:cstheme="minorBidi"/>
            <w:kern w:val="2"/>
            <w:sz w:val="24"/>
            <w:szCs w:val="24"/>
            <w:lang w:eastAsia="en-AU"/>
            <w14:ligatures w14:val="standardContextual"/>
          </w:rPr>
          <w:tab/>
        </w:r>
        <w:r w:rsidRPr="00533B68">
          <w:rPr>
            <w:lang w:val="en-US"/>
          </w:rPr>
          <w:t>Service of originating application to recover unoccupied land</w:t>
        </w:r>
        <w:r>
          <w:tab/>
        </w:r>
        <w:r>
          <w:fldChar w:fldCharType="begin"/>
        </w:r>
        <w:r>
          <w:instrText xml:space="preserve"> PAGEREF _Toc185515321 \h </w:instrText>
        </w:r>
        <w:r>
          <w:fldChar w:fldCharType="separate"/>
        </w:r>
        <w:r>
          <w:t>965</w:t>
        </w:r>
        <w:r>
          <w:fldChar w:fldCharType="end"/>
        </w:r>
      </w:hyperlink>
    </w:p>
    <w:p w14:paraId="7E124B79" w14:textId="6B39CE5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22" w:history="1">
        <w:r w:rsidR="00AC5392" w:rsidRPr="00533B68">
          <w:t>Division 6.8.6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Time of service</w:t>
        </w:r>
        <w:r w:rsidR="00AC5392" w:rsidRPr="00AC5392">
          <w:rPr>
            <w:vanish/>
          </w:rPr>
          <w:tab/>
        </w:r>
        <w:r w:rsidR="00AC5392" w:rsidRPr="00AC5392">
          <w:rPr>
            <w:vanish/>
          </w:rPr>
          <w:fldChar w:fldCharType="begin"/>
        </w:r>
        <w:r w:rsidR="00AC5392" w:rsidRPr="00AC5392">
          <w:rPr>
            <w:vanish/>
          </w:rPr>
          <w:instrText xml:space="preserve"> PAGEREF _Toc185515322 \h </w:instrText>
        </w:r>
        <w:r w:rsidR="00AC5392" w:rsidRPr="00AC5392">
          <w:rPr>
            <w:vanish/>
          </w:rPr>
        </w:r>
        <w:r w:rsidR="00AC5392" w:rsidRPr="00AC5392">
          <w:rPr>
            <w:vanish/>
          </w:rPr>
          <w:fldChar w:fldCharType="separate"/>
        </w:r>
        <w:r w:rsidR="00AC5392" w:rsidRPr="00AC5392">
          <w:rPr>
            <w:vanish/>
          </w:rPr>
          <w:t>966</w:t>
        </w:r>
        <w:r w:rsidR="00AC5392" w:rsidRPr="00AC5392">
          <w:rPr>
            <w:vanish/>
          </w:rPr>
          <w:fldChar w:fldCharType="end"/>
        </w:r>
      </w:hyperlink>
    </w:p>
    <w:p w14:paraId="1EE65BC4" w14:textId="27ABF92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23" w:history="1">
        <w:r w:rsidRPr="00533B68">
          <w:t>6450</w:t>
        </w:r>
        <w:r>
          <w:rPr>
            <w:rFonts w:asciiTheme="minorHAnsi" w:eastAsiaTheme="minorEastAsia" w:hAnsiTheme="minorHAnsi" w:cstheme="minorBidi"/>
            <w:kern w:val="2"/>
            <w:sz w:val="24"/>
            <w:szCs w:val="24"/>
            <w:lang w:eastAsia="en-AU"/>
            <w14:ligatures w14:val="standardContextual"/>
          </w:rPr>
          <w:tab/>
        </w:r>
        <w:r w:rsidRPr="00533B68">
          <w:rPr>
            <w:lang w:val="en-US"/>
          </w:rPr>
          <w:t>Time of service at address for service</w:t>
        </w:r>
        <w:r>
          <w:tab/>
        </w:r>
        <w:r>
          <w:fldChar w:fldCharType="begin"/>
        </w:r>
        <w:r>
          <w:instrText xml:space="preserve"> PAGEREF _Toc185515323 \h </w:instrText>
        </w:r>
        <w:r>
          <w:fldChar w:fldCharType="separate"/>
        </w:r>
        <w:r>
          <w:t>966</w:t>
        </w:r>
        <w:r>
          <w:fldChar w:fldCharType="end"/>
        </w:r>
      </w:hyperlink>
    </w:p>
    <w:p w14:paraId="065B3CF5" w14:textId="12584C5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24" w:history="1">
        <w:r w:rsidR="00AC5392" w:rsidRPr="00533B68">
          <w:t>Division 6.8.7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rPr>
            <w:lang w:val="en-US"/>
          </w:rPr>
          <w:t>Service—other</w:t>
        </w:r>
        <w:r w:rsidR="00AC5392" w:rsidRPr="00AC5392">
          <w:rPr>
            <w:vanish/>
          </w:rPr>
          <w:tab/>
        </w:r>
        <w:r w:rsidR="00AC5392" w:rsidRPr="00AC5392">
          <w:rPr>
            <w:vanish/>
          </w:rPr>
          <w:fldChar w:fldCharType="begin"/>
        </w:r>
        <w:r w:rsidR="00AC5392" w:rsidRPr="00AC5392">
          <w:rPr>
            <w:vanish/>
          </w:rPr>
          <w:instrText xml:space="preserve"> PAGEREF _Toc185515324 \h </w:instrText>
        </w:r>
        <w:r w:rsidR="00AC5392" w:rsidRPr="00AC5392">
          <w:rPr>
            <w:vanish/>
          </w:rPr>
        </w:r>
        <w:r w:rsidR="00AC5392" w:rsidRPr="00AC5392">
          <w:rPr>
            <w:vanish/>
          </w:rPr>
          <w:fldChar w:fldCharType="separate"/>
        </w:r>
        <w:r w:rsidR="00AC5392" w:rsidRPr="00AC5392">
          <w:rPr>
            <w:vanish/>
          </w:rPr>
          <w:t>967</w:t>
        </w:r>
        <w:r w:rsidR="00AC5392" w:rsidRPr="00AC5392">
          <w:rPr>
            <w:vanish/>
          </w:rPr>
          <w:fldChar w:fldCharType="end"/>
        </w:r>
      </w:hyperlink>
    </w:p>
    <w:p w14:paraId="753E32CE" w14:textId="0B831B2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25" w:history="1">
        <w:r w:rsidRPr="00533B68">
          <w:t>6460</w:t>
        </w:r>
        <w:r>
          <w:rPr>
            <w:rFonts w:asciiTheme="minorHAnsi" w:eastAsiaTheme="minorEastAsia" w:hAnsiTheme="minorHAnsi" w:cstheme="minorBidi"/>
            <w:kern w:val="2"/>
            <w:sz w:val="24"/>
            <w:szCs w:val="24"/>
            <w:lang w:eastAsia="en-AU"/>
            <w14:ligatures w14:val="standardContextual"/>
          </w:rPr>
          <w:tab/>
        </w:r>
        <w:r w:rsidRPr="00533B68">
          <w:rPr>
            <w:lang w:val="en-US"/>
          </w:rPr>
          <w:t>Substituted service</w:t>
        </w:r>
        <w:r>
          <w:tab/>
        </w:r>
        <w:r>
          <w:fldChar w:fldCharType="begin"/>
        </w:r>
        <w:r>
          <w:instrText xml:space="preserve"> PAGEREF _Toc185515325 \h </w:instrText>
        </w:r>
        <w:r>
          <w:fldChar w:fldCharType="separate"/>
        </w:r>
        <w:r>
          <w:t>967</w:t>
        </w:r>
        <w:r>
          <w:fldChar w:fldCharType="end"/>
        </w:r>
      </w:hyperlink>
    </w:p>
    <w:p w14:paraId="6E3004B1" w14:textId="3FB4640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26" w:history="1">
        <w:r w:rsidRPr="00533B68">
          <w:t>6461</w:t>
        </w:r>
        <w:r>
          <w:rPr>
            <w:rFonts w:asciiTheme="minorHAnsi" w:eastAsiaTheme="minorEastAsia" w:hAnsiTheme="minorHAnsi" w:cstheme="minorBidi"/>
            <w:kern w:val="2"/>
            <w:sz w:val="24"/>
            <w:szCs w:val="24"/>
            <w:lang w:eastAsia="en-AU"/>
            <w14:ligatures w14:val="standardContextual"/>
          </w:rPr>
          <w:tab/>
        </w:r>
        <w:r w:rsidRPr="00533B68">
          <w:rPr>
            <w:lang w:val="en-US"/>
          </w:rPr>
          <w:t>Informal service</w:t>
        </w:r>
        <w:r>
          <w:tab/>
        </w:r>
        <w:r>
          <w:fldChar w:fldCharType="begin"/>
        </w:r>
        <w:r>
          <w:instrText xml:space="preserve"> PAGEREF _Toc185515326 \h </w:instrText>
        </w:r>
        <w:r>
          <w:fldChar w:fldCharType="separate"/>
        </w:r>
        <w:r>
          <w:t>968</w:t>
        </w:r>
        <w:r>
          <w:fldChar w:fldCharType="end"/>
        </w:r>
      </w:hyperlink>
    </w:p>
    <w:p w14:paraId="4330DDE1" w14:textId="066F47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27" w:history="1">
        <w:r w:rsidRPr="00533B68">
          <w:t>6462</w:t>
        </w:r>
        <w:r>
          <w:rPr>
            <w:rFonts w:asciiTheme="minorHAnsi" w:eastAsiaTheme="minorEastAsia" w:hAnsiTheme="minorHAnsi" w:cstheme="minorBidi"/>
            <w:kern w:val="2"/>
            <w:sz w:val="24"/>
            <w:szCs w:val="24"/>
            <w:lang w:eastAsia="en-AU"/>
            <w14:ligatures w14:val="standardContextual"/>
          </w:rPr>
          <w:tab/>
        </w:r>
        <w:r w:rsidRPr="00533B68">
          <w:rPr>
            <w:lang w:val="en-US"/>
          </w:rPr>
          <w:t>Service on agent</w:t>
        </w:r>
        <w:r>
          <w:tab/>
        </w:r>
        <w:r>
          <w:fldChar w:fldCharType="begin"/>
        </w:r>
        <w:r>
          <w:instrText xml:space="preserve"> PAGEREF _Toc185515327 \h </w:instrText>
        </w:r>
        <w:r>
          <w:fldChar w:fldCharType="separate"/>
        </w:r>
        <w:r>
          <w:t>968</w:t>
        </w:r>
        <w:r>
          <w:fldChar w:fldCharType="end"/>
        </w:r>
      </w:hyperlink>
    </w:p>
    <w:p w14:paraId="44BCEA03" w14:textId="760C43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28" w:history="1">
        <w:r w:rsidRPr="00533B68">
          <w:t>6463</w:t>
        </w:r>
        <w:r>
          <w:rPr>
            <w:rFonts w:asciiTheme="minorHAnsi" w:eastAsiaTheme="minorEastAsia" w:hAnsiTheme="minorHAnsi" w:cstheme="minorBidi"/>
            <w:kern w:val="2"/>
            <w:sz w:val="24"/>
            <w:szCs w:val="24"/>
            <w:lang w:eastAsia="en-AU"/>
            <w14:ligatures w14:val="standardContextual"/>
          </w:rPr>
          <w:tab/>
        </w:r>
        <w:r w:rsidRPr="00533B68">
          <w:rPr>
            <w:lang w:val="en-US"/>
          </w:rPr>
          <w:t>Service under contract</w:t>
        </w:r>
        <w:r>
          <w:tab/>
        </w:r>
        <w:r>
          <w:fldChar w:fldCharType="begin"/>
        </w:r>
        <w:r>
          <w:instrText xml:space="preserve"> PAGEREF _Toc185515328 \h </w:instrText>
        </w:r>
        <w:r>
          <w:fldChar w:fldCharType="separate"/>
        </w:r>
        <w:r>
          <w:t>969</w:t>
        </w:r>
        <w:r>
          <w:fldChar w:fldCharType="end"/>
        </w:r>
      </w:hyperlink>
    </w:p>
    <w:p w14:paraId="1E6A56CC" w14:textId="4F7CDD85"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329" w:history="1">
        <w:r w:rsidRPr="00533B68">
          <w:t>6464</w:t>
        </w:r>
        <w:r>
          <w:rPr>
            <w:rFonts w:asciiTheme="minorHAnsi" w:eastAsiaTheme="minorEastAsia" w:hAnsiTheme="minorHAnsi" w:cstheme="minorBidi"/>
            <w:kern w:val="2"/>
            <w:sz w:val="24"/>
            <w:szCs w:val="24"/>
            <w:lang w:eastAsia="en-AU"/>
            <w14:ligatures w14:val="standardContextual"/>
          </w:rPr>
          <w:tab/>
        </w:r>
        <w:r w:rsidRPr="00533B68">
          <w:rPr>
            <w:lang w:val="en-US"/>
          </w:rPr>
          <w:t>Acceptance of service by solicitor</w:t>
        </w:r>
        <w:r>
          <w:tab/>
        </w:r>
        <w:r>
          <w:fldChar w:fldCharType="begin"/>
        </w:r>
        <w:r>
          <w:instrText xml:space="preserve"> PAGEREF _Toc185515329 \h </w:instrText>
        </w:r>
        <w:r>
          <w:fldChar w:fldCharType="separate"/>
        </w:r>
        <w:r>
          <w:t>969</w:t>
        </w:r>
        <w:r>
          <w:fldChar w:fldCharType="end"/>
        </w:r>
      </w:hyperlink>
    </w:p>
    <w:p w14:paraId="7090A48D" w14:textId="044B071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0" w:history="1">
        <w:r w:rsidRPr="00533B68">
          <w:t>6465</w:t>
        </w:r>
        <w:r>
          <w:rPr>
            <w:rFonts w:asciiTheme="minorHAnsi" w:eastAsiaTheme="minorEastAsia" w:hAnsiTheme="minorHAnsi" w:cstheme="minorBidi"/>
            <w:kern w:val="2"/>
            <w:sz w:val="24"/>
            <w:szCs w:val="24"/>
            <w:lang w:eastAsia="en-AU"/>
            <w14:ligatures w14:val="standardContextual"/>
          </w:rPr>
          <w:tab/>
        </w:r>
        <w:r w:rsidRPr="00533B68">
          <w:rPr>
            <w:lang w:val="en-US"/>
          </w:rPr>
          <w:t>Special requirements for service by fax</w:t>
        </w:r>
        <w:r>
          <w:tab/>
        </w:r>
        <w:r>
          <w:fldChar w:fldCharType="begin"/>
        </w:r>
        <w:r>
          <w:instrText xml:space="preserve"> PAGEREF _Toc185515330 \h </w:instrText>
        </w:r>
        <w:r>
          <w:fldChar w:fldCharType="separate"/>
        </w:r>
        <w:r>
          <w:t>970</w:t>
        </w:r>
        <w:r>
          <w:fldChar w:fldCharType="end"/>
        </w:r>
      </w:hyperlink>
    </w:p>
    <w:p w14:paraId="7805AA42" w14:textId="4D5CCE8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1" w:history="1">
        <w:r w:rsidRPr="00533B68">
          <w:t>6466</w:t>
        </w:r>
        <w:r>
          <w:rPr>
            <w:rFonts w:asciiTheme="minorHAnsi" w:eastAsiaTheme="minorEastAsia" w:hAnsiTheme="minorHAnsi" w:cstheme="minorBidi"/>
            <w:kern w:val="2"/>
            <w:sz w:val="24"/>
            <w:szCs w:val="24"/>
            <w:lang w:eastAsia="en-AU"/>
            <w14:ligatures w14:val="standardContextual"/>
          </w:rPr>
          <w:tab/>
        </w:r>
        <w:r w:rsidRPr="00533B68">
          <w:rPr>
            <w:lang w:val="en-US"/>
          </w:rPr>
          <w:t>Email service—other matters</w:t>
        </w:r>
        <w:r>
          <w:tab/>
        </w:r>
        <w:r>
          <w:fldChar w:fldCharType="begin"/>
        </w:r>
        <w:r>
          <w:instrText xml:space="preserve"> PAGEREF _Toc185515331 \h </w:instrText>
        </w:r>
        <w:r>
          <w:fldChar w:fldCharType="separate"/>
        </w:r>
        <w:r>
          <w:t>970</w:t>
        </w:r>
        <w:r>
          <w:fldChar w:fldCharType="end"/>
        </w:r>
      </w:hyperlink>
    </w:p>
    <w:p w14:paraId="0C619BB1" w14:textId="7C6C1FE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2" w:history="1">
        <w:r w:rsidRPr="00533B68">
          <w:t>6467</w:t>
        </w:r>
        <w:r>
          <w:rPr>
            <w:rFonts w:asciiTheme="minorHAnsi" w:eastAsiaTheme="minorEastAsia" w:hAnsiTheme="minorHAnsi" w:cstheme="minorBidi"/>
            <w:kern w:val="2"/>
            <w:sz w:val="24"/>
            <w:szCs w:val="24"/>
            <w:lang w:eastAsia="en-AU"/>
            <w14:ligatures w14:val="standardContextual"/>
          </w:rPr>
          <w:tab/>
        </w:r>
        <w:r w:rsidRPr="00533B68">
          <w:rPr>
            <w:lang w:val="en-US"/>
          </w:rPr>
          <w:t>Proof of service</w:t>
        </w:r>
        <w:r>
          <w:tab/>
        </w:r>
        <w:r>
          <w:fldChar w:fldCharType="begin"/>
        </w:r>
        <w:r>
          <w:instrText xml:space="preserve"> PAGEREF _Toc185515332 \h </w:instrText>
        </w:r>
        <w:r>
          <w:fldChar w:fldCharType="separate"/>
        </w:r>
        <w:r>
          <w:t>972</w:t>
        </w:r>
        <w:r>
          <w:fldChar w:fldCharType="end"/>
        </w:r>
      </w:hyperlink>
    </w:p>
    <w:p w14:paraId="179E9691" w14:textId="5B11D63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3" w:history="1">
        <w:r w:rsidRPr="00533B68">
          <w:t>6468</w:t>
        </w:r>
        <w:r>
          <w:rPr>
            <w:rFonts w:asciiTheme="minorHAnsi" w:eastAsiaTheme="minorEastAsia" w:hAnsiTheme="minorHAnsi" w:cstheme="minorBidi"/>
            <w:kern w:val="2"/>
            <w:sz w:val="24"/>
            <w:szCs w:val="24"/>
            <w:lang w:eastAsia="en-AU"/>
            <w14:ligatures w14:val="standardContextual"/>
          </w:rPr>
          <w:tab/>
        </w:r>
        <w:r w:rsidRPr="00533B68">
          <w:rPr>
            <w:lang w:val="en-US"/>
          </w:rPr>
          <w:t>Identity of person served</w:t>
        </w:r>
        <w:r>
          <w:tab/>
        </w:r>
        <w:r>
          <w:fldChar w:fldCharType="begin"/>
        </w:r>
        <w:r>
          <w:instrText xml:space="preserve"> PAGEREF _Toc185515333 \h </w:instrText>
        </w:r>
        <w:r>
          <w:fldChar w:fldCharType="separate"/>
        </w:r>
        <w:r>
          <w:t>974</w:t>
        </w:r>
        <w:r>
          <w:fldChar w:fldCharType="end"/>
        </w:r>
      </w:hyperlink>
    </w:p>
    <w:p w14:paraId="3A02F42B" w14:textId="5653AD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4" w:history="1">
        <w:r w:rsidRPr="00533B68">
          <w:t>6469</w:t>
        </w:r>
        <w:r>
          <w:rPr>
            <w:rFonts w:asciiTheme="minorHAnsi" w:eastAsiaTheme="minorEastAsia" w:hAnsiTheme="minorHAnsi" w:cstheme="minorBidi"/>
            <w:kern w:val="2"/>
            <w:sz w:val="24"/>
            <w:szCs w:val="24"/>
            <w:lang w:eastAsia="en-AU"/>
            <w14:ligatures w14:val="standardContextual"/>
          </w:rPr>
          <w:tab/>
        </w:r>
        <w:r w:rsidRPr="00533B68">
          <w:rPr>
            <w:lang w:val="en-US"/>
          </w:rPr>
          <w:t>Change of address for service</w:t>
        </w:r>
        <w:r>
          <w:tab/>
        </w:r>
        <w:r>
          <w:fldChar w:fldCharType="begin"/>
        </w:r>
        <w:r>
          <w:instrText xml:space="preserve"> PAGEREF _Toc185515334 \h </w:instrText>
        </w:r>
        <w:r>
          <w:fldChar w:fldCharType="separate"/>
        </w:r>
        <w:r>
          <w:t>974</w:t>
        </w:r>
        <w:r>
          <w:fldChar w:fldCharType="end"/>
        </w:r>
      </w:hyperlink>
    </w:p>
    <w:p w14:paraId="1E5DF801" w14:textId="256DA3B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35" w:history="1">
        <w:r w:rsidR="00AC5392" w:rsidRPr="00533B68">
          <w:t>Division 6.8.8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Service of subpoenas and notices instead of subpoenas—general</w:t>
        </w:r>
        <w:r w:rsidR="00AC5392" w:rsidRPr="00AC5392">
          <w:rPr>
            <w:vanish/>
          </w:rPr>
          <w:tab/>
        </w:r>
        <w:r w:rsidR="00AC5392" w:rsidRPr="00AC5392">
          <w:rPr>
            <w:vanish/>
          </w:rPr>
          <w:fldChar w:fldCharType="begin"/>
        </w:r>
        <w:r w:rsidR="00AC5392" w:rsidRPr="00AC5392">
          <w:rPr>
            <w:vanish/>
          </w:rPr>
          <w:instrText xml:space="preserve"> PAGEREF _Toc185515335 \h </w:instrText>
        </w:r>
        <w:r w:rsidR="00AC5392" w:rsidRPr="00AC5392">
          <w:rPr>
            <w:vanish/>
          </w:rPr>
        </w:r>
        <w:r w:rsidR="00AC5392" w:rsidRPr="00AC5392">
          <w:rPr>
            <w:vanish/>
          </w:rPr>
          <w:fldChar w:fldCharType="separate"/>
        </w:r>
        <w:r w:rsidR="00AC5392" w:rsidRPr="00AC5392">
          <w:rPr>
            <w:vanish/>
          </w:rPr>
          <w:t>975</w:t>
        </w:r>
        <w:r w:rsidR="00AC5392" w:rsidRPr="00AC5392">
          <w:rPr>
            <w:vanish/>
          </w:rPr>
          <w:fldChar w:fldCharType="end"/>
        </w:r>
      </w:hyperlink>
    </w:p>
    <w:p w14:paraId="160004CC" w14:textId="6322F1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6" w:history="1">
        <w:r w:rsidRPr="00533B68">
          <w:t>6480</w:t>
        </w:r>
        <w:r>
          <w:rPr>
            <w:rFonts w:asciiTheme="minorHAnsi" w:eastAsiaTheme="minorEastAsia" w:hAnsiTheme="minorHAnsi" w:cstheme="minorBidi"/>
            <w:kern w:val="2"/>
            <w:sz w:val="24"/>
            <w:szCs w:val="24"/>
            <w:lang w:eastAsia="en-AU"/>
            <w14:ligatures w14:val="standardContextual"/>
          </w:rPr>
          <w:tab/>
        </w:r>
        <w:r w:rsidRPr="00533B68">
          <w:rPr>
            <w:lang w:val="en-US"/>
          </w:rPr>
          <w:t>Definitions—div 6.8.8</w:t>
        </w:r>
        <w:r>
          <w:tab/>
        </w:r>
        <w:r>
          <w:fldChar w:fldCharType="begin"/>
        </w:r>
        <w:r>
          <w:instrText xml:space="preserve"> PAGEREF _Toc185515336 \h </w:instrText>
        </w:r>
        <w:r>
          <w:fldChar w:fldCharType="separate"/>
        </w:r>
        <w:r>
          <w:t>975</w:t>
        </w:r>
        <w:r>
          <w:fldChar w:fldCharType="end"/>
        </w:r>
      </w:hyperlink>
    </w:p>
    <w:p w14:paraId="19C4D60F" w14:textId="4E9074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7" w:history="1">
        <w:r w:rsidRPr="00533B68">
          <w:t>6481</w:t>
        </w:r>
        <w:r>
          <w:rPr>
            <w:rFonts w:asciiTheme="minorHAnsi" w:eastAsiaTheme="minorEastAsia" w:hAnsiTheme="minorHAnsi" w:cstheme="minorBidi"/>
            <w:kern w:val="2"/>
            <w:sz w:val="24"/>
            <w:szCs w:val="24"/>
            <w:lang w:eastAsia="en-AU"/>
            <w14:ligatures w14:val="standardContextual"/>
          </w:rPr>
          <w:tab/>
        </w:r>
        <w:r w:rsidRPr="00533B68">
          <w:rPr>
            <w:lang w:val="en-US"/>
          </w:rPr>
          <w:t>Subpoena—service on solicitor</w:t>
        </w:r>
        <w:r>
          <w:tab/>
        </w:r>
        <w:r>
          <w:fldChar w:fldCharType="begin"/>
        </w:r>
        <w:r>
          <w:instrText xml:space="preserve"> PAGEREF _Toc185515337 \h </w:instrText>
        </w:r>
        <w:r>
          <w:fldChar w:fldCharType="separate"/>
        </w:r>
        <w:r>
          <w:t>975</w:t>
        </w:r>
        <w:r>
          <w:fldChar w:fldCharType="end"/>
        </w:r>
      </w:hyperlink>
    </w:p>
    <w:p w14:paraId="2F54D006" w14:textId="16C80A6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8" w:history="1">
        <w:r w:rsidRPr="00533B68">
          <w:t>6482</w:t>
        </w:r>
        <w:r>
          <w:rPr>
            <w:rFonts w:asciiTheme="minorHAnsi" w:eastAsiaTheme="minorEastAsia" w:hAnsiTheme="minorHAnsi" w:cstheme="minorBidi"/>
            <w:kern w:val="2"/>
            <w:sz w:val="24"/>
            <w:szCs w:val="24"/>
            <w:lang w:eastAsia="en-AU"/>
            <w14:ligatures w14:val="standardContextual"/>
          </w:rPr>
          <w:tab/>
        </w:r>
        <w:r w:rsidRPr="00533B68">
          <w:rPr>
            <w:lang w:val="en-US"/>
          </w:rPr>
          <w:t>Subpoena—service on special witness</w:t>
        </w:r>
        <w:r>
          <w:tab/>
        </w:r>
        <w:r>
          <w:fldChar w:fldCharType="begin"/>
        </w:r>
        <w:r>
          <w:instrText xml:space="preserve"> PAGEREF _Toc185515338 \h </w:instrText>
        </w:r>
        <w:r>
          <w:fldChar w:fldCharType="separate"/>
        </w:r>
        <w:r>
          <w:t>975</w:t>
        </w:r>
        <w:r>
          <w:fldChar w:fldCharType="end"/>
        </w:r>
      </w:hyperlink>
    </w:p>
    <w:p w14:paraId="63BD3019" w14:textId="1343B46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39" w:history="1">
        <w:r w:rsidRPr="00533B68">
          <w:t>6483</w:t>
        </w:r>
        <w:r>
          <w:rPr>
            <w:rFonts w:asciiTheme="minorHAnsi" w:eastAsiaTheme="minorEastAsia" w:hAnsiTheme="minorHAnsi" w:cstheme="minorBidi"/>
            <w:kern w:val="2"/>
            <w:sz w:val="24"/>
            <w:szCs w:val="24"/>
            <w:lang w:eastAsia="en-AU"/>
            <w14:ligatures w14:val="standardContextual"/>
          </w:rPr>
          <w:tab/>
        </w:r>
        <w:r w:rsidRPr="00533B68">
          <w:rPr>
            <w:lang w:val="en-US"/>
          </w:rPr>
          <w:t>Special witness—notice instead of subpoena</w:t>
        </w:r>
        <w:r>
          <w:tab/>
        </w:r>
        <w:r>
          <w:fldChar w:fldCharType="begin"/>
        </w:r>
        <w:r>
          <w:instrText xml:space="preserve"> PAGEREF _Toc185515339 \h </w:instrText>
        </w:r>
        <w:r>
          <w:fldChar w:fldCharType="separate"/>
        </w:r>
        <w:r>
          <w:t>977</w:t>
        </w:r>
        <w:r>
          <w:fldChar w:fldCharType="end"/>
        </w:r>
      </w:hyperlink>
    </w:p>
    <w:p w14:paraId="6BEB1894" w14:textId="276CF3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0" w:history="1">
        <w:r w:rsidRPr="00533B68">
          <w:t>6484</w:t>
        </w:r>
        <w:r>
          <w:rPr>
            <w:rFonts w:asciiTheme="minorHAnsi" w:eastAsiaTheme="minorEastAsia" w:hAnsiTheme="minorHAnsi" w:cstheme="minorBidi"/>
            <w:kern w:val="2"/>
            <w:sz w:val="24"/>
            <w:szCs w:val="24"/>
            <w:lang w:eastAsia="en-AU"/>
            <w14:ligatures w14:val="standardContextual"/>
          </w:rPr>
          <w:tab/>
        </w:r>
        <w:r w:rsidRPr="00533B68">
          <w:rPr>
            <w:lang w:val="en-US"/>
          </w:rPr>
          <w:t>Special witness—no shortening of time for service</w:t>
        </w:r>
        <w:r>
          <w:tab/>
        </w:r>
        <w:r>
          <w:fldChar w:fldCharType="begin"/>
        </w:r>
        <w:r>
          <w:instrText xml:space="preserve"> PAGEREF _Toc185515340 \h </w:instrText>
        </w:r>
        <w:r>
          <w:fldChar w:fldCharType="separate"/>
        </w:r>
        <w:r>
          <w:t>977</w:t>
        </w:r>
        <w:r>
          <w:fldChar w:fldCharType="end"/>
        </w:r>
      </w:hyperlink>
    </w:p>
    <w:p w14:paraId="351ADC61" w14:textId="43C3FF1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41" w:history="1">
        <w:r w:rsidR="00AC5392" w:rsidRPr="00533B68">
          <w:t>Division 6.8.9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Service out of Australia</w:t>
        </w:r>
        <w:r w:rsidR="00AC5392" w:rsidRPr="00AC5392">
          <w:rPr>
            <w:vanish/>
          </w:rPr>
          <w:tab/>
        </w:r>
        <w:r w:rsidR="00AC5392" w:rsidRPr="00AC5392">
          <w:rPr>
            <w:vanish/>
          </w:rPr>
          <w:fldChar w:fldCharType="begin"/>
        </w:r>
        <w:r w:rsidR="00AC5392" w:rsidRPr="00AC5392">
          <w:rPr>
            <w:vanish/>
          </w:rPr>
          <w:instrText xml:space="preserve"> PAGEREF _Toc185515341 \h </w:instrText>
        </w:r>
        <w:r w:rsidR="00AC5392" w:rsidRPr="00AC5392">
          <w:rPr>
            <w:vanish/>
          </w:rPr>
        </w:r>
        <w:r w:rsidR="00AC5392" w:rsidRPr="00AC5392">
          <w:rPr>
            <w:vanish/>
          </w:rPr>
          <w:fldChar w:fldCharType="separate"/>
        </w:r>
        <w:r w:rsidR="00AC5392" w:rsidRPr="00AC5392">
          <w:rPr>
            <w:vanish/>
          </w:rPr>
          <w:t>978</w:t>
        </w:r>
        <w:r w:rsidR="00AC5392" w:rsidRPr="00AC5392">
          <w:rPr>
            <w:vanish/>
          </w:rPr>
          <w:fldChar w:fldCharType="end"/>
        </w:r>
      </w:hyperlink>
    </w:p>
    <w:p w14:paraId="62853D64" w14:textId="19BF35B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2" w:history="1">
        <w:r w:rsidRPr="00533B68">
          <w:t>6500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Australia</w:t>
        </w:r>
        <w:r w:rsidRPr="00533B68">
          <w:t>—div 6.8.9</w:t>
        </w:r>
        <w:r>
          <w:tab/>
        </w:r>
        <w:r>
          <w:fldChar w:fldCharType="begin"/>
        </w:r>
        <w:r>
          <w:instrText xml:space="preserve"> PAGEREF _Toc185515342 \h </w:instrText>
        </w:r>
        <w:r>
          <w:fldChar w:fldCharType="separate"/>
        </w:r>
        <w:r>
          <w:t>978</w:t>
        </w:r>
        <w:r>
          <w:fldChar w:fldCharType="end"/>
        </w:r>
      </w:hyperlink>
    </w:p>
    <w:p w14:paraId="2C912276" w14:textId="10935A0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3" w:history="1">
        <w:r w:rsidRPr="00533B68">
          <w:t>6501</w:t>
        </w:r>
        <w:r>
          <w:tab/>
        </w:r>
        <w:r>
          <w:tab/>
        </w:r>
        <w:r>
          <w:fldChar w:fldCharType="begin"/>
        </w:r>
        <w:r>
          <w:instrText xml:space="preserve"> PAGEREF _Toc185515343 \h </w:instrText>
        </w:r>
        <w:r>
          <w:fldChar w:fldCharType="separate"/>
        </w:r>
        <w:r>
          <w:t>978</w:t>
        </w:r>
        <w:r>
          <w:fldChar w:fldCharType="end"/>
        </w:r>
      </w:hyperlink>
    </w:p>
    <w:p w14:paraId="56E3C961" w14:textId="73C71B7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4" w:history="1">
        <w:r w:rsidRPr="00533B68">
          <w:t>6502</w:t>
        </w:r>
        <w:r>
          <w:rPr>
            <w:rFonts w:asciiTheme="minorHAnsi" w:eastAsiaTheme="minorEastAsia" w:hAnsiTheme="minorHAnsi" w:cstheme="minorBidi"/>
            <w:kern w:val="2"/>
            <w:sz w:val="24"/>
            <w:szCs w:val="24"/>
            <w:lang w:eastAsia="en-AU"/>
            <w14:ligatures w14:val="standardContextual"/>
          </w:rPr>
          <w:tab/>
        </w:r>
        <w:r w:rsidRPr="00533B68">
          <w:t>Service of originating process without leave</w:t>
        </w:r>
        <w:r>
          <w:tab/>
        </w:r>
        <w:r>
          <w:fldChar w:fldCharType="begin"/>
        </w:r>
        <w:r>
          <w:instrText xml:space="preserve"> PAGEREF _Toc185515344 \h </w:instrText>
        </w:r>
        <w:r>
          <w:fldChar w:fldCharType="separate"/>
        </w:r>
        <w:r>
          <w:t>978</w:t>
        </w:r>
        <w:r>
          <w:fldChar w:fldCharType="end"/>
        </w:r>
      </w:hyperlink>
    </w:p>
    <w:p w14:paraId="7BB17722" w14:textId="3875E99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5" w:history="1">
        <w:r w:rsidRPr="00533B68">
          <w:t>6503</w:t>
        </w:r>
        <w:r>
          <w:rPr>
            <w:rFonts w:asciiTheme="minorHAnsi" w:eastAsiaTheme="minorEastAsia" w:hAnsiTheme="minorHAnsi" w:cstheme="minorBidi"/>
            <w:kern w:val="2"/>
            <w:sz w:val="24"/>
            <w:szCs w:val="24"/>
            <w:lang w:eastAsia="en-AU"/>
            <w14:ligatures w14:val="standardContextual"/>
          </w:rPr>
          <w:tab/>
        </w:r>
        <w:r w:rsidRPr="00533B68">
          <w:t>Service of originating process with leave</w:t>
        </w:r>
        <w:r>
          <w:tab/>
        </w:r>
        <w:r>
          <w:fldChar w:fldCharType="begin"/>
        </w:r>
        <w:r>
          <w:instrText xml:space="preserve"> PAGEREF _Toc185515345 \h </w:instrText>
        </w:r>
        <w:r>
          <w:fldChar w:fldCharType="separate"/>
        </w:r>
        <w:r>
          <w:t>982</w:t>
        </w:r>
        <w:r>
          <w:fldChar w:fldCharType="end"/>
        </w:r>
      </w:hyperlink>
    </w:p>
    <w:p w14:paraId="62345EF1" w14:textId="1E8F30C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6" w:history="1">
        <w:r w:rsidRPr="00533B68">
          <w:t>6504</w:t>
        </w:r>
        <w:r>
          <w:rPr>
            <w:rFonts w:asciiTheme="minorHAnsi" w:eastAsiaTheme="minorEastAsia" w:hAnsiTheme="minorHAnsi" w:cstheme="minorBidi"/>
            <w:kern w:val="2"/>
            <w:sz w:val="24"/>
            <w:szCs w:val="24"/>
            <w:lang w:eastAsia="en-AU"/>
            <w14:ligatures w14:val="standardContextual"/>
          </w:rPr>
          <w:tab/>
        </w:r>
        <w:r w:rsidRPr="00533B68">
          <w:t>Court’s discretion whether to assume jurisdiction</w:t>
        </w:r>
        <w:r>
          <w:tab/>
        </w:r>
        <w:r>
          <w:fldChar w:fldCharType="begin"/>
        </w:r>
        <w:r>
          <w:instrText xml:space="preserve"> PAGEREF _Toc185515346 \h </w:instrText>
        </w:r>
        <w:r>
          <w:fldChar w:fldCharType="separate"/>
        </w:r>
        <w:r>
          <w:t>983</w:t>
        </w:r>
        <w:r>
          <w:fldChar w:fldCharType="end"/>
        </w:r>
      </w:hyperlink>
    </w:p>
    <w:p w14:paraId="0E2B2CAE" w14:textId="764F23D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7" w:history="1">
        <w:r w:rsidRPr="00533B68">
          <w:t>6505</w:t>
        </w:r>
        <w:r>
          <w:rPr>
            <w:rFonts w:asciiTheme="minorHAnsi" w:eastAsiaTheme="minorEastAsia" w:hAnsiTheme="minorHAnsi" w:cstheme="minorBidi"/>
            <w:kern w:val="2"/>
            <w:sz w:val="24"/>
            <w:szCs w:val="24"/>
            <w:lang w:eastAsia="en-AU"/>
            <w14:ligatures w14:val="standardContextual"/>
          </w:rPr>
          <w:tab/>
        </w:r>
        <w:r w:rsidRPr="00533B68">
          <w:t>Notice to person served outside Australia</w:t>
        </w:r>
        <w:r>
          <w:tab/>
        </w:r>
        <w:r>
          <w:fldChar w:fldCharType="begin"/>
        </w:r>
        <w:r>
          <w:instrText xml:space="preserve"> PAGEREF _Toc185515347 \h </w:instrText>
        </w:r>
        <w:r>
          <w:fldChar w:fldCharType="separate"/>
        </w:r>
        <w:r>
          <w:t>984</w:t>
        </w:r>
        <w:r>
          <w:fldChar w:fldCharType="end"/>
        </w:r>
      </w:hyperlink>
    </w:p>
    <w:p w14:paraId="295DBC9F" w14:textId="551F28B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8" w:history="1">
        <w:r w:rsidRPr="00533B68">
          <w:t>6506</w:t>
        </w:r>
        <w:r>
          <w:rPr>
            <w:rFonts w:asciiTheme="minorHAnsi" w:eastAsiaTheme="minorEastAsia" w:hAnsiTheme="minorHAnsi" w:cstheme="minorBidi"/>
            <w:kern w:val="2"/>
            <w:sz w:val="24"/>
            <w:szCs w:val="24"/>
            <w:lang w:eastAsia="en-AU"/>
            <w14:ligatures w14:val="standardContextual"/>
          </w:rPr>
          <w:tab/>
        </w:r>
        <w:r w:rsidRPr="00533B68">
          <w:t>Time for filing notice of intention to respond</w:t>
        </w:r>
        <w:r>
          <w:tab/>
        </w:r>
        <w:r>
          <w:fldChar w:fldCharType="begin"/>
        </w:r>
        <w:r>
          <w:instrText xml:space="preserve"> PAGEREF _Toc185515348 \h </w:instrText>
        </w:r>
        <w:r>
          <w:fldChar w:fldCharType="separate"/>
        </w:r>
        <w:r>
          <w:t>984</w:t>
        </w:r>
        <w:r>
          <w:fldChar w:fldCharType="end"/>
        </w:r>
      </w:hyperlink>
    </w:p>
    <w:p w14:paraId="0C19D617" w14:textId="2769586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49" w:history="1">
        <w:r w:rsidRPr="00533B68">
          <w:t>6507</w:t>
        </w:r>
        <w:r>
          <w:rPr>
            <w:rFonts w:asciiTheme="minorHAnsi" w:eastAsiaTheme="minorEastAsia" w:hAnsiTheme="minorHAnsi" w:cstheme="minorBidi"/>
            <w:kern w:val="2"/>
            <w:sz w:val="24"/>
            <w:szCs w:val="24"/>
            <w:lang w:eastAsia="en-AU"/>
            <w14:ligatures w14:val="standardContextual"/>
          </w:rPr>
          <w:tab/>
        </w:r>
        <w:r w:rsidRPr="00533B68">
          <w:t>Leave to proceed if notice of intention to respond not filed</w:t>
        </w:r>
        <w:r>
          <w:tab/>
        </w:r>
        <w:r>
          <w:fldChar w:fldCharType="begin"/>
        </w:r>
        <w:r>
          <w:instrText xml:space="preserve"> PAGEREF _Toc185515349 \h </w:instrText>
        </w:r>
        <w:r>
          <w:fldChar w:fldCharType="separate"/>
        </w:r>
        <w:r>
          <w:t>984</w:t>
        </w:r>
        <w:r>
          <w:fldChar w:fldCharType="end"/>
        </w:r>
      </w:hyperlink>
    </w:p>
    <w:p w14:paraId="5636D7EB" w14:textId="0F707D0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50" w:history="1">
        <w:r w:rsidRPr="00533B68">
          <w:t>6508</w:t>
        </w:r>
        <w:r>
          <w:rPr>
            <w:rFonts w:asciiTheme="minorHAnsi" w:eastAsiaTheme="minorEastAsia" w:hAnsiTheme="minorHAnsi" w:cstheme="minorBidi"/>
            <w:kern w:val="2"/>
            <w:sz w:val="24"/>
            <w:szCs w:val="24"/>
            <w:lang w:eastAsia="en-AU"/>
            <w14:ligatures w14:val="standardContextual"/>
          </w:rPr>
          <w:tab/>
        </w:r>
        <w:r w:rsidRPr="00533B68">
          <w:t>Service of other documents outside Australia</w:t>
        </w:r>
        <w:r>
          <w:tab/>
        </w:r>
        <w:r>
          <w:fldChar w:fldCharType="begin"/>
        </w:r>
        <w:r>
          <w:instrText xml:space="preserve"> PAGEREF _Toc185515350 \h </w:instrText>
        </w:r>
        <w:r>
          <w:fldChar w:fldCharType="separate"/>
        </w:r>
        <w:r>
          <w:t>985</w:t>
        </w:r>
        <w:r>
          <w:fldChar w:fldCharType="end"/>
        </w:r>
      </w:hyperlink>
    </w:p>
    <w:p w14:paraId="1106289E" w14:textId="6979055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51" w:history="1">
        <w:r w:rsidRPr="00533B68">
          <w:t>6509</w:t>
        </w:r>
        <w:r>
          <w:rPr>
            <w:rFonts w:asciiTheme="minorHAnsi" w:eastAsiaTheme="minorEastAsia" w:hAnsiTheme="minorHAnsi" w:cstheme="minorBidi"/>
            <w:kern w:val="2"/>
            <w:sz w:val="24"/>
            <w:szCs w:val="24"/>
            <w:lang w:eastAsia="en-AU"/>
            <w14:ligatures w14:val="standardContextual"/>
          </w:rPr>
          <w:tab/>
        </w:r>
        <w:r w:rsidRPr="00533B68">
          <w:t>Mode of service</w:t>
        </w:r>
        <w:r>
          <w:tab/>
        </w:r>
        <w:r>
          <w:fldChar w:fldCharType="begin"/>
        </w:r>
        <w:r>
          <w:instrText xml:space="preserve"> PAGEREF _Toc185515351 \h </w:instrText>
        </w:r>
        <w:r>
          <w:fldChar w:fldCharType="separate"/>
        </w:r>
        <w:r>
          <w:t>985</w:t>
        </w:r>
        <w:r>
          <w:fldChar w:fldCharType="end"/>
        </w:r>
      </w:hyperlink>
    </w:p>
    <w:p w14:paraId="3450EB7F" w14:textId="7F85C61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52" w:history="1">
        <w:r w:rsidR="00AC5392" w:rsidRPr="00533B68">
          <w:t>Division 6.8.11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Service of foreign legal process in the ACT</w:t>
        </w:r>
        <w:r w:rsidR="00AC5392" w:rsidRPr="00AC5392">
          <w:rPr>
            <w:vanish/>
          </w:rPr>
          <w:tab/>
        </w:r>
        <w:r w:rsidR="00AC5392" w:rsidRPr="00AC5392">
          <w:rPr>
            <w:vanish/>
          </w:rPr>
          <w:fldChar w:fldCharType="begin"/>
        </w:r>
        <w:r w:rsidR="00AC5392" w:rsidRPr="00AC5392">
          <w:rPr>
            <w:vanish/>
          </w:rPr>
          <w:instrText xml:space="preserve"> PAGEREF _Toc185515352 \h </w:instrText>
        </w:r>
        <w:r w:rsidR="00AC5392" w:rsidRPr="00AC5392">
          <w:rPr>
            <w:vanish/>
          </w:rPr>
        </w:r>
        <w:r w:rsidR="00AC5392" w:rsidRPr="00AC5392">
          <w:rPr>
            <w:vanish/>
          </w:rPr>
          <w:fldChar w:fldCharType="separate"/>
        </w:r>
        <w:r w:rsidR="00AC5392" w:rsidRPr="00AC5392">
          <w:rPr>
            <w:vanish/>
          </w:rPr>
          <w:t>985</w:t>
        </w:r>
        <w:r w:rsidR="00AC5392" w:rsidRPr="00AC5392">
          <w:rPr>
            <w:vanish/>
          </w:rPr>
          <w:fldChar w:fldCharType="end"/>
        </w:r>
      </w:hyperlink>
    </w:p>
    <w:p w14:paraId="1F674686" w14:textId="62CF340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53" w:history="1">
        <w:r w:rsidRPr="00533B68">
          <w:t>6540</w:t>
        </w:r>
        <w:r>
          <w:rPr>
            <w:rFonts w:asciiTheme="minorHAnsi" w:eastAsiaTheme="minorEastAsia" w:hAnsiTheme="minorHAnsi" w:cstheme="minorBidi"/>
            <w:kern w:val="2"/>
            <w:sz w:val="24"/>
            <w:szCs w:val="24"/>
            <w:lang w:eastAsia="en-AU"/>
            <w14:ligatures w14:val="standardContextual"/>
          </w:rPr>
          <w:tab/>
        </w:r>
        <w:r w:rsidRPr="00533B68">
          <w:t>Letter of request from foreign tribunal—procedure</w:t>
        </w:r>
        <w:r>
          <w:tab/>
        </w:r>
        <w:r>
          <w:fldChar w:fldCharType="begin"/>
        </w:r>
        <w:r>
          <w:instrText xml:space="preserve"> PAGEREF _Toc185515353 \h </w:instrText>
        </w:r>
        <w:r>
          <w:fldChar w:fldCharType="separate"/>
        </w:r>
        <w:r>
          <w:t>985</w:t>
        </w:r>
        <w:r>
          <w:fldChar w:fldCharType="end"/>
        </w:r>
      </w:hyperlink>
    </w:p>
    <w:p w14:paraId="58093EEC" w14:textId="420C8ED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54" w:history="1">
        <w:r w:rsidRPr="00533B68">
          <w:t>6541</w:t>
        </w:r>
        <w:r>
          <w:rPr>
            <w:rFonts w:asciiTheme="minorHAnsi" w:eastAsiaTheme="minorEastAsia" w:hAnsiTheme="minorHAnsi" w:cstheme="minorBidi"/>
            <w:kern w:val="2"/>
            <w:sz w:val="24"/>
            <w:szCs w:val="24"/>
            <w:lang w:eastAsia="en-AU"/>
            <w14:ligatures w14:val="standardContextual"/>
          </w:rPr>
          <w:tab/>
        </w:r>
        <w:r w:rsidRPr="00533B68">
          <w:t>Orders for substituted service etc for div 6.8.11</w:t>
        </w:r>
        <w:r>
          <w:tab/>
        </w:r>
        <w:r>
          <w:fldChar w:fldCharType="begin"/>
        </w:r>
        <w:r>
          <w:instrText xml:space="preserve"> PAGEREF _Toc185515354 \h </w:instrText>
        </w:r>
        <w:r>
          <w:fldChar w:fldCharType="separate"/>
        </w:r>
        <w:r>
          <w:t>987</w:t>
        </w:r>
        <w:r>
          <w:fldChar w:fldCharType="end"/>
        </w:r>
      </w:hyperlink>
    </w:p>
    <w:p w14:paraId="75BFBF12" w14:textId="76D0D02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55" w:history="1">
        <w:r w:rsidRPr="00533B68">
          <w:t>6542</w:t>
        </w:r>
        <w:r>
          <w:rPr>
            <w:rFonts w:asciiTheme="minorHAnsi" w:eastAsiaTheme="minorEastAsia" w:hAnsiTheme="minorHAnsi" w:cstheme="minorBidi"/>
            <w:kern w:val="2"/>
            <w:sz w:val="24"/>
            <w:szCs w:val="24"/>
            <w:lang w:eastAsia="en-AU"/>
            <w14:ligatures w14:val="standardContextual"/>
          </w:rPr>
          <w:tab/>
        </w:r>
        <w:r w:rsidRPr="00533B68">
          <w:t>Noncompliance with div 6.8.11</w:t>
        </w:r>
        <w:r>
          <w:tab/>
        </w:r>
        <w:r>
          <w:fldChar w:fldCharType="begin"/>
        </w:r>
        <w:r>
          <w:instrText xml:space="preserve"> PAGEREF _Toc185515355 \h </w:instrText>
        </w:r>
        <w:r>
          <w:fldChar w:fldCharType="separate"/>
        </w:r>
        <w:r>
          <w:t>987</w:t>
        </w:r>
        <w:r>
          <w:fldChar w:fldCharType="end"/>
        </w:r>
      </w:hyperlink>
    </w:p>
    <w:p w14:paraId="5811FF7D" w14:textId="57D97A4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356" w:history="1">
        <w:r w:rsidR="00AC5392" w:rsidRPr="00533B68">
          <w:t>Division 6.8.12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Service under the Hague Convention</w:t>
        </w:r>
        <w:r w:rsidR="00AC5392" w:rsidRPr="00AC5392">
          <w:rPr>
            <w:vanish/>
          </w:rPr>
          <w:tab/>
        </w:r>
        <w:r w:rsidR="00AC5392" w:rsidRPr="00AC5392">
          <w:rPr>
            <w:vanish/>
          </w:rPr>
          <w:fldChar w:fldCharType="begin"/>
        </w:r>
        <w:r w:rsidR="00AC5392" w:rsidRPr="00AC5392">
          <w:rPr>
            <w:vanish/>
          </w:rPr>
          <w:instrText xml:space="preserve"> PAGEREF _Toc185515356 \h </w:instrText>
        </w:r>
        <w:r w:rsidR="00AC5392" w:rsidRPr="00AC5392">
          <w:rPr>
            <w:vanish/>
          </w:rPr>
        </w:r>
        <w:r w:rsidR="00AC5392" w:rsidRPr="00AC5392">
          <w:rPr>
            <w:vanish/>
          </w:rPr>
          <w:fldChar w:fldCharType="separate"/>
        </w:r>
        <w:r w:rsidR="00AC5392" w:rsidRPr="00AC5392">
          <w:rPr>
            <w:vanish/>
          </w:rPr>
          <w:t>988</w:t>
        </w:r>
        <w:r w:rsidR="00AC5392" w:rsidRPr="00AC5392">
          <w:rPr>
            <w:vanish/>
          </w:rPr>
          <w:fldChar w:fldCharType="end"/>
        </w:r>
      </w:hyperlink>
    </w:p>
    <w:p w14:paraId="45833241" w14:textId="14A05FF0"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357" w:history="1">
        <w:r w:rsidR="00AC5392" w:rsidRPr="00533B68">
          <w:t>Subdivision 6.8.12.1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Preliminary</w:t>
        </w:r>
        <w:r w:rsidR="00AC5392" w:rsidRPr="00AC5392">
          <w:rPr>
            <w:vanish/>
          </w:rPr>
          <w:tab/>
        </w:r>
        <w:r w:rsidR="00AC5392" w:rsidRPr="00AC5392">
          <w:rPr>
            <w:vanish/>
          </w:rPr>
          <w:fldChar w:fldCharType="begin"/>
        </w:r>
        <w:r w:rsidR="00AC5392" w:rsidRPr="00AC5392">
          <w:rPr>
            <w:vanish/>
          </w:rPr>
          <w:instrText xml:space="preserve"> PAGEREF _Toc185515357 \h </w:instrText>
        </w:r>
        <w:r w:rsidR="00AC5392" w:rsidRPr="00AC5392">
          <w:rPr>
            <w:vanish/>
          </w:rPr>
        </w:r>
        <w:r w:rsidR="00AC5392" w:rsidRPr="00AC5392">
          <w:rPr>
            <w:vanish/>
          </w:rPr>
          <w:fldChar w:fldCharType="separate"/>
        </w:r>
        <w:r w:rsidR="00AC5392" w:rsidRPr="00AC5392">
          <w:rPr>
            <w:vanish/>
          </w:rPr>
          <w:t>988</w:t>
        </w:r>
        <w:r w:rsidR="00AC5392" w:rsidRPr="00AC5392">
          <w:rPr>
            <w:vanish/>
          </w:rPr>
          <w:fldChar w:fldCharType="end"/>
        </w:r>
      </w:hyperlink>
    </w:p>
    <w:p w14:paraId="552BCB44" w14:textId="43CF5B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58" w:history="1">
        <w:r w:rsidRPr="00533B68">
          <w:t>6550</w:t>
        </w:r>
        <w:r>
          <w:rPr>
            <w:rFonts w:asciiTheme="minorHAnsi" w:eastAsiaTheme="minorEastAsia" w:hAnsiTheme="minorHAnsi" w:cstheme="minorBidi"/>
            <w:kern w:val="2"/>
            <w:sz w:val="24"/>
            <w:szCs w:val="24"/>
            <w:lang w:eastAsia="en-AU"/>
            <w14:ligatures w14:val="standardContextual"/>
          </w:rPr>
          <w:tab/>
        </w:r>
        <w:r w:rsidRPr="00533B68">
          <w:t>Definitions—div 6.8.12</w:t>
        </w:r>
        <w:r>
          <w:tab/>
        </w:r>
        <w:r>
          <w:fldChar w:fldCharType="begin"/>
        </w:r>
        <w:r>
          <w:instrText xml:space="preserve"> PAGEREF _Toc185515358 \h </w:instrText>
        </w:r>
        <w:r>
          <w:fldChar w:fldCharType="separate"/>
        </w:r>
        <w:r>
          <w:t>988</w:t>
        </w:r>
        <w:r>
          <w:fldChar w:fldCharType="end"/>
        </w:r>
      </w:hyperlink>
    </w:p>
    <w:p w14:paraId="0C21DFE0" w14:textId="04E8333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59" w:history="1">
        <w:r w:rsidRPr="00533B68">
          <w:t>6551</w:t>
        </w:r>
        <w:r>
          <w:rPr>
            <w:rFonts w:asciiTheme="minorHAnsi" w:eastAsiaTheme="minorEastAsia" w:hAnsiTheme="minorHAnsi" w:cstheme="minorBidi"/>
            <w:kern w:val="2"/>
            <w:sz w:val="24"/>
            <w:szCs w:val="24"/>
            <w:lang w:eastAsia="en-AU"/>
            <w14:ligatures w14:val="standardContextual"/>
          </w:rPr>
          <w:tab/>
        </w:r>
        <w:r w:rsidRPr="00533B68">
          <w:t>Rules under this division prevail</w:t>
        </w:r>
        <w:r>
          <w:tab/>
        </w:r>
        <w:r>
          <w:fldChar w:fldCharType="begin"/>
        </w:r>
        <w:r>
          <w:instrText xml:space="preserve"> PAGEREF _Toc185515359 \h </w:instrText>
        </w:r>
        <w:r>
          <w:fldChar w:fldCharType="separate"/>
        </w:r>
        <w:r>
          <w:t>990</w:t>
        </w:r>
        <w:r>
          <w:fldChar w:fldCharType="end"/>
        </w:r>
      </w:hyperlink>
    </w:p>
    <w:p w14:paraId="0A9644A2" w14:textId="7DBA0085"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360" w:history="1">
        <w:r w:rsidR="00AC5392" w:rsidRPr="00533B68">
          <w:t>Subdivision 6.8.12.2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Service abroad of local judicial documents</w:t>
        </w:r>
        <w:r w:rsidR="00AC5392" w:rsidRPr="00AC5392">
          <w:rPr>
            <w:vanish/>
          </w:rPr>
          <w:tab/>
        </w:r>
        <w:r w:rsidR="00AC5392" w:rsidRPr="00AC5392">
          <w:rPr>
            <w:vanish/>
          </w:rPr>
          <w:fldChar w:fldCharType="begin"/>
        </w:r>
        <w:r w:rsidR="00AC5392" w:rsidRPr="00AC5392">
          <w:rPr>
            <w:vanish/>
          </w:rPr>
          <w:instrText xml:space="preserve"> PAGEREF _Toc185515360 \h </w:instrText>
        </w:r>
        <w:r w:rsidR="00AC5392" w:rsidRPr="00AC5392">
          <w:rPr>
            <w:vanish/>
          </w:rPr>
        </w:r>
        <w:r w:rsidR="00AC5392" w:rsidRPr="00AC5392">
          <w:rPr>
            <w:vanish/>
          </w:rPr>
          <w:fldChar w:fldCharType="separate"/>
        </w:r>
        <w:r w:rsidR="00AC5392" w:rsidRPr="00AC5392">
          <w:rPr>
            <w:vanish/>
          </w:rPr>
          <w:t>991</w:t>
        </w:r>
        <w:r w:rsidR="00AC5392" w:rsidRPr="00AC5392">
          <w:rPr>
            <w:vanish/>
          </w:rPr>
          <w:fldChar w:fldCharType="end"/>
        </w:r>
      </w:hyperlink>
    </w:p>
    <w:p w14:paraId="41D3AD6E" w14:textId="5B02B01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61" w:history="1">
        <w:r w:rsidRPr="00533B68">
          <w:t>6552</w:t>
        </w:r>
        <w:r>
          <w:rPr>
            <w:rFonts w:asciiTheme="minorHAnsi" w:eastAsiaTheme="minorEastAsia" w:hAnsiTheme="minorHAnsi" w:cstheme="minorBidi"/>
            <w:kern w:val="2"/>
            <w:sz w:val="24"/>
            <w:szCs w:val="24"/>
            <w:lang w:eastAsia="en-AU"/>
            <w14:ligatures w14:val="standardContextual"/>
          </w:rPr>
          <w:tab/>
        </w:r>
        <w:r w:rsidRPr="00533B68">
          <w:t>Application—subdiv 6.8.12.2</w:t>
        </w:r>
        <w:r>
          <w:tab/>
        </w:r>
        <w:r>
          <w:fldChar w:fldCharType="begin"/>
        </w:r>
        <w:r>
          <w:instrText xml:space="preserve"> PAGEREF _Toc185515361 \h </w:instrText>
        </w:r>
        <w:r>
          <w:fldChar w:fldCharType="separate"/>
        </w:r>
        <w:r>
          <w:t>991</w:t>
        </w:r>
        <w:r>
          <w:fldChar w:fldCharType="end"/>
        </w:r>
      </w:hyperlink>
    </w:p>
    <w:p w14:paraId="70B11FBD" w14:textId="1129F850"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362" w:history="1">
        <w:r w:rsidRPr="00533B68">
          <w:t>6553</w:t>
        </w:r>
        <w:r>
          <w:rPr>
            <w:rFonts w:asciiTheme="minorHAnsi" w:eastAsiaTheme="minorEastAsia" w:hAnsiTheme="minorHAnsi" w:cstheme="minorBidi"/>
            <w:kern w:val="2"/>
            <w:sz w:val="24"/>
            <w:szCs w:val="24"/>
            <w:lang w:eastAsia="en-AU"/>
            <w14:ligatures w14:val="standardContextual"/>
          </w:rPr>
          <w:tab/>
        </w:r>
        <w:r w:rsidRPr="00533B68">
          <w:t>Application for request for service abroad</w:t>
        </w:r>
        <w:r>
          <w:tab/>
        </w:r>
        <w:r>
          <w:fldChar w:fldCharType="begin"/>
        </w:r>
        <w:r>
          <w:instrText xml:space="preserve"> PAGEREF _Toc185515362 \h </w:instrText>
        </w:r>
        <w:r>
          <w:fldChar w:fldCharType="separate"/>
        </w:r>
        <w:r>
          <w:t>991</w:t>
        </w:r>
        <w:r>
          <w:fldChar w:fldCharType="end"/>
        </w:r>
      </w:hyperlink>
    </w:p>
    <w:p w14:paraId="561B7A23" w14:textId="1227D1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63" w:history="1">
        <w:r w:rsidRPr="00533B68">
          <w:t>6554</w:t>
        </w:r>
        <w:r>
          <w:rPr>
            <w:rFonts w:asciiTheme="minorHAnsi" w:eastAsiaTheme="minorEastAsia" w:hAnsiTheme="minorHAnsi" w:cstheme="minorBidi"/>
            <w:kern w:val="2"/>
            <w:sz w:val="24"/>
            <w:szCs w:val="24"/>
            <w:lang w:eastAsia="en-AU"/>
            <w14:ligatures w14:val="standardContextual"/>
          </w:rPr>
          <w:tab/>
        </w:r>
        <w:r w:rsidRPr="00533B68">
          <w:t>How application to be dealt with</w:t>
        </w:r>
        <w:r>
          <w:tab/>
        </w:r>
        <w:r>
          <w:fldChar w:fldCharType="begin"/>
        </w:r>
        <w:r>
          <w:instrText xml:space="preserve"> PAGEREF _Toc185515363 \h </w:instrText>
        </w:r>
        <w:r>
          <w:fldChar w:fldCharType="separate"/>
        </w:r>
        <w:r>
          <w:t>993</w:t>
        </w:r>
        <w:r>
          <w:fldChar w:fldCharType="end"/>
        </w:r>
      </w:hyperlink>
    </w:p>
    <w:p w14:paraId="772980E1" w14:textId="1C89F93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64" w:history="1">
        <w:r w:rsidRPr="00533B68">
          <w:t>6555</w:t>
        </w:r>
        <w:r>
          <w:rPr>
            <w:rFonts w:asciiTheme="minorHAnsi" w:eastAsiaTheme="minorEastAsia" w:hAnsiTheme="minorHAnsi" w:cstheme="minorBidi"/>
            <w:kern w:val="2"/>
            <w:sz w:val="24"/>
            <w:szCs w:val="24"/>
            <w:lang w:eastAsia="en-AU"/>
            <w14:ligatures w14:val="standardContextual"/>
          </w:rPr>
          <w:tab/>
        </w:r>
        <w:r w:rsidRPr="00533B68">
          <w:t>Procedure on receipt of certificate of service</w:t>
        </w:r>
        <w:r>
          <w:tab/>
        </w:r>
        <w:r>
          <w:fldChar w:fldCharType="begin"/>
        </w:r>
        <w:r>
          <w:instrText xml:space="preserve"> PAGEREF _Toc185515364 \h </w:instrText>
        </w:r>
        <w:r>
          <w:fldChar w:fldCharType="separate"/>
        </w:r>
        <w:r>
          <w:t>994</w:t>
        </w:r>
        <w:r>
          <w:fldChar w:fldCharType="end"/>
        </w:r>
      </w:hyperlink>
    </w:p>
    <w:p w14:paraId="0E4234B9" w14:textId="7429A0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65" w:history="1">
        <w:r w:rsidRPr="00533B68">
          <w:t>6556</w:t>
        </w:r>
        <w:r>
          <w:rPr>
            <w:rFonts w:asciiTheme="minorHAnsi" w:eastAsiaTheme="minorEastAsia" w:hAnsiTheme="minorHAnsi" w:cstheme="minorBidi"/>
            <w:kern w:val="2"/>
            <w:sz w:val="24"/>
            <w:szCs w:val="24"/>
            <w:lang w:eastAsia="en-AU"/>
            <w14:ligatures w14:val="standardContextual"/>
          </w:rPr>
          <w:tab/>
        </w:r>
        <w:r w:rsidRPr="00533B68">
          <w:t>Payment of costs</w:t>
        </w:r>
        <w:r>
          <w:tab/>
        </w:r>
        <w:r>
          <w:fldChar w:fldCharType="begin"/>
        </w:r>
        <w:r>
          <w:instrText xml:space="preserve"> PAGEREF _Toc185515365 \h </w:instrText>
        </w:r>
        <w:r>
          <w:fldChar w:fldCharType="separate"/>
        </w:r>
        <w:r>
          <w:t>995</w:t>
        </w:r>
        <w:r>
          <w:fldChar w:fldCharType="end"/>
        </w:r>
      </w:hyperlink>
    </w:p>
    <w:p w14:paraId="1CED4FC9" w14:textId="7C0D5D3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66" w:history="1">
        <w:r w:rsidRPr="00533B68">
          <w:t>6557</w:t>
        </w:r>
        <w:r>
          <w:rPr>
            <w:rFonts w:asciiTheme="minorHAnsi" w:eastAsiaTheme="minorEastAsia" w:hAnsiTheme="minorHAnsi" w:cstheme="minorBidi"/>
            <w:kern w:val="2"/>
            <w:sz w:val="24"/>
            <w:szCs w:val="24"/>
            <w:lang w:eastAsia="en-AU"/>
            <w14:ligatures w14:val="standardContextual"/>
          </w:rPr>
          <w:tab/>
        </w:r>
        <w:r w:rsidRPr="00533B68">
          <w:t>Evidence of service</w:t>
        </w:r>
        <w:r>
          <w:tab/>
        </w:r>
        <w:r>
          <w:fldChar w:fldCharType="begin"/>
        </w:r>
        <w:r>
          <w:instrText xml:space="preserve"> PAGEREF _Toc185515366 \h </w:instrText>
        </w:r>
        <w:r>
          <w:fldChar w:fldCharType="separate"/>
        </w:r>
        <w:r>
          <w:t>996</w:t>
        </w:r>
        <w:r>
          <w:fldChar w:fldCharType="end"/>
        </w:r>
      </w:hyperlink>
    </w:p>
    <w:p w14:paraId="571A9CCC" w14:textId="2664CAC3"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367" w:history="1">
        <w:r w:rsidR="00AC5392" w:rsidRPr="00533B68">
          <w:t>Subdivision 6.8.12.3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Default judgment following service abroad of initiating process</w:t>
        </w:r>
        <w:r w:rsidR="00AC5392" w:rsidRPr="00AC5392">
          <w:rPr>
            <w:vanish/>
          </w:rPr>
          <w:tab/>
        </w:r>
        <w:r w:rsidR="00AC5392" w:rsidRPr="00AC5392">
          <w:rPr>
            <w:vanish/>
          </w:rPr>
          <w:fldChar w:fldCharType="begin"/>
        </w:r>
        <w:r w:rsidR="00AC5392" w:rsidRPr="00AC5392">
          <w:rPr>
            <w:vanish/>
          </w:rPr>
          <w:instrText xml:space="preserve"> PAGEREF _Toc185515367 \h </w:instrText>
        </w:r>
        <w:r w:rsidR="00AC5392" w:rsidRPr="00AC5392">
          <w:rPr>
            <w:vanish/>
          </w:rPr>
        </w:r>
        <w:r w:rsidR="00AC5392" w:rsidRPr="00AC5392">
          <w:rPr>
            <w:vanish/>
          </w:rPr>
          <w:fldChar w:fldCharType="separate"/>
        </w:r>
        <w:r w:rsidR="00AC5392" w:rsidRPr="00AC5392">
          <w:rPr>
            <w:vanish/>
          </w:rPr>
          <w:t>996</w:t>
        </w:r>
        <w:r w:rsidR="00AC5392" w:rsidRPr="00AC5392">
          <w:rPr>
            <w:vanish/>
          </w:rPr>
          <w:fldChar w:fldCharType="end"/>
        </w:r>
      </w:hyperlink>
    </w:p>
    <w:p w14:paraId="32FE2297" w14:textId="27BD9E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68" w:history="1">
        <w:r w:rsidRPr="00533B68">
          <w:t>6558</w:t>
        </w:r>
        <w:r>
          <w:rPr>
            <w:rFonts w:asciiTheme="minorHAnsi" w:eastAsiaTheme="minorEastAsia" w:hAnsiTheme="minorHAnsi" w:cstheme="minorBidi"/>
            <w:kern w:val="2"/>
            <w:sz w:val="24"/>
            <w:szCs w:val="24"/>
            <w:lang w:eastAsia="en-AU"/>
            <w14:ligatures w14:val="standardContextual"/>
          </w:rPr>
          <w:tab/>
        </w:r>
        <w:r w:rsidRPr="00533B68">
          <w:t>Application—subdiv 6.8.12.3</w:t>
        </w:r>
        <w:r>
          <w:tab/>
        </w:r>
        <w:r>
          <w:fldChar w:fldCharType="begin"/>
        </w:r>
        <w:r>
          <w:instrText xml:space="preserve"> PAGEREF _Toc185515368 \h </w:instrText>
        </w:r>
        <w:r>
          <w:fldChar w:fldCharType="separate"/>
        </w:r>
        <w:r>
          <w:t>996</w:t>
        </w:r>
        <w:r>
          <w:fldChar w:fldCharType="end"/>
        </w:r>
      </w:hyperlink>
    </w:p>
    <w:p w14:paraId="5A81C495" w14:textId="30685D2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69" w:history="1">
        <w:r w:rsidRPr="00533B68">
          <w:t>6559</w:t>
        </w:r>
        <w:r>
          <w:rPr>
            <w:rFonts w:asciiTheme="minorHAnsi" w:eastAsiaTheme="minorEastAsia" w:hAnsiTheme="minorHAnsi" w:cstheme="minorBidi"/>
            <w:kern w:val="2"/>
            <w:sz w:val="24"/>
            <w:szCs w:val="24"/>
            <w:lang w:eastAsia="en-AU"/>
            <w14:ligatures w14:val="standardContextual"/>
          </w:rPr>
          <w:tab/>
        </w:r>
        <w:r w:rsidRPr="00533B68">
          <w:t>Restriction on power to enter default judgment if certificate of service filed</w:t>
        </w:r>
        <w:r>
          <w:tab/>
        </w:r>
        <w:r>
          <w:fldChar w:fldCharType="begin"/>
        </w:r>
        <w:r>
          <w:instrText xml:space="preserve"> PAGEREF _Toc185515369 \h </w:instrText>
        </w:r>
        <w:r>
          <w:fldChar w:fldCharType="separate"/>
        </w:r>
        <w:r>
          <w:t>996</w:t>
        </w:r>
        <w:r>
          <w:fldChar w:fldCharType="end"/>
        </w:r>
      </w:hyperlink>
    </w:p>
    <w:p w14:paraId="3F5F7E24" w14:textId="2EC9D8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0" w:history="1">
        <w:r w:rsidRPr="00533B68">
          <w:t>6560</w:t>
        </w:r>
        <w:r>
          <w:rPr>
            <w:rFonts w:asciiTheme="minorHAnsi" w:eastAsiaTheme="minorEastAsia" w:hAnsiTheme="minorHAnsi" w:cstheme="minorBidi"/>
            <w:kern w:val="2"/>
            <w:sz w:val="24"/>
            <w:szCs w:val="24"/>
            <w:lang w:eastAsia="en-AU"/>
            <w14:ligatures w14:val="standardContextual"/>
          </w:rPr>
          <w:tab/>
        </w:r>
        <w:r w:rsidRPr="00533B68">
          <w:t>Restriction on power to enter default judgment if certificate of service not filed</w:t>
        </w:r>
        <w:r>
          <w:tab/>
        </w:r>
        <w:r>
          <w:fldChar w:fldCharType="begin"/>
        </w:r>
        <w:r>
          <w:instrText xml:space="preserve"> PAGEREF _Toc185515370 \h </w:instrText>
        </w:r>
        <w:r>
          <w:fldChar w:fldCharType="separate"/>
        </w:r>
        <w:r>
          <w:t>998</w:t>
        </w:r>
        <w:r>
          <w:fldChar w:fldCharType="end"/>
        </w:r>
      </w:hyperlink>
    </w:p>
    <w:p w14:paraId="4D770823" w14:textId="1094452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1" w:history="1">
        <w:r w:rsidRPr="00533B68">
          <w:t>6561</w:t>
        </w:r>
        <w:r>
          <w:rPr>
            <w:rFonts w:asciiTheme="minorHAnsi" w:eastAsiaTheme="minorEastAsia" w:hAnsiTheme="minorHAnsi" w:cstheme="minorBidi"/>
            <w:kern w:val="2"/>
            <w:sz w:val="24"/>
            <w:szCs w:val="24"/>
            <w:lang w:eastAsia="en-AU"/>
            <w14:ligatures w14:val="standardContextual"/>
          </w:rPr>
          <w:tab/>
        </w:r>
        <w:r w:rsidRPr="00533B68">
          <w:t>Setting aside default judgment</w:t>
        </w:r>
        <w:r>
          <w:tab/>
        </w:r>
        <w:r>
          <w:fldChar w:fldCharType="begin"/>
        </w:r>
        <w:r>
          <w:instrText xml:space="preserve"> PAGEREF _Toc185515371 \h </w:instrText>
        </w:r>
        <w:r>
          <w:fldChar w:fldCharType="separate"/>
        </w:r>
        <w:r>
          <w:t>999</w:t>
        </w:r>
        <w:r>
          <w:fldChar w:fldCharType="end"/>
        </w:r>
      </w:hyperlink>
    </w:p>
    <w:p w14:paraId="6A80177B" w14:textId="7841EA86" w:rsidR="00AC5392" w:rsidRDefault="001542D1">
      <w:pPr>
        <w:pStyle w:val="TOC4"/>
        <w:rPr>
          <w:rFonts w:asciiTheme="minorHAnsi" w:eastAsiaTheme="minorEastAsia" w:hAnsiTheme="minorHAnsi" w:cstheme="minorBidi"/>
          <w:b w:val="0"/>
          <w:kern w:val="2"/>
          <w:sz w:val="24"/>
          <w:szCs w:val="24"/>
          <w:lang w:eastAsia="en-AU"/>
          <w14:ligatures w14:val="standardContextual"/>
        </w:rPr>
      </w:pPr>
      <w:hyperlink w:anchor="_Toc185515372" w:history="1">
        <w:r w:rsidR="00AC5392" w:rsidRPr="00533B68">
          <w:t>Subdivision 6.8.12.4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Local service of foreign judicial documents</w:t>
        </w:r>
        <w:r w:rsidR="00AC5392" w:rsidRPr="00AC5392">
          <w:rPr>
            <w:vanish/>
          </w:rPr>
          <w:tab/>
        </w:r>
        <w:r w:rsidR="00AC5392" w:rsidRPr="00AC5392">
          <w:rPr>
            <w:vanish/>
          </w:rPr>
          <w:fldChar w:fldCharType="begin"/>
        </w:r>
        <w:r w:rsidR="00AC5392" w:rsidRPr="00AC5392">
          <w:rPr>
            <w:vanish/>
          </w:rPr>
          <w:instrText xml:space="preserve"> PAGEREF _Toc185515372 \h </w:instrText>
        </w:r>
        <w:r w:rsidR="00AC5392" w:rsidRPr="00AC5392">
          <w:rPr>
            <w:vanish/>
          </w:rPr>
        </w:r>
        <w:r w:rsidR="00AC5392" w:rsidRPr="00AC5392">
          <w:rPr>
            <w:vanish/>
          </w:rPr>
          <w:fldChar w:fldCharType="separate"/>
        </w:r>
        <w:r w:rsidR="00AC5392" w:rsidRPr="00AC5392">
          <w:rPr>
            <w:vanish/>
          </w:rPr>
          <w:t>999</w:t>
        </w:r>
        <w:r w:rsidR="00AC5392" w:rsidRPr="00AC5392">
          <w:rPr>
            <w:vanish/>
          </w:rPr>
          <w:fldChar w:fldCharType="end"/>
        </w:r>
      </w:hyperlink>
    </w:p>
    <w:p w14:paraId="4F11B1AF" w14:textId="232CE9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3" w:history="1">
        <w:r w:rsidRPr="00533B68">
          <w:t>6562</w:t>
        </w:r>
        <w:r>
          <w:rPr>
            <w:rFonts w:asciiTheme="minorHAnsi" w:eastAsiaTheme="minorEastAsia" w:hAnsiTheme="minorHAnsi" w:cstheme="minorBidi"/>
            <w:kern w:val="2"/>
            <w:sz w:val="24"/>
            <w:szCs w:val="24"/>
            <w:lang w:eastAsia="en-AU"/>
            <w14:ligatures w14:val="standardContextual"/>
          </w:rPr>
          <w:tab/>
        </w:r>
        <w:r w:rsidRPr="00533B68">
          <w:t>Application—subdiv 6.8.12.4</w:t>
        </w:r>
        <w:r>
          <w:tab/>
        </w:r>
        <w:r>
          <w:fldChar w:fldCharType="begin"/>
        </w:r>
        <w:r>
          <w:instrText xml:space="preserve"> PAGEREF _Toc185515373 \h </w:instrText>
        </w:r>
        <w:r>
          <w:fldChar w:fldCharType="separate"/>
        </w:r>
        <w:r>
          <w:t>999</w:t>
        </w:r>
        <w:r>
          <w:fldChar w:fldCharType="end"/>
        </w:r>
      </w:hyperlink>
    </w:p>
    <w:p w14:paraId="74DA64E8" w14:textId="0D178C0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4" w:history="1">
        <w:r w:rsidRPr="00533B68">
          <w:t>6563</w:t>
        </w:r>
        <w:r>
          <w:rPr>
            <w:rFonts w:asciiTheme="minorHAnsi" w:eastAsiaTheme="minorEastAsia" w:hAnsiTheme="minorHAnsi" w:cstheme="minorBidi"/>
            <w:kern w:val="2"/>
            <w:sz w:val="24"/>
            <w:szCs w:val="24"/>
            <w:lang w:eastAsia="en-AU"/>
            <w14:ligatures w14:val="standardContextual"/>
          </w:rPr>
          <w:tab/>
        </w:r>
        <w:r w:rsidRPr="00533B68">
          <w:t>Certain documents to be referred back to Attorney</w:t>
        </w:r>
        <w:r w:rsidRPr="00533B68">
          <w:noBreakHyphen/>
          <w:t>General of the Commonwealth</w:t>
        </w:r>
        <w:r>
          <w:tab/>
        </w:r>
        <w:r>
          <w:fldChar w:fldCharType="begin"/>
        </w:r>
        <w:r>
          <w:instrText xml:space="preserve"> PAGEREF _Toc185515374 \h </w:instrText>
        </w:r>
        <w:r>
          <w:fldChar w:fldCharType="separate"/>
        </w:r>
        <w:r>
          <w:t>1000</w:t>
        </w:r>
        <w:r>
          <w:fldChar w:fldCharType="end"/>
        </w:r>
      </w:hyperlink>
    </w:p>
    <w:p w14:paraId="795E0C6B" w14:textId="5B64D63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5" w:history="1">
        <w:r w:rsidRPr="00533B68">
          <w:t>6564</w:t>
        </w:r>
        <w:r>
          <w:rPr>
            <w:rFonts w:asciiTheme="minorHAnsi" w:eastAsiaTheme="minorEastAsia" w:hAnsiTheme="minorHAnsi" w:cstheme="minorBidi"/>
            <w:kern w:val="2"/>
            <w:sz w:val="24"/>
            <w:szCs w:val="24"/>
            <w:lang w:eastAsia="en-AU"/>
            <w14:ligatures w14:val="standardContextual"/>
          </w:rPr>
          <w:tab/>
        </w:r>
        <w:r w:rsidRPr="00533B68">
          <w:t>Service of foreign judicial documents etc</w:t>
        </w:r>
        <w:r>
          <w:tab/>
        </w:r>
        <w:r>
          <w:fldChar w:fldCharType="begin"/>
        </w:r>
        <w:r>
          <w:instrText xml:space="preserve"> PAGEREF _Toc185515375 \h </w:instrText>
        </w:r>
        <w:r>
          <w:fldChar w:fldCharType="separate"/>
        </w:r>
        <w:r>
          <w:t>1001</w:t>
        </w:r>
        <w:r>
          <w:fldChar w:fldCharType="end"/>
        </w:r>
      </w:hyperlink>
    </w:p>
    <w:p w14:paraId="280F53B1" w14:textId="4679FF3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6" w:history="1">
        <w:r w:rsidRPr="00533B68">
          <w:t>6565</w:t>
        </w:r>
        <w:r>
          <w:rPr>
            <w:rFonts w:asciiTheme="minorHAnsi" w:eastAsiaTheme="minorEastAsia" w:hAnsiTheme="minorHAnsi" w:cstheme="minorBidi"/>
            <w:kern w:val="2"/>
            <w:sz w:val="24"/>
            <w:szCs w:val="24"/>
            <w:lang w:eastAsia="en-AU"/>
            <w14:ligatures w14:val="standardContextual"/>
          </w:rPr>
          <w:tab/>
        </w:r>
        <w:r w:rsidRPr="00533B68">
          <w:t>Affidavit about service</w:t>
        </w:r>
        <w:r>
          <w:tab/>
        </w:r>
        <w:r>
          <w:fldChar w:fldCharType="begin"/>
        </w:r>
        <w:r>
          <w:instrText xml:space="preserve"> PAGEREF _Toc185515376 \h </w:instrText>
        </w:r>
        <w:r>
          <w:fldChar w:fldCharType="separate"/>
        </w:r>
        <w:r>
          <w:t>1002</w:t>
        </w:r>
        <w:r>
          <w:fldChar w:fldCharType="end"/>
        </w:r>
      </w:hyperlink>
    </w:p>
    <w:p w14:paraId="6F0A79A6" w14:textId="1532FEF8"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377" w:history="1">
        <w:r w:rsidR="00AC5392" w:rsidRPr="00533B68">
          <w:t>Part 6.9</w:t>
        </w:r>
        <w:r w:rsidR="00AC5392">
          <w:rPr>
            <w:rFonts w:asciiTheme="minorHAnsi" w:eastAsiaTheme="minorEastAsia" w:hAnsiTheme="minorHAnsi" w:cstheme="minorBidi"/>
            <w:b w:val="0"/>
            <w:kern w:val="2"/>
            <w:szCs w:val="24"/>
            <w:lang w:eastAsia="en-AU"/>
            <w14:ligatures w14:val="standardContextual"/>
          </w:rPr>
          <w:tab/>
        </w:r>
        <w:r w:rsidR="00AC5392" w:rsidRPr="00533B68">
          <w:t>Subpoenas</w:t>
        </w:r>
        <w:r w:rsidR="00AC5392" w:rsidRPr="00AC5392">
          <w:rPr>
            <w:vanish/>
          </w:rPr>
          <w:tab/>
        </w:r>
        <w:r w:rsidR="00AC5392" w:rsidRPr="00AC5392">
          <w:rPr>
            <w:vanish/>
          </w:rPr>
          <w:fldChar w:fldCharType="begin"/>
        </w:r>
        <w:r w:rsidR="00AC5392" w:rsidRPr="00AC5392">
          <w:rPr>
            <w:vanish/>
          </w:rPr>
          <w:instrText xml:space="preserve"> PAGEREF _Toc185515377 \h </w:instrText>
        </w:r>
        <w:r w:rsidR="00AC5392" w:rsidRPr="00AC5392">
          <w:rPr>
            <w:vanish/>
          </w:rPr>
        </w:r>
        <w:r w:rsidR="00AC5392" w:rsidRPr="00AC5392">
          <w:rPr>
            <w:vanish/>
          </w:rPr>
          <w:fldChar w:fldCharType="separate"/>
        </w:r>
        <w:r w:rsidR="00AC5392" w:rsidRPr="00AC5392">
          <w:rPr>
            <w:vanish/>
          </w:rPr>
          <w:t>1004</w:t>
        </w:r>
        <w:r w:rsidR="00AC5392" w:rsidRPr="00AC5392">
          <w:rPr>
            <w:vanish/>
          </w:rPr>
          <w:fldChar w:fldCharType="end"/>
        </w:r>
      </w:hyperlink>
    </w:p>
    <w:p w14:paraId="7FE9D906" w14:textId="51411D5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8" w:history="1">
        <w:r w:rsidRPr="00533B68">
          <w:t>6600</w:t>
        </w:r>
        <w:r>
          <w:rPr>
            <w:rFonts w:asciiTheme="minorHAnsi" w:eastAsiaTheme="minorEastAsia" w:hAnsiTheme="minorHAnsi" w:cstheme="minorBidi"/>
            <w:kern w:val="2"/>
            <w:sz w:val="24"/>
            <w:szCs w:val="24"/>
            <w:lang w:eastAsia="en-AU"/>
            <w14:ligatures w14:val="standardContextual"/>
          </w:rPr>
          <w:tab/>
        </w:r>
        <w:r w:rsidRPr="00533B68">
          <w:t>Definitions—pt 6.9</w:t>
        </w:r>
        <w:r>
          <w:tab/>
        </w:r>
        <w:r>
          <w:fldChar w:fldCharType="begin"/>
        </w:r>
        <w:r>
          <w:instrText xml:space="preserve"> PAGEREF _Toc185515378 \h </w:instrText>
        </w:r>
        <w:r>
          <w:fldChar w:fldCharType="separate"/>
        </w:r>
        <w:r>
          <w:t>1004</w:t>
        </w:r>
        <w:r>
          <w:fldChar w:fldCharType="end"/>
        </w:r>
      </w:hyperlink>
    </w:p>
    <w:p w14:paraId="4937C7F8" w14:textId="4A0FD1E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79" w:history="1">
        <w:r w:rsidRPr="00533B68">
          <w:t>6601</w:t>
        </w:r>
        <w:r>
          <w:rPr>
            <w:rFonts w:asciiTheme="minorHAnsi" w:eastAsiaTheme="minorEastAsia" w:hAnsiTheme="minorHAnsi" w:cstheme="minorBidi"/>
            <w:kern w:val="2"/>
            <w:sz w:val="24"/>
            <w:szCs w:val="24"/>
            <w:lang w:eastAsia="en-AU"/>
            <w14:ligatures w14:val="standardContextual"/>
          </w:rPr>
          <w:tab/>
        </w:r>
        <w:r w:rsidRPr="00533B68">
          <w:t>Issuing subpoena</w:t>
        </w:r>
        <w:r>
          <w:tab/>
        </w:r>
        <w:r>
          <w:fldChar w:fldCharType="begin"/>
        </w:r>
        <w:r>
          <w:instrText xml:space="preserve"> PAGEREF _Toc185515379 \h </w:instrText>
        </w:r>
        <w:r>
          <w:fldChar w:fldCharType="separate"/>
        </w:r>
        <w:r>
          <w:t>1004</w:t>
        </w:r>
        <w:r>
          <w:fldChar w:fldCharType="end"/>
        </w:r>
      </w:hyperlink>
    </w:p>
    <w:p w14:paraId="7BFF5A9E" w14:textId="5BF433F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0" w:history="1">
        <w:r w:rsidRPr="00533B68">
          <w:t>6601A</w:t>
        </w:r>
        <w:r>
          <w:rPr>
            <w:rFonts w:asciiTheme="minorHAnsi" w:eastAsiaTheme="minorEastAsia" w:hAnsiTheme="minorHAnsi" w:cstheme="minorBidi"/>
            <w:kern w:val="2"/>
            <w:sz w:val="24"/>
            <w:szCs w:val="24"/>
            <w:lang w:eastAsia="en-AU"/>
            <w14:ligatures w14:val="standardContextual"/>
          </w:rPr>
          <w:tab/>
        </w:r>
        <w:r w:rsidRPr="00533B68">
          <w:t>Issuing subpoena to produce—originating claim</w:t>
        </w:r>
        <w:r>
          <w:tab/>
        </w:r>
        <w:r>
          <w:fldChar w:fldCharType="begin"/>
        </w:r>
        <w:r>
          <w:instrText xml:space="preserve"> PAGEREF _Toc185515380 \h </w:instrText>
        </w:r>
        <w:r>
          <w:fldChar w:fldCharType="separate"/>
        </w:r>
        <w:r>
          <w:t>1005</w:t>
        </w:r>
        <w:r>
          <w:fldChar w:fldCharType="end"/>
        </w:r>
      </w:hyperlink>
    </w:p>
    <w:p w14:paraId="0E446453" w14:textId="427AEC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1" w:history="1">
        <w:r w:rsidRPr="00533B68">
          <w:t>6601B</w:t>
        </w:r>
        <w:r>
          <w:rPr>
            <w:rFonts w:asciiTheme="minorHAnsi" w:eastAsiaTheme="minorEastAsia" w:hAnsiTheme="minorHAnsi" w:cstheme="minorBidi"/>
            <w:kern w:val="2"/>
            <w:sz w:val="24"/>
            <w:szCs w:val="24"/>
            <w:lang w:eastAsia="en-AU"/>
            <w14:ligatures w14:val="standardContextual"/>
          </w:rPr>
          <w:tab/>
        </w:r>
        <w:r w:rsidRPr="00533B68">
          <w:t>Issuing subpoena to produce—originating application</w:t>
        </w:r>
        <w:r>
          <w:tab/>
        </w:r>
        <w:r>
          <w:fldChar w:fldCharType="begin"/>
        </w:r>
        <w:r>
          <w:instrText xml:space="preserve"> PAGEREF _Toc185515381 \h </w:instrText>
        </w:r>
        <w:r>
          <w:fldChar w:fldCharType="separate"/>
        </w:r>
        <w:r>
          <w:t>1006</w:t>
        </w:r>
        <w:r>
          <w:fldChar w:fldCharType="end"/>
        </w:r>
      </w:hyperlink>
    </w:p>
    <w:p w14:paraId="70C9809E" w14:textId="00C99C6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2" w:history="1">
        <w:r w:rsidRPr="00533B68">
          <w:t>6602</w:t>
        </w:r>
        <w:r>
          <w:rPr>
            <w:rFonts w:asciiTheme="minorHAnsi" w:eastAsiaTheme="minorEastAsia" w:hAnsiTheme="minorHAnsi" w:cstheme="minorBidi"/>
            <w:kern w:val="2"/>
            <w:sz w:val="24"/>
            <w:szCs w:val="24"/>
            <w:lang w:eastAsia="en-AU"/>
            <w14:ligatures w14:val="standardContextual"/>
          </w:rPr>
          <w:tab/>
        </w:r>
        <w:r w:rsidRPr="00533B68">
          <w:t>Form of subpoena</w:t>
        </w:r>
        <w:r>
          <w:tab/>
        </w:r>
        <w:r>
          <w:fldChar w:fldCharType="begin"/>
        </w:r>
        <w:r>
          <w:instrText xml:space="preserve"> PAGEREF _Toc185515382 \h </w:instrText>
        </w:r>
        <w:r>
          <w:fldChar w:fldCharType="separate"/>
        </w:r>
        <w:r>
          <w:t>1006</w:t>
        </w:r>
        <w:r>
          <w:fldChar w:fldCharType="end"/>
        </w:r>
      </w:hyperlink>
    </w:p>
    <w:p w14:paraId="7D581DA3" w14:textId="5180CF6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3" w:history="1">
        <w:r w:rsidRPr="00533B68">
          <w:t>6603</w:t>
        </w:r>
        <w:r>
          <w:rPr>
            <w:rFonts w:asciiTheme="minorHAnsi" w:eastAsiaTheme="minorEastAsia" w:hAnsiTheme="minorHAnsi" w:cstheme="minorBidi"/>
            <w:kern w:val="2"/>
            <w:sz w:val="24"/>
            <w:szCs w:val="24"/>
            <w:lang w:eastAsia="en-AU"/>
            <w14:ligatures w14:val="standardContextual"/>
          </w:rPr>
          <w:tab/>
        </w:r>
        <w:r w:rsidRPr="00533B68">
          <w:t>Subpoena—leave to serve late</w:t>
        </w:r>
        <w:r>
          <w:tab/>
        </w:r>
        <w:r>
          <w:fldChar w:fldCharType="begin"/>
        </w:r>
        <w:r>
          <w:instrText xml:space="preserve"> PAGEREF _Toc185515383 \h </w:instrText>
        </w:r>
        <w:r>
          <w:fldChar w:fldCharType="separate"/>
        </w:r>
        <w:r>
          <w:t>1007</w:t>
        </w:r>
        <w:r>
          <w:fldChar w:fldCharType="end"/>
        </w:r>
      </w:hyperlink>
    </w:p>
    <w:p w14:paraId="3875FA50" w14:textId="55A0F1D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4" w:history="1">
        <w:r w:rsidRPr="00533B68">
          <w:t>6603A</w:t>
        </w:r>
        <w:r>
          <w:rPr>
            <w:rFonts w:asciiTheme="minorHAnsi" w:eastAsiaTheme="minorEastAsia" w:hAnsiTheme="minorHAnsi" w:cstheme="minorBidi"/>
            <w:kern w:val="2"/>
            <w:sz w:val="24"/>
            <w:szCs w:val="24"/>
            <w:lang w:eastAsia="en-AU"/>
            <w14:ligatures w14:val="standardContextual"/>
          </w:rPr>
          <w:tab/>
        </w:r>
        <w:r w:rsidRPr="00533B68">
          <w:t>Subpoena—change of date for attendance of production</w:t>
        </w:r>
        <w:r>
          <w:tab/>
        </w:r>
        <w:r>
          <w:fldChar w:fldCharType="begin"/>
        </w:r>
        <w:r>
          <w:instrText xml:space="preserve"> PAGEREF _Toc185515384 \h </w:instrText>
        </w:r>
        <w:r>
          <w:fldChar w:fldCharType="separate"/>
        </w:r>
        <w:r>
          <w:t>1009</w:t>
        </w:r>
        <w:r>
          <w:fldChar w:fldCharType="end"/>
        </w:r>
      </w:hyperlink>
    </w:p>
    <w:p w14:paraId="2110B1E5" w14:textId="1A6B9B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5" w:history="1">
        <w:r w:rsidRPr="00533B68">
          <w:t>6604</w:t>
        </w:r>
        <w:r>
          <w:rPr>
            <w:rFonts w:asciiTheme="minorHAnsi" w:eastAsiaTheme="minorEastAsia" w:hAnsiTheme="minorHAnsi" w:cstheme="minorBidi"/>
            <w:kern w:val="2"/>
            <w:sz w:val="24"/>
            <w:szCs w:val="24"/>
            <w:lang w:eastAsia="en-AU"/>
            <w14:ligatures w14:val="standardContextual"/>
          </w:rPr>
          <w:tab/>
        </w:r>
        <w:r w:rsidRPr="00533B68">
          <w:t>Setting aside subpoena or other relief</w:t>
        </w:r>
        <w:r>
          <w:tab/>
        </w:r>
        <w:r>
          <w:fldChar w:fldCharType="begin"/>
        </w:r>
        <w:r>
          <w:instrText xml:space="preserve"> PAGEREF _Toc185515385 \h </w:instrText>
        </w:r>
        <w:r>
          <w:fldChar w:fldCharType="separate"/>
        </w:r>
        <w:r>
          <w:t>1009</w:t>
        </w:r>
        <w:r>
          <w:fldChar w:fldCharType="end"/>
        </w:r>
      </w:hyperlink>
    </w:p>
    <w:p w14:paraId="18856813" w14:textId="2D4BA6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6" w:history="1">
        <w:r w:rsidRPr="00533B68">
          <w:t>6605</w:t>
        </w:r>
        <w:r>
          <w:rPr>
            <w:rFonts w:asciiTheme="minorHAnsi" w:eastAsiaTheme="minorEastAsia" w:hAnsiTheme="minorHAnsi" w:cstheme="minorBidi"/>
            <w:kern w:val="2"/>
            <w:sz w:val="24"/>
            <w:szCs w:val="24"/>
            <w:lang w:eastAsia="en-AU"/>
            <w14:ligatures w14:val="standardContextual"/>
          </w:rPr>
          <w:tab/>
        </w:r>
        <w:r w:rsidRPr="00533B68">
          <w:t>Service of subpoena</w:t>
        </w:r>
        <w:r>
          <w:tab/>
        </w:r>
        <w:r>
          <w:fldChar w:fldCharType="begin"/>
        </w:r>
        <w:r>
          <w:instrText xml:space="preserve"> PAGEREF _Toc185515386 \h </w:instrText>
        </w:r>
        <w:r>
          <w:fldChar w:fldCharType="separate"/>
        </w:r>
        <w:r>
          <w:t>1010</w:t>
        </w:r>
        <w:r>
          <w:fldChar w:fldCharType="end"/>
        </w:r>
      </w:hyperlink>
    </w:p>
    <w:p w14:paraId="50F65820" w14:textId="4A4CDB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7" w:history="1">
        <w:r w:rsidRPr="00533B68">
          <w:t>6606</w:t>
        </w:r>
        <w:r>
          <w:rPr>
            <w:rFonts w:asciiTheme="minorHAnsi" w:eastAsiaTheme="minorEastAsia" w:hAnsiTheme="minorHAnsi" w:cstheme="minorBidi"/>
            <w:kern w:val="2"/>
            <w:sz w:val="24"/>
            <w:szCs w:val="24"/>
            <w:lang w:eastAsia="en-AU"/>
            <w14:ligatures w14:val="standardContextual"/>
          </w:rPr>
          <w:tab/>
        </w:r>
        <w:r w:rsidRPr="00533B68">
          <w:t>Compliance with subpoena</w:t>
        </w:r>
        <w:r>
          <w:tab/>
        </w:r>
        <w:r>
          <w:fldChar w:fldCharType="begin"/>
        </w:r>
        <w:r>
          <w:instrText xml:space="preserve"> PAGEREF _Toc185515387 \h </w:instrText>
        </w:r>
        <w:r>
          <w:fldChar w:fldCharType="separate"/>
        </w:r>
        <w:r>
          <w:t>1010</w:t>
        </w:r>
        <w:r>
          <w:fldChar w:fldCharType="end"/>
        </w:r>
      </w:hyperlink>
    </w:p>
    <w:p w14:paraId="159F9872" w14:textId="0193631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8" w:history="1">
        <w:r w:rsidRPr="00533B68">
          <w:t>6607</w:t>
        </w:r>
        <w:r>
          <w:rPr>
            <w:rFonts w:asciiTheme="minorHAnsi" w:eastAsiaTheme="minorEastAsia" w:hAnsiTheme="minorHAnsi" w:cstheme="minorBidi"/>
            <w:kern w:val="2"/>
            <w:sz w:val="24"/>
            <w:szCs w:val="24"/>
            <w:lang w:eastAsia="en-AU"/>
            <w14:ligatures w14:val="standardContextual"/>
          </w:rPr>
          <w:tab/>
        </w:r>
        <w:r w:rsidRPr="00533B68">
          <w:t>Production of subpoenaed document etc otherwise than on attendance</w:t>
        </w:r>
        <w:r>
          <w:tab/>
        </w:r>
        <w:r>
          <w:fldChar w:fldCharType="begin"/>
        </w:r>
        <w:r>
          <w:instrText xml:space="preserve"> PAGEREF _Toc185515388 \h </w:instrText>
        </w:r>
        <w:r>
          <w:fldChar w:fldCharType="separate"/>
        </w:r>
        <w:r>
          <w:t>1012</w:t>
        </w:r>
        <w:r>
          <w:fldChar w:fldCharType="end"/>
        </w:r>
      </w:hyperlink>
    </w:p>
    <w:p w14:paraId="26A81892" w14:textId="0E4C75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89" w:history="1">
        <w:r w:rsidRPr="00533B68">
          <w:t>6607A</w:t>
        </w:r>
        <w:r>
          <w:rPr>
            <w:rFonts w:asciiTheme="minorHAnsi" w:eastAsiaTheme="minorEastAsia" w:hAnsiTheme="minorHAnsi" w:cstheme="minorBidi"/>
            <w:kern w:val="2"/>
            <w:sz w:val="24"/>
            <w:szCs w:val="24"/>
            <w:lang w:eastAsia="en-AU"/>
            <w14:ligatures w14:val="standardContextual"/>
          </w:rPr>
          <w:tab/>
        </w:r>
        <w:r w:rsidRPr="00533B68">
          <w:t>Addressee declaration on production of subpoenaed document or thing</w:t>
        </w:r>
        <w:r>
          <w:tab/>
        </w:r>
        <w:r>
          <w:fldChar w:fldCharType="begin"/>
        </w:r>
        <w:r>
          <w:instrText xml:space="preserve"> PAGEREF _Toc185515389 \h </w:instrText>
        </w:r>
        <w:r>
          <w:fldChar w:fldCharType="separate"/>
        </w:r>
        <w:r>
          <w:t>1012</w:t>
        </w:r>
        <w:r>
          <w:fldChar w:fldCharType="end"/>
        </w:r>
      </w:hyperlink>
    </w:p>
    <w:p w14:paraId="19C353A3" w14:textId="263F6A1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0" w:history="1">
        <w:r w:rsidRPr="00533B68">
          <w:t>6608</w:t>
        </w:r>
        <w:r>
          <w:rPr>
            <w:rFonts w:asciiTheme="minorHAnsi" w:eastAsiaTheme="minorEastAsia" w:hAnsiTheme="minorHAnsi" w:cstheme="minorBidi"/>
            <w:kern w:val="2"/>
            <w:sz w:val="24"/>
            <w:szCs w:val="24"/>
            <w:lang w:eastAsia="en-AU"/>
            <w14:ligatures w14:val="standardContextual"/>
          </w:rPr>
          <w:tab/>
        </w:r>
        <w:r w:rsidRPr="00533B68">
          <w:t>Removal, return, inspection etc of subpoenaed documents and things</w:t>
        </w:r>
        <w:r>
          <w:tab/>
        </w:r>
        <w:r>
          <w:fldChar w:fldCharType="begin"/>
        </w:r>
        <w:r>
          <w:instrText xml:space="preserve"> PAGEREF _Toc185515390 \h </w:instrText>
        </w:r>
        <w:r>
          <w:fldChar w:fldCharType="separate"/>
        </w:r>
        <w:r>
          <w:t>1013</w:t>
        </w:r>
        <w:r>
          <w:fldChar w:fldCharType="end"/>
        </w:r>
      </w:hyperlink>
    </w:p>
    <w:p w14:paraId="756C4956" w14:textId="69D602FB"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391" w:history="1">
        <w:r w:rsidRPr="00533B68">
          <w:t>6609</w:t>
        </w:r>
        <w:r>
          <w:rPr>
            <w:rFonts w:asciiTheme="minorHAnsi" w:eastAsiaTheme="minorEastAsia" w:hAnsiTheme="minorHAnsi" w:cstheme="minorBidi"/>
            <w:kern w:val="2"/>
            <w:sz w:val="24"/>
            <w:szCs w:val="24"/>
            <w:lang w:eastAsia="en-AU"/>
            <w14:ligatures w14:val="standardContextual"/>
          </w:rPr>
          <w:tab/>
        </w:r>
        <w:r w:rsidRPr="00533B68">
          <w:t>Inspection of, and dealing with, subpoenaed documents and things produced otherwise than on attendance</w:t>
        </w:r>
        <w:r>
          <w:tab/>
        </w:r>
        <w:r>
          <w:fldChar w:fldCharType="begin"/>
        </w:r>
        <w:r>
          <w:instrText xml:space="preserve"> PAGEREF _Toc185515391 \h </w:instrText>
        </w:r>
        <w:r>
          <w:fldChar w:fldCharType="separate"/>
        </w:r>
        <w:r>
          <w:t>1013</w:t>
        </w:r>
        <w:r>
          <w:fldChar w:fldCharType="end"/>
        </w:r>
      </w:hyperlink>
    </w:p>
    <w:p w14:paraId="56466020" w14:textId="523D3A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2" w:history="1">
        <w:r w:rsidRPr="00533B68">
          <w:t>6610</w:t>
        </w:r>
        <w:r>
          <w:rPr>
            <w:rFonts w:asciiTheme="minorHAnsi" w:eastAsiaTheme="minorEastAsia" w:hAnsiTheme="minorHAnsi" w:cstheme="minorBidi"/>
            <w:kern w:val="2"/>
            <w:sz w:val="24"/>
            <w:szCs w:val="24"/>
            <w:lang w:eastAsia="en-AU"/>
            <w14:ligatures w14:val="standardContextual"/>
          </w:rPr>
          <w:tab/>
        </w:r>
        <w:r w:rsidRPr="00533B68">
          <w:t>Return or disposal of subpoenaed documents and things produced</w:t>
        </w:r>
        <w:r>
          <w:tab/>
        </w:r>
        <w:r>
          <w:fldChar w:fldCharType="begin"/>
        </w:r>
        <w:r>
          <w:instrText xml:space="preserve"> PAGEREF _Toc185515392 \h </w:instrText>
        </w:r>
        <w:r>
          <w:fldChar w:fldCharType="separate"/>
        </w:r>
        <w:r>
          <w:t>1015</w:t>
        </w:r>
        <w:r>
          <w:fldChar w:fldCharType="end"/>
        </w:r>
      </w:hyperlink>
    </w:p>
    <w:p w14:paraId="64E29D70" w14:textId="1202C4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3" w:history="1">
        <w:r w:rsidRPr="00533B68">
          <w:t>6611</w:t>
        </w:r>
        <w:r>
          <w:rPr>
            <w:rFonts w:asciiTheme="minorHAnsi" w:eastAsiaTheme="minorEastAsia" w:hAnsiTheme="minorHAnsi" w:cstheme="minorBidi"/>
            <w:kern w:val="2"/>
            <w:sz w:val="24"/>
            <w:szCs w:val="24"/>
            <w:lang w:eastAsia="en-AU"/>
            <w14:ligatures w14:val="standardContextual"/>
          </w:rPr>
          <w:tab/>
        </w:r>
        <w:r w:rsidRPr="00533B68">
          <w:t>Costs and expenses of compliance with subpoena</w:t>
        </w:r>
        <w:r>
          <w:tab/>
        </w:r>
        <w:r>
          <w:fldChar w:fldCharType="begin"/>
        </w:r>
        <w:r>
          <w:instrText xml:space="preserve"> PAGEREF _Toc185515393 \h </w:instrText>
        </w:r>
        <w:r>
          <w:fldChar w:fldCharType="separate"/>
        </w:r>
        <w:r>
          <w:t>1016</w:t>
        </w:r>
        <w:r>
          <w:fldChar w:fldCharType="end"/>
        </w:r>
      </w:hyperlink>
    </w:p>
    <w:p w14:paraId="64BECE84" w14:textId="0F2B79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4" w:history="1">
        <w:r w:rsidRPr="00533B68">
          <w:t>6612</w:t>
        </w:r>
        <w:r>
          <w:rPr>
            <w:rFonts w:asciiTheme="minorHAnsi" w:eastAsiaTheme="minorEastAsia" w:hAnsiTheme="minorHAnsi" w:cstheme="minorBidi"/>
            <w:kern w:val="2"/>
            <w:sz w:val="24"/>
            <w:szCs w:val="24"/>
            <w:lang w:eastAsia="en-AU"/>
            <w14:ligatures w14:val="standardContextual"/>
          </w:rPr>
          <w:tab/>
        </w:r>
        <w:r w:rsidRPr="00533B68">
          <w:t>Failure to comply with subpoena—contempt of court</w:t>
        </w:r>
        <w:r>
          <w:tab/>
        </w:r>
        <w:r>
          <w:fldChar w:fldCharType="begin"/>
        </w:r>
        <w:r>
          <w:instrText xml:space="preserve"> PAGEREF _Toc185515394 \h </w:instrText>
        </w:r>
        <w:r>
          <w:fldChar w:fldCharType="separate"/>
        </w:r>
        <w:r>
          <w:t>1017</w:t>
        </w:r>
        <w:r>
          <w:fldChar w:fldCharType="end"/>
        </w:r>
      </w:hyperlink>
    </w:p>
    <w:p w14:paraId="07058F53" w14:textId="11DBA7E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5" w:history="1">
        <w:r w:rsidRPr="00533B68">
          <w:t>6613</w:t>
        </w:r>
        <w:r>
          <w:rPr>
            <w:rFonts w:asciiTheme="minorHAnsi" w:eastAsiaTheme="minorEastAsia" w:hAnsiTheme="minorHAnsi" w:cstheme="minorBidi"/>
            <w:kern w:val="2"/>
            <w:sz w:val="24"/>
            <w:szCs w:val="24"/>
            <w:lang w:eastAsia="en-AU"/>
            <w14:ligatures w14:val="standardContextual"/>
          </w:rPr>
          <w:tab/>
        </w:r>
        <w:r w:rsidRPr="00533B68">
          <w:t>Documents and things in custody of court</w:t>
        </w:r>
        <w:r>
          <w:tab/>
        </w:r>
        <w:r>
          <w:fldChar w:fldCharType="begin"/>
        </w:r>
        <w:r>
          <w:instrText xml:space="preserve"> PAGEREF _Toc185515395 \h </w:instrText>
        </w:r>
        <w:r>
          <w:fldChar w:fldCharType="separate"/>
        </w:r>
        <w:r>
          <w:t>1017</w:t>
        </w:r>
        <w:r>
          <w:fldChar w:fldCharType="end"/>
        </w:r>
      </w:hyperlink>
    </w:p>
    <w:p w14:paraId="7B580FCE" w14:textId="32C5D8F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6" w:history="1">
        <w:r w:rsidRPr="00533B68">
          <w:t>6614</w:t>
        </w:r>
        <w:r>
          <w:rPr>
            <w:rFonts w:asciiTheme="minorHAnsi" w:eastAsiaTheme="minorEastAsia" w:hAnsiTheme="minorHAnsi" w:cstheme="minorBidi"/>
            <w:kern w:val="2"/>
            <w:sz w:val="24"/>
            <w:szCs w:val="24"/>
            <w:lang w:eastAsia="en-AU"/>
            <w14:ligatures w14:val="standardContextual"/>
          </w:rPr>
          <w:tab/>
        </w:r>
        <w:r w:rsidRPr="00533B68">
          <w:t>Application of pt 6.9—subpoena under Commercial Arbitration Act</w:t>
        </w:r>
        <w:r>
          <w:tab/>
        </w:r>
        <w:r>
          <w:fldChar w:fldCharType="begin"/>
        </w:r>
        <w:r>
          <w:instrText xml:space="preserve"> PAGEREF _Toc185515396 \h </w:instrText>
        </w:r>
        <w:r>
          <w:fldChar w:fldCharType="separate"/>
        </w:r>
        <w:r>
          <w:t>1018</w:t>
        </w:r>
        <w:r>
          <w:fldChar w:fldCharType="end"/>
        </w:r>
      </w:hyperlink>
    </w:p>
    <w:p w14:paraId="7C635BED" w14:textId="6B2203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7" w:history="1">
        <w:r w:rsidRPr="00533B68">
          <w:t>6615</w:t>
        </w:r>
        <w:r>
          <w:rPr>
            <w:rFonts w:asciiTheme="minorHAnsi" w:eastAsiaTheme="minorEastAsia" w:hAnsiTheme="minorHAnsi" w:cstheme="minorBidi"/>
            <w:kern w:val="2"/>
            <w:sz w:val="24"/>
            <w:szCs w:val="24"/>
            <w:lang w:eastAsia="en-AU"/>
            <w14:ligatures w14:val="standardContextual"/>
          </w:rPr>
          <w:tab/>
        </w:r>
        <w:r w:rsidRPr="00533B68">
          <w:t>Subpoena issued by ACAT—leave to serve outside ACT</w:t>
        </w:r>
        <w:r>
          <w:tab/>
        </w:r>
        <w:r>
          <w:fldChar w:fldCharType="begin"/>
        </w:r>
        <w:r>
          <w:instrText xml:space="preserve"> PAGEREF _Toc185515397 \h </w:instrText>
        </w:r>
        <w:r>
          <w:fldChar w:fldCharType="separate"/>
        </w:r>
        <w:r>
          <w:t>1019</w:t>
        </w:r>
        <w:r>
          <w:fldChar w:fldCharType="end"/>
        </w:r>
      </w:hyperlink>
    </w:p>
    <w:p w14:paraId="0ACA8A50" w14:textId="12F2074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398" w:history="1">
        <w:r w:rsidRPr="00533B68">
          <w:t>6615A</w:t>
        </w:r>
        <w:r>
          <w:rPr>
            <w:rFonts w:asciiTheme="minorHAnsi" w:eastAsiaTheme="minorEastAsia" w:hAnsiTheme="minorHAnsi" w:cstheme="minorBidi"/>
            <w:kern w:val="2"/>
            <w:sz w:val="24"/>
            <w:szCs w:val="24"/>
            <w:lang w:eastAsia="en-AU"/>
            <w14:ligatures w14:val="standardContextual"/>
          </w:rPr>
          <w:tab/>
        </w:r>
        <w:r w:rsidRPr="00533B68">
          <w:t>Examination summons issued by ACT Integrity Commission—leave to serve outside ACT</w:t>
        </w:r>
        <w:r>
          <w:tab/>
        </w:r>
        <w:r>
          <w:fldChar w:fldCharType="begin"/>
        </w:r>
        <w:r>
          <w:instrText xml:space="preserve"> PAGEREF _Toc185515398 \h </w:instrText>
        </w:r>
        <w:r>
          <w:fldChar w:fldCharType="separate"/>
        </w:r>
        <w:r>
          <w:t>1020</w:t>
        </w:r>
        <w:r>
          <w:fldChar w:fldCharType="end"/>
        </w:r>
      </w:hyperlink>
    </w:p>
    <w:p w14:paraId="1728D23E" w14:textId="46A0C279"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399" w:history="1">
        <w:r w:rsidR="00AC5392" w:rsidRPr="00533B68">
          <w:t>Part 6.10</w:t>
        </w:r>
        <w:r w:rsidR="00AC5392">
          <w:rPr>
            <w:rFonts w:asciiTheme="minorHAnsi" w:eastAsiaTheme="minorEastAsia" w:hAnsiTheme="minorHAnsi" w:cstheme="minorBidi"/>
            <w:b w:val="0"/>
            <w:kern w:val="2"/>
            <w:szCs w:val="24"/>
            <w:lang w:eastAsia="en-AU"/>
            <w14:ligatures w14:val="standardContextual"/>
          </w:rPr>
          <w:tab/>
        </w:r>
        <w:r w:rsidR="00AC5392" w:rsidRPr="00533B68">
          <w:t>Evidence</w:t>
        </w:r>
        <w:r w:rsidR="00AC5392" w:rsidRPr="00AC5392">
          <w:rPr>
            <w:vanish/>
          </w:rPr>
          <w:tab/>
        </w:r>
        <w:r w:rsidR="00AC5392" w:rsidRPr="00AC5392">
          <w:rPr>
            <w:vanish/>
          </w:rPr>
          <w:fldChar w:fldCharType="begin"/>
        </w:r>
        <w:r w:rsidR="00AC5392" w:rsidRPr="00AC5392">
          <w:rPr>
            <w:vanish/>
          </w:rPr>
          <w:instrText xml:space="preserve"> PAGEREF _Toc185515399 \h </w:instrText>
        </w:r>
        <w:r w:rsidR="00AC5392" w:rsidRPr="00AC5392">
          <w:rPr>
            <w:vanish/>
          </w:rPr>
        </w:r>
        <w:r w:rsidR="00AC5392" w:rsidRPr="00AC5392">
          <w:rPr>
            <w:vanish/>
          </w:rPr>
          <w:fldChar w:fldCharType="separate"/>
        </w:r>
        <w:r w:rsidR="00AC5392" w:rsidRPr="00AC5392">
          <w:rPr>
            <w:vanish/>
          </w:rPr>
          <w:t>1022</w:t>
        </w:r>
        <w:r w:rsidR="00AC5392" w:rsidRPr="00AC5392">
          <w:rPr>
            <w:vanish/>
          </w:rPr>
          <w:fldChar w:fldCharType="end"/>
        </w:r>
      </w:hyperlink>
    </w:p>
    <w:p w14:paraId="14164A53" w14:textId="3ADC8A1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00" w:history="1">
        <w:r w:rsidR="00AC5392" w:rsidRPr="00533B68">
          <w:t>Division 6.10.1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General—pt 6.10</w:t>
        </w:r>
        <w:r w:rsidR="00AC5392" w:rsidRPr="00AC5392">
          <w:rPr>
            <w:vanish/>
          </w:rPr>
          <w:tab/>
        </w:r>
        <w:r w:rsidR="00AC5392" w:rsidRPr="00AC5392">
          <w:rPr>
            <w:vanish/>
          </w:rPr>
          <w:fldChar w:fldCharType="begin"/>
        </w:r>
        <w:r w:rsidR="00AC5392" w:rsidRPr="00AC5392">
          <w:rPr>
            <w:vanish/>
          </w:rPr>
          <w:instrText xml:space="preserve"> PAGEREF _Toc185515400 \h </w:instrText>
        </w:r>
        <w:r w:rsidR="00AC5392" w:rsidRPr="00AC5392">
          <w:rPr>
            <w:vanish/>
          </w:rPr>
        </w:r>
        <w:r w:rsidR="00AC5392" w:rsidRPr="00AC5392">
          <w:rPr>
            <w:vanish/>
          </w:rPr>
          <w:fldChar w:fldCharType="separate"/>
        </w:r>
        <w:r w:rsidR="00AC5392" w:rsidRPr="00AC5392">
          <w:rPr>
            <w:vanish/>
          </w:rPr>
          <w:t>1022</w:t>
        </w:r>
        <w:r w:rsidR="00AC5392" w:rsidRPr="00AC5392">
          <w:rPr>
            <w:vanish/>
          </w:rPr>
          <w:fldChar w:fldCharType="end"/>
        </w:r>
      </w:hyperlink>
    </w:p>
    <w:p w14:paraId="362E15AA" w14:textId="6A0E669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1" w:history="1">
        <w:r w:rsidRPr="00533B68">
          <w:t>6700</w:t>
        </w:r>
        <w:r>
          <w:rPr>
            <w:rFonts w:asciiTheme="minorHAnsi" w:eastAsiaTheme="minorEastAsia" w:hAnsiTheme="minorHAnsi" w:cstheme="minorBidi"/>
            <w:kern w:val="2"/>
            <w:sz w:val="24"/>
            <w:szCs w:val="24"/>
            <w:lang w:eastAsia="en-AU"/>
            <w14:ligatures w14:val="standardContextual"/>
          </w:rPr>
          <w:tab/>
        </w:r>
        <w:r w:rsidRPr="00533B68">
          <w:t>Way evidence given—civil proceedings</w:t>
        </w:r>
        <w:r>
          <w:tab/>
        </w:r>
        <w:r>
          <w:fldChar w:fldCharType="begin"/>
        </w:r>
        <w:r>
          <w:instrText xml:space="preserve"> PAGEREF _Toc185515401 \h </w:instrText>
        </w:r>
        <w:r>
          <w:fldChar w:fldCharType="separate"/>
        </w:r>
        <w:r>
          <w:t>1022</w:t>
        </w:r>
        <w:r>
          <w:fldChar w:fldCharType="end"/>
        </w:r>
      </w:hyperlink>
    </w:p>
    <w:p w14:paraId="2101E77D" w14:textId="45829E5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2" w:history="1">
        <w:r w:rsidRPr="00533B68">
          <w:t>6701</w:t>
        </w:r>
        <w:r>
          <w:rPr>
            <w:rFonts w:asciiTheme="minorHAnsi" w:eastAsiaTheme="minorEastAsia" w:hAnsiTheme="minorHAnsi" w:cstheme="minorBidi"/>
            <w:kern w:val="2"/>
            <w:sz w:val="24"/>
            <w:szCs w:val="24"/>
            <w:lang w:eastAsia="en-AU"/>
            <w14:ligatures w14:val="standardContextual"/>
          </w:rPr>
          <w:tab/>
        </w:r>
        <w:r w:rsidRPr="00533B68">
          <w:t>Evidence on affidavit by agreement—civil proceedings</w:t>
        </w:r>
        <w:r>
          <w:tab/>
        </w:r>
        <w:r>
          <w:fldChar w:fldCharType="begin"/>
        </w:r>
        <w:r>
          <w:instrText xml:space="preserve"> PAGEREF _Toc185515402 \h </w:instrText>
        </w:r>
        <w:r>
          <w:fldChar w:fldCharType="separate"/>
        </w:r>
        <w:r>
          <w:t>1023</w:t>
        </w:r>
        <w:r>
          <w:fldChar w:fldCharType="end"/>
        </w:r>
      </w:hyperlink>
    </w:p>
    <w:p w14:paraId="611A59E2" w14:textId="3F01A0F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3" w:history="1">
        <w:r w:rsidRPr="00533B68">
          <w:t>6702</w:t>
        </w:r>
        <w:r>
          <w:rPr>
            <w:rFonts w:asciiTheme="minorHAnsi" w:eastAsiaTheme="minorEastAsia" w:hAnsiTheme="minorHAnsi" w:cstheme="minorBidi"/>
            <w:kern w:val="2"/>
            <w:sz w:val="24"/>
            <w:szCs w:val="24"/>
            <w:lang w:eastAsia="en-AU"/>
            <w14:ligatures w14:val="standardContextual"/>
          </w:rPr>
          <w:tab/>
        </w:r>
        <w:r w:rsidRPr="00533B68">
          <w:t>Evidence in another civil proceeding etc</w:t>
        </w:r>
        <w:r>
          <w:tab/>
        </w:r>
        <w:r>
          <w:fldChar w:fldCharType="begin"/>
        </w:r>
        <w:r>
          <w:instrText xml:space="preserve"> PAGEREF _Toc185515403 \h </w:instrText>
        </w:r>
        <w:r>
          <w:fldChar w:fldCharType="separate"/>
        </w:r>
        <w:r>
          <w:t>1023</w:t>
        </w:r>
        <w:r>
          <w:fldChar w:fldCharType="end"/>
        </w:r>
      </w:hyperlink>
    </w:p>
    <w:p w14:paraId="4AF72B23" w14:textId="3C88D50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4" w:history="1">
        <w:r w:rsidRPr="00533B68">
          <w:t>6703</w:t>
        </w:r>
        <w:r>
          <w:rPr>
            <w:rFonts w:asciiTheme="minorHAnsi" w:eastAsiaTheme="minorEastAsia" w:hAnsiTheme="minorHAnsi" w:cstheme="minorBidi"/>
            <w:kern w:val="2"/>
            <w:sz w:val="24"/>
            <w:szCs w:val="24"/>
            <w:lang w:eastAsia="en-AU"/>
            <w14:ligatures w14:val="standardContextual"/>
          </w:rPr>
          <w:tab/>
        </w:r>
        <w:r w:rsidRPr="00533B68">
          <w:t>Evidence by telephone etc</w:t>
        </w:r>
        <w:r>
          <w:tab/>
        </w:r>
        <w:r>
          <w:fldChar w:fldCharType="begin"/>
        </w:r>
        <w:r>
          <w:instrText xml:space="preserve"> PAGEREF _Toc185515404 \h </w:instrText>
        </w:r>
        <w:r>
          <w:fldChar w:fldCharType="separate"/>
        </w:r>
        <w:r>
          <w:t>1024</w:t>
        </w:r>
        <w:r>
          <w:fldChar w:fldCharType="end"/>
        </w:r>
      </w:hyperlink>
    </w:p>
    <w:p w14:paraId="073EB71C" w14:textId="686181A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5" w:history="1">
        <w:r w:rsidRPr="00533B68">
          <w:t>6704</w:t>
        </w:r>
        <w:r>
          <w:rPr>
            <w:rFonts w:asciiTheme="minorHAnsi" w:eastAsiaTheme="minorEastAsia" w:hAnsiTheme="minorHAnsi" w:cstheme="minorBidi"/>
            <w:kern w:val="2"/>
            <w:sz w:val="24"/>
            <w:szCs w:val="24"/>
            <w:lang w:eastAsia="en-AU"/>
            <w14:ligatures w14:val="standardContextual"/>
          </w:rPr>
          <w:tab/>
        </w:r>
        <w:r w:rsidRPr="00533B68">
          <w:t>Plans, photographs, video or audio recordings and models</w:t>
        </w:r>
        <w:r>
          <w:tab/>
        </w:r>
        <w:r>
          <w:fldChar w:fldCharType="begin"/>
        </w:r>
        <w:r>
          <w:instrText xml:space="preserve"> PAGEREF _Toc185515405 \h </w:instrText>
        </w:r>
        <w:r>
          <w:fldChar w:fldCharType="separate"/>
        </w:r>
        <w:r>
          <w:t>1025</w:t>
        </w:r>
        <w:r>
          <w:fldChar w:fldCharType="end"/>
        </w:r>
      </w:hyperlink>
    </w:p>
    <w:p w14:paraId="0C03550A" w14:textId="7BAF188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06" w:history="1">
        <w:r w:rsidR="00AC5392" w:rsidRPr="00533B68">
          <w:t>Division 6.10.2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Affidavits</w:t>
        </w:r>
        <w:r w:rsidR="00AC5392" w:rsidRPr="00AC5392">
          <w:rPr>
            <w:vanish/>
          </w:rPr>
          <w:tab/>
        </w:r>
        <w:r w:rsidR="00AC5392" w:rsidRPr="00AC5392">
          <w:rPr>
            <w:vanish/>
          </w:rPr>
          <w:fldChar w:fldCharType="begin"/>
        </w:r>
        <w:r w:rsidR="00AC5392" w:rsidRPr="00AC5392">
          <w:rPr>
            <w:vanish/>
          </w:rPr>
          <w:instrText xml:space="preserve"> PAGEREF _Toc185515406 \h </w:instrText>
        </w:r>
        <w:r w:rsidR="00AC5392" w:rsidRPr="00AC5392">
          <w:rPr>
            <w:vanish/>
          </w:rPr>
        </w:r>
        <w:r w:rsidR="00AC5392" w:rsidRPr="00AC5392">
          <w:rPr>
            <w:vanish/>
          </w:rPr>
          <w:fldChar w:fldCharType="separate"/>
        </w:r>
        <w:r w:rsidR="00AC5392" w:rsidRPr="00AC5392">
          <w:rPr>
            <w:vanish/>
          </w:rPr>
          <w:t>1025</w:t>
        </w:r>
        <w:r w:rsidR="00AC5392" w:rsidRPr="00AC5392">
          <w:rPr>
            <w:vanish/>
          </w:rPr>
          <w:fldChar w:fldCharType="end"/>
        </w:r>
      </w:hyperlink>
    </w:p>
    <w:p w14:paraId="76E20605" w14:textId="7FB8A7A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7" w:history="1">
        <w:r w:rsidRPr="00533B68">
          <w:t>6710</w:t>
        </w:r>
        <w:r>
          <w:rPr>
            <w:rFonts w:asciiTheme="minorHAnsi" w:eastAsiaTheme="minorEastAsia" w:hAnsiTheme="minorHAnsi" w:cstheme="minorBidi"/>
            <w:kern w:val="2"/>
            <w:sz w:val="24"/>
            <w:szCs w:val="24"/>
            <w:lang w:eastAsia="en-AU"/>
            <w14:ligatures w14:val="standardContextual"/>
          </w:rPr>
          <w:tab/>
        </w:r>
        <w:r w:rsidRPr="00533B68">
          <w:t>Affidavit—form</w:t>
        </w:r>
        <w:r>
          <w:tab/>
        </w:r>
        <w:r>
          <w:fldChar w:fldCharType="begin"/>
        </w:r>
        <w:r>
          <w:instrText xml:space="preserve"> PAGEREF _Toc185515407 \h </w:instrText>
        </w:r>
        <w:r>
          <w:fldChar w:fldCharType="separate"/>
        </w:r>
        <w:r>
          <w:t>1025</w:t>
        </w:r>
        <w:r>
          <w:fldChar w:fldCharType="end"/>
        </w:r>
      </w:hyperlink>
    </w:p>
    <w:p w14:paraId="580DE028" w14:textId="6A04C1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8" w:history="1">
        <w:r w:rsidRPr="00533B68">
          <w:t>6711</w:t>
        </w:r>
        <w:r>
          <w:rPr>
            <w:rFonts w:asciiTheme="minorHAnsi" w:eastAsiaTheme="minorEastAsia" w:hAnsiTheme="minorHAnsi" w:cstheme="minorBidi"/>
            <w:kern w:val="2"/>
            <w:sz w:val="24"/>
            <w:szCs w:val="24"/>
            <w:lang w:eastAsia="en-AU"/>
            <w14:ligatures w14:val="standardContextual"/>
          </w:rPr>
          <w:tab/>
        </w:r>
        <w:r w:rsidRPr="00533B68">
          <w:t>Affidavit—contents</w:t>
        </w:r>
        <w:r>
          <w:tab/>
        </w:r>
        <w:r>
          <w:fldChar w:fldCharType="begin"/>
        </w:r>
        <w:r>
          <w:instrText xml:space="preserve"> PAGEREF _Toc185515408 \h </w:instrText>
        </w:r>
        <w:r>
          <w:fldChar w:fldCharType="separate"/>
        </w:r>
        <w:r>
          <w:t>1026</w:t>
        </w:r>
        <w:r>
          <w:fldChar w:fldCharType="end"/>
        </w:r>
      </w:hyperlink>
    </w:p>
    <w:p w14:paraId="275D3F91" w14:textId="5389EE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09" w:history="1">
        <w:r w:rsidRPr="00533B68">
          <w:t>6712</w:t>
        </w:r>
        <w:r>
          <w:rPr>
            <w:rFonts w:asciiTheme="minorHAnsi" w:eastAsiaTheme="minorEastAsia" w:hAnsiTheme="minorHAnsi" w:cstheme="minorBidi"/>
            <w:kern w:val="2"/>
            <w:sz w:val="24"/>
            <w:szCs w:val="24"/>
            <w:lang w:eastAsia="en-AU"/>
            <w14:ligatures w14:val="standardContextual"/>
          </w:rPr>
          <w:tab/>
        </w:r>
        <w:r w:rsidRPr="00533B68">
          <w:t>Affidavit—annexures and exhibits</w:t>
        </w:r>
        <w:r>
          <w:tab/>
        </w:r>
        <w:r>
          <w:fldChar w:fldCharType="begin"/>
        </w:r>
        <w:r>
          <w:instrText xml:space="preserve"> PAGEREF _Toc185515409 \h </w:instrText>
        </w:r>
        <w:r>
          <w:fldChar w:fldCharType="separate"/>
        </w:r>
        <w:r>
          <w:t>1027</w:t>
        </w:r>
        <w:r>
          <w:fldChar w:fldCharType="end"/>
        </w:r>
      </w:hyperlink>
    </w:p>
    <w:p w14:paraId="3F5C59C5" w14:textId="6D8968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0" w:history="1">
        <w:r w:rsidRPr="00533B68">
          <w:t>6713</w:t>
        </w:r>
        <w:r>
          <w:rPr>
            <w:rFonts w:asciiTheme="minorHAnsi" w:eastAsiaTheme="minorEastAsia" w:hAnsiTheme="minorHAnsi" w:cstheme="minorBidi"/>
            <w:kern w:val="2"/>
            <w:sz w:val="24"/>
            <w:szCs w:val="24"/>
            <w:lang w:eastAsia="en-AU"/>
            <w14:ligatures w14:val="standardContextual"/>
          </w:rPr>
          <w:tab/>
        </w:r>
        <w:r w:rsidRPr="00533B68">
          <w:t>Affidavit—document included in</w:t>
        </w:r>
        <w:r>
          <w:tab/>
        </w:r>
        <w:r>
          <w:fldChar w:fldCharType="begin"/>
        </w:r>
        <w:r>
          <w:instrText xml:space="preserve"> PAGEREF _Toc185515410 \h </w:instrText>
        </w:r>
        <w:r>
          <w:fldChar w:fldCharType="separate"/>
        </w:r>
        <w:r>
          <w:t>1029</w:t>
        </w:r>
        <w:r>
          <w:fldChar w:fldCharType="end"/>
        </w:r>
      </w:hyperlink>
    </w:p>
    <w:p w14:paraId="54ECA7F7" w14:textId="4B80C1D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1" w:history="1">
        <w:r w:rsidRPr="00533B68">
          <w:t>6714</w:t>
        </w:r>
        <w:r>
          <w:rPr>
            <w:rFonts w:asciiTheme="minorHAnsi" w:eastAsiaTheme="minorEastAsia" w:hAnsiTheme="minorHAnsi" w:cstheme="minorBidi"/>
            <w:kern w:val="2"/>
            <w:sz w:val="24"/>
            <w:szCs w:val="24"/>
            <w:lang w:eastAsia="en-AU"/>
            <w14:ligatures w14:val="standardContextual"/>
          </w:rPr>
          <w:tab/>
        </w:r>
        <w:r w:rsidRPr="00533B68">
          <w:t>Affidavit—when may be taken</w:t>
        </w:r>
        <w:r>
          <w:tab/>
        </w:r>
        <w:r>
          <w:fldChar w:fldCharType="begin"/>
        </w:r>
        <w:r>
          <w:instrText xml:space="preserve"> PAGEREF _Toc185515411 \h </w:instrText>
        </w:r>
        <w:r>
          <w:fldChar w:fldCharType="separate"/>
        </w:r>
        <w:r>
          <w:t>1029</w:t>
        </w:r>
        <w:r>
          <w:fldChar w:fldCharType="end"/>
        </w:r>
      </w:hyperlink>
    </w:p>
    <w:p w14:paraId="15F4A0ED" w14:textId="2598E94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2" w:history="1">
        <w:r w:rsidRPr="00533B68">
          <w:t>6715</w:t>
        </w:r>
        <w:r>
          <w:rPr>
            <w:rFonts w:asciiTheme="minorHAnsi" w:eastAsiaTheme="minorEastAsia" w:hAnsiTheme="minorHAnsi" w:cstheme="minorBidi"/>
            <w:kern w:val="2"/>
            <w:sz w:val="24"/>
            <w:szCs w:val="24"/>
            <w:lang w:eastAsia="en-AU"/>
            <w14:ligatures w14:val="standardContextual"/>
          </w:rPr>
          <w:tab/>
        </w:r>
        <w:r w:rsidRPr="00533B68">
          <w:t>Affidavit—taking of</w:t>
        </w:r>
        <w:r>
          <w:tab/>
        </w:r>
        <w:r>
          <w:fldChar w:fldCharType="begin"/>
        </w:r>
        <w:r>
          <w:instrText xml:space="preserve"> PAGEREF _Toc185515412 \h </w:instrText>
        </w:r>
        <w:r>
          <w:fldChar w:fldCharType="separate"/>
        </w:r>
        <w:r>
          <w:t>1029</w:t>
        </w:r>
        <w:r>
          <w:fldChar w:fldCharType="end"/>
        </w:r>
      </w:hyperlink>
    </w:p>
    <w:p w14:paraId="64CE50AE" w14:textId="763983D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3" w:history="1">
        <w:r w:rsidRPr="00533B68">
          <w:t>6716</w:t>
        </w:r>
        <w:r>
          <w:rPr>
            <w:rFonts w:asciiTheme="minorHAnsi" w:eastAsiaTheme="minorEastAsia" w:hAnsiTheme="minorHAnsi" w:cstheme="minorBidi"/>
            <w:kern w:val="2"/>
            <w:sz w:val="24"/>
            <w:szCs w:val="24"/>
            <w:lang w:eastAsia="en-AU"/>
            <w14:ligatures w14:val="standardContextual"/>
          </w:rPr>
          <w:tab/>
        </w:r>
        <w:r w:rsidRPr="00533B68">
          <w:t>Affidavit—certificate of reading or signature for person making</w:t>
        </w:r>
        <w:r>
          <w:tab/>
        </w:r>
        <w:r>
          <w:fldChar w:fldCharType="begin"/>
        </w:r>
        <w:r>
          <w:instrText xml:space="preserve"> PAGEREF _Toc185515413 \h </w:instrText>
        </w:r>
        <w:r>
          <w:fldChar w:fldCharType="separate"/>
        </w:r>
        <w:r>
          <w:t>1030</w:t>
        </w:r>
        <w:r>
          <w:fldChar w:fldCharType="end"/>
        </w:r>
      </w:hyperlink>
    </w:p>
    <w:p w14:paraId="59F9FFF9" w14:textId="1784649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4" w:history="1">
        <w:r w:rsidRPr="00533B68">
          <w:t>6717</w:t>
        </w:r>
        <w:r>
          <w:rPr>
            <w:rFonts w:asciiTheme="minorHAnsi" w:eastAsiaTheme="minorEastAsia" w:hAnsiTheme="minorHAnsi" w:cstheme="minorBidi"/>
            <w:kern w:val="2"/>
            <w:sz w:val="24"/>
            <w:szCs w:val="24"/>
            <w:lang w:eastAsia="en-AU"/>
            <w14:ligatures w14:val="standardContextual"/>
          </w:rPr>
          <w:tab/>
        </w:r>
        <w:r w:rsidRPr="00533B68">
          <w:t>Affidavit—alterations in</w:t>
        </w:r>
        <w:r>
          <w:tab/>
        </w:r>
        <w:r>
          <w:fldChar w:fldCharType="begin"/>
        </w:r>
        <w:r>
          <w:instrText xml:space="preserve"> PAGEREF _Toc185515414 \h </w:instrText>
        </w:r>
        <w:r>
          <w:fldChar w:fldCharType="separate"/>
        </w:r>
        <w:r>
          <w:t>1032</w:t>
        </w:r>
        <w:r>
          <w:fldChar w:fldCharType="end"/>
        </w:r>
      </w:hyperlink>
    </w:p>
    <w:p w14:paraId="66DDC859" w14:textId="4D12D9D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5" w:history="1">
        <w:r w:rsidRPr="00533B68">
          <w:t>6718</w:t>
        </w:r>
        <w:r>
          <w:rPr>
            <w:rFonts w:asciiTheme="minorHAnsi" w:eastAsiaTheme="minorEastAsia" w:hAnsiTheme="minorHAnsi" w:cstheme="minorBidi"/>
            <w:kern w:val="2"/>
            <w:sz w:val="24"/>
            <w:szCs w:val="24"/>
            <w:lang w:eastAsia="en-AU"/>
            <w14:ligatures w14:val="standardContextual"/>
          </w:rPr>
          <w:tab/>
        </w:r>
        <w:r w:rsidRPr="00533B68">
          <w:t>Affidavit—filing and service</w:t>
        </w:r>
        <w:r>
          <w:tab/>
        </w:r>
        <w:r>
          <w:fldChar w:fldCharType="begin"/>
        </w:r>
        <w:r>
          <w:instrText xml:space="preserve"> PAGEREF _Toc185515415 \h </w:instrText>
        </w:r>
        <w:r>
          <w:fldChar w:fldCharType="separate"/>
        </w:r>
        <w:r>
          <w:t>1033</w:t>
        </w:r>
        <w:r>
          <w:fldChar w:fldCharType="end"/>
        </w:r>
      </w:hyperlink>
    </w:p>
    <w:p w14:paraId="655BF6D1" w14:textId="673B7AF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6" w:history="1">
        <w:r w:rsidRPr="00533B68">
          <w:t>6719</w:t>
        </w:r>
        <w:r>
          <w:rPr>
            <w:rFonts w:asciiTheme="minorHAnsi" w:eastAsiaTheme="minorEastAsia" w:hAnsiTheme="minorHAnsi" w:cstheme="minorBidi"/>
            <w:kern w:val="2"/>
            <w:sz w:val="24"/>
            <w:szCs w:val="24"/>
            <w:lang w:eastAsia="en-AU"/>
            <w14:ligatures w14:val="standardContextual"/>
          </w:rPr>
          <w:tab/>
        </w:r>
        <w:r w:rsidRPr="00533B68">
          <w:t>Affidavit—irregular in form</w:t>
        </w:r>
        <w:r>
          <w:tab/>
        </w:r>
        <w:r>
          <w:fldChar w:fldCharType="begin"/>
        </w:r>
        <w:r>
          <w:instrText xml:space="preserve"> PAGEREF _Toc185515416 \h </w:instrText>
        </w:r>
        <w:r>
          <w:fldChar w:fldCharType="separate"/>
        </w:r>
        <w:r>
          <w:t>1033</w:t>
        </w:r>
        <w:r>
          <w:fldChar w:fldCharType="end"/>
        </w:r>
      </w:hyperlink>
    </w:p>
    <w:p w14:paraId="14188CC4" w14:textId="6FE97DF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7" w:history="1">
        <w:r w:rsidRPr="00533B68">
          <w:t>6720</w:t>
        </w:r>
        <w:r>
          <w:rPr>
            <w:rFonts w:asciiTheme="minorHAnsi" w:eastAsiaTheme="minorEastAsia" w:hAnsiTheme="minorHAnsi" w:cstheme="minorBidi"/>
            <w:kern w:val="2"/>
            <w:sz w:val="24"/>
            <w:szCs w:val="24"/>
            <w:lang w:eastAsia="en-AU"/>
            <w14:ligatures w14:val="standardContextual"/>
          </w:rPr>
          <w:tab/>
        </w:r>
        <w:r w:rsidRPr="00533B68">
          <w:t>Affidavit—scandalous matter etc</w:t>
        </w:r>
        <w:r>
          <w:tab/>
        </w:r>
        <w:r>
          <w:fldChar w:fldCharType="begin"/>
        </w:r>
        <w:r>
          <w:instrText xml:space="preserve"> PAGEREF _Toc185515417 \h </w:instrText>
        </w:r>
        <w:r>
          <w:fldChar w:fldCharType="separate"/>
        </w:r>
        <w:r>
          <w:t>1034</w:t>
        </w:r>
        <w:r>
          <w:fldChar w:fldCharType="end"/>
        </w:r>
      </w:hyperlink>
    </w:p>
    <w:p w14:paraId="0CDCF0B5" w14:textId="6B917E6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8" w:history="1">
        <w:r w:rsidRPr="00533B68">
          <w:t>6721</w:t>
        </w:r>
        <w:r>
          <w:rPr>
            <w:rFonts w:asciiTheme="minorHAnsi" w:eastAsiaTheme="minorEastAsia" w:hAnsiTheme="minorHAnsi" w:cstheme="minorBidi"/>
            <w:kern w:val="2"/>
            <w:sz w:val="24"/>
            <w:szCs w:val="24"/>
            <w:lang w:eastAsia="en-AU"/>
            <w14:ligatures w14:val="standardContextual"/>
          </w:rPr>
          <w:tab/>
        </w:r>
        <w:r w:rsidRPr="00533B68">
          <w:t>Affidavit—cross-examination of maker</w:t>
        </w:r>
        <w:r>
          <w:tab/>
        </w:r>
        <w:r>
          <w:fldChar w:fldCharType="begin"/>
        </w:r>
        <w:r>
          <w:instrText xml:space="preserve"> PAGEREF _Toc185515418 \h </w:instrText>
        </w:r>
        <w:r>
          <w:fldChar w:fldCharType="separate"/>
        </w:r>
        <w:r>
          <w:t>1034</w:t>
        </w:r>
        <w:r>
          <w:fldChar w:fldCharType="end"/>
        </w:r>
      </w:hyperlink>
    </w:p>
    <w:p w14:paraId="130AF765" w14:textId="47AC5A2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19" w:history="1">
        <w:r w:rsidRPr="00533B68">
          <w:t>6722</w:t>
        </w:r>
        <w:r>
          <w:rPr>
            <w:rFonts w:asciiTheme="minorHAnsi" w:eastAsiaTheme="minorEastAsia" w:hAnsiTheme="minorHAnsi" w:cstheme="minorBidi"/>
            <w:kern w:val="2"/>
            <w:sz w:val="24"/>
            <w:szCs w:val="24"/>
            <w:lang w:eastAsia="en-AU"/>
            <w14:ligatures w14:val="standardContextual"/>
          </w:rPr>
          <w:tab/>
        </w:r>
        <w:r w:rsidRPr="00533B68">
          <w:t>Affidavit—taken before party</w:t>
        </w:r>
        <w:r>
          <w:tab/>
        </w:r>
        <w:r>
          <w:fldChar w:fldCharType="begin"/>
        </w:r>
        <w:r>
          <w:instrText xml:space="preserve"> PAGEREF _Toc185515419 \h </w:instrText>
        </w:r>
        <w:r>
          <w:fldChar w:fldCharType="separate"/>
        </w:r>
        <w:r>
          <w:t>1035</w:t>
        </w:r>
        <w:r>
          <w:fldChar w:fldCharType="end"/>
        </w:r>
      </w:hyperlink>
    </w:p>
    <w:p w14:paraId="26C1948A" w14:textId="08DE2C1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20" w:history="1">
        <w:r w:rsidR="00AC5392" w:rsidRPr="00533B68">
          <w:t>Division 6.10.3A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Notice to produce</w:t>
        </w:r>
        <w:r w:rsidR="00AC5392" w:rsidRPr="00AC5392">
          <w:rPr>
            <w:vanish/>
          </w:rPr>
          <w:tab/>
        </w:r>
        <w:r w:rsidR="00AC5392" w:rsidRPr="00AC5392">
          <w:rPr>
            <w:vanish/>
          </w:rPr>
          <w:fldChar w:fldCharType="begin"/>
        </w:r>
        <w:r w:rsidR="00AC5392" w:rsidRPr="00AC5392">
          <w:rPr>
            <w:vanish/>
          </w:rPr>
          <w:instrText xml:space="preserve"> PAGEREF _Toc185515420 \h </w:instrText>
        </w:r>
        <w:r w:rsidR="00AC5392" w:rsidRPr="00AC5392">
          <w:rPr>
            <w:vanish/>
          </w:rPr>
        </w:r>
        <w:r w:rsidR="00AC5392" w:rsidRPr="00AC5392">
          <w:rPr>
            <w:vanish/>
          </w:rPr>
          <w:fldChar w:fldCharType="separate"/>
        </w:r>
        <w:r w:rsidR="00AC5392" w:rsidRPr="00AC5392">
          <w:rPr>
            <w:vanish/>
          </w:rPr>
          <w:t>1036</w:t>
        </w:r>
        <w:r w:rsidR="00AC5392" w:rsidRPr="00AC5392">
          <w:rPr>
            <w:vanish/>
          </w:rPr>
          <w:fldChar w:fldCharType="end"/>
        </w:r>
      </w:hyperlink>
    </w:p>
    <w:p w14:paraId="6B6C4A79" w14:textId="3A0AED9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21" w:history="1">
        <w:r w:rsidRPr="00533B68">
          <w:t>6748</w:t>
        </w:r>
        <w:r>
          <w:rPr>
            <w:rFonts w:asciiTheme="minorHAnsi" w:eastAsiaTheme="minorEastAsia" w:hAnsiTheme="minorHAnsi" w:cstheme="minorBidi"/>
            <w:kern w:val="2"/>
            <w:sz w:val="24"/>
            <w:szCs w:val="24"/>
            <w:lang w:eastAsia="en-AU"/>
            <w14:ligatures w14:val="standardContextual"/>
          </w:rPr>
          <w:tab/>
        </w:r>
        <w:r w:rsidRPr="00533B68">
          <w:t>Notice to produce</w:t>
        </w:r>
        <w:r>
          <w:tab/>
        </w:r>
        <w:r>
          <w:fldChar w:fldCharType="begin"/>
        </w:r>
        <w:r>
          <w:instrText xml:space="preserve"> PAGEREF _Toc185515421 \h </w:instrText>
        </w:r>
        <w:r>
          <w:fldChar w:fldCharType="separate"/>
        </w:r>
        <w:r>
          <w:t>1036</w:t>
        </w:r>
        <w:r>
          <w:fldChar w:fldCharType="end"/>
        </w:r>
      </w:hyperlink>
    </w:p>
    <w:p w14:paraId="3471E3B7" w14:textId="123A3F53"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22" w:history="1">
        <w:r w:rsidR="00AC5392" w:rsidRPr="00533B68">
          <w:t>Division 6.10.4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Notices under Evidence Act</w:t>
        </w:r>
        <w:r w:rsidR="00AC5392" w:rsidRPr="00AC5392">
          <w:rPr>
            <w:vanish/>
          </w:rPr>
          <w:tab/>
        </w:r>
        <w:r w:rsidR="00AC5392" w:rsidRPr="00AC5392">
          <w:rPr>
            <w:vanish/>
          </w:rPr>
          <w:fldChar w:fldCharType="begin"/>
        </w:r>
        <w:r w:rsidR="00AC5392" w:rsidRPr="00AC5392">
          <w:rPr>
            <w:vanish/>
          </w:rPr>
          <w:instrText xml:space="preserve"> PAGEREF _Toc185515422 \h </w:instrText>
        </w:r>
        <w:r w:rsidR="00AC5392" w:rsidRPr="00AC5392">
          <w:rPr>
            <w:vanish/>
          </w:rPr>
        </w:r>
        <w:r w:rsidR="00AC5392" w:rsidRPr="00AC5392">
          <w:rPr>
            <w:vanish/>
          </w:rPr>
          <w:fldChar w:fldCharType="separate"/>
        </w:r>
        <w:r w:rsidR="00AC5392" w:rsidRPr="00AC5392">
          <w:rPr>
            <w:vanish/>
          </w:rPr>
          <w:t>1037</w:t>
        </w:r>
        <w:r w:rsidR="00AC5392" w:rsidRPr="00AC5392">
          <w:rPr>
            <w:vanish/>
          </w:rPr>
          <w:fldChar w:fldCharType="end"/>
        </w:r>
      </w:hyperlink>
    </w:p>
    <w:p w14:paraId="1039C2B8" w14:textId="504ABE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23" w:history="1">
        <w:r w:rsidRPr="00533B68">
          <w:t>6750</w:t>
        </w:r>
        <w:r>
          <w:rPr>
            <w:rFonts w:asciiTheme="minorHAnsi" w:eastAsiaTheme="minorEastAsia" w:hAnsiTheme="minorHAnsi" w:cstheme="minorBidi"/>
            <w:kern w:val="2"/>
            <w:sz w:val="24"/>
            <w:szCs w:val="24"/>
            <w:lang w:eastAsia="en-AU"/>
            <w14:ligatures w14:val="standardContextual"/>
          </w:rPr>
          <w:tab/>
        </w:r>
        <w:r w:rsidRPr="00533B68">
          <w:t>Evidence of previous representation notice</w:t>
        </w:r>
        <w:r>
          <w:tab/>
        </w:r>
        <w:r>
          <w:fldChar w:fldCharType="begin"/>
        </w:r>
        <w:r>
          <w:instrText xml:space="preserve"> PAGEREF _Toc185515423 \h </w:instrText>
        </w:r>
        <w:r>
          <w:fldChar w:fldCharType="separate"/>
        </w:r>
        <w:r>
          <w:t>1037</w:t>
        </w:r>
        <w:r>
          <w:fldChar w:fldCharType="end"/>
        </w:r>
      </w:hyperlink>
    </w:p>
    <w:p w14:paraId="12EFBB27" w14:textId="5E84013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24" w:history="1">
        <w:r w:rsidRPr="00533B68">
          <w:t>6751</w:t>
        </w:r>
        <w:r>
          <w:rPr>
            <w:rFonts w:asciiTheme="minorHAnsi" w:eastAsiaTheme="minorEastAsia" w:hAnsiTheme="minorHAnsi" w:cstheme="minorBidi"/>
            <w:kern w:val="2"/>
            <w:sz w:val="24"/>
            <w:szCs w:val="24"/>
            <w:lang w:eastAsia="en-AU"/>
            <w14:ligatures w14:val="standardContextual"/>
          </w:rPr>
          <w:tab/>
        </w:r>
        <w:r w:rsidRPr="00533B68">
          <w:t>Objection to hearsay evidence notice—civil proceedings</w:t>
        </w:r>
        <w:r>
          <w:tab/>
        </w:r>
        <w:r>
          <w:fldChar w:fldCharType="begin"/>
        </w:r>
        <w:r>
          <w:instrText xml:space="preserve"> PAGEREF _Toc185515424 \h </w:instrText>
        </w:r>
        <w:r>
          <w:fldChar w:fldCharType="separate"/>
        </w:r>
        <w:r>
          <w:t>1037</w:t>
        </w:r>
        <w:r>
          <w:fldChar w:fldCharType="end"/>
        </w:r>
      </w:hyperlink>
    </w:p>
    <w:p w14:paraId="11EB8463" w14:textId="092EBF4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25" w:history="1">
        <w:r w:rsidRPr="00533B68">
          <w:t>6752</w:t>
        </w:r>
        <w:r>
          <w:rPr>
            <w:rFonts w:asciiTheme="minorHAnsi" w:eastAsiaTheme="minorEastAsia" w:hAnsiTheme="minorHAnsi" w:cstheme="minorBidi"/>
            <w:kern w:val="2"/>
            <w:sz w:val="24"/>
            <w:szCs w:val="24"/>
            <w:lang w:eastAsia="en-AU"/>
            <w14:ligatures w14:val="standardContextual"/>
          </w:rPr>
          <w:tab/>
        </w:r>
        <w:r w:rsidRPr="00533B68">
          <w:t>Tendency evidence notice</w:t>
        </w:r>
        <w:r>
          <w:tab/>
        </w:r>
        <w:r>
          <w:fldChar w:fldCharType="begin"/>
        </w:r>
        <w:r>
          <w:instrText xml:space="preserve"> PAGEREF _Toc185515425 \h </w:instrText>
        </w:r>
        <w:r>
          <w:fldChar w:fldCharType="separate"/>
        </w:r>
        <w:r>
          <w:t>1037</w:t>
        </w:r>
        <w:r>
          <w:fldChar w:fldCharType="end"/>
        </w:r>
      </w:hyperlink>
    </w:p>
    <w:p w14:paraId="13428CCE" w14:textId="616C875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26" w:history="1">
        <w:r w:rsidRPr="00533B68">
          <w:t>6753</w:t>
        </w:r>
        <w:r>
          <w:rPr>
            <w:rFonts w:asciiTheme="minorHAnsi" w:eastAsiaTheme="minorEastAsia" w:hAnsiTheme="minorHAnsi" w:cstheme="minorBidi"/>
            <w:kern w:val="2"/>
            <w:sz w:val="24"/>
            <w:szCs w:val="24"/>
            <w:lang w:eastAsia="en-AU"/>
            <w14:ligatures w14:val="standardContextual"/>
          </w:rPr>
          <w:tab/>
        </w:r>
        <w:r w:rsidRPr="00533B68">
          <w:t>Coincidence evidence notice</w:t>
        </w:r>
        <w:r>
          <w:tab/>
        </w:r>
        <w:r>
          <w:fldChar w:fldCharType="begin"/>
        </w:r>
        <w:r>
          <w:instrText xml:space="preserve"> PAGEREF _Toc185515426 \h </w:instrText>
        </w:r>
        <w:r>
          <w:fldChar w:fldCharType="separate"/>
        </w:r>
        <w:r>
          <w:t>1038</w:t>
        </w:r>
        <w:r>
          <w:fldChar w:fldCharType="end"/>
        </w:r>
      </w:hyperlink>
    </w:p>
    <w:p w14:paraId="7B206F35" w14:textId="1F3D6AFD"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27" w:history="1">
        <w:r w:rsidR="00AC5392" w:rsidRPr="00533B68">
          <w:t>Division 6.10.5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Exhibits, documents and things</w:t>
        </w:r>
        <w:r w:rsidR="00AC5392" w:rsidRPr="00AC5392">
          <w:rPr>
            <w:vanish/>
          </w:rPr>
          <w:tab/>
        </w:r>
        <w:r w:rsidR="00AC5392" w:rsidRPr="00AC5392">
          <w:rPr>
            <w:vanish/>
          </w:rPr>
          <w:fldChar w:fldCharType="begin"/>
        </w:r>
        <w:r w:rsidR="00AC5392" w:rsidRPr="00AC5392">
          <w:rPr>
            <w:vanish/>
          </w:rPr>
          <w:instrText xml:space="preserve"> PAGEREF _Toc185515427 \h </w:instrText>
        </w:r>
        <w:r w:rsidR="00AC5392" w:rsidRPr="00AC5392">
          <w:rPr>
            <w:vanish/>
          </w:rPr>
        </w:r>
        <w:r w:rsidR="00AC5392" w:rsidRPr="00AC5392">
          <w:rPr>
            <w:vanish/>
          </w:rPr>
          <w:fldChar w:fldCharType="separate"/>
        </w:r>
        <w:r w:rsidR="00AC5392" w:rsidRPr="00AC5392">
          <w:rPr>
            <w:vanish/>
          </w:rPr>
          <w:t>1038</w:t>
        </w:r>
        <w:r w:rsidR="00AC5392" w:rsidRPr="00AC5392">
          <w:rPr>
            <w:vanish/>
          </w:rPr>
          <w:fldChar w:fldCharType="end"/>
        </w:r>
      </w:hyperlink>
    </w:p>
    <w:p w14:paraId="2657432F" w14:textId="1B9012A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28" w:history="1">
        <w:r w:rsidRPr="00533B68">
          <w:t>6760</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subpoenaed document or thing</w:t>
        </w:r>
        <w:r w:rsidRPr="00533B68">
          <w:t>—div 6.10.5</w:t>
        </w:r>
        <w:r>
          <w:tab/>
        </w:r>
        <w:r>
          <w:fldChar w:fldCharType="begin"/>
        </w:r>
        <w:r>
          <w:instrText xml:space="preserve"> PAGEREF _Toc185515428 \h </w:instrText>
        </w:r>
        <w:r>
          <w:fldChar w:fldCharType="separate"/>
        </w:r>
        <w:r>
          <w:t>1038</w:t>
        </w:r>
        <w:r>
          <w:fldChar w:fldCharType="end"/>
        </w:r>
      </w:hyperlink>
    </w:p>
    <w:p w14:paraId="7CB93085" w14:textId="0129786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29" w:history="1">
        <w:r w:rsidRPr="00533B68">
          <w:t>6761</w:t>
        </w:r>
        <w:r>
          <w:rPr>
            <w:rFonts w:asciiTheme="minorHAnsi" w:eastAsiaTheme="minorEastAsia" w:hAnsiTheme="minorHAnsi" w:cstheme="minorBidi"/>
            <w:kern w:val="2"/>
            <w:sz w:val="24"/>
            <w:szCs w:val="24"/>
            <w:lang w:eastAsia="en-AU"/>
            <w14:ligatures w14:val="standardContextual"/>
          </w:rPr>
          <w:tab/>
        </w:r>
        <w:r w:rsidRPr="00533B68">
          <w:t>Registrar to keep record of proceeding</w:t>
        </w:r>
        <w:r>
          <w:tab/>
        </w:r>
        <w:r>
          <w:fldChar w:fldCharType="begin"/>
        </w:r>
        <w:r>
          <w:instrText xml:space="preserve"> PAGEREF _Toc185515429 \h </w:instrText>
        </w:r>
        <w:r>
          <w:fldChar w:fldCharType="separate"/>
        </w:r>
        <w:r>
          <w:t>1038</w:t>
        </w:r>
        <w:r>
          <w:fldChar w:fldCharType="end"/>
        </w:r>
      </w:hyperlink>
    </w:p>
    <w:p w14:paraId="67876556" w14:textId="2EFCBD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0" w:history="1">
        <w:r w:rsidRPr="00533B68">
          <w:t>6762</w:t>
        </w:r>
        <w:r>
          <w:rPr>
            <w:rFonts w:asciiTheme="minorHAnsi" w:eastAsiaTheme="minorEastAsia" w:hAnsiTheme="minorHAnsi" w:cstheme="minorBidi"/>
            <w:kern w:val="2"/>
            <w:sz w:val="24"/>
            <w:szCs w:val="24"/>
            <w:lang w:eastAsia="en-AU"/>
            <w14:ligatures w14:val="standardContextual"/>
          </w:rPr>
          <w:tab/>
        </w:r>
        <w:r w:rsidRPr="00533B68">
          <w:t>Custody of exhibits after proceeding</w:t>
        </w:r>
        <w:r>
          <w:tab/>
        </w:r>
        <w:r>
          <w:fldChar w:fldCharType="begin"/>
        </w:r>
        <w:r>
          <w:instrText xml:space="preserve"> PAGEREF _Toc185515430 \h </w:instrText>
        </w:r>
        <w:r>
          <w:fldChar w:fldCharType="separate"/>
        </w:r>
        <w:r>
          <w:t>1039</w:t>
        </w:r>
        <w:r>
          <w:fldChar w:fldCharType="end"/>
        </w:r>
      </w:hyperlink>
    </w:p>
    <w:p w14:paraId="50477A5E" w14:textId="30EE111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1" w:history="1">
        <w:r w:rsidRPr="00533B68">
          <w:t>6763</w:t>
        </w:r>
        <w:r>
          <w:rPr>
            <w:rFonts w:asciiTheme="minorHAnsi" w:eastAsiaTheme="minorEastAsia" w:hAnsiTheme="minorHAnsi" w:cstheme="minorBidi"/>
            <w:kern w:val="2"/>
            <w:sz w:val="24"/>
            <w:szCs w:val="24"/>
            <w:lang w:eastAsia="en-AU"/>
            <w14:ligatures w14:val="standardContextual"/>
          </w:rPr>
          <w:tab/>
        </w:r>
        <w:r w:rsidRPr="00533B68">
          <w:t>Duty of parties to claim exhibits</w:t>
        </w:r>
        <w:r>
          <w:tab/>
        </w:r>
        <w:r>
          <w:fldChar w:fldCharType="begin"/>
        </w:r>
        <w:r>
          <w:instrText xml:space="preserve"> PAGEREF _Toc185515431 \h </w:instrText>
        </w:r>
        <w:r>
          <w:fldChar w:fldCharType="separate"/>
        </w:r>
        <w:r>
          <w:t>1039</w:t>
        </w:r>
        <w:r>
          <w:fldChar w:fldCharType="end"/>
        </w:r>
      </w:hyperlink>
    </w:p>
    <w:p w14:paraId="612E5817" w14:textId="381366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2" w:history="1">
        <w:r w:rsidRPr="00533B68">
          <w:t>6765</w:t>
        </w:r>
        <w:r>
          <w:rPr>
            <w:rFonts w:asciiTheme="minorHAnsi" w:eastAsiaTheme="minorEastAsia" w:hAnsiTheme="minorHAnsi" w:cstheme="minorBidi"/>
            <w:kern w:val="2"/>
            <w:sz w:val="24"/>
            <w:szCs w:val="24"/>
            <w:lang w:eastAsia="en-AU"/>
            <w14:ligatures w14:val="standardContextual"/>
          </w:rPr>
          <w:tab/>
        </w:r>
        <w:r w:rsidRPr="00533B68">
          <w:t>Requirement to give or send exhibit</w:t>
        </w:r>
        <w:r>
          <w:tab/>
        </w:r>
        <w:r>
          <w:fldChar w:fldCharType="begin"/>
        </w:r>
        <w:r>
          <w:instrText xml:space="preserve"> PAGEREF _Toc185515432 \h </w:instrText>
        </w:r>
        <w:r>
          <w:fldChar w:fldCharType="separate"/>
        </w:r>
        <w:r>
          <w:t>1041</w:t>
        </w:r>
        <w:r>
          <w:fldChar w:fldCharType="end"/>
        </w:r>
      </w:hyperlink>
    </w:p>
    <w:p w14:paraId="49F6526E" w14:textId="5B3D1C1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3" w:history="1">
        <w:r w:rsidRPr="00533B68">
          <w:t>6766</w:t>
        </w:r>
        <w:r>
          <w:rPr>
            <w:rFonts w:asciiTheme="minorHAnsi" w:eastAsiaTheme="minorEastAsia" w:hAnsiTheme="minorHAnsi" w:cstheme="minorBidi"/>
            <w:kern w:val="2"/>
            <w:sz w:val="24"/>
            <w:szCs w:val="24"/>
            <w:lang w:eastAsia="en-AU"/>
            <w14:ligatures w14:val="standardContextual"/>
          </w:rPr>
          <w:tab/>
        </w:r>
        <w:r w:rsidRPr="00533B68">
          <w:t>Disposal of exhibits</w:t>
        </w:r>
        <w:r>
          <w:tab/>
        </w:r>
        <w:r>
          <w:fldChar w:fldCharType="begin"/>
        </w:r>
        <w:r>
          <w:instrText xml:space="preserve"> PAGEREF _Toc185515433 \h </w:instrText>
        </w:r>
        <w:r>
          <w:fldChar w:fldCharType="separate"/>
        </w:r>
        <w:r>
          <w:t>1041</w:t>
        </w:r>
        <w:r>
          <w:fldChar w:fldCharType="end"/>
        </w:r>
      </w:hyperlink>
    </w:p>
    <w:p w14:paraId="09C52B45" w14:textId="526BEA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4" w:history="1">
        <w:r w:rsidRPr="00533B68">
          <w:t>6767</w:t>
        </w:r>
        <w:r>
          <w:rPr>
            <w:rFonts w:asciiTheme="minorHAnsi" w:eastAsiaTheme="minorEastAsia" w:hAnsiTheme="minorHAnsi" w:cstheme="minorBidi"/>
            <w:kern w:val="2"/>
            <w:sz w:val="24"/>
            <w:szCs w:val="24"/>
            <w:lang w:eastAsia="en-AU"/>
            <w14:ligatures w14:val="standardContextual"/>
          </w:rPr>
          <w:tab/>
        </w:r>
        <w:r w:rsidRPr="00533B68">
          <w:t>Power to allow removal of exhibits etc</w:t>
        </w:r>
        <w:r>
          <w:tab/>
        </w:r>
        <w:r>
          <w:fldChar w:fldCharType="begin"/>
        </w:r>
        <w:r>
          <w:instrText xml:space="preserve"> PAGEREF _Toc185515434 \h </w:instrText>
        </w:r>
        <w:r>
          <w:fldChar w:fldCharType="separate"/>
        </w:r>
        <w:r>
          <w:t>1042</w:t>
        </w:r>
        <w:r>
          <w:fldChar w:fldCharType="end"/>
        </w:r>
      </w:hyperlink>
    </w:p>
    <w:p w14:paraId="6C19995B" w14:textId="7E474E5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35" w:history="1">
        <w:r w:rsidR="00AC5392" w:rsidRPr="00533B68">
          <w:t>Division 6.10.6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Taking evidence at trial from outside ACT but in Australia by audiovisual link or audio link</w:t>
        </w:r>
        <w:r w:rsidR="00AC5392" w:rsidRPr="00AC5392">
          <w:rPr>
            <w:vanish/>
          </w:rPr>
          <w:tab/>
        </w:r>
        <w:r w:rsidR="00AC5392" w:rsidRPr="00AC5392">
          <w:rPr>
            <w:vanish/>
          </w:rPr>
          <w:fldChar w:fldCharType="begin"/>
        </w:r>
        <w:r w:rsidR="00AC5392" w:rsidRPr="00AC5392">
          <w:rPr>
            <w:vanish/>
          </w:rPr>
          <w:instrText xml:space="preserve"> PAGEREF _Toc185515435 \h </w:instrText>
        </w:r>
        <w:r w:rsidR="00AC5392" w:rsidRPr="00AC5392">
          <w:rPr>
            <w:vanish/>
          </w:rPr>
        </w:r>
        <w:r w:rsidR="00AC5392" w:rsidRPr="00AC5392">
          <w:rPr>
            <w:vanish/>
          </w:rPr>
          <w:fldChar w:fldCharType="separate"/>
        </w:r>
        <w:r w:rsidR="00AC5392" w:rsidRPr="00AC5392">
          <w:rPr>
            <w:vanish/>
          </w:rPr>
          <w:t>1043</w:t>
        </w:r>
        <w:r w:rsidR="00AC5392" w:rsidRPr="00AC5392">
          <w:rPr>
            <w:vanish/>
          </w:rPr>
          <w:fldChar w:fldCharType="end"/>
        </w:r>
      </w:hyperlink>
    </w:p>
    <w:p w14:paraId="2D1D271B" w14:textId="1114425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6" w:history="1">
        <w:r w:rsidRPr="00533B68">
          <w:t>6800</w:t>
        </w:r>
        <w:r>
          <w:rPr>
            <w:rFonts w:asciiTheme="minorHAnsi" w:eastAsiaTheme="minorEastAsia" w:hAnsiTheme="minorHAnsi" w:cstheme="minorBidi"/>
            <w:kern w:val="2"/>
            <w:sz w:val="24"/>
            <w:szCs w:val="24"/>
            <w:lang w:eastAsia="en-AU"/>
            <w14:ligatures w14:val="standardContextual"/>
          </w:rPr>
          <w:tab/>
        </w:r>
        <w:r w:rsidRPr="00533B68">
          <w:t>Application for direction under Evidence (Miscellaneous Provisions) Act, s 20</w:t>
        </w:r>
        <w:r>
          <w:tab/>
        </w:r>
        <w:r>
          <w:fldChar w:fldCharType="begin"/>
        </w:r>
        <w:r>
          <w:instrText xml:space="preserve"> PAGEREF _Toc185515436 \h </w:instrText>
        </w:r>
        <w:r>
          <w:fldChar w:fldCharType="separate"/>
        </w:r>
        <w:r>
          <w:t>1043</w:t>
        </w:r>
        <w:r>
          <w:fldChar w:fldCharType="end"/>
        </w:r>
      </w:hyperlink>
    </w:p>
    <w:p w14:paraId="5271F1C7" w14:textId="5142752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7" w:history="1">
        <w:r w:rsidRPr="00533B68">
          <w:t>6801</w:t>
        </w:r>
        <w:r>
          <w:rPr>
            <w:rFonts w:asciiTheme="minorHAnsi" w:eastAsiaTheme="minorEastAsia" w:hAnsiTheme="minorHAnsi" w:cstheme="minorBidi"/>
            <w:kern w:val="2"/>
            <w:sz w:val="24"/>
            <w:szCs w:val="24"/>
            <w:lang w:eastAsia="en-AU"/>
            <w14:ligatures w14:val="standardContextual"/>
          </w:rPr>
          <w:tab/>
        </w:r>
        <w:r w:rsidRPr="00533B68">
          <w:t>Directions for Evidence (Miscellaneous Provisions) Act, s 20</w:t>
        </w:r>
        <w:r>
          <w:tab/>
        </w:r>
        <w:r>
          <w:fldChar w:fldCharType="begin"/>
        </w:r>
        <w:r>
          <w:instrText xml:space="preserve"> PAGEREF _Toc185515437 \h </w:instrText>
        </w:r>
        <w:r>
          <w:fldChar w:fldCharType="separate"/>
        </w:r>
        <w:r>
          <w:t>1044</w:t>
        </w:r>
        <w:r>
          <w:fldChar w:fldCharType="end"/>
        </w:r>
      </w:hyperlink>
    </w:p>
    <w:p w14:paraId="78553741" w14:textId="37AE4C9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38" w:history="1">
        <w:r w:rsidR="00AC5392" w:rsidRPr="00533B68">
          <w:t>Division 6.10.8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Taking evidence otherwise than at trial</w:t>
        </w:r>
        <w:r w:rsidR="00AC5392" w:rsidRPr="00AC5392">
          <w:rPr>
            <w:vanish/>
          </w:rPr>
          <w:tab/>
        </w:r>
        <w:r w:rsidR="00AC5392" w:rsidRPr="00AC5392">
          <w:rPr>
            <w:vanish/>
          </w:rPr>
          <w:fldChar w:fldCharType="begin"/>
        </w:r>
        <w:r w:rsidR="00AC5392" w:rsidRPr="00AC5392">
          <w:rPr>
            <w:vanish/>
          </w:rPr>
          <w:instrText xml:space="preserve"> PAGEREF _Toc185515438 \h </w:instrText>
        </w:r>
        <w:r w:rsidR="00AC5392" w:rsidRPr="00AC5392">
          <w:rPr>
            <w:vanish/>
          </w:rPr>
        </w:r>
        <w:r w:rsidR="00AC5392" w:rsidRPr="00AC5392">
          <w:rPr>
            <w:vanish/>
          </w:rPr>
          <w:fldChar w:fldCharType="separate"/>
        </w:r>
        <w:r w:rsidR="00AC5392" w:rsidRPr="00AC5392">
          <w:rPr>
            <w:vanish/>
          </w:rPr>
          <w:t>1045</w:t>
        </w:r>
        <w:r w:rsidR="00AC5392" w:rsidRPr="00AC5392">
          <w:rPr>
            <w:vanish/>
          </w:rPr>
          <w:fldChar w:fldCharType="end"/>
        </w:r>
      </w:hyperlink>
    </w:p>
    <w:p w14:paraId="7835C241" w14:textId="7D960A3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39" w:history="1">
        <w:r w:rsidRPr="00533B68">
          <w:t>6810</w:t>
        </w:r>
        <w:r>
          <w:rPr>
            <w:rFonts w:asciiTheme="minorHAnsi" w:eastAsiaTheme="minorEastAsia" w:hAnsiTheme="minorHAnsi" w:cstheme="minorBidi"/>
            <w:kern w:val="2"/>
            <w:sz w:val="24"/>
            <w:szCs w:val="24"/>
            <w:lang w:eastAsia="en-AU"/>
            <w14:ligatures w14:val="standardContextual"/>
          </w:rPr>
          <w:tab/>
        </w:r>
        <w:r w:rsidRPr="00533B68">
          <w:t>Definitions—div 6.10.8</w:t>
        </w:r>
        <w:r>
          <w:tab/>
        </w:r>
        <w:r>
          <w:fldChar w:fldCharType="begin"/>
        </w:r>
        <w:r>
          <w:instrText xml:space="preserve"> PAGEREF _Toc185515439 \h </w:instrText>
        </w:r>
        <w:r>
          <w:fldChar w:fldCharType="separate"/>
        </w:r>
        <w:r>
          <w:t>1045</w:t>
        </w:r>
        <w:r>
          <w:fldChar w:fldCharType="end"/>
        </w:r>
      </w:hyperlink>
    </w:p>
    <w:p w14:paraId="416A2B61" w14:textId="001231F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0" w:history="1">
        <w:r w:rsidRPr="00533B68">
          <w:t>6811</w:t>
        </w:r>
        <w:r>
          <w:rPr>
            <w:rFonts w:asciiTheme="minorHAnsi" w:eastAsiaTheme="minorEastAsia" w:hAnsiTheme="minorHAnsi" w:cstheme="minorBidi"/>
            <w:kern w:val="2"/>
            <w:sz w:val="24"/>
            <w:szCs w:val="24"/>
            <w:lang w:eastAsia="en-AU"/>
            <w14:ligatures w14:val="standardContextual"/>
          </w:rPr>
          <w:tab/>
        </w:r>
        <w:r w:rsidRPr="00533B68">
          <w:t>Effect of court directions for examination order</w:t>
        </w:r>
        <w:r>
          <w:tab/>
        </w:r>
        <w:r>
          <w:fldChar w:fldCharType="begin"/>
        </w:r>
        <w:r>
          <w:instrText xml:space="preserve"> PAGEREF _Toc185515440 \h </w:instrText>
        </w:r>
        <w:r>
          <w:fldChar w:fldCharType="separate"/>
        </w:r>
        <w:r>
          <w:t>1045</w:t>
        </w:r>
        <w:r>
          <w:fldChar w:fldCharType="end"/>
        </w:r>
      </w:hyperlink>
    </w:p>
    <w:p w14:paraId="210EF425" w14:textId="5514099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1" w:history="1">
        <w:r w:rsidRPr="00533B68">
          <w:t>6812</w:t>
        </w:r>
        <w:r>
          <w:rPr>
            <w:rFonts w:asciiTheme="minorHAnsi" w:eastAsiaTheme="minorEastAsia" w:hAnsiTheme="minorHAnsi" w:cstheme="minorBidi"/>
            <w:kern w:val="2"/>
            <w:sz w:val="24"/>
            <w:szCs w:val="24"/>
            <w:lang w:eastAsia="en-AU"/>
            <w14:ligatures w14:val="standardContextual"/>
          </w:rPr>
          <w:tab/>
        </w:r>
        <w:r w:rsidRPr="00533B68">
          <w:t>Application of div 6.10.8 to letter of request</w:t>
        </w:r>
        <w:r>
          <w:tab/>
        </w:r>
        <w:r>
          <w:fldChar w:fldCharType="begin"/>
        </w:r>
        <w:r>
          <w:instrText xml:space="preserve"> PAGEREF _Toc185515441 \h </w:instrText>
        </w:r>
        <w:r>
          <w:fldChar w:fldCharType="separate"/>
        </w:r>
        <w:r>
          <w:t>1046</w:t>
        </w:r>
        <w:r>
          <w:fldChar w:fldCharType="end"/>
        </w:r>
      </w:hyperlink>
    </w:p>
    <w:p w14:paraId="55B8E2FE" w14:textId="7CC050B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2" w:history="1">
        <w:r w:rsidRPr="00533B68">
          <w:t>6813</w:t>
        </w:r>
        <w:r>
          <w:rPr>
            <w:rFonts w:asciiTheme="minorHAnsi" w:eastAsiaTheme="minorEastAsia" w:hAnsiTheme="minorHAnsi" w:cstheme="minorBidi"/>
            <w:kern w:val="2"/>
            <w:sz w:val="24"/>
            <w:szCs w:val="24"/>
            <w:lang w:eastAsia="en-AU"/>
            <w14:ligatures w14:val="standardContextual"/>
          </w:rPr>
          <w:tab/>
        </w:r>
        <w:r w:rsidRPr="00533B68">
          <w:t>Order for taking evidence otherwise than at trial</w:t>
        </w:r>
        <w:r>
          <w:tab/>
        </w:r>
        <w:r>
          <w:fldChar w:fldCharType="begin"/>
        </w:r>
        <w:r>
          <w:instrText xml:space="preserve"> PAGEREF _Toc185515442 \h </w:instrText>
        </w:r>
        <w:r>
          <w:fldChar w:fldCharType="separate"/>
        </w:r>
        <w:r>
          <w:t>1046</w:t>
        </w:r>
        <w:r>
          <w:fldChar w:fldCharType="end"/>
        </w:r>
      </w:hyperlink>
    </w:p>
    <w:p w14:paraId="30E902EA" w14:textId="78E5CE8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3" w:history="1">
        <w:r w:rsidRPr="00533B68">
          <w:t>6814</w:t>
        </w:r>
        <w:r>
          <w:rPr>
            <w:rFonts w:asciiTheme="minorHAnsi" w:eastAsiaTheme="minorEastAsia" w:hAnsiTheme="minorHAnsi" w:cstheme="minorBidi"/>
            <w:kern w:val="2"/>
            <w:sz w:val="24"/>
            <w:szCs w:val="24"/>
            <w:lang w:eastAsia="en-AU"/>
            <w14:ligatures w14:val="standardContextual"/>
          </w:rPr>
          <w:tab/>
        </w:r>
        <w:r w:rsidRPr="00533B68">
          <w:t>When examination order may be made</w:t>
        </w:r>
        <w:r>
          <w:tab/>
        </w:r>
        <w:r>
          <w:fldChar w:fldCharType="begin"/>
        </w:r>
        <w:r>
          <w:instrText xml:space="preserve"> PAGEREF _Toc185515443 \h </w:instrText>
        </w:r>
        <w:r>
          <w:fldChar w:fldCharType="separate"/>
        </w:r>
        <w:r>
          <w:t>1047</w:t>
        </w:r>
        <w:r>
          <w:fldChar w:fldCharType="end"/>
        </w:r>
      </w:hyperlink>
    </w:p>
    <w:p w14:paraId="7621A046" w14:textId="23300A1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4" w:history="1">
        <w:r w:rsidRPr="00533B68">
          <w:t>6815</w:t>
        </w:r>
        <w:r>
          <w:rPr>
            <w:rFonts w:asciiTheme="minorHAnsi" w:eastAsiaTheme="minorEastAsia" w:hAnsiTheme="minorHAnsi" w:cstheme="minorBidi"/>
            <w:kern w:val="2"/>
            <w:sz w:val="24"/>
            <w:szCs w:val="24"/>
            <w:lang w:eastAsia="en-AU"/>
            <w14:ligatures w14:val="standardContextual"/>
          </w:rPr>
          <w:tab/>
        </w:r>
        <w:r w:rsidRPr="00533B68">
          <w:t>Application for examination order</w:t>
        </w:r>
        <w:r>
          <w:tab/>
        </w:r>
        <w:r>
          <w:fldChar w:fldCharType="begin"/>
        </w:r>
        <w:r>
          <w:instrText xml:space="preserve"> PAGEREF _Toc185515444 \h </w:instrText>
        </w:r>
        <w:r>
          <w:fldChar w:fldCharType="separate"/>
        </w:r>
        <w:r>
          <w:t>1048</w:t>
        </w:r>
        <w:r>
          <w:fldChar w:fldCharType="end"/>
        </w:r>
      </w:hyperlink>
    </w:p>
    <w:p w14:paraId="030E9266" w14:textId="050035D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5" w:history="1">
        <w:r w:rsidRPr="00533B68">
          <w:t>6816</w:t>
        </w:r>
        <w:r>
          <w:rPr>
            <w:rFonts w:asciiTheme="minorHAnsi" w:eastAsiaTheme="minorEastAsia" w:hAnsiTheme="minorHAnsi" w:cstheme="minorBidi"/>
            <w:kern w:val="2"/>
            <w:sz w:val="24"/>
            <w:szCs w:val="24"/>
            <w:lang w:eastAsia="en-AU"/>
            <w14:ligatures w14:val="standardContextual"/>
          </w:rPr>
          <w:tab/>
        </w:r>
        <w:r w:rsidRPr="00533B68">
          <w:t>Appointment of examiner</w:t>
        </w:r>
        <w:r>
          <w:tab/>
        </w:r>
        <w:r>
          <w:fldChar w:fldCharType="begin"/>
        </w:r>
        <w:r>
          <w:instrText xml:space="preserve"> PAGEREF _Toc185515445 \h </w:instrText>
        </w:r>
        <w:r>
          <w:fldChar w:fldCharType="separate"/>
        </w:r>
        <w:r>
          <w:t>1048</w:t>
        </w:r>
        <w:r>
          <w:fldChar w:fldCharType="end"/>
        </w:r>
      </w:hyperlink>
    </w:p>
    <w:p w14:paraId="6112F4FF" w14:textId="741DCA3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6" w:history="1">
        <w:r w:rsidRPr="00533B68">
          <w:t>6817</w:t>
        </w:r>
        <w:r>
          <w:rPr>
            <w:rFonts w:asciiTheme="minorHAnsi" w:eastAsiaTheme="minorEastAsia" w:hAnsiTheme="minorHAnsi" w:cstheme="minorBidi"/>
            <w:kern w:val="2"/>
            <w:sz w:val="24"/>
            <w:szCs w:val="24"/>
            <w:lang w:eastAsia="en-AU"/>
            <w14:ligatures w14:val="standardContextual"/>
          </w:rPr>
          <w:tab/>
        </w:r>
        <w:r w:rsidRPr="00533B68">
          <w:t>Documents for examiner</w:t>
        </w:r>
        <w:r>
          <w:tab/>
        </w:r>
        <w:r>
          <w:fldChar w:fldCharType="begin"/>
        </w:r>
        <w:r>
          <w:instrText xml:space="preserve"> PAGEREF _Toc185515446 \h </w:instrText>
        </w:r>
        <w:r>
          <w:fldChar w:fldCharType="separate"/>
        </w:r>
        <w:r>
          <w:t>1048</w:t>
        </w:r>
        <w:r>
          <w:fldChar w:fldCharType="end"/>
        </w:r>
      </w:hyperlink>
    </w:p>
    <w:p w14:paraId="2F4DBF58" w14:textId="35E2EB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7" w:history="1">
        <w:r w:rsidRPr="00533B68">
          <w:t>6818</w:t>
        </w:r>
        <w:r>
          <w:rPr>
            <w:rFonts w:asciiTheme="minorHAnsi" w:eastAsiaTheme="minorEastAsia" w:hAnsiTheme="minorHAnsi" w:cstheme="minorBidi"/>
            <w:kern w:val="2"/>
            <w:sz w:val="24"/>
            <w:szCs w:val="24"/>
            <w:lang w:eastAsia="en-AU"/>
            <w14:ligatures w14:val="standardContextual"/>
          </w:rPr>
          <w:tab/>
        </w:r>
        <w:r w:rsidRPr="00533B68">
          <w:t>Time and place of examination etc</w:t>
        </w:r>
        <w:r>
          <w:tab/>
        </w:r>
        <w:r>
          <w:fldChar w:fldCharType="begin"/>
        </w:r>
        <w:r>
          <w:instrText xml:space="preserve"> PAGEREF _Toc185515447 \h </w:instrText>
        </w:r>
        <w:r>
          <w:fldChar w:fldCharType="separate"/>
        </w:r>
        <w:r>
          <w:t>1049</w:t>
        </w:r>
        <w:r>
          <w:fldChar w:fldCharType="end"/>
        </w:r>
      </w:hyperlink>
    </w:p>
    <w:p w14:paraId="54B2623E" w14:textId="5D7574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8" w:history="1">
        <w:r w:rsidRPr="00533B68">
          <w:t>6819</w:t>
        </w:r>
        <w:r>
          <w:rPr>
            <w:rFonts w:asciiTheme="minorHAnsi" w:eastAsiaTheme="minorEastAsia" w:hAnsiTheme="minorHAnsi" w:cstheme="minorBidi"/>
            <w:kern w:val="2"/>
            <w:sz w:val="24"/>
            <w:szCs w:val="24"/>
            <w:lang w:eastAsia="en-AU"/>
            <w14:ligatures w14:val="standardContextual"/>
          </w:rPr>
          <w:tab/>
        </w:r>
        <w:r w:rsidRPr="00533B68">
          <w:t>Conduct of examination</w:t>
        </w:r>
        <w:r>
          <w:tab/>
        </w:r>
        <w:r>
          <w:fldChar w:fldCharType="begin"/>
        </w:r>
        <w:r>
          <w:instrText xml:space="preserve"> PAGEREF _Toc185515448 \h </w:instrText>
        </w:r>
        <w:r>
          <w:fldChar w:fldCharType="separate"/>
        </w:r>
        <w:r>
          <w:t>1049</w:t>
        </w:r>
        <w:r>
          <w:fldChar w:fldCharType="end"/>
        </w:r>
      </w:hyperlink>
    </w:p>
    <w:p w14:paraId="5A6FC51B" w14:textId="7E03082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49" w:history="1">
        <w:r w:rsidRPr="00533B68">
          <w:t>6820</w:t>
        </w:r>
        <w:r>
          <w:rPr>
            <w:rFonts w:asciiTheme="minorHAnsi" w:eastAsiaTheme="minorEastAsia" w:hAnsiTheme="minorHAnsi" w:cstheme="minorBidi"/>
            <w:kern w:val="2"/>
            <w:sz w:val="24"/>
            <w:szCs w:val="24"/>
            <w:lang w:eastAsia="en-AU"/>
            <w14:ligatures w14:val="standardContextual"/>
          </w:rPr>
          <w:tab/>
        </w:r>
        <w:r w:rsidRPr="00533B68">
          <w:t>Examination of additional people</w:t>
        </w:r>
        <w:r>
          <w:tab/>
        </w:r>
        <w:r>
          <w:fldChar w:fldCharType="begin"/>
        </w:r>
        <w:r>
          <w:instrText xml:space="preserve"> PAGEREF _Toc185515449 \h </w:instrText>
        </w:r>
        <w:r>
          <w:fldChar w:fldCharType="separate"/>
        </w:r>
        <w:r>
          <w:t>1050</w:t>
        </w:r>
        <w:r>
          <w:fldChar w:fldCharType="end"/>
        </w:r>
      </w:hyperlink>
    </w:p>
    <w:p w14:paraId="0CE97BD2" w14:textId="555C75B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0" w:history="1">
        <w:r w:rsidRPr="00533B68">
          <w:t>6821</w:t>
        </w:r>
        <w:r>
          <w:rPr>
            <w:rFonts w:asciiTheme="minorHAnsi" w:eastAsiaTheme="minorEastAsia" w:hAnsiTheme="minorHAnsi" w:cstheme="minorBidi"/>
            <w:kern w:val="2"/>
            <w:sz w:val="24"/>
            <w:szCs w:val="24"/>
            <w:lang w:eastAsia="en-AU"/>
            <w14:ligatures w14:val="standardContextual"/>
          </w:rPr>
          <w:tab/>
        </w:r>
        <w:r w:rsidRPr="00533B68">
          <w:t>Objections by party or person being examined</w:t>
        </w:r>
        <w:r>
          <w:tab/>
        </w:r>
        <w:r>
          <w:fldChar w:fldCharType="begin"/>
        </w:r>
        <w:r>
          <w:instrText xml:space="preserve"> PAGEREF _Toc185515450 \h </w:instrText>
        </w:r>
        <w:r>
          <w:fldChar w:fldCharType="separate"/>
        </w:r>
        <w:r>
          <w:t>1051</w:t>
        </w:r>
        <w:r>
          <w:fldChar w:fldCharType="end"/>
        </w:r>
      </w:hyperlink>
    </w:p>
    <w:p w14:paraId="743FE70D" w14:textId="571DCF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1" w:history="1">
        <w:r w:rsidRPr="00533B68">
          <w:t>6822</w:t>
        </w:r>
        <w:r>
          <w:rPr>
            <w:rFonts w:asciiTheme="minorHAnsi" w:eastAsiaTheme="minorEastAsia" w:hAnsiTheme="minorHAnsi" w:cstheme="minorBidi"/>
            <w:kern w:val="2"/>
            <w:sz w:val="24"/>
            <w:szCs w:val="24"/>
            <w:lang w:eastAsia="en-AU"/>
            <w14:ligatures w14:val="standardContextual"/>
          </w:rPr>
          <w:tab/>
        </w:r>
        <w:r w:rsidRPr="00533B68">
          <w:t>Recording evidence of examination</w:t>
        </w:r>
        <w:r>
          <w:tab/>
        </w:r>
        <w:r>
          <w:fldChar w:fldCharType="begin"/>
        </w:r>
        <w:r>
          <w:instrText xml:space="preserve"> PAGEREF _Toc185515451 \h </w:instrText>
        </w:r>
        <w:r>
          <w:fldChar w:fldCharType="separate"/>
        </w:r>
        <w:r>
          <w:t>1052</w:t>
        </w:r>
        <w:r>
          <w:fldChar w:fldCharType="end"/>
        </w:r>
      </w:hyperlink>
    </w:p>
    <w:p w14:paraId="528FCDAA" w14:textId="2D9D9F3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2" w:history="1">
        <w:r w:rsidRPr="00533B68">
          <w:t>6823</w:t>
        </w:r>
        <w:r>
          <w:rPr>
            <w:rFonts w:asciiTheme="minorHAnsi" w:eastAsiaTheme="minorEastAsia" w:hAnsiTheme="minorHAnsi" w:cstheme="minorBidi"/>
            <w:kern w:val="2"/>
            <w:sz w:val="24"/>
            <w:szCs w:val="24"/>
            <w:lang w:eastAsia="en-AU"/>
            <w14:ligatures w14:val="standardContextual"/>
          </w:rPr>
          <w:tab/>
        </w:r>
        <w:r w:rsidRPr="00533B68">
          <w:t>Authentication and filing of deposition of examination etc</w:t>
        </w:r>
        <w:r>
          <w:tab/>
        </w:r>
        <w:r>
          <w:fldChar w:fldCharType="begin"/>
        </w:r>
        <w:r>
          <w:instrText xml:space="preserve"> PAGEREF _Toc185515452 \h </w:instrText>
        </w:r>
        <w:r>
          <w:fldChar w:fldCharType="separate"/>
        </w:r>
        <w:r>
          <w:t>1052</w:t>
        </w:r>
        <w:r>
          <w:fldChar w:fldCharType="end"/>
        </w:r>
      </w:hyperlink>
    </w:p>
    <w:p w14:paraId="71D1DAFB" w14:textId="12F2956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3" w:history="1">
        <w:r w:rsidRPr="00533B68">
          <w:t>6824</w:t>
        </w:r>
        <w:r>
          <w:rPr>
            <w:rFonts w:asciiTheme="minorHAnsi" w:eastAsiaTheme="minorEastAsia" w:hAnsiTheme="minorHAnsi" w:cstheme="minorBidi"/>
            <w:kern w:val="2"/>
            <w:sz w:val="24"/>
            <w:szCs w:val="24"/>
            <w:lang w:eastAsia="en-AU"/>
            <w14:ligatures w14:val="standardContextual"/>
          </w:rPr>
          <w:tab/>
        </w:r>
        <w:r w:rsidRPr="00533B68">
          <w:t>Special report on examination</w:t>
        </w:r>
        <w:r>
          <w:tab/>
        </w:r>
        <w:r>
          <w:fldChar w:fldCharType="begin"/>
        </w:r>
        <w:r>
          <w:instrText xml:space="preserve"> PAGEREF _Toc185515453 \h </w:instrText>
        </w:r>
        <w:r>
          <w:fldChar w:fldCharType="separate"/>
        </w:r>
        <w:r>
          <w:t>1053</w:t>
        </w:r>
        <w:r>
          <w:fldChar w:fldCharType="end"/>
        </w:r>
      </w:hyperlink>
    </w:p>
    <w:p w14:paraId="1ACAC26D" w14:textId="7F59F9F0"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454" w:history="1">
        <w:r w:rsidRPr="00533B68">
          <w:t>6825</w:t>
        </w:r>
        <w:r>
          <w:rPr>
            <w:rFonts w:asciiTheme="minorHAnsi" w:eastAsiaTheme="minorEastAsia" w:hAnsiTheme="minorHAnsi" w:cstheme="minorBidi"/>
            <w:kern w:val="2"/>
            <w:sz w:val="24"/>
            <w:szCs w:val="24"/>
            <w:lang w:eastAsia="en-AU"/>
            <w14:ligatures w14:val="standardContextual"/>
          </w:rPr>
          <w:tab/>
        </w:r>
        <w:r w:rsidRPr="00533B68">
          <w:t>Default of witness at examination</w:t>
        </w:r>
        <w:r>
          <w:tab/>
        </w:r>
        <w:r>
          <w:fldChar w:fldCharType="begin"/>
        </w:r>
        <w:r>
          <w:instrText xml:space="preserve"> PAGEREF _Toc185515454 \h </w:instrText>
        </w:r>
        <w:r>
          <w:fldChar w:fldCharType="separate"/>
        </w:r>
        <w:r>
          <w:t>1053</w:t>
        </w:r>
        <w:r>
          <w:fldChar w:fldCharType="end"/>
        </w:r>
      </w:hyperlink>
    </w:p>
    <w:p w14:paraId="6F919128" w14:textId="39D659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5" w:history="1">
        <w:r w:rsidRPr="00533B68">
          <w:t>6826</w:t>
        </w:r>
        <w:r>
          <w:rPr>
            <w:rFonts w:asciiTheme="minorHAnsi" w:eastAsiaTheme="minorEastAsia" w:hAnsiTheme="minorHAnsi" w:cstheme="minorBidi"/>
            <w:kern w:val="2"/>
            <w:sz w:val="24"/>
            <w:szCs w:val="24"/>
            <w:lang w:eastAsia="en-AU"/>
            <w14:ligatures w14:val="standardContextual"/>
          </w:rPr>
          <w:tab/>
        </w:r>
        <w:r w:rsidRPr="00533B68">
          <w:t>Costs of examination</w:t>
        </w:r>
        <w:r>
          <w:tab/>
        </w:r>
        <w:r>
          <w:fldChar w:fldCharType="begin"/>
        </w:r>
        <w:r>
          <w:instrText xml:space="preserve"> PAGEREF _Toc185515455 \h </w:instrText>
        </w:r>
        <w:r>
          <w:fldChar w:fldCharType="separate"/>
        </w:r>
        <w:r>
          <w:t>1054</w:t>
        </w:r>
        <w:r>
          <w:fldChar w:fldCharType="end"/>
        </w:r>
      </w:hyperlink>
    </w:p>
    <w:p w14:paraId="3E7AA943" w14:textId="6F34AAA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6" w:history="1">
        <w:r w:rsidRPr="00533B68">
          <w:t>6827</w:t>
        </w:r>
        <w:r>
          <w:rPr>
            <w:rFonts w:asciiTheme="minorHAnsi" w:eastAsiaTheme="minorEastAsia" w:hAnsiTheme="minorHAnsi" w:cstheme="minorBidi"/>
            <w:kern w:val="2"/>
            <w:sz w:val="24"/>
            <w:szCs w:val="24"/>
            <w:lang w:eastAsia="en-AU"/>
            <w14:ligatures w14:val="standardContextual"/>
          </w:rPr>
          <w:tab/>
        </w:r>
        <w:r w:rsidRPr="00533B68">
          <w:t>Witness expenses for witness at examination</w:t>
        </w:r>
        <w:r>
          <w:tab/>
        </w:r>
        <w:r>
          <w:fldChar w:fldCharType="begin"/>
        </w:r>
        <w:r>
          <w:instrText xml:space="preserve"> PAGEREF _Toc185515456 \h </w:instrText>
        </w:r>
        <w:r>
          <w:fldChar w:fldCharType="separate"/>
        </w:r>
        <w:r>
          <w:t>1054</w:t>
        </w:r>
        <w:r>
          <w:fldChar w:fldCharType="end"/>
        </w:r>
      </w:hyperlink>
    </w:p>
    <w:p w14:paraId="02BC4164" w14:textId="52841ED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7" w:history="1">
        <w:r w:rsidRPr="00533B68">
          <w:t>6828</w:t>
        </w:r>
        <w:r>
          <w:rPr>
            <w:rFonts w:asciiTheme="minorHAnsi" w:eastAsiaTheme="minorEastAsia" w:hAnsiTheme="minorHAnsi" w:cstheme="minorBidi"/>
            <w:kern w:val="2"/>
            <w:sz w:val="24"/>
            <w:szCs w:val="24"/>
            <w:lang w:eastAsia="en-AU"/>
            <w14:ligatures w14:val="standardContextual"/>
          </w:rPr>
          <w:tab/>
        </w:r>
        <w:r w:rsidRPr="00533B68">
          <w:t>Admissibility of deposition of examination</w:t>
        </w:r>
        <w:r>
          <w:tab/>
        </w:r>
        <w:r>
          <w:fldChar w:fldCharType="begin"/>
        </w:r>
        <w:r>
          <w:instrText xml:space="preserve"> PAGEREF _Toc185515457 \h </w:instrText>
        </w:r>
        <w:r>
          <w:fldChar w:fldCharType="separate"/>
        </w:r>
        <w:r>
          <w:t>1054</w:t>
        </w:r>
        <w:r>
          <w:fldChar w:fldCharType="end"/>
        </w:r>
      </w:hyperlink>
    </w:p>
    <w:p w14:paraId="0B2548D6" w14:textId="319EF07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8" w:history="1">
        <w:r w:rsidRPr="00533B68">
          <w:t>6829</w:t>
        </w:r>
        <w:r>
          <w:rPr>
            <w:rFonts w:asciiTheme="minorHAnsi" w:eastAsiaTheme="minorEastAsia" w:hAnsiTheme="minorHAnsi" w:cstheme="minorBidi"/>
            <w:kern w:val="2"/>
            <w:sz w:val="24"/>
            <w:szCs w:val="24"/>
            <w:lang w:eastAsia="en-AU"/>
            <w14:ligatures w14:val="standardContextual"/>
          </w:rPr>
          <w:tab/>
        </w:r>
        <w:r w:rsidRPr="00533B68">
          <w:t>Letter of request</w:t>
        </w:r>
        <w:r>
          <w:tab/>
        </w:r>
        <w:r>
          <w:fldChar w:fldCharType="begin"/>
        </w:r>
        <w:r>
          <w:instrText xml:space="preserve"> PAGEREF _Toc185515458 \h </w:instrText>
        </w:r>
        <w:r>
          <w:fldChar w:fldCharType="separate"/>
        </w:r>
        <w:r>
          <w:t>1055</w:t>
        </w:r>
        <w:r>
          <w:fldChar w:fldCharType="end"/>
        </w:r>
      </w:hyperlink>
    </w:p>
    <w:p w14:paraId="3067F35E" w14:textId="397D174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59" w:history="1">
        <w:r w:rsidRPr="00533B68">
          <w:t>6830</w:t>
        </w:r>
        <w:r>
          <w:rPr>
            <w:rFonts w:asciiTheme="minorHAnsi" w:eastAsiaTheme="minorEastAsia" w:hAnsiTheme="minorHAnsi" w:cstheme="minorBidi"/>
            <w:kern w:val="2"/>
            <w:sz w:val="24"/>
            <w:szCs w:val="24"/>
            <w:lang w:eastAsia="en-AU"/>
            <w14:ligatures w14:val="standardContextual"/>
          </w:rPr>
          <w:tab/>
        </w:r>
        <w:r w:rsidRPr="00533B68">
          <w:t>Use of evidence taken in examination</w:t>
        </w:r>
        <w:r>
          <w:tab/>
        </w:r>
        <w:r>
          <w:fldChar w:fldCharType="begin"/>
        </w:r>
        <w:r>
          <w:instrText xml:space="preserve"> PAGEREF _Toc185515459 \h </w:instrText>
        </w:r>
        <w:r>
          <w:fldChar w:fldCharType="separate"/>
        </w:r>
        <w:r>
          <w:t>1056</w:t>
        </w:r>
        <w:r>
          <w:fldChar w:fldCharType="end"/>
        </w:r>
      </w:hyperlink>
    </w:p>
    <w:p w14:paraId="1EF01B68" w14:textId="0EF38C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0" w:history="1">
        <w:r w:rsidRPr="00533B68">
          <w:t>6831</w:t>
        </w:r>
        <w:r>
          <w:rPr>
            <w:rFonts w:asciiTheme="minorHAnsi" w:eastAsiaTheme="minorEastAsia" w:hAnsiTheme="minorHAnsi" w:cstheme="minorBidi"/>
            <w:kern w:val="2"/>
            <w:sz w:val="24"/>
            <w:szCs w:val="24"/>
            <w:lang w:eastAsia="en-AU"/>
            <w14:ligatures w14:val="standardContextual"/>
          </w:rPr>
          <w:tab/>
        </w:r>
        <w:r w:rsidRPr="00533B68">
          <w:t>Use of evidence taken in an examination—subsequent proceedings</w:t>
        </w:r>
        <w:r>
          <w:tab/>
        </w:r>
        <w:r>
          <w:fldChar w:fldCharType="begin"/>
        </w:r>
        <w:r>
          <w:instrText xml:space="preserve"> PAGEREF _Toc185515460 \h </w:instrText>
        </w:r>
        <w:r>
          <w:fldChar w:fldCharType="separate"/>
        </w:r>
        <w:r>
          <w:t>1058</w:t>
        </w:r>
        <w:r>
          <w:fldChar w:fldCharType="end"/>
        </w:r>
      </w:hyperlink>
    </w:p>
    <w:p w14:paraId="7C582D32" w14:textId="305A9A6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1" w:history="1">
        <w:r w:rsidRPr="00533B68">
          <w:t>6832</w:t>
        </w:r>
        <w:r>
          <w:rPr>
            <w:rFonts w:asciiTheme="minorHAnsi" w:eastAsiaTheme="minorEastAsia" w:hAnsiTheme="minorHAnsi" w:cstheme="minorBidi"/>
            <w:kern w:val="2"/>
            <w:sz w:val="24"/>
            <w:szCs w:val="24"/>
            <w:lang w:eastAsia="en-AU"/>
            <w14:ligatures w14:val="standardContextual"/>
          </w:rPr>
          <w:tab/>
        </w:r>
        <w:r w:rsidRPr="00533B68">
          <w:t>Amendment and revocation of examination orders</w:t>
        </w:r>
        <w:r>
          <w:tab/>
        </w:r>
        <w:r>
          <w:fldChar w:fldCharType="begin"/>
        </w:r>
        <w:r>
          <w:instrText xml:space="preserve"> PAGEREF _Toc185515461 \h </w:instrText>
        </w:r>
        <w:r>
          <w:fldChar w:fldCharType="separate"/>
        </w:r>
        <w:r>
          <w:t>1059</w:t>
        </w:r>
        <w:r>
          <w:fldChar w:fldCharType="end"/>
        </w:r>
      </w:hyperlink>
    </w:p>
    <w:p w14:paraId="5DCAD980" w14:textId="1EE223E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2" w:history="1">
        <w:r w:rsidRPr="00533B68">
          <w:t>6833</w:t>
        </w:r>
        <w:r>
          <w:rPr>
            <w:rFonts w:asciiTheme="minorHAnsi" w:eastAsiaTheme="minorEastAsia" w:hAnsiTheme="minorHAnsi" w:cstheme="minorBidi"/>
            <w:kern w:val="2"/>
            <w:sz w:val="24"/>
            <w:szCs w:val="24"/>
            <w:lang w:eastAsia="en-AU"/>
            <w14:ligatures w14:val="standardContextual"/>
          </w:rPr>
          <w:tab/>
        </w:r>
        <w:r w:rsidRPr="00533B68">
          <w:t>Exclusion of evidence in criminal proceeding</w:t>
        </w:r>
        <w:r>
          <w:tab/>
        </w:r>
        <w:r>
          <w:fldChar w:fldCharType="begin"/>
        </w:r>
        <w:r>
          <w:instrText xml:space="preserve"> PAGEREF _Toc185515462 \h </w:instrText>
        </w:r>
        <w:r>
          <w:fldChar w:fldCharType="separate"/>
        </w:r>
        <w:r>
          <w:t>1060</w:t>
        </w:r>
        <w:r>
          <w:fldChar w:fldCharType="end"/>
        </w:r>
      </w:hyperlink>
    </w:p>
    <w:p w14:paraId="4A06EF2C" w14:textId="3B2A2DB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63" w:history="1">
        <w:r w:rsidR="00AC5392" w:rsidRPr="00533B68">
          <w:t>Division 6.10.9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Taking evidence for Australian and foreign courts and tribunals</w:t>
        </w:r>
        <w:r w:rsidR="00AC5392" w:rsidRPr="00AC5392">
          <w:rPr>
            <w:vanish/>
          </w:rPr>
          <w:tab/>
        </w:r>
        <w:r w:rsidR="00AC5392" w:rsidRPr="00AC5392">
          <w:rPr>
            <w:vanish/>
          </w:rPr>
          <w:fldChar w:fldCharType="begin"/>
        </w:r>
        <w:r w:rsidR="00AC5392" w:rsidRPr="00AC5392">
          <w:rPr>
            <w:vanish/>
          </w:rPr>
          <w:instrText xml:space="preserve"> PAGEREF _Toc185515463 \h </w:instrText>
        </w:r>
        <w:r w:rsidR="00AC5392" w:rsidRPr="00AC5392">
          <w:rPr>
            <w:vanish/>
          </w:rPr>
        </w:r>
        <w:r w:rsidR="00AC5392" w:rsidRPr="00AC5392">
          <w:rPr>
            <w:vanish/>
          </w:rPr>
          <w:fldChar w:fldCharType="separate"/>
        </w:r>
        <w:r w:rsidR="00AC5392" w:rsidRPr="00AC5392">
          <w:rPr>
            <w:vanish/>
          </w:rPr>
          <w:t>1060</w:t>
        </w:r>
        <w:r w:rsidR="00AC5392" w:rsidRPr="00AC5392">
          <w:rPr>
            <w:vanish/>
          </w:rPr>
          <w:fldChar w:fldCharType="end"/>
        </w:r>
      </w:hyperlink>
    </w:p>
    <w:p w14:paraId="07124580" w14:textId="64874CF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4" w:history="1">
        <w:r w:rsidRPr="00533B68">
          <w:t>6840</w:t>
        </w:r>
        <w:r>
          <w:rPr>
            <w:rFonts w:asciiTheme="minorHAnsi" w:eastAsiaTheme="minorEastAsia" w:hAnsiTheme="minorHAnsi" w:cstheme="minorBidi"/>
            <w:kern w:val="2"/>
            <w:sz w:val="24"/>
            <w:szCs w:val="24"/>
            <w:lang w:eastAsia="en-AU"/>
            <w14:ligatures w14:val="standardContextual"/>
          </w:rPr>
          <w:tab/>
        </w:r>
        <w:r w:rsidRPr="00533B68">
          <w:t>Definitions—div 6.10.9</w:t>
        </w:r>
        <w:r>
          <w:tab/>
        </w:r>
        <w:r>
          <w:fldChar w:fldCharType="begin"/>
        </w:r>
        <w:r>
          <w:instrText xml:space="preserve"> PAGEREF _Toc185515464 \h </w:instrText>
        </w:r>
        <w:r>
          <w:fldChar w:fldCharType="separate"/>
        </w:r>
        <w:r>
          <w:t>1060</w:t>
        </w:r>
        <w:r>
          <w:fldChar w:fldCharType="end"/>
        </w:r>
      </w:hyperlink>
    </w:p>
    <w:p w14:paraId="63010329" w14:textId="35A1BFC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5" w:history="1">
        <w:r w:rsidRPr="00533B68">
          <w:t>6841</w:t>
        </w:r>
        <w:r>
          <w:rPr>
            <w:rFonts w:asciiTheme="minorHAnsi" w:eastAsiaTheme="minorEastAsia" w:hAnsiTheme="minorHAnsi" w:cstheme="minorBidi"/>
            <w:kern w:val="2"/>
            <w:sz w:val="24"/>
            <w:szCs w:val="24"/>
            <w:lang w:eastAsia="en-AU"/>
            <w14:ligatures w14:val="standardContextual"/>
          </w:rPr>
          <w:tab/>
        </w:r>
        <w:r w:rsidRPr="00533B68">
          <w:t>Application—div 6.10.9</w:t>
        </w:r>
        <w:r>
          <w:tab/>
        </w:r>
        <w:r>
          <w:fldChar w:fldCharType="begin"/>
        </w:r>
        <w:r>
          <w:instrText xml:space="preserve"> PAGEREF _Toc185515465 \h </w:instrText>
        </w:r>
        <w:r>
          <w:fldChar w:fldCharType="separate"/>
        </w:r>
        <w:r>
          <w:t>1061</w:t>
        </w:r>
        <w:r>
          <w:fldChar w:fldCharType="end"/>
        </w:r>
      </w:hyperlink>
    </w:p>
    <w:p w14:paraId="38E3168F" w14:textId="194834A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6" w:history="1">
        <w:r w:rsidRPr="00533B68">
          <w:t>6842</w:t>
        </w:r>
        <w:r>
          <w:rPr>
            <w:rFonts w:asciiTheme="minorHAnsi" w:eastAsiaTheme="minorEastAsia" w:hAnsiTheme="minorHAnsi" w:cstheme="minorBidi"/>
            <w:kern w:val="2"/>
            <w:sz w:val="24"/>
            <w:szCs w:val="24"/>
            <w:lang w:eastAsia="en-AU"/>
            <w14:ligatures w14:val="standardContextual"/>
          </w:rPr>
          <w:tab/>
        </w:r>
        <w:r w:rsidRPr="00533B68">
          <w:t>Application for div 6.10.9 order</w:t>
        </w:r>
        <w:r>
          <w:tab/>
        </w:r>
        <w:r>
          <w:fldChar w:fldCharType="begin"/>
        </w:r>
        <w:r>
          <w:instrText xml:space="preserve"> PAGEREF _Toc185515466 \h </w:instrText>
        </w:r>
        <w:r>
          <w:fldChar w:fldCharType="separate"/>
        </w:r>
        <w:r>
          <w:t>1062</w:t>
        </w:r>
        <w:r>
          <w:fldChar w:fldCharType="end"/>
        </w:r>
      </w:hyperlink>
    </w:p>
    <w:p w14:paraId="7AE53D8B" w14:textId="0217C27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7" w:history="1">
        <w:r w:rsidRPr="00533B68">
          <w:t>6843</w:t>
        </w:r>
        <w:r>
          <w:rPr>
            <w:rFonts w:asciiTheme="minorHAnsi" w:eastAsiaTheme="minorEastAsia" w:hAnsiTheme="minorHAnsi" w:cstheme="minorBidi"/>
            <w:kern w:val="2"/>
            <w:sz w:val="24"/>
            <w:szCs w:val="24"/>
            <w:lang w:eastAsia="en-AU"/>
            <w14:ligatures w14:val="standardContextual"/>
          </w:rPr>
          <w:tab/>
        </w:r>
        <w:r w:rsidRPr="00533B68">
          <w:t>Order relating to taking evidence for Australian or foreign court or tribunal</w:t>
        </w:r>
        <w:r>
          <w:tab/>
        </w:r>
        <w:r>
          <w:fldChar w:fldCharType="begin"/>
        </w:r>
        <w:r>
          <w:instrText xml:space="preserve"> PAGEREF _Toc185515467 \h </w:instrText>
        </w:r>
        <w:r>
          <w:fldChar w:fldCharType="separate"/>
        </w:r>
        <w:r>
          <w:t>1062</w:t>
        </w:r>
        <w:r>
          <w:fldChar w:fldCharType="end"/>
        </w:r>
      </w:hyperlink>
    </w:p>
    <w:p w14:paraId="4776F648" w14:textId="648BBE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8" w:history="1">
        <w:r w:rsidRPr="00533B68">
          <w:t>6844</w:t>
        </w:r>
        <w:r>
          <w:rPr>
            <w:rFonts w:asciiTheme="minorHAnsi" w:eastAsiaTheme="minorEastAsia" w:hAnsiTheme="minorHAnsi" w:cstheme="minorBidi"/>
            <w:kern w:val="2"/>
            <w:sz w:val="24"/>
            <w:szCs w:val="24"/>
            <w:lang w:eastAsia="en-AU"/>
            <w14:ligatures w14:val="standardContextual"/>
          </w:rPr>
          <w:tab/>
        </w:r>
        <w:r w:rsidRPr="00533B68">
          <w:t>Div 6.10.9 order for criminal proceeding</w:t>
        </w:r>
        <w:r>
          <w:tab/>
        </w:r>
        <w:r>
          <w:fldChar w:fldCharType="begin"/>
        </w:r>
        <w:r>
          <w:instrText xml:space="preserve"> PAGEREF _Toc185515468 \h </w:instrText>
        </w:r>
        <w:r>
          <w:fldChar w:fldCharType="separate"/>
        </w:r>
        <w:r>
          <w:t>1063</w:t>
        </w:r>
        <w:r>
          <w:fldChar w:fldCharType="end"/>
        </w:r>
      </w:hyperlink>
    </w:p>
    <w:p w14:paraId="39D2FA81" w14:textId="6010418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69" w:history="1">
        <w:r w:rsidRPr="00533B68">
          <w:t>6845</w:t>
        </w:r>
        <w:r>
          <w:rPr>
            <w:rFonts w:asciiTheme="minorHAnsi" w:eastAsiaTheme="minorEastAsia" w:hAnsiTheme="minorHAnsi" w:cstheme="minorBidi"/>
            <w:kern w:val="2"/>
            <w:sz w:val="24"/>
            <w:szCs w:val="24"/>
            <w:lang w:eastAsia="en-AU"/>
            <w14:ligatures w14:val="standardContextual"/>
          </w:rPr>
          <w:tab/>
        </w:r>
        <w:r w:rsidRPr="00533B68">
          <w:t>Appointment of examiner for div 6.10.9</w:t>
        </w:r>
        <w:r>
          <w:tab/>
        </w:r>
        <w:r>
          <w:fldChar w:fldCharType="begin"/>
        </w:r>
        <w:r>
          <w:instrText xml:space="preserve"> PAGEREF _Toc185515469 \h </w:instrText>
        </w:r>
        <w:r>
          <w:fldChar w:fldCharType="separate"/>
        </w:r>
        <w:r>
          <w:t>1064</w:t>
        </w:r>
        <w:r>
          <w:fldChar w:fldCharType="end"/>
        </w:r>
      </w:hyperlink>
    </w:p>
    <w:p w14:paraId="6DE0F23D" w14:textId="6AADBED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70" w:history="1">
        <w:r w:rsidRPr="00533B68">
          <w:t>6846</w:t>
        </w:r>
        <w:r>
          <w:rPr>
            <w:rFonts w:asciiTheme="minorHAnsi" w:eastAsiaTheme="minorEastAsia" w:hAnsiTheme="minorHAnsi" w:cstheme="minorBidi"/>
            <w:kern w:val="2"/>
            <w:sz w:val="24"/>
            <w:szCs w:val="24"/>
            <w:lang w:eastAsia="en-AU"/>
            <w14:ligatures w14:val="standardContextual"/>
          </w:rPr>
          <w:tab/>
        </w:r>
        <w:r w:rsidRPr="00533B68">
          <w:t>Attendance by div 6.10.9 order applicant at examination</w:t>
        </w:r>
        <w:r>
          <w:tab/>
        </w:r>
        <w:r>
          <w:fldChar w:fldCharType="begin"/>
        </w:r>
        <w:r>
          <w:instrText xml:space="preserve"> PAGEREF _Toc185515470 \h </w:instrText>
        </w:r>
        <w:r>
          <w:fldChar w:fldCharType="separate"/>
        </w:r>
        <w:r>
          <w:t>1064</w:t>
        </w:r>
        <w:r>
          <w:fldChar w:fldCharType="end"/>
        </w:r>
      </w:hyperlink>
    </w:p>
    <w:p w14:paraId="69BA0405" w14:textId="267E20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71" w:history="1">
        <w:r w:rsidRPr="00533B68">
          <w:t>6847</w:t>
        </w:r>
        <w:r>
          <w:rPr>
            <w:rFonts w:asciiTheme="minorHAnsi" w:eastAsiaTheme="minorEastAsia" w:hAnsiTheme="minorHAnsi" w:cstheme="minorBidi"/>
            <w:kern w:val="2"/>
            <w:sz w:val="24"/>
            <w:szCs w:val="24"/>
            <w:lang w:eastAsia="en-AU"/>
            <w14:ligatures w14:val="standardContextual"/>
          </w:rPr>
          <w:tab/>
        </w:r>
        <w:r w:rsidRPr="00533B68">
          <w:t>Procedure for taking evidence under div 6.10.9 order</w:t>
        </w:r>
        <w:r>
          <w:tab/>
        </w:r>
        <w:r>
          <w:fldChar w:fldCharType="begin"/>
        </w:r>
        <w:r>
          <w:instrText xml:space="preserve"> PAGEREF _Toc185515471 \h </w:instrText>
        </w:r>
        <w:r>
          <w:fldChar w:fldCharType="separate"/>
        </w:r>
        <w:r>
          <w:t>1064</w:t>
        </w:r>
        <w:r>
          <w:fldChar w:fldCharType="end"/>
        </w:r>
      </w:hyperlink>
    </w:p>
    <w:p w14:paraId="20392962" w14:textId="4FAA3C0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72" w:history="1">
        <w:r w:rsidRPr="00533B68">
          <w:t>6848</w:t>
        </w:r>
        <w:r>
          <w:rPr>
            <w:rFonts w:asciiTheme="minorHAnsi" w:eastAsiaTheme="minorEastAsia" w:hAnsiTheme="minorHAnsi" w:cstheme="minorBidi"/>
            <w:kern w:val="2"/>
            <w:sz w:val="24"/>
            <w:szCs w:val="24"/>
            <w:lang w:eastAsia="en-AU"/>
            <w14:ligatures w14:val="standardContextual"/>
          </w:rPr>
          <w:tab/>
        </w:r>
        <w:r w:rsidRPr="00533B68">
          <w:t>Keeping of exhibits at div 6.10.9 examination</w:t>
        </w:r>
        <w:r>
          <w:tab/>
        </w:r>
        <w:r>
          <w:fldChar w:fldCharType="begin"/>
        </w:r>
        <w:r>
          <w:instrText xml:space="preserve"> PAGEREF _Toc185515472 \h </w:instrText>
        </w:r>
        <w:r>
          <w:fldChar w:fldCharType="separate"/>
        </w:r>
        <w:r>
          <w:t>1065</w:t>
        </w:r>
        <w:r>
          <w:fldChar w:fldCharType="end"/>
        </w:r>
      </w:hyperlink>
    </w:p>
    <w:p w14:paraId="4BF547DA" w14:textId="50CCF33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73" w:history="1">
        <w:r w:rsidRPr="00533B68">
          <w:t>6849</w:t>
        </w:r>
        <w:r>
          <w:rPr>
            <w:rFonts w:asciiTheme="minorHAnsi" w:eastAsiaTheme="minorEastAsia" w:hAnsiTheme="minorHAnsi" w:cstheme="minorBidi"/>
            <w:kern w:val="2"/>
            <w:sz w:val="24"/>
            <w:szCs w:val="24"/>
            <w:lang w:eastAsia="en-AU"/>
            <w14:ligatures w14:val="standardContextual"/>
          </w:rPr>
          <w:tab/>
        </w:r>
        <w:r w:rsidRPr="00533B68">
          <w:t>Certificate of order and depositions—div 6.10.9 examination</w:t>
        </w:r>
        <w:r>
          <w:tab/>
        </w:r>
        <w:r>
          <w:fldChar w:fldCharType="begin"/>
        </w:r>
        <w:r>
          <w:instrText xml:space="preserve"> PAGEREF _Toc185515473 \h </w:instrText>
        </w:r>
        <w:r>
          <w:fldChar w:fldCharType="separate"/>
        </w:r>
        <w:r>
          <w:t>1065</w:t>
        </w:r>
        <w:r>
          <w:fldChar w:fldCharType="end"/>
        </w:r>
      </w:hyperlink>
    </w:p>
    <w:p w14:paraId="1BD25954" w14:textId="619C552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74" w:history="1">
        <w:r w:rsidRPr="00533B68">
          <w:t>6850</w:t>
        </w:r>
        <w:r>
          <w:rPr>
            <w:rFonts w:asciiTheme="minorHAnsi" w:eastAsiaTheme="minorEastAsia" w:hAnsiTheme="minorHAnsi" w:cstheme="minorBidi"/>
            <w:kern w:val="2"/>
            <w:sz w:val="24"/>
            <w:szCs w:val="24"/>
            <w:lang w:eastAsia="en-AU"/>
            <w14:ligatures w14:val="standardContextual"/>
          </w:rPr>
          <w:tab/>
        </w:r>
        <w:r w:rsidRPr="00533B68">
          <w:t>Privilege of witnesses—div 6.10.9 examination</w:t>
        </w:r>
        <w:r>
          <w:tab/>
        </w:r>
        <w:r>
          <w:fldChar w:fldCharType="begin"/>
        </w:r>
        <w:r>
          <w:instrText xml:space="preserve"> PAGEREF _Toc185515474 \h </w:instrText>
        </w:r>
        <w:r>
          <w:fldChar w:fldCharType="separate"/>
        </w:r>
        <w:r>
          <w:t>1065</w:t>
        </w:r>
        <w:r>
          <w:fldChar w:fldCharType="end"/>
        </w:r>
      </w:hyperlink>
    </w:p>
    <w:p w14:paraId="6FB9AAE7" w14:textId="457CC6B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75" w:history="1">
        <w:r w:rsidRPr="00533B68">
          <w:t>6851</w:t>
        </w:r>
        <w:r>
          <w:rPr>
            <w:rFonts w:asciiTheme="minorHAnsi" w:eastAsiaTheme="minorEastAsia" w:hAnsiTheme="minorHAnsi" w:cstheme="minorBidi"/>
            <w:kern w:val="2"/>
            <w:sz w:val="24"/>
            <w:szCs w:val="24"/>
            <w:lang w:eastAsia="en-AU"/>
            <w14:ligatures w14:val="standardContextual"/>
          </w:rPr>
          <w:tab/>
        </w:r>
        <w:r w:rsidRPr="00533B68">
          <w:t>Privilege of witnesses—unsupported claim etc for div 6.10.9 examination</w:t>
        </w:r>
        <w:r>
          <w:tab/>
        </w:r>
        <w:r>
          <w:fldChar w:fldCharType="begin"/>
        </w:r>
        <w:r>
          <w:instrText xml:space="preserve"> PAGEREF _Toc185515475 \h </w:instrText>
        </w:r>
        <w:r>
          <w:fldChar w:fldCharType="separate"/>
        </w:r>
        <w:r>
          <w:t>1066</w:t>
        </w:r>
        <w:r>
          <w:fldChar w:fldCharType="end"/>
        </w:r>
      </w:hyperlink>
    </w:p>
    <w:p w14:paraId="40DE5362" w14:textId="6481E578"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476" w:history="1">
        <w:r w:rsidR="00AC5392" w:rsidRPr="00533B68">
          <w:t>Part 6.10A</w:t>
        </w:r>
        <w:r w:rsidR="00AC5392">
          <w:rPr>
            <w:rFonts w:asciiTheme="minorHAnsi" w:eastAsiaTheme="minorEastAsia" w:hAnsiTheme="minorHAnsi" w:cstheme="minorBidi"/>
            <w:b w:val="0"/>
            <w:kern w:val="2"/>
            <w:szCs w:val="24"/>
            <w:lang w:eastAsia="en-AU"/>
            <w14:ligatures w14:val="standardContextual"/>
          </w:rPr>
          <w:tab/>
        </w:r>
        <w:r w:rsidR="00AC5392" w:rsidRPr="00533B68">
          <w:t>Trans-Tasman proceedings</w:t>
        </w:r>
        <w:r w:rsidR="00AC5392" w:rsidRPr="00AC5392">
          <w:rPr>
            <w:vanish/>
          </w:rPr>
          <w:tab/>
        </w:r>
        <w:r w:rsidR="00AC5392" w:rsidRPr="00AC5392">
          <w:rPr>
            <w:vanish/>
          </w:rPr>
          <w:fldChar w:fldCharType="begin"/>
        </w:r>
        <w:r w:rsidR="00AC5392" w:rsidRPr="00AC5392">
          <w:rPr>
            <w:vanish/>
          </w:rPr>
          <w:instrText xml:space="preserve"> PAGEREF _Toc185515476 \h </w:instrText>
        </w:r>
        <w:r w:rsidR="00AC5392" w:rsidRPr="00AC5392">
          <w:rPr>
            <w:vanish/>
          </w:rPr>
        </w:r>
        <w:r w:rsidR="00AC5392" w:rsidRPr="00AC5392">
          <w:rPr>
            <w:vanish/>
          </w:rPr>
          <w:fldChar w:fldCharType="separate"/>
        </w:r>
        <w:r w:rsidR="00AC5392" w:rsidRPr="00AC5392">
          <w:rPr>
            <w:vanish/>
          </w:rPr>
          <w:t>1068</w:t>
        </w:r>
        <w:r w:rsidR="00AC5392" w:rsidRPr="00AC5392">
          <w:rPr>
            <w:vanish/>
          </w:rPr>
          <w:fldChar w:fldCharType="end"/>
        </w:r>
      </w:hyperlink>
    </w:p>
    <w:p w14:paraId="2C31ACFF" w14:textId="2EE12FE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77" w:history="1">
        <w:r w:rsidR="00AC5392" w:rsidRPr="00533B68">
          <w:t>Division 6.10A.1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Trans-Tasman proceedings—general</w:t>
        </w:r>
        <w:r w:rsidR="00AC5392" w:rsidRPr="00AC5392">
          <w:rPr>
            <w:vanish/>
          </w:rPr>
          <w:tab/>
        </w:r>
        <w:r w:rsidR="00AC5392" w:rsidRPr="00AC5392">
          <w:rPr>
            <w:vanish/>
          </w:rPr>
          <w:fldChar w:fldCharType="begin"/>
        </w:r>
        <w:r w:rsidR="00AC5392" w:rsidRPr="00AC5392">
          <w:rPr>
            <w:vanish/>
          </w:rPr>
          <w:instrText xml:space="preserve"> PAGEREF _Toc185515477 \h </w:instrText>
        </w:r>
        <w:r w:rsidR="00AC5392" w:rsidRPr="00AC5392">
          <w:rPr>
            <w:vanish/>
          </w:rPr>
        </w:r>
        <w:r w:rsidR="00AC5392" w:rsidRPr="00AC5392">
          <w:rPr>
            <w:vanish/>
          </w:rPr>
          <w:fldChar w:fldCharType="separate"/>
        </w:r>
        <w:r w:rsidR="00AC5392" w:rsidRPr="00AC5392">
          <w:rPr>
            <w:vanish/>
          </w:rPr>
          <w:t>1068</w:t>
        </w:r>
        <w:r w:rsidR="00AC5392" w:rsidRPr="00AC5392">
          <w:rPr>
            <w:vanish/>
          </w:rPr>
          <w:fldChar w:fldCharType="end"/>
        </w:r>
      </w:hyperlink>
    </w:p>
    <w:p w14:paraId="08C676AD" w14:textId="5EE1124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78" w:history="1">
        <w:r w:rsidRPr="00533B68">
          <w:t>6860</w:t>
        </w:r>
        <w:r>
          <w:rPr>
            <w:rFonts w:asciiTheme="minorHAnsi" w:eastAsiaTheme="minorEastAsia" w:hAnsiTheme="minorHAnsi" w:cstheme="minorBidi"/>
            <w:kern w:val="2"/>
            <w:sz w:val="24"/>
            <w:szCs w:val="24"/>
            <w:lang w:eastAsia="en-AU"/>
            <w14:ligatures w14:val="standardContextual"/>
          </w:rPr>
          <w:tab/>
        </w:r>
        <w:r w:rsidRPr="00533B68">
          <w:t>Terms in Trans-Tasman Proceedings Act</w:t>
        </w:r>
        <w:r>
          <w:tab/>
        </w:r>
        <w:r>
          <w:fldChar w:fldCharType="begin"/>
        </w:r>
        <w:r>
          <w:instrText xml:space="preserve"> PAGEREF _Toc185515478 \h </w:instrText>
        </w:r>
        <w:r>
          <w:fldChar w:fldCharType="separate"/>
        </w:r>
        <w:r>
          <w:t>1068</w:t>
        </w:r>
        <w:r>
          <w:fldChar w:fldCharType="end"/>
        </w:r>
      </w:hyperlink>
    </w:p>
    <w:p w14:paraId="40C37BA0" w14:textId="5B0C2FF9"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79" w:history="1">
        <w:r w:rsidR="00AC5392" w:rsidRPr="00533B68">
          <w:t>Division 6.10A.2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Trans-Tasman proceedings—orders under Trans</w:t>
        </w:r>
        <w:r w:rsidR="00AC5392" w:rsidRPr="00533B68">
          <w:noBreakHyphen/>
          <w:t>Tasman Proceedings Act</w:t>
        </w:r>
        <w:r w:rsidR="00AC5392" w:rsidRPr="00AC5392">
          <w:rPr>
            <w:vanish/>
          </w:rPr>
          <w:tab/>
        </w:r>
        <w:r w:rsidR="00AC5392" w:rsidRPr="00AC5392">
          <w:rPr>
            <w:vanish/>
          </w:rPr>
          <w:fldChar w:fldCharType="begin"/>
        </w:r>
        <w:r w:rsidR="00AC5392" w:rsidRPr="00AC5392">
          <w:rPr>
            <w:vanish/>
          </w:rPr>
          <w:instrText xml:space="preserve"> PAGEREF _Toc185515479 \h </w:instrText>
        </w:r>
        <w:r w:rsidR="00AC5392" w:rsidRPr="00AC5392">
          <w:rPr>
            <w:vanish/>
          </w:rPr>
        </w:r>
        <w:r w:rsidR="00AC5392" w:rsidRPr="00AC5392">
          <w:rPr>
            <w:vanish/>
          </w:rPr>
          <w:fldChar w:fldCharType="separate"/>
        </w:r>
        <w:r w:rsidR="00AC5392" w:rsidRPr="00AC5392">
          <w:rPr>
            <w:vanish/>
          </w:rPr>
          <w:t>1068</w:t>
        </w:r>
        <w:r w:rsidR="00AC5392" w:rsidRPr="00AC5392">
          <w:rPr>
            <w:vanish/>
          </w:rPr>
          <w:fldChar w:fldCharType="end"/>
        </w:r>
      </w:hyperlink>
    </w:p>
    <w:p w14:paraId="266A8C7B" w14:textId="7B86406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0" w:history="1">
        <w:r w:rsidRPr="00533B68">
          <w:t>6861</w:t>
        </w:r>
        <w:r>
          <w:rPr>
            <w:rFonts w:asciiTheme="minorHAnsi" w:eastAsiaTheme="minorEastAsia" w:hAnsiTheme="minorHAnsi" w:cstheme="minorBidi"/>
            <w:kern w:val="2"/>
            <w:sz w:val="24"/>
            <w:szCs w:val="24"/>
            <w:lang w:eastAsia="en-AU"/>
            <w14:ligatures w14:val="standardContextual"/>
          </w:rPr>
          <w:tab/>
        </w:r>
        <w:r w:rsidRPr="00533B68">
          <w:t>Trans-Tasman proceedings—originating application</w:t>
        </w:r>
        <w:r>
          <w:tab/>
        </w:r>
        <w:r>
          <w:fldChar w:fldCharType="begin"/>
        </w:r>
        <w:r>
          <w:instrText xml:space="preserve"> PAGEREF _Toc185515480 \h </w:instrText>
        </w:r>
        <w:r>
          <w:fldChar w:fldCharType="separate"/>
        </w:r>
        <w:r>
          <w:t>1068</w:t>
        </w:r>
        <w:r>
          <w:fldChar w:fldCharType="end"/>
        </w:r>
      </w:hyperlink>
    </w:p>
    <w:p w14:paraId="609C1EFA" w14:textId="68615B6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1" w:history="1">
        <w:r w:rsidRPr="00533B68">
          <w:t>6862</w:t>
        </w:r>
        <w:r>
          <w:rPr>
            <w:rFonts w:asciiTheme="minorHAnsi" w:eastAsiaTheme="minorEastAsia" w:hAnsiTheme="minorHAnsi" w:cstheme="minorBidi"/>
            <w:kern w:val="2"/>
            <w:sz w:val="24"/>
            <w:szCs w:val="24"/>
            <w:lang w:eastAsia="en-AU"/>
            <w14:ligatures w14:val="standardContextual"/>
          </w:rPr>
          <w:tab/>
        </w:r>
        <w:r w:rsidRPr="00533B68">
          <w:t>Trans-Tasman proceedings—applications in proceedings</w:t>
        </w:r>
        <w:r>
          <w:tab/>
        </w:r>
        <w:r>
          <w:fldChar w:fldCharType="begin"/>
        </w:r>
        <w:r>
          <w:instrText xml:space="preserve"> PAGEREF _Toc185515481 \h </w:instrText>
        </w:r>
        <w:r>
          <w:fldChar w:fldCharType="separate"/>
        </w:r>
        <w:r>
          <w:t>1069</w:t>
        </w:r>
        <w:r>
          <w:fldChar w:fldCharType="end"/>
        </w:r>
      </w:hyperlink>
    </w:p>
    <w:p w14:paraId="605D43EC" w14:textId="79FC49D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2" w:history="1">
        <w:r w:rsidRPr="00533B68">
          <w:t>6863</w:t>
        </w:r>
        <w:r>
          <w:rPr>
            <w:rFonts w:asciiTheme="minorHAnsi" w:eastAsiaTheme="minorEastAsia" w:hAnsiTheme="minorHAnsi" w:cstheme="minorBidi"/>
            <w:kern w:val="2"/>
            <w:sz w:val="24"/>
            <w:szCs w:val="24"/>
            <w:lang w:eastAsia="en-AU"/>
            <w14:ligatures w14:val="standardContextual"/>
          </w:rPr>
          <w:tab/>
        </w:r>
        <w:r w:rsidRPr="00533B68">
          <w:t>Trans-Tasman proceedings—application for interim relief</w:t>
        </w:r>
        <w:r>
          <w:tab/>
        </w:r>
        <w:r>
          <w:fldChar w:fldCharType="begin"/>
        </w:r>
        <w:r>
          <w:instrText xml:space="preserve"> PAGEREF _Toc185515482 \h </w:instrText>
        </w:r>
        <w:r>
          <w:fldChar w:fldCharType="separate"/>
        </w:r>
        <w:r>
          <w:t>1069</w:t>
        </w:r>
        <w:r>
          <w:fldChar w:fldCharType="end"/>
        </w:r>
      </w:hyperlink>
    </w:p>
    <w:p w14:paraId="75038C2C" w14:textId="498FDD8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83" w:history="1">
        <w:r w:rsidR="00AC5392" w:rsidRPr="00533B68">
          <w:t>Division 6.10A.3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Trans-Tasman proceedings—service of subpoenas in New Zealand</w:t>
        </w:r>
        <w:r w:rsidR="00AC5392" w:rsidRPr="00AC5392">
          <w:rPr>
            <w:vanish/>
          </w:rPr>
          <w:tab/>
        </w:r>
        <w:r w:rsidR="00AC5392" w:rsidRPr="00AC5392">
          <w:rPr>
            <w:vanish/>
          </w:rPr>
          <w:fldChar w:fldCharType="begin"/>
        </w:r>
        <w:r w:rsidR="00AC5392" w:rsidRPr="00AC5392">
          <w:rPr>
            <w:vanish/>
          </w:rPr>
          <w:instrText xml:space="preserve"> PAGEREF _Toc185515483 \h </w:instrText>
        </w:r>
        <w:r w:rsidR="00AC5392" w:rsidRPr="00AC5392">
          <w:rPr>
            <w:vanish/>
          </w:rPr>
        </w:r>
        <w:r w:rsidR="00AC5392" w:rsidRPr="00AC5392">
          <w:rPr>
            <w:vanish/>
          </w:rPr>
          <w:fldChar w:fldCharType="separate"/>
        </w:r>
        <w:r w:rsidR="00AC5392" w:rsidRPr="00AC5392">
          <w:rPr>
            <w:vanish/>
          </w:rPr>
          <w:t>1070</w:t>
        </w:r>
        <w:r w:rsidR="00AC5392" w:rsidRPr="00AC5392">
          <w:rPr>
            <w:vanish/>
          </w:rPr>
          <w:fldChar w:fldCharType="end"/>
        </w:r>
      </w:hyperlink>
    </w:p>
    <w:p w14:paraId="24257337" w14:textId="5EAAC67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4" w:history="1">
        <w:r w:rsidRPr="00533B68">
          <w:t>6864</w:t>
        </w:r>
        <w:r>
          <w:rPr>
            <w:rFonts w:asciiTheme="minorHAnsi" w:eastAsiaTheme="minorEastAsia" w:hAnsiTheme="minorHAnsi" w:cstheme="minorBidi"/>
            <w:kern w:val="2"/>
            <w:sz w:val="24"/>
            <w:szCs w:val="24"/>
            <w:lang w:eastAsia="en-AU"/>
            <w14:ligatures w14:val="standardContextual"/>
          </w:rPr>
          <w:tab/>
        </w:r>
        <w:r w:rsidRPr="00533B68">
          <w:t>Application—div 6.10A.3</w:t>
        </w:r>
        <w:r>
          <w:tab/>
        </w:r>
        <w:r>
          <w:fldChar w:fldCharType="begin"/>
        </w:r>
        <w:r>
          <w:instrText xml:space="preserve"> PAGEREF _Toc185515484 \h </w:instrText>
        </w:r>
        <w:r>
          <w:fldChar w:fldCharType="separate"/>
        </w:r>
        <w:r>
          <w:t>1070</w:t>
        </w:r>
        <w:r>
          <w:fldChar w:fldCharType="end"/>
        </w:r>
      </w:hyperlink>
    </w:p>
    <w:p w14:paraId="4BC1C8F1" w14:textId="588D27D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5" w:history="1">
        <w:r w:rsidRPr="00533B68">
          <w:t>6865</w:t>
        </w:r>
        <w:r>
          <w:rPr>
            <w:rFonts w:asciiTheme="minorHAnsi" w:eastAsiaTheme="minorEastAsia" w:hAnsiTheme="minorHAnsi" w:cstheme="minorBidi"/>
            <w:kern w:val="2"/>
            <w:sz w:val="24"/>
            <w:szCs w:val="24"/>
            <w:lang w:eastAsia="en-AU"/>
            <w14:ligatures w14:val="standardContextual"/>
          </w:rPr>
          <w:tab/>
        </w:r>
        <w:r w:rsidRPr="00533B68">
          <w:t>Trans-Tasman proceedings—application for leave to serve subpoena in New Zealand</w:t>
        </w:r>
        <w:r>
          <w:tab/>
        </w:r>
        <w:r>
          <w:fldChar w:fldCharType="begin"/>
        </w:r>
        <w:r>
          <w:instrText xml:space="preserve"> PAGEREF _Toc185515485 \h </w:instrText>
        </w:r>
        <w:r>
          <w:fldChar w:fldCharType="separate"/>
        </w:r>
        <w:r>
          <w:t>1070</w:t>
        </w:r>
        <w:r>
          <w:fldChar w:fldCharType="end"/>
        </w:r>
      </w:hyperlink>
    </w:p>
    <w:p w14:paraId="644695B9" w14:textId="3A3E1DB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6" w:history="1">
        <w:r w:rsidRPr="00533B68">
          <w:t>6866</w:t>
        </w:r>
        <w:r>
          <w:rPr>
            <w:rFonts w:asciiTheme="minorHAnsi" w:eastAsiaTheme="minorEastAsia" w:hAnsiTheme="minorHAnsi" w:cstheme="minorBidi"/>
            <w:kern w:val="2"/>
            <w:sz w:val="24"/>
            <w:szCs w:val="24"/>
            <w:lang w:eastAsia="en-AU"/>
            <w14:ligatures w14:val="standardContextual"/>
          </w:rPr>
          <w:tab/>
        </w:r>
        <w:r w:rsidRPr="00533B68">
          <w:t>Trans-Tasman proceedings—application to set aside subpoena served in New Zealand</w:t>
        </w:r>
        <w:r>
          <w:tab/>
        </w:r>
        <w:r>
          <w:fldChar w:fldCharType="begin"/>
        </w:r>
        <w:r>
          <w:instrText xml:space="preserve"> PAGEREF _Toc185515486 \h </w:instrText>
        </w:r>
        <w:r>
          <w:fldChar w:fldCharType="separate"/>
        </w:r>
        <w:r>
          <w:t>1072</w:t>
        </w:r>
        <w:r>
          <w:fldChar w:fldCharType="end"/>
        </w:r>
      </w:hyperlink>
    </w:p>
    <w:p w14:paraId="02EAC1B0" w14:textId="7C06378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7" w:history="1">
        <w:r w:rsidRPr="00533B68">
          <w:t>6867</w:t>
        </w:r>
        <w:r>
          <w:rPr>
            <w:rFonts w:asciiTheme="minorHAnsi" w:eastAsiaTheme="minorEastAsia" w:hAnsiTheme="minorHAnsi" w:cstheme="minorBidi"/>
            <w:kern w:val="2"/>
            <w:sz w:val="24"/>
            <w:szCs w:val="24"/>
            <w:lang w:eastAsia="en-AU"/>
            <w14:ligatures w14:val="standardContextual"/>
          </w:rPr>
          <w:tab/>
        </w:r>
        <w:r w:rsidRPr="00533B68">
          <w:t>Trans-Tasman proceedings—noncompliance with subpoena served in New Zealand</w:t>
        </w:r>
        <w:r>
          <w:tab/>
        </w:r>
        <w:r>
          <w:fldChar w:fldCharType="begin"/>
        </w:r>
        <w:r>
          <w:instrText xml:space="preserve"> PAGEREF _Toc185515487 \h </w:instrText>
        </w:r>
        <w:r>
          <w:fldChar w:fldCharType="separate"/>
        </w:r>
        <w:r>
          <w:t>1072</w:t>
        </w:r>
        <w:r>
          <w:fldChar w:fldCharType="end"/>
        </w:r>
      </w:hyperlink>
    </w:p>
    <w:p w14:paraId="03152A7F" w14:textId="12B5C7F5"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88" w:history="1">
        <w:r w:rsidR="00AC5392" w:rsidRPr="00533B68">
          <w:t>Division 6.10A.4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Trans-Tasman proceedings—remote appearances</w:t>
        </w:r>
        <w:r w:rsidR="00AC5392" w:rsidRPr="00AC5392">
          <w:rPr>
            <w:vanish/>
          </w:rPr>
          <w:tab/>
        </w:r>
        <w:r w:rsidR="00AC5392" w:rsidRPr="00AC5392">
          <w:rPr>
            <w:vanish/>
          </w:rPr>
          <w:fldChar w:fldCharType="begin"/>
        </w:r>
        <w:r w:rsidR="00AC5392" w:rsidRPr="00AC5392">
          <w:rPr>
            <w:vanish/>
          </w:rPr>
          <w:instrText xml:space="preserve"> PAGEREF _Toc185515488 \h </w:instrText>
        </w:r>
        <w:r w:rsidR="00AC5392" w:rsidRPr="00AC5392">
          <w:rPr>
            <w:vanish/>
          </w:rPr>
        </w:r>
        <w:r w:rsidR="00AC5392" w:rsidRPr="00AC5392">
          <w:rPr>
            <w:vanish/>
          </w:rPr>
          <w:fldChar w:fldCharType="separate"/>
        </w:r>
        <w:r w:rsidR="00AC5392" w:rsidRPr="00AC5392">
          <w:rPr>
            <w:vanish/>
          </w:rPr>
          <w:t>1074</w:t>
        </w:r>
        <w:r w:rsidR="00AC5392" w:rsidRPr="00AC5392">
          <w:rPr>
            <w:vanish/>
          </w:rPr>
          <w:fldChar w:fldCharType="end"/>
        </w:r>
      </w:hyperlink>
    </w:p>
    <w:p w14:paraId="5E0C0E66" w14:textId="158C947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89" w:history="1">
        <w:r w:rsidRPr="00533B68">
          <w:t>6868</w:t>
        </w:r>
        <w:r>
          <w:rPr>
            <w:rFonts w:asciiTheme="minorHAnsi" w:eastAsiaTheme="minorEastAsia" w:hAnsiTheme="minorHAnsi" w:cstheme="minorBidi"/>
            <w:kern w:val="2"/>
            <w:sz w:val="24"/>
            <w:szCs w:val="24"/>
            <w:lang w:eastAsia="en-AU"/>
            <w14:ligatures w14:val="standardContextual"/>
          </w:rPr>
          <w:tab/>
        </w:r>
        <w:r w:rsidRPr="00533B68">
          <w:t>Trans-Tasman proceedings—application for order for use of audio link or audiovisual link from New Zealand</w:t>
        </w:r>
        <w:r>
          <w:tab/>
        </w:r>
        <w:r>
          <w:fldChar w:fldCharType="begin"/>
        </w:r>
        <w:r>
          <w:instrText xml:space="preserve"> PAGEREF _Toc185515489 \h </w:instrText>
        </w:r>
        <w:r>
          <w:fldChar w:fldCharType="separate"/>
        </w:r>
        <w:r>
          <w:t>1074</w:t>
        </w:r>
        <w:r>
          <w:fldChar w:fldCharType="end"/>
        </w:r>
      </w:hyperlink>
    </w:p>
    <w:p w14:paraId="0F913BBD" w14:textId="5FA85FD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490" w:history="1">
        <w:r w:rsidR="00AC5392" w:rsidRPr="00533B68">
          <w:t>Division 6.10A.5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Trans-Tasman proceedings—enforcement of NZ judgments</w:t>
        </w:r>
        <w:r w:rsidR="00AC5392" w:rsidRPr="00AC5392">
          <w:rPr>
            <w:vanish/>
          </w:rPr>
          <w:tab/>
        </w:r>
        <w:r w:rsidR="00AC5392" w:rsidRPr="00AC5392">
          <w:rPr>
            <w:vanish/>
          </w:rPr>
          <w:fldChar w:fldCharType="begin"/>
        </w:r>
        <w:r w:rsidR="00AC5392" w:rsidRPr="00AC5392">
          <w:rPr>
            <w:vanish/>
          </w:rPr>
          <w:instrText xml:space="preserve"> PAGEREF _Toc185515490 \h </w:instrText>
        </w:r>
        <w:r w:rsidR="00AC5392" w:rsidRPr="00AC5392">
          <w:rPr>
            <w:vanish/>
          </w:rPr>
        </w:r>
        <w:r w:rsidR="00AC5392" w:rsidRPr="00AC5392">
          <w:rPr>
            <w:vanish/>
          </w:rPr>
          <w:fldChar w:fldCharType="separate"/>
        </w:r>
        <w:r w:rsidR="00AC5392" w:rsidRPr="00AC5392">
          <w:rPr>
            <w:vanish/>
          </w:rPr>
          <w:t>1074</w:t>
        </w:r>
        <w:r w:rsidR="00AC5392" w:rsidRPr="00AC5392">
          <w:rPr>
            <w:vanish/>
          </w:rPr>
          <w:fldChar w:fldCharType="end"/>
        </w:r>
      </w:hyperlink>
    </w:p>
    <w:p w14:paraId="51AD87F1" w14:textId="4D28D7C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1" w:history="1">
        <w:r w:rsidRPr="00533B68">
          <w:t>6869</w:t>
        </w:r>
        <w:r>
          <w:rPr>
            <w:rFonts w:asciiTheme="minorHAnsi" w:eastAsiaTheme="minorEastAsia" w:hAnsiTheme="minorHAnsi" w:cstheme="minorBidi"/>
            <w:kern w:val="2"/>
            <w:sz w:val="24"/>
            <w:szCs w:val="24"/>
            <w:lang w:eastAsia="en-AU"/>
            <w14:ligatures w14:val="standardContextual"/>
          </w:rPr>
          <w:tab/>
        </w:r>
        <w:r w:rsidRPr="00533B68">
          <w:t>Trans-Tasman proceedings—notice of registration of NZ judgment</w:t>
        </w:r>
        <w:r>
          <w:tab/>
        </w:r>
        <w:r>
          <w:fldChar w:fldCharType="begin"/>
        </w:r>
        <w:r>
          <w:instrText xml:space="preserve"> PAGEREF _Toc185515491 \h </w:instrText>
        </w:r>
        <w:r>
          <w:fldChar w:fldCharType="separate"/>
        </w:r>
        <w:r>
          <w:t>1074</w:t>
        </w:r>
        <w:r>
          <w:fldChar w:fldCharType="end"/>
        </w:r>
      </w:hyperlink>
    </w:p>
    <w:p w14:paraId="094510EE" w14:textId="32EA9D6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2" w:history="1">
        <w:r w:rsidRPr="00533B68">
          <w:t>6870</w:t>
        </w:r>
        <w:r>
          <w:rPr>
            <w:rFonts w:asciiTheme="minorHAnsi" w:eastAsiaTheme="minorEastAsia" w:hAnsiTheme="minorHAnsi" w:cstheme="minorBidi"/>
            <w:kern w:val="2"/>
            <w:sz w:val="24"/>
            <w:szCs w:val="24"/>
            <w:lang w:eastAsia="en-AU"/>
            <w14:ligatures w14:val="standardContextual"/>
          </w:rPr>
          <w:tab/>
        </w:r>
        <w:r w:rsidRPr="00533B68">
          <w:t>Trans-Tasman proceedings—application for extension of time to give notice of registration of NZ judgment</w:t>
        </w:r>
        <w:r>
          <w:tab/>
        </w:r>
        <w:r>
          <w:fldChar w:fldCharType="begin"/>
        </w:r>
        <w:r>
          <w:instrText xml:space="preserve"> PAGEREF _Toc185515492 \h </w:instrText>
        </w:r>
        <w:r>
          <w:fldChar w:fldCharType="separate"/>
        </w:r>
        <w:r>
          <w:t>1075</w:t>
        </w:r>
        <w:r>
          <w:fldChar w:fldCharType="end"/>
        </w:r>
      </w:hyperlink>
    </w:p>
    <w:p w14:paraId="39A72EE9" w14:textId="6DA51D0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3" w:history="1">
        <w:r w:rsidRPr="00533B68">
          <w:t>6871</w:t>
        </w:r>
        <w:r>
          <w:rPr>
            <w:rFonts w:asciiTheme="minorHAnsi" w:eastAsiaTheme="minorEastAsia" w:hAnsiTheme="minorHAnsi" w:cstheme="minorBidi"/>
            <w:kern w:val="2"/>
            <w:sz w:val="24"/>
            <w:szCs w:val="24"/>
            <w:lang w:eastAsia="en-AU"/>
            <w14:ligatures w14:val="standardContextual"/>
          </w:rPr>
          <w:tab/>
        </w:r>
        <w:r w:rsidRPr="00533B68">
          <w:t>Trans-Tasman proceedings—application to set aside registration of NZ judgment</w:t>
        </w:r>
        <w:r>
          <w:tab/>
        </w:r>
        <w:r>
          <w:fldChar w:fldCharType="begin"/>
        </w:r>
        <w:r>
          <w:instrText xml:space="preserve"> PAGEREF _Toc185515493 \h </w:instrText>
        </w:r>
        <w:r>
          <w:fldChar w:fldCharType="separate"/>
        </w:r>
        <w:r>
          <w:t>1075</w:t>
        </w:r>
        <w:r>
          <w:fldChar w:fldCharType="end"/>
        </w:r>
      </w:hyperlink>
    </w:p>
    <w:p w14:paraId="5DBF802D" w14:textId="72589B7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4" w:history="1">
        <w:r w:rsidRPr="00533B68">
          <w:t>6872</w:t>
        </w:r>
        <w:r>
          <w:rPr>
            <w:rFonts w:asciiTheme="minorHAnsi" w:eastAsiaTheme="minorEastAsia" w:hAnsiTheme="minorHAnsi" w:cstheme="minorBidi"/>
            <w:kern w:val="2"/>
            <w:sz w:val="24"/>
            <w:szCs w:val="24"/>
            <w:lang w:eastAsia="en-AU"/>
            <w14:ligatures w14:val="standardContextual"/>
          </w:rPr>
          <w:tab/>
        </w:r>
        <w:r w:rsidRPr="00533B68">
          <w:t>Trans-Tasman proceedings—application for stay of enforcement of registered NZ judgment</w:t>
        </w:r>
        <w:r>
          <w:tab/>
        </w:r>
        <w:r>
          <w:fldChar w:fldCharType="begin"/>
        </w:r>
        <w:r>
          <w:instrText xml:space="preserve"> PAGEREF _Toc185515494 \h </w:instrText>
        </w:r>
        <w:r>
          <w:fldChar w:fldCharType="separate"/>
        </w:r>
        <w:r>
          <w:t>1076</w:t>
        </w:r>
        <w:r>
          <w:fldChar w:fldCharType="end"/>
        </w:r>
      </w:hyperlink>
    </w:p>
    <w:p w14:paraId="16A52EE5" w14:textId="4C512E5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5" w:history="1">
        <w:r w:rsidRPr="00533B68">
          <w:t>6873</w:t>
        </w:r>
        <w:r>
          <w:rPr>
            <w:rFonts w:asciiTheme="minorHAnsi" w:eastAsiaTheme="minorEastAsia" w:hAnsiTheme="minorHAnsi" w:cstheme="minorBidi"/>
            <w:kern w:val="2"/>
            <w:sz w:val="24"/>
            <w:szCs w:val="24"/>
            <w:lang w:eastAsia="en-AU"/>
            <w14:ligatures w14:val="standardContextual"/>
          </w:rPr>
          <w:tab/>
        </w:r>
        <w:r w:rsidRPr="00533B68">
          <w:t>Trans-Tasman proceedings—application for extension of time to apply for stay of enforcement of registered NZ judgment</w:t>
        </w:r>
        <w:r>
          <w:tab/>
        </w:r>
        <w:r>
          <w:fldChar w:fldCharType="begin"/>
        </w:r>
        <w:r>
          <w:instrText xml:space="preserve"> PAGEREF _Toc185515495 \h </w:instrText>
        </w:r>
        <w:r>
          <w:fldChar w:fldCharType="separate"/>
        </w:r>
        <w:r>
          <w:t>1076</w:t>
        </w:r>
        <w:r>
          <w:fldChar w:fldCharType="end"/>
        </w:r>
      </w:hyperlink>
    </w:p>
    <w:p w14:paraId="5A04B3EC" w14:textId="4CEFECE2"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496" w:history="1">
        <w:r w:rsidR="00AC5392" w:rsidRPr="00533B68">
          <w:t>Part 6.11</w:t>
        </w:r>
        <w:r w:rsidR="00AC5392">
          <w:rPr>
            <w:rFonts w:asciiTheme="minorHAnsi" w:eastAsiaTheme="minorEastAsia" w:hAnsiTheme="minorHAnsi" w:cstheme="minorBidi"/>
            <w:b w:val="0"/>
            <w:kern w:val="2"/>
            <w:szCs w:val="24"/>
            <w:lang w:eastAsia="en-AU"/>
            <w14:ligatures w14:val="standardContextual"/>
          </w:rPr>
          <w:tab/>
        </w:r>
        <w:r w:rsidR="00AC5392" w:rsidRPr="00533B68">
          <w:t>Miscellaneous—ch 6</w:t>
        </w:r>
        <w:r w:rsidR="00AC5392" w:rsidRPr="00AC5392">
          <w:rPr>
            <w:vanish/>
          </w:rPr>
          <w:tab/>
        </w:r>
        <w:r w:rsidR="00AC5392" w:rsidRPr="00AC5392">
          <w:rPr>
            <w:vanish/>
          </w:rPr>
          <w:fldChar w:fldCharType="begin"/>
        </w:r>
        <w:r w:rsidR="00AC5392" w:rsidRPr="00AC5392">
          <w:rPr>
            <w:vanish/>
          </w:rPr>
          <w:instrText xml:space="preserve"> PAGEREF _Toc185515496 \h </w:instrText>
        </w:r>
        <w:r w:rsidR="00AC5392" w:rsidRPr="00AC5392">
          <w:rPr>
            <w:vanish/>
          </w:rPr>
        </w:r>
        <w:r w:rsidR="00AC5392" w:rsidRPr="00AC5392">
          <w:rPr>
            <w:vanish/>
          </w:rPr>
          <w:fldChar w:fldCharType="separate"/>
        </w:r>
        <w:r w:rsidR="00AC5392" w:rsidRPr="00AC5392">
          <w:rPr>
            <w:vanish/>
          </w:rPr>
          <w:t>1078</w:t>
        </w:r>
        <w:r w:rsidR="00AC5392" w:rsidRPr="00AC5392">
          <w:rPr>
            <w:vanish/>
          </w:rPr>
          <w:fldChar w:fldCharType="end"/>
        </w:r>
      </w:hyperlink>
    </w:p>
    <w:p w14:paraId="01774F70" w14:textId="616AF7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7" w:history="1">
        <w:r w:rsidRPr="00533B68">
          <w:t>6900</w:t>
        </w:r>
        <w:r>
          <w:rPr>
            <w:rFonts w:asciiTheme="minorHAnsi" w:eastAsiaTheme="minorEastAsia" w:hAnsiTheme="minorHAnsi" w:cstheme="minorBidi"/>
            <w:kern w:val="2"/>
            <w:sz w:val="24"/>
            <w:szCs w:val="24"/>
            <w:lang w:eastAsia="en-AU"/>
            <w14:ligatures w14:val="standardContextual"/>
          </w:rPr>
          <w:tab/>
        </w:r>
        <w:r w:rsidRPr="00533B68">
          <w:t>Power to make orders</w:t>
        </w:r>
        <w:r>
          <w:tab/>
        </w:r>
        <w:r>
          <w:fldChar w:fldCharType="begin"/>
        </w:r>
        <w:r>
          <w:instrText xml:space="preserve"> PAGEREF _Toc185515497 \h </w:instrText>
        </w:r>
        <w:r>
          <w:fldChar w:fldCharType="separate"/>
        </w:r>
        <w:r>
          <w:t>1078</w:t>
        </w:r>
        <w:r>
          <w:fldChar w:fldCharType="end"/>
        </w:r>
      </w:hyperlink>
    </w:p>
    <w:p w14:paraId="592F21FA" w14:textId="5F92947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8" w:history="1">
        <w:r w:rsidRPr="00533B68">
          <w:t>6901</w:t>
        </w:r>
        <w:r>
          <w:rPr>
            <w:rFonts w:asciiTheme="minorHAnsi" w:eastAsiaTheme="minorEastAsia" w:hAnsiTheme="minorHAnsi" w:cstheme="minorBidi"/>
            <w:kern w:val="2"/>
            <w:sz w:val="24"/>
            <w:szCs w:val="24"/>
            <w:lang w:eastAsia="en-AU"/>
            <w14:ligatures w14:val="standardContextual"/>
          </w:rPr>
          <w:tab/>
        </w:r>
        <w:r w:rsidRPr="00533B68">
          <w:t>Orders may be made on conditions</w:t>
        </w:r>
        <w:r>
          <w:tab/>
        </w:r>
        <w:r>
          <w:fldChar w:fldCharType="begin"/>
        </w:r>
        <w:r>
          <w:instrText xml:space="preserve"> PAGEREF _Toc185515498 \h </w:instrText>
        </w:r>
        <w:r>
          <w:fldChar w:fldCharType="separate"/>
        </w:r>
        <w:r>
          <w:t>1078</w:t>
        </w:r>
        <w:r>
          <w:fldChar w:fldCharType="end"/>
        </w:r>
      </w:hyperlink>
    </w:p>
    <w:p w14:paraId="003746B2" w14:textId="15566E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499" w:history="1">
        <w:r w:rsidRPr="00533B68">
          <w:t>6902</w:t>
        </w:r>
        <w:r>
          <w:rPr>
            <w:rFonts w:asciiTheme="minorHAnsi" w:eastAsiaTheme="minorEastAsia" w:hAnsiTheme="minorHAnsi" w:cstheme="minorBidi"/>
            <w:kern w:val="2"/>
            <w:sz w:val="24"/>
            <w:szCs w:val="24"/>
            <w:lang w:eastAsia="en-AU"/>
            <w14:ligatures w14:val="standardContextual"/>
          </w:rPr>
          <w:tab/>
        </w:r>
        <w:r w:rsidRPr="00533B68">
          <w:t>Leave may be given on conditions</w:t>
        </w:r>
        <w:r>
          <w:tab/>
        </w:r>
        <w:r>
          <w:fldChar w:fldCharType="begin"/>
        </w:r>
        <w:r>
          <w:instrText xml:space="preserve"> PAGEREF _Toc185515499 \h </w:instrText>
        </w:r>
        <w:r>
          <w:fldChar w:fldCharType="separate"/>
        </w:r>
        <w:r>
          <w:t>1078</w:t>
        </w:r>
        <w:r>
          <w:fldChar w:fldCharType="end"/>
        </w:r>
      </w:hyperlink>
    </w:p>
    <w:p w14:paraId="639FD58E" w14:textId="2FD7133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0" w:history="1">
        <w:r w:rsidRPr="00533B68">
          <w:t>6903</w:t>
        </w:r>
        <w:r>
          <w:rPr>
            <w:rFonts w:asciiTheme="minorHAnsi" w:eastAsiaTheme="minorEastAsia" w:hAnsiTheme="minorHAnsi" w:cstheme="minorBidi"/>
            <w:kern w:val="2"/>
            <w:sz w:val="24"/>
            <w:szCs w:val="24"/>
            <w:lang w:eastAsia="en-AU"/>
            <w14:ligatures w14:val="standardContextual"/>
          </w:rPr>
          <w:tab/>
        </w:r>
        <w:r w:rsidRPr="00533B68">
          <w:t>References to court acting on its own initiative</w:t>
        </w:r>
        <w:r>
          <w:tab/>
        </w:r>
        <w:r>
          <w:fldChar w:fldCharType="begin"/>
        </w:r>
        <w:r>
          <w:instrText xml:space="preserve"> PAGEREF _Toc185515500 \h </w:instrText>
        </w:r>
        <w:r>
          <w:fldChar w:fldCharType="separate"/>
        </w:r>
        <w:r>
          <w:t>1078</w:t>
        </w:r>
        <w:r>
          <w:fldChar w:fldCharType="end"/>
        </w:r>
      </w:hyperlink>
    </w:p>
    <w:p w14:paraId="05D09FF4" w14:textId="69098AC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1" w:history="1">
        <w:r w:rsidRPr="00533B68">
          <w:t>6904</w:t>
        </w:r>
        <w:r>
          <w:rPr>
            <w:rFonts w:asciiTheme="minorHAnsi" w:eastAsiaTheme="minorEastAsia" w:hAnsiTheme="minorHAnsi" w:cstheme="minorBidi"/>
            <w:kern w:val="2"/>
            <w:sz w:val="24"/>
            <w:szCs w:val="24"/>
            <w:lang w:eastAsia="en-AU"/>
            <w14:ligatures w14:val="standardContextual"/>
          </w:rPr>
          <w:tab/>
        </w:r>
        <w:r w:rsidRPr="00533B68">
          <w:t>Mandatory order to registrar etc</w:t>
        </w:r>
        <w:r>
          <w:tab/>
        </w:r>
        <w:r>
          <w:fldChar w:fldCharType="begin"/>
        </w:r>
        <w:r>
          <w:instrText xml:space="preserve"> PAGEREF _Toc185515501 \h </w:instrText>
        </w:r>
        <w:r>
          <w:fldChar w:fldCharType="separate"/>
        </w:r>
        <w:r>
          <w:t>1078</w:t>
        </w:r>
        <w:r>
          <w:fldChar w:fldCharType="end"/>
        </w:r>
      </w:hyperlink>
    </w:p>
    <w:p w14:paraId="2F94FCB4" w14:textId="2E1E1E6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2" w:history="1">
        <w:r w:rsidRPr="00533B68">
          <w:t>6905</w:t>
        </w:r>
        <w:r>
          <w:rPr>
            <w:rFonts w:asciiTheme="minorHAnsi" w:eastAsiaTheme="minorEastAsia" w:hAnsiTheme="minorHAnsi" w:cstheme="minorBidi"/>
            <w:kern w:val="2"/>
            <w:sz w:val="24"/>
            <w:szCs w:val="24"/>
            <w:lang w:eastAsia="en-AU"/>
            <w14:ligatures w14:val="standardContextual"/>
          </w:rPr>
          <w:tab/>
        </w:r>
        <w:r w:rsidRPr="00533B68">
          <w:t>Notices must be written</w:t>
        </w:r>
        <w:r>
          <w:tab/>
        </w:r>
        <w:r>
          <w:fldChar w:fldCharType="begin"/>
        </w:r>
        <w:r>
          <w:instrText xml:space="preserve"> PAGEREF _Toc185515502 \h </w:instrText>
        </w:r>
        <w:r>
          <w:fldChar w:fldCharType="separate"/>
        </w:r>
        <w:r>
          <w:t>1079</w:t>
        </w:r>
        <w:r>
          <w:fldChar w:fldCharType="end"/>
        </w:r>
      </w:hyperlink>
    </w:p>
    <w:p w14:paraId="01AF4D8D" w14:textId="5480558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3" w:history="1">
        <w:r w:rsidRPr="00533B68">
          <w:t>6906</w:t>
        </w:r>
        <w:r>
          <w:rPr>
            <w:rFonts w:asciiTheme="minorHAnsi" w:eastAsiaTheme="minorEastAsia" w:hAnsiTheme="minorHAnsi" w:cstheme="minorBidi"/>
            <w:kern w:val="2"/>
            <w:sz w:val="24"/>
            <w:szCs w:val="24"/>
            <w:lang w:eastAsia="en-AU"/>
            <w14:ligatures w14:val="standardContextual"/>
          </w:rPr>
          <w:tab/>
        </w:r>
        <w:r w:rsidRPr="00533B68">
          <w:t>Mistakes in orders or court certificates</w:t>
        </w:r>
        <w:r>
          <w:tab/>
        </w:r>
        <w:r>
          <w:fldChar w:fldCharType="begin"/>
        </w:r>
        <w:r>
          <w:instrText xml:space="preserve"> PAGEREF _Toc185515503 \h </w:instrText>
        </w:r>
        <w:r>
          <w:fldChar w:fldCharType="separate"/>
        </w:r>
        <w:r>
          <w:t>1079</w:t>
        </w:r>
        <w:r>
          <w:fldChar w:fldCharType="end"/>
        </w:r>
      </w:hyperlink>
    </w:p>
    <w:p w14:paraId="3D3ECAA0" w14:textId="5A5D807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4" w:history="1">
        <w:r w:rsidRPr="00533B68">
          <w:t>6907</w:t>
        </w:r>
        <w:r>
          <w:rPr>
            <w:rFonts w:asciiTheme="minorHAnsi" w:eastAsiaTheme="minorEastAsia" w:hAnsiTheme="minorHAnsi" w:cstheme="minorBidi"/>
            <w:kern w:val="2"/>
            <w:sz w:val="24"/>
            <w:szCs w:val="24"/>
            <w:lang w:eastAsia="en-AU"/>
            <w14:ligatures w14:val="standardContextual"/>
          </w:rPr>
          <w:tab/>
        </w:r>
        <w:r w:rsidRPr="00533B68">
          <w:t>Power to make practice notes</w:t>
        </w:r>
        <w:r>
          <w:tab/>
        </w:r>
        <w:r>
          <w:fldChar w:fldCharType="begin"/>
        </w:r>
        <w:r>
          <w:instrText xml:space="preserve"> PAGEREF _Toc185515504 \h </w:instrText>
        </w:r>
        <w:r>
          <w:fldChar w:fldCharType="separate"/>
        </w:r>
        <w:r>
          <w:t>1079</w:t>
        </w:r>
        <w:r>
          <w:fldChar w:fldCharType="end"/>
        </w:r>
      </w:hyperlink>
    </w:p>
    <w:p w14:paraId="2CF04301" w14:textId="50165B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5" w:history="1">
        <w:r w:rsidRPr="00533B68">
          <w:t>6908</w:t>
        </w:r>
        <w:r>
          <w:rPr>
            <w:rFonts w:asciiTheme="minorHAnsi" w:eastAsiaTheme="minorEastAsia" w:hAnsiTheme="minorHAnsi" w:cstheme="minorBidi"/>
            <w:kern w:val="2"/>
            <w:sz w:val="24"/>
            <w:szCs w:val="24"/>
            <w:lang w:eastAsia="en-AU"/>
            <w14:ligatures w14:val="standardContextual"/>
          </w:rPr>
          <w:tab/>
        </w:r>
        <w:r w:rsidRPr="00533B68">
          <w:t>Use of electronic devices in courtrooms</w:t>
        </w:r>
        <w:r>
          <w:tab/>
        </w:r>
        <w:r>
          <w:fldChar w:fldCharType="begin"/>
        </w:r>
        <w:r>
          <w:instrText xml:space="preserve"> PAGEREF _Toc185515505 \h </w:instrText>
        </w:r>
        <w:r>
          <w:fldChar w:fldCharType="separate"/>
        </w:r>
        <w:r>
          <w:t>1080</w:t>
        </w:r>
        <w:r>
          <w:fldChar w:fldCharType="end"/>
        </w:r>
      </w:hyperlink>
    </w:p>
    <w:p w14:paraId="184756E8" w14:textId="36EBD691" w:rsidR="00AC5392" w:rsidRDefault="001542D1">
      <w:pPr>
        <w:pStyle w:val="TOC1"/>
        <w:rPr>
          <w:rFonts w:asciiTheme="minorHAnsi" w:eastAsiaTheme="minorEastAsia" w:hAnsiTheme="minorHAnsi" w:cstheme="minorBidi"/>
          <w:b w:val="0"/>
          <w:kern w:val="2"/>
          <w:szCs w:val="24"/>
          <w:lang w:eastAsia="en-AU"/>
          <w14:ligatures w14:val="standardContextual"/>
        </w:rPr>
      </w:pPr>
      <w:hyperlink w:anchor="_Toc185515506" w:history="1">
        <w:r w:rsidR="00AC5392" w:rsidRPr="00533B68">
          <w:t>Chapter 7</w:t>
        </w:r>
        <w:r w:rsidR="00AC5392">
          <w:rPr>
            <w:rFonts w:asciiTheme="minorHAnsi" w:eastAsiaTheme="minorEastAsia" w:hAnsiTheme="minorHAnsi" w:cstheme="minorBidi"/>
            <w:b w:val="0"/>
            <w:kern w:val="2"/>
            <w:szCs w:val="24"/>
            <w:lang w:eastAsia="en-AU"/>
            <w14:ligatures w14:val="standardContextual"/>
          </w:rPr>
          <w:tab/>
        </w:r>
        <w:r w:rsidR="00AC5392" w:rsidRPr="00533B68">
          <w:t>Transitional</w:t>
        </w:r>
        <w:r w:rsidR="00AC5392" w:rsidRPr="00AC5392">
          <w:rPr>
            <w:vanish/>
          </w:rPr>
          <w:tab/>
        </w:r>
        <w:r w:rsidR="00AC5392">
          <w:rPr>
            <w:vanish/>
          </w:rPr>
          <w:tab/>
        </w:r>
        <w:r w:rsidR="00AC5392" w:rsidRPr="00AC5392">
          <w:rPr>
            <w:vanish/>
          </w:rPr>
          <w:fldChar w:fldCharType="begin"/>
        </w:r>
        <w:r w:rsidR="00AC5392" w:rsidRPr="00AC5392">
          <w:rPr>
            <w:vanish/>
          </w:rPr>
          <w:instrText xml:space="preserve"> PAGEREF _Toc185515506 \h </w:instrText>
        </w:r>
        <w:r w:rsidR="00AC5392" w:rsidRPr="00AC5392">
          <w:rPr>
            <w:vanish/>
          </w:rPr>
        </w:r>
        <w:r w:rsidR="00AC5392" w:rsidRPr="00AC5392">
          <w:rPr>
            <w:vanish/>
          </w:rPr>
          <w:fldChar w:fldCharType="separate"/>
        </w:r>
        <w:r w:rsidR="00AC5392" w:rsidRPr="00AC5392">
          <w:rPr>
            <w:vanish/>
          </w:rPr>
          <w:t>1082</w:t>
        </w:r>
        <w:r w:rsidR="00AC5392" w:rsidRPr="00AC5392">
          <w:rPr>
            <w:vanish/>
          </w:rPr>
          <w:fldChar w:fldCharType="end"/>
        </w:r>
      </w:hyperlink>
    </w:p>
    <w:p w14:paraId="03DDB815" w14:textId="03D06FFB"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507" w:history="1">
        <w:r w:rsidR="00AC5392" w:rsidRPr="00533B68">
          <w:t>Part 7.1</w:t>
        </w:r>
        <w:r w:rsidR="00AC5392">
          <w:rPr>
            <w:rFonts w:asciiTheme="minorHAnsi" w:eastAsiaTheme="minorEastAsia" w:hAnsiTheme="minorHAnsi" w:cstheme="minorBidi"/>
            <w:b w:val="0"/>
            <w:kern w:val="2"/>
            <w:szCs w:val="24"/>
            <w:lang w:eastAsia="en-AU"/>
            <w14:ligatures w14:val="standardContextual"/>
          </w:rPr>
          <w:tab/>
        </w:r>
        <w:r w:rsidR="00AC5392" w:rsidRPr="00533B68">
          <w:t>Transitional—Supreme Court</w:t>
        </w:r>
        <w:r w:rsidR="00AC5392" w:rsidRPr="00AC5392">
          <w:rPr>
            <w:vanish/>
          </w:rPr>
          <w:tab/>
        </w:r>
        <w:r w:rsidR="00AC5392" w:rsidRPr="00AC5392">
          <w:rPr>
            <w:vanish/>
          </w:rPr>
          <w:fldChar w:fldCharType="begin"/>
        </w:r>
        <w:r w:rsidR="00AC5392" w:rsidRPr="00AC5392">
          <w:rPr>
            <w:vanish/>
          </w:rPr>
          <w:instrText xml:space="preserve"> PAGEREF _Toc185515507 \h </w:instrText>
        </w:r>
        <w:r w:rsidR="00AC5392" w:rsidRPr="00AC5392">
          <w:rPr>
            <w:vanish/>
          </w:rPr>
        </w:r>
        <w:r w:rsidR="00AC5392" w:rsidRPr="00AC5392">
          <w:rPr>
            <w:vanish/>
          </w:rPr>
          <w:fldChar w:fldCharType="separate"/>
        </w:r>
        <w:r w:rsidR="00AC5392" w:rsidRPr="00AC5392">
          <w:rPr>
            <w:vanish/>
          </w:rPr>
          <w:t>1082</w:t>
        </w:r>
        <w:r w:rsidR="00AC5392" w:rsidRPr="00AC5392">
          <w:rPr>
            <w:vanish/>
          </w:rPr>
          <w:fldChar w:fldCharType="end"/>
        </w:r>
      </w:hyperlink>
    </w:p>
    <w:p w14:paraId="6BEBC123" w14:textId="04BE4AA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8" w:history="1">
        <w:r w:rsidRPr="00533B68">
          <w:t>7000</w:t>
        </w:r>
        <w:r>
          <w:rPr>
            <w:rFonts w:asciiTheme="minorHAnsi" w:eastAsiaTheme="minorEastAsia" w:hAnsiTheme="minorHAnsi" w:cstheme="minorBidi"/>
            <w:kern w:val="2"/>
            <w:sz w:val="24"/>
            <w:szCs w:val="24"/>
            <w:lang w:eastAsia="en-AU"/>
            <w14:ligatures w14:val="standardContextual"/>
          </w:rPr>
          <w:tab/>
        </w:r>
        <w:r w:rsidRPr="00533B68">
          <w:t>Transitional—existing proceedings in Supreme Court on 1 July 2006</w:t>
        </w:r>
        <w:r>
          <w:tab/>
        </w:r>
        <w:r>
          <w:fldChar w:fldCharType="begin"/>
        </w:r>
        <w:r>
          <w:instrText xml:space="preserve"> PAGEREF _Toc185515508 \h </w:instrText>
        </w:r>
        <w:r>
          <w:fldChar w:fldCharType="separate"/>
        </w:r>
        <w:r>
          <w:t>1082</w:t>
        </w:r>
        <w:r>
          <w:fldChar w:fldCharType="end"/>
        </w:r>
      </w:hyperlink>
    </w:p>
    <w:p w14:paraId="4E5D4ECE" w14:textId="1342AB4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09" w:history="1">
        <w:r w:rsidRPr="00533B68">
          <w:t>7002</w:t>
        </w:r>
        <w:r>
          <w:rPr>
            <w:rFonts w:asciiTheme="minorHAnsi" w:eastAsiaTheme="minorEastAsia" w:hAnsiTheme="minorHAnsi" w:cstheme="minorBidi"/>
            <w:kern w:val="2"/>
            <w:sz w:val="24"/>
            <w:szCs w:val="24"/>
            <w:lang w:eastAsia="en-AU"/>
            <w14:ligatures w14:val="standardContextual"/>
          </w:rPr>
          <w:tab/>
        </w:r>
        <w:r w:rsidRPr="00533B68">
          <w:t>Transitional—construction of outdated references to Supreme Court rules etc</w:t>
        </w:r>
        <w:r>
          <w:tab/>
        </w:r>
        <w:r>
          <w:fldChar w:fldCharType="begin"/>
        </w:r>
        <w:r>
          <w:instrText xml:space="preserve"> PAGEREF _Toc185515509 \h </w:instrText>
        </w:r>
        <w:r>
          <w:fldChar w:fldCharType="separate"/>
        </w:r>
        <w:r>
          <w:t>1082</w:t>
        </w:r>
        <w:r>
          <w:fldChar w:fldCharType="end"/>
        </w:r>
      </w:hyperlink>
    </w:p>
    <w:p w14:paraId="6CA50EAC" w14:textId="65F720CE"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510" w:history="1">
        <w:r w:rsidR="00AC5392" w:rsidRPr="00533B68">
          <w:t>Part 7.2</w:t>
        </w:r>
        <w:r w:rsidR="00AC5392">
          <w:rPr>
            <w:rFonts w:asciiTheme="minorHAnsi" w:eastAsiaTheme="minorEastAsia" w:hAnsiTheme="minorHAnsi" w:cstheme="minorBidi"/>
            <w:b w:val="0"/>
            <w:kern w:val="2"/>
            <w:szCs w:val="24"/>
            <w:lang w:eastAsia="en-AU"/>
            <w14:ligatures w14:val="standardContextual"/>
          </w:rPr>
          <w:tab/>
        </w:r>
        <w:r w:rsidR="00AC5392" w:rsidRPr="00533B68">
          <w:t>Transitional—Magistrates Court</w:t>
        </w:r>
        <w:r w:rsidR="00AC5392" w:rsidRPr="00AC5392">
          <w:rPr>
            <w:vanish/>
          </w:rPr>
          <w:tab/>
        </w:r>
        <w:r w:rsidR="00AC5392" w:rsidRPr="00AC5392">
          <w:rPr>
            <w:vanish/>
          </w:rPr>
          <w:fldChar w:fldCharType="begin"/>
        </w:r>
        <w:r w:rsidR="00AC5392" w:rsidRPr="00AC5392">
          <w:rPr>
            <w:vanish/>
          </w:rPr>
          <w:instrText xml:space="preserve"> PAGEREF _Toc185515510 \h </w:instrText>
        </w:r>
        <w:r w:rsidR="00AC5392" w:rsidRPr="00AC5392">
          <w:rPr>
            <w:vanish/>
          </w:rPr>
        </w:r>
        <w:r w:rsidR="00AC5392" w:rsidRPr="00AC5392">
          <w:rPr>
            <w:vanish/>
          </w:rPr>
          <w:fldChar w:fldCharType="separate"/>
        </w:r>
        <w:r w:rsidR="00AC5392" w:rsidRPr="00AC5392">
          <w:rPr>
            <w:vanish/>
          </w:rPr>
          <w:t>1084</w:t>
        </w:r>
        <w:r w:rsidR="00AC5392" w:rsidRPr="00AC5392">
          <w:rPr>
            <w:vanish/>
          </w:rPr>
          <w:fldChar w:fldCharType="end"/>
        </w:r>
      </w:hyperlink>
    </w:p>
    <w:p w14:paraId="1330D486" w14:textId="7FB1AEF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11" w:history="1">
        <w:r w:rsidRPr="00533B68">
          <w:t>7011</w:t>
        </w:r>
        <w:r>
          <w:rPr>
            <w:rFonts w:asciiTheme="minorHAnsi" w:eastAsiaTheme="minorEastAsia" w:hAnsiTheme="minorHAnsi" w:cstheme="minorBidi"/>
            <w:kern w:val="2"/>
            <w:sz w:val="24"/>
            <w:szCs w:val="24"/>
            <w:lang w:eastAsia="en-AU"/>
            <w14:ligatures w14:val="standardContextual"/>
          </w:rPr>
          <w:tab/>
        </w:r>
        <w:r w:rsidRPr="00533B68">
          <w:t>Transitional—existing proceedings in Magistrates Court on 1 January 2007</w:t>
        </w:r>
        <w:r>
          <w:tab/>
        </w:r>
        <w:r>
          <w:fldChar w:fldCharType="begin"/>
        </w:r>
        <w:r>
          <w:instrText xml:space="preserve"> PAGEREF _Toc185515511 \h </w:instrText>
        </w:r>
        <w:r>
          <w:fldChar w:fldCharType="separate"/>
        </w:r>
        <w:r>
          <w:t>1084</w:t>
        </w:r>
        <w:r>
          <w:fldChar w:fldCharType="end"/>
        </w:r>
      </w:hyperlink>
    </w:p>
    <w:p w14:paraId="5355CBDB" w14:textId="69844959"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512" w:history="1">
        <w:r w:rsidR="00AC5392" w:rsidRPr="00533B68">
          <w:t>Part 7.3</w:t>
        </w:r>
        <w:r w:rsidR="00AC5392">
          <w:rPr>
            <w:rFonts w:asciiTheme="minorHAnsi" w:eastAsiaTheme="minorEastAsia" w:hAnsiTheme="minorHAnsi" w:cstheme="minorBidi"/>
            <w:b w:val="0"/>
            <w:kern w:val="2"/>
            <w:szCs w:val="24"/>
            <w:lang w:eastAsia="en-AU"/>
            <w14:ligatures w14:val="standardContextual"/>
          </w:rPr>
          <w:tab/>
        </w:r>
        <w:r w:rsidR="00AC5392" w:rsidRPr="00533B68">
          <w:t>Transitional—interrogatories</w:t>
        </w:r>
        <w:r w:rsidR="00AC5392" w:rsidRPr="00AC5392">
          <w:rPr>
            <w:vanish/>
          </w:rPr>
          <w:tab/>
        </w:r>
        <w:r w:rsidR="00AC5392" w:rsidRPr="00AC5392">
          <w:rPr>
            <w:vanish/>
          </w:rPr>
          <w:fldChar w:fldCharType="begin"/>
        </w:r>
        <w:r w:rsidR="00AC5392" w:rsidRPr="00AC5392">
          <w:rPr>
            <w:vanish/>
          </w:rPr>
          <w:instrText xml:space="preserve"> PAGEREF _Toc185515512 \h </w:instrText>
        </w:r>
        <w:r w:rsidR="00AC5392" w:rsidRPr="00AC5392">
          <w:rPr>
            <w:vanish/>
          </w:rPr>
        </w:r>
        <w:r w:rsidR="00AC5392" w:rsidRPr="00AC5392">
          <w:rPr>
            <w:vanish/>
          </w:rPr>
          <w:fldChar w:fldCharType="separate"/>
        </w:r>
        <w:r w:rsidR="00AC5392" w:rsidRPr="00AC5392">
          <w:rPr>
            <w:vanish/>
          </w:rPr>
          <w:t>1085</w:t>
        </w:r>
        <w:r w:rsidR="00AC5392" w:rsidRPr="00AC5392">
          <w:rPr>
            <w:vanish/>
          </w:rPr>
          <w:fldChar w:fldCharType="end"/>
        </w:r>
      </w:hyperlink>
    </w:p>
    <w:p w14:paraId="1D7A6CB9" w14:textId="5E9304D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13" w:history="1">
        <w:r w:rsidRPr="00533B68">
          <w:t>7012</w:t>
        </w:r>
        <w:r>
          <w:rPr>
            <w:rFonts w:asciiTheme="minorHAnsi" w:eastAsiaTheme="minorEastAsia" w:hAnsiTheme="minorHAnsi" w:cstheme="minorBidi"/>
            <w:kern w:val="2"/>
            <w:sz w:val="24"/>
            <w:szCs w:val="24"/>
            <w:lang w:eastAsia="en-AU"/>
            <w14:ligatures w14:val="standardContextual"/>
          </w:rPr>
          <w:tab/>
        </w:r>
        <w:r w:rsidRPr="00533B68">
          <w:t>Transitional—interrogatories</w:t>
        </w:r>
        <w:r>
          <w:tab/>
        </w:r>
        <w:r>
          <w:fldChar w:fldCharType="begin"/>
        </w:r>
        <w:r>
          <w:instrText xml:space="preserve"> PAGEREF _Toc185515513 \h </w:instrText>
        </w:r>
        <w:r>
          <w:fldChar w:fldCharType="separate"/>
        </w:r>
        <w:r>
          <w:t>1085</w:t>
        </w:r>
        <w:r>
          <w:fldChar w:fldCharType="end"/>
        </w:r>
      </w:hyperlink>
    </w:p>
    <w:p w14:paraId="7CA9B8B7" w14:textId="2D289254" w:rsidR="00AC5392" w:rsidRDefault="001542D1">
      <w:pPr>
        <w:pStyle w:val="TOC6"/>
        <w:rPr>
          <w:rFonts w:asciiTheme="minorHAnsi" w:eastAsiaTheme="minorEastAsia" w:hAnsiTheme="minorHAnsi" w:cstheme="minorBidi"/>
          <w:b w:val="0"/>
          <w:kern w:val="2"/>
          <w:szCs w:val="24"/>
          <w:lang w:eastAsia="en-AU"/>
          <w14:ligatures w14:val="standardContextual"/>
        </w:rPr>
      </w:pPr>
      <w:hyperlink w:anchor="_Toc185515514" w:history="1">
        <w:r w:rsidR="00AC5392" w:rsidRPr="00533B68">
          <w:t>Schedule 1</w:t>
        </w:r>
        <w:r w:rsidR="00AC5392">
          <w:rPr>
            <w:rFonts w:asciiTheme="minorHAnsi" w:eastAsiaTheme="minorEastAsia" w:hAnsiTheme="minorHAnsi" w:cstheme="minorBidi"/>
            <w:b w:val="0"/>
            <w:kern w:val="2"/>
            <w:szCs w:val="24"/>
            <w:lang w:eastAsia="en-AU"/>
            <w14:ligatures w14:val="standardContextual"/>
          </w:rPr>
          <w:tab/>
        </w:r>
        <w:r w:rsidR="00AC5392" w:rsidRPr="00533B68">
          <w:t>Expert witness code of conduct</w:t>
        </w:r>
        <w:r w:rsidR="00AC5392">
          <w:tab/>
        </w:r>
        <w:r w:rsidR="00AC5392" w:rsidRPr="00AC5392">
          <w:rPr>
            <w:b w:val="0"/>
            <w:sz w:val="20"/>
          </w:rPr>
          <w:fldChar w:fldCharType="begin"/>
        </w:r>
        <w:r w:rsidR="00AC5392" w:rsidRPr="00AC5392">
          <w:rPr>
            <w:b w:val="0"/>
            <w:sz w:val="20"/>
          </w:rPr>
          <w:instrText xml:space="preserve"> PAGEREF _Toc185515514 \h </w:instrText>
        </w:r>
        <w:r w:rsidR="00AC5392" w:rsidRPr="00AC5392">
          <w:rPr>
            <w:b w:val="0"/>
            <w:sz w:val="20"/>
          </w:rPr>
        </w:r>
        <w:r w:rsidR="00AC5392" w:rsidRPr="00AC5392">
          <w:rPr>
            <w:b w:val="0"/>
            <w:sz w:val="20"/>
          </w:rPr>
          <w:fldChar w:fldCharType="separate"/>
        </w:r>
        <w:r w:rsidR="00AC5392" w:rsidRPr="00AC5392">
          <w:rPr>
            <w:b w:val="0"/>
            <w:sz w:val="20"/>
          </w:rPr>
          <w:t>1086</w:t>
        </w:r>
        <w:r w:rsidR="00AC5392" w:rsidRPr="00AC5392">
          <w:rPr>
            <w:b w:val="0"/>
            <w:sz w:val="20"/>
          </w:rPr>
          <w:fldChar w:fldCharType="end"/>
        </w:r>
      </w:hyperlink>
    </w:p>
    <w:p w14:paraId="16203793" w14:textId="492D795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15" w:history="1">
        <w:r w:rsidRPr="00533B68">
          <w:t>1.1</w:t>
        </w:r>
        <w:r>
          <w:rPr>
            <w:rFonts w:asciiTheme="minorHAnsi" w:eastAsiaTheme="minorEastAsia" w:hAnsiTheme="minorHAnsi" w:cstheme="minorBidi"/>
            <w:kern w:val="2"/>
            <w:sz w:val="24"/>
            <w:szCs w:val="24"/>
            <w:lang w:eastAsia="en-AU"/>
            <w14:ligatures w14:val="standardContextual"/>
          </w:rPr>
          <w:tab/>
        </w:r>
        <w:r w:rsidRPr="00533B68">
          <w:t>Application of code</w:t>
        </w:r>
        <w:r>
          <w:tab/>
        </w:r>
        <w:r>
          <w:fldChar w:fldCharType="begin"/>
        </w:r>
        <w:r>
          <w:instrText xml:space="preserve"> PAGEREF _Toc185515515 \h </w:instrText>
        </w:r>
        <w:r>
          <w:fldChar w:fldCharType="separate"/>
        </w:r>
        <w:r>
          <w:t>1086</w:t>
        </w:r>
        <w:r>
          <w:fldChar w:fldCharType="end"/>
        </w:r>
      </w:hyperlink>
    </w:p>
    <w:p w14:paraId="6D00B5E0" w14:textId="70957C4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16" w:history="1">
        <w:r w:rsidRPr="00533B68">
          <w:t>1.2</w:t>
        </w:r>
        <w:r>
          <w:rPr>
            <w:rFonts w:asciiTheme="minorHAnsi" w:eastAsiaTheme="minorEastAsia" w:hAnsiTheme="minorHAnsi" w:cstheme="minorBidi"/>
            <w:kern w:val="2"/>
            <w:sz w:val="24"/>
            <w:szCs w:val="24"/>
            <w:lang w:eastAsia="en-AU"/>
            <w14:ligatures w14:val="standardContextual"/>
          </w:rPr>
          <w:tab/>
        </w:r>
        <w:r w:rsidRPr="00533B68">
          <w:t>General duty to court</w:t>
        </w:r>
        <w:r>
          <w:tab/>
        </w:r>
        <w:r>
          <w:fldChar w:fldCharType="begin"/>
        </w:r>
        <w:r>
          <w:instrText xml:space="preserve"> PAGEREF _Toc185515516 \h </w:instrText>
        </w:r>
        <w:r>
          <w:fldChar w:fldCharType="separate"/>
        </w:r>
        <w:r>
          <w:t>1086</w:t>
        </w:r>
        <w:r>
          <w:fldChar w:fldCharType="end"/>
        </w:r>
      </w:hyperlink>
    </w:p>
    <w:p w14:paraId="4F4E4A69" w14:textId="31CEE4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17" w:history="1">
        <w:r w:rsidRPr="00533B68">
          <w:t>1.3</w:t>
        </w:r>
        <w:r>
          <w:rPr>
            <w:rFonts w:asciiTheme="minorHAnsi" w:eastAsiaTheme="minorEastAsia" w:hAnsiTheme="minorHAnsi" w:cstheme="minorBidi"/>
            <w:kern w:val="2"/>
            <w:sz w:val="24"/>
            <w:szCs w:val="24"/>
            <w:lang w:eastAsia="en-AU"/>
            <w14:ligatures w14:val="standardContextual"/>
          </w:rPr>
          <w:tab/>
        </w:r>
        <w:r w:rsidRPr="00533B68">
          <w:t>Content of report</w:t>
        </w:r>
        <w:r>
          <w:tab/>
        </w:r>
        <w:r>
          <w:fldChar w:fldCharType="begin"/>
        </w:r>
        <w:r>
          <w:instrText xml:space="preserve"> PAGEREF _Toc185515517 \h </w:instrText>
        </w:r>
        <w:r>
          <w:fldChar w:fldCharType="separate"/>
        </w:r>
        <w:r>
          <w:t>1086</w:t>
        </w:r>
        <w:r>
          <w:fldChar w:fldCharType="end"/>
        </w:r>
      </w:hyperlink>
    </w:p>
    <w:p w14:paraId="098977B0" w14:textId="691747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18" w:history="1">
        <w:r w:rsidRPr="00533B68">
          <w:t>1.4</w:t>
        </w:r>
        <w:r>
          <w:rPr>
            <w:rFonts w:asciiTheme="minorHAnsi" w:eastAsiaTheme="minorEastAsia" w:hAnsiTheme="minorHAnsi" w:cstheme="minorBidi"/>
            <w:kern w:val="2"/>
            <w:sz w:val="24"/>
            <w:szCs w:val="24"/>
            <w:lang w:eastAsia="en-AU"/>
            <w14:ligatures w14:val="standardContextual"/>
          </w:rPr>
          <w:tab/>
        </w:r>
        <w:r w:rsidRPr="00533B68">
          <w:t>Supplementary report following change of opinion</w:t>
        </w:r>
        <w:r>
          <w:tab/>
        </w:r>
        <w:r>
          <w:fldChar w:fldCharType="begin"/>
        </w:r>
        <w:r>
          <w:instrText xml:space="preserve"> PAGEREF _Toc185515518 \h </w:instrText>
        </w:r>
        <w:r>
          <w:fldChar w:fldCharType="separate"/>
        </w:r>
        <w:r>
          <w:t>1088</w:t>
        </w:r>
        <w:r>
          <w:fldChar w:fldCharType="end"/>
        </w:r>
      </w:hyperlink>
    </w:p>
    <w:p w14:paraId="79C150BC" w14:textId="3D18912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19" w:history="1">
        <w:r w:rsidRPr="00533B68">
          <w:t>1.5</w:t>
        </w:r>
        <w:r>
          <w:rPr>
            <w:rFonts w:asciiTheme="minorHAnsi" w:eastAsiaTheme="minorEastAsia" w:hAnsiTheme="minorHAnsi" w:cstheme="minorBidi"/>
            <w:kern w:val="2"/>
            <w:sz w:val="24"/>
            <w:szCs w:val="24"/>
            <w:lang w:eastAsia="en-AU"/>
            <w14:ligatures w14:val="standardContextual"/>
          </w:rPr>
          <w:tab/>
        </w:r>
        <w:r w:rsidRPr="00533B68">
          <w:t>Duty to comply with court’s directions</w:t>
        </w:r>
        <w:r>
          <w:tab/>
        </w:r>
        <w:r>
          <w:fldChar w:fldCharType="begin"/>
        </w:r>
        <w:r>
          <w:instrText xml:space="preserve"> PAGEREF _Toc185515519 \h </w:instrText>
        </w:r>
        <w:r>
          <w:fldChar w:fldCharType="separate"/>
        </w:r>
        <w:r>
          <w:t>1088</w:t>
        </w:r>
        <w:r>
          <w:fldChar w:fldCharType="end"/>
        </w:r>
      </w:hyperlink>
    </w:p>
    <w:p w14:paraId="0843262D" w14:textId="72852FA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20" w:history="1">
        <w:r w:rsidRPr="00533B68">
          <w:t>1.6</w:t>
        </w:r>
        <w:r>
          <w:rPr>
            <w:rFonts w:asciiTheme="minorHAnsi" w:eastAsiaTheme="minorEastAsia" w:hAnsiTheme="minorHAnsi" w:cstheme="minorBidi"/>
            <w:kern w:val="2"/>
            <w:sz w:val="24"/>
            <w:szCs w:val="24"/>
            <w:lang w:eastAsia="en-AU"/>
            <w14:ligatures w14:val="standardContextual"/>
          </w:rPr>
          <w:tab/>
        </w:r>
        <w:r w:rsidRPr="00533B68">
          <w:t>Experts’ conference etc</w:t>
        </w:r>
        <w:r>
          <w:tab/>
        </w:r>
        <w:r>
          <w:fldChar w:fldCharType="begin"/>
        </w:r>
        <w:r>
          <w:instrText xml:space="preserve"> PAGEREF _Toc185515520 \h </w:instrText>
        </w:r>
        <w:r>
          <w:fldChar w:fldCharType="separate"/>
        </w:r>
        <w:r>
          <w:t>1088</w:t>
        </w:r>
        <w:r>
          <w:fldChar w:fldCharType="end"/>
        </w:r>
      </w:hyperlink>
    </w:p>
    <w:p w14:paraId="131C32CA" w14:textId="77FC9FA5" w:rsidR="00AC5392" w:rsidRDefault="001542D1">
      <w:pPr>
        <w:pStyle w:val="TOC6"/>
        <w:rPr>
          <w:rFonts w:asciiTheme="minorHAnsi" w:eastAsiaTheme="minorEastAsia" w:hAnsiTheme="minorHAnsi" w:cstheme="minorBidi"/>
          <w:b w:val="0"/>
          <w:kern w:val="2"/>
          <w:szCs w:val="24"/>
          <w:lang w:eastAsia="en-AU"/>
          <w14:ligatures w14:val="standardContextual"/>
        </w:rPr>
      </w:pPr>
      <w:hyperlink w:anchor="_Toc185515521" w:history="1">
        <w:r w:rsidR="00AC5392" w:rsidRPr="00533B68">
          <w:t>Schedule 2</w:t>
        </w:r>
        <w:r w:rsidR="00AC5392">
          <w:rPr>
            <w:rFonts w:asciiTheme="minorHAnsi" w:eastAsiaTheme="minorEastAsia" w:hAnsiTheme="minorHAnsi" w:cstheme="minorBidi"/>
            <w:b w:val="0"/>
            <w:kern w:val="2"/>
            <w:szCs w:val="24"/>
            <w:lang w:eastAsia="en-AU"/>
            <w14:ligatures w14:val="standardContextual"/>
          </w:rPr>
          <w:tab/>
        </w:r>
        <w:r w:rsidR="00AC5392" w:rsidRPr="00533B68">
          <w:t>Interest rates</w:t>
        </w:r>
        <w:r w:rsidR="00AC5392">
          <w:tab/>
        </w:r>
        <w:r w:rsidR="00AC5392" w:rsidRPr="00AC5392">
          <w:rPr>
            <w:b w:val="0"/>
            <w:sz w:val="20"/>
          </w:rPr>
          <w:fldChar w:fldCharType="begin"/>
        </w:r>
        <w:r w:rsidR="00AC5392" w:rsidRPr="00AC5392">
          <w:rPr>
            <w:b w:val="0"/>
            <w:sz w:val="20"/>
          </w:rPr>
          <w:instrText xml:space="preserve"> PAGEREF _Toc185515521 \h </w:instrText>
        </w:r>
        <w:r w:rsidR="00AC5392" w:rsidRPr="00AC5392">
          <w:rPr>
            <w:b w:val="0"/>
            <w:sz w:val="20"/>
          </w:rPr>
        </w:r>
        <w:r w:rsidR="00AC5392" w:rsidRPr="00AC5392">
          <w:rPr>
            <w:b w:val="0"/>
            <w:sz w:val="20"/>
          </w:rPr>
          <w:fldChar w:fldCharType="separate"/>
        </w:r>
        <w:r w:rsidR="00AC5392" w:rsidRPr="00AC5392">
          <w:rPr>
            <w:b w:val="0"/>
            <w:sz w:val="20"/>
          </w:rPr>
          <w:t>1090</w:t>
        </w:r>
        <w:r w:rsidR="00AC5392" w:rsidRPr="00AC5392">
          <w:rPr>
            <w:b w:val="0"/>
            <w:sz w:val="20"/>
          </w:rPr>
          <w:fldChar w:fldCharType="end"/>
        </w:r>
      </w:hyperlink>
    </w:p>
    <w:p w14:paraId="3BD529D4" w14:textId="1D7D3498"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22" w:history="1">
        <w:r w:rsidR="00AC5392" w:rsidRPr="00533B68">
          <w:t>Part 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Interest up to judgment</w:t>
        </w:r>
        <w:r w:rsidR="00AC5392">
          <w:tab/>
        </w:r>
        <w:r w:rsidR="00AC5392" w:rsidRPr="00AC5392">
          <w:rPr>
            <w:b w:val="0"/>
          </w:rPr>
          <w:fldChar w:fldCharType="begin"/>
        </w:r>
        <w:r w:rsidR="00AC5392" w:rsidRPr="00AC5392">
          <w:rPr>
            <w:b w:val="0"/>
          </w:rPr>
          <w:instrText xml:space="preserve"> PAGEREF _Toc185515522 \h </w:instrText>
        </w:r>
        <w:r w:rsidR="00AC5392" w:rsidRPr="00AC5392">
          <w:rPr>
            <w:b w:val="0"/>
          </w:rPr>
        </w:r>
        <w:r w:rsidR="00AC5392" w:rsidRPr="00AC5392">
          <w:rPr>
            <w:b w:val="0"/>
          </w:rPr>
          <w:fldChar w:fldCharType="separate"/>
        </w:r>
        <w:r w:rsidR="00AC5392" w:rsidRPr="00AC5392">
          <w:rPr>
            <w:b w:val="0"/>
          </w:rPr>
          <w:t>1090</w:t>
        </w:r>
        <w:r w:rsidR="00AC5392" w:rsidRPr="00AC5392">
          <w:rPr>
            <w:b w:val="0"/>
          </w:rPr>
          <w:fldChar w:fldCharType="end"/>
        </w:r>
      </w:hyperlink>
    </w:p>
    <w:p w14:paraId="7BB27790" w14:textId="7A81F32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23" w:history="1">
        <w:r w:rsidRPr="00533B68">
          <w:t>2.1</w:t>
        </w:r>
        <w:r>
          <w:rPr>
            <w:rFonts w:asciiTheme="minorHAnsi" w:eastAsiaTheme="minorEastAsia" w:hAnsiTheme="minorHAnsi" w:cstheme="minorBidi"/>
            <w:kern w:val="2"/>
            <w:sz w:val="24"/>
            <w:szCs w:val="24"/>
            <w:lang w:eastAsia="en-AU"/>
            <w14:ligatures w14:val="standardContextual"/>
          </w:rPr>
          <w:tab/>
        </w:r>
        <w:r w:rsidRPr="00533B68">
          <w:t>Interest up to judgment after 30 June 2010—Supreme Court</w:t>
        </w:r>
        <w:r>
          <w:tab/>
        </w:r>
        <w:r>
          <w:fldChar w:fldCharType="begin"/>
        </w:r>
        <w:r>
          <w:instrText xml:space="preserve"> PAGEREF _Toc185515523 \h </w:instrText>
        </w:r>
        <w:r>
          <w:fldChar w:fldCharType="separate"/>
        </w:r>
        <w:r>
          <w:t>1090</w:t>
        </w:r>
        <w:r>
          <w:fldChar w:fldCharType="end"/>
        </w:r>
      </w:hyperlink>
    </w:p>
    <w:p w14:paraId="08A1CF72" w14:textId="665934B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24" w:history="1">
        <w:r w:rsidRPr="00533B68">
          <w:t>2.2</w:t>
        </w:r>
        <w:r>
          <w:rPr>
            <w:rFonts w:asciiTheme="minorHAnsi" w:eastAsiaTheme="minorEastAsia" w:hAnsiTheme="minorHAnsi" w:cstheme="minorBidi"/>
            <w:kern w:val="2"/>
            <w:sz w:val="24"/>
            <w:szCs w:val="24"/>
            <w:lang w:eastAsia="en-AU"/>
            <w14:ligatures w14:val="standardContextual"/>
          </w:rPr>
          <w:tab/>
        </w:r>
        <w:r w:rsidRPr="00533B68">
          <w:t>Interest up to judgment after 30 June 2010—Magistrates Court</w:t>
        </w:r>
        <w:r>
          <w:tab/>
        </w:r>
        <w:r>
          <w:fldChar w:fldCharType="begin"/>
        </w:r>
        <w:r>
          <w:instrText xml:space="preserve"> PAGEREF _Toc185515524 \h </w:instrText>
        </w:r>
        <w:r>
          <w:fldChar w:fldCharType="separate"/>
        </w:r>
        <w:r>
          <w:t>1092</w:t>
        </w:r>
        <w:r>
          <w:fldChar w:fldCharType="end"/>
        </w:r>
      </w:hyperlink>
    </w:p>
    <w:p w14:paraId="429FECE8" w14:textId="6780783F"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25" w:history="1">
        <w:r w:rsidR="00AC5392" w:rsidRPr="00533B68">
          <w:t>Part 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Interest after judgment</w:t>
        </w:r>
        <w:r w:rsidR="00AC5392">
          <w:tab/>
        </w:r>
        <w:r w:rsidR="00AC5392" w:rsidRPr="00AC5392">
          <w:rPr>
            <w:b w:val="0"/>
          </w:rPr>
          <w:fldChar w:fldCharType="begin"/>
        </w:r>
        <w:r w:rsidR="00AC5392" w:rsidRPr="00AC5392">
          <w:rPr>
            <w:b w:val="0"/>
          </w:rPr>
          <w:instrText xml:space="preserve"> PAGEREF _Toc185515525 \h </w:instrText>
        </w:r>
        <w:r w:rsidR="00AC5392" w:rsidRPr="00AC5392">
          <w:rPr>
            <w:b w:val="0"/>
          </w:rPr>
        </w:r>
        <w:r w:rsidR="00AC5392" w:rsidRPr="00AC5392">
          <w:rPr>
            <w:b w:val="0"/>
          </w:rPr>
          <w:fldChar w:fldCharType="separate"/>
        </w:r>
        <w:r w:rsidR="00AC5392" w:rsidRPr="00AC5392">
          <w:rPr>
            <w:b w:val="0"/>
          </w:rPr>
          <w:t>1093</w:t>
        </w:r>
        <w:r w:rsidR="00AC5392" w:rsidRPr="00AC5392">
          <w:rPr>
            <w:b w:val="0"/>
          </w:rPr>
          <w:fldChar w:fldCharType="end"/>
        </w:r>
      </w:hyperlink>
    </w:p>
    <w:p w14:paraId="0C50455E" w14:textId="074766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26" w:history="1">
        <w:r w:rsidRPr="00533B68">
          <w:t>2.3</w:t>
        </w:r>
        <w:r>
          <w:rPr>
            <w:rFonts w:asciiTheme="minorHAnsi" w:eastAsiaTheme="minorEastAsia" w:hAnsiTheme="minorHAnsi" w:cstheme="minorBidi"/>
            <w:kern w:val="2"/>
            <w:sz w:val="24"/>
            <w:szCs w:val="24"/>
            <w:lang w:eastAsia="en-AU"/>
            <w14:ligatures w14:val="standardContextual"/>
          </w:rPr>
          <w:tab/>
        </w:r>
        <w:r w:rsidRPr="00533B68">
          <w:t>Interest on judgment after 30 June 2010—Supreme Court</w:t>
        </w:r>
        <w:r>
          <w:tab/>
        </w:r>
        <w:r>
          <w:fldChar w:fldCharType="begin"/>
        </w:r>
        <w:r>
          <w:instrText xml:space="preserve"> PAGEREF _Toc185515526 \h </w:instrText>
        </w:r>
        <w:r>
          <w:fldChar w:fldCharType="separate"/>
        </w:r>
        <w:r>
          <w:t>1093</w:t>
        </w:r>
        <w:r>
          <w:fldChar w:fldCharType="end"/>
        </w:r>
      </w:hyperlink>
    </w:p>
    <w:p w14:paraId="7E81ECC1" w14:textId="592CAFC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27" w:history="1">
        <w:r w:rsidRPr="00533B68">
          <w:t>2.4</w:t>
        </w:r>
        <w:r>
          <w:rPr>
            <w:rFonts w:asciiTheme="minorHAnsi" w:eastAsiaTheme="minorEastAsia" w:hAnsiTheme="minorHAnsi" w:cstheme="minorBidi"/>
            <w:kern w:val="2"/>
            <w:sz w:val="24"/>
            <w:szCs w:val="24"/>
            <w:lang w:eastAsia="en-AU"/>
            <w14:ligatures w14:val="standardContextual"/>
          </w:rPr>
          <w:tab/>
        </w:r>
        <w:r w:rsidRPr="00533B68">
          <w:t>Interest on judgment after 30 June 2010—Magistrates Court</w:t>
        </w:r>
        <w:r>
          <w:tab/>
        </w:r>
        <w:r>
          <w:fldChar w:fldCharType="begin"/>
        </w:r>
        <w:r>
          <w:instrText xml:space="preserve"> PAGEREF _Toc185515527 \h </w:instrText>
        </w:r>
        <w:r>
          <w:fldChar w:fldCharType="separate"/>
        </w:r>
        <w:r>
          <w:t>1094</w:t>
        </w:r>
        <w:r>
          <w:fldChar w:fldCharType="end"/>
        </w:r>
      </w:hyperlink>
    </w:p>
    <w:p w14:paraId="59649E80" w14:textId="4A9BB871" w:rsidR="00AC5392" w:rsidRDefault="001542D1">
      <w:pPr>
        <w:pStyle w:val="TOC6"/>
        <w:rPr>
          <w:rFonts w:asciiTheme="minorHAnsi" w:eastAsiaTheme="minorEastAsia" w:hAnsiTheme="minorHAnsi" w:cstheme="minorBidi"/>
          <w:b w:val="0"/>
          <w:kern w:val="2"/>
          <w:szCs w:val="24"/>
          <w:lang w:eastAsia="en-AU"/>
          <w14:ligatures w14:val="standardContextual"/>
        </w:rPr>
      </w:pPr>
      <w:hyperlink w:anchor="_Toc185515528" w:history="1">
        <w:r w:rsidR="00AC5392" w:rsidRPr="00533B68">
          <w:t>Schedule 3</w:t>
        </w:r>
        <w:r w:rsidR="00AC5392">
          <w:rPr>
            <w:rFonts w:asciiTheme="minorHAnsi" w:eastAsiaTheme="minorEastAsia" w:hAnsiTheme="minorHAnsi" w:cstheme="minorBidi"/>
            <w:b w:val="0"/>
            <w:kern w:val="2"/>
            <w:szCs w:val="24"/>
            <w:lang w:eastAsia="en-AU"/>
            <w14:ligatures w14:val="standardContextual"/>
          </w:rPr>
          <w:tab/>
        </w:r>
        <w:r w:rsidR="00AC5392" w:rsidRPr="00533B68">
          <w:t>Costs amount—debts, liquidated demands, company windings-up, enforcement orders and certificates of registration</w:t>
        </w:r>
        <w:r w:rsidR="00AC5392">
          <w:tab/>
        </w:r>
        <w:r w:rsidR="00AC5392" w:rsidRPr="00AC5392">
          <w:rPr>
            <w:b w:val="0"/>
            <w:sz w:val="20"/>
          </w:rPr>
          <w:fldChar w:fldCharType="begin"/>
        </w:r>
        <w:r w:rsidR="00AC5392" w:rsidRPr="00AC5392">
          <w:rPr>
            <w:b w:val="0"/>
            <w:sz w:val="20"/>
          </w:rPr>
          <w:instrText xml:space="preserve"> PAGEREF _Toc185515528 \h </w:instrText>
        </w:r>
        <w:r w:rsidR="00AC5392" w:rsidRPr="00AC5392">
          <w:rPr>
            <w:b w:val="0"/>
            <w:sz w:val="20"/>
          </w:rPr>
        </w:r>
        <w:r w:rsidR="00AC5392" w:rsidRPr="00AC5392">
          <w:rPr>
            <w:b w:val="0"/>
            <w:sz w:val="20"/>
          </w:rPr>
          <w:fldChar w:fldCharType="separate"/>
        </w:r>
        <w:r w:rsidR="00AC5392" w:rsidRPr="00AC5392">
          <w:rPr>
            <w:b w:val="0"/>
            <w:sz w:val="20"/>
          </w:rPr>
          <w:t>1096</w:t>
        </w:r>
        <w:r w:rsidR="00AC5392" w:rsidRPr="00AC5392">
          <w:rPr>
            <w:b w:val="0"/>
            <w:sz w:val="20"/>
          </w:rPr>
          <w:fldChar w:fldCharType="end"/>
        </w:r>
      </w:hyperlink>
    </w:p>
    <w:p w14:paraId="04216E0B" w14:textId="050B4003"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29" w:history="1">
        <w:r w:rsidR="00AC5392" w:rsidRPr="00533B68">
          <w:t>Part 3.1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Claim for debt or liquidated demand</w:t>
        </w:r>
        <w:r w:rsidR="00AC5392">
          <w:tab/>
        </w:r>
        <w:r w:rsidR="00AC5392" w:rsidRPr="00AC5392">
          <w:rPr>
            <w:b w:val="0"/>
          </w:rPr>
          <w:fldChar w:fldCharType="begin"/>
        </w:r>
        <w:r w:rsidR="00AC5392" w:rsidRPr="00AC5392">
          <w:rPr>
            <w:b w:val="0"/>
          </w:rPr>
          <w:instrText xml:space="preserve"> PAGEREF _Toc185515529 \h </w:instrText>
        </w:r>
        <w:r w:rsidR="00AC5392" w:rsidRPr="00AC5392">
          <w:rPr>
            <w:b w:val="0"/>
          </w:rPr>
        </w:r>
        <w:r w:rsidR="00AC5392" w:rsidRPr="00AC5392">
          <w:rPr>
            <w:b w:val="0"/>
          </w:rPr>
          <w:fldChar w:fldCharType="separate"/>
        </w:r>
        <w:r w:rsidR="00AC5392" w:rsidRPr="00AC5392">
          <w:rPr>
            <w:b w:val="0"/>
          </w:rPr>
          <w:t>1096</w:t>
        </w:r>
        <w:r w:rsidR="00AC5392" w:rsidRPr="00AC5392">
          <w:rPr>
            <w:b w:val="0"/>
          </w:rPr>
          <w:fldChar w:fldCharType="end"/>
        </w:r>
      </w:hyperlink>
    </w:p>
    <w:p w14:paraId="118751CC" w14:textId="06E9049E"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30" w:history="1">
        <w:r w:rsidR="00AC5392" w:rsidRPr="00533B68">
          <w:t>Part 3.2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Default judgment</w:t>
        </w:r>
        <w:r w:rsidR="00AC5392">
          <w:tab/>
        </w:r>
        <w:r w:rsidR="00AC5392" w:rsidRPr="00AC5392">
          <w:rPr>
            <w:b w:val="0"/>
          </w:rPr>
          <w:fldChar w:fldCharType="begin"/>
        </w:r>
        <w:r w:rsidR="00AC5392" w:rsidRPr="00AC5392">
          <w:rPr>
            <w:b w:val="0"/>
          </w:rPr>
          <w:instrText xml:space="preserve"> PAGEREF _Toc185515530 \h </w:instrText>
        </w:r>
        <w:r w:rsidR="00AC5392" w:rsidRPr="00AC5392">
          <w:rPr>
            <w:b w:val="0"/>
          </w:rPr>
        </w:r>
        <w:r w:rsidR="00AC5392" w:rsidRPr="00AC5392">
          <w:rPr>
            <w:b w:val="0"/>
          </w:rPr>
          <w:fldChar w:fldCharType="separate"/>
        </w:r>
        <w:r w:rsidR="00AC5392" w:rsidRPr="00AC5392">
          <w:rPr>
            <w:b w:val="0"/>
          </w:rPr>
          <w:t>1096</w:t>
        </w:r>
        <w:r w:rsidR="00AC5392" w:rsidRPr="00AC5392">
          <w:rPr>
            <w:b w:val="0"/>
          </w:rPr>
          <w:fldChar w:fldCharType="end"/>
        </w:r>
      </w:hyperlink>
    </w:p>
    <w:p w14:paraId="0F59C2A0" w14:textId="5C796229"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31" w:history="1">
        <w:r w:rsidR="00AC5392" w:rsidRPr="00533B68">
          <w:t>Part 3.3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Company winding-up</w:t>
        </w:r>
        <w:r w:rsidR="00AC5392">
          <w:tab/>
        </w:r>
        <w:r w:rsidR="00AC5392" w:rsidRPr="00AC5392">
          <w:rPr>
            <w:b w:val="0"/>
          </w:rPr>
          <w:fldChar w:fldCharType="begin"/>
        </w:r>
        <w:r w:rsidR="00AC5392" w:rsidRPr="00AC5392">
          <w:rPr>
            <w:b w:val="0"/>
          </w:rPr>
          <w:instrText xml:space="preserve"> PAGEREF _Toc185515531 \h </w:instrText>
        </w:r>
        <w:r w:rsidR="00AC5392" w:rsidRPr="00AC5392">
          <w:rPr>
            <w:b w:val="0"/>
          </w:rPr>
        </w:r>
        <w:r w:rsidR="00AC5392" w:rsidRPr="00AC5392">
          <w:rPr>
            <w:b w:val="0"/>
          </w:rPr>
          <w:fldChar w:fldCharType="separate"/>
        </w:r>
        <w:r w:rsidR="00AC5392" w:rsidRPr="00AC5392">
          <w:rPr>
            <w:b w:val="0"/>
          </w:rPr>
          <w:t>1097</w:t>
        </w:r>
        <w:r w:rsidR="00AC5392" w:rsidRPr="00AC5392">
          <w:rPr>
            <w:b w:val="0"/>
          </w:rPr>
          <w:fldChar w:fldCharType="end"/>
        </w:r>
      </w:hyperlink>
    </w:p>
    <w:p w14:paraId="018C1A7E" w14:textId="1557F67A"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32" w:history="1">
        <w:r w:rsidR="00AC5392" w:rsidRPr="00533B68">
          <w:t>Part 3.4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Enforcement orders</w:t>
        </w:r>
        <w:r w:rsidR="00AC5392">
          <w:tab/>
        </w:r>
        <w:r w:rsidR="00AC5392" w:rsidRPr="00AC5392">
          <w:rPr>
            <w:b w:val="0"/>
          </w:rPr>
          <w:fldChar w:fldCharType="begin"/>
        </w:r>
        <w:r w:rsidR="00AC5392" w:rsidRPr="00AC5392">
          <w:rPr>
            <w:b w:val="0"/>
          </w:rPr>
          <w:instrText xml:space="preserve"> PAGEREF _Toc185515532 \h </w:instrText>
        </w:r>
        <w:r w:rsidR="00AC5392" w:rsidRPr="00AC5392">
          <w:rPr>
            <w:b w:val="0"/>
          </w:rPr>
        </w:r>
        <w:r w:rsidR="00AC5392" w:rsidRPr="00AC5392">
          <w:rPr>
            <w:b w:val="0"/>
          </w:rPr>
          <w:fldChar w:fldCharType="separate"/>
        </w:r>
        <w:r w:rsidR="00AC5392" w:rsidRPr="00AC5392">
          <w:rPr>
            <w:b w:val="0"/>
          </w:rPr>
          <w:t>1097</w:t>
        </w:r>
        <w:r w:rsidR="00AC5392" w:rsidRPr="00AC5392">
          <w:rPr>
            <w:b w:val="0"/>
          </w:rPr>
          <w:fldChar w:fldCharType="end"/>
        </w:r>
      </w:hyperlink>
    </w:p>
    <w:p w14:paraId="76E1073F" w14:textId="13603EEF"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33" w:history="1">
        <w:r w:rsidR="00AC5392" w:rsidRPr="00533B68">
          <w:t>Part 3.5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Certificate of registration</w:t>
        </w:r>
        <w:r w:rsidR="00AC5392">
          <w:tab/>
        </w:r>
        <w:r w:rsidR="00AC5392" w:rsidRPr="00AC5392">
          <w:rPr>
            <w:b w:val="0"/>
          </w:rPr>
          <w:fldChar w:fldCharType="begin"/>
        </w:r>
        <w:r w:rsidR="00AC5392" w:rsidRPr="00AC5392">
          <w:rPr>
            <w:b w:val="0"/>
          </w:rPr>
          <w:instrText xml:space="preserve"> PAGEREF _Toc185515533 \h </w:instrText>
        </w:r>
        <w:r w:rsidR="00AC5392" w:rsidRPr="00AC5392">
          <w:rPr>
            <w:b w:val="0"/>
          </w:rPr>
        </w:r>
        <w:r w:rsidR="00AC5392" w:rsidRPr="00AC5392">
          <w:rPr>
            <w:b w:val="0"/>
          </w:rPr>
          <w:fldChar w:fldCharType="separate"/>
        </w:r>
        <w:r w:rsidR="00AC5392" w:rsidRPr="00AC5392">
          <w:rPr>
            <w:b w:val="0"/>
          </w:rPr>
          <w:t>1098</w:t>
        </w:r>
        <w:r w:rsidR="00AC5392" w:rsidRPr="00AC5392">
          <w:rPr>
            <w:b w:val="0"/>
          </w:rPr>
          <w:fldChar w:fldCharType="end"/>
        </w:r>
      </w:hyperlink>
    </w:p>
    <w:p w14:paraId="31DFF3ED" w14:textId="2924B7BD" w:rsidR="00AC5392" w:rsidRDefault="001542D1">
      <w:pPr>
        <w:pStyle w:val="TOC6"/>
        <w:rPr>
          <w:rFonts w:asciiTheme="minorHAnsi" w:eastAsiaTheme="minorEastAsia" w:hAnsiTheme="minorHAnsi" w:cstheme="minorBidi"/>
          <w:b w:val="0"/>
          <w:kern w:val="2"/>
          <w:szCs w:val="24"/>
          <w:lang w:eastAsia="en-AU"/>
          <w14:ligatures w14:val="standardContextual"/>
        </w:rPr>
      </w:pPr>
      <w:hyperlink w:anchor="_Toc185515534" w:history="1">
        <w:r w:rsidR="00AC5392" w:rsidRPr="00533B68">
          <w:t>Schedule 4</w:t>
        </w:r>
        <w:r w:rsidR="00AC5392">
          <w:rPr>
            <w:rFonts w:asciiTheme="minorHAnsi" w:eastAsiaTheme="minorEastAsia" w:hAnsiTheme="minorHAnsi" w:cstheme="minorBidi"/>
            <w:b w:val="0"/>
            <w:kern w:val="2"/>
            <w:szCs w:val="24"/>
            <w:lang w:eastAsia="en-AU"/>
            <w14:ligatures w14:val="standardContextual"/>
          </w:rPr>
          <w:tab/>
        </w:r>
        <w:r w:rsidR="00AC5392" w:rsidRPr="00533B68">
          <w:t>Scale of costs</w:t>
        </w:r>
        <w:r w:rsidR="00AC5392">
          <w:tab/>
        </w:r>
        <w:r w:rsidR="00AC5392" w:rsidRPr="00AC5392">
          <w:rPr>
            <w:b w:val="0"/>
            <w:sz w:val="20"/>
          </w:rPr>
          <w:fldChar w:fldCharType="begin"/>
        </w:r>
        <w:r w:rsidR="00AC5392" w:rsidRPr="00AC5392">
          <w:rPr>
            <w:b w:val="0"/>
            <w:sz w:val="20"/>
          </w:rPr>
          <w:instrText xml:space="preserve"> PAGEREF _Toc185515534 \h </w:instrText>
        </w:r>
        <w:r w:rsidR="00AC5392" w:rsidRPr="00AC5392">
          <w:rPr>
            <w:b w:val="0"/>
            <w:sz w:val="20"/>
          </w:rPr>
        </w:r>
        <w:r w:rsidR="00AC5392" w:rsidRPr="00AC5392">
          <w:rPr>
            <w:b w:val="0"/>
            <w:sz w:val="20"/>
          </w:rPr>
          <w:fldChar w:fldCharType="separate"/>
        </w:r>
        <w:r w:rsidR="00AC5392" w:rsidRPr="00AC5392">
          <w:rPr>
            <w:b w:val="0"/>
            <w:sz w:val="20"/>
          </w:rPr>
          <w:t>1099</w:t>
        </w:r>
        <w:r w:rsidR="00AC5392" w:rsidRPr="00AC5392">
          <w:rPr>
            <w:b w:val="0"/>
            <w:sz w:val="20"/>
          </w:rPr>
          <w:fldChar w:fldCharType="end"/>
        </w:r>
      </w:hyperlink>
    </w:p>
    <w:p w14:paraId="779D89A9" w14:textId="34354BCA"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35" w:history="1">
        <w:r w:rsidR="00AC5392" w:rsidRPr="00533B68">
          <w:t>Part 4.1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Scale of costs—general</w:t>
        </w:r>
        <w:r w:rsidR="00AC5392">
          <w:tab/>
        </w:r>
        <w:r w:rsidR="00AC5392" w:rsidRPr="00AC5392">
          <w:rPr>
            <w:b w:val="0"/>
          </w:rPr>
          <w:fldChar w:fldCharType="begin"/>
        </w:r>
        <w:r w:rsidR="00AC5392" w:rsidRPr="00AC5392">
          <w:rPr>
            <w:b w:val="0"/>
          </w:rPr>
          <w:instrText xml:space="preserve"> PAGEREF _Toc185515535 \h </w:instrText>
        </w:r>
        <w:r w:rsidR="00AC5392" w:rsidRPr="00AC5392">
          <w:rPr>
            <w:b w:val="0"/>
          </w:rPr>
        </w:r>
        <w:r w:rsidR="00AC5392" w:rsidRPr="00AC5392">
          <w:rPr>
            <w:b w:val="0"/>
          </w:rPr>
          <w:fldChar w:fldCharType="separate"/>
        </w:r>
        <w:r w:rsidR="00AC5392" w:rsidRPr="00AC5392">
          <w:rPr>
            <w:b w:val="0"/>
          </w:rPr>
          <w:t>1099</w:t>
        </w:r>
        <w:r w:rsidR="00AC5392" w:rsidRPr="00AC5392">
          <w:rPr>
            <w:b w:val="0"/>
          </w:rPr>
          <w:fldChar w:fldCharType="end"/>
        </w:r>
      </w:hyperlink>
    </w:p>
    <w:p w14:paraId="71B70BEE" w14:textId="22603F4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36" w:history="1">
        <w:r w:rsidRPr="00533B68">
          <w:t>4.1</w:t>
        </w:r>
        <w:r>
          <w:rPr>
            <w:rFonts w:asciiTheme="minorHAnsi" w:eastAsiaTheme="minorEastAsia" w:hAnsiTheme="minorHAnsi" w:cstheme="minorBidi"/>
            <w:kern w:val="2"/>
            <w:sz w:val="24"/>
            <w:szCs w:val="24"/>
            <w:lang w:eastAsia="en-AU"/>
            <w14:ligatures w14:val="standardContextual"/>
          </w:rPr>
          <w:tab/>
        </w:r>
        <w:r w:rsidRPr="00533B68">
          <w:t>Costs—general care and conduct</w:t>
        </w:r>
        <w:r>
          <w:tab/>
        </w:r>
        <w:r>
          <w:fldChar w:fldCharType="begin"/>
        </w:r>
        <w:r>
          <w:instrText xml:space="preserve"> PAGEREF _Toc185515536 \h </w:instrText>
        </w:r>
        <w:r>
          <w:fldChar w:fldCharType="separate"/>
        </w:r>
        <w:r>
          <w:t>1099</w:t>
        </w:r>
        <w:r>
          <w:fldChar w:fldCharType="end"/>
        </w:r>
      </w:hyperlink>
    </w:p>
    <w:p w14:paraId="1651AD43" w14:textId="61688C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37" w:history="1">
        <w:r w:rsidRPr="00533B68">
          <w:t>4.2</w:t>
        </w:r>
        <w:r>
          <w:rPr>
            <w:rFonts w:asciiTheme="minorHAnsi" w:eastAsiaTheme="minorEastAsia" w:hAnsiTheme="minorHAnsi" w:cstheme="minorBidi"/>
            <w:kern w:val="2"/>
            <w:sz w:val="24"/>
            <w:szCs w:val="24"/>
            <w:lang w:eastAsia="en-AU"/>
            <w14:ligatures w14:val="standardContextual"/>
          </w:rPr>
          <w:tab/>
        </w:r>
        <w:r w:rsidRPr="00533B68">
          <w:t>Costs—registrar’s discretion</w:t>
        </w:r>
        <w:r>
          <w:tab/>
        </w:r>
        <w:r>
          <w:fldChar w:fldCharType="begin"/>
        </w:r>
        <w:r>
          <w:instrText xml:space="preserve"> PAGEREF _Toc185515537 \h </w:instrText>
        </w:r>
        <w:r>
          <w:fldChar w:fldCharType="separate"/>
        </w:r>
        <w:r>
          <w:t>1100</w:t>
        </w:r>
        <w:r>
          <w:fldChar w:fldCharType="end"/>
        </w:r>
      </w:hyperlink>
    </w:p>
    <w:p w14:paraId="5670AA4C" w14:textId="02ED0C5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38" w:history="1">
        <w:r w:rsidRPr="00533B68">
          <w:t>4.3</w:t>
        </w:r>
        <w:r>
          <w:rPr>
            <w:rFonts w:asciiTheme="minorHAnsi" w:eastAsiaTheme="minorEastAsia" w:hAnsiTheme="minorHAnsi" w:cstheme="minorBidi"/>
            <w:kern w:val="2"/>
            <w:sz w:val="24"/>
            <w:szCs w:val="24"/>
            <w:lang w:eastAsia="en-AU"/>
            <w14:ligatures w14:val="standardContextual"/>
          </w:rPr>
          <w:tab/>
        </w:r>
        <w:r w:rsidRPr="00533B68">
          <w:t>Costs—letters sent by email</w:t>
        </w:r>
        <w:r>
          <w:tab/>
        </w:r>
        <w:r>
          <w:fldChar w:fldCharType="begin"/>
        </w:r>
        <w:r>
          <w:instrText xml:space="preserve"> PAGEREF _Toc185515538 \h </w:instrText>
        </w:r>
        <w:r>
          <w:fldChar w:fldCharType="separate"/>
        </w:r>
        <w:r>
          <w:t>1100</w:t>
        </w:r>
        <w:r>
          <w:fldChar w:fldCharType="end"/>
        </w:r>
      </w:hyperlink>
    </w:p>
    <w:p w14:paraId="3B41FFF9" w14:textId="5AFFA7A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39" w:history="1">
        <w:r w:rsidRPr="00533B68">
          <w:t>4.4</w:t>
        </w:r>
        <w:r>
          <w:rPr>
            <w:rFonts w:asciiTheme="minorHAnsi" w:eastAsiaTheme="minorEastAsia" w:hAnsiTheme="minorHAnsi" w:cstheme="minorBidi"/>
            <w:kern w:val="2"/>
            <w:sz w:val="24"/>
            <w:szCs w:val="24"/>
            <w:lang w:eastAsia="en-AU"/>
            <w14:ligatures w14:val="standardContextual"/>
          </w:rPr>
          <w:tab/>
        </w:r>
        <w:r w:rsidRPr="00533B68">
          <w:t>Costs—allowance on affidavits to include attendances</w:t>
        </w:r>
        <w:r>
          <w:tab/>
        </w:r>
        <w:r>
          <w:fldChar w:fldCharType="begin"/>
        </w:r>
        <w:r>
          <w:instrText xml:space="preserve"> PAGEREF _Toc185515539 \h </w:instrText>
        </w:r>
        <w:r>
          <w:fldChar w:fldCharType="separate"/>
        </w:r>
        <w:r>
          <w:t>1100</w:t>
        </w:r>
        <w:r>
          <w:fldChar w:fldCharType="end"/>
        </w:r>
      </w:hyperlink>
    </w:p>
    <w:p w14:paraId="6E05CF8B" w14:textId="1CD0363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0" w:history="1">
        <w:r w:rsidRPr="00533B68">
          <w:t>4.5</w:t>
        </w:r>
        <w:r>
          <w:rPr>
            <w:rFonts w:asciiTheme="minorHAnsi" w:eastAsiaTheme="minorEastAsia" w:hAnsiTheme="minorHAnsi" w:cstheme="minorBidi"/>
            <w:kern w:val="2"/>
            <w:sz w:val="24"/>
            <w:szCs w:val="24"/>
            <w:lang w:eastAsia="en-AU"/>
            <w14:ligatures w14:val="standardContextual"/>
          </w:rPr>
          <w:tab/>
        </w:r>
        <w:r w:rsidRPr="00533B68">
          <w:t>Costs—affidavit made by 2 or more people etc</w:t>
        </w:r>
        <w:r>
          <w:tab/>
        </w:r>
        <w:r>
          <w:fldChar w:fldCharType="begin"/>
        </w:r>
        <w:r>
          <w:instrText xml:space="preserve"> PAGEREF _Toc185515540 \h </w:instrText>
        </w:r>
        <w:r>
          <w:fldChar w:fldCharType="separate"/>
        </w:r>
        <w:r>
          <w:t>1100</w:t>
        </w:r>
        <w:r>
          <w:fldChar w:fldCharType="end"/>
        </w:r>
      </w:hyperlink>
    </w:p>
    <w:p w14:paraId="6FF7EA66" w14:textId="7ABBFC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1" w:history="1">
        <w:r w:rsidRPr="00533B68">
          <w:t>4.6</w:t>
        </w:r>
        <w:r>
          <w:rPr>
            <w:rFonts w:asciiTheme="minorHAnsi" w:eastAsiaTheme="minorEastAsia" w:hAnsiTheme="minorHAnsi" w:cstheme="minorBidi"/>
            <w:kern w:val="2"/>
            <w:sz w:val="24"/>
            <w:szCs w:val="24"/>
            <w:lang w:eastAsia="en-AU"/>
            <w14:ligatures w14:val="standardContextual"/>
          </w:rPr>
          <w:tab/>
        </w:r>
        <w:r w:rsidRPr="00533B68">
          <w:t>Costs—documents to be served together</w:t>
        </w:r>
        <w:r>
          <w:tab/>
        </w:r>
        <w:r>
          <w:fldChar w:fldCharType="begin"/>
        </w:r>
        <w:r>
          <w:instrText xml:space="preserve"> PAGEREF _Toc185515541 \h </w:instrText>
        </w:r>
        <w:r>
          <w:fldChar w:fldCharType="separate"/>
        </w:r>
        <w:r>
          <w:t>1101</w:t>
        </w:r>
        <w:r>
          <w:fldChar w:fldCharType="end"/>
        </w:r>
      </w:hyperlink>
    </w:p>
    <w:p w14:paraId="14E84245" w14:textId="18CACB2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2" w:history="1">
        <w:r w:rsidRPr="00533B68">
          <w:t>4.7</w:t>
        </w:r>
        <w:r>
          <w:rPr>
            <w:rFonts w:asciiTheme="minorHAnsi" w:eastAsiaTheme="minorEastAsia" w:hAnsiTheme="minorHAnsi" w:cstheme="minorBidi"/>
            <w:kern w:val="2"/>
            <w:sz w:val="24"/>
            <w:szCs w:val="24"/>
            <w:lang w:eastAsia="en-AU"/>
            <w14:ligatures w14:val="standardContextual"/>
          </w:rPr>
          <w:tab/>
        </w:r>
        <w:r w:rsidRPr="00533B68">
          <w:t>Costs—agency correspondence</w:t>
        </w:r>
        <w:r>
          <w:tab/>
        </w:r>
        <w:r>
          <w:fldChar w:fldCharType="begin"/>
        </w:r>
        <w:r>
          <w:instrText xml:space="preserve"> PAGEREF _Toc185515542 \h </w:instrText>
        </w:r>
        <w:r>
          <w:fldChar w:fldCharType="separate"/>
        </w:r>
        <w:r>
          <w:t>1101</w:t>
        </w:r>
        <w:r>
          <w:fldChar w:fldCharType="end"/>
        </w:r>
      </w:hyperlink>
    </w:p>
    <w:p w14:paraId="2D43043E" w14:textId="36E12F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3" w:history="1">
        <w:r w:rsidRPr="00533B68">
          <w:t>4.8</w:t>
        </w:r>
        <w:r>
          <w:rPr>
            <w:rFonts w:asciiTheme="minorHAnsi" w:eastAsiaTheme="minorEastAsia" w:hAnsiTheme="minorHAnsi" w:cstheme="minorBidi"/>
            <w:kern w:val="2"/>
            <w:sz w:val="24"/>
            <w:szCs w:val="24"/>
            <w:lang w:eastAsia="en-AU"/>
            <w14:ligatures w14:val="standardContextual"/>
          </w:rPr>
          <w:tab/>
        </w:r>
        <w:r w:rsidRPr="00533B68">
          <w:t>Costs—attendance to instruct counsel</w:t>
        </w:r>
        <w:r>
          <w:tab/>
        </w:r>
        <w:r>
          <w:fldChar w:fldCharType="begin"/>
        </w:r>
        <w:r>
          <w:instrText xml:space="preserve"> PAGEREF _Toc185515543 \h </w:instrText>
        </w:r>
        <w:r>
          <w:fldChar w:fldCharType="separate"/>
        </w:r>
        <w:r>
          <w:t>1101</w:t>
        </w:r>
        <w:r>
          <w:fldChar w:fldCharType="end"/>
        </w:r>
      </w:hyperlink>
    </w:p>
    <w:p w14:paraId="7F069AAF" w14:textId="77ECE26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4" w:history="1">
        <w:r w:rsidRPr="00533B68">
          <w:t>4.9</w:t>
        </w:r>
        <w:r>
          <w:rPr>
            <w:rFonts w:asciiTheme="minorHAnsi" w:eastAsiaTheme="minorEastAsia" w:hAnsiTheme="minorHAnsi" w:cstheme="minorBidi"/>
            <w:kern w:val="2"/>
            <w:sz w:val="24"/>
            <w:szCs w:val="24"/>
            <w:lang w:eastAsia="en-AU"/>
            <w14:ligatures w14:val="standardContextual"/>
          </w:rPr>
          <w:tab/>
        </w:r>
        <w:r w:rsidRPr="00533B68">
          <w:t>Costs—parties with same solicitor</w:t>
        </w:r>
        <w:r>
          <w:tab/>
        </w:r>
        <w:r>
          <w:fldChar w:fldCharType="begin"/>
        </w:r>
        <w:r>
          <w:instrText xml:space="preserve"> PAGEREF _Toc185515544 \h </w:instrText>
        </w:r>
        <w:r>
          <w:fldChar w:fldCharType="separate"/>
        </w:r>
        <w:r>
          <w:t>1102</w:t>
        </w:r>
        <w:r>
          <w:fldChar w:fldCharType="end"/>
        </w:r>
      </w:hyperlink>
    </w:p>
    <w:p w14:paraId="3B691573" w14:textId="55B60B4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5" w:history="1">
        <w:r w:rsidRPr="00533B68">
          <w:t>4.10</w:t>
        </w:r>
        <w:r>
          <w:rPr>
            <w:rFonts w:asciiTheme="minorHAnsi" w:eastAsiaTheme="minorEastAsia" w:hAnsiTheme="minorHAnsi" w:cstheme="minorBidi"/>
            <w:kern w:val="2"/>
            <w:sz w:val="24"/>
            <w:szCs w:val="24"/>
            <w:lang w:eastAsia="en-AU"/>
            <w14:ligatures w14:val="standardContextual"/>
          </w:rPr>
          <w:tab/>
        </w:r>
        <w:r w:rsidRPr="00533B68">
          <w:t>Costs—counsel drawing and settling documents</w:t>
        </w:r>
        <w:r>
          <w:tab/>
        </w:r>
        <w:r>
          <w:fldChar w:fldCharType="begin"/>
        </w:r>
        <w:r>
          <w:instrText xml:space="preserve"> PAGEREF _Toc185515545 \h </w:instrText>
        </w:r>
        <w:r>
          <w:fldChar w:fldCharType="separate"/>
        </w:r>
        <w:r>
          <w:t>1102</w:t>
        </w:r>
        <w:r>
          <w:fldChar w:fldCharType="end"/>
        </w:r>
      </w:hyperlink>
    </w:p>
    <w:p w14:paraId="4968A994" w14:textId="43DC048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6" w:history="1">
        <w:r w:rsidRPr="00533B68">
          <w:t>4.11</w:t>
        </w:r>
        <w:r>
          <w:rPr>
            <w:rFonts w:asciiTheme="minorHAnsi" w:eastAsiaTheme="minorEastAsia" w:hAnsiTheme="minorHAnsi" w:cstheme="minorBidi"/>
            <w:kern w:val="2"/>
            <w:sz w:val="24"/>
            <w:szCs w:val="24"/>
            <w:lang w:eastAsia="en-AU"/>
            <w14:ligatures w14:val="standardContextual"/>
          </w:rPr>
          <w:tab/>
        </w:r>
        <w:r w:rsidRPr="00533B68">
          <w:t>Costs—premature brief</w:t>
        </w:r>
        <w:r>
          <w:tab/>
        </w:r>
        <w:r>
          <w:fldChar w:fldCharType="begin"/>
        </w:r>
        <w:r>
          <w:instrText xml:space="preserve"> PAGEREF _Toc185515546 \h </w:instrText>
        </w:r>
        <w:r>
          <w:fldChar w:fldCharType="separate"/>
        </w:r>
        <w:r>
          <w:t>1102</w:t>
        </w:r>
        <w:r>
          <w:fldChar w:fldCharType="end"/>
        </w:r>
      </w:hyperlink>
    </w:p>
    <w:p w14:paraId="4F3E7393" w14:textId="6AA779E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47" w:history="1">
        <w:r w:rsidRPr="00533B68">
          <w:t>4.12</w:t>
        </w:r>
        <w:r>
          <w:rPr>
            <w:rFonts w:asciiTheme="minorHAnsi" w:eastAsiaTheme="minorEastAsia" w:hAnsiTheme="minorHAnsi" w:cstheme="minorBidi"/>
            <w:kern w:val="2"/>
            <w:sz w:val="24"/>
            <w:szCs w:val="24"/>
            <w:lang w:eastAsia="en-AU"/>
            <w14:ligatures w14:val="standardContextual"/>
          </w:rPr>
          <w:tab/>
        </w:r>
        <w:r w:rsidRPr="00533B68">
          <w:t>Costs—transitional</w:t>
        </w:r>
        <w:r>
          <w:tab/>
        </w:r>
        <w:r>
          <w:fldChar w:fldCharType="begin"/>
        </w:r>
        <w:r>
          <w:instrText xml:space="preserve"> PAGEREF _Toc185515547 \h </w:instrText>
        </w:r>
        <w:r>
          <w:fldChar w:fldCharType="separate"/>
        </w:r>
        <w:r>
          <w:t>1103</w:t>
        </w:r>
        <w:r>
          <w:fldChar w:fldCharType="end"/>
        </w:r>
      </w:hyperlink>
    </w:p>
    <w:p w14:paraId="29E49BF4" w14:textId="1CD31840" w:rsidR="00AC5392" w:rsidRDefault="001542D1">
      <w:pPr>
        <w:pStyle w:val="TOC2"/>
        <w:rPr>
          <w:rFonts w:asciiTheme="minorHAnsi" w:eastAsiaTheme="minorEastAsia" w:hAnsiTheme="minorHAnsi" w:cstheme="minorBidi"/>
          <w:b w:val="0"/>
          <w:kern w:val="2"/>
          <w:szCs w:val="24"/>
          <w:lang w:eastAsia="en-AU"/>
          <w14:ligatures w14:val="standardContextual"/>
        </w:rPr>
      </w:pPr>
      <w:hyperlink w:anchor="_Toc185515548" w:history="1">
        <w:r w:rsidR="00AC5392" w:rsidRPr="00533B68">
          <w:t>Part 4.2</w:t>
        </w:r>
        <w:r w:rsidR="00AC5392">
          <w:rPr>
            <w:rFonts w:asciiTheme="minorHAnsi" w:eastAsiaTheme="minorEastAsia" w:hAnsiTheme="minorHAnsi" w:cstheme="minorBidi"/>
            <w:b w:val="0"/>
            <w:kern w:val="2"/>
            <w:szCs w:val="24"/>
            <w:lang w:eastAsia="en-AU"/>
            <w14:ligatures w14:val="standardContextual"/>
          </w:rPr>
          <w:tab/>
        </w:r>
        <w:r w:rsidR="00AC5392" w:rsidRPr="00533B68">
          <w:t>Scale of costs—items</w:t>
        </w:r>
        <w:r w:rsidR="00AC5392" w:rsidRPr="00AC5392">
          <w:rPr>
            <w:vanish/>
          </w:rPr>
          <w:tab/>
        </w:r>
        <w:r w:rsidR="00AC5392" w:rsidRPr="00AC5392">
          <w:rPr>
            <w:vanish/>
          </w:rPr>
          <w:fldChar w:fldCharType="begin"/>
        </w:r>
        <w:r w:rsidR="00AC5392" w:rsidRPr="00AC5392">
          <w:rPr>
            <w:vanish/>
          </w:rPr>
          <w:instrText xml:space="preserve"> PAGEREF _Toc185515548 \h </w:instrText>
        </w:r>
        <w:r w:rsidR="00AC5392" w:rsidRPr="00AC5392">
          <w:rPr>
            <w:vanish/>
          </w:rPr>
        </w:r>
        <w:r w:rsidR="00AC5392" w:rsidRPr="00AC5392">
          <w:rPr>
            <w:vanish/>
          </w:rPr>
          <w:fldChar w:fldCharType="separate"/>
        </w:r>
        <w:r w:rsidR="00AC5392" w:rsidRPr="00AC5392">
          <w:rPr>
            <w:vanish/>
          </w:rPr>
          <w:t>1104</w:t>
        </w:r>
        <w:r w:rsidR="00AC5392" w:rsidRPr="00AC5392">
          <w:rPr>
            <w:vanish/>
          </w:rPr>
          <w:fldChar w:fldCharType="end"/>
        </w:r>
      </w:hyperlink>
    </w:p>
    <w:p w14:paraId="423FB968" w14:textId="01A1EA70"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49" w:history="1">
        <w:r w:rsidR="00AC5392" w:rsidRPr="00533B68">
          <w:t>Division 4.2.1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Instructions</w:t>
        </w:r>
        <w:r w:rsidR="00AC5392" w:rsidRPr="00AC5392">
          <w:rPr>
            <w:vanish/>
          </w:rPr>
          <w:tab/>
        </w:r>
        <w:r w:rsidR="00AC5392" w:rsidRPr="00AC5392">
          <w:rPr>
            <w:vanish/>
          </w:rPr>
          <w:fldChar w:fldCharType="begin"/>
        </w:r>
        <w:r w:rsidR="00AC5392" w:rsidRPr="00AC5392">
          <w:rPr>
            <w:vanish/>
          </w:rPr>
          <w:instrText xml:space="preserve"> PAGEREF _Toc185515549 \h </w:instrText>
        </w:r>
        <w:r w:rsidR="00AC5392" w:rsidRPr="00AC5392">
          <w:rPr>
            <w:vanish/>
          </w:rPr>
        </w:r>
        <w:r w:rsidR="00AC5392" w:rsidRPr="00AC5392">
          <w:rPr>
            <w:vanish/>
          </w:rPr>
          <w:fldChar w:fldCharType="separate"/>
        </w:r>
        <w:r w:rsidR="00AC5392" w:rsidRPr="00AC5392">
          <w:rPr>
            <w:vanish/>
          </w:rPr>
          <w:t>1104</w:t>
        </w:r>
        <w:r w:rsidR="00AC5392" w:rsidRPr="00AC5392">
          <w:rPr>
            <w:vanish/>
          </w:rPr>
          <w:fldChar w:fldCharType="end"/>
        </w:r>
      </w:hyperlink>
    </w:p>
    <w:p w14:paraId="21B8957D" w14:textId="6BEB49DA"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0" w:history="1">
        <w:r w:rsidR="00AC5392" w:rsidRPr="00533B68">
          <w:t>Division 4.2.2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Drawing</w:t>
        </w:r>
        <w:r w:rsidR="00AC5392" w:rsidRPr="00AC5392">
          <w:rPr>
            <w:vanish/>
          </w:rPr>
          <w:tab/>
        </w:r>
        <w:r w:rsidR="00AC5392" w:rsidRPr="00AC5392">
          <w:rPr>
            <w:vanish/>
          </w:rPr>
          <w:fldChar w:fldCharType="begin"/>
        </w:r>
        <w:r w:rsidR="00AC5392" w:rsidRPr="00AC5392">
          <w:rPr>
            <w:vanish/>
          </w:rPr>
          <w:instrText xml:space="preserve"> PAGEREF _Toc185515550 \h </w:instrText>
        </w:r>
        <w:r w:rsidR="00AC5392" w:rsidRPr="00AC5392">
          <w:rPr>
            <w:vanish/>
          </w:rPr>
        </w:r>
        <w:r w:rsidR="00AC5392" w:rsidRPr="00AC5392">
          <w:rPr>
            <w:vanish/>
          </w:rPr>
          <w:fldChar w:fldCharType="separate"/>
        </w:r>
        <w:r w:rsidR="00AC5392" w:rsidRPr="00AC5392">
          <w:rPr>
            <w:vanish/>
          </w:rPr>
          <w:t>1106</w:t>
        </w:r>
        <w:r w:rsidR="00AC5392" w:rsidRPr="00AC5392">
          <w:rPr>
            <w:vanish/>
          </w:rPr>
          <w:fldChar w:fldCharType="end"/>
        </w:r>
      </w:hyperlink>
    </w:p>
    <w:p w14:paraId="414B938F" w14:textId="460BEE2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1" w:history="1">
        <w:r w:rsidR="00AC5392" w:rsidRPr="00533B68">
          <w:t>Division 4.2.3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Engrossing</w:t>
        </w:r>
        <w:r w:rsidR="00AC5392" w:rsidRPr="00AC5392">
          <w:rPr>
            <w:vanish/>
          </w:rPr>
          <w:tab/>
        </w:r>
        <w:r w:rsidR="00AC5392" w:rsidRPr="00AC5392">
          <w:rPr>
            <w:vanish/>
          </w:rPr>
          <w:fldChar w:fldCharType="begin"/>
        </w:r>
        <w:r w:rsidR="00AC5392" w:rsidRPr="00AC5392">
          <w:rPr>
            <w:vanish/>
          </w:rPr>
          <w:instrText xml:space="preserve"> PAGEREF _Toc185515551 \h </w:instrText>
        </w:r>
        <w:r w:rsidR="00AC5392" w:rsidRPr="00AC5392">
          <w:rPr>
            <w:vanish/>
          </w:rPr>
        </w:r>
        <w:r w:rsidR="00AC5392" w:rsidRPr="00AC5392">
          <w:rPr>
            <w:vanish/>
          </w:rPr>
          <w:fldChar w:fldCharType="separate"/>
        </w:r>
        <w:r w:rsidR="00AC5392" w:rsidRPr="00AC5392">
          <w:rPr>
            <w:vanish/>
          </w:rPr>
          <w:t>1106</w:t>
        </w:r>
        <w:r w:rsidR="00AC5392" w:rsidRPr="00AC5392">
          <w:rPr>
            <w:vanish/>
          </w:rPr>
          <w:fldChar w:fldCharType="end"/>
        </w:r>
      </w:hyperlink>
    </w:p>
    <w:p w14:paraId="0B68A2CE" w14:textId="209203D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2" w:history="1">
        <w:r w:rsidR="00AC5392" w:rsidRPr="00533B68">
          <w:t>Division 4.2.4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Copies</w:t>
        </w:r>
        <w:r w:rsidR="00AC5392" w:rsidRPr="00AC5392">
          <w:rPr>
            <w:vanish/>
          </w:rPr>
          <w:tab/>
        </w:r>
        <w:r w:rsidR="00AC5392" w:rsidRPr="00AC5392">
          <w:rPr>
            <w:vanish/>
          </w:rPr>
          <w:fldChar w:fldCharType="begin"/>
        </w:r>
        <w:r w:rsidR="00AC5392" w:rsidRPr="00AC5392">
          <w:rPr>
            <w:vanish/>
          </w:rPr>
          <w:instrText xml:space="preserve"> PAGEREF _Toc185515552 \h </w:instrText>
        </w:r>
        <w:r w:rsidR="00AC5392" w:rsidRPr="00AC5392">
          <w:rPr>
            <w:vanish/>
          </w:rPr>
        </w:r>
        <w:r w:rsidR="00AC5392" w:rsidRPr="00AC5392">
          <w:rPr>
            <w:vanish/>
          </w:rPr>
          <w:fldChar w:fldCharType="separate"/>
        </w:r>
        <w:r w:rsidR="00AC5392" w:rsidRPr="00AC5392">
          <w:rPr>
            <w:vanish/>
          </w:rPr>
          <w:t>1107</w:t>
        </w:r>
        <w:r w:rsidR="00AC5392" w:rsidRPr="00AC5392">
          <w:rPr>
            <w:vanish/>
          </w:rPr>
          <w:fldChar w:fldCharType="end"/>
        </w:r>
      </w:hyperlink>
    </w:p>
    <w:p w14:paraId="483A61BF" w14:textId="50B4E372"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3" w:history="1">
        <w:r w:rsidR="00AC5392" w:rsidRPr="00533B68">
          <w:t>Division 4.2.5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Perusal</w:t>
        </w:r>
        <w:r w:rsidR="00AC5392" w:rsidRPr="00AC5392">
          <w:rPr>
            <w:vanish/>
          </w:rPr>
          <w:tab/>
        </w:r>
        <w:r w:rsidR="00AC5392" w:rsidRPr="00AC5392">
          <w:rPr>
            <w:vanish/>
          </w:rPr>
          <w:fldChar w:fldCharType="begin"/>
        </w:r>
        <w:r w:rsidR="00AC5392" w:rsidRPr="00AC5392">
          <w:rPr>
            <w:vanish/>
          </w:rPr>
          <w:instrText xml:space="preserve"> PAGEREF _Toc185515553 \h </w:instrText>
        </w:r>
        <w:r w:rsidR="00AC5392" w:rsidRPr="00AC5392">
          <w:rPr>
            <w:vanish/>
          </w:rPr>
        </w:r>
        <w:r w:rsidR="00AC5392" w:rsidRPr="00AC5392">
          <w:rPr>
            <w:vanish/>
          </w:rPr>
          <w:fldChar w:fldCharType="separate"/>
        </w:r>
        <w:r w:rsidR="00AC5392" w:rsidRPr="00AC5392">
          <w:rPr>
            <w:vanish/>
          </w:rPr>
          <w:t>1107</w:t>
        </w:r>
        <w:r w:rsidR="00AC5392" w:rsidRPr="00AC5392">
          <w:rPr>
            <w:vanish/>
          </w:rPr>
          <w:fldChar w:fldCharType="end"/>
        </w:r>
      </w:hyperlink>
    </w:p>
    <w:p w14:paraId="02C4BCF9" w14:textId="48ECD65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4" w:history="1">
        <w:r w:rsidR="00AC5392" w:rsidRPr="00533B68">
          <w:t>Division 4.2.6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Attendances</w:t>
        </w:r>
        <w:r w:rsidR="00AC5392" w:rsidRPr="00AC5392">
          <w:rPr>
            <w:vanish/>
          </w:rPr>
          <w:tab/>
        </w:r>
        <w:r w:rsidR="00AC5392" w:rsidRPr="00AC5392">
          <w:rPr>
            <w:vanish/>
          </w:rPr>
          <w:fldChar w:fldCharType="begin"/>
        </w:r>
        <w:r w:rsidR="00AC5392" w:rsidRPr="00AC5392">
          <w:rPr>
            <w:vanish/>
          </w:rPr>
          <w:instrText xml:space="preserve"> PAGEREF _Toc185515554 \h </w:instrText>
        </w:r>
        <w:r w:rsidR="00AC5392" w:rsidRPr="00AC5392">
          <w:rPr>
            <w:vanish/>
          </w:rPr>
        </w:r>
        <w:r w:rsidR="00AC5392" w:rsidRPr="00AC5392">
          <w:rPr>
            <w:vanish/>
          </w:rPr>
          <w:fldChar w:fldCharType="separate"/>
        </w:r>
        <w:r w:rsidR="00AC5392" w:rsidRPr="00AC5392">
          <w:rPr>
            <w:vanish/>
          </w:rPr>
          <w:t>1108</w:t>
        </w:r>
        <w:r w:rsidR="00AC5392" w:rsidRPr="00AC5392">
          <w:rPr>
            <w:vanish/>
          </w:rPr>
          <w:fldChar w:fldCharType="end"/>
        </w:r>
      </w:hyperlink>
    </w:p>
    <w:p w14:paraId="5092551A" w14:textId="792F1DBC"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5" w:history="1">
        <w:r w:rsidR="00AC5392" w:rsidRPr="00533B68">
          <w:t>Division 4.2.7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Letters</w:t>
        </w:r>
        <w:r w:rsidR="00AC5392" w:rsidRPr="00AC5392">
          <w:rPr>
            <w:vanish/>
          </w:rPr>
          <w:tab/>
        </w:r>
        <w:r w:rsidR="00AC5392" w:rsidRPr="00AC5392">
          <w:rPr>
            <w:vanish/>
          </w:rPr>
          <w:fldChar w:fldCharType="begin"/>
        </w:r>
        <w:r w:rsidR="00AC5392" w:rsidRPr="00AC5392">
          <w:rPr>
            <w:vanish/>
          </w:rPr>
          <w:instrText xml:space="preserve"> PAGEREF _Toc185515555 \h </w:instrText>
        </w:r>
        <w:r w:rsidR="00AC5392" w:rsidRPr="00AC5392">
          <w:rPr>
            <w:vanish/>
          </w:rPr>
        </w:r>
        <w:r w:rsidR="00AC5392" w:rsidRPr="00AC5392">
          <w:rPr>
            <w:vanish/>
          </w:rPr>
          <w:fldChar w:fldCharType="separate"/>
        </w:r>
        <w:r w:rsidR="00AC5392" w:rsidRPr="00AC5392">
          <w:rPr>
            <w:vanish/>
          </w:rPr>
          <w:t>1109</w:t>
        </w:r>
        <w:r w:rsidR="00AC5392" w:rsidRPr="00AC5392">
          <w:rPr>
            <w:vanish/>
          </w:rPr>
          <w:fldChar w:fldCharType="end"/>
        </w:r>
      </w:hyperlink>
    </w:p>
    <w:p w14:paraId="18D7AC94" w14:textId="42BA0E2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6" w:history="1">
        <w:r w:rsidR="00AC5392" w:rsidRPr="00533B68">
          <w:t>Division 4.2.8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Witness expenses</w:t>
        </w:r>
        <w:r w:rsidR="00AC5392" w:rsidRPr="00AC5392">
          <w:rPr>
            <w:vanish/>
          </w:rPr>
          <w:tab/>
        </w:r>
        <w:r w:rsidR="00AC5392" w:rsidRPr="00AC5392">
          <w:rPr>
            <w:vanish/>
          </w:rPr>
          <w:fldChar w:fldCharType="begin"/>
        </w:r>
        <w:r w:rsidR="00AC5392" w:rsidRPr="00AC5392">
          <w:rPr>
            <w:vanish/>
          </w:rPr>
          <w:instrText xml:space="preserve"> PAGEREF _Toc185515556 \h </w:instrText>
        </w:r>
        <w:r w:rsidR="00AC5392" w:rsidRPr="00AC5392">
          <w:rPr>
            <w:vanish/>
          </w:rPr>
        </w:r>
        <w:r w:rsidR="00AC5392" w:rsidRPr="00AC5392">
          <w:rPr>
            <w:vanish/>
          </w:rPr>
          <w:fldChar w:fldCharType="separate"/>
        </w:r>
        <w:r w:rsidR="00AC5392" w:rsidRPr="00AC5392">
          <w:rPr>
            <w:vanish/>
          </w:rPr>
          <w:t>1110</w:t>
        </w:r>
        <w:r w:rsidR="00AC5392" w:rsidRPr="00AC5392">
          <w:rPr>
            <w:vanish/>
          </w:rPr>
          <w:fldChar w:fldCharType="end"/>
        </w:r>
      </w:hyperlink>
    </w:p>
    <w:p w14:paraId="250463FD" w14:textId="0FAA8BAF"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557" w:history="1">
        <w:r w:rsidR="00AC5392" w:rsidRPr="00533B68">
          <w:t>Division 4.2.9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Disbursements</w:t>
        </w:r>
        <w:r w:rsidR="00AC5392" w:rsidRPr="00AC5392">
          <w:rPr>
            <w:vanish/>
          </w:rPr>
          <w:tab/>
        </w:r>
        <w:r w:rsidR="00AC5392" w:rsidRPr="00AC5392">
          <w:rPr>
            <w:vanish/>
          </w:rPr>
          <w:fldChar w:fldCharType="begin"/>
        </w:r>
        <w:r w:rsidR="00AC5392" w:rsidRPr="00AC5392">
          <w:rPr>
            <w:vanish/>
          </w:rPr>
          <w:instrText xml:space="preserve"> PAGEREF _Toc185515557 \h </w:instrText>
        </w:r>
        <w:r w:rsidR="00AC5392" w:rsidRPr="00AC5392">
          <w:rPr>
            <w:vanish/>
          </w:rPr>
        </w:r>
        <w:r w:rsidR="00AC5392" w:rsidRPr="00AC5392">
          <w:rPr>
            <w:vanish/>
          </w:rPr>
          <w:fldChar w:fldCharType="separate"/>
        </w:r>
        <w:r w:rsidR="00AC5392" w:rsidRPr="00AC5392">
          <w:rPr>
            <w:vanish/>
          </w:rPr>
          <w:t>1111</w:t>
        </w:r>
        <w:r w:rsidR="00AC5392" w:rsidRPr="00AC5392">
          <w:rPr>
            <w:vanish/>
          </w:rPr>
          <w:fldChar w:fldCharType="end"/>
        </w:r>
      </w:hyperlink>
    </w:p>
    <w:p w14:paraId="347C998F" w14:textId="2DBA9105" w:rsidR="00AC5392" w:rsidRDefault="001542D1">
      <w:pPr>
        <w:pStyle w:val="TOC6"/>
        <w:rPr>
          <w:rFonts w:asciiTheme="minorHAnsi" w:eastAsiaTheme="minorEastAsia" w:hAnsiTheme="minorHAnsi" w:cstheme="minorBidi"/>
          <w:b w:val="0"/>
          <w:kern w:val="2"/>
          <w:szCs w:val="24"/>
          <w:lang w:eastAsia="en-AU"/>
          <w14:ligatures w14:val="standardContextual"/>
        </w:rPr>
      </w:pPr>
      <w:hyperlink w:anchor="_Toc185515558" w:history="1">
        <w:r w:rsidR="00AC5392" w:rsidRPr="00533B68">
          <w:t>Schedule 5</w:t>
        </w:r>
        <w:r w:rsidR="00AC5392">
          <w:rPr>
            <w:rFonts w:asciiTheme="minorHAnsi" w:eastAsiaTheme="minorEastAsia" w:hAnsiTheme="minorHAnsi" w:cstheme="minorBidi"/>
            <w:b w:val="0"/>
            <w:kern w:val="2"/>
            <w:szCs w:val="24"/>
            <w:lang w:eastAsia="en-AU"/>
            <w14:ligatures w14:val="standardContextual"/>
          </w:rPr>
          <w:tab/>
        </w:r>
        <w:r w:rsidR="00AC5392" w:rsidRPr="00533B68">
          <w:t>Jurisdiction of registrar</w:t>
        </w:r>
        <w:r w:rsidR="00AC5392">
          <w:tab/>
        </w:r>
        <w:r w:rsidR="00AC5392" w:rsidRPr="00AC5392">
          <w:rPr>
            <w:b w:val="0"/>
            <w:sz w:val="20"/>
          </w:rPr>
          <w:fldChar w:fldCharType="begin"/>
        </w:r>
        <w:r w:rsidR="00AC5392" w:rsidRPr="00AC5392">
          <w:rPr>
            <w:b w:val="0"/>
            <w:sz w:val="20"/>
          </w:rPr>
          <w:instrText xml:space="preserve"> PAGEREF _Toc185515558 \h </w:instrText>
        </w:r>
        <w:r w:rsidR="00AC5392" w:rsidRPr="00AC5392">
          <w:rPr>
            <w:b w:val="0"/>
            <w:sz w:val="20"/>
          </w:rPr>
        </w:r>
        <w:r w:rsidR="00AC5392" w:rsidRPr="00AC5392">
          <w:rPr>
            <w:b w:val="0"/>
            <w:sz w:val="20"/>
          </w:rPr>
          <w:fldChar w:fldCharType="separate"/>
        </w:r>
        <w:r w:rsidR="00AC5392" w:rsidRPr="00AC5392">
          <w:rPr>
            <w:b w:val="0"/>
            <w:sz w:val="20"/>
          </w:rPr>
          <w:t>1112</w:t>
        </w:r>
        <w:r w:rsidR="00AC5392" w:rsidRPr="00AC5392">
          <w:rPr>
            <w:b w:val="0"/>
            <w:sz w:val="20"/>
          </w:rPr>
          <w:fldChar w:fldCharType="end"/>
        </w:r>
      </w:hyperlink>
    </w:p>
    <w:p w14:paraId="2B1BC2B7" w14:textId="3D17DA6C"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59" w:history="1">
        <w:r w:rsidR="00AC5392" w:rsidRPr="00533B68">
          <w:t>Part 5.1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Jurisdiction under rules in relation to applications in proceedings not exercisable by registrar of Supreme Court</w:t>
        </w:r>
        <w:r w:rsidR="00AC5392">
          <w:tab/>
        </w:r>
        <w:r w:rsidR="00AC5392" w:rsidRPr="00AC5392">
          <w:rPr>
            <w:b w:val="0"/>
          </w:rPr>
          <w:fldChar w:fldCharType="begin"/>
        </w:r>
        <w:r w:rsidR="00AC5392" w:rsidRPr="00AC5392">
          <w:rPr>
            <w:b w:val="0"/>
          </w:rPr>
          <w:instrText xml:space="preserve"> PAGEREF _Toc185515559 \h </w:instrText>
        </w:r>
        <w:r w:rsidR="00AC5392" w:rsidRPr="00AC5392">
          <w:rPr>
            <w:b w:val="0"/>
          </w:rPr>
        </w:r>
        <w:r w:rsidR="00AC5392" w:rsidRPr="00AC5392">
          <w:rPr>
            <w:b w:val="0"/>
          </w:rPr>
          <w:fldChar w:fldCharType="separate"/>
        </w:r>
        <w:r w:rsidR="00AC5392" w:rsidRPr="00AC5392">
          <w:rPr>
            <w:b w:val="0"/>
          </w:rPr>
          <w:t>1112</w:t>
        </w:r>
        <w:r w:rsidR="00AC5392" w:rsidRPr="00AC5392">
          <w:rPr>
            <w:b w:val="0"/>
          </w:rPr>
          <w:fldChar w:fldCharType="end"/>
        </w:r>
      </w:hyperlink>
    </w:p>
    <w:p w14:paraId="6309B00F" w14:textId="2204D2F1"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60" w:history="1">
        <w:r w:rsidR="00AC5392" w:rsidRPr="00533B68">
          <w:t>Part 5.2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Jurisdiction related to Corporations Act exercisable by registrar of Supreme Court</w:t>
        </w:r>
        <w:r w:rsidR="00AC5392">
          <w:tab/>
        </w:r>
        <w:r w:rsidR="00AC5392" w:rsidRPr="00AC5392">
          <w:rPr>
            <w:b w:val="0"/>
          </w:rPr>
          <w:fldChar w:fldCharType="begin"/>
        </w:r>
        <w:r w:rsidR="00AC5392" w:rsidRPr="00AC5392">
          <w:rPr>
            <w:b w:val="0"/>
          </w:rPr>
          <w:instrText xml:space="preserve"> PAGEREF _Toc185515560 \h </w:instrText>
        </w:r>
        <w:r w:rsidR="00AC5392" w:rsidRPr="00AC5392">
          <w:rPr>
            <w:b w:val="0"/>
          </w:rPr>
        </w:r>
        <w:r w:rsidR="00AC5392" w:rsidRPr="00AC5392">
          <w:rPr>
            <w:b w:val="0"/>
          </w:rPr>
          <w:fldChar w:fldCharType="separate"/>
        </w:r>
        <w:r w:rsidR="00AC5392" w:rsidRPr="00AC5392">
          <w:rPr>
            <w:b w:val="0"/>
          </w:rPr>
          <w:t>1122</w:t>
        </w:r>
        <w:r w:rsidR="00AC5392" w:rsidRPr="00AC5392">
          <w:rPr>
            <w:b w:val="0"/>
          </w:rPr>
          <w:fldChar w:fldCharType="end"/>
        </w:r>
      </w:hyperlink>
    </w:p>
    <w:p w14:paraId="05B41787" w14:textId="44ABE701"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61" w:history="1">
        <w:r w:rsidR="00AC5392" w:rsidRPr="00533B68">
          <w:t>Part 5.3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Jurisdiction related to ASIC Act exercisable by registrar of Supreme Court</w:t>
        </w:r>
        <w:r w:rsidR="00AC5392">
          <w:tab/>
        </w:r>
        <w:r w:rsidR="00AC5392" w:rsidRPr="00AC5392">
          <w:rPr>
            <w:b w:val="0"/>
          </w:rPr>
          <w:fldChar w:fldCharType="begin"/>
        </w:r>
        <w:r w:rsidR="00AC5392" w:rsidRPr="00AC5392">
          <w:rPr>
            <w:b w:val="0"/>
          </w:rPr>
          <w:instrText xml:space="preserve"> PAGEREF _Toc185515561 \h </w:instrText>
        </w:r>
        <w:r w:rsidR="00AC5392" w:rsidRPr="00AC5392">
          <w:rPr>
            <w:b w:val="0"/>
          </w:rPr>
        </w:r>
        <w:r w:rsidR="00AC5392" w:rsidRPr="00AC5392">
          <w:rPr>
            <w:b w:val="0"/>
          </w:rPr>
          <w:fldChar w:fldCharType="separate"/>
        </w:r>
        <w:r w:rsidR="00AC5392" w:rsidRPr="00AC5392">
          <w:rPr>
            <w:b w:val="0"/>
          </w:rPr>
          <w:t>1138</w:t>
        </w:r>
        <w:r w:rsidR="00AC5392" w:rsidRPr="00AC5392">
          <w:rPr>
            <w:b w:val="0"/>
          </w:rPr>
          <w:fldChar w:fldCharType="end"/>
        </w:r>
      </w:hyperlink>
    </w:p>
    <w:p w14:paraId="68F754FB" w14:textId="3095C0C8"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62" w:history="1">
        <w:r w:rsidR="00AC5392" w:rsidRPr="00533B68">
          <w:t>Part 5.4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Jurisdiction under rules in relation to applications in proceedings not exercisable by registrar of Magistrates Court</w:t>
        </w:r>
        <w:r w:rsidR="00AC5392">
          <w:tab/>
        </w:r>
        <w:r w:rsidR="00AC5392" w:rsidRPr="00AC5392">
          <w:rPr>
            <w:b w:val="0"/>
          </w:rPr>
          <w:fldChar w:fldCharType="begin"/>
        </w:r>
        <w:r w:rsidR="00AC5392" w:rsidRPr="00AC5392">
          <w:rPr>
            <w:b w:val="0"/>
          </w:rPr>
          <w:instrText xml:space="preserve"> PAGEREF _Toc185515562 \h </w:instrText>
        </w:r>
        <w:r w:rsidR="00AC5392" w:rsidRPr="00AC5392">
          <w:rPr>
            <w:b w:val="0"/>
          </w:rPr>
        </w:r>
        <w:r w:rsidR="00AC5392" w:rsidRPr="00AC5392">
          <w:rPr>
            <w:b w:val="0"/>
          </w:rPr>
          <w:fldChar w:fldCharType="separate"/>
        </w:r>
        <w:r w:rsidR="00AC5392" w:rsidRPr="00AC5392">
          <w:rPr>
            <w:b w:val="0"/>
          </w:rPr>
          <w:t>1139</w:t>
        </w:r>
        <w:r w:rsidR="00AC5392" w:rsidRPr="00AC5392">
          <w:rPr>
            <w:b w:val="0"/>
          </w:rPr>
          <w:fldChar w:fldCharType="end"/>
        </w:r>
      </w:hyperlink>
    </w:p>
    <w:p w14:paraId="73841133" w14:textId="4FC5ECEC" w:rsidR="00AC5392" w:rsidRDefault="001542D1">
      <w:pPr>
        <w:pStyle w:val="TOC6"/>
        <w:rPr>
          <w:rFonts w:asciiTheme="minorHAnsi" w:eastAsiaTheme="minorEastAsia" w:hAnsiTheme="minorHAnsi" w:cstheme="minorBidi"/>
          <w:b w:val="0"/>
          <w:kern w:val="2"/>
          <w:szCs w:val="24"/>
          <w:lang w:eastAsia="en-AU"/>
          <w14:ligatures w14:val="standardContextual"/>
        </w:rPr>
      </w:pPr>
      <w:hyperlink w:anchor="_Toc185515563" w:history="1">
        <w:r w:rsidR="00AC5392" w:rsidRPr="00533B68">
          <w:t>Schedule 6</w:t>
        </w:r>
        <w:r w:rsidR="00AC5392">
          <w:rPr>
            <w:rFonts w:asciiTheme="minorHAnsi" w:eastAsiaTheme="minorEastAsia" w:hAnsiTheme="minorHAnsi" w:cstheme="minorBidi"/>
            <w:b w:val="0"/>
            <w:kern w:val="2"/>
            <w:szCs w:val="24"/>
            <w:lang w:eastAsia="en-AU"/>
            <w14:ligatures w14:val="standardContextual"/>
          </w:rPr>
          <w:tab/>
        </w:r>
        <w:r w:rsidR="00AC5392" w:rsidRPr="00533B68">
          <w:t>Corporations Rules</w:t>
        </w:r>
        <w:r w:rsidR="00AC5392">
          <w:tab/>
        </w:r>
        <w:r w:rsidR="00AC5392" w:rsidRPr="00AC5392">
          <w:rPr>
            <w:b w:val="0"/>
            <w:sz w:val="20"/>
          </w:rPr>
          <w:fldChar w:fldCharType="begin"/>
        </w:r>
        <w:r w:rsidR="00AC5392" w:rsidRPr="00AC5392">
          <w:rPr>
            <w:b w:val="0"/>
            <w:sz w:val="20"/>
          </w:rPr>
          <w:instrText xml:space="preserve"> PAGEREF _Toc185515563 \h </w:instrText>
        </w:r>
        <w:r w:rsidR="00AC5392" w:rsidRPr="00AC5392">
          <w:rPr>
            <w:b w:val="0"/>
            <w:sz w:val="20"/>
          </w:rPr>
        </w:r>
        <w:r w:rsidR="00AC5392" w:rsidRPr="00AC5392">
          <w:rPr>
            <w:b w:val="0"/>
            <w:sz w:val="20"/>
          </w:rPr>
          <w:fldChar w:fldCharType="separate"/>
        </w:r>
        <w:r w:rsidR="00AC5392" w:rsidRPr="00AC5392">
          <w:rPr>
            <w:b w:val="0"/>
            <w:sz w:val="20"/>
          </w:rPr>
          <w:t>1144</w:t>
        </w:r>
        <w:r w:rsidR="00AC5392" w:rsidRPr="00AC5392">
          <w:rPr>
            <w:b w:val="0"/>
            <w:sz w:val="20"/>
          </w:rPr>
          <w:fldChar w:fldCharType="end"/>
        </w:r>
      </w:hyperlink>
    </w:p>
    <w:p w14:paraId="2C94C093" w14:textId="3EAA820B"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64" w:history="1">
        <w:r w:rsidR="00AC5392" w:rsidRPr="00533B68">
          <w:t>Part 6.1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Corporations Rules—preliminary</w:t>
        </w:r>
        <w:r w:rsidR="00AC5392">
          <w:tab/>
        </w:r>
        <w:r w:rsidR="00AC5392" w:rsidRPr="00AC5392">
          <w:rPr>
            <w:b w:val="0"/>
          </w:rPr>
          <w:fldChar w:fldCharType="begin"/>
        </w:r>
        <w:r w:rsidR="00AC5392" w:rsidRPr="00AC5392">
          <w:rPr>
            <w:b w:val="0"/>
          </w:rPr>
          <w:instrText xml:space="preserve"> PAGEREF _Toc185515564 \h </w:instrText>
        </w:r>
        <w:r w:rsidR="00AC5392" w:rsidRPr="00AC5392">
          <w:rPr>
            <w:b w:val="0"/>
          </w:rPr>
        </w:r>
        <w:r w:rsidR="00AC5392" w:rsidRPr="00AC5392">
          <w:rPr>
            <w:b w:val="0"/>
          </w:rPr>
          <w:fldChar w:fldCharType="separate"/>
        </w:r>
        <w:r w:rsidR="00AC5392" w:rsidRPr="00AC5392">
          <w:rPr>
            <w:b w:val="0"/>
          </w:rPr>
          <w:t>1144</w:t>
        </w:r>
        <w:r w:rsidR="00AC5392" w:rsidRPr="00AC5392">
          <w:rPr>
            <w:b w:val="0"/>
          </w:rPr>
          <w:fldChar w:fldCharType="end"/>
        </w:r>
      </w:hyperlink>
    </w:p>
    <w:p w14:paraId="61AC825F" w14:textId="35FD57B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65" w:history="1">
        <w:r w:rsidRPr="00533B68">
          <w:t>1.1</w:t>
        </w:r>
        <w:r>
          <w:rPr>
            <w:rFonts w:asciiTheme="minorHAnsi" w:eastAsiaTheme="minorEastAsia" w:hAnsiTheme="minorHAnsi" w:cstheme="minorBidi"/>
            <w:kern w:val="2"/>
            <w:sz w:val="24"/>
            <w:szCs w:val="24"/>
            <w:lang w:eastAsia="en-AU"/>
            <w14:ligatures w14:val="standardContextual"/>
          </w:rPr>
          <w:tab/>
        </w:r>
        <w:r w:rsidRPr="00533B68">
          <w:t>Name of rules</w:t>
        </w:r>
        <w:r>
          <w:tab/>
        </w:r>
        <w:r>
          <w:fldChar w:fldCharType="begin"/>
        </w:r>
        <w:r>
          <w:instrText xml:space="preserve"> PAGEREF _Toc185515565 \h </w:instrText>
        </w:r>
        <w:r>
          <w:fldChar w:fldCharType="separate"/>
        </w:r>
        <w:r>
          <w:t>1144</w:t>
        </w:r>
        <w:r>
          <w:fldChar w:fldCharType="end"/>
        </w:r>
      </w:hyperlink>
    </w:p>
    <w:p w14:paraId="32124E7B" w14:textId="7FF0D6B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66" w:history="1">
        <w:r w:rsidRPr="00533B68">
          <w:t>1.2</w:t>
        </w:r>
        <w:r>
          <w:tab/>
        </w:r>
        <w:r>
          <w:tab/>
        </w:r>
        <w:r>
          <w:fldChar w:fldCharType="begin"/>
        </w:r>
        <w:r>
          <w:instrText xml:space="preserve"> PAGEREF _Toc185515566 \h </w:instrText>
        </w:r>
        <w:r>
          <w:fldChar w:fldCharType="separate"/>
        </w:r>
        <w:r>
          <w:t>1144</w:t>
        </w:r>
        <w:r>
          <w:fldChar w:fldCharType="end"/>
        </w:r>
      </w:hyperlink>
    </w:p>
    <w:p w14:paraId="0359819B" w14:textId="62A0545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67" w:history="1">
        <w:r w:rsidRPr="00533B68">
          <w:t>1.3</w:t>
        </w:r>
        <w:r>
          <w:rPr>
            <w:rFonts w:asciiTheme="minorHAnsi" w:eastAsiaTheme="minorEastAsia" w:hAnsiTheme="minorHAnsi" w:cstheme="minorBidi"/>
            <w:kern w:val="2"/>
            <w:sz w:val="24"/>
            <w:szCs w:val="24"/>
            <w:lang w:eastAsia="en-AU"/>
            <w14:ligatures w14:val="standardContextual"/>
          </w:rPr>
          <w:tab/>
        </w:r>
        <w:r w:rsidRPr="00533B68">
          <w:t>Application of sch 6 and provisions of these rules</w:t>
        </w:r>
        <w:r>
          <w:tab/>
        </w:r>
        <w:r>
          <w:fldChar w:fldCharType="begin"/>
        </w:r>
        <w:r>
          <w:instrText xml:space="preserve"> PAGEREF _Toc185515567 \h </w:instrText>
        </w:r>
        <w:r>
          <w:fldChar w:fldCharType="separate"/>
        </w:r>
        <w:r>
          <w:t>1144</w:t>
        </w:r>
        <w:r>
          <w:fldChar w:fldCharType="end"/>
        </w:r>
      </w:hyperlink>
    </w:p>
    <w:p w14:paraId="1BCDBE46" w14:textId="3BCF674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68" w:history="1">
        <w:r w:rsidRPr="00533B68">
          <w:t>1.4</w:t>
        </w:r>
        <w:r>
          <w:rPr>
            <w:rFonts w:asciiTheme="minorHAnsi" w:eastAsiaTheme="minorEastAsia" w:hAnsiTheme="minorHAnsi" w:cstheme="minorBidi"/>
            <w:kern w:val="2"/>
            <w:sz w:val="24"/>
            <w:szCs w:val="24"/>
            <w:lang w:eastAsia="en-AU"/>
            <w14:ligatures w14:val="standardContextual"/>
          </w:rPr>
          <w:tab/>
        </w:r>
        <w:r w:rsidRPr="00533B68">
          <w:t>Terms used in Corporations Act</w:t>
        </w:r>
        <w:r>
          <w:tab/>
        </w:r>
        <w:r>
          <w:fldChar w:fldCharType="begin"/>
        </w:r>
        <w:r>
          <w:instrText xml:space="preserve"> PAGEREF _Toc185515568 \h </w:instrText>
        </w:r>
        <w:r>
          <w:fldChar w:fldCharType="separate"/>
        </w:r>
        <w:r>
          <w:t>1145</w:t>
        </w:r>
        <w:r>
          <w:fldChar w:fldCharType="end"/>
        </w:r>
      </w:hyperlink>
    </w:p>
    <w:p w14:paraId="3F09484A" w14:textId="1EB96C4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69" w:history="1">
        <w:r w:rsidRPr="00533B68">
          <w:t>1.5</w:t>
        </w:r>
        <w:r>
          <w:rPr>
            <w:rFonts w:asciiTheme="minorHAnsi" w:eastAsiaTheme="minorEastAsia" w:hAnsiTheme="minorHAnsi" w:cstheme="minorBidi"/>
            <w:kern w:val="2"/>
            <w:sz w:val="24"/>
            <w:szCs w:val="24"/>
            <w:lang w:eastAsia="en-AU"/>
            <w14:ligatures w14:val="standardContextual"/>
          </w:rPr>
          <w:tab/>
        </w:r>
        <w:r w:rsidRPr="00533B68">
          <w:t>Definitions—sch 6</w:t>
        </w:r>
        <w:r>
          <w:tab/>
        </w:r>
        <w:r>
          <w:fldChar w:fldCharType="begin"/>
        </w:r>
        <w:r>
          <w:instrText xml:space="preserve"> PAGEREF _Toc185515569 \h </w:instrText>
        </w:r>
        <w:r>
          <w:fldChar w:fldCharType="separate"/>
        </w:r>
        <w:r>
          <w:t>1146</w:t>
        </w:r>
        <w:r>
          <w:fldChar w:fldCharType="end"/>
        </w:r>
      </w:hyperlink>
    </w:p>
    <w:p w14:paraId="622715F3" w14:textId="4A7AB73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0" w:history="1">
        <w:r w:rsidRPr="00533B68">
          <w:t>1.6</w:t>
        </w:r>
        <w:r>
          <w:rPr>
            <w:rFonts w:asciiTheme="minorHAnsi" w:eastAsiaTheme="minorEastAsia" w:hAnsiTheme="minorHAnsi" w:cstheme="minorBidi"/>
            <w:kern w:val="2"/>
            <w:sz w:val="24"/>
            <w:szCs w:val="24"/>
            <w:lang w:eastAsia="en-AU"/>
            <w14:ligatures w14:val="standardContextual"/>
          </w:rPr>
          <w:tab/>
        </w:r>
        <w:r w:rsidRPr="00533B68">
          <w:t>References to rules</w:t>
        </w:r>
        <w:r>
          <w:tab/>
        </w:r>
        <w:r>
          <w:fldChar w:fldCharType="begin"/>
        </w:r>
        <w:r>
          <w:instrText xml:space="preserve"> PAGEREF _Toc185515570 \h </w:instrText>
        </w:r>
        <w:r>
          <w:fldChar w:fldCharType="separate"/>
        </w:r>
        <w:r>
          <w:t>1147</w:t>
        </w:r>
        <w:r>
          <w:fldChar w:fldCharType="end"/>
        </w:r>
      </w:hyperlink>
    </w:p>
    <w:p w14:paraId="1081E7AB" w14:textId="60D32B9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1" w:history="1">
        <w:r w:rsidRPr="00533B68">
          <w:t>1.7</w:t>
        </w:r>
        <w:r>
          <w:rPr>
            <w:rFonts w:asciiTheme="minorHAnsi" w:eastAsiaTheme="minorEastAsia" w:hAnsiTheme="minorHAnsi" w:cstheme="minorBidi"/>
            <w:kern w:val="2"/>
            <w:sz w:val="24"/>
            <w:szCs w:val="24"/>
            <w:lang w:eastAsia="en-AU"/>
            <w14:ligatures w14:val="standardContextual"/>
          </w:rPr>
          <w:tab/>
        </w:r>
        <w:r w:rsidRPr="00533B68">
          <w:t>Substantial compliance with forms</w:t>
        </w:r>
        <w:r>
          <w:tab/>
        </w:r>
        <w:r>
          <w:fldChar w:fldCharType="begin"/>
        </w:r>
        <w:r>
          <w:instrText xml:space="preserve"> PAGEREF _Toc185515571 \h </w:instrText>
        </w:r>
        <w:r>
          <w:fldChar w:fldCharType="separate"/>
        </w:r>
        <w:r>
          <w:t>1147</w:t>
        </w:r>
        <w:r>
          <w:fldChar w:fldCharType="end"/>
        </w:r>
      </w:hyperlink>
    </w:p>
    <w:p w14:paraId="62A13D2C" w14:textId="203B462D"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572" w:history="1">
        <w:r w:rsidRPr="00533B68">
          <w:t>1.8</w:t>
        </w:r>
        <w:r>
          <w:rPr>
            <w:rFonts w:asciiTheme="minorHAnsi" w:eastAsiaTheme="minorEastAsia" w:hAnsiTheme="minorHAnsi" w:cstheme="minorBidi"/>
            <w:kern w:val="2"/>
            <w:sz w:val="24"/>
            <w:szCs w:val="24"/>
            <w:lang w:eastAsia="en-AU"/>
            <w14:ligatures w14:val="standardContextual"/>
          </w:rPr>
          <w:tab/>
        </w:r>
        <w:r w:rsidRPr="00533B68">
          <w:t>Court’s power to give directions</w:t>
        </w:r>
        <w:r>
          <w:tab/>
        </w:r>
        <w:r>
          <w:fldChar w:fldCharType="begin"/>
        </w:r>
        <w:r>
          <w:instrText xml:space="preserve"> PAGEREF _Toc185515572 \h </w:instrText>
        </w:r>
        <w:r>
          <w:fldChar w:fldCharType="separate"/>
        </w:r>
        <w:r>
          <w:t>1147</w:t>
        </w:r>
        <w:r>
          <w:fldChar w:fldCharType="end"/>
        </w:r>
      </w:hyperlink>
    </w:p>
    <w:p w14:paraId="5EB4A7B6" w14:textId="1CFFE06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3" w:history="1">
        <w:r w:rsidRPr="00533B68">
          <w:t>1.9</w:t>
        </w:r>
        <w:r>
          <w:rPr>
            <w:rFonts w:asciiTheme="minorHAnsi" w:eastAsiaTheme="minorEastAsia" w:hAnsiTheme="minorHAnsi" w:cstheme="minorBidi"/>
            <w:kern w:val="2"/>
            <w:sz w:val="24"/>
            <w:szCs w:val="24"/>
            <w:lang w:eastAsia="en-AU"/>
            <w14:ligatures w14:val="standardContextual"/>
          </w:rPr>
          <w:tab/>
        </w:r>
        <w:r w:rsidRPr="00533B68">
          <w:t>Calculation of time</w:t>
        </w:r>
        <w:r>
          <w:tab/>
        </w:r>
        <w:r>
          <w:fldChar w:fldCharType="begin"/>
        </w:r>
        <w:r>
          <w:instrText xml:space="preserve"> PAGEREF _Toc185515573 \h </w:instrText>
        </w:r>
        <w:r>
          <w:fldChar w:fldCharType="separate"/>
        </w:r>
        <w:r>
          <w:t>1147</w:t>
        </w:r>
        <w:r>
          <w:fldChar w:fldCharType="end"/>
        </w:r>
      </w:hyperlink>
    </w:p>
    <w:p w14:paraId="5392CC14" w14:textId="1F51724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4" w:history="1">
        <w:r w:rsidRPr="00533B68">
          <w:t>1.10</w:t>
        </w:r>
        <w:r>
          <w:rPr>
            <w:rFonts w:asciiTheme="minorHAnsi" w:eastAsiaTheme="minorEastAsia" w:hAnsiTheme="minorHAnsi" w:cstheme="minorBidi"/>
            <w:kern w:val="2"/>
            <w:sz w:val="24"/>
            <w:szCs w:val="24"/>
            <w:lang w:eastAsia="en-AU"/>
            <w14:ligatures w14:val="standardContextual"/>
          </w:rPr>
          <w:tab/>
        </w:r>
        <w:r w:rsidRPr="00533B68">
          <w:t>Extending and shortening of time</w:t>
        </w:r>
        <w:r>
          <w:tab/>
        </w:r>
        <w:r>
          <w:fldChar w:fldCharType="begin"/>
        </w:r>
        <w:r>
          <w:instrText xml:space="preserve"> PAGEREF _Toc185515574 \h </w:instrText>
        </w:r>
        <w:r>
          <w:fldChar w:fldCharType="separate"/>
        </w:r>
        <w:r>
          <w:t>1148</w:t>
        </w:r>
        <w:r>
          <w:fldChar w:fldCharType="end"/>
        </w:r>
      </w:hyperlink>
    </w:p>
    <w:p w14:paraId="41AC08BC" w14:textId="4277C13A"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75" w:history="1">
        <w:r w:rsidR="00AC5392" w:rsidRPr="00533B68">
          <w:t>Part 6.2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Proceedings generally</w:t>
        </w:r>
        <w:r w:rsidR="00AC5392">
          <w:tab/>
        </w:r>
        <w:r w:rsidR="00AC5392" w:rsidRPr="00AC5392">
          <w:rPr>
            <w:b w:val="0"/>
          </w:rPr>
          <w:fldChar w:fldCharType="begin"/>
        </w:r>
        <w:r w:rsidR="00AC5392" w:rsidRPr="00AC5392">
          <w:rPr>
            <w:b w:val="0"/>
          </w:rPr>
          <w:instrText xml:space="preserve"> PAGEREF _Toc185515575 \h </w:instrText>
        </w:r>
        <w:r w:rsidR="00AC5392" w:rsidRPr="00AC5392">
          <w:rPr>
            <w:b w:val="0"/>
          </w:rPr>
        </w:r>
        <w:r w:rsidR="00AC5392" w:rsidRPr="00AC5392">
          <w:rPr>
            <w:b w:val="0"/>
          </w:rPr>
          <w:fldChar w:fldCharType="separate"/>
        </w:r>
        <w:r w:rsidR="00AC5392" w:rsidRPr="00AC5392">
          <w:rPr>
            <w:b w:val="0"/>
          </w:rPr>
          <w:t>1149</w:t>
        </w:r>
        <w:r w:rsidR="00AC5392" w:rsidRPr="00AC5392">
          <w:rPr>
            <w:b w:val="0"/>
          </w:rPr>
          <w:fldChar w:fldCharType="end"/>
        </w:r>
      </w:hyperlink>
    </w:p>
    <w:p w14:paraId="7FD7FC98" w14:textId="129A5FA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6" w:history="1">
        <w:r w:rsidRPr="00533B68">
          <w:t>2.1</w:t>
        </w:r>
        <w:r>
          <w:rPr>
            <w:rFonts w:asciiTheme="minorHAnsi" w:eastAsiaTheme="minorEastAsia" w:hAnsiTheme="minorHAnsi" w:cstheme="minorBidi"/>
            <w:kern w:val="2"/>
            <w:sz w:val="24"/>
            <w:szCs w:val="24"/>
            <w:lang w:eastAsia="en-AU"/>
            <w14:ligatures w14:val="standardContextual"/>
          </w:rPr>
          <w:tab/>
        </w:r>
        <w:r w:rsidRPr="00533B68">
          <w:t>Title of documents in a proceeding</w:t>
        </w:r>
        <w:r>
          <w:tab/>
        </w:r>
        <w:r>
          <w:fldChar w:fldCharType="begin"/>
        </w:r>
        <w:r>
          <w:instrText xml:space="preserve"> PAGEREF _Toc185515576 \h </w:instrText>
        </w:r>
        <w:r>
          <w:fldChar w:fldCharType="separate"/>
        </w:r>
        <w:r>
          <w:t>1149</w:t>
        </w:r>
        <w:r>
          <w:fldChar w:fldCharType="end"/>
        </w:r>
      </w:hyperlink>
    </w:p>
    <w:p w14:paraId="1C024D6E" w14:textId="4754F45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7" w:history="1">
        <w:r w:rsidRPr="00533B68">
          <w:t>2.2</w:t>
        </w:r>
        <w:r>
          <w:rPr>
            <w:rFonts w:asciiTheme="minorHAnsi" w:eastAsiaTheme="minorEastAsia" w:hAnsiTheme="minorHAnsi" w:cstheme="minorBidi"/>
            <w:kern w:val="2"/>
            <w:sz w:val="24"/>
            <w:szCs w:val="24"/>
            <w:lang w:eastAsia="en-AU"/>
            <w14:ligatures w14:val="standardContextual"/>
          </w:rPr>
          <w:tab/>
        </w:r>
        <w:r w:rsidRPr="00533B68">
          <w:t>Originating process and interlocutory process</w:t>
        </w:r>
        <w:r>
          <w:tab/>
        </w:r>
        <w:r>
          <w:fldChar w:fldCharType="begin"/>
        </w:r>
        <w:r>
          <w:instrText xml:space="preserve"> PAGEREF _Toc185515577 \h </w:instrText>
        </w:r>
        <w:r>
          <w:fldChar w:fldCharType="separate"/>
        </w:r>
        <w:r>
          <w:t>1149</w:t>
        </w:r>
        <w:r>
          <w:fldChar w:fldCharType="end"/>
        </w:r>
      </w:hyperlink>
    </w:p>
    <w:p w14:paraId="1F613254" w14:textId="212EA9E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8" w:history="1">
        <w:r w:rsidRPr="00533B68">
          <w:t>2.3</w:t>
        </w:r>
        <w:r>
          <w:rPr>
            <w:rFonts w:asciiTheme="minorHAnsi" w:eastAsiaTheme="minorEastAsia" w:hAnsiTheme="minorHAnsi" w:cstheme="minorBidi"/>
            <w:kern w:val="2"/>
            <w:sz w:val="24"/>
            <w:szCs w:val="24"/>
            <w:lang w:eastAsia="en-AU"/>
            <w14:ligatures w14:val="standardContextual"/>
          </w:rPr>
          <w:tab/>
        </w:r>
        <w:r w:rsidRPr="00533B68">
          <w:t>Setting of hearing</w:t>
        </w:r>
        <w:r>
          <w:tab/>
        </w:r>
        <w:r>
          <w:fldChar w:fldCharType="begin"/>
        </w:r>
        <w:r>
          <w:instrText xml:space="preserve"> PAGEREF _Toc185515578 \h </w:instrText>
        </w:r>
        <w:r>
          <w:fldChar w:fldCharType="separate"/>
        </w:r>
        <w:r>
          <w:t>1150</w:t>
        </w:r>
        <w:r>
          <w:fldChar w:fldCharType="end"/>
        </w:r>
      </w:hyperlink>
    </w:p>
    <w:p w14:paraId="6ED49149" w14:textId="1639369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79" w:history="1">
        <w:r w:rsidRPr="00533B68">
          <w:t>2.4</w:t>
        </w:r>
        <w:r>
          <w:rPr>
            <w:rFonts w:asciiTheme="minorHAnsi" w:eastAsiaTheme="minorEastAsia" w:hAnsiTheme="minorHAnsi" w:cstheme="minorBidi"/>
            <w:kern w:val="2"/>
            <w:sz w:val="24"/>
            <w:szCs w:val="24"/>
            <w:lang w:eastAsia="en-AU"/>
            <w14:ligatures w14:val="standardContextual"/>
          </w:rPr>
          <w:tab/>
        </w:r>
        <w:r w:rsidRPr="00533B68">
          <w:t>Supporting affidavits</w:t>
        </w:r>
        <w:r>
          <w:tab/>
        </w:r>
        <w:r>
          <w:fldChar w:fldCharType="begin"/>
        </w:r>
        <w:r>
          <w:instrText xml:space="preserve"> PAGEREF _Toc185515579 \h </w:instrText>
        </w:r>
        <w:r>
          <w:fldChar w:fldCharType="separate"/>
        </w:r>
        <w:r>
          <w:t>1150</w:t>
        </w:r>
        <w:r>
          <w:fldChar w:fldCharType="end"/>
        </w:r>
      </w:hyperlink>
    </w:p>
    <w:p w14:paraId="6BD69660" w14:textId="2BF0551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0" w:history="1">
        <w:r w:rsidRPr="00533B68">
          <w:t>2.4A</w:t>
        </w:r>
        <w:r>
          <w:rPr>
            <w:rFonts w:asciiTheme="minorHAnsi" w:eastAsiaTheme="minorEastAsia" w:hAnsiTheme="minorHAnsi" w:cstheme="minorBidi"/>
            <w:kern w:val="2"/>
            <w:sz w:val="24"/>
            <w:szCs w:val="24"/>
            <w:lang w:eastAsia="en-AU"/>
            <w14:ligatures w14:val="standardContextual"/>
          </w:rPr>
          <w:tab/>
        </w:r>
        <w:r w:rsidRPr="00533B68">
          <w:t>Application for order setting aside statutory demand (Corporations Act, s 459G)</w:t>
        </w:r>
        <w:r>
          <w:tab/>
        </w:r>
        <w:r>
          <w:fldChar w:fldCharType="begin"/>
        </w:r>
        <w:r>
          <w:instrText xml:space="preserve"> PAGEREF _Toc185515580 \h </w:instrText>
        </w:r>
        <w:r>
          <w:fldChar w:fldCharType="separate"/>
        </w:r>
        <w:r>
          <w:t>1151</w:t>
        </w:r>
        <w:r>
          <w:fldChar w:fldCharType="end"/>
        </w:r>
      </w:hyperlink>
    </w:p>
    <w:p w14:paraId="2253E0A1" w14:textId="3DFD0E1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1" w:history="1">
        <w:r w:rsidRPr="00533B68">
          <w:t>2.5</w:t>
        </w:r>
        <w:r>
          <w:rPr>
            <w:rFonts w:asciiTheme="minorHAnsi" w:eastAsiaTheme="minorEastAsia" w:hAnsiTheme="minorHAnsi" w:cstheme="minorBidi"/>
            <w:kern w:val="2"/>
            <w:sz w:val="24"/>
            <w:szCs w:val="24"/>
            <w:lang w:eastAsia="en-AU"/>
            <w14:ligatures w14:val="standardContextual"/>
          </w:rPr>
          <w:tab/>
        </w:r>
        <w:r w:rsidRPr="00533B68">
          <w:t>Affidavits made by creditors</w:t>
        </w:r>
        <w:r>
          <w:tab/>
        </w:r>
        <w:r>
          <w:fldChar w:fldCharType="begin"/>
        </w:r>
        <w:r>
          <w:instrText xml:space="preserve"> PAGEREF _Toc185515581 \h </w:instrText>
        </w:r>
        <w:r>
          <w:fldChar w:fldCharType="separate"/>
        </w:r>
        <w:r>
          <w:t>1151</w:t>
        </w:r>
        <w:r>
          <w:fldChar w:fldCharType="end"/>
        </w:r>
      </w:hyperlink>
    </w:p>
    <w:p w14:paraId="06DD4ECB" w14:textId="3012BE8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2" w:history="1">
        <w:r w:rsidRPr="00533B68">
          <w:t>2.6</w:t>
        </w:r>
        <w:r>
          <w:rPr>
            <w:rFonts w:asciiTheme="minorHAnsi" w:eastAsiaTheme="minorEastAsia" w:hAnsiTheme="minorHAnsi" w:cstheme="minorBidi"/>
            <w:kern w:val="2"/>
            <w:sz w:val="24"/>
            <w:szCs w:val="24"/>
            <w:lang w:eastAsia="en-AU"/>
            <w14:ligatures w14:val="standardContextual"/>
          </w:rPr>
          <w:tab/>
        </w:r>
        <w:r w:rsidRPr="00533B68">
          <w:t>Form of affidavits</w:t>
        </w:r>
        <w:r>
          <w:tab/>
        </w:r>
        <w:r>
          <w:fldChar w:fldCharType="begin"/>
        </w:r>
        <w:r>
          <w:instrText xml:space="preserve"> PAGEREF _Toc185515582 \h </w:instrText>
        </w:r>
        <w:r>
          <w:fldChar w:fldCharType="separate"/>
        </w:r>
        <w:r>
          <w:t>1152</w:t>
        </w:r>
        <w:r>
          <w:fldChar w:fldCharType="end"/>
        </w:r>
      </w:hyperlink>
    </w:p>
    <w:p w14:paraId="73246E1A" w14:textId="5A234A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3" w:history="1">
        <w:r w:rsidRPr="00533B68">
          <w:t>2.7</w:t>
        </w:r>
        <w:r>
          <w:rPr>
            <w:rFonts w:asciiTheme="minorHAnsi" w:eastAsiaTheme="minorEastAsia" w:hAnsiTheme="minorHAnsi" w:cstheme="minorBidi"/>
            <w:kern w:val="2"/>
            <w:sz w:val="24"/>
            <w:szCs w:val="24"/>
            <w:lang w:eastAsia="en-AU"/>
            <w14:ligatures w14:val="standardContextual"/>
          </w:rPr>
          <w:tab/>
        </w:r>
        <w:r w:rsidRPr="00533B68">
          <w:t>Service of originating process or interlocutory process and supporting affidavit</w:t>
        </w:r>
        <w:r>
          <w:tab/>
        </w:r>
        <w:r>
          <w:fldChar w:fldCharType="begin"/>
        </w:r>
        <w:r>
          <w:instrText xml:space="preserve"> PAGEREF _Toc185515583 \h </w:instrText>
        </w:r>
        <w:r>
          <w:fldChar w:fldCharType="separate"/>
        </w:r>
        <w:r>
          <w:t>1152</w:t>
        </w:r>
        <w:r>
          <w:fldChar w:fldCharType="end"/>
        </w:r>
      </w:hyperlink>
    </w:p>
    <w:p w14:paraId="57A0C9AA" w14:textId="16EE296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4" w:history="1">
        <w:r w:rsidRPr="00533B68">
          <w:t>2.8</w:t>
        </w:r>
        <w:r>
          <w:rPr>
            <w:rFonts w:asciiTheme="minorHAnsi" w:eastAsiaTheme="minorEastAsia" w:hAnsiTheme="minorHAnsi" w:cstheme="minorBidi"/>
            <w:kern w:val="2"/>
            <w:sz w:val="24"/>
            <w:szCs w:val="24"/>
            <w:lang w:eastAsia="en-AU"/>
            <w14:ligatures w14:val="standardContextual"/>
          </w:rPr>
          <w:tab/>
        </w:r>
        <w:r w:rsidRPr="00533B68">
          <w:t>Notice of certain applications to be given to ASIC</w:t>
        </w:r>
        <w:r>
          <w:tab/>
        </w:r>
        <w:r>
          <w:fldChar w:fldCharType="begin"/>
        </w:r>
        <w:r>
          <w:instrText xml:space="preserve"> PAGEREF _Toc185515584 \h </w:instrText>
        </w:r>
        <w:r>
          <w:fldChar w:fldCharType="separate"/>
        </w:r>
        <w:r>
          <w:t>1153</w:t>
        </w:r>
        <w:r>
          <w:fldChar w:fldCharType="end"/>
        </w:r>
      </w:hyperlink>
    </w:p>
    <w:p w14:paraId="4E656017" w14:textId="49B8306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5" w:history="1">
        <w:r w:rsidRPr="00533B68">
          <w:t>2.9</w:t>
        </w:r>
        <w:r>
          <w:rPr>
            <w:rFonts w:asciiTheme="minorHAnsi" w:eastAsiaTheme="minorEastAsia" w:hAnsiTheme="minorHAnsi" w:cstheme="minorBidi"/>
            <w:kern w:val="2"/>
            <w:sz w:val="24"/>
            <w:szCs w:val="24"/>
            <w:lang w:eastAsia="en-AU"/>
            <w14:ligatures w14:val="standardContextual"/>
          </w:rPr>
          <w:tab/>
        </w:r>
        <w:r w:rsidRPr="00533B68">
          <w:t>Notice of appearance (Corporations Act, s 465C)</w:t>
        </w:r>
        <w:r>
          <w:tab/>
        </w:r>
        <w:r>
          <w:fldChar w:fldCharType="begin"/>
        </w:r>
        <w:r>
          <w:instrText xml:space="preserve"> PAGEREF _Toc185515585 \h </w:instrText>
        </w:r>
        <w:r>
          <w:fldChar w:fldCharType="separate"/>
        </w:r>
        <w:r>
          <w:t>1154</w:t>
        </w:r>
        <w:r>
          <w:fldChar w:fldCharType="end"/>
        </w:r>
      </w:hyperlink>
    </w:p>
    <w:p w14:paraId="22242A53" w14:textId="3A250E1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6" w:history="1">
        <w:r w:rsidRPr="00533B68">
          <w:t>2.10</w:t>
        </w:r>
        <w:r>
          <w:rPr>
            <w:rFonts w:asciiTheme="minorHAnsi" w:eastAsiaTheme="minorEastAsia" w:hAnsiTheme="minorHAnsi" w:cstheme="minorBidi"/>
            <w:kern w:val="2"/>
            <w:sz w:val="24"/>
            <w:szCs w:val="24"/>
            <w:lang w:eastAsia="en-AU"/>
            <w14:ligatures w14:val="standardContextual"/>
          </w:rPr>
          <w:tab/>
        </w:r>
        <w:r w:rsidRPr="00533B68">
          <w:t>Intervention in proceeding by ASIC (Corporations Act, s 1330)</w:t>
        </w:r>
        <w:r>
          <w:tab/>
        </w:r>
        <w:r>
          <w:fldChar w:fldCharType="begin"/>
        </w:r>
        <w:r>
          <w:instrText xml:space="preserve"> PAGEREF _Toc185515586 \h </w:instrText>
        </w:r>
        <w:r>
          <w:fldChar w:fldCharType="separate"/>
        </w:r>
        <w:r>
          <w:t>1155</w:t>
        </w:r>
        <w:r>
          <w:fldChar w:fldCharType="end"/>
        </w:r>
      </w:hyperlink>
    </w:p>
    <w:p w14:paraId="60786F11" w14:textId="3A9B920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7" w:history="1">
        <w:r w:rsidRPr="00533B68">
          <w:t>2.12</w:t>
        </w:r>
        <w:r>
          <w:rPr>
            <w:rFonts w:asciiTheme="minorHAnsi" w:eastAsiaTheme="minorEastAsia" w:hAnsiTheme="minorHAnsi" w:cstheme="minorBidi"/>
            <w:kern w:val="2"/>
            <w:sz w:val="24"/>
            <w:szCs w:val="24"/>
            <w:lang w:eastAsia="en-AU"/>
            <w14:ligatures w14:val="standardContextual"/>
          </w:rPr>
          <w:tab/>
        </w:r>
        <w:r w:rsidRPr="00533B68">
          <w:t>Proof of publication</w:t>
        </w:r>
        <w:r>
          <w:tab/>
        </w:r>
        <w:r>
          <w:fldChar w:fldCharType="begin"/>
        </w:r>
        <w:r>
          <w:instrText xml:space="preserve"> PAGEREF _Toc185515587 \h </w:instrText>
        </w:r>
        <w:r>
          <w:fldChar w:fldCharType="separate"/>
        </w:r>
        <w:r>
          <w:t>1155</w:t>
        </w:r>
        <w:r>
          <w:fldChar w:fldCharType="end"/>
        </w:r>
      </w:hyperlink>
    </w:p>
    <w:p w14:paraId="0749D2DE" w14:textId="7D3DFD6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8" w:history="1">
        <w:r w:rsidRPr="00533B68">
          <w:t>2.13</w:t>
        </w:r>
        <w:r>
          <w:rPr>
            <w:rFonts w:asciiTheme="minorHAnsi" w:eastAsiaTheme="minorEastAsia" w:hAnsiTheme="minorHAnsi" w:cstheme="minorBidi"/>
            <w:kern w:val="2"/>
            <w:sz w:val="24"/>
            <w:szCs w:val="24"/>
            <w:lang w:eastAsia="en-AU"/>
            <w14:ligatures w14:val="standardContextual"/>
          </w:rPr>
          <w:tab/>
        </w:r>
        <w:r w:rsidRPr="00533B68">
          <w:t>Leave to creditor, contributory or officer to be heard</w:t>
        </w:r>
        <w:r>
          <w:tab/>
        </w:r>
        <w:r>
          <w:fldChar w:fldCharType="begin"/>
        </w:r>
        <w:r>
          <w:instrText xml:space="preserve"> PAGEREF _Toc185515588 \h </w:instrText>
        </w:r>
        <w:r>
          <w:fldChar w:fldCharType="separate"/>
        </w:r>
        <w:r>
          <w:t>1156</w:t>
        </w:r>
        <w:r>
          <w:fldChar w:fldCharType="end"/>
        </w:r>
      </w:hyperlink>
    </w:p>
    <w:p w14:paraId="362B5382" w14:textId="4E2FDAC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89" w:history="1">
        <w:r w:rsidRPr="00533B68">
          <w:t>2.14</w:t>
        </w:r>
        <w:r>
          <w:rPr>
            <w:rFonts w:asciiTheme="minorHAnsi" w:eastAsiaTheme="minorEastAsia" w:hAnsiTheme="minorHAnsi" w:cstheme="minorBidi"/>
            <w:kern w:val="2"/>
            <w:sz w:val="24"/>
            <w:szCs w:val="24"/>
            <w:lang w:eastAsia="en-AU"/>
            <w14:ligatures w14:val="standardContextual"/>
          </w:rPr>
          <w:tab/>
        </w:r>
        <w:r w:rsidRPr="00533B68">
          <w:t>Inquiry in relation to corporation’s debts etc</w:t>
        </w:r>
        <w:r>
          <w:tab/>
        </w:r>
        <w:r>
          <w:fldChar w:fldCharType="begin"/>
        </w:r>
        <w:r>
          <w:instrText xml:space="preserve"> PAGEREF _Toc185515589 \h </w:instrText>
        </w:r>
        <w:r>
          <w:fldChar w:fldCharType="separate"/>
        </w:r>
        <w:r>
          <w:t>1157</w:t>
        </w:r>
        <w:r>
          <w:fldChar w:fldCharType="end"/>
        </w:r>
      </w:hyperlink>
    </w:p>
    <w:p w14:paraId="372F794B" w14:textId="1CE89C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90" w:history="1">
        <w:r w:rsidRPr="00533B68">
          <w:t>2.15</w:t>
        </w:r>
        <w:r>
          <w:rPr>
            <w:rFonts w:asciiTheme="minorHAnsi" w:eastAsiaTheme="minorEastAsia" w:hAnsiTheme="minorHAnsi" w:cstheme="minorBidi"/>
            <w:kern w:val="2"/>
            <w:sz w:val="24"/>
            <w:szCs w:val="24"/>
            <w:lang w:eastAsia="en-AU"/>
            <w14:ligatures w14:val="standardContextual"/>
          </w:rPr>
          <w:tab/>
        </w:r>
        <w:r w:rsidRPr="00533B68">
          <w:t>Meetings ordered by the court</w:t>
        </w:r>
        <w:r>
          <w:tab/>
        </w:r>
        <w:r>
          <w:fldChar w:fldCharType="begin"/>
        </w:r>
        <w:r>
          <w:instrText xml:space="preserve"> PAGEREF _Toc185515590 \h </w:instrText>
        </w:r>
        <w:r>
          <w:fldChar w:fldCharType="separate"/>
        </w:r>
        <w:r>
          <w:t>1157</w:t>
        </w:r>
        <w:r>
          <w:fldChar w:fldCharType="end"/>
        </w:r>
      </w:hyperlink>
    </w:p>
    <w:p w14:paraId="334D0EA2" w14:textId="442F001A"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91" w:history="1">
        <w:r w:rsidR="00AC5392" w:rsidRPr="00533B68">
          <w:t>Part 6.3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Compromises and arrangements in relation to Part 5.1 bodies</w:t>
        </w:r>
        <w:r w:rsidR="00AC5392">
          <w:tab/>
        </w:r>
        <w:r w:rsidR="00AC5392" w:rsidRPr="00AC5392">
          <w:rPr>
            <w:b w:val="0"/>
          </w:rPr>
          <w:fldChar w:fldCharType="begin"/>
        </w:r>
        <w:r w:rsidR="00AC5392" w:rsidRPr="00AC5392">
          <w:rPr>
            <w:b w:val="0"/>
          </w:rPr>
          <w:instrText xml:space="preserve"> PAGEREF _Toc185515591 \h </w:instrText>
        </w:r>
        <w:r w:rsidR="00AC5392" w:rsidRPr="00AC5392">
          <w:rPr>
            <w:b w:val="0"/>
          </w:rPr>
        </w:r>
        <w:r w:rsidR="00AC5392" w:rsidRPr="00AC5392">
          <w:rPr>
            <w:b w:val="0"/>
          </w:rPr>
          <w:fldChar w:fldCharType="separate"/>
        </w:r>
        <w:r w:rsidR="00AC5392" w:rsidRPr="00AC5392">
          <w:rPr>
            <w:b w:val="0"/>
          </w:rPr>
          <w:t>1158</w:t>
        </w:r>
        <w:r w:rsidR="00AC5392" w:rsidRPr="00AC5392">
          <w:rPr>
            <w:b w:val="0"/>
          </w:rPr>
          <w:fldChar w:fldCharType="end"/>
        </w:r>
      </w:hyperlink>
    </w:p>
    <w:p w14:paraId="2E373545" w14:textId="22D400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92" w:history="1">
        <w:r w:rsidRPr="00533B68">
          <w:t>3.1</w:t>
        </w:r>
        <w:r>
          <w:rPr>
            <w:rFonts w:asciiTheme="minorHAnsi" w:eastAsiaTheme="minorEastAsia" w:hAnsiTheme="minorHAnsi" w:cstheme="minorBidi"/>
            <w:kern w:val="2"/>
            <w:sz w:val="24"/>
            <w:szCs w:val="24"/>
            <w:lang w:eastAsia="en-AU"/>
            <w14:ligatures w14:val="standardContextual"/>
          </w:rPr>
          <w:tab/>
        </w:r>
        <w:r w:rsidRPr="00533B68">
          <w:t>Application—pt 1.3</w:t>
        </w:r>
        <w:r>
          <w:tab/>
        </w:r>
        <w:r>
          <w:fldChar w:fldCharType="begin"/>
        </w:r>
        <w:r>
          <w:instrText xml:space="preserve"> PAGEREF _Toc185515592 \h </w:instrText>
        </w:r>
        <w:r>
          <w:fldChar w:fldCharType="separate"/>
        </w:r>
        <w:r>
          <w:t>1158</w:t>
        </w:r>
        <w:r>
          <w:fldChar w:fldCharType="end"/>
        </w:r>
      </w:hyperlink>
    </w:p>
    <w:p w14:paraId="1703586F" w14:textId="3A2F5EE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93" w:history="1">
        <w:r w:rsidRPr="00533B68">
          <w:t>3.2</w:t>
        </w:r>
        <w:r>
          <w:rPr>
            <w:rFonts w:asciiTheme="minorHAnsi" w:eastAsiaTheme="minorEastAsia" w:hAnsiTheme="minorHAnsi" w:cstheme="minorBidi"/>
            <w:kern w:val="2"/>
            <w:sz w:val="24"/>
            <w:szCs w:val="24"/>
            <w:lang w:eastAsia="en-AU"/>
            <w14:ligatures w14:val="standardContextual"/>
          </w:rPr>
          <w:tab/>
        </w:r>
        <w:r w:rsidRPr="00533B68">
          <w:t>Nomination of chairperson for meeting</w:t>
        </w:r>
        <w:r>
          <w:tab/>
        </w:r>
        <w:r>
          <w:fldChar w:fldCharType="begin"/>
        </w:r>
        <w:r>
          <w:instrText xml:space="preserve"> PAGEREF _Toc185515593 \h </w:instrText>
        </w:r>
        <w:r>
          <w:fldChar w:fldCharType="separate"/>
        </w:r>
        <w:r>
          <w:t>1158</w:t>
        </w:r>
        <w:r>
          <w:fldChar w:fldCharType="end"/>
        </w:r>
      </w:hyperlink>
    </w:p>
    <w:p w14:paraId="76644EEC" w14:textId="4658F1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94" w:history="1">
        <w:r w:rsidRPr="00533B68">
          <w:t>3.3</w:t>
        </w:r>
        <w:r>
          <w:rPr>
            <w:rFonts w:asciiTheme="minorHAnsi" w:eastAsiaTheme="minorEastAsia" w:hAnsiTheme="minorHAnsi" w:cstheme="minorBidi"/>
            <w:kern w:val="2"/>
            <w:sz w:val="24"/>
            <w:szCs w:val="24"/>
            <w:lang w:eastAsia="en-AU"/>
            <w14:ligatures w14:val="standardContextual"/>
          </w:rPr>
          <w:tab/>
        </w:r>
        <w:r w:rsidRPr="00533B68">
          <w:t>Order for meetings to identify proposed scheme</w:t>
        </w:r>
        <w:r>
          <w:tab/>
        </w:r>
        <w:r>
          <w:fldChar w:fldCharType="begin"/>
        </w:r>
        <w:r>
          <w:instrText xml:space="preserve"> PAGEREF _Toc185515594 \h </w:instrText>
        </w:r>
        <w:r>
          <w:fldChar w:fldCharType="separate"/>
        </w:r>
        <w:r>
          <w:t>1159</w:t>
        </w:r>
        <w:r>
          <w:fldChar w:fldCharType="end"/>
        </w:r>
      </w:hyperlink>
    </w:p>
    <w:p w14:paraId="0134A135" w14:textId="5D33BCB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95" w:history="1">
        <w:r w:rsidRPr="00533B68">
          <w:t>3.4</w:t>
        </w:r>
        <w:r>
          <w:rPr>
            <w:rFonts w:asciiTheme="minorHAnsi" w:eastAsiaTheme="minorEastAsia" w:hAnsiTheme="minorHAnsi" w:cstheme="minorBidi"/>
            <w:kern w:val="2"/>
            <w:sz w:val="24"/>
            <w:szCs w:val="24"/>
            <w:lang w:eastAsia="en-AU"/>
            <w14:ligatures w14:val="standardContextual"/>
          </w:rPr>
          <w:tab/>
        </w:r>
        <w:r w:rsidRPr="00533B68">
          <w:t>Notice of hearing (Corporations Act, s 411 (4) and s 413 (1))</w:t>
        </w:r>
        <w:r>
          <w:tab/>
        </w:r>
        <w:r>
          <w:fldChar w:fldCharType="begin"/>
        </w:r>
        <w:r>
          <w:instrText xml:space="preserve"> PAGEREF _Toc185515595 \h </w:instrText>
        </w:r>
        <w:r>
          <w:fldChar w:fldCharType="separate"/>
        </w:r>
        <w:r>
          <w:t>1159</w:t>
        </w:r>
        <w:r>
          <w:fldChar w:fldCharType="end"/>
        </w:r>
      </w:hyperlink>
    </w:p>
    <w:p w14:paraId="5B193044" w14:textId="24DAAC1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96" w:history="1">
        <w:r w:rsidRPr="00533B68">
          <w:t>3.5</w:t>
        </w:r>
        <w:r>
          <w:rPr>
            <w:rFonts w:asciiTheme="minorHAnsi" w:eastAsiaTheme="minorEastAsia" w:hAnsiTheme="minorHAnsi" w:cstheme="minorBidi"/>
            <w:kern w:val="2"/>
            <w:sz w:val="24"/>
            <w:szCs w:val="24"/>
            <w:lang w:eastAsia="en-AU"/>
            <w14:ligatures w14:val="standardContextual"/>
          </w:rPr>
          <w:tab/>
        </w:r>
        <w:r w:rsidRPr="00533B68">
          <w:t>Copy of order approving compromise or arrangement to be lodged with ASIC</w:t>
        </w:r>
        <w:r>
          <w:tab/>
        </w:r>
        <w:r>
          <w:fldChar w:fldCharType="begin"/>
        </w:r>
        <w:r>
          <w:instrText xml:space="preserve"> PAGEREF _Toc185515596 \h </w:instrText>
        </w:r>
        <w:r>
          <w:fldChar w:fldCharType="separate"/>
        </w:r>
        <w:r>
          <w:t>1160</w:t>
        </w:r>
        <w:r>
          <w:fldChar w:fldCharType="end"/>
        </w:r>
      </w:hyperlink>
    </w:p>
    <w:p w14:paraId="705D7B84" w14:textId="4AE435B7"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97" w:history="1">
        <w:r w:rsidR="00AC5392" w:rsidRPr="00533B68">
          <w:t>Part 6.4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Receivers and other controllers of corporation property (Corporations Act, pt 5.2)</w:t>
        </w:r>
        <w:r w:rsidR="00AC5392">
          <w:tab/>
        </w:r>
        <w:r w:rsidR="00AC5392" w:rsidRPr="00AC5392">
          <w:rPr>
            <w:b w:val="0"/>
          </w:rPr>
          <w:fldChar w:fldCharType="begin"/>
        </w:r>
        <w:r w:rsidR="00AC5392" w:rsidRPr="00AC5392">
          <w:rPr>
            <w:b w:val="0"/>
          </w:rPr>
          <w:instrText xml:space="preserve"> PAGEREF _Toc185515597 \h </w:instrText>
        </w:r>
        <w:r w:rsidR="00AC5392" w:rsidRPr="00AC5392">
          <w:rPr>
            <w:b w:val="0"/>
          </w:rPr>
        </w:r>
        <w:r w:rsidR="00AC5392" w:rsidRPr="00AC5392">
          <w:rPr>
            <w:b w:val="0"/>
          </w:rPr>
          <w:fldChar w:fldCharType="separate"/>
        </w:r>
        <w:r w:rsidR="00AC5392" w:rsidRPr="00AC5392">
          <w:rPr>
            <w:b w:val="0"/>
          </w:rPr>
          <w:t>1161</w:t>
        </w:r>
        <w:r w:rsidR="00AC5392" w:rsidRPr="00AC5392">
          <w:rPr>
            <w:b w:val="0"/>
          </w:rPr>
          <w:fldChar w:fldCharType="end"/>
        </w:r>
      </w:hyperlink>
    </w:p>
    <w:p w14:paraId="4D5861F3" w14:textId="7407D2E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598" w:history="1">
        <w:r w:rsidRPr="00533B68">
          <w:t>4.1</w:t>
        </w:r>
        <w:r>
          <w:rPr>
            <w:rFonts w:asciiTheme="minorHAnsi" w:eastAsiaTheme="minorEastAsia" w:hAnsiTheme="minorHAnsi" w:cstheme="minorBidi"/>
            <w:kern w:val="2"/>
            <w:sz w:val="24"/>
            <w:szCs w:val="24"/>
            <w:lang w:eastAsia="en-AU"/>
            <w14:ligatures w14:val="standardContextual"/>
          </w:rPr>
          <w:tab/>
        </w:r>
        <w:r w:rsidRPr="00533B68">
          <w:t>Inquiry into conduct of controller (Corporations Act, s 423)</w:t>
        </w:r>
        <w:r>
          <w:tab/>
        </w:r>
        <w:r>
          <w:fldChar w:fldCharType="begin"/>
        </w:r>
        <w:r>
          <w:instrText xml:space="preserve"> PAGEREF _Toc185515598 \h </w:instrText>
        </w:r>
        <w:r>
          <w:fldChar w:fldCharType="separate"/>
        </w:r>
        <w:r>
          <w:t>1161</w:t>
        </w:r>
        <w:r>
          <w:fldChar w:fldCharType="end"/>
        </w:r>
      </w:hyperlink>
    </w:p>
    <w:p w14:paraId="52B28FCD" w14:textId="6349BEE3"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599" w:history="1">
        <w:r w:rsidR="00AC5392" w:rsidRPr="00533B68">
          <w:t>Part 6.5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Winding-up proceedings (including oppression proceedings where winding</w:t>
        </w:r>
        <w:r w:rsidR="00AC5392" w:rsidRPr="00533B68">
          <w:noBreakHyphen/>
          <w:t>up is sought)</w:t>
        </w:r>
        <w:r w:rsidR="00AC5392">
          <w:tab/>
        </w:r>
        <w:r w:rsidR="00AC5392" w:rsidRPr="00AC5392">
          <w:rPr>
            <w:b w:val="0"/>
          </w:rPr>
          <w:fldChar w:fldCharType="begin"/>
        </w:r>
        <w:r w:rsidR="00AC5392" w:rsidRPr="00AC5392">
          <w:rPr>
            <w:b w:val="0"/>
          </w:rPr>
          <w:instrText xml:space="preserve"> PAGEREF _Toc185515599 \h </w:instrText>
        </w:r>
        <w:r w:rsidR="00AC5392" w:rsidRPr="00AC5392">
          <w:rPr>
            <w:b w:val="0"/>
          </w:rPr>
        </w:r>
        <w:r w:rsidR="00AC5392" w:rsidRPr="00AC5392">
          <w:rPr>
            <w:b w:val="0"/>
          </w:rPr>
          <w:fldChar w:fldCharType="separate"/>
        </w:r>
        <w:r w:rsidR="00AC5392" w:rsidRPr="00AC5392">
          <w:rPr>
            <w:b w:val="0"/>
          </w:rPr>
          <w:t>1162</w:t>
        </w:r>
        <w:r w:rsidR="00AC5392" w:rsidRPr="00AC5392">
          <w:rPr>
            <w:b w:val="0"/>
          </w:rPr>
          <w:fldChar w:fldCharType="end"/>
        </w:r>
      </w:hyperlink>
    </w:p>
    <w:p w14:paraId="27439439" w14:textId="6B31DF3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0" w:history="1">
        <w:r w:rsidRPr="00533B68">
          <w:t>5.1</w:t>
        </w:r>
        <w:r>
          <w:rPr>
            <w:rFonts w:asciiTheme="minorHAnsi" w:eastAsiaTheme="minorEastAsia" w:hAnsiTheme="minorHAnsi" w:cstheme="minorBidi"/>
            <w:kern w:val="2"/>
            <w:sz w:val="24"/>
            <w:szCs w:val="24"/>
            <w:lang w:eastAsia="en-AU"/>
            <w14:ligatures w14:val="standardContextual"/>
          </w:rPr>
          <w:tab/>
        </w:r>
        <w:r w:rsidRPr="00533B68">
          <w:t>Application—pt 6.5</w:t>
        </w:r>
        <w:r>
          <w:tab/>
        </w:r>
        <w:r>
          <w:fldChar w:fldCharType="begin"/>
        </w:r>
        <w:r>
          <w:instrText xml:space="preserve"> PAGEREF _Toc185515600 \h </w:instrText>
        </w:r>
        <w:r>
          <w:fldChar w:fldCharType="separate"/>
        </w:r>
        <w:r>
          <w:t>1162</w:t>
        </w:r>
        <w:r>
          <w:fldChar w:fldCharType="end"/>
        </w:r>
      </w:hyperlink>
    </w:p>
    <w:p w14:paraId="669A25FF" w14:textId="734E6819"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601" w:history="1">
        <w:r w:rsidRPr="00533B68">
          <w:t>5.2</w:t>
        </w:r>
        <w:r>
          <w:rPr>
            <w:rFonts w:asciiTheme="minorHAnsi" w:eastAsiaTheme="minorEastAsia" w:hAnsiTheme="minorHAnsi" w:cstheme="minorBidi"/>
            <w:kern w:val="2"/>
            <w:sz w:val="24"/>
            <w:szCs w:val="24"/>
            <w:lang w:eastAsia="en-AU"/>
            <w14:ligatures w14:val="standardContextual"/>
          </w:rPr>
          <w:tab/>
        </w:r>
        <w:r w:rsidRPr="00533B68">
          <w:t>Affidavit accompanying statutory demand (Corporations Act, s 459E (3))</w:t>
        </w:r>
        <w:r>
          <w:tab/>
        </w:r>
        <w:r>
          <w:fldChar w:fldCharType="begin"/>
        </w:r>
        <w:r>
          <w:instrText xml:space="preserve"> PAGEREF _Toc185515601 \h </w:instrText>
        </w:r>
        <w:r>
          <w:fldChar w:fldCharType="separate"/>
        </w:r>
        <w:r>
          <w:t>1162</w:t>
        </w:r>
        <w:r>
          <w:fldChar w:fldCharType="end"/>
        </w:r>
      </w:hyperlink>
    </w:p>
    <w:p w14:paraId="42B098EE" w14:textId="21FC7C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2" w:history="1">
        <w:r w:rsidRPr="00533B68">
          <w:t>5.3</w:t>
        </w:r>
        <w:r>
          <w:rPr>
            <w:rFonts w:asciiTheme="minorHAnsi" w:eastAsiaTheme="minorEastAsia" w:hAnsiTheme="minorHAnsi" w:cstheme="minorBidi"/>
            <w:kern w:val="2"/>
            <w:sz w:val="24"/>
            <w:szCs w:val="24"/>
            <w:lang w:eastAsia="en-AU"/>
            <w14:ligatures w14:val="standardContextual"/>
          </w:rPr>
          <w:tab/>
        </w:r>
        <w:r w:rsidRPr="00533B68">
          <w:t>Application for leave to apply for winding-up in insolvency (Corporations Act, s 459P (2))</w:t>
        </w:r>
        <w:r>
          <w:tab/>
        </w:r>
        <w:r>
          <w:fldChar w:fldCharType="begin"/>
        </w:r>
        <w:r>
          <w:instrText xml:space="preserve"> PAGEREF _Toc185515602 \h </w:instrText>
        </w:r>
        <w:r>
          <w:fldChar w:fldCharType="separate"/>
        </w:r>
        <w:r>
          <w:t>1162</w:t>
        </w:r>
        <w:r>
          <w:fldChar w:fldCharType="end"/>
        </w:r>
      </w:hyperlink>
    </w:p>
    <w:p w14:paraId="0BE7AE84" w14:textId="6E4C5F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3" w:history="1">
        <w:r w:rsidRPr="00533B68">
          <w:t>5.4</w:t>
        </w:r>
        <w:r>
          <w:rPr>
            <w:rFonts w:asciiTheme="minorHAnsi" w:eastAsiaTheme="minorEastAsia" w:hAnsiTheme="minorHAnsi" w:cstheme="minorBidi"/>
            <w:kern w:val="2"/>
            <w:sz w:val="24"/>
            <w:szCs w:val="24"/>
            <w:lang w:eastAsia="en-AU"/>
            <w14:ligatures w14:val="standardContextual"/>
          </w:rPr>
          <w:tab/>
        </w:r>
        <w:r w:rsidRPr="00533B68">
          <w:t>Affidavit in support of application for winding-up (Corporations Act, s 459P, s 462, s 464)</w:t>
        </w:r>
        <w:r>
          <w:tab/>
        </w:r>
        <w:r>
          <w:fldChar w:fldCharType="begin"/>
        </w:r>
        <w:r>
          <w:instrText xml:space="preserve"> PAGEREF _Toc185515603 \h </w:instrText>
        </w:r>
        <w:r>
          <w:fldChar w:fldCharType="separate"/>
        </w:r>
        <w:r>
          <w:t>1163</w:t>
        </w:r>
        <w:r>
          <w:fldChar w:fldCharType="end"/>
        </w:r>
      </w:hyperlink>
    </w:p>
    <w:p w14:paraId="521EBF71" w14:textId="02F3A15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4" w:history="1">
        <w:r w:rsidRPr="00533B68">
          <w:t>5.5</w:t>
        </w:r>
        <w:r>
          <w:rPr>
            <w:rFonts w:asciiTheme="minorHAnsi" w:eastAsiaTheme="minorEastAsia" w:hAnsiTheme="minorHAnsi" w:cstheme="minorBidi"/>
            <w:kern w:val="2"/>
            <w:sz w:val="24"/>
            <w:szCs w:val="24"/>
            <w:lang w:eastAsia="en-AU"/>
            <w14:ligatures w14:val="standardContextual"/>
          </w:rPr>
          <w:tab/>
        </w:r>
        <w:r w:rsidRPr="00533B68">
          <w:t>Consent of liquidator (Corporations Act, s 532 (9))</w:t>
        </w:r>
        <w:r>
          <w:tab/>
        </w:r>
        <w:r>
          <w:fldChar w:fldCharType="begin"/>
        </w:r>
        <w:r>
          <w:instrText xml:space="preserve"> PAGEREF _Toc185515604 \h </w:instrText>
        </w:r>
        <w:r>
          <w:fldChar w:fldCharType="separate"/>
        </w:r>
        <w:r>
          <w:t>1163</w:t>
        </w:r>
        <w:r>
          <w:fldChar w:fldCharType="end"/>
        </w:r>
      </w:hyperlink>
    </w:p>
    <w:p w14:paraId="00A32274" w14:textId="578275A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5" w:history="1">
        <w:r w:rsidRPr="00533B68">
          <w:t>5.6</w:t>
        </w:r>
        <w:r>
          <w:rPr>
            <w:rFonts w:asciiTheme="minorHAnsi" w:eastAsiaTheme="minorEastAsia" w:hAnsiTheme="minorHAnsi" w:cstheme="minorBidi"/>
            <w:kern w:val="2"/>
            <w:sz w:val="24"/>
            <w:szCs w:val="24"/>
            <w:lang w:eastAsia="en-AU"/>
            <w14:ligatures w14:val="standardContextual"/>
          </w:rPr>
          <w:tab/>
        </w:r>
        <w:r w:rsidRPr="00533B68">
          <w:t>Notice of application for winding-up</w:t>
        </w:r>
        <w:r>
          <w:tab/>
        </w:r>
        <w:r>
          <w:fldChar w:fldCharType="begin"/>
        </w:r>
        <w:r>
          <w:instrText xml:space="preserve"> PAGEREF _Toc185515605 \h </w:instrText>
        </w:r>
        <w:r>
          <w:fldChar w:fldCharType="separate"/>
        </w:r>
        <w:r>
          <w:t>1164</w:t>
        </w:r>
        <w:r>
          <w:fldChar w:fldCharType="end"/>
        </w:r>
      </w:hyperlink>
    </w:p>
    <w:p w14:paraId="0D6D6BCC" w14:textId="42E9689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6" w:history="1">
        <w:r w:rsidRPr="00533B68">
          <w:t>5.7</w:t>
        </w:r>
        <w:r>
          <w:rPr>
            <w:rFonts w:asciiTheme="minorHAnsi" w:eastAsiaTheme="minorEastAsia" w:hAnsiTheme="minorHAnsi" w:cstheme="minorBidi"/>
            <w:kern w:val="2"/>
            <w:sz w:val="24"/>
            <w:szCs w:val="24"/>
            <w:lang w:eastAsia="en-AU"/>
            <w14:ligatures w14:val="standardContextual"/>
          </w:rPr>
          <w:tab/>
        </w:r>
        <w:r w:rsidRPr="00533B68">
          <w:t>Applicant to make copies of documents available</w:t>
        </w:r>
        <w:r>
          <w:tab/>
        </w:r>
        <w:r>
          <w:fldChar w:fldCharType="begin"/>
        </w:r>
        <w:r>
          <w:instrText xml:space="preserve"> PAGEREF _Toc185515606 \h </w:instrText>
        </w:r>
        <w:r>
          <w:fldChar w:fldCharType="separate"/>
        </w:r>
        <w:r>
          <w:t>1165</w:t>
        </w:r>
        <w:r>
          <w:fldChar w:fldCharType="end"/>
        </w:r>
      </w:hyperlink>
    </w:p>
    <w:p w14:paraId="39CD38AB" w14:textId="0F5DFAD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7" w:history="1">
        <w:r w:rsidRPr="00533B68">
          <w:t>5.8</w:t>
        </w:r>
        <w:r>
          <w:rPr>
            <w:rFonts w:asciiTheme="minorHAnsi" w:eastAsiaTheme="minorEastAsia" w:hAnsiTheme="minorHAnsi" w:cstheme="minorBidi"/>
            <w:kern w:val="2"/>
            <w:sz w:val="24"/>
            <w:szCs w:val="24"/>
            <w:lang w:eastAsia="en-AU"/>
            <w14:ligatures w14:val="standardContextual"/>
          </w:rPr>
          <w:tab/>
        </w:r>
        <w:r w:rsidRPr="00533B68">
          <w:t>Discontinuance of application for winding-up</w:t>
        </w:r>
        <w:r>
          <w:tab/>
        </w:r>
        <w:r>
          <w:fldChar w:fldCharType="begin"/>
        </w:r>
        <w:r>
          <w:instrText xml:space="preserve"> PAGEREF _Toc185515607 \h </w:instrText>
        </w:r>
        <w:r>
          <w:fldChar w:fldCharType="separate"/>
        </w:r>
        <w:r>
          <w:t>1165</w:t>
        </w:r>
        <w:r>
          <w:fldChar w:fldCharType="end"/>
        </w:r>
      </w:hyperlink>
    </w:p>
    <w:p w14:paraId="1103C902" w14:textId="236CD45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8" w:history="1">
        <w:r w:rsidRPr="00533B68">
          <w:t>5.9</w:t>
        </w:r>
        <w:r>
          <w:rPr>
            <w:rFonts w:asciiTheme="minorHAnsi" w:eastAsiaTheme="minorEastAsia" w:hAnsiTheme="minorHAnsi" w:cstheme="minorBidi"/>
            <w:kern w:val="2"/>
            <w:sz w:val="24"/>
            <w:szCs w:val="24"/>
            <w:lang w:eastAsia="en-AU"/>
            <w14:ligatures w14:val="standardContextual"/>
          </w:rPr>
          <w:tab/>
        </w:r>
        <w:r w:rsidRPr="00533B68">
          <w:t>Appearance before registrar</w:t>
        </w:r>
        <w:r>
          <w:tab/>
        </w:r>
        <w:r>
          <w:fldChar w:fldCharType="begin"/>
        </w:r>
        <w:r>
          <w:instrText xml:space="preserve"> PAGEREF _Toc185515608 \h </w:instrText>
        </w:r>
        <w:r>
          <w:fldChar w:fldCharType="separate"/>
        </w:r>
        <w:r>
          <w:t>1165</w:t>
        </w:r>
        <w:r>
          <w:fldChar w:fldCharType="end"/>
        </w:r>
      </w:hyperlink>
    </w:p>
    <w:p w14:paraId="59431B74" w14:textId="211BA77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09" w:history="1">
        <w:r w:rsidRPr="00533B68">
          <w:t>5.10</w:t>
        </w:r>
        <w:r>
          <w:rPr>
            <w:rFonts w:asciiTheme="minorHAnsi" w:eastAsiaTheme="minorEastAsia" w:hAnsiTheme="minorHAnsi" w:cstheme="minorBidi"/>
            <w:kern w:val="2"/>
            <w:sz w:val="24"/>
            <w:szCs w:val="24"/>
            <w:lang w:eastAsia="en-AU"/>
            <w14:ligatures w14:val="standardContextual"/>
          </w:rPr>
          <w:tab/>
        </w:r>
        <w:r w:rsidRPr="00533B68">
          <w:t>Order substituting plaintiff in application for winding</w:t>
        </w:r>
        <w:r w:rsidRPr="00533B68">
          <w:noBreakHyphen/>
          <w:t>up (Corporations Act, s 465B)</w:t>
        </w:r>
        <w:r>
          <w:tab/>
        </w:r>
        <w:r>
          <w:fldChar w:fldCharType="begin"/>
        </w:r>
        <w:r>
          <w:instrText xml:space="preserve"> PAGEREF _Toc185515609 \h </w:instrText>
        </w:r>
        <w:r>
          <w:fldChar w:fldCharType="separate"/>
        </w:r>
        <w:r>
          <w:t>1165</w:t>
        </w:r>
        <w:r>
          <w:fldChar w:fldCharType="end"/>
        </w:r>
      </w:hyperlink>
    </w:p>
    <w:p w14:paraId="7E812726" w14:textId="3CF526A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0" w:history="1">
        <w:r w:rsidRPr="00533B68">
          <w:t>5.11</w:t>
        </w:r>
        <w:r>
          <w:rPr>
            <w:rFonts w:asciiTheme="minorHAnsi" w:eastAsiaTheme="minorEastAsia" w:hAnsiTheme="minorHAnsi" w:cstheme="minorBidi"/>
            <w:kern w:val="2"/>
            <w:sz w:val="24"/>
            <w:szCs w:val="24"/>
            <w:lang w:eastAsia="en-AU"/>
            <w14:ligatures w14:val="standardContextual"/>
          </w:rPr>
          <w:tab/>
        </w:r>
        <w:r w:rsidRPr="00533B68">
          <w:t>Notice of winding-up order and appointment of liquidator</w:t>
        </w:r>
        <w:r>
          <w:tab/>
        </w:r>
        <w:r>
          <w:fldChar w:fldCharType="begin"/>
        </w:r>
        <w:r>
          <w:instrText xml:space="preserve"> PAGEREF _Toc185515610 \h </w:instrText>
        </w:r>
        <w:r>
          <w:fldChar w:fldCharType="separate"/>
        </w:r>
        <w:r>
          <w:t>1166</w:t>
        </w:r>
        <w:r>
          <w:fldChar w:fldCharType="end"/>
        </w:r>
      </w:hyperlink>
    </w:p>
    <w:p w14:paraId="3BC7E03B" w14:textId="554010CE"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11" w:history="1">
        <w:r w:rsidR="00AC5392" w:rsidRPr="00533B68">
          <w:t>Part 6.6</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Provisional liquidators (Corporations Act, pt 5.4B)</w:t>
        </w:r>
        <w:r w:rsidR="00AC5392">
          <w:tab/>
        </w:r>
        <w:r w:rsidR="00AC5392" w:rsidRPr="00AC5392">
          <w:rPr>
            <w:b w:val="0"/>
          </w:rPr>
          <w:fldChar w:fldCharType="begin"/>
        </w:r>
        <w:r w:rsidR="00AC5392" w:rsidRPr="00AC5392">
          <w:rPr>
            <w:b w:val="0"/>
          </w:rPr>
          <w:instrText xml:space="preserve"> PAGEREF _Toc185515611 \h </w:instrText>
        </w:r>
        <w:r w:rsidR="00AC5392" w:rsidRPr="00AC5392">
          <w:rPr>
            <w:b w:val="0"/>
          </w:rPr>
        </w:r>
        <w:r w:rsidR="00AC5392" w:rsidRPr="00AC5392">
          <w:rPr>
            <w:b w:val="0"/>
          </w:rPr>
          <w:fldChar w:fldCharType="separate"/>
        </w:r>
        <w:r w:rsidR="00AC5392" w:rsidRPr="00AC5392">
          <w:rPr>
            <w:b w:val="0"/>
          </w:rPr>
          <w:t>1167</w:t>
        </w:r>
        <w:r w:rsidR="00AC5392" w:rsidRPr="00AC5392">
          <w:rPr>
            <w:b w:val="0"/>
          </w:rPr>
          <w:fldChar w:fldCharType="end"/>
        </w:r>
      </w:hyperlink>
    </w:p>
    <w:p w14:paraId="7DF201FC" w14:textId="23D7952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2" w:history="1">
        <w:r w:rsidRPr="00533B68">
          <w:t>6.1</w:t>
        </w:r>
        <w:r>
          <w:rPr>
            <w:rFonts w:asciiTheme="minorHAnsi" w:eastAsiaTheme="minorEastAsia" w:hAnsiTheme="minorHAnsi" w:cstheme="minorBidi"/>
            <w:kern w:val="2"/>
            <w:sz w:val="24"/>
            <w:szCs w:val="24"/>
            <w:lang w:eastAsia="en-AU"/>
            <w14:ligatures w14:val="standardContextual"/>
          </w:rPr>
          <w:tab/>
        </w:r>
        <w:r w:rsidRPr="00533B68">
          <w:t>Appointment of provisional liquidator (Corporations Act, s 472)</w:t>
        </w:r>
        <w:r>
          <w:tab/>
        </w:r>
        <w:r>
          <w:fldChar w:fldCharType="begin"/>
        </w:r>
        <w:r>
          <w:instrText xml:space="preserve"> PAGEREF _Toc185515612 \h </w:instrText>
        </w:r>
        <w:r>
          <w:fldChar w:fldCharType="separate"/>
        </w:r>
        <w:r>
          <w:t>1167</w:t>
        </w:r>
        <w:r>
          <w:fldChar w:fldCharType="end"/>
        </w:r>
      </w:hyperlink>
    </w:p>
    <w:p w14:paraId="4843167C" w14:textId="2081C88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3" w:history="1">
        <w:r w:rsidRPr="00533B68">
          <w:t>6.2</w:t>
        </w:r>
        <w:r>
          <w:rPr>
            <w:rFonts w:asciiTheme="minorHAnsi" w:eastAsiaTheme="minorEastAsia" w:hAnsiTheme="minorHAnsi" w:cstheme="minorBidi"/>
            <w:kern w:val="2"/>
            <w:sz w:val="24"/>
            <w:szCs w:val="24"/>
            <w:lang w:eastAsia="en-AU"/>
            <w14:ligatures w14:val="standardContextual"/>
          </w:rPr>
          <w:tab/>
        </w:r>
        <w:r w:rsidRPr="00533B68">
          <w:t>Notice of appointment of provisional liquidator</w:t>
        </w:r>
        <w:r>
          <w:tab/>
        </w:r>
        <w:r>
          <w:fldChar w:fldCharType="begin"/>
        </w:r>
        <w:r>
          <w:instrText xml:space="preserve"> PAGEREF _Toc185515613 \h </w:instrText>
        </w:r>
        <w:r>
          <w:fldChar w:fldCharType="separate"/>
        </w:r>
        <w:r>
          <w:t>1167</w:t>
        </w:r>
        <w:r>
          <w:fldChar w:fldCharType="end"/>
        </w:r>
      </w:hyperlink>
    </w:p>
    <w:p w14:paraId="50C2694A" w14:textId="6ACD6133"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14" w:history="1">
        <w:r w:rsidR="00AC5392" w:rsidRPr="00533B68">
          <w:t>Part 6.7</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Liquidators</w:t>
        </w:r>
        <w:r w:rsidR="00AC5392">
          <w:tab/>
        </w:r>
        <w:r w:rsidR="00AC5392" w:rsidRPr="00AC5392">
          <w:rPr>
            <w:b w:val="0"/>
          </w:rPr>
          <w:fldChar w:fldCharType="begin"/>
        </w:r>
        <w:r w:rsidR="00AC5392" w:rsidRPr="00AC5392">
          <w:rPr>
            <w:b w:val="0"/>
          </w:rPr>
          <w:instrText xml:space="preserve"> PAGEREF _Toc185515614 \h </w:instrText>
        </w:r>
        <w:r w:rsidR="00AC5392" w:rsidRPr="00AC5392">
          <w:rPr>
            <w:b w:val="0"/>
          </w:rPr>
        </w:r>
        <w:r w:rsidR="00AC5392" w:rsidRPr="00AC5392">
          <w:rPr>
            <w:b w:val="0"/>
          </w:rPr>
          <w:fldChar w:fldCharType="separate"/>
        </w:r>
        <w:r w:rsidR="00AC5392" w:rsidRPr="00AC5392">
          <w:rPr>
            <w:b w:val="0"/>
          </w:rPr>
          <w:t>1169</w:t>
        </w:r>
        <w:r w:rsidR="00AC5392" w:rsidRPr="00AC5392">
          <w:rPr>
            <w:b w:val="0"/>
          </w:rPr>
          <w:fldChar w:fldCharType="end"/>
        </w:r>
      </w:hyperlink>
    </w:p>
    <w:p w14:paraId="4D4E1858" w14:textId="2DF6578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5" w:history="1">
        <w:r w:rsidRPr="00533B68">
          <w:t>7.1</w:t>
        </w:r>
        <w:r>
          <w:rPr>
            <w:rFonts w:asciiTheme="minorHAnsi" w:eastAsiaTheme="minorEastAsia" w:hAnsiTheme="minorHAnsi" w:cstheme="minorBidi"/>
            <w:kern w:val="2"/>
            <w:sz w:val="24"/>
            <w:szCs w:val="24"/>
            <w:lang w:eastAsia="en-AU"/>
            <w14:ligatures w14:val="standardContextual"/>
          </w:rPr>
          <w:tab/>
        </w:r>
        <w:r w:rsidRPr="00533B68">
          <w:t>Resignation of liquidator (Corporations Act, s 473 (1))</w:t>
        </w:r>
        <w:r>
          <w:tab/>
        </w:r>
        <w:r>
          <w:fldChar w:fldCharType="begin"/>
        </w:r>
        <w:r>
          <w:instrText xml:space="preserve"> PAGEREF _Toc185515615 \h </w:instrText>
        </w:r>
        <w:r>
          <w:fldChar w:fldCharType="separate"/>
        </w:r>
        <w:r>
          <w:t>1169</w:t>
        </w:r>
        <w:r>
          <w:fldChar w:fldCharType="end"/>
        </w:r>
      </w:hyperlink>
    </w:p>
    <w:p w14:paraId="4808C75A" w14:textId="5E87CAC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6" w:history="1">
        <w:r w:rsidRPr="00533B68">
          <w:t>7.2</w:t>
        </w:r>
        <w:r>
          <w:rPr>
            <w:rFonts w:asciiTheme="minorHAnsi" w:eastAsiaTheme="minorEastAsia" w:hAnsiTheme="minorHAnsi" w:cstheme="minorBidi"/>
            <w:kern w:val="2"/>
            <w:sz w:val="24"/>
            <w:szCs w:val="24"/>
            <w:lang w:eastAsia="en-AU"/>
            <w14:ligatures w14:val="standardContextual"/>
          </w:rPr>
          <w:tab/>
        </w:r>
        <w:r w:rsidRPr="00533B68">
          <w:t>Filling vacancy in office of liquidator (Corporations Act, s 473 (7), s 502)</w:t>
        </w:r>
        <w:r>
          <w:tab/>
        </w:r>
        <w:r>
          <w:fldChar w:fldCharType="begin"/>
        </w:r>
        <w:r>
          <w:instrText xml:space="preserve"> PAGEREF _Toc185515616 \h </w:instrText>
        </w:r>
        <w:r>
          <w:fldChar w:fldCharType="separate"/>
        </w:r>
        <w:r>
          <w:t>1169</w:t>
        </w:r>
        <w:r>
          <w:fldChar w:fldCharType="end"/>
        </w:r>
      </w:hyperlink>
    </w:p>
    <w:p w14:paraId="13D4AA4E" w14:textId="1A7A0E4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7" w:history="1">
        <w:r w:rsidRPr="00533B68">
          <w:t>7.3</w:t>
        </w:r>
        <w:r>
          <w:rPr>
            <w:rFonts w:asciiTheme="minorHAnsi" w:eastAsiaTheme="minorEastAsia" w:hAnsiTheme="minorHAnsi" w:cstheme="minorBidi"/>
            <w:kern w:val="2"/>
            <w:sz w:val="24"/>
            <w:szCs w:val="24"/>
            <w:lang w:eastAsia="en-AU"/>
            <w14:ligatures w14:val="standardContextual"/>
          </w:rPr>
          <w:tab/>
        </w:r>
        <w:r w:rsidRPr="00533B68">
          <w:t>Report to liquidator as to company’s affairs (Corporations Act, s 475)</w:t>
        </w:r>
        <w:r>
          <w:tab/>
        </w:r>
        <w:r>
          <w:fldChar w:fldCharType="begin"/>
        </w:r>
        <w:r>
          <w:instrText xml:space="preserve"> PAGEREF _Toc185515617 \h </w:instrText>
        </w:r>
        <w:r>
          <w:fldChar w:fldCharType="separate"/>
        </w:r>
        <w:r>
          <w:t>1169</w:t>
        </w:r>
        <w:r>
          <w:fldChar w:fldCharType="end"/>
        </w:r>
      </w:hyperlink>
    </w:p>
    <w:p w14:paraId="6096274F" w14:textId="578199A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8" w:history="1">
        <w:r w:rsidRPr="00533B68">
          <w:t>7.4</w:t>
        </w:r>
        <w:r>
          <w:rPr>
            <w:rFonts w:asciiTheme="minorHAnsi" w:eastAsiaTheme="minorEastAsia" w:hAnsiTheme="minorHAnsi" w:cstheme="minorBidi"/>
            <w:kern w:val="2"/>
            <w:sz w:val="24"/>
            <w:szCs w:val="24"/>
            <w:lang w:eastAsia="en-AU"/>
            <w14:ligatures w14:val="standardContextual"/>
          </w:rPr>
          <w:tab/>
        </w:r>
        <w:r w:rsidRPr="00533B68">
          <w:t>Liquidator to file certificate and copy of settled list of contributories (Corporations Act, s 478)</w:t>
        </w:r>
        <w:r>
          <w:tab/>
        </w:r>
        <w:r>
          <w:fldChar w:fldCharType="begin"/>
        </w:r>
        <w:r>
          <w:instrText xml:space="preserve"> PAGEREF _Toc185515618 \h </w:instrText>
        </w:r>
        <w:r>
          <w:fldChar w:fldCharType="separate"/>
        </w:r>
        <w:r>
          <w:t>1170</w:t>
        </w:r>
        <w:r>
          <w:fldChar w:fldCharType="end"/>
        </w:r>
      </w:hyperlink>
    </w:p>
    <w:p w14:paraId="7B6EEBA5" w14:textId="21F12EF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19" w:history="1">
        <w:r w:rsidRPr="00533B68">
          <w:t>7.5</w:t>
        </w:r>
        <w:r>
          <w:rPr>
            <w:rFonts w:asciiTheme="minorHAnsi" w:eastAsiaTheme="minorEastAsia" w:hAnsiTheme="minorHAnsi" w:cstheme="minorBidi"/>
            <w:kern w:val="2"/>
            <w:sz w:val="24"/>
            <w:szCs w:val="24"/>
            <w:lang w:eastAsia="en-AU"/>
            <w14:ligatures w14:val="standardContextual"/>
          </w:rPr>
          <w:tab/>
        </w:r>
        <w:r w:rsidRPr="00533B68">
          <w:t>Release of liquidator and deregistration of company (Corporations Act, s 480 (c) and (d))</w:t>
        </w:r>
        <w:r>
          <w:tab/>
        </w:r>
        <w:r>
          <w:fldChar w:fldCharType="begin"/>
        </w:r>
        <w:r>
          <w:instrText xml:space="preserve"> PAGEREF _Toc185515619 \h </w:instrText>
        </w:r>
        <w:r>
          <w:fldChar w:fldCharType="separate"/>
        </w:r>
        <w:r>
          <w:t>1170</w:t>
        </w:r>
        <w:r>
          <w:fldChar w:fldCharType="end"/>
        </w:r>
      </w:hyperlink>
    </w:p>
    <w:p w14:paraId="695312FF" w14:textId="3CA32DD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0" w:history="1">
        <w:r w:rsidRPr="00533B68">
          <w:t>7.6</w:t>
        </w:r>
        <w:r>
          <w:rPr>
            <w:rFonts w:asciiTheme="minorHAnsi" w:eastAsiaTheme="minorEastAsia" w:hAnsiTheme="minorHAnsi" w:cstheme="minorBidi"/>
            <w:kern w:val="2"/>
            <w:sz w:val="24"/>
            <w:szCs w:val="24"/>
            <w:lang w:eastAsia="en-AU"/>
            <w14:ligatures w14:val="standardContextual"/>
          </w:rPr>
          <w:tab/>
        </w:r>
        <w:r w:rsidRPr="00533B68">
          <w:t>Objection to release of liquidator</w:t>
        </w:r>
        <w:r>
          <w:tab/>
        </w:r>
        <w:r>
          <w:fldChar w:fldCharType="begin"/>
        </w:r>
        <w:r>
          <w:instrText xml:space="preserve"> PAGEREF _Toc185515620 \h </w:instrText>
        </w:r>
        <w:r>
          <w:fldChar w:fldCharType="separate"/>
        </w:r>
        <w:r>
          <w:t>1173</w:t>
        </w:r>
        <w:r>
          <w:fldChar w:fldCharType="end"/>
        </w:r>
      </w:hyperlink>
    </w:p>
    <w:p w14:paraId="330CBCCB" w14:textId="5B21895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1" w:history="1">
        <w:r w:rsidRPr="00533B68">
          <w:t>7.7</w:t>
        </w:r>
        <w:r>
          <w:rPr>
            <w:rFonts w:asciiTheme="minorHAnsi" w:eastAsiaTheme="minorEastAsia" w:hAnsiTheme="minorHAnsi" w:cstheme="minorBidi"/>
            <w:kern w:val="2"/>
            <w:sz w:val="24"/>
            <w:szCs w:val="24"/>
            <w:lang w:eastAsia="en-AU"/>
            <w14:ligatures w14:val="standardContextual"/>
          </w:rPr>
          <w:tab/>
        </w:r>
        <w:r w:rsidRPr="00533B68">
          <w:t>Report on accounts of liquidator (Corporations Act, s 481)</w:t>
        </w:r>
        <w:r>
          <w:tab/>
        </w:r>
        <w:r>
          <w:fldChar w:fldCharType="begin"/>
        </w:r>
        <w:r>
          <w:instrText xml:space="preserve"> PAGEREF _Toc185515621 \h </w:instrText>
        </w:r>
        <w:r>
          <w:fldChar w:fldCharType="separate"/>
        </w:r>
        <w:r>
          <w:t>1174</w:t>
        </w:r>
        <w:r>
          <w:fldChar w:fldCharType="end"/>
        </w:r>
      </w:hyperlink>
    </w:p>
    <w:p w14:paraId="0AB390C4" w14:textId="309E7CF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2" w:history="1">
        <w:r w:rsidRPr="00533B68">
          <w:t>7.8</w:t>
        </w:r>
        <w:r>
          <w:rPr>
            <w:rFonts w:asciiTheme="minorHAnsi" w:eastAsiaTheme="minorEastAsia" w:hAnsiTheme="minorHAnsi" w:cstheme="minorBidi"/>
            <w:kern w:val="2"/>
            <w:sz w:val="24"/>
            <w:szCs w:val="24"/>
            <w:lang w:eastAsia="en-AU"/>
            <w14:ligatures w14:val="standardContextual"/>
          </w:rPr>
          <w:tab/>
        </w:r>
        <w:r w:rsidRPr="00533B68">
          <w:t>Application for payment of call (Corporations Act, s 483 (3) (b))</w:t>
        </w:r>
        <w:r>
          <w:tab/>
        </w:r>
        <w:r>
          <w:fldChar w:fldCharType="begin"/>
        </w:r>
        <w:r>
          <w:instrText xml:space="preserve"> PAGEREF _Toc185515622 \h </w:instrText>
        </w:r>
        <w:r>
          <w:fldChar w:fldCharType="separate"/>
        </w:r>
        <w:r>
          <w:t>1174</w:t>
        </w:r>
        <w:r>
          <w:fldChar w:fldCharType="end"/>
        </w:r>
      </w:hyperlink>
    </w:p>
    <w:p w14:paraId="25C55A97" w14:textId="4B2DBA1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3" w:history="1">
        <w:r w:rsidRPr="00533B68">
          <w:t>7.9</w:t>
        </w:r>
        <w:r>
          <w:rPr>
            <w:rFonts w:asciiTheme="minorHAnsi" w:eastAsiaTheme="minorEastAsia" w:hAnsiTheme="minorHAnsi" w:cstheme="minorBidi"/>
            <w:kern w:val="2"/>
            <w:sz w:val="24"/>
            <w:szCs w:val="24"/>
            <w:lang w:eastAsia="en-AU"/>
            <w14:ligatures w14:val="standardContextual"/>
          </w:rPr>
          <w:tab/>
        </w:r>
        <w:r w:rsidRPr="00533B68">
          <w:t>Distribution of surplus by liquidator with special leave of the court (Corporations Act, s 488 (2))</w:t>
        </w:r>
        <w:r>
          <w:tab/>
        </w:r>
        <w:r>
          <w:fldChar w:fldCharType="begin"/>
        </w:r>
        <w:r>
          <w:instrText xml:space="preserve"> PAGEREF _Toc185515623 \h </w:instrText>
        </w:r>
        <w:r>
          <w:fldChar w:fldCharType="separate"/>
        </w:r>
        <w:r>
          <w:t>1175</w:t>
        </w:r>
        <w:r>
          <w:fldChar w:fldCharType="end"/>
        </w:r>
      </w:hyperlink>
    </w:p>
    <w:p w14:paraId="1F310CDA" w14:textId="34490FC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4" w:history="1">
        <w:r w:rsidRPr="00533B68">
          <w:t>7.10</w:t>
        </w:r>
        <w:r>
          <w:rPr>
            <w:rFonts w:asciiTheme="minorHAnsi" w:eastAsiaTheme="minorEastAsia" w:hAnsiTheme="minorHAnsi" w:cstheme="minorBidi"/>
            <w:kern w:val="2"/>
            <w:sz w:val="24"/>
            <w:szCs w:val="24"/>
            <w:lang w:eastAsia="en-AU"/>
            <w14:ligatures w14:val="standardContextual"/>
          </w:rPr>
          <w:tab/>
        </w:r>
        <w:r w:rsidRPr="00533B68">
          <w:t>Powers delegated to liquidator by the court (Corporations Act, s 488)</w:t>
        </w:r>
        <w:r>
          <w:tab/>
        </w:r>
        <w:r>
          <w:fldChar w:fldCharType="begin"/>
        </w:r>
        <w:r>
          <w:instrText xml:space="preserve"> PAGEREF _Toc185515624 \h </w:instrText>
        </w:r>
        <w:r>
          <w:fldChar w:fldCharType="separate"/>
        </w:r>
        <w:r>
          <w:t>1175</w:t>
        </w:r>
        <w:r>
          <w:fldChar w:fldCharType="end"/>
        </w:r>
      </w:hyperlink>
    </w:p>
    <w:p w14:paraId="37C6D14D" w14:textId="71EFE03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5" w:history="1">
        <w:r w:rsidRPr="00533B68">
          <w:t>7.11</w:t>
        </w:r>
        <w:r>
          <w:rPr>
            <w:rFonts w:asciiTheme="minorHAnsi" w:eastAsiaTheme="minorEastAsia" w:hAnsiTheme="minorHAnsi" w:cstheme="minorBidi"/>
            <w:kern w:val="2"/>
            <w:sz w:val="24"/>
            <w:szCs w:val="24"/>
            <w:lang w:eastAsia="en-AU"/>
            <w14:ligatures w14:val="standardContextual"/>
          </w:rPr>
          <w:tab/>
        </w:r>
        <w:r w:rsidRPr="00533B68">
          <w:t>Inquiry into conduct of liquidator (Corporations Act, s 536 (1) and (2))</w:t>
        </w:r>
        <w:r>
          <w:tab/>
        </w:r>
        <w:r>
          <w:fldChar w:fldCharType="begin"/>
        </w:r>
        <w:r>
          <w:instrText xml:space="preserve"> PAGEREF _Toc185515625 \h </w:instrText>
        </w:r>
        <w:r>
          <w:fldChar w:fldCharType="separate"/>
        </w:r>
        <w:r>
          <w:t>1175</w:t>
        </w:r>
        <w:r>
          <w:fldChar w:fldCharType="end"/>
        </w:r>
      </w:hyperlink>
    </w:p>
    <w:p w14:paraId="61584319" w14:textId="2940F09D"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26" w:history="1">
        <w:r w:rsidR="00AC5392" w:rsidRPr="00533B68">
          <w:t>Part 6.8</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Special managers (Corporations Act, pt 5.4B)</w:t>
        </w:r>
        <w:r w:rsidR="00AC5392">
          <w:tab/>
        </w:r>
        <w:r w:rsidR="00AC5392" w:rsidRPr="00AC5392">
          <w:rPr>
            <w:b w:val="0"/>
          </w:rPr>
          <w:fldChar w:fldCharType="begin"/>
        </w:r>
        <w:r w:rsidR="00AC5392" w:rsidRPr="00AC5392">
          <w:rPr>
            <w:b w:val="0"/>
          </w:rPr>
          <w:instrText xml:space="preserve"> PAGEREF _Toc185515626 \h </w:instrText>
        </w:r>
        <w:r w:rsidR="00AC5392" w:rsidRPr="00AC5392">
          <w:rPr>
            <w:b w:val="0"/>
          </w:rPr>
        </w:r>
        <w:r w:rsidR="00AC5392" w:rsidRPr="00AC5392">
          <w:rPr>
            <w:b w:val="0"/>
          </w:rPr>
          <w:fldChar w:fldCharType="separate"/>
        </w:r>
        <w:r w:rsidR="00AC5392" w:rsidRPr="00AC5392">
          <w:rPr>
            <w:b w:val="0"/>
          </w:rPr>
          <w:t>1177</w:t>
        </w:r>
        <w:r w:rsidR="00AC5392" w:rsidRPr="00AC5392">
          <w:rPr>
            <w:b w:val="0"/>
          </w:rPr>
          <w:fldChar w:fldCharType="end"/>
        </w:r>
      </w:hyperlink>
    </w:p>
    <w:p w14:paraId="121304E7" w14:textId="1A79BFC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7" w:history="1">
        <w:r w:rsidRPr="00533B68">
          <w:t>8.1</w:t>
        </w:r>
        <w:r>
          <w:rPr>
            <w:rFonts w:asciiTheme="minorHAnsi" w:eastAsiaTheme="minorEastAsia" w:hAnsiTheme="minorHAnsi" w:cstheme="minorBidi"/>
            <w:kern w:val="2"/>
            <w:sz w:val="24"/>
            <w:szCs w:val="24"/>
            <w:lang w:eastAsia="en-AU"/>
            <w14:ligatures w14:val="standardContextual"/>
          </w:rPr>
          <w:tab/>
        </w:r>
        <w:r w:rsidRPr="00533B68">
          <w:t>Application for appointment of special manager (Corporations Act, s 484)</w:t>
        </w:r>
        <w:r>
          <w:tab/>
        </w:r>
        <w:r>
          <w:fldChar w:fldCharType="begin"/>
        </w:r>
        <w:r>
          <w:instrText xml:space="preserve"> PAGEREF _Toc185515627 \h </w:instrText>
        </w:r>
        <w:r>
          <w:fldChar w:fldCharType="separate"/>
        </w:r>
        <w:r>
          <w:t>1177</w:t>
        </w:r>
        <w:r>
          <w:fldChar w:fldCharType="end"/>
        </w:r>
      </w:hyperlink>
    </w:p>
    <w:p w14:paraId="7EAFDE31" w14:textId="4BBE08E2"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628" w:history="1">
        <w:r w:rsidRPr="00533B68">
          <w:t>8.2</w:t>
        </w:r>
        <w:r>
          <w:rPr>
            <w:rFonts w:asciiTheme="minorHAnsi" w:eastAsiaTheme="minorEastAsia" w:hAnsiTheme="minorHAnsi" w:cstheme="minorBidi"/>
            <w:kern w:val="2"/>
            <w:sz w:val="24"/>
            <w:szCs w:val="24"/>
            <w:lang w:eastAsia="en-AU"/>
            <w14:ligatures w14:val="standardContextual"/>
          </w:rPr>
          <w:tab/>
        </w:r>
        <w:r w:rsidRPr="00533B68">
          <w:t>Security given by special manager (Corporations Act, s 484)</w:t>
        </w:r>
        <w:r>
          <w:tab/>
        </w:r>
        <w:r>
          <w:fldChar w:fldCharType="begin"/>
        </w:r>
        <w:r>
          <w:instrText xml:space="preserve"> PAGEREF _Toc185515628 \h </w:instrText>
        </w:r>
        <w:r>
          <w:fldChar w:fldCharType="separate"/>
        </w:r>
        <w:r>
          <w:t>1177</w:t>
        </w:r>
        <w:r>
          <w:fldChar w:fldCharType="end"/>
        </w:r>
      </w:hyperlink>
    </w:p>
    <w:p w14:paraId="3BEBFA8F" w14:textId="5467A1A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29" w:history="1">
        <w:r w:rsidRPr="00533B68">
          <w:t>8.3</w:t>
        </w:r>
        <w:r>
          <w:rPr>
            <w:rFonts w:asciiTheme="minorHAnsi" w:eastAsiaTheme="minorEastAsia" w:hAnsiTheme="minorHAnsi" w:cstheme="minorBidi"/>
            <w:kern w:val="2"/>
            <w:sz w:val="24"/>
            <w:szCs w:val="24"/>
            <w:lang w:eastAsia="en-AU"/>
            <w14:ligatures w14:val="standardContextual"/>
          </w:rPr>
          <w:tab/>
        </w:r>
        <w:r w:rsidRPr="00533B68">
          <w:t>Special manager’s receipts and payments (Corporations Act, s 484)</w:t>
        </w:r>
        <w:r>
          <w:tab/>
        </w:r>
        <w:r>
          <w:fldChar w:fldCharType="begin"/>
        </w:r>
        <w:r>
          <w:instrText xml:space="preserve"> PAGEREF _Toc185515629 \h </w:instrText>
        </w:r>
        <w:r>
          <w:fldChar w:fldCharType="separate"/>
        </w:r>
        <w:r>
          <w:t>1178</w:t>
        </w:r>
        <w:r>
          <w:fldChar w:fldCharType="end"/>
        </w:r>
      </w:hyperlink>
    </w:p>
    <w:p w14:paraId="66F8040F" w14:textId="0348B82A"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30" w:history="1">
        <w:r w:rsidR="00AC5392" w:rsidRPr="00533B68">
          <w:t>Part 6.9</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Remuneration of office</w:t>
        </w:r>
        <w:r w:rsidR="00AC5392" w:rsidRPr="00533B68">
          <w:noBreakHyphen/>
          <w:t>holders</w:t>
        </w:r>
        <w:r w:rsidR="00AC5392">
          <w:tab/>
        </w:r>
        <w:r w:rsidR="00AC5392" w:rsidRPr="00AC5392">
          <w:rPr>
            <w:b w:val="0"/>
          </w:rPr>
          <w:fldChar w:fldCharType="begin"/>
        </w:r>
        <w:r w:rsidR="00AC5392" w:rsidRPr="00AC5392">
          <w:rPr>
            <w:b w:val="0"/>
          </w:rPr>
          <w:instrText xml:space="preserve"> PAGEREF _Toc185515630 \h </w:instrText>
        </w:r>
        <w:r w:rsidR="00AC5392" w:rsidRPr="00AC5392">
          <w:rPr>
            <w:b w:val="0"/>
          </w:rPr>
        </w:r>
        <w:r w:rsidR="00AC5392" w:rsidRPr="00AC5392">
          <w:rPr>
            <w:b w:val="0"/>
          </w:rPr>
          <w:fldChar w:fldCharType="separate"/>
        </w:r>
        <w:r w:rsidR="00AC5392" w:rsidRPr="00AC5392">
          <w:rPr>
            <w:b w:val="0"/>
          </w:rPr>
          <w:t>1179</w:t>
        </w:r>
        <w:r w:rsidR="00AC5392" w:rsidRPr="00AC5392">
          <w:rPr>
            <w:b w:val="0"/>
          </w:rPr>
          <w:fldChar w:fldCharType="end"/>
        </w:r>
      </w:hyperlink>
    </w:p>
    <w:p w14:paraId="53C0918F" w14:textId="26B1CF4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1" w:history="1">
        <w:r w:rsidRPr="00533B68">
          <w:t>9.1</w:t>
        </w:r>
        <w:r>
          <w:rPr>
            <w:rFonts w:asciiTheme="minorHAnsi" w:eastAsiaTheme="minorEastAsia" w:hAnsiTheme="minorHAnsi" w:cstheme="minorBidi"/>
            <w:kern w:val="2"/>
            <w:sz w:val="24"/>
            <w:szCs w:val="24"/>
            <w:lang w:eastAsia="en-AU"/>
            <w14:ligatures w14:val="standardContextual"/>
          </w:rPr>
          <w:tab/>
        </w:r>
        <w:r w:rsidRPr="00533B68">
          <w:t>Remuneration of receiver (Corporations Act, s 425 (1))</w:t>
        </w:r>
        <w:r>
          <w:tab/>
        </w:r>
        <w:r>
          <w:fldChar w:fldCharType="begin"/>
        </w:r>
        <w:r>
          <w:instrText xml:space="preserve"> PAGEREF _Toc185515631 \h </w:instrText>
        </w:r>
        <w:r>
          <w:fldChar w:fldCharType="separate"/>
        </w:r>
        <w:r>
          <w:t>1179</w:t>
        </w:r>
        <w:r>
          <w:fldChar w:fldCharType="end"/>
        </w:r>
      </w:hyperlink>
    </w:p>
    <w:p w14:paraId="1D9CFA2F" w14:textId="0E6891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2" w:history="1">
        <w:r w:rsidRPr="00533B68">
          <w:t>9.2</w:t>
        </w:r>
        <w:r>
          <w:rPr>
            <w:rFonts w:asciiTheme="minorHAnsi" w:eastAsiaTheme="minorEastAsia" w:hAnsiTheme="minorHAnsi" w:cstheme="minorBidi"/>
            <w:kern w:val="2"/>
            <w:sz w:val="24"/>
            <w:szCs w:val="24"/>
            <w:lang w:eastAsia="en-AU"/>
            <w14:ligatures w14:val="standardContextual"/>
          </w:rPr>
          <w:tab/>
        </w:r>
        <w:r w:rsidRPr="00533B68">
          <w:t>Determination by court of remuneration of administrator (Corporations Act, s 449E (1) (c) and (1A) (c))</w:t>
        </w:r>
        <w:r>
          <w:tab/>
        </w:r>
        <w:r>
          <w:fldChar w:fldCharType="begin"/>
        </w:r>
        <w:r>
          <w:instrText xml:space="preserve"> PAGEREF _Toc185515632 \h </w:instrText>
        </w:r>
        <w:r>
          <w:fldChar w:fldCharType="separate"/>
        </w:r>
        <w:r>
          <w:t>1181</w:t>
        </w:r>
        <w:r>
          <w:fldChar w:fldCharType="end"/>
        </w:r>
      </w:hyperlink>
    </w:p>
    <w:p w14:paraId="2A36B1BF" w14:textId="5CA5D7F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3" w:history="1">
        <w:r w:rsidRPr="00533B68">
          <w:t>9.2A</w:t>
        </w:r>
        <w:r>
          <w:rPr>
            <w:rFonts w:asciiTheme="minorHAnsi" w:eastAsiaTheme="minorEastAsia" w:hAnsiTheme="minorHAnsi" w:cstheme="minorBidi"/>
            <w:kern w:val="2"/>
            <w:sz w:val="24"/>
            <w:szCs w:val="24"/>
            <w:lang w:eastAsia="en-AU"/>
            <w14:ligatures w14:val="standardContextual"/>
          </w:rPr>
          <w:tab/>
        </w:r>
        <w:r w:rsidRPr="00533B68">
          <w:t>Review of remuneration of administrator (Corporations Act, s 449E (2))</w:t>
        </w:r>
        <w:r>
          <w:tab/>
        </w:r>
        <w:r>
          <w:fldChar w:fldCharType="begin"/>
        </w:r>
        <w:r>
          <w:instrText xml:space="preserve"> PAGEREF _Toc185515633 \h </w:instrText>
        </w:r>
        <w:r>
          <w:fldChar w:fldCharType="separate"/>
        </w:r>
        <w:r>
          <w:t>1183</w:t>
        </w:r>
        <w:r>
          <w:fldChar w:fldCharType="end"/>
        </w:r>
      </w:hyperlink>
    </w:p>
    <w:p w14:paraId="0F4DA99B" w14:textId="615B32F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4" w:history="1">
        <w:r w:rsidRPr="00533B68">
          <w:t>9.3</w:t>
        </w:r>
        <w:r>
          <w:rPr>
            <w:rFonts w:asciiTheme="minorHAnsi" w:eastAsiaTheme="minorEastAsia" w:hAnsiTheme="minorHAnsi" w:cstheme="minorBidi"/>
            <w:kern w:val="2"/>
            <w:sz w:val="24"/>
            <w:szCs w:val="24"/>
            <w:lang w:eastAsia="en-AU"/>
            <w14:ligatures w14:val="standardContextual"/>
          </w:rPr>
          <w:tab/>
        </w:r>
        <w:r w:rsidRPr="00533B68">
          <w:t>Remuneration of provisional liquidator (Corporations Act, s 473 (2))</w:t>
        </w:r>
        <w:r>
          <w:tab/>
        </w:r>
        <w:r>
          <w:fldChar w:fldCharType="begin"/>
        </w:r>
        <w:r>
          <w:instrText xml:space="preserve"> PAGEREF _Toc185515634 \h </w:instrText>
        </w:r>
        <w:r>
          <w:fldChar w:fldCharType="separate"/>
        </w:r>
        <w:r>
          <w:t>1185</w:t>
        </w:r>
        <w:r>
          <w:fldChar w:fldCharType="end"/>
        </w:r>
      </w:hyperlink>
    </w:p>
    <w:p w14:paraId="31706225" w14:textId="02BE05F8"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5" w:history="1">
        <w:r w:rsidRPr="00533B68">
          <w:t>9.4</w:t>
        </w:r>
        <w:r>
          <w:rPr>
            <w:rFonts w:asciiTheme="minorHAnsi" w:eastAsiaTheme="minorEastAsia" w:hAnsiTheme="minorHAnsi" w:cstheme="minorBidi"/>
            <w:kern w:val="2"/>
            <w:sz w:val="24"/>
            <w:szCs w:val="24"/>
            <w:lang w:eastAsia="en-AU"/>
            <w14:ligatures w14:val="standardContextual"/>
          </w:rPr>
          <w:tab/>
        </w:r>
        <w:r w:rsidRPr="00533B68">
          <w:t>Determination by court of liquidator’s remuneration (Corporations Act, s 473 (3) (b) (ii))</w:t>
        </w:r>
        <w:r>
          <w:tab/>
        </w:r>
        <w:r>
          <w:fldChar w:fldCharType="begin"/>
        </w:r>
        <w:r>
          <w:instrText xml:space="preserve"> PAGEREF _Toc185515635 \h </w:instrText>
        </w:r>
        <w:r>
          <w:fldChar w:fldCharType="separate"/>
        </w:r>
        <w:r>
          <w:t>1188</w:t>
        </w:r>
        <w:r>
          <w:fldChar w:fldCharType="end"/>
        </w:r>
      </w:hyperlink>
    </w:p>
    <w:p w14:paraId="3F72002E" w14:textId="4EF7BA5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6" w:history="1">
        <w:r w:rsidRPr="00533B68">
          <w:t>9.4A</w:t>
        </w:r>
        <w:r>
          <w:rPr>
            <w:rFonts w:asciiTheme="minorHAnsi" w:eastAsiaTheme="minorEastAsia" w:hAnsiTheme="minorHAnsi" w:cstheme="minorBidi"/>
            <w:kern w:val="2"/>
            <w:sz w:val="24"/>
            <w:szCs w:val="24"/>
            <w:lang w:eastAsia="en-AU"/>
            <w14:ligatures w14:val="standardContextual"/>
          </w:rPr>
          <w:tab/>
        </w:r>
        <w:r w:rsidRPr="00533B68">
          <w:t>Review of remuneration of liquidator (Corporations Act, s 473 (5) and (6) and s 504 (1))</w:t>
        </w:r>
        <w:r>
          <w:tab/>
        </w:r>
        <w:r>
          <w:fldChar w:fldCharType="begin"/>
        </w:r>
        <w:r>
          <w:instrText xml:space="preserve"> PAGEREF _Toc185515636 \h </w:instrText>
        </w:r>
        <w:r>
          <w:fldChar w:fldCharType="separate"/>
        </w:r>
        <w:r>
          <w:t>1190</w:t>
        </w:r>
        <w:r>
          <w:fldChar w:fldCharType="end"/>
        </w:r>
      </w:hyperlink>
    </w:p>
    <w:p w14:paraId="137DBD47" w14:textId="10B4346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7" w:history="1">
        <w:r w:rsidRPr="00533B68">
          <w:t>9.5</w:t>
        </w:r>
        <w:r>
          <w:rPr>
            <w:rFonts w:asciiTheme="minorHAnsi" w:eastAsiaTheme="minorEastAsia" w:hAnsiTheme="minorHAnsi" w:cstheme="minorBidi"/>
            <w:kern w:val="2"/>
            <w:sz w:val="24"/>
            <w:szCs w:val="24"/>
            <w:lang w:eastAsia="en-AU"/>
            <w14:ligatures w14:val="standardContextual"/>
          </w:rPr>
          <w:tab/>
        </w:r>
        <w:r w:rsidRPr="00533B68">
          <w:t>Remuneration of special manager (Corporations Act, s 484 (2))</w:t>
        </w:r>
        <w:r>
          <w:tab/>
        </w:r>
        <w:r>
          <w:fldChar w:fldCharType="begin"/>
        </w:r>
        <w:r>
          <w:instrText xml:space="preserve"> PAGEREF _Toc185515637 \h </w:instrText>
        </w:r>
        <w:r>
          <w:fldChar w:fldCharType="separate"/>
        </w:r>
        <w:r>
          <w:t>1193</w:t>
        </w:r>
        <w:r>
          <w:fldChar w:fldCharType="end"/>
        </w:r>
      </w:hyperlink>
    </w:p>
    <w:p w14:paraId="59D31B17" w14:textId="6D3B3F79"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38" w:history="1">
        <w:r w:rsidR="00AC5392" w:rsidRPr="00533B68">
          <w:t>Part 6.10</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Winding-up generally</w:t>
        </w:r>
        <w:r w:rsidR="00AC5392">
          <w:tab/>
        </w:r>
        <w:r w:rsidR="00AC5392" w:rsidRPr="00AC5392">
          <w:rPr>
            <w:b w:val="0"/>
          </w:rPr>
          <w:fldChar w:fldCharType="begin"/>
        </w:r>
        <w:r w:rsidR="00AC5392" w:rsidRPr="00AC5392">
          <w:rPr>
            <w:b w:val="0"/>
          </w:rPr>
          <w:instrText xml:space="preserve"> PAGEREF _Toc185515638 \h </w:instrText>
        </w:r>
        <w:r w:rsidR="00AC5392" w:rsidRPr="00AC5392">
          <w:rPr>
            <w:b w:val="0"/>
          </w:rPr>
        </w:r>
        <w:r w:rsidR="00AC5392" w:rsidRPr="00AC5392">
          <w:rPr>
            <w:b w:val="0"/>
          </w:rPr>
          <w:fldChar w:fldCharType="separate"/>
        </w:r>
        <w:r w:rsidR="00AC5392" w:rsidRPr="00AC5392">
          <w:rPr>
            <w:b w:val="0"/>
          </w:rPr>
          <w:t>1196</w:t>
        </w:r>
        <w:r w:rsidR="00AC5392" w:rsidRPr="00AC5392">
          <w:rPr>
            <w:b w:val="0"/>
          </w:rPr>
          <w:fldChar w:fldCharType="end"/>
        </w:r>
      </w:hyperlink>
    </w:p>
    <w:p w14:paraId="12C33A71" w14:textId="6C4B6F5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39" w:history="1">
        <w:r w:rsidRPr="00533B68">
          <w:t>10.1</w:t>
        </w:r>
        <w:r>
          <w:rPr>
            <w:rFonts w:asciiTheme="minorHAnsi" w:eastAsiaTheme="minorEastAsia" w:hAnsiTheme="minorHAnsi" w:cstheme="minorBidi"/>
            <w:kern w:val="2"/>
            <w:sz w:val="24"/>
            <w:szCs w:val="24"/>
            <w:lang w:eastAsia="en-AU"/>
            <w14:ligatures w14:val="standardContextual"/>
          </w:rPr>
          <w:tab/>
        </w:r>
        <w:r w:rsidRPr="00533B68">
          <w:t>Determination of value of debts or claims (Corporations Act, s 554A (2))</w:t>
        </w:r>
        <w:r>
          <w:tab/>
        </w:r>
        <w:r>
          <w:fldChar w:fldCharType="begin"/>
        </w:r>
        <w:r>
          <w:instrText xml:space="preserve"> PAGEREF _Toc185515639 \h </w:instrText>
        </w:r>
        <w:r>
          <w:fldChar w:fldCharType="separate"/>
        </w:r>
        <w:r>
          <w:t>1196</w:t>
        </w:r>
        <w:r>
          <w:fldChar w:fldCharType="end"/>
        </w:r>
      </w:hyperlink>
    </w:p>
    <w:p w14:paraId="66A5C8E8" w14:textId="24FB5C9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0" w:history="1">
        <w:r w:rsidRPr="00533B68">
          <w:t>10.2</w:t>
        </w:r>
        <w:r>
          <w:rPr>
            <w:rFonts w:asciiTheme="minorHAnsi" w:eastAsiaTheme="minorEastAsia" w:hAnsiTheme="minorHAnsi" w:cstheme="minorBidi"/>
            <w:kern w:val="2"/>
            <w:sz w:val="24"/>
            <w:szCs w:val="24"/>
            <w:lang w:eastAsia="en-AU"/>
            <w14:ligatures w14:val="standardContextual"/>
          </w:rPr>
          <w:tab/>
        </w:r>
        <w:r w:rsidRPr="00533B68">
          <w:t>Disclaimer of contract (Corporations Act, s 568 (1A))</w:t>
        </w:r>
        <w:r>
          <w:tab/>
        </w:r>
        <w:r>
          <w:fldChar w:fldCharType="begin"/>
        </w:r>
        <w:r>
          <w:instrText xml:space="preserve"> PAGEREF _Toc185515640 \h </w:instrText>
        </w:r>
        <w:r>
          <w:fldChar w:fldCharType="separate"/>
        </w:r>
        <w:r>
          <w:t>1196</w:t>
        </w:r>
        <w:r>
          <w:fldChar w:fldCharType="end"/>
        </w:r>
      </w:hyperlink>
    </w:p>
    <w:p w14:paraId="01194D8B" w14:textId="5A1BA34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1" w:history="1">
        <w:r w:rsidRPr="00533B68">
          <w:t>10.3</w:t>
        </w:r>
        <w:r>
          <w:rPr>
            <w:rFonts w:asciiTheme="minorHAnsi" w:eastAsiaTheme="minorEastAsia" w:hAnsiTheme="minorHAnsi" w:cstheme="minorBidi"/>
            <w:kern w:val="2"/>
            <w:sz w:val="24"/>
            <w:szCs w:val="24"/>
            <w:lang w:eastAsia="en-AU"/>
            <w14:ligatures w14:val="standardContextual"/>
          </w:rPr>
          <w:tab/>
        </w:r>
        <w:r w:rsidRPr="00533B68">
          <w:t>Winding-up Part 5.7 bodies (Corporations Act s 583, s 585) and registered schemes (Corporations Act, s 601ND)</w:t>
        </w:r>
        <w:r>
          <w:tab/>
        </w:r>
        <w:r>
          <w:fldChar w:fldCharType="begin"/>
        </w:r>
        <w:r>
          <w:instrText xml:space="preserve"> PAGEREF _Toc185515641 \h </w:instrText>
        </w:r>
        <w:r>
          <w:fldChar w:fldCharType="separate"/>
        </w:r>
        <w:r>
          <w:t>1196</w:t>
        </w:r>
        <w:r>
          <w:fldChar w:fldCharType="end"/>
        </w:r>
      </w:hyperlink>
    </w:p>
    <w:p w14:paraId="42C07821" w14:textId="1B8F6817"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42" w:history="1">
        <w:r w:rsidR="00AC5392" w:rsidRPr="00533B68">
          <w:t>Part 6.11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Examinations and orders (Corporations Act, pt 5.9, div 1 and div 2)</w:t>
        </w:r>
        <w:r w:rsidR="00AC5392">
          <w:tab/>
        </w:r>
        <w:r w:rsidR="00AC5392" w:rsidRPr="00AC5392">
          <w:rPr>
            <w:b w:val="0"/>
          </w:rPr>
          <w:fldChar w:fldCharType="begin"/>
        </w:r>
        <w:r w:rsidR="00AC5392" w:rsidRPr="00AC5392">
          <w:rPr>
            <w:b w:val="0"/>
          </w:rPr>
          <w:instrText xml:space="preserve"> PAGEREF _Toc185515642 \h </w:instrText>
        </w:r>
        <w:r w:rsidR="00AC5392" w:rsidRPr="00AC5392">
          <w:rPr>
            <w:b w:val="0"/>
          </w:rPr>
        </w:r>
        <w:r w:rsidR="00AC5392" w:rsidRPr="00AC5392">
          <w:rPr>
            <w:b w:val="0"/>
          </w:rPr>
          <w:fldChar w:fldCharType="separate"/>
        </w:r>
        <w:r w:rsidR="00AC5392" w:rsidRPr="00AC5392">
          <w:rPr>
            <w:b w:val="0"/>
          </w:rPr>
          <w:t>1197</w:t>
        </w:r>
        <w:r w:rsidR="00AC5392" w:rsidRPr="00AC5392">
          <w:rPr>
            <w:b w:val="0"/>
          </w:rPr>
          <w:fldChar w:fldCharType="end"/>
        </w:r>
      </w:hyperlink>
    </w:p>
    <w:p w14:paraId="6CCD7163" w14:textId="715300B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3" w:history="1">
        <w:r w:rsidRPr="00533B68">
          <w:t>11.1</w:t>
        </w:r>
        <w:r>
          <w:rPr>
            <w:rFonts w:asciiTheme="minorHAnsi" w:eastAsiaTheme="minorEastAsia" w:hAnsiTheme="minorHAnsi" w:cstheme="minorBidi"/>
            <w:kern w:val="2"/>
            <w:sz w:val="24"/>
            <w:szCs w:val="24"/>
            <w:lang w:eastAsia="en-AU"/>
            <w14:ligatures w14:val="standardContextual"/>
          </w:rPr>
          <w:tab/>
        </w:r>
        <w:r w:rsidRPr="00533B68">
          <w:t xml:space="preserve">Meaning of </w:t>
        </w:r>
        <w:r w:rsidRPr="00533B68">
          <w:rPr>
            <w:i/>
          </w:rPr>
          <w:t xml:space="preserve">examination summons </w:t>
        </w:r>
        <w:r w:rsidRPr="00533B68">
          <w:t>in pt 6.11</w:t>
        </w:r>
        <w:r>
          <w:tab/>
        </w:r>
        <w:r>
          <w:fldChar w:fldCharType="begin"/>
        </w:r>
        <w:r>
          <w:instrText xml:space="preserve"> PAGEREF _Toc185515643 \h </w:instrText>
        </w:r>
        <w:r>
          <w:fldChar w:fldCharType="separate"/>
        </w:r>
        <w:r>
          <w:t>1197</w:t>
        </w:r>
        <w:r>
          <w:fldChar w:fldCharType="end"/>
        </w:r>
      </w:hyperlink>
    </w:p>
    <w:p w14:paraId="2083E1BF" w14:textId="184FD30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4" w:history="1">
        <w:r w:rsidRPr="00533B68">
          <w:t>11.2</w:t>
        </w:r>
        <w:r>
          <w:rPr>
            <w:rFonts w:asciiTheme="minorHAnsi" w:eastAsiaTheme="minorEastAsia" w:hAnsiTheme="minorHAnsi" w:cstheme="minorBidi"/>
            <w:kern w:val="2"/>
            <w:sz w:val="24"/>
            <w:szCs w:val="24"/>
            <w:lang w:eastAsia="en-AU"/>
            <w14:ligatures w14:val="standardContextual"/>
          </w:rPr>
          <w:tab/>
        </w:r>
        <w:r w:rsidRPr="00533B68">
          <w:t>Application for examination or investigation under Corporations Act, s 411 (9) (b), s 423 or s 536 (3)</w:t>
        </w:r>
        <w:r>
          <w:tab/>
        </w:r>
        <w:r>
          <w:fldChar w:fldCharType="begin"/>
        </w:r>
        <w:r>
          <w:instrText xml:space="preserve"> PAGEREF _Toc185515644 \h </w:instrText>
        </w:r>
        <w:r>
          <w:fldChar w:fldCharType="separate"/>
        </w:r>
        <w:r>
          <w:t>1197</w:t>
        </w:r>
        <w:r>
          <w:fldChar w:fldCharType="end"/>
        </w:r>
      </w:hyperlink>
    </w:p>
    <w:p w14:paraId="7E781CBF" w14:textId="495FD6A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5" w:history="1">
        <w:r w:rsidRPr="00533B68">
          <w:t>11.3</w:t>
        </w:r>
        <w:r>
          <w:rPr>
            <w:rFonts w:asciiTheme="minorHAnsi" w:eastAsiaTheme="minorEastAsia" w:hAnsiTheme="minorHAnsi" w:cstheme="minorBidi"/>
            <w:kern w:val="2"/>
            <w:sz w:val="24"/>
            <w:szCs w:val="24"/>
            <w:lang w:eastAsia="en-AU"/>
            <w14:ligatures w14:val="standardContextual"/>
          </w:rPr>
          <w:tab/>
        </w:r>
        <w:r w:rsidRPr="00533B68">
          <w:t>Application for examination summons (Corporations Act, s 596A, s 596B)</w:t>
        </w:r>
        <w:r>
          <w:tab/>
        </w:r>
        <w:r>
          <w:fldChar w:fldCharType="begin"/>
        </w:r>
        <w:r>
          <w:instrText xml:space="preserve"> PAGEREF _Toc185515645 \h </w:instrText>
        </w:r>
        <w:r>
          <w:fldChar w:fldCharType="separate"/>
        </w:r>
        <w:r>
          <w:t>1198</w:t>
        </w:r>
        <w:r>
          <w:fldChar w:fldCharType="end"/>
        </w:r>
      </w:hyperlink>
    </w:p>
    <w:p w14:paraId="60F3CCB6" w14:textId="7CBAFBC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6" w:history="1">
        <w:r w:rsidRPr="00533B68">
          <w:t>11.4</w:t>
        </w:r>
        <w:r>
          <w:rPr>
            <w:rFonts w:asciiTheme="minorHAnsi" w:eastAsiaTheme="minorEastAsia" w:hAnsiTheme="minorHAnsi" w:cstheme="minorBidi"/>
            <w:kern w:val="2"/>
            <w:sz w:val="24"/>
            <w:szCs w:val="24"/>
            <w:lang w:eastAsia="en-AU"/>
            <w14:ligatures w14:val="standardContextual"/>
          </w:rPr>
          <w:tab/>
        </w:r>
        <w:r w:rsidRPr="00533B68">
          <w:t>Service of examination summons</w:t>
        </w:r>
        <w:r>
          <w:tab/>
        </w:r>
        <w:r>
          <w:fldChar w:fldCharType="begin"/>
        </w:r>
        <w:r>
          <w:instrText xml:space="preserve"> PAGEREF _Toc185515646 \h </w:instrText>
        </w:r>
        <w:r>
          <w:fldChar w:fldCharType="separate"/>
        </w:r>
        <w:r>
          <w:t>1199</w:t>
        </w:r>
        <w:r>
          <w:fldChar w:fldCharType="end"/>
        </w:r>
      </w:hyperlink>
    </w:p>
    <w:p w14:paraId="04014FBE" w14:textId="2C5A71E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7" w:history="1">
        <w:r w:rsidRPr="00533B68">
          <w:t>11.5</w:t>
        </w:r>
        <w:r>
          <w:rPr>
            <w:rFonts w:asciiTheme="minorHAnsi" w:eastAsiaTheme="minorEastAsia" w:hAnsiTheme="minorHAnsi" w:cstheme="minorBidi"/>
            <w:kern w:val="2"/>
            <w:sz w:val="24"/>
            <w:szCs w:val="24"/>
            <w:lang w:eastAsia="en-AU"/>
            <w14:ligatures w14:val="standardContextual"/>
          </w:rPr>
          <w:tab/>
        </w:r>
        <w:r w:rsidRPr="00533B68">
          <w:t>Discharge of examination summons</w:t>
        </w:r>
        <w:r>
          <w:tab/>
        </w:r>
        <w:r>
          <w:fldChar w:fldCharType="begin"/>
        </w:r>
        <w:r>
          <w:instrText xml:space="preserve"> PAGEREF _Toc185515647 \h </w:instrText>
        </w:r>
        <w:r>
          <w:fldChar w:fldCharType="separate"/>
        </w:r>
        <w:r>
          <w:t>1199</w:t>
        </w:r>
        <w:r>
          <w:fldChar w:fldCharType="end"/>
        </w:r>
      </w:hyperlink>
    </w:p>
    <w:p w14:paraId="415CD589" w14:textId="24CFF4E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8" w:history="1">
        <w:r w:rsidRPr="00533B68">
          <w:t>11.6</w:t>
        </w:r>
        <w:r>
          <w:rPr>
            <w:rFonts w:asciiTheme="minorHAnsi" w:eastAsiaTheme="minorEastAsia" w:hAnsiTheme="minorHAnsi" w:cstheme="minorBidi"/>
            <w:kern w:val="2"/>
            <w:sz w:val="24"/>
            <w:szCs w:val="24"/>
            <w:lang w:eastAsia="en-AU"/>
            <w14:ligatures w14:val="standardContextual"/>
          </w:rPr>
          <w:tab/>
        </w:r>
        <w:r w:rsidRPr="00533B68">
          <w:t>Filing of record of examination (Corporations Act, s 597 (13))</w:t>
        </w:r>
        <w:r>
          <w:tab/>
        </w:r>
        <w:r>
          <w:fldChar w:fldCharType="begin"/>
        </w:r>
        <w:r>
          <w:instrText xml:space="preserve"> PAGEREF _Toc185515648 \h </w:instrText>
        </w:r>
        <w:r>
          <w:fldChar w:fldCharType="separate"/>
        </w:r>
        <w:r>
          <w:t>1199</w:t>
        </w:r>
        <w:r>
          <w:fldChar w:fldCharType="end"/>
        </w:r>
      </w:hyperlink>
    </w:p>
    <w:p w14:paraId="2178B460" w14:textId="58F2D07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49" w:history="1">
        <w:r w:rsidRPr="00533B68">
          <w:t>11.7</w:t>
        </w:r>
        <w:r>
          <w:rPr>
            <w:rFonts w:asciiTheme="minorHAnsi" w:eastAsiaTheme="minorEastAsia" w:hAnsiTheme="minorHAnsi" w:cstheme="minorBidi"/>
            <w:kern w:val="2"/>
            <w:sz w:val="24"/>
            <w:szCs w:val="24"/>
            <w:lang w:eastAsia="en-AU"/>
            <w14:ligatures w14:val="standardContextual"/>
          </w:rPr>
          <w:tab/>
        </w:r>
        <w:r w:rsidRPr="00533B68">
          <w:t>Authentication of transcript of examination (Corporations Act, s 597 (14))</w:t>
        </w:r>
        <w:r>
          <w:tab/>
        </w:r>
        <w:r>
          <w:fldChar w:fldCharType="begin"/>
        </w:r>
        <w:r>
          <w:instrText xml:space="preserve"> PAGEREF _Toc185515649 \h </w:instrText>
        </w:r>
        <w:r>
          <w:fldChar w:fldCharType="separate"/>
        </w:r>
        <w:r>
          <w:t>1200</w:t>
        </w:r>
        <w:r>
          <w:fldChar w:fldCharType="end"/>
        </w:r>
      </w:hyperlink>
    </w:p>
    <w:p w14:paraId="2EAC84EB" w14:textId="7633D51E"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50" w:history="1">
        <w:r w:rsidRPr="00533B68">
          <w:t>11.8</w:t>
        </w:r>
        <w:r>
          <w:rPr>
            <w:rFonts w:asciiTheme="minorHAnsi" w:eastAsiaTheme="minorEastAsia" w:hAnsiTheme="minorHAnsi" w:cstheme="minorBidi"/>
            <w:kern w:val="2"/>
            <w:sz w:val="24"/>
            <w:szCs w:val="24"/>
            <w:lang w:eastAsia="en-AU"/>
            <w14:ligatures w14:val="standardContextual"/>
          </w:rPr>
          <w:tab/>
        </w:r>
        <w:r w:rsidRPr="00533B68">
          <w:t>Inspection of record or transcript of examination or investigation under Corporations Act, s 411, s 423 or s 536</w:t>
        </w:r>
        <w:r>
          <w:tab/>
        </w:r>
        <w:r>
          <w:fldChar w:fldCharType="begin"/>
        </w:r>
        <w:r>
          <w:instrText xml:space="preserve"> PAGEREF _Toc185515650 \h </w:instrText>
        </w:r>
        <w:r>
          <w:fldChar w:fldCharType="separate"/>
        </w:r>
        <w:r>
          <w:t>1200</w:t>
        </w:r>
        <w:r>
          <w:fldChar w:fldCharType="end"/>
        </w:r>
      </w:hyperlink>
    </w:p>
    <w:p w14:paraId="2B73EE22" w14:textId="3D83DE1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51" w:history="1">
        <w:r w:rsidRPr="00533B68">
          <w:t>11.9</w:t>
        </w:r>
        <w:r>
          <w:rPr>
            <w:rFonts w:asciiTheme="minorHAnsi" w:eastAsiaTheme="minorEastAsia" w:hAnsiTheme="minorHAnsi" w:cstheme="minorBidi"/>
            <w:kern w:val="2"/>
            <w:sz w:val="24"/>
            <w:szCs w:val="24"/>
            <w:lang w:eastAsia="en-AU"/>
            <w14:ligatures w14:val="standardContextual"/>
          </w:rPr>
          <w:tab/>
        </w:r>
        <w:r w:rsidRPr="00533B68">
          <w:t>Entitlement to record or transcript of examination held in public</w:t>
        </w:r>
        <w:r>
          <w:tab/>
        </w:r>
        <w:r>
          <w:fldChar w:fldCharType="begin"/>
        </w:r>
        <w:r>
          <w:instrText xml:space="preserve"> PAGEREF _Toc185515651 \h </w:instrText>
        </w:r>
        <w:r>
          <w:fldChar w:fldCharType="separate"/>
        </w:r>
        <w:r>
          <w:t>1200</w:t>
        </w:r>
        <w:r>
          <w:fldChar w:fldCharType="end"/>
        </w:r>
      </w:hyperlink>
    </w:p>
    <w:p w14:paraId="19836220" w14:textId="06EB7A9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52" w:history="1">
        <w:r w:rsidRPr="00533B68">
          <w:t>11.10</w:t>
        </w:r>
        <w:r>
          <w:rPr>
            <w:rFonts w:asciiTheme="minorHAnsi" w:eastAsiaTheme="minorEastAsia" w:hAnsiTheme="minorHAnsi" w:cstheme="minorBidi"/>
            <w:kern w:val="2"/>
            <w:sz w:val="24"/>
            <w:szCs w:val="24"/>
            <w:lang w:eastAsia="en-AU"/>
            <w14:ligatures w14:val="standardContextual"/>
          </w:rPr>
          <w:tab/>
        </w:r>
        <w:r w:rsidRPr="00533B68">
          <w:t>Default in relation to examination</w:t>
        </w:r>
        <w:r>
          <w:tab/>
        </w:r>
        <w:r>
          <w:fldChar w:fldCharType="begin"/>
        </w:r>
        <w:r>
          <w:instrText xml:space="preserve"> PAGEREF _Toc185515652 \h </w:instrText>
        </w:r>
        <w:r>
          <w:fldChar w:fldCharType="separate"/>
        </w:r>
        <w:r>
          <w:t>1201</w:t>
        </w:r>
        <w:r>
          <w:fldChar w:fldCharType="end"/>
        </w:r>
      </w:hyperlink>
    </w:p>
    <w:p w14:paraId="60581BF2" w14:textId="12CB883E"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653" w:history="1">
        <w:r w:rsidRPr="00533B68">
          <w:t>11.11</w:t>
        </w:r>
        <w:r>
          <w:rPr>
            <w:rFonts w:asciiTheme="minorHAnsi" w:eastAsiaTheme="minorEastAsia" w:hAnsiTheme="minorHAnsi" w:cstheme="minorBidi"/>
            <w:kern w:val="2"/>
            <w:sz w:val="24"/>
            <w:szCs w:val="24"/>
            <w:lang w:eastAsia="en-AU"/>
            <w14:ligatures w14:val="standardContextual"/>
          </w:rPr>
          <w:tab/>
        </w:r>
        <w:r w:rsidRPr="00533B68">
          <w:t>Service of application for order in relation to breaches etc by person concerned with corporation (Corporations Act, s 598)</w:t>
        </w:r>
        <w:r>
          <w:tab/>
        </w:r>
        <w:r>
          <w:fldChar w:fldCharType="begin"/>
        </w:r>
        <w:r>
          <w:instrText xml:space="preserve"> PAGEREF _Toc185515653 \h </w:instrText>
        </w:r>
        <w:r>
          <w:fldChar w:fldCharType="separate"/>
        </w:r>
        <w:r>
          <w:t>1202</w:t>
        </w:r>
        <w:r>
          <w:fldChar w:fldCharType="end"/>
        </w:r>
      </w:hyperlink>
    </w:p>
    <w:p w14:paraId="2F350734" w14:textId="21A5BA58"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54" w:history="1">
        <w:r w:rsidR="00AC5392" w:rsidRPr="00533B68">
          <w:t>Part 6.11A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Warrants (Corporations Act, s 486B and pt 5.4B, div 3, subdiv B)</w:t>
        </w:r>
        <w:r w:rsidR="00AC5392">
          <w:tab/>
        </w:r>
        <w:r w:rsidR="00AC5392" w:rsidRPr="00AC5392">
          <w:rPr>
            <w:b w:val="0"/>
          </w:rPr>
          <w:fldChar w:fldCharType="begin"/>
        </w:r>
        <w:r w:rsidR="00AC5392" w:rsidRPr="00AC5392">
          <w:rPr>
            <w:b w:val="0"/>
          </w:rPr>
          <w:instrText xml:space="preserve"> PAGEREF _Toc185515654 \h </w:instrText>
        </w:r>
        <w:r w:rsidR="00AC5392" w:rsidRPr="00AC5392">
          <w:rPr>
            <w:b w:val="0"/>
          </w:rPr>
        </w:r>
        <w:r w:rsidR="00AC5392" w:rsidRPr="00AC5392">
          <w:rPr>
            <w:b w:val="0"/>
          </w:rPr>
          <w:fldChar w:fldCharType="separate"/>
        </w:r>
        <w:r w:rsidR="00AC5392" w:rsidRPr="00AC5392">
          <w:rPr>
            <w:b w:val="0"/>
          </w:rPr>
          <w:t>1203</w:t>
        </w:r>
        <w:r w:rsidR="00AC5392" w:rsidRPr="00AC5392">
          <w:rPr>
            <w:b w:val="0"/>
          </w:rPr>
          <w:fldChar w:fldCharType="end"/>
        </w:r>
      </w:hyperlink>
    </w:p>
    <w:p w14:paraId="20622C23" w14:textId="253676A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55" w:history="1">
        <w:r w:rsidRPr="00533B68">
          <w:t>11A.1</w:t>
        </w:r>
        <w:r>
          <w:rPr>
            <w:rFonts w:asciiTheme="minorHAnsi" w:eastAsiaTheme="minorEastAsia" w:hAnsiTheme="minorHAnsi" w:cstheme="minorBidi"/>
            <w:kern w:val="2"/>
            <w:sz w:val="24"/>
            <w:szCs w:val="24"/>
            <w:lang w:eastAsia="en-AU"/>
            <w14:ligatures w14:val="standardContextual"/>
          </w:rPr>
          <w:tab/>
        </w:r>
        <w:r w:rsidRPr="00533B68">
          <w:t>Arrest of person (Corporations Act, s 486B)</w:t>
        </w:r>
        <w:r>
          <w:tab/>
        </w:r>
        <w:r>
          <w:fldChar w:fldCharType="begin"/>
        </w:r>
        <w:r>
          <w:instrText xml:space="preserve"> PAGEREF _Toc185515655 \h </w:instrText>
        </w:r>
        <w:r>
          <w:fldChar w:fldCharType="separate"/>
        </w:r>
        <w:r>
          <w:t>1203</w:t>
        </w:r>
        <w:r>
          <w:fldChar w:fldCharType="end"/>
        </w:r>
      </w:hyperlink>
    </w:p>
    <w:p w14:paraId="7143F0CF" w14:textId="2D350B8B"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56" w:history="1">
        <w:r w:rsidR="00AC5392" w:rsidRPr="00533B68">
          <w:t>Part 6.12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Takeovers, acquisitions of shares and other matters (Corporations Act, chs 6, 6A, 6B, 6C, 6D and 7) and securities (Corporations Act, ch 7)</w:t>
        </w:r>
        <w:r w:rsidR="00AC5392">
          <w:tab/>
        </w:r>
        <w:r w:rsidR="00AC5392" w:rsidRPr="00AC5392">
          <w:rPr>
            <w:b w:val="0"/>
          </w:rPr>
          <w:fldChar w:fldCharType="begin"/>
        </w:r>
        <w:r w:rsidR="00AC5392" w:rsidRPr="00AC5392">
          <w:rPr>
            <w:b w:val="0"/>
          </w:rPr>
          <w:instrText xml:space="preserve"> PAGEREF _Toc185515656 \h </w:instrText>
        </w:r>
        <w:r w:rsidR="00AC5392" w:rsidRPr="00AC5392">
          <w:rPr>
            <w:b w:val="0"/>
          </w:rPr>
        </w:r>
        <w:r w:rsidR="00AC5392" w:rsidRPr="00AC5392">
          <w:rPr>
            <w:b w:val="0"/>
          </w:rPr>
          <w:fldChar w:fldCharType="separate"/>
        </w:r>
        <w:r w:rsidR="00AC5392" w:rsidRPr="00AC5392">
          <w:rPr>
            <w:b w:val="0"/>
          </w:rPr>
          <w:t>1204</w:t>
        </w:r>
        <w:r w:rsidR="00AC5392" w:rsidRPr="00AC5392">
          <w:rPr>
            <w:b w:val="0"/>
          </w:rPr>
          <w:fldChar w:fldCharType="end"/>
        </w:r>
      </w:hyperlink>
    </w:p>
    <w:p w14:paraId="567A3AF2" w14:textId="357202F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57" w:history="1">
        <w:r w:rsidRPr="00533B68">
          <w:t>12.1</w:t>
        </w:r>
        <w:r>
          <w:rPr>
            <w:rFonts w:asciiTheme="minorHAnsi" w:eastAsiaTheme="minorEastAsia" w:hAnsiTheme="minorHAnsi" w:cstheme="minorBidi"/>
            <w:kern w:val="2"/>
            <w:sz w:val="24"/>
            <w:szCs w:val="24"/>
            <w:lang w:eastAsia="en-AU"/>
            <w14:ligatures w14:val="standardContextual"/>
          </w:rPr>
          <w:tab/>
        </w:r>
        <w:r w:rsidRPr="00533B68">
          <w:t>Service on ASIC in relation to proceedings under Corporations Act, ch 6, 6A, 6B, 6C, 6D or 7</w:t>
        </w:r>
        <w:r>
          <w:tab/>
        </w:r>
        <w:r>
          <w:fldChar w:fldCharType="begin"/>
        </w:r>
        <w:r>
          <w:instrText xml:space="preserve"> PAGEREF _Toc185515657 \h </w:instrText>
        </w:r>
        <w:r>
          <w:fldChar w:fldCharType="separate"/>
        </w:r>
        <w:r>
          <w:t>1204</w:t>
        </w:r>
        <w:r>
          <w:fldChar w:fldCharType="end"/>
        </w:r>
      </w:hyperlink>
    </w:p>
    <w:p w14:paraId="2A343899" w14:textId="71E8769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58" w:history="1">
        <w:r w:rsidRPr="00533B68">
          <w:t>12.1A</w:t>
        </w:r>
        <w:r>
          <w:rPr>
            <w:rFonts w:asciiTheme="minorHAnsi" w:eastAsiaTheme="minorEastAsia" w:hAnsiTheme="minorHAnsi" w:cstheme="minorBidi"/>
            <w:kern w:val="2"/>
            <w:sz w:val="24"/>
            <w:szCs w:val="24"/>
            <w:lang w:eastAsia="en-AU"/>
            <w14:ligatures w14:val="standardContextual"/>
          </w:rPr>
          <w:tab/>
        </w:r>
        <w:r w:rsidRPr="00533B68">
          <w:t>Reference to court of question of law arising in proceeding before Takeovers Panel (Corporations Act, s 659A)</w:t>
        </w:r>
        <w:r>
          <w:tab/>
        </w:r>
        <w:r>
          <w:fldChar w:fldCharType="begin"/>
        </w:r>
        <w:r>
          <w:instrText xml:space="preserve"> PAGEREF _Toc185515658 \h </w:instrText>
        </w:r>
        <w:r>
          <w:fldChar w:fldCharType="separate"/>
        </w:r>
        <w:r>
          <w:t>1204</w:t>
        </w:r>
        <w:r>
          <w:fldChar w:fldCharType="end"/>
        </w:r>
      </w:hyperlink>
    </w:p>
    <w:p w14:paraId="306C0187" w14:textId="7E1AC69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59" w:history="1">
        <w:r w:rsidRPr="00533B68">
          <w:t>12.1B</w:t>
        </w:r>
        <w:r>
          <w:rPr>
            <w:rFonts w:asciiTheme="minorHAnsi" w:eastAsiaTheme="minorEastAsia" w:hAnsiTheme="minorHAnsi" w:cstheme="minorBidi"/>
            <w:kern w:val="2"/>
            <w:sz w:val="24"/>
            <w:szCs w:val="24"/>
            <w:lang w:eastAsia="en-AU"/>
            <w14:ligatures w14:val="standardContextual"/>
          </w:rPr>
          <w:tab/>
        </w:r>
        <w:r w:rsidRPr="00533B68">
          <w:t>Notification to court if proceeding started before end of takeover bid period (Corporations Act, s 659B)</w:t>
        </w:r>
        <w:r>
          <w:tab/>
        </w:r>
        <w:r>
          <w:fldChar w:fldCharType="begin"/>
        </w:r>
        <w:r>
          <w:instrText xml:space="preserve"> PAGEREF _Toc185515659 \h </w:instrText>
        </w:r>
        <w:r>
          <w:fldChar w:fldCharType="separate"/>
        </w:r>
        <w:r>
          <w:t>1204</w:t>
        </w:r>
        <w:r>
          <w:fldChar w:fldCharType="end"/>
        </w:r>
      </w:hyperlink>
    </w:p>
    <w:p w14:paraId="3A835782" w14:textId="644258C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60" w:history="1">
        <w:r w:rsidRPr="00533B68">
          <w:t>12.2</w:t>
        </w:r>
        <w:r>
          <w:rPr>
            <w:rFonts w:asciiTheme="minorHAnsi" w:eastAsiaTheme="minorEastAsia" w:hAnsiTheme="minorHAnsi" w:cstheme="minorBidi"/>
            <w:kern w:val="2"/>
            <w:sz w:val="24"/>
            <w:szCs w:val="24"/>
            <w:lang w:eastAsia="en-AU"/>
            <w14:ligatures w14:val="standardContextual"/>
          </w:rPr>
          <w:tab/>
        </w:r>
        <w:r w:rsidRPr="00533B68">
          <w:t>Application for summons for appearance of person (Corporations Act, s 1071D (4))</w:t>
        </w:r>
        <w:r>
          <w:tab/>
        </w:r>
        <w:r>
          <w:fldChar w:fldCharType="begin"/>
        </w:r>
        <w:r>
          <w:instrText xml:space="preserve"> PAGEREF _Toc185515660 \h </w:instrText>
        </w:r>
        <w:r>
          <w:fldChar w:fldCharType="separate"/>
        </w:r>
        <w:r>
          <w:t>1205</w:t>
        </w:r>
        <w:r>
          <w:fldChar w:fldCharType="end"/>
        </w:r>
      </w:hyperlink>
    </w:p>
    <w:p w14:paraId="5BC0EA4B" w14:textId="6054280D"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61" w:history="1">
        <w:r w:rsidRPr="00533B68">
          <w:t>12.3</w:t>
        </w:r>
        <w:r>
          <w:rPr>
            <w:rFonts w:asciiTheme="minorHAnsi" w:eastAsiaTheme="minorEastAsia" w:hAnsiTheme="minorHAnsi" w:cstheme="minorBidi"/>
            <w:kern w:val="2"/>
            <w:sz w:val="24"/>
            <w:szCs w:val="24"/>
            <w:lang w:eastAsia="en-AU"/>
            <w14:ligatures w14:val="standardContextual"/>
          </w:rPr>
          <w:tab/>
        </w:r>
        <w:r w:rsidRPr="00533B68">
          <w:t>Application for orders relating to refusal to register transfer or transmission of securities (Corporations Act, s 1071F)</w:t>
        </w:r>
        <w:r>
          <w:tab/>
        </w:r>
        <w:r>
          <w:fldChar w:fldCharType="begin"/>
        </w:r>
        <w:r>
          <w:instrText xml:space="preserve"> PAGEREF _Toc185515661 \h </w:instrText>
        </w:r>
        <w:r>
          <w:fldChar w:fldCharType="separate"/>
        </w:r>
        <w:r>
          <w:t>1205</w:t>
        </w:r>
        <w:r>
          <w:fldChar w:fldCharType="end"/>
        </w:r>
      </w:hyperlink>
    </w:p>
    <w:p w14:paraId="12E937CF" w14:textId="3E204C88"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62" w:history="1">
        <w:r w:rsidR="00AC5392" w:rsidRPr="00533B68">
          <w:t>Part 6.13</w:t>
        </w:r>
        <w:r w:rsidR="00AC5392">
          <w:tab/>
        </w:r>
        <w:r w:rsidR="00AC5392">
          <w:tab/>
        </w:r>
        <w:r w:rsidR="00AC5392" w:rsidRPr="00AC5392">
          <w:rPr>
            <w:b w:val="0"/>
          </w:rPr>
          <w:fldChar w:fldCharType="begin"/>
        </w:r>
        <w:r w:rsidR="00AC5392" w:rsidRPr="00AC5392">
          <w:rPr>
            <w:b w:val="0"/>
          </w:rPr>
          <w:instrText xml:space="preserve"> PAGEREF _Toc185515662 \h </w:instrText>
        </w:r>
        <w:r w:rsidR="00AC5392" w:rsidRPr="00AC5392">
          <w:rPr>
            <w:b w:val="0"/>
          </w:rPr>
        </w:r>
        <w:r w:rsidR="00AC5392" w:rsidRPr="00AC5392">
          <w:rPr>
            <w:b w:val="0"/>
          </w:rPr>
          <w:fldChar w:fldCharType="separate"/>
        </w:r>
        <w:r w:rsidR="00AC5392" w:rsidRPr="00AC5392">
          <w:rPr>
            <w:b w:val="0"/>
          </w:rPr>
          <w:t>1206</w:t>
        </w:r>
        <w:r w:rsidR="00AC5392" w:rsidRPr="00AC5392">
          <w:rPr>
            <w:b w:val="0"/>
          </w:rPr>
          <w:fldChar w:fldCharType="end"/>
        </w:r>
      </w:hyperlink>
    </w:p>
    <w:p w14:paraId="180EBDA5" w14:textId="66070D9B"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63" w:history="1">
        <w:r w:rsidR="00AC5392" w:rsidRPr="00533B68">
          <w:t>Part 6.14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Powers of courts (Corporations Act, pt 9.5)</w:t>
        </w:r>
        <w:r w:rsidR="00AC5392">
          <w:tab/>
        </w:r>
        <w:r w:rsidR="00AC5392" w:rsidRPr="00AC5392">
          <w:rPr>
            <w:b w:val="0"/>
          </w:rPr>
          <w:fldChar w:fldCharType="begin"/>
        </w:r>
        <w:r w:rsidR="00AC5392" w:rsidRPr="00AC5392">
          <w:rPr>
            <w:b w:val="0"/>
          </w:rPr>
          <w:instrText xml:space="preserve"> PAGEREF _Toc185515663 \h </w:instrText>
        </w:r>
        <w:r w:rsidR="00AC5392" w:rsidRPr="00AC5392">
          <w:rPr>
            <w:b w:val="0"/>
          </w:rPr>
        </w:r>
        <w:r w:rsidR="00AC5392" w:rsidRPr="00AC5392">
          <w:rPr>
            <w:b w:val="0"/>
          </w:rPr>
          <w:fldChar w:fldCharType="separate"/>
        </w:r>
        <w:r w:rsidR="00AC5392" w:rsidRPr="00AC5392">
          <w:rPr>
            <w:b w:val="0"/>
          </w:rPr>
          <w:t>1207</w:t>
        </w:r>
        <w:r w:rsidR="00AC5392" w:rsidRPr="00AC5392">
          <w:rPr>
            <w:b w:val="0"/>
          </w:rPr>
          <w:fldChar w:fldCharType="end"/>
        </w:r>
      </w:hyperlink>
    </w:p>
    <w:p w14:paraId="088E1453" w14:textId="1791543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64" w:history="1">
        <w:r w:rsidRPr="00533B68">
          <w:t>14.1</w:t>
        </w:r>
        <w:r>
          <w:rPr>
            <w:rFonts w:asciiTheme="minorHAnsi" w:eastAsiaTheme="minorEastAsia" w:hAnsiTheme="minorHAnsi" w:cstheme="minorBidi"/>
            <w:kern w:val="2"/>
            <w:sz w:val="24"/>
            <w:szCs w:val="24"/>
            <w:lang w:eastAsia="en-AU"/>
            <w14:ligatures w14:val="standardContextual"/>
          </w:rPr>
          <w:tab/>
        </w:r>
        <w:r w:rsidRPr="00533B68">
          <w:t>Appeal from act, omission or decision of administrator, receiver or liquidator etc (Corporations Act, s 554A, s 1321)</w:t>
        </w:r>
        <w:r>
          <w:tab/>
        </w:r>
        <w:r>
          <w:fldChar w:fldCharType="begin"/>
        </w:r>
        <w:r>
          <w:instrText xml:space="preserve"> PAGEREF _Toc185515664 \h </w:instrText>
        </w:r>
        <w:r>
          <w:fldChar w:fldCharType="separate"/>
        </w:r>
        <w:r>
          <w:t>1207</w:t>
        </w:r>
        <w:r>
          <w:fldChar w:fldCharType="end"/>
        </w:r>
      </w:hyperlink>
    </w:p>
    <w:p w14:paraId="4DAE5C2A" w14:textId="1A00E80D"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65" w:history="1">
        <w:r w:rsidR="00AC5392" w:rsidRPr="00533B68">
          <w:t>Part 6.15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Proceedings under ASIC Act</w:t>
        </w:r>
        <w:r w:rsidR="00AC5392">
          <w:tab/>
        </w:r>
        <w:r w:rsidR="00AC5392" w:rsidRPr="00AC5392">
          <w:rPr>
            <w:b w:val="0"/>
          </w:rPr>
          <w:fldChar w:fldCharType="begin"/>
        </w:r>
        <w:r w:rsidR="00AC5392" w:rsidRPr="00AC5392">
          <w:rPr>
            <w:b w:val="0"/>
          </w:rPr>
          <w:instrText xml:space="preserve"> PAGEREF _Toc185515665 \h </w:instrText>
        </w:r>
        <w:r w:rsidR="00AC5392" w:rsidRPr="00AC5392">
          <w:rPr>
            <w:b w:val="0"/>
          </w:rPr>
        </w:r>
        <w:r w:rsidR="00AC5392" w:rsidRPr="00AC5392">
          <w:rPr>
            <w:b w:val="0"/>
          </w:rPr>
          <w:fldChar w:fldCharType="separate"/>
        </w:r>
        <w:r w:rsidR="00AC5392" w:rsidRPr="00AC5392">
          <w:rPr>
            <w:b w:val="0"/>
          </w:rPr>
          <w:t>1209</w:t>
        </w:r>
        <w:r w:rsidR="00AC5392" w:rsidRPr="00AC5392">
          <w:rPr>
            <w:b w:val="0"/>
          </w:rPr>
          <w:fldChar w:fldCharType="end"/>
        </w:r>
      </w:hyperlink>
    </w:p>
    <w:p w14:paraId="351290F3" w14:textId="3D578AA2"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66" w:history="1">
        <w:r w:rsidRPr="00533B68">
          <w:t>15.1</w:t>
        </w:r>
        <w:r>
          <w:rPr>
            <w:rFonts w:asciiTheme="minorHAnsi" w:eastAsiaTheme="minorEastAsia" w:hAnsiTheme="minorHAnsi" w:cstheme="minorBidi"/>
            <w:kern w:val="2"/>
            <w:sz w:val="24"/>
            <w:szCs w:val="24"/>
            <w:lang w:eastAsia="en-AU"/>
            <w14:ligatures w14:val="standardContextual"/>
          </w:rPr>
          <w:tab/>
        </w:r>
        <w:r w:rsidRPr="00533B68">
          <w:t>Reference to court of question of law arising at hearing of ASIC (ASIC Act, s 61)</w:t>
        </w:r>
        <w:r>
          <w:tab/>
        </w:r>
        <w:r>
          <w:fldChar w:fldCharType="begin"/>
        </w:r>
        <w:r>
          <w:instrText xml:space="preserve"> PAGEREF _Toc185515666 \h </w:instrText>
        </w:r>
        <w:r>
          <w:fldChar w:fldCharType="separate"/>
        </w:r>
        <w:r>
          <w:t>1209</w:t>
        </w:r>
        <w:r>
          <w:fldChar w:fldCharType="end"/>
        </w:r>
      </w:hyperlink>
    </w:p>
    <w:p w14:paraId="244F7E04" w14:textId="55692794"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67" w:history="1">
        <w:r w:rsidRPr="00533B68">
          <w:t>15.2</w:t>
        </w:r>
        <w:r>
          <w:tab/>
        </w:r>
        <w:r>
          <w:tab/>
        </w:r>
        <w:r>
          <w:fldChar w:fldCharType="begin"/>
        </w:r>
        <w:r>
          <w:instrText xml:space="preserve"> PAGEREF _Toc185515667 \h </w:instrText>
        </w:r>
        <w:r>
          <w:fldChar w:fldCharType="separate"/>
        </w:r>
        <w:r>
          <w:t>1209</w:t>
        </w:r>
        <w:r>
          <w:fldChar w:fldCharType="end"/>
        </w:r>
      </w:hyperlink>
    </w:p>
    <w:p w14:paraId="18A21AB9" w14:textId="3846D16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68" w:history="1">
        <w:r w:rsidRPr="00533B68">
          <w:t>15.3</w:t>
        </w:r>
        <w:r>
          <w:rPr>
            <w:rFonts w:asciiTheme="minorHAnsi" w:eastAsiaTheme="minorEastAsia" w:hAnsiTheme="minorHAnsi" w:cstheme="minorBidi"/>
            <w:kern w:val="2"/>
            <w:sz w:val="24"/>
            <w:szCs w:val="24"/>
            <w:lang w:eastAsia="en-AU"/>
            <w14:ligatures w14:val="standardContextual"/>
          </w:rPr>
          <w:tab/>
        </w:r>
        <w:r w:rsidRPr="00533B68">
          <w:t>Application for inquiry (ASIC Act, s 70, s 201, s 219)</w:t>
        </w:r>
        <w:r>
          <w:tab/>
        </w:r>
        <w:r>
          <w:fldChar w:fldCharType="begin"/>
        </w:r>
        <w:r>
          <w:instrText xml:space="preserve"> PAGEREF _Toc185515668 \h </w:instrText>
        </w:r>
        <w:r>
          <w:fldChar w:fldCharType="separate"/>
        </w:r>
        <w:r>
          <w:t>1209</w:t>
        </w:r>
        <w:r>
          <w:fldChar w:fldCharType="end"/>
        </w:r>
      </w:hyperlink>
    </w:p>
    <w:p w14:paraId="1DE7F8AF" w14:textId="699B24E2"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69" w:history="1">
        <w:r w:rsidR="00AC5392" w:rsidRPr="00533B68">
          <w:t>Part 6.15A</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Proceedings under the Cross</w:t>
        </w:r>
        <w:r w:rsidR="00AC5392" w:rsidRPr="00533B68">
          <w:noBreakHyphen/>
          <w:t>Border Insolvency Act</w:t>
        </w:r>
        <w:r w:rsidR="00AC5392">
          <w:tab/>
        </w:r>
        <w:r w:rsidR="00AC5392" w:rsidRPr="00AC5392">
          <w:rPr>
            <w:b w:val="0"/>
          </w:rPr>
          <w:fldChar w:fldCharType="begin"/>
        </w:r>
        <w:r w:rsidR="00AC5392" w:rsidRPr="00AC5392">
          <w:rPr>
            <w:b w:val="0"/>
          </w:rPr>
          <w:instrText xml:space="preserve"> PAGEREF _Toc185515669 \h </w:instrText>
        </w:r>
        <w:r w:rsidR="00AC5392" w:rsidRPr="00AC5392">
          <w:rPr>
            <w:b w:val="0"/>
          </w:rPr>
        </w:r>
        <w:r w:rsidR="00AC5392" w:rsidRPr="00AC5392">
          <w:rPr>
            <w:b w:val="0"/>
          </w:rPr>
          <w:fldChar w:fldCharType="separate"/>
        </w:r>
        <w:r w:rsidR="00AC5392" w:rsidRPr="00AC5392">
          <w:rPr>
            <w:b w:val="0"/>
          </w:rPr>
          <w:t>1210</w:t>
        </w:r>
        <w:r w:rsidR="00AC5392" w:rsidRPr="00AC5392">
          <w:rPr>
            <w:b w:val="0"/>
          </w:rPr>
          <w:fldChar w:fldCharType="end"/>
        </w:r>
      </w:hyperlink>
    </w:p>
    <w:p w14:paraId="673C245E" w14:textId="7317A821"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670" w:history="1">
        <w:r w:rsidR="00AC5392" w:rsidRPr="00533B68">
          <w:t>Division 6.15A.1</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Introduction</w:t>
        </w:r>
        <w:r w:rsidR="00AC5392" w:rsidRPr="00AC5392">
          <w:rPr>
            <w:vanish/>
          </w:rPr>
          <w:tab/>
        </w:r>
        <w:r w:rsidR="00AC5392" w:rsidRPr="00AC5392">
          <w:rPr>
            <w:vanish/>
          </w:rPr>
          <w:fldChar w:fldCharType="begin"/>
        </w:r>
        <w:r w:rsidR="00AC5392" w:rsidRPr="00AC5392">
          <w:rPr>
            <w:vanish/>
          </w:rPr>
          <w:instrText xml:space="preserve"> PAGEREF _Toc185515670 \h </w:instrText>
        </w:r>
        <w:r w:rsidR="00AC5392" w:rsidRPr="00AC5392">
          <w:rPr>
            <w:vanish/>
          </w:rPr>
        </w:r>
        <w:r w:rsidR="00AC5392" w:rsidRPr="00AC5392">
          <w:rPr>
            <w:vanish/>
          </w:rPr>
          <w:fldChar w:fldCharType="separate"/>
        </w:r>
        <w:r w:rsidR="00AC5392" w:rsidRPr="00AC5392">
          <w:rPr>
            <w:vanish/>
          </w:rPr>
          <w:t>1210</w:t>
        </w:r>
        <w:r w:rsidR="00AC5392" w:rsidRPr="00AC5392">
          <w:rPr>
            <w:vanish/>
          </w:rPr>
          <w:fldChar w:fldCharType="end"/>
        </w:r>
      </w:hyperlink>
    </w:p>
    <w:p w14:paraId="094C1F57" w14:textId="0FDC136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71" w:history="1">
        <w:r w:rsidRPr="00533B68">
          <w:t>15A.1</w:t>
        </w:r>
        <w:r>
          <w:rPr>
            <w:rFonts w:asciiTheme="minorHAnsi" w:eastAsiaTheme="minorEastAsia" w:hAnsiTheme="minorHAnsi" w:cstheme="minorBidi"/>
            <w:kern w:val="2"/>
            <w:sz w:val="24"/>
            <w:szCs w:val="24"/>
            <w:lang w:eastAsia="en-AU"/>
            <w14:ligatures w14:val="standardContextual"/>
          </w:rPr>
          <w:tab/>
        </w:r>
        <w:r w:rsidRPr="00533B68">
          <w:t>Application—pt 6.15A and other rules</w:t>
        </w:r>
        <w:r>
          <w:tab/>
        </w:r>
        <w:r>
          <w:fldChar w:fldCharType="begin"/>
        </w:r>
        <w:r>
          <w:instrText xml:space="preserve"> PAGEREF _Toc185515671 \h </w:instrText>
        </w:r>
        <w:r>
          <w:fldChar w:fldCharType="separate"/>
        </w:r>
        <w:r>
          <w:t>1210</w:t>
        </w:r>
        <w:r>
          <w:fldChar w:fldCharType="end"/>
        </w:r>
      </w:hyperlink>
    </w:p>
    <w:p w14:paraId="485B0361" w14:textId="08E1AFC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72" w:history="1">
        <w:r w:rsidRPr="00533B68">
          <w:t>15A.2</w:t>
        </w:r>
        <w:r>
          <w:rPr>
            <w:rFonts w:asciiTheme="minorHAnsi" w:eastAsiaTheme="minorEastAsia" w:hAnsiTheme="minorHAnsi" w:cstheme="minorBidi"/>
            <w:kern w:val="2"/>
            <w:sz w:val="24"/>
            <w:szCs w:val="24"/>
            <w:lang w:eastAsia="en-AU"/>
            <w14:ligatures w14:val="standardContextual"/>
          </w:rPr>
          <w:tab/>
        </w:r>
        <w:r w:rsidRPr="00533B68">
          <w:t>Terms used in Cross-Border Insolvency Act</w:t>
        </w:r>
        <w:r>
          <w:tab/>
        </w:r>
        <w:r>
          <w:fldChar w:fldCharType="begin"/>
        </w:r>
        <w:r>
          <w:instrText xml:space="preserve"> PAGEREF _Toc185515672 \h </w:instrText>
        </w:r>
        <w:r>
          <w:fldChar w:fldCharType="separate"/>
        </w:r>
        <w:r>
          <w:t>1210</w:t>
        </w:r>
        <w:r>
          <w:fldChar w:fldCharType="end"/>
        </w:r>
      </w:hyperlink>
    </w:p>
    <w:p w14:paraId="669D719C" w14:textId="7E2CEE1E"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673" w:history="1">
        <w:r w:rsidR="00AC5392" w:rsidRPr="00533B68">
          <w:t>Division 6.15A.2</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Recognition of a foreign proceeding</w:t>
        </w:r>
        <w:r w:rsidR="00AC5392" w:rsidRPr="00AC5392">
          <w:rPr>
            <w:vanish/>
          </w:rPr>
          <w:tab/>
        </w:r>
        <w:r w:rsidR="00AC5392" w:rsidRPr="00AC5392">
          <w:rPr>
            <w:vanish/>
          </w:rPr>
          <w:fldChar w:fldCharType="begin"/>
        </w:r>
        <w:r w:rsidR="00AC5392" w:rsidRPr="00AC5392">
          <w:rPr>
            <w:vanish/>
          </w:rPr>
          <w:instrText xml:space="preserve"> PAGEREF _Toc185515673 \h </w:instrText>
        </w:r>
        <w:r w:rsidR="00AC5392" w:rsidRPr="00AC5392">
          <w:rPr>
            <w:vanish/>
          </w:rPr>
        </w:r>
        <w:r w:rsidR="00AC5392" w:rsidRPr="00AC5392">
          <w:rPr>
            <w:vanish/>
          </w:rPr>
          <w:fldChar w:fldCharType="separate"/>
        </w:r>
        <w:r w:rsidR="00AC5392" w:rsidRPr="00AC5392">
          <w:rPr>
            <w:vanish/>
          </w:rPr>
          <w:t>1212</w:t>
        </w:r>
        <w:r w:rsidR="00AC5392" w:rsidRPr="00AC5392">
          <w:rPr>
            <w:vanish/>
          </w:rPr>
          <w:fldChar w:fldCharType="end"/>
        </w:r>
      </w:hyperlink>
    </w:p>
    <w:p w14:paraId="411C518D" w14:textId="5521898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74" w:history="1">
        <w:r w:rsidRPr="00533B68">
          <w:t>15A.3</w:t>
        </w:r>
        <w:r>
          <w:rPr>
            <w:rFonts w:asciiTheme="minorHAnsi" w:eastAsiaTheme="minorEastAsia" w:hAnsiTheme="minorHAnsi" w:cstheme="minorBidi"/>
            <w:kern w:val="2"/>
            <w:sz w:val="24"/>
            <w:szCs w:val="24"/>
            <w:lang w:eastAsia="en-AU"/>
            <w14:ligatures w14:val="standardContextual"/>
          </w:rPr>
          <w:tab/>
        </w:r>
        <w:r w:rsidRPr="00533B68">
          <w:t>Application for recognition</w:t>
        </w:r>
        <w:r>
          <w:tab/>
        </w:r>
        <w:r>
          <w:fldChar w:fldCharType="begin"/>
        </w:r>
        <w:r>
          <w:instrText xml:space="preserve"> PAGEREF _Toc185515674 \h </w:instrText>
        </w:r>
        <w:r>
          <w:fldChar w:fldCharType="separate"/>
        </w:r>
        <w:r>
          <w:t>1212</w:t>
        </w:r>
        <w:r>
          <w:fldChar w:fldCharType="end"/>
        </w:r>
      </w:hyperlink>
    </w:p>
    <w:p w14:paraId="76716CEE" w14:textId="02A62C9B"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75" w:history="1">
        <w:r w:rsidRPr="00533B68">
          <w:t>15A.4</w:t>
        </w:r>
        <w:r>
          <w:rPr>
            <w:rFonts w:asciiTheme="minorHAnsi" w:eastAsiaTheme="minorEastAsia" w:hAnsiTheme="minorHAnsi" w:cstheme="minorBidi"/>
            <w:kern w:val="2"/>
            <w:sz w:val="24"/>
            <w:szCs w:val="24"/>
            <w:lang w:eastAsia="en-AU"/>
            <w14:ligatures w14:val="standardContextual"/>
          </w:rPr>
          <w:tab/>
        </w:r>
        <w:r w:rsidRPr="00533B68">
          <w:t>Application for provisional relief under Model Law, art 19</w:t>
        </w:r>
        <w:r>
          <w:tab/>
        </w:r>
        <w:r>
          <w:fldChar w:fldCharType="begin"/>
        </w:r>
        <w:r>
          <w:instrText xml:space="preserve"> PAGEREF _Toc185515675 \h </w:instrText>
        </w:r>
        <w:r>
          <w:fldChar w:fldCharType="separate"/>
        </w:r>
        <w:r>
          <w:t>1213</w:t>
        </w:r>
        <w:r>
          <w:fldChar w:fldCharType="end"/>
        </w:r>
      </w:hyperlink>
    </w:p>
    <w:p w14:paraId="786CD713" w14:textId="3C09F6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76" w:history="1">
        <w:r w:rsidRPr="00533B68">
          <w:t>15A.5</w:t>
        </w:r>
        <w:r>
          <w:rPr>
            <w:rFonts w:asciiTheme="minorHAnsi" w:eastAsiaTheme="minorEastAsia" w:hAnsiTheme="minorHAnsi" w:cstheme="minorBidi"/>
            <w:kern w:val="2"/>
            <w:sz w:val="24"/>
            <w:szCs w:val="24"/>
            <w:lang w:eastAsia="en-AU"/>
            <w14:ligatures w14:val="standardContextual"/>
          </w:rPr>
          <w:tab/>
        </w:r>
        <w:r w:rsidRPr="00533B68">
          <w:t>Liquidator’s consent to act</w:t>
        </w:r>
        <w:r>
          <w:tab/>
        </w:r>
        <w:r>
          <w:fldChar w:fldCharType="begin"/>
        </w:r>
        <w:r>
          <w:instrText xml:space="preserve"> PAGEREF _Toc185515676 \h </w:instrText>
        </w:r>
        <w:r>
          <w:fldChar w:fldCharType="separate"/>
        </w:r>
        <w:r>
          <w:t>1213</w:t>
        </w:r>
        <w:r>
          <w:fldChar w:fldCharType="end"/>
        </w:r>
      </w:hyperlink>
    </w:p>
    <w:p w14:paraId="0283F469" w14:textId="652F209D" w:rsidR="00AC5392" w:rsidRDefault="00AC539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515677" w:history="1">
        <w:r w:rsidRPr="00533B68">
          <w:t>15A.6</w:t>
        </w:r>
        <w:r>
          <w:rPr>
            <w:rFonts w:asciiTheme="minorHAnsi" w:eastAsiaTheme="minorEastAsia" w:hAnsiTheme="minorHAnsi" w:cstheme="minorBidi"/>
            <w:kern w:val="2"/>
            <w:sz w:val="24"/>
            <w:szCs w:val="24"/>
            <w:lang w:eastAsia="en-AU"/>
            <w14:ligatures w14:val="standardContextual"/>
          </w:rPr>
          <w:tab/>
        </w:r>
        <w:r w:rsidRPr="00533B68">
          <w:t>Notice of filing application for recognition</w:t>
        </w:r>
        <w:r>
          <w:tab/>
        </w:r>
        <w:r>
          <w:fldChar w:fldCharType="begin"/>
        </w:r>
        <w:r>
          <w:instrText xml:space="preserve"> PAGEREF _Toc185515677 \h </w:instrText>
        </w:r>
        <w:r>
          <w:fldChar w:fldCharType="separate"/>
        </w:r>
        <w:r>
          <w:t>1214</w:t>
        </w:r>
        <w:r>
          <w:fldChar w:fldCharType="end"/>
        </w:r>
      </w:hyperlink>
    </w:p>
    <w:p w14:paraId="1B44010A" w14:textId="5C0303D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78" w:history="1">
        <w:r w:rsidRPr="00533B68">
          <w:t>15A.7</w:t>
        </w:r>
        <w:r>
          <w:rPr>
            <w:rFonts w:asciiTheme="minorHAnsi" w:eastAsiaTheme="minorEastAsia" w:hAnsiTheme="minorHAnsi" w:cstheme="minorBidi"/>
            <w:kern w:val="2"/>
            <w:sz w:val="24"/>
            <w:szCs w:val="24"/>
            <w:lang w:eastAsia="en-AU"/>
            <w14:ligatures w14:val="standardContextual"/>
          </w:rPr>
          <w:tab/>
        </w:r>
        <w:r w:rsidRPr="00533B68">
          <w:t>Notice of order for recognition, withdrawal etc</w:t>
        </w:r>
        <w:r>
          <w:tab/>
        </w:r>
        <w:r>
          <w:fldChar w:fldCharType="begin"/>
        </w:r>
        <w:r>
          <w:instrText xml:space="preserve"> PAGEREF _Toc185515678 \h </w:instrText>
        </w:r>
        <w:r>
          <w:fldChar w:fldCharType="separate"/>
        </w:r>
        <w:r>
          <w:t>1214</w:t>
        </w:r>
        <w:r>
          <w:fldChar w:fldCharType="end"/>
        </w:r>
      </w:hyperlink>
    </w:p>
    <w:p w14:paraId="1AE8AC83" w14:textId="7AB85DDF"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79" w:history="1">
        <w:r w:rsidRPr="00533B68">
          <w:t>15A.8</w:t>
        </w:r>
        <w:r>
          <w:rPr>
            <w:rFonts w:asciiTheme="minorHAnsi" w:eastAsiaTheme="minorEastAsia" w:hAnsiTheme="minorHAnsi" w:cstheme="minorBidi"/>
            <w:kern w:val="2"/>
            <w:sz w:val="24"/>
            <w:szCs w:val="24"/>
            <w:lang w:eastAsia="en-AU"/>
            <w14:ligatures w14:val="standardContextual"/>
          </w:rPr>
          <w:tab/>
        </w:r>
        <w:r w:rsidRPr="00533B68">
          <w:t>Relief after recognition</w:t>
        </w:r>
        <w:r>
          <w:tab/>
        </w:r>
        <w:r>
          <w:fldChar w:fldCharType="begin"/>
        </w:r>
        <w:r>
          <w:instrText xml:space="preserve"> PAGEREF _Toc185515679 \h </w:instrText>
        </w:r>
        <w:r>
          <w:fldChar w:fldCharType="separate"/>
        </w:r>
        <w:r>
          <w:t>1215</w:t>
        </w:r>
        <w:r>
          <w:fldChar w:fldCharType="end"/>
        </w:r>
      </w:hyperlink>
    </w:p>
    <w:p w14:paraId="6B2ED9D4" w14:textId="0DF62861"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80" w:history="1">
        <w:r w:rsidRPr="00533B68">
          <w:t>15A.9</w:t>
        </w:r>
        <w:r>
          <w:rPr>
            <w:rFonts w:asciiTheme="minorHAnsi" w:eastAsiaTheme="minorEastAsia" w:hAnsiTheme="minorHAnsi" w:cstheme="minorBidi"/>
            <w:kern w:val="2"/>
            <w:sz w:val="24"/>
            <w:szCs w:val="24"/>
            <w:lang w:eastAsia="en-AU"/>
            <w14:ligatures w14:val="standardContextual"/>
          </w:rPr>
          <w:tab/>
        </w:r>
        <w:r w:rsidRPr="00533B68">
          <w:t>Application to modify or terminate order for recognition or other relief</w:t>
        </w:r>
        <w:r>
          <w:tab/>
        </w:r>
        <w:r>
          <w:fldChar w:fldCharType="begin"/>
        </w:r>
        <w:r>
          <w:instrText xml:space="preserve"> PAGEREF _Toc185515680 \h </w:instrText>
        </w:r>
        <w:r>
          <w:fldChar w:fldCharType="separate"/>
        </w:r>
        <w:r>
          <w:t>1216</w:t>
        </w:r>
        <w:r>
          <w:fldChar w:fldCharType="end"/>
        </w:r>
      </w:hyperlink>
    </w:p>
    <w:p w14:paraId="7F679BB7" w14:textId="1435BC17"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681" w:history="1">
        <w:r w:rsidR="00AC5392" w:rsidRPr="00533B68">
          <w:t>Division 6.15A.3</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Cooperation with foreign courts and representatives</w:t>
        </w:r>
        <w:r w:rsidR="00AC5392" w:rsidRPr="00AC5392">
          <w:rPr>
            <w:vanish/>
          </w:rPr>
          <w:tab/>
        </w:r>
        <w:r w:rsidR="00AC5392" w:rsidRPr="00AC5392">
          <w:rPr>
            <w:vanish/>
          </w:rPr>
          <w:fldChar w:fldCharType="begin"/>
        </w:r>
        <w:r w:rsidR="00AC5392" w:rsidRPr="00AC5392">
          <w:rPr>
            <w:vanish/>
          </w:rPr>
          <w:instrText xml:space="preserve"> PAGEREF _Toc185515681 \h </w:instrText>
        </w:r>
        <w:r w:rsidR="00AC5392" w:rsidRPr="00AC5392">
          <w:rPr>
            <w:vanish/>
          </w:rPr>
        </w:r>
        <w:r w:rsidR="00AC5392" w:rsidRPr="00AC5392">
          <w:rPr>
            <w:vanish/>
          </w:rPr>
          <w:fldChar w:fldCharType="separate"/>
        </w:r>
        <w:r w:rsidR="00AC5392" w:rsidRPr="00AC5392">
          <w:rPr>
            <w:vanish/>
          </w:rPr>
          <w:t>1217</w:t>
        </w:r>
        <w:r w:rsidR="00AC5392" w:rsidRPr="00AC5392">
          <w:rPr>
            <w:vanish/>
          </w:rPr>
          <w:fldChar w:fldCharType="end"/>
        </w:r>
      </w:hyperlink>
    </w:p>
    <w:p w14:paraId="44CDA581" w14:textId="3777C82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82" w:history="1">
        <w:r w:rsidRPr="00533B68">
          <w:t>15A.10</w:t>
        </w:r>
        <w:r>
          <w:rPr>
            <w:rFonts w:asciiTheme="minorHAnsi" w:eastAsiaTheme="minorEastAsia" w:hAnsiTheme="minorHAnsi" w:cstheme="minorBidi"/>
            <w:kern w:val="2"/>
            <w:sz w:val="24"/>
            <w:szCs w:val="24"/>
            <w:lang w:eastAsia="en-AU"/>
            <w14:ligatures w14:val="standardContextual"/>
          </w:rPr>
          <w:tab/>
        </w:r>
        <w:r w:rsidRPr="00533B68">
          <w:t>Cooperation involving court to be under coordination agreement</w:t>
        </w:r>
        <w:r>
          <w:tab/>
        </w:r>
        <w:r>
          <w:fldChar w:fldCharType="begin"/>
        </w:r>
        <w:r>
          <w:instrText xml:space="preserve"> PAGEREF _Toc185515682 \h </w:instrText>
        </w:r>
        <w:r>
          <w:fldChar w:fldCharType="separate"/>
        </w:r>
        <w:r>
          <w:t>1217</w:t>
        </w:r>
        <w:r>
          <w:fldChar w:fldCharType="end"/>
        </w:r>
      </w:hyperlink>
    </w:p>
    <w:p w14:paraId="2053209B" w14:textId="0946AC35"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83" w:history="1">
        <w:r w:rsidRPr="00533B68">
          <w:t>15A.11</w:t>
        </w:r>
        <w:r>
          <w:rPr>
            <w:rFonts w:asciiTheme="minorHAnsi" w:eastAsiaTheme="minorEastAsia" w:hAnsiTheme="minorHAnsi" w:cstheme="minorBidi"/>
            <w:kern w:val="2"/>
            <w:sz w:val="24"/>
            <w:szCs w:val="24"/>
            <w:lang w:eastAsia="en-AU"/>
            <w14:ligatures w14:val="standardContextual"/>
          </w:rPr>
          <w:tab/>
        </w:r>
        <w:r w:rsidRPr="00533B68">
          <w:t>Application for approval of coordination agreement</w:t>
        </w:r>
        <w:r>
          <w:tab/>
        </w:r>
        <w:r>
          <w:fldChar w:fldCharType="begin"/>
        </w:r>
        <w:r>
          <w:instrText xml:space="preserve"> PAGEREF _Toc185515683 \h </w:instrText>
        </w:r>
        <w:r>
          <w:fldChar w:fldCharType="separate"/>
        </w:r>
        <w:r>
          <w:t>1219</w:t>
        </w:r>
        <w:r>
          <w:fldChar w:fldCharType="end"/>
        </w:r>
      </w:hyperlink>
    </w:p>
    <w:p w14:paraId="30168C83" w14:textId="77492286"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84" w:history="1">
        <w:r w:rsidRPr="00533B68">
          <w:t>15A.12</w:t>
        </w:r>
        <w:r>
          <w:rPr>
            <w:rFonts w:asciiTheme="minorHAnsi" w:eastAsiaTheme="minorEastAsia" w:hAnsiTheme="minorHAnsi" w:cstheme="minorBidi"/>
            <w:kern w:val="2"/>
            <w:sz w:val="24"/>
            <w:szCs w:val="24"/>
            <w:lang w:eastAsia="en-AU"/>
            <w14:ligatures w14:val="standardContextual"/>
          </w:rPr>
          <w:tab/>
        </w:r>
        <w:r w:rsidRPr="00533B68">
          <w:t>Appointment of independent intermediary</w:t>
        </w:r>
        <w:r>
          <w:tab/>
        </w:r>
        <w:r>
          <w:fldChar w:fldCharType="begin"/>
        </w:r>
        <w:r>
          <w:instrText xml:space="preserve"> PAGEREF _Toc185515684 \h </w:instrText>
        </w:r>
        <w:r>
          <w:fldChar w:fldCharType="separate"/>
        </w:r>
        <w:r>
          <w:t>1220</w:t>
        </w:r>
        <w:r>
          <w:fldChar w:fldCharType="end"/>
        </w:r>
      </w:hyperlink>
    </w:p>
    <w:p w14:paraId="6C194BE3" w14:textId="33A28628"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685" w:history="1">
        <w:r w:rsidR="00AC5392" w:rsidRPr="00533B68">
          <w:t>Division 6.15A.4</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Concurrent proceedings</w:t>
        </w:r>
        <w:r w:rsidR="00AC5392" w:rsidRPr="00AC5392">
          <w:rPr>
            <w:vanish/>
          </w:rPr>
          <w:tab/>
        </w:r>
        <w:r w:rsidR="00AC5392" w:rsidRPr="00AC5392">
          <w:rPr>
            <w:vanish/>
          </w:rPr>
          <w:fldChar w:fldCharType="begin"/>
        </w:r>
        <w:r w:rsidR="00AC5392" w:rsidRPr="00AC5392">
          <w:rPr>
            <w:vanish/>
          </w:rPr>
          <w:instrText xml:space="preserve"> PAGEREF _Toc185515685 \h </w:instrText>
        </w:r>
        <w:r w:rsidR="00AC5392" w:rsidRPr="00AC5392">
          <w:rPr>
            <w:vanish/>
          </w:rPr>
        </w:r>
        <w:r w:rsidR="00AC5392" w:rsidRPr="00AC5392">
          <w:rPr>
            <w:vanish/>
          </w:rPr>
          <w:fldChar w:fldCharType="separate"/>
        </w:r>
        <w:r w:rsidR="00AC5392" w:rsidRPr="00AC5392">
          <w:rPr>
            <w:vanish/>
          </w:rPr>
          <w:t>1221</w:t>
        </w:r>
        <w:r w:rsidR="00AC5392" w:rsidRPr="00AC5392">
          <w:rPr>
            <w:vanish/>
          </w:rPr>
          <w:fldChar w:fldCharType="end"/>
        </w:r>
      </w:hyperlink>
    </w:p>
    <w:p w14:paraId="21813C8D" w14:textId="4BBE748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86" w:history="1">
        <w:r w:rsidRPr="00533B68">
          <w:t>15A.13</w:t>
        </w:r>
        <w:r>
          <w:rPr>
            <w:rFonts w:asciiTheme="minorHAnsi" w:eastAsiaTheme="minorEastAsia" w:hAnsiTheme="minorHAnsi" w:cstheme="minorBidi"/>
            <w:kern w:val="2"/>
            <w:sz w:val="24"/>
            <w:szCs w:val="24"/>
            <w:lang w:eastAsia="en-AU"/>
            <w14:ligatures w14:val="standardContextual"/>
          </w:rPr>
          <w:tab/>
        </w:r>
        <w:r w:rsidRPr="00533B68">
          <w:t>Starting proceeding after recognition of a foreign main proceeding</w:t>
        </w:r>
        <w:r>
          <w:tab/>
        </w:r>
        <w:r>
          <w:fldChar w:fldCharType="begin"/>
        </w:r>
        <w:r>
          <w:instrText xml:space="preserve"> PAGEREF _Toc185515686 \h </w:instrText>
        </w:r>
        <w:r>
          <w:fldChar w:fldCharType="separate"/>
        </w:r>
        <w:r>
          <w:t>1221</w:t>
        </w:r>
        <w:r>
          <w:fldChar w:fldCharType="end"/>
        </w:r>
      </w:hyperlink>
    </w:p>
    <w:p w14:paraId="75FCB513" w14:textId="4C866B1B" w:rsidR="00AC5392" w:rsidRDefault="001542D1">
      <w:pPr>
        <w:pStyle w:val="TOC3"/>
        <w:rPr>
          <w:rFonts w:asciiTheme="minorHAnsi" w:eastAsiaTheme="minorEastAsia" w:hAnsiTheme="minorHAnsi" w:cstheme="minorBidi"/>
          <w:b w:val="0"/>
          <w:kern w:val="2"/>
          <w:sz w:val="24"/>
          <w:szCs w:val="24"/>
          <w:lang w:eastAsia="en-AU"/>
          <w14:ligatures w14:val="standardContextual"/>
        </w:rPr>
      </w:pPr>
      <w:hyperlink w:anchor="_Toc185515687" w:history="1">
        <w:r w:rsidR="00AC5392" w:rsidRPr="00533B68">
          <w:t>Division 6.15A.5</w:t>
        </w:r>
        <w:r w:rsidR="00AC5392">
          <w:rPr>
            <w:rFonts w:asciiTheme="minorHAnsi" w:eastAsiaTheme="minorEastAsia" w:hAnsiTheme="minorHAnsi" w:cstheme="minorBidi"/>
            <w:b w:val="0"/>
            <w:kern w:val="2"/>
            <w:sz w:val="24"/>
            <w:szCs w:val="24"/>
            <w:lang w:eastAsia="en-AU"/>
            <w14:ligatures w14:val="standardContextual"/>
          </w:rPr>
          <w:tab/>
        </w:r>
        <w:r w:rsidR="00AC5392" w:rsidRPr="00533B68">
          <w:t>General</w:t>
        </w:r>
        <w:r w:rsidR="00AC5392" w:rsidRPr="00AC5392">
          <w:rPr>
            <w:vanish/>
          </w:rPr>
          <w:tab/>
        </w:r>
        <w:r w:rsidR="00AC5392" w:rsidRPr="00AC5392">
          <w:rPr>
            <w:vanish/>
          </w:rPr>
          <w:fldChar w:fldCharType="begin"/>
        </w:r>
        <w:r w:rsidR="00AC5392" w:rsidRPr="00AC5392">
          <w:rPr>
            <w:vanish/>
          </w:rPr>
          <w:instrText xml:space="preserve"> PAGEREF _Toc185515687 \h </w:instrText>
        </w:r>
        <w:r w:rsidR="00AC5392" w:rsidRPr="00AC5392">
          <w:rPr>
            <w:vanish/>
          </w:rPr>
        </w:r>
        <w:r w:rsidR="00AC5392" w:rsidRPr="00AC5392">
          <w:rPr>
            <w:vanish/>
          </w:rPr>
          <w:fldChar w:fldCharType="separate"/>
        </w:r>
        <w:r w:rsidR="00AC5392" w:rsidRPr="00AC5392">
          <w:rPr>
            <w:vanish/>
          </w:rPr>
          <w:t>1221</w:t>
        </w:r>
        <w:r w:rsidR="00AC5392" w:rsidRPr="00AC5392">
          <w:rPr>
            <w:vanish/>
          </w:rPr>
          <w:fldChar w:fldCharType="end"/>
        </w:r>
      </w:hyperlink>
    </w:p>
    <w:p w14:paraId="7ABBA185" w14:textId="64883C39"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88" w:history="1">
        <w:r w:rsidRPr="00533B68">
          <w:t>15A.14</w:t>
        </w:r>
        <w:r>
          <w:rPr>
            <w:rFonts w:asciiTheme="minorHAnsi" w:eastAsiaTheme="minorEastAsia" w:hAnsiTheme="minorHAnsi" w:cstheme="minorBidi"/>
            <w:kern w:val="2"/>
            <w:sz w:val="24"/>
            <w:szCs w:val="24"/>
            <w:lang w:eastAsia="en-AU"/>
            <w14:ligatures w14:val="standardContextual"/>
          </w:rPr>
          <w:tab/>
        </w:r>
        <w:r w:rsidRPr="00533B68">
          <w:t>Proof of orders or documents of foreign courts</w:t>
        </w:r>
        <w:r>
          <w:tab/>
        </w:r>
        <w:r>
          <w:fldChar w:fldCharType="begin"/>
        </w:r>
        <w:r>
          <w:instrText xml:space="preserve"> PAGEREF _Toc185515688 \h </w:instrText>
        </w:r>
        <w:r>
          <w:fldChar w:fldCharType="separate"/>
        </w:r>
        <w:r>
          <w:t>1221</w:t>
        </w:r>
        <w:r>
          <w:fldChar w:fldCharType="end"/>
        </w:r>
      </w:hyperlink>
    </w:p>
    <w:p w14:paraId="0B3062D5" w14:textId="597B3BD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89" w:history="1">
        <w:r w:rsidRPr="00533B68">
          <w:t>15A.15</w:t>
        </w:r>
        <w:r>
          <w:rPr>
            <w:rFonts w:asciiTheme="minorHAnsi" w:eastAsiaTheme="minorEastAsia" w:hAnsiTheme="minorHAnsi" w:cstheme="minorBidi"/>
            <w:kern w:val="2"/>
            <w:sz w:val="24"/>
            <w:szCs w:val="24"/>
            <w:lang w:eastAsia="en-AU"/>
            <w14:ligatures w14:val="standardContextual"/>
          </w:rPr>
          <w:tab/>
        </w:r>
        <w:r w:rsidRPr="00533B68">
          <w:t>Service in accordance with service list</w:t>
        </w:r>
        <w:r>
          <w:tab/>
        </w:r>
        <w:r>
          <w:fldChar w:fldCharType="begin"/>
        </w:r>
        <w:r>
          <w:instrText xml:space="preserve"> PAGEREF _Toc185515689 \h </w:instrText>
        </w:r>
        <w:r>
          <w:fldChar w:fldCharType="separate"/>
        </w:r>
        <w:r>
          <w:t>1222</w:t>
        </w:r>
        <w:r>
          <w:fldChar w:fldCharType="end"/>
        </w:r>
      </w:hyperlink>
    </w:p>
    <w:p w14:paraId="5A4C2E10" w14:textId="7824C93B" w:rsidR="00AC5392" w:rsidRDefault="001542D1">
      <w:pPr>
        <w:pStyle w:val="TOC7"/>
        <w:rPr>
          <w:rFonts w:asciiTheme="minorHAnsi" w:eastAsiaTheme="minorEastAsia" w:hAnsiTheme="minorHAnsi" w:cstheme="minorBidi"/>
          <w:b w:val="0"/>
          <w:kern w:val="2"/>
          <w:sz w:val="24"/>
          <w:szCs w:val="24"/>
          <w:lang w:eastAsia="en-AU"/>
          <w14:ligatures w14:val="standardContextual"/>
        </w:rPr>
      </w:pPr>
      <w:hyperlink w:anchor="_Toc185515690" w:history="1">
        <w:r w:rsidR="00AC5392" w:rsidRPr="00533B68">
          <w:t>Part 6.16</w:t>
        </w:r>
        <w:r w:rsidR="00AC5392">
          <w:tab/>
        </w:r>
        <w:r w:rsidR="00AC5392">
          <w:tab/>
        </w:r>
        <w:r w:rsidR="00AC5392" w:rsidRPr="00AC5392">
          <w:rPr>
            <w:b w:val="0"/>
          </w:rPr>
          <w:fldChar w:fldCharType="begin"/>
        </w:r>
        <w:r w:rsidR="00AC5392" w:rsidRPr="00AC5392">
          <w:rPr>
            <w:b w:val="0"/>
          </w:rPr>
          <w:instrText xml:space="preserve"> PAGEREF _Toc185515690 \h </w:instrText>
        </w:r>
        <w:r w:rsidR="00AC5392" w:rsidRPr="00AC5392">
          <w:rPr>
            <w:b w:val="0"/>
          </w:rPr>
        </w:r>
        <w:r w:rsidR="00AC5392" w:rsidRPr="00AC5392">
          <w:rPr>
            <w:b w:val="0"/>
          </w:rPr>
          <w:fldChar w:fldCharType="separate"/>
        </w:r>
        <w:r w:rsidR="00AC5392" w:rsidRPr="00AC5392">
          <w:rPr>
            <w:b w:val="0"/>
          </w:rPr>
          <w:t>1223</w:t>
        </w:r>
        <w:r w:rsidR="00AC5392" w:rsidRPr="00AC5392">
          <w:rPr>
            <w:b w:val="0"/>
          </w:rPr>
          <w:fldChar w:fldCharType="end"/>
        </w:r>
      </w:hyperlink>
    </w:p>
    <w:p w14:paraId="37900DDB" w14:textId="6245DD3D" w:rsidR="00AC5392" w:rsidRDefault="001542D1">
      <w:pPr>
        <w:pStyle w:val="TOC6"/>
        <w:rPr>
          <w:rFonts w:asciiTheme="minorHAnsi" w:eastAsiaTheme="minorEastAsia" w:hAnsiTheme="minorHAnsi" w:cstheme="minorBidi"/>
          <w:b w:val="0"/>
          <w:kern w:val="2"/>
          <w:szCs w:val="24"/>
          <w:lang w:eastAsia="en-AU"/>
          <w14:ligatures w14:val="standardContextual"/>
        </w:rPr>
      </w:pPr>
      <w:hyperlink w:anchor="_Toc185515691" w:history="1">
        <w:r w:rsidR="00AC5392" w:rsidRPr="00533B68">
          <w:t>Dictionary</w:t>
        </w:r>
        <w:r w:rsidR="00AC5392">
          <w:tab/>
        </w:r>
        <w:r w:rsidR="00AC5392">
          <w:tab/>
        </w:r>
        <w:r w:rsidR="00AC5392" w:rsidRPr="00AC5392">
          <w:rPr>
            <w:b w:val="0"/>
            <w:sz w:val="20"/>
          </w:rPr>
          <w:fldChar w:fldCharType="begin"/>
        </w:r>
        <w:r w:rsidR="00AC5392" w:rsidRPr="00AC5392">
          <w:rPr>
            <w:b w:val="0"/>
            <w:sz w:val="20"/>
          </w:rPr>
          <w:instrText xml:space="preserve"> PAGEREF _Toc185515691 \h </w:instrText>
        </w:r>
        <w:r w:rsidR="00AC5392" w:rsidRPr="00AC5392">
          <w:rPr>
            <w:b w:val="0"/>
            <w:sz w:val="20"/>
          </w:rPr>
        </w:r>
        <w:r w:rsidR="00AC5392" w:rsidRPr="00AC5392">
          <w:rPr>
            <w:b w:val="0"/>
            <w:sz w:val="20"/>
          </w:rPr>
          <w:fldChar w:fldCharType="separate"/>
        </w:r>
        <w:r w:rsidR="00AC5392" w:rsidRPr="00AC5392">
          <w:rPr>
            <w:b w:val="0"/>
            <w:sz w:val="20"/>
          </w:rPr>
          <w:t>1224</w:t>
        </w:r>
        <w:r w:rsidR="00AC5392" w:rsidRPr="00AC5392">
          <w:rPr>
            <w:b w:val="0"/>
            <w:sz w:val="20"/>
          </w:rPr>
          <w:fldChar w:fldCharType="end"/>
        </w:r>
      </w:hyperlink>
    </w:p>
    <w:p w14:paraId="2C704F92" w14:textId="3648D5BE" w:rsidR="00AC5392" w:rsidRDefault="001542D1" w:rsidP="00AC539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515692" w:history="1">
        <w:r w:rsidR="00AC5392">
          <w:t>Endnotes</w:t>
        </w:r>
        <w:r w:rsidR="00AC5392" w:rsidRPr="00AC5392">
          <w:rPr>
            <w:vanish/>
          </w:rPr>
          <w:tab/>
        </w:r>
        <w:r w:rsidR="00AC5392">
          <w:rPr>
            <w:vanish/>
          </w:rPr>
          <w:tab/>
        </w:r>
        <w:r w:rsidR="00AC5392" w:rsidRPr="00AC5392">
          <w:rPr>
            <w:b w:val="0"/>
            <w:vanish/>
          </w:rPr>
          <w:fldChar w:fldCharType="begin"/>
        </w:r>
        <w:r w:rsidR="00AC5392" w:rsidRPr="00AC5392">
          <w:rPr>
            <w:b w:val="0"/>
            <w:vanish/>
          </w:rPr>
          <w:instrText xml:space="preserve"> PAGEREF _Toc185515692 \h </w:instrText>
        </w:r>
        <w:r w:rsidR="00AC5392" w:rsidRPr="00AC5392">
          <w:rPr>
            <w:b w:val="0"/>
            <w:vanish/>
          </w:rPr>
        </w:r>
        <w:r w:rsidR="00AC5392" w:rsidRPr="00AC5392">
          <w:rPr>
            <w:b w:val="0"/>
            <w:vanish/>
          </w:rPr>
          <w:fldChar w:fldCharType="separate"/>
        </w:r>
        <w:r w:rsidR="00AC5392" w:rsidRPr="00AC5392">
          <w:rPr>
            <w:b w:val="0"/>
            <w:vanish/>
          </w:rPr>
          <w:t>1250</w:t>
        </w:r>
        <w:r w:rsidR="00AC5392" w:rsidRPr="00AC5392">
          <w:rPr>
            <w:b w:val="0"/>
            <w:vanish/>
          </w:rPr>
          <w:fldChar w:fldCharType="end"/>
        </w:r>
      </w:hyperlink>
    </w:p>
    <w:p w14:paraId="6BA952AD" w14:textId="67B44900"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93" w:history="1">
        <w:r w:rsidRPr="00533B68">
          <w:t>1</w:t>
        </w:r>
        <w:r>
          <w:rPr>
            <w:rFonts w:asciiTheme="minorHAnsi" w:eastAsiaTheme="minorEastAsia" w:hAnsiTheme="minorHAnsi" w:cstheme="minorBidi"/>
            <w:kern w:val="2"/>
            <w:sz w:val="24"/>
            <w:szCs w:val="24"/>
            <w:lang w:eastAsia="en-AU"/>
            <w14:ligatures w14:val="standardContextual"/>
          </w:rPr>
          <w:tab/>
        </w:r>
        <w:r w:rsidRPr="00533B68">
          <w:t>About the endnotes</w:t>
        </w:r>
        <w:r>
          <w:tab/>
        </w:r>
        <w:r>
          <w:fldChar w:fldCharType="begin"/>
        </w:r>
        <w:r>
          <w:instrText xml:space="preserve"> PAGEREF _Toc185515693 \h </w:instrText>
        </w:r>
        <w:r>
          <w:fldChar w:fldCharType="separate"/>
        </w:r>
        <w:r>
          <w:t>1250</w:t>
        </w:r>
        <w:r>
          <w:fldChar w:fldCharType="end"/>
        </w:r>
      </w:hyperlink>
    </w:p>
    <w:p w14:paraId="59D5B15B" w14:textId="0A617C4A"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94" w:history="1">
        <w:r w:rsidRPr="00533B68">
          <w:t>2</w:t>
        </w:r>
        <w:r>
          <w:rPr>
            <w:rFonts w:asciiTheme="minorHAnsi" w:eastAsiaTheme="minorEastAsia" w:hAnsiTheme="minorHAnsi" w:cstheme="minorBidi"/>
            <w:kern w:val="2"/>
            <w:sz w:val="24"/>
            <w:szCs w:val="24"/>
            <w:lang w:eastAsia="en-AU"/>
            <w14:ligatures w14:val="standardContextual"/>
          </w:rPr>
          <w:tab/>
        </w:r>
        <w:r w:rsidRPr="00533B68">
          <w:t>Abbreviation key</w:t>
        </w:r>
        <w:r>
          <w:tab/>
        </w:r>
        <w:r>
          <w:fldChar w:fldCharType="begin"/>
        </w:r>
        <w:r>
          <w:instrText xml:space="preserve"> PAGEREF _Toc185515694 \h </w:instrText>
        </w:r>
        <w:r>
          <w:fldChar w:fldCharType="separate"/>
        </w:r>
        <w:r>
          <w:t>1250</w:t>
        </w:r>
        <w:r>
          <w:fldChar w:fldCharType="end"/>
        </w:r>
      </w:hyperlink>
    </w:p>
    <w:p w14:paraId="7601C94C" w14:textId="58E9DCF3"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95" w:history="1">
        <w:r w:rsidRPr="00533B68">
          <w:t>3</w:t>
        </w:r>
        <w:r>
          <w:rPr>
            <w:rFonts w:asciiTheme="minorHAnsi" w:eastAsiaTheme="minorEastAsia" w:hAnsiTheme="minorHAnsi" w:cstheme="minorBidi"/>
            <w:kern w:val="2"/>
            <w:sz w:val="24"/>
            <w:szCs w:val="24"/>
            <w:lang w:eastAsia="en-AU"/>
            <w14:ligatures w14:val="standardContextual"/>
          </w:rPr>
          <w:tab/>
        </w:r>
        <w:r w:rsidRPr="00533B68">
          <w:t>Legislation history</w:t>
        </w:r>
        <w:r>
          <w:tab/>
        </w:r>
        <w:r>
          <w:fldChar w:fldCharType="begin"/>
        </w:r>
        <w:r>
          <w:instrText xml:space="preserve"> PAGEREF _Toc185515695 \h </w:instrText>
        </w:r>
        <w:r>
          <w:fldChar w:fldCharType="separate"/>
        </w:r>
        <w:r>
          <w:t>1251</w:t>
        </w:r>
        <w:r>
          <w:fldChar w:fldCharType="end"/>
        </w:r>
      </w:hyperlink>
    </w:p>
    <w:p w14:paraId="3D944F43" w14:textId="1ECE4DB7"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96" w:history="1">
        <w:r w:rsidRPr="00533B68">
          <w:t>4</w:t>
        </w:r>
        <w:r>
          <w:rPr>
            <w:rFonts w:asciiTheme="minorHAnsi" w:eastAsiaTheme="minorEastAsia" w:hAnsiTheme="minorHAnsi" w:cstheme="minorBidi"/>
            <w:kern w:val="2"/>
            <w:sz w:val="24"/>
            <w:szCs w:val="24"/>
            <w:lang w:eastAsia="en-AU"/>
            <w14:ligatures w14:val="standardContextual"/>
          </w:rPr>
          <w:tab/>
        </w:r>
        <w:r w:rsidRPr="00533B68">
          <w:t>Amendment history</w:t>
        </w:r>
        <w:r>
          <w:tab/>
        </w:r>
        <w:r>
          <w:fldChar w:fldCharType="begin"/>
        </w:r>
        <w:r>
          <w:instrText xml:space="preserve"> PAGEREF _Toc185515696 \h </w:instrText>
        </w:r>
        <w:r>
          <w:fldChar w:fldCharType="separate"/>
        </w:r>
        <w:r>
          <w:t>1260</w:t>
        </w:r>
        <w:r>
          <w:fldChar w:fldCharType="end"/>
        </w:r>
      </w:hyperlink>
    </w:p>
    <w:p w14:paraId="7DB1917B" w14:textId="6B882D7C" w:rsidR="00AC5392" w:rsidRDefault="00AC5392">
      <w:pPr>
        <w:pStyle w:val="TOC5"/>
        <w:rPr>
          <w:rFonts w:asciiTheme="minorHAnsi" w:eastAsiaTheme="minorEastAsia" w:hAnsiTheme="minorHAnsi" w:cstheme="minorBidi"/>
          <w:kern w:val="2"/>
          <w:sz w:val="24"/>
          <w:szCs w:val="24"/>
          <w:lang w:eastAsia="en-AU"/>
          <w14:ligatures w14:val="standardContextual"/>
        </w:rPr>
      </w:pPr>
      <w:r>
        <w:tab/>
      </w:r>
      <w:hyperlink w:anchor="_Toc185515697" w:history="1">
        <w:r w:rsidRPr="00533B68">
          <w:t>5</w:t>
        </w:r>
        <w:r>
          <w:rPr>
            <w:rFonts w:asciiTheme="minorHAnsi" w:eastAsiaTheme="minorEastAsia" w:hAnsiTheme="minorHAnsi" w:cstheme="minorBidi"/>
            <w:kern w:val="2"/>
            <w:sz w:val="24"/>
            <w:szCs w:val="24"/>
            <w:lang w:eastAsia="en-AU"/>
            <w14:ligatures w14:val="standardContextual"/>
          </w:rPr>
          <w:tab/>
        </w:r>
        <w:r w:rsidRPr="00533B68">
          <w:t>Earlier republications</w:t>
        </w:r>
        <w:r>
          <w:tab/>
        </w:r>
        <w:r>
          <w:fldChar w:fldCharType="begin"/>
        </w:r>
        <w:r>
          <w:instrText xml:space="preserve"> PAGEREF _Toc185515697 \h </w:instrText>
        </w:r>
        <w:r>
          <w:fldChar w:fldCharType="separate"/>
        </w:r>
        <w:r>
          <w:t>1391</w:t>
        </w:r>
        <w:r>
          <w:fldChar w:fldCharType="end"/>
        </w:r>
      </w:hyperlink>
    </w:p>
    <w:p w14:paraId="14F62EFC" w14:textId="20271B37" w:rsidR="004850E8" w:rsidRDefault="00AC5392" w:rsidP="004850E8">
      <w:pPr>
        <w:pStyle w:val="BillBasic"/>
      </w:pPr>
      <w:r>
        <w:fldChar w:fldCharType="end"/>
      </w:r>
    </w:p>
    <w:p w14:paraId="43753B8F" w14:textId="77777777" w:rsidR="004850E8" w:rsidRDefault="004850E8" w:rsidP="004850E8">
      <w:pPr>
        <w:pStyle w:val="01Contents"/>
        <w:sectPr w:rsidR="004850E8" w:rsidSect="00CD3DF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F2B4032" w14:textId="77777777" w:rsidR="00AC7AC5" w:rsidRDefault="00AC7AC5" w:rsidP="00FE5883">
      <w:pPr>
        <w:spacing w:before="480"/>
        <w:jc w:val="center"/>
      </w:pPr>
      <w:r>
        <w:rPr>
          <w:noProof/>
        </w:rPr>
        <w:lastRenderedPageBreak/>
        <w:drawing>
          <wp:inline distT="0" distB="0" distL="0" distR="0" wp14:anchorId="2B26CD86" wp14:editId="0AA75397">
            <wp:extent cx="1333500" cy="1167902"/>
            <wp:effectExtent l="0" t="0" r="0" b="0"/>
            <wp:docPr id="111436181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94A86EC" w14:textId="77777777" w:rsidR="00AC7AC5" w:rsidRDefault="00AC7AC5">
      <w:pPr>
        <w:jc w:val="center"/>
        <w:rPr>
          <w:rFonts w:ascii="Arial" w:hAnsi="Arial"/>
        </w:rPr>
      </w:pPr>
      <w:r>
        <w:rPr>
          <w:rFonts w:ascii="Arial" w:hAnsi="Arial"/>
        </w:rPr>
        <w:t>Australian Capital Territory</w:t>
      </w:r>
    </w:p>
    <w:p w14:paraId="166A940F" w14:textId="0B5F2961" w:rsidR="004850E8" w:rsidRDefault="0092761B" w:rsidP="004850E8">
      <w:pPr>
        <w:pStyle w:val="Billname"/>
      </w:pPr>
      <w:bookmarkStart w:id="5" w:name="Citation"/>
      <w:r>
        <w:t>Court Procedures Rules 2006</w:t>
      </w:r>
      <w:bookmarkEnd w:id="5"/>
      <w:r w:rsidR="004850E8">
        <w:t xml:space="preserve">     </w:t>
      </w:r>
    </w:p>
    <w:p w14:paraId="11BEB02F" w14:textId="77777777" w:rsidR="004850E8" w:rsidRDefault="004850E8" w:rsidP="004850E8">
      <w:pPr>
        <w:spacing w:before="240" w:after="60"/>
        <w:rPr>
          <w:rFonts w:ascii="Arial" w:hAnsi="Arial"/>
        </w:rPr>
      </w:pPr>
    </w:p>
    <w:p w14:paraId="5B79BF68" w14:textId="77777777" w:rsidR="004850E8" w:rsidRDefault="004850E8" w:rsidP="004850E8">
      <w:pPr>
        <w:pStyle w:val="N-line3"/>
      </w:pPr>
    </w:p>
    <w:p w14:paraId="68B0EBCB" w14:textId="77777777" w:rsidR="004850E8" w:rsidRDefault="004850E8" w:rsidP="004850E8">
      <w:pPr>
        <w:pStyle w:val="CoverInForce"/>
      </w:pPr>
      <w:r>
        <w:t>made under the</w:t>
      </w:r>
    </w:p>
    <w:bookmarkStart w:id="6" w:name="ActName"/>
    <w:p w14:paraId="6652C3FA" w14:textId="0C00F3E6" w:rsidR="004850E8" w:rsidRDefault="004850E8" w:rsidP="004850E8">
      <w:pPr>
        <w:pStyle w:val="CoverActName"/>
      </w:pPr>
      <w:r w:rsidRPr="004850E8">
        <w:rPr>
          <w:rStyle w:val="charCitHyperlinkAbbrev"/>
        </w:rPr>
        <w:fldChar w:fldCharType="begin"/>
      </w:r>
      <w:r w:rsidR="0092761B">
        <w:rPr>
          <w:rStyle w:val="charCitHyperlinkAbbrev"/>
        </w:rPr>
        <w:instrText>HYPERLINK "http://www.legislation.act.gov.au/a/2004-59" \o "A2004-59"</w:instrText>
      </w:r>
      <w:r w:rsidRPr="004850E8">
        <w:rPr>
          <w:rStyle w:val="charCitHyperlinkAbbrev"/>
        </w:rPr>
      </w:r>
      <w:r w:rsidRPr="004850E8">
        <w:rPr>
          <w:rStyle w:val="charCitHyperlinkAbbrev"/>
        </w:rPr>
        <w:fldChar w:fldCharType="separate"/>
      </w:r>
      <w:r w:rsidR="0092761B">
        <w:rPr>
          <w:rStyle w:val="charCitHyperlinkAbbrev"/>
        </w:rPr>
        <w:t>Court Procedures Act 2004</w:t>
      </w:r>
      <w:r w:rsidRPr="004850E8">
        <w:rPr>
          <w:rStyle w:val="charCitHyperlinkAbbrev"/>
        </w:rPr>
        <w:fldChar w:fldCharType="end"/>
      </w:r>
      <w:bookmarkEnd w:id="6"/>
    </w:p>
    <w:p w14:paraId="103549FB" w14:textId="77777777" w:rsidR="004850E8" w:rsidRDefault="004850E8" w:rsidP="004850E8">
      <w:pPr>
        <w:pStyle w:val="N-line3"/>
      </w:pPr>
    </w:p>
    <w:p w14:paraId="6763D4D5" w14:textId="77777777" w:rsidR="004850E8" w:rsidRDefault="004850E8" w:rsidP="004850E8">
      <w:pPr>
        <w:pStyle w:val="Placeholder"/>
      </w:pPr>
      <w:r>
        <w:rPr>
          <w:rStyle w:val="charContents"/>
          <w:sz w:val="16"/>
        </w:rPr>
        <w:t xml:space="preserve">  </w:t>
      </w:r>
      <w:r>
        <w:rPr>
          <w:rStyle w:val="charPage"/>
        </w:rPr>
        <w:t xml:space="preserve">  </w:t>
      </w:r>
    </w:p>
    <w:p w14:paraId="7BE8E77C" w14:textId="77777777" w:rsidR="004850E8" w:rsidRDefault="004850E8" w:rsidP="004850E8">
      <w:pPr>
        <w:pStyle w:val="Placeholder"/>
      </w:pPr>
      <w:r>
        <w:rPr>
          <w:rStyle w:val="CharChapNo"/>
        </w:rPr>
        <w:t xml:space="preserve">  </w:t>
      </w:r>
      <w:r>
        <w:rPr>
          <w:rStyle w:val="CharChapText"/>
        </w:rPr>
        <w:t xml:space="preserve">  </w:t>
      </w:r>
    </w:p>
    <w:p w14:paraId="310586C5" w14:textId="77777777" w:rsidR="004850E8" w:rsidRDefault="004850E8" w:rsidP="004850E8">
      <w:pPr>
        <w:pStyle w:val="Placeholder"/>
      </w:pPr>
      <w:r>
        <w:rPr>
          <w:rStyle w:val="CharPartNo"/>
        </w:rPr>
        <w:t xml:space="preserve">  </w:t>
      </w:r>
      <w:r>
        <w:rPr>
          <w:rStyle w:val="CharPartText"/>
        </w:rPr>
        <w:t xml:space="preserve">  </w:t>
      </w:r>
    </w:p>
    <w:p w14:paraId="3C0FFDD2" w14:textId="77777777" w:rsidR="004850E8" w:rsidRDefault="004850E8" w:rsidP="004850E8">
      <w:pPr>
        <w:pStyle w:val="Placeholder"/>
      </w:pPr>
      <w:r>
        <w:rPr>
          <w:rStyle w:val="CharDivNo"/>
        </w:rPr>
        <w:t xml:space="preserve">  </w:t>
      </w:r>
      <w:r>
        <w:rPr>
          <w:rStyle w:val="CharDivText"/>
        </w:rPr>
        <w:t xml:space="preserve">  </w:t>
      </w:r>
    </w:p>
    <w:p w14:paraId="4C893B5A" w14:textId="77777777" w:rsidR="004850E8" w:rsidRDefault="004850E8" w:rsidP="004850E8">
      <w:pPr>
        <w:pStyle w:val="Placeholder"/>
      </w:pPr>
      <w:r>
        <w:rPr>
          <w:rStyle w:val="CharSectNo"/>
        </w:rPr>
        <w:t xml:space="preserve">  </w:t>
      </w:r>
    </w:p>
    <w:p w14:paraId="47B6D246" w14:textId="77777777" w:rsidR="004850E8" w:rsidRDefault="004850E8" w:rsidP="004850E8">
      <w:pPr>
        <w:pStyle w:val="PageBreak"/>
      </w:pPr>
      <w:r>
        <w:br w:type="page"/>
      </w:r>
    </w:p>
    <w:p w14:paraId="5D251BDA" w14:textId="77777777" w:rsidR="003D4FF5" w:rsidRPr="00C8328B" w:rsidRDefault="003D4FF5" w:rsidP="003D4FF5">
      <w:pPr>
        <w:pStyle w:val="AH1Chapter"/>
      </w:pPr>
      <w:bookmarkStart w:id="7" w:name="_Toc185513624"/>
      <w:r w:rsidRPr="00C8328B">
        <w:rPr>
          <w:rStyle w:val="CharChapNo"/>
        </w:rPr>
        <w:lastRenderedPageBreak/>
        <w:t>Chapter 1</w:t>
      </w:r>
      <w:r>
        <w:tab/>
      </w:r>
      <w:r w:rsidRPr="00C8328B">
        <w:rPr>
          <w:rStyle w:val="CharChapText"/>
        </w:rPr>
        <w:t>Preliminary</w:t>
      </w:r>
      <w:bookmarkEnd w:id="7"/>
    </w:p>
    <w:p w14:paraId="73AA61BE" w14:textId="77777777" w:rsidR="003D4FF5" w:rsidRDefault="003D4FF5" w:rsidP="003D4FF5">
      <w:pPr>
        <w:pStyle w:val="AH5Sec"/>
      </w:pPr>
      <w:bookmarkStart w:id="8" w:name="_Toc185513625"/>
      <w:r w:rsidRPr="00C8328B">
        <w:rPr>
          <w:rStyle w:val="CharSectNo"/>
        </w:rPr>
        <w:t>1</w:t>
      </w:r>
      <w:r>
        <w:tab/>
        <w:t>Name of rules</w:t>
      </w:r>
      <w:bookmarkEnd w:id="8"/>
    </w:p>
    <w:p w14:paraId="6A74B746" w14:textId="77777777" w:rsidR="003D4FF5" w:rsidRDefault="003D4FF5" w:rsidP="003D4FF5">
      <w:pPr>
        <w:pStyle w:val="Amainreturn"/>
      </w:pPr>
      <w:r>
        <w:t xml:space="preserve">These rules are the </w:t>
      </w:r>
      <w:r>
        <w:rPr>
          <w:rStyle w:val="charItals"/>
        </w:rPr>
        <w:t>Court Procedures Rules 2006</w:t>
      </w:r>
      <w:r>
        <w:t>.</w:t>
      </w:r>
    </w:p>
    <w:p w14:paraId="1AA7DF02" w14:textId="77777777" w:rsidR="003D4FF5" w:rsidRDefault="003D4FF5" w:rsidP="003D4FF5">
      <w:pPr>
        <w:pStyle w:val="AH5Sec"/>
      </w:pPr>
      <w:bookmarkStart w:id="9" w:name="_Toc185513626"/>
      <w:r w:rsidRPr="00C8328B">
        <w:rPr>
          <w:rStyle w:val="CharSectNo"/>
        </w:rPr>
        <w:t>3</w:t>
      </w:r>
      <w:r>
        <w:tab/>
        <w:t>Overview of rules</w:t>
      </w:r>
      <w:bookmarkEnd w:id="9"/>
    </w:p>
    <w:p w14:paraId="35231CC1" w14:textId="77777777" w:rsidR="003D4FF5" w:rsidRDefault="003D4FF5" w:rsidP="003D4FF5">
      <w:pPr>
        <w:pStyle w:val="Amainreturn"/>
      </w:pPr>
      <w:r>
        <w:t>The note to this rule provides a general overview of these rules.</w:t>
      </w:r>
    </w:p>
    <w:p w14:paraId="1F12E777" w14:textId="77777777"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14:paraId="3346816B" w14:textId="77777777" w:rsidR="003D4FF5" w:rsidRDefault="003D4FF5" w:rsidP="003D4FF5">
      <w:pPr>
        <w:spacing w:after="60"/>
        <w:ind w:left="1100"/>
        <w:rPr>
          <w:b/>
          <w:bCs/>
          <w:sz w:val="20"/>
        </w:rPr>
      </w:pPr>
      <w:r>
        <w:rPr>
          <w:b/>
          <w:bCs/>
          <w:sz w:val="20"/>
        </w:rPr>
        <w:t>Chapter 1</w:t>
      </w:r>
      <w:r>
        <w:rPr>
          <w:b/>
          <w:bCs/>
          <w:sz w:val="20"/>
        </w:rPr>
        <w:tab/>
        <w:t>Preliminary</w:t>
      </w:r>
    </w:p>
    <w:p w14:paraId="32DFC0C3" w14:textId="77777777" w:rsidR="003D4FF5" w:rsidRDefault="003D4FF5" w:rsidP="003D4FF5">
      <w:pPr>
        <w:spacing w:after="60"/>
        <w:ind w:left="1100"/>
        <w:rPr>
          <w:sz w:val="20"/>
        </w:rPr>
      </w:pPr>
      <w:r>
        <w:rPr>
          <w:sz w:val="20"/>
        </w:rPr>
        <w:t>Ch 1 deals with the application of these rules and dispensing with compliance.  It also contains formal provisions.</w:t>
      </w:r>
    </w:p>
    <w:p w14:paraId="4CF2B8FA" w14:textId="77777777" w:rsidR="003D4FF5" w:rsidRDefault="003D4FF5" w:rsidP="003D4FF5">
      <w:pPr>
        <w:spacing w:after="60"/>
        <w:ind w:left="1100"/>
        <w:rPr>
          <w:b/>
          <w:bCs/>
          <w:sz w:val="20"/>
        </w:rPr>
      </w:pPr>
      <w:r>
        <w:rPr>
          <w:b/>
          <w:bCs/>
          <w:sz w:val="20"/>
        </w:rPr>
        <w:t>Chapter 2</w:t>
      </w:r>
      <w:r>
        <w:rPr>
          <w:b/>
          <w:bCs/>
          <w:sz w:val="20"/>
        </w:rPr>
        <w:tab/>
        <w:t>Civil proceedings generally</w:t>
      </w:r>
    </w:p>
    <w:p w14:paraId="16AF3B3F" w14:textId="77777777"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14:paraId="5B808CFE" w14:textId="77777777" w:rsidR="003D4FF5" w:rsidRDefault="003D4FF5" w:rsidP="003D4FF5">
      <w:pPr>
        <w:spacing w:after="60"/>
        <w:ind w:left="1100"/>
        <w:rPr>
          <w:b/>
          <w:bCs/>
          <w:sz w:val="20"/>
        </w:rPr>
      </w:pPr>
      <w:r>
        <w:rPr>
          <w:b/>
          <w:bCs/>
          <w:sz w:val="20"/>
        </w:rPr>
        <w:t>Chapter 3</w:t>
      </w:r>
      <w:r>
        <w:rPr>
          <w:b/>
          <w:bCs/>
          <w:sz w:val="20"/>
        </w:rPr>
        <w:tab/>
        <w:t>Particular civil proceedings</w:t>
      </w:r>
    </w:p>
    <w:p w14:paraId="6DADD372" w14:textId="77777777"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14:paraId="4095C130" w14:textId="77777777" w:rsidR="003D4FF5" w:rsidRDefault="003D4FF5" w:rsidP="003D4FF5">
      <w:pPr>
        <w:spacing w:after="60"/>
        <w:ind w:left="1100"/>
        <w:rPr>
          <w:b/>
          <w:bCs/>
          <w:sz w:val="20"/>
        </w:rPr>
      </w:pPr>
      <w:r>
        <w:rPr>
          <w:b/>
          <w:bCs/>
          <w:sz w:val="20"/>
        </w:rPr>
        <w:t>Chapter 4</w:t>
      </w:r>
      <w:r>
        <w:rPr>
          <w:b/>
          <w:bCs/>
          <w:sz w:val="20"/>
        </w:rPr>
        <w:tab/>
        <w:t>Criminal proceedings</w:t>
      </w:r>
    </w:p>
    <w:p w14:paraId="4C21232E" w14:textId="77777777" w:rsidR="003D4FF5" w:rsidRDefault="003D4FF5" w:rsidP="003D4FF5">
      <w:pPr>
        <w:spacing w:after="60"/>
        <w:ind w:left="1100"/>
        <w:rPr>
          <w:sz w:val="20"/>
        </w:rPr>
      </w:pPr>
      <w:r>
        <w:rPr>
          <w:sz w:val="20"/>
        </w:rPr>
        <w:t>Ch 4 contains rules about criminal proceedings, including the steps in a criminal proceeding eg arraignments.</w:t>
      </w:r>
    </w:p>
    <w:p w14:paraId="2E4F8643" w14:textId="77777777" w:rsidR="003D4FF5" w:rsidRDefault="003D4FF5" w:rsidP="003D4FF5">
      <w:pPr>
        <w:spacing w:after="60"/>
        <w:ind w:left="1100"/>
        <w:rPr>
          <w:b/>
          <w:bCs/>
          <w:sz w:val="20"/>
        </w:rPr>
      </w:pPr>
      <w:r>
        <w:rPr>
          <w:b/>
          <w:bCs/>
          <w:sz w:val="20"/>
        </w:rPr>
        <w:t>Chapter 5</w:t>
      </w:r>
      <w:r>
        <w:rPr>
          <w:b/>
          <w:bCs/>
          <w:sz w:val="20"/>
        </w:rPr>
        <w:tab/>
        <w:t>Appellate proceedings</w:t>
      </w:r>
    </w:p>
    <w:p w14:paraId="3BDE770E" w14:textId="77777777"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14:paraId="608A2F32" w14:textId="77777777" w:rsidR="003D4FF5" w:rsidRDefault="003D4FF5" w:rsidP="003D4FF5">
      <w:pPr>
        <w:spacing w:after="60"/>
        <w:ind w:left="1100"/>
        <w:rPr>
          <w:b/>
          <w:bCs/>
          <w:sz w:val="20"/>
        </w:rPr>
      </w:pPr>
      <w:r>
        <w:rPr>
          <w:b/>
          <w:bCs/>
          <w:sz w:val="20"/>
        </w:rPr>
        <w:t>Chapter 6</w:t>
      </w:r>
      <w:r>
        <w:rPr>
          <w:b/>
          <w:bCs/>
          <w:sz w:val="20"/>
        </w:rPr>
        <w:tab/>
        <w:t>General rules for all proceedings</w:t>
      </w:r>
    </w:p>
    <w:p w14:paraId="30418C92" w14:textId="77777777" w:rsidR="003D4FF5" w:rsidRDefault="003D4FF5" w:rsidP="003D4FF5">
      <w:pPr>
        <w:spacing w:after="60"/>
        <w:ind w:left="1100"/>
        <w:rPr>
          <w:sz w:val="20"/>
        </w:rPr>
      </w:pPr>
      <w:r>
        <w:rPr>
          <w:sz w:val="20"/>
        </w:rPr>
        <w:t>Ch 6 contains general rules that apply to all proceedings, eg rules about service and documents.</w:t>
      </w:r>
    </w:p>
    <w:p w14:paraId="5DBA9D18" w14:textId="77777777" w:rsidR="003D4FF5" w:rsidRDefault="003D4FF5" w:rsidP="003D4FF5">
      <w:pPr>
        <w:spacing w:after="60"/>
        <w:ind w:left="1100"/>
        <w:rPr>
          <w:b/>
          <w:bCs/>
          <w:sz w:val="20"/>
        </w:rPr>
      </w:pPr>
      <w:r>
        <w:rPr>
          <w:b/>
          <w:bCs/>
          <w:sz w:val="20"/>
        </w:rPr>
        <w:t>Chapter 7</w:t>
      </w:r>
      <w:r>
        <w:rPr>
          <w:b/>
          <w:bCs/>
          <w:sz w:val="20"/>
        </w:rPr>
        <w:tab/>
        <w:t>Transitional</w:t>
      </w:r>
    </w:p>
    <w:p w14:paraId="5B299CAD" w14:textId="77777777" w:rsidR="003D4FF5" w:rsidRDefault="003D4FF5" w:rsidP="003D4FF5">
      <w:pPr>
        <w:spacing w:after="60"/>
        <w:ind w:left="1100"/>
        <w:rPr>
          <w:sz w:val="20"/>
        </w:rPr>
      </w:pPr>
      <w:r>
        <w:rPr>
          <w:sz w:val="20"/>
        </w:rPr>
        <w:t>Ch 7 deals with the application of these rules to existing proceedings and contains other transitional provisions.</w:t>
      </w:r>
    </w:p>
    <w:p w14:paraId="666C7575" w14:textId="77777777" w:rsidR="003D4FF5" w:rsidRDefault="003D4FF5" w:rsidP="003D4FF5">
      <w:pPr>
        <w:spacing w:after="60"/>
        <w:ind w:left="1100"/>
        <w:rPr>
          <w:b/>
          <w:bCs/>
          <w:sz w:val="20"/>
        </w:rPr>
      </w:pPr>
      <w:r>
        <w:rPr>
          <w:b/>
          <w:bCs/>
          <w:sz w:val="20"/>
        </w:rPr>
        <w:t>Schedule 1</w:t>
      </w:r>
      <w:r>
        <w:rPr>
          <w:b/>
          <w:bCs/>
          <w:sz w:val="20"/>
        </w:rPr>
        <w:tab/>
        <w:t>Expert witness code of conduct</w:t>
      </w:r>
    </w:p>
    <w:p w14:paraId="69E2F6D2" w14:textId="77777777" w:rsidR="003D4FF5" w:rsidRDefault="003D4FF5" w:rsidP="003D4FF5">
      <w:pPr>
        <w:spacing w:after="60"/>
        <w:ind w:left="1100"/>
        <w:rPr>
          <w:sz w:val="20"/>
        </w:rPr>
      </w:pPr>
      <w:r>
        <w:rPr>
          <w:sz w:val="20"/>
        </w:rPr>
        <w:t>Sch 1 sets out the code of conduct applying to expert witnesses.</w:t>
      </w:r>
    </w:p>
    <w:p w14:paraId="4323D704" w14:textId="77777777" w:rsidR="003D4FF5" w:rsidRDefault="003D4FF5" w:rsidP="003D4FF5">
      <w:pPr>
        <w:keepNext/>
        <w:spacing w:after="60"/>
        <w:ind w:left="1100"/>
        <w:rPr>
          <w:b/>
          <w:bCs/>
          <w:sz w:val="20"/>
        </w:rPr>
      </w:pPr>
      <w:r>
        <w:rPr>
          <w:b/>
          <w:bCs/>
          <w:sz w:val="20"/>
        </w:rPr>
        <w:t>Schedule 2</w:t>
      </w:r>
      <w:r>
        <w:rPr>
          <w:b/>
          <w:bCs/>
          <w:sz w:val="20"/>
        </w:rPr>
        <w:tab/>
        <w:t>Interest rates</w:t>
      </w:r>
    </w:p>
    <w:p w14:paraId="50FC908A" w14:textId="77777777" w:rsidR="003D4FF5" w:rsidRDefault="003D4FF5" w:rsidP="003D4FF5">
      <w:pPr>
        <w:spacing w:after="60"/>
        <w:ind w:left="1100"/>
        <w:rPr>
          <w:sz w:val="20"/>
        </w:rPr>
      </w:pPr>
      <w:r>
        <w:rPr>
          <w:sz w:val="20"/>
        </w:rPr>
        <w:t>Sch 2 sets out the interest rates applying to judgments.</w:t>
      </w:r>
    </w:p>
    <w:p w14:paraId="0441E10B" w14:textId="77777777" w:rsidR="003D4FF5" w:rsidRDefault="003D4FF5" w:rsidP="003D4FF5">
      <w:pPr>
        <w:keepNext/>
        <w:spacing w:after="60"/>
        <w:ind w:left="1100"/>
        <w:rPr>
          <w:b/>
          <w:bCs/>
          <w:sz w:val="20"/>
        </w:rPr>
      </w:pPr>
      <w:r>
        <w:rPr>
          <w:b/>
          <w:bCs/>
          <w:sz w:val="20"/>
        </w:rPr>
        <w:lastRenderedPageBreak/>
        <w:t>Schedule 3</w:t>
      </w:r>
      <w:r>
        <w:rPr>
          <w:b/>
          <w:bCs/>
          <w:sz w:val="20"/>
        </w:rPr>
        <w:tab/>
        <w:t>Costs amount—debts and liquidated claims</w:t>
      </w:r>
    </w:p>
    <w:p w14:paraId="6E630D7A" w14:textId="77777777" w:rsidR="003D4FF5" w:rsidRDefault="003D4FF5" w:rsidP="003D4FF5">
      <w:pPr>
        <w:spacing w:after="60"/>
        <w:ind w:left="1100"/>
        <w:rPr>
          <w:sz w:val="20"/>
        </w:rPr>
      </w:pPr>
      <w:r>
        <w:rPr>
          <w:sz w:val="20"/>
        </w:rPr>
        <w:t>Sch 3 sets up the prescribed costs amount for claims for debts and liquidated demands and for default judgments.</w:t>
      </w:r>
    </w:p>
    <w:p w14:paraId="69090125" w14:textId="77777777" w:rsidR="003D4FF5" w:rsidRDefault="003D4FF5" w:rsidP="003D4FF5">
      <w:pPr>
        <w:spacing w:after="60"/>
        <w:ind w:left="1100"/>
        <w:rPr>
          <w:b/>
          <w:bCs/>
          <w:sz w:val="20"/>
        </w:rPr>
      </w:pPr>
      <w:r>
        <w:rPr>
          <w:b/>
          <w:bCs/>
          <w:sz w:val="20"/>
        </w:rPr>
        <w:t>Schedule 4</w:t>
      </w:r>
      <w:r>
        <w:rPr>
          <w:b/>
          <w:bCs/>
          <w:sz w:val="20"/>
        </w:rPr>
        <w:tab/>
        <w:t>Scale of costs</w:t>
      </w:r>
    </w:p>
    <w:p w14:paraId="197DE427" w14:textId="77777777" w:rsidR="003D4FF5" w:rsidRDefault="003D4FF5" w:rsidP="003D4FF5">
      <w:pPr>
        <w:spacing w:after="60"/>
        <w:ind w:left="1100"/>
        <w:rPr>
          <w:sz w:val="20"/>
        </w:rPr>
      </w:pPr>
      <w:r>
        <w:rPr>
          <w:sz w:val="20"/>
        </w:rPr>
        <w:t>Sch 4 sets out the scale of costs.</w:t>
      </w:r>
    </w:p>
    <w:p w14:paraId="0DA65B60" w14:textId="77777777" w:rsidR="003D4FF5" w:rsidRDefault="003D4FF5" w:rsidP="003D4FF5">
      <w:pPr>
        <w:spacing w:after="60"/>
        <w:ind w:left="1100"/>
        <w:rPr>
          <w:b/>
          <w:bCs/>
          <w:sz w:val="20"/>
        </w:rPr>
      </w:pPr>
      <w:r>
        <w:rPr>
          <w:b/>
          <w:bCs/>
          <w:sz w:val="20"/>
        </w:rPr>
        <w:t>Schedule 5</w:t>
      </w:r>
      <w:r>
        <w:rPr>
          <w:b/>
          <w:bCs/>
          <w:sz w:val="20"/>
        </w:rPr>
        <w:tab/>
        <w:t>Jurisdiction of registrar</w:t>
      </w:r>
    </w:p>
    <w:p w14:paraId="420C35FC" w14:textId="77777777" w:rsidR="003D4FF5" w:rsidRDefault="003D4FF5" w:rsidP="003D4FF5">
      <w:pPr>
        <w:spacing w:after="60"/>
        <w:ind w:left="1100"/>
        <w:rPr>
          <w:sz w:val="20"/>
        </w:rPr>
      </w:pPr>
      <w:r>
        <w:rPr>
          <w:sz w:val="20"/>
        </w:rPr>
        <w:t>Sch 5 contains provisions about the jurisdiction of the registrar (see also pt 6.5).</w:t>
      </w:r>
    </w:p>
    <w:p w14:paraId="697FE2A8" w14:textId="77777777" w:rsidR="003D4FF5" w:rsidRDefault="003D4FF5" w:rsidP="003D4FF5">
      <w:pPr>
        <w:spacing w:after="60"/>
        <w:ind w:left="1100"/>
        <w:rPr>
          <w:b/>
          <w:bCs/>
          <w:sz w:val="20"/>
        </w:rPr>
      </w:pPr>
      <w:r>
        <w:rPr>
          <w:b/>
          <w:bCs/>
          <w:sz w:val="20"/>
        </w:rPr>
        <w:t>Schedule 6</w:t>
      </w:r>
      <w:r>
        <w:rPr>
          <w:b/>
          <w:bCs/>
          <w:sz w:val="20"/>
        </w:rPr>
        <w:tab/>
        <w:t>Corporations Rules</w:t>
      </w:r>
    </w:p>
    <w:p w14:paraId="6A272643" w14:textId="77777777" w:rsidR="003D4FF5" w:rsidRDefault="003D4FF5" w:rsidP="003D4FF5">
      <w:pPr>
        <w:spacing w:after="60"/>
        <w:ind w:left="1100"/>
        <w:rPr>
          <w:sz w:val="20"/>
        </w:rPr>
      </w:pPr>
      <w:r>
        <w:rPr>
          <w:sz w:val="20"/>
        </w:rPr>
        <w:t>Sch 6 contains rules for proceedings under the corporations law.</w:t>
      </w:r>
    </w:p>
    <w:p w14:paraId="7AF3D35E" w14:textId="77777777" w:rsidR="003D4FF5" w:rsidRDefault="003D4FF5" w:rsidP="003D4FF5">
      <w:pPr>
        <w:spacing w:after="60"/>
        <w:ind w:left="1100"/>
        <w:rPr>
          <w:b/>
          <w:bCs/>
          <w:sz w:val="20"/>
        </w:rPr>
      </w:pPr>
      <w:r>
        <w:rPr>
          <w:b/>
          <w:bCs/>
          <w:sz w:val="20"/>
        </w:rPr>
        <w:t>Dictionary</w:t>
      </w:r>
    </w:p>
    <w:p w14:paraId="7700C717" w14:textId="77777777" w:rsidR="003D4FF5" w:rsidRDefault="003D4FF5" w:rsidP="003D4FF5">
      <w:pPr>
        <w:spacing w:after="60"/>
        <w:ind w:left="1100"/>
        <w:rPr>
          <w:sz w:val="20"/>
        </w:rPr>
      </w:pPr>
      <w:r>
        <w:rPr>
          <w:sz w:val="20"/>
        </w:rPr>
        <w:t>The dictionary defines certain terms used in these rules.</w:t>
      </w:r>
    </w:p>
    <w:p w14:paraId="73E2A6A0" w14:textId="77777777" w:rsidR="003D4FF5" w:rsidRDefault="003D4FF5" w:rsidP="003D4FF5">
      <w:pPr>
        <w:pStyle w:val="AH5Sec"/>
      </w:pPr>
      <w:bookmarkStart w:id="10" w:name="_Toc185513627"/>
      <w:r w:rsidRPr="00C8328B">
        <w:rPr>
          <w:rStyle w:val="CharSectNo"/>
        </w:rPr>
        <w:t>4</w:t>
      </w:r>
      <w:r>
        <w:tab/>
        <w:t>Application of rules</w:t>
      </w:r>
      <w:bookmarkEnd w:id="10"/>
    </w:p>
    <w:p w14:paraId="591F5045" w14:textId="77777777"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14:paraId="2157428E" w14:textId="3DF1A6FC"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14:paraId="2BA1131C" w14:textId="77777777"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14:paraId="5D66E4A0" w14:textId="77777777"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14:paraId="79241827" w14:textId="77777777" w:rsidTr="003D4FF5">
        <w:trPr>
          <w:cantSplit/>
          <w:tblHeader/>
        </w:trPr>
        <w:tc>
          <w:tcPr>
            <w:tcW w:w="788" w:type="pct"/>
            <w:tcBorders>
              <w:top w:val="single" w:sz="4" w:space="0" w:color="auto"/>
              <w:left w:val="single" w:sz="4" w:space="0" w:color="auto"/>
              <w:bottom w:val="single" w:sz="4" w:space="0" w:color="auto"/>
              <w:right w:val="single" w:sz="4" w:space="0" w:color="auto"/>
            </w:tcBorders>
          </w:tcPr>
          <w:p w14:paraId="4F5DA497" w14:textId="77777777" w:rsidR="003D4FF5" w:rsidRDefault="003D4FF5" w:rsidP="003D4FF5">
            <w:pPr>
              <w:pStyle w:val="TableColHd"/>
            </w:pPr>
            <w:r>
              <w:t>column 1</w:t>
            </w:r>
          </w:p>
          <w:p w14:paraId="56802639" w14:textId="77777777"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14:paraId="0D472BBB" w14:textId="77777777" w:rsidR="003D4FF5" w:rsidRDefault="003D4FF5" w:rsidP="003D4FF5">
            <w:pPr>
              <w:spacing w:after="60"/>
              <w:rPr>
                <w:rFonts w:ascii="Arial" w:hAnsi="Arial" w:cs="Arial"/>
                <w:b/>
                <w:bCs/>
                <w:sz w:val="20"/>
              </w:rPr>
            </w:pPr>
            <w:r>
              <w:rPr>
                <w:rFonts w:ascii="Arial" w:hAnsi="Arial" w:cs="Arial"/>
                <w:b/>
                <w:bCs/>
                <w:sz w:val="20"/>
              </w:rPr>
              <w:t>column 2</w:t>
            </w:r>
          </w:p>
          <w:p w14:paraId="7E65624C" w14:textId="77777777"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14:paraId="1278F4C0" w14:textId="77777777" w:rsidR="003D4FF5" w:rsidRDefault="003D4FF5" w:rsidP="003D4FF5">
            <w:pPr>
              <w:pStyle w:val="TableColHd"/>
            </w:pPr>
            <w:r>
              <w:t>column 3</w:t>
            </w:r>
          </w:p>
          <w:p w14:paraId="45521608" w14:textId="77777777" w:rsidR="003D4FF5" w:rsidRDefault="003D4FF5" w:rsidP="003D4FF5">
            <w:pPr>
              <w:pStyle w:val="TableColHd"/>
            </w:pPr>
            <w:r>
              <w:t>provision of other law</w:t>
            </w:r>
          </w:p>
        </w:tc>
      </w:tr>
      <w:tr w:rsidR="003D4FF5" w14:paraId="3733CE72" w14:textId="77777777"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14:paraId="78BF9BE8" w14:textId="77777777"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14:paraId="69CD0A57" w14:textId="77777777"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14:paraId="7A129D91" w14:textId="6543D90E" w:rsidR="003D4FF5" w:rsidRDefault="001542D1"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14:paraId="5983AE2D" w14:textId="77777777" w:rsidR="003D4FF5" w:rsidRDefault="003D4FF5" w:rsidP="003D4FF5">
      <w:pPr>
        <w:pStyle w:val="Amainbullet"/>
      </w:pPr>
    </w:p>
    <w:p w14:paraId="2BBDC81E" w14:textId="77777777"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14:paraId="2AB30396" w14:textId="77777777" w:rsidR="003D4FF5" w:rsidRDefault="003D4FF5" w:rsidP="003D4FF5">
      <w:pPr>
        <w:pStyle w:val="AH5Sec"/>
      </w:pPr>
      <w:bookmarkStart w:id="11" w:name="_Toc185513628"/>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1"/>
    </w:p>
    <w:p w14:paraId="309D5F6B" w14:textId="77777777"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14:paraId="5B3699A7" w14:textId="77777777" w:rsidR="00467785" w:rsidRPr="00F13970" w:rsidRDefault="00467785" w:rsidP="00467785">
      <w:pPr>
        <w:pStyle w:val="Amain"/>
      </w:pPr>
      <w:r w:rsidRPr="00F13970">
        <w:tab/>
        <w:t>(2)</w:t>
      </w:r>
      <w:r w:rsidRPr="00F13970">
        <w:tab/>
        <w:t xml:space="preserve">For the </w:t>
      </w:r>
      <w:r w:rsidRPr="00F13970">
        <w:rPr>
          <w:color w:val="000000"/>
          <w:shd w:val="clear" w:color="auto" w:fill="FFFFFF"/>
        </w:rPr>
        <w:t xml:space="preserve">exercise of jurisdiction given to the registrar under a territory law, </w:t>
      </w:r>
      <w:r w:rsidRPr="00F13970">
        <w:t xml:space="preserve">a reference to the </w:t>
      </w:r>
      <w:r w:rsidRPr="005E6481">
        <w:rPr>
          <w:rStyle w:val="charBoldItals"/>
        </w:rPr>
        <w:t>court</w:t>
      </w:r>
      <w:r w:rsidRPr="00F13970">
        <w:t xml:space="preserve"> in these rules includes a reference to the registrar.</w:t>
      </w:r>
    </w:p>
    <w:p w14:paraId="58B1720F" w14:textId="77777777" w:rsidR="00467785" w:rsidRPr="00F13970" w:rsidRDefault="00467785" w:rsidP="00467785">
      <w:pPr>
        <w:pStyle w:val="aNote"/>
      </w:pPr>
      <w:r w:rsidRPr="005E6481">
        <w:rPr>
          <w:rStyle w:val="charItals"/>
        </w:rPr>
        <w:t>Note</w:t>
      </w:r>
      <w:r w:rsidRPr="005E6481">
        <w:rPr>
          <w:rStyle w:val="charItals"/>
        </w:rPr>
        <w:tab/>
      </w:r>
      <w:r w:rsidRPr="00F13970">
        <w:t>Pt 6.5 deals with the jurisdiction of the registrar (see also sch 5).</w:t>
      </w:r>
    </w:p>
    <w:p w14:paraId="4DF3A4E1" w14:textId="77777777"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14:paraId="17091FD0" w14:textId="77777777" w:rsidR="003D4FF5" w:rsidRDefault="003D4FF5" w:rsidP="003D4FF5">
      <w:pPr>
        <w:pStyle w:val="Apara"/>
        <w:keepNext/>
      </w:pPr>
      <w:r>
        <w:tab/>
        <w:t>(a)</w:t>
      </w:r>
      <w:r>
        <w:tab/>
        <w:t>in relation to the Supreme Court—any of the following:</w:t>
      </w:r>
    </w:p>
    <w:p w14:paraId="54161A65" w14:textId="77777777" w:rsidR="003D4FF5" w:rsidRDefault="003D4FF5" w:rsidP="003D4FF5">
      <w:pPr>
        <w:pStyle w:val="Asubpara"/>
        <w:keepNext/>
      </w:pPr>
      <w:r>
        <w:tab/>
        <w:t>(i)</w:t>
      </w:r>
      <w:r>
        <w:tab/>
        <w:t>a judge;</w:t>
      </w:r>
    </w:p>
    <w:p w14:paraId="59BE77E0" w14:textId="1A8D041A" w:rsidR="003D4FF5" w:rsidRDefault="003D4FF5" w:rsidP="003D4FF5">
      <w:pPr>
        <w:pStyle w:val="Asubpara"/>
      </w:pPr>
      <w:r>
        <w:tab/>
        <w:t>(ii)</w:t>
      </w:r>
      <w:r>
        <w:tab/>
        <w:t>as far as these rules provide for the exercise of the court’s jurisdiction by the registrar, the registrar; and</w:t>
      </w:r>
    </w:p>
    <w:p w14:paraId="7B09C12F" w14:textId="77777777" w:rsidR="003D4FF5" w:rsidRDefault="003D4FF5" w:rsidP="003D4FF5">
      <w:pPr>
        <w:pStyle w:val="Apara"/>
        <w:keepNext/>
      </w:pPr>
      <w:r>
        <w:tab/>
        <w:t>(b)</w:t>
      </w:r>
      <w:r>
        <w:tab/>
        <w:t>in relation to the Magistrates Court—any of the following:</w:t>
      </w:r>
    </w:p>
    <w:p w14:paraId="40452F18" w14:textId="77777777" w:rsidR="003D4FF5" w:rsidRDefault="003D4FF5" w:rsidP="003D4FF5">
      <w:pPr>
        <w:pStyle w:val="Asubpara"/>
      </w:pPr>
      <w:r>
        <w:tab/>
        <w:t>(i)</w:t>
      </w:r>
      <w:r>
        <w:tab/>
        <w:t>a magistrate;</w:t>
      </w:r>
    </w:p>
    <w:p w14:paraId="392C91D9" w14:textId="77777777" w:rsidR="003D4FF5" w:rsidRDefault="003D4FF5" w:rsidP="003D4FF5">
      <w:pPr>
        <w:pStyle w:val="Asubpara"/>
      </w:pPr>
      <w:r>
        <w:tab/>
        <w:t>(ii)</w:t>
      </w:r>
      <w:r>
        <w:tab/>
        <w:t>as far as these rules provide for the exercise of the court’s jurisdiction by the registrar, the registrar.</w:t>
      </w:r>
    </w:p>
    <w:p w14:paraId="7DE3FB68" w14:textId="77777777" w:rsidR="003D4FF5" w:rsidRDefault="003D4FF5" w:rsidP="003D4FF5">
      <w:pPr>
        <w:pStyle w:val="Amain"/>
      </w:pPr>
      <w:r>
        <w:tab/>
        <w:t>(4)</w:t>
      </w:r>
      <w:r>
        <w:tab/>
        <w:t>In these rules, a reference to the</w:t>
      </w:r>
      <w:r>
        <w:rPr>
          <w:rStyle w:val="charBoldItals"/>
        </w:rPr>
        <w:t xml:space="preserve"> registrar</w:t>
      </w:r>
      <w:r>
        <w:t xml:space="preserve"> in relation to a court is a reference to the registrar or a deputy registrar of the court.</w:t>
      </w:r>
    </w:p>
    <w:p w14:paraId="2E30D339" w14:textId="77777777"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14:paraId="2223F0B9" w14:textId="77777777" w:rsidR="003D4FF5" w:rsidRDefault="003D4FF5" w:rsidP="003D4FF5">
      <w:pPr>
        <w:pStyle w:val="Amain"/>
      </w:pPr>
      <w:r>
        <w:lastRenderedPageBreak/>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14:paraId="57D6B9D4" w14:textId="77777777" w:rsidR="003D4FF5" w:rsidRDefault="003D4FF5" w:rsidP="003D4FF5">
      <w:pPr>
        <w:pStyle w:val="AH5Sec"/>
      </w:pPr>
      <w:bookmarkStart w:id="12" w:name="_Toc185513629"/>
      <w:r w:rsidRPr="00C8328B">
        <w:rPr>
          <w:rStyle w:val="CharSectNo"/>
        </w:rPr>
        <w:t>6</w:t>
      </w:r>
      <w:r>
        <w:tab/>
        <w:t>Dispensing with rules</w:t>
      </w:r>
      <w:bookmarkEnd w:id="12"/>
    </w:p>
    <w:p w14:paraId="63A3E4F0" w14:textId="77777777"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14:paraId="2192ACBF" w14:textId="77777777" w:rsidR="003D4FF5" w:rsidRDefault="003D4FF5" w:rsidP="003D4FF5">
      <w:pPr>
        <w:pStyle w:val="aExamHdgss"/>
      </w:pPr>
      <w:r>
        <w:t>Examples</w:t>
      </w:r>
    </w:p>
    <w:p w14:paraId="12F9E1E6" w14:textId="77777777"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14:paraId="175BE51C" w14:textId="77777777"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14:paraId="3B71319F" w14:textId="77777777"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14:paraId="0089816C" w14:textId="77777777"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14:paraId="3636CBD9" w14:textId="77777777" w:rsidR="003D4FF5" w:rsidRDefault="003D4FF5" w:rsidP="003D4FF5">
      <w:pPr>
        <w:pStyle w:val="Amain"/>
        <w:keepLines/>
      </w:pPr>
      <w:r>
        <w:tab/>
        <w:t>(3)</w:t>
      </w:r>
      <w:r>
        <w:tab/>
        <w:t>Without limiting rule 6016 (Application in proceeding—oral application), an application for a decision or order under this rule may be made orally, unless the court otherwise orders on its own initiative.</w:t>
      </w:r>
    </w:p>
    <w:p w14:paraId="6F3725D6" w14:textId="77777777"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14:paraId="31B37E86" w14:textId="77777777" w:rsidR="003D4FF5" w:rsidRDefault="003D4FF5" w:rsidP="003D4FF5">
      <w:pPr>
        <w:pStyle w:val="Amain"/>
      </w:pPr>
      <w:r>
        <w:lastRenderedPageBreak/>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14:paraId="4E09B737" w14:textId="77777777" w:rsidR="003D4FF5" w:rsidRDefault="003D4FF5" w:rsidP="003D4FF5">
      <w:pPr>
        <w:pStyle w:val="AH5Sec"/>
      </w:pPr>
      <w:bookmarkStart w:id="13" w:name="_Toc185513630"/>
      <w:r w:rsidRPr="00C8328B">
        <w:rPr>
          <w:rStyle w:val="CharSectNo"/>
        </w:rPr>
        <w:t>7</w:t>
      </w:r>
      <w:r>
        <w:tab/>
        <w:t>Dictionary</w:t>
      </w:r>
      <w:bookmarkEnd w:id="13"/>
    </w:p>
    <w:p w14:paraId="65C69F55" w14:textId="77777777" w:rsidR="003D4FF5" w:rsidRDefault="003D4FF5" w:rsidP="003D4FF5">
      <w:pPr>
        <w:pStyle w:val="Amainreturn"/>
        <w:keepNext/>
      </w:pPr>
      <w:r>
        <w:t>The dictionary at the end of these rules is part of these rules.</w:t>
      </w:r>
    </w:p>
    <w:p w14:paraId="0FDB5E5E" w14:textId="77777777"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14:paraId="6DBFF17F" w14:textId="77777777"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14:paraId="77A07B90" w14:textId="2C1AF1B2"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0" w:tooltip="A2001-14" w:history="1">
        <w:r w:rsidRPr="005A5F43">
          <w:rPr>
            <w:rStyle w:val="charCitHyperlinkAbbrev"/>
          </w:rPr>
          <w:t>Legislation Act</w:t>
        </w:r>
      </w:hyperlink>
      <w:r>
        <w:t>, s 155 and s 156 (1)).</w:t>
      </w:r>
    </w:p>
    <w:p w14:paraId="62B128D7" w14:textId="77777777" w:rsidR="003D4FF5" w:rsidRDefault="003D4FF5" w:rsidP="003D4FF5">
      <w:pPr>
        <w:pStyle w:val="AH5Sec"/>
      </w:pPr>
      <w:bookmarkStart w:id="14" w:name="_Toc185513631"/>
      <w:r w:rsidRPr="00C8328B">
        <w:rPr>
          <w:rStyle w:val="CharSectNo"/>
        </w:rPr>
        <w:t>8</w:t>
      </w:r>
      <w:r>
        <w:tab/>
        <w:t>Notes</w:t>
      </w:r>
      <w:bookmarkEnd w:id="14"/>
    </w:p>
    <w:p w14:paraId="41789EBD" w14:textId="77777777" w:rsidR="003D4FF5" w:rsidRDefault="003D4FF5" w:rsidP="00EC10C8">
      <w:pPr>
        <w:pStyle w:val="Amainreturn"/>
        <w:keepNext/>
      </w:pPr>
      <w:r>
        <w:t>A note included in these rules is explanatory and is not part of these rules.</w:t>
      </w:r>
    </w:p>
    <w:p w14:paraId="4B6EA24F" w14:textId="29D314C7" w:rsidR="003D4FF5" w:rsidRDefault="003D4FF5" w:rsidP="003D4FF5">
      <w:pPr>
        <w:pStyle w:val="aNote"/>
        <w:spacing w:before="0"/>
      </w:pPr>
      <w:r>
        <w:rPr>
          <w:rStyle w:val="charItals"/>
        </w:rPr>
        <w:t>Note</w:t>
      </w:r>
      <w:r>
        <w:rPr>
          <w:rStyle w:val="charItals"/>
        </w:rPr>
        <w:tab/>
      </w:r>
      <w:r>
        <w:t xml:space="preserve">See the </w:t>
      </w:r>
      <w:hyperlink r:id="rId31" w:tooltip="A2001-14" w:history="1">
        <w:r w:rsidRPr="005A5F43">
          <w:rPr>
            <w:rStyle w:val="charCitHyperlinkAbbrev"/>
          </w:rPr>
          <w:t>Legislation Act</w:t>
        </w:r>
      </w:hyperlink>
      <w:r>
        <w:t>, s 127 (1), (4) and (5) for the legal status of notes.</w:t>
      </w:r>
    </w:p>
    <w:p w14:paraId="6E558EE2" w14:textId="77777777" w:rsidR="003D4FF5" w:rsidRDefault="003D4FF5" w:rsidP="003D4FF5">
      <w:pPr>
        <w:pStyle w:val="PageBreak"/>
      </w:pPr>
      <w:r>
        <w:br w:type="page"/>
      </w:r>
    </w:p>
    <w:p w14:paraId="63575A4D" w14:textId="77777777" w:rsidR="003D4FF5" w:rsidRPr="00C8328B" w:rsidRDefault="003D4FF5" w:rsidP="003D4FF5">
      <w:pPr>
        <w:pStyle w:val="AH1Chapter"/>
      </w:pPr>
      <w:bookmarkStart w:id="15" w:name="_Toc185513632"/>
      <w:r w:rsidRPr="00C8328B">
        <w:rPr>
          <w:rStyle w:val="CharChapNo"/>
        </w:rPr>
        <w:lastRenderedPageBreak/>
        <w:t>Chapter 2</w:t>
      </w:r>
      <w:r>
        <w:tab/>
      </w:r>
      <w:r w:rsidRPr="00C8328B">
        <w:rPr>
          <w:rStyle w:val="CharChapText"/>
        </w:rPr>
        <w:t>Civil proceedings generally</w:t>
      </w:r>
      <w:bookmarkEnd w:id="15"/>
    </w:p>
    <w:p w14:paraId="293032E3" w14:textId="77777777" w:rsidR="003D4FF5" w:rsidRPr="00C8328B" w:rsidRDefault="003D4FF5" w:rsidP="003D4FF5">
      <w:pPr>
        <w:pStyle w:val="AH2Part"/>
      </w:pPr>
      <w:bookmarkStart w:id="16" w:name="_Toc185513633"/>
      <w:r w:rsidRPr="00C8328B">
        <w:rPr>
          <w:rStyle w:val="CharPartNo"/>
        </w:rPr>
        <w:t>Part 2.1</w:t>
      </w:r>
      <w:r>
        <w:tab/>
      </w:r>
      <w:r w:rsidRPr="00C8328B">
        <w:rPr>
          <w:rStyle w:val="CharPartText"/>
        </w:rPr>
        <w:t>Introductory provisions—ch 2</w:t>
      </w:r>
      <w:bookmarkEnd w:id="16"/>
    </w:p>
    <w:p w14:paraId="391CEC0F" w14:textId="77777777" w:rsidR="003D4FF5" w:rsidRDefault="003D4FF5" w:rsidP="003D4FF5">
      <w:pPr>
        <w:pStyle w:val="AH5Sec"/>
      </w:pPr>
      <w:bookmarkStart w:id="17" w:name="_Toc185513634"/>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7"/>
    </w:p>
    <w:p w14:paraId="2598BAC4" w14:textId="77777777" w:rsidR="003D4FF5" w:rsidRDefault="003D4FF5" w:rsidP="003D4FF5">
      <w:pPr>
        <w:pStyle w:val="Amain"/>
      </w:pPr>
      <w:r>
        <w:tab/>
        <w:t>(1)</w:t>
      </w:r>
      <w:r>
        <w:tab/>
        <w:t>For a proceeding (other than an application in the proceeding or a proceeding on a counterclaim or third-party notice)—</w:t>
      </w:r>
    </w:p>
    <w:p w14:paraId="6F41B755" w14:textId="77777777"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14:paraId="472338AE" w14:textId="77777777"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14:paraId="2D424E58" w14:textId="77777777"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14:paraId="63C4455B" w14:textId="77777777"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14:paraId="7BA5A785" w14:textId="77777777" w:rsidR="003D4FF5" w:rsidRDefault="003D4FF5" w:rsidP="003D4FF5">
      <w:pPr>
        <w:pStyle w:val="Amain"/>
      </w:pPr>
      <w:r>
        <w:tab/>
        <w:t>(2)</w:t>
      </w:r>
      <w:r>
        <w:tab/>
        <w:t xml:space="preserve">For a proceeding on a counterclaim or third-party notice (the </w:t>
      </w:r>
      <w:r>
        <w:rPr>
          <w:rStyle w:val="charBoldItals"/>
        </w:rPr>
        <w:t>process</w:t>
      </w:r>
      <w:r>
        <w:t>)—</w:t>
      </w:r>
    </w:p>
    <w:p w14:paraId="1D189600" w14:textId="77777777"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14:paraId="533F3B11" w14:textId="77777777"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14:paraId="3BC9D670" w14:textId="77777777" w:rsidR="003D4FF5" w:rsidRDefault="003D4FF5" w:rsidP="003D4FF5">
      <w:pPr>
        <w:pStyle w:val="AH5Sec"/>
      </w:pPr>
      <w:bookmarkStart w:id="18" w:name="_Toc185513635"/>
      <w:r w:rsidRPr="00C8328B">
        <w:rPr>
          <w:rStyle w:val="CharSectNo"/>
        </w:rPr>
        <w:lastRenderedPageBreak/>
        <w:t>22</w:t>
      </w:r>
      <w:r>
        <w:tab/>
        <w:t>Application—ch 2</w:t>
      </w:r>
      <w:bookmarkEnd w:id="18"/>
    </w:p>
    <w:p w14:paraId="493469AB" w14:textId="77777777" w:rsidR="003D4FF5" w:rsidRDefault="003D4FF5" w:rsidP="003D4FF5">
      <w:pPr>
        <w:pStyle w:val="Amain"/>
        <w:keepNext/>
      </w:pPr>
      <w:r>
        <w:tab/>
        <w:t>(1)</w:t>
      </w:r>
      <w:r>
        <w:tab/>
        <w:t>This chapter applies to every proceeding in the Supreme Court or Magistrates Court to which these rules apply.</w:t>
      </w:r>
    </w:p>
    <w:p w14:paraId="7AC69CEF" w14:textId="77777777"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14:paraId="307F7888" w14:textId="77777777"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14:paraId="253FCF0D" w14:textId="679ED9C3"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2" w:tooltip="A1930-21" w:history="1">
        <w:r w:rsidRPr="00510424">
          <w:rPr>
            <w:rStyle w:val="charCitHyperlinkItal"/>
          </w:rPr>
          <w:t>Magistrates Court Act 1930</w:t>
        </w:r>
      </w:hyperlink>
      <w:r w:rsidRPr="00510424">
        <w:t>, s 287).</w:t>
      </w:r>
    </w:p>
    <w:p w14:paraId="1BF6F0CE" w14:textId="77777777"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14:paraId="6B80C276" w14:textId="77777777"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14:paraId="45B1087A" w14:textId="77777777"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14:paraId="339F0178" w14:textId="77777777"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14:paraId="76082791" w14:textId="457B1CAB"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3" w:tooltip="A2001-14" w:history="1">
        <w:r w:rsidRPr="005A5F43">
          <w:rPr>
            <w:rStyle w:val="charCitHyperlinkAbbrev"/>
          </w:rPr>
          <w:t>Legislation Act</w:t>
        </w:r>
      </w:hyperlink>
      <w:r>
        <w:t xml:space="preserve">, s 98 and s 97 (1), def </w:t>
      </w:r>
      <w:r>
        <w:rPr>
          <w:rStyle w:val="charBoldItals"/>
        </w:rPr>
        <w:t>ACT law</w:t>
      </w:r>
      <w:r>
        <w:t>).</w:t>
      </w:r>
    </w:p>
    <w:p w14:paraId="31E2D0C0" w14:textId="77777777" w:rsidR="003D4FF5" w:rsidRDefault="003D4FF5" w:rsidP="003D4FF5">
      <w:pPr>
        <w:pStyle w:val="Amain"/>
      </w:pPr>
      <w:r>
        <w:tab/>
        <w:t>(3)</w:t>
      </w:r>
      <w:r>
        <w:tab/>
        <w:t>Also, this chapter does not apply to another proceeding as far as—</w:t>
      </w:r>
    </w:p>
    <w:p w14:paraId="656F1EF4" w14:textId="77777777" w:rsidR="003D4FF5" w:rsidRDefault="003D4FF5" w:rsidP="003D4FF5">
      <w:pPr>
        <w:pStyle w:val="Apara"/>
      </w:pPr>
      <w:r>
        <w:tab/>
        <w:t>(a)</w:t>
      </w:r>
      <w:r>
        <w:tab/>
        <w:t>this chapter provides that it does not apply to the proceeding; or</w:t>
      </w:r>
    </w:p>
    <w:p w14:paraId="7303623C" w14:textId="77777777"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14:paraId="63DC91B4" w14:textId="77777777" w:rsidR="003D4FF5" w:rsidRDefault="003D4FF5" w:rsidP="003D4FF5">
      <w:pPr>
        <w:pStyle w:val="Apara"/>
        <w:keepNext/>
      </w:pPr>
      <w:r>
        <w:tab/>
        <w:t>(c)</w:t>
      </w:r>
      <w:r>
        <w:tab/>
        <w:t>another territory law (including another provision of these rules) provides that this chapter does not apply to the proceeding.</w:t>
      </w:r>
    </w:p>
    <w:p w14:paraId="1FCE949D" w14:textId="77777777" w:rsidR="003D4FF5" w:rsidRDefault="003D4FF5" w:rsidP="003D4FF5">
      <w:pPr>
        <w:pStyle w:val="aNote"/>
      </w:pPr>
      <w:r>
        <w:rPr>
          <w:rStyle w:val="charItals"/>
        </w:rPr>
        <w:t>Note</w:t>
      </w:r>
      <w:r>
        <w:rPr>
          <w:rStyle w:val="charItals"/>
        </w:rPr>
        <w:tab/>
      </w:r>
      <w:r>
        <w:t>Ch 6 has provisions applying to all proceedings (see r 6000 (Application—ch 6).</w:t>
      </w:r>
    </w:p>
    <w:p w14:paraId="532805EE" w14:textId="77777777" w:rsidR="003D4FF5" w:rsidRDefault="003D4FF5" w:rsidP="003D4FF5">
      <w:pPr>
        <w:pStyle w:val="PageBreak"/>
      </w:pPr>
      <w:r>
        <w:br w:type="page"/>
      </w:r>
    </w:p>
    <w:p w14:paraId="41784C75" w14:textId="77777777" w:rsidR="003D4FF5" w:rsidRPr="00C8328B" w:rsidRDefault="003D4FF5" w:rsidP="003D4FF5">
      <w:pPr>
        <w:pStyle w:val="AH2Part"/>
      </w:pPr>
      <w:bookmarkStart w:id="19" w:name="_Toc185513636"/>
      <w:r w:rsidRPr="00C8328B">
        <w:rPr>
          <w:rStyle w:val="CharPartNo"/>
        </w:rPr>
        <w:lastRenderedPageBreak/>
        <w:t>Part 2.2</w:t>
      </w:r>
      <w:r>
        <w:tab/>
      </w:r>
      <w:r w:rsidRPr="00C8328B">
        <w:rPr>
          <w:rStyle w:val="CharPartText"/>
        </w:rPr>
        <w:t>Starting civil proceedings</w:t>
      </w:r>
      <w:bookmarkEnd w:id="19"/>
    </w:p>
    <w:p w14:paraId="3F1A0BE8" w14:textId="77777777" w:rsidR="003D4FF5" w:rsidRPr="00C8328B" w:rsidRDefault="003D4FF5" w:rsidP="003D4FF5">
      <w:pPr>
        <w:pStyle w:val="AH3Div"/>
      </w:pPr>
      <w:bookmarkStart w:id="20" w:name="_Toc185513637"/>
      <w:r w:rsidRPr="00C8328B">
        <w:rPr>
          <w:rStyle w:val="CharDivNo"/>
        </w:rPr>
        <w:t>Division 2.2.1</w:t>
      </w:r>
      <w:r>
        <w:tab/>
      </w:r>
      <w:r w:rsidRPr="00C8328B">
        <w:rPr>
          <w:rStyle w:val="CharDivText"/>
        </w:rPr>
        <w:t>How civil proceedings are started</w:t>
      </w:r>
      <w:bookmarkEnd w:id="20"/>
    </w:p>
    <w:p w14:paraId="6547903B" w14:textId="77777777" w:rsidR="003D4FF5" w:rsidRDefault="003D4FF5" w:rsidP="003D4FF5">
      <w:pPr>
        <w:pStyle w:val="AH5Sec"/>
      </w:pPr>
      <w:bookmarkStart w:id="21" w:name="_Toc185513638"/>
      <w:r w:rsidRPr="00C8328B">
        <w:rPr>
          <w:rStyle w:val="CharSectNo"/>
        </w:rPr>
        <w:t>30</w:t>
      </w:r>
      <w:r>
        <w:tab/>
        <w:t>Who may start and carry on a proceeding</w:t>
      </w:r>
      <w:bookmarkEnd w:id="21"/>
    </w:p>
    <w:p w14:paraId="0575162E" w14:textId="77777777" w:rsidR="003D4FF5" w:rsidRDefault="003D4FF5" w:rsidP="003D4FF5">
      <w:pPr>
        <w:pStyle w:val="Amain"/>
      </w:pPr>
      <w:r>
        <w:tab/>
        <w:t>(1)</w:t>
      </w:r>
      <w:r>
        <w:tab/>
        <w:t>An individual may start and carry on a proceeding in the court—</w:t>
      </w:r>
    </w:p>
    <w:p w14:paraId="77E0A804" w14:textId="77777777" w:rsidR="003D4FF5" w:rsidRDefault="003D4FF5" w:rsidP="003D4FF5">
      <w:pPr>
        <w:pStyle w:val="Apara"/>
      </w:pPr>
      <w:r>
        <w:tab/>
        <w:t>(a)</w:t>
      </w:r>
      <w:r>
        <w:tab/>
        <w:t>in person; or</w:t>
      </w:r>
    </w:p>
    <w:p w14:paraId="009AA255" w14:textId="77777777" w:rsidR="003D4FF5" w:rsidRDefault="003D4FF5" w:rsidP="003D4FF5">
      <w:pPr>
        <w:pStyle w:val="Apara"/>
        <w:keepNext/>
      </w:pPr>
      <w:r>
        <w:tab/>
        <w:t>(b)</w:t>
      </w:r>
      <w:r>
        <w:tab/>
        <w:t>by a solicitor acting for the individual.</w:t>
      </w:r>
    </w:p>
    <w:p w14:paraId="47525A8A" w14:textId="77777777"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14:paraId="3D683ACC" w14:textId="77777777" w:rsidR="003D4FF5" w:rsidRDefault="003D4FF5" w:rsidP="003D4FF5">
      <w:pPr>
        <w:pStyle w:val="Amain"/>
        <w:keepNext/>
      </w:pPr>
      <w:r>
        <w:tab/>
        <w:t>(2)</w:t>
      </w:r>
      <w:r>
        <w:tab/>
        <w:t>However, a relator may only start and carry on a proceeding by a solicitor acting for the relator.</w:t>
      </w:r>
    </w:p>
    <w:p w14:paraId="62A4812B" w14:textId="77777777"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5BFC3F63" w14:textId="77777777" w:rsidR="003D4FF5" w:rsidRDefault="003D4FF5" w:rsidP="003D4FF5">
      <w:pPr>
        <w:pStyle w:val="Amain"/>
      </w:pPr>
      <w:r>
        <w:tab/>
        <w:t>(3)</w:t>
      </w:r>
      <w:r>
        <w:tab/>
        <w:t>A solicitor may act for a relator in a proceeding only if—</w:t>
      </w:r>
    </w:p>
    <w:p w14:paraId="7718A0F6" w14:textId="77777777" w:rsidR="003D4FF5" w:rsidRDefault="003D4FF5" w:rsidP="003D4FF5">
      <w:pPr>
        <w:pStyle w:val="Apara"/>
      </w:pPr>
      <w:r>
        <w:tab/>
        <w:t>(a)</w:t>
      </w:r>
      <w:r>
        <w:tab/>
        <w:t>the relator has given the solicitor written authority to act in the proceeding; and</w:t>
      </w:r>
    </w:p>
    <w:p w14:paraId="06E40212" w14:textId="77777777" w:rsidR="003D4FF5" w:rsidRDefault="003D4FF5" w:rsidP="003D4FF5">
      <w:pPr>
        <w:pStyle w:val="Apara"/>
      </w:pPr>
      <w:r>
        <w:tab/>
        <w:t>(b)</w:t>
      </w:r>
      <w:r>
        <w:tab/>
        <w:t>the authority is filed in the court.</w:t>
      </w:r>
    </w:p>
    <w:p w14:paraId="74301406" w14:textId="77777777" w:rsidR="003D4FF5" w:rsidRDefault="003D4FF5" w:rsidP="003D4FF5">
      <w:pPr>
        <w:pStyle w:val="Amain"/>
        <w:keepNext/>
      </w:pPr>
      <w:r>
        <w:tab/>
        <w:t>(4)</w:t>
      </w:r>
      <w:r>
        <w:tab/>
        <w:t>A corporation may start and carry on a proceeding in the Supreme Court—</w:t>
      </w:r>
    </w:p>
    <w:p w14:paraId="737D1FD0" w14:textId="77777777" w:rsidR="003D4FF5" w:rsidRDefault="003D4FF5" w:rsidP="003D4FF5">
      <w:pPr>
        <w:pStyle w:val="Apara"/>
        <w:keepNext/>
      </w:pPr>
      <w:r>
        <w:tab/>
        <w:t>(a)</w:t>
      </w:r>
      <w:r>
        <w:tab/>
        <w:t>by a solicitor acting for the corporation; or</w:t>
      </w:r>
    </w:p>
    <w:p w14:paraId="223A75A9" w14:textId="77777777" w:rsidR="003D4FF5" w:rsidRDefault="003D4FF5" w:rsidP="003D4FF5">
      <w:pPr>
        <w:pStyle w:val="Apara"/>
      </w:pPr>
      <w:r>
        <w:tab/>
        <w:t>(b)</w:t>
      </w:r>
      <w:r>
        <w:tab/>
        <w:t>with the court’s leave, by an officer or employee of the corporation authorised by the corporation to represent it.</w:t>
      </w:r>
    </w:p>
    <w:p w14:paraId="37C09B0E" w14:textId="77777777"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14:paraId="73092693" w14:textId="77777777" w:rsidR="003D4FF5" w:rsidRDefault="003D4FF5" w:rsidP="003D4FF5">
      <w:pPr>
        <w:pStyle w:val="Amain"/>
      </w:pPr>
      <w:r>
        <w:tab/>
        <w:t>(6)</w:t>
      </w:r>
      <w:r>
        <w:tab/>
        <w:t>For the Supreme Court, if an application for leave under subrule (4) is made before the proceeding starts, the application must be made by originating application.</w:t>
      </w:r>
    </w:p>
    <w:p w14:paraId="4119C1F9" w14:textId="77777777" w:rsidR="003D4FF5" w:rsidRDefault="003D4FF5" w:rsidP="003D4FF5">
      <w:pPr>
        <w:pStyle w:val="Amain"/>
      </w:pPr>
      <w:r>
        <w:tab/>
        <w:t>(7)</w:t>
      </w:r>
      <w:r>
        <w:tab/>
        <w:t>A corporation may start and carry on a proceeding in the Magistrates Court—</w:t>
      </w:r>
    </w:p>
    <w:p w14:paraId="14334EF1" w14:textId="77777777" w:rsidR="003D4FF5" w:rsidRDefault="003D4FF5" w:rsidP="003D4FF5">
      <w:pPr>
        <w:pStyle w:val="Apara"/>
      </w:pPr>
      <w:r>
        <w:tab/>
        <w:t>(a)</w:t>
      </w:r>
      <w:r>
        <w:tab/>
        <w:t>by a solicitor acting for the corporation; or</w:t>
      </w:r>
    </w:p>
    <w:p w14:paraId="0F683318" w14:textId="77777777" w:rsidR="003D4FF5" w:rsidRDefault="003D4FF5" w:rsidP="003D4FF5">
      <w:pPr>
        <w:pStyle w:val="Apara"/>
      </w:pPr>
      <w:r>
        <w:tab/>
        <w:t>(b)</w:t>
      </w:r>
      <w:r>
        <w:tab/>
        <w:t>by an officer or employee of the corporation authorised by the corporation to represent it.</w:t>
      </w:r>
    </w:p>
    <w:p w14:paraId="2B7CD465" w14:textId="77777777" w:rsidR="003D4FF5" w:rsidRDefault="003D4FF5" w:rsidP="003D4FF5">
      <w:pPr>
        <w:pStyle w:val="Amain"/>
      </w:pPr>
      <w:r>
        <w:tab/>
        <w:t>(8)</w:t>
      </w:r>
      <w:r>
        <w:tab/>
        <w:t>An officer or employee mentioned in subrule (7) must file with the first document that is filed in the court for the corporation in the proceeding—</w:t>
      </w:r>
    </w:p>
    <w:p w14:paraId="6EECF4C4" w14:textId="77777777" w:rsidR="003D4FF5" w:rsidRDefault="003D4FF5" w:rsidP="003D4FF5">
      <w:pPr>
        <w:pStyle w:val="Apara"/>
      </w:pPr>
      <w:r>
        <w:tab/>
        <w:t>(a)</w:t>
      </w:r>
      <w:r>
        <w:tab/>
        <w:t>an affidavit stating—</w:t>
      </w:r>
    </w:p>
    <w:p w14:paraId="1376E763" w14:textId="77777777" w:rsidR="003D4FF5" w:rsidRDefault="003D4FF5" w:rsidP="003D4FF5">
      <w:pPr>
        <w:pStyle w:val="Asubpara"/>
      </w:pPr>
      <w:r>
        <w:tab/>
        <w:t>(i)</w:t>
      </w:r>
      <w:r>
        <w:tab/>
        <w:t>the position the person holds in the corporation; and</w:t>
      </w:r>
    </w:p>
    <w:p w14:paraId="53976EE5" w14:textId="77777777" w:rsidR="003D4FF5" w:rsidRDefault="003D4FF5" w:rsidP="003D4FF5">
      <w:pPr>
        <w:pStyle w:val="Asubpara"/>
      </w:pPr>
      <w:r>
        <w:tab/>
        <w:t>(ii)</w:t>
      </w:r>
      <w:r>
        <w:tab/>
        <w:t>that the person has been authorised by the corporation to represent the corporation in the proceeding; and</w:t>
      </w:r>
    </w:p>
    <w:p w14:paraId="73862E4A" w14:textId="77777777" w:rsidR="003D4FF5" w:rsidRDefault="003D4FF5" w:rsidP="003D4FF5">
      <w:pPr>
        <w:pStyle w:val="Asubpara"/>
      </w:pPr>
      <w:r>
        <w:tab/>
        <w:t>(iii)</w:t>
      </w:r>
      <w:r>
        <w:tab/>
        <w:t>that the authority has not been revoked; and</w:t>
      </w:r>
    </w:p>
    <w:p w14:paraId="7DAACAAF" w14:textId="77777777" w:rsidR="003D4FF5" w:rsidRDefault="003D4FF5" w:rsidP="003D4FF5">
      <w:pPr>
        <w:pStyle w:val="Asubpara"/>
      </w:pPr>
      <w:r>
        <w:tab/>
        <w:t>(iv)</w:t>
      </w:r>
      <w:r>
        <w:tab/>
        <w:t>that the person is aware that the person may be liable to pay some or all of the costs of the proceeding; and</w:t>
      </w:r>
    </w:p>
    <w:p w14:paraId="1C2E9AE1" w14:textId="77777777" w:rsidR="003D4FF5" w:rsidRDefault="003D4FF5" w:rsidP="003D4FF5">
      <w:pPr>
        <w:pStyle w:val="Apara"/>
        <w:keepNext/>
      </w:pPr>
      <w:r>
        <w:tab/>
        <w:t>(b)</w:t>
      </w:r>
      <w:r>
        <w:tab/>
        <w:t>a copy of an instrument authorising, or evidencing the authorisation of, the person to represent the corporation in the proceeding.</w:t>
      </w:r>
    </w:p>
    <w:p w14:paraId="42F87497" w14:textId="334DB80B"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4"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5" w:tooltip="A2001-14" w:history="1">
        <w:r w:rsidRPr="005A5F43">
          <w:rPr>
            <w:rStyle w:val="charCitHyperlinkAbbrev"/>
          </w:rPr>
          <w:t>Legislation Act</w:t>
        </w:r>
      </w:hyperlink>
      <w:r>
        <w:t>, dict, pt 1.</w:t>
      </w:r>
    </w:p>
    <w:p w14:paraId="509DB04D" w14:textId="77777777" w:rsidR="003D4FF5" w:rsidRDefault="003D4FF5" w:rsidP="003D4FF5">
      <w:pPr>
        <w:pStyle w:val="AH5Sec"/>
      </w:pPr>
      <w:bookmarkStart w:id="22" w:name="_Toc185513639"/>
      <w:r w:rsidRPr="00C8328B">
        <w:rPr>
          <w:rStyle w:val="CharSectNo"/>
        </w:rPr>
        <w:lastRenderedPageBreak/>
        <w:t>31</w:t>
      </w:r>
      <w:r>
        <w:tab/>
        <w:t>Kinds of originating processes</w:t>
      </w:r>
      <w:bookmarkEnd w:id="22"/>
    </w:p>
    <w:p w14:paraId="4C8165F2" w14:textId="77777777" w:rsidR="003D4FF5" w:rsidRDefault="003D4FF5" w:rsidP="003D4FF5">
      <w:pPr>
        <w:pStyle w:val="Amain"/>
      </w:pPr>
      <w:r>
        <w:tab/>
        <w:t>(1)</w:t>
      </w:r>
      <w:r>
        <w:tab/>
        <w:t>A proceeding may be started by an originating claim or originating application in accordance with these rules.</w:t>
      </w:r>
    </w:p>
    <w:p w14:paraId="1B30C4F1" w14:textId="77777777" w:rsidR="003D4FF5" w:rsidRDefault="003D4FF5" w:rsidP="003D4FF5">
      <w:pPr>
        <w:pStyle w:val="Amain"/>
        <w:keepNext/>
      </w:pPr>
      <w:r>
        <w:tab/>
        <w:t>(2)</w:t>
      </w:r>
      <w:r>
        <w:tab/>
        <w:t>An application in a proceeding is not an originating process.</w:t>
      </w:r>
    </w:p>
    <w:p w14:paraId="390004BA" w14:textId="77777777"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14:paraId="50C22FBB" w14:textId="77777777" w:rsidR="003D4FF5" w:rsidRDefault="003D4FF5" w:rsidP="003D4FF5">
      <w:pPr>
        <w:pStyle w:val="AH5Sec"/>
      </w:pPr>
      <w:bookmarkStart w:id="23" w:name="_Toc185513640"/>
      <w:r w:rsidRPr="00C8328B">
        <w:rPr>
          <w:rStyle w:val="CharSectNo"/>
        </w:rPr>
        <w:t>32</w:t>
      </w:r>
      <w:r>
        <w:tab/>
        <w:t>When civil proceeding starts</w:t>
      </w:r>
      <w:bookmarkEnd w:id="23"/>
    </w:p>
    <w:p w14:paraId="44AE02CF" w14:textId="77777777" w:rsidR="003D4FF5" w:rsidRDefault="003D4FF5" w:rsidP="003D4FF5">
      <w:pPr>
        <w:pStyle w:val="Amain"/>
        <w:keepNext/>
      </w:pPr>
      <w:r>
        <w:tab/>
        <w:t>(1)</w:t>
      </w:r>
      <w:r>
        <w:tab/>
        <w:t>A proceeding started by an originating process starts on the day the originating process for the proceeding is filed.</w:t>
      </w:r>
    </w:p>
    <w:p w14:paraId="62AE8BED" w14:textId="77777777"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14:paraId="5D3ADCEF" w14:textId="77777777" w:rsidR="003D4FF5" w:rsidRDefault="003D4FF5" w:rsidP="003D4FF5">
      <w:pPr>
        <w:pStyle w:val="aNote"/>
      </w:pPr>
      <w:r>
        <w:rPr>
          <w:rStyle w:val="charItals"/>
        </w:rPr>
        <w:t>Note 2</w:t>
      </w:r>
      <w:r>
        <w:rPr>
          <w:rStyle w:val="charItals"/>
        </w:rPr>
        <w:tab/>
      </w:r>
      <w:r>
        <w:t>Rule 301 deals with when a third-party proceeding starts.</w:t>
      </w:r>
    </w:p>
    <w:p w14:paraId="363AB4DC" w14:textId="77777777"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14:paraId="05393551" w14:textId="77777777" w:rsidR="003D4FF5" w:rsidRDefault="003D4FF5" w:rsidP="003D4FF5">
      <w:pPr>
        <w:pStyle w:val="Amain"/>
        <w:keepNext/>
      </w:pPr>
      <w:r>
        <w:tab/>
        <w:t>(3)</w:t>
      </w:r>
      <w:r>
        <w:tab/>
        <w:t>For this rule, it does not matter—</w:t>
      </w:r>
    </w:p>
    <w:p w14:paraId="7EBF0C49" w14:textId="77777777" w:rsidR="003D4FF5" w:rsidRDefault="003D4FF5" w:rsidP="003D4FF5">
      <w:pPr>
        <w:pStyle w:val="Apara"/>
      </w:pPr>
      <w:r>
        <w:tab/>
        <w:t>(a)</w:t>
      </w:r>
      <w:r>
        <w:tab/>
        <w:t>that the originating process later ceases to be valid for service or is renewed under rule 74 (Originating process—duration and renewal); or</w:t>
      </w:r>
    </w:p>
    <w:p w14:paraId="02473EA4" w14:textId="77777777"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14:paraId="023ABF45" w14:textId="77777777"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14:paraId="22C87B8F" w14:textId="77777777" w:rsidR="003D4FF5" w:rsidRDefault="003D4FF5" w:rsidP="003D4FF5">
      <w:pPr>
        <w:pStyle w:val="AH5Sec"/>
      </w:pPr>
      <w:bookmarkStart w:id="24" w:name="_Toc185513641"/>
      <w:r w:rsidRPr="00C8328B">
        <w:rPr>
          <w:rStyle w:val="CharSectNo"/>
        </w:rPr>
        <w:lastRenderedPageBreak/>
        <w:t>33</w:t>
      </w:r>
      <w:r>
        <w:tab/>
        <w:t>When originating claim must be used</w:t>
      </w:r>
      <w:bookmarkEnd w:id="24"/>
    </w:p>
    <w:p w14:paraId="0038DDFD" w14:textId="77777777" w:rsidR="003D4FF5" w:rsidRDefault="003D4FF5" w:rsidP="003D4FF5">
      <w:pPr>
        <w:pStyle w:val="Amain"/>
        <w:keepNext/>
      </w:pPr>
      <w:r>
        <w:tab/>
        <w:t>(1)</w:t>
      </w:r>
      <w:r>
        <w:tab/>
        <w:t>A proceeding must be started by originating claim if a territory law requires the proceeding to be started by originating claim.</w:t>
      </w:r>
    </w:p>
    <w:p w14:paraId="20A8D1DC" w14:textId="04655E3B"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6" w:tooltip="A2001-14" w:history="1">
        <w:r w:rsidRPr="005A5F43">
          <w:rPr>
            <w:rStyle w:val="charCitHyperlinkAbbrev"/>
          </w:rPr>
          <w:t>Legislation Act</w:t>
        </w:r>
      </w:hyperlink>
      <w:r>
        <w:t>, s 98).</w:t>
      </w:r>
    </w:p>
    <w:p w14:paraId="07879914" w14:textId="77777777" w:rsidR="003D4FF5" w:rsidRDefault="003D4FF5" w:rsidP="003D4FF5">
      <w:pPr>
        <w:pStyle w:val="Amain"/>
      </w:pPr>
      <w:r>
        <w:tab/>
        <w:t>(2)</w:t>
      </w:r>
      <w:r>
        <w:tab/>
        <w:t>A proceeding must also be started by originating claim unless a territory law requires or allows the proceeding to be started by originating application.</w:t>
      </w:r>
    </w:p>
    <w:p w14:paraId="78083FF2" w14:textId="77777777" w:rsidR="003D4FF5" w:rsidRDefault="003D4FF5" w:rsidP="003D4FF5">
      <w:pPr>
        <w:pStyle w:val="AH5Sec"/>
      </w:pPr>
      <w:bookmarkStart w:id="25" w:name="_Toc185513642"/>
      <w:r w:rsidRPr="00C8328B">
        <w:rPr>
          <w:rStyle w:val="CharSectNo"/>
        </w:rPr>
        <w:t>34</w:t>
      </w:r>
      <w:r>
        <w:tab/>
        <w:t>When originating application must be used</w:t>
      </w:r>
      <w:bookmarkEnd w:id="25"/>
    </w:p>
    <w:p w14:paraId="6F8A2325" w14:textId="77777777" w:rsidR="003D4FF5" w:rsidRDefault="003D4FF5" w:rsidP="003D4FF5">
      <w:pPr>
        <w:pStyle w:val="Amain"/>
        <w:keepNext/>
      </w:pPr>
      <w:r>
        <w:tab/>
        <w:t>(1)</w:t>
      </w:r>
      <w:r>
        <w:tab/>
        <w:t>A proceeding must be started by originating application if a territory law requires the proceeding to be started by originating application.</w:t>
      </w:r>
    </w:p>
    <w:p w14:paraId="21732294" w14:textId="12DD10E7"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14:paraId="59023D0A" w14:textId="77777777"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14:paraId="45EC8817" w14:textId="77777777" w:rsidR="003D4FF5" w:rsidRDefault="003D4FF5" w:rsidP="003D4FF5">
      <w:pPr>
        <w:pStyle w:val="aNoteBulletss"/>
        <w:tabs>
          <w:tab w:val="left" w:pos="2300"/>
        </w:tabs>
      </w:pPr>
      <w:r>
        <w:rPr>
          <w:rFonts w:ascii="Symbol" w:hAnsi="Symbol"/>
        </w:rPr>
        <w:t></w:t>
      </w:r>
      <w:r>
        <w:rPr>
          <w:rFonts w:ascii="Symbol" w:hAnsi="Symbol"/>
        </w:rPr>
        <w:tab/>
      </w:r>
      <w:r>
        <w:t>r 6 (4) (Dispensing with rules)</w:t>
      </w:r>
    </w:p>
    <w:p w14:paraId="1E2DC3EF" w14:textId="77777777"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14:paraId="5CC258AD" w14:textId="77777777"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14:paraId="26D0CF2C" w14:textId="77777777"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14:paraId="33A89B29" w14:textId="77777777"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14:paraId="66553501" w14:textId="77777777"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14:paraId="6DDF61A5" w14:textId="77777777"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14:paraId="2DB1E191" w14:textId="77777777"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14:paraId="1C273D70" w14:textId="77777777"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14:paraId="286CA949" w14:textId="77777777"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14:paraId="6BA726D0"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14:paraId="0688FCD7" w14:textId="77777777"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14:paraId="50588092"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14:paraId="6E495147"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14:paraId="0DC014B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14:paraId="1CE891EB" w14:textId="77777777"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14:paraId="2132B67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14:paraId="318FDC9C"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14:paraId="770F2888"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14:paraId="1B92DDC6"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14:paraId="6C52ABDA"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14:paraId="3A97A981"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14:paraId="674E9580" w14:textId="77777777"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14:paraId="4CCA2EF5" w14:textId="77777777"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14:paraId="03785695" w14:textId="77777777"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14:paraId="3A9E42FC" w14:textId="77777777"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14:paraId="647C8181" w14:textId="77777777" w:rsidR="003D4FF5" w:rsidRDefault="003D4FF5" w:rsidP="003D4FF5">
      <w:pPr>
        <w:pStyle w:val="aNote"/>
      </w:pPr>
      <w:r w:rsidRPr="005A5F43">
        <w:rPr>
          <w:rStyle w:val="charItals"/>
        </w:rPr>
        <w:t>Note 3</w:t>
      </w:r>
      <w:r>
        <w:tab/>
        <w:t>See also r 3353 (Election application etc originating application).</w:t>
      </w:r>
    </w:p>
    <w:p w14:paraId="17812867" w14:textId="77777777" w:rsidR="003D4FF5" w:rsidRDefault="003D4FF5" w:rsidP="003D4FF5">
      <w:pPr>
        <w:pStyle w:val="Amain"/>
        <w:keepNext/>
      </w:pPr>
      <w:r>
        <w:tab/>
        <w:t>(2)</w:t>
      </w:r>
      <w:r>
        <w:tab/>
        <w:t>A proceeding must also be started by originating application if—</w:t>
      </w:r>
    </w:p>
    <w:p w14:paraId="50F7B888" w14:textId="77777777" w:rsidR="003D4FF5" w:rsidRDefault="003D4FF5" w:rsidP="003D4FF5">
      <w:pPr>
        <w:pStyle w:val="Apara"/>
      </w:pPr>
      <w:r>
        <w:tab/>
        <w:t>(a)</w:t>
      </w:r>
      <w:r>
        <w:tab/>
        <w:t>a territory law requires or allows a person to apply to the court for an order or another kind of relief; and</w:t>
      </w:r>
    </w:p>
    <w:p w14:paraId="4A6F0D53" w14:textId="77777777" w:rsidR="003D4FF5" w:rsidRDefault="003D4FF5" w:rsidP="003D4FF5">
      <w:pPr>
        <w:pStyle w:val="Apara"/>
      </w:pPr>
      <w:r>
        <w:tab/>
        <w:t>(b)</w:t>
      </w:r>
      <w:r>
        <w:tab/>
        <w:t>the law does not state the kind of originating process to be used.</w:t>
      </w:r>
    </w:p>
    <w:p w14:paraId="215F13C7" w14:textId="77777777" w:rsidR="003D4FF5" w:rsidRDefault="003D4FF5" w:rsidP="003D4FF5">
      <w:pPr>
        <w:pStyle w:val="AH5Sec"/>
      </w:pPr>
      <w:bookmarkStart w:id="26" w:name="_Toc185513643"/>
      <w:r w:rsidRPr="00C8328B">
        <w:rPr>
          <w:rStyle w:val="CharSectNo"/>
        </w:rPr>
        <w:t>35</w:t>
      </w:r>
      <w:r>
        <w:tab/>
        <w:t>When originating application may be used</w:t>
      </w:r>
      <w:bookmarkEnd w:id="26"/>
    </w:p>
    <w:p w14:paraId="57867EFA" w14:textId="77777777" w:rsidR="003D4FF5" w:rsidRDefault="003D4FF5" w:rsidP="003D4FF5">
      <w:pPr>
        <w:pStyle w:val="Amain"/>
      </w:pPr>
      <w:r>
        <w:tab/>
        <w:t>(1)</w:t>
      </w:r>
      <w:r>
        <w:tab/>
        <w:t>A proceeding may be started by originating application if—</w:t>
      </w:r>
    </w:p>
    <w:p w14:paraId="5DC213D0" w14:textId="77777777" w:rsidR="003D4FF5" w:rsidRDefault="003D4FF5" w:rsidP="003D4FF5">
      <w:pPr>
        <w:pStyle w:val="Apara"/>
      </w:pPr>
      <w:r>
        <w:tab/>
        <w:t>(a)</w:t>
      </w:r>
      <w:r>
        <w:tab/>
        <w:t>the only or main issue in the proceeding is an issue of law and a substantial dispute of fact is unlikely; or</w:t>
      </w:r>
    </w:p>
    <w:p w14:paraId="797EE7FA" w14:textId="77777777" w:rsidR="003D4FF5" w:rsidRDefault="003D4FF5" w:rsidP="003D4FF5">
      <w:pPr>
        <w:pStyle w:val="Apara"/>
      </w:pPr>
      <w:r>
        <w:tab/>
        <w:t>(b)</w:t>
      </w:r>
      <w:r>
        <w:tab/>
        <w:t>there is no opposing party to the proceeding or it is not intended to serve anyone with the originating process; or</w:t>
      </w:r>
    </w:p>
    <w:p w14:paraId="149664B9" w14:textId="77777777" w:rsidR="003D4FF5" w:rsidRDefault="003D4FF5" w:rsidP="003D4FF5">
      <w:pPr>
        <w:pStyle w:val="Apara"/>
      </w:pPr>
      <w:r>
        <w:tab/>
        <w:t>(c)</w:t>
      </w:r>
      <w:r>
        <w:tab/>
        <w:t>there is not enough time to prepare an originating claim because of the urgent nature of the relief sought; or</w:t>
      </w:r>
    </w:p>
    <w:p w14:paraId="68A2CD45" w14:textId="77777777" w:rsidR="003D4FF5" w:rsidRDefault="003D4FF5" w:rsidP="00BD27C6">
      <w:pPr>
        <w:pStyle w:val="Apara"/>
        <w:keepNext/>
      </w:pPr>
      <w:r>
        <w:lastRenderedPageBreak/>
        <w:tab/>
        <w:t>(d)</w:t>
      </w:r>
      <w:r>
        <w:tab/>
        <w:t>a territory law allows the proceeding to be started by originating application.</w:t>
      </w:r>
    </w:p>
    <w:p w14:paraId="48A9B585" w14:textId="76F02322"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14:paraId="31A586E9" w14:textId="77777777" w:rsidR="003D4FF5" w:rsidRDefault="003D4FF5" w:rsidP="003D4FF5">
      <w:pPr>
        <w:pStyle w:val="aNote"/>
      </w:pPr>
      <w:r w:rsidRPr="005A5F43">
        <w:rPr>
          <w:rStyle w:val="charItals"/>
        </w:rPr>
        <w:t>Note 2</w:t>
      </w:r>
      <w:r>
        <w:tab/>
        <w:t>Rule 2501 (Contempt—applications generally) allows a contempt application to be made by originating application.</w:t>
      </w:r>
    </w:p>
    <w:p w14:paraId="36355915" w14:textId="77777777" w:rsidR="003D4FF5" w:rsidRDefault="003D4FF5" w:rsidP="003D4FF5">
      <w:pPr>
        <w:pStyle w:val="Amain"/>
      </w:pPr>
      <w:r>
        <w:tab/>
        <w:t>(2)</w:t>
      </w:r>
      <w:r>
        <w:tab/>
        <w:t>Without limiting subrule (1), a proceeding may be started by originating application if—</w:t>
      </w:r>
    </w:p>
    <w:p w14:paraId="37A75C90" w14:textId="77777777" w:rsidR="003D4FF5" w:rsidRDefault="003D4FF5" w:rsidP="003D4FF5">
      <w:pPr>
        <w:pStyle w:val="Apara"/>
      </w:pPr>
      <w:r>
        <w:tab/>
        <w:t>(a)</w:t>
      </w:r>
      <w:r>
        <w:tab/>
        <w:t>the only or main issue in the proceeding is the interpretation of legislation and a substantial dispute of fact is unlikely; or</w:t>
      </w:r>
    </w:p>
    <w:p w14:paraId="2A96C34D" w14:textId="77777777" w:rsidR="003D4FF5" w:rsidRDefault="003D4FF5" w:rsidP="003D4FF5">
      <w:pPr>
        <w:pStyle w:val="Apara"/>
      </w:pPr>
      <w:r>
        <w:tab/>
        <w:t>(b)</w:t>
      </w:r>
      <w:r>
        <w:tab/>
        <w:t>the only or main issue in the proceeding is the interpretation of a deed, will, contract or other document and a substantial dispute of fact is unlikely; or</w:t>
      </w:r>
    </w:p>
    <w:p w14:paraId="74CF2348" w14:textId="77777777" w:rsidR="003D4FF5" w:rsidRDefault="003D4FF5" w:rsidP="003D4FF5">
      <w:pPr>
        <w:pStyle w:val="Apara"/>
      </w:pPr>
      <w:r>
        <w:tab/>
        <w:t>(c)</w:t>
      </w:r>
      <w:r>
        <w:tab/>
        <w:t>the relief sought is a declaration of right and there is no opposing party to the proceeding; or</w:t>
      </w:r>
    </w:p>
    <w:p w14:paraId="498977D8" w14:textId="77777777" w:rsidR="003D4FF5" w:rsidRDefault="003D4FF5" w:rsidP="003D4FF5">
      <w:pPr>
        <w:pStyle w:val="Apara"/>
      </w:pPr>
      <w:r>
        <w:tab/>
        <w:t>(d)</w:t>
      </w:r>
      <w:r>
        <w:tab/>
        <w:t>for a question or matter in relation to the estate of a deceased person or a trust, without administration of the estate or trust—</w:t>
      </w:r>
    </w:p>
    <w:p w14:paraId="39C76885" w14:textId="77777777" w:rsidR="003D4FF5" w:rsidRDefault="003D4FF5" w:rsidP="003D4FF5">
      <w:pPr>
        <w:pStyle w:val="Asubpara"/>
      </w:pPr>
      <w:r>
        <w:tab/>
        <w:t>(i)</w:t>
      </w:r>
      <w:r>
        <w:tab/>
        <w:t>the only or main issue in the proceeding is an issue of law and a substantial dispute of fact is unlikely; or</w:t>
      </w:r>
    </w:p>
    <w:p w14:paraId="320181FF" w14:textId="77777777" w:rsidR="003D4FF5" w:rsidRDefault="003D4FF5" w:rsidP="003D4FF5">
      <w:pPr>
        <w:pStyle w:val="Asubpara"/>
      </w:pPr>
      <w:r>
        <w:tab/>
        <w:t>(ii)</w:t>
      </w:r>
      <w:r>
        <w:tab/>
        <w:t>there is no opposing party to the proceeding or it is not intended to serve anyone with the originating process.</w:t>
      </w:r>
    </w:p>
    <w:p w14:paraId="7EE4D8A4" w14:textId="77777777" w:rsidR="003D4FF5" w:rsidRDefault="003D4FF5" w:rsidP="003D4FF5">
      <w:pPr>
        <w:pStyle w:val="aExamHdgss"/>
      </w:pPr>
      <w:r>
        <w:t>Examples for r (2) (d)</w:t>
      </w:r>
    </w:p>
    <w:p w14:paraId="2C5816F2" w14:textId="77777777"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14:paraId="4A75160F" w14:textId="77777777" w:rsidR="003D4FF5" w:rsidRDefault="003D4FF5" w:rsidP="003D4FF5">
      <w:pPr>
        <w:pStyle w:val="aExamINumss"/>
      </w:pPr>
      <w:r>
        <w:t>2</w:t>
      </w:r>
      <w:r>
        <w:tab/>
        <w:t>finding out any class of creditors, next of kin or others</w:t>
      </w:r>
    </w:p>
    <w:p w14:paraId="08DC169E" w14:textId="77777777" w:rsidR="003D4FF5" w:rsidRDefault="003D4FF5" w:rsidP="003D4FF5">
      <w:pPr>
        <w:pStyle w:val="aExamINumss"/>
      </w:pPr>
      <w:r>
        <w:t>3</w:t>
      </w:r>
      <w:r>
        <w:tab/>
        <w:t>producing any particular accounts by the executors, administrators or trustees, and verifying the accounts (if necessary)</w:t>
      </w:r>
    </w:p>
    <w:p w14:paraId="7E5C64B7" w14:textId="77777777" w:rsidR="003D4FF5" w:rsidRDefault="003D4FF5" w:rsidP="003D4FF5">
      <w:pPr>
        <w:pStyle w:val="aExamINumss"/>
      </w:pPr>
      <w:r>
        <w:t>4</w:t>
      </w:r>
      <w:r>
        <w:tab/>
        <w:t>paying into court any amount held by the executors, administrators or trustees</w:t>
      </w:r>
    </w:p>
    <w:p w14:paraId="3990BEF6" w14:textId="77777777" w:rsidR="003D4FF5" w:rsidRDefault="003D4FF5" w:rsidP="003D4FF5">
      <w:pPr>
        <w:pStyle w:val="aExamINumss"/>
      </w:pPr>
      <w:r>
        <w:t>5</w:t>
      </w:r>
      <w:r>
        <w:tab/>
        <w:t>directing the executors, administrators or trustees to do or not do something as executor, administrator or trustee</w:t>
      </w:r>
    </w:p>
    <w:p w14:paraId="00FAAE3A" w14:textId="77777777" w:rsidR="003D4FF5" w:rsidRDefault="003D4FF5" w:rsidP="00BD27C6">
      <w:pPr>
        <w:pStyle w:val="aExamINumss"/>
        <w:keepNext/>
      </w:pPr>
      <w:r>
        <w:lastRenderedPageBreak/>
        <w:t>6</w:t>
      </w:r>
      <w:r>
        <w:tab/>
        <w:t>approving any sale, purchase, compromise or other transaction</w:t>
      </w:r>
    </w:p>
    <w:p w14:paraId="2BFA85CB" w14:textId="77777777" w:rsidR="003D4FF5" w:rsidRDefault="003D4FF5" w:rsidP="003D4FF5">
      <w:pPr>
        <w:pStyle w:val="aExamINumss"/>
      </w:pPr>
      <w:r>
        <w:t>7</w:t>
      </w:r>
      <w:r>
        <w:tab/>
        <w:t>deciding any question arising in the administration of the estate or trust</w:t>
      </w:r>
    </w:p>
    <w:p w14:paraId="44EB825B" w14:textId="77777777" w:rsidR="003D4FF5" w:rsidRDefault="003D4FF5" w:rsidP="003D4FF5">
      <w:pPr>
        <w:pStyle w:val="Amain"/>
      </w:pPr>
      <w:r>
        <w:tab/>
        <w:t>(3)</w:t>
      </w:r>
      <w:r>
        <w:tab/>
        <w:t>Also, a proceeding may be started by originating application if—</w:t>
      </w:r>
    </w:p>
    <w:p w14:paraId="19F4B896" w14:textId="77777777" w:rsidR="003D4FF5" w:rsidRDefault="003D4FF5" w:rsidP="003D4FF5">
      <w:pPr>
        <w:pStyle w:val="Apara"/>
      </w:pPr>
      <w:r>
        <w:tab/>
        <w:t>(a)</w:t>
      </w:r>
      <w:r>
        <w:tab/>
        <w:t>a territory law requires or allows a person to apply to the court for an order or another kind of relief; and</w:t>
      </w:r>
    </w:p>
    <w:p w14:paraId="5C5A1447" w14:textId="77777777" w:rsidR="003D4FF5" w:rsidRDefault="003D4FF5" w:rsidP="003D4FF5">
      <w:pPr>
        <w:pStyle w:val="Apara"/>
      </w:pPr>
      <w:r>
        <w:tab/>
        <w:t>(b)</w:t>
      </w:r>
      <w:r>
        <w:tab/>
        <w:t>a particular kind of originating process (other than an originating claim or originating application) is required or allowed under a territory law.</w:t>
      </w:r>
    </w:p>
    <w:p w14:paraId="06C8D411" w14:textId="77777777" w:rsidR="003D4FF5" w:rsidRDefault="003D4FF5" w:rsidP="003D4FF5">
      <w:pPr>
        <w:pStyle w:val="AH5Sec"/>
      </w:pPr>
      <w:bookmarkStart w:id="27" w:name="_Toc185513644"/>
      <w:r w:rsidRPr="00C8328B">
        <w:rPr>
          <w:rStyle w:val="CharSectNo"/>
        </w:rPr>
        <w:t>36</w:t>
      </w:r>
      <w:r>
        <w:tab/>
        <w:t>When originating application taken to be used</w:t>
      </w:r>
      <w:bookmarkEnd w:id="27"/>
    </w:p>
    <w:p w14:paraId="617C55B5" w14:textId="77777777" w:rsidR="003D4FF5" w:rsidRDefault="003D4FF5" w:rsidP="003D4FF5">
      <w:pPr>
        <w:pStyle w:val="Amainreturn"/>
        <w:keepNext/>
      </w:pPr>
      <w:r>
        <w:t>A proceeding is taken to be started by originating application if—</w:t>
      </w:r>
    </w:p>
    <w:p w14:paraId="79F0F02B" w14:textId="77777777" w:rsidR="003D4FF5" w:rsidRDefault="003D4FF5" w:rsidP="003D4FF5">
      <w:pPr>
        <w:pStyle w:val="Apara"/>
      </w:pPr>
      <w:r>
        <w:tab/>
        <w:t>(a)</w:t>
      </w:r>
      <w:r>
        <w:tab/>
        <w:t>a territory law requires or allows a person to apply to the court for an order or another kind of relief; and</w:t>
      </w:r>
    </w:p>
    <w:p w14:paraId="2B3AA5A5" w14:textId="77777777"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14:paraId="03F186E2" w14:textId="77777777" w:rsidR="003D4FF5" w:rsidRDefault="003D4FF5" w:rsidP="003D4FF5">
      <w:pPr>
        <w:pStyle w:val="Apara"/>
      </w:pPr>
      <w:r>
        <w:tab/>
        <w:t>(c)</w:t>
      </w:r>
      <w:r>
        <w:tab/>
        <w:t>the proceeding is started by the particular originating process.</w:t>
      </w:r>
    </w:p>
    <w:p w14:paraId="63D03AB5" w14:textId="77777777" w:rsidR="003D4FF5" w:rsidRDefault="003D4FF5" w:rsidP="003D4FF5">
      <w:pPr>
        <w:pStyle w:val="AH5Sec"/>
      </w:pPr>
      <w:bookmarkStart w:id="28" w:name="_Toc185513645"/>
      <w:r w:rsidRPr="00C8328B">
        <w:rPr>
          <w:rStyle w:val="CharSectNo"/>
        </w:rPr>
        <w:t>37</w:t>
      </w:r>
      <w:r>
        <w:tab/>
        <w:t>When oral originating application may be made in Supreme Court</w:t>
      </w:r>
      <w:bookmarkEnd w:id="28"/>
    </w:p>
    <w:p w14:paraId="46690AD8" w14:textId="77777777" w:rsidR="003D4FF5" w:rsidRDefault="003D4FF5" w:rsidP="003D4FF5">
      <w:pPr>
        <w:pStyle w:val="Amain"/>
        <w:keepNext/>
      </w:pPr>
      <w:r>
        <w:tab/>
        <w:t>(1)</w:t>
      </w:r>
      <w:r>
        <w:tab/>
        <w:t>This rule applies only in relation to the Supreme Court.</w:t>
      </w:r>
    </w:p>
    <w:p w14:paraId="46D1D92F" w14:textId="77777777"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14:paraId="7B85BC4F" w14:textId="77777777" w:rsidR="003D4FF5" w:rsidRDefault="003D4FF5" w:rsidP="003D4FF5">
      <w:pPr>
        <w:pStyle w:val="aExamHdgss"/>
      </w:pPr>
      <w:r>
        <w:t>Example of necessity</w:t>
      </w:r>
    </w:p>
    <w:p w14:paraId="5496138A" w14:textId="77777777" w:rsidR="003D4FF5" w:rsidRDefault="003D4FF5" w:rsidP="003D4FF5">
      <w:pPr>
        <w:pStyle w:val="aExamss"/>
        <w:keepNext/>
      </w:pPr>
      <w:r>
        <w:t>urgent relief is sought</w:t>
      </w:r>
    </w:p>
    <w:p w14:paraId="1C788441" w14:textId="77777777" w:rsidR="003D4FF5" w:rsidRDefault="003D4FF5" w:rsidP="003D4FF5">
      <w:pPr>
        <w:pStyle w:val="Amain"/>
      </w:pPr>
      <w:r>
        <w:tab/>
        <w:t>(3)</w:t>
      </w:r>
      <w:r>
        <w:tab/>
        <w:t>An application for leave to start a proceeding or for an order under this rule must be made in accordance with part 6.2 (Applications in proceedings).</w:t>
      </w:r>
    </w:p>
    <w:p w14:paraId="56767366" w14:textId="77777777"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14:paraId="1935FC54" w14:textId="77777777" w:rsidR="003D4FF5" w:rsidRDefault="003D4FF5" w:rsidP="003D4FF5">
      <w:pPr>
        <w:pStyle w:val="Amain"/>
      </w:pPr>
      <w:r>
        <w:tab/>
        <w:t>(5)</w:t>
      </w:r>
      <w:r>
        <w:tab/>
        <w:t>The plaintiff must file a written originating application in the same terms as the oral originating application.</w:t>
      </w:r>
    </w:p>
    <w:p w14:paraId="471DE80D" w14:textId="77777777" w:rsidR="003D4FF5" w:rsidRDefault="003D4FF5" w:rsidP="003D4FF5">
      <w:pPr>
        <w:pStyle w:val="Amain"/>
        <w:keepNext/>
      </w:pPr>
      <w:r>
        <w:tab/>
        <w:t>(6)</w:t>
      </w:r>
      <w:r>
        <w:tab/>
        <w:t>The written originating application must be filed—</w:t>
      </w:r>
    </w:p>
    <w:p w14:paraId="615C03C7" w14:textId="77777777" w:rsidR="003D4FF5" w:rsidRDefault="003D4FF5" w:rsidP="003D4FF5">
      <w:pPr>
        <w:pStyle w:val="Apara"/>
      </w:pPr>
      <w:r>
        <w:tab/>
        <w:t>(a)</w:t>
      </w:r>
      <w:r>
        <w:tab/>
        <w:t>as soon as practicable after the oral originating application is made; or</w:t>
      </w:r>
    </w:p>
    <w:p w14:paraId="2209C6F5" w14:textId="77777777" w:rsidR="003D4FF5" w:rsidRDefault="003D4FF5" w:rsidP="003D4FF5">
      <w:pPr>
        <w:pStyle w:val="Apara"/>
      </w:pPr>
      <w:r>
        <w:tab/>
        <w:t>(b)</w:t>
      </w:r>
      <w:r>
        <w:tab/>
        <w:t>if the court makes an order about when it must be filed—in accordance with the order.</w:t>
      </w:r>
    </w:p>
    <w:p w14:paraId="6C225A6D" w14:textId="77777777" w:rsidR="003D4FF5" w:rsidRDefault="003D4FF5" w:rsidP="003D4FF5">
      <w:pPr>
        <w:pStyle w:val="AH5Sec"/>
      </w:pPr>
      <w:bookmarkStart w:id="29" w:name="_Toc185513646"/>
      <w:r w:rsidRPr="00C8328B">
        <w:rPr>
          <w:rStyle w:val="CharSectNo"/>
        </w:rPr>
        <w:t>38</w:t>
      </w:r>
      <w:r>
        <w:tab/>
        <w:t>Proceeding incorrectly started by originating claim</w:t>
      </w:r>
      <w:bookmarkEnd w:id="29"/>
    </w:p>
    <w:p w14:paraId="7CF3F4FD" w14:textId="77777777"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14:paraId="360A959B" w14:textId="77777777" w:rsidR="003D4FF5" w:rsidRDefault="003D4FF5" w:rsidP="003D4FF5">
      <w:pPr>
        <w:pStyle w:val="Amain"/>
      </w:pPr>
      <w:r>
        <w:tab/>
        <w:t>(2)</w:t>
      </w:r>
      <w:r>
        <w:tab/>
        <w:t>The court may—</w:t>
      </w:r>
    </w:p>
    <w:p w14:paraId="4F1A3359" w14:textId="77777777" w:rsidR="003D4FF5" w:rsidRDefault="003D4FF5" w:rsidP="003D4FF5">
      <w:pPr>
        <w:pStyle w:val="Apara"/>
      </w:pPr>
      <w:r>
        <w:tab/>
        <w:t>(a)</w:t>
      </w:r>
      <w:r>
        <w:tab/>
        <w:t>order that the proceeding continue as if started by originating application; and</w:t>
      </w:r>
    </w:p>
    <w:p w14:paraId="3B30C795" w14:textId="77777777" w:rsidR="003D4FF5" w:rsidRDefault="003D4FF5" w:rsidP="003D4FF5">
      <w:pPr>
        <w:pStyle w:val="Apara"/>
        <w:keepNext/>
      </w:pPr>
      <w:r>
        <w:tab/>
        <w:t>(b)</w:t>
      </w:r>
      <w:r>
        <w:tab/>
        <w:t>give the directions it considers appropriate for the conduct of the proceeding; and</w:t>
      </w:r>
    </w:p>
    <w:p w14:paraId="59656855" w14:textId="77777777" w:rsidR="003D4FF5" w:rsidRDefault="003D4FF5" w:rsidP="003D4FF5">
      <w:pPr>
        <w:pStyle w:val="aNotepar"/>
      </w:pPr>
      <w:r>
        <w:rPr>
          <w:rStyle w:val="charItals"/>
        </w:rPr>
        <w:t>Note</w:t>
      </w:r>
      <w:r>
        <w:rPr>
          <w:rStyle w:val="charItals"/>
        </w:rPr>
        <w:tab/>
      </w:r>
      <w:r>
        <w:t>See r 1401 (Directions generally).</w:t>
      </w:r>
    </w:p>
    <w:p w14:paraId="2260707A" w14:textId="77777777" w:rsidR="003D4FF5" w:rsidRDefault="003D4FF5" w:rsidP="003D4FF5">
      <w:pPr>
        <w:pStyle w:val="Apara"/>
        <w:keepNext/>
      </w:pPr>
      <w:r>
        <w:tab/>
        <w:t>(c)</w:t>
      </w:r>
      <w:r>
        <w:tab/>
        <w:t>make any other order it considers appropriate.</w:t>
      </w:r>
    </w:p>
    <w:p w14:paraId="68C7CBDD" w14:textId="77777777" w:rsidR="003D4FF5" w:rsidRDefault="003D4FF5" w:rsidP="003D4FF5">
      <w:pPr>
        <w:pStyle w:val="aExamHdgss"/>
      </w:pPr>
      <w:r>
        <w:t>Example</w:t>
      </w:r>
    </w:p>
    <w:p w14:paraId="53E4CB6E" w14:textId="77777777" w:rsidR="003D4FF5" w:rsidRDefault="003D4FF5" w:rsidP="003D4FF5">
      <w:pPr>
        <w:pStyle w:val="aExamss"/>
        <w:keepNext/>
      </w:pPr>
      <w:r>
        <w:t>the court may order that the content of any pleadings filed in the proceeding be put before the court as affidavits</w:t>
      </w:r>
    </w:p>
    <w:p w14:paraId="0B5D1541" w14:textId="77777777"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14:paraId="0D050D5F" w14:textId="77777777" w:rsidR="003D4FF5" w:rsidRDefault="003D4FF5" w:rsidP="00BD27C6">
      <w:pPr>
        <w:pStyle w:val="Amain"/>
        <w:keepNext/>
      </w:pPr>
      <w:r>
        <w:lastRenderedPageBreak/>
        <w:tab/>
        <w:t>(3)</w:t>
      </w:r>
      <w:r>
        <w:tab/>
        <w:t>If the court makes an order under subrule (2) (a)—</w:t>
      </w:r>
    </w:p>
    <w:p w14:paraId="15DEB62E" w14:textId="77777777" w:rsidR="003D4FF5" w:rsidRDefault="003D4FF5" w:rsidP="003D4FF5">
      <w:pPr>
        <w:pStyle w:val="Apara"/>
      </w:pPr>
      <w:r>
        <w:tab/>
        <w:t>(a)</w:t>
      </w:r>
      <w:r>
        <w:tab/>
        <w:t>the originating claim is taken to be an originating application; and</w:t>
      </w:r>
    </w:p>
    <w:p w14:paraId="1BFFACD3" w14:textId="77777777" w:rsidR="003D4FF5" w:rsidRDefault="003D4FF5" w:rsidP="003D4FF5">
      <w:pPr>
        <w:pStyle w:val="Apara"/>
      </w:pPr>
      <w:r>
        <w:tab/>
        <w:t>(b)</w:t>
      </w:r>
      <w:r>
        <w:tab/>
        <w:t>the proceeding is taken to be a proceeding started by originating application.</w:t>
      </w:r>
    </w:p>
    <w:p w14:paraId="3A95D147" w14:textId="77777777" w:rsidR="003D4FF5" w:rsidRDefault="003D4FF5" w:rsidP="003D4FF5">
      <w:pPr>
        <w:pStyle w:val="AH5Sec"/>
      </w:pPr>
      <w:bookmarkStart w:id="30" w:name="_Toc185513647"/>
      <w:r w:rsidRPr="00C8328B">
        <w:rPr>
          <w:rStyle w:val="CharSectNo"/>
        </w:rPr>
        <w:t>39</w:t>
      </w:r>
      <w:r>
        <w:tab/>
        <w:t>Proceeding incorrectly started by originating application</w:t>
      </w:r>
      <w:bookmarkEnd w:id="30"/>
    </w:p>
    <w:p w14:paraId="208A543B" w14:textId="77777777"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14:paraId="75CE2130" w14:textId="77777777" w:rsidR="003D4FF5" w:rsidRDefault="003D4FF5" w:rsidP="003D4FF5">
      <w:pPr>
        <w:pStyle w:val="Amain"/>
        <w:keepNext/>
      </w:pPr>
      <w:r>
        <w:tab/>
        <w:t>(2)</w:t>
      </w:r>
      <w:r>
        <w:tab/>
        <w:t>The court may do all or any of the following:</w:t>
      </w:r>
    </w:p>
    <w:p w14:paraId="7FDC32C2" w14:textId="77777777" w:rsidR="003D4FF5" w:rsidRDefault="003D4FF5" w:rsidP="003D4FF5">
      <w:pPr>
        <w:pStyle w:val="Apara"/>
      </w:pPr>
      <w:r>
        <w:tab/>
        <w:t>(a)</w:t>
      </w:r>
      <w:r>
        <w:tab/>
        <w:t>order that the proceeding continue as if started by originating claim;</w:t>
      </w:r>
    </w:p>
    <w:p w14:paraId="3D94344A" w14:textId="77777777" w:rsidR="003D4FF5" w:rsidRDefault="003D4FF5" w:rsidP="003D4FF5">
      <w:pPr>
        <w:pStyle w:val="Apara"/>
      </w:pPr>
      <w:r>
        <w:tab/>
        <w:t>(b)</w:t>
      </w:r>
      <w:r>
        <w:tab/>
        <w:t>give the directions it considers appropriate for the conduct of the proceeding;</w:t>
      </w:r>
    </w:p>
    <w:p w14:paraId="79A6BF70" w14:textId="77777777" w:rsidR="003D4FF5" w:rsidRDefault="003D4FF5" w:rsidP="003D4FF5">
      <w:pPr>
        <w:pStyle w:val="Apara"/>
      </w:pPr>
      <w:r>
        <w:tab/>
        <w:t>(c)</w:t>
      </w:r>
      <w:r>
        <w:tab/>
        <w:t>order that any affidavits filed in the proceeding be treated as pleadings, alone or supplemented by particulars;</w:t>
      </w:r>
    </w:p>
    <w:p w14:paraId="0D0B339C" w14:textId="77777777" w:rsidR="003D4FF5" w:rsidRDefault="003D4FF5" w:rsidP="003D4FF5">
      <w:pPr>
        <w:pStyle w:val="Apara"/>
      </w:pPr>
      <w:r>
        <w:tab/>
        <w:t>(d)</w:t>
      </w:r>
      <w:r>
        <w:tab/>
        <w:t>order that the plaintiff file and serve a statement of claim;</w:t>
      </w:r>
    </w:p>
    <w:p w14:paraId="01C7AE55" w14:textId="77777777" w:rsidR="003D4FF5" w:rsidRDefault="003D4FF5" w:rsidP="003D4FF5">
      <w:pPr>
        <w:pStyle w:val="Apara"/>
        <w:keepNext/>
      </w:pPr>
      <w:r>
        <w:tab/>
        <w:t>(e)</w:t>
      </w:r>
      <w:r>
        <w:tab/>
        <w:t>make any other order it considers appropriate.</w:t>
      </w:r>
    </w:p>
    <w:p w14:paraId="6477B15E"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5EDC4FB8" w14:textId="77777777" w:rsidR="003D4FF5" w:rsidRDefault="003D4FF5" w:rsidP="003D4FF5">
      <w:pPr>
        <w:pStyle w:val="Amain"/>
      </w:pPr>
      <w:r>
        <w:tab/>
        <w:t>(3)</w:t>
      </w:r>
      <w:r>
        <w:tab/>
        <w:t>If the court makes an order under subrule (2) (a)—</w:t>
      </w:r>
    </w:p>
    <w:p w14:paraId="44EB3E41" w14:textId="77777777" w:rsidR="003D4FF5" w:rsidRDefault="003D4FF5" w:rsidP="003D4FF5">
      <w:pPr>
        <w:pStyle w:val="Apara"/>
      </w:pPr>
      <w:r>
        <w:tab/>
        <w:t>(a)</w:t>
      </w:r>
      <w:r>
        <w:tab/>
        <w:t>the originating application is taken to be an originating claim; and</w:t>
      </w:r>
    </w:p>
    <w:p w14:paraId="0FC0197C" w14:textId="77777777" w:rsidR="003D4FF5" w:rsidRDefault="003D4FF5" w:rsidP="003D4FF5">
      <w:pPr>
        <w:pStyle w:val="Apara"/>
      </w:pPr>
      <w:r>
        <w:tab/>
        <w:t>(b)</w:t>
      </w:r>
      <w:r>
        <w:tab/>
        <w:t>the proceeding is taken to be a proceeding started by originating claim.</w:t>
      </w:r>
    </w:p>
    <w:p w14:paraId="579E63AA" w14:textId="77777777" w:rsidR="003D4FF5" w:rsidRDefault="003D4FF5" w:rsidP="003D4FF5">
      <w:pPr>
        <w:pStyle w:val="AH5Sec"/>
      </w:pPr>
      <w:bookmarkStart w:id="31" w:name="_Toc185513648"/>
      <w:r w:rsidRPr="00C8328B">
        <w:rPr>
          <w:rStyle w:val="CharSectNo"/>
        </w:rPr>
        <w:lastRenderedPageBreak/>
        <w:t>40</w:t>
      </w:r>
      <w:r>
        <w:tab/>
        <w:t>Setting aside originating process etc</w:t>
      </w:r>
      <w:bookmarkEnd w:id="31"/>
    </w:p>
    <w:p w14:paraId="726264BE" w14:textId="77777777" w:rsidR="003D4FF5" w:rsidRDefault="003D4FF5" w:rsidP="003D4FF5">
      <w:pPr>
        <w:pStyle w:val="Amain"/>
        <w:keepNext/>
      </w:pPr>
      <w:r>
        <w:tab/>
        <w:t>(1)</w:t>
      </w:r>
      <w:r>
        <w:tab/>
        <w:t>The court may—</w:t>
      </w:r>
    </w:p>
    <w:p w14:paraId="43BFD41F" w14:textId="77777777" w:rsidR="003D4FF5" w:rsidRDefault="003D4FF5" w:rsidP="003D4FF5">
      <w:pPr>
        <w:pStyle w:val="Apara"/>
      </w:pPr>
      <w:r>
        <w:tab/>
        <w:t>(a)</w:t>
      </w:r>
      <w:r>
        <w:tab/>
        <w:t>declare that a proceeding for which an originating process has been issued has not, for want of jurisdiction, been properly started; or</w:t>
      </w:r>
    </w:p>
    <w:p w14:paraId="31396FEC" w14:textId="77777777" w:rsidR="003D4FF5" w:rsidRDefault="003D4FF5" w:rsidP="003D4FF5">
      <w:pPr>
        <w:pStyle w:val="Apara"/>
      </w:pPr>
      <w:r>
        <w:tab/>
        <w:t>(b)</w:t>
      </w:r>
      <w:r>
        <w:tab/>
        <w:t>declare that an originating process has not been properly served; or</w:t>
      </w:r>
    </w:p>
    <w:p w14:paraId="03876F3B" w14:textId="77777777" w:rsidR="003D4FF5" w:rsidRDefault="003D4FF5" w:rsidP="003D4FF5">
      <w:pPr>
        <w:pStyle w:val="Apara"/>
      </w:pPr>
      <w:r>
        <w:tab/>
        <w:t>(c)</w:t>
      </w:r>
      <w:r>
        <w:tab/>
        <w:t>set aside an order for service of an originating process; or</w:t>
      </w:r>
    </w:p>
    <w:p w14:paraId="7DC2CA46" w14:textId="77777777" w:rsidR="003D4FF5" w:rsidRDefault="003D4FF5" w:rsidP="003D4FF5">
      <w:pPr>
        <w:pStyle w:val="Apara"/>
      </w:pPr>
      <w:r>
        <w:tab/>
        <w:t>(d)</w:t>
      </w:r>
      <w:r>
        <w:tab/>
        <w:t>set aside an order extending the period for service of an originating process; or</w:t>
      </w:r>
    </w:p>
    <w:p w14:paraId="34D6E733" w14:textId="77777777" w:rsidR="003D4FF5" w:rsidRDefault="003D4FF5" w:rsidP="003D4FF5">
      <w:pPr>
        <w:pStyle w:val="Apara"/>
      </w:pPr>
      <w:r>
        <w:tab/>
        <w:t>(e)</w:t>
      </w:r>
      <w:r>
        <w:tab/>
        <w:t>set aside an originating process; or</w:t>
      </w:r>
    </w:p>
    <w:p w14:paraId="33706E76" w14:textId="77777777" w:rsidR="003D4FF5" w:rsidRDefault="003D4FF5" w:rsidP="003D4FF5">
      <w:pPr>
        <w:pStyle w:val="Apara"/>
      </w:pPr>
      <w:r>
        <w:tab/>
        <w:t>(f)</w:t>
      </w:r>
      <w:r>
        <w:tab/>
        <w:t>set aside service of an originating process; or</w:t>
      </w:r>
    </w:p>
    <w:p w14:paraId="7B4A8406" w14:textId="77777777" w:rsidR="003D4FF5" w:rsidRDefault="003D4FF5" w:rsidP="003D4FF5">
      <w:pPr>
        <w:pStyle w:val="Apara"/>
      </w:pPr>
      <w:r>
        <w:tab/>
        <w:t>(g)</w:t>
      </w:r>
      <w:r>
        <w:tab/>
        <w:t>stay a proceeding; or</w:t>
      </w:r>
    </w:p>
    <w:p w14:paraId="74B7CE3E" w14:textId="77777777"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14:paraId="4A70084C" w14:textId="77777777" w:rsidR="003D4FF5" w:rsidRDefault="003D4FF5" w:rsidP="003D4FF5">
      <w:pPr>
        <w:pStyle w:val="Apara"/>
      </w:pPr>
      <w:r>
        <w:tab/>
        <w:t>(i)</w:t>
      </w:r>
      <w:r>
        <w:tab/>
        <w:t>make an order protecting or releasing—</w:t>
      </w:r>
    </w:p>
    <w:p w14:paraId="46FB3B7A" w14:textId="77777777" w:rsidR="003D4FF5" w:rsidRDefault="003D4FF5" w:rsidP="003D4FF5">
      <w:pPr>
        <w:pStyle w:val="Asubpara"/>
      </w:pPr>
      <w:r>
        <w:tab/>
        <w:t>(i)</w:t>
      </w:r>
      <w:r>
        <w:tab/>
        <w:t>property seized, or threatened with seizure, in a proceeding; or</w:t>
      </w:r>
    </w:p>
    <w:p w14:paraId="2F25986E" w14:textId="77777777" w:rsidR="003D4FF5" w:rsidRDefault="003D4FF5" w:rsidP="003D4FF5">
      <w:pPr>
        <w:pStyle w:val="Asubpara"/>
      </w:pPr>
      <w:r>
        <w:tab/>
        <w:t>(ii)</w:t>
      </w:r>
      <w:r>
        <w:tab/>
        <w:t>property subject to an order restraining its disposal or in relation to which an order restraining its disposal is sought; or</w:t>
      </w:r>
    </w:p>
    <w:p w14:paraId="50557705" w14:textId="77777777" w:rsidR="003D4FF5" w:rsidRDefault="003D4FF5" w:rsidP="003D4FF5">
      <w:pPr>
        <w:pStyle w:val="Apara"/>
      </w:pPr>
      <w:r>
        <w:tab/>
        <w:t>(j)</w:t>
      </w:r>
      <w:r>
        <w:tab/>
        <w:t>make an order declining to exercise jurisdiction in a proceeding; or</w:t>
      </w:r>
    </w:p>
    <w:p w14:paraId="79C3EA75" w14:textId="77777777" w:rsidR="003D4FF5" w:rsidRDefault="003D4FF5" w:rsidP="003D4FF5">
      <w:pPr>
        <w:pStyle w:val="Apara"/>
        <w:keepNext/>
      </w:pPr>
      <w:r>
        <w:lastRenderedPageBreak/>
        <w:tab/>
        <w:t>(k)</w:t>
      </w:r>
      <w:r>
        <w:tab/>
        <w:t>make any other order it considers appropriate.</w:t>
      </w:r>
    </w:p>
    <w:p w14:paraId="6C067D11"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4FF8EB0A" w14:textId="77777777"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14:paraId="1B5DADD6" w14:textId="77777777"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14:paraId="73E29DFE" w14:textId="77777777" w:rsidR="003D4FF5" w:rsidRDefault="003D4FF5" w:rsidP="003D4FF5">
      <w:pPr>
        <w:pStyle w:val="Amain"/>
        <w:keepNext/>
      </w:pPr>
      <w:r>
        <w:tab/>
        <w:t>(2)</w:t>
      </w:r>
      <w:r>
        <w:tab/>
        <w:t>However, the court must not—</w:t>
      </w:r>
    </w:p>
    <w:p w14:paraId="57D3FC67" w14:textId="77777777" w:rsidR="003D4FF5" w:rsidRDefault="003D4FF5" w:rsidP="003D4FF5">
      <w:pPr>
        <w:pStyle w:val="Apara"/>
      </w:pPr>
      <w:r>
        <w:tab/>
        <w:t>(a)</w:t>
      </w:r>
      <w:r>
        <w:tab/>
        <w:t>set aside a proceeding only because the proceeding was started by the incorrect originating process; or</w:t>
      </w:r>
    </w:p>
    <w:p w14:paraId="7A86E13E" w14:textId="77777777" w:rsidR="003D4FF5" w:rsidRDefault="003D4FF5" w:rsidP="003D4FF5">
      <w:pPr>
        <w:pStyle w:val="Apara"/>
      </w:pPr>
      <w:r>
        <w:tab/>
        <w:t>(b)</w:t>
      </w:r>
      <w:r>
        <w:tab/>
        <w:t>set aside an originating process only because the incorrect originating process was used.</w:t>
      </w:r>
    </w:p>
    <w:p w14:paraId="237C01F5" w14:textId="77777777" w:rsidR="003D4FF5" w:rsidRPr="00C8328B" w:rsidRDefault="003D4FF5" w:rsidP="003D4FF5">
      <w:pPr>
        <w:pStyle w:val="AH3Div"/>
      </w:pPr>
      <w:bookmarkStart w:id="32" w:name="_Toc185513649"/>
      <w:r w:rsidRPr="00C8328B">
        <w:rPr>
          <w:rStyle w:val="CharDivNo"/>
        </w:rPr>
        <w:t>Division 2.2.2</w:t>
      </w:r>
      <w:r>
        <w:tab/>
      </w:r>
      <w:r w:rsidRPr="00C8328B">
        <w:rPr>
          <w:rStyle w:val="CharDivText"/>
        </w:rPr>
        <w:t>Originating claims</w:t>
      </w:r>
      <w:bookmarkEnd w:id="32"/>
    </w:p>
    <w:p w14:paraId="6763E659" w14:textId="77777777" w:rsidR="003D4FF5" w:rsidRDefault="003D4FF5" w:rsidP="003D4FF5">
      <w:pPr>
        <w:pStyle w:val="AH5Sec"/>
        <w:rPr>
          <w:lang w:val="en-US"/>
        </w:rPr>
      </w:pPr>
      <w:bookmarkStart w:id="33" w:name="_Toc185513650"/>
      <w:r w:rsidRPr="00C8328B">
        <w:rPr>
          <w:rStyle w:val="CharSectNo"/>
        </w:rPr>
        <w:t>50</w:t>
      </w:r>
      <w:r>
        <w:rPr>
          <w:lang w:val="en-US"/>
        </w:rPr>
        <w:tab/>
        <w:t>Originating claim—content etc</w:t>
      </w:r>
      <w:bookmarkEnd w:id="33"/>
    </w:p>
    <w:p w14:paraId="7E88D612" w14:textId="77777777"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14:paraId="62896666" w14:textId="6AA440F3" w:rsidR="003D4FF5" w:rsidRDefault="003D4FF5" w:rsidP="003D4FF5">
      <w:pPr>
        <w:pStyle w:val="aNote"/>
      </w:pPr>
      <w:r>
        <w:rPr>
          <w:rStyle w:val="charItals"/>
        </w:rPr>
        <w:t>Note</w:t>
      </w:r>
      <w:r>
        <w:tab/>
        <w:t xml:space="preserve">See approved form 2.1 (Originating claim) </w:t>
      </w:r>
      <w:hyperlink r:id="rId39" w:history="1">
        <w:r w:rsidRPr="001856FE">
          <w:rPr>
            <w:rStyle w:val="charCitHyperlinkAbbrev"/>
          </w:rPr>
          <w:t>AF2006-246</w:t>
        </w:r>
      </w:hyperlink>
      <w:r>
        <w:t>.</w:t>
      </w:r>
    </w:p>
    <w:p w14:paraId="4C2A4C9E" w14:textId="050A1C5E" w:rsidR="003D4FF5" w:rsidRDefault="003D4FF5" w:rsidP="003D4FF5">
      <w:pPr>
        <w:pStyle w:val="Amain"/>
        <w:keepNext/>
      </w:pPr>
      <w:r>
        <w:tab/>
        <w:t>(2)</w:t>
      </w:r>
      <w:r>
        <w:tab/>
      </w:r>
      <w:r>
        <w:rPr>
          <w:lang w:val="en-US"/>
        </w:rPr>
        <w:t xml:space="preserve">A statement of claim must be </w:t>
      </w:r>
      <w:r w:rsidR="00F12117" w:rsidRPr="00C1177F">
        <w:t>filed with</w:t>
      </w:r>
      <w:r>
        <w:rPr>
          <w:lang w:val="en-US"/>
        </w:rPr>
        <w:t xml:space="preserve"> the originating claim.</w:t>
      </w:r>
    </w:p>
    <w:p w14:paraId="0DCA2304" w14:textId="77777777" w:rsidR="003D4FF5" w:rsidRPr="005A5F43" w:rsidRDefault="003D4FF5" w:rsidP="003D4FF5">
      <w:pPr>
        <w:pStyle w:val="aNote"/>
        <w:keepNext/>
      </w:pPr>
      <w:r>
        <w:rPr>
          <w:rStyle w:val="charItals"/>
        </w:rPr>
        <w:t>Note 1</w:t>
      </w:r>
      <w:r>
        <w:rPr>
          <w:rStyle w:val="charItals"/>
        </w:rPr>
        <w:tab/>
      </w:r>
      <w:r w:rsidRPr="005A5F43">
        <w:t>See</w:t>
      </w:r>
    </w:p>
    <w:p w14:paraId="1EAE0D39" w14:textId="0E6714FB" w:rsidR="003D4FF5" w:rsidRDefault="003D4FF5" w:rsidP="003D4FF5">
      <w:pPr>
        <w:pStyle w:val="aNoteBulletss"/>
      </w:pPr>
      <w:r w:rsidRPr="005A5F43">
        <w:sym w:font="Symbol" w:char="F0B7"/>
      </w:r>
      <w:r w:rsidRPr="005A5F43">
        <w:tab/>
        <w:t>approved form 2.2 (</w:t>
      </w:r>
      <w:r>
        <w:t xml:space="preserve">Statement of claim—debt or liquidated demand) </w:t>
      </w:r>
      <w:hyperlink r:id="rId40" w:history="1">
        <w:r w:rsidRPr="00283677">
          <w:rPr>
            <w:rStyle w:val="charCitHyperlinkAbbrev"/>
          </w:rPr>
          <w:t>AF2007-60</w:t>
        </w:r>
      </w:hyperlink>
    </w:p>
    <w:p w14:paraId="163E0319" w14:textId="4BA08ACE"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1" w:history="1">
        <w:r>
          <w:rPr>
            <w:rStyle w:val="charCitHyperlinkAbbrev"/>
          </w:rPr>
          <w:t>AF2014-160</w:t>
        </w:r>
      </w:hyperlink>
    </w:p>
    <w:p w14:paraId="6409A32E" w14:textId="536C7A59"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2" w:history="1">
        <w:r>
          <w:rPr>
            <w:rStyle w:val="charCitHyperlinkAbbrev"/>
          </w:rPr>
          <w:t>AF2014-26</w:t>
        </w:r>
      </w:hyperlink>
    </w:p>
    <w:p w14:paraId="60C61864" w14:textId="73D4D991"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3" w:history="1">
        <w:r w:rsidRPr="00283677">
          <w:rPr>
            <w:rStyle w:val="charCitHyperlinkAbbrev"/>
          </w:rPr>
          <w:t>AF2006-447</w:t>
        </w:r>
      </w:hyperlink>
      <w:r>
        <w:t>.</w:t>
      </w:r>
    </w:p>
    <w:p w14:paraId="2AA297C2" w14:textId="77777777"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14:paraId="3AA4C8BD"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0204B466" w14:textId="7016B508" w:rsidR="003D4FF5" w:rsidRDefault="003D4FF5" w:rsidP="003D4FF5">
      <w:pPr>
        <w:pStyle w:val="Amain"/>
        <w:keepNext/>
        <w:rPr>
          <w:lang w:val="en-US"/>
        </w:rPr>
      </w:pPr>
      <w:r>
        <w:rPr>
          <w:lang w:val="en-US"/>
        </w:rPr>
        <w:tab/>
        <w:t>(3)</w:t>
      </w:r>
      <w:r>
        <w:rPr>
          <w:lang w:val="en-US"/>
        </w:rPr>
        <w:tab/>
        <w:t xml:space="preserve">An originating claim filed in the Magistrates Court, or the </w:t>
      </w:r>
      <w:r w:rsidR="00F12117" w:rsidRPr="00C1177F">
        <w:t>accompanying</w:t>
      </w:r>
      <w:r w:rsidR="00F12117">
        <w:t xml:space="preserve"> </w:t>
      </w:r>
      <w:r>
        <w:rPr>
          <w:lang w:val="en-US"/>
        </w:rPr>
        <w:t>statement of claim, must show that the court has jurisdiction to decide the claim.</w:t>
      </w:r>
    </w:p>
    <w:p w14:paraId="09895C0A" w14:textId="197C965A" w:rsidR="003D4FF5" w:rsidRDefault="003D4FF5" w:rsidP="003D4FF5">
      <w:pPr>
        <w:pStyle w:val="aNote"/>
        <w:rPr>
          <w:lang w:val="en-US"/>
        </w:rPr>
      </w:pPr>
      <w:r>
        <w:rPr>
          <w:rStyle w:val="charItals"/>
        </w:rPr>
        <w:t>Note</w:t>
      </w:r>
      <w:r>
        <w:rPr>
          <w:rStyle w:val="charItals"/>
        </w:rPr>
        <w:tab/>
      </w:r>
      <w:r>
        <w:rPr>
          <w:lang w:val="en-US"/>
        </w:rPr>
        <w:t xml:space="preserve">The </w:t>
      </w:r>
      <w:hyperlink r:id="rId4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59C9AD6" w14:textId="77777777" w:rsidR="003D4FF5" w:rsidRDefault="003D4FF5" w:rsidP="003D4FF5">
      <w:pPr>
        <w:pStyle w:val="Amain"/>
      </w:pPr>
      <w:r>
        <w:tab/>
        <w:t>(4)</w:t>
      </w:r>
      <w:r>
        <w:tab/>
        <w:t>An originating claim must state—</w:t>
      </w:r>
    </w:p>
    <w:p w14:paraId="13ED0536" w14:textId="77777777" w:rsidR="003D4FF5" w:rsidRDefault="003D4FF5" w:rsidP="003D4FF5">
      <w:pPr>
        <w:pStyle w:val="Apara"/>
      </w:pPr>
      <w:r>
        <w:tab/>
        <w:t>(a)</w:t>
      </w:r>
      <w:r>
        <w:tab/>
        <w:t>whether the plaintiff is represented by a solicitor; and</w:t>
      </w:r>
    </w:p>
    <w:p w14:paraId="06EDAE87" w14:textId="77777777" w:rsidR="003D4FF5" w:rsidRDefault="003D4FF5" w:rsidP="003D4FF5">
      <w:pPr>
        <w:pStyle w:val="Apara"/>
      </w:pPr>
      <w:r>
        <w:tab/>
        <w:t>(b)</w:t>
      </w:r>
      <w:r>
        <w:tab/>
        <w:t>if the plaintiff is represented by a solicitor—the name of the solicitor; and</w:t>
      </w:r>
    </w:p>
    <w:p w14:paraId="674D3693" w14:textId="77777777" w:rsidR="003D4FF5" w:rsidRDefault="003D4FF5" w:rsidP="003D4FF5">
      <w:pPr>
        <w:pStyle w:val="Apara"/>
      </w:pPr>
      <w:r>
        <w:tab/>
        <w:t>(c)</w:t>
      </w:r>
      <w:r>
        <w:tab/>
        <w:t>the plaintiff’s address for service; and</w:t>
      </w:r>
    </w:p>
    <w:p w14:paraId="183394D3" w14:textId="77777777" w:rsidR="003D4FF5" w:rsidRDefault="003D4FF5" w:rsidP="003D4FF5">
      <w:pPr>
        <w:pStyle w:val="Apara"/>
      </w:pPr>
      <w:r>
        <w:tab/>
        <w:t>(d)</w:t>
      </w:r>
      <w:r>
        <w:tab/>
        <w:t>if the plaintiff is suing in a representative capacity—the representative capacity in which the plaintiff is suing; and</w:t>
      </w:r>
    </w:p>
    <w:p w14:paraId="0DE119F4" w14:textId="77777777" w:rsidR="003D4FF5" w:rsidRDefault="003D4FF5" w:rsidP="003D4FF5">
      <w:pPr>
        <w:pStyle w:val="Apara"/>
        <w:keepNext/>
      </w:pPr>
      <w:r>
        <w:tab/>
        <w:t>(e)</w:t>
      </w:r>
      <w:r>
        <w:tab/>
        <w:t>if a defendant is being sued in a representative capacity—the representative capacity in which the defendant is being sued.</w:t>
      </w:r>
    </w:p>
    <w:p w14:paraId="0FAD5B11"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088B6236" w14:textId="77777777" w:rsidR="003D4FF5" w:rsidRDefault="003D4FF5" w:rsidP="003D4FF5">
      <w:pPr>
        <w:pStyle w:val="Amain"/>
      </w:pPr>
      <w:r>
        <w:tab/>
        <w:t>(5)</w:t>
      </w:r>
      <w:r>
        <w:tab/>
        <w:t>An originating claim must state specifically</w:t>
      </w:r>
      <w:r>
        <w:rPr>
          <w:lang w:val="en-US"/>
        </w:rPr>
        <w:t xml:space="preserve"> </w:t>
      </w:r>
      <w:r>
        <w:t>any claim for—</w:t>
      </w:r>
    </w:p>
    <w:p w14:paraId="66436C95" w14:textId="77777777" w:rsidR="003D4FF5" w:rsidRDefault="003D4FF5" w:rsidP="003D4FF5">
      <w:pPr>
        <w:pStyle w:val="Apara"/>
      </w:pPr>
      <w:r>
        <w:tab/>
        <w:t>(a)</w:t>
      </w:r>
      <w:r>
        <w:tab/>
        <w:t>exemplary damages or aggravated damages; and</w:t>
      </w:r>
    </w:p>
    <w:p w14:paraId="43A98E75" w14:textId="77777777" w:rsidR="003D4FF5" w:rsidRDefault="003D4FF5" w:rsidP="003D4FF5">
      <w:pPr>
        <w:pStyle w:val="Apara"/>
      </w:pPr>
      <w:r>
        <w:tab/>
        <w:t>(b)</w:t>
      </w:r>
      <w:r>
        <w:tab/>
        <w:t>interest up to the day of judgment.</w:t>
      </w:r>
    </w:p>
    <w:p w14:paraId="5ACB01C8" w14:textId="77777777"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14:paraId="3910495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40DAA031" w14:textId="77777777" w:rsidR="003D4FF5" w:rsidRDefault="003D4FF5" w:rsidP="003D4FF5">
      <w:pPr>
        <w:pStyle w:val="Amain"/>
        <w:rPr>
          <w:lang w:val="en-US"/>
        </w:rPr>
      </w:pPr>
      <w:r>
        <w:rPr>
          <w:lang w:val="en-US"/>
        </w:rPr>
        <w:tab/>
        <w:t>(7)</w:t>
      </w:r>
      <w:r>
        <w:rPr>
          <w:lang w:val="en-US"/>
        </w:rPr>
        <w:tab/>
      </w:r>
      <w:r>
        <w:t>If the relief sought requires the court’s decision or direction on any question, the originating claim must state the question.</w:t>
      </w:r>
    </w:p>
    <w:p w14:paraId="1E404EDF" w14:textId="77777777" w:rsidR="003D4FF5" w:rsidRDefault="003D4FF5" w:rsidP="003D4FF5">
      <w:pPr>
        <w:pStyle w:val="AH5Sec"/>
        <w:rPr>
          <w:lang w:val="en-US"/>
        </w:rPr>
      </w:pPr>
      <w:bookmarkStart w:id="34" w:name="_Toc185513651"/>
      <w:r w:rsidRPr="00C8328B">
        <w:rPr>
          <w:rStyle w:val="CharSectNo"/>
        </w:rPr>
        <w:lastRenderedPageBreak/>
        <w:t>51</w:t>
      </w:r>
      <w:r>
        <w:rPr>
          <w:lang w:val="en-US"/>
        </w:rPr>
        <w:tab/>
        <w:t>Originating claim—additional matters for claims for debt and liquidated demands</w:t>
      </w:r>
      <w:bookmarkEnd w:id="34"/>
    </w:p>
    <w:p w14:paraId="241E7709" w14:textId="77777777"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14:paraId="3FC96CAF"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2D5B5C4D" w14:textId="77777777" w:rsidR="003D4FF5" w:rsidRDefault="003D4FF5" w:rsidP="003D4FF5">
      <w:pPr>
        <w:pStyle w:val="Amain"/>
      </w:pPr>
      <w:r>
        <w:tab/>
        <w:t>(2)</w:t>
      </w:r>
      <w:r>
        <w:tab/>
        <w:t>A claim for interest up to the day of judgment—</w:t>
      </w:r>
    </w:p>
    <w:p w14:paraId="24F0D0F0" w14:textId="77777777" w:rsidR="003D4FF5" w:rsidRDefault="003D4FF5" w:rsidP="003D4FF5">
      <w:pPr>
        <w:pStyle w:val="Apara"/>
      </w:pPr>
      <w:r>
        <w:tab/>
        <w:t>(a)</w:t>
      </w:r>
      <w:r>
        <w:tab/>
        <w:t>must state</w:t>
      </w:r>
      <w:r>
        <w:rPr>
          <w:lang w:val="en-US"/>
        </w:rPr>
        <w:t xml:space="preserve"> </w:t>
      </w:r>
      <w:r>
        <w:t>the period or periods for which interest is claimed; and</w:t>
      </w:r>
    </w:p>
    <w:p w14:paraId="458C4E4B" w14:textId="77777777" w:rsidR="003D4FF5" w:rsidRDefault="003D4FF5" w:rsidP="003D4FF5">
      <w:pPr>
        <w:pStyle w:val="Apara"/>
      </w:pPr>
      <w:r>
        <w:tab/>
        <w:t>(b)</w:t>
      </w:r>
      <w:r>
        <w:tab/>
        <w:t>may state</w:t>
      </w:r>
      <w:r>
        <w:rPr>
          <w:lang w:val="en-US"/>
        </w:rPr>
        <w:t xml:space="preserve"> </w:t>
      </w:r>
      <w:r>
        <w:t>the rate or rates at which interest is claimed.</w:t>
      </w:r>
    </w:p>
    <w:p w14:paraId="32A47B8C" w14:textId="77777777"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14:paraId="6B247DB4"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71F7460B" w14:textId="77777777" w:rsidR="003D4FF5" w:rsidRDefault="003D4FF5" w:rsidP="003D4FF5">
      <w:pPr>
        <w:pStyle w:val="AH5Sec"/>
        <w:rPr>
          <w:lang w:val="en-US"/>
        </w:rPr>
      </w:pPr>
      <w:bookmarkStart w:id="35" w:name="_Toc185513652"/>
      <w:r w:rsidRPr="00C8328B">
        <w:rPr>
          <w:rStyle w:val="CharSectNo"/>
        </w:rPr>
        <w:t>52</w:t>
      </w:r>
      <w:r>
        <w:rPr>
          <w:lang w:val="en-US"/>
        </w:rPr>
        <w:tab/>
        <w:t>Originating claim—statement of claim for motor vehicle death and personal injury claims</w:t>
      </w:r>
      <w:bookmarkEnd w:id="35"/>
    </w:p>
    <w:p w14:paraId="36470451" w14:textId="77777777"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14:paraId="5D7D55B1" w14:textId="77777777" w:rsidR="003D4FF5" w:rsidRDefault="003D4FF5" w:rsidP="003D4FF5">
      <w:pPr>
        <w:pStyle w:val="Amain"/>
        <w:keepNext/>
      </w:pPr>
      <w:r>
        <w:tab/>
        <w:t>(2)</w:t>
      </w:r>
      <w:r>
        <w:tab/>
        <w:t>The statement of claim for the originating claim must include, and is sufficient if it includes, the following:</w:t>
      </w:r>
    </w:p>
    <w:p w14:paraId="2C4D3EF8" w14:textId="77777777" w:rsidR="003D4FF5" w:rsidRDefault="003D4FF5" w:rsidP="003D4FF5">
      <w:pPr>
        <w:pStyle w:val="Apara"/>
      </w:pPr>
      <w:r>
        <w:tab/>
        <w:t>(a)</w:t>
      </w:r>
      <w:r>
        <w:tab/>
        <w:t>the time, date, place and circumstances of the accident (including, if possible, the registration details of all motor vehicles involved);</w:t>
      </w:r>
    </w:p>
    <w:p w14:paraId="2A757781" w14:textId="77777777" w:rsidR="003D4FF5" w:rsidRDefault="003D4FF5" w:rsidP="003D4FF5">
      <w:pPr>
        <w:pStyle w:val="Apara"/>
      </w:pPr>
      <w:r>
        <w:tab/>
        <w:t>(b)</w:t>
      </w:r>
      <w:r>
        <w:tab/>
        <w:t>precise particulars of the negligence claimed;</w:t>
      </w:r>
    </w:p>
    <w:p w14:paraId="7776474F" w14:textId="77777777"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14:paraId="0F9A8B6D" w14:textId="77777777"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14:paraId="36E39377" w14:textId="77777777"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14:paraId="539CFEEA" w14:textId="42099455" w:rsidR="003D4FF5" w:rsidRDefault="003D4FF5" w:rsidP="003D4FF5">
      <w:pPr>
        <w:pStyle w:val="aNote"/>
        <w:keepNext/>
      </w:pPr>
      <w:r>
        <w:rPr>
          <w:rStyle w:val="charItals"/>
        </w:rPr>
        <w:t>Note 1</w:t>
      </w:r>
      <w:r>
        <w:tab/>
        <w:t xml:space="preserve">See approved form 2.3 (Statement of claim—motor vehicle death or personal injury) </w:t>
      </w:r>
      <w:hyperlink r:id="rId45" w:history="1">
        <w:r>
          <w:rPr>
            <w:rStyle w:val="charCitHyperlinkAbbrev"/>
          </w:rPr>
          <w:t>AF2014-160</w:t>
        </w:r>
      </w:hyperlink>
      <w:r>
        <w:t>.</w:t>
      </w:r>
    </w:p>
    <w:p w14:paraId="48EC4A2C"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2BE65ACB" w14:textId="77777777" w:rsidR="003D4FF5" w:rsidRDefault="003D4FF5" w:rsidP="003D4FF5">
      <w:pPr>
        <w:pStyle w:val="AH5Sec"/>
        <w:rPr>
          <w:lang w:val="en-US"/>
        </w:rPr>
      </w:pPr>
      <w:bookmarkStart w:id="36" w:name="_Toc185513653"/>
      <w:r w:rsidRPr="00C8328B">
        <w:rPr>
          <w:rStyle w:val="CharSectNo"/>
        </w:rPr>
        <w:t>53</w:t>
      </w:r>
      <w:r>
        <w:rPr>
          <w:lang w:val="en-US"/>
        </w:rPr>
        <w:tab/>
        <w:t>Originating claim—statement of claim for employment death and personal injury claims</w:t>
      </w:r>
      <w:bookmarkEnd w:id="36"/>
    </w:p>
    <w:p w14:paraId="3F35EB4C" w14:textId="77777777"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14:paraId="12909C60" w14:textId="77777777" w:rsidR="003D4FF5" w:rsidRDefault="003D4FF5" w:rsidP="003D4FF5">
      <w:pPr>
        <w:pStyle w:val="Amain"/>
        <w:keepNext/>
      </w:pPr>
      <w:r>
        <w:tab/>
        <w:t>(2)</w:t>
      </w:r>
      <w:r>
        <w:tab/>
        <w:t>The statement of claim for the originating claim must include, and is sufficient if it includes, the following:</w:t>
      </w:r>
    </w:p>
    <w:p w14:paraId="50CBD994" w14:textId="77777777"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14:paraId="3766E047" w14:textId="77777777"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14:paraId="00B6D1A6" w14:textId="77777777"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14:paraId="00957638" w14:textId="77777777"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14:paraId="00E4FC92" w14:textId="77777777"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14:paraId="6BBA0AD2" w14:textId="77777777"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14:paraId="5B3DF812" w14:textId="1783F664"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6" w:tooltip="A1951-2" w:history="1">
        <w:r w:rsidRPr="0023482E">
          <w:rPr>
            <w:rStyle w:val="charCitHyperlinkItal"/>
          </w:rPr>
          <w:t>Workers Compensation Act 1951</w:t>
        </w:r>
      </w:hyperlink>
      <w:r w:rsidRPr="0023482E">
        <w:t>, section 182D (Applicable substantive law for damages claims).</w:t>
      </w:r>
    </w:p>
    <w:p w14:paraId="7362A161" w14:textId="7CBF1165" w:rsidR="003D4FF5" w:rsidRDefault="003D4FF5" w:rsidP="003D4FF5">
      <w:pPr>
        <w:pStyle w:val="aNote"/>
        <w:keepNext/>
      </w:pPr>
      <w:r>
        <w:rPr>
          <w:rStyle w:val="charItals"/>
        </w:rPr>
        <w:t>Note 1</w:t>
      </w:r>
      <w:r>
        <w:tab/>
        <w:t xml:space="preserve">See approved form 2.4 (Statement of claim—employment death or personal injury) </w:t>
      </w:r>
      <w:hyperlink r:id="rId47" w:history="1">
        <w:r>
          <w:rPr>
            <w:rStyle w:val="charCitHyperlinkAbbrev"/>
          </w:rPr>
          <w:t>AF2014-26</w:t>
        </w:r>
      </w:hyperlink>
      <w:r>
        <w:t>.</w:t>
      </w:r>
    </w:p>
    <w:p w14:paraId="29D5F416"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1001AE90" w14:textId="77777777" w:rsidR="003D4FF5" w:rsidRDefault="003D4FF5" w:rsidP="003D4FF5">
      <w:pPr>
        <w:pStyle w:val="AH5Sec"/>
        <w:rPr>
          <w:lang w:val="en-US"/>
        </w:rPr>
      </w:pPr>
      <w:bookmarkStart w:id="37" w:name="_Toc185513654"/>
      <w:r w:rsidRPr="00C8328B">
        <w:rPr>
          <w:rStyle w:val="CharSectNo"/>
        </w:rPr>
        <w:lastRenderedPageBreak/>
        <w:t>54</w:t>
      </w:r>
      <w:r>
        <w:rPr>
          <w:lang w:val="en-US"/>
        </w:rPr>
        <w:tab/>
        <w:t>Originating claim—filing and service</w:t>
      </w:r>
      <w:bookmarkEnd w:id="37"/>
    </w:p>
    <w:p w14:paraId="2B927120" w14:textId="322BE413" w:rsidR="003D4FF5" w:rsidRDefault="003D4FF5" w:rsidP="00A11C5A">
      <w:pPr>
        <w:pStyle w:val="Amain"/>
        <w:keepNext/>
        <w:rPr>
          <w:lang w:val="en-US"/>
        </w:rPr>
      </w:pPr>
      <w:r>
        <w:rPr>
          <w:lang w:val="en-US"/>
        </w:rPr>
        <w:tab/>
        <w:t>(1)</w:t>
      </w:r>
      <w:r>
        <w:rPr>
          <w:lang w:val="en-US"/>
        </w:rPr>
        <w:tab/>
        <w:t xml:space="preserve">An originating claim and </w:t>
      </w:r>
      <w:r w:rsidR="00F12117" w:rsidRPr="00C1177F">
        <w:t>accompanying</w:t>
      </w:r>
      <w:r w:rsidR="00F12117">
        <w:t xml:space="preserve"> </w:t>
      </w:r>
      <w:r>
        <w:rPr>
          <w:lang w:val="en-US"/>
        </w:rPr>
        <w:t>statement of claim must be filed in the court and a sealed copy then served on each defendant.</w:t>
      </w:r>
    </w:p>
    <w:p w14:paraId="2C0AB5EA" w14:textId="58D98398" w:rsidR="003D4FF5" w:rsidRDefault="003D4FF5" w:rsidP="00A11C5A">
      <w:pPr>
        <w:pStyle w:val="Amain"/>
        <w:keepNext/>
        <w:keepLines/>
      </w:pPr>
      <w:r>
        <w:tab/>
        <w:t>(2)</w:t>
      </w:r>
      <w:r>
        <w:tab/>
        <w:t xml:space="preserve">The originating claim and </w:t>
      </w:r>
      <w:r w:rsidR="00F12117" w:rsidRPr="00C1177F">
        <w:t>accompanying</w:t>
      </w:r>
      <w:r w:rsidR="00F12117">
        <w:t xml:space="preserve"> </w:t>
      </w:r>
      <w:r>
        <w:t>statement of claim must be served personally on each defendant, unless otherwise provided by these rules.</w:t>
      </w:r>
    </w:p>
    <w:p w14:paraId="31F18AF4" w14:textId="77777777"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1A6C8E48" w14:textId="77777777" w:rsidR="003D4FF5" w:rsidRDefault="003D4FF5" w:rsidP="003D4FF5">
      <w:pPr>
        <w:pStyle w:val="AH5Sec"/>
      </w:pPr>
      <w:bookmarkStart w:id="38" w:name="_Toc185513655"/>
      <w:r w:rsidRPr="00C8328B">
        <w:rPr>
          <w:rStyle w:val="CharSectNo"/>
        </w:rPr>
        <w:t>55</w:t>
      </w:r>
      <w:r>
        <w:tab/>
        <w:t>Originating claim—abandonment of excess in Magistrates Court</w:t>
      </w:r>
      <w:bookmarkEnd w:id="38"/>
    </w:p>
    <w:p w14:paraId="519B1940" w14:textId="77777777" w:rsidR="003D4FF5" w:rsidRDefault="003D4FF5" w:rsidP="003D4FF5">
      <w:pPr>
        <w:pStyle w:val="Amain"/>
      </w:pPr>
      <w:r>
        <w:tab/>
        <w:t>(1)</w:t>
      </w:r>
      <w:r>
        <w:tab/>
        <w:t>This rule applies if a person has a cause of action against another person for more than $</w:t>
      </w:r>
      <w:r w:rsidRPr="00C53530">
        <w:t>250 000</w:t>
      </w:r>
      <w:r>
        <w:t>.</w:t>
      </w:r>
    </w:p>
    <w:p w14:paraId="462495D3" w14:textId="77777777" w:rsidR="003D4FF5" w:rsidRDefault="003D4FF5" w:rsidP="003D4FF5">
      <w:pPr>
        <w:pStyle w:val="Amain"/>
      </w:pPr>
      <w:r>
        <w:tab/>
        <w:t>(2)</w:t>
      </w:r>
      <w:r>
        <w:tab/>
        <w:t>The person may start a proceeding for the cause of action in the Magistrates Court if the person—</w:t>
      </w:r>
    </w:p>
    <w:p w14:paraId="049496DF" w14:textId="77777777" w:rsidR="003D4FF5" w:rsidRDefault="003D4FF5" w:rsidP="003D4FF5">
      <w:pPr>
        <w:pStyle w:val="Apara"/>
      </w:pPr>
      <w:r>
        <w:tab/>
        <w:t>(a)</w:t>
      </w:r>
      <w:r>
        <w:tab/>
        <w:t>abandons the excess and limits the claim to $</w:t>
      </w:r>
      <w:r w:rsidRPr="00C53530">
        <w:t>250 000</w:t>
      </w:r>
      <w:r>
        <w:t>; and</w:t>
      </w:r>
    </w:p>
    <w:p w14:paraId="536CACF9" w14:textId="77777777" w:rsidR="003D4FF5" w:rsidRDefault="003D4FF5" w:rsidP="003D4FF5">
      <w:pPr>
        <w:pStyle w:val="Apara"/>
      </w:pPr>
      <w:r>
        <w:tab/>
        <w:t>(b)</w:t>
      </w:r>
      <w:r>
        <w:tab/>
        <w:t>states in the claim that the excess is abandoned.</w:t>
      </w:r>
    </w:p>
    <w:p w14:paraId="0B349CA2" w14:textId="77777777" w:rsidR="003D4FF5" w:rsidRDefault="003D4FF5" w:rsidP="003D4FF5">
      <w:pPr>
        <w:pStyle w:val="Amain"/>
      </w:pPr>
      <w:r>
        <w:tab/>
        <w:t>(3)</w:t>
      </w:r>
      <w:r>
        <w:tab/>
        <w:t>Judgment in a proceeding under this rule—</w:t>
      </w:r>
    </w:p>
    <w:p w14:paraId="7C69B3F6" w14:textId="77777777" w:rsidR="003D4FF5" w:rsidRDefault="003D4FF5" w:rsidP="003D4FF5">
      <w:pPr>
        <w:pStyle w:val="Apara"/>
      </w:pPr>
      <w:r>
        <w:tab/>
        <w:t>(a)</w:t>
      </w:r>
      <w:r>
        <w:tab/>
        <w:t>is in full discharge of all demands in relation to the cause of action; and</w:t>
      </w:r>
    </w:p>
    <w:p w14:paraId="7E29DEA6" w14:textId="77777777" w:rsidR="003D4FF5" w:rsidRDefault="003D4FF5" w:rsidP="003D4FF5">
      <w:pPr>
        <w:pStyle w:val="Apara"/>
      </w:pPr>
      <w:r>
        <w:tab/>
        <w:t>(b)</w:t>
      </w:r>
      <w:r>
        <w:tab/>
        <w:t>must record the abandonment.</w:t>
      </w:r>
    </w:p>
    <w:p w14:paraId="274F70EE" w14:textId="77777777" w:rsidR="003D4FF5" w:rsidRPr="00C8328B" w:rsidRDefault="003D4FF5" w:rsidP="003D4FF5">
      <w:pPr>
        <w:pStyle w:val="AH3Div"/>
      </w:pPr>
      <w:bookmarkStart w:id="39" w:name="_Toc185513656"/>
      <w:r w:rsidRPr="00C8328B">
        <w:rPr>
          <w:rStyle w:val="CharDivNo"/>
        </w:rPr>
        <w:lastRenderedPageBreak/>
        <w:t>Division 2.2.3</w:t>
      </w:r>
      <w:r>
        <w:tab/>
      </w:r>
      <w:r w:rsidRPr="00C8328B">
        <w:rPr>
          <w:rStyle w:val="CharDivText"/>
        </w:rPr>
        <w:t>Originating applications</w:t>
      </w:r>
      <w:bookmarkEnd w:id="39"/>
    </w:p>
    <w:p w14:paraId="2DAC2038" w14:textId="77777777" w:rsidR="003D4FF5" w:rsidRDefault="003D4FF5" w:rsidP="003D4FF5">
      <w:pPr>
        <w:pStyle w:val="AH5Sec"/>
        <w:rPr>
          <w:lang w:val="en-US"/>
        </w:rPr>
      </w:pPr>
      <w:bookmarkStart w:id="40" w:name="_Toc185513657"/>
      <w:r w:rsidRPr="00C8328B">
        <w:rPr>
          <w:rStyle w:val="CharSectNo"/>
        </w:rPr>
        <w:t>60</w:t>
      </w:r>
      <w:r>
        <w:rPr>
          <w:lang w:val="en-US"/>
        </w:rPr>
        <w:tab/>
        <w:t>Originating application—content etc</w:t>
      </w:r>
      <w:bookmarkEnd w:id="40"/>
    </w:p>
    <w:p w14:paraId="3F5CE24E" w14:textId="77777777"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14:paraId="69629BA2" w14:textId="4F615441" w:rsidR="003D4FF5" w:rsidRDefault="003D4FF5" w:rsidP="003D4FF5">
      <w:pPr>
        <w:pStyle w:val="aNote"/>
      </w:pPr>
      <w:r>
        <w:rPr>
          <w:rStyle w:val="charItals"/>
        </w:rPr>
        <w:t>Note</w:t>
      </w:r>
      <w:r>
        <w:tab/>
        <w:t xml:space="preserve">See approved form 2.7 (Originating application) </w:t>
      </w:r>
      <w:hyperlink r:id="rId48" w:history="1">
        <w:r w:rsidRPr="00283677">
          <w:rPr>
            <w:rStyle w:val="charCitHyperlinkAbbrev"/>
          </w:rPr>
          <w:t>AF2006-252</w:t>
        </w:r>
      </w:hyperlink>
      <w:r>
        <w:t>.</w:t>
      </w:r>
    </w:p>
    <w:p w14:paraId="06F972C4" w14:textId="77777777" w:rsidR="003D4FF5" w:rsidRDefault="003D4FF5" w:rsidP="003D4FF5">
      <w:pPr>
        <w:pStyle w:val="Amain"/>
        <w:keepNext/>
        <w:rPr>
          <w:lang w:val="en-US"/>
        </w:rPr>
      </w:pPr>
      <w:r>
        <w:rPr>
          <w:lang w:val="en-US"/>
        </w:rPr>
        <w:tab/>
        <w:t>(2)</w:t>
      </w:r>
      <w:r>
        <w:rPr>
          <w:lang w:val="en-US"/>
        </w:rPr>
        <w:tab/>
        <w:t>Subrule (1) does not apply if—</w:t>
      </w:r>
    </w:p>
    <w:p w14:paraId="2AB485AC" w14:textId="77777777"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14:paraId="6A78E15D" w14:textId="2882136D"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49" w:tooltip="A2001-14" w:history="1">
        <w:r w:rsidRPr="005A5F43">
          <w:rPr>
            <w:rStyle w:val="charCitHyperlinkAbbrev"/>
          </w:rPr>
          <w:t>Legislation Act</w:t>
        </w:r>
      </w:hyperlink>
      <w:r>
        <w:t>, s 98).</w:t>
      </w:r>
    </w:p>
    <w:p w14:paraId="3A6A8A5F" w14:textId="77777777" w:rsidR="003D4FF5" w:rsidRDefault="003D4FF5" w:rsidP="003D4FF5">
      <w:pPr>
        <w:pStyle w:val="Apara"/>
      </w:pPr>
      <w:r>
        <w:tab/>
        <w:t>(b)</w:t>
      </w:r>
      <w:r>
        <w:tab/>
        <w:t xml:space="preserve">the relief sought </w:t>
      </w:r>
      <w:r>
        <w:rPr>
          <w:lang w:val="en-US"/>
        </w:rPr>
        <w:t>in the application</w:t>
      </w:r>
      <w:r>
        <w:t xml:space="preserve"> is a declaration of right.</w:t>
      </w:r>
    </w:p>
    <w:p w14:paraId="244B3355" w14:textId="77777777"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14:paraId="73FD0F07" w14:textId="77777777"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14:paraId="4E3686DD" w14:textId="77777777"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14:paraId="1CE0A7ED" w14:textId="77777777"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14:paraId="7196E831" w14:textId="4847ACFF" w:rsidR="003D4FF5" w:rsidRDefault="003D4FF5" w:rsidP="003D4FF5">
      <w:pPr>
        <w:pStyle w:val="aNote"/>
        <w:rPr>
          <w:lang w:val="en-US"/>
        </w:rPr>
      </w:pPr>
      <w:r>
        <w:rPr>
          <w:rStyle w:val="charItals"/>
        </w:rPr>
        <w:t>Note</w:t>
      </w:r>
      <w:r>
        <w:rPr>
          <w:rStyle w:val="charItals"/>
        </w:rPr>
        <w:tab/>
      </w:r>
      <w:r>
        <w:rPr>
          <w:lang w:val="en-US"/>
        </w:rPr>
        <w:t xml:space="preserve">The </w:t>
      </w:r>
      <w:hyperlink r:id="rId50"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45568960" w14:textId="77777777" w:rsidR="003D4FF5" w:rsidRDefault="003D4FF5" w:rsidP="003D4FF5">
      <w:pPr>
        <w:pStyle w:val="Amain"/>
        <w:keepNext/>
      </w:pPr>
      <w:r>
        <w:tab/>
        <w:t>(7)</w:t>
      </w:r>
      <w:r>
        <w:tab/>
        <w:t>An originating application must state—</w:t>
      </w:r>
    </w:p>
    <w:p w14:paraId="23E0FF2B" w14:textId="77777777" w:rsidR="003D4FF5" w:rsidRDefault="003D4FF5" w:rsidP="003D4FF5">
      <w:pPr>
        <w:pStyle w:val="Apara"/>
      </w:pPr>
      <w:r>
        <w:tab/>
        <w:t>(a)</w:t>
      </w:r>
      <w:r>
        <w:tab/>
        <w:t>whether the plaintiff is represented by a solicitor; and</w:t>
      </w:r>
    </w:p>
    <w:p w14:paraId="09A9DF8E" w14:textId="77777777" w:rsidR="003D4FF5" w:rsidRDefault="003D4FF5" w:rsidP="003D4FF5">
      <w:pPr>
        <w:pStyle w:val="Apara"/>
      </w:pPr>
      <w:r>
        <w:tab/>
        <w:t>(b)</w:t>
      </w:r>
      <w:r>
        <w:tab/>
        <w:t>if the plaintiff is represented by a solicitor—the name of the solicitor; and</w:t>
      </w:r>
    </w:p>
    <w:p w14:paraId="54F1F046" w14:textId="77777777" w:rsidR="003D4FF5" w:rsidRDefault="003D4FF5" w:rsidP="003D4FF5">
      <w:pPr>
        <w:pStyle w:val="Apara"/>
      </w:pPr>
      <w:r>
        <w:tab/>
        <w:t>(c)</w:t>
      </w:r>
      <w:r>
        <w:tab/>
        <w:t>the plaintiff’s address for service; and</w:t>
      </w:r>
    </w:p>
    <w:p w14:paraId="609B9547" w14:textId="77777777"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14:paraId="4BBABB8E" w14:textId="77777777"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14:paraId="55BA0C9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5D825DDD" w14:textId="77777777"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14:paraId="6D57D308" w14:textId="77777777"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14:paraId="5D47BB63" w14:textId="77777777"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14:paraId="23ECAAF2" w14:textId="77777777"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14:paraId="4966C18F" w14:textId="77777777" w:rsidR="003D4FF5" w:rsidRDefault="003D4FF5" w:rsidP="003D4FF5">
      <w:pPr>
        <w:pStyle w:val="aNoteBulletss"/>
      </w:pPr>
      <w:r>
        <w:rPr>
          <w:rFonts w:ascii="Symbol" w:hAnsi="Symbol"/>
        </w:rPr>
        <w:t></w:t>
      </w:r>
      <w:r>
        <w:rPr>
          <w:rFonts w:ascii="Symbol" w:hAnsi="Symbol"/>
        </w:rPr>
        <w:tab/>
      </w:r>
      <w:r>
        <w:t>r 3005 (6) (Grant of representation—application)</w:t>
      </w:r>
    </w:p>
    <w:p w14:paraId="061C54E8" w14:textId="77777777" w:rsidR="003D4FF5" w:rsidRDefault="003D4FF5" w:rsidP="003D4FF5">
      <w:pPr>
        <w:pStyle w:val="aNoteBulletss"/>
      </w:pPr>
      <w:r>
        <w:sym w:font="Symbol" w:char="F0B7"/>
      </w:r>
      <w:r>
        <w:tab/>
        <w:t>r 3020 (4) (Reseal of foreign grant—application)</w:t>
      </w:r>
    </w:p>
    <w:p w14:paraId="07F2067A" w14:textId="77777777" w:rsidR="003D4FF5" w:rsidRDefault="003D4FF5" w:rsidP="003D4FF5">
      <w:pPr>
        <w:pStyle w:val="aNoteBulletss"/>
      </w:pPr>
      <w:r>
        <w:sym w:font="Symbol" w:char="F0B7"/>
      </w:r>
      <w:r>
        <w:tab/>
        <w:t>r 3454 (4) (Foreign confiscation orders—proceedings for registration)</w:t>
      </w:r>
    </w:p>
    <w:p w14:paraId="6AEF20A7" w14:textId="77777777" w:rsidR="003D4FF5" w:rsidRDefault="003D4FF5" w:rsidP="003D4FF5">
      <w:pPr>
        <w:pStyle w:val="aNoteBulletss"/>
      </w:pPr>
      <w:r>
        <w:sym w:font="Symbol" w:char="F0B7"/>
      </w:r>
      <w:r>
        <w:tab/>
        <w:t>r 3463 (4) (Interstate confiscation orders—proceedings for registration)</w:t>
      </w:r>
    </w:p>
    <w:p w14:paraId="72C4988E" w14:textId="77777777" w:rsidR="003D4FF5" w:rsidRDefault="003D4FF5" w:rsidP="003D4FF5">
      <w:pPr>
        <w:pStyle w:val="aNoteBulletss"/>
      </w:pPr>
      <w:r>
        <w:sym w:font="Symbol" w:char="F0B7"/>
      </w:r>
      <w:r>
        <w:tab/>
        <w:t>r 3473 (4) (Foreign judgment—application for registration).</w:t>
      </w:r>
    </w:p>
    <w:p w14:paraId="7B1D8362" w14:textId="77777777" w:rsidR="003D4FF5" w:rsidRDefault="003D4FF5" w:rsidP="003D4FF5">
      <w:pPr>
        <w:pStyle w:val="AH5Sec"/>
        <w:rPr>
          <w:lang w:val="en-US"/>
        </w:rPr>
      </w:pPr>
      <w:bookmarkStart w:id="41" w:name="_Toc185513658"/>
      <w:r w:rsidRPr="00C8328B">
        <w:rPr>
          <w:rStyle w:val="CharSectNo"/>
        </w:rPr>
        <w:lastRenderedPageBreak/>
        <w:t>61</w:t>
      </w:r>
      <w:r>
        <w:rPr>
          <w:lang w:val="en-US"/>
        </w:rPr>
        <w:tab/>
        <w:t>Originating application—filing and service</w:t>
      </w:r>
      <w:bookmarkEnd w:id="41"/>
    </w:p>
    <w:p w14:paraId="364633EC" w14:textId="77777777"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14:paraId="3E42BF2C" w14:textId="77777777"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14:paraId="21ACDE0B" w14:textId="77777777"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14:paraId="7FCF046A" w14:textId="77777777"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14:paraId="43E94E18" w14:textId="77777777"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14:paraId="6865C4A9" w14:textId="77777777"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14:paraId="23366E59" w14:textId="77777777"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7A3415D5" w14:textId="77777777" w:rsidR="003D4FF5" w:rsidRDefault="003D4FF5" w:rsidP="00A11C5A">
      <w:pPr>
        <w:pStyle w:val="Amain"/>
      </w:pPr>
      <w:r>
        <w:tab/>
        <w:t>(4)</w:t>
      </w:r>
      <w:r>
        <w:tab/>
        <w:t>For an originating application for which there are no defendants, the court may order that the application be served on anyone the court directs.</w:t>
      </w:r>
    </w:p>
    <w:p w14:paraId="3B3693DA" w14:textId="77777777" w:rsidR="003D4FF5" w:rsidRDefault="003D4FF5" w:rsidP="003D4FF5">
      <w:pPr>
        <w:pStyle w:val="aExamHdgss"/>
      </w:pPr>
      <w:r>
        <w:t>Example</w:t>
      </w:r>
    </w:p>
    <w:p w14:paraId="37D2D542" w14:textId="77777777" w:rsidR="003D4FF5" w:rsidRDefault="003D4FF5" w:rsidP="00A11C5A">
      <w:pPr>
        <w:pStyle w:val="aExamINumss"/>
      </w:pPr>
      <w:r>
        <w:t>an originating application in which the relief sought is a declaration of right</w:t>
      </w:r>
    </w:p>
    <w:p w14:paraId="2E4C0E42" w14:textId="77777777"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14:paraId="36CBC62E" w14:textId="77777777" w:rsidR="003D4FF5" w:rsidRDefault="003D4FF5" w:rsidP="003D4FF5">
      <w:pPr>
        <w:pStyle w:val="aNote"/>
      </w:pPr>
      <w:r>
        <w:rPr>
          <w:rStyle w:val="charItals"/>
        </w:rPr>
        <w:t>Note</w:t>
      </w:r>
      <w:r>
        <w:rPr>
          <w:rStyle w:val="charItals"/>
        </w:rPr>
        <w:tab/>
      </w:r>
      <w:r>
        <w:t>Pt 6.2 (Applications in proceedings) applies to an application for a direction.</w:t>
      </w:r>
    </w:p>
    <w:p w14:paraId="427EA223" w14:textId="77777777" w:rsidR="003D4FF5" w:rsidRDefault="003D4FF5" w:rsidP="003D4FF5">
      <w:pPr>
        <w:pStyle w:val="AH5Sec"/>
        <w:rPr>
          <w:lang w:val="en-US"/>
        </w:rPr>
      </w:pPr>
      <w:bookmarkStart w:id="42" w:name="_Toc185513659"/>
      <w:r w:rsidRPr="00C8328B">
        <w:rPr>
          <w:rStyle w:val="CharSectNo"/>
        </w:rPr>
        <w:t>62</w:t>
      </w:r>
      <w:r>
        <w:rPr>
          <w:lang w:val="en-US"/>
        </w:rPr>
        <w:tab/>
      </w:r>
      <w:r>
        <w:t xml:space="preserve">When </w:t>
      </w:r>
      <w:r>
        <w:rPr>
          <w:lang w:val="en-US"/>
        </w:rPr>
        <w:t>originating application must be served</w:t>
      </w:r>
      <w:bookmarkEnd w:id="42"/>
    </w:p>
    <w:p w14:paraId="0F1EE0E0" w14:textId="77777777"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14:paraId="2EA5A1C8"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3C362C" w14:textId="77777777" w:rsidR="003D4FF5" w:rsidRDefault="003D4FF5" w:rsidP="003D4FF5">
      <w:pPr>
        <w:pStyle w:val="Amain"/>
        <w:keepNext/>
        <w:rPr>
          <w:lang w:val="en-US"/>
        </w:rPr>
      </w:pPr>
      <w:r>
        <w:rPr>
          <w:lang w:val="en-US"/>
        </w:rPr>
        <w:tab/>
        <w:t>(2)</w:t>
      </w:r>
      <w:r>
        <w:rPr>
          <w:lang w:val="en-US"/>
        </w:rPr>
        <w:tab/>
        <w:t>However, subrule (1) does not apply if—</w:t>
      </w:r>
    </w:p>
    <w:p w14:paraId="57F6F885" w14:textId="77777777"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14:paraId="38A8EB8C" w14:textId="0DA1A944"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1" w:tooltip="A2001-14" w:history="1">
        <w:r w:rsidRPr="005A5F43">
          <w:rPr>
            <w:rStyle w:val="charCitHyperlinkAbbrev"/>
          </w:rPr>
          <w:t>Legislation Act</w:t>
        </w:r>
      </w:hyperlink>
      <w:r>
        <w:t>, s 98).</w:t>
      </w:r>
    </w:p>
    <w:p w14:paraId="43611C8C" w14:textId="77777777"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14:paraId="7F90F3A8" w14:textId="77777777" w:rsidR="003D4FF5" w:rsidRDefault="003D4FF5" w:rsidP="003D4FF5">
      <w:pPr>
        <w:pStyle w:val="Apara"/>
        <w:rPr>
          <w:lang w:val="en-US"/>
        </w:rPr>
      </w:pPr>
      <w:r>
        <w:rPr>
          <w:lang w:val="en-US"/>
        </w:rPr>
        <w:tab/>
        <w:t>(c)</w:t>
      </w:r>
      <w:r>
        <w:rPr>
          <w:lang w:val="en-US"/>
        </w:rPr>
        <w:tab/>
        <w:t>another time is provided for under these rules; or</w:t>
      </w:r>
    </w:p>
    <w:p w14:paraId="76E07B33" w14:textId="77777777" w:rsidR="003D4FF5" w:rsidRDefault="003D4FF5" w:rsidP="003D4FF5">
      <w:pPr>
        <w:pStyle w:val="Apara"/>
        <w:keepNext/>
        <w:rPr>
          <w:lang w:val="en-US"/>
        </w:rPr>
      </w:pPr>
      <w:r>
        <w:rPr>
          <w:lang w:val="en-US"/>
        </w:rPr>
        <w:tab/>
        <w:t>(d)</w:t>
      </w:r>
      <w:r>
        <w:rPr>
          <w:lang w:val="en-US"/>
        </w:rPr>
        <w:tab/>
        <w:t>the court otherwise orders.</w:t>
      </w:r>
    </w:p>
    <w:p w14:paraId="1CE34772"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63893E4" w14:textId="77777777"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14:paraId="538E6380" w14:textId="77777777" w:rsidR="003D4FF5" w:rsidRDefault="003D4FF5" w:rsidP="003D4FF5">
      <w:pPr>
        <w:pStyle w:val="AH5Sec"/>
        <w:rPr>
          <w:lang w:val="en-US"/>
        </w:rPr>
      </w:pPr>
      <w:bookmarkStart w:id="43" w:name="_Toc185513660"/>
      <w:r w:rsidRPr="00C8328B">
        <w:rPr>
          <w:rStyle w:val="CharSectNo"/>
        </w:rPr>
        <w:t>63</w:t>
      </w:r>
      <w:r>
        <w:rPr>
          <w:lang w:val="en-US"/>
        </w:rPr>
        <w:tab/>
        <w:t>What happens if originating application not served in time</w:t>
      </w:r>
      <w:bookmarkEnd w:id="43"/>
    </w:p>
    <w:p w14:paraId="188BFEE4" w14:textId="77777777" w:rsidR="003D4FF5" w:rsidRDefault="003D4FF5" w:rsidP="003D4FF5">
      <w:pPr>
        <w:pStyle w:val="Amain"/>
        <w:keepNext/>
        <w:rPr>
          <w:lang w:val="en-US"/>
        </w:rPr>
      </w:pPr>
      <w:r>
        <w:rPr>
          <w:lang w:val="en-US"/>
        </w:rPr>
        <w:tab/>
        <w:t>(1)</w:t>
      </w:r>
      <w:r>
        <w:rPr>
          <w:lang w:val="en-US"/>
        </w:rPr>
        <w:tab/>
        <w:t>This rule applies if—</w:t>
      </w:r>
    </w:p>
    <w:p w14:paraId="4DBE3F0E" w14:textId="77777777" w:rsidR="003D4FF5" w:rsidRDefault="003D4FF5" w:rsidP="003D4FF5">
      <w:pPr>
        <w:pStyle w:val="Apara"/>
        <w:rPr>
          <w:lang w:val="en-US"/>
        </w:rPr>
      </w:pPr>
      <w:r>
        <w:rPr>
          <w:lang w:val="en-US"/>
        </w:rPr>
        <w:tab/>
        <w:t>(a)</w:t>
      </w:r>
      <w:r>
        <w:rPr>
          <w:lang w:val="en-US"/>
        </w:rPr>
        <w:tab/>
        <w:t>an originating application is served on a defendant; but</w:t>
      </w:r>
    </w:p>
    <w:p w14:paraId="1685C7D7" w14:textId="77777777"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14:paraId="25504F16"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14F6B984" w14:textId="77777777"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14:paraId="5837AB1C" w14:textId="77777777"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14:paraId="6AAC26D0" w14:textId="77777777"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14:paraId="6959EB00" w14:textId="77777777"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14:paraId="39995F5A" w14:textId="77777777"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14:paraId="4BEBDF4E" w14:textId="77777777" w:rsidR="003D4FF5" w:rsidRDefault="003D4FF5" w:rsidP="003D4FF5">
      <w:pPr>
        <w:pStyle w:val="aNote"/>
      </w:pPr>
      <w:r>
        <w:rPr>
          <w:rStyle w:val="charItals"/>
        </w:rPr>
        <w:t>Note</w:t>
      </w:r>
      <w:r>
        <w:rPr>
          <w:rStyle w:val="charItals"/>
        </w:rPr>
        <w:tab/>
      </w:r>
      <w:r>
        <w:t>Pt 6.2 (Applications in proceedings) applies to an application to set aside the order.</w:t>
      </w:r>
    </w:p>
    <w:p w14:paraId="32E2847C" w14:textId="77777777" w:rsidR="003D4FF5" w:rsidRDefault="003D4FF5" w:rsidP="003D4FF5">
      <w:pPr>
        <w:pStyle w:val="AH5Sec"/>
        <w:rPr>
          <w:lang w:val="en-US"/>
        </w:rPr>
      </w:pPr>
      <w:bookmarkStart w:id="44" w:name="_Toc185513661"/>
      <w:r w:rsidRPr="00C8328B">
        <w:rPr>
          <w:rStyle w:val="CharSectNo"/>
        </w:rPr>
        <w:t>64</w:t>
      </w:r>
      <w:r>
        <w:rPr>
          <w:lang w:val="en-US"/>
        </w:rPr>
        <w:tab/>
        <w:t>Originating application—filing and service of supporting affidavits</w:t>
      </w:r>
      <w:bookmarkEnd w:id="44"/>
    </w:p>
    <w:p w14:paraId="37015806" w14:textId="77777777"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14:paraId="499AA2E4" w14:textId="77777777"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14:paraId="4C67CDF5"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455514A2" w14:textId="77777777" w:rsidR="003D4FF5" w:rsidRPr="00C8328B" w:rsidRDefault="003D4FF5" w:rsidP="003D4FF5">
      <w:pPr>
        <w:pStyle w:val="AH3Div"/>
      </w:pPr>
      <w:bookmarkStart w:id="45" w:name="_Toc185513662"/>
      <w:r w:rsidRPr="00C8328B">
        <w:rPr>
          <w:rStyle w:val="CharDivNo"/>
        </w:rPr>
        <w:t>Division 2.2.4</w:t>
      </w:r>
      <w:r>
        <w:tab/>
      </w:r>
      <w:r w:rsidRPr="00C8328B">
        <w:rPr>
          <w:rStyle w:val="CharDivText"/>
        </w:rPr>
        <w:t>Rules about originating process</w:t>
      </w:r>
      <w:bookmarkEnd w:id="45"/>
    </w:p>
    <w:p w14:paraId="6C056284" w14:textId="77777777" w:rsidR="003D4FF5" w:rsidRDefault="003D4FF5" w:rsidP="003D4FF5">
      <w:pPr>
        <w:pStyle w:val="AH5Sec"/>
      </w:pPr>
      <w:bookmarkStart w:id="46" w:name="_Toc185513663"/>
      <w:r w:rsidRPr="00C8328B">
        <w:rPr>
          <w:rStyle w:val="CharSectNo"/>
        </w:rPr>
        <w:t>70</w:t>
      </w:r>
      <w:r>
        <w:tab/>
        <w:t>Originating process to be sealed</w:t>
      </w:r>
      <w:bookmarkEnd w:id="46"/>
    </w:p>
    <w:p w14:paraId="25A14FBA" w14:textId="574E3EA5" w:rsidR="003D4FF5" w:rsidRDefault="003D4FF5" w:rsidP="003D4FF5">
      <w:pPr>
        <w:pStyle w:val="Amainreturn"/>
        <w:keepNext/>
      </w:pPr>
      <w:r>
        <w:t xml:space="preserve">The registrar must seal </w:t>
      </w:r>
      <w:r w:rsidR="00F12117" w:rsidRPr="00C1177F">
        <w:t>an originating process and any filed copies of the</w:t>
      </w:r>
      <w:r>
        <w:t xml:space="preserve"> originating process.</w:t>
      </w:r>
    </w:p>
    <w:p w14:paraId="387C4A18"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1333450D" w14:textId="77777777" w:rsidR="003D4FF5" w:rsidRDefault="003D4FF5" w:rsidP="003D4FF5">
      <w:pPr>
        <w:pStyle w:val="AH5Sec"/>
      </w:pPr>
      <w:bookmarkStart w:id="47" w:name="_Toc185513664"/>
      <w:r w:rsidRPr="00C8328B">
        <w:rPr>
          <w:rStyle w:val="CharSectNo"/>
        </w:rPr>
        <w:lastRenderedPageBreak/>
        <w:t>71</w:t>
      </w:r>
      <w:r>
        <w:tab/>
        <w:t>Numbering etc of proceedings</w:t>
      </w:r>
      <w:bookmarkEnd w:id="47"/>
    </w:p>
    <w:p w14:paraId="30ECBE65" w14:textId="77777777" w:rsidR="003D4FF5" w:rsidRDefault="003D4FF5" w:rsidP="003D4FF5">
      <w:pPr>
        <w:pStyle w:val="Amain"/>
      </w:pPr>
      <w:r>
        <w:tab/>
        <w:t>(1)</w:t>
      </w:r>
      <w:r>
        <w:tab/>
        <w:t>When an originating process is sealed, the registrar must give a distinguishing number or other unique identifier to the proceeding started by the process.</w:t>
      </w:r>
    </w:p>
    <w:p w14:paraId="0550E4CA" w14:textId="6FC624CB" w:rsidR="003D4FF5" w:rsidRDefault="003D4FF5" w:rsidP="003D4FF5">
      <w:pPr>
        <w:pStyle w:val="Amain"/>
      </w:pPr>
      <w:r>
        <w:tab/>
        <w:t>(2)</w:t>
      </w:r>
      <w:r>
        <w:tab/>
        <w:t xml:space="preserve">The registrar must ensure that the </w:t>
      </w:r>
      <w:r w:rsidR="00040F03" w:rsidRPr="00C1177F">
        <w:t>originating process</w:t>
      </w:r>
      <w:r w:rsidR="00040F03">
        <w:t xml:space="preserve"> </w:t>
      </w:r>
      <w:r>
        <w:t>and each copy sealed under rule 70 is endorsed with—</w:t>
      </w:r>
    </w:p>
    <w:p w14:paraId="0B65C06D" w14:textId="77777777" w:rsidR="003D4FF5" w:rsidRDefault="003D4FF5" w:rsidP="003D4FF5">
      <w:pPr>
        <w:pStyle w:val="Apara"/>
      </w:pPr>
      <w:r>
        <w:tab/>
        <w:t>(a)</w:t>
      </w:r>
      <w:r>
        <w:tab/>
        <w:t>the distinguishing number or other unique identifier given to the proceeding; and</w:t>
      </w:r>
    </w:p>
    <w:p w14:paraId="5993BB10" w14:textId="77777777" w:rsidR="003D4FF5" w:rsidRDefault="003D4FF5" w:rsidP="003D4FF5">
      <w:pPr>
        <w:pStyle w:val="Apara"/>
        <w:keepNext/>
      </w:pPr>
      <w:r>
        <w:tab/>
        <w:t>(b)</w:t>
      </w:r>
      <w:r>
        <w:tab/>
        <w:t>the date when—</w:t>
      </w:r>
    </w:p>
    <w:p w14:paraId="137C27C3" w14:textId="77777777" w:rsidR="003D4FF5" w:rsidRDefault="003D4FF5" w:rsidP="003D4FF5">
      <w:pPr>
        <w:pStyle w:val="Asubpara"/>
      </w:pPr>
      <w:r>
        <w:tab/>
        <w:t>(i)</w:t>
      </w:r>
      <w:r>
        <w:tab/>
        <w:t>the process was filed in the court; or</w:t>
      </w:r>
    </w:p>
    <w:p w14:paraId="1D0E1A3E" w14:textId="77777777" w:rsidR="003D4FF5" w:rsidRDefault="003D4FF5" w:rsidP="003D4FF5">
      <w:pPr>
        <w:pStyle w:val="Asubpara"/>
        <w:keepNext/>
      </w:pPr>
      <w:r>
        <w:tab/>
        <w:t>(ii)</w:t>
      </w:r>
      <w:r>
        <w:tab/>
        <w:t>if the proceeding was started by an oral originating application—the application was made.</w:t>
      </w:r>
    </w:p>
    <w:p w14:paraId="41116B0E" w14:textId="77777777" w:rsidR="003D4FF5" w:rsidRDefault="003D4FF5" w:rsidP="003D4FF5">
      <w:pPr>
        <w:pStyle w:val="aNote"/>
      </w:pPr>
      <w:r>
        <w:rPr>
          <w:rStyle w:val="charItals"/>
        </w:rPr>
        <w:t>Note</w:t>
      </w:r>
      <w:r>
        <w:rPr>
          <w:rStyle w:val="charItals"/>
        </w:rPr>
        <w:tab/>
      </w:r>
      <w:r>
        <w:t>See r 37 (When oral originating application may be made in Supreme Court).</w:t>
      </w:r>
    </w:p>
    <w:p w14:paraId="5444CA35" w14:textId="77777777" w:rsidR="003D4FF5" w:rsidRDefault="003D4FF5" w:rsidP="003D4FF5">
      <w:pPr>
        <w:pStyle w:val="AH5Sec"/>
      </w:pPr>
      <w:bookmarkStart w:id="48" w:name="_Toc185513665"/>
      <w:r w:rsidRPr="00C8328B">
        <w:rPr>
          <w:rStyle w:val="CharSectNo"/>
        </w:rPr>
        <w:t>72</w:t>
      </w:r>
      <w:r>
        <w:tab/>
        <w:t>Originating process—solicitor’s statement about filing</w:t>
      </w:r>
      <w:bookmarkEnd w:id="48"/>
    </w:p>
    <w:p w14:paraId="6E0E3016" w14:textId="77777777" w:rsidR="003D4FF5" w:rsidRDefault="003D4FF5" w:rsidP="003D4FF5">
      <w:pPr>
        <w:pStyle w:val="Amain"/>
      </w:pPr>
      <w:r>
        <w:tab/>
        <w:t>(1)</w:t>
      </w:r>
      <w:r>
        <w:tab/>
        <w:t>This rule applies if—</w:t>
      </w:r>
    </w:p>
    <w:p w14:paraId="3157BE38" w14:textId="77777777" w:rsidR="003D4FF5" w:rsidRDefault="003D4FF5" w:rsidP="003D4FF5">
      <w:pPr>
        <w:pStyle w:val="Apara"/>
      </w:pPr>
      <w:r>
        <w:tab/>
        <w:t>(a)</w:t>
      </w:r>
      <w:r>
        <w:tab/>
        <w:t>it appears from an originating process that the plaintiff is represented by a solicitor; and</w:t>
      </w:r>
    </w:p>
    <w:p w14:paraId="0E29387F" w14:textId="77777777" w:rsidR="003D4FF5" w:rsidRDefault="003D4FF5" w:rsidP="003D4FF5">
      <w:pPr>
        <w:pStyle w:val="Apara"/>
      </w:pPr>
      <w:r>
        <w:tab/>
        <w:t>(b)</w:t>
      </w:r>
      <w:r>
        <w:tab/>
        <w:t>a defendant to the proceeding asks the solicitor in writing whether the process was filed by the solicitor.</w:t>
      </w:r>
    </w:p>
    <w:p w14:paraId="5E6924EB" w14:textId="77777777" w:rsidR="003D4FF5" w:rsidRDefault="003D4FF5" w:rsidP="003D4FF5">
      <w:pPr>
        <w:pStyle w:val="Amain"/>
      </w:pPr>
      <w:r>
        <w:tab/>
        <w:t>(2)</w:t>
      </w:r>
      <w:r>
        <w:tab/>
        <w:t>The solicitor must tell the defendant in writing whether the process was filed in the court by the solicitor.</w:t>
      </w:r>
    </w:p>
    <w:p w14:paraId="02BA41D6" w14:textId="77777777" w:rsidR="003D4FF5" w:rsidRDefault="003D4FF5" w:rsidP="003D4FF5">
      <w:pPr>
        <w:pStyle w:val="Amain"/>
        <w:keepNext/>
      </w:pPr>
      <w:r>
        <w:tab/>
        <w:t>(3)</w:t>
      </w:r>
      <w:r>
        <w:tab/>
        <w:t>If the solicitor tells the defendant that the solicitor did not file the process, the defendant may apply to the court to stay the proceeding.</w:t>
      </w:r>
    </w:p>
    <w:p w14:paraId="3E7C68E3" w14:textId="77777777" w:rsidR="003D4FF5" w:rsidRDefault="003D4FF5" w:rsidP="003D4FF5">
      <w:pPr>
        <w:pStyle w:val="aNote"/>
      </w:pPr>
      <w:r>
        <w:rPr>
          <w:rStyle w:val="charItals"/>
        </w:rPr>
        <w:t>Note</w:t>
      </w:r>
      <w:r>
        <w:rPr>
          <w:rStyle w:val="charItals"/>
        </w:rPr>
        <w:tab/>
      </w:r>
      <w:r>
        <w:t>Pt 6.2 (Applications in proceedings) applies to an application to stay the proceeding.</w:t>
      </w:r>
    </w:p>
    <w:p w14:paraId="45D0A482" w14:textId="77777777" w:rsidR="003D4FF5" w:rsidRDefault="003D4FF5" w:rsidP="003D4FF5">
      <w:pPr>
        <w:pStyle w:val="Amain"/>
      </w:pPr>
      <w:r>
        <w:tab/>
        <w:t>(4)</w:t>
      </w:r>
      <w:r>
        <w:tab/>
        <w:t>On the defendant’s application, the court may stay the proceeding.</w:t>
      </w:r>
    </w:p>
    <w:p w14:paraId="7043EA1D" w14:textId="77777777" w:rsidR="003D4FF5" w:rsidRDefault="003D4FF5" w:rsidP="003D4FF5">
      <w:pPr>
        <w:pStyle w:val="AH5Sec"/>
        <w:rPr>
          <w:lang w:val="en-US"/>
        </w:rPr>
      </w:pPr>
      <w:bookmarkStart w:id="49" w:name="_Toc185513666"/>
      <w:r w:rsidRPr="00C8328B">
        <w:rPr>
          <w:rStyle w:val="CharSectNo"/>
        </w:rPr>
        <w:lastRenderedPageBreak/>
        <w:t>73</w:t>
      </w:r>
      <w:r>
        <w:rPr>
          <w:lang w:val="en-US"/>
        </w:rPr>
        <w:tab/>
        <w:t>Defendant taken to be served by filing notice of intention to respond or defence</w:t>
      </w:r>
      <w:bookmarkEnd w:id="49"/>
    </w:p>
    <w:p w14:paraId="78794109" w14:textId="77777777"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14:paraId="5EC0E2B0" w14:textId="77777777"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14:paraId="28C573D9" w14:textId="77777777" w:rsidR="003D4FF5" w:rsidRDefault="003D4FF5" w:rsidP="003D4FF5">
      <w:pPr>
        <w:pStyle w:val="AH5Sec"/>
        <w:rPr>
          <w:lang w:val="en-US"/>
        </w:rPr>
      </w:pPr>
      <w:bookmarkStart w:id="50" w:name="_Toc185513667"/>
      <w:r w:rsidRPr="00C8328B">
        <w:rPr>
          <w:rStyle w:val="CharSectNo"/>
        </w:rPr>
        <w:t>74</w:t>
      </w:r>
      <w:r>
        <w:rPr>
          <w:lang w:val="en-US"/>
        </w:rPr>
        <w:tab/>
      </w:r>
      <w:r>
        <w:t>Originating process—</w:t>
      </w:r>
      <w:r>
        <w:rPr>
          <w:lang w:val="en-US"/>
        </w:rPr>
        <w:t>duration and renewal</w:t>
      </w:r>
      <w:bookmarkEnd w:id="50"/>
    </w:p>
    <w:p w14:paraId="39FA139D" w14:textId="77777777"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14:paraId="49CF4853" w14:textId="77777777"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14:paraId="30166D46" w14:textId="77777777"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14:paraId="676AD717" w14:textId="77777777"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14:paraId="08CA8432" w14:textId="77777777" w:rsidR="003D4FF5" w:rsidRDefault="003D4FF5" w:rsidP="003D4FF5">
      <w:pPr>
        <w:pStyle w:val="Amain"/>
        <w:rPr>
          <w:lang w:val="en-US"/>
        </w:rPr>
      </w:pPr>
      <w:r>
        <w:rPr>
          <w:lang w:val="en-US"/>
        </w:rPr>
        <w:tab/>
        <w:t>(4)</w:t>
      </w:r>
      <w:r>
        <w:rPr>
          <w:lang w:val="en-US"/>
        </w:rPr>
        <w:tab/>
        <w:t>The originating process may be renewed whether or not it is valid for service.</w:t>
      </w:r>
    </w:p>
    <w:p w14:paraId="5C3E28C9" w14:textId="77777777"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14:paraId="57AF90D1" w14:textId="77777777"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14:paraId="05538E0D" w14:textId="77777777"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14:paraId="717D4051" w14:textId="77777777" w:rsidR="003D4FF5" w:rsidRPr="00BB65FC" w:rsidRDefault="003D4FF5" w:rsidP="003D4FF5">
      <w:pPr>
        <w:pStyle w:val="AH5Sec"/>
        <w:rPr>
          <w:lang w:val="en-US"/>
        </w:rPr>
      </w:pPr>
      <w:bookmarkStart w:id="51" w:name="_Toc185513668"/>
      <w:r w:rsidRPr="00C8328B">
        <w:rPr>
          <w:rStyle w:val="CharSectNo"/>
        </w:rPr>
        <w:t>75</w:t>
      </w:r>
      <w:r w:rsidRPr="00BB65FC">
        <w:tab/>
      </w:r>
      <w:r w:rsidRPr="00BB65FC">
        <w:rPr>
          <w:lang w:val="en-US"/>
        </w:rPr>
        <w:t>When proceeding taken to be dismissed</w:t>
      </w:r>
      <w:bookmarkEnd w:id="51"/>
    </w:p>
    <w:p w14:paraId="6D195B15" w14:textId="77777777"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14:paraId="00C837FB" w14:textId="77777777"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14:paraId="1C185BB2" w14:textId="77777777" w:rsidR="003D4FF5" w:rsidRDefault="003D4FF5" w:rsidP="003D4FF5">
      <w:pPr>
        <w:pStyle w:val="Apara"/>
      </w:pPr>
      <w:r>
        <w:tab/>
        <w:t>(b)</w:t>
      </w:r>
      <w:r>
        <w:tab/>
        <w:t>at the end of 1 year after the day the originating process is served on the defendant—</w:t>
      </w:r>
    </w:p>
    <w:p w14:paraId="6D828864" w14:textId="77777777" w:rsidR="003D4FF5" w:rsidRDefault="003D4FF5" w:rsidP="003D4FF5">
      <w:pPr>
        <w:pStyle w:val="Asubpara"/>
      </w:pPr>
      <w:r>
        <w:tab/>
        <w:t>(i)</w:t>
      </w:r>
      <w:r>
        <w:tab/>
        <w:t>a notice of intention to respond or defence has not been filed in the court by the defendant; and</w:t>
      </w:r>
    </w:p>
    <w:p w14:paraId="43B749AB" w14:textId="77777777" w:rsidR="003D4FF5" w:rsidRDefault="003D4FF5" w:rsidP="003D4FF5">
      <w:pPr>
        <w:pStyle w:val="Asubpara"/>
      </w:pPr>
      <w:r>
        <w:tab/>
        <w:t>(ii)</w:t>
      </w:r>
      <w:r>
        <w:tab/>
        <w:t>judgment has not been entered in relation to the defendant; and</w:t>
      </w:r>
    </w:p>
    <w:p w14:paraId="6992058D" w14:textId="77777777" w:rsidR="003D4FF5" w:rsidRDefault="003D4FF5" w:rsidP="003D4FF5">
      <w:pPr>
        <w:pStyle w:val="Asubpara"/>
      </w:pPr>
      <w:r>
        <w:tab/>
        <w:t>(iii)</w:t>
      </w:r>
      <w:r>
        <w:tab/>
        <w:t>the proceeding has not otherwise been disposed of in relation to the defendant.</w:t>
      </w:r>
    </w:p>
    <w:p w14:paraId="21EBE9A9" w14:textId="77777777"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14:paraId="726FC066" w14:textId="77777777" w:rsidR="003D4FF5" w:rsidRDefault="003D4FF5" w:rsidP="003D4FF5">
      <w:pPr>
        <w:pStyle w:val="Amain"/>
      </w:pPr>
      <w:r>
        <w:tab/>
        <w:t>(3)</w:t>
      </w:r>
      <w:r>
        <w:tab/>
        <w:t>For subrule (2), the filing in the court of a notice of intention to proceed in relation to a proceeding is taken to be a step in the proceeding.</w:t>
      </w:r>
    </w:p>
    <w:p w14:paraId="4434F840" w14:textId="7CE6A745" w:rsidR="003D4FF5" w:rsidRDefault="003D4FF5" w:rsidP="003D4FF5">
      <w:pPr>
        <w:pStyle w:val="aNote"/>
      </w:pPr>
      <w:r>
        <w:rPr>
          <w:rStyle w:val="charItals"/>
        </w:rPr>
        <w:t>Note</w:t>
      </w:r>
      <w:r>
        <w:rPr>
          <w:rStyle w:val="charItals"/>
        </w:rPr>
        <w:tab/>
      </w:r>
      <w:r>
        <w:t xml:space="preserve">See approved form 2.84 (Notice of intention to proceed) </w:t>
      </w:r>
      <w:hyperlink r:id="rId52" w:history="1">
        <w:r w:rsidRPr="00283677">
          <w:rPr>
            <w:rStyle w:val="charCitHyperlinkAbbrev"/>
          </w:rPr>
          <w:t>AF2008-3</w:t>
        </w:r>
      </w:hyperlink>
      <w:r>
        <w:t>.</w:t>
      </w:r>
    </w:p>
    <w:p w14:paraId="3F247801" w14:textId="77777777"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14:paraId="751CA683" w14:textId="77777777" w:rsidR="003D4FF5" w:rsidRDefault="003D4FF5" w:rsidP="003D4FF5">
      <w:pPr>
        <w:pStyle w:val="aExamHdgss"/>
      </w:pPr>
      <w:r>
        <w:t>Example</w:t>
      </w:r>
    </w:p>
    <w:p w14:paraId="672CDBDC" w14:textId="77777777"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14:paraId="36703C9A" w14:textId="77777777" w:rsidR="00AE72B5" w:rsidRPr="00541115" w:rsidRDefault="00AE72B5" w:rsidP="00AE72B5">
      <w:pPr>
        <w:pStyle w:val="Amain"/>
      </w:pPr>
      <w:r w:rsidRPr="00541115">
        <w:tab/>
        <w:t>(5)</w:t>
      </w:r>
      <w:r w:rsidRPr="00541115">
        <w:tab/>
        <w:t>If a proceeding is taken to be dismissed in relation to a defendant under subrule (1) or (2), the plaintiff must pay the costs of the defendant.</w:t>
      </w:r>
    </w:p>
    <w:p w14:paraId="0AD1C0C2" w14:textId="77777777" w:rsidR="00AE72B5" w:rsidRPr="00541115" w:rsidRDefault="00AE72B5" w:rsidP="00AE72B5">
      <w:pPr>
        <w:pStyle w:val="Amain"/>
      </w:pPr>
      <w:r w:rsidRPr="00541115">
        <w:tab/>
        <w:t>(6)</w:t>
      </w:r>
      <w:r w:rsidRPr="00541115">
        <w:tab/>
        <w:t>Unless the court otherwise orders, subrule (5) does not apply if the proceeding is reinstated under rule 76.</w:t>
      </w:r>
    </w:p>
    <w:p w14:paraId="3EFB72E5" w14:textId="77777777" w:rsidR="003D4FF5" w:rsidRPr="00BB65FC" w:rsidRDefault="003D4FF5" w:rsidP="003D4FF5">
      <w:pPr>
        <w:pStyle w:val="AH5Sec"/>
      </w:pPr>
      <w:bookmarkStart w:id="52" w:name="_Toc185513669"/>
      <w:r w:rsidRPr="00C8328B">
        <w:rPr>
          <w:rStyle w:val="CharSectNo"/>
        </w:rPr>
        <w:t>76</w:t>
      </w:r>
      <w:r w:rsidRPr="00BB65FC">
        <w:rPr>
          <w:lang w:val="en-US"/>
        </w:rPr>
        <w:tab/>
      </w:r>
      <w:r w:rsidRPr="00BB65FC">
        <w:t>Reinstating dismissed proceeding</w:t>
      </w:r>
      <w:bookmarkEnd w:id="52"/>
    </w:p>
    <w:p w14:paraId="4F738B37" w14:textId="77777777"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14:paraId="1EB09686" w14:textId="77777777" w:rsidR="003D4FF5" w:rsidRDefault="003D4FF5" w:rsidP="003D4FF5">
      <w:pPr>
        <w:pStyle w:val="aNote"/>
      </w:pPr>
      <w:r>
        <w:rPr>
          <w:rStyle w:val="charItals"/>
        </w:rPr>
        <w:t>Note</w:t>
      </w:r>
      <w:r>
        <w:rPr>
          <w:rStyle w:val="charItals"/>
        </w:rPr>
        <w:tab/>
      </w:r>
      <w:r>
        <w:t>Pt 6.2 (Applications in proceedings) applies to an application to reinstate the proceeding.</w:t>
      </w:r>
    </w:p>
    <w:p w14:paraId="778B487A" w14:textId="77777777" w:rsidR="003D4FF5" w:rsidRDefault="003D4FF5" w:rsidP="003D4FF5">
      <w:pPr>
        <w:pStyle w:val="Amain"/>
      </w:pPr>
      <w:r>
        <w:tab/>
        <w:t>(2)</w:t>
      </w:r>
      <w:r>
        <w:tab/>
        <w:t>The court may reinstate the proceeding if it is in the interests of justice to reinstate the proceeding.</w:t>
      </w:r>
    </w:p>
    <w:p w14:paraId="35685A32" w14:textId="77777777"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14:paraId="7F58FCF6" w14:textId="77777777"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14:paraId="13ED708A" w14:textId="77777777"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14:paraId="17032BB0" w14:textId="77777777"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14:paraId="6FAFB256" w14:textId="77777777" w:rsidR="003D4FF5" w:rsidRDefault="003D4FF5" w:rsidP="003D4FF5">
      <w:pPr>
        <w:pStyle w:val="PageBreak"/>
      </w:pPr>
      <w:r>
        <w:br w:type="page"/>
      </w:r>
    </w:p>
    <w:p w14:paraId="42597E4F" w14:textId="77777777" w:rsidR="003D4FF5" w:rsidRPr="00C8328B" w:rsidRDefault="003D4FF5" w:rsidP="003D4FF5">
      <w:pPr>
        <w:pStyle w:val="AH2Part"/>
      </w:pPr>
      <w:bookmarkStart w:id="53" w:name="_Toc185513670"/>
      <w:r w:rsidRPr="00C8328B">
        <w:rPr>
          <w:rStyle w:val="CharPartNo"/>
        </w:rPr>
        <w:lastRenderedPageBreak/>
        <w:t>Part 2.3</w:t>
      </w:r>
      <w:r>
        <w:tab/>
      </w:r>
      <w:r w:rsidRPr="00C8328B">
        <w:rPr>
          <w:rStyle w:val="CharPartText"/>
        </w:rPr>
        <w:t>Notice of intention to respond and defence</w:t>
      </w:r>
      <w:bookmarkEnd w:id="53"/>
    </w:p>
    <w:p w14:paraId="7E4F7A48" w14:textId="77777777" w:rsidR="003D4FF5" w:rsidRPr="00C8328B" w:rsidRDefault="003D4FF5" w:rsidP="003D4FF5">
      <w:pPr>
        <w:pStyle w:val="AH3Div"/>
      </w:pPr>
      <w:bookmarkStart w:id="54" w:name="_Toc185513671"/>
      <w:r w:rsidRPr="00C8328B">
        <w:rPr>
          <w:rStyle w:val="CharDivNo"/>
        </w:rPr>
        <w:t>Division 2.3.1</w:t>
      </w:r>
      <w:r>
        <w:tab/>
      </w:r>
      <w:r w:rsidRPr="00C8328B">
        <w:rPr>
          <w:rStyle w:val="CharDivText"/>
        </w:rPr>
        <w:t>Notice of intention to respond and defence—general</w:t>
      </w:r>
      <w:bookmarkEnd w:id="54"/>
    </w:p>
    <w:p w14:paraId="4A131757" w14:textId="77777777" w:rsidR="003D4FF5" w:rsidRDefault="003D4FF5" w:rsidP="003D4FF5">
      <w:pPr>
        <w:pStyle w:val="AH5Sec"/>
        <w:rPr>
          <w:lang w:val="en-US"/>
        </w:rPr>
      </w:pPr>
      <w:bookmarkStart w:id="55" w:name="_Toc185513672"/>
      <w:r w:rsidRPr="00C8328B">
        <w:rPr>
          <w:rStyle w:val="CharSectNo"/>
        </w:rPr>
        <w:t>100</w:t>
      </w:r>
      <w:r>
        <w:rPr>
          <w:lang w:val="en-US"/>
        </w:rPr>
        <w:tab/>
        <w:t>No step without notice of intention to respond or defence</w:t>
      </w:r>
      <w:bookmarkEnd w:id="55"/>
    </w:p>
    <w:p w14:paraId="59732FC2" w14:textId="77777777"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14:paraId="32FC066F" w14:textId="77777777" w:rsidR="003D4FF5" w:rsidRDefault="003D4FF5" w:rsidP="003D4FF5">
      <w:pPr>
        <w:pStyle w:val="Apara"/>
        <w:rPr>
          <w:lang w:val="en-US"/>
        </w:rPr>
      </w:pPr>
      <w:r>
        <w:rPr>
          <w:lang w:val="en-US"/>
        </w:rPr>
        <w:tab/>
        <w:t>(a)</w:t>
      </w:r>
      <w:r>
        <w:rPr>
          <w:lang w:val="en-US"/>
        </w:rPr>
        <w:tab/>
        <w:t>a notice of intention to respond; or</w:t>
      </w:r>
    </w:p>
    <w:p w14:paraId="098FABD1" w14:textId="77777777"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14:paraId="67BF1C1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9A54372" w14:textId="77777777"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14:paraId="441942E2" w14:textId="77777777"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14:paraId="1827A31C" w14:textId="77777777" w:rsidR="003D4FF5" w:rsidRDefault="003D4FF5" w:rsidP="003D4FF5">
      <w:pPr>
        <w:pStyle w:val="aNote"/>
        <w:rPr>
          <w:lang w:val="en-US"/>
        </w:rPr>
      </w:pPr>
      <w:r w:rsidRPr="005A5F43">
        <w:rPr>
          <w:rStyle w:val="charItals"/>
        </w:rPr>
        <w:t>Note 4</w:t>
      </w:r>
      <w:r w:rsidRPr="005A5F43">
        <w:rPr>
          <w:rStyle w:val="charItals"/>
        </w:rPr>
        <w:tab/>
      </w:r>
      <w:r>
        <w:rPr>
          <w:lang w:val="en-US"/>
        </w:rPr>
        <w:t>See</w:t>
      </w:r>
    </w:p>
    <w:p w14:paraId="43A915D4" w14:textId="5B1B2725"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3" w:tooltip="AF2021-23" w:history="1">
        <w:r w:rsidR="004A2EC3">
          <w:rPr>
            <w:rStyle w:val="charCitHyperlinkAbbrev"/>
          </w:rPr>
          <w:t>AF2021-23</w:t>
        </w:r>
      </w:hyperlink>
    </w:p>
    <w:p w14:paraId="48B749BF" w14:textId="58DE0BF5"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4" w:history="1">
        <w:r>
          <w:rPr>
            <w:rStyle w:val="charCitHyperlinkAbbrev"/>
          </w:rPr>
          <w:t>AF2015-28</w:t>
        </w:r>
      </w:hyperlink>
      <w:r>
        <w:t>.</w:t>
      </w:r>
    </w:p>
    <w:p w14:paraId="3A94F529" w14:textId="77777777"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14:paraId="7F8DF863" w14:textId="77777777"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14:paraId="047EEDA6" w14:textId="77777777"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14:paraId="146F9A34" w14:textId="77777777"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14:paraId="187B6667" w14:textId="77777777"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14:paraId="51144905" w14:textId="77777777" w:rsidR="003D4FF5" w:rsidRDefault="003D4FF5" w:rsidP="003D4FF5">
      <w:pPr>
        <w:pStyle w:val="AH5Sec"/>
      </w:pPr>
      <w:bookmarkStart w:id="56" w:name="_Toc185513673"/>
      <w:r w:rsidRPr="00C8328B">
        <w:rPr>
          <w:rStyle w:val="CharSectNo"/>
        </w:rPr>
        <w:t>101</w:t>
      </w:r>
      <w:r>
        <w:tab/>
        <w:t>Notice of intention to respond or defence—details to be included</w:t>
      </w:r>
      <w:bookmarkEnd w:id="56"/>
    </w:p>
    <w:p w14:paraId="12422939" w14:textId="77777777" w:rsidR="003D4FF5" w:rsidRDefault="003D4FF5" w:rsidP="003D4FF5">
      <w:pPr>
        <w:pStyle w:val="Amain"/>
      </w:pPr>
      <w:r>
        <w:tab/>
        <w:t>(1)</w:t>
      </w:r>
      <w:r>
        <w:tab/>
        <w:t>A notice of intention to respond filed by the defendant must state—</w:t>
      </w:r>
    </w:p>
    <w:p w14:paraId="0F343279" w14:textId="77777777" w:rsidR="003D4FF5" w:rsidRDefault="003D4FF5" w:rsidP="003D4FF5">
      <w:pPr>
        <w:pStyle w:val="Apara"/>
      </w:pPr>
      <w:r>
        <w:tab/>
        <w:t>(a)</w:t>
      </w:r>
      <w:r>
        <w:tab/>
        <w:t>whether the defendant is represented by a solicitor; and</w:t>
      </w:r>
    </w:p>
    <w:p w14:paraId="6080F95D" w14:textId="77777777" w:rsidR="003D4FF5" w:rsidRDefault="003D4FF5" w:rsidP="003D4FF5">
      <w:pPr>
        <w:pStyle w:val="Apara"/>
      </w:pPr>
      <w:r>
        <w:tab/>
        <w:t>(b)</w:t>
      </w:r>
      <w:r>
        <w:tab/>
        <w:t>if the defendant is represented by a solicitor—the name of the solicitor; and</w:t>
      </w:r>
    </w:p>
    <w:p w14:paraId="4EEB4179" w14:textId="77777777" w:rsidR="003D4FF5" w:rsidRDefault="003D4FF5" w:rsidP="003D4FF5">
      <w:pPr>
        <w:pStyle w:val="Apara"/>
      </w:pPr>
      <w:r>
        <w:tab/>
        <w:t>(c)</w:t>
      </w:r>
      <w:r>
        <w:tab/>
        <w:t>the defendant’s address for service; and</w:t>
      </w:r>
    </w:p>
    <w:p w14:paraId="323B8CE2" w14:textId="77777777" w:rsidR="003D4FF5" w:rsidRDefault="003D4FF5" w:rsidP="003D4FF5">
      <w:pPr>
        <w:pStyle w:val="Apara"/>
        <w:keepNext/>
      </w:pPr>
      <w:r>
        <w:tab/>
        <w:t>(d)</w:t>
      </w:r>
      <w:r>
        <w:tab/>
        <w:t>if any particulars of the defendant stated in the originating process are incorrect—the correct particulars.</w:t>
      </w:r>
    </w:p>
    <w:p w14:paraId="31989058" w14:textId="4190FCCE"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5" w:tooltip="AF2021-23" w:history="1">
        <w:r w:rsidR="004A2EC3">
          <w:rPr>
            <w:rStyle w:val="charCitHyperlinkAbbrev"/>
          </w:rPr>
          <w:t>AF2021-23</w:t>
        </w:r>
      </w:hyperlink>
      <w:r>
        <w:t>.</w:t>
      </w:r>
    </w:p>
    <w:p w14:paraId="44E65C6E"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5474C758" w14:textId="77777777"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14:paraId="1F105D94" w14:textId="77777777" w:rsidR="003D4FF5" w:rsidRDefault="003D4FF5" w:rsidP="003D4FF5">
      <w:pPr>
        <w:pStyle w:val="Apara"/>
      </w:pPr>
      <w:r>
        <w:tab/>
        <w:t>(a)</w:t>
      </w:r>
      <w:r>
        <w:tab/>
        <w:t>whether the defendant is represented by a solicitor; and</w:t>
      </w:r>
    </w:p>
    <w:p w14:paraId="51E2ABBD" w14:textId="77777777" w:rsidR="003D4FF5" w:rsidRDefault="003D4FF5" w:rsidP="003D4FF5">
      <w:pPr>
        <w:pStyle w:val="Apara"/>
      </w:pPr>
      <w:r>
        <w:tab/>
        <w:t>(b)</w:t>
      </w:r>
      <w:r>
        <w:tab/>
        <w:t>if the defendant is represented by a solicitor—the name of the solicitor; and</w:t>
      </w:r>
    </w:p>
    <w:p w14:paraId="7FE35B9B" w14:textId="77777777" w:rsidR="003D4FF5" w:rsidRDefault="003D4FF5" w:rsidP="003D4FF5">
      <w:pPr>
        <w:pStyle w:val="Apara"/>
      </w:pPr>
      <w:r>
        <w:tab/>
        <w:t>(c)</w:t>
      </w:r>
      <w:r>
        <w:tab/>
        <w:t>the defendant’s address for service; and</w:t>
      </w:r>
    </w:p>
    <w:p w14:paraId="503E435E" w14:textId="77777777" w:rsidR="003D4FF5" w:rsidRDefault="003D4FF5" w:rsidP="003D4FF5">
      <w:pPr>
        <w:pStyle w:val="Apara"/>
      </w:pPr>
      <w:r>
        <w:tab/>
        <w:t>(d)</w:t>
      </w:r>
      <w:r>
        <w:tab/>
        <w:t>if any particulars of the defendant stated in the originating process are incorrect—the correct particulars.</w:t>
      </w:r>
    </w:p>
    <w:p w14:paraId="7FAB42F0" w14:textId="7EA524C0"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6" w:history="1">
        <w:r>
          <w:rPr>
            <w:rStyle w:val="charCitHyperlinkAbbrev"/>
          </w:rPr>
          <w:t>AF2015-28</w:t>
        </w:r>
      </w:hyperlink>
      <w:r>
        <w:t>.</w:t>
      </w:r>
    </w:p>
    <w:p w14:paraId="6833F090" w14:textId="77777777"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14:paraId="2BA0BC6D" w14:textId="77777777" w:rsidR="003D4FF5" w:rsidRDefault="003D4FF5" w:rsidP="003D4FF5">
      <w:pPr>
        <w:pStyle w:val="AH5Sec"/>
        <w:rPr>
          <w:lang w:val="en-US"/>
        </w:rPr>
      </w:pPr>
      <w:bookmarkStart w:id="57" w:name="_Toc185513674"/>
      <w:r w:rsidRPr="00C8328B">
        <w:rPr>
          <w:rStyle w:val="CharSectNo"/>
        </w:rPr>
        <w:t>102</w:t>
      </w:r>
      <w:r>
        <w:rPr>
          <w:lang w:val="en-US"/>
        </w:rPr>
        <w:tab/>
        <w:t>Notice of intention to respond or defence—filing and service</w:t>
      </w:r>
      <w:bookmarkEnd w:id="57"/>
    </w:p>
    <w:p w14:paraId="50695B97" w14:textId="77777777"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14:paraId="74EBA052" w14:textId="77777777" w:rsidR="003D4FF5" w:rsidRDefault="003D4FF5" w:rsidP="003D4FF5">
      <w:pPr>
        <w:pStyle w:val="Apara"/>
        <w:rPr>
          <w:lang w:val="en-US"/>
        </w:rPr>
      </w:pPr>
      <w:r>
        <w:rPr>
          <w:lang w:val="en-US"/>
        </w:rPr>
        <w:tab/>
        <w:t>(a)</w:t>
      </w:r>
      <w:r>
        <w:rPr>
          <w:lang w:val="en-US"/>
        </w:rPr>
        <w:tab/>
        <w:t>28 days after the day the claim is served on the defendant;</w:t>
      </w:r>
    </w:p>
    <w:p w14:paraId="0E725C48" w14:textId="77777777"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14:paraId="544AFE9C" w14:textId="77777777"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14:paraId="5C169950" w14:textId="77777777" w:rsidR="003D4FF5" w:rsidRDefault="003D4FF5" w:rsidP="003D4FF5">
      <w:pPr>
        <w:pStyle w:val="aNote"/>
      </w:pPr>
      <w:r>
        <w:rPr>
          <w:rStyle w:val="charItals"/>
        </w:rPr>
        <w:t>Note</w:t>
      </w:r>
      <w:r>
        <w:rPr>
          <w:rStyle w:val="charItals"/>
        </w:rPr>
        <w:tab/>
      </w:r>
      <w:r>
        <w:t>Pt 6.2 (Applications in proceedings) applies to an application to set a time.</w:t>
      </w:r>
    </w:p>
    <w:p w14:paraId="6A046874" w14:textId="77777777"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14:paraId="4628148A" w14:textId="77777777" w:rsidR="003D4FF5" w:rsidRDefault="003D4FF5" w:rsidP="003D4FF5">
      <w:pPr>
        <w:pStyle w:val="Apara"/>
        <w:rPr>
          <w:lang w:val="en-US"/>
        </w:rPr>
      </w:pPr>
      <w:r>
        <w:rPr>
          <w:lang w:val="en-US"/>
        </w:rPr>
        <w:tab/>
        <w:t>(a)</w:t>
      </w:r>
      <w:r>
        <w:rPr>
          <w:lang w:val="en-US"/>
        </w:rPr>
        <w:tab/>
        <w:t>on or before the return date for the application;</w:t>
      </w:r>
    </w:p>
    <w:p w14:paraId="0AA8C947" w14:textId="77777777"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14:paraId="083E65CA"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5CD3A450" w14:textId="4DDCEA2F" w:rsidR="003D4FF5" w:rsidRDefault="003D4FF5" w:rsidP="003D4FF5">
      <w:pPr>
        <w:pStyle w:val="Amain"/>
        <w:keepNext/>
      </w:pPr>
      <w:r>
        <w:tab/>
        <w:t>(4)</w:t>
      </w:r>
      <w:r>
        <w:tab/>
        <w:t xml:space="preserve">The registrar must seal the </w:t>
      </w:r>
      <w:r w:rsidR="00040F03" w:rsidRPr="00C1177F">
        <w:t>notice of intention to respond or defence and any filed copies of the notice or defence</w:t>
      </w:r>
      <w:r>
        <w:t>.</w:t>
      </w:r>
    </w:p>
    <w:p w14:paraId="3E53782A" w14:textId="77777777"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14:paraId="2335BAB4" w14:textId="77777777"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14:paraId="5F483DE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17B3E00" w14:textId="77777777" w:rsidR="003D4FF5" w:rsidRDefault="003D4FF5" w:rsidP="003D4FF5">
      <w:pPr>
        <w:pStyle w:val="AH5Sec"/>
        <w:rPr>
          <w:lang w:val="en-US"/>
        </w:rPr>
      </w:pPr>
      <w:bookmarkStart w:id="58" w:name="_Toc185513675"/>
      <w:r w:rsidRPr="00C8328B">
        <w:rPr>
          <w:rStyle w:val="CharSectNo"/>
        </w:rPr>
        <w:t>103</w:t>
      </w:r>
      <w:r>
        <w:rPr>
          <w:lang w:val="en-US"/>
        </w:rPr>
        <w:tab/>
        <w:t>Notice of intention to respond or defence—late filing or service</w:t>
      </w:r>
      <w:bookmarkEnd w:id="58"/>
    </w:p>
    <w:p w14:paraId="20066E9A" w14:textId="77777777"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14:paraId="31CDD34D" w14:textId="77777777"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14:paraId="40300425" w14:textId="77777777"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14:paraId="0D1BCABF"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E3DC9EA" w14:textId="77777777" w:rsidR="003D4FF5" w:rsidRDefault="003D4FF5" w:rsidP="003D4FF5">
      <w:pPr>
        <w:pStyle w:val="AH5Sec"/>
        <w:rPr>
          <w:lang w:val="en-US"/>
        </w:rPr>
      </w:pPr>
      <w:bookmarkStart w:id="59" w:name="_Toc185513676"/>
      <w:r w:rsidRPr="00C8328B">
        <w:rPr>
          <w:rStyle w:val="CharSectNo"/>
        </w:rPr>
        <w:t>104</w:t>
      </w:r>
      <w:r>
        <w:rPr>
          <w:lang w:val="en-US"/>
        </w:rPr>
        <w:tab/>
        <w:t>Ground of defence arising after defence filed etc</w:t>
      </w:r>
      <w:bookmarkEnd w:id="59"/>
    </w:p>
    <w:p w14:paraId="23780F9E" w14:textId="77777777" w:rsidR="003D4FF5" w:rsidRDefault="003D4FF5" w:rsidP="003D4FF5">
      <w:pPr>
        <w:pStyle w:val="Amain"/>
      </w:pPr>
      <w:r>
        <w:tab/>
        <w:t>(1)</w:t>
      </w:r>
      <w:r>
        <w:tab/>
        <w:t>This rule applies if a ground of defence to an originating claim arises after—</w:t>
      </w:r>
    </w:p>
    <w:p w14:paraId="4FFBF2BE" w14:textId="77777777" w:rsidR="003D4FF5" w:rsidRDefault="003D4FF5" w:rsidP="003D4FF5">
      <w:pPr>
        <w:pStyle w:val="Apara"/>
      </w:pPr>
      <w:r>
        <w:tab/>
        <w:t>(a)</w:t>
      </w:r>
      <w:r>
        <w:tab/>
        <w:t>a defendant files a defence; or</w:t>
      </w:r>
    </w:p>
    <w:p w14:paraId="0F9C54C5" w14:textId="77777777"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14:paraId="7B6CB2B3" w14:textId="77777777" w:rsidR="003D4FF5" w:rsidRDefault="003D4FF5" w:rsidP="003D4FF5">
      <w:pPr>
        <w:pStyle w:val="Amain"/>
        <w:keepNext/>
      </w:pPr>
      <w:r>
        <w:tab/>
        <w:t>(2)</w:t>
      </w:r>
      <w:r>
        <w:tab/>
        <w:t>The defendant may file a further defence not later than 7 days after the day the ground of defence arises or at a later time with the court’s leave.</w:t>
      </w:r>
    </w:p>
    <w:p w14:paraId="14107285" w14:textId="77777777" w:rsidR="003D4FF5" w:rsidRDefault="003D4FF5" w:rsidP="003D4FF5">
      <w:pPr>
        <w:pStyle w:val="aNote"/>
      </w:pPr>
      <w:r>
        <w:rPr>
          <w:rStyle w:val="charItals"/>
        </w:rPr>
        <w:t>Note</w:t>
      </w:r>
      <w:r>
        <w:rPr>
          <w:rStyle w:val="charItals"/>
        </w:rPr>
        <w:tab/>
      </w:r>
      <w:r>
        <w:t>Pt 6.2 (Applications in proceedings) applies to an application for leave under this subrule.</w:t>
      </w:r>
    </w:p>
    <w:p w14:paraId="56060499" w14:textId="2F10E81D" w:rsidR="003D4FF5" w:rsidRDefault="003D4FF5" w:rsidP="003D4FF5">
      <w:pPr>
        <w:pStyle w:val="Amain"/>
        <w:keepNext/>
      </w:pPr>
      <w:r>
        <w:tab/>
        <w:t>(3)</w:t>
      </w:r>
      <w:r>
        <w:tab/>
        <w:t xml:space="preserve">The registrar must seal the </w:t>
      </w:r>
      <w:r w:rsidR="00040F03" w:rsidRPr="00C1177F">
        <w:t>further defence and any</w:t>
      </w:r>
      <w:r>
        <w:t xml:space="preserve"> filed copies of the further defence.</w:t>
      </w:r>
    </w:p>
    <w:p w14:paraId="3FEB48D5"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4055F8C2" w14:textId="77777777"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14:paraId="3D34FB1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491D901" w14:textId="77777777" w:rsidR="003D4FF5" w:rsidRDefault="003D4FF5" w:rsidP="003D4FF5">
      <w:pPr>
        <w:pStyle w:val="AH5Sec"/>
        <w:rPr>
          <w:lang w:val="en-US"/>
        </w:rPr>
      </w:pPr>
      <w:bookmarkStart w:id="60" w:name="_Toc185513677"/>
      <w:r w:rsidRPr="00C8328B">
        <w:rPr>
          <w:rStyle w:val="CharSectNo"/>
        </w:rPr>
        <w:lastRenderedPageBreak/>
        <w:t>105</w:t>
      </w:r>
      <w:r>
        <w:rPr>
          <w:lang w:val="en-US"/>
        </w:rPr>
        <w:tab/>
        <w:t>Defence—reliance on defence not disclosed</w:t>
      </w:r>
      <w:bookmarkEnd w:id="60"/>
    </w:p>
    <w:p w14:paraId="5A3EDCEB" w14:textId="77777777"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14:paraId="38AE103E" w14:textId="77777777" w:rsidR="003D4FF5" w:rsidRDefault="003D4FF5" w:rsidP="003D4FF5">
      <w:pPr>
        <w:pStyle w:val="Apara"/>
        <w:rPr>
          <w:lang w:val="en-US"/>
        </w:rPr>
      </w:pPr>
      <w:r>
        <w:rPr>
          <w:lang w:val="en-US"/>
        </w:rPr>
        <w:tab/>
        <w:t>(a)</w:t>
      </w:r>
      <w:r>
        <w:rPr>
          <w:lang w:val="en-US"/>
        </w:rPr>
        <w:tab/>
        <w:t>the plaintiff agrees; or</w:t>
      </w:r>
    </w:p>
    <w:p w14:paraId="08B1F172" w14:textId="77777777" w:rsidR="003D4FF5" w:rsidRDefault="003D4FF5" w:rsidP="003D4FF5">
      <w:pPr>
        <w:pStyle w:val="Apara"/>
        <w:keepNext/>
        <w:rPr>
          <w:lang w:val="en-US"/>
        </w:rPr>
      </w:pPr>
      <w:r>
        <w:rPr>
          <w:lang w:val="en-US"/>
        </w:rPr>
        <w:tab/>
        <w:t>(b)</w:t>
      </w:r>
      <w:r>
        <w:rPr>
          <w:lang w:val="en-US"/>
        </w:rPr>
        <w:tab/>
        <w:t>the court gives leave.</w:t>
      </w:r>
    </w:p>
    <w:p w14:paraId="2D884A81"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609EF128"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4C967182" w14:textId="77777777" w:rsidR="003D4FF5" w:rsidRDefault="003D4FF5" w:rsidP="003D4FF5">
      <w:pPr>
        <w:pStyle w:val="AH5Sec"/>
        <w:rPr>
          <w:lang w:val="en-US"/>
        </w:rPr>
      </w:pPr>
      <w:bookmarkStart w:id="61" w:name="_Toc185513678"/>
      <w:r w:rsidRPr="00C8328B">
        <w:rPr>
          <w:rStyle w:val="CharSectNo"/>
        </w:rPr>
        <w:t>106</w:t>
      </w:r>
      <w:r>
        <w:rPr>
          <w:lang w:val="en-US"/>
        </w:rPr>
        <w:tab/>
        <w:t>Defendant may submit to judgment by notice of intention to respond</w:t>
      </w:r>
      <w:bookmarkEnd w:id="61"/>
    </w:p>
    <w:p w14:paraId="428D6A3C" w14:textId="77777777" w:rsidR="003D4FF5" w:rsidRDefault="003D4FF5" w:rsidP="003D4FF5">
      <w:pPr>
        <w:pStyle w:val="Amain"/>
        <w:rPr>
          <w:lang w:val="en-US"/>
        </w:rPr>
      </w:pPr>
      <w:r>
        <w:rPr>
          <w:lang w:val="en-US"/>
        </w:rPr>
        <w:tab/>
        <w:t>(1)</w:t>
      </w:r>
      <w:r>
        <w:rPr>
          <w:lang w:val="en-US"/>
        </w:rPr>
        <w:tab/>
        <w:t>This rule applies if a defendant in a proceeding intends to—</w:t>
      </w:r>
    </w:p>
    <w:p w14:paraId="463149C0" w14:textId="77777777" w:rsidR="003D4FF5" w:rsidRDefault="003D4FF5" w:rsidP="003D4FF5">
      <w:pPr>
        <w:pStyle w:val="Apara"/>
        <w:rPr>
          <w:lang w:val="en-US"/>
        </w:rPr>
      </w:pPr>
      <w:r>
        <w:rPr>
          <w:lang w:val="en-US"/>
        </w:rPr>
        <w:tab/>
        <w:t>(a)</w:t>
      </w:r>
      <w:r>
        <w:rPr>
          <w:lang w:val="en-US"/>
        </w:rPr>
        <w:tab/>
        <w:t>submit to the orders of the court; but</w:t>
      </w:r>
    </w:p>
    <w:p w14:paraId="6BE72F4D" w14:textId="77777777" w:rsidR="003D4FF5" w:rsidRDefault="003D4FF5" w:rsidP="003D4FF5">
      <w:pPr>
        <w:pStyle w:val="Apara"/>
        <w:rPr>
          <w:lang w:val="en-US"/>
        </w:rPr>
      </w:pPr>
      <w:r>
        <w:rPr>
          <w:lang w:val="en-US"/>
        </w:rPr>
        <w:tab/>
        <w:t>(b)</w:t>
      </w:r>
      <w:r>
        <w:rPr>
          <w:lang w:val="en-US"/>
        </w:rPr>
        <w:tab/>
        <w:t>take no active part in the proceeding.</w:t>
      </w:r>
    </w:p>
    <w:p w14:paraId="1F0E9409" w14:textId="77777777" w:rsidR="003D4FF5" w:rsidRDefault="003D4FF5" w:rsidP="003D4FF5">
      <w:pPr>
        <w:pStyle w:val="Amain"/>
        <w:keepNext/>
        <w:rPr>
          <w:lang w:val="en-US"/>
        </w:rPr>
      </w:pPr>
      <w:r>
        <w:rPr>
          <w:lang w:val="en-US"/>
        </w:rPr>
        <w:tab/>
        <w:t>(2)</w:t>
      </w:r>
      <w:r>
        <w:rPr>
          <w:lang w:val="en-US"/>
        </w:rPr>
        <w:tab/>
        <w:t>The defendant must—</w:t>
      </w:r>
    </w:p>
    <w:p w14:paraId="0D51E8E0" w14:textId="77777777" w:rsidR="003D4FF5" w:rsidRDefault="003D4FF5" w:rsidP="003D4FF5">
      <w:pPr>
        <w:pStyle w:val="Apara"/>
        <w:rPr>
          <w:lang w:val="en-US"/>
        </w:rPr>
      </w:pPr>
      <w:r>
        <w:rPr>
          <w:lang w:val="en-US"/>
        </w:rPr>
        <w:tab/>
        <w:t>(a)</w:t>
      </w:r>
      <w:r>
        <w:rPr>
          <w:lang w:val="en-US"/>
        </w:rPr>
        <w:tab/>
        <w:t>file a notice of intention to respond; and</w:t>
      </w:r>
    </w:p>
    <w:p w14:paraId="1A5F976B" w14:textId="77777777"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14:paraId="6040A6A1" w14:textId="77777777"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14:paraId="2B45689F" w14:textId="77777777" w:rsidR="003D4FF5" w:rsidRDefault="003D4FF5" w:rsidP="003D4FF5">
      <w:pPr>
        <w:pStyle w:val="aExamHdgss"/>
        <w:rPr>
          <w:lang w:val="en-US"/>
        </w:rPr>
      </w:pPr>
      <w:r>
        <w:rPr>
          <w:lang w:val="en-US"/>
        </w:rPr>
        <w:t>Example of addition</w:t>
      </w:r>
    </w:p>
    <w:p w14:paraId="20CB7873" w14:textId="77777777" w:rsidR="003D4FF5" w:rsidRDefault="003D4FF5" w:rsidP="00BF4351">
      <w:pPr>
        <w:pStyle w:val="aExamss"/>
      </w:pPr>
      <w:r>
        <w:t>except as to costs</w:t>
      </w:r>
    </w:p>
    <w:p w14:paraId="38D8A1B4" w14:textId="77777777"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14:paraId="69C04CA2"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148BF51" w14:textId="77777777"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14:paraId="2EE03F73" w14:textId="77777777"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14:paraId="6BEEDB04" w14:textId="77777777" w:rsidR="003D4FF5" w:rsidRDefault="003D4FF5" w:rsidP="003D4FF5">
      <w:pPr>
        <w:pStyle w:val="Apara"/>
        <w:rPr>
          <w:lang w:val="en-US"/>
        </w:rPr>
      </w:pPr>
      <w:r>
        <w:rPr>
          <w:lang w:val="en-US"/>
        </w:rPr>
        <w:tab/>
        <w:t>(b)</w:t>
      </w:r>
      <w:r>
        <w:rPr>
          <w:lang w:val="en-US"/>
        </w:rPr>
        <w:tab/>
        <w:t>takes no active part in the proceeding.</w:t>
      </w:r>
    </w:p>
    <w:p w14:paraId="45552A27" w14:textId="77777777" w:rsidR="003D4FF5" w:rsidRDefault="003D4FF5" w:rsidP="003D4FF5">
      <w:pPr>
        <w:pStyle w:val="Amain"/>
        <w:keepNext/>
        <w:rPr>
          <w:lang w:val="en-US"/>
        </w:rPr>
      </w:pPr>
      <w:r>
        <w:rPr>
          <w:lang w:val="en-US"/>
        </w:rPr>
        <w:tab/>
        <w:t>(6)</w:t>
      </w:r>
      <w:r>
        <w:rPr>
          <w:lang w:val="en-US"/>
        </w:rPr>
        <w:tab/>
        <w:t>If—</w:t>
      </w:r>
    </w:p>
    <w:p w14:paraId="6F3F0430" w14:textId="77777777" w:rsidR="003D4FF5" w:rsidRDefault="003D4FF5" w:rsidP="003D4FF5">
      <w:pPr>
        <w:pStyle w:val="Apara"/>
        <w:keepNext/>
        <w:rPr>
          <w:lang w:val="en-US"/>
        </w:rPr>
      </w:pPr>
      <w:r>
        <w:rPr>
          <w:lang w:val="en-US"/>
        </w:rPr>
        <w:tab/>
        <w:t>(a)</w:t>
      </w:r>
      <w:r>
        <w:rPr>
          <w:lang w:val="en-US"/>
        </w:rPr>
        <w:tab/>
        <w:t>a defendant files a notice of intention to respond; and</w:t>
      </w:r>
    </w:p>
    <w:p w14:paraId="5F90A676" w14:textId="77777777"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14:paraId="4B4EF4FA" w14:textId="77777777" w:rsidR="003D4FF5" w:rsidRDefault="003D4FF5" w:rsidP="003D4FF5">
      <w:pPr>
        <w:pStyle w:val="Apara"/>
        <w:keepNext/>
        <w:rPr>
          <w:lang w:val="en-US"/>
        </w:rPr>
      </w:pPr>
      <w:r>
        <w:rPr>
          <w:lang w:val="en-US"/>
        </w:rPr>
        <w:tab/>
        <w:t>(c)</w:t>
      </w:r>
      <w:r>
        <w:rPr>
          <w:lang w:val="en-US"/>
        </w:rPr>
        <w:tab/>
        <w:t>the defendant takes no active part in the proceeding;</w:t>
      </w:r>
    </w:p>
    <w:p w14:paraId="2F18FB2E" w14:textId="77777777"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14:paraId="6C68DDD0" w14:textId="77777777"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14:paraId="0E12670E" w14:textId="77777777" w:rsidR="003D4FF5" w:rsidRDefault="003D4FF5" w:rsidP="003D4FF5">
      <w:pPr>
        <w:pStyle w:val="aNote"/>
      </w:pPr>
      <w:r>
        <w:rPr>
          <w:rStyle w:val="charItals"/>
        </w:rPr>
        <w:t>Note</w:t>
      </w:r>
      <w:r>
        <w:rPr>
          <w:rStyle w:val="charItals"/>
        </w:rPr>
        <w:tab/>
      </w:r>
      <w:r>
        <w:t>Pt 6.2 (Applications in proceedings) applies to an application for an order under r (5) or r (6).</w:t>
      </w:r>
    </w:p>
    <w:p w14:paraId="73084C8A" w14:textId="77777777"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14:paraId="206D3CC6" w14:textId="77777777" w:rsidR="003D4FF5" w:rsidRDefault="003D4FF5" w:rsidP="003D4FF5">
      <w:pPr>
        <w:pStyle w:val="AH5Sec"/>
        <w:rPr>
          <w:lang w:val="en-US"/>
        </w:rPr>
      </w:pPr>
      <w:bookmarkStart w:id="62" w:name="_Toc185513679"/>
      <w:r w:rsidRPr="00C8328B">
        <w:rPr>
          <w:rStyle w:val="CharSectNo"/>
        </w:rPr>
        <w:lastRenderedPageBreak/>
        <w:t>107</w:t>
      </w:r>
      <w:r>
        <w:rPr>
          <w:lang w:val="en-US"/>
        </w:rPr>
        <w:tab/>
        <w:t>Notice of intention to respond or defence—several defendants with same solicitor</w:t>
      </w:r>
      <w:bookmarkEnd w:id="62"/>
    </w:p>
    <w:p w14:paraId="19C14E79" w14:textId="77777777" w:rsidR="003D4FF5" w:rsidRDefault="003D4FF5" w:rsidP="003D4FF5">
      <w:pPr>
        <w:pStyle w:val="Amain"/>
      </w:pPr>
      <w:r>
        <w:tab/>
        <w:t>(1)</w:t>
      </w:r>
      <w:r>
        <w:tab/>
        <w:t>This rule applies if 2 or more defendants in the same proceeding are represented by the same solicitor at the same time.</w:t>
      </w:r>
    </w:p>
    <w:p w14:paraId="27EC49EE" w14:textId="77777777" w:rsidR="003D4FF5" w:rsidRDefault="003D4FF5" w:rsidP="003D4FF5">
      <w:pPr>
        <w:pStyle w:val="Amain"/>
      </w:pPr>
      <w:r>
        <w:tab/>
        <w:t>(2)</w:t>
      </w:r>
      <w:r>
        <w:tab/>
        <w:t>The names of all the defendants may be included in a single notice of intention to respond or defence.</w:t>
      </w:r>
    </w:p>
    <w:p w14:paraId="2EDCFE5D" w14:textId="77777777" w:rsidR="003D4FF5" w:rsidRDefault="003D4FF5" w:rsidP="003D4FF5">
      <w:pPr>
        <w:pStyle w:val="AH5Sec"/>
        <w:rPr>
          <w:lang w:val="en-US"/>
        </w:rPr>
      </w:pPr>
      <w:bookmarkStart w:id="63" w:name="_Toc185513680"/>
      <w:r w:rsidRPr="00C8328B">
        <w:rPr>
          <w:rStyle w:val="CharSectNo"/>
        </w:rPr>
        <w:t>108</w:t>
      </w:r>
      <w:r>
        <w:rPr>
          <w:lang w:val="en-US"/>
        </w:rPr>
        <w:tab/>
        <w:t>Notice of intention to respond or defence—person sued under partnership name</w:t>
      </w:r>
      <w:bookmarkEnd w:id="63"/>
    </w:p>
    <w:p w14:paraId="6F16F386" w14:textId="77777777"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14:paraId="5E894F4B" w14:textId="77777777" w:rsidR="003D4FF5" w:rsidRDefault="003D4FF5" w:rsidP="003D4FF5">
      <w:pPr>
        <w:pStyle w:val="aNote"/>
      </w:pPr>
      <w:r>
        <w:rPr>
          <w:rStyle w:val="charItals"/>
        </w:rPr>
        <w:t>Note</w:t>
      </w:r>
      <w:r>
        <w:rPr>
          <w:rStyle w:val="charItals"/>
        </w:rPr>
        <w:tab/>
      </w:r>
      <w:r w:rsidRPr="005A5F43">
        <w:t>See also div 2.4.10 (Partnerships)</w:t>
      </w:r>
      <w:r>
        <w:t>.</w:t>
      </w:r>
    </w:p>
    <w:p w14:paraId="54B3D493" w14:textId="77777777"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14:paraId="11EEED90" w14:textId="77777777"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14:paraId="161C5ED8" w14:textId="77777777"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14:paraId="596F3A6A" w14:textId="77777777" w:rsidR="003D4FF5" w:rsidRDefault="003D4FF5" w:rsidP="003D4FF5">
      <w:pPr>
        <w:pStyle w:val="Apara"/>
        <w:rPr>
          <w:lang w:val="en-US"/>
        </w:rPr>
      </w:pPr>
      <w:r>
        <w:rPr>
          <w:lang w:val="en-US"/>
        </w:rPr>
        <w:tab/>
        <w:t>(a)</w:t>
      </w:r>
      <w:r>
        <w:rPr>
          <w:lang w:val="en-US"/>
        </w:rPr>
        <w:tab/>
        <w:t>the proceeding continues in the partnership name; and</w:t>
      </w:r>
    </w:p>
    <w:p w14:paraId="1B20EC52" w14:textId="77777777"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14:paraId="5916CA46"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5A5ABA04"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659F1C71" w14:textId="77777777"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14:paraId="241317F5" w14:textId="77777777" w:rsidR="003D4FF5" w:rsidRDefault="003D4FF5" w:rsidP="003D4FF5">
      <w:pPr>
        <w:pStyle w:val="AH5Sec"/>
        <w:rPr>
          <w:lang w:val="en-US"/>
        </w:rPr>
      </w:pPr>
      <w:bookmarkStart w:id="64" w:name="_Toc185513681"/>
      <w:r w:rsidRPr="00C8328B">
        <w:rPr>
          <w:rStyle w:val="CharSectNo"/>
        </w:rPr>
        <w:t>109</w:t>
      </w:r>
      <w:r>
        <w:rPr>
          <w:lang w:val="en-US"/>
        </w:rPr>
        <w:tab/>
        <w:t>Notice of intention to respond or defence—person incorrectly served as partner</w:t>
      </w:r>
      <w:bookmarkEnd w:id="64"/>
    </w:p>
    <w:p w14:paraId="0B8AE3FB" w14:textId="77777777"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14:paraId="6A58BCB8" w14:textId="77777777" w:rsidR="003D4FF5" w:rsidRDefault="003D4FF5" w:rsidP="003D4FF5">
      <w:pPr>
        <w:pStyle w:val="Apara"/>
        <w:rPr>
          <w:lang w:val="en-US"/>
        </w:rPr>
      </w:pPr>
      <w:r>
        <w:rPr>
          <w:lang w:val="en-US"/>
        </w:rPr>
        <w:tab/>
        <w:t>(a)</w:t>
      </w:r>
      <w:r>
        <w:rPr>
          <w:lang w:val="en-US"/>
        </w:rPr>
        <w:tab/>
        <w:t>the person files the notice because the person was served as a partner; and</w:t>
      </w:r>
    </w:p>
    <w:p w14:paraId="694CC2F2" w14:textId="77777777" w:rsidR="003D4FF5" w:rsidRDefault="003D4FF5" w:rsidP="003D4FF5">
      <w:pPr>
        <w:pStyle w:val="Apara"/>
        <w:rPr>
          <w:lang w:val="en-US"/>
        </w:rPr>
      </w:pPr>
      <w:r>
        <w:rPr>
          <w:lang w:val="en-US"/>
        </w:rPr>
        <w:tab/>
        <w:t>(b)</w:t>
      </w:r>
      <w:r>
        <w:rPr>
          <w:lang w:val="en-US"/>
        </w:rPr>
        <w:tab/>
        <w:t>the person denies being a partner at the relevant time or being liable as a partner.</w:t>
      </w:r>
    </w:p>
    <w:p w14:paraId="40DFB187" w14:textId="77777777" w:rsidR="003D4FF5" w:rsidRDefault="003D4FF5" w:rsidP="003D4FF5">
      <w:pPr>
        <w:pStyle w:val="Amain"/>
        <w:keepNext/>
        <w:rPr>
          <w:lang w:val="en-US"/>
        </w:rPr>
      </w:pPr>
      <w:r>
        <w:rPr>
          <w:lang w:val="en-US"/>
        </w:rPr>
        <w:tab/>
        <w:t>(2)</w:t>
      </w:r>
      <w:r>
        <w:rPr>
          <w:lang w:val="en-US"/>
        </w:rPr>
        <w:tab/>
        <w:t>On application, the court may, by order—</w:t>
      </w:r>
    </w:p>
    <w:p w14:paraId="60AA6C4C" w14:textId="77777777"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14:paraId="05097ACD" w14:textId="77777777"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14:paraId="57B8C01F"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65AF4132" w14:textId="77777777"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14:paraId="0F651680" w14:textId="77777777" w:rsidR="003D4FF5" w:rsidRDefault="003D4FF5" w:rsidP="003D4FF5">
      <w:pPr>
        <w:pStyle w:val="Amain"/>
      </w:pPr>
      <w:r>
        <w:tab/>
        <w:t>(4)</w:t>
      </w:r>
      <w:r>
        <w:tab/>
        <w:t>This rule does not limit rule 111 (Conditional notice of intention to respond).</w:t>
      </w:r>
    </w:p>
    <w:p w14:paraId="341CDF3A" w14:textId="77777777" w:rsidR="003D4FF5" w:rsidRDefault="003D4FF5" w:rsidP="003D4FF5">
      <w:pPr>
        <w:pStyle w:val="AH5Sec"/>
        <w:rPr>
          <w:lang w:val="en-US"/>
        </w:rPr>
      </w:pPr>
      <w:bookmarkStart w:id="65" w:name="_Toc185513682"/>
      <w:r w:rsidRPr="00C8328B">
        <w:rPr>
          <w:rStyle w:val="CharSectNo"/>
        </w:rPr>
        <w:lastRenderedPageBreak/>
        <w:t>110</w:t>
      </w:r>
      <w:r>
        <w:rPr>
          <w:lang w:val="en-US"/>
        </w:rPr>
        <w:tab/>
        <w:t>Notice of intention to respond or defence—person sued under business name</w:t>
      </w:r>
      <w:bookmarkEnd w:id="65"/>
    </w:p>
    <w:p w14:paraId="52AC8CC9" w14:textId="64A26E55"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7" w:tooltip="Act 2011 No 126 (Cwlth)" w:history="1">
        <w:r w:rsidRPr="00374CAC">
          <w:rPr>
            <w:rStyle w:val="charCitHyperlinkItal"/>
          </w:rPr>
          <w:t>Business Names Registration Act 2011</w:t>
        </w:r>
      </w:hyperlink>
      <w:r w:rsidRPr="00AD5834">
        <w:t xml:space="preserve"> (Cwlth)</w:t>
      </w:r>
      <w:r>
        <w:rPr>
          <w:lang w:val="en-US"/>
        </w:rPr>
        <w:t>.</w:t>
      </w:r>
    </w:p>
    <w:p w14:paraId="40A1D742" w14:textId="77777777" w:rsidR="003D4FF5" w:rsidRDefault="003D4FF5" w:rsidP="003D4FF5">
      <w:pPr>
        <w:pStyle w:val="aNote"/>
      </w:pPr>
      <w:r>
        <w:rPr>
          <w:rStyle w:val="charItals"/>
        </w:rPr>
        <w:t>Note</w:t>
      </w:r>
      <w:r>
        <w:rPr>
          <w:rStyle w:val="charItals"/>
        </w:rPr>
        <w:tab/>
      </w:r>
      <w:r w:rsidRPr="005A5F43">
        <w:t>See also div 2.4.11 (Business names)</w:t>
      </w:r>
      <w:r>
        <w:t>.</w:t>
      </w:r>
    </w:p>
    <w:p w14:paraId="1BCBC975" w14:textId="77777777"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14:paraId="73FC561B" w14:textId="77777777"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14:paraId="32804A63" w14:textId="77777777"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14:paraId="7EB2861D" w14:textId="77777777"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14:paraId="21CFF1AF" w14:textId="77777777"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14:paraId="417796D3" w14:textId="77777777"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14:paraId="23E1E4BC"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2C10D019"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1C0C13B8" w14:textId="77777777"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14:paraId="165D3C02" w14:textId="77777777" w:rsidR="003D4FF5" w:rsidRDefault="003D4FF5" w:rsidP="003D4FF5">
      <w:pPr>
        <w:pStyle w:val="AH5Sec"/>
        <w:rPr>
          <w:lang w:val="en-US"/>
        </w:rPr>
      </w:pPr>
      <w:bookmarkStart w:id="66" w:name="_Toc185513683"/>
      <w:r w:rsidRPr="00C8328B">
        <w:rPr>
          <w:rStyle w:val="CharSectNo"/>
        </w:rPr>
        <w:lastRenderedPageBreak/>
        <w:t>111</w:t>
      </w:r>
      <w:r>
        <w:rPr>
          <w:lang w:val="en-US"/>
        </w:rPr>
        <w:tab/>
        <w:t>Conditional notice of intention to respond</w:t>
      </w:r>
      <w:bookmarkEnd w:id="66"/>
    </w:p>
    <w:p w14:paraId="11D3DB1E" w14:textId="77777777"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14:paraId="0789BED5" w14:textId="77777777"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14:paraId="4A6A95F2" w14:textId="77777777"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14:paraId="760730F7" w14:textId="77777777"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14:paraId="0CEE5B96" w14:textId="77777777"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14:paraId="2F3C33AE" w14:textId="77777777"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14:paraId="339757CE" w14:textId="77777777" w:rsidR="006A2944" w:rsidRPr="006A2944" w:rsidRDefault="006A2944" w:rsidP="006A2944">
      <w:pPr>
        <w:pStyle w:val="PageBreak"/>
      </w:pPr>
      <w:r w:rsidRPr="006A2944">
        <w:br w:type="page"/>
      </w:r>
    </w:p>
    <w:p w14:paraId="50103926" w14:textId="77777777" w:rsidR="003D4FF5" w:rsidRPr="00C8328B" w:rsidRDefault="003D4FF5" w:rsidP="003D4FF5">
      <w:pPr>
        <w:pStyle w:val="AH3Div"/>
      </w:pPr>
      <w:bookmarkStart w:id="67" w:name="_Toc185513684"/>
      <w:r w:rsidRPr="00C8328B">
        <w:rPr>
          <w:rStyle w:val="CharDivNo"/>
        </w:rPr>
        <w:lastRenderedPageBreak/>
        <w:t>Division 2.3.2</w:t>
      </w:r>
      <w:r>
        <w:tab/>
      </w:r>
      <w:r w:rsidRPr="00C8328B">
        <w:rPr>
          <w:rStyle w:val="CharDivText"/>
        </w:rPr>
        <w:t>Notice of intention to respond and defence—proceedings in Supreme Court for possession of land</w:t>
      </w:r>
      <w:bookmarkEnd w:id="67"/>
    </w:p>
    <w:p w14:paraId="196D534E" w14:textId="77777777" w:rsidR="003D4FF5" w:rsidRDefault="003D4FF5" w:rsidP="003D4FF5">
      <w:pPr>
        <w:pStyle w:val="AH5Sec"/>
      </w:pPr>
      <w:bookmarkStart w:id="68" w:name="_Toc185513685"/>
      <w:r w:rsidRPr="00C8328B">
        <w:rPr>
          <w:rStyle w:val="CharSectNo"/>
        </w:rPr>
        <w:t>150</w:t>
      </w:r>
      <w:r>
        <w:tab/>
        <w:t>Application—div 2.3.2</w:t>
      </w:r>
      <w:bookmarkEnd w:id="68"/>
    </w:p>
    <w:p w14:paraId="12218B6A" w14:textId="77777777" w:rsidR="003D4FF5" w:rsidRDefault="003D4FF5" w:rsidP="003D4FF5">
      <w:pPr>
        <w:pStyle w:val="Amainreturn"/>
      </w:pPr>
      <w:r>
        <w:t>This division applies only in relation to a proceeding in the Supreme Court for the possession of land.</w:t>
      </w:r>
    </w:p>
    <w:p w14:paraId="2BEE1E34" w14:textId="77777777" w:rsidR="003D4FF5" w:rsidRDefault="003D4FF5" w:rsidP="003D4FF5">
      <w:pPr>
        <w:pStyle w:val="AH5Sec"/>
      </w:pPr>
      <w:bookmarkStart w:id="69" w:name="_Toc185513686"/>
      <w:r w:rsidRPr="00C8328B">
        <w:rPr>
          <w:rStyle w:val="CharSectNo"/>
        </w:rPr>
        <w:t>151</w:t>
      </w:r>
      <w:r>
        <w:tab/>
        <w:t>Proceeding for possession of land—leave to file defence etc</w:t>
      </w:r>
      <w:bookmarkEnd w:id="69"/>
    </w:p>
    <w:p w14:paraId="6909694F" w14:textId="77777777"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14:paraId="2919F349" w14:textId="77777777" w:rsidR="003D4FF5" w:rsidRDefault="003D4FF5" w:rsidP="003D4FF5">
      <w:pPr>
        <w:pStyle w:val="aNote"/>
        <w:keepNext/>
      </w:pPr>
      <w:r>
        <w:rPr>
          <w:rStyle w:val="charItals"/>
        </w:rPr>
        <w:t>Note</w:t>
      </w:r>
      <w:r>
        <w:rPr>
          <w:rStyle w:val="charItals"/>
        </w:rPr>
        <w:tab/>
      </w:r>
      <w:r>
        <w:t>Pt 6.2 (Applications in proceedings) applies to an application for leave.</w:t>
      </w:r>
    </w:p>
    <w:p w14:paraId="63970D76" w14:textId="77777777" w:rsidR="003D4FF5" w:rsidRDefault="003D4FF5" w:rsidP="003D4FF5">
      <w:pPr>
        <w:pStyle w:val="Amain"/>
      </w:pPr>
      <w:r>
        <w:tab/>
        <w:t>(2)</w:t>
      </w:r>
      <w:r>
        <w:tab/>
        <w:t>The application must be supported by an affidavit—</w:t>
      </w:r>
    </w:p>
    <w:p w14:paraId="34EC4ED2" w14:textId="77777777" w:rsidR="003D4FF5" w:rsidRDefault="003D4FF5" w:rsidP="003D4FF5">
      <w:pPr>
        <w:pStyle w:val="Apara"/>
      </w:pPr>
      <w:r>
        <w:tab/>
        <w:t>(a)</w:t>
      </w:r>
      <w:r>
        <w:tab/>
        <w:t>showing the person is in possession of the land or part of it; and</w:t>
      </w:r>
    </w:p>
    <w:p w14:paraId="689897CB" w14:textId="77777777" w:rsidR="003D4FF5" w:rsidRDefault="003D4FF5" w:rsidP="003D4FF5">
      <w:pPr>
        <w:pStyle w:val="Apara"/>
      </w:pPr>
      <w:r>
        <w:tab/>
        <w:t>(b)</w:t>
      </w:r>
      <w:r>
        <w:tab/>
        <w:t>stating how the person is in possession.</w:t>
      </w:r>
    </w:p>
    <w:p w14:paraId="410427DA" w14:textId="77777777" w:rsidR="003D4FF5" w:rsidRDefault="003D4FF5" w:rsidP="003D4FF5">
      <w:pPr>
        <w:pStyle w:val="Amain"/>
        <w:keepNext/>
        <w:rPr>
          <w:lang w:val="en-US"/>
        </w:rPr>
      </w:pPr>
      <w:r>
        <w:rPr>
          <w:lang w:val="en-US"/>
        </w:rPr>
        <w:tab/>
        <w:t>(3)</w:t>
      </w:r>
      <w:r>
        <w:rPr>
          <w:lang w:val="en-US"/>
        </w:rPr>
        <w:tab/>
        <w:t>The court may give leave for the person to file the notice or defence.</w:t>
      </w:r>
    </w:p>
    <w:p w14:paraId="5779BF9E" w14:textId="77777777"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14:paraId="74B9000A" w14:textId="77777777"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14:paraId="78437232" w14:textId="77777777" w:rsidR="003D4FF5" w:rsidRDefault="003D4FF5" w:rsidP="003D4FF5">
      <w:pPr>
        <w:pStyle w:val="AH5Sec"/>
      </w:pPr>
      <w:bookmarkStart w:id="70" w:name="_Toc185513687"/>
      <w:r w:rsidRPr="00C8328B">
        <w:rPr>
          <w:rStyle w:val="CharSectNo"/>
        </w:rPr>
        <w:t>152</w:t>
      </w:r>
      <w:r>
        <w:tab/>
        <w:t>Proceeding for possession of land—filing defence etc</w:t>
      </w:r>
      <w:bookmarkEnd w:id="70"/>
    </w:p>
    <w:p w14:paraId="4E80DE07" w14:textId="77777777" w:rsidR="003D4FF5" w:rsidRDefault="003D4FF5" w:rsidP="000B1865">
      <w:pPr>
        <w:pStyle w:val="Amain"/>
        <w:keepNext/>
      </w:pPr>
      <w:r>
        <w:tab/>
        <w:t>(1)</w:t>
      </w:r>
      <w:r>
        <w:tab/>
        <w:t>If the court gives a person leave under rule 151 to file a notice of intention to respond or defence, the person must file the notice or defence—</w:t>
      </w:r>
    </w:p>
    <w:p w14:paraId="40D281BE" w14:textId="77777777" w:rsidR="003D4FF5" w:rsidRDefault="003D4FF5" w:rsidP="003D4FF5">
      <w:pPr>
        <w:pStyle w:val="Apara"/>
      </w:pPr>
      <w:r>
        <w:tab/>
        <w:t>(a)</w:t>
      </w:r>
      <w:r>
        <w:tab/>
        <w:t>not later than 7 days after the day the leave is given; or</w:t>
      </w:r>
    </w:p>
    <w:p w14:paraId="66C82FA3" w14:textId="77777777" w:rsidR="003D4FF5" w:rsidRDefault="003D4FF5" w:rsidP="003D4FF5">
      <w:pPr>
        <w:pStyle w:val="Apara"/>
        <w:keepNext/>
      </w:pPr>
      <w:r>
        <w:lastRenderedPageBreak/>
        <w:tab/>
        <w:t>(b)</w:t>
      </w:r>
      <w:r>
        <w:tab/>
        <w:t>if the court makes an order about when it must be filed—in accordance with the order.</w:t>
      </w:r>
    </w:p>
    <w:p w14:paraId="28D86359" w14:textId="77777777" w:rsidR="003D4FF5" w:rsidRDefault="003D4FF5" w:rsidP="003D4FF5">
      <w:pPr>
        <w:pStyle w:val="aNote"/>
      </w:pPr>
      <w:r>
        <w:rPr>
          <w:rStyle w:val="charItals"/>
        </w:rPr>
        <w:t>Note</w:t>
      </w:r>
      <w:r>
        <w:rPr>
          <w:rStyle w:val="charItals"/>
        </w:rPr>
        <w:tab/>
      </w:r>
      <w:r>
        <w:t>See</w:t>
      </w:r>
    </w:p>
    <w:p w14:paraId="10680CB9" w14:textId="44337573"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8" w:tooltip="AF2021-23" w:history="1">
        <w:r w:rsidR="004A2EC3">
          <w:rPr>
            <w:rStyle w:val="charCitHyperlinkAbbrev"/>
          </w:rPr>
          <w:t>AF2021-23</w:t>
        </w:r>
      </w:hyperlink>
      <w:r w:rsidR="00CF0286">
        <w:t>.</w:t>
      </w:r>
    </w:p>
    <w:p w14:paraId="02BCE250" w14:textId="42370EB7"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59" w:history="1">
        <w:r>
          <w:rPr>
            <w:rStyle w:val="charCitHyperlinkAbbrev"/>
          </w:rPr>
          <w:t>AF2015-28</w:t>
        </w:r>
      </w:hyperlink>
      <w:r>
        <w:t>.</w:t>
      </w:r>
    </w:p>
    <w:p w14:paraId="2342C705" w14:textId="77777777"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14:paraId="53D9C7E2" w14:textId="77777777"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14:paraId="64D61B5E" w14:textId="77777777" w:rsidR="003D4FF5" w:rsidRDefault="003D4FF5" w:rsidP="003D4FF5">
      <w:pPr>
        <w:pStyle w:val="AH5Sec"/>
      </w:pPr>
      <w:bookmarkStart w:id="71" w:name="_Toc185513688"/>
      <w:r w:rsidRPr="00C8328B">
        <w:rPr>
          <w:rStyle w:val="CharSectNo"/>
        </w:rPr>
        <w:t>153</w:t>
      </w:r>
      <w:r>
        <w:tab/>
        <w:t>Proceeding for possession of land—service of defence etc</w:t>
      </w:r>
      <w:bookmarkEnd w:id="71"/>
    </w:p>
    <w:p w14:paraId="04E4BF11" w14:textId="77777777"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14:paraId="5682A174" w14:textId="77777777" w:rsidR="003D4FF5" w:rsidRDefault="003D4FF5" w:rsidP="003D4FF5">
      <w:pPr>
        <w:pStyle w:val="Apara"/>
      </w:pPr>
      <w:r>
        <w:tab/>
        <w:t>(a)</w:t>
      </w:r>
      <w:r>
        <w:tab/>
        <w:t>a sealed copy of the notice or defence;</w:t>
      </w:r>
    </w:p>
    <w:p w14:paraId="6C78B468" w14:textId="77777777" w:rsidR="003D4FF5" w:rsidRDefault="003D4FF5" w:rsidP="003D4FF5">
      <w:pPr>
        <w:pStyle w:val="Apara"/>
      </w:pPr>
      <w:r>
        <w:tab/>
        <w:t>(b)</w:t>
      </w:r>
      <w:r>
        <w:tab/>
        <w:t>a stamped copy of the affidavit mentioned in rule 151 (2) (Proceeding for possession of land—leave to file defence etc).</w:t>
      </w:r>
    </w:p>
    <w:p w14:paraId="6DADEEBE" w14:textId="77777777"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14:paraId="44ACDDB1" w14:textId="77777777" w:rsidR="003D4FF5" w:rsidRDefault="003D4FF5" w:rsidP="003D4FF5">
      <w:pPr>
        <w:pStyle w:val="Amain"/>
        <w:keepNext/>
      </w:pPr>
      <w:r>
        <w:tab/>
        <w:t>(2)</w:t>
      </w:r>
      <w:r>
        <w:tab/>
        <w:t>The person must serve the relevant documents—</w:t>
      </w:r>
    </w:p>
    <w:p w14:paraId="36C1B415" w14:textId="77777777" w:rsidR="003D4FF5" w:rsidRDefault="003D4FF5" w:rsidP="000B1865">
      <w:pPr>
        <w:pStyle w:val="Apara"/>
        <w:keepNext/>
      </w:pPr>
      <w:r>
        <w:tab/>
        <w:t>(a)</w:t>
      </w:r>
      <w:r>
        <w:tab/>
        <w:t>not later than 7 days after the day the notice or defence is filed; or</w:t>
      </w:r>
    </w:p>
    <w:p w14:paraId="402648DE" w14:textId="77777777" w:rsidR="003D4FF5" w:rsidRDefault="003D4FF5" w:rsidP="003D4FF5">
      <w:pPr>
        <w:pStyle w:val="Apara"/>
      </w:pPr>
      <w:r>
        <w:tab/>
        <w:t>(b)</w:t>
      </w:r>
      <w:r>
        <w:tab/>
        <w:t>if the court makes an order about when they must be served—in accordance with the order.</w:t>
      </w:r>
    </w:p>
    <w:p w14:paraId="17C6522E" w14:textId="77777777" w:rsidR="003D4FF5" w:rsidRDefault="003D4FF5" w:rsidP="003D4FF5">
      <w:pPr>
        <w:pStyle w:val="PageBreak"/>
      </w:pPr>
      <w:r>
        <w:br w:type="page"/>
      </w:r>
    </w:p>
    <w:p w14:paraId="2E4B66E9" w14:textId="77777777" w:rsidR="003D4FF5" w:rsidRPr="00C8328B" w:rsidRDefault="003D4FF5" w:rsidP="003D4FF5">
      <w:pPr>
        <w:pStyle w:val="AH2Part"/>
      </w:pPr>
      <w:bookmarkStart w:id="72" w:name="_Toc185513689"/>
      <w:r w:rsidRPr="00C8328B">
        <w:rPr>
          <w:rStyle w:val="CharPartNo"/>
        </w:rPr>
        <w:lastRenderedPageBreak/>
        <w:t>Part 2.4</w:t>
      </w:r>
      <w:r>
        <w:tab/>
      </w:r>
      <w:r w:rsidRPr="00C8328B">
        <w:rPr>
          <w:rStyle w:val="CharPartText"/>
        </w:rPr>
        <w:t>Parties and proceedings</w:t>
      </w:r>
      <w:bookmarkEnd w:id="72"/>
    </w:p>
    <w:p w14:paraId="1DB7B4F7" w14:textId="77777777" w:rsidR="003D4FF5" w:rsidRPr="00C8328B" w:rsidRDefault="003D4FF5" w:rsidP="003D4FF5">
      <w:pPr>
        <w:pStyle w:val="AH3Div"/>
      </w:pPr>
      <w:bookmarkStart w:id="73" w:name="_Toc185513690"/>
      <w:r w:rsidRPr="00C8328B">
        <w:rPr>
          <w:rStyle w:val="CharDivNo"/>
        </w:rPr>
        <w:t>Division 2.4.1</w:t>
      </w:r>
      <w:r>
        <w:tab/>
      </w:r>
      <w:r w:rsidRPr="00C8328B">
        <w:rPr>
          <w:rStyle w:val="CharDivText"/>
        </w:rPr>
        <w:t>Including causes of action</w:t>
      </w:r>
      <w:bookmarkEnd w:id="73"/>
    </w:p>
    <w:p w14:paraId="2BA623AD" w14:textId="77777777" w:rsidR="003D4FF5" w:rsidRDefault="003D4FF5" w:rsidP="003D4FF5">
      <w:pPr>
        <w:pStyle w:val="AH5Sec"/>
      </w:pPr>
      <w:bookmarkStart w:id="74" w:name="_Toc185513691"/>
      <w:r w:rsidRPr="00C8328B">
        <w:rPr>
          <w:rStyle w:val="CharSectNo"/>
        </w:rPr>
        <w:t>200</w:t>
      </w:r>
      <w:r>
        <w:tab/>
        <w:t>Including causes of action</w:t>
      </w:r>
      <w:bookmarkEnd w:id="74"/>
    </w:p>
    <w:p w14:paraId="1FB36350" w14:textId="77777777"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14:paraId="3FF5C822" w14:textId="77777777"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14:paraId="530B928C" w14:textId="77777777" w:rsidR="003D4FF5" w:rsidRDefault="003D4FF5" w:rsidP="003D4FF5">
      <w:pPr>
        <w:pStyle w:val="Amain"/>
        <w:keepNext/>
      </w:pPr>
      <w:r>
        <w:tab/>
        <w:t>(3)</w:t>
      </w:r>
      <w:r>
        <w:tab/>
        <w:t>Also, a claim by a trustee in bankruptcy must not be included with a claim by the trustee in any other capacity except with the court’s leave.</w:t>
      </w:r>
    </w:p>
    <w:p w14:paraId="7E01E8A9"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2A479980" w14:textId="77777777" w:rsidR="003D4FF5" w:rsidRDefault="003D4FF5" w:rsidP="003D4FF5">
      <w:pPr>
        <w:pStyle w:val="Amain"/>
      </w:pPr>
      <w:r>
        <w:tab/>
        <w:t>(4)</w:t>
      </w:r>
      <w:r>
        <w:tab/>
        <w:t>This rule is subject to rule 202 (Including causes of action inconveniently etc).</w:t>
      </w:r>
    </w:p>
    <w:p w14:paraId="17D891F4" w14:textId="77777777" w:rsidR="003D4FF5" w:rsidRDefault="003D4FF5" w:rsidP="003D4FF5">
      <w:pPr>
        <w:pStyle w:val="AH5Sec"/>
      </w:pPr>
      <w:bookmarkStart w:id="75" w:name="_Toc185513692"/>
      <w:r w:rsidRPr="00C8328B">
        <w:rPr>
          <w:rStyle w:val="CharSectNo"/>
        </w:rPr>
        <w:t>201</w:t>
      </w:r>
      <w:r>
        <w:tab/>
        <w:t>Joint and separate claims</w:t>
      </w:r>
      <w:bookmarkEnd w:id="75"/>
    </w:p>
    <w:p w14:paraId="6A63F7EF" w14:textId="77777777" w:rsidR="003D4FF5" w:rsidRDefault="003D4FF5" w:rsidP="003D4FF5">
      <w:pPr>
        <w:pStyle w:val="Amainreturn"/>
      </w:pPr>
      <w:r>
        <w:t>Claims by plaintiffs jointly may be included with claims by them or any of them separately against the same defendant.</w:t>
      </w:r>
    </w:p>
    <w:p w14:paraId="182B71CE" w14:textId="77777777" w:rsidR="003D4FF5" w:rsidRDefault="003D4FF5" w:rsidP="003D4FF5">
      <w:pPr>
        <w:pStyle w:val="AH5Sec"/>
      </w:pPr>
      <w:bookmarkStart w:id="76" w:name="_Toc185513693"/>
      <w:r w:rsidRPr="00C8328B">
        <w:rPr>
          <w:rStyle w:val="CharSectNo"/>
        </w:rPr>
        <w:t>202</w:t>
      </w:r>
      <w:r>
        <w:tab/>
        <w:t>Including causes of action inconveniently etc</w:t>
      </w:r>
      <w:bookmarkEnd w:id="76"/>
    </w:p>
    <w:p w14:paraId="55B9A77A" w14:textId="77777777" w:rsidR="003D4FF5" w:rsidRDefault="003D4FF5" w:rsidP="003D4FF5">
      <w:pPr>
        <w:pStyle w:val="Amain"/>
        <w:keepNext/>
      </w:pPr>
      <w:r>
        <w:tab/>
        <w:t>(1)</w:t>
      </w:r>
      <w:r>
        <w:tab/>
        <w:t>This rule applies if the court considers that including a cause of action in a proceeding—</w:t>
      </w:r>
    </w:p>
    <w:p w14:paraId="4E5AE3A3" w14:textId="77777777" w:rsidR="003D4FF5" w:rsidRDefault="003D4FF5" w:rsidP="003D4FF5">
      <w:pPr>
        <w:pStyle w:val="Apara"/>
      </w:pPr>
      <w:r>
        <w:tab/>
        <w:t>(a)</w:t>
      </w:r>
      <w:r>
        <w:tab/>
        <w:t>may unfairly prejudice another party; or</w:t>
      </w:r>
    </w:p>
    <w:p w14:paraId="0FDBC8C6" w14:textId="77777777" w:rsidR="003D4FF5" w:rsidRDefault="003D4FF5" w:rsidP="003D4FF5">
      <w:pPr>
        <w:pStyle w:val="Apara"/>
      </w:pPr>
      <w:r>
        <w:tab/>
        <w:t>(b)</w:t>
      </w:r>
      <w:r>
        <w:tab/>
        <w:t>may delay the conduct of the proceeding; or</w:t>
      </w:r>
    </w:p>
    <w:p w14:paraId="7DB1FE43" w14:textId="77777777" w:rsidR="003D4FF5" w:rsidRDefault="003D4FF5" w:rsidP="003D4FF5">
      <w:pPr>
        <w:pStyle w:val="Apara"/>
      </w:pPr>
      <w:r>
        <w:tab/>
        <w:t>(c)</w:t>
      </w:r>
      <w:r>
        <w:tab/>
        <w:t>is otherwise inconvenient.</w:t>
      </w:r>
    </w:p>
    <w:p w14:paraId="3074423B" w14:textId="77777777" w:rsidR="003D4FF5" w:rsidRDefault="003D4FF5" w:rsidP="003D4FF5">
      <w:pPr>
        <w:pStyle w:val="Amain"/>
        <w:keepNext/>
      </w:pPr>
      <w:r>
        <w:lastRenderedPageBreak/>
        <w:tab/>
        <w:t>(2)</w:t>
      </w:r>
      <w:r>
        <w:tab/>
        <w:t>The court may—</w:t>
      </w:r>
    </w:p>
    <w:p w14:paraId="771DAEDE" w14:textId="77777777" w:rsidR="003D4FF5" w:rsidRDefault="003D4FF5" w:rsidP="003D4FF5">
      <w:pPr>
        <w:pStyle w:val="Apara"/>
      </w:pPr>
      <w:r>
        <w:tab/>
        <w:t>(a)</w:t>
      </w:r>
      <w:r>
        <w:tab/>
        <w:t>order separate trials; or</w:t>
      </w:r>
    </w:p>
    <w:p w14:paraId="48CA67E5" w14:textId="77777777" w:rsidR="003D4FF5" w:rsidRDefault="003D4FF5" w:rsidP="003D4FF5">
      <w:pPr>
        <w:pStyle w:val="Apara"/>
      </w:pPr>
      <w:r>
        <w:tab/>
        <w:t>(b)</w:t>
      </w:r>
      <w:r>
        <w:tab/>
        <w:t>make any other order (including about costs) it considers appropriate.</w:t>
      </w:r>
    </w:p>
    <w:p w14:paraId="18008FBD" w14:textId="77777777" w:rsidR="003D4FF5" w:rsidRDefault="003D4FF5" w:rsidP="003D4FF5">
      <w:pPr>
        <w:pStyle w:val="aExamHdgss"/>
      </w:pPr>
      <w:r>
        <w:t>Examples for par (b)</w:t>
      </w:r>
    </w:p>
    <w:p w14:paraId="68970D70" w14:textId="77777777" w:rsidR="003D4FF5" w:rsidRDefault="003D4FF5" w:rsidP="003D4FF5">
      <w:pPr>
        <w:pStyle w:val="aExamINumss"/>
      </w:pPr>
      <w:r>
        <w:t>1</w:t>
      </w:r>
      <w:r>
        <w:tab/>
        <w:t>an order for costs in favour of a party for attending a part of a trial in which the party has no interest</w:t>
      </w:r>
    </w:p>
    <w:p w14:paraId="05EB8258" w14:textId="77777777" w:rsidR="003D4FF5" w:rsidRDefault="003D4FF5" w:rsidP="003D4FF5">
      <w:pPr>
        <w:pStyle w:val="aExamINumss"/>
      </w:pPr>
      <w:r>
        <w:t>2</w:t>
      </w:r>
      <w:r>
        <w:tab/>
        <w:t>an order relieving a party from attending a part of a trial in which the party has no interest</w:t>
      </w:r>
    </w:p>
    <w:p w14:paraId="36F418BA"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4D65583C" w14:textId="77777777" w:rsidR="003D4FF5" w:rsidRDefault="003D4FF5" w:rsidP="003D4FF5">
      <w:pPr>
        <w:pStyle w:val="Amain"/>
        <w:keepNext/>
      </w:pPr>
      <w:r>
        <w:tab/>
        <w:t>(3)</w:t>
      </w:r>
      <w:r>
        <w:tab/>
        <w:t>The court may make an order under this rule on application by a defendant to the proceeding or on its own initiative.</w:t>
      </w:r>
    </w:p>
    <w:p w14:paraId="43F6C64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D21220D" w14:textId="77777777" w:rsidR="003D4FF5" w:rsidRPr="00C8328B" w:rsidRDefault="003D4FF5" w:rsidP="003D4FF5">
      <w:pPr>
        <w:pStyle w:val="AH3Div"/>
      </w:pPr>
      <w:bookmarkStart w:id="77" w:name="_Toc185513694"/>
      <w:r w:rsidRPr="00C8328B">
        <w:rPr>
          <w:rStyle w:val="CharDivNo"/>
        </w:rPr>
        <w:t>Division 2.4.2</w:t>
      </w:r>
      <w:r>
        <w:tab/>
      </w:r>
      <w:r w:rsidRPr="00C8328B">
        <w:rPr>
          <w:rStyle w:val="CharDivText"/>
        </w:rPr>
        <w:t>Including and substituting parties</w:t>
      </w:r>
      <w:bookmarkEnd w:id="77"/>
    </w:p>
    <w:p w14:paraId="2B243686" w14:textId="77777777" w:rsidR="003D4FF5" w:rsidRDefault="003D4FF5" w:rsidP="003D4FF5">
      <w:pPr>
        <w:pStyle w:val="AH5Sec"/>
      </w:pPr>
      <w:bookmarkStart w:id="78" w:name="_Toc185513695"/>
      <w:r w:rsidRPr="00C8328B">
        <w:rPr>
          <w:rStyle w:val="CharSectNo"/>
        </w:rPr>
        <w:t>210</w:t>
      </w:r>
      <w:r>
        <w:tab/>
        <w:t>Necessary parties</w:t>
      </w:r>
      <w:bookmarkEnd w:id="78"/>
    </w:p>
    <w:p w14:paraId="274C7871" w14:textId="77777777"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14:paraId="3BB53EA6" w14:textId="77777777" w:rsidR="003D4FF5" w:rsidRDefault="003D4FF5" w:rsidP="003D4FF5">
      <w:pPr>
        <w:pStyle w:val="AH5Sec"/>
      </w:pPr>
      <w:bookmarkStart w:id="79" w:name="_Toc185513696"/>
      <w:r w:rsidRPr="00C8328B">
        <w:rPr>
          <w:rStyle w:val="CharSectNo"/>
        </w:rPr>
        <w:t>211</w:t>
      </w:r>
      <w:r>
        <w:tab/>
        <w:t>Including parties—common issues of law or fact</w:t>
      </w:r>
      <w:bookmarkEnd w:id="79"/>
    </w:p>
    <w:p w14:paraId="3331379A" w14:textId="77777777" w:rsidR="003D4FF5" w:rsidRDefault="003D4FF5" w:rsidP="003D4FF5">
      <w:pPr>
        <w:pStyle w:val="Amain"/>
        <w:keepNext/>
      </w:pPr>
      <w:r>
        <w:tab/>
        <w:t>(1)</w:t>
      </w:r>
      <w:r>
        <w:tab/>
        <w:t>Two or more people may be included as plaintiffs or defendants in a proceeding—</w:t>
      </w:r>
    </w:p>
    <w:p w14:paraId="022EEBDC" w14:textId="77777777" w:rsidR="003D4FF5" w:rsidRDefault="003D4FF5" w:rsidP="003D4FF5">
      <w:pPr>
        <w:pStyle w:val="Apara"/>
        <w:keepNext/>
      </w:pPr>
      <w:r>
        <w:tab/>
        <w:t>(a)</w:t>
      </w:r>
      <w:r>
        <w:tab/>
        <w:t>if—</w:t>
      </w:r>
    </w:p>
    <w:p w14:paraId="5D1B1363" w14:textId="77777777" w:rsidR="003D4FF5" w:rsidRDefault="003D4FF5" w:rsidP="003D4FF5">
      <w:pPr>
        <w:pStyle w:val="Asubpara"/>
      </w:pPr>
      <w:r>
        <w:tab/>
        <w:t>(i)</w:t>
      </w:r>
      <w:r>
        <w:tab/>
        <w:t>separate proceedings by or against each of them may give rise to a common issue of law or fact; and</w:t>
      </w:r>
    </w:p>
    <w:p w14:paraId="72C3AD35" w14:textId="77777777"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14:paraId="57D8BED7" w14:textId="77777777" w:rsidR="003D4FF5" w:rsidRDefault="003D4FF5" w:rsidP="003D4FF5">
      <w:pPr>
        <w:pStyle w:val="Apara"/>
      </w:pPr>
      <w:r>
        <w:tab/>
        <w:t>(b)</w:t>
      </w:r>
      <w:r>
        <w:tab/>
        <w:t>if the court orders that they be included.</w:t>
      </w:r>
    </w:p>
    <w:p w14:paraId="311E3039" w14:textId="77777777"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14:paraId="6E2CC6AF" w14:textId="77777777"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14:paraId="46CF0875" w14:textId="77777777"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14:paraId="0F84451A" w14:textId="77777777" w:rsidR="003D4FF5" w:rsidRDefault="003D4FF5" w:rsidP="003D4FF5">
      <w:pPr>
        <w:pStyle w:val="AH5Sec"/>
      </w:pPr>
      <w:bookmarkStart w:id="80" w:name="_Toc185513697"/>
      <w:r w:rsidRPr="00C8328B">
        <w:rPr>
          <w:rStyle w:val="CharSectNo"/>
        </w:rPr>
        <w:t>212</w:t>
      </w:r>
      <w:r>
        <w:tab/>
        <w:t>Including parties—defendants may be sued jointly, severally, or in alternative</w:t>
      </w:r>
      <w:bookmarkEnd w:id="80"/>
    </w:p>
    <w:p w14:paraId="605BACB1" w14:textId="77777777"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14:paraId="37FCEF9F" w14:textId="77777777" w:rsidR="003D4FF5" w:rsidRDefault="003D4FF5" w:rsidP="003D4FF5">
      <w:pPr>
        <w:pStyle w:val="Amain"/>
      </w:pPr>
      <w:r>
        <w:tab/>
        <w:t>(2)</w:t>
      </w:r>
      <w:r>
        <w:tab/>
        <w:t>The court may enter judgment against any defendant found to be liable in accordance with the defendant’s proportionate liability.</w:t>
      </w:r>
    </w:p>
    <w:p w14:paraId="7D81811F" w14:textId="080D6332" w:rsidR="003D4FF5" w:rsidRDefault="003D4FF5" w:rsidP="003D4FF5">
      <w:pPr>
        <w:pStyle w:val="Amain"/>
      </w:pPr>
      <w:r>
        <w:tab/>
        <w:t>(3)</w:t>
      </w:r>
      <w:r>
        <w:tab/>
        <w:t xml:space="preserve">This rule is subject to the </w:t>
      </w:r>
      <w:hyperlink r:id="rId60" w:tooltip="A2002-40" w:history="1">
        <w:r w:rsidRPr="005A5F43">
          <w:rPr>
            <w:rStyle w:val="charCitHyperlinkItal"/>
          </w:rPr>
          <w:t>Civil Law (Wrongs) Act 2002</w:t>
        </w:r>
      </w:hyperlink>
      <w:r>
        <w:t>, chapter 7A (Proportionate liability).</w:t>
      </w:r>
    </w:p>
    <w:p w14:paraId="6C4384B6" w14:textId="77777777" w:rsidR="003D4FF5" w:rsidRDefault="003D4FF5" w:rsidP="003D4FF5">
      <w:pPr>
        <w:pStyle w:val="AH5Sec"/>
      </w:pPr>
      <w:bookmarkStart w:id="81" w:name="_Toc185513698"/>
      <w:r w:rsidRPr="00C8328B">
        <w:rPr>
          <w:rStyle w:val="CharSectNo"/>
        </w:rPr>
        <w:t>213</w:t>
      </w:r>
      <w:r>
        <w:tab/>
        <w:t>Including parties—joint entitlement</w:t>
      </w:r>
      <w:bookmarkEnd w:id="81"/>
    </w:p>
    <w:p w14:paraId="75471D18" w14:textId="77777777" w:rsidR="003D4FF5" w:rsidRDefault="003D4FF5" w:rsidP="003D4FF5">
      <w:pPr>
        <w:pStyle w:val="Amain"/>
      </w:pPr>
      <w:r>
        <w:tab/>
        <w:t>(1)</w:t>
      </w:r>
      <w:r>
        <w:tab/>
        <w:t>If a plaintiff seeks relief to which someone else is entitled jointly with the plaintiff, everyone entitled to the relief must be parties to the proceeding.</w:t>
      </w:r>
    </w:p>
    <w:p w14:paraId="44341FF9" w14:textId="77777777" w:rsidR="003D4FF5" w:rsidRDefault="003D4FF5" w:rsidP="003D4FF5">
      <w:pPr>
        <w:pStyle w:val="Amain"/>
      </w:pPr>
      <w:r>
        <w:lastRenderedPageBreak/>
        <w:tab/>
        <w:t>(2)</w:t>
      </w:r>
      <w:r>
        <w:tab/>
        <w:t>A person entitled to seek relief who does not agree to be a plaintiff must be included as a defendant.</w:t>
      </w:r>
    </w:p>
    <w:p w14:paraId="1EBB6FD9" w14:textId="77777777" w:rsidR="003D4FF5" w:rsidRDefault="003D4FF5" w:rsidP="003D4FF5">
      <w:pPr>
        <w:pStyle w:val="Amain"/>
      </w:pPr>
      <w:r>
        <w:tab/>
        <w:t>(3)</w:t>
      </w:r>
      <w:r>
        <w:tab/>
        <w:t>This rule does not require a person to be included if another law provides that the person need not be included or must not be included.</w:t>
      </w:r>
    </w:p>
    <w:p w14:paraId="17BE89E3" w14:textId="77777777" w:rsidR="003D4FF5" w:rsidRDefault="003D4FF5" w:rsidP="003D4FF5">
      <w:pPr>
        <w:pStyle w:val="aExamHdgss"/>
        <w:keepNext w:val="0"/>
      </w:pPr>
      <w:r>
        <w:t>Example</w:t>
      </w:r>
    </w:p>
    <w:p w14:paraId="03BC89D5" w14:textId="04E76FE6" w:rsidR="003D4FF5" w:rsidRDefault="003D4FF5" w:rsidP="003D4FF5">
      <w:pPr>
        <w:pStyle w:val="aExamss"/>
      </w:pPr>
      <w:r>
        <w:t xml:space="preserve">The </w:t>
      </w:r>
      <w:hyperlink r:id="rId61"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14:paraId="730064FA" w14:textId="77777777" w:rsidR="003D4FF5" w:rsidRDefault="003D4FF5" w:rsidP="003D4FF5">
      <w:pPr>
        <w:pStyle w:val="AH5Sec"/>
      </w:pPr>
      <w:bookmarkStart w:id="82" w:name="_Toc185513699"/>
      <w:r w:rsidRPr="00C8328B">
        <w:rPr>
          <w:rStyle w:val="CharSectNo"/>
        </w:rPr>
        <w:t>214</w:t>
      </w:r>
      <w:r>
        <w:tab/>
        <w:t>Including parties—joint or several liability</w:t>
      </w:r>
      <w:bookmarkEnd w:id="82"/>
    </w:p>
    <w:p w14:paraId="712EB84A" w14:textId="77777777"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14:paraId="2860D742" w14:textId="77777777"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14:paraId="262ED9DE"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6E68D9C9" w14:textId="77777777" w:rsidR="003D4FF5" w:rsidRDefault="003D4FF5" w:rsidP="003D4FF5">
      <w:pPr>
        <w:pStyle w:val="AH5Sec"/>
      </w:pPr>
      <w:bookmarkStart w:id="83" w:name="_Toc185513700"/>
      <w:r w:rsidRPr="00C8328B">
        <w:rPr>
          <w:rStyle w:val="CharSectNo"/>
        </w:rPr>
        <w:t>215</w:t>
      </w:r>
      <w:r>
        <w:tab/>
        <w:t>Including parties—plaintiff in doubt about defendant etc</w:t>
      </w:r>
      <w:bookmarkEnd w:id="83"/>
    </w:p>
    <w:p w14:paraId="4777E071" w14:textId="77777777" w:rsidR="003D4FF5" w:rsidRDefault="003D4FF5" w:rsidP="003D4FF5">
      <w:pPr>
        <w:pStyle w:val="Amainreturn"/>
        <w:keepNext/>
      </w:pPr>
      <w:r>
        <w:t>Two or more people may be included as defendants in a proceeding if—</w:t>
      </w:r>
    </w:p>
    <w:p w14:paraId="5CEA2298" w14:textId="77777777" w:rsidR="003D4FF5" w:rsidRDefault="003D4FF5" w:rsidP="003D4FF5">
      <w:pPr>
        <w:pStyle w:val="Apara"/>
      </w:pPr>
      <w:r>
        <w:tab/>
        <w:t>(a)</w:t>
      </w:r>
      <w:r>
        <w:tab/>
        <w:t>there is doubt about—</w:t>
      </w:r>
    </w:p>
    <w:p w14:paraId="1D3E0F5E" w14:textId="77777777" w:rsidR="003D4FF5" w:rsidRDefault="003D4FF5" w:rsidP="003D4FF5">
      <w:pPr>
        <w:pStyle w:val="Asubpara"/>
      </w:pPr>
      <w:r>
        <w:tab/>
        <w:t>(i)</w:t>
      </w:r>
      <w:r>
        <w:tab/>
        <w:t>the person from whom the plaintiff is entitled to relief; or</w:t>
      </w:r>
    </w:p>
    <w:p w14:paraId="70E03D12" w14:textId="77777777" w:rsidR="003D4FF5" w:rsidRDefault="003D4FF5" w:rsidP="003D4FF5">
      <w:pPr>
        <w:pStyle w:val="Asubpara"/>
      </w:pPr>
      <w:r>
        <w:tab/>
        <w:t>(ii)</w:t>
      </w:r>
      <w:r>
        <w:tab/>
        <w:t>the respective amounts for which each may be liable; or</w:t>
      </w:r>
    </w:p>
    <w:p w14:paraId="6593D705" w14:textId="77777777"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14:paraId="73ACC1D7" w14:textId="77777777" w:rsidR="003D4FF5" w:rsidRDefault="003D4FF5" w:rsidP="003D4FF5">
      <w:pPr>
        <w:pStyle w:val="AH5Sec"/>
      </w:pPr>
      <w:bookmarkStart w:id="84" w:name="_Toc185513701"/>
      <w:r w:rsidRPr="00C8328B">
        <w:rPr>
          <w:rStyle w:val="CharSectNo"/>
        </w:rPr>
        <w:lastRenderedPageBreak/>
        <w:t>216</w:t>
      </w:r>
      <w:r>
        <w:tab/>
        <w:t>Including defendants—identical interest in relief unnecessary</w:t>
      </w:r>
      <w:bookmarkEnd w:id="84"/>
    </w:p>
    <w:p w14:paraId="45954BF1" w14:textId="77777777" w:rsidR="003D4FF5" w:rsidRDefault="003D4FF5" w:rsidP="003D4FF5">
      <w:pPr>
        <w:pStyle w:val="Amain"/>
      </w:pPr>
      <w:r>
        <w:tab/>
        <w:t>(1)</w:t>
      </w:r>
      <w:r>
        <w:tab/>
        <w:t>It is not necessary for every defendant to be interested in all the relief sought or in every cause of action included in a proceeding.</w:t>
      </w:r>
    </w:p>
    <w:p w14:paraId="0B8F39B1" w14:textId="77777777"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14:paraId="10A4E65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1244895" w14:textId="77777777" w:rsidR="003D4FF5" w:rsidRDefault="003D4FF5" w:rsidP="003D4FF5">
      <w:pPr>
        <w:pStyle w:val="AH5Sec"/>
      </w:pPr>
      <w:bookmarkStart w:id="85" w:name="_Toc185513702"/>
      <w:r w:rsidRPr="00C8328B">
        <w:rPr>
          <w:rStyle w:val="CharSectNo"/>
        </w:rPr>
        <w:t>217</w:t>
      </w:r>
      <w:r>
        <w:tab/>
        <w:t>Including parties inconveniently etc</w:t>
      </w:r>
      <w:bookmarkEnd w:id="85"/>
    </w:p>
    <w:p w14:paraId="0801347B" w14:textId="77777777"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14:paraId="3146F693" w14:textId="77777777" w:rsidR="003D4FF5" w:rsidRDefault="003D4FF5" w:rsidP="003D4FF5">
      <w:pPr>
        <w:pStyle w:val="Apara"/>
      </w:pPr>
      <w:r>
        <w:tab/>
        <w:t>(a)</w:t>
      </w:r>
      <w:r>
        <w:tab/>
        <w:t>order separate trials; or</w:t>
      </w:r>
    </w:p>
    <w:p w14:paraId="0A6E3F78" w14:textId="77777777" w:rsidR="003D4FF5" w:rsidRDefault="003D4FF5" w:rsidP="003D4FF5">
      <w:pPr>
        <w:pStyle w:val="Apara"/>
        <w:keepNext/>
      </w:pPr>
      <w:r>
        <w:tab/>
        <w:t>(b)</w:t>
      </w:r>
      <w:r>
        <w:tab/>
        <w:t>make any other order (including about costs) it considers appropriate.</w:t>
      </w:r>
    </w:p>
    <w:p w14:paraId="42859ECF" w14:textId="77777777" w:rsidR="003D4FF5" w:rsidRDefault="003D4FF5" w:rsidP="003D4FF5">
      <w:pPr>
        <w:pStyle w:val="aExamHdgss"/>
      </w:pPr>
      <w:r>
        <w:t>Examples for par (b)</w:t>
      </w:r>
    </w:p>
    <w:p w14:paraId="1B2A383A" w14:textId="77777777" w:rsidR="003D4FF5" w:rsidRDefault="003D4FF5" w:rsidP="003D4FF5">
      <w:pPr>
        <w:pStyle w:val="aExamINumss"/>
      </w:pPr>
      <w:r>
        <w:t>1</w:t>
      </w:r>
      <w:r>
        <w:tab/>
        <w:t>an order for costs in favour of a party for attending a part of a trial in which the party has no interest</w:t>
      </w:r>
    </w:p>
    <w:p w14:paraId="3DBBD86B" w14:textId="77777777" w:rsidR="003D4FF5" w:rsidRDefault="003D4FF5" w:rsidP="003D4FF5">
      <w:pPr>
        <w:pStyle w:val="aExamINumss"/>
      </w:pPr>
      <w:r>
        <w:t>2</w:t>
      </w:r>
      <w:r>
        <w:tab/>
        <w:t>an order relieving a party from attending a part of a trial in which the party has no interest</w:t>
      </w:r>
    </w:p>
    <w:p w14:paraId="6A6A686B"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0F34D220" w14:textId="77777777" w:rsidR="003D4FF5" w:rsidRDefault="003D4FF5" w:rsidP="003D4FF5">
      <w:pPr>
        <w:pStyle w:val="Amain"/>
        <w:keepNext/>
      </w:pPr>
      <w:r>
        <w:tab/>
        <w:t>(2)</w:t>
      </w:r>
      <w:r>
        <w:tab/>
        <w:t>The court may make an order under this rule on application by a party to the proceeding (other than a plaintiff) or on its own initiative.</w:t>
      </w:r>
    </w:p>
    <w:p w14:paraId="786DD5C3"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8AE8643" w14:textId="77777777" w:rsidR="003D4FF5" w:rsidRDefault="003D4FF5" w:rsidP="003D4FF5">
      <w:pPr>
        <w:pStyle w:val="AH5Sec"/>
      </w:pPr>
      <w:bookmarkStart w:id="86" w:name="_Toc185513703"/>
      <w:r w:rsidRPr="00C8328B">
        <w:rPr>
          <w:rStyle w:val="CharSectNo"/>
        </w:rPr>
        <w:lastRenderedPageBreak/>
        <w:t>218</w:t>
      </w:r>
      <w:r>
        <w:tab/>
        <w:t>Including parties—parties incorrectly included or not included</w:t>
      </w:r>
      <w:bookmarkEnd w:id="86"/>
    </w:p>
    <w:p w14:paraId="4A618BE2" w14:textId="77777777"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14:paraId="1B404B40" w14:textId="77777777" w:rsidR="003D4FF5" w:rsidRDefault="003D4FF5" w:rsidP="003D4FF5">
      <w:pPr>
        <w:pStyle w:val="AH5Sec"/>
      </w:pPr>
      <w:bookmarkStart w:id="87" w:name="_Toc185513704"/>
      <w:r w:rsidRPr="00C8328B">
        <w:rPr>
          <w:rStyle w:val="CharSectNo"/>
        </w:rPr>
        <w:t>219</w:t>
      </w:r>
      <w:r>
        <w:tab/>
        <w:t>Counterclaim or set-off when co-plaintiff wrongly included</w:t>
      </w:r>
      <w:bookmarkEnd w:id="87"/>
    </w:p>
    <w:p w14:paraId="0C938A2E" w14:textId="77777777" w:rsidR="003D4FF5" w:rsidRDefault="003D4FF5" w:rsidP="003D4FF5">
      <w:pPr>
        <w:pStyle w:val="Amain"/>
      </w:pPr>
      <w:r>
        <w:tab/>
        <w:t>(1)</w:t>
      </w:r>
      <w:r>
        <w:tab/>
        <w:t>This rule applies if—</w:t>
      </w:r>
    </w:p>
    <w:p w14:paraId="1328B578" w14:textId="77777777" w:rsidR="003D4FF5" w:rsidRDefault="003D4FF5" w:rsidP="003D4FF5">
      <w:pPr>
        <w:pStyle w:val="Apara"/>
      </w:pPr>
      <w:r>
        <w:tab/>
        <w:t>(a)</w:t>
      </w:r>
      <w:r>
        <w:tab/>
        <w:t>a person has been incorrectly or unnecessarily included as a co-plaintiff in a proceeding; and</w:t>
      </w:r>
    </w:p>
    <w:p w14:paraId="1BC67D42" w14:textId="77777777" w:rsidR="003D4FF5" w:rsidRDefault="003D4FF5" w:rsidP="003D4FF5">
      <w:pPr>
        <w:pStyle w:val="Apara"/>
      </w:pPr>
      <w:r>
        <w:tab/>
        <w:t>(b)</w:t>
      </w:r>
      <w:r>
        <w:tab/>
        <w:t>the defendant has set up a counterclaim or set–off.</w:t>
      </w:r>
    </w:p>
    <w:p w14:paraId="28C01D74" w14:textId="77777777"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14:paraId="6D36A1C3" w14:textId="77777777" w:rsidR="003D4FF5" w:rsidRDefault="003D4FF5" w:rsidP="003D4FF5">
      <w:pPr>
        <w:pStyle w:val="Amain"/>
      </w:pPr>
      <w:r>
        <w:tab/>
        <w:t>(3)</w:t>
      </w:r>
      <w:r>
        <w:tab/>
        <w:t>The defendant’s entitlement under subrule (2) is not affected by—</w:t>
      </w:r>
    </w:p>
    <w:p w14:paraId="63E89FA3" w14:textId="77777777" w:rsidR="003D4FF5" w:rsidRDefault="003D4FF5" w:rsidP="003D4FF5">
      <w:pPr>
        <w:pStyle w:val="Apara"/>
      </w:pPr>
      <w:r>
        <w:tab/>
        <w:t>(a)</w:t>
      </w:r>
      <w:r>
        <w:tab/>
        <w:t>the inclusion of the co-plaintiff; or</w:t>
      </w:r>
    </w:p>
    <w:p w14:paraId="6E411C55" w14:textId="77777777" w:rsidR="003D4FF5" w:rsidRDefault="003D4FF5" w:rsidP="003D4FF5">
      <w:pPr>
        <w:pStyle w:val="Apara"/>
      </w:pPr>
      <w:r>
        <w:tab/>
        <w:t>(b)</w:t>
      </w:r>
      <w:r>
        <w:tab/>
        <w:t>any proceeding resulting from the inclusion.</w:t>
      </w:r>
    </w:p>
    <w:p w14:paraId="52E8ED34" w14:textId="77777777" w:rsidR="003D4FF5" w:rsidRDefault="003D4FF5" w:rsidP="003D4FF5">
      <w:pPr>
        <w:pStyle w:val="AH5Sec"/>
      </w:pPr>
      <w:bookmarkStart w:id="88" w:name="_Toc185513705"/>
      <w:r w:rsidRPr="00C8328B">
        <w:rPr>
          <w:rStyle w:val="CharSectNo"/>
        </w:rPr>
        <w:t>220</w:t>
      </w:r>
      <w:r>
        <w:tab/>
        <w:t>Court may include party if appropriate or necessary</w:t>
      </w:r>
      <w:bookmarkEnd w:id="88"/>
    </w:p>
    <w:p w14:paraId="4CE0B556" w14:textId="77777777" w:rsidR="003D4FF5" w:rsidRDefault="003D4FF5" w:rsidP="003D4FF5">
      <w:pPr>
        <w:pStyle w:val="Amain"/>
      </w:pPr>
      <w:r>
        <w:tab/>
        <w:t>(1)</w:t>
      </w:r>
      <w:r>
        <w:tab/>
        <w:t>The court may order that a person be included as a party to a proceeding if—</w:t>
      </w:r>
    </w:p>
    <w:p w14:paraId="63998F17" w14:textId="77777777" w:rsidR="003D4FF5" w:rsidRDefault="003D4FF5" w:rsidP="003D4FF5">
      <w:pPr>
        <w:pStyle w:val="Apara"/>
      </w:pPr>
      <w:r>
        <w:tab/>
        <w:t>(a)</w:t>
      </w:r>
      <w:r>
        <w:tab/>
        <w:t>the person ought to have been included as a party; or</w:t>
      </w:r>
    </w:p>
    <w:p w14:paraId="15133FF2" w14:textId="77777777" w:rsidR="003D4FF5" w:rsidRDefault="003D4FF5" w:rsidP="003D4FF5">
      <w:pPr>
        <w:pStyle w:val="Apara"/>
      </w:pPr>
      <w:r>
        <w:tab/>
        <w:t>(b)</w:t>
      </w:r>
      <w:r>
        <w:tab/>
        <w:t>including the person as a party is necessary to enable the court to adjudicate effectively and completely on all issues in dispute in the proceeding.</w:t>
      </w:r>
    </w:p>
    <w:p w14:paraId="1E88F18C" w14:textId="77777777" w:rsidR="003D4FF5" w:rsidRDefault="003D4FF5" w:rsidP="003D4FF5">
      <w:pPr>
        <w:pStyle w:val="Amain"/>
        <w:spacing w:after="20"/>
      </w:pPr>
      <w:r>
        <w:tab/>
        <w:t>(2)</w:t>
      </w:r>
      <w:r>
        <w:tab/>
        <w:t>The court may make an order under this rule—</w:t>
      </w:r>
    </w:p>
    <w:p w14:paraId="06A7380B" w14:textId="77777777" w:rsidR="003D4FF5" w:rsidRDefault="003D4FF5" w:rsidP="003D4FF5">
      <w:pPr>
        <w:pStyle w:val="Apara"/>
      </w:pPr>
      <w:r>
        <w:tab/>
        <w:t>(a)</w:t>
      </w:r>
      <w:r>
        <w:tab/>
        <w:t>at any stage of the proceeding; and</w:t>
      </w:r>
    </w:p>
    <w:p w14:paraId="581DA99A" w14:textId="77777777" w:rsidR="003D4FF5" w:rsidRDefault="003D4FF5" w:rsidP="003D4FF5">
      <w:pPr>
        <w:pStyle w:val="Apara"/>
      </w:pPr>
      <w:r>
        <w:lastRenderedPageBreak/>
        <w:tab/>
        <w:t>(b)</w:t>
      </w:r>
      <w:r>
        <w:tab/>
        <w:t>on application by the person or a party to the proceeding or on its own initiative; and</w:t>
      </w:r>
    </w:p>
    <w:p w14:paraId="05006E36" w14:textId="77777777" w:rsidR="003D4FF5" w:rsidRDefault="003D4FF5" w:rsidP="003D4FF5">
      <w:pPr>
        <w:pStyle w:val="Apara"/>
        <w:keepNext/>
      </w:pPr>
      <w:r>
        <w:tab/>
        <w:t>(c)</w:t>
      </w:r>
      <w:r>
        <w:tab/>
        <w:t>whether the person to be included should be a plaintiff or defendant.</w:t>
      </w:r>
    </w:p>
    <w:p w14:paraId="7C90CB5B"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9D655AC"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EA18BD1" w14:textId="77777777" w:rsidR="003D4FF5" w:rsidRDefault="003D4FF5" w:rsidP="003D4FF5">
      <w:pPr>
        <w:pStyle w:val="AH5Sec"/>
      </w:pPr>
      <w:bookmarkStart w:id="89" w:name="_Toc185513706"/>
      <w:r w:rsidRPr="00C8328B">
        <w:rPr>
          <w:rStyle w:val="CharSectNo"/>
        </w:rPr>
        <w:t>221</w:t>
      </w:r>
      <w:r>
        <w:tab/>
        <w:t>Plaintiffs may be included or substituted</w:t>
      </w:r>
      <w:bookmarkEnd w:id="89"/>
    </w:p>
    <w:p w14:paraId="667D8CB7" w14:textId="77777777"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14:paraId="798C46BB" w14:textId="77777777" w:rsidR="003D4FF5" w:rsidRDefault="003D4FF5" w:rsidP="003D4FF5">
      <w:pPr>
        <w:pStyle w:val="Amain"/>
      </w:pPr>
      <w:r>
        <w:tab/>
        <w:t>(2)</w:t>
      </w:r>
      <w:r>
        <w:tab/>
        <w:t>The court may order that someone else, or other people, be included or substituted as plaintiff if satisfied—</w:t>
      </w:r>
    </w:p>
    <w:p w14:paraId="1582769D" w14:textId="77777777" w:rsidR="003D4FF5" w:rsidRDefault="003D4FF5" w:rsidP="003D4FF5">
      <w:pPr>
        <w:pStyle w:val="Apara"/>
      </w:pPr>
      <w:r>
        <w:tab/>
        <w:t>(a)</w:t>
      </w:r>
      <w:r>
        <w:tab/>
        <w:t>that starting the proceeding in the wrong name was a genuine mistake; and</w:t>
      </w:r>
    </w:p>
    <w:p w14:paraId="490D101E" w14:textId="77777777" w:rsidR="003D4FF5" w:rsidRDefault="003D4FF5" w:rsidP="003D4FF5">
      <w:pPr>
        <w:pStyle w:val="Apara"/>
      </w:pPr>
      <w:r>
        <w:tab/>
        <w:t>(b)</w:t>
      </w:r>
      <w:r>
        <w:tab/>
        <w:t>that it is necessary to enable the court to adjudicate effectively and completely on all issues in dispute in the proceeding.</w:t>
      </w:r>
    </w:p>
    <w:p w14:paraId="153039C0" w14:textId="77777777" w:rsidR="003D4FF5" w:rsidRDefault="003D4FF5" w:rsidP="003D4FF5">
      <w:pPr>
        <w:pStyle w:val="aNote"/>
      </w:pPr>
      <w:r>
        <w:rPr>
          <w:rStyle w:val="charItals"/>
        </w:rPr>
        <w:t>Note 1</w:t>
      </w:r>
      <w:r>
        <w:rPr>
          <w:rStyle w:val="charItals"/>
        </w:rPr>
        <w:tab/>
      </w:r>
      <w:r>
        <w:t>Pt 6.2 (Applications in proceedings) applies to an application for an order under this rule.</w:t>
      </w:r>
    </w:p>
    <w:p w14:paraId="76242EF9"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52AF772" w14:textId="77777777" w:rsidR="003D4FF5" w:rsidRDefault="003D4FF5" w:rsidP="003D4FF5">
      <w:pPr>
        <w:pStyle w:val="AH5Sec"/>
      </w:pPr>
      <w:bookmarkStart w:id="90" w:name="_Toc185513707"/>
      <w:r w:rsidRPr="00C8328B">
        <w:rPr>
          <w:rStyle w:val="CharSectNo"/>
        </w:rPr>
        <w:t>222</w:t>
      </w:r>
      <w:r>
        <w:tab/>
        <w:t>Inclusion or substitution as plaintiff requires agreement</w:t>
      </w:r>
      <w:bookmarkEnd w:id="90"/>
    </w:p>
    <w:p w14:paraId="3C63CD52" w14:textId="77777777" w:rsidR="003D4FF5" w:rsidRDefault="003D4FF5" w:rsidP="003D4FF5">
      <w:pPr>
        <w:pStyle w:val="Amainreturn"/>
      </w:pPr>
      <w:r>
        <w:t>A person may be included or substituted as a plaintiff in a proceeding only if the person agrees to be included or substituted.</w:t>
      </w:r>
    </w:p>
    <w:p w14:paraId="5BC894C2" w14:textId="77777777" w:rsidR="003D4FF5" w:rsidRDefault="003D4FF5" w:rsidP="003D4FF5">
      <w:pPr>
        <w:pStyle w:val="AH5Sec"/>
      </w:pPr>
      <w:bookmarkStart w:id="91" w:name="_Toc185513708"/>
      <w:r w:rsidRPr="00C8328B">
        <w:rPr>
          <w:rStyle w:val="CharSectNo"/>
        </w:rPr>
        <w:lastRenderedPageBreak/>
        <w:t>223</w:t>
      </w:r>
      <w:r>
        <w:tab/>
        <w:t>Including parties—procedure</w:t>
      </w:r>
      <w:bookmarkEnd w:id="91"/>
    </w:p>
    <w:p w14:paraId="38FFCBBD" w14:textId="77777777" w:rsidR="003D4FF5" w:rsidRDefault="003D4FF5" w:rsidP="003D4FF5">
      <w:pPr>
        <w:pStyle w:val="Amain"/>
      </w:pPr>
      <w:r>
        <w:tab/>
        <w:t>(1)</w:t>
      </w:r>
      <w:r>
        <w:tab/>
        <w:t>An application by a person to be included as a party to a proceeding must be supported by an affidavit showing the person’s interest in—</w:t>
      </w:r>
    </w:p>
    <w:p w14:paraId="4837F5C4" w14:textId="77777777" w:rsidR="003D4FF5" w:rsidRDefault="003D4FF5" w:rsidP="003D4FF5">
      <w:pPr>
        <w:pStyle w:val="Apara"/>
      </w:pPr>
      <w:r>
        <w:tab/>
        <w:t>(a)</w:t>
      </w:r>
      <w:r>
        <w:tab/>
        <w:t>the issues in dispute in the proceeding; or</w:t>
      </w:r>
    </w:p>
    <w:p w14:paraId="25DC2D75" w14:textId="77777777" w:rsidR="003D4FF5" w:rsidRDefault="003D4FF5" w:rsidP="003D4FF5">
      <w:pPr>
        <w:pStyle w:val="Apara"/>
      </w:pPr>
      <w:r>
        <w:tab/>
        <w:t>(b)</w:t>
      </w:r>
      <w:r>
        <w:tab/>
        <w:t>an issue in dispute to be decided between the person and a party to the proceeding.</w:t>
      </w:r>
    </w:p>
    <w:p w14:paraId="0AC89F66" w14:textId="77777777" w:rsidR="003D4FF5" w:rsidRDefault="003D4FF5" w:rsidP="003D4FF5">
      <w:pPr>
        <w:pStyle w:val="Amain"/>
        <w:keepNext/>
      </w:pPr>
      <w:r>
        <w:tab/>
        <w:t>(2)</w:t>
      </w:r>
      <w:r>
        <w:tab/>
        <w:t>An application to include a person as a defendant must be served on all active parties to the proceeding and on the person.</w:t>
      </w:r>
    </w:p>
    <w:p w14:paraId="4D97C0E1" w14:textId="77777777" w:rsidR="003D4FF5" w:rsidRDefault="003D4FF5" w:rsidP="003D4FF5">
      <w:pPr>
        <w:pStyle w:val="aNote"/>
      </w:pPr>
      <w:r>
        <w:rPr>
          <w:rStyle w:val="charItals"/>
        </w:rPr>
        <w:t>Note 1</w:t>
      </w:r>
      <w:r>
        <w:rPr>
          <w:rStyle w:val="charItals"/>
        </w:rPr>
        <w:tab/>
      </w:r>
      <w:r>
        <w:t>Pt 6.2 (Applications in proceedings) applies to an application mentioned in this rule.</w:t>
      </w:r>
    </w:p>
    <w:p w14:paraId="51CF53C0" w14:textId="77777777"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14:paraId="19CCC8B1" w14:textId="77777777" w:rsidR="003D4FF5" w:rsidRDefault="003D4FF5" w:rsidP="003D4FF5">
      <w:pPr>
        <w:pStyle w:val="AH5Sec"/>
      </w:pPr>
      <w:bookmarkStart w:id="92" w:name="_Toc185513709"/>
      <w:r w:rsidRPr="00C8328B">
        <w:rPr>
          <w:rStyle w:val="CharSectNo"/>
        </w:rPr>
        <w:t>224</w:t>
      </w:r>
      <w:r>
        <w:tab/>
        <w:t>Including parties—inclusion to recover costs</w:t>
      </w:r>
      <w:bookmarkEnd w:id="92"/>
    </w:p>
    <w:p w14:paraId="603BDCE8" w14:textId="77777777" w:rsidR="003D4FF5" w:rsidRDefault="003D4FF5" w:rsidP="003D4FF5">
      <w:pPr>
        <w:pStyle w:val="Amain"/>
      </w:pPr>
      <w:r>
        <w:tab/>
        <w:t>(1)</w:t>
      </w:r>
      <w:r>
        <w:tab/>
        <w:t>A party must not include someone else as a party to a proceeding for the purpose of applying for costs against the person.</w:t>
      </w:r>
    </w:p>
    <w:p w14:paraId="7396895E" w14:textId="77777777" w:rsidR="003D4FF5" w:rsidRDefault="003D4FF5" w:rsidP="003D4FF5">
      <w:pPr>
        <w:pStyle w:val="Amain"/>
      </w:pPr>
      <w:r>
        <w:tab/>
        <w:t>(2)</w:t>
      </w:r>
      <w:r>
        <w:tab/>
        <w:t>This rule does not apply if—</w:t>
      </w:r>
    </w:p>
    <w:p w14:paraId="7120DA39" w14:textId="77777777" w:rsidR="003D4FF5" w:rsidRDefault="003D4FF5" w:rsidP="003D4FF5">
      <w:pPr>
        <w:pStyle w:val="Apara"/>
      </w:pPr>
      <w:r>
        <w:tab/>
        <w:t>(a)</w:t>
      </w:r>
      <w:r>
        <w:tab/>
        <w:t>the person would otherwise be an appropriate or necessary party to the proceeding; or</w:t>
      </w:r>
    </w:p>
    <w:p w14:paraId="1460BF4F" w14:textId="77777777" w:rsidR="003D4FF5" w:rsidRDefault="003D4FF5" w:rsidP="003D4FF5">
      <w:pPr>
        <w:pStyle w:val="Apara"/>
      </w:pPr>
      <w:r>
        <w:tab/>
        <w:t>(b)</w:t>
      </w:r>
      <w:r>
        <w:tab/>
        <w:t>the party includes the person by way of a third-party notice in relation to a claim for costs against the party.</w:t>
      </w:r>
    </w:p>
    <w:p w14:paraId="5E980440" w14:textId="77777777" w:rsidR="003D4FF5" w:rsidRPr="00C8328B" w:rsidRDefault="003D4FF5" w:rsidP="003D4FF5">
      <w:pPr>
        <w:pStyle w:val="AH3Div"/>
      </w:pPr>
      <w:bookmarkStart w:id="93" w:name="_Toc185513710"/>
      <w:r w:rsidRPr="00C8328B">
        <w:rPr>
          <w:rStyle w:val="CharDivNo"/>
        </w:rPr>
        <w:t>Division 2.4.3</w:t>
      </w:r>
      <w:r>
        <w:tab/>
      </w:r>
      <w:r w:rsidRPr="00C8328B">
        <w:rPr>
          <w:rStyle w:val="CharDivText"/>
        </w:rPr>
        <w:t>Changing parties</w:t>
      </w:r>
      <w:bookmarkEnd w:id="93"/>
    </w:p>
    <w:p w14:paraId="08E80131" w14:textId="77777777" w:rsidR="003D4FF5" w:rsidRDefault="003D4FF5" w:rsidP="003D4FF5">
      <w:pPr>
        <w:pStyle w:val="AH5Sec"/>
      </w:pPr>
      <w:bookmarkStart w:id="94" w:name="_Toc185513711"/>
      <w:r w:rsidRPr="00C8328B">
        <w:rPr>
          <w:rStyle w:val="CharSectNo"/>
        </w:rPr>
        <w:t>230</w:t>
      </w:r>
      <w:r>
        <w:tab/>
        <w:t>Removing parties</w:t>
      </w:r>
      <w:bookmarkEnd w:id="94"/>
    </w:p>
    <w:p w14:paraId="47826488" w14:textId="77777777" w:rsidR="003D4FF5" w:rsidRDefault="003D4FF5" w:rsidP="003D4FF5">
      <w:pPr>
        <w:pStyle w:val="Amain"/>
      </w:pPr>
      <w:r>
        <w:tab/>
        <w:t>(1)</w:t>
      </w:r>
      <w:r>
        <w:tab/>
        <w:t>The court may order that a person be removed as a party to a proceeding if the person—</w:t>
      </w:r>
    </w:p>
    <w:p w14:paraId="705783EE" w14:textId="77777777" w:rsidR="003D4FF5" w:rsidRDefault="003D4FF5" w:rsidP="003D4FF5">
      <w:pPr>
        <w:pStyle w:val="Apara"/>
      </w:pPr>
      <w:r>
        <w:tab/>
        <w:t>(a)</w:t>
      </w:r>
      <w:r>
        <w:tab/>
        <w:t>has been inappropriately or unnecessarily included as a party; or</w:t>
      </w:r>
    </w:p>
    <w:p w14:paraId="686D2916" w14:textId="77777777" w:rsidR="003D4FF5" w:rsidRDefault="003D4FF5" w:rsidP="003D4FF5">
      <w:pPr>
        <w:pStyle w:val="Apara"/>
      </w:pPr>
      <w:r>
        <w:tab/>
        <w:t>(b)</w:t>
      </w:r>
      <w:r>
        <w:tab/>
        <w:t>has stopped being an appropriate or necessary party.</w:t>
      </w:r>
    </w:p>
    <w:p w14:paraId="3ECE12ED" w14:textId="77777777" w:rsidR="003D4FF5" w:rsidRDefault="003D4FF5" w:rsidP="00BF4351">
      <w:pPr>
        <w:pStyle w:val="Amain"/>
        <w:keepNext/>
      </w:pPr>
      <w:r>
        <w:lastRenderedPageBreak/>
        <w:tab/>
        <w:t>(2)</w:t>
      </w:r>
      <w:r>
        <w:tab/>
        <w:t>The court may make an order under this rule—</w:t>
      </w:r>
    </w:p>
    <w:p w14:paraId="02B8D116" w14:textId="77777777" w:rsidR="003D4FF5" w:rsidRDefault="003D4FF5" w:rsidP="003D4FF5">
      <w:pPr>
        <w:pStyle w:val="Apara"/>
      </w:pPr>
      <w:r>
        <w:tab/>
        <w:t>(a)</w:t>
      </w:r>
      <w:r>
        <w:tab/>
        <w:t>at any stage of the proceeding; and</w:t>
      </w:r>
    </w:p>
    <w:p w14:paraId="0739FB4F" w14:textId="77777777" w:rsidR="003D4FF5" w:rsidRDefault="003D4FF5" w:rsidP="003D4FF5">
      <w:pPr>
        <w:pStyle w:val="Apara"/>
      </w:pPr>
      <w:r>
        <w:tab/>
        <w:t>(b)</w:t>
      </w:r>
      <w:r>
        <w:tab/>
        <w:t>on application by a party to the proceeding or on its own initiative; and</w:t>
      </w:r>
    </w:p>
    <w:p w14:paraId="566AAFA9" w14:textId="77777777" w:rsidR="003D4FF5" w:rsidRDefault="003D4FF5" w:rsidP="003D4FF5">
      <w:pPr>
        <w:pStyle w:val="Apara"/>
        <w:keepNext/>
      </w:pPr>
      <w:r>
        <w:tab/>
        <w:t>(c)</w:t>
      </w:r>
      <w:r>
        <w:tab/>
        <w:t>whether the person to be removed is a plaintiff or defendant.</w:t>
      </w:r>
    </w:p>
    <w:p w14:paraId="55E1CC7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26CBE60"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30D052FA" w14:textId="77777777" w:rsidR="003D4FF5" w:rsidRDefault="003D4FF5" w:rsidP="003D4FF5">
      <w:pPr>
        <w:pStyle w:val="AH5Sec"/>
      </w:pPr>
      <w:bookmarkStart w:id="95" w:name="_Toc185513712"/>
      <w:r w:rsidRPr="00C8328B">
        <w:rPr>
          <w:rStyle w:val="CharSectNo"/>
        </w:rPr>
        <w:t>231</w:t>
      </w:r>
      <w:r>
        <w:tab/>
        <w:t>Party becomes bankrupt, dies or becomes person with mental disability</w:t>
      </w:r>
      <w:bookmarkEnd w:id="95"/>
    </w:p>
    <w:p w14:paraId="430BFC17" w14:textId="77777777" w:rsidR="003D4FF5" w:rsidRDefault="003D4FF5" w:rsidP="003D4FF5">
      <w:pPr>
        <w:pStyle w:val="Amain"/>
      </w:pPr>
      <w:r>
        <w:tab/>
        <w:t>(1)</w:t>
      </w:r>
      <w:r>
        <w:tab/>
        <w:t>This rule applies if—</w:t>
      </w:r>
    </w:p>
    <w:p w14:paraId="3DD2CBD5" w14:textId="77777777" w:rsidR="003D4FF5" w:rsidRDefault="003D4FF5" w:rsidP="003D4FF5">
      <w:pPr>
        <w:pStyle w:val="Apara"/>
      </w:pPr>
      <w:r>
        <w:tab/>
        <w:t>(a)</w:t>
      </w:r>
      <w:r>
        <w:tab/>
        <w:t>a party to a proceeding becomes bankrupt, or dies, during the proceeding, but a cause of action in the proceeding survives; or</w:t>
      </w:r>
    </w:p>
    <w:p w14:paraId="5AE27D2C" w14:textId="77777777" w:rsidR="003D4FF5" w:rsidRDefault="003D4FF5" w:rsidP="003D4FF5">
      <w:pPr>
        <w:pStyle w:val="Apara"/>
      </w:pPr>
      <w:r>
        <w:tab/>
        <w:t>(b)</w:t>
      </w:r>
      <w:r>
        <w:tab/>
        <w:t>a party to a proceeding becomes a person with a mental disability during the proceeding.</w:t>
      </w:r>
    </w:p>
    <w:p w14:paraId="3DE8F62C" w14:textId="77777777"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14:paraId="2D38D31F" w14:textId="77777777" w:rsidR="003D4FF5" w:rsidRDefault="003D4FF5" w:rsidP="003D4FF5">
      <w:pPr>
        <w:pStyle w:val="Amain"/>
      </w:pPr>
      <w:r>
        <w:tab/>
        <w:t>(2)</w:t>
      </w:r>
      <w:r>
        <w:tab/>
        <w:t>The proceeding is not suspended and does not end.</w:t>
      </w:r>
    </w:p>
    <w:p w14:paraId="78081DA1" w14:textId="77777777" w:rsidR="003D4FF5" w:rsidRDefault="003D4FF5" w:rsidP="003D4FF5">
      <w:pPr>
        <w:pStyle w:val="Amain"/>
      </w:pPr>
      <w:r>
        <w:tab/>
        <w:t>(3)</w:t>
      </w:r>
      <w:r>
        <w:tab/>
        <w:t>However, a person must not take a further step in the proceeding for or against the party unless—</w:t>
      </w:r>
    </w:p>
    <w:p w14:paraId="6A65B3BB" w14:textId="77777777" w:rsidR="003D4FF5" w:rsidRDefault="003D4FF5" w:rsidP="003D4FF5">
      <w:pPr>
        <w:pStyle w:val="Apara"/>
      </w:pPr>
      <w:r>
        <w:tab/>
        <w:t>(a)</w:t>
      </w:r>
      <w:r>
        <w:tab/>
        <w:t>the court gives the person leave to continue the proceeding; and</w:t>
      </w:r>
    </w:p>
    <w:p w14:paraId="5AACEBB7" w14:textId="77777777" w:rsidR="003D4FF5" w:rsidRDefault="003D4FF5" w:rsidP="003D4FF5">
      <w:pPr>
        <w:pStyle w:val="Apara"/>
      </w:pPr>
      <w:r>
        <w:tab/>
        <w:t>(b)</w:t>
      </w:r>
      <w:r>
        <w:tab/>
        <w:t>the person complies with the conditions (if any) of the leave.</w:t>
      </w:r>
    </w:p>
    <w:p w14:paraId="36DBC311" w14:textId="77777777"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14:paraId="27D7391F" w14:textId="77777777" w:rsidR="003D4FF5" w:rsidRDefault="003D4FF5" w:rsidP="00BF4351">
      <w:pPr>
        <w:pStyle w:val="Amain"/>
      </w:pPr>
      <w:r>
        <w:tab/>
        <w:t>(4)</w:t>
      </w:r>
      <w:r>
        <w:tab/>
        <w:t>The court may make any order it considers appropriate about including, removing, substituting or rearranging parties.</w:t>
      </w:r>
    </w:p>
    <w:p w14:paraId="06B71ADB" w14:textId="77777777"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14:paraId="398DE6B3" w14:textId="77777777" w:rsidR="003D4FF5" w:rsidRDefault="003D4FF5" w:rsidP="003D4FF5">
      <w:pPr>
        <w:pStyle w:val="Amain"/>
      </w:pPr>
      <w:r>
        <w:tab/>
        <w:t>(6)</w:t>
      </w:r>
      <w:r>
        <w:tab/>
        <w:t>The court may make an order under this rule—</w:t>
      </w:r>
    </w:p>
    <w:p w14:paraId="13D84223" w14:textId="77777777" w:rsidR="003D4FF5" w:rsidRDefault="003D4FF5" w:rsidP="003D4FF5">
      <w:pPr>
        <w:pStyle w:val="Apara"/>
      </w:pPr>
      <w:r>
        <w:tab/>
        <w:t>(a)</w:t>
      </w:r>
      <w:r>
        <w:tab/>
        <w:t>on application by a party to the proceeding or anyone to whom an interest or liability in the proceeding has passed; or</w:t>
      </w:r>
    </w:p>
    <w:p w14:paraId="6A6DFBC6" w14:textId="77777777" w:rsidR="003D4FF5" w:rsidRDefault="003D4FF5" w:rsidP="003D4FF5">
      <w:pPr>
        <w:pStyle w:val="Apara"/>
        <w:keepNext/>
      </w:pPr>
      <w:r>
        <w:tab/>
        <w:t>(b)</w:t>
      </w:r>
      <w:r>
        <w:tab/>
        <w:t>on its own initiative.</w:t>
      </w:r>
    </w:p>
    <w:p w14:paraId="1860CA93" w14:textId="77777777" w:rsidR="003D4FF5" w:rsidRDefault="003D4FF5" w:rsidP="003D4FF5">
      <w:pPr>
        <w:pStyle w:val="Amain"/>
      </w:pPr>
      <w:r>
        <w:tab/>
        <w:t>(7)</w:t>
      </w:r>
      <w:r>
        <w:tab/>
        <w:t>An application for an order under this rule must be served on everyone who could be affected by the order.</w:t>
      </w:r>
    </w:p>
    <w:p w14:paraId="5448359A" w14:textId="77777777" w:rsidR="003D4FF5" w:rsidRDefault="003D4FF5" w:rsidP="003D4FF5">
      <w:pPr>
        <w:pStyle w:val="Amain"/>
      </w:pPr>
      <w:r>
        <w:tab/>
        <w:t>(8)</w:t>
      </w:r>
      <w:r>
        <w:tab/>
        <w:t>Before making an order under this rule because a party has died, the court may require notice to be given to—</w:t>
      </w:r>
    </w:p>
    <w:p w14:paraId="713D4ABB" w14:textId="77777777" w:rsidR="003D4FF5" w:rsidRDefault="003D4FF5" w:rsidP="003D4FF5">
      <w:pPr>
        <w:pStyle w:val="Apara"/>
      </w:pPr>
      <w:r>
        <w:tab/>
        <w:t>(a)</w:t>
      </w:r>
      <w:r>
        <w:tab/>
        <w:t>an insurer of the deceased party who has an interest in the proceeding; and</w:t>
      </w:r>
    </w:p>
    <w:p w14:paraId="5768D674" w14:textId="77777777" w:rsidR="003D4FF5" w:rsidRDefault="003D4FF5" w:rsidP="003D4FF5">
      <w:pPr>
        <w:pStyle w:val="Apara"/>
      </w:pPr>
      <w:r>
        <w:tab/>
        <w:t>(b)</w:t>
      </w:r>
      <w:r>
        <w:tab/>
        <w:t>anyone else who has an interest in the deceased party’s estate.</w:t>
      </w:r>
    </w:p>
    <w:p w14:paraId="6BF7F6FB" w14:textId="77777777" w:rsidR="003D4FF5" w:rsidRDefault="003D4FF5" w:rsidP="003D4FF5">
      <w:pPr>
        <w:pStyle w:val="Amain"/>
      </w:pPr>
      <w:r>
        <w:tab/>
        <w:t>(9)</w:t>
      </w:r>
      <w:r>
        <w:tab/>
        <w:t>An insurer or other person given notice is entitled to be heard on the hearing of the application.</w:t>
      </w:r>
    </w:p>
    <w:p w14:paraId="22CAE908" w14:textId="77777777"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14:paraId="5D5A9678" w14:textId="77777777" w:rsidR="003D4FF5" w:rsidRDefault="003D4FF5" w:rsidP="003D4FF5">
      <w:pPr>
        <w:pStyle w:val="Amain"/>
      </w:pPr>
      <w:r>
        <w:tab/>
        <w:t>(11)</w:t>
      </w:r>
      <w:r>
        <w:tab/>
        <w:t>The court may give directions about the service of the order.</w:t>
      </w:r>
    </w:p>
    <w:p w14:paraId="774B6D21" w14:textId="77777777" w:rsidR="003D4FF5" w:rsidRDefault="003D4FF5" w:rsidP="003D4FF5">
      <w:pPr>
        <w:pStyle w:val="Amain"/>
      </w:pPr>
      <w:r>
        <w:tab/>
        <w:t>(12)</w:t>
      </w:r>
      <w:r>
        <w:tab/>
        <w:t>If—</w:t>
      </w:r>
    </w:p>
    <w:p w14:paraId="23A68EA4" w14:textId="77777777" w:rsidR="003D4FF5" w:rsidRDefault="003D4FF5" w:rsidP="003D4FF5">
      <w:pPr>
        <w:pStyle w:val="Apara"/>
      </w:pPr>
      <w:r>
        <w:tab/>
        <w:t>(a)</w:t>
      </w:r>
      <w:r>
        <w:tab/>
        <w:t>a party who has died does not have a personal representative and the court orders that a person be substituted as a party for the party; and</w:t>
      </w:r>
    </w:p>
    <w:p w14:paraId="47BAE299" w14:textId="77777777" w:rsidR="003D4FF5" w:rsidRDefault="003D4FF5" w:rsidP="003D4FF5">
      <w:pPr>
        <w:pStyle w:val="Apara"/>
      </w:pPr>
      <w:r>
        <w:tab/>
        <w:t>(b)</w:t>
      </w:r>
      <w:r>
        <w:tab/>
        <w:t>a grant of probate or administration is later made;</w:t>
      </w:r>
    </w:p>
    <w:p w14:paraId="6793EA30" w14:textId="77777777" w:rsidR="003D4FF5" w:rsidRDefault="003D4FF5" w:rsidP="003D4FF5">
      <w:pPr>
        <w:pStyle w:val="Amainreturn"/>
      </w:pPr>
      <w:r>
        <w:t>the person must give the personal representative a copy of all documents in the person’s possession relating to the proceeding.</w:t>
      </w:r>
    </w:p>
    <w:p w14:paraId="308C0EC7" w14:textId="77777777" w:rsidR="003D4FF5" w:rsidRDefault="003D4FF5" w:rsidP="003D4FF5">
      <w:pPr>
        <w:pStyle w:val="AH5Sec"/>
      </w:pPr>
      <w:bookmarkStart w:id="96" w:name="_Toc185513713"/>
      <w:r w:rsidRPr="00C8328B">
        <w:rPr>
          <w:rStyle w:val="CharSectNo"/>
        </w:rPr>
        <w:lastRenderedPageBreak/>
        <w:t>232</w:t>
      </w:r>
      <w:r>
        <w:tab/>
        <w:t>Amending or setting aside order for new party made on death etc of party</w:t>
      </w:r>
      <w:bookmarkEnd w:id="96"/>
    </w:p>
    <w:p w14:paraId="081FABE2" w14:textId="77777777" w:rsidR="003D4FF5" w:rsidRDefault="003D4FF5" w:rsidP="003D4FF5">
      <w:pPr>
        <w:pStyle w:val="Amain"/>
        <w:keepNext/>
      </w:pPr>
      <w:r>
        <w:tab/>
        <w:t>(1)</w:t>
      </w:r>
      <w:r>
        <w:tab/>
        <w:t>If a person is made a party under rule 231 (4), the person may apply to have the order making the person a party amended or set aside.</w:t>
      </w:r>
    </w:p>
    <w:p w14:paraId="4211AA6F"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3AC43A0B" w14:textId="77777777" w:rsidR="003D4FF5" w:rsidRDefault="003D4FF5" w:rsidP="003D4FF5">
      <w:pPr>
        <w:pStyle w:val="Amain"/>
      </w:pPr>
      <w:r>
        <w:tab/>
        <w:t>(2)</w:t>
      </w:r>
      <w:r>
        <w:tab/>
        <w:t>The application must be made not later than 14 days after—</w:t>
      </w:r>
    </w:p>
    <w:p w14:paraId="14F38A0C" w14:textId="77777777" w:rsidR="003D4FF5" w:rsidRDefault="003D4FF5" w:rsidP="003D4FF5">
      <w:pPr>
        <w:pStyle w:val="Apara"/>
      </w:pPr>
      <w:r>
        <w:tab/>
        <w:t>(a)</w:t>
      </w:r>
      <w:r>
        <w:tab/>
        <w:t>if the person is a person with a legal disability who does not have a litigation guardian—the day a litigation guardian is appointed; or</w:t>
      </w:r>
    </w:p>
    <w:p w14:paraId="5E039DDD" w14:textId="77777777" w:rsidR="003D4FF5" w:rsidRDefault="003D4FF5" w:rsidP="003D4FF5">
      <w:pPr>
        <w:pStyle w:val="Apara"/>
        <w:keepNext/>
      </w:pPr>
      <w:r>
        <w:tab/>
        <w:t>(b)</w:t>
      </w:r>
      <w:r>
        <w:tab/>
        <w:t>in any other case—the day a sealed copy of the order is served on the person.</w:t>
      </w:r>
    </w:p>
    <w:p w14:paraId="4BCC0745" w14:textId="77777777"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14:paraId="6D3FAFB1" w14:textId="77777777" w:rsidR="003D4FF5" w:rsidRDefault="003D4FF5" w:rsidP="003D4FF5">
      <w:pPr>
        <w:pStyle w:val="aNote"/>
      </w:pPr>
      <w:r w:rsidRPr="005A5F43">
        <w:rPr>
          <w:rStyle w:val="charItals"/>
        </w:rPr>
        <w:t>Note 2</w:t>
      </w:r>
      <w:r>
        <w:tab/>
        <w:t>Div 2.4.9 deals with the appointment of a litigation guardian.</w:t>
      </w:r>
    </w:p>
    <w:p w14:paraId="3F43FA09" w14:textId="77777777" w:rsidR="003D4FF5" w:rsidRDefault="003D4FF5" w:rsidP="003D4FF5">
      <w:pPr>
        <w:pStyle w:val="Amain"/>
      </w:pPr>
      <w:r>
        <w:tab/>
        <w:t>(3)</w:t>
      </w:r>
      <w:r>
        <w:tab/>
        <w:t>On application under this rule, the court may amend or set aside the order.</w:t>
      </w:r>
    </w:p>
    <w:p w14:paraId="2DDBF1EE" w14:textId="77777777"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14:paraId="69DCF5F3" w14:textId="77777777" w:rsidR="003D4FF5" w:rsidRDefault="003D4FF5" w:rsidP="003D4FF5">
      <w:pPr>
        <w:pStyle w:val="AH5Sec"/>
      </w:pPr>
      <w:bookmarkStart w:id="97" w:name="_Toc185513714"/>
      <w:r w:rsidRPr="00C8328B">
        <w:rPr>
          <w:rStyle w:val="CharSectNo"/>
        </w:rPr>
        <w:t>233</w:t>
      </w:r>
      <w:r>
        <w:tab/>
        <w:t>Failure to proceed after death of party</w:t>
      </w:r>
      <w:bookmarkEnd w:id="97"/>
    </w:p>
    <w:p w14:paraId="5CD457D9" w14:textId="77777777" w:rsidR="003D4FF5" w:rsidRDefault="003D4FF5" w:rsidP="003D4FF5">
      <w:pPr>
        <w:pStyle w:val="Amain"/>
      </w:pPr>
      <w:r>
        <w:tab/>
        <w:t>(1)</w:t>
      </w:r>
      <w:r>
        <w:tab/>
        <w:t>This rule applies to a proceeding if—</w:t>
      </w:r>
    </w:p>
    <w:p w14:paraId="593B013D" w14:textId="77777777" w:rsidR="003D4FF5" w:rsidRDefault="003D4FF5" w:rsidP="003D4FF5">
      <w:pPr>
        <w:pStyle w:val="Apara"/>
      </w:pPr>
      <w:r>
        <w:tab/>
        <w:t>(a)</w:t>
      </w:r>
      <w:r>
        <w:tab/>
        <w:t>a party to the proceeding dies during the proceeding, but a cause of action in the proceeding survives the party’s death; and</w:t>
      </w:r>
    </w:p>
    <w:p w14:paraId="47AB6018" w14:textId="77777777" w:rsidR="003D4FF5" w:rsidRDefault="003D4FF5" w:rsidP="003D4FF5">
      <w:pPr>
        <w:pStyle w:val="Apara"/>
      </w:pPr>
      <w:r>
        <w:tab/>
        <w:t>(b)</w:t>
      </w:r>
      <w:r>
        <w:tab/>
        <w:t>an order to substitute a person for the deceased party has not been made at the end of 3 months after the day of the death.</w:t>
      </w:r>
    </w:p>
    <w:p w14:paraId="149257E1" w14:textId="77777777"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14:paraId="4D422070" w14:textId="77777777"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14:paraId="7CE35063" w14:textId="77777777"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14:paraId="378FCEC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2FCF9B8" w14:textId="77777777" w:rsidR="003D4FF5" w:rsidRPr="00C8328B" w:rsidRDefault="003D4FF5" w:rsidP="003D4FF5">
      <w:pPr>
        <w:pStyle w:val="AH3Div"/>
      </w:pPr>
      <w:bookmarkStart w:id="98" w:name="_Toc185513715"/>
      <w:r w:rsidRPr="00C8328B">
        <w:rPr>
          <w:rStyle w:val="CharDivNo"/>
        </w:rPr>
        <w:t>Division 2.4.4</w:t>
      </w:r>
      <w:r>
        <w:tab/>
      </w:r>
      <w:r w:rsidRPr="00C8328B">
        <w:rPr>
          <w:rStyle w:val="CharDivText"/>
        </w:rPr>
        <w:t>Included or changed parties—future conduct of proceedings</w:t>
      </w:r>
      <w:bookmarkEnd w:id="98"/>
    </w:p>
    <w:p w14:paraId="5E04D59E" w14:textId="77777777" w:rsidR="003D4FF5" w:rsidRDefault="003D4FF5" w:rsidP="003D4FF5">
      <w:pPr>
        <w:pStyle w:val="AH5Sec"/>
      </w:pPr>
      <w:bookmarkStart w:id="99" w:name="_Toc185513716"/>
      <w:r w:rsidRPr="00C8328B">
        <w:rPr>
          <w:rStyle w:val="CharSectNo"/>
        </w:rPr>
        <w:t>240</w:t>
      </w:r>
      <w:r>
        <w:tab/>
        <w:t>Application—div 2.4.4</w:t>
      </w:r>
      <w:bookmarkEnd w:id="99"/>
    </w:p>
    <w:p w14:paraId="7A83FD10" w14:textId="77777777" w:rsidR="003D4FF5" w:rsidRDefault="003D4FF5" w:rsidP="003D4FF5">
      <w:pPr>
        <w:pStyle w:val="Amainreturn"/>
      </w:pPr>
      <w:r>
        <w:t>This division applies if the court makes an order under division 2.4.2 (Including and substituting parties) or division 2.4.3 (Changing parties) in a proceeding.</w:t>
      </w:r>
    </w:p>
    <w:p w14:paraId="349059E1" w14:textId="77777777" w:rsidR="003D4FF5" w:rsidRDefault="003D4FF5" w:rsidP="003D4FF5">
      <w:pPr>
        <w:pStyle w:val="AH5Sec"/>
      </w:pPr>
      <w:bookmarkStart w:id="100" w:name="_Toc185513717"/>
      <w:r w:rsidRPr="00C8328B">
        <w:rPr>
          <w:rStyle w:val="CharSectNo"/>
        </w:rPr>
        <w:t>241</w:t>
      </w:r>
      <w:r>
        <w:tab/>
        <w:t>Included or substituted defendant—filing and service of amended originating process</w:t>
      </w:r>
      <w:bookmarkEnd w:id="100"/>
    </w:p>
    <w:p w14:paraId="20D4EB60" w14:textId="77777777" w:rsidR="003D4FF5" w:rsidRDefault="003D4FF5" w:rsidP="003D4FF5">
      <w:pPr>
        <w:pStyle w:val="Amainreturn"/>
      </w:pPr>
      <w:r>
        <w:t>If the court orders that a person be included or substituted as a defendant in the proceeding—</w:t>
      </w:r>
    </w:p>
    <w:p w14:paraId="2356852A" w14:textId="77777777" w:rsidR="003D4FF5" w:rsidRDefault="003D4FF5" w:rsidP="003D4FF5">
      <w:pPr>
        <w:pStyle w:val="Apara"/>
      </w:pPr>
      <w:r>
        <w:tab/>
        <w:t>(a)</w:t>
      </w:r>
      <w:r>
        <w:tab/>
        <w:t>the plaintiff must—</w:t>
      </w:r>
    </w:p>
    <w:p w14:paraId="493F5414" w14:textId="77777777" w:rsidR="003D4FF5" w:rsidRDefault="003D4FF5" w:rsidP="003D4FF5">
      <w:pPr>
        <w:pStyle w:val="Asubpara"/>
      </w:pPr>
      <w:r>
        <w:tab/>
        <w:t>(i)</w:t>
      </w:r>
      <w:r>
        <w:tab/>
        <w:t>file an amended originating process in the court; and</w:t>
      </w:r>
    </w:p>
    <w:p w14:paraId="1D896978" w14:textId="77777777"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14:paraId="3B9FF124" w14:textId="77777777"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14:paraId="01F2D609" w14:textId="77777777" w:rsidR="003D4FF5" w:rsidRDefault="003D4FF5" w:rsidP="003D4FF5">
      <w:pPr>
        <w:pStyle w:val="Apara"/>
      </w:pPr>
      <w:r>
        <w:tab/>
        <w:t>(b)</w:t>
      </w:r>
      <w:r>
        <w:tab/>
        <w:t>the person must file a notice of intention to respond or defence as required by the order.</w:t>
      </w:r>
    </w:p>
    <w:p w14:paraId="5C09D695" w14:textId="77777777" w:rsidR="003D4FF5" w:rsidRDefault="003D4FF5" w:rsidP="003D4FF5">
      <w:pPr>
        <w:pStyle w:val="AH5Sec"/>
      </w:pPr>
      <w:bookmarkStart w:id="101" w:name="_Toc185513718"/>
      <w:r w:rsidRPr="00C8328B">
        <w:rPr>
          <w:rStyle w:val="CharSectNo"/>
        </w:rPr>
        <w:t>242</w:t>
      </w:r>
      <w:r>
        <w:tab/>
        <w:t>Included or substituted parties—date proceeding taken to start</w:t>
      </w:r>
      <w:bookmarkEnd w:id="101"/>
    </w:p>
    <w:p w14:paraId="0079FEA2" w14:textId="77777777" w:rsidR="003D4FF5" w:rsidRDefault="003D4FF5" w:rsidP="003D4FF5">
      <w:pPr>
        <w:pStyle w:val="Amain"/>
      </w:pPr>
      <w:r>
        <w:tab/>
        <w:t>(1)</w:t>
      </w:r>
      <w:r>
        <w:tab/>
        <w:t>This rule applies if the court orders that a person be included or substituted as a party in the proceeding.</w:t>
      </w:r>
    </w:p>
    <w:p w14:paraId="632A3191" w14:textId="77777777" w:rsidR="003D4FF5" w:rsidRDefault="003D4FF5" w:rsidP="003D4FF5">
      <w:pPr>
        <w:pStyle w:val="Amain"/>
      </w:pPr>
      <w:r>
        <w:tab/>
        <w:t>(2)</w:t>
      </w:r>
      <w:r>
        <w:tab/>
        <w:t>The date the proceeding starts in relation to the person is taken to be—</w:t>
      </w:r>
    </w:p>
    <w:p w14:paraId="64BC61AA" w14:textId="77777777" w:rsidR="003D4FF5" w:rsidRDefault="003D4FF5" w:rsidP="003D4FF5">
      <w:pPr>
        <w:pStyle w:val="Apara"/>
      </w:pPr>
      <w:r>
        <w:tab/>
        <w:t>(a)</w:t>
      </w:r>
      <w:r>
        <w:tab/>
        <w:t>the date when the order is made; or</w:t>
      </w:r>
    </w:p>
    <w:p w14:paraId="29FBA1D5" w14:textId="77777777" w:rsidR="003D4FF5" w:rsidRDefault="003D4FF5" w:rsidP="003D4FF5">
      <w:pPr>
        <w:pStyle w:val="Apara"/>
      </w:pPr>
      <w:r>
        <w:tab/>
        <w:t>(b)</w:t>
      </w:r>
      <w:r>
        <w:tab/>
        <w:t>if another date is stated in the order—that date.</w:t>
      </w:r>
    </w:p>
    <w:p w14:paraId="357C3183" w14:textId="77777777"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14:paraId="78842CDA" w14:textId="77777777" w:rsidR="003D4FF5" w:rsidRDefault="003D4FF5" w:rsidP="003D4FF5">
      <w:pPr>
        <w:pStyle w:val="AH5Sec"/>
      </w:pPr>
      <w:bookmarkStart w:id="102" w:name="_Toc185513719"/>
      <w:r w:rsidRPr="00C8328B">
        <w:rPr>
          <w:rStyle w:val="CharSectNo"/>
        </w:rPr>
        <w:t>243</w:t>
      </w:r>
      <w:r>
        <w:tab/>
        <w:t>Included or substituted parties—effect of action previously taken in proceeding</w:t>
      </w:r>
      <w:bookmarkEnd w:id="102"/>
    </w:p>
    <w:p w14:paraId="01B9A53B" w14:textId="77777777" w:rsidR="003D4FF5" w:rsidRDefault="003D4FF5" w:rsidP="003D4FF5">
      <w:pPr>
        <w:pStyle w:val="Amain"/>
      </w:pPr>
      <w:r>
        <w:tab/>
        <w:t>(1)</w:t>
      </w:r>
      <w:r>
        <w:tab/>
        <w:t>Unless the court otherwise orders—</w:t>
      </w:r>
    </w:p>
    <w:p w14:paraId="4A0469A0" w14:textId="77777777"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14:paraId="26550AE0" w14:textId="77777777"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14:paraId="278F0580"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34D2B5F9" w14:textId="77777777" w:rsidR="003D4FF5" w:rsidRDefault="003D4FF5" w:rsidP="003D4FF5">
      <w:pPr>
        <w:pStyle w:val="Amain"/>
        <w:keepNext/>
      </w:pPr>
      <w:r>
        <w:tab/>
        <w:t>(2)</w:t>
      </w:r>
      <w:r>
        <w:tab/>
        <w:t>If the previous party was a defendant, subrule (1) (b) does not apply to the following:</w:t>
      </w:r>
    </w:p>
    <w:p w14:paraId="129BED52" w14:textId="77777777" w:rsidR="003D4FF5" w:rsidRDefault="003D4FF5" w:rsidP="003D4FF5">
      <w:pPr>
        <w:pStyle w:val="Apara"/>
      </w:pPr>
      <w:r>
        <w:tab/>
        <w:t>(a)</w:t>
      </w:r>
      <w:r>
        <w:tab/>
        <w:t>the filing of a notice of intention to respond or defence by the previous party;</w:t>
      </w:r>
    </w:p>
    <w:p w14:paraId="02EC30CB" w14:textId="77777777" w:rsidR="003D4FF5" w:rsidRDefault="003D4FF5" w:rsidP="003D4FF5">
      <w:pPr>
        <w:pStyle w:val="Apara"/>
      </w:pPr>
      <w:r>
        <w:tab/>
        <w:t>(b)</w:t>
      </w:r>
      <w:r>
        <w:tab/>
        <w:t>an admission made by the previous party;</w:t>
      </w:r>
    </w:p>
    <w:p w14:paraId="3A189298" w14:textId="77777777" w:rsidR="003D4FF5" w:rsidRDefault="003D4FF5" w:rsidP="003D4FF5">
      <w:pPr>
        <w:pStyle w:val="Apara"/>
      </w:pPr>
      <w:r>
        <w:tab/>
        <w:t>(c)</w:t>
      </w:r>
      <w:r>
        <w:tab/>
        <w:t>an order for costs in favour of, or against, the previous party.</w:t>
      </w:r>
    </w:p>
    <w:p w14:paraId="5BBCA98F" w14:textId="77777777" w:rsidR="003D4FF5" w:rsidRDefault="003D4FF5" w:rsidP="003D4FF5">
      <w:pPr>
        <w:pStyle w:val="AH5Sec"/>
      </w:pPr>
      <w:bookmarkStart w:id="103" w:name="_Toc185513720"/>
      <w:r w:rsidRPr="00C8328B">
        <w:rPr>
          <w:rStyle w:val="CharSectNo"/>
        </w:rPr>
        <w:t>244</w:t>
      </w:r>
      <w:r>
        <w:tab/>
        <w:t>Included or changed parties—other orders about future conduct of proceeding</w:t>
      </w:r>
      <w:bookmarkEnd w:id="103"/>
    </w:p>
    <w:p w14:paraId="6FC1C9B5" w14:textId="77777777" w:rsidR="003D4FF5" w:rsidRDefault="003D4FF5" w:rsidP="000B1865">
      <w:pPr>
        <w:pStyle w:val="Amainreturn"/>
        <w:keepNext/>
      </w:pPr>
      <w:r>
        <w:t>The court may also make any order it considers appropriate for the future conduct of the proceeding, including, for example, an order about—</w:t>
      </w:r>
    </w:p>
    <w:p w14:paraId="78642122" w14:textId="77777777" w:rsidR="003D4FF5" w:rsidRDefault="003D4FF5" w:rsidP="003D4FF5">
      <w:pPr>
        <w:pStyle w:val="Apara"/>
      </w:pPr>
      <w:r>
        <w:tab/>
        <w:t>(a)</w:t>
      </w:r>
      <w:r>
        <w:tab/>
        <w:t>serving the order, and other documents; and</w:t>
      </w:r>
    </w:p>
    <w:p w14:paraId="34580346" w14:textId="77777777" w:rsidR="003D4FF5" w:rsidRDefault="003D4FF5" w:rsidP="003D4FF5">
      <w:pPr>
        <w:pStyle w:val="Apara"/>
      </w:pPr>
      <w:r>
        <w:tab/>
        <w:t>(b)</w:t>
      </w:r>
      <w:r>
        <w:tab/>
        <w:t>amending documents; and</w:t>
      </w:r>
    </w:p>
    <w:p w14:paraId="2F8259E4" w14:textId="77777777" w:rsidR="003D4FF5" w:rsidRDefault="003D4FF5" w:rsidP="003D4FF5">
      <w:pPr>
        <w:pStyle w:val="Apara"/>
        <w:keepNext/>
      </w:pPr>
      <w:r>
        <w:tab/>
        <w:t>(c)</w:t>
      </w:r>
      <w:r>
        <w:tab/>
        <w:t>filing a notice of intention to respond or defence by a person included or substituted as a defendant.</w:t>
      </w:r>
    </w:p>
    <w:p w14:paraId="36BF41EA" w14:textId="77777777" w:rsidR="003D4FF5" w:rsidRDefault="003D4FF5" w:rsidP="00BF4351">
      <w:pPr>
        <w:pStyle w:val="aNote"/>
      </w:pPr>
      <w:r>
        <w:rPr>
          <w:rStyle w:val="charItals"/>
        </w:rPr>
        <w:t>Note</w:t>
      </w:r>
      <w:r>
        <w:rPr>
          <w:rStyle w:val="charItals"/>
        </w:rPr>
        <w:tab/>
      </w:r>
      <w:r>
        <w:t>Pt 6.2 (Applications in proceedings) applies to an application for an order under this rule.</w:t>
      </w:r>
    </w:p>
    <w:p w14:paraId="62508FCA" w14:textId="77777777" w:rsidR="003D4FF5" w:rsidRPr="00C8328B" w:rsidRDefault="003D4FF5" w:rsidP="003D4FF5">
      <w:pPr>
        <w:pStyle w:val="AH3Div"/>
      </w:pPr>
      <w:bookmarkStart w:id="104" w:name="_Toc185513721"/>
      <w:r w:rsidRPr="00C8328B">
        <w:rPr>
          <w:rStyle w:val="CharDivNo"/>
        </w:rPr>
        <w:lastRenderedPageBreak/>
        <w:t>Division 2.4.4A</w:t>
      </w:r>
      <w:r w:rsidRPr="00483FB9">
        <w:tab/>
      </w:r>
      <w:r w:rsidRPr="00C8328B">
        <w:rPr>
          <w:rStyle w:val="CharDivText"/>
        </w:rPr>
        <w:t>Representation in proceedings for personal injuries</w:t>
      </w:r>
      <w:bookmarkEnd w:id="104"/>
    </w:p>
    <w:p w14:paraId="47A913CC" w14:textId="77777777" w:rsidR="003D4FF5" w:rsidRPr="00483FB9" w:rsidRDefault="003D4FF5" w:rsidP="003D4FF5">
      <w:pPr>
        <w:pStyle w:val="AH5Sec"/>
      </w:pPr>
      <w:bookmarkStart w:id="105" w:name="_Toc185513722"/>
      <w:r w:rsidRPr="00C8328B">
        <w:rPr>
          <w:rStyle w:val="CharSectNo"/>
        </w:rPr>
        <w:t>245</w:t>
      </w:r>
      <w:r w:rsidRPr="00483FB9">
        <w:tab/>
        <w:t>Separate representation of defendant for insurer’s period on risk</w:t>
      </w:r>
      <w:bookmarkEnd w:id="105"/>
    </w:p>
    <w:p w14:paraId="3C6943AA" w14:textId="77777777"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14:paraId="2D55A055" w14:textId="77777777"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14:paraId="48F4B2F9" w14:textId="77777777"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14:paraId="6E82C8FB" w14:textId="77777777" w:rsidR="003D4FF5" w:rsidRPr="00C8328B" w:rsidRDefault="003D4FF5" w:rsidP="003D4FF5">
      <w:pPr>
        <w:pStyle w:val="AH3Div"/>
      </w:pPr>
      <w:bookmarkStart w:id="106" w:name="_Toc185513723"/>
      <w:r w:rsidRPr="00C8328B">
        <w:rPr>
          <w:rStyle w:val="CharDivNo"/>
        </w:rPr>
        <w:t>Division 2.4.5</w:t>
      </w:r>
      <w:r>
        <w:tab/>
      </w:r>
      <w:r w:rsidRPr="00C8328B">
        <w:rPr>
          <w:rStyle w:val="CharDivText"/>
        </w:rPr>
        <w:t>Proceedings under Civil Law (Wrongs) Act 2002, pt 3.1</w:t>
      </w:r>
      <w:bookmarkEnd w:id="106"/>
    </w:p>
    <w:p w14:paraId="2A652CD0" w14:textId="77777777" w:rsidR="003D4FF5" w:rsidRDefault="003D4FF5" w:rsidP="003D4FF5">
      <w:pPr>
        <w:pStyle w:val="AH5Sec"/>
      </w:pPr>
      <w:bookmarkStart w:id="107" w:name="_Toc185513724"/>
      <w:r w:rsidRPr="00C8328B">
        <w:rPr>
          <w:rStyle w:val="CharSectNo"/>
        </w:rPr>
        <w:t>250</w:t>
      </w:r>
      <w:r>
        <w:tab/>
        <w:t>One proceeding for benefit of members of deceased person’s family</w:t>
      </w:r>
      <w:bookmarkEnd w:id="107"/>
    </w:p>
    <w:p w14:paraId="0674E322" w14:textId="00F444D6" w:rsidR="003D4FF5" w:rsidRDefault="003D4FF5" w:rsidP="003D4FF5">
      <w:pPr>
        <w:pStyle w:val="Amain"/>
      </w:pPr>
      <w:r>
        <w:tab/>
        <w:t>(1)</w:t>
      </w:r>
      <w:r>
        <w:tab/>
        <w:t xml:space="preserve">Not more than 1 proceeding under the </w:t>
      </w:r>
      <w:hyperlink r:id="rId62" w:tooltip="A2002-40" w:history="1">
        <w:r w:rsidRPr="005A5F43">
          <w:rPr>
            <w:rStyle w:val="charCitHyperlinkItal"/>
          </w:rPr>
          <w:t>Civil Law (Wrongs) Act 2002</w:t>
        </w:r>
      </w:hyperlink>
      <w:r>
        <w:t>, part 3.1 (Wrongful act or omission causing death) may be started against a person in relation to a death.</w:t>
      </w:r>
    </w:p>
    <w:p w14:paraId="4D3A5256" w14:textId="77777777"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14:paraId="517595EB" w14:textId="77777777"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14:paraId="270528B2" w14:textId="77777777"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14:paraId="0BF703B8" w14:textId="77777777" w:rsidR="003D4FF5" w:rsidRDefault="003D4FF5" w:rsidP="003D4FF5">
      <w:pPr>
        <w:pStyle w:val="AH5Sec"/>
      </w:pPr>
      <w:bookmarkStart w:id="108" w:name="_Toc185513725"/>
      <w:r w:rsidRPr="00C8328B">
        <w:rPr>
          <w:rStyle w:val="CharSectNo"/>
        </w:rPr>
        <w:t>251</w:t>
      </w:r>
      <w:r>
        <w:tab/>
        <w:t>Orders in proceedings for compensation to relatives in death claims</w:t>
      </w:r>
      <w:bookmarkEnd w:id="108"/>
    </w:p>
    <w:p w14:paraId="1E564F29" w14:textId="77777777" w:rsidR="003D4FF5" w:rsidRDefault="003D4FF5" w:rsidP="003D4FF5">
      <w:pPr>
        <w:pStyle w:val="Amain"/>
      </w:pPr>
      <w:r>
        <w:tab/>
        <w:t>(1)</w:t>
      </w:r>
      <w:r>
        <w:tab/>
        <w:t>If—</w:t>
      </w:r>
    </w:p>
    <w:p w14:paraId="70279CE7" w14:textId="70665898" w:rsidR="003D4FF5" w:rsidRDefault="003D4FF5" w:rsidP="003D4FF5">
      <w:pPr>
        <w:pStyle w:val="Apara"/>
      </w:pPr>
      <w:r>
        <w:tab/>
        <w:t>(a)</w:t>
      </w:r>
      <w:r>
        <w:tab/>
        <w:t xml:space="preserve">a proceeding under the </w:t>
      </w:r>
      <w:hyperlink r:id="rId63" w:tooltip="A2002-40" w:history="1">
        <w:r w:rsidRPr="005A5F43">
          <w:rPr>
            <w:rStyle w:val="charCitHyperlinkItal"/>
          </w:rPr>
          <w:t>Civil Law (Wrongs) Act 2002</w:t>
        </w:r>
      </w:hyperlink>
      <w:r>
        <w:t>, part 3.1 (Wrongful act or omission causing death) is started in the court; and</w:t>
      </w:r>
    </w:p>
    <w:p w14:paraId="3ABB2EEC" w14:textId="77777777"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14:paraId="3A03E7E1" w14:textId="77777777" w:rsidR="003D4FF5" w:rsidRDefault="003D4FF5" w:rsidP="003D4FF5">
      <w:pPr>
        <w:pStyle w:val="Amainreturn"/>
      </w:pPr>
      <w:r>
        <w:t>the court may order that the proceeding continue as if the name of the person had been included.</w:t>
      </w:r>
    </w:p>
    <w:p w14:paraId="42E37BE7" w14:textId="77777777" w:rsidR="003D4FF5" w:rsidRDefault="003D4FF5" w:rsidP="003D4FF5">
      <w:pPr>
        <w:pStyle w:val="Amain"/>
      </w:pPr>
      <w:r>
        <w:tab/>
        <w:t>(2)</w:t>
      </w:r>
      <w:r>
        <w:tab/>
        <w:t>The court may make an order under subrule (1)—</w:t>
      </w:r>
    </w:p>
    <w:p w14:paraId="2C152C9A" w14:textId="77777777" w:rsidR="003D4FF5" w:rsidRDefault="003D4FF5" w:rsidP="003D4FF5">
      <w:pPr>
        <w:pStyle w:val="Apara"/>
      </w:pPr>
      <w:r>
        <w:tab/>
        <w:t>(a)</w:t>
      </w:r>
      <w:r>
        <w:tab/>
        <w:t>on application by the person; or</w:t>
      </w:r>
    </w:p>
    <w:p w14:paraId="435CE810" w14:textId="77777777" w:rsidR="003D4FF5" w:rsidRDefault="003D4FF5" w:rsidP="003D4FF5">
      <w:pPr>
        <w:pStyle w:val="Apara"/>
        <w:keepNext/>
      </w:pPr>
      <w:r>
        <w:tab/>
        <w:t>(b)</w:t>
      </w:r>
      <w:r>
        <w:tab/>
        <w:t>on its own initiative.</w:t>
      </w:r>
    </w:p>
    <w:p w14:paraId="5E3F78A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404FD34" w14:textId="3B7B40B1" w:rsidR="003D4FF5" w:rsidRDefault="003D4FF5" w:rsidP="003D4FF5">
      <w:pPr>
        <w:pStyle w:val="Amain"/>
      </w:pPr>
      <w:r>
        <w:tab/>
        <w:t>(3)</w:t>
      </w:r>
      <w:r>
        <w:tab/>
        <w:t xml:space="preserve">In a proceeding under the </w:t>
      </w:r>
      <w:hyperlink r:id="rId64"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14:paraId="0E729FDE" w14:textId="77777777" w:rsidR="003D4FF5" w:rsidRDefault="003D4FF5" w:rsidP="003D4FF5">
      <w:pPr>
        <w:pStyle w:val="Amain"/>
      </w:pPr>
      <w:r>
        <w:tab/>
        <w:t>(4)</w:t>
      </w:r>
      <w:r>
        <w:tab/>
        <w:t>If the court makes an order under this rule, it may, at the same time or later, make the orders about procedure in the proceeding that it considers appropriate.</w:t>
      </w:r>
    </w:p>
    <w:p w14:paraId="5E6BB14F" w14:textId="77777777" w:rsidR="003D4FF5" w:rsidRDefault="003D4FF5" w:rsidP="003D4FF5">
      <w:pPr>
        <w:pStyle w:val="Amain"/>
      </w:pPr>
      <w:r>
        <w:lastRenderedPageBreak/>
        <w:tab/>
        <w:t>(5)</w:t>
      </w:r>
      <w:r>
        <w:tab/>
        <w:t>The powers of the court under this rule are additional to any other powers of the court.</w:t>
      </w:r>
    </w:p>
    <w:p w14:paraId="647DFD3D" w14:textId="77777777" w:rsidR="003D4FF5" w:rsidRPr="00C8328B" w:rsidRDefault="003D4FF5" w:rsidP="003D4FF5">
      <w:pPr>
        <w:pStyle w:val="AH3Div"/>
      </w:pPr>
      <w:bookmarkStart w:id="109" w:name="_Toc185513726"/>
      <w:r w:rsidRPr="00C8328B">
        <w:rPr>
          <w:rStyle w:val="CharDivNo"/>
        </w:rPr>
        <w:t>Division 2.4.6</w:t>
      </w:r>
      <w:r>
        <w:tab/>
      </w:r>
      <w:r w:rsidRPr="00C8328B">
        <w:rPr>
          <w:rStyle w:val="CharDivText"/>
        </w:rPr>
        <w:t>Representation—trustees and personal representatives</w:t>
      </w:r>
      <w:bookmarkEnd w:id="109"/>
    </w:p>
    <w:p w14:paraId="5068E952" w14:textId="77777777" w:rsidR="003D4FF5" w:rsidRDefault="003D4FF5" w:rsidP="003D4FF5">
      <w:pPr>
        <w:pStyle w:val="AH5Sec"/>
      </w:pPr>
      <w:bookmarkStart w:id="110" w:name="_Toc185513727"/>
      <w:r w:rsidRPr="00C8328B">
        <w:rPr>
          <w:rStyle w:val="CharSectNo"/>
        </w:rPr>
        <w:t>255</w:t>
      </w:r>
      <w:r>
        <w:tab/>
        <w:t>Application—div 2.4.6</w:t>
      </w:r>
      <w:bookmarkEnd w:id="110"/>
    </w:p>
    <w:p w14:paraId="63CBD8A9" w14:textId="77777777" w:rsidR="003D4FF5" w:rsidRDefault="003D4FF5" w:rsidP="003D4FF5">
      <w:pPr>
        <w:pStyle w:val="Amainreturn"/>
      </w:pPr>
      <w:r>
        <w:t>This division does not apply to a proceeding to which division 2.4.5 (Proceedings under Civil Law (Wrongs) Act 2002, pt 3.1) applies.</w:t>
      </w:r>
    </w:p>
    <w:p w14:paraId="1E43BE7D" w14:textId="77777777" w:rsidR="003D4FF5" w:rsidRDefault="003D4FF5" w:rsidP="003D4FF5">
      <w:pPr>
        <w:pStyle w:val="AH5Sec"/>
      </w:pPr>
      <w:bookmarkStart w:id="111" w:name="_Toc185513728"/>
      <w:r w:rsidRPr="00C8328B">
        <w:rPr>
          <w:rStyle w:val="CharSectNo"/>
        </w:rPr>
        <w:t>256</w:t>
      </w:r>
      <w:r>
        <w:tab/>
        <w:t>Representation—by trustees and personal representatives</w:t>
      </w:r>
      <w:bookmarkEnd w:id="111"/>
    </w:p>
    <w:p w14:paraId="27EF74E3" w14:textId="77777777"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14:paraId="2863FA23" w14:textId="77777777" w:rsidR="003D4FF5" w:rsidRDefault="003D4FF5" w:rsidP="003D4FF5">
      <w:pPr>
        <w:pStyle w:val="Amain"/>
      </w:pPr>
      <w:r>
        <w:tab/>
        <w:t>(2)</w:t>
      </w:r>
      <w:r>
        <w:tab/>
        <w:t>Subrule (1) has effect despite rule 213 (Including parties—joint entitlement).</w:t>
      </w:r>
    </w:p>
    <w:p w14:paraId="1E7FEA1B" w14:textId="77777777" w:rsidR="003D4FF5" w:rsidRDefault="003D4FF5" w:rsidP="003D4FF5">
      <w:pPr>
        <w:pStyle w:val="Amain"/>
      </w:pPr>
      <w:r>
        <w:tab/>
        <w:t>(3)</w:t>
      </w:r>
      <w:r>
        <w:tab/>
        <w:t>In a proceeding mentioned in subrule (1)—</w:t>
      </w:r>
    </w:p>
    <w:p w14:paraId="2C44DC09" w14:textId="77777777" w:rsidR="003D4FF5" w:rsidRDefault="003D4FF5" w:rsidP="003D4FF5">
      <w:pPr>
        <w:pStyle w:val="Apara"/>
      </w:pPr>
      <w:r>
        <w:tab/>
        <w:t>(a)</w:t>
      </w:r>
      <w:r>
        <w:tab/>
        <w:t>the trustees or personal representatives are taken to represent every beneficiary; and</w:t>
      </w:r>
    </w:p>
    <w:p w14:paraId="68BA1105" w14:textId="77777777" w:rsidR="003D4FF5" w:rsidRDefault="003D4FF5" w:rsidP="003D4FF5">
      <w:pPr>
        <w:pStyle w:val="Apara"/>
      </w:pPr>
      <w:r>
        <w:tab/>
        <w:t>(b)</w:t>
      </w:r>
      <w:r>
        <w:tab/>
        <w:t>an order made in the proceeding is binding on every beneficiary.</w:t>
      </w:r>
    </w:p>
    <w:p w14:paraId="452BDF28" w14:textId="77777777"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14:paraId="3F1CE26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226D107" w14:textId="77777777" w:rsidR="003D4FF5" w:rsidRDefault="003D4FF5" w:rsidP="003D4FF5">
      <w:pPr>
        <w:pStyle w:val="Amain"/>
      </w:pPr>
      <w:r>
        <w:tab/>
        <w:t>(5)</w:t>
      </w:r>
      <w:r>
        <w:tab/>
        <w:t>Also, the court may, at any stage in the proceeding, order that a beneficiary be made a party to the proceeding in addition to or instead of an existing party.</w:t>
      </w:r>
    </w:p>
    <w:p w14:paraId="362DCF30" w14:textId="77777777" w:rsidR="003D4FF5" w:rsidRDefault="003D4FF5" w:rsidP="003D4FF5">
      <w:pPr>
        <w:pStyle w:val="Amain"/>
      </w:pPr>
      <w:r>
        <w:lastRenderedPageBreak/>
        <w:tab/>
        <w:t>(6)</w:t>
      </w:r>
      <w:r>
        <w:tab/>
        <w:t>This rule applies to trustees and personal representatives in a proceeding to enforce a security by foreclosure or otherwise.</w:t>
      </w:r>
    </w:p>
    <w:p w14:paraId="16722F85" w14:textId="77777777" w:rsidR="003D4FF5" w:rsidRDefault="003D4FF5" w:rsidP="003D4FF5">
      <w:pPr>
        <w:pStyle w:val="AH5Sec"/>
      </w:pPr>
      <w:bookmarkStart w:id="112" w:name="_Toc185513729"/>
      <w:r w:rsidRPr="00C8328B">
        <w:rPr>
          <w:rStyle w:val="CharSectNo"/>
        </w:rPr>
        <w:t>257</w:t>
      </w:r>
      <w:r>
        <w:tab/>
        <w:t>Representation—trustees and personal representatives must be parties</w:t>
      </w:r>
      <w:bookmarkEnd w:id="112"/>
    </w:p>
    <w:p w14:paraId="3595B4F1" w14:textId="77777777" w:rsidR="003D4FF5" w:rsidRDefault="003D4FF5" w:rsidP="003D4FF5">
      <w:pPr>
        <w:pStyle w:val="Amain"/>
      </w:pPr>
      <w:r>
        <w:tab/>
        <w:t>(1)</w:t>
      </w:r>
      <w:r>
        <w:tab/>
        <w:t>In a proceeding in relation to a deceased person’s estate, all personal representatives must be parties.</w:t>
      </w:r>
    </w:p>
    <w:p w14:paraId="4B4B6129" w14:textId="77777777" w:rsidR="003D4FF5" w:rsidRDefault="003D4FF5" w:rsidP="003D4FF5">
      <w:pPr>
        <w:pStyle w:val="Amain"/>
      </w:pPr>
      <w:r>
        <w:tab/>
        <w:t>(2)</w:t>
      </w:r>
      <w:r>
        <w:tab/>
        <w:t>In a proceeding in relation to a trust, all trustees must be parties.</w:t>
      </w:r>
    </w:p>
    <w:p w14:paraId="25DB330B" w14:textId="77777777"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14:paraId="6541FBF8" w14:textId="77777777" w:rsidR="003D4FF5" w:rsidRDefault="003D4FF5" w:rsidP="003D4FF5">
      <w:pPr>
        <w:pStyle w:val="AH5Sec"/>
      </w:pPr>
      <w:bookmarkStart w:id="113" w:name="_Toc185513730"/>
      <w:r w:rsidRPr="00C8328B">
        <w:rPr>
          <w:rStyle w:val="CharSectNo"/>
        </w:rPr>
        <w:t>258</w:t>
      </w:r>
      <w:r>
        <w:tab/>
        <w:t>Representation—beneficiaries and claimants</w:t>
      </w:r>
      <w:bookmarkEnd w:id="113"/>
    </w:p>
    <w:p w14:paraId="2F6C442B" w14:textId="77777777"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14:paraId="677FEEC0" w14:textId="77777777"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14:paraId="31F72061" w14:textId="77777777" w:rsidR="003D4FF5" w:rsidRDefault="003D4FF5" w:rsidP="003D4FF5">
      <w:pPr>
        <w:pStyle w:val="Amain"/>
      </w:pPr>
      <w:r>
        <w:tab/>
        <w:t>(3)</w:t>
      </w:r>
      <w:r>
        <w:tab/>
        <w:t>This rule has effect despite rule 213 (Including parties—joint entitlement).</w:t>
      </w:r>
    </w:p>
    <w:p w14:paraId="70A200E7" w14:textId="77777777" w:rsidR="003D4FF5" w:rsidRDefault="003D4FF5" w:rsidP="003D4FF5">
      <w:pPr>
        <w:pStyle w:val="AH5Sec"/>
      </w:pPr>
      <w:bookmarkStart w:id="114" w:name="_Toc185513731"/>
      <w:r w:rsidRPr="00C8328B">
        <w:rPr>
          <w:rStyle w:val="CharSectNo"/>
        </w:rPr>
        <w:t>259</w:t>
      </w:r>
      <w:r>
        <w:tab/>
        <w:t>Representation—proceeding about administration of deceased person’s estate or trust property</w:t>
      </w:r>
      <w:bookmarkEnd w:id="114"/>
    </w:p>
    <w:p w14:paraId="12098BB1" w14:textId="77777777"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14:paraId="1340BCD3" w14:textId="77777777" w:rsidR="003D4FF5" w:rsidRDefault="003D4FF5" w:rsidP="003D4FF5">
      <w:pPr>
        <w:pStyle w:val="Apara"/>
      </w:pPr>
      <w:r>
        <w:tab/>
        <w:t>(a)</w:t>
      </w:r>
      <w:r>
        <w:tab/>
        <w:t>the administration of a deceased person’s estate;</w:t>
      </w:r>
    </w:p>
    <w:p w14:paraId="3598B4FB" w14:textId="77777777" w:rsidR="003D4FF5" w:rsidRDefault="003D4FF5" w:rsidP="00E6423C">
      <w:pPr>
        <w:pStyle w:val="Apara"/>
        <w:keepNext/>
      </w:pPr>
      <w:r>
        <w:lastRenderedPageBreak/>
        <w:tab/>
        <w:t>(b)</w:t>
      </w:r>
      <w:r>
        <w:tab/>
        <w:t>property subject to a trust.</w:t>
      </w:r>
    </w:p>
    <w:p w14:paraId="3E63E237" w14:textId="77777777" w:rsidR="003D4FF5" w:rsidRDefault="003D4FF5" w:rsidP="003D4FF5">
      <w:pPr>
        <w:pStyle w:val="aNote"/>
      </w:pPr>
      <w:r>
        <w:rPr>
          <w:rStyle w:val="charItals"/>
        </w:rPr>
        <w:t>Note</w:t>
      </w:r>
      <w:r>
        <w:rPr>
          <w:rStyle w:val="charItals"/>
        </w:rPr>
        <w:tab/>
      </w:r>
      <w:r>
        <w:t>Pt 6.2 (Applications in proceedings) applies to an application for an appointment.</w:t>
      </w:r>
    </w:p>
    <w:p w14:paraId="18EA3A70" w14:textId="77777777" w:rsidR="003D4FF5" w:rsidRDefault="003D4FF5" w:rsidP="003D4FF5">
      <w:pPr>
        <w:pStyle w:val="Amain"/>
        <w:keepNext/>
      </w:pPr>
      <w:r>
        <w:tab/>
        <w:t>(2)</w:t>
      </w:r>
      <w:r>
        <w:tab/>
        <w:t>The court must not appoint a person under subrule (1) unless satisfied—</w:t>
      </w:r>
    </w:p>
    <w:p w14:paraId="6CD0A816" w14:textId="77777777" w:rsidR="003D4FF5" w:rsidRDefault="003D4FF5" w:rsidP="003D4FF5">
      <w:pPr>
        <w:pStyle w:val="Apara"/>
      </w:pPr>
      <w:r>
        <w:tab/>
        <w:t>(a)</w:t>
      </w:r>
      <w:r>
        <w:tab/>
        <w:t>that the interested or affected people (or some of them) cannot, or cannot readily, be identified; or</w:t>
      </w:r>
    </w:p>
    <w:p w14:paraId="1BCD462F" w14:textId="77777777" w:rsidR="003D4FF5" w:rsidRDefault="003D4FF5" w:rsidP="003D4FF5">
      <w:pPr>
        <w:pStyle w:val="Apara"/>
      </w:pPr>
      <w:r>
        <w:tab/>
        <w:t>(b)</w:t>
      </w:r>
      <w:r>
        <w:tab/>
        <w:t>that the interested or affected people (or some of them), although identified, cannot be found; or</w:t>
      </w:r>
    </w:p>
    <w:p w14:paraId="2D0A4C05" w14:textId="77777777"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14:paraId="7F133893" w14:textId="77777777"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14:paraId="1F6E5AA9" w14:textId="77777777" w:rsidR="003D4FF5" w:rsidRDefault="003D4FF5" w:rsidP="003D4FF5">
      <w:pPr>
        <w:pStyle w:val="Amain"/>
        <w:keepNext/>
      </w:pPr>
      <w:r>
        <w:tab/>
        <w:t>(4)</w:t>
      </w:r>
      <w:r>
        <w:tab/>
        <w:t>For this rule, people may be taken to have an interest or liability even if—</w:t>
      </w:r>
    </w:p>
    <w:p w14:paraId="6798D797" w14:textId="77777777" w:rsidR="003D4FF5" w:rsidRDefault="003D4FF5" w:rsidP="003D4FF5">
      <w:pPr>
        <w:pStyle w:val="Apara"/>
      </w:pPr>
      <w:r>
        <w:tab/>
        <w:t>(a)</w:t>
      </w:r>
      <w:r>
        <w:tab/>
        <w:t>in relation to 1 or more of them—the interest or liability is a contingent or future interest or liability; or</w:t>
      </w:r>
    </w:p>
    <w:p w14:paraId="6D939FA8" w14:textId="77777777" w:rsidR="003D4FF5" w:rsidRDefault="003D4FF5" w:rsidP="003D4FF5">
      <w:pPr>
        <w:pStyle w:val="Apara"/>
      </w:pPr>
      <w:r>
        <w:tab/>
        <w:t>(b)</w:t>
      </w:r>
      <w:r>
        <w:tab/>
        <w:t>1 or more of them is an unborn child.</w:t>
      </w:r>
    </w:p>
    <w:p w14:paraId="5360EE22" w14:textId="77777777" w:rsidR="003D4FF5" w:rsidRDefault="003D4FF5" w:rsidP="003D4FF5">
      <w:pPr>
        <w:pStyle w:val="Amain"/>
      </w:pPr>
      <w:r>
        <w:tab/>
        <w:t>(5)</w:t>
      </w:r>
      <w:r>
        <w:tab/>
        <w:t>This rule does not limit the operation of rule 261 (Representation—interests of deceased person’s estate).</w:t>
      </w:r>
    </w:p>
    <w:p w14:paraId="489C832A" w14:textId="77777777" w:rsidR="003D4FF5" w:rsidRDefault="003D4FF5" w:rsidP="003D4FF5">
      <w:pPr>
        <w:pStyle w:val="AH5Sec"/>
      </w:pPr>
      <w:bookmarkStart w:id="115" w:name="_Toc185513732"/>
      <w:r w:rsidRPr="00C8328B">
        <w:rPr>
          <w:rStyle w:val="CharSectNo"/>
        </w:rPr>
        <w:t>260</w:t>
      </w:r>
      <w:r>
        <w:tab/>
        <w:t>Representation—orders bind represented people in estate or trust proceeding</w:t>
      </w:r>
      <w:bookmarkEnd w:id="115"/>
    </w:p>
    <w:p w14:paraId="3760C2EB" w14:textId="77777777"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14:paraId="162270FD" w14:textId="77777777"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14:paraId="4255558E" w14:textId="77777777" w:rsidR="003D4FF5" w:rsidRDefault="003D4FF5" w:rsidP="003D4FF5">
      <w:pPr>
        <w:pStyle w:val="AH5Sec"/>
      </w:pPr>
      <w:bookmarkStart w:id="116" w:name="_Toc185513733"/>
      <w:r w:rsidRPr="00C8328B">
        <w:rPr>
          <w:rStyle w:val="CharSectNo"/>
        </w:rPr>
        <w:t>261</w:t>
      </w:r>
      <w:r>
        <w:tab/>
        <w:t>Representation—interests of deceased person’s estate</w:t>
      </w:r>
      <w:bookmarkEnd w:id="116"/>
    </w:p>
    <w:p w14:paraId="5EBFF28A" w14:textId="77777777" w:rsidR="003D4FF5" w:rsidRDefault="003D4FF5" w:rsidP="003D4FF5">
      <w:pPr>
        <w:pStyle w:val="Amain"/>
      </w:pPr>
      <w:r>
        <w:tab/>
        <w:t>(1)</w:t>
      </w:r>
      <w:r>
        <w:tab/>
        <w:t>This rule applies to a proceeding if the court is satisfied—</w:t>
      </w:r>
    </w:p>
    <w:p w14:paraId="04C87CB1" w14:textId="77777777" w:rsidR="003D4FF5" w:rsidRDefault="003D4FF5" w:rsidP="003D4FF5">
      <w:pPr>
        <w:pStyle w:val="Apara"/>
      </w:pPr>
      <w:r>
        <w:tab/>
        <w:t>(a)</w:t>
      </w:r>
      <w:r>
        <w:tab/>
        <w:t>that a deceased person’s estate has an interest in or is affected by the proceeding, but is not represented in the proceeding; or</w:t>
      </w:r>
    </w:p>
    <w:p w14:paraId="1A643CA3" w14:textId="77777777" w:rsidR="003D4FF5" w:rsidRDefault="003D4FF5" w:rsidP="003D4FF5">
      <w:pPr>
        <w:pStyle w:val="Apara"/>
      </w:pPr>
      <w:r>
        <w:tab/>
        <w:t>(b)</w:t>
      </w:r>
      <w:r>
        <w:tab/>
        <w:t>that the personal representative of the deceased person has an interest in the proceeding adverse to the interests of the deceased person’s estate.</w:t>
      </w:r>
    </w:p>
    <w:p w14:paraId="127704BF" w14:textId="77777777" w:rsidR="003D4FF5" w:rsidRDefault="003D4FF5" w:rsidP="003D4FF5">
      <w:pPr>
        <w:pStyle w:val="Amain"/>
      </w:pPr>
      <w:r>
        <w:tab/>
        <w:t>(2)</w:t>
      </w:r>
      <w:r>
        <w:tab/>
        <w:t>The court may—</w:t>
      </w:r>
    </w:p>
    <w:p w14:paraId="7AFDCA75" w14:textId="77777777" w:rsidR="003D4FF5" w:rsidRDefault="003D4FF5" w:rsidP="003D4FF5">
      <w:pPr>
        <w:pStyle w:val="Apara"/>
      </w:pPr>
      <w:r>
        <w:tab/>
        <w:t>(a)</w:t>
      </w:r>
      <w:r>
        <w:tab/>
        <w:t>order that the proceeding continue in the absence of the personal representative; or</w:t>
      </w:r>
    </w:p>
    <w:p w14:paraId="754CD7BF" w14:textId="77777777"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14:paraId="1FFDB44C" w14:textId="77777777" w:rsidR="003D4FF5" w:rsidRDefault="003D4FF5" w:rsidP="003D4FF5">
      <w:pPr>
        <w:pStyle w:val="Amain"/>
        <w:keepNext/>
      </w:pPr>
      <w:r>
        <w:tab/>
        <w:t>(3)</w:t>
      </w:r>
      <w:r>
        <w:tab/>
        <w:t>The court may make an order under this rule on the application of a person interested in the deceased person’s estate or on its own initiative.</w:t>
      </w:r>
    </w:p>
    <w:p w14:paraId="62FA8F77"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15EA97D" w14:textId="77777777" w:rsidR="003D4FF5" w:rsidRDefault="003D4FF5" w:rsidP="003D4FF5">
      <w:pPr>
        <w:pStyle w:val="Amain"/>
      </w:pPr>
      <w:r>
        <w:tab/>
        <w:t>(4)</w:t>
      </w:r>
      <w:r>
        <w:tab/>
        <w:t>The court must not appoint a person under subrule (2) (b) unless the person agrees to the appointment.</w:t>
      </w:r>
    </w:p>
    <w:p w14:paraId="6798F168" w14:textId="77777777"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14:paraId="71720A2E" w14:textId="77777777"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14:paraId="3EFD7A07" w14:textId="77777777" w:rsidR="003D4FF5" w:rsidRPr="00C8328B" w:rsidRDefault="003D4FF5" w:rsidP="003D4FF5">
      <w:pPr>
        <w:pStyle w:val="AH3Div"/>
      </w:pPr>
      <w:bookmarkStart w:id="117" w:name="_Toc185513734"/>
      <w:r w:rsidRPr="00C8328B">
        <w:rPr>
          <w:rStyle w:val="CharDivNo"/>
        </w:rPr>
        <w:t>Division 2.4.7</w:t>
      </w:r>
      <w:r>
        <w:tab/>
      </w:r>
      <w:r w:rsidRPr="00C8328B">
        <w:rPr>
          <w:rStyle w:val="CharDivText"/>
        </w:rPr>
        <w:t>Representation—numerous concurrent interests</w:t>
      </w:r>
      <w:bookmarkEnd w:id="117"/>
    </w:p>
    <w:p w14:paraId="1D3F2700" w14:textId="77777777" w:rsidR="003D4FF5" w:rsidRDefault="003D4FF5" w:rsidP="003D4FF5">
      <w:pPr>
        <w:pStyle w:val="AH5Sec"/>
      </w:pPr>
      <w:bookmarkStart w:id="118" w:name="_Toc185513735"/>
      <w:r w:rsidRPr="00C8328B">
        <w:rPr>
          <w:rStyle w:val="CharSectNo"/>
        </w:rPr>
        <w:t>265</w:t>
      </w:r>
      <w:r>
        <w:tab/>
        <w:t>Application—div 2.4.7</w:t>
      </w:r>
      <w:bookmarkEnd w:id="118"/>
    </w:p>
    <w:p w14:paraId="1AC7F748" w14:textId="77777777" w:rsidR="003D4FF5" w:rsidRDefault="003D4FF5" w:rsidP="003D4FF5">
      <w:pPr>
        <w:pStyle w:val="Amainreturn"/>
        <w:keepNext/>
      </w:pPr>
      <w:r>
        <w:t>This division does not apply to a proceeding to which either of the following divisions applies:</w:t>
      </w:r>
    </w:p>
    <w:p w14:paraId="04663530" w14:textId="77777777" w:rsidR="003D4FF5" w:rsidRDefault="003D4FF5" w:rsidP="003D4FF5">
      <w:pPr>
        <w:pStyle w:val="Apara"/>
      </w:pPr>
      <w:r>
        <w:tab/>
        <w:t>(a)</w:t>
      </w:r>
      <w:r>
        <w:tab/>
        <w:t>division 2.4.5 (Proceedings under Civil Law (Wrongs) Act 2002, pt 3.1);</w:t>
      </w:r>
    </w:p>
    <w:p w14:paraId="60133679" w14:textId="77777777" w:rsidR="003D4FF5" w:rsidRDefault="003D4FF5" w:rsidP="003D4FF5">
      <w:pPr>
        <w:pStyle w:val="Apara"/>
      </w:pPr>
      <w:r>
        <w:tab/>
        <w:t>(b)</w:t>
      </w:r>
      <w:r>
        <w:tab/>
        <w:t>division 2.4.6 (Representation—trustees and personal representatives).</w:t>
      </w:r>
    </w:p>
    <w:p w14:paraId="5C1D9719" w14:textId="77777777" w:rsidR="003D4FF5" w:rsidRDefault="003D4FF5" w:rsidP="003D4FF5">
      <w:pPr>
        <w:pStyle w:val="AH5Sec"/>
      </w:pPr>
      <w:bookmarkStart w:id="119" w:name="_Toc185513736"/>
      <w:r w:rsidRPr="00C8328B">
        <w:rPr>
          <w:rStyle w:val="CharSectNo"/>
        </w:rPr>
        <w:t>266</w:t>
      </w:r>
      <w:r>
        <w:tab/>
        <w:t>Representation—numerous concurrent interests</w:t>
      </w:r>
      <w:bookmarkEnd w:id="119"/>
    </w:p>
    <w:p w14:paraId="763A7D6F" w14:textId="77777777"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14:paraId="3CEB05FB"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1F51555D" w14:textId="77777777"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14:paraId="0E4488D6" w14:textId="77777777"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14:paraId="7642281F" w14:textId="77777777"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14:paraId="630A17CF" w14:textId="77777777" w:rsidR="003D4FF5" w:rsidRDefault="003D4FF5" w:rsidP="003D4FF5">
      <w:pPr>
        <w:pStyle w:val="AH5Sec"/>
      </w:pPr>
      <w:bookmarkStart w:id="120" w:name="_Toc185513737"/>
      <w:r w:rsidRPr="00C8328B">
        <w:rPr>
          <w:rStyle w:val="CharSectNo"/>
        </w:rPr>
        <w:t>267</w:t>
      </w:r>
      <w:r>
        <w:tab/>
        <w:t>Orders in div 2.4.7 proceeding bind represented people</w:t>
      </w:r>
      <w:bookmarkEnd w:id="120"/>
    </w:p>
    <w:p w14:paraId="1540456E" w14:textId="77777777" w:rsidR="003D4FF5" w:rsidRDefault="003D4FF5" w:rsidP="003D4FF5">
      <w:pPr>
        <w:pStyle w:val="Amain"/>
      </w:pPr>
      <w:r>
        <w:tab/>
        <w:t>(1)</w:t>
      </w:r>
      <w:r>
        <w:tab/>
        <w:t>An order made in a proceeding against or in favour of a party who represents others under this division—</w:t>
      </w:r>
    </w:p>
    <w:p w14:paraId="5DB44FA5" w14:textId="77777777" w:rsidR="003D4FF5" w:rsidRDefault="003D4FF5" w:rsidP="003D4FF5">
      <w:pPr>
        <w:pStyle w:val="Apara"/>
      </w:pPr>
      <w:r>
        <w:tab/>
        <w:t>(a)</w:t>
      </w:r>
      <w:r>
        <w:tab/>
        <w:t>is binding on everyone represented by the party in the proceeding; but</w:t>
      </w:r>
    </w:p>
    <w:p w14:paraId="6960601B" w14:textId="77777777" w:rsidR="003D4FF5" w:rsidRDefault="003D4FF5" w:rsidP="003D4FF5">
      <w:pPr>
        <w:pStyle w:val="Apara"/>
      </w:pPr>
      <w:r>
        <w:tab/>
        <w:t>(b)</w:t>
      </w:r>
      <w:r>
        <w:tab/>
        <w:t>is not enforceable against or by a person who is not a party to the proceeding without the court’s leave.</w:t>
      </w:r>
    </w:p>
    <w:p w14:paraId="3153CC9E" w14:textId="77777777"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14:paraId="76DD96F2"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2DF4C20B"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1C4EADA" w14:textId="77777777" w:rsidR="003D4FF5" w:rsidRDefault="003D4FF5" w:rsidP="003D4FF5">
      <w:pPr>
        <w:pStyle w:val="Amain"/>
      </w:pPr>
      <w:r>
        <w:tab/>
        <w:t>(3)</w:t>
      </w:r>
      <w:r>
        <w:tab/>
        <w:t>This rule does not prevent a person against whom an order is sought to be enforced from disputing liability because of circumstances peculiar to the person.</w:t>
      </w:r>
    </w:p>
    <w:p w14:paraId="1A727248" w14:textId="77777777" w:rsidR="003D4FF5" w:rsidRPr="00C8328B" w:rsidRDefault="003D4FF5" w:rsidP="003D4FF5">
      <w:pPr>
        <w:pStyle w:val="AH3Div"/>
      </w:pPr>
      <w:bookmarkStart w:id="121" w:name="_Toc185513738"/>
      <w:r w:rsidRPr="00C8328B">
        <w:rPr>
          <w:rStyle w:val="CharDivNo"/>
        </w:rPr>
        <w:t>Division 2.4.8</w:t>
      </w:r>
      <w:r>
        <w:tab/>
      </w:r>
      <w:r w:rsidRPr="00C8328B">
        <w:rPr>
          <w:rStyle w:val="CharDivText"/>
        </w:rPr>
        <w:t>Multiple proceedings</w:t>
      </w:r>
      <w:bookmarkEnd w:id="121"/>
    </w:p>
    <w:p w14:paraId="3396F9C4" w14:textId="77777777" w:rsidR="003D4FF5" w:rsidRDefault="003D4FF5" w:rsidP="003D4FF5">
      <w:pPr>
        <w:pStyle w:val="AH5Sec"/>
      </w:pPr>
      <w:bookmarkStart w:id="122" w:name="_Toc185513739"/>
      <w:r w:rsidRPr="00C8328B">
        <w:rPr>
          <w:rStyle w:val="CharSectNo"/>
        </w:rPr>
        <w:t>270</w:t>
      </w:r>
      <w:r>
        <w:tab/>
        <w:t>Consolidation etc of proceedings</w:t>
      </w:r>
      <w:bookmarkEnd w:id="122"/>
    </w:p>
    <w:p w14:paraId="41F8A43A" w14:textId="77777777" w:rsidR="003D4FF5" w:rsidRDefault="003D4FF5" w:rsidP="003D4FF5">
      <w:pPr>
        <w:pStyle w:val="Amain"/>
        <w:keepNext/>
      </w:pPr>
      <w:r>
        <w:tab/>
        <w:t>(1)</w:t>
      </w:r>
      <w:r>
        <w:tab/>
        <w:t>This rule applies if, in relation to 2 or more proceedings, it appears to the court that—</w:t>
      </w:r>
    </w:p>
    <w:p w14:paraId="7AC11E9B" w14:textId="77777777" w:rsidR="003D4FF5" w:rsidRDefault="003D4FF5" w:rsidP="003D4FF5">
      <w:pPr>
        <w:pStyle w:val="Apara"/>
      </w:pPr>
      <w:r>
        <w:tab/>
        <w:t>(a)</w:t>
      </w:r>
      <w:r>
        <w:tab/>
        <w:t>a common issue of law or fact arises; or</w:t>
      </w:r>
    </w:p>
    <w:p w14:paraId="5DC022D5" w14:textId="77777777" w:rsidR="003D4FF5" w:rsidRDefault="003D4FF5" w:rsidP="003D4FF5">
      <w:pPr>
        <w:pStyle w:val="Apara"/>
      </w:pPr>
      <w:r>
        <w:tab/>
        <w:t>(b)</w:t>
      </w:r>
      <w:r>
        <w:tab/>
        <w:t>the relief sought in each of the proceedings is in relation to, or arises out of, the same transaction or event or series of transactions or events; or</w:t>
      </w:r>
    </w:p>
    <w:p w14:paraId="2F052F67" w14:textId="77777777" w:rsidR="003D4FF5" w:rsidRDefault="003D4FF5" w:rsidP="003D4FF5">
      <w:pPr>
        <w:pStyle w:val="Apara"/>
      </w:pPr>
      <w:r>
        <w:lastRenderedPageBreak/>
        <w:tab/>
        <w:t>(c)</w:t>
      </w:r>
      <w:r>
        <w:tab/>
        <w:t>a decision in a proceeding will decide or affect the other proceeding or proceedings; or</w:t>
      </w:r>
    </w:p>
    <w:p w14:paraId="74F85D14" w14:textId="77777777" w:rsidR="003D4FF5" w:rsidRDefault="003D4FF5" w:rsidP="003D4FF5">
      <w:pPr>
        <w:pStyle w:val="Apara"/>
      </w:pPr>
      <w:r>
        <w:tab/>
        <w:t>(d)</w:t>
      </w:r>
      <w:r>
        <w:tab/>
        <w:t>it is otherwise desirable to make an order under this rule.</w:t>
      </w:r>
    </w:p>
    <w:p w14:paraId="7717C039" w14:textId="77777777" w:rsidR="003D4FF5" w:rsidRDefault="003D4FF5" w:rsidP="003D4FF5">
      <w:pPr>
        <w:pStyle w:val="Amain"/>
        <w:keepNext/>
      </w:pPr>
      <w:r>
        <w:tab/>
        <w:t>(2)</w:t>
      </w:r>
      <w:r>
        <w:tab/>
        <w:t>The court may order that—</w:t>
      </w:r>
    </w:p>
    <w:p w14:paraId="65364390" w14:textId="77777777" w:rsidR="003D4FF5" w:rsidRDefault="003D4FF5" w:rsidP="003D4FF5">
      <w:pPr>
        <w:pStyle w:val="Apara"/>
        <w:keepNext/>
      </w:pPr>
      <w:r>
        <w:tab/>
        <w:t>(a)</w:t>
      </w:r>
      <w:r>
        <w:tab/>
        <w:t>the proceedings be consolidated; or</w:t>
      </w:r>
    </w:p>
    <w:p w14:paraId="6DCAEB10" w14:textId="77777777" w:rsidR="003D4FF5" w:rsidRDefault="003D4FF5" w:rsidP="003D4FF5">
      <w:pPr>
        <w:pStyle w:val="Apara"/>
        <w:keepNext/>
      </w:pPr>
      <w:r>
        <w:tab/>
        <w:t>(b)</w:t>
      </w:r>
      <w:r>
        <w:tab/>
        <w:t>the proceedings be heard together or in a particular sequence; or</w:t>
      </w:r>
    </w:p>
    <w:p w14:paraId="1CA8B967" w14:textId="77777777" w:rsidR="003D4FF5" w:rsidRDefault="003D4FF5" w:rsidP="003D4FF5">
      <w:pPr>
        <w:pStyle w:val="Apara"/>
        <w:keepNext/>
      </w:pPr>
      <w:r>
        <w:tab/>
        <w:t>(c)</w:t>
      </w:r>
      <w:r>
        <w:tab/>
        <w:t>any of the proceedings be stayed until any other of the proceedings have been decided.</w:t>
      </w:r>
    </w:p>
    <w:p w14:paraId="0FDD702C" w14:textId="77777777"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14:paraId="3D2513F6" w14:textId="77777777" w:rsidR="003D4FF5" w:rsidRDefault="003D4FF5" w:rsidP="003D4FF5">
      <w:pPr>
        <w:pStyle w:val="Amain"/>
      </w:pPr>
      <w:r>
        <w:tab/>
        <w:t>(3)</w:t>
      </w:r>
      <w:r>
        <w:tab/>
        <w:t>The court may make an order under this rule on application by a party to any of the proceedings or on its own initiative.</w:t>
      </w:r>
    </w:p>
    <w:p w14:paraId="527BA540" w14:textId="77777777"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14:paraId="6C7F5CC4"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D16C735" w14:textId="77777777"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14:paraId="1DE52DC6" w14:textId="77777777"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14:paraId="7C19BF98" w14:textId="77777777" w:rsidR="003D4FF5" w:rsidRPr="00C8328B" w:rsidRDefault="003D4FF5" w:rsidP="003D4FF5">
      <w:pPr>
        <w:pStyle w:val="AH3Div"/>
      </w:pPr>
      <w:bookmarkStart w:id="123" w:name="_Toc185513740"/>
      <w:r w:rsidRPr="00C8328B">
        <w:rPr>
          <w:rStyle w:val="CharDivNo"/>
        </w:rPr>
        <w:lastRenderedPageBreak/>
        <w:t>Division 2.4.9</w:t>
      </w:r>
      <w:r>
        <w:tab/>
      </w:r>
      <w:r w:rsidRPr="00C8328B">
        <w:rPr>
          <w:rStyle w:val="CharDivText"/>
        </w:rPr>
        <w:t>People with a legal disability</w:t>
      </w:r>
      <w:bookmarkEnd w:id="123"/>
    </w:p>
    <w:p w14:paraId="02D8330B" w14:textId="77777777" w:rsidR="003D4FF5" w:rsidRDefault="003D4FF5" w:rsidP="003D4FF5">
      <w:pPr>
        <w:pStyle w:val="AH5Sec"/>
      </w:pPr>
      <w:bookmarkStart w:id="124" w:name="_Toc185513741"/>
      <w:r w:rsidRPr="00C8328B">
        <w:rPr>
          <w:rStyle w:val="CharSectNo"/>
        </w:rPr>
        <w:t>275</w:t>
      </w:r>
      <w:r>
        <w:tab/>
        <w:t>Person with legal disability—litigation guardian to start proceeding etc</w:t>
      </w:r>
      <w:bookmarkEnd w:id="124"/>
    </w:p>
    <w:p w14:paraId="3B2AD42F" w14:textId="77777777"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14:paraId="751AE8D6" w14:textId="77777777" w:rsidR="003D4FF5" w:rsidRDefault="003D4FF5" w:rsidP="003D4FF5">
      <w:pPr>
        <w:pStyle w:val="aExamHdgss"/>
        <w:keepNext w:val="0"/>
      </w:pPr>
      <w:r>
        <w:t>Example—territory law otherwise providing</w:t>
      </w:r>
    </w:p>
    <w:p w14:paraId="246361D0" w14:textId="42BF3596" w:rsidR="003D4FF5" w:rsidRDefault="003D4FF5" w:rsidP="003D4FF5">
      <w:pPr>
        <w:pStyle w:val="aExamss"/>
      </w:pPr>
      <w:r>
        <w:t xml:space="preserve">The </w:t>
      </w:r>
      <w:hyperlink r:id="rId65"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14:paraId="13AC3D02" w14:textId="77777777"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14:paraId="51AD4467" w14:textId="52C86521"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6" w:tooltip="A2001-14" w:history="1">
        <w:r w:rsidRPr="005A5F43">
          <w:rPr>
            <w:rStyle w:val="charCitHyperlinkAbbrev"/>
          </w:rPr>
          <w:t>Legislation Act</w:t>
        </w:r>
      </w:hyperlink>
      <w:r>
        <w:t>, s 98).</w:t>
      </w:r>
    </w:p>
    <w:p w14:paraId="7F25F29D" w14:textId="77777777"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14:paraId="6DD97103" w14:textId="77777777"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14:paraId="49D16338" w14:textId="77777777" w:rsidR="003D4FF5" w:rsidRDefault="003D4FF5" w:rsidP="003D4FF5">
      <w:pPr>
        <w:pStyle w:val="Amain"/>
      </w:pPr>
      <w:r>
        <w:tab/>
        <w:t>(4)</w:t>
      </w:r>
      <w:r>
        <w:tab/>
        <w:t>However, part 2.8 (Disclosure) applies to a party who is a person under a legal disability as if the person were not a person under a legal disability.</w:t>
      </w:r>
    </w:p>
    <w:p w14:paraId="00D8412D" w14:textId="77777777" w:rsidR="003D4FF5" w:rsidRDefault="003D4FF5" w:rsidP="003D4FF5">
      <w:pPr>
        <w:pStyle w:val="Amain"/>
      </w:pPr>
      <w:r>
        <w:tab/>
        <w:t>(5)</w:t>
      </w:r>
      <w:r>
        <w:tab/>
        <w:t>An act required to comply with an order under part 2.8 may be performed by—</w:t>
      </w:r>
    </w:p>
    <w:p w14:paraId="0349090F" w14:textId="77777777" w:rsidR="003D4FF5" w:rsidRDefault="003D4FF5" w:rsidP="003D4FF5">
      <w:pPr>
        <w:pStyle w:val="Apara"/>
      </w:pPr>
      <w:r>
        <w:tab/>
        <w:t>(a)</w:t>
      </w:r>
      <w:r>
        <w:tab/>
        <w:t>if the party can perform it—the party; or</w:t>
      </w:r>
    </w:p>
    <w:p w14:paraId="23ED3049" w14:textId="77777777" w:rsidR="003D4FF5" w:rsidRDefault="003D4FF5" w:rsidP="003D4FF5">
      <w:pPr>
        <w:pStyle w:val="Apara"/>
      </w:pPr>
      <w:r>
        <w:tab/>
        <w:t>(b)</w:t>
      </w:r>
      <w:r>
        <w:tab/>
        <w:t>in any other case—the party’s litigation guardian.</w:t>
      </w:r>
    </w:p>
    <w:p w14:paraId="5D622975" w14:textId="77777777" w:rsidR="003D4FF5" w:rsidRDefault="003D4FF5" w:rsidP="003D4FF5">
      <w:pPr>
        <w:pStyle w:val="Amain"/>
      </w:pPr>
      <w:r>
        <w:lastRenderedPageBreak/>
        <w:tab/>
        <w:t>(6)</w:t>
      </w:r>
      <w:r>
        <w:tab/>
        <w:t>A party’s litigation guardian who is not a legal practitioner may act only by a solicitor.</w:t>
      </w:r>
    </w:p>
    <w:p w14:paraId="19DD6342" w14:textId="77777777" w:rsidR="003D4FF5" w:rsidRDefault="003D4FF5" w:rsidP="003D4FF5">
      <w:pPr>
        <w:pStyle w:val="AH5Sec"/>
      </w:pPr>
      <w:bookmarkStart w:id="125" w:name="_Toc185513742"/>
      <w:r w:rsidRPr="00C8328B">
        <w:rPr>
          <w:rStyle w:val="CharSectNo"/>
        </w:rPr>
        <w:t>276</w:t>
      </w:r>
      <w:r>
        <w:tab/>
        <w:t>Who may be litigation guardian</w:t>
      </w:r>
      <w:bookmarkEnd w:id="125"/>
    </w:p>
    <w:p w14:paraId="5D358C6E" w14:textId="77777777" w:rsidR="003D4FF5" w:rsidRDefault="003D4FF5" w:rsidP="003D4FF5">
      <w:pPr>
        <w:pStyle w:val="Amain"/>
      </w:pPr>
      <w:r>
        <w:tab/>
        <w:t>(1)</w:t>
      </w:r>
      <w:r>
        <w:tab/>
        <w:t>A person may be a litigation guardian of a person with a legal disability for a proceeding if the person—</w:t>
      </w:r>
    </w:p>
    <w:p w14:paraId="6A592D4D" w14:textId="77777777" w:rsidR="003D4FF5" w:rsidRDefault="00E551B9" w:rsidP="003D4FF5">
      <w:pPr>
        <w:pStyle w:val="Apara"/>
      </w:pPr>
      <w:r>
        <w:tab/>
        <w:t>(a</w:t>
      </w:r>
      <w:r w:rsidR="003D4FF5">
        <w:t>)</w:t>
      </w:r>
      <w:r w:rsidR="003D4FF5">
        <w:tab/>
        <w:t>is not a person with a legal disability; and</w:t>
      </w:r>
    </w:p>
    <w:p w14:paraId="7A2BDEE7" w14:textId="77777777" w:rsidR="003D4FF5" w:rsidRDefault="00E551B9" w:rsidP="003D4FF5">
      <w:pPr>
        <w:pStyle w:val="Apara"/>
      </w:pPr>
      <w:r>
        <w:tab/>
        <w:t>(b</w:t>
      </w:r>
      <w:r w:rsidR="003D4FF5">
        <w:t>)</w:t>
      </w:r>
      <w:r w:rsidR="003D4FF5">
        <w:tab/>
        <w:t>has no interest in the proceeding adverse to the interests of the person with a legal disability; and</w:t>
      </w:r>
    </w:p>
    <w:p w14:paraId="00132E65" w14:textId="77777777" w:rsidR="003D4FF5" w:rsidRDefault="00E551B9" w:rsidP="003D4FF5">
      <w:pPr>
        <w:pStyle w:val="Apara"/>
      </w:pPr>
      <w:r>
        <w:tab/>
        <w:t>(c</w:t>
      </w:r>
      <w:r w:rsidR="003D4FF5">
        <w:t>)</w:t>
      </w:r>
      <w:r w:rsidR="003D4FF5">
        <w:tab/>
        <w:t>has agreed to be the person’s litigation guardian.</w:t>
      </w:r>
    </w:p>
    <w:p w14:paraId="7AE79082" w14:textId="77777777"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14:paraId="209FD7CC" w14:textId="77777777" w:rsidR="003D4FF5" w:rsidRPr="00403BD1" w:rsidRDefault="003D4FF5" w:rsidP="003D4FF5">
      <w:pPr>
        <w:pStyle w:val="aExamHdgss"/>
      </w:pPr>
      <w:r w:rsidRPr="00403BD1">
        <w:t>Examples</w:t>
      </w:r>
    </w:p>
    <w:p w14:paraId="2F266515" w14:textId="64F4FCEC" w:rsidR="003D4FF5" w:rsidRPr="00403BD1" w:rsidRDefault="003D4FF5" w:rsidP="003D4FF5">
      <w:pPr>
        <w:pStyle w:val="aExamINumss"/>
      </w:pPr>
      <w:r w:rsidRPr="00403BD1">
        <w:t>1</w:t>
      </w:r>
      <w:r w:rsidRPr="00403BD1">
        <w:tab/>
        <w:t xml:space="preserve">The </w:t>
      </w:r>
      <w:hyperlink r:id="rId67"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14:paraId="6F00A467" w14:textId="77777777"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14:paraId="06AFF217"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6E71AC6" w14:textId="4DCE86B0"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8" w:tooltip="A2001-14" w:history="1">
        <w:r w:rsidRPr="005A5F43">
          <w:rPr>
            <w:rStyle w:val="charCitHyperlinkAbbrev"/>
          </w:rPr>
          <w:t>Legislation Act</w:t>
        </w:r>
      </w:hyperlink>
      <w:r>
        <w:t>, s 98).</w:t>
      </w:r>
    </w:p>
    <w:p w14:paraId="0AFADD2C" w14:textId="77777777" w:rsidR="003D4FF5" w:rsidRDefault="003D4FF5" w:rsidP="003D4FF5">
      <w:pPr>
        <w:pStyle w:val="AH5Sec"/>
      </w:pPr>
      <w:bookmarkStart w:id="126" w:name="_Toc185513743"/>
      <w:r w:rsidRPr="00C8328B">
        <w:rPr>
          <w:rStyle w:val="CharSectNo"/>
        </w:rPr>
        <w:t>277</w:t>
      </w:r>
      <w:r>
        <w:tab/>
        <w:t>Litigation guardian—liability for costs</w:t>
      </w:r>
      <w:bookmarkEnd w:id="126"/>
    </w:p>
    <w:p w14:paraId="5503A026" w14:textId="77777777"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14:paraId="0723B05E" w14:textId="77777777" w:rsidR="003D4FF5" w:rsidRDefault="003D4FF5" w:rsidP="003D4FF5">
      <w:pPr>
        <w:pStyle w:val="Amain"/>
      </w:pPr>
      <w:r>
        <w:lastRenderedPageBreak/>
        <w:tab/>
        <w:t>(2)</w:t>
      </w:r>
      <w:r>
        <w:tab/>
        <w:t>An order for costs against the plaintiff or the litigation guardian may be enforced against the litigation guardian.</w:t>
      </w:r>
    </w:p>
    <w:p w14:paraId="7F31C276" w14:textId="77777777"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14:paraId="32FE318A" w14:textId="77777777" w:rsidR="003D4FF5" w:rsidRDefault="003D4FF5" w:rsidP="003D4FF5">
      <w:pPr>
        <w:pStyle w:val="AH5Sec"/>
      </w:pPr>
      <w:bookmarkStart w:id="127" w:name="_Toc185513744"/>
      <w:r w:rsidRPr="00C8328B">
        <w:rPr>
          <w:rStyle w:val="CharSectNo"/>
        </w:rPr>
        <w:t>278</w:t>
      </w:r>
      <w:r>
        <w:tab/>
        <w:t>Becoming a litigation guardian</w:t>
      </w:r>
      <w:bookmarkEnd w:id="127"/>
    </w:p>
    <w:p w14:paraId="5CBF3A98" w14:textId="77777777"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14:paraId="2F37D3A7" w14:textId="587C265B"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14:paraId="0BBF7FDE" w14:textId="77777777"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14:paraId="4C992517" w14:textId="77777777" w:rsidR="003D4FF5" w:rsidRDefault="003D4FF5" w:rsidP="003D4FF5">
      <w:pPr>
        <w:pStyle w:val="Apara"/>
      </w:pPr>
      <w:r>
        <w:tab/>
        <w:t>(a)</w:t>
      </w:r>
      <w:r>
        <w:tab/>
        <w:t>an affidavit by the solicitor for the person with a legal disability, or someone else with knowledge of the facts, stating that the person—</w:t>
      </w:r>
    </w:p>
    <w:p w14:paraId="2A30BB19" w14:textId="77777777" w:rsidR="003D4FF5" w:rsidRDefault="003D4FF5" w:rsidP="003D4FF5">
      <w:pPr>
        <w:pStyle w:val="Asubpara"/>
      </w:pPr>
      <w:r>
        <w:tab/>
        <w:t>(i)</w:t>
      </w:r>
      <w:r>
        <w:tab/>
        <w:t>has agreed to be the litigation guardian; and</w:t>
      </w:r>
    </w:p>
    <w:p w14:paraId="2A867C75" w14:textId="77777777" w:rsidR="003D4FF5" w:rsidRDefault="003D4FF5" w:rsidP="003D4FF5">
      <w:pPr>
        <w:pStyle w:val="Asubpara"/>
      </w:pPr>
      <w:r>
        <w:tab/>
        <w:t>(ii)</w:t>
      </w:r>
      <w:r>
        <w:tab/>
        <w:t>is an appropriate person to be the litigation guardian; and</w:t>
      </w:r>
    </w:p>
    <w:p w14:paraId="04616E32" w14:textId="77777777" w:rsidR="003D4FF5" w:rsidRDefault="003D4FF5" w:rsidP="003D4FF5">
      <w:pPr>
        <w:pStyle w:val="Asubpara"/>
      </w:pPr>
      <w:r>
        <w:tab/>
        <w:t>(iii)</w:t>
      </w:r>
      <w:r>
        <w:tab/>
        <w:t>does not have an interest in the proceeding adverse to the interest of the person with a legal disability; and</w:t>
      </w:r>
    </w:p>
    <w:p w14:paraId="28CD37E7" w14:textId="77777777" w:rsidR="003D4FF5" w:rsidRDefault="003D4FF5" w:rsidP="003D4FF5">
      <w:pPr>
        <w:pStyle w:val="Apara"/>
      </w:pPr>
      <w:r>
        <w:tab/>
        <w:t>(b)</w:t>
      </w:r>
      <w:r>
        <w:tab/>
        <w:t>the person’s written consent to be the litigation guardian of the person with a legal disability; and</w:t>
      </w:r>
    </w:p>
    <w:p w14:paraId="63E6542F" w14:textId="77777777"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14:paraId="163882EB" w14:textId="77777777" w:rsidR="003D4FF5" w:rsidRDefault="003D4FF5" w:rsidP="00E6423C">
      <w:pPr>
        <w:pStyle w:val="aNoteParass"/>
        <w:keepNext/>
      </w:pPr>
      <w:r w:rsidRPr="005A5F43">
        <w:rPr>
          <w:rStyle w:val="charItals"/>
        </w:rPr>
        <w:t>Note</w:t>
      </w:r>
      <w:r>
        <w:tab/>
        <w:t>See</w:t>
      </w:r>
    </w:p>
    <w:p w14:paraId="11031DCF" w14:textId="5F399A27"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0" w:history="1">
        <w:r w:rsidRPr="001F60B3">
          <w:rPr>
            <w:rStyle w:val="charCitHyperlinkAbbrev"/>
          </w:rPr>
          <w:t>AF2006-255</w:t>
        </w:r>
      </w:hyperlink>
    </w:p>
    <w:p w14:paraId="3F9B36A9" w14:textId="6CD5BCDB"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1" w:history="1">
        <w:r w:rsidRPr="001F60B3">
          <w:rPr>
            <w:rStyle w:val="charCitHyperlinkAbbrev"/>
          </w:rPr>
          <w:t>AF2006-256</w:t>
        </w:r>
      </w:hyperlink>
      <w:r>
        <w:t>.</w:t>
      </w:r>
    </w:p>
    <w:p w14:paraId="408CCE88" w14:textId="77777777" w:rsidR="003D4FF5" w:rsidRDefault="003D4FF5" w:rsidP="003D4FF5">
      <w:pPr>
        <w:pStyle w:val="AH5Sec"/>
      </w:pPr>
      <w:bookmarkStart w:id="128" w:name="_Toc185513745"/>
      <w:r w:rsidRPr="00C8328B">
        <w:rPr>
          <w:rStyle w:val="CharSectNo"/>
        </w:rPr>
        <w:t>279</w:t>
      </w:r>
      <w:r>
        <w:tab/>
        <w:t>Person with legal disability—effect of no notice of intention to respond or defence</w:t>
      </w:r>
      <w:bookmarkEnd w:id="128"/>
    </w:p>
    <w:p w14:paraId="74DC08C7" w14:textId="77777777"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14:paraId="38499E2C" w14:textId="77777777" w:rsidR="003D4FF5" w:rsidRDefault="003D4FF5" w:rsidP="003D4FF5">
      <w:pPr>
        <w:pStyle w:val="Amain"/>
      </w:pPr>
      <w:r>
        <w:tab/>
        <w:t>(2)</w:t>
      </w:r>
      <w:r>
        <w:tab/>
        <w:t>This rule has effect despite division 2.11.3 (Default by defendant).</w:t>
      </w:r>
    </w:p>
    <w:p w14:paraId="7B45DCC4" w14:textId="77777777" w:rsidR="003D4FF5" w:rsidRDefault="003D4FF5" w:rsidP="003D4FF5">
      <w:pPr>
        <w:pStyle w:val="AH5Sec"/>
      </w:pPr>
      <w:bookmarkStart w:id="129" w:name="_Toc185513746"/>
      <w:r w:rsidRPr="00C8328B">
        <w:rPr>
          <w:rStyle w:val="CharSectNo"/>
        </w:rPr>
        <w:t>280</w:t>
      </w:r>
      <w:r>
        <w:tab/>
        <w:t>Litigation guardian—appointment and removal by court</w:t>
      </w:r>
      <w:bookmarkEnd w:id="129"/>
    </w:p>
    <w:p w14:paraId="423342CA" w14:textId="77777777" w:rsidR="003D4FF5" w:rsidRDefault="003D4FF5" w:rsidP="003D4FF5">
      <w:pPr>
        <w:pStyle w:val="Amain"/>
        <w:keepNext/>
      </w:pPr>
      <w:r>
        <w:tab/>
        <w:t>(1)</w:t>
      </w:r>
      <w:r>
        <w:tab/>
        <w:t>A person may not replace someone else as litigation guardian of a person with a legal disability except by an order of the court.</w:t>
      </w:r>
    </w:p>
    <w:p w14:paraId="43961553" w14:textId="77777777"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14:paraId="6FBCF81A" w14:textId="77777777"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14:paraId="3F86ED50" w14:textId="77777777"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14:paraId="364AF73F" w14:textId="77777777"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14:paraId="74FBF5EA" w14:textId="77777777"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14:paraId="0115FD89" w14:textId="77777777" w:rsidR="003D4FF5" w:rsidRDefault="003D4FF5" w:rsidP="003D4FF5">
      <w:pPr>
        <w:pStyle w:val="Amain"/>
      </w:pPr>
      <w:r>
        <w:tab/>
        <w:t>(7)</w:t>
      </w:r>
      <w:r>
        <w:tab/>
        <w:t>In a proceeding on an application for the appointment of a litigation guardian, evidence in support of the application must include evidence—</w:t>
      </w:r>
    </w:p>
    <w:p w14:paraId="43AC170F" w14:textId="77777777" w:rsidR="003D4FF5" w:rsidRDefault="003D4FF5" w:rsidP="003D4FF5">
      <w:pPr>
        <w:pStyle w:val="Apara"/>
      </w:pPr>
      <w:r>
        <w:tab/>
        <w:t>(a)</w:t>
      </w:r>
      <w:r>
        <w:tab/>
        <w:t>that the party for whom a litigation guardian is to be appointed is a person with a legal disability; and</w:t>
      </w:r>
    </w:p>
    <w:p w14:paraId="3BFD6D52" w14:textId="77777777"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14:paraId="0457C40D" w14:textId="77777777" w:rsidR="003D4FF5" w:rsidRDefault="003D4FF5" w:rsidP="003D4FF5">
      <w:pPr>
        <w:pStyle w:val="Amain"/>
      </w:pPr>
      <w:r>
        <w:tab/>
        <w:t>(8)</w:t>
      </w:r>
      <w:r>
        <w:tab/>
        <w:t>The court may make an order under this rule on application by a party to the proceeding or anyone else or on its own initiative.</w:t>
      </w:r>
    </w:p>
    <w:p w14:paraId="3608D15C" w14:textId="77777777"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14:paraId="0B547777" w14:textId="77777777"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14:paraId="4277B6D2" w14:textId="77777777" w:rsidR="003D4FF5" w:rsidRDefault="003D4FF5" w:rsidP="003D4FF5">
      <w:pPr>
        <w:pStyle w:val="AH5Sec"/>
      </w:pPr>
      <w:bookmarkStart w:id="130" w:name="_Toc185513747"/>
      <w:r w:rsidRPr="00C8328B">
        <w:rPr>
          <w:rStyle w:val="CharSectNo"/>
        </w:rPr>
        <w:t>281</w:t>
      </w:r>
      <w:r>
        <w:tab/>
        <w:t>Litigation guardian—accounts</w:t>
      </w:r>
      <w:bookmarkEnd w:id="130"/>
    </w:p>
    <w:p w14:paraId="05AD5EAC" w14:textId="77777777" w:rsidR="003D4FF5" w:rsidRDefault="003D4FF5" w:rsidP="003D4FF5">
      <w:pPr>
        <w:pStyle w:val="Amainreturn"/>
      </w:pPr>
      <w:r>
        <w:t>Division 2.9.5 (Receivers) applies in relation to a litigation guardian’s accounts, with any necessary changes, in the same way as it applies to a receiver’s accounts.</w:t>
      </w:r>
    </w:p>
    <w:p w14:paraId="6715B1CA" w14:textId="77777777" w:rsidR="003D4FF5" w:rsidRDefault="003D4FF5" w:rsidP="003D4FF5">
      <w:pPr>
        <w:pStyle w:val="AH5Sec"/>
      </w:pPr>
      <w:bookmarkStart w:id="131" w:name="_Toc185513748"/>
      <w:r w:rsidRPr="00C8328B">
        <w:rPr>
          <w:rStyle w:val="CharSectNo"/>
        </w:rPr>
        <w:lastRenderedPageBreak/>
        <w:t>282</w:t>
      </w:r>
      <w:r>
        <w:tab/>
        <w:t>Person with legal disability—approval of settlement etc</w:t>
      </w:r>
      <w:bookmarkEnd w:id="131"/>
    </w:p>
    <w:p w14:paraId="46529342" w14:textId="77777777"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14:paraId="68E834FF" w14:textId="77777777"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14:paraId="2F461BAA" w14:textId="77777777"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14:paraId="2FA01A5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14:paraId="2C1FE77B" w14:textId="77777777"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14:paraId="5F002C07" w14:textId="77777777" w:rsidR="003D4FF5" w:rsidRDefault="003D4FF5" w:rsidP="003D4FF5">
      <w:pPr>
        <w:pStyle w:val="Amain"/>
      </w:pPr>
      <w:r>
        <w:tab/>
        <w:t>(4)</w:t>
      </w:r>
      <w:r>
        <w:tab/>
        <w:t>This rule applies whether the person is suing alone or with another party.</w:t>
      </w:r>
    </w:p>
    <w:p w14:paraId="24A5FA49" w14:textId="77777777" w:rsidR="003D4FF5" w:rsidRPr="00C8328B" w:rsidRDefault="003D4FF5" w:rsidP="003D4FF5">
      <w:pPr>
        <w:pStyle w:val="AH3Div"/>
      </w:pPr>
      <w:bookmarkStart w:id="132" w:name="_Toc185513749"/>
      <w:r w:rsidRPr="00C8328B">
        <w:rPr>
          <w:rStyle w:val="CharDivNo"/>
        </w:rPr>
        <w:t>Division 2.4.10</w:t>
      </w:r>
      <w:r>
        <w:tab/>
      </w:r>
      <w:r w:rsidRPr="00C8328B">
        <w:rPr>
          <w:rStyle w:val="CharDivText"/>
        </w:rPr>
        <w:t>Partnerships</w:t>
      </w:r>
      <w:bookmarkEnd w:id="132"/>
    </w:p>
    <w:p w14:paraId="0E7F9206" w14:textId="77777777" w:rsidR="003D4FF5" w:rsidRDefault="003D4FF5" w:rsidP="003D4FF5">
      <w:pPr>
        <w:pStyle w:val="AH5Sec"/>
      </w:pPr>
      <w:bookmarkStart w:id="133" w:name="_Toc185513750"/>
      <w:r w:rsidRPr="00C8328B">
        <w:rPr>
          <w:rStyle w:val="CharSectNo"/>
        </w:rPr>
        <w:t>285</w:t>
      </w:r>
      <w:r>
        <w:tab/>
        <w:t xml:space="preserve">Meaning of </w:t>
      </w:r>
      <w:r w:rsidRPr="005A5F43">
        <w:rPr>
          <w:rStyle w:val="charItals"/>
        </w:rPr>
        <w:t>partnership proceeding</w:t>
      </w:r>
      <w:r>
        <w:t>—div 2.4.10</w:t>
      </w:r>
      <w:bookmarkEnd w:id="133"/>
    </w:p>
    <w:p w14:paraId="4F1198F1" w14:textId="77777777" w:rsidR="003D4FF5" w:rsidRDefault="003D4FF5" w:rsidP="003D4FF5">
      <w:pPr>
        <w:pStyle w:val="Amainreturn"/>
        <w:keepNext/>
      </w:pPr>
      <w:r>
        <w:t>In this division:</w:t>
      </w:r>
    </w:p>
    <w:p w14:paraId="71252832" w14:textId="77777777"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14:paraId="3983ED6A" w14:textId="77777777"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14:paraId="1537E10A" w14:textId="77777777" w:rsidR="003D4FF5" w:rsidRDefault="003D4FF5" w:rsidP="003D4FF5">
      <w:pPr>
        <w:pStyle w:val="AH5Sec"/>
      </w:pPr>
      <w:bookmarkStart w:id="134" w:name="_Toc185513751"/>
      <w:r w:rsidRPr="00C8328B">
        <w:rPr>
          <w:rStyle w:val="CharSectNo"/>
        </w:rPr>
        <w:lastRenderedPageBreak/>
        <w:t>286</w:t>
      </w:r>
      <w:r>
        <w:tab/>
        <w:t>Proceeding in partnership name</w:t>
      </w:r>
      <w:bookmarkEnd w:id="134"/>
    </w:p>
    <w:p w14:paraId="1BC0F4D5" w14:textId="77777777" w:rsidR="003D4FF5" w:rsidRDefault="003D4FF5" w:rsidP="003D4FF5">
      <w:pPr>
        <w:pStyle w:val="Amain"/>
        <w:keepNext/>
      </w:pPr>
      <w:r>
        <w:tab/>
        <w:t>(1)</w:t>
      </w:r>
      <w:r>
        <w:tab/>
        <w:t>Two or more partners may start a proceeding in the partnership name.</w:t>
      </w:r>
    </w:p>
    <w:p w14:paraId="547D4BB2" w14:textId="77777777" w:rsidR="003D4FF5" w:rsidRDefault="003D4FF5" w:rsidP="003D4FF5">
      <w:pPr>
        <w:pStyle w:val="Amain"/>
      </w:pPr>
      <w:r>
        <w:tab/>
        <w:t>(2)</w:t>
      </w:r>
      <w:r>
        <w:tab/>
        <w:t>A proceeding against people claimed to be partners may be started against the claimed partnership in the partnership name.</w:t>
      </w:r>
    </w:p>
    <w:p w14:paraId="65CDCDF8" w14:textId="77777777" w:rsidR="003D4FF5" w:rsidRDefault="003D4FF5" w:rsidP="003D4FF5">
      <w:pPr>
        <w:pStyle w:val="Amain"/>
      </w:pPr>
      <w:r>
        <w:tab/>
        <w:t>(3)</w:t>
      </w:r>
      <w:r>
        <w:tab/>
        <w:t>The partnership name used in a partnership proceeding must be the name of the partnership when the cause of action arose.</w:t>
      </w:r>
    </w:p>
    <w:p w14:paraId="236388EC" w14:textId="48A8B3A9"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2"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14:paraId="3C8899CE" w14:textId="77777777" w:rsidR="003D4FF5" w:rsidRDefault="003D4FF5" w:rsidP="003D4FF5">
      <w:pPr>
        <w:pStyle w:val="Amain"/>
        <w:keepNext/>
      </w:pPr>
      <w:r>
        <w:tab/>
        <w:t>(5)</w:t>
      </w:r>
      <w:r>
        <w:tab/>
        <w:t>Unless the court otherwise orders, a partnership proceeding must continue in the partnership name and not in the name of the individual partners.</w:t>
      </w:r>
    </w:p>
    <w:p w14:paraId="5F814608"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D6884B5" w14:textId="77777777" w:rsidR="003D4FF5" w:rsidRDefault="003D4FF5" w:rsidP="003D4FF5">
      <w:pPr>
        <w:pStyle w:val="AH5Sec"/>
      </w:pPr>
      <w:bookmarkStart w:id="135" w:name="_Toc185513752"/>
      <w:r w:rsidRPr="00C8328B">
        <w:rPr>
          <w:rStyle w:val="CharSectNo"/>
        </w:rPr>
        <w:t>287</w:t>
      </w:r>
      <w:r>
        <w:tab/>
        <w:t>Disclosure of partners’ names</w:t>
      </w:r>
      <w:bookmarkEnd w:id="135"/>
    </w:p>
    <w:p w14:paraId="2DB811DC" w14:textId="77777777"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14:paraId="0991F360" w14:textId="77777777"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14:paraId="3F32642B" w14:textId="77777777" w:rsidR="003D4FF5" w:rsidRDefault="003D4FF5" w:rsidP="003D4FF5">
      <w:pPr>
        <w:pStyle w:val="Amain"/>
      </w:pPr>
      <w:r>
        <w:tab/>
        <w:t>(2)</w:t>
      </w:r>
      <w:r>
        <w:tab/>
        <w:t>The notice must state a date for compliance with the notice that is at least 2 days after the day the notice is served on the partnership.</w:t>
      </w:r>
    </w:p>
    <w:p w14:paraId="0B39AB9A" w14:textId="77777777" w:rsidR="003D4FF5" w:rsidRDefault="003D4FF5" w:rsidP="003D4FF5">
      <w:pPr>
        <w:pStyle w:val="Amain"/>
      </w:pPr>
      <w:r>
        <w:tab/>
        <w:t>(3)</w:t>
      </w:r>
      <w:r>
        <w:tab/>
        <w:t>If the partnership does not give the party the information required by the notice, the court may make any order it considers appropriate, including an order—</w:t>
      </w:r>
    </w:p>
    <w:p w14:paraId="3E78EE97" w14:textId="77777777" w:rsidR="003D4FF5" w:rsidRDefault="003D4FF5" w:rsidP="003D4FF5">
      <w:pPr>
        <w:pStyle w:val="Apara"/>
      </w:pPr>
      <w:r>
        <w:tab/>
        <w:t>(a)</w:t>
      </w:r>
      <w:r>
        <w:tab/>
        <w:t>staying the proceeding until the information is given; and</w:t>
      </w:r>
    </w:p>
    <w:p w14:paraId="4065E0CF" w14:textId="77777777" w:rsidR="003D4FF5" w:rsidRDefault="003D4FF5" w:rsidP="003D4FF5">
      <w:pPr>
        <w:pStyle w:val="Apara"/>
        <w:keepNext/>
      </w:pPr>
      <w:r>
        <w:lastRenderedPageBreak/>
        <w:tab/>
        <w:t>(b)</w:t>
      </w:r>
      <w:r>
        <w:tab/>
        <w:t>striking out a pleading or affidavit.</w:t>
      </w:r>
    </w:p>
    <w:p w14:paraId="1F6E49C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51041CF" w14:textId="77777777" w:rsidR="003D4FF5" w:rsidRPr="00C8328B" w:rsidRDefault="003D4FF5" w:rsidP="003D4FF5">
      <w:pPr>
        <w:pStyle w:val="AH3Div"/>
      </w:pPr>
      <w:bookmarkStart w:id="136" w:name="_Toc185513753"/>
      <w:r w:rsidRPr="00C8328B">
        <w:rPr>
          <w:rStyle w:val="CharDivNo"/>
        </w:rPr>
        <w:t>Division 2.4.11</w:t>
      </w:r>
      <w:r>
        <w:tab/>
      </w:r>
      <w:r w:rsidRPr="00C8328B">
        <w:rPr>
          <w:rStyle w:val="CharDivText"/>
        </w:rPr>
        <w:t>Business names</w:t>
      </w:r>
      <w:bookmarkEnd w:id="136"/>
    </w:p>
    <w:p w14:paraId="3BB99417" w14:textId="77777777" w:rsidR="003D4FF5" w:rsidRDefault="003D4FF5" w:rsidP="003D4FF5">
      <w:pPr>
        <w:pStyle w:val="AH5Sec"/>
      </w:pPr>
      <w:bookmarkStart w:id="137" w:name="_Toc185513754"/>
      <w:r w:rsidRPr="00C8328B">
        <w:rPr>
          <w:rStyle w:val="CharSectNo"/>
        </w:rPr>
        <w:t>290</w:t>
      </w:r>
      <w:r>
        <w:tab/>
        <w:t>Proceeding in registered business name</w:t>
      </w:r>
      <w:bookmarkEnd w:id="137"/>
    </w:p>
    <w:p w14:paraId="597313CA" w14:textId="4726E003" w:rsidR="003D4FF5" w:rsidRDefault="003D4FF5" w:rsidP="003D4FF5">
      <w:pPr>
        <w:pStyle w:val="Amainreturn"/>
      </w:pPr>
      <w:r>
        <w:t xml:space="preserve">A proceeding may be started against a name registered under the </w:t>
      </w:r>
      <w:hyperlink r:id="rId73" w:tooltip="Act 2011 No 126 (Cwlth)" w:history="1">
        <w:r w:rsidRPr="00374CAC">
          <w:rPr>
            <w:rStyle w:val="charCitHyperlinkItal"/>
          </w:rPr>
          <w:t>Business Names Registration Act 2011</w:t>
        </w:r>
      </w:hyperlink>
      <w:r w:rsidRPr="00AD5834">
        <w:t xml:space="preserve"> (Cwlth)</w:t>
      </w:r>
      <w:r>
        <w:t>.</w:t>
      </w:r>
    </w:p>
    <w:p w14:paraId="2ECB19A1" w14:textId="77777777" w:rsidR="003D4FF5" w:rsidRDefault="003D4FF5" w:rsidP="003D4FF5">
      <w:pPr>
        <w:pStyle w:val="AH5Sec"/>
      </w:pPr>
      <w:bookmarkStart w:id="138" w:name="_Toc185513755"/>
      <w:r w:rsidRPr="00C8328B">
        <w:rPr>
          <w:rStyle w:val="CharSectNo"/>
        </w:rPr>
        <w:t>291</w:t>
      </w:r>
      <w:r>
        <w:tab/>
        <w:t>Proceeding in business name if unregistered etc</w:t>
      </w:r>
      <w:bookmarkEnd w:id="138"/>
    </w:p>
    <w:p w14:paraId="40A308E2" w14:textId="1B8BBD1B" w:rsidR="003D4FF5" w:rsidRDefault="003D4FF5" w:rsidP="003D4FF5">
      <w:pPr>
        <w:pStyle w:val="Amain"/>
      </w:pPr>
      <w:r>
        <w:tab/>
        <w:t>(1)</w:t>
      </w:r>
      <w:r>
        <w:tab/>
        <w:t xml:space="preserve">This rule applies to a business name under which business is being carried on by a person in contravention of the </w:t>
      </w:r>
      <w:hyperlink r:id="rId74" w:tooltip="Act 2011 No 126 (Cwlth)" w:history="1">
        <w:r w:rsidRPr="00374CAC">
          <w:rPr>
            <w:rStyle w:val="charCitHyperlinkItal"/>
          </w:rPr>
          <w:t>Business Names Registration Act 2011</w:t>
        </w:r>
      </w:hyperlink>
      <w:r w:rsidRPr="00AD5834">
        <w:t xml:space="preserve"> (Cwlth)</w:t>
      </w:r>
      <w:r>
        <w:t xml:space="preserve"> because—</w:t>
      </w:r>
    </w:p>
    <w:p w14:paraId="4998A64F" w14:textId="77777777" w:rsidR="003D4FF5" w:rsidRDefault="003D4FF5" w:rsidP="003D4FF5">
      <w:pPr>
        <w:pStyle w:val="Apara"/>
      </w:pPr>
      <w:r>
        <w:tab/>
        <w:t>(a)</w:t>
      </w:r>
      <w:r>
        <w:tab/>
        <w:t>the name is not registered under that Act; or</w:t>
      </w:r>
    </w:p>
    <w:p w14:paraId="0031073C" w14:textId="77777777" w:rsidR="003D4FF5" w:rsidRDefault="003D4FF5" w:rsidP="003D4FF5">
      <w:pPr>
        <w:pStyle w:val="Apara"/>
      </w:pPr>
      <w:r>
        <w:tab/>
        <w:t>(b)</w:t>
      </w:r>
      <w:r>
        <w:tab/>
        <w:t>the name is registered under that Act, but is not registered in relation to the person; or</w:t>
      </w:r>
    </w:p>
    <w:p w14:paraId="73EF36CD" w14:textId="77777777"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14:paraId="3B16448B" w14:textId="77777777" w:rsidR="003D4FF5" w:rsidRDefault="003D4FF5" w:rsidP="003D4FF5">
      <w:pPr>
        <w:pStyle w:val="Amain"/>
        <w:keepNext/>
      </w:pPr>
      <w:r>
        <w:tab/>
        <w:t>(2)</w:t>
      </w:r>
      <w:r>
        <w:tab/>
        <w:t>If a proceeding is started against the person under the business name, the following provisions apply:</w:t>
      </w:r>
    </w:p>
    <w:p w14:paraId="60506A47" w14:textId="77777777" w:rsidR="003D4FF5" w:rsidRDefault="003D4FF5" w:rsidP="003D4FF5">
      <w:pPr>
        <w:pStyle w:val="Apara"/>
      </w:pPr>
      <w:r>
        <w:tab/>
        <w:t>(a)</w:t>
      </w:r>
      <w:r>
        <w:tab/>
        <w:t>the proceeding is not invalid only because of the contravention;</w:t>
      </w:r>
    </w:p>
    <w:p w14:paraId="080A0136" w14:textId="77777777"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14:paraId="02DD18D0" w14:textId="77777777"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14:paraId="770D8CC5" w14:textId="77777777" w:rsidR="003D4FF5" w:rsidRDefault="003D4FF5" w:rsidP="003D4FF5">
      <w:pPr>
        <w:pStyle w:val="AH5Sec"/>
      </w:pPr>
      <w:bookmarkStart w:id="139" w:name="_Toc185513756"/>
      <w:r w:rsidRPr="00C8328B">
        <w:rPr>
          <w:rStyle w:val="CharSectNo"/>
        </w:rPr>
        <w:lastRenderedPageBreak/>
        <w:t>292</w:t>
      </w:r>
      <w:r>
        <w:tab/>
        <w:t>Business names—amendment about parties</w:t>
      </w:r>
      <w:bookmarkEnd w:id="139"/>
    </w:p>
    <w:p w14:paraId="5DDE5E06" w14:textId="3DDE06A1"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14:paraId="36C9F1B5" w14:textId="77777777" w:rsidR="003D4FF5" w:rsidRDefault="003D4FF5" w:rsidP="003D4FF5">
      <w:pPr>
        <w:pStyle w:val="Apara"/>
      </w:pPr>
      <w:r>
        <w:tab/>
        <w:t>(a)</w:t>
      </w:r>
      <w:r>
        <w:tab/>
        <w:t>the name is not registered under that Act; or</w:t>
      </w:r>
    </w:p>
    <w:p w14:paraId="7C4A8B4F" w14:textId="77777777" w:rsidR="003D4FF5" w:rsidRDefault="003D4FF5" w:rsidP="003D4FF5">
      <w:pPr>
        <w:pStyle w:val="Apara"/>
      </w:pPr>
      <w:r>
        <w:tab/>
        <w:t>(b)</w:t>
      </w:r>
      <w:r>
        <w:tab/>
        <w:t>the name is registered under that Act, but is not registered in relation to the person.</w:t>
      </w:r>
    </w:p>
    <w:p w14:paraId="52CF5EBE" w14:textId="77777777" w:rsidR="003D4FF5" w:rsidRDefault="003D4FF5" w:rsidP="003D4FF5">
      <w:pPr>
        <w:pStyle w:val="Amain"/>
      </w:pPr>
      <w:r>
        <w:tab/>
        <w:t>(2)</w:t>
      </w:r>
      <w:r>
        <w:tab/>
        <w:t>If a proceeding is started against the person under the business name, the plaintiff must take all reasonable steps to find out the person’s name.</w:t>
      </w:r>
    </w:p>
    <w:p w14:paraId="78728167" w14:textId="77777777" w:rsidR="003D4FF5" w:rsidRDefault="003D4FF5" w:rsidP="003D4FF5">
      <w:pPr>
        <w:pStyle w:val="Amain"/>
      </w:pPr>
      <w:r>
        <w:tab/>
        <w:t>(3)</w:t>
      </w:r>
      <w:r>
        <w:tab/>
        <w:t>The plaintiff must also make the amendments necessary for the proceeding to be continued against a named defendant and not in the business name.</w:t>
      </w:r>
    </w:p>
    <w:p w14:paraId="5BDB3936" w14:textId="77777777" w:rsidR="003D4FF5" w:rsidRDefault="003D4FF5" w:rsidP="003D4FF5">
      <w:pPr>
        <w:pStyle w:val="Amain"/>
        <w:keepNext/>
      </w:pPr>
      <w:r>
        <w:tab/>
        <w:t>(4)</w:t>
      </w:r>
      <w:r>
        <w:tab/>
        <w:t>Until the amendments are made, the plaintiff may only take a step in the proceeding with the court’s leave.</w:t>
      </w:r>
    </w:p>
    <w:p w14:paraId="042EC2EF"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0F8F709" w14:textId="77777777" w:rsidR="003D4FF5" w:rsidRDefault="003D4FF5" w:rsidP="003D4FF5">
      <w:pPr>
        <w:pStyle w:val="Amain"/>
        <w:keepNext/>
      </w:pPr>
      <w:r>
        <w:tab/>
        <w:t>(5)</w:t>
      </w:r>
      <w:r>
        <w:tab/>
        <w:t>Subrule (4) does not apply to—</w:t>
      </w:r>
    </w:p>
    <w:p w14:paraId="3A29CE31" w14:textId="77777777" w:rsidR="003D4FF5" w:rsidRDefault="003D4FF5" w:rsidP="003D4FF5">
      <w:pPr>
        <w:pStyle w:val="Apara"/>
      </w:pPr>
      <w:r>
        <w:tab/>
        <w:t>(a)</w:t>
      </w:r>
      <w:r>
        <w:tab/>
        <w:t>the filing or service of an originating process; or</w:t>
      </w:r>
    </w:p>
    <w:p w14:paraId="70D7F0EF" w14:textId="77777777" w:rsidR="003D4FF5" w:rsidRDefault="003D4FF5" w:rsidP="003D4FF5">
      <w:pPr>
        <w:pStyle w:val="Apara"/>
      </w:pPr>
      <w:r>
        <w:tab/>
        <w:t>(b)</w:t>
      </w:r>
      <w:r>
        <w:tab/>
        <w:t>the filing or service of an application under rule 650 (Discovery to identify potential defendant) or rule 651 (Discovery to identify right to claim relief); or</w:t>
      </w:r>
    </w:p>
    <w:p w14:paraId="2742F770" w14:textId="77777777" w:rsidR="003D4FF5" w:rsidRDefault="003D4FF5" w:rsidP="003D4FF5">
      <w:pPr>
        <w:pStyle w:val="Apara"/>
      </w:pPr>
      <w:r>
        <w:tab/>
        <w:t>(c)</w:t>
      </w:r>
      <w:r>
        <w:tab/>
        <w:t>the filing or service of an application for an order under rule 706 (Urgent orders before start of proceeding); or</w:t>
      </w:r>
    </w:p>
    <w:p w14:paraId="4F1B4BD8" w14:textId="77777777" w:rsidR="003D4FF5" w:rsidRDefault="003D4FF5" w:rsidP="003D4FF5">
      <w:pPr>
        <w:pStyle w:val="Apara"/>
      </w:pPr>
      <w:r>
        <w:tab/>
        <w:t>(d)</w:t>
      </w:r>
      <w:r>
        <w:tab/>
        <w:t>a step taken to comply with this rule; or</w:t>
      </w:r>
    </w:p>
    <w:p w14:paraId="6539743C" w14:textId="77777777" w:rsidR="003D4FF5" w:rsidRDefault="003D4FF5" w:rsidP="003D4FF5">
      <w:pPr>
        <w:pStyle w:val="Apara"/>
      </w:pPr>
      <w:r>
        <w:tab/>
        <w:t>(e)</w:t>
      </w:r>
      <w:r>
        <w:tab/>
        <w:t>the filing or service of an application for leave under subrule (4).</w:t>
      </w:r>
    </w:p>
    <w:p w14:paraId="682D08AC" w14:textId="77777777"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14:paraId="22B29763" w14:textId="77777777" w:rsidR="003D4FF5" w:rsidRDefault="003D4FF5" w:rsidP="003D4FF5">
      <w:pPr>
        <w:pStyle w:val="Amain"/>
      </w:pPr>
      <w:r>
        <w:tab/>
        <w:t>(7)</w:t>
      </w:r>
      <w:r>
        <w:tab/>
        <w:t>This rule applies in addition to part 2.7 (Amendment).</w:t>
      </w:r>
    </w:p>
    <w:p w14:paraId="38666FD5" w14:textId="77777777" w:rsidR="003D4FF5" w:rsidRDefault="003D4FF5" w:rsidP="003D4FF5">
      <w:pPr>
        <w:pStyle w:val="PageBreak"/>
      </w:pPr>
      <w:r>
        <w:br w:type="page"/>
      </w:r>
    </w:p>
    <w:p w14:paraId="4CDD0111" w14:textId="77777777" w:rsidR="003D4FF5" w:rsidRPr="00C8328B" w:rsidRDefault="003D4FF5" w:rsidP="003D4FF5">
      <w:pPr>
        <w:pStyle w:val="AH2Part"/>
      </w:pPr>
      <w:bookmarkStart w:id="140" w:name="_Toc185513757"/>
      <w:r w:rsidRPr="00C8328B">
        <w:rPr>
          <w:rStyle w:val="CharPartNo"/>
        </w:rPr>
        <w:lastRenderedPageBreak/>
        <w:t>Part 2.5</w:t>
      </w:r>
      <w:r>
        <w:tab/>
      </w:r>
      <w:r w:rsidRPr="00C8328B">
        <w:rPr>
          <w:rStyle w:val="CharPartText"/>
        </w:rPr>
        <w:t>Third-party and similar proceedings</w:t>
      </w:r>
      <w:bookmarkEnd w:id="140"/>
    </w:p>
    <w:p w14:paraId="557EB5FA" w14:textId="77777777" w:rsidR="003D4FF5" w:rsidRDefault="003D4FF5" w:rsidP="003D4FF5">
      <w:pPr>
        <w:pStyle w:val="Placeholder"/>
      </w:pPr>
      <w:r>
        <w:rPr>
          <w:rStyle w:val="CharDivNo"/>
        </w:rPr>
        <w:t xml:space="preserve">  </w:t>
      </w:r>
      <w:r>
        <w:rPr>
          <w:rStyle w:val="CharDivText"/>
        </w:rPr>
        <w:t xml:space="preserve">  </w:t>
      </w:r>
    </w:p>
    <w:p w14:paraId="791818A0" w14:textId="77777777" w:rsidR="003D4FF5" w:rsidRDefault="003D4FF5" w:rsidP="003D4FF5">
      <w:pPr>
        <w:pStyle w:val="AH5Sec"/>
      </w:pPr>
      <w:bookmarkStart w:id="141" w:name="_Toc185513758"/>
      <w:r w:rsidRPr="00C8328B">
        <w:rPr>
          <w:rStyle w:val="CharSectNo"/>
        </w:rPr>
        <w:t>300</w:t>
      </w:r>
      <w:r>
        <w:tab/>
        <w:t>Purpose—pt 2.5</w:t>
      </w:r>
      <w:bookmarkEnd w:id="141"/>
    </w:p>
    <w:p w14:paraId="2C75A60A" w14:textId="77777777" w:rsidR="003D4FF5" w:rsidRDefault="003D4FF5" w:rsidP="003D4FF5">
      <w:pPr>
        <w:pStyle w:val="Amainreturn"/>
        <w:keepNext/>
      </w:pPr>
      <w:r>
        <w:t>The purpose of this part is to provide for a third-party procedure in proceedings started by originating claim.</w:t>
      </w:r>
    </w:p>
    <w:p w14:paraId="386FA779" w14:textId="77777777"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E789EA1" w14:textId="77777777" w:rsidR="003D4FF5" w:rsidRDefault="003D4FF5" w:rsidP="003D4FF5">
      <w:pPr>
        <w:pStyle w:val="AH5Sec"/>
      </w:pPr>
      <w:bookmarkStart w:id="142" w:name="_Toc185513759"/>
      <w:r w:rsidRPr="00C8328B">
        <w:rPr>
          <w:rStyle w:val="CharSectNo"/>
        </w:rPr>
        <w:t>301</w:t>
      </w:r>
      <w:r>
        <w:tab/>
        <w:t>When a third-party proceeding starts</w:t>
      </w:r>
      <w:bookmarkEnd w:id="142"/>
    </w:p>
    <w:p w14:paraId="646A5FE0" w14:textId="77777777" w:rsidR="003D4FF5" w:rsidRDefault="003D4FF5" w:rsidP="003D4FF5">
      <w:pPr>
        <w:pStyle w:val="Amainreturn"/>
        <w:keepNext/>
      </w:pPr>
      <w:r>
        <w:t>A third-party proceeding starts on the day the third-party notice for the proceeding is filed in the court.</w:t>
      </w:r>
    </w:p>
    <w:p w14:paraId="5FED08F6" w14:textId="77777777"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14:paraId="237DB77C" w14:textId="77777777" w:rsidR="003D4FF5" w:rsidRDefault="003D4FF5" w:rsidP="003D4FF5">
      <w:pPr>
        <w:pStyle w:val="AH5Sec"/>
      </w:pPr>
      <w:bookmarkStart w:id="143" w:name="_Toc185513760"/>
      <w:r w:rsidRPr="00C8328B">
        <w:rPr>
          <w:rStyle w:val="CharSectNo"/>
        </w:rPr>
        <w:t>302</w:t>
      </w:r>
      <w:r>
        <w:tab/>
        <w:t>Third-party proceeding—when available</w:t>
      </w:r>
      <w:bookmarkEnd w:id="143"/>
    </w:p>
    <w:p w14:paraId="28F4DC07" w14:textId="77777777" w:rsidR="003D4FF5" w:rsidRDefault="003D4FF5" w:rsidP="003D4FF5">
      <w:pPr>
        <w:pStyle w:val="Amainreturn"/>
      </w:pPr>
      <w:r>
        <w:t>A defendant may file a third-party notice if the defendant wants to—</w:t>
      </w:r>
    </w:p>
    <w:p w14:paraId="54A9B310" w14:textId="77777777" w:rsidR="003D4FF5" w:rsidRDefault="003D4FF5" w:rsidP="003D4FF5">
      <w:pPr>
        <w:pStyle w:val="Apara"/>
      </w:pPr>
      <w:r>
        <w:tab/>
        <w:t>(a)</w:t>
      </w:r>
      <w:r>
        <w:tab/>
        <w:t>claim a contribution or indemnity against a person who is not already a party to the proceeding; or</w:t>
      </w:r>
    </w:p>
    <w:p w14:paraId="0D474156" w14:textId="77777777" w:rsidR="003D4FF5" w:rsidRDefault="003D4FF5" w:rsidP="003D4FF5">
      <w:pPr>
        <w:pStyle w:val="Apara"/>
      </w:pPr>
      <w:r>
        <w:tab/>
        <w:t>(b)</w:t>
      </w:r>
      <w:r>
        <w:tab/>
        <w:t>claim relief against a person who is not already a party to the proceeding that—</w:t>
      </w:r>
    </w:p>
    <w:p w14:paraId="01A22F87" w14:textId="77777777" w:rsidR="003D4FF5" w:rsidRDefault="003D4FF5" w:rsidP="003D4FF5">
      <w:pPr>
        <w:pStyle w:val="Asubpara"/>
      </w:pPr>
      <w:r>
        <w:tab/>
        <w:t>(i)</w:t>
      </w:r>
      <w:r>
        <w:tab/>
        <w:t>relates to or is connected with the original subject matter of the proceeding; and</w:t>
      </w:r>
    </w:p>
    <w:p w14:paraId="4605F2C2" w14:textId="77777777" w:rsidR="003D4FF5" w:rsidRDefault="003D4FF5" w:rsidP="003D4FF5">
      <w:pPr>
        <w:pStyle w:val="Asubpara"/>
      </w:pPr>
      <w:r>
        <w:tab/>
        <w:t>(ii)</w:t>
      </w:r>
      <w:r>
        <w:tab/>
        <w:t>is substantially the same as some relief claimed by the plaintiff; or</w:t>
      </w:r>
    </w:p>
    <w:p w14:paraId="6D3ED677" w14:textId="77777777"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14:paraId="1EB67E4E" w14:textId="77777777" w:rsidR="003D4FF5" w:rsidRDefault="003D4FF5" w:rsidP="003D4FF5">
      <w:pPr>
        <w:pStyle w:val="AH5Sec"/>
      </w:pPr>
      <w:bookmarkStart w:id="144" w:name="_Toc185513761"/>
      <w:r w:rsidRPr="00C8328B">
        <w:rPr>
          <w:rStyle w:val="CharSectNo"/>
        </w:rPr>
        <w:t>303</w:t>
      </w:r>
      <w:r>
        <w:tab/>
        <w:t>Third-party notice—content etc</w:t>
      </w:r>
      <w:bookmarkEnd w:id="144"/>
    </w:p>
    <w:p w14:paraId="5A183F8A" w14:textId="77777777" w:rsidR="003D4FF5" w:rsidRDefault="003D4FF5" w:rsidP="003D4FF5">
      <w:pPr>
        <w:pStyle w:val="Amain"/>
        <w:keepNext/>
      </w:pPr>
      <w:r>
        <w:tab/>
        <w:t>(1)</w:t>
      </w:r>
      <w:r>
        <w:tab/>
        <w:t>A third-party notice must state briefly and specifically the nature of the claim made and relief sought.</w:t>
      </w:r>
    </w:p>
    <w:p w14:paraId="6F4A7CBA" w14:textId="693774C9"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6" w:history="1">
        <w:r w:rsidRPr="0037705E">
          <w:rPr>
            <w:rStyle w:val="charCitHyperlinkAbbrev"/>
          </w:rPr>
          <w:t>AF2006-257</w:t>
        </w:r>
      </w:hyperlink>
      <w:r w:rsidRPr="0037705E">
        <w:rPr>
          <w:rStyle w:val="charCitHyperlinkAbbrev"/>
        </w:rPr>
        <w:t>.</w:t>
      </w:r>
    </w:p>
    <w:p w14:paraId="179FE57B" w14:textId="36A56E9D" w:rsidR="003D4FF5" w:rsidRDefault="003D4FF5" w:rsidP="003D4FF5">
      <w:pPr>
        <w:pStyle w:val="Amain"/>
        <w:keepNext/>
      </w:pPr>
      <w:r>
        <w:tab/>
        <w:t>(2)</w:t>
      </w:r>
      <w:r>
        <w:tab/>
        <w:t xml:space="preserve">A statement of claim must be </w:t>
      </w:r>
      <w:r w:rsidR="00040F03" w:rsidRPr="00C1177F">
        <w:t>filed with</w:t>
      </w:r>
      <w:r>
        <w:t xml:space="preserve"> the third-party notice.</w:t>
      </w:r>
    </w:p>
    <w:p w14:paraId="6C33678A" w14:textId="77777777" w:rsidR="003D4FF5" w:rsidRPr="005A5F43" w:rsidRDefault="003D4FF5" w:rsidP="003D4FF5">
      <w:pPr>
        <w:pStyle w:val="aNote"/>
        <w:keepNext/>
      </w:pPr>
      <w:r>
        <w:rPr>
          <w:rStyle w:val="charItals"/>
        </w:rPr>
        <w:t>Note 1</w:t>
      </w:r>
      <w:r>
        <w:rPr>
          <w:rStyle w:val="charItals"/>
        </w:rPr>
        <w:tab/>
      </w:r>
      <w:r w:rsidRPr="005A5F43">
        <w:t>See</w:t>
      </w:r>
    </w:p>
    <w:p w14:paraId="0B17FA65" w14:textId="7603FBDB" w:rsidR="003D4FF5" w:rsidRDefault="003D4FF5" w:rsidP="003D4FF5">
      <w:pPr>
        <w:pStyle w:val="aNoteBulletss"/>
      </w:pPr>
      <w:r w:rsidRPr="005A5F43">
        <w:sym w:font="Symbol" w:char="F0B7"/>
      </w:r>
      <w:r w:rsidRPr="005A5F43">
        <w:tab/>
        <w:t>approved form 2.2 (</w:t>
      </w:r>
      <w:r>
        <w:t xml:space="preserve">Statement of claim—debt or liquidated demand) </w:t>
      </w:r>
      <w:hyperlink r:id="rId77" w:history="1">
        <w:r w:rsidRPr="0037705E">
          <w:rPr>
            <w:rStyle w:val="charCitHyperlinkAbbrev"/>
          </w:rPr>
          <w:t>AF2007-60</w:t>
        </w:r>
      </w:hyperlink>
    </w:p>
    <w:p w14:paraId="31ED9F7A" w14:textId="24080440"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8" w:history="1">
        <w:r>
          <w:rPr>
            <w:rStyle w:val="charCitHyperlinkAbbrev"/>
          </w:rPr>
          <w:t>AF2014-160</w:t>
        </w:r>
      </w:hyperlink>
    </w:p>
    <w:p w14:paraId="040BDA4C" w14:textId="74963F0E"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79" w:history="1">
        <w:r>
          <w:rPr>
            <w:rStyle w:val="charCitHyperlinkAbbrev"/>
          </w:rPr>
          <w:t>AF2014-26</w:t>
        </w:r>
      </w:hyperlink>
    </w:p>
    <w:p w14:paraId="55C25A51" w14:textId="2431DB27"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0" w:history="1">
        <w:r w:rsidRPr="0037705E">
          <w:rPr>
            <w:rStyle w:val="charCitHyperlinkAbbrev"/>
          </w:rPr>
          <w:t>AF2006-447</w:t>
        </w:r>
      </w:hyperlink>
      <w:r>
        <w:t>.</w:t>
      </w:r>
    </w:p>
    <w:p w14:paraId="1C0FC4EC" w14:textId="77777777"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14:paraId="24025000"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019B5288" w14:textId="3D05C237" w:rsidR="003D4FF5" w:rsidRDefault="003D4FF5" w:rsidP="003D4FF5">
      <w:pPr>
        <w:pStyle w:val="Amain"/>
        <w:keepNext/>
      </w:pPr>
      <w:r>
        <w:tab/>
        <w:t>(3)</w:t>
      </w:r>
      <w:r>
        <w:tab/>
        <w:t xml:space="preserve">A third-party notice filed in the Magistrates Court, or the </w:t>
      </w:r>
      <w:r w:rsidR="00040F03" w:rsidRPr="00C1177F">
        <w:t>accompanying</w:t>
      </w:r>
      <w:r w:rsidR="00040F03">
        <w:t xml:space="preserve"> </w:t>
      </w:r>
      <w:r>
        <w:t>statement of claim, must show</w:t>
      </w:r>
      <w:r>
        <w:rPr>
          <w:lang w:val="en-US"/>
        </w:rPr>
        <w:t xml:space="preserve"> </w:t>
      </w:r>
      <w:r>
        <w:t>that the court has jurisdiction to decide the claim.</w:t>
      </w:r>
    </w:p>
    <w:p w14:paraId="3EB9E2DB" w14:textId="5306FEB4" w:rsidR="003D4FF5" w:rsidRDefault="003D4FF5" w:rsidP="003D4FF5">
      <w:pPr>
        <w:pStyle w:val="aNote"/>
        <w:rPr>
          <w:lang w:val="en-US"/>
        </w:rPr>
      </w:pPr>
      <w:r>
        <w:rPr>
          <w:rStyle w:val="charItals"/>
        </w:rPr>
        <w:t>Note</w:t>
      </w:r>
      <w:r>
        <w:rPr>
          <w:rStyle w:val="charItals"/>
        </w:rPr>
        <w:tab/>
      </w:r>
      <w:r>
        <w:rPr>
          <w:lang w:val="en-US"/>
        </w:rPr>
        <w:t xml:space="preserve">The </w:t>
      </w:r>
      <w:hyperlink r:id="rId8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C40AEEB" w14:textId="77777777" w:rsidR="003D4FF5" w:rsidRDefault="003D4FF5" w:rsidP="003D4FF5">
      <w:pPr>
        <w:pStyle w:val="Amain"/>
        <w:keepNext/>
      </w:pPr>
      <w:r>
        <w:tab/>
        <w:t>(4)</w:t>
      </w:r>
      <w:r>
        <w:tab/>
        <w:t>A third-party notice must state—</w:t>
      </w:r>
    </w:p>
    <w:p w14:paraId="58835DFD" w14:textId="77777777" w:rsidR="003D4FF5" w:rsidRDefault="003D4FF5" w:rsidP="003D4FF5">
      <w:pPr>
        <w:pStyle w:val="Apara"/>
      </w:pPr>
      <w:r>
        <w:tab/>
        <w:t>(a)</w:t>
      </w:r>
      <w:r>
        <w:tab/>
        <w:t>whether the defendant is represented by a solicitor; and</w:t>
      </w:r>
    </w:p>
    <w:p w14:paraId="42B98D0D" w14:textId="77777777" w:rsidR="003D4FF5" w:rsidRDefault="003D4FF5" w:rsidP="003D4FF5">
      <w:pPr>
        <w:pStyle w:val="Apara"/>
      </w:pPr>
      <w:r>
        <w:tab/>
        <w:t>(b)</w:t>
      </w:r>
      <w:r>
        <w:tab/>
        <w:t>if the defendant is represented by a solicitor—the name of the solicitor; and</w:t>
      </w:r>
    </w:p>
    <w:p w14:paraId="6364F2E7" w14:textId="77777777" w:rsidR="003D4FF5" w:rsidRDefault="003D4FF5" w:rsidP="003D4FF5">
      <w:pPr>
        <w:pStyle w:val="Apara"/>
      </w:pPr>
      <w:r>
        <w:lastRenderedPageBreak/>
        <w:tab/>
        <w:t>(c)</w:t>
      </w:r>
      <w:r>
        <w:tab/>
        <w:t>the defendant’s address for service; and</w:t>
      </w:r>
    </w:p>
    <w:p w14:paraId="32C77730" w14:textId="77777777" w:rsidR="003D4FF5" w:rsidRDefault="003D4FF5" w:rsidP="003D4FF5">
      <w:pPr>
        <w:pStyle w:val="Apara"/>
      </w:pPr>
      <w:r>
        <w:tab/>
        <w:t>(d)</w:t>
      </w:r>
      <w:r>
        <w:tab/>
        <w:t>if the defendant is suing in a representative capacity—the representative capacity in which the defendant is suing; and</w:t>
      </w:r>
    </w:p>
    <w:p w14:paraId="29343C2A" w14:textId="77777777" w:rsidR="003D4FF5" w:rsidRDefault="003D4FF5" w:rsidP="003D4FF5">
      <w:pPr>
        <w:pStyle w:val="Apara"/>
        <w:keepNext/>
      </w:pPr>
      <w:r>
        <w:tab/>
        <w:t>(e)</w:t>
      </w:r>
      <w:r>
        <w:tab/>
        <w:t>if a third party is being sued in a representative capacity—the representative capacity in which the third party is being sued.</w:t>
      </w:r>
    </w:p>
    <w:p w14:paraId="53F4D4EC"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2994E61" w14:textId="77777777" w:rsidR="003D4FF5" w:rsidRDefault="003D4FF5" w:rsidP="003D4FF5">
      <w:pPr>
        <w:pStyle w:val="Amain"/>
      </w:pPr>
      <w:r>
        <w:tab/>
        <w:t>(5)</w:t>
      </w:r>
      <w:r>
        <w:tab/>
        <w:t>A third-party notice must state specifically any claim for—</w:t>
      </w:r>
    </w:p>
    <w:p w14:paraId="7E60C79C" w14:textId="77777777" w:rsidR="003D4FF5" w:rsidRDefault="003D4FF5" w:rsidP="003D4FF5">
      <w:pPr>
        <w:pStyle w:val="Apara"/>
      </w:pPr>
      <w:r>
        <w:tab/>
        <w:t>(a)</w:t>
      </w:r>
      <w:r>
        <w:tab/>
        <w:t>exemplary damages or aggravated damages; and</w:t>
      </w:r>
    </w:p>
    <w:p w14:paraId="61D6ACEC" w14:textId="77777777" w:rsidR="003D4FF5" w:rsidRDefault="003D4FF5" w:rsidP="003D4FF5">
      <w:pPr>
        <w:pStyle w:val="Apara"/>
      </w:pPr>
      <w:r>
        <w:tab/>
        <w:t>(b)</w:t>
      </w:r>
      <w:r>
        <w:tab/>
        <w:t>interest up to the day of judgment.</w:t>
      </w:r>
    </w:p>
    <w:p w14:paraId="03B4C051" w14:textId="77777777"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14:paraId="48428A1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3BB863B5" w14:textId="77777777" w:rsidR="003D4FF5" w:rsidRDefault="003D4FF5" w:rsidP="003D4FF5">
      <w:pPr>
        <w:pStyle w:val="Amain"/>
      </w:pPr>
      <w:r>
        <w:tab/>
        <w:t>(7)</w:t>
      </w:r>
      <w:r>
        <w:tab/>
        <w:t>If the relief sought requires the court’s decision or direction on any question, the third-party notice must state the question.</w:t>
      </w:r>
    </w:p>
    <w:p w14:paraId="2BD5D7F1" w14:textId="77777777" w:rsidR="003D4FF5" w:rsidRDefault="003D4FF5" w:rsidP="003D4FF5">
      <w:pPr>
        <w:pStyle w:val="AH5Sec"/>
        <w:rPr>
          <w:lang w:val="en-US"/>
        </w:rPr>
      </w:pPr>
      <w:bookmarkStart w:id="145" w:name="_Toc185513762"/>
      <w:r w:rsidRPr="00C8328B">
        <w:rPr>
          <w:rStyle w:val="CharSectNo"/>
        </w:rPr>
        <w:t>304</w:t>
      </w:r>
      <w:r>
        <w:rPr>
          <w:lang w:val="en-US"/>
        </w:rPr>
        <w:tab/>
        <w:t>Third-party notice—additional matters for claims for debt and liquidated demands</w:t>
      </w:r>
      <w:bookmarkEnd w:id="145"/>
    </w:p>
    <w:p w14:paraId="45CA1370" w14:textId="77777777" w:rsidR="003D4FF5" w:rsidRDefault="003D4FF5" w:rsidP="003D4FF5">
      <w:pPr>
        <w:pStyle w:val="Amain"/>
      </w:pPr>
      <w:r>
        <w:tab/>
        <w:t>(1)</w:t>
      </w:r>
      <w:r>
        <w:tab/>
      </w:r>
      <w:r>
        <w:rPr>
          <w:lang w:val="en-US"/>
        </w:rPr>
        <w:t>This rule applies to a third-party notice</w:t>
      </w:r>
      <w:r>
        <w:t xml:space="preserve"> that includes a claim for a debt or liquidated demand.</w:t>
      </w:r>
    </w:p>
    <w:p w14:paraId="74589630"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05869BDD" w14:textId="77777777" w:rsidR="003D4FF5" w:rsidRDefault="003D4FF5" w:rsidP="003D4FF5">
      <w:pPr>
        <w:pStyle w:val="Amain"/>
      </w:pPr>
      <w:r>
        <w:tab/>
        <w:t>(2)</w:t>
      </w:r>
      <w:r>
        <w:tab/>
        <w:t>A claim for interest up to the day of judgment—</w:t>
      </w:r>
    </w:p>
    <w:p w14:paraId="18161A78" w14:textId="77777777" w:rsidR="003D4FF5" w:rsidRDefault="003D4FF5" w:rsidP="003D4FF5">
      <w:pPr>
        <w:pStyle w:val="Apara"/>
      </w:pPr>
      <w:r>
        <w:tab/>
        <w:t>(a)</w:t>
      </w:r>
      <w:r>
        <w:tab/>
        <w:t>must state the period or periods for which interest is claimed; and</w:t>
      </w:r>
    </w:p>
    <w:p w14:paraId="23023561" w14:textId="77777777" w:rsidR="003D4FF5" w:rsidRDefault="003D4FF5" w:rsidP="003D4FF5">
      <w:pPr>
        <w:pStyle w:val="Apara"/>
      </w:pPr>
      <w:r>
        <w:tab/>
        <w:t>(b)</w:t>
      </w:r>
      <w:r>
        <w:tab/>
        <w:t>may state the rate or rates at which interest is claimed.</w:t>
      </w:r>
    </w:p>
    <w:p w14:paraId="26C67E2A" w14:textId="77777777"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14:paraId="27E2E661" w14:textId="77777777" w:rsidR="003D4FF5" w:rsidRDefault="003D4FF5" w:rsidP="003D4FF5">
      <w:pPr>
        <w:pStyle w:val="Amain"/>
      </w:pPr>
      <w:r>
        <w:lastRenderedPageBreak/>
        <w:tab/>
        <w:t>(4)</w:t>
      </w:r>
      <w:r>
        <w:tab/>
      </w:r>
      <w:r>
        <w:rPr>
          <w:lang w:val="en-US"/>
        </w:rPr>
        <w:t>The costs amount applying under schedule 3, part 3.1 (Claim for debt or liquidated demand) must be specifically claimed for costs.</w:t>
      </w:r>
    </w:p>
    <w:p w14:paraId="46ACD7E7" w14:textId="77777777" w:rsidR="003D4FF5" w:rsidRDefault="003D4FF5" w:rsidP="003D4FF5">
      <w:pPr>
        <w:pStyle w:val="AH5Sec"/>
        <w:rPr>
          <w:lang w:val="en-US"/>
        </w:rPr>
      </w:pPr>
      <w:bookmarkStart w:id="146" w:name="_Toc185513763"/>
      <w:r w:rsidRPr="00C8328B">
        <w:rPr>
          <w:rStyle w:val="CharSectNo"/>
        </w:rPr>
        <w:t>305</w:t>
      </w:r>
      <w:r>
        <w:rPr>
          <w:lang w:val="en-US"/>
        </w:rPr>
        <w:tab/>
        <w:t>Third-party notice—statement of claim for certain personal injury claims</w:t>
      </w:r>
      <w:bookmarkEnd w:id="146"/>
    </w:p>
    <w:p w14:paraId="6FE38963" w14:textId="77777777"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14:paraId="071A9E51" w14:textId="77777777"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14:paraId="23384CF0" w14:textId="77777777" w:rsidR="003D4FF5" w:rsidRDefault="003D4FF5" w:rsidP="003D4FF5">
      <w:pPr>
        <w:pStyle w:val="Apara"/>
      </w:pPr>
      <w:r>
        <w:rPr>
          <w:lang w:val="en-US"/>
        </w:rPr>
        <w:tab/>
        <w:t>(b)</w:t>
      </w:r>
      <w:r>
        <w:rPr>
          <w:lang w:val="en-US"/>
        </w:rPr>
        <w:tab/>
        <w:t>rule 53 (Originating claim—statement of claim for employment death and personal injury claims).</w:t>
      </w:r>
    </w:p>
    <w:p w14:paraId="41EC5FEA" w14:textId="77777777" w:rsidR="003D4FF5" w:rsidRDefault="003D4FF5" w:rsidP="003D4FF5">
      <w:pPr>
        <w:pStyle w:val="AH5Sec"/>
      </w:pPr>
      <w:bookmarkStart w:id="147" w:name="_Toc185513764"/>
      <w:r w:rsidRPr="00C8328B">
        <w:rPr>
          <w:rStyle w:val="CharSectNo"/>
        </w:rPr>
        <w:t>306</w:t>
      </w:r>
      <w:r>
        <w:tab/>
        <w:t>Third-party notice—filing</w:t>
      </w:r>
      <w:bookmarkEnd w:id="147"/>
    </w:p>
    <w:p w14:paraId="24286DD9" w14:textId="77777777" w:rsidR="003D4FF5" w:rsidRDefault="003D4FF5" w:rsidP="003D4FF5">
      <w:pPr>
        <w:pStyle w:val="Amain"/>
      </w:pPr>
      <w:r>
        <w:tab/>
        <w:t>(1)</w:t>
      </w:r>
      <w:r>
        <w:tab/>
        <w:t>Unless the court gives leave, a third-party notice—</w:t>
      </w:r>
    </w:p>
    <w:p w14:paraId="3E0AEF81" w14:textId="77777777" w:rsidR="003D4FF5" w:rsidRDefault="003D4FF5" w:rsidP="003D4FF5">
      <w:pPr>
        <w:pStyle w:val="Apara"/>
      </w:pPr>
      <w:r>
        <w:tab/>
        <w:t>(a)</w:t>
      </w:r>
      <w:r>
        <w:tab/>
        <w:t>must not be filed by a defendant until the defendant has filed a defence; and</w:t>
      </w:r>
    </w:p>
    <w:p w14:paraId="44930141" w14:textId="77777777" w:rsidR="003D4FF5" w:rsidRDefault="003D4FF5" w:rsidP="003D4FF5">
      <w:pPr>
        <w:pStyle w:val="Apara"/>
        <w:keepNext/>
      </w:pPr>
      <w:r>
        <w:tab/>
        <w:t>(b)</w:t>
      </w:r>
      <w:r>
        <w:tab/>
        <w:t>must be filed not later than 28 days after the end of whichever of the following periods ends last:</w:t>
      </w:r>
    </w:p>
    <w:p w14:paraId="56A3E8D6" w14:textId="77777777"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14:paraId="69284BDB" w14:textId="77777777" w:rsidR="003D4FF5" w:rsidRDefault="003D4FF5" w:rsidP="003D4FF5">
      <w:pPr>
        <w:pStyle w:val="Asubpara"/>
        <w:keepNext/>
      </w:pPr>
      <w:r>
        <w:tab/>
        <w:t>(ii)</w:t>
      </w:r>
      <w:r>
        <w:tab/>
        <w:t>if the plaintiff agrees to an extension of the prescribed period—the agreed period.</w:t>
      </w:r>
    </w:p>
    <w:p w14:paraId="49F302E6" w14:textId="77777777" w:rsidR="003D4FF5" w:rsidRDefault="003D4FF5" w:rsidP="003D4FF5">
      <w:pPr>
        <w:pStyle w:val="aNote"/>
        <w:keepNext/>
      </w:pPr>
      <w:r w:rsidRPr="005A5F43">
        <w:rPr>
          <w:rStyle w:val="charItals"/>
        </w:rPr>
        <w:t>Note 1</w:t>
      </w:r>
      <w:r>
        <w:tab/>
        <w:t>Pt 6.2 (Applications in proceedings) applies to an application for leave or directions under this rule.</w:t>
      </w:r>
    </w:p>
    <w:p w14:paraId="0AC31271"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8A72734" w14:textId="77777777" w:rsidR="003D4FF5" w:rsidRDefault="003D4FF5" w:rsidP="003D4FF5">
      <w:pPr>
        <w:pStyle w:val="Amain"/>
      </w:pPr>
      <w:r>
        <w:tab/>
        <w:t>(2)</w:t>
      </w:r>
      <w:r>
        <w:tab/>
        <w:t>The defendant must serve a stamped copy of an application for leave under subrule (1) to file a third-party notice on—</w:t>
      </w:r>
    </w:p>
    <w:p w14:paraId="3F97F1E6" w14:textId="77777777" w:rsidR="003D4FF5" w:rsidRDefault="003D4FF5" w:rsidP="003D4FF5">
      <w:pPr>
        <w:pStyle w:val="Apara"/>
      </w:pPr>
      <w:r>
        <w:tab/>
        <w:t>(a)</w:t>
      </w:r>
      <w:r>
        <w:tab/>
        <w:t>the plaintiff; and</w:t>
      </w:r>
    </w:p>
    <w:p w14:paraId="4327CFB5" w14:textId="77777777" w:rsidR="003D4FF5" w:rsidRDefault="003D4FF5" w:rsidP="003D4FF5">
      <w:pPr>
        <w:pStyle w:val="Apara"/>
      </w:pPr>
      <w:r>
        <w:lastRenderedPageBreak/>
        <w:tab/>
        <w:t>(b)</w:t>
      </w:r>
      <w:r>
        <w:tab/>
        <w:t>each other active party who has filed a notice of intention to respond or defence.</w:t>
      </w:r>
    </w:p>
    <w:p w14:paraId="695833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14:paraId="77C4A89A" w14:textId="77777777" w:rsidR="003D4FF5" w:rsidRDefault="003D4FF5" w:rsidP="003D4FF5">
      <w:pPr>
        <w:pStyle w:val="Amain"/>
      </w:pPr>
      <w:r>
        <w:tab/>
        <w:t>(3)</w:t>
      </w:r>
      <w:r>
        <w:tab/>
        <w:t>If the court gives leave under subrule (1) to the defendant to file a third-party notice, it may give directions about filing and serving the notice.</w:t>
      </w:r>
    </w:p>
    <w:p w14:paraId="4E8513D4" w14:textId="77777777" w:rsidR="003D4FF5" w:rsidRDefault="003D4FF5" w:rsidP="003D4FF5">
      <w:pPr>
        <w:pStyle w:val="AH5Sec"/>
      </w:pPr>
      <w:bookmarkStart w:id="148" w:name="_Toc185513765"/>
      <w:r w:rsidRPr="00C8328B">
        <w:rPr>
          <w:rStyle w:val="CharSectNo"/>
        </w:rPr>
        <w:t>307</w:t>
      </w:r>
      <w:r>
        <w:tab/>
        <w:t>Third-party notice—sealing</w:t>
      </w:r>
      <w:bookmarkEnd w:id="148"/>
    </w:p>
    <w:p w14:paraId="62569DD4" w14:textId="7BD68D42" w:rsidR="003D4FF5" w:rsidRDefault="003D4FF5" w:rsidP="003D4FF5">
      <w:pPr>
        <w:pStyle w:val="Amainreturn"/>
        <w:keepNext/>
      </w:pPr>
      <w:r>
        <w:t xml:space="preserve">The registrar must seal </w:t>
      </w:r>
      <w:r w:rsidR="00AC6913" w:rsidRPr="00C1177F">
        <w:t>a third-party notice and any filed copies of the</w:t>
      </w:r>
      <w:r>
        <w:t xml:space="preserve"> third-party notice.</w:t>
      </w:r>
    </w:p>
    <w:p w14:paraId="2FF1CAD9"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69FFB1D5" w14:textId="77777777" w:rsidR="003D4FF5" w:rsidRDefault="003D4FF5" w:rsidP="003D4FF5">
      <w:pPr>
        <w:pStyle w:val="AH5Sec"/>
      </w:pPr>
      <w:bookmarkStart w:id="149" w:name="_Toc185513766"/>
      <w:r w:rsidRPr="00C8328B">
        <w:rPr>
          <w:rStyle w:val="CharSectNo"/>
        </w:rPr>
        <w:t>308</w:t>
      </w:r>
      <w:r>
        <w:tab/>
        <w:t>Third-party notice—service</w:t>
      </w:r>
      <w:bookmarkEnd w:id="149"/>
    </w:p>
    <w:p w14:paraId="115631C4" w14:textId="70F61A8E" w:rsidR="003D4FF5" w:rsidRDefault="003D4FF5" w:rsidP="003D4FF5">
      <w:pPr>
        <w:pStyle w:val="Amain"/>
      </w:pPr>
      <w:r>
        <w:tab/>
        <w:t>(1)</w:t>
      </w:r>
      <w:r>
        <w:tab/>
        <w:t xml:space="preserve">A defendant to a proceeding who files a third-party notice must serve a sealed copy of the notice and </w:t>
      </w:r>
      <w:r w:rsidR="00AC6913" w:rsidRPr="00C1177F">
        <w:t>accompanying</w:t>
      </w:r>
      <w:r w:rsidR="00AC6913">
        <w:t xml:space="preserve"> </w:t>
      </w:r>
      <w:r>
        <w:t>statement of claim on the third party as if—</w:t>
      </w:r>
    </w:p>
    <w:p w14:paraId="32BFE992" w14:textId="77777777" w:rsidR="003D4FF5" w:rsidRDefault="003D4FF5" w:rsidP="003D4FF5">
      <w:pPr>
        <w:pStyle w:val="Apara"/>
      </w:pPr>
      <w:r>
        <w:tab/>
        <w:t>(a)</w:t>
      </w:r>
      <w:r>
        <w:tab/>
        <w:t>the notice were an originating claim in a proceeding; and</w:t>
      </w:r>
    </w:p>
    <w:p w14:paraId="077056D1" w14:textId="77777777" w:rsidR="003D4FF5" w:rsidRDefault="003D4FF5" w:rsidP="003D4FF5">
      <w:pPr>
        <w:pStyle w:val="Apara"/>
        <w:keepNext/>
      </w:pPr>
      <w:r>
        <w:tab/>
        <w:t>(b)</w:t>
      </w:r>
      <w:r>
        <w:tab/>
        <w:t>the defendant were a plaintiff and the third party were a defendant in the proceeding.</w:t>
      </w:r>
    </w:p>
    <w:p w14:paraId="7BBF3C0E" w14:textId="77777777" w:rsidR="003D4FF5" w:rsidRDefault="003D4FF5" w:rsidP="003D4FF5">
      <w:pPr>
        <w:pStyle w:val="aNote"/>
      </w:pPr>
      <w:r>
        <w:rPr>
          <w:rStyle w:val="charItals"/>
        </w:rPr>
        <w:t>Note</w:t>
      </w:r>
      <w:r>
        <w:rPr>
          <w:rStyle w:val="charItals"/>
        </w:rPr>
        <w:tab/>
      </w:r>
      <w:r>
        <w:t>Rule 54 (Originating claim—filing and service) deals with service of an originating claim.</w:t>
      </w:r>
    </w:p>
    <w:p w14:paraId="726FE4C3" w14:textId="2C65A3E9" w:rsidR="003D4FF5" w:rsidRDefault="003D4FF5" w:rsidP="003D4FF5">
      <w:pPr>
        <w:pStyle w:val="Amain"/>
        <w:keepNext/>
      </w:pPr>
      <w:r>
        <w:tab/>
        <w:t>(2)</w:t>
      </w:r>
      <w:r>
        <w:tab/>
        <w:t>The defendant must serve the following documents with the third</w:t>
      </w:r>
      <w:r w:rsidR="00AC6913">
        <w:noBreakHyphen/>
      </w:r>
      <w:r>
        <w:t>party notice:</w:t>
      </w:r>
    </w:p>
    <w:p w14:paraId="49A7FA76" w14:textId="77777777" w:rsidR="003D4FF5" w:rsidRDefault="003D4FF5" w:rsidP="003D4FF5">
      <w:pPr>
        <w:pStyle w:val="Apara"/>
      </w:pPr>
      <w:r>
        <w:tab/>
        <w:t>(a)</w:t>
      </w:r>
      <w:r>
        <w:tab/>
        <w:t>a sealed copy of any order giving leave to file the notice;</w:t>
      </w:r>
    </w:p>
    <w:p w14:paraId="4C4050D1" w14:textId="77777777" w:rsidR="003D4FF5" w:rsidRDefault="003D4FF5" w:rsidP="003D4FF5">
      <w:pPr>
        <w:pStyle w:val="Apara"/>
      </w:pPr>
      <w:r>
        <w:tab/>
        <w:t>(b)</w:t>
      </w:r>
      <w:r>
        <w:tab/>
        <w:t>a sealed copy of any directions about filing and serving the notice;</w:t>
      </w:r>
    </w:p>
    <w:p w14:paraId="5A69347F" w14:textId="77777777" w:rsidR="003D4FF5" w:rsidRDefault="003D4FF5" w:rsidP="003D4FF5">
      <w:pPr>
        <w:pStyle w:val="Apara"/>
      </w:pPr>
      <w:r>
        <w:tab/>
        <w:t>(c)</w:t>
      </w:r>
      <w:r>
        <w:tab/>
        <w:t>a copy of a sealed copy of any other relevant order made in relation to the proceeding;</w:t>
      </w:r>
    </w:p>
    <w:p w14:paraId="110FCC6C" w14:textId="524DF1E4" w:rsidR="003D4FF5" w:rsidRDefault="003D4FF5" w:rsidP="003D4FF5">
      <w:pPr>
        <w:pStyle w:val="Apara"/>
      </w:pPr>
      <w:r>
        <w:lastRenderedPageBreak/>
        <w:tab/>
        <w:t>(d)</w:t>
      </w:r>
      <w:r>
        <w:tab/>
        <w:t xml:space="preserve">a copy of a sealed copy of the originating claim and </w:t>
      </w:r>
      <w:r w:rsidR="00AC6913" w:rsidRPr="00C1177F">
        <w:t>accompanying</w:t>
      </w:r>
      <w:r w:rsidR="00AC6913">
        <w:t xml:space="preserve"> </w:t>
      </w:r>
      <w:r>
        <w:t>statement of claim;</w:t>
      </w:r>
    </w:p>
    <w:p w14:paraId="26220E5F" w14:textId="77777777" w:rsidR="003D4FF5" w:rsidRDefault="003D4FF5" w:rsidP="003D4FF5">
      <w:pPr>
        <w:pStyle w:val="Apara"/>
      </w:pPr>
      <w:r>
        <w:tab/>
        <w:t>(e)</w:t>
      </w:r>
      <w:r>
        <w:tab/>
        <w:t>a copy of a stamped copy of all other pleadings filed in the proceeding;</w:t>
      </w:r>
    </w:p>
    <w:p w14:paraId="038E22C4" w14:textId="77777777" w:rsidR="003D4FF5" w:rsidRDefault="003D4FF5" w:rsidP="003D4FF5">
      <w:pPr>
        <w:pStyle w:val="Apara"/>
      </w:pPr>
      <w:r>
        <w:tab/>
        <w:t>(f)</w:t>
      </w:r>
      <w:r>
        <w:tab/>
        <w:t>a copy of a stamped copy of all applications in the proceeding not finally disposed of;</w:t>
      </w:r>
    </w:p>
    <w:p w14:paraId="7ED85AEB" w14:textId="77777777"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14:paraId="4D24DF88" w14:textId="1345A647" w:rsidR="003D4FF5" w:rsidRDefault="003D4FF5" w:rsidP="003D4FF5">
      <w:pPr>
        <w:pStyle w:val="Apara"/>
      </w:pPr>
      <w:r>
        <w:tab/>
        <w:t>(g)</w:t>
      </w:r>
      <w:r>
        <w:tab/>
        <w:t>a copy of all affidavits filed in the proceeding, other than affidavits that are not relevant to the issues arising on the third</w:t>
      </w:r>
      <w:r w:rsidR="00AC6913">
        <w:noBreakHyphen/>
      </w:r>
      <w:r>
        <w:t>party notice;</w:t>
      </w:r>
    </w:p>
    <w:p w14:paraId="1AA04F7B" w14:textId="77777777" w:rsidR="003D4FF5" w:rsidRDefault="003D4FF5" w:rsidP="003D4FF5">
      <w:pPr>
        <w:pStyle w:val="Apara"/>
      </w:pPr>
      <w:r>
        <w:tab/>
        <w:t>(h)</w:t>
      </w:r>
      <w:r>
        <w:tab/>
        <w:t>a copy of all other documents that have been served by the plaintiff on the defendant, or by the defendant on the plaintiff, and are intended to be relied on;</w:t>
      </w:r>
    </w:p>
    <w:p w14:paraId="1315EAD1" w14:textId="77777777" w:rsidR="003D4FF5" w:rsidRDefault="003D4FF5" w:rsidP="003D4FF5">
      <w:pPr>
        <w:pStyle w:val="Apara"/>
      </w:pPr>
      <w:r>
        <w:tab/>
        <w:t>(i)</w:t>
      </w:r>
      <w:r>
        <w:tab/>
        <w:t>a copy of all amendments of any document mentioned in paragraphs (d) to (h) or details of the amendments.</w:t>
      </w:r>
    </w:p>
    <w:p w14:paraId="4ADE1231" w14:textId="77777777" w:rsidR="003D4FF5" w:rsidRDefault="003D4FF5" w:rsidP="003D4FF5">
      <w:pPr>
        <w:pStyle w:val="AH5Sec"/>
      </w:pPr>
      <w:bookmarkStart w:id="150" w:name="_Toc185513767"/>
      <w:r w:rsidRPr="00C8328B">
        <w:rPr>
          <w:rStyle w:val="CharSectNo"/>
        </w:rPr>
        <w:t>309</w:t>
      </w:r>
      <w:r>
        <w:tab/>
        <w:t>Third-party notice—effect of service on third party</w:t>
      </w:r>
      <w:bookmarkEnd w:id="150"/>
    </w:p>
    <w:p w14:paraId="446CB978" w14:textId="77777777"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14:paraId="1A13F801" w14:textId="77777777" w:rsidR="003D4FF5" w:rsidRDefault="003D4FF5" w:rsidP="003D4FF5">
      <w:pPr>
        <w:pStyle w:val="AH5Sec"/>
      </w:pPr>
      <w:bookmarkStart w:id="151" w:name="_Toc185513768"/>
      <w:r w:rsidRPr="00C8328B">
        <w:rPr>
          <w:rStyle w:val="CharSectNo"/>
        </w:rPr>
        <w:t>310</w:t>
      </w:r>
      <w:r>
        <w:tab/>
        <w:t>Third-party notice—setting aside</w:t>
      </w:r>
      <w:bookmarkEnd w:id="151"/>
    </w:p>
    <w:p w14:paraId="0B1DF5D0" w14:textId="77777777"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14:paraId="176BEFED" w14:textId="77777777" w:rsidR="003D4FF5" w:rsidRDefault="003D4FF5" w:rsidP="003D4FF5">
      <w:pPr>
        <w:pStyle w:val="AH5Sec"/>
      </w:pPr>
      <w:bookmarkStart w:id="152" w:name="_Toc185513769"/>
      <w:r w:rsidRPr="00C8328B">
        <w:rPr>
          <w:rStyle w:val="CharSectNo"/>
        </w:rPr>
        <w:lastRenderedPageBreak/>
        <w:t>311</w:t>
      </w:r>
      <w:r>
        <w:tab/>
        <w:t>Third-party notice—notice of intention to respond and defence</w:t>
      </w:r>
      <w:bookmarkEnd w:id="152"/>
    </w:p>
    <w:p w14:paraId="22E015E4" w14:textId="77777777" w:rsidR="003D4FF5" w:rsidRDefault="003D4FF5" w:rsidP="003D4FF5">
      <w:pPr>
        <w:pStyle w:val="Amain"/>
      </w:pPr>
      <w:r>
        <w:tab/>
        <w:t>(1)</w:t>
      </w:r>
      <w:r>
        <w:tab/>
        <w:t>Part 2.3 (Notice of intention to respond and defence) applies, with necessary changes, to a proceeding started by a third-party notice as if—</w:t>
      </w:r>
    </w:p>
    <w:p w14:paraId="09B4878D" w14:textId="77777777" w:rsidR="003D4FF5" w:rsidRDefault="003D4FF5" w:rsidP="003D4FF5">
      <w:pPr>
        <w:pStyle w:val="Apara"/>
      </w:pPr>
      <w:r>
        <w:tab/>
        <w:t>(a)</w:t>
      </w:r>
      <w:r>
        <w:tab/>
        <w:t>the proceeding were a proceeding started by an originating process; and</w:t>
      </w:r>
    </w:p>
    <w:p w14:paraId="6DC0D6C8" w14:textId="77777777" w:rsidR="003D4FF5" w:rsidRDefault="003D4FF5" w:rsidP="003D4FF5">
      <w:pPr>
        <w:pStyle w:val="Apara"/>
      </w:pPr>
      <w:r>
        <w:tab/>
        <w:t>(b)</w:t>
      </w:r>
      <w:r>
        <w:tab/>
        <w:t>the third-party notice were the originating claim in the proceeding; and</w:t>
      </w:r>
    </w:p>
    <w:p w14:paraId="19FC9717" w14:textId="77777777" w:rsidR="003D4FF5" w:rsidRDefault="003D4FF5" w:rsidP="003D4FF5">
      <w:pPr>
        <w:pStyle w:val="Apara"/>
      </w:pPr>
      <w:r>
        <w:tab/>
        <w:t>(c)</w:t>
      </w:r>
      <w:r>
        <w:tab/>
        <w:t>the defendant were a plaintiff and the third party were a defendant in the proceeding.</w:t>
      </w:r>
    </w:p>
    <w:p w14:paraId="0A3D1E82" w14:textId="77777777"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14:paraId="65C809D6" w14:textId="77777777" w:rsidR="003D4FF5" w:rsidRDefault="003D4FF5" w:rsidP="003D4FF5">
      <w:pPr>
        <w:pStyle w:val="AH5Sec"/>
      </w:pPr>
      <w:bookmarkStart w:id="153" w:name="_Toc185513770"/>
      <w:r w:rsidRPr="00C8328B">
        <w:rPr>
          <w:rStyle w:val="CharSectNo"/>
        </w:rPr>
        <w:t>312</w:t>
      </w:r>
      <w:r>
        <w:tab/>
        <w:t>Service of pleadings after filing of third-party notice</w:t>
      </w:r>
      <w:bookmarkEnd w:id="153"/>
    </w:p>
    <w:p w14:paraId="462E41D1" w14:textId="77777777" w:rsidR="003D4FF5" w:rsidRDefault="003D4FF5" w:rsidP="003D4FF5">
      <w:pPr>
        <w:pStyle w:val="Amainreturn"/>
      </w:pPr>
      <w:r>
        <w:t>A party who files a pleading after the filing of a third-party notice must serve the pleading on all other active parties.</w:t>
      </w:r>
    </w:p>
    <w:p w14:paraId="779FB80D" w14:textId="77777777" w:rsidR="003D4FF5" w:rsidRDefault="003D4FF5" w:rsidP="003D4FF5">
      <w:pPr>
        <w:pStyle w:val="AH5Sec"/>
      </w:pPr>
      <w:bookmarkStart w:id="154" w:name="_Toc185513771"/>
      <w:r w:rsidRPr="00C8328B">
        <w:rPr>
          <w:rStyle w:val="CharSectNo"/>
        </w:rPr>
        <w:t>313</w:t>
      </w:r>
      <w:r>
        <w:tab/>
        <w:t>Counterclaim by third party</w:t>
      </w:r>
      <w:bookmarkEnd w:id="154"/>
    </w:p>
    <w:p w14:paraId="4564D5B7" w14:textId="77777777" w:rsidR="003D4FF5" w:rsidRDefault="003D4FF5" w:rsidP="003D4FF5">
      <w:pPr>
        <w:pStyle w:val="Amain"/>
      </w:pPr>
      <w:r>
        <w:tab/>
        <w:t>(1)</w:t>
      </w:r>
      <w:r>
        <w:tab/>
        <w:t>A third party who has a claim against the defendant who included the third party may counterclaim against the defendant.</w:t>
      </w:r>
    </w:p>
    <w:p w14:paraId="4867A539" w14:textId="77777777"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14:paraId="4B3A4A15" w14:textId="77777777" w:rsidR="003D4FF5" w:rsidRDefault="003D4FF5" w:rsidP="003D4FF5">
      <w:pPr>
        <w:pStyle w:val="Amain"/>
      </w:pPr>
      <w:r>
        <w:tab/>
        <w:t>(3)</w:t>
      </w:r>
      <w:r>
        <w:tab/>
        <w:t>Rule 462 (Counterclaim—against additional party) applies, with necessary changes, to a counterclaim by a third party.</w:t>
      </w:r>
    </w:p>
    <w:p w14:paraId="1638E152" w14:textId="77777777" w:rsidR="003D4FF5" w:rsidRDefault="003D4FF5" w:rsidP="003D4FF5">
      <w:pPr>
        <w:pStyle w:val="AH5Sec"/>
      </w:pPr>
      <w:bookmarkStart w:id="155" w:name="_Toc185513772"/>
      <w:r w:rsidRPr="00C8328B">
        <w:rPr>
          <w:rStyle w:val="CharSectNo"/>
        </w:rPr>
        <w:lastRenderedPageBreak/>
        <w:t>314</w:t>
      </w:r>
      <w:r>
        <w:tab/>
        <w:t>Third-party notice—default by third party</w:t>
      </w:r>
      <w:bookmarkEnd w:id="155"/>
    </w:p>
    <w:p w14:paraId="1F28CA87" w14:textId="77777777" w:rsidR="003D4FF5" w:rsidRDefault="003D4FF5" w:rsidP="002F3B0C">
      <w:pPr>
        <w:pStyle w:val="Amain"/>
        <w:keepNext/>
      </w:pPr>
      <w:r>
        <w:tab/>
        <w:t>(1)</w:t>
      </w:r>
      <w:r>
        <w:tab/>
        <w:t>This rule applies if—</w:t>
      </w:r>
    </w:p>
    <w:p w14:paraId="7AEE584F" w14:textId="77777777" w:rsidR="003D4FF5" w:rsidRDefault="003D4FF5" w:rsidP="003D4FF5">
      <w:pPr>
        <w:pStyle w:val="Apara"/>
      </w:pPr>
      <w:r>
        <w:tab/>
        <w:t>(a)</w:t>
      </w:r>
      <w:r>
        <w:tab/>
        <w:t>a default judgment is entered for the plaintiff against the defendant who included a third party; and</w:t>
      </w:r>
    </w:p>
    <w:p w14:paraId="24BEC28A" w14:textId="77777777" w:rsidR="003D4FF5" w:rsidRDefault="003D4FF5" w:rsidP="003D4FF5">
      <w:pPr>
        <w:pStyle w:val="Apara"/>
        <w:keepNext/>
      </w:pPr>
      <w:r>
        <w:tab/>
        <w:t>(b)</w:t>
      </w:r>
      <w:r>
        <w:tab/>
        <w:t>the third party is in default in relation to the third-party notice.</w:t>
      </w:r>
    </w:p>
    <w:p w14:paraId="4539FB14" w14:textId="77777777"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14:paraId="5C620B07" w14:textId="77777777" w:rsidR="003D4FF5" w:rsidRDefault="003D4FF5" w:rsidP="003D4FF5">
      <w:pPr>
        <w:pStyle w:val="Amain"/>
      </w:pPr>
      <w:r>
        <w:tab/>
        <w:t>(2)</w:t>
      </w:r>
      <w:r>
        <w:tab/>
        <w:t>The third party—</w:t>
      </w:r>
    </w:p>
    <w:p w14:paraId="384DE070" w14:textId="77777777" w:rsidR="003D4FF5" w:rsidRDefault="003D4FF5" w:rsidP="003D4FF5">
      <w:pPr>
        <w:pStyle w:val="Apara"/>
      </w:pPr>
      <w:r>
        <w:tab/>
        <w:t>(a)</w:t>
      </w:r>
      <w:r>
        <w:tab/>
        <w:t>is taken to admit a claim stated in the third-party notice or its statement of claim; and</w:t>
      </w:r>
    </w:p>
    <w:p w14:paraId="1EA7FAD0" w14:textId="77777777"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14:paraId="2D4DB409" w14:textId="77777777" w:rsidR="003D4FF5" w:rsidRDefault="003D4FF5" w:rsidP="003D4FF5">
      <w:pPr>
        <w:pStyle w:val="Amain"/>
        <w:keepNext/>
      </w:pPr>
      <w:r>
        <w:tab/>
        <w:t>(3)</w:t>
      </w:r>
      <w:r>
        <w:tab/>
        <w:t>The defendant—</w:t>
      </w:r>
    </w:p>
    <w:p w14:paraId="19009922" w14:textId="77777777"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14:paraId="46FF7B5A" w14:textId="77777777" w:rsidR="003D4FF5" w:rsidRDefault="003D4FF5" w:rsidP="003D4FF5">
      <w:pPr>
        <w:pStyle w:val="Apara"/>
      </w:pPr>
      <w:r>
        <w:tab/>
        <w:t>(b)</w:t>
      </w:r>
      <w:r>
        <w:tab/>
        <w:t>with the court’s leave, may obtain a judgment against the third party for other relief or remedy claimed in the notice.</w:t>
      </w:r>
    </w:p>
    <w:p w14:paraId="522C08E8" w14:textId="77777777"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14:paraId="7E5E849E" w14:textId="77777777" w:rsidR="003D4FF5" w:rsidRDefault="003D4FF5" w:rsidP="003D4FF5">
      <w:pPr>
        <w:pStyle w:val="Amain"/>
      </w:pPr>
      <w:r>
        <w:tab/>
        <w:t>(4)</w:t>
      </w:r>
      <w:r>
        <w:tab/>
        <w:t>The court may amend or set aside the judgment against the third party.</w:t>
      </w:r>
    </w:p>
    <w:p w14:paraId="0B12A786" w14:textId="77777777" w:rsidR="003D4FF5" w:rsidRDefault="003D4FF5" w:rsidP="003D4FF5">
      <w:pPr>
        <w:pStyle w:val="AH5Sec"/>
      </w:pPr>
      <w:bookmarkStart w:id="156" w:name="_Toc185513773"/>
      <w:r w:rsidRPr="00C8328B">
        <w:rPr>
          <w:rStyle w:val="CharSectNo"/>
        </w:rPr>
        <w:lastRenderedPageBreak/>
        <w:t>315</w:t>
      </w:r>
      <w:r>
        <w:tab/>
        <w:t>Third parties—disclosure</w:t>
      </w:r>
      <w:bookmarkEnd w:id="156"/>
    </w:p>
    <w:p w14:paraId="65B1788C" w14:textId="77777777"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14:paraId="646A8DE4" w14:textId="77777777"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14:paraId="66D24768" w14:textId="77777777" w:rsidR="003D4FF5" w:rsidRDefault="003D4FF5" w:rsidP="003D4FF5">
      <w:pPr>
        <w:pStyle w:val="Amain"/>
      </w:pPr>
      <w:r>
        <w:tab/>
        <w:t>(3)</w:t>
      </w:r>
      <w:r>
        <w:tab/>
        <w:t>However, disclosure may be ordered by the court.</w:t>
      </w:r>
    </w:p>
    <w:p w14:paraId="2C0A49FB" w14:textId="77777777" w:rsidR="003D4FF5" w:rsidRDefault="003D4FF5" w:rsidP="003D4FF5">
      <w:pPr>
        <w:pStyle w:val="aNote"/>
      </w:pPr>
      <w:r>
        <w:rPr>
          <w:rStyle w:val="charItals"/>
        </w:rPr>
        <w:t>Note</w:t>
      </w:r>
      <w:r>
        <w:rPr>
          <w:rStyle w:val="charItals"/>
        </w:rPr>
        <w:tab/>
      </w:r>
      <w:r>
        <w:t>Pt 6.2 (Applications in proceedings) applies to an application for a disclosure order.</w:t>
      </w:r>
    </w:p>
    <w:p w14:paraId="21C4FCED" w14:textId="77777777" w:rsidR="003D4FF5" w:rsidRDefault="003D4FF5" w:rsidP="003D4FF5">
      <w:pPr>
        <w:pStyle w:val="AH5Sec"/>
      </w:pPr>
      <w:bookmarkStart w:id="157" w:name="_Toc185513774"/>
      <w:r w:rsidRPr="00C8328B">
        <w:rPr>
          <w:rStyle w:val="CharSectNo"/>
        </w:rPr>
        <w:t>316</w:t>
      </w:r>
      <w:r>
        <w:tab/>
        <w:t>Third-party notice—hearing</w:t>
      </w:r>
      <w:bookmarkEnd w:id="157"/>
    </w:p>
    <w:p w14:paraId="1D27C24D" w14:textId="77777777" w:rsidR="003D4FF5" w:rsidRDefault="003D4FF5" w:rsidP="003D4FF5">
      <w:pPr>
        <w:pStyle w:val="Amain"/>
      </w:pPr>
      <w:r>
        <w:tab/>
        <w:t>(1)</w:t>
      </w:r>
      <w:r>
        <w:tab/>
        <w:t>A third party may appear at, and take part in, the hearing of the proceeding as the court directs.</w:t>
      </w:r>
    </w:p>
    <w:p w14:paraId="1955D247" w14:textId="77777777"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14:paraId="0C709A27" w14:textId="77777777"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14:paraId="56D69206" w14:textId="77777777"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14:paraId="00ACD171" w14:textId="77777777" w:rsidR="003D4FF5" w:rsidRDefault="003D4FF5" w:rsidP="003D4FF5">
      <w:pPr>
        <w:pStyle w:val="Apara"/>
      </w:pPr>
      <w:r>
        <w:tab/>
        <w:t>(a)</w:t>
      </w:r>
      <w:r>
        <w:tab/>
        <w:t>unfairly prejudice a party; or</w:t>
      </w:r>
    </w:p>
    <w:p w14:paraId="00EB86B0" w14:textId="77777777" w:rsidR="003D4FF5" w:rsidRDefault="003D4FF5" w:rsidP="003D4FF5">
      <w:pPr>
        <w:pStyle w:val="Apara"/>
      </w:pPr>
      <w:r>
        <w:tab/>
        <w:t>(b)</w:t>
      </w:r>
      <w:r>
        <w:tab/>
        <w:t>embarrass or delay the hearing of the proceeding; or</w:t>
      </w:r>
    </w:p>
    <w:p w14:paraId="669ACEF9" w14:textId="77777777" w:rsidR="003D4FF5" w:rsidRDefault="003D4FF5" w:rsidP="003D4FF5">
      <w:pPr>
        <w:pStyle w:val="Apara"/>
      </w:pPr>
      <w:r>
        <w:tab/>
        <w:t>(c)</w:t>
      </w:r>
      <w:r>
        <w:tab/>
        <w:t>be otherwise inconvenient.</w:t>
      </w:r>
    </w:p>
    <w:p w14:paraId="5C032545" w14:textId="77777777" w:rsidR="003D4FF5" w:rsidRDefault="003D4FF5" w:rsidP="00124E4D">
      <w:pPr>
        <w:pStyle w:val="Amain"/>
        <w:keepNext/>
      </w:pPr>
      <w:r>
        <w:lastRenderedPageBreak/>
        <w:tab/>
        <w:t>(4)</w:t>
      </w:r>
      <w:r>
        <w:tab/>
        <w:t>The court may order the separate hearing—</w:t>
      </w:r>
    </w:p>
    <w:p w14:paraId="7FB9AE7D" w14:textId="77777777" w:rsidR="003D4FF5" w:rsidRDefault="003D4FF5" w:rsidP="003D4FF5">
      <w:pPr>
        <w:pStyle w:val="Apara"/>
      </w:pPr>
      <w:r>
        <w:tab/>
        <w:t>(a)</w:t>
      </w:r>
      <w:r>
        <w:tab/>
        <w:t>on application by a party before the party files and serves a third-party notice; or</w:t>
      </w:r>
    </w:p>
    <w:p w14:paraId="1167FD3B" w14:textId="77777777" w:rsidR="003D4FF5" w:rsidRDefault="003D4FF5" w:rsidP="003D4FF5">
      <w:pPr>
        <w:pStyle w:val="Apara"/>
      </w:pPr>
      <w:r>
        <w:tab/>
        <w:t>(b)</w:t>
      </w:r>
      <w:r>
        <w:tab/>
        <w:t>on its own initiative.</w:t>
      </w:r>
    </w:p>
    <w:p w14:paraId="5D6A71CF" w14:textId="77777777" w:rsidR="003D4FF5" w:rsidRDefault="003D4FF5" w:rsidP="003D4FF5">
      <w:pPr>
        <w:pStyle w:val="Amain"/>
      </w:pPr>
      <w:r>
        <w:tab/>
        <w:t>(5)</w:t>
      </w:r>
      <w:r>
        <w:tab/>
        <w:t>The court may give the orders it considers appropriate about the conduct of the separate hearing.</w:t>
      </w:r>
    </w:p>
    <w:p w14:paraId="579D06F0" w14:textId="77777777" w:rsidR="003D4FF5" w:rsidRDefault="003D4FF5" w:rsidP="003D4FF5">
      <w:pPr>
        <w:pStyle w:val="AH5Sec"/>
      </w:pPr>
      <w:bookmarkStart w:id="158" w:name="_Toc185513775"/>
      <w:r w:rsidRPr="00C8328B">
        <w:rPr>
          <w:rStyle w:val="CharSectNo"/>
        </w:rPr>
        <w:t>317</w:t>
      </w:r>
      <w:r>
        <w:tab/>
        <w:t>Third party—extent bound by judgment between plaintiff and defendant</w:t>
      </w:r>
      <w:bookmarkEnd w:id="158"/>
    </w:p>
    <w:p w14:paraId="3E1FFEE1" w14:textId="77777777" w:rsidR="003D4FF5" w:rsidRDefault="003D4FF5" w:rsidP="003D4FF5">
      <w:pPr>
        <w:pStyle w:val="Amainreturn"/>
      </w:pPr>
      <w:r>
        <w:t>In a proceeding, the court may make an order about the extent to which a third party is bound by a judgment between a plaintiff and a defendant.</w:t>
      </w:r>
    </w:p>
    <w:p w14:paraId="6C81C179" w14:textId="77777777" w:rsidR="003D4FF5" w:rsidRDefault="003D4FF5" w:rsidP="003D4FF5">
      <w:pPr>
        <w:pStyle w:val="AH5Sec"/>
      </w:pPr>
      <w:bookmarkStart w:id="159" w:name="_Toc185513776"/>
      <w:r w:rsidRPr="00C8328B">
        <w:rPr>
          <w:rStyle w:val="CharSectNo"/>
        </w:rPr>
        <w:t>318</w:t>
      </w:r>
      <w:r>
        <w:tab/>
        <w:t>Third-party notice—judgment between defendant and third party</w:t>
      </w:r>
      <w:bookmarkEnd w:id="159"/>
    </w:p>
    <w:p w14:paraId="48E82097" w14:textId="77777777" w:rsidR="003D4FF5" w:rsidRDefault="003D4FF5" w:rsidP="003D4FF5">
      <w:pPr>
        <w:pStyle w:val="Amain"/>
        <w:keepNext/>
      </w:pPr>
      <w:r>
        <w:tab/>
        <w:t>(1)</w:t>
      </w:r>
      <w:r>
        <w:tab/>
        <w:t>In a proceeding, the court may enter judgment in favour of—</w:t>
      </w:r>
    </w:p>
    <w:p w14:paraId="0C370E69" w14:textId="77777777" w:rsidR="003D4FF5" w:rsidRDefault="003D4FF5" w:rsidP="003D4FF5">
      <w:pPr>
        <w:pStyle w:val="Apara"/>
        <w:keepNext/>
      </w:pPr>
      <w:r>
        <w:tab/>
        <w:t>(a)</w:t>
      </w:r>
      <w:r>
        <w:tab/>
        <w:t>a defendant who included a third party against the third party; or</w:t>
      </w:r>
    </w:p>
    <w:p w14:paraId="3730858C" w14:textId="77777777" w:rsidR="003D4FF5" w:rsidRDefault="003D4FF5" w:rsidP="003D4FF5">
      <w:pPr>
        <w:pStyle w:val="Apara"/>
      </w:pPr>
      <w:r>
        <w:tab/>
        <w:t>(b)</w:t>
      </w:r>
      <w:r>
        <w:tab/>
        <w:t>the third party against the defendant.</w:t>
      </w:r>
    </w:p>
    <w:p w14:paraId="5B801690" w14:textId="77777777" w:rsidR="003D4FF5" w:rsidRDefault="003D4FF5" w:rsidP="003D4FF5">
      <w:pPr>
        <w:pStyle w:val="Amain"/>
      </w:pPr>
      <w:r>
        <w:tab/>
        <w:t>(2)</w:t>
      </w:r>
      <w:r>
        <w:tab/>
        <w:t>If—</w:t>
      </w:r>
    </w:p>
    <w:p w14:paraId="5BEE6FD2" w14:textId="77777777" w:rsidR="003D4FF5" w:rsidRDefault="003D4FF5" w:rsidP="003D4FF5">
      <w:pPr>
        <w:pStyle w:val="Apara"/>
      </w:pPr>
      <w:r>
        <w:tab/>
        <w:t>(a)</w:t>
      </w:r>
      <w:r>
        <w:tab/>
        <w:t>judgment is entered in favour of the plaintiff against a defendant; and</w:t>
      </w:r>
    </w:p>
    <w:p w14:paraId="6544BF80" w14:textId="77777777" w:rsidR="003D4FF5" w:rsidRDefault="003D4FF5" w:rsidP="003D4FF5">
      <w:pPr>
        <w:pStyle w:val="Apara"/>
      </w:pPr>
      <w:r>
        <w:tab/>
        <w:t>(b)</w:t>
      </w:r>
      <w:r>
        <w:tab/>
        <w:t>judgment is entered in favour of the defendant against a third party;</w:t>
      </w:r>
    </w:p>
    <w:p w14:paraId="19738724" w14:textId="77777777" w:rsidR="003D4FF5" w:rsidRDefault="003D4FF5" w:rsidP="003D4FF5">
      <w:pPr>
        <w:pStyle w:val="Amainreturn"/>
        <w:keepNext/>
      </w:pPr>
      <w:r>
        <w:t>the defendant must not enforce the judgment against the third party  unless the judgment against the defendant is satisfied, or the court otherwise orders.</w:t>
      </w:r>
    </w:p>
    <w:p w14:paraId="00142A4D"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20A7849F" w14:textId="77777777" w:rsidR="003D4FF5" w:rsidRPr="00BB65FC" w:rsidRDefault="003D4FF5" w:rsidP="003D4FF5">
      <w:pPr>
        <w:pStyle w:val="AH5Sec"/>
      </w:pPr>
      <w:bookmarkStart w:id="160" w:name="_Toc185513777"/>
      <w:r w:rsidRPr="00C8328B">
        <w:rPr>
          <w:rStyle w:val="CharSectNo"/>
        </w:rPr>
        <w:lastRenderedPageBreak/>
        <w:t>319</w:t>
      </w:r>
      <w:r w:rsidRPr="00BB65FC">
        <w:tab/>
        <w:t>Notice claiming contribution or indemnity against another party</w:t>
      </w:r>
      <w:bookmarkEnd w:id="160"/>
    </w:p>
    <w:p w14:paraId="55978787" w14:textId="77777777"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14:paraId="31371D43" w14:textId="77777777" w:rsidR="003D4FF5" w:rsidRPr="00BB65FC" w:rsidRDefault="003D4FF5" w:rsidP="003D4FF5">
      <w:pPr>
        <w:pStyle w:val="Apara"/>
      </w:pPr>
      <w:r w:rsidRPr="00BB65FC">
        <w:tab/>
        <w:t>(a)</w:t>
      </w:r>
      <w:r w:rsidRPr="00BB65FC">
        <w:tab/>
        <w:t>claim against another party to the proceeding a contribution or indemnity; or</w:t>
      </w:r>
    </w:p>
    <w:p w14:paraId="2A6A574D" w14:textId="77777777" w:rsidR="003D4FF5" w:rsidRPr="00BB65FC" w:rsidRDefault="003D4FF5" w:rsidP="003D4FF5">
      <w:pPr>
        <w:pStyle w:val="Apara"/>
      </w:pPr>
      <w:r w:rsidRPr="00BB65FC">
        <w:tab/>
        <w:t>(b)</w:t>
      </w:r>
      <w:r w:rsidRPr="00BB65FC">
        <w:tab/>
        <w:t>claim against another party to the proceeding relief—</w:t>
      </w:r>
    </w:p>
    <w:p w14:paraId="4CA3F525" w14:textId="77777777" w:rsidR="003D4FF5" w:rsidRPr="00BB65FC" w:rsidRDefault="003D4FF5" w:rsidP="003D4FF5">
      <w:pPr>
        <w:pStyle w:val="Asubpara"/>
      </w:pPr>
      <w:r w:rsidRPr="00BB65FC">
        <w:tab/>
        <w:t>(i)</w:t>
      </w:r>
      <w:r w:rsidRPr="00BB65FC">
        <w:tab/>
        <w:t>relating to or connected with the original subject matter of the proceeding; and</w:t>
      </w:r>
    </w:p>
    <w:p w14:paraId="490073EB" w14:textId="77777777" w:rsidR="003D4FF5" w:rsidRPr="00BB65FC" w:rsidRDefault="003D4FF5" w:rsidP="003D4FF5">
      <w:pPr>
        <w:pStyle w:val="Asubpara"/>
      </w:pPr>
      <w:r w:rsidRPr="00BB65FC">
        <w:tab/>
        <w:t>(ii)</w:t>
      </w:r>
      <w:r w:rsidRPr="00BB65FC">
        <w:tab/>
        <w:t>substantially the same as some relief claimed by the plaintiff; or</w:t>
      </w:r>
    </w:p>
    <w:p w14:paraId="316BD24B" w14:textId="77777777"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14:paraId="106F4B82" w14:textId="77777777" w:rsidR="003D4FF5" w:rsidRDefault="003D4FF5" w:rsidP="003D4FF5">
      <w:pPr>
        <w:pStyle w:val="Amain"/>
        <w:keepNext/>
      </w:pPr>
      <w:r>
        <w:tab/>
        <w:t>(2)</w:t>
      </w:r>
      <w:r>
        <w:tab/>
        <w:t>A notice claiming contribution or indemnity must state briefly and specifically the nature of the claim made and relief sought.</w:t>
      </w:r>
    </w:p>
    <w:p w14:paraId="18B07FEA" w14:textId="3FB18949"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2" w:history="1">
        <w:r w:rsidRPr="00EB3C09">
          <w:rPr>
            <w:rStyle w:val="charCitHyperlinkAbbrev"/>
          </w:rPr>
          <w:t>AF2009-283</w:t>
        </w:r>
      </w:hyperlink>
      <w:r>
        <w:t>.</w:t>
      </w:r>
    </w:p>
    <w:p w14:paraId="4627E4A3" w14:textId="77777777" w:rsidR="003D4FF5" w:rsidRDefault="003D4FF5" w:rsidP="003D4FF5">
      <w:pPr>
        <w:pStyle w:val="Amain"/>
        <w:keepNext/>
      </w:pPr>
      <w:r>
        <w:tab/>
        <w:t>(3)</w:t>
      </w:r>
      <w:r>
        <w:tab/>
        <w:t>A notice claiming contribution or indemnity filed in the Magistrates Court must show that the court has jurisdiction to decide the claim.</w:t>
      </w:r>
    </w:p>
    <w:p w14:paraId="037B16A3" w14:textId="44814266" w:rsidR="003D4FF5" w:rsidRDefault="003D4FF5" w:rsidP="003D4FF5">
      <w:pPr>
        <w:pStyle w:val="aNote"/>
      </w:pPr>
      <w:r>
        <w:rPr>
          <w:rStyle w:val="charItals"/>
        </w:rPr>
        <w:t>Note</w:t>
      </w:r>
      <w:r>
        <w:rPr>
          <w:rStyle w:val="charItals"/>
        </w:rPr>
        <w:tab/>
      </w:r>
      <w:r>
        <w:rPr>
          <w:lang w:val="en-US"/>
        </w:rPr>
        <w:t xml:space="preserve">The </w:t>
      </w:r>
      <w:hyperlink r:id="rId83"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24202164" w14:textId="77777777" w:rsidR="003D4FF5" w:rsidRDefault="003D4FF5" w:rsidP="003D4FF5">
      <w:pPr>
        <w:pStyle w:val="Amain"/>
      </w:pPr>
      <w:r>
        <w:tab/>
        <w:t>(4)</w:t>
      </w:r>
      <w:r>
        <w:tab/>
        <w:t>A notice claiming contribution or indemnity must state specifically any claim for interest up to the day of judgment.</w:t>
      </w:r>
    </w:p>
    <w:p w14:paraId="7FADB950" w14:textId="77777777" w:rsidR="003D4FF5" w:rsidRDefault="003D4FF5" w:rsidP="003D4FF5">
      <w:pPr>
        <w:pStyle w:val="Amain"/>
      </w:pPr>
      <w:r>
        <w:tab/>
        <w:t>(5)</w:t>
      </w:r>
      <w:r>
        <w:tab/>
        <w:t>A notice claiming contribution or indemnity need not specifically claim costs.</w:t>
      </w:r>
    </w:p>
    <w:p w14:paraId="46AB36E9" w14:textId="77777777"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14:paraId="3166646F" w14:textId="77777777" w:rsidR="003D4FF5" w:rsidRDefault="003D4FF5" w:rsidP="003D4FF5">
      <w:pPr>
        <w:pStyle w:val="Apara"/>
      </w:pPr>
      <w:r>
        <w:tab/>
        <w:t>(a)</w:t>
      </w:r>
      <w:r>
        <w:tab/>
        <w:t xml:space="preserve">the notice were a third-party notice; and </w:t>
      </w:r>
    </w:p>
    <w:p w14:paraId="4027BD5B" w14:textId="77777777" w:rsidR="003D4FF5" w:rsidRPr="00BB65FC" w:rsidRDefault="003D4FF5" w:rsidP="003D4FF5">
      <w:pPr>
        <w:pStyle w:val="Apara"/>
      </w:pPr>
      <w:r w:rsidRPr="00BB65FC">
        <w:tab/>
        <w:t>(b)</w:t>
      </w:r>
      <w:r w:rsidRPr="00BB65FC">
        <w:tab/>
        <w:t>the party who filed the notice were the defendant; and</w:t>
      </w:r>
    </w:p>
    <w:p w14:paraId="4F982D64" w14:textId="77777777" w:rsidR="003D4FF5" w:rsidRPr="00BB65FC" w:rsidRDefault="003D4FF5" w:rsidP="003D4FF5">
      <w:pPr>
        <w:pStyle w:val="Apara"/>
      </w:pPr>
      <w:r w:rsidRPr="00BB65FC">
        <w:tab/>
        <w:t>(c)</w:t>
      </w:r>
      <w:r w:rsidRPr="00BB65FC">
        <w:tab/>
        <w:t>the party against whom the claim in the notice is made were a third party.</w:t>
      </w:r>
    </w:p>
    <w:p w14:paraId="1C122D4C" w14:textId="77777777" w:rsidR="003D4FF5" w:rsidRDefault="003D4FF5" w:rsidP="003D4FF5">
      <w:pPr>
        <w:pStyle w:val="AH5Sec"/>
      </w:pPr>
      <w:bookmarkStart w:id="161" w:name="_Toc185513778"/>
      <w:r w:rsidRPr="00C8328B">
        <w:rPr>
          <w:rStyle w:val="CharSectNo"/>
        </w:rPr>
        <w:t>320</w:t>
      </w:r>
      <w:r>
        <w:tab/>
        <w:t>Notice claiming contribution or indemnity—filing and service etc</w:t>
      </w:r>
      <w:bookmarkEnd w:id="161"/>
    </w:p>
    <w:p w14:paraId="00607988" w14:textId="77777777" w:rsidR="003D4FF5" w:rsidRDefault="003D4FF5" w:rsidP="003D4FF5">
      <w:pPr>
        <w:pStyle w:val="Amain"/>
      </w:pPr>
      <w:r>
        <w:tab/>
        <w:t>(1)</w:t>
      </w:r>
      <w:r>
        <w:tab/>
        <w:t>Unless the court gives leave, a notice claiming contribution or indemnity—</w:t>
      </w:r>
    </w:p>
    <w:p w14:paraId="1022FD5F" w14:textId="77777777" w:rsidR="003D4FF5" w:rsidRDefault="003D4FF5" w:rsidP="003D4FF5">
      <w:pPr>
        <w:pStyle w:val="Apara"/>
      </w:pPr>
      <w:r>
        <w:tab/>
        <w:t>(a)</w:t>
      </w:r>
      <w:r>
        <w:tab/>
        <w:t xml:space="preserve">must not be filed by a </w:t>
      </w:r>
      <w:r w:rsidRPr="00BB65FC">
        <w:t>party</w:t>
      </w:r>
      <w:r>
        <w:t xml:space="preserve"> until the party has filed a defence; and</w:t>
      </w:r>
    </w:p>
    <w:p w14:paraId="295EEA60" w14:textId="77777777" w:rsidR="003D4FF5" w:rsidRDefault="003D4FF5" w:rsidP="003D4FF5">
      <w:pPr>
        <w:pStyle w:val="Apara"/>
        <w:keepNext/>
      </w:pPr>
      <w:r>
        <w:tab/>
        <w:t>(b)</w:t>
      </w:r>
      <w:r>
        <w:tab/>
        <w:t>must be filed not later than 28 days after the end of whichever of the following periods ends last:</w:t>
      </w:r>
    </w:p>
    <w:p w14:paraId="395223F2" w14:textId="77777777"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14:paraId="1F39DA60" w14:textId="77777777"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14:paraId="097B5817" w14:textId="77777777"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14:paraId="5BEF1B35"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EF3AA93" w14:textId="77777777" w:rsidR="003D4FF5" w:rsidRDefault="003D4FF5" w:rsidP="00124E4D">
      <w:pPr>
        <w:pStyle w:val="Amain"/>
        <w:keepNext/>
      </w:pPr>
      <w:r>
        <w:lastRenderedPageBreak/>
        <w:tab/>
        <w:t>(2)</w:t>
      </w:r>
      <w:r>
        <w:tab/>
        <w:t>An application for leave under subrule (1) to file a notice claiming contribution or indemnity must be served on—</w:t>
      </w:r>
    </w:p>
    <w:p w14:paraId="64E3BFF0" w14:textId="77777777" w:rsidR="003D4FF5" w:rsidRDefault="003D4FF5" w:rsidP="003D4FF5">
      <w:pPr>
        <w:pStyle w:val="Apara"/>
      </w:pPr>
      <w:r>
        <w:tab/>
        <w:t>(a)</w:t>
      </w:r>
      <w:r>
        <w:tab/>
        <w:t xml:space="preserve">the </w:t>
      </w:r>
      <w:r w:rsidRPr="00BB65FC">
        <w:t>party</w:t>
      </w:r>
      <w:r>
        <w:t xml:space="preserve"> against whom the claim is made; and</w:t>
      </w:r>
    </w:p>
    <w:p w14:paraId="104741D1" w14:textId="77777777" w:rsidR="003D4FF5" w:rsidRDefault="003D4FF5" w:rsidP="003D4FF5">
      <w:pPr>
        <w:pStyle w:val="Apara"/>
      </w:pPr>
      <w:r>
        <w:tab/>
        <w:t>(b)</w:t>
      </w:r>
      <w:r>
        <w:tab/>
        <w:t>each other active party.</w:t>
      </w:r>
    </w:p>
    <w:p w14:paraId="18B4AA6C" w14:textId="77777777"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14:paraId="65FAAD40" w14:textId="77777777"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14:paraId="5CD55D0B" w14:textId="77777777"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14:paraId="005F6550" w14:textId="77777777" w:rsidR="003D4FF5" w:rsidRDefault="003D4FF5" w:rsidP="003D4FF5">
      <w:pPr>
        <w:pStyle w:val="AH5Sec"/>
      </w:pPr>
      <w:bookmarkStart w:id="162" w:name="_Toc185513779"/>
      <w:r w:rsidRPr="00C8328B">
        <w:rPr>
          <w:rStyle w:val="CharSectNo"/>
        </w:rPr>
        <w:t>321</w:t>
      </w:r>
      <w:r>
        <w:tab/>
        <w:t>Contribution under Civil Law (Wrongs) Act, s 21</w:t>
      </w:r>
      <w:bookmarkEnd w:id="162"/>
    </w:p>
    <w:p w14:paraId="66BE5A45" w14:textId="15D2B891" w:rsidR="003D4FF5" w:rsidRDefault="003D4FF5" w:rsidP="003D4FF5">
      <w:pPr>
        <w:pStyle w:val="Amainreturn"/>
      </w:pPr>
      <w:r>
        <w:t xml:space="preserve">If the only relief claimed by a </w:t>
      </w:r>
      <w:r w:rsidRPr="00BB65FC">
        <w:t>party</w:t>
      </w:r>
      <w:r>
        <w:t xml:space="preserve"> is a contribution under the </w:t>
      </w:r>
      <w:hyperlink r:id="rId84"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14:paraId="2F99E95A" w14:textId="77777777" w:rsidR="003D4FF5" w:rsidRDefault="003D4FF5" w:rsidP="003D4FF5">
      <w:pPr>
        <w:pStyle w:val="AH5Sec"/>
      </w:pPr>
      <w:bookmarkStart w:id="163" w:name="_Toc185513780"/>
      <w:r w:rsidRPr="00C8328B">
        <w:rPr>
          <w:rStyle w:val="CharSectNo"/>
        </w:rPr>
        <w:t>322</w:t>
      </w:r>
      <w:r>
        <w:tab/>
        <w:t>Third-party notice—fourth and subsequent parties</w:t>
      </w:r>
      <w:bookmarkEnd w:id="163"/>
    </w:p>
    <w:p w14:paraId="3E99F338" w14:textId="77777777" w:rsidR="003D4FF5" w:rsidRDefault="003D4FF5" w:rsidP="003D4FF5">
      <w:pPr>
        <w:pStyle w:val="Amain"/>
      </w:pPr>
      <w:r>
        <w:tab/>
        <w:t>(1)</w:t>
      </w:r>
      <w:r>
        <w:tab/>
        <w:t>If a third party has filed a notice of intention to respond or defence, this part applies, with necessary changes, as if the third party were a defendant.</w:t>
      </w:r>
    </w:p>
    <w:p w14:paraId="331476CC" w14:textId="77777777"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14:paraId="331E4694" w14:textId="77777777" w:rsidR="003D4FF5" w:rsidRDefault="003D4FF5" w:rsidP="003D4FF5">
      <w:pPr>
        <w:pStyle w:val="Apara"/>
      </w:pPr>
      <w:r>
        <w:tab/>
        <w:t>(a)</w:t>
      </w:r>
      <w:r>
        <w:tab/>
        <w:t>this part as applied by this rule has effect in relation to the fourth party and any other further person included (as fifth-party and so on successively); and</w:t>
      </w:r>
    </w:p>
    <w:p w14:paraId="2B8666C5" w14:textId="77777777"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14:paraId="5E216696" w14:textId="77777777"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14:paraId="42696C39" w14:textId="77777777" w:rsidR="003D4FF5" w:rsidRDefault="003D4FF5" w:rsidP="003D4FF5">
      <w:pPr>
        <w:pStyle w:val="PageBreak"/>
      </w:pPr>
      <w:r>
        <w:br w:type="page"/>
      </w:r>
    </w:p>
    <w:p w14:paraId="6169977A" w14:textId="77777777" w:rsidR="003D4FF5" w:rsidRPr="00C8328B" w:rsidRDefault="003D4FF5" w:rsidP="003D4FF5">
      <w:pPr>
        <w:pStyle w:val="AH2Part"/>
      </w:pPr>
      <w:bookmarkStart w:id="164" w:name="_Toc185513781"/>
      <w:r w:rsidRPr="00C8328B">
        <w:rPr>
          <w:rStyle w:val="CharPartNo"/>
        </w:rPr>
        <w:lastRenderedPageBreak/>
        <w:t>Part 2.6</w:t>
      </w:r>
      <w:r>
        <w:tab/>
      </w:r>
      <w:r w:rsidRPr="00C8328B">
        <w:rPr>
          <w:rStyle w:val="CharPartText"/>
        </w:rPr>
        <w:t>Pleadings</w:t>
      </w:r>
      <w:bookmarkEnd w:id="164"/>
    </w:p>
    <w:p w14:paraId="2AE51C2E" w14:textId="77777777" w:rsidR="003D4FF5" w:rsidRPr="00C8328B" w:rsidRDefault="003D4FF5" w:rsidP="003D4FF5">
      <w:pPr>
        <w:pStyle w:val="AH3Div"/>
      </w:pPr>
      <w:bookmarkStart w:id="165" w:name="_Toc185513782"/>
      <w:r w:rsidRPr="00C8328B">
        <w:rPr>
          <w:rStyle w:val="CharDivNo"/>
        </w:rPr>
        <w:t>Division 2.6.1</w:t>
      </w:r>
      <w:r>
        <w:tab/>
      </w:r>
      <w:r w:rsidRPr="00C8328B">
        <w:rPr>
          <w:rStyle w:val="CharDivText"/>
        </w:rPr>
        <w:t>Application—pt 2.6</w:t>
      </w:r>
      <w:bookmarkEnd w:id="165"/>
    </w:p>
    <w:p w14:paraId="3276EA07" w14:textId="77777777" w:rsidR="003D4FF5" w:rsidRDefault="003D4FF5" w:rsidP="003D4FF5">
      <w:pPr>
        <w:pStyle w:val="AH5Sec"/>
      </w:pPr>
      <w:bookmarkStart w:id="166" w:name="_Toc185513783"/>
      <w:r w:rsidRPr="00C8328B">
        <w:rPr>
          <w:rStyle w:val="CharSectNo"/>
        </w:rPr>
        <w:t>400</w:t>
      </w:r>
      <w:r>
        <w:tab/>
        <w:t>Application—pt 2.6</w:t>
      </w:r>
      <w:bookmarkEnd w:id="166"/>
    </w:p>
    <w:p w14:paraId="16FCD5CD" w14:textId="77777777" w:rsidR="003D4FF5" w:rsidRDefault="003D4FF5" w:rsidP="003D4FF5">
      <w:pPr>
        <w:pStyle w:val="Amain"/>
      </w:pPr>
      <w:r>
        <w:tab/>
        <w:t>(1)</w:t>
      </w:r>
      <w:r>
        <w:tab/>
        <w:t>This part applies to—</w:t>
      </w:r>
    </w:p>
    <w:p w14:paraId="7CA2E958" w14:textId="77777777" w:rsidR="003D4FF5" w:rsidRDefault="003D4FF5" w:rsidP="003D4FF5">
      <w:pPr>
        <w:pStyle w:val="Apara"/>
      </w:pPr>
      <w:r>
        <w:tab/>
        <w:t>(a)</w:t>
      </w:r>
      <w:r>
        <w:tab/>
        <w:t>a proceeding started by originating claim or third-party notice; and</w:t>
      </w:r>
    </w:p>
    <w:p w14:paraId="10DEC6F0" w14:textId="77777777" w:rsidR="003D4FF5" w:rsidRDefault="003D4FF5" w:rsidP="003D4FF5">
      <w:pPr>
        <w:pStyle w:val="Apara"/>
        <w:keepNext/>
      </w:pPr>
      <w:r>
        <w:tab/>
        <w:t>(b)</w:t>
      </w:r>
      <w:r>
        <w:tab/>
        <w:t>a counterclaim made in a proceeding started by originating claim or third-party notice.</w:t>
      </w:r>
    </w:p>
    <w:p w14:paraId="4D82A34D" w14:textId="77777777"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7BFB111" w14:textId="77777777"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14:paraId="7FF8A8D2" w14:textId="77777777"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14:paraId="017183B8" w14:textId="77777777" w:rsidR="003D4FF5" w:rsidRPr="00C8328B" w:rsidRDefault="003D4FF5" w:rsidP="003D4FF5">
      <w:pPr>
        <w:pStyle w:val="AH3Div"/>
      </w:pPr>
      <w:bookmarkStart w:id="167" w:name="_Toc185513784"/>
      <w:r w:rsidRPr="00C8328B">
        <w:rPr>
          <w:rStyle w:val="CharDivNo"/>
        </w:rPr>
        <w:t>Division 2.6.2</w:t>
      </w:r>
      <w:r>
        <w:tab/>
      </w:r>
      <w:r w:rsidRPr="00C8328B">
        <w:rPr>
          <w:rStyle w:val="CharDivText"/>
        </w:rPr>
        <w:t>Rules of pleading</w:t>
      </w:r>
      <w:bookmarkEnd w:id="167"/>
    </w:p>
    <w:p w14:paraId="7AD6CE08" w14:textId="77777777" w:rsidR="003D4FF5" w:rsidRDefault="003D4FF5" w:rsidP="003D4FF5">
      <w:pPr>
        <w:pStyle w:val="AH5Sec"/>
      </w:pPr>
      <w:bookmarkStart w:id="168" w:name="_Toc185513785"/>
      <w:r w:rsidRPr="00C8328B">
        <w:rPr>
          <w:rStyle w:val="CharSectNo"/>
        </w:rPr>
        <w:t>405</w:t>
      </w:r>
      <w:r>
        <w:tab/>
        <w:t>Pleadings—formal requirements</w:t>
      </w:r>
      <w:bookmarkEnd w:id="168"/>
    </w:p>
    <w:p w14:paraId="1DAAFED9" w14:textId="77777777" w:rsidR="003D4FF5" w:rsidRDefault="003D4FF5" w:rsidP="003D4FF5">
      <w:pPr>
        <w:pStyle w:val="Amain"/>
      </w:pPr>
      <w:r>
        <w:tab/>
        <w:t>(1)</w:t>
      </w:r>
      <w:r>
        <w:tab/>
        <w:t>Each pleading must be in writing.</w:t>
      </w:r>
    </w:p>
    <w:p w14:paraId="43FF861A" w14:textId="77777777" w:rsidR="003D4FF5" w:rsidRDefault="003D4FF5" w:rsidP="003D4FF5">
      <w:pPr>
        <w:pStyle w:val="Amain"/>
      </w:pPr>
      <w:r>
        <w:tab/>
        <w:t>(2)</w:t>
      </w:r>
      <w:r>
        <w:tab/>
        <w:t>If a pleading alleges or otherwise deals with several matters—</w:t>
      </w:r>
    </w:p>
    <w:p w14:paraId="3CC860EC" w14:textId="77777777" w:rsidR="003D4FF5" w:rsidRDefault="003D4FF5" w:rsidP="003D4FF5">
      <w:pPr>
        <w:pStyle w:val="Apara"/>
      </w:pPr>
      <w:r>
        <w:tab/>
        <w:t>(a)</w:t>
      </w:r>
      <w:r>
        <w:tab/>
        <w:t>the pleading must be divided into paragraphs; and</w:t>
      </w:r>
    </w:p>
    <w:p w14:paraId="6E3B1087" w14:textId="77777777" w:rsidR="003D4FF5" w:rsidRDefault="003D4FF5" w:rsidP="003D4FF5">
      <w:pPr>
        <w:pStyle w:val="Apara"/>
      </w:pPr>
      <w:r>
        <w:tab/>
        <w:t>(b)</w:t>
      </w:r>
      <w:r>
        <w:tab/>
        <w:t>each matter must, as far as convenient, be put in a separate paragraph; and</w:t>
      </w:r>
    </w:p>
    <w:p w14:paraId="6AF6003B" w14:textId="77777777" w:rsidR="003D4FF5" w:rsidRDefault="003D4FF5" w:rsidP="003D4FF5">
      <w:pPr>
        <w:pStyle w:val="Apara"/>
      </w:pPr>
      <w:r>
        <w:tab/>
        <w:t>(c)</w:t>
      </w:r>
      <w:r>
        <w:tab/>
        <w:t>the paragraphs must be numbered consecutively.</w:t>
      </w:r>
    </w:p>
    <w:p w14:paraId="7A73B491" w14:textId="77777777"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14:paraId="43E3167C" w14:textId="77777777"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14:paraId="79E27DF7" w14:textId="77777777" w:rsidR="003D4FF5" w:rsidRDefault="003D4FF5" w:rsidP="003D4FF5">
      <w:pPr>
        <w:pStyle w:val="Amain"/>
      </w:pPr>
      <w:r>
        <w:tab/>
        <w:t>(5)</w:t>
      </w:r>
      <w:r>
        <w:tab/>
        <w:t>If a pleading is settled by counsel, it must state—</w:t>
      </w:r>
    </w:p>
    <w:p w14:paraId="010774A8" w14:textId="77777777" w:rsidR="003D4FF5" w:rsidRDefault="003D4FF5" w:rsidP="003D4FF5">
      <w:pPr>
        <w:pStyle w:val="Apara"/>
      </w:pPr>
      <w:r>
        <w:tab/>
        <w:t>(a)</w:t>
      </w:r>
      <w:r>
        <w:tab/>
        <w:t>that it was settled by counsel; and</w:t>
      </w:r>
    </w:p>
    <w:p w14:paraId="1612F154" w14:textId="77777777" w:rsidR="003D4FF5" w:rsidRDefault="003D4FF5" w:rsidP="003D4FF5">
      <w:pPr>
        <w:pStyle w:val="Apara"/>
        <w:keepNext/>
      </w:pPr>
      <w:r>
        <w:tab/>
        <w:t>(b)</w:t>
      </w:r>
      <w:r>
        <w:tab/>
        <w:t>counsel’s name.</w:t>
      </w:r>
    </w:p>
    <w:p w14:paraId="6FC0E201" w14:textId="77777777"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14:paraId="55AB386F" w14:textId="77777777" w:rsidR="003D4FF5" w:rsidRDefault="003D4FF5" w:rsidP="003D4FF5">
      <w:pPr>
        <w:pStyle w:val="AH5Sec"/>
      </w:pPr>
      <w:bookmarkStart w:id="169" w:name="_Toc185513786"/>
      <w:r w:rsidRPr="00C8328B">
        <w:rPr>
          <w:rStyle w:val="CharSectNo"/>
        </w:rPr>
        <w:t>406</w:t>
      </w:r>
      <w:r>
        <w:tab/>
        <w:t>Pleadings—statements in</w:t>
      </w:r>
      <w:bookmarkEnd w:id="169"/>
    </w:p>
    <w:p w14:paraId="24A0EA7E" w14:textId="77777777" w:rsidR="003D4FF5" w:rsidRDefault="003D4FF5" w:rsidP="003D4FF5">
      <w:pPr>
        <w:pStyle w:val="Amain"/>
      </w:pPr>
      <w:r>
        <w:tab/>
        <w:t>(1)</w:t>
      </w:r>
      <w:r>
        <w:tab/>
        <w:t>Each pleading must—</w:t>
      </w:r>
    </w:p>
    <w:p w14:paraId="4C50BA64" w14:textId="77777777" w:rsidR="003D4FF5" w:rsidRDefault="003D4FF5" w:rsidP="003D4FF5">
      <w:pPr>
        <w:pStyle w:val="Apara"/>
      </w:pPr>
      <w:r>
        <w:tab/>
        <w:t>(a)</w:t>
      </w:r>
      <w:r>
        <w:tab/>
        <w:t>be as brief as the nature of the case allows; and</w:t>
      </w:r>
    </w:p>
    <w:p w14:paraId="500B6744" w14:textId="77777777" w:rsidR="003D4FF5" w:rsidRDefault="003D4FF5" w:rsidP="003D4FF5">
      <w:pPr>
        <w:pStyle w:val="Apara"/>
      </w:pPr>
      <w:r>
        <w:tab/>
        <w:t>(b)</w:t>
      </w:r>
      <w:r>
        <w:tab/>
        <w:t>contain a statement in a summary form of the material facts on which the party relies but not the evidence by which the facts are to be proved; and</w:t>
      </w:r>
    </w:p>
    <w:p w14:paraId="60858CD8" w14:textId="77777777" w:rsidR="003D4FF5" w:rsidRDefault="003D4FF5" w:rsidP="003D4FF5">
      <w:pPr>
        <w:pStyle w:val="Apara"/>
      </w:pPr>
      <w:r>
        <w:tab/>
        <w:t>(c)</w:t>
      </w:r>
      <w:r>
        <w:tab/>
        <w:t>state specifically any matter that if not stated specifically may take another party by surprise; and</w:t>
      </w:r>
    </w:p>
    <w:p w14:paraId="7E791EF2" w14:textId="77777777" w:rsidR="003D4FF5" w:rsidRDefault="003D4FF5" w:rsidP="003D4FF5">
      <w:pPr>
        <w:pStyle w:val="Apara"/>
      </w:pPr>
      <w:r>
        <w:tab/>
        <w:t>(d)</w:t>
      </w:r>
      <w:r>
        <w:tab/>
        <w:t>subject to rule 419 (Pleadings—other relief), state specifically any relief the party claims; and</w:t>
      </w:r>
    </w:p>
    <w:p w14:paraId="07A51A03" w14:textId="77777777" w:rsidR="003D4FF5" w:rsidRDefault="003D4FF5" w:rsidP="003D4FF5">
      <w:pPr>
        <w:pStyle w:val="Apara"/>
      </w:pPr>
      <w:r>
        <w:tab/>
        <w:t>(e)</w:t>
      </w:r>
      <w:r>
        <w:tab/>
        <w:t>if a claim or defence under a statute is relied on—identify the specific provision of the statute.</w:t>
      </w:r>
    </w:p>
    <w:p w14:paraId="63E38E60" w14:textId="77777777" w:rsidR="003D4FF5" w:rsidRDefault="003D4FF5" w:rsidP="003D4FF5">
      <w:pPr>
        <w:pStyle w:val="Amain"/>
      </w:pPr>
      <w:r>
        <w:tab/>
        <w:t>(2)</w:t>
      </w:r>
      <w:r>
        <w:tab/>
        <w:t>A party may raise a point of law in a pleading if the party also pleads the material facts in support of the point.</w:t>
      </w:r>
    </w:p>
    <w:p w14:paraId="2BD9D5F0" w14:textId="77777777" w:rsidR="003D4FF5" w:rsidRDefault="003D4FF5" w:rsidP="003D4FF5">
      <w:pPr>
        <w:pStyle w:val="AH5Sec"/>
      </w:pPr>
      <w:bookmarkStart w:id="170" w:name="_Toc185513787"/>
      <w:r w:rsidRPr="00C8328B">
        <w:rPr>
          <w:rStyle w:val="CharSectNo"/>
        </w:rPr>
        <w:lastRenderedPageBreak/>
        <w:t>407</w:t>
      </w:r>
      <w:r>
        <w:tab/>
        <w:t>Pleadings—matters to be specifically pleaded</w:t>
      </w:r>
      <w:bookmarkEnd w:id="170"/>
    </w:p>
    <w:p w14:paraId="5EF12297" w14:textId="77777777" w:rsidR="003D4FF5" w:rsidRDefault="003D4FF5" w:rsidP="003D4FF5">
      <w:pPr>
        <w:pStyle w:val="Amain"/>
        <w:keepNext/>
      </w:pPr>
      <w:r>
        <w:tab/>
        <w:t>(1)</w:t>
      </w:r>
      <w:r>
        <w:tab/>
        <w:t>Without limiting rule 406, the following matters must be specifically pleaded:</w:t>
      </w:r>
    </w:p>
    <w:p w14:paraId="63C8E2DB" w14:textId="77777777" w:rsidR="003D4FF5" w:rsidRDefault="003D4FF5" w:rsidP="003D4FF5">
      <w:pPr>
        <w:pStyle w:val="Apara"/>
      </w:pPr>
      <w:r>
        <w:tab/>
        <w:t>(a)</w:t>
      </w:r>
      <w:r>
        <w:tab/>
        <w:t>an accident the cause of which is unknown and undiscoverable;</w:t>
      </w:r>
    </w:p>
    <w:p w14:paraId="2CB3C9E5" w14:textId="77777777" w:rsidR="003D4FF5" w:rsidRDefault="003D4FF5" w:rsidP="003D4FF5">
      <w:pPr>
        <w:pStyle w:val="Apara"/>
      </w:pPr>
      <w:r>
        <w:tab/>
        <w:t>(b)</w:t>
      </w:r>
      <w:r>
        <w:tab/>
        <w:t>breach of contract or trust;</w:t>
      </w:r>
    </w:p>
    <w:p w14:paraId="085523F8" w14:textId="77777777" w:rsidR="003D4FF5" w:rsidRDefault="003D4FF5" w:rsidP="003D4FF5">
      <w:pPr>
        <w:pStyle w:val="Apara"/>
      </w:pPr>
      <w:r>
        <w:tab/>
        <w:t>(c)</w:t>
      </w:r>
      <w:r>
        <w:tab/>
        <w:t>breach of statutory duty;</w:t>
      </w:r>
    </w:p>
    <w:p w14:paraId="4551A966" w14:textId="77777777" w:rsidR="003D4FF5" w:rsidRDefault="003D4FF5" w:rsidP="003D4FF5">
      <w:pPr>
        <w:pStyle w:val="aNotepar"/>
      </w:pPr>
      <w:r>
        <w:rPr>
          <w:rStyle w:val="charItals"/>
        </w:rPr>
        <w:t>Note</w:t>
      </w:r>
      <w:r>
        <w:rPr>
          <w:rStyle w:val="charItals"/>
        </w:rPr>
        <w:tab/>
      </w:r>
      <w:r>
        <w:t>See r 432 (Pleadings—negligence and breach of statutory duty).</w:t>
      </w:r>
    </w:p>
    <w:p w14:paraId="68DC92C2" w14:textId="77777777" w:rsidR="003D4FF5" w:rsidRDefault="003D4FF5" w:rsidP="003D4FF5">
      <w:pPr>
        <w:pStyle w:val="Apara"/>
      </w:pPr>
      <w:r>
        <w:tab/>
        <w:t>(d)</w:t>
      </w:r>
      <w:r>
        <w:tab/>
        <w:t>damages of every kind claimed, including, for example, special and exemplary damages;</w:t>
      </w:r>
    </w:p>
    <w:p w14:paraId="70F6FB1C" w14:textId="77777777" w:rsidR="003D4FF5" w:rsidRDefault="003D4FF5" w:rsidP="003D4FF5">
      <w:pPr>
        <w:pStyle w:val="aNotepar"/>
      </w:pPr>
      <w:r>
        <w:rPr>
          <w:rStyle w:val="charItals"/>
        </w:rPr>
        <w:t>Note</w:t>
      </w:r>
      <w:r>
        <w:rPr>
          <w:rStyle w:val="charItals"/>
        </w:rPr>
        <w:tab/>
      </w:r>
      <w:r>
        <w:t>See also r 417 (Pleadings—kind of damages etc).</w:t>
      </w:r>
    </w:p>
    <w:p w14:paraId="4E0C4AD2" w14:textId="77777777" w:rsidR="003D4FF5" w:rsidRDefault="003D4FF5" w:rsidP="003D4FF5">
      <w:pPr>
        <w:pStyle w:val="Apara"/>
      </w:pPr>
      <w:r>
        <w:tab/>
        <w:t>(e)</w:t>
      </w:r>
      <w:r>
        <w:tab/>
        <w:t>duress;</w:t>
      </w:r>
    </w:p>
    <w:p w14:paraId="489F38A0" w14:textId="77777777" w:rsidR="003D4FF5" w:rsidRDefault="003D4FF5" w:rsidP="003D4FF5">
      <w:pPr>
        <w:pStyle w:val="Apara"/>
      </w:pPr>
      <w:r>
        <w:tab/>
        <w:t>(f)</w:t>
      </w:r>
      <w:r>
        <w:tab/>
        <w:t>estoppel;</w:t>
      </w:r>
    </w:p>
    <w:p w14:paraId="1F4C1FE7" w14:textId="77777777" w:rsidR="003D4FF5" w:rsidRDefault="003D4FF5" w:rsidP="003D4FF5">
      <w:pPr>
        <w:pStyle w:val="Apara"/>
      </w:pPr>
      <w:r>
        <w:tab/>
        <w:t>(g)</w:t>
      </w:r>
      <w:r>
        <w:tab/>
        <w:t>extinction of right or title;</w:t>
      </w:r>
    </w:p>
    <w:p w14:paraId="4670A939" w14:textId="77777777" w:rsidR="003D4FF5" w:rsidRDefault="003D4FF5" w:rsidP="003D4FF5">
      <w:pPr>
        <w:pStyle w:val="Apara"/>
      </w:pPr>
      <w:r>
        <w:tab/>
        <w:t>(h)</w:t>
      </w:r>
      <w:r>
        <w:tab/>
        <w:t>fraud or illegality;</w:t>
      </w:r>
    </w:p>
    <w:p w14:paraId="6B18D469" w14:textId="77777777" w:rsidR="003D4FF5" w:rsidRDefault="003D4FF5" w:rsidP="003D4FF5">
      <w:pPr>
        <w:pStyle w:val="Apara"/>
      </w:pPr>
      <w:r>
        <w:tab/>
        <w:t>(i)</w:t>
      </w:r>
      <w:r>
        <w:tab/>
        <w:t>interest (including the rate of interest and method of calculation) claimed;</w:t>
      </w:r>
    </w:p>
    <w:p w14:paraId="32999EC8" w14:textId="77777777" w:rsidR="003D4FF5" w:rsidRDefault="003D4FF5" w:rsidP="003D4FF5">
      <w:pPr>
        <w:pStyle w:val="Apara"/>
      </w:pPr>
      <w:r>
        <w:tab/>
        <w:t>(j)</w:t>
      </w:r>
      <w:r>
        <w:tab/>
        <w:t>malice or ill will;</w:t>
      </w:r>
    </w:p>
    <w:p w14:paraId="4A6D2204" w14:textId="77777777" w:rsidR="003D4FF5" w:rsidRDefault="003D4FF5" w:rsidP="003D4FF5">
      <w:pPr>
        <w:pStyle w:val="Apara"/>
      </w:pPr>
      <w:r>
        <w:tab/>
        <w:t>(k)</w:t>
      </w:r>
      <w:r>
        <w:tab/>
        <w:t>misrepresentation;</w:t>
      </w:r>
    </w:p>
    <w:p w14:paraId="57BED89B" w14:textId="77777777" w:rsidR="003D4FF5" w:rsidRDefault="003D4FF5" w:rsidP="003D4FF5">
      <w:pPr>
        <w:pStyle w:val="Apara"/>
      </w:pPr>
      <w:r>
        <w:tab/>
        <w:t>(l)</w:t>
      </w:r>
      <w:r>
        <w:tab/>
        <w:t>motive, intention or other condition of mind, including knowledge or notice;</w:t>
      </w:r>
    </w:p>
    <w:p w14:paraId="4F889464" w14:textId="77777777" w:rsidR="003D4FF5" w:rsidRDefault="003D4FF5" w:rsidP="003D4FF5">
      <w:pPr>
        <w:pStyle w:val="Apara"/>
      </w:pPr>
      <w:r>
        <w:tab/>
        <w:t>(m)</w:t>
      </w:r>
      <w:r>
        <w:tab/>
        <w:t>negligence or contributory negligence;</w:t>
      </w:r>
    </w:p>
    <w:p w14:paraId="45B19140" w14:textId="77777777" w:rsidR="003D4FF5" w:rsidRDefault="003D4FF5" w:rsidP="003D4FF5">
      <w:pPr>
        <w:pStyle w:val="aNotepar"/>
      </w:pPr>
      <w:r>
        <w:rPr>
          <w:rStyle w:val="charItals"/>
        </w:rPr>
        <w:t>Note</w:t>
      </w:r>
      <w:r>
        <w:rPr>
          <w:rStyle w:val="charItals"/>
        </w:rPr>
        <w:tab/>
      </w:r>
      <w:r>
        <w:t>See r 432 (Pleadings—negligence and breach of statutory duty).</w:t>
      </w:r>
    </w:p>
    <w:p w14:paraId="481E24AF" w14:textId="77777777" w:rsidR="003D4FF5" w:rsidRDefault="003D4FF5" w:rsidP="003D4FF5">
      <w:pPr>
        <w:pStyle w:val="Apara"/>
      </w:pPr>
      <w:r>
        <w:tab/>
        <w:t>(n)</w:t>
      </w:r>
      <w:r>
        <w:tab/>
        <w:t>payment;</w:t>
      </w:r>
    </w:p>
    <w:p w14:paraId="47721EA6" w14:textId="77777777" w:rsidR="003D4FF5" w:rsidRDefault="003D4FF5" w:rsidP="003D4FF5">
      <w:pPr>
        <w:pStyle w:val="Apara"/>
      </w:pPr>
      <w:r>
        <w:tab/>
        <w:t>(o)</w:t>
      </w:r>
      <w:r>
        <w:tab/>
        <w:t>performance or part performance;</w:t>
      </w:r>
    </w:p>
    <w:p w14:paraId="000E8E51" w14:textId="77777777" w:rsidR="003D4FF5" w:rsidRDefault="003D4FF5" w:rsidP="003D4FF5">
      <w:pPr>
        <w:pStyle w:val="Apara"/>
      </w:pPr>
      <w:r>
        <w:tab/>
        <w:t>(p)</w:t>
      </w:r>
      <w:r>
        <w:tab/>
        <w:t>release;</w:t>
      </w:r>
    </w:p>
    <w:p w14:paraId="49765BE4" w14:textId="77777777" w:rsidR="003D4FF5" w:rsidRDefault="003D4FF5" w:rsidP="003D4FF5">
      <w:pPr>
        <w:pStyle w:val="Apara"/>
      </w:pPr>
      <w:r>
        <w:lastRenderedPageBreak/>
        <w:tab/>
        <w:t>(q)</w:t>
      </w:r>
      <w:r>
        <w:tab/>
        <w:t>statute of limitations;</w:t>
      </w:r>
    </w:p>
    <w:p w14:paraId="5CB028F2" w14:textId="77777777" w:rsidR="003D4FF5" w:rsidRDefault="003D4FF5" w:rsidP="003D4FF5">
      <w:pPr>
        <w:pStyle w:val="Apara"/>
      </w:pPr>
      <w:r>
        <w:tab/>
        <w:t>(r)</w:t>
      </w:r>
      <w:r>
        <w:tab/>
        <w:t>a statute requiring that contracts be in, or evidenced by, writing (for example, statute of frauds);</w:t>
      </w:r>
    </w:p>
    <w:p w14:paraId="6D1FC1B3" w14:textId="77777777" w:rsidR="003D4FF5" w:rsidRDefault="003D4FF5" w:rsidP="003D4FF5">
      <w:pPr>
        <w:pStyle w:val="Apara"/>
      </w:pPr>
      <w:r>
        <w:tab/>
        <w:t>(s)</w:t>
      </w:r>
      <w:r>
        <w:tab/>
        <w:t>undue influence;</w:t>
      </w:r>
    </w:p>
    <w:p w14:paraId="7656DE8B" w14:textId="77777777" w:rsidR="003D4FF5" w:rsidRDefault="003D4FF5" w:rsidP="003D4FF5">
      <w:pPr>
        <w:pStyle w:val="Apara"/>
      </w:pPr>
      <w:r>
        <w:tab/>
        <w:t>(t)</w:t>
      </w:r>
      <w:r>
        <w:tab/>
        <w:t>voluntary assumption of risk;</w:t>
      </w:r>
    </w:p>
    <w:p w14:paraId="7DA477B3" w14:textId="77777777" w:rsidR="003D4FF5" w:rsidRDefault="003D4FF5" w:rsidP="003D4FF5">
      <w:pPr>
        <w:pStyle w:val="Apara"/>
      </w:pPr>
      <w:r>
        <w:tab/>
        <w:t>(u)</w:t>
      </w:r>
      <w:r>
        <w:tab/>
        <w:t>waiver;</w:t>
      </w:r>
    </w:p>
    <w:p w14:paraId="2990FBF3" w14:textId="77777777" w:rsidR="003D4FF5" w:rsidRDefault="003D4FF5" w:rsidP="003D4FF5">
      <w:pPr>
        <w:pStyle w:val="Apara"/>
      </w:pPr>
      <w:r>
        <w:tab/>
        <w:t>(v)</w:t>
      </w:r>
      <w:r>
        <w:tab/>
        <w:t>want of capacity, including disorder or disability of mind;</w:t>
      </w:r>
    </w:p>
    <w:p w14:paraId="3A1E5EBD" w14:textId="77777777" w:rsidR="003D4FF5" w:rsidRDefault="003D4FF5" w:rsidP="003D4FF5">
      <w:pPr>
        <w:pStyle w:val="Apara"/>
      </w:pPr>
      <w:r>
        <w:tab/>
        <w:t>(w)</w:t>
      </w:r>
      <w:r>
        <w:tab/>
        <w:t>that a testator did not know and approve of the contents of a will;</w:t>
      </w:r>
    </w:p>
    <w:p w14:paraId="3A253ABF" w14:textId="77777777" w:rsidR="003D4FF5" w:rsidRDefault="003D4FF5" w:rsidP="003D4FF5">
      <w:pPr>
        <w:pStyle w:val="Apara"/>
      </w:pPr>
      <w:r>
        <w:tab/>
        <w:t>(x)</w:t>
      </w:r>
      <w:r>
        <w:tab/>
        <w:t>that a will was not properly made;</w:t>
      </w:r>
    </w:p>
    <w:p w14:paraId="414B932B" w14:textId="77777777" w:rsidR="003D4FF5" w:rsidRDefault="003D4FF5" w:rsidP="003D4FF5">
      <w:pPr>
        <w:pStyle w:val="Apara"/>
      </w:pPr>
      <w:r>
        <w:tab/>
        <w:t>(y)</w:t>
      </w:r>
      <w:r>
        <w:tab/>
        <w:t>wilful default;</w:t>
      </w:r>
    </w:p>
    <w:p w14:paraId="0B59B40A" w14:textId="77777777" w:rsidR="003D4FF5" w:rsidRDefault="003D4FF5" w:rsidP="003D4FF5">
      <w:pPr>
        <w:pStyle w:val="Apara"/>
        <w:keepNext/>
      </w:pPr>
      <w:r>
        <w:tab/>
        <w:t>(z)</w:t>
      </w:r>
      <w:r>
        <w:tab/>
        <w:t>anything else required by a practice note to be specifically pleaded.</w:t>
      </w:r>
    </w:p>
    <w:p w14:paraId="0B5C87D4" w14:textId="77777777" w:rsidR="003D4FF5" w:rsidRDefault="003D4FF5" w:rsidP="003D4FF5">
      <w:pPr>
        <w:pStyle w:val="Amain"/>
      </w:pPr>
      <w:r>
        <w:tab/>
        <w:t>(2)</w:t>
      </w:r>
      <w:r>
        <w:tab/>
        <w:t>Also, any fact from which any of the matters mentioned in subrule (1) is claimed to be an inference must be specifically pleaded.</w:t>
      </w:r>
    </w:p>
    <w:p w14:paraId="77D37939" w14:textId="77777777" w:rsidR="003D4FF5" w:rsidRDefault="003D4FF5" w:rsidP="003D4FF5">
      <w:pPr>
        <w:pStyle w:val="Amain"/>
        <w:keepNext/>
      </w:pPr>
      <w:r>
        <w:tab/>
        <w:t>(3)</w:t>
      </w:r>
      <w:r>
        <w:tab/>
        <w:t>In a defence or pleading after a defence, a party must specifically plead any matter that—</w:t>
      </w:r>
    </w:p>
    <w:p w14:paraId="06DE7C2B" w14:textId="77777777" w:rsidR="003D4FF5" w:rsidRDefault="003D4FF5" w:rsidP="003D4FF5">
      <w:pPr>
        <w:pStyle w:val="Apara"/>
      </w:pPr>
      <w:r>
        <w:tab/>
        <w:t>(a)</w:t>
      </w:r>
      <w:r>
        <w:tab/>
        <w:t>the party alleges makes a claim or defence of the opposite party not maintainable; or</w:t>
      </w:r>
    </w:p>
    <w:p w14:paraId="204E25DC" w14:textId="77777777" w:rsidR="003D4FF5" w:rsidRDefault="003D4FF5" w:rsidP="003D4FF5">
      <w:pPr>
        <w:pStyle w:val="Apara"/>
      </w:pPr>
      <w:r>
        <w:tab/>
        <w:t>(b)</w:t>
      </w:r>
      <w:r>
        <w:tab/>
        <w:t>shows a transaction is void or voidable; or</w:t>
      </w:r>
    </w:p>
    <w:p w14:paraId="710F3126" w14:textId="77777777" w:rsidR="003D4FF5" w:rsidRDefault="003D4FF5" w:rsidP="003D4FF5">
      <w:pPr>
        <w:pStyle w:val="Apara"/>
      </w:pPr>
      <w:r>
        <w:tab/>
        <w:t>(c)</w:t>
      </w:r>
      <w:r>
        <w:tab/>
        <w:t>raises an issue of fact not arising out of a previous pleading.</w:t>
      </w:r>
    </w:p>
    <w:p w14:paraId="742DEBFA" w14:textId="77777777" w:rsidR="003D4FF5" w:rsidRDefault="003D4FF5" w:rsidP="003D4FF5">
      <w:pPr>
        <w:pStyle w:val="AH5Sec"/>
      </w:pPr>
      <w:bookmarkStart w:id="171" w:name="_Toc185513788"/>
      <w:r w:rsidRPr="00C8328B">
        <w:rPr>
          <w:rStyle w:val="CharSectNo"/>
        </w:rPr>
        <w:t>408</w:t>
      </w:r>
      <w:r>
        <w:tab/>
        <w:t>Pleadings—money claims short form</w:t>
      </w:r>
      <w:bookmarkEnd w:id="171"/>
    </w:p>
    <w:p w14:paraId="20C2CDC8" w14:textId="77777777" w:rsidR="003D4FF5" w:rsidRDefault="003D4FF5" w:rsidP="003D4FF5">
      <w:pPr>
        <w:pStyle w:val="Amain"/>
        <w:keepNext/>
      </w:pPr>
      <w:r>
        <w:tab/>
        <w:t>(1)</w:t>
      </w:r>
      <w:r>
        <w:tab/>
        <w:t>This rule applies if the plaintiff claims an amount payable by the defendant to the plaintiff for any of the following:</w:t>
      </w:r>
    </w:p>
    <w:p w14:paraId="6C5D4426" w14:textId="77777777" w:rsidR="003D4FF5" w:rsidRDefault="003D4FF5" w:rsidP="003D4FF5">
      <w:pPr>
        <w:pStyle w:val="Apara"/>
        <w:keepNext/>
      </w:pPr>
      <w:r>
        <w:tab/>
        <w:t>(a)</w:t>
      </w:r>
      <w:r>
        <w:tab/>
        <w:t>goods sold and delivered by the plaintiff to the defendant;</w:t>
      </w:r>
    </w:p>
    <w:p w14:paraId="510C657B" w14:textId="77777777" w:rsidR="003D4FF5" w:rsidRDefault="003D4FF5" w:rsidP="003D4FF5">
      <w:pPr>
        <w:pStyle w:val="Apara"/>
      </w:pPr>
      <w:r>
        <w:tab/>
        <w:t>(b)</w:t>
      </w:r>
      <w:r>
        <w:tab/>
        <w:t>goods bargained and sold by the plaintiff to the defendant;</w:t>
      </w:r>
    </w:p>
    <w:p w14:paraId="639E0D4D" w14:textId="77777777" w:rsidR="003D4FF5" w:rsidRDefault="003D4FF5" w:rsidP="003D4FF5">
      <w:pPr>
        <w:pStyle w:val="Apara"/>
      </w:pPr>
      <w:r>
        <w:lastRenderedPageBreak/>
        <w:tab/>
        <w:t>(c)</w:t>
      </w:r>
      <w:r>
        <w:tab/>
        <w:t>work done or materials provided by the plaintiff for the defendant at the defendant’s request;</w:t>
      </w:r>
    </w:p>
    <w:p w14:paraId="41713936" w14:textId="77777777" w:rsidR="003D4FF5" w:rsidRDefault="003D4FF5" w:rsidP="003D4FF5">
      <w:pPr>
        <w:pStyle w:val="Apara"/>
      </w:pPr>
      <w:r>
        <w:tab/>
        <w:t>(d)</w:t>
      </w:r>
      <w:r>
        <w:tab/>
        <w:t>money lent by the plaintiff to the defendant;</w:t>
      </w:r>
    </w:p>
    <w:p w14:paraId="2FAC9839" w14:textId="77777777" w:rsidR="003D4FF5" w:rsidRDefault="003D4FF5" w:rsidP="003D4FF5">
      <w:pPr>
        <w:pStyle w:val="Apara"/>
      </w:pPr>
      <w:r>
        <w:tab/>
        <w:t>(e)</w:t>
      </w:r>
      <w:r>
        <w:tab/>
        <w:t>money paid by the plaintiff for the defendant at the defendant’s request;</w:t>
      </w:r>
    </w:p>
    <w:p w14:paraId="0B5880C0" w14:textId="77777777" w:rsidR="003D4FF5" w:rsidRDefault="003D4FF5" w:rsidP="003D4FF5">
      <w:pPr>
        <w:pStyle w:val="Apara"/>
      </w:pPr>
      <w:r>
        <w:tab/>
        <w:t>(f)</w:t>
      </w:r>
      <w:r>
        <w:tab/>
        <w:t>money had and received by the defendant for the plaintiff’s use;</w:t>
      </w:r>
    </w:p>
    <w:p w14:paraId="5D500882" w14:textId="77777777" w:rsidR="003D4FF5" w:rsidRDefault="003D4FF5" w:rsidP="003D4FF5">
      <w:pPr>
        <w:pStyle w:val="Apara"/>
      </w:pPr>
      <w:r>
        <w:tab/>
        <w:t>(g)</w:t>
      </w:r>
      <w:r>
        <w:tab/>
        <w:t>interest on money owing by the defendant to the plaintiff;</w:t>
      </w:r>
    </w:p>
    <w:p w14:paraId="62635D5C" w14:textId="77777777" w:rsidR="003D4FF5" w:rsidRDefault="003D4FF5" w:rsidP="003D4FF5">
      <w:pPr>
        <w:pStyle w:val="Apara"/>
      </w:pPr>
      <w:r>
        <w:tab/>
        <w:t>(h)</w:t>
      </w:r>
      <w:r>
        <w:tab/>
        <w:t>interest for forbearance by the plaintiff at the defendant’s request on money owing by the defendant to the plaintiff;</w:t>
      </w:r>
    </w:p>
    <w:p w14:paraId="19016F1C" w14:textId="77777777" w:rsidR="003D4FF5" w:rsidRDefault="003D4FF5" w:rsidP="003D4FF5">
      <w:pPr>
        <w:pStyle w:val="Apara"/>
      </w:pPr>
      <w:r>
        <w:tab/>
        <w:t>(i)</w:t>
      </w:r>
      <w:r>
        <w:tab/>
        <w:t>money found to be owing by the defendant to the plaintiff on accounts stated between them.</w:t>
      </w:r>
    </w:p>
    <w:p w14:paraId="67105318" w14:textId="77777777" w:rsidR="003D4FF5" w:rsidRDefault="003D4FF5" w:rsidP="003D4FF5">
      <w:pPr>
        <w:pStyle w:val="Amain"/>
      </w:pPr>
      <w:r>
        <w:tab/>
        <w:t>(2)</w:t>
      </w:r>
      <w:r>
        <w:tab/>
        <w:t>The plaintiff may plead the facts using the form of words set out in the relevant paragraph of subrule (1).</w:t>
      </w:r>
    </w:p>
    <w:p w14:paraId="7850BC52" w14:textId="77777777"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14:paraId="4C55989D" w14:textId="77777777" w:rsidR="003D4FF5" w:rsidRDefault="003D4FF5" w:rsidP="003D4FF5">
      <w:pPr>
        <w:pStyle w:val="Amain"/>
        <w:keepNext/>
      </w:pPr>
      <w:r>
        <w:tab/>
        <w:t>(4)</w:t>
      </w:r>
      <w:r>
        <w:tab/>
        <w:t>The defendant must file any notice under subrule (3) within the time limited by these rules for the defendant to file a defence.</w:t>
      </w:r>
    </w:p>
    <w:p w14:paraId="0ACC9E93" w14:textId="77777777"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14:paraId="66EC1137" w14:textId="77777777" w:rsidR="003D4FF5" w:rsidRDefault="003D4FF5" w:rsidP="00B671CC">
      <w:pPr>
        <w:pStyle w:val="aNotePara"/>
        <w:keepNext/>
        <w:rPr>
          <w:lang w:val="en-US"/>
        </w:rPr>
      </w:pPr>
      <w:r>
        <w:rPr>
          <w:lang w:val="en-US"/>
        </w:rPr>
        <w:tab/>
        <w:t>(a)</w:t>
      </w:r>
      <w:r>
        <w:rPr>
          <w:lang w:val="en-US"/>
        </w:rPr>
        <w:tab/>
        <w:t>28 days after the day the claim is served on the defendant;</w:t>
      </w:r>
    </w:p>
    <w:p w14:paraId="095D6471" w14:textId="77777777"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14:paraId="5EE30762" w14:textId="77777777" w:rsidR="003D4FF5" w:rsidRDefault="003D4FF5" w:rsidP="003D4FF5">
      <w:pPr>
        <w:pStyle w:val="aNoteTextss"/>
        <w:rPr>
          <w:lang w:val="en-US"/>
        </w:rPr>
      </w:pPr>
      <w:r>
        <w:rPr>
          <w:lang w:val="en-US"/>
        </w:rPr>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14:paraId="469F2D9E" w14:textId="77777777" w:rsidR="003D4FF5" w:rsidRDefault="003D4FF5" w:rsidP="003D4FF5">
      <w:pPr>
        <w:pStyle w:val="Amain"/>
      </w:pPr>
      <w:r>
        <w:lastRenderedPageBreak/>
        <w:tab/>
        <w:t>(5)</w:t>
      </w:r>
      <w:r>
        <w:tab/>
        <w:t>If the defendant files a notice under subrule (3), the defendant must serve a stamped copy of the notice on the plaintiff at the plaintiff’s address for service on the day it is filed.</w:t>
      </w:r>
    </w:p>
    <w:p w14:paraId="63A5D94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6C8D01DB" w14:textId="77777777" w:rsidR="003D4FF5" w:rsidRDefault="003D4FF5" w:rsidP="003D4FF5">
      <w:pPr>
        <w:pStyle w:val="Amain"/>
        <w:keepNext/>
      </w:pPr>
      <w:r>
        <w:tab/>
        <w:t>(6)</w:t>
      </w:r>
      <w:r>
        <w:tab/>
        <w:t>If the defendant files a notice under subrule (3)—</w:t>
      </w:r>
    </w:p>
    <w:p w14:paraId="788D2DEF" w14:textId="77777777" w:rsidR="003D4FF5" w:rsidRDefault="003D4FF5" w:rsidP="003D4FF5">
      <w:pPr>
        <w:pStyle w:val="Apara"/>
      </w:pPr>
      <w:r>
        <w:tab/>
        <w:t>(a)</w:t>
      </w:r>
      <w:r>
        <w:tab/>
        <w:t>the plaintiff must, not later than 28 days after the day the notice is served on the plaintiff—</w:t>
      </w:r>
    </w:p>
    <w:p w14:paraId="5B2821EF" w14:textId="77777777" w:rsidR="003D4FF5" w:rsidRDefault="003D4FF5" w:rsidP="003D4FF5">
      <w:pPr>
        <w:pStyle w:val="Asubpara"/>
      </w:pPr>
      <w:r>
        <w:tab/>
        <w:t>(i)</w:t>
      </w:r>
      <w:r>
        <w:tab/>
        <w:t>file an amended statement of claim pleading the facts in full; and</w:t>
      </w:r>
    </w:p>
    <w:p w14:paraId="2DAAAE42" w14:textId="77777777" w:rsidR="003D4FF5" w:rsidRDefault="003D4FF5" w:rsidP="003D4FF5">
      <w:pPr>
        <w:pStyle w:val="Asubpara"/>
      </w:pPr>
      <w:r>
        <w:tab/>
        <w:t>(ii)</w:t>
      </w:r>
      <w:r>
        <w:tab/>
        <w:t>include in the amended statement of claim a note to the effect that the statement has been amended in response to the notice; and</w:t>
      </w:r>
    </w:p>
    <w:p w14:paraId="07EBEB0D" w14:textId="77777777"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14:paraId="00A519BC" w14:textId="77777777"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14:paraId="58D8E3C3" w14:textId="77777777" w:rsidR="003D4FF5" w:rsidRDefault="003D4FF5" w:rsidP="003D4FF5">
      <w:pPr>
        <w:pStyle w:val="AH5Sec"/>
      </w:pPr>
      <w:bookmarkStart w:id="172" w:name="_Toc185513789"/>
      <w:r w:rsidRPr="00C8328B">
        <w:rPr>
          <w:rStyle w:val="CharSectNo"/>
        </w:rPr>
        <w:t>409</w:t>
      </w:r>
      <w:r>
        <w:tab/>
        <w:t>Pleadings—certain facts need not be pleaded</w:t>
      </w:r>
      <w:bookmarkEnd w:id="172"/>
    </w:p>
    <w:p w14:paraId="13A69EF6" w14:textId="77777777" w:rsidR="003D4FF5" w:rsidRDefault="003D4FF5" w:rsidP="003D4FF5">
      <w:pPr>
        <w:pStyle w:val="Amain"/>
      </w:pPr>
      <w:r>
        <w:tab/>
        <w:t>(1)</w:t>
      </w:r>
      <w:r>
        <w:tab/>
        <w:t>A party need not plead a fact if—</w:t>
      </w:r>
    </w:p>
    <w:p w14:paraId="7A2D109D" w14:textId="77777777" w:rsidR="003D4FF5" w:rsidRDefault="003D4FF5" w:rsidP="003D4FF5">
      <w:pPr>
        <w:pStyle w:val="Apara"/>
      </w:pPr>
      <w:r>
        <w:tab/>
        <w:t>(a)</w:t>
      </w:r>
      <w:r>
        <w:tab/>
        <w:t>the law presumes the fact in the party’s favour; or</w:t>
      </w:r>
    </w:p>
    <w:p w14:paraId="2DE361A7" w14:textId="77777777" w:rsidR="003D4FF5" w:rsidRDefault="003D4FF5" w:rsidP="003D4FF5">
      <w:pPr>
        <w:pStyle w:val="Apara"/>
      </w:pPr>
      <w:r>
        <w:tab/>
        <w:t>(b)</w:t>
      </w:r>
      <w:r>
        <w:tab/>
        <w:t>the burden of proving the fact does not lie with the party.</w:t>
      </w:r>
    </w:p>
    <w:p w14:paraId="07261F02" w14:textId="77777777" w:rsidR="003D4FF5" w:rsidRDefault="003D4FF5" w:rsidP="003D4FF5">
      <w:pPr>
        <w:pStyle w:val="Amain"/>
      </w:pPr>
      <w:r>
        <w:tab/>
        <w:t>(2)</w:t>
      </w:r>
      <w:r>
        <w:tab/>
        <w:t>This rule does not apply if it is necessary to plead the fact—</w:t>
      </w:r>
    </w:p>
    <w:p w14:paraId="5C80534F" w14:textId="77777777" w:rsidR="003D4FF5" w:rsidRDefault="003D4FF5" w:rsidP="003D4FF5">
      <w:pPr>
        <w:pStyle w:val="Apara"/>
      </w:pPr>
      <w:r>
        <w:tab/>
        <w:t>(a)</w:t>
      </w:r>
      <w:r>
        <w:tab/>
        <w:t>to comply with rule 406 (Pleadings—statements in); or</w:t>
      </w:r>
    </w:p>
    <w:p w14:paraId="4208F7C2" w14:textId="77777777" w:rsidR="003D4FF5" w:rsidRDefault="003D4FF5" w:rsidP="003D4FF5">
      <w:pPr>
        <w:pStyle w:val="Apara"/>
      </w:pPr>
      <w:r>
        <w:tab/>
        <w:t>(b)</w:t>
      </w:r>
      <w:r>
        <w:tab/>
        <w:t>to meet a specific denial of the fact pleaded by another party.</w:t>
      </w:r>
    </w:p>
    <w:p w14:paraId="6D15A331" w14:textId="77777777" w:rsidR="003D4FF5" w:rsidRDefault="003D4FF5" w:rsidP="003D4FF5">
      <w:pPr>
        <w:pStyle w:val="AH5Sec"/>
      </w:pPr>
      <w:bookmarkStart w:id="173" w:name="_Toc185513790"/>
      <w:r w:rsidRPr="00C8328B">
        <w:rPr>
          <w:rStyle w:val="CharSectNo"/>
        </w:rPr>
        <w:lastRenderedPageBreak/>
        <w:t>410</w:t>
      </w:r>
      <w:r>
        <w:tab/>
        <w:t>Pleadings—technical objections</w:t>
      </w:r>
      <w:bookmarkEnd w:id="173"/>
    </w:p>
    <w:p w14:paraId="72228735" w14:textId="77777777" w:rsidR="003D4FF5" w:rsidRDefault="003D4FF5" w:rsidP="003D4FF5">
      <w:pPr>
        <w:pStyle w:val="Amainreturn"/>
      </w:pPr>
      <w:r>
        <w:t>A technical objection must not be raised to any pleading on the ground of want of form.</w:t>
      </w:r>
    </w:p>
    <w:p w14:paraId="31A9F890" w14:textId="77777777" w:rsidR="003D4FF5" w:rsidRDefault="003D4FF5" w:rsidP="003D4FF5">
      <w:pPr>
        <w:pStyle w:val="AH5Sec"/>
      </w:pPr>
      <w:bookmarkStart w:id="174" w:name="_Toc185513791"/>
      <w:r w:rsidRPr="00C8328B">
        <w:rPr>
          <w:rStyle w:val="CharSectNo"/>
        </w:rPr>
        <w:t>411</w:t>
      </w:r>
      <w:r>
        <w:tab/>
        <w:t>Pleadings—references to spoken words and documents</w:t>
      </w:r>
      <w:bookmarkEnd w:id="174"/>
    </w:p>
    <w:p w14:paraId="60B16CF9" w14:textId="77777777" w:rsidR="003D4FF5" w:rsidRDefault="003D4FF5" w:rsidP="003D4FF5">
      <w:pPr>
        <w:pStyle w:val="Amain"/>
      </w:pPr>
      <w:r>
        <w:tab/>
        <w:t>(1)</w:t>
      </w:r>
      <w:r>
        <w:tab/>
        <w:t>This rule applies if spoken words or a document is referred to in a pleading.</w:t>
      </w:r>
    </w:p>
    <w:p w14:paraId="11AE834C" w14:textId="77777777" w:rsidR="003D4FF5" w:rsidRDefault="003D4FF5" w:rsidP="003D4FF5">
      <w:pPr>
        <w:pStyle w:val="Amain"/>
      </w:pPr>
      <w:r>
        <w:tab/>
        <w:t>(2)</w:t>
      </w:r>
      <w:r>
        <w:tab/>
        <w:t>The effect of the spoken words or document must be stated as far as material.</w:t>
      </w:r>
    </w:p>
    <w:p w14:paraId="6EEFB13B" w14:textId="77777777" w:rsidR="003D4FF5" w:rsidRDefault="003D4FF5" w:rsidP="003D4FF5">
      <w:pPr>
        <w:pStyle w:val="Amain"/>
      </w:pPr>
      <w:r>
        <w:tab/>
        <w:t>(3)</w:t>
      </w:r>
      <w:r>
        <w:tab/>
        <w:t>The precise terms of the spoken words or document need not be stated, except as far as the terms are themselves material.</w:t>
      </w:r>
    </w:p>
    <w:p w14:paraId="7C6F0E3B" w14:textId="77777777" w:rsidR="003D4FF5" w:rsidRDefault="003D4FF5" w:rsidP="003D4FF5">
      <w:pPr>
        <w:pStyle w:val="AH5Sec"/>
      </w:pPr>
      <w:bookmarkStart w:id="175" w:name="_Toc185513792"/>
      <w:r w:rsidRPr="00C8328B">
        <w:rPr>
          <w:rStyle w:val="CharSectNo"/>
        </w:rPr>
        <w:t>412</w:t>
      </w:r>
      <w:r>
        <w:tab/>
        <w:t>Pleadings—conditions precedent</w:t>
      </w:r>
      <w:bookmarkEnd w:id="175"/>
    </w:p>
    <w:p w14:paraId="4B81D98E" w14:textId="77777777" w:rsidR="003D4FF5" w:rsidRDefault="003D4FF5" w:rsidP="003D4FF5">
      <w:pPr>
        <w:pStyle w:val="Amain"/>
      </w:pPr>
      <w:r>
        <w:tab/>
        <w:t>(1)</w:t>
      </w:r>
      <w:r>
        <w:tab/>
        <w:t>An allegation of the performance or happening of a condition precedent necessary for a party’s case is implied in the party’s pleadings.</w:t>
      </w:r>
    </w:p>
    <w:p w14:paraId="4F83FA9F" w14:textId="77777777" w:rsidR="003D4FF5" w:rsidRDefault="003D4FF5" w:rsidP="003D4FF5">
      <w:pPr>
        <w:pStyle w:val="Amain"/>
      </w:pPr>
      <w:r>
        <w:tab/>
        <w:t>(2)</w:t>
      </w:r>
      <w:r>
        <w:tab/>
        <w:t>A party who denies the performance or happening of a condition precedent must specifically plead the denial.</w:t>
      </w:r>
    </w:p>
    <w:p w14:paraId="15327E08" w14:textId="77777777" w:rsidR="003D4FF5" w:rsidRDefault="003D4FF5" w:rsidP="003D4FF5">
      <w:pPr>
        <w:pStyle w:val="aExamHdgss"/>
      </w:pPr>
      <w:r>
        <w:t>Examples of conditions precedent</w:t>
      </w:r>
    </w:p>
    <w:p w14:paraId="4D19AB55" w14:textId="77777777" w:rsidR="003D4FF5" w:rsidRDefault="003D4FF5" w:rsidP="003D4FF5">
      <w:pPr>
        <w:pStyle w:val="aExamINumss"/>
      </w:pPr>
      <w:r>
        <w:t>1</w:t>
      </w:r>
      <w:r>
        <w:tab/>
        <w:t>a thing has been done</w:t>
      </w:r>
    </w:p>
    <w:p w14:paraId="6CCEBF15" w14:textId="77777777" w:rsidR="003D4FF5" w:rsidRDefault="003D4FF5" w:rsidP="003D4FF5">
      <w:pPr>
        <w:pStyle w:val="aExamINumss"/>
      </w:pPr>
      <w:r>
        <w:t>2</w:t>
      </w:r>
      <w:r>
        <w:tab/>
        <w:t>an event has happened</w:t>
      </w:r>
    </w:p>
    <w:p w14:paraId="52857559" w14:textId="77777777" w:rsidR="003D4FF5" w:rsidRDefault="003D4FF5" w:rsidP="003D4FF5">
      <w:pPr>
        <w:pStyle w:val="aExamINumss"/>
      </w:pPr>
      <w:r>
        <w:t>3</w:t>
      </w:r>
      <w:r>
        <w:tab/>
        <w:t>a state of affairs exists, or has existed at some time or times</w:t>
      </w:r>
    </w:p>
    <w:p w14:paraId="64F3C6C0" w14:textId="77777777" w:rsidR="003D4FF5" w:rsidRDefault="003D4FF5" w:rsidP="00FA6524">
      <w:pPr>
        <w:pStyle w:val="aExamINumss"/>
      </w:pPr>
      <w:r>
        <w:t>4</w:t>
      </w:r>
      <w:r>
        <w:tab/>
        <w:t>the party is ready and willing, or was at all relevant times ready and willing, to perform an obligation</w:t>
      </w:r>
    </w:p>
    <w:p w14:paraId="771C9168" w14:textId="77777777" w:rsidR="003D4FF5" w:rsidRDefault="003D4FF5" w:rsidP="003D4FF5">
      <w:pPr>
        <w:pStyle w:val="AH5Sec"/>
      </w:pPr>
      <w:bookmarkStart w:id="176" w:name="_Toc185513793"/>
      <w:r w:rsidRPr="00C8328B">
        <w:rPr>
          <w:rStyle w:val="CharSectNo"/>
        </w:rPr>
        <w:t>413</w:t>
      </w:r>
      <w:r>
        <w:tab/>
        <w:t>Pleadings—matters arising after start of proceeding</w:t>
      </w:r>
      <w:bookmarkEnd w:id="176"/>
    </w:p>
    <w:p w14:paraId="1E0344EF" w14:textId="77777777" w:rsidR="003D4FF5" w:rsidRDefault="003D4FF5" w:rsidP="003D4FF5">
      <w:pPr>
        <w:pStyle w:val="Amain"/>
      </w:pPr>
      <w:r>
        <w:tab/>
        <w:t>(1)</w:t>
      </w:r>
      <w:r>
        <w:tab/>
        <w:t>A party to a proceeding may plead a matter that arose after the proceeding started.</w:t>
      </w:r>
    </w:p>
    <w:p w14:paraId="7E784BED" w14:textId="77777777" w:rsidR="003D4FF5" w:rsidRDefault="003D4FF5" w:rsidP="003D4FF5">
      <w:pPr>
        <w:pStyle w:val="Amain"/>
      </w:pPr>
      <w:r>
        <w:tab/>
        <w:t>(2)</w:t>
      </w:r>
      <w:r>
        <w:tab/>
        <w:t>A party to a proceeding may plead facts giving rise to a cause of action that arose after the proceeding started only—</w:t>
      </w:r>
    </w:p>
    <w:p w14:paraId="6805D1C2" w14:textId="77777777" w:rsidR="003D4FF5" w:rsidRDefault="003D4FF5" w:rsidP="003D4FF5">
      <w:pPr>
        <w:pStyle w:val="Apara"/>
      </w:pPr>
      <w:r>
        <w:tab/>
        <w:t>(a)</w:t>
      </w:r>
      <w:r>
        <w:tab/>
        <w:t>if it is not unjust to any other party; and</w:t>
      </w:r>
    </w:p>
    <w:p w14:paraId="424CF9AF" w14:textId="77777777" w:rsidR="003D4FF5" w:rsidRDefault="003D4FF5" w:rsidP="003D4FF5">
      <w:pPr>
        <w:pStyle w:val="Apara"/>
        <w:keepNext/>
      </w:pPr>
      <w:r>
        <w:lastRenderedPageBreak/>
        <w:tab/>
        <w:t>(b)</w:t>
      </w:r>
      <w:r>
        <w:tab/>
        <w:t>with the court’s leave.</w:t>
      </w:r>
    </w:p>
    <w:p w14:paraId="1E13923B" w14:textId="77777777"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14:paraId="6FDDAB3C" w14:textId="77777777"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14:paraId="25FF19C7" w14:textId="77777777" w:rsidR="003D4FF5" w:rsidRDefault="003D4FF5" w:rsidP="003D4FF5">
      <w:pPr>
        <w:pStyle w:val="aNote"/>
      </w:pPr>
      <w:r>
        <w:rPr>
          <w:rStyle w:val="charItals"/>
        </w:rPr>
        <w:t>Note 3</w:t>
      </w:r>
      <w:r>
        <w:rPr>
          <w:rStyle w:val="charItals"/>
        </w:rPr>
        <w:tab/>
      </w:r>
      <w:r>
        <w:t>Pt 6.2 (Applications in proceedings) applies to an application for leave.</w:t>
      </w:r>
    </w:p>
    <w:p w14:paraId="468CC03C" w14:textId="77777777" w:rsidR="003D4FF5" w:rsidRDefault="003D4FF5" w:rsidP="003D4FF5">
      <w:pPr>
        <w:pStyle w:val="AH5Sec"/>
      </w:pPr>
      <w:bookmarkStart w:id="177" w:name="_Toc185513794"/>
      <w:r w:rsidRPr="00C8328B">
        <w:rPr>
          <w:rStyle w:val="CharSectNo"/>
        </w:rPr>
        <w:t>414</w:t>
      </w:r>
      <w:r>
        <w:tab/>
        <w:t>Pleadings—inconsistent allegations etc</w:t>
      </w:r>
      <w:bookmarkEnd w:id="177"/>
    </w:p>
    <w:p w14:paraId="20B78894" w14:textId="77777777" w:rsidR="003D4FF5" w:rsidRDefault="003D4FF5" w:rsidP="003D4FF5">
      <w:pPr>
        <w:pStyle w:val="Amain"/>
      </w:pPr>
      <w:r>
        <w:tab/>
        <w:t>(1)</w:t>
      </w:r>
      <w:r>
        <w:tab/>
        <w:t>A party may make inconsistent allegations or claims in a pleading only if they are pleaded as alternatives.</w:t>
      </w:r>
    </w:p>
    <w:p w14:paraId="3BFF53E2" w14:textId="77777777"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14:paraId="4D41CED5" w14:textId="77777777" w:rsidR="003D4FF5" w:rsidRDefault="003D4FF5" w:rsidP="003D4FF5">
      <w:pPr>
        <w:pStyle w:val="aNote"/>
      </w:pPr>
      <w:r>
        <w:rPr>
          <w:rStyle w:val="charItals"/>
        </w:rPr>
        <w:t>Note</w:t>
      </w:r>
      <w:r>
        <w:rPr>
          <w:rStyle w:val="charItals"/>
        </w:rPr>
        <w:tab/>
      </w:r>
      <w:r>
        <w:t>Pt 2.7 (Amendment) deals with amendment of pleadings.</w:t>
      </w:r>
    </w:p>
    <w:p w14:paraId="70A89106" w14:textId="77777777" w:rsidR="003D4FF5" w:rsidRDefault="003D4FF5" w:rsidP="003D4FF5">
      <w:pPr>
        <w:pStyle w:val="AH5Sec"/>
      </w:pPr>
      <w:bookmarkStart w:id="178" w:name="_Toc185513795"/>
      <w:r w:rsidRPr="00C8328B">
        <w:rPr>
          <w:rStyle w:val="CharSectNo"/>
        </w:rPr>
        <w:t>415</w:t>
      </w:r>
      <w:r>
        <w:tab/>
        <w:t>Pleadings—notice pleaded as a fact</w:t>
      </w:r>
      <w:bookmarkEnd w:id="178"/>
    </w:p>
    <w:p w14:paraId="0DD0969B" w14:textId="77777777" w:rsidR="003D4FF5" w:rsidRDefault="003D4FF5" w:rsidP="003D4FF5">
      <w:pPr>
        <w:pStyle w:val="Amain"/>
        <w:keepNext/>
      </w:pPr>
      <w:r>
        <w:tab/>
        <w:t>(1)</w:t>
      </w:r>
      <w:r>
        <w:tab/>
        <w:t>This rule applies if—</w:t>
      </w:r>
    </w:p>
    <w:p w14:paraId="162E82DD" w14:textId="77777777" w:rsidR="003D4FF5" w:rsidRDefault="003D4FF5" w:rsidP="003D4FF5">
      <w:pPr>
        <w:pStyle w:val="Apara"/>
      </w:pPr>
      <w:r>
        <w:tab/>
        <w:t>(a)</w:t>
      </w:r>
      <w:r>
        <w:tab/>
        <w:t>notice to someone of something is to be stated in a pleading; and</w:t>
      </w:r>
    </w:p>
    <w:p w14:paraId="115F27DD" w14:textId="77777777" w:rsidR="003D4FF5" w:rsidRDefault="003D4FF5" w:rsidP="003D4FF5">
      <w:pPr>
        <w:pStyle w:val="Apara"/>
      </w:pPr>
      <w:r>
        <w:tab/>
        <w:t>(b)</w:t>
      </w:r>
      <w:r>
        <w:tab/>
        <w:t>the form or the precise terms of the notice, or the circumstances from which the notice is to be inferred, are not material.</w:t>
      </w:r>
    </w:p>
    <w:p w14:paraId="0A88F905" w14:textId="77777777" w:rsidR="003D4FF5" w:rsidRDefault="003D4FF5" w:rsidP="003D4FF5">
      <w:pPr>
        <w:pStyle w:val="Amain"/>
      </w:pPr>
      <w:r>
        <w:tab/>
        <w:t>(2)</w:t>
      </w:r>
      <w:r>
        <w:tab/>
        <w:t>The pleading may state the notice as a fact.</w:t>
      </w:r>
    </w:p>
    <w:p w14:paraId="43C5DCFA" w14:textId="77777777" w:rsidR="003D4FF5" w:rsidRDefault="003D4FF5" w:rsidP="003D4FF5">
      <w:pPr>
        <w:pStyle w:val="AH5Sec"/>
      </w:pPr>
      <w:bookmarkStart w:id="179" w:name="_Toc185513796"/>
      <w:r w:rsidRPr="00C8328B">
        <w:rPr>
          <w:rStyle w:val="CharSectNo"/>
        </w:rPr>
        <w:t>416</w:t>
      </w:r>
      <w:r>
        <w:tab/>
        <w:t>Pleadings—implied contracts or relations</w:t>
      </w:r>
      <w:bookmarkEnd w:id="179"/>
    </w:p>
    <w:p w14:paraId="18BB4A73" w14:textId="77777777" w:rsidR="003D4FF5" w:rsidRDefault="003D4FF5" w:rsidP="003D4FF5">
      <w:pPr>
        <w:pStyle w:val="Amain"/>
      </w:pPr>
      <w:r>
        <w:tab/>
        <w:t>(1)</w:t>
      </w:r>
      <w:r>
        <w:tab/>
        <w:t>This rule applies if a contract or any relation between people is to be implied from letters or conversations or from a number of circumstances.</w:t>
      </w:r>
    </w:p>
    <w:p w14:paraId="6423D945" w14:textId="77777777" w:rsidR="003D4FF5" w:rsidRDefault="003D4FF5" w:rsidP="003D4FF5">
      <w:pPr>
        <w:pStyle w:val="Amain"/>
      </w:pPr>
      <w:r>
        <w:tab/>
        <w:t>(2)</w:t>
      </w:r>
      <w:r>
        <w:tab/>
        <w:t>The pleading may state the contract or relation as a fact.</w:t>
      </w:r>
    </w:p>
    <w:p w14:paraId="4E530E72" w14:textId="77777777" w:rsidR="003D4FF5" w:rsidRDefault="003D4FF5" w:rsidP="003D4FF5">
      <w:pPr>
        <w:pStyle w:val="Amain"/>
      </w:pPr>
      <w:r>
        <w:tab/>
        <w:t>(3)</w:t>
      </w:r>
      <w:r>
        <w:tab/>
        <w:t>The pleading may refer to the letters, conversations or circumstances as briefly as possible without setting out all or part of them.</w:t>
      </w:r>
    </w:p>
    <w:p w14:paraId="635E1835" w14:textId="77777777" w:rsidR="003D4FF5" w:rsidRDefault="003D4FF5" w:rsidP="003D4FF5">
      <w:pPr>
        <w:pStyle w:val="AH5Sec"/>
      </w:pPr>
      <w:bookmarkStart w:id="180" w:name="_Toc185513797"/>
      <w:r w:rsidRPr="00C8328B">
        <w:rPr>
          <w:rStyle w:val="CharSectNo"/>
        </w:rPr>
        <w:lastRenderedPageBreak/>
        <w:t>417</w:t>
      </w:r>
      <w:r>
        <w:tab/>
        <w:t>Pleadings—kind of damages etc</w:t>
      </w:r>
      <w:bookmarkEnd w:id="180"/>
    </w:p>
    <w:p w14:paraId="2BD39F91" w14:textId="77777777" w:rsidR="003D4FF5" w:rsidRDefault="003D4FF5" w:rsidP="003D4FF5">
      <w:pPr>
        <w:pStyle w:val="Amain"/>
      </w:pPr>
      <w:r>
        <w:tab/>
        <w:t>(1)</w:t>
      </w:r>
      <w:r>
        <w:tab/>
        <w:t>If damages are claimed in a pleading, the pleading must state—</w:t>
      </w:r>
    </w:p>
    <w:p w14:paraId="709D503E" w14:textId="77777777" w:rsidR="003D4FF5" w:rsidRDefault="003D4FF5" w:rsidP="003D4FF5">
      <w:pPr>
        <w:pStyle w:val="Apara"/>
      </w:pPr>
      <w:r>
        <w:tab/>
        <w:t>(a)</w:t>
      </w:r>
      <w:r>
        <w:tab/>
        <w:t>each kind of damages claimed; and</w:t>
      </w:r>
    </w:p>
    <w:p w14:paraId="5E1C612B" w14:textId="77777777" w:rsidR="003D4FF5" w:rsidRDefault="003D4FF5" w:rsidP="003D4FF5">
      <w:pPr>
        <w:pStyle w:val="Apara"/>
      </w:pPr>
      <w:r>
        <w:tab/>
        <w:t>(b)</w:t>
      </w:r>
      <w:r>
        <w:tab/>
        <w:t>for any damages that are not general damages—the amount of the damages claimed that is known to the party.</w:t>
      </w:r>
    </w:p>
    <w:p w14:paraId="01C89833" w14:textId="77777777"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14:paraId="07838D62" w14:textId="77777777" w:rsidR="003D4FF5" w:rsidRDefault="003D4FF5" w:rsidP="003D4FF5">
      <w:pPr>
        <w:pStyle w:val="Apara"/>
      </w:pPr>
      <w:r>
        <w:tab/>
        <w:t>(a)</w:t>
      </w:r>
      <w:r>
        <w:tab/>
        <w:t>the nature of the loss or damage suffered;</w:t>
      </w:r>
    </w:p>
    <w:p w14:paraId="5CD3AC90" w14:textId="77777777" w:rsidR="003D4FF5" w:rsidRDefault="003D4FF5" w:rsidP="003D4FF5">
      <w:pPr>
        <w:pStyle w:val="Apara"/>
      </w:pPr>
      <w:r>
        <w:tab/>
        <w:t>(b)</w:t>
      </w:r>
      <w:r>
        <w:tab/>
        <w:t>the exact circumstances in which the loss or damage was suffered.</w:t>
      </w:r>
    </w:p>
    <w:p w14:paraId="3F8FF77B" w14:textId="77777777" w:rsidR="003D4FF5" w:rsidRDefault="003D4FF5" w:rsidP="003D4FF5">
      <w:pPr>
        <w:pStyle w:val="Amain"/>
      </w:pPr>
      <w:r>
        <w:tab/>
        <w:t>(3)</w:t>
      </w:r>
      <w:r>
        <w:tab/>
        <w:t>If practicable, the party must also plead each kind of general damages and state the nature of the damages claimed for each kind.</w:t>
      </w:r>
    </w:p>
    <w:p w14:paraId="1115F8D0" w14:textId="77777777" w:rsidR="003D4FF5" w:rsidRDefault="003D4FF5" w:rsidP="003D4FF5">
      <w:pPr>
        <w:pStyle w:val="AH5Sec"/>
      </w:pPr>
      <w:bookmarkStart w:id="181" w:name="_Toc185513798"/>
      <w:r w:rsidRPr="00C8328B">
        <w:rPr>
          <w:rStyle w:val="CharSectNo"/>
        </w:rPr>
        <w:t>418</w:t>
      </w:r>
      <w:r>
        <w:tab/>
        <w:t>Pleadings—amount of unliquidated damages</w:t>
      </w:r>
      <w:bookmarkEnd w:id="181"/>
    </w:p>
    <w:p w14:paraId="12F6EFD9" w14:textId="77777777" w:rsidR="003D4FF5" w:rsidRDefault="003D4FF5" w:rsidP="003D4FF5">
      <w:pPr>
        <w:pStyle w:val="Amain"/>
      </w:pPr>
      <w:r>
        <w:tab/>
        <w:t>(1)</w:t>
      </w:r>
      <w:r>
        <w:tab/>
        <w:t>A pleading must not claim an amount for unliquidated damages.</w:t>
      </w:r>
    </w:p>
    <w:p w14:paraId="265C18B9" w14:textId="77777777" w:rsidR="003D4FF5" w:rsidRDefault="003D4FF5" w:rsidP="00FA6524">
      <w:pPr>
        <w:pStyle w:val="Amain"/>
        <w:keepNext/>
      </w:pPr>
      <w:r>
        <w:tab/>
        <w:t>(2)</w:t>
      </w:r>
      <w:r>
        <w:tab/>
        <w:t>However, a pleading in a proceeding in the Magistrates Court may claim an amount for unliquidated damages if—</w:t>
      </w:r>
    </w:p>
    <w:p w14:paraId="362D3039" w14:textId="77777777"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14:paraId="7E9FCB54" w14:textId="77777777" w:rsidR="003D4FF5" w:rsidRDefault="003D4FF5" w:rsidP="003D4FF5">
      <w:pPr>
        <w:pStyle w:val="Asubpara"/>
      </w:pPr>
      <w:r>
        <w:tab/>
        <w:t>(i)</w:t>
      </w:r>
      <w:r>
        <w:tab/>
        <w:t>the cost of repairing a motor vehicle;</w:t>
      </w:r>
    </w:p>
    <w:p w14:paraId="53484070" w14:textId="77777777" w:rsidR="003D4FF5" w:rsidRDefault="003D4FF5" w:rsidP="003D4FF5">
      <w:pPr>
        <w:pStyle w:val="Asubpara"/>
      </w:pPr>
      <w:r>
        <w:tab/>
        <w:t>(ii)</w:t>
      </w:r>
      <w:r>
        <w:tab/>
        <w:t>a motor vehicle’s value, less any salvage value;</w:t>
      </w:r>
    </w:p>
    <w:p w14:paraId="15DCEA52" w14:textId="77777777" w:rsidR="003D4FF5" w:rsidRDefault="003D4FF5" w:rsidP="003D4FF5">
      <w:pPr>
        <w:pStyle w:val="Asubpara"/>
      </w:pPr>
      <w:r>
        <w:tab/>
        <w:t>(iii)</w:t>
      </w:r>
      <w:r>
        <w:tab/>
        <w:t>the cost of towing a motor vehicle; or</w:t>
      </w:r>
    </w:p>
    <w:p w14:paraId="57161944" w14:textId="77777777" w:rsidR="003D4FF5" w:rsidRDefault="003D4FF5" w:rsidP="00B9612D">
      <w:pPr>
        <w:pStyle w:val="Apara"/>
        <w:keepNext/>
        <w:keepLines/>
      </w:pPr>
      <w:r>
        <w:lastRenderedPageBreak/>
        <w:tab/>
        <w:t>(b)</w:t>
      </w:r>
      <w:r>
        <w:tab/>
        <w:t>the claim is for the recovery of 1 or both of the following if it is or they were a consequence of damage alleged to have happened because of the defendant’s negligence in driving, riding or controlling a motor vehicle:</w:t>
      </w:r>
    </w:p>
    <w:p w14:paraId="05D41881" w14:textId="77777777" w:rsidR="003D4FF5" w:rsidRDefault="003D4FF5" w:rsidP="003D4FF5">
      <w:pPr>
        <w:pStyle w:val="Asubpara"/>
      </w:pPr>
      <w:r>
        <w:tab/>
        <w:t>(i)</w:t>
      </w:r>
      <w:r>
        <w:tab/>
        <w:t>the cost of repairing property;</w:t>
      </w:r>
    </w:p>
    <w:p w14:paraId="34BCB553" w14:textId="77777777" w:rsidR="003D4FF5" w:rsidRDefault="003D4FF5" w:rsidP="003D4FF5">
      <w:pPr>
        <w:pStyle w:val="Asubpara"/>
      </w:pPr>
      <w:r>
        <w:tab/>
        <w:t>(ii)</w:t>
      </w:r>
      <w:r>
        <w:tab/>
        <w:t>property’s value, less any salvage value.</w:t>
      </w:r>
    </w:p>
    <w:p w14:paraId="46850E4A" w14:textId="77777777" w:rsidR="003D4FF5" w:rsidRDefault="003D4FF5" w:rsidP="003D4FF5">
      <w:pPr>
        <w:pStyle w:val="Amain"/>
        <w:keepNext/>
      </w:pPr>
      <w:r>
        <w:tab/>
        <w:t>(3)</w:t>
      </w:r>
      <w:r>
        <w:tab/>
        <w:t>In this rule:</w:t>
      </w:r>
    </w:p>
    <w:p w14:paraId="7981FE40" w14:textId="77777777" w:rsidR="003D4FF5" w:rsidRDefault="003D4FF5" w:rsidP="003D4FF5">
      <w:pPr>
        <w:pStyle w:val="aDef"/>
      </w:pPr>
      <w:r>
        <w:rPr>
          <w:rStyle w:val="charBoldItals"/>
        </w:rPr>
        <w:t xml:space="preserve">property </w:t>
      </w:r>
      <w:r>
        <w:t>does not include a motor vehicle.</w:t>
      </w:r>
    </w:p>
    <w:p w14:paraId="0B03E77F" w14:textId="77777777" w:rsidR="003D4FF5" w:rsidRDefault="003D4FF5" w:rsidP="003D4FF5">
      <w:pPr>
        <w:pStyle w:val="AH5Sec"/>
      </w:pPr>
      <w:bookmarkStart w:id="182" w:name="_Toc185513799"/>
      <w:r w:rsidRPr="00C8328B">
        <w:rPr>
          <w:rStyle w:val="CharSectNo"/>
        </w:rPr>
        <w:t>419</w:t>
      </w:r>
      <w:r>
        <w:tab/>
        <w:t>Pleadings—other relief</w:t>
      </w:r>
      <w:bookmarkEnd w:id="182"/>
    </w:p>
    <w:p w14:paraId="2FD4AB8F" w14:textId="77777777" w:rsidR="003D4FF5" w:rsidRDefault="003D4FF5" w:rsidP="003D4FF5">
      <w:pPr>
        <w:pStyle w:val="Amainreturn"/>
      </w:pPr>
      <w:r>
        <w:t>The court may grant relief other than that stated in the pleadings whether or not other relief is expressly claimed in the pleadings.</w:t>
      </w:r>
    </w:p>
    <w:p w14:paraId="0CC65E2D" w14:textId="77777777" w:rsidR="003D4FF5" w:rsidRPr="00C8328B" w:rsidRDefault="003D4FF5" w:rsidP="003D4FF5">
      <w:pPr>
        <w:pStyle w:val="AH3Div"/>
      </w:pPr>
      <w:bookmarkStart w:id="183" w:name="_Toc185513800"/>
      <w:r w:rsidRPr="00C8328B">
        <w:rPr>
          <w:rStyle w:val="CharDivNo"/>
        </w:rPr>
        <w:t>Division 2.6.3</w:t>
      </w:r>
      <w:r>
        <w:tab/>
      </w:r>
      <w:r w:rsidRPr="00C8328B">
        <w:rPr>
          <w:rStyle w:val="CharDivText"/>
        </w:rPr>
        <w:t>Pleadings—general</w:t>
      </w:r>
      <w:bookmarkEnd w:id="183"/>
    </w:p>
    <w:p w14:paraId="311793EE" w14:textId="77777777" w:rsidR="003D4FF5" w:rsidRDefault="003D4FF5" w:rsidP="003D4FF5">
      <w:pPr>
        <w:pStyle w:val="AH5Sec"/>
      </w:pPr>
      <w:bookmarkStart w:id="184" w:name="_Toc185513801"/>
      <w:r w:rsidRPr="00C8328B">
        <w:rPr>
          <w:rStyle w:val="CharSectNo"/>
        </w:rPr>
        <w:t>425</w:t>
      </w:r>
      <w:r>
        <w:tab/>
        <w:t>Pleadings—striking out</w:t>
      </w:r>
      <w:bookmarkEnd w:id="184"/>
    </w:p>
    <w:p w14:paraId="7092D20C" w14:textId="77777777" w:rsidR="003D4FF5" w:rsidRDefault="003D4FF5" w:rsidP="003D4FF5">
      <w:pPr>
        <w:pStyle w:val="Amain"/>
      </w:pPr>
      <w:r>
        <w:tab/>
        <w:t>(1)</w:t>
      </w:r>
      <w:r>
        <w:tab/>
        <w:t>The court may, at any stage of a proceeding, order that a pleading or part of a pleading be struck out if the pleading—</w:t>
      </w:r>
    </w:p>
    <w:p w14:paraId="4B91063A" w14:textId="77777777" w:rsidR="003D4FF5" w:rsidRDefault="003D4FF5" w:rsidP="003D4FF5">
      <w:pPr>
        <w:pStyle w:val="Apara"/>
      </w:pPr>
      <w:r>
        <w:tab/>
        <w:t>(a)</w:t>
      </w:r>
      <w:r>
        <w:tab/>
        <w:t>discloses no reasonable cause of action or defence appropriate to the nature of the pleading; or</w:t>
      </w:r>
    </w:p>
    <w:p w14:paraId="15A8C041" w14:textId="77777777" w:rsidR="003D4FF5" w:rsidRDefault="003D4FF5" w:rsidP="003D4FF5">
      <w:pPr>
        <w:pStyle w:val="Apara"/>
      </w:pPr>
      <w:r>
        <w:tab/>
        <w:t>(b)</w:t>
      </w:r>
      <w:r>
        <w:tab/>
        <w:t>may tend to prejudice, embarrass or delay the fair trial of the proceeding; or</w:t>
      </w:r>
    </w:p>
    <w:p w14:paraId="05E447A5" w14:textId="77777777" w:rsidR="003D4FF5" w:rsidRDefault="003D4FF5" w:rsidP="003D4FF5">
      <w:pPr>
        <w:pStyle w:val="Apara"/>
      </w:pPr>
      <w:r>
        <w:tab/>
        <w:t>(c)</w:t>
      </w:r>
      <w:r>
        <w:tab/>
        <w:t>is frivolous, scandalous, unnecessary or vexatious; or</w:t>
      </w:r>
    </w:p>
    <w:p w14:paraId="219D4A1A" w14:textId="77777777" w:rsidR="003D4FF5" w:rsidRDefault="003D4FF5" w:rsidP="003D4FF5">
      <w:pPr>
        <w:pStyle w:val="Apara"/>
        <w:keepNext/>
      </w:pPr>
      <w:r>
        <w:tab/>
        <w:t>(d)</w:t>
      </w:r>
      <w:r>
        <w:tab/>
        <w:t>is otherwise an abuse of the process of the court.</w:t>
      </w:r>
    </w:p>
    <w:p w14:paraId="2A309406" w14:textId="77777777"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24AB7616" w14:textId="77777777" w:rsidR="003D4FF5" w:rsidRDefault="003D4FF5" w:rsidP="003D4FF5">
      <w:pPr>
        <w:pStyle w:val="aNote"/>
        <w:keepNext/>
      </w:pPr>
      <w:r>
        <w:rPr>
          <w:rStyle w:val="charItals"/>
        </w:rPr>
        <w:lastRenderedPageBreak/>
        <w:t>Note 2</w:t>
      </w:r>
      <w:r>
        <w:rPr>
          <w:rStyle w:val="charItals"/>
        </w:rPr>
        <w:tab/>
      </w:r>
      <w:r>
        <w:t>Pt 6.2 (Applications in proceedings) applies to an application for an order under this rule.</w:t>
      </w:r>
    </w:p>
    <w:p w14:paraId="60DDDD8B" w14:textId="77777777"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14:paraId="3A88F623" w14:textId="77777777" w:rsidR="003D4FF5" w:rsidRDefault="003D4FF5" w:rsidP="003D4FF5">
      <w:pPr>
        <w:pStyle w:val="Amain"/>
      </w:pPr>
      <w:r>
        <w:tab/>
        <w:t>(2)</w:t>
      </w:r>
      <w:r>
        <w:tab/>
        <w:t>The court may receive evidence on the hearing of an application for an order under this rule.</w:t>
      </w:r>
    </w:p>
    <w:p w14:paraId="335771FC" w14:textId="77777777" w:rsidR="003D4FF5" w:rsidRDefault="003D4FF5" w:rsidP="003D4FF5">
      <w:pPr>
        <w:pStyle w:val="Amain"/>
        <w:keepNext/>
      </w:pPr>
      <w:r>
        <w:tab/>
        <w:t>(3)</w:t>
      </w:r>
      <w:r>
        <w:tab/>
        <w:t>If the court makes an order under this rule, it may also make any other order it considers appropriate, including, for example—</w:t>
      </w:r>
    </w:p>
    <w:p w14:paraId="3CBC9F26" w14:textId="77777777" w:rsidR="003D4FF5" w:rsidRDefault="003D4FF5" w:rsidP="003D4FF5">
      <w:pPr>
        <w:pStyle w:val="Apara"/>
        <w:keepNext/>
      </w:pPr>
      <w:r>
        <w:tab/>
        <w:t>(a)</w:t>
      </w:r>
      <w:r>
        <w:tab/>
        <w:t>if the court makes an order under subrule (1) (a)—an order staying or dismissing the proceeding or entering judgment; and</w:t>
      </w:r>
    </w:p>
    <w:p w14:paraId="2B323D0A" w14:textId="77777777" w:rsidR="003D4FF5" w:rsidRDefault="003D4FF5" w:rsidP="003D4FF5">
      <w:pPr>
        <w:pStyle w:val="Apara"/>
        <w:keepNext/>
      </w:pPr>
      <w:r>
        <w:tab/>
        <w:t>(b)</w:t>
      </w:r>
      <w:r>
        <w:tab/>
        <w:t>an order about the future conduct of the proceeding.</w:t>
      </w:r>
    </w:p>
    <w:p w14:paraId="415C6001" w14:textId="77777777" w:rsidR="003D4FF5" w:rsidRDefault="003D4FF5" w:rsidP="003D4FF5">
      <w:pPr>
        <w:pStyle w:val="AH5Sec"/>
      </w:pPr>
      <w:bookmarkStart w:id="185" w:name="_Toc185513802"/>
      <w:r w:rsidRPr="00C8328B">
        <w:rPr>
          <w:rStyle w:val="CharSectNo"/>
        </w:rPr>
        <w:t>426</w:t>
      </w:r>
      <w:r>
        <w:tab/>
        <w:t>Pleadings—trial without</w:t>
      </w:r>
      <w:bookmarkEnd w:id="185"/>
    </w:p>
    <w:p w14:paraId="0FDBE91F" w14:textId="77777777" w:rsidR="003D4FF5" w:rsidRDefault="003D4FF5" w:rsidP="003D4FF5">
      <w:pPr>
        <w:pStyle w:val="Amain"/>
      </w:pPr>
      <w:r>
        <w:tab/>
        <w:t>(1)</w:t>
      </w:r>
      <w:r>
        <w:tab/>
        <w:t>This rule applies if, in a proceeding, the court considers that—</w:t>
      </w:r>
    </w:p>
    <w:p w14:paraId="028B0D2D" w14:textId="77777777" w:rsidR="003D4FF5" w:rsidRDefault="003D4FF5" w:rsidP="003D4FF5">
      <w:pPr>
        <w:pStyle w:val="Apara"/>
      </w:pPr>
      <w:r>
        <w:tab/>
        <w:t>(a)</w:t>
      </w:r>
      <w:r>
        <w:tab/>
        <w:t>the issues between the parties can be defined without pleadings or further pleadings; or</w:t>
      </w:r>
    </w:p>
    <w:p w14:paraId="2B8532B1" w14:textId="77777777" w:rsidR="003D4FF5" w:rsidRDefault="003D4FF5" w:rsidP="003D4FF5">
      <w:pPr>
        <w:pStyle w:val="Apara"/>
      </w:pPr>
      <w:r>
        <w:tab/>
        <w:t>(b)</w:t>
      </w:r>
      <w:r>
        <w:tab/>
        <w:t>for any other reason the proceeding may properly be tried without pleadings or further pleadings.</w:t>
      </w:r>
    </w:p>
    <w:p w14:paraId="2FF684C0" w14:textId="77777777" w:rsidR="003D4FF5" w:rsidRDefault="003D4FF5" w:rsidP="003D4FF5">
      <w:pPr>
        <w:pStyle w:val="Amain"/>
        <w:keepNext/>
      </w:pPr>
      <w:r>
        <w:tab/>
        <w:t>(2)</w:t>
      </w:r>
      <w:r>
        <w:tab/>
        <w:t>The court may order that the proceeding be tried without pleadings or further pleadings.</w:t>
      </w:r>
    </w:p>
    <w:p w14:paraId="1F4F791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6E4474F" w14:textId="77777777"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14:paraId="3E907C23" w14:textId="77777777" w:rsidR="003D4FF5" w:rsidRPr="00C8328B" w:rsidRDefault="003D4FF5" w:rsidP="003D4FF5">
      <w:pPr>
        <w:pStyle w:val="AH3Div"/>
      </w:pPr>
      <w:bookmarkStart w:id="186" w:name="_Toc185513803"/>
      <w:r w:rsidRPr="00C8328B">
        <w:rPr>
          <w:rStyle w:val="CharDivNo"/>
        </w:rPr>
        <w:lastRenderedPageBreak/>
        <w:t>Division 2.6.4</w:t>
      </w:r>
      <w:r>
        <w:tab/>
      </w:r>
      <w:r w:rsidRPr="00C8328B">
        <w:rPr>
          <w:rStyle w:val="CharDivText"/>
        </w:rPr>
        <w:t>Particulars</w:t>
      </w:r>
      <w:bookmarkEnd w:id="186"/>
    </w:p>
    <w:p w14:paraId="47F72DC5" w14:textId="77777777" w:rsidR="003D4FF5" w:rsidRDefault="003D4FF5" w:rsidP="003D4FF5">
      <w:pPr>
        <w:pStyle w:val="AH5Sec"/>
      </w:pPr>
      <w:bookmarkStart w:id="187" w:name="_Toc185513804"/>
      <w:r w:rsidRPr="00C8328B">
        <w:rPr>
          <w:rStyle w:val="CharSectNo"/>
        </w:rPr>
        <w:t>430</w:t>
      </w:r>
      <w:r>
        <w:tab/>
        <w:t>Pleadings—all necessary particulars must be included</w:t>
      </w:r>
      <w:bookmarkEnd w:id="187"/>
    </w:p>
    <w:p w14:paraId="70A3BD59" w14:textId="77777777" w:rsidR="003D4FF5" w:rsidRDefault="003D4FF5" w:rsidP="003D4FF5">
      <w:pPr>
        <w:pStyle w:val="Amain"/>
      </w:pPr>
      <w:r>
        <w:tab/>
        <w:t>(1)</w:t>
      </w:r>
      <w:r>
        <w:tab/>
        <w:t>A party must include in a pleading particulars necessary to—</w:t>
      </w:r>
    </w:p>
    <w:p w14:paraId="54A3F6EB" w14:textId="77777777" w:rsidR="003D4FF5" w:rsidRDefault="003D4FF5" w:rsidP="003D4FF5">
      <w:pPr>
        <w:pStyle w:val="Apara"/>
      </w:pPr>
      <w:r>
        <w:tab/>
        <w:t>(a)</w:t>
      </w:r>
      <w:r>
        <w:tab/>
        <w:t>define the issues for, and prevent surprise at, the trial; and</w:t>
      </w:r>
    </w:p>
    <w:p w14:paraId="31446B51" w14:textId="77777777" w:rsidR="003D4FF5" w:rsidRDefault="003D4FF5" w:rsidP="003D4FF5">
      <w:pPr>
        <w:pStyle w:val="Apara"/>
      </w:pPr>
      <w:r>
        <w:tab/>
        <w:t>(b)</w:t>
      </w:r>
      <w:r>
        <w:tab/>
        <w:t>enable the opposite party to identify the case that the pleading requires the opposite party to meet; and</w:t>
      </w:r>
    </w:p>
    <w:p w14:paraId="28D5C304" w14:textId="77777777" w:rsidR="003D4FF5" w:rsidRDefault="003D4FF5" w:rsidP="003D4FF5">
      <w:pPr>
        <w:pStyle w:val="Apara"/>
      </w:pPr>
      <w:r>
        <w:tab/>
        <w:t>(c)</w:t>
      </w:r>
      <w:r>
        <w:tab/>
        <w:t>support a matter specifically pleaded under rule 407 (Pleadings—matters to be specifically pleaded).</w:t>
      </w:r>
    </w:p>
    <w:p w14:paraId="2BA739F6" w14:textId="77777777"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14:paraId="49674D1C" w14:textId="77777777" w:rsidR="003D4FF5" w:rsidRDefault="003D4FF5" w:rsidP="003D4FF5">
      <w:pPr>
        <w:pStyle w:val="AH5Sec"/>
      </w:pPr>
      <w:bookmarkStart w:id="188" w:name="_Toc185513805"/>
      <w:r w:rsidRPr="00C8328B">
        <w:rPr>
          <w:rStyle w:val="CharSectNo"/>
        </w:rPr>
        <w:t>431</w:t>
      </w:r>
      <w:r>
        <w:tab/>
        <w:t>Pleadings—use of ‘Scott schedule’</w:t>
      </w:r>
      <w:bookmarkEnd w:id="188"/>
    </w:p>
    <w:p w14:paraId="1B061499" w14:textId="77777777"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14:paraId="5350FADC" w14:textId="77777777" w:rsidR="003D4FF5" w:rsidRDefault="003D4FF5" w:rsidP="003D4FF5">
      <w:pPr>
        <w:pStyle w:val="Amain"/>
        <w:keepNext/>
      </w:pPr>
      <w:r>
        <w:tab/>
        <w:t>(2)</w:t>
      </w:r>
      <w:r>
        <w:tab/>
        <w:t>The party making the claim—</w:t>
      </w:r>
    </w:p>
    <w:p w14:paraId="64B4BC7C" w14:textId="77777777" w:rsidR="003D4FF5" w:rsidRDefault="003D4FF5" w:rsidP="003D4FF5">
      <w:pPr>
        <w:pStyle w:val="Apara"/>
        <w:keepNext/>
      </w:pPr>
      <w:r>
        <w:tab/>
        <w:t>(a)</w:t>
      </w:r>
      <w:r>
        <w:tab/>
        <w:t>may prepare and file a ‘Scott schedule’; and</w:t>
      </w:r>
    </w:p>
    <w:p w14:paraId="04AFD6D7" w14:textId="77777777" w:rsidR="003D4FF5" w:rsidRDefault="003D4FF5" w:rsidP="003D4FF5">
      <w:pPr>
        <w:pStyle w:val="Apara"/>
        <w:keepNext/>
      </w:pPr>
      <w:r>
        <w:tab/>
        <w:t>(b)</w:t>
      </w:r>
      <w:r>
        <w:tab/>
        <w:t>if the court orders—must prepare and file a ‘Scott schedule’.</w:t>
      </w:r>
    </w:p>
    <w:p w14:paraId="68D197E5" w14:textId="0F7534DE" w:rsidR="003D4FF5" w:rsidRDefault="003D4FF5" w:rsidP="003D4FF5">
      <w:pPr>
        <w:pStyle w:val="aNote"/>
        <w:keepNext/>
      </w:pPr>
      <w:r>
        <w:rPr>
          <w:rStyle w:val="charItals"/>
        </w:rPr>
        <w:t>Note 1</w:t>
      </w:r>
      <w:r>
        <w:rPr>
          <w:rStyle w:val="charItals"/>
        </w:rPr>
        <w:tab/>
      </w:r>
      <w:r>
        <w:t xml:space="preserve">See approved form 2.14 (Scott schedule) </w:t>
      </w:r>
      <w:hyperlink r:id="rId85" w:history="1">
        <w:r w:rsidRPr="006D0C6C">
          <w:rPr>
            <w:rStyle w:val="charCitHyperlinkAbbrev"/>
          </w:rPr>
          <w:t>AF2006-259</w:t>
        </w:r>
      </w:hyperlink>
      <w:r>
        <w:t>.</w:t>
      </w:r>
    </w:p>
    <w:p w14:paraId="4BBD2952" w14:textId="77777777" w:rsidR="003D4FF5" w:rsidRDefault="003D4FF5" w:rsidP="003D4FF5">
      <w:pPr>
        <w:pStyle w:val="aNote"/>
      </w:pPr>
      <w:r>
        <w:rPr>
          <w:rStyle w:val="charItals"/>
        </w:rPr>
        <w:t>Note 2</w:t>
      </w:r>
      <w:r>
        <w:rPr>
          <w:rStyle w:val="charItals"/>
        </w:rPr>
        <w:tab/>
      </w:r>
      <w:r>
        <w:t>Pt 6.2 (Applications in proceedings) applies to an application for an order under this rule.</w:t>
      </w:r>
    </w:p>
    <w:p w14:paraId="32E715AB" w14:textId="77777777" w:rsidR="003D4FF5" w:rsidRDefault="003D4FF5" w:rsidP="003D4FF5">
      <w:pPr>
        <w:pStyle w:val="Amain"/>
        <w:keepNext/>
      </w:pPr>
      <w:r>
        <w:lastRenderedPageBreak/>
        <w:tab/>
        <w:t>(3)</w:t>
      </w:r>
      <w:r>
        <w:tab/>
        <w:t>A party on whom a Scott schedule is served must complete and file the schedule.</w:t>
      </w:r>
    </w:p>
    <w:p w14:paraId="663703A8" w14:textId="77777777" w:rsidR="003D4FF5" w:rsidRDefault="003D4FF5" w:rsidP="00F13D87">
      <w:pPr>
        <w:pStyle w:val="aNote"/>
        <w:keepLines/>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14:paraId="67942942" w14:textId="77777777" w:rsidR="003D4FF5" w:rsidRDefault="003D4FF5" w:rsidP="003D4FF5">
      <w:pPr>
        <w:pStyle w:val="AH5Sec"/>
      </w:pPr>
      <w:bookmarkStart w:id="189" w:name="_Toc185513806"/>
      <w:r w:rsidRPr="00C8328B">
        <w:rPr>
          <w:rStyle w:val="CharSectNo"/>
        </w:rPr>
        <w:t>432</w:t>
      </w:r>
      <w:r>
        <w:tab/>
        <w:t>Pleadings—negligence and breach of statutory duty</w:t>
      </w:r>
      <w:bookmarkEnd w:id="189"/>
    </w:p>
    <w:p w14:paraId="39FFB207" w14:textId="77777777"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14:paraId="215D8359" w14:textId="77777777"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14:paraId="1B84A7C7" w14:textId="77777777" w:rsidR="003D4FF5" w:rsidRDefault="003D4FF5" w:rsidP="003D4FF5">
      <w:pPr>
        <w:pStyle w:val="AH5Sec"/>
      </w:pPr>
      <w:bookmarkStart w:id="190" w:name="_Toc185513807"/>
      <w:r w:rsidRPr="00C8328B">
        <w:rPr>
          <w:rStyle w:val="CharSectNo"/>
        </w:rPr>
        <w:t>433</w:t>
      </w:r>
      <w:r>
        <w:tab/>
        <w:t>Pleadings—how particulars must be given</w:t>
      </w:r>
      <w:bookmarkEnd w:id="190"/>
    </w:p>
    <w:p w14:paraId="4B254AD8" w14:textId="77777777"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14:paraId="70B51A3B" w14:textId="77777777" w:rsidR="003D4FF5" w:rsidRDefault="003D4FF5" w:rsidP="003D4FF5">
      <w:pPr>
        <w:pStyle w:val="Amain"/>
      </w:pPr>
      <w:r>
        <w:tab/>
        <w:t>(2)</w:t>
      </w:r>
      <w:r>
        <w:tab/>
        <w:t>Further particulars may be given by correspondence.</w:t>
      </w:r>
    </w:p>
    <w:p w14:paraId="6EBC3A7F" w14:textId="77777777" w:rsidR="003D4FF5" w:rsidRDefault="003D4FF5" w:rsidP="003D4FF5">
      <w:pPr>
        <w:pStyle w:val="Amain"/>
      </w:pPr>
      <w:r>
        <w:tab/>
        <w:t>(3)</w:t>
      </w:r>
      <w:r>
        <w:tab/>
        <w:t>A party giving further particulars must file a copy of the particulars.</w:t>
      </w:r>
    </w:p>
    <w:p w14:paraId="461D1E16" w14:textId="77777777" w:rsidR="003D4FF5" w:rsidRDefault="003D4FF5" w:rsidP="003D4FF5">
      <w:pPr>
        <w:pStyle w:val="AH5Sec"/>
      </w:pPr>
      <w:bookmarkStart w:id="191" w:name="_Toc185513808"/>
      <w:r w:rsidRPr="00C8328B">
        <w:rPr>
          <w:rStyle w:val="CharSectNo"/>
        </w:rPr>
        <w:t>434</w:t>
      </w:r>
      <w:r>
        <w:tab/>
        <w:t>Pleadings—application for better particulars</w:t>
      </w:r>
      <w:bookmarkEnd w:id="191"/>
    </w:p>
    <w:p w14:paraId="661806E2" w14:textId="77777777" w:rsidR="003D4FF5" w:rsidRDefault="003D4FF5" w:rsidP="003D4FF5">
      <w:pPr>
        <w:pStyle w:val="Amain"/>
        <w:keepNext/>
      </w:pPr>
      <w:r>
        <w:tab/>
        <w:t>(1)</w:t>
      </w:r>
      <w:r>
        <w:tab/>
        <w:t>A party may apply to the court for an order for better particulars of the opposite party’s pleading.</w:t>
      </w:r>
    </w:p>
    <w:p w14:paraId="42CD0496"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E35CB54" w14:textId="77777777" w:rsidR="003D4FF5" w:rsidRDefault="003D4FF5" w:rsidP="003D4FF5">
      <w:pPr>
        <w:pStyle w:val="Amain"/>
        <w:keepNext/>
      </w:pPr>
      <w:r>
        <w:lastRenderedPageBreak/>
        <w:tab/>
        <w:t>(2)</w:t>
      </w:r>
      <w:r>
        <w:tab/>
        <w:t>The court may make any order under this rule it considers appropriate, including, for example, an order about the future conduct of the proceeding.</w:t>
      </w:r>
    </w:p>
    <w:p w14:paraId="00C63162" w14:textId="77777777"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14:paraId="4E61243D" w14:textId="77777777" w:rsidR="003D4FF5" w:rsidRDefault="003D4FF5" w:rsidP="003D4FF5">
      <w:pPr>
        <w:pStyle w:val="Amain"/>
      </w:pPr>
      <w:r>
        <w:tab/>
        <w:t>(3)</w:t>
      </w:r>
      <w:r>
        <w:tab/>
        <w:t>Unless the court otherwise orders, the making of an application under this rule does not extend the time for pleading.</w:t>
      </w:r>
    </w:p>
    <w:p w14:paraId="7FB8155E" w14:textId="77777777" w:rsidR="003D4FF5" w:rsidRDefault="003D4FF5" w:rsidP="003D4FF5">
      <w:pPr>
        <w:pStyle w:val="Amain"/>
        <w:keepNext/>
      </w:pPr>
      <w:r>
        <w:tab/>
        <w:t>(4)</w:t>
      </w:r>
      <w:r>
        <w:tab/>
        <w:t>Particulars required under an order under this rule must repeat the relevant part of the order so the particulars are self-explanatory.</w:t>
      </w:r>
    </w:p>
    <w:p w14:paraId="5418C151" w14:textId="77777777" w:rsidR="003D4FF5" w:rsidRDefault="003D4FF5" w:rsidP="003D4FF5">
      <w:pPr>
        <w:pStyle w:val="AH5Sec"/>
      </w:pPr>
      <w:bookmarkStart w:id="192" w:name="_Toc185513809"/>
      <w:r w:rsidRPr="00C8328B">
        <w:rPr>
          <w:rStyle w:val="CharSectNo"/>
        </w:rPr>
        <w:t>435</w:t>
      </w:r>
      <w:r>
        <w:tab/>
        <w:t>Pleadings—failure to comply with better particulars order</w:t>
      </w:r>
      <w:bookmarkEnd w:id="192"/>
    </w:p>
    <w:p w14:paraId="54BD182A" w14:textId="77777777"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14:paraId="7554F7F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7BACB53" w14:textId="77777777" w:rsidR="003D4FF5" w:rsidRPr="00C8328B" w:rsidRDefault="003D4FF5" w:rsidP="003D4FF5">
      <w:pPr>
        <w:pStyle w:val="AH3Div"/>
      </w:pPr>
      <w:bookmarkStart w:id="193" w:name="_Toc185513810"/>
      <w:r w:rsidRPr="00C8328B">
        <w:rPr>
          <w:rStyle w:val="CharDivNo"/>
        </w:rPr>
        <w:t>Division 2.6.5</w:t>
      </w:r>
      <w:r>
        <w:tab/>
      </w:r>
      <w:r w:rsidRPr="00C8328B">
        <w:rPr>
          <w:rStyle w:val="CharDivText"/>
        </w:rPr>
        <w:t>Answering pleadings</w:t>
      </w:r>
      <w:bookmarkEnd w:id="193"/>
    </w:p>
    <w:p w14:paraId="34171954" w14:textId="77777777" w:rsidR="003D4FF5" w:rsidRDefault="003D4FF5" w:rsidP="003D4FF5">
      <w:pPr>
        <w:pStyle w:val="aNote"/>
        <w:keepNext/>
        <w:rPr>
          <w:rStyle w:val="charItals"/>
        </w:rPr>
      </w:pPr>
      <w:r>
        <w:rPr>
          <w:rStyle w:val="charItals"/>
        </w:rPr>
        <w:t>Note to div 2.6.5</w:t>
      </w:r>
    </w:p>
    <w:p w14:paraId="75336DC0" w14:textId="77777777"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14:paraId="51064E78" w14:textId="77777777" w:rsidR="003D4FF5" w:rsidRDefault="003D4FF5" w:rsidP="00FA6524">
      <w:pPr>
        <w:pStyle w:val="AH5Sec"/>
      </w:pPr>
      <w:bookmarkStart w:id="194" w:name="_Toc185513811"/>
      <w:r w:rsidRPr="00C8328B">
        <w:rPr>
          <w:rStyle w:val="CharSectNo"/>
        </w:rPr>
        <w:t>440</w:t>
      </w:r>
      <w:r>
        <w:tab/>
        <w:t>Pleadings—answering</w:t>
      </w:r>
      <w:bookmarkEnd w:id="194"/>
    </w:p>
    <w:p w14:paraId="79FD24D6" w14:textId="77777777" w:rsidR="003D4FF5" w:rsidRDefault="003D4FF5" w:rsidP="00FA6524">
      <w:pPr>
        <w:pStyle w:val="Amain"/>
        <w:keepNext/>
      </w:pPr>
      <w:r>
        <w:tab/>
        <w:t>(1)</w:t>
      </w:r>
      <w:r>
        <w:tab/>
        <w:t>In response to a pleading, a party may plead a denial, non-admission or admission.</w:t>
      </w:r>
    </w:p>
    <w:p w14:paraId="7F7B1E60" w14:textId="77777777" w:rsidR="003D4FF5" w:rsidRDefault="003D4FF5" w:rsidP="003D4FF5">
      <w:pPr>
        <w:pStyle w:val="Amain"/>
      </w:pPr>
      <w:r>
        <w:tab/>
        <w:t>(2)</w:t>
      </w:r>
      <w:r>
        <w:tab/>
        <w:t>A plea of non-admission operates as a denial.</w:t>
      </w:r>
    </w:p>
    <w:p w14:paraId="314933CD" w14:textId="77777777" w:rsidR="003D4FF5" w:rsidRDefault="003D4FF5" w:rsidP="003D4FF5">
      <w:pPr>
        <w:pStyle w:val="AH5Sec"/>
      </w:pPr>
      <w:bookmarkStart w:id="195" w:name="_Toc185513812"/>
      <w:r w:rsidRPr="00C8328B">
        <w:rPr>
          <w:rStyle w:val="CharSectNo"/>
        </w:rPr>
        <w:lastRenderedPageBreak/>
        <w:t>441</w:t>
      </w:r>
      <w:r>
        <w:tab/>
        <w:t>Pleadings—denials and non-admissions</w:t>
      </w:r>
      <w:bookmarkEnd w:id="195"/>
    </w:p>
    <w:p w14:paraId="6054FABD" w14:textId="77777777" w:rsidR="003D4FF5" w:rsidRDefault="003D4FF5" w:rsidP="003D4FF5">
      <w:pPr>
        <w:pStyle w:val="Amain"/>
        <w:keepNext/>
      </w:pPr>
      <w:r>
        <w:tab/>
        <w:t>(1)</w:t>
      </w:r>
      <w:r>
        <w:tab/>
        <w:t>It is not enough for a party to deny generally the grounds alleged in a pleading.</w:t>
      </w:r>
    </w:p>
    <w:p w14:paraId="37241880" w14:textId="77777777" w:rsidR="003D4FF5" w:rsidRDefault="003D4FF5" w:rsidP="003D4FF5">
      <w:pPr>
        <w:pStyle w:val="Amain"/>
      </w:pPr>
      <w:r>
        <w:tab/>
        <w:t>(2)</w:t>
      </w:r>
      <w:r>
        <w:tab/>
        <w:t>Instead, a party must deal specifically with each allegation of fact.</w:t>
      </w:r>
    </w:p>
    <w:p w14:paraId="7ECCB94B" w14:textId="77777777" w:rsidR="003D4FF5" w:rsidRDefault="003D4FF5" w:rsidP="003D4FF5">
      <w:pPr>
        <w:pStyle w:val="Amain"/>
      </w:pPr>
      <w:r>
        <w:tab/>
        <w:t>(3)</w:t>
      </w:r>
      <w:r>
        <w:tab/>
        <w:t>However, a pleading in response to a pleading that alleges damage or damages is taken not to admit the allegation unless it specifically admits the allegation.</w:t>
      </w:r>
    </w:p>
    <w:p w14:paraId="0EED6770" w14:textId="77777777" w:rsidR="003D4FF5" w:rsidRDefault="003D4FF5" w:rsidP="003D4FF5">
      <w:pPr>
        <w:pStyle w:val="Amain"/>
      </w:pPr>
      <w:r>
        <w:tab/>
        <w:t>(4)</w:t>
      </w:r>
      <w:r>
        <w:tab/>
        <w:t>A party in a pleading must not deny an allegation of fact in the previous pleading of an opposite party in an evasive way.</w:t>
      </w:r>
    </w:p>
    <w:p w14:paraId="44A5EA76" w14:textId="77777777" w:rsidR="003D4FF5" w:rsidRDefault="003D4FF5" w:rsidP="003D4FF5">
      <w:pPr>
        <w:pStyle w:val="Amain"/>
      </w:pPr>
      <w:r>
        <w:tab/>
        <w:t>(5)</w:t>
      </w:r>
      <w:r>
        <w:tab/>
        <w:t>Instead, a party must answer the point of substance.</w:t>
      </w:r>
    </w:p>
    <w:p w14:paraId="2C20823E" w14:textId="77777777" w:rsidR="003D4FF5" w:rsidRDefault="003D4FF5" w:rsidP="003D4FF5">
      <w:pPr>
        <w:pStyle w:val="aExamHdgss"/>
      </w:pPr>
      <w:r>
        <w:t>Example</w:t>
      </w:r>
    </w:p>
    <w:p w14:paraId="76314209" w14:textId="77777777"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14:paraId="5ABF5857" w14:textId="77777777" w:rsidR="003D4FF5" w:rsidRDefault="003D4FF5" w:rsidP="003D4FF5">
      <w:pPr>
        <w:pStyle w:val="Amain"/>
      </w:pPr>
      <w:r>
        <w:tab/>
        <w:t>(6)</w:t>
      </w:r>
      <w:r>
        <w:tab/>
        <w:t>If an allegation is made with various circumstances, it is not enough to deny it along with the circumstances.</w:t>
      </w:r>
    </w:p>
    <w:p w14:paraId="79ACF238" w14:textId="77777777" w:rsidR="003D4FF5" w:rsidRDefault="003D4FF5" w:rsidP="003D4FF5">
      <w:pPr>
        <w:pStyle w:val="AH5Sec"/>
      </w:pPr>
      <w:bookmarkStart w:id="196" w:name="_Toc185513813"/>
      <w:r w:rsidRPr="00C8328B">
        <w:rPr>
          <w:rStyle w:val="CharSectNo"/>
        </w:rPr>
        <w:t>442</w:t>
      </w:r>
      <w:r>
        <w:tab/>
        <w:t>Pleadings—defence to debt and liquidated demand claims</w:t>
      </w:r>
      <w:bookmarkEnd w:id="196"/>
    </w:p>
    <w:p w14:paraId="7AD54EC5" w14:textId="77777777" w:rsidR="003D4FF5" w:rsidRDefault="003D4FF5" w:rsidP="003D4FF5">
      <w:pPr>
        <w:pStyle w:val="Amain"/>
        <w:keepNext/>
      </w:pPr>
      <w:r>
        <w:tab/>
        <w:t>(1)</w:t>
      </w:r>
      <w:r>
        <w:tab/>
        <w:t>In a defence to a claim for debt or a liquidated demand, it is not enough for the defendant simply to deny the debt.</w:t>
      </w:r>
    </w:p>
    <w:p w14:paraId="643BC24B" w14:textId="77777777" w:rsidR="003D4FF5" w:rsidRDefault="003D4FF5" w:rsidP="003D4FF5">
      <w:pPr>
        <w:pStyle w:val="Amain"/>
      </w:pPr>
      <w:r>
        <w:tab/>
        <w:t>(2)</w:t>
      </w:r>
      <w:r>
        <w:tab/>
        <w:t>Instead, the defendant must deny the matters of fact from which the defendant’s liability is alleged to arise that are disputed.</w:t>
      </w:r>
    </w:p>
    <w:p w14:paraId="7B71DD17" w14:textId="77777777" w:rsidR="00AE6557" w:rsidRPr="00E41162" w:rsidRDefault="00AE6557" w:rsidP="00AE6557">
      <w:pPr>
        <w:pStyle w:val="AH5Sec"/>
      </w:pPr>
      <w:bookmarkStart w:id="197" w:name="_Toc185513814"/>
      <w:r w:rsidRPr="00AE6557">
        <w:rPr>
          <w:rStyle w:val="CharSectNo"/>
        </w:rPr>
        <w:t>443</w:t>
      </w:r>
      <w:r w:rsidRPr="00E41162">
        <w:tab/>
        <w:t>Pleadings—defence to personal injury claims</w:t>
      </w:r>
      <w:bookmarkEnd w:id="197"/>
    </w:p>
    <w:p w14:paraId="73A7FBC5" w14:textId="77777777" w:rsidR="00AE6557" w:rsidRPr="00E41162" w:rsidRDefault="00AE6557" w:rsidP="00AE6557">
      <w:pPr>
        <w:pStyle w:val="Amain"/>
      </w:pPr>
      <w:r w:rsidRPr="00E41162">
        <w:tab/>
        <w:t>(1)</w:t>
      </w:r>
      <w:r w:rsidRPr="00E41162">
        <w:tab/>
        <w:t>This rule applies to a defence to an originating claim that includes a claim for damages for personal injury.</w:t>
      </w:r>
    </w:p>
    <w:p w14:paraId="7B555365" w14:textId="77777777"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14:paraId="136D4447" w14:textId="77777777" w:rsidR="003D4FF5" w:rsidRDefault="003D4FF5" w:rsidP="003D4FF5">
      <w:pPr>
        <w:pStyle w:val="Amain"/>
      </w:pPr>
      <w:r>
        <w:lastRenderedPageBreak/>
        <w:tab/>
        <w:t>(3)</w:t>
      </w:r>
      <w:r>
        <w:tab/>
        <w:t>The allegation is taken to be admitted if the defendant does not comply with subrule (2) in relation to it.</w:t>
      </w:r>
    </w:p>
    <w:p w14:paraId="61E11190" w14:textId="77777777"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14:paraId="126B9CE1" w14:textId="77777777"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14:paraId="456E15DE" w14:textId="77777777" w:rsidR="003D4FF5" w:rsidRDefault="003D4FF5" w:rsidP="003D4FF5">
      <w:pPr>
        <w:pStyle w:val="Amain"/>
      </w:pPr>
      <w:r>
        <w:tab/>
        <w:t>(6)</w:t>
      </w:r>
      <w:r>
        <w:tab/>
        <w:t>The defendant must plead every ground of defence to be relied on, together with the facts necessary to establish each ground.</w:t>
      </w:r>
    </w:p>
    <w:p w14:paraId="2B49ACFB" w14:textId="77777777" w:rsidR="003D4FF5" w:rsidRDefault="003D4FF5" w:rsidP="003D4FF5">
      <w:pPr>
        <w:pStyle w:val="AH5Sec"/>
      </w:pPr>
      <w:bookmarkStart w:id="198" w:name="_Toc185513815"/>
      <w:r w:rsidRPr="00C8328B">
        <w:rPr>
          <w:rStyle w:val="CharSectNo"/>
        </w:rPr>
        <w:t>444</w:t>
      </w:r>
      <w:r>
        <w:tab/>
        <w:t>Pleadings—defence to proceeding on bill of exchange etc</w:t>
      </w:r>
      <w:bookmarkEnd w:id="198"/>
    </w:p>
    <w:p w14:paraId="447DF007" w14:textId="77777777" w:rsidR="003D4FF5" w:rsidRDefault="003D4FF5" w:rsidP="00FA6524">
      <w:pPr>
        <w:pStyle w:val="Amain"/>
        <w:keepNext/>
      </w:pPr>
      <w:r>
        <w:tab/>
        <w:t>(1)</w:t>
      </w:r>
      <w:r>
        <w:tab/>
        <w:t>This rule applies to a proceeding on a bill of exchange, cheque or promissory note.</w:t>
      </w:r>
    </w:p>
    <w:p w14:paraId="2E6E0407" w14:textId="77777777" w:rsidR="003D4FF5" w:rsidRDefault="003D4FF5" w:rsidP="003D4FF5">
      <w:pPr>
        <w:pStyle w:val="Amain"/>
      </w:pPr>
      <w:r>
        <w:tab/>
        <w:t>(2)</w:t>
      </w:r>
      <w:r>
        <w:tab/>
        <w:t>The defendant must deny some matter of fact in a defence in denial.</w:t>
      </w:r>
    </w:p>
    <w:p w14:paraId="4D9D3EF5" w14:textId="77777777" w:rsidR="003D4FF5" w:rsidRDefault="003D4FF5" w:rsidP="003D4FF5">
      <w:pPr>
        <w:pStyle w:val="aExamHdgss"/>
        <w:keepNext w:val="0"/>
      </w:pPr>
      <w:r>
        <w:t>Examples</w:t>
      </w:r>
    </w:p>
    <w:p w14:paraId="2485229C" w14:textId="77777777" w:rsidR="003D4FF5" w:rsidRDefault="003D4FF5" w:rsidP="003D4FF5">
      <w:pPr>
        <w:pStyle w:val="aExam"/>
        <w:keepNext/>
      </w:pPr>
      <w:r>
        <w:t>the drawing, making, endorsing, accepting, presenting, or notice of dishonour of the bill, cheque or note</w:t>
      </w:r>
    </w:p>
    <w:p w14:paraId="228D79D7" w14:textId="77777777" w:rsidR="003D4FF5" w:rsidRDefault="003D4FF5" w:rsidP="003D4FF5">
      <w:pPr>
        <w:pStyle w:val="AH5Sec"/>
      </w:pPr>
      <w:bookmarkStart w:id="199" w:name="_Toc185513816"/>
      <w:r w:rsidRPr="00C8328B">
        <w:rPr>
          <w:rStyle w:val="CharSectNo"/>
        </w:rPr>
        <w:t>445</w:t>
      </w:r>
      <w:r>
        <w:tab/>
        <w:t>Pleadings—denial of representative capacity or partnership constitution</w:t>
      </w:r>
      <w:bookmarkEnd w:id="199"/>
    </w:p>
    <w:p w14:paraId="2887E54E" w14:textId="77777777" w:rsidR="003D4FF5" w:rsidRDefault="003D4FF5" w:rsidP="003D4FF5">
      <w:pPr>
        <w:pStyle w:val="Amain"/>
      </w:pPr>
      <w:r>
        <w:tab/>
        <w:t>(1)</w:t>
      </w:r>
      <w:r>
        <w:tab/>
        <w:t>This rule applies if a party wants to deny—</w:t>
      </w:r>
    </w:p>
    <w:p w14:paraId="00749DA8" w14:textId="77777777" w:rsidR="003D4FF5" w:rsidRDefault="003D4FF5" w:rsidP="003D4FF5">
      <w:pPr>
        <w:pStyle w:val="Apara"/>
      </w:pPr>
      <w:r>
        <w:tab/>
        <w:t>(a)</w:t>
      </w:r>
      <w:r>
        <w:tab/>
        <w:t>another party’s right to claim as a representative (including a personal representative or trustee) of someone else; or</w:t>
      </w:r>
    </w:p>
    <w:p w14:paraId="14D0F1FA" w14:textId="77777777" w:rsidR="003D4FF5" w:rsidRDefault="003D4FF5" w:rsidP="003D4FF5">
      <w:pPr>
        <w:pStyle w:val="Apara"/>
      </w:pPr>
      <w:r>
        <w:tab/>
        <w:t>(b)</w:t>
      </w:r>
      <w:r>
        <w:tab/>
        <w:t>the alleged constitution of a partnership.</w:t>
      </w:r>
    </w:p>
    <w:p w14:paraId="2EDFC34A" w14:textId="77777777" w:rsidR="003D4FF5" w:rsidRDefault="003D4FF5" w:rsidP="003D4FF5">
      <w:pPr>
        <w:pStyle w:val="Amain"/>
      </w:pPr>
      <w:r>
        <w:tab/>
        <w:t>(2)</w:t>
      </w:r>
      <w:r>
        <w:tab/>
        <w:t>The party must deny it specifically.</w:t>
      </w:r>
    </w:p>
    <w:p w14:paraId="5953A717" w14:textId="77777777" w:rsidR="003D4FF5" w:rsidRDefault="003D4FF5" w:rsidP="003D4FF5">
      <w:pPr>
        <w:pStyle w:val="AH5Sec"/>
      </w:pPr>
      <w:bookmarkStart w:id="200" w:name="_Toc185513817"/>
      <w:r w:rsidRPr="00C8328B">
        <w:rPr>
          <w:rStyle w:val="CharSectNo"/>
        </w:rPr>
        <w:lastRenderedPageBreak/>
        <w:t>446</w:t>
      </w:r>
      <w:r>
        <w:tab/>
        <w:t>Pleadings—denial of contract</w:t>
      </w:r>
      <w:bookmarkEnd w:id="200"/>
    </w:p>
    <w:p w14:paraId="793DFE32" w14:textId="77777777" w:rsidR="003D4FF5" w:rsidRDefault="003D4FF5" w:rsidP="003D4FF5">
      <w:pPr>
        <w:pStyle w:val="Amain"/>
        <w:keepNext/>
      </w:pPr>
      <w:r>
        <w:tab/>
        <w:t>(1)</w:t>
      </w:r>
      <w:r>
        <w:tab/>
        <w:t>This rule applies if a contract is alleged by a party in a pleading.</w:t>
      </w:r>
    </w:p>
    <w:p w14:paraId="5A4DCEC8" w14:textId="77777777"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14:paraId="7602A9FE" w14:textId="77777777" w:rsidR="003D4FF5" w:rsidRDefault="003D4FF5" w:rsidP="003D4FF5">
      <w:pPr>
        <w:pStyle w:val="Amain"/>
        <w:keepNext/>
      </w:pPr>
      <w:r>
        <w:tab/>
        <w:t>(3)</w:t>
      </w:r>
      <w:r>
        <w:tab/>
        <w:t>In this rule:</w:t>
      </w:r>
    </w:p>
    <w:p w14:paraId="5F405F38" w14:textId="77777777" w:rsidR="003D4FF5" w:rsidRDefault="003D4FF5" w:rsidP="003D4FF5">
      <w:pPr>
        <w:pStyle w:val="aDef"/>
      </w:pPr>
      <w:r>
        <w:rPr>
          <w:rStyle w:val="charBoldItals"/>
        </w:rPr>
        <w:t>contract</w:t>
      </w:r>
      <w:r>
        <w:t xml:space="preserve"> includes promise and agreement.</w:t>
      </w:r>
    </w:p>
    <w:p w14:paraId="4391E18D" w14:textId="77777777" w:rsidR="003D4FF5" w:rsidRDefault="003D4FF5" w:rsidP="003D4FF5">
      <w:pPr>
        <w:pStyle w:val="AH5Sec"/>
      </w:pPr>
      <w:bookmarkStart w:id="201" w:name="_Toc185513818"/>
      <w:r w:rsidRPr="00C8328B">
        <w:rPr>
          <w:rStyle w:val="CharSectNo"/>
        </w:rPr>
        <w:t>447</w:t>
      </w:r>
      <w:r>
        <w:tab/>
        <w:t>Pleadings—allegations admitted unless denied etc</w:t>
      </w:r>
      <w:bookmarkEnd w:id="201"/>
    </w:p>
    <w:p w14:paraId="4E86C1E0" w14:textId="77777777"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14:paraId="22C89E8B" w14:textId="77777777" w:rsidR="003D4FF5" w:rsidRDefault="003D4FF5" w:rsidP="003D4FF5">
      <w:pPr>
        <w:pStyle w:val="Apara"/>
      </w:pPr>
      <w:r>
        <w:tab/>
        <w:t>(a)</w:t>
      </w:r>
      <w:r>
        <w:tab/>
        <w:t>it is denied in the pleading of the opposite party; or</w:t>
      </w:r>
    </w:p>
    <w:p w14:paraId="0577111E" w14:textId="77777777" w:rsidR="003D4FF5" w:rsidRDefault="003D4FF5" w:rsidP="003D4FF5">
      <w:pPr>
        <w:pStyle w:val="Apara"/>
      </w:pPr>
      <w:r>
        <w:tab/>
        <w:t>(b)</w:t>
      </w:r>
      <w:r>
        <w:tab/>
        <w:t>it is stated to be not admitted in the pleading of the opposite party; or</w:t>
      </w:r>
    </w:p>
    <w:p w14:paraId="43D85E7A" w14:textId="77777777" w:rsidR="003D4FF5" w:rsidRDefault="003D4FF5" w:rsidP="00FA6524">
      <w:pPr>
        <w:pStyle w:val="Apara"/>
      </w:pPr>
      <w:r>
        <w:tab/>
        <w:t>(c)</w:t>
      </w:r>
      <w:r>
        <w:tab/>
        <w:t>a joinder of issue under rule 482 (Pleadings—joinder of issue) operates as a denial of the allegation.</w:t>
      </w:r>
    </w:p>
    <w:p w14:paraId="5EAD3919" w14:textId="77777777" w:rsidR="003D4FF5" w:rsidRDefault="003D4FF5" w:rsidP="003D4FF5">
      <w:pPr>
        <w:pStyle w:val="aNote"/>
      </w:pPr>
      <w:r>
        <w:rPr>
          <w:rStyle w:val="charItals"/>
        </w:rPr>
        <w:t>Note</w:t>
      </w:r>
      <w:r>
        <w:rPr>
          <w:rStyle w:val="charItals"/>
        </w:rPr>
        <w:tab/>
      </w:r>
      <w:r>
        <w:t>Rule 441 (3) (Pleadings—denials and non-admissions) provides that a pleading in response to a pleading that alleges damage or damages is taken to deny the allegation unless it specifically admits the allegation.</w:t>
      </w:r>
    </w:p>
    <w:p w14:paraId="36745890" w14:textId="77777777"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14:paraId="2876560B" w14:textId="77777777" w:rsidR="003D4FF5" w:rsidRDefault="003D4FF5" w:rsidP="003D4FF5">
      <w:pPr>
        <w:pStyle w:val="AH5Sec"/>
      </w:pPr>
      <w:bookmarkStart w:id="202" w:name="_Toc185513819"/>
      <w:r w:rsidRPr="00C8328B">
        <w:rPr>
          <w:rStyle w:val="CharSectNo"/>
        </w:rPr>
        <w:lastRenderedPageBreak/>
        <w:t>448</w:t>
      </w:r>
      <w:r>
        <w:tab/>
        <w:t>Pleadings—unreasonable denials and non-admissions</w:t>
      </w:r>
      <w:bookmarkEnd w:id="202"/>
    </w:p>
    <w:p w14:paraId="5ECFB3A5" w14:textId="77777777" w:rsidR="003D4FF5" w:rsidRDefault="003D4FF5" w:rsidP="00F13D87">
      <w:pPr>
        <w:pStyle w:val="Amainreturn"/>
        <w:keepNext/>
        <w:keepLines/>
      </w:pPr>
      <w:r>
        <w:t>If the court considers that an allegation of fact denied or not admitted should have been admitted, it may order the party who denied or did not admit the allegation to pay the additional costs caused by the denial or non-admission.</w:t>
      </w:r>
    </w:p>
    <w:p w14:paraId="612B9E0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15956C4" w14:textId="77777777" w:rsidR="003D4FF5" w:rsidRDefault="003D4FF5" w:rsidP="003D4FF5">
      <w:pPr>
        <w:pStyle w:val="AH5Sec"/>
      </w:pPr>
      <w:bookmarkStart w:id="203" w:name="_Toc185513820"/>
      <w:r w:rsidRPr="00C8328B">
        <w:rPr>
          <w:rStyle w:val="CharSectNo"/>
        </w:rPr>
        <w:t>449</w:t>
      </w:r>
      <w:r>
        <w:tab/>
        <w:t>Pleadings—confession of defence</w:t>
      </w:r>
      <w:bookmarkEnd w:id="203"/>
    </w:p>
    <w:p w14:paraId="3B628534" w14:textId="77777777" w:rsidR="003D4FF5" w:rsidRDefault="003D4FF5" w:rsidP="003D4FF5">
      <w:pPr>
        <w:pStyle w:val="Amain"/>
      </w:pPr>
      <w:r>
        <w:tab/>
        <w:t>(1)</w:t>
      </w:r>
      <w:r>
        <w:tab/>
        <w:t>If a defendant alleges a defence that arose after the proceeding was started, the plaintiff may file and serve a confession of defence.</w:t>
      </w:r>
    </w:p>
    <w:p w14:paraId="4D9CFA3A" w14:textId="46F84706"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86" w:history="1">
        <w:r w:rsidRPr="006D0C6C">
          <w:rPr>
            <w:rStyle w:val="charCitHyperlinkAbbrev"/>
          </w:rPr>
          <w:t>AF2006-260</w:t>
        </w:r>
      </w:hyperlink>
      <w:r>
        <w:t>.</w:t>
      </w:r>
    </w:p>
    <w:p w14:paraId="1A3850D9" w14:textId="77777777"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14:paraId="7D825D22" w14:textId="77777777" w:rsidR="003D4FF5" w:rsidRDefault="003D4FF5" w:rsidP="003D4FF5">
      <w:pPr>
        <w:pStyle w:val="Amain"/>
        <w:keepNext/>
      </w:pPr>
      <w:r>
        <w:tab/>
        <w:t>(3)</w:t>
      </w:r>
      <w:r>
        <w:tab/>
        <w:t>In this rule:</w:t>
      </w:r>
    </w:p>
    <w:p w14:paraId="0D3BEC6C" w14:textId="77777777" w:rsidR="003D4FF5" w:rsidRDefault="003D4FF5" w:rsidP="003D4FF5">
      <w:pPr>
        <w:pStyle w:val="aDef"/>
      </w:pPr>
      <w:r>
        <w:rPr>
          <w:rStyle w:val="charBoldItals"/>
        </w:rPr>
        <w:t xml:space="preserve">defendant </w:t>
      </w:r>
      <w:r>
        <w:t>includes a defendant to a counterclaim.</w:t>
      </w:r>
    </w:p>
    <w:p w14:paraId="4EE9A381" w14:textId="77777777" w:rsidR="003D4FF5" w:rsidRPr="00C8328B" w:rsidRDefault="003D4FF5" w:rsidP="003D4FF5">
      <w:pPr>
        <w:pStyle w:val="AH3Div"/>
      </w:pPr>
      <w:bookmarkStart w:id="204" w:name="_Toc185513821"/>
      <w:r w:rsidRPr="00C8328B">
        <w:rPr>
          <w:rStyle w:val="CharDivNo"/>
        </w:rPr>
        <w:t>Division 2.6.6</w:t>
      </w:r>
      <w:r>
        <w:tab/>
      </w:r>
      <w:r w:rsidRPr="00C8328B">
        <w:rPr>
          <w:rStyle w:val="CharDivText"/>
        </w:rPr>
        <w:t>Special defences</w:t>
      </w:r>
      <w:bookmarkEnd w:id="204"/>
    </w:p>
    <w:p w14:paraId="74327582" w14:textId="77777777" w:rsidR="003D4FF5" w:rsidRPr="005D331F" w:rsidRDefault="003D4FF5" w:rsidP="003D4FF5">
      <w:pPr>
        <w:pStyle w:val="AH5Sec"/>
      </w:pPr>
      <w:bookmarkStart w:id="205" w:name="_Toc185513822"/>
      <w:r w:rsidRPr="00C8328B">
        <w:rPr>
          <w:rStyle w:val="CharSectNo"/>
        </w:rPr>
        <w:t>455</w:t>
      </w:r>
      <w:r w:rsidRPr="005D331F">
        <w:tab/>
        <w:t>Pleadings—defence of tender</w:t>
      </w:r>
      <w:bookmarkEnd w:id="205"/>
    </w:p>
    <w:p w14:paraId="4ED300C6" w14:textId="77777777"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14:paraId="0FD19236" w14:textId="77777777" w:rsidR="003D4FF5" w:rsidRDefault="003D4FF5" w:rsidP="003D4FF5">
      <w:pPr>
        <w:pStyle w:val="AH5Sec"/>
      </w:pPr>
      <w:bookmarkStart w:id="206" w:name="_Toc185513823"/>
      <w:r w:rsidRPr="00C8328B">
        <w:rPr>
          <w:rStyle w:val="CharSectNo"/>
        </w:rPr>
        <w:t>456</w:t>
      </w:r>
      <w:r>
        <w:tab/>
        <w:t>Pleadings—defence of set-off</w:t>
      </w:r>
      <w:bookmarkEnd w:id="206"/>
    </w:p>
    <w:p w14:paraId="75E2D2C4" w14:textId="77777777"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14:paraId="19BCAF67" w14:textId="77777777" w:rsidR="003D4FF5" w:rsidRDefault="003D4FF5" w:rsidP="003D4FF5">
      <w:pPr>
        <w:pStyle w:val="Amain"/>
      </w:pPr>
      <w:r>
        <w:lastRenderedPageBreak/>
        <w:tab/>
        <w:t>(2)</w:t>
      </w:r>
      <w:r>
        <w:tab/>
        <w:t>If the amount of a set-off is more than the amount of the claim against which it is set off, then, whether or not the set-off is pleaded as a counterclaim—</w:t>
      </w:r>
    </w:p>
    <w:p w14:paraId="76A1C22E" w14:textId="77777777" w:rsidR="003D4FF5" w:rsidRDefault="003D4FF5" w:rsidP="003D4FF5">
      <w:pPr>
        <w:pStyle w:val="Apara"/>
      </w:pPr>
      <w:r>
        <w:tab/>
        <w:t>(a)</w:t>
      </w:r>
      <w:r>
        <w:tab/>
        <w:t>the set-off may be treated as a counterclaim; and</w:t>
      </w:r>
    </w:p>
    <w:p w14:paraId="36A34EA8" w14:textId="77777777" w:rsidR="003D4FF5" w:rsidRDefault="003D4FF5" w:rsidP="003D4FF5">
      <w:pPr>
        <w:pStyle w:val="Apara"/>
        <w:keepNext/>
      </w:pPr>
      <w:r>
        <w:tab/>
        <w:t>(b)</w:t>
      </w:r>
      <w:r>
        <w:tab/>
        <w:t>the court may give judgment for the amount of the difference or give the defendant other relief to which it considers the defendant is entitled.</w:t>
      </w:r>
    </w:p>
    <w:p w14:paraId="320D44E5" w14:textId="77777777" w:rsidR="003D4FF5" w:rsidRDefault="003D4FF5" w:rsidP="003D4FF5">
      <w:pPr>
        <w:pStyle w:val="aExamHdgss"/>
      </w:pPr>
      <w:r>
        <w:t>Examples of other relief</w:t>
      </w:r>
    </w:p>
    <w:p w14:paraId="4218D211" w14:textId="77777777" w:rsidR="003D4FF5" w:rsidRDefault="003D4FF5" w:rsidP="003D4FF5">
      <w:pPr>
        <w:pStyle w:val="aExamss"/>
        <w:keepNext/>
      </w:pPr>
      <w:r>
        <w:t>injunction, or stay, if within the court’s jurisdiction</w:t>
      </w:r>
    </w:p>
    <w:p w14:paraId="4D3FBDF3" w14:textId="77777777" w:rsidR="003D4FF5" w:rsidRDefault="003D4FF5" w:rsidP="003D4FF5">
      <w:pPr>
        <w:pStyle w:val="Amain"/>
        <w:keepNext/>
      </w:pPr>
      <w:r>
        <w:tab/>
        <w:t>(3)</w:t>
      </w:r>
      <w:r>
        <w:tab/>
        <w:t>Despite subrules (1) and (2)—</w:t>
      </w:r>
    </w:p>
    <w:p w14:paraId="21670313" w14:textId="77777777"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14:paraId="07EDA3AE" w14:textId="77777777" w:rsidR="003D4FF5" w:rsidRDefault="003D4FF5" w:rsidP="003D4FF5">
      <w:pPr>
        <w:pStyle w:val="Apara"/>
        <w:keepNext/>
      </w:pPr>
      <w:r>
        <w:tab/>
        <w:t>(b)</w:t>
      </w:r>
      <w:r>
        <w:tab/>
        <w:t>if the court considers a set-off should not be allowed, it may, by order, set aside a defence or counterclaim by way of set-off.</w:t>
      </w:r>
    </w:p>
    <w:p w14:paraId="42AD116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0481189A" w14:textId="77777777" w:rsidR="003D4FF5" w:rsidRPr="00C8328B" w:rsidRDefault="003D4FF5" w:rsidP="003D4FF5">
      <w:pPr>
        <w:pStyle w:val="AH3Div"/>
      </w:pPr>
      <w:bookmarkStart w:id="207" w:name="_Toc185513824"/>
      <w:r w:rsidRPr="00C8328B">
        <w:rPr>
          <w:rStyle w:val="CharDivNo"/>
        </w:rPr>
        <w:t>Division 2.6.7</w:t>
      </w:r>
      <w:r>
        <w:tab/>
      </w:r>
      <w:r w:rsidRPr="00C8328B">
        <w:rPr>
          <w:rStyle w:val="CharDivText"/>
        </w:rPr>
        <w:t>Counterclaims</w:t>
      </w:r>
      <w:bookmarkEnd w:id="207"/>
    </w:p>
    <w:p w14:paraId="6799754E" w14:textId="77777777" w:rsidR="003D4FF5" w:rsidRDefault="003D4FF5" w:rsidP="003D4FF5">
      <w:pPr>
        <w:pStyle w:val="AH5Sec"/>
      </w:pPr>
      <w:bookmarkStart w:id="208" w:name="_Toc185513825"/>
      <w:r w:rsidRPr="00C8328B">
        <w:rPr>
          <w:rStyle w:val="CharSectNo"/>
        </w:rPr>
        <w:t>460</w:t>
      </w:r>
      <w:r>
        <w:tab/>
        <w:t>Counterclaim—cause of action arising after start of proceeding</w:t>
      </w:r>
      <w:bookmarkEnd w:id="208"/>
    </w:p>
    <w:p w14:paraId="0536155E" w14:textId="77777777" w:rsidR="003D4FF5" w:rsidRDefault="003D4FF5" w:rsidP="003D4FF5">
      <w:pPr>
        <w:pStyle w:val="Amainreturn"/>
      </w:pPr>
      <w:r>
        <w:t>A counterclaim may be made in relation to a cause of action that arose after the proceeding started.</w:t>
      </w:r>
    </w:p>
    <w:p w14:paraId="06DE7D6F" w14:textId="77777777" w:rsidR="003D4FF5" w:rsidRDefault="003D4FF5" w:rsidP="003D4FF5">
      <w:pPr>
        <w:pStyle w:val="AH5Sec"/>
      </w:pPr>
      <w:bookmarkStart w:id="209" w:name="_Toc185513826"/>
      <w:r w:rsidRPr="00C8328B">
        <w:rPr>
          <w:rStyle w:val="CharSectNo"/>
        </w:rPr>
        <w:lastRenderedPageBreak/>
        <w:t>461</w:t>
      </w:r>
      <w:r>
        <w:tab/>
        <w:t>Counterclaim—against plaintiff</w:t>
      </w:r>
      <w:bookmarkEnd w:id="209"/>
    </w:p>
    <w:p w14:paraId="207ECD57" w14:textId="77777777" w:rsidR="003D4FF5" w:rsidRDefault="003D4FF5" w:rsidP="00F13D87">
      <w:pPr>
        <w:pStyle w:val="Amain"/>
        <w:keepNext/>
      </w:pPr>
      <w:r>
        <w:tab/>
        <w:t>(1)</w:t>
      </w:r>
      <w:r>
        <w:tab/>
        <w:t>In a proceeding, a defendant may make a counterclaim against a plaintiff, instead of bringing a separate proceeding.</w:t>
      </w:r>
    </w:p>
    <w:p w14:paraId="3B98370E" w14:textId="7AE68DF4"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87" w:history="1">
        <w:r>
          <w:rPr>
            <w:rStyle w:val="charCitHyperlinkAbbrev"/>
          </w:rPr>
          <w:t>AF2015-28</w:t>
        </w:r>
      </w:hyperlink>
      <w:r>
        <w:t>.</w:t>
      </w:r>
    </w:p>
    <w:p w14:paraId="5984F39E" w14:textId="77777777" w:rsidR="003D4FF5" w:rsidRDefault="003D4FF5" w:rsidP="003D4FF5">
      <w:pPr>
        <w:pStyle w:val="Amain"/>
      </w:pPr>
      <w:r>
        <w:tab/>
        <w:t>(2)</w:t>
      </w:r>
      <w:r>
        <w:tab/>
        <w:t>The defendant must state specifically that the defendant is making a counterclaim.</w:t>
      </w:r>
    </w:p>
    <w:p w14:paraId="5C82E4F0" w14:textId="77777777" w:rsidR="003D4FF5" w:rsidRDefault="003D4FF5" w:rsidP="003D4FF5">
      <w:pPr>
        <w:pStyle w:val="Amain"/>
        <w:keepNext/>
      </w:pPr>
      <w:r>
        <w:tab/>
        <w:t>(3)</w:t>
      </w:r>
      <w:r>
        <w:tab/>
        <w:t>For the Magistrates Court, the amount claimed by the counterclaim must not be more than the maximum amount for which the court has jurisdiction.</w:t>
      </w:r>
    </w:p>
    <w:p w14:paraId="2495C4A6" w14:textId="416F80D6"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88"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14:paraId="20A5D8A4" w14:textId="77777777" w:rsidR="003D4FF5" w:rsidRDefault="003D4FF5" w:rsidP="003D4FF5">
      <w:pPr>
        <w:pStyle w:val="aNote"/>
      </w:pPr>
      <w:r>
        <w:rPr>
          <w:rStyle w:val="charItals"/>
        </w:rPr>
        <w:t>Note 2</w:t>
      </w:r>
      <w:r>
        <w:rPr>
          <w:rStyle w:val="charItals"/>
        </w:rPr>
        <w:tab/>
      </w:r>
      <w:r>
        <w:t>See r 219 (Counterclaim or set-off when co-plaintiff wrongly included).</w:t>
      </w:r>
    </w:p>
    <w:p w14:paraId="1574D83C" w14:textId="77777777" w:rsidR="003D4FF5" w:rsidRDefault="003D4FF5" w:rsidP="003D4FF5">
      <w:pPr>
        <w:pStyle w:val="AH5Sec"/>
      </w:pPr>
      <w:bookmarkStart w:id="210" w:name="_Toc185513827"/>
      <w:r w:rsidRPr="00C8328B">
        <w:rPr>
          <w:rStyle w:val="CharSectNo"/>
        </w:rPr>
        <w:t>462</w:t>
      </w:r>
      <w:r>
        <w:tab/>
        <w:t>Counterclaim—against additional party</w:t>
      </w:r>
      <w:bookmarkEnd w:id="210"/>
    </w:p>
    <w:p w14:paraId="3E98224E" w14:textId="77777777" w:rsidR="003D4FF5" w:rsidRDefault="003D4FF5" w:rsidP="003D4FF5">
      <w:pPr>
        <w:pStyle w:val="Amain"/>
      </w:pPr>
      <w:r>
        <w:tab/>
        <w:t>(1)</w:t>
      </w:r>
      <w:r>
        <w:tab/>
        <w:t>A defendant to a proceeding may make a counterclaim against a person other than a plaintiff (whether or not the person is already a party to the proceeding) if—</w:t>
      </w:r>
    </w:p>
    <w:p w14:paraId="6D68E020" w14:textId="77777777" w:rsidR="003D4FF5" w:rsidRDefault="003D4FF5" w:rsidP="003D4FF5">
      <w:pPr>
        <w:pStyle w:val="Apara"/>
      </w:pPr>
      <w:r>
        <w:tab/>
        <w:t>(a)</w:t>
      </w:r>
      <w:r>
        <w:tab/>
        <w:t>the plaintiff is also made a party to the counterclaim; and</w:t>
      </w:r>
    </w:p>
    <w:p w14:paraId="6B6B2B00" w14:textId="77777777" w:rsidR="003D4FF5" w:rsidRDefault="003D4FF5" w:rsidP="003D4FF5">
      <w:pPr>
        <w:pStyle w:val="Apara"/>
      </w:pPr>
      <w:r>
        <w:tab/>
        <w:t>(b)</w:t>
      </w:r>
      <w:r>
        <w:tab/>
        <w:t>either—</w:t>
      </w:r>
    </w:p>
    <w:p w14:paraId="095D971D" w14:textId="77777777" w:rsidR="003D4FF5" w:rsidRDefault="003D4FF5" w:rsidP="003D4FF5">
      <w:pPr>
        <w:pStyle w:val="Asubpara"/>
      </w:pPr>
      <w:r>
        <w:tab/>
        <w:t>(i)</w:t>
      </w:r>
      <w:r>
        <w:tab/>
        <w:t>the defendant alleges that the other person is liable with the plaintiff for the subject matter of the counterclaim; or</w:t>
      </w:r>
    </w:p>
    <w:p w14:paraId="667AED9A" w14:textId="77777777" w:rsidR="003D4FF5" w:rsidRDefault="003D4FF5" w:rsidP="003D4FF5">
      <w:pPr>
        <w:pStyle w:val="Asubpara"/>
      </w:pPr>
      <w:r>
        <w:tab/>
        <w:t>(ii)</w:t>
      </w:r>
      <w:r>
        <w:tab/>
        <w:t>the defendant claims against the other person relief relating to or connected with the original subject matter of the proceeding.</w:t>
      </w:r>
    </w:p>
    <w:p w14:paraId="14FA2462" w14:textId="5819FC86"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89" w:history="1">
        <w:r>
          <w:rPr>
            <w:rStyle w:val="charCitHyperlinkAbbrev"/>
          </w:rPr>
          <w:t>AF2015-28</w:t>
        </w:r>
      </w:hyperlink>
      <w:r w:rsidRPr="006D0C6C">
        <w:rPr>
          <w:rStyle w:val="charCitHyperlinkAbbrev"/>
        </w:rPr>
        <w:t>.</w:t>
      </w:r>
    </w:p>
    <w:p w14:paraId="5B528B9B" w14:textId="77777777" w:rsidR="003D4FF5" w:rsidRDefault="003D4FF5" w:rsidP="00B671CC">
      <w:pPr>
        <w:pStyle w:val="Amain"/>
        <w:keepNext/>
      </w:pPr>
      <w:r>
        <w:lastRenderedPageBreak/>
        <w:tab/>
        <w:t>(2)</w:t>
      </w:r>
      <w:r>
        <w:tab/>
        <w:t>If a defendant to a proceeding counterclaims against a person who is not a party to the original proceeding, the defendant must—</w:t>
      </w:r>
    </w:p>
    <w:p w14:paraId="08C2A882" w14:textId="77777777" w:rsidR="003D4FF5" w:rsidRDefault="003D4FF5" w:rsidP="003D4FF5">
      <w:pPr>
        <w:pStyle w:val="Apara"/>
      </w:pPr>
      <w:r>
        <w:tab/>
        <w:t>(a)</w:t>
      </w:r>
      <w:r>
        <w:tab/>
        <w:t>make the counterclaim; and</w:t>
      </w:r>
    </w:p>
    <w:p w14:paraId="2EC7259F" w14:textId="77777777" w:rsidR="003D4FF5" w:rsidRDefault="003D4FF5" w:rsidP="003D4FF5">
      <w:pPr>
        <w:pStyle w:val="Apara"/>
        <w:keepNext/>
      </w:pPr>
      <w:r>
        <w:tab/>
        <w:t>(b)</w:t>
      </w:r>
      <w:r>
        <w:tab/>
        <w:t>serve the following on the person within the time allowed for service on a plaintiff:</w:t>
      </w:r>
    </w:p>
    <w:p w14:paraId="28FB068D" w14:textId="77777777" w:rsidR="003D4FF5" w:rsidRDefault="003D4FF5" w:rsidP="003D4FF5">
      <w:pPr>
        <w:pStyle w:val="Asubpara"/>
      </w:pPr>
      <w:r>
        <w:tab/>
        <w:t>(i)</w:t>
      </w:r>
      <w:r>
        <w:tab/>
        <w:t>the defence (including the counterclaim);</w:t>
      </w:r>
    </w:p>
    <w:p w14:paraId="41371522" w14:textId="77777777" w:rsidR="003D4FF5" w:rsidRDefault="003D4FF5" w:rsidP="003D4FF5">
      <w:pPr>
        <w:pStyle w:val="Asubpara"/>
      </w:pPr>
      <w:r>
        <w:tab/>
        <w:t>(ii)</w:t>
      </w:r>
      <w:r>
        <w:tab/>
        <w:t>a sealed copy of any directions about filing and serving the defence (including the counterclaim);</w:t>
      </w:r>
    </w:p>
    <w:p w14:paraId="79327EE2" w14:textId="77777777" w:rsidR="003D4FF5" w:rsidRDefault="003D4FF5" w:rsidP="003D4FF5">
      <w:pPr>
        <w:pStyle w:val="Asubpara"/>
      </w:pPr>
      <w:r>
        <w:tab/>
        <w:t>(iii)</w:t>
      </w:r>
      <w:r>
        <w:tab/>
        <w:t>a copy of a sealed copy of any other relevant order made in relation to the proceeding;</w:t>
      </w:r>
    </w:p>
    <w:p w14:paraId="213A9386" w14:textId="77777777" w:rsidR="003D4FF5" w:rsidRDefault="003D4FF5" w:rsidP="003D4FF5">
      <w:pPr>
        <w:pStyle w:val="Asubpara"/>
      </w:pPr>
      <w:r>
        <w:tab/>
        <w:t>(iv)</w:t>
      </w:r>
      <w:r>
        <w:tab/>
        <w:t>a copy of a sealed copy of the originating claim and its statement of claim;</w:t>
      </w:r>
    </w:p>
    <w:p w14:paraId="5F3A330D" w14:textId="77777777" w:rsidR="003D4FF5" w:rsidRDefault="003D4FF5" w:rsidP="003D4FF5">
      <w:pPr>
        <w:pStyle w:val="Asubpara"/>
      </w:pPr>
      <w:r>
        <w:tab/>
        <w:t>(v)</w:t>
      </w:r>
      <w:r>
        <w:tab/>
        <w:t>a copy of a stamped copy of all other pleadings filed in the proceeding;</w:t>
      </w:r>
    </w:p>
    <w:p w14:paraId="56C55C7A" w14:textId="77777777" w:rsidR="003D4FF5" w:rsidRDefault="003D4FF5" w:rsidP="003D4FF5">
      <w:pPr>
        <w:pStyle w:val="Asubpara"/>
      </w:pPr>
      <w:r>
        <w:tab/>
        <w:t>(vi)</w:t>
      </w:r>
      <w:r>
        <w:tab/>
        <w:t>a copy of a stamped copy of all applications in the proceeding not finally disposed of;</w:t>
      </w:r>
    </w:p>
    <w:p w14:paraId="6C799D98" w14:textId="77777777"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14:paraId="109FB1EE" w14:textId="77777777" w:rsidR="003D4FF5" w:rsidRDefault="003D4FF5" w:rsidP="003D4FF5">
      <w:pPr>
        <w:pStyle w:val="Asubpara"/>
      </w:pPr>
      <w:r>
        <w:tab/>
        <w:t>(vii)</w:t>
      </w:r>
      <w:r>
        <w:tab/>
        <w:t>a copy of all affidavits filed in the proceeding, other than affidavits that are not relevant to the issues arising on the counterclaim;</w:t>
      </w:r>
    </w:p>
    <w:p w14:paraId="5979A58A" w14:textId="77777777" w:rsidR="003D4FF5" w:rsidRDefault="003D4FF5" w:rsidP="003D4FF5">
      <w:pPr>
        <w:pStyle w:val="Asubpara"/>
      </w:pPr>
      <w:r>
        <w:tab/>
        <w:t>(viii)</w:t>
      </w:r>
      <w:r>
        <w:tab/>
        <w:t>a copy of all other documents that have been served by the plaintiff on the defendant, or by the defendant on the plaintiff, and are intended to be relied on;</w:t>
      </w:r>
    </w:p>
    <w:p w14:paraId="2AD0942C" w14:textId="77777777" w:rsidR="003D4FF5" w:rsidRDefault="003D4FF5" w:rsidP="003D4FF5">
      <w:pPr>
        <w:pStyle w:val="Asubpara"/>
      </w:pPr>
      <w:r>
        <w:tab/>
        <w:t>(ix)</w:t>
      </w:r>
      <w:r>
        <w:tab/>
        <w:t>a copy of all amendments of any document mentioned in subparagraphs (iv) to (viii) or details of the amendments.</w:t>
      </w:r>
    </w:p>
    <w:p w14:paraId="1ED12B30" w14:textId="77777777"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14:paraId="597283B0" w14:textId="77777777" w:rsidR="003D4FF5" w:rsidRDefault="003D4FF5" w:rsidP="003D4FF5">
      <w:pPr>
        <w:pStyle w:val="Amain"/>
      </w:pPr>
      <w:r>
        <w:lastRenderedPageBreak/>
        <w:tab/>
        <w:t>(4)</w:t>
      </w:r>
      <w:r>
        <w:tab/>
        <w:t>If a defendant makes a counterclaim against a person not a party to the original proceeding, the relevant provisions (see subrule (5)) apply, with necessary changes, as if—</w:t>
      </w:r>
    </w:p>
    <w:p w14:paraId="1932DA12" w14:textId="77777777" w:rsidR="003D4FF5" w:rsidRDefault="003D4FF5" w:rsidP="003D4FF5">
      <w:pPr>
        <w:pStyle w:val="Apara"/>
      </w:pPr>
      <w:r>
        <w:tab/>
        <w:t>(a)</w:t>
      </w:r>
      <w:r>
        <w:tab/>
        <w:t>the counterclaim were a proceeding started by originating claim; and</w:t>
      </w:r>
    </w:p>
    <w:p w14:paraId="4EE4A3EE" w14:textId="77777777" w:rsidR="003D4FF5" w:rsidRDefault="003D4FF5" w:rsidP="003D4FF5">
      <w:pPr>
        <w:pStyle w:val="Apara"/>
      </w:pPr>
      <w:r>
        <w:tab/>
        <w:t>(b)</w:t>
      </w:r>
      <w:r>
        <w:tab/>
        <w:t>the party making the counterclaim were a plaintiff; and</w:t>
      </w:r>
    </w:p>
    <w:p w14:paraId="3471AE90" w14:textId="77777777" w:rsidR="003D4FF5" w:rsidRDefault="003D4FF5" w:rsidP="003D4FF5">
      <w:pPr>
        <w:pStyle w:val="Apara"/>
      </w:pPr>
      <w:r>
        <w:tab/>
        <w:t>(c)</w:t>
      </w:r>
      <w:r>
        <w:tab/>
        <w:t>each party against whom the counterclaim is made were a defendant.</w:t>
      </w:r>
    </w:p>
    <w:p w14:paraId="0842A0A2" w14:textId="77777777" w:rsidR="003D4FF5" w:rsidRDefault="003D4FF5" w:rsidP="003D4FF5">
      <w:pPr>
        <w:pStyle w:val="Amain"/>
        <w:keepNext/>
      </w:pPr>
      <w:r>
        <w:tab/>
        <w:t>(5)</w:t>
      </w:r>
      <w:r>
        <w:tab/>
        <w:t>In subrule (4):</w:t>
      </w:r>
    </w:p>
    <w:p w14:paraId="7F1923EA" w14:textId="77777777" w:rsidR="003D4FF5" w:rsidRDefault="003D4FF5" w:rsidP="003D4FF5">
      <w:pPr>
        <w:pStyle w:val="aDef"/>
        <w:keepNext/>
      </w:pPr>
      <w:r>
        <w:rPr>
          <w:rStyle w:val="charBoldItals"/>
        </w:rPr>
        <w:t>relevant provisions</w:t>
      </w:r>
      <w:r>
        <w:t xml:space="preserve"> means the following provisions:</w:t>
      </w:r>
    </w:p>
    <w:p w14:paraId="0283C9A3"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14:paraId="14DB2EFC"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14:paraId="37A638F0"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14:paraId="7EE3334A"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14:paraId="6D33917F"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14:paraId="6E619977"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14:paraId="31494C76" w14:textId="77777777" w:rsidR="003D4FF5" w:rsidRDefault="003D4FF5" w:rsidP="003D4FF5">
      <w:pPr>
        <w:pStyle w:val="AH5Sec"/>
      </w:pPr>
      <w:bookmarkStart w:id="211" w:name="_Toc185513828"/>
      <w:r w:rsidRPr="00C8328B">
        <w:rPr>
          <w:rStyle w:val="CharSectNo"/>
        </w:rPr>
        <w:t>463</w:t>
      </w:r>
      <w:r>
        <w:tab/>
        <w:t>Counterclaim—abandonment of excess in Magistrates Court</w:t>
      </w:r>
      <w:bookmarkEnd w:id="211"/>
    </w:p>
    <w:p w14:paraId="640729CD" w14:textId="77777777"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14:paraId="01DB7CA3" w14:textId="77777777" w:rsidR="003D4FF5" w:rsidRDefault="003D4FF5" w:rsidP="003D4FF5">
      <w:pPr>
        <w:pStyle w:val="Amain"/>
      </w:pPr>
      <w:r>
        <w:tab/>
        <w:t>(2)</w:t>
      </w:r>
      <w:r>
        <w:tab/>
        <w:t>The defendant may make a counterclaim in relation to the cause of action if the defendant abandons the amount over the maximum amount in the counterclaim.</w:t>
      </w:r>
    </w:p>
    <w:p w14:paraId="5C49208D" w14:textId="77777777" w:rsidR="003D4FF5" w:rsidRDefault="003D4FF5" w:rsidP="003D4FF5">
      <w:pPr>
        <w:pStyle w:val="Amain"/>
      </w:pPr>
      <w:r>
        <w:tab/>
        <w:t>(3)</w:t>
      </w:r>
      <w:r>
        <w:tab/>
        <w:t>In the counterclaim proceeding—</w:t>
      </w:r>
    </w:p>
    <w:p w14:paraId="7C72A8EC" w14:textId="77777777" w:rsidR="003D4FF5" w:rsidRDefault="003D4FF5" w:rsidP="003D4FF5">
      <w:pPr>
        <w:pStyle w:val="Apara"/>
      </w:pPr>
      <w:r>
        <w:tab/>
        <w:t>(a)</w:t>
      </w:r>
      <w:r>
        <w:tab/>
        <w:t>the defendant may not recover an amount that is more than the maximum amount; and</w:t>
      </w:r>
    </w:p>
    <w:p w14:paraId="55C76590" w14:textId="77777777" w:rsidR="003D4FF5" w:rsidRDefault="003D4FF5" w:rsidP="003D4FF5">
      <w:pPr>
        <w:pStyle w:val="Apara"/>
      </w:pPr>
      <w:r>
        <w:lastRenderedPageBreak/>
        <w:tab/>
        <w:t>(b)</w:t>
      </w:r>
      <w:r>
        <w:tab/>
        <w:t>final judgment in the proceeding operates in full discharge of all claims in relation to the cause of action.</w:t>
      </w:r>
    </w:p>
    <w:p w14:paraId="5D901AA8" w14:textId="77777777" w:rsidR="003D4FF5" w:rsidRDefault="003D4FF5" w:rsidP="003D4FF5">
      <w:pPr>
        <w:pStyle w:val="AH5Sec"/>
      </w:pPr>
      <w:bookmarkStart w:id="212" w:name="_Toc185513829"/>
      <w:r w:rsidRPr="00C8328B">
        <w:rPr>
          <w:rStyle w:val="CharSectNo"/>
        </w:rPr>
        <w:t>464</w:t>
      </w:r>
      <w:r>
        <w:tab/>
        <w:t>Counterclaim—pleading</w:t>
      </w:r>
      <w:bookmarkEnd w:id="212"/>
    </w:p>
    <w:p w14:paraId="7C5B7499" w14:textId="77777777" w:rsidR="003D4FF5" w:rsidRDefault="003D4FF5" w:rsidP="003D4FF5">
      <w:pPr>
        <w:pStyle w:val="Amainreturn"/>
      </w:pPr>
      <w:r>
        <w:t>A counterclaim must be included in the same document as the defence.</w:t>
      </w:r>
    </w:p>
    <w:p w14:paraId="5B94FC0E" w14:textId="77777777" w:rsidR="003D4FF5" w:rsidRDefault="003D4FF5" w:rsidP="003D4FF5">
      <w:pPr>
        <w:pStyle w:val="AH5Sec"/>
      </w:pPr>
      <w:bookmarkStart w:id="213" w:name="_Toc185513830"/>
      <w:r w:rsidRPr="00C8328B">
        <w:rPr>
          <w:rStyle w:val="CharSectNo"/>
        </w:rPr>
        <w:t>465</w:t>
      </w:r>
      <w:r>
        <w:tab/>
        <w:t>Counterclaim—plaintiff may rely on previous pleadings</w:t>
      </w:r>
      <w:bookmarkEnd w:id="213"/>
    </w:p>
    <w:p w14:paraId="7D968344" w14:textId="77777777"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14:paraId="1236D446" w14:textId="77777777" w:rsidR="003D4FF5" w:rsidRDefault="003D4FF5" w:rsidP="003D4FF5">
      <w:pPr>
        <w:pStyle w:val="AH5Sec"/>
      </w:pPr>
      <w:bookmarkStart w:id="214" w:name="_Toc185513831"/>
      <w:r w:rsidRPr="00C8328B">
        <w:rPr>
          <w:rStyle w:val="CharSectNo"/>
        </w:rPr>
        <w:t>466</w:t>
      </w:r>
      <w:r>
        <w:tab/>
        <w:t>Counterclaim—answer to</w:t>
      </w:r>
      <w:bookmarkEnd w:id="214"/>
    </w:p>
    <w:p w14:paraId="5C7A2B9D" w14:textId="77777777" w:rsidR="003D4FF5" w:rsidRDefault="003D4FF5" w:rsidP="003D4FF5">
      <w:pPr>
        <w:pStyle w:val="Amain"/>
      </w:pPr>
      <w:r>
        <w:tab/>
        <w:t>(1)</w:t>
      </w:r>
      <w:r>
        <w:tab/>
        <w:t>A defendant to a counterclaim may plead to the counterclaim by filing and serving an answer to the counterclaim.</w:t>
      </w:r>
    </w:p>
    <w:p w14:paraId="55E809FD" w14:textId="398A8A3B"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0" w:history="1">
        <w:r>
          <w:rPr>
            <w:rStyle w:val="charCitHyperlinkAbbrev"/>
          </w:rPr>
          <w:t>AF2015-29</w:t>
        </w:r>
      </w:hyperlink>
      <w:r>
        <w:t>.</w:t>
      </w:r>
    </w:p>
    <w:p w14:paraId="41D41497" w14:textId="77777777" w:rsidR="003D4FF5" w:rsidRDefault="003D4FF5" w:rsidP="003D4FF5">
      <w:pPr>
        <w:pStyle w:val="Amain"/>
      </w:pPr>
      <w:r>
        <w:tab/>
        <w:t>(2)</w:t>
      </w:r>
      <w:r>
        <w:tab/>
        <w:t>If a plaintiff in a proceeding is the defendant to a counterclaim and is filing and serving a reply, any answer to the counterclaim must be included in the reply.</w:t>
      </w:r>
    </w:p>
    <w:p w14:paraId="0026AAFE" w14:textId="77777777" w:rsidR="003D4FF5" w:rsidRDefault="003D4FF5" w:rsidP="003D4FF5">
      <w:pPr>
        <w:pStyle w:val="Amain"/>
      </w:pPr>
      <w:r>
        <w:tab/>
        <w:t>(3)</w:t>
      </w:r>
      <w:r>
        <w:tab/>
        <w:t>Any answer to a counterclaim must be filed and served not later than—</w:t>
      </w:r>
    </w:p>
    <w:p w14:paraId="667A8659" w14:textId="77777777" w:rsidR="003D4FF5" w:rsidRDefault="003D4FF5" w:rsidP="003D4FF5">
      <w:pPr>
        <w:pStyle w:val="Apara"/>
      </w:pPr>
      <w:r>
        <w:tab/>
        <w:t>(a)</w:t>
      </w:r>
      <w:r>
        <w:tab/>
        <w:t>14 days after the day the counterclaim is served; or</w:t>
      </w:r>
    </w:p>
    <w:p w14:paraId="0580E765" w14:textId="77777777" w:rsidR="003D4FF5" w:rsidRDefault="003D4FF5" w:rsidP="003D4FF5">
      <w:pPr>
        <w:pStyle w:val="Apara"/>
      </w:pPr>
      <w:r>
        <w:tab/>
        <w:t>(b)</w:t>
      </w:r>
      <w:r>
        <w:tab/>
        <w:t>if the defendant to the counterclaim is not a party to the original proceeding—28 days after the day the counterclaim is served.</w:t>
      </w:r>
    </w:p>
    <w:p w14:paraId="3D39AE23" w14:textId="77777777" w:rsidR="003D4FF5" w:rsidRDefault="003D4FF5" w:rsidP="003D4FF5">
      <w:pPr>
        <w:pStyle w:val="AH5Sec"/>
      </w:pPr>
      <w:bookmarkStart w:id="215" w:name="_Toc185513832"/>
      <w:r w:rsidRPr="00C8328B">
        <w:rPr>
          <w:rStyle w:val="CharSectNo"/>
        </w:rPr>
        <w:t>467</w:t>
      </w:r>
      <w:r>
        <w:tab/>
        <w:t>Counterclaim—defence arising after answer</w:t>
      </w:r>
      <w:bookmarkEnd w:id="215"/>
    </w:p>
    <w:p w14:paraId="68DA4124" w14:textId="77777777" w:rsidR="003D4FF5" w:rsidRDefault="003D4FF5" w:rsidP="003D4FF5">
      <w:pPr>
        <w:pStyle w:val="Amain"/>
        <w:keepNext/>
      </w:pPr>
      <w:r>
        <w:tab/>
        <w:t>(1)</w:t>
      </w:r>
      <w:r>
        <w:tab/>
        <w:t>This rule applies if a ground of defence to a counterclaim arises after—</w:t>
      </w:r>
    </w:p>
    <w:p w14:paraId="1801E669" w14:textId="77777777" w:rsidR="003D4FF5" w:rsidRDefault="003D4FF5" w:rsidP="003D4FF5">
      <w:pPr>
        <w:pStyle w:val="Apara"/>
      </w:pPr>
      <w:r>
        <w:tab/>
        <w:t>(a)</w:t>
      </w:r>
      <w:r>
        <w:tab/>
        <w:t>the defendant to the counterclaim files an answer to the counterclaim; or</w:t>
      </w:r>
    </w:p>
    <w:p w14:paraId="1BF105F1" w14:textId="77777777" w:rsidR="003D4FF5" w:rsidRDefault="003D4FF5" w:rsidP="003D4FF5">
      <w:pPr>
        <w:pStyle w:val="Apara"/>
      </w:pPr>
      <w:r>
        <w:lastRenderedPageBreak/>
        <w:tab/>
        <w:t>(b)</w:t>
      </w:r>
      <w:r>
        <w:tab/>
        <w:t>the time limited by rule 466 (Counterclaim—answer to) for the defendant to the counterclaim to file an answer to the counterclaim ends.</w:t>
      </w:r>
    </w:p>
    <w:p w14:paraId="087DA015" w14:textId="77777777"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14:paraId="5672FB94"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42A2E37" w14:textId="4F37EB11" w:rsidR="003D4FF5" w:rsidRDefault="003D4FF5" w:rsidP="003D4FF5">
      <w:pPr>
        <w:pStyle w:val="Amain"/>
        <w:keepNext/>
      </w:pPr>
      <w:r>
        <w:tab/>
        <w:t>(3)</w:t>
      </w:r>
      <w:r>
        <w:tab/>
        <w:t xml:space="preserve">The registrar must seal the </w:t>
      </w:r>
      <w:r w:rsidR="00AC6913" w:rsidRPr="00C1177F">
        <w:t>further answer to the counterclaim and any filed copies of the further answer</w:t>
      </w:r>
      <w:r>
        <w:t>.</w:t>
      </w:r>
    </w:p>
    <w:p w14:paraId="313BB877" w14:textId="77777777"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14:paraId="5B2087D1" w14:textId="77777777"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14:paraId="0A074DEC" w14:textId="77777777"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14:paraId="554506EA" w14:textId="77777777" w:rsidR="003D4FF5" w:rsidRDefault="003D4FF5" w:rsidP="003D4FF5">
      <w:pPr>
        <w:pStyle w:val="AH5Sec"/>
      </w:pPr>
      <w:bookmarkStart w:id="216" w:name="_Toc185513833"/>
      <w:r w:rsidRPr="00C8328B">
        <w:rPr>
          <w:rStyle w:val="CharSectNo"/>
        </w:rPr>
        <w:t>468</w:t>
      </w:r>
      <w:r>
        <w:tab/>
        <w:t>Counterclaim—effect of no answer</w:t>
      </w:r>
      <w:bookmarkEnd w:id="216"/>
    </w:p>
    <w:p w14:paraId="542710FA" w14:textId="77777777" w:rsidR="003D4FF5" w:rsidRDefault="003D4FF5" w:rsidP="003D4FF5">
      <w:pPr>
        <w:pStyle w:val="Amainreturn"/>
      </w:pPr>
      <w:r>
        <w:t>If no answer to a counterclaim is filed and served, the facts stated in the counterclaim are taken to have been admitted.</w:t>
      </w:r>
    </w:p>
    <w:p w14:paraId="79C33C14" w14:textId="77777777" w:rsidR="003D4FF5" w:rsidRDefault="003D4FF5" w:rsidP="003D4FF5">
      <w:pPr>
        <w:pStyle w:val="AH5Sec"/>
      </w:pPr>
      <w:bookmarkStart w:id="217" w:name="_Toc185513834"/>
      <w:r w:rsidRPr="00C8328B">
        <w:rPr>
          <w:rStyle w:val="CharSectNo"/>
        </w:rPr>
        <w:t>469</w:t>
      </w:r>
      <w:r>
        <w:tab/>
        <w:t>Counterclaim—response to answer</w:t>
      </w:r>
      <w:bookmarkEnd w:id="217"/>
    </w:p>
    <w:p w14:paraId="51E4D5BB" w14:textId="77777777" w:rsidR="003D4FF5" w:rsidRDefault="003D4FF5" w:rsidP="003D4FF5">
      <w:pPr>
        <w:pStyle w:val="Amain"/>
        <w:keepNext/>
      </w:pPr>
      <w:r>
        <w:tab/>
        <w:t>(1)</w:t>
      </w:r>
      <w:r>
        <w:tab/>
        <w:t>A plaintiff to a counterclaim may file a response to an answer to the counterclaim.</w:t>
      </w:r>
    </w:p>
    <w:p w14:paraId="52E85A8C" w14:textId="134C141C" w:rsidR="003D4FF5" w:rsidRDefault="003D4FF5" w:rsidP="003D4FF5">
      <w:pPr>
        <w:pStyle w:val="aNote"/>
      </w:pPr>
      <w:r>
        <w:rPr>
          <w:rStyle w:val="charItals"/>
        </w:rPr>
        <w:t>Note</w:t>
      </w:r>
      <w:r>
        <w:rPr>
          <w:rStyle w:val="charItals"/>
        </w:rPr>
        <w:tab/>
      </w:r>
      <w:r>
        <w:t>See approved form 2.17 (Response to answer to counterclaim)</w:t>
      </w:r>
      <w:r>
        <w:br/>
      </w:r>
      <w:hyperlink r:id="rId91" w:history="1">
        <w:r w:rsidRPr="00781093">
          <w:rPr>
            <w:rStyle w:val="charCitHyperlinkAbbrev"/>
          </w:rPr>
          <w:t>AF2006-262</w:t>
        </w:r>
      </w:hyperlink>
      <w:r>
        <w:t>.</w:t>
      </w:r>
    </w:p>
    <w:p w14:paraId="36E6911D" w14:textId="77777777"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14:paraId="4659E0B9" w14:textId="77777777" w:rsidR="003D4FF5" w:rsidRDefault="003D4FF5" w:rsidP="003D4FF5">
      <w:pPr>
        <w:pStyle w:val="Amain"/>
        <w:keepNext/>
      </w:pPr>
      <w:r>
        <w:lastRenderedPageBreak/>
        <w:tab/>
        <w:t>(3)</w:t>
      </w:r>
      <w:r>
        <w:tab/>
        <w:t>The response must be filed not later than 14 days after the day the answer to the counterclaim is served on the plaintiff to the counterclaim.</w:t>
      </w:r>
    </w:p>
    <w:p w14:paraId="010EF539"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35E24148" w14:textId="77777777"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14:paraId="43EF3C20" w14:textId="77777777" w:rsidR="003D4FF5" w:rsidRDefault="003D4FF5" w:rsidP="003D4FF5">
      <w:pPr>
        <w:pStyle w:val="AH5Sec"/>
      </w:pPr>
      <w:bookmarkStart w:id="218" w:name="_Toc185513835"/>
      <w:r w:rsidRPr="00C8328B">
        <w:rPr>
          <w:rStyle w:val="CharSectNo"/>
        </w:rPr>
        <w:t>470</w:t>
      </w:r>
      <w:r>
        <w:tab/>
        <w:t>Counterclaim—conduct and pleading</w:t>
      </w:r>
      <w:bookmarkEnd w:id="218"/>
    </w:p>
    <w:p w14:paraId="4BE27C2E" w14:textId="77777777" w:rsidR="003D4FF5" w:rsidRDefault="003D4FF5" w:rsidP="003D4FF5">
      <w:pPr>
        <w:pStyle w:val="Amain"/>
      </w:pPr>
      <w:r>
        <w:tab/>
        <w:t>(1)</w:t>
      </w:r>
      <w:r>
        <w:tab/>
        <w:t>These rules apply, with necessary changes, to the conduct and pleading of a counterclaim as if—</w:t>
      </w:r>
    </w:p>
    <w:p w14:paraId="4AC2C169" w14:textId="77777777" w:rsidR="003D4FF5" w:rsidRDefault="003D4FF5" w:rsidP="003D4FF5">
      <w:pPr>
        <w:pStyle w:val="Apara"/>
      </w:pPr>
      <w:r>
        <w:tab/>
        <w:t>(a)</w:t>
      </w:r>
      <w:r>
        <w:tab/>
        <w:t>the plaintiff on the counterclaim were the plaintiff in an original proceeding; and</w:t>
      </w:r>
    </w:p>
    <w:p w14:paraId="2C82A4AC" w14:textId="77777777" w:rsidR="003D4FF5" w:rsidRDefault="003D4FF5" w:rsidP="003D4FF5">
      <w:pPr>
        <w:pStyle w:val="Apara"/>
      </w:pPr>
      <w:r>
        <w:tab/>
        <w:t>(b)</w:t>
      </w:r>
      <w:r>
        <w:tab/>
        <w:t>the defendant to the counterclaim were the defendant to the original proceeding; and</w:t>
      </w:r>
    </w:p>
    <w:p w14:paraId="2AF437EC" w14:textId="77777777" w:rsidR="003D4FF5" w:rsidRDefault="003D4FF5" w:rsidP="003D4FF5">
      <w:pPr>
        <w:pStyle w:val="Apara"/>
      </w:pPr>
      <w:r>
        <w:tab/>
        <w:t>(c)</w:t>
      </w:r>
      <w:r>
        <w:tab/>
        <w:t>the counterclaim were an originating process.</w:t>
      </w:r>
    </w:p>
    <w:p w14:paraId="76121F9D" w14:textId="77777777" w:rsidR="003D4FF5" w:rsidRDefault="003D4FF5" w:rsidP="003D4FF5">
      <w:pPr>
        <w:pStyle w:val="Amain"/>
        <w:keepLines/>
      </w:pPr>
      <w:r>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14:paraId="3053C3CB" w14:textId="77777777" w:rsidR="003D4FF5" w:rsidRDefault="003D4FF5" w:rsidP="003D4FF5">
      <w:pPr>
        <w:pStyle w:val="Amain"/>
      </w:pPr>
      <w:r>
        <w:tab/>
        <w:t>(3)</w:t>
      </w:r>
      <w:r>
        <w:tab/>
        <w:t>Subject to rule 471 (Counterclaim—order for separate hearing), a counterclaim must be heard at the hearing of the plaintiff’s claim.</w:t>
      </w:r>
    </w:p>
    <w:p w14:paraId="188B2308" w14:textId="77777777" w:rsidR="003D4FF5" w:rsidRDefault="003D4FF5" w:rsidP="003D4FF5">
      <w:pPr>
        <w:pStyle w:val="AH5Sec"/>
      </w:pPr>
      <w:bookmarkStart w:id="219" w:name="_Toc185513836"/>
      <w:r w:rsidRPr="00C8328B">
        <w:rPr>
          <w:rStyle w:val="CharSectNo"/>
        </w:rPr>
        <w:t>471</w:t>
      </w:r>
      <w:r>
        <w:tab/>
        <w:t>Counterclaim—order for separate hearing</w:t>
      </w:r>
      <w:bookmarkEnd w:id="219"/>
    </w:p>
    <w:p w14:paraId="2CCBAD0B" w14:textId="77777777"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14:paraId="1CBA4F3F" w14:textId="77777777" w:rsidR="003D4FF5" w:rsidRDefault="003D4FF5" w:rsidP="003D4FF5">
      <w:pPr>
        <w:pStyle w:val="Apara"/>
      </w:pPr>
      <w:r>
        <w:tab/>
        <w:t>(a)</w:t>
      </w:r>
      <w:r>
        <w:tab/>
        <w:t>unfairly prejudice a party; or</w:t>
      </w:r>
    </w:p>
    <w:p w14:paraId="327EEBF8" w14:textId="77777777" w:rsidR="003D4FF5" w:rsidRDefault="003D4FF5" w:rsidP="003D4FF5">
      <w:pPr>
        <w:pStyle w:val="Apara"/>
      </w:pPr>
      <w:r>
        <w:lastRenderedPageBreak/>
        <w:tab/>
        <w:t>(b)</w:t>
      </w:r>
      <w:r>
        <w:tab/>
        <w:t>embarrass or delay the hearing of the proceeding; or</w:t>
      </w:r>
    </w:p>
    <w:p w14:paraId="4A2F58E4" w14:textId="77777777" w:rsidR="003D4FF5" w:rsidRDefault="003D4FF5" w:rsidP="003D4FF5">
      <w:pPr>
        <w:pStyle w:val="Apara"/>
      </w:pPr>
      <w:r>
        <w:tab/>
        <w:t>(c)</w:t>
      </w:r>
      <w:r>
        <w:tab/>
        <w:t>be otherwise inconvenient.</w:t>
      </w:r>
    </w:p>
    <w:p w14:paraId="15720DD4" w14:textId="77777777" w:rsidR="003D4FF5" w:rsidRDefault="003D4FF5" w:rsidP="003D4FF5">
      <w:pPr>
        <w:pStyle w:val="Amain"/>
      </w:pPr>
      <w:r>
        <w:tab/>
        <w:t>(2)</w:t>
      </w:r>
      <w:r>
        <w:tab/>
        <w:t>The court may order that a counterclaim be heard separately—</w:t>
      </w:r>
    </w:p>
    <w:p w14:paraId="5389402D" w14:textId="77777777" w:rsidR="003D4FF5" w:rsidRDefault="003D4FF5" w:rsidP="003D4FF5">
      <w:pPr>
        <w:pStyle w:val="Apara"/>
      </w:pPr>
      <w:r>
        <w:tab/>
        <w:t>(a)</w:t>
      </w:r>
      <w:r>
        <w:tab/>
        <w:t>on application by a party before the party files and serves an answer to the counterclaim; or</w:t>
      </w:r>
    </w:p>
    <w:p w14:paraId="536FE719" w14:textId="77777777" w:rsidR="003D4FF5" w:rsidRDefault="003D4FF5" w:rsidP="003D4FF5">
      <w:pPr>
        <w:pStyle w:val="Apara"/>
        <w:keepNext/>
      </w:pPr>
      <w:r>
        <w:tab/>
        <w:t>(b)</w:t>
      </w:r>
      <w:r>
        <w:tab/>
        <w:t>on its own initiative.</w:t>
      </w:r>
    </w:p>
    <w:p w14:paraId="0701816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FCD0ACD" w14:textId="77777777" w:rsidR="003D4FF5" w:rsidRDefault="003D4FF5" w:rsidP="003D4FF5">
      <w:pPr>
        <w:pStyle w:val="Amain"/>
      </w:pPr>
      <w:r>
        <w:tab/>
        <w:t>(3)</w:t>
      </w:r>
      <w:r>
        <w:tab/>
        <w:t>The court may make the orders it considers appropriate about the conduct of the separate hearing.</w:t>
      </w:r>
    </w:p>
    <w:p w14:paraId="58244CE3" w14:textId="77777777" w:rsidR="003D4FF5" w:rsidRDefault="003D4FF5" w:rsidP="003D4FF5">
      <w:pPr>
        <w:pStyle w:val="AH5Sec"/>
      </w:pPr>
      <w:bookmarkStart w:id="220" w:name="_Toc185513837"/>
      <w:r w:rsidRPr="00C8328B">
        <w:rPr>
          <w:rStyle w:val="CharSectNo"/>
        </w:rPr>
        <w:t>472</w:t>
      </w:r>
      <w:r>
        <w:tab/>
        <w:t>Counterclaim—after judgment etc in original proceeding</w:t>
      </w:r>
      <w:bookmarkEnd w:id="220"/>
    </w:p>
    <w:p w14:paraId="03A68852" w14:textId="77777777" w:rsidR="003D4FF5" w:rsidRDefault="003D4FF5" w:rsidP="003D4FF5">
      <w:pPr>
        <w:pStyle w:val="Amainreturn"/>
      </w:pPr>
      <w:r>
        <w:t>A counterclaim may proceed after judgment is given in the original proceeding or after the original proceeding is stayed, dismissed or discontinued.</w:t>
      </w:r>
    </w:p>
    <w:p w14:paraId="26C85BD3" w14:textId="77777777" w:rsidR="003D4FF5" w:rsidRDefault="003D4FF5" w:rsidP="003D4FF5">
      <w:pPr>
        <w:pStyle w:val="AH5Sec"/>
      </w:pPr>
      <w:bookmarkStart w:id="221" w:name="_Toc185513838"/>
      <w:r w:rsidRPr="00C8328B">
        <w:rPr>
          <w:rStyle w:val="CharSectNo"/>
        </w:rPr>
        <w:t>473</w:t>
      </w:r>
      <w:r>
        <w:tab/>
        <w:t>Counterclaim—judgment for balance</w:t>
      </w:r>
      <w:bookmarkEnd w:id="221"/>
    </w:p>
    <w:p w14:paraId="6F7783AB" w14:textId="77777777" w:rsidR="003D4FF5" w:rsidRDefault="003D4FF5" w:rsidP="003D4FF5">
      <w:pPr>
        <w:pStyle w:val="Amainreturn"/>
      </w:pPr>
      <w:r>
        <w:t>If a defendant establishes a counterclaim against the plaintiff and there is a balance in favour of 1 of the parties, the court may give judgment for the balance.</w:t>
      </w:r>
    </w:p>
    <w:p w14:paraId="5703250A" w14:textId="77777777" w:rsidR="003D4FF5" w:rsidRDefault="003D4FF5" w:rsidP="003D4FF5">
      <w:pPr>
        <w:pStyle w:val="AH5Sec"/>
      </w:pPr>
      <w:bookmarkStart w:id="222" w:name="_Toc185513839"/>
      <w:r w:rsidRPr="00C8328B">
        <w:rPr>
          <w:rStyle w:val="CharSectNo"/>
        </w:rPr>
        <w:t>474</w:t>
      </w:r>
      <w:r>
        <w:tab/>
        <w:t>Counterclaim—stay of claim</w:t>
      </w:r>
      <w:bookmarkEnd w:id="222"/>
    </w:p>
    <w:p w14:paraId="2EB0DC75" w14:textId="77777777"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14:paraId="52063697"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536920A3" w14:textId="77777777" w:rsidR="003D4FF5" w:rsidRPr="00C8328B" w:rsidRDefault="003D4FF5" w:rsidP="003D4FF5">
      <w:pPr>
        <w:pStyle w:val="AH3Div"/>
      </w:pPr>
      <w:bookmarkStart w:id="223" w:name="_Toc185513840"/>
      <w:r w:rsidRPr="00C8328B">
        <w:rPr>
          <w:rStyle w:val="CharDivNo"/>
        </w:rPr>
        <w:lastRenderedPageBreak/>
        <w:t>Division 2.6.8</w:t>
      </w:r>
      <w:r>
        <w:tab/>
      </w:r>
      <w:r w:rsidRPr="00C8328B">
        <w:rPr>
          <w:rStyle w:val="CharDivText"/>
        </w:rPr>
        <w:t>Progress of pleading</w:t>
      </w:r>
      <w:bookmarkEnd w:id="223"/>
    </w:p>
    <w:p w14:paraId="0315E8A2" w14:textId="77777777" w:rsidR="003D4FF5" w:rsidRDefault="003D4FF5" w:rsidP="003D4FF5">
      <w:pPr>
        <w:pStyle w:val="AH5Sec"/>
      </w:pPr>
      <w:bookmarkStart w:id="224" w:name="_Toc185513841"/>
      <w:r w:rsidRPr="00C8328B">
        <w:rPr>
          <w:rStyle w:val="CharSectNo"/>
        </w:rPr>
        <w:t>480</w:t>
      </w:r>
      <w:r>
        <w:tab/>
        <w:t>Pleadings—reply to defence</w:t>
      </w:r>
      <w:bookmarkEnd w:id="224"/>
    </w:p>
    <w:p w14:paraId="7A8A330A" w14:textId="77777777" w:rsidR="003D4FF5" w:rsidRDefault="003D4FF5" w:rsidP="003D4FF5">
      <w:pPr>
        <w:pStyle w:val="Amain"/>
        <w:keepNext/>
      </w:pPr>
      <w:r>
        <w:tab/>
        <w:t>(1)</w:t>
      </w:r>
      <w:r>
        <w:tab/>
        <w:t>A plaintiff may file a reply to a defence.</w:t>
      </w:r>
    </w:p>
    <w:p w14:paraId="22D4FC93" w14:textId="2F425CED" w:rsidR="003D4FF5" w:rsidRDefault="003D4FF5" w:rsidP="003D4FF5">
      <w:pPr>
        <w:pStyle w:val="aNote"/>
      </w:pPr>
      <w:r>
        <w:rPr>
          <w:rStyle w:val="charItals"/>
        </w:rPr>
        <w:t>Note</w:t>
      </w:r>
      <w:r>
        <w:rPr>
          <w:rStyle w:val="charItals"/>
        </w:rPr>
        <w:tab/>
      </w:r>
      <w:r>
        <w:t xml:space="preserve">See approved form 2.18 (Reply to defence) </w:t>
      </w:r>
      <w:hyperlink r:id="rId92" w:history="1">
        <w:r w:rsidRPr="00781093">
          <w:rPr>
            <w:rStyle w:val="charCitHyperlinkAbbrev"/>
          </w:rPr>
          <w:t>AF2006-263</w:t>
        </w:r>
      </w:hyperlink>
      <w:r>
        <w:t>.</w:t>
      </w:r>
    </w:p>
    <w:p w14:paraId="5FEA5A35" w14:textId="77777777" w:rsidR="003D4FF5" w:rsidRDefault="003D4FF5" w:rsidP="003D4FF5">
      <w:pPr>
        <w:pStyle w:val="Amain"/>
      </w:pPr>
      <w:r>
        <w:tab/>
        <w:t>(2)</w:t>
      </w:r>
      <w:r>
        <w:tab/>
        <w:t>It is not necessary for a party to file a reply only for the purpose of denying the allegations in the defence (that is, to join issue on the defence).</w:t>
      </w:r>
    </w:p>
    <w:p w14:paraId="3C93960B" w14:textId="77777777" w:rsidR="003D4FF5" w:rsidRDefault="003D4FF5" w:rsidP="003D4FF5">
      <w:pPr>
        <w:pStyle w:val="Amain"/>
        <w:keepNext/>
      </w:pPr>
      <w:r>
        <w:tab/>
        <w:t>(3)</w:t>
      </w:r>
      <w:r>
        <w:tab/>
        <w:t>The reply must be filed not later than 14 days after the day the defence is served on the plaintiff.</w:t>
      </w:r>
    </w:p>
    <w:p w14:paraId="04F00854"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08A5F10C" w14:textId="2F41D3B4" w:rsidR="00E61220" w:rsidRPr="00C1177F" w:rsidRDefault="00E61220" w:rsidP="00E61220">
      <w:pPr>
        <w:pStyle w:val="Amain"/>
      </w:pPr>
      <w:r w:rsidRPr="00C1177F">
        <w:tab/>
        <w:t>(</w:t>
      </w:r>
      <w:r>
        <w:t>4</w:t>
      </w:r>
      <w:r w:rsidRPr="00C1177F">
        <w:t>)</w:t>
      </w:r>
      <w:r w:rsidRPr="00C1177F">
        <w:tab/>
        <w:t>The registrar must seal the reply and any filed copies of the reply.</w:t>
      </w:r>
    </w:p>
    <w:p w14:paraId="077C3A50" w14:textId="1D475721" w:rsidR="003D4FF5" w:rsidRDefault="003D4FF5" w:rsidP="003D4FF5">
      <w:pPr>
        <w:pStyle w:val="Amain"/>
        <w:keepNext/>
        <w:rPr>
          <w:lang w:val="en-US"/>
        </w:rPr>
      </w:pPr>
      <w:r>
        <w:rPr>
          <w:lang w:val="en-US"/>
        </w:rPr>
        <w:tab/>
        <w:t>(</w:t>
      </w:r>
      <w:r w:rsidR="00E61220">
        <w:rPr>
          <w:lang w:val="en-US"/>
        </w:rPr>
        <w:t>5</w:t>
      </w:r>
      <w:r>
        <w:rPr>
          <w:lang w:val="en-US"/>
        </w:rPr>
        <w:t>)</w:t>
      </w:r>
      <w:r>
        <w:rPr>
          <w:lang w:val="en-US"/>
        </w:rPr>
        <w:tab/>
        <w:t>The plaintiff must serve a sealed copy of the reply on the defendant at the defendant’s address for service on the day it is filed.</w:t>
      </w:r>
    </w:p>
    <w:p w14:paraId="43D5C097" w14:textId="77777777"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14:paraId="7A4A3D2A"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0D196C12" w14:textId="77777777" w:rsidR="003D4FF5" w:rsidRDefault="003D4FF5" w:rsidP="003D4FF5">
      <w:pPr>
        <w:pStyle w:val="AH5Sec"/>
      </w:pPr>
      <w:bookmarkStart w:id="225" w:name="_Toc185513842"/>
      <w:r w:rsidRPr="00C8328B">
        <w:rPr>
          <w:rStyle w:val="CharSectNo"/>
        </w:rPr>
        <w:t>481</w:t>
      </w:r>
      <w:r>
        <w:tab/>
        <w:t>Pleadings—after reply</w:t>
      </w:r>
      <w:bookmarkEnd w:id="225"/>
    </w:p>
    <w:p w14:paraId="2353B31A" w14:textId="77777777"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14:paraId="5D0AA7A3"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7CCE0515" w14:textId="77777777"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14:paraId="06A5F3EA" w14:textId="77777777"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14:paraId="278B0019" w14:textId="0B6362C8" w:rsidR="003D4FF5" w:rsidRDefault="003D4FF5" w:rsidP="003D4FF5">
      <w:pPr>
        <w:pStyle w:val="Amain"/>
        <w:keepNext/>
      </w:pPr>
      <w:r>
        <w:lastRenderedPageBreak/>
        <w:tab/>
        <w:t>(4)</w:t>
      </w:r>
      <w:r>
        <w:tab/>
        <w:t xml:space="preserve">The registrar must seal the </w:t>
      </w:r>
      <w:r w:rsidR="00EC2197" w:rsidRPr="00C1177F">
        <w:t>further reply and any</w:t>
      </w:r>
      <w:r>
        <w:t xml:space="preserve"> filed copies of the further reply.</w:t>
      </w:r>
    </w:p>
    <w:p w14:paraId="1A8F7961"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0D303DDB" w14:textId="77777777"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14:paraId="0EC1B63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877B2D8" w14:textId="77777777" w:rsidR="003D4FF5" w:rsidRDefault="003D4FF5" w:rsidP="003D4FF5">
      <w:pPr>
        <w:pStyle w:val="AH5Sec"/>
      </w:pPr>
      <w:bookmarkStart w:id="226" w:name="_Toc185513843"/>
      <w:r w:rsidRPr="00C8328B">
        <w:rPr>
          <w:rStyle w:val="CharSectNo"/>
        </w:rPr>
        <w:t>482</w:t>
      </w:r>
      <w:r>
        <w:tab/>
        <w:t>Pleadings—joinder of issue</w:t>
      </w:r>
      <w:bookmarkEnd w:id="226"/>
    </w:p>
    <w:p w14:paraId="6314ED05" w14:textId="77777777" w:rsidR="003D4FF5" w:rsidRDefault="003D4FF5" w:rsidP="003D4FF5">
      <w:pPr>
        <w:pStyle w:val="Amain"/>
        <w:keepNext/>
      </w:pPr>
      <w:r>
        <w:tab/>
        <w:t>(1)</w:t>
      </w:r>
      <w:r>
        <w:tab/>
        <w:t>A pleading may expressly join issue on a previous pleading.</w:t>
      </w:r>
    </w:p>
    <w:p w14:paraId="34D5CFE1" w14:textId="77777777" w:rsidR="003D4FF5" w:rsidRDefault="003D4FF5" w:rsidP="003D4FF5">
      <w:pPr>
        <w:pStyle w:val="aExamHdgss"/>
      </w:pPr>
      <w:r>
        <w:t>Example</w:t>
      </w:r>
    </w:p>
    <w:p w14:paraId="0994B645" w14:textId="77777777" w:rsidR="003D4FF5" w:rsidRDefault="003D4FF5" w:rsidP="003D4FF5">
      <w:pPr>
        <w:pStyle w:val="aExamss"/>
        <w:keepNext/>
      </w:pPr>
      <w:r>
        <w:t>an express denial</w:t>
      </w:r>
    </w:p>
    <w:p w14:paraId="29212C24" w14:textId="77777777"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14:paraId="78A727F5" w14:textId="77777777" w:rsidR="003D4FF5" w:rsidRDefault="003D4FF5" w:rsidP="003D4FF5">
      <w:pPr>
        <w:pStyle w:val="Amain"/>
      </w:pPr>
      <w:r>
        <w:tab/>
        <w:t>(3)</w:t>
      </w:r>
      <w:r>
        <w:tab/>
        <w:t>If there is no reply by a plaintiff to a defence, there is an implied joinder of issue on the defence.</w:t>
      </w:r>
    </w:p>
    <w:p w14:paraId="3FB4DBC3" w14:textId="77777777" w:rsidR="003D4FF5" w:rsidRDefault="003D4FF5" w:rsidP="003D4FF5">
      <w:pPr>
        <w:pStyle w:val="Amain"/>
      </w:pPr>
      <w:r>
        <w:tab/>
        <w:t>(4)</w:t>
      </w:r>
      <w:r>
        <w:tab/>
        <w:t>If there is no answer by the opposite party to a reply or subsequent pleading, there is an implied joinder of issue on the reply or subsequent pleading.</w:t>
      </w:r>
    </w:p>
    <w:p w14:paraId="185FA820" w14:textId="77777777" w:rsidR="003D4FF5" w:rsidRDefault="003D4FF5" w:rsidP="003D4FF5">
      <w:pPr>
        <w:pStyle w:val="Amain"/>
      </w:pPr>
      <w:r>
        <w:tab/>
        <w:t>(5)</w:t>
      </w:r>
      <w:r>
        <w:tab/>
        <w:t>An implied joinder of issue on a pleading operates as a denial of every allegation of fact made in the pleading.</w:t>
      </w:r>
    </w:p>
    <w:p w14:paraId="28C196C3" w14:textId="77777777" w:rsidR="003D4FF5" w:rsidRDefault="003D4FF5" w:rsidP="003D4FF5">
      <w:pPr>
        <w:pStyle w:val="AH5Sec"/>
      </w:pPr>
      <w:bookmarkStart w:id="227" w:name="_Toc185513844"/>
      <w:r w:rsidRPr="00C8328B">
        <w:rPr>
          <w:rStyle w:val="CharSectNo"/>
        </w:rPr>
        <w:t>483</w:t>
      </w:r>
      <w:r>
        <w:tab/>
        <w:t>Pleadings—close</w:t>
      </w:r>
      <w:bookmarkEnd w:id="227"/>
    </w:p>
    <w:p w14:paraId="25C18717" w14:textId="77777777" w:rsidR="003D4FF5" w:rsidRDefault="003D4FF5" w:rsidP="003D4FF5">
      <w:pPr>
        <w:pStyle w:val="Amain"/>
      </w:pPr>
      <w:r>
        <w:tab/>
        <w:t>(1)</w:t>
      </w:r>
      <w:r>
        <w:tab/>
        <w:t>The pleadings in a proceeding close—</w:t>
      </w:r>
    </w:p>
    <w:p w14:paraId="0C684571" w14:textId="77777777" w:rsidR="003D4FF5" w:rsidRDefault="003D4FF5" w:rsidP="003D4FF5">
      <w:pPr>
        <w:pStyle w:val="Apara"/>
      </w:pPr>
      <w:r>
        <w:tab/>
        <w:t>(a)</w:t>
      </w:r>
      <w:r>
        <w:tab/>
        <w:t>if a pleading is served after the defence, or answer to a counterclaim—on service of the pleading; or</w:t>
      </w:r>
    </w:p>
    <w:p w14:paraId="173CA97D" w14:textId="77777777" w:rsidR="003D4FF5" w:rsidRDefault="003D4FF5" w:rsidP="003D4FF5">
      <w:pPr>
        <w:pStyle w:val="Apara"/>
      </w:pPr>
      <w:r>
        <w:tab/>
        <w:t>(b)</w:t>
      </w:r>
      <w:r>
        <w:tab/>
        <w:t>in any other case—7 days after the day the defence, or answer to a counterclaim, is served.</w:t>
      </w:r>
    </w:p>
    <w:p w14:paraId="0D3EE50C" w14:textId="77777777" w:rsidR="003D4FF5" w:rsidRDefault="003D4FF5" w:rsidP="003D4FF5">
      <w:pPr>
        <w:pStyle w:val="Amain"/>
        <w:keepNext/>
      </w:pPr>
      <w:r>
        <w:lastRenderedPageBreak/>
        <w:tab/>
        <w:t>(2)</w:t>
      </w:r>
      <w:r>
        <w:tab/>
        <w:t>If a third-party notice, or subsequent notice, is served in a proceeding, the pleadings in the proceeding on that notice close—</w:t>
      </w:r>
    </w:p>
    <w:p w14:paraId="40E5BF85" w14:textId="77777777" w:rsidR="003D4FF5" w:rsidRDefault="003D4FF5" w:rsidP="003D4FF5">
      <w:pPr>
        <w:pStyle w:val="Apara"/>
      </w:pPr>
      <w:r>
        <w:tab/>
        <w:t>(a)</w:t>
      </w:r>
      <w:r>
        <w:tab/>
        <w:t>if a pleading is served after the defence, or answer to a counterclaim, to the notice—on service of the pleading; or</w:t>
      </w:r>
    </w:p>
    <w:p w14:paraId="48F13A11" w14:textId="77777777" w:rsidR="003D4FF5" w:rsidRDefault="003D4FF5" w:rsidP="003D4FF5">
      <w:pPr>
        <w:pStyle w:val="Apara"/>
      </w:pPr>
      <w:r>
        <w:tab/>
        <w:t>(b)</w:t>
      </w:r>
      <w:r>
        <w:tab/>
        <w:t>in any other case—7 days after the day the defence, or answer to a counterclaim, to the notice is served.</w:t>
      </w:r>
    </w:p>
    <w:p w14:paraId="694D7577" w14:textId="77777777" w:rsidR="003D4FF5" w:rsidRPr="00C8328B" w:rsidRDefault="003D4FF5" w:rsidP="003D4FF5">
      <w:pPr>
        <w:pStyle w:val="AH3Div"/>
      </w:pPr>
      <w:bookmarkStart w:id="228" w:name="_Toc185513845"/>
      <w:r w:rsidRPr="00C8328B">
        <w:rPr>
          <w:rStyle w:val="CharDivNo"/>
        </w:rPr>
        <w:t>Division 2.6.9</w:t>
      </w:r>
      <w:r>
        <w:tab/>
      </w:r>
      <w:r w:rsidRPr="00C8328B">
        <w:rPr>
          <w:rStyle w:val="CharDivText"/>
        </w:rPr>
        <w:t>Admissions</w:t>
      </w:r>
      <w:bookmarkEnd w:id="228"/>
    </w:p>
    <w:p w14:paraId="5BA04785" w14:textId="77777777" w:rsidR="003D4FF5" w:rsidRDefault="003D4FF5" w:rsidP="003D4FF5">
      <w:pPr>
        <w:pStyle w:val="AH5Sec"/>
      </w:pPr>
      <w:bookmarkStart w:id="229" w:name="_Toc185513846"/>
      <w:r w:rsidRPr="00C8328B">
        <w:rPr>
          <w:rStyle w:val="CharSectNo"/>
        </w:rPr>
        <w:t>490</w:t>
      </w:r>
      <w:r>
        <w:tab/>
        <w:t>Admissions—voluntary admission</w:t>
      </w:r>
      <w:bookmarkEnd w:id="229"/>
    </w:p>
    <w:p w14:paraId="2EE4ABBC" w14:textId="77777777" w:rsidR="003D4FF5" w:rsidRDefault="003D4FF5" w:rsidP="003D4FF5">
      <w:pPr>
        <w:pStyle w:val="Amain"/>
      </w:pPr>
      <w:r>
        <w:tab/>
        <w:t>(1)</w:t>
      </w:r>
      <w:r>
        <w:tab/>
        <w:t>A party to a proceeding may, in a pleading or notice served on another party, admit, in favour of the other party, the facts stated in the pleading or notice.</w:t>
      </w:r>
    </w:p>
    <w:p w14:paraId="159D0CCA" w14:textId="77777777" w:rsidR="003D4FF5" w:rsidRDefault="003D4FF5" w:rsidP="003D4FF5">
      <w:pPr>
        <w:pStyle w:val="Amain"/>
      </w:pPr>
      <w:r>
        <w:tab/>
        <w:t>(2)</w:t>
      </w:r>
      <w:r>
        <w:tab/>
        <w:t>An admission made under subrule (1) has effect only for the proceeding.</w:t>
      </w:r>
    </w:p>
    <w:p w14:paraId="45004B6B" w14:textId="77777777" w:rsidR="003D4FF5" w:rsidRDefault="003D4FF5" w:rsidP="003D4FF5">
      <w:pPr>
        <w:pStyle w:val="AH5Sec"/>
      </w:pPr>
      <w:bookmarkStart w:id="230" w:name="_Toc185513847"/>
      <w:r w:rsidRPr="00C8328B">
        <w:rPr>
          <w:rStyle w:val="CharSectNo"/>
        </w:rPr>
        <w:t>491</w:t>
      </w:r>
      <w:r>
        <w:tab/>
        <w:t>Admissions—notice to admit facts or documents</w:t>
      </w:r>
      <w:bookmarkEnd w:id="230"/>
    </w:p>
    <w:p w14:paraId="375A1DE4" w14:textId="77777777"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14:paraId="17397B63" w14:textId="77777777" w:rsidR="003D4FF5" w:rsidRDefault="003D4FF5" w:rsidP="003D4FF5">
      <w:pPr>
        <w:pStyle w:val="aNote"/>
      </w:pPr>
      <w:r>
        <w:rPr>
          <w:rStyle w:val="charItals"/>
        </w:rPr>
        <w:t>Note</w:t>
      </w:r>
      <w:r>
        <w:rPr>
          <w:rStyle w:val="charItals"/>
        </w:rPr>
        <w:tab/>
      </w:r>
      <w:r>
        <w:t>See</w:t>
      </w:r>
    </w:p>
    <w:p w14:paraId="133F4A5A" w14:textId="662F5283"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3" w:history="1">
        <w:r w:rsidRPr="00781093">
          <w:rPr>
            <w:rStyle w:val="charCitHyperlinkAbbrev"/>
          </w:rPr>
          <w:t>AF2006-264</w:t>
        </w:r>
      </w:hyperlink>
    </w:p>
    <w:p w14:paraId="7E1419CF" w14:textId="25C865FD"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94" w:history="1">
        <w:r w:rsidRPr="00781093">
          <w:rPr>
            <w:rStyle w:val="charCitHyperlinkAbbrev"/>
          </w:rPr>
          <w:t>AF2006-265</w:t>
        </w:r>
      </w:hyperlink>
      <w:r>
        <w:t>.</w:t>
      </w:r>
    </w:p>
    <w:p w14:paraId="642F2677" w14:textId="77777777" w:rsidR="003D4FF5" w:rsidRDefault="003D4FF5" w:rsidP="00F13D87">
      <w:pPr>
        <w:pStyle w:val="Amain"/>
        <w:keepNext/>
        <w:keepLines/>
      </w:pPr>
      <w:r>
        <w:lastRenderedPageBreak/>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14:paraId="7FE37E44" w14:textId="77777777" w:rsidR="003D4FF5" w:rsidRDefault="003D4FF5" w:rsidP="00F13D87">
      <w:pPr>
        <w:pStyle w:val="aNote"/>
        <w:keepNext/>
      </w:pPr>
      <w:r>
        <w:rPr>
          <w:rStyle w:val="charItals"/>
        </w:rPr>
        <w:t>Note</w:t>
      </w:r>
      <w:r>
        <w:rPr>
          <w:rStyle w:val="charItals"/>
        </w:rPr>
        <w:tab/>
      </w:r>
      <w:r>
        <w:t>See</w:t>
      </w:r>
    </w:p>
    <w:p w14:paraId="556FEB24" w14:textId="7D18BF8F" w:rsidR="003D4FF5" w:rsidRDefault="003D4FF5" w:rsidP="00F13D87">
      <w:pPr>
        <w:pStyle w:val="aNoteBulletss"/>
        <w:keepNext/>
      </w:pPr>
      <w:r>
        <w:rPr>
          <w:rFonts w:ascii="Symbol" w:hAnsi="Symbol"/>
        </w:rPr>
        <w:sym w:font="Symbol" w:char="F0B7"/>
      </w:r>
      <w:r>
        <w:rPr>
          <w:rFonts w:ascii="Symbol" w:hAnsi="Symbol"/>
        </w:rPr>
        <w:tab/>
      </w:r>
      <w:r>
        <w:t xml:space="preserve">approved form 2.21 (Notice disputing facts) </w:t>
      </w:r>
      <w:hyperlink r:id="rId95" w:history="1">
        <w:r w:rsidRPr="00781093">
          <w:rPr>
            <w:rStyle w:val="charCitHyperlinkAbbrev"/>
          </w:rPr>
          <w:t>AF2006-266</w:t>
        </w:r>
      </w:hyperlink>
    </w:p>
    <w:p w14:paraId="419CA868" w14:textId="0E0C7CF1" w:rsidR="003D4FF5" w:rsidRDefault="003D4FF5" w:rsidP="003D4FF5">
      <w:pPr>
        <w:pStyle w:val="aNoteBulletss"/>
      </w:pPr>
      <w:r>
        <w:rPr>
          <w:rFonts w:ascii="Symbol" w:hAnsi="Symbol"/>
        </w:rPr>
        <w:sym w:font="Symbol" w:char="F0B7"/>
      </w:r>
      <w:r>
        <w:rPr>
          <w:rFonts w:ascii="Symbol" w:hAnsi="Symbol"/>
        </w:rPr>
        <w:tab/>
      </w:r>
      <w:r>
        <w:t xml:space="preserve">approved form 2.22 (Notice disputing authenticity of documents) </w:t>
      </w:r>
      <w:hyperlink r:id="rId96" w:history="1">
        <w:r w:rsidRPr="00781093">
          <w:rPr>
            <w:rStyle w:val="charCitHyperlinkAbbrev"/>
          </w:rPr>
          <w:t>AF2006-267</w:t>
        </w:r>
      </w:hyperlink>
      <w:r>
        <w:t>.</w:t>
      </w:r>
    </w:p>
    <w:p w14:paraId="31F57FF0" w14:textId="77777777"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14:paraId="3239F214"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408C593" w14:textId="77777777" w:rsidR="003D4FF5" w:rsidRDefault="003D4FF5" w:rsidP="003D4FF5">
      <w:pPr>
        <w:pStyle w:val="AH5Sec"/>
      </w:pPr>
      <w:bookmarkStart w:id="231" w:name="_Toc185513848"/>
      <w:r w:rsidRPr="00C8328B">
        <w:rPr>
          <w:rStyle w:val="CharSectNo"/>
        </w:rPr>
        <w:t>492</w:t>
      </w:r>
      <w:r>
        <w:tab/>
        <w:t>Admissions—withdrawal</w:t>
      </w:r>
      <w:bookmarkEnd w:id="231"/>
    </w:p>
    <w:p w14:paraId="0F909037" w14:textId="77777777"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14:paraId="37F9528A" w14:textId="77777777" w:rsidR="003D4FF5" w:rsidRDefault="003D4FF5" w:rsidP="003D4FF5">
      <w:pPr>
        <w:pStyle w:val="Amain"/>
        <w:keepNext/>
      </w:pPr>
      <w:r>
        <w:tab/>
        <w:t>(2)</w:t>
      </w:r>
      <w:r>
        <w:tab/>
        <w:t>The court may order the withdrawal of the admission.</w:t>
      </w:r>
    </w:p>
    <w:p w14:paraId="72E059B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3DDA1CF"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8955932" w14:textId="77777777" w:rsidR="003D4FF5" w:rsidRDefault="003D4FF5" w:rsidP="003D4FF5">
      <w:pPr>
        <w:pStyle w:val="AH5Sec"/>
      </w:pPr>
      <w:bookmarkStart w:id="232" w:name="_Toc185513849"/>
      <w:r w:rsidRPr="00C8328B">
        <w:rPr>
          <w:rStyle w:val="CharSectNo"/>
        </w:rPr>
        <w:lastRenderedPageBreak/>
        <w:t>493</w:t>
      </w:r>
      <w:r>
        <w:tab/>
        <w:t>Admissions—orders on</w:t>
      </w:r>
      <w:bookmarkEnd w:id="232"/>
    </w:p>
    <w:p w14:paraId="648B8238" w14:textId="77777777" w:rsidR="003D4FF5" w:rsidRDefault="003D4FF5" w:rsidP="00F13D87">
      <w:pPr>
        <w:pStyle w:val="Amain"/>
        <w:keepNext/>
        <w:keepLines/>
      </w:pPr>
      <w:r>
        <w:tab/>
        <w:t>(1)</w:t>
      </w:r>
      <w:r>
        <w:tab/>
        <w:t>If an admission is made by a party, whether in a pleading or otherwise, after the start of the proceeding, the court may, on another party’s application, make an order to which the party applying is entitled on the admission.</w:t>
      </w:r>
    </w:p>
    <w:p w14:paraId="570F7AE1" w14:textId="77777777"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14:paraId="07E9F018" w14:textId="77777777" w:rsidR="003D4FF5" w:rsidRDefault="003D4FF5" w:rsidP="003D4FF5">
      <w:pPr>
        <w:pStyle w:val="Amain"/>
      </w:pPr>
      <w:r>
        <w:tab/>
        <w:t>(2)</w:t>
      </w:r>
      <w:r>
        <w:tab/>
        <w:t>The court may give judgment or make another order even though other issues in the proceeding have not been decided.</w:t>
      </w:r>
    </w:p>
    <w:p w14:paraId="34AC80D7" w14:textId="77777777" w:rsidR="003D4FF5" w:rsidRDefault="003D4FF5" w:rsidP="003D4FF5">
      <w:pPr>
        <w:pStyle w:val="Amain"/>
      </w:pPr>
      <w:r>
        <w:tab/>
        <w:t>(3)</w:t>
      </w:r>
      <w:r>
        <w:tab/>
        <w:t>If an application under this rule is made by a plaintiff, the court may, instead of assessing damages, enter judgment for the plaintiff against the defendant for damages to be assessed.</w:t>
      </w:r>
    </w:p>
    <w:p w14:paraId="58D793D1" w14:textId="77777777" w:rsidR="003D4FF5" w:rsidRDefault="003D4FF5" w:rsidP="003D4FF5">
      <w:pPr>
        <w:pStyle w:val="PageBreak"/>
      </w:pPr>
      <w:r>
        <w:br w:type="page"/>
      </w:r>
    </w:p>
    <w:p w14:paraId="614E9F5A" w14:textId="77777777" w:rsidR="003D4FF5" w:rsidRPr="00C8328B" w:rsidRDefault="003D4FF5" w:rsidP="003D4FF5">
      <w:pPr>
        <w:pStyle w:val="AH2Part"/>
      </w:pPr>
      <w:bookmarkStart w:id="233" w:name="_Toc185513850"/>
      <w:r w:rsidRPr="00C8328B">
        <w:rPr>
          <w:rStyle w:val="CharPartNo"/>
        </w:rPr>
        <w:lastRenderedPageBreak/>
        <w:t>Part 2.7</w:t>
      </w:r>
      <w:r>
        <w:tab/>
      </w:r>
      <w:r w:rsidRPr="00C8328B">
        <w:rPr>
          <w:rStyle w:val="CharPartText"/>
        </w:rPr>
        <w:t>Amendment</w:t>
      </w:r>
      <w:bookmarkEnd w:id="233"/>
    </w:p>
    <w:p w14:paraId="20442527" w14:textId="77777777" w:rsidR="003D4FF5" w:rsidRDefault="003D4FF5" w:rsidP="003D4FF5">
      <w:pPr>
        <w:pStyle w:val="Placeholder"/>
      </w:pPr>
      <w:r>
        <w:rPr>
          <w:rStyle w:val="CharDivNo"/>
        </w:rPr>
        <w:t xml:space="preserve">  </w:t>
      </w:r>
      <w:r>
        <w:rPr>
          <w:rStyle w:val="CharDivText"/>
        </w:rPr>
        <w:t xml:space="preserve">  </w:t>
      </w:r>
    </w:p>
    <w:p w14:paraId="7151FA65" w14:textId="77777777" w:rsidR="003D4FF5" w:rsidRDefault="003D4FF5" w:rsidP="003D4FF5">
      <w:pPr>
        <w:pStyle w:val="AH5Sec"/>
      </w:pPr>
      <w:bookmarkStart w:id="234" w:name="_Toc185513851"/>
      <w:r w:rsidRPr="00C8328B">
        <w:rPr>
          <w:rStyle w:val="CharSectNo"/>
        </w:rPr>
        <w:t>500</w:t>
      </w:r>
      <w:r>
        <w:tab/>
        <w:t>Application—pt 2.7</w:t>
      </w:r>
      <w:bookmarkEnd w:id="234"/>
    </w:p>
    <w:p w14:paraId="70FFDB7E" w14:textId="77777777" w:rsidR="003D4FF5" w:rsidRDefault="003D4FF5" w:rsidP="003D4FF5">
      <w:pPr>
        <w:pStyle w:val="Amainreturn"/>
        <w:keepNext/>
      </w:pPr>
      <w:r>
        <w:t>This part applies in relation to documents (other than affidavits) that have been filed in a proceeding.</w:t>
      </w:r>
    </w:p>
    <w:p w14:paraId="229452B5" w14:textId="77777777" w:rsidR="003D4FF5" w:rsidRDefault="003D4FF5" w:rsidP="003D4FF5">
      <w:pPr>
        <w:pStyle w:val="aNote"/>
      </w:pPr>
      <w:r>
        <w:rPr>
          <w:rStyle w:val="charItals"/>
        </w:rPr>
        <w:t>Note</w:t>
      </w:r>
      <w:r>
        <w:rPr>
          <w:rStyle w:val="charItals"/>
        </w:rPr>
        <w:tab/>
      </w:r>
      <w:r>
        <w:t>See r 6107 (Documents—alterations) about alterations to documents before filing.</w:t>
      </w:r>
    </w:p>
    <w:p w14:paraId="2F35ACD1" w14:textId="77777777" w:rsidR="003D4FF5" w:rsidRDefault="003D4FF5" w:rsidP="003D4FF5">
      <w:pPr>
        <w:pStyle w:val="AH5Sec"/>
      </w:pPr>
      <w:bookmarkStart w:id="235" w:name="_Toc185513852"/>
      <w:r w:rsidRPr="00C8328B">
        <w:rPr>
          <w:rStyle w:val="CharSectNo"/>
        </w:rPr>
        <w:t>501</w:t>
      </w:r>
      <w:r>
        <w:tab/>
        <w:t>Amendment—when must be made</w:t>
      </w:r>
      <w:bookmarkEnd w:id="235"/>
    </w:p>
    <w:p w14:paraId="39339735" w14:textId="77777777" w:rsidR="003D4FF5" w:rsidRDefault="003D4FF5" w:rsidP="003D4FF5">
      <w:pPr>
        <w:pStyle w:val="Amainreturn"/>
      </w:pPr>
      <w:r>
        <w:t>All necessary amendments of a document must be made for the purpose of—</w:t>
      </w:r>
    </w:p>
    <w:p w14:paraId="0B3C9876" w14:textId="77777777" w:rsidR="003D4FF5" w:rsidRDefault="003D4FF5" w:rsidP="003D4FF5">
      <w:pPr>
        <w:pStyle w:val="Apara"/>
      </w:pPr>
      <w:r>
        <w:tab/>
        <w:t>(a)</w:t>
      </w:r>
      <w:r>
        <w:tab/>
        <w:t>deciding the real issues in the proceeding; or</w:t>
      </w:r>
    </w:p>
    <w:p w14:paraId="2EB18FEE" w14:textId="77777777" w:rsidR="003D4FF5" w:rsidRDefault="003D4FF5" w:rsidP="003D4FF5">
      <w:pPr>
        <w:pStyle w:val="Apara"/>
      </w:pPr>
      <w:r>
        <w:tab/>
        <w:t>(b)</w:t>
      </w:r>
      <w:r>
        <w:tab/>
        <w:t>correcting any defect or error in the proceeding; or</w:t>
      </w:r>
    </w:p>
    <w:p w14:paraId="6CEB659D" w14:textId="77777777" w:rsidR="003D4FF5" w:rsidRDefault="003D4FF5" w:rsidP="003D4FF5">
      <w:pPr>
        <w:pStyle w:val="Apara"/>
      </w:pPr>
      <w:r>
        <w:tab/>
        <w:t>(c)</w:t>
      </w:r>
      <w:r>
        <w:tab/>
        <w:t>avoiding multiple proceedings.</w:t>
      </w:r>
    </w:p>
    <w:p w14:paraId="1DA6352B" w14:textId="77777777" w:rsidR="003D4FF5" w:rsidRDefault="003D4FF5" w:rsidP="003D4FF5">
      <w:pPr>
        <w:pStyle w:val="AH5Sec"/>
      </w:pPr>
      <w:bookmarkStart w:id="236" w:name="_Toc185513853"/>
      <w:r w:rsidRPr="00C8328B">
        <w:rPr>
          <w:rStyle w:val="CharSectNo"/>
        </w:rPr>
        <w:t>502</w:t>
      </w:r>
      <w:r>
        <w:tab/>
        <w:t>Amendment—of documents</w:t>
      </w:r>
      <w:bookmarkEnd w:id="236"/>
    </w:p>
    <w:p w14:paraId="0C52734A" w14:textId="77777777"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14:paraId="521D87FE" w14:textId="77777777"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14:paraId="51F6F842" w14:textId="77777777"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14:paraId="0A9EE5C7"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0CE1C90E" w14:textId="77777777"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14:paraId="4CEAD5AF" w14:textId="77777777"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14:paraId="68146BDF" w14:textId="77777777" w:rsidR="003D4FF5" w:rsidRDefault="003D4FF5" w:rsidP="003D4FF5">
      <w:pPr>
        <w:pStyle w:val="Amain"/>
        <w:keepNext/>
      </w:pPr>
      <w:r>
        <w:tab/>
        <w:t>(5)</w:t>
      </w:r>
      <w:r>
        <w:tab/>
        <w:t>This rule does not apply in relation to an amendment of an order.</w:t>
      </w:r>
    </w:p>
    <w:p w14:paraId="727B26EC" w14:textId="77777777" w:rsidR="003D4FF5" w:rsidRDefault="003D4FF5" w:rsidP="003D4FF5">
      <w:pPr>
        <w:pStyle w:val="aNote"/>
      </w:pPr>
      <w:r>
        <w:rPr>
          <w:rStyle w:val="charItals"/>
        </w:rPr>
        <w:t>Note</w:t>
      </w:r>
      <w:r>
        <w:rPr>
          <w:rStyle w:val="charItals"/>
        </w:rPr>
        <w:tab/>
      </w:r>
      <w:r>
        <w:t>See r 6906 (Mistakes in orders or court certificates) for amendment of orders.</w:t>
      </w:r>
    </w:p>
    <w:p w14:paraId="79910E90" w14:textId="77777777" w:rsidR="003D4FF5" w:rsidRDefault="003D4FF5" w:rsidP="003D4FF5">
      <w:pPr>
        <w:pStyle w:val="Amain"/>
      </w:pPr>
      <w:r>
        <w:tab/>
        <w:t>(6)</w:t>
      </w:r>
      <w:r>
        <w:tab/>
        <w:t>This rule is subject to rule 503 (Amendment—after limitation period).</w:t>
      </w:r>
    </w:p>
    <w:p w14:paraId="4CE89AA1" w14:textId="77777777" w:rsidR="003D4FF5" w:rsidRDefault="003D4FF5" w:rsidP="003D4FF5">
      <w:pPr>
        <w:pStyle w:val="AH5Sec"/>
      </w:pPr>
      <w:bookmarkStart w:id="237" w:name="_Toc185513854"/>
      <w:r w:rsidRPr="00C8328B">
        <w:rPr>
          <w:rStyle w:val="CharSectNo"/>
        </w:rPr>
        <w:t>503</w:t>
      </w:r>
      <w:r>
        <w:tab/>
        <w:t>Amendment—after limitation period</w:t>
      </w:r>
      <w:bookmarkEnd w:id="237"/>
    </w:p>
    <w:p w14:paraId="1280F71F" w14:textId="77777777"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14:paraId="78951190" w14:textId="77777777" w:rsidR="003D4FF5" w:rsidRDefault="003D4FF5" w:rsidP="003D4FF5">
      <w:pPr>
        <w:pStyle w:val="aNote"/>
      </w:pPr>
      <w:r>
        <w:rPr>
          <w:rStyle w:val="charItals"/>
        </w:rPr>
        <w:t>Note</w:t>
      </w:r>
      <w:r>
        <w:rPr>
          <w:rStyle w:val="charItals"/>
        </w:rPr>
        <w:tab/>
      </w:r>
      <w:r>
        <w:t>Pt 6.2 (Applications in proceedings) applies to an application for leave under this rule.</w:t>
      </w:r>
    </w:p>
    <w:p w14:paraId="09CFAF16" w14:textId="77777777"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14:paraId="7F7C9683" w14:textId="77777777" w:rsidR="003D4FF5" w:rsidRDefault="003D4FF5" w:rsidP="003D4FF5">
      <w:pPr>
        <w:pStyle w:val="Apara"/>
      </w:pPr>
      <w:r>
        <w:tab/>
        <w:t>(a)</w:t>
      </w:r>
      <w:r>
        <w:tab/>
        <w:t>the court considers it appropriate; and</w:t>
      </w:r>
    </w:p>
    <w:p w14:paraId="69A71048" w14:textId="77777777" w:rsidR="003D4FF5" w:rsidRDefault="003D4FF5" w:rsidP="003D4FF5">
      <w:pPr>
        <w:pStyle w:val="Apara"/>
      </w:pPr>
      <w:r>
        <w:tab/>
        <w:t>(b)</w:t>
      </w:r>
      <w:r>
        <w:tab/>
        <w:t>the court is satisfied that the mistake sought to be corrected—</w:t>
      </w:r>
    </w:p>
    <w:p w14:paraId="49287B30" w14:textId="77777777" w:rsidR="003D4FF5" w:rsidRDefault="003D4FF5" w:rsidP="003D4FF5">
      <w:pPr>
        <w:pStyle w:val="Asubpara"/>
      </w:pPr>
      <w:r>
        <w:tab/>
        <w:t>(i)</w:t>
      </w:r>
      <w:r>
        <w:tab/>
        <w:t>was a genuine mistake; and</w:t>
      </w:r>
    </w:p>
    <w:p w14:paraId="310AC2E5" w14:textId="77777777" w:rsidR="003D4FF5" w:rsidRDefault="003D4FF5" w:rsidP="003D4FF5">
      <w:pPr>
        <w:pStyle w:val="Asubpara"/>
      </w:pPr>
      <w:r>
        <w:tab/>
        <w:t>(ii)</w:t>
      </w:r>
      <w:r>
        <w:tab/>
        <w:t>was not misleading or likely to cause any reasonable doubt about the identity of the person intending to sue or intended to be sued.</w:t>
      </w:r>
    </w:p>
    <w:p w14:paraId="04E39899" w14:textId="77777777"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14:paraId="2A61CB0C" w14:textId="77777777" w:rsidR="003D4FF5" w:rsidRDefault="003D4FF5" w:rsidP="003D4FF5">
      <w:pPr>
        <w:pStyle w:val="Apara"/>
      </w:pPr>
      <w:r>
        <w:tab/>
        <w:t>(a)</w:t>
      </w:r>
      <w:r>
        <w:tab/>
        <w:t>the court considers it appropriate; and</w:t>
      </w:r>
    </w:p>
    <w:p w14:paraId="04B75E4F" w14:textId="77777777" w:rsidR="003D4FF5" w:rsidRDefault="003D4FF5" w:rsidP="003D4FF5">
      <w:pPr>
        <w:pStyle w:val="Apara"/>
      </w:pPr>
      <w:r>
        <w:tab/>
        <w:t>(b)</w:t>
      </w:r>
      <w:r>
        <w:tab/>
        <w:t>the changed capacity in which the party would then sue is a capacity in which the party might have sued on the day the proceeding was started by the party.</w:t>
      </w:r>
    </w:p>
    <w:p w14:paraId="09A9B31A" w14:textId="77777777" w:rsidR="003D4FF5" w:rsidRDefault="003D4FF5" w:rsidP="003D4FF5">
      <w:pPr>
        <w:pStyle w:val="Amain"/>
      </w:pPr>
      <w:r>
        <w:tab/>
        <w:t>(4)</w:t>
      </w:r>
      <w:r>
        <w:tab/>
        <w:t>The court may give leave to make an amendment to include a new cause of action only if—</w:t>
      </w:r>
    </w:p>
    <w:p w14:paraId="4E489AFA" w14:textId="77777777" w:rsidR="003D4FF5" w:rsidRDefault="003D4FF5" w:rsidP="003D4FF5">
      <w:pPr>
        <w:pStyle w:val="Apara"/>
      </w:pPr>
      <w:r>
        <w:tab/>
        <w:t>(a)</w:t>
      </w:r>
      <w:r>
        <w:tab/>
        <w:t>the court considers it appropriate; and</w:t>
      </w:r>
    </w:p>
    <w:p w14:paraId="526E3AF1" w14:textId="77777777"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14:paraId="69D80C62" w14:textId="77777777" w:rsidR="003D4FF5" w:rsidRDefault="003D4FF5" w:rsidP="003D4FF5">
      <w:pPr>
        <w:pStyle w:val="AH5Sec"/>
      </w:pPr>
      <w:bookmarkStart w:id="238" w:name="_Toc185513855"/>
      <w:r w:rsidRPr="00C8328B">
        <w:rPr>
          <w:rStyle w:val="CharSectNo"/>
        </w:rPr>
        <w:t>504</w:t>
      </w:r>
      <w:r>
        <w:tab/>
        <w:t>Amendment—of originating process</w:t>
      </w:r>
      <w:bookmarkEnd w:id="238"/>
    </w:p>
    <w:p w14:paraId="20600DD4" w14:textId="77777777" w:rsidR="003D4FF5" w:rsidRDefault="003D4FF5" w:rsidP="003D4FF5">
      <w:pPr>
        <w:pStyle w:val="Amain"/>
        <w:keepNext/>
      </w:pPr>
      <w:r>
        <w:tab/>
        <w:t>(1)</w:t>
      </w:r>
      <w:r>
        <w:tab/>
        <w:t>An originating process may be amended only with the court’s leave.</w:t>
      </w:r>
    </w:p>
    <w:p w14:paraId="1FFF4C0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01412AB" w14:textId="77777777"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14:paraId="3D1CDC19" w14:textId="77777777" w:rsidR="003D4FF5" w:rsidRDefault="003D4FF5" w:rsidP="003D4FF5">
      <w:pPr>
        <w:pStyle w:val="Amain"/>
      </w:pPr>
      <w:r>
        <w:tab/>
        <w:t>(2)</w:t>
      </w:r>
      <w:r>
        <w:tab/>
        <w:t>This rule does not apply to a pleading or particular included in an originating process.</w:t>
      </w:r>
    </w:p>
    <w:p w14:paraId="17348AD8" w14:textId="77777777" w:rsidR="003D4FF5" w:rsidRDefault="003D4FF5" w:rsidP="003D4FF5">
      <w:pPr>
        <w:pStyle w:val="AH5Sec"/>
      </w:pPr>
      <w:bookmarkStart w:id="239" w:name="_Toc185513856"/>
      <w:r w:rsidRPr="00C8328B">
        <w:rPr>
          <w:rStyle w:val="CharSectNo"/>
        </w:rPr>
        <w:t>505</w:t>
      </w:r>
      <w:r>
        <w:tab/>
        <w:t>Amendment—of pleadings before close of pleadings</w:t>
      </w:r>
      <w:bookmarkEnd w:id="239"/>
    </w:p>
    <w:p w14:paraId="55BF3930" w14:textId="77777777" w:rsidR="003D4FF5" w:rsidRDefault="003D4FF5" w:rsidP="003D4FF5">
      <w:pPr>
        <w:pStyle w:val="Amain"/>
      </w:pPr>
      <w:r>
        <w:tab/>
        <w:t>(1)</w:t>
      </w:r>
      <w:r>
        <w:tab/>
        <w:t>A party may, without the court’s leave, amend the party’s pleadings—</w:t>
      </w:r>
    </w:p>
    <w:p w14:paraId="2401D389" w14:textId="77777777" w:rsidR="003D4FF5" w:rsidRDefault="003D4FF5" w:rsidP="003D4FF5">
      <w:pPr>
        <w:pStyle w:val="Apara"/>
      </w:pPr>
      <w:r>
        <w:tab/>
        <w:t>(a)</w:t>
      </w:r>
      <w:r>
        <w:tab/>
        <w:t>once before the close of pleadings; and</w:t>
      </w:r>
    </w:p>
    <w:p w14:paraId="751CF43A" w14:textId="77777777" w:rsidR="003D4FF5" w:rsidRDefault="003D4FF5" w:rsidP="003D4FF5">
      <w:pPr>
        <w:pStyle w:val="Apara"/>
      </w:pPr>
      <w:r>
        <w:lastRenderedPageBreak/>
        <w:tab/>
        <w:t>(b)</w:t>
      </w:r>
      <w:r>
        <w:tab/>
        <w:t>as often as necessary before the close of pleadings, with the agreement of all other parties to the proceeding.</w:t>
      </w:r>
    </w:p>
    <w:p w14:paraId="72D23D85" w14:textId="77777777" w:rsidR="003D4FF5" w:rsidRDefault="003D4FF5" w:rsidP="003D4FF5">
      <w:pPr>
        <w:pStyle w:val="Amain"/>
      </w:pPr>
      <w:r>
        <w:tab/>
        <w:t>(2)</w:t>
      </w:r>
      <w:r>
        <w:tab/>
        <w:t>This rule does not apply to an amendment for which the court’s leave is required.</w:t>
      </w:r>
    </w:p>
    <w:p w14:paraId="068EF940" w14:textId="77777777" w:rsidR="003D4FF5" w:rsidRDefault="003D4FF5" w:rsidP="003D4FF5">
      <w:pPr>
        <w:pStyle w:val="AH5Sec"/>
      </w:pPr>
      <w:bookmarkStart w:id="240" w:name="_Toc185513857"/>
      <w:r w:rsidRPr="00C8328B">
        <w:rPr>
          <w:rStyle w:val="CharSectNo"/>
        </w:rPr>
        <w:t>506</w:t>
      </w:r>
      <w:r>
        <w:tab/>
        <w:t>Amendment—of pleadings disallowed</w:t>
      </w:r>
      <w:bookmarkEnd w:id="240"/>
    </w:p>
    <w:p w14:paraId="35FCCF50" w14:textId="77777777"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14:paraId="3EA9F958" w14:textId="77777777" w:rsidR="003D4FF5" w:rsidRDefault="003D4FF5" w:rsidP="003D4FF5">
      <w:pPr>
        <w:pStyle w:val="aNote"/>
      </w:pPr>
      <w:r>
        <w:rPr>
          <w:rStyle w:val="charItals"/>
        </w:rPr>
        <w:t>Note</w:t>
      </w:r>
      <w:r>
        <w:rPr>
          <w:rStyle w:val="charItals"/>
        </w:rPr>
        <w:tab/>
      </w:r>
      <w:r>
        <w:t>Pt 6.2 (Applications in proceedings) applies to an application under this rule.</w:t>
      </w:r>
    </w:p>
    <w:p w14:paraId="19CF712C" w14:textId="77777777" w:rsidR="003D4FF5" w:rsidRDefault="003D4FF5" w:rsidP="003D4FF5">
      <w:pPr>
        <w:pStyle w:val="Amain"/>
      </w:pPr>
      <w:r>
        <w:tab/>
        <w:t>(2)</w:t>
      </w:r>
      <w:r>
        <w:tab/>
        <w:t>On the application, the court may make any order it considers appropriate.</w:t>
      </w:r>
    </w:p>
    <w:p w14:paraId="46357469" w14:textId="77777777"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14:paraId="0BBFA84E" w14:textId="77777777" w:rsidR="003D4FF5" w:rsidRDefault="003D4FF5" w:rsidP="003D4FF5">
      <w:pPr>
        <w:pStyle w:val="AH5Sec"/>
      </w:pPr>
      <w:bookmarkStart w:id="241" w:name="_Toc185513858"/>
      <w:r w:rsidRPr="00C8328B">
        <w:rPr>
          <w:rStyle w:val="CharSectNo"/>
        </w:rPr>
        <w:t>507</w:t>
      </w:r>
      <w:r>
        <w:tab/>
        <w:t>Amendment—of pleadings after close of pleadings</w:t>
      </w:r>
      <w:bookmarkEnd w:id="241"/>
    </w:p>
    <w:p w14:paraId="52A868BD" w14:textId="77777777" w:rsidR="003D4FF5" w:rsidRDefault="003D4FF5" w:rsidP="003D4FF5">
      <w:pPr>
        <w:pStyle w:val="Amainreturn"/>
        <w:keepNext/>
      </w:pPr>
      <w:r>
        <w:t>A party may amend the party’s pleadings after the close of pleadings only with the court’s leave.</w:t>
      </w:r>
    </w:p>
    <w:p w14:paraId="21C7018A"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6A92CDAB" w14:textId="77777777"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14:paraId="1CE8FE5A" w14:textId="77777777" w:rsidR="003D4FF5" w:rsidRDefault="003D4FF5" w:rsidP="003D4FF5">
      <w:pPr>
        <w:pStyle w:val="AH5Sec"/>
      </w:pPr>
      <w:bookmarkStart w:id="242" w:name="_Toc185513859"/>
      <w:r w:rsidRPr="00C8328B">
        <w:rPr>
          <w:rStyle w:val="CharSectNo"/>
        </w:rPr>
        <w:lastRenderedPageBreak/>
        <w:t>508</w:t>
      </w:r>
      <w:r>
        <w:tab/>
        <w:t>Amendment—when leave to amend ceases to have effect</w:t>
      </w:r>
      <w:bookmarkEnd w:id="242"/>
    </w:p>
    <w:p w14:paraId="31728562" w14:textId="77777777" w:rsidR="003D4FF5" w:rsidRDefault="003D4FF5" w:rsidP="00B671CC">
      <w:pPr>
        <w:pStyle w:val="Amainreturn"/>
        <w:keepNext/>
      </w:pPr>
      <w:r>
        <w:t>An order giving a party leave to amend a document ceases to have effect if the party has not amended the document in accordance with the order—</w:t>
      </w:r>
    </w:p>
    <w:p w14:paraId="1173CD68" w14:textId="77777777" w:rsidR="003D4FF5" w:rsidRDefault="003D4FF5" w:rsidP="003D4FF5">
      <w:pPr>
        <w:pStyle w:val="Apara"/>
      </w:pPr>
      <w:r>
        <w:tab/>
        <w:t>(a)</w:t>
      </w:r>
      <w:r>
        <w:tab/>
        <w:t>at the end of the time stated in the order for making the amendment; or</w:t>
      </w:r>
    </w:p>
    <w:p w14:paraId="229BC93A" w14:textId="77777777" w:rsidR="003D4FF5" w:rsidRDefault="003D4FF5" w:rsidP="003D4FF5">
      <w:pPr>
        <w:pStyle w:val="Apara"/>
      </w:pPr>
      <w:r>
        <w:tab/>
        <w:t>(b)</w:t>
      </w:r>
      <w:r>
        <w:tab/>
        <w:t>if no time is stated in the order—at the end of 14 days after the day the order was made.</w:t>
      </w:r>
    </w:p>
    <w:p w14:paraId="4D83839F" w14:textId="77777777" w:rsidR="003D4FF5" w:rsidRDefault="003D4FF5" w:rsidP="003D4FF5">
      <w:pPr>
        <w:pStyle w:val="AH5Sec"/>
      </w:pPr>
      <w:bookmarkStart w:id="243" w:name="_Toc185513860"/>
      <w:r w:rsidRPr="00C8328B">
        <w:rPr>
          <w:rStyle w:val="CharSectNo"/>
        </w:rPr>
        <w:t>509</w:t>
      </w:r>
      <w:r>
        <w:tab/>
        <w:t>Amendment—procedure</w:t>
      </w:r>
      <w:bookmarkEnd w:id="243"/>
    </w:p>
    <w:p w14:paraId="495D4487" w14:textId="77777777" w:rsidR="003D4FF5" w:rsidRDefault="003D4FF5" w:rsidP="003D4FF5">
      <w:pPr>
        <w:pStyle w:val="Amain"/>
      </w:pPr>
      <w:r>
        <w:tab/>
        <w:t>(1)</w:t>
      </w:r>
      <w:r>
        <w:tab/>
        <w:t>An amendment of a document made under this part must be distinguished so that the changes are identifiable.</w:t>
      </w:r>
    </w:p>
    <w:p w14:paraId="1A1AB9C0" w14:textId="77777777" w:rsidR="003D4FF5" w:rsidRDefault="003D4FF5" w:rsidP="003D4FF5">
      <w:pPr>
        <w:pStyle w:val="Amain"/>
      </w:pPr>
      <w:r>
        <w:tab/>
        <w:t>(2)</w:t>
      </w:r>
      <w:r>
        <w:tab/>
        <w:t>A party amending a document must file—</w:t>
      </w:r>
    </w:p>
    <w:p w14:paraId="0E54B1E7" w14:textId="77777777" w:rsidR="003D4FF5" w:rsidRDefault="003D4FF5" w:rsidP="003D4FF5">
      <w:pPr>
        <w:pStyle w:val="Apara"/>
      </w:pPr>
      <w:r>
        <w:tab/>
        <w:t>(a)</w:t>
      </w:r>
      <w:r>
        <w:tab/>
        <w:t>a copy of the document that contains the amendments written on it; and</w:t>
      </w:r>
    </w:p>
    <w:p w14:paraId="62399267" w14:textId="77777777" w:rsidR="003D4FF5" w:rsidRDefault="003D4FF5" w:rsidP="003D4FF5">
      <w:pPr>
        <w:pStyle w:val="Apara"/>
        <w:keepNext/>
      </w:pPr>
      <w:r>
        <w:tab/>
        <w:t>(b)</w:t>
      </w:r>
      <w:r>
        <w:tab/>
        <w:t>a notice stating the following:</w:t>
      </w:r>
    </w:p>
    <w:p w14:paraId="55B26F0E" w14:textId="77777777" w:rsidR="003D4FF5" w:rsidRDefault="003D4FF5" w:rsidP="003D4FF5">
      <w:pPr>
        <w:pStyle w:val="Asubpara"/>
      </w:pPr>
      <w:r>
        <w:tab/>
        <w:t>(i)</w:t>
      </w:r>
      <w:r>
        <w:tab/>
        <w:t>the date of the amendment;</w:t>
      </w:r>
    </w:p>
    <w:p w14:paraId="395B4CAB" w14:textId="77777777" w:rsidR="003D4FF5" w:rsidRDefault="003D4FF5" w:rsidP="003D4FF5">
      <w:pPr>
        <w:pStyle w:val="Asubpara"/>
      </w:pPr>
      <w:r>
        <w:tab/>
        <w:t>(ii)</w:t>
      </w:r>
      <w:r>
        <w:tab/>
        <w:t>either—</w:t>
      </w:r>
    </w:p>
    <w:p w14:paraId="7E991B20" w14:textId="77777777" w:rsidR="003D4FF5" w:rsidRDefault="003D4FF5" w:rsidP="003D4FF5">
      <w:pPr>
        <w:pStyle w:val="Asubsubpara"/>
      </w:pPr>
      <w:r>
        <w:tab/>
        <w:t>(A)</w:t>
      </w:r>
      <w:r>
        <w:tab/>
        <w:t>if the amendment was made with the court’s leave—a statement to that effect and the date leave was given; or</w:t>
      </w:r>
    </w:p>
    <w:p w14:paraId="52B2A71D" w14:textId="77777777" w:rsidR="003D4FF5" w:rsidRDefault="003D4FF5" w:rsidP="003D4FF5">
      <w:pPr>
        <w:pStyle w:val="Asubsubpara"/>
      </w:pPr>
      <w:r>
        <w:tab/>
        <w:t>(B)</w:t>
      </w:r>
      <w:r>
        <w:tab/>
        <w:t>if the amendment was made without the court’s leave—the number of the rule under which it was made.</w:t>
      </w:r>
    </w:p>
    <w:p w14:paraId="2AC1F38E" w14:textId="77777777" w:rsidR="003D4FF5" w:rsidRDefault="003D4FF5" w:rsidP="003D4FF5">
      <w:pPr>
        <w:pStyle w:val="Amain"/>
        <w:keepNext/>
      </w:pPr>
      <w:r>
        <w:tab/>
        <w:t>(3)</w:t>
      </w:r>
      <w:r>
        <w:tab/>
        <w:t>The notice must be on or attached to the copy of the document mentioned in subrule (2) (a).</w:t>
      </w:r>
    </w:p>
    <w:p w14:paraId="6DA95744"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1485ACE3" w14:textId="77777777"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14:paraId="67464A91" w14:textId="77777777" w:rsidR="003D4FF5" w:rsidRDefault="003D4FF5" w:rsidP="003D4FF5">
      <w:pPr>
        <w:pStyle w:val="Apara"/>
      </w:pPr>
      <w:r>
        <w:tab/>
        <w:t>(a)</w:t>
      </w:r>
      <w:r>
        <w:tab/>
        <w:t>a revised document incorporating and distinguishing the amendments; and</w:t>
      </w:r>
    </w:p>
    <w:p w14:paraId="0EA78F2B" w14:textId="77777777" w:rsidR="003D4FF5" w:rsidRDefault="003D4FF5" w:rsidP="003D4FF5">
      <w:pPr>
        <w:pStyle w:val="Apara"/>
      </w:pPr>
      <w:r>
        <w:tab/>
        <w:t>(b)</w:t>
      </w:r>
      <w:r>
        <w:tab/>
        <w:t>a notice stating the matters mentioned in subrule (2) (b) (i) and (ii).</w:t>
      </w:r>
    </w:p>
    <w:p w14:paraId="4D2C2D14" w14:textId="77777777" w:rsidR="003D4FF5" w:rsidRDefault="003D4FF5" w:rsidP="003D4FF5">
      <w:pPr>
        <w:pStyle w:val="Amain"/>
        <w:keepNext/>
      </w:pPr>
      <w:r>
        <w:tab/>
        <w:t>(5)</w:t>
      </w:r>
      <w:r>
        <w:tab/>
        <w:t>The notice must be on or attached to the revised document mentioned in subrule (4) (a).</w:t>
      </w:r>
    </w:p>
    <w:p w14:paraId="32CA248B"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0FE8BEE4" w14:textId="77777777"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14:paraId="6EEFF4DC" w14:textId="77777777" w:rsidR="003D4FF5" w:rsidRDefault="003D4FF5" w:rsidP="003D4FF5">
      <w:pPr>
        <w:pStyle w:val="Amain"/>
      </w:pPr>
      <w:r>
        <w:tab/>
        <w:t>(7)</w:t>
      </w:r>
      <w:r>
        <w:tab/>
        <w:t>If a revised originating process is filed under subrule (4), the registrar must seal the revised originating process.</w:t>
      </w:r>
    </w:p>
    <w:p w14:paraId="0691996E" w14:textId="77777777" w:rsidR="003D4FF5" w:rsidRDefault="003D4FF5" w:rsidP="003D4FF5">
      <w:pPr>
        <w:pStyle w:val="Amain"/>
        <w:keepNext/>
      </w:pPr>
      <w:r>
        <w:tab/>
        <w:t>(8)</w:t>
      </w:r>
      <w:r>
        <w:tab/>
        <w:t>The court may direct how an amendment of a document is to be made.</w:t>
      </w:r>
    </w:p>
    <w:p w14:paraId="1AB7CE08" w14:textId="77777777"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14:paraId="1867BDCF" w14:textId="77777777" w:rsidR="003D4FF5" w:rsidRDefault="003D4FF5" w:rsidP="003D4FF5">
      <w:pPr>
        <w:pStyle w:val="AH5Sec"/>
      </w:pPr>
      <w:bookmarkStart w:id="244" w:name="_Toc185513861"/>
      <w:r w:rsidRPr="00C8328B">
        <w:rPr>
          <w:rStyle w:val="CharSectNo"/>
        </w:rPr>
        <w:t>510</w:t>
      </w:r>
      <w:r>
        <w:tab/>
        <w:t>Amendment—person required to make</w:t>
      </w:r>
      <w:bookmarkEnd w:id="244"/>
    </w:p>
    <w:p w14:paraId="5EE96AD1" w14:textId="77777777" w:rsidR="003D4FF5" w:rsidRDefault="003D4FF5" w:rsidP="003D4FF5">
      <w:pPr>
        <w:pStyle w:val="Amainreturn"/>
        <w:keepNext/>
      </w:pPr>
      <w:r>
        <w:t>If the court orders an amendment be made to a document, it may order a party, the registrar or other appropriate person to make the amendment.</w:t>
      </w:r>
    </w:p>
    <w:p w14:paraId="3BB3ABB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6D06D5D" w14:textId="77777777" w:rsidR="003D4FF5" w:rsidRDefault="003D4FF5" w:rsidP="003D4FF5">
      <w:pPr>
        <w:pStyle w:val="AH5Sec"/>
      </w:pPr>
      <w:bookmarkStart w:id="245" w:name="_Toc185513862"/>
      <w:r w:rsidRPr="00C8328B">
        <w:rPr>
          <w:rStyle w:val="CharSectNo"/>
        </w:rPr>
        <w:lastRenderedPageBreak/>
        <w:t>511</w:t>
      </w:r>
      <w:r>
        <w:tab/>
        <w:t>Amendment—service of amended or revised document etc</w:t>
      </w:r>
      <w:bookmarkEnd w:id="245"/>
    </w:p>
    <w:p w14:paraId="350084B8" w14:textId="77777777" w:rsidR="003D4FF5" w:rsidRDefault="003D4FF5" w:rsidP="003D4FF5">
      <w:pPr>
        <w:pStyle w:val="Amainreturn"/>
      </w:pPr>
      <w:r>
        <w:t>If a document has been served and is later amended, the party making the amendment must serve on each other active party—</w:t>
      </w:r>
    </w:p>
    <w:p w14:paraId="6FF04B1A" w14:textId="77777777" w:rsidR="003D4FF5" w:rsidRDefault="003D4FF5" w:rsidP="003D4FF5">
      <w:pPr>
        <w:pStyle w:val="Apara"/>
      </w:pPr>
      <w:r>
        <w:tab/>
        <w:t>(a)</w:t>
      </w:r>
      <w:r>
        <w:tab/>
        <w:t>if the amendment is made on the document under rule 509 (2)—a copy of the document as amended and the notice mentioned in rule 509 (2) (b); or</w:t>
      </w:r>
    </w:p>
    <w:p w14:paraId="707E107D" w14:textId="77777777" w:rsidR="003D4FF5" w:rsidRDefault="003D4FF5" w:rsidP="003D4FF5">
      <w:pPr>
        <w:pStyle w:val="Apara"/>
      </w:pPr>
      <w:r>
        <w:tab/>
        <w:t>(b)</w:t>
      </w:r>
      <w:r>
        <w:tab/>
        <w:t>if a revised document is filed under rule 509 (4)—a copy of the revised document and the notice mentioned in rule 509 (4) (b).</w:t>
      </w:r>
    </w:p>
    <w:p w14:paraId="2F4B88EB"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14:paraId="7FD05C6F" w14:textId="77777777" w:rsidR="003D4FF5" w:rsidRDefault="003D4FF5" w:rsidP="003D4FF5">
      <w:pPr>
        <w:pStyle w:val="AH5Sec"/>
      </w:pPr>
      <w:bookmarkStart w:id="246" w:name="_Toc185513863"/>
      <w:r w:rsidRPr="00C8328B">
        <w:rPr>
          <w:rStyle w:val="CharSectNo"/>
        </w:rPr>
        <w:t>512</w:t>
      </w:r>
      <w:r>
        <w:tab/>
        <w:t>Amendment—pleading to</w:t>
      </w:r>
      <w:bookmarkEnd w:id="246"/>
    </w:p>
    <w:p w14:paraId="77770FF2" w14:textId="77777777" w:rsidR="003D4FF5" w:rsidRDefault="003D4FF5" w:rsidP="003D4FF5">
      <w:pPr>
        <w:pStyle w:val="Amain"/>
        <w:keepNext/>
      </w:pPr>
      <w:r>
        <w:tab/>
        <w:t>(1)</w:t>
      </w:r>
      <w:r>
        <w:tab/>
        <w:t>If a party amends a pleading, an opposite party may plead to the amended pleading or amend the opposite party’s own pleading.</w:t>
      </w:r>
    </w:p>
    <w:p w14:paraId="2DABC069" w14:textId="77777777" w:rsidR="003D4FF5" w:rsidRDefault="003D4FF5" w:rsidP="003D4FF5">
      <w:pPr>
        <w:pStyle w:val="Amain"/>
        <w:keepNext/>
      </w:pPr>
      <w:r>
        <w:tab/>
        <w:t>(2)</w:t>
      </w:r>
      <w:r>
        <w:tab/>
        <w:t>The pleading or amendment must be served not later than the later of the following:</w:t>
      </w:r>
    </w:p>
    <w:p w14:paraId="31013B9C" w14:textId="77777777" w:rsidR="003D4FF5" w:rsidRDefault="003D4FF5" w:rsidP="003D4FF5">
      <w:pPr>
        <w:pStyle w:val="Apara"/>
      </w:pPr>
      <w:r>
        <w:tab/>
        <w:t>(a)</w:t>
      </w:r>
      <w:r>
        <w:tab/>
        <w:t>the end of the time the opposite party then has to plead;</w:t>
      </w:r>
    </w:p>
    <w:p w14:paraId="1758A3BF" w14:textId="77777777" w:rsidR="003D4FF5" w:rsidRDefault="003D4FF5" w:rsidP="003D4FF5">
      <w:pPr>
        <w:pStyle w:val="Apara"/>
        <w:keepNext/>
      </w:pPr>
      <w:r>
        <w:tab/>
        <w:t>(b)</w:t>
      </w:r>
      <w:r>
        <w:tab/>
        <w:t>14 days after the day the amendment is served on the opposite party.</w:t>
      </w:r>
    </w:p>
    <w:p w14:paraId="3E8E8238"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7C268225" w14:textId="77777777"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14:paraId="6C5BC38B" w14:textId="77777777" w:rsidR="003D4FF5" w:rsidRDefault="003D4FF5" w:rsidP="003D4FF5">
      <w:pPr>
        <w:pStyle w:val="AH5Sec"/>
      </w:pPr>
      <w:bookmarkStart w:id="247" w:name="_Toc185513864"/>
      <w:r w:rsidRPr="00C8328B">
        <w:rPr>
          <w:rStyle w:val="CharSectNo"/>
        </w:rPr>
        <w:t>513</w:t>
      </w:r>
      <w:r>
        <w:tab/>
        <w:t>Amendment—costs</w:t>
      </w:r>
      <w:bookmarkEnd w:id="247"/>
    </w:p>
    <w:p w14:paraId="1769A050" w14:textId="77777777" w:rsidR="003D4FF5" w:rsidRDefault="003D4FF5" w:rsidP="003D4FF5">
      <w:pPr>
        <w:pStyle w:val="Amain"/>
      </w:pPr>
      <w:r>
        <w:tab/>
        <w:t>(1)</w:t>
      </w:r>
      <w:r>
        <w:tab/>
        <w:t>This rule applies to the following costs:</w:t>
      </w:r>
    </w:p>
    <w:p w14:paraId="4A37D76E" w14:textId="77777777" w:rsidR="003D4FF5" w:rsidRDefault="003D4FF5" w:rsidP="003D4FF5">
      <w:pPr>
        <w:pStyle w:val="Apara"/>
      </w:pPr>
      <w:r>
        <w:tab/>
        <w:t>(a)</w:t>
      </w:r>
      <w:r>
        <w:tab/>
        <w:t xml:space="preserve">costs of an amendment under this part; </w:t>
      </w:r>
    </w:p>
    <w:p w14:paraId="5B5083E8" w14:textId="77777777" w:rsidR="003D4FF5" w:rsidRDefault="003D4FF5" w:rsidP="003D4FF5">
      <w:pPr>
        <w:pStyle w:val="Apara"/>
      </w:pPr>
      <w:r>
        <w:lastRenderedPageBreak/>
        <w:tab/>
        <w:t>(b)</w:t>
      </w:r>
      <w:r>
        <w:tab/>
        <w:t>costs thrown away because of the amendment.</w:t>
      </w:r>
    </w:p>
    <w:p w14:paraId="3AE1392B" w14:textId="77777777" w:rsidR="003D4FF5" w:rsidRDefault="003D4FF5" w:rsidP="003D4FF5">
      <w:pPr>
        <w:pStyle w:val="Amain"/>
      </w:pPr>
      <w:r>
        <w:tab/>
        <w:t>(2)</w:t>
      </w:r>
      <w:r>
        <w:tab/>
        <w:t>Unless the court otherwise orders, the costs are payable by the party making the amendment.</w:t>
      </w:r>
    </w:p>
    <w:p w14:paraId="6D5AF0F3"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54DA7B4F" w14:textId="77777777" w:rsidR="003D4FF5" w:rsidRDefault="003D4FF5" w:rsidP="003D4FF5">
      <w:pPr>
        <w:pStyle w:val="AH5Sec"/>
      </w:pPr>
      <w:bookmarkStart w:id="248" w:name="_Toc185513865"/>
      <w:r w:rsidRPr="00C8328B">
        <w:rPr>
          <w:rStyle w:val="CharSectNo"/>
        </w:rPr>
        <w:t>514</w:t>
      </w:r>
      <w:r>
        <w:tab/>
        <w:t>Amendment—taking effect</w:t>
      </w:r>
      <w:bookmarkEnd w:id="248"/>
    </w:p>
    <w:p w14:paraId="5CB9683A" w14:textId="77777777" w:rsidR="003D4FF5" w:rsidRDefault="003D4FF5" w:rsidP="003D4FF5">
      <w:pPr>
        <w:pStyle w:val="Amain"/>
      </w:pPr>
      <w:r>
        <w:tab/>
        <w:t>(1)</w:t>
      </w:r>
      <w:r>
        <w:tab/>
        <w:t>If a document is amended under this part, the amendment takes effect on and from the date of the document.</w:t>
      </w:r>
    </w:p>
    <w:p w14:paraId="4FE073CD" w14:textId="77777777" w:rsidR="003D4FF5" w:rsidRDefault="003D4FF5" w:rsidP="003D4FF5">
      <w:pPr>
        <w:pStyle w:val="Amain"/>
      </w:pPr>
      <w:r>
        <w:tab/>
        <w:t>(2)</w:t>
      </w:r>
      <w:r>
        <w:tab/>
        <w:t>However, an amendment including or substituting a cause of action arising after the proceeding started takes effect on the day the order giving leave was made.</w:t>
      </w:r>
    </w:p>
    <w:p w14:paraId="70C76D8A" w14:textId="77777777"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14:paraId="2DC240D1" w14:textId="77777777" w:rsidR="003D4FF5" w:rsidRDefault="003D4FF5" w:rsidP="003D4FF5">
      <w:pPr>
        <w:pStyle w:val="Amain"/>
        <w:keepNext/>
      </w:pPr>
      <w:r>
        <w:tab/>
        <w:t>(4)</w:t>
      </w:r>
      <w:r>
        <w:tab/>
        <w:t>This rule applies unless the court otherwise orders.</w:t>
      </w:r>
    </w:p>
    <w:p w14:paraId="103D6B2B"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1F4510E9" w14:textId="77777777" w:rsidR="003D4FF5" w:rsidRDefault="003D4FF5" w:rsidP="003D4FF5">
      <w:pPr>
        <w:pStyle w:val="PageBreak"/>
      </w:pPr>
      <w:r>
        <w:br w:type="page"/>
      </w:r>
    </w:p>
    <w:p w14:paraId="37A68EA4" w14:textId="77777777" w:rsidR="003D4FF5" w:rsidRPr="00C8328B" w:rsidRDefault="003D4FF5" w:rsidP="003D4FF5">
      <w:pPr>
        <w:pStyle w:val="AH2Part"/>
      </w:pPr>
      <w:bookmarkStart w:id="249" w:name="_Toc185513866"/>
      <w:r w:rsidRPr="00C8328B">
        <w:rPr>
          <w:rStyle w:val="CharPartNo"/>
        </w:rPr>
        <w:lastRenderedPageBreak/>
        <w:t>Part 2.8</w:t>
      </w:r>
      <w:r>
        <w:tab/>
      </w:r>
      <w:r w:rsidRPr="00C8328B">
        <w:rPr>
          <w:rStyle w:val="CharPartText"/>
        </w:rPr>
        <w:t>Disclosure</w:t>
      </w:r>
      <w:bookmarkEnd w:id="249"/>
    </w:p>
    <w:p w14:paraId="0BBAF4CF" w14:textId="77777777" w:rsidR="003D4FF5" w:rsidRPr="00C8328B" w:rsidRDefault="003D4FF5" w:rsidP="003D4FF5">
      <w:pPr>
        <w:pStyle w:val="AH3Div"/>
      </w:pPr>
      <w:bookmarkStart w:id="250" w:name="_Toc185513867"/>
      <w:r w:rsidRPr="00C8328B">
        <w:rPr>
          <w:rStyle w:val="CharDivNo"/>
        </w:rPr>
        <w:t>Division 2.8.1</w:t>
      </w:r>
      <w:r>
        <w:tab/>
      </w:r>
      <w:r w:rsidRPr="00C8328B">
        <w:rPr>
          <w:rStyle w:val="CharDivText"/>
        </w:rPr>
        <w:t>Interpretation—pt 2.8</w:t>
      </w:r>
      <w:bookmarkEnd w:id="250"/>
    </w:p>
    <w:p w14:paraId="1E4E6AC4" w14:textId="77777777" w:rsidR="003D4FF5" w:rsidRDefault="003D4FF5" w:rsidP="003D4FF5">
      <w:pPr>
        <w:pStyle w:val="AH5Sec"/>
      </w:pPr>
      <w:bookmarkStart w:id="251" w:name="_Toc185513868"/>
      <w:r w:rsidRPr="00C8328B">
        <w:rPr>
          <w:rStyle w:val="CharSectNo"/>
        </w:rPr>
        <w:t>600</w:t>
      </w:r>
      <w:r>
        <w:tab/>
        <w:t>Definitions—pt 2.8</w:t>
      </w:r>
      <w:bookmarkEnd w:id="251"/>
    </w:p>
    <w:p w14:paraId="41629235" w14:textId="77777777" w:rsidR="003D4FF5" w:rsidRDefault="003D4FF5" w:rsidP="003D4FF5">
      <w:pPr>
        <w:pStyle w:val="Amainreturn"/>
        <w:keepNext/>
      </w:pPr>
      <w:r>
        <w:t>In this part:</w:t>
      </w:r>
    </w:p>
    <w:p w14:paraId="7D8FCD26" w14:textId="77777777" w:rsidR="003D4FF5" w:rsidRDefault="003D4FF5" w:rsidP="003D4FF5">
      <w:pPr>
        <w:pStyle w:val="aDef"/>
      </w:pPr>
      <w:r>
        <w:rPr>
          <w:rStyle w:val="charBoldItals"/>
        </w:rPr>
        <w:t xml:space="preserve">discoverable document </w:t>
      </w:r>
      <w:r>
        <w:t>means a document that is discoverable under rule 605 (Discoverable documents).</w:t>
      </w:r>
    </w:p>
    <w:p w14:paraId="10BE191A" w14:textId="7CBC17A3" w:rsidR="003D4FF5" w:rsidRPr="00AD5834" w:rsidRDefault="003D4FF5" w:rsidP="003D4FF5">
      <w:pPr>
        <w:pStyle w:val="aDef"/>
        <w:keepNext/>
      </w:pPr>
      <w:r w:rsidRPr="00AD5834">
        <w:rPr>
          <w:rStyle w:val="charBoldItals"/>
        </w:rPr>
        <w:t>document</w:t>
      </w:r>
      <w:r w:rsidRPr="00AD5834">
        <w:t xml:space="preserve">—see the </w:t>
      </w:r>
      <w:hyperlink r:id="rId97" w:tooltip="A2011-12" w:history="1">
        <w:r w:rsidRPr="00781093">
          <w:rPr>
            <w:rStyle w:val="charCitHyperlinkAbbrev"/>
          </w:rPr>
          <w:t>Evidence Act</w:t>
        </w:r>
      </w:hyperlink>
      <w:r w:rsidRPr="00AD5834">
        <w:t>, dictionary, part 1 and part 2, section 8.</w:t>
      </w:r>
    </w:p>
    <w:p w14:paraId="67D5BC4E" w14:textId="796D3B22"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98" w:tooltip="A2001-14" w:history="1">
        <w:r w:rsidRPr="005A5F43">
          <w:rPr>
            <w:rStyle w:val="charCitHyperlinkAbbrev"/>
          </w:rPr>
          <w:t>Legislation Act</w:t>
        </w:r>
      </w:hyperlink>
      <w:r w:rsidRPr="00AD5834">
        <w:t xml:space="preserve">, dict, pt 1 as any record of information, and includes— </w:t>
      </w:r>
    </w:p>
    <w:p w14:paraId="0DA5EF94" w14:textId="77777777" w:rsidR="003D4FF5" w:rsidRPr="00AD5834" w:rsidRDefault="003D4FF5" w:rsidP="003D4FF5">
      <w:pPr>
        <w:pStyle w:val="aNotePara"/>
      </w:pPr>
      <w:r w:rsidRPr="00AD5834">
        <w:tab/>
        <w:t>(a)</w:t>
      </w:r>
      <w:r w:rsidRPr="00AD5834">
        <w:tab/>
        <w:t>anything on which there is writing; or</w:t>
      </w:r>
    </w:p>
    <w:p w14:paraId="31E4C22E" w14:textId="77777777"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14:paraId="2FFA2824" w14:textId="77777777"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14:paraId="2AE2C738" w14:textId="77777777" w:rsidR="003D4FF5" w:rsidRPr="00AD5834" w:rsidRDefault="003D4FF5" w:rsidP="003D4FF5">
      <w:pPr>
        <w:pStyle w:val="aNotePara"/>
      </w:pPr>
      <w:r w:rsidRPr="00AD5834">
        <w:tab/>
        <w:t>(d)</w:t>
      </w:r>
      <w:r w:rsidRPr="00AD5834">
        <w:tab/>
        <w:t>a drawing, map, photograph or plan.</w:t>
      </w:r>
    </w:p>
    <w:p w14:paraId="59017686" w14:textId="1E9A5B4D" w:rsidR="003D4FF5" w:rsidRPr="00AD5834" w:rsidRDefault="003D4FF5" w:rsidP="003D4FF5">
      <w:pPr>
        <w:pStyle w:val="aNoteTextss"/>
        <w:keepNext/>
      </w:pPr>
      <w:r w:rsidRPr="00AD5834">
        <w:t xml:space="preserve">The </w:t>
      </w:r>
      <w:hyperlink r:id="rId99" w:tooltip="A2011-12" w:history="1">
        <w:r w:rsidRPr="00781093">
          <w:rPr>
            <w:rStyle w:val="charCitHyperlinkAbbrev"/>
          </w:rPr>
          <w:t>Evidence Act</w:t>
        </w:r>
      </w:hyperlink>
      <w:r w:rsidRPr="00AD5834">
        <w:t>, dict, pt 2, s 8 extends the meaning of document as follows:</w:t>
      </w:r>
    </w:p>
    <w:p w14:paraId="282CE1F3" w14:textId="77777777" w:rsidR="003D4FF5" w:rsidRPr="00AD5834" w:rsidRDefault="003D4FF5" w:rsidP="003D4FF5">
      <w:pPr>
        <w:pStyle w:val="aNoteTextss"/>
        <w:keepNext/>
      </w:pPr>
      <w:r w:rsidRPr="00AD5834">
        <w:t xml:space="preserve">‘A reference in this Act to a document includes a reference to the following: </w:t>
      </w:r>
    </w:p>
    <w:p w14:paraId="5CE4F700" w14:textId="77777777" w:rsidR="003D4FF5" w:rsidRPr="00AD5834" w:rsidRDefault="003D4FF5" w:rsidP="003D4FF5">
      <w:pPr>
        <w:pStyle w:val="aNotePara"/>
      </w:pPr>
      <w:r w:rsidRPr="00AD5834">
        <w:tab/>
        <w:t>(a)</w:t>
      </w:r>
      <w:r w:rsidRPr="00AD5834">
        <w:tab/>
        <w:t xml:space="preserve">any part of the document; </w:t>
      </w:r>
    </w:p>
    <w:p w14:paraId="56E49F07" w14:textId="77777777"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14:paraId="1BB5BC31" w14:textId="77777777" w:rsidR="003D4FF5" w:rsidRPr="00AD5834" w:rsidRDefault="003D4FF5" w:rsidP="003D4FF5">
      <w:pPr>
        <w:pStyle w:val="aNotePara"/>
      </w:pPr>
      <w:r w:rsidRPr="00AD5834">
        <w:tab/>
        <w:t>(c)</w:t>
      </w:r>
      <w:r w:rsidRPr="00AD5834">
        <w:tab/>
        <w:t>any part of the copy, reproduction or duplicate.’.</w:t>
      </w:r>
    </w:p>
    <w:p w14:paraId="260165D1" w14:textId="77777777" w:rsidR="003D4FF5" w:rsidRDefault="003D4FF5" w:rsidP="003D4FF5">
      <w:pPr>
        <w:pStyle w:val="aDef"/>
        <w:keepNext/>
      </w:pPr>
      <w:r>
        <w:rPr>
          <w:rStyle w:val="charBoldItals"/>
        </w:rPr>
        <w:lastRenderedPageBreak/>
        <w:t>government</w:t>
      </w:r>
      <w:r>
        <w:t xml:space="preserve"> means—</w:t>
      </w:r>
    </w:p>
    <w:p w14:paraId="1EABB761" w14:textId="77777777" w:rsidR="003D4FF5" w:rsidRDefault="003D4FF5" w:rsidP="003D4FF5">
      <w:pPr>
        <w:pStyle w:val="aDefpara"/>
        <w:keepNext/>
      </w:pPr>
      <w:r>
        <w:tab/>
        <w:t>(a)</w:t>
      </w:r>
      <w:r>
        <w:tab/>
        <w:t>the Commonwealth, a State or Territory; or</w:t>
      </w:r>
    </w:p>
    <w:p w14:paraId="3CA6BD69" w14:textId="77777777" w:rsidR="003D4FF5" w:rsidRDefault="003D4FF5" w:rsidP="003D4FF5">
      <w:pPr>
        <w:pStyle w:val="aDefpara"/>
        <w:keepNext/>
      </w:pPr>
      <w:r>
        <w:tab/>
        <w:t>(b)</w:t>
      </w:r>
      <w:r>
        <w:tab/>
        <w:t>a Minister, department or agency of the Commonwealth, a State or Territory; or</w:t>
      </w:r>
    </w:p>
    <w:p w14:paraId="63BD2F52" w14:textId="77777777" w:rsidR="003D4FF5" w:rsidRDefault="003D4FF5" w:rsidP="003D4FF5">
      <w:pPr>
        <w:pStyle w:val="aDefpara"/>
      </w:pPr>
      <w:r>
        <w:tab/>
        <w:t>(c)</w:t>
      </w:r>
      <w:r>
        <w:tab/>
        <w:t>the government of a foreign country.</w:t>
      </w:r>
    </w:p>
    <w:p w14:paraId="6BCD563F" w14:textId="77777777" w:rsidR="003D4FF5" w:rsidRDefault="003D4FF5" w:rsidP="003D4FF5">
      <w:pPr>
        <w:pStyle w:val="aDef"/>
      </w:pPr>
      <w:r>
        <w:rPr>
          <w:rStyle w:val="charBoldItals"/>
        </w:rPr>
        <w:t>list of documents</w:t>
      </w:r>
      <w:r>
        <w:t xml:space="preserve"> means a list of documents under rule 608 (List of discoverable and privileged documents etc).</w:t>
      </w:r>
    </w:p>
    <w:p w14:paraId="3F729996" w14:textId="77777777" w:rsidR="003D4FF5" w:rsidRPr="005A5F43" w:rsidRDefault="003D4FF5" w:rsidP="003D4FF5">
      <w:pPr>
        <w:pStyle w:val="aDef"/>
      </w:pPr>
      <w:r>
        <w:rPr>
          <w:rStyle w:val="charBoldItals"/>
        </w:rPr>
        <w:t>privileged from production</w:t>
      </w:r>
      <w:r w:rsidRPr="005A5F43">
        <w:t>—see rule 601.</w:t>
      </w:r>
    </w:p>
    <w:p w14:paraId="2A7ADC25" w14:textId="77777777" w:rsidR="003D4FF5" w:rsidRDefault="003D4FF5" w:rsidP="003D4FF5">
      <w:pPr>
        <w:pStyle w:val="aDef"/>
      </w:pPr>
      <w:r>
        <w:rPr>
          <w:rStyle w:val="charBoldItals"/>
        </w:rPr>
        <w:t>respondent</w:t>
      </w:r>
      <w:r>
        <w:t>, in relation to a notice for non-party production, means the person to whom the notice is directed.</w:t>
      </w:r>
    </w:p>
    <w:p w14:paraId="465C4A50" w14:textId="77777777" w:rsidR="003D4FF5" w:rsidRDefault="003D4FF5" w:rsidP="003D4FF5">
      <w:pPr>
        <w:pStyle w:val="AH5Sec"/>
      </w:pPr>
      <w:bookmarkStart w:id="252" w:name="_Toc185513869"/>
      <w:r w:rsidRPr="00C8328B">
        <w:rPr>
          <w:rStyle w:val="CharSectNo"/>
        </w:rPr>
        <w:t>601</w:t>
      </w:r>
      <w:r>
        <w:tab/>
        <w:t xml:space="preserve">Meaning of </w:t>
      </w:r>
      <w:r>
        <w:rPr>
          <w:rStyle w:val="charItals"/>
        </w:rPr>
        <w:t>privileged from production</w:t>
      </w:r>
      <w:r>
        <w:t>—pt 2.8</w:t>
      </w:r>
      <w:bookmarkEnd w:id="252"/>
    </w:p>
    <w:p w14:paraId="5D9BB4DB" w14:textId="77777777" w:rsidR="003D4FF5" w:rsidRDefault="003D4FF5" w:rsidP="003D4FF5">
      <w:pPr>
        <w:pStyle w:val="Amainreturn"/>
      </w:pPr>
      <w:r>
        <w:t xml:space="preserve">For this part, a document is </w:t>
      </w:r>
      <w:r>
        <w:rPr>
          <w:rStyle w:val="charBoldItals"/>
        </w:rPr>
        <w:t>privileged from production</w:t>
      </w:r>
      <w:r>
        <w:t xml:space="preserve"> only if—</w:t>
      </w:r>
    </w:p>
    <w:p w14:paraId="39760E93" w14:textId="6F771122"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0" w:tooltip="A2011-12" w:history="1">
        <w:r w:rsidRPr="00781093">
          <w:rPr>
            <w:rStyle w:val="charCitHyperlinkAbbrev"/>
          </w:rPr>
          <w:t>Evidence Act</w:t>
        </w:r>
      </w:hyperlink>
      <w:r>
        <w:t>, part 3.10 (Privileges), other than section 128 or section 130; or</w:t>
      </w:r>
    </w:p>
    <w:p w14:paraId="0119EF27" w14:textId="77777777"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14:paraId="5AF86529" w14:textId="77777777" w:rsidR="003D4FF5" w:rsidRDefault="003D4FF5" w:rsidP="003D4FF5">
      <w:pPr>
        <w:pStyle w:val="Apara"/>
      </w:pPr>
      <w:r>
        <w:tab/>
        <w:t>(b)</w:t>
      </w:r>
      <w:r>
        <w:tab/>
        <w:t>the party who would otherwise give discovery is an individual and the contents of the document may tend to prove that the party—</w:t>
      </w:r>
    </w:p>
    <w:p w14:paraId="064DC65E" w14:textId="3A1D780B" w:rsidR="003D4FF5" w:rsidRDefault="003D4FF5" w:rsidP="003D4FF5">
      <w:pPr>
        <w:pStyle w:val="Asubpara"/>
      </w:pPr>
      <w:r>
        <w:tab/>
        <w:t>(i)</w:t>
      </w:r>
      <w:r>
        <w:tab/>
        <w:t xml:space="preserve">has committed an offence against or arising under an Australian law, or a law of a foreign country, within the meaning of the </w:t>
      </w:r>
      <w:hyperlink r:id="rId101" w:tooltip="A2011-12" w:history="1">
        <w:r w:rsidRPr="00781093">
          <w:rPr>
            <w:rStyle w:val="charCitHyperlinkAbbrev"/>
          </w:rPr>
          <w:t>Evidence Act</w:t>
        </w:r>
      </w:hyperlink>
      <w:r>
        <w:t>; or</w:t>
      </w:r>
    </w:p>
    <w:p w14:paraId="70BFB560" w14:textId="7E79BBC4" w:rsidR="003D4FF5" w:rsidRDefault="003D4FF5" w:rsidP="003D4FF5">
      <w:pPr>
        <w:pStyle w:val="Asubpara"/>
      </w:pPr>
      <w:r>
        <w:tab/>
        <w:t>(ii)</w:t>
      </w:r>
      <w:r>
        <w:tab/>
        <w:t xml:space="preserve">is liable to a civil penalty within the meaning of the </w:t>
      </w:r>
      <w:hyperlink r:id="rId102" w:tooltip="A2011-12" w:history="1">
        <w:r w:rsidRPr="00781093">
          <w:rPr>
            <w:rStyle w:val="charCitHyperlinkAbbrev"/>
          </w:rPr>
          <w:t>Evidence Act</w:t>
        </w:r>
      </w:hyperlink>
      <w:r>
        <w:t>; or</w:t>
      </w:r>
    </w:p>
    <w:p w14:paraId="059E0AAE" w14:textId="7762C4E6"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3" w:tooltip="A2011-12" w:history="1">
        <w:r w:rsidRPr="00781093">
          <w:rPr>
            <w:rStyle w:val="charCitHyperlinkAbbrev"/>
          </w:rPr>
          <w:t>Evidence Act</w:t>
        </w:r>
      </w:hyperlink>
      <w:r w:rsidRPr="00AD5834">
        <w:t>, section 130, unless the court decides that the document has stopped being privileged from production.</w:t>
      </w:r>
    </w:p>
    <w:p w14:paraId="1B0C70C8" w14:textId="695DAE4A"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04"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14:paraId="474F6BA4" w14:textId="394458F0"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05"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14:paraId="4CE15B41" w14:textId="77777777" w:rsidR="003D4FF5" w:rsidRPr="00C8328B" w:rsidRDefault="003D4FF5" w:rsidP="003D4FF5">
      <w:pPr>
        <w:pStyle w:val="AH3Div"/>
      </w:pPr>
      <w:bookmarkStart w:id="253" w:name="_Toc185513870"/>
      <w:r w:rsidRPr="00C8328B">
        <w:rPr>
          <w:rStyle w:val="CharDivNo"/>
        </w:rPr>
        <w:t>Division 2.8.2</w:t>
      </w:r>
      <w:r>
        <w:tab/>
      </w:r>
      <w:r w:rsidRPr="00C8328B">
        <w:rPr>
          <w:rStyle w:val="CharDivText"/>
        </w:rPr>
        <w:t>Disclosure of documents</w:t>
      </w:r>
      <w:bookmarkEnd w:id="253"/>
    </w:p>
    <w:p w14:paraId="7C769CEF" w14:textId="77777777" w:rsidR="003D4FF5" w:rsidRDefault="003D4FF5" w:rsidP="003D4FF5">
      <w:pPr>
        <w:pStyle w:val="AH5Sec"/>
      </w:pPr>
      <w:bookmarkStart w:id="254" w:name="_Toc185513871"/>
      <w:r w:rsidRPr="00C8328B">
        <w:rPr>
          <w:rStyle w:val="CharSectNo"/>
        </w:rPr>
        <w:t>605</w:t>
      </w:r>
      <w:r>
        <w:tab/>
        <w:t>Discoverable documents</w:t>
      </w:r>
      <w:bookmarkEnd w:id="254"/>
    </w:p>
    <w:p w14:paraId="6D6F723C" w14:textId="77777777" w:rsidR="003D4FF5" w:rsidRDefault="003D4FF5" w:rsidP="003D4FF5">
      <w:pPr>
        <w:pStyle w:val="Amain"/>
      </w:pPr>
      <w:r>
        <w:tab/>
        <w:t>(1)</w:t>
      </w:r>
      <w:r>
        <w:tab/>
        <w:t>A document that is, or has at any time been, in the possession of a party to a proceeding is discoverable by the party if it—</w:t>
      </w:r>
    </w:p>
    <w:p w14:paraId="677E59E9" w14:textId="77777777" w:rsidR="003D4FF5" w:rsidRDefault="003D4FF5" w:rsidP="003D4FF5">
      <w:pPr>
        <w:pStyle w:val="Apara"/>
      </w:pPr>
      <w:r>
        <w:tab/>
        <w:t>(a)</w:t>
      </w:r>
      <w:r>
        <w:tab/>
        <w:t>relates, directly or indirectly, to a matter in issue in the proceeding; or</w:t>
      </w:r>
    </w:p>
    <w:p w14:paraId="754C320F" w14:textId="77777777" w:rsidR="003D4FF5" w:rsidRDefault="003D4FF5" w:rsidP="003D4FF5">
      <w:pPr>
        <w:pStyle w:val="Apara"/>
      </w:pPr>
      <w:r>
        <w:tab/>
        <w:t>(b)</w:t>
      </w:r>
      <w:r>
        <w:tab/>
        <w:t>is mentioned, expressly or by necessary implication, in a pleading or notice filed in the proceeding.</w:t>
      </w:r>
    </w:p>
    <w:p w14:paraId="0729514E" w14:textId="77777777" w:rsidR="003D4FF5" w:rsidRDefault="003D4FF5" w:rsidP="003D4FF5">
      <w:pPr>
        <w:pStyle w:val="Amain"/>
      </w:pPr>
      <w:r>
        <w:tab/>
        <w:t>(2)</w:t>
      </w:r>
      <w:r>
        <w:tab/>
        <w:t>However, a document is not discoverable by a party if it—</w:t>
      </w:r>
    </w:p>
    <w:p w14:paraId="5720C785" w14:textId="77777777" w:rsidR="003D4FF5" w:rsidRDefault="003D4FF5" w:rsidP="003D4FF5">
      <w:pPr>
        <w:pStyle w:val="Apara"/>
      </w:pPr>
      <w:r>
        <w:tab/>
        <w:t>(a)</w:t>
      </w:r>
      <w:r>
        <w:tab/>
        <w:t>is filed in court in the proceeding; or</w:t>
      </w:r>
    </w:p>
    <w:p w14:paraId="1F931D46" w14:textId="77777777"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14:paraId="69D6C5BE" w14:textId="77777777" w:rsidR="003D4FF5" w:rsidRDefault="003D4FF5" w:rsidP="003D4FF5">
      <w:pPr>
        <w:pStyle w:val="Apara"/>
      </w:pPr>
      <w:r>
        <w:tab/>
        <w:t>(c)</w:t>
      </w:r>
      <w:r>
        <w:tab/>
        <w:t>is mentioned in a pleading or notice filed in the proceeding by another party, unless it is discoverable on another ground; or</w:t>
      </w:r>
    </w:p>
    <w:p w14:paraId="6F6CF684" w14:textId="77777777" w:rsidR="003D4FF5" w:rsidRDefault="003D4FF5" w:rsidP="003D4FF5">
      <w:pPr>
        <w:pStyle w:val="Apara"/>
      </w:pPr>
      <w:r>
        <w:tab/>
        <w:t>(d)</w:t>
      </w:r>
      <w:r>
        <w:tab/>
        <w:t>is a written communication in relation to the proceeding between a solicitor for the party requiring disclosure and a solicitor for the disclosing party; or</w:t>
      </w:r>
    </w:p>
    <w:p w14:paraId="423A26C1" w14:textId="77777777" w:rsidR="003D4FF5" w:rsidRDefault="003D4FF5" w:rsidP="003D4FF5">
      <w:pPr>
        <w:pStyle w:val="Apara"/>
      </w:pPr>
      <w:r>
        <w:lastRenderedPageBreak/>
        <w:tab/>
        <w:t>(e)</w:t>
      </w:r>
      <w:r>
        <w:tab/>
        <w:t>is the party’s brief to the party’s counsel; or</w:t>
      </w:r>
    </w:p>
    <w:p w14:paraId="4BED9D3E" w14:textId="77777777" w:rsidR="003D4FF5" w:rsidRDefault="003D4FF5" w:rsidP="003D4FF5">
      <w:pPr>
        <w:pStyle w:val="Apara"/>
      </w:pPr>
      <w:r>
        <w:tab/>
        <w:t>(f)</w:t>
      </w:r>
      <w:r>
        <w:tab/>
        <w:t>is an advice to the party from the party’s counsel.</w:t>
      </w:r>
    </w:p>
    <w:p w14:paraId="75B63946" w14:textId="77777777" w:rsidR="003D4FF5" w:rsidRDefault="003D4FF5" w:rsidP="003D4FF5">
      <w:pPr>
        <w:pStyle w:val="Amain"/>
      </w:pPr>
      <w:r>
        <w:tab/>
        <w:t>(3)</w:t>
      </w:r>
      <w:r>
        <w:tab/>
        <w:t>Also, a document is not discoverable by a party to a proceeding if the document is—</w:t>
      </w:r>
    </w:p>
    <w:p w14:paraId="6AC025E4" w14:textId="77777777"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14:paraId="687A9895" w14:textId="77777777" w:rsidR="003D4FF5" w:rsidRDefault="003D4FF5" w:rsidP="003D4FF5">
      <w:pPr>
        <w:pStyle w:val="Asubpara"/>
      </w:pPr>
      <w:r>
        <w:tab/>
        <w:t>(i)</w:t>
      </w:r>
      <w:r>
        <w:tab/>
        <w:t>the party and a legal practitioner for the party; or</w:t>
      </w:r>
    </w:p>
    <w:p w14:paraId="423C7687" w14:textId="77777777" w:rsidR="003D4FF5" w:rsidRDefault="003D4FF5" w:rsidP="003D4FF5">
      <w:pPr>
        <w:pStyle w:val="Asubpara"/>
      </w:pPr>
      <w:r>
        <w:tab/>
        <w:t>(ii)</w:t>
      </w:r>
      <w:r>
        <w:tab/>
        <w:t>2 or more legal practitioners for the party; or</w:t>
      </w:r>
    </w:p>
    <w:p w14:paraId="249BF030" w14:textId="77777777"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14:paraId="0D5A1E6F" w14:textId="77777777" w:rsidR="003D4FF5" w:rsidRDefault="003D4FF5" w:rsidP="003D4FF5">
      <w:pPr>
        <w:pStyle w:val="Asubpara"/>
      </w:pPr>
      <w:r>
        <w:tab/>
        <w:t>(i)</w:t>
      </w:r>
      <w:r>
        <w:tab/>
        <w:t>the party and a legal practitioner for the party; or</w:t>
      </w:r>
    </w:p>
    <w:p w14:paraId="554E3641" w14:textId="77777777" w:rsidR="003D4FF5" w:rsidRDefault="003D4FF5" w:rsidP="003D4FF5">
      <w:pPr>
        <w:pStyle w:val="Asubpara"/>
      </w:pPr>
      <w:r>
        <w:tab/>
        <w:t>(ii)</w:t>
      </w:r>
      <w:r>
        <w:tab/>
        <w:t>2 or more legal practitioners for the party.</w:t>
      </w:r>
    </w:p>
    <w:p w14:paraId="348442B7" w14:textId="77777777" w:rsidR="003D4FF5" w:rsidRDefault="003D4FF5" w:rsidP="003D4FF5">
      <w:pPr>
        <w:pStyle w:val="Amain"/>
        <w:keepNext/>
      </w:pPr>
      <w:r>
        <w:tab/>
        <w:t>(4)</w:t>
      </w:r>
      <w:r>
        <w:tab/>
        <w:t>This rule applies unless the court otherwise orders.</w:t>
      </w:r>
    </w:p>
    <w:p w14:paraId="51003D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1545F9A" w14:textId="77777777" w:rsidR="003D4FF5" w:rsidRDefault="003D4FF5" w:rsidP="003D4FF5">
      <w:pPr>
        <w:pStyle w:val="Amain"/>
      </w:pPr>
      <w:r>
        <w:tab/>
        <w:t>(5)</w:t>
      </w:r>
      <w:r>
        <w:tab/>
        <w:t xml:space="preserve">For this rule, a matter is </w:t>
      </w:r>
      <w:r>
        <w:rPr>
          <w:rStyle w:val="charBoldItals"/>
        </w:rPr>
        <w:t>in issue</w:t>
      </w:r>
      <w:r>
        <w:t xml:space="preserve"> until it is—</w:t>
      </w:r>
    </w:p>
    <w:p w14:paraId="6CE45AC1" w14:textId="77777777" w:rsidR="003D4FF5" w:rsidRDefault="003D4FF5" w:rsidP="003D4FF5">
      <w:pPr>
        <w:pStyle w:val="Apara"/>
      </w:pPr>
      <w:r>
        <w:tab/>
        <w:t>(a)</w:t>
      </w:r>
      <w:r>
        <w:tab/>
        <w:t>admitted or taken to be admitted; or</w:t>
      </w:r>
    </w:p>
    <w:p w14:paraId="0F7A86B7" w14:textId="77777777" w:rsidR="003D4FF5" w:rsidRDefault="003D4FF5" w:rsidP="003D4FF5">
      <w:pPr>
        <w:pStyle w:val="Apara"/>
      </w:pPr>
      <w:r>
        <w:tab/>
        <w:t>(b)</w:t>
      </w:r>
      <w:r>
        <w:tab/>
        <w:t>withdrawn, struck out or otherwise disposed of.</w:t>
      </w:r>
    </w:p>
    <w:p w14:paraId="6A8EE3D5" w14:textId="77777777" w:rsidR="003D4FF5" w:rsidRDefault="003D4FF5" w:rsidP="003D4FF5">
      <w:pPr>
        <w:pStyle w:val="Amain"/>
        <w:keepNext/>
      </w:pPr>
      <w:r>
        <w:tab/>
        <w:t>(6)</w:t>
      </w:r>
      <w:r>
        <w:tab/>
        <w:t>In this rule:</w:t>
      </w:r>
    </w:p>
    <w:p w14:paraId="06C75BEB" w14:textId="4B4EE74C" w:rsidR="003D4FF5" w:rsidRDefault="003D4FF5" w:rsidP="003D4FF5">
      <w:pPr>
        <w:pStyle w:val="aDef"/>
      </w:pPr>
      <w:r>
        <w:rPr>
          <w:rStyle w:val="charBoldItals"/>
        </w:rPr>
        <w:t>confidential communication—</w:t>
      </w:r>
      <w:r>
        <w:t xml:space="preserve">see the </w:t>
      </w:r>
      <w:hyperlink r:id="rId106" w:tooltip="A2011-12" w:history="1">
        <w:r w:rsidRPr="00781093">
          <w:rPr>
            <w:rStyle w:val="charCitHyperlinkAbbrev"/>
          </w:rPr>
          <w:t>Evidence Act</w:t>
        </w:r>
      </w:hyperlink>
      <w:r>
        <w:t>, section 117.</w:t>
      </w:r>
    </w:p>
    <w:p w14:paraId="291DEB50" w14:textId="463C382A" w:rsidR="003D4FF5" w:rsidRDefault="003D4FF5" w:rsidP="003D4FF5">
      <w:pPr>
        <w:pStyle w:val="aDef"/>
      </w:pPr>
      <w:r>
        <w:rPr>
          <w:rStyle w:val="charBoldItals"/>
        </w:rPr>
        <w:t>confidential document—</w:t>
      </w:r>
      <w:r>
        <w:t xml:space="preserve">see the </w:t>
      </w:r>
      <w:hyperlink r:id="rId107" w:tooltip="A2011-12" w:history="1">
        <w:r w:rsidRPr="00781093">
          <w:rPr>
            <w:rStyle w:val="charCitHyperlinkAbbrev"/>
          </w:rPr>
          <w:t>Evidence Act</w:t>
        </w:r>
      </w:hyperlink>
      <w:r>
        <w:t>, section 117.</w:t>
      </w:r>
    </w:p>
    <w:p w14:paraId="7BD92497" w14:textId="77777777" w:rsidR="003D4FF5" w:rsidRDefault="003D4FF5" w:rsidP="001F7037">
      <w:pPr>
        <w:pStyle w:val="AH5Sec"/>
      </w:pPr>
      <w:bookmarkStart w:id="255" w:name="_Toc185513872"/>
      <w:r w:rsidRPr="00C8328B">
        <w:rPr>
          <w:rStyle w:val="CharSectNo"/>
        </w:rPr>
        <w:lastRenderedPageBreak/>
        <w:t>606</w:t>
      </w:r>
      <w:r>
        <w:tab/>
        <w:t>Orders about disclosure</w:t>
      </w:r>
      <w:bookmarkEnd w:id="255"/>
    </w:p>
    <w:p w14:paraId="545DAE77" w14:textId="77777777" w:rsidR="003D4FF5" w:rsidRDefault="003D4FF5" w:rsidP="001F7037">
      <w:pPr>
        <w:pStyle w:val="Amain"/>
        <w:keepNext/>
      </w:pPr>
      <w:r>
        <w:tab/>
        <w:t>(1)</w:t>
      </w:r>
      <w:r>
        <w:tab/>
        <w:t>The court may make the following orders:</w:t>
      </w:r>
    </w:p>
    <w:p w14:paraId="28FADD94" w14:textId="77777777" w:rsidR="003D4FF5" w:rsidRDefault="003D4FF5" w:rsidP="001F7037">
      <w:pPr>
        <w:pStyle w:val="Apara"/>
        <w:keepNext/>
      </w:pPr>
      <w:r>
        <w:tab/>
        <w:t>(a)</w:t>
      </w:r>
      <w:r>
        <w:tab/>
        <w:t>an order that limits a party’s duty of disclosure;</w:t>
      </w:r>
    </w:p>
    <w:p w14:paraId="3B134225" w14:textId="77777777" w:rsidR="003D4FF5" w:rsidRDefault="003D4FF5" w:rsidP="003D4FF5">
      <w:pPr>
        <w:pStyle w:val="Apara"/>
      </w:pPr>
      <w:r>
        <w:tab/>
        <w:t>(b)</w:t>
      </w:r>
      <w:r>
        <w:tab/>
        <w:t>an order for a party to disclose discoverable documents;</w:t>
      </w:r>
    </w:p>
    <w:p w14:paraId="6CDD54F0" w14:textId="77777777" w:rsidR="003D4FF5" w:rsidRDefault="003D4FF5" w:rsidP="003D4FF5">
      <w:pPr>
        <w:pStyle w:val="Apara"/>
      </w:pPr>
      <w:r>
        <w:tab/>
        <w:t>(c)</w:t>
      </w:r>
      <w:r>
        <w:tab/>
        <w:t>if the court considers that a party has not, or may not have, adequately disclosed discoverable documents—an order for a party to make further disclosure;</w:t>
      </w:r>
    </w:p>
    <w:p w14:paraId="021070AE" w14:textId="77777777" w:rsidR="003D4FF5" w:rsidRDefault="003D4FF5" w:rsidP="003D4FF5">
      <w:pPr>
        <w:pStyle w:val="Apara"/>
      </w:pPr>
      <w:r>
        <w:tab/>
        <w:t>(d)</w:t>
      </w:r>
      <w:r>
        <w:tab/>
        <w:t>an order for the lists of documents of the parties, or the list of documents of a party, to be served in a stated electronic form;</w:t>
      </w:r>
    </w:p>
    <w:p w14:paraId="4BBF6F7E" w14:textId="77777777" w:rsidR="003D4FF5" w:rsidRDefault="003D4FF5" w:rsidP="003D4FF5">
      <w:pPr>
        <w:pStyle w:val="Apara"/>
      </w:pPr>
      <w:r>
        <w:tab/>
        <w:t>(e)</w:t>
      </w:r>
      <w:r>
        <w:tab/>
        <w:t>an order for disclosure of discoverable documents by the parties, or a party, to be made in stages or in a stated way;</w:t>
      </w:r>
    </w:p>
    <w:p w14:paraId="0A251C08" w14:textId="77777777" w:rsidR="003D4FF5" w:rsidRDefault="003D4FF5" w:rsidP="003D4FF5">
      <w:pPr>
        <w:pStyle w:val="Apara"/>
      </w:pPr>
      <w:r>
        <w:tab/>
        <w:t>(f)</w:t>
      </w:r>
      <w:r>
        <w:tab/>
        <w:t>an order for disclosure, or nondisclosure, by a party of any discoverable document in the party’s possession;</w:t>
      </w:r>
    </w:p>
    <w:p w14:paraId="4CB10E8F" w14:textId="77777777" w:rsidR="003D4FF5" w:rsidRDefault="003D4FF5" w:rsidP="003D4FF5">
      <w:pPr>
        <w:pStyle w:val="Apara"/>
      </w:pPr>
      <w:r>
        <w:tab/>
        <w:t>(g)</w:t>
      </w:r>
      <w:r>
        <w:tab/>
        <w:t>any other order about disclosure, or nondisclosure, of documents that the court considers appropriate.</w:t>
      </w:r>
    </w:p>
    <w:p w14:paraId="3F8871DF" w14:textId="77777777" w:rsidR="003D4FF5" w:rsidRDefault="003D4FF5" w:rsidP="003D4FF5">
      <w:pPr>
        <w:pStyle w:val="aExamHdgss"/>
        <w:keepNext w:val="0"/>
      </w:pPr>
      <w:r>
        <w:t>Example for par (e) and par (g)</w:t>
      </w:r>
    </w:p>
    <w:p w14:paraId="70853D65" w14:textId="77777777" w:rsidR="003D4FF5" w:rsidRDefault="003D4FF5" w:rsidP="003D4FF5">
      <w:pPr>
        <w:pStyle w:val="aExam"/>
      </w:pPr>
      <w:r>
        <w:t>The court may make an order permitting disclosure by bundle.</w:t>
      </w:r>
    </w:p>
    <w:p w14:paraId="42912D2C" w14:textId="77777777" w:rsidR="003D4FF5" w:rsidRDefault="003D4FF5" w:rsidP="003D4FF5">
      <w:pPr>
        <w:pStyle w:val="Amain"/>
        <w:keepNext/>
      </w:pPr>
      <w:r>
        <w:tab/>
        <w:t>(2)</w:t>
      </w:r>
      <w:r>
        <w:tab/>
        <w:t>The court may make an order under subrule (1) on the application of a party or on its own initiative.</w:t>
      </w:r>
    </w:p>
    <w:p w14:paraId="567ED6F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B097D5F" w14:textId="77777777" w:rsidR="003D4FF5" w:rsidRDefault="003D4FF5" w:rsidP="003D4FF5">
      <w:pPr>
        <w:pStyle w:val="Amain"/>
        <w:keepNext/>
      </w:pPr>
      <w:r>
        <w:tab/>
        <w:t>(3)</w:t>
      </w:r>
      <w:r>
        <w:tab/>
        <w:t>Before making an order under subrule (1), the court must have regard to the following matters:</w:t>
      </w:r>
    </w:p>
    <w:p w14:paraId="161B95D5" w14:textId="77777777"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14:paraId="3B4FCA92" w14:textId="77777777" w:rsidR="003D4FF5" w:rsidRDefault="003D4FF5" w:rsidP="003D4FF5">
      <w:pPr>
        <w:pStyle w:val="Apara"/>
      </w:pPr>
      <w:r>
        <w:lastRenderedPageBreak/>
        <w:tab/>
        <w:t>(b)</w:t>
      </w:r>
      <w:r>
        <w:tab/>
        <w:t>the likely relevance and significance, in relation to the proceeding, of the documents, or particular documents, that may be discovered;</w:t>
      </w:r>
    </w:p>
    <w:p w14:paraId="7F1B13BC" w14:textId="77777777" w:rsidR="003D4FF5" w:rsidRDefault="003D4FF5" w:rsidP="003D4FF5">
      <w:pPr>
        <w:pStyle w:val="Apara"/>
      </w:pPr>
      <w:r>
        <w:tab/>
        <w:t>(c)</w:t>
      </w:r>
      <w:r>
        <w:tab/>
        <w:t>the likely time, cost and inconvenience of disclosing documents or particular documents.</w:t>
      </w:r>
    </w:p>
    <w:p w14:paraId="4CD10530" w14:textId="77777777" w:rsidR="003D4FF5" w:rsidRDefault="003D4FF5" w:rsidP="003D4FF5">
      <w:pPr>
        <w:pStyle w:val="Amain"/>
      </w:pPr>
      <w:r>
        <w:tab/>
        <w:t>(4)</w:t>
      </w:r>
      <w:r>
        <w:tab/>
        <w:t>Subrule (3) does not limit the matters to which the court may have regard.</w:t>
      </w:r>
    </w:p>
    <w:p w14:paraId="09C0DFE0" w14:textId="77777777" w:rsidR="003D4FF5" w:rsidRDefault="003D4FF5" w:rsidP="003D4FF5">
      <w:pPr>
        <w:pStyle w:val="Amain"/>
      </w:pPr>
      <w:r>
        <w:tab/>
        <w:t>(5)</w:t>
      </w:r>
      <w:r>
        <w:tab/>
        <w:t>The court may inspect any document in a party’s possession to decide whether it ought to be disclosed by the party.</w:t>
      </w:r>
    </w:p>
    <w:p w14:paraId="47595B42" w14:textId="77777777" w:rsidR="003D4FF5" w:rsidRDefault="003D4FF5" w:rsidP="003D4FF5">
      <w:pPr>
        <w:pStyle w:val="Amain"/>
      </w:pPr>
      <w:r>
        <w:tab/>
        <w:t>(6)</w:t>
      </w:r>
      <w:r>
        <w:tab/>
        <w:t>An affidavit must not be used for an application for an order under this rule unless the court otherwise orders.</w:t>
      </w:r>
    </w:p>
    <w:p w14:paraId="4A0EC65F" w14:textId="77777777" w:rsidR="003D4FF5" w:rsidRDefault="003D4FF5" w:rsidP="003D4FF5">
      <w:pPr>
        <w:pStyle w:val="AH5Sec"/>
      </w:pPr>
      <w:bookmarkStart w:id="256" w:name="_Toc185513873"/>
      <w:r w:rsidRPr="00C8328B">
        <w:rPr>
          <w:rStyle w:val="CharSectNo"/>
        </w:rPr>
        <w:t>607</w:t>
      </w:r>
      <w:r>
        <w:tab/>
        <w:t>Notice to disclose discoverable documents</w:t>
      </w:r>
      <w:bookmarkEnd w:id="256"/>
    </w:p>
    <w:p w14:paraId="33DD0AB9" w14:textId="77777777" w:rsidR="003D4FF5" w:rsidRDefault="003D4FF5" w:rsidP="003D4FF5">
      <w:pPr>
        <w:pStyle w:val="Amain"/>
        <w:keepNext/>
      </w:pPr>
      <w:r>
        <w:tab/>
        <w:t>(1)</w:t>
      </w:r>
      <w:r>
        <w:tab/>
        <w:t>A party to a proceeding may serve on another party a notice requiring the other party to disclose discoverable documents for the proceeding.</w:t>
      </w:r>
    </w:p>
    <w:p w14:paraId="41F11760" w14:textId="77777777"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14:paraId="591A923E" w14:textId="77777777" w:rsidR="003D4FF5" w:rsidRDefault="003D4FF5" w:rsidP="003D4FF5">
      <w:pPr>
        <w:pStyle w:val="Amain"/>
        <w:keepNext/>
      </w:pPr>
      <w:r>
        <w:tab/>
        <w:t>(2)</w:t>
      </w:r>
      <w:r>
        <w:tab/>
        <w:t>Unless the court gives leave, the party must not serve a notice—</w:t>
      </w:r>
    </w:p>
    <w:p w14:paraId="6B694297" w14:textId="77777777" w:rsidR="003D4FF5" w:rsidRDefault="003D4FF5" w:rsidP="003D4FF5">
      <w:pPr>
        <w:pStyle w:val="Apara"/>
      </w:pPr>
      <w:r>
        <w:tab/>
        <w:t>(a)</w:t>
      </w:r>
      <w:r>
        <w:tab/>
        <w:t>before the close of pleadings; or</w:t>
      </w:r>
    </w:p>
    <w:p w14:paraId="402C948A" w14:textId="77777777" w:rsidR="003D4FF5" w:rsidRDefault="003D4FF5" w:rsidP="003D4FF5">
      <w:pPr>
        <w:pStyle w:val="Apara"/>
        <w:keepNext/>
      </w:pPr>
      <w:r>
        <w:tab/>
        <w:t>(b)</w:t>
      </w:r>
      <w:r>
        <w:tab/>
      </w:r>
      <w:r w:rsidRPr="00284A0B">
        <w:t>after the matter is listed for hearing.</w:t>
      </w:r>
    </w:p>
    <w:p w14:paraId="094B4B6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2897622A" w14:textId="77777777" w:rsidR="003D4FF5" w:rsidRDefault="003D4FF5" w:rsidP="003D4FF5">
      <w:pPr>
        <w:pStyle w:val="Amain"/>
      </w:pPr>
      <w:r>
        <w:tab/>
        <w:t>(3)</w:t>
      </w:r>
      <w:r>
        <w:tab/>
        <w:t>The party who is served with the notice must—</w:t>
      </w:r>
    </w:p>
    <w:p w14:paraId="529DB940" w14:textId="77777777" w:rsidR="003D4FF5" w:rsidRDefault="003D4FF5" w:rsidP="003D4FF5">
      <w:pPr>
        <w:pStyle w:val="Apara"/>
        <w:keepNext/>
      </w:pPr>
      <w:r>
        <w:tab/>
        <w:t>(a)</w:t>
      </w:r>
      <w:r>
        <w:tab/>
        <w:t>file the following documents not later than 28 days after the day the party receives the notice:</w:t>
      </w:r>
    </w:p>
    <w:p w14:paraId="07D8BDD8" w14:textId="77777777" w:rsidR="003D4FF5" w:rsidRDefault="003D4FF5" w:rsidP="003D4FF5">
      <w:pPr>
        <w:pStyle w:val="Asubpara"/>
      </w:pPr>
      <w:r>
        <w:tab/>
        <w:t>(i)</w:t>
      </w:r>
      <w:r>
        <w:tab/>
        <w:t>the party’s list of documents;</w:t>
      </w:r>
    </w:p>
    <w:p w14:paraId="20F7C909" w14:textId="77777777" w:rsidR="003D4FF5" w:rsidRDefault="003D4FF5" w:rsidP="003D4FF5">
      <w:pPr>
        <w:pStyle w:val="Asubpara"/>
      </w:pPr>
      <w:r>
        <w:tab/>
        <w:t>(ii)</w:t>
      </w:r>
      <w:r>
        <w:tab/>
        <w:t>an affidavit verifying the list;</w:t>
      </w:r>
    </w:p>
    <w:p w14:paraId="5CE80F45" w14:textId="77777777" w:rsidR="003D4FF5" w:rsidRDefault="003D4FF5" w:rsidP="003D4FF5">
      <w:pPr>
        <w:pStyle w:val="Asubpara"/>
        <w:keepNext/>
      </w:pPr>
      <w:r>
        <w:lastRenderedPageBreak/>
        <w:tab/>
        <w:t>(iii)</w:t>
      </w:r>
      <w:r>
        <w:tab/>
        <w:t>if the party is represented by a solicitor—the solicitor’s certificate of advice in relation to the list; and</w:t>
      </w:r>
    </w:p>
    <w:p w14:paraId="4D9EC253" w14:textId="77777777"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14:paraId="5E91D872" w14:textId="77777777"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14:paraId="1C2975A4" w14:textId="77777777" w:rsidR="003D4FF5" w:rsidRDefault="003D4FF5" w:rsidP="003D4FF5">
      <w:pPr>
        <w:pStyle w:val="Apara"/>
      </w:pPr>
      <w:r>
        <w:tab/>
        <w:t>(b)</w:t>
      </w:r>
      <w:r>
        <w:tab/>
        <w:t>serve a copy of each of the documents on each other active party.</w:t>
      </w:r>
    </w:p>
    <w:p w14:paraId="7D92E173" w14:textId="77777777" w:rsidR="003D4FF5" w:rsidRDefault="003D4FF5" w:rsidP="003D4FF5">
      <w:pPr>
        <w:pStyle w:val="AH5Sec"/>
      </w:pPr>
      <w:bookmarkStart w:id="257" w:name="_Toc185513874"/>
      <w:r w:rsidRPr="00C8328B">
        <w:rPr>
          <w:rStyle w:val="CharSectNo"/>
        </w:rPr>
        <w:t>608</w:t>
      </w:r>
      <w:r>
        <w:tab/>
        <w:t>List of discoverable and privileged documents etc</w:t>
      </w:r>
      <w:bookmarkEnd w:id="257"/>
    </w:p>
    <w:p w14:paraId="06E006EC" w14:textId="77777777" w:rsidR="003D4FF5" w:rsidRDefault="003D4FF5" w:rsidP="003D4FF5">
      <w:pPr>
        <w:pStyle w:val="Amain"/>
      </w:pPr>
      <w:r>
        <w:tab/>
        <w:t>(1)</w:t>
      </w:r>
      <w:r>
        <w:tab/>
        <w:t>A party’s list of documents must—</w:t>
      </w:r>
    </w:p>
    <w:p w14:paraId="5B762EE0" w14:textId="77777777" w:rsidR="003D4FF5" w:rsidRDefault="003D4FF5" w:rsidP="003D4FF5">
      <w:pPr>
        <w:pStyle w:val="Apara"/>
      </w:pPr>
      <w:r>
        <w:tab/>
        <w:t>(a)</w:t>
      </w:r>
      <w:r>
        <w:tab/>
        <w:t>set out, in a convenient order—</w:t>
      </w:r>
    </w:p>
    <w:p w14:paraId="5FF1287B" w14:textId="77777777" w:rsidR="003D4FF5" w:rsidRDefault="003D4FF5" w:rsidP="003D4FF5">
      <w:pPr>
        <w:pStyle w:val="Asubpara"/>
      </w:pPr>
      <w:r>
        <w:tab/>
        <w:t>(i)</w:t>
      </w:r>
      <w:r>
        <w:tab/>
        <w:t>each document discoverable by the party; and</w:t>
      </w:r>
    </w:p>
    <w:p w14:paraId="41AAE01C" w14:textId="77777777" w:rsidR="003D4FF5" w:rsidRPr="00DC6DB8" w:rsidRDefault="003D4FF5" w:rsidP="003D4FF5">
      <w:pPr>
        <w:pStyle w:val="Asubpara"/>
      </w:pPr>
      <w:r>
        <w:tab/>
        <w:t>(ii)</w:t>
      </w:r>
      <w:r>
        <w:tab/>
      </w:r>
      <w:r w:rsidRPr="00DC6DB8">
        <w:t>each document discoverable by the party that the party claims to be privileged from production; and</w:t>
      </w:r>
    </w:p>
    <w:p w14:paraId="53645B73" w14:textId="77777777" w:rsidR="003D4FF5" w:rsidRDefault="003D4FF5" w:rsidP="003D4FF5">
      <w:pPr>
        <w:pStyle w:val="Apara"/>
      </w:pPr>
      <w:r>
        <w:tab/>
        <w:t>(b)</w:t>
      </w:r>
      <w:r>
        <w:tab/>
        <w:t>describe clearly and briefly—</w:t>
      </w:r>
    </w:p>
    <w:p w14:paraId="4C153D58" w14:textId="77777777" w:rsidR="003D4FF5" w:rsidRDefault="003D4FF5" w:rsidP="003D4FF5">
      <w:pPr>
        <w:pStyle w:val="Asubpara"/>
      </w:pPr>
      <w:r>
        <w:tab/>
        <w:t>(i)</w:t>
      </w:r>
      <w:r>
        <w:tab/>
        <w:t>each document set out in the list; and</w:t>
      </w:r>
    </w:p>
    <w:p w14:paraId="65DF2864" w14:textId="77777777" w:rsidR="003D4FF5" w:rsidRDefault="003D4FF5" w:rsidP="003D4FF5">
      <w:pPr>
        <w:pStyle w:val="Asubpara"/>
      </w:pPr>
      <w:r>
        <w:tab/>
        <w:t>(ii)</w:t>
      </w:r>
      <w:r>
        <w:tab/>
        <w:t>if the party claims the document is privileged from production—the nature of the claim for privilege; and</w:t>
      </w:r>
    </w:p>
    <w:p w14:paraId="3D1D72D9" w14:textId="77777777" w:rsidR="003D4FF5" w:rsidRDefault="003D4FF5" w:rsidP="003D4FF5">
      <w:pPr>
        <w:pStyle w:val="Apara"/>
      </w:pPr>
      <w:r>
        <w:tab/>
        <w:t>(c)</w:t>
      </w:r>
      <w:r>
        <w:tab/>
        <w:t>for each document not in the party’s possession, state—</w:t>
      </w:r>
    </w:p>
    <w:p w14:paraId="2DCBC59A" w14:textId="77777777" w:rsidR="003D4FF5" w:rsidRDefault="003D4FF5" w:rsidP="003D4FF5">
      <w:pPr>
        <w:pStyle w:val="Asubpara"/>
      </w:pPr>
      <w:r>
        <w:tab/>
        <w:t>(i)</w:t>
      </w:r>
      <w:r>
        <w:tab/>
        <w:t>when and how it stopped being in the party’s possession; and</w:t>
      </w:r>
    </w:p>
    <w:p w14:paraId="7D686575" w14:textId="77777777"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14:paraId="29092268" w14:textId="2C8A4997"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08" w:history="1">
        <w:r w:rsidRPr="00786BE1">
          <w:rPr>
            <w:rStyle w:val="charCitHyperlinkAbbrev"/>
          </w:rPr>
          <w:t>AF2006-268</w:t>
        </w:r>
      </w:hyperlink>
      <w:r>
        <w:t>.</w:t>
      </w:r>
    </w:p>
    <w:p w14:paraId="5E79AEA5" w14:textId="77777777" w:rsidR="003D4FF5" w:rsidRDefault="003D4FF5" w:rsidP="003D4FF5">
      <w:pPr>
        <w:pStyle w:val="Amain"/>
      </w:pPr>
      <w:r>
        <w:tab/>
        <w:t>(2)</w:t>
      </w:r>
      <w:r>
        <w:tab/>
        <w:t>For subrule (1), if any documents come within a group of documents of the same kind, the list of documents must deal with the documents as a group.</w:t>
      </w:r>
    </w:p>
    <w:p w14:paraId="7D2DD8FD" w14:textId="77777777" w:rsidR="003D4FF5" w:rsidRDefault="003D4FF5" w:rsidP="003D4FF5">
      <w:pPr>
        <w:pStyle w:val="Amain"/>
        <w:keepNext/>
      </w:pPr>
      <w:r>
        <w:lastRenderedPageBreak/>
        <w:tab/>
        <w:t>(3)</w:t>
      </w:r>
      <w:r>
        <w:tab/>
        <w:t>The affidavit verifying the party’s list of documents must state that the person making the affidavit—</w:t>
      </w:r>
    </w:p>
    <w:p w14:paraId="62EA5513" w14:textId="77777777" w:rsidR="003D4FF5" w:rsidRDefault="003D4FF5" w:rsidP="003D4FF5">
      <w:pPr>
        <w:pStyle w:val="Apara"/>
      </w:pPr>
      <w:r>
        <w:tab/>
        <w:t>(a)</w:t>
      </w:r>
      <w:r>
        <w:tab/>
        <w:t>has made reasonable inquiries about the party’s discoverable documents; and</w:t>
      </w:r>
    </w:p>
    <w:p w14:paraId="52CE9AC9" w14:textId="77777777"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14:paraId="5B14E58A" w14:textId="77777777" w:rsidR="003D4FF5" w:rsidRDefault="003D4FF5" w:rsidP="003D4FF5">
      <w:pPr>
        <w:pStyle w:val="Apara"/>
      </w:pPr>
      <w:r>
        <w:tab/>
        <w:t>(c)</w:t>
      </w:r>
      <w:r>
        <w:tab/>
        <w:t>believes that the documents mentioned in the list of documents (other than the documents mentioned in subrule (1) (c)) are in the party’s possession; and</w:t>
      </w:r>
    </w:p>
    <w:p w14:paraId="4BB6B4C7" w14:textId="77777777"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14:paraId="3B42015F" w14:textId="77777777" w:rsidR="003D4FF5" w:rsidRDefault="003D4FF5" w:rsidP="003D4FF5">
      <w:pPr>
        <w:pStyle w:val="Apara"/>
        <w:keepNext/>
      </w:pPr>
      <w:r>
        <w:tab/>
        <w:t>(e)</w:t>
      </w:r>
      <w:r>
        <w:tab/>
        <w:t>for any document mentioned in subrule (1) (c) for which no person is stated—has no belief about who has possession of the document.</w:t>
      </w:r>
    </w:p>
    <w:p w14:paraId="6E3B7380" w14:textId="40185E6F"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09" w:history="1">
        <w:r w:rsidRPr="00786BE1">
          <w:rPr>
            <w:rStyle w:val="charCitHyperlinkAbbrev"/>
          </w:rPr>
          <w:t>AF2006</w:t>
        </w:r>
        <w:r w:rsidR="001F7037">
          <w:rPr>
            <w:rStyle w:val="charCitHyperlinkAbbrev"/>
          </w:rPr>
          <w:noBreakHyphen/>
        </w:r>
        <w:r w:rsidRPr="00786BE1">
          <w:rPr>
            <w:rStyle w:val="charCitHyperlinkAbbrev"/>
          </w:rPr>
          <w:t>269</w:t>
        </w:r>
      </w:hyperlink>
      <w:r>
        <w:t>.</w:t>
      </w:r>
    </w:p>
    <w:p w14:paraId="79CAD51B" w14:textId="77777777" w:rsidR="003D4FF5" w:rsidRDefault="003D4FF5" w:rsidP="003D4FF5">
      <w:pPr>
        <w:pStyle w:val="Amain"/>
      </w:pPr>
      <w:r>
        <w:tab/>
        <w:t>(4)</w:t>
      </w:r>
      <w:r>
        <w:tab/>
        <w:t>The certificate of advice by the party’s solicitor in relation to the party’s list of documents must state that the solicitor—</w:t>
      </w:r>
    </w:p>
    <w:p w14:paraId="755E6451" w14:textId="77777777" w:rsidR="003D4FF5" w:rsidRDefault="003D4FF5" w:rsidP="003D4FF5">
      <w:pPr>
        <w:pStyle w:val="Apara"/>
      </w:pPr>
      <w:r>
        <w:tab/>
        <w:t>(a)</w:t>
      </w:r>
      <w:r>
        <w:tab/>
        <w:t>has advised the party of the party’s obligations in relation to—</w:t>
      </w:r>
    </w:p>
    <w:p w14:paraId="413B6CD7" w14:textId="77777777" w:rsidR="003D4FF5" w:rsidRDefault="003D4FF5" w:rsidP="003D4FF5">
      <w:pPr>
        <w:pStyle w:val="Asubpara"/>
      </w:pPr>
      <w:r>
        <w:tab/>
        <w:t>(i)</w:t>
      </w:r>
      <w:r>
        <w:tab/>
        <w:t>a notice requiring the party to disclose discoverable documents for the proceeding; or</w:t>
      </w:r>
    </w:p>
    <w:p w14:paraId="1FCB3FDC" w14:textId="77777777" w:rsidR="003D4FF5" w:rsidRDefault="003D4FF5" w:rsidP="003D4FF5">
      <w:pPr>
        <w:pStyle w:val="Asubpara"/>
      </w:pPr>
      <w:r>
        <w:tab/>
        <w:t>(ii)</w:t>
      </w:r>
      <w:r>
        <w:tab/>
        <w:t>an order for the party to disclose discoverable documents; and</w:t>
      </w:r>
    </w:p>
    <w:p w14:paraId="535DA6E6" w14:textId="77777777"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14:paraId="4AD8A670" w14:textId="48A1CC74"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0" w:history="1">
        <w:r w:rsidRPr="00786BE1">
          <w:rPr>
            <w:rStyle w:val="charCitHyperlinkAbbrev"/>
          </w:rPr>
          <w:t>AF2006-270</w:t>
        </w:r>
      </w:hyperlink>
      <w:r>
        <w:t>.</w:t>
      </w:r>
    </w:p>
    <w:p w14:paraId="7475EB34" w14:textId="77777777" w:rsidR="003D4FF5" w:rsidRDefault="003D4FF5" w:rsidP="003D4FF5">
      <w:pPr>
        <w:pStyle w:val="AH5Sec"/>
      </w:pPr>
      <w:bookmarkStart w:id="258" w:name="_Toc185513875"/>
      <w:r w:rsidRPr="00C8328B">
        <w:rPr>
          <w:rStyle w:val="CharSectNo"/>
        </w:rPr>
        <w:t>609</w:t>
      </w:r>
      <w:r>
        <w:tab/>
        <w:t>Claim for privilege—challenge etc</w:t>
      </w:r>
      <w:bookmarkEnd w:id="258"/>
    </w:p>
    <w:p w14:paraId="6ACD25E5" w14:textId="77777777" w:rsidR="003D4FF5" w:rsidRDefault="003D4FF5" w:rsidP="003D4FF5">
      <w:pPr>
        <w:pStyle w:val="Amain"/>
      </w:pPr>
      <w:r>
        <w:tab/>
        <w:t>(1)</w:t>
      </w:r>
      <w:r>
        <w:tab/>
        <w:t>This rule applies if—</w:t>
      </w:r>
    </w:p>
    <w:p w14:paraId="5B33B3B5" w14:textId="77777777" w:rsidR="003D4FF5" w:rsidRDefault="003D4FF5" w:rsidP="003D4FF5">
      <w:pPr>
        <w:pStyle w:val="Apara"/>
      </w:pPr>
      <w:r>
        <w:tab/>
        <w:t>(a)</w:t>
      </w:r>
      <w:r>
        <w:tab/>
        <w:t>a party claims in the party’s list of documents that a document is privileged from production; and</w:t>
      </w:r>
    </w:p>
    <w:p w14:paraId="698207C9" w14:textId="77777777" w:rsidR="003D4FF5" w:rsidRDefault="003D4FF5" w:rsidP="003D4FF5">
      <w:pPr>
        <w:pStyle w:val="Apara"/>
      </w:pPr>
      <w:r>
        <w:tab/>
        <w:t>(b)</w:t>
      </w:r>
      <w:r>
        <w:tab/>
        <w:t>another party challenges the claim by letter given to the party making the claim.</w:t>
      </w:r>
    </w:p>
    <w:p w14:paraId="3C718C7A" w14:textId="77777777"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14:paraId="6B26F1B8" w14:textId="77777777" w:rsidR="003D4FF5" w:rsidRDefault="003D4FF5" w:rsidP="003D4FF5">
      <w:pPr>
        <w:pStyle w:val="Amain"/>
      </w:pPr>
      <w:r>
        <w:tab/>
        <w:t>(3)</w:t>
      </w:r>
      <w:r>
        <w:tab/>
        <w:t>The affidavit must be made by an individual who knows the facts giving rise to the claim.</w:t>
      </w:r>
    </w:p>
    <w:p w14:paraId="50141209" w14:textId="77777777" w:rsidR="003D4FF5" w:rsidRDefault="003D4FF5" w:rsidP="003D4FF5">
      <w:pPr>
        <w:pStyle w:val="Amain"/>
        <w:keepNext/>
      </w:pPr>
      <w:r>
        <w:tab/>
        <w:t>(4)</w:t>
      </w:r>
      <w:r>
        <w:tab/>
        <w:t>On application by the party making the claim or a party challenging the claim, the court may decide a dispute about whether a document is privileged.</w:t>
      </w:r>
    </w:p>
    <w:p w14:paraId="2D04B637" w14:textId="223BADDA" w:rsidR="003D4FF5" w:rsidRDefault="003D4FF5" w:rsidP="003D4FF5">
      <w:pPr>
        <w:pStyle w:val="aNote"/>
        <w:keepNext/>
      </w:pPr>
      <w:r>
        <w:rPr>
          <w:rStyle w:val="charItals"/>
        </w:rPr>
        <w:t>Note 1</w:t>
      </w:r>
      <w:r>
        <w:rPr>
          <w:rStyle w:val="charItals"/>
        </w:rPr>
        <w:tab/>
      </w:r>
      <w:r>
        <w:t xml:space="preserve">For privilege, see the </w:t>
      </w:r>
      <w:hyperlink r:id="rId111" w:tooltip="A2011-12" w:history="1">
        <w:r w:rsidRPr="00781093">
          <w:rPr>
            <w:rStyle w:val="charCitHyperlinkAbbrev"/>
          </w:rPr>
          <w:t>Evidence Act</w:t>
        </w:r>
      </w:hyperlink>
      <w:r>
        <w:t>, pt 3.10.</w:t>
      </w:r>
    </w:p>
    <w:p w14:paraId="28CF38B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14:paraId="30C0A5EB" w14:textId="77777777" w:rsidR="003D4FF5" w:rsidRDefault="003D4FF5" w:rsidP="003D4FF5">
      <w:pPr>
        <w:pStyle w:val="AH5Sec"/>
      </w:pPr>
      <w:bookmarkStart w:id="259" w:name="_Toc185513876"/>
      <w:r w:rsidRPr="00C8328B">
        <w:rPr>
          <w:rStyle w:val="CharSectNo"/>
        </w:rPr>
        <w:lastRenderedPageBreak/>
        <w:t>610</w:t>
      </w:r>
      <w:r>
        <w:tab/>
        <w:t>Claim for privilege—waiver</w:t>
      </w:r>
      <w:bookmarkEnd w:id="259"/>
    </w:p>
    <w:p w14:paraId="69A9FA7E" w14:textId="77777777" w:rsidR="003D4FF5" w:rsidRDefault="003D4FF5" w:rsidP="00B671CC">
      <w:pPr>
        <w:pStyle w:val="Amainreturn"/>
        <w:keepNext/>
      </w:pPr>
      <w:r>
        <w:t>A claim for privilege from production for a document mentioned in a list of documents served by a party is taken to be waived by the party if—</w:t>
      </w:r>
    </w:p>
    <w:p w14:paraId="38FB909C" w14:textId="77777777" w:rsidR="003D4FF5" w:rsidRDefault="003D4FF5" w:rsidP="003D4FF5">
      <w:pPr>
        <w:pStyle w:val="Apara"/>
      </w:pPr>
      <w:r>
        <w:tab/>
        <w:t>(a)</w:t>
      </w:r>
      <w:r>
        <w:tab/>
        <w:t>the list of documents does not comply with rule 608 (1) (a) (ii) and (1) (b) (List of discoverable and privileged documents etc) in relation to the document; or</w:t>
      </w:r>
    </w:p>
    <w:p w14:paraId="25E78C89" w14:textId="77777777" w:rsidR="003D4FF5" w:rsidRDefault="003D4FF5" w:rsidP="003D4FF5">
      <w:pPr>
        <w:pStyle w:val="Apara"/>
      </w:pPr>
      <w:r>
        <w:tab/>
        <w:t>(b)</w:t>
      </w:r>
      <w:r>
        <w:tab/>
        <w:t>the party does not comply with rule 609 (2) (Claim for privilege—challenge etc) in relation to the document.</w:t>
      </w:r>
    </w:p>
    <w:p w14:paraId="3F0731C5" w14:textId="77777777" w:rsidR="003D4FF5" w:rsidRDefault="003D4FF5" w:rsidP="003D4FF5">
      <w:pPr>
        <w:pStyle w:val="AH5Sec"/>
      </w:pPr>
      <w:bookmarkStart w:id="260" w:name="_Toc185513877"/>
      <w:r w:rsidRPr="00C8328B">
        <w:rPr>
          <w:rStyle w:val="CharSectNo"/>
        </w:rPr>
        <w:t>611</w:t>
      </w:r>
      <w:r>
        <w:tab/>
        <w:t>Continuing disclosure</w:t>
      </w:r>
      <w:bookmarkEnd w:id="260"/>
    </w:p>
    <w:p w14:paraId="120D2FC8" w14:textId="77777777" w:rsidR="003D4FF5" w:rsidRDefault="003D4FF5" w:rsidP="003D4FF5">
      <w:pPr>
        <w:pStyle w:val="Amain"/>
      </w:pPr>
      <w:r>
        <w:tab/>
        <w:t>(1)</w:t>
      </w:r>
      <w:r>
        <w:tab/>
        <w:t>This rule applies to a discoverable document if, after disclosing documents under this part—</w:t>
      </w:r>
    </w:p>
    <w:p w14:paraId="1EEEBDA3" w14:textId="77777777" w:rsidR="003D4FF5" w:rsidRDefault="003D4FF5" w:rsidP="003D4FF5">
      <w:pPr>
        <w:pStyle w:val="Apara"/>
      </w:pPr>
      <w:r>
        <w:tab/>
        <w:t>(a)</w:t>
      </w:r>
      <w:r>
        <w:tab/>
        <w:t>a party to a proceeding becomes aware that the document was wrongly omitted from the party’s list of documents; or</w:t>
      </w:r>
    </w:p>
    <w:p w14:paraId="47EDCF9C" w14:textId="77777777" w:rsidR="003D4FF5" w:rsidRDefault="003D4FF5" w:rsidP="003D4FF5">
      <w:pPr>
        <w:pStyle w:val="Apara"/>
      </w:pPr>
      <w:r>
        <w:tab/>
        <w:t>(b)</w:t>
      </w:r>
      <w:r>
        <w:tab/>
        <w:t>the document comes into the party’s possession.</w:t>
      </w:r>
    </w:p>
    <w:p w14:paraId="094272C2" w14:textId="77777777"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14:paraId="55394335" w14:textId="77777777" w:rsidR="003D4FF5" w:rsidRDefault="003D4FF5" w:rsidP="003D4FF5">
      <w:pPr>
        <w:pStyle w:val="Amain"/>
      </w:pPr>
      <w:r>
        <w:tab/>
        <w:t>(3)</w:t>
      </w:r>
      <w:r>
        <w:tab/>
        <w:t>The party must disclose the document to each party to whom the party has been required to give discovery—</w:t>
      </w:r>
    </w:p>
    <w:p w14:paraId="10D43414" w14:textId="77777777" w:rsidR="003D4FF5" w:rsidRDefault="003D4FF5" w:rsidP="003D4FF5">
      <w:pPr>
        <w:pStyle w:val="Apara"/>
      </w:pPr>
      <w:r>
        <w:tab/>
        <w:t>(a)</w:t>
      </w:r>
      <w:r>
        <w:tab/>
        <w:t>not later than 7 days after the day the party—</w:t>
      </w:r>
    </w:p>
    <w:p w14:paraId="37DEA55A" w14:textId="77777777" w:rsidR="003D4FF5" w:rsidRDefault="003D4FF5" w:rsidP="003D4FF5">
      <w:pPr>
        <w:pStyle w:val="Asubpara"/>
      </w:pPr>
      <w:r>
        <w:tab/>
        <w:t>(i)</w:t>
      </w:r>
      <w:r>
        <w:tab/>
        <w:t>becomes aware of the omission; or</w:t>
      </w:r>
    </w:p>
    <w:p w14:paraId="737A4F79" w14:textId="77777777" w:rsidR="003D4FF5" w:rsidRDefault="003D4FF5" w:rsidP="003D4FF5">
      <w:pPr>
        <w:pStyle w:val="Asubpara"/>
      </w:pPr>
      <w:r>
        <w:tab/>
        <w:t>(ii)</w:t>
      </w:r>
      <w:r>
        <w:tab/>
        <w:t>receives possession of the document; or</w:t>
      </w:r>
    </w:p>
    <w:p w14:paraId="3647D6BC" w14:textId="77777777" w:rsidR="003D4FF5" w:rsidRDefault="003D4FF5" w:rsidP="003D4FF5">
      <w:pPr>
        <w:pStyle w:val="Apara"/>
      </w:pPr>
      <w:r>
        <w:tab/>
        <w:t>(b)</w:t>
      </w:r>
      <w:r>
        <w:tab/>
        <w:t>if the hearing of the proceeding is to start within the 7-day period, or has started—immediately.</w:t>
      </w:r>
    </w:p>
    <w:p w14:paraId="7D05B4D9" w14:textId="77777777" w:rsidR="003D4FF5" w:rsidRDefault="003D4FF5" w:rsidP="003D4FF5">
      <w:pPr>
        <w:pStyle w:val="Amain"/>
      </w:pPr>
      <w:r>
        <w:tab/>
        <w:t>(4)</w:t>
      </w:r>
      <w:r>
        <w:tab/>
        <w:t>However, this rule does not require the party to disclose a document if, apart from this rule, the party is not required to disclose it.</w:t>
      </w:r>
    </w:p>
    <w:p w14:paraId="5EF7DEC5" w14:textId="77777777" w:rsidR="003D4FF5" w:rsidRPr="00C8328B" w:rsidRDefault="003D4FF5" w:rsidP="003D4FF5">
      <w:pPr>
        <w:pStyle w:val="AH3Div"/>
      </w:pPr>
      <w:bookmarkStart w:id="261" w:name="_Toc185513878"/>
      <w:r w:rsidRPr="00C8328B">
        <w:rPr>
          <w:rStyle w:val="CharDivNo"/>
        </w:rPr>
        <w:lastRenderedPageBreak/>
        <w:t>Division 2.8.3</w:t>
      </w:r>
      <w:r>
        <w:tab/>
      </w:r>
      <w:r w:rsidRPr="00C8328B">
        <w:rPr>
          <w:rStyle w:val="CharDivText"/>
        </w:rPr>
        <w:t>Production and inspection</w:t>
      </w:r>
      <w:bookmarkEnd w:id="261"/>
    </w:p>
    <w:p w14:paraId="662A01CF" w14:textId="77777777" w:rsidR="003D4FF5" w:rsidRDefault="003D4FF5" w:rsidP="003D4FF5">
      <w:pPr>
        <w:pStyle w:val="AH5Sec"/>
      </w:pPr>
      <w:bookmarkStart w:id="262" w:name="_Toc185513879"/>
      <w:r w:rsidRPr="00C8328B">
        <w:rPr>
          <w:rStyle w:val="CharSectNo"/>
        </w:rPr>
        <w:t>620</w:t>
      </w:r>
      <w:r>
        <w:tab/>
        <w:t>Production of documents for inspection</w:t>
      </w:r>
      <w:bookmarkEnd w:id="262"/>
    </w:p>
    <w:p w14:paraId="74943EA8" w14:textId="77777777"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14:paraId="7634B8C6" w14:textId="77777777" w:rsidR="003D4FF5" w:rsidRDefault="003D4FF5" w:rsidP="003D4FF5">
      <w:pPr>
        <w:pStyle w:val="Apara"/>
      </w:pPr>
      <w:r>
        <w:tab/>
        <w:t>(a)</w:t>
      </w:r>
      <w:r>
        <w:tab/>
        <w:t>the producing party’s list of documents; or</w:t>
      </w:r>
    </w:p>
    <w:p w14:paraId="5FA18CF9" w14:textId="77777777" w:rsidR="003D4FF5" w:rsidRDefault="003D4FF5" w:rsidP="003D4FF5">
      <w:pPr>
        <w:pStyle w:val="Apara"/>
      </w:pPr>
      <w:r>
        <w:tab/>
        <w:t>(b)</w:t>
      </w:r>
      <w:r>
        <w:tab/>
        <w:t>any originating process, pleading, particular or affidavit filed by the producing party in the proceeding.</w:t>
      </w:r>
    </w:p>
    <w:p w14:paraId="53AA0ED6" w14:textId="77777777" w:rsidR="003D4FF5" w:rsidRDefault="003D4FF5" w:rsidP="003D4FF5">
      <w:pPr>
        <w:pStyle w:val="Amain"/>
      </w:pPr>
      <w:r>
        <w:tab/>
        <w:t>(2)</w:t>
      </w:r>
      <w:r>
        <w:tab/>
        <w:t>The producing party must, in accordance with this rule, produce the document for inspection by the inspecting party.</w:t>
      </w:r>
    </w:p>
    <w:p w14:paraId="3E08148A" w14:textId="77777777" w:rsidR="003D4FF5" w:rsidRDefault="003D4FF5" w:rsidP="003D4FF5">
      <w:pPr>
        <w:pStyle w:val="Amain"/>
        <w:keepNext/>
      </w:pPr>
      <w:r>
        <w:tab/>
        <w:t>(3)</w:t>
      </w:r>
      <w:r>
        <w:tab/>
        <w:t>However, the producing party does not have to produce—</w:t>
      </w:r>
    </w:p>
    <w:p w14:paraId="5708C215" w14:textId="77777777" w:rsidR="003D4FF5" w:rsidRDefault="003D4FF5" w:rsidP="003D4FF5">
      <w:pPr>
        <w:pStyle w:val="Apara"/>
        <w:keepNext/>
      </w:pPr>
      <w:r>
        <w:tab/>
        <w:t>(a)</w:t>
      </w:r>
      <w:r>
        <w:tab/>
        <w:t>a document not required to be disclosed under this part; or</w:t>
      </w:r>
    </w:p>
    <w:p w14:paraId="060A7234" w14:textId="77777777" w:rsidR="003D4FF5" w:rsidRDefault="003D4FF5" w:rsidP="003D4FF5">
      <w:pPr>
        <w:pStyle w:val="Apara"/>
      </w:pPr>
      <w:r>
        <w:tab/>
        <w:t>(b)</w:t>
      </w:r>
      <w:r>
        <w:tab/>
        <w:t>a document for which the producing party has, in the party’s list of documents, claimed privilege from production; or</w:t>
      </w:r>
    </w:p>
    <w:p w14:paraId="59CBEECF" w14:textId="77777777" w:rsidR="003D4FF5" w:rsidRDefault="003D4FF5" w:rsidP="003D4FF5">
      <w:pPr>
        <w:pStyle w:val="Apara"/>
      </w:pPr>
      <w:r>
        <w:tab/>
        <w:t>(c)</w:t>
      </w:r>
      <w:r>
        <w:tab/>
        <w:t>a document not required by the inspecting party to be produced; or</w:t>
      </w:r>
    </w:p>
    <w:p w14:paraId="7F9564B2" w14:textId="77777777" w:rsidR="003D4FF5" w:rsidRDefault="003D4FF5" w:rsidP="003D4FF5">
      <w:pPr>
        <w:pStyle w:val="Apara"/>
      </w:pPr>
      <w:r>
        <w:tab/>
        <w:t>(d)</w:t>
      </w:r>
      <w:r>
        <w:tab/>
        <w:t>a document not in the producing party’s possession; or</w:t>
      </w:r>
    </w:p>
    <w:p w14:paraId="2144F747" w14:textId="77777777" w:rsidR="003D4FF5" w:rsidRDefault="003D4FF5" w:rsidP="003D4FF5">
      <w:pPr>
        <w:pStyle w:val="Apara"/>
      </w:pPr>
      <w:r>
        <w:tab/>
        <w:t>(e)</w:t>
      </w:r>
      <w:r>
        <w:tab/>
        <w:t>a document relating only to a claim in the proceeding that does not affect the producing party.</w:t>
      </w:r>
    </w:p>
    <w:p w14:paraId="6DCF26F2" w14:textId="77777777"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14:paraId="3F160F0B" w14:textId="77777777" w:rsidR="003D4FF5" w:rsidRDefault="003D4FF5" w:rsidP="003D4FF5">
      <w:pPr>
        <w:pStyle w:val="Amain"/>
      </w:pPr>
      <w:r>
        <w:tab/>
        <w:t>(5)</w:t>
      </w:r>
      <w:r>
        <w:tab/>
        <w:t>The notice must—</w:t>
      </w:r>
    </w:p>
    <w:p w14:paraId="4C4C0006" w14:textId="77777777" w:rsidR="003D4FF5" w:rsidRDefault="003D4FF5" w:rsidP="003D4FF5">
      <w:pPr>
        <w:pStyle w:val="Apara"/>
      </w:pPr>
      <w:r>
        <w:tab/>
        <w:t>(a)</w:t>
      </w:r>
      <w:r>
        <w:tab/>
        <w:t>be given by the producing party to the inspecting party not later than 7 days after the day the producing party is given the notice under subrule (1); and</w:t>
      </w:r>
    </w:p>
    <w:p w14:paraId="1AA9B6A8" w14:textId="77777777" w:rsidR="003D4FF5" w:rsidRDefault="003D4FF5" w:rsidP="003D4FF5">
      <w:pPr>
        <w:pStyle w:val="Apara"/>
      </w:pPr>
      <w:r>
        <w:lastRenderedPageBreak/>
        <w:tab/>
        <w:t>(b)</w:t>
      </w:r>
      <w:r>
        <w:tab/>
        <w:t>state—</w:t>
      </w:r>
    </w:p>
    <w:p w14:paraId="7BD101A7" w14:textId="77777777"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14:paraId="1C394D78" w14:textId="77777777" w:rsidR="003D4FF5" w:rsidRDefault="003D4FF5" w:rsidP="003D4FF5">
      <w:pPr>
        <w:pStyle w:val="Asubpara"/>
      </w:pPr>
      <w:r>
        <w:tab/>
        <w:t>(ii)</w:t>
      </w:r>
      <w:r>
        <w:tab/>
        <w:t>a time between 9 am and 3 pm; and</w:t>
      </w:r>
    </w:p>
    <w:p w14:paraId="5D5DBA5A" w14:textId="77777777" w:rsidR="003D4FF5" w:rsidRDefault="003D4FF5" w:rsidP="003D4FF5">
      <w:pPr>
        <w:pStyle w:val="Apara"/>
      </w:pPr>
      <w:r>
        <w:tab/>
        <w:t>(c)</w:t>
      </w:r>
      <w:r>
        <w:tab/>
        <w:t>state as the place for production—</w:t>
      </w:r>
    </w:p>
    <w:p w14:paraId="6FC2ECA7" w14:textId="77777777" w:rsidR="003D4FF5" w:rsidRDefault="003D4FF5" w:rsidP="003D4FF5">
      <w:pPr>
        <w:pStyle w:val="Asubpara"/>
      </w:pPr>
      <w:r>
        <w:tab/>
        <w:t>(i)</w:t>
      </w:r>
      <w:r>
        <w:tab/>
        <w:t>the address for service of the producing party; or</w:t>
      </w:r>
    </w:p>
    <w:p w14:paraId="23FDBA55" w14:textId="77777777" w:rsidR="003D4FF5" w:rsidRDefault="003D4FF5" w:rsidP="003D4FF5">
      <w:pPr>
        <w:pStyle w:val="Asubpara"/>
      </w:pPr>
      <w:r>
        <w:tab/>
        <w:t>(ii)</w:t>
      </w:r>
      <w:r>
        <w:tab/>
        <w:t>if it is not practicable to produce the documents at that address—some other reasonable place in the ACT.</w:t>
      </w:r>
    </w:p>
    <w:p w14:paraId="57E20580" w14:textId="77777777"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14:paraId="14F9E94D" w14:textId="77777777" w:rsidR="003D4FF5" w:rsidRDefault="003D4FF5" w:rsidP="003D4FF5">
      <w:pPr>
        <w:pStyle w:val="Amain"/>
      </w:pPr>
      <w:r>
        <w:tab/>
        <w:t>(6)</w:t>
      </w:r>
      <w:r>
        <w:tab/>
        <w:t>The inspecting party may copy a document produced for inspection and make notes of, or take extracts from, it.</w:t>
      </w:r>
    </w:p>
    <w:p w14:paraId="5277F4BB" w14:textId="77777777"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14:paraId="5EF487E4" w14:textId="77777777"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14:paraId="660E2D7D" w14:textId="77777777" w:rsidR="003D4FF5" w:rsidRDefault="003D4FF5" w:rsidP="003D4FF5">
      <w:pPr>
        <w:pStyle w:val="Amain"/>
      </w:pPr>
      <w:r>
        <w:tab/>
        <w:t>(9)</w:t>
      </w:r>
      <w:r>
        <w:tab/>
        <w:t>However, subrule (8) does not require the producing party to produce a document if, apart from the subrule, the party is not required to produce it.</w:t>
      </w:r>
    </w:p>
    <w:p w14:paraId="48F3F152" w14:textId="77777777" w:rsidR="003D4FF5" w:rsidRDefault="003D4FF5" w:rsidP="003D4FF5">
      <w:pPr>
        <w:pStyle w:val="AH5Sec"/>
      </w:pPr>
      <w:bookmarkStart w:id="263" w:name="_Toc185513880"/>
      <w:r w:rsidRPr="00C8328B">
        <w:rPr>
          <w:rStyle w:val="CharSectNo"/>
        </w:rPr>
        <w:t>621</w:t>
      </w:r>
      <w:r>
        <w:tab/>
        <w:t>Orders about production of documents for inspection</w:t>
      </w:r>
      <w:bookmarkEnd w:id="263"/>
    </w:p>
    <w:p w14:paraId="517DB99E" w14:textId="77777777" w:rsidR="003D4FF5" w:rsidRDefault="003D4FF5" w:rsidP="003D4FF5">
      <w:pPr>
        <w:pStyle w:val="Amain"/>
      </w:pPr>
      <w:r>
        <w:tab/>
        <w:t>(1)</w:t>
      </w:r>
      <w:r>
        <w:tab/>
        <w:t>This rule applies to the production of documents by a party to a proceeding for inspection by another party to the proceeding.</w:t>
      </w:r>
    </w:p>
    <w:p w14:paraId="5F46D2A4" w14:textId="77777777" w:rsidR="003D4FF5" w:rsidRDefault="003D4FF5" w:rsidP="003D4FF5">
      <w:pPr>
        <w:pStyle w:val="Amain"/>
        <w:keepNext/>
      </w:pPr>
      <w:r>
        <w:lastRenderedPageBreak/>
        <w:tab/>
        <w:t>(2)</w:t>
      </w:r>
      <w:r>
        <w:tab/>
        <w:t>The court may do any of the following:</w:t>
      </w:r>
    </w:p>
    <w:p w14:paraId="3B0BBB2A" w14:textId="77777777" w:rsidR="003D4FF5" w:rsidRDefault="003D4FF5" w:rsidP="003D4FF5">
      <w:pPr>
        <w:pStyle w:val="Apara"/>
      </w:pPr>
      <w:r>
        <w:tab/>
        <w:t>(a)</w:t>
      </w:r>
      <w:r>
        <w:tab/>
        <w:t>make an order for production of documents by 1 or more parties to be made in stages or in a stated way;</w:t>
      </w:r>
    </w:p>
    <w:p w14:paraId="4C180F14" w14:textId="77777777" w:rsidR="003D4FF5" w:rsidRDefault="003D4FF5" w:rsidP="003D4FF5">
      <w:pPr>
        <w:pStyle w:val="Apara"/>
      </w:pPr>
      <w:r>
        <w:tab/>
        <w:t>(b)</w:t>
      </w:r>
      <w:r>
        <w:tab/>
        <w:t>inspect a document to decide whether it ought to be produced;</w:t>
      </w:r>
    </w:p>
    <w:p w14:paraId="52073D6B" w14:textId="77777777" w:rsidR="003D4FF5" w:rsidRDefault="003D4FF5" w:rsidP="003D4FF5">
      <w:pPr>
        <w:pStyle w:val="Apara"/>
      </w:pPr>
      <w:r>
        <w:tab/>
        <w:t>(c)</w:t>
      </w:r>
      <w:r>
        <w:tab/>
        <w:t>make an order about whether a document has to be produced by a party (either generally, at a particular time or to a particular party);</w:t>
      </w:r>
    </w:p>
    <w:p w14:paraId="7ACC12D3" w14:textId="77777777" w:rsidR="003D4FF5" w:rsidRDefault="003D4FF5" w:rsidP="003D4FF5">
      <w:pPr>
        <w:pStyle w:val="Apara"/>
      </w:pPr>
      <w:r>
        <w:tab/>
        <w:t>(d)</w:t>
      </w:r>
      <w:r>
        <w:tab/>
        <w:t>make an order for a document stored on a computer to be produced in a stated way or form;</w:t>
      </w:r>
    </w:p>
    <w:p w14:paraId="01FB2A82" w14:textId="77777777" w:rsidR="003D4FF5" w:rsidRDefault="003D4FF5" w:rsidP="003D4FF5">
      <w:pPr>
        <w:pStyle w:val="Apara"/>
        <w:keepNext/>
      </w:pPr>
      <w:r>
        <w:tab/>
        <w:t>(e)</w:t>
      </w:r>
      <w:r>
        <w:tab/>
        <w:t>make any other order about production of documents that it considers appropriate.</w:t>
      </w:r>
    </w:p>
    <w:p w14:paraId="1B9A687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DA6494B" w14:textId="77777777" w:rsidR="003D4FF5" w:rsidRDefault="003D4FF5" w:rsidP="003D4FF5">
      <w:pPr>
        <w:pStyle w:val="Amain"/>
        <w:keepNext/>
      </w:pPr>
      <w:r>
        <w:tab/>
        <w:t>(3)</w:t>
      </w:r>
      <w:r>
        <w:tab/>
        <w:t>Before making an order under subrule (2), the court must have regard to the following matters:</w:t>
      </w:r>
    </w:p>
    <w:p w14:paraId="3F56853B" w14:textId="77777777"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14:paraId="7542111B" w14:textId="77777777" w:rsidR="003D4FF5" w:rsidRDefault="003D4FF5" w:rsidP="003D4FF5">
      <w:pPr>
        <w:pStyle w:val="Apara"/>
      </w:pPr>
      <w:r>
        <w:tab/>
        <w:t>(b)</w:t>
      </w:r>
      <w:r>
        <w:tab/>
        <w:t>the likely relevance and significance, in relation to the proceeding, of the documents, or particular documents, that may be produced;</w:t>
      </w:r>
    </w:p>
    <w:p w14:paraId="02972F80" w14:textId="77777777" w:rsidR="003D4FF5" w:rsidRDefault="003D4FF5" w:rsidP="003D4FF5">
      <w:pPr>
        <w:pStyle w:val="Apara"/>
      </w:pPr>
      <w:r>
        <w:tab/>
        <w:t>(c)</w:t>
      </w:r>
      <w:r>
        <w:tab/>
        <w:t>the likely time, cost and inconvenience of producing documents or particular documents.</w:t>
      </w:r>
    </w:p>
    <w:p w14:paraId="7D05EA2F" w14:textId="77777777" w:rsidR="003D4FF5" w:rsidRDefault="003D4FF5" w:rsidP="003D4FF5">
      <w:pPr>
        <w:pStyle w:val="Amain"/>
      </w:pPr>
      <w:r>
        <w:tab/>
        <w:t>(4)</w:t>
      </w:r>
      <w:r>
        <w:tab/>
        <w:t>Subrule (3) does not limit the matters to which the court may have regard.</w:t>
      </w:r>
    </w:p>
    <w:p w14:paraId="66F5FF1E" w14:textId="77777777" w:rsidR="003D4FF5" w:rsidRDefault="003D4FF5" w:rsidP="003D4FF5">
      <w:pPr>
        <w:pStyle w:val="AH5Sec"/>
      </w:pPr>
      <w:bookmarkStart w:id="264" w:name="_Toc185513881"/>
      <w:r w:rsidRPr="00C8328B">
        <w:rPr>
          <w:rStyle w:val="CharSectNo"/>
        </w:rPr>
        <w:lastRenderedPageBreak/>
        <w:t>622</w:t>
      </w:r>
      <w:r>
        <w:tab/>
        <w:t>Effect of inspection of documents disclosed by another party</w:t>
      </w:r>
      <w:bookmarkEnd w:id="264"/>
    </w:p>
    <w:p w14:paraId="0648FDFD" w14:textId="77777777"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14:paraId="39448F74" w14:textId="77777777"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14:paraId="164025FE" w14:textId="77777777" w:rsidR="003D4FF5" w:rsidRDefault="003D4FF5" w:rsidP="003D4FF5">
      <w:pPr>
        <w:pStyle w:val="Apara"/>
      </w:pPr>
      <w:r>
        <w:tab/>
        <w:t>(b)</w:t>
      </w:r>
      <w:r>
        <w:tab/>
        <w:t>if the document is described in the list of documents as a copy—that the document is a true copy; and</w:t>
      </w:r>
    </w:p>
    <w:p w14:paraId="35FE3460" w14:textId="77777777" w:rsidR="003D4FF5" w:rsidRDefault="003D4FF5" w:rsidP="003D4FF5">
      <w:pPr>
        <w:pStyle w:val="Apara"/>
      </w:pPr>
      <w:r>
        <w:tab/>
        <w:t>(c)</w:t>
      </w:r>
      <w:r>
        <w:tab/>
        <w:t>if the document is described in the list of documents as a copy of a document that was served—that the original was served as described.</w:t>
      </w:r>
    </w:p>
    <w:p w14:paraId="742C1C11" w14:textId="77777777" w:rsidR="003D4FF5" w:rsidRDefault="003D4FF5" w:rsidP="003D4FF5">
      <w:pPr>
        <w:pStyle w:val="Amain"/>
      </w:pPr>
      <w:r>
        <w:tab/>
        <w:t>(2)</w:t>
      </w:r>
      <w:r>
        <w:tab/>
        <w:t>However, subrule (1) does not apply if—</w:t>
      </w:r>
    </w:p>
    <w:p w14:paraId="5B3DA62B" w14:textId="77777777" w:rsidR="003D4FF5" w:rsidRDefault="003D4FF5" w:rsidP="003D4FF5">
      <w:pPr>
        <w:pStyle w:val="Apara"/>
      </w:pPr>
      <w:r>
        <w:tab/>
        <w:t>(a)</w:t>
      </w:r>
      <w:r>
        <w:tab/>
        <w:t>the document is not admissible in evidence; or</w:t>
      </w:r>
    </w:p>
    <w:p w14:paraId="671CB256" w14:textId="77777777" w:rsidR="003D4FF5" w:rsidRDefault="003D4FF5" w:rsidP="003D4FF5">
      <w:pPr>
        <w:pStyle w:val="Apara"/>
      </w:pPr>
      <w:r>
        <w:tab/>
        <w:t>(b)</w:t>
      </w:r>
      <w:r>
        <w:tab/>
        <w:t>the inspecting party has in the party’s pleadings denied its authenticity or that the original was served as described; or</w:t>
      </w:r>
    </w:p>
    <w:p w14:paraId="52F26A9A" w14:textId="77777777"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14:paraId="38F07C39" w14:textId="77777777" w:rsidR="003D4FF5" w:rsidRDefault="003D4FF5" w:rsidP="003D4FF5">
      <w:pPr>
        <w:pStyle w:val="Apara"/>
      </w:pPr>
      <w:r>
        <w:tab/>
        <w:t>(d)</w:t>
      </w:r>
      <w:r>
        <w:tab/>
        <w:t>the court orders that it does not apply.</w:t>
      </w:r>
    </w:p>
    <w:p w14:paraId="7CDA6E38" w14:textId="77777777" w:rsidR="003D4FF5" w:rsidRDefault="003D4FF5" w:rsidP="003D4FF5">
      <w:pPr>
        <w:pStyle w:val="AH5Sec"/>
      </w:pPr>
      <w:bookmarkStart w:id="265" w:name="_Toc185513882"/>
      <w:r w:rsidRPr="00C8328B">
        <w:rPr>
          <w:rStyle w:val="CharSectNo"/>
        </w:rPr>
        <w:t>623</w:t>
      </w:r>
      <w:r>
        <w:tab/>
        <w:t>Production of documents at hearing of proceeding</w:t>
      </w:r>
      <w:bookmarkEnd w:id="265"/>
    </w:p>
    <w:p w14:paraId="62C3608A" w14:textId="77777777" w:rsidR="003D4FF5" w:rsidRDefault="003D4FF5" w:rsidP="003D4FF5">
      <w:pPr>
        <w:pStyle w:val="Amainreturn"/>
        <w:rPr>
          <w:snapToGrid w:val="0"/>
        </w:rPr>
      </w:pPr>
      <w:r>
        <w:rPr>
          <w:snapToGrid w:val="0"/>
        </w:rPr>
        <w:t>A document disclosed under this part must be produced at the hearing of the proceeding if—</w:t>
      </w:r>
    </w:p>
    <w:p w14:paraId="7C5B7442" w14:textId="77777777"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14:paraId="5B87F7EB" w14:textId="77777777" w:rsidR="003D4FF5" w:rsidRDefault="003D4FF5" w:rsidP="003D4FF5">
      <w:pPr>
        <w:pStyle w:val="Apara"/>
        <w:rPr>
          <w:snapToGrid w:val="0"/>
        </w:rPr>
      </w:pPr>
      <w:r>
        <w:rPr>
          <w:snapToGrid w:val="0"/>
        </w:rPr>
        <w:tab/>
        <w:t>(b)</w:t>
      </w:r>
      <w:r>
        <w:rPr>
          <w:snapToGrid w:val="0"/>
        </w:rPr>
        <w:tab/>
        <w:t>its production is asked for by the other party at the hearing.</w:t>
      </w:r>
    </w:p>
    <w:p w14:paraId="0A3EDA9A" w14:textId="77777777" w:rsidR="003D4FF5" w:rsidRPr="00C8328B" w:rsidRDefault="003D4FF5" w:rsidP="003D4FF5">
      <w:pPr>
        <w:pStyle w:val="AH3Div"/>
      </w:pPr>
      <w:bookmarkStart w:id="266" w:name="_Toc185513883"/>
      <w:r w:rsidRPr="00C8328B">
        <w:rPr>
          <w:rStyle w:val="CharDivNo"/>
        </w:rPr>
        <w:lastRenderedPageBreak/>
        <w:t>Division 2.8.4</w:t>
      </w:r>
      <w:r>
        <w:tab/>
      </w:r>
      <w:r w:rsidRPr="00C8328B">
        <w:rPr>
          <w:rStyle w:val="CharDivText"/>
        </w:rPr>
        <w:t>Interrogatories</w:t>
      </w:r>
      <w:bookmarkEnd w:id="266"/>
    </w:p>
    <w:p w14:paraId="227E2A81" w14:textId="77777777" w:rsidR="00AE72B5" w:rsidRPr="00541115" w:rsidRDefault="00AE72B5" w:rsidP="00AE72B5">
      <w:pPr>
        <w:pStyle w:val="AH5Sec"/>
      </w:pPr>
      <w:bookmarkStart w:id="267" w:name="_Toc185513884"/>
      <w:r w:rsidRPr="00C03842">
        <w:rPr>
          <w:rStyle w:val="CharSectNo"/>
        </w:rPr>
        <w:t>630</w:t>
      </w:r>
      <w:r w:rsidRPr="00541115">
        <w:tab/>
        <w:t>Order for party to answer interrogatories</w:t>
      </w:r>
      <w:bookmarkEnd w:id="267"/>
    </w:p>
    <w:p w14:paraId="5D315D98" w14:textId="77777777" w:rsidR="00AE72B5" w:rsidRPr="00541115" w:rsidRDefault="00AE72B5" w:rsidP="00AE72B5">
      <w:pPr>
        <w:pStyle w:val="Amain"/>
      </w:pPr>
      <w:r w:rsidRPr="00541115">
        <w:tab/>
        <w:t>(1)</w:t>
      </w:r>
      <w:r w:rsidRPr="00541115">
        <w:tab/>
        <w:t>The court may, on application by a party to a proceeding, make an order that another party to the proceeding give written answers to interrogatories.</w:t>
      </w:r>
    </w:p>
    <w:p w14:paraId="49E07C0A" w14:textId="77777777" w:rsidR="00AE72B5" w:rsidRPr="00541115" w:rsidRDefault="00AE72B5" w:rsidP="00AE72B5">
      <w:pPr>
        <w:pStyle w:val="aNote"/>
      </w:pPr>
      <w:r w:rsidRPr="00AD6F40">
        <w:rPr>
          <w:rStyle w:val="charItals"/>
        </w:rPr>
        <w:t>Note</w:t>
      </w:r>
      <w:r w:rsidRPr="00AD6F40">
        <w:rPr>
          <w:rStyle w:val="charItals"/>
        </w:rPr>
        <w:tab/>
      </w:r>
      <w:r w:rsidRPr="00541115">
        <w:t>Pt 6.2 (Applications in proceedings) applies to an application for an order under this rule.</w:t>
      </w:r>
    </w:p>
    <w:p w14:paraId="44037415" w14:textId="77777777" w:rsidR="00AE72B5" w:rsidRPr="00541115" w:rsidRDefault="00AE72B5" w:rsidP="00AE72B5">
      <w:pPr>
        <w:pStyle w:val="Amain"/>
      </w:pPr>
      <w:r w:rsidRPr="00541115">
        <w:tab/>
        <w:t>(2)</w:t>
      </w:r>
      <w:r w:rsidRPr="00541115">
        <w:tab/>
        <w:t>An application under subrule (1) must be accompanied by a supporting affidavit that annexes or exhibits the proposed interrogatories.</w:t>
      </w:r>
    </w:p>
    <w:p w14:paraId="53892B69" w14:textId="77777777" w:rsidR="00AE72B5" w:rsidRPr="00541115" w:rsidRDefault="00AE72B5" w:rsidP="00AE72B5">
      <w:pPr>
        <w:pStyle w:val="Amain"/>
      </w:pPr>
      <w:r w:rsidRPr="00541115">
        <w:tab/>
        <w:t>(3)</w:t>
      </w:r>
      <w:r w:rsidRPr="00541115">
        <w:tab/>
        <w:t xml:space="preserve">If the proposed interrogatories are </w:t>
      </w:r>
      <w:r w:rsidRPr="00541115">
        <w:rPr>
          <w:color w:val="000000"/>
          <w:shd w:val="clear" w:color="auto" w:fill="FFFFFF"/>
        </w:rPr>
        <w:t>to be answered by 2 or more people, the proposed interrogatories must contain a note stating which of the proposed interrogatories each person is required to answer.</w:t>
      </w:r>
    </w:p>
    <w:p w14:paraId="5053368E" w14:textId="77777777" w:rsidR="00AE72B5" w:rsidRPr="00541115" w:rsidRDefault="00AE72B5" w:rsidP="00AE72B5">
      <w:pPr>
        <w:pStyle w:val="Amain"/>
      </w:pPr>
      <w:r w:rsidRPr="00541115">
        <w:tab/>
        <w:t>(4)</w:t>
      </w:r>
      <w:r w:rsidRPr="00541115">
        <w:tab/>
        <w:t>Before making an order under subrule (1), the court must have regard to the matters mentioned in rule 632 (3).</w:t>
      </w:r>
    </w:p>
    <w:p w14:paraId="2360D681" w14:textId="77777777" w:rsidR="00AE72B5" w:rsidRPr="00541115" w:rsidRDefault="00AE72B5" w:rsidP="00AE72B5">
      <w:pPr>
        <w:pStyle w:val="Amain"/>
      </w:pPr>
      <w:r w:rsidRPr="00541115">
        <w:tab/>
        <w:t>(5)</w:t>
      </w:r>
      <w:r w:rsidRPr="00541115">
        <w:tab/>
        <w:t>Subrule (4) does not limit the matters to which the court may have regard.</w:t>
      </w:r>
    </w:p>
    <w:p w14:paraId="5511E270" w14:textId="77777777" w:rsidR="00AE72B5" w:rsidRPr="00541115" w:rsidRDefault="00AE72B5" w:rsidP="00AE72B5">
      <w:pPr>
        <w:pStyle w:val="Amain"/>
      </w:pPr>
      <w:r w:rsidRPr="00541115">
        <w:tab/>
        <w:t>(6)</w:t>
      </w:r>
      <w:r w:rsidRPr="00541115">
        <w:tab/>
        <w:t>If a party to a proceeding is ordered to answer interrogatories under subrule (1), the party must</w:t>
      </w:r>
      <w:r w:rsidRPr="00541115">
        <w:rPr>
          <w:color w:val="000000"/>
          <w:shd w:val="clear" w:color="auto" w:fill="FFFFFF"/>
        </w:rPr>
        <w:t xml:space="preserve"> </w:t>
      </w:r>
      <w:r w:rsidRPr="00541115">
        <w:t>serve a stamped copy of any affidavit prepared in accordance with rule 635 on the party who made the application under subrule (1).</w:t>
      </w:r>
    </w:p>
    <w:p w14:paraId="6EC91F0B" w14:textId="77777777" w:rsidR="003D4FF5" w:rsidRDefault="003D4FF5" w:rsidP="003D4FF5">
      <w:pPr>
        <w:pStyle w:val="AH5Sec"/>
      </w:pPr>
      <w:bookmarkStart w:id="268" w:name="_Toc185513885"/>
      <w:r w:rsidRPr="00C8328B">
        <w:rPr>
          <w:rStyle w:val="CharSectNo"/>
        </w:rPr>
        <w:t>631</w:t>
      </w:r>
      <w:r>
        <w:tab/>
        <w:t>Objections to answer interrogatories</w:t>
      </w:r>
      <w:bookmarkEnd w:id="268"/>
    </w:p>
    <w:p w14:paraId="34B8EA06" w14:textId="77777777" w:rsidR="003D4FF5" w:rsidRDefault="003D4FF5" w:rsidP="003D4FF5">
      <w:pPr>
        <w:pStyle w:val="Amain"/>
        <w:keepNext/>
      </w:pPr>
      <w:r>
        <w:tab/>
        <w:t>(1)</w:t>
      </w:r>
      <w:r>
        <w:tab/>
        <w:t>An objection by a party to answer an interrogatory must be on 1 or more of the following grounds:</w:t>
      </w:r>
    </w:p>
    <w:p w14:paraId="34F6B9ED" w14:textId="77777777" w:rsidR="003D4FF5" w:rsidRDefault="003D4FF5" w:rsidP="003D4FF5">
      <w:pPr>
        <w:pStyle w:val="Apara"/>
      </w:pPr>
      <w:r>
        <w:tab/>
        <w:t>(a)</w:t>
      </w:r>
      <w:r>
        <w:tab/>
        <w:t>the interrogatory is unnecessary;</w:t>
      </w:r>
    </w:p>
    <w:p w14:paraId="78479974" w14:textId="77777777" w:rsidR="003D4FF5" w:rsidRDefault="003D4FF5" w:rsidP="003D4FF5">
      <w:pPr>
        <w:pStyle w:val="Apara"/>
      </w:pPr>
      <w:r>
        <w:tab/>
        <w:t>(b)</w:t>
      </w:r>
      <w:r>
        <w:tab/>
        <w:t>the interrogatory is oppressive, scandalous, vexatious or otherwise improper;</w:t>
      </w:r>
    </w:p>
    <w:p w14:paraId="6DD6E79B" w14:textId="77777777" w:rsidR="003D4FF5" w:rsidRDefault="003D4FF5" w:rsidP="003D4FF5">
      <w:pPr>
        <w:pStyle w:val="Apara"/>
      </w:pPr>
      <w:r>
        <w:tab/>
        <w:t>(c)</w:t>
      </w:r>
      <w:r>
        <w:tab/>
        <w:t>the interrogatory is unnecessarily long, wordy or uncertain;</w:t>
      </w:r>
    </w:p>
    <w:p w14:paraId="688017DF" w14:textId="77777777" w:rsidR="003D4FF5" w:rsidRDefault="003D4FF5" w:rsidP="003D4FF5">
      <w:pPr>
        <w:pStyle w:val="Apara"/>
      </w:pPr>
      <w:r>
        <w:lastRenderedPageBreak/>
        <w:tab/>
        <w:t>(d)</w:t>
      </w:r>
      <w:r>
        <w:tab/>
        <w:t>the interrogatory is irrelevant, is of a ‘fishing’ nature or inquires into a matter of evidence;</w:t>
      </w:r>
    </w:p>
    <w:p w14:paraId="1520BBE0" w14:textId="38F02CBF" w:rsidR="003D4FF5" w:rsidRDefault="003D4FF5" w:rsidP="003D4FF5">
      <w:pPr>
        <w:pStyle w:val="Apara"/>
      </w:pPr>
      <w:r>
        <w:tab/>
        <w:t>(e)</w:t>
      </w:r>
      <w:r>
        <w:tab/>
        <w:t xml:space="preserve">the party is privileged under the </w:t>
      </w:r>
      <w:hyperlink r:id="rId112" w:tooltip="A2011-12" w:history="1">
        <w:r w:rsidRPr="00781093">
          <w:rPr>
            <w:rStyle w:val="charCitHyperlinkAbbrev"/>
          </w:rPr>
          <w:t>Evidence Act</w:t>
        </w:r>
      </w:hyperlink>
      <w:r>
        <w:t>, part 3.10 (Privileges) from answering the interrogatory;</w:t>
      </w:r>
    </w:p>
    <w:p w14:paraId="23D44F80" w14:textId="77777777" w:rsidR="003D4FF5" w:rsidRDefault="003D4FF5" w:rsidP="003D4FF5">
      <w:pPr>
        <w:pStyle w:val="Apara"/>
      </w:pPr>
      <w:r>
        <w:tab/>
        <w:t>(f)</w:t>
      </w:r>
      <w:r>
        <w:tab/>
        <w:t>the answer would disclose (completely or partly) the contents of a document privileged from production by the party;</w:t>
      </w:r>
    </w:p>
    <w:p w14:paraId="22FAB426" w14:textId="77777777" w:rsidR="003D4FF5" w:rsidRDefault="003D4FF5" w:rsidP="003D4FF5">
      <w:pPr>
        <w:pStyle w:val="Apara"/>
      </w:pPr>
      <w:r>
        <w:tab/>
        <w:t>(g)</w:t>
      </w:r>
      <w:r>
        <w:tab/>
        <w:t>it is contrary to the public interest to disclose a matter that the answer would disclose;</w:t>
      </w:r>
    </w:p>
    <w:p w14:paraId="06DDD6B2" w14:textId="77777777" w:rsidR="003D4FF5" w:rsidRDefault="003D4FF5" w:rsidP="003D4FF5">
      <w:pPr>
        <w:pStyle w:val="Apara"/>
      </w:pPr>
      <w:r>
        <w:tab/>
        <w:t>(h)</w:t>
      </w:r>
      <w:r>
        <w:tab/>
        <w:t>a ground arising under a provision of a territory law or a law of the Commonwealth, if the ground, the law and the provision are stated in the objection.</w:t>
      </w:r>
    </w:p>
    <w:p w14:paraId="078229AF" w14:textId="77777777"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14:paraId="2785C8D6" w14:textId="77777777" w:rsidR="003D4FF5" w:rsidRDefault="003D4FF5" w:rsidP="003D4FF5">
      <w:pPr>
        <w:pStyle w:val="AH5Sec"/>
      </w:pPr>
      <w:bookmarkStart w:id="269" w:name="_Toc185513886"/>
      <w:r w:rsidRPr="00C8328B">
        <w:rPr>
          <w:rStyle w:val="CharSectNo"/>
        </w:rPr>
        <w:t>632</w:t>
      </w:r>
      <w:r>
        <w:tab/>
        <w:t>Orders about interrogatories</w:t>
      </w:r>
      <w:bookmarkEnd w:id="269"/>
    </w:p>
    <w:p w14:paraId="52767E4D" w14:textId="77777777" w:rsidR="003D4FF5" w:rsidRDefault="003D4FF5" w:rsidP="003D4FF5">
      <w:pPr>
        <w:pStyle w:val="Amain"/>
      </w:pPr>
      <w:r>
        <w:tab/>
        <w:t>(1)</w:t>
      </w:r>
      <w:r>
        <w:tab/>
        <w:t>The court may—</w:t>
      </w:r>
    </w:p>
    <w:p w14:paraId="26D83188" w14:textId="77777777" w:rsidR="003D4FF5" w:rsidRDefault="003D4FF5" w:rsidP="003D4FF5">
      <w:pPr>
        <w:pStyle w:val="Apara"/>
      </w:pPr>
      <w:r>
        <w:tab/>
        <w:t>(a)</w:t>
      </w:r>
      <w:r>
        <w:tab/>
        <w:t>set aside interrogatories, or any interrogatory, on a ground mentioned in rule 631 (1); or</w:t>
      </w:r>
    </w:p>
    <w:p w14:paraId="4EF0F4EA" w14:textId="77777777" w:rsidR="003D4FF5" w:rsidRDefault="003D4FF5" w:rsidP="003D4FF5">
      <w:pPr>
        <w:pStyle w:val="Apara"/>
        <w:keepLines/>
      </w:pPr>
      <w:r>
        <w:tab/>
        <w:t>(b)</w:t>
      </w:r>
      <w:r>
        <w:tab/>
        <w:t>on a ground mentioned in rule 631 (1), set aside, order to be removed from the court file, or order to be removed from the court file and destroyed, any answers to interrogatories that have been filed; or</w:t>
      </w:r>
    </w:p>
    <w:p w14:paraId="0CF08BEE" w14:textId="77777777" w:rsidR="003D4FF5" w:rsidRDefault="003D4FF5" w:rsidP="003D4FF5">
      <w:pPr>
        <w:pStyle w:val="Apara"/>
        <w:keepNext/>
      </w:pPr>
      <w:r>
        <w:tab/>
        <w:t>(c)</w:t>
      </w:r>
      <w:r>
        <w:tab/>
        <w:t>order a party to answer, or to give a further answer to, an interrogatory that the party has—</w:t>
      </w:r>
    </w:p>
    <w:p w14:paraId="0334D18D" w14:textId="77777777" w:rsidR="003D4FF5" w:rsidRDefault="003D4FF5" w:rsidP="003D4FF5">
      <w:pPr>
        <w:pStyle w:val="Asubpara"/>
      </w:pPr>
      <w:r>
        <w:tab/>
        <w:t>(i)</w:t>
      </w:r>
      <w:r>
        <w:tab/>
        <w:t>failed to answer (sufficiently or at all); or</w:t>
      </w:r>
    </w:p>
    <w:p w14:paraId="1C57C885" w14:textId="77777777" w:rsidR="003D4FF5" w:rsidRDefault="003D4FF5" w:rsidP="003D4FF5">
      <w:pPr>
        <w:pStyle w:val="Asubpara"/>
      </w:pPr>
      <w:r>
        <w:tab/>
        <w:t>(ii)</w:t>
      </w:r>
      <w:r>
        <w:tab/>
        <w:t>made an objection to answering that the court disallows; or</w:t>
      </w:r>
    </w:p>
    <w:p w14:paraId="6EB455EE" w14:textId="77777777" w:rsidR="003D4FF5" w:rsidRDefault="003D4FF5" w:rsidP="003D4FF5">
      <w:pPr>
        <w:pStyle w:val="Apara"/>
        <w:keepNext/>
      </w:pPr>
      <w:r>
        <w:lastRenderedPageBreak/>
        <w:tab/>
        <w:t>(d)</w:t>
      </w:r>
      <w:r>
        <w:tab/>
        <w:t>make any other order about the service or answering of interrogatories (including an order about costs) that it considers appropriate.</w:t>
      </w:r>
    </w:p>
    <w:p w14:paraId="17518479" w14:textId="77777777" w:rsidR="003D4FF5" w:rsidRDefault="003D4FF5" w:rsidP="003D4FF5">
      <w:pPr>
        <w:pStyle w:val="Amain"/>
        <w:keepNext/>
      </w:pPr>
      <w:r>
        <w:tab/>
        <w:t>(2)</w:t>
      </w:r>
      <w:r>
        <w:tab/>
        <w:t>The court may make an order under this rule on the application of a party or on its own initiative.</w:t>
      </w:r>
    </w:p>
    <w:p w14:paraId="2D53D6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68E1B9" w14:textId="77777777" w:rsidR="003D4FF5" w:rsidRDefault="003D4FF5" w:rsidP="003D4FF5">
      <w:pPr>
        <w:pStyle w:val="Amain"/>
        <w:keepNext/>
      </w:pPr>
      <w:r>
        <w:tab/>
        <w:t>(3)</w:t>
      </w:r>
      <w:r>
        <w:tab/>
        <w:t>Before making an order under subrule (1), the court must have regard to the following matters:</w:t>
      </w:r>
    </w:p>
    <w:p w14:paraId="46A81C58" w14:textId="77777777"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14:paraId="3A544744" w14:textId="77777777" w:rsidR="003D4FF5" w:rsidRDefault="003D4FF5" w:rsidP="003D4FF5">
      <w:pPr>
        <w:pStyle w:val="Apara"/>
      </w:pPr>
      <w:r>
        <w:tab/>
        <w:t>(b)</w:t>
      </w:r>
      <w:r>
        <w:tab/>
        <w:t>the likely relevance and significance, in relation to the proceeding, of interrogatories, or particular interrogatories, and the answers;</w:t>
      </w:r>
    </w:p>
    <w:p w14:paraId="4E3ED9BD" w14:textId="77777777" w:rsidR="003D4FF5" w:rsidRDefault="003D4FF5" w:rsidP="003D4FF5">
      <w:pPr>
        <w:pStyle w:val="Apara"/>
      </w:pPr>
      <w:r>
        <w:tab/>
        <w:t>(c)</w:t>
      </w:r>
      <w:r>
        <w:tab/>
        <w:t>the likely time, cost and inconvenience of answering interrogatories or particular interrogatories.</w:t>
      </w:r>
    </w:p>
    <w:p w14:paraId="5C33FFED" w14:textId="77777777" w:rsidR="003D4FF5" w:rsidRDefault="003D4FF5" w:rsidP="003D4FF5">
      <w:pPr>
        <w:pStyle w:val="Amain"/>
      </w:pPr>
      <w:r>
        <w:tab/>
        <w:t>(4)</w:t>
      </w:r>
      <w:r>
        <w:tab/>
        <w:t>Subrule (3) does not limit the matters to which the court may have regard.</w:t>
      </w:r>
    </w:p>
    <w:p w14:paraId="51EDFFE3" w14:textId="77777777" w:rsidR="003D4FF5" w:rsidRDefault="003D4FF5" w:rsidP="003D4FF5">
      <w:pPr>
        <w:pStyle w:val="Amain"/>
        <w:keepNext/>
      </w:pPr>
      <w:r>
        <w:tab/>
        <w:t>(5)</w:t>
      </w:r>
      <w:r>
        <w:tab/>
        <w:t>An order under subrule (1) (c) may include, for a party who has failed to answer an interrogatory (sufficiently or at all), an order for the oral examination of—</w:t>
      </w:r>
    </w:p>
    <w:p w14:paraId="327E8AAC" w14:textId="77777777" w:rsidR="003D4FF5" w:rsidRDefault="003D4FF5" w:rsidP="003D4FF5">
      <w:pPr>
        <w:pStyle w:val="Apara"/>
      </w:pPr>
      <w:r>
        <w:tab/>
        <w:t>(a)</w:t>
      </w:r>
      <w:r>
        <w:tab/>
        <w:t>if the party is an entity mentioned in rule 640 (1) (Answers by governments, corporations etc)—a person, or the holder of a position, stated by the court; or</w:t>
      </w:r>
    </w:p>
    <w:p w14:paraId="3B9AAED8" w14:textId="77777777" w:rsidR="003D4FF5" w:rsidRDefault="003D4FF5" w:rsidP="003D4FF5">
      <w:pPr>
        <w:pStyle w:val="Apara"/>
      </w:pPr>
      <w:r>
        <w:tab/>
        <w:t>(b)</w:t>
      </w:r>
      <w:r>
        <w:tab/>
        <w:t>in any other case—the party.</w:t>
      </w:r>
    </w:p>
    <w:p w14:paraId="38325D73" w14:textId="77777777" w:rsidR="003D4FF5" w:rsidRDefault="003D4FF5" w:rsidP="00EF26B5">
      <w:pPr>
        <w:pStyle w:val="Amain"/>
        <w:keepNext/>
      </w:pPr>
      <w:r>
        <w:lastRenderedPageBreak/>
        <w:tab/>
        <w:t>(6)</w:t>
      </w:r>
      <w:r>
        <w:tab/>
        <w:t>The questions asked, and answers given, on an examination under subrule (5)—</w:t>
      </w:r>
    </w:p>
    <w:p w14:paraId="7F37DB77" w14:textId="77777777" w:rsidR="003D4FF5" w:rsidRDefault="003D4FF5" w:rsidP="003D4FF5">
      <w:pPr>
        <w:pStyle w:val="Apara"/>
      </w:pPr>
      <w:r>
        <w:tab/>
        <w:t>(a)</w:t>
      </w:r>
      <w:r>
        <w:tab/>
        <w:t>must be taken down in writing and certified by an officer of the court; and</w:t>
      </w:r>
    </w:p>
    <w:p w14:paraId="1CEB6A81" w14:textId="77777777" w:rsidR="003D4FF5" w:rsidRDefault="003D4FF5" w:rsidP="003D4FF5">
      <w:pPr>
        <w:pStyle w:val="Apara"/>
      </w:pPr>
      <w:r>
        <w:tab/>
        <w:t>(b)</w:t>
      </w:r>
      <w:r>
        <w:tab/>
        <w:t>as certified, are taken for this division to be interrogatories and answers to interrogatories.</w:t>
      </w:r>
    </w:p>
    <w:p w14:paraId="0E619D86" w14:textId="77777777" w:rsidR="003D4FF5" w:rsidRDefault="003D4FF5" w:rsidP="003D4FF5">
      <w:pPr>
        <w:pStyle w:val="Amain"/>
      </w:pPr>
      <w:r>
        <w:tab/>
        <w:t>(7)</w:t>
      </w:r>
      <w:r>
        <w:tab/>
        <w:t>An affidavit must not be used for an application for an order under this rule unless the court otherwise orders.</w:t>
      </w:r>
    </w:p>
    <w:p w14:paraId="51E4DC2B" w14:textId="77777777" w:rsidR="003D4FF5" w:rsidRDefault="003D4FF5" w:rsidP="003D4FF5">
      <w:pPr>
        <w:pStyle w:val="AH5Sec"/>
      </w:pPr>
      <w:bookmarkStart w:id="270" w:name="_Toc185513887"/>
      <w:r w:rsidRPr="00C8328B">
        <w:rPr>
          <w:rStyle w:val="CharSectNo"/>
        </w:rPr>
        <w:t>633</w:t>
      </w:r>
      <w:r>
        <w:tab/>
        <w:t>Answers to interrogatories</w:t>
      </w:r>
      <w:bookmarkEnd w:id="270"/>
    </w:p>
    <w:p w14:paraId="53DF4A31" w14:textId="7863A57B" w:rsidR="003D4FF5" w:rsidRDefault="003D4FF5" w:rsidP="003D4FF5">
      <w:pPr>
        <w:pStyle w:val="Amain"/>
      </w:pPr>
      <w:r>
        <w:tab/>
        <w:t>(1)</w:t>
      </w:r>
      <w:r>
        <w:tab/>
        <w:t xml:space="preserve">A party who is </w:t>
      </w:r>
      <w:r w:rsidR="00AE72B5" w:rsidRPr="00541115">
        <w:t>ordered to answer</w:t>
      </w:r>
      <w:r>
        <w:t xml:space="preserve"> interrogatories must answer an interrogatory that the party is required to answer under this division—</w:t>
      </w:r>
    </w:p>
    <w:p w14:paraId="382E1B35" w14:textId="77777777" w:rsidR="003D4FF5" w:rsidRDefault="003D4FF5" w:rsidP="003D4FF5">
      <w:pPr>
        <w:pStyle w:val="Apara"/>
      </w:pPr>
      <w:r>
        <w:tab/>
        <w:t>(a)</w:t>
      </w:r>
      <w:r>
        <w:tab/>
        <w:t>from the party’s own knowledge of the fact or matter raised by the interrogatory; or</w:t>
      </w:r>
    </w:p>
    <w:p w14:paraId="5BD69F30" w14:textId="77777777" w:rsidR="003D4FF5" w:rsidRDefault="003D4FF5" w:rsidP="003D4FF5">
      <w:pPr>
        <w:pStyle w:val="Apara"/>
      </w:pPr>
      <w:r>
        <w:tab/>
        <w:t>(b)</w:t>
      </w:r>
      <w:r>
        <w:tab/>
        <w:t>if the party does not have the knowledge—from any belief the party has about the fact or matter.</w:t>
      </w:r>
    </w:p>
    <w:p w14:paraId="53A5D398" w14:textId="77777777" w:rsidR="003D4FF5" w:rsidRDefault="003D4FF5" w:rsidP="003D4FF5">
      <w:pPr>
        <w:pStyle w:val="Amain"/>
        <w:keepNext/>
      </w:pPr>
      <w:r>
        <w:tab/>
        <w:t>(2)</w:t>
      </w:r>
      <w:r>
        <w:tab/>
        <w:t>This rule and rule 634 apply, with necessary changes, to a party that is a government, corporation or unincorporated body as if—</w:t>
      </w:r>
    </w:p>
    <w:p w14:paraId="1BB36249" w14:textId="77777777" w:rsidR="003D4FF5" w:rsidRDefault="003D4FF5" w:rsidP="003D4FF5">
      <w:pPr>
        <w:pStyle w:val="Apara"/>
      </w:pPr>
      <w:r>
        <w:tab/>
        <w:t>(a)</w:t>
      </w:r>
      <w:r>
        <w:tab/>
        <w:t>a reference to the party were a reference to the person who answers the interrogatories on behalf of the government, corporation or body; and</w:t>
      </w:r>
    </w:p>
    <w:p w14:paraId="4BCE4BDB" w14:textId="77777777" w:rsidR="003D4FF5" w:rsidRDefault="003D4FF5" w:rsidP="003D4FF5">
      <w:pPr>
        <w:pStyle w:val="Apara"/>
        <w:keepNext/>
      </w:pPr>
      <w:r>
        <w:tab/>
        <w:t>(b)</w:t>
      </w:r>
      <w:r>
        <w:tab/>
        <w:t>a reference to an employee or agent of the party were a reference to an employee or agent of the government, corporation or body.</w:t>
      </w:r>
    </w:p>
    <w:p w14:paraId="4440F962" w14:textId="77777777"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14:paraId="0BAC02DD" w14:textId="77777777" w:rsidR="003D4FF5" w:rsidRDefault="003D4FF5" w:rsidP="003D4FF5">
      <w:pPr>
        <w:pStyle w:val="AH5Sec"/>
      </w:pPr>
      <w:bookmarkStart w:id="271" w:name="_Toc185513888"/>
      <w:r w:rsidRPr="00C8328B">
        <w:rPr>
          <w:rStyle w:val="CharSectNo"/>
        </w:rPr>
        <w:lastRenderedPageBreak/>
        <w:t>634</w:t>
      </w:r>
      <w:r>
        <w:tab/>
        <w:t>Answers to interrogatories—belief</w:t>
      </w:r>
      <w:bookmarkEnd w:id="271"/>
    </w:p>
    <w:p w14:paraId="60F69F17" w14:textId="77777777" w:rsidR="003D4FF5" w:rsidRDefault="003D4FF5" w:rsidP="00EF26B5">
      <w:pPr>
        <w:pStyle w:val="Amain"/>
        <w:keepLines/>
      </w:pPr>
      <w:r>
        <w:tab/>
        <w:t>(1)</w:t>
      </w:r>
      <w:r>
        <w:tab/>
        <w:t>This rule applies if a party mentioned in rule 633 does not have knowledge of the fact or matter raised by an interrogatory and must answer the interrogatory from any belief the party has about the fact or matter.</w:t>
      </w:r>
    </w:p>
    <w:p w14:paraId="70422825" w14:textId="77777777" w:rsidR="003D4FF5" w:rsidRDefault="003D4FF5" w:rsidP="003D4FF5">
      <w:pPr>
        <w:pStyle w:val="Amain"/>
      </w:pPr>
      <w:r>
        <w:tab/>
        <w:t>(2)</w:t>
      </w:r>
      <w:r>
        <w:tab/>
        <w:t>The party is taken not to have a belief about the fact or matter if the party—</w:t>
      </w:r>
    </w:p>
    <w:p w14:paraId="350AF7C5" w14:textId="77777777" w:rsidR="003D4FF5" w:rsidRDefault="003D4FF5" w:rsidP="003D4FF5">
      <w:pPr>
        <w:pStyle w:val="Apara"/>
      </w:pPr>
      <w:r>
        <w:tab/>
        <w:t>(a)</w:t>
      </w:r>
      <w:r>
        <w:tab/>
        <w:t>does not have information relating to the fact or matter on which to form a belief; or</w:t>
      </w:r>
    </w:p>
    <w:p w14:paraId="00D022CD" w14:textId="77777777" w:rsidR="003D4FF5" w:rsidRDefault="003D4FF5" w:rsidP="003D4FF5">
      <w:pPr>
        <w:pStyle w:val="Apara"/>
      </w:pPr>
      <w:r>
        <w:tab/>
        <w:t>(b)</w:t>
      </w:r>
      <w:r>
        <w:tab/>
        <w:t>has the information, but the party has reasonable grounds for not believing that the information is true.</w:t>
      </w:r>
    </w:p>
    <w:p w14:paraId="4BD3CAF8" w14:textId="77777777" w:rsidR="003D4FF5" w:rsidRDefault="003D4FF5" w:rsidP="003D4FF5">
      <w:pPr>
        <w:pStyle w:val="Amain"/>
      </w:pPr>
      <w:r>
        <w:tab/>
        <w:t>(3)</w:t>
      </w:r>
      <w:r>
        <w:tab/>
        <w:t>The party must answer from any belief the party has about the fact or matter irrespective of the source of the information on which the belief is formed.</w:t>
      </w:r>
    </w:p>
    <w:p w14:paraId="171E644A" w14:textId="79986A56"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3" w:tooltip="A2011-12" w:history="1">
        <w:r w:rsidRPr="00781093">
          <w:rPr>
            <w:rStyle w:val="charCitHyperlinkAbbrev"/>
          </w:rPr>
          <w:t>Evidence Act</w:t>
        </w:r>
      </w:hyperlink>
      <w:r>
        <w:t>, part 3.10 (Privileges).</w:t>
      </w:r>
    </w:p>
    <w:p w14:paraId="03FA21CF" w14:textId="77777777" w:rsidR="003D4FF5" w:rsidRDefault="003D4FF5" w:rsidP="003D4FF5">
      <w:pPr>
        <w:pStyle w:val="Amain"/>
      </w:pPr>
      <w:r>
        <w:tab/>
        <w:t>(5)</w:t>
      </w:r>
      <w:r>
        <w:tab/>
        <w:t>To help the party form a belief about the fact or matter, the party must make all reasonable inquiries to find out—</w:t>
      </w:r>
    </w:p>
    <w:p w14:paraId="2DEFBB25" w14:textId="77777777"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14:paraId="60EB5614" w14:textId="77777777" w:rsidR="003D4FF5" w:rsidRDefault="003D4FF5" w:rsidP="003D4FF5">
      <w:pPr>
        <w:pStyle w:val="Apara"/>
      </w:pPr>
      <w:r>
        <w:tab/>
        <w:t>(b)</w:t>
      </w:r>
      <w:r>
        <w:tab/>
        <w:t>if a person has the knowledge—what the knowledge is.</w:t>
      </w:r>
    </w:p>
    <w:p w14:paraId="3F521CBA" w14:textId="77777777" w:rsidR="003D4FF5" w:rsidRDefault="003D4FF5" w:rsidP="003D4FF5">
      <w:pPr>
        <w:pStyle w:val="Amain"/>
        <w:keepLines/>
      </w:pPr>
      <w:r>
        <w:tab/>
        <w:t>(6)</w:t>
      </w:r>
      <w:r>
        <w:tab/>
        <w:t>To remove any doubt, the party must make the inquiries mentioned in subrule (5) even if at the time the party is required to answer the interrogatory a person having the relevant knowledge has stopped being the party’s employee or agent.</w:t>
      </w:r>
    </w:p>
    <w:p w14:paraId="4C24CEC8" w14:textId="77777777" w:rsidR="003D4FF5" w:rsidRDefault="003D4FF5" w:rsidP="003D4FF5">
      <w:pPr>
        <w:pStyle w:val="AH5Sec"/>
      </w:pPr>
      <w:bookmarkStart w:id="272" w:name="_Toc185513889"/>
      <w:r w:rsidRPr="00C8328B">
        <w:rPr>
          <w:rStyle w:val="CharSectNo"/>
        </w:rPr>
        <w:lastRenderedPageBreak/>
        <w:t>635</w:t>
      </w:r>
      <w:r>
        <w:tab/>
        <w:t>Answers to interrogatories to be verified</w:t>
      </w:r>
      <w:bookmarkEnd w:id="272"/>
    </w:p>
    <w:p w14:paraId="3B1DA5E0" w14:textId="77777777" w:rsidR="003D4FF5" w:rsidRDefault="003D4FF5" w:rsidP="003D4FF5">
      <w:pPr>
        <w:pStyle w:val="Amainreturn"/>
        <w:keepNext/>
      </w:pPr>
      <w:r>
        <w:t>A party’s answers to interrogatories must be verified by an affidavit.</w:t>
      </w:r>
    </w:p>
    <w:p w14:paraId="7B714655" w14:textId="5D16BB56"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14" w:history="1">
        <w:r w:rsidRPr="000B30AC">
          <w:rPr>
            <w:rStyle w:val="charCitHyperlinkAbbrev"/>
          </w:rPr>
          <w:t>AF2006-271</w:t>
        </w:r>
      </w:hyperlink>
      <w:r>
        <w:t>.</w:t>
      </w:r>
    </w:p>
    <w:p w14:paraId="43A4216A" w14:textId="77777777" w:rsidR="003D4FF5" w:rsidRDefault="003D4FF5" w:rsidP="003D4FF5">
      <w:pPr>
        <w:pStyle w:val="AH5Sec"/>
      </w:pPr>
      <w:bookmarkStart w:id="273" w:name="_Toc185513890"/>
      <w:r w:rsidRPr="00C8328B">
        <w:rPr>
          <w:rStyle w:val="CharSectNo"/>
        </w:rPr>
        <w:t>636</w:t>
      </w:r>
      <w:r>
        <w:tab/>
        <w:t>Tendering of answers to interrogatories in evidence</w:t>
      </w:r>
      <w:bookmarkEnd w:id="273"/>
    </w:p>
    <w:p w14:paraId="14B8702E" w14:textId="77777777" w:rsidR="00AE72B5" w:rsidRPr="00541115" w:rsidRDefault="00AE72B5" w:rsidP="00AE72B5">
      <w:pPr>
        <w:pStyle w:val="Amain"/>
      </w:pPr>
      <w:r w:rsidRPr="00541115">
        <w:tab/>
        <w:t>(1)</w:t>
      </w:r>
      <w:r w:rsidRPr="00541115">
        <w:tab/>
        <w:t>If a party to a proceeding gives answers to interrogatories in accordance with an order of the court (the </w:t>
      </w:r>
      <w:r w:rsidRPr="00AD6F40">
        <w:rPr>
          <w:rStyle w:val="charBoldItals"/>
        </w:rPr>
        <w:t>responding party</w:t>
      </w:r>
      <w:r w:rsidRPr="00541115">
        <w:t>), another party to the proceeding may tender the answers, or some of the answers, in evidence against the responding party on the hearing of the proceeding.</w:t>
      </w:r>
    </w:p>
    <w:p w14:paraId="21BE4536" w14:textId="77777777"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14:paraId="1B71E4A3" w14:textId="77777777" w:rsidR="003D4FF5" w:rsidRDefault="003D4FF5" w:rsidP="003D4FF5">
      <w:pPr>
        <w:pStyle w:val="Amain"/>
      </w:pPr>
      <w:r>
        <w:tab/>
        <w:t>(3)</w:t>
      </w:r>
      <w:r>
        <w:tab/>
        <w:t>For subrule (2), the court may inspect all of the answers to the interrogatories.</w:t>
      </w:r>
    </w:p>
    <w:p w14:paraId="7B5D07A5" w14:textId="77777777" w:rsidR="003D4FF5" w:rsidRDefault="003D4FF5" w:rsidP="003D4FF5">
      <w:pPr>
        <w:pStyle w:val="Amain"/>
      </w:pPr>
      <w:r>
        <w:tab/>
        <w:t>(4)</w:t>
      </w:r>
      <w:r>
        <w:tab/>
        <w:t>Subrule (1) does not make an answer admissible in evidence if, apart from the subrule, it is not admissible in evidence.</w:t>
      </w:r>
    </w:p>
    <w:p w14:paraId="3AFB3B41" w14:textId="77777777" w:rsidR="003D4FF5" w:rsidRPr="00C8328B" w:rsidRDefault="003D4FF5" w:rsidP="003D4FF5">
      <w:pPr>
        <w:pStyle w:val="AH3Div"/>
      </w:pPr>
      <w:bookmarkStart w:id="274" w:name="_Toc185513891"/>
      <w:r w:rsidRPr="00C8328B">
        <w:rPr>
          <w:rStyle w:val="CharDivNo"/>
        </w:rPr>
        <w:t>Division 2.8.5</w:t>
      </w:r>
      <w:r>
        <w:tab/>
      </w:r>
      <w:r w:rsidRPr="00C8328B">
        <w:rPr>
          <w:rStyle w:val="CharDivText"/>
        </w:rPr>
        <w:t>Who may verify list of documents or answers to interrogatories?</w:t>
      </w:r>
      <w:bookmarkEnd w:id="274"/>
    </w:p>
    <w:p w14:paraId="531CFF42" w14:textId="77777777" w:rsidR="003D4FF5" w:rsidRDefault="003D4FF5" w:rsidP="003D4FF5">
      <w:pPr>
        <w:pStyle w:val="AH5Sec"/>
      </w:pPr>
      <w:bookmarkStart w:id="275" w:name="_Toc185513892"/>
      <w:r w:rsidRPr="00C8328B">
        <w:rPr>
          <w:rStyle w:val="CharSectNo"/>
        </w:rPr>
        <w:t>640</w:t>
      </w:r>
      <w:r>
        <w:tab/>
        <w:t>Answers by governments, corporations etc</w:t>
      </w:r>
      <w:bookmarkEnd w:id="275"/>
    </w:p>
    <w:p w14:paraId="1A796E3B" w14:textId="77777777" w:rsidR="003D4FF5" w:rsidRDefault="003D4FF5" w:rsidP="003D4FF5">
      <w:pPr>
        <w:pStyle w:val="Amain"/>
      </w:pPr>
      <w:r>
        <w:tab/>
        <w:t>(1)</w:t>
      </w:r>
      <w:r>
        <w:tab/>
        <w:t>This rule applies if any of the following is a party who has to verify a list of documents, or answer interrogatories:</w:t>
      </w:r>
    </w:p>
    <w:p w14:paraId="3F868C73" w14:textId="77777777" w:rsidR="003D4FF5" w:rsidRDefault="003D4FF5" w:rsidP="003D4FF5">
      <w:pPr>
        <w:pStyle w:val="Apara"/>
      </w:pPr>
      <w:r>
        <w:tab/>
        <w:t>(a)</w:t>
      </w:r>
      <w:r>
        <w:tab/>
        <w:t>a government;</w:t>
      </w:r>
    </w:p>
    <w:p w14:paraId="27C6E867" w14:textId="77777777" w:rsidR="003D4FF5" w:rsidRDefault="003D4FF5" w:rsidP="003D4FF5">
      <w:pPr>
        <w:pStyle w:val="Apara"/>
      </w:pPr>
      <w:r>
        <w:tab/>
        <w:t>(b)</w:t>
      </w:r>
      <w:r>
        <w:tab/>
        <w:t>a corporation;</w:t>
      </w:r>
    </w:p>
    <w:p w14:paraId="14CE7BFB" w14:textId="77777777" w:rsidR="003D4FF5" w:rsidRDefault="003D4FF5" w:rsidP="003D4FF5">
      <w:pPr>
        <w:pStyle w:val="Apara"/>
      </w:pPr>
      <w:r>
        <w:tab/>
        <w:t>(c)</w:t>
      </w:r>
      <w:r>
        <w:tab/>
        <w:t>the holder of a position (including, for example, the sheriff);</w:t>
      </w:r>
    </w:p>
    <w:p w14:paraId="50770760" w14:textId="77777777" w:rsidR="003D4FF5" w:rsidRDefault="003D4FF5" w:rsidP="003D4FF5">
      <w:pPr>
        <w:pStyle w:val="Apara"/>
      </w:pPr>
      <w:r>
        <w:tab/>
        <w:t>(d)</w:t>
      </w:r>
      <w:r>
        <w:tab/>
        <w:t>an unincorporated body;</w:t>
      </w:r>
    </w:p>
    <w:p w14:paraId="0162DAC0" w14:textId="77777777" w:rsidR="003D4FF5" w:rsidRDefault="003D4FF5" w:rsidP="003D4FF5">
      <w:pPr>
        <w:pStyle w:val="Apara"/>
        <w:keepNext/>
      </w:pPr>
      <w:r>
        <w:lastRenderedPageBreak/>
        <w:tab/>
        <w:t>(e)</w:t>
      </w:r>
      <w:r>
        <w:tab/>
        <w:t>a person represented by a litigation guardian.</w:t>
      </w:r>
    </w:p>
    <w:p w14:paraId="486EA84E" w14:textId="77777777" w:rsidR="003D4FF5" w:rsidRDefault="003D4FF5" w:rsidP="003D4FF5">
      <w:pPr>
        <w:pStyle w:val="Amain"/>
        <w:keepNext/>
      </w:pPr>
      <w:r>
        <w:tab/>
        <w:t>(2)</w:t>
      </w:r>
      <w:r>
        <w:tab/>
        <w:t>The affidavit verifying the party’s list of documents, or answers to the interrogatories, must be sworn as follows:</w:t>
      </w:r>
    </w:p>
    <w:p w14:paraId="583B86C9" w14:textId="77777777" w:rsidR="003D4FF5" w:rsidRDefault="003D4FF5" w:rsidP="003D4FF5">
      <w:pPr>
        <w:pStyle w:val="Apara"/>
        <w:keepNext/>
      </w:pPr>
      <w:r>
        <w:tab/>
        <w:t>(a)</w:t>
      </w:r>
      <w:r>
        <w:tab/>
        <w:t>for a government—by a Minister, or an authorised officer, employee or agent, of the government;</w:t>
      </w:r>
    </w:p>
    <w:p w14:paraId="7EAEB923" w14:textId="77777777" w:rsidR="003D4FF5" w:rsidRDefault="003D4FF5" w:rsidP="003D4FF5">
      <w:pPr>
        <w:pStyle w:val="Apara"/>
      </w:pPr>
      <w:r>
        <w:tab/>
        <w:t>(b)</w:t>
      </w:r>
      <w:r>
        <w:tab/>
        <w:t>for a corporation—by a director, the secretary, or an authorised officer or employee, of the corporation;</w:t>
      </w:r>
    </w:p>
    <w:p w14:paraId="1001780B" w14:textId="77777777" w:rsidR="003D4FF5" w:rsidRDefault="003D4FF5" w:rsidP="003D4FF5">
      <w:pPr>
        <w:pStyle w:val="Apara"/>
      </w:pPr>
      <w:r>
        <w:tab/>
        <w:t>(c)</w:t>
      </w:r>
      <w:r>
        <w:tab/>
        <w:t>for the holder of a position—by the holder of the position or an authorised officer, employee or agent of the position holder;</w:t>
      </w:r>
    </w:p>
    <w:p w14:paraId="2366E915" w14:textId="77777777" w:rsidR="003D4FF5" w:rsidRDefault="003D4FF5" w:rsidP="003D4FF5">
      <w:pPr>
        <w:pStyle w:val="Apara"/>
      </w:pPr>
      <w:r>
        <w:tab/>
        <w:t>(d)</w:t>
      </w:r>
      <w:r>
        <w:tab/>
        <w:t>for an unincorporated body—by the members, or 1 or more authorised members, or an authorised employee or agent, of the body;</w:t>
      </w:r>
    </w:p>
    <w:p w14:paraId="3E088F1D" w14:textId="77777777" w:rsidR="003D4FF5" w:rsidRDefault="003D4FF5" w:rsidP="003D4FF5">
      <w:pPr>
        <w:pStyle w:val="Apara"/>
      </w:pPr>
      <w:r>
        <w:tab/>
        <w:t>(e)</w:t>
      </w:r>
      <w:r>
        <w:tab/>
        <w:t>for a person represented by a litigation guardian—by the litigation guardian.</w:t>
      </w:r>
    </w:p>
    <w:p w14:paraId="6967261F" w14:textId="77777777"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14:paraId="352E644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FC8E828" w14:textId="77777777" w:rsidR="003D4FF5" w:rsidRDefault="003D4FF5" w:rsidP="003D4FF5">
      <w:pPr>
        <w:pStyle w:val="AH5Sec"/>
      </w:pPr>
      <w:bookmarkStart w:id="276" w:name="_Toc185513893"/>
      <w:r w:rsidRPr="00C8328B">
        <w:rPr>
          <w:rStyle w:val="CharSectNo"/>
        </w:rPr>
        <w:t>641</w:t>
      </w:r>
      <w:r>
        <w:tab/>
        <w:t>Party cannot swear affidavit personally</w:t>
      </w:r>
      <w:bookmarkEnd w:id="276"/>
    </w:p>
    <w:p w14:paraId="697F1880" w14:textId="77777777"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14:paraId="4BDBDBC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14:paraId="4C8AABF2" w14:textId="77777777" w:rsidR="003D4FF5" w:rsidRPr="00C8328B" w:rsidRDefault="003D4FF5" w:rsidP="003D4FF5">
      <w:pPr>
        <w:pStyle w:val="AH3Div"/>
      </w:pPr>
      <w:bookmarkStart w:id="277" w:name="_Toc185513894"/>
      <w:r w:rsidRPr="00C8328B">
        <w:rPr>
          <w:rStyle w:val="CharDivNo"/>
        </w:rPr>
        <w:lastRenderedPageBreak/>
        <w:t>Division 2.8.6</w:t>
      </w:r>
      <w:r>
        <w:tab/>
      </w:r>
      <w:r w:rsidRPr="00C8328B">
        <w:rPr>
          <w:rStyle w:val="CharDivText"/>
        </w:rPr>
        <w:t>Preliminary discovery</w:t>
      </w:r>
      <w:bookmarkEnd w:id="277"/>
    </w:p>
    <w:p w14:paraId="7EF33029" w14:textId="77777777" w:rsidR="003D4FF5" w:rsidRDefault="003D4FF5" w:rsidP="003D4FF5">
      <w:pPr>
        <w:pStyle w:val="AH5Sec"/>
      </w:pPr>
      <w:bookmarkStart w:id="278" w:name="_Toc185513895"/>
      <w:r w:rsidRPr="00C8328B">
        <w:rPr>
          <w:rStyle w:val="CharSectNo"/>
        </w:rPr>
        <w:t>650</w:t>
      </w:r>
      <w:r>
        <w:tab/>
        <w:t>Discovery to identify potential defendant</w:t>
      </w:r>
      <w:bookmarkEnd w:id="278"/>
    </w:p>
    <w:p w14:paraId="528B9F83" w14:textId="77777777" w:rsidR="003D4FF5" w:rsidRDefault="003D4FF5" w:rsidP="003D4FF5">
      <w:pPr>
        <w:pStyle w:val="Amain"/>
        <w:keepNext/>
      </w:pPr>
      <w:r>
        <w:tab/>
        <w:t>(1)</w:t>
      </w:r>
      <w:r>
        <w:tab/>
        <w:t>This rule applies if—</w:t>
      </w:r>
    </w:p>
    <w:p w14:paraId="51733FED" w14:textId="77777777"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14:paraId="4D68510C" w14:textId="77777777" w:rsidR="003D4FF5" w:rsidRDefault="003D4FF5" w:rsidP="003D4FF5">
      <w:pPr>
        <w:pStyle w:val="Apara"/>
      </w:pPr>
      <w:r>
        <w:tab/>
        <w:t>(b)</w:t>
      </w:r>
      <w:r>
        <w:tab/>
        <w:t>either—</w:t>
      </w:r>
    </w:p>
    <w:p w14:paraId="35FA0D0E" w14:textId="77777777" w:rsidR="003D4FF5" w:rsidRDefault="003D4FF5" w:rsidP="003D4FF5">
      <w:pPr>
        <w:pStyle w:val="Asubpara"/>
      </w:pPr>
      <w:r>
        <w:tab/>
        <w:t>(i)</w:t>
      </w:r>
      <w:r>
        <w:tab/>
        <w:t>the applicant wants to start a proceeding in the court against the potential defendant for the cause of action; or</w:t>
      </w:r>
    </w:p>
    <w:p w14:paraId="54D3A7CE" w14:textId="77777777" w:rsidR="003D4FF5" w:rsidRDefault="003D4FF5" w:rsidP="003D4FF5">
      <w:pPr>
        <w:pStyle w:val="Asubpara"/>
        <w:keepNext/>
      </w:pPr>
      <w:r>
        <w:tab/>
        <w:t>(ii)</w:t>
      </w:r>
      <w:r>
        <w:tab/>
        <w:t>the following provisions apply:</w:t>
      </w:r>
    </w:p>
    <w:p w14:paraId="56D95BE2" w14:textId="77777777" w:rsidR="003D4FF5" w:rsidRDefault="003D4FF5" w:rsidP="003D4FF5">
      <w:pPr>
        <w:pStyle w:val="Asubsubpara"/>
      </w:pPr>
      <w:r>
        <w:tab/>
        <w:t>(A)</w:t>
      </w:r>
      <w:r>
        <w:tab/>
        <w:t>the applicant is a party to a proceeding in the court;</w:t>
      </w:r>
    </w:p>
    <w:p w14:paraId="6BA6C2F8" w14:textId="77777777" w:rsidR="003D4FF5" w:rsidRDefault="003D4FF5" w:rsidP="003D4FF5">
      <w:pPr>
        <w:pStyle w:val="Asubsubpara"/>
      </w:pPr>
      <w:r>
        <w:tab/>
        <w:t>(B)</w:t>
      </w:r>
      <w:r>
        <w:tab/>
        <w:t>the potential defendant is not a party to the proceeding;</w:t>
      </w:r>
    </w:p>
    <w:p w14:paraId="77928413" w14:textId="77777777" w:rsidR="003D4FF5" w:rsidRDefault="003D4FF5" w:rsidP="003D4FF5">
      <w:pPr>
        <w:pStyle w:val="Asubsubpara"/>
      </w:pPr>
      <w:r>
        <w:tab/>
        <w:t>(C)</w:t>
      </w:r>
      <w:r>
        <w:tab/>
        <w:t>the applicant wants to make a claim for relief in the proceeding against the potential defendant for the cause of action;</w:t>
      </w:r>
    </w:p>
    <w:p w14:paraId="4AE1C0F7"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1B4AB81" w14:textId="77777777"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14:paraId="1B2463A9" w14:textId="77777777"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14:paraId="5E0FFE2B" w14:textId="2B9B7991"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15" w:tooltip="A1999-77" w:history="1">
        <w:r w:rsidRPr="00F7165D">
          <w:rPr>
            <w:rStyle w:val="charCitHyperlinkItal"/>
          </w:rPr>
          <w:t>Road Transport (General) Act 1999</w:t>
        </w:r>
      </w:hyperlink>
      <w:r w:rsidRPr="00F7165D">
        <w:t>, s 236).</w:t>
      </w:r>
    </w:p>
    <w:p w14:paraId="2696A52B" w14:textId="77777777"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14:paraId="7C4B2B86" w14:textId="77777777"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14:paraId="6AD1A9C4"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086AA83C" w14:textId="77777777"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14:paraId="7EC4CC27"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5ED8E383"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419CEF6F" w14:textId="77777777" w:rsidR="003D4FF5" w:rsidRDefault="003D4FF5" w:rsidP="003D4FF5">
      <w:pPr>
        <w:pStyle w:val="Amain"/>
      </w:pPr>
      <w:r>
        <w:tab/>
        <w:t>(5)</w:t>
      </w:r>
      <w:r>
        <w:tab/>
        <w:t>The court may order the other person—</w:t>
      </w:r>
    </w:p>
    <w:p w14:paraId="3C9A3CCE" w14:textId="77777777" w:rsidR="003D4FF5" w:rsidRDefault="003D4FF5" w:rsidP="003D4FF5">
      <w:pPr>
        <w:pStyle w:val="Apara"/>
      </w:pPr>
      <w:r>
        <w:tab/>
        <w:t>(a)</w:t>
      </w:r>
      <w:r>
        <w:tab/>
        <w:t>to attend before the court to be examined in relation to the identity or whereabouts of the potential defendant; or</w:t>
      </w:r>
    </w:p>
    <w:p w14:paraId="041B8F9E" w14:textId="77777777"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14:paraId="30615FA4" w14:textId="77777777"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14:paraId="229ED5BF" w14:textId="77777777"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14:paraId="427AB895" w14:textId="77777777"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14:paraId="79080ECE" w14:textId="77777777"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14:paraId="452CFD81" w14:textId="77777777" w:rsidR="003D4FF5" w:rsidRDefault="003D4FF5" w:rsidP="003D4FF5">
      <w:pPr>
        <w:pStyle w:val="Apara"/>
      </w:pPr>
      <w:r>
        <w:tab/>
        <w:t>(b)</w:t>
      </w:r>
      <w:r>
        <w:tab/>
        <w:t>direct that the examination by the court be held before the registrar.</w:t>
      </w:r>
    </w:p>
    <w:p w14:paraId="6A0623B0" w14:textId="77777777"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14:paraId="08941160" w14:textId="77777777"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14:paraId="336B3BB6" w14:textId="77777777" w:rsidR="003D4FF5" w:rsidRDefault="003D4FF5" w:rsidP="003D4FF5">
      <w:pPr>
        <w:pStyle w:val="Amain"/>
        <w:keepNext/>
      </w:pPr>
      <w:r>
        <w:tab/>
        <w:t>(9)</w:t>
      </w:r>
      <w:r>
        <w:tab/>
        <w:t>In this rule:</w:t>
      </w:r>
    </w:p>
    <w:p w14:paraId="33DE728F" w14:textId="77777777" w:rsidR="003D4FF5" w:rsidRDefault="003D4FF5" w:rsidP="003D4FF5">
      <w:pPr>
        <w:pStyle w:val="aDef"/>
        <w:keepNext/>
      </w:pPr>
      <w:r w:rsidRPr="005A5F43">
        <w:rPr>
          <w:rStyle w:val="charBoldItals"/>
        </w:rPr>
        <w:t>identity or whereabouts</w:t>
      </w:r>
      <w:r>
        <w:t>, of the potential defendant, includes—</w:t>
      </w:r>
    </w:p>
    <w:p w14:paraId="77DDAFB0" w14:textId="77777777" w:rsidR="003D4FF5" w:rsidRDefault="003D4FF5" w:rsidP="003D4FF5">
      <w:pPr>
        <w:pStyle w:val="aDefpara"/>
      </w:pPr>
      <w:r>
        <w:tab/>
        <w:t>(a)</w:t>
      </w:r>
      <w:r>
        <w:tab/>
        <w:t>whether the potential defendant is an individual or a corporation; and</w:t>
      </w:r>
    </w:p>
    <w:p w14:paraId="0EA9E7AE" w14:textId="77777777" w:rsidR="003D4FF5" w:rsidRDefault="003D4FF5" w:rsidP="003D4FF5">
      <w:pPr>
        <w:pStyle w:val="aDefpara"/>
      </w:pPr>
      <w:r>
        <w:tab/>
        <w:t>(b)</w:t>
      </w:r>
      <w:r>
        <w:tab/>
        <w:t>for an individual—the potential defendant’s name, home address or other whereabouts, occupation and sex; and</w:t>
      </w:r>
    </w:p>
    <w:p w14:paraId="2729B1B0" w14:textId="77777777" w:rsidR="003D4FF5" w:rsidRDefault="003D4FF5" w:rsidP="003D4FF5">
      <w:pPr>
        <w:pStyle w:val="aDefpara"/>
      </w:pPr>
      <w:r>
        <w:tab/>
        <w:t>(c)</w:t>
      </w:r>
      <w:r>
        <w:tab/>
        <w:t>for a corporation—the potential defendant’s registered office, business address or other whereabouts.</w:t>
      </w:r>
    </w:p>
    <w:p w14:paraId="05927E9D" w14:textId="77777777" w:rsidR="003D4FF5" w:rsidRDefault="003D4FF5" w:rsidP="003D4FF5">
      <w:pPr>
        <w:pStyle w:val="AH5Sec"/>
      </w:pPr>
      <w:bookmarkStart w:id="279" w:name="_Toc185513896"/>
      <w:r w:rsidRPr="00C8328B">
        <w:rPr>
          <w:rStyle w:val="CharSectNo"/>
        </w:rPr>
        <w:t>651</w:t>
      </w:r>
      <w:r>
        <w:tab/>
        <w:t>Discovery to identify right to claim relief</w:t>
      </w:r>
      <w:bookmarkEnd w:id="279"/>
    </w:p>
    <w:p w14:paraId="6010000F" w14:textId="77777777" w:rsidR="003D4FF5" w:rsidRDefault="003D4FF5" w:rsidP="003D4FF5">
      <w:pPr>
        <w:pStyle w:val="Amain"/>
      </w:pPr>
      <w:r>
        <w:tab/>
        <w:t>(1)</w:t>
      </w:r>
      <w:r>
        <w:tab/>
        <w:t>This rule applies if—</w:t>
      </w:r>
    </w:p>
    <w:p w14:paraId="60DF3409" w14:textId="77777777"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14:paraId="6DDC2F62" w14:textId="77777777" w:rsidR="003D4FF5" w:rsidRDefault="003D4FF5" w:rsidP="009446AA">
      <w:pPr>
        <w:pStyle w:val="Apara"/>
        <w:keepNext/>
      </w:pPr>
      <w:r>
        <w:lastRenderedPageBreak/>
        <w:tab/>
        <w:t>(b)</w:t>
      </w:r>
      <w:r>
        <w:tab/>
        <w:t>either—</w:t>
      </w:r>
    </w:p>
    <w:p w14:paraId="3312B4F1" w14:textId="77777777"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14:paraId="6FB46295" w14:textId="77777777" w:rsidR="003D4FF5" w:rsidRDefault="003D4FF5" w:rsidP="003D4FF5">
      <w:pPr>
        <w:pStyle w:val="Asubpara"/>
        <w:keepNext/>
      </w:pPr>
      <w:r>
        <w:tab/>
        <w:t>(ii)</w:t>
      </w:r>
      <w:r>
        <w:tab/>
        <w:t>the following provisions apply:</w:t>
      </w:r>
    </w:p>
    <w:p w14:paraId="7636D095" w14:textId="77777777" w:rsidR="003D4FF5" w:rsidRDefault="003D4FF5" w:rsidP="003D4FF5">
      <w:pPr>
        <w:pStyle w:val="Asubsubpara"/>
      </w:pPr>
      <w:r>
        <w:tab/>
        <w:t>(A)</w:t>
      </w:r>
      <w:r>
        <w:tab/>
        <w:t>the applicant is a party to a proceeding in the court;</w:t>
      </w:r>
    </w:p>
    <w:p w14:paraId="2FECD80B" w14:textId="77777777" w:rsidR="003D4FF5" w:rsidRDefault="003D4FF5" w:rsidP="003D4FF5">
      <w:pPr>
        <w:pStyle w:val="Asubsubpara"/>
      </w:pPr>
      <w:r>
        <w:tab/>
        <w:t>(B)</w:t>
      </w:r>
      <w:r>
        <w:tab/>
        <w:t>the potential defendant is not a party to the proceeding;</w:t>
      </w:r>
    </w:p>
    <w:p w14:paraId="2C28F7D6" w14:textId="77777777"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14:paraId="3AB89E6A"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7A221E5" w14:textId="77777777"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14:paraId="01FB42C9" w14:textId="77777777" w:rsidR="003D4FF5" w:rsidRDefault="003D4FF5" w:rsidP="003D4FF5">
      <w:pPr>
        <w:pStyle w:val="Apara"/>
      </w:pPr>
      <w:r>
        <w:tab/>
        <w:t>(d)</w:t>
      </w:r>
      <w:r>
        <w:tab/>
        <w:t>inspection of the document or thing by the applicant would help in making the decision.</w:t>
      </w:r>
    </w:p>
    <w:p w14:paraId="1F3DBE69" w14:textId="77777777"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14:paraId="1EBE8E20" w14:textId="77777777"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14:paraId="0F5F3326"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523A0442" w14:textId="77777777"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14:paraId="16C22E72"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327C966B"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70A359E4" w14:textId="77777777" w:rsidR="003D4FF5" w:rsidRDefault="003D4FF5" w:rsidP="003D4FF5">
      <w:pPr>
        <w:pStyle w:val="Amain"/>
      </w:pPr>
      <w:r>
        <w:tab/>
        <w:t>(5)</w:t>
      </w:r>
      <w:r>
        <w:tab/>
        <w:t>The court may order the potential defendant to produce the document or thing to the applicant.</w:t>
      </w:r>
    </w:p>
    <w:p w14:paraId="45BC638F" w14:textId="77777777"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14:paraId="674435CB" w14:textId="77777777" w:rsidR="003D4FF5" w:rsidRDefault="003D4FF5" w:rsidP="003D4FF5">
      <w:pPr>
        <w:pStyle w:val="AH5Sec"/>
      </w:pPr>
      <w:bookmarkStart w:id="280" w:name="_Toc185513897"/>
      <w:r w:rsidRPr="00C8328B">
        <w:rPr>
          <w:rStyle w:val="CharSectNo"/>
        </w:rPr>
        <w:t>652</w:t>
      </w:r>
      <w:r>
        <w:tab/>
        <w:t>Order under div 2.8.6—privilege</w:t>
      </w:r>
      <w:bookmarkEnd w:id="280"/>
    </w:p>
    <w:p w14:paraId="3ED0AC93" w14:textId="77777777"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14:paraId="66795898" w14:textId="77777777" w:rsidR="003D4FF5" w:rsidRDefault="003D4FF5" w:rsidP="003D4FF5">
      <w:pPr>
        <w:pStyle w:val="Apara"/>
      </w:pPr>
      <w:r>
        <w:tab/>
        <w:t>(a)</w:t>
      </w:r>
      <w:r>
        <w:tab/>
        <w:t>had started a proceeding against the person; or</w:t>
      </w:r>
    </w:p>
    <w:p w14:paraId="5848AD36" w14:textId="77777777" w:rsidR="003D4FF5" w:rsidRDefault="003D4FF5" w:rsidP="003D4FF5">
      <w:pPr>
        <w:pStyle w:val="Apara"/>
      </w:pPr>
      <w:r>
        <w:tab/>
        <w:t>(b)</w:t>
      </w:r>
      <w:r>
        <w:tab/>
        <w:t>had made the person a party to the proceeding.</w:t>
      </w:r>
    </w:p>
    <w:p w14:paraId="7729E354" w14:textId="77777777" w:rsidR="003D4FF5" w:rsidRDefault="003D4FF5" w:rsidP="003D4FF5">
      <w:pPr>
        <w:pStyle w:val="AH5Sec"/>
      </w:pPr>
      <w:bookmarkStart w:id="281" w:name="_Toc185513898"/>
      <w:r w:rsidRPr="00C8328B">
        <w:rPr>
          <w:rStyle w:val="CharSectNo"/>
        </w:rPr>
        <w:t>653</w:t>
      </w:r>
      <w:r>
        <w:tab/>
        <w:t>Order under div 2.8.6—costs</w:t>
      </w:r>
      <w:bookmarkEnd w:id="281"/>
    </w:p>
    <w:p w14:paraId="1D03113E" w14:textId="77777777"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14:paraId="19B93797" w14:textId="77777777" w:rsidR="003D4FF5" w:rsidRDefault="003D4FF5" w:rsidP="003D4FF5">
      <w:pPr>
        <w:pStyle w:val="Amain"/>
      </w:pPr>
      <w:r>
        <w:lastRenderedPageBreak/>
        <w:tab/>
        <w:t>(2)</w:t>
      </w:r>
      <w:r>
        <w:tab/>
        <w:t>The costs for which an order may be made include—</w:t>
      </w:r>
    </w:p>
    <w:p w14:paraId="71965AF1" w14:textId="77777777" w:rsidR="003D4FF5" w:rsidRDefault="003D4FF5" w:rsidP="003D4FF5">
      <w:pPr>
        <w:pStyle w:val="Apara"/>
      </w:pPr>
      <w:r>
        <w:tab/>
        <w:t>(a)</w:t>
      </w:r>
      <w:r>
        <w:tab/>
        <w:t>payment of conduct money; and</w:t>
      </w:r>
    </w:p>
    <w:p w14:paraId="302BCD82" w14:textId="77777777" w:rsidR="003D4FF5" w:rsidRDefault="003D4FF5" w:rsidP="003D4FF5">
      <w:pPr>
        <w:pStyle w:val="Apara"/>
      </w:pPr>
      <w:r>
        <w:tab/>
        <w:t>(b)</w:t>
      </w:r>
      <w:r>
        <w:tab/>
        <w:t>payments made for any expense or loss in relation to the proceeding; and</w:t>
      </w:r>
    </w:p>
    <w:p w14:paraId="1B77B4BE" w14:textId="77777777" w:rsidR="003D4FF5" w:rsidRDefault="003D4FF5" w:rsidP="003D4FF5">
      <w:pPr>
        <w:pStyle w:val="Apara"/>
      </w:pPr>
      <w:r>
        <w:tab/>
        <w:t>(c)</w:t>
      </w:r>
      <w:r>
        <w:tab/>
        <w:t>the costs of producing any documents for inspection under this division.</w:t>
      </w:r>
    </w:p>
    <w:p w14:paraId="5A5D9F8F" w14:textId="77777777" w:rsidR="003D4FF5" w:rsidRPr="00C8328B" w:rsidRDefault="003D4FF5" w:rsidP="003D4FF5">
      <w:pPr>
        <w:pStyle w:val="AH3Div"/>
      </w:pPr>
      <w:bookmarkStart w:id="282" w:name="_Toc185513899"/>
      <w:r w:rsidRPr="00C8328B">
        <w:rPr>
          <w:rStyle w:val="CharDivNo"/>
        </w:rPr>
        <w:t>Division 2.8.7</w:t>
      </w:r>
      <w:r>
        <w:tab/>
      </w:r>
      <w:r w:rsidRPr="00C8328B">
        <w:rPr>
          <w:rStyle w:val="CharDivText"/>
        </w:rPr>
        <w:t>Non-party production</w:t>
      </w:r>
      <w:bookmarkEnd w:id="282"/>
    </w:p>
    <w:p w14:paraId="54BF162D" w14:textId="77777777" w:rsidR="00134D29" w:rsidRPr="00F7165D" w:rsidRDefault="00134D29" w:rsidP="00134D29">
      <w:pPr>
        <w:pStyle w:val="AH5Sec"/>
      </w:pPr>
      <w:bookmarkStart w:id="283" w:name="_Toc185513900"/>
      <w:r w:rsidRPr="00C8328B">
        <w:rPr>
          <w:rStyle w:val="CharSectNo"/>
        </w:rPr>
        <w:t>659</w:t>
      </w:r>
      <w:r w:rsidRPr="00F7165D">
        <w:tab/>
        <w:t>Application—div 2.8.7</w:t>
      </w:r>
      <w:bookmarkEnd w:id="283"/>
    </w:p>
    <w:p w14:paraId="41C2A566" w14:textId="77777777" w:rsidR="00134D29" w:rsidRPr="00F7165D" w:rsidRDefault="00134D29" w:rsidP="00134D29">
      <w:pPr>
        <w:pStyle w:val="Amain"/>
      </w:pPr>
      <w:r w:rsidRPr="00F7165D">
        <w:tab/>
        <w:t>(1)</w:t>
      </w:r>
      <w:r w:rsidRPr="00F7165D">
        <w:tab/>
        <w:t>This division does not apply to a document held by a court.</w:t>
      </w:r>
    </w:p>
    <w:p w14:paraId="635006DB" w14:textId="77777777" w:rsidR="00134D29" w:rsidRPr="00F7165D" w:rsidRDefault="00134D29" w:rsidP="00134D29">
      <w:pPr>
        <w:pStyle w:val="Amain"/>
      </w:pPr>
      <w:r w:rsidRPr="00F7165D">
        <w:tab/>
        <w:t>(2)</w:t>
      </w:r>
      <w:r w:rsidRPr="00F7165D">
        <w:tab/>
        <w:t>In this rule:</w:t>
      </w:r>
    </w:p>
    <w:p w14:paraId="1023E05F" w14:textId="77777777" w:rsidR="00134D29" w:rsidRPr="00F7165D" w:rsidRDefault="00134D29" w:rsidP="00134D29">
      <w:pPr>
        <w:pStyle w:val="aDef"/>
      </w:pPr>
      <w:r w:rsidRPr="00F7165D">
        <w:rPr>
          <w:rStyle w:val="charBoldItals"/>
        </w:rPr>
        <w:t>court</w:t>
      </w:r>
      <w:r w:rsidRPr="00F7165D">
        <w:t xml:space="preserve"> includes the ACAT.</w:t>
      </w:r>
    </w:p>
    <w:p w14:paraId="4B6343B3" w14:textId="77777777" w:rsidR="003D4FF5" w:rsidRDefault="003D4FF5" w:rsidP="003D4FF5">
      <w:pPr>
        <w:pStyle w:val="AH5Sec"/>
      </w:pPr>
      <w:bookmarkStart w:id="284" w:name="_Toc185513901"/>
      <w:r w:rsidRPr="00C8328B">
        <w:rPr>
          <w:rStyle w:val="CharSectNo"/>
        </w:rPr>
        <w:t>660</w:t>
      </w:r>
      <w:r>
        <w:tab/>
        <w:t>Notice for non-party production—issue</w:t>
      </w:r>
      <w:bookmarkEnd w:id="284"/>
    </w:p>
    <w:p w14:paraId="3A2903CB" w14:textId="77777777"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14:paraId="52834D73" w14:textId="77777777" w:rsidR="003D4FF5" w:rsidRDefault="003D4FF5" w:rsidP="003D4FF5">
      <w:pPr>
        <w:pStyle w:val="Apara"/>
      </w:pPr>
      <w:r>
        <w:tab/>
        <w:t>(a)</w:t>
      </w:r>
      <w:r>
        <w:tab/>
        <w:t>relating to a matter in issue in the proceeding; and</w:t>
      </w:r>
    </w:p>
    <w:p w14:paraId="123F124A" w14:textId="77777777" w:rsidR="003D4FF5" w:rsidRDefault="003D4FF5" w:rsidP="003D4FF5">
      <w:pPr>
        <w:pStyle w:val="Apara"/>
      </w:pPr>
      <w:r>
        <w:tab/>
        <w:t>(b)</w:t>
      </w:r>
      <w:r>
        <w:tab/>
        <w:t>in the person’s possession; and</w:t>
      </w:r>
    </w:p>
    <w:p w14:paraId="18AD6EBC" w14:textId="77777777" w:rsidR="003D4FF5" w:rsidRDefault="003D4FF5" w:rsidP="003D4FF5">
      <w:pPr>
        <w:pStyle w:val="Apara"/>
        <w:keepNext/>
      </w:pPr>
      <w:r>
        <w:tab/>
        <w:t>(c)</w:t>
      </w:r>
      <w:r>
        <w:tab/>
        <w:t>that the person could be required to produce at the trial of the proceeding.</w:t>
      </w:r>
    </w:p>
    <w:p w14:paraId="507DF192" w14:textId="62D3585C"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16" w:history="1">
        <w:r w:rsidRPr="0027447D">
          <w:rPr>
            <w:rStyle w:val="charCitHyperlinkAbbrev"/>
          </w:rPr>
          <w:t>AF2011-51</w:t>
        </w:r>
      </w:hyperlink>
      <w:r>
        <w:t>.</w:t>
      </w:r>
    </w:p>
    <w:p w14:paraId="0AA94EA0" w14:textId="77777777"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14:paraId="1C3A08C6" w14:textId="77777777"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14:paraId="796F53B1" w14:textId="77777777"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14:paraId="3EEA9D3E" w14:textId="77777777" w:rsidR="003D4FF5" w:rsidRDefault="003D4FF5" w:rsidP="003D4FF5">
      <w:pPr>
        <w:pStyle w:val="Apara"/>
      </w:pPr>
      <w:r>
        <w:tab/>
        <w:t>(a)</w:t>
      </w:r>
      <w:r>
        <w:tab/>
        <w:t>admitted or taken to be admitted; or</w:t>
      </w:r>
    </w:p>
    <w:p w14:paraId="499F3BC0" w14:textId="77777777" w:rsidR="003D4FF5" w:rsidRDefault="003D4FF5" w:rsidP="003D4FF5">
      <w:pPr>
        <w:pStyle w:val="Apara"/>
      </w:pPr>
      <w:r>
        <w:tab/>
        <w:t>(b)</w:t>
      </w:r>
      <w:r>
        <w:tab/>
        <w:t>withdrawn, struck out or otherwise disposed of.</w:t>
      </w:r>
    </w:p>
    <w:p w14:paraId="7CC4019F" w14:textId="77777777" w:rsidR="003D4FF5" w:rsidRDefault="003D4FF5" w:rsidP="003D4FF5">
      <w:pPr>
        <w:pStyle w:val="AH5Sec"/>
      </w:pPr>
      <w:bookmarkStart w:id="285" w:name="_Toc185513902"/>
      <w:r w:rsidRPr="00C8328B">
        <w:rPr>
          <w:rStyle w:val="CharSectNo"/>
        </w:rPr>
        <w:t>661</w:t>
      </w:r>
      <w:r>
        <w:tab/>
        <w:t>Notice for non-party production—service</w:t>
      </w:r>
      <w:bookmarkEnd w:id="285"/>
    </w:p>
    <w:p w14:paraId="067F3EE8" w14:textId="77777777" w:rsidR="003D4FF5" w:rsidRDefault="003D4FF5" w:rsidP="003D4FF5">
      <w:pPr>
        <w:pStyle w:val="Amain"/>
        <w:keepNext/>
      </w:pPr>
      <w:r>
        <w:tab/>
        <w:t>(1)</w:t>
      </w:r>
      <w:r>
        <w:tab/>
        <w:t>A notice for non-party production must be served personally.</w:t>
      </w:r>
    </w:p>
    <w:p w14:paraId="5A9CED6C" w14:textId="77777777"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14:paraId="514D2957" w14:textId="77777777"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14:paraId="1837D808" w14:textId="77777777"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14:paraId="31677430" w14:textId="77777777"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14:paraId="68E121A3" w14:textId="77777777" w:rsidR="003D4FF5" w:rsidRPr="002B175D" w:rsidRDefault="003D4FF5" w:rsidP="003D4FF5">
      <w:pPr>
        <w:pStyle w:val="AH5Sec"/>
      </w:pPr>
      <w:bookmarkStart w:id="286" w:name="_Toc185513903"/>
      <w:r w:rsidRPr="00C8328B">
        <w:rPr>
          <w:rStyle w:val="CharSectNo"/>
        </w:rPr>
        <w:t>662</w:t>
      </w:r>
      <w:r w:rsidRPr="002B175D">
        <w:tab/>
        <w:t>Notice for non-party production—inspection by other parties</w:t>
      </w:r>
      <w:bookmarkEnd w:id="286"/>
    </w:p>
    <w:p w14:paraId="1FD46001" w14:textId="77777777"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14:paraId="3173CE85" w14:textId="77777777" w:rsidR="003D4FF5" w:rsidRPr="002B175D" w:rsidRDefault="003D4FF5" w:rsidP="003D4FF5">
      <w:pPr>
        <w:pStyle w:val="Apara"/>
      </w:pPr>
      <w:r w:rsidRPr="002B175D">
        <w:tab/>
        <w:t>(a)</w:t>
      </w:r>
      <w:r w:rsidRPr="002B175D">
        <w:tab/>
        <w:t>14 days after the notice is served on the respondent; or</w:t>
      </w:r>
    </w:p>
    <w:p w14:paraId="42C69B15" w14:textId="77777777" w:rsidR="003D4FF5" w:rsidRPr="002B175D" w:rsidRDefault="003D4FF5" w:rsidP="003D4FF5">
      <w:pPr>
        <w:pStyle w:val="Apara"/>
      </w:pPr>
      <w:r w:rsidRPr="002B175D">
        <w:tab/>
        <w:t>(b)</w:t>
      </w:r>
      <w:r w:rsidRPr="002B175D">
        <w:tab/>
        <w:t>if a longer time is stated in the notice—the longer time.</w:t>
      </w:r>
    </w:p>
    <w:p w14:paraId="58385B81" w14:textId="77777777"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14:paraId="051B4CC4" w14:textId="77777777"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14:paraId="035CBA12" w14:textId="77777777" w:rsidR="003D4FF5" w:rsidRPr="002B175D" w:rsidRDefault="003D4FF5" w:rsidP="003D4FF5">
      <w:pPr>
        <w:pStyle w:val="Apara"/>
      </w:pPr>
      <w:r w:rsidRPr="002B175D">
        <w:tab/>
        <w:t>(b)</w:t>
      </w:r>
      <w:r w:rsidRPr="002B175D">
        <w:tab/>
        <w:t>in any other case—deliver the document to the applicant for the notice.</w:t>
      </w:r>
    </w:p>
    <w:p w14:paraId="175B073A" w14:textId="77777777"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14:paraId="1A3108E0" w14:textId="77777777"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14:paraId="662E33D1" w14:textId="77777777" w:rsidR="003D4FF5" w:rsidRPr="002B175D" w:rsidRDefault="003D4FF5" w:rsidP="003D4FF5">
      <w:pPr>
        <w:pStyle w:val="Apara"/>
      </w:pPr>
      <w:r w:rsidRPr="002B175D">
        <w:tab/>
        <w:t>(b)</w:t>
      </w:r>
      <w:r w:rsidRPr="002B175D">
        <w:tab/>
        <w:t>in any other case—deliver the document to the applicant for the notice.</w:t>
      </w:r>
    </w:p>
    <w:p w14:paraId="1586CCD8" w14:textId="77777777"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14:paraId="6F6D2DDE" w14:textId="77777777" w:rsidR="003D4FF5" w:rsidRDefault="003D4FF5" w:rsidP="003D4FF5">
      <w:pPr>
        <w:pStyle w:val="AH5Sec"/>
      </w:pPr>
      <w:bookmarkStart w:id="287" w:name="_Toc185513904"/>
      <w:r w:rsidRPr="00C8328B">
        <w:rPr>
          <w:rStyle w:val="CharSectNo"/>
        </w:rPr>
        <w:t>663</w:t>
      </w:r>
      <w:r>
        <w:tab/>
        <w:t>Notice for non-party production—application to set aside</w:t>
      </w:r>
      <w:bookmarkEnd w:id="287"/>
    </w:p>
    <w:p w14:paraId="4A858EB7" w14:textId="77777777"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14:paraId="00C0E01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60C100" w14:textId="77777777" w:rsidR="003D4FF5" w:rsidRDefault="003D4FF5" w:rsidP="003D4FF5">
      <w:pPr>
        <w:pStyle w:val="Amain"/>
      </w:pPr>
      <w:r>
        <w:tab/>
        <w:t>(2)</w:t>
      </w:r>
      <w:r>
        <w:tab/>
        <w:t>On an application under this rule, the court may make the orders it considers appropriate.</w:t>
      </w:r>
    </w:p>
    <w:p w14:paraId="54D8C1CA" w14:textId="77777777" w:rsidR="003D4FF5" w:rsidRDefault="003D4FF5" w:rsidP="003D4FF5">
      <w:pPr>
        <w:pStyle w:val="AH5Sec"/>
      </w:pPr>
      <w:bookmarkStart w:id="288" w:name="_Toc185513905"/>
      <w:r w:rsidRPr="00C8328B">
        <w:rPr>
          <w:rStyle w:val="CharSectNo"/>
        </w:rPr>
        <w:lastRenderedPageBreak/>
        <w:t>664</w:t>
      </w:r>
      <w:r>
        <w:tab/>
        <w:t>Notice for non-party production—privilege or objection</w:t>
      </w:r>
      <w:bookmarkEnd w:id="288"/>
    </w:p>
    <w:p w14:paraId="1A8F4ED7" w14:textId="77777777" w:rsidR="003D4FF5" w:rsidRDefault="003D4FF5" w:rsidP="003D4FF5">
      <w:pPr>
        <w:pStyle w:val="Amain"/>
      </w:pPr>
      <w:r>
        <w:tab/>
        <w:t>(1)</w:t>
      </w:r>
      <w:r>
        <w:tab/>
        <w:t>This rule applies if—</w:t>
      </w:r>
    </w:p>
    <w:p w14:paraId="06D06148" w14:textId="77777777" w:rsidR="003D4FF5" w:rsidRDefault="003D4FF5" w:rsidP="003D4FF5">
      <w:pPr>
        <w:pStyle w:val="Apara"/>
      </w:pPr>
      <w:r>
        <w:tab/>
        <w:t>(a)</w:t>
      </w:r>
      <w:r>
        <w:tab/>
        <w:t>the respondent to a notice for non-party production in a proceeding or any other party to the proceeding—</w:t>
      </w:r>
    </w:p>
    <w:p w14:paraId="0330AC1A" w14:textId="77777777" w:rsidR="003D4FF5" w:rsidRDefault="003D4FF5" w:rsidP="003D4FF5">
      <w:pPr>
        <w:pStyle w:val="Asubpara"/>
      </w:pPr>
      <w:r>
        <w:tab/>
        <w:t>(i)</w:t>
      </w:r>
      <w:r>
        <w:tab/>
        <w:t>claims that a document mentioned in the notice is privileged from production; or</w:t>
      </w:r>
    </w:p>
    <w:p w14:paraId="7D47039C" w14:textId="77777777" w:rsidR="003D4FF5" w:rsidRDefault="003D4FF5" w:rsidP="003D4FF5">
      <w:pPr>
        <w:pStyle w:val="Asubpara"/>
      </w:pPr>
      <w:r>
        <w:tab/>
        <w:t>(ii)</w:t>
      </w:r>
      <w:r>
        <w:tab/>
        <w:t>otherwise objects to its production; or</w:t>
      </w:r>
    </w:p>
    <w:p w14:paraId="28627149" w14:textId="77777777"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14:paraId="63A0C06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29031DAB" w14:textId="77777777"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14:paraId="7795FD90" w14:textId="77777777" w:rsidR="003D4FF5" w:rsidRDefault="003D4FF5" w:rsidP="003D4FF5">
      <w:pPr>
        <w:pStyle w:val="Apara"/>
      </w:pPr>
      <w:r>
        <w:tab/>
        <w:t>(a)</w:t>
      </w:r>
      <w:r>
        <w:tab/>
        <w:t>the document that the person objects to being produced; and</w:t>
      </w:r>
    </w:p>
    <w:p w14:paraId="502D725A" w14:textId="77777777" w:rsidR="003D4FF5" w:rsidRDefault="003D4FF5" w:rsidP="003D4FF5">
      <w:pPr>
        <w:pStyle w:val="Apara"/>
      </w:pPr>
      <w:r>
        <w:tab/>
        <w:t>(b)</w:t>
      </w:r>
      <w:r>
        <w:tab/>
        <w:t>the reasons the person claims privilege or otherwise objects to the document being produced.</w:t>
      </w:r>
    </w:p>
    <w:p w14:paraId="7A88B60B" w14:textId="77777777" w:rsidR="003D4FF5" w:rsidRDefault="003D4FF5" w:rsidP="003D4FF5">
      <w:pPr>
        <w:pStyle w:val="Amain"/>
        <w:keepNext/>
      </w:pPr>
      <w:r>
        <w:tab/>
        <w:t>(3)</w:t>
      </w:r>
      <w:r>
        <w:tab/>
        <w:t>The reasons for objection may include, but are not limited to, the following:</w:t>
      </w:r>
    </w:p>
    <w:p w14:paraId="69BCAB8B" w14:textId="77777777" w:rsidR="003D4FF5" w:rsidRDefault="003D4FF5" w:rsidP="003D4FF5">
      <w:pPr>
        <w:pStyle w:val="Apara"/>
      </w:pPr>
      <w:r>
        <w:tab/>
        <w:t>(a)</w:t>
      </w:r>
      <w:r>
        <w:tab/>
        <w:t>if the person objecting is the respondent—the expense and inconvenience likely to be incurred by the respondent in complying with the notice;</w:t>
      </w:r>
    </w:p>
    <w:p w14:paraId="060DF4E7" w14:textId="77777777" w:rsidR="003D4FF5" w:rsidRDefault="003D4FF5" w:rsidP="003D4FF5">
      <w:pPr>
        <w:pStyle w:val="Apara"/>
      </w:pPr>
      <w:r>
        <w:tab/>
        <w:t>(b)</w:t>
      </w:r>
      <w:r>
        <w:tab/>
        <w:t>the lack of relevance to the proceeding of the document;</w:t>
      </w:r>
    </w:p>
    <w:p w14:paraId="6078E9A1" w14:textId="77777777" w:rsidR="003D4FF5" w:rsidRDefault="003D4FF5" w:rsidP="003D4FF5">
      <w:pPr>
        <w:pStyle w:val="Apara"/>
      </w:pPr>
      <w:r>
        <w:tab/>
        <w:t>(c)</w:t>
      </w:r>
      <w:r>
        <w:tab/>
        <w:t>the lack of particularity with which the document is described;</w:t>
      </w:r>
    </w:p>
    <w:p w14:paraId="19A7A9AC" w14:textId="77777777" w:rsidR="003D4FF5" w:rsidRDefault="003D4FF5" w:rsidP="003D4FF5">
      <w:pPr>
        <w:pStyle w:val="Apara"/>
      </w:pPr>
      <w:r>
        <w:tab/>
        <w:t>(d)</w:t>
      </w:r>
      <w:r>
        <w:tab/>
        <w:t xml:space="preserve">the confidential nature of the document or its contents; </w:t>
      </w:r>
    </w:p>
    <w:p w14:paraId="5024D957" w14:textId="77777777" w:rsidR="003D4FF5" w:rsidRDefault="003D4FF5" w:rsidP="003D4FF5">
      <w:pPr>
        <w:pStyle w:val="Apara"/>
      </w:pPr>
      <w:r>
        <w:tab/>
        <w:t>(e)</w:t>
      </w:r>
      <w:r>
        <w:tab/>
        <w:t>the effect disclosure would have on anyone;</w:t>
      </w:r>
    </w:p>
    <w:p w14:paraId="30B2BEBD" w14:textId="77777777" w:rsidR="003D4FF5" w:rsidRDefault="003D4FF5" w:rsidP="003D4FF5">
      <w:pPr>
        <w:pStyle w:val="Apara"/>
      </w:pPr>
      <w:r>
        <w:lastRenderedPageBreak/>
        <w:tab/>
        <w:t>(f)</w:t>
      </w:r>
      <w:r>
        <w:tab/>
        <w:t>if the person objecting was not served with the notice—the fact that the person should have been served.</w:t>
      </w:r>
    </w:p>
    <w:p w14:paraId="544C3439" w14:textId="77777777"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14:paraId="0A7C4733" w14:textId="77777777" w:rsidR="003D4FF5" w:rsidRDefault="003D4FF5" w:rsidP="003D4FF5">
      <w:pPr>
        <w:pStyle w:val="Amain"/>
        <w:keepNext/>
      </w:pPr>
      <w:r>
        <w:tab/>
        <w:t>(5)</w:t>
      </w:r>
      <w:r>
        <w:tab/>
        <w:t>On application under this rule, the court may make the orders it considers appropriate.</w:t>
      </w:r>
    </w:p>
    <w:p w14:paraId="5CC436DC" w14:textId="77777777" w:rsidR="003D4FF5" w:rsidRDefault="003D4FF5" w:rsidP="003D4FF5">
      <w:pPr>
        <w:pStyle w:val="AH5Sec"/>
      </w:pPr>
      <w:bookmarkStart w:id="289" w:name="_Toc185513906"/>
      <w:r w:rsidRPr="00C8328B">
        <w:rPr>
          <w:rStyle w:val="CharSectNo"/>
        </w:rPr>
        <w:t>665</w:t>
      </w:r>
      <w:r>
        <w:tab/>
        <w:t>Notice for non-party production—failure to produce documents</w:t>
      </w:r>
      <w:bookmarkEnd w:id="289"/>
    </w:p>
    <w:p w14:paraId="6E796CC3" w14:textId="77777777" w:rsidR="003D4FF5" w:rsidRDefault="003D4FF5" w:rsidP="003D4FF5">
      <w:pPr>
        <w:pStyle w:val="Amain"/>
      </w:pPr>
      <w:r>
        <w:tab/>
        <w:t>(1)</w:t>
      </w:r>
      <w:r>
        <w:tab/>
        <w:t>This rule applies if the respondent to a notice for non-party production fails to produce a document stated in the notice in accordance with the notice.</w:t>
      </w:r>
    </w:p>
    <w:p w14:paraId="434E62AF" w14:textId="77777777" w:rsidR="003D4FF5" w:rsidRDefault="003D4FF5" w:rsidP="003D4FF5">
      <w:pPr>
        <w:pStyle w:val="Amain"/>
        <w:keepNext/>
      </w:pPr>
      <w:r>
        <w:tab/>
        <w:t>(2)</w:t>
      </w:r>
      <w:r>
        <w:tab/>
        <w:t>The applicant for the notice may apply to the court for orders in relation to the failure.</w:t>
      </w:r>
    </w:p>
    <w:p w14:paraId="312CB8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AEFA0B" w14:textId="77777777" w:rsidR="003D4FF5" w:rsidRDefault="003D4FF5" w:rsidP="003D4FF5">
      <w:pPr>
        <w:pStyle w:val="Amain"/>
      </w:pPr>
      <w:r>
        <w:tab/>
        <w:t>(3)</w:t>
      </w:r>
      <w:r>
        <w:tab/>
        <w:t>On application under this rule, the court may make the orders it considers appropriate.</w:t>
      </w:r>
    </w:p>
    <w:p w14:paraId="22BB2EEC" w14:textId="77777777" w:rsidR="003D4FF5" w:rsidRDefault="003D4FF5" w:rsidP="003D4FF5">
      <w:pPr>
        <w:pStyle w:val="AH5Sec"/>
      </w:pPr>
      <w:bookmarkStart w:id="290" w:name="_Toc185513907"/>
      <w:r w:rsidRPr="00C8328B">
        <w:rPr>
          <w:rStyle w:val="CharSectNo"/>
        </w:rPr>
        <w:t>666</w:t>
      </w:r>
      <w:r>
        <w:tab/>
        <w:t>Notice for non-party production—copying produced documents</w:t>
      </w:r>
      <w:bookmarkEnd w:id="290"/>
    </w:p>
    <w:p w14:paraId="0203CCAF" w14:textId="77777777"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14:paraId="66D00AD9" w14:textId="77777777" w:rsidR="003D4FF5" w:rsidRDefault="003D4FF5" w:rsidP="003D4FF5">
      <w:pPr>
        <w:pStyle w:val="Amain"/>
        <w:keepNext/>
      </w:pPr>
      <w:r>
        <w:tab/>
        <w:t>(2)</w:t>
      </w:r>
      <w:r>
        <w:tab/>
        <w:t>If the respondent objects the applicant may apply to the court for orders in relation to the objection.</w:t>
      </w:r>
    </w:p>
    <w:p w14:paraId="563D06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274575" w14:textId="77777777" w:rsidR="003D4FF5" w:rsidRDefault="003D4FF5" w:rsidP="003D4FF5">
      <w:pPr>
        <w:pStyle w:val="Amain"/>
      </w:pPr>
      <w:r>
        <w:lastRenderedPageBreak/>
        <w:tab/>
        <w:t>(3)</w:t>
      </w:r>
      <w:r>
        <w:tab/>
        <w:t>On an application under this rule, the court may make the orders it considers appropriate.</w:t>
      </w:r>
    </w:p>
    <w:p w14:paraId="43A08E04" w14:textId="77777777" w:rsidR="003D4FF5" w:rsidRDefault="003D4FF5" w:rsidP="003D4FF5">
      <w:pPr>
        <w:pStyle w:val="AH5Sec"/>
      </w:pPr>
      <w:bookmarkStart w:id="291" w:name="_Toc185513908"/>
      <w:r w:rsidRPr="00C8328B">
        <w:rPr>
          <w:rStyle w:val="CharSectNo"/>
        </w:rPr>
        <w:t>667</w:t>
      </w:r>
      <w:r>
        <w:tab/>
        <w:t>Notice for non-party production—costs</w:t>
      </w:r>
      <w:bookmarkEnd w:id="291"/>
    </w:p>
    <w:p w14:paraId="01751AAE" w14:textId="77777777" w:rsidR="003D4FF5" w:rsidRDefault="003D4FF5" w:rsidP="003D4FF5">
      <w:pPr>
        <w:pStyle w:val="Amain"/>
      </w:pPr>
      <w:r>
        <w:tab/>
        <w:t>(1)</w:t>
      </w:r>
      <w:r>
        <w:tab/>
        <w:t>The applicant for a notice for non-party production must pay any expenses reasonably incurred by the respondent to the notice in complying with the notice.</w:t>
      </w:r>
    </w:p>
    <w:p w14:paraId="048D35EB" w14:textId="77777777"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14:paraId="385A2E6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76B2BC9A" w14:textId="77777777"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14:paraId="41FA4DB7" w14:textId="77777777"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14:paraId="3A84435E" w14:textId="77777777"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14:paraId="7F193779" w14:textId="77777777" w:rsidR="003D4FF5" w:rsidRPr="00C8328B" w:rsidRDefault="003D4FF5" w:rsidP="003D4FF5">
      <w:pPr>
        <w:pStyle w:val="AH3Div"/>
      </w:pPr>
      <w:bookmarkStart w:id="292" w:name="_Toc185513909"/>
      <w:r w:rsidRPr="00C8328B">
        <w:rPr>
          <w:rStyle w:val="CharDivNo"/>
        </w:rPr>
        <w:t>Division 2.8.8</w:t>
      </w:r>
      <w:r>
        <w:tab/>
      </w:r>
      <w:r w:rsidRPr="00C8328B">
        <w:rPr>
          <w:rStyle w:val="CharDivText"/>
        </w:rPr>
        <w:t>Discovery—other provisions</w:t>
      </w:r>
      <w:bookmarkEnd w:id="292"/>
    </w:p>
    <w:p w14:paraId="0572245B" w14:textId="77777777" w:rsidR="003D4FF5" w:rsidRDefault="003D4FF5" w:rsidP="003D4FF5">
      <w:pPr>
        <w:pStyle w:val="AH5Sec"/>
      </w:pPr>
      <w:bookmarkStart w:id="293" w:name="_Toc185513910"/>
      <w:r w:rsidRPr="00C8328B">
        <w:rPr>
          <w:rStyle w:val="CharSectNo"/>
        </w:rPr>
        <w:t>670</w:t>
      </w:r>
      <w:r>
        <w:tab/>
        <w:t>Contravention of pt 2.8 order—contempt of court</w:t>
      </w:r>
      <w:bookmarkEnd w:id="293"/>
    </w:p>
    <w:p w14:paraId="06E9733B" w14:textId="77777777" w:rsidR="003D4FF5" w:rsidRDefault="003D4FF5" w:rsidP="003D4FF5">
      <w:pPr>
        <w:pStyle w:val="Amain"/>
      </w:pPr>
      <w:r>
        <w:tab/>
        <w:t>(1)</w:t>
      </w:r>
      <w:r>
        <w:tab/>
        <w:t>If a person, without reasonable excuse, contravenes an order of the court made under this part, the person may be dealt with for contempt of court.</w:t>
      </w:r>
    </w:p>
    <w:p w14:paraId="44F64C71" w14:textId="77777777" w:rsidR="003D4FF5" w:rsidRDefault="003D4FF5" w:rsidP="003D4FF5">
      <w:pPr>
        <w:pStyle w:val="Amain"/>
      </w:pPr>
      <w:r>
        <w:lastRenderedPageBreak/>
        <w:tab/>
        <w:t>(2)</w:t>
      </w:r>
      <w:r>
        <w:tab/>
        <w:t>This rule does not limit any other power of the court in relation to the contravention.</w:t>
      </w:r>
    </w:p>
    <w:p w14:paraId="37DF52C2" w14:textId="31F7B2D4"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17" w:tooltip="A2002-51" w:history="1">
        <w:r w:rsidRPr="005A5F43">
          <w:rPr>
            <w:rStyle w:val="charCitHyperlinkAbbrev"/>
          </w:rPr>
          <w:t>Criminal Code</w:t>
        </w:r>
      </w:hyperlink>
      <w:r>
        <w:t>, s 722).</w:t>
      </w:r>
    </w:p>
    <w:p w14:paraId="0D76AFCD" w14:textId="77777777"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14:paraId="1D42FE5A" w14:textId="77777777" w:rsidR="003D4FF5" w:rsidRDefault="003D4FF5" w:rsidP="003D4FF5">
      <w:pPr>
        <w:pStyle w:val="AH5Sec"/>
      </w:pPr>
      <w:bookmarkStart w:id="294" w:name="_Toc185513911"/>
      <w:r w:rsidRPr="00C8328B">
        <w:rPr>
          <w:rStyle w:val="CharSectNo"/>
        </w:rPr>
        <w:t>671</w:t>
      </w:r>
      <w:r>
        <w:tab/>
        <w:t>Contravention of pt 2.8 order—other action</w:t>
      </w:r>
      <w:bookmarkEnd w:id="294"/>
    </w:p>
    <w:p w14:paraId="2E2482FC" w14:textId="77777777" w:rsidR="003D4FF5" w:rsidRDefault="003D4FF5" w:rsidP="002D45B1">
      <w:pPr>
        <w:pStyle w:val="Amain"/>
        <w:keepNext/>
      </w:pPr>
      <w:r>
        <w:tab/>
        <w:t>(1)</w:t>
      </w:r>
      <w:r>
        <w:tab/>
        <w:t>If a party, without reasonable excuse, contravenes an order of the court made under this part, the court may—</w:t>
      </w:r>
    </w:p>
    <w:p w14:paraId="49C1D18B" w14:textId="77777777" w:rsidR="003D4FF5" w:rsidRDefault="003D4FF5" w:rsidP="003D4FF5">
      <w:pPr>
        <w:pStyle w:val="Apara"/>
      </w:pPr>
      <w:r>
        <w:tab/>
        <w:t>(a)</w:t>
      </w:r>
      <w:r>
        <w:tab/>
        <w:t>if the party is a plaintiff or other claimant—order that all, or a stated part, of the party’s proceeding be struck out, dismissed or stayed; or</w:t>
      </w:r>
    </w:p>
    <w:p w14:paraId="2B908CBA" w14:textId="77777777" w:rsidR="003D4FF5" w:rsidRDefault="003D4FF5" w:rsidP="003D4FF5">
      <w:pPr>
        <w:pStyle w:val="Apara"/>
      </w:pPr>
      <w:r>
        <w:tab/>
        <w:t>(b)</w:t>
      </w:r>
      <w:r>
        <w:tab/>
        <w:t>if the party is a defendant or respondent—order that the party not be allowed to defend all, or a stated part, of the proceeding against the party.</w:t>
      </w:r>
    </w:p>
    <w:p w14:paraId="63737D21" w14:textId="77777777" w:rsidR="003D4FF5" w:rsidRDefault="003D4FF5" w:rsidP="003D4FF5">
      <w:pPr>
        <w:pStyle w:val="Amain"/>
      </w:pPr>
      <w:r>
        <w:tab/>
        <w:t>(2)</w:t>
      </w:r>
      <w:r>
        <w:tab/>
        <w:t>This rule does not limit any other power of the court in relation to the contravention.</w:t>
      </w:r>
    </w:p>
    <w:p w14:paraId="609458B7" w14:textId="77777777" w:rsidR="003D4FF5" w:rsidRDefault="003D4FF5" w:rsidP="003D4FF5">
      <w:pPr>
        <w:pStyle w:val="AH5Sec"/>
      </w:pPr>
      <w:bookmarkStart w:id="295" w:name="_Toc185513912"/>
      <w:r w:rsidRPr="00C8328B">
        <w:rPr>
          <w:rStyle w:val="CharSectNo"/>
        </w:rPr>
        <w:t>672</w:t>
      </w:r>
      <w:r>
        <w:tab/>
        <w:t>Solicitor to notify party of certain matters about pt 2.8</w:t>
      </w:r>
      <w:bookmarkEnd w:id="295"/>
    </w:p>
    <w:p w14:paraId="361C5CBE" w14:textId="77777777" w:rsidR="003D4FF5" w:rsidRDefault="003D4FF5" w:rsidP="003D4FF5">
      <w:pPr>
        <w:pStyle w:val="Amain"/>
      </w:pPr>
      <w:r>
        <w:tab/>
        <w:t>(1)</w:t>
      </w:r>
      <w:r>
        <w:tab/>
        <w:t>This rule applies if a solicitor who acts for a party to a proceeding receives in relation to the proceeding—</w:t>
      </w:r>
    </w:p>
    <w:p w14:paraId="791EACF4" w14:textId="77777777" w:rsidR="003D4FF5" w:rsidRDefault="003D4FF5" w:rsidP="003D4FF5">
      <w:pPr>
        <w:pStyle w:val="Apara"/>
      </w:pPr>
      <w:r>
        <w:tab/>
        <w:t>(a)</w:t>
      </w:r>
      <w:r>
        <w:tab/>
        <w:t xml:space="preserve">a notice under rule 607 (1) (Notice to disclose discoverable documents) or 620 (1) (Production of documents for inspection); or </w:t>
      </w:r>
    </w:p>
    <w:p w14:paraId="3DAAF2DC" w14:textId="77777777" w:rsidR="00AE72B5" w:rsidRPr="00541115" w:rsidRDefault="00AE72B5" w:rsidP="00AE72B5">
      <w:pPr>
        <w:pStyle w:val="Apara"/>
      </w:pPr>
      <w:r w:rsidRPr="00541115">
        <w:tab/>
        <w:t>(b)</w:t>
      </w:r>
      <w:r w:rsidRPr="00541115">
        <w:tab/>
        <w:t>an order of the court for the party to answer interrogatories; or</w:t>
      </w:r>
    </w:p>
    <w:p w14:paraId="6607B599" w14:textId="77777777" w:rsidR="003D4FF5" w:rsidRDefault="003D4FF5" w:rsidP="003D4FF5">
      <w:pPr>
        <w:pStyle w:val="Apara"/>
      </w:pPr>
      <w:r>
        <w:tab/>
        <w:t>(c)</w:t>
      </w:r>
      <w:r>
        <w:tab/>
        <w:t>an order of the court made under this part that imposes an obligation (however expressed) on the party.</w:t>
      </w:r>
    </w:p>
    <w:p w14:paraId="50CE9D53" w14:textId="3F937BB7"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or order.</w:t>
      </w:r>
    </w:p>
    <w:p w14:paraId="217664D4" w14:textId="77777777" w:rsidR="003D4FF5" w:rsidRDefault="003D4FF5" w:rsidP="003D4FF5">
      <w:pPr>
        <w:pStyle w:val="Amain"/>
      </w:pPr>
      <w:r>
        <w:tab/>
        <w:t>(3)</w:t>
      </w:r>
      <w:r>
        <w:tab/>
        <w:t>If the solicitor, without reasonable excuse, contravenes subrule (2), the solicitor may be dealt with for contempt of court.</w:t>
      </w:r>
    </w:p>
    <w:p w14:paraId="5606CD2A" w14:textId="77777777" w:rsidR="003D4FF5" w:rsidRDefault="003D4FF5" w:rsidP="003D4FF5">
      <w:pPr>
        <w:pStyle w:val="Amain"/>
      </w:pPr>
      <w:r>
        <w:tab/>
        <w:t>(4)</w:t>
      </w:r>
      <w:r>
        <w:tab/>
        <w:t>Subrule (3) does not limit any other power of the court in relation to the failure.</w:t>
      </w:r>
    </w:p>
    <w:p w14:paraId="5DF9AE48" w14:textId="77777777" w:rsidR="003D4FF5" w:rsidRDefault="003D4FF5" w:rsidP="003D4FF5">
      <w:pPr>
        <w:pStyle w:val="AH5Sec"/>
      </w:pPr>
      <w:bookmarkStart w:id="296" w:name="_Toc185513913"/>
      <w:r w:rsidRPr="00C8328B">
        <w:rPr>
          <w:rStyle w:val="CharSectNo"/>
        </w:rPr>
        <w:t>673</w:t>
      </w:r>
      <w:r>
        <w:tab/>
        <w:t>Improper use of disclosed document</w:t>
      </w:r>
      <w:bookmarkEnd w:id="296"/>
    </w:p>
    <w:p w14:paraId="4E9FDAD2" w14:textId="77777777" w:rsidR="003D4FF5" w:rsidRDefault="003D4FF5" w:rsidP="003D4FF5">
      <w:pPr>
        <w:pStyle w:val="Amain"/>
      </w:pPr>
      <w:r>
        <w:tab/>
        <w:t>(1)</w:t>
      </w:r>
      <w:r>
        <w:tab/>
        <w:t>This rule applies to someone if the person—</w:t>
      </w:r>
    </w:p>
    <w:p w14:paraId="659A7BE2" w14:textId="77777777" w:rsidR="003D4FF5" w:rsidRDefault="003D4FF5" w:rsidP="003D4FF5">
      <w:pPr>
        <w:pStyle w:val="Apara"/>
      </w:pPr>
      <w:r>
        <w:tab/>
        <w:t>(a)</w:t>
      </w:r>
      <w:r>
        <w:tab/>
        <w:t>receives a document produced to the person under this part or division 2.12.3 (Expert reports) in relation to a proceeding; or</w:t>
      </w:r>
    </w:p>
    <w:p w14:paraId="728F85E2" w14:textId="77777777"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14:paraId="071027D1" w14:textId="77777777"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14:paraId="11D4220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229C9EC" w14:textId="77777777" w:rsidR="003D4FF5" w:rsidRDefault="003D4FF5" w:rsidP="003D4FF5">
      <w:pPr>
        <w:pStyle w:val="Amain"/>
      </w:pPr>
      <w:r>
        <w:tab/>
        <w:t>(3)</w:t>
      </w:r>
      <w:r>
        <w:tab/>
        <w:t>If the person, without reasonable excuse, contravenes subrule (2), the person may be dealt with for contempt of court.</w:t>
      </w:r>
    </w:p>
    <w:p w14:paraId="68342DBC" w14:textId="77777777"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14:paraId="34CB7EAF" w14:textId="77777777" w:rsidR="003D4FF5" w:rsidRDefault="003D4FF5" w:rsidP="003D4FF5">
      <w:pPr>
        <w:pStyle w:val="Amain"/>
      </w:pPr>
      <w:r>
        <w:tab/>
        <w:t>(5)</w:t>
      </w:r>
      <w:r>
        <w:tab/>
        <w:t>Subrule (3) does not limit any other power of the court in relation to the contravention.</w:t>
      </w:r>
    </w:p>
    <w:p w14:paraId="7DC7BCF0" w14:textId="77777777" w:rsidR="003D4FF5" w:rsidRDefault="003D4FF5" w:rsidP="003D4FF5">
      <w:pPr>
        <w:pStyle w:val="AH5Sec"/>
      </w:pPr>
      <w:bookmarkStart w:id="297" w:name="_Toc185513914"/>
      <w:r w:rsidRPr="00C8328B">
        <w:rPr>
          <w:rStyle w:val="CharSectNo"/>
        </w:rPr>
        <w:lastRenderedPageBreak/>
        <w:t>674</w:t>
      </w:r>
      <w:r>
        <w:tab/>
        <w:t>Failure to disclose document</w:t>
      </w:r>
      <w:bookmarkEnd w:id="297"/>
    </w:p>
    <w:p w14:paraId="72A83A52" w14:textId="77777777"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14:paraId="3AD254CD" w14:textId="77777777"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14:paraId="320BFD7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10677AC" w14:textId="012931D5" w:rsidR="003D4FF5" w:rsidRDefault="003D4FF5" w:rsidP="003D4FF5">
      <w:pPr>
        <w:pStyle w:val="Amain"/>
      </w:pPr>
      <w:r>
        <w:tab/>
        <w:t>(3)</w:t>
      </w:r>
      <w:r>
        <w:tab/>
        <w:t xml:space="preserve">In deciding whether to give leave under subrule (2), the court must act in accordance with the </w:t>
      </w:r>
      <w:hyperlink r:id="rId118" w:tooltip="A2011-12" w:history="1">
        <w:r w:rsidRPr="00781093">
          <w:rPr>
            <w:rStyle w:val="charCitHyperlinkAbbrev"/>
          </w:rPr>
          <w:t>Evidence Act</w:t>
        </w:r>
      </w:hyperlink>
      <w:r w:rsidRPr="00AD5834">
        <w:t>, part 3.11 (Discretionary and mandatory exclusions)</w:t>
      </w:r>
      <w:r>
        <w:t>.</w:t>
      </w:r>
    </w:p>
    <w:p w14:paraId="4029CDFD" w14:textId="77777777" w:rsidR="003D4FF5" w:rsidRDefault="003D4FF5" w:rsidP="003D4FF5">
      <w:pPr>
        <w:pStyle w:val="Amain"/>
      </w:pPr>
      <w:r>
        <w:tab/>
        <w:t>(4)</w:t>
      </w:r>
      <w:r>
        <w:tab/>
        <w:t>The party must also pay any costs incurred by another party because of the failure.</w:t>
      </w:r>
    </w:p>
    <w:p w14:paraId="1ED027D9" w14:textId="77777777" w:rsidR="003D4FF5" w:rsidRDefault="003D4FF5" w:rsidP="003D4FF5">
      <w:pPr>
        <w:pStyle w:val="Amain"/>
      </w:pPr>
      <w:r>
        <w:tab/>
        <w:t>(5)</w:t>
      </w:r>
      <w:r>
        <w:tab/>
        <w:t>This rule does not limit any other power of the court in relation to the failure.</w:t>
      </w:r>
    </w:p>
    <w:p w14:paraId="32956781" w14:textId="77777777" w:rsidR="003D4FF5" w:rsidRDefault="003D4FF5" w:rsidP="003D4FF5">
      <w:pPr>
        <w:pStyle w:val="AH5Sec"/>
      </w:pPr>
      <w:bookmarkStart w:id="298" w:name="_Toc185513915"/>
      <w:r w:rsidRPr="00C8328B">
        <w:rPr>
          <w:rStyle w:val="CharSectNo"/>
        </w:rPr>
        <w:t>675</w:t>
      </w:r>
      <w:r>
        <w:tab/>
        <w:t>Discovery by electronic means—practice notes</w:t>
      </w:r>
      <w:bookmarkEnd w:id="298"/>
    </w:p>
    <w:p w14:paraId="28B09821" w14:textId="77777777" w:rsidR="003D4FF5" w:rsidRDefault="003D4FF5" w:rsidP="003D4FF5">
      <w:pPr>
        <w:pStyle w:val="Amain"/>
      </w:pPr>
      <w:r>
        <w:tab/>
        <w:t>(1)</w:t>
      </w:r>
      <w:r>
        <w:tab/>
        <w:t>A practice note may make provision in relation to the discovery of documents by electronic means.</w:t>
      </w:r>
    </w:p>
    <w:p w14:paraId="19C902C8"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14:paraId="4F7C6F7F" w14:textId="77777777" w:rsidR="003D4FF5" w:rsidRDefault="003D4FF5" w:rsidP="003D4FF5">
      <w:pPr>
        <w:pStyle w:val="Amain"/>
      </w:pPr>
      <w:r>
        <w:tab/>
        <w:t>(2)</w:t>
      </w:r>
      <w:r>
        <w:tab/>
        <w:t>A practice note must be complied with despite anything in these rules.</w:t>
      </w:r>
    </w:p>
    <w:p w14:paraId="73CE47DB" w14:textId="77777777" w:rsidR="003D4FF5" w:rsidRDefault="003D4FF5" w:rsidP="003D4FF5">
      <w:pPr>
        <w:pStyle w:val="PageBreak"/>
      </w:pPr>
      <w:r>
        <w:br w:type="page"/>
      </w:r>
    </w:p>
    <w:p w14:paraId="4BA78BE7" w14:textId="77777777" w:rsidR="003D4FF5" w:rsidRPr="00C8328B" w:rsidRDefault="003D4FF5" w:rsidP="003D4FF5">
      <w:pPr>
        <w:pStyle w:val="AH2Part"/>
      </w:pPr>
      <w:bookmarkStart w:id="299" w:name="_Toc185513916"/>
      <w:r w:rsidRPr="00C8328B">
        <w:rPr>
          <w:rStyle w:val="CharPartNo"/>
        </w:rPr>
        <w:lastRenderedPageBreak/>
        <w:t>Part 2.9</w:t>
      </w:r>
      <w:r>
        <w:tab/>
      </w:r>
      <w:r w:rsidRPr="00C8328B">
        <w:rPr>
          <w:rStyle w:val="CharPartText"/>
        </w:rPr>
        <w:t>Preservation of rights and property</w:t>
      </w:r>
      <w:bookmarkEnd w:id="299"/>
    </w:p>
    <w:p w14:paraId="75AEF3C2" w14:textId="77777777" w:rsidR="003D4FF5" w:rsidRPr="00C8328B" w:rsidRDefault="003D4FF5" w:rsidP="003D4FF5">
      <w:pPr>
        <w:pStyle w:val="AH3Div"/>
      </w:pPr>
      <w:bookmarkStart w:id="300" w:name="_Toc185513917"/>
      <w:r w:rsidRPr="00C8328B">
        <w:rPr>
          <w:rStyle w:val="CharDivNo"/>
        </w:rPr>
        <w:t>Division 2.9.1</w:t>
      </w:r>
      <w:r>
        <w:tab/>
      </w:r>
      <w:r w:rsidRPr="00C8328B">
        <w:rPr>
          <w:rStyle w:val="CharDivText"/>
        </w:rPr>
        <w:t>Interpretation—pt 2.9</w:t>
      </w:r>
      <w:bookmarkEnd w:id="300"/>
    </w:p>
    <w:p w14:paraId="53CA4752" w14:textId="77777777" w:rsidR="003D4FF5" w:rsidRDefault="003D4FF5" w:rsidP="003D4FF5">
      <w:pPr>
        <w:pStyle w:val="AH5Sec"/>
      </w:pPr>
      <w:bookmarkStart w:id="301" w:name="_Toc185513918"/>
      <w:r w:rsidRPr="00C8328B">
        <w:rPr>
          <w:rStyle w:val="CharSectNo"/>
        </w:rPr>
        <w:t>700</w:t>
      </w:r>
      <w:r>
        <w:tab/>
        <w:t xml:space="preserve">Meaning of </w:t>
      </w:r>
      <w:r w:rsidRPr="005A5F43">
        <w:rPr>
          <w:rStyle w:val="charItals"/>
        </w:rPr>
        <w:t>usual undertaking as to damages</w:t>
      </w:r>
      <w:r>
        <w:t>—pt 2.9</w:t>
      </w:r>
      <w:bookmarkEnd w:id="301"/>
    </w:p>
    <w:p w14:paraId="121EF9B8" w14:textId="77777777" w:rsidR="003D4FF5" w:rsidRDefault="003D4FF5" w:rsidP="003D4FF5">
      <w:pPr>
        <w:pStyle w:val="Amainreturn"/>
        <w:keepNext/>
      </w:pPr>
      <w:r>
        <w:t>In this part:</w:t>
      </w:r>
    </w:p>
    <w:p w14:paraId="495ED505" w14:textId="77777777"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14:paraId="561EFE1A" w14:textId="77777777" w:rsidR="003D4FF5" w:rsidRDefault="003D4FF5" w:rsidP="003D4FF5">
      <w:pPr>
        <w:pStyle w:val="aDefpara"/>
      </w:pPr>
      <w:r>
        <w:tab/>
        <w:t>(a)</w:t>
      </w:r>
      <w:r>
        <w:tab/>
        <w:t xml:space="preserve">the operation of the interlocutory order or undertaking; or </w:t>
      </w:r>
    </w:p>
    <w:p w14:paraId="7E070AC0" w14:textId="77777777" w:rsidR="003D4FF5" w:rsidRDefault="003D4FF5" w:rsidP="003D4FF5">
      <w:pPr>
        <w:pStyle w:val="aDefpara"/>
      </w:pPr>
      <w:r>
        <w:tab/>
        <w:t>(b)</w:t>
      </w:r>
      <w:r>
        <w:tab/>
        <w:t>any continuation of the order or undertaking (whether or not varied).</w:t>
      </w:r>
    </w:p>
    <w:p w14:paraId="6F3469BF" w14:textId="77777777" w:rsidR="003D4FF5" w:rsidRPr="00C8328B" w:rsidRDefault="003D4FF5" w:rsidP="003D4FF5">
      <w:pPr>
        <w:pStyle w:val="AH3Div"/>
      </w:pPr>
      <w:bookmarkStart w:id="302" w:name="_Toc185513919"/>
      <w:r w:rsidRPr="00C8328B">
        <w:rPr>
          <w:rStyle w:val="CharDivNo"/>
        </w:rPr>
        <w:t>Division 2.9.2</w:t>
      </w:r>
      <w:r>
        <w:tab/>
      </w:r>
      <w:r w:rsidRPr="00C8328B">
        <w:rPr>
          <w:rStyle w:val="CharDivText"/>
        </w:rPr>
        <w:t>Interim preservation, distribution and payment</w:t>
      </w:r>
      <w:bookmarkEnd w:id="302"/>
    </w:p>
    <w:p w14:paraId="48C9CA49" w14:textId="77777777" w:rsidR="003D4FF5" w:rsidRDefault="003D4FF5" w:rsidP="003D4FF5">
      <w:pPr>
        <w:pStyle w:val="AH5Sec"/>
      </w:pPr>
      <w:bookmarkStart w:id="303" w:name="_Toc185513920"/>
      <w:r w:rsidRPr="00C8328B">
        <w:rPr>
          <w:rStyle w:val="CharSectNo"/>
        </w:rPr>
        <w:t>705</w:t>
      </w:r>
      <w:r>
        <w:tab/>
        <w:t>Application—div 2.9.2</w:t>
      </w:r>
      <w:bookmarkEnd w:id="303"/>
    </w:p>
    <w:p w14:paraId="00621CC7" w14:textId="77777777" w:rsidR="003D4FF5" w:rsidRDefault="003D4FF5" w:rsidP="003D4FF5">
      <w:pPr>
        <w:pStyle w:val="Amain"/>
      </w:pPr>
      <w:r>
        <w:tab/>
        <w:t>(1)</w:t>
      </w:r>
      <w:r>
        <w:tab/>
        <w:t>This division applies only in relation to the Supreme Court.</w:t>
      </w:r>
    </w:p>
    <w:p w14:paraId="4EF6B1FE" w14:textId="77777777"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14:paraId="691743D9" w14:textId="77777777" w:rsidR="003D4FF5" w:rsidRDefault="003D4FF5" w:rsidP="003D4FF5">
      <w:pPr>
        <w:pStyle w:val="AH5Sec"/>
      </w:pPr>
      <w:bookmarkStart w:id="304" w:name="_Toc185513921"/>
      <w:r w:rsidRPr="00C8328B">
        <w:rPr>
          <w:rStyle w:val="CharSectNo"/>
        </w:rPr>
        <w:t>706</w:t>
      </w:r>
      <w:r>
        <w:tab/>
        <w:t>Urgent orders before start of proceeding</w:t>
      </w:r>
      <w:bookmarkEnd w:id="304"/>
    </w:p>
    <w:p w14:paraId="3C92DD9C" w14:textId="77777777" w:rsidR="003D4FF5" w:rsidRDefault="003D4FF5" w:rsidP="003D4FF5">
      <w:pPr>
        <w:pStyle w:val="Amain"/>
        <w:keepNext/>
      </w:pPr>
      <w:r>
        <w:tab/>
        <w:t>(1)</w:t>
      </w:r>
      <w:r>
        <w:tab/>
        <w:t>This rule applies—</w:t>
      </w:r>
    </w:p>
    <w:p w14:paraId="694C7439" w14:textId="77777777" w:rsidR="003D4FF5" w:rsidRDefault="003D4FF5" w:rsidP="003D4FF5">
      <w:pPr>
        <w:pStyle w:val="Apara"/>
      </w:pPr>
      <w:r>
        <w:tab/>
        <w:t>(a)</w:t>
      </w:r>
      <w:r>
        <w:tab/>
        <w:t>in urgent circumstances; and</w:t>
      </w:r>
    </w:p>
    <w:p w14:paraId="3513A4A5" w14:textId="77777777" w:rsidR="003D4FF5" w:rsidRDefault="003D4FF5" w:rsidP="003D4FF5">
      <w:pPr>
        <w:pStyle w:val="Apara"/>
      </w:pPr>
      <w:r>
        <w:lastRenderedPageBreak/>
        <w:tab/>
        <w:t>(b)</w:t>
      </w:r>
      <w:r>
        <w:tab/>
        <w:t>if the person applying for an order mentioned in subrule (2) intends to start a proceeding.</w:t>
      </w:r>
    </w:p>
    <w:p w14:paraId="4DA02409" w14:textId="77777777" w:rsidR="003D4FF5" w:rsidRDefault="003D4FF5" w:rsidP="003D4FF5">
      <w:pPr>
        <w:pStyle w:val="Amain"/>
        <w:keepNext/>
      </w:pPr>
      <w:r>
        <w:tab/>
        <w:t>(2)</w:t>
      </w:r>
      <w:r>
        <w:tab/>
        <w:t>Before the proceeding starts, the court may do any of the following as if the proceeding had started:</w:t>
      </w:r>
    </w:p>
    <w:p w14:paraId="13933BCC" w14:textId="77777777" w:rsidR="003D4FF5" w:rsidRDefault="003D4FF5" w:rsidP="003D4FF5">
      <w:pPr>
        <w:pStyle w:val="Apara"/>
      </w:pPr>
      <w:r>
        <w:tab/>
        <w:t>(a)</w:t>
      </w:r>
      <w:r>
        <w:tab/>
        <w:t>make an order that the court might make in a proceeding on an application for a habeas corpus order;</w:t>
      </w:r>
    </w:p>
    <w:p w14:paraId="1269C260" w14:textId="77777777" w:rsidR="003D4FF5" w:rsidRDefault="003D4FF5" w:rsidP="003D4FF5">
      <w:pPr>
        <w:pStyle w:val="Apara"/>
      </w:pPr>
      <w:r>
        <w:tab/>
        <w:t>(b)</w:t>
      </w:r>
      <w:r>
        <w:tab/>
        <w:t>make a division 2.9.4 order;</w:t>
      </w:r>
    </w:p>
    <w:p w14:paraId="7E52985D" w14:textId="77777777"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14:paraId="41AC3088" w14:textId="784AC589" w:rsidR="003D4FF5" w:rsidRDefault="003D4FF5" w:rsidP="003D4FF5">
      <w:pPr>
        <w:pStyle w:val="Apara"/>
      </w:pPr>
      <w:r>
        <w:tab/>
        <w:t>(c)</w:t>
      </w:r>
      <w:r>
        <w:tab/>
        <w:t xml:space="preserve">make an order extending the operation of a caveat, including, for example, under the </w:t>
      </w:r>
      <w:hyperlink r:id="rId119" w:tooltip="A1925-1" w:history="1">
        <w:r w:rsidRPr="005A5F43">
          <w:rPr>
            <w:rStyle w:val="charCitHyperlinkItal"/>
          </w:rPr>
          <w:t>Land Titles Act 1925</w:t>
        </w:r>
      </w:hyperlink>
      <w:r>
        <w:t>;</w:t>
      </w:r>
    </w:p>
    <w:p w14:paraId="05CE97EB" w14:textId="77777777" w:rsidR="003D4FF5" w:rsidRDefault="003D4FF5" w:rsidP="003D4FF5">
      <w:pPr>
        <w:pStyle w:val="Apara"/>
      </w:pPr>
      <w:r>
        <w:tab/>
        <w:t>(d)</w:t>
      </w:r>
      <w:r>
        <w:tab/>
        <w:t>make an order appointing, or directing the appointment of, a receiver;</w:t>
      </w:r>
    </w:p>
    <w:p w14:paraId="61A6C2EC" w14:textId="77777777" w:rsidR="003D4FF5" w:rsidRDefault="003D4FF5" w:rsidP="003D4FF5">
      <w:pPr>
        <w:pStyle w:val="Apara"/>
      </w:pPr>
      <w:r>
        <w:tab/>
        <w:t>(e)</w:t>
      </w:r>
      <w:r>
        <w:tab/>
        <w:t>make an order under rule 715 (Inspection, detention, custody and preservation of property—orders etc) or rule 716 (Disposal of property other than land).</w:t>
      </w:r>
    </w:p>
    <w:p w14:paraId="5590CC8C" w14:textId="77777777"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14:paraId="2F03F785" w14:textId="77777777" w:rsidR="003D4FF5" w:rsidRDefault="003D4FF5" w:rsidP="003D4FF5">
      <w:pPr>
        <w:pStyle w:val="Amain"/>
      </w:pPr>
      <w:r>
        <w:tab/>
        <w:t>(3)</w:t>
      </w:r>
      <w:r>
        <w:tab/>
        <w:t>Subrule (2) does not limit the orders the court may make before a proceeding starts.</w:t>
      </w:r>
    </w:p>
    <w:p w14:paraId="463B68EE" w14:textId="77777777" w:rsidR="003D4FF5" w:rsidRDefault="003D4FF5" w:rsidP="003D4FF5">
      <w:pPr>
        <w:pStyle w:val="Amain"/>
        <w:keepNext/>
      </w:pPr>
      <w:r>
        <w:tab/>
        <w:t>(4)</w:t>
      </w:r>
      <w:r>
        <w:tab/>
        <w:t>An application for an order mentioned in subrule (2) must be made by originating application.</w:t>
      </w:r>
    </w:p>
    <w:p w14:paraId="70355477" w14:textId="77777777"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14:paraId="48F6498C" w14:textId="77777777"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14:paraId="2B70647D" w14:textId="77777777"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14:paraId="11CBE714" w14:textId="77777777" w:rsidR="003D4FF5" w:rsidRDefault="003D4FF5" w:rsidP="003D4FF5">
      <w:pPr>
        <w:pStyle w:val="Apara"/>
      </w:pPr>
      <w:r>
        <w:tab/>
        <w:t>(a)</w:t>
      </w:r>
      <w:r>
        <w:tab/>
        <w:t>the end of the time ordered by the court; or</w:t>
      </w:r>
    </w:p>
    <w:p w14:paraId="566CB1AC" w14:textId="77777777" w:rsidR="003D4FF5" w:rsidRDefault="003D4FF5" w:rsidP="003D4FF5">
      <w:pPr>
        <w:pStyle w:val="Apara"/>
      </w:pPr>
      <w:r>
        <w:tab/>
        <w:t>(b)</w:t>
      </w:r>
      <w:r>
        <w:tab/>
        <w:t>if the court does not make an order mentioned in paragraph (a)—2 days after the day the order mentioned in subrule (2) is made.</w:t>
      </w:r>
    </w:p>
    <w:p w14:paraId="22E8F14C" w14:textId="77777777" w:rsidR="003D4FF5" w:rsidRDefault="003D4FF5" w:rsidP="003D4FF5">
      <w:pPr>
        <w:pStyle w:val="Amain"/>
      </w:pPr>
      <w:r>
        <w:tab/>
        <w:t>(7)</w:t>
      </w:r>
      <w:r>
        <w:tab/>
        <w:t>In this rule:</w:t>
      </w:r>
    </w:p>
    <w:p w14:paraId="5D7DB3F8" w14:textId="77777777" w:rsidR="003D4FF5" w:rsidRDefault="003D4FF5" w:rsidP="003D4FF5">
      <w:pPr>
        <w:pStyle w:val="aDef"/>
      </w:pPr>
      <w:r w:rsidRPr="005A5F43">
        <w:rPr>
          <w:rStyle w:val="charBoldItals"/>
        </w:rPr>
        <w:t>habeas corpus order</w:t>
      </w:r>
      <w:r>
        <w:t>—see rule 3500 (Definitions—pt 3.9).</w:t>
      </w:r>
    </w:p>
    <w:p w14:paraId="3A6E163F" w14:textId="77777777" w:rsidR="003D4FF5" w:rsidRDefault="003D4FF5" w:rsidP="003D4FF5">
      <w:pPr>
        <w:pStyle w:val="AH5Sec"/>
      </w:pPr>
      <w:bookmarkStart w:id="305" w:name="_Toc185513922"/>
      <w:r w:rsidRPr="00C8328B">
        <w:rPr>
          <w:rStyle w:val="CharSectNo"/>
        </w:rPr>
        <w:t>707</w:t>
      </w:r>
      <w:r>
        <w:tab/>
        <w:t>Interim distribution</w:t>
      </w:r>
      <w:bookmarkEnd w:id="305"/>
    </w:p>
    <w:p w14:paraId="2C5850F8" w14:textId="77777777" w:rsidR="003D4FF5" w:rsidRDefault="003D4FF5" w:rsidP="003D4FF5">
      <w:pPr>
        <w:pStyle w:val="Amain"/>
      </w:pPr>
      <w:r>
        <w:tab/>
        <w:t>(1)</w:t>
      </w:r>
      <w:r>
        <w:tab/>
        <w:t>This rule applies—</w:t>
      </w:r>
    </w:p>
    <w:p w14:paraId="53270B04" w14:textId="77777777" w:rsidR="003D4FF5" w:rsidRDefault="003D4FF5" w:rsidP="003D4FF5">
      <w:pPr>
        <w:pStyle w:val="Apara"/>
      </w:pPr>
      <w:r>
        <w:tab/>
        <w:t>(a)</w:t>
      </w:r>
      <w:r>
        <w:tab/>
        <w:t>to a proceeding about property; and</w:t>
      </w:r>
    </w:p>
    <w:p w14:paraId="1BDE78E3" w14:textId="77777777" w:rsidR="003D4FF5" w:rsidRDefault="003D4FF5" w:rsidP="003D4FF5">
      <w:pPr>
        <w:pStyle w:val="Apara"/>
      </w:pPr>
      <w:r>
        <w:tab/>
        <w:t>(b)</w:t>
      </w:r>
      <w:r>
        <w:tab/>
        <w:t>if the court considers that the property is more than enough to answer the claims on the property for which provision ought to be made in the proceeding.</w:t>
      </w:r>
    </w:p>
    <w:p w14:paraId="40D06D8A" w14:textId="77777777" w:rsidR="003D4FF5" w:rsidRDefault="003D4FF5" w:rsidP="003D4FF5">
      <w:pPr>
        <w:pStyle w:val="Amain"/>
        <w:keepNext/>
      </w:pPr>
      <w:r>
        <w:tab/>
        <w:t>(2)</w:t>
      </w:r>
      <w:r>
        <w:tab/>
        <w:t>The court may make an order allowing any part of the property to be conveyed, transferred or delivered to anyone having an interest in the property.</w:t>
      </w:r>
    </w:p>
    <w:p w14:paraId="17070F2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DCA0EA" w14:textId="77777777" w:rsidR="003D4FF5" w:rsidRDefault="003D4FF5" w:rsidP="003D4FF5">
      <w:pPr>
        <w:pStyle w:val="AH5Sec"/>
      </w:pPr>
      <w:bookmarkStart w:id="306" w:name="_Toc185513923"/>
      <w:r w:rsidRPr="00C8328B">
        <w:rPr>
          <w:rStyle w:val="CharSectNo"/>
        </w:rPr>
        <w:t>708</w:t>
      </w:r>
      <w:r>
        <w:tab/>
        <w:t>Interim income</w:t>
      </w:r>
      <w:bookmarkEnd w:id="306"/>
    </w:p>
    <w:p w14:paraId="1F15D367" w14:textId="77777777" w:rsidR="003D4FF5" w:rsidRDefault="003D4FF5" w:rsidP="003D4FF5">
      <w:pPr>
        <w:pStyle w:val="Amain"/>
        <w:keepNext/>
      </w:pPr>
      <w:r>
        <w:tab/>
        <w:t>(1)</w:t>
      </w:r>
      <w:r>
        <w:tab/>
        <w:t>This rule applies—</w:t>
      </w:r>
    </w:p>
    <w:p w14:paraId="235BD835" w14:textId="77777777" w:rsidR="003D4FF5" w:rsidRDefault="003D4FF5" w:rsidP="003D4FF5">
      <w:pPr>
        <w:pStyle w:val="Apara"/>
      </w:pPr>
      <w:r>
        <w:tab/>
        <w:t>(a)</w:t>
      </w:r>
      <w:r>
        <w:tab/>
        <w:t>to a proceeding about property; and</w:t>
      </w:r>
    </w:p>
    <w:p w14:paraId="15822F2A" w14:textId="77777777"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14:paraId="3E5823CB" w14:textId="77777777"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14:paraId="5661EBC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59FF523" w14:textId="77777777" w:rsidR="003D4FF5" w:rsidRDefault="003D4FF5" w:rsidP="003D4FF5">
      <w:pPr>
        <w:pStyle w:val="AH5Sec"/>
      </w:pPr>
      <w:bookmarkStart w:id="307" w:name="_Toc185513924"/>
      <w:r w:rsidRPr="00C8328B">
        <w:rPr>
          <w:rStyle w:val="CharSectNo"/>
        </w:rPr>
        <w:t>709</w:t>
      </w:r>
      <w:r>
        <w:tab/>
        <w:t>Payment before finding out everyone interested</w:t>
      </w:r>
      <w:bookmarkEnd w:id="307"/>
    </w:p>
    <w:p w14:paraId="648BF523" w14:textId="77777777" w:rsidR="003D4FF5" w:rsidRDefault="003D4FF5" w:rsidP="003D4FF5">
      <w:pPr>
        <w:pStyle w:val="Amain"/>
      </w:pPr>
      <w:r>
        <w:tab/>
        <w:t>(1)</w:t>
      </w:r>
      <w:r>
        <w:tab/>
        <w:t>This rule applies if 2 or more people are entitled to share in a fund.</w:t>
      </w:r>
    </w:p>
    <w:p w14:paraId="68482D1C" w14:textId="77777777"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14:paraId="33F76C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0A68D4" w14:textId="77777777" w:rsidR="003D4FF5" w:rsidRPr="00C8328B" w:rsidRDefault="003D4FF5" w:rsidP="003D4FF5">
      <w:pPr>
        <w:pStyle w:val="AH3Div"/>
      </w:pPr>
      <w:bookmarkStart w:id="308" w:name="_Toc185513925"/>
      <w:r w:rsidRPr="00C8328B">
        <w:rPr>
          <w:rStyle w:val="CharDivNo"/>
        </w:rPr>
        <w:t>Division 2.9.3</w:t>
      </w:r>
      <w:r>
        <w:tab/>
      </w:r>
      <w:r w:rsidRPr="00C8328B">
        <w:rPr>
          <w:rStyle w:val="CharDivText"/>
        </w:rPr>
        <w:t>Inspection, detention, custody and preservation of property</w:t>
      </w:r>
      <w:bookmarkEnd w:id="308"/>
    </w:p>
    <w:p w14:paraId="4864704C" w14:textId="77777777" w:rsidR="003D4FF5" w:rsidRDefault="003D4FF5" w:rsidP="003D4FF5">
      <w:pPr>
        <w:pStyle w:val="AH5Sec"/>
      </w:pPr>
      <w:bookmarkStart w:id="309" w:name="_Toc185513926"/>
      <w:r w:rsidRPr="00C8328B">
        <w:rPr>
          <w:rStyle w:val="CharSectNo"/>
        </w:rPr>
        <w:t>715</w:t>
      </w:r>
      <w:r>
        <w:tab/>
        <w:t>Inspection, detention, custody and preservation of property—orders etc</w:t>
      </w:r>
      <w:bookmarkEnd w:id="309"/>
    </w:p>
    <w:p w14:paraId="5034E0EF" w14:textId="77777777" w:rsidR="003D4FF5" w:rsidRDefault="003D4FF5" w:rsidP="003D4FF5">
      <w:pPr>
        <w:pStyle w:val="Amain"/>
      </w:pPr>
      <w:r>
        <w:tab/>
        <w:t>(1)</w:t>
      </w:r>
      <w:r>
        <w:tab/>
        <w:t>The court may make an order for the inspection, detention, custody or preservation of property if—</w:t>
      </w:r>
    </w:p>
    <w:p w14:paraId="17A61C0D" w14:textId="77777777" w:rsidR="003D4FF5" w:rsidRDefault="003D4FF5" w:rsidP="003D4FF5">
      <w:pPr>
        <w:pStyle w:val="Apara"/>
      </w:pPr>
      <w:r>
        <w:tab/>
        <w:t>(a)</w:t>
      </w:r>
      <w:r>
        <w:tab/>
        <w:t>the property is the subject of a proceeding or is property about which an issue may arise in a proceeding; or</w:t>
      </w:r>
    </w:p>
    <w:p w14:paraId="5A8ECF6D" w14:textId="77777777" w:rsidR="003D4FF5" w:rsidRDefault="003D4FF5" w:rsidP="003D4FF5">
      <w:pPr>
        <w:pStyle w:val="Apara"/>
        <w:keepNext/>
      </w:pPr>
      <w:r>
        <w:tab/>
        <w:t>(b)</w:t>
      </w:r>
      <w:r>
        <w:tab/>
        <w:t>inspection of the property is necessary for deciding an issue in a proceeding.</w:t>
      </w:r>
    </w:p>
    <w:p w14:paraId="33B864F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406EFF6" w14:textId="77777777" w:rsidR="003D4FF5" w:rsidRDefault="003D4FF5" w:rsidP="003D4FF5">
      <w:pPr>
        <w:pStyle w:val="Amain"/>
      </w:pPr>
      <w:r>
        <w:tab/>
        <w:t>(2)</w:t>
      </w:r>
      <w:r>
        <w:tab/>
        <w:t>Subrule (1) applies whether or not the property is in the ownership, possession, custody or power of a party.</w:t>
      </w:r>
    </w:p>
    <w:p w14:paraId="59309718" w14:textId="77777777" w:rsidR="003D4FF5" w:rsidRDefault="003D4FF5" w:rsidP="003D4FF5">
      <w:pPr>
        <w:pStyle w:val="Amain"/>
      </w:pPr>
      <w:r>
        <w:tab/>
        <w:t>(3)</w:t>
      </w:r>
      <w:r>
        <w:tab/>
        <w:t>The court may make an order mentioned in subrule (1) at any stage of a proceeding.</w:t>
      </w:r>
    </w:p>
    <w:p w14:paraId="38214EAF" w14:textId="77777777"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14:paraId="70D456AE" w14:textId="77777777" w:rsidR="003D4FF5" w:rsidRDefault="003D4FF5" w:rsidP="003D4FF5">
      <w:pPr>
        <w:pStyle w:val="Amain"/>
        <w:keepNext/>
      </w:pPr>
      <w:r>
        <w:tab/>
        <w:t>(5)</w:t>
      </w:r>
      <w:r>
        <w:tab/>
        <w:t>Without limiting subrule (1), the order may authorise a person to do any of the following:</w:t>
      </w:r>
    </w:p>
    <w:p w14:paraId="1D0E3983" w14:textId="77777777" w:rsidR="003D4FF5" w:rsidRDefault="003D4FF5" w:rsidP="003D4FF5">
      <w:pPr>
        <w:pStyle w:val="Apara"/>
      </w:pPr>
      <w:r>
        <w:tab/>
        <w:t>(a)</w:t>
      </w:r>
      <w:r>
        <w:tab/>
        <w:t>enter a place or do something else to obtain access to the property;</w:t>
      </w:r>
    </w:p>
    <w:p w14:paraId="45C12A6F" w14:textId="77777777" w:rsidR="003D4FF5" w:rsidRDefault="003D4FF5" w:rsidP="003D4FF5">
      <w:pPr>
        <w:pStyle w:val="Apara"/>
      </w:pPr>
      <w:r>
        <w:tab/>
        <w:t>(b)</w:t>
      </w:r>
      <w:r>
        <w:tab/>
        <w:t>take samples of the property;</w:t>
      </w:r>
    </w:p>
    <w:p w14:paraId="1E85C7FB" w14:textId="77777777" w:rsidR="003D4FF5" w:rsidRDefault="003D4FF5" w:rsidP="003D4FF5">
      <w:pPr>
        <w:pStyle w:val="Apara"/>
      </w:pPr>
      <w:r>
        <w:tab/>
        <w:t>(c)</w:t>
      </w:r>
      <w:r>
        <w:tab/>
        <w:t>make observations of the property;</w:t>
      </w:r>
    </w:p>
    <w:p w14:paraId="0D55B1FE" w14:textId="77777777" w:rsidR="003D4FF5" w:rsidRDefault="003D4FF5" w:rsidP="003D4FF5">
      <w:pPr>
        <w:pStyle w:val="Apara"/>
      </w:pPr>
      <w:r>
        <w:tab/>
        <w:t>(d)</w:t>
      </w:r>
      <w:r>
        <w:tab/>
        <w:t>make a record of the property, including, for example, take photographs of the property;</w:t>
      </w:r>
    </w:p>
    <w:p w14:paraId="2B9A0D87" w14:textId="77777777" w:rsidR="003D4FF5" w:rsidRDefault="003D4FF5" w:rsidP="003D4FF5">
      <w:pPr>
        <w:pStyle w:val="Apara"/>
      </w:pPr>
      <w:r>
        <w:tab/>
        <w:t>(e)</w:t>
      </w:r>
      <w:r>
        <w:tab/>
        <w:t>conduct an experiment on or with the property;</w:t>
      </w:r>
    </w:p>
    <w:p w14:paraId="5005CCFB" w14:textId="77777777" w:rsidR="003D4FF5" w:rsidRDefault="003D4FF5" w:rsidP="003D4FF5">
      <w:pPr>
        <w:pStyle w:val="Apara"/>
      </w:pPr>
      <w:r>
        <w:tab/>
        <w:t>(f)</w:t>
      </w:r>
      <w:r>
        <w:tab/>
        <w:t>observe a process;</w:t>
      </w:r>
    </w:p>
    <w:p w14:paraId="0995AA54" w14:textId="77777777" w:rsidR="003D4FF5" w:rsidRDefault="003D4FF5" w:rsidP="003D4FF5">
      <w:pPr>
        <w:pStyle w:val="Apara"/>
      </w:pPr>
      <w:r>
        <w:tab/>
        <w:t>(g)</w:t>
      </w:r>
      <w:r>
        <w:tab/>
        <w:t>observe or read images or information contained in the property, including, for example, by playing or screening a tape, film or disk;</w:t>
      </w:r>
    </w:p>
    <w:p w14:paraId="4DB416A1" w14:textId="77777777" w:rsidR="003D4FF5" w:rsidRDefault="003D4FF5" w:rsidP="003D4FF5">
      <w:pPr>
        <w:pStyle w:val="Apara"/>
      </w:pPr>
      <w:r>
        <w:tab/>
        <w:t>(h)</w:t>
      </w:r>
      <w:r>
        <w:tab/>
        <w:t>photograph or otherwise copy the property or information contained in the property;</w:t>
      </w:r>
    </w:p>
    <w:p w14:paraId="10D50E96" w14:textId="77777777" w:rsidR="003D4FF5" w:rsidRDefault="003D4FF5" w:rsidP="002D45B1">
      <w:pPr>
        <w:pStyle w:val="Apara"/>
      </w:pPr>
      <w:r>
        <w:tab/>
        <w:t>(i)</w:t>
      </w:r>
      <w:r>
        <w:tab/>
        <w:t>in a proceeding about a party’s right to a fund—pay the fund into court or otherwise secure the fund.</w:t>
      </w:r>
    </w:p>
    <w:p w14:paraId="589D39C7" w14:textId="77777777" w:rsidR="003D4FF5" w:rsidRDefault="003D4FF5" w:rsidP="002D45B1">
      <w:pPr>
        <w:pStyle w:val="Amain"/>
        <w:keepNext/>
      </w:pPr>
      <w:r>
        <w:tab/>
        <w:t>(6)</w:t>
      </w:r>
      <w:r>
        <w:tab/>
        <w:t>Without limiting rule 6901 (Orders may be made on conditions), an order under this rule may be made on any of the following conditions:</w:t>
      </w:r>
    </w:p>
    <w:p w14:paraId="22BE645B" w14:textId="77777777" w:rsidR="003D4FF5" w:rsidRDefault="003D4FF5" w:rsidP="003D4FF5">
      <w:pPr>
        <w:pStyle w:val="Apara"/>
      </w:pPr>
      <w:r>
        <w:tab/>
        <w:t>(a)</w:t>
      </w:r>
      <w:r>
        <w:tab/>
        <w:t>conditions about the payment of the costs of a person who is not a party and who must comply with the order;</w:t>
      </w:r>
    </w:p>
    <w:p w14:paraId="7D1CC176" w14:textId="77777777" w:rsidR="003D4FF5" w:rsidRDefault="003D4FF5" w:rsidP="003D4FF5">
      <w:pPr>
        <w:pStyle w:val="Apara"/>
      </w:pPr>
      <w:r>
        <w:tab/>
        <w:t>(b)</w:t>
      </w:r>
      <w:r>
        <w:tab/>
        <w:t>conditions about giving security for the costs of a person or party who must comply with the order;</w:t>
      </w:r>
    </w:p>
    <w:p w14:paraId="5336B3DE" w14:textId="77777777" w:rsidR="003D4FF5" w:rsidRDefault="003D4FF5" w:rsidP="003D4FF5">
      <w:pPr>
        <w:pStyle w:val="Apara"/>
      </w:pPr>
      <w:r>
        <w:tab/>
        <w:t>(c)</w:t>
      </w:r>
      <w:r>
        <w:tab/>
        <w:t>conditions about giving the usual undertaking as to damages.</w:t>
      </w:r>
    </w:p>
    <w:p w14:paraId="749F29FB" w14:textId="0F5823B6"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0" w:tooltip="A2011-12" w:history="1">
        <w:r w:rsidRPr="00781093">
          <w:rPr>
            <w:rStyle w:val="charCitHyperlinkAbbrev"/>
          </w:rPr>
          <w:t>Evidence Act</w:t>
        </w:r>
      </w:hyperlink>
      <w:r w:rsidRPr="00AD5834">
        <w:t>, section</w:t>
      </w:r>
      <w:r>
        <w:t> </w:t>
      </w:r>
      <w:r w:rsidRPr="00AD5834">
        <w:t>169 (Failure to comply with requests)</w:t>
      </w:r>
      <w:r>
        <w:t>.</w:t>
      </w:r>
    </w:p>
    <w:p w14:paraId="191A7653" w14:textId="77777777"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14:paraId="273A169C" w14:textId="77777777" w:rsidR="003D4FF5" w:rsidRDefault="003D4FF5" w:rsidP="003D4FF5">
      <w:pPr>
        <w:pStyle w:val="AH5Sec"/>
      </w:pPr>
      <w:bookmarkStart w:id="310" w:name="_Toc185513927"/>
      <w:r w:rsidRPr="00C8328B">
        <w:rPr>
          <w:rStyle w:val="CharSectNo"/>
        </w:rPr>
        <w:t>716</w:t>
      </w:r>
      <w:r>
        <w:tab/>
        <w:t>Disposal of property other than land</w:t>
      </w:r>
      <w:bookmarkEnd w:id="310"/>
    </w:p>
    <w:p w14:paraId="7A822AF2" w14:textId="77777777" w:rsidR="003D4FF5" w:rsidRDefault="003D4FF5" w:rsidP="003D4FF5">
      <w:pPr>
        <w:pStyle w:val="Amain"/>
      </w:pPr>
      <w:r>
        <w:tab/>
        <w:t>(1)</w:t>
      </w:r>
      <w:r>
        <w:tab/>
        <w:t>This rule applies—</w:t>
      </w:r>
    </w:p>
    <w:p w14:paraId="6EB682AB" w14:textId="77777777" w:rsidR="003D4FF5" w:rsidRDefault="003D4FF5" w:rsidP="003D4FF5">
      <w:pPr>
        <w:pStyle w:val="Apara"/>
      </w:pPr>
      <w:r>
        <w:tab/>
        <w:t>(a)</w:t>
      </w:r>
      <w:r>
        <w:tab/>
        <w:t>to a proceeding about property (other than land) or in which an issue may arise about property (other than land); and</w:t>
      </w:r>
    </w:p>
    <w:p w14:paraId="6ABFC498" w14:textId="77777777" w:rsidR="003D4FF5" w:rsidRDefault="003D4FF5" w:rsidP="003D4FF5">
      <w:pPr>
        <w:pStyle w:val="Apara"/>
      </w:pPr>
      <w:r>
        <w:tab/>
        <w:t>(b)</w:t>
      </w:r>
      <w:r>
        <w:tab/>
        <w:t>if it appears to the court that—</w:t>
      </w:r>
    </w:p>
    <w:p w14:paraId="59E5D967" w14:textId="77777777" w:rsidR="003D4FF5" w:rsidRDefault="003D4FF5" w:rsidP="003D4FF5">
      <w:pPr>
        <w:pStyle w:val="Asubpara"/>
      </w:pPr>
      <w:r>
        <w:tab/>
        <w:t>(i)</w:t>
      </w:r>
      <w:r>
        <w:tab/>
        <w:t>the property is perishable or is likely to deteriorate or otherwise decrease in value; or</w:t>
      </w:r>
    </w:p>
    <w:p w14:paraId="61D22A9E" w14:textId="77777777" w:rsidR="003D4FF5" w:rsidRDefault="003D4FF5" w:rsidP="003D4FF5">
      <w:pPr>
        <w:pStyle w:val="Asubpara"/>
      </w:pPr>
      <w:r>
        <w:tab/>
        <w:t>(ii)</w:t>
      </w:r>
      <w:r>
        <w:tab/>
        <w:t>the property should be sold or otherwise disposed of for another reason.</w:t>
      </w:r>
    </w:p>
    <w:p w14:paraId="56B9E64F" w14:textId="77777777" w:rsidR="003D4FF5" w:rsidRDefault="003D4FF5" w:rsidP="003D4FF5">
      <w:pPr>
        <w:pStyle w:val="Amain"/>
      </w:pPr>
      <w:r>
        <w:tab/>
        <w:t>(2)</w:t>
      </w:r>
      <w:r>
        <w:tab/>
        <w:t>At any stage of the proceeding, the court may order the sale or other disposal of all or part of the property.</w:t>
      </w:r>
    </w:p>
    <w:p w14:paraId="34C548A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F811459" w14:textId="77777777" w:rsidR="003D4FF5" w:rsidRDefault="003D4FF5" w:rsidP="003D4FF5">
      <w:pPr>
        <w:pStyle w:val="Amain"/>
      </w:pPr>
      <w:r>
        <w:tab/>
        <w:t>(3)</w:t>
      </w:r>
      <w:r>
        <w:tab/>
        <w:t>Without limiting rule 6901 (Orders may be made on conditions), an order may be made on conditions about giving the usual undertaking as to damages.</w:t>
      </w:r>
    </w:p>
    <w:p w14:paraId="65F66077" w14:textId="77777777" w:rsidR="003D4FF5" w:rsidRDefault="003D4FF5" w:rsidP="003D4FF5">
      <w:pPr>
        <w:pStyle w:val="AH5Sec"/>
      </w:pPr>
      <w:bookmarkStart w:id="311" w:name="_Toc185513928"/>
      <w:r w:rsidRPr="00C8328B">
        <w:rPr>
          <w:rStyle w:val="CharSectNo"/>
        </w:rPr>
        <w:t>717</w:t>
      </w:r>
      <w:r>
        <w:tab/>
        <w:t>Order for inspection, detention, custody or preservation affecting non-party</w:t>
      </w:r>
      <w:bookmarkEnd w:id="311"/>
    </w:p>
    <w:p w14:paraId="37DF8FAB" w14:textId="77777777"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14:paraId="1697762E" w14:textId="77777777" w:rsidR="003D4FF5" w:rsidRDefault="003D4FF5" w:rsidP="003D4FF5">
      <w:pPr>
        <w:pStyle w:val="AH5Sec"/>
      </w:pPr>
      <w:bookmarkStart w:id="312" w:name="_Toc185513929"/>
      <w:r w:rsidRPr="00C8328B">
        <w:rPr>
          <w:rStyle w:val="CharSectNo"/>
        </w:rPr>
        <w:lastRenderedPageBreak/>
        <w:t>718</w:t>
      </w:r>
      <w:r>
        <w:tab/>
        <w:t>Application for order for inspection, detention, custody or preservation</w:t>
      </w:r>
      <w:bookmarkEnd w:id="312"/>
    </w:p>
    <w:p w14:paraId="4B9D7B22" w14:textId="77777777"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14:paraId="73899892" w14:textId="77777777"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14:paraId="00AF1559" w14:textId="77777777" w:rsidR="003D4FF5" w:rsidRDefault="003D4FF5" w:rsidP="003D4FF5">
      <w:pPr>
        <w:pStyle w:val="Amain"/>
      </w:pPr>
      <w:r>
        <w:tab/>
        <w:t>(2)</w:t>
      </w:r>
      <w:r>
        <w:tab/>
        <w:t>The applicant must make all reasonable inquiries to find out who has, or claims to have, an interest in the property.</w:t>
      </w:r>
    </w:p>
    <w:p w14:paraId="57D2B7FE" w14:textId="77777777"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14:paraId="49E9821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E3154A0" w14:textId="77777777" w:rsidR="003D4FF5" w:rsidRDefault="003D4FF5" w:rsidP="003D4FF5">
      <w:pPr>
        <w:pStyle w:val="AH5Sec"/>
      </w:pPr>
      <w:bookmarkStart w:id="313" w:name="_Toc185513930"/>
      <w:r w:rsidRPr="00C8328B">
        <w:rPr>
          <w:rStyle w:val="CharSectNo"/>
        </w:rPr>
        <w:t>719</w:t>
      </w:r>
      <w:r>
        <w:tab/>
        <w:t>Division 2.9.3—other jurisdiction of court not affected</w:t>
      </w:r>
      <w:bookmarkEnd w:id="313"/>
    </w:p>
    <w:p w14:paraId="6588398B" w14:textId="77777777"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14:paraId="361464E9" w14:textId="77777777" w:rsidR="003D4FF5" w:rsidRPr="00C8328B" w:rsidRDefault="003D4FF5" w:rsidP="003D4FF5">
      <w:pPr>
        <w:pStyle w:val="AH3Div"/>
      </w:pPr>
      <w:bookmarkStart w:id="314" w:name="_Toc185513931"/>
      <w:r w:rsidRPr="00C8328B">
        <w:rPr>
          <w:rStyle w:val="CharDivNo"/>
        </w:rPr>
        <w:lastRenderedPageBreak/>
        <w:t>Division 2.9.4</w:t>
      </w:r>
      <w:r>
        <w:tab/>
      </w:r>
      <w:r w:rsidRPr="00C8328B">
        <w:rPr>
          <w:rStyle w:val="CharDivText"/>
        </w:rPr>
        <w:t>Injunctions and similar orders</w:t>
      </w:r>
      <w:bookmarkEnd w:id="314"/>
    </w:p>
    <w:p w14:paraId="47700933" w14:textId="77777777" w:rsidR="003D4FF5" w:rsidRPr="005A5F43" w:rsidRDefault="003D4FF5" w:rsidP="003D4FF5">
      <w:pPr>
        <w:keepNext/>
        <w:spacing w:before="80" w:after="60"/>
        <w:ind w:left="1100"/>
        <w:rPr>
          <w:rStyle w:val="charItals"/>
        </w:rPr>
      </w:pPr>
      <w:r w:rsidRPr="005A5F43">
        <w:rPr>
          <w:rStyle w:val="charItals"/>
        </w:rPr>
        <w:t>Note to div 2.9.4</w:t>
      </w:r>
    </w:p>
    <w:p w14:paraId="301DB91A" w14:textId="245B955D"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1" w:tooltip="A1930-21" w:history="1">
        <w:r w:rsidRPr="002220C8">
          <w:rPr>
            <w:rStyle w:val="charCitHyperlinkItal"/>
            <w:sz w:val="20"/>
          </w:rPr>
          <w:t>Magistrates Court Act 1930</w:t>
        </w:r>
      </w:hyperlink>
      <w:r>
        <w:rPr>
          <w:sz w:val="20"/>
        </w:rPr>
        <w:t>, s 257 (Personal actions at law—amount or value) and s 258 (Power of court to grant relief)).</w:t>
      </w:r>
    </w:p>
    <w:p w14:paraId="7F52F089" w14:textId="77777777" w:rsidR="003D4FF5" w:rsidRDefault="003D4FF5" w:rsidP="003D4FF5">
      <w:pPr>
        <w:pStyle w:val="AH4SubDiv"/>
      </w:pPr>
      <w:bookmarkStart w:id="315" w:name="_Toc185513932"/>
      <w:r>
        <w:t>Subdivision 2.9.4.1</w:t>
      </w:r>
      <w:r>
        <w:tab/>
        <w:t>Injunctions and similar orders—generally</w:t>
      </w:r>
      <w:bookmarkEnd w:id="315"/>
    </w:p>
    <w:p w14:paraId="2BE2ACA9" w14:textId="77777777" w:rsidR="003D4FF5" w:rsidRDefault="003D4FF5" w:rsidP="003D4FF5">
      <w:pPr>
        <w:pStyle w:val="AH5Sec"/>
      </w:pPr>
      <w:bookmarkStart w:id="316" w:name="_Toc185513933"/>
      <w:r w:rsidRPr="00C8328B">
        <w:rPr>
          <w:rStyle w:val="CharSectNo"/>
        </w:rPr>
        <w:t>725</w:t>
      </w:r>
      <w:r>
        <w:tab/>
        <w:t xml:space="preserve">Meaning of </w:t>
      </w:r>
      <w:r w:rsidRPr="005A5F43">
        <w:rPr>
          <w:rStyle w:val="charItals"/>
        </w:rPr>
        <w:t>division 2.9.4 order</w:t>
      </w:r>
      <w:bookmarkEnd w:id="316"/>
    </w:p>
    <w:p w14:paraId="320690A9" w14:textId="77777777" w:rsidR="003D4FF5" w:rsidRDefault="003D4FF5" w:rsidP="003D4FF5">
      <w:pPr>
        <w:pStyle w:val="Amainreturn"/>
        <w:keepNext/>
      </w:pPr>
      <w:r>
        <w:t>In these rules:</w:t>
      </w:r>
    </w:p>
    <w:p w14:paraId="40E85EE3" w14:textId="77777777" w:rsidR="003D4FF5" w:rsidRDefault="003D4FF5" w:rsidP="003D4FF5">
      <w:pPr>
        <w:pStyle w:val="Amainreturn"/>
      </w:pPr>
      <w:r w:rsidRPr="005A5F43">
        <w:rPr>
          <w:rStyle w:val="charBoldItals"/>
        </w:rPr>
        <w:t>division 2.9.4 order</w:t>
      </w:r>
      <w:r>
        <w:t xml:space="preserve"> means an injunction, freezing order or search order.</w:t>
      </w:r>
    </w:p>
    <w:p w14:paraId="2D8D0CD9" w14:textId="77777777" w:rsidR="003D4FF5" w:rsidRDefault="003D4FF5" w:rsidP="003D4FF5">
      <w:pPr>
        <w:pStyle w:val="AH5Sec"/>
      </w:pPr>
      <w:bookmarkStart w:id="317" w:name="_Toc185513934"/>
      <w:r w:rsidRPr="00C8328B">
        <w:rPr>
          <w:rStyle w:val="CharSectNo"/>
        </w:rPr>
        <w:t>726</w:t>
      </w:r>
      <w:r>
        <w:tab/>
        <w:t>Definitions—div 2.9.4</w:t>
      </w:r>
      <w:bookmarkEnd w:id="317"/>
    </w:p>
    <w:p w14:paraId="1732A744" w14:textId="77777777" w:rsidR="003D4FF5" w:rsidRDefault="003D4FF5" w:rsidP="003D4FF5">
      <w:pPr>
        <w:pStyle w:val="Amainreturn"/>
        <w:keepNext/>
      </w:pPr>
      <w:r>
        <w:t>In this division:</w:t>
      </w:r>
    </w:p>
    <w:p w14:paraId="0D47ABA8" w14:textId="77777777" w:rsidR="003D4FF5" w:rsidRDefault="003D4FF5" w:rsidP="003D4FF5">
      <w:pPr>
        <w:pStyle w:val="Amainreturn"/>
      </w:pPr>
      <w:r w:rsidRPr="005A5F43">
        <w:rPr>
          <w:rStyle w:val="charBoldItals"/>
        </w:rPr>
        <w:t>ancillary order</w:t>
      </w:r>
      <w:r>
        <w:t>—see rule 742.</w:t>
      </w:r>
    </w:p>
    <w:p w14:paraId="1190F83E" w14:textId="77777777" w:rsidR="003D4FF5" w:rsidRDefault="003D4FF5" w:rsidP="003D4FF5">
      <w:pPr>
        <w:pStyle w:val="aDef"/>
      </w:pPr>
      <w:r w:rsidRPr="005A5F43">
        <w:rPr>
          <w:rStyle w:val="charBoldItals"/>
        </w:rPr>
        <w:t>freezing order</w:t>
      </w:r>
      <w:r>
        <w:t>—see rule 741.</w:t>
      </w:r>
    </w:p>
    <w:p w14:paraId="01901C72" w14:textId="77777777" w:rsidR="003D4FF5" w:rsidRDefault="003D4FF5" w:rsidP="003D4FF5">
      <w:pPr>
        <w:pStyle w:val="aDef"/>
      </w:pPr>
      <w:r w:rsidRPr="005A5F43">
        <w:rPr>
          <w:rStyle w:val="charBoldItals"/>
        </w:rPr>
        <w:t>search order</w:t>
      </w:r>
      <w:r>
        <w:t>—see rule 751</w:t>
      </w:r>
      <w:r>
        <w:rPr>
          <w:lang w:val="en-US"/>
        </w:rPr>
        <w:t>.</w:t>
      </w:r>
    </w:p>
    <w:p w14:paraId="10A0048E" w14:textId="77777777" w:rsidR="003D4FF5" w:rsidRDefault="003D4FF5" w:rsidP="003D4FF5">
      <w:pPr>
        <w:pStyle w:val="AH5Sec"/>
      </w:pPr>
      <w:bookmarkStart w:id="318" w:name="_Toc185513935"/>
      <w:r w:rsidRPr="00C8328B">
        <w:rPr>
          <w:rStyle w:val="CharSectNo"/>
        </w:rPr>
        <w:t>727</w:t>
      </w:r>
      <w:r>
        <w:tab/>
      </w:r>
      <w:r>
        <w:rPr>
          <w:lang w:val="en-US"/>
        </w:rPr>
        <w:t xml:space="preserve">Division 2.9.4—other </w:t>
      </w:r>
      <w:r>
        <w:t>jurisdiction of court not affected</w:t>
      </w:r>
      <w:bookmarkEnd w:id="318"/>
    </w:p>
    <w:p w14:paraId="65DB6578" w14:textId="77777777"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14:paraId="2CD0A68B" w14:textId="77777777" w:rsidR="003D4FF5" w:rsidRDefault="003D4FF5" w:rsidP="003D4FF5">
      <w:pPr>
        <w:pStyle w:val="AH5Sec"/>
      </w:pPr>
      <w:bookmarkStart w:id="319" w:name="_Toc185513936"/>
      <w:r w:rsidRPr="00C8328B">
        <w:rPr>
          <w:rStyle w:val="CharSectNo"/>
        </w:rPr>
        <w:lastRenderedPageBreak/>
        <w:t>728</w:t>
      </w:r>
      <w:r>
        <w:tab/>
      </w:r>
      <w:r>
        <w:rPr>
          <w:lang w:val="en-US"/>
        </w:rPr>
        <w:t>Division 2.9.4 order</w:t>
      </w:r>
      <w:r>
        <w:t>—procedure</w:t>
      </w:r>
      <w:bookmarkEnd w:id="319"/>
    </w:p>
    <w:p w14:paraId="5B91DA8B" w14:textId="77777777"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14:paraId="0579DB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14:paraId="2EDC9DB6" w14:textId="77777777"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14:paraId="609B0DD5" w14:textId="77777777" w:rsidR="003D4FF5" w:rsidRDefault="003D4FF5" w:rsidP="003D4FF5">
      <w:pPr>
        <w:pStyle w:val="Amain"/>
        <w:keepNext/>
      </w:pPr>
      <w:r>
        <w:tab/>
        <w:t>(3)</w:t>
      </w:r>
      <w:r>
        <w:tab/>
        <w:t>For the Supreme Court, this rule applies whether the application is made—</w:t>
      </w:r>
    </w:p>
    <w:p w14:paraId="376E7F7E" w14:textId="77777777" w:rsidR="003D4FF5" w:rsidRDefault="003D4FF5" w:rsidP="003D4FF5">
      <w:pPr>
        <w:pStyle w:val="Apara"/>
      </w:pPr>
      <w:r>
        <w:tab/>
        <w:t>(a)</w:t>
      </w:r>
      <w:r>
        <w:tab/>
        <w:t>before a proceeding is started; or</w:t>
      </w:r>
    </w:p>
    <w:p w14:paraId="251DD9D2" w14:textId="77777777" w:rsidR="003D4FF5" w:rsidRDefault="003D4FF5" w:rsidP="003D4FF5">
      <w:pPr>
        <w:pStyle w:val="Apara"/>
      </w:pPr>
      <w:r>
        <w:tab/>
        <w:t>(b)</w:t>
      </w:r>
      <w:r>
        <w:tab/>
        <w:t>in a pending proceeding; or</w:t>
      </w:r>
    </w:p>
    <w:p w14:paraId="053A06FD" w14:textId="77777777" w:rsidR="003D4FF5" w:rsidRDefault="003D4FF5" w:rsidP="003D4FF5">
      <w:pPr>
        <w:pStyle w:val="Apara"/>
      </w:pPr>
      <w:r>
        <w:tab/>
        <w:t>(c)</w:t>
      </w:r>
      <w:r>
        <w:tab/>
        <w:t>after a proceeding has ended (including after judgment).</w:t>
      </w:r>
    </w:p>
    <w:p w14:paraId="1E2AC625" w14:textId="77777777" w:rsidR="003D4FF5" w:rsidRDefault="003D4FF5" w:rsidP="003D4FF5">
      <w:pPr>
        <w:pStyle w:val="AH5Sec"/>
      </w:pPr>
      <w:bookmarkStart w:id="320" w:name="_Toc185513937"/>
      <w:r w:rsidRPr="00C8328B">
        <w:rPr>
          <w:rStyle w:val="CharSectNo"/>
        </w:rPr>
        <w:t>729</w:t>
      </w:r>
      <w:r>
        <w:tab/>
        <w:t>Division 2.9.4 order without notice etc</w:t>
      </w:r>
      <w:bookmarkEnd w:id="320"/>
    </w:p>
    <w:p w14:paraId="6A002FB0" w14:textId="77777777"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14:paraId="24326043" w14:textId="77777777"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14:paraId="3BA39E57" w14:textId="77777777" w:rsidR="003D4FF5" w:rsidRDefault="003D4FF5" w:rsidP="003D4FF5">
      <w:pPr>
        <w:pStyle w:val="Apara"/>
      </w:pPr>
      <w:r>
        <w:tab/>
        <w:t>(a)</w:t>
      </w:r>
      <w:r>
        <w:tab/>
        <w:t>make the order for a limited period stated in the order; or</w:t>
      </w:r>
    </w:p>
    <w:p w14:paraId="0EFE4BB2" w14:textId="77777777" w:rsidR="003D4FF5" w:rsidRDefault="003D4FF5" w:rsidP="003D4FF5">
      <w:pPr>
        <w:pStyle w:val="Apara"/>
      </w:pPr>
      <w:r>
        <w:tab/>
        <w:t>(b)</w:t>
      </w:r>
      <w:r>
        <w:tab/>
        <w:t>make the order until the trial of the proceeding; or</w:t>
      </w:r>
    </w:p>
    <w:p w14:paraId="4CAAA835" w14:textId="77777777" w:rsidR="003D4FF5" w:rsidRDefault="003D4FF5" w:rsidP="003D4FF5">
      <w:pPr>
        <w:pStyle w:val="Apara"/>
      </w:pPr>
      <w:r>
        <w:tab/>
        <w:t>(c)</w:t>
      </w:r>
      <w:r>
        <w:tab/>
        <w:t>make an order for a limited time restraining a person from leaving Australia; or</w:t>
      </w:r>
    </w:p>
    <w:p w14:paraId="4A03CA1A" w14:textId="77777777" w:rsidR="003D4FF5" w:rsidRDefault="003D4FF5" w:rsidP="003D4FF5">
      <w:pPr>
        <w:pStyle w:val="Apara"/>
        <w:keepNext/>
      </w:pPr>
      <w:r>
        <w:lastRenderedPageBreak/>
        <w:tab/>
        <w:t>(d)</w:t>
      </w:r>
      <w:r>
        <w:tab/>
        <w:t>make another order, including, for example, an ancillary order.</w:t>
      </w:r>
    </w:p>
    <w:p w14:paraId="0E6D20EA" w14:textId="77777777"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14:paraId="0B945FD7" w14:textId="77777777"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14:paraId="562D82BC" w14:textId="77777777" w:rsidR="003D4FF5" w:rsidRDefault="003D4FF5" w:rsidP="003D4FF5">
      <w:pPr>
        <w:pStyle w:val="Amain"/>
        <w:keepNext/>
      </w:pPr>
      <w:r>
        <w:tab/>
        <w:t>(3)</w:t>
      </w:r>
      <w:r>
        <w:tab/>
        <w:t>Also, an application for an ancillary order may be made separately from the application for a freezing order.</w:t>
      </w:r>
    </w:p>
    <w:p w14:paraId="2AFD590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14:paraId="544CA573" w14:textId="77777777" w:rsidR="003D4FF5" w:rsidRDefault="003D4FF5" w:rsidP="003D4FF5">
      <w:pPr>
        <w:pStyle w:val="AH5Sec"/>
        <w:rPr>
          <w:lang w:val="en-US"/>
        </w:rPr>
      </w:pPr>
      <w:bookmarkStart w:id="321" w:name="_Toc185513938"/>
      <w:r w:rsidRPr="00C8328B">
        <w:rPr>
          <w:rStyle w:val="CharSectNo"/>
        </w:rPr>
        <w:t>730</w:t>
      </w:r>
      <w:r>
        <w:rPr>
          <w:lang w:val="en-US"/>
        </w:rPr>
        <w:tab/>
        <w:t>Division 2.9.4 order without trial</w:t>
      </w:r>
      <w:bookmarkEnd w:id="321"/>
    </w:p>
    <w:p w14:paraId="1B74130F" w14:textId="77777777"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14:paraId="4F0BD79A" w14:textId="77777777" w:rsidR="003D4FF5" w:rsidRDefault="003D4FF5" w:rsidP="003D4FF5">
      <w:pPr>
        <w:pStyle w:val="Amain"/>
        <w:rPr>
          <w:lang w:val="en-US"/>
        </w:rPr>
      </w:pPr>
      <w:r>
        <w:rPr>
          <w:lang w:val="en-US"/>
        </w:rPr>
        <w:tab/>
        <w:t>(2)</w:t>
      </w:r>
      <w:r>
        <w:rPr>
          <w:lang w:val="en-US"/>
        </w:rPr>
        <w:tab/>
        <w:t>The plaintiff may make the application at any time after—</w:t>
      </w:r>
    </w:p>
    <w:p w14:paraId="145B0EC8" w14:textId="77777777" w:rsidR="003D4FF5" w:rsidRDefault="003D4FF5" w:rsidP="003D4FF5">
      <w:pPr>
        <w:pStyle w:val="Apara"/>
        <w:rPr>
          <w:lang w:val="en-US"/>
        </w:rPr>
      </w:pPr>
      <w:r>
        <w:rPr>
          <w:lang w:val="en-US"/>
        </w:rPr>
        <w:tab/>
        <w:t>(a)</w:t>
      </w:r>
      <w:r>
        <w:rPr>
          <w:lang w:val="en-US"/>
        </w:rPr>
        <w:tab/>
        <w:t>the plaintiff is served with a notice of intention to respond or defence; or</w:t>
      </w:r>
    </w:p>
    <w:p w14:paraId="0452CE59" w14:textId="77777777"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14:paraId="77C2EEF1" w14:textId="77777777"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14:paraId="0C557FC0" w14:textId="77777777"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14:paraId="4712A751" w14:textId="77777777" w:rsidR="003D4FF5" w:rsidRDefault="003D4FF5" w:rsidP="003D4FF5">
      <w:pPr>
        <w:pStyle w:val="Apara"/>
        <w:rPr>
          <w:lang w:val="en-US"/>
        </w:rPr>
      </w:pPr>
      <w:r>
        <w:rPr>
          <w:lang w:val="en-US"/>
        </w:rPr>
        <w:tab/>
        <w:t>(b)</w:t>
      </w:r>
      <w:r>
        <w:rPr>
          <w:lang w:val="en-US"/>
        </w:rPr>
        <w:tab/>
        <w:t>make a division 2.9.4 order until the hearing or until a stated day;</w:t>
      </w:r>
    </w:p>
    <w:p w14:paraId="31A99B9A" w14:textId="77777777" w:rsidR="003D4FF5" w:rsidRDefault="003D4FF5" w:rsidP="003D4FF5">
      <w:pPr>
        <w:pStyle w:val="Apara"/>
        <w:rPr>
          <w:lang w:val="en-US"/>
        </w:rPr>
      </w:pPr>
      <w:r>
        <w:rPr>
          <w:lang w:val="en-US"/>
        </w:rPr>
        <w:tab/>
        <w:t>(c)</w:t>
      </w:r>
      <w:r>
        <w:rPr>
          <w:lang w:val="en-US"/>
        </w:rPr>
        <w:tab/>
        <w:t>order the parties to file and serve pleadings;</w:t>
      </w:r>
    </w:p>
    <w:p w14:paraId="52C3403B" w14:textId="77777777" w:rsidR="003D4FF5" w:rsidRDefault="003D4FF5" w:rsidP="003D4FF5">
      <w:pPr>
        <w:pStyle w:val="Apara"/>
        <w:rPr>
          <w:lang w:val="en-US"/>
        </w:rPr>
      </w:pPr>
      <w:r>
        <w:rPr>
          <w:lang w:val="en-US"/>
        </w:rPr>
        <w:tab/>
        <w:t>(d)</w:t>
      </w:r>
      <w:r>
        <w:rPr>
          <w:lang w:val="en-US"/>
        </w:rPr>
        <w:tab/>
        <w:t>direct a trial of the proceeding.</w:t>
      </w:r>
    </w:p>
    <w:p w14:paraId="2783F6BF" w14:textId="77777777" w:rsidR="003D4FF5" w:rsidRDefault="003D4FF5" w:rsidP="003D4FF5">
      <w:pPr>
        <w:pStyle w:val="AH5Sec"/>
        <w:rPr>
          <w:lang w:val="en-US"/>
        </w:rPr>
      </w:pPr>
      <w:bookmarkStart w:id="322" w:name="_Toc185513939"/>
      <w:r w:rsidRPr="00C8328B">
        <w:rPr>
          <w:rStyle w:val="CharSectNo"/>
        </w:rPr>
        <w:lastRenderedPageBreak/>
        <w:t>731</w:t>
      </w:r>
      <w:r>
        <w:rPr>
          <w:lang w:val="en-US"/>
        </w:rPr>
        <w:tab/>
        <w:t>Division 2.9.4 order—expedited trial</w:t>
      </w:r>
      <w:bookmarkEnd w:id="322"/>
    </w:p>
    <w:p w14:paraId="0C9DB2AA" w14:textId="77777777" w:rsidR="003D4FF5" w:rsidRDefault="003D4FF5" w:rsidP="003D4FF5">
      <w:pPr>
        <w:pStyle w:val="Amainreturn"/>
      </w:pPr>
      <w:r>
        <w:rPr>
          <w:lang w:val="en-US"/>
        </w:rPr>
        <w:t>On an application for a division 2.9.4 order, the court may order an expedited trial under rule 1311 (</w:t>
      </w:r>
      <w:r>
        <w:t>Expedited trial).</w:t>
      </w:r>
    </w:p>
    <w:p w14:paraId="18DBDCDB" w14:textId="77777777" w:rsidR="003D4FF5" w:rsidRDefault="003D4FF5" w:rsidP="003D4FF5">
      <w:pPr>
        <w:pStyle w:val="AH5Sec"/>
        <w:rPr>
          <w:lang w:val="en-US"/>
        </w:rPr>
      </w:pPr>
      <w:bookmarkStart w:id="323" w:name="_Toc185513940"/>
      <w:r w:rsidRPr="00C8328B">
        <w:rPr>
          <w:rStyle w:val="CharSectNo"/>
        </w:rPr>
        <w:t>732</w:t>
      </w:r>
      <w:r>
        <w:rPr>
          <w:lang w:val="en-US"/>
        </w:rPr>
        <w:tab/>
        <w:t>Division 2.9.4 order—damages and undertaking as to damages</w:t>
      </w:r>
      <w:bookmarkEnd w:id="323"/>
    </w:p>
    <w:p w14:paraId="45B480C5" w14:textId="77777777"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14:paraId="38BCDCC9" w14:textId="77777777"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14:paraId="406ECEFB" w14:textId="77777777"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14:paraId="7607435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0FAFE18A" w14:textId="77777777"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14:paraId="696C18C3" w14:textId="77777777" w:rsidR="003D4FF5" w:rsidRDefault="003D4FF5" w:rsidP="003D4FF5">
      <w:pPr>
        <w:pStyle w:val="AH5Sec"/>
        <w:rPr>
          <w:lang w:val="en-US"/>
        </w:rPr>
      </w:pPr>
      <w:bookmarkStart w:id="324" w:name="_Toc185513941"/>
      <w:r w:rsidRPr="00C8328B">
        <w:rPr>
          <w:rStyle w:val="CharSectNo"/>
        </w:rPr>
        <w:t>733</w:t>
      </w:r>
      <w:r>
        <w:rPr>
          <w:lang w:val="en-US"/>
        </w:rPr>
        <w:tab/>
        <w:t>Division 2.9.4 order—other undertakings and security to perform undertaking</w:t>
      </w:r>
      <w:bookmarkEnd w:id="324"/>
    </w:p>
    <w:p w14:paraId="72FEE26E" w14:textId="77777777"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14:paraId="37417DE3" w14:textId="77777777"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14:paraId="668744E7" w14:textId="77777777"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14:paraId="6E6B5125" w14:textId="77777777"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14:paraId="2614E29E" w14:textId="77777777" w:rsidR="003D4FF5" w:rsidRDefault="003D4FF5" w:rsidP="003D4FF5">
      <w:pPr>
        <w:pStyle w:val="AH4SubDiv"/>
      </w:pPr>
      <w:bookmarkStart w:id="325" w:name="_Toc185513942"/>
      <w:r>
        <w:t>Subdivision 2.9.4.2</w:t>
      </w:r>
      <w:r>
        <w:tab/>
        <w:t>Freezing orders</w:t>
      </w:r>
      <w:bookmarkEnd w:id="325"/>
    </w:p>
    <w:p w14:paraId="0A4689B7" w14:textId="77777777"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14:paraId="4F1DDB71" w14:textId="77777777" w:rsidR="003D4FF5" w:rsidRDefault="003D4FF5" w:rsidP="003D4FF5">
      <w:pPr>
        <w:pStyle w:val="AH5Sec"/>
      </w:pPr>
      <w:bookmarkStart w:id="326" w:name="_Toc185513943"/>
      <w:r w:rsidRPr="00C8328B">
        <w:rPr>
          <w:rStyle w:val="CharSectNo"/>
        </w:rPr>
        <w:t>740</w:t>
      </w:r>
      <w:r>
        <w:tab/>
        <w:t>Definitions—sdiv 2.9.4.2</w:t>
      </w:r>
      <w:bookmarkEnd w:id="326"/>
    </w:p>
    <w:p w14:paraId="47784D1A" w14:textId="77777777" w:rsidR="003D4FF5" w:rsidRDefault="003D4FF5" w:rsidP="003D4FF5">
      <w:pPr>
        <w:pStyle w:val="Amainreturn"/>
        <w:keepNext/>
      </w:pPr>
      <w:r>
        <w:t>In this subdivision:</w:t>
      </w:r>
    </w:p>
    <w:p w14:paraId="6D32AA1F" w14:textId="77777777" w:rsidR="003D4FF5" w:rsidRDefault="003D4FF5" w:rsidP="003D4FF5">
      <w:pPr>
        <w:pStyle w:val="Amainreturn"/>
      </w:pPr>
      <w:r w:rsidRPr="005A5F43">
        <w:rPr>
          <w:rStyle w:val="charBoldItals"/>
        </w:rPr>
        <w:t>another court</w:t>
      </w:r>
      <w:r>
        <w:t xml:space="preserve"> means a court outside Australia or a court in Australia other than the court.</w:t>
      </w:r>
    </w:p>
    <w:p w14:paraId="4BB552A2" w14:textId="77777777" w:rsidR="003D4FF5" w:rsidRDefault="003D4FF5" w:rsidP="003D4FF5">
      <w:pPr>
        <w:pStyle w:val="Amainreturn"/>
      </w:pPr>
      <w:r w:rsidRPr="005A5F43">
        <w:rPr>
          <w:rStyle w:val="charBoldItals"/>
        </w:rPr>
        <w:t>applicant</w:t>
      </w:r>
      <w:r>
        <w:t xml:space="preserve"> means a person who applies for a freezing order or ancillary order.</w:t>
      </w:r>
    </w:p>
    <w:p w14:paraId="062FF5EF" w14:textId="77777777" w:rsidR="003D4FF5" w:rsidRDefault="003D4FF5" w:rsidP="003D4FF5">
      <w:pPr>
        <w:pStyle w:val="Amainreturn"/>
      </w:pPr>
      <w:r w:rsidRPr="005A5F43">
        <w:rPr>
          <w:rStyle w:val="charBoldItals"/>
        </w:rPr>
        <w:t>respondent</w:t>
      </w:r>
      <w:r>
        <w:t xml:space="preserve"> means a person against whom a freezing order or ancillary order is sought or made.</w:t>
      </w:r>
    </w:p>
    <w:p w14:paraId="78FA8692" w14:textId="77777777" w:rsidR="003D4FF5" w:rsidRDefault="003D4FF5" w:rsidP="003D4FF5">
      <w:pPr>
        <w:pStyle w:val="AH5Sec"/>
      </w:pPr>
      <w:bookmarkStart w:id="327" w:name="_Toc185513944"/>
      <w:r w:rsidRPr="00C8328B">
        <w:rPr>
          <w:rStyle w:val="CharSectNo"/>
        </w:rPr>
        <w:t>741</w:t>
      </w:r>
      <w:r>
        <w:tab/>
        <w:t>Freezing orders—general</w:t>
      </w:r>
      <w:bookmarkEnd w:id="327"/>
    </w:p>
    <w:p w14:paraId="3E098A72" w14:textId="77777777"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14:paraId="0F11178D" w14:textId="77777777"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14:paraId="1DC1316D" w14:textId="77777777"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14:paraId="1791D4BA" w14:textId="77777777" w:rsidR="003D4FF5" w:rsidRDefault="003D4FF5" w:rsidP="003D4FF5">
      <w:pPr>
        <w:pStyle w:val="Amain"/>
      </w:pPr>
      <w:r>
        <w:tab/>
        <w:t>(4)</w:t>
      </w:r>
      <w:r>
        <w:tab/>
        <w:t>For the Supreme Court, a freezing order or ancillary order may be made whether or not the respondent is a party to an existing proceeding.</w:t>
      </w:r>
    </w:p>
    <w:p w14:paraId="509AAAE7" w14:textId="77777777" w:rsidR="003D4FF5" w:rsidRDefault="003D4FF5" w:rsidP="003D4FF5">
      <w:pPr>
        <w:pStyle w:val="Amain"/>
      </w:pPr>
      <w:r>
        <w:tab/>
        <w:t>(5)</w:t>
      </w:r>
      <w:r>
        <w:tab/>
        <w:t>For the Magistrates Court, a freezing order or ancillary order may be made in a proceeding whether or not the respondent is a party to the proceeding.</w:t>
      </w:r>
    </w:p>
    <w:p w14:paraId="589B36C2" w14:textId="77777777"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14:paraId="55909E52" w14:textId="77777777" w:rsidR="003D4FF5" w:rsidRDefault="003D4FF5" w:rsidP="003D4FF5">
      <w:pPr>
        <w:pStyle w:val="Apara"/>
      </w:pPr>
      <w:r>
        <w:tab/>
        <w:t>(a)</w:t>
      </w:r>
      <w:r>
        <w:tab/>
        <w:t>information about—</w:t>
      </w:r>
    </w:p>
    <w:p w14:paraId="28169492" w14:textId="77777777"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14:paraId="054E6448" w14:textId="77777777" w:rsidR="003D4FF5" w:rsidRDefault="003D4FF5" w:rsidP="003D4FF5">
      <w:pPr>
        <w:pStyle w:val="Asubpara"/>
        <w:keepNext/>
      </w:pPr>
      <w:r>
        <w:tab/>
        <w:t>(ii)</w:t>
      </w:r>
      <w:r>
        <w:tab/>
        <w:t>if no order mentioned in rule 743 (1) (a) has been obtained—the following information about the cause of action mentioned in rule 743 (1) (b) or (c):</w:t>
      </w:r>
    </w:p>
    <w:p w14:paraId="2B69DD53" w14:textId="77777777" w:rsidR="003D4FF5" w:rsidRDefault="003D4FF5" w:rsidP="003D4FF5">
      <w:pPr>
        <w:pStyle w:val="Asubsubpara"/>
        <w:rPr>
          <w:lang w:val="en-US"/>
        </w:rPr>
      </w:pPr>
      <w:r>
        <w:rPr>
          <w:lang w:val="en-US"/>
        </w:rPr>
        <w:tab/>
        <w:t>(A)</w:t>
      </w:r>
      <w:r>
        <w:rPr>
          <w:lang w:val="en-US"/>
        </w:rPr>
        <w:tab/>
        <w:t>the basis of the claim for principal relief;</w:t>
      </w:r>
    </w:p>
    <w:p w14:paraId="175C715A" w14:textId="77777777" w:rsidR="003D4FF5" w:rsidRDefault="003D4FF5" w:rsidP="003D4FF5">
      <w:pPr>
        <w:pStyle w:val="Asubsubpara"/>
        <w:rPr>
          <w:lang w:val="en-US"/>
        </w:rPr>
      </w:pPr>
      <w:r>
        <w:rPr>
          <w:lang w:val="en-US"/>
        </w:rPr>
        <w:tab/>
        <w:t>(B)</w:t>
      </w:r>
      <w:r>
        <w:rPr>
          <w:lang w:val="en-US"/>
        </w:rPr>
        <w:tab/>
        <w:t>the amount of the claim;</w:t>
      </w:r>
    </w:p>
    <w:p w14:paraId="50754603" w14:textId="77777777"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14:paraId="3E0BC365" w14:textId="77777777"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14:paraId="6453DF84" w14:textId="77777777" w:rsidR="003D4FF5" w:rsidRDefault="003D4FF5" w:rsidP="003D4FF5">
      <w:pPr>
        <w:pStyle w:val="Apara"/>
        <w:rPr>
          <w:lang w:val="en-US"/>
        </w:rPr>
      </w:pPr>
      <w:r>
        <w:rPr>
          <w:lang w:val="en-US"/>
        </w:rPr>
        <w:tab/>
        <w:t>(c)</w:t>
      </w:r>
      <w:r>
        <w:rPr>
          <w:lang w:val="en-US"/>
        </w:rPr>
        <w:tab/>
        <w:t>why the applicant believes—</w:t>
      </w:r>
    </w:p>
    <w:p w14:paraId="00B2C564" w14:textId="77777777" w:rsidR="003D4FF5" w:rsidRDefault="003D4FF5" w:rsidP="003D4FF5">
      <w:pPr>
        <w:pStyle w:val="Asubpara"/>
        <w:rPr>
          <w:lang w:val="en-US"/>
        </w:rPr>
      </w:pPr>
      <w:r>
        <w:rPr>
          <w:lang w:val="en-US"/>
        </w:rPr>
        <w:tab/>
        <w:t>(i)</w:t>
      </w:r>
      <w:r>
        <w:rPr>
          <w:lang w:val="en-US"/>
        </w:rPr>
        <w:tab/>
        <w:t>the respondent’s assets may be removed from Australia; or</w:t>
      </w:r>
    </w:p>
    <w:p w14:paraId="654B3929" w14:textId="77777777" w:rsidR="003D4FF5" w:rsidRDefault="003D4FF5" w:rsidP="003D4FF5">
      <w:pPr>
        <w:pStyle w:val="Asubpara"/>
        <w:rPr>
          <w:lang w:val="en-US"/>
        </w:rPr>
      </w:pPr>
      <w:r>
        <w:rPr>
          <w:lang w:val="en-US"/>
        </w:rPr>
        <w:tab/>
        <w:t>(ii)</w:t>
      </w:r>
      <w:r>
        <w:rPr>
          <w:lang w:val="en-US"/>
        </w:rPr>
        <w:tab/>
        <w:t>the dealing with the assets should be restrained by order;</w:t>
      </w:r>
    </w:p>
    <w:p w14:paraId="11DCBDB4" w14:textId="77777777"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14:paraId="5C665F3B" w14:textId="77777777"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14:paraId="5E604727" w14:textId="77777777" w:rsidR="003D4FF5" w:rsidRDefault="003D4FF5" w:rsidP="003D4FF5">
      <w:pPr>
        <w:pStyle w:val="Amain"/>
        <w:rPr>
          <w:lang w:val="en-US"/>
        </w:rPr>
      </w:pPr>
      <w:r>
        <w:rPr>
          <w:lang w:val="en-US"/>
        </w:rPr>
        <w:tab/>
        <w:t>(7)</w:t>
      </w:r>
      <w:r>
        <w:rPr>
          <w:lang w:val="en-US"/>
        </w:rPr>
        <w:tab/>
        <w:t>The court may amend or set aside a freezing order or ancillary order.</w:t>
      </w:r>
    </w:p>
    <w:p w14:paraId="2E969283" w14:textId="77777777" w:rsidR="003D4FF5" w:rsidRDefault="003D4FF5" w:rsidP="003D4FF5">
      <w:pPr>
        <w:pStyle w:val="AH5Sec"/>
        <w:rPr>
          <w:lang w:val="en-US"/>
        </w:rPr>
      </w:pPr>
      <w:bookmarkStart w:id="328" w:name="_Toc185513945"/>
      <w:r w:rsidRPr="00C8328B">
        <w:rPr>
          <w:rStyle w:val="CharSectNo"/>
        </w:rPr>
        <w:t>742</w:t>
      </w:r>
      <w:r>
        <w:rPr>
          <w:lang w:val="en-US"/>
        </w:rPr>
        <w:tab/>
        <w:t>Ancillary orders</w:t>
      </w:r>
      <w:bookmarkEnd w:id="328"/>
    </w:p>
    <w:p w14:paraId="617F8248" w14:textId="77777777"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14:paraId="73B5E410" w14:textId="77777777" w:rsidR="003D4FF5" w:rsidRDefault="003D4FF5" w:rsidP="003D4FF5">
      <w:pPr>
        <w:pStyle w:val="Amain"/>
        <w:keepNext/>
      </w:pPr>
      <w:r>
        <w:tab/>
        <w:t>(2)</w:t>
      </w:r>
      <w:r>
        <w:tab/>
        <w:t>Without limiting subrule (1), an ancillary order may be made for either or both of the following purposes:</w:t>
      </w:r>
    </w:p>
    <w:p w14:paraId="23FB26D6" w14:textId="77777777" w:rsidR="003D4FF5" w:rsidRDefault="003D4FF5" w:rsidP="003D4FF5">
      <w:pPr>
        <w:pStyle w:val="Apara"/>
      </w:pPr>
      <w:r>
        <w:tab/>
        <w:t>(a)</w:t>
      </w:r>
      <w:r>
        <w:tab/>
        <w:t>finding out information about assets relevant to the freezing order or prospective freezing order;</w:t>
      </w:r>
    </w:p>
    <w:p w14:paraId="750D9E4E" w14:textId="77777777" w:rsidR="003D4FF5" w:rsidRDefault="003D4FF5" w:rsidP="003D4FF5">
      <w:pPr>
        <w:pStyle w:val="Apara"/>
      </w:pPr>
      <w:r>
        <w:tab/>
        <w:t>(b)</w:t>
      </w:r>
      <w:r>
        <w:tab/>
        <w:t>deciding whether the freezing order should be made.</w:t>
      </w:r>
    </w:p>
    <w:p w14:paraId="267F09E1" w14:textId="77777777" w:rsidR="003D4FF5" w:rsidRDefault="003D4FF5" w:rsidP="003D4FF5">
      <w:pPr>
        <w:pStyle w:val="Amain"/>
      </w:pPr>
      <w:r>
        <w:tab/>
        <w:t>(3)</w:t>
      </w:r>
      <w:r>
        <w:tab/>
        <w:t>On an application mentioned in rule 729 (3) (Division 2.9.4 order without notice etc), the court may make an ancillary order if it considers it appropriate.</w:t>
      </w:r>
    </w:p>
    <w:p w14:paraId="72AAB3CF" w14:textId="77777777" w:rsidR="003D4FF5" w:rsidRDefault="003D4FF5" w:rsidP="003D4FF5">
      <w:pPr>
        <w:pStyle w:val="AH5Sec"/>
        <w:rPr>
          <w:lang w:val="en-US"/>
        </w:rPr>
      </w:pPr>
      <w:bookmarkStart w:id="329" w:name="_Toc185513946"/>
      <w:r w:rsidRPr="00C8328B">
        <w:rPr>
          <w:rStyle w:val="CharSectNo"/>
        </w:rPr>
        <w:t>743</w:t>
      </w:r>
      <w:r>
        <w:rPr>
          <w:lang w:val="en-US"/>
        </w:rPr>
        <w:tab/>
        <w:t>Freezing orders—order against enforcement debtor or prospective enforcement debtor or third party</w:t>
      </w:r>
      <w:bookmarkEnd w:id="329"/>
    </w:p>
    <w:p w14:paraId="19C0F973" w14:textId="77777777" w:rsidR="003D4FF5" w:rsidRDefault="003D4FF5" w:rsidP="003D4FF5">
      <w:pPr>
        <w:pStyle w:val="Amain"/>
      </w:pPr>
      <w:r>
        <w:tab/>
        <w:t>(1)</w:t>
      </w:r>
      <w:r>
        <w:tab/>
        <w:t>This rule applies if—</w:t>
      </w:r>
    </w:p>
    <w:p w14:paraId="1B2E5DF6" w14:textId="77777777" w:rsidR="003D4FF5" w:rsidRDefault="003D4FF5" w:rsidP="003D4FF5">
      <w:pPr>
        <w:pStyle w:val="Apara"/>
      </w:pPr>
      <w:r>
        <w:tab/>
        <w:t>(a)</w:t>
      </w:r>
      <w:r>
        <w:tab/>
        <w:t>an order has been given in favour of an applicant by—</w:t>
      </w:r>
    </w:p>
    <w:p w14:paraId="5CD76E26" w14:textId="77777777" w:rsidR="003D4FF5" w:rsidRDefault="003D4FF5" w:rsidP="003D4FF5">
      <w:pPr>
        <w:pStyle w:val="Asubpara"/>
      </w:pPr>
      <w:r>
        <w:tab/>
        <w:t>(i)</w:t>
      </w:r>
      <w:r>
        <w:tab/>
        <w:t>the court; or</w:t>
      </w:r>
    </w:p>
    <w:p w14:paraId="4FA98218" w14:textId="77777777" w:rsidR="003D4FF5" w:rsidRDefault="003D4FF5" w:rsidP="003D4FF5">
      <w:pPr>
        <w:pStyle w:val="Asubpara"/>
        <w:keepNext/>
      </w:pPr>
      <w:r>
        <w:tab/>
        <w:t>(ii)</w:t>
      </w:r>
      <w:r>
        <w:tab/>
        <w:t>for an order to which subrule (2) applies—another court; or</w:t>
      </w:r>
    </w:p>
    <w:p w14:paraId="34F0A7D7"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F63A3C6" w14:textId="77777777"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14:paraId="7C8E8D09" w14:textId="77777777" w:rsidR="003D4FF5" w:rsidRDefault="003D4FF5" w:rsidP="003D4FF5">
      <w:pPr>
        <w:pStyle w:val="Asubpara"/>
      </w:pPr>
      <w:r>
        <w:tab/>
        <w:t>(i)</w:t>
      </w:r>
      <w:r>
        <w:tab/>
        <w:t>the court; or</w:t>
      </w:r>
    </w:p>
    <w:p w14:paraId="03C5959F" w14:textId="77777777" w:rsidR="003D4FF5" w:rsidRDefault="003D4FF5" w:rsidP="003D4FF5">
      <w:pPr>
        <w:pStyle w:val="Asubpara"/>
      </w:pPr>
      <w:r>
        <w:tab/>
        <w:t>(ii)</w:t>
      </w:r>
      <w:r>
        <w:tab/>
        <w:t>for a cause of action to which subrule (3) applies—another court; or</w:t>
      </w:r>
    </w:p>
    <w:p w14:paraId="4E09B846" w14:textId="77777777"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14:paraId="65EF2227" w14:textId="77777777" w:rsidR="003D4FF5" w:rsidRDefault="003D4FF5" w:rsidP="003D4FF5">
      <w:pPr>
        <w:pStyle w:val="Asubpara"/>
      </w:pPr>
      <w:r>
        <w:tab/>
        <w:t>(i)</w:t>
      </w:r>
      <w:r>
        <w:tab/>
        <w:t>the court; or</w:t>
      </w:r>
    </w:p>
    <w:p w14:paraId="21FE325F" w14:textId="77777777" w:rsidR="003D4FF5" w:rsidRDefault="003D4FF5" w:rsidP="003D4FF5">
      <w:pPr>
        <w:pStyle w:val="Asubpara"/>
      </w:pPr>
      <w:r>
        <w:tab/>
        <w:t>(ii)</w:t>
      </w:r>
      <w:r>
        <w:tab/>
        <w:t>for a cause of action to which subrule (3) applies—another court.</w:t>
      </w:r>
    </w:p>
    <w:p w14:paraId="2FDF382F" w14:textId="77777777" w:rsidR="003D4FF5" w:rsidRDefault="003D4FF5" w:rsidP="003D4FF5">
      <w:pPr>
        <w:pStyle w:val="Amain"/>
      </w:pPr>
      <w:r>
        <w:tab/>
        <w:t>(2)</w:t>
      </w:r>
      <w:r>
        <w:tab/>
        <w:t>This subrule applies to an order if there is a sufficient prospect that the order will be registered in or enforced by the court.</w:t>
      </w:r>
    </w:p>
    <w:p w14:paraId="217B3C77" w14:textId="77777777" w:rsidR="003D4FF5" w:rsidRDefault="003D4FF5" w:rsidP="003D4FF5">
      <w:pPr>
        <w:pStyle w:val="Amain"/>
        <w:keepNext/>
      </w:pPr>
      <w:r>
        <w:tab/>
        <w:t>(3)</w:t>
      </w:r>
      <w:r>
        <w:tab/>
        <w:t>This subrule applies to a cause of action if there is a sufficient prospect that—</w:t>
      </w:r>
    </w:p>
    <w:p w14:paraId="0FCB6F75" w14:textId="77777777" w:rsidR="003D4FF5" w:rsidRDefault="003D4FF5" w:rsidP="003D4FF5">
      <w:pPr>
        <w:pStyle w:val="Apara"/>
      </w:pPr>
      <w:r>
        <w:tab/>
        <w:t>(a)</w:t>
      </w:r>
      <w:r>
        <w:tab/>
        <w:t>the other court will make an order in favour of the applicant; and</w:t>
      </w:r>
    </w:p>
    <w:p w14:paraId="0A7FA743" w14:textId="77777777" w:rsidR="003D4FF5" w:rsidRDefault="003D4FF5" w:rsidP="003D4FF5">
      <w:pPr>
        <w:pStyle w:val="Apara"/>
      </w:pPr>
      <w:r>
        <w:tab/>
        <w:t>(b)</w:t>
      </w:r>
      <w:r>
        <w:tab/>
        <w:t>the order will be registered in or enforced by the court.</w:t>
      </w:r>
    </w:p>
    <w:p w14:paraId="5E405AF4" w14:textId="77777777"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14:paraId="65EE2385" w14:textId="77777777" w:rsidR="003D4FF5" w:rsidRDefault="003D4FF5" w:rsidP="003D4FF5">
      <w:pPr>
        <w:pStyle w:val="Apara"/>
      </w:pPr>
      <w:r>
        <w:tab/>
        <w:t>(a)</w:t>
      </w:r>
      <w:r>
        <w:tab/>
        <w:t>the enforcement debtor, prospective enforcement debtor or someone else absconds;</w:t>
      </w:r>
    </w:p>
    <w:p w14:paraId="7BD5A032" w14:textId="77777777" w:rsidR="003D4FF5" w:rsidRDefault="003D4FF5" w:rsidP="003D4FF5">
      <w:pPr>
        <w:pStyle w:val="Apara"/>
      </w:pPr>
      <w:r>
        <w:tab/>
        <w:t>(b)</w:t>
      </w:r>
      <w:r>
        <w:tab/>
        <w:t>the assets of the enforcement debtor, prospective enforcement debtor or someone else are—</w:t>
      </w:r>
    </w:p>
    <w:p w14:paraId="4D6F9A2B" w14:textId="77777777" w:rsidR="003D4FF5" w:rsidRDefault="003D4FF5" w:rsidP="003D4FF5">
      <w:pPr>
        <w:pStyle w:val="Asubpara"/>
      </w:pPr>
      <w:r>
        <w:tab/>
        <w:t>(i)</w:t>
      </w:r>
      <w:r>
        <w:tab/>
        <w:t>removed from Australia or from somewhere in or outside Australia; or</w:t>
      </w:r>
    </w:p>
    <w:p w14:paraId="4D7A5523" w14:textId="77777777" w:rsidR="003D4FF5" w:rsidRDefault="003D4FF5" w:rsidP="003D4FF5">
      <w:pPr>
        <w:pStyle w:val="Asubpara"/>
      </w:pPr>
      <w:r>
        <w:lastRenderedPageBreak/>
        <w:tab/>
        <w:t>(ii)</w:t>
      </w:r>
      <w:r>
        <w:tab/>
        <w:t>disposed of, dealt with or diminished in value.</w:t>
      </w:r>
    </w:p>
    <w:p w14:paraId="692100AB" w14:textId="77777777"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14:paraId="3223A1F9" w14:textId="77777777" w:rsidR="003D4FF5" w:rsidRDefault="003D4FF5" w:rsidP="003D4FF5">
      <w:pPr>
        <w:pStyle w:val="Apara"/>
      </w:pPr>
      <w:r>
        <w:tab/>
        <w:t>(a)</w:t>
      </w:r>
      <w:r>
        <w:tab/>
        <w:t>there is a danger that an order or prospective order will be completely or partly unsatisfied because—</w:t>
      </w:r>
    </w:p>
    <w:p w14:paraId="1C099EFB" w14:textId="77777777"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14:paraId="3824CEA3" w14:textId="77777777"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14:paraId="771819AE" w14:textId="77777777"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14:paraId="729E1993" w14:textId="77777777" w:rsidR="003D4FF5" w:rsidRDefault="003D4FF5" w:rsidP="003D4FF5">
      <w:pPr>
        <w:pStyle w:val="Amain"/>
      </w:pPr>
      <w:r>
        <w:tab/>
        <w:t>(6)</w:t>
      </w:r>
      <w:r>
        <w:tab/>
        <w:t>This rule does not affect the court’s power to make a freezing order or ancillary order if the court considers it is in the interests of justice to do so.</w:t>
      </w:r>
    </w:p>
    <w:p w14:paraId="364815DD" w14:textId="77777777" w:rsidR="003D4FF5" w:rsidRDefault="003D4FF5" w:rsidP="003D4FF5">
      <w:pPr>
        <w:pStyle w:val="AH5Sec"/>
        <w:rPr>
          <w:lang w:val="en-US"/>
        </w:rPr>
      </w:pPr>
      <w:bookmarkStart w:id="330" w:name="_Toc185513947"/>
      <w:r w:rsidRPr="00C8328B">
        <w:rPr>
          <w:rStyle w:val="CharSectNo"/>
        </w:rPr>
        <w:t>745</w:t>
      </w:r>
      <w:r>
        <w:rPr>
          <w:lang w:val="en-US"/>
        </w:rPr>
        <w:tab/>
        <w:t>Freezing orders—costs</w:t>
      </w:r>
      <w:bookmarkEnd w:id="330"/>
    </w:p>
    <w:p w14:paraId="067B83B3" w14:textId="77777777" w:rsidR="003D4FF5" w:rsidRDefault="003D4FF5" w:rsidP="003D4FF5">
      <w:pPr>
        <w:pStyle w:val="Amain"/>
      </w:pPr>
      <w:r>
        <w:tab/>
        <w:t>(1)</w:t>
      </w:r>
      <w:r>
        <w:tab/>
        <w:t>The court may make any order about costs that it considers appropriate in relation to a freezing order or ancillary order.</w:t>
      </w:r>
    </w:p>
    <w:p w14:paraId="4B781749" w14:textId="77777777"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14:paraId="59221A45" w14:textId="77777777" w:rsidR="003D4FF5" w:rsidRDefault="003D4FF5" w:rsidP="003D4FF5">
      <w:pPr>
        <w:pStyle w:val="AH4SubDiv"/>
        <w:rPr>
          <w:lang w:val="en-US"/>
        </w:rPr>
      </w:pPr>
      <w:bookmarkStart w:id="331" w:name="_Toc185513948"/>
      <w:r>
        <w:rPr>
          <w:lang w:val="en-US"/>
        </w:rPr>
        <w:lastRenderedPageBreak/>
        <w:t>Subdivision 2.9.4.3</w:t>
      </w:r>
      <w:r>
        <w:rPr>
          <w:lang w:val="en-US"/>
        </w:rPr>
        <w:tab/>
        <w:t>Search orders</w:t>
      </w:r>
      <w:bookmarkEnd w:id="331"/>
    </w:p>
    <w:p w14:paraId="0C569F3D" w14:textId="77777777" w:rsidR="003D4FF5" w:rsidRDefault="003D4FF5" w:rsidP="003D4FF5">
      <w:pPr>
        <w:pStyle w:val="AH5Sec"/>
        <w:rPr>
          <w:lang w:val="en-US"/>
        </w:rPr>
      </w:pPr>
      <w:bookmarkStart w:id="332" w:name="_Toc185513949"/>
      <w:r w:rsidRPr="00C8328B">
        <w:rPr>
          <w:rStyle w:val="CharSectNo"/>
        </w:rPr>
        <w:t>750</w:t>
      </w:r>
      <w:r>
        <w:rPr>
          <w:lang w:val="en-US"/>
        </w:rPr>
        <w:tab/>
        <w:t>Definitions—sdiv 2.9.4.3</w:t>
      </w:r>
      <w:bookmarkEnd w:id="332"/>
    </w:p>
    <w:p w14:paraId="7227964A" w14:textId="77777777" w:rsidR="003D4FF5" w:rsidRDefault="003D4FF5" w:rsidP="003D4FF5">
      <w:pPr>
        <w:pStyle w:val="Amainreturn"/>
        <w:keepNext/>
        <w:rPr>
          <w:lang w:val="en-US"/>
        </w:rPr>
      </w:pPr>
      <w:r>
        <w:rPr>
          <w:lang w:val="en-US"/>
        </w:rPr>
        <w:t>In this subdivision:</w:t>
      </w:r>
    </w:p>
    <w:p w14:paraId="73BD7862" w14:textId="77777777" w:rsidR="003D4FF5" w:rsidRDefault="003D4FF5" w:rsidP="003D4FF5">
      <w:pPr>
        <w:pStyle w:val="Amainreturn"/>
        <w:keepNext/>
      </w:pPr>
      <w:r w:rsidRPr="005A5F43">
        <w:rPr>
          <w:rStyle w:val="charBoldItals"/>
        </w:rPr>
        <w:t>applicant</w:t>
      </w:r>
      <w:r>
        <w:t xml:space="preserve"> means a person who applies for a search order.</w:t>
      </w:r>
    </w:p>
    <w:p w14:paraId="46C05032" w14:textId="77777777" w:rsidR="003D4FF5" w:rsidRDefault="003D4FF5" w:rsidP="003D4FF5">
      <w:pPr>
        <w:pStyle w:val="Amainreturn"/>
      </w:pPr>
      <w:r w:rsidRPr="005A5F43">
        <w:rPr>
          <w:rStyle w:val="charBoldItals"/>
        </w:rPr>
        <w:t>described</w:t>
      </w:r>
      <w:r>
        <w:t xml:space="preserve"> includes described generally whether by reference to a class or otherwise.</w:t>
      </w:r>
    </w:p>
    <w:p w14:paraId="5AD16D19" w14:textId="77777777" w:rsidR="003D4FF5" w:rsidRDefault="003D4FF5" w:rsidP="003D4FF5">
      <w:pPr>
        <w:pStyle w:val="aDef"/>
      </w:pPr>
      <w:r w:rsidRPr="005A5F43">
        <w:rPr>
          <w:rStyle w:val="charBoldItals"/>
        </w:rPr>
        <w:t>premises</w:t>
      </w:r>
      <w:r>
        <w:t xml:space="preserve"> includes a vehicle or vessel of any kind.</w:t>
      </w:r>
    </w:p>
    <w:p w14:paraId="2F53373E" w14:textId="77777777" w:rsidR="003D4FF5" w:rsidRDefault="003D4FF5" w:rsidP="003D4FF5">
      <w:pPr>
        <w:pStyle w:val="Amainreturn"/>
      </w:pPr>
      <w:r w:rsidRPr="005A5F43">
        <w:rPr>
          <w:rStyle w:val="charBoldItals"/>
        </w:rPr>
        <w:t>respondent</w:t>
      </w:r>
      <w:r>
        <w:t xml:space="preserve"> means a person against whom a search order is sought or made.</w:t>
      </w:r>
    </w:p>
    <w:p w14:paraId="267B133A" w14:textId="77777777" w:rsidR="003D4FF5" w:rsidRDefault="003D4FF5" w:rsidP="003D4FF5">
      <w:pPr>
        <w:pStyle w:val="AH5Sec"/>
        <w:rPr>
          <w:lang w:val="en-US"/>
        </w:rPr>
      </w:pPr>
      <w:bookmarkStart w:id="333" w:name="_Toc185513950"/>
      <w:r w:rsidRPr="00C8328B">
        <w:rPr>
          <w:rStyle w:val="CharSectNo"/>
        </w:rPr>
        <w:t>751</w:t>
      </w:r>
      <w:r>
        <w:rPr>
          <w:lang w:val="en-US"/>
        </w:rPr>
        <w:tab/>
        <w:t>Search orders—general</w:t>
      </w:r>
      <w:bookmarkEnd w:id="333"/>
    </w:p>
    <w:p w14:paraId="5A9D5968" w14:textId="77777777"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14:paraId="617BD39B" w14:textId="77777777"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14:paraId="6671BF91" w14:textId="77777777"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14:paraId="34CF0AD9" w14:textId="77777777"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14:paraId="05DFF343" w14:textId="77777777"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14:paraId="7B840F4D" w14:textId="77777777"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14:paraId="144C057F" w14:textId="77777777"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14:paraId="437B8AD0" w14:textId="77777777"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14:paraId="758937CF" w14:textId="77777777"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14:paraId="2C2EEFC5" w14:textId="77777777"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14:paraId="1FB11DE1" w14:textId="77777777" w:rsidR="003D4FF5" w:rsidRDefault="003D4FF5" w:rsidP="003D4FF5">
      <w:pPr>
        <w:pStyle w:val="Asubpara"/>
        <w:rPr>
          <w:lang w:val="en-US"/>
        </w:rPr>
      </w:pPr>
      <w:r>
        <w:rPr>
          <w:lang w:val="en-US"/>
        </w:rPr>
        <w:tab/>
        <w:t>(i)</w:t>
      </w:r>
      <w:r>
        <w:rPr>
          <w:lang w:val="en-US"/>
        </w:rPr>
        <w:tab/>
        <w:t>the basis of the claim for principal relief; and</w:t>
      </w:r>
    </w:p>
    <w:p w14:paraId="68D3F4E3"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2666927E" w14:textId="77777777"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14:paraId="480EA013" w14:textId="77777777" w:rsidR="003D4FF5" w:rsidRDefault="003D4FF5" w:rsidP="003D4FF5">
      <w:pPr>
        <w:pStyle w:val="Asubpara"/>
        <w:rPr>
          <w:lang w:val="en-US"/>
        </w:rPr>
      </w:pPr>
      <w:r>
        <w:rPr>
          <w:lang w:val="en-US"/>
        </w:rPr>
        <w:tab/>
        <w:t>(i)</w:t>
      </w:r>
      <w:r>
        <w:rPr>
          <w:lang w:val="en-US"/>
        </w:rPr>
        <w:tab/>
        <w:t>the basis of the claim for principal relief</w:t>
      </w:r>
      <w:r>
        <w:t>; and</w:t>
      </w:r>
    </w:p>
    <w:p w14:paraId="741FCA7F"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02A862ED" w14:textId="77777777" w:rsidR="003D4FF5" w:rsidRDefault="003D4FF5" w:rsidP="003D4FF5">
      <w:pPr>
        <w:pStyle w:val="Amain"/>
        <w:rPr>
          <w:lang w:val="en-US"/>
        </w:rPr>
      </w:pPr>
      <w:r>
        <w:rPr>
          <w:lang w:val="en-US"/>
        </w:rPr>
        <w:tab/>
        <w:t>(4)</w:t>
      </w:r>
      <w:r>
        <w:rPr>
          <w:lang w:val="en-US"/>
        </w:rPr>
        <w:tab/>
        <w:t>The court may amend or set aside the search order.</w:t>
      </w:r>
    </w:p>
    <w:p w14:paraId="10E7CA15" w14:textId="77777777" w:rsidR="003D4FF5" w:rsidRDefault="003D4FF5" w:rsidP="003D4FF5">
      <w:pPr>
        <w:pStyle w:val="AH5Sec"/>
        <w:rPr>
          <w:lang w:val="en-US"/>
        </w:rPr>
      </w:pPr>
      <w:bookmarkStart w:id="334" w:name="_Toc185513951"/>
      <w:r w:rsidRPr="00C8328B">
        <w:rPr>
          <w:rStyle w:val="CharSectNo"/>
        </w:rPr>
        <w:lastRenderedPageBreak/>
        <w:t>752</w:t>
      </w:r>
      <w:r>
        <w:rPr>
          <w:lang w:val="en-US"/>
        </w:rPr>
        <w:tab/>
        <w:t>Search orders—requirements for making order</w:t>
      </w:r>
      <w:bookmarkEnd w:id="334"/>
    </w:p>
    <w:p w14:paraId="27405303" w14:textId="77777777" w:rsidR="003D4FF5" w:rsidRDefault="003D4FF5" w:rsidP="003D4FF5">
      <w:pPr>
        <w:pStyle w:val="Amain"/>
        <w:keepNext/>
        <w:rPr>
          <w:lang w:val="en-US"/>
        </w:rPr>
      </w:pPr>
      <w:r>
        <w:rPr>
          <w:lang w:val="en-US"/>
        </w:rPr>
        <w:tab/>
        <w:t>(1)</w:t>
      </w:r>
      <w:r>
        <w:rPr>
          <w:lang w:val="en-US"/>
        </w:rPr>
        <w:tab/>
        <w:t>The Supreme Court may make a search order if satisfied that—</w:t>
      </w:r>
    </w:p>
    <w:p w14:paraId="69BD5A3A"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14:paraId="203B4F7E"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1E65683F"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335CF9B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10E42671"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14:paraId="1BA36B6F" w14:textId="77777777"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14:paraId="675D4582"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14:paraId="0040714F"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43479873"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2CB048D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01E68EBD"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14:paraId="04FE9219" w14:textId="77777777" w:rsidR="003D4FF5" w:rsidRDefault="003D4FF5" w:rsidP="003D4FF5">
      <w:pPr>
        <w:pStyle w:val="AH5Sec"/>
        <w:rPr>
          <w:lang w:val="en-US"/>
        </w:rPr>
      </w:pPr>
      <w:bookmarkStart w:id="335" w:name="_Toc185513952"/>
      <w:r w:rsidRPr="00C8328B">
        <w:rPr>
          <w:rStyle w:val="CharSectNo"/>
        </w:rPr>
        <w:lastRenderedPageBreak/>
        <w:t>753</w:t>
      </w:r>
      <w:r>
        <w:rPr>
          <w:lang w:val="en-US"/>
        </w:rPr>
        <w:tab/>
        <w:t>Search orders—terms of order</w:t>
      </w:r>
      <w:bookmarkEnd w:id="335"/>
    </w:p>
    <w:p w14:paraId="35378DB8" w14:textId="77777777" w:rsidR="003D4FF5" w:rsidRDefault="003D4FF5" w:rsidP="00D8227A">
      <w:pPr>
        <w:pStyle w:val="Amain"/>
        <w:keepNext/>
        <w:rPr>
          <w:lang w:val="en-US"/>
        </w:rPr>
      </w:pPr>
      <w:r>
        <w:rPr>
          <w:lang w:val="en-US"/>
        </w:rPr>
        <w:tab/>
        <w:t>(1)</w:t>
      </w:r>
      <w:r>
        <w:rPr>
          <w:lang w:val="en-US"/>
        </w:rPr>
        <w:tab/>
        <w:t>A search order may direct everyone who is named or described in the order—</w:t>
      </w:r>
    </w:p>
    <w:p w14:paraId="2F44A500" w14:textId="77777777" w:rsidR="003D4FF5" w:rsidRDefault="003D4FF5" w:rsidP="003D4FF5">
      <w:pPr>
        <w:pStyle w:val="Apara"/>
        <w:rPr>
          <w:lang w:val="en-US"/>
        </w:rPr>
      </w:pPr>
      <w:r>
        <w:rPr>
          <w:lang w:val="en-US"/>
        </w:rPr>
        <w:tab/>
        <w:t>(a)</w:t>
      </w:r>
      <w:r>
        <w:rPr>
          <w:lang w:val="en-US"/>
        </w:rPr>
        <w:tab/>
        <w:t>to allow, or arrange to allow, the other people named or described in the order—</w:t>
      </w:r>
    </w:p>
    <w:p w14:paraId="777AC16F" w14:textId="77777777" w:rsidR="003D4FF5" w:rsidRDefault="003D4FF5" w:rsidP="003D4FF5">
      <w:pPr>
        <w:pStyle w:val="Asubpara"/>
        <w:rPr>
          <w:lang w:val="en-US"/>
        </w:rPr>
      </w:pPr>
      <w:r>
        <w:rPr>
          <w:lang w:val="en-US"/>
        </w:rPr>
        <w:tab/>
        <w:t>(i)</w:t>
      </w:r>
      <w:r>
        <w:rPr>
          <w:lang w:val="en-US"/>
        </w:rPr>
        <w:tab/>
        <w:t>to enter premises stated in the order; and</w:t>
      </w:r>
    </w:p>
    <w:p w14:paraId="3B5BAC02" w14:textId="77777777" w:rsidR="003D4FF5" w:rsidRDefault="003D4FF5" w:rsidP="003D4FF5">
      <w:pPr>
        <w:pStyle w:val="Asubpara"/>
        <w:rPr>
          <w:lang w:val="en-US"/>
        </w:rPr>
      </w:pPr>
      <w:r>
        <w:rPr>
          <w:lang w:val="en-US"/>
        </w:rPr>
        <w:tab/>
        <w:t>(ii)</w:t>
      </w:r>
      <w:r>
        <w:rPr>
          <w:lang w:val="en-US"/>
        </w:rPr>
        <w:tab/>
        <w:t>to take any steps that are in accordance with the terms of the order; and</w:t>
      </w:r>
    </w:p>
    <w:p w14:paraId="46E2A184" w14:textId="77777777"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14:paraId="7F5B2828" w14:textId="77777777"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14:paraId="67207340" w14:textId="77777777"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14:paraId="62F24DAB" w14:textId="77777777" w:rsidR="003D4FF5" w:rsidRDefault="003D4FF5" w:rsidP="003D4FF5">
      <w:pPr>
        <w:pStyle w:val="Apara"/>
        <w:rPr>
          <w:lang w:val="en-US"/>
        </w:rPr>
      </w:pPr>
      <w:r>
        <w:rPr>
          <w:lang w:val="en-US"/>
        </w:rPr>
        <w:tab/>
        <w:t>(e)</w:t>
      </w:r>
      <w:r>
        <w:rPr>
          <w:lang w:val="en-US"/>
        </w:rPr>
        <w:tab/>
        <w:t>to do or not to do any act as the court considers appropriate.</w:t>
      </w:r>
    </w:p>
    <w:p w14:paraId="049A76C9" w14:textId="77777777"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14:paraId="34CBB272" w14:textId="77777777" w:rsidR="003D4FF5" w:rsidRDefault="003D4FF5" w:rsidP="003D4FF5">
      <w:pPr>
        <w:pStyle w:val="Apara"/>
        <w:rPr>
          <w:lang w:val="en-US"/>
        </w:rPr>
      </w:pPr>
      <w:r>
        <w:rPr>
          <w:lang w:val="en-US"/>
        </w:rPr>
        <w:tab/>
        <w:t>(a)</w:t>
      </w:r>
      <w:r>
        <w:rPr>
          <w:lang w:val="en-US"/>
        </w:rPr>
        <w:tab/>
        <w:t>searching for, inspecting or removing the thing; and</w:t>
      </w:r>
    </w:p>
    <w:p w14:paraId="05898673" w14:textId="77777777" w:rsidR="003D4FF5" w:rsidRDefault="003D4FF5" w:rsidP="003D4FF5">
      <w:pPr>
        <w:pStyle w:val="Apara"/>
        <w:rPr>
          <w:lang w:val="en-US"/>
        </w:rPr>
      </w:pPr>
      <w:r>
        <w:rPr>
          <w:lang w:val="en-US"/>
        </w:rPr>
        <w:tab/>
        <w:t>(b)</w:t>
      </w:r>
      <w:r>
        <w:rPr>
          <w:lang w:val="en-US"/>
        </w:rPr>
        <w:tab/>
        <w:t>making or obtaining a record of the thing or any information it may contain.</w:t>
      </w:r>
    </w:p>
    <w:p w14:paraId="07F7A4C0" w14:textId="77777777"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14:paraId="42780B5A" w14:textId="77777777" w:rsidR="003D4FF5" w:rsidRDefault="003D4FF5" w:rsidP="003D4FF5">
      <w:pPr>
        <w:pStyle w:val="Amain"/>
        <w:keepNext/>
        <w:rPr>
          <w:lang w:val="en-US"/>
        </w:rPr>
      </w:pPr>
      <w:r>
        <w:rPr>
          <w:lang w:val="en-US"/>
        </w:rPr>
        <w:tab/>
        <w:t>(4)</w:t>
      </w:r>
      <w:r>
        <w:rPr>
          <w:lang w:val="en-US"/>
        </w:rPr>
        <w:tab/>
        <w:t>In this rule:</w:t>
      </w:r>
    </w:p>
    <w:p w14:paraId="12585EFA" w14:textId="77777777" w:rsidR="003D4FF5" w:rsidRDefault="003D4FF5" w:rsidP="003D4FF5">
      <w:pPr>
        <w:pStyle w:val="aDef"/>
        <w:rPr>
          <w:lang w:val="en-US"/>
        </w:rPr>
      </w:pPr>
      <w:r w:rsidRPr="005A5F43">
        <w:rPr>
          <w:rStyle w:val="charBoldItals"/>
        </w:rPr>
        <w:t xml:space="preserve">record </w:t>
      </w:r>
      <w:r>
        <w:rPr>
          <w:lang w:val="en-US"/>
        </w:rPr>
        <w:t>includes a copy, photograph, film or sample.</w:t>
      </w:r>
    </w:p>
    <w:p w14:paraId="63406A25" w14:textId="77777777" w:rsidR="003D4FF5" w:rsidRDefault="003D4FF5" w:rsidP="003D4FF5">
      <w:pPr>
        <w:pStyle w:val="AH5Sec"/>
        <w:rPr>
          <w:lang w:val="en-US"/>
        </w:rPr>
      </w:pPr>
      <w:bookmarkStart w:id="336" w:name="_Toc185513953"/>
      <w:r w:rsidRPr="00C8328B">
        <w:rPr>
          <w:rStyle w:val="CharSectNo"/>
        </w:rPr>
        <w:lastRenderedPageBreak/>
        <w:t>754</w:t>
      </w:r>
      <w:r>
        <w:rPr>
          <w:lang w:val="en-US"/>
        </w:rPr>
        <w:tab/>
        <w:t>Search orders—independent solicitors</w:t>
      </w:r>
      <w:bookmarkEnd w:id="336"/>
    </w:p>
    <w:p w14:paraId="3934F8AA" w14:textId="77777777"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14:paraId="403468D3" w14:textId="77777777"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14:paraId="35A6430A" w14:textId="77777777" w:rsidR="003D4FF5" w:rsidRDefault="003D4FF5" w:rsidP="003D4FF5">
      <w:pPr>
        <w:pStyle w:val="AH5Sec"/>
        <w:rPr>
          <w:lang w:val="en-US"/>
        </w:rPr>
      </w:pPr>
      <w:bookmarkStart w:id="337" w:name="_Toc185513954"/>
      <w:r w:rsidRPr="00C8328B">
        <w:rPr>
          <w:rStyle w:val="CharSectNo"/>
        </w:rPr>
        <w:t>755</w:t>
      </w:r>
      <w:r>
        <w:rPr>
          <w:lang w:val="en-US"/>
        </w:rPr>
        <w:tab/>
        <w:t>Search orders—costs</w:t>
      </w:r>
      <w:bookmarkEnd w:id="337"/>
    </w:p>
    <w:p w14:paraId="4666AF0C" w14:textId="77777777" w:rsidR="003D4FF5" w:rsidRDefault="003D4FF5" w:rsidP="003D4FF5">
      <w:pPr>
        <w:pStyle w:val="Amain"/>
      </w:pPr>
      <w:r>
        <w:tab/>
        <w:t>(1)</w:t>
      </w:r>
      <w:r>
        <w:tab/>
        <w:t>The court may make any order about costs that it considers appropriate in relation to a search order.</w:t>
      </w:r>
    </w:p>
    <w:p w14:paraId="6C564615" w14:textId="77777777"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14:paraId="44CB94F5" w14:textId="77777777" w:rsidR="003D4FF5" w:rsidRPr="00C8328B" w:rsidRDefault="003D4FF5" w:rsidP="003D4FF5">
      <w:pPr>
        <w:pStyle w:val="AH3Div"/>
      </w:pPr>
      <w:bookmarkStart w:id="338" w:name="_Toc185513955"/>
      <w:r w:rsidRPr="00C8328B">
        <w:rPr>
          <w:rStyle w:val="CharDivNo"/>
        </w:rPr>
        <w:t>Division 2.9.5</w:t>
      </w:r>
      <w:r>
        <w:tab/>
      </w:r>
      <w:r w:rsidRPr="00C8328B">
        <w:rPr>
          <w:rStyle w:val="CharDivText"/>
        </w:rPr>
        <w:t>Receivers</w:t>
      </w:r>
      <w:bookmarkEnd w:id="338"/>
    </w:p>
    <w:p w14:paraId="511E4243" w14:textId="77777777" w:rsidR="003D4FF5" w:rsidRDefault="003D4FF5" w:rsidP="003D4FF5">
      <w:pPr>
        <w:pStyle w:val="AH5Sec"/>
      </w:pPr>
      <w:bookmarkStart w:id="339" w:name="_Toc185513956"/>
      <w:r w:rsidRPr="00C8328B">
        <w:rPr>
          <w:rStyle w:val="CharSectNo"/>
        </w:rPr>
        <w:t>765</w:t>
      </w:r>
      <w:r>
        <w:tab/>
        <w:t>Application—div 2.9.5</w:t>
      </w:r>
      <w:bookmarkEnd w:id="339"/>
    </w:p>
    <w:p w14:paraId="10E0D437" w14:textId="77777777" w:rsidR="003D4FF5" w:rsidRDefault="003D4FF5" w:rsidP="003D4FF5">
      <w:pPr>
        <w:pStyle w:val="Amain"/>
      </w:pPr>
      <w:r>
        <w:tab/>
        <w:t>(1)</w:t>
      </w:r>
      <w:r>
        <w:tab/>
        <w:t>This division applies only in relation to the appointment of a receiver, and a receiver appointed, in a proceeding in the Supreme Court.</w:t>
      </w:r>
    </w:p>
    <w:p w14:paraId="1C3A0D96" w14:textId="4048BD30" w:rsidR="003D4FF5" w:rsidRDefault="003D4FF5" w:rsidP="003D4FF5">
      <w:pPr>
        <w:pStyle w:val="Amain"/>
      </w:pPr>
      <w:r>
        <w:tab/>
        <w:t>(2)</w:t>
      </w:r>
      <w:r>
        <w:tab/>
        <w:t xml:space="preserve">However, this division does not apply to situations controlled or regulated by the </w:t>
      </w:r>
      <w:hyperlink r:id="rId122" w:tooltip="Act 2001 No 50 (Cwlth)" w:history="1">
        <w:r w:rsidRPr="00D74CAB">
          <w:rPr>
            <w:rStyle w:val="charCitHyperlinkAbbrev"/>
          </w:rPr>
          <w:t>Corporations Act</w:t>
        </w:r>
      </w:hyperlink>
      <w:r>
        <w:t>.</w:t>
      </w:r>
    </w:p>
    <w:p w14:paraId="7A27F188" w14:textId="77777777" w:rsidR="003D4FF5" w:rsidRDefault="003D4FF5" w:rsidP="003D4FF5">
      <w:pPr>
        <w:pStyle w:val="AH5Sec"/>
      </w:pPr>
      <w:bookmarkStart w:id="340" w:name="_Toc185513957"/>
      <w:r w:rsidRPr="00C8328B">
        <w:rPr>
          <w:rStyle w:val="CharSectNo"/>
        </w:rPr>
        <w:lastRenderedPageBreak/>
        <w:t>766</w:t>
      </w:r>
      <w:r>
        <w:tab/>
        <w:t>Receiver—agreement to act as etc</w:t>
      </w:r>
      <w:bookmarkEnd w:id="340"/>
    </w:p>
    <w:p w14:paraId="6969D787" w14:textId="77777777" w:rsidR="003D4FF5" w:rsidRDefault="003D4FF5" w:rsidP="002D45B1">
      <w:pPr>
        <w:pStyle w:val="Amain"/>
        <w:keepNext/>
      </w:pPr>
      <w:r>
        <w:tab/>
        <w:t>(1)</w:t>
      </w:r>
      <w:r>
        <w:tab/>
        <w:t>A person must not be appointed as a receiver unless the person’s written agreement to act as receiver is filed in the court.</w:t>
      </w:r>
    </w:p>
    <w:p w14:paraId="1C7E5041" w14:textId="77777777"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14:paraId="34D98AE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8B2B017" w14:textId="77777777" w:rsidR="003D4FF5" w:rsidRDefault="003D4FF5" w:rsidP="003D4FF5">
      <w:pPr>
        <w:pStyle w:val="AH5Sec"/>
      </w:pPr>
      <w:bookmarkStart w:id="341" w:name="_Toc185513958"/>
      <w:r w:rsidRPr="00C8328B">
        <w:rPr>
          <w:rStyle w:val="CharSectNo"/>
        </w:rPr>
        <w:t>767</w:t>
      </w:r>
      <w:r>
        <w:tab/>
        <w:t>Receiver—application for order appointing etc</w:t>
      </w:r>
      <w:bookmarkEnd w:id="341"/>
    </w:p>
    <w:p w14:paraId="1A1A129D" w14:textId="77777777"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14:paraId="7548C39C"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038528D1" w14:textId="77777777"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14:paraId="267B9831" w14:textId="77777777" w:rsidR="003D4FF5" w:rsidRDefault="003D4FF5" w:rsidP="003D4FF5">
      <w:pPr>
        <w:pStyle w:val="AH5Sec"/>
      </w:pPr>
      <w:bookmarkStart w:id="342" w:name="_Toc185513959"/>
      <w:r w:rsidRPr="00C8328B">
        <w:rPr>
          <w:rStyle w:val="CharSectNo"/>
        </w:rPr>
        <w:t>768</w:t>
      </w:r>
      <w:r>
        <w:tab/>
        <w:t>Receiver—address for service</w:t>
      </w:r>
      <w:bookmarkEnd w:id="342"/>
    </w:p>
    <w:p w14:paraId="6E8A6777" w14:textId="77777777" w:rsidR="003D4FF5" w:rsidRDefault="003D4FF5" w:rsidP="003D4FF5">
      <w:pPr>
        <w:pStyle w:val="Amain"/>
      </w:pPr>
      <w:r>
        <w:tab/>
        <w:t>(1)</w:t>
      </w:r>
      <w:r>
        <w:tab/>
        <w:t>Not later than 7 days after the day a receiver is appointed, the receiver must file a notice that states the receiver’s address for service.</w:t>
      </w:r>
    </w:p>
    <w:p w14:paraId="1B0FF427" w14:textId="77777777" w:rsidR="00EC2197" w:rsidRPr="00C1177F" w:rsidRDefault="00EC2197" w:rsidP="00EC2197">
      <w:pPr>
        <w:pStyle w:val="Amain"/>
      </w:pPr>
      <w:r w:rsidRPr="00C1177F">
        <w:tab/>
        <w:t>(2)</w:t>
      </w:r>
      <w:r w:rsidRPr="00C1177F">
        <w:tab/>
        <w:t>In this rule:</w:t>
      </w:r>
    </w:p>
    <w:p w14:paraId="4E1631F7" w14:textId="77777777" w:rsidR="00EC2197" w:rsidRPr="00C1177F" w:rsidRDefault="00EC2197" w:rsidP="00EC2197">
      <w:pPr>
        <w:pStyle w:val="aDef"/>
        <w:keepNext/>
      </w:pPr>
      <w:r w:rsidRPr="00402888">
        <w:rPr>
          <w:rStyle w:val="charBoldItals"/>
        </w:rPr>
        <w:t>address for service</w:t>
      </w:r>
      <w:r w:rsidRPr="00C1177F">
        <w:rPr>
          <w:bCs/>
          <w:iCs/>
        </w:rPr>
        <w:t xml:space="preserve"> means—</w:t>
      </w:r>
    </w:p>
    <w:p w14:paraId="4487BA9B" w14:textId="7ED14395" w:rsidR="00EC2197" w:rsidRPr="00C1177F" w:rsidRDefault="00EC2197" w:rsidP="00EC2197">
      <w:pPr>
        <w:pStyle w:val="aDefpara"/>
      </w:pPr>
      <w:r w:rsidRPr="00C1177F">
        <w:tab/>
        <w:t>(a)</w:t>
      </w:r>
      <w:r w:rsidRPr="00C1177F">
        <w:tab/>
        <w:t>if the receiver has a home or place of business in the ACT—</w:t>
      </w:r>
    </w:p>
    <w:p w14:paraId="260E9909" w14:textId="77777777" w:rsidR="00EC2197" w:rsidRPr="00C1177F" w:rsidRDefault="00EC2197" w:rsidP="00EC2197">
      <w:pPr>
        <w:pStyle w:val="aDefsubpara"/>
      </w:pPr>
      <w:r w:rsidRPr="00C1177F">
        <w:tab/>
        <w:t>(i)</w:t>
      </w:r>
      <w:r w:rsidRPr="00C1177F">
        <w:tab/>
        <w:t>the receiver’s home or business address; and</w:t>
      </w:r>
    </w:p>
    <w:p w14:paraId="1911C81C" w14:textId="77777777" w:rsidR="00EC2197" w:rsidRPr="00C1177F" w:rsidRDefault="00EC2197" w:rsidP="00EC2197">
      <w:pPr>
        <w:pStyle w:val="aDefsubpara"/>
      </w:pPr>
      <w:r w:rsidRPr="00C1177F">
        <w:tab/>
        <w:t>(ii)</w:t>
      </w:r>
      <w:r w:rsidRPr="00C1177F">
        <w:tab/>
        <w:t>an email address; or</w:t>
      </w:r>
    </w:p>
    <w:p w14:paraId="5A36ABD8" w14:textId="77777777" w:rsidR="00EC2197" w:rsidRPr="00C1177F" w:rsidRDefault="00EC2197" w:rsidP="00EC2197">
      <w:pPr>
        <w:pStyle w:val="aDefpara"/>
      </w:pPr>
      <w:r w:rsidRPr="00C1177F">
        <w:tab/>
        <w:t>(b)</w:t>
      </w:r>
      <w:r w:rsidRPr="00C1177F">
        <w:tab/>
        <w:t>in any other case—</w:t>
      </w:r>
    </w:p>
    <w:p w14:paraId="7E6B56DB" w14:textId="77777777" w:rsidR="00EC2197" w:rsidRPr="00C1177F" w:rsidRDefault="00EC2197" w:rsidP="00EC2197">
      <w:pPr>
        <w:pStyle w:val="aDefsubpara"/>
      </w:pPr>
      <w:r w:rsidRPr="00C1177F">
        <w:tab/>
        <w:t>(i)</w:t>
      </w:r>
      <w:r w:rsidRPr="00C1177F">
        <w:tab/>
        <w:t>the address of a place in the ACT; and</w:t>
      </w:r>
    </w:p>
    <w:p w14:paraId="76F00425" w14:textId="77777777" w:rsidR="00EC2197" w:rsidRPr="00C1177F" w:rsidRDefault="00EC2197" w:rsidP="00EC2197">
      <w:pPr>
        <w:pStyle w:val="aDefsubpara"/>
      </w:pPr>
      <w:r w:rsidRPr="00C1177F">
        <w:lastRenderedPageBreak/>
        <w:tab/>
        <w:t>(ii)</w:t>
      </w:r>
      <w:r w:rsidRPr="00C1177F">
        <w:tab/>
        <w:t>an email address.</w:t>
      </w:r>
    </w:p>
    <w:p w14:paraId="1A42EDC0" w14:textId="77777777" w:rsidR="003D4FF5" w:rsidRDefault="003D4FF5" w:rsidP="003D4FF5">
      <w:pPr>
        <w:pStyle w:val="AH5Sec"/>
      </w:pPr>
      <w:bookmarkStart w:id="343" w:name="_Toc185513960"/>
      <w:r w:rsidRPr="00C8328B">
        <w:rPr>
          <w:rStyle w:val="CharSectNo"/>
        </w:rPr>
        <w:t>769</w:t>
      </w:r>
      <w:r>
        <w:tab/>
        <w:t>Receiver—security</w:t>
      </w:r>
      <w:bookmarkEnd w:id="343"/>
    </w:p>
    <w:p w14:paraId="14A7AC27" w14:textId="77777777" w:rsidR="003D4FF5" w:rsidRDefault="003D4FF5" w:rsidP="003D4FF5">
      <w:pPr>
        <w:pStyle w:val="Amain"/>
        <w:keepNext/>
      </w:pPr>
      <w:r>
        <w:tab/>
        <w:t>(1)</w:t>
      </w:r>
      <w:r>
        <w:tab/>
        <w:t>If the court appoints a receiver, the receiver must file a security, unless the court otherwise orders.</w:t>
      </w:r>
    </w:p>
    <w:p w14:paraId="7F841FF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ACC4C96" w14:textId="77777777" w:rsidR="003D4FF5" w:rsidRDefault="003D4FF5" w:rsidP="003D4FF5">
      <w:pPr>
        <w:pStyle w:val="Amain"/>
      </w:pPr>
      <w:r>
        <w:tab/>
        <w:t>(2)</w:t>
      </w:r>
      <w:r>
        <w:tab/>
        <w:t>The receiver’s appointment does not start until the receiver files the security.</w:t>
      </w:r>
    </w:p>
    <w:p w14:paraId="5AA2CCF7" w14:textId="77777777"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14:paraId="329DFB98" w14:textId="77777777" w:rsidR="003D4FF5" w:rsidRDefault="003D4FF5" w:rsidP="003D4FF5">
      <w:pPr>
        <w:pStyle w:val="Amain"/>
      </w:pPr>
      <w:r>
        <w:tab/>
        <w:t>(4)</w:t>
      </w:r>
      <w:r>
        <w:tab/>
        <w:t>A security must—</w:t>
      </w:r>
    </w:p>
    <w:p w14:paraId="71C9C437" w14:textId="77777777" w:rsidR="003D4FF5" w:rsidRDefault="003D4FF5" w:rsidP="003D4FF5">
      <w:pPr>
        <w:pStyle w:val="Apara"/>
      </w:pPr>
      <w:r>
        <w:tab/>
        <w:t>(a)</w:t>
      </w:r>
      <w:r>
        <w:tab/>
        <w:t>be approved by the court; and</w:t>
      </w:r>
    </w:p>
    <w:p w14:paraId="6479758D" w14:textId="77777777" w:rsidR="003D4FF5" w:rsidRDefault="003D4FF5" w:rsidP="003D4FF5">
      <w:pPr>
        <w:pStyle w:val="Apara"/>
        <w:keepNext/>
      </w:pPr>
      <w:r>
        <w:tab/>
        <w:t>(b)</w:t>
      </w:r>
      <w:r>
        <w:tab/>
        <w:t>state that the receiver will account for what is received as receiver, and will deal with what is received as the court directs.</w:t>
      </w:r>
    </w:p>
    <w:p w14:paraId="229FA0EE" w14:textId="19568899"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3" w:history="1">
        <w:r w:rsidRPr="00D74CAB">
          <w:rPr>
            <w:rStyle w:val="charCitHyperlinkAbbrev"/>
          </w:rPr>
          <w:t>AF2006-273</w:t>
        </w:r>
      </w:hyperlink>
      <w:r>
        <w:t>.</w:t>
      </w:r>
    </w:p>
    <w:p w14:paraId="60ED83DB" w14:textId="77777777" w:rsidR="003D4FF5" w:rsidRDefault="003D4FF5" w:rsidP="003D4FF5">
      <w:pPr>
        <w:pStyle w:val="Amain"/>
      </w:pPr>
      <w:r>
        <w:tab/>
        <w:t>(5)</w:t>
      </w:r>
      <w:r>
        <w:tab/>
        <w:t>The court may, at any time, order the amendment or setting aside of a security filed under this rule.</w:t>
      </w:r>
    </w:p>
    <w:p w14:paraId="12E847A5" w14:textId="77777777" w:rsidR="003D4FF5" w:rsidRDefault="003D4FF5" w:rsidP="003D4FF5">
      <w:pPr>
        <w:pStyle w:val="AH5Sec"/>
      </w:pPr>
      <w:bookmarkStart w:id="344" w:name="_Toc185513961"/>
      <w:r w:rsidRPr="00C8328B">
        <w:rPr>
          <w:rStyle w:val="CharSectNo"/>
        </w:rPr>
        <w:t>770</w:t>
      </w:r>
      <w:r>
        <w:tab/>
        <w:t>Receiver—remuneration</w:t>
      </w:r>
      <w:bookmarkEnd w:id="344"/>
    </w:p>
    <w:p w14:paraId="74114BAC" w14:textId="77777777" w:rsidR="003D4FF5" w:rsidRDefault="003D4FF5" w:rsidP="003D4FF5">
      <w:pPr>
        <w:pStyle w:val="Amainreturn"/>
        <w:keepNext/>
      </w:pPr>
      <w:r>
        <w:t>A receiver is allowed the remuneration (if any) the court decides.</w:t>
      </w:r>
    </w:p>
    <w:p w14:paraId="5690F14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18625DD" w14:textId="77777777" w:rsidR="003D4FF5" w:rsidRDefault="003D4FF5" w:rsidP="003D4FF5">
      <w:pPr>
        <w:pStyle w:val="AH5Sec"/>
      </w:pPr>
      <w:bookmarkStart w:id="345" w:name="_Toc185513962"/>
      <w:r w:rsidRPr="00C8328B">
        <w:rPr>
          <w:rStyle w:val="CharSectNo"/>
        </w:rPr>
        <w:t>771</w:t>
      </w:r>
      <w:r>
        <w:tab/>
        <w:t>Receiver—accounts</w:t>
      </w:r>
      <w:bookmarkEnd w:id="345"/>
    </w:p>
    <w:p w14:paraId="626751AB" w14:textId="77777777" w:rsidR="003D4FF5" w:rsidRDefault="003D4FF5" w:rsidP="003D4FF5">
      <w:pPr>
        <w:pStyle w:val="Amain"/>
        <w:keepNext/>
      </w:pPr>
      <w:r>
        <w:tab/>
        <w:t>(1)</w:t>
      </w:r>
      <w:r>
        <w:tab/>
        <w:t>A receiver must submit accounts to the parties at the intervals or on the dates the court directs.</w:t>
      </w:r>
    </w:p>
    <w:p w14:paraId="30B50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C6B3F39" w14:textId="77777777"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14:paraId="296539C3" w14:textId="77777777" w:rsidR="003D4FF5" w:rsidRDefault="003D4FF5" w:rsidP="003D4FF5">
      <w:pPr>
        <w:pStyle w:val="Amain"/>
      </w:pPr>
      <w:r>
        <w:tab/>
        <w:t>(3)</w:t>
      </w:r>
      <w:r>
        <w:tab/>
        <w:t>If a party objects to the receiver’s accounts, the party may serve notice on the receiver—</w:t>
      </w:r>
    </w:p>
    <w:p w14:paraId="2B65AF54" w14:textId="77777777" w:rsidR="003D4FF5" w:rsidRDefault="003D4FF5" w:rsidP="003D4FF5">
      <w:pPr>
        <w:pStyle w:val="Apara"/>
      </w:pPr>
      <w:r>
        <w:tab/>
        <w:t>(a)</w:t>
      </w:r>
      <w:r>
        <w:tab/>
        <w:t>stating the items objected to; and</w:t>
      </w:r>
    </w:p>
    <w:p w14:paraId="7703F9E9" w14:textId="77777777" w:rsidR="003D4FF5" w:rsidRDefault="003D4FF5" w:rsidP="003D4FF5">
      <w:pPr>
        <w:pStyle w:val="Apara"/>
        <w:spacing w:before="40"/>
      </w:pPr>
      <w:r>
        <w:tab/>
        <w:t>(b)</w:t>
      </w:r>
      <w:r>
        <w:tab/>
        <w:t>requiring the receiver to file a copy of the accounts within a stated period of not less than 14 days after the day the notice is served.</w:t>
      </w:r>
    </w:p>
    <w:p w14:paraId="6E975C06" w14:textId="77777777" w:rsidR="003D4FF5" w:rsidRDefault="003D4FF5" w:rsidP="003D4FF5">
      <w:pPr>
        <w:pStyle w:val="Amain"/>
      </w:pPr>
      <w:r>
        <w:tab/>
        <w:t>(4)</w:t>
      </w:r>
      <w:r>
        <w:tab/>
        <w:t>The party must file a copy of the notice served.</w:t>
      </w:r>
    </w:p>
    <w:p w14:paraId="3FB2401A" w14:textId="77777777"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14:paraId="3451EAE8" w14:textId="03729144"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24" w:history="1">
        <w:r w:rsidRPr="00D74CAB">
          <w:rPr>
            <w:rStyle w:val="charCitHyperlinkAbbrev"/>
          </w:rPr>
          <w:t>AF2006-274</w:t>
        </w:r>
      </w:hyperlink>
      <w:r>
        <w:t>.</w:t>
      </w:r>
    </w:p>
    <w:p w14:paraId="45AD885E" w14:textId="77777777" w:rsidR="003D4FF5" w:rsidRDefault="003D4FF5" w:rsidP="003D4FF5">
      <w:pPr>
        <w:pStyle w:val="Amain"/>
      </w:pPr>
      <w:r>
        <w:tab/>
        <w:t>(6)</w:t>
      </w:r>
      <w:r>
        <w:tab/>
        <w:t>The court may examine the items objected to.</w:t>
      </w:r>
    </w:p>
    <w:p w14:paraId="2D555FEE" w14:textId="77777777" w:rsidR="003D4FF5" w:rsidRDefault="003D4FF5" w:rsidP="003D4FF5">
      <w:pPr>
        <w:pStyle w:val="Amain"/>
      </w:pPr>
      <w:r>
        <w:tab/>
        <w:t>(7)</w:t>
      </w:r>
      <w:r>
        <w:tab/>
        <w:t>The court must, by order, declare the result of the examination and may make an order for the costs and expenses of a party or the receiver.</w:t>
      </w:r>
    </w:p>
    <w:p w14:paraId="3F4E08E0" w14:textId="77777777" w:rsidR="003D4FF5" w:rsidRDefault="003D4FF5" w:rsidP="003D4FF5">
      <w:pPr>
        <w:pStyle w:val="AH5Sec"/>
      </w:pPr>
      <w:bookmarkStart w:id="346" w:name="_Toc185513963"/>
      <w:r w:rsidRPr="00C8328B">
        <w:rPr>
          <w:rStyle w:val="CharSectNo"/>
        </w:rPr>
        <w:t>772</w:t>
      </w:r>
      <w:r>
        <w:tab/>
        <w:t>Receiver—default</w:t>
      </w:r>
      <w:bookmarkEnd w:id="346"/>
    </w:p>
    <w:p w14:paraId="2FB743EE" w14:textId="77777777" w:rsidR="003D4FF5" w:rsidRDefault="003D4FF5" w:rsidP="003D4FF5">
      <w:pPr>
        <w:pStyle w:val="Amain"/>
      </w:pPr>
      <w:r>
        <w:tab/>
        <w:t>(1)</w:t>
      </w:r>
      <w:r>
        <w:tab/>
        <w:t>The court may make any orders it considers appropriate if a receiver does not, in accordance with these rules or an order of the court—</w:t>
      </w:r>
    </w:p>
    <w:p w14:paraId="24B5D109" w14:textId="77777777" w:rsidR="003D4FF5" w:rsidRDefault="003D4FF5" w:rsidP="003D4FF5">
      <w:pPr>
        <w:pStyle w:val="Apara"/>
      </w:pPr>
      <w:r>
        <w:tab/>
        <w:t>(a)</w:t>
      </w:r>
      <w:r>
        <w:tab/>
        <w:t>file an account or other document that is required to be filed; or</w:t>
      </w:r>
    </w:p>
    <w:p w14:paraId="6E211C5C" w14:textId="77777777" w:rsidR="003D4FF5" w:rsidRDefault="003D4FF5" w:rsidP="002D45B1">
      <w:pPr>
        <w:pStyle w:val="Apara"/>
        <w:keepNext/>
      </w:pPr>
      <w:r>
        <w:lastRenderedPageBreak/>
        <w:tab/>
        <w:t>(b)</w:t>
      </w:r>
      <w:r>
        <w:tab/>
        <w:t>do something that is required to be done.</w:t>
      </w:r>
    </w:p>
    <w:p w14:paraId="0749EA50" w14:textId="77777777" w:rsidR="003D4FF5" w:rsidRDefault="003D4FF5" w:rsidP="003D4FF5">
      <w:pPr>
        <w:pStyle w:val="aExamHdgss"/>
      </w:pPr>
      <w:r>
        <w:t>Examples of orders</w:t>
      </w:r>
    </w:p>
    <w:p w14:paraId="39AEC053" w14:textId="77777777" w:rsidR="003D4FF5" w:rsidRDefault="003D4FF5" w:rsidP="002D45B1">
      <w:pPr>
        <w:pStyle w:val="aExamINumss"/>
        <w:keepNext/>
      </w:pPr>
      <w:r>
        <w:t>1</w:t>
      </w:r>
      <w:r>
        <w:tab/>
        <w:t>discharge the receiver</w:t>
      </w:r>
    </w:p>
    <w:p w14:paraId="00151203" w14:textId="77777777" w:rsidR="003D4FF5" w:rsidRDefault="003D4FF5" w:rsidP="002D45B1">
      <w:pPr>
        <w:pStyle w:val="aExamINumss"/>
        <w:keepNext/>
      </w:pPr>
      <w:r>
        <w:t>2</w:t>
      </w:r>
      <w:r>
        <w:tab/>
        <w:t>appoint another receiver</w:t>
      </w:r>
    </w:p>
    <w:p w14:paraId="4360B91C" w14:textId="77777777" w:rsidR="003D4FF5" w:rsidRDefault="003D4FF5" w:rsidP="002D45B1">
      <w:pPr>
        <w:pStyle w:val="aExamINumss"/>
        <w:keepNext/>
      </w:pPr>
      <w:r>
        <w:t>3</w:t>
      </w:r>
      <w:r>
        <w:tab/>
        <w:t>make an order about costs</w:t>
      </w:r>
    </w:p>
    <w:p w14:paraId="70AA2D9A" w14:textId="77777777" w:rsidR="003D4FF5" w:rsidRDefault="003D4FF5" w:rsidP="00A6484B">
      <w:pPr>
        <w:pStyle w:val="aExamINumss"/>
        <w:keepNext/>
      </w:pPr>
      <w:r>
        <w:t>4</w:t>
      </w:r>
      <w:r>
        <w:tab/>
        <w:t>order the repayment of remuneration already paid to the receiver</w:t>
      </w:r>
    </w:p>
    <w:p w14:paraId="4BA470E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8BD615" w14:textId="77777777"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14:paraId="55A0DC1D" w14:textId="77777777" w:rsidR="003D4FF5" w:rsidRDefault="003D4FF5" w:rsidP="003D4FF5">
      <w:pPr>
        <w:pStyle w:val="Apara"/>
      </w:pPr>
      <w:r>
        <w:tab/>
        <w:t>(a)</w:t>
      </w:r>
      <w:r>
        <w:tab/>
        <w:t>the rate of interest applying, from time to time, under schedule 2, part 2.2 (Interest after judgment);</w:t>
      </w:r>
    </w:p>
    <w:p w14:paraId="17292160" w14:textId="77777777" w:rsidR="003D4FF5" w:rsidRDefault="003D4FF5" w:rsidP="003D4FF5">
      <w:pPr>
        <w:pStyle w:val="Apara"/>
      </w:pPr>
      <w:r>
        <w:tab/>
        <w:t>(b)</w:t>
      </w:r>
      <w:r>
        <w:tab/>
        <w:t>if the court considers that another rate is appropriate—that rate.</w:t>
      </w:r>
    </w:p>
    <w:p w14:paraId="1FF21560" w14:textId="77777777" w:rsidR="003D4FF5" w:rsidRDefault="003D4FF5" w:rsidP="003D4FF5">
      <w:pPr>
        <w:pStyle w:val="Amain"/>
      </w:pPr>
      <w:r>
        <w:tab/>
        <w:t>(3)</w:t>
      </w:r>
      <w:r>
        <w:tab/>
        <w:t>This rule does not limit the court’s powers to enforce its orders or to punish contempt of court.</w:t>
      </w:r>
    </w:p>
    <w:p w14:paraId="252AD1E1" w14:textId="77777777" w:rsidR="003D4FF5" w:rsidRDefault="003D4FF5" w:rsidP="003D4FF5">
      <w:pPr>
        <w:pStyle w:val="AH5Sec"/>
      </w:pPr>
      <w:bookmarkStart w:id="347" w:name="_Toc185513964"/>
      <w:r w:rsidRPr="00C8328B">
        <w:rPr>
          <w:rStyle w:val="CharSectNo"/>
        </w:rPr>
        <w:t>773</w:t>
      </w:r>
      <w:r>
        <w:tab/>
        <w:t>Receiver—powers</w:t>
      </w:r>
      <w:bookmarkEnd w:id="347"/>
    </w:p>
    <w:p w14:paraId="76C25B95" w14:textId="77777777" w:rsidR="003D4FF5" w:rsidRDefault="003D4FF5" w:rsidP="003D4FF5">
      <w:pPr>
        <w:pStyle w:val="Amain"/>
        <w:keepNext/>
      </w:pPr>
      <w:r>
        <w:tab/>
        <w:t>(1)</w:t>
      </w:r>
      <w:r>
        <w:tab/>
        <w:t>A receiver has the powers of a receiver and manager, unless the court otherwise orders.</w:t>
      </w:r>
    </w:p>
    <w:p w14:paraId="194061D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5F60836" w14:textId="77777777" w:rsidR="003D4FF5" w:rsidRDefault="003D4FF5" w:rsidP="003D4FF5">
      <w:pPr>
        <w:pStyle w:val="Amain"/>
      </w:pPr>
      <w:r>
        <w:tab/>
        <w:t>(2)</w:t>
      </w:r>
      <w:r>
        <w:tab/>
        <w:t>The court may authorise a receiver to do anything a party might do.</w:t>
      </w:r>
    </w:p>
    <w:p w14:paraId="5AA5E5AB" w14:textId="77777777" w:rsidR="003D4FF5" w:rsidRDefault="003D4FF5" w:rsidP="003D4FF5">
      <w:pPr>
        <w:pStyle w:val="Amain"/>
      </w:pPr>
      <w:r>
        <w:tab/>
        <w:t>(3)</w:t>
      </w:r>
      <w:r>
        <w:tab/>
        <w:t>The court may authorise the receiver to do the thing—</w:t>
      </w:r>
    </w:p>
    <w:p w14:paraId="2968BA19" w14:textId="77777777" w:rsidR="003D4FF5" w:rsidRDefault="003D4FF5" w:rsidP="003D4FF5">
      <w:pPr>
        <w:pStyle w:val="Apara"/>
      </w:pPr>
      <w:r>
        <w:tab/>
        <w:t>(a)</w:t>
      </w:r>
      <w:r>
        <w:tab/>
        <w:t>either in the receiver’s name or the party’s name; and</w:t>
      </w:r>
    </w:p>
    <w:p w14:paraId="31B816EB" w14:textId="77777777" w:rsidR="003D4FF5" w:rsidRDefault="003D4FF5" w:rsidP="003D4FF5">
      <w:pPr>
        <w:pStyle w:val="Apara"/>
      </w:pPr>
      <w:r>
        <w:tab/>
        <w:t>(b)</w:t>
      </w:r>
      <w:r>
        <w:tab/>
        <w:t>either generally or in a particular case; and</w:t>
      </w:r>
    </w:p>
    <w:p w14:paraId="7E53F3EF" w14:textId="77777777" w:rsidR="003D4FF5" w:rsidRDefault="003D4FF5" w:rsidP="003D4FF5">
      <w:pPr>
        <w:pStyle w:val="Apara"/>
      </w:pPr>
      <w:r>
        <w:tab/>
        <w:t>(c)</w:t>
      </w:r>
      <w:r>
        <w:tab/>
        <w:t>whether or not the party is a person with a legal disability.</w:t>
      </w:r>
    </w:p>
    <w:p w14:paraId="75C20B5C" w14:textId="77777777" w:rsidR="003D4FF5" w:rsidRDefault="003D4FF5" w:rsidP="003D4FF5">
      <w:pPr>
        <w:pStyle w:val="Amain"/>
      </w:pPr>
      <w:r>
        <w:lastRenderedPageBreak/>
        <w:tab/>
        <w:t>(4)</w:t>
      </w:r>
      <w:r>
        <w:tab/>
        <w:t>If the party is a person with a legal disability, the authorisation has effect as if the party were not a person with a legal disability.</w:t>
      </w:r>
    </w:p>
    <w:p w14:paraId="303ACC39" w14:textId="77777777" w:rsidR="003D4FF5" w:rsidRDefault="003D4FF5" w:rsidP="003D4FF5">
      <w:pPr>
        <w:pStyle w:val="Amain"/>
      </w:pPr>
      <w:r>
        <w:tab/>
        <w:t>(5)</w:t>
      </w:r>
      <w:r>
        <w:tab/>
        <w:t>This rule does not limit the court’s powers to authorise a receiver to do anything.</w:t>
      </w:r>
    </w:p>
    <w:p w14:paraId="5AB96DAA" w14:textId="77777777" w:rsidR="003D4FF5" w:rsidRDefault="003D4FF5" w:rsidP="003D4FF5">
      <w:pPr>
        <w:pStyle w:val="AH5Sec"/>
      </w:pPr>
      <w:bookmarkStart w:id="348" w:name="_Toc185513965"/>
      <w:r w:rsidRPr="00C8328B">
        <w:rPr>
          <w:rStyle w:val="CharSectNo"/>
        </w:rPr>
        <w:t>774</w:t>
      </w:r>
      <w:r>
        <w:tab/>
        <w:t>Receiver—duty in relation to property</w:t>
      </w:r>
      <w:bookmarkEnd w:id="348"/>
    </w:p>
    <w:p w14:paraId="16B0ED20" w14:textId="77777777" w:rsidR="003D4FF5" w:rsidRDefault="003D4FF5" w:rsidP="003D4FF5">
      <w:pPr>
        <w:pStyle w:val="Amain"/>
      </w:pPr>
      <w:r>
        <w:tab/>
        <w:t>(1)</w:t>
      </w:r>
      <w:r>
        <w:tab/>
        <w:t>This rule applies if a receiver is in possession of property.</w:t>
      </w:r>
    </w:p>
    <w:p w14:paraId="1C859A5A" w14:textId="77777777"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14:paraId="4C7F2B3D" w14:textId="77777777" w:rsidR="003D4FF5" w:rsidRDefault="003D4FF5" w:rsidP="003D4FF5">
      <w:pPr>
        <w:pStyle w:val="AH5Sec"/>
      </w:pPr>
      <w:bookmarkStart w:id="349" w:name="_Toc185513966"/>
      <w:r w:rsidRPr="00C8328B">
        <w:rPr>
          <w:rStyle w:val="CharSectNo"/>
        </w:rPr>
        <w:t>775</w:t>
      </w:r>
      <w:r>
        <w:tab/>
        <w:t>Receiver—liability</w:t>
      </w:r>
      <w:bookmarkEnd w:id="349"/>
    </w:p>
    <w:p w14:paraId="45AA9402" w14:textId="77777777"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14:paraId="3BFCEA31" w14:textId="77777777" w:rsidR="003D4FF5" w:rsidRDefault="003D4FF5" w:rsidP="003D4FF5">
      <w:pPr>
        <w:pStyle w:val="AH5Sec"/>
      </w:pPr>
      <w:bookmarkStart w:id="350" w:name="_Toc185513967"/>
      <w:r w:rsidRPr="00C8328B">
        <w:rPr>
          <w:rStyle w:val="CharSectNo"/>
        </w:rPr>
        <w:t>776</w:t>
      </w:r>
      <w:r>
        <w:tab/>
        <w:t>Receiver—death of</w:t>
      </w:r>
      <w:bookmarkEnd w:id="350"/>
    </w:p>
    <w:p w14:paraId="70B12EFE" w14:textId="77777777" w:rsidR="003D4FF5" w:rsidRDefault="003D4FF5" w:rsidP="003D4FF5">
      <w:pPr>
        <w:pStyle w:val="Amain"/>
      </w:pPr>
      <w:r>
        <w:tab/>
        <w:t>(1)</w:t>
      </w:r>
      <w:r>
        <w:tab/>
        <w:t>If a receiver dies, the court may, on the application of a party, make any orders it considers appropriate about—</w:t>
      </w:r>
    </w:p>
    <w:p w14:paraId="5864B444" w14:textId="77777777" w:rsidR="003D4FF5" w:rsidRDefault="003D4FF5" w:rsidP="003D4FF5">
      <w:pPr>
        <w:pStyle w:val="Apara"/>
      </w:pPr>
      <w:r>
        <w:tab/>
        <w:t>(a)</w:t>
      </w:r>
      <w:r>
        <w:tab/>
        <w:t>the filing and passing of accounts by—</w:t>
      </w:r>
    </w:p>
    <w:p w14:paraId="2A64876C" w14:textId="77777777" w:rsidR="003D4FF5" w:rsidRDefault="003D4FF5" w:rsidP="003D4FF5">
      <w:pPr>
        <w:pStyle w:val="Asubpara"/>
      </w:pPr>
      <w:r>
        <w:tab/>
        <w:t>(i)</w:t>
      </w:r>
      <w:r>
        <w:tab/>
        <w:t>the receiver’s personal representative; or</w:t>
      </w:r>
    </w:p>
    <w:p w14:paraId="6DABF13B" w14:textId="77777777" w:rsidR="003D4FF5" w:rsidRDefault="003D4FF5" w:rsidP="003D4FF5">
      <w:pPr>
        <w:pStyle w:val="Asubpara"/>
      </w:pPr>
      <w:r>
        <w:tab/>
        <w:t>(ii)</w:t>
      </w:r>
      <w:r>
        <w:tab/>
        <w:t>anyone else who has, or has had, possession or control of property the subject of the receivership; and</w:t>
      </w:r>
    </w:p>
    <w:p w14:paraId="78524AB5" w14:textId="77777777" w:rsidR="003D4FF5" w:rsidRDefault="003D4FF5" w:rsidP="003D4FF5">
      <w:pPr>
        <w:pStyle w:val="Apara"/>
      </w:pPr>
      <w:r>
        <w:tab/>
        <w:t>(b)</w:t>
      </w:r>
      <w:r>
        <w:tab/>
        <w:t>the payment into court of any amount shown to be owing; and</w:t>
      </w:r>
    </w:p>
    <w:p w14:paraId="0808FFB6" w14:textId="77777777" w:rsidR="003D4FF5" w:rsidRDefault="003D4FF5" w:rsidP="003D4FF5">
      <w:pPr>
        <w:pStyle w:val="Apara"/>
        <w:keepNext/>
      </w:pPr>
      <w:r>
        <w:tab/>
        <w:t>(c)</w:t>
      </w:r>
      <w:r>
        <w:tab/>
        <w:t>the delivery of property the subject of the receivership.</w:t>
      </w:r>
    </w:p>
    <w:p w14:paraId="5C46A9A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DE66E64" w14:textId="77777777"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14:paraId="2C25B132" w14:textId="77777777" w:rsidR="003D4FF5" w:rsidRPr="00C8328B" w:rsidRDefault="003D4FF5" w:rsidP="003D4FF5">
      <w:pPr>
        <w:pStyle w:val="AH3Div"/>
      </w:pPr>
      <w:bookmarkStart w:id="351" w:name="_Toc185513968"/>
      <w:r w:rsidRPr="00C8328B">
        <w:rPr>
          <w:rStyle w:val="CharDivNo"/>
        </w:rPr>
        <w:t>Division 2.9.6</w:t>
      </w:r>
      <w:r>
        <w:tab/>
      </w:r>
      <w:r w:rsidRPr="00C8328B">
        <w:rPr>
          <w:rStyle w:val="CharDivText"/>
        </w:rPr>
        <w:t>Sales of land by court order</w:t>
      </w:r>
      <w:bookmarkEnd w:id="351"/>
    </w:p>
    <w:p w14:paraId="3D0B8DDA" w14:textId="77777777" w:rsidR="003D4FF5" w:rsidRDefault="003D4FF5" w:rsidP="003D4FF5">
      <w:pPr>
        <w:pStyle w:val="AH5Sec"/>
      </w:pPr>
      <w:bookmarkStart w:id="352" w:name="_Toc185513969"/>
      <w:r w:rsidRPr="00C8328B">
        <w:rPr>
          <w:rStyle w:val="CharSectNo"/>
        </w:rPr>
        <w:t>780</w:t>
      </w:r>
      <w:r>
        <w:tab/>
        <w:t xml:space="preserve">Meaning of </w:t>
      </w:r>
      <w:r w:rsidRPr="005A5F43">
        <w:rPr>
          <w:rStyle w:val="charItals"/>
        </w:rPr>
        <w:t>land</w:t>
      </w:r>
      <w:r>
        <w:t>—div 2.9.6</w:t>
      </w:r>
      <w:bookmarkEnd w:id="352"/>
    </w:p>
    <w:p w14:paraId="7F4DB0FE" w14:textId="77777777" w:rsidR="003D4FF5" w:rsidRDefault="003D4FF5" w:rsidP="003D4FF5">
      <w:pPr>
        <w:pStyle w:val="Amainreturn"/>
        <w:keepNext/>
      </w:pPr>
      <w:r>
        <w:t>In this division:</w:t>
      </w:r>
    </w:p>
    <w:p w14:paraId="628C0771" w14:textId="77777777" w:rsidR="003D4FF5" w:rsidRDefault="003D4FF5" w:rsidP="003D4FF5">
      <w:pPr>
        <w:pStyle w:val="aDef"/>
      </w:pPr>
      <w:r w:rsidRPr="005A5F43">
        <w:rPr>
          <w:rStyle w:val="charBoldItals"/>
        </w:rPr>
        <w:t>land</w:t>
      </w:r>
      <w:r>
        <w:t xml:space="preserve"> includes an interest in land.</w:t>
      </w:r>
    </w:p>
    <w:p w14:paraId="31066DF7" w14:textId="77777777" w:rsidR="003D4FF5" w:rsidRDefault="003D4FF5" w:rsidP="003D4FF5">
      <w:pPr>
        <w:pStyle w:val="AH5Sec"/>
      </w:pPr>
      <w:bookmarkStart w:id="353" w:name="_Toc185513970"/>
      <w:r w:rsidRPr="00C8328B">
        <w:rPr>
          <w:rStyle w:val="CharSectNo"/>
        </w:rPr>
        <w:t>781</w:t>
      </w:r>
      <w:r>
        <w:tab/>
        <w:t>Application—div 2.9.6</w:t>
      </w:r>
      <w:bookmarkEnd w:id="353"/>
    </w:p>
    <w:p w14:paraId="5EB5767E" w14:textId="77777777" w:rsidR="003D4FF5" w:rsidRDefault="003D4FF5" w:rsidP="003D4FF5">
      <w:pPr>
        <w:pStyle w:val="Amainreturn"/>
      </w:pPr>
      <w:r>
        <w:t>This division applies only in relation to a proceeding in the Supreme Court in relation to land.</w:t>
      </w:r>
    </w:p>
    <w:p w14:paraId="728FB0D6" w14:textId="77777777" w:rsidR="003D4FF5" w:rsidRDefault="003D4FF5" w:rsidP="003D4FF5">
      <w:pPr>
        <w:pStyle w:val="AH5Sec"/>
      </w:pPr>
      <w:bookmarkStart w:id="354" w:name="_Toc185513971"/>
      <w:r w:rsidRPr="00C8328B">
        <w:rPr>
          <w:rStyle w:val="CharSectNo"/>
        </w:rPr>
        <w:t>782</w:t>
      </w:r>
      <w:r>
        <w:tab/>
        <w:t>Sale of land—order</w:t>
      </w:r>
      <w:bookmarkEnd w:id="354"/>
    </w:p>
    <w:p w14:paraId="0D80059F" w14:textId="77777777" w:rsidR="003D4FF5" w:rsidRDefault="003D4FF5" w:rsidP="003D4FF5">
      <w:pPr>
        <w:pStyle w:val="Amainreturn"/>
      </w:pPr>
      <w:r>
        <w:t>The court may order—</w:t>
      </w:r>
    </w:p>
    <w:p w14:paraId="03644C41" w14:textId="77777777" w:rsidR="003D4FF5" w:rsidRDefault="003D4FF5" w:rsidP="003D4FF5">
      <w:pPr>
        <w:pStyle w:val="Apara"/>
      </w:pPr>
      <w:r>
        <w:tab/>
        <w:t>(a)</w:t>
      </w:r>
      <w:r>
        <w:tab/>
        <w:t>that all or part of the land be sold before the proceeding is decided; and</w:t>
      </w:r>
    </w:p>
    <w:p w14:paraId="39CE0286" w14:textId="77777777"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14:paraId="2F43AF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2A77C59" w14:textId="77777777" w:rsidR="003D4FF5" w:rsidRDefault="003D4FF5" w:rsidP="003D4FF5">
      <w:pPr>
        <w:pStyle w:val="AH5Sec"/>
      </w:pPr>
      <w:bookmarkStart w:id="355" w:name="_Toc185513972"/>
      <w:r w:rsidRPr="00C8328B">
        <w:rPr>
          <w:rStyle w:val="CharSectNo"/>
        </w:rPr>
        <w:t>783</w:t>
      </w:r>
      <w:r>
        <w:tab/>
        <w:t>Sale of land—conduct of sale</w:t>
      </w:r>
      <w:bookmarkEnd w:id="355"/>
    </w:p>
    <w:p w14:paraId="7E5A4875" w14:textId="77777777" w:rsidR="003D4FF5" w:rsidRDefault="003D4FF5" w:rsidP="003D4FF5">
      <w:pPr>
        <w:pStyle w:val="Amain"/>
      </w:pPr>
      <w:r>
        <w:tab/>
        <w:t>(1)</w:t>
      </w:r>
      <w:r>
        <w:tab/>
        <w:t>The court may appoint a party or someone else to have the conduct of the sale if the court—</w:t>
      </w:r>
    </w:p>
    <w:p w14:paraId="689AA072" w14:textId="77777777" w:rsidR="003D4FF5" w:rsidRDefault="003D4FF5" w:rsidP="003D4FF5">
      <w:pPr>
        <w:pStyle w:val="Apara"/>
      </w:pPr>
      <w:r>
        <w:tab/>
        <w:t>(a)</w:t>
      </w:r>
      <w:r>
        <w:tab/>
        <w:t>makes an order under rule 782 that land be sold; or</w:t>
      </w:r>
    </w:p>
    <w:p w14:paraId="0F0A1DA5" w14:textId="77777777" w:rsidR="003D4FF5" w:rsidRDefault="003D4FF5" w:rsidP="003D4FF5">
      <w:pPr>
        <w:pStyle w:val="Apara"/>
        <w:keepNext/>
      </w:pPr>
      <w:r>
        <w:tab/>
        <w:t>(b)</w:t>
      </w:r>
      <w:r>
        <w:tab/>
        <w:t>by a judgment, orders the sale of land.</w:t>
      </w:r>
    </w:p>
    <w:p w14:paraId="121FE97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6D4BEEEA" w14:textId="77777777" w:rsidR="003D4FF5" w:rsidRDefault="003D4FF5" w:rsidP="003D4FF5">
      <w:pPr>
        <w:pStyle w:val="Amain"/>
      </w:pPr>
      <w:r>
        <w:lastRenderedPageBreak/>
        <w:tab/>
        <w:t>(2)</w:t>
      </w:r>
      <w:r>
        <w:tab/>
        <w:t>The court may direct a party to join in the sale and conveyance or transfer or in another matter relating to the sale.</w:t>
      </w:r>
    </w:p>
    <w:p w14:paraId="151976CE" w14:textId="77777777"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14:paraId="0CEF709D" w14:textId="77777777" w:rsidR="003D4FF5" w:rsidRDefault="003D4FF5" w:rsidP="003D4FF5">
      <w:pPr>
        <w:pStyle w:val="Amain"/>
        <w:keepNext/>
      </w:pPr>
      <w:r>
        <w:tab/>
        <w:t>(4)</w:t>
      </w:r>
      <w:r>
        <w:tab/>
        <w:t>Directions given under subrule (3) may include the following:</w:t>
      </w:r>
    </w:p>
    <w:p w14:paraId="58BFFE37" w14:textId="77777777" w:rsidR="003D4FF5" w:rsidRDefault="003D4FF5" w:rsidP="003D4FF5">
      <w:pPr>
        <w:pStyle w:val="Apara"/>
        <w:keepNext/>
      </w:pPr>
      <w:r>
        <w:tab/>
        <w:t>(a)</w:t>
      </w:r>
      <w:r>
        <w:tab/>
        <w:t>stating the kind of sale, including, for example, sale by contract conditional on the court’s approval, private treaty or tender;</w:t>
      </w:r>
    </w:p>
    <w:p w14:paraId="5888733F" w14:textId="77777777" w:rsidR="003D4FF5" w:rsidRDefault="003D4FF5" w:rsidP="003D4FF5">
      <w:pPr>
        <w:pStyle w:val="Apara"/>
      </w:pPr>
      <w:r>
        <w:tab/>
        <w:t>(b)</w:t>
      </w:r>
      <w:r>
        <w:tab/>
        <w:t>setting a minimum or reserve price;</w:t>
      </w:r>
    </w:p>
    <w:p w14:paraId="05BA2DFA" w14:textId="77777777" w:rsidR="003D4FF5" w:rsidRDefault="003D4FF5" w:rsidP="003D4FF5">
      <w:pPr>
        <w:pStyle w:val="Apara"/>
      </w:pPr>
      <w:r>
        <w:tab/>
        <w:t>(c)</w:t>
      </w:r>
      <w:r>
        <w:tab/>
        <w:t>requiring payment of the purchase money into court or to a trustee or someone else;</w:t>
      </w:r>
    </w:p>
    <w:p w14:paraId="52828D7C" w14:textId="77777777" w:rsidR="003D4FF5" w:rsidRDefault="003D4FF5" w:rsidP="003D4FF5">
      <w:pPr>
        <w:pStyle w:val="Apara"/>
      </w:pPr>
      <w:r>
        <w:tab/>
        <w:t>(d)</w:t>
      </w:r>
      <w:r>
        <w:tab/>
        <w:t>for settling the particulars and conditions of sale;</w:t>
      </w:r>
    </w:p>
    <w:p w14:paraId="757ABAB1" w14:textId="77777777" w:rsidR="003D4FF5" w:rsidRDefault="003D4FF5" w:rsidP="003D4FF5">
      <w:pPr>
        <w:pStyle w:val="Apara"/>
      </w:pPr>
      <w:r>
        <w:tab/>
        <w:t>(e)</w:t>
      </w:r>
      <w:r>
        <w:tab/>
        <w:t>for obtaining evidence of value;</w:t>
      </w:r>
    </w:p>
    <w:p w14:paraId="005900AE" w14:textId="77777777" w:rsidR="003D4FF5" w:rsidRDefault="003D4FF5" w:rsidP="003D4FF5">
      <w:pPr>
        <w:pStyle w:val="Apara"/>
      </w:pPr>
      <w:r>
        <w:tab/>
        <w:t>(f)</w:t>
      </w:r>
      <w:r>
        <w:tab/>
        <w:t>stating the remuneration to be allowed to a real estate agent or someone else.</w:t>
      </w:r>
    </w:p>
    <w:p w14:paraId="717BC7BC" w14:textId="77777777" w:rsidR="003D4FF5" w:rsidRDefault="003D4FF5" w:rsidP="003D4FF5">
      <w:pPr>
        <w:pStyle w:val="AH5Sec"/>
      </w:pPr>
      <w:bookmarkStart w:id="356" w:name="_Toc185513973"/>
      <w:r w:rsidRPr="00C8328B">
        <w:rPr>
          <w:rStyle w:val="CharSectNo"/>
        </w:rPr>
        <w:t>784</w:t>
      </w:r>
      <w:r>
        <w:tab/>
        <w:t>Sale of land—certificate of sale result</w:t>
      </w:r>
      <w:bookmarkEnd w:id="356"/>
    </w:p>
    <w:p w14:paraId="34AA5DCD" w14:textId="77777777" w:rsidR="003D4FF5" w:rsidRDefault="003D4FF5" w:rsidP="003D4FF5">
      <w:pPr>
        <w:pStyle w:val="Amain"/>
      </w:pPr>
      <w:r>
        <w:tab/>
        <w:t>(1)</w:t>
      </w:r>
      <w:r>
        <w:tab/>
        <w:t>Unless the court otherwise orders, the result of a sale of land by an order of the court must be certified—</w:t>
      </w:r>
    </w:p>
    <w:p w14:paraId="06DD55EC" w14:textId="77777777" w:rsidR="003D4FF5" w:rsidRDefault="003D4FF5" w:rsidP="003D4FF5">
      <w:pPr>
        <w:pStyle w:val="Apara"/>
      </w:pPr>
      <w:r>
        <w:tab/>
        <w:t>(a)</w:t>
      </w:r>
      <w:r>
        <w:tab/>
        <w:t>for a public auction—by the real estate agent who conducted the sale; or</w:t>
      </w:r>
    </w:p>
    <w:p w14:paraId="7435E70B" w14:textId="77777777" w:rsidR="003D4FF5" w:rsidRDefault="003D4FF5" w:rsidP="003D4FF5">
      <w:pPr>
        <w:pStyle w:val="Apara"/>
        <w:keepNext/>
      </w:pPr>
      <w:r>
        <w:tab/>
        <w:t>(b)</w:t>
      </w:r>
      <w:r>
        <w:tab/>
        <w:t>otherwise—by the person having the conduct of the sale or by the person’s solicitor.</w:t>
      </w:r>
    </w:p>
    <w:p w14:paraId="52ED86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7D4FF5A3" w14:textId="77777777" w:rsidR="003D4FF5" w:rsidRDefault="003D4FF5" w:rsidP="003D4FF5">
      <w:pPr>
        <w:pStyle w:val="Amain"/>
      </w:pPr>
      <w:r>
        <w:tab/>
        <w:t>(2)</w:t>
      </w:r>
      <w:r>
        <w:tab/>
        <w:t>The court may require that the certificate be verified by affidavit of the person certifying.</w:t>
      </w:r>
    </w:p>
    <w:p w14:paraId="7F8F584F" w14:textId="77777777"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14:paraId="393BD6B2" w14:textId="77777777" w:rsidR="003D4FF5" w:rsidRDefault="003D4FF5" w:rsidP="003D4FF5">
      <w:pPr>
        <w:pStyle w:val="AH5Sec"/>
      </w:pPr>
      <w:bookmarkStart w:id="357" w:name="_Toc185513974"/>
      <w:r w:rsidRPr="00C8328B">
        <w:rPr>
          <w:rStyle w:val="CharSectNo"/>
        </w:rPr>
        <w:t>785</w:t>
      </w:r>
      <w:r>
        <w:tab/>
        <w:t>Mortgage, exchange or partition</w:t>
      </w:r>
      <w:bookmarkEnd w:id="357"/>
    </w:p>
    <w:p w14:paraId="47A83837" w14:textId="77777777"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14:paraId="1B816FBF" w14:textId="77777777" w:rsidR="003D4FF5" w:rsidRDefault="003D4FF5" w:rsidP="003D4FF5">
      <w:pPr>
        <w:pStyle w:val="PageBreak"/>
      </w:pPr>
      <w:r>
        <w:br w:type="page"/>
      </w:r>
    </w:p>
    <w:p w14:paraId="4FA8BD17" w14:textId="77777777" w:rsidR="003D4FF5" w:rsidRPr="00C8328B" w:rsidRDefault="003D4FF5" w:rsidP="003D4FF5">
      <w:pPr>
        <w:pStyle w:val="AH2Part"/>
      </w:pPr>
      <w:bookmarkStart w:id="358" w:name="_Toc185513975"/>
      <w:r w:rsidRPr="00C8328B">
        <w:rPr>
          <w:rStyle w:val="CharPartNo"/>
        </w:rPr>
        <w:lastRenderedPageBreak/>
        <w:t>Part 2.10</w:t>
      </w:r>
      <w:r w:rsidRPr="005D331F">
        <w:tab/>
      </w:r>
      <w:r w:rsidRPr="00C8328B">
        <w:rPr>
          <w:rStyle w:val="CharPartText"/>
        </w:rPr>
        <w:t>Offers of compromise</w:t>
      </w:r>
      <w:bookmarkEnd w:id="358"/>
    </w:p>
    <w:p w14:paraId="176AF8DE" w14:textId="77777777" w:rsidR="003D4FF5" w:rsidRDefault="003D4FF5" w:rsidP="003D4FF5">
      <w:pPr>
        <w:pStyle w:val="Placeholder"/>
        <w:suppressLineNumbers/>
      </w:pPr>
      <w:r>
        <w:rPr>
          <w:rStyle w:val="CharDivNo"/>
        </w:rPr>
        <w:t xml:space="preserve">  </w:t>
      </w:r>
      <w:r>
        <w:rPr>
          <w:rStyle w:val="CharDivText"/>
        </w:rPr>
        <w:t xml:space="preserve">  </w:t>
      </w:r>
    </w:p>
    <w:p w14:paraId="7DDA2A7F" w14:textId="77777777" w:rsidR="003D4FF5" w:rsidRPr="005D331F" w:rsidRDefault="003D4FF5" w:rsidP="003D4FF5">
      <w:pPr>
        <w:pStyle w:val="AH5Sec"/>
      </w:pPr>
      <w:bookmarkStart w:id="359" w:name="_Toc185513976"/>
      <w:r w:rsidRPr="00C8328B">
        <w:rPr>
          <w:rStyle w:val="CharSectNo"/>
        </w:rPr>
        <w:t>1000</w:t>
      </w:r>
      <w:r w:rsidRPr="005D331F">
        <w:tab/>
        <w:t>Application—pt 2.10</w:t>
      </w:r>
      <w:bookmarkEnd w:id="359"/>
    </w:p>
    <w:p w14:paraId="359D3FC6" w14:textId="789CD839" w:rsidR="003D4FF5" w:rsidRPr="005D331F" w:rsidRDefault="003D4FF5" w:rsidP="003D4FF5">
      <w:pPr>
        <w:pStyle w:val="Amainreturn"/>
      </w:pPr>
      <w:r w:rsidRPr="005D331F">
        <w:t xml:space="preserve">This part is subject to the </w:t>
      </w:r>
      <w:hyperlink r:id="rId125" w:tooltip="A2002-40" w:history="1">
        <w:r w:rsidRPr="005D331F">
          <w:rPr>
            <w:rStyle w:val="charCitHyperlinkItal"/>
          </w:rPr>
          <w:t>Civil Law (Wrongs) Act 2002</w:t>
        </w:r>
      </w:hyperlink>
      <w:r w:rsidRPr="005D331F">
        <w:t xml:space="preserve">, chapter 14 (Limitations on legal costs) and the </w:t>
      </w:r>
      <w:hyperlink r:id="rId126" w:tooltip="A2008-1" w:history="1">
        <w:r w:rsidRPr="005D331F">
          <w:rPr>
            <w:rStyle w:val="charCitHyperlinkItal"/>
          </w:rPr>
          <w:t>Road Transport (Third-Party Insurance) Act 2008</w:t>
        </w:r>
      </w:hyperlink>
      <w:r w:rsidRPr="005D331F">
        <w:t>, part 4.8 (Mandatory final offers) and part 4.9 (Court proceedings).</w:t>
      </w:r>
    </w:p>
    <w:p w14:paraId="6CA46FA9" w14:textId="77777777" w:rsidR="003D4FF5" w:rsidRPr="005D331F" w:rsidRDefault="003D4FF5" w:rsidP="003D4FF5">
      <w:pPr>
        <w:pStyle w:val="AH5Sec"/>
      </w:pPr>
      <w:bookmarkStart w:id="360" w:name="_Toc185513977"/>
      <w:r w:rsidRPr="00C8328B">
        <w:rPr>
          <w:rStyle w:val="CharSectNo"/>
        </w:rPr>
        <w:t>1001</w:t>
      </w:r>
      <w:r w:rsidRPr="005D331F">
        <w:tab/>
        <w:t>Definitions—pt 2.10</w:t>
      </w:r>
      <w:bookmarkEnd w:id="360"/>
    </w:p>
    <w:p w14:paraId="7B5C9356" w14:textId="77777777" w:rsidR="003D4FF5" w:rsidRPr="005D331F" w:rsidRDefault="003D4FF5" w:rsidP="003D4FF5">
      <w:pPr>
        <w:pStyle w:val="Amainreturn"/>
      </w:pPr>
      <w:r w:rsidRPr="005D331F">
        <w:t>In this part:</w:t>
      </w:r>
    </w:p>
    <w:p w14:paraId="298D4EA4" w14:textId="77777777"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14:paraId="2D0EC1EC" w14:textId="77777777" w:rsidR="003D4FF5" w:rsidRPr="005D331F" w:rsidRDefault="003D4FF5" w:rsidP="003D4FF5">
      <w:pPr>
        <w:pStyle w:val="aDef"/>
      </w:pPr>
      <w:r w:rsidRPr="005D331F">
        <w:rPr>
          <w:rStyle w:val="charBoldItals"/>
        </w:rPr>
        <w:t>offer</w:t>
      </w:r>
      <w:r w:rsidRPr="005D331F">
        <w:t xml:space="preserve"> means an offer of compromise under rule 1002.</w:t>
      </w:r>
    </w:p>
    <w:p w14:paraId="2A323422" w14:textId="77777777"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14:paraId="6306B512" w14:textId="77777777" w:rsidR="003D4FF5" w:rsidRPr="005D331F" w:rsidRDefault="003D4FF5" w:rsidP="003D4FF5">
      <w:pPr>
        <w:pStyle w:val="AH5Sec"/>
      </w:pPr>
      <w:bookmarkStart w:id="361" w:name="_Toc185513978"/>
      <w:r w:rsidRPr="00C8328B">
        <w:rPr>
          <w:rStyle w:val="CharSectNo"/>
        </w:rPr>
        <w:t>1002</w:t>
      </w:r>
      <w:r w:rsidRPr="005D331F">
        <w:tab/>
        <w:t>Making offer</w:t>
      </w:r>
      <w:bookmarkEnd w:id="361"/>
    </w:p>
    <w:p w14:paraId="135D60A3" w14:textId="77777777"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14:paraId="005112AD" w14:textId="77777777" w:rsidR="003D4FF5" w:rsidRPr="005D331F" w:rsidRDefault="003D4FF5" w:rsidP="003D4FF5">
      <w:pPr>
        <w:pStyle w:val="Amain"/>
      </w:pPr>
      <w:r w:rsidRPr="005D331F">
        <w:tab/>
        <w:t>(2)</w:t>
      </w:r>
      <w:r w:rsidRPr="005D331F">
        <w:tab/>
        <w:t>An offer under this rule must—</w:t>
      </w:r>
    </w:p>
    <w:p w14:paraId="414638EF" w14:textId="77777777" w:rsidR="003D4FF5" w:rsidRPr="005D331F" w:rsidRDefault="003D4FF5" w:rsidP="003D4FF5">
      <w:pPr>
        <w:pStyle w:val="Apara"/>
      </w:pPr>
      <w:r w:rsidRPr="005D331F">
        <w:tab/>
        <w:t>(a)</w:t>
      </w:r>
      <w:r w:rsidRPr="005D331F">
        <w:tab/>
        <w:t>identify—</w:t>
      </w:r>
    </w:p>
    <w:p w14:paraId="3E030A9C" w14:textId="77777777" w:rsidR="003D4FF5" w:rsidRPr="005D331F" w:rsidRDefault="003D4FF5" w:rsidP="003D4FF5">
      <w:pPr>
        <w:pStyle w:val="Asubpara"/>
      </w:pPr>
      <w:r w:rsidRPr="005D331F">
        <w:tab/>
        <w:t>(i)</w:t>
      </w:r>
      <w:r w:rsidRPr="005D331F">
        <w:tab/>
        <w:t>the claim or part of the claim to which it relates; and</w:t>
      </w:r>
    </w:p>
    <w:p w14:paraId="15BAC61C" w14:textId="77777777"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14:paraId="394EE5EE" w14:textId="77777777" w:rsidR="003D4FF5" w:rsidRPr="005D331F" w:rsidRDefault="003D4FF5" w:rsidP="002D45B1">
      <w:pPr>
        <w:pStyle w:val="Apara"/>
        <w:keepNext/>
      </w:pPr>
      <w:r w:rsidRPr="005D331F">
        <w:lastRenderedPageBreak/>
        <w:tab/>
        <w:t>(b)</w:t>
      </w:r>
      <w:r w:rsidRPr="005D331F">
        <w:tab/>
        <w:t>if the offer relates only to part of the proceedings, include a statement—</w:t>
      </w:r>
    </w:p>
    <w:p w14:paraId="22D7B96C" w14:textId="77777777"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14:paraId="48F13588" w14:textId="77777777"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14:paraId="689F7F51" w14:textId="77777777" w:rsidR="003D4FF5" w:rsidRPr="005D331F" w:rsidRDefault="003D4FF5" w:rsidP="003D4FF5">
      <w:pPr>
        <w:pStyle w:val="Apara"/>
      </w:pPr>
      <w:r w:rsidRPr="005D331F">
        <w:tab/>
        <w:t>(c)</w:t>
      </w:r>
      <w:r w:rsidRPr="005D331F">
        <w:tab/>
        <w:t>not include an amount for costs or state that it is inclusive of costs; and</w:t>
      </w:r>
    </w:p>
    <w:p w14:paraId="49E42942" w14:textId="77777777" w:rsidR="003D4FF5" w:rsidRPr="005D331F" w:rsidRDefault="003D4FF5" w:rsidP="003D4FF5">
      <w:pPr>
        <w:pStyle w:val="Apara"/>
      </w:pPr>
      <w:r w:rsidRPr="005D331F">
        <w:tab/>
        <w:t>(d)</w:t>
      </w:r>
      <w:r w:rsidRPr="005D331F">
        <w:tab/>
        <w:t>state that the offer has been made in accordance with this part; and</w:t>
      </w:r>
    </w:p>
    <w:p w14:paraId="510F92DB" w14:textId="77777777" w:rsidR="003D4FF5" w:rsidRPr="005D331F" w:rsidRDefault="003D4FF5" w:rsidP="003D4FF5">
      <w:pPr>
        <w:pStyle w:val="Apara"/>
      </w:pPr>
      <w:r w:rsidRPr="005D331F">
        <w:tab/>
        <w:t>(e)</w:t>
      </w:r>
      <w:r w:rsidRPr="005D331F">
        <w:tab/>
        <w:t>state the period of acceptance.</w:t>
      </w:r>
    </w:p>
    <w:p w14:paraId="5D81B924" w14:textId="77777777" w:rsidR="003D4FF5" w:rsidRPr="005D331F" w:rsidRDefault="003D4FF5" w:rsidP="003D4FF5">
      <w:pPr>
        <w:pStyle w:val="Amain"/>
      </w:pPr>
      <w:r w:rsidRPr="005D331F">
        <w:tab/>
        <w:t>(3)</w:t>
      </w:r>
      <w:r w:rsidRPr="005D331F">
        <w:tab/>
        <w:t>An offer under this rule may propose—</w:t>
      </w:r>
    </w:p>
    <w:p w14:paraId="54A89542" w14:textId="77777777" w:rsidR="003D4FF5" w:rsidRPr="005D331F" w:rsidRDefault="003D4FF5" w:rsidP="003D4FF5">
      <w:pPr>
        <w:pStyle w:val="Apara"/>
      </w:pPr>
      <w:r w:rsidRPr="005D331F">
        <w:tab/>
        <w:t>(a)</w:t>
      </w:r>
      <w:r w:rsidRPr="005D331F">
        <w:tab/>
        <w:t>a judgment in favour of the defendant—</w:t>
      </w:r>
    </w:p>
    <w:p w14:paraId="6272F67E" w14:textId="77777777" w:rsidR="003D4FF5" w:rsidRPr="005D331F" w:rsidRDefault="003D4FF5" w:rsidP="003D4FF5">
      <w:pPr>
        <w:pStyle w:val="Asubpara"/>
      </w:pPr>
      <w:r w:rsidRPr="005D331F">
        <w:tab/>
        <w:t>(i)</w:t>
      </w:r>
      <w:r w:rsidRPr="005D331F">
        <w:tab/>
        <w:t>with no order as to costs; or</w:t>
      </w:r>
    </w:p>
    <w:p w14:paraId="6F6720BA" w14:textId="77777777"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14:paraId="625F816B" w14:textId="77777777"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14:paraId="04F4DDD6" w14:textId="77777777"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14:paraId="40EF06CD" w14:textId="77777777"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14:paraId="2CE4B8D2" w14:textId="77777777"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14:paraId="5D931BAA" w14:textId="77777777"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14:paraId="6F993E9E" w14:textId="77777777" w:rsidR="003D4FF5" w:rsidRPr="005D331F" w:rsidRDefault="003D4FF5" w:rsidP="003D4FF5">
      <w:pPr>
        <w:pStyle w:val="Amain"/>
      </w:pPr>
      <w:r w:rsidRPr="005D331F">
        <w:tab/>
        <w:t>(5)</w:t>
      </w:r>
      <w:r w:rsidRPr="005D331F">
        <w:tab/>
        <w:t>The end of a period of acceptance for an offer—</w:t>
      </w:r>
    </w:p>
    <w:p w14:paraId="650428E2" w14:textId="77777777"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14:paraId="6BA15F1C" w14:textId="77777777" w:rsidR="003D4FF5" w:rsidRPr="005D331F" w:rsidRDefault="003D4FF5" w:rsidP="003D4FF5">
      <w:pPr>
        <w:pStyle w:val="Apara"/>
      </w:pPr>
      <w:r w:rsidRPr="005D331F">
        <w:tab/>
        <w:t>(b)</w:t>
      </w:r>
      <w:r w:rsidRPr="005D331F">
        <w:tab/>
        <w:t>in any other case—must be after a period that is reasonable in the circumstances.</w:t>
      </w:r>
    </w:p>
    <w:p w14:paraId="28CA9C6D" w14:textId="77777777"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14:paraId="7FDFC0C2" w14:textId="77777777" w:rsidR="003D4FF5" w:rsidRPr="005D331F" w:rsidRDefault="003D4FF5" w:rsidP="003D4FF5">
      <w:pPr>
        <w:pStyle w:val="Amain"/>
      </w:pPr>
      <w:r w:rsidRPr="005D331F">
        <w:tab/>
        <w:t>(7)</w:t>
      </w:r>
      <w:r w:rsidRPr="005D331F">
        <w:tab/>
        <w:t>Unless the notice of offer otherwise provides, an offer is made without prejudice.</w:t>
      </w:r>
    </w:p>
    <w:p w14:paraId="45F2D766" w14:textId="77777777" w:rsidR="003D4FF5" w:rsidRPr="005D331F" w:rsidRDefault="003D4FF5" w:rsidP="003D4FF5">
      <w:pPr>
        <w:pStyle w:val="Amain"/>
      </w:pPr>
      <w:r w:rsidRPr="005D331F">
        <w:tab/>
        <w:t>(8)</w:t>
      </w:r>
      <w:r w:rsidRPr="005D331F">
        <w:tab/>
        <w:t>A party may make more than 1 offer in relation to the same claim.</w:t>
      </w:r>
    </w:p>
    <w:p w14:paraId="103E46E3" w14:textId="77777777"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14:paraId="40323C58" w14:textId="77777777" w:rsidR="003D4FF5" w:rsidRPr="005D331F" w:rsidRDefault="003D4FF5" w:rsidP="003D4FF5">
      <w:pPr>
        <w:pStyle w:val="Amain"/>
      </w:pPr>
      <w:r w:rsidRPr="005D331F">
        <w:tab/>
        <w:t>(10)</w:t>
      </w:r>
      <w:r w:rsidRPr="005D331F">
        <w:tab/>
        <w:t>A notice of offer purporting to exclude, modify or restrict rule 1010 or rule 1011 is invalid.</w:t>
      </w:r>
    </w:p>
    <w:p w14:paraId="6241D98D" w14:textId="77777777" w:rsidR="003D4FF5" w:rsidRPr="005D331F" w:rsidRDefault="003D4FF5" w:rsidP="003D4FF5">
      <w:pPr>
        <w:pStyle w:val="AH5Sec"/>
      </w:pPr>
      <w:bookmarkStart w:id="362" w:name="_Toc185513979"/>
      <w:r w:rsidRPr="00C8328B">
        <w:rPr>
          <w:rStyle w:val="CharSectNo"/>
        </w:rPr>
        <w:t>1003</w:t>
      </w:r>
      <w:r w:rsidRPr="005D331F">
        <w:tab/>
        <w:t>Acceptance of offer</w:t>
      </w:r>
      <w:bookmarkEnd w:id="362"/>
    </w:p>
    <w:p w14:paraId="1343F168" w14:textId="77777777"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14:paraId="3090EDF0" w14:textId="77777777" w:rsidR="003D4FF5" w:rsidRPr="005D331F" w:rsidRDefault="003D4FF5" w:rsidP="003D4FF5">
      <w:pPr>
        <w:pStyle w:val="Amain"/>
      </w:pPr>
      <w:r w:rsidRPr="005D331F">
        <w:tab/>
        <w:t>(2)</w:t>
      </w:r>
      <w:r w:rsidRPr="005D331F">
        <w:tab/>
        <w:t>The offer may be accepted even if a further offer is made during the period of acceptance for the offer.</w:t>
      </w:r>
    </w:p>
    <w:p w14:paraId="4304CAC8" w14:textId="77777777"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14:paraId="29E43625" w14:textId="77777777" w:rsidR="003D4FF5" w:rsidRPr="005D331F" w:rsidRDefault="003D4FF5" w:rsidP="003D4FF5">
      <w:pPr>
        <w:pStyle w:val="AH5Sec"/>
      </w:pPr>
      <w:bookmarkStart w:id="363" w:name="_Toc185513980"/>
      <w:r w:rsidRPr="00C8328B">
        <w:rPr>
          <w:rStyle w:val="CharSectNo"/>
        </w:rPr>
        <w:lastRenderedPageBreak/>
        <w:t>1004</w:t>
      </w:r>
      <w:r w:rsidRPr="005D331F">
        <w:tab/>
        <w:t>Withdrawal of acceptance</w:t>
      </w:r>
      <w:bookmarkEnd w:id="363"/>
    </w:p>
    <w:p w14:paraId="32FDFAF7" w14:textId="77777777" w:rsidR="003D4FF5" w:rsidRPr="005D331F" w:rsidRDefault="003D4FF5" w:rsidP="003D4FF5">
      <w:pPr>
        <w:pStyle w:val="Amain"/>
      </w:pPr>
      <w:r w:rsidRPr="005D331F">
        <w:tab/>
        <w:t>(1)</w:t>
      </w:r>
      <w:r w:rsidRPr="005D331F">
        <w:tab/>
        <w:t>A party who accepts an offer may, by written notice served on the offeror, withdraw the acceptance if—</w:t>
      </w:r>
    </w:p>
    <w:p w14:paraId="5491A12F" w14:textId="77777777"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14:paraId="71E15E8A" w14:textId="77777777" w:rsidR="003D4FF5" w:rsidRPr="005D331F" w:rsidRDefault="003D4FF5" w:rsidP="003D4FF5">
      <w:pPr>
        <w:pStyle w:val="Apara"/>
      </w:pPr>
      <w:r w:rsidRPr="005D331F">
        <w:tab/>
        <w:t>(b)</w:t>
      </w:r>
      <w:r w:rsidRPr="005D331F">
        <w:tab/>
        <w:t>the court grants the party leave to withdraw the acceptance.</w:t>
      </w:r>
    </w:p>
    <w:p w14:paraId="6DF4C57F" w14:textId="77777777" w:rsidR="003D4FF5" w:rsidRPr="005D331F" w:rsidRDefault="003D4FF5" w:rsidP="003D4FF5">
      <w:pPr>
        <w:pStyle w:val="Amain"/>
      </w:pPr>
      <w:r w:rsidRPr="005D331F">
        <w:tab/>
        <w:t>(2)</w:t>
      </w:r>
      <w:r w:rsidRPr="005D331F">
        <w:tab/>
        <w:t>If the party withdraws acceptance of the offer—</w:t>
      </w:r>
    </w:p>
    <w:p w14:paraId="62499298" w14:textId="77777777"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14:paraId="3B89BBFE" w14:textId="77777777"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14:paraId="2DFDD2E5" w14:textId="77777777" w:rsidR="003D4FF5" w:rsidRPr="005D331F" w:rsidRDefault="003D4FF5" w:rsidP="003D4FF5">
      <w:pPr>
        <w:pStyle w:val="Asubpara"/>
      </w:pPr>
      <w:r w:rsidRPr="005D331F">
        <w:tab/>
        <w:t>(i)</w:t>
      </w:r>
      <w:r w:rsidRPr="005D331F">
        <w:tab/>
        <w:t>restore the parties as nearly as possible to their positions at the time of acceptance; and</w:t>
      </w:r>
    </w:p>
    <w:p w14:paraId="7D9069F0" w14:textId="77777777" w:rsidR="003D4FF5" w:rsidRPr="005D331F" w:rsidRDefault="003D4FF5" w:rsidP="003D4FF5">
      <w:pPr>
        <w:pStyle w:val="Asubpara"/>
      </w:pPr>
      <w:r w:rsidRPr="005D331F">
        <w:tab/>
        <w:t>(ii)</w:t>
      </w:r>
      <w:r w:rsidRPr="005D331F">
        <w:tab/>
        <w:t>give effect to any steps in the proceedings taken as a consequence of the acceptance; and</w:t>
      </w:r>
    </w:p>
    <w:p w14:paraId="283D18B8" w14:textId="77777777" w:rsidR="003D4FF5" w:rsidRPr="005D331F" w:rsidRDefault="003D4FF5" w:rsidP="003D4FF5">
      <w:pPr>
        <w:pStyle w:val="Asubpara"/>
      </w:pPr>
      <w:r w:rsidRPr="005D331F">
        <w:tab/>
        <w:t>(iii)</w:t>
      </w:r>
      <w:r w:rsidRPr="005D331F">
        <w:tab/>
        <w:t>provide for the further conduct of the proceedings.</w:t>
      </w:r>
    </w:p>
    <w:p w14:paraId="4AEA207D" w14:textId="77777777" w:rsidR="003D4FF5" w:rsidRPr="005D331F" w:rsidRDefault="003D4FF5" w:rsidP="003D4FF5">
      <w:pPr>
        <w:pStyle w:val="AH5Sec"/>
      </w:pPr>
      <w:bookmarkStart w:id="364" w:name="_Toc185513981"/>
      <w:r w:rsidRPr="00C8328B">
        <w:rPr>
          <w:rStyle w:val="CharSectNo"/>
        </w:rPr>
        <w:t>1005</w:t>
      </w:r>
      <w:r w:rsidRPr="005D331F">
        <w:tab/>
        <w:t>Failure to comply with accepted offer</w:t>
      </w:r>
      <w:bookmarkEnd w:id="364"/>
    </w:p>
    <w:p w14:paraId="12ED267E" w14:textId="77777777"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14:paraId="2EEA6367"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70F41FA9" w14:textId="77777777"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14:paraId="606F8DE7" w14:textId="77777777"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14:paraId="32A3CC55"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50E2A48E" w14:textId="77777777"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14:paraId="21CFC6F6" w14:textId="77777777"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14:paraId="3B108A02" w14:textId="77777777" w:rsidR="003D4FF5" w:rsidRPr="005D331F" w:rsidRDefault="003D4FF5" w:rsidP="003D4FF5">
      <w:pPr>
        <w:pStyle w:val="Apara"/>
      </w:pPr>
      <w:r w:rsidRPr="005D331F">
        <w:tab/>
        <w:t>(a)</w:t>
      </w:r>
      <w:r w:rsidRPr="005D331F">
        <w:tab/>
        <w:t>may make an order or give a judgment under this rule; and</w:t>
      </w:r>
    </w:p>
    <w:p w14:paraId="048B42E0" w14:textId="77777777" w:rsidR="003D4FF5" w:rsidRPr="005D331F" w:rsidRDefault="003D4FF5" w:rsidP="003D4FF5">
      <w:pPr>
        <w:pStyle w:val="Apara"/>
      </w:pPr>
      <w:r w:rsidRPr="005D331F">
        <w:tab/>
        <w:t>(b)</w:t>
      </w:r>
      <w:r w:rsidRPr="005D331F">
        <w:tab/>
        <w:t>may make an order as to the further conduct of proceedings on the counterclaim it considers appropriate.</w:t>
      </w:r>
    </w:p>
    <w:p w14:paraId="6D913E2D" w14:textId="77777777" w:rsidR="003D4FF5" w:rsidRPr="005D331F" w:rsidRDefault="003D4FF5" w:rsidP="003D4FF5">
      <w:pPr>
        <w:pStyle w:val="AH5Sec"/>
      </w:pPr>
      <w:bookmarkStart w:id="365" w:name="_Toc185513982"/>
      <w:r w:rsidRPr="00C8328B">
        <w:rPr>
          <w:rStyle w:val="CharSectNo"/>
        </w:rPr>
        <w:t>1006</w:t>
      </w:r>
      <w:r w:rsidRPr="005D331F">
        <w:tab/>
        <w:t>Disclosure of offer to court</w:t>
      </w:r>
      <w:bookmarkEnd w:id="365"/>
    </w:p>
    <w:p w14:paraId="780B2407" w14:textId="77777777" w:rsidR="003D4FF5" w:rsidRPr="005D331F" w:rsidRDefault="003D4FF5" w:rsidP="003D4FF5">
      <w:pPr>
        <w:pStyle w:val="Amain"/>
      </w:pPr>
      <w:r w:rsidRPr="005D331F">
        <w:tab/>
        <w:t>(1)</w:t>
      </w:r>
      <w:r w:rsidRPr="005D331F">
        <w:tab/>
        <w:t>No statement that an offer has been made may be included in any pleading or affidavit.</w:t>
      </w:r>
    </w:p>
    <w:p w14:paraId="5E721F18" w14:textId="77777777"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14:paraId="5B1FD3FA" w14:textId="77777777" w:rsidR="003D4FF5" w:rsidRPr="005D331F" w:rsidRDefault="003D4FF5" w:rsidP="002D45B1">
      <w:pPr>
        <w:pStyle w:val="Amain"/>
        <w:keepNext/>
      </w:pPr>
      <w:r w:rsidRPr="005D331F">
        <w:tab/>
        <w:t>(3)</w:t>
      </w:r>
      <w:r w:rsidRPr="005D331F">
        <w:tab/>
        <w:t>Despite subrule (2), an offer may be disclosed to the court—</w:t>
      </w:r>
    </w:p>
    <w:p w14:paraId="6F140C1D" w14:textId="77777777" w:rsidR="003D4FF5" w:rsidRPr="005D331F" w:rsidRDefault="003D4FF5" w:rsidP="003D4FF5">
      <w:pPr>
        <w:pStyle w:val="Apara"/>
      </w:pPr>
      <w:r w:rsidRPr="005D331F">
        <w:tab/>
        <w:t>(a)</w:t>
      </w:r>
      <w:r w:rsidRPr="005D331F">
        <w:tab/>
        <w:t>if a notice of offer provides that the offer is not made without prejudice; or</w:t>
      </w:r>
    </w:p>
    <w:p w14:paraId="6F219CC2" w14:textId="77777777"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14:paraId="7787B1CA" w14:textId="77777777"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14:paraId="2BBC8134" w14:textId="77777777" w:rsidR="003D4FF5" w:rsidRPr="005D331F" w:rsidRDefault="003D4FF5" w:rsidP="003D4FF5">
      <w:pPr>
        <w:pStyle w:val="AH5Sec"/>
      </w:pPr>
      <w:bookmarkStart w:id="366" w:name="_Toc185513983"/>
      <w:r w:rsidRPr="00C8328B">
        <w:rPr>
          <w:rStyle w:val="CharSectNo"/>
        </w:rPr>
        <w:lastRenderedPageBreak/>
        <w:t>1007</w:t>
      </w:r>
      <w:r w:rsidRPr="005D331F">
        <w:tab/>
        <w:t>Compromises in certain Supreme Court proceedings</w:t>
      </w:r>
      <w:bookmarkEnd w:id="366"/>
    </w:p>
    <w:p w14:paraId="79B5743D" w14:textId="77777777" w:rsidR="003D4FF5" w:rsidRPr="005D331F" w:rsidRDefault="003D4FF5" w:rsidP="003D4FF5">
      <w:pPr>
        <w:pStyle w:val="Amain"/>
      </w:pPr>
      <w:r w:rsidRPr="005D331F">
        <w:tab/>
        <w:t>(1)</w:t>
      </w:r>
      <w:r w:rsidRPr="005D331F">
        <w:tab/>
        <w:t>This rule applies to proceedings in the Supreme Court concerning—</w:t>
      </w:r>
    </w:p>
    <w:p w14:paraId="41394BE2" w14:textId="77777777" w:rsidR="003D4FF5" w:rsidRPr="005D331F" w:rsidRDefault="003D4FF5" w:rsidP="003D4FF5">
      <w:pPr>
        <w:pStyle w:val="Apara"/>
      </w:pPr>
      <w:r w:rsidRPr="005D331F">
        <w:tab/>
        <w:t>(a)</w:t>
      </w:r>
      <w:r w:rsidRPr="005D331F">
        <w:tab/>
        <w:t>the administration of a deceased person’s estate; or</w:t>
      </w:r>
    </w:p>
    <w:p w14:paraId="4E210387" w14:textId="77777777" w:rsidR="003D4FF5" w:rsidRPr="005D331F" w:rsidRDefault="003D4FF5" w:rsidP="003D4FF5">
      <w:pPr>
        <w:pStyle w:val="Apara"/>
      </w:pPr>
      <w:r w:rsidRPr="005D331F">
        <w:tab/>
        <w:t>(b)</w:t>
      </w:r>
      <w:r w:rsidRPr="005D331F">
        <w:tab/>
        <w:t>property the subject of a trust; or</w:t>
      </w:r>
    </w:p>
    <w:p w14:paraId="6391377E" w14:textId="77777777"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14:paraId="550ADABA" w14:textId="77777777"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14:paraId="1C75F860" w14:textId="77777777" w:rsidR="003D4FF5" w:rsidRPr="005D331F" w:rsidRDefault="003D4FF5" w:rsidP="003D4FF5">
      <w:pPr>
        <w:pStyle w:val="Apara"/>
      </w:pPr>
      <w:r w:rsidRPr="005D331F">
        <w:tab/>
        <w:t>(a)</w:t>
      </w:r>
      <w:r w:rsidRPr="005D331F">
        <w:tab/>
        <w:t>1 party has agreed to; or</w:t>
      </w:r>
    </w:p>
    <w:p w14:paraId="74C63671" w14:textId="77777777" w:rsidR="003D4FF5" w:rsidRPr="005D331F" w:rsidRDefault="003D4FF5" w:rsidP="003D4FF5">
      <w:pPr>
        <w:pStyle w:val="Apara"/>
      </w:pPr>
      <w:r w:rsidRPr="005D331F">
        <w:tab/>
        <w:t>(b)</w:t>
      </w:r>
      <w:r w:rsidRPr="005D331F">
        <w:tab/>
        <w:t>the court has sanctioned on behalf of the party.</w:t>
      </w:r>
    </w:p>
    <w:p w14:paraId="73237666" w14:textId="77777777"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14:paraId="32820FE1" w14:textId="77777777" w:rsidR="003D4FF5" w:rsidRPr="005D331F" w:rsidRDefault="003D4FF5" w:rsidP="003D4FF5">
      <w:pPr>
        <w:pStyle w:val="AH5Sec"/>
      </w:pPr>
      <w:bookmarkStart w:id="367" w:name="_Toc185513984"/>
      <w:r w:rsidRPr="00C8328B">
        <w:rPr>
          <w:rStyle w:val="CharSectNo"/>
        </w:rPr>
        <w:t>1008</w:t>
      </w:r>
      <w:r w:rsidRPr="005D331F">
        <w:tab/>
        <w:t>Offer to contribute</w:t>
      </w:r>
      <w:bookmarkEnd w:id="367"/>
    </w:p>
    <w:p w14:paraId="42A80913" w14:textId="77777777"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14:paraId="4370EBAE" w14:textId="77777777"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14:paraId="5E0E3A84" w14:textId="77777777"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14:paraId="62E7BEA8" w14:textId="77777777" w:rsidR="003D4FF5" w:rsidRPr="005D331F" w:rsidRDefault="003D4FF5" w:rsidP="003D4FF5">
      <w:pPr>
        <w:pStyle w:val="Apara"/>
      </w:pPr>
      <w:r w:rsidRPr="005D331F">
        <w:tab/>
        <w:t>(c)</w:t>
      </w:r>
      <w:r w:rsidRPr="005D331F">
        <w:tab/>
        <w:t xml:space="preserve">the offer is made without prejudice to the first party’s defence. </w:t>
      </w:r>
    </w:p>
    <w:p w14:paraId="6F8A11AA" w14:textId="77777777" w:rsidR="003D4FF5" w:rsidRPr="005D331F" w:rsidRDefault="003D4FF5" w:rsidP="003D4FF5">
      <w:pPr>
        <w:pStyle w:val="Amain"/>
      </w:pPr>
      <w:r w:rsidRPr="005D331F">
        <w:lastRenderedPageBreak/>
        <w:tab/>
        <w:t>(2)</w:t>
      </w:r>
      <w:r w:rsidRPr="005D331F">
        <w:tab/>
        <w:t>In this rule:</w:t>
      </w:r>
    </w:p>
    <w:p w14:paraId="1ED49069" w14:textId="77777777"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14:paraId="5BB4C41D" w14:textId="77777777" w:rsidR="003D4FF5" w:rsidRPr="005D331F" w:rsidRDefault="003D4FF5" w:rsidP="003D4FF5">
      <w:pPr>
        <w:pStyle w:val="AH5Sec"/>
      </w:pPr>
      <w:bookmarkStart w:id="368" w:name="_Toc185513985"/>
      <w:r w:rsidRPr="00C8328B">
        <w:rPr>
          <w:rStyle w:val="CharSectNo"/>
        </w:rPr>
        <w:t>1009</w:t>
      </w:r>
      <w:r w:rsidRPr="005D331F">
        <w:tab/>
        <w:t>Offer accepted and no provision for costs</w:t>
      </w:r>
      <w:bookmarkEnd w:id="368"/>
    </w:p>
    <w:p w14:paraId="40D480AD" w14:textId="77777777" w:rsidR="003D4FF5" w:rsidRPr="005D331F" w:rsidRDefault="003D4FF5" w:rsidP="003D4FF5">
      <w:pPr>
        <w:pStyle w:val="Amain"/>
      </w:pPr>
      <w:r w:rsidRPr="005D331F">
        <w:tab/>
        <w:t>(1)</w:t>
      </w:r>
      <w:r w:rsidRPr="005D331F">
        <w:tab/>
        <w:t>This rule applies if an offer—</w:t>
      </w:r>
    </w:p>
    <w:p w14:paraId="33593528" w14:textId="77777777" w:rsidR="003D4FF5" w:rsidRPr="005D331F" w:rsidRDefault="003D4FF5" w:rsidP="003D4FF5">
      <w:pPr>
        <w:pStyle w:val="Apara"/>
      </w:pPr>
      <w:r w:rsidRPr="005D331F">
        <w:tab/>
        <w:t>(a)</w:t>
      </w:r>
      <w:r w:rsidRPr="005D331F">
        <w:tab/>
        <w:t>is accepted in relation to a claim; and</w:t>
      </w:r>
    </w:p>
    <w:p w14:paraId="0058FDE0" w14:textId="77777777" w:rsidR="003D4FF5" w:rsidRPr="005D331F" w:rsidRDefault="003D4FF5" w:rsidP="003D4FF5">
      <w:pPr>
        <w:pStyle w:val="Apara"/>
      </w:pPr>
      <w:r w:rsidRPr="005D331F">
        <w:tab/>
        <w:t>(b)</w:t>
      </w:r>
      <w:r w:rsidRPr="005D331F">
        <w:tab/>
        <w:t>does not make provision for costs in relation to the claim.</w:t>
      </w:r>
    </w:p>
    <w:p w14:paraId="711032A5" w14:textId="77777777"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14:paraId="1573CD98" w14:textId="77777777"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14:paraId="16A3066E" w14:textId="77777777" w:rsidR="003D4FF5" w:rsidRPr="005D331F" w:rsidRDefault="003D4FF5" w:rsidP="003D4FF5">
      <w:pPr>
        <w:pStyle w:val="AH5Sec"/>
      </w:pPr>
      <w:bookmarkStart w:id="369" w:name="_Toc185513986"/>
      <w:r w:rsidRPr="00C8328B">
        <w:rPr>
          <w:rStyle w:val="CharSectNo"/>
        </w:rPr>
        <w:t>1010</w:t>
      </w:r>
      <w:r w:rsidRPr="005D331F">
        <w:tab/>
        <w:t>Offer not accepted and judgment no less favourable to plaintiff</w:t>
      </w:r>
      <w:bookmarkEnd w:id="369"/>
    </w:p>
    <w:p w14:paraId="073A6502" w14:textId="77777777"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14:paraId="6641B64C" w14:textId="77777777"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14:paraId="01FB60C6" w14:textId="77777777"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14:paraId="23BC3345" w14:textId="77777777" w:rsidR="003D4FF5" w:rsidRPr="005D331F" w:rsidRDefault="003D4FF5" w:rsidP="00A3583D">
      <w:pPr>
        <w:pStyle w:val="Apara"/>
        <w:keepNext/>
      </w:pPr>
      <w:r w:rsidRPr="005D331F">
        <w:lastRenderedPageBreak/>
        <w:tab/>
        <w:t>(b)</w:t>
      </w:r>
      <w:r w:rsidRPr="005D331F">
        <w:tab/>
        <w:t>in any other case—</w:t>
      </w:r>
    </w:p>
    <w:p w14:paraId="06079F69" w14:textId="77777777"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14:paraId="6D7B323E" w14:textId="77777777" w:rsidR="003D4FF5" w:rsidRPr="005D331F" w:rsidRDefault="003D4FF5" w:rsidP="003D4FF5">
      <w:pPr>
        <w:pStyle w:val="Asubpara"/>
      </w:pPr>
      <w:r w:rsidRPr="005D331F">
        <w:tab/>
        <w:t>(ii)</w:t>
      </w:r>
      <w:r w:rsidRPr="005D331F">
        <w:tab/>
        <w:t>assessed on a solicitor and client basis—</w:t>
      </w:r>
    </w:p>
    <w:p w14:paraId="2A437015"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782F9D55" w14:textId="77777777"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14:paraId="55B3BF90" w14:textId="77777777" w:rsidR="003D4FF5" w:rsidRPr="005D331F" w:rsidRDefault="003D4FF5" w:rsidP="003D4FF5">
      <w:pPr>
        <w:pStyle w:val="AH5Sec"/>
      </w:pPr>
      <w:bookmarkStart w:id="370" w:name="_Toc185513987"/>
      <w:r w:rsidRPr="00C8328B">
        <w:rPr>
          <w:rStyle w:val="CharSectNo"/>
        </w:rPr>
        <w:t>1011</w:t>
      </w:r>
      <w:r w:rsidRPr="005D331F">
        <w:tab/>
        <w:t>Offer not accepted and judgment no more favourable to plaintiff</w:t>
      </w:r>
      <w:bookmarkEnd w:id="370"/>
    </w:p>
    <w:p w14:paraId="6BC8D08D" w14:textId="77777777"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14:paraId="11F597E1" w14:textId="77777777" w:rsidR="003D4FF5" w:rsidRPr="005D331F" w:rsidRDefault="003D4FF5" w:rsidP="002D45B1">
      <w:pPr>
        <w:pStyle w:val="Amain"/>
        <w:keepNext/>
      </w:pPr>
      <w:r w:rsidRPr="005D331F">
        <w:tab/>
        <w:t>(2)</w:t>
      </w:r>
      <w:r w:rsidRPr="005D331F">
        <w:tab/>
        <w:t>Unless the court orders otherwise—</w:t>
      </w:r>
    </w:p>
    <w:p w14:paraId="15D04086" w14:textId="77777777" w:rsidR="003D4FF5" w:rsidRPr="005D331F" w:rsidRDefault="003D4FF5" w:rsidP="003D4FF5">
      <w:pPr>
        <w:pStyle w:val="Apara"/>
      </w:pPr>
      <w:r w:rsidRPr="005D331F">
        <w:tab/>
        <w:t>(a)</w:t>
      </w:r>
      <w:r w:rsidRPr="005D331F">
        <w:tab/>
        <w:t>if the claim is a personal injury claim—the plaintiff—</w:t>
      </w:r>
    </w:p>
    <w:p w14:paraId="7148077A" w14:textId="77777777"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14:paraId="7353D95D" w14:textId="77777777"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14:paraId="72C6C356" w14:textId="77777777"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14:paraId="4E40B280" w14:textId="77777777" w:rsidR="003D4FF5" w:rsidRPr="005D331F" w:rsidRDefault="003D4FF5" w:rsidP="00A3583D">
      <w:pPr>
        <w:pStyle w:val="Apara"/>
        <w:keepNext/>
      </w:pPr>
      <w:r w:rsidRPr="005D331F">
        <w:lastRenderedPageBreak/>
        <w:tab/>
        <w:t>(b)</w:t>
      </w:r>
      <w:r w:rsidRPr="005D331F">
        <w:tab/>
        <w:t>in any other case—</w:t>
      </w:r>
    </w:p>
    <w:p w14:paraId="230CC6DF" w14:textId="77777777"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14:paraId="3C3621D8" w14:textId="77777777"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14:paraId="03BD243A"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0A2386DC" w14:textId="77777777"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14:paraId="0FF96BD5" w14:textId="77777777" w:rsidR="003D4FF5" w:rsidRPr="005D331F" w:rsidRDefault="003D4FF5" w:rsidP="003D4FF5">
      <w:pPr>
        <w:pStyle w:val="AH5Sec"/>
      </w:pPr>
      <w:bookmarkStart w:id="371" w:name="_Toc185513988"/>
      <w:r w:rsidRPr="00C8328B">
        <w:rPr>
          <w:rStyle w:val="CharSectNo"/>
        </w:rPr>
        <w:t>1012</w:t>
      </w:r>
      <w:r w:rsidRPr="005D331F">
        <w:tab/>
        <w:t>Offer not accepted and judgment no less favourable to defendant</w:t>
      </w:r>
      <w:bookmarkEnd w:id="371"/>
    </w:p>
    <w:p w14:paraId="6EAA8FE9" w14:textId="77777777"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14:paraId="205FCD11" w14:textId="77777777" w:rsidR="003D4FF5" w:rsidRPr="005D331F" w:rsidRDefault="003D4FF5" w:rsidP="003D4FF5">
      <w:pPr>
        <w:pStyle w:val="Amain"/>
      </w:pPr>
      <w:r w:rsidRPr="005D331F">
        <w:tab/>
        <w:t>(2)</w:t>
      </w:r>
      <w:r w:rsidRPr="005D331F">
        <w:tab/>
        <w:t>Unless the court orders otherwise—</w:t>
      </w:r>
    </w:p>
    <w:p w14:paraId="164ABC8D" w14:textId="77777777"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14:paraId="4C30299D" w14:textId="77777777"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14:paraId="6EB9554F" w14:textId="77777777" w:rsidR="003D4FF5" w:rsidRPr="005D331F" w:rsidRDefault="003D4FF5" w:rsidP="003D4FF5">
      <w:pPr>
        <w:pStyle w:val="Asubpara"/>
      </w:pPr>
      <w:r w:rsidRPr="005D331F">
        <w:tab/>
        <w:t>(i)</w:t>
      </w:r>
      <w:r w:rsidRPr="005D331F">
        <w:tab/>
        <w:t>if the offer was made before the first day of the trial—on and from the day after the offer was made; and</w:t>
      </w:r>
    </w:p>
    <w:p w14:paraId="570A9968" w14:textId="77777777"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14:paraId="4CABFF3A" w14:textId="77777777" w:rsidR="003D4FF5" w:rsidRPr="005D331F" w:rsidRDefault="003D4FF5" w:rsidP="003D4FF5">
      <w:pPr>
        <w:pStyle w:val="AH5Sec"/>
      </w:pPr>
      <w:bookmarkStart w:id="372" w:name="_Toc185513989"/>
      <w:r w:rsidRPr="00C8328B">
        <w:rPr>
          <w:rStyle w:val="CharSectNo"/>
        </w:rPr>
        <w:t>1013</w:t>
      </w:r>
      <w:r w:rsidRPr="005D331F">
        <w:tab/>
        <w:t>Costs in relation to interest</w:t>
      </w:r>
      <w:bookmarkEnd w:id="372"/>
    </w:p>
    <w:p w14:paraId="7D6B22BE" w14:textId="77777777" w:rsidR="003D4FF5" w:rsidRPr="005D331F" w:rsidRDefault="003D4FF5" w:rsidP="003D4FF5">
      <w:pPr>
        <w:pStyle w:val="Amain"/>
      </w:pPr>
      <w:r w:rsidRPr="005D331F">
        <w:tab/>
        <w:t>(1)</w:t>
      </w:r>
      <w:r w:rsidRPr="005D331F">
        <w:tab/>
        <w:t>This rule applies if a plaintiff obtains an order or judgment for the payment of a debt or damages, and—</w:t>
      </w:r>
    </w:p>
    <w:p w14:paraId="1220C897" w14:textId="77777777"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14:paraId="0EBBFC2F" w14:textId="77777777"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14:paraId="5CC65ACF" w14:textId="77777777"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14:paraId="409698D5" w14:textId="77777777"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14:paraId="6C71F0DA" w14:textId="77777777" w:rsidR="003D4FF5" w:rsidRPr="005D331F" w:rsidRDefault="003D4FF5" w:rsidP="003D4FF5">
      <w:pPr>
        <w:pStyle w:val="AH5Sec"/>
      </w:pPr>
      <w:bookmarkStart w:id="373" w:name="_Toc185513990"/>
      <w:r w:rsidRPr="00C8328B">
        <w:rPr>
          <w:rStyle w:val="CharSectNo"/>
        </w:rPr>
        <w:t>1014</w:t>
      </w:r>
      <w:r w:rsidRPr="005D331F">
        <w:tab/>
        <w:t>Miscellaneous</w:t>
      </w:r>
      <w:bookmarkEnd w:id="373"/>
    </w:p>
    <w:p w14:paraId="6A31D45A" w14:textId="77777777"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14:paraId="14AC75F6" w14:textId="77777777"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14:paraId="37361C1C" w14:textId="77777777"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14:paraId="31E12B6D" w14:textId="77777777" w:rsidR="003D4FF5" w:rsidRPr="005D331F" w:rsidRDefault="003D4FF5" w:rsidP="003D4FF5">
      <w:pPr>
        <w:pStyle w:val="Apara"/>
      </w:pPr>
      <w:r w:rsidRPr="005D331F">
        <w:tab/>
        <w:t>(a)</w:t>
      </w:r>
      <w:r w:rsidRPr="005D331F">
        <w:tab/>
        <w:t>rule 1010 and rule 1011 do not apply; and</w:t>
      </w:r>
    </w:p>
    <w:p w14:paraId="264BB27E" w14:textId="77777777" w:rsidR="003D4FF5" w:rsidRPr="005D331F" w:rsidRDefault="003D4FF5" w:rsidP="003D4FF5">
      <w:pPr>
        <w:pStyle w:val="Apara"/>
      </w:pPr>
      <w:r w:rsidRPr="005D331F">
        <w:lastRenderedPageBreak/>
        <w:tab/>
        <w:t>(b)</w:t>
      </w:r>
      <w:r w:rsidRPr="005D331F">
        <w:tab/>
        <w:t>the offeror must pay the costs of the party making the request caused by the request.</w:t>
      </w:r>
    </w:p>
    <w:p w14:paraId="410B4099" w14:textId="77777777"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14:paraId="67BA0998" w14:textId="77777777" w:rsidR="003D4FF5" w:rsidRDefault="003D4FF5" w:rsidP="003D4FF5">
      <w:pPr>
        <w:pStyle w:val="PageBreak"/>
      </w:pPr>
      <w:r>
        <w:br w:type="page"/>
      </w:r>
    </w:p>
    <w:p w14:paraId="670EE827" w14:textId="77777777" w:rsidR="003D4FF5" w:rsidRPr="00C8328B" w:rsidRDefault="003D4FF5" w:rsidP="003D4FF5">
      <w:pPr>
        <w:pStyle w:val="AH2Part"/>
      </w:pPr>
      <w:bookmarkStart w:id="374" w:name="_Toc185513991"/>
      <w:r w:rsidRPr="00C8328B">
        <w:rPr>
          <w:rStyle w:val="CharPartNo"/>
        </w:rPr>
        <w:lastRenderedPageBreak/>
        <w:t>Part 2.11</w:t>
      </w:r>
      <w:r>
        <w:tab/>
      </w:r>
      <w:r w:rsidRPr="00C8328B">
        <w:rPr>
          <w:rStyle w:val="CharPartText"/>
        </w:rPr>
        <w:t>Resolving proceedings early</w:t>
      </w:r>
      <w:bookmarkEnd w:id="374"/>
    </w:p>
    <w:p w14:paraId="41ED1B80" w14:textId="77777777" w:rsidR="003D4FF5" w:rsidRPr="00C8328B" w:rsidRDefault="003D4FF5" w:rsidP="003D4FF5">
      <w:pPr>
        <w:pStyle w:val="AH3Div"/>
      </w:pPr>
      <w:bookmarkStart w:id="375" w:name="_Toc185513992"/>
      <w:r w:rsidRPr="00C8328B">
        <w:rPr>
          <w:rStyle w:val="CharDivNo"/>
        </w:rPr>
        <w:t>Division 2.11.1</w:t>
      </w:r>
      <w:r>
        <w:tab/>
      </w:r>
      <w:r w:rsidRPr="00C8328B">
        <w:rPr>
          <w:rStyle w:val="CharDivText"/>
        </w:rPr>
        <w:t>Uncontested debts and liquidated demands</w:t>
      </w:r>
      <w:bookmarkEnd w:id="375"/>
    </w:p>
    <w:p w14:paraId="4044D697" w14:textId="77777777" w:rsidR="003D4FF5" w:rsidRDefault="003D4FF5" w:rsidP="003D4FF5">
      <w:pPr>
        <w:pStyle w:val="AH5Sec"/>
      </w:pPr>
      <w:bookmarkStart w:id="376" w:name="_Toc185513993"/>
      <w:r w:rsidRPr="00C8328B">
        <w:rPr>
          <w:rStyle w:val="CharSectNo"/>
        </w:rPr>
        <w:t>1100</w:t>
      </w:r>
      <w:r>
        <w:tab/>
        <w:t xml:space="preserve">Meaning of </w:t>
      </w:r>
      <w:r w:rsidRPr="005A5F43">
        <w:rPr>
          <w:rStyle w:val="charItals"/>
        </w:rPr>
        <w:t>prescribed costs amount</w:t>
      </w:r>
      <w:r>
        <w:t>—div 2.11.1</w:t>
      </w:r>
      <w:bookmarkEnd w:id="376"/>
    </w:p>
    <w:p w14:paraId="2BE93792" w14:textId="77777777" w:rsidR="003D4FF5" w:rsidRDefault="003D4FF5" w:rsidP="003D4FF5">
      <w:pPr>
        <w:pStyle w:val="Amainreturn"/>
        <w:keepNext/>
      </w:pPr>
      <w:r>
        <w:t>In this division:</w:t>
      </w:r>
    </w:p>
    <w:p w14:paraId="2D05B847" w14:textId="77777777"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14:paraId="4F7B4645" w14:textId="77777777" w:rsidR="003D4FF5" w:rsidRDefault="003D4FF5" w:rsidP="003D4FF5">
      <w:pPr>
        <w:pStyle w:val="AH5Sec"/>
      </w:pPr>
      <w:bookmarkStart w:id="377" w:name="_Toc185513994"/>
      <w:r w:rsidRPr="00C8328B">
        <w:rPr>
          <w:rStyle w:val="CharSectNo"/>
        </w:rPr>
        <w:t>1101</w:t>
      </w:r>
      <w:r>
        <w:tab/>
        <w:t>Application—div 2.11.1</w:t>
      </w:r>
      <w:bookmarkEnd w:id="377"/>
    </w:p>
    <w:p w14:paraId="4743B409" w14:textId="77777777" w:rsidR="003D4FF5" w:rsidRDefault="003D4FF5" w:rsidP="003D4FF5">
      <w:pPr>
        <w:pStyle w:val="Amainreturn"/>
      </w:pPr>
      <w:r>
        <w:t>This division applies to a proceeding that—</w:t>
      </w:r>
    </w:p>
    <w:p w14:paraId="0B5E977D" w14:textId="77777777" w:rsidR="003D4FF5" w:rsidRDefault="003D4FF5" w:rsidP="003D4FF5">
      <w:pPr>
        <w:pStyle w:val="Apara"/>
      </w:pPr>
      <w:r>
        <w:tab/>
        <w:t>(a)</w:t>
      </w:r>
      <w:r>
        <w:tab/>
        <w:t>is for a debt or liquidated demand only; and</w:t>
      </w:r>
    </w:p>
    <w:p w14:paraId="46E63E32" w14:textId="77777777" w:rsidR="003D4FF5" w:rsidRDefault="003D4FF5" w:rsidP="003D4FF5">
      <w:pPr>
        <w:pStyle w:val="Apara"/>
        <w:keepNext/>
      </w:pPr>
      <w:r>
        <w:tab/>
        <w:t>(b)</w:t>
      </w:r>
      <w:r>
        <w:tab/>
        <w:t>is started by originating claim.</w:t>
      </w:r>
    </w:p>
    <w:p w14:paraId="09ECEF51" w14:textId="77777777"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61A5A029" w14:textId="77777777" w:rsidR="003D4FF5" w:rsidRDefault="003D4FF5" w:rsidP="003D4FF5">
      <w:pPr>
        <w:pStyle w:val="AH5Sec"/>
      </w:pPr>
      <w:bookmarkStart w:id="378" w:name="_Toc185513995"/>
      <w:r w:rsidRPr="00C8328B">
        <w:rPr>
          <w:rStyle w:val="CharSectNo"/>
        </w:rPr>
        <w:t>1102</w:t>
      </w:r>
      <w:r>
        <w:tab/>
        <w:t>Stay of debt etc proceeding on payment of amount sought</w:t>
      </w:r>
      <w:bookmarkEnd w:id="378"/>
    </w:p>
    <w:p w14:paraId="29FE2567" w14:textId="77777777" w:rsidR="003D4FF5" w:rsidRDefault="003D4FF5" w:rsidP="003D4FF5">
      <w:pPr>
        <w:pStyle w:val="Amain"/>
      </w:pPr>
      <w:r>
        <w:tab/>
        <w:t>(1)</w:t>
      </w:r>
      <w:r>
        <w:tab/>
        <w:t>The proceeding is stayed if, within the time allowed for filing any notice of intention to respond or defence, the defendant pays the plaintiff—</w:t>
      </w:r>
    </w:p>
    <w:p w14:paraId="15EDB876" w14:textId="77777777" w:rsidR="003D4FF5" w:rsidRDefault="003D4FF5" w:rsidP="003D4FF5">
      <w:pPr>
        <w:pStyle w:val="Apara"/>
      </w:pPr>
      <w:r>
        <w:tab/>
        <w:t>(a)</w:t>
      </w:r>
      <w:r>
        <w:tab/>
        <w:t>the amount claimed; and</w:t>
      </w:r>
    </w:p>
    <w:p w14:paraId="5BCA4AC0" w14:textId="77777777" w:rsidR="003D4FF5" w:rsidRDefault="003D4FF5" w:rsidP="003D4FF5">
      <w:pPr>
        <w:pStyle w:val="Apara"/>
      </w:pPr>
      <w:r>
        <w:tab/>
        <w:t>(b)</w:t>
      </w:r>
      <w:r>
        <w:tab/>
        <w:t>any amounts claimed for interest; and</w:t>
      </w:r>
    </w:p>
    <w:p w14:paraId="7AA29751" w14:textId="77777777" w:rsidR="003D4FF5" w:rsidRDefault="003D4FF5" w:rsidP="003D4FF5">
      <w:pPr>
        <w:pStyle w:val="Apara"/>
        <w:keepNext/>
      </w:pPr>
      <w:r>
        <w:tab/>
        <w:t>(c)</w:t>
      </w:r>
      <w:r>
        <w:tab/>
        <w:t>the prescribed costs amount plus any filing and service fees actually paid.</w:t>
      </w:r>
    </w:p>
    <w:p w14:paraId="4A93EA06" w14:textId="77777777"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14:paraId="2785BBBA" w14:textId="77777777"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14:paraId="507F965A" w14:textId="77777777" w:rsidR="003D4FF5" w:rsidRDefault="003D4FF5" w:rsidP="003D4FF5">
      <w:pPr>
        <w:pStyle w:val="Amain"/>
      </w:pPr>
      <w:r>
        <w:tab/>
        <w:t>(3)</w:t>
      </w:r>
      <w:r>
        <w:tab/>
        <w:t>This rule does not apply to the assessment or enforcement of costs.</w:t>
      </w:r>
    </w:p>
    <w:p w14:paraId="49B7D4FC" w14:textId="77777777" w:rsidR="003D4FF5" w:rsidRDefault="003D4FF5" w:rsidP="003D4FF5">
      <w:pPr>
        <w:pStyle w:val="AH5Sec"/>
      </w:pPr>
      <w:bookmarkStart w:id="379" w:name="_Toc185513996"/>
      <w:r w:rsidRPr="00C8328B">
        <w:rPr>
          <w:rStyle w:val="CharSectNo"/>
        </w:rPr>
        <w:t>1103</w:t>
      </w:r>
      <w:r>
        <w:tab/>
        <w:t>Assessment of costs for stayed debt etc proceeding</w:t>
      </w:r>
      <w:bookmarkEnd w:id="379"/>
    </w:p>
    <w:p w14:paraId="2C729CAB" w14:textId="77777777" w:rsidR="003D4FF5" w:rsidRDefault="003D4FF5" w:rsidP="003D4FF5">
      <w:pPr>
        <w:pStyle w:val="Amain"/>
      </w:pPr>
      <w:r>
        <w:tab/>
        <w:t>(1)</w:t>
      </w:r>
      <w:r>
        <w:tab/>
        <w:t>This rule applies if a proceeding is stayed under rule 1102 (1).</w:t>
      </w:r>
    </w:p>
    <w:p w14:paraId="43F10CC9" w14:textId="77777777" w:rsidR="003D4FF5" w:rsidRDefault="003D4FF5" w:rsidP="003D4FF5">
      <w:pPr>
        <w:pStyle w:val="Amain"/>
      </w:pPr>
      <w:r>
        <w:tab/>
        <w:t>(2)</w:t>
      </w:r>
      <w:r>
        <w:tab/>
        <w:t>The plaintiff may have the plaintiff’s costs assessed if—</w:t>
      </w:r>
    </w:p>
    <w:p w14:paraId="11844B7F" w14:textId="77777777" w:rsidR="003D4FF5" w:rsidRDefault="003D4FF5" w:rsidP="003D4FF5">
      <w:pPr>
        <w:pStyle w:val="Apara"/>
      </w:pPr>
      <w:r>
        <w:tab/>
        <w:t>(a)</w:t>
      </w:r>
      <w:r>
        <w:tab/>
        <w:t>the plaintiff claims for costs and disbursements (other than any filing and service fees actually paid) more than the prescribed costs amount; or</w:t>
      </w:r>
    </w:p>
    <w:p w14:paraId="1B50FDC3" w14:textId="77777777" w:rsidR="003D4FF5" w:rsidRDefault="003D4FF5" w:rsidP="003D4FF5">
      <w:pPr>
        <w:pStyle w:val="Apara"/>
      </w:pPr>
      <w:r>
        <w:tab/>
        <w:t>(b)</w:t>
      </w:r>
      <w:r>
        <w:tab/>
        <w:t>the plaintiff claims assessed costs.</w:t>
      </w:r>
    </w:p>
    <w:p w14:paraId="0D23E547" w14:textId="77777777"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14:paraId="351F9A8D" w14:textId="77777777" w:rsidR="003D4FF5" w:rsidRDefault="003D4FF5" w:rsidP="003D4FF5">
      <w:pPr>
        <w:pStyle w:val="AH5Sec"/>
      </w:pPr>
      <w:bookmarkStart w:id="380" w:name="_Toc185513997"/>
      <w:r w:rsidRPr="00C8328B">
        <w:rPr>
          <w:rStyle w:val="CharSectNo"/>
        </w:rPr>
        <w:t>1104</w:t>
      </w:r>
      <w:r>
        <w:tab/>
        <w:t>Judgment on acknowledgment of debt or liquidated demand</w:t>
      </w:r>
      <w:bookmarkEnd w:id="380"/>
    </w:p>
    <w:p w14:paraId="1878F12F" w14:textId="77777777" w:rsidR="003D4FF5" w:rsidRDefault="003D4FF5" w:rsidP="003D4FF5">
      <w:pPr>
        <w:pStyle w:val="Amain"/>
      </w:pPr>
      <w:r>
        <w:tab/>
        <w:t>(1)</w:t>
      </w:r>
      <w:r>
        <w:tab/>
        <w:t>The defendant may file a statement acknowledging—</w:t>
      </w:r>
    </w:p>
    <w:p w14:paraId="72C9695E" w14:textId="77777777" w:rsidR="003D4FF5" w:rsidRDefault="003D4FF5" w:rsidP="003D4FF5">
      <w:pPr>
        <w:pStyle w:val="Apara"/>
      </w:pPr>
      <w:r>
        <w:tab/>
        <w:t>(a)</w:t>
      </w:r>
      <w:r>
        <w:tab/>
        <w:t>the amount claimed; and</w:t>
      </w:r>
    </w:p>
    <w:p w14:paraId="33DC3E6D" w14:textId="77777777" w:rsidR="003D4FF5" w:rsidRDefault="003D4FF5" w:rsidP="003D4FF5">
      <w:pPr>
        <w:pStyle w:val="Apara"/>
        <w:keepNext/>
      </w:pPr>
      <w:r>
        <w:tab/>
        <w:t>(b)</w:t>
      </w:r>
      <w:r>
        <w:tab/>
        <w:t>if interest is claimed—interest.</w:t>
      </w:r>
    </w:p>
    <w:p w14:paraId="23539811" w14:textId="4BAF1B42"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27" w:history="1">
        <w:r w:rsidRPr="00AB262B">
          <w:rPr>
            <w:rStyle w:val="charCitHyperlinkAbbrev"/>
          </w:rPr>
          <w:t>AF2006-279</w:t>
        </w:r>
      </w:hyperlink>
      <w:r>
        <w:t>.</w:t>
      </w:r>
    </w:p>
    <w:p w14:paraId="58FD8E0E" w14:textId="77777777" w:rsidR="003D4FF5" w:rsidRDefault="003D4FF5" w:rsidP="003D4FF5">
      <w:pPr>
        <w:pStyle w:val="Amain"/>
      </w:pPr>
      <w:r>
        <w:tab/>
        <w:t>(2)</w:t>
      </w:r>
      <w:r>
        <w:tab/>
        <w:t>Subrule (1) does not apply if the defendant has filed a defence or the plaintiff has filed an application for default judgment in accordance with these rules.</w:t>
      </w:r>
    </w:p>
    <w:p w14:paraId="123F8CAD" w14:textId="77777777" w:rsidR="003D4FF5" w:rsidRDefault="003D4FF5" w:rsidP="002D45B1">
      <w:pPr>
        <w:pStyle w:val="Amain"/>
        <w:keepNext/>
      </w:pPr>
      <w:r>
        <w:lastRenderedPageBreak/>
        <w:tab/>
        <w:t>(3)</w:t>
      </w:r>
      <w:r>
        <w:tab/>
        <w:t>On the filing of a statement under subrule (1), the court may enter judgment for the plaintiff for—</w:t>
      </w:r>
    </w:p>
    <w:p w14:paraId="2B04774E" w14:textId="77777777" w:rsidR="003D4FF5" w:rsidRDefault="003D4FF5" w:rsidP="003D4FF5">
      <w:pPr>
        <w:pStyle w:val="Apara"/>
      </w:pPr>
      <w:r>
        <w:tab/>
        <w:t>(a)</w:t>
      </w:r>
      <w:r>
        <w:tab/>
        <w:t>the amount claimed; and</w:t>
      </w:r>
    </w:p>
    <w:p w14:paraId="6561B67D" w14:textId="77777777" w:rsidR="003D4FF5" w:rsidRDefault="003D4FF5" w:rsidP="003D4FF5">
      <w:pPr>
        <w:pStyle w:val="Apara"/>
      </w:pPr>
      <w:r>
        <w:tab/>
        <w:t>(b)</w:t>
      </w:r>
      <w:r>
        <w:tab/>
        <w:t>if interest is claimed—</w:t>
      </w:r>
    </w:p>
    <w:p w14:paraId="70A2BA5D" w14:textId="77777777" w:rsidR="003D4FF5" w:rsidRDefault="003D4FF5" w:rsidP="003D4FF5">
      <w:pPr>
        <w:pStyle w:val="Asubpara"/>
      </w:pPr>
      <w:r>
        <w:tab/>
        <w:t>(i)</w:t>
      </w:r>
      <w:r>
        <w:tab/>
        <w:t>interest worked out in accordance with the rate stated in the claim for relief to the date of judgment; or</w:t>
      </w:r>
    </w:p>
    <w:p w14:paraId="2DD483A3" w14:textId="77777777" w:rsidR="003D4FF5" w:rsidRDefault="003D4FF5" w:rsidP="003D4FF5">
      <w:pPr>
        <w:pStyle w:val="Asubpara"/>
      </w:pPr>
      <w:r>
        <w:tab/>
        <w:t>(ii)</w:t>
      </w:r>
      <w:r>
        <w:tab/>
        <w:t>if no rate of interest is stated in the claim for relief—interest to the date of judgment, or a lump sum instead of that interest, decided by the court; and</w:t>
      </w:r>
    </w:p>
    <w:p w14:paraId="4CCAD5D0" w14:textId="77777777" w:rsidR="003D4FF5" w:rsidRDefault="003D4FF5" w:rsidP="003D4FF5">
      <w:pPr>
        <w:pStyle w:val="Apara"/>
      </w:pPr>
      <w:r>
        <w:tab/>
        <w:t>(c)</w:t>
      </w:r>
      <w:r>
        <w:tab/>
        <w:t>if costs are claimed—</w:t>
      </w:r>
    </w:p>
    <w:p w14:paraId="1C795EFC" w14:textId="77777777"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14:paraId="773DBBE4" w14:textId="77777777" w:rsidR="003D4FF5" w:rsidRDefault="003D4FF5" w:rsidP="003D4FF5">
      <w:pPr>
        <w:pStyle w:val="Asubpara"/>
      </w:pPr>
      <w:r>
        <w:tab/>
        <w:t>(ii)</w:t>
      </w:r>
      <w:r>
        <w:tab/>
        <w:t>in any other case—costs to be agreed or assessed.</w:t>
      </w:r>
    </w:p>
    <w:p w14:paraId="165E0B92" w14:textId="77777777" w:rsidR="003D4FF5" w:rsidRDefault="003D4FF5" w:rsidP="003D4FF5">
      <w:pPr>
        <w:pStyle w:val="Amain"/>
      </w:pPr>
      <w:r>
        <w:tab/>
        <w:t>(4)</w:t>
      </w:r>
      <w:r>
        <w:tab/>
        <w:t>The court may enter judgment for the plaintiff without a hearing.</w:t>
      </w:r>
    </w:p>
    <w:p w14:paraId="30EEAFB0" w14:textId="77777777"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14:paraId="4FD6CFFF" w14:textId="77777777"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14:paraId="7EF65A66" w14:textId="77777777"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14:paraId="4BF7096B" w14:textId="77777777" w:rsidR="003D4FF5" w:rsidRDefault="003D4FF5" w:rsidP="003D4FF5">
      <w:pPr>
        <w:pStyle w:val="Amain"/>
      </w:pPr>
      <w:r>
        <w:tab/>
        <w:t>(8)</w:t>
      </w:r>
      <w:r>
        <w:tab/>
        <w:t>Judgment entered under subrule (3) fully discharges all the plaintiff’s claims in the proceeding.</w:t>
      </w:r>
    </w:p>
    <w:p w14:paraId="5F312C34" w14:textId="77777777"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14:paraId="7C79BB0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6508EA36" w14:textId="77777777" w:rsidR="003D4FF5" w:rsidRPr="00C8328B" w:rsidRDefault="003D4FF5" w:rsidP="003D4FF5">
      <w:pPr>
        <w:pStyle w:val="AH3Div"/>
      </w:pPr>
      <w:bookmarkStart w:id="381" w:name="_Toc185513998"/>
      <w:r w:rsidRPr="00C8328B">
        <w:rPr>
          <w:rStyle w:val="CharDivNo"/>
        </w:rPr>
        <w:t>Division 2.11.2</w:t>
      </w:r>
      <w:r>
        <w:tab/>
      </w:r>
      <w:r w:rsidRPr="00C8328B">
        <w:rPr>
          <w:rStyle w:val="CharDivText"/>
        </w:rPr>
        <w:t>Default by plaintiff</w:t>
      </w:r>
      <w:bookmarkEnd w:id="381"/>
    </w:p>
    <w:p w14:paraId="220DFE66" w14:textId="77777777" w:rsidR="003D4FF5" w:rsidRDefault="003D4FF5" w:rsidP="003D4FF5">
      <w:pPr>
        <w:pStyle w:val="AH5Sec"/>
      </w:pPr>
      <w:bookmarkStart w:id="382" w:name="_Toc185513999"/>
      <w:r w:rsidRPr="00C8328B">
        <w:rPr>
          <w:rStyle w:val="CharSectNo"/>
        </w:rPr>
        <w:t>1110</w:t>
      </w:r>
      <w:r>
        <w:tab/>
        <w:t>Default by plaintiff—dismissal of proceeding</w:t>
      </w:r>
      <w:bookmarkEnd w:id="382"/>
    </w:p>
    <w:p w14:paraId="0DE54E4C" w14:textId="77777777" w:rsidR="003D4FF5" w:rsidRDefault="003D4FF5" w:rsidP="003D4FF5">
      <w:pPr>
        <w:pStyle w:val="Amain"/>
      </w:pPr>
      <w:r>
        <w:tab/>
        <w:t>(1)</w:t>
      </w:r>
      <w:r>
        <w:tab/>
        <w:t>A defendant in a proceeding may apply to the court for an order dismissing the proceeding for want of prosecution if the plaintiff—</w:t>
      </w:r>
    </w:p>
    <w:p w14:paraId="30F978C6" w14:textId="77777777" w:rsidR="003D4FF5" w:rsidRDefault="003D4FF5" w:rsidP="003D4FF5">
      <w:pPr>
        <w:pStyle w:val="Apara"/>
      </w:pPr>
      <w:r>
        <w:tab/>
        <w:t>(a)</w:t>
      </w:r>
      <w:r>
        <w:tab/>
        <w:t>is required to take a step in the proceeding required by these rules, or to comply with an order of the court, not later than the end of a particular time; and</w:t>
      </w:r>
    </w:p>
    <w:p w14:paraId="6D9B227D" w14:textId="77777777" w:rsidR="003D4FF5" w:rsidRDefault="003D4FF5" w:rsidP="003D4FF5">
      <w:pPr>
        <w:pStyle w:val="Apara"/>
        <w:keepNext/>
      </w:pPr>
      <w:r>
        <w:tab/>
        <w:t>(b)</w:t>
      </w:r>
      <w:r>
        <w:tab/>
        <w:t>does not do what is required before the end of that time.</w:t>
      </w:r>
    </w:p>
    <w:p w14:paraId="7386F81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E86CBD" w14:textId="77777777" w:rsidR="003D4FF5" w:rsidRDefault="003D4FF5" w:rsidP="003D4FF5">
      <w:pPr>
        <w:pStyle w:val="Amain"/>
      </w:pPr>
      <w:r>
        <w:tab/>
        <w:t>(2)</w:t>
      </w:r>
      <w:r>
        <w:tab/>
        <w:t>The court may dismiss the proceeding or make any other order it considers appropriate.</w:t>
      </w:r>
    </w:p>
    <w:p w14:paraId="3EA0552B" w14:textId="77777777" w:rsidR="003D4FF5" w:rsidRDefault="003D4FF5" w:rsidP="003D4FF5">
      <w:pPr>
        <w:pStyle w:val="Amain"/>
      </w:pPr>
      <w:r>
        <w:tab/>
        <w:t>(3)</w:t>
      </w:r>
      <w:r>
        <w:tab/>
        <w:t>An order dismissing the proceeding for want of prosecution may be set aside only on appeal or if the parties agree to it being set aside.</w:t>
      </w:r>
    </w:p>
    <w:p w14:paraId="27F0298A" w14:textId="77777777"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14:paraId="43766195"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2F8A71CA" w14:textId="77777777" w:rsidR="003D4FF5" w:rsidRPr="00C8328B" w:rsidRDefault="003D4FF5" w:rsidP="003D4FF5">
      <w:pPr>
        <w:pStyle w:val="AH3Div"/>
      </w:pPr>
      <w:bookmarkStart w:id="383" w:name="_Toc185514000"/>
      <w:r w:rsidRPr="00C8328B">
        <w:rPr>
          <w:rStyle w:val="CharDivNo"/>
        </w:rPr>
        <w:lastRenderedPageBreak/>
        <w:t>Division 2.11.3</w:t>
      </w:r>
      <w:r>
        <w:tab/>
      </w:r>
      <w:r w:rsidRPr="00C8328B">
        <w:rPr>
          <w:rStyle w:val="CharDivText"/>
        </w:rPr>
        <w:t>Default by defendant</w:t>
      </w:r>
      <w:bookmarkEnd w:id="383"/>
    </w:p>
    <w:p w14:paraId="6D3C11FF" w14:textId="77777777" w:rsidR="003D4FF5" w:rsidRDefault="003D4FF5" w:rsidP="003D4FF5">
      <w:pPr>
        <w:pStyle w:val="AH5Sec"/>
      </w:pPr>
      <w:bookmarkStart w:id="384" w:name="_Toc185514001"/>
      <w:r w:rsidRPr="00C8328B">
        <w:rPr>
          <w:rStyle w:val="CharSectNo"/>
        </w:rPr>
        <w:t>1115</w:t>
      </w:r>
      <w:r>
        <w:tab/>
        <w:t>Definitions—div 2.11.3</w:t>
      </w:r>
      <w:bookmarkEnd w:id="384"/>
    </w:p>
    <w:p w14:paraId="348B45A5" w14:textId="77777777" w:rsidR="003D4FF5" w:rsidRDefault="003D4FF5" w:rsidP="003D4FF5">
      <w:pPr>
        <w:pStyle w:val="Amainreturn"/>
        <w:keepNext/>
      </w:pPr>
      <w:r>
        <w:t>In this division:</w:t>
      </w:r>
    </w:p>
    <w:p w14:paraId="5DFB94E5" w14:textId="77777777" w:rsidR="003D4FF5" w:rsidRDefault="003D4FF5" w:rsidP="003D4FF5">
      <w:pPr>
        <w:pStyle w:val="aDef"/>
      </w:pPr>
      <w:r w:rsidRPr="005A5F43">
        <w:rPr>
          <w:rStyle w:val="charBoldItals"/>
        </w:rPr>
        <w:t>affidavit in support</w:t>
      </w:r>
      <w:r>
        <w:t>—see rule 1119 (Default judgment—relevant affidavits).</w:t>
      </w:r>
    </w:p>
    <w:p w14:paraId="178BF9BF" w14:textId="77777777"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14:paraId="6FF8E515" w14:textId="77777777" w:rsidR="003D4FF5" w:rsidRDefault="003D4FF5" w:rsidP="003D4FF5">
      <w:pPr>
        <w:pStyle w:val="aDef"/>
        <w:keepNext/>
      </w:pPr>
      <w:r w:rsidRPr="005A5F43">
        <w:rPr>
          <w:rStyle w:val="charBoldItals"/>
        </w:rPr>
        <w:t>qualified person</w:t>
      </w:r>
      <w:r>
        <w:t xml:space="preserve"> means any of the following:</w:t>
      </w:r>
    </w:p>
    <w:p w14:paraId="3A794885" w14:textId="77777777" w:rsidR="003D4FF5" w:rsidRDefault="003D4FF5" w:rsidP="003D4FF5">
      <w:pPr>
        <w:pStyle w:val="Apara"/>
      </w:pPr>
      <w:r>
        <w:tab/>
        <w:t>(a)</w:t>
      </w:r>
      <w:r>
        <w:tab/>
        <w:t>the plaintiff’s solicitor;</w:t>
      </w:r>
    </w:p>
    <w:p w14:paraId="59DFF3C0" w14:textId="77777777" w:rsidR="003D4FF5" w:rsidRDefault="003D4FF5" w:rsidP="003D4FF5">
      <w:pPr>
        <w:pStyle w:val="Apara"/>
      </w:pPr>
      <w:r>
        <w:tab/>
        <w:t>(b)</w:t>
      </w:r>
      <w:r>
        <w:tab/>
        <w:t>if the plaintiff is a person with a legal disability—the person’s litigation guardian;</w:t>
      </w:r>
    </w:p>
    <w:p w14:paraId="7F96F9FE" w14:textId="77777777" w:rsidR="003D4FF5" w:rsidRDefault="003D4FF5" w:rsidP="003D4FF5">
      <w:pPr>
        <w:pStyle w:val="Apara"/>
      </w:pPr>
      <w:r>
        <w:tab/>
        <w:t>(c)</w:t>
      </w:r>
      <w:r>
        <w:tab/>
        <w:t>if the person is a corporation—a member or officer of the corporation with knowledge of the facts as far as they are known to the corporation;</w:t>
      </w:r>
    </w:p>
    <w:p w14:paraId="5E017F08" w14:textId="77777777" w:rsidR="003D4FF5" w:rsidRDefault="003D4FF5" w:rsidP="003D4FF5">
      <w:pPr>
        <w:pStyle w:val="Apara"/>
      </w:pPr>
      <w:r>
        <w:tab/>
        <w:t>(d)</w:t>
      </w:r>
      <w:r>
        <w:tab/>
        <w:t>if the plaintiff is a corporation for which a receiver or a receiver and manager has been appointed—the receiver or the receiver and manager;</w:t>
      </w:r>
    </w:p>
    <w:p w14:paraId="7A733630" w14:textId="77777777"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14:paraId="30F2B8F0" w14:textId="77777777"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14:paraId="6AAD9F6F" w14:textId="77777777"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14:paraId="21CA53C5" w14:textId="77777777" w:rsidR="003D4FF5" w:rsidRDefault="003D4FF5" w:rsidP="003D4FF5">
      <w:pPr>
        <w:pStyle w:val="Apara"/>
      </w:pPr>
      <w:r>
        <w:lastRenderedPageBreak/>
        <w:tab/>
        <w:t>(h)</w:t>
      </w:r>
      <w:r>
        <w:tab/>
        <w:t>in any other case—an officer, employee or agent of the plaintiff having knowledge of the facts as far as they are known to the plaintiff.</w:t>
      </w:r>
    </w:p>
    <w:p w14:paraId="69FC7C5D" w14:textId="77777777" w:rsidR="003D4FF5" w:rsidRDefault="003D4FF5" w:rsidP="003D4FF5">
      <w:pPr>
        <w:pStyle w:val="AH5Sec"/>
      </w:pPr>
      <w:bookmarkStart w:id="385" w:name="_Toc185514002"/>
      <w:r w:rsidRPr="00C8328B">
        <w:rPr>
          <w:rStyle w:val="CharSectNo"/>
        </w:rPr>
        <w:t>1116</w:t>
      </w:r>
      <w:r>
        <w:tab/>
        <w:t>Application—div 2.11.3</w:t>
      </w:r>
      <w:bookmarkEnd w:id="385"/>
    </w:p>
    <w:p w14:paraId="163BE6C9" w14:textId="77777777" w:rsidR="003D4FF5" w:rsidRDefault="003D4FF5" w:rsidP="003D4FF5">
      <w:pPr>
        <w:pStyle w:val="Amainreturn"/>
      </w:pPr>
      <w:r>
        <w:t>This division applies to—</w:t>
      </w:r>
    </w:p>
    <w:p w14:paraId="13116F2F" w14:textId="77777777" w:rsidR="003D4FF5" w:rsidRDefault="003D4FF5" w:rsidP="003D4FF5">
      <w:pPr>
        <w:pStyle w:val="Apara"/>
      </w:pPr>
      <w:r>
        <w:tab/>
        <w:t>(a)</w:t>
      </w:r>
      <w:r>
        <w:tab/>
        <w:t>a proceeding started by originating claim; and</w:t>
      </w:r>
    </w:p>
    <w:p w14:paraId="1EE32077" w14:textId="77777777" w:rsidR="003D4FF5" w:rsidRDefault="003D4FF5" w:rsidP="003D4FF5">
      <w:pPr>
        <w:pStyle w:val="Apara"/>
        <w:keepNext/>
      </w:pPr>
      <w:r>
        <w:tab/>
        <w:t>(b)</w:t>
      </w:r>
      <w:r>
        <w:tab/>
        <w:t>a counterclaim, or third-party notice, made in a proceeding started by originating claim.</w:t>
      </w:r>
    </w:p>
    <w:p w14:paraId="0A61262A"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C01BDD3"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9DC13B4" w14:textId="77777777"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14:paraId="0AECC83F" w14:textId="77777777" w:rsidR="003D4FF5" w:rsidRPr="005A5F43" w:rsidRDefault="003D4FF5" w:rsidP="003D4FF5">
      <w:pPr>
        <w:pStyle w:val="AH5Sec"/>
        <w:rPr>
          <w:rStyle w:val="charItals"/>
        </w:rPr>
      </w:pPr>
      <w:bookmarkStart w:id="386" w:name="_Toc185514003"/>
      <w:r w:rsidRPr="00C8328B">
        <w:rPr>
          <w:rStyle w:val="CharSectNo"/>
        </w:rPr>
        <w:t>1117</w:t>
      </w:r>
      <w:r>
        <w:tab/>
        <w:t xml:space="preserve">When is a defendant </w:t>
      </w:r>
      <w:r w:rsidRPr="005A5F43">
        <w:rPr>
          <w:rStyle w:val="charItals"/>
        </w:rPr>
        <w:t>in default</w:t>
      </w:r>
      <w:r>
        <w:t>—generally</w:t>
      </w:r>
      <w:bookmarkEnd w:id="386"/>
    </w:p>
    <w:p w14:paraId="38CAC312" w14:textId="77777777"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14:paraId="55AA6D7E"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14:paraId="06376074" w14:textId="77777777" w:rsidR="003D4FF5" w:rsidRDefault="003D4FF5" w:rsidP="003D4FF5">
      <w:pPr>
        <w:pStyle w:val="Apara"/>
      </w:pPr>
      <w:r>
        <w:tab/>
        <w:t>(a)</w:t>
      </w:r>
      <w:r>
        <w:tab/>
        <w:t>for a proceeding started by originating claim—</w:t>
      </w:r>
    </w:p>
    <w:p w14:paraId="157C0847" w14:textId="77777777"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14:paraId="52563FDE" w14:textId="77777777"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51DD0AB4" w14:textId="77777777"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14:paraId="27F07A2D" w14:textId="77777777" w:rsidR="003D4FF5" w:rsidRDefault="003D4FF5" w:rsidP="003D4FF5">
      <w:pPr>
        <w:pStyle w:val="Asubpara"/>
        <w:keepNext/>
      </w:pPr>
      <w:r>
        <w:tab/>
        <w:t>(iv)</w:t>
      </w:r>
      <w:r>
        <w:tab/>
        <w:t>the defendant files a defence but the court orders the defence to be struck out; and</w:t>
      </w:r>
    </w:p>
    <w:p w14:paraId="4F8BE192" w14:textId="77777777"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14:paraId="445973FB" w14:textId="77777777" w:rsidR="003D4FF5" w:rsidRDefault="003D4FF5" w:rsidP="003D4FF5">
      <w:pPr>
        <w:pStyle w:val="Apara"/>
      </w:pPr>
      <w:r>
        <w:tab/>
        <w:t>(b)</w:t>
      </w:r>
      <w:r>
        <w:tab/>
        <w:t>for a counterclaim—</w:t>
      </w:r>
    </w:p>
    <w:p w14:paraId="36C34B23" w14:textId="77777777"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14:paraId="7D264737" w14:textId="77777777" w:rsidR="003D4FF5" w:rsidRDefault="003D4FF5" w:rsidP="003D4FF5">
      <w:pPr>
        <w:pStyle w:val="Asubpara"/>
      </w:pPr>
      <w:r>
        <w:tab/>
        <w:t>(ii)</w:t>
      </w:r>
      <w:r>
        <w:tab/>
        <w:t>the defendant to the counterclaim files an answer to the counterclaim but the court orders the answer to be struck out; and</w:t>
      </w:r>
    </w:p>
    <w:p w14:paraId="40871073" w14:textId="77777777" w:rsidR="003D4FF5" w:rsidRDefault="003D4FF5" w:rsidP="003D4FF5">
      <w:pPr>
        <w:pStyle w:val="Apara"/>
      </w:pPr>
      <w:r>
        <w:tab/>
        <w:t>(c)</w:t>
      </w:r>
      <w:r>
        <w:tab/>
        <w:t>for a third-party notice—</w:t>
      </w:r>
    </w:p>
    <w:p w14:paraId="188EF534" w14:textId="77777777"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14:paraId="3F61952C" w14:textId="77777777"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1DA48530" w14:textId="77777777"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14:paraId="4B9651DC" w14:textId="77777777" w:rsidR="003D4FF5" w:rsidRDefault="003D4FF5" w:rsidP="003D4FF5">
      <w:pPr>
        <w:pStyle w:val="Asubpara"/>
        <w:keepNext/>
      </w:pPr>
      <w:r>
        <w:tab/>
        <w:t>(iv)</w:t>
      </w:r>
      <w:r>
        <w:tab/>
        <w:t>the third party files a defence but the court orders the defence to be struck out.</w:t>
      </w:r>
    </w:p>
    <w:p w14:paraId="60CF5370" w14:textId="77777777"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14:paraId="0CC0ECD2" w14:textId="77777777"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14:paraId="6049F4CD" w14:textId="77777777"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14:paraId="10414560" w14:textId="77777777"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14:paraId="330F32BE" w14:textId="77777777" w:rsidR="003D4FF5" w:rsidRDefault="003D4FF5" w:rsidP="003D4FF5">
      <w:pPr>
        <w:pStyle w:val="Apara"/>
      </w:pPr>
      <w:r>
        <w:tab/>
        <w:t>(a)</w:t>
      </w:r>
      <w:r>
        <w:tab/>
        <w:t>for a proceeding started by originating claim—</w:t>
      </w:r>
    </w:p>
    <w:p w14:paraId="691A65B5" w14:textId="77777777" w:rsidR="003D4FF5" w:rsidRDefault="003D4FF5" w:rsidP="003D4FF5">
      <w:pPr>
        <w:pStyle w:val="Asubpara"/>
      </w:pPr>
      <w:r>
        <w:tab/>
        <w:t>(i)</w:t>
      </w:r>
      <w:r>
        <w:tab/>
        <w:t>the proceeding is stayed under rule 1102 (Stay of debt etc proceeding on payment of amount sought); or</w:t>
      </w:r>
    </w:p>
    <w:p w14:paraId="34BCC3EB" w14:textId="77777777" w:rsidR="003D4FF5" w:rsidRDefault="003D4FF5" w:rsidP="003D4FF5">
      <w:pPr>
        <w:pStyle w:val="Asubpara"/>
      </w:pPr>
      <w:r>
        <w:tab/>
        <w:t>(ii)</w:t>
      </w:r>
      <w:r>
        <w:tab/>
        <w:t>the defendant files a statement under rule 1104 (Judgment on acknowledgment of debt or liquidated demand); or</w:t>
      </w:r>
    </w:p>
    <w:p w14:paraId="48B4EF2E" w14:textId="77777777"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14:paraId="60488543" w14:textId="77777777"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14:paraId="592D351A" w14:textId="77777777"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14:paraId="365B1783" w14:textId="77777777" w:rsidR="003D4FF5" w:rsidRDefault="003D4FF5" w:rsidP="003D4FF5">
      <w:pPr>
        <w:pStyle w:val="AH5Sec"/>
      </w:pPr>
      <w:bookmarkStart w:id="387" w:name="_Toc185514004"/>
      <w:r w:rsidRPr="00C8328B">
        <w:rPr>
          <w:rStyle w:val="CharSectNo"/>
        </w:rPr>
        <w:t>1118</w:t>
      </w:r>
      <w:r>
        <w:tab/>
        <w:t>Default judgment—generally</w:t>
      </w:r>
      <w:bookmarkEnd w:id="387"/>
    </w:p>
    <w:p w14:paraId="5FA1DA19" w14:textId="77777777" w:rsidR="003D4FF5" w:rsidRDefault="003D4FF5" w:rsidP="003D4FF5">
      <w:pPr>
        <w:pStyle w:val="Amain"/>
      </w:pPr>
      <w:r>
        <w:tab/>
        <w:t>(1)</w:t>
      </w:r>
      <w:r>
        <w:tab/>
        <w:t>If a defendant is in default in relation to a plaintiff’s claim for relief, the plaintiff—</w:t>
      </w:r>
    </w:p>
    <w:p w14:paraId="5F38E54B" w14:textId="77777777" w:rsidR="003D4FF5" w:rsidRDefault="003D4FF5" w:rsidP="003D4FF5">
      <w:pPr>
        <w:pStyle w:val="Apara"/>
      </w:pPr>
      <w:r>
        <w:tab/>
        <w:t>(a)</w:t>
      </w:r>
      <w:r>
        <w:tab/>
        <w:t>may apply to the court for judgment to be entered under this division against the defendant; and</w:t>
      </w:r>
    </w:p>
    <w:p w14:paraId="24C163E3" w14:textId="77777777" w:rsidR="003D4FF5" w:rsidRDefault="003D4FF5" w:rsidP="003D4FF5">
      <w:pPr>
        <w:pStyle w:val="Apara"/>
      </w:pPr>
      <w:r>
        <w:tab/>
        <w:t>(b)</w:t>
      </w:r>
      <w:r>
        <w:tab/>
        <w:t>may carry on the proceeding against any other party to the proceeding.</w:t>
      </w:r>
    </w:p>
    <w:p w14:paraId="2A21B5B0"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6A43D995" w14:textId="77777777"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14:paraId="47FF0F42" w14:textId="77777777"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14:paraId="1EF9208F" w14:textId="77777777" w:rsidR="003D4FF5" w:rsidRDefault="003D4FF5" w:rsidP="003D4FF5">
      <w:pPr>
        <w:pStyle w:val="Amain"/>
        <w:keepNext/>
      </w:pPr>
      <w:r>
        <w:tab/>
        <w:t>(3)</w:t>
      </w:r>
      <w:r>
        <w:tab/>
        <w:t>If rule 1126 does not apply to the application, the application is made by filing a draft judgment accompanied by the relevant affidavits.</w:t>
      </w:r>
    </w:p>
    <w:p w14:paraId="5662CFA9" w14:textId="2DADFFA8"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28" w:history="1">
        <w:r w:rsidR="00E26868">
          <w:rPr>
            <w:rStyle w:val="charCitHyperlinkAbbrev"/>
          </w:rPr>
          <w:t>AF2016-103</w:t>
        </w:r>
      </w:hyperlink>
      <w:r>
        <w:t>.</w:t>
      </w:r>
    </w:p>
    <w:p w14:paraId="27C56BB3" w14:textId="77777777" w:rsidR="003D4FF5" w:rsidRDefault="003D4FF5" w:rsidP="003D4FF5">
      <w:pPr>
        <w:pStyle w:val="Amain"/>
      </w:pPr>
      <w:r>
        <w:tab/>
        <w:t>(4)</w:t>
      </w:r>
      <w:r>
        <w:tab/>
        <w:t>Part 6.2 (Applications in proceedings) does not apply to an application under subrule (3).</w:t>
      </w:r>
    </w:p>
    <w:p w14:paraId="5BC17BAE"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28B2B142" w14:textId="77777777" w:rsidR="003D4FF5" w:rsidRDefault="003D4FF5" w:rsidP="003D4FF5">
      <w:pPr>
        <w:pStyle w:val="Amain"/>
      </w:pPr>
      <w:r>
        <w:lastRenderedPageBreak/>
        <w:tab/>
        <w:t>(6)</w:t>
      </w:r>
      <w:r>
        <w:tab/>
        <w:t>The court may enter judgment under this division (other than rule 1126) in favour of the plaintiff without a hearing.</w:t>
      </w:r>
    </w:p>
    <w:p w14:paraId="6A46EBCB" w14:textId="77777777" w:rsidR="003D4FF5" w:rsidRDefault="003D4FF5" w:rsidP="003D4FF5">
      <w:pPr>
        <w:pStyle w:val="AH5Sec"/>
      </w:pPr>
      <w:bookmarkStart w:id="388" w:name="_Toc185514005"/>
      <w:r w:rsidRPr="00C8328B">
        <w:rPr>
          <w:rStyle w:val="CharSectNo"/>
        </w:rPr>
        <w:t>1119</w:t>
      </w:r>
      <w:r>
        <w:tab/>
        <w:t>Default judgment—relevant affidavits</w:t>
      </w:r>
      <w:bookmarkEnd w:id="388"/>
    </w:p>
    <w:p w14:paraId="3DD0BB24" w14:textId="77777777"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14:paraId="0BA8193E" w14:textId="77777777" w:rsidR="003D4FF5" w:rsidRDefault="003D4FF5" w:rsidP="003D4FF5">
      <w:pPr>
        <w:pStyle w:val="Apara"/>
        <w:keepNext/>
      </w:pPr>
      <w:r>
        <w:tab/>
        <w:t>(a)</w:t>
      </w:r>
      <w:r>
        <w:tab/>
        <w:t>for a proceeding started by originating claim—an affidavit of service of the originating claim; and</w:t>
      </w:r>
    </w:p>
    <w:p w14:paraId="4ADD05BD" w14:textId="77777777"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14:paraId="1C31EF91" w14:textId="77777777"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14:paraId="42C0413A" w14:textId="77777777" w:rsidR="003D4FF5" w:rsidRDefault="003D4FF5" w:rsidP="003D4FF5">
      <w:pPr>
        <w:pStyle w:val="Asubpara"/>
      </w:pPr>
      <w:r>
        <w:tab/>
        <w:t>(i)</w:t>
      </w:r>
      <w:r>
        <w:tab/>
        <w:t>the plaintiff or, if there are 2 or more plaintiffs, any plaintiff; or</w:t>
      </w:r>
    </w:p>
    <w:p w14:paraId="649326B5" w14:textId="77777777" w:rsidR="003D4FF5" w:rsidRDefault="003D4FF5" w:rsidP="003D4FF5">
      <w:pPr>
        <w:pStyle w:val="Asubpara"/>
      </w:pPr>
      <w:r>
        <w:tab/>
        <w:t>(ii)</w:t>
      </w:r>
      <w:r>
        <w:tab/>
        <w:t>a qualified person.</w:t>
      </w:r>
    </w:p>
    <w:p w14:paraId="7C40E962" w14:textId="2DA0A5C4"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29" w:history="1">
        <w:r w:rsidRPr="00AB262B">
          <w:rPr>
            <w:rStyle w:val="charCitHyperlinkAbbrev"/>
          </w:rPr>
          <w:t>AF2006-281</w:t>
        </w:r>
      </w:hyperlink>
      <w:r>
        <w:t>.</w:t>
      </w:r>
    </w:p>
    <w:p w14:paraId="61464990" w14:textId="77777777" w:rsidR="003D4FF5" w:rsidRDefault="003D4FF5" w:rsidP="003D4FF5">
      <w:pPr>
        <w:pStyle w:val="Amain"/>
      </w:pPr>
      <w:r>
        <w:tab/>
        <w:t>(2)</w:t>
      </w:r>
      <w:r>
        <w:tab/>
        <w:t>The plaintiff’s solicitor may swear an affidavit in support only if the source of the knowledge of the facts deposed is—</w:t>
      </w:r>
    </w:p>
    <w:p w14:paraId="608107FB" w14:textId="77777777" w:rsidR="003D4FF5" w:rsidRDefault="003D4FF5" w:rsidP="003D4FF5">
      <w:pPr>
        <w:pStyle w:val="Apara"/>
      </w:pPr>
      <w:r>
        <w:tab/>
        <w:t>(a)</w:t>
      </w:r>
      <w:r>
        <w:tab/>
        <w:t>the plaintiff; or</w:t>
      </w:r>
    </w:p>
    <w:p w14:paraId="511C0CE3" w14:textId="77777777" w:rsidR="003D4FF5" w:rsidRDefault="003D4FF5" w:rsidP="003D4FF5">
      <w:pPr>
        <w:pStyle w:val="Apara"/>
      </w:pPr>
      <w:r>
        <w:tab/>
        <w:t>(b)</w:t>
      </w:r>
      <w:r>
        <w:tab/>
        <w:t>if there are 2 or more plaintiffs—any plaintiff; or</w:t>
      </w:r>
    </w:p>
    <w:p w14:paraId="3C273F1A" w14:textId="77777777" w:rsidR="003D4FF5" w:rsidRDefault="003D4FF5" w:rsidP="003D4FF5">
      <w:pPr>
        <w:pStyle w:val="Apara"/>
      </w:pPr>
      <w:r>
        <w:tab/>
        <w:t>(c)</w:t>
      </w:r>
      <w:r>
        <w:tab/>
        <w:t>another qualified person.</w:t>
      </w:r>
    </w:p>
    <w:p w14:paraId="48AC8BBB" w14:textId="77777777" w:rsidR="003D4FF5" w:rsidRDefault="003D4FF5" w:rsidP="003D4FF5">
      <w:pPr>
        <w:pStyle w:val="Amain"/>
        <w:keepNext/>
      </w:pPr>
      <w:r>
        <w:lastRenderedPageBreak/>
        <w:tab/>
        <w:t>(3)</w:t>
      </w:r>
      <w:r>
        <w:tab/>
        <w:t>An affidavit in support must be sworn not earlier than 14 days before the day the affidavit is filed in the court.</w:t>
      </w:r>
    </w:p>
    <w:p w14:paraId="1E79631F" w14:textId="77777777"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14:paraId="31DC5C1A" w14:textId="77777777"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14:paraId="6DC621FE" w14:textId="77777777"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14:paraId="6512F13A" w14:textId="77777777"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14:paraId="22BD23E6" w14:textId="77777777"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14:paraId="4D1702A0" w14:textId="77777777" w:rsidR="003D4FF5" w:rsidRDefault="003D4FF5" w:rsidP="003D4FF5">
      <w:pPr>
        <w:pStyle w:val="aNoteBullet"/>
      </w:pPr>
      <w:r>
        <w:rPr>
          <w:rFonts w:ascii="Symbol" w:hAnsi="Symbol"/>
        </w:rPr>
        <w:sym w:font="Symbol" w:char="F0B7"/>
      </w:r>
      <w:r>
        <w:rPr>
          <w:rFonts w:ascii="Symbol" w:hAnsi="Symbol"/>
        </w:rPr>
        <w:tab/>
      </w:r>
      <w:r>
        <w:t>r 1125 (Default judgment—mixed claims)</w:t>
      </w:r>
    </w:p>
    <w:p w14:paraId="06CC8653" w14:textId="77777777" w:rsidR="003D4FF5" w:rsidRDefault="003D4FF5" w:rsidP="003D4FF5">
      <w:pPr>
        <w:pStyle w:val="aNoteBullet"/>
      </w:pPr>
      <w:r>
        <w:rPr>
          <w:rFonts w:ascii="Symbol" w:hAnsi="Symbol"/>
        </w:rPr>
        <w:sym w:font="Symbol" w:char="F0B7"/>
      </w:r>
      <w:r>
        <w:rPr>
          <w:rFonts w:ascii="Symbol" w:hAnsi="Symbol"/>
        </w:rPr>
        <w:tab/>
      </w:r>
      <w:r>
        <w:t>r 1126 (Default judgment—other claims).</w:t>
      </w:r>
    </w:p>
    <w:p w14:paraId="6F49DB97" w14:textId="77777777" w:rsidR="003D4FF5" w:rsidRDefault="003D4FF5" w:rsidP="003D4FF5">
      <w:pPr>
        <w:pStyle w:val="AH5Sec"/>
      </w:pPr>
      <w:bookmarkStart w:id="389" w:name="_Toc185514006"/>
      <w:r w:rsidRPr="00C8328B">
        <w:rPr>
          <w:rStyle w:val="CharSectNo"/>
        </w:rPr>
        <w:t>1120</w:t>
      </w:r>
      <w:r>
        <w:tab/>
        <w:t>Default judgment—debt or liquidated demand</w:t>
      </w:r>
      <w:bookmarkEnd w:id="389"/>
    </w:p>
    <w:p w14:paraId="7F7A2DF5" w14:textId="77777777"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14:paraId="0D4204D2" w14:textId="77777777"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14:paraId="38BFA6A9" w14:textId="77777777" w:rsidR="00C51BA4" w:rsidRPr="00061096" w:rsidRDefault="00C51BA4" w:rsidP="00C51BA4">
      <w:pPr>
        <w:pStyle w:val="Apara"/>
      </w:pPr>
      <w:r w:rsidRPr="00061096">
        <w:tab/>
        <w:t>(a)</w:t>
      </w:r>
      <w:r w:rsidRPr="00061096">
        <w:tab/>
        <w:t>if interest is claimed—the amount of interest stated in the affidavit in support; and</w:t>
      </w:r>
    </w:p>
    <w:p w14:paraId="2B6967FB" w14:textId="77777777" w:rsidR="00C51BA4" w:rsidRPr="00061096" w:rsidRDefault="00C51BA4" w:rsidP="00C51BA4">
      <w:pPr>
        <w:pStyle w:val="Apara"/>
      </w:pPr>
      <w:r w:rsidRPr="00061096">
        <w:tab/>
        <w:t>(b)</w:t>
      </w:r>
      <w:r w:rsidRPr="00061096">
        <w:tab/>
        <w:t>if costs are claimed—</w:t>
      </w:r>
    </w:p>
    <w:p w14:paraId="05C6BFB6" w14:textId="77777777" w:rsidR="00C51BA4" w:rsidRPr="00061096" w:rsidRDefault="00C51BA4" w:rsidP="00C51BA4">
      <w:pPr>
        <w:pStyle w:val="Asubpara"/>
      </w:pPr>
      <w:r w:rsidRPr="00061096">
        <w:tab/>
        <w:t>(i)</w:t>
      </w:r>
      <w:r w:rsidRPr="00061096">
        <w:tab/>
        <w:t>the amount of costs stated in the affidavit in support; or</w:t>
      </w:r>
    </w:p>
    <w:p w14:paraId="34B54D15" w14:textId="77777777" w:rsidR="00C51BA4" w:rsidRPr="00061096" w:rsidRDefault="00C51BA4" w:rsidP="00C51BA4">
      <w:pPr>
        <w:pStyle w:val="Asubpara"/>
      </w:pPr>
      <w:r w:rsidRPr="00061096">
        <w:tab/>
        <w:t>(ii)</w:t>
      </w:r>
      <w:r w:rsidRPr="00061096">
        <w:tab/>
        <w:t>costs to be agreed or assessed.</w:t>
      </w:r>
    </w:p>
    <w:p w14:paraId="2A5AFFAA" w14:textId="77777777" w:rsidR="003D4FF5" w:rsidRDefault="003D4FF5" w:rsidP="003D4FF5">
      <w:pPr>
        <w:pStyle w:val="Amain"/>
      </w:pPr>
      <w:r>
        <w:tab/>
        <w:t>(3)</w:t>
      </w:r>
      <w:r>
        <w:tab/>
        <w:t>The affidavit in support mentioned in rule 1119 must—</w:t>
      </w:r>
    </w:p>
    <w:p w14:paraId="000ED8DB" w14:textId="77777777" w:rsidR="003D4FF5" w:rsidRDefault="003D4FF5" w:rsidP="003D4FF5">
      <w:pPr>
        <w:pStyle w:val="Apara"/>
      </w:pPr>
      <w:r>
        <w:tab/>
        <w:t>(a)</w:t>
      </w:r>
      <w:r>
        <w:tab/>
        <w:t>state the amount owing to the plaintiff, in relation to the claim for relief, at the time the originating claim was filed; and</w:t>
      </w:r>
    </w:p>
    <w:p w14:paraId="54A1F098" w14:textId="77777777" w:rsidR="003D4FF5" w:rsidRDefault="003D4FF5" w:rsidP="003D4FF5">
      <w:pPr>
        <w:pStyle w:val="Apara"/>
      </w:pPr>
      <w:r>
        <w:tab/>
        <w:t>(b)</w:t>
      </w:r>
      <w:r>
        <w:tab/>
        <w:t>give particulars of any reduction of the amount owing, and costs, because of any payments made, or credits accrued, since the originating claim was filed; and</w:t>
      </w:r>
    </w:p>
    <w:p w14:paraId="6397E969" w14:textId="77777777"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14:paraId="55E241BA" w14:textId="77777777" w:rsidR="00C51BA4" w:rsidRPr="00061096" w:rsidRDefault="00C51BA4" w:rsidP="00C51BA4">
      <w:pPr>
        <w:pStyle w:val="Asubpara"/>
      </w:pPr>
      <w:r w:rsidRPr="00061096">
        <w:tab/>
        <w:t>(i)</w:t>
      </w:r>
      <w:r w:rsidRPr="00061096">
        <w:tab/>
        <w:t>a statement of the amount of interest claimed; and</w:t>
      </w:r>
    </w:p>
    <w:p w14:paraId="64005B94" w14:textId="77777777" w:rsidR="00C51BA4" w:rsidRPr="00061096" w:rsidRDefault="00C51BA4" w:rsidP="00C51BA4">
      <w:pPr>
        <w:pStyle w:val="Asubpara"/>
      </w:pPr>
      <w:r w:rsidRPr="00061096">
        <w:tab/>
        <w:t>(ii)</w:t>
      </w:r>
      <w:r w:rsidRPr="00061096">
        <w:tab/>
        <w:t>a statement that the amount of interest is worked out in accordance with—</w:t>
      </w:r>
    </w:p>
    <w:p w14:paraId="7CC622E4" w14:textId="77777777" w:rsidR="00C51BA4" w:rsidRPr="00061096" w:rsidRDefault="00C51BA4" w:rsidP="00C51BA4">
      <w:pPr>
        <w:pStyle w:val="Asubsubpara"/>
      </w:pPr>
      <w:r w:rsidRPr="00061096">
        <w:tab/>
        <w:t>(A)</w:t>
      </w:r>
      <w:r w:rsidRPr="00061096">
        <w:tab/>
        <w:t>the rate stated in the plaintiff’s claim for relief; or</w:t>
      </w:r>
    </w:p>
    <w:p w14:paraId="583574C5" w14:textId="77777777" w:rsidR="00C51BA4" w:rsidRPr="00061096" w:rsidRDefault="00C51BA4" w:rsidP="00C51BA4">
      <w:pPr>
        <w:pStyle w:val="Asubsubpara"/>
      </w:pPr>
      <w:r w:rsidRPr="00061096">
        <w:tab/>
        <w:t>(B)</w:t>
      </w:r>
      <w:r w:rsidRPr="00061096">
        <w:tab/>
        <w:t>the rate of interest applying from time to time under schedule 2, part 2.1 (Interest up to judgment); and</w:t>
      </w:r>
    </w:p>
    <w:p w14:paraId="15CD91CB" w14:textId="77777777" w:rsidR="00C51BA4" w:rsidRPr="00061096" w:rsidRDefault="00C51BA4" w:rsidP="00C51BA4">
      <w:pPr>
        <w:pStyle w:val="Apara"/>
      </w:pPr>
      <w:r w:rsidRPr="00061096">
        <w:tab/>
        <w:t>(d)</w:t>
      </w:r>
      <w:r w:rsidRPr="00061096">
        <w:tab/>
        <w:t>if costs are claimed</w:t>
      </w:r>
      <w:r w:rsidR="00C61155" w:rsidRPr="00A60754">
        <w:t>, include</w:t>
      </w:r>
      <w:r w:rsidRPr="00061096">
        <w:t>—</w:t>
      </w:r>
    </w:p>
    <w:p w14:paraId="0A5EE5A0" w14:textId="77777777" w:rsidR="00C51BA4" w:rsidRPr="00061096" w:rsidRDefault="00C51BA4" w:rsidP="00C51BA4">
      <w:pPr>
        <w:pStyle w:val="Asubpara"/>
      </w:pPr>
      <w:r w:rsidRPr="00061096">
        <w:tab/>
        <w:t>(i)</w:t>
      </w:r>
      <w:r w:rsidRPr="00061096">
        <w:tab/>
        <w:t>under schedule 3, part 3.2 (Default judgment)—</w:t>
      </w:r>
    </w:p>
    <w:p w14:paraId="759BEC89" w14:textId="77777777" w:rsidR="00C51BA4" w:rsidRPr="00061096" w:rsidRDefault="00C51BA4" w:rsidP="00C51BA4">
      <w:pPr>
        <w:pStyle w:val="Asubsubpara"/>
      </w:pPr>
      <w:r w:rsidRPr="00061096">
        <w:tab/>
        <w:t>(A)</w:t>
      </w:r>
      <w:r w:rsidRPr="00061096">
        <w:tab/>
        <w:t>a statement of the amount of costs claimed; and</w:t>
      </w:r>
    </w:p>
    <w:p w14:paraId="79CE338F" w14:textId="77777777"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14:paraId="769CF573" w14:textId="77777777" w:rsidR="00C51BA4" w:rsidRPr="00061096" w:rsidRDefault="00C51BA4" w:rsidP="00C51BA4">
      <w:pPr>
        <w:pStyle w:val="Asubpara"/>
      </w:pPr>
      <w:r w:rsidRPr="00061096">
        <w:tab/>
        <w:t>(ii)</w:t>
      </w:r>
      <w:r w:rsidRPr="00061096">
        <w:tab/>
        <w:t>in any other case—a statement that costs are to be agreed or assessed.</w:t>
      </w:r>
    </w:p>
    <w:p w14:paraId="7E812A65" w14:textId="77777777"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14:paraId="3C445B01" w14:textId="77777777" w:rsidR="003D4FF5" w:rsidRDefault="003D4FF5" w:rsidP="003D4FF5">
      <w:pPr>
        <w:pStyle w:val="AH5Sec"/>
      </w:pPr>
      <w:bookmarkStart w:id="390" w:name="_Toc185514007"/>
      <w:r w:rsidRPr="00C8328B">
        <w:rPr>
          <w:rStyle w:val="CharSectNo"/>
        </w:rPr>
        <w:t>1121</w:t>
      </w:r>
      <w:r>
        <w:tab/>
        <w:t>Default judgment for debt or liquidated demand—assessment of costs</w:t>
      </w:r>
      <w:bookmarkEnd w:id="390"/>
    </w:p>
    <w:p w14:paraId="25640803" w14:textId="77777777" w:rsidR="003D4FF5" w:rsidRDefault="003D4FF5" w:rsidP="003D4FF5">
      <w:pPr>
        <w:pStyle w:val="Amain"/>
        <w:keepNext/>
      </w:pPr>
      <w:r>
        <w:tab/>
        <w:t>(1)</w:t>
      </w:r>
      <w:r>
        <w:tab/>
        <w:t>This rule applies if—</w:t>
      </w:r>
    </w:p>
    <w:p w14:paraId="09941BFB" w14:textId="77777777" w:rsidR="003D4FF5" w:rsidRDefault="003D4FF5" w:rsidP="003D4FF5">
      <w:pPr>
        <w:pStyle w:val="Apara"/>
      </w:pPr>
      <w:r>
        <w:tab/>
        <w:t>(a)</w:t>
      </w:r>
      <w:r>
        <w:tab/>
        <w:t>a plaintiff’s claim for relief against a defendant in default is only for a debt or liquidated demand, with or without interest; and</w:t>
      </w:r>
    </w:p>
    <w:p w14:paraId="12022B34" w14:textId="77777777" w:rsidR="003D4FF5" w:rsidRDefault="003D4FF5" w:rsidP="003D4FF5">
      <w:pPr>
        <w:pStyle w:val="Apara"/>
      </w:pPr>
      <w:r>
        <w:tab/>
        <w:t>(b)</w:t>
      </w:r>
      <w:r>
        <w:tab/>
        <w:t>the court enters judgment for the plaintiff under rule 1120.</w:t>
      </w:r>
    </w:p>
    <w:p w14:paraId="78401426" w14:textId="77777777"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14:paraId="4D51E0BA" w14:textId="77777777" w:rsidR="003D4FF5" w:rsidRDefault="003D4FF5" w:rsidP="003D4FF5">
      <w:pPr>
        <w:pStyle w:val="Amain"/>
      </w:pPr>
      <w:r>
        <w:tab/>
        <w:t>(3)</w:t>
      </w:r>
      <w:r>
        <w:tab/>
        <w:t>Subrule (2) is subject to rule 1725 (Solicitors’ costs and determined fees—Supreme Court judgment within Magistrates Court jurisdiction).</w:t>
      </w:r>
    </w:p>
    <w:p w14:paraId="59272133" w14:textId="77777777"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14:paraId="4D31955E" w14:textId="77777777" w:rsidR="003D4FF5" w:rsidRDefault="003D4FF5" w:rsidP="003D4FF5">
      <w:pPr>
        <w:pStyle w:val="aNote"/>
      </w:pPr>
      <w:r w:rsidRPr="005A5F43">
        <w:rPr>
          <w:rStyle w:val="charItals"/>
        </w:rPr>
        <w:t>Note</w:t>
      </w:r>
      <w:r w:rsidRPr="005A5F43">
        <w:rPr>
          <w:rStyle w:val="charItals"/>
        </w:rPr>
        <w:tab/>
      </w:r>
      <w:r>
        <w:t>See r 1702 (Costs—agreement about costs).</w:t>
      </w:r>
    </w:p>
    <w:p w14:paraId="023C09F3" w14:textId="77777777" w:rsidR="003D4FF5" w:rsidRDefault="003D4FF5" w:rsidP="003D4FF5">
      <w:pPr>
        <w:pStyle w:val="AH5Sec"/>
      </w:pPr>
      <w:bookmarkStart w:id="391" w:name="_Toc185514008"/>
      <w:r w:rsidRPr="00C8328B">
        <w:rPr>
          <w:rStyle w:val="CharSectNo"/>
        </w:rPr>
        <w:t>1122</w:t>
      </w:r>
      <w:r>
        <w:tab/>
        <w:t>Default judgment—unliquidated damages</w:t>
      </w:r>
      <w:bookmarkEnd w:id="391"/>
    </w:p>
    <w:p w14:paraId="545657BD" w14:textId="77777777" w:rsidR="003D4FF5" w:rsidRDefault="003D4FF5" w:rsidP="003D4FF5">
      <w:pPr>
        <w:pStyle w:val="Amain"/>
      </w:pPr>
      <w:r>
        <w:tab/>
        <w:t>(1)</w:t>
      </w:r>
      <w:r>
        <w:tab/>
        <w:t>This rule applies if a plaintiff’s claim for relief against a defendant in default is for unliquidated damages, with or without another claim.</w:t>
      </w:r>
    </w:p>
    <w:p w14:paraId="0F70CACD" w14:textId="77777777"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14:paraId="7520DC7B" w14:textId="77777777" w:rsidR="003D4FF5" w:rsidRDefault="003D4FF5" w:rsidP="003D4FF5">
      <w:pPr>
        <w:pStyle w:val="Amain"/>
      </w:pPr>
      <w:r>
        <w:tab/>
        <w:t>(3)</w:t>
      </w:r>
      <w:r>
        <w:tab/>
        <w:t>The affidavit in support mentioned in rule 1119 (Default judgment—relevant affidavits) must state—</w:t>
      </w:r>
    </w:p>
    <w:p w14:paraId="08B75BDD" w14:textId="77777777" w:rsidR="003D4FF5" w:rsidRDefault="003D4FF5" w:rsidP="003D4FF5">
      <w:pPr>
        <w:pStyle w:val="Apara"/>
      </w:pPr>
      <w:r>
        <w:tab/>
        <w:t>(a)</w:t>
      </w:r>
      <w:r>
        <w:tab/>
        <w:t>that the proceeding has not been settled with the defendant; and</w:t>
      </w:r>
    </w:p>
    <w:p w14:paraId="7D4BE674" w14:textId="77777777" w:rsidR="003D4FF5" w:rsidRDefault="003D4FF5" w:rsidP="003D4FF5">
      <w:pPr>
        <w:pStyle w:val="Apara"/>
      </w:pPr>
      <w:r>
        <w:tab/>
        <w:t>(b)</w:t>
      </w:r>
      <w:r>
        <w:tab/>
        <w:t>any amounts paid in relation to the damages.</w:t>
      </w:r>
    </w:p>
    <w:p w14:paraId="63D4E0AE" w14:textId="77777777" w:rsidR="003D4FF5" w:rsidRDefault="003D4FF5" w:rsidP="002D45B1">
      <w:pPr>
        <w:pStyle w:val="Amain"/>
      </w:pPr>
      <w:r>
        <w:tab/>
        <w:t>(4)</w:t>
      </w:r>
      <w:r>
        <w:tab/>
      </w:r>
      <w:r w:rsidRPr="00284A0B">
        <w:t>For an application in the Magistrates Court, the court may decide the claim without listing the matter for hearing.</w:t>
      </w:r>
    </w:p>
    <w:p w14:paraId="78BC6CD1" w14:textId="77777777" w:rsidR="003D4FF5" w:rsidRDefault="003D4FF5" w:rsidP="003D4FF5">
      <w:pPr>
        <w:pStyle w:val="AH5Sec"/>
      </w:pPr>
      <w:bookmarkStart w:id="392" w:name="_Toc185514009"/>
      <w:r w:rsidRPr="00C8328B">
        <w:rPr>
          <w:rStyle w:val="CharSectNo"/>
        </w:rPr>
        <w:lastRenderedPageBreak/>
        <w:t>1123</w:t>
      </w:r>
      <w:r>
        <w:tab/>
        <w:t>Default judgment—detention of goods</w:t>
      </w:r>
      <w:bookmarkEnd w:id="392"/>
    </w:p>
    <w:p w14:paraId="6FA7868F" w14:textId="77777777" w:rsidR="003D4FF5" w:rsidRDefault="003D4FF5" w:rsidP="002D45B1">
      <w:pPr>
        <w:pStyle w:val="Amain"/>
        <w:keepNext/>
      </w:pPr>
      <w:r>
        <w:tab/>
        <w:t>(1)</w:t>
      </w:r>
      <w:r>
        <w:tab/>
        <w:t>This rule applies if a plaintiff’s claim for relief against a defendant in default is for the detention of goods only.</w:t>
      </w:r>
    </w:p>
    <w:p w14:paraId="08E206E0" w14:textId="77777777"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14:paraId="622E7AA4" w14:textId="77777777" w:rsidR="003D4FF5" w:rsidRDefault="003D4FF5" w:rsidP="003D4FF5">
      <w:pPr>
        <w:pStyle w:val="Apara"/>
      </w:pPr>
      <w:r>
        <w:tab/>
        <w:t>(a)</w:t>
      </w:r>
      <w:r>
        <w:tab/>
        <w:t>the return of the goods to the plaintiff, or payment to the plaintiff of the value of the goods and costs; or</w:t>
      </w:r>
    </w:p>
    <w:p w14:paraId="2C23D96B" w14:textId="77777777" w:rsidR="003D4FF5" w:rsidRDefault="003D4FF5" w:rsidP="003D4FF5">
      <w:pPr>
        <w:pStyle w:val="Apara"/>
      </w:pPr>
      <w:r>
        <w:tab/>
        <w:t>(b)</w:t>
      </w:r>
      <w:r>
        <w:tab/>
        <w:t>payment to the plaintiff of the value of the goods and costs.</w:t>
      </w:r>
    </w:p>
    <w:p w14:paraId="7658B0AA" w14:textId="77777777" w:rsidR="003D4FF5" w:rsidRDefault="003D4FF5" w:rsidP="003D4FF5">
      <w:pPr>
        <w:pStyle w:val="Amain"/>
      </w:pPr>
      <w:r>
        <w:tab/>
        <w:t>(3)</w:t>
      </w:r>
      <w:r>
        <w:tab/>
        <w:t>The affidavit in support mentioned in rule 1119 must—</w:t>
      </w:r>
    </w:p>
    <w:p w14:paraId="437E5EF2" w14:textId="77777777" w:rsidR="003D4FF5" w:rsidRDefault="003D4FF5" w:rsidP="003D4FF5">
      <w:pPr>
        <w:pStyle w:val="Apara"/>
      </w:pPr>
      <w:r>
        <w:tab/>
        <w:t>(a)</w:t>
      </w:r>
      <w:r>
        <w:tab/>
        <w:t>state which goods have, and which have not, been delivered to the plaintiff since the originating claim or counterclaim was filed; and</w:t>
      </w:r>
    </w:p>
    <w:p w14:paraId="620D470C" w14:textId="77777777"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14:paraId="326B8F19" w14:textId="77777777" w:rsidR="003D4FF5" w:rsidRDefault="003D4FF5" w:rsidP="003D4FF5">
      <w:pPr>
        <w:pStyle w:val="Apara"/>
      </w:pPr>
      <w:r>
        <w:tab/>
        <w:t>(c)</w:t>
      </w:r>
      <w:r>
        <w:tab/>
        <w:t>state the costs claimed.</w:t>
      </w:r>
    </w:p>
    <w:p w14:paraId="635D6F99" w14:textId="77777777"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14:paraId="128F1F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7B04A81" w14:textId="77777777" w:rsidR="003D4FF5" w:rsidRDefault="003D4FF5" w:rsidP="003D4FF5">
      <w:pPr>
        <w:pStyle w:val="Amain"/>
      </w:pPr>
      <w:r>
        <w:tab/>
        <w:t>(5)</w:t>
      </w:r>
      <w:r>
        <w:tab/>
        <w:t>If the court enters judgment under this rule for the return of goods, it may state a date before which the return must take place.</w:t>
      </w:r>
    </w:p>
    <w:p w14:paraId="6126EA90" w14:textId="77777777"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14:paraId="2D017CE4" w14:textId="77777777" w:rsidR="003D4FF5" w:rsidRDefault="003D4FF5" w:rsidP="003D4FF5">
      <w:pPr>
        <w:pStyle w:val="Amain"/>
        <w:keepNext/>
      </w:pPr>
      <w:r>
        <w:lastRenderedPageBreak/>
        <w:tab/>
        <w:t>(7)</w:t>
      </w:r>
      <w:r>
        <w:tab/>
        <w:t>In this rule:</w:t>
      </w:r>
    </w:p>
    <w:p w14:paraId="2D2103DB" w14:textId="77777777" w:rsidR="003D4FF5" w:rsidRDefault="003D4FF5" w:rsidP="003D4FF5">
      <w:pPr>
        <w:pStyle w:val="aDef"/>
      </w:pPr>
      <w:r w:rsidRPr="005A5F43">
        <w:rPr>
          <w:rStyle w:val="charBoldItals"/>
        </w:rPr>
        <w:t>value</w:t>
      </w:r>
      <w:r>
        <w:t>, of the goods, means the value as assessed by, or in accordance with the directions of, the court.</w:t>
      </w:r>
    </w:p>
    <w:p w14:paraId="669DB7E8" w14:textId="77777777" w:rsidR="003D4FF5" w:rsidRDefault="003D4FF5" w:rsidP="003D4FF5">
      <w:pPr>
        <w:pStyle w:val="AH5Sec"/>
      </w:pPr>
      <w:bookmarkStart w:id="393" w:name="_Toc185514010"/>
      <w:r w:rsidRPr="00C8328B">
        <w:rPr>
          <w:rStyle w:val="CharSectNo"/>
        </w:rPr>
        <w:t>1124</w:t>
      </w:r>
      <w:r>
        <w:tab/>
        <w:t>Default judgment—recovery of possession of land</w:t>
      </w:r>
      <w:bookmarkEnd w:id="393"/>
    </w:p>
    <w:p w14:paraId="4BA526D5" w14:textId="77777777" w:rsidR="003D4FF5" w:rsidRDefault="003D4FF5" w:rsidP="003D4FF5">
      <w:pPr>
        <w:pStyle w:val="Amain"/>
      </w:pPr>
      <w:r>
        <w:tab/>
        <w:t>(1)</w:t>
      </w:r>
      <w:r>
        <w:tab/>
        <w:t>This rule applies if a plaintiff’s claim for relief against a defendant in default is for the recovery of possession of land only.</w:t>
      </w:r>
    </w:p>
    <w:p w14:paraId="19CF9445" w14:textId="77777777" w:rsidR="003D4FF5" w:rsidRDefault="003D4FF5" w:rsidP="003D4FF5">
      <w:pPr>
        <w:pStyle w:val="Amain"/>
      </w:pPr>
      <w:r>
        <w:tab/>
        <w:t>(2)</w:t>
      </w:r>
      <w:r>
        <w:tab/>
        <w:t>On application by the plaintiff under rule 1118 (Default judgment—generally), the court may enter judgment for the plaintiff for—</w:t>
      </w:r>
    </w:p>
    <w:p w14:paraId="4B77DB34" w14:textId="77777777" w:rsidR="003D4FF5" w:rsidRDefault="003D4FF5" w:rsidP="003D4FF5">
      <w:pPr>
        <w:pStyle w:val="Apara"/>
      </w:pPr>
      <w:r>
        <w:tab/>
        <w:t>(a)</w:t>
      </w:r>
      <w:r>
        <w:tab/>
        <w:t>recovery of possession of the land as against the defendant; and</w:t>
      </w:r>
    </w:p>
    <w:p w14:paraId="50214650" w14:textId="77777777" w:rsidR="003D4FF5" w:rsidRDefault="003D4FF5" w:rsidP="003D4FF5">
      <w:pPr>
        <w:pStyle w:val="Apara"/>
        <w:keepNext/>
      </w:pPr>
      <w:r>
        <w:tab/>
        <w:t>(b)</w:t>
      </w:r>
      <w:r>
        <w:tab/>
        <w:t>the following costs:</w:t>
      </w:r>
    </w:p>
    <w:p w14:paraId="27933E89" w14:textId="77777777" w:rsidR="003D4FF5" w:rsidRDefault="003D4FF5" w:rsidP="003D4FF5">
      <w:pPr>
        <w:pStyle w:val="Asubpara"/>
      </w:pPr>
      <w:r>
        <w:tab/>
        <w:t>(i)</w:t>
      </w:r>
      <w:r>
        <w:tab/>
        <w:t>costs for issuing the originating claim or counterclaim;</w:t>
      </w:r>
    </w:p>
    <w:p w14:paraId="56D2CE95" w14:textId="77777777" w:rsidR="003D4FF5" w:rsidRDefault="003D4FF5" w:rsidP="003D4FF5">
      <w:pPr>
        <w:pStyle w:val="Asubpara"/>
      </w:pPr>
      <w:r>
        <w:tab/>
        <w:t>(ii)</w:t>
      </w:r>
      <w:r>
        <w:tab/>
        <w:t>costs for obtaining judgment;</w:t>
      </w:r>
    </w:p>
    <w:p w14:paraId="704C0889" w14:textId="77777777" w:rsidR="003D4FF5" w:rsidRDefault="003D4FF5" w:rsidP="003D4FF5">
      <w:pPr>
        <w:pStyle w:val="Asubpara"/>
      </w:pPr>
      <w:r>
        <w:tab/>
        <w:t>(iii)</w:t>
      </w:r>
      <w:r>
        <w:tab/>
        <w:t>any other fees and payments, to the extent they have been reasonably incurred and paid.</w:t>
      </w:r>
    </w:p>
    <w:p w14:paraId="2FF06AE1" w14:textId="77777777"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14:paraId="3540FE00" w14:textId="77777777" w:rsidR="003D4FF5" w:rsidRDefault="003D4FF5" w:rsidP="003D4FF5">
      <w:pPr>
        <w:pStyle w:val="Amain"/>
      </w:pPr>
      <w:r>
        <w:tab/>
        <w:t>(4)</w:t>
      </w:r>
      <w:r>
        <w:tab/>
        <w:t>The affidavit in support mentioned in rule 1119 (Default judgment—relevant affidavits) must—</w:t>
      </w:r>
    </w:p>
    <w:p w14:paraId="195D0BB0" w14:textId="77777777" w:rsidR="003D4FF5" w:rsidRDefault="003D4FF5" w:rsidP="003D4FF5">
      <w:pPr>
        <w:pStyle w:val="Apara"/>
      </w:pPr>
      <w:r>
        <w:tab/>
        <w:t>(a)</w:t>
      </w:r>
      <w:r>
        <w:tab/>
        <w:t>identify anyone (other than the parties to the proceeding) who is in possession of the land or any part of it—</w:t>
      </w:r>
    </w:p>
    <w:p w14:paraId="21960F91" w14:textId="77777777" w:rsidR="003D4FF5" w:rsidRDefault="003D4FF5" w:rsidP="003D4FF5">
      <w:pPr>
        <w:pStyle w:val="Asubpara"/>
      </w:pPr>
      <w:r>
        <w:tab/>
        <w:t>(i)</w:t>
      </w:r>
      <w:r>
        <w:tab/>
        <w:t>at the time the originating claim was filed; or</w:t>
      </w:r>
    </w:p>
    <w:p w14:paraId="14E00319" w14:textId="77777777" w:rsidR="003D4FF5" w:rsidRDefault="003D4FF5" w:rsidP="009A737B">
      <w:pPr>
        <w:pStyle w:val="Asubpara"/>
        <w:keepNext/>
      </w:pPr>
      <w:r>
        <w:lastRenderedPageBreak/>
        <w:tab/>
        <w:t>(ii)</w:t>
      </w:r>
      <w:r>
        <w:tab/>
        <w:t>if the claim for possession arises from an amendment to the originating claim—at the time the amendment was made; and</w:t>
      </w:r>
    </w:p>
    <w:p w14:paraId="70E38C41" w14:textId="77777777"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14:paraId="64887FF7" w14:textId="77777777" w:rsidR="003D4FF5" w:rsidRDefault="003D4FF5" w:rsidP="003D4FF5">
      <w:pPr>
        <w:pStyle w:val="Apara"/>
      </w:pPr>
      <w:r>
        <w:tab/>
        <w:t>(b)</w:t>
      </w:r>
      <w:r>
        <w:tab/>
        <w:t>for each person mentioned in paragraph (a), state—</w:t>
      </w:r>
    </w:p>
    <w:p w14:paraId="63A2055D" w14:textId="77777777" w:rsidR="003D4FF5" w:rsidRDefault="003D4FF5" w:rsidP="003D4FF5">
      <w:pPr>
        <w:pStyle w:val="Asubpara"/>
      </w:pPr>
      <w:r>
        <w:tab/>
        <w:t>(i)</w:t>
      </w:r>
      <w:r>
        <w:tab/>
        <w:t>that the person’s possession of the land is not to be disturbed; or</w:t>
      </w:r>
    </w:p>
    <w:p w14:paraId="59B4AA6F" w14:textId="77777777" w:rsidR="003D4FF5" w:rsidRDefault="003D4FF5" w:rsidP="003D4FF5">
      <w:pPr>
        <w:pStyle w:val="Asubpara"/>
      </w:pPr>
      <w:r>
        <w:tab/>
        <w:t>(ii)</w:t>
      </w:r>
      <w:r>
        <w:tab/>
        <w:t>that the person no longer possesses any part of the land; or</w:t>
      </w:r>
    </w:p>
    <w:p w14:paraId="02FB4283" w14:textId="77777777" w:rsidR="003D4FF5" w:rsidRDefault="003D4FF5" w:rsidP="003D4FF5">
      <w:pPr>
        <w:pStyle w:val="Asubpara"/>
      </w:pPr>
      <w:r>
        <w:tab/>
        <w:t>(iii)</w:t>
      </w:r>
      <w:r>
        <w:tab/>
        <w:t>that the person has been served with the originating claim and that the person—</w:t>
      </w:r>
    </w:p>
    <w:p w14:paraId="7C335B6D" w14:textId="77777777"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14:paraId="59475B83" w14:textId="77777777"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14:paraId="218E8530" w14:textId="77777777" w:rsidR="003D4FF5" w:rsidRDefault="003D4FF5" w:rsidP="003D4FF5">
      <w:pPr>
        <w:pStyle w:val="Apara"/>
      </w:pPr>
      <w:r>
        <w:tab/>
        <w:t>(c)</w:t>
      </w:r>
      <w:r>
        <w:tab/>
        <w:t>if the claim for possession of the land arises from a failure to pay the amount—give particulars of the failure; and</w:t>
      </w:r>
    </w:p>
    <w:p w14:paraId="739838AF" w14:textId="77777777" w:rsidR="003D4FF5" w:rsidRDefault="003D4FF5" w:rsidP="003D4FF5">
      <w:pPr>
        <w:pStyle w:val="Apara"/>
      </w:pPr>
      <w:r>
        <w:tab/>
        <w:t>(d)</w:t>
      </w:r>
      <w:r>
        <w:tab/>
        <w:t>state the costs claimed.</w:t>
      </w:r>
    </w:p>
    <w:p w14:paraId="31C37EE5" w14:textId="77777777" w:rsidR="003D4FF5" w:rsidRDefault="003D4FF5" w:rsidP="003D4FF5">
      <w:pPr>
        <w:pStyle w:val="AH5Sec"/>
      </w:pPr>
      <w:bookmarkStart w:id="394" w:name="_Toc185514011"/>
      <w:r w:rsidRPr="00C8328B">
        <w:rPr>
          <w:rStyle w:val="CharSectNo"/>
        </w:rPr>
        <w:lastRenderedPageBreak/>
        <w:t>1125</w:t>
      </w:r>
      <w:r>
        <w:tab/>
        <w:t>Default judgment—mixed claims</w:t>
      </w:r>
      <w:bookmarkEnd w:id="394"/>
    </w:p>
    <w:p w14:paraId="33E7F1A2" w14:textId="77777777"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14:paraId="642D908B"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14:paraId="430F0348"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14:paraId="31FDB261"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14:paraId="6CB1092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5EBA10A9" w14:textId="77777777"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14:paraId="231E136A" w14:textId="77777777"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14:paraId="53DB9230" w14:textId="77777777" w:rsidR="003D4FF5" w:rsidRDefault="003D4FF5" w:rsidP="003D4FF5">
      <w:pPr>
        <w:pStyle w:val="AH5Sec"/>
      </w:pPr>
      <w:bookmarkStart w:id="395" w:name="_Toc185514012"/>
      <w:r w:rsidRPr="00C8328B">
        <w:rPr>
          <w:rStyle w:val="CharSectNo"/>
        </w:rPr>
        <w:t>1126</w:t>
      </w:r>
      <w:r>
        <w:tab/>
        <w:t>Default judgment—other claims</w:t>
      </w:r>
      <w:bookmarkEnd w:id="395"/>
    </w:p>
    <w:p w14:paraId="29841C9F" w14:textId="77777777" w:rsidR="003D4FF5" w:rsidRDefault="003D4FF5" w:rsidP="003D4FF5">
      <w:pPr>
        <w:pStyle w:val="Amain"/>
        <w:keepNext/>
      </w:pPr>
      <w:r>
        <w:tab/>
        <w:t>(1)</w:t>
      </w:r>
      <w:r>
        <w:tab/>
        <w:t>This rule applies if a defendant is in default and the plaintiff is not entitled to apply for judgment under any of the following rules:</w:t>
      </w:r>
    </w:p>
    <w:p w14:paraId="4C4AC9C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14:paraId="6C2C35E7"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14:paraId="771CD1DB"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14:paraId="27ABB0F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00B12863" w14:textId="77777777"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14:paraId="27670EF8" w14:textId="77777777" w:rsidR="003D4FF5" w:rsidRDefault="003D4FF5" w:rsidP="00095EB8">
      <w:pPr>
        <w:pStyle w:val="Amain"/>
        <w:keepNext/>
      </w:pPr>
      <w:r>
        <w:lastRenderedPageBreak/>
        <w:tab/>
        <w:t>(3)</w:t>
      </w:r>
      <w:r>
        <w:tab/>
        <w:t>The affidavit in support mentioned in rule 1119 (Default judgment—relevant affidavits) must state—</w:t>
      </w:r>
    </w:p>
    <w:p w14:paraId="37B611FE" w14:textId="77777777" w:rsidR="003D4FF5" w:rsidRDefault="003D4FF5" w:rsidP="003D4FF5">
      <w:pPr>
        <w:pStyle w:val="Apara"/>
      </w:pPr>
      <w:r>
        <w:tab/>
        <w:t>(a)</w:t>
      </w:r>
      <w:r>
        <w:tab/>
        <w:t>that the proceeding has not been settled with the defendant; and</w:t>
      </w:r>
    </w:p>
    <w:p w14:paraId="5EDD10B4" w14:textId="77777777" w:rsidR="003D4FF5" w:rsidRDefault="003D4FF5" w:rsidP="003D4FF5">
      <w:pPr>
        <w:pStyle w:val="Apara"/>
      </w:pPr>
      <w:r>
        <w:tab/>
        <w:t>(b)</w:t>
      </w:r>
      <w:r>
        <w:tab/>
        <w:t>the costs claimed.</w:t>
      </w:r>
    </w:p>
    <w:p w14:paraId="61D6C03A" w14:textId="77777777" w:rsidR="003D4FF5" w:rsidRDefault="003D4FF5" w:rsidP="003D4FF5">
      <w:pPr>
        <w:pStyle w:val="AH5Sec"/>
      </w:pPr>
      <w:bookmarkStart w:id="396" w:name="_Toc185514013"/>
      <w:r w:rsidRPr="00C8328B">
        <w:rPr>
          <w:rStyle w:val="CharSectNo"/>
        </w:rPr>
        <w:t>1127</w:t>
      </w:r>
      <w:r>
        <w:tab/>
        <w:t>Default judgment—costs only</w:t>
      </w:r>
      <w:bookmarkEnd w:id="396"/>
    </w:p>
    <w:p w14:paraId="06994E0F" w14:textId="77777777" w:rsidR="003D4FF5" w:rsidRDefault="003D4FF5" w:rsidP="003D4FF5">
      <w:pPr>
        <w:pStyle w:val="Amain"/>
      </w:pPr>
      <w:r>
        <w:tab/>
        <w:t>(1)</w:t>
      </w:r>
      <w:r>
        <w:tab/>
        <w:t>The court may enter judgment for a plaintiff against a defendant in default for costs alone if, under this division—</w:t>
      </w:r>
    </w:p>
    <w:p w14:paraId="425458E3" w14:textId="77777777" w:rsidR="003D4FF5" w:rsidRDefault="003D4FF5" w:rsidP="003D4FF5">
      <w:pPr>
        <w:pStyle w:val="Apara"/>
      </w:pPr>
      <w:r>
        <w:tab/>
        <w:t>(a)</w:t>
      </w:r>
      <w:r>
        <w:tab/>
        <w:t>the plaintiff is entitled to judgment against the defendant for any relief and for costs; and</w:t>
      </w:r>
    </w:p>
    <w:p w14:paraId="38E2C239" w14:textId="77777777" w:rsidR="003D4FF5" w:rsidRDefault="003D4FF5" w:rsidP="003D4FF5">
      <w:pPr>
        <w:pStyle w:val="Apara"/>
      </w:pPr>
      <w:r>
        <w:tab/>
        <w:t>(b)</w:t>
      </w:r>
      <w:r>
        <w:tab/>
        <w:t>the defendant satisfies the plaintiff’s claim for relief; and</w:t>
      </w:r>
    </w:p>
    <w:p w14:paraId="6E41E2AA" w14:textId="77777777" w:rsidR="003D4FF5" w:rsidRDefault="003D4FF5" w:rsidP="003D4FF5">
      <w:pPr>
        <w:pStyle w:val="Apara"/>
      </w:pPr>
      <w:r>
        <w:tab/>
        <w:t>(c)</w:t>
      </w:r>
      <w:r>
        <w:tab/>
        <w:t>because the defendant has satisfied the plaintiff’s claim for relief, it is unnecessary for the plaintiff to continue the proceeding against the defendant.</w:t>
      </w:r>
    </w:p>
    <w:p w14:paraId="70A18B6A" w14:textId="77777777"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14:paraId="006E64DC" w14:textId="77777777" w:rsidR="003D4FF5" w:rsidRDefault="003D4FF5" w:rsidP="003D4FF5">
      <w:pPr>
        <w:pStyle w:val="Apara"/>
      </w:pPr>
      <w:r>
        <w:tab/>
        <w:t>(a)</w:t>
      </w:r>
      <w:r>
        <w:tab/>
        <w:t>the defendant satisfies the plaintiff’s claim for relief or complies with the plaintiff’s demands; or</w:t>
      </w:r>
    </w:p>
    <w:p w14:paraId="26200F6F" w14:textId="77777777" w:rsidR="003D4FF5" w:rsidRDefault="003D4FF5" w:rsidP="003D4FF5">
      <w:pPr>
        <w:pStyle w:val="Apara"/>
      </w:pPr>
      <w:r>
        <w:tab/>
        <w:t>(b)</w:t>
      </w:r>
      <w:r>
        <w:tab/>
        <w:t>it otherwise becomes unnecessary for the plaintiff to continue the proceeding against the defendant.</w:t>
      </w:r>
    </w:p>
    <w:p w14:paraId="36FCE20E" w14:textId="77777777" w:rsidR="003D4FF5" w:rsidRDefault="003D4FF5" w:rsidP="003D4FF5">
      <w:pPr>
        <w:pStyle w:val="AH5Sec"/>
      </w:pPr>
      <w:bookmarkStart w:id="397" w:name="_Toc185514014"/>
      <w:r w:rsidRPr="00C8328B">
        <w:rPr>
          <w:rStyle w:val="CharSectNo"/>
        </w:rPr>
        <w:t>1128</w:t>
      </w:r>
      <w:r>
        <w:tab/>
        <w:t>Default judgment—setting aside etc</w:t>
      </w:r>
      <w:bookmarkEnd w:id="397"/>
    </w:p>
    <w:p w14:paraId="1E78F211" w14:textId="77777777" w:rsidR="003D4FF5" w:rsidRDefault="003D4FF5" w:rsidP="003D4FF5">
      <w:pPr>
        <w:pStyle w:val="Amain"/>
      </w:pPr>
      <w:r>
        <w:tab/>
        <w:t>(1)</w:t>
      </w:r>
      <w:r>
        <w:tab/>
        <w:t>The court may, by order, amend or set aside a judgment entered under this division, and any enforcement of it.</w:t>
      </w:r>
    </w:p>
    <w:p w14:paraId="20EB302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9A3D216" w14:textId="77777777" w:rsidR="003D4FF5" w:rsidRDefault="003D4FF5" w:rsidP="00095EB8">
      <w:pPr>
        <w:pStyle w:val="Amain"/>
        <w:keepNext/>
      </w:pPr>
      <w:r>
        <w:lastRenderedPageBreak/>
        <w:tab/>
        <w:t>(2)</w:t>
      </w:r>
      <w:r>
        <w:tab/>
        <w:t>Without limiting rule 6901 (Orders may be made on conditions), an order may be made on any of the following conditions:</w:t>
      </w:r>
    </w:p>
    <w:p w14:paraId="1CBF887C" w14:textId="77777777" w:rsidR="003D4FF5" w:rsidRDefault="003D4FF5" w:rsidP="003D4FF5">
      <w:pPr>
        <w:pStyle w:val="Apara"/>
      </w:pPr>
      <w:r>
        <w:tab/>
        <w:t>(a)</w:t>
      </w:r>
      <w:r>
        <w:tab/>
        <w:t>conditions about costs;</w:t>
      </w:r>
    </w:p>
    <w:p w14:paraId="7AE3C580" w14:textId="77777777" w:rsidR="003D4FF5" w:rsidRDefault="003D4FF5" w:rsidP="003D4FF5">
      <w:pPr>
        <w:pStyle w:val="Apara"/>
      </w:pPr>
      <w:r>
        <w:tab/>
        <w:t>(b)</w:t>
      </w:r>
      <w:r>
        <w:tab/>
        <w:t>conditions about giving security.</w:t>
      </w:r>
    </w:p>
    <w:p w14:paraId="0F1CB225" w14:textId="77777777" w:rsidR="003D4FF5" w:rsidRPr="00C8328B" w:rsidRDefault="003D4FF5" w:rsidP="003D4FF5">
      <w:pPr>
        <w:pStyle w:val="AH3Div"/>
      </w:pPr>
      <w:bookmarkStart w:id="398" w:name="_Toc185514015"/>
      <w:r w:rsidRPr="00C8328B">
        <w:rPr>
          <w:rStyle w:val="CharDivNo"/>
        </w:rPr>
        <w:t>Division 2.11.4</w:t>
      </w:r>
      <w:r>
        <w:tab/>
      </w:r>
      <w:r w:rsidRPr="00C8328B">
        <w:rPr>
          <w:rStyle w:val="CharDivText"/>
        </w:rPr>
        <w:t>Default by defendant—partial defence</w:t>
      </w:r>
      <w:bookmarkEnd w:id="398"/>
    </w:p>
    <w:p w14:paraId="5AEAE59E" w14:textId="77777777" w:rsidR="003D4FF5" w:rsidRDefault="003D4FF5" w:rsidP="003D4FF5">
      <w:pPr>
        <w:pStyle w:val="AH5Sec"/>
      </w:pPr>
      <w:bookmarkStart w:id="399" w:name="_Toc185514016"/>
      <w:r w:rsidRPr="00C8328B">
        <w:rPr>
          <w:rStyle w:val="CharSectNo"/>
        </w:rPr>
        <w:t>1135</w:t>
      </w:r>
      <w:r>
        <w:tab/>
        <w:t>Definitions—div 2.11.4</w:t>
      </w:r>
      <w:bookmarkEnd w:id="399"/>
    </w:p>
    <w:p w14:paraId="0077D6BD" w14:textId="77777777" w:rsidR="003D4FF5" w:rsidRDefault="003D4FF5" w:rsidP="003D4FF5">
      <w:pPr>
        <w:pStyle w:val="Amainreturn"/>
        <w:keepNext/>
      </w:pPr>
      <w:r>
        <w:t>In this division:</w:t>
      </w:r>
    </w:p>
    <w:p w14:paraId="1075B933" w14:textId="77777777"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14:paraId="0F4E9746" w14:textId="77777777" w:rsidR="003D4FF5" w:rsidRDefault="003D4FF5" w:rsidP="003D4FF5">
      <w:pPr>
        <w:pStyle w:val="aDef"/>
      </w:pPr>
      <w:r w:rsidRPr="005A5F43">
        <w:rPr>
          <w:rStyle w:val="charBoldItals"/>
        </w:rPr>
        <w:t>undefended part of the claim</w:t>
      </w:r>
      <w:r>
        <w:t>—see rule 1137.</w:t>
      </w:r>
    </w:p>
    <w:p w14:paraId="550E0AD1" w14:textId="77777777" w:rsidR="003D4FF5" w:rsidRDefault="003D4FF5" w:rsidP="003D4FF5">
      <w:pPr>
        <w:pStyle w:val="AH5Sec"/>
      </w:pPr>
      <w:bookmarkStart w:id="400" w:name="_Toc185514017"/>
      <w:r w:rsidRPr="00C8328B">
        <w:rPr>
          <w:rStyle w:val="CharSectNo"/>
        </w:rPr>
        <w:t>1136</w:t>
      </w:r>
      <w:r>
        <w:tab/>
        <w:t>Application—div 2.11.4</w:t>
      </w:r>
      <w:bookmarkEnd w:id="400"/>
    </w:p>
    <w:p w14:paraId="16C1E6D5" w14:textId="77777777" w:rsidR="003D4FF5" w:rsidRDefault="003D4FF5" w:rsidP="003D4FF5">
      <w:pPr>
        <w:pStyle w:val="Amainreturn"/>
        <w:keepNext/>
      </w:pPr>
      <w:r>
        <w:t>This division applies to—</w:t>
      </w:r>
    </w:p>
    <w:p w14:paraId="27C12E94" w14:textId="77777777" w:rsidR="003D4FF5" w:rsidRDefault="003D4FF5" w:rsidP="003D4FF5">
      <w:pPr>
        <w:pStyle w:val="Apara"/>
        <w:keepNext/>
      </w:pPr>
      <w:r>
        <w:tab/>
        <w:t>(a)</w:t>
      </w:r>
      <w:r>
        <w:tab/>
        <w:t>a proceeding started by originating claim; and</w:t>
      </w:r>
    </w:p>
    <w:p w14:paraId="3924BC42" w14:textId="77777777" w:rsidR="003D4FF5" w:rsidRDefault="003D4FF5" w:rsidP="003D4FF5">
      <w:pPr>
        <w:pStyle w:val="Apara"/>
        <w:keepNext/>
      </w:pPr>
      <w:r>
        <w:tab/>
        <w:t>(b)</w:t>
      </w:r>
      <w:r>
        <w:tab/>
        <w:t>a counterclaim, or third-party notice, made in a proceeding started by originating claim.</w:t>
      </w:r>
    </w:p>
    <w:p w14:paraId="5156F74F"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05A688B"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76963FA" w14:textId="4A37DBDE"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r w:rsidR="00C151AE">
        <w:t>.</w:t>
      </w:r>
    </w:p>
    <w:p w14:paraId="212D529A" w14:textId="77777777" w:rsidR="003D4FF5" w:rsidRDefault="003D4FF5" w:rsidP="003D4FF5">
      <w:pPr>
        <w:pStyle w:val="AH5Sec"/>
      </w:pPr>
      <w:bookmarkStart w:id="401" w:name="_Toc185514018"/>
      <w:r w:rsidRPr="00C8328B">
        <w:rPr>
          <w:rStyle w:val="CharSectNo"/>
        </w:rPr>
        <w:lastRenderedPageBreak/>
        <w:t>1137</w:t>
      </w:r>
      <w:r>
        <w:tab/>
        <w:t xml:space="preserve">When is a defendant </w:t>
      </w:r>
      <w:r w:rsidRPr="005A5F43">
        <w:rPr>
          <w:rStyle w:val="charItals"/>
        </w:rPr>
        <w:t>in default</w:t>
      </w:r>
      <w:r>
        <w:t>—partial defence</w:t>
      </w:r>
      <w:bookmarkEnd w:id="401"/>
    </w:p>
    <w:p w14:paraId="62C69D42" w14:textId="77777777"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14:paraId="788BD978" w14:textId="77777777" w:rsidR="003D4FF5" w:rsidRDefault="003D4FF5" w:rsidP="003D4FF5">
      <w:pPr>
        <w:pStyle w:val="Apara"/>
      </w:pPr>
      <w:r>
        <w:tab/>
        <w:t>(a)</w:t>
      </w:r>
      <w:r>
        <w:tab/>
        <w:t>the defendant files a defence but not to the undefended part of the claim; and</w:t>
      </w:r>
    </w:p>
    <w:p w14:paraId="2822D166" w14:textId="77777777" w:rsidR="003D4FF5" w:rsidRDefault="003D4FF5" w:rsidP="003D4FF5">
      <w:pPr>
        <w:pStyle w:val="Apara"/>
      </w:pPr>
      <w:r>
        <w:tab/>
        <w:t>(b)</w:t>
      </w:r>
      <w:r>
        <w:tab/>
        <w:t>the undefended part of the claim is a separate cause of action or is severable from the rest of the claim; and</w:t>
      </w:r>
    </w:p>
    <w:p w14:paraId="5AC7F2D2" w14:textId="77777777" w:rsidR="003D4FF5" w:rsidRDefault="003D4FF5" w:rsidP="003D4FF5">
      <w:pPr>
        <w:pStyle w:val="Apara"/>
        <w:keepNext/>
      </w:pPr>
      <w:r>
        <w:tab/>
        <w:t>(c)</w:t>
      </w:r>
      <w:r>
        <w:tab/>
        <w:t>the court gives leave to the plaintiff to enter judgment against the defendant for the undefended part of the claim.</w:t>
      </w:r>
    </w:p>
    <w:p w14:paraId="43BB480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2C79B1A" w14:textId="77777777"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14:paraId="3E95E466" w14:textId="77777777" w:rsidR="003D4FF5" w:rsidRDefault="003D4FF5" w:rsidP="003D4FF5">
      <w:pPr>
        <w:pStyle w:val="Apara"/>
        <w:keepNext/>
      </w:pPr>
      <w:r>
        <w:tab/>
        <w:t>(a)</w:t>
      </w:r>
      <w:r>
        <w:tab/>
        <w:t>for a proceeding started by originating claim—</w:t>
      </w:r>
    </w:p>
    <w:p w14:paraId="1768007D" w14:textId="77777777" w:rsidR="003D4FF5" w:rsidRDefault="003D4FF5" w:rsidP="003D4FF5">
      <w:pPr>
        <w:pStyle w:val="Asubpara"/>
      </w:pPr>
      <w:r>
        <w:tab/>
        <w:t>(i)</w:t>
      </w:r>
      <w:r>
        <w:tab/>
        <w:t>the proceeding, or the undefended part of the claim, is stayed under rule 1102 (Stay of debt etc proceeding on payment of amount sought); or</w:t>
      </w:r>
    </w:p>
    <w:p w14:paraId="0BE78751" w14:textId="77777777" w:rsidR="003D4FF5" w:rsidRDefault="003D4FF5" w:rsidP="003D4FF5">
      <w:pPr>
        <w:pStyle w:val="Asubpara"/>
      </w:pPr>
      <w:r>
        <w:tab/>
        <w:t>(ii)</w:t>
      </w:r>
      <w:r>
        <w:tab/>
        <w:t>the defendant files a statement under rule 1104 (Judgment on acknowledgment of debt or liquidated demand) in relation to the undefended part of the claim; or</w:t>
      </w:r>
    </w:p>
    <w:p w14:paraId="4C3EE1FA" w14:textId="77777777"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14:paraId="23700C76" w14:textId="77777777"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14:paraId="1C9AE023" w14:textId="77777777"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14:paraId="7C956D50" w14:textId="77777777"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14:paraId="0B8F84A9" w14:textId="77777777" w:rsidR="003D4FF5" w:rsidRDefault="003D4FF5" w:rsidP="003D4FF5">
      <w:pPr>
        <w:pStyle w:val="AH5Sec"/>
      </w:pPr>
      <w:bookmarkStart w:id="402" w:name="_Toc185514019"/>
      <w:r w:rsidRPr="00C8328B">
        <w:rPr>
          <w:rStyle w:val="CharSectNo"/>
        </w:rPr>
        <w:t>1138</w:t>
      </w:r>
      <w:r>
        <w:tab/>
        <w:t>Default judgment—partial defence</w:t>
      </w:r>
      <w:bookmarkEnd w:id="402"/>
    </w:p>
    <w:p w14:paraId="1BE0FEC5" w14:textId="77777777" w:rsidR="003D4FF5" w:rsidRDefault="003D4FF5" w:rsidP="003D4FF5">
      <w:pPr>
        <w:pStyle w:val="Amain"/>
      </w:pPr>
      <w:r>
        <w:tab/>
        <w:t>(1)</w:t>
      </w:r>
      <w:r>
        <w:tab/>
        <w:t>If a defendant is in default in relation to the undefended part of the claim, the plaintiff may—</w:t>
      </w:r>
    </w:p>
    <w:p w14:paraId="219A87F6" w14:textId="77777777" w:rsidR="003D4FF5" w:rsidRDefault="003D4FF5" w:rsidP="003D4FF5">
      <w:pPr>
        <w:pStyle w:val="Apara"/>
      </w:pPr>
      <w:r>
        <w:tab/>
        <w:t>(a)</w:t>
      </w:r>
      <w:r>
        <w:tab/>
        <w:t>apply to the court for judgment to be entered under this division against the defendant in relation to the undefended part of the claim; and</w:t>
      </w:r>
    </w:p>
    <w:p w14:paraId="405EAB47" w14:textId="77777777" w:rsidR="003D4FF5" w:rsidRDefault="003D4FF5" w:rsidP="003D4FF5">
      <w:pPr>
        <w:pStyle w:val="Apara"/>
      </w:pPr>
      <w:r>
        <w:tab/>
        <w:t>(b)</w:t>
      </w:r>
      <w:r>
        <w:tab/>
        <w:t>carry on the proceeding against—</w:t>
      </w:r>
    </w:p>
    <w:p w14:paraId="0ADDA481" w14:textId="77777777" w:rsidR="003D4FF5" w:rsidRDefault="003D4FF5" w:rsidP="003D4FF5">
      <w:pPr>
        <w:pStyle w:val="Asubpara"/>
      </w:pPr>
      <w:r>
        <w:tab/>
        <w:t>(i)</w:t>
      </w:r>
      <w:r>
        <w:tab/>
        <w:t>the defendant in relation to the rest of the proceeding; and</w:t>
      </w:r>
    </w:p>
    <w:p w14:paraId="73FC96F1" w14:textId="77777777" w:rsidR="003D4FF5" w:rsidRDefault="003D4FF5" w:rsidP="003D4FF5">
      <w:pPr>
        <w:pStyle w:val="Asubpara"/>
      </w:pPr>
      <w:r>
        <w:tab/>
        <w:t>(ii)</w:t>
      </w:r>
      <w:r>
        <w:tab/>
        <w:t>any other party to the proceeding.</w:t>
      </w:r>
    </w:p>
    <w:p w14:paraId="3C379097"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3AB2C035" w14:textId="77777777"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14:paraId="76847270" w14:textId="77777777"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14:paraId="522733F0" w14:textId="77777777"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14:paraId="450064C4" w14:textId="77777777"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14:paraId="3B26803B" w14:textId="77777777" w:rsidR="003D4FF5" w:rsidRDefault="003D4FF5" w:rsidP="003D4FF5">
      <w:pPr>
        <w:pStyle w:val="Amain"/>
      </w:pPr>
      <w:r>
        <w:tab/>
        <w:t>(4)</w:t>
      </w:r>
      <w:r>
        <w:tab/>
        <w:t>Part 6.2 (Applications in proceedings) does not apply to an application under subrule (3).</w:t>
      </w:r>
    </w:p>
    <w:p w14:paraId="4F1226C8"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0666AE36" w14:textId="77777777" w:rsidR="003D4FF5" w:rsidRDefault="003D4FF5" w:rsidP="003D4FF5">
      <w:pPr>
        <w:pStyle w:val="Amain"/>
        <w:keepNext/>
      </w:pPr>
      <w:r>
        <w:tab/>
        <w:t>(6)</w:t>
      </w:r>
      <w:r>
        <w:tab/>
        <w:t>The court may enter judgment under this division in favour of the plaintiff in relation to the undefended part of the claim without a hearing.</w:t>
      </w:r>
    </w:p>
    <w:p w14:paraId="2C360225" w14:textId="77777777"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14:paraId="2EFD0595" w14:textId="77777777" w:rsidR="003D4FF5" w:rsidRDefault="003D4FF5" w:rsidP="003D4FF5">
      <w:pPr>
        <w:pStyle w:val="AH5Sec"/>
      </w:pPr>
      <w:bookmarkStart w:id="403" w:name="_Toc185514020"/>
      <w:r w:rsidRPr="00C8328B">
        <w:rPr>
          <w:rStyle w:val="CharSectNo"/>
        </w:rPr>
        <w:t>1139</w:t>
      </w:r>
      <w:r>
        <w:tab/>
        <w:t>Default judgment—application of div 2.11.3</w:t>
      </w:r>
      <w:bookmarkEnd w:id="403"/>
    </w:p>
    <w:p w14:paraId="3BCBEB30" w14:textId="77777777" w:rsidR="003D4FF5" w:rsidRDefault="003D4FF5" w:rsidP="00095EB8">
      <w:pPr>
        <w:pStyle w:val="Amain"/>
        <w:keepNext/>
      </w:pPr>
      <w:r>
        <w:tab/>
        <w:t>(1)</w:t>
      </w:r>
      <w:r>
        <w:tab/>
        <w:t>Division 2.11.3 (other than a non-applied rule) applies to the undefended part of the claim as if it were a separate claim for relief.</w:t>
      </w:r>
    </w:p>
    <w:p w14:paraId="190A63E9" w14:textId="77777777" w:rsidR="003D4FF5" w:rsidRDefault="003D4FF5" w:rsidP="003D4FF5">
      <w:pPr>
        <w:pStyle w:val="Amain"/>
        <w:keepNext/>
      </w:pPr>
      <w:r>
        <w:tab/>
        <w:t>(2)</w:t>
      </w:r>
      <w:r>
        <w:tab/>
        <w:t>In this rule:</w:t>
      </w:r>
    </w:p>
    <w:p w14:paraId="3EA7A275" w14:textId="77777777" w:rsidR="003D4FF5" w:rsidRDefault="003D4FF5" w:rsidP="003D4FF5">
      <w:pPr>
        <w:pStyle w:val="aDef"/>
        <w:keepNext/>
      </w:pPr>
      <w:r w:rsidRPr="005A5F43">
        <w:rPr>
          <w:rStyle w:val="charBoldItals"/>
        </w:rPr>
        <w:t>non-applied rule</w:t>
      </w:r>
      <w:r>
        <w:t xml:space="preserve"> means any of the following rules:</w:t>
      </w:r>
    </w:p>
    <w:p w14:paraId="401040EA"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14:paraId="4A9725C0"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14:paraId="2390214D"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14:paraId="6B5A45AF"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14:paraId="01304C0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14:paraId="34E263C4" w14:textId="77777777"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14:paraId="6C1A3643" w14:textId="77777777" w:rsidR="003D4FF5" w:rsidRPr="00C8328B" w:rsidRDefault="003D4FF5" w:rsidP="003D4FF5">
      <w:pPr>
        <w:pStyle w:val="AH3Div"/>
      </w:pPr>
      <w:bookmarkStart w:id="404" w:name="_Toc185514021"/>
      <w:r w:rsidRPr="00C8328B">
        <w:rPr>
          <w:rStyle w:val="CharDivNo"/>
        </w:rPr>
        <w:lastRenderedPageBreak/>
        <w:t>Division 2.11.5</w:t>
      </w:r>
      <w:r>
        <w:tab/>
      </w:r>
      <w:r w:rsidRPr="00C8328B">
        <w:rPr>
          <w:rStyle w:val="CharDivText"/>
        </w:rPr>
        <w:t>Summary judgment</w:t>
      </w:r>
      <w:bookmarkEnd w:id="404"/>
    </w:p>
    <w:p w14:paraId="44A0886F" w14:textId="77777777" w:rsidR="003D4FF5" w:rsidRDefault="003D4FF5" w:rsidP="003D4FF5">
      <w:pPr>
        <w:pStyle w:val="AH5Sec"/>
      </w:pPr>
      <w:bookmarkStart w:id="405" w:name="_Toc185514022"/>
      <w:r w:rsidRPr="00C8328B">
        <w:rPr>
          <w:rStyle w:val="CharSectNo"/>
        </w:rPr>
        <w:t>1145</w:t>
      </w:r>
      <w:r>
        <w:tab/>
        <w:t>Application—div 2.11.5</w:t>
      </w:r>
      <w:bookmarkEnd w:id="405"/>
    </w:p>
    <w:p w14:paraId="5D9EF5B2" w14:textId="77777777" w:rsidR="003D4FF5" w:rsidRDefault="003D4FF5" w:rsidP="003D4FF5">
      <w:pPr>
        <w:pStyle w:val="Amain"/>
        <w:keepNext/>
      </w:pPr>
      <w:r>
        <w:tab/>
        <w:t>(1)</w:t>
      </w:r>
      <w:r>
        <w:tab/>
        <w:t>This division applies to—</w:t>
      </w:r>
    </w:p>
    <w:p w14:paraId="364492AB" w14:textId="77777777" w:rsidR="003D4FF5" w:rsidRDefault="003D4FF5" w:rsidP="003D4FF5">
      <w:pPr>
        <w:pStyle w:val="Apara"/>
      </w:pPr>
      <w:r>
        <w:tab/>
        <w:t>(a)</w:t>
      </w:r>
      <w:r>
        <w:tab/>
        <w:t>a proceeding started by originating claim; and</w:t>
      </w:r>
    </w:p>
    <w:p w14:paraId="7FBB7E43" w14:textId="77777777" w:rsidR="003D4FF5" w:rsidRDefault="003D4FF5" w:rsidP="003D4FF5">
      <w:pPr>
        <w:pStyle w:val="Apara"/>
      </w:pPr>
      <w:r>
        <w:tab/>
        <w:t>(b)</w:t>
      </w:r>
      <w:r>
        <w:tab/>
        <w:t>a counterclaim, or third-party notice, made in a proceeding started by originating claim.</w:t>
      </w:r>
    </w:p>
    <w:p w14:paraId="56E7CFDE"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61E577C" w14:textId="77777777"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14:paraId="250EEFBD" w14:textId="77777777" w:rsidR="003D4FF5" w:rsidRDefault="003D4FF5" w:rsidP="003D4FF5">
      <w:pPr>
        <w:pStyle w:val="AH5Sec"/>
      </w:pPr>
      <w:bookmarkStart w:id="406" w:name="_Toc185514023"/>
      <w:r w:rsidRPr="00C8328B">
        <w:rPr>
          <w:rStyle w:val="CharSectNo"/>
        </w:rPr>
        <w:t>1146</w:t>
      </w:r>
      <w:r>
        <w:tab/>
        <w:t>Summary judgment—for plaintiff</w:t>
      </w:r>
      <w:bookmarkEnd w:id="406"/>
    </w:p>
    <w:p w14:paraId="490FE845" w14:textId="77777777"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14:paraId="024E8B4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A416E45" w14:textId="77777777" w:rsidR="003D4FF5" w:rsidRDefault="003D4FF5" w:rsidP="003D4FF5">
      <w:pPr>
        <w:pStyle w:val="Amain"/>
      </w:pPr>
      <w:r>
        <w:tab/>
        <w:t>(2)</w:t>
      </w:r>
      <w:r>
        <w:tab/>
        <w:t>The court may give judgment for the plaintiff against the defendant for all or a part of the plaintiff’s claim for relief, unless satisfied that—</w:t>
      </w:r>
    </w:p>
    <w:p w14:paraId="5B301A3E" w14:textId="77777777" w:rsidR="003D4FF5" w:rsidRDefault="003D4FF5" w:rsidP="003D4FF5">
      <w:pPr>
        <w:pStyle w:val="Apara"/>
      </w:pPr>
      <w:r>
        <w:tab/>
        <w:t>(a)</w:t>
      </w:r>
      <w:r>
        <w:tab/>
        <w:t>the defendant has a good defence to the claim for relief on the merits; or</w:t>
      </w:r>
    </w:p>
    <w:p w14:paraId="5F6BB0D0" w14:textId="77777777" w:rsidR="003D4FF5" w:rsidRDefault="003D4FF5" w:rsidP="003D4FF5">
      <w:pPr>
        <w:pStyle w:val="Apara"/>
      </w:pPr>
      <w:r>
        <w:tab/>
        <w:t>(b)</w:t>
      </w:r>
      <w:r>
        <w:tab/>
        <w:t>sufficient facts are disclosed to entitle the defendant to defend the claim for relief generally.</w:t>
      </w:r>
    </w:p>
    <w:p w14:paraId="416AF1CE" w14:textId="77777777" w:rsidR="003D4FF5" w:rsidRDefault="003D4FF5" w:rsidP="003D4FF5">
      <w:pPr>
        <w:pStyle w:val="Amain"/>
      </w:pPr>
      <w:r>
        <w:tab/>
        <w:t>(3)</w:t>
      </w:r>
      <w:r>
        <w:tab/>
        <w:t>Without limiting subrule (2), the court may give judgment for the plaintiff for damages to be assessed.</w:t>
      </w:r>
    </w:p>
    <w:p w14:paraId="3ECB484C" w14:textId="77777777" w:rsidR="003D4FF5" w:rsidRDefault="003D4FF5" w:rsidP="003D4FF5">
      <w:pPr>
        <w:pStyle w:val="Amain"/>
        <w:keepNext/>
      </w:pPr>
      <w:r>
        <w:lastRenderedPageBreak/>
        <w:tab/>
        <w:t>(4)</w:t>
      </w:r>
      <w:r>
        <w:tab/>
        <w:t>The court may make any other order it considers appropriate.</w:t>
      </w:r>
    </w:p>
    <w:p w14:paraId="17A16AFF" w14:textId="77777777" w:rsidR="003D4FF5" w:rsidRDefault="003D4FF5" w:rsidP="003D4FF5">
      <w:pPr>
        <w:pStyle w:val="aExamHdgss"/>
      </w:pPr>
      <w:r>
        <w:t>Examples</w:t>
      </w:r>
    </w:p>
    <w:p w14:paraId="269274E2" w14:textId="77777777" w:rsidR="003D4FF5" w:rsidRDefault="003D4FF5" w:rsidP="003D4FF5">
      <w:pPr>
        <w:pStyle w:val="aExamINumss"/>
        <w:keepNext/>
      </w:pPr>
      <w:r>
        <w:t>1</w:t>
      </w:r>
      <w:r>
        <w:tab/>
        <w:t>The court may give the defendant leave to defend on conditions.</w:t>
      </w:r>
    </w:p>
    <w:p w14:paraId="5B9AB713" w14:textId="77777777" w:rsidR="003D4FF5" w:rsidRDefault="003D4FF5" w:rsidP="003D4FF5">
      <w:pPr>
        <w:pStyle w:val="aExamINumss"/>
        <w:keepNext/>
      </w:pPr>
      <w:r>
        <w:t>2</w:t>
      </w:r>
      <w:r>
        <w:tab/>
        <w:t>The court may order the defendant to pay an amount into court.</w:t>
      </w:r>
    </w:p>
    <w:p w14:paraId="596E3DDA" w14:textId="77777777"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14:paraId="7547A7E3" w14:textId="77777777"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14:paraId="5900AB8B" w14:textId="77777777" w:rsidR="003D4FF5" w:rsidRDefault="003D4FF5" w:rsidP="003D4FF5">
      <w:pPr>
        <w:pStyle w:val="Amain"/>
        <w:keepNext/>
      </w:pPr>
      <w:r>
        <w:tab/>
        <w:t>(6)</w:t>
      </w:r>
      <w:r>
        <w:tab/>
        <w:t>In this rule:</w:t>
      </w:r>
    </w:p>
    <w:p w14:paraId="09C1EBE9" w14:textId="77777777" w:rsidR="003D4FF5" w:rsidRDefault="003D4FF5" w:rsidP="003D4FF5">
      <w:pPr>
        <w:pStyle w:val="aDef"/>
      </w:pPr>
      <w:r w:rsidRPr="005A5F43">
        <w:rPr>
          <w:rStyle w:val="charBoldItals"/>
        </w:rPr>
        <w:t>damages</w:t>
      </w:r>
      <w:r>
        <w:t xml:space="preserve"> includes the value of goods.</w:t>
      </w:r>
    </w:p>
    <w:p w14:paraId="6F83F926" w14:textId="77777777" w:rsidR="003D4FF5" w:rsidRDefault="003D4FF5" w:rsidP="003D4FF5">
      <w:pPr>
        <w:pStyle w:val="AH5Sec"/>
      </w:pPr>
      <w:bookmarkStart w:id="407" w:name="_Toc185514024"/>
      <w:r w:rsidRPr="00C8328B">
        <w:rPr>
          <w:rStyle w:val="CharSectNo"/>
        </w:rPr>
        <w:t>1147</w:t>
      </w:r>
      <w:r>
        <w:tab/>
        <w:t>Summary judgment—for defendant</w:t>
      </w:r>
      <w:bookmarkEnd w:id="407"/>
    </w:p>
    <w:p w14:paraId="34FA06CA" w14:textId="77777777" w:rsidR="003D4FF5" w:rsidRDefault="003D4FF5" w:rsidP="003D4FF5">
      <w:pPr>
        <w:pStyle w:val="Amain"/>
        <w:keepNext/>
      </w:pPr>
      <w:r>
        <w:tab/>
        <w:t>(1)</w:t>
      </w:r>
      <w:r>
        <w:tab/>
        <w:t>A defendant may apply to the court for summary judgment against a plaintiff at any time after filing a notice of intention to respond or defence.</w:t>
      </w:r>
    </w:p>
    <w:p w14:paraId="76E341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0744AA55" w14:textId="77777777" w:rsidR="003D4FF5" w:rsidRDefault="003D4FF5" w:rsidP="003D4FF5">
      <w:pPr>
        <w:pStyle w:val="Amain"/>
      </w:pPr>
      <w:r>
        <w:tab/>
        <w:t>(2)</w:t>
      </w:r>
      <w:r>
        <w:tab/>
        <w:t>The court may give judgment for the defendant against the plaintiff for the plaintiff’s claim for relief (or part of it) if satisfied—</w:t>
      </w:r>
    </w:p>
    <w:p w14:paraId="70474156" w14:textId="77777777" w:rsidR="003D4FF5" w:rsidRDefault="003D4FF5" w:rsidP="003D4FF5">
      <w:pPr>
        <w:pStyle w:val="Apara"/>
      </w:pPr>
      <w:r>
        <w:tab/>
        <w:t>(a)</w:t>
      </w:r>
      <w:r>
        <w:tab/>
        <w:t>that the claim (or part of it) is frivolous or vexatious; or</w:t>
      </w:r>
    </w:p>
    <w:p w14:paraId="78A284DD" w14:textId="77777777" w:rsidR="003D4FF5" w:rsidRDefault="003D4FF5" w:rsidP="003D4FF5">
      <w:pPr>
        <w:pStyle w:val="Apara"/>
      </w:pPr>
      <w:r>
        <w:tab/>
        <w:t>(b)</w:t>
      </w:r>
      <w:r>
        <w:tab/>
        <w:t>that there is a good defence to the claim (or part of it) on the merits; or</w:t>
      </w:r>
    </w:p>
    <w:p w14:paraId="0DCFFF9C" w14:textId="77777777" w:rsidR="003D4FF5" w:rsidRDefault="003D4FF5" w:rsidP="003D4FF5">
      <w:pPr>
        <w:pStyle w:val="Apara"/>
      </w:pPr>
      <w:r>
        <w:tab/>
        <w:t>(c)</w:t>
      </w:r>
      <w:r>
        <w:tab/>
        <w:t>that the proceeding should be finally disposed of summarily or without pleadings.</w:t>
      </w:r>
    </w:p>
    <w:p w14:paraId="7F8DB7BE" w14:textId="77777777" w:rsidR="003D4FF5" w:rsidRDefault="003D4FF5" w:rsidP="003D4FF5">
      <w:pPr>
        <w:pStyle w:val="Amain"/>
      </w:pPr>
      <w:r>
        <w:tab/>
        <w:t>(3)</w:t>
      </w:r>
      <w:r>
        <w:tab/>
        <w:t>The court may make any other order it considers appropriate.</w:t>
      </w:r>
    </w:p>
    <w:p w14:paraId="7ACEFD70" w14:textId="77777777" w:rsidR="003D4FF5" w:rsidRDefault="003D4FF5" w:rsidP="003D4FF5">
      <w:pPr>
        <w:pStyle w:val="aExamHdgss"/>
      </w:pPr>
      <w:r>
        <w:t>Example</w:t>
      </w:r>
    </w:p>
    <w:p w14:paraId="71DDB6FB" w14:textId="77777777" w:rsidR="003D4FF5" w:rsidRDefault="003D4FF5" w:rsidP="009A737B">
      <w:pPr>
        <w:pStyle w:val="aExamss"/>
      </w:pPr>
      <w:r>
        <w:t>stay the proceeding</w:t>
      </w:r>
    </w:p>
    <w:p w14:paraId="61C1C0C7" w14:textId="77777777" w:rsidR="003D4FF5" w:rsidRDefault="003D4FF5" w:rsidP="003D4FF5">
      <w:pPr>
        <w:pStyle w:val="AH5Sec"/>
      </w:pPr>
      <w:bookmarkStart w:id="408" w:name="_Toc185514025"/>
      <w:r w:rsidRPr="00C8328B">
        <w:rPr>
          <w:rStyle w:val="CharSectNo"/>
        </w:rPr>
        <w:lastRenderedPageBreak/>
        <w:t>1148</w:t>
      </w:r>
      <w:r>
        <w:tab/>
        <w:t>Claims not disposed of by summary disposal</w:t>
      </w:r>
      <w:bookmarkEnd w:id="408"/>
    </w:p>
    <w:p w14:paraId="610D8D66" w14:textId="77777777"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14:paraId="5FF66C9A" w14:textId="77777777" w:rsidR="003D4FF5" w:rsidRDefault="003D4FF5" w:rsidP="003D4FF5">
      <w:pPr>
        <w:pStyle w:val="Amain"/>
      </w:pPr>
      <w:r>
        <w:tab/>
        <w:t>(2)</w:t>
      </w:r>
      <w:r>
        <w:tab/>
        <w:t>A second or later application under this division may be made with the court’s leave.</w:t>
      </w:r>
    </w:p>
    <w:p w14:paraId="0BB13507" w14:textId="77777777" w:rsidR="003D4FF5" w:rsidRDefault="003D4FF5" w:rsidP="003D4FF5">
      <w:pPr>
        <w:pStyle w:val="AH5Sec"/>
      </w:pPr>
      <w:bookmarkStart w:id="409" w:name="_Toc185514026"/>
      <w:r w:rsidRPr="00C8328B">
        <w:rPr>
          <w:rStyle w:val="CharSectNo"/>
        </w:rPr>
        <w:t>1149</w:t>
      </w:r>
      <w:r>
        <w:tab/>
        <w:t>Evidence in summary judgment proceedings</w:t>
      </w:r>
      <w:bookmarkEnd w:id="409"/>
    </w:p>
    <w:p w14:paraId="284C024B" w14:textId="77777777" w:rsidR="003D4FF5" w:rsidRDefault="003D4FF5" w:rsidP="003D4FF5">
      <w:pPr>
        <w:pStyle w:val="Amain"/>
        <w:keepNext/>
      </w:pPr>
      <w:r>
        <w:tab/>
        <w:t>(1)</w:t>
      </w:r>
      <w:r>
        <w:tab/>
        <w:t>Evidence must be given by affidavit in support of an application under this division unless the court gives leave.</w:t>
      </w:r>
    </w:p>
    <w:p w14:paraId="0700CC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44AA12F1" w14:textId="77777777"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14:paraId="4BA57C25" w14:textId="77777777" w:rsidR="003D4FF5" w:rsidRDefault="003D4FF5" w:rsidP="003D4FF5">
      <w:pPr>
        <w:pStyle w:val="Amain"/>
        <w:keepNext/>
      </w:pPr>
      <w:r>
        <w:tab/>
        <w:t>(3)</w:t>
      </w:r>
      <w:r>
        <w:tab/>
        <w:t>A party to an application under this division who intends to rely on a document must—</w:t>
      </w:r>
    </w:p>
    <w:p w14:paraId="2698740E" w14:textId="77777777" w:rsidR="003D4FF5" w:rsidRDefault="003D4FF5" w:rsidP="003D4FF5">
      <w:pPr>
        <w:pStyle w:val="Apara"/>
        <w:keepNext/>
      </w:pPr>
      <w:r>
        <w:tab/>
        <w:t>(a)</w:t>
      </w:r>
      <w:r>
        <w:tab/>
        <w:t>annex or exhibit the document to an affidavit; or</w:t>
      </w:r>
    </w:p>
    <w:p w14:paraId="41A9040B" w14:textId="77777777" w:rsidR="003D4FF5" w:rsidRDefault="003D4FF5" w:rsidP="003D4FF5">
      <w:pPr>
        <w:pStyle w:val="Apara"/>
      </w:pPr>
      <w:r>
        <w:tab/>
        <w:t>(b)</w:t>
      </w:r>
      <w:r>
        <w:tab/>
        <w:t>identify in an affidavit the provisions relied on to the extent the party is able to identify them.</w:t>
      </w:r>
    </w:p>
    <w:p w14:paraId="0C0CF45D" w14:textId="77777777" w:rsidR="003D4FF5" w:rsidRDefault="003D4FF5" w:rsidP="003D4FF5">
      <w:pPr>
        <w:pStyle w:val="Amain"/>
      </w:pPr>
      <w:r>
        <w:tab/>
        <w:t>(4)</w:t>
      </w:r>
      <w:r>
        <w:tab/>
        <w:t>A person who makes an affidavit to be read in an application under this division may not be cross-examined without the court’s leave.</w:t>
      </w:r>
    </w:p>
    <w:p w14:paraId="68074982" w14:textId="77777777" w:rsidR="003D4FF5" w:rsidRDefault="003D4FF5" w:rsidP="003D4FF5">
      <w:pPr>
        <w:pStyle w:val="AH5Sec"/>
      </w:pPr>
      <w:bookmarkStart w:id="410" w:name="_Toc185514027"/>
      <w:r w:rsidRPr="00C8328B">
        <w:rPr>
          <w:rStyle w:val="CharSectNo"/>
        </w:rPr>
        <w:t>1150</w:t>
      </w:r>
      <w:r>
        <w:tab/>
        <w:t>Summary judgment applications—filing and service</w:t>
      </w:r>
      <w:bookmarkEnd w:id="410"/>
    </w:p>
    <w:p w14:paraId="7A9BE321" w14:textId="77777777"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14:paraId="49656033" w14:textId="77777777" w:rsidR="003D4FF5" w:rsidRDefault="003D4FF5" w:rsidP="003D4FF5">
      <w:pPr>
        <w:pStyle w:val="Apara"/>
      </w:pPr>
      <w:r>
        <w:tab/>
        <w:t>(a)</w:t>
      </w:r>
      <w:r>
        <w:tab/>
        <w:t>the application;</w:t>
      </w:r>
    </w:p>
    <w:p w14:paraId="51285E11" w14:textId="77777777" w:rsidR="003D4FF5" w:rsidRDefault="003D4FF5" w:rsidP="003D4FF5">
      <w:pPr>
        <w:pStyle w:val="Apara"/>
        <w:keepNext/>
      </w:pPr>
      <w:r>
        <w:lastRenderedPageBreak/>
        <w:tab/>
        <w:t>(b)</w:t>
      </w:r>
      <w:r>
        <w:tab/>
        <w:t>a stamped copy of each affidavit on which the party intends to rely.</w:t>
      </w:r>
    </w:p>
    <w:p w14:paraId="14AD8E5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14:paraId="613A631D" w14:textId="77777777"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14:paraId="17F942A1" w14:textId="77777777"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14:paraId="507DCDF7" w14:textId="77777777" w:rsidR="003D4FF5" w:rsidRDefault="003D4FF5" w:rsidP="003D4FF5">
      <w:pPr>
        <w:pStyle w:val="Amain"/>
      </w:pPr>
      <w:r>
        <w:tab/>
        <w:t>(4)</w:t>
      </w:r>
      <w:r>
        <w:tab/>
        <w:t>This rule applies despite anything in rule 6008 (Application in proceeding—filing and service).</w:t>
      </w:r>
    </w:p>
    <w:p w14:paraId="05534E68" w14:textId="77777777" w:rsidR="003D4FF5" w:rsidRDefault="003D4FF5" w:rsidP="003D4FF5">
      <w:pPr>
        <w:pStyle w:val="AH5Sec"/>
      </w:pPr>
      <w:bookmarkStart w:id="411" w:name="_Toc185514028"/>
      <w:r w:rsidRPr="00C8328B">
        <w:rPr>
          <w:rStyle w:val="CharSectNo"/>
        </w:rPr>
        <w:t>1151</w:t>
      </w:r>
      <w:r>
        <w:tab/>
        <w:t>Summary judgment applications—directions etc</w:t>
      </w:r>
      <w:bookmarkEnd w:id="411"/>
    </w:p>
    <w:p w14:paraId="67F39ECE" w14:textId="77777777" w:rsidR="003D4FF5" w:rsidRDefault="003D4FF5" w:rsidP="003D4FF5">
      <w:pPr>
        <w:pStyle w:val="Amain"/>
        <w:keepNext/>
      </w:pPr>
      <w:r>
        <w:tab/>
        <w:t>(1)</w:t>
      </w:r>
      <w:r>
        <w:tab/>
        <w:t>This rule applies if—</w:t>
      </w:r>
    </w:p>
    <w:p w14:paraId="0820396E" w14:textId="77777777" w:rsidR="003D4FF5" w:rsidRDefault="003D4FF5" w:rsidP="003D4FF5">
      <w:pPr>
        <w:pStyle w:val="Apara"/>
      </w:pPr>
      <w:r>
        <w:tab/>
        <w:t>(a)</w:t>
      </w:r>
      <w:r>
        <w:tab/>
        <w:t>the court dismisses an application for judgment under this division; or</w:t>
      </w:r>
    </w:p>
    <w:p w14:paraId="5747D659" w14:textId="77777777" w:rsidR="003D4FF5" w:rsidRDefault="003D4FF5" w:rsidP="003D4FF5">
      <w:pPr>
        <w:pStyle w:val="Apara"/>
      </w:pPr>
      <w:r>
        <w:tab/>
        <w:t>(b)</w:t>
      </w:r>
      <w:r>
        <w:tab/>
        <w:t>a judgment under this division does not dispose of all claims for relief in a proceeding.</w:t>
      </w:r>
    </w:p>
    <w:p w14:paraId="79F706AB" w14:textId="77777777" w:rsidR="003D4FF5" w:rsidRDefault="003D4FF5" w:rsidP="003D4FF5">
      <w:pPr>
        <w:pStyle w:val="Amain"/>
        <w:keepNext/>
      </w:pPr>
      <w:r>
        <w:tab/>
        <w:t>(2)</w:t>
      </w:r>
      <w:r>
        <w:tab/>
        <w:t>The court may give directions about the future conduct of the proceeding.</w:t>
      </w:r>
    </w:p>
    <w:p w14:paraId="14C7D55F"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14:paraId="51514BBE" w14:textId="77777777"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14:paraId="36D394A3" w14:textId="77777777" w:rsidR="003D4FF5" w:rsidRDefault="003D4FF5" w:rsidP="003D4FF5">
      <w:pPr>
        <w:pStyle w:val="AH5Sec"/>
      </w:pPr>
      <w:bookmarkStart w:id="412" w:name="_Toc185514029"/>
      <w:r w:rsidRPr="00C8328B">
        <w:rPr>
          <w:rStyle w:val="CharSectNo"/>
        </w:rPr>
        <w:lastRenderedPageBreak/>
        <w:t>1152</w:t>
      </w:r>
      <w:r>
        <w:tab/>
        <w:t>Summary judgment applications—costs</w:t>
      </w:r>
      <w:bookmarkEnd w:id="412"/>
    </w:p>
    <w:p w14:paraId="6DF9F82B" w14:textId="77777777"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14:paraId="29B28A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1725492" w14:textId="77777777" w:rsidR="003D4FF5" w:rsidRDefault="003D4FF5" w:rsidP="003D4FF5">
      <w:pPr>
        <w:pStyle w:val="Amain"/>
      </w:pPr>
      <w:r>
        <w:tab/>
        <w:t>(2)</w:t>
      </w:r>
      <w:r>
        <w:tab/>
        <w:t>This rule does not limit the court’s powers in relation to costs.</w:t>
      </w:r>
    </w:p>
    <w:p w14:paraId="5A232F84" w14:textId="77777777" w:rsidR="003D4FF5" w:rsidRDefault="003D4FF5" w:rsidP="003D4FF5">
      <w:pPr>
        <w:pStyle w:val="AH5Sec"/>
      </w:pPr>
      <w:bookmarkStart w:id="413" w:name="_Toc185514030"/>
      <w:r w:rsidRPr="00C8328B">
        <w:rPr>
          <w:rStyle w:val="CharSectNo"/>
        </w:rPr>
        <w:t>1153</w:t>
      </w:r>
      <w:r>
        <w:tab/>
        <w:t>Summary judgment—stay of enforcement</w:t>
      </w:r>
      <w:bookmarkEnd w:id="413"/>
    </w:p>
    <w:p w14:paraId="12E2C9ED" w14:textId="77777777" w:rsidR="003D4FF5" w:rsidRDefault="003D4FF5" w:rsidP="003D4FF5">
      <w:pPr>
        <w:pStyle w:val="Amainreturn"/>
        <w:keepNext/>
      </w:pPr>
      <w:r>
        <w:t>The court may order a stay of the enforcement of a judgment given under this division for the time it considers appropriate.</w:t>
      </w:r>
    </w:p>
    <w:p w14:paraId="21693CF3" w14:textId="77777777"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14:paraId="5D54046D"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7B3AB4BE" w14:textId="77777777" w:rsidR="003D4FF5" w:rsidRDefault="003D4FF5" w:rsidP="003D4FF5">
      <w:pPr>
        <w:pStyle w:val="AH5Sec"/>
      </w:pPr>
      <w:bookmarkStart w:id="414" w:name="_Toc185514031"/>
      <w:r w:rsidRPr="00C8328B">
        <w:rPr>
          <w:rStyle w:val="CharSectNo"/>
        </w:rPr>
        <w:t>1154</w:t>
      </w:r>
      <w:r>
        <w:tab/>
        <w:t>Summary judgment—relief from forfeiture</w:t>
      </w:r>
      <w:bookmarkEnd w:id="414"/>
    </w:p>
    <w:p w14:paraId="1634D37D" w14:textId="77777777"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14:paraId="03A21CA2" w14:textId="77777777" w:rsidR="003D4FF5" w:rsidRDefault="003D4FF5" w:rsidP="003D4FF5">
      <w:pPr>
        <w:pStyle w:val="AH5Sec"/>
      </w:pPr>
      <w:bookmarkStart w:id="415" w:name="_Toc185514032"/>
      <w:r w:rsidRPr="00C8328B">
        <w:rPr>
          <w:rStyle w:val="CharSectNo"/>
        </w:rPr>
        <w:t>1155</w:t>
      </w:r>
      <w:r>
        <w:tab/>
        <w:t>Summary judgment—setting aside</w:t>
      </w:r>
      <w:bookmarkEnd w:id="415"/>
    </w:p>
    <w:p w14:paraId="7D312B7E" w14:textId="77777777" w:rsidR="003D4FF5" w:rsidRDefault="003D4FF5" w:rsidP="003D4FF5">
      <w:pPr>
        <w:pStyle w:val="Amainreturn"/>
        <w:keepNext/>
      </w:pPr>
      <w:r>
        <w:t>The court may amend or set aside a judgment given on an application under this division against a party who did not appear at the hearing of the application.</w:t>
      </w:r>
    </w:p>
    <w:p w14:paraId="625E8D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05E335B" w14:textId="77777777" w:rsidR="003D4FF5" w:rsidRPr="00C8328B" w:rsidRDefault="003D4FF5" w:rsidP="003D4FF5">
      <w:pPr>
        <w:pStyle w:val="AH3Div"/>
      </w:pPr>
      <w:bookmarkStart w:id="416" w:name="_Toc185514033"/>
      <w:r w:rsidRPr="00C8328B">
        <w:rPr>
          <w:rStyle w:val="CharDivNo"/>
        </w:rPr>
        <w:lastRenderedPageBreak/>
        <w:t>Division 2.11.6</w:t>
      </w:r>
      <w:r>
        <w:tab/>
      </w:r>
      <w:r w:rsidRPr="00C8328B">
        <w:rPr>
          <w:rStyle w:val="CharDivText"/>
        </w:rPr>
        <w:t>Discontinuance and withdrawal</w:t>
      </w:r>
      <w:bookmarkEnd w:id="416"/>
    </w:p>
    <w:p w14:paraId="18E5191B" w14:textId="77777777" w:rsidR="003D4FF5" w:rsidRDefault="003D4FF5" w:rsidP="003D4FF5">
      <w:pPr>
        <w:pStyle w:val="AH5Sec"/>
      </w:pPr>
      <w:bookmarkStart w:id="417" w:name="_Toc185514034"/>
      <w:r w:rsidRPr="00C8328B">
        <w:rPr>
          <w:rStyle w:val="CharSectNo"/>
        </w:rPr>
        <w:t>1160</w:t>
      </w:r>
      <w:r>
        <w:tab/>
        <w:t>Discontinuance or withdrawal by plaintiff</w:t>
      </w:r>
      <w:bookmarkEnd w:id="417"/>
    </w:p>
    <w:p w14:paraId="2800DBA1" w14:textId="7997C771" w:rsidR="003D4FF5" w:rsidRDefault="003D4FF5" w:rsidP="003D4FF5">
      <w:pPr>
        <w:pStyle w:val="Amain"/>
      </w:pPr>
      <w:r>
        <w:tab/>
        <w:t>(1)</w:t>
      </w:r>
      <w:r>
        <w:tab/>
      </w:r>
      <w:r w:rsidRPr="00284A0B">
        <w:t xml:space="preserve">A plaintiff may discontinue a proceeding, or withdraw a part of it, at any time before the court sets a </w:t>
      </w:r>
      <w:r w:rsidR="00C83F17" w:rsidRPr="00F13970">
        <w:t>date for the hearing of the originating process</w:t>
      </w:r>
      <w:r w:rsidRPr="00284A0B">
        <w:t>.</w:t>
      </w:r>
    </w:p>
    <w:p w14:paraId="43F67984" w14:textId="77777777"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14:paraId="61A0A87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6B6C1CE5" w14:textId="77777777"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14:paraId="2D9D6F75" w14:textId="77777777" w:rsidR="003D4FF5" w:rsidRDefault="003D4FF5" w:rsidP="003D4FF5">
      <w:pPr>
        <w:pStyle w:val="Amain"/>
      </w:pPr>
      <w:r>
        <w:tab/>
        <w:t>(4)</w:t>
      </w:r>
      <w:r>
        <w:tab/>
        <w:t>A plaintiff may discontinue against 1 or more defendants without discontinuing against other defendants.</w:t>
      </w:r>
    </w:p>
    <w:p w14:paraId="0BC9B57F" w14:textId="77777777" w:rsidR="003D4FF5" w:rsidRDefault="003D4FF5" w:rsidP="003D4FF5">
      <w:pPr>
        <w:pStyle w:val="Amain"/>
      </w:pPr>
      <w:r>
        <w:tab/>
        <w:t>(5)</w:t>
      </w:r>
      <w:r>
        <w:tab/>
        <w:t>Each party who agrees to a proceeding being discontinued, or part of it being withdrawn, must agree in writing.</w:t>
      </w:r>
    </w:p>
    <w:p w14:paraId="54448262" w14:textId="77777777" w:rsidR="003D4FF5" w:rsidRDefault="003D4FF5" w:rsidP="003D4FF5">
      <w:pPr>
        <w:pStyle w:val="AH5Sec"/>
      </w:pPr>
      <w:bookmarkStart w:id="418" w:name="_Toc185514035"/>
      <w:r w:rsidRPr="00C8328B">
        <w:rPr>
          <w:rStyle w:val="CharSectNo"/>
        </w:rPr>
        <w:t>1161</w:t>
      </w:r>
      <w:r>
        <w:tab/>
        <w:t>Discontinuance or withdrawal of counterclaim by defendant</w:t>
      </w:r>
      <w:bookmarkEnd w:id="418"/>
    </w:p>
    <w:p w14:paraId="634ABABF" w14:textId="77777777" w:rsidR="003D4FF5" w:rsidRDefault="003D4FF5" w:rsidP="003D4FF5">
      <w:pPr>
        <w:pStyle w:val="Amainreturn"/>
        <w:keepNext/>
      </w:pPr>
      <w:r>
        <w:t>A defendant may discontinue a counterclaim, or withdraw part of it—</w:t>
      </w:r>
    </w:p>
    <w:p w14:paraId="44EB26B9" w14:textId="77777777" w:rsidR="003D4FF5" w:rsidRDefault="003D4FF5" w:rsidP="003D4FF5">
      <w:pPr>
        <w:pStyle w:val="Apara"/>
      </w:pPr>
      <w:r>
        <w:tab/>
        <w:t>(a)</w:t>
      </w:r>
      <w:r>
        <w:tab/>
        <w:t>before being served with the plaintiff’s answer to the counterclaim; or</w:t>
      </w:r>
    </w:p>
    <w:p w14:paraId="0C397248" w14:textId="77777777" w:rsidR="003D4FF5" w:rsidRDefault="003D4FF5" w:rsidP="003D4FF5">
      <w:pPr>
        <w:pStyle w:val="Apara"/>
        <w:keepNext/>
      </w:pPr>
      <w:r>
        <w:tab/>
        <w:t>(b)</w:t>
      </w:r>
      <w:r>
        <w:tab/>
        <w:t>after being served with the plaintiff’s answer to the counterclaim—only with the court’s leave or the agreement of the other active parties.</w:t>
      </w:r>
    </w:p>
    <w:p w14:paraId="12E1FD4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02BEBE27" w14:textId="77777777" w:rsidR="003D4FF5" w:rsidRDefault="003D4FF5" w:rsidP="003D4FF5">
      <w:pPr>
        <w:pStyle w:val="AH5Sec"/>
      </w:pPr>
      <w:bookmarkStart w:id="419" w:name="_Toc185514036"/>
      <w:r w:rsidRPr="00C8328B">
        <w:rPr>
          <w:rStyle w:val="CharSectNo"/>
        </w:rPr>
        <w:lastRenderedPageBreak/>
        <w:t>1162</w:t>
      </w:r>
      <w:r>
        <w:tab/>
        <w:t>Withdrawal of notice of intention to respond</w:t>
      </w:r>
      <w:bookmarkEnd w:id="419"/>
    </w:p>
    <w:p w14:paraId="6A918F78" w14:textId="77777777" w:rsidR="003D4FF5" w:rsidRDefault="003D4FF5" w:rsidP="003D4FF5">
      <w:pPr>
        <w:pStyle w:val="Amainreturn"/>
        <w:keepNext/>
      </w:pPr>
      <w:r>
        <w:t>A party may withdraw the party’s notice of intention to respond at any time with the court’s leave or the agreement of the other parties.</w:t>
      </w:r>
    </w:p>
    <w:p w14:paraId="6D39DC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5FC7D099" w14:textId="77777777" w:rsidR="003D4FF5" w:rsidRDefault="003D4FF5" w:rsidP="003D4FF5">
      <w:pPr>
        <w:pStyle w:val="AH5Sec"/>
      </w:pPr>
      <w:bookmarkStart w:id="420" w:name="_Toc185514037"/>
      <w:r w:rsidRPr="00C8328B">
        <w:rPr>
          <w:rStyle w:val="CharSectNo"/>
        </w:rPr>
        <w:t>1163</w:t>
      </w:r>
      <w:r>
        <w:tab/>
        <w:t>Costs of discontinuance or withdrawal</w:t>
      </w:r>
      <w:bookmarkEnd w:id="420"/>
    </w:p>
    <w:p w14:paraId="0F9A5E51" w14:textId="77777777" w:rsidR="003D4FF5" w:rsidRDefault="003D4FF5" w:rsidP="003D4FF5">
      <w:pPr>
        <w:pStyle w:val="Amain"/>
      </w:pPr>
      <w:r>
        <w:tab/>
        <w:t>(1)</w:t>
      </w:r>
      <w:r>
        <w:tab/>
        <w:t>A party who discontinues or withdraws is liable to pay—</w:t>
      </w:r>
    </w:p>
    <w:p w14:paraId="30211002" w14:textId="77777777" w:rsidR="003D4FF5" w:rsidRDefault="003D4FF5" w:rsidP="003D4FF5">
      <w:pPr>
        <w:pStyle w:val="Apara"/>
      </w:pPr>
      <w:r>
        <w:tab/>
        <w:t>(a)</w:t>
      </w:r>
      <w:r>
        <w:tab/>
        <w:t>the costs of the party to whom the discontinuance or withdrawal relates up to when the notice of discontinuance or withdrawal is served on the party; and</w:t>
      </w:r>
    </w:p>
    <w:p w14:paraId="7F6FFA9C" w14:textId="77777777" w:rsidR="003D4FF5" w:rsidRDefault="003D4FF5" w:rsidP="003D4FF5">
      <w:pPr>
        <w:pStyle w:val="Apara"/>
      </w:pPr>
      <w:r>
        <w:tab/>
        <w:t>(b)</w:t>
      </w:r>
      <w:r>
        <w:tab/>
        <w:t>the costs of another party or parties caused by the discontinuance or withdrawal up to when the notice of discontinuance or withdrawal is served on the party.</w:t>
      </w:r>
    </w:p>
    <w:p w14:paraId="05EE235E" w14:textId="77777777" w:rsidR="003D4FF5" w:rsidRDefault="003D4FF5" w:rsidP="003D4FF5">
      <w:pPr>
        <w:pStyle w:val="Amain"/>
        <w:keepNext/>
      </w:pPr>
      <w:r>
        <w:tab/>
        <w:t>(2)</w:t>
      </w:r>
      <w:r>
        <w:tab/>
        <w:t>If a party discontinues or withdraws with the court’s leave, the court may make the order for costs it considers appropriate.</w:t>
      </w:r>
    </w:p>
    <w:p w14:paraId="1BCF87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39A3F63" w14:textId="77777777" w:rsidR="003D4FF5" w:rsidRDefault="003D4FF5" w:rsidP="003D4FF5">
      <w:pPr>
        <w:pStyle w:val="AH5Sec"/>
      </w:pPr>
      <w:bookmarkStart w:id="421" w:name="_Toc185514038"/>
      <w:r w:rsidRPr="00C8328B">
        <w:rPr>
          <w:rStyle w:val="CharSectNo"/>
        </w:rPr>
        <w:t>1164</w:t>
      </w:r>
      <w:r>
        <w:tab/>
        <w:t>Withdrawal of defence or further pleading</w:t>
      </w:r>
      <w:bookmarkEnd w:id="421"/>
    </w:p>
    <w:p w14:paraId="4F7E6000" w14:textId="77777777" w:rsidR="003D4FF5" w:rsidRDefault="003D4FF5" w:rsidP="003D4FF5">
      <w:pPr>
        <w:pStyle w:val="Amain"/>
      </w:pPr>
      <w:r>
        <w:tab/>
        <w:t>(1)</w:t>
      </w:r>
      <w:r>
        <w:tab/>
        <w:t>A party may withdraw all or part of the answer to a counterclaim.</w:t>
      </w:r>
    </w:p>
    <w:p w14:paraId="3E35D231" w14:textId="77777777" w:rsidR="003D4FF5" w:rsidRDefault="003D4FF5" w:rsidP="003D4FF5">
      <w:pPr>
        <w:pStyle w:val="Amain"/>
      </w:pPr>
      <w:r>
        <w:tab/>
        <w:t>(2)</w:t>
      </w:r>
      <w:r>
        <w:tab/>
        <w:t>A defendant may withdraw all or part of the defence.</w:t>
      </w:r>
    </w:p>
    <w:p w14:paraId="31CD74BF" w14:textId="77777777" w:rsidR="003D4FF5" w:rsidRDefault="003D4FF5" w:rsidP="003D4FF5">
      <w:pPr>
        <w:pStyle w:val="Amain"/>
      </w:pPr>
      <w:r>
        <w:tab/>
        <w:t>(3)</w:t>
      </w:r>
      <w:r>
        <w:tab/>
        <w:t>For a proceeding started by originating application, a defendant may withdraw all or part of an affidavit.</w:t>
      </w:r>
    </w:p>
    <w:p w14:paraId="3204A026" w14:textId="77777777"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14:paraId="7680A6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087F326" w14:textId="77777777" w:rsidR="003D4FF5" w:rsidRDefault="003D4FF5" w:rsidP="003D4FF5">
      <w:pPr>
        <w:pStyle w:val="AH5Sec"/>
      </w:pPr>
      <w:bookmarkStart w:id="422" w:name="_Toc185514039"/>
      <w:r w:rsidRPr="00C8328B">
        <w:rPr>
          <w:rStyle w:val="CharSectNo"/>
        </w:rPr>
        <w:lastRenderedPageBreak/>
        <w:t>1165</w:t>
      </w:r>
      <w:r>
        <w:tab/>
        <w:t>Notice of discontinuance or withdrawal</w:t>
      </w:r>
      <w:bookmarkEnd w:id="422"/>
    </w:p>
    <w:p w14:paraId="3A87D5A4" w14:textId="77777777"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14:paraId="081BD072" w14:textId="45915C62"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0" w:history="1">
        <w:r w:rsidRPr="001F61F9">
          <w:rPr>
            <w:rStyle w:val="charCitHyperlinkAbbrev"/>
          </w:rPr>
          <w:t>AF2006-282</w:t>
        </w:r>
      </w:hyperlink>
      <w:r>
        <w:t>.</w:t>
      </w:r>
    </w:p>
    <w:p w14:paraId="2E184D0D" w14:textId="77777777"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14:paraId="7550C8EE" w14:textId="77777777"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14:paraId="3739512A" w14:textId="77777777" w:rsidR="003D4FF5" w:rsidRDefault="003D4FF5" w:rsidP="003D4FF5">
      <w:pPr>
        <w:pStyle w:val="AH5Sec"/>
      </w:pPr>
      <w:bookmarkStart w:id="423" w:name="_Toc185514040"/>
      <w:r w:rsidRPr="00C8328B">
        <w:rPr>
          <w:rStyle w:val="CharSectNo"/>
        </w:rPr>
        <w:t>1166</w:t>
      </w:r>
      <w:r>
        <w:tab/>
        <w:t>Discontinuance or withdrawal by party representing someone else etc</w:t>
      </w:r>
      <w:bookmarkEnd w:id="423"/>
    </w:p>
    <w:p w14:paraId="2CEB9818" w14:textId="77777777" w:rsidR="003D4FF5" w:rsidRDefault="003D4FF5" w:rsidP="003D4FF5">
      <w:pPr>
        <w:pStyle w:val="Amain"/>
        <w:keepNext/>
      </w:pPr>
      <w:r>
        <w:tab/>
        <w:t>(1)</w:t>
      </w:r>
      <w:r>
        <w:tab/>
        <w:t>If a party represents someone else in a proceeding, the party may discontinue the proceeding, or withdraw part of it, only with the court’s leave.</w:t>
      </w:r>
    </w:p>
    <w:p w14:paraId="6536906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794ECEC1" w14:textId="77777777"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14:paraId="5F5EAE4F" w14:textId="77777777" w:rsidR="003D4FF5" w:rsidRDefault="003D4FF5" w:rsidP="003D4FF5">
      <w:pPr>
        <w:pStyle w:val="AH5Sec"/>
      </w:pPr>
      <w:bookmarkStart w:id="424" w:name="_Toc185514041"/>
      <w:r w:rsidRPr="00C8328B">
        <w:rPr>
          <w:rStyle w:val="CharSectNo"/>
        </w:rPr>
        <w:t>1167</w:t>
      </w:r>
      <w:r>
        <w:tab/>
        <w:t>Discontinuance or withdrawal—subsequent proceeding</w:t>
      </w:r>
      <w:bookmarkEnd w:id="424"/>
    </w:p>
    <w:p w14:paraId="4E51F1A1" w14:textId="77777777" w:rsidR="003D4FF5" w:rsidRDefault="003D4FF5" w:rsidP="003D4FF5">
      <w:pPr>
        <w:pStyle w:val="Amain"/>
      </w:pPr>
      <w:r>
        <w:tab/>
        <w:t>(1)</w:t>
      </w:r>
      <w:r>
        <w:tab/>
        <w:t>A discontinuance or withdrawal under this division is not a defence to another proceeding on the same or substantially the same ground.</w:t>
      </w:r>
    </w:p>
    <w:p w14:paraId="38AF7AAA" w14:textId="77777777" w:rsidR="003D4FF5" w:rsidRDefault="003D4FF5" w:rsidP="003D4FF5">
      <w:pPr>
        <w:pStyle w:val="Amain"/>
      </w:pPr>
      <w:r>
        <w:tab/>
        <w:t>(2)</w:t>
      </w:r>
      <w:r>
        <w:tab/>
        <w:t>Subrule (1) is subject to the conditions of any agreement to the discontinuance or withdrawal or any leave to discontinue or withdraw.</w:t>
      </w:r>
    </w:p>
    <w:p w14:paraId="3F01A90B" w14:textId="77777777"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14:paraId="3DBEEA4E" w14:textId="77777777" w:rsidR="003D4FF5" w:rsidRDefault="003D4FF5" w:rsidP="003D4FF5">
      <w:pPr>
        <w:pStyle w:val="AH5Sec"/>
      </w:pPr>
      <w:bookmarkStart w:id="425" w:name="_Toc185514042"/>
      <w:r w:rsidRPr="00C8328B">
        <w:rPr>
          <w:rStyle w:val="CharSectNo"/>
        </w:rPr>
        <w:t>1168</w:t>
      </w:r>
      <w:r>
        <w:tab/>
        <w:t>Consolidated proceedings and counterclaims</w:t>
      </w:r>
      <w:bookmarkEnd w:id="425"/>
    </w:p>
    <w:p w14:paraId="602F8DF9" w14:textId="77777777" w:rsidR="003D4FF5" w:rsidRDefault="003D4FF5" w:rsidP="003D4FF5">
      <w:pPr>
        <w:pStyle w:val="Amainreturn"/>
      </w:pPr>
      <w:r>
        <w:t>The plaintiff’s discontinuance of a proceeding does not prejudice a proceeding consolidated with it or a counterclaim made by the defendant.</w:t>
      </w:r>
    </w:p>
    <w:p w14:paraId="1B6668EB" w14:textId="77777777" w:rsidR="003D4FF5" w:rsidRDefault="003D4FF5" w:rsidP="003D4FF5">
      <w:pPr>
        <w:pStyle w:val="AH5Sec"/>
      </w:pPr>
      <w:bookmarkStart w:id="426" w:name="_Toc185514043"/>
      <w:r w:rsidRPr="00C8328B">
        <w:rPr>
          <w:rStyle w:val="CharSectNo"/>
        </w:rPr>
        <w:t>1169</w:t>
      </w:r>
      <w:r>
        <w:tab/>
        <w:t>Stay pending payment of costs</w:t>
      </w:r>
      <w:bookmarkEnd w:id="426"/>
    </w:p>
    <w:p w14:paraId="42D3C295" w14:textId="77777777"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14:paraId="50DCA558" w14:textId="77777777" w:rsidR="003D4FF5" w:rsidRDefault="003D4FF5" w:rsidP="003D4FF5">
      <w:pPr>
        <w:pStyle w:val="Amain"/>
        <w:keepNext/>
      </w:pPr>
      <w:r>
        <w:tab/>
        <w:t>(2)</w:t>
      </w:r>
      <w:r>
        <w:tab/>
        <w:t>The court may order a stay of the subsequent proceeding until the costs are paid.</w:t>
      </w:r>
    </w:p>
    <w:p w14:paraId="3BC00B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17E0C6B" w14:textId="77777777" w:rsidR="003D4FF5" w:rsidRPr="00C8328B" w:rsidRDefault="003D4FF5" w:rsidP="003D4FF5">
      <w:pPr>
        <w:pStyle w:val="AH3Div"/>
      </w:pPr>
      <w:bookmarkStart w:id="427" w:name="_Toc185514044"/>
      <w:r w:rsidRPr="00C8328B">
        <w:rPr>
          <w:rStyle w:val="CharDivNo"/>
        </w:rPr>
        <w:t>Division 2.11.7</w:t>
      </w:r>
      <w:r>
        <w:tab/>
      </w:r>
      <w:r w:rsidRPr="00C8328B">
        <w:rPr>
          <w:rStyle w:val="CharDivText"/>
        </w:rPr>
        <w:t>Mediation and neutral evaluation</w:t>
      </w:r>
      <w:bookmarkEnd w:id="427"/>
    </w:p>
    <w:p w14:paraId="6BAF4C58" w14:textId="77777777" w:rsidR="003D4FF5" w:rsidRDefault="003D4FF5" w:rsidP="003D4FF5">
      <w:pPr>
        <w:pStyle w:val="AH5Sec"/>
      </w:pPr>
      <w:bookmarkStart w:id="428" w:name="_Toc185514045"/>
      <w:r w:rsidRPr="00C8328B">
        <w:rPr>
          <w:rStyle w:val="CharSectNo"/>
        </w:rPr>
        <w:t>1175</w:t>
      </w:r>
      <w:r>
        <w:tab/>
        <w:t>Purpose—div 2.11.7</w:t>
      </w:r>
      <w:bookmarkEnd w:id="428"/>
    </w:p>
    <w:p w14:paraId="3F10C641" w14:textId="77777777" w:rsidR="003D4FF5" w:rsidRDefault="003D4FF5" w:rsidP="003D4FF5">
      <w:pPr>
        <w:pStyle w:val="Amainreturn"/>
      </w:pPr>
      <w:r>
        <w:t>This division does not prevent the parties to a proceeding from agreeing to, and arranging for, mediation or neutral evaluation of any matter otherwise than under this division.</w:t>
      </w:r>
    </w:p>
    <w:p w14:paraId="01926FE1" w14:textId="77777777" w:rsidR="003D4FF5" w:rsidRDefault="003D4FF5" w:rsidP="003D4FF5">
      <w:pPr>
        <w:pStyle w:val="AH5Sec"/>
      </w:pPr>
      <w:bookmarkStart w:id="429" w:name="_Toc185514046"/>
      <w:r w:rsidRPr="00C8328B">
        <w:rPr>
          <w:rStyle w:val="CharSectNo"/>
        </w:rPr>
        <w:t>1176</w:t>
      </w:r>
      <w:r>
        <w:tab/>
        <w:t>Definitions—div 2.11.7</w:t>
      </w:r>
      <w:bookmarkEnd w:id="429"/>
    </w:p>
    <w:p w14:paraId="69DAAA0E" w14:textId="77777777"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14:paraId="04BAD872" w14:textId="77777777"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14:paraId="0F0E47F0" w14:textId="77777777"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14:paraId="31EA7058" w14:textId="77777777"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09E4B59E" w14:textId="77777777"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14:paraId="2618131D" w14:textId="77777777" w:rsidR="003D4FF5" w:rsidRDefault="003D4FF5" w:rsidP="003D4FF5">
      <w:pPr>
        <w:pStyle w:val="AH5Sec"/>
      </w:pPr>
      <w:bookmarkStart w:id="430" w:name="_Toc185514047"/>
      <w:r w:rsidRPr="00C8328B">
        <w:rPr>
          <w:rStyle w:val="CharSectNo"/>
        </w:rPr>
        <w:t>1177</w:t>
      </w:r>
      <w:r>
        <w:tab/>
        <w:t>Mediation—appointment of mediator</w:t>
      </w:r>
      <w:bookmarkEnd w:id="430"/>
    </w:p>
    <w:p w14:paraId="04A21987" w14:textId="77777777" w:rsidR="003D4FF5" w:rsidRDefault="003D4FF5" w:rsidP="003D4FF5">
      <w:pPr>
        <w:pStyle w:val="Amain"/>
      </w:pPr>
      <w:r>
        <w:tab/>
        <w:t>(1)</w:t>
      </w:r>
      <w:r>
        <w:tab/>
        <w:t>A person can be a mediator if the person—</w:t>
      </w:r>
    </w:p>
    <w:p w14:paraId="59BA0949" w14:textId="77777777" w:rsidR="003D4FF5" w:rsidRDefault="003D4FF5" w:rsidP="003D4FF5">
      <w:pPr>
        <w:pStyle w:val="Apara"/>
      </w:pPr>
      <w:r>
        <w:tab/>
        <w:t>(a)</w:t>
      </w:r>
      <w:r>
        <w:tab/>
        <w:t>is a</w:t>
      </w:r>
      <w:r w:rsidR="00B84C38">
        <w:t>n accredited</w:t>
      </w:r>
      <w:r>
        <w:t xml:space="preserve"> mediator; and</w:t>
      </w:r>
    </w:p>
    <w:p w14:paraId="51032D08" w14:textId="77777777" w:rsidR="003D4FF5" w:rsidRDefault="003D4FF5" w:rsidP="003D4FF5">
      <w:pPr>
        <w:pStyle w:val="Apara"/>
      </w:pPr>
      <w:r>
        <w:tab/>
        <w:t>(b)</w:t>
      </w:r>
      <w:r>
        <w:tab/>
        <w:t>is appointed by the court as a mediator.</w:t>
      </w:r>
    </w:p>
    <w:p w14:paraId="01E35AE3" w14:textId="1FE9118F" w:rsidR="003D4FF5" w:rsidRDefault="003D4FF5" w:rsidP="003D4FF5">
      <w:pPr>
        <w:pStyle w:val="Amain"/>
      </w:pPr>
      <w:r>
        <w:tab/>
        <w:t>(2)</w:t>
      </w:r>
      <w:r>
        <w:tab/>
        <w:t xml:space="preserve">The </w:t>
      </w:r>
      <w:hyperlink r:id="rId131" w:tooltip="A2001-14" w:history="1">
        <w:r w:rsidRPr="005A5F43">
          <w:rPr>
            <w:rStyle w:val="charCitHyperlinkAbbrev"/>
          </w:rPr>
          <w:t>Legislation Act</w:t>
        </w:r>
      </w:hyperlink>
      <w:r>
        <w:t>, part 19.3 (Appointments) does not apply to the appointment of a mediator under this rule.</w:t>
      </w:r>
    </w:p>
    <w:p w14:paraId="0A2254D0" w14:textId="77777777" w:rsidR="00B84C38" w:rsidRPr="00F7165D" w:rsidRDefault="00B84C38" w:rsidP="00B84C38">
      <w:pPr>
        <w:pStyle w:val="Amain"/>
      </w:pPr>
      <w:r w:rsidRPr="00F7165D">
        <w:tab/>
        <w:t>(3)</w:t>
      </w:r>
      <w:r w:rsidRPr="00F7165D">
        <w:tab/>
        <w:t>In this rule:</w:t>
      </w:r>
    </w:p>
    <w:p w14:paraId="621C78B1" w14:textId="59305806" w:rsidR="00B84C38" w:rsidRPr="00F7165D" w:rsidRDefault="00B84C38" w:rsidP="00B84C38">
      <w:pPr>
        <w:pStyle w:val="aDef"/>
      </w:pPr>
      <w:r w:rsidRPr="00F7165D">
        <w:rPr>
          <w:rStyle w:val="charBoldItals"/>
        </w:rPr>
        <w:t>accredited mediator</w:t>
      </w:r>
      <w:r w:rsidRPr="00F7165D">
        <w:t xml:space="preserve">—see the </w:t>
      </w:r>
      <w:hyperlink r:id="rId132" w:tooltip="A2004-59" w:history="1">
        <w:r w:rsidRPr="00F7165D">
          <w:rPr>
            <w:rStyle w:val="charCitHyperlinkAbbrev"/>
          </w:rPr>
          <w:t>Act</w:t>
        </w:r>
      </w:hyperlink>
      <w:r w:rsidRPr="00F7165D">
        <w:t>, section 52A.</w:t>
      </w:r>
    </w:p>
    <w:p w14:paraId="794F19EB" w14:textId="77777777" w:rsidR="003D4FF5" w:rsidRDefault="003D4FF5" w:rsidP="003D4FF5">
      <w:pPr>
        <w:pStyle w:val="AH5Sec"/>
      </w:pPr>
      <w:bookmarkStart w:id="431" w:name="_Toc185514048"/>
      <w:r w:rsidRPr="00C8328B">
        <w:rPr>
          <w:rStyle w:val="CharSectNo"/>
        </w:rPr>
        <w:t>1178</w:t>
      </w:r>
      <w:r>
        <w:tab/>
        <w:t>Neutral evaluation—appointment of evaluator</w:t>
      </w:r>
      <w:bookmarkEnd w:id="431"/>
    </w:p>
    <w:p w14:paraId="6AA25869" w14:textId="77777777" w:rsidR="003D4FF5" w:rsidRDefault="003D4FF5" w:rsidP="003D4FF5">
      <w:pPr>
        <w:pStyle w:val="Amain"/>
        <w:keepNext/>
      </w:pPr>
      <w:r>
        <w:tab/>
        <w:t>(1)</w:t>
      </w:r>
      <w:r>
        <w:tab/>
        <w:t>The following people can be an evaluator:</w:t>
      </w:r>
    </w:p>
    <w:p w14:paraId="7126A0B7" w14:textId="77777777" w:rsidR="003D4FF5" w:rsidRDefault="003D4FF5" w:rsidP="003D4FF5">
      <w:pPr>
        <w:pStyle w:val="Apara"/>
      </w:pPr>
      <w:r>
        <w:tab/>
        <w:t>(a)</w:t>
      </w:r>
      <w:r>
        <w:tab/>
        <w:t>the registrar of the court;</w:t>
      </w:r>
    </w:p>
    <w:p w14:paraId="71F06DE2" w14:textId="77777777" w:rsidR="003D4FF5" w:rsidRDefault="003D4FF5" w:rsidP="003D4FF5">
      <w:pPr>
        <w:pStyle w:val="Apara"/>
      </w:pPr>
      <w:r>
        <w:tab/>
        <w:t>(b)</w:t>
      </w:r>
      <w:r>
        <w:tab/>
        <w:t>someone else that the court considers has the skills and qualifications to be an evaluator and appoints as an evaluator.</w:t>
      </w:r>
    </w:p>
    <w:p w14:paraId="2FB47C66" w14:textId="59C42620" w:rsidR="003D4FF5" w:rsidRDefault="003D4FF5" w:rsidP="003D4FF5">
      <w:pPr>
        <w:pStyle w:val="Amain"/>
      </w:pPr>
      <w:r>
        <w:tab/>
        <w:t>(2)</w:t>
      </w:r>
      <w:r>
        <w:tab/>
        <w:t xml:space="preserve">The </w:t>
      </w:r>
      <w:hyperlink r:id="rId133" w:tooltip="A2001-14" w:history="1">
        <w:r w:rsidRPr="005A5F43">
          <w:rPr>
            <w:rStyle w:val="charCitHyperlinkAbbrev"/>
          </w:rPr>
          <w:t>Legislation Act</w:t>
        </w:r>
      </w:hyperlink>
      <w:r>
        <w:t>, part 19.3 (Appointments) does not apply to the appointment of an evaluator under this rule.</w:t>
      </w:r>
    </w:p>
    <w:p w14:paraId="3A15344A" w14:textId="77777777" w:rsidR="003D4FF5" w:rsidRDefault="003D4FF5" w:rsidP="003D4FF5">
      <w:pPr>
        <w:pStyle w:val="AH5Sec"/>
      </w:pPr>
      <w:bookmarkStart w:id="432" w:name="_Toc185514049"/>
      <w:r w:rsidRPr="00C8328B">
        <w:rPr>
          <w:rStyle w:val="CharSectNo"/>
        </w:rPr>
        <w:lastRenderedPageBreak/>
        <w:t>1179</w:t>
      </w:r>
      <w:r>
        <w:tab/>
        <w:t>Mediation or neutral evaluation—referral by court</w:t>
      </w:r>
      <w:bookmarkEnd w:id="432"/>
    </w:p>
    <w:p w14:paraId="5A83CF8D" w14:textId="77777777" w:rsidR="003D4FF5" w:rsidRDefault="003D4FF5" w:rsidP="003D4FF5">
      <w:pPr>
        <w:pStyle w:val="Amain"/>
      </w:pPr>
      <w:r>
        <w:tab/>
        <w:t>(1)</w:t>
      </w:r>
      <w:r>
        <w:tab/>
        <w:t>The court may, by order, refer a proceeding, or any part of a proceeding, for mediation or neutral evaluation.</w:t>
      </w:r>
    </w:p>
    <w:p w14:paraId="0DBE37CE" w14:textId="77777777" w:rsidR="003D4FF5" w:rsidRDefault="003D4FF5" w:rsidP="003D4FF5">
      <w:pPr>
        <w:pStyle w:val="Amain"/>
        <w:keepNext/>
      </w:pPr>
      <w:r>
        <w:tab/>
        <w:t>(2)</w:t>
      </w:r>
      <w:r>
        <w:tab/>
        <w:t>The court may make an order on application by a party to the proceeding or on its own initiative.</w:t>
      </w:r>
    </w:p>
    <w:p w14:paraId="556F9CA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5DA4D39" w14:textId="77777777" w:rsidR="003D4FF5" w:rsidRDefault="003D4FF5" w:rsidP="003D4FF5">
      <w:pPr>
        <w:pStyle w:val="Amain"/>
      </w:pPr>
      <w:r>
        <w:tab/>
        <w:t>(3)</w:t>
      </w:r>
      <w:r>
        <w:tab/>
        <w:t>If the court makes an order under subrule (1) for mediation, the mediation must be undertaken only by a mediator appointed by the court.</w:t>
      </w:r>
    </w:p>
    <w:p w14:paraId="12D15C46" w14:textId="77777777" w:rsidR="003D4FF5" w:rsidRDefault="003D4FF5" w:rsidP="003D4FF5">
      <w:pPr>
        <w:pStyle w:val="Amain"/>
      </w:pPr>
      <w:r>
        <w:tab/>
        <w:t>(4)</w:t>
      </w:r>
      <w:r>
        <w:tab/>
        <w:t>If the court makes an order under subrule (1) for neutral evaluation, the neutral evaluation must be undertaken only by an evaluator appointed by the court.</w:t>
      </w:r>
    </w:p>
    <w:p w14:paraId="04CDB7BC" w14:textId="77777777" w:rsidR="003D4FF5" w:rsidRDefault="003D4FF5" w:rsidP="003D4FF5">
      <w:pPr>
        <w:pStyle w:val="AH5Sec"/>
      </w:pPr>
      <w:bookmarkStart w:id="433" w:name="_Toc185514050"/>
      <w:r w:rsidRPr="00C8328B">
        <w:rPr>
          <w:rStyle w:val="CharSectNo"/>
        </w:rPr>
        <w:t>1180</w:t>
      </w:r>
      <w:r>
        <w:tab/>
        <w:t>Mediation or neutral evaluation—duty of parties to take part</w:t>
      </w:r>
      <w:bookmarkEnd w:id="433"/>
    </w:p>
    <w:p w14:paraId="630E53A7" w14:textId="77777777"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14:paraId="37AC1BE3" w14:textId="77777777" w:rsidR="003D4FF5" w:rsidRDefault="003D4FF5" w:rsidP="003D4FF5">
      <w:pPr>
        <w:pStyle w:val="AH5Sec"/>
      </w:pPr>
      <w:bookmarkStart w:id="434" w:name="_Toc185514051"/>
      <w:r w:rsidRPr="00C8328B">
        <w:rPr>
          <w:rStyle w:val="CharSectNo"/>
        </w:rPr>
        <w:t>1181</w:t>
      </w:r>
      <w:r>
        <w:tab/>
        <w:t>Mediation or neutral evaluation—costs</w:t>
      </w:r>
      <w:bookmarkEnd w:id="434"/>
    </w:p>
    <w:p w14:paraId="60B6B4B8" w14:textId="77777777" w:rsidR="003D4FF5" w:rsidRDefault="003D4FF5" w:rsidP="003D4FF5">
      <w:pPr>
        <w:pStyle w:val="Amain"/>
      </w:pPr>
      <w:r>
        <w:tab/>
        <w:t>(1)</w:t>
      </w:r>
      <w:r>
        <w:tab/>
        <w:t>The costs of a mediation or neutral evaluation are payable—</w:t>
      </w:r>
    </w:p>
    <w:p w14:paraId="5C3FEE34" w14:textId="77777777" w:rsidR="003D4FF5" w:rsidRDefault="003D4FF5" w:rsidP="003D4FF5">
      <w:pPr>
        <w:pStyle w:val="Apara"/>
      </w:pPr>
      <w:r>
        <w:tab/>
        <w:t>(a)</w:t>
      </w:r>
      <w:r>
        <w:tab/>
        <w:t>by the parties to the proceeding, in the proportions they agree among themselves; or</w:t>
      </w:r>
    </w:p>
    <w:p w14:paraId="1BA2284B" w14:textId="77777777" w:rsidR="003D4FF5" w:rsidRDefault="003D4FF5" w:rsidP="003D4FF5">
      <w:pPr>
        <w:pStyle w:val="Apara"/>
      </w:pPr>
      <w:r>
        <w:tab/>
        <w:t>(b)</w:t>
      </w:r>
      <w:r>
        <w:tab/>
        <w:t>if the court makes an order about the payment of the costs—by 1 or more of the parties, in the way stated in the order.</w:t>
      </w:r>
    </w:p>
    <w:p w14:paraId="36F09233" w14:textId="77777777" w:rsidR="003D4FF5" w:rsidRPr="007741D3" w:rsidRDefault="003D4FF5" w:rsidP="003D4FF5">
      <w:pPr>
        <w:pStyle w:val="Amain"/>
      </w:pPr>
      <w:r w:rsidRPr="007741D3">
        <w:tab/>
        <w:t>(2)</w:t>
      </w:r>
      <w:r w:rsidRPr="007741D3">
        <w:tab/>
        <w:t>In this rule:</w:t>
      </w:r>
    </w:p>
    <w:p w14:paraId="462576E8" w14:textId="77777777"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14:paraId="264F8DF5" w14:textId="77777777" w:rsidR="003D4FF5" w:rsidRDefault="003D4FF5" w:rsidP="003D4FF5">
      <w:pPr>
        <w:pStyle w:val="AH5Sec"/>
      </w:pPr>
      <w:bookmarkStart w:id="435" w:name="_Toc185514052"/>
      <w:r w:rsidRPr="00C8328B">
        <w:rPr>
          <w:rStyle w:val="CharSectNo"/>
        </w:rPr>
        <w:lastRenderedPageBreak/>
        <w:t>1182</w:t>
      </w:r>
      <w:r>
        <w:tab/>
        <w:t>Mediation or neutral evaluation—agreements and arrangements arising from sessions</w:t>
      </w:r>
      <w:bookmarkEnd w:id="435"/>
    </w:p>
    <w:p w14:paraId="5505A427" w14:textId="77777777" w:rsidR="003D4FF5" w:rsidRDefault="003D4FF5" w:rsidP="003D4FF5">
      <w:pPr>
        <w:pStyle w:val="Amain"/>
      </w:pPr>
      <w:r>
        <w:tab/>
        <w:t>(1)</w:t>
      </w:r>
      <w:r>
        <w:tab/>
        <w:t>The court may make orders to give effect to an agreement or arrangement between the parties arising out of a mediation session or neutral evaluation.</w:t>
      </w:r>
    </w:p>
    <w:p w14:paraId="54775631" w14:textId="77777777"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14:paraId="01327078" w14:textId="3534E0F9"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34" w:tooltip="A2004-59" w:history="1">
        <w:r w:rsidRPr="00F7165D">
          <w:rPr>
            <w:rStyle w:val="charCitHyperlinkAbbrev"/>
          </w:rPr>
          <w:t>Act</w:t>
        </w:r>
      </w:hyperlink>
      <w:r w:rsidRPr="00F7165D">
        <w:t>, pt 5A.</w:t>
      </w:r>
    </w:p>
    <w:p w14:paraId="071156D5" w14:textId="77777777" w:rsidR="003D4FF5" w:rsidRDefault="003D4FF5" w:rsidP="003D4FF5">
      <w:pPr>
        <w:pStyle w:val="AH5Sec"/>
      </w:pPr>
      <w:bookmarkStart w:id="436" w:name="_Toc185514053"/>
      <w:r w:rsidRPr="00C8328B">
        <w:rPr>
          <w:rStyle w:val="CharSectNo"/>
        </w:rPr>
        <w:t>1183</w:t>
      </w:r>
      <w:r>
        <w:tab/>
        <w:t>Neutral evaluation—privilege</w:t>
      </w:r>
      <w:bookmarkEnd w:id="436"/>
    </w:p>
    <w:p w14:paraId="3F3CD570" w14:textId="77777777" w:rsidR="003D4FF5" w:rsidRDefault="003D4FF5" w:rsidP="003D4FF5">
      <w:pPr>
        <w:pStyle w:val="Amain"/>
      </w:pPr>
      <w:r>
        <w:tab/>
        <w:t>(1)</w:t>
      </w:r>
      <w:r>
        <w:tab/>
        <w:t>The same privilege in relation to defamation that exists for a proceeding in the court, and a document in a proceeding, exists for—</w:t>
      </w:r>
    </w:p>
    <w:p w14:paraId="1BD5078A" w14:textId="77777777" w:rsidR="003D4FF5" w:rsidRDefault="003D4FF5" w:rsidP="003D4FF5">
      <w:pPr>
        <w:pStyle w:val="Apara"/>
      </w:pPr>
      <w:r>
        <w:tab/>
        <w:t>(a)</w:t>
      </w:r>
      <w:r>
        <w:tab/>
        <w:t>a neutral evaluation session; or</w:t>
      </w:r>
    </w:p>
    <w:p w14:paraId="568EECD5" w14:textId="77777777" w:rsidR="003D4FF5" w:rsidRDefault="003D4FF5" w:rsidP="003D4FF5">
      <w:pPr>
        <w:pStyle w:val="Apara"/>
      </w:pPr>
      <w:r>
        <w:tab/>
        <w:t>(b)</w:t>
      </w:r>
      <w:r>
        <w:tab/>
        <w:t>a document or thing sent to or produced to an evaluator; or</w:t>
      </w:r>
    </w:p>
    <w:p w14:paraId="44208DF5" w14:textId="77777777" w:rsidR="003D4FF5" w:rsidRDefault="003D4FF5" w:rsidP="003D4FF5">
      <w:pPr>
        <w:pStyle w:val="Apara"/>
      </w:pPr>
      <w:r>
        <w:tab/>
        <w:t>(c)</w:t>
      </w:r>
      <w:r>
        <w:tab/>
        <w:t>a document or thing sent to, or produced at, the court to enable a neutral evaluation session to be arranged.</w:t>
      </w:r>
    </w:p>
    <w:p w14:paraId="2FF2BD08" w14:textId="77777777" w:rsidR="003D4FF5" w:rsidRDefault="003D4FF5" w:rsidP="003D4FF5">
      <w:pPr>
        <w:pStyle w:val="Amain"/>
        <w:keepNext/>
      </w:pPr>
      <w:r>
        <w:tab/>
        <w:t>(2)</w:t>
      </w:r>
      <w:r>
        <w:tab/>
        <w:t>However, the privilege under subrule (1) only extends to a publication made—</w:t>
      </w:r>
    </w:p>
    <w:p w14:paraId="0E4AAB42" w14:textId="77777777" w:rsidR="003D4FF5" w:rsidRDefault="003D4FF5" w:rsidP="003D4FF5">
      <w:pPr>
        <w:pStyle w:val="Apara"/>
      </w:pPr>
      <w:r>
        <w:tab/>
        <w:t>(a)</w:t>
      </w:r>
      <w:r>
        <w:tab/>
        <w:t>at a neutral evaluation session; or</w:t>
      </w:r>
    </w:p>
    <w:p w14:paraId="6198C42A" w14:textId="77777777" w:rsidR="003D4FF5" w:rsidRDefault="003D4FF5" w:rsidP="003D4FF5">
      <w:pPr>
        <w:pStyle w:val="Apara"/>
      </w:pPr>
      <w:r>
        <w:tab/>
        <w:t>(b)</w:t>
      </w:r>
      <w:r>
        <w:tab/>
        <w:t>as provided by subrule (1) (b) or (c); or</w:t>
      </w:r>
    </w:p>
    <w:p w14:paraId="3CAA5A25" w14:textId="77777777" w:rsidR="003D4FF5" w:rsidRDefault="003D4FF5" w:rsidP="003D4FF5">
      <w:pPr>
        <w:pStyle w:val="Apara"/>
      </w:pPr>
      <w:r>
        <w:tab/>
        <w:t>(c)</w:t>
      </w:r>
      <w:r>
        <w:tab/>
        <w:t>as provided in rule 1184.</w:t>
      </w:r>
    </w:p>
    <w:p w14:paraId="6E5123F1" w14:textId="77777777" w:rsidR="003D4FF5" w:rsidRDefault="003D4FF5" w:rsidP="003D4FF5">
      <w:pPr>
        <w:pStyle w:val="Amain"/>
        <w:keepNext/>
      </w:pPr>
      <w:r>
        <w:tab/>
        <w:t>(3)</w:t>
      </w:r>
      <w:r>
        <w:tab/>
        <w:t>In this rule:</w:t>
      </w:r>
    </w:p>
    <w:p w14:paraId="39DCC0F9" w14:textId="77777777"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14:paraId="64E3E400" w14:textId="77777777" w:rsidR="003D4FF5" w:rsidRDefault="003D4FF5" w:rsidP="003D4FF5">
      <w:pPr>
        <w:pStyle w:val="AH5Sec"/>
      </w:pPr>
      <w:bookmarkStart w:id="437" w:name="_Toc185514054"/>
      <w:r w:rsidRPr="00C8328B">
        <w:rPr>
          <w:rStyle w:val="CharSectNo"/>
        </w:rPr>
        <w:lastRenderedPageBreak/>
        <w:t>1184</w:t>
      </w:r>
      <w:r>
        <w:tab/>
        <w:t>Evaluators—secrecy</w:t>
      </w:r>
      <w:bookmarkEnd w:id="437"/>
    </w:p>
    <w:p w14:paraId="15AEC226" w14:textId="77777777" w:rsidR="003D4FF5" w:rsidRDefault="003D4FF5" w:rsidP="003D4FF5">
      <w:pPr>
        <w:pStyle w:val="Amainreturn"/>
        <w:keepNext/>
      </w:pPr>
      <w:r>
        <w:t>An evaluator may disclose information obtained in relation to the administration or enforcement of this division only in the following circumstances:</w:t>
      </w:r>
    </w:p>
    <w:p w14:paraId="6C5ADFBA" w14:textId="77777777" w:rsidR="003D4FF5" w:rsidRDefault="003D4FF5" w:rsidP="003D4FF5">
      <w:pPr>
        <w:pStyle w:val="Apara"/>
      </w:pPr>
      <w:r>
        <w:tab/>
        <w:t>(a)</w:t>
      </w:r>
      <w:r>
        <w:tab/>
        <w:t>with the consent of the person who provided the information;</w:t>
      </w:r>
    </w:p>
    <w:p w14:paraId="7545DE0D" w14:textId="77777777" w:rsidR="003D4FF5" w:rsidRDefault="003D4FF5" w:rsidP="003D4FF5">
      <w:pPr>
        <w:pStyle w:val="Apara"/>
      </w:pPr>
      <w:r>
        <w:tab/>
        <w:t>(b)</w:t>
      </w:r>
      <w:r>
        <w:tab/>
        <w:t>for the administration or enforcement of this division;</w:t>
      </w:r>
    </w:p>
    <w:p w14:paraId="14647FC1" w14:textId="77777777" w:rsidR="003D4FF5" w:rsidRDefault="003D4FF5" w:rsidP="003D4FF5">
      <w:pPr>
        <w:pStyle w:val="Apara"/>
      </w:pPr>
      <w:r>
        <w:tab/>
        <w:t>(c)</w:t>
      </w:r>
      <w:r>
        <w:tab/>
        <w:t>if there are reasonable grounds to believe the disclosure is necessary to prevent or reduce the danger of death or injury to anyone or damage to any property;</w:t>
      </w:r>
    </w:p>
    <w:p w14:paraId="6E85B94C" w14:textId="77777777" w:rsidR="003D4FF5" w:rsidRDefault="003D4FF5" w:rsidP="00095EB8">
      <w:pPr>
        <w:pStyle w:val="Apara"/>
        <w:keepNext/>
      </w:pPr>
      <w:r>
        <w:tab/>
        <w:t>(d)</w:t>
      </w:r>
      <w:r>
        <w:tab/>
        <w:t>if the disclosure—</w:t>
      </w:r>
    </w:p>
    <w:p w14:paraId="1B227C91" w14:textId="77777777" w:rsidR="003D4FF5" w:rsidRDefault="003D4FF5" w:rsidP="003D4FF5">
      <w:pPr>
        <w:pStyle w:val="Asubpara"/>
      </w:pPr>
      <w:r>
        <w:tab/>
        <w:t>(i)</w:t>
      </w:r>
      <w:r>
        <w:tab/>
        <w:t>is reasonably required for the referral to an entity of any party to a neutral evaluation session; and</w:t>
      </w:r>
    </w:p>
    <w:p w14:paraId="15118625" w14:textId="77777777" w:rsidR="003D4FF5" w:rsidRDefault="003D4FF5" w:rsidP="003D4FF5">
      <w:pPr>
        <w:pStyle w:val="Asubpara"/>
      </w:pPr>
      <w:r>
        <w:tab/>
        <w:t>(ii)</w:t>
      </w:r>
      <w:r>
        <w:tab/>
        <w:t>is made to assist the resolution of a dispute between the parties, or assist the parties in any other way; and</w:t>
      </w:r>
    </w:p>
    <w:p w14:paraId="5C53E725" w14:textId="77777777" w:rsidR="003D4FF5" w:rsidRDefault="003D4FF5" w:rsidP="003D4FF5">
      <w:pPr>
        <w:pStyle w:val="Asubpara"/>
      </w:pPr>
      <w:r>
        <w:tab/>
        <w:t>(iii)</w:t>
      </w:r>
      <w:r>
        <w:tab/>
        <w:t>is made with the consent of the parties to the neutral evaluation session;</w:t>
      </w:r>
    </w:p>
    <w:p w14:paraId="19D76F01" w14:textId="77777777"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14:paraId="78CA36CD" w14:textId="5A1BC933"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35" w:tooltip="A2001-14" w:history="1">
        <w:r w:rsidRPr="005A5F43">
          <w:rPr>
            <w:rStyle w:val="charCitHyperlinkAbbrev"/>
          </w:rPr>
          <w:t>Legislation Act</w:t>
        </w:r>
      </w:hyperlink>
      <w:r>
        <w:t>, s 98).</w:t>
      </w:r>
    </w:p>
    <w:p w14:paraId="00A55495" w14:textId="77777777" w:rsidR="003D4FF5" w:rsidRDefault="003D4FF5" w:rsidP="003D4FF5">
      <w:pPr>
        <w:pStyle w:val="AH5Sec"/>
      </w:pPr>
      <w:bookmarkStart w:id="438" w:name="_Toc185514055"/>
      <w:r w:rsidRPr="00C8328B">
        <w:rPr>
          <w:rStyle w:val="CharSectNo"/>
        </w:rPr>
        <w:t>1185</w:t>
      </w:r>
      <w:r>
        <w:tab/>
        <w:t>Evaluators—protection from liability</w:t>
      </w:r>
      <w:bookmarkEnd w:id="438"/>
    </w:p>
    <w:p w14:paraId="61AA8037" w14:textId="77777777" w:rsidR="003D4FF5" w:rsidRDefault="003D4FF5" w:rsidP="003D4FF5">
      <w:pPr>
        <w:pStyle w:val="Amainreturn"/>
      </w:pPr>
      <w:r>
        <w:t>An evaluator is not personally liable for anything done or omitted to be done honestly for a neutral evaluation session under this division.</w:t>
      </w:r>
    </w:p>
    <w:p w14:paraId="65059EA3" w14:textId="77777777" w:rsidR="003D4FF5" w:rsidRDefault="003D4FF5" w:rsidP="003D4FF5">
      <w:pPr>
        <w:pStyle w:val="PageBreak"/>
      </w:pPr>
      <w:r>
        <w:br w:type="page"/>
      </w:r>
    </w:p>
    <w:p w14:paraId="23A3C4A9" w14:textId="77777777" w:rsidR="003D4FF5" w:rsidRPr="00C8328B" w:rsidRDefault="003D4FF5" w:rsidP="003D4FF5">
      <w:pPr>
        <w:pStyle w:val="AH2Part"/>
      </w:pPr>
      <w:bookmarkStart w:id="439" w:name="_Toc185514056"/>
      <w:r w:rsidRPr="00C8328B">
        <w:rPr>
          <w:rStyle w:val="CharPartNo"/>
        </w:rPr>
        <w:lastRenderedPageBreak/>
        <w:t>Part 2.12</w:t>
      </w:r>
      <w:r>
        <w:tab/>
      </w:r>
      <w:r w:rsidRPr="00C8328B">
        <w:rPr>
          <w:rStyle w:val="CharPartText"/>
        </w:rPr>
        <w:t>Expert evidence</w:t>
      </w:r>
      <w:bookmarkEnd w:id="439"/>
    </w:p>
    <w:p w14:paraId="5CBC3B05" w14:textId="77777777" w:rsidR="003D4FF5" w:rsidRPr="005A5F43" w:rsidRDefault="003D4FF5" w:rsidP="003D4FF5">
      <w:pPr>
        <w:pStyle w:val="aNote"/>
        <w:rPr>
          <w:rStyle w:val="charItals"/>
        </w:rPr>
      </w:pPr>
      <w:r w:rsidRPr="005A5F43">
        <w:rPr>
          <w:rStyle w:val="charItals"/>
        </w:rPr>
        <w:t>Note to pt 2.12</w:t>
      </w:r>
    </w:p>
    <w:p w14:paraId="3C310E6D" w14:textId="77777777" w:rsidR="003D4FF5" w:rsidRDefault="003D4FF5" w:rsidP="003D4FF5">
      <w:pPr>
        <w:pStyle w:val="aNote"/>
      </w:pPr>
      <w:r>
        <w:t>Pt 6.10 contains provisions about evidence generally.</w:t>
      </w:r>
    </w:p>
    <w:p w14:paraId="41033CBF" w14:textId="77777777" w:rsidR="003D4FF5" w:rsidRPr="00C8328B" w:rsidRDefault="003D4FF5" w:rsidP="003D4FF5">
      <w:pPr>
        <w:pStyle w:val="AH3Div"/>
      </w:pPr>
      <w:bookmarkStart w:id="440" w:name="_Toc185514057"/>
      <w:r w:rsidRPr="00C8328B">
        <w:rPr>
          <w:rStyle w:val="CharDivNo"/>
        </w:rPr>
        <w:t>Division 2.12.1</w:t>
      </w:r>
      <w:r>
        <w:tab/>
      </w:r>
      <w:r w:rsidRPr="00C8328B">
        <w:rPr>
          <w:rStyle w:val="CharDivText"/>
        </w:rPr>
        <w:t>Expert evidence generally</w:t>
      </w:r>
      <w:bookmarkEnd w:id="440"/>
    </w:p>
    <w:p w14:paraId="343E3A5D" w14:textId="77777777" w:rsidR="003D4FF5" w:rsidRPr="001C0D2B" w:rsidRDefault="003D4FF5" w:rsidP="003D4FF5">
      <w:pPr>
        <w:pStyle w:val="AH5Sec"/>
      </w:pPr>
      <w:bookmarkStart w:id="441" w:name="_Toc185514058"/>
      <w:r w:rsidRPr="00C8328B">
        <w:rPr>
          <w:rStyle w:val="CharSectNo"/>
        </w:rPr>
        <w:t>1200</w:t>
      </w:r>
      <w:r w:rsidRPr="001C0D2B">
        <w:tab/>
        <w:t>Purposes—pt 2.12</w:t>
      </w:r>
      <w:bookmarkEnd w:id="441"/>
    </w:p>
    <w:p w14:paraId="5251C67E" w14:textId="77777777" w:rsidR="003D4FF5" w:rsidRPr="001C0D2B" w:rsidRDefault="003D4FF5" w:rsidP="003D4FF5">
      <w:pPr>
        <w:pStyle w:val="Amainreturn"/>
        <w:keepNext/>
      </w:pPr>
      <w:r w:rsidRPr="001C0D2B">
        <w:t>The purposes of this part are as follows:</w:t>
      </w:r>
    </w:p>
    <w:p w14:paraId="2638BF45" w14:textId="77777777" w:rsidR="003D4FF5" w:rsidRPr="001C0D2B" w:rsidRDefault="003D4FF5" w:rsidP="003D4FF5">
      <w:pPr>
        <w:pStyle w:val="Apara"/>
      </w:pPr>
      <w:r w:rsidRPr="001C0D2B">
        <w:tab/>
        <w:t>(a)</w:t>
      </w:r>
      <w:r w:rsidRPr="001C0D2B">
        <w:tab/>
        <w:t>to ensure the court has control over the giving of expert evidence;</w:t>
      </w:r>
    </w:p>
    <w:p w14:paraId="6A0E7854" w14:textId="77777777" w:rsidR="003D4FF5" w:rsidRPr="001C0D2B" w:rsidRDefault="003D4FF5" w:rsidP="003D4FF5">
      <w:pPr>
        <w:pStyle w:val="Apara"/>
      </w:pPr>
      <w:r w:rsidRPr="001C0D2B">
        <w:tab/>
        <w:t>(b)</w:t>
      </w:r>
      <w:r w:rsidRPr="001C0D2B">
        <w:tab/>
        <w:t>to restrict expert evidence in a proceeding to that which is reasonably necessary to resolve the proceeding;</w:t>
      </w:r>
    </w:p>
    <w:p w14:paraId="482B2C8B" w14:textId="77777777" w:rsidR="003D4FF5" w:rsidRPr="001C0D2B" w:rsidRDefault="003D4FF5" w:rsidP="003D4FF5">
      <w:pPr>
        <w:pStyle w:val="Apara"/>
      </w:pPr>
      <w:r w:rsidRPr="001C0D2B">
        <w:tab/>
        <w:t>(c)</w:t>
      </w:r>
      <w:r w:rsidRPr="001C0D2B">
        <w:tab/>
        <w:t>to avoid unnecessary costs associated with parties retaining different experts;</w:t>
      </w:r>
    </w:p>
    <w:p w14:paraId="3B58BE44" w14:textId="77777777" w:rsidR="003D4FF5" w:rsidRPr="001C0D2B" w:rsidRDefault="003D4FF5" w:rsidP="003D4FF5">
      <w:pPr>
        <w:pStyle w:val="Apara"/>
      </w:pPr>
      <w:r w:rsidRPr="001C0D2B">
        <w:tab/>
        <w:t>(d)</w:t>
      </w:r>
      <w:r w:rsidRPr="001C0D2B">
        <w:tab/>
        <w:t>to ensure expert witnesses are bound by a code of conduct;</w:t>
      </w:r>
    </w:p>
    <w:p w14:paraId="56881483" w14:textId="77777777"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14:paraId="3D87CF50" w14:textId="77777777"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14:paraId="1E291538" w14:textId="77777777" w:rsidR="003D4FF5" w:rsidRDefault="003D4FF5" w:rsidP="003D4FF5">
      <w:pPr>
        <w:pStyle w:val="AH5Sec"/>
      </w:pPr>
      <w:bookmarkStart w:id="442" w:name="_Toc185514059"/>
      <w:r w:rsidRPr="00C8328B">
        <w:rPr>
          <w:rStyle w:val="CharSectNo"/>
        </w:rPr>
        <w:t>1201</w:t>
      </w:r>
      <w:r>
        <w:tab/>
        <w:t xml:space="preserve">Meaning of </w:t>
      </w:r>
      <w:r w:rsidRPr="005A5F43">
        <w:rPr>
          <w:rStyle w:val="charItals"/>
        </w:rPr>
        <w:t>code of conduct</w:t>
      </w:r>
      <w:r>
        <w:t>—pt 2.12</w:t>
      </w:r>
      <w:bookmarkEnd w:id="442"/>
    </w:p>
    <w:p w14:paraId="291FC110" w14:textId="77777777" w:rsidR="003D4FF5" w:rsidRDefault="003D4FF5" w:rsidP="003D4FF5">
      <w:pPr>
        <w:pStyle w:val="Amainreturn"/>
        <w:keepNext/>
      </w:pPr>
      <w:r>
        <w:t>In this part:</w:t>
      </w:r>
    </w:p>
    <w:p w14:paraId="423E53BC" w14:textId="77777777"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14:paraId="6C1F33BA" w14:textId="77777777" w:rsidR="003D4FF5" w:rsidRDefault="003D4FF5" w:rsidP="003D4FF5">
      <w:pPr>
        <w:pStyle w:val="AH5Sec"/>
      </w:pPr>
      <w:bookmarkStart w:id="443" w:name="_Toc185514060"/>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3"/>
    </w:p>
    <w:p w14:paraId="04105E03" w14:textId="77777777" w:rsidR="003D4FF5" w:rsidRDefault="003D4FF5" w:rsidP="003D4FF5">
      <w:pPr>
        <w:pStyle w:val="Amain"/>
        <w:keepNext/>
      </w:pPr>
      <w:r>
        <w:tab/>
        <w:t>(1)</w:t>
      </w:r>
      <w:r>
        <w:tab/>
        <w:t>In these rules:</w:t>
      </w:r>
    </w:p>
    <w:p w14:paraId="02F33AE3" w14:textId="77777777" w:rsidR="003D4FF5" w:rsidRDefault="003D4FF5" w:rsidP="003D4FF5">
      <w:pPr>
        <w:pStyle w:val="aDef"/>
        <w:keepNext/>
      </w:pPr>
      <w:r w:rsidRPr="005A5F43">
        <w:rPr>
          <w:rStyle w:val="charBoldItals"/>
        </w:rPr>
        <w:t>expert</w:t>
      </w:r>
      <w:r>
        <w:t>, in relation to a proceeding, means a person who—</w:t>
      </w:r>
    </w:p>
    <w:p w14:paraId="4826C6DE" w14:textId="77777777" w:rsidR="003D4FF5" w:rsidRDefault="003D4FF5" w:rsidP="003D4FF5">
      <w:pPr>
        <w:pStyle w:val="aDefpara"/>
      </w:pPr>
      <w:r>
        <w:tab/>
        <w:t>(a)</w:t>
      </w:r>
      <w:r>
        <w:tab/>
        <w:t>has specialised knowledge about matters relevant to an issue arising in the proceeding based on the person’s training, study or experience; and</w:t>
      </w:r>
    </w:p>
    <w:p w14:paraId="12A81988" w14:textId="77777777" w:rsidR="003D4FF5" w:rsidRDefault="003D4FF5" w:rsidP="003D4FF5">
      <w:pPr>
        <w:pStyle w:val="aDefpara"/>
      </w:pPr>
      <w:r>
        <w:tab/>
        <w:t>(b)</w:t>
      </w:r>
      <w:r>
        <w:tab/>
        <w:t>would, if called as a witness at the trial of the proceeding, be qualified to give opinion evidence as an expert witness in relation to the issue.</w:t>
      </w:r>
    </w:p>
    <w:p w14:paraId="55E82995" w14:textId="77777777"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14:paraId="4690154A" w14:textId="77777777" w:rsidR="003D4FF5" w:rsidRDefault="003D4FF5" w:rsidP="003D4FF5">
      <w:pPr>
        <w:pStyle w:val="aDefpara"/>
      </w:pPr>
      <w:r>
        <w:tab/>
        <w:t>(a)</w:t>
      </w:r>
      <w:r>
        <w:tab/>
        <w:t>to provide a report about the expert’s opinion for use as evidence in the proceeding;</w:t>
      </w:r>
    </w:p>
    <w:p w14:paraId="208DA1C2" w14:textId="77777777" w:rsidR="003D4FF5" w:rsidRDefault="003D4FF5" w:rsidP="003D4FF5">
      <w:pPr>
        <w:pStyle w:val="aDefpara"/>
      </w:pPr>
      <w:r>
        <w:tab/>
        <w:t>(b)</w:t>
      </w:r>
      <w:r>
        <w:tab/>
        <w:t>to give opinion evidence in the proceeding.</w:t>
      </w:r>
    </w:p>
    <w:p w14:paraId="74835C33" w14:textId="77777777"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14:paraId="6E7510BA" w14:textId="77777777" w:rsidR="003D4FF5" w:rsidRDefault="003D4FF5" w:rsidP="003D4FF5">
      <w:pPr>
        <w:pStyle w:val="Apara"/>
      </w:pPr>
      <w:r>
        <w:tab/>
        <w:t>(a)</w:t>
      </w:r>
      <w:r>
        <w:tab/>
        <w:t>the statement sets out the expert’s opinion and the facts on which the opinion is formed;</w:t>
      </w:r>
    </w:p>
    <w:p w14:paraId="1C0FA7AF" w14:textId="77777777"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14:paraId="1FA09EA5" w14:textId="77777777"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14:paraId="6FF2F103" w14:textId="77777777" w:rsidR="003D4FF5" w:rsidRDefault="003D4FF5" w:rsidP="003D4FF5">
      <w:pPr>
        <w:pStyle w:val="AH5Sec"/>
      </w:pPr>
      <w:bookmarkStart w:id="444" w:name="_Toc185514061"/>
      <w:r w:rsidRPr="00C8328B">
        <w:rPr>
          <w:rStyle w:val="CharSectNo"/>
        </w:rPr>
        <w:lastRenderedPageBreak/>
        <w:t>1203</w:t>
      </w:r>
      <w:r>
        <w:tab/>
        <w:t>Expert witnesses to agree to be bound by code of conduct</w:t>
      </w:r>
      <w:bookmarkEnd w:id="444"/>
    </w:p>
    <w:p w14:paraId="5614EE75" w14:textId="77777777"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14:paraId="7C0CEDC5" w14:textId="77777777" w:rsidR="003D4FF5" w:rsidRDefault="003D4FF5" w:rsidP="003D4FF5">
      <w:pPr>
        <w:pStyle w:val="Amain"/>
      </w:pPr>
      <w:r>
        <w:tab/>
        <w:t>(2)</w:t>
      </w:r>
      <w:r>
        <w:tab/>
        <w:t>An expert witness must not give oral evidence unless—</w:t>
      </w:r>
    </w:p>
    <w:p w14:paraId="170A94A8" w14:textId="77777777"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14:paraId="0BF5AEB3" w14:textId="77777777" w:rsidR="003D4FF5" w:rsidRDefault="003D4FF5" w:rsidP="003D4FF5">
      <w:pPr>
        <w:pStyle w:val="Apara"/>
      </w:pPr>
      <w:r>
        <w:tab/>
        <w:t>(b)</w:t>
      </w:r>
      <w:r>
        <w:tab/>
        <w:t>a copy of the acknowledgment has been served on all active parties affected by the evidence.</w:t>
      </w:r>
    </w:p>
    <w:p w14:paraId="6B3BCF4F" w14:textId="77777777"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14:paraId="708CF212" w14:textId="77777777" w:rsidR="003D4FF5" w:rsidRDefault="003D4FF5" w:rsidP="003D4FF5">
      <w:pPr>
        <w:pStyle w:val="Amain"/>
      </w:pPr>
      <w:r>
        <w:tab/>
        <w:t>(4)</w:t>
      </w:r>
      <w:r>
        <w:tab/>
        <w:t>This rule does not apply to a doctor who has treated the plaintiff.</w:t>
      </w:r>
    </w:p>
    <w:p w14:paraId="6A2F9DCA" w14:textId="77777777" w:rsidR="003D4FF5" w:rsidRDefault="003D4FF5" w:rsidP="003D4FF5">
      <w:pPr>
        <w:pStyle w:val="AH5Sec"/>
      </w:pPr>
      <w:bookmarkStart w:id="445" w:name="_Toc185514062"/>
      <w:r w:rsidRPr="00C8328B">
        <w:rPr>
          <w:rStyle w:val="CharSectNo"/>
        </w:rPr>
        <w:t>1204</w:t>
      </w:r>
      <w:r>
        <w:tab/>
        <w:t>Expert witness—immunity</w:t>
      </w:r>
      <w:bookmarkEnd w:id="445"/>
    </w:p>
    <w:p w14:paraId="3FC534F6" w14:textId="77777777"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14:paraId="0B8D8E66" w14:textId="77777777" w:rsidR="003D4FF5" w:rsidRPr="001C0D2B" w:rsidRDefault="003D4FF5" w:rsidP="003D4FF5">
      <w:pPr>
        <w:pStyle w:val="AH5Sec"/>
      </w:pPr>
      <w:bookmarkStart w:id="446" w:name="_Toc185514063"/>
      <w:r w:rsidRPr="00C8328B">
        <w:rPr>
          <w:rStyle w:val="CharSectNo"/>
        </w:rPr>
        <w:t>1205</w:t>
      </w:r>
      <w:r w:rsidRPr="001C0D2B">
        <w:tab/>
        <w:t>Court may give directions in relation to expert evidence</w:t>
      </w:r>
      <w:bookmarkEnd w:id="446"/>
    </w:p>
    <w:p w14:paraId="509C880A" w14:textId="77777777"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14:paraId="201BCF30" w14:textId="77777777" w:rsidR="003D4FF5" w:rsidRPr="001C0D2B" w:rsidRDefault="003D4FF5" w:rsidP="003D4FF5">
      <w:pPr>
        <w:pStyle w:val="Apara"/>
      </w:pPr>
      <w:r w:rsidRPr="001C0D2B">
        <w:tab/>
        <w:t>(a)</w:t>
      </w:r>
      <w:r w:rsidRPr="001C0D2B">
        <w:tab/>
        <w:t>a direction about the time for service of an expert report;</w:t>
      </w:r>
    </w:p>
    <w:p w14:paraId="65E818F6" w14:textId="77777777" w:rsidR="003D4FF5" w:rsidRPr="001C0D2B" w:rsidRDefault="003D4FF5" w:rsidP="003D4FF5">
      <w:pPr>
        <w:pStyle w:val="Apara"/>
      </w:pPr>
      <w:r w:rsidRPr="001C0D2B">
        <w:lastRenderedPageBreak/>
        <w:tab/>
        <w:t>(b)</w:t>
      </w:r>
      <w:r w:rsidRPr="001C0D2B">
        <w:tab/>
        <w:t>a direction that expert evidence—</w:t>
      </w:r>
    </w:p>
    <w:p w14:paraId="14127BDF" w14:textId="77777777" w:rsidR="003D4FF5" w:rsidRPr="001C0D2B" w:rsidRDefault="003D4FF5" w:rsidP="003D4FF5">
      <w:pPr>
        <w:pStyle w:val="Asubpara"/>
      </w:pPr>
      <w:r w:rsidRPr="001C0D2B">
        <w:tab/>
        <w:t>(i)</w:t>
      </w:r>
      <w:r w:rsidRPr="001C0D2B">
        <w:tab/>
        <w:t>may not be adduced on an issue; or</w:t>
      </w:r>
    </w:p>
    <w:p w14:paraId="2426E012" w14:textId="77777777" w:rsidR="003D4FF5" w:rsidRPr="001C0D2B" w:rsidRDefault="003D4FF5" w:rsidP="003D4FF5">
      <w:pPr>
        <w:pStyle w:val="Asubpara"/>
      </w:pPr>
      <w:r w:rsidRPr="001C0D2B">
        <w:tab/>
        <w:t>(ii)</w:t>
      </w:r>
      <w:r w:rsidRPr="001C0D2B">
        <w:tab/>
        <w:t>may not be adduced on an issue without the leave of the court; or</w:t>
      </w:r>
    </w:p>
    <w:p w14:paraId="026EE603" w14:textId="77777777" w:rsidR="003D4FF5" w:rsidRPr="001C0D2B" w:rsidRDefault="003D4FF5" w:rsidP="003D4FF5">
      <w:pPr>
        <w:pStyle w:val="Asubpara"/>
      </w:pPr>
      <w:r w:rsidRPr="001C0D2B">
        <w:tab/>
        <w:t>(iii)</w:t>
      </w:r>
      <w:r w:rsidRPr="001C0D2B">
        <w:tab/>
        <w:t>may be adduced only in relation to a stated issue;</w:t>
      </w:r>
    </w:p>
    <w:p w14:paraId="737AC1E6" w14:textId="77777777" w:rsidR="003D4FF5" w:rsidRPr="001C0D2B" w:rsidRDefault="003D4FF5" w:rsidP="003D4FF5">
      <w:pPr>
        <w:pStyle w:val="Apara"/>
      </w:pPr>
      <w:r w:rsidRPr="001C0D2B">
        <w:tab/>
        <w:t>(c)</w:t>
      </w:r>
      <w:r w:rsidRPr="001C0D2B">
        <w:tab/>
        <w:t>a direction limiting the number of expert witnesses who may be called to give evidence on an issue;</w:t>
      </w:r>
    </w:p>
    <w:p w14:paraId="476D9954" w14:textId="77777777"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14:paraId="52A01756" w14:textId="77777777"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14:paraId="62AC26B1" w14:textId="77777777"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14:paraId="01553616" w14:textId="77777777" w:rsidR="003D4FF5" w:rsidRPr="001C0D2B" w:rsidRDefault="003D4FF5" w:rsidP="003D4FF5">
      <w:pPr>
        <w:pStyle w:val="Apara"/>
      </w:pPr>
      <w:r w:rsidRPr="001C0D2B">
        <w:tab/>
        <w:t>(g)</w:t>
      </w:r>
      <w:r w:rsidRPr="001C0D2B">
        <w:tab/>
        <w:t>any other direction in relation to expert evidence that the court considers appropriate.</w:t>
      </w:r>
    </w:p>
    <w:p w14:paraId="3D089F0B" w14:textId="77777777"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14:paraId="0ECA338E" w14:textId="77777777"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14:paraId="7E288342" w14:textId="77777777" w:rsidR="003D4FF5" w:rsidRPr="00C754DF" w:rsidRDefault="003D4FF5" w:rsidP="003D4FF5">
      <w:pPr>
        <w:pStyle w:val="Apara"/>
      </w:pPr>
      <w:r w:rsidRPr="00C754DF">
        <w:tab/>
        <w:t>(b)</w:t>
      </w:r>
      <w:r w:rsidRPr="00C754DF">
        <w:tab/>
        <w:t>by which party or parties, and in what proportion, the remuneration is to be paid.</w:t>
      </w:r>
    </w:p>
    <w:p w14:paraId="73406F6A" w14:textId="77777777" w:rsidR="003D4FF5" w:rsidRPr="00C754DF" w:rsidRDefault="003D4FF5" w:rsidP="003D4FF5">
      <w:pPr>
        <w:pStyle w:val="Amain"/>
      </w:pPr>
      <w:r w:rsidRPr="00C754DF">
        <w:tab/>
        <w:t>(3)</w:t>
      </w:r>
      <w:r w:rsidRPr="00C754DF">
        <w:tab/>
        <w:t>The court may—</w:t>
      </w:r>
    </w:p>
    <w:p w14:paraId="09FF19D7" w14:textId="77777777"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14:paraId="1A8F08FA" w14:textId="77777777" w:rsidR="003D4FF5" w:rsidRPr="00C754DF" w:rsidRDefault="003D4FF5" w:rsidP="003D4FF5">
      <w:pPr>
        <w:pStyle w:val="Apara"/>
      </w:pPr>
      <w:r w:rsidRPr="00C754DF">
        <w:tab/>
        <w:t>(b)</w:t>
      </w:r>
      <w:r w:rsidRPr="00C754DF">
        <w:tab/>
        <w:t>order a stay of the proceeding until the security is given.</w:t>
      </w:r>
    </w:p>
    <w:p w14:paraId="7C581750" w14:textId="77777777" w:rsidR="003D4FF5" w:rsidRPr="00C8328B" w:rsidRDefault="003D4FF5" w:rsidP="003D4FF5">
      <w:pPr>
        <w:pStyle w:val="AH3Div"/>
      </w:pPr>
      <w:bookmarkStart w:id="447" w:name="_Toc185514064"/>
      <w:r w:rsidRPr="00C8328B">
        <w:rPr>
          <w:rStyle w:val="CharDivNo"/>
        </w:rPr>
        <w:lastRenderedPageBreak/>
        <w:t>Division 2.12.2</w:t>
      </w:r>
      <w:r>
        <w:tab/>
      </w:r>
      <w:r w:rsidRPr="00C8328B">
        <w:rPr>
          <w:rStyle w:val="CharDivText"/>
        </w:rPr>
        <w:t>Multiple expert witnesses for same issue</w:t>
      </w:r>
      <w:bookmarkEnd w:id="447"/>
    </w:p>
    <w:p w14:paraId="5A83569D" w14:textId="77777777" w:rsidR="003D4FF5" w:rsidRDefault="003D4FF5" w:rsidP="003D4FF5">
      <w:pPr>
        <w:pStyle w:val="AH5Sec"/>
      </w:pPr>
      <w:bookmarkStart w:id="448" w:name="_Toc185514065"/>
      <w:r w:rsidRPr="00C8328B">
        <w:rPr>
          <w:rStyle w:val="CharSectNo"/>
        </w:rPr>
        <w:t>1210</w:t>
      </w:r>
      <w:r>
        <w:tab/>
        <w:t>Application—div 2.12.2</w:t>
      </w:r>
      <w:bookmarkEnd w:id="448"/>
    </w:p>
    <w:p w14:paraId="7B9EBD4B" w14:textId="77777777"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14:paraId="13D0D48B" w14:textId="77777777" w:rsidR="003D4FF5" w:rsidRDefault="003D4FF5" w:rsidP="003D4FF5">
      <w:pPr>
        <w:pStyle w:val="AH5Sec"/>
      </w:pPr>
      <w:bookmarkStart w:id="449" w:name="_Toc185514066"/>
      <w:r w:rsidRPr="00C8328B">
        <w:rPr>
          <w:rStyle w:val="CharSectNo"/>
        </w:rPr>
        <w:t>1211</w:t>
      </w:r>
      <w:r>
        <w:tab/>
        <w:t>Court may direct experts to meet etc</w:t>
      </w:r>
      <w:bookmarkEnd w:id="449"/>
    </w:p>
    <w:p w14:paraId="4D769A5C" w14:textId="77777777" w:rsidR="003D4FF5" w:rsidRDefault="003D4FF5" w:rsidP="003D4FF5">
      <w:pPr>
        <w:pStyle w:val="Amain"/>
        <w:keepNext/>
      </w:pPr>
      <w:r>
        <w:tab/>
        <w:t>(1)</w:t>
      </w:r>
      <w:r>
        <w:tab/>
        <w:t>The court may, on its own initiative or on a party’s application, give 1 or more of the following directions:</w:t>
      </w:r>
    </w:p>
    <w:p w14:paraId="5A0C884C" w14:textId="77777777" w:rsidR="003D4FF5" w:rsidRDefault="003D4FF5" w:rsidP="003D4FF5">
      <w:pPr>
        <w:pStyle w:val="Apara"/>
      </w:pPr>
      <w:r>
        <w:tab/>
        <w:t>(a)</w:t>
      </w:r>
      <w:r>
        <w:tab/>
        <w:t>a direction that the expert witnesses meet—</w:t>
      </w:r>
    </w:p>
    <w:p w14:paraId="2DD5B363" w14:textId="77777777" w:rsidR="003D4FF5" w:rsidRDefault="003D4FF5" w:rsidP="003D4FF5">
      <w:pPr>
        <w:pStyle w:val="Asubpara"/>
      </w:pPr>
      <w:r>
        <w:tab/>
        <w:t>(i)</w:t>
      </w:r>
      <w:r>
        <w:tab/>
        <w:t>to identify the matters on which they agree; and</w:t>
      </w:r>
    </w:p>
    <w:p w14:paraId="7A4FA664" w14:textId="77777777" w:rsidR="003D4FF5" w:rsidRDefault="003D4FF5" w:rsidP="003D4FF5">
      <w:pPr>
        <w:pStyle w:val="Asubpara"/>
      </w:pPr>
      <w:r>
        <w:tab/>
        <w:t>(ii)</w:t>
      </w:r>
      <w:r>
        <w:tab/>
        <w:t>to identify the matters on which they disagree and the reasons why; and</w:t>
      </w:r>
    </w:p>
    <w:p w14:paraId="5CAF4AD4" w14:textId="77777777" w:rsidR="003D4FF5" w:rsidRDefault="003D4FF5" w:rsidP="003D4FF5">
      <w:pPr>
        <w:pStyle w:val="Asubpara"/>
      </w:pPr>
      <w:r>
        <w:tab/>
        <w:t>(iii)</w:t>
      </w:r>
      <w:r>
        <w:tab/>
        <w:t xml:space="preserve">to try to resolve any disagreement; </w:t>
      </w:r>
    </w:p>
    <w:p w14:paraId="4BD694A3" w14:textId="77777777" w:rsidR="003D4FF5" w:rsidRDefault="003D4FF5" w:rsidP="003D4FF5">
      <w:pPr>
        <w:pStyle w:val="Apara"/>
        <w:keepNext/>
      </w:pPr>
      <w:r>
        <w:tab/>
        <w:t>(b)</w:t>
      </w:r>
      <w:r>
        <w:tab/>
        <w:t>a direction that the expert witnesses produce for the court’s use a document identifying—</w:t>
      </w:r>
    </w:p>
    <w:p w14:paraId="02110118" w14:textId="77777777" w:rsidR="003D4FF5" w:rsidRDefault="003D4FF5" w:rsidP="003D4FF5">
      <w:pPr>
        <w:pStyle w:val="Asubpara"/>
      </w:pPr>
      <w:r>
        <w:tab/>
        <w:t>(i)</w:t>
      </w:r>
      <w:r>
        <w:tab/>
        <w:t>the matters on which they agree; and</w:t>
      </w:r>
    </w:p>
    <w:p w14:paraId="61639AF5" w14:textId="77777777" w:rsidR="003D4FF5" w:rsidRDefault="003D4FF5" w:rsidP="003D4FF5">
      <w:pPr>
        <w:pStyle w:val="Asubpara"/>
      </w:pPr>
      <w:r>
        <w:tab/>
        <w:t>(ii)</w:t>
      </w:r>
      <w:r>
        <w:tab/>
        <w:t xml:space="preserve">the matters on which they disagree; and </w:t>
      </w:r>
    </w:p>
    <w:p w14:paraId="453C8D69" w14:textId="77777777" w:rsidR="003D4FF5" w:rsidRDefault="003D4FF5" w:rsidP="003D4FF5">
      <w:pPr>
        <w:pStyle w:val="Asubpara"/>
      </w:pPr>
      <w:r>
        <w:tab/>
        <w:t>(iii)</w:t>
      </w:r>
      <w:r>
        <w:tab/>
        <w:t xml:space="preserve">the reasons for any failure to reach agreement on any matter; </w:t>
      </w:r>
    </w:p>
    <w:p w14:paraId="3F09CEE9" w14:textId="77777777" w:rsidR="003D4FF5" w:rsidRDefault="003D4FF5" w:rsidP="003D4FF5">
      <w:pPr>
        <w:pStyle w:val="Apara"/>
      </w:pPr>
      <w:r>
        <w:tab/>
        <w:t>(c)</w:t>
      </w:r>
      <w:r>
        <w:tab/>
        <w:t>a direction that—</w:t>
      </w:r>
    </w:p>
    <w:p w14:paraId="76538B58" w14:textId="77777777" w:rsidR="003D4FF5" w:rsidRDefault="003D4FF5" w:rsidP="003D4FF5">
      <w:pPr>
        <w:pStyle w:val="Asubpara"/>
      </w:pPr>
      <w:r>
        <w:tab/>
        <w:t>(i)</w:t>
      </w:r>
      <w:r>
        <w:tab/>
        <w:t>the expert witnesses give evidence at the trial after all or certain factual evidence relevant to an issue has been given; and</w:t>
      </w:r>
    </w:p>
    <w:p w14:paraId="7E15B2D7" w14:textId="77777777"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14:paraId="217AD652" w14:textId="77777777"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14:paraId="007CD724" w14:textId="77777777" w:rsidR="003D4FF5" w:rsidRDefault="003D4FF5" w:rsidP="003D4FF5">
      <w:pPr>
        <w:pStyle w:val="Asubpara"/>
      </w:pPr>
      <w:r>
        <w:tab/>
        <w:t>(i)</w:t>
      </w:r>
      <w:r>
        <w:tab/>
        <w:t>whether the expert witness adheres to any opinion given earlier; or</w:t>
      </w:r>
    </w:p>
    <w:p w14:paraId="50564144" w14:textId="77777777" w:rsidR="003D4FF5" w:rsidRDefault="003D4FF5" w:rsidP="003D4FF5">
      <w:pPr>
        <w:pStyle w:val="Asubpara"/>
      </w:pPr>
      <w:r>
        <w:tab/>
        <w:t>(ii)</w:t>
      </w:r>
      <w:r>
        <w:tab/>
        <w:t xml:space="preserve">whether, in light of factual evidence given at the trial, the expert witness wishes to modify any opinion given earlier; </w:t>
      </w:r>
    </w:p>
    <w:p w14:paraId="1812A898" w14:textId="77777777" w:rsidR="003D4FF5" w:rsidRDefault="003D4FF5" w:rsidP="003D4FF5">
      <w:pPr>
        <w:pStyle w:val="Apara"/>
        <w:keepNext/>
      </w:pPr>
      <w:r>
        <w:tab/>
        <w:t>(e)</w:t>
      </w:r>
      <w:r>
        <w:tab/>
        <w:t>a direction that—</w:t>
      </w:r>
    </w:p>
    <w:p w14:paraId="1EDA9AD3" w14:textId="77777777" w:rsidR="003D4FF5" w:rsidRDefault="003D4FF5" w:rsidP="003D4FF5">
      <w:pPr>
        <w:pStyle w:val="Asubpara"/>
      </w:pPr>
      <w:r>
        <w:tab/>
        <w:t>(i)</w:t>
      </w:r>
      <w:r>
        <w:tab/>
        <w:t>each expert witness be sworn one immediately after another; and</w:t>
      </w:r>
    </w:p>
    <w:p w14:paraId="43724EB1" w14:textId="77777777" w:rsidR="003D4FF5" w:rsidRDefault="003D4FF5" w:rsidP="003D4FF5">
      <w:pPr>
        <w:pStyle w:val="Asubpara"/>
      </w:pPr>
      <w:r>
        <w:tab/>
        <w:t>(ii)</w:t>
      </w:r>
      <w:r>
        <w:tab/>
        <w:t>when giving evidence, an expert witness occupy a position in the courtroom (not necessarily in the witness box) that is appropriate to the giving of evidence;</w:t>
      </w:r>
    </w:p>
    <w:p w14:paraId="1341C56E" w14:textId="77777777" w:rsidR="003D4FF5" w:rsidRDefault="003D4FF5" w:rsidP="003D4FF5">
      <w:pPr>
        <w:pStyle w:val="Apara"/>
      </w:pPr>
      <w:r>
        <w:tab/>
        <w:t>(f)</w:t>
      </w:r>
      <w:r>
        <w:tab/>
        <w:t>a direction that each expert witness give an oral explanation of his or her opinion, or opinions, on a question;</w:t>
      </w:r>
    </w:p>
    <w:p w14:paraId="5D3FBA5E" w14:textId="77777777" w:rsidR="003D4FF5" w:rsidRDefault="003D4FF5" w:rsidP="003D4FF5">
      <w:pPr>
        <w:pStyle w:val="Apara"/>
      </w:pPr>
      <w:r>
        <w:tab/>
        <w:t>(g)</w:t>
      </w:r>
      <w:r>
        <w:tab/>
        <w:t>a direction that each expert witness give his or her opinion about the opinion, or opinions, given by another expert witness;</w:t>
      </w:r>
    </w:p>
    <w:p w14:paraId="70DD84D5" w14:textId="77777777"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14:paraId="7D3DD3AA" w14:textId="77777777"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14:paraId="47EE1D5D" w14:textId="77777777" w:rsidR="003D4FF5" w:rsidRDefault="003D4FF5" w:rsidP="003D4FF5">
      <w:pPr>
        <w:pStyle w:val="Apara"/>
        <w:keepNext/>
      </w:pPr>
      <w:r>
        <w:tab/>
        <w:t>(j)</w:t>
      </w:r>
      <w:r>
        <w:tab/>
        <w:t>any other directions about giving evidence in accordance with a direction under paragraph (e) that the court considers appropriate.</w:t>
      </w:r>
    </w:p>
    <w:p w14:paraId="14E955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14:paraId="567B1124" w14:textId="77777777" w:rsidR="003D4FF5" w:rsidRDefault="003D4FF5" w:rsidP="003D4FF5">
      <w:pPr>
        <w:pStyle w:val="Amain"/>
      </w:pPr>
      <w:r>
        <w:tab/>
        <w:t>(2)</w:t>
      </w:r>
      <w:r>
        <w:tab/>
        <w:t>This rule does not limit the directions that the court may give on its own initiative or on a party’s application.</w:t>
      </w:r>
    </w:p>
    <w:p w14:paraId="4A4D7090" w14:textId="77777777" w:rsidR="003D4FF5" w:rsidRDefault="003D4FF5" w:rsidP="003D4FF5">
      <w:pPr>
        <w:pStyle w:val="Amain"/>
        <w:keepNext/>
      </w:pPr>
      <w:r>
        <w:tab/>
        <w:t>(3)</w:t>
      </w:r>
      <w:r>
        <w:tab/>
        <w:t>If the court directs expert witnesses to meet under subrule (1) (a), it may—</w:t>
      </w:r>
    </w:p>
    <w:p w14:paraId="17E42007" w14:textId="77777777" w:rsidR="003D4FF5" w:rsidRDefault="003D4FF5" w:rsidP="003D4FF5">
      <w:pPr>
        <w:pStyle w:val="Apara"/>
      </w:pPr>
      <w:r>
        <w:tab/>
        <w:t>(a)</w:t>
      </w:r>
      <w:r>
        <w:tab/>
        <w:t xml:space="preserve">set the agenda; and </w:t>
      </w:r>
    </w:p>
    <w:p w14:paraId="25AD6C9C" w14:textId="77777777" w:rsidR="003D4FF5" w:rsidRDefault="003D4FF5" w:rsidP="003D4FF5">
      <w:pPr>
        <w:pStyle w:val="Apara"/>
      </w:pPr>
      <w:r>
        <w:tab/>
        <w:t>(b)</w:t>
      </w:r>
      <w:r>
        <w:tab/>
        <w:t>state the matters the expert witnesses must discuss; and</w:t>
      </w:r>
    </w:p>
    <w:p w14:paraId="092C5BC4" w14:textId="77777777" w:rsidR="003D4FF5" w:rsidRDefault="003D4FF5" w:rsidP="003D4FF5">
      <w:pPr>
        <w:pStyle w:val="Apara"/>
      </w:pPr>
      <w:r>
        <w:tab/>
        <w:t>(c)</w:t>
      </w:r>
      <w:r>
        <w:tab/>
        <w:t>direct whether or not legal representatives may be present; and</w:t>
      </w:r>
    </w:p>
    <w:p w14:paraId="05C91F6F" w14:textId="77777777" w:rsidR="003D4FF5" w:rsidRDefault="003D4FF5" w:rsidP="003D4FF5">
      <w:pPr>
        <w:pStyle w:val="Apara"/>
      </w:pPr>
      <w:r>
        <w:tab/>
        <w:t>(d)</w:t>
      </w:r>
      <w:r>
        <w:tab/>
        <w:t>give directions about the form of any report to be produced to give effect to a direction under subrule (1) (b); and</w:t>
      </w:r>
    </w:p>
    <w:p w14:paraId="0FC7A5C4" w14:textId="77777777" w:rsidR="003D4FF5" w:rsidRDefault="003D4FF5" w:rsidP="003D4FF5">
      <w:pPr>
        <w:pStyle w:val="Apara"/>
      </w:pPr>
      <w:r>
        <w:tab/>
        <w:t>(e)</w:t>
      </w:r>
      <w:r>
        <w:tab/>
        <w:t>give any other directions it considers appropriate.</w:t>
      </w:r>
    </w:p>
    <w:p w14:paraId="792F0BC5" w14:textId="77777777"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14:paraId="1CE36DEB" w14:textId="77777777" w:rsidR="003D4FF5" w:rsidRPr="00C8328B" w:rsidRDefault="003D4FF5" w:rsidP="003D4FF5">
      <w:pPr>
        <w:pStyle w:val="AH3Div"/>
      </w:pPr>
      <w:bookmarkStart w:id="450" w:name="_Toc185514067"/>
      <w:r w:rsidRPr="00C8328B">
        <w:rPr>
          <w:rStyle w:val="CharDivNo"/>
        </w:rPr>
        <w:t>Division 2.12.3</w:t>
      </w:r>
      <w:r>
        <w:tab/>
      </w:r>
      <w:r w:rsidRPr="00C8328B">
        <w:rPr>
          <w:rStyle w:val="CharDivText"/>
        </w:rPr>
        <w:t>Expert reports</w:t>
      </w:r>
      <w:bookmarkEnd w:id="450"/>
    </w:p>
    <w:p w14:paraId="5BFC92D5" w14:textId="77777777" w:rsidR="003D4FF5" w:rsidRPr="001C0D2B" w:rsidRDefault="003D4FF5" w:rsidP="003D4FF5">
      <w:pPr>
        <w:pStyle w:val="AH5Sec"/>
      </w:pPr>
      <w:bookmarkStart w:id="451" w:name="_Toc185514068"/>
      <w:r w:rsidRPr="00C8328B">
        <w:rPr>
          <w:rStyle w:val="CharSectNo"/>
        </w:rPr>
        <w:t>1240</w:t>
      </w:r>
      <w:r w:rsidRPr="001C0D2B">
        <w:tab/>
        <w:t>Application—div 2.12.3</w:t>
      </w:r>
      <w:bookmarkEnd w:id="451"/>
    </w:p>
    <w:p w14:paraId="0399D3A5" w14:textId="77777777" w:rsidR="003D4FF5" w:rsidRPr="001C0D2B" w:rsidRDefault="003D4FF5" w:rsidP="003D4FF5">
      <w:pPr>
        <w:pStyle w:val="Amainreturn"/>
      </w:pPr>
      <w:r w:rsidRPr="001C0D2B">
        <w:t>This division applies subject to any direction given by the court under rule 1205 or rule 1211.</w:t>
      </w:r>
    </w:p>
    <w:p w14:paraId="3F590163" w14:textId="77777777" w:rsidR="003D4FF5" w:rsidRDefault="003D4FF5" w:rsidP="003D4FF5">
      <w:pPr>
        <w:pStyle w:val="AH5Sec"/>
      </w:pPr>
      <w:bookmarkStart w:id="452" w:name="_Toc185514069"/>
      <w:r w:rsidRPr="00C8328B">
        <w:rPr>
          <w:rStyle w:val="CharSectNo"/>
        </w:rPr>
        <w:lastRenderedPageBreak/>
        <w:t>1241</w:t>
      </w:r>
      <w:r>
        <w:tab/>
        <w:t>Service of expert reports</w:t>
      </w:r>
      <w:bookmarkEnd w:id="452"/>
    </w:p>
    <w:p w14:paraId="5496FF64" w14:textId="77777777"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14:paraId="3FD083A8" w14:textId="77777777" w:rsidR="003D4FF5" w:rsidRDefault="003D4FF5" w:rsidP="003D4FF5">
      <w:pPr>
        <w:pStyle w:val="Amain"/>
      </w:pPr>
      <w:r>
        <w:tab/>
        <w:t>(2)</w:t>
      </w:r>
      <w:r>
        <w:tab/>
        <w:t>If—</w:t>
      </w:r>
    </w:p>
    <w:p w14:paraId="3D57A630" w14:textId="77777777" w:rsidR="003D4FF5" w:rsidRDefault="003D4FF5" w:rsidP="003D4FF5">
      <w:pPr>
        <w:pStyle w:val="Apara"/>
      </w:pPr>
      <w:r>
        <w:tab/>
        <w:t>(a)</w:t>
      </w:r>
      <w:r>
        <w:tab/>
        <w:t>a party obtains an expert report after serving reports under subrule (1); and</w:t>
      </w:r>
    </w:p>
    <w:p w14:paraId="668F5754" w14:textId="77777777" w:rsidR="003D4FF5" w:rsidRDefault="003D4FF5" w:rsidP="003D4FF5">
      <w:pPr>
        <w:pStyle w:val="Apara"/>
      </w:pPr>
      <w:r>
        <w:tab/>
        <w:t>(b)</w:t>
      </w:r>
      <w:r>
        <w:tab/>
        <w:t>either—</w:t>
      </w:r>
    </w:p>
    <w:p w14:paraId="24160DD4" w14:textId="77777777" w:rsidR="003D4FF5" w:rsidRDefault="003D4FF5" w:rsidP="003D4FF5">
      <w:pPr>
        <w:pStyle w:val="Asubpara"/>
      </w:pPr>
      <w:r>
        <w:tab/>
        <w:t>(i)</w:t>
      </w:r>
      <w:r>
        <w:tab/>
        <w:t>the report is only responding to another report served under this rule; or</w:t>
      </w:r>
    </w:p>
    <w:p w14:paraId="7D1D4F76" w14:textId="77777777" w:rsidR="003D4FF5" w:rsidRDefault="003D4FF5" w:rsidP="003D4FF5">
      <w:pPr>
        <w:pStyle w:val="Asubpara"/>
      </w:pPr>
      <w:r>
        <w:tab/>
        <w:t>(ii)</w:t>
      </w:r>
      <w:r>
        <w:tab/>
        <w:t>the report updates another report served under this rule;</w:t>
      </w:r>
    </w:p>
    <w:p w14:paraId="687E4CB6" w14:textId="77777777" w:rsidR="003D4FF5" w:rsidRDefault="003D4FF5" w:rsidP="003D4FF5">
      <w:pPr>
        <w:pStyle w:val="Amainreturn"/>
      </w:pPr>
      <w:r>
        <w:t>the party must serve a copy of the report on each other active party not later than 3 days after the day the party obtains the report.</w:t>
      </w:r>
    </w:p>
    <w:p w14:paraId="5051E338" w14:textId="77777777" w:rsidR="003D4FF5" w:rsidRDefault="003D4FF5" w:rsidP="003D4FF5">
      <w:pPr>
        <w:pStyle w:val="Amain"/>
      </w:pPr>
      <w:r>
        <w:tab/>
        <w:t>(3)</w:t>
      </w:r>
      <w:r>
        <w:tab/>
        <w:t>An expert report must not be tendered, and is not admissible, in the proceeding unless it has been served in accordance with this rule, except with—</w:t>
      </w:r>
    </w:p>
    <w:p w14:paraId="7086B3E8" w14:textId="77777777" w:rsidR="003D4FF5" w:rsidRDefault="003D4FF5" w:rsidP="003D4FF5">
      <w:pPr>
        <w:pStyle w:val="Apara"/>
      </w:pPr>
      <w:r>
        <w:tab/>
        <w:t>(a)</w:t>
      </w:r>
      <w:r>
        <w:tab/>
        <w:t>the court’s leave; or</w:t>
      </w:r>
    </w:p>
    <w:p w14:paraId="7AB0BFF1" w14:textId="77777777" w:rsidR="003D4FF5" w:rsidRDefault="003D4FF5" w:rsidP="003D4FF5">
      <w:pPr>
        <w:pStyle w:val="Apara"/>
        <w:keepNext/>
      </w:pPr>
      <w:r>
        <w:tab/>
        <w:t>(b)</w:t>
      </w:r>
      <w:r>
        <w:tab/>
        <w:t>the agreement of all active parties to the proceeding.</w:t>
      </w:r>
    </w:p>
    <w:p w14:paraId="69C079B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180A0A05" w14:textId="77777777" w:rsidR="003D4FF5" w:rsidRDefault="003D4FF5" w:rsidP="003D4FF5">
      <w:pPr>
        <w:pStyle w:val="Amain"/>
      </w:pPr>
      <w:r>
        <w:tab/>
        <w:t>(4)</w:t>
      </w:r>
      <w:r>
        <w:tab/>
        <w:t>The court must not give leave under subrule (3) (a) unless satisfied that—</w:t>
      </w:r>
    </w:p>
    <w:p w14:paraId="542F1F8E" w14:textId="77777777" w:rsidR="003D4FF5" w:rsidRDefault="003D4FF5" w:rsidP="003D4FF5">
      <w:pPr>
        <w:pStyle w:val="Apara"/>
      </w:pPr>
      <w:r>
        <w:tab/>
        <w:t>(a)</w:t>
      </w:r>
      <w:r>
        <w:tab/>
        <w:t>there are exceptional circumstances that justify giving leave; or</w:t>
      </w:r>
    </w:p>
    <w:p w14:paraId="2EDA7E34" w14:textId="77777777" w:rsidR="003D4FF5" w:rsidRDefault="003D4FF5" w:rsidP="003D4FF5">
      <w:pPr>
        <w:pStyle w:val="Apara"/>
      </w:pPr>
      <w:r>
        <w:tab/>
        <w:t>(b)</w:t>
      </w:r>
      <w:r>
        <w:tab/>
        <w:t>the expert report only updates an earlier version of an expert report that has been served in accordance with this rule.</w:t>
      </w:r>
    </w:p>
    <w:p w14:paraId="0F284EC9" w14:textId="77777777" w:rsidR="003D4FF5" w:rsidRDefault="003D4FF5" w:rsidP="003D4FF5">
      <w:pPr>
        <w:pStyle w:val="Amain"/>
      </w:pPr>
      <w:r>
        <w:tab/>
        <w:t>(5)</w:t>
      </w:r>
      <w:r>
        <w:tab/>
        <w:t>This rule applies subject to any order of the court.</w:t>
      </w:r>
    </w:p>
    <w:p w14:paraId="186329D9" w14:textId="77777777" w:rsidR="003D4FF5" w:rsidRDefault="003D4FF5" w:rsidP="003D4FF5">
      <w:pPr>
        <w:pStyle w:val="AH5Sec"/>
      </w:pPr>
      <w:bookmarkStart w:id="453" w:name="_Toc185514070"/>
      <w:r w:rsidRPr="00C8328B">
        <w:rPr>
          <w:rStyle w:val="CharSectNo"/>
        </w:rPr>
        <w:lastRenderedPageBreak/>
        <w:t>1242</w:t>
      </w:r>
      <w:r>
        <w:tab/>
        <w:t>Supplementary expert reports</w:t>
      </w:r>
      <w:bookmarkEnd w:id="453"/>
    </w:p>
    <w:p w14:paraId="2F491F7B" w14:textId="77777777"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14:paraId="23498D9F" w14:textId="77777777"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14:paraId="57CAE1BB" w14:textId="77777777"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14:paraId="1D429C07" w14:textId="77777777" w:rsidR="003D4FF5" w:rsidRDefault="003D4FF5" w:rsidP="003D4FF5">
      <w:pPr>
        <w:pStyle w:val="AH5Sec"/>
        <w:rPr>
          <w:b w:val="0"/>
          <w:bCs/>
        </w:rPr>
      </w:pPr>
      <w:bookmarkStart w:id="454" w:name="_Toc185514071"/>
      <w:r w:rsidRPr="00C8328B">
        <w:rPr>
          <w:rStyle w:val="CharSectNo"/>
        </w:rPr>
        <w:t>1243</w:t>
      </w:r>
      <w:r>
        <w:tab/>
        <w:t>Expert evidence to be covered by expert report</w:t>
      </w:r>
      <w:bookmarkEnd w:id="454"/>
    </w:p>
    <w:p w14:paraId="1F686AE6" w14:textId="77777777"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14:paraId="03D9AF6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512BD970" w14:textId="77777777" w:rsidR="003D4FF5" w:rsidRDefault="003D4FF5" w:rsidP="003D4FF5">
      <w:pPr>
        <w:pStyle w:val="AH5Sec"/>
      </w:pPr>
      <w:bookmarkStart w:id="455" w:name="_Toc185514072"/>
      <w:r w:rsidRPr="00C8328B">
        <w:rPr>
          <w:rStyle w:val="CharSectNo"/>
        </w:rPr>
        <w:t>1244</w:t>
      </w:r>
      <w:r>
        <w:tab/>
        <w:t>Expert reports admissible as evidence of opinion etc</w:t>
      </w:r>
      <w:bookmarkEnd w:id="455"/>
    </w:p>
    <w:p w14:paraId="1A418CA9" w14:textId="77777777" w:rsidR="003D4FF5" w:rsidRDefault="003D4FF5" w:rsidP="003D4FF5">
      <w:pPr>
        <w:pStyle w:val="Amainreturn"/>
      </w:pPr>
      <w:r>
        <w:t>An expert report served under rule 1241 (Service of expert reports) is admissible as evidence of—</w:t>
      </w:r>
    </w:p>
    <w:p w14:paraId="5FBDE33E" w14:textId="77777777" w:rsidR="003D4FF5" w:rsidRDefault="003D4FF5" w:rsidP="003D4FF5">
      <w:pPr>
        <w:pStyle w:val="Apara"/>
      </w:pPr>
      <w:r>
        <w:tab/>
        <w:t>(a)</w:t>
      </w:r>
      <w:r>
        <w:tab/>
        <w:t xml:space="preserve">the author’s opinion; and </w:t>
      </w:r>
    </w:p>
    <w:p w14:paraId="12C3B60A" w14:textId="77777777"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14:paraId="792B626A" w14:textId="77777777" w:rsidR="003D4FF5" w:rsidRDefault="003D4FF5" w:rsidP="003D4FF5">
      <w:pPr>
        <w:pStyle w:val="AH5Sec"/>
      </w:pPr>
      <w:bookmarkStart w:id="456" w:name="_Toc185514073"/>
      <w:r w:rsidRPr="00C8328B">
        <w:rPr>
          <w:rStyle w:val="CharSectNo"/>
        </w:rPr>
        <w:lastRenderedPageBreak/>
        <w:t>1245</w:t>
      </w:r>
      <w:r>
        <w:tab/>
        <w:t>Requiring attendance of expert for cross-examination etc</w:t>
      </w:r>
      <w:bookmarkEnd w:id="456"/>
    </w:p>
    <w:p w14:paraId="106B72F9" w14:textId="77777777" w:rsidR="003D4FF5" w:rsidRDefault="003D4FF5" w:rsidP="003D4FF5">
      <w:pPr>
        <w:pStyle w:val="Amain"/>
      </w:pPr>
      <w:r>
        <w:tab/>
        <w:t>(1)</w:t>
      </w:r>
      <w:r>
        <w:tab/>
        <w:t>This rule applies if an expert report is served under rule 1241 (Service of expert reports) by a party to a proceeding.</w:t>
      </w:r>
    </w:p>
    <w:p w14:paraId="052674AE" w14:textId="77777777"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14:paraId="2F56EFDC" w14:textId="77777777" w:rsidR="003D4FF5" w:rsidRDefault="003D4FF5" w:rsidP="003D4FF5">
      <w:pPr>
        <w:pStyle w:val="Amain"/>
      </w:pPr>
      <w:r>
        <w:tab/>
        <w:t>(3)</w:t>
      </w:r>
      <w:r>
        <w:tab/>
        <w:t>The notice must be served at the listing hearing or no later than 49 days before the date set for the trial (whichever is the earlier).</w:t>
      </w:r>
    </w:p>
    <w:p w14:paraId="353C8AB0" w14:textId="77777777" w:rsidR="003D4FF5" w:rsidRDefault="003D4FF5" w:rsidP="003D4FF5">
      <w:pPr>
        <w:pStyle w:val="AH5Sec"/>
      </w:pPr>
      <w:bookmarkStart w:id="457" w:name="_Toc185514074"/>
      <w:r w:rsidRPr="00C8328B">
        <w:rPr>
          <w:rStyle w:val="CharSectNo"/>
        </w:rPr>
        <w:t>1246</w:t>
      </w:r>
      <w:r>
        <w:tab/>
        <w:t>Tender of expert report</w:t>
      </w:r>
      <w:bookmarkEnd w:id="457"/>
    </w:p>
    <w:p w14:paraId="6EA14B84" w14:textId="77777777" w:rsidR="003D4FF5" w:rsidRDefault="003D4FF5" w:rsidP="00095EB8">
      <w:pPr>
        <w:pStyle w:val="Amain"/>
        <w:keepNext/>
      </w:pPr>
      <w:r>
        <w:tab/>
        <w:t>(1)</w:t>
      </w:r>
      <w:r>
        <w:tab/>
        <w:t>A party to a proceeding who is served with an expert report under rule 1241 (Service of expert reports) may tender the report.</w:t>
      </w:r>
    </w:p>
    <w:p w14:paraId="3CDAEF07" w14:textId="77777777"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14:paraId="3610C4EC" w14:textId="77777777" w:rsidR="003D4FF5" w:rsidRDefault="003D4FF5" w:rsidP="003D4FF5">
      <w:pPr>
        <w:pStyle w:val="Apara"/>
      </w:pPr>
      <w:r>
        <w:tab/>
        <w:t>(a)</w:t>
      </w:r>
      <w:r>
        <w:tab/>
        <w:t>the expert attends as required to be cross-examined on the report; or</w:t>
      </w:r>
    </w:p>
    <w:p w14:paraId="3C5F625C" w14:textId="77777777" w:rsidR="003D4FF5" w:rsidRDefault="003D4FF5" w:rsidP="003D4FF5">
      <w:pPr>
        <w:pStyle w:val="Apara"/>
      </w:pPr>
      <w:r>
        <w:tab/>
        <w:t>(b)</w:t>
      </w:r>
      <w:r>
        <w:tab/>
        <w:t>the expert has died; or</w:t>
      </w:r>
    </w:p>
    <w:p w14:paraId="324D27FC" w14:textId="77777777" w:rsidR="003D4FF5" w:rsidRDefault="003D4FF5" w:rsidP="003D4FF5">
      <w:pPr>
        <w:pStyle w:val="Apara"/>
        <w:keepNext/>
      </w:pPr>
      <w:r>
        <w:tab/>
        <w:t>(c)</w:t>
      </w:r>
      <w:r>
        <w:tab/>
        <w:t>the court gives leave.</w:t>
      </w:r>
    </w:p>
    <w:p w14:paraId="5503A9B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893A489" w14:textId="77777777" w:rsidR="003D4FF5" w:rsidRDefault="003D4FF5" w:rsidP="003D4FF5">
      <w:pPr>
        <w:pStyle w:val="Amain"/>
      </w:pPr>
      <w:r>
        <w:tab/>
        <w:t>(3)</w:t>
      </w:r>
      <w:r>
        <w:tab/>
        <w:t>If the expert is cross-examined on the report, the party using the report may re-examine the expert.</w:t>
      </w:r>
    </w:p>
    <w:p w14:paraId="231BCC53" w14:textId="77777777" w:rsidR="003D4FF5" w:rsidRDefault="003D4FF5" w:rsidP="003D4FF5">
      <w:pPr>
        <w:pStyle w:val="PageBreak"/>
      </w:pPr>
      <w:r>
        <w:br w:type="page"/>
      </w:r>
    </w:p>
    <w:p w14:paraId="7C7A5A99" w14:textId="77777777" w:rsidR="003D4FF5" w:rsidRPr="00C8328B" w:rsidRDefault="003D4FF5" w:rsidP="003D4FF5">
      <w:pPr>
        <w:pStyle w:val="AH2Part"/>
      </w:pPr>
      <w:bookmarkStart w:id="458" w:name="_Toc185514075"/>
      <w:r w:rsidRPr="00C8328B">
        <w:rPr>
          <w:rStyle w:val="CharPartNo"/>
        </w:rPr>
        <w:lastRenderedPageBreak/>
        <w:t>Part 2.13</w:t>
      </w:r>
      <w:r>
        <w:tab/>
      </w:r>
      <w:r w:rsidRPr="00C8328B">
        <w:rPr>
          <w:rStyle w:val="CharPartText"/>
        </w:rPr>
        <w:t>Pre-trial procedures</w:t>
      </w:r>
      <w:bookmarkEnd w:id="458"/>
    </w:p>
    <w:p w14:paraId="7CF2A699" w14:textId="77777777" w:rsidR="0094162C" w:rsidRDefault="0094162C" w:rsidP="0094162C">
      <w:pPr>
        <w:pStyle w:val="Placeholder"/>
        <w:suppressLineNumbers/>
      </w:pPr>
      <w:r>
        <w:rPr>
          <w:rStyle w:val="CharDivNo"/>
        </w:rPr>
        <w:t xml:space="preserve">  </w:t>
      </w:r>
      <w:r>
        <w:rPr>
          <w:rStyle w:val="CharDivText"/>
        </w:rPr>
        <w:t xml:space="preserve">  </w:t>
      </w:r>
    </w:p>
    <w:p w14:paraId="03EE4814" w14:textId="77777777" w:rsidR="003D4FF5" w:rsidRDefault="003D4FF5" w:rsidP="003D4FF5">
      <w:pPr>
        <w:pStyle w:val="AH5Sec"/>
      </w:pPr>
      <w:bookmarkStart w:id="459" w:name="_Toc185514076"/>
      <w:r w:rsidRPr="00C8328B">
        <w:rPr>
          <w:rStyle w:val="CharSectNo"/>
        </w:rPr>
        <w:t>1301</w:t>
      </w:r>
      <w:r>
        <w:tab/>
        <w:t>Application—pt 2.13</w:t>
      </w:r>
      <w:bookmarkEnd w:id="459"/>
    </w:p>
    <w:p w14:paraId="674FCA8E" w14:textId="77777777" w:rsidR="003D4FF5" w:rsidRDefault="003D4FF5" w:rsidP="003D4FF5">
      <w:pPr>
        <w:pStyle w:val="Amainreturn"/>
        <w:keepNext/>
      </w:pPr>
      <w:r>
        <w:t>This part applies to a proceeding started by originating claim.</w:t>
      </w:r>
    </w:p>
    <w:p w14:paraId="7B1A98A0"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65E39AC" w14:textId="77777777" w:rsidR="003D4FF5" w:rsidRDefault="003D4FF5" w:rsidP="003D4FF5">
      <w:pPr>
        <w:pStyle w:val="AH5Sec"/>
      </w:pPr>
      <w:bookmarkStart w:id="460" w:name="_Toc185514077"/>
      <w:r w:rsidRPr="00C8328B">
        <w:rPr>
          <w:rStyle w:val="CharSectNo"/>
        </w:rPr>
        <w:t>1304</w:t>
      </w:r>
      <w:r>
        <w:tab/>
        <w:t>Statement of particulars before trial—personal injury claims</w:t>
      </w:r>
      <w:bookmarkEnd w:id="460"/>
    </w:p>
    <w:p w14:paraId="27D74597" w14:textId="391160D1" w:rsidR="003D4FF5" w:rsidRDefault="003D4FF5" w:rsidP="003D4FF5">
      <w:pPr>
        <w:pStyle w:val="Amain"/>
      </w:pPr>
      <w:r>
        <w:tab/>
        <w:t>(1)</w:t>
      </w:r>
      <w:r>
        <w:tab/>
        <w:t xml:space="preserve">This rule applies to a proceeding in which a claim for damages for personal injury is made, other than a claim under the </w:t>
      </w:r>
      <w:hyperlink r:id="rId136" w:tooltip="A2002-40" w:history="1">
        <w:r w:rsidRPr="005A5F43">
          <w:rPr>
            <w:rStyle w:val="charCitHyperlinkItal"/>
          </w:rPr>
          <w:t>Civil Law (Wrongs) Act 2002</w:t>
        </w:r>
      </w:hyperlink>
      <w:r>
        <w:t>, part 3.1 (Wrongful act or omission causing death).</w:t>
      </w:r>
    </w:p>
    <w:p w14:paraId="08957DFC" w14:textId="77777777"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14:paraId="6A0EF500" w14:textId="77777777" w:rsidR="003D4FF5" w:rsidRPr="00284A0B" w:rsidRDefault="003D4FF5" w:rsidP="003D4FF5">
      <w:pPr>
        <w:pStyle w:val="Apara"/>
      </w:pPr>
      <w:r w:rsidRPr="00284A0B">
        <w:tab/>
        <w:t>(a)</w:t>
      </w:r>
      <w:r w:rsidRPr="00284A0B">
        <w:tab/>
        <w:t>14 days before the listing hearing for the proceeding; or</w:t>
      </w:r>
    </w:p>
    <w:p w14:paraId="5AD9F3A4" w14:textId="77777777" w:rsidR="003D4FF5" w:rsidRPr="00284A0B" w:rsidRDefault="003D4FF5" w:rsidP="003D4FF5">
      <w:pPr>
        <w:pStyle w:val="Apara"/>
      </w:pPr>
      <w:r w:rsidRPr="00284A0B">
        <w:tab/>
        <w:t>(b)</w:t>
      </w:r>
      <w:r w:rsidRPr="00284A0B">
        <w:tab/>
        <w:t>in accordance with any direction made by the court.</w:t>
      </w:r>
    </w:p>
    <w:p w14:paraId="7664B0F8" w14:textId="77777777"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14:paraId="0FE6047F" w14:textId="77777777" w:rsidR="003D4FF5" w:rsidRDefault="003D4FF5" w:rsidP="003D4FF5">
      <w:pPr>
        <w:pStyle w:val="Apara"/>
      </w:pPr>
      <w:r>
        <w:tab/>
        <w:t>(a)</w:t>
      </w:r>
      <w:r>
        <w:tab/>
        <w:t>particulars of injuries received;</w:t>
      </w:r>
    </w:p>
    <w:p w14:paraId="06472CEB" w14:textId="77777777" w:rsidR="003D4FF5" w:rsidRDefault="003D4FF5" w:rsidP="003D4FF5">
      <w:pPr>
        <w:pStyle w:val="Apara"/>
      </w:pPr>
      <w:r>
        <w:tab/>
        <w:t>(b)</w:t>
      </w:r>
      <w:r>
        <w:tab/>
        <w:t>particulars of disabilities suffered since the accident giving rise to the claim and any continuing disabilities,</w:t>
      </w:r>
    </w:p>
    <w:p w14:paraId="7392F05C" w14:textId="77777777" w:rsidR="003D4FF5" w:rsidRDefault="003D4FF5" w:rsidP="003D4FF5">
      <w:pPr>
        <w:pStyle w:val="Apara"/>
      </w:pPr>
      <w:r>
        <w:tab/>
        <w:t>(c)</w:t>
      </w:r>
      <w:r>
        <w:tab/>
        <w:t>particulars of out-of-pocket expenses;</w:t>
      </w:r>
    </w:p>
    <w:p w14:paraId="671BF414" w14:textId="77777777" w:rsidR="003D4FF5" w:rsidRDefault="003D4FF5" w:rsidP="003D4FF5">
      <w:pPr>
        <w:pStyle w:val="Apara"/>
        <w:keepNext/>
      </w:pPr>
      <w:r>
        <w:lastRenderedPageBreak/>
        <w:tab/>
        <w:t>(d)</w:t>
      </w:r>
      <w:r>
        <w:tab/>
        <w:t>if a claim is made for loss of earnings—</w:t>
      </w:r>
    </w:p>
    <w:p w14:paraId="366F8A71" w14:textId="77777777"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14:paraId="701EEF75" w14:textId="77777777"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14:paraId="6DD5569C" w14:textId="77777777"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14:paraId="2C68894C" w14:textId="77777777"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14:paraId="4167EE5E" w14:textId="77777777" w:rsidR="003D4FF5" w:rsidRDefault="003D4FF5" w:rsidP="003D4FF5">
      <w:pPr>
        <w:pStyle w:val="Apara"/>
      </w:pPr>
      <w:r>
        <w:tab/>
        <w:t>(e)</w:t>
      </w:r>
      <w:r>
        <w:tab/>
        <w:t>particulars of any claimed future loss of earning capacity and future economic loss;</w:t>
      </w:r>
    </w:p>
    <w:p w14:paraId="4B306A1C" w14:textId="77777777" w:rsidR="003D4FF5" w:rsidRDefault="003D4FF5" w:rsidP="003D4FF5">
      <w:pPr>
        <w:pStyle w:val="Apara"/>
      </w:pPr>
      <w:r>
        <w:tab/>
        <w:t>(f)</w:t>
      </w:r>
      <w:r>
        <w:tab/>
        <w:t>if a claim is made for domestic assistance or attendant care—particulars of the claim.</w:t>
      </w:r>
    </w:p>
    <w:p w14:paraId="1B638579" w14:textId="77777777"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14:paraId="54042981" w14:textId="77777777" w:rsidR="003D4FF5" w:rsidRDefault="003D4FF5" w:rsidP="00095EB8">
      <w:pPr>
        <w:pStyle w:val="Apara"/>
        <w:keepNext/>
      </w:pPr>
      <w:r>
        <w:tab/>
        <w:t>(a)</w:t>
      </w:r>
      <w:r>
        <w:tab/>
        <w:t>particulars of—</w:t>
      </w:r>
    </w:p>
    <w:p w14:paraId="3EB91CB2" w14:textId="77777777"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14:paraId="5E8EA28B" w14:textId="77777777" w:rsidR="003D4FF5" w:rsidRDefault="003D4FF5" w:rsidP="003D4FF5">
      <w:pPr>
        <w:pStyle w:val="Asubpara"/>
      </w:pPr>
      <w:r>
        <w:tab/>
        <w:t>(ii)</w:t>
      </w:r>
      <w:r>
        <w:tab/>
        <w:t>the identity of those employees; or</w:t>
      </w:r>
    </w:p>
    <w:p w14:paraId="20FE8C15" w14:textId="77777777" w:rsidR="003D4FF5" w:rsidRDefault="003D4FF5" w:rsidP="003D4FF5">
      <w:pPr>
        <w:pStyle w:val="Apara"/>
        <w:keepNext/>
      </w:pPr>
      <w:r>
        <w:tab/>
        <w:t>(b)</w:t>
      </w:r>
      <w:r>
        <w:tab/>
        <w:t>particulars of—</w:t>
      </w:r>
    </w:p>
    <w:p w14:paraId="6050D672" w14:textId="77777777"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14:paraId="183FC4EF" w14:textId="77777777" w:rsidR="003D4FF5" w:rsidRDefault="003D4FF5" w:rsidP="003D4FF5">
      <w:pPr>
        <w:pStyle w:val="Asubpara"/>
      </w:pPr>
      <w:r>
        <w:tab/>
        <w:t>(ii)</w:t>
      </w:r>
      <w:r>
        <w:tab/>
        <w:t>the identity of the award or agreement.</w:t>
      </w:r>
    </w:p>
    <w:p w14:paraId="6172BF6B" w14:textId="77777777"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14:paraId="0A26475D" w14:textId="77777777" w:rsidR="003D4FF5" w:rsidRDefault="003D4FF5" w:rsidP="003D4FF5">
      <w:pPr>
        <w:pStyle w:val="Apara"/>
      </w:pPr>
      <w:r>
        <w:tab/>
        <w:t>(a)</w:t>
      </w:r>
      <w:r>
        <w:tab/>
        <w:t>hospital, medical or similar accounts and receipts;</w:t>
      </w:r>
    </w:p>
    <w:p w14:paraId="798C65F1" w14:textId="77777777" w:rsidR="003D4FF5" w:rsidRDefault="003D4FF5" w:rsidP="003D4FF5">
      <w:pPr>
        <w:pStyle w:val="Apara"/>
      </w:pPr>
      <w:r>
        <w:tab/>
        <w:t>(b)</w:t>
      </w:r>
      <w:r>
        <w:tab/>
        <w:t>letters from any workers compensation insurer stating amounts paid for the plaintiff for hospital, medical, ambulance or similar expenses;</w:t>
      </w:r>
    </w:p>
    <w:p w14:paraId="1A2FC05F" w14:textId="77777777" w:rsidR="003D4FF5" w:rsidRDefault="003D4FF5" w:rsidP="003D4FF5">
      <w:pPr>
        <w:pStyle w:val="Apara"/>
      </w:pPr>
      <w:r>
        <w:tab/>
        <w:t>(c)</w:t>
      </w:r>
      <w:r>
        <w:tab/>
        <w:t>a letter from the plaintiff’s employer or employers immediately before the accident, giving particulars of—</w:t>
      </w:r>
    </w:p>
    <w:p w14:paraId="34F3ACB1" w14:textId="77777777" w:rsidR="003D4FF5" w:rsidRDefault="003D4FF5" w:rsidP="003D4FF5">
      <w:pPr>
        <w:pStyle w:val="Asubpara"/>
      </w:pPr>
      <w:r>
        <w:tab/>
        <w:t>(i)</w:t>
      </w:r>
      <w:r>
        <w:tab/>
        <w:t>the dates when the plaintiff was absent from work because of the accident; and</w:t>
      </w:r>
    </w:p>
    <w:p w14:paraId="0334D447" w14:textId="77777777" w:rsidR="003D4FF5" w:rsidRDefault="003D4FF5" w:rsidP="003D4FF5">
      <w:pPr>
        <w:pStyle w:val="Asubpara"/>
      </w:pPr>
      <w:r>
        <w:tab/>
        <w:t>(ii)</w:t>
      </w:r>
      <w:r>
        <w:tab/>
        <w:t>any earnings (including overtime) lost by the plaintiff for the absences from work; and</w:t>
      </w:r>
    </w:p>
    <w:p w14:paraId="1CC05055" w14:textId="77777777" w:rsidR="003D4FF5" w:rsidRDefault="003D4FF5" w:rsidP="003D4FF5">
      <w:pPr>
        <w:pStyle w:val="Asubpara"/>
      </w:pPr>
      <w:r>
        <w:tab/>
        <w:t>(iii)</w:t>
      </w:r>
      <w:r>
        <w:tab/>
        <w:t>any change in the plaintiff’s classification and duties, and any earnings after the accident; and</w:t>
      </w:r>
    </w:p>
    <w:p w14:paraId="18D68AA0" w14:textId="77777777" w:rsidR="003D4FF5" w:rsidRDefault="003D4FF5" w:rsidP="003D4FF5">
      <w:pPr>
        <w:pStyle w:val="Asubpara"/>
      </w:pPr>
      <w:r>
        <w:lastRenderedPageBreak/>
        <w:tab/>
        <w:t>(iv)</w:t>
      </w:r>
      <w:r>
        <w:tab/>
        <w:t>if the plaintiff’s employment has been terminated—the date of termination and the reason for the termination;</w:t>
      </w:r>
    </w:p>
    <w:p w14:paraId="7990DA03" w14:textId="77777777"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14:paraId="4508A6A4" w14:textId="77777777"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14:paraId="77EDBDA9" w14:textId="77777777" w:rsidR="003D4FF5" w:rsidRDefault="003D4FF5" w:rsidP="003D4FF5">
      <w:pPr>
        <w:pStyle w:val="Apara"/>
      </w:pPr>
      <w:r>
        <w:tab/>
        <w:t>(f)</w:t>
      </w:r>
      <w:r>
        <w:tab/>
        <w:t>reports, award rates and correspondence relied on to support any claim for domestic assistance or attendant care.</w:t>
      </w:r>
    </w:p>
    <w:p w14:paraId="769205A9" w14:textId="77777777"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14:paraId="5AF01B9B" w14:textId="77777777" w:rsidR="003D4FF5" w:rsidRDefault="003D4FF5" w:rsidP="003D4FF5">
      <w:pPr>
        <w:pStyle w:val="Amain"/>
        <w:keepNext/>
      </w:pPr>
      <w:r>
        <w:tab/>
        <w:t>(7)</w:t>
      </w:r>
      <w:r>
        <w:tab/>
        <w:t>In this rule:</w:t>
      </w:r>
    </w:p>
    <w:p w14:paraId="485FE2D9" w14:textId="77777777" w:rsidR="003D4FF5" w:rsidRDefault="003D4FF5" w:rsidP="003D4FF5">
      <w:pPr>
        <w:pStyle w:val="aDef"/>
      </w:pPr>
      <w:r w:rsidRPr="005A5F43">
        <w:rPr>
          <w:rStyle w:val="charBoldItals"/>
        </w:rPr>
        <w:t>accident</w:t>
      </w:r>
      <w:r>
        <w:t xml:space="preserve"> includes incident.</w:t>
      </w:r>
    </w:p>
    <w:p w14:paraId="218E7AFF" w14:textId="77777777"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14:paraId="72114C25" w14:textId="77777777" w:rsidR="003D4FF5" w:rsidRDefault="003D4FF5" w:rsidP="003D4FF5">
      <w:pPr>
        <w:pStyle w:val="AH5Sec"/>
      </w:pPr>
      <w:bookmarkStart w:id="461" w:name="_Toc185514078"/>
      <w:r w:rsidRPr="00C8328B">
        <w:rPr>
          <w:rStyle w:val="CharSectNo"/>
        </w:rPr>
        <w:t>1305</w:t>
      </w:r>
      <w:r>
        <w:tab/>
        <w:t>Statement of particulars before trial—compensation to relatives in death claims</w:t>
      </w:r>
      <w:bookmarkEnd w:id="461"/>
    </w:p>
    <w:p w14:paraId="1CA31A89" w14:textId="4B83AB38" w:rsidR="003D4FF5" w:rsidRDefault="003D4FF5" w:rsidP="003D4FF5">
      <w:pPr>
        <w:pStyle w:val="Amain"/>
      </w:pPr>
      <w:r>
        <w:tab/>
        <w:t>(1)</w:t>
      </w:r>
      <w:r>
        <w:tab/>
        <w:t xml:space="preserve">This rule applies to a proceeding in which a claim for damages for personal injury is made under the </w:t>
      </w:r>
      <w:hyperlink r:id="rId137" w:tooltip="A2002-40" w:history="1">
        <w:r w:rsidRPr="005A5F43">
          <w:rPr>
            <w:rStyle w:val="charCitHyperlinkItal"/>
          </w:rPr>
          <w:t>Civil Law (Wrongs) Act 2002</w:t>
        </w:r>
      </w:hyperlink>
      <w:r>
        <w:t>, part 3.1 (Wrongful act or omission causing death).</w:t>
      </w:r>
    </w:p>
    <w:p w14:paraId="383DAD3F" w14:textId="77777777"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14:paraId="312C1B8F" w14:textId="77777777" w:rsidR="003D4FF5" w:rsidRPr="00284A0B" w:rsidRDefault="003D4FF5" w:rsidP="003D4FF5">
      <w:pPr>
        <w:pStyle w:val="Apara"/>
      </w:pPr>
      <w:r w:rsidRPr="00284A0B">
        <w:tab/>
        <w:t>(a)</w:t>
      </w:r>
      <w:r w:rsidRPr="00284A0B">
        <w:tab/>
        <w:t>14 days before the listing hearing for the proceeding; or</w:t>
      </w:r>
    </w:p>
    <w:p w14:paraId="042A1658" w14:textId="77777777" w:rsidR="003D4FF5" w:rsidRPr="00284A0B" w:rsidRDefault="003D4FF5" w:rsidP="003D4FF5">
      <w:pPr>
        <w:pStyle w:val="Apara"/>
      </w:pPr>
      <w:r w:rsidRPr="00284A0B">
        <w:tab/>
        <w:t>(b)</w:t>
      </w:r>
      <w:r w:rsidRPr="00284A0B">
        <w:tab/>
        <w:t>in accordance with any direction made by the court.</w:t>
      </w:r>
    </w:p>
    <w:p w14:paraId="5DA7D5D4" w14:textId="77777777"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14:paraId="0AC31823" w14:textId="77777777" w:rsidR="003D4FF5" w:rsidRDefault="003D4FF5" w:rsidP="003D4FF5">
      <w:pPr>
        <w:pStyle w:val="Apara"/>
      </w:pPr>
      <w:r>
        <w:tab/>
        <w:t>(a)</w:t>
      </w:r>
      <w:r>
        <w:tab/>
        <w:t>the person’s name, address, relationship to the deceased person the subject of the proceeding;</w:t>
      </w:r>
    </w:p>
    <w:p w14:paraId="79819C53" w14:textId="77777777"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14:paraId="7C572365" w14:textId="77777777"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14:paraId="35F5D4A6" w14:textId="77777777" w:rsidR="003D4FF5" w:rsidRDefault="003D4FF5" w:rsidP="003D4FF5">
      <w:pPr>
        <w:pStyle w:val="Apara"/>
      </w:pPr>
      <w:r>
        <w:tab/>
        <w:t>(a)</w:t>
      </w:r>
      <w:r>
        <w:tab/>
        <w:t>if relevant, a copy or extract of the birth certificate of the person and, if the person has been married, a copy of the person’s marriage certificate;</w:t>
      </w:r>
    </w:p>
    <w:p w14:paraId="32EBC0FE" w14:textId="77777777"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14:paraId="19579E34" w14:textId="77777777" w:rsidR="003D4FF5" w:rsidRDefault="003D4FF5" w:rsidP="003D4FF5">
      <w:pPr>
        <w:pStyle w:val="Apara"/>
      </w:pPr>
      <w:r>
        <w:tab/>
        <w:t>(c)</w:t>
      </w:r>
      <w:r>
        <w:tab/>
        <w:t>copies of the deceased person’s income tax returns for the 2 financial years immediately before the financial year in which the person died;</w:t>
      </w:r>
    </w:p>
    <w:p w14:paraId="515CE0C5" w14:textId="77777777"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14:paraId="7327C206" w14:textId="77777777"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14:paraId="574B65ED" w14:textId="77777777" w:rsidR="003D4FF5" w:rsidRDefault="003D4FF5" w:rsidP="003D4FF5">
      <w:pPr>
        <w:pStyle w:val="Apara"/>
      </w:pPr>
      <w:r>
        <w:tab/>
        <w:t>(f)</w:t>
      </w:r>
      <w:r>
        <w:tab/>
        <w:t>copies of documents proving the net value of the deceased person’s estate.</w:t>
      </w:r>
    </w:p>
    <w:p w14:paraId="029217C8" w14:textId="77777777"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14:paraId="39A70F99" w14:textId="77777777" w:rsidR="003D4FF5" w:rsidRDefault="003D4FF5" w:rsidP="003D4FF5">
      <w:pPr>
        <w:pStyle w:val="AH5Sec"/>
      </w:pPr>
      <w:bookmarkStart w:id="462" w:name="_Toc185514079"/>
      <w:r w:rsidRPr="00C8328B">
        <w:rPr>
          <w:rStyle w:val="CharSectNo"/>
        </w:rPr>
        <w:t>1311</w:t>
      </w:r>
      <w:r>
        <w:tab/>
        <w:t>Expedited trial</w:t>
      </w:r>
      <w:bookmarkEnd w:id="462"/>
    </w:p>
    <w:p w14:paraId="590E4669" w14:textId="77777777" w:rsidR="003D4FF5" w:rsidRDefault="003D4FF5" w:rsidP="003D4FF5">
      <w:pPr>
        <w:pStyle w:val="Amain"/>
        <w:keepNext/>
      </w:pPr>
      <w:r>
        <w:tab/>
        <w:t>(1)</w:t>
      </w:r>
      <w:r>
        <w:tab/>
        <w:t>A party to a proceeding may apply to the court for an expedited trial.</w:t>
      </w:r>
    </w:p>
    <w:p w14:paraId="13B01538"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652ACE79" w14:textId="77777777" w:rsidR="003D4FF5" w:rsidRDefault="003D4FF5" w:rsidP="003D4FF5">
      <w:pPr>
        <w:pStyle w:val="Amain"/>
        <w:keepNext/>
      </w:pPr>
      <w:r>
        <w:tab/>
        <w:t>(2)</w:t>
      </w:r>
      <w:r>
        <w:tab/>
        <w:t>An application for an expedited trial must be supported by an affidavit stating the following:</w:t>
      </w:r>
    </w:p>
    <w:p w14:paraId="363FDC96" w14:textId="77777777" w:rsidR="003D4FF5" w:rsidRDefault="003D4FF5" w:rsidP="003D4FF5">
      <w:pPr>
        <w:pStyle w:val="Apara"/>
      </w:pPr>
      <w:r>
        <w:tab/>
        <w:t>(a)</w:t>
      </w:r>
      <w:r>
        <w:tab/>
        <w:t>the grounds for expediting the trial;</w:t>
      </w:r>
    </w:p>
    <w:p w14:paraId="4AFE3E28" w14:textId="77777777" w:rsidR="003D4FF5" w:rsidRDefault="003D4FF5" w:rsidP="003D4FF5">
      <w:pPr>
        <w:pStyle w:val="Apara"/>
      </w:pPr>
      <w:r>
        <w:tab/>
        <w:t>(b)</w:t>
      </w:r>
      <w:r>
        <w:tab/>
        <w:t>the issues in dispute;</w:t>
      </w:r>
    </w:p>
    <w:p w14:paraId="16A3724E" w14:textId="77777777" w:rsidR="003D4FF5" w:rsidRDefault="003D4FF5" w:rsidP="003D4FF5">
      <w:pPr>
        <w:pStyle w:val="Apara"/>
      </w:pPr>
      <w:r>
        <w:tab/>
        <w:t>(c)</w:t>
      </w:r>
      <w:r>
        <w:tab/>
        <w:t>the number of witnesses to be called and the nature of each witness’s evidence;</w:t>
      </w:r>
    </w:p>
    <w:p w14:paraId="1764D1C9" w14:textId="77777777" w:rsidR="003D4FF5" w:rsidRDefault="003D4FF5" w:rsidP="003D4FF5">
      <w:pPr>
        <w:pStyle w:val="Apara"/>
      </w:pPr>
      <w:r>
        <w:tab/>
        <w:t>(d)</w:t>
      </w:r>
      <w:r>
        <w:tab/>
        <w:t>the estimated length of the trial;</w:t>
      </w:r>
    </w:p>
    <w:p w14:paraId="11D0CF62" w14:textId="77777777" w:rsidR="003D4FF5" w:rsidRDefault="003D4FF5" w:rsidP="003D4FF5">
      <w:pPr>
        <w:pStyle w:val="Apara"/>
      </w:pPr>
      <w:r>
        <w:tab/>
        <w:t>(e)</w:t>
      </w:r>
      <w:r>
        <w:tab/>
        <w:t>whether senior counsel or junior counsel is briefed in the proceeding.</w:t>
      </w:r>
    </w:p>
    <w:p w14:paraId="12B0A165" w14:textId="77777777" w:rsidR="003D4FF5" w:rsidRDefault="003D4FF5" w:rsidP="003D4FF5">
      <w:pPr>
        <w:pStyle w:val="Amain"/>
      </w:pPr>
      <w:r>
        <w:tab/>
        <w:t>(3)</w:t>
      </w:r>
      <w:r>
        <w:tab/>
        <w:t>The affidavit may include anything else the applicant considers relevant to the application.</w:t>
      </w:r>
    </w:p>
    <w:p w14:paraId="1D2C5B69" w14:textId="77777777" w:rsidR="003D4FF5" w:rsidRDefault="003D4FF5" w:rsidP="003D4FF5">
      <w:pPr>
        <w:pStyle w:val="Amain"/>
      </w:pPr>
      <w:r>
        <w:lastRenderedPageBreak/>
        <w:tab/>
        <w:t>(4)</w:t>
      </w:r>
      <w:r>
        <w:tab/>
        <w:t>The court may order that the trial be expedited if it is in the interests of justice to expedite the trial.</w:t>
      </w:r>
    </w:p>
    <w:p w14:paraId="49BB9C11" w14:textId="77777777" w:rsidR="003D4FF5" w:rsidRDefault="003D4FF5" w:rsidP="003D4FF5">
      <w:pPr>
        <w:pStyle w:val="AH5Sec"/>
      </w:pPr>
      <w:bookmarkStart w:id="463" w:name="_Toc185514080"/>
      <w:r w:rsidRPr="00C8328B">
        <w:rPr>
          <w:rStyle w:val="CharSectNo"/>
        </w:rPr>
        <w:t>1312</w:t>
      </w:r>
      <w:r>
        <w:tab/>
        <w:t>Court book</w:t>
      </w:r>
      <w:bookmarkEnd w:id="463"/>
    </w:p>
    <w:p w14:paraId="3D5F189C" w14:textId="3D1A9C6C"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(the </w:t>
      </w:r>
      <w:r w:rsidRPr="005A5F43">
        <w:rPr>
          <w:rStyle w:val="charBoldItals"/>
        </w:rPr>
        <w:t>court book</w:t>
      </w:r>
      <w:r>
        <w:t>):</w:t>
      </w:r>
    </w:p>
    <w:p w14:paraId="043FE9C0" w14:textId="77777777" w:rsidR="003D4FF5" w:rsidRDefault="003D4FF5" w:rsidP="003D4FF5">
      <w:pPr>
        <w:pStyle w:val="Apara"/>
      </w:pPr>
      <w:r>
        <w:tab/>
        <w:t>(a)</w:t>
      </w:r>
      <w:r>
        <w:tab/>
        <w:t>the originating process;</w:t>
      </w:r>
    </w:p>
    <w:p w14:paraId="22F70C65" w14:textId="77777777" w:rsidR="003D4FF5" w:rsidRDefault="003D4FF5" w:rsidP="003D4FF5">
      <w:pPr>
        <w:pStyle w:val="Apara"/>
      </w:pPr>
      <w:r>
        <w:tab/>
        <w:t>(b)</w:t>
      </w:r>
      <w:r>
        <w:tab/>
        <w:t>each pleading in the proceeding;</w:t>
      </w:r>
    </w:p>
    <w:p w14:paraId="7AA34785"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14:paraId="64FBA86F" w14:textId="77777777" w:rsidR="003D4FF5" w:rsidRDefault="003D4FF5" w:rsidP="003D4FF5">
      <w:pPr>
        <w:pStyle w:val="Apara"/>
      </w:pPr>
      <w:r>
        <w:tab/>
        <w:t>(c)</w:t>
      </w:r>
      <w:r>
        <w:tab/>
        <w:t>any request made for further particulars of a party’s pleading, and any answer to the request;</w:t>
      </w:r>
    </w:p>
    <w:p w14:paraId="2579928D" w14:textId="77777777" w:rsidR="003D4FF5" w:rsidRDefault="003D4FF5" w:rsidP="003D4FF5">
      <w:pPr>
        <w:pStyle w:val="Apara"/>
      </w:pPr>
      <w:r>
        <w:tab/>
        <w:t>(d)</w:t>
      </w:r>
      <w:r>
        <w:tab/>
        <w:t>any third-party notice;</w:t>
      </w:r>
    </w:p>
    <w:p w14:paraId="43F7F819"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14:paraId="1AF5BEDC" w14:textId="77777777" w:rsidR="003D4FF5" w:rsidRDefault="003D4FF5" w:rsidP="003D4FF5">
      <w:pPr>
        <w:pStyle w:val="Apara"/>
      </w:pPr>
      <w:r>
        <w:tab/>
        <w:t>(e)</w:t>
      </w:r>
      <w:r>
        <w:tab/>
        <w:t>any notice claiming contribution or indemnity;</w:t>
      </w:r>
    </w:p>
    <w:p w14:paraId="60A7C75A" w14:textId="77777777" w:rsidR="003D4FF5" w:rsidRDefault="003D4FF5" w:rsidP="003D4FF5">
      <w:pPr>
        <w:pStyle w:val="Apara"/>
      </w:pPr>
      <w:r>
        <w:tab/>
        <w:t>(f)</w:t>
      </w:r>
      <w:r>
        <w:tab/>
        <w:t>any order in the proceeding to include a party;</w:t>
      </w:r>
    </w:p>
    <w:p w14:paraId="1F97A1D6" w14:textId="77777777" w:rsidR="003D4FF5" w:rsidRDefault="003D4FF5" w:rsidP="003D4FF5">
      <w:pPr>
        <w:pStyle w:val="Apara"/>
      </w:pPr>
      <w:r>
        <w:tab/>
        <w:t>(g)</w:t>
      </w:r>
      <w:r>
        <w:tab/>
        <w:t>any affidavit to be used at the trial;</w:t>
      </w:r>
    </w:p>
    <w:p w14:paraId="172855ED" w14:textId="77777777"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14:paraId="35602E8C" w14:textId="40EFA749" w:rsidR="00EC2197" w:rsidRPr="00C1177F" w:rsidRDefault="00EC2197" w:rsidP="00EC2197">
      <w:pPr>
        <w:pStyle w:val="Amain"/>
      </w:pPr>
      <w:r w:rsidRPr="00C1177F">
        <w:tab/>
        <w:t>(</w:t>
      </w:r>
      <w:r>
        <w:t>2</w:t>
      </w:r>
      <w:r w:rsidRPr="00C1177F">
        <w:t>)</w:t>
      </w:r>
      <w:r w:rsidRPr="00C1177F">
        <w:tab/>
        <w:t>If the court book is in paper form, the court book must be bound or stapled together.</w:t>
      </w:r>
    </w:p>
    <w:p w14:paraId="01752E02" w14:textId="7FDA0C88" w:rsidR="003D4FF5" w:rsidRDefault="003D4FF5" w:rsidP="003D4FF5">
      <w:pPr>
        <w:pStyle w:val="Amain"/>
      </w:pPr>
      <w:r>
        <w:lastRenderedPageBreak/>
        <w:tab/>
        <w:t>(</w:t>
      </w:r>
      <w:r w:rsidR="00EC2197">
        <w:t>3</w:t>
      </w:r>
      <w:r>
        <w:t>)</w:t>
      </w:r>
      <w:r>
        <w:tab/>
        <w:t>If a document mentioned in subrule (1) has been amended, the plaintiff must include in the court book only the most recent amended version of the document.</w:t>
      </w:r>
    </w:p>
    <w:p w14:paraId="0772AC17" w14:textId="44F1835F" w:rsidR="003D4FF5" w:rsidRDefault="003D4FF5" w:rsidP="003D4FF5">
      <w:pPr>
        <w:pStyle w:val="Amain"/>
        <w:keepNext/>
      </w:pPr>
      <w:r>
        <w:tab/>
        <w:t>(</w:t>
      </w:r>
      <w:r w:rsidR="00EC2197">
        <w:t>4</w:t>
      </w:r>
      <w:r>
        <w:t>)</w:t>
      </w:r>
      <w:r>
        <w:tab/>
        <w:t>The following documents must not be included in a court book unless all the active parties to the proceeding agree:</w:t>
      </w:r>
    </w:p>
    <w:p w14:paraId="5540AC06" w14:textId="77777777" w:rsidR="003D4FF5" w:rsidRDefault="003D4FF5" w:rsidP="003D4FF5">
      <w:pPr>
        <w:pStyle w:val="Apara"/>
        <w:keepNext/>
      </w:pPr>
      <w:r>
        <w:tab/>
        <w:t>(a)</w:t>
      </w:r>
      <w:r>
        <w:tab/>
        <w:t>expert reports, including medical reports;</w:t>
      </w:r>
    </w:p>
    <w:p w14:paraId="2D1433F7" w14:textId="77777777" w:rsidR="003D4FF5" w:rsidRDefault="003D4FF5" w:rsidP="003D4FF5">
      <w:pPr>
        <w:pStyle w:val="Apara"/>
      </w:pPr>
      <w:r>
        <w:tab/>
        <w:t>(b)</w:t>
      </w:r>
      <w:r>
        <w:tab/>
        <w:t>answers to interrogatories.</w:t>
      </w:r>
    </w:p>
    <w:p w14:paraId="7B1A5B5A" w14:textId="77777777" w:rsidR="003D4FF5" w:rsidRDefault="003D4FF5" w:rsidP="003D4FF5">
      <w:pPr>
        <w:pStyle w:val="AH5Sec"/>
      </w:pPr>
      <w:bookmarkStart w:id="464" w:name="_Toc185514081"/>
      <w:r w:rsidRPr="00C8328B">
        <w:rPr>
          <w:rStyle w:val="CharSectNo"/>
        </w:rPr>
        <w:t>1325</w:t>
      </w:r>
      <w:r>
        <w:tab/>
        <w:t>Listing hearing</w:t>
      </w:r>
      <w:bookmarkEnd w:id="464"/>
    </w:p>
    <w:p w14:paraId="3D2F769E" w14:textId="77777777" w:rsidR="003D4FF5" w:rsidRDefault="003D4FF5" w:rsidP="003D4FF5">
      <w:pPr>
        <w:pStyle w:val="Amainreturn"/>
      </w:pPr>
      <w:r w:rsidRPr="00284A0B">
        <w:t>At a listing hearing for a proceeding, the court may make the directions it considers appropriate including in relation to—</w:t>
      </w:r>
    </w:p>
    <w:p w14:paraId="60E66D07" w14:textId="77777777" w:rsidR="003D4FF5" w:rsidRDefault="003D4FF5" w:rsidP="003D4FF5">
      <w:pPr>
        <w:pStyle w:val="Apara"/>
      </w:pPr>
      <w:r>
        <w:tab/>
        <w:t>(a)</w:t>
      </w:r>
      <w:r>
        <w:tab/>
        <w:t>simplifying the issues in dispute; and</w:t>
      </w:r>
    </w:p>
    <w:p w14:paraId="02F19963" w14:textId="77777777" w:rsidR="003D4FF5" w:rsidRDefault="003D4FF5" w:rsidP="003D4FF5">
      <w:pPr>
        <w:pStyle w:val="Apara"/>
      </w:pPr>
      <w:r>
        <w:tab/>
        <w:t>(b)</w:t>
      </w:r>
      <w:r>
        <w:tab/>
        <w:t>limiting the number of witnesses or the issues to be covered by witness evidence; and</w:t>
      </w:r>
    </w:p>
    <w:p w14:paraId="09961767" w14:textId="77777777" w:rsidR="003D4FF5" w:rsidRDefault="003D4FF5" w:rsidP="003D4FF5">
      <w:pPr>
        <w:pStyle w:val="Apara"/>
      </w:pPr>
      <w:r>
        <w:tab/>
        <w:t>(c)</w:t>
      </w:r>
      <w:r>
        <w:tab/>
        <w:t>the filing and serving of expert reports; and</w:t>
      </w:r>
    </w:p>
    <w:p w14:paraId="5E0C72E1" w14:textId="77777777" w:rsidR="003D4FF5" w:rsidRDefault="003D4FF5" w:rsidP="003D4FF5">
      <w:pPr>
        <w:pStyle w:val="Apara"/>
      </w:pPr>
      <w:r>
        <w:tab/>
        <w:t>(d)</w:t>
      </w:r>
      <w:r>
        <w:tab/>
        <w:t>the filing and serving of affidavit evidence; and</w:t>
      </w:r>
    </w:p>
    <w:p w14:paraId="1EA015DF" w14:textId="77777777" w:rsidR="003D4FF5" w:rsidRDefault="003D4FF5" w:rsidP="003D4FF5">
      <w:pPr>
        <w:pStyle w:val="Apara"/>
      </w:pPr>
      <w:r>
        <w:tab/>
        <w:t>(e)</w:t>
      </w:r>
      <w:r>
        <w:tab/>
        <w:t>the admission of facts or documents to avoid unnecessary proof; and</w:t>
      </w:r>
    </w:p>
    <w:p w14:paraId="7E73C507" w14:textId="77777777" w:rsidR="003D4FF5" w:rsidRDefault="003D4FF5" w:rsidP="003D4FF5">
      <w:pPr>
        <w:pStyle w:val="Apara"/>
      </w:pPr>
      <w:r>
        <w:tab/>
        <w:t>(f)</w:t>
      </w:r>
      <w:r>
        <w:tab/>
        <w:t>written submissions to the court on issues of law or issues of law and fact; and</w:t>
      </w:r>
    </w:p>
    <w:p w14:paraId="3A5AA683" w14:textId="77777777" w:rsidR="003D4FF5" w:rsidRDefault="003D4FF5" w:rsidP="003D4FF5">
      <w:pPr>
        <w:pStyle w:val="Apara"/>
      </w:pPr>
      <w:r>
        <w:tab/>
        <w:t>(g)</w:t>
      </w:r>
      <w:r>
        <w:tab/>
        <w:t>the estimated length of the trial; and</w:t>
      </w:r>
    </w:p>
    <w:p w14:paraId="42B2CAED" w14:textId="77777777" w:rsidR="003D4FF5" w:rsidRDefault="003D4FF5" w:rsidP="003D4FF5">
      <w:pPr>
        <w:pStyle w:val="Apara"/>
      </w:pPr>
      <w:r>
        <w:tab/>
        <w:t>(h)</w:t>
      </w:r>
      <w:r>
        <w:tab/>
        <w:t>the possibility of the proceeding being settled before the trial; and</w:t>
      </w:r>
    </w:p>
    <w:p w14:paraId="601FD00B" w14:textId="77777777" w:rsidR="003D4FF5" w:rsidRDefault="003D4FF5" w:rsidP="003D4FF5">
      <w:pPr>
        <w:pStyle w:val="Apara"/>
      </w:pPr>
      <w:r>
        <w:tab/>
        <w:t>(i)</w:t>
      </w:r>
      <w:r>
        <w:tab/>
        <w:t>anything else that may assist the early resolution of the proceeding.</w:t>
      </w:r>
    </w:p>
    <w:p w14:paraId="3F7D300E" w14:textId="77777777" w:rsidR="003D4FF5" w:rsidRDefault="003D4FF5" w:rsidP="003D4FF5">
      <w:pPr>
        <w:pStyle w:val="AH5Sec"/>
      </w:pPr>
      <w:bookmarkStart w:id="465" w:name="_Toc185514082"/>
      <w:r w:rsidRPr="00C8328B">
        <w:rPr>
          <w:rStyle w:val="CharSectNo"/>
        </w:rPr>
        <w:lastRenderedPageBreak/>
        <w:t>1326</w:t>
      </w:r>
      <w:r>
        <w:tab/>
        <w:t>Special fixture</w:t>
      </w:r>
      <w:bookmarkEnd w:id="465"/>
    </w:p>
    <w:p w14:paraId="40A95ECE" w14:textId="77777777" w:rsidR="003D4FF5" w:rsidRDefault="003D4FF5" w:rsidP="003D4FF5">
      <w:pPr>
        <w:pStyle w:val="Amain"/>
        <w:keepNext/>
      </w:pPr>
      <w:r>
        <w:tab/>
        <w:t>(1)</w:t>
      </w:r>
      <w:r>
        <w:tab/>
        <w:t>At the listing hearing, a proceeding may be set down by the court for trial as a special fixture if—</w:t>
      </w:r>
    </w:p>
    <w:p w14:paraId="3CA6D6E2" w14:textId="77777777" w:rsidR="003D4FF5" w:rsidRDefault="003D4FF5" w:rsidP="003D4FF5">
      <w:pPr>
        <w:pStyle w:val="Apara"/>
      </w:pPr>
      <w:r>
        <w:tab/>
        <w:t>(a)</w:t>
      </w:r>
      <w:r>
        <w:tab/>
        <w:t>for a proceeding in the Supreme Court—a party to the proceeding or the court estimates the trial will be 5 days or longer; or</w:t>
      </w:r>
    </w:p>
    <w:p w14:paraId="678E71F8" w14:textId="77777777" w:rsidR="003D4FF5" w:rsidRDefault="003D4FF5" w:rsidP="003D4FF5">
      <w:pPr>
        <w:pStyle w:val="Apara"/>
      </w:pPr>
      <w:r>
        <w:tab/>
        <w:t>(b)</w:t>
      </w:r>
      <w:r>
        <w:tab/>
        <w:t>for a proceeding in the Magistrates Court—a party to the proceeding or the court estimates the trial will be 3 days or longer; or</w:t>
      </w:r>
    </w:p>
    <w:p w14:paraId="5EB71713" w14:textId="77777777" w:rsidR="003D4FF5" w:rsidRDefault="003D4FF5" w:rsidP="003D4FF5">
      <w:pPr>
        <w:pStyle w:val="Apara"/>
      </w:pPr>
      <w:r>
        <w:tab/>
        <w:t>(c)</w:t>
      </w:r>
      <w:r>
        <w:tab/>
        <w:t>the court has already ordered that the trial be expedited or listed as a special fixture.</w:t>
      </w:r>
    </w:p>
    <w:p w14:paraId="30FD27E5" w14:textId="77777777" w:rsidR="003D4FF5" w:rsidRDefault="003D4FF5" w:rsidP="003D4FF5">
      <w:pPr>
        <w:pStyle w:val="Amain"/>
      </w:pPr>
      <w:r>
        <w:tab/>
        <w:t>(2)</w:t>
      </w:r>
      <w:r>
        <w:tab/>
        <w:t>If a proceeding is set down for trial as a special fixture, the court may—</w:t>
      </w:r>
    </w:p>
    <w:p w14:paraId="7AF0368F" w14:textId="77777777"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14:paraId="6C69F8E5" w14:textId="77777777" w:rsidR="003D4FF5" w:rsidRDefault="003D4FF5" w:rsidP="003D4FF5">
      <w:pPr>
        <w:pStyle w:val="Apara"/>
      </w:pPr>
      <w:r>
        <w:tab/>
        <w:t>(b)</w:t>
      </w:r>
      <w:r>
        <w:tab/>
        <w:t>set a date for a directions hearing before—</w:t>
      </w:r>
    </w:p>
    <w:p w14:paraId="387E473A" w14:textId="77777777" w:rsidR="003D4FF5" w:rsidRDefault="003D4FF5" w:rsidP="003D4FF5">
      <w:pPr>
        <w:pStyle w:val="Asubpara"/>
      </w:pPr>
      <w:r>
        <w:tab/>
        <w:t>(i)</w:t>
      </w:r>
      <w:r>
        <w:tab/>
        <w:t>the trial judicial officer; or</w:t>
      </w:r>
    </w:p>
    <w:p w14:paraId="5F7F5469" w14:textId="110052A6" w:rsidR="003D4FF5" w:rsidRDefault="003D4FF5" w:rsidP="003D4FF5">
      <w:pPr>
        <w:pStyle w:val="Asubpara"/>
      </w:pPr>
      <w:r>
        <w:tab/>
        <w:t>(ii)</w:t>
      </w:r>
      <w:r>
        <w:tab/>
        <w:t xml:space="preserve">if the trial judicial officer is a judge who is not a resident judge—a resident judge (the </w:t>
      </w:r>
      <w:r w:rsidRPr="005A5F43">
        <w:rPr>
          <w:rStyle w:val="charBoldItals"/>
        </w:rPr>
        <w:t>nominated judicial officer</w:t>
      </w:r>
      <w:r>
        <w:t>).</w:t>
      </w:r>
    </w:p>
    <w:p w14:paraId="32D61FE7" w14:textId="77777777" w:rsidR="003D4FF5" w:rsidRDefault="003D4FF5" w:rsidP="003D4FF5">
      <w:pPr>
        <w:pStyle w:val="Amain"/>
      </w:pPr>
      <w:r>
        <w:tab/>
        <w:t>(3)</w:t>
      </w:r>
      <w:r>
        <w:tab/>
        <w:t>If the court allocates a trial judicial officer for the trial, the trial judicial officer or nominated judicial officer must—</w:t>
      </w:r>
    </w:p>
    <w:p w14:paraId="5B92C000" w14:textId="77777777" w:rsidR="003D4FF5" w:rsidRDefault="003D4FF5" w:rsidP="003D4FF5">
      <w:pPr>
        <w:pStyle w:val="Apara"/>
      </w:pPr>
      <w:r>
        <w:tab/>
        <w:t>(a)</w:t>
      </w:r>
      <w:r>
        <w:tab/>
        <w:t>hear any application in the proceeding or application for directions in the proceeding before the trial; and</w:t>
      </w:r>
    </w:p>
    <w:p w14:paraId="27DCAD19" w14:textId="77777777" w:rsidR="003D4FF5" w:rsidRDefault="003D4FF5" w:rsidP="003D4FF5">
      <w:pPr>
        <w:pStyle w:val="Apara"/>
        <w:keepNext/>
      </w:pPr>
      <w:r>
        <w:tab/>
        <w:t>(b)</w:t>
      </w:r>
      <w:r>
        <w:tab/>
        <w:t>monitor compliance with any directions given in the proceeding.</w:t>
      </w:r>
    </w:p>
    <w:p w14:paraId="57E95D8A"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2EB65F96" w14:textId="77777777" w:rsidR="003D4FF5" w:rsidRDefault="003D4FF5" w:rsidP="003D4FF5">
      <w:pPr>
        <w:pStyle w:val="AH5Sec"/>
      </w:pPr>
      <w:bookmarkStart w:id="466" w:name="_Toc185514083"/>
      <w:r w:rsidRPr="00C8328B">
        <w:rPr>
          <w:rStyle w:val="CharSectNo"/>
        </w:rPr>
        <w:lastRenderedPageBreak/>
        <w:t>1327</w:t>
      </w:r>
      <w:r>
        <w:tab/>
        <w:t>Directions hearings and listing hearings—costs</w:t>
      </w:r>
      <w:bookmarkEnd w:id="466"/>
    </w:p>
    <w:p w14:paraId="257DB8EA" w14:textId="77777777" w:rsidR="003D4FF5" w:rsidRDefault="003D4FF5" w:rsidP="003D4FF5">
      <w:pPr>
        <w:pStyle w:val="Amainreturn"/>
        <w:keepNext/>
      </w:pPr>
      <w:r>
        <w:t>Unless the court otherwise orders, costs incurred by a party to a proceeding in relation to a directions hearing or listing hearing are costs in the cause.</w:t>
      </w:r>
    </w:p>
    <w:p w14:paraId="632B9E0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B5B7001" w14:textId="77777777" w:rsidR="003D4FF5" w:rsidRDefault="003D4FF5" w:rsidP="003D4FF5">
      <w:pPr>
        <w:pStyle w:val="PageBreak"/>
      </w:pPr>
      <w:r>
        <w:br w:type="page"/>
      </w:r>
    </w:p>
    <w:p w14:paraId="1DE4A5F1" w14:textId="77777777" w:rsidR="003D4FF5" w:rsidRPr="00C8328B" w:rsidRDefault="003D4FF5" w:rsidP="003D4FF5">
      <w:pPr>
        <w:pStyle w:val="AH2Part"/>
      </w:pPr>
      <w:bookmarkStart w:id="467" w:name="_Toc185514084"/>
      <w:r w:rsidRPr="00C8328B">
        <w:rPr>
          <w:rStyle w:val="CharPartNo"/>
        </w:rPr>
        <w:lastRenderedPageBreak/>
        <w:t>Part 2.14</w:t>
      </w:r>
      <w:r>
        <w:tab/>
      </w:r>
      <w:r w:rsidRPr="00C8328B">
        <w:rPr>
          <w:rStyle w:val="CharPartText"/>
        </w:rPr>
        <w:t>Court supervision</w:t>
      </w:r>
      <w:bookmarkEnd w:id="467"/>
    </w:p>
    <w:p w14:paraId="67BEBE47" w14:textId="77777777" w:rsidR="003D4FF5" w:rsidRPr="00C8328B" w:rsidRDefault="003D4FF5" w:rsidP="003D4FF5">
      <w:pPr>
        <w:pStyle w:val="AH3Div"/>
      </w:pPr>
      <w:bookmarkStart w:id="468" w:name="_Toc185514085"/>
      <w:r w:rsidRPr="00C8328B">
        <w:rPr>
          <w:rStyle w:val="CharDivNo"/>
        </w:rPr>
        <w:t>Division 2.14.1</w:t>
      </w:r>
      <w:r>
        <w:tab/>
      </w:r>
      <w:r w:rsidRPr="00C8328B">
        <w:rPr>
          <w:rStyle w:val="CharDivText"/>
        </w:rPr>
        <w:t>Directions</w:t>
      </w:r>
      <w:bookmarkEnd w:id="468"/>
    </w:p>
    <w:p w14:paraId="1B969EAF" w14:textId="77777777" w:rsidR="003D4FF5" w:rsidRDefault="003D4FF5" w:rsidP="003D4FF5">
      <w:pPr>
        <w:pStyle w:val="AH5Sec"/>
      </w:pPr>
      <w:bookmarkStart w:id="469" w:name="_Toc185514086"/>
      <w:r w:rsidRPr="00C8328B">
        <w:rPr>
          <w:rStyle w:val="CharSectNo"/>
        </w:rPr>
        <w:t>1400</w:t>
      </w:r>
      <w:r>
        <w:tab/>
        <w:t>Directions—application</w:t>
      </w:r>
      <w:bookmarkEnd w:id="469"/>
    </w:p>
    <w:p w14:paraId="7C5260D5" w14:textId="77777777" w:rsidR="003D4FF5" w:rsidRDefault="003D4FF5" w:rsidP="003D4FF5">
      <w:pPr>
        <w:pStyle w:val="Amain"/>
        <w:keepNext/>
      </w:pPr>
      <w:r>
        <w:tab/>
        <w:t>(1)</w:t>
      </w:r>
      <w:r>
        <w:tab/>
        <w:t>A party to a proceeding may, at any time, apply to the court for directions about the conduct of the proceeding.</w:t>
      </w:r>
    </w:p>
    <w:p w14:paraId="7F59D39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3417771D" w14:textId="77777777" w:rsidR="003D4FF5" w:rsidRDefault="003D4FF5" w:rsidP="003D4FF5">
      <w:pPr>
        <w:pStyle w:val="Amain"/>
        <w:keepNext/>
      </w:pPr>
      <w:r>
        <w:tab/>
        <w:t>(2)</w:t>
      </w:r>
      <w:r>
        <w:tab/>
        <w:t>A party to a proceeding may apply for directions either on an application for directions or on an application for other relief.</w:t>
      </w:r>
    </w:p>
    <w:p w14:paraId="034167FC" w14:textId="77777777" w:rsidR="003D4FF5" w:rsidRDefault="003D4FF5" w:rsidP="003D4FF5">
      <w:pPr>
        <w:pStyle w:val="AH5Sec"/>
      </w:pPr>
      <w:bookmarkStart w:id="470" w:name="_Toc185514087"/>
      <w:r w:rsidRPr="00C8328B">
        <w:rPr>
          <w:rStyle w:val="CharSectNo"/>
        </w:rPr>
        <w:t>1401</w:t>
      </w:r>
      <w:r>
        <w:tab/>
        <w:t>Directions generally</w:t>
      </w:r>
      <w:bookmarkEnd w:id="470"/>
    </w:p>
    <w:p w14:paraId="7F3ED6DB" w14:textId="77777777"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28C58520" w14:textId="77777777" w:rsidR="003D4FF5" w:rsidRDefault="003D4FF5" w:rsidP="003D4FF5">
      <w:pPr>
        <w:pStyle w:val="Amain"/>
        <w:keepNext/>
      </w:pPr>
      <w:r>
        <w:tab/>
        <w:t>(2)</w:t>
      </w:r>
      <w:r>
        <w:tab/>
        <w:t>The court may give a direction about the conduct of the proceeding on application by a party or on its own initiative.</w:t>
      </w:r>
    </w:p>
    <w:p w14:paraId="3C90E6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1DF61FCE" w14:textId="77777777" w:rsidR="003D4FF5" w:rsidRDefault="003D4FF5" w:rsidP="003D4FF5">
      <w:pPr>
        <w:pStyle w:val="Amain"/>
      </w:pPr>
      <w:r>
        <w:tab/>
        <w:t>(3)</w:t>
      </w:r>
      <w:r>
        <w:tab/>
        <w:t>In deciding whether to give a direction under this rule, the interests of justice are paramount.</w:t>
      </w:r>
    </w:p>
    <w:p w14:paraId="062EE20E" w14:textId="77777777" w:rsidR="003D4FF5" w:rsidRDefault="003D4FF5" w:rsidP="003D4FF5">
      <w:pPr>
        <w:pStyle w:val="Amain"/>
        <w:keepNext/>
      </w:pPr>
      <w:r>
        <w:tab/>
        <w:t>(4)</w:t>
      </w:r>
      <w:r>
        <w:tab/>
        <w:t>Without limiting subrule (1), the court may, at any time, do any of the following in relation to a hearing of a proceeding:</w:t>
      </w:r>
    </w:p>
    <w:p w14:paraId="4FA2D9C0" w14:textId="77777777" w:rsidR="003D4FF5" w:rsidRDefault="003D4FF5" w:rsidP="003D4FF5">
      <w:pPr>
        <w:pStyle w:val="Apara"/>
      </w:pPr>
      <w:r>
        <w:tab/>
        <w:t>(a)</w:t>
      </w:r>
      <w:r>
        <w:tab/>
        <w:t>require copies of pleadings for use by the court before the hearing;</w:t>
      </w:r>
    </w:p>
    <w:p w14:paraId="35886A1A" w14:textId="77777777" w:rsidR="003D4FF5" w:rsidRDefault="003D4FF5" w:rsidP="003D4FF5">
      <w:pPr>
        <w:pStyle w:val="Apara"/>
      </w:pPr>
      <w:r>
        <w:tab/>
        <w:t>(b)</w:t>
      </w:r>
      <w:r>
        <w:tab/>
        <w:t>require the parties to define, in writing, the issues for decision by the court;</w:t>
      </w:r>
    </w:p>
    <w:p w14:paraId="4D5B28A2" w14:textId="77777777" w:rsidR="003D4FF5" w:rsidRDefault="003D4FF5" w:rsidP="003D4FF5">
      <w:pPr>
        <w:pStyle w:val="Apara"/>
      </w:pPr>
      <w:r>
        <w:lastRenderedPageBreak/>
        <w:tab/>
        <w:t>(c)</w:t>
      </w:r>
      <w:r>
        <w:tab/>
        <w:t>set a timetable for the conduct of the hearing or any steps in the proceeding;</w:t>
      </w:r>
    </w:p>
    <w:p w14:paraId="3D32A9BD" w14:textId="77777777" w:rsidR="003D4FF5" w:rsidRDefault="003D4FF5" w:rsidP="003D4FF5">
      <w:pPr>
        <w:pStyle w:val="Apara"/>
      </w:pPr>
      <w:r>
        <w:tab/>
        <w:t>(d)</w:t>
      </w:r>
      <w:r>
        <w:tab/>
        <w:t>limit the time to be taken by the hearing;</w:t>
      </w:r>
    </w:p>
    <w:p w14:paraId="5BA69E29" w14:textId="77777777" w:rsidR="003D4FF5" w:rsidRDefault="003D4FF5" w:rsidP="003D4FF5">
      <w:pPr>
        <w:pStyle w:val="Apara"/>
      </w:pPr>
      <w:r>
        <w:tab/>
        <w:t>(e)</w:t>
      </w:r>
      <w:r>
        <w:tab/>
        <w:t>limit the time to be taken by a party in presenting the party’s case;</w:t>
      </w:r>
    </w:p>
    <w:p w14:paraId="220E7751" w14:textId="77777777" w:rsidR="003D4FF5" w:rsidRDefault="003D4FF5" w:rsidP="003D4FF5">
      <w:pPr>
        <w:pStyle w:val="Apara"/>
      </w:pPr>
      <w:r>
        <w:tab/>
        <w:t>(f)</w:t>
      </w:r>
      <w:r>
        <w:tab/>
        <w:t>require Scott schedules to be filed;</w:t>
      </w:r>
    </w:p>
    <w:p w14:paraId="200431E6" w14:textId="77777777" w:rsidR="003D4FF5" w:rsidRDefault="003D4FF5" w:rsidP="003D4FF5">
      <w:pPr>
        <w:pStyle w:val="Apara"/>
      </w:pPr>
      <w:r>
        <w:tab/>
        <w:t>(g)</w:t>
      </w:r>
      <w:r>
        <w:tab/>
        <w:t>require evidence to be given by affidavit, orally or in some other form;</w:t>
      </w:r>
    </w:p>
    <w:p w14:paraId="5BFB055E" w14:textId="77777777" w:rsidR="003D4FF5" w:rsidRDefault="003D4FF5" w:rsidP="003D4FF5">
      <w:pPr>
        <w:pStyle w:val="Apara"/>
      </w:pPr>
      <w:r>
        <w:tab/>
        <w:t>(h)</w:t>
      </w:r>
      <w:r>
        <w:tab/>
        <w:t>require the service or exchange of expert reports and the holding of conferences of experts;</w:t>
      </w:r>
    </w:p>
    <w:p w14:paraId="4809C58F" w14:textId="77777777" w:rsidR="003D4FF5" w:rsidRDefault="003D4FF5" w:rsidP="003D4FF5">
      <w:pPr>
        <w:pStyle w:val="Apara"/>
      </w:pPr>
      <w:r>
        <w:tab/>
        <w:t>(i)</w:t>
      </w:r>
      <w:r>
        <w:tab/>
        <w:t>limit the number of witnesses (including expert witnesses) a party may call on a particular issue;</w:t>
      </w:r>
    </w:p>
    <w:p w14:paraId="39ECD3B2" w14:textId="77777777" w:rsidR="003D4FF5" w:rsidRDefault="003D4FF5" w:rsidP="003D4FF5">
      <w:pPr>
        <w:pStyle w:val="Apara"/>
      </w:pPr>
      <w:r>
        <w:tab/>
        <w:t>(j)</w:t>
      </w:r>
      <w:r>
        <w:tab/>
        <w:t>limit the time to be taken in examining, cross-examining or re-examining a witness;</w:t>
      </w:r>
    </w:p>
    <w:p w14:paraId="4D8217D9" w14:textId="77777777" w:rsidR="003D4FF5" w:rsidRDefault="003D4FF5" w:rsidP="003D4FF5">
      <w:pPr>
        <w:pStyle w:val="Apara"/>
      </w:pPr>
      <w:r>
        <w:tab/>
        <w:t>(k)</w:t>
      </w:r>
      <w:r>
        <w:tab/>
        <w:t>require the use of telephone or video conference facilities, videotapes, film projection, computer and other equipment and technology;</w:t>
      </w:r>
    </w:p>
    <w:p w14:paraId="12D9C4EA" w14:textId="77777777" w:rsidR="003D4FF5" w:rsidRDefault="003D4FF5" w:rsidP="003D4FF5">
      <w:pPr>
        <w:pStyle w:val="Apara"/>
      </w:pPr>
      <w:r>
        <w:tab/>
        <w:t>(l)</w:t>
      </w:r>
      <w:r>
        <w:tab/>
        <w:t>require submissions to be made in the way the court directs, for example, in writing, orally, or by a combination of written and oral submission;</w:t>
      </w:r>
    </w:p>
    <w:p w14:paraId="4763F9C2" w14:textId="77777777" w:rsidR="003D4FF5" w:rsidRDefault="003D4FF5" w:rsidP="003D4FF5">
      <w:pPr>
        <w:pStyle w:val="Apara"/>
      </w:pPr>
      <w:r>
        <w:tab/>
        <w:t>(m)</w:t>
      </w:r>
      <w:r>
        <w:tab/>
        <w:t>limit the time to be taken in making an oral submission;</w:t>
      </w:r>
    </w:p>
    <w:p w14:paraId="61715C85" w14:textId="77777777" w:rsidR="003D4FF5" w:rsidRDefault="003D4FF5" w:rsidP="003D4FF5">
      <w:pPr>
        <w:pStyle w:val="Apara"/>
      </w:pPr>
      <w:r>
        <w:tab/>
        <w:t>(n)</w:t>
      </w:r>
      <w:r>
        <w:tab/>
        <w:t>limit the length of a written submission or affidavit;</w:t>
      </w:r>
    </w:p>
    <w:p w14:paraId="54F73A60" w14:textId="77777777" w:rsidR="003D4FF5" w:rsidRDefault="003D4FF5" w:rsidP="003D4FF5">
      <w:pPr>
        <w:pStyle w:val="Apara"/>
      </w:pPr>
      <w:r>
        <w:tab/>
        <w:t>(o)</w:t>
      </w:r>
      <w:r>
        <w:tab/>
        <w:t>require the parties, before the hearing, to provide statements of witnesses the parties intend to call;</w:t>
      </w:r>
    </w:p>
    <w:p w14:paraId="2B874978" w14:textId="77777777" w:rsidR="003D4FF5" w:rsidRDefault="003D4FF5" w:rsidP="003D4FF5">
      <w:pPr>
        <w:pStyle w:val="Apara"/>
      </w:pPr>
      <w:r>
        <w:tab/>
        <w:t>(p)</w:t>
      </w:r>
      <w:r>
        <w:tab/>
        <w:t>refer the proceeding to another judicial officer for further directions;</w:t>
      </w:r>
    </w:p>
    <w:p w14:paraId="001A5D36" w14:textId="77777777" w:rsidR="003D4FF5" w:rsidRDefault="003D4FF5" w:rsidP="003D4FF5">
      <w:pPr>
        <w:pStyle w:val="Apara"/>
      </w:pPr>
      <w:r>
        <w:tab/>
        <w:t>(q)</w:t>
      </w:r>
      <w:r>
        <w:tab/>
        <w:t>order that a counterclaim be heard separately from the hearing for the proceeding in which the counterclaim is made;</w:t>
      </w:r>
    </w:p>
    <w:p w14:paraId="0E768137" w14:textId="77777777"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14:paraId="7347CEFB" w14:textId="77777777" w:rsidR="003D4FF5" w:rsidRDefault="003D4FF5" w:rsidP="003D4FF5">
      <w:pPr>
        <w:pStyle w:val="Apara"/>
      </w:pPr>
      <w:r>
        <w:tab/>
        <w:t>(s)</w:t>
      </w:r>
      <w:r>
        <w:tab/>
        <w:t>give directions about the order of evidence and addresses and the conduct of the trial generally;</w:t>
      </w:r>
    </w:p>
    <w:p w14:paraId="24DC5DA4" w14:textId="77777777" w:rsidR="003D4FF5" w:rsidRDefault="003D4FF5" w:rsidP="003D4FF5">
      <w:pPr>
        <w:pStyle w:val="Apara"/>
        <w:keepNext/>
      </w:pPr>
      <w:r>
        <w:tab/>
        <w:t>(t)</w:t>
      </w:r>
      <w:r>
        <w:tab/>
        <w:t>give any other direction the court considers appropriate.</w:t>
      </w:r>
    </w:p>
    <w:p w14:paraId="35011C31" w14:textId="77777777"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14:paraId="06A365D0" w14:textId="77777777" w:rsidR="003D4FF5" w:rsidRDefault="003D4FF5" w:rsidP="003D4FF5">
      <w:pPr>
        <w:pStyle w:val="Apara"/>
      </w:pPr>
      <w:r>
        <w:tab/>
        <w:t>(a)</w:t>
      </w:r>
      <w:r>
        <w:tab/>
        <w:t>that each party is entitled to a fair hearing;</w:t>
      </w:r>
    </w:p>
    <w:p w14:paraId="45858027" w14:textId="77777777" w:rsidR="003D4FF5" w:rsidRDefault="003D4FF5" w:rsidP="003D4FF5">
      <w:pPr>
        <w:pStyle w:val="Apara"/>
      </w:pPr>
      <w:r>
        <w:tab/>
        <w:t>(b)</w:t>
      </w:r>
      <w:r>
        <w:tab/>
        <w:t>that the time allowed for taking a step in the proceeding or for the hearing must be reasonable;</w:t>
      </w:r>
    </w:p>
    <w:p w14:paraId="2D923CB9" w14:textId="77777777" w:rsidR="003D4FF5" w:rsidRDefault="003D4FF5" w:rsidP="003D4FF5">
      <w:pPr>
        <w:pStyle w:val="Apara"/>
      </w:pPr>
      <w:r>
        <w:tab/>
        <w:t>(c)</w:t>
      </w:r>
      <w:r>
        <w:tab/>
        <w:t>the complexity or simplicity of the case;</w:t>
      </w:r>
    </w:p>
    <w:p w14:paraId="5E3055E7" w14:textId="77777777" w:rsidR="003D4FF5" w:rsidRDefault="003D4FF5" w:rsidP="003D4FF5">
      <w:pPr>
        <w:pStyle w:val="Apara"/>
      </w:pPr>
      <w:r>
        <w:tab/>
        <w:t>(d)</w:t>
      </w:r>
      <w:r>
        <w:tab/>
        <w:t>the importance of the issues and the case as a whole;</w:t>
      </w:r>
    </w:p>
    <w:p w14:paraId="7F5C70CE" w14:textId="77777777" w:rsidR="003D4FF5" w:rsidRDefault="003D4FF5" w:rsidP="003D4FF5">
      <w:pPr>
        <w:pStyle w:val="Apara"/>
      </w:pPr>
      <w:r>
        <w:tab/>
        <w:t>(e)</w:t>
      </w:r>
      <w:r>
        <w:tab/>
        <w:t>the volume and character of the evidence to be led;</w:t>
      </w:r>
    </w:p>
    <w:p w14:paraId="186092A3" w14:textId="77777777" w:rsidR="003D4FF5" w:rsidRDefault="003D4FF5" w:rsidP="003D4FF5">
      <w:pPr>
        <w:pStyle w:val="Apara"/>
      </w:pPr>
      <w:r>
        <w:tab/>
        <w:t>(f)</w:t>
      </w:r>
      <w:r>
        <w:tab/>
        <w:t>the time expected to be taken by the hearing;</w:t>
      </w:r>
    </w:p>
    <w:p w14:paraId="4BE63E2C" w14:textId="77777777" w:rsidR="003D4FF5" w:rsidRDefault="003D4FF5" w:rsidP="003D4FF5">
      <w:pPr>
        <w:pStyle w:val="Apara"/>
      </w:pPr>
      <w:r>
        <w:tab/>
        <w:t>(g)</w:t>
      </w:r>
      <w:r>
        <w:tab/>
        <w:t>the number of witnesses to be called by the parties;</w:t>
      </w:r>
    </w:p>
    <w:p w14:paraId="5AEBF859" w14:textId="77777777" w:rsidR="003D4FF5" w:rsidRDefault="003D4FF5" w:rsidP="003D4FF5">
      <w:pPr>
        <w:pStyle w:val="Apara"/>
      </w:pPr>
      <w:r>
        <w:tab/>
        <w:t>(h)</w:t>
      </w:r>
      <w:r>
        <w:tab/>
        <w:t>that each party must be given a reasonable opportunity to lead evidence and cross-examine witnesses;</w:t>
      </w:r>
    </w:p>
    <w:p w14:paraId="29A34A6C" w14:textId="77777777" w:rsidR="003D4FF5" w:rsidRDefault="003D4FF5" w:rsidP="003D4FF5">
      <w:pPr>
        <w:pStyle w:val="Apara"/>
      </w:pPr>
      <w:r>
        <w:tab/>
        <w:t>(i)</w:t>
      </w:r>
      <w:r>
        <w:tab/>
        <w:t>the state of the court lists;</w:t>
      </w:r>
    </w:p>
    <w:p w14:paraId="786ACDC6" w14:textId="77777777" w:rsidR="003D4FF5" w:rsidRDefault="003D4FF5" w:rsidP="003D4FF5">
      <w:pPr>
        <w:pStyle w:val="Apara"/>
      </w:pPr>
      <w:r>
        <w:tab/>
        <w:t>(j)</w:t>
      </w:r>
      <w:r>
        <w:tab/>
        <w:t>any other relevant matter.</w:t>
      </w:r>
    </w:p>
    <w:p w14:paraId="34651C24" w14:textId="77777777" w:rsidR="003D4FF5" w:rsidRDefault="003D4FF5" w:rsidP="003D4FF5">
      <w:pPr>
        <w:pStyle w:val="Amain"/>
      </w:pPr>
      <w:r>
        <w:tab/>
        <w:t>(6)</w:t>
      </w:r>
      <w:r>
        <w:tab/>
        <w:t>If a direction under this rule is inconsistent with another provision of these rules, the direction prevails to the extent of the inconsistency.</w:t>
      </w:r>
    </w:p>
    <w:p w14:paraId="25F56A9F" w14:textId="77777777" w:rsidR="003D4FF5" w:rsidRDefault="003D4FF5" w:rsidP="003D4FF5">
      <w:pPr>
        <w:pStyle w:val="Amain"/>
      </w:pPr>
      <w:r>
        <w:tab/>
        <w:t>(7)</w:t>
      </w:r>
      <w:r>
        <w:tab/>
        <w:t>The court may at any time amend or revoke a direction made under this rule.</w:t>
      </w:r>
    </w:p>
    <w:p w14:paraId="53080B8F" w14:textId="77777777" w:rsidR="003D4FF5" w:rsidRDefault="003D4FF5" w:rsidP="003D4FF5">
      <w:pPr>
        <w:pStyle w:val="Amain"/>
        <w:keepNext/>
      </w:pPr>
      <w:r>
        <w:lastRenderedPageBreak/>
        <w:tab/>
        <w:t>(8)</w:t>
      </w:r>
      <w:r>
        <w:tab/>
        <w:t>The court may amend or revoke a direction made under this rule on application by a party or on its own initiative.</w:t>
      </w:r>
    </w:p>
    <w:p w14:paraId="76B056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14:paraId="65FFA960" w14:textId="77777777" w:rsidR="003D4FF5" w:rsidRDefault="003D4FF5" w:rsidP="003D4FF5">
      <w:pPr>
        <w:pStyle w:val="Amain"/>
        <w:keepNext/>
      </w:pPr>
      <w:r>
        <w:tab/>
        <w:t>(9)</w:t>
      </w:r>
      <w:r>
        <w:tab/>
        <w:t>The powers of the court under this rule are additional to any other powers of the court under a territory law.</w:t>
      </w:r>
    </w:p>
    <w:p w14:paraId="1C11C814" w14:textId="2E51DDBB"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38" w:tooltip="A2001-14" w:history="1">
        <w:r w:rsidRPr="005A5F43">
          <w:rPr>
            <w:rStyle w:val="charCitHyperlinkAbbrev"/>
          </w:rPr>
          <w:t>Legislation Act</w:t>
        </w:r>
      </w:hyperlink>
      <w:r>
        <w:t>, s 98).</w:t>
      </w:r>
    </w:p>
    <w:p w14:paraId="713578EF" w14:textId="77777777" w:rsidR="003D4FF5" w:rsidRDefault="003D4FF5" w:rsidP="003D4FF5">
      <w:pPr>
        <w:pStyle w:val="AH5Sec"/>
      </w:pPr>
      <w:bookmarkStart w:id="471" w:name="_Toc185514088"/>
      <w:r w:rsidRPr="00C8328B">
        <w:rPr>
          <w:rStyle w:val="CharSectNo"/>
        </w:rPr>
        <w:t>1402</w:t>
      </w:r>
      <w:r>
        <w:tab/>
        <w:t>Proceeding already being managed by court</w:t>
      </w:r>
      <w:bookmarkEnd w:id="471"/>
    </w:p>
    <w:p w14:paraId="2B6D6894" w14:textId="77777777" w:rsidR="003D4FF5" w:rsidRPr="00C754DF" w:rsidRDefault="003D4FF5" w:rsidP="003D4FF5">
      <w:pPr>
        <w:pStyle w:val="Amain"/>
      </w:pPr>
      <w:r w:rsidRPr="00C754DF">
        <w:tab/>
        <w:t>(1)</w:t>
      </w:r>
      <w:r w:rsidRPr="00C754DF">
        <w:tab/>
        <w:t>If, under these rules, a particular judicial officer has been allocated to manage a proceeding—</w:t>
      </w:r>
    </w:p>
    <w:p w14:paraId="1F51C411" w14:textId="77777777"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14:paraId="1EDB92E6" w14:textId="77777777"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14:paraId="689F4969" w14:textId="77777777" w:rsidR="003D4FF5" w:rsidRDefault="003D4FF5" w:rsidP="003D4FF5">
      <w:pPr>
        <w:pStyle w:val="Amain"/>
        <w:keepNext/>
      </w:pPr>
      <w:r>
        <w:tab/>
        <w:t>(2)</w:t>
      </w:r>
      <w:r>
        <w:tab/>
        <w:t>The court may make a direction under this rule on application by a party or on its own initiative.</w:t>
      </w:r>
    </w:p>
    <w:p w14:paraId="41D0226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14:paraId="23C903F7" w14:textId="77777777" w:rsidR="003D4FF5" w:rsidRDefault="003D4FF5" w:rsidP="003D4FF5">
      <w:pPr>
        <w:pStyle w:val="AH5Sec"/>
      </w:pPr>
      <w:bookmarkStart w:id="472" w:name="_Toc185514089"/>
      <w:r w:rsidRPr="00C8328B">
        <w:rPr>
          <w:rStyle w:val="CharSectNo"/>
        </w:rPr>
        <w:t>1403</w:t>
      </w:r>
      <w:r>
        <w:tab/>
        <w:t>Decision in proceeding</w:t>
      </w:r>
      <w:bookmarkEnd w:id="472"/>
    </w:p>
    <w:p w14:paraId="71A9E009" w14:textId="77777777" w:rsidR="003D4FF5" w:rsidRDefault="003D4FF5" w:rsidP="003D4FF5">
      <w:pPr>
        <w:pStyle w:val="Amainreturn"/>
      </w:pPr>
      <w:r>
        <w:t>If the parties agree, the court may hear and decide a proceeding on an application for directions.</w:t>
      </w:r>
    </w:p>
    <w:p w14:paraId="1D04BA26" w14:textId="77777777" w:rsidR="003D4FF5" w:rsidRDefault="003D4FF5" w:rsidP="003D4FF5">
      <w:pPr>
        <w:pStyle w:val="AH5Sec"/>
      </w:pPr>
      <w:bookmarkStart w:id="473" w:name="_Toc185514090"/>
      <w:r w:rsidRPr="00C8328B">
        <w:rPr>
          <w:rStyle w:val="CharSectNo"/>
        </w:rPr>
        <w:t>1404</w:t>
      </w:r>
      <w:r>
        <w:tab/>
        <w:t>Failure to comply with direction etc</w:t>
      </w:r>
      <w:bookmarkEnd w:id="473"/>
    </w:p>
    <w:p w14:paraId="59660777" w14:textId="77777777" w:rsidR="003D4FF5" w:rsidRDefault="003D4FF5" w:rsidP="003D4FF5">
      <w:pPr>
        <w:pStyle w:val="Amain"/>
      </w:pPr>
      <w:r>
        <w:tab/>
        <w:t>(1)</w:t>
      </w:r>
      <w:r>
        <w:tab/>
        <w:t>This rule applies if a party—</w:t>
      </w:r>
    </w:p>
    <w:p w14:paraId="3A393AE5" w14:textId="77777777" w:rsidR="003D4FF5" w:rsidRDefault="003D4FF5" w:rsidP="003D4FF5">
      <w:pPr>
        <w:pStyle w:val="Apara"/>
      </w:pPr>
      <w:r>
        <w:tab/>
        <w:t>(a)</w:t>
      </w:r>
      <w:r>
        <w:tab/>
        <w:t>after receiving notice of a directions or listing hearing, in a proceeding, does not attend the hearing; or</w:t>
      </w:r>
    </w:p>
    <w:p w14:paraId="409534CA" w14:textId="77777777" w:rsidR="003D4FF5" w:rsidRDefault="003D4FF5" w:rsidP="003D4FF5">
      <w:pPr>
        <w:pStyle w:val="Apara"/>
      </w:pPr>
      <w:r>
        <w:lastRenderedPageBreak/>
        <w:tab/>
        <w:t>(b)</w:t>
      </w:r>
      <w:r>
        <w:tab/>
        <w:t>fails to comply with a direction about the conduct of a proceeding.</w:t>
      </w:r>
    </w:p>
    <w:p w14:paraId="3716FBCE" w14:textId="77777777" w:rsidR="003D4FF5" w:rsidRDefault="003D4FF5" w:rsidP="003D4FF5">
      <w:pPr>
        <w:pStyle w:val="Amain"/>
        <w:keepNext/>
      </w:pPr>
      <w:r>
        <w:tab/>
        <w:t>(2)</w:t>
      </w:r>
      <w:r>
        <w:tab/>
        <w:t>The court may do any of the following:</w:t>
      </w:r>
    </w:p>
    <w:p w14:paraId="07C6E030" w14:textId="77777777" w:rsidR="003D4FF5" w:rsidRDefault="003D4FF5" w:rsidP="003D4FF5">
      <w:pPr>
        <w:pStyle w:val="Apara"/>
      </w:pPr>
      <w:r>
        <w:tab/>
        <w:t>(a)</w:t>
      </w:r>
      <w:r>
        <w:tab/>
        <w:t>give the further directions it considers appropriate;</w:t>
      </w:r>
    </w:p>
    <w:p w14:paraId="73933673" w14:textId="77777777" w:rsidR="003D4FF5" w:rsidRDefault="003D4FF5" w:rsidP="003D4FF5">
      <w:pPr>
        <w:pStyle w:val="Apara"/>
      </w:pPr>
      <w:r>
        <w:tab/>
        <w:t>(b)</w:t>
      </w:r>
      <w:r>
        <w:tab/>
        <w:t>dismiss the application or proceeding;</w:t>
      </w:r>
    </w:p>
    <w:p w14:paraId="719CCFA3" w14:textId="77777777" w:rsidR="003D4FF5" w:rsidRDefault="003D4FF5" w:rsidP="003D4FF5">
      <w:pPr>
        <w:pStyle w:val="Apara"/>
      </w:pPr>
      <w:r>
        <w:tab/>
        <w:t>(c)</w:t>
      </w:r>
      <w:r>
        <w:tab/>
        <w:t>make an order for costs for or against a party;</w:t>
      </w:r>
    </w:p>
    <w:p w14:paraId="27D695C7" w14:textId="77777777" w:rsidR="003D4FF5" w:rsidRPr="00C754DF" w:rsidRDefault="003D4FF5" w:rsidP="003D4FF5">
      <w:pPr>
        <w:pStyle w:val="Apara"/>
      </w:pPr>
      <w:r w:rsidRPr="00C754DF">
        <w:tab/>
        <w:t>(</w:t>
      </w:r>
      <w:r>
        <w:t>d</w:t>
      </w:r>
      <w:r w:rsidRPr="00C754DF">
        <w:t>)</w:t>
      </w:r>
      <w:r w:rsidRPr="00C754DF">
        <w:tab/>
        <w:t>adjourn the application or hearing;</w:t>
      </w:r>
    </w:p>
    <w:p w14:paraId="6E3CCCFB" w14:textId="77777777" w:rsidR="003D4FF5" w:rsidRDefault="003D4FF5" w:rsidP="003D4FF5">
      <w:pPr>
        <w:pStyle w:val="Apara"/>
      </w:pPr>
      <w:r>
        <w:tab/>
        <w:t>(e)</w:t>
      </w:r>
      <w:r>
        <w:tab/>
        <w:t>make another order dealing with the proceeding it considers appropriate.</w:t>
      </w:r>
    </w:p>
    <w:p w14:paraId="2D90A349" w14:textId="77777777"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14:paraId="20D4E2CA" w14:textId="77777777" w:rsidR="003D4FF5" w:rsidRPr="00C754DF" w:rsidRDefault="003D4FF5" w:rsidP="003D4FF5">
      <w:pPr>
        <w:pStyle w:val="Apara"/>
      </w:pPr>
      <w:r w:rsidRPr="00C754DF">
        <w:tab/>
        <w:t>(a)</w:t>
      </w:r>
      <w:r w:rsidRPr="00C754DF">
        <w:tab/>
        <w:t>requests for particulars;</w:t>
      </w:r>
    </w:p>
    <w:p w14:paraId="220D2CDC" w14:textId="77777777" w:rsidR="003D4FF5" w:rsidRPr="00C754DF" w:rsidRDefault="003D4FF5" w:rsidP="003D4FF5">
      <w:pPr>
        <w:pStyle w:val="Apara"/>
      </w:pPr>
      <w:r w:rsidRPr="00C754DF">
        <w:tab/>
        <w:t>(b)</w:t>
      </w:r>
      <w:r w:rsidRPr="00C754DF">
        <w:tab/>
        <w:t>filing further pleadings;</w:t>
      </w:r>
    </w:p>
    <w:p w14:paraId="6E7EC6B7" w14:textId="77777777" w:rsidR="003D4FF5" w:rsidRPr="00C754DF" w:rsidRDefault="003D4FF5" w:rsidP="003D4FF5">
      <w:pPr>
        <w:pStyle w:val="Apara"/>
      </w:pPr>
      <w:r w:rsidRPr="00C754DF">
        <w:tab/>
        <w:t>(c)</w:t>
      </w:r>
      <w:r w:rsidRPr="00C754DF">
        <w:tab/>
        <w:t>amending pleadings;</w:t>
      </w:r>
    </w:p>
    <w:p w14:paraId="109A4FAC" w14:textId="77777777" w:rsidR="003D4FF5" w:rsidRPr="00C754DF" w:rsidRDefault="003D4FF5" w:rsidP="003D4FF5">
      <w:pPr>
        <w:pStyle w:val="Apara"/>
      </w:pPr>
      <w:r w:rsidRPr="00C754DF">
        <w:tab/>
        <w:t>(d)</w:t>
      </w:r>
      <w:r w:rsidRPr="00C754DF">
        <w:tab/>
        <w:t>challenges to any pleading;</w:t>
      </w:r>
    </w:p>
    <w:p w14:paraId="0AEF3043" w14:textId="77777777" w:rsidR="003D4FF5" w:rsidRPr="00C754DF" w:rsidRDefault="003D4FF5" w:rsidP="003D4FF5">
      <w:pPr>
        <w:pStyle w:val="Apara"/>
      </w:pPr>
      <w:r w:rsidRPr="00C754DF">
        <w:tab/>
        <w:t>(e)</w:t>
      </w:r>
      <w:r w:rsidRPr="00C754DF">
        <w:tab/>
        <w:t>discovery, either in full or limited to particular issues;</w:t>
      </w:r>
    </w:p>
    <w:p w14:paraId="151B255A" w14:textId="77777777" w:rsidR="003D4FF5" w:rsidRPr="00C754DF" w:rsidRDefault="003D4FF5" w:rsidP="003D4FF5">
      <w:pPr>
        <w:pStyle w:val="Apara"/>
      </w:pPr>
      <w:r w:rsidRPr="00C754DF">
        <w:tab/>
        <w:t>(f)</w:t>
      </w:r>
      <w:r w:rsidRPr="00C754DF">
        <w:tab/>
        <w:t>interrogatories;</w:t>
      </w:r>
    </w:p>
    <w:p w14:paraId="4D74AB36" w14:textId="77777777" w:rsidR="003D4FF5" w:rsidRPr="00C754DF" w:rsidRDefault="003D4FF5" w:rsidP="003D4FF5">
      <w:pPr>
        <w:pStyle w:val="Apara"/>
      </w:pPr>
      <w:r w:rsidRPr="00C754DF">
        <w:tab/>
        <w:t>(g)</w:t>
      </w:r>
      <w:r w:rsidRPr="00C754DF">
        <w:tab/>
        <w:t>alternative dispute resolution, including mediation;</w:t>
      </w:r>
    </w:p>
    <w:p w14:paraId="0FD91554" w14:textId="77777777" w:rsidR="003D4FF5" w:rsidRPr="00C754DF" w:rsidRDefault="003D4FF5" w:rsidP="003D4FF5">
      <w:pPr>
        <w:pStyle w:val="Apara"/>
      </w:pPr>
      <w:r w:rsidRPr="00C754DF">
        <w:tab/>
        <w:t>(h)</w:t>
      </w:r>
      <w:r w:rsidRPr="00C754DF">
        <w:tab/>
        <w:t>statements of agreed facts;</w:t>
      </w:r>
    </w:p>
    <w:p w14:paraId="161401C6" w14:textId="77777777" w:rsidR="003D4FF5" w:rsidRPr="00C754DF" w:rsidRDefault="003D4FF5" w:rsidP="003D4FF5">
      <w:pPr>
        <w:pStyle w:val="Apara"/>
      </w:pPr>
      <w:r w:rsidRPr="00C754DF">
        <w:tab/>
        <w:t>(i)</w:t>
      </w:r>
      <w:r w:rsidRPr="00C754DF">
        <w:tab/>
        <w:t>evidence by affidavit;</w:t>
      </w:r>
    </w:p>
    <w:p w14:paraId="1894BCA2" w14:textId="77777777" w:rsidR="003D4FF5" w:rsidRPr="00C754DF" w:rsidRDefault="003D4FF5" w:rsidP="003D4FF5">
      <w:pPr>
        <w:pStyle w:val="Apara"/>
      </w:pPr>
      <w:r w:rsidRPr="00C754DF">
        <w:tab/>
        <w:t>(j)</w:t>
      </w:r>
      <w:r w:rsidRPr="00C754DF">
        <w:tab/>
        <w:t>service or exchange of expert reports.</w:t>
      </w:r>
    </w:p>
    <w:p w14:paraId="1D155311" w14:textId="77777777"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14:paraId="56208033" w14:textId="77777777" w:rsidR="003D4FF5" w:rsidRDefault="003D4FF5" w:rsidP="003D4FF5">
      <w:pPr>
        <w:pStyle w:val="Amain"/>
        <w:keepNext/>
      </w:pPr>
      <w:r>
        <w:lastRenderedPageBreak/>
        <w:tab/>
        <w:t>(4)</w:t>
      </w:r>
      <w:r>
        <w:tab/>
        <w:t>The court may act under this rule on application by a party or on its own initiative.</w:t>
      </w:r>
    </w:p>
    <w:p w14:paraId="37E31A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E727DB7" w14:textId="77777777" w:rsidR="003D4FF5" w:rsidRDefault="003D4FF5" w:rsidP="003D4FF5">
      <w:pPr>
        <w:pStyle w:val="Amain"/>
      </w:pPr>
      <w:r>
        <w:tab/>
        <w:t>(5)</w:t>
      </w:r>
      <w:r>
        <w:tab/>
        <w:t>In deciding whether to dismiss the application or proceeding, the court must have regard to the principle that the interests of justice are paramount.</w:t>
      </w:r>
    </w:p>
    <w:p w14:paraId="294D8A02" w14:textId="77777777" w:rsidR="003D4FF5" w:rsidRPr="00C8328B" w:rsidRDefault="003D4FF5" w:rsidP="003D4FF5">
      <w:pPr>
        <w:pStyle w:val="AH3Div"/>
      </w:pPr>
      <w:bookmarkStart w:id="474" w:name="_Toc185514091"/>
      <w:r w:rsidRPr="00C8328B">
        <w:rPr>
          <w:rStyle w:val="CharDivNo"/>
        </w:rPr>
        <w:t>Division 2.14.1A</w:t>
      </w:r>
      <w:r>
        <w:tab/>
      </w:r>
      <w:r w:rsidRPr="00C8328B">
        <w:rPr>
          <w:rStyle w:val="CharDivText"/>
        </w:rPr>
        <w:t>Transfer of proceedings between courts</w:t>
      </w:r>
      <w:bookmarkEnd w:id="474"/>
    </w:p>
    <w:p w14:paraId="1EB42EDE" w14:textId="77777777" w:rsidR="003D4FF5" w:rsidRDefault="003D4FF5" w:rsidP="003D4FF5">
      <w:pPr>
        <w:pStyle w:val="AH5Sec"/>
      </w:pPr>
      <w:bookmarkStart w:id="475" w:name="_Toc185514092"/>
      <w:r w:rsidRPr="00C8328B">
        <w:rPr>
          <w:rStyle w:val="CharSectNo"/>
        </w:rPr>
        <w:t>1430</w:t>
      </w:r>
      <w:r>
        <w:tab/>
        <w:t>Transfer of proceeding from Supreme Court to Magistrates Court—application</w:t>
      </w:r>
      <w:bookmarkEnd w:id="475"/>
    </w:p>
    <w:p w14:paraId="0176C0B6" w14:textId="77777777"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14:paraId="43CBB33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8A778E2" w14:textId="77777777" w:rsidR="003D4FF5" w:rsidRDefault="003D4FF5" w:rsidP="003D4FF5">
      <w:pPr>
        <w:pStyle w:val="Amain"/>
      </w:pPr>
      <w:r>
        <w:tab/>
        <w:t>(2)</w:t>
      </w:r>
      <w:r>
        <w:tab/>
        <w:t>The Court may make an order under subsection (1) only if satisfied that—</w:t>
      </w:r>
    </w:p>
    <w:p w14:paraId="4BD55FFA" w14:textId="77777777"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14:paraId="53CFC69F" w14:textId="77777777" w:rsidR="003D4FF5" w:rsidRDefault="003D4FF5" w:rsidP="003D4FF5">
      <w:pPr>
        <w:pStyle w:val="Apara"/>
      </w:pPr>
      <w:r>
        <w:tab/>
        <w:t>(b)</w:t>
      </w:r>
      <w:r>
        <w:tab/>
        <w:t>the proceeding could properly have been started in the Magistrates Court; and</w:t>
      </w:r>
    </w:p>
    <w:p w14:paraId="6503A291" w14:textId="77777777" w:rsidR="003D4FF5" w:rsidRDefault="003D4FF5" w:rsidP="003D4FF5">
      <w:pPr>
        <w:pStyle w:val="Apara"/>
      </w:pPr>
      <w:r>
        <w:tab/>
        <w:t>(c)</w:t>
      </w:r>
      <w:r>
        <w:tab/>
        <w:t>the Court considers it just to do so.</w:t>
      </w:r>
    </w:p>
    <w:p w14:paraId="57808897" w14:textId="77777777" w:rsidR="003D4FF5" w:rsidRDefault="003D4FF5" w:rsidP="003D4FF5">
      <w:pPr>
        <w:pStyle w:val="AH5Sec"/>
      </w:pPr>
      <w:bookmarkStart w:id="476" w:name="_Toc185514093"/>
      <w:r w:rsidRPr="00C8328B">
        <w:rPr>
          <w:rStyle w:val="CharSectNo"/>
        </w:rPr>
        <w:t>1431</w:t>
      </w:r>
      <w:r>
        <w:tab/>
        <w:t>Transfer of proceeding from Supreme Court to Magistrates Court—procedure</w:t>
      </w:r>
      <w:bookmarkEnd w:id="476"/>
    </w:p>
    <w:p w14:paraId="7904E29E" w14:textId="77777777" w:rsidR="003D4FF5" w:rsidRDefault="003D4FF5" w:rsidP="003D4FF5">
      <w:pPr>
        <w:pStyle w:val="Amain"/>
      </w:pPr>
      <w:r>
        <w:tab/>
        <w:t>(1)</w:t>
      </w:r>
      <w:r>
        <w:tab/>
        <w:t>This rule applies if the Supreme Court orders under rule 1430 that a proceeding be transferred to the Magistrates Court.</w:t>
      </w:r>
    </w:p>
    <w:p w14:paraId="4B76B877" w14:textId="77777777" w:rsidR="003D4FF5" w:rsidRDefault="003D4FF5" w:rsidP="003D4FF5">
      <w:pPr>
        <w:pStyle w:val="Amain"/>
      </w:pPr>
      <w:r>
        <w:lastRenderedPageBreak/>
        <w:tab/>
        <w:t>(2)</w:t>
      </w:r>
      <w:r>
        <w:tab/>
        <w:t>A party to the proceeding may file in the Magistrates Court a copy of—</w:t>
      </w:r>
    </w:p>
    <w:p w14:paraId="248F8AD1" w14:textId="77777777" w:rsidR="003D4FF5" w:rsidRDefault="003D4FF5" w:rsidP="003D4FF5">
      <w:pPr>
        <w:pStyle w:val="Apara"/>
      </w:pPr>
      <w:r>
        <w:tab/>
        <w:t>(a)</w:t>
      </w:r>
      <w:r>
        <w:tab/>
        <w:t>the order; and</w:t>
      </w:r>
    </w:p>
    <w:p w14:paraId="31CD48BF" w14:textId="77777777" w:rsidR="003D4FF5" w:rsidRDefault="003D4FF5" w:rsidP="003D4FF5">
      <w:pPr>
        <w:pStyle w:val="Apara"/>
      </w:pPr>
      <w:r>
        <w:tab/>
        <w:t>(b)</w:t>
      </w:r>
      <w:r>
        <w:tab/>
        <w:t>each of the pleadings in the proceeding; and</w:t>
      </w:r>
    </w:p>
    <w:p w14:paraId="2B6C928B" w14:textId="77777777" w:rsidR="003D4FF5" w:rsidRDefault="003D4FF5" w:rsidP="003D4FF5">
      <w:pPr>
        <w:pStyle w:val="Apara"/>
      </w:pPr>
      <w:r>
        <w:tab/>
        <w:t>(c)</w:t>
      </w:r>
      <w:r>
        <w:tab/>
        <w:t>any other relevant documents filed in the Supreme Court.</w:t>
      </w:r>
    </w:p>
    <w:p w14:paraId="7F3E9916" w14:textId="77777777" w:rsidR="003D4FF5" w:rsidRDefault="003D4FF5" w:rsidP="003D4FF5">
      <w:pPr>
        <w:pStyle w:val="Amain"/>
      </w:pPr>
      <w:r>
        <w:tab/>
        <w:t>(3)</w:t>
      </w:r>
      <w:r>
        <w:tab/>
        <w:t>When the documents mentioned in subrule (2) are filed, the proceeding—</w:t>
      </w:r>
    </w:p>
    <w:p w14:paraId="1F83E2D8" w14:textId="77777777" w:rsidR="003D4FF5" w:rsidRDefault="003D4FF5" w:rsidP="003D4FF5">
      <w:pPr>
        <w:pStyle w:val="Apara"/>
      </w:pPr>
      <w:r>
        <w:tab/>
        <w:t>(a)</w:t>
      </w:r>
      <w:r>
        <w:tab/>
        <w:t>stops being a proceeding in the Supreme Court; and</w:t>
      </w:r>
    </w:p>
    <w:p w14:paraId="21A24A11" w14:textId="77777777" w:rsidR="003D4FF5" w:rsidRDefault="003D4FF5" w:rsidP="003D4FF5">
      <w:pPr>
        <w:pStyle w:val="Apara"/>
      </w:pPr>
      <w:r>
        <w:tab/>
        <w:t>(b)</w:t>
      </w:r>
      <w:r>
        <w:tab/>
        <w:t>becomes a proceeding in the Magistrates Court.</w:t>
      </w:r>
    </w:p>
    <w:p w14:paraId="6A004098" w14:textId="77777777" w:rsidR="003D4FF5" w:rsidRDefault="003D4FF5" w:rsidP="003D4FF5">
      <w:pPr>
        <w:pStyle w:val="Amain"/>
      </w:pPr>
      <w:r>
        <w:tab/>
        <w:t>(4)</w:t>
      </w:r>
      <w:r>
        <w:tab/>
        <w:t>The proceeding is taken to have been started in the Magistrates Court on the day the proceeding was started in the Supreme Court.</w:t>
      </w:r>
    </w:p>
    <w:p w14:paraId="26BAFFEE" w14:textId="77777777" w:rsidR="003D4FF5" w:rsidRDefault="003D4FF5" w:rsidP="003D4FF5">
      <w:pPr>
        <w:pStyle w:val="Amain"/>
      </w:pPr>
      <w:r>
        <w:tab/>
        <w:t>(5)</w:t>
      </w:r>
      <w:r>
        <w:tab/>
        <w:t>Costs in the proceeding are to be allowed—</w:t>
      </w:r>
    </w:p>
    <w:p w14:paraId="6EF918D6" w14:textId="77777777"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14:paraId="653ABF9A" w14:textId="77777777" w:rsidR="003D4FF5" w:rsidRDefault="003D4FF5" w:rsidP="003D4FF5">
      <w:pPr>
        <w:pStyle w:val="Asubpara"/>
      </w:pPr>
      <w:r>
        <w:tab/>
        <w:t>(i)</w:t>
      </w:r>
      <w:r>
        <w:tab/>
        <w:t>if the Court makes an order in relation to the costs—in accordance with the order; or</w:t>
      </w:r>
    </w:p>
    <w:p w14:paraId="19D56C83" w14:textId="77777777" w:rsidR="003D4FF5" w:rsidRDefault="003D4FF5" w:rsidP="003D4FF5">
      <w:pPr>
        <w:pStyle w:val="Asubpara"/>
      </w:pPr>
      <w:r>
        <w:tab/>
        <w:t>(ii)</w:t>
      </w:r>
      <w:r>
        <w:tab/>
        <w:t>in any other case—at the prescribed scale of costs; and</w:t>
      </w:r>
    </w:p>
    <w:p w14:paraId="2BB090D8" w14:textId="77777777" w:rsidR="003D4FF5" w:rsidRDefault="003D4FF5" w:rsidP="00250833">
      <w:pPr>
        <w:pStyle w:val="Apara"/>
        <w:keepLines/>
      </w:pPr>
      <w:r>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14:paraId="2FB16B3D" w14:textId="77777777" w:rsidR="003D4FF5" w:rsidRDefault="003D4FF5" w:rsidP="003D4FF5">
      <w:pPr>
        <w:pStyle w:val="AH5Sec"/>
      </w:pPr>
      <w:bookmarkStart w:id="477" w:name="_Toc185514094"/>
      <w:r w:rsidRPr="00C8328B">
        <w:rPr>
          <w:rStyle w:val="CharSectNo"/>
        </w:rPr>
        <w:lastRenderedPageBreak/>
        <w:t>1432</w:t>
      </w:r>
      <w:r>
        <w:tab/>
        <w:t>Transfer of proceeding from Magistrates Court to Supreme Court—application</w:t>
      </w:r>
      <w:bookmarkEnd w:id="477"/>
    </w:p>
    <w:p w14:paraId="446BC28D" w14:textId="77777777" w:rsidR="003D4FF5" w:rsidRDefault="003D4FF5" w:rsidP="00250833">
      <w:pPr>
        <w:pStyle w:val="Amain"/>
        <w:keepNext/>
      </w:pPr>
      <w:r>
        <w:tab/>
        <w:t>(1)</w:t>
      </w:r>
      <w:r>
        <w:tab/>
        <w:t>The Supreme Court may, on application by a party to a proceeding started in the Magistrates Court, order that the proceeding be transferred to the Supreme Court.</w:t>
      </w:r>
    </w:p>
    <w:p w14:paraId="75136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960E79" w14:textId="77777777"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14:paraId="0BB5F507" w14:textId="77777777" w:rsidR="003D4FF5" w:rsidRDefault="003D4FF5" w:rsidP="003D4FF5">
      <w:pPr>
        <w:pStyle w:val="AH5Sec"/>
      </w:pPr>
      <w:bookmarkStart w:id="478" w:name="_Toc185514095"/>
      <w:r w:rsidRPr="00C8328B">
        <w:rPr>
          <w:rStyle w:val="CharSectNo"/>
        </w:rPr>
        <w:t>1433</w:t>
      </w:r>
      <w:r>
        <w:tab/>
        <w:t>Transfer of proceeding from Magistrates Court to Supreme Court—stay of proceeding</w:t>
      </w:r>
      <w:bookmarkEnd w:id="478"/>
    </w:p>
    <w:p w14:paraId="5E85C271" w14:textId="77777777" w:rsidR="003D4FF5" w:rsidRDefault="003D4FF5" w:rsidP="003D4FF5">
      <w:pPr>
        <w:pStyle w:val="Amain"/>
      </w:pPr>
      <w:r>
        <w:tab/>
        <w:t>(1)</w:t>
      </w:r>
      <w:r>
        <w:tab/>
        <w:t>This rule applies to an application under rule 1432.</w:t>
      </w:r>
    </w:p>
    <w:p w14:paraId="4C814C08" w14:textId="77777777"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14:paraId="174EA6B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F5EDC8D" w14:textId="77777777" w:rsidR="003D4FF5" w:rsidRDefault="003D4FF5" w:rsidP="003D4FF5">
      <w:pPr>
        <w:pStyle w:val="Amain"/>
      </w:pPr>
      <w:r>
        <w:tab/>
        <w:t>(3)</w:t>
      </w:r>
      <w:r>
        <w:tab/>
        <w:t>An order under this rule takes effect immediately on filing a copy of the order in the Magistrates Court.</w:t>
      </w:r>
    </w:p>
    <w:p w14:paraId="353FE2CB" w14:textId="77777777" w:rsidR="003D4FF5" w:rsidRPr="00C8328B" w:rsidRDefault="003D4FF5" w:rsidP="003D4FF5">
      <w:pPr>
        <w:pStyle w:val="AH3Div"/>
      </w:pPr>
      <w:bookmarkStart w:id="479" w:name="_Toc185514096"/>
      <w:r w:rsidRPr="00C8328B">
        <w:rPr>
          <w:rStyle w:val="CharDivNo"/>
        </w:rPr>
        <w:t>Division 2.14.1B</w:t>
      </w:r>
      <w:r w:rsidRPr="002B175D">
        <w:tab/>
      </w:r>
      <w:r w:rsidRPr="00C8328B">
        <w:rPr>
          <w:rStyle w:val="CharDivText"/>
        </w:rPr>
        <w:t>Removal of applications from ACAT to Supreme Court</w:t>
      </w:r>
      <w:bookmarkEnd w:id="479"/>
    </w:p>
    <w:p w14:paraId="6EEC49DA" w14:textId="77777777" w:rsidR="003D4FF5" w:rsidRPr="002B175D" w:rsidRDefault="003D4FF5" w:rsidP="003D4FF5">
      <w:pPr>
        <w:pStyle w:val="AH5Sec"/>
      </w:pPr>
      <w:bookmarkStart w:id="480" w:name="_Toc185514097"/>
      <w:r w:rsidRPr="00C8328B">
        <w:rPr>
          <w:rStyle w:val="CharSectNo"/>
        </w:rPr>
        <w:t>1440</w:t>
      </w:r>
      <w:r w:rsidRPr="002B175D">
        <w:tab/>
        <w:t>Removal of applications from ACAT to Supreme Court—application</w:t>
      </w:r>
      <w:bookmarkEnd w:id="480"/>
    </w:p>
    <w:p w14:paraId="79DA34AA" w14:textId="77777777" w:rsidR="003D4FF5" w:rsidRPr="002B175D" w:rsidRDefault="003D4FF5" w:rsidP="003D4FF5">
      <w:pPr>
        <w:pStyle w:val="Amainreturn"/>
      </w:pPr>
      <w:r w:rsidRPr="002B175D">
        <w:t>This division applies if—</w:t>
      </w:r>
    </w:p>
    <w:p w14:paraId="4323635B" w14:textId="77777777" w:rsidR="003D4FF5" w:rsidRPr="002B175D" w:rsidRDefault="003D4FF5" w:rsidP="003D4FF5">
      <w:pPr>
        <w:pStyle w:val="Apara"/>
      </w:pPr>
      <w:r w:rsidRPr="002B175D">
        <w:tab/>
        <w:t>(a)</w:t>
      </w:r>
      <w:r w:rsidRPr="002B175D">
        <w:tab/>
        <w:t>an application is made to the ACAT; and</w:t>
      </w:r>
    </w:p>
    <w:p w14:paraId="3FA76ECE" w14:textId="37B03217" w:rsidR="003D4FF5" w:rsidRPr="002B175D" w:rsidRDefault="003D4FF5" w:rsidP="003D4FF5">
      <w:pPr>
        <w:pStyle w:val="Apara"/>
      </w:pPr>
      <w:r w:rsidRPr="002B175D">
        <w:lastRenderedPageBreak/>
        <w:tab/>
        <w:t>(b)</w:t>
      </w:r>
      <w:r w:rsidRPr="002B175D">
        <w:tab/>
        <w:t xml:space="preserve">the ACAT orders that the application be removed to the Supreme Court under the </w:t>
      </w:r>
      <w:hyperlink r:id="rId139" w:tooltip="A2008-35" w:history="1">
        <w:r w:rsidRPr="005A5F43">
          <w:rPr>
            <w:rStyle w:val="charCitHyperlinkItal"/>
          </w:rPr>
          <w:t>ACT Civil and Administrative Tribunal Act 2008</w:t>
        </w:r>
      </w:hyperlink>
      <w:r w:rsidRPr="002B175D">
        <w:t>, section 83.</w:t>
      </w:r>
    </w:p>
    <w:p w14:paraId="15529906" w14:textId="77777777" w:rsidR="003D4FF5" w:rsidRPr="002B175D" w:rsidRDefault="003D4FF5" w:rsidP="003D4FF5">
      <w:pPr>
        <w:pStyle w:val="AH5Sec"/>
      </w:pPr>
      <w:bookmarkStart w:id="481" w:name="_Toc185514098"/>
      <w:r w:rsidRPr="00C8328B">
        <w:rPr>
          <w:rStyle w:val="CharSectNo"/>
        </w:rPr>
        <w:t>1441</w:t>
      </w:r>
      <w:r w:rsidRPr="002B175D">
        <w:tab/>
        <w:t>Removal of applications from ACAT to Supreme Court—procedure</w:t>
      </w:r>
      <w:bookmarkEnd w:id="481"/>
    </w:p>
    <w:p w14:paraId="1CC539E6" w14:textId="77777777" w:rsidR="003D4FF5" w:rsidRPr="002B175D" w:rsidRDefault="003D4FF5" w:rsidP="003D4FF5">
      <w:pPr>
        <w:pStyle w:val="Amain"/>
      </w:pPr>
      <w:r w:rsidRPr="002B175D">
        <w:tab/>
        <w:t>(1)</w:t>
      </w:r>
      <w:r w:rsidRPr="002B175D">
        <w:tab/>
        <w:t>The ACAT must, within 14 days after the order is made, file in the Supreme Court a copy of—</w:t>
      </w:r>
    </w:p>
    <w:p w14:paraId="554AE14E" w14:textId="77777777" w:rsidR="003D4FF5" w:rsidRPr="002B175D" w:rsidRDefault="003D4FF5" w:rsidP="003D4FF5">
      <w:pPr>
        <w:pStyle w:val="Apara"/>
      </w:pPr>
      <w:r w:rsidRPr="002B175D">
        <w:tab/>
        <w:t>(a)</w:t>
      </w:r>
      <w:r w:rsidRPr="002B175D">
        <w:tab/>
        <w:t>the application; and</w:t>
      </w:r>
    </w:p>
    <w:p w14:paraId="34B24261" w14:textId="77777777" w:rsidR="003D4FF5" w:rsidRPr="002B175D" w:rsidRDefault="003D4FF5" w:rsidP="003D4FF5">
      <w:pPr>
        <w:pStyle w:val="Apara"/>
      </w:pPr>
      <w:r w:rsidRPr="002B175D">
        <w:tab/>
        <w:t>(b)</w:t>
      </w:r>
      <w:r w:rsidRPr="002B175D">
        <w:tab/>
        <w:t>the order removing the application to the court.</w:t>
      </w:r>
    </w:p>
    <w:p w14:paraId="35A9634C" w14:textId="77777777" w:rsidR="003D4FF5" w:rsidRPr="002B175D" w:rsidRDefault="003D4FF5" w:rsidP="003D4FF5">
      <w:pPr>
        <w:pStyle w:val="Amain"/>
      </w:pPr>
      <w:r w:rsidRPr="002B175D">
        <w:tab/>
        <w:t>(2)</w:t>
      </w:r>
      <w:r w:rsidRPr="002B175D">
        <w:tab/>
        <w:t>When the documents mentioned in subrule (1) are filed—</w:t>
      </w:r>
    </w:p>
    <w:p w14:paraId="3E532F34" w14:textId="77777777" w:rsidR="003D4FF5" w:rsidRPr="002B175D" w:rsidRDefault="003D4FF5" w:rsidP="003D4FF5">
      <w:pPr>
        <w:pStyle w:val="Apara"/>
      </w:pPr>
      <w:r w:rsidRPr="002B175D">
        <w:tab/>
        <w:t>(a)</w:t>
      </w:r>
      <w:r w:rsidRPr="002B175D">
        <w:tab/>
        <w:t>the court must set a date for a directions hearing; and</w:t>
      </w:r>
    </w:p>
    <w:p w14:paraId="1846BA81" w14:textId="77777777" w:rsidR="003D4FF5" w:rsidRPr="002B175D" w:rsidRDefault="003D4FF5" w:rsidP="003D4FF5">
      <w:pPr>
        <w:pStyle w:val="Apara"/>
      </w:pPr>
      <w:r w:rsidRPr="002B175D">
        <w:tab/>
        <w:t>(b)</w:t>
      </w:r>
      <w:r w:rsidRPr="002B175D">
        <w:tab/>
        <w:t>the registrar must tell the parties the date set for the directions hearing.</w:t>
      </w:r>
    </w:p>
    <w:p w14:paraId="6C6DADD1" w14:textId="77777777"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14:paraId="46B22BA7" w14:textId="77777777"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14:paraId="3C4181E8" w14:textId="77777777" w:rsidR="003D4FF5" w:rsidRPr="00C8328B" w:rsidRDefault="003D4FF5" w:rsidP="003D4FF5">
      <w:pPr>
        <w:pStyle w:val="AH3Div"/>
      </w:pPr>
      <w:bookmarkStart w:id="482" w:name="_Toc185514099"/>
      <w:r w:rsidRPr="00C8328B">
        <w:rPr>
          <w:rStyle w:val="CharDivNo"/>
        </w:rPr>
        <w:t>Division 2.14.2</w:t>
      </w:r>
      <w:r>
        <w:tab/>
      </w:r>
      <w:r w:rsidRPr="00C8328B">
        <w:rPr>
          <w:rStyle w:val="CharDivText"/>
        </w:rPr>
        <w:t>Failure to comply with rules or order</w:t>
      </w:r>
      <w:bookmarkEnd w:id="482"/>
    </w:p>
    <w:p w14:paraId="38216BC3" w14:textId="77777777" w:rsidR="003D4FF5" w:rsidRDefault="003D4FF5" w:rsidP="003D4FF5">
      <w:pPr>
        <w:pStyle w:val="AH5Sec"/>
      </w:pPr>
      <w:bookmarkStart w:id="483" w:name="_Toc185514100"/>
      <w:r w:rsidRPr="00C8328B">
        <w:rPr>
          <w:rStyle w:val="CharSectNo"/>
        </w:rPr>
        <w:t>1450</w:t>
      </w:r>
      <w:r>
        <w:tab/>
        <w:t>Effect of failure to comply with rules</w:t>
      </w:r>
      <w:bookmarkEnd w:id="483"/>
    </w:p>
    <w:p w14:paraId="752FE071" w14:textId="77777777"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14:paraId="48C24FA1" w14:textId="77777777" w:rsidR="003D4FF5" w:rsidRDefault="003D4FF5" w:rsidP="003D4FF5">
      <w:pPr>
        <w:pStyle w:val="Amain"/>
      </w:pPr>
      <w:r>
        <w:tab/>
        <w:t>(2)</w:t>
      </w:r>
      <w:r>
        <w:tab/>
        <w:t>If there has been a failure to comply with these rules in relation to a proceeding, the court may—</w:t>
      </w:r>
    </w:p>
    <w:p w14:paraId="6175A1A3" w14:textId="77777777" w:rsidR="003D4FF5" w:rsidRDefault="003D4FF5" w:rsidP="003D4FF5">
      <w:pPr>
        <w:pStyle w:val="Apara"/>
      </w:pPr>
      <w:r>
        <w:tab/>
        <w:t>(a)</w:t>
      </w:r>
      <w:r>
        <w:tab/>
        <w:t>set aside all or part of the proceeding; or</w:t>
      </w:r>
    </w:p>
    <w:p w14:paraId="78C6D55C" w14:textId="77777777" w:rsidR="003D4FF5" w:rsidRDefault="003D4FF5" w:rsidP="003D4FF5">
      <w:pPr>
        <w:pStyle w:val="Apara"/>
      </w:pPr>
      <w:r>
        <w:tab/>
        <w:t>(b)</w:t>
      </w:r>
      <w:r>
        <w:tab/>
        <w:t>set aside a step taken or order made in the proceeding; or</w:t>
      </w:r>
    </w:p>
    <w:p w14:paraId="7EF420E1" w14:textId="77777777" w:rsidR="003D4FF5" w:rsidRDefault="003D4FF5" w:rsidP="003D4FF5">
      <w:pPr>
        <w:pStyle w:val="Apara"/>
      </w:pPr>
      <w:r>
        <w:lastRenderedPageBreak/>
        <w:tab/>
        <w:t>(c)</w:t>
      </w:r>
      <w:r>
        <w:tab/>
        <w:t>declare a document or step taken to be void; or</w:t>
      </w:r>
    </w:p>
    <w:p w14:paraId="769E5EAE" w14:textId="77777777" w:rsidR="003D4FF5" w:rsidRDefault="003D4FF5" w:rsidP="003D4FF5">
      <w:pPr>
        <w:pStyle w:val="Apara"/>
      </w:pPr>
      <w:r>
        <w:tab/>
        <w:t>(d)</w:t>
      </w:r>
      <w:r>
        <w:tab/>
        <w:t>declare a document or step taken to be valid; or</w:t>
      </w:r>
    </w:p>
    <w:p w14:paraId="34A33EA9" w14:textId="77777777" w:rsidR="003D4FF5" w:rsidRDefault="003D4FF5" w:rsidP="003D4FF5">
      <w:pPr>
        <w:pStyle w:val="Apara"/>
      </w:pPr>
      <w:r>
        <w:tab/>
        <w:t>(e)</w:t>
      </w:r>
      <w:r>
        <w:tab/>
        <w:t>make another order that could be made under these rules (including an order dealing with the proceeding generally); or</w:t>
      </w:r>
    </w:p>
    <w:p w14:paraId="75A7A033" w14:textId="77777777" w:rsidR="003D4FF5" w:rsidRDefault="003D4FF5" w:rsidP="003D4FF5">
      <w:pPr>
        <w:pStyle w:val="Apara"/>
        <w:keepNext/>
      </w:pPr>
      <w:r>
        <w:tab/>
        <w:t>(f)</w:t>
      </w:r>
      <w:r>
        <w:tab/>
        <w:t>make any order dealing with the proceeding generally that it considers appropriate.</w:t>
      </w:r>
    </w:p>
    <w:p w14:paraId="3AB9B751" w14:textId="77777777" w:rsidR="003D4FF5" w:rsidRDefault="003D4FF5" w:rsidP="003D4FF5">
      <w:pPr>
        <w:pStyle w:val="Amain"/>
      </w:pPr>
      <w:r>
        <w:tab/>
        <w:t>(3)</w:t>
      </w:r>
      <w:r>
        <w:tab/>
        <w:t>However, the court must not—</w:t>
      </w:r>
    </w:p>
    <w:p w14:paraId="01BA82C2" w14:textId="77777777" w:rsidR="003D4FF5" w:rsidRDefault="003D4FF5" w:rsidP="003D4FF5">
      <w:pPr>
        <w:pStyle w:val="Apara"/>
      </w:pPr>
      <w:r>
        <w:tab/>
        <w:t>(a)</w:t>
      </w:r>
      <w:r>
        <w:tab/>
        <w:t>set aside a proceeding only because the proceeding was started by the incorrect originating process; or</w:t>
      </w:r>
    </w:p>
    <w:p w14:paraId="6B370844" w14:textId="77777777" w:rsidR="003D4FF5" w:rsidRDefault="003D4FF5" w:rsidP="003D4FF5">
      <w:pPr>
        <w:pStyle w:val="Apara"/>
      </w:pPr>
      <w:r>
        <w:tab/>
        <w:t>(b)</w:t>
      </w:r>
      <w:r>
        <w:tab/>
        <w:t>set aside an originating process only because the incorrect originating process was used.</w:t>
      </w:r>
    </w:p>
    <w:p w14:paraId="394516F6" w14:textId="77777777" w:rsidR="003D4FF5" w:rsidRDefault="003D4FF5" w:rsidP="003D4FF5">
      <w:pPr>
        <w:pStyle w:val="Amain"/>
        <w:keepNext/>
      </w:pPr>
      <w:r>
        <w:tab/>
        <w:t>(4)</w:t>
      </w:r>
      <w:r>
        <w:tab/>
        <w:t>The court may act under subrule (2) on application by a party or on its own initiative.</w:t>
      </w:r>
    </w:p>
    <w:p w14:paraId="2A8EA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DDC1A2C" w14:textId="77777777" w:rsidR="003D4FF5" w:rsidRDefault="003D4FF5" w:rsidP="003D4FF5">
      <w:pPr>
        <w:pStyle w:val="AH5Sec"/>
      </w:pPr>
      <w:bookmarkStart w:id="484" w:name="_Toc185514101"/>
      <w:r w:rsidRPr="00C8328B">
        <w:rPr>
          <w:rStyle w:val="CharSectNo"/>
        </w:rPr>
        <w:t>1451</w:t>
      </w:r>
      <w:r>
        <w:tab/>
        <w:t>Application because of failure to comply with rules</w:t>
      </w:r>
      <w:bookmarkEnd w:id="484"/>
    </w:p>
    <w:p w14:paraId="3FE4CF4B" w14:textId="77777777" w:rsidR="003D4FF5" w:rsidRDefault="003D4FF5" w:rsidP="00EE1278">
      <w:pPr>
        <w:pStyle w:val="Amain"/>
        <w:keepNext/>
      </w:pPr>
      <w:r>
        <w:tab/>
        <w:t>(1)</w:t>
      </w:r>
      <w:r>
        <w:tab/>
        <w:t>An application for an order under rule 1450 must be made—</w:t>
      </w:r>
    </w:p>
    <w:p w14:paraId="47F14AC2" w14:textId="77777777" w:rsidR="003D4FF5" w:rsidRDefault="003D4FF5" w:rsidP="003D4FF5">
      <w:pPr>
        <w:pStyle w:val="Apara"/>
      </w:pPr>
      <w:r>
        <w:tab/>
        <w:t>(a)</w:t>
      </w:r>
      <w:r>
        <w:tab/>
        <w:t>within a reasonable time; and</w:t>
      </w:r>
    </w:p>
    <w:p w14:paraId="0ECDDE81" w14:textId="77777777" w:rsidR="003D4FF5" w:rsidRDefault="003D4FF5" w:rsidP="003D4FF5">
      <w:pPr>
        <w:pStyle w:val="Apara"/>
      </w:pPr>
      <w:r>
        <w:tab/>
        <w:t>(b)</w:t>
      </w:r>
      <w:r>
        <w:tab/>
        <w:t>before the applicant has taken any fresh step in the proceeding after becoming aware of the failure to comply with these rules.</w:t>
      </w:r>
    </w:p>
    <w:p w14:paraId="0ADDAF2B" w14:textId="77777777" w:rsidR="003D4FF5" w:rsidRDefault="003D4FF5" w:rsidP="003D4FF5">
      <w:pPr>
        <w:pStyle w:val="Amain"/>
      </w:pPr>
      <w:r>
        <w:tab/>
        <w:t>(2)</w:t>
      </w:r>
      <w:r>
        <w:tab/>
        <w:t>The application must set out details of the failure to comply with these rules.</w:t>
      </w:r>
    </w:p>
    <w:p w14:paraId="7595AFDA" w14:textId="77777777" w:rsidR="003D4FF5" w:rsidRDefault="003D4FF5" w:rsidP="003D4FF5">
      <w:pPr>
        <w:pStyle w:val="AH5Sec"/>
      </w:pPr>
      <w:bookmarkStart w:id="485" w:name="_Toc185514102"/>
      <w:r w:rsidRPr="00C8328B">
        <w:rPr>
          <w:rStyle w:val="CharSectNo"/>
        </w:rPr>
        <w:lastRenderedPageBreak/>
        <w:t>1452</w:t>
      </w:r>
      <w:r>
        <w:tab/>
        <w:t>Failure to comply with order to take step</w:t>
      </w:r>
      <w:bookmarkEnd w:id="485"/>
    </w:p>
    <w:p w14:paraId="0A8836FC" w14:textId="77777777"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14:paraId="26B20D88" w14:textId="77777777" w:rsidR="003D4FF5" w:rsidRDefault="003D4FF5" w:rsidP="003D4FF5">
      <w:pPr>
        <w:pStyle w:val="Amain"/>
        <w:keepNext/>
      </w:pPr>
      <w:r>
        <w:tab/>
        <w:t>(2)</w:t>
      </w:r>
      <w:r>
        <w:tab/>
        <w:t>A party who is entitled to the benefit of the order may apply to the court for an order under this rule against the defaulting party.</w:t>
      </w:r>
    </w:p>
    <w:p w14:paraId="17BDE5C9" w14:textId="77777777"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14:paraId="6B251F84" w14:textId="77777777" w:rsidR="003D4FF5" w:rsidRDefault="003D4FF5" w:rsidP="003D4FF5">
      <w:pPr>
        <w:pStyle w:val="Amain"/>
      </w:pPr>
      <w:r>
        <w:tab/>
        <w:t>(3)</w:t>
      </w:r>
      <w:r>
        <w:tab/>
        <w:t>The application—</w:t>
      </w:r>
    </w:p>
    <w:p w14:paraId="0A370072" w14:textId="77777777" w:rsidR="003D4FF5" w:rsidRDefault="003D4FF5" w:rsidP="003D4FF5">
      <w:pPr>
        <w:pStyle w:val="Apara"/>
      </w:pPr>
      <w:r>
        <w:tab/>
        <w:t>(a)</w:t>
      </w:r>
      <w:r>
        <w:tab/>
        <w:t>must set out the grounds on which it is based; and</w:t>
      </w:r>
    </w:p>
    <w:p w14:paraId="7B18C1B2" w14:textId="77777777" w:rsidR="003D4FF5" w:rsidRDefault="003D4FF5" w:rsidP="003D4FF5">
      <w:pPr>
        <w:pStyle w:val="Apara"/>
      </w:pPr>
      <w:r>
        <w:tab/>
        <w:t>(b)</w:t>
      </w:r>
      <w:r>
        <w:tab/>
        <w:t>is evidence of the grounds stated in the application.</w:t>
      </w:r>
    </w:p>
    <w:p w14:paraId="7FCBB0E9" w14:textId="77777777" w:rsidR="003D4FF5" w:rsidRDefault="003D4FF5" w:rsidP="003D4FF5">
      <w:pPr>
        <w:pStyle w:val="Amain"/>
        <w:keepNext/>
      </w:pPr>
      <w:r>
        <w:tab/>
        <w:t>(4)</w:t>
      </w:r>
      <w:r>
        <w:tab/>
        <w:t>On the hearing of the application, the court may—</w:t>
      </w:r>
    </w:p>
    <w:p w14:paraId="444EE689" w14:textId="77777777" w:rsidR="003D4FF5" w:rsidRDefault="003D4FF5" w:rsidP="003D4FF5">
      <w:pPr>
        <w:pStyle w:val="Apara"/>
        <w:keepNext/>
      </w:pPr>
      <w:r>
        <w:tab/>
        <w:t>(a)</w:t>
      </w:r>
      <w:r>
        <w:tab/>
        <w:t>give judgment against the defaulting party; or</w:t>
      </w:r>
    </w:p>
    <w:p w14:paraId="21EEF468" w14:textId="77777777" w:rsidR="003D4FF5" w:rsidRDefault="003D4FF5" w:rsidP="003D4FF5">
      <w:pPr>
        <w:pStyle w:val="Apara"/>
      </w:pPr>
      <w:r>
        <w:tab/>
        <w:t>(b)</w:t>
      </w:r>
      <w:r>
        <w:tab/>
        <w:t>extend time to comply with the order that has not been complied with; or</w:t>
      </w:r>
    </w:p>
    <w:p w14:paraId="6722FD11" w14:textId="77777777" w:rsidR="003D4FF5" w:rsidRDefault="003D4FF5" w:rsidP="003D4FF5">
      <w:pPr>
        <w:pStyle w:val="Apara"/>
      </w:pPr>
      <w:r>
        <w:tab/>
        <w:t>(c)</w:t>
      </w:r>
      <w:r>
        <w:tab/>
        <w:t>give directions; or</w:t>
      </w:r>
    </w:p>
    <w:p w14:paraId="4453535C" w14:textId="77777777" w:rsidR="003D4FF5" w:rsidRDefault="003D4FF5" w:rsidP="003D4FF5">
      <w:pPr>
        <w:pStyle w:val="Apara"/>
      </w:pPr>
      <w:r>
        <w:tab/>
        <w:t>(d)</w:t>
      </w:r>
      <w:r>
        <w:tab/>
        <w:t>make any other order.</w:t>
      </w:r>
    </w:p>
    <w:p w14:paraId="4BB1D6A0" w14:textId="77777777" w:rsidR="003D4FF5" w:rsidRDefault="003D4FF5" w:rsidP="003D4FF5">
      <w:pPr>
        <w:pStyle w:val="Amain"/>
      </w:pPr>
      <w:r>
        <w:tab/>
        <w:t>(5)</w:t>
      </w:r>
      <w:r>
        <w:tab/>
        <w:t>The party who makes the application may reply to any material filed by the defaulting party.</w:t>
      </w:r>
    </w:p>
    <w:p w14:paraId="008388AD" w14:textId="77777777" w:rsidR="003D4FF5" w:rsidRDefault="003D4FF5" w:rsidP="003D4FF5">
      <w:pPr>
        <w:pStyle w:val="Amain"/>
      </w:pPr>
      <w:r>
        <w:tab/>
        <w:t>(6)</w:t>
      </w:r>
      <w:r>
        <w:tab/>
        <w:t>The application may be withdrawn with the agreement of all parties concerned in the application or with the court’s leave.</w:t>
      </w:r>
    </w:p>
    <w:p w14:paraId="511F1270" w14:textId="77777777" w:rsidR="003D4FF5" w:rsidRDefault="003D4FF5" w:rsidP="003D4FF5">
      <w:pPr>
        <w:pStyle w:val="Amain"/>
        <w:keepNext/>
      </w:pPr>
      <w:r>
        <w:tab/>
        <w:t>(7)</w:t>
      </w:r>
      <w:r>
        <w:tab/>
        <w:t>A judgment given under subrule (4) (a) may be set aside—</w:t>
      </w:r>
    </w:p>
    <w:p w14:paraId="3013385E" w14:textId="77777777"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14:paraId="6C663FBE" w14:textId="77777777" w:rsidR="003D4FF5" w:rsidRDefault="003D4FF5" w:rsidP="003D4FF5">
      <w:pPr>
        <w:pStyle w:val="Apara"/>
      </w:pPr>
      <w:r>
        <w:tab/>
        <w:t>(b)</w:t>
      </w:r>
      <w:r>
        <w:tab/>
        <w:t>otherwise—only on appeal.</w:t>
      </w:r>
    </w:p>
    <w:p w14:paraId="29A854CF" w14:textId="77777777" w:rsidR="003D4FF5" w:rsidRDefault="003D4FF5" w:rsidP="003D4FF5">
      <w:pPr>
        <w:pStyle w:val="Amain"/>
        <w:keepNext/>
      </w:pPr>
      <w:r>
        <w:lastRenderedPageBreak/>
        <w:tab/>
        <w:t>(8)</w:t>
      </w:r>
      <w:r>
        <w:tab/>
        <w:t>The powers of the court under this rule are additional to any other powers of the court under a territory law.</w:t>
      </w:r>
    </w:p>
    <w:p w14:paraId="39CA5B8C" w14:textId="7732F1B6"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0" w:tooltip="A2001-14" w:history="1">
        <w:r w:rsidRPr="005A5F43">
          <w:rPr>
            <w:rStyle w:val="charCitHyperlinkAbbrev"/>
          </w:rPr>
          <w:t>Legislation Act</w:t>
        </w:r>
      </w:hyperlink>
      <w:r>
        <w:t>, s 98).</w:t>
      </w:r>
    </w:p>
    <w:p w14:paraId="2326D53D" w14:textId="77777777" w:rsidR="003D4FF5" w:rsidRDefault="003D4FF5" w:rsidP="003D4FF5">
      <w:pPr>
        <w:pStyle w:val="Amain"/>
      </w:pPr>
      <w:r>
        <w:tab/>
        <w:t>(9)</w:t>
      </w:r>
      <w:r>
        <w:tab/>
        <w:t>This rule does not limit the powers of the court to punish for contempt of court.</w:t>
      </w:r>
    </w:p>
    <w:p w14:paraId="23CF54A9" w14:textId="77777777" w:rsidR="003D4FF5" w:rsidRDefault="003D4FF5" w:rsidP="003D4FF5">
      <w:pPr>
        <w:pStyle w:val="PageBreak"/>
      </w:pPr>
      <w:r>
        <w:br w:type="page"/>
      </w:r>
    </w:p>
    <w:p w14:paraId="63EFA684" w14:textId="77777777" w:rsidR="003D4FF5" w:rsidRPr="00C8328B" w:rsidRDefault="003D4FF5" w:rsidP="003D4FF5">
      <w:pPr>
        <w:pStyle w:val="AH2Part"/>
      </w:pPr>
      <w:bookmarkStart w:id="486" w:name="_Toc185514103"/>
      <w:r w:rsidRPr="00C8328B">
        <w:rPr>
          <w:rStyle w:val="CharPartNo"/>
        </w:rPr>
        <w:lastRenderedPageBreak/>
        <w:t>Part 2.15</w:t>
      </w:r>
      <w:r>
        <w:tab/>
      </w:r>
      <w:r w:rsidRPr="00C8328B">
        <w:rPr>
          <w:rStyle w:val="CharPartText"/>
        </w:rPr>
        <w:t>Trial</w:t>
      </w:r>
      <w:bookmarkEnd w:id="486"/>
    </w:p>
    <w:p w14:paraId="7BD40EF6" w14:textId="77777777" w:rsidR="003D4FF5" w:rsidRPr="00C8328B" w:rsidRDefault="003D4FF5" w:rsidP="003D4FF5">
      <w:pPr>
        <w:pStyle w:val="AH3Div"/>
      </w:pPr>
      <w:bookmarkStart w:id="487" w:name="_Toc185514104"/>
      <w:r w:rsidRPr="00C8328B">
        <w:rPr>
          <w:rStyle w:val="CharDivNo"/>
        </w:rPr>
        <w:t>Division 2.15.1</w:t>
      </w:r>
      <w:r>
        <w:tab/>
      </w:r>
      <w:r w:rsidRPr="00C8328B">
        <w:rPr>
          <w:rStyle w:val="CharDivText"/>
        </w:rPr>
        <w:t>Interpretation—pt 2.15</w:t>
      </w:r>
      <w:bookmarkEnd w:id="487"/>
    </w:p>
    <w:p w14:paraId="114EDA9F" w14:textId="77777777" w:rsidR="003D4FF5" w:rsidRDefault="003D4FF5" w:rsidP="003D4FF5">
      <w:pPr>
        <w:pStyle w:val="AH5Sec"/>
      </w:pPr>
      <w:bookmarkStart w:id="488" w:name="_Toc185514105"/>
      <w:r w:rsidRPr="00C8328B">
        <w:rPr>
          <w:rStyle w:val="CharSectNo"/>
        </w:rPr>
        <w:t>1500</w:t>
      </w:r>
      <w:r>
        <w:tab/>
        <w:t xml:space="preserve">Meaning of </w:t>
      </w:r>
      <w:r w:rsidRPr="005A5F43">
        <w:rPr>
          <w:rStyle w:val="charItals"/>
        </w:rPr>
        <w:t>question</w:t>
      </w:r>
      <w:r>
        <w:t>—pt 2.15</w:t>
      </w:r>
      <w:bookmarkEnd w:id="488"/>
    </w:p>
    <w:p w14:paraId="1925C4EE" w14:textId="77777777" w:rsidR="003D4FF5" w:rsidRDefault="003D4FF5" w:rsidP="003D4FF5">
      <w:pPr>
        <w:pStyle w:val="Amainreturn"/>
        <w:keepNext/>
      </w:pPr>
      <w:r>
        <w:t>In this part:</w:t>
      </w:r>
    </w:p>
    <w:p w14:paraId="590096A8" w14:textId="77777777"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14:paraId="06A08DB7" w14:textId="77777777" w:rsidR="003D4FF5" w:rsidRPr="00C8328B" w:rsidRDefault="003D4FF5" w:rsidP="003D4FF5">
      <w:pPr>
        <w:pStyle w:val="AH3Div"/>
      </w:pPr>
      <w:bookmarkStart w:id="489" w:name="_Toc185514106"/>
      <w:r w:rsidRPr="00C8328B">
        <w:rPr>
          <w:rStyle w:val="CharDivNo"/>
        </w:rPr>
        <w:t>Division 2.15.2</w:t>
      </w:r>
      <w:r>
        <w:tab/>
      </w:r>
      <w:r w:rsidRPr="00C8328B">
        <w:rPr>
          <w:rStyle w:val="CharDivText"/>
        </w:rPr>
        <w:t>Proceedings at trial</w:t>
      </w:r>
      <w:bookmarkEnd w:id="489"/>
    </w:p>
    <w:p w14:paraId="5869616C" w14:textId="77777777" w:rsidR="003D4FF5" w:rsidRDefault="003D4FF5" w:rsidP="003D4FF5">
      <w:pPr>
        <w:pStyle w:val="AH5Sec"/>
      </w:pPr>
      <w:bookmarkStart w:id="490" w:name="_Toc185514107"/>
      <w:r w:rsidRPr="00C8328B">
        <w:rPr>
          <w:rStyle w:val="CharSectNo"/>
        </w:rPr>
        <w:t>1505</w:t>
      </w:r>
      <w:r>
        <w:tab/>
        <w:t>Trial—defendant or plaintiff not appearing</w:t>
      </w:r>
      <w:bookmarkEnd w:id="490"/>
    </w:p>
    <w:p w14:paraId="5DCB520F" w14:textId="77777777"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14:paraId="5C1803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14:paraId="2059C74D" w14:textId="77777777"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14:paraId="2F3F926A" w14:textId="77777777" w:rsidR="003D4FF5" w:rsidRDefault="003D4FF5" w:rsidP="003D4FF5">
      <w:pPr>
        <w:pStyle w:val="Amain"/>
      </w:pPr>
      <w:r>
        <w:tab/>
        <w:t>(3)</w:t>
      </w:r>
      <w:r>
        <w:tab/>
        <w:t>Despite subrule (2), the defendant may submit to judgment if the plaintiff does not appear when the trial starts.</w:t>
      </w:r>
    </w:p>
    <w:p w14:paraId="34E0C440" w14:textId="77777777"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14:paraId="2DD599A0" w14:textId="77777777"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14:paraId="767368D0"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4488DDA9" w14:textId="77777777" w:rsidR="003D4FF5" w:rsidRDefault="003D4FF5" w:rsidP="003D4FF5">
      <w:pPr>
        <w:pStyle w:val="AH5Sec"/>
      </w:pPr>
      <w:bookmarkStart w:id="491" w:name="_Toc185514108"/>
      <w:r w:rsidRPr="00C8328B">
        <w:rPr>
          <w:rStyle w:val="CharSectNo"/>
        </w:rPr>
        <w:t>1506</w:t>
      </w:r>
      <w:r>
        <w:tab/>
        <w:t>Trial—adjournment etc</w:t>
      </w:r>
      <w:bookmarkEnd w:id="491"/>
    </w:p>
    <w:p w14:paraId="51AC7E06" w14:textId="77777777" w:rsidR="003D4FF5" w:rsidRDefault="003D4FF5" w:rsidP="003D4FF5">
      <w:pPr>
        <w:pStyle w:val="Amainreturn"/>
        <w:keepNext/>
      </w:pPr>
      <w:r>
        <w:t>On application by a party or on its own initiative, the court may adjourn or postpone a trial at or before the trial.</w:t>
      </w:r>
    </w:p>
    <w:p w14:paraId="616BA004"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78E6B29C"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455EFFDC" w14:textId="77777777" w:rsidR="003D4FF5" w:rsidRDefault="003D4FF5" w:rsidP="003D4FF5">
      <w:pPr>
        <w:pStyle w:val="AH5Sec"/>
      </w:pPr>
      <w:bookmarkStart w:id="492" w:name="_Toc185514109"/>
      <w:r w:rsidRPr="00C8328B">
        <w:rPr>
          <w:rStyle w:val="CharSectNo"/>
        </w:rPr>
        <w:t>1507</w:t>
      </w:r>
      <w:r>
        <w:tab/>
        <w:t>Trial—third-party proceeding</w:t>
      </w:r>
      <w:bookmarkEnd w:id="492"/>
    </w:p>
    <w:p w14:paraId="688A780E" w14:textId="77777777" w:rsidR="003D4FF5" w:rsidRDefault="003D4FF5" w:rsidP="003D4FF5">
      <w:pPr>
        <w:pStyle w:val="Amainreturn"/>
      </w:pPr>
      <w:r>
        <w:t>A third-party proceeding may be tried in the same way as the proceeding between the plaintiff and the defendant.</w:t>
      </w:r>
    </w:p>
    <w:p w14:paraId="232CA8D3" w14:textId="77777777" w:rsidR="003D4FF5" w:rsidRDefault="003D4FF5" w:rsidP="003D4FF5">
      <w:pPr>
        <w:pStyle w:val="AH5Sec"/>
      </w:pPr>
      <w:bookmarkStart w:id="493" w:name="_Toc185514110"/>
      <w:r w:rsidRPr="00C8328B">
        <w:rPr>
          <w:rStyle w:val="CharSectNo"/>
        </w:rPr>
        <w:t>1508</w:t>
      </w:r>
      <w:r>
        <w:tab/>
        <w:t>Order of evidence and addresses</w:t>
      </w:r>
      <w:bookmarkEnd w:id="493"/>
    </w:p>
    <w:p w14:paraId="0355642C" w14:textId="77777777" w:rsidR="003D4FF5" w:rsidRDefault="003D4FF5" w:rsidP="003D4FF5">
      <w:pPr>
        <w:pStyle w:val="Amain"/>
        <w:keepNext/>
      </w:pPr>
      <w:r>
        <w:tab/>
        <w:t>(1)</w:t>
      </w:r>
      <w:r>
        <w:tab/>
        <w:t>This rule applies—</w:t>
      </w:r>
    </w:p>
    <w:p w14:paraId="7DF0A454" w14:textId="77777777" w:rsidR="003D4FF5" w:rsidRDefault="003D4FF5" w:rsidP="003D4FF5">
      <w:pPr>
        <w:pStyle w:val="Apara"/>
      </w:pPr>
      <w:r>
        <w:tab/>
        <w:t>(a)</w:t>
      </w:r>
      <w:r>
        <w:tab/>
        <w:t>subject to any directions by the court about the order of evidence and addresses and the conduct of the trial generally; and</w:t>
      </w:r>
    </w:p>
    <w:p w14:paraId="13DD1B23" w14:textId="77777777" w:rsidR="003D4FF5" w:rsidRDefault="003D4FF5" w:rsidP="003D4FF5">
      <w:pPr>
        <w:pStyle w:val="Apara"/>
        <w:keepNext/>
      </w:pPr>
      <w:r>
        <w:tab/>
        <w:t>(b)</w:t>
      </w:r>
      <w:r>
        <w:tab/>
        <w:t>if there are more than 2 parties to the proceeding or a counterclaim in the proceeding—to the proceeding with necessary changes.</w:t>
      </w:r>
    </w:p>
    <w:p w14:paraId="2466D86C" w14:textId="77777777"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14:paraId="18895E62" w14:textId="77777777" w:rsidR="003D4FF5" w:rsidRDefault="003D4FF5" w:rsidP="003D4FF5">
      <w:pPr>
        <w:pStyle w:val="Amain"/>
      </w:pPr>
      <w:r>
        <w:tab/>
        <w:t>(2)</w:t>
      </w:r>
      <w:r>
        <w:tab/>
        <w:t>If the plaintiff has the burden of proof on any issue, the plaintiff’s case is presented first.</w:t>
      </w:r>
    </w:p>
    <w:p w14:paraId="68F6A373" w14:textId="77777777" w:rsidR="003D4FF5" w:rsidRDefault="003D4FF5" w:rsidP="003D4FF5">
      <w:pPr>
        <w:pStyle w:val="Amain"/>
      </w:pPr>
      <w:r>
        <w:lastRenderedPageBreak/>
        <w:tab/>
        <w:t>(3)</w:t>
      </w:r>
      <w:r>
        <w:tab/>
        <w:t>If the defendant has the burden of proof on every issue, the defendant’s case is presented first.</w:t>
      </w:r>
    </w:p>
    <w:p w14:paraId="58E9686A" w14:textId="77777777"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14:paraId="0D578B18" w14:textId="77777777"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14:paraId="727FD05D" w14:textId="77777777"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14:paraId="2C6965EA" w14:textId="77777777" w:rsidR="003D4FF5" w:rsidRDefault="003D4FF5" w:rsidP="003D4FF5">
      <w:pPr>
        <w:pStyle w:val="Amain"/>
      </w:pPr>
      <w:r>
        <w:tab/>
        <w:t>(7)</w:t>
      </w:r>
      <w:r>
        <w:tab/>
        <w:t>If the other party presents evidence—</w:t>
      </w:r>
    </w:p>
    <w:p w14:paraId="62778BA9" w14:textId="77777777" w:rsidR="003D4FF5" w:rsidRDefault="003D4FF5" w:rsidP="003D4FF5">
      <w:pPr>
        <w:pStyle w:val="Apara"/>
      </w:pPr>
      <w:r>
        <w:tab/>
        <w:t>(a)</w:t>
      </w:r>
      <w:r>
        <w:tab/>
        <w:t>the other party may make an opening address and, after the other party’s evidence is presented, may make a closing address; and</w:t>
      </w:r>
    </w:p>
    <w:p w14:paraId="1F35C171" w14:textId="77777777" w:rsidR="003D4FF5" w:rsidRDefault="003D4FF5" w:rsidP="003D4FF5">
      <w:pPr>
        <w:pStyle w:val="Apara"/>
      </w:pPr>
      <w:r>
        <w:tab/>
        <w:t>(b)</w:t>
      </w:r>
      <w:r>
        <w:tab/>
        <w:t>after the other party has made a closing address, the first party may make a closing address.</w:t>
      </w:r>
    </w:p>
    <w:p w14:paraId="6C4AC6DE" w14:textId="77777777" w:rsidR="003D4FF5" w:rsidRDefault="003D4FF5" w:rsidP="003D4FF5">
      <w:pPr>
        <w:pStyle w:val="AH5Sec"/>
      </w:pPr>
      <w:bookmarkStart w:id="494" w:name="_Toc185514111"/>
      <w:r w:rsidRPr="00C8328B">
        <w:rPr>
          <w:rStyle w:val="CharSectNo"/>
        </w:rPr>
        <w:t>1509</w:t>
      </w:r>
      <w:r>
        <w:tab/>
        <w:t>View by court</w:t>
      </w:r>
      <w:bookmarkEnd w:id="494"/>
    </w:p>
    <w:p w14:paraId="0BBC230B" w14:textId="77777777"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14:paraId="4B99222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CC0251C" w14:textId="77777777" w:rsidR="003D4FF5" w:rsidRDefault="003D4FF5" w:rsidP="003D4FF5">
      <w:pPr>
        <w:pStyle w:val="AH5Sec"/>
      </w:pPr>
      <w:bookmarkStart w:id="495" w:name="_Toc185514112"/>
      <w:r w:rsidRPr="00C8328B">
        <w:rPr>
          <w:rStyle w:val="CharSectNo"/>
        </w:rPr>
        <w:lastRenderedPageBreak/>
        <w:t>1510</w:t>
      </w:r>
      <w:r>
        <w:tab/>
        <w:t>Associate etc to record hearing times</w:t>
      </w:r>
      <w:bookmarkEnd w:id="495"/>
    </w:p>
    <w:p w14:paraId="025C6F14" w14:textId="77777777" w:rsidR="003D4FF5" w:rsidRDefault="003D4FF5" w:rsidP="007A4F18">
      <w:pPr>
        <w:pStyle w:val="Amain"/>
        <w:keepNext/>
      </w:pPr>
      <w:r>
        <w:tab/>
        <w:t>(1)</w:t>
      </w:r>
      <w:r>
        <w:tab/>
        <w:t>This rule applies only in relation to the Supreme Court.</w:t>
      </w:r>
    </w:p>
    <w:p w14:paraId="2F1E05D1" w14:textId="77777777"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14:paraId="2DD1FB92" w14:textId="77777777" w:rsidR="003D4FF5" w:rsidRDefault="003D4FF5" w:rsidP="003D4FF5">
      <w:pPr>
        <w:pStyle w:val="Amain"/>
      </w:pPr>
      <w:r>
        <w:tab/>
        <w:t>(3)</w:t>
      </w:r>
      <w:r>
        <w:tab/>
        <w:t>If the costs of a party to the proceeding are to be assessed, the recorded times must be provided to the registrar for the assessment.</w:t>
      </w:r>
    </w:p>
    <w:p w14:paraId="6BACD5F2" w14:textId="77777777" w:rsidR="003D4FF5" w:rsidRDefault="003D4FF5" w:rsidP="003D4FF5">
      <w:pPr>
        <w:pStyle w:val="AH5Sec"/>
      </w:pPr>
      <w:bookmarkStart w:id="496" w:name="_Toc185514113"/>
      <w:r w:rsidRPr="00C8328B">
        <w:rPr>
          <w:rStyle w:val="CharSectNo"/>
        </w:rPr>
        <w:t>1511</w:t>
      </w:r>
      <w:r>
        <w:tab/>
        <w:t>Associate to enter findings etc</w:t>
      </w:r>
      <w:bookmarkEnd w:id="496"/>
    </w:p>
    <w:p w14:paraId="609890CF" w14:textId="77777777" w:rsidR="003D4FF5" w:rsidRDefault="003D4FF5" w:rsidP="003D4FF5">
      <w:pPr>
        <w:pStyle w:val="Amain"/>
        <w:keepNext/>
      </w:pPr>
      <w:r>
        <w:tab/>
        <w:t>(1)</w:t>
      </w:r>
      <w:r>
        <w:tab/>
        <w:t>This rule applies only in relation to the Supreme Court.</w:t>
      </w:r>
    </w:p>
    <w:p w14:paraId="57F8449E" w14:textId="77777777" w:rsidR="003D4FF5" w:rsidRDefault="003D4FF5" w:rsidP="003D4FF5">
      <w:pPr>
        <w:pStyle w:val="Amain"/>
      </w:pPr>
      <w:r>
        <w:tab/>
        <w:t>(2)</w:t>
      </w:r>
      <w:r>
        <w:tab/>
        <w:t>The judicial officer’s associate must, as directed by the judicial officer, record—</w:t>
      </w:r>
    </w:p>
    <w:p w14:paraId="6A6D3F0E" w14:textId="77777777" w:rsidR="003D4FF5" w:rsidRDefault="003D4FF5" w:rsidP="003D4FF5">
      <w:pPr>
        <w:pStyle w:val="Apara"/>
      </w:pPr>
      <w:r>
        <w:tab/>
        <w:t>(a)</w:t>
      </w:r>
      <w:r>
        <w:tab/>
        <w:t>the orders made by the judicial officer about judgment; and</w:t>
      </w:r>
    </w:p>
    <w:p w14:paraId="7C18FE3C" w14:textId="77777777" w:rsidR="003D4FF5" w:rsidRDefault="003D4FF5" w:rsidP="003D4FF5">
      <w:pPr>
        <w:pStyle w:val="Apara"/>
      </w:pPr>
      <w:r>
        <w:tab/>
        <w:t>(b)</w:t>
      </w:r>
      <w:r>
        <w:tab/>
        <w:t>the certificates (if any) given by the judicial officer; and</w:t>
      </w:r>
    </w:p>
    <w:p w14:paraId="65DE3131" w14:textId="77777777" w:rsidR="003D4FF5" w:rsidRDefault="003D4FF5" w:rsidP="003D4FF5">
      <w:pPr>
        <w:pStyle w:val="Apara"/>
      </w:pPr>
      <w:r>
        <w:tab/>
        <w:t>(c)</w:t>
      </w:r>
      <w:r>
        <w:tab/>
        <w:t>anything else directed by the judicial officer.</w:t>
      </w:r>
    </w:p>
    <w:p w14:paraId="18120623" w14:textId="77777777" w:rsidR="003D4FF5" w:rsidRPr="00C8328B" w:rsidRDefault="003D4FF5" w:rsidP="003D4FF5">
      <w:pPr>
        <w:pStyle w:val="AH3Div"/>
      </w:pPr>
      <w:bookmarkStart w:id="497" w:name="_Toc185514114"/>
      <w:r w:rsidRPr="00C8328B">
        <w:rPr>
          <w:rStyle w:val="CharDivNo"/>
        </w:rPr>
        <w:t>Division 2.15.3</w:t>
      </w:r>
      <w:r>
        <w:tab/>
      </w:r>
      <w:r w:rsidRPr="00C8328B">
        <w:rPr>
          <w:rStyle w:val="CharDivText"/>
        </w:rPr>
        <w:t>Separate decisions on questions</w:t>
      </w:r>
      <w:bookmarkEnd w:id="497"/>
    </w:p>
    <w:p w14:paraId="06821E52" w14:textId="77777777" w:rsidR="003D4FF5" w:rsidRDefault="003D4FF5" w:rsidP="003D4FF5">
      <w:pPr>
        <w:pStyle w:val="AH5Sec"/>
      </w:pPr>
      <w:bookmarkStart w:id="498" w:name="_Toc185514115"/>
      <w:r w:rsidRPr="00C8328B">
        <w:rPr>
          <w:rStyle w:val="CharSectNo"/>
        </w:rPr>
        <w:t>1520</w:t>
      </w:r>
      <w:r>
        <w:tab/>
        <w:t>Application—div 2.15.3</w:t>
      </w:r>
      <w:bookmarkEnd w:id="498"/>
    </w:p>
    <w:p w14:paraId="48D1ECB5" w14:textId="77777777" w:rsidR="003D4FF5" w:rsidRDefault="003D4FF5" w:rsidP="003D4FF5">
      <w:pPr>
        <w:pStyle w:val="Amain"/>
      </w:pPr>
      <w:r>
        <w:tab/>
        <w:t>(1)</w:t>
      </w:r>
      <w:r>
        <w:tab/>
        <w:t>This division applies to any question for decision of the court from a proceeding in the court.</w:t>
      </w:r>
    </w:p>
    <w:p w14:paraId="3872A915" w14:textId="77777777" w:rsidR="003D4FF5" w:rsidRDefault="003D4FF5" w:rsidP="003D4FF5">
      <w:pPr>
        <w:pStyle w:val="Amain"/>
      </w:pPr>
      <w:r>
        <w:tab/>
        <w:t>(2)</w:t>
      </w:r>
      <w:r>
        <w:tab/>
        <w:t>However, this division does not apply to—</w:t>
      </w:r>
    </w:p>
    <w:p w14:paraId="21CD4F7D" w14:textId="77777777" w:rsidR="003D4FF5" w:rsidRDefault="003D4FF5" w:rsidP="003D4FF5">
      <w:pPr>
        <w:pStyle w:val="Apara"/>
      </w:pPr>
      <w:r>
        <w:tab/>
        <w:t>(a)</w:t>
      </w:r>
      <w:r>
        <w:tab/>
        <w:t>a question for decision of the Supreme Court from a proceeding in another court or a tribunal; or</w:t>
      </w:r>
    </w:p>
    <w:p w14:paraId="5C6F457A" w14:textId="77777777" w:rsidR="003D4FF5" w:rsidRDefault="003D4FF5" w:rsidP="003D4FF5">
      <w:pPr>
        <w:pStyle w:val="Apara"/>
        <w:keepNext/>
      </w:pPr>
      <w:r>
        <w:lastRenderedPageBreak/>
        <w:tab/>
        <w:t>(b)</w:t>
      </w:r>
      <w:r>
        <w:tab/>
        <w:t>a case stated or question reserved by the Supreme Court to the Court of Appeal.</w:t>
      </w:r>
    </w:p>
    <w:p w14:paraId="33C935B5" w14:textId="77777777"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14:paraId="491E392B" w14:textId="77777777"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14:paraId="27840D59" w14:textId="77777777" w:rsidR="003D4FF5" w:rsidRDefault="003D4FF5" w:rsidP="003D4FF5">
      <w:pPr>
        <w:pStyle w:val="AH5Sec"/>
      </w:pPr>
      <w:bookmarkStart w:id="499" w:name="_Toc185514116"/>
      <w:r w:rsidRPr="00C8328B">
        <w:rPr>
          <w:rStyle w:val="CharSectNo"/>
        </w:rPr>
        <w:t>1521</w:t>
      </w:r>
      <w:r>
        <w:tab/>
        <w:t>Separate decisions on questions—order</w:t>
      </w:r>
      <w:bookmarkEnd w:id="499"/>
    </w:p>
    <w:p w14:paraId="1000EA4C" w14:textId="77777777"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14:paraId="0E292CB8" w14:textId="77777777" w:rsidR="003D4FF5" w:rsidRDefault="003D4FF5" w:rsidP="003D4FF5">
      <w:pPr>
        <w:pStyle w:val="Amain"/>
        <w:keepNext/>
      </w:pPr>
      <w:r>
        <w:tab/>
        <w:t>(2)</w:t>
      </w:r>
      <w:r>
        <w:tab/>
        <w:t>The court may make an order under subrule (1) on application by a party to a proceeding or on its own initiative.</w:t>
      </w:r>
    </w:p>
    <w:p w14:paraId="5CA550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D18DC80" w14:textId="77777777" w:rsidR="003D4FF5" w:rsidRDefault="003D4FF5" w:rsidP="003D4FF5">
      <w:pPr>
        <w:pStyle w:val="Amain"/>
      </w:pPr>
      <w:r>
        <w:tab/>
        <w:t>(3)</w:t>
      </w:r>
      <w:r>
        <w:tab/>
        <w:t>Unless the court otherwise orders, a separate question or questions must—</w:t>
      </w:r>
    </w:p>
    <w:p w14:paraId="4DCFFE27" w14:textId="77777777" w:rsidR="003D4FF5" w:rsidRDefault="003D4FF5" w:rsidP="003D4FF5">
      <w:pPr>
        <w:pStyle w:val="Apara"/>
      </w:pPr>
      <w:r>
        <w:tab/>
        <w:t>(a)</w:t>
      </w:r>
      <w:r>
        <w:tab/>
        <w:t>set out the question or questions to be decided; and</w:t>
      </w:r>
    </w:p>
    <w:p w14:paraId="3F560E56" w14:textId="77777777" w:rsidR="003D4FF5" w:rsidRDefault="003D4FF5" w:rsidP="003D4FF5">
      <w:pPr>
        <w:pStyle w:val="Apara"/>
      </w:pPr>
      <w:r>
        <w:tab/>
        <w:t>(b)</w:t>
      </w:r>
      <w:r>
        <w:tab/>
        <w:t>be divided into paragraphs numbered consecutively; and</w:t>
      </w:r>
    </w:p>
    <w:p w14:paraId="6370CFDC" w14:textId="77777777" w:rsidR="003D4FF5" w:rsidRDefault="003D4FF5" w:rsidP="003D4FF5">
      <w:pPr>
        <w:pStyle w:val="Apara"/>
      </w:pPr>
      <w:r>
        <w:tab/>
        <w:t>(c)</w:t>
      </w:r>
      <w:r>
        <w:tab/>
        <w:t>be prepared in draft by the initiating party for the proceeding after consultation with each other active party; and</w:t>
      </w:r>
    </w:p>
    <w:p w14:paraId="79E303DC" w14:textId="77777777" w:rsidR="003D4FF5" w:rsidRDefault="003D4FF5" w:rsidP="003D4FF5">
      <w:pPr>
        <w:pStyle w:val="Apara"/>
      </w:pPr>
      <w:r>
        <w:tab/>
        <w:t>(d)</w:t>
      </w:r>
      <w:r>
        <w:tab/>
        <w:t>be settled by the registrar; and</w:t>
      </w:r>
    </w:p>
    <w:p w14:paraId="15180011" w14:textId="77777777" w:rsidR="003D4FF5" w:rsidRDefault="003D4FF5" w:rsidP="003D4FF5">
      <w:pPr>
        <w:pStyle w:val="Apara"/>
      </w:pPr>
      <w:r>
        <w:tab/>
        <w:t>(e)</w:t>
      </w:r>
      <w:r>
        <w:tab/>
        <w:t>be filed.</w:t>
      </w:r>
    </w:p>
    <w:p w14:paraId="54C74A71" w14:textId="77777777" w:rsidR="003D4FF5" w:rsidRDefault="003D4FF5" w:rsidP="003D4FF5">
      <w:pPr>
        <w:pStyle w:val="Amain"/>
        <w:keepNext/>
      </w:pPr>
      <w:r>
        <w:tab/>
        <w:t>(4)</w:t>
      </w:r>
      <w:r>
        <w:tab/>
        <w:t>In this rule:</w:t>
      </w:r>
    </w:p>
    <w:p w14:paraId="7C7FA8B7" w14:textId="77777777" w:rsidR="003D4FF5" w:rsidRDefault="003D4FF5" w:rsidP="003D4FF5">
      <w:pPr>
        <w:pStyle w:val="aDef"/>
        <w:keepNext/>
      </w:pPr>
      <w:r w:rsidRPr="005A5F43">
        <w:rPr>
          <w:rStyle w:val="charBoldItals"/>
        </w:rPr>
        <w:t>initiating party</w:t>
      </w:r>
      <w:r>
        <w:t xml:space="preserve"> means—</w:t>
      </w:r>
    </w:p>
    <w:p w14:paraId="48786240" w14:textId="77777777" w:rsidR="003D4FF5" w:rsidRDefault="003D4FF5" w:rsidP="003D4FF5">
      <w:pPr>
        <w:pStyle w:val="aDefpara"/>
        <w:spacing w:after="20"/>
      </w:pPr>
      <w:r>
        <w:tab/>
        <w:t>(a)</w:t>
      </w:r>
      <w:r>
        <w:tab/>
        <w:t>if the order under subrule (1) was made on the application of a party—that party; or</w:t>
      </w:r>
    </w:p>
    <w:p w14:paraId="4D5E0F22" w14:textId="77777777" w:rsidR="003D4FF5" w:rsidRDefault="003D4FF5" w:rsidP="003D4FF5">
      <w:pPr>
        <w:pStyle w:val="aDefpara"/>
        <w:spacing w:after="20"/>
      </w:pPr>
      <w:r>
        <w:lastRenderedPageBreak/>
        <w:tab/>
        <w:t>(b)</w:t>
      </w:r>
      <w:r>
        <w:tab/>
        <w:t>if the order under subrule (1) was made by the court on its own initiative—the party nominated by the court.</w:t>
      </w:r>
    </w:p>
    <w:p w14:paraId="2C777C0C" w14:textId="77777777" w:rsidR="003D4FF5" w:rsidRDefault="003D4FF5" w:rsidP="003D4FF5">
      <w:pPr>
        <w:pStyle w:val="AH5Sec"/>
      </w:pPr>
      <w:bookmarkStart w:id="500" w:name="_Toc185514117"/>
      <w:r w:rsidRPr="00C8328B">
        <w:rPr>
          <w:rStyle w:val="CharSectNo"/>
        </w:rPr>
        <w:t>1522</w:t>
      </w:r>
      <w:r>
        <w:tab/>
        <w:t>Separate decisions on questions—directions</w:t>
      </w:r>
      <w:bookmarkEnd w:id="500"/>
    </w:p>
    <w:p w14:paraId="7EDE9306" w14:textId="77777777" w:rsidR="003D4FF5" w:rsidRDefault="003D4FF5" w:rsidP="003D4FF5">
      <w:pPr>
        <w:pStyle w:val="Amainreturn"/>
      </w:pPr>
      <w:r>
        <w:t>On the filing of the question—</w:t>
      </w:r>
    </w:p>
    <w:p w14:paraId="3BBB5600" w14:textId="77777777" w:rsidR="003D4FF5" w:rsidRDefault="003D4FF5" w:rsidP="003D4FF5">
      <w:pPr>
        <w:pStyle w:val="Apara"/>
        <w:spacing w:after="20"/>
      </w:pPr>
      <w:r>
        <w:tab/>
        <w:t>(a)</w:t>
      </w:r>
      <w:r>
        <w:tab/>
        <w:t>the court must set a date for a directions hearing; and</w:t>
      </w:r>
    </w:p>
    <w:p w14:paraId="1CDF0B8E" w14:textId="77777777" w:rsidR="003D4FF5" w:rsidRDefault="003D4FF5" w:rsidP="003D4FF5">
      <w:pPr>
        <w:pStyle w:val="Apara"/>
        <w:spacing w:after="20"/>
      </w:pPr>
      <w:r>
        <w:tab/>
        <w:t>(b)</w:t>
      </w:r>
      <w:r>
        <w:tab/>
        <w:t>the registrar must tell the parties the date set for the directions hearing.</w:t>
      </w:r>
    </w:p>
    <w:p w14:paraId="33CAF9FD" w14:textId="77777777" w:rsidR="003D4FF5" w:rsidRDefault="003D4FF5" w:rsidP="003D4FF5">
      <w:pPr>
        <w:pStyle w:val="AH5Sec"/>
      </w:pPr>
      <w:bookmarkStart w:id="501" w:name="_Toc185514118"/>
      <w:r w:rsidRPr="00C8328B">
        <w:rPr>
          <w:rStyle w:val="CharSectNo"/>
        </w:rPr>
        <w:t>1523</w:t>
      </w:r>
      <w:r>
        <w:tab/>
        <w:t>Separate decisions on questions—decision</w:t>
      </w:r>
      <w:bookmarkEnd w:id="501"/>
    </w:p>
    <w:p w14:paraId="0CE5299E" w14:textId="77777777" w:rsidR="003D4FF5" w:rsidRDefault="003D4FF5" w:rsidP="003D4FF5">
      <w:pPr>
        <w:pStyle w:val="Amain"/>
      </w:pPr>
      <w:r>
        <w:tab/>
        <w:t>(1)</w:t>
      </w:r>
      <w:r>
        <w:tab/>
        <w:t>If a question is decided under this division, the court may make the order, grant the relief and give the directions that the nature of the case requires.</w:t>
      </w:r>
    </w:p>
    <w:p w14:paraId="4E7A498C" w14:textId="77777777" w:rsidR="003D4FF5" w:rsidRDefault="003D4FF5" w:rsidP="003D4FF5">
      <w:pPr>
        <w:pStyle w:val="Amain"/>
      </w:pPr>
      <w:r>
        <w:tab/>
        <w:t>(2)</w:t>
      </w:r>
      <w:r>
        <w:tab/>
        <w:t>The court may, in relation to a decision of a question under this division, as the nature of the case requires—</w:t>
      </w:r>
    </w:p>
    <w:p w14:paraId="44644DB6" w14:textId="77777777" w:rsidR="003D4FF5" w:rsidRDefault="003D4FF5" w:rsidP="003D4FF5">
      <w:pPr>
        <w:pStyle w:val="Apara"/>
        <w:spacing w:after="20"/>
      </w:pPr>
      <w:r>
        <w:tab/>
        <w:t>(a)</w:t>
      </w:r>
      <w:r>
        <w:tab/>
        <w:t>dismiss the proceeding or all or part of a claim for relief in the proceeding; or</w:t>
      </w:r>
    </w:p>
    <w:p w14:paraId="57060E64" w14:textId="77777777" w:rsidR="003D4FF5" w:rsidRDefault="003D4FF5" w:rsidP="003D4FF5">
      <w:pPr>
        <w:pStyle w:val="Apara"/>
        <w:spacing w:after="20"/>
      </w:pPr>
      <w:r>
        <w:tab/>
        <w:t>(b)</w:t>
      </w:r>
      <w:r>
        <w:tab/>
        <w:t>give judgment, including a declaratory judgment; or</w:t>
      </w:r>
    </w:p>
    <w:p w14:paraId="1E62F2EA" w14:textId="77777777" w:rsidR="003D4FF5" w:rsidRDefault="003D4FF5" w:rsidP="003D4FF5">
      <w:pPr>
        <w:pStyle w:val="Apara"/>
      </w:pPr>
      <w:r>
        <w:tab/>
        <w:t>(c)</w:t>
      </w:r>
      <w:r>
        <w:tab/>
        <w:t>make another order.</w:t>
      </w:r>
    </w:p>
    <w:p w14:paraId="550DB3A7" w14:textId="77777777" w:rsidR="003D4FF5" w:rsidRPr="00C8328B" w:rsidRDefault="003D4FF5" w:rsidP="003D4FF5">
      <w:pPr>
        <w:pStyle w:val="AH3Div"/>
      </w:pPr>
      <w:bookmarkStart w:id="502" w:name="_Toc185514119"/>
      <w:r w:rsidRPr="00C8328B">
        <w:rPr>
          <w:rStyle w:val="CharDivNo"/>
        </w:rPr>
        <w:t>Division 2.15.4</w:t>
      </w:r>
      <w:r>
        <w:tab/>
      </w:r>
      <w:r w:rsidRPr="00C8328B">
        <w:rPr>
          <w:rStyle w:val="CharDivText"/>
        </w:rPr>
        <w:t>Assessors and court-appointed referees</w:t>
      </w:r>
      <w:bookmarkEnd w:id="502"/>
    </w:p>
    <w:p w14:paraId="09B1F3CD" w14:textId="77777777" w:rsidR="003D4FF5" w:rsidRDefault="003D4FF5" w:rsidP="003D4FF5">
      <w:pPr>
        <w:pStyle w:val="AH5Sec"/>
      </w:pPr>
      <w:bookmarkStart w:id="503" w:name="_Toc185514120"/>
      <w:r w:rsidRPr="00C8328B">
        <w:rPr>
          <w:rStyle w:val="CharSectNo"/>
        </w:rPr>
        <w:t>1530</w:t>
      </w:r>
      <w:r>
        <w:tab/>
        <w:t>Assessors</w:t>
      </w:r>
      <w:bookmarkEnd w:id="503"/>
    </w:p>
    <w:p w14:paraId="0AE2A2B1" w14:textId="77777777" w:rsidR="003D4FF5" w:rsidRDefault="003D4FF5" w:rsidP="003D4FF5">
      <w:pPr>
        <w:pStyle w:val="Amain"/>
      </w:pPr>
      <w:r>
        <w:tab/>
        <w:t>(1)</w:t>
      </w:r>
      <w:r>
        <w:tab/>
        <w:t>The court may sit with 1 or more assessors.</w:t>
      </w:r>
    </w:p>
    <w:p w14:paraId="33882204" w14:textId="77777777" w:rsidR="003D4FF5" w:rsidRDefault="003D4FF5" w:rsidP="003D4FF5">
      <w:pPr>
        <w:pStyle w:val="Amain"/>
        <w:keepNext/>
      </w:pPr>
      <w:r>
        <w:tab/>
        <w:t>(2)</w:t>
      </w:r>
      <w:r>
        <w:tab/>
        <w:t>A trial with assessors may be conducted as the court directs.</w:t>
      </w:r>
    </w:p>
    <w:p w14:paraId="088DB26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3F019659" w14:textId="77777777" w:rsidR="003D4FF5" w:rsidRDefault="003D4FF5" w:rsidP="003D4FF5">
      <w:pPr>
        <w:pStyle w:val="Amain"/>
      </w:pPr>
      <w:r>
        <w:tab/>
        <w:t>(3)</w:t>
      </w:r>
      <w:r>
        <w:tab/>
        <w:t>Assessors may be appointed as the court directs.</w:t>
      </w:r>
    </w:p>
    <w:p w14:paraId="3AF19D03" w14:textId="76413491" w:rsidR="003D4FF5" w:rsidRDefault="003D4FF5" w:rsidP="003D4FF5">
      <w:pPr>
        <w:pStyle w:val="Amain"/>
      </w:pPr>
      <w:r>
        <w:lastRenderedPageBreak/>
        <w:tab/>
        <w:t>(4)</w:t>
      </w:r>
      <w:r>
        <w:tab/>
        <w:t xml:space="preserve">The </w:t>
      </w:r>
      <w:hyperlink r:id="rId141" w:tooltip="A2001-14" w:history="1">
        <w:r w:rsidRPr="005A5F43">
          <w:rPr>
            <w:rStyle w:val="charCitHyperlinkAbbrev"/>
          </w:rPr>
          <w:t>Legislation Act</w:t>
        </w:r>
      </w:hyperlink>
      <w:r>
        <w:t>, part 19.3 (Appointments) does not apply to an appointment under this rule.</w:t>
      </w:r>
    </w:p>
    <w:p w14:paraId="62215D45" w14:textId="77777777" w:rsidR="003D4FF5" w:rsidRDefault="003D4FF5" w:rsidP="003D4FF5">
      <w:pPr>
        <w:pStyle w:val="AH5Sec"/>
      </w:pPr>
      <w:bookmarkStart w:id="504" w:name="_Toc185514121"/>
      <w:r w:rsidRPr="00C8328B">
        <w:rPr>
          <w:rStyle w:val="CharSectNo"/>
        </w:rPr>
        <w:t>1531</w:t>
      </w:r>
      <w:r>
        <w:tab/>
        <w:t>Referee—referral of question etc</w:t>
      </w:r>
      <w:bookmarkEnd w:id="504"/>
    </w:p>
    <w:p w14:paraId="35041076" w14:textId="77777777" w:rsidR="003D4FF5" w:rsidRDefault="003D4FF5" w:rsidP="003D4FF5">
      <w:pPr>
        <w:pStyle w:val="Amain"/>
      </w:pPr>
      <w:r>
        <w:tab/>
        <w:t>(1)</w:t>
      </w:r>
      <w:r>
        <w:tab/>
        <w:t>The court may, at any stage of a proceeding—</w:t>
      </w:r>
    </w:p>
    <w:p w14:paraId="77F84406" w14:textId="77777777" w:rsidR="003D4FF5" w:rsidRDefault="003D4FF5" w:rsidP="003D4FF5">
      <w:pPr>
        <w:pStyle w:val="Apara"/>
      </w:pPr>
      <w:r>
        <w:tab/>
        <w:t>(a)</w:t>
      </w:r>
      <w:r>
        <w:tab/>
        <w:t>refer a question to a referee for the referee to give an opinion on, or hear and decide, the question; or</w:t>
      </w:r>
    </w:p>
    <w:p w14:paraId="0A568D20" w14:textId="77777777" w:rsidR="003D4FF5" w:rsidRDefault="003D4FF5" w:rsidP="003D4FF5">
      <w:pPr>
        <w:pStyle w:val="Apara"/>
      </w:pPr>
      <w:r>
        <w:tab/>
        <w:t>(b)</w:t>
      </w:r>
      <w:r>
        <w:tab/>
        <w:t>refer the proceeding to a referee for the referee to give an opinion on, or hear and decide, the proceeding.</w:t>
      </w:r>
    </w:p>
    <w:p w14:paraId="3570AA51" w14:textId="77777777" w:rsidR="003D4FF5" w:rsidRDefault="003D4FF5" w:rsidP="003D4FF5">
      <w:pPr>
        <w:pStyle w:val="Amain"/>
        <w:keepNext/>
      </w:pPr>
      <w:r>
        <w:tab/>
        <w:t>(2)</w:t>
      </w:r>
      <w:r>
        <w:tab/>
        <w:t>The court may make an order on application by a party to the proceeding or on its own initiative.</w:t>
      </w:r>
    </w:p>
    <w:p w14:paraId="3E42A6E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1E0A2F69" w14:textId="77777777" w:rsidR="003D4FF5" w:rsidRDefault="003D4FF5" w:rsidP="003D4FF5">
      <w:pPr>
        <w:pStyle w:val="Amain"/>
      </w:pPr>
      <w:r>
        <w:tab/>
        <w:t>(3)</w:t>
      </w:r>
      <w:r>
        <w:tab/>
        <w:t>If the court makes an order under subrule (1), it may give directions about the conduct of the reference.</w:t>
      </w:r>
    </w:p>
    <w:p w14:paraId="07C97ECD" w14:textId="77777777" w:rsidR="003D4FF5" w:rsidRDefault="003D4FF5" w:rsidP="003D4FF5">
      <w:pPr>
        <w:pStyle w:val="Amain"/>
      </w:pPr>
      <w:r>
        <w:tab/>
        <w:t>(4)</w:t>
      </w:r>
      <w:r>
        <w:tab/>
        <w:t>Directions may be given in the reference or from time to time on application by a party or on the court’s own initiative.</w:t>
      </w:r>
    </w:p>
    <w:p w14:paraId="58124607" w14:textId="77777777" w:rsidR="003D4FF5" w:rsidRDefault="003D4FF5" w:rsidP="003D4FF5">
      <w:pPr>
        <w:pStyle w:val="AH5Sec"/>
      </w:pPr>
      <w:bookmarkStart w:id="505" w:name="_Toc185514122"/>
      <w:r w:rsidRPr="00C8328B">
        <w:rPr>
          <w:rStyle w:val="CharSectNo"/>
        </w:rPr>
        <w:t>1532</w:t>
      </w:r>
      <w:r>
        <w:tab/>
        <w:t>Referee—appointment</w:t>
      </w:r>
      <w:bookmarkEnd w:id="505"/>
    </w:p>
    <w:p w14:paraId="5015664A" w14:textId="77777777" w:rsidR="003D4FF5" w:rsidRDefault="003D4FF5" w:rsidP="003D4FF5">
      <w:pPr>
        <w:pStyle w:val="Amain"/>
        <w:keepNext/>
      </w:pPr>
      <w:r>
        <w:tab/>
        <w:t>(1)</w:t>
      </w:r>
      <w:r>
        <w:tab/>
        <w:t>The court may appoint a referee for a reference.</w:t>
      </w:r>
    </w:p>
    <w:p w14:paraId="600206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14:paraId="48BB03B0" w14:textId="77777777" w:rsidR="003D4FF5" w:rsidRDefault="003D4FF5" w:rsidP="003D4FF5">
      <w:pPr>
        <w:pStyle w:val="Amain"/>
      </w:pPr>
      <w:r>
        <w:tab/>
        <w:t>(2)</w:t>
      </w:r>
      <w:r>
        <w:tab/>
        <w:t>A referee may be—</w:t>
      </w:r>
    </w:p>
    <w:p w14:paraId="498951FA" w14:textId="77777777" w:rsidR="003D4FF5" w:rsidRDefault="003D4FF5" w:rsidP="003D4FF5">
      <w:pPr>
        <w:pStyle w:val="Apara"/>
      </w:pPr>
      <w:r>
        <w:tab/>
        <w:t>(a)</w:t>
      </w:r>
      <w:r>
        <w:tab/>
        <w:t>a judicial officer or other officer of the court; or</w:t>
      </w:r>
    </w:p>
    <w:p w14:paraId="341AB1E6" w14:textId="77777777" w:rsidR="003D4FF5" w:rsidRDefault="003D4FF5" w:rsidP="003D4FF5">
      <w:pPr>
        <w:pStyle w:val="Apara"/>
      </w:pPr>
      <w:r>
        <w:tab/>
        <w:t>(b)</w:t>
      </w:r>
      <w:r>
        <w:tab/>
        <w:t>anyone else—</w:t>
      </w:r>
    </w:p>
    <w:p w14:paraId="7F27825E" w14:textId="77777777" w:rsidR="003D4FF5" w:rsidRDefault="003D4FF5" w:rsidP="003D4FF5">
      <w:pPr>
        <w:pStyle w:val="Asubpara"/>
      </w:pPr>
      <w:r>
        <w:tab/>
        <w:t>(i)</w:t>
      </w:r>
      <w:r>
        <w:tab/>
        <w:t>agreed by the parties; or</w:t>
      </w:r>
    </w:p>
    <w:p w14:paraId="29C14ABC" w14:textId="77777777" w:rsidR="003D4FF5" w:rsidRDefault="003D4FF5" w:rsidP="003D4FF5">
      <w:pPr>
        <w:pStyle w:val="Asubpara"/>
      </w:pPr>
      <w:r>
        <w:tab/>
        <w:t>(ii)</w:t>
      </w:r>
      <w:r>
        <w:tab/>
        <w:t>named by the court; or</w:t>
      </w:r>
    </w:p>
    <w:p w14:paraId="775CC810" w14:textId="77777777" w:rsidR="003D4FF5" w:rsidRDefault="003D4FF5" w:rsidP="003D4FF5">
      <w:pPr>
        <w:pStyle w:val="Asubpara"/>
      </w:pPr>
      <w:r>
        <w:tab/>
        <w:t>(iii)</w:t>
      </w:r>
      <w:r>
        <w:tab/>
        <w:t>named by a person nominated by the court to select a suitable referee.</w:t>
      </w:r>
    </w:p>
    <w:p w14:paraId="3D740FBD" w14:textId="77777777" w:rsidR="003D4FF5" w:rsidRDefault="003D4FF5" w:rsidP="003D4FF5">
      <w:pPr>
        <w:pStyle w:val="Amain"/>
      </w:pPr>
      <w:r>
        <w:lastRenderedPageBreak/>
        <w:tab/>
        <w:t>(3)</w:t>
      </w:r>
      <w:r>
        <w:tab/>
        <w:t>A judicial officer or other officer of the Supreme Court may only be appointed with the agreement of the Chief Justice.</w:t>
      </w:r>
    </w:p>
    <w:p w14:paraId="288C9E4D" w14:textId="77777777" w:rsidR="003D4FF5" w:rsidRDefault="003D4FF5" w:rsidP="003D4FF5">
      <w:pPr>
        <w:pStyle w:val="Amain"/>
      </w:pPr>
      <w:r>
        <w:tab/>
        <w:t>(4)</w:t>
      </w:r>
      <w:r>
        <w:tab/>
        <w:t>A judicial officer or other officer of the Magistrates Court may only be appointed with the agreement of the Chief Magistrate.</w:t>
      </w:r>
    </w:p>
    <w:p w14:paraId="35A1C53E" w14:textId="64858BEF" w:rsidR="003D4FF5" w:rsidRDefault="003D4FF5" w:rsidP="003D4FF5">
      <w:pPr>
        <w:pStyle w:val="Amain"/>
      </w:pPr>
      <w:r>
        <w:tab/>
        <w:t>(5)</w:t>
      </w:r>
      <w:r>
        <w:tab/>
        <w:t xml:space="preserve">The </w:t>
      </w:r>
      <w:hyperlink r:id="rId142" w:tooltip="A2001-14" w:history="1">
        <w:r w:rsidRPr="005A5F43">
          <w:rPr>
            <w:rStyle w:val="charCitHyperlinkAbbrev"/>
          </w:rPr>
          <w:t>Legislation Act</w:t>
        </w:r>
      </w:hyperlink>
      <w:r>
        <w:t>, part 19.3 (Appointments) does not apply to an appointment under this rule.</w:t>
      </w:r>
    </w:p>
    <w:p w14:paraId="1A18AA20" w14:textId="77777777" w:rsidR="003D4FF5" w:rsidRDefault="003D4FF5" w:rsidP="003D4FF5">
      <w:pPr>
        <w:pStyle w:val="AH5Sec"/>
      </w:pPr>
      <w:bookmarkStart w:id="506" w:name="_Toc185514123"/>
      <w:r w:rsidRPr="00C8328B">
        <w:rPr>
          <w:rStyle w:val="CharSectNo"/>
        </w:rPr>
        <w:t>1533</w:t>
      </w:r>
      <w:r>
        <w:tab/>
        <w:t>Referee—amendment of order referring question etc</w:t>
      </w:r>
      <w:bookmarkEnd w:id="506"/>
    </w:p>
    <w:p w14:paraId="3F4355DB" w14:textId="77777777" w:rsidR="003D4FF5" w:rsidRDefault="003D4FF5" w:rsidP="003D4FF5">
      <w:pPr>
        <w:pStyle w:val="Amain"/>
      </w:pPr>
      <w:r>
        <w:tab/>
        <w:t>(1)</w:t>
      </w:r>
      <w:r>
        <w:tab/>
        <w:t>The court may amend or set aside an order made under rule 1531 (Referee—referral of question etc).</w:t>
      </w:r>
    </w:p>
    <w:p w14:paraId="1541904C" w14:textId="77777777" w:rsidR="003D4FF5" w:rsidRDefault="003D4FF5" w:rsidP="003D4FF5">
      <w:pPr>
        <w:pStyle w:val="Amain"/>
      </w:pPr>
      <w:r>
        <w:tab/>
        <w:t>(2)</w:t>
      </w:r>
      <w:r>
        <w:tab/>
        <w:t>The court may amend or set aside the order—</w:t>
      </w:r>
    </w:p>
    <w:p w14:paraId="0F497001" w14:textId="77777777" w:rsidR="003D4FF5" w:rsidRDefault="003D4FF5" w:rsidP="003D4FF5">
      <w:pPr>
        <w:pStyle w:val="Apara"/>
      </w:pPr>
      <w:r>
        <w:tab/>
        <w:t>(a)</w:t>
      </w:r>
      <w:r>
        <w:tab/>
        <w:t>on application by the referee or a party to the proceeding under the reference; or</w:t>
      </w:r>
    </w:p>
    <w:p w14:paraId="0F5A9947" w14:textId="77777777" w:rsidR="003D4FF5" w:rsidRDefault="003D4FF5" w:rsidP="003D4FF5">
      <w:pPr>
        <w:pStyle w:val="Apara"/>
        <w:keepNext/>
      </w:pPr>
      <w:r>
        <w:tab/>
        <w:t>(b)</w:t>
      </w:r>
      <w:r>
        <w:tab/>
        <w:t>on its own initiative.</w:t>
      </w:r>
    </w:p>
    <w:p w14:paraId="21B6F42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C0B72A" w14:textId="77777777" w:rsidR="003D4FF5" w:rsidRDefault="003D4FF5" w:rsidP="003D4FF5">
      <w:pPr>
        <w:pStyle w:val="Amain"/>
      </w:pPr>
      <w:r>
        <w:tab/>
        <w:t>(3)</w:t>
      </w:r>
      <w:r>
        <w:tab/>
        <w:t>This rule does not affect any other power of the court to amend or set aside an order made under rule 1531.</w:t>
      </w:r>
    </w:p>
    <w:p w14:paraId="363F6E92" w14:textId="77777777" w:rsidR="003D4FF5" w:rsidRDefault="003D4FF5" w:rsidP="003D4FF5">
      <w:pPr>
        <w:pStyle w:val="AH5Sec"/>
      </w:pPr>
      <w:bookmarkStart w:id="507" w:name="_Toc185514124"/>
      <w:r w:rsidRPr="00C8328B">
        <w:rPr>
          <w:rStyle w:val="CharSectNo"/>
        </w:rPr>
        <w:t>1534</w:t>
      </w:r>
      <w:r>
        <w:tab/>
        <w:t>Referee—conduct under reference</w:t>
      </w:r>
      <w:bookmarkEnd w:id="507"/>
    </w:p>
    <w:p w14:paraId="3A81A63E" w14:textId="77777777" w:rsidR="003D4FF5" w:rsidRDefault="003D4FF5" w:rsidP="003D4FF5">
      <w:pPr>
        <w:pStyle w:val="Amain"/>
      </w:pPr>
      <w:r>
        <w:tab/>
        <w:t>(1)</w:t>
      </w:r>
      <w:r>
        <w:tab/>
        <w:t>A question or proceeding referred to a referee under rule 1531 must be conducted as if—</w:t>
      </w:r>
    </w:p>
    <w:p w14:paraId="1AD362C8" w14:textId="73269B46" w:rsidR="003D4FF5" w:rsidRDefault="003D4FF5" w:rsidP="003D4FF5">
      <w:pPr>
        <w:pStyle w:val="Apara"/>
      </w:pPr>
      <w:r>
        <w:tab/>
        <w:t>(a)</w:t>
      </w:r>
      <w:r>
        <w:tab/>
        <w:t xml:space="preserve">the reference were an arbitration agreement under the </w:t>
      </w:r>
      <w:hyperlink r:id="rId143" w:tooltip="A2017-7" w:history="1">
        <w:r w:rsidR="00580F93" w:rsidRPr="00A60754">
          <w:rPr>
            <w:rStyle w:val="charCitHyperlinkItal"/>
          </w:rPr>
          <w:t>Commercial Arbitration Act 2017</w:t>
        </w:r>
      </w:hyperlink>
      <w:r>
        <w:t>; and</w:t>
      </w:r>
    </w:p>
    <w:p w14:paraId="3A81465C" w14:textId="77777777"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14:paraId="0C74F7A4" w14:textId="77777777"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14:paraId="7E4CF53D" w14:textId="77777777" w:rsidR="003D4FF5" w:rsidRDefault="003D4FF5" w:rsidP="003D4FF5">
      <w:pPr>
        <w:pStyle w:val="Amain"/>
      </w:pPr>
      <w:r>
        <w:lastRenderedPageBreak/>
        <w:tab/>
        <w:t>(3)</w:t>
      </w:r>
      <w:r>
        <w:tab/>
        <w:t>This rule is subject to—</w:t>
      </w:r>
    </w:p>
    <w:p w14:paraId="69691ADF" w14:textId="77777777" w:rsidR="003D4FF5" w:rsidRDefault="003D4FF5" w:rsidP="003D4FF5">
      <w:pPr>
        <w:pStyle w:val="Apara"/>
      </w:pPr>
      <w:r>
        <w:tab/>
        <w:t>(a)</w:t>
      </w:r>
      <w:r>
        <w:tab/>
        <w:t>any directions given by the court under rule 1531 for the reference; and</w:t>
      </w:r>
    </w:p>
    <w:p w14:paraId="0038C4A4" w14:textId="77777777" w:rsidR="003D4FF5" w:rsidRDefault="003D4FF5" w:rsidP="003D4FF5">
      <w:pPr>
        <w:pStyle w:val="Apara"/>
      </w:pPr>
      <w:r>
        <w:tab/>
        <w:t>(b)</w:t>
      </w:r>
      <w:r>
        <w:tab/>
        <w:t>rule 1535.</w:t>
      </w:r>
    </w:p>
    <w:p w14:paraId="1CDC8313" w14:textId="77777777" w:rsidR="003D4FF5" w:rsidRDefault="003D4FF5" w:rsidP="003D4FF5">
      <w:pPr>
        <w:pStyle w:val="AH5Sec"/>
      </w:pPr>
      <w:bookmarkStart w:id="508" w:name="_Toc185514125"/>
      <w:r w:rsidRPr="00C8328B">
        <w:rPr>
          <w:rStyle w:val="CharSectNo"/>
        </w:rPr>
        <w:t>1535</w:t>
      </w:r>
      <w:r>
        <w:tab/>
        <w:t>Referee—submission of question to court</w:t>
      </w:r>
      <w:bookmarkEnd w:id="508"/>
    </w:p>
    <w:p w14:paraId="529D2BEC" w14:textId="77777777" w:rsidR="003D4FF5" w:rsidRDefault="003D4FF5" w:rsidP="003D4FF5">
      <w:pPr>
        <w:pStyle w:val="Amain"/>
      </w:pPr>
      <w:r>
        <w:tab/>
        <w:t>(1)</w:t>
      </w:r>
      <w:r>
        <w:tab/>
        <w:t>A referee may submit for the decision of the court a question that arises in the course of the question or proceeding referred to the referee under rule 1531.</w:t>
      </w:r>
    </w:p>
    <w:p w14:paraId="72AAD18D" w14:textId="77777777" w:rsidR="003D4FF5" w:rsidRDefault="003D4FF5" w:rsidP="003D4FF5">
      <w:pPr>
        <w:pStyle w:val="Amain"/>
      </w:pPr>
      <w:r>
        <w:tab/>
        <w:t>(2)</w:t>
      </w:r>
      <w:r>
        <w:tab/>
        <w:t>The registrar must give a copy of the question to each active party at least 7 days before the day the question is considered by the court.</w:t>
      </w:r>
    </w:p>
    <w:p w14:paraId="1E35FFBE" w14:textId="77777777" w:rsidR="003D4FF5" w:rsidRDefault="003D4FF5" w:rsidP="003D4FF5">
      <w:pPr>
        <w:pStyle w:val="Amain"/>
      </w:pPr>
      <w:r>
        <w:tab/>
        <w:t>(3)</w:t>
      </w:r>
      <w:r>
        <w:tab/>
        <w:t>A party to the proceeding may file written submissions about the question not later than 7 days after the day the party is given a copy of the question.</w:t>
      </w:r>
    </w:p>
    <w:p w14:paraId="18A0D6B2" w14:textId="77777777" w:rsidR="003D4FF5" w:rsidRDefault="003D4FF5" w:rsidP="003D4FF5">
      <w:pPr>
        <w:pStyle w:val="Amain"/>
      </w:pPr>
      <w:r>
        <w:tab/>
        <w:t>(4)</w:t>
      </w:r>
      <w:r>
        <w:tab/>
        <w:t>The court must set a date for a hearing to consider the question.</w:t>
      </w:r>
    </w:p>
    <w:p w14:paraId="6D5926C1" w14:textId="77777777" w:rsidR="003D4FF5" w:rsidRDefault="003D4FF5" w:rsidP="003D4FF5">
      <w:pPr>
        <w:pStyle w:val="Amain"/>
      </w:pPr>
      <w:r>
        <w:tab/>
        <w:t>(5)</w:t>
      </w:r>
      <w:r>
        <w:tab/>
        <w:t>The registrar must tell the active parties the date set for the hearing.</w:t>
      </w:r>
    </w:p>
    <w:p w14:paraId="1030ADE1" w14:textId="77777777" w:rsidR="003D4FF5" w:rsidRDefault="003D4FF5" w:rsidP="003D4FF5">
      <w:pPr>
        <w:pStyle w:val="Amain"/>
      </w:pPr>
      <w:r>
        <w:tab/>
        <w:t>(6)</w:t>
      </w:r>
      <w:r>
        <w:tab/>
        <w:t>After considering any submissions made by the parties, the court must decide the question and may give the referee directions it considers appropriate.</w:t>
      </w:r>
    </w:p>
    <w:p w14:paraId="368B5CA4" w14:textId="77777777" w:rsidR="003D4FF5" w:rsidRDefault="003D4FF5" w:rsidP="003D4FF5">
      <w:pPr>
        <w:pStyle w:val="Amain"/>
      </w:pPr>
      <w:r>
        <w:tab/>
        <w:t>(7)</w:t>
      </w:r>
      <w:r>
        <w:tab/>
        <w:t>The referee must comply with the decision of the court given on the question or proceeding.</w:t>
      </w:r>
    </w:p>
    <w:p w14:paraId="1B6DD97F" w14:textId="77777777" w:rsidR="003D4FF5" w:rsidRDefault="003D4FF5" w:rsidP="003D4FF5">
      <w:pPr>
        <w:pStyle w:val="AH5Sec"/>
      </w:pPr>
      <w:bookmarkStart w:id="509" w:name="_Toc185514126"/>
      <w:r w:rsidRPr="00C8328B">
        <w:rPr>
          <w:rStyle w:val="CharSectNo"/>
        </w:rPr>
        <w:t>1536</w:t>
      </w:r>
      <w:r>
        <w:tab/>
        <w:t>Referee—report</w:t>
      </w:r>
      <w:bookmarkEnd w:id="509"/>
    </w:p>
    <w:p w14:paraId="603D8F69" w14:textId="77777777" w:rsidR="003D4FF5" w:rsidRDefault="003D4FF5" w:rsidP="003D4FF5">
      <w:pPr>
        <w:pStyle w:val="Amain"/>
        <w:keepNext/>
      </w:pPr>
      <w:r>
        <w:tab/>
        <w:t>(1)</w:t>
      </w:r>
      <w:r>
        <w:tab/>
        <w:t>Unless the court otherwise orders, a referee must file a written report on the question or proceeding referred to the referee.</w:t>
      </w:r>
    </w:p>
    <w:p w14:paraId="34B3A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BAB62E4" w14:textId="77777777" w:rsidR="003D4FF5" w:rsidRDefault="003D4FF5" w:rsidP="00054CAA">
      <w:pPr>
        <w:pStyle w:val="Amain"/>
        <w:keepNext/>
      </w:pPr>
      <w:r>
        <w:lastRenderedPageBreak/>
        <w:tab/>
        <w:t>(2)</w:t>
      </w:r>
      <w:r>
        <w:tab/>
        <w:t>The report must—</w:t>
      </w:r>
    </w:p>
    <w:p w14:paraId="28FDB36D" w14:textId="77777777" w:rsidR="003D4FF5" w:rsidRDefault="003D4FF5" w:rsidP="003D4FF5">
      <w:pPr>
        <w:pStyle w:val="Apara"/>
      </w:pPr>
      <w:r>
        <w:tab/>
        <w:t>(a)</w:t>
      </w:r>
      <w:r>
        <w:tab/>
        <w:t>give the referee’s opinion or decision on the question or proceeding referred; and</w:t>
      </w:r>
    </w:p>
    <w:p w14:paraId="27D913F9" w14:textId="77777777" w:rsidR="003D4FF5" w:rsidRDefault="003D4FF5" w:rsidP="003D4FF5">
      <w:pPr>
        <w:pStyle w:val="Apara"/>
      </w:pPr>
      <w:r>
        <w:tab/>
        <w:t>(b)</w:t>
      </w:r>
      <w:r>
        <w:tab/>
        <w:t>give reasons for the opinion or decision; and</w:t>
      </w:r>
    </w:p>
    <w:p w14:paraId="4DDFF3D9" w14:textId="77777777" w:rsidR="003D4FF5" w:rsidRDefault="003D4FF5" w:rsidP="003D4FF5">
      <w:pPr>
        <w:pStyle w:val="Apara"/>
      </w:pPr>
      <w:r>
        <w:tab/>
        <w:t>(c)</w:t>
      </w:r>
      <w:r>
        <w:tab/>
        <w:t>have attached to it the statements given to the referee by the parties under rule 1534 (2).</w:t>
      </w:r>
    </w:p>
    <w:p w14:paraId="239AB51C" w14:textId="77777777" w:rsidR="003D4FF5" w:rsidRDefault="003D4FF5" w:rsidP="003D4FF5">
      <w:pPr>
        <w:pStyle w:val="Amain"/>
      </w:pPr>
      <w:r>
        <w:tab/>
        <w:t>(3)</w:t>
      </w:r>
      <w:r>
        <w:tab/>
        <w:t>The registrar must give a copy of the report to each active party.</w:t>
      </w:r>
    </w:p>
    <w:p w14:paraId="0122AE85" w14:textId="77777777" w:rsidR="003D4FF5" w:rsidRDefault="003D4FF5" w:rsidP="003D4FF5">
      <w:pPr>
        <w:pStyle w:val="AH5Sec"/>
      </w:pPr>
      <w:bookmarkStart w:id="510" w:name="_Toc185514127"/>
      <w:r w:rsidRPr="00C8328B">
        <w:rPr>
          <w:rStyle w:val="CharSectNo"/>
        </w:rPr>
        <w:t>1537</w:t>
      </w:r>
      <w:r>
        <w:tab/>
        <w:t>Referee—proceeding on report</w:t>
      </w:r>
      <w:bookmarkEnd w:id="510"/>
    </w:p>
    <w:p w14:paraId="2A8DD266" w14:textId="77777777" w:rsidR="003D4FF5" w:rsidRDefault="003D4FF5" w:rsidP="003D4FF5">
      <w:pPr>
        <w:pStyle w:val="Amain"/>
      </w:pPr>
      <w:r>
        <w:tab/>
        <w:t>(1)</w:t>
      </w:r>
      <w:r>
        <w:tab/>
        <w:t>This rule applies if a referee’s report has been filed in the court in a proceeding.</w:t>
      </w:r>
    </w:p>
    <w:p w14:paraId="1DCD61BC" w14:textId="77777777" w:rsidR="003D4FF5" w:rsidRDefault="003D4FF5" w:rsidP="003D4FF5">
      <w:pPr>
        <w:pStyle w:val="Amain"/>
      </w:pPr>
      <w:r>
        <w:tab/>
        <w:t>(2)</w:t>
      </w:r>
      <w:r>
        <w:tab/>
        <w:t>On application by a party, the court may, on a matter of fact or law or both—</w:t>
      </w:r>
    </w:p>
    <w:p w14:paraId="6B2B1DA2" w14:textId="77777777" w:rsidR="003D4FF5" w:rsidRDefault="003D4FF5" w:rsidP="003D4FF5">
      <w:pPr>
        <w:pStyle w:val="Apara"/>
      </w:pPr>
      <w:r>
        <w:tab/>
        <w:t>(a)</w:t>
      </w:r>
      <w:r>
        <w:tab/>
        <w:t>accept, amend or reject all or part of the report; or</w:t>
      </w:r>
    </w:p>
    <w:p w14:paraId="701CB81D" w14:textId="77777777" w:rsidR="003D4FF5" w:rsidRDefault="003D4FF5" w:rsidP="003D4FF5">
      <w:pPr>
        <w:pStyle w:val="Apara"/>
      </w:pPr>
      <w:r>
        <w:tab/>
        <w:t>(b)</w:t>
      </w:r>
      <w:r>
        <w:tab/>
        <w:t>require the referee to give an explanation by further report; or</w:t>
      </w:r>
    </w:p>
    <w:p w14:paraId="18D0141E" w14:textId="77777777" w:rsidR="003D4FF5" w:rsidRDefault="003D4FF5" w:rsidP="003D4FF5">
      <w:pPr>
        <w:pStyle w:val="Apara"/>
      </w:pPr>
      <w:r>
        <w:tab/>
        <w:t>(c)</w:t>
      </w:r>
      <w:r>
        <w:tab/>
        <w:t>on any ground, remit for further consideration and report by the referee all or part of the question or proceeding referred to the referee; or</w:t>
      </w:r>
    </w:p>
    <w:p w14:paraId="01A085D0" w14:textId="77777777" w:rsidR="003D4FF5" w:rsidRDefault="003D4FF5" w:rsidP="003D4FF5">
      <w:pPr>
        <w:pStyle w:val="Apara"/>
        <w:keepNext/>
      </w:pPr>
      <w:r>
        <w:tab/>
        <w:t>(d)</w:t>
      </w:r>
      <w:r>
        <w:tab/>
        <w:t>make an order in the proceeding on the evidence taken before the referee, with or without additional evidence.</w:t>
      </w:r>
    </w:p>
    <w:p w14:paraId="063A37E9"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27F93B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14:paraId="735320BD" w14:textId="77777777" w:rsidR="003D4FF5" w:rsidRDefault="003D4FF5" w:rsidP="003D4FF5">
      <w:pPr>
        <w:pStyle w:val="Amain"/>
      </w:pPr>
      <w:r>
        <w:tab/>
        <w:t>(3)</w:t>
      </w:r>
      <w:r>
        <w:tab/>
        <w:t>A party applying for an order under subrule (2) (d) must give at least 7 days notice of the party’s intention to apply for the order to all other active parties.</w:t>
      </w:r>
    </w:p>
    <w:p w14:paraId="571BEF3E" w14:textId="77777777"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14:paraId="65B61149" w14:textId="77777777" w:rsidR="003D4FF5" w:rsidRDefault="003D4FF5" w:rsidP="003D4FF5">
      <w:pPr>
        <w:pStyle w:val="AH5Sec"/>
      </w:pPr>
      <w:bookmarkStart w:id="511" w:name="_Toc185514128"/>
      <w:r w:rsidRPr="00C8328B">
        <w:rPr>
          <w:rStyle w:val="CharSectNo"/>
        </w:rPr>
        <w:t>1538</w:t>
      </w:r>
      <w:r>
        <w:tab/>
        <w:t>Assessor and referee—remuneration</w:t>
      </w:r>
      <w:bookmarkEnd w:id="511"/>
    </w:p>
    <w:p w14:paraId="14C20FB7" w14:textId="77777777" w:rsidR="003D4FF5" w:rsidRDefault="003D4FF5" w:rsidP="003D4FF5">
      <w:pPr>
        <w:pStyle w:val="Amain"/>
      </w:pPr>
      <w:r>
        <w:tab/>
        <w:t>(1)</w:t>
      </w:r>
      <w:r>
        <w:tab/>
        <w:t>The court may decide, either in the first instance or finally—</w:t>
      </w:r>
    </w:p>
    <w:p w14:paraId="73E18C0F" w14:textId="77777777" w:rsidR="003D4FF5" w:rsidRDefault="003D4FF5" w:rsidP="003D4FF5">
      <w:pPr>
        <w:pStyle w:val="Apara"/>
      </w:pPr>
      <w:r>
        <w:tab/>
        <w:t>(a)</w:t>
      </w:r>
      <w:r>
        <w:tab/>
        <w:t>the remuneration of a referee or assessor; and</w:t>
      </w:r>
    </w:p>
    <w:p w14:paraId="2EC71E93" w14:textId="77777777" w:rsidR="003D4FF5" w:rsidRDefault="003D4FF5" w:rsidP="003D4FF5">
      <w:pPr>
        <w:pStyle w:val="Apara"/>
        <w:keepNext/>
      </w:pPr>
      <w:r>
        <w:tab/>
        <w:t>(b)</w:t>
      </w:r>
      <w:r>
        <w:tab/>
        <w:t>by which party or parties, and in what proportion, the remuneration is to be paid.</w:t>
      </w:r>
    </w:p>
    <w:p w14:paraId="27ECC27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0EC6F79" w14:textId="77777777" w:rsidR="003D4FF5" w:rsidRDefault="003D4FF5" w:rsidP="003D4FF5">
      <w:pPr>
        <w:pStyle w:val="Amain"/>
      </w:pPr>
      <w:r>
        <w:tab/>
        <w:t>(2)</w:t>
      </w:r>
      <w:r>
        <w:tab/>
        <w:t>The court may—</w:t>
      </w:r>
    </w:p>
    <w:p w14:paraId="497D498D" w14:textId="77777777" w:rsidR="003D4FF5" w:rsidRDefault="003D4FF5" w:rsidP="003D4FF5">
      <w:pPr>
        <w:pStyle w:val="Apara"/>
      </w:pPr>
      <w:r>
        <w:tab/>
        <w:t>(a)</w:t>
      </w:r>
      <w:r>
        <w:tab/>
        <w:t>order a party to give security for the remuneration of a referee or assessor; and</w:t>
      </w:r>
    </w:p>
    <w:p w14:paraId="667B82D5" w14:textId="77777777" w:rsidR="003D4FF5" w:rsidRDefault="003D4FF5" w:rsidP="003D4FF5">
      <w:pPr>
        <w:pStyle w:val="Apara"/>
      </w:pPr>
      <w:r>
        <w:tab/>
        <w:t>(b)</w:t>
      </w:r>
      <w:r>
        <w:tab/>
        <w:t>order a stay of the proceeding until the security is given.</w:t>
      </w:r>
    </w:p>
    <w:p w14:paraId="2B5712B3" w14:textId="77777777" w:rsidR="003D4FF5" w:rsidRPr="00C8328B" w:rsidRDefault="003D4FF5" w:rsidP="003D4FF5">
      <w:pPr>
        <w:pStyle w:val="AH3Div"/>
      </w:pPr>
      <w:bookmarkStart w:id="512" w:name="_Toc185514129"/>
      <w:r w:rsidRPr="00C8328B">
        <w:rPr>
          <w:rStyle w:val="CharDivNo"/>
        </w:rPr>
        <w:t>Division 2.15.5</w:t>
      </w:r>
      <w:r>
        <w:tab/>
      </w:r>
      <w:r w:rsidRPr="00C8328B">
        <w:rPr>
          <w:rStyle w:val="CharDivText"/>
        </w:rPr>
        <w:t>Assessment of damages</w:t>
      </w:r>
      <w:bookmarkEnd w:id="512"/>
    </w:p>
    <w:p w14:paraId="46753764" w14:textId="77777777" w:rsidR="003D4FF5" w:rsidRDefault="003D4FF5" w:rsidP="003D4FF5">
      <w:pPr>
        <w:pStyle w:val="AH5Sec"/>
      </w:pPr>
      <w:bookmarkStart w:id="513" w:name="_Toc185514130"/>
      <w:r w:rsidRPr="00C8328B">
        <w:rPr>
          <w:rStyle w:val="CharSectNo"/>
        </w:rPr>
        <w:t>1545</w:t>
      </w:r>
      <w:r>
        <w:tab/>
        <w:t>Application—div 2.15.5</w:t>
      </w:r>
      <w:bookmarkEnd w:id="513"/>
    </w:p>
    <w:p w14:paraId="19DAD36B" w14:textId="77777777" w:rsidR="003D4FF5" w:rsidRDefault="003D4FF5" w:rsidP="003D4FF5">
      <w:pPr>
        <w:pStyle w:val="Amainreturn"/>
        <w:keepNext/>
      </w:pPr>
      <w:r>
        <w:t>This division applies subject to any order of the court.</w:t>
      </w:r>
    </w:p>
    <w:p w14:paraId="7AED6C6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164EF5C" w14:textId="77777777" w:rsidR="003D4FF5" w:rsidRDefault="003D4FF5" w:rsidP="003D4FF5">
      <w:pPr>
        <w:pStyle w:val="AH5Sec"/>
      </w:pPr>
      <w:bookmarkStart w:id="514" w:name="_Toc185514131"/>
      <w:r w:rsidRPr="00C8328B">
        <w:rPr>
          <w:rStyle w:val="CharSectNo"/>
        </w:rPr>
        <w:t>1546</w:t>
      </w:r>
      <w:r>
        <w:tab/>
        <w:t>Assessment of damages</w:t>
      </w:r>
      <w:bookmarkEnd w:id="514"/>
    </w:p>
    <w:p w14:paraId="183F4F9A" w14:textId="77777777" w:rsidR="003D4FF5" w:rsidRDefault="003D4FF5" w:rsidP="003D4FF5">
      <w:pPr>
        <w:pStyle w:val="Amain"/>
      </w:pPr>
      <w:r>
        <w:tab/>
        <w:t>(1)</w:t>
      </w:r>
      <w:r>
        <w:tab/>
        <w:t>An assessment of damages must be conducted as nearly as possible in the same way as a trial.</w:t>
      </w:r>
    </w:p>
    <w:p w14:paraId="4FDD7CBF" w14:textId="77777777" w:rsidR="003D4FF5" w:rsidRDefault="003D4FF5" w:rsidP="003D4FF5">
      <w:pPr>
        <w:pStyle w:val="Amain"/>
      </w:pPr>
      <w:r>
        <w:tab/>
        <w:t>(2)</w:t>
      </w:r>
      <w:r>
        <w:tab/>
        <w:t>This rule is subject to rule 1547.</w:t>
      </w:r>
    </w:p>
    <w:p w14:paraId="7F077A65" w14:textId="77777777" w:rsidR="003D4FF5" w:rsidRDefault="003D4FF5" w:rsidP="003D4FF5">
      <w:pPr>
        <w:pStyle w:val="AH5Sec"/>
      </w:pPr>
      <w:bookmarkStart w:id="515" w:name="_Toc185514132"/>
      <w:r w:rsidRPr="00C8328B">
        <w:rPr>
          <w:rStyle w:val="CharSectNo"/>
        </w:rPr>
        <w:lastRenderedPageBreak/>
        <w:t>1547</w:t>
      </w:r>
      <w:r>
        <w:tab/>
        <w:t>Assessment of damages—use of affidavit evidence</w:t>
      </w:r>
      <w:bookmarkEnd w:id="515"/>
    </w:p>
    <w:p w14:paraId="5CEF7677" w14:textId="77777777" w:rsidR="003D4FF5" w:rsidRDefault="003D4FF5" w:rsidP="003D4FF5">
      <w:pPr>
        <w:pStyle w:val="Amain"/>
      </w:pPr>
      <w:r>
        <w:tab/>
        <w:t>(1)</w:t>
      </w:r>
      <w:r>
        <w:tab/>
        <w:t>This rule applies to a proceeding in the Magistrates Court if judgment has been entered for the plaintiff against the defendant for damages to be assessed.</w:t>
      </w:r>
    </w:p>
    <w:p w14:paraId="69A0A425" w14:textId="77777777" w:rsidR="003D4FF5" w:rsidRDefault="003D4FF5" w:rsidP="003D4FF5">
      <w:pPr>
        <w:pStyle w:val="Amain"/>
      </w:pPr>
      <w:r>
        <w:tab/>
        <w:t>(2)</w:t>
      </w:r>
      <w:r>
        <w:tab/>
        <w:t>Evidence may be given by affidavit on the assessment of damages in relation to—</w:t>
      </w:r>
    </w:p>
    <w:p w14:paraId="52C61561" w14:textId="77777777" w:rsidR="003D4FF5" w:rsidRDefault="003D4FF5" w:rsidP="003D4FF5">
      <w:pPr>
        <w:pStyle w:val="Apara"/>
      </w:pPr>
      <w:r>
        <w:tab/>
        <w:t>(a)</w:t>
      </w:r>
      <w:r>
        <w:tab/>
        <w:t>the identity of a motor vehicle; or</w:t>
      </w:r>
    </w:p>
    <w:p w14:paraId="142F0055" w14:textId="77777777" w:rsidR="003D4FF5" w:rsidRDefault="003D4FF5" w:rsidP="003D4FF5">
      <w:pPr>
        <w:pStyle w:val="Apara"/>
      </w:pPr>
      <w:r>
        <w:tab/>
        <w:t>(b)</w:t>
      </w:r>
      <w:r>
        <w:tab/>
        <w:t>the damage sustained by a motor vehicle in a particular collision; or</w:t>
      </w:r>
    </w:p>
    <w:p w14:paraId="6A2C8B67" w14:textId="77777777" w:rsidR="003D4FF5" w:rsidRDefault="003D4FF5" w:rsidP="003D4FF5">
      <w:pPr>
        <w:pStyle w:val="Apara"/>
      </w:pPr>
      <w:r>
        <w:tab/>
        <w:t>(c)</w:t>
      </w:r>
      <w:r>
        <w:tab/>
        <w:t>the reasonable cost of repairing the damage sustained by a motor vehicle in the particular collision; or</w:t>
      </w:r>
    </w:p>
    <w:p w14:paraId="49ECD60B" w14:textId="77777777" w:rsidR="003D4FF5" w:rsidRDefault="003D4FF5" w:rsidP="003D4FF5">
      <w:pPr>
        <w:pStyle w:val="Apara"/>
      </w:pPr>
      <w:r>
        <w:tab/>
        <w:t>(d)</w:t>
      </w:r>
      <w:r>
        <w:tab/>
        <w:t>anything else prescribed by practice note.</w:t>
      </w:r>
    </w:p>
    <w:p w14:paraId="1DDC45DB" w14:textId="77777777" w:rsidR="003D4FF5" w:rsidRDefault="003D4FF5" w:rsidP="003D4FF5">
      <w:pPr>
        <w:pStyle w:val="AH5Sec"/>
      </w:pPr>
      <w:bookmarkStart w:id="516" w:name="_Toc185514133"/>
      <w:r w:rsidRPr="00C8328B">
        <w:rPr>
          <w:rStyle w:val="CharSectNo"/>
        </w:rPr>
        <w:t>1548</w:t>
      </w:r>
      <w:r>
        <w:tab/>
        <w:t>Partial judgment for damages to be assessed</w:t>
      </w:r>
      <w:bookmarkEnd w:id="516"/>
    </w:p>
    <w:p w14:paraId="26709E94" w14:textId="77777777" w:rsidR="003D4FF5" w:rsidRDefault="003D4FF5" w:rsidP="003D4FF5">
      <w:pPr>
        <w:pStyle w:val="Amain"/>
      </w:pPr>
      <w:r>
        <w:tab/>
        <w:t>(1)</w:t>
      </w:r>
      <w:r>
        <w:tab/>
        <w:t>This rule applies if—</w:t>
      </w:r>
    </w:p>
    <w:p w14:paraId="49805A33" w14:textId="77777777" w:rsidR="003D4FF5" w:rsidRDefault="003D4FF5" w:rsidP="003D4FF5">
      <w:pPr>
        <w:pStyle w:val="Apara"/>
      </w:pPr>
      <w:r>
        <w:tab/>
        <w:t>(a)</w:t>
      </w:r>
      <w:r>
        <w:tab/>
        <w:t>a judgment (including a default judgment) is given for damages (including the value of goods) to be assessed; and</w:t>
      </w:r>
    </w:p>
    <w:p w14:paraId="5C112679" w14:textId="77777777" w:rsidR="003D4FF5" w:rsidRDefault="003D4FF5" w:rsidP="003D4FF5">
      <w:pPr>
        <w:pStyle w:val="Apara"/>
      </w:pPr>
      <w:r>
        <w:tab/>
        <w:t>(b)</w:t>
      </w:r>
      <w:r>
        <w:tab/>
        <w:t>the proceeding is carried on in relation to a claim for relief not decided by the judgment.</w:t>
      </w:r>
    </w:p>
    <w:p w14:paraId="18FDE8E5" w14:textId="77777777" w:rsidR="003D4FF5" w:rsidRDefault="003D4FF5" w:rsidP="003D4FF5">
      <w:pPr>
        <w:pStyle w:val="Amain"/>
      </w:pPr>
      <w:r>
        <w:tab/>
        <w:t>(2)</w:t>
      </w:r>
      <w:r>
        <w:tab/>
        <w:t>The court must assess the damages at the trial of the other claim for relief.</w:t>
      </w:r>
    </w:p>
    <w:p w14:paraId="5FDC531C" w14:textId="77777777" w:rsidR="003D4FF5" w:rsidRDefault="003D4FF5" w:rsidP="003D4FF5">
      <w:pPr>
        <w:pStyle w:val="AH5Sec"/>
      </w:pPr>
      <w:bookmarkStart w:id="517" w:name="_Toc185514134"/>
      <w:r w:rsidRPr="00C8328B">
        <w:rPr>
          <w:rStyle w:val="CharSectNo"/>
        </w:rPr>
        <w:t>1549</w:t>
      </w:r>
      <w:r>
        <w:tab/>
        <w:t>Damages to time of assessment</w:t>
      </w:r>
      <w:bookmarkEnd w:id="517"/>
    </w:p>
    <w:p w14:paraId="226D42AC" w14:textId="77777777" w:rsidR="003D4FF5" w:rsidRDefault="003D4FF5" w:rsidP="003D4FF5">
      <w:pPr>
        <w:pStyle w:val="Amain"/>
      </w:pPr>
      <w:r>
        <w:tab/>
        <w:t>(1)</w:t>
      </w:r>
      <w:r>
        <w:tab/>
        <w:t>This rule applies if damages, including interest, may be assessed and—</w:t>
      </w:r>
    </w:p>
    <w:p w14:paraId="54A390BB" w14:textId="77777777" w:rsidR="003D4FF5" w:rsidRDefault="003D4FF5" w:rsidP="003D4FF5">
      <w:pPr>
        <w:pStyle w:val="Apara"/>
      </w:pPr>
      <w:r>
        <w:tab/>
        <w:t>(a)</w:t>
      </w:r>
      <w:r>
        <w:tab/>
        <w:t>continuing damages are likely to happen; or</w:t>
      </w:r>
    </w:p>
    <w:p w14:paraId="21F44461" w14:textId="77777777" w:rsidR="003D4FF5" w:rsidRDefault="003D4FF5" w:rsidP="003D4FF5">
      <w:pPr>
        <w:pStyle w:val="Apara"/>
      </w:pPr>
      <w:r>
        <w:tab/>
        <w:t>(b)</w:t>
      </w:r>
      <w:r>
        <w:tab/>
        <w:t>there are—</w:t>
      </w:r>
    </w:p>
    <w:p w14:paraId="32F00D0A" w14:textId="77777777" w:rsidR="003D4FF5" w:rsidRDefault="003D4FF5" w:rsidP="003D4FF5">
      <w:pPr>
        <w:pStyle w:val="Asubpara"/>
      </w:pPr>
      <w:r>
        <w:tab/>
        <w:t>(i)</w:t>
      </w:r>
      <w:r>
        <w:tab/>
        <w:t>repeated breaches of recurring obligations; or</w:t>
      </w:r>
    </w:p>
    <w:p w14:paraId="3E30FD44" w14:textId="77777777" w:rsidR="003D4FF5" w:rsidRDefault="003D4FF5" w:rsidP="003D4FF5">
      <w:pPr>
        <w:pStyle w:val="Asubpara"/>
      </w:pPr>
      <w:r>
        <w:lastRenderedPageBreak/>
        <w:tab/>
        <w:t>(ii)</w:t>
      </w:r>
      <w:r>
        <w:tab/>
        <w:t>intermittent breaches of a continuing obligation.</w:t>
      </w:r>
    </w:p>
    <w:p w14:paraId="7871023A" w14:textId="77777777" w:rsidR="003D4FF5" w:rsidRDefault="003D4FF5" w:rsidP="003D4FF5">
      <w:pPr>
        <w:pStyle w:val="Amain"/>
      </w:pPr>
      <w:r>
        <w:tab/>
        <w:t>(2)</w:t>
      </w:r>
      <w:r>
        <w:tab/>
        <w:t>The damages must be assessed for the period up to the time of assessment, including damages for breaches happening after the proceeding started.</w:t>
      </w:r>
    </w:p>
    <w:p w14:paraId="226F53D2" w14:textId="77777777" w:rsidR="003D4FF5" w:rsidRDefault="003D4FF5" w:rsidP="003D4FF5">
      <w:pPr>
        <w:pStyle w:val="PageBreak"/>
      </w:pPr>
      <w:r>
        <w:br w:type="page"/>
      </w:r>
    </w:p>
    <w:p w14:paraId="23EF76BB" w14:textId="77777777" w:rsidR="003D4FF5" w:rsidRPr="00C8328B" w:rsidRDefault="003D4FF5" w:rsidP="003D4FF5">
      <w:pPr>
        <w:pStyle w:val="AH2Part"/>
      </w:pPr>
      <w:bookmarkStart w:id="518" w:name="_Toc185514135"/>
      <w:r w:rsidRPr="00C8328B">
        <w:rPr>
          <w:rStyle w:val="CharPartNo"/>
        </w:rPr>
        <w:lastRenderedPageBreak/>
        <w:t>Part 2.16</w:t>
      </w:r>
      <w:r>
        <w:tab/>
      </w:r>
      <w:r w:rsidRPr="00C8328B">
        <w:rPr>
          <w:rStyle w:val="CharPartText"/>
        </w:rPr>
        <w:t>Judgments and other orders</w:t>
      </w:r>
      <w:bookmarkEnd w:id="518"/>
    </w:p>
    <w:p w14:paraId="34AABCCD" w14:textId="77777777" w:rsidR="003D4FF5" w:rsidRDefault="003D4FF5" w:rsidP="003D4FF5">
      <w:pPr>
        <w:pStyle w:val="Placeholder"/>
      </w:pPr>
      <w:r>
        <w:rPr>
          <w:rStyle w:val="CharDivNo"/>
        </w:rPr>
        <w:t xml:space="preserve">  </w:t>
      </w:r>
      <w:r>
        <w:rPr>
          <w:rStyle w:val="CharDivText"/>
        </w:rPr>
        <w:t xml:space="preserve">  </w:t>
      </w:r>
    </w:p>
    <w:p w14:paraId="1519C849" w14:textId="77777777" w:rsidR="003D4FF5" w:rsidRDefault="003D4FF5" w:rsidP="003D4FF5">
      <w:pPr>
        <w:pStyle w:val="AH5Sec"/>
      </w:pPr>
      <w:bookmarkStart w:id="519" w:name="_Toc185514136"/>
      <w:r w:rsidRPr="00C8328B">
        <w:rPr>
          <w:rStyle w:val="CharSectNo"/>
        </w:rPr>
        <w:t>1600</w:t>
      </w:r>
      <w:r>
        <w:tab/>
        <w:t>Orders—required by nature of case</w:t>
      </w:r>
      <w:bookmarkEnd w:id="519"/>
    </w:p>
    <w:p w14:paraId="19255AC2" w14:textId="77777777" w:rsidR="003D4FF5" w:rsidRDefault="003D4FF5" w:rsidP="003D4FF5">
      <w:pPr>
        <w:pStyle w:val="Amain"/>
        <w:keepNext/>
      </w:pPr>
      <w:r>
        <w:tab/>
        <w:t>(1)</w:t>
      </w:r>
      <w:r>
        <w:tab/>
        <w:t>On the application of a party to a proceeding, the court may, at any stage of the proceeding, make any order that the nature of the case requires.</w:t>
      </w:r>
    </w:p>
    <w:p w14:paraId="49178DD5"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27A8F78D" w14:textId="77777777"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82DA787" w14:textId="77777777"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14:paraId="2A80AE93" w14:textId="77777777" w:rsidR="003D4FF5" w:rsidRDefault="003D4FF5" w:rsidP="003D4FF5">
      <w:pPr>
        <w:pStyle w:val="AH5Sec"/>
      </w:pPr>
      <w:bookmarkStart w:id="520" w:name="_Toc185514137"/>
      <w:r w:rsidRPr="00C8328B">
        <w:rPr>
          <w:rStyle w:val="CharSectNo"/>
        </w:rPr>
        <w:t>1601</w:t>
      </w:r>
      <w:r>
        <w:tab/>
        <w:t>Judgment book</w:t>
      </w:r>
      <w:bookmarkEnd w:id="520"/>
    </w:p>
    <w:p w14:paraId="25B610A6" w14:textId="77777777" w:rsidR="003D4FF5" w:rsidRDefault="003D4FF5" w:rsidP="003D4FF5">
      <w:pPr>
        <w:pStyle w:val="Amain"/>
      </w:pPr>
      <w:r>
        <w:tab/>
        <w:t>(1)</w:t>
      </w:r>
      <w:r>
        <w:tab/>
        <w:t>The registrar of the Supreme Court must keep a judgment book.</w:t>
      </w:r>
    </w:p>
    <w:p w14:paraId="54A98293" w14:textId="77777777" w:rsidR="003D4FF5" w:rsidRDefault="003D4FF5" w:rsidP="003D4FF5">
      <w:pPr>
        <w:pStyle w:val="Amain"/>
      </w:pPr>
      <w:r>
        <w:tab/>
        <w:t>(2)</w:t>
      </w:r>
      <w:r>
        <w:tab/>
        <w:t>The judgment book may be kept in electronic form.</w:t>
      </w:r>
    </w:p>
    <w:p w14:paraId="06032C2E" w14:textId="77777777" w:rsidR="003D4FF5" w:rsidRDefault="003D4FF5" w:rsidP="003D4FF5">
      <w:pPr>
        <w:pStyle w:val="Amain"/>
      </w:pPr>
      <w:r>
        <w:tab/>
        <w:t>(3)</w:t>
      </w:r>
      <w:r>
        <w:tab/>
        <w:t>The registrar must record in the judgment book—</w:t>
      </w:r>
    </w:p>
    <w:p w14:paraId="42C28DF8" w14:textId="77777777" w:rsidR="003D4FF5" w:rsidRDefault="003D4FF5" w:rsidP="003D4FF5">
      <w:pPr>
        <w:pStyle w:val="Apara"/>
      </w:pPr>
      <w:r>
        <w:tab/>
        <w:t>(a)</w:t>
      </w:r>
      <w:r>
        <w:tab/>
        <w:t>the distinguishing number or other unique identifier given to the proceeding for which a judgment is entered under rule 71 (Numbering etc of proceedings); and</w:t>
      </w:r>
    </w:p>
    <w:p w14:paraId="3CCD31D8" w14:textId="77777777" w:rsidR="003D4FF5" w:rsidRDefault="003D4FF5" w:rsidP="003D4FF5">
      <w:pPr>
        <w:pStyle w:val="Apara"/>
      </w:pPr>
      <w:r>
        <w:tab/>
        <w:t>(b)</w:t>
      </w:r>
      <w:r>
        <w:tab/>
        <w:t>the judgment in the proceeding; and</w:t>
      </w:r>
    </w:p>
    <w:p w14:paraId="26FE01A3" w14:textId="77777777" w:rsidR="003D4FF5" w:rsidRDefault="003D4FF5" w:rsidP="003D4FF5">
      <w:pPr>
        <w:pStyle w:val="Apara"/>
      </w:pPr>
      <w:r>
        <w:tab/>
        <w:t>(c)</w:t>
      </w:r>
      <w:r>
        <w:tab/>
        <w:t>the date the judgment was entered; and</w:t>
      </w:r>
    </w:p>
    <w:p w14:paraId="79919FB4" w14:textId="77777777" w:rsidR="003D4FF5" w:rsidRDefault="003D4FF5" w:rsidP="003D4FF5">
      <w:pPr>
        <w:pStyle w:val="Apara"/>
      </w:pPr>
      <w:r>
        <w:tab/>
        <w:t>(d)</w:t>
      </w:r>
      <w:r>
        <w:tab/>
        <w:t>the other information the court directs.</w:t>
      </w:r>
    </w:p>
    <w:p w14:paraId="62A8C642" w14:textId="77777777" w:rsidR="003D4FF5" w:rsidRDefault="003D4FF5" w:rsidP="003D4FF5">
      <w:pPr>
        <w:pStyle w:val="Amain"/>
      </w:pPr>
      <w:r>
        <w:tab/>
        <w:t>(4)</w:t>
      </w:r>
      <w:r>
        <w:tab/>
        <w:t>The registrar may record any other information in the judgment book.</w:t>
      </w:r>
    </w:p>
    <w:p w14:paraId="7FCAB434" w14:textId="77777777" w:rsidR="003D4FF5" w:rsidRDefault="003D4FF5" w:rsidP="003D4FF5">
      <w:pPr>
        <w:pStyle w:val="AH5Sec"/>
      </w:pPr>
      <w:bookmarkStart w:id="521" w:name="_Toc185514138"/>
      <w:r w:rsidRPr="00C8328B">
        <w:rPr>
          <w:rStyle w:val="CharSectNo"/>
        </w:rPr>
        <w:lastRenderedPageBreak/>
        <w:t>1602</w:t>
      </w:r>
      <w:r>
        <w:tab/>
        <w:t>Judgments—several claims</w:t>
      </w:r>
      <w:bookmarkEnd w:id="521"/>
    </w:p>
    <w:p w14:paraId="1E70341E" w14:textId="77777777" w:rsidR="003D4FF5" w:rsidRDefault="003D4FF5" w:rsidP="003D4FF5">
      <w:pPr>
        <w:pStyle w:val="Amain"/>
        <w:keepNext/>
      </w:pPr>
      <w:r>
        <w:tab/>
        <w:t>(1)</w:t>
      </w:r>
      <w:r>
        <w:tab/>
        <w:t>This rule applies if—</w:t>
      </w:r>
    </w:p>
    <w:p w14:paraId="518C14E0" w14:textId="77777777" w:rsidR="003D4FF5" w:rsidRDefault="003D4FF5" w:rsidP="003D4FF5">
      <w:pPr>
        <w:pStyle w:val="Apara"/>
      </w:pPr>
      <w:r>
        <w:tab/>
        <w:t>(a)</w:t>
      </w:r>
      <w:r>
        <w:tab/>
        <w:t>there is a claim by a plaintiff in a proceeding and a counterclaim by a defendant in the proceeding; or</w:t>
      </w:r>
    </w:p>
    <w:p w14:paraId="0609B523" w14:textId="77777777" w:rsidR="003D4FF5" w:rsidRDefault="003D4FF5" w:rsidP="003D4FF5">
      <w:pPr>
        <w:pStyle w:val="Apara"/>
      </w:pPr>
      <w:r>
        <w:tab/>
        <w:t>(b)</w:t>
      </w:r>
      <w:r>
        <w:tab/>
        <w:t>there are several claims between the parties to a proceeding.</w:t>
      </w:r>
    </w:p>
    <w:p w14:paraId="3D76B870" w14:textId="77777777" w:rsidR="003D4FF5" w:rsidRDefault="003D4FF5" w:rsidP="003D4FF5">
      <w:pPr>
        <w:pStyle w:val="Amain"/>
      </w:pPr>
      <w:r>
        <w:tab/>
        <w:t>(2)</w:t>
      </w:r>
      <w:r>
        <w:tab/>
        <w:t>The court may give judgment—</w:t>
      </w:r>
    </w:p>
    <w:p w14:paraId="0E8E676C" w14:textId="77777777" w:rsidR="003D4FF5" w:rsidRDefault="003D4FF5" w:rsidP="003D4FF5">
      <w:pPr>
        <w:pStyle w:val="Apara"/>
      </w:pPr>
      <w:r>
        <w:tab/>
        <w:t>(a)</w:t>
      </w:r>
      <w:r>
        <w:tab/>
        <w:t>for the balance only of the amounts awarded on the respective claims between 2 or more parties; or</w:t>
      </w:r>
    </w:p>
    <w:p w14:paraId="08225FB2" w14:textId="77777777" w:rsidR="003D4FF5" w:rsidRDefault="003D4FF5" w:rsidP="003D4FF5">
      <w:pPr>
        <w:pStyle w:val="Apara"/>
      </w:pPr>
      <w:r>
        <w:tab/>
        <w:t>(b)</w:t>
      </w:r>
      <w:r>
        <w:tab/>
        <w:t>in relation to each claim.</w:t>
      </w:r>
    </w:p>
    <w:p w14:paraId="29BDF1C1" w14:textId="77777777" w:rsidR="003D4FF5" w:rsidRDefault="003D4FF5" w:rsidP="003D4FF5">
      <w:pPr>
        <w:pStyle w:val="AH5Sec"/>
      </w:pPr>
      <w:bookmarkStart w:id="522" w:name="_Toc185514139"/>
      <w:r w:rsidRPr="00C8328B">
        <w:rPr>
          <w:rStyle w:val="CharSectNo"/>
        </w:rPr>
        <w:t>1603</w:t>
      </w:r>
      <w:r>
        <w:tab/>
        <w:t>Orders—set off between enforceable money orders</w:t>
      </w:r>
      <w:bookmarkEnd w:id="522"/>
    </w:p>
    <w:p w14:paraId="76F03487" w14:textId="77777777"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14:paraId="781C20D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14:paraId="6A23E2D7" w14:textId="77777777"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14:paraId="7DC2481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15583F6" w14:textId="77777777" w:rsidR="003D4FF5" w:rsidRDefault="003D4FF5" w:rsidP="003D4FF5">
      <w:pPr>
        <w:pStyle w:val="Amain"/>
        <w:keepNext/>
      </w:pPr>
      <w:r>
        <w:tab/>
        <w:t>(3)</w:t>
      </w:r>
      <w:r>
        <w:tab/>
        <w:t>If the court makes an order under this rule—</w:t>
      </w:r>
    </w:p>
    <w:p w14:paraId="68B43EEB" w14:textId="77777777"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14:paraId="65DEB34E" w14:textId="77777777" w:rsidR="003D4FF5" w:rsidRDefault="003D4FF5" w:rsidP="003D4FF5">
      <w:pPr>
        <w:pStyle w:val="Apara"/>
      </w:pPr>
      <w:r>
        <w:lastRenderedPageBreak/>
        <w:tab/>
        <w:t>(b)</w:t>
      </w:r>
      <w:r>
        <w:tab/>
        <w:t>if the amount of the first order is equal to the amount of the second order—both orders are taken to have been satisfied; or</w:t>
      </w:r>
    </w:p>
    <w:p w14:paraId="2B91B3CB" w14:textId="77777777"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14:paraId="0FAB4146" w14:textId="77777777" w:rsidR="003D4FF5" w:rsidRDefault="003D4FF5" w:rsidP="003D4FF5">
      <w:pPr>
        <w:pStyle w:val="AH5Sec"/>
      </w:pPr>
      <w:bookmarkStart w:id="523" w:name="_Toc185514140"/>
      <w:r w:rsidRPr="00C8328B">
        <w:rPr>
          <w:rStyle w:val="CharSectNo"/>
        </w:rPr>
        <w:t>1604</w:t>
      </w:r>
      <w:r>
        <w:tab/>
        <w:t>Judgments—detention of goods</w:t>
      </w:r>
      <w:bookmarkEnd w:id="523"/>
    </w:p>
    <w:p w14:paraId="37F3DBB1" w14:textId="77777777" w:rsidR="003D4FF5" w:rsidRDefault="003D4FF5" w:rsidP="003D4FF5">
      <w:pPr>
        <w:pStyle w:val="Amain"/>
      </w:pPr>
      <w:r>
        <w:tab/>
        <w:t>(1)</w:t>
      </w:r>
      <w:r>
        <w:tab/>
        <w:t>This rule applies to a proceeding in relation to the detention of goods.</w:t>
      </w:r>
    </w:p>
    <w:p w14:paraId="213FF729" w14:textId="77777777" w:rsidR="003D4FF5" w:rsidRDefault="003D4FF5" w:rsidP="003D4FF5">
      <w:pPr>
        <w:pStyle w:val="Amain"/>
      </w:pPr>
      <w:r>
        <w:tab/>
        <w:t>(2)</w:t>
      </w:r>
      <w:r>
        <w:tab/>
        <w:t>The court may give judgment for the plaintiff against the defendant, in accordance with the plaintiff’s claim for relief, for either—</w:t>
      </w:r>
    </w:p>
    <w:p w14:paraId="2DF99BEA" w14:textId="77777777" w:rsidR="003D4FF5" w:rsidRDefault="003D4FF5" w:rsidP="003D4FF5">
      <w:pPr>
        <w:pStyle w:val="Apara"/>
      </w:pPr>
      <w:r>
        <w:tab/>
        <w:t>(a)</w:t>
      </w:r>
      <w:r>
        <w:tab/>
        <w:t>the return of the goods to the plaintiff, or the retention of the goods by the defendant and payment to the plaintiff of the value of the goods; or</w:t>
      </w:r>
    </w:p>
    <w:p w14:paraId="5BDF2670" w14:textId="77777777" w:rsidR="003D4FF5" w:rsidRDefault="003D4FF5" w:rsidP="003D4FF5">
      <w:pPr>
        <w:pStyle w:val="Apara"/>
      </w:pPr>
      <w:r>
        <w:tab/>
        <w:t>(b)</w:t>
      </w:r>
      <w:r>
        <w:tab/>
        <w:t>payment to the plaintiff of the value of the goods.</w:t>
      </w:r>
    </w:p>
    <w:p w14:paraId="1AD28D00" w14:textId="77777777" w:rsidR="003D4FF5" w:rsidRDefault="003D4FF5" w:rsidP="003D4FF5">
      <w:pPr>
        <w:pStyle w:val="Amain"/>
      </w:pPr>
      <w:r>
        <w:tab/>
        <w:t>(3)</w:t>
      </w:r>
      <w:r>
        <w:tab/>
        <w:t>If the court gives judgment for the return of goods, it may state a date before which the return must take place.</w:t>
      </w:r>
    </w:p>
    <w:p w14:paraId="1A780B93" w14:textId="77777777"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14:paraId="0A60C0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CBEF34A" w14:textId="77777777"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14:paraId="04882E23" w14:textId="77777777" w:rsidR="003D4FF5" w:rsidRDefault="003D4FF5" w:rsidP="003D4FF5">
      <w:pPr>
        <w:pStyle w:val="Amain"/>
        <w:keepNext/>
      </w:pPr>
      <w:r>
        <w:tab/>
        <w:t>(6)</w:t>
      </w:r>
      <w:r>
        <w:tab/>
        <w:t>In this rule:</w:t>
      </w:r>
    </w:p>
    <w:p w14:paraId="775E966E" w14:textId="77777777" w:rsidR="003D4FF5" w:rsidRDefault="003D4FF5" w:rsidP="003D4FF5">
      <w:pPr>
        <w:pStyle w:val="aDef"/>
      </w:pPr>
      <w:r w:rsidRPr="005A5F43">
        <w:rPr>
          <w:rStyle w:val="charBoldItals"/>
        </w:rPr>
        <w:t>value</w:t>
      </w:r>
      <w:r>
        <w:t>, of the goods, means the value assessed by, or in accordance with the directions of, the court.</w:t>
      </w:r>
    </w:p>
    <w:p w14:paraId="02BDF020" w14:textId="77777777" w:rsidR="003D4FF5" w:rsidRDefault="003D4FF5" w:rsidP="003D4FF5">
      <w:pPr>
        <w:pStyle w:val="AH5Sec"/>
      </w:pPr>
      <w:bookmarkStart w:id="524" w:name="_Toc185514141"/>
      <w:r w:rsidRPr="00C8328B">
        <w:rPr>
          <w:rStyle w:val="CharSectNo"/>
        </w:rPr>
        <w:lastRenderedPageBreak/>
        <w:t>1605</w:t>
      </w:r>
      <w:r>
        <w:tab/>
        <w:t>Orders—making and effect</w:t>
      </w:r>
      <w:bookmarkEnd w:id="524"/>
    </w:p>
    <w:p w14:paraId="4BB1C055" w14:textId="77777777" w:rsidR="003D4FF5" w:rsidRDefault="003D4FF5" w:rsidP="003D4FF5">
      <w:pPr>
        <w:pStyle w:val="Amain"/>
      </w:pPr>
      <w:r>
        <w:tab/>
        <w:t>(1)</w:t>
      </w:r>
      <w:r>
        <w:tab/>
        <w:t>An order of the court is made by the order—</w:t>
      </w:r>
    </w:p>
    <w:p w14:paraId="7D2C6C5F" w14:textId="77777777" w:rsidR="003D4FF5" w:rsidRDefault="003D4FF5" w:rsidP="003D4FF5">
      <w:pPr>
        <w:pStyle w:val="Apara"/>
      </w:pPr>
      <w:r>
        <w:tab/>
        <w:t>(a)</w:t>
      </w:r>
      <w:r>
        <w:tab/>
        <w:t>being pronounced in court by the judicial officer making the order; or</w:t>
      </w:r>
    </w:p>
    <w:p w14:paraId="2C467425" w14:textId="77777777" w:rsidR="003D4FF5" w:rsidRDefault="003D4FF5" w:rsidP="003D4FF5">
      <w:pPr>
        <w:pStyle w:val="Apara"/>
        <w:keepNext/>
      </w:pPr>
      <w:r>
        <w:tab/>
        <w:t>(b)</w:t>
      </w:r>
      <w:r>
        <w:tab/>
        <w:t>being recorded, in accordance with the court’s practice, as having been entered.</w:t>
      </w:r>
    </w:p>
    <w:p w14:paraId="25E27E3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0FF3F7" w14:textId="77777777" w:rsidR="003D4FF5" w:rsidRDefault="003D4FF5" w:rsidP="003D4FF5">
      <w:pPr>
        <w:pStyle w:val="Amain"/>
      </w:pPr>
      <w:r>
        <w:tab/>
        <w:t>(2)</w:t>
      </w:r>
      <w:r>
        <w:tab/>
        <w:t>An order takes effect on the day that the order is made.</w:t>
      </w:r>
    </w:p>
    <w:p w14:paraId="680F4696" w14:textId="77777777" w:rsidR="003D4FF5" w:rsidRDefault="003D4FF5" w:rsidP="003D4FF5">
      <w:pPr>
        <w:pStyle w:val="Amain"/>
        <w:keepNext/>
      </w:pPr>
      <w:r>
        <w:tab/>
        <w:t>(3)</w:t>
      </w:r>
      <w:r>
        <w:tab/>
        <w:t>However, the court may order that the order takes effect on an earlier or later date or at any earlier or later time.</w:t>
      </w:r>
    </w:p>
    <w:p w14:paraId="2D13CC1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14:paraId="0C9F413F" w14:textId="77777777" w:rsidR="001151F7" w:rsidRPr="00F13970" w:rsidRDefault="001151F7" w:rsidP="009B2A42">
      <w:pPr>
        <w:pStyle w:val="AH5Sec"/>
      </w:pPr>
      <w:bookmarkStart w:id="525" w:name="_Toc185514142"/>
      <w:r w:rsidRPr="00AD0CCB">
        <w:rPr>
          <w:rStyle w:val="CharSectNo"/>
        </w:rPr>
        <w:t>1606</w:t>
      </w:r>
      <w:r w:rsidRPr="00F13970">
        <w:tab/>
        <w:t>Orders—entry</w:t>
      </w:r>
      <w:bookmarkEnd w:id="525"/>
    </w:p>
    <w:p w14:paraId="5496B419" w14:textId="77777777" w:rsidR="001151F7" w:rsidRPr="00F13970" w:rsidRDefault="001151F7" w:rsidP="009B2A42">
      <w:pPr>
        <w:pStyle w:val="Amain"/>
      </w:pPr>
      <w:r w:rsidRPr="00F13970">
        <w:tab/>
        <w:t>(1)</w:t>
      </w:r>
      <w:r w:rsidRPr="00F13970">
        <w:tab/>
        <w:t>If the court makes an order, it must be entered.</w:t>
      </w:r>
    </w:p>
    <w:p w14:paraId="34881559" w14:textId="77777777" w:rsidR="001151F7" w:rsidRPr="00936907" w:rsidRDefault="001151F7" w:rsidP="009B2A42">
      <w:pPr>
        <w:pStyle w:val="Amain"/>
      </w:pPr>
      <w:r w:rsidRPr="00936907">
        <w:tab/>
        <w:t>(2)</w:t>
      </w:r>
      <w:r w:rsidRPr="00936907">
        <w:tab/>
        <w:t>If the order is expressed to be the usual order or is otherwise in shortened form, the full terms of the order must be included when the order is entered.</w:t>
      </w:r>
    </w:p>
    <w:p w14:paraId="63A7D13E" w14:textId="77777777" w:rsidR="001151F7" w:rsidRPr="00F13970" w:rsidRDefault="001151F7" w:rsidP="001151F7">
      <w:pPr>
        <w:pStyle w:val="aExamHdgss"/>
      </w:pPr>
      <w:r w:rsidRPr="00F13970">
        <w:t>Examples—usual order or shortened form of orders</w:t>
      </w:r>
    </w:p>
    <w:p w14:paraId="38133687" w14:textId="77777777" w:rsidR="001151F7" w:rsidRPr="00F13970" w:rsidRDefault="001151F7" w:rsidP="001151F7">
      <w:pPr>
        <w:pStyle w:val="aExamINumss"/>
      </w:pPr>
      <w:r w:rsidRPr="00F13970">
        <w:t>1</w:t>
      </w:r>
      <w:r w:rsidRPr="00F13970">
        <w:tab/>
      </w:r>
      <w:r w:rsidRPr="00F13970">
        <w:rPr>
          <w:color w:val="000000"/>
        </w:rPr>
        <w:t>Rule 732 (Division 2.9.4 order—damages and undertaking as to damages) requires the usual undertaking as to damages to be given.</w:t>
      </w:r>
    </w:p>
    <w:p w14:paraId="541FAE4F" w14:textId="77777777" w:rsidR="001151F7" w:rsidRPr="00F13970" w:rsidRDefault="001151F7" w:rsidP="001151F7">
      <w:pPr>
        <w:pStyle w:val="aExamINumss"/>
      </w:pPr>
      <w:r w:rsidRPr="00F13970">
        <w:t>2</w:t>
      </w:r>
      <w:r w:rsidRPr="00F13970">
        <w:tab/>
        <w:t>Rule 1622 (Interest after judgment—usual order as to interest) provides for the usual order as to interest.</w:t>
      </w:r>
    </w:p>
    <w:p w14:paraId="5E6F01A9" w14:textId="77777777" w:rsidR="001151F7" w:rsidRPr="00F13970" w:rsidRDefault="001151F7" w:rsidP="009B2A42">
      <w:pPr>
        <w:pStyle w:val="Amain"/>
      </w:pPr>
      <w:r w:rsidRPr="00F13970">
        <w:tab/>
        <w:t>(3)</w:t>
      </w:r>
      <w:r w:rsidRPr="00F13970">
        <w:tab/>
        <w:t>Unless the court orders otherwise, the order is taken to be entered when the earlier of the following happens:</w:t>
      </w:r>
    </w:p>
    <w:p w14:paraId="639F9EFD" w14:textId="5336DF58" w:rsidR="001151F7" w:rsidRPr="00F13970" w:rsidRDefault="001151F7" w:rsidP="009B2A42">
      <w:pPr>
        <w:pStyle w:val="Apara"/>
      </w:pPr>
      <w:r w:rsidRPr="00F13970">
        <w:tab/>
        <w:t>(a)</w:t>
      </w:r>
      <w:r w:rsidRPr="00F13970">
        <w:tab/>
        <w:t>if the court directs that the order be entered immediately—a</w:t>
      </w:r>
      <w:r w:rsidR="009A5A62">
        <w:t> </w:t>
      </w:r>
      <w:r w:rsidRPr="00F13970">
        <w:t>judicial officer or the registrar signs and seals a document that states the terms of the order and the date the order was made;</w:t>
      </w:r>
    </w:p>
    <w:p w14:paraId="7DA32DA4" w14:textId="77777777" w:rsidR="001151F7" w:rsidRPr="00F13970" w:rsidRDefault="001151F7" w:rsidP="009B2A42">
      <w:pPr>
        <w:pStyle w:val="Apara"/>
      </w:pPr>
      <w:r w:rsidRPr="00F13970">
        <w:lastRenderedPageBreak/>
        <w:tab/>
        <w:t>(b)</w:t>
      </w:r>
      <w:r w:rsidRPr="00F13970">
        <w:tab/>
        <w:t>in any case—the order is recorded in the court’s case management system.</w:t>
      </w:r>
    </w:p>
    <w:p w14:paraId="781AF5B2" w14:textId="77777777" w:rsidR="001151F7" w:rsidRPr="00F13970" w:rsidRDefault="001151F7" w:rsidP="009B2A42">
      <w:pPr>
        <w:pStyle w:val="Amain"/>
      </w:pPr>
      <w:r w:rsidRPr="00F13970">
        <w:tab/>
        <w:t>(4)</w:t>
      </w:r>
      <w:r w:rsidRPr="00F13970">
        <w:tab/>
        <w:t>If a judicial officer or the judicial officer’s associate records the terms of an order and the date the order was made on a court file or document that is part of a court file, the writing is sufficient proof of the following until the order is entered:</w:t>
      </w:r>
    </w:p>
    <w:p w14:paraId="3D509717" w14:textId="77777777" w:rsidR="001151F7" w:rsidRPr="00F13970" w:rsidRDefault="001151F7" w:rsidP="009B2A42">
      <w:pPr>
        <w:pStyle w:val="Apara"/>
      </w:pPr>
      <w:r w:rsidRPr="00F13970">
        <w:tab/>
        <w:t>(a)</w:t>
      </w:r>
      <w:r w:rsidRPr="00F13970">
        <w:tab/>
        <w:t>the making of the order;</w:t>
      </w:r>
    </w:p>
    <w:p w14:paraId="57C116B6" w14:textId="77777777" w:rsidR="001151F7" w:rsidRPr="00F13970" w:rsidRDefault="001151F7" w:rsidP="009B2A42">
      <w:pPr>
        <w:pStyle w:val="Apara"/>
      </w:pPr>
      <w:r w:rsidRPr="00F13970">
        <w:tab/>
        <w:t>(b)</w:t>
      </w:r>
      <w:r w:rsidRPr="00F13970">
        <w:tab/>
        <w:t>the terms of the order;</w:t>
      </w:r>
    </w:p>
    <w:p w14:paraId="2591174A" w14:textId="77777777" w:rsidR="001151F7" w:rsidRPr="00F13970" w:rsidRDefault="001151F7" w:rsidP="009B2A42">
      <w:pPr>
        <w:pStyle w:val="Apara"/>
      </w:pPr>
      <w:r w:rsidRPr="00F13970">
        <w:tab/>
        <w:t>(c)</w:t>
      </w:r>
      <w:r w:rsidRPr="00F13970">
        <w:tab/>
        <w:t>the date the order was made.</w:t>
      </w:r>
    </w:p>
    <w:p w14:paraId="4A373D2F" w14:textId="77777777" w:rsidR="001151F7" w:rsidRPr="00F13970" w:rsidRDefault="001151F7" w:rsidP="009B2A42">
      <w:pPr>
        <w:pStyle w:val="Amain"/>
      </w:pPr>
      <w:r w:rsidRPr="00F13970">
        <w:tab/>
        <w:t>(5)</w:t>
      </w:r>
      <w:r w:rsidRPr="00F13970">
        <w:tab/>
        <w:t>An order is enforceable only if it has been entered.</w:t>
      </w:r>
    </w:p>
    <w:p w14:paraId="443322F8" w14:textId="77777777" w:rsidR="001151F7" w:rsidRPr="00F13970" w:rsidRDefault="001151F7" w:rsidP="009B2A42">
      <w:pPr>
        <w:pStyle w:val="Amain"/>
      </w:pPr>
      <w:r w:rsidRPr="00F13970">
        <w:tab/>
        <w:t>(6)</w:t>
      </w:r>
      <w:r w:rsidRPr="00F13970">
        <w:tab/>
        <w:t>A person may bring an appeal against an order that has not been entered only with the leave of the court to which the appeal would be made.</w:t>
      </w:r>
    </w:p>
    <w:p w14:paraId="10F44E62" w14:textId="2E76A750" w:rsidR="003D4FF5" w:rsidRDefault="003D4FF5" w:rsidP="003D4FF5">
      <w:pPr>
        <w:pStyle w:val="AH5Sec"/>
      </w:pPr>
      <w:bookmarkStart w:id="526" w:name="_Toc185514143"/>
      <w:r w:rsidRPr="00C8328B">
        <w:rPr>
          <w:rStyle w:val="CharSectNo"/>
        </w:rPr>
        <w:t>1607</w:t>
      </w:r>
      <w:r>
        <w:tab/>
        <w:t>Orders—certified duplicate</w:t>
      </w:r>
      <w:bookmarkEnd w:id="526"/>
    </w:p>
    <w:p w14:paraId="076FB88E" w14:textId="77777777"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14:paraId="6407E6D7" w14:textId="7D0E7F33" w:rsidR="003D4FF5" w:rsidRDefault="003D4FF5" w:rsidP="003D4FF5">
      <w:pPr>
        <w:pStyle w:val="aNote"/>
      </w:pPr>
      <w:r w:rsidRPr="005A5F43">
        <w:rPr>
          <w:rStyle w:val="charItals"/>
        </w:rPr>
        <w:t>Note</w:t>
      </w:r>
      <w:r>
        <w:tab/>
        <w:t xml:space="preserve">A fee may be determined under the </w:t>
      </w:r>
      <w:hyperlink r:id="rId144" w:tooltip="A2004-59" w:history="1">
        <w:r w:rsidRPr="005A5F43">
          <w:rPr>
            <w:rStyle w:val="charCitHyperlinkItal"/>
          </w:rPr>
          <w:t>Court Procedures Act 2004</w:t>
        </w:r>
      </w:hyperlink>
      <w:r>
        <w:t>, s 13 for this provision.</w:t>
      </w:r>
    </w:p>
    <w:p w14:paraId="1E2FBC58" w14:textId="77777777"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14:paraId="28594793" w14:textId="77777777"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14:paraId="041B9072" w14:textId="77777777" w:rsidR="003D4FF5" w:rsidRDefault="003D4FF5" w:rsidP="003D4FF5">
      <w:pPr>
        <w:pStyle w:val="AH5Sec"/>
      </w:pPr>
      <w:bookmarkStart w:id="527" w:name="_Toc185514144"/>
      <w:r w:rsidRPr="00C8328B">
        <w:rPr>
          <w:rStyle w:val="CharSectNo"/>
        </w:rPr>
        <w:lastRenderedPageBreak/>
        <w:t>1608</w:t>
      </w:r>
      <w:r>
        <w:tab/>
        <w:t>Orders—reasons</w:t>
      </w:r>
      <w:bookmarkEnd w:id="527"/>
    </w:p>
    <w:p w14:paraId="3081282D" w14:textId="77777777" w:rsidR="003D4FF5" w:rsidRDefault="003D4FF5" w:rsidP="003D4FF5">
      <w:pPr>
        <w:pStyle w:val="Amain"/>
      </w:pPr>
      <w:r>
        <w:tab/>
        <w:t>(1)</w:t>
      </w:r>
      <w:r>
        <w:tab/>
        <w:t>If the court makes an order, and its reasons for the order are put in writing, the court may make the order orally without stating the reasons.</w:t>
      </w:r>
    </w:p>
    <w:p w14:paraId="65EF1A1E" w14:textId="77777777" w:rsidR="003D4FF5" w:rsidRDefault="003D4FF5" w:rsidP="003D4FF5">
      <w:pPr>
        <w:pStyle w:val="Amain"/>
      </w:pPr>
      <w:r>
        <w:tab/>
        <w:t>(2)</w:t>
      </w:r>
      <w:r>
        <w:tab/>
        <w:t>The reasons of the court for making any order in a proceeding may, if in writing, be published—</w:t>
      </w:r>
    </w:p>
    <w:p w14:paraId="20C9CD96" w14:textId="77777777"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14:paraId="78E0C16A" w14:textId="77777777" w:rsidR="003D4FF5" w:rsidRDefault="003D4FF5" w:rsidP="003D4FF5">
      <w:pPr>
        <w:pStyle w:val="Apara"/>
        <w:keepNext/>
      </w:pPr>
      <w:r>
        <w:tab/>
        <w:t>(b)</w:t>
      </w:r>
      <w:r>
        <w:tab/>
        <w:t>by a copy of the reasons signed by the judicial officer making the order being given to an appropriate officer of the court to deliver in court and a copy being given to each party.</w:t>
      </w:r>
    </w:p>
    <w:p w14:paraId="6168FC1D"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39CC113" w14:textId="77777777" w:rsidR="003D4FF5" w:rsidRDefault="003D4FF5" w:rsidP="003D4FF5">
      <w:pPr>
        <w:pStyle w:val="Amain"/>
      </w:pPr>
      <w:r>
        <w:tab/>
        <w:t>(3)</w:t>
      </w:r>
      <w:r>
        <w:tab/>
        <w:t>The reasons of a court for a proposed order may be published before the order is made.</w:t>
      </w:r>
    </w:p>
    <w:p w14:paraId="7FA7B5E3" w14:textId="77777777" w:rsidR="003D4FF5" w:rsidRDefault="003D4FF5" w:rsidP="003D4FF5">
      <w:pPr>
        <w:pStyle w:val="AH5Sec"/>
      </w:pPr>
      <w:bookmarkStart w:id="528" w:name="_Toc185514145"/>
      <w:r w:rsidRPr="00C8328B">
        <w:rPr>
          <w:rStyle w:val="CharSectNo"/>
        </w:rPr>
        <w:t>1609</w:t>
      </w:r>
      <w:r>
        <w:tab/>
        <w:t>Orders—reservation of decision</w:t>
      </w:r>
      <w:bookmarkEnd w:id="528"/>
    </w:p>
    <w:p w14:paraId="5FF9CA50" w14:textId="77777777"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14:paraId="0CD33ADA" w14:textId="77777777"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14:paraId="1E85843B" w14:textId="77777777" w:rsidR="003D4FF5" w:rsidRDefault="003D4FF5" w:rsidP="003D4FF5">
      <w:pPr>
        <w:pStyle w:val="Amain"/>
      </w:pPr>
      <w:r>
        <w:tab/>
        <w:t>(3)</w:t>
      </w:r>
      <w:r>
        <w:tab/>
        <w:t>The other judicial officer must, at a convenient time, publish in court the reasons for the decision.</w:t>
      </w:r>
    </w:p>
    <w:p w14:paraId="032E8668" w14:textId="77777777"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14:paraId="2AE6F563" w14:textId="77777777" w:rsidR="003D4FF5" w:rsidRDefault="003D4FF5" w:rsidP="003D4FF5">
      <w:pPr>
        <w:pStyle w:val="AH5Sec"/>
      </w:pPr>
      <w:bookmarkStart w:id="529" w:name="_Toc185514146"/>
      <w:r w:rsidRPr="00C8328B">
        <w:rPr>
          <w:rStyle w:val="CharSectNo"/>
        </w:rPr>
        <w:lastRenderedPageBreak/>
        <w:t>1610</w:t>
      </w:r>
      <w:r>
        <w:tab/>
        <w:t>Orders—time for compliance</w:t>
      </w:r>
      <w:bookmarkEnd w:id="529"/>
    </w:p>
    <w:p w14:paraId="796093E1" w14:textId="77777777" w:rsidR="003D4FF5" w:rsidRDefault="003D4FF5" w:rsidP="003D4FF5">
      <w:pPr>
        <w:pStyle w:val="Amain"/>
      </w:pPr>
      <w:r>
        <w:tab/>
        <w:t>(1)</w:t>
      </w:r>
      <w:r>
        <w:tab/>
        <w:t>An order in a proceeding requiring a person to perform an act must state the time within which the person is required to perform the act.</w:t>
      </w:r>
    </w:p>
    <w:p w14:paraId="0916296F" w14:textId="77777777" w:rsidR="003D4FF5" w:rsidRDefault="003D4FF5" w:rsidP="007620CA">
      <w:pPr>
        <w:pStyle w:val="Amain"/>
        <w:keepNext/>
        <w:keepLines/>
      </w:pPr>
      <w:r>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14:paraId="3240433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65E8DA8" w14:textId="77777777" w:rsidR="003D4FF5" w:rsidRDefault="003D4FF5" w:rsidP="003D4FF5">
      <w:pPr>
        <w:pStyle w:val="Amain"/>
        <w:keepNext/>
      </w:pPr>
      <w:r>
        <w:tab/>
        <w:t>(3)</w:t>
      </w:r>
      <w:r>
        <w:tab/>
        <w:t>An order requiring a person to perform an act must have written on it or attached to it the following statement or a statement to the same effect:</w:t>
      </w:r>
    </w:p>
    <w:p w14:paraId="546D6496" w14:textId="77777777" w:rsidR="003D4FF5" w:rsidRDefault="003D4FF5" w:rsidP="003D4FF5">
      <w:pPr>
        <w:pStyle w:val="Aparareturn"/>
      </w:pPr>
      <w:r>
        <w:t>‘If you, [state name of person required to perform act], do not obey this order within the time stated in it, a court proceeding may be taken to compel you to obey it.’</w:t>
      </w:r>
    </w:p>
    <w:p w14:paraId="03B8A051" w14:textId="77777777" w:rsidR="003D4FF5" w:rsidRDefault="003D4FF5" w:rsidP="003D4FF5">
      <w:pPr>
        <w:pStyle w:val="Amain"/>
      </w:pPr>
      <w:r>
        <w:tab/>
        <w:t>(4)</w:t>
      </w:r>
      <w:r>
        <w:tab/>
        <w:t>The court may amend a time stated in an order for the performance of an act.</w:t>
      </w:r>
    </w:p>
    <w:p w14:paraId="5CEB0463" w14:textId="77777777" w:rsidR="003D4FF5" w:rsidRDefault="003D4FF5" w:rsidP="003D4FF5">
      <w:pPr>
        <w:pStyle w:val="AH5Sec"/>
      </w:pPr>
      <w:bookmarkStart w:id="530" w:name="_Toc185514147"/>
      <w:r w:rsidRPr="00C8328B">
        <w:rPr>
          <w:rStyle w:val="CharSectNo"/>
        </w:rPr>
        <w:t>1611</w:t>
      </w:r>
      <w:r>
        <w:tab/>
        <w:t>Orders—by consent</w:t>
      </w:r>
      <w:bookmarkEnd w:id="530"/>
    </w:p>
    <w:p w14:paraId="3F143650" w14:textId="742EC044" w:rsidR="003D4FF5" w:rsidRDefault="003D4FF5" w:rsidP="00FD1306">
      <w:pPr>
        <w:pStyle w:val="Amainreturn"/>
        <w:keepNext/>
      </w:pPr>
      <w:r>
        <w:t>The registrar may make an order in a proceeding if—</w:t>
      </w:r>
    </w:p>
    <w:p w14:paraId="05746791" w14:textId="77777777" w:rsidR="003D4FF5" w:rsidRDefault="003D4FF5" w:rsidP="003D4FF5">
      <w:pPr>
        <w:pStyle w:val="Apara"/>
      </w:pPr>
      <w:r>
        <w:tab/>
        <w:t>(a)</w:t>
      </w:r>
      <w:r>
        <w:tab/>
        <w:t>the parties affected by the order consent to the order; and</w:t>
      </w:r>
    </w:p>
    <w:p w14:paraId="5DB5EA9C" w14:textId="77777777" w:rsidR="003D4FF5" w:rsidRDefault="003D4FF5" w:rsidP="003D4FF5">
      <w:pPr>
        <w:pStyle w:val="Apara"/>
        <w:keepNext/>
      </w:pPr>
      <w:r>
        <w:tab/>
        <w:t>(b)</w:t>
      </w:r>
      <w:r>
        <w:tab/>
        <w:t>the registrar considers it appropriate.</w:t>
      </w:r>
    </w:p>
    <w:p w14:paraId="26F640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14:paraId="3C623E30" w14:textId="77777777" w:rsidR="003D4FF5" w:rsidRDefault="003D4FF5" w:rsidP="003D4FF5">
      <w:pPr>
        <w:pStyle w:val="AH5Sec"/>
      </w:pPr>
      <w:bookmarkStart w:id="531" w:name="_Toc185514148"/>
      <w:r w:rsidRPr="00C8328B">
        <w:rPr>
          <w:rStyle w:val="CharSectNo"/>
        </w:rPr>
        <w:t>1612</w:t>
      </w:r>
      <w:r>
        <w:tab/>
        <w:t>Orders—by consent in proceeding</w:t>
      </w:r>
      <w:bookmarkEnd w:id="531"/>
    </w:p>
    <w:p w14:paraId="1FF89C4B" w14:textId="77777777" w:rsidR="003D4FF5" w:rsidRDefault="003D4FF5" w:rsidP="003D4FF5">
      <w:pPr>
        <w:pStyle w:val="Amain"/>
      </w:pPr>
      <w:r>
        <w:tab/>
        <w:t>(1)</w:t>
      </w:r>
      <w:r>
        <w:tab/>
        <w:t>This rule applies to an order in a proceeding for judgment by consent.</w:t>
      </w:r>
    </w:p>
    <w:p w14:paraId="1F90AF75" w14:textId="77777777" w:rsidR="003D4FF5" w:rsidRDefault="003D4FF5" w:rsidP="003D4FF5">
      <w:pPr>
        <w:pStyle w:val="Amain"/>
      </w:pPr>
      <w:r>
        <w:tab/>
        <w:t>(2)</w:t>
      </w:r>
      <w:r>
        <w:tab/>
        <w:t>If a party is represented by a legal practitioner in the proceeding, the party’s consent to the order must be given by the party’s practitioner.</w:t>
      </w:r>
    </w:p>
    <w:p w14:paraId="0CA7D68D" w14:textId="77777777" w:rsidR="003D4FF5" w:rsidRDefault="003D4FF5" w:rsidP="003D4FF5">
      <w:pPr>
        <w:pStyle w:val="Amain"/>
      </w:pPr>
      <w:r>
        <w:lastRenderedPageBreak/>
        <w:tab/>
        <w:t>(3)</w:t>
      </w:r>
      <w:r>
        <w:tab/>
        <w:t>If a party acts in person in the proceeding, the party’s consent to the order must be given—</w:t>
      </w:r>
    </w:p>
    <w:p w14:paraId="1DDE97CC" w14:textId="77777777" w:rsidR="003D4FF5" w:rsidRDefault="003D4FF5" w:rsidP="003D4FF5">
      <w:pPr>
        <w:pStyle w:val="Apara"/>
      </w:pPr>
      <w:r>
        <w:tab/>
        <w:t>(a)</w:t>
      </w:r>
      <w:r>
        <w:tab/>
        <w:t>in person to the judicial officer hearing the proceeding; or</w:t>
      </w:r>
    </w:p>
    <w:p w14:paraId="7F7225E7" w14:textId="77777777" w:rsidR="003D4FF5" w:rsidRDefault="003D4FF5" w:rsidP="003D4FF5">
      <w:pPr>
        <w:pStyle w:val="Apara"/>
      </w:pPr>
      <w:r>
        <w:tab/>
        <w:t>(b)</w:t>
      </w:r>
      <w:r>
        <w:tab/>
        <w:t>in writing, witnessed by a legal practitioner.</w:t>
      </w:r>
    </w:p>
    <w:p w14:paraId="592502FB" w14:textId="77777777" w:rsidR="003D4FF5" w:rsidRDefault="003D4FF5" w:rsidP="003D4FF5">
      <w:pPr>
        <w:pStyle w:val="Amain"/>
      </w:pPr>
      <w:r>
        <w:tab/>
        <w:t>(4)</w:t>
      </w:r>
      <w:r>
        <w:tab/>
        <w:t>However, a party who is a legal practitioner complies with subrule (3) (b) if the consent is in writing.</w:t>
      </w:r>
    </w:p>
    <w:p w14:paraId="4272039D" w14:textId="77777777" w:rsidR="00FB1A2E" w:rsidRPr="00F13970" w:rsidRDefault="00FB1A2E" w:rsidP="00AD5ED3">
      <w:pPr>
        <w:pStyle w:val="AH5Sec"/>
      </w:pPr>
      <w:bookmarkStart w:id="532" w:name="_Toc185514149"/>
      <w:r w:rsidRPr="000167DA">
        <w:rPr>
          <w:rStyle w:val="CharSectNo"/>
        </w:rPr>
        <w:t>1613</w:t>
      </w:r>
      <w:r w:rsidRPr="00F13970">
        <w:tab/>
      </w:r>
      <w:bookmarkStart w:id="533" w:name="_Hlk178242171"/>
      <w:r w:rsidRPr="00F13970">
        <w:t>Orders—setting aside etc</w:t>
      </w:r>
      <w:bookmarkEnd w:id="532"/>
      <w:bookmarkEnd w:id="533"/>
    </w:p>
    <w:p w14:paraId="2B0172A1" w14:textId="77777777" w:rsidR="00FB1A2E" w:rsidRPr="00F13970" w:rsidRDefault="00FB1A2E" w:rsidP="00AD5ED3">
      <w:pPr>
        <w:pStyle w:val="Amain"/>
      </w:pPr>
      <w:r w:rsidRPr="00F13970">
        <w:tab/>
        <w:t>(1)</w:t>
      </w:r>
      <w:r w:rsidRPr="00F13970">
        <w:tab/>
        <w:t>This rule applies to an order other than a default judgment.</w:t>
      </w:r>
    </w:p>
    <w:p w14:paraId="71976719" w14:textId="77777777" w:rsidR="00FB1A2E" w:rsidRPr="00F13970" w:rsidRDefault="00FB1A2E" w:rsidP="00FB1A2E">
      <w:pPr>
        <w:pStyle w:val="aNote"/>
      </w:pPr>
      <w:r w:rsidRPr="005E6481">
        <w:rPr>
          <w:rStyle w:val="charItals"/>
        </w:rPr>
        <w:t>Note</w:t>
      </w:r>
      <w:r w:rsidRPr="005E6481">
        <w:rPr>
          <w:rStyle w:val="charItals"/>
        </w:rPr>
        <w:tab/>
      </w:r>
      <w:r w:rsidRPr="00F13970">
        <w:rPr>
          <w:color w:val="000000"/>
          <w:shd w:val="clear" w:color="auto" w:fill="FFFFFF"/>
        </w:rPr>
        <w:t>See r 1128 (Default judgment—setting aside etc) in relation to setting aside a default judgment.</w:t>
      </w:r>
    </w:p>
    <w:p w14:paraId="585B1767" w14:textId="77777777" w:rsidR="00FB1A2E" w:rsidRPr="00F13970" w:rsidRDefault="00FB1A2E" w:rsidP="00AD5ED3">
      <w:pPr>
        <w:pStyle w:val="Amain"/>
      </w:pPr>
      <w:r w:rsidRPr="00F13970">
        <w:tab/>
        <w:t>(2)</w:t>
      </w:r>
      <w:r w:rsidRPr="00F13970">
        <w:tab/>
        <w:t>The court may amend or set aside the order</w:t>
      </w:r>
      <w:r w:rsidRPr="00F13970">
        <w:rPr>
          <w:color w:val="000000"/>
          <w:sz w:val="20"/>
          <w:shd w:val="clear" w:color="auto" w:fill="FFFFFF"/>
        </w:rPr>
        <w:t>—</w:t>
      </w:r>
    </w:p>
    <w:p w14:paraId="399DA4DB" w14:textId="77777777" w:rsidR="00FB1A2E" w:rsidRPr="00F13970" w:rsidRDefault="00FB1A2E" w:rsidP="00AD5ED3">
      <w:pPr>
        <w:pStyle w:val="Apara"/>
      </w:pPr>
      <w:r w:rsidRPr="00F13970">
        <w:tab/>
        <w:t>(a)</w:t>
      </w:r>
      <w:r w:rsidRPr="00F13970">
        <w:tab/>
        <w:t>if the order has been entered</w:t>
      </w:r>
      <w:r w:rsidRPr="00F13970">
        <w:rPr>
          <w:color w:val="000000"/>
          <w:sz w:val="20"/>
          <w:shd w:val="clear" w:color="auto" w:fill="FFFFFF"/>
        </w:rPr>
        <w:t>—</w:t>
      </w:r>
      <w:r w:rsidRPr="00F13970">
        <w:t>on its own initiative not later than 14</w:t>
      </w:r>
      <w:r>
        <w:t> </w:t>
      </w:r>
      <w:r w:rsidRPr="00F13970">
        <w:t>days after the day the order was entered; or</w:t>
      </w:r>
    </w:p>
    <w:p w14:paraId="6FCA489C" w14:textId="77777777" w:rsidR="00FB1A2E" w:rsidRPr="00F13970" w:rsidRDefault="00FB1A2E" w:rsidP="00AD5ED3">
      <w:pPr>
        <w:pStyle w:val="Apara"/>
      </w:pPr>
      <w:r w:rsidRPr="00F13970">
        <w:tab/>
        <w:t>(b)</w:t>
      </w:r>
      <w:r w:rsidRPr="00F13970">
        <w:tab/>
        <w:t>in any case</w:t>
      </w:r>
      <w:r w:rsidRPr="00F13970">
        <w:rPr>
          <w:color w:val="000000"/>
          <w:sz w:val="20"/>
          <w:shd w:val="clear" w:color="auto" w:fill="FFFFFF"/>
        </w:rPr>
        <w:t>—</w:t>
      </w:r>
      <w:r w:rsidRPr="00F13970">
        <w:t>on application made not later than 14</w:t>
      </w:r>
      <w:r>
        <w:t xml:space="preserve"> </w:t>
      </w:r>
      <w:r w:rsidRPr="00F13970">
        <w:t>days after the day the order is entered.</w:t>
      </w:r>
    </w:p>
    <w:p w14:paraId="3E508DD2" w14:textId="77777777" w:rsidR="00FB1A2E" w:rsidRPr="00F13970" w:rsidRDefault="00FB1A2E" w:rsidP="00AD5ED3">
      <w:pPr>
        <w:pStyle w:val="Amain"/>
      </w:pPr>
      <w:r w:rsidRPr="00F13970">
        <w:tab/>
        <w:t>(3)</w:t>
      </w:r>
      <w:r w:rsidRPr="00F13970">
        <w:tab/>
        <w:t>Despite rule 6351 (Time—extending and shortening by court order), the court must not extend the time mentioned in subrule (2).</w:t>
      </w:r>
    </w:p>
    <w:p w14:paraId="335D8296" w14:textId="77777777" w:rsidR="00FB1A2E" w:rsidRPr="00F13970" w:rsidRDefault="00FB1A2E" w:rsidP="00AD5ED3">
      <w:pPr>
        <w:pStyle w:val="Amain"/>
      </w:pPr>
      <w:r w:rsidRPr="00F13970">
        <w:tab/>
        <w:t>(4)</w:t>
      </w:r>
      <w:r w:rsidRPr="00F13970">
        <w:tab/>
        <w:t>Despite subrule (2), the court may set aside the order on application or its own initiative at any time if—</w:t>
      </w:r>
    </w:p>
    <w:p w14:paraId="25679168" w14:textId="77777777" w:rsidR="00FB1A2E" w:rsidRPr="00F13970" w:rsidRDefault="00FB1A2E" w:rsidP="00AD5ED3">
      <w:pPr>
        <w:pStyle w:val="Apara"/>
        <w:rPr>
          <w:lang w:eastAsia="en-AU"/>
        </w:rPr>
      </w:pPr>
      <w:r w:rsidRPr="00F13970">
        <w:tab/>
        <w:t>(a)</w:t>
      </w:r>
      <w:r w:rsidRPr="00F13970">
        <w:tab/>
        <w:t>the order was made in the absence of a party; or</w:t>
      </w:r>
    </w:p>
    <w:p w14:paraId="1141FF40" w14:textId="77777777" w:rsidR="00FB1A2E" w:rsidRPr="00F13970" w:rsidRDefault="00FB1A2E" w:rsidP="00AD5ED3">
      <w:pPr>
        <w:pStyle w:val="Apara"/>
      </w:pPr>
      <w:r w:rsidRPr="00F13970">
        <w:tab/>
        <w:t>(b)</w:t>
      </w:r>
      <w:r w:rsidRPr="00F13970">
        <w:tab/>
        <w:t>the order was obtained by fraud; or</w:t>
      </w:r>
    </w:p>
    <w:p w14:paraId="2BEA0421" w14:textId="77777777" w:rsidR="00FB1A2E" w:rsidRPr="00F13970" w:rsidRDefault="00FB1A2E" w:rsidP="00AD5ED3">
      <w:pPr>
        <w:pStyle w:val="Apara"/>
      </w:pPr>
      <w:r w:rsidRPr="00F13970">
        <w:tab/>
        <w:t>(c)</w:t>
      </w:r>
      <w:r w:rsidRPr="00F13970">
        <w:tab/>
        <w:t>the order is for an injunction or the appointment of a receiver; or</w:t>
      </w:r>
    </w:p>
    <w:p w14:paraId="4BAD4393" w14:textId="77777777" w:rsidR="00FB1A2E" w:rsidRPr="00F13970" w:rsidRDefault="00FB1A2E" w:rsidP="00AD5ED3">
      <w:pPr>
        <w:pStyle w:val="Apara"/>
      </w:pPr>
      <w:r w:rsidRPr="00F13970">
        <w:tab/>
        <w:t>(d)</w:t>
      </w:r>
      <w:r w:rsidRPr="00F13970">
        <w:tab/>
        <w:t>the order does not reflect the court’s intention at the time the order was made; or</w:t>
      </w:r>
    </w:p>
    <w:p w14:paraId="51063338" w14:textId="77777777" w:rsidR="00FB1A2E" w:rsidRPr="00F13970" w:rsidRDefault="00FB1A2E" w:rsidP="00AD5ED3">
      <w:pPr>
        <w:pStyle w:val="Apara"/>
      </w:pPr>
      <w:r w:rsidRPr="00F13970">
        <w:tab/>
        <w:t>(e)</w:t>
      </w:r>
      <w:r w:rsidRPr="00F13970">
        <w:tab/>
        <w:t>the party who has the benefit of the order consents; or</w:t>
      </w:r>
    </w:p>
    <w:p w14:paraId="75E7DCDB" w14:textId="77777777" w:rsidR="00FB1A2E" w:rsidRPr="00F13970" w:rsidRDefault="00FB1A2E" w:rsidP="00AD5ED3">
      <w:pPr>
        <w:pStyle w:val="Apara"/>
      </w:pPr>
      <w:r w:rsidRPr="00F13970">
        <w:lastRenderedPageBreak/>
        <w:tab/>
        <w:t>(f)</w:t>
      </w:r>
      <w:r w:rsidRPr="00F13970">
        <w:tab/>
        <w:t>for a judgment for specific performance, the court considers it appropriate for reasons that have arisen since the order was made.</w:t>
      </w:r>
    </w:p>
    <w:p w14:paraId="5B10C4E1" w14:textId="77777777" w:rsidR="00FB1A2E" w:rsidRPr="00F13970" w:rsidRDefault="00FB1A2E" w:rsidP="00AD5ED3">
      <w:pPr>
        <w:pStyle w:val="Amain"/>
      </w:pPr>
      <w:r w:rsidRPr="00F13970">
        <w:tab/>
        <w:t>(5)</w:t>
      </w:r>
      <w:r w:rsidRPr="00F13970">
        <w:tab/>
        <w:t>If the court sets aside the order under this rule, it may also set aside any order made to enforce the order.</w:t>
      </w:r>
    </w:p>
    <w:p w14:paraId="2D5DC761" w14:textId="77777777" w:rsidR="00FB1A2E" w:rsidRPr="00F13970" w:rsidRDefault="00FB1A2E" w:rsidP="00AD5ED3">
      <w:pPr>
        <w:pStyle w:val="Amain"/>
      </w:pPr>
      <w:r w:rsidRPr="00F13970">
        <w:tab/>
        <w:t>(6)</w:t>
      </w:r>
      <w:r w:rsidRPr="00F13970">
        <w:tab/>
        <w:t>If the court sets aside the order under subrule (4), the setting aside of the order does not affect the title to any property sold under the order before it is set aside.</w:t>
      </w:r>
    </w:p>
    <w:p w14:paraId="01B68D56" w14:textId="77777777" w:rsidR="00FB1A2E" w:rsidRPr="00F13970" w:rsidRDefault="00FB1A2E" w:rsidP="00AD5ED3">
      <w:pPr>
        <w:pStyle w:val="Amain"/>
      </w:pPr>
      <w:r w:rsidRPr="00F13970">
        <w:tab/>
        <w:t>(7)</w:t>
      </w:r>
      <w:r w:rsidRPr="00F13970">
        <w:tab/>
        <w:t>Nothing in this rule affects any other power of the court to amend or set aside an order.</w:t>
      </w:r>
    </w:p>
    <w:p w14:paraId="012077CD" w14:textId="7D32B1E5" w:rsidR="003D4FF5" w:rsidRDefault="003D4FF5" w:rsidP="003D4FF5">
      <w:pPr>
        <w:pStyle w:val="AH5Sec"/>
      </w:pPr>
      <w:bookmarkStart w:id="534" w:name="_Toc185514150"/>
      <w:r w:rsidRPr="00C8328B">
        <w:rPr>
          <w:rStyle w:val="CharSectNo"/>
        </w:rPr>
        <w:t>1614</w:t>
      </w:r>
      <w:r>
        <w:tab/>
        <w:t>Order dismissing proceeding—effect</w:t>
      </w:r>
      <w:bookmarkEnd w:id="534"/>
    </w:p>
    <w:p w14:paraId="55A092CB" w14:textId="77777777" w:rsidR="003D4FF5" w:rsidRDefault="003D4FF5" w:rsidP="003D4FF5">
      <w:pPr>
        <w:pStyle w:val="Amain"/>
      </w:pPr>
      <w:r>
        <w:tab/>
        <w:t>(1)</w:t>
      </w:r>
      <w:r>
        <w:tab/>
        <w:t>This rule applies to the dismissal of—</w:t>
      </w:r>
    </w:p>
    <w:p w14:paraId="0C2C4CBE" w14:textId="77777777" w:rsidR="003D4FF5" w:rsidRDefault="003D4FF5" w:rsidP="003D4FF5">
      <w:pPr>
        <w:pStyle w:val="Apara"/>
      </w:pPr>
      <w:r>
        <w:tab/>
        <w:t>(a)</w:t>
      </w:r>
      <w:r>
        <w:tab/>
        <w:t>a proceeding, either generally or in relation to any cause of action; or</w:t>
      </w:r>
    </w:p>
    <w:p w14:paraId="1A88CF8C" w14:textId="77777777" w:rsidR="003D4FF5" w:rsidRDefault="003D4FF5" w:rsidP="003D4FF5">
      <w:pPr>
        <w:pStyle w:val="Apara"/>
      </w:pPr>
      <w:r>
        <w:tab/>
        <w:t>(b)</w:t>
      </w:r>
      <w:r>
        <w:tab/>
        <w:t>a claim, or any part of a claim, for relief in a proceeding.</w:t>
      </w:r>
    </w:p>
    <w:p w14:paraId="0D8EDC05" w14:textId="77777777"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14:paraId="3C9B5B19" w14:textId="77777777"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14:paraId="2F029929" w14:textId="77777777" w:rsidR="003D4FF5" w:rsidRDefault="003D4FF5" w:rsidP="003D4FF5">
      <w:pPr>
        <w:pStyle w:val="AH5Sec"/>
      </w:pPr>
      <w:bookmarkStart w:id="535" w:name="_Toc185514151"/>
      <w:r w:rsidRPr="00C8328B">
        <w:rPr>
          <w:rStyle w:val="CharSectNo"/>
        </w:rPr>
        <w:t>1615</w:t>
      </w:r>
      <w:r>
        <w:tab/>
        <w:t>Orders—joint liability</w:t>
      </w:r>
      <w:bookmarkEnd w:id="535"/>
    </w:p>
    <w:p w14:paraId="11BA93E3" w14:textId="77777777" w:rsidR="003D4FF5" w:rsidRDefault="003D4FF5" w:rsidP="003D4FF5">
      <w:pPr>
        <w:pStyle w:val="Amain"/>
        <w:keepNext/>
      </w:pPr>
      <w:r>
        <w:tab/>
        <w:t>(1)</w:t>
      </w:r>
      <w:r>
        <w:tab/>
        <w:t>This rule applies if—</w:t>
      </w:r>
    </w:p>
    <w:p w14:paraId="3DC824B6" w14:textId="77777777" w:rsidR="003D4FF5" w:rsidRDefault="003D4FF5" w:rsidP="003D4FF5">
      <w:pPr>
        <w:pStyle w:val="Apara"/>
      </w:pPr>
      <w:r>
        <w:tab/>
        <w:t>(a)</w:t>
      </w:r>
      <w:r>
        <w:tab/>
        <w:t>2 or more people are jointly liable in relation to a cause of action in a proceeding; and</w:t>
      </w:r>
    </w:p>
    <w:p w14:paraId="42352B44" w14:textId="77777777" w:rsidR="003D4FF5" w:rsidRDefault="003D4FF5" w:rsidP="003D4FF5">
      <w:pPr>
        <w:pStyle w:val="Apara"/>
      </w:pPr>
      <w:r>
        <w:tab/>
        <w:t>(b)</w:t>
      </w:r>
      <w:r>
        <w:tab/>
        <w:t>1 or more, but not all, of the people jointly liable are served with the originating process.</w:t>
      </w:r>
    </w:p>
    <w:p w14:paraId="0CC99EAE" w14:textId="77777777" w:rsidR="003D4FF5" w:rsidRDefault="003D4FF5" w:rsidP="003D4FF5">
      <w:pPr>
        <w:pStyle w:val="Amain"/>
      </w:pPr>
      <w:r>
        <w:lastRenderedPageBreak/>
        <w:tab/>
        <w:t>(2)</w:t>
      </w:r>
      <w:r>
        <w:tab/>
        <w:t>The court may enter judgment in relation to the cause of action against any 1 or more of the people served with the originating process, and the judgment may be enforced against anyone against whom judgment is entered.</w:t>
      </w:r>
    </w:p>
    <w:p w14:paraId="2DD93DEC" w14:textId="77777777" w:rsidR="003D4FF5" w:rsidRDefault="003D4FF5" w:rsidP="003D4FF5">
      <w:pPr>
        <w:pStyle w:val="Amain"/>
      </w:pPr>
      <w:r>
        <w:tab/>
        <w:t>(3)</w:t>
      </w:r>
      <w:r>
        <w:tab/>
        <w:t>If judgment is entered in relation to the cause of action against 1 or more, but not all, of the people jointly liable in relation to the cause of action—</w:t>
      </w:r>
    </w:p>
    <w:p w14:paraId="02294FDE" w14:textId="77777777"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14:paraId="05E9B5EB" w14:textId="77777777"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14:paraId="71F4A9AC" w14:textId="77777777" w:rsidR="003D4FF5" w:rsidRDefault="003D4FF5" w:rsidP="003D4FF5">
      <w:pPr>
        <w:pStyle w:val="Apara"/>
      </w:pPr>
      <w:r>
        <w:tab/>
        <w:t>(c)</w:t>
      </w:r>
      <w:r>
        <w:tab/>
        <w:t>if there are 2 or more other people—the other people are jointly liable as between themselves; and</w:t>
      </w:r>
    </w:p>
    <w:p w14:paraId="521E303F" w14:textId="77777777" w:rsidR="003D4FF5" w:rsidRDefault="003D4FF5" w:rsidP="003D4FF5">
      <w:pPr>
        <w:pStyle w:val="Apara"/>
      </w:pPr>
      <w:r>
        <w:tab/>
        <w:t>(d)</w:t>
      </w:r>
      <w:r>
        <w:tab/>
        <w:t>if the judgment is satisfied or partly satisfied—the liability of the other people is discharged to the extent to which the judgment is satisfied.</w:t>
      </w:r>
    </w:p>
    <w:p w14:paraId="6B2DCCDB" w14:textId="77777777"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14:paraId="5718E3F2" w14:textId="27058408" w:rsidR="003D4FF5" w:rsidRDefault="003D4FF5" w:rsidP="003D4FF5">
      <w:pPr>
        <w:pStyle w:val="Amain"/>
      </w:pPr>
      <w:r>
        <w:tab/>
        <w:t>(5)</w:t>
      </w:r>
      <w:r>
        <w:tab/>
        <w:t xml:space="preserve">This rule does not apply to a proceeding to which the </w:t>
      </w:r>
      <w:hyperlink r:id="rId145" w:tooltip="A2002-40" w:history="1">
        <w:r w:rsidRPr="005A5F43">
          <w:rPr>
            <w:rStyle w:val="charCitHyperlinkItal"/>
          </w:rPr>
          <w:t>Civil Law (Wrongs) Act 2002</w:t>
        </w:r>
      </w:hyperlink>
      <w:r>
        <w:t>, section 107F (Proportionate liability for apportionable claims) applies.</w:t>
      </w:r>
    </w:p>
    <w:p w14:paraId="70ED9473" w14:textId="77777777" w:rsidR="003D4FF5" w:rsidRPr="005D331F" w:rsidRDefault="003D4FF5" w:rsidP="003D4FF5">
      <w:pPr>
        <w:pStyle w:val="AH5Sec"/>
      </w:pPr>
      <w:bookmarkStart w:id="536" w:name="_Toc185514152"/>
      <w:r w:rsidRPr="00C8328B">
        <w:rPr>
          <w:rStyle w:val="CharSectNo"/>
        </w:rPr>
        <w:lastRenderedPageBreak/>
        <w:t>1616</w:t>
      </w:r>
      <w:r w:rsidRPr="005D331F">
        <w:tab/>
        <w:t>Payment into court—payment of amount paid into court under order</w:t>
      </w:r>
      <w:bookmarkEnd w:id="536"/>
    </w:p>
    <w:p w14:paraId="6565024D" w14:textId="77777777" w:rsidR="003D4FF5" w:rsidRPr="005D331F" w:rsidRDefault="003D4FF5" w:rsidP="003D4FF5">
      <w:pPr>
        <w:pStyle w:val="Amainreturn"/>
        <w:keepNext/>
      </w:pPr>
      <w:r w:rsidRPr="005D331F">
        <w:t>An amount paid into court under an order of the court may be paid out of court only under an order of the court.</w:t>
      </w:r>
    </w:p>
    <w:p w14:paraId="6F162DFE" w14:textId="77777777"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14:paraId="40EF6A4D" w14:textId="77777777"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14:paraId="3BCDDDB8" w14:textId="77777777" w:rsidR="003D4FF5" w:rsidRPr="005D331F" w:rsidRDefault="003D4FF5" w:rsidP="003D4FF5">
      <w:pPr>
        <w:pStyle w:val="AH5Sec"/>
      </w:pPr>
      <w:bookmarkStart w:id="537" w:name="_Toc185514153"/>
      <w:r w:rsidRPr="00C8328B">
        <w:rPr>
          <w:rStyle w:val="CharSectNo"/>
        </w:rPr>
        <w:t>1617</w:t>
      </w:r>
      <w:r w:rsidRPr="005D331F">
        <w:tab/>
        <w:t>Payment into court—amount recovered by person with legal disability</w:t>
      </w:r>
      <w:bookmarkEnd w:id="537"/>
    </w:p>
    <w:p w14:paraId="63BFBC33" w14:textId="77777777"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14:paraId="4DA3E0FF" w14:textId="77777777" w:rsidR="003D4FF5" w:rsidRPr="005D331F" w:rsidRDefault="003D4FF5" w:rsidP="003D4FF5">
      <w:pPr>
        <w:pStyle w:val="Amain"/>
      </w:pPr>
      <w:r w:rsidRPr="005D331F">
        <w:tab/>
        <w:t>(2)</w:t>
      </w:r>
      <w:r w:rsidRPr="005D331F">
        <w:tab/>
        <w:t>The amount may be paid out of court only under an order of the court.</w:t>
      </w:r>
    </w:p>
    <w:p w14:paraId="22FB62C4"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2108C1A9" w14:textId="77777777" w:rsidR="003D4FF5" w:rsidRPr="005D331F" w:rsidRDefault="003D4FF5" w:rsidP="003D4FF5">
      <w:pPr>
        <w:pStyle w:val="Amain"/>
      </w:pPr>
      <w:r w:rsidRPr="005D331F">
        <w:tab/>
        <w:t>(3)</w:t>
      </w:r>
      <w:r w:rsidRPr="005D331F">
        <w:tab/>
        <w:t>In this rule:</w:t>
      </w:r>
    </w:p>
    <w:p w14:paraId="67FA3CAB" w14:textId="77777777" w:rsidR="003D4FF5" w:rsidRPr="005D331F" w:rsidRDefault="003D4FF5" w:rsidP="003D4FF5">
      <w:pPr>
        <w:pStyle w:val="aDef"/>
      </w:pPr>
      <w:r w:rsidRPr="005D331F">
        <w:rPr>
          <w:rStyle w:val="charBoldItals"/>
        </w:rPr>
        <w:t>order of the court</w:t>
      </w:r>
      <w:r w:rsidRPr="005D331F">
        <w:t xml:space="preserve"> does not include a consent order.</w:t>
      </w:r>
    </w:p>
    <w:p w14:paraId="05F668E1" w14:textId="77777777" w:rsidR="003D4FF5" w:rsidRPr="005D331F" w:rsidRDefault="003D4FF5" w:rsidP="003D4FF5">
      <w:pPr>
        <w:pStyle w:val="AH5Sec"/>
      </w:pPr>
      <w:bookmarkStart w:id="538" w:name="_Toc185514154"/>
      <w:r w:rsidRPr="00C8328B">
        <w:rPr>
          <w:rStyle w:val="CharSectNo"/>
        </w:rPr>
        <w:t>1618</w:t>
      </w:r>
      <w:r w:rsidRPr="005D331F">
        <w:tab/>
        <w:t>Person with legal disability—orders about recovered amounts etc</w:t>
      </w:r>
      <w:bookmarkEnd w:id="538"/>
    </w:p>
    <w:p w14:paraId="592243C6" w14:textId="77777777"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14:paraId="128EDA13" w14:textId="320EC806" w:rsidR="003D4FF5" w:rsidRPr="005D331F" w:rsidRDefault="003D4FF5" w:rsidP="00F13D87">
      <w:pPr>
        <w:pStyle w:val="aNote"/>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46" w:tooltip="A1985-8" w:history="1">
        <w:r w:rsidR="00E439D1" w:rsidRPr="00122C29">
          <w:rPr>
            <w:rStyle w:val="charCitHyperlinkItal"/>
          </w:rPr>
          <w:t>Public Trustee and Guardian Act 1985</w:t>
        </w:r>
      </w:hyperlink>
      <w:r w:rsidR="00E439D1" w:rsidRPr="00122C29">
        <w:t>, s</w:t>
      </w:r>
      <w:r w:rsidR="001879B7">
        <w:t> </w:t>
      </w:r>
      <w:r w:rsidR="00E439D1" w:rsidRPr="00122C29">
        <w:t>25).</w:t>
      </w:r>
    </w:p>
    <w:p w14:paraId="0D50C7E6" w14:textId="77777777" w:rsidR="003D4FF5" w:rsidRPr="005D331F" w:rsidRDefault="003D4FF5" w:rsidP="003D4FF5">
      <w:pPr>
        <w:pStyle w:val="Amain"/>
        <w:keepNext/>
      </w:pPr>
      <w:r w:rsidRPr="005D331F">
        <w:lastRenderedPageBreak/>
        <w:tab/>
        <w:t>(2)</w:t>
      </w:r>
      <w:r w:rsidRPr="005D331F">
        <w:tab/>
        <w:t>Without limiting subrule (1), the court may, by order, direct—</w:t>
      </w:r>
    </w:p>
    <w:p w14:paraId="6F11707C" w14:textId="77777777" w:rsidR="003D4FF5" w:rsidRPr="005D331F" w:rsidRDefault="003D4FF5" w:rsidP="003D4FF5">
      <w:pPr>
        <w:pStyle w:val="Apara"/>
      </w:pPr>
      <w:r w:rsidRPr="005D331F">
        <w:tab/>
        <w:t>(a)</w:t>
      </w:r>
      <w:r w:rsidRPr="005D331F">
        <w:tab/>
        <w:t>the payment of all or part of the amount to—</w:t>
      </w:r>
    </w:p>
    <w:p w14:paraId="0B152C27" w14:textId="77777777" w:rsidR="003D4FF5" w:rsidRPr="005D331F" w:rsidRDefault="003D4FF5" w:rsidP="003D4FF5">
      <w:pPr>
        <w:pStyle w:val="Asubpara"/>
      </w:pPr>
      <w:r w:rsidRPr="005D331F">
        <w:tab/>
        <w:t>(i)</w:t>
      </w:r>
      <w:r w:rsidRPr="005D331F">
        <w:tab/>
        <w:t>the claimant or the claimant’s litigation guardian for—</w:t>
      </w:r>
    </w:p>
    <w:p w14:paraId="464B853F" w14:textId="77777777" w:rsidR="003D4FF5" w:rsidRPr="005D331F" w:rsidRDefault="003D4FF5" w:rsidP="003D4FF5">
      <w:pPr>
        <w:pStyle w:val="Asubsubpara"/>
      </w:pPr>
      <w:r w:rsidRPr="005D331F">
        <w:tab/>
        <w:t>(A)</w:t>
      </w:r>
      <w:r w:rsidRPr="005D331F">
        <w:tab/>
        <w:t>expenses incurred by or paid for the claimant; or</w:t>
      </w:r>
    </w:p>
    <w:p w14:paraId="5A439AC0" w14:textId="77777777" w:rsidR="003D4FF5" w:rsidRPr="005D331F" w:rsidRDefault="003D4FF5" w:rsidP="003D4FF5">
      <w:pPr>
        <w:pStyle w:val="Asubsubpara"/>
      </w:pPr>
      <w:r w:rsidRPr="005D331F">
        <w:tab/>
        <w:t>(B)</w:t>
      </w:r>
      <w:r w:rsidRPr="005D331F">
        <w:tab/>
        <w:t>the maintenance or benefit of the claimant; or</w:t>
      </w:r>
    </w:p>
    <w:p w14:paraId="6E94A1EC" w14:textId="77777777" w:rsidR="003D4FF5" w:rsidRPr="005D331F" w:rsidRDefault="003D4FF5" w:rsidP="003D4FF5">
      <w:pPr>
        <w:pStyle w:val="Asubpara"/>
      </w:pPr>
      <w:r w:rsidRPr="005D331F">
        <w:tab/>
        <w:t>(ii)</w:t>
      </w:r>
      <w:r w:rsidRPr="005D331F">
        <w:tab/>
        <w:t>the claimant’s solicitor for costs; or</w:t>
      </w:r>
    </w:p>
    <w:p w14:paraId="5714C355" w14:textId="77777777" w:rsidR="003D4FF5" w:rsidRPr="005D331F" w:rsidRDefault="003D4FF5" w:rsidP="003D4FF5">
      <w:pPr>
        <w:pStyle w:val="Apara"/>
      </w:pPr>
      <w:r w:rsidRPr="005D331F">
        <w:tab/>
        <w:t>(b)</w:t>
      </w:r>
      <w:r w:rsidRPr="005D331F">
        <w:tab/>
        <w:t>the investment of all or part of the amount for the claimant in the way stated in the order; or</w:t>
      </w:r>
    </w:p>
    <w:p w14:paraId="52968399" w14:textId="77777777"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14:paraId="734357C0" w14:textId="77777777" w:rsidR="003D4FF5" w:rsidRPr="005D331F" w:rsidRDefault="003D4FF5" w:rsidP="003D4FF5">
      <w:pPr>
        <w:pStyle w:val="Apara"/>
      </w:pPr>
      <w:r w:rsidRPr="005D331F">
        <w:tab/>
        <w:t>(d)</w:t>
      </w:r>
      <w:r w:rsidRPr="005D331F">
        <w:tab/>
        <w:t>the changing of an investment made for the claimant under this rule; or</w:t>
      </w:r>
    </w:p>
    <w:p w14:paraId="798A526A" w14:textId="77777777"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14:paraId="4A889B7A" w14:textId="77777777"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14:paraId="75C1719B" w14:textId="77777777" w:rsidR="003D4FF5" w:rsidRPr="005D331F" w:rsidRDefault="003D4FF5" w:rsidP="00E86A62">
      <w:pPr>
        <w:pStyle w:val="Amain"/>
        <w:keepNext/>
      </w:pPr>
      <w:r w:rsidRPr="005D331F">
        <w:tab/>
        <w:t>(3)</w:t>
      </w:r>
      <w:r w:rsidRPr="005D331F">
        <w:tab/>
        <w:t>In this rule:</w:t>
      </w:r>
    </w:p>
    <w:p w14:paraId="193042CB" w14:textId="77777777" w:rsidR="003D4FF5" w:rsidRPr="005D331F" w:rsidRDefault="003D4FF5" w:rsidP="003D4FF5">
      <w:pPr>
        <w:pStyle w:val="aDef"/>
        <w:keepNext/>
      </w:pPr>
      <w:r w:rsidRPr="005D331F">
        <w:rPr>
          <w:rStyle w:val="charBoldItals"/>
        </w:rPr>
        <w:t>amount</w:t>
      </w:r>
      <w:r w:rsidRPr="005D331F">
        <w:t xml:space="preserve"> includes an amount of damages.</w:t>
      </w:r>
    </w:p>
    <w:p w14:paraId="6B7F2668" w14:textId="77777777"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07F15A9F" w14:textId="77777777" w:rsidR="00E439D1" w:rsidRPr="00122C29" w:rsidRDefault="00E439D1" w:rsidP="00734726">
      <w:pPr>
        <w:pStyle w:val="AH5Sec"/>
      </w:pPr>
      <w:bookmarkStart w:id="539" w:name="_Toc185514155"/>
      <w:r w:rsidRPr="00C8328B">
        <w:rPr>
          <w:rStyle w:val="CharSectNo"/>
        </w:rPr>
        <w:lastRenderedPageBreak/>
        <w:t>1618A</w:t>
      </w:r>
      <w:r w:rsidRPr="00122C29">
        <w:tab/>
        <w:t>Person with mental disability—payment out to public trustee and guardian</w:t>
      </w:r>
      <w:bookmarkEnd w:id="539"/>
    </w:p>
    <w:p w14:paraId="512E3C89" w14:textId="77777777" w:rsidR="00E439D1" w:rsidRPr="00122C29" w:rsidRDefault="00E439D1" w:rsidP="00734726">
      <w:pPr>
        <w:pStyle w:val="Amain"/>
        <w:keepNext/>
      </w:pPr>
      <w:r w:rsidRPr="00122C29">
        <w:tab/>
        <w:t>(1)</w:t>
      </w:r>
      <w:r w:rsidRPr="00122C29">
        <w:tab/>
        <w:t>This rule applies if—</w:t>
      </w:r>
    </w:p>
    <w:p w14:paraId="75D52524" w14:textId="77777777" w:rsidR="00E439D1" w:rsidRPr="00122C29" w:rsidRDefault="00E439D1" w:rsidP="00734726">
      <w:pPr>
        <w:pStyle w:val="Apara"/>
        <w:keepNext/>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14:paraId="0CFEB9F6" w14:textId="66C15127"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47" w:tooltip="A1985-8" w:history="1">
        <w:r w:rsidRPr="00122C29">
          <w:rPr>
            <w:rStyle w:val="charCitHyperlinkItal"/>
          </w:rPr>
          <w:t>Public Trustee and Guardian Act 1985</w:t>
        </w:r>
      </w:hyperlink>
      <w:r w:rsidRPr="00122C29">
        <w:t>, section 25 (Payment of money etc to public trustee and guardian on behalf of person under disability).</w:t>
      </w:r>
    </w:p>
    <w:p w14:paraId="2330CACA" w14:textId="77777777" w:rsidR="00E439D1" w:rsidRPr="00122C29" w:rsidRDefault="00E439D1" w:rsidP="00E439D1">
      <w:pPr>
        <w:pStyle w:val="Amain"/>
      </w:pPr>
      <w:r w:rsidRPr="00122C29">
        <w:tab/>
        <w:t>(2)</w:t>
      </w:r>
      <w:r w:rsidRPr="00122C29">
        <w:tab/>
        <w:t>The court must—</w:t>
      </w:r>
    </w:p>
    <w:p w14:paraId="21E0789B" w14:textId="77777777" w:rsidR="00E439D1" w:rsidRPr="00122C29" w:rsidRDefault="00E439D1" w:rsidP="00E439D1">
      <w:pPr>
        <w:pStyle w:val="Apara"/>
      </w:pPr>
      <w:r w:rsidRPr="00122C29">
        <w:tab/>
        <w:t>(a)</w:t>
      </w:r>
      <w:r w:rsidRPr="00122C29">
        <w:tab/>
        <w:t>note that the claimant is a person with a mental disability; and</w:t>
      </w:r>
    </w:p>
    <w:p w14:paraId="3B7FA840" w14:textId="77777777"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14:paraId="2B668634" w14:textId="77777777" w:rsidR="003D4FF5" w:rsidRPr="005D331F" w:rsidRDefault="003D4FF5" w:rsidP="003D4FF5">
      <w:pPr>
        <w:pStyle w:val="AH5Sec"/>
      </w:pPr>
      <w:bookmarkStart w:id="540" w:name="_Toc185514156"/>
      <w:r w:rsidRPr="00C8328B">
        <w:rPr>
          <w:rStyle w:val="CharSectNo"/>
        </w:rPr>
        <w:t>1619</w:t>
      </w:r>
      <w:r w:rsidRPr="005D331F">
        <w:tab/>
        <w:t>Interest up to judgment</w:t>
      </w:r>
      <w:bookmarkEnd w:id="540"/>
    </w:p>
    <w:p w14:paraId="17374266" w14:textId="77777777" w:rsidR="003D4FF5" w:rsidRPr="005D331F" w:rsidRDefault="003D4FF5" w:rsidP="003D4FF5">
      <w:pPr>
        <w:pStyle w:val="Amain"/>
      </w:pPr>
      <w:r w:rsidRPr="005D331F">
        <w:tab/>
        <w:t>(1)</w:t>
      </w:r>
      <w:r w:rsidRPr="005D331F">
        <w:tab/>
        <w:t>In a proceeding for the recovery of money, including a debt or damages or the value of goods, the court may—</w:t>
      </w:r>
    </w:p>
    <w:p w14:paraId="3DFAFDCD" w14:textId="77777777" w:rsidR="003D4FF5" w:rsidRPr="005D331F" w:rsidRDefault="003D4FF5" w:rsidP="003D4FF5">
      <w:pPr>
        <w:pStyle w:val="Apara"/>
      </w:pPr>
      <w:r w:rsidRPr="005D331F">
        <w:tab/>
        <w:t>(a)</w:t>
      </w:r>
      <w:r w:rsidRPr="005D331F">
        <w:tab/>
        <w:t>order that interest be included in the amount for which judgment is given—</w:t>
      </w:r>
    </w:p>
    <w:p w14:paraId="60E76488" w14:textId="77777777" w:rsidR="003D4FF5" w:rsidRPr="005D331F" w:rsidRDefault="003D4FF5" w:rsidP="003D4FF5">
      <w:pPr>
        <w:pStyle w:val="Asubpara"/>
      </w:pPr>
      <w:r w:rsidRPr="005D331F">
        <w:tab/>
        <w:t>(i)</w:t>
      </w:r>
      <w:r w:rsidRPr="005D331F">
        <w:tab/>
        <w:t>at the rate it considers appropriate; and</w:t>
      </w:r>
    </w:p>
    <w:p w14:paraId="2808A50D" w14:textId="77777777" w:rsidR="003D4FF5" w:rsidRPr="005D331F" w:rsidRDefault="003D4FF5" w:rsidP="003D4FF5">
      <w:pPr>
        <w:pStyle w:val="Asubpara"/>
      </w:pPr>
      <w:r w:rsidRPr="005D331F">
        <w:tab/>
        <w:t>(ii)</w:t>
      </w:r>
      <w:r w:rsidRPr="005D331F">
        <w:tab/>
        <w:t>on all or any part of the money; and</w:t>
      </w:r>
    </w:p>
    <w:p w14:paraId="6EB0AFEC" w14:textId="77777777" w:rsidR="003D4FF5" w:rsidRPr="005D331F" w:rsidRDefault="003D4FF5" w:rsidP="003D4FF5">
      <w:pPr>
        <w:pStyle w:val="Asubpara"/>
      </w:pPr>
      <w:r w:rsidRPr="005D331F">
        <w:tab/>
        <w:t>(iii)</w:t>
      </w:r>
      <w:r w:rsidRPr="005D331F">
        <w:tab/>
        <w:t>for all or any part of the period beginning on the day the cause of action arose and ending on the day before the day judgment is entered; or</w:t>
      </w:r>
    </w:p>
    <w:p w14:paraId="0B59E686" w14:textId="77777777"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14:paraId="12ED6AD7" w14:textId="77777777" w:rsidR="003D4FF5" w:rsidRPr="005D331F" w:rsidRDefault="003D4FF5" w:rsidP="00734726">
      <w:pPr>
        <w:pStyle w:val="Amain"/>
        <w:keepNext/>
      </w:pPr>
      <w:r w:rsidRPr="005D331F">
        <w:lastRenderedPageBreak/>
        <w:tab/>
        <w:t>(2)</w:t>
      </w:r>
      <w:r w:rsidRPr="005D331F">
        <w:tab/>
        <w:t>However, the court must not order that interest be included, or that an amount be included in a lump sum instead of interest, for—</w:t>
      </w:r>
    </w:p>
    <w:p w14:paraId="39286A83" w14:textId="77777777" w:rsidR="003D4FF5" w:rsidRPr="005D331F" w:rsidRDefault="003D4FF5" w:rsidP="00734726">
      <w:pPr>
        <w:pStyle w:val="Apara"/>
        <w:keepNext/>
      </w:pPr>
      <w:r w:rsidRPr="005D331F">
        <w:tab/>
        <w:t>(a)</w:t>
      </w:r>
      <w:r w:rsidRPr="005D331F">
        <w:tab/>
        <w:t>compensation in relation to liabilities incurred that do not carry interest as against the person claiming interest or claiming a lump sum instead of interest; or</w:t>
      </w:r>
    </w:p>
    <w:p w14:paraId="5E8AE41A" w14:textId="77777777" w:rsidR="003D4FF5" w:rsidRPr="005D331F" w:rsidRDefault="003D4FF5" w:rsidP="003D4FF5">
      <w:pPr>
        <w:pStyle w:val="Apara"/>
      </w:pPr>
      <w:r w:rsidRPr="005D331F">
        <w:tab/>
        <w:t>(b)</w:t>
      </w:r>
      <w:r w:rsidRPr="005D331F">
        <w:tab/>
        <w:t>compensation for loss or damage to be incurred or suffered after the day judgment is given; or</w:t>
      </w:r>
    </w:p>
    <w:p w14:paraId="115DA259" w14:textId="77777777" w:rsidR="003D4FF5" w:rsidRPr="005D331F" w:rsidRDefault="003D4FF5" w:rsidP="003D4FF5">
      <w:pPr>
        <w:pStyle w:val="Apara"/>
      </w:pPr>
      <w:r w:rsidRPr="005D331F">
        <w:tab/>
        <w:t>(c)</w:t>
      </w:r>
      <w:r w:rsidRPr="005D331F">
        <w:tab/>
        <w:t>exemplary or punitive damages.</w:t>
      </w:r>
    </w:p>
    <w:p w14:paraId="5029EF32" w14:textId="77777777" w:rsidR="003D4FF5" w:rsidRPr="005D331F" w:rsidRDefault="003D4FF5" w:rsidP="00E86A62">
      <w:pPr>
        <w:pStyle w:val="Amain"/>
        <w:keepNext/>
      </w:pPr>
      <w:r w:rsidRPr="005D331F">
        <w:tab/>
        <w:t>(3)</w:t>
      </w:r>
      <w:r w:rsidRPr="005D331F">
        <w:tab/>
        <w:t>Subrule (4) applies if—</w:t>
      </w:r>
    </w:p>
    <w:p w14:paraId="73CA3A36" w14:textId="77777777" w:rsidR="003D4FF5" w:rsidRPr="005D331F" w:rsidRDefault="003D4FF5" w:rsidP="00E86A62">
      <w:pPr>
        <w:pStyle w:val="Apara"/>
        <w:keepNext/>
      </w:pPr>
      <w:r w:rsidRPr="005D331F">
        <w:tab/>
        <w:t>(a)</w:t>
      </w:r>
      <w:r w:rsidRPr="005D331F">
        <w:tab/>
        <w:t>a proceeding is started for a debt or liquidated demand; and</w:t>
      </w:r>
    </w:p>
    <w:p w14:paraId="30281CC9" w14:textId="77777777"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14:paraId="0DE5058B" w14:textId="77777777" w:rsidR="003D4FF5" w:rsidRPr="005D331F" w:rsidRDefault="003D4FF5" w:rsidP="003D4FF5">
      <w:pPr>
        <w:pStyle w:val="Amain"/>
      </w:pPr>
      <w:r w:rsidRPr="005D331F">
        <w:tab/>
        <w:t>(4)</w:t>
      </w:r>
      <w:r w:rsidRPr="005D331F">
        <w:tab/>
        <w:t>On application by a party to the proceeding, the court may order that interest be paid—</w:t>
      </w:r>
    </w:p>
    <w:p w14:paraId="261253A7" w14:textId="77777777" w:rsidR="003D4FF5" w:rsidRPr="005D331F" w:rsidRDefault="003D4FF5" w:rsidP="003D4FF5">
      <w:pPr>
        <w:pStyle w:val="Apara"/>
      </w:pPr>
      <w:r w:rsidRPr="005D331F">
        <w:tab/>
        <w:t>(a)</w:t>
      </w:r>
      <w:r w:rsidRPr="005D331F">
        <w:tab/>
        <w:t>at the rate it considers appropriate on all or part of the amount paid; and</w:t>
      </w:r>
    </w:p>
    <w:p w14:paraId="28200350" w14:textId="77777777"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14:paraId="6F2BDF23"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14:paraId="011C4212" w14:textId="77777777" w:rsidR="003D4FF5" w:rsidRPr="005D331F" w:rsidRDefault="003D4FF5" w:rsidP="003D4FF5">
      <w:pPr>
        <w:pStyle w:val="Amain"/>
      </w:pPr>
      <w:r w:rsidRPr="005D331F">
        <w:tab/>
        <w:t>(5)</w:t>
      </w:r>
      <w:r w:rsidRPr="005D331F">
        <w:tab/>
        <w:t>For subrule (1) (a), the court may set the rate of interest—</w:t>
      </w:r>
    </w:p>
    <w:p w14:paraId="341F65DC" w14:textId="77777777" w:rsidR="003D4FF5" w:rsidRPr="005D331F" w:rsidRDefault="003D4FF5" w:rsidP="003D4FF5">
      <w:pPr>
        <w:pStyle w:val="Apara"/>
      </w:pPr>
      <w:r w:rsidRPr="005D331F">
        <w:tab/>
        <w:t>(a)</w:t>
      </w:r>
      <w:r w:rsidRPr="005D331F">
        <w:tab/>
        <w:t>in accordance with the rate stated in the claim for relief; or</w:t>
      </w:r>
    </w:p>
    <w:p w14:paraId="3393810A" w14:textId="77777777" w:rsidR="003D4FF5" w:rsidRPr="005D331F" w:rsidRDefault="003D4FF5" w:rsidP="003D4FF5">
      <w:pPr>
        <w:pStyle w:val="Apara"/>
      </w:pPr>
      <w:r w:rsidRPr="005D331F">
        <w:tab/>
        <w:t>(b)</w:t>
      </w:r>
      <w:r w:rsidRPr="005D331F">
        <w:tab/>
        <w:t>having regard to the rate of interest applying, from time to time, under schedule 2, part 2.1 (Interest up to judgment).</w:t>
      </w:r>
    </w:p>
    <w:p w14:paraId="3CCA32FD" w14:textId="77777777" w:rsidR="003D4FF5" w:rsidRPr="005D331F" w:rsidRDefault="003D4FF5" w:rsidP="003D4FF5">
      <w:pPr>
        <w:pStyle w:val="Amain"/>
      </w:pPr>
      <w:r w:rsidRPr="005D331F">
        <w:tab/>
        <w:t>(6)</w:t>
      </w:r>
      <w:r w:rsidRPr="005D331F">
        <w:tab/>
        <w:t>This rule does not—</w:t>
      </w:r>
    </w:p>
    <w:p w14:paraId="3412E7A5" w14:textId="77777777" w:rsidR="003D4FF5" w:rsidRPr="005D331F" w:rsidRDefault="003D4FF5" w:rsidP="003D4FF5">
      <w:pPr>
        <w:pStyle w:val="Apara"/>
      </w:pPr>
      <w:r w:rsidRPr="005D331F">
        <w:tab/>
        <w:t>(a)</w:t>
      </w:r>
      <w:r w:rsidRPr="005D331F">
        <w:tab/>
        <w:t>authorise the giving of interest on interest awarded under this rule; and</w:t>
      </w:r>
    </w:p>
    <w:p w14:paraId="544D6AEC" w14:textId="77777777" w:rsidR="003D4FF5" w:rsidRPr="005D331F" w:rsidRDefault="003D4FF5" w:rsidP="003D4FF5">
      <w:pPr>
        <w:pStyle w:val="Apara"/>
      </w:pPr>
      <w:r w:rsidRPr="005D331F">
        <w:lastRenderedPageBreak/>
        <w:tab/>
        <w:t>(b)</w:t>
      </w:r>
      <w:r w:rsidRPr="005D331F">
        <w:tab/>
        <w:t>apply in relation to any debt on which interest is payable as of right, whether by agreement or otherwise; and</w:t>
      </w:r>
    </w:p>
    <w:p w14:paraId="390BD29A" w14:textId="77777777" w:rsidR="003D4FF5" w:rsidRPr="005D331F" w:rsidRDefault="003D4FF5" w:rsidP="003D4FF5">
      <w:pPr>
        <w:pStyle w:val="Apara"/>
      </w:pPr>
      <w:r w:rsidRPr="005D331F">
        <w:tab/>
        <w:t>(c)</w:t>
      </w:r>
      <w:r w:rsidRPr="005D331F">
        <w:tab/>
        <w:t>affect damages recoverable for the dishonour of a bill of exchange.</w:t>
      </w:r>
    </w:p>
    <w:p w14:paraId="159B22E2" w14:textId="77777777"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14:paraId="7B95EFC5" w14:textId="77777777"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14:paraId="421C5732" w14:textId="77777777" w:rsidR="003D4FF5" w:rsidRPr="005D331F" w:rsidRDefault="003D4FF5" w:rsidP="003D4FF5">
      <w:pPr>
        <w:pStyle w:val="AH5Sec"/>
      </w:pPr>
      <w:bookmarkStart w:id="541" w:name="_Toc185514157"/>
      <w:r w:rsidRPr="00C8328B">
        <w:rPr>
          <w:rStyle w:val="CharSectNo"/>
        </w:rPr>
        <w:t>1620</w:t>
      </w:r>
      <w:r w:rsidRPr="005D331F">
        <w:tab/>
        <w:t>Interest after judgment</w:t>
      </w:r>
      <w:bookmarkEnd w:id="541"/>
    </w:p>
    <w:p w14:paraId="5449F21A" w14:textId="77777777"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14:paraId="33D9C097" w14:textId="77777777"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14:paraId="43BE1EF9" w14:textId="77777777" w:rsidR="00134D29" w:rsidRPr="00F7165D" w:rsidRDefault="00134D29" w:rsidP="00731A41">
      <w:pPr>
        <w:pStyle w:val="Apara"/>
        <w:keepNext/>
      </w:pPr>
      <w:r w:rsidRPr="00F7165D">
        <w:tab/>
        <w:t>(b)</w:t>
      </w:r>
      <w:r w:rsidRPr="00F7165D">
        <w:tab/>
        <w:t>in any other case—at the rate of interest applying at that time under schedule 2, part 2.2 (Interest after judgment).</w:t>
      </w:r>
    </w:p>
    <w:p w14:paraId="6FB7002F" w14:textId="77777777"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14:paraId="5A8F0116" w14:textId="77777777"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14:paraId="3B298621" w14:textId="77777777" w:rsidR="003D4FF5" w:rsidRPr="005D331F" w:rsidRDefault="003D4FF5" w:rsidP="003D4FF5">
      <w:pPr>
        <w:pStyle w:val="Amain"/>
      </w:pPr>
      <w:r w:rsidRPr="005D331F">
        <w:lastRenderedPageBreak/>
        <w:tab/>
        <w:t>(3)</w:t>
      </w:r>
      <w:r w:rsidRPr="005D331F">
        <w:tab/>
        <w:t>Interest is payable on any amount awarded for costs, unless the court otherwise orders.</w:t>
      </w:r>
    </w:p>
    <w:p w14:paraId="430B715C" w14:textId="77777777"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14:paraId="2908BA4E" w14:textId="77777777" w:rsidR="003D4FF5" w:rsidRPr="005D331F" w:rsidRDefault="003D4FF5" w:rsidP="003D4FF5">
      <w:pPr>
        <w:pStyle w:val="Apara"/>
      </w:pPr>
      <w:r w:rsidRPr="005D331F">
        <w:tab/>
        <w:t>(a)</w:t>
      </w:r>
      <w:r w:rsidRPr="005D331F">
        <w:tab/>
        <w:t>at the rate of interest applying at that time under schedule 2, part 2.2 (Interest after judgment); and</w:t>
      </w:r>
    </w:p>
    <w:p w14:paraId="4EDFFAAE" w14:textId="77777777" w:rsidR="003D4FF5" w:rsidRPr="005D331F" w:rsidRDefault="003D4FF5" w:rsidP="003D4FF5">
      <w:pPr>
        <w:pStyle w:val="Apara"/>
      </w:pPr>
      <w:r w:rsidRPr="005D331F">
        <w:tab/>
        <w:t>(b)</w:t>
      </w:r>
      <w:r w:rsidRPr="005D331F">
        <w:tab/>
        <w:t>from the day the costs were assessed or another date decided by the court.</w:t>
      </w:r>
    </w:p>
    <w:p w14:paraId="01A0D5D5" w14:textId="77777777" w:rsidR="003D4FF5" w:rsidRPr="005D331F" w:rsidRDefault="003D4FF5" w:rsidP="003D4FF5">
      <w:pPr>
        <w:pStyle w:val="Amain"/>
      </w:pPr>
      <w:r w:rsidRPr="005D331F">
        <w:tab/>
        <w:t>(5)</w:t>
      </w:r>
      <w:r w:rsidRPr="005D331F">
        <w:tab/>
        <w:t>This rule does not authorise the giving of interest on interest payable under this rule.</w:t>
      </w:r>
    </w:p>
    <w:p w14:paraId="12380015" w14:textId="77777777" w:rsidR="003D4FF5" w:rsidRPr="005D331F" w:rsidRDefault="003D4FF5" w:rsidP="003D4FF5">
      <w:pPr>
        <w:pStyle w:val="AH5Sec"/>
      </w:pPr>
      <w:bookmarkStart w:id="542" w:name="_Toc185514158"/>
      <w:r w:rsidRPr="00C8328B">
        <w:rPr>
          <w:rStyle w:val="CharSectNo"/>
        </w:rPr>
        <w:t>1621</w:t>
      </w:r>
      <w:r w:rsidRPr="005D331F">
        <w:tab/>
        <w:t>Judgment for interest only</w:t>
      </w:r>
      <w:bookmarkEnd w:id="542"/>
    </w:p>
    <w:p w14:paraId="0967E5D9" w14:textId="77777777" w:rsidR="003D4FF5" w:rsidRPr="005D331F" w:rsidRDefault="003D4FF5" w:rsidP="003D4FF5">
      <w:pPr>
        <w:pStyle w:val="Amain"/>
      </w:pPr>
      <w:r w:rsidRPr="005D331F">
        <w:tab/>
        <w:t>(1)</w:t>
      </w:r>
      <w:r w:rsidRPr="005D331F">
        <w:tab/>
        <w:t>This rule applies if—</w:t>
      </w:r>
    </w:p>
    <w:p w14:paraId="71E967FE" w14:textId="77777777" w:rsidR="003D4FF5" w:rsidRPr="005D331F" w:rsidRDefault="003D4FF5" w:rsidP="003D4FF5">
      <w:pPr>
        <w:pStyle w:val="Apara"/>
      </w:pPr>
      <w:r w:rsidRPr="005D331F">
        <w:tab/>
        <w:t>(a)</w:t>
      </w:r>
      <w:r w:rsidRPr="005D331F">
        <w:tab/>
        <w:t>the defendant in a proceeding satisfies the plaintiff’s claim after the proceeding is started; and</w:t>
      </w:r>
    </w:p>
    <w:p w14:paraId="22477FA3" w14:textId="77777777" w:rsidR="003D4FF5" w:rsidRPr="005D331F" w:rsidRDefault="003D4FF5" w:rsidP="003D4FF5">
      <w:pPr>
        <w:pStyle w:val="Apara"/>
      </w:pPr>
      <w:r w:rsidRPr="005D331F">
        <w:tab/>
        <w:t>(b)</w:t>
      </w:r>
      <w:r w:rsidRPr="005D331F">
        <w:tab/>
        <w:t>the plaintiff would be entitled to judgment on the claim if the defendant had not satisfied the claim.</w:t>
      </w:r>
    </w:p>
    <w:p w14:paraId="2BF851EE" w14:textId="77777777"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14:paraId="706BD666" w14:textId="77777777" w:rsidR="003D4FF5" w:rsidRPr="005D331F" w:rsidRDefault="003D4FF5" w:rsidP="003D4FF5">
      <w:pPr>
        <w:pStyle w:val="AH5Sec"/>
        <w:rPr>
          <w:rStyle w:val="charItals"/>
        </w:rPr>
      </w:pPr>
      <w:bookmarkStart w:id="543" w:name="_Toc185514159"/>
      <w:r w:rsidRPr="00C8328B">
        <w:rPr>
          <w:rStyle w:val="CharSectNo"/>
        </w:rPr>
        <w:t>1622</w:t>
      </w:r>
      <w:r w:rsidRPr="005D331F">
        <w:tab/>
        <w:t>Interest after judgment—usual order as to interest</w:t>
      </w:r>
      <w:bookmarkEnd w:id="543"/>
    </w:p>
    <w:p w14:paraId="740CF712" w14:textId="77777777"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14:paraId="306F5CA9" w14:textId="77777777"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14:paraId="3B428142" w14:textId="77777777" w:rsidR="003D4FF5" w:rsidRPr="005D331F" w:rsidRDefault="003D4FF5" w:rsidP="00734726">
      <w:pPr>
        <w:pStyle w:val="Amain"/>
        <w:keepNext/>
      </w:pPr>
      <w:r w:rsidRPr="005D331F">
        <w:lastRenderedPageBreak/>
        <w:tab/>
        <w:t>(3)</w:t>
      </w:r>
      <w:r w:rsidRPr="005D331F">
        <w:tab/>
        <w:t>Interest is not payable on the amount of the judgment debt if, not later than 28 days after the date of the judgment—</w:t>
      </w:r>
    </w:p>
    <w:p w14:paraId="01658DDB" w14:textId="77777777" w:rsidR="003D4FF5" w:rsidRPr="005D331F" w:rsidRDefault="003D4FF5" w:rsidP="00734726">
      <w:pPr>
        <w:pStyle w:val="Apara"/>
        <w:keepNext/>
      </w:pPr>
      <w:r w:rsidRPr="005D331F">
        <w:tab/>
        <w:t>(a)</w:t>
      </w:r>
      <w:r w:rsidRPr="005D331F">
        <w:tab/>
        <w:t>the debt is paid; and</w:t>
      </w:r>
    </w:p>
    <w:p w14:paraId="2FFFCBF9" w14:textId="77777777"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14:paraId="0340D8E4" w14:textId="77777777" w:rsidR="003D4FF5" w:rsidRPr="005D331F" w:rsidRDefault="003D4FF5" w:rsidP="003D4FF5">
      <w:pPr>
        <w:pStyle w:val="Apara"/>
      </w:pPr>
      <w:r w:rsidRPr="005D331F">
        <w:tab/>
        <w:t>(c)</w:t>
      </w:r>
      <w:r w:rsidRPr="005D331F">
        <w:tab/>
        <w:t>the defendant has not been given a notice under—</w:t>
      </w:r>
    </w:p>
    <w:p w14:paraId="69CD621A" w14:textId="1093B677" w:rsidR="003D4FF5" w:rsidRPr="005D331F" w:rsidRDefault="003D4FF5" w:rsidP="003D4FF5">
      <w:pPr>
        <w:pStyle w:val="Asubpara"/>
      </w:pPr>
      <w:r w:rsidRPr="005D331F">
        <w:tab/>
        <w:t>(i)</w:t>
      </w:r>
      <w:r w:rsidRPr="005D331F">
        <w:tab/>
        <w:t xml:space="preserve">the </w:t>
      </w:r>
      <w:hyperlink r:id="rId148"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14:paraId="07397BA5" w14:textId="5AA469F5" w:rsidR="003D4FF5" w:rsidRPr="005D331F" w:rsidRDefault="003D4FF5" w:rsidP="003D4FF5">
      <w:pPr>
        <w:pStyle w:val="Asubpara"/>
      </w:pPr>
      <w:r w:rsidRPr="005D331F">
        <w:tab/>
        <w:t>(ii)</w:t>
      </w:r>
      <w:r w:rsidRPr="005D331F">
        <w:tab/>
        <w:t xml:space="preserve">the </w:t>
      </w:r>
      <w:hyperlink r:id="rId149"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14:paraId="434922DC" w14:textId="77777777"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14:paraId="67CB3B6B" w14:textId="77777777" w:rsidR="003D4FF5" w:rsidRPr="005D331F" w:rsidRDefault="003D4FF5" w:rsidP="003D4FF5">
      <w:pPr>
        <w:pStyle w:val="Apara"/>
      </w:pPr>
      <w:r w:rsidRPr="005D331F">
        <w:tab/>
        <w:t>(a)</w:t>
      </w:r>
      <w:r w:rsidRPr="005D331F">
        <w:tab/>
        <w:t>pays to Medicare Australia—</w:t>
      </w:r>
    </w:p>
    <w:p w14:paraId="7AB36E7B" w14:textId="77777777" w:rsidR="003D4FF5" w:rsidRPr="005D331F" w:rsidRDefault="003D4FF5" w:rsidP="003D4FF5">
      <w:pPr>
        <w:pStyle w:val="Asubpara"/>
      </w:pPr>
      <w:r w:rsidRPr="005D331F">
        <w:tab/>
        <w:t>(i)</w:t>
      </w:r>
      <w:r w:rsidRPr="005D331F">
        <w:tab/>
        <w:t>the amount of any charge stated in a Medicare Australia notice of charge given to the defendant; or</w:t>
      </w:r>
    </w:p>
    <w:p w14:paraId="50A25321" w14:textId="77777777" w:rsidR="003D4FF5" w:rsidRPr="005D331F" w:rsidRDefault="003D4FF5" w:rsidP="003D4FF5">
      <w:pPr>
        <w:pStyle w:val="Asubpara"/>
      </w:pPr>
      <w:r w:rsidRPr="005D331F">
        <w:tab/>
        <w:t>(ii)</w:t>
      </w:r>
      <w:r w:rsidRPr="005D331F">
        <w:tab/>
        <w:t>if the defendant has not been given a Medicare Australia notice of charge—10% of the judgment debt; and</w:t>
      </w:r>
    </w:p>
    <w:p w14:paraId="7E5BE8EF" w14:textId="77777777" w:rsidR="003D4FF5" w:rsidRPr="005D331F" w:rsidRDefault="003D4FF5" w:rsidP="003D4FF5">
      <w:pPr>
        <w:pStyle w:val="Apara"/>
      </w:pPr>
      <w:r w:rsidRPr="005D331F">
        <w:tab/>
        <w:t>(b)</w:t>
      </w:r>
      <w:r w:rsidRPr="005D331F">
        <w:tab/>
        <w:t>pays to the plaintiff—the remainder of the judgment debt.</w:t>
      </w:r>
    </w:p>
    <w:p w14:paraId="270411C3" w14:textId="77777777" w:rsidR="003D4FF5" w:rsidRPr="005D331F" w:rsidRDefault="003D4FF5" w:rsidP="00054CAA">
      <w:pPr>
        <w:pStyle w:val="Amain"/>
        <w:keepNext/>
      </w:pPr>
      <w:r w:rsidRPr="005D331F">
        <w:tab/>
        <w:t>(5)</w:t>
      </w:r>
      <w:r w:rsidRPr="005D331F">
        <w:tab/>
        <w:t>Interest is not payable on the amount of the judgment debt while a preliminary compensation recovery notice given to the defendant has effect.</w:t>
      </w:r>
    </w:p>
    <w:p w14:paraId="622A1FE8" w14:textId="3C0FE6CC"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50"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14:paraId="0516FEB9" w14:textId="77777777" w:rsidR="003D4FF5" w:rsidRPr="005D331F" w:rsidRDefault="003D4FF5" w:rsidP="003D4FF5">
      <w:pPr>
        <w:pStyle w:val="Amain"/>
        <w:keepNext/>
      </w:pPr>
      <w:r w:rsidRPr="005D331F">
        <w:lastRenderedPageBreak/>
        <w:tab/>
        <w:t>(6)</w:t>
      </w:r>
      <w:r w:rsidRPr="005D331F">
        <w:tab/>
        <w:t>Interest is not payable on the amount of the judgment debt if—</w:t>
      </w:r>
    </w:p>
    <w:p w14:paraId="5E36A0D9" w14:textId="77777777" w:rsidR="003D4FF5" w:rsidRPr="005D331F" w:rsidRDefault="003D4FF5" w:rsidP="003D4FF5">
      <w:pPr>
        <w:pStyle w:val="Apara"/>
      </w:pPr>
      <w:r w:rsidRPr="005D331F">
        <w:tab/>
        <w:t>(a)</w:t>
      </w:r>
      <w:r w:rsidRPr="005D331F">
        <w:tab/>
        <w:t>the defendant is given a compensation recovery notice; and</w:t>
      </w:r>
    </w:p>
    <w:p w14:paraId="70C59406" w14:textId="77777777"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14:paraId="66CC994C" w14:textId="77777777" w:rsidR="003D4FF5" w:rsidRPr="005D331F" w:rsidRDefault="003D4FF5" w:rsidP="003D4FF5">
      <w:pPr>
        <w:pStyle w:val="Asubpara"/>
      </w:pPr>
      <w:r w:rsidRPr="005D331F">
        <w:tab/>
        <w:t>(i)</w:t>
      </w:r>
      <w:r w:rsidRPr="005D331F">
        <w:tab/>
        <w:t xml:space="preserve">the day the judgment takes effect; </w:t>
      </w:r>
    </w:p>
    <w:p w14:paraId="5221E0D5" w14:textId="77777777" w:rsidR="003D4FF5" w:rsidRPr="005D331F" w:rsidRDefault="003D4FF5" w:rsidP="003D4FF5">
      <w:pPr>
        <w:pStyle w:val="Asubpara"/>
      </w:pPr>
      <w:r w:rsidRPr="005D331F">
        <w:tab/>
        <w:t>(ii)</w:t>
      </w:r>
      <w:r w:rsidRPr="005D331F">
        <w:tab/>
        <w:t>the day the defendant receives the notice.</w:t>
      </w:r>
    </w:p>
    <w:p w14:paraId="78BB3E9E" w14:textId="77777777" w:rsidR="003D4FF5" w:rsidRPr="005D331F" w:rsidRDefault="003D4FF5" w:rsidP="003D4FF5">
      <w:pPr>
        <w:pStyle w:val="Amain"/>
      </w:pPr>
      <w:r w:rsidRPr="005D331F">
        <w:tab/>
        <w:t>(7)</w:t>
      </w:r>
      <w:r w:rsidRPr="005D331F">
        <w:tab/>
        <w:t>Interest is not payable on any amount awarded for costs if the amount is paid not later than 28 days after—</w:t>
      </w:r>
    </w:p>
    <w:p w14:paraId="425E1B2D" w14:textId="77777777" w:rsidR="003D4FF5" w:rsidRPr="005D331F" w:rsidRDefault="003D4FF5" w:rsidP="003D4FF5">
      <w:pPr>
        <w:pStyle w:val="Apara"/>
      </w:pPr>
      <w:r w:rsidRPr="005D331F">
        <w:tab/>
        <w:t>(a)</w:t>
      </w:r>
      <w:r w:rsidRPr="005D331F">
        <w:tab/>
        <w:t>the day the parties agree on the amount; or</w:t>
      </w:r>
    </w:p>
    <w:p w14:paraId="2F4556DB" w14:textId="77777777" w:rsidR="003D4FF5" w:rsidRPr="005D331F" w:rsidRDefault="003D4FF5" w:rsidP="003D4FF5">
      <w:pPr>
        <w:pStyle w:val="Apara"/>
      </w:pPr>
      <w:r w:rsidRPr="005D331F">
        <w:tab/>
        <w:t>(b)</w:t>
      </w:r>
      <w:r w:rsidRPr="005D331F">
        <w:tab/>
        <w:t>if paragraph (a) does not apply—the day the costs are assessed.</w:t>
      </w:r>
    </w:p>
    <w:p w14:paraId="1221CA4E" w14:textId="77777777" w:rsidR="003D4FF5" w:rsidRPr="005D331F" w:rsidRDefault="003D4FF5" w:rsidP="003D4FF5">
      <w:pPr>
        <w:pStyle w:val="AH5Sec"/>
      </w:pPr>
      <w:bookmarkStart w:id="544" w:name="_Toc185514160"/>
      <w:r w:rsidRPr="00C8328B">
        <w:rPr>
          <w:rStyle w:val="CharSectNo"/>
        </w:rPr>
        <w:t>1623</w:t>
      </w:r>
      <w:r w:rsidRPr="005D331F">
        <w:tab/>
        <w:t>Change in interest rates up to and after judgment</w:t>
      </w:r>
      <w:bookmarkEnd w:id="544"/>
    </w:p>
    <w:p w14:paraId="355AD566" w14:textId="77777777"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14:paraId="78B97355" w14:textId="77777777" w:rsidR="003D4FF5" w:rsidRDefault="003D4FF5" w:rsidP="003D4FF5">
      <w:pPr>
        <w:pStyle w:val="PageBreak"/>
      </w:pPr>
      <w:r>
        <w:br w:type="page"/>
      </w:r>
    </w:p>
    <w:p w14:paraId="7D8A7671" w14:textId="77777777" w:rsidR="003D4FF5" w:rsidRPr="00C8328B" w:rsidRDefault="003D4FF5" w:rsidP="003D4FF5">
      <w:pPr>
        <w:pStyle w:val="AH2Part"/>
      </w:pPr>
      <w:bookmarkStart w:id="545" w:name="_Toc185514161"/>
      <w:r w:rsidRPr="00C8328B">
        <w:rPr>
          <w:rStyle w:val="CharPartNo"/>
        </w:rPr>
        <w:lastRenderedPageBreak/>
        <w:t>Part 2.17</w:t>
      </w:r>
      <w:r>
        <w:tab/>
      </w:r>
      <w:r w:rsidRPr="00C8328B">
        <w:rPr>
          <w:rStyle w:val="CharPartText"/>
        </w:rPr>
        <w:t>Costs</w:t>
      </w:r>
      <w:bookmarkEnd w:id="545"/>
    </w:p>
    <w:p w14:paraId="43EEC2EA" w14:textId="77777777" w:rsidR="003D4FF5" w:rsidRPr="00C8328B" w:rsidRDefault="003D4FF5" w:rsidP="003D4FF5">
      <w:pPr>
        <w:pStyle w:val="AH3Div"/>
      </w:pPr>
      <w:bookmarkStart w:id="546" w:name="_Toc185514162"/>
      <w:r w:rsidRPr="00C8328B">
        <w:rPr>
          <w:rStyle w:val="CharDivNo"/>
        </w:rPr>
        <w:t>Division 2.17.1</w:t>
      </w:r>
      <w:r>
        <w:tab/>
      </w:r>
      <w:r w:rsidRPr="00C8328B">
        <w:rPr>
          <w:rStyle w:val="CharDivText"/>
        </w:rPr>
        <w:t>Costs generally</w:t>
      </w:r>
      <w:bookmarkEnd w:id="546"/>
    </w:p>
    <w:p w14:paraId="39B85A35" w14:textId="77777777" w:rsidR="003D4FF5" w:rsidRDefault="003D4FF5" w:rsidP="003D4FF5">
      <w:pPr>
        <w:pStyle w:val="AH5Sec"/>
      </w:pPr>
      <w:bookmarkStart w:id="547" w:name="_Toc185514163"/>
      <w:r w:rsidRPr="00C8328B">
        <w:rPr>
          <w:rStyle w:val="CharSectNo"/>
        </w:rPr>
        <w:t>1700</w:t>
      </w:r>
      <w:r>
        <w:tab/>
        <w:t>Definitions—pt 2.17</w:t>
      </w:r>
      <w:bookmarkEnd w:id="547"/>
    </w:p>
    <w:p w14:paraId="70697CDE" w14:textId="77777777" w:rsidR="003D4FF5" w:rsidRDefault="003D4FF5" w:rsidP="003D4FF5">
      <w:pPr>
        <w:pStyle w:val="Amainreturn"/>
        <w:keepNext/>
      </w:pPr>
      <w:r>
        <w:t>In this part:</w:t>
      </w:r>
    </w:p>
    <w:p w14:paraId="19E833C8" w14:textId="77777777" w:rsidR="003D4FF5" w:rsidRDefault="003D4FF5" w:rsidP="003D4FF5">
      <w:pPr>
        <w:pStyle w:val="aDef"/>
        <w:keepNext/>
      </w:pPr>
      <w:r w:rsidRPr="005A5F43">
        <w:rPr>
          <w:rStyle w:val="charBoldItals"/>
        </w:rPr>
        <w:t>costs of the proceeding</w:t>
      </w:r>
      <w:r>
        <w:t>, for a proceeding, means costs of all the issues in the proceeding, and includes—</w:t>
      </w:r>
    </w:p>
    <w:p w14:paraId="7C173F1E" w14:textId="77777777" w:rsidR="003D4FF5" w:rsidRDefault="003D4FF5" w:rsidP="003D4FF5">
      <w:pPr>
        <w:pStyle w:val="aDefpara"/>
      </w:pPr>
      <w:r>
        <w:tab/>
        <w:t>(a)</w:t>
      </w:r>
      <w:r>
        <w:tab/>
        <w:t>costs ordered to be costs of the proceeding; and</w:t>
      </w:r>
    </w:p>
    <w:p w14:paraId="22DD5C55" w14:textId="77777777" w:rsidR="003D4FF5" w:rsidRDefault="003D4FF5" w:rsidP="003D4FF5">
      <w:pPr>
        <w:pStyle w:val="aDefpara"/>
      </w:pPr>
      <w:r>
        <w:tab/>
        <w:t>(b)</w:t>
      </w:r>
      <w:r>
        <w:tab/>
        <w:t>costs of complying with the necessary steps before starting the proceeding; and</w:t>
      </w:r>
    </w:p>
    <w:p w14:paraId="212BFB3A" w14:textId="77777777" w:rsidR="003D4FF5" w:rsidRDefault="003D4FF5" w:rsidP="003D4FF5">
      <w:pPr>
        <w:pStyle w:val="aDefpara"/>
      </w:pPr>
      <w:r>
        <w:tab/>
        <w:t>(c)</w:t>
      </w:r>
      <w:r>
        <w:tab/>
        <w:t>costs otherwise incurred for the purpose and benefit of the proceeding before starting the proceeding; and</w:t>
      </w:r>
    </w:p>
    <w:p w14:paraId="2F51AB73" w14:textId="77777777" w:rsidR="003D4FF5" w:rsidRDefault="003D4FF5" w:rsidP="003D4FF5">
      <w:pPr>
        <w:pStyle w:val="aDefpara"/>
        <w:keepNext/>
      </w:pPr>
      <w:r>
        <w:tab/>
        <w:t>(d)</w:t>
      </w:r>
      <w:r>
        <w:tab/>
        <w:t>costs incurred before or after the start of the proceeding for successful or unsuccessful negotiations for settlement of the dispute.</w:t>
      </w:r>
    </w:p>
    <w:p w14:paraId="6B2B2A46" w14:textId="77777777"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14:paraId="7201B4EA" w14:textId="77777777" w:rsidR="003D4FF5" w:rsidRDefault="003D4FF5" w:rsidP="003D4FF5">
      <w:pPr>
        <w:pStyle w:val="aNote"/>
      </w:pPr>
      <w:r w:rsidRPr="005A5F43">
        <w:rPr>
          <w:rStyle w:val="charItals"/>
        </w:rPr>
        <w:t>Note 2</w:t>
      </w:r>
      <w:r>
        <w:rPr>
          <w:lang w:val="en-US"/>
        </w:rPr>
        <w:tab/>
        <w:t>This definition also applies outside this part.</w:t>
      </w:r>
    </w:p>
    <w:p w14:paraId="46866E04" w14:textId="77777777"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14:paraId="2E3776C8" w14:textId="77777777" w:rsidR="003D4FF5" w:rsidRDefault="003D4FF5" w:rsidP="003D4FF5">
      <w:pPr>
        <w:pStyle w:val="aDef"/>
      </w:pPr>
      <w:r w:rsidRPr="005A5F43">
        <w:rPr>
          <w:rStyle w:val="charBoldItals"/>
        </w:rPr>
        <w:t>prescribed scale of costs</w:t>
      </w:r>
      <w:r>
        <w:t xml:space="preserve"> means the scale of costs in schedule 4 (Scale of costs).</w:t>
      </w:r>
    </w:p>
    <w:p w14:paraId="20D49CA4" w14:textId="77777777" w:rsidR="003D4FF5" w:rsidRDefault="003D4FF5" w:rsidP="003D4FF5">
      <w:pPr>
        <w:pStyle w:val="aDef"/>
      </w:pPr>
      <w:r w:rsidRPr="005A5F43">
        <w:rPr>
          <w:rStyle w:val="charBoldItals"/>
        </w:rPr>
        <w:t>trustee</w:t>
      </w:r>
      <w:r>
        <w:t xml:space="preserve"> includes a personal representative of a deceased individual.</w:t>
      </w:r>
    </w:p>
    <w:p w14:paraId="178A0C15" w14:textId="77777777" w:rsidR="003D4FF5" w:rsidRDefault="003D4FF5" w:rsidP="003D4FF5">
      <w:pPr>
        <w:pStyle w:val="AH5Sec"/>
      </w:pPr>
      <w:bookmarkStart w:id="548" w:name="_Toc185514164"/>
      <w:r w:rsidRPr="00C8328B">
        <w:rPr>
          <w:rStyle w:val="CharSectNo"/>
        </w:rPr>
        <w:lastRenderedPageBreak/>
        <w:t>1701</w:t>
      </w:r>
      <w:r>
        <w:tab/>
        <w:t>Costs—general provisions</w:t>
      </w:r>
      <w:bookmarkEnd w:id="548"/>
    </w:p>
    <w:p w14:paraId="25FE4691" w14:textId="77777777" w:rsidR="003D4FF5" w:rsidRDefault="003D4FF5" w:rsidP="003D4FF5">
      <w:pPr>
        <w:pStyle w:val="Amain"/>
        <w:keepNext/>
      </w:pPr>
      <w:r>
        <w:tab/>
        <w:t>(1)</w:t>
      </w:r>
      <w:r>
        <w:tab/>
        <w:t>The costs that the court may award—</w:t>
      </w:r>
    </w:p>
    <w:p w14:paraId="26E5E059" w14:textId="77777777" w:rsidR="003D4FF5" w:rsidRDefault="003D4FF5" w:rsidP="003D4FF5">
      <w:pPr>
        <w:pStyle w:val="Apara"/>
      </w:pPr>
      <w:r>
        <w:tab/>
        <w:t>(a)</w:t>
      </w:r>
      <w:r>
        <w:tab/>
        <w:t>may be awarded at any stage of a proceeding or after the proceeding ends; and</w:t>
      </w:r>
    </w:p>
    <w:p w14:paraId="5BDC8E99" w14:textId="77777777" w:rsidR="003D4FF5" w:rsidRDefault="003D4FF5" w:rsidP="003D4FF5">
      <w:pPr>
        <w:pStyle w:val="Apara"/>
      </w:pPr>
      <w:r>
        <w:tab/>
        <w:t>(b)</w:t>
      </w:r>
      <w:r>
        <w:tab/>
        <w:t>must be assessed in accordance with this part.</w:t>
      </w:r>
    </w:p>
    <w:p w14:paraId="37575C5F" w14:textId="77777777" w:rsidR="003D4FF5" w:rsidRDefault="003D4FF5" w:rsidP="003D4FF5">
      <w:pPr>
        <w:pStyle w:val="Amain"/>
        <w:keepNext/>
      </w:pPr>
      <w:r>
        <w:tab/>
        <w:t>(2)</w:t>
      </w:r>
      <w:r>
        <w:tab/>
        <w:t>If the court awards the costs of an application in a proceeding, it may order that the costs not be assessed until the proceeding ends.</w:t>
      </w:r>
    </w:p>
    <w:p w14:paraId="2D7F8BB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11FD834" w14:textId="77777777"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14:paraId="0DB60BE0" w14:textId="77777777"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14:paraId="1BF240B5" w14:textId="77777777" w:rsidR="003D4FF5" w:rsidRDefault="003D4FF5" w:rsidP="003D4FF5">
      <w:pPr>
        <w:pStyle w:val="AH5Sec"/>
      </w:pPr>
      <w:bookmarkStart w:id="549" w:name="_Toc185514165"/>
      <w:r w:rsidRPr="00C8328B">
        <w:rPr>
          <w:rStyle w:val="CharSectNo"/>
        </w:rPr>
        <w:t>1702</w:t>
      </w:r>
      <w:r>
        <w:tab/>
        <w:t>Costs—agreement about costs</w:t>
      </w:r>
      <w:bookmarkEnd w:id="549"/>
    </w:p>
    <w:p w14:paraId="37A9194D" w14:textId="77777777"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14:paraId="6D3C65A1" w14:textId="77777777" w:rsidR="003D4FF5" w:rsidRDefault="003D4FF5" w:rsidP="003D4FF5">
      <w:pPr>
        <w:pStyle w:val="Amain"/>
      </w:pPr>
      <w:r>
        <w:tab/>
        <w:t>(2)</w:t>
      </w:r>
      <w:r>
        <w:tab/>
        <w:t>The agreement must be signed by the parties or their solicitors.</w:t>
      </w:r>
    </w:p>
    <w:p w14:paraId="4113B658" w14:textId="77777777" w:rsidR="003D4FF5" w:rsidRDefault="003D4FF5" w:rsidP="003D4FF5">
      <w:pPr>
        <w:pStyle w:val="Amain"/>
      </w:pPr>
      <w:r>
        <w:tab/>
        <w:t>(3)</w:t>
      </w:r>
      <w:r>
        <w:tab/>
        <w:t>On the filing of the agreement, the agreed amount is taken to be the assessed costs between the parties.</w:t>
      </w:r>
    </w:p>
    <w:p w14:paraId="2C471454" w14:textId="77777777" w:rsidR="003D4FF5" w:rsidRDefault="003D4FF5" w:rsidP="003D4FF5">
      <w:pPr>
        <w:pStyle w:val="AH5Sec"/>
      </w:pPr>
      <w:bookmarkStart w:id="550" w:name="_Toc185514166"/>
      <w:r w:rsidRPr="00C8328B">
        <w:rPr>
          <w:rStyle w:val="CharSectNo"/>
        </w:rPr>
        <w:t>1703</w:t>
      </w:r>
      <w:r>
        <w:tab/>
        <w:t>Costs—order against non-party</w:t>
      </w:r>
      <w:bookmarkEnd w:id="550"/>
    </w:p>
    <w:p w14:paraId="3DE3A37F" w14:textId="77777777"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14:paraId="610415D4" w14:textId="77777777"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14:paraId="74C645EC" w14:textId="77777777" w:rsidR="003D4FF5" w:rsidRDefault="003D4FF5" w:rsidP="003D4FF5">
      <w:pPr>
        <w:pStyle w:val="Amain"/>
        <w:keepNext/>
      </w:pPr>
      <w:r>
        <w:lastRenderedPageBreak/>
        <w:tab/>
        <w:t>(2)</w:t>
      </w:r>
      <w:r>
        <w:tab/>
        <w:t>The court may make an order—</w:t>
      </w:r>
    </w:p>
    <w:p w14:paraId="75755BC1" w14:textId="77777777" w:rsidR="003D4FF5" w:rsidRDefault="003D4FF5" w:rsidP="003D4FF5">
      <w:pPr>
        <w:pStyle w:val="Apara"/>
      </w:pPr>
      <w:r>
        <w:tab/>
        <w:t>(a)</w:t>
      </w:r>
      <w:r>
        <w:tab/>
        <w:t>for payment by a relator in a proceeding of all or part of the costs of a party to the proceeding; or</w:t>
      </w:r>
    </w:p>
    <w:p w14:paraId="324DE00B" w14:textId="77777777"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7098D33F" w14:textId="77777777" w:rsidR="003D4FF5" w:rsidRDefault="003D4FF5" w:rsidP="003D4FF5">
      <w:pPr>
        <w:pStyle w:val="Apara"/>
      </w:pPr>
      <w:r>
        <w:tab/>
        <w:t>(b)</w:t>
      </w:r>
      <w:r>
        <w:tab/>
        <w:t>for payment by a person of all or part of the costs of a party to a proceeding that were caused by—</w:t>
      </w:r>
    </w:p>
    <w:p w14:paraId="31ECFC24" w14:textId="77777777" w:rsidR="003D4FF5" w:rsidRDefault="003D4FF5" w:rsidP="003D4FF5">
      <w:pPr>
        <w:pStyle w:val="Asubpara"/>
      </w:pPr>
      <w:r>
        <w:tab/>
        <w:t>(i)</w:t>
      </w:r>
      <w:r>
        <w:tab/>
        <w:t>the person’s contravention of an order made by the court in the proceeding that is binding on the person; or</w:t>
      </w:r>
    </w:p>
    <w:p w14:paraId="6B91CC6A" w14:textId="77777777" w:rsidR="003D4FF5" w:rsidRDefault="003D4FF5" w:rsidP="003D4FF5">
      <w:pPr>
        <w:pStyle w:val="Asubpara"/>
      </w:pPr>
      <w:r>
        <w:tab/>
        <w:t>(ii)</w:t>
      </w:r>
      <w:r>
        <w:tab/>
        <w:t>the person’s breach of an undertaking given to the court by the person in the proceeding; or</w:t>
      </w:r>
    </w:p>
    <w:p w14:paraId="535BE875" w14:textId="77777777"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14:paraId="07F1A45A" w14:textId="77777777" w:rsidR="003D4FF5" w:rsidRDefault="003D4FF5" w:rsidP="003D4FF5">
      <w:pPr>
        <w:pStyle w:val="Apara"/>
      </w:pPr>
      <w:r>
        <w:tab/>
        <w:t>(d)</w:t>
      </w:r>
      <w:r>
        <w:tab/>
        <w:t>for costs against a person who purports, without authority, to conduct a proceeding in the name of someone else; or</w:t>
      </w:r>
    </w:p>
    <w:p w14:paraId="5C3ACDFC" w14:textId="77777777" w:rsidR="003D4FF5" w:rsidRDefault="003D4FF5" w:rsidP="003D4FF5">
      <w:pPr>
        <w:pStyle w:val="Apara"/>
      </w:pPr>
      <w:r>
        <w:tab/>
        <w:t>(e)</w:t>
      </w:r>
      <w:r>
        <w:tab/>
        <w:t>for costs against a person who starts or carries on a proceeding, or purports to do so, as an authorised director of a corporation; or</w:t>
      </w:r>
    </w:p>
    <w:p w14:paraId="56FD2CB7" w14:textId="77777777" w:rsidR="003D4FF5" w:rsidRDefault="003D4FF5" w:rsidP="003D4FF5">
      <w:pPr>
        <w:pStyle w:val="Apara"/>
      </w:pPr>
      <w:r>
        <w:tab/>
        <w:t>(f)</w:t>
      </w:r>
      <w:r>
        <w:tab/>
        <w:t>of the kind mentioned in rule 1704; or</w:t>
      </w:r>
    </w:p>
    <w:p w14:paraId="49A93F19" w14:textId="77777777"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14:paraId="7CE67B05" w14:textId="77777777"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14:paraId="310A5FF6"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6101EA1" w14:textId="77777777" w:rsidR="003D4FF5" w:rsidRDefault="003D4FF5" w:rsidP="003D4FF5">
      <w:pPr>
        <w:pStyle w:val="Amain"/>
      </w:pPr>
      <w:r>
        <w:tab/>
        <w:t>(3)</w:t>
      </w:r>
      <w:r>
        <w:tab/>
        <w:t>The court may make an order under subrule (2) (g) on its own initiative if justice requires it.</w:t>
      </w:r>
    </w:p>
    <w:p w14:paraId="63740484" w14:textId="77777777" w:rsidR="003D4FF5" w:rsidRDefault="003D4FF5" w:rsidP="003D4FF5">
      <w:pPr>
        <w:pStyle w:val="AH5Sec"/>
      </w:pPr>
      <w:bookmarkStart w:id="551" w:name="_Toc185514167"/>
      <w:r w:rsidRPr="00C8328B">
        <w:rPr>
          <w:rStyle w:val="CharSectNo"/>
        </w:rPr>
        <w:t>1704</w:t>
      </w:r>
      <w:r>
        <w:tab/>
        <w:t>Costs—failure to comply with subpoena etc</w:t>
      </w:r>
      <w:bookmarkEnd w:id="551"/>
    </w:p>
    <w:p w14:paraId="74DE29DF" w14:textId="77777777" w:rsidR="003D4FF5" w:rsidRDefault="003D4FF5" w:rsidP="003D4FF5">
      <w:pPr>
        <w:pStyle w:val="Amain"/>
      </w:pPr>
      <w:r>
        <w:tab/>
        <w:t>(1)</w:t>
      </w:r>
      <w:r>
        <w:tab/>
        <w:t>This rule applies if, in a proceeding—</w:t>
      </w:r>
    </w:p>
    <w:p w14:paraId="09F93BC3" w14:textId="77777777" w:rsidR="003D4FF5" w:rsidRDefault="003D4FF5" w:rsidP="003D4FF5">
      <w:pPr>
        <w:pStyle w:val="Apara"/>
      </w:pPr>
      <w:r>
        <w:tab/>
        <w:t>(a)</w:t>
      </w:r>
      <w:r>
        <w:tab/>
        <w:t>a person is ordered by the court, by subpoena or otherwise, to attend court—</w:t>
      </w:r>
    </w:p>
    <w:p w14:paraId="3976631C" w14:textId="77777777" w:rsidR="003D4FF5" w:rsidRDefault="003D4FF5" w:rsidP="003D4FF5">
      <w:pPr>
        <w:pStyle w:val="Asubpara"/>
      </w:pPr>
      <w:r>
        <w:tab/>
        <w:t>(i)</w:t>
      </w:r>
      <w:r>
        <w:tab/>
        <w:t>to give evidence; or</w:t>
      </w:r>
    </w:p>
    <w:p w14:paraId="0DC4F6A7" w14:textId="77777777" w:rsidR="003D4FF5" w:rsidRDefault="003D4FF5" w:rsidP="003D4FF5">
      <w:pPr>
        <w:pStyle w:val="Asubpara"/>
      </w:pPr>
      <w:r>
        <w:tab/>
        <w:t>(ii)</w:t>
      </w:r>
      <w:r>
        <w:tab/>
        <w:t>to produce a document or thing; or</w:t>
      </w:r>
    </w:p>
    <w:p w14:paraId="58371119" w14:textId="77777777" w:rsidR="003D4FF5" w:rsidRDefault="003D4FF5" w:rsidP="003D4FF5">
      <w:pPr>
        <w:pStyle w:val="Asubpara"/>
      </w:pPr>
      <w:r>
        <w:tab/>
        <w:t>(iii)</w:t>
      </w:r>
      <w:r>
        <w:tab/>
        <w:t>to answer a charge of contempt; or</w:t>
      </w:r>
    </w:p>
    <w:p w14:paraId="5397E145" w14:textId="77777777" w:rsidR="003D4FF5" w:rsidRDefault="003D4FF5" w:rsidP="003D4FF5">
      <w:pPr>
        <w:pStyle w:val="Asubpara"/>
      </w:pPr>
      <w:r>
        <w:tab/>
        <w:t>(iv)</w:t>
      </w:r>
      <w:r>
        <w:tab/>
        <w:t>for any other purpose; or</w:t>
      </w:r>
    </w:p>
    <w:p w14:paraId="04A9F135" w14:textId="77777777" w:rsidR="003D4FF5" w:rsidRDefault="003D4FF5" w:rsidP="003D4FF5">
      <w:pPr>
        <w:pStyle w:val="Apara"/>
      </w:pPr>
      <w:r>
        <w:tab/>
        <w:t>(b)</w:t>
      </w:r>
      <w:r>
        <w:tab/>
        <w:t>a person is required by a notice for non-party production to produce a document for inspection.</w:t>
      </w:r>
    </w:p>
    <w:p w14:paraId="06972944" w14:textId="77777777" w:rsidR="003D4FF5" w:rsidRDefault="003D4FF5" w:rsidP="003D4FF5">
      <w:pPr>
        <w:pStyle w:val="Amain"/>
        <w:keepNext/>
      </w:pPr>
      <w:r>
        <w:tab/>
        <w:t>(2)</w:t>
      </w:r>
      <w:r>
        <w:tab/>
        <w:t>If the order is not complied with, the court may order the person to pay any costs of a party to the proceeding caused by the noncompliance.</w:t>
      </w:r>
    </w:p>
    <w:p w14:paraId="7016D33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B1EA0E" w14:textId="77777777" w:rsidR="003D4FF5" w:rsidRDefault="003D4FF5" w:rsidP="003D4FF5">
      <w:pPr>
        <w:pStyle w:val="Amain"/>
      </w:pPr>
      <w:r>
        <w:tab/>
        <w:t>(3)</w:t>
      </w:r>
      <w:r>
        <w:tab/>
        <w:t>This rule does not limit any power of the court to punish for contempt.</w:t>
      </w:r>
    </w:p>
    <w:p w14:paraId="626CE557" w14:textId="77777777" w:rsidR="003D4FF5" w:rsidRDefault="003D4FF5" w:rsidP="003D4FF5">
      <w:pPr>
        <w:pStyle w:val="AH5Sec"/>
      </w:pPr>
      <w:bookmarkStart w:id="552" w:name="_Toc185514168"/>
      <w:r w:rsidRPr="00C8328B">
        <w:rPr>
          <w:rStyle w:val="CharSectNo"/>
        </w:rPr>
        <w:lastRenderedPageBreak/>
        <w:t>1705</w:t>
      </w:r>
      <w:r>
        <w:tab/>
        <w:t>Costs—for issue or part of proceeding</w:t>
      </w:r>
      <w:bookmarkEnd w:id="552"/>
    </w:p>
    <w:p w14:paraId="06A714AC" w14:textId="77777777" w:rsidR="003D4FF5" w:rsidRDefault="003D4FF5" w:rsidP="003D4FF5">
      <w:pPr>
        <w:pStyle w:val="Amain"/>
        <w:keepNext/>
      </w:pPr>
      <w:r>
        <w:tab/>
        <w:t>(1)</w:t>
      </w:r>
      <w:r>
        <w:tab/>
        <w:t>The court may make an order for costs in relation to a particular issue in, or a particular part of, a proceeding.</w:t>
      </w:r>
    </w:p>
    <w:p w14:paraId="52D0CA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EFD020E" w14:textId="77777777"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14:paraId="3B44A270" w14:textId="77777777" w:rsidR="003D4FF5" w:rsidRDefault="003D4FF5" w:rsidP="003D4FF5">
      <w:pPr>
        <w:pStyle w:val="AH5Sec"/>
      </w:pPr>
      <w:bookmarkStart w:id="553" w:name="_Toc185514169"/>
      <w:r w:rsidRPr="00C8328B">
        <w:rPr>
          <w:rStyle w:val="CharSectNo"/>
        </w:rPr>
        <w:t>1706</w:t>
      </w:r>
      <w:r>
        <w:tab/>
        <w:t>Costs—if unnecessary to continue proceeding</w:t>
      </w:r>
      <w:bookmarkEnd w:id="553"/>
    </w:p>
    <w:p w14:paraId="531863E0" w14:textId="77777777"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14:paraId="69BC63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B38E7D7" w14:textId="77777777" w:rsidR="003D4FF5" w:rsidRDefault="003D4FF5" w:rsidP="003D4FF5">
      <w:pPr>
        <w:pStyle w:val="Amain"/>
      </w:pPr>
      <w:r>
        <w:tab/>
        <w:t>(2)</w:t>
      </w:r>
      <w:r>
        <w:tab/>
        <w:t>The court may make the order it considers just.</w:t>
      </w:r>
    </w:p>
    <w:p w14:paraId="51230F87" w14:textId="77777777" w:rsidR="003D4FF5" w:rsidRDefault="003D4FF5" w:rsidP="003D4FF5">
      <w:pPr>
        <w:pStyle w:val="AH5Sec"/>
      </w:pPr>
      <w:bookmarkStart w:id="554" w:name="_Toc185514170"/>
      <w:r w:rsidRPr="00C8328B">
        <w:rPr>
          <w:rStyle w:val="CharSectNo"/>
        </w:rPr>
        <w:t>1707</w:t>
      </w:r>
      <w:r>
        <w:tab/>
        <w:t>Costs—proceeding removed to another court</w:t>
      </w:r>
      <w:bookmarkEnd w:id="554"/>
    </w:p>
    <w:p w14:paraId="49178196" w14:textId="77777777"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14:paraId="25D345A4" w14:textId="77777777" w:rsidR="003D4FF5" w:rsidRDefault="003D4FF5" w:rsidP="003D4FF5">
      <w:pPr>
        <w:pStyle w:val="Amain"/>
      </w:pPr>
      <w:r>
        <w:tab/>
        <w:t>(2)</w:t>
      </w:r>
      <w:r>
        <w:tab/>
        <w:t>For the proceeding—</w:t>
      </w:r>
    </w:p>
    <w:p w14:paraId="35235881" w14:textId="77777777" w:rsidR="003D4FF5" w:rsidRDefault="003D4FF5" w:rsidP="003D4FF5">
      <w:pPr>
        <w:pStyle w:val="Apara"/>
      </w:pPr>
      <w:r>
        <w:tab/>
        <w:t>(a)</w:t>
      </w:r>
      <w:r>
        <w:tab/>
        <w:t>if the first court has not made an order for costs—the court may make an order for the costs of the proceeding, including the costs before the removal; and</w:t>
      </w:r>
    </w:p>
    <w:p w14:paraId="280721FC" w14:textId="77777777" w:rsidR="003D4FF5" w:rsidRDefault="003D4FF5" w:rsidP="003D4FF5">
      <w:pPr>
        <w:pStyle w:val="Apara"/>
        <w:keepNext/>
      </w:pPr>
      <w:r>
        <w:tab/>
        <w:t>(b)</w:t>
      </w:r>
      <w:r>
        <w:tab/>
        <w:t>any order for costs made by the first court may be assessed and enforced as if it were an order of the court.</w:t>
      </w:r>
    </w:p>
    <w:p w14:paraId="34AF813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BFCC517" w14:textId="77777777"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14:paraId="3B21E058" w14:textId="77777777" w:rsidR="003D4FF5" w:rsidRDefault="003D4FF5" w:rsidP="003D4FF5">
      <w:pPr>
        <w:pStyle w:val="AH5Sec"/>
      </w:pPr>
      <w:bookmarkStart w:id="555" w:name="_Toc185514171"/>
      <w:r w:rsidRPr="00C8328B">
        <w:rPr>
          <w:rStyle w:val="CharSectNo"/>
        </w:rPr>
        <w:t>1708</w:t>
      </w:r>
      <w:r>
        <w:tab/>
        <w:t>Costs—in account</w:t>
      </w:r>
      <w:bookmarkEnd w:id="555"/>
    </w:p>
    <w:p w14:paraId="1DA85368" w14:textId="77777777" w:rsidR="003D4FF5" w:rsidRDefault="003D4FF5" w:rsidP="003D4FF5">
      <w:pPr>
        <w:pStyle w:val="Amainreturn"/>
        <w:keepNext/>
      </w:pPr>
      <w:r>
        <w:t>If the court orders that an account be taken and the account is partly for costs, the court may set costs or order that the registrar assess costs under this part.</w:t>
      </w:r>
    </w:p>
    <w:p w14:paraId="5D94828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560C618" w14:textId="77777777" w:rsidR="003D4FF5" w:rsidRPr="00C8328B" w:rsidRDefault="003D4FF5" w:rsidP="003D4FF5">
      <w:pPr>
        <w:pStyle w:val="AH3Div"/>
      </w:pPr>
      <w:bookmarkStart w:id="556" w:name="_Toc185514172"/>
      <w:r w:rsidRPr="00C8328B">
        <w:rPr>
          <w:rStyle w:val="CharDivNo"/>
        </w:rPr>
        <w:t>Division 2.17.2</w:t>
      </w:r>
      <w:r>
        <w:tab/>
      </w:r>
      <w:r w:rsidRPr="00C8328B">
        <w:rPr>
          <w:rStyle w:val="CharDivText"/>
        </w:rPr>
        <w:t>Entitlement to costs</w:t>
      </w:r>
      <w:bookmarkEnd w:id="556"/>
    </w:p>
    <w:p w14:paraId="0C9C5805" w14:textId="77777777" w:rsidR="003D4FF5" w:rsidRDefault="003D4FF5" w:rsidP="003D4FF5">
      <w:pPr>
        <w:pStyle w:val="AH5Sec"/>
      </w:pPr>
      <w:bookmarkStart w:id="557" w:name="_Toc185514173"/>
      <w:r w:rsidRPr="00C8328B">
        <w:rPr>
          <w:rStyle w:val="CharSectNo"/>
        </w:rPr>
        <w:t>1720</w:t>
      </w:r>
      <w:r>
        <w:tab/>
        <w:t>Costs—entitlement to recover</w:t>
      </w:r>
      <w:bookmarkEnd w:id="557"/>
    </w:p>
    <w:p w14:paraId="64E96E5D" w14:textId="77777777"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14:paraId="6A3BC89D" w14:textId="67AD58C8"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51" w:tooltip="A2001-14" w:history="1">
        <w:r w:rsidRPr="005A5F43">
          <w:rPr>
            <w:rStyle w:val="charCitHyperlinkAbbrev"/>
          </w:rPr>
          <w:t>Legislation Act</w:t>
        </w:r>
      </w:hyperlink>
      <w:r>
        <w:t>, s 98).</w:t>
      </w:r>
    </w:p>
    <w:p w14:paraId="128C1F48" w14:textId="77777777" w:rsidR="003D4FF5" w:rsidRDefault="003D4FF5" w:rsidP="003D4FF5">
      <w:pPr>
        <w:pStyle w:val="Amain"/>
        <w:keepNext/>
      </w:pPr>
      <w:r>
        <w:tab/>
        <w:t>(2)</w:t>
      </w:r>
      <w:r>
        <w:tab/>
        <w:t>If, under a territory law or an order of the court, a party is entitled to costs, the costs are to be assessed costs.</w:t>
      </w:r>
    </w:p>
    <w:p w14:paraId="2498C461" w14:textId="77777777"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14:paraId="13B2920F" w14:textId="77777777" w:rsidR="003D4FF5" w:rsidRDefault="003D4FF5" w:rsidP="003D4FF5">
      <w:pPr>
        <w:pStyle w:val="Amain"/>
      </w:pPr>
      <w:r>
        <w:tab/>
        <w:t>(3)</w:t>
      </w:r>
      <w:r>
        <w:tab/>
        <w:t>However, instead of assessed costs, the court may order a person liable for costs to pay to the party entitled to costs—</w:t>
      </w:r>
    </w:p>
    <w:p w14:paraId="449A149A" w14:textId="77777777" w:rsidR="003D4FF5" w:rsidRDefault="003D4FF5" w:rsidP="003D4FF5">
      <w:pPr>
        <w:pStyle w:val="Apara"/>
      </w:pPr>
      <w:r>
        <w:tab/>
        <w:t>(a)</w:t>
      </w:r>
      <w:r>
        <w:tab/>
        <w:t>a stated part or percentage of assessed costs; or</w:t>
      </w:r>
    </w:p>
    <w:p w14:paraId="661538E7" w14:textId="77777777" w:rsidR="003D4FF5" w:rsidRDefault="003D4FF5" w:rsidP="003D4FF5">
      <w:pPr>
        <w:pStyle w:val="Apara"/>
      </w:pPr>
      <w:r>
        <w:tab/>
        <w:t>(b)</w:t>
      </w:r>
      <w:r>
        <w:tab/>
        <w:t>assessed costs to or from a stated stage of the proceeding; or</w:t>
      </w:r>
    </w:p>
    <w:p w14:paraId="5734D168" w14:textId="77777777" w:rsidR="003D4FF5" w:rsidRDefault="003D4FF5" w:rsidP="003D4FF5">
      <w:pPr>
        <w:pStyle w:val="Apara"/>
      </w:pPr>
      <w:r>
        <w:tab/>
        <w:t>(c)</w:t>
      </w:r>
      <w:r>
        <w:tab/>
        <w:t>an amount for costs decided by the court; or</w:t>
      </w:r>
    </w:p>
    <w:p w14:paraId="2052544E" w14:textId="77777777" w:rsidR="003D4FF5" w:rsidRDefault="003D4FF5" w:rsidP="003D4FF5">
      <w:pPr>
        <w:pStyle w:val="Apara"/>
        <w:keepNext/>
      </w:pPr>
      <w:r>
        <w:tab/>
        <w:t>(d)</w:t>
      </w:r>
      <w:r>
        <w:tab/>
        <w:t>an amount for costs to be decided in a way the court directs.</w:t>
      </w:r>
    </w:p>
    <w:p w14:paraId="1178FFC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14:paraId="69F9BED9" w14:textId="77777777" w:rsidR="003D4FF5" w:rsidRDefault="003D4FF5" w:rsidP="003D4FF5">
      <w:pPr>
        <w:pStyle w:val="AH5Sec"/>
      </w:pPr>
      <w:bookmarkStart w:id="558" w:name="_Toc185514174"/>
      <w:r w:rsidRPr="00C8328B">
        <w:rPr>
          <w:rStyle w:val="CharSectNo"/>
        </w:rPr>
        <w:lastRenderedPageBreak/>
        <w:t>1721</w:t>
      </w:r>
      <w:r>
        <w:tab/>
        <w:t>Costs—general rule</w:t>
      </w:r>
      <w:bookmarkEnd w:id="558"/>
    </w:p>
    <w:p w14:paraId="2D1B7C33" w14:textId="77777777" w:rsidR="003D4FF5" w:rsidRDefault="003D4FF5" w:rsidP="003D4FF5">
      <w:pPr>
        <w:pStyle w:val="Amain"/>
      </w:pPr>
      <w:r>
        <w:tab/>
        <w:t>(1)</w:t>
      </w:r>
      <w:r>
        <w:tab/>
        <w:t>The costs of a proceeding or of an application in a proceeding are in the discretion of the court.</w:t>
      </w:r>
    </w:p>
    <w:p w14:paraId="1278838D" w14:textId="77777777" w:rsidR="003D4FF5" w:rsidRDefault="003D4FF5" w:rsidP="003D4FF5">
      <w:pPr>
        <w:pStyle w:val="Amain"/>
      </w:pPr>
      <w:r>
        <w:tab/>
        <w:t>(2)</w:t>
      </w:r>
      <w:r>
        <w:tab/>
        <w:t>The costs of the proceeding include the costs of an application in the proceeding, unless the court otherwise orders.</w:t>
      </w:r>
    </w:p>
    <w:p w14:paraId="345B7597" w14:textId="77777777"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14:paraId="33BAF2A1" w14:textId="77777777"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14:paraId="25FADCFC" w14:textId="77777777" w:rsidR="003D4FF5" w:rsidRDefault="003D4FF5" w:rsidP="003D4FF5">
      <w:pPr>
        <w:pStyle w:val="AH5Sec"/>
      </w:pPr>
      <w:bookmarkStart w:id="559" w:name="_Toc185514175"/>
      <w:r w:rsidRPr="00C8328B">
        <w:rPr>
          <w:rStyle w:val="CharSectNo"/>
        </w:rPr>
        <w:t>1722</w:t>
      </w:r>
      <w:r>
        <w:tab/>
        <w:t>Costs—solicitors’ costs generally</w:t>
      </w:r>
      <w:bookmarkEnd w:id="559"/>
    </w:p>
    <w:p w14:paraId="23FC88DD" w14:textId="77777777"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14:paraId="2A1B4D8B" w14:textId="25645E2D" w:rsidR="003D4FF5" w:rsidRDefault="003D4FF5" w:rsidP="003D4FF5">
      <w:pPr>
        <w:pStyle w:val="aNote"/>
      </w:pPr>
      <w:r w:rsidRPr="005A5F43">
        <w:rPr>
          <w:rStyle w:val="charItals"/>
        </w:rPr>
        <w:t>Note</w:t>
      </w:r>
      <w:r w:rsidRPr="005A5F43">
        <w:rPr>
          <w:rStyle w:val="charItals"/>
        </w:rPr>
        <w:tab/>
      </w:r>
      <w:r>
        <w:t xml:space="preserve">The </w:t>
      </w:r>
      <w:hyperlink r:id="rId152"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53" w:tooltip="A2002-40" w:history="1">
        <w:r w:rsidRPr="005A5F43">
          <w:rPr>
            <w:rStyle w:val="charCitHyperlinkItal"/>
          </w:rPr>
          <w:t>Civil Law (Wrongs) Act 2002</w:t>
        </w:r>
      </w:hyperlink>
      <w:r>
        <w:t>, s 224 (expired)).</w:t>
      </w:r>
    </w:p>
    <w:p w14:paraId="747A9D5E" w14:textId="77777777" w:rsidR="003D4FF5" w:rsidRDefault="003D4FF5" w:rsidP="003D4FF5">
      <w:pPr>
        <w:pStyle w:val="Amain"/>
      </w:pPr>
      <w:r>
        <w:tab/>
        <w:t>(2)</w:t>
      </w:r>
      <w:r>
        <w:tab/>
        <w:t>The costs under the prescribed scale of costs for work done are inclusive of any GST payable in relation to the work.</w:t>
      </w:r>
    </w:p>
    <w:p w14:paraId="1EF4111E" w14:textId="77777777" w:rsidR="003D4FF5" w:rsidRDefault="003D4FF5" w:rsidP="003D4FF5">
      <w:pPr>
        <w:pStyle w:val="Amain"/>
      </w:pPr>
      <w:r>
        <w:tab/>
        <w:t>(3)</w:t>
      </w:r>
      <w:r>
        <w:tab/>
        <w:t>However, the costs payable to a party are reduced by the amount of any input tax credit for GST to which the party is entitled in relation to the party’s costs.</w:t>
      </w:r>
    </w:p>
    <w:p w14:paraId="14416A04" w14:textId="77777777" w:rsidR="003D4FF5" w:rsidRDefault="003D4FF5" w:rsidP="003D4FF5">
      <w:pPr>
        <w:pStyle w:val="Amain"/>
        <w:keepNext/>
      </w:pPr>
      <w:r>
        <w:tab/>
        <w:t>(4)</w:t>
      </w:r>
      <w:r>
        <w:tab/>
        <w:t>In this rule:</w:t>
      </w:r>
    </w:p>
    <w:p w14:paraId="2C8CE52F" w14:textId="77777777" w:rsidR="003D4FF5" w:rsidRDefault="003D4FF5" w:rsidP="003D4FF5">
      <w:pPr>
        <w:pStyle w:val="aDef"/>
        <w:keepNext/>
      </w:pPr>
      <w:r w:rsidRPr="005A5F43">
        <w:rPr>
          <w:rStyle w:val="charBoldItals"/>
        </w:rPr>
        <w:t>prescribed percentage</w:t>
      </w:r>
      <w:r>
        <w:t xml:space="preserve"> means—</w:t>
      </w:r>
    </w:p>
    <w:p w14:paraId="34410BB9" w14:textId="77777777" w:rsidR="003D4FF5" w:rsidRDefault="003D4FF5" w:rsidP="003D4FF5">
      <w:pPr>
        <w:pStyle w:val="aDefpara"/>
      </w:pPr>
      <w:r>
        <w:tab/>
        <w:t>(a)</w:t>
      </w:r>
      <w:r>
        <w:tab/>
        <w:t>for a proceeding in the Supreme Court—100%; or</w:t>
      </w:r>
    </w:p>
    <w:p w14:paraId="3E6B9545" w14:textId="77777777" w:rsidR="003D4FF5" w:rsidRDefault="003D4FF5" w:rsidP="003D4FF5">
      <w:pPr>
        <w:pStyle w:val="aDefpara"/>
      </w:pPr>
      <w:r>
        <w:tab/>
        <w:t>(b)</w:t>
      </w:r>
      <w:r>
        <w:tab/>
        <w:t>for a proceeding in the Magistrates Court—</w:t>
      </w:r>
    </w:p>
    <w:p w14:paraId="404A4278" w14:textId="77777777" w:rsidR="003D4FF5" w:rsidRDefault="003D4FF5" w:rsidP="003D4FF5">
      <w:pPr>
        <w:pStyle w:val="aDefsubpara"/>
      </w:pPr>
      <w:r>
        <w:tab/>
        <w:t>(i)</w:t>
      </w:r>
      <w:r>
        <w:tab/>
        <w:t>if the relevant amount is less than $10 000—33%; or</w:t>
      </w:r>
    </w:p>
    <w:p w14:paraId="7BE4DD97" w14:textId="77777777" w:rsidR="003D4FF5" w:rsidRDefault="003D4FF5" w:rsidP="003D4FF5">
      <w:pPr>
        <w:pStyle w:val="aDefsubpara"/>
      </w:pPr>
      <w:r>
        <w:lastRenderedPageBreak/>
        <w:tab/>
        <w:t>(ii)</w:t>
      </w:r>
      <w:r>
        <w:tab/>
        <w:t>if the relevant amount is not less than $10 000 but less than $25 000—67%; or</w:t>
      </w:r>
    </w:p>
    <w:p w14:paraId="1615EE8E" w14:textId="77777777" w:rsidR="003D4FF5" w:rsidRDefault="003D4FF5" w:rsidP="003D4FF5">
      <w:pPr>
        <w:pStyle w:val="aDefsubpara"/>
        <w:keepNext/>
      </w:pPr>
      <w:r>
        <w:tab/>
        <w:t>(iii)</w:t>
      </w:r>
      <w:r>
        <w:tab/>
        <w:t>if the relevant amount is not less than $25 000 but less than $40 000—80%; or</w:t>
      </w:r>
    </w:p>
    <w:p w14:paraId="626D8B6F" w14:textId="77777777" w:rsidR="003D4FF5" w:rsidRPr="002B175D" w:rsidRDefault="003D4FF5" w:rsidP="003D4FF5">
      <w:pPr>
        <w:pStyle w:val="Asubpara"/>
      </w:pPr>
      <w:r w:rsidRPr="002B175D">
        <w:tab/>
        <w:t>(iv)</w:t>
      </w:r>
      <w:r w:rsidRPr="002B175D">
        <w:tab/>
        <w:t>if the relevant amount is not less than $40 000 but less than $50 000—90%; or</w:t>
      </w:r>
    </w:p>
    <w:p w14:paraId="1F8B16F7" w14:textId="77777777" w:rsidR="003D4FF5" w:rsidRPr="002B175D" w:rsidRDefault="003D4FF5" w:rsidP="003D4FF5">
      <w:pPr>
        <w:pStyle w:val="Asubpara"/>
      </w:pPr>
      <w:r w:rsidRPr="002B175D">
        <w:tab/>
        <w:t>(v)</w:t>
      </w:r>
      <w:r w:rsidRPr="002B175D">
        <w:tab/>
        <w:t>if the relevant amount is not less than $50 000—100%.</w:t>
      </w:r>
    </w:p>
    <w:p w14:paraId="35FCBBF3" w14:textId="77777777" w:rsidR="003D4FF5" w:rsidRDefault="003D4FF5" w:rsidP="003D4FF5">
      <w:pPr>
        <w:pStyle w:val="aDef"/>
      </w:pPr>
      <w:r w:rsidRPr="005A5F43">
        <w:rPr>
          <w:rStyle w:val="charBoldItals"/>
        </w:rPr>
        <w:t>relevant amount</w:t>
      </w:r>
      <w:r>
        <w:t>—see rule 1723.</w:t>
      </w:r>
    </w:p>
    <w:p w14:paraId="3BC33849" w14:textId="77777777" w:rsidR="003D4FF5" w:rsidRDefault="003D4FF5" w:rsidP="003D4FF5">
      <w:pPr>
        <w:pStyle w:val="AH5Sec"/>
      </w:pPr>
      <w:bookmarkStart w:id="560" w:name="_Toc185514176"/>
      <w:r w:rsidRPr="00C8328B">
        <w:rPr>
          <w:rStyle w:val="CharSectNo"/>
        </w:rPr>
        <w:t>1723</w:t>
      </w:r>
      <w:r>
        <w:tab/>
        <w:t>Costs—</w:t>
      </w:r>
      <w:r w:rsidRPr="005A5F43">
        <w:rPr>
          <w:rStyle w:val="charItals"/>
        </w:rPr>
        <w:t>relevant amount</w:t>
      </w:r>
      <w:r>
        <w:t xml:space="preserve"> for Magistrates Court proceedings</w:t>
      </w:r>
      <w:bookmarkEnd w:id="560"/>
    </w:p>
    <w:p w14:paraId="4B532EA5" w14:textId="77777777"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14:paraId="51315FE2" w14:textId="77777777"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14:paraId="6E38492D" w14:textId="77777777" w:rsidR="003D4FF5" w:rsidRDefault="003D4FF5" w:rsidP="003D4FF5">
      <w:pPr>
        <w:pStyle w:val="Apara"/>
      </w:pPr>
      <w:r>
        <w:tab/>
        <w:t>(b)</w:t>
      </w:r>
      <w:r>
        <w:tab/>
        <w:t>if judgment in the proceeding is given for the plaintiff—the amount for which judgment is given; or</w:t>
      </w:r>
    </w:p>
    <w:p w14:paraId="005C28A8" w14:textId="77777777"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14:paraId="6A905852" w14:textId="77777777"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14:paraId="3E9930D6" w14:textId="77777777" w:rsidR="003D4FF5" w:rsidRDefault="003D4FF5" w:rsidP="00731A41">
      <w:pPr>
        <w:pStyle w:val="Apara"/>
        <w:keepNext/>
      </w:pPr>
      <w:r>
        <w:tab/>
        <w:t>(a)</w:t>
      </w:r>
      <w:r>
        <w:tab/>
        <w:t>if judgment in the proceeding and the counterclaim is given for the plaintiff in the proceeding—</w:t>
      </w:r>
    </w:p>
    <w:p w14:paraId="15F34AF3" w14:textId="77777777" w:rsidR="003D4FF5" w:rsidRDefault="003D4FF5" w:rsidP="003D4FF5">
      <w:pPr>
        <w:pStyle w:val="Asubpara"/>
      </w:pPr>
      <w:r>
        <w:tab/>
        <w:t>(i)</w:t>
      </w:r>
      <w:r>
        <w:tab/>
        <w:t>for costs incurred before service on the plaintiff of the counterclaim—the amount for which judgment is given; and</w:t>
      </w:r>
    </w:p>
    <w:p w14:paraId="318F1183" w14:textId="77777777"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14:paraId="589FA222" w14:textId="77777777"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14:paraId="7F1BE07E" w14:textId="77777777" w:rsidR="003D4FF5" w:rsidRDefault="003D4FF5" w:rsidP="003D4FF5">
      <w:pPr>
        <w:pStyle w:val="Apara"/>
      </w:pPr>
      <w:r>
        <w:tab/>
        <w:t>(c)</w:t>
      </w:r>
      <w:r>
        <w:tab/>
        <w:t>if judgment in the proceeding is given for the plaintiff in the proceeding and in the counterclaim is given for the defendant in the proceeding—</w:t>
      </w:r>
    </w:p>
    <w:p w14:paraId="6B80426C" w14:textId="77777777" w:rsidR="003D4FF5" w:rsidRDefault="003D4FF5" w:rsidP="003D4FF5">
      <w:pPr>
        <w:pStyle w:val="Asubpara"/>
      </w:pPr>
      <w:r>
        <w:tab/>
        <w:t>(i)</w:t>
      </w:r>
      <w:r>
        <w:tab/>
        <w:t>for costs payable to the plaintiff—the amount for which judgment on the originating process was given; and</w:t>
      </w:r>
    </w:p>
    <w:p w14:paraId="328124CB" w14:textId="77777777" w:rsidR="003D4FF5" w:rsidRDefault="003D4FF5" w:rsidP="003D4FF5">
      <w:pPr>
        <w:pStyle w:val="Asubpara"/>
      </w:pPr>
      <w:r>
        <w:tab/>
        <w:t>(ii)</w:t>
      </w:r>
      <w:r>
        <w:tab/>
        <w:t>for costs payable to the defendant—the amount for which judgment on the counterclaim was given; or</w:t>
      </w:r>
    </w:p>
    <w:p w14:paraId="1F6D4774" w14:textId="77777777" w:rsidR="003D4FF5" w:rsidRDefault="003D4FF5" w:rsidP="003D4FF5">
      <w:pPr>
        <w:pStyle w:val="Apara"/>
      </w:pPr>
      <w:r>
        <w:tab/>
        <w:t>(d)</w:t>
      </w:r>
      <w:r>
        <w:tab/>
        <w:t>if judgment in the proceeding is given against the plaintiff in the proceeding and in the counterclaim is given against the defendant in the proceeding—</w:t>
      </w:r>
    </w:p>
    <w:p w14:paraId="3E5B0076" w14:textId="77777777" w:rsidR="003D4FF5" w:rsidRDefault="003D4FF5" w:rsidP="003D4FF5">
      <w:pPr>
        <w:pStyle w:val="Asubpara"/>
      </w:pPr>
      <w:r>
        <w:tab/>
        <w:t>(i)</w:t>
      </w:r>
      <w:r>
        <w:tab/>
        <w:t>for costs payable by the plaintiff—the amount for which the originating process in the proceeding was issued; and</w:t>
      </w:r>
    </w:p>
    <w:p w14:paraId="442D881B" w14:textId="77777777" w:rsidR="003D4FF5" w:rsidRDefault="003D4FF5" w:rsidP="003D4FF5">
      <w:pPr>
        <w:pStyle w:val="Asubpara"/>
      </w:pPr>
      <w:r>
        <w:tab/>
        <w:t>(ii)</w:t>
      </w:r>
      <w:r>
        <w:tab/>
        <w:t>for costs payable by the defendant—the amount for which the counterclaim was issued.</w:t>
      </w:r>
    </w:p>
    <w:p w14:paraId="21CB5A76" w14:textId="77777777"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14:paraId="115A34DD" w14:textId="77777777" w:rsidR="003D4FF5" w:rsidRDefault="003D4FF5" w:rsidP="003D4FF5">
      <w:pPr>
        <w:pStyle w:val="AH5Sec"/>
      </w:pPr>
      <w:bookmarkStart w:id="561" w:name="_Toc185514177"/>
      <w:r w:rsidRPr="00C8328B">
        <w:rPr>
          <w:rStyle w:val="CharSectNo"/>
        </w:rPr>
        <w:t>1724</w:t>
      </w:r>
      <w:r>
        <w:tab/>
        <w:t>Solicitors’ costs—separate judgments against defendants in Magistrates Court</w:t>
      </w:r>
      <w:bookmarkEnd w:id="561"/>
    </w:p>
    <w:p w14:paraId="4CAACD83" w14:textId="77777777" w:rsidR="003D4FF5" w:rsidRDefault="003D4FF5" w:rsidP="003D4FF5">
      <w:pPr>
        <w:pStyle w:val="Amain"/>
        <w:keepNext/>
      </w:pPr>
      <w:r>
        <w:tab/>
        <w:t>(1)</w:t>
      </w:r>
      <w:r>
        <w:tab/>
        <w:t>This rule applies to a proceeding in the Magistrates Court in which there are 2 or more defendants.</w:t>
      </w:r>
    </w:p>
    <w:p w14:paraId="4F9B0284" w14:textId="77777777"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14:paraId="08BC5953" w14:textId="77777777" w:rsidR="003D4FF5" w:rsidRDefault="003D4FF5" w:rsidP="003D4FF5">
      <w:pPr>
        <w:pStyle w:val="Amain"/>
      </w:pPr>
      <w:r>
        <w:tab/>
        <w:t>(3)</w:t>
      </w:r>
      <w:r>
        <w:tab/>
        <w:t>On the assessment of costs, costs incurred against any defendant must be allowed against all of the defendants.</w:t>
      </w:r>
    </w:p>
    <w:p w14:paraId="3CBB70B0" w14:textId="77777777" w:rsidR="003D4FF5" w:rsidRDefault="003D4FF5" w:rsidP="003D4FF5">
      <w:pPr>
        <w:pStyle w:val="Amain"/>
      </w:pPr>
      <w:r>
        <w:tab/>
        <w:t>(4)</w:t>
      </w:r>
      <w:r>
        <w:tab/>
        <w:t>The plaintiff may enforce a costs order under this rule against any 1 or more of the defendants against whom the order is made.</w:t>
      </w:r>
    </w:p>
    <w:p w14:paraId="7DDED7DD" w14:textId="77777777"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14:paraId="690C47DF" w14:textId="77777777" w:rsidR="003D4FF5" w:rsidRPr="00AD5834" w:rsidRDefault="003D4FF5" w:rsidP="003D4FF5">
      <w:pPr>
        <w:pStyle w:val="AH5Sec"/>
      </w:pPr>
      <w:bookmarkStart w:id="562" w:name="_Toc185514178"/>
      <w:r w:rsidRPr="00C8328B">
        <w:rPr>
          <w:rStyle w:val="CharSectNo"/>
        </w:rPr>
        <w:t>1725</w:t>
      </w:r>
      <w:r w:rsidRPr="00AD5834">
        <w:tab/>
        <w:t>Solicitors’ costs and determined fees—Supreme Court judgment within Magistrates Court jurisdiction</w:t>
      </w:r>
      <w:bookmarkEnd w:id="562"/>
    </w:p>
    <w:p w14:paraId="172E2954" w14:textId="77777777" w:rsidR="003D4FF5" w:rsidRPr="00AD5834" w:rsidRDefault="003D4FF5" w:rsidP="003D4FF5">
      <w:pPr>
        <w:pStyle w:val="Amain"/>
      </w:pPr>
      <w:r w:rsidRPr="00AD5834">
        <w:tab/>
        <w:t>(1)</w:t>
      </w:r>
      <w:r w:rsidRPr="00AD5834">
        <w:tab/>
        <w:t>This rule applies to a proceeding in the Supreme Court if—</w:t>
      </w:r>
    </w:p>
    <w:p w14:paraId="60F443E5" w14:textId="77777777" w:rsidR="003D4FF5" w:rsidRPr="00AD5834" w:rsidRDefault="003D4FF5" w:rsidP="003D4FF5">
      <w:pPr>
        <w:pStyle w:val="Apara"/>
      </w:pPr>
      <w:r w:rsidRPr="00AD5834">
        <w:tab/>
        <w:t>(a)</w:t>
      </w:r>
      <w:r w:rsidRPr="00AD5834">
        <w:tab/>
        <w:t>the Magistrates court—</w:t>
      </w:r>
    </w:p>
    <w:p w14:paraId="15DD93DE" w14:textId="77777777" w:rsidR="003D4FF5" w:rsidRPr="00AD5834" w:rsidRDefault="003D4FF5" w:rsidP="003D4FF5">
      <w:pPr>
        <w:pStyle w:val="Asubpara"/>
      </w:pPr>
      <w:r w:rsidRPr="00AD5834">
        <w:tab/>
        <w:t>(i)</w:t>
      </w:r>
      <w:r w:rsidRPr="00AD5834">
        <w:tab/>
        <w:t>would have had jurisdiction and power to hear and decide the proceeding; or</w:t>
      </w:r>
    </w:p>
    <w:p w14:paraId="707E5FCC" w14:textId="77777777"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14:paraId="3B2DFF22" w14:textId="77777777" w:rsidR="003D4FF5" w:rsidRPr="00AD5834" w:rsidRDefault="003D4FF5" w:rsidP="003D4FF5">
      <w:pPr>
        <w:pStyle w:val="Apara"/>
      </w:pPr>
      <w:r w:rsidRPr="00AD5834">
        <w:lastRenderedPageBreak/>
        <w:tab/>
        <w:t>(b)</w:t>
      </w:r>
      <w:r w:rsidRPr="00AD5834">
        <w:tab/>
        <w:t>the plaintiff is entitled to the costs of the proceeding; and</w:t>
      </w:r>
    </w:p>
    <w:p w14:paraId="6EA19616" w14:textId="77777777"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14:paraId="4807C8EC" w14:textId="77777777" w:rsidR="003D4FF5" w:rsidRPr="00AD5834" w:rsidRDefault="003D4FF5" w:rsidP="003D4FF5">
      <w:pPr>
        <w:pStyle w:val="Amain"/>
      </w:pPr>
      <w:r w:rsidRPr="00AD5834">
        <w:tab/>
        <w:t>(2)</w:t>
      </w:r>
      <w:r w:rsidRPr="00AD5834">
        <w:tab/>
        <w:t>The plaintiff is entitled to the following determined fee and costs only—</w:t>
      </w:r>
    </w:p>
    <w:p w14:paraId="6DB3D42F" w14:textId="77777777"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14:paraId="26DFEFBC" w14:textId="77777777"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14:paraId="77FCBF0F" w14:textId="77777777"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14:paraId="363A9265" w14:textId="77777777"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14:paraId="000EEE8F" w14:textId="77777777"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14:paraId="57E28A76" w14:textId="77777777"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14:paraId="28E6B8A5" w14:textId="77777777" w:rsidR="003D4FF5" w:rsidRPr="00AD5834" w:rsidRDefault="003D4FF5" w:rsidP="003D4FF5">
      <w:pPr>
        <w:pStyle w:val="Amain"/>
        <w:keepNext/>
      </w:pPr>
      <w:r w:rsidRPr="00AD5834">
        <w:lastRenderedPageBreak/>
        <w:tab/>
        <w:t>(4)</w:t>
      </w:r>
      <w:r w:rsidRPr="00AD5834">
        <w:tab/>
        <w:t>In this rule:</w:t>
      </w:r>
    </w:p>
    <w:p w14:paraId="36466902" w14:textId="6B530A07"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54"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14:paraId="46374E1D" w14:textId="77777777" w:rsidR="003D4FF5" w:rsidRDefault="003D4FF5" w:rsidP="003D4FF5">
      <w:pPr>
        <w:pStyle w:val="AH5Sec"/>
      </w:pPr>
      <w:bookmarkStart w:id="563" w:name="_Toc185514179"/>
      <w:r w:rsidRPr="00C8328B">
        <w:rPr>
          <w:rStyle w:val="CharSectNo"/>
        </w:rPr>
        <w:t>1726</w:t>
      </w:r>
      <w:r>
        <w:tab/>
        <w:t>Costs—amendment of documents</w:t>
      </w:r>
      <w:bookmarkEnd w:id="563"/>
    </w:p>
    <w:p w14:paraId="52BC86F3" w14:textId="77777777" w:rsidR="003D4FF5" w:rsidRDefault="003D4FF5" w:rsidP="003D4FF5">
      <w:pPr>
        <w:pStyle w:val="Amain"/>
      </w:pPr>
      <w:r>
        <w:tab/>
        <w:t>(1)</w:t>
      </w:r>
      <w:r>
        <w:tab/>
        <w:t>This rule does not apply to a party who amends a document because of another party’s amendment or default.</w:t>
      </w:r>
    </w:p>
    <w:p w14:paraId="2591FF02" w14:textId="77777777" w:rsidR="003D4FF5" w:rsidRDefault="003D4FF5" w:rsidP="003D4FF5">
      <w:pPr>
        <w:pStyle w:val="Amain"/>
        <w:keepNext/>
      </w:pPr>
      <w:r>
        <w:tab/>
        <w:t>(2)</w:t>
      </w:r>
      <w:r>
        <w:tab/>
        <w:t>A party who amends a document must pay the costs of and caused by the amendment, unless the court otherwise orders.</w:t>
      </w:r>
    </w:p>
    <w:p w14:paraId="6CF0A4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6DCF19F" w14:textId="77777777" w:rsidR="003D4FF5" w:rsidRDefault="003D4FF5" w:rsidP="003D4FF5">
      <w:pPr>
        <w:pStyle w:val="AH5Sec"/>
      </w:pPr>
      <w:bookmarkStart w:id="564" w:name="_Toc185514180"/>
      <w:r w:rsidRPr="00C8328B">
        <w:rPr>
          <w:rStyle w:val="CharSectNo"/>
        </w:rPr>
        <w:t>1727</w:t>
      </w:r>
      <w:r>
        <w:tab/>
        <w:t>Costs—party not interested in application</w:t>
      </w:r>
      <w:bookmarkEnd w:id="564"/>
    </w:p>
    <w:p w14:paraId="452E4923" w14:textId="77777777"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14:paraId="1BB89E8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4A68094"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14:paraId="529F77F2" w14:textId="77777777" w:rsidR="003D4FF5" w:rsidRDefault="003D4FF5" w:rsidP="003D4FF5">
      <w:pPr>
        <w:pStyle w:val="AH5Sec"/>
      </w:pPr>
      <w:bookmarkStart w:id="565" w:name="_Toc185514181"/>
      <w:r w:rsidRPr="00C8328B">
        <w:rPr>
          <w:rStyle w:val="CharSectNo"/>
        </w:rPr>
        <w:t>1728</w:t>
      </w:r>
      <w:r>
        <w:tab/>
        <w:t>Costs—for application reserved</w:t>
      </w:r>
      <w:bookmarkEnd w:id="565"/>
    </w:p>
    <w:p w14:paraId="4AC95202" w14:textId="77777777" w:rsidR="003D4FF5" w:rsidRDefault="003D4FF5" w:rsidP="003D4FF5">
      <w:pPr>
        <w:pStyle w:val="Amainreturn"/>
        <w:keepNext/>
      </w:pPr>
      <w:r>
        <w:t>If the court reserves costs of an application in a proceeding, the costs reserved become costs in the cause, unless the court otherwise orders.</w:t>
      </w:r>
    </w:p>
    <w:p w14:paraId="285C016D" w14:textId="77777777"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6CAF7F3F" w14:textId="77777777"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14:paraId="23B18D1F" w14:textId="77777777"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14:paraId="6D7FB434" w14:textId="77777777" w:rsidR="003D4FF5" w:rsidRDefault="003D4FF5" w:rsidP="003D4FF5">
      <w:pPr>
        <w:pStyle w:val="AH5Sec"/>
      </w:pPr>
      <w:bookmarkStart w:id="566" w:name="_Toc185514182"/>
      <w:r w:rsidRPr="00C8328B">
        <w:rPr>
          <w:rStyle w:val="CharSectNo"/>
        </w:rPr>
        <w:t>1729</w:t>
      </w:r>
      <w:r>
        <w:tab/>
        <w:t>Costs—extending or shortening time</w:t>
      </w:r>
      <w:bookmarkEnd w:id="566"/>
    </w:p>
    <w:p w14:paraId="573115D7" w14:textId="77777777"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14:paraId="111FC92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B73994F" w14:textId="77777777" w:rsidR="003D4FF5" w:rsidRDefault="003D4FF5" w:rsidP="003D4FF5">
      <w:pPr>
        <w:pStyle w:val="AH5Sec"/>
      </w:pPr>
      <w:bookmarkStart w:id="567" w:name="_Toc185514183"/>
      <w:r w:rsidRPr="00C8328B">
        <w:rPr>
          <w:rStyle w:val="CharSectNo"/>
        </w:rPr>
        <w:t>1730</w:t>
      </w:r>
      <w:r>
        <w:tab/>
        <w:t>Costs—inquiry to find person entitled to property</w:t>
      </w:r>
      <w:bookmarkEnd w:id="567"/>
    </w:p>
    <w:p w14:paraId="6CCD2684" w14:textId="77777777" w:rsidR="003D4FF5" w:rsidRDefault="003D4FF5" w:rsidP="003D4FF5">
      <w:pPr>
        <w:pStyle w:val="Amainreturn"/>
        <w:keepNext/>
      </w:pPr>
      <w:r>
        <w:t>The costs of an inquiry to find out who is entitled to a legacy, money, share or other property must be paid out of the property, unless the court otherwise orders.</w:t>
      </w:r>
    </w:p>
    <w:p w14:paraId="154B86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D6DC97F" w14:textId="77777777" w:rsidR="003D4FF5" w:rsidRDefault="003D4FF5" w:rsidP="003D4FF5">
      <w:pPr>
        <w:pStyle w:val="AH5Sec"/>
      </w:pPr>
      <w:bookmarkStart w:id="568" w:name="_Toc185514184"/>
      <w:r w:rsidRPr="00C8328B">
        <w:rPr>
          <w:rStyle w:val="CharSectNo"/>
        </w:rPr>
        <w:t>1731</w:t>
      </w:r>
      <w:r>
        <w:tab/>
        <w:t>Costs—assessment of receiver’s costs</w:t>
      </w:r>
      <w:bookmarkEnd w:id="568"/>
    </w:p>
    <w:p w14:paraId="47D7B35A" w14:textId="77777777" w:rsidR="003D4FF5" w:rsidRDefault="003D4FF5" w:rsidP="003D4FF5">
      <w:pPr>
        <w:pStyle w:val="Amainreturn"/>
      </w:pPr>
      <w:r>
        <w:t>The costs of a receiver appointed in a proceeding may be assessed by the registrar on the application of the receiver or a party to the proceeding.</w:t>
      </w:r>
    </w:p>
    <w:p w14:paraId="39084F99" w14:textId="77777777" w:rsidR="003D4FF5" w:rsidRDefault="003D4FF5" w:rsidP="003D4FF5">
      <w:pPr>
        <w:pStyle w:val="AH5Sec"/>
      </w:pPr>
      <w:bookmarkStart w:id="569" w:name="_Toc185514185"/>
      <w:r w:rsidRPr="00C8328B">
        <w:rPr>
          <w:rStyle w:val="CharSectNo"/>
        </w:rPr>
        <w:t>1732</w:t>
      </w:r>
      <w:r>
        <w:tab/>
        <w:t>Costs—trustee</w:t>
      </w:r>
      <w:bookmarkEnd w:id="569"/>
    </w:p>
    <w:p w14:paraId="0EE27A80" w14:textId="77777777" w:rsidR="003D4FF5" w:rsidRDefault="003D4FF5" w:rsidP="003D4FF5">
      <w:pPr>
        <w:pStyle w:val="Amain"/>
        <w:keepNext/>
      </w:pPr>
      <w:r>
        <w:tab/>
        <w:t>(1)</w:t>
      </w:r>
      <w:r>
        <w:tab/>
        <w:t>This rule applies to a party who sues or is sued as trustee.</w:t>
      </w:r>
    </w:p>
    <w:p w14:paraId="218232C7" w14:textId="77777777" w:rsidR="003D4FF5" w:rsidRDefault="003D4FF5" w:rsidP="003D4FF5">
      <w:pPr>
        <w:pStyle w:val="Amain"/>
      </w:pPr>
      <w:r>
        <w:tab/>
        <w:t>(2)</w:t>
      </w:r>
      <w:r>
        <w:tab/>
        <w:t>Unless the court otherwise orders—</w:t>
      </w:r>
    </w:p>
    <w:p w14:paraId="1AE2D190" w14:textId="77777777" w:rsidR="003D4FF5" w:rsidRDefault="003D4FF5" w:rsidP="003D4FF5">
      <w:pPr>
        <w:pStyle w:val="Apara"/>
      </w:pPr>
      <w:r>
        <w:tab/>
        <w:t>(a)</w:t>
      </w:r>
      <w:r>
        <w:tab/>
        <w:t>the party is entitled to have costs of the proceeding that are not paid by someone else paid out of the fund held by the trustee; and</w:t>
      </w:r>
    </w:p>
    <w:p w14:paraId="0A8E4FEA" w14:textId="77777777" w:rsidR="003D4FF5" w:rsidRDefault="003D4FF5" w:rsidP="003D4FF5">
      <w:pPr>
        <w:pStyle w:val="Apara"/>
        <w:keepNext/>
      </w:pPr>
      <w:r>
        <w:lastRenderedPageBreak/>
        <w:tab/>
        <w:t>(b)</w:t>
      </w:r>
      <w:r>
        <w:tab/>
        <w:t>the costs must be assessed on a solicitor and client basis.</w:t>
      </w:r>
    </w:p>
    <w:p w14:paraId="109C8C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0BCDDE5" w14:textId="77777777"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14:paraId="48997CF2" w14:textId="77777777" w:rsidR="003D4FF5" w:rsidRDefault="003D4FF5" w:rsidP="003D4FF5">
      <w:pPr>
        <w:pStyle w:val="AH5Sec"/>
      </w:pPr>
      <w:bookmarkStart w:id="570" w:name="_Toc185514186"/>
      <w:r w:rsidRPr="00C8328B">
        <w:rPr>
          <w:rStyle w:val="CharSectNo"/>
        </w:rPr>
        <w:t>1733</w:t>
      </w:r>
      <w:r>
        <w:tab/>
        <w:t>Costs—solicitor appointed litigation guardian</w:t>
      </w:r>
      <w:bookmarkEnd w:id="570"/>
    </w:p>
    <w:p w14:paraId="435B3930" w14:textId="77777777" w:rsidR="003D4FF5" w:rsidRDefault="003D4FF5" w:rsidP="003D4FF5">
      <w:pPr>
        <w:pStyle w:val="Amain"/>
      </w:pPr>
      <w:r>
        <w:tab/>
        <w:t>(1)</w:t>
      </w:r>
      <w:r>
        <w:tab/>
        <w:t>This rule applies if a solicitor is appointed by the court as litigation guardian of a person with a legal disability.</w:t>
      </w:r>
    </w:p>
    <w:p w14:paraId="1DADC825" w14:textId="77777777" w:rsidR="003D4FF5" w:rsidRDefault="003D4FF5" w:rsidP="003D4FF5">
      <w:pPr>
        <w:pStyle w:val="Amain"/>
      </w:pPr>
      <w:r>
        <w:tab/>
        <w:t>(2)</w:t>
      </w:r>
      <w:r>
        <w:tab/>
        <w:t>The court may direct that the solicitor’s costs incurred in exercising the functions of litigation guardian must be paid—</w:t>
      </w:r>
    </w:p>
    <w:p w14:paraId="2EE407E3" w14:textId="77777777" w:rsidR="003D4FF5" w:rsidRDefault="003D4FF5" w:rsidP="003D4FF5">
      <w:pPr>
        <w:pStyle w:val="Apara"/>
      </w:pPr>
      <w:r>
        <w:tab/>
        <w:t>(a)</w:t>
      </w:r>
      <w:r>
        <w:tab/>
        <w:t>by all or any of the parties to the proceeding in which the appointment is made; or</w:t>
      </w:r>
    </w:p>
    <w:p w14:paraId="7D0F5E23" w14:textId="77777777" w:rsidR="003D4FF5" w:rsidRDefault="003D4FF5" w:rsidP="003D4FF5">
      <w:pPr>
        <w:pStyle w:val="Apara"/>
        <w:keepNext/>
      </w:pPr>
      <w:r>
        <w:tab/>
        <w:t>(b)</w:t>
      </w:r>
      <w:r>
        <w:tab/>
        <w:t>out of a fund in court (if any) in which the person is interested.</w:t>
      </w:r>
    </w:p>
    <w:p w14:paraId="519B5A4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4FE32F7B" w14:textId="77777777" w:rsidR="003D4FF5" w:rsidRDefault="003D4FF5" w:rsidP="003D4FF5">
      <w:pPr>
        <w:pStyle w:val="Amain"/>
      </w:pPr>
      <w:r>
        <w:tab/>
        <w:t>(3)</w:t>
      </w:r>
      <w:r>
        <w:tab/>
        <w:t>The court may give directions for the payment of costs mentioned in subrule (2).</w:t>
      </w:r>
    </w:p>
    <w:p w14:paraId="59A16BC8" w14:textId="77777777" w:rsidR="003D4FF5" w:rsidRDefault="003D4FF5" w:rsidP="003D4FF5">
      <w:pPr>
        <w:pStyle w:val="AH5Sec"/>
      </w:pPr>
      <w:bookmarkStart w:id="571" w:name="_Toc185514187"/>
      <w:r w:rsidRPr="00C8328B">
        <w:rPr>
          <w:rStyle w:val="CharSectNo"/>
        </w:rPr>
        <w:t>1734</w:t>
      </w:r>
      <w:r>
        <w:tab/>
        <w:t>Costs—assessment costs</w:t>
      </w:r>
      <w:bookmarkEnd w:id="571"/>
    </w:p>
    <w:p w14:paraId="20B0B94A" w14:textId="77777777" w:rsidR="003D4FF5" w:rsidRDefault="003D4FF5" w:rsidP="00AF0A5C">
      <w:pPr>
        <w:pStyle w:val="Amain"/>
        <w:keepNext/>
      </w:pPr>
      <w:r>
        <w:tab/>
        <w:t>(1)</w:t>
      </w:r>
      <w:r>
        <w:tab/>
        <w:t>The costs of a proceeding include the costs of preparing a bill of costs and attending the assessment of costs.</w:t>
      </w:r>
    </w:p>
    <w:p w14:paraId="36C1195C" w14:textId="77777777" w:rsidR="003D4FF5" w:rsidRDefault="003D4FF5" w:rsidP="003D4FF5">
      <w:pPr>
        <w:pStyle w:val="Amain"/>
      </w:pPr>
      <w:r>
        <w:tab/>
        <w:t>(2)</w:t>
      </w:r>
      <w:r>
        <w:tab/>
        <w:t>This rule is subject to rule 1809 (3) (a) (ii) (Costs—default assessment if no objection to bill of costs).</w:t>
      </w:r>
    </w:p>
    <w:p w14:paraId="28F6B138" w14:textId="77777777" w:rsidR="003D4FF5" w:rsidRDefault="003D4FF5" w:rsidP="003D4FF5">
      <w:pPr>
        <w:pStyle w:val="AH5Sec"/>
      </w:pPr>
      <w:bookmarkStart w:id="572" w:name="_Toc185514188"/>
      <w:r w:rsidRPr="00C8328B">
        <w:rPr>
          <w:rStyle w:val="CharSectNo"/>
        </w:rPr>
        <w:t>1735</w:t>
      </w:r>
      <w:r>
        <w:tab/>
        <w:t>Costs—counsel’s advice and settling documents</w:t>
      </w:r>
      <w:bookmarkEnd w:id="572"/>
    </w:p>
    <w:p w14:paraId="1AF9802C" w14:textId="77777777" w:rsidR="003D4FF5" w:rsidRDefault="003D4FF5" w:rsidP="003D4FF5">
      <w:pPr>
        <w:pStyle w:val="Amainreturn"/>
      </w:pPr>
      <w:r>
        <w:t>The costs of a proceeding may include costs incurred for—</w:t>
      </w:r>
    </w:p>
    <w:p w14:paraId="70B6CEC1" w14:textId="77777777" w:rsidR="003D4FF5" w:rsidRDefault="003D4FF5" w:rsidP="003D4FF5">
      <w:pPr>
        <w:pStyle w:val="Apara"/>
      </w:pPr>
      <w:r>
        <w:tab/>
        <w:t>(a)</w:t>
      </w:r>
      <w:r>
        <w:tab/>
        <w:t>the advice of counsel on pleadings, evidence or other matters in a proceeding; and</w:t>
      </w:r>
    </w:p>
    <w:p w14:paraId="3026B9DA" w14:textId="77777777" w:rsidR="003D4FF5" w:rsidRDefault="003D4FF5" w:rsidP="003D4FF5">
      <w:pPr>
        <w:pStyle w:val="Apara"/>
      </w:pPr>
      <w:r>
        <w:lastRenderedPageBreak/>
        <w:tab/>
        <w:t>(b)</w:t>
      </w:r>
      <w:r>
        <w:tab/>
        <w:t>counsel drawing or settling any pleading or other document in a proceeding that is appropriate for counsel to draw or settle.</w:t>
      </w:r>
    </w:p>
    <w:p w14:paraId="58B49DDC" w14:textId="77777777" w:rsidR="003D4FF5" w:rsidRDefault="003D4FF5" w:rsidP="003D4FF5">
      <w:pPr>
        <w:pStyle w:val="AH5Sec"/>
      </w:pPr>
      <w:bookmarkStart w:id="573" w:name="_Toc185514189"/>
      <w:r w:rsidRPr="00C8328B">
        <w:rPr>
          <w:rStyle w:val="CharSectNo"/>
        </w:rPr>
        <w:t>1736</w:t>
      </w:r>
      <w:r>
        <w:tab/>
        <w:t>Costs—evidence</w:t>
      </w:r>
      <w:bookmarkEnd w:id="573"/>
    </w:p>
    <w:p w14:paraId="2418ED92" w14:textId="77777777" w:rsidR="003D4FF5" w:rsidRDefault="003D4FF5" w:rsidP="003D4FF5">
      <w:pPr>
        <w:pStyle w:val="Amain"/>
      </w:pPr>
      <w:r>
        <w:tab/>
        <w:t>(1)</w:t>
      </w:r>
      <w:r>
        <w:tab/>
        <w:t>The costs of a proceeding may include costs incurred in procuring evidence, and the attendance of witnesses or the production of documents.</w:t>
      </w:r>
    </w:p>
    <w:p w14:paraId="6B5EBC0C" w14:textId="77777777"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14:paraId="2C61198A" w14:textId="77777777" w:rsidR="003D4FF5" w:rsidRDefault="003D4FF5" w:rsidP="003D4FF5">
      <w:pPr>
        <w:pStyle w:val="aExamHdgss"/>
      </w:pPr>
      <w:r>
        <w:t>Examples of costs incurred</w:t>
      </w:r>
    </w:p>
    <w:p w14:paraId="241D7C4E" w14:textId="77777777" w:rsidR="003D4FF5" w:rsidRDefault="003D4FF5" w:rsidP="003D4FF5">
      <w:pPr>
        <w:pStyle w:val="aExamINumss"/>
      </w:pPr>
      <w:r>
        <w:t>1</w:t>
      </w:r>
      <w:r>
        <w:tab/>
        <w:t>reasonable conduct money or witness expenses paid to a witness, whether or not the witness attended under subpoena</w:t>
      </w:r>
    </w:p>
    <w:p w14:paraId="1A368685" w14:textId="77777777" w:rsidR="003D4FF5" w:rsidRDefault="003D4FF5" w:rsidP="003D4FF5">
      <w:pPr>
        <w:pStyle w:val="aExamINumss"/>
        <w:keepNext/>
      </w:pPr>
      <w:r>
        <w:t>2</w:t>
      </w:r>
      <w:r>
        <w:tab/>
        <w:t>reasonable expenses of preparing and proving plans, drawings, models or photographs</w:t>
      </w:r>
    </w:p>
    <w:p w14:paraId="38D3490D" w14:textId="77777777" w:rsidR="003D4FF5" w:rsidRDefault="003D4FF5" w:rsidP="003D4FF5">
      <w:pPr>
        <w:pStyle w:val="AH5Sec"/>
      </w:pPr>
      <w:bookmarkStart w:id="574" w:name="_Toc185514190"/>
      <w:r w:rsidRPr="00C8328B">
        <w:rPr>
          <w:rStyle w:val="CharSectNo"/>
        </w:rPr>
        <w:t>1737</w:t>
      </w:r>
      <w:r>
        <w:tab/>
        <w:t>Costs—solicitor advocate</w:t>
      </w:r>
      <w:bookmarkEnd w:id="574"/>
    </w:p>
    <w:p w14:paraId="1CA63C0F" w14:textId="77777777" w:rsidR="003D4FF5" w:rsidRDefault="003D4FF5" w:rsidP="00AF0A5C">
      <w:pPr>
        <w:pStyle w:val="Amain"/>
        <w:keepNext/>
      </w:pPr>
      <w:r>
        <w:tab/>
        <w:t>(1)</w:t>
      </w:r>
      <w:r>
        <w:tab/>
        <w:t>This rule applies if a solicitor appears on a trial alone or instructed by a partner or employee.</w:t>
      </w:r>
    </w:p>
    <w:p w14:paraId="305AD81A" w14:textId="77777777" w:rsidR="003D4FF5" w:rsidRDefault="003D4FF5" w:rsidP="003D4FF5">
      <w:pPr>
        <w:pStyle w:val="Amain"/>
      </w:pPr>
      <w:r>
        <w:tab/>
        <w:t>(2)</w:t>
      </w:r>
      <w:r>
        <w:tab/>
        <w:t>The registrar must not allow the solicitor or partner a fee for preparing a brief.</w:t>
      </w:r>
    </w:p>
    <w:p w14:paraId="28213051" w14:textId="77777777" w:rsidR="003D4FF5" w:rsidRDefault="003D4FF5" w:rsidP="003D4FF5">
      <w:pPr>
        <w:pStyle w:val="Amain"/>
      </w:pPr>
      <w:r>
        <w:tab/>
        <w:t>(3)</w:t>
      </w:r>
      <w:r>
        <w:tab/>
        <w:t>The registrar may allow a single fee for preparing for the trial.</w:t>
      </w:r>
    </w:p>
    <w:p w14:paraId="1C476939" w14:textId="77777777" w:rsidR="003D4FF5" w:rsidRDefault="003D4FF5" w:rsidP="003D4FF5">
      <w:pPr>
        <w:pStyle w:val="AH5Sec"/>
      </w:pPr>
      <w:bookmarkStart w:id="575" w:name="_Toc185514191"/>
      <w:r w:rsidRPr="00C8328B">
        <w:rPr>
          <w:rStyle w:val="CharSectNo"/>
        </w:rPr>
        <w:t>1738</w:t>
      </w:r>
      <w:r>
        <w:tab/>
        <w:t>Costs—retainer for counsel</w:t>
      </w:r>
      <w:bookmarkEnd w:id="575"/>
    </w:p>
    <w:p w14:paraId="7A9C625B" w14:textId="77777777" w:rsidR="003D4FF5" w:rsidRDefault="003D4FF5" w:rsidP="003D4FF5">
      <w:pPr>
        <w:pStyle w:val="Amainreturn"/>
      </w:pPr>
      <w:r>
        <w:t>In assessing costs on a party and party basis, the registrar must not allow a fee paid to counsel as a retainer.</w:t>
      </w:r>
    </w:p>
    <w:p w14:paraId="5C76352B" w14:textId="77777777" w:rsidR="003D4FF5" w:rsidRDefault="003D4FF5" w:rsidP="003D4FF5">
      <w:pPr>
        <w:pStyle w:val="AH5Sec"/>
      </w:pPr>
      <w:bookmarkStart w:id="576" w:name="_Toc185514192"/>
      <w:r w:rsidRPr="00C8328B">
        <w:rPr>
          <w:rStyle w:val="CharSectNo"/>
        </w:rPr>
        <w:t>1739</w:t>
      </w:r>
      <w:r>
        <w:tab/>
        <w:t>Costs—counsel’s fees for applications</w:t>
      </w:r>
      <w:bookmarkEnd w:id="576"/>
    </w:p>
    <w:p w14:paraId="3DE2930E" w14:textId="77777777" w:rsidR="003D4FF5" w:rsidRDefault="003D4FF5" w:rsidP="003D4FF5">
      <w:pPr>
        <w:pStyle w:val="Amain"/>
        <w:keepNext/>
      </w:pPr>
      <w:r>
        <w:tab/>
        <w:t>(1)</w:t>
      </w:r>
      <w:r>
        <w:tab/>
        <w:t>If the court certifies the use of counsel on an application in a proceeding, the registrar must allow counsel’s fees for the application.</w:t>
      </w:r>
    </w:p>
    <w:p w14:paraId="3830512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30A659E7" w14:textId="77777777"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14:paraId="78D3BBBF" w14:textId="77777777" w:rsidR="003D4FF5" w:rsidRPr="00C46011" w:rsidRDefault="003D4FF5" w:rsidP="003D4FF5">
      <w:pPr>
        <w:pStyle w:val="AH5Sec"/>
      </w:pPr>
      <w:bookmarkStart w:id="577" w:name="_Toc185514193"/>
      <w:r w:rsidRPr="00C8328B">
        <w:rPr>
          <w:rStyle w:val="CharSectNo"/>
        </w:rPr>
        <w:t>1740</w:t>
      </w:r>
      <w:r w:rsidRPr="00C46011">
        <w:tab/>
        <w:t>Costs—fixed costs for winding-up application</w:t>
      </w:r>
      <w:bookmarkEnd w:id="577"/>
    </w:p>
    <w:p w14:paraId="6DD67D81" w14:textId="77777777"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14:paraId="5899A616" w14:textId="77777777" w:rsidR="003D4FF5" w:rsidRPr="00C46011" w:rsidRDefault="003D4FF5" w:rsidP="003D4FF5">
      <w:pPr>
        <w:pStyle w:val="Apara"/>
      </w:pPr>
      <w:r w:rsidRPr="00C46011">
        <w:tab/>
        <w:t>(a)</w:t>
      </w:r>
      <w:r w:rsidRPr="00C46011">
        <w:tab/>
        <w:t>the court orders the company to be wound up; or</w:t>
      </w:r>
    </w:p>
    <w:p w14:paraId="19858D4F" w14:textId="77777777" w:rsidR="003D4FF5" w:rsidRPr="00C46011" w:rsidRDefault="003D4FF5" w:rsidP="003D4FF5">
      <w:pPr>
        <w:pStyle w:val="Apara"/>
      </w:pPr>
      <w:r w:rsidRPr="00C46011">
        <w:tab/>
        <w:t>(b)</w:t>
      </w:r>
      <w:r w:rsidRPr="00C46011">
        <w:tab/>
        <w:t>the applicant discontinues the application on a condition that the company pay an amount to the applicant.</w:t>
      </w:r>
    </w:p>
    <w:p w14:paraId="338AD815" w14:textId="77777777"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14:paraId="709062EF" w14:textId="77777777"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14:paraId="6E306BB3" w14:textId="77777777"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14:paraId="52A09C0D" w14:textId="77777777"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14:paraId="768F7975" w14:textId="77777777" w:rsidR="003D4FF5" w:rsidRDefault="003D4FF5" w:rsidP="003D4FF5">
      <w:pPr>
        <w:pStyle w:val="aNote"/>
      </w:pPr>
      <w:r w:rsidRPr="000036CC">
        <w:rPr>
          <w:rStyle w:val="charItals"/>
        </w:rPr>
        <w:t>Note</w:t>
      </w:r>
      <w:r w:rsidRPr="000036CC">
        <w:rPr>
          <w:rStyle w:val="charItals"/>
        </w:rPr>
        <w:tab/>
      </w:r>
      <w:r w:rsidRPr="00C46011">
        <w:t>See r 1702 (Costs—agreement about costs).</w:t>
      </w:r>
    </w:p>
    <w:p w14:paraId="79337C6E" w14:textId="77777777" w:rsidR="003D4FF5" w:rsidRPr="00AD5834" w:rsidRDefault="003D4FF5" w:rsidP="003D4FF5">
      <w:pPr>
        <w:pStyle w:val="AH5Sec"/>
      </w:pPr>
      <w:bookmarkStart w:id="578" w:name="_Toc185514194"/>
      <w:r w:rsidRPr="00C8328B">
        <w:rPr>
          <w:rStyle w:val="CharSectNo"/>
        </w:rPr>
        <w:t>1741</w:t>
      </w:r>
      <w:r w:rsidRPr="00AD5834">
        <w:tab/>
        <w:t>Costs—fixed costs for enforcement order</w:t>
      </w:r>
      <w:bookmarkEnd w:id="578"/>
    </w:p>
    <w:p w14:paraId="47397CC6" w14:textId="77777777"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14:paraId="037498AB" w14:textId="77777777"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14:paraId="2B117858" w14:textId="77777777"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14:paraId="58427F7D" w14:textId="77777777" w:rsidR="003D4FF5" w:rsidRPr="00AD5834" w:rsidRDefault="003D4FF5" w:rsidP="003D4FF5">
      <w:pPr>
        <w:pStyle w:val="Apara"/>
      </w:pPr>
      <w:r w:rsidRPr="00AD5834">
        <w:tab/>
        <w:t>(b)</w:t>
      </w:r>
      <w:r w:rsidRPr="00AD5834">
        <w:tab/>
        <w:t>in any other case—schedule 3, part 3.4, column 4.</w:t>
      </w:r>
    </w:p>
    <w:p w14:paraId="0A21CF1B" w14:textId="77777777" w:rsidR="003D4FF5" w:rsidRPr="00AD5834" w:rsidRDefault="003D4FF5" w:rsidP="003D4FF5">
      <w:pPr>
        <w:pStyle w:val="Amain"/>
      </w:pPr>
      <w:r w:rsidRPr="00AD5834">
        <w:tab/>
        <w:t>(3)</w:t>
      </w:r>
      <w:r w:rsidRPr="00AD5834">
        <w:tab/>
        <w:t>The costs allowed under subrule (2) are inclusive of any GST payable in relation to the work.</w:t>
      </w:r>
    </w:p>
    <w:p w14:paraId="4E12F97A" w14:textId="77777777"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14:paraId="48F99FC7" w14:textId="77777777"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14:paraId="2B7362B2" w14:textId="77777777"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14:paraId="049E127F" w14:textId="77777777" w:rsidR="003D4FF5" w:rsidRPr="00C8328B" w:rsidRDefault="003D4FF5" w:rsidP="003D4FF5">
      <w:pPr>
        <w:pStyle w:val="AH3Div"/>
      </w:pPr>
      <w:bookmarkStart w:id="579" w:name="_Toc185514195"/>
      <w:r w:rsidRPr="00C8328B">
        <w:rPr>
          <w:rStyle w:val="CharDivNo"/>
        </w:rPr>
        <w:t>Division 2.17.3</w:t>
      </w:r>
      <w:r>
        <w:tab/>
      </w:r>
      <w:r w:rsidRPr="00C8328B">
        <w:rPr>
          <w:rStyle w:val="CharDivText"/>
        </w:rPr>
        <w:t>Costs of party in proceeding</w:t>
      </w:r>
      <w:bookmarkEnd w:id="579"/>
    </w:p>
    <w:p w14:paraId="3F383EB8" w14:textId="77777777" w:rsidR="003D4FF5" w:rsidRDefault="003D4FF5" w:rsidP="003D4FF5">
      <w:pPr>
        <w:pStyle w:val="AH5Sec"/>
      </w:pPr>
      <w:bookmarkStart w:id="580" w:name="_Toc185514196"/>
      <w:r w:rsidRPr="00C8328B">
        <w:rPr>
          <w:rStyle w:val="CharSectNo"/>
        </w:rPr>
        <w:t>1750</w:t>
      </w:r>
      <w:r>
        <w:tab/>
        <w:t>Application—div 2.17.3</w:t>
      </w:r>
      <w:bookmarkEnd w:id="580"/>
    </w:p>
    <w:p w14:paraId="6BCAF59A" w14:textId="77777777"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14:paraId="643D1033" w14:textId="0D222CD4"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55" w:tooltip="A2001-14" w:history="1">
        <w:r w:rsidRPr="005A5F43">
          <w:rPr>
            <w:rStyle w:val="charCitHyperlinkAbbrev"/>
          </w:rPr>
          <w:t>Legislation Act</w:t>
        </w:r>
      </w:hyperlink>
      <w:r>
        <w:t>, s 98).</w:t>
      </w:r>
    </w:p>
    <w:p w14:paraId="15A36D17" w14:textId="77777777" w:rsidR="003D4FF5" w:rsidRDefault="003D4FF5" w:rsidP="003D4FF5">
      <w:pPr>
        <w:pStyle w:val="AH5Sec"/>
      </w:pPr>
      <w:bookmarkStart w:id="581" w:name="_Toc185514197"/>
      <w:r w:rsidRPr="00C8328B">
        <w:rPr>
          <w:rStyle w:val="CharSectNo"/>
        </w:rPr>
        <w:lastRenderedPageBreak/>
        <w:t>1751</w:t>
      </w:r>
      <w:r>
        <w:tab/>
        <w:t>Costs—assessed on party and party basis</w:t>
      </w:r>
      <w:bookmarkEnd w:id="581"/>
    </w:p>
    <w:p w14:paraId="399CC8CC" w14:textId="77777777" w:rsidR="003D4FF5" w:rsidRDefault="003D4FF5" w:rsidP="003D4FF5">
      <w:pPr>
        <w:pStyle w:val="Amain"/>
        <w:keepNext/>
      </w:pPr>
      <w:r>
        <w:tab/>
        <w:t>(1)</w:t>
      </w:r>
      <w:r>
        <w:tab/>
        <w:t>Unless a territory law or an order of the court otherwise provides, the registrar must assess costs on a party and party basis.</w:t>
      </w:r>
    </w:p>
    <w:p w14:paraId="4ED011DA" w14:textId="71D25E2B"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56" w:tooltip="A2001-14" w:history="1">
        <w:r w:rsidRPr="005A5F43">
          <w:rPr>
            <w:rStyle w:val="charCitHyperlinkAbbrev"/>
          </w:rPr>
          <w:t>Legislation Act</w:t>
        </w:r>
      </w:hyperlink>
      <w:r>
        <w:t>, s 98).</w:t>
      </w:r>
    </w:p>
    <w:p w14:paraId="1F49A693"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14:paraId="678808BA" w14:textId="77777777"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14:paraId="68C3B1AB" w14:textId="77777777" w:rsidR="003D4FF5" w:rsidRDefault="003D4FF5" w:rsidP="003D4FF5">
      <w:pPr>
        <w:pStyle w:val="AH5Sec"/>
      </w:pPr>
      <w:bookmarkStart w:id="582" w:name="_Toc185514198"/>
      <w:r w:rsidRPr="00C8328B">
        <w:rPr>
          <w:rStyle w:val="CharSectNo"/>
        </w:rPr>
        <w:t>1752</w:t>
      </w:r>
      <w:r>
        <w:tab/>
        <w:t>Costs—assessed on solicitor and client etc basis</w:t>
      </w:r>
      <w:bookmarkEnd w:id="582"/>
    </w:p>
    <w:p w14:paraId="3683CEC1" w14:textId="77777777" w:rsidR="003D4FF5" w:rsidRDefault="003D4FF5" w:rsidP="00AF0A5C">
      <w:pPr>
        <w:pStyle w:val="Amain"/>
        <w:keepNext/>
      </w:pPr>
      <w:r>
        <w:tab/>
        <w:t>(1)</w:t>
      </w:r>
      <w:r>
        <w:tab/>
        <w:t>The court may order costs to be assessed—</w:t>
      </w:r>
    </w:p>
    <w:p w14:paraId="799F8F96" w14:textId="77777777" w:rsidR="003D4FF5" w:rsidRDefault="003D4FF5" w:rsidP="003D4FF5">
      <w:pPr>
        <w:pStyle w:val="Apara"/>
      </w:pPr>
      <w:r>
        <w:tab/>
        <w:t>(a)</w:t>
      </w:r>
      <w:r>
        <w:tab/>
        <w:t>on a solicitor and client basis; or</w:t>
      </w:r>
    </w:p>
    <w:p w14:paraId="795466A6" w14:textId="77777777" w:rsidR="003D4FF5" w:rsidRDefault="003D4FF5" w:rsidP="003D4FF5">
      <w:pPr>
        <w:pStyle w:val="Apara"/>
      </w:pPr>
      <w:r>
        <w:tab/>
        <w:t>(b)</w:t>
      </w:r>
      <w:r>
        <w:tab/>
        <w:t>on an indemnity basis; or</w:t>
      </w:r>
    </w:p>
    <w:p w14:paraId="35F2E392" w14:textId="77777777" w:rsidR="003D4FF5" w:rsidRDefault="003D4FF5" w:rsidP="003D4FF5">
      <w:pPr>
        <w:pStyle w:val="Apara"/>
        <w:keepNext/>
      </w:pPr>
      <w:r>
        <w:tab/>
        <w:t>(c)</w:t>
      </w:r>
      <w:r>
        <w:tab/>
        <w:t>on any other basis it considers appropriate.</w:t>
      </w:r>
    </w:p>
    <w:p w14:paraId="421115D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48046C8" w14:textId="77777777" w:rsidR="003D4FF5" w:rsidRDefault="003D4FF5" w:rsidP="003D4FF5">
      <w:pPr>
        <w:pStyle w:val="Amain"/>
        <w:keepNext/>
      </w:pPr>
      <w:r>
        <w:tab/>
        <w:t>(2)</w:t>
      </w:r>
      <w:r>
        <w:tab/>
        <w:t>Without limiting subrule (1), the court may order that costs be assessed on a solicitor and client basis if it orders payment of costs—</w:t>
      </w:r>
    </w:p>
    <w:p w14:paraId="6828206D" w14:textId="77777777" w:rsidR="003D4FF5" w:rsidRDefault="003D4FF5" w:rsidP="003D4FF5">
      <w:pPr>
        <w:pStyle w:val="Apara"/>
      </w:pPr>
      <w:r>
        <w:tab/>
        <w:t>(a)</w:t>
      </w:r>
      <w:r>
        <w:tab/>
        <w:t>out of a fund; or</w:t>
      </w:r>
    </w:p>
    <w:p w14:paraId="6670D128" w14:textId="77777777" w:rsidR="003D4FF5" w:rsidRDefault="003D4FF5" w:rsidP="003D4FF5">
      <w:pPr>
        <w:pStyle w:val="Apara"/>
      </w:pPr>
      <w:r>
        <w:tab/>
        <w:t>(b)</w:t>
      </w:r>
      <w:r>
        <w:tab/>
        <w:t>to a party who sues or is sued as a trustee; or</w:t>
      </w:r>
    </w:p>
    <w:p w14:paraId="1114EA63" w14:textId="77777777" w:rsidR="003D4FF5" w:rsidRDefault="003D4FF5" w:rsidP="003D4FF5">
      <w:pPr>
        <w:pStyle w:val="Apara"/>
      </w:pPr>
      <w:r>
        <w:tab/>
        <w:t>(c)</w:t>
      </w:r>
      <w:r>
        <w:tab/>
        <w:t>of an application in a proceeding brought for—</w:t>
      </w:r>
    </w:p>
    <w:p w14:paraId="6A709F4B" w14:textId="77777777" w:rsidR="003D4FF5" w:rsidRDefault="003D4FF5" w:rsidP="003D4FF5">
      <w:pPr>
        <w:pStyle w:val="Asubpara"/>
      </w:pPr>
      <w:r>
        <w:tab/>
        <w:t>(i)</w:t>
      </w:r>
      <w:r>
        <w:tab/>
        <w:t>noncompliance with an order of the court; or</w:t>
      </w:r>
    </w:p>
    <w:p w14:paraId="7D9BFD73" w14:textId="77777777" w:rsidR="003D4FF5" w:rsidRDefault="003D4FF5" w:rsidP="003D4FF5">
      <w:pPr>
        <w:pStyle w:val="Asubpara"/>
      </w:pPr>
      <w:r>
        <w:tab/>
        <w:t>(ii)</w:t>
      </w:r>
      <w:r>
        <w:tab/>
        <w:t>breach of an undertaking given to the court.</w:t>
      </w:r>
    </w:p>
    <w:p w14:paraId="6457129F" w14:textId="77777777"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14:paraId="7B7242B0" w14:textId="77777777" w:rsidR="003D4FF5" w:rsidRDefault="003D4FF5" w:rsidP="003D4FF5">
      <w:pPr>
        <w:pStyle w:val="Apara"/>
      </w:pPr>
      <w:r>
        <w:tab/>
        <w:t>(a)</w:t>
      </w:r>
      <w:r>
        <w:tab/>
        <w:t>the costs allowable under rule 1722 (Costs—solicitors’ costs generally); and</w:t>
      </w:r>
    </w:p>
    <w:p w14:paraId="69754D7A" w14:textId="77777777" w:rsidR="003D4FF5" w:rsidRDefault="003D4FF5" w:rsidP="003D4FF5">
      <w:pPr>
        <w:pStyle w:val="Apara"/>
      </w:pPr>
      <w:r>
        <w:tab/>
        <w:t>(b)</w:t>
      </w:r>
      <w:r>
        <w:tab/>
        <w:t>charges ordinarily payable by a client to a solicitor for the work.</w:t>
      </w:r>
    </w:p>
    <w:p w14:paraId="542A1EC1" w14:textId="77777777" w:rsidR="003D4FF5" w:rsidRDefault="003D4FF5" w:rsidP="003D4FF5">
      <w:pPr>
        <w:pStyle w:val="Amain"/>
      </w:pPr>
      <w:r>
        <w:tab/>
        <w:t>(4)</w:t>
      </w:r>
      <w:r>
        <w:tab/>
        <w:t>In assessing costs on an indemnity basis, the registrar—</w:t>
      </w:r>
    </w:p>
    <w:p w14:paraId="6EEABF5B" w14:textId="77777777"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14:paraId="3EBBFFD1" w14:textId="77777777" w:rsidR="003D4FF5" w:rsidRDefault="003D4FF5" w:rsidP="003D4FF5">
      <w:pPr>
        <w:pStyle w:val="Apara"/>
      </w:pPr>
      <w:r>
        <w:tab/>
        <w:t>(b)</w:t>
      </w:r>
      <w:r>
        <w:tab/>
        <w:t>may have regard to any costs agreement between the party to whom the costs are payable and the party’s solicitor.</w:t>
      </w:r>
    </w:p>
    <w:p w14:paraId="4D51D535" w14:textId="77777777" w:rsidR="003D4FF5" w:rsidRDefault="003D4FF5" w:rsidP="003D4FF5">
      <w:pPr>
        <w:pStyle w:val="AH5Sec"/>
      </w:pPr>
      <w:bookmarkStart w:id="583" w:name="_Toc185514199"/>
      <w:r w:rsidRPr="00C8328B">
        <w:rPr>
          <w:rStyle w:val="CharSectNo"/>
        </w:rPr>
        <w:t>1753</w:t>
      </w:r>
      <w:r>
        <w:tab/>
        <w:t>Costs—legal practitioner’s delay etc</w:t>
      </w:r>
      <w:bookmarkEnd w:id="583"/>
    </w:p>
    <w:p w14:paraId="576D3BC0" w14:textId="77777777" w:rsidR="003D4FF5" w:rsidRDefault="003D4FF5" w:rsidP="003D4FF5">
      <w:pPr>
        <w:pStyle w:val="Amain"/>
      </w:pPr>
      <w:r>
        <w:tab/>
        <w:t>(1)</w:t>
      </w:r>
      <w:r>
        <w:tab/>
        <w:t>This rule applies to a legal practitioner acting for a party to a proceeding if—</w:t>
      </w:r>
    </w:p>
    <w:p w14:paraId="149A2B5D" w14:textId="77777777" w:rsidR="003D4FF5" w:rsidRDefault="003D4FF5" w:rsidP="003D4FF5">
      <w:pPr>
        <w:pStyle w:val="Apara"/>
      </w:pPr>
      <w:r>
        <w:tab/>
        <w:t>(a)</w:t>
      </w:r>
      <w:r>
        <w:tab/>
        <w:t>the hearing of the proceeding, or an application in the proceeding, did not proceed, and a party to the proceeding incurred costs, because the practitioner—</w:t>
      </w:r>
    </w:p>
    <w:p w14:paraId="797E56DD" w14:textId="77777777" w:rsidR="003D4FF5" w:rsidRDefault="003D4FF5" w:rsidP="003D4FF5">
      <w:pPr>
        <w:pStyle w:val="Asubpara"/>
      </w:pPr>
      <w:r>
        <w:tab/>
        <w:t>(i)</w:t>
      </w:r>
      <w:r>
        <w:tab/>
        <w:t>failed to attend the hearing either personally or by someone on his or her behalf; or</w:t>
      </w:r>
    </w:p>
    <w:p w14:paraId="7ED75272" w14:textId="77777777" w:rsidR="003D4FF5" w:rsidRDefault="003D4FF5" w:rsidP="003D4FF5">
      <w:pPr>
        <w:pStyle w:val="Asubpara"/>
      </w:pPr>
      <w:r>
        <w:tab/>
        <w:t>(ii)</w:t>
      </w:r>
      <w:r>
        <w:tab/>
        <w:t>failed to file a document; or</w:t>
      </w:r>
    </w:p>
    <w:p w14:paraId="2582CA7D" w14:textId="77777777" w:rsidR="003D4FF5" w:rsidRDefault="003D4FF5" w:rsidP="003D4FF5">
      <w:pPr>
        <w:pStyle w:val="Asubpara"/>
      </w:pPr>
      <w:r>
        <w:tab/>
        <w:t>(iii)</w:t>
      </w:r>
      <w:r>
        <w:tab/>
        <w:t>failed to deliver a document or thing necessary for use in the hearing; or</w:t>
      </w:r>
    </w:p>
    <w:p w14:paraId="259EE69E" w14:textId="77777777" w:rsidR="003D4FF5" w:rsidRDefault="003D4FF5" w:rsidP="003D4FF5">
      <w:pPr>
        <w:pStyle w:val="Asubpara"/>
      </w:pPr>
      <w:r>
        <w:tab/>
        <w:t>(iv)</w:t>
      </w:r>
      <w:r>
        <w:tab/>
        <w:t>failed to do anything else required to be done under these rules or in accordance with the practice of the court; or</w:t>
      </w:r>
    </w:p>
    <w:p w14:paraId="5C0200A1" w14:textId="77777777" w:rsidR="003D4FF5" w:rsidRDefault="003D4FF5" w:rsidP="003D4FF5">
      <w:pPr>
        <w:pStyle w:val="Apara"/>
      </w:pPr>
      <w:r>
        <w:tab/>
        <w:t>(b)</w:t>
      </w:r>
      <w:r>
        <w:tab/>
        <w:t>a party to the proceeding incurred costs because of the delay, misconduct or negligence of the practitioner.</w:t>
      </w:r>
    </w:p>
    <w:p w14:paraId="53DF1A65" w14:textId="77777777" w:rsidR="003D4FF5" w:rsidRDefault="003D4FF5" w:rsidP="003D4FF5">
      <w:pPr>
        <w:pStyle w:val="Amain"/>
        <w:keepNext/>
      </w:pPr>
      <w:r>
        <w:lastRenderedPageBreak/>
        <w:tab/>
        <w:t>(2)</w:t>
      </w:r>
      <w:r>
        <w:tab/>
        <w:t>The court may order the legal practitioner—</w:t>
      </w:r>
    </w:p>
    <w:p w14:paraId="310482D6" w14:textId="77777777" w:rsidR="003D4FF5" w:rsidRDefault="003D4FF5" w:rsidP="003D4FF5">
      <w:pPr>
        <w:pStyle w:val="Apara"/>
      </w:pPr>
      <w:r>
        <w:tab/>
        <w:t>(a)</w:t>
      </w:r>
      <w:r>
        <w:tab/>
        <w:t>to repay to a party all or part of any costs ordered to be paid by the party to another party because of the practitioner’s conduct; or</w:t>
      </w:r>
    </w:p>
    <w:p w14:paraId="151C2609" w14:textId="77777777" w:rsidR="003D4FF5" w:rsidRDefault="003D4FF5" w:rsidP="003D4FF5">
      <w:pPr>
        <w:pStyle w:val="Apara"/>
      </w:pPr>
      <w:r>
        <w:tab/>
        <w:t>(b)</w:t>
      </w:r>
      <w:r>
        <w:tab/>
        <w:t>to pay the costs incurred by any party because of the practitioner’s conduct.</w:t>
      </w:r>
    </w:p>
    <w:p w14:paraId="73EBD60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97E8B35" w14:textId="77777777"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14:paraId="46AF40CD" w14:textId="77777777" w:rsidR="003D4FF5" w:rsidRDefault="003D4FF5" w:rsidP="003D4FF5">
      <w:pPr>
        <w:pStyle w:val="AH5Sec"/>
      </w:pPr>
      <w:bookmarkStart w:id="584" w:name="_Toc185514200"/>
      <w:r w:rsidRPr="00C8328B">
        <w:rPr>
          <w:rStyle w:val="CharSectNo"/>
        </w:rPr>
        <w:t>1754</w:t>
      </w:r>
      <w:r>
        <w:tab/>
        <w:t>Costs—disallowance of costs for vexatious document etc</w:t>
      </w:r>
      <w:bookmarkEnd w:id="584"/>
    </w:p>
    <w:p w14:paraId="4C55DC6D" w14:textId="77777777" w:rsidR="003D4FF5" w:rsidRDefault="003D4FF5" w:rsidP="003D4FF5">
      <w:pPr>
        <w:pStyle w:val="Amain"/>
      </w:pPr>
      <w:r>
        <w:tab/>
        <w:t>(1)</w:t>
      </w:r>
      <w:r>
        <w:tab/>
        <w:t>The court may order that the costs of anything done, or any document prepared or used, in a proceeding be disallowed completely or partly if it considers—</w:t>
      </w:r>
    </w:p>
    <w:p w14:paraId="14F62747" w14:textId="77777777" w:rsidR="003D4FF5" w:rsidRDefault="003D4FF5" w:rsidP="003D4FF5">
      <w:pPr>
        <w:pStyle w:val="Apara"/>
        <w:keepNext/>
      </w:pPr>
      <w:r>
        <w:tab/>
        <w:t>(a)</w:t>
      </w:r>
      <w:r>
        <w:tab/>
        <w:t>for something done—any of the following:</w:t>
      </w:r>
    </w:p>
    <w:p w14:paraId="424D94ED" w14:textId="77777777" w:rsidR="003D4FF5" w:rsidRDefault="003D4FF5" w:rsidP="003D4FF5">
      <w:pPr>
        <w:pStyle w:val="Asubpara"/>
      </w:pPr>
      <w:r>
        <w:tab/>
        <w:t>(i)</w:t>
      </w:r>
      <w:r>
        <w:tab/>
        <w:t xml:space="preserve">that doing the thing was, completely or partly, improper, vexatious or unreasonable; </w:t>
      </w:r>
    </w:p>
    <w:p w14:paraId="35572289" w14:textId="77777777" w:rsidR="003D4FF5" w:rsidRDefault="003D4FF5" w:rsidP="003D4FF5">
      <w:pPr>
        <w:pStyle w:val="Asubpara"/>
      </w:pPr>
      <w:r>
        <w:tab/>
        <w:t>(ii)</w:t>
      </w:r>
      <w:r>
        <w:tab/>
        <w:t xml:space="preserve">that the thing was done because of misconduct or negligence; </w:t>
      </w:r>
    </w:p>
    <w:p w14:paraId="6AD4C4D3" w14:textId="77777777" w:rsidR="003D4FF5" w:rsidRDefault="003D4FF5" w:rsidP="003D4FF5">
      <w:pPr>
        <w:pStyle w:val="Asubpara"/>
      </w:pPr>
      <w:r>
        <w:tab/>
        <w:t>(iii)</w:t>
      </w:r>
      <w:r>
        <w:tab/>
        <w:t>that doing the thing caused unnecessary expense; or</w:t>
      </w:r>
    </w:p>
    <w:p w14:paraId="7F8FB16F" w14:textId="77777777" w:rsidR="003D4FF5" w:rsidRDefault="003D4FF5" w:rsidP="003D4FF5">
      <w:pPr>
        <w:pStyle w:val="Apara"/>
        <w:keepNext/>
      </w:pPr>
      <w:r>
        <w:tab/>
        <w:t>(b)</w:t>
      </w:r>
      <w:r>
        <w:tab/>
        <w:t>for a document—any of the following:</w:t>
      </w:r>
    </w:p>
    <w:p w14:paraId="4696E6FC" w14:textId="77777777" w:rsidR="003D4FF5" w:rsidRDefault="003D4FF5" w:rsidP="003D4FF5">
      <w:pPr>
        <w:pStyle w:val="Asubpara"/>
      </w:pPr>
      <w:r>
        <w:tab/>
        <w:t>(i)</w:t>
      </w:r>
      <w:r>
        <w:tab/>
        <w:t>that the document was, completely or partly, improper, vexatious or unreasonable;</w:t>
      </w:r>
    </w:p>
    <w:p w14:paraId="26282E89" w14:textId="77777777" w:rsidR="003D4FF5" w:rsidRDefault="003D4FF5" w:rsidP="003D4FF5">
      <w:pPr>
        <w:pStyle w:val="Asubpara"/>
      </w:pPr>
      <w:r>
        <w:tab/>
        <w:t>(ii)</w:t>
      </w:r>
      <w:r>
        <w:tab/>
        <w:t>that the document was prepared or used because of misconduct or negligence;</w:t>
      </w:r>
    </w:p>
    <w:p w14:paraId="6E8E0134" w14:textId="77777777" w:rsidR="003D4FF5" w:rsidRDefault="003D4FF5" w:rsidP="003D4FF5">
      <w:pPr>
        <w:pStyle w:val="Asubpara"/>
      </w:pPr>
      <w:r>
        <w:tab/>
        <w:t>(iii)</w:t>
      </w:r>
      <w:r>
        <w:tab/>
        <w:t>that the document was unnecessarily lengthy;</w:t>
      </w:r>
    </w:p>
    <w:p w14:paraId="58D11403" w14:textId="77777777" w:rsidR="003D4FF5" w:rsidRDefault="003D4FF5" w:rsidP="003D4FF5">
      <w:pPr>
        <w:pStyle w:val="Asubpara"/>
        <w:keepNext/>
      </w:pPr>
      <w:r>
        <w:lastRenderedPageBreak/>
        <w:tab/>
        <w:t>(iv)</w:t>
      </w:r>
      <w:r>
        <w:tab/>
        <w:t>if there is an approved form for a document—that the document substantially departs from the approved form.</w:t>
      </w:r>
    </w:p>
    <w:p w14:paraId="67F9951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CDAC4E3" w14:textId="77777777"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14:paraId="1FC0379F" w14:textId="77777777" w:rsidR="003D4FF5" w:rsidRDefault="003D4FF5" w:rsidP="003D4FF5">
      <w:pPr>
        <w:pStyle w:val="Apara"/>
        <w:keepNext/>
      </w:pPr>
      <w:r>
        <w:tab/>
        <w:t>(a)</w:t>
      </w:r>
      <w:r>
        <w:tab/>
        <w:t>for something done—any of the following:</w:t>
      </w:r>
    </w:p>
    <w:p w14:paraId="2C228BAE" w14:textId="77777777" w:rsidR="003D4FF5" w:rsidRDefault="003D4FF5" w:rsidP="003D4FF5">
      <w:pPr>
        <w:pStyle w:val="Asubpara"/>
      </w:pPr>
      <w:r>
        <w:tab/>
        <w:t>(i)</w:t>
      </w:r>
      <w:r>
        <w:tab/>
        <w:t xml:space="preserve">that doing the thing was, completely or partly, improper, vexatious or unreasonable; </w:t>
      </w:r>
    </w:p>
    <w:p w14:paraId="44555F89" w14:textId="77777777" w:rsidR="003D4FF5" w:rsidRDefault="003D4FF5" w:rsidP="003D4FF5">
      <w:pPr>
        <w:pStyle w:val="Asubpara"/>
      </w:pPr>
      <w:r>
        <w:tab/>
        <w:t>(ii)</w:t>
      </w:r>
      <w:r>
        <w:tab/>
        <w:t xml:space="preserve">that the thing was done because of misconduct or negligence; </w:t>
      </w:r>
    </w:p>
    <w:p w14:paraId="1A3EF5FF" w14:textId="77777777" w:rsidR="003D4FF5" w:rsidRDefault="003D4FF5" w:rsidP="003D4FF5">
      <w:pPr>
        <w:pStyle w:val="Asubpara"/>
      </w:pPr>
      <w:r>
        <w:tab/>
        <w:t>(iii)</w:t>
      </w:r>
      <w:r>
        <w:tab/>
        <w:t>that doing the thing caused unnecessary expense; or</w:t>
      </w:r>
    </w:p>
    <w:p w14:paraId="7C6FE856" w14:textId="77777777" w:rsidR="003D4FF5" w:rsidRDefault="003D4FF5" w:rsidP="003D4FF5">
      <w:pPr>
        <w:pStyle w:val="Apara"/>
        <w:keepNext/>
      </w:pPr>
      <w:r>
        <w:tab/>
        <w:t>(b)</w:t>
      </w:r>
      <w:r>
        <w:tab/>
        <w:t>for a document—any of the following:</w:t>
      </w:r>
    </w:p>
    <w:p w14:paraId="6C312DFD" w14:textId="77777777" w:rsidR="003D4FF5" w:rsidRDefault="003D4FF5" w:rsidP="003D4FF5">
      <w:pPr>
        <w:pStyle w:val="Asubpara"/>
      </w:pPr>
      <w:r>
        <w:tab/>
        <w:t>(i)</w:t>
      </w:r>
      <w:r>
        <w:tab/>
        <w:t>that the document was, completely or partly, improper, vexatious or unreasonable;</w:t>
      </w:r>
    </w:p>
    <w:p w14:paraId="35BE41C4" w14:textId="77777777" w:rsidR="003D4FF5" w:rsidRDefault="003D4FF5" w:rsidP="003D4FF5">
      <w:pPr>
        <w:pStyle w:val="Asubpara"/>
      </w:pPr>
      <w:r>
        <w:tab/>
        <w:t>(ii)</w:t>
      </w:r>
      <w:r>
        <w:tab/>
        <w:t>that the document was prepared or used because of misconduct or negligence;</w:t>
      </w:r>
    </w:p>
    <w:p w14:paraId="5EEDC39C" w14:textId="77777777" w:rsidR="003D4FF5" w:rsidRDefault="003D4FF5" w:rsidP="003D4FF5">
      <w:pPr>
        <w:pStyle w:val="Asubpara"/>
      </w:pPr>
      <w:r>
        <w:tab/>
        <w:t>(iii)</w:t>
      </w:r>
      <w:r>
        <w:tab/>
        <w:t>that the document was unnecessarily lengthy;</w:t>
      </w:r>
    </w:p>
    <w:p w14:paraId="6276157B" w14:textId="77777777" w:rsidR="003D4FF5" w:rsidRDefault="003D4FF5" w:rsidP="003D4FF5">
      <w:pPr>
        <w:pStyle w:val="Asubpara"/>
        <w:keepNext/>
      </w:pPr>
      <w:r>
        <w:tab/>
        <w:t>(iv)</w:t>
      </w:r>
      <w:r>
        <w:tab/>
        <w:t>if there is an approved form for a document—that the document substantially departs from the approved form.</w:t>
      </w:r>
    </w:p>
    <w:p w14:paraId="6722F968" w14:textId="77777777"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14:paraId="43C6EFEF" w14:textId="77777777" w:rsidR="003D4FF5" w:rsidRPr="00C8328B" w:rsidRDefault="003D4FF5" w:rsidP="003D4FF5">
      <w:pPr>
        <w:pStyle w:val="AH3Div"/>
      </w:pPr>
      <w:bookmarkStart w:id="585" w:name="_Toc185514201"/>
      <w:r w:rsidRPr="00C8328B">
        <w:rPr>
          <w:rStyle w:val="CharDivNo"/>
        </w:rPr>
        <w:lastRenderedPageBreak/>
        <w:t>Division 2.17.4</w:t>
      </w:r>
      <w:r>
        <w:tab/>
      </w:r>
      <w:r w:rsidRPr="00C8328B">
        <w:rPr>
          <w:rStyle w:val="CharDivText"/>
        </w:rPr>
        <w:t>Costs—registrar’s powers and discretion</w:t>
      </w:r>
      <w:bookmarkEnd w:id="585"/>
    </w:p>
    <w:p w14:paraId="41EF85E8" w14:textId="77777777" w:rsidR="003D4FF5" w:rsidRDefault="003D4FF5" w:rsidP="003D4FF5">
      <w:pPr>
        <w:pStyle w:val="AH5Sec"/>
      </w:pPr>
      <w:bookmarkStart w:id="586" w:name="_Toc185514202"/>
      <w:r w:rsidRPr="00C8328B">
        <w:rPr>
          <w:rStyle w:val="CharSectNo"/>
        </w:rPr>
        <w:t>1760</w:t>
      </w:r>
      <w:r>
        <w:tab/>
        <w:t>Costs—registrar’s general powers</w:t>
      </w:r>
      <w:bookmarkEnd w:id="586"/>
    </w:p>
    <w:p w14:paraId="1CF0E635" w14:textId="77777777" w:rsidR="003D4FF5" w:rsidRDefault="003D4FF5" w:rsidP="003D4FF5">
      <w:pPr>
        <w:pStyle w:val="Amainreturn"/>
        <w:keepNext/>
      </w:pPr>
      <w:r>
        <w:t>For assessing costs, the registrar may do any of the following:</w:t>
      </w:r>
    </w:p>
    <w:p w14:paraId="60BC3952" w14:textId="77777777" w:rsidR="003D4FF5" w:rsidRDefault="003D4FF5" w:rsidP="003D4FF5">
      <w:pPr>
        <w:pStyle w:val="Apara"/>
      </w:pPr>
      <w:r>
        <w:tab/>
        <w:t>(a)</w:t>
      </w:r>
      <w:r>
        <w:tab/>
        <w:t>if satisfied that a stamped copy of a bill of costs cannot be served within a reasonable time—dispense with service;</w:t>
      </w:r>
    </w:p>
    <w:p w14:paraId="2FEFF63A" w14:textId="77777777" w:rsidR="003D4FF5" w:rsidRDefault="003D4FF5" w:rsidP="003D4FF5">
      <w:pPr>
        <w:pStyle w:val="Apara"/>
      </w:pPr>
      <w:r>
        <w:tab/>
        <w:t>(b)</w:t>
      </w:r>
      <w:r>
        <w:tab/>
        <w:t>direct a party to subpoena someone to attend a hearing, or produce a document or thing, before the registrar;</w:t>
      </w:r>
    </w:p>
    <w:p w14:paraId="23C5D714" w14:textId="77777777"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14:paraId="77D8E318" w14:textId="77777777" w:rsidR="003D4FF5" w:rsidRDefault="003D4FF5" w:rsidP="003D4FF5">
      <w:pPr>
        <w:pStyle w:val="Apara"/>
        <w:spacing w:after="40"/>
      </w:pPr>
      <w:r>
        <w:tab/>
        <w:t>(d)</w:t>
      </w:r>
      <w:r>
        <w:tab/>
        <w:t>unless the court otherwise orders, extend or shorten the time for taking any step in the assessment;</w:t>
      </w:r>
    </w:p>
    <w:p w14:paraId="568CFED6" w14:textId="77777777" w:rsidR="003D4FF5" w:rsidRDefault="003D4FF5" w:rsidP="003D4FF5">
      <w:pPr>
        <w:pStyle w:val="Apara"/>
        <w:spacing w:after="40"/>
      </w:pPr>
      <w:r>
        <w:tab/>
        <w:t>(e)</w:t>
      </w:r>
      <w:r>
        <w:tab/>
        <w:t>administer an oath or receive an affirmation;</w:t>
      </w:r>
    </w:p>
    <w:p w14:paraId="7A193FF7" w14:textId="77777777" w:rsidR="003D4FF5" w:rsidRDefault="003D4FF5" w:rsidP="003D4FF5">
      <w:pPr>
        <w:pStyle w:val="Apara"/>
        <w:spacing w:after="40"/>
      </w:pPr>
      <w:r>
        <w:tab/>
        <w:t>(f)</w:t>
      </w:r>
      <w:r>
        <w:tab/>
        <w:t>examine witnesses;</w:t>
      </w:r>
    </w:p>
    <w:p w14:paraId="35B7D9F9" w14:textId="77777777" w:rsidR="003D4FF5" w:rsidRDefault="003D4FF5" w:rsidP="003D4FF5">
      <w:pPr>
        <w:pStyle w:val="Apara"/>
        <w:spacing w:after="40"/>
      </w:pPr>
      <w:r>
        <w:tab/>
        <w:t>(g)</w:t>
      </w:r>
      <w:r>
        <w:tab/>
        <w:t>direct or require a party to produce documents;</w:t>
      </w:r>
    </w:p>
    <w:p w14:paraId="6931E704" w14:textId="77777777" w:rsidR="003D4FF5" w:rsidRDefault="003D4FF5" w:rsidP="003D4FF5">
      <w:pPr>
        <w:pStyle w:val="Apara"/>
        <w:spacing w:after="40"/>
      </w:pPr>
      <w:r>
        <w:tab/>
        <w:t>(h)</w:t>
      </w:r>
      <w:r>
        <w:tab/>
        <w:t>give directions about the conduct of the assessment;</w:t>
      </w:r>
    </w:p>
    <w:p w14:paraId="3A78822F" w14:textId="77777777" w:rsidR="003D4FF5" w:rsidRDefault="003D4FF5" w:rsidP="003D4FF5">
      <w:pPr>
        <w:pStyle w:val="Apara"/>
        <w:spacing w:after="40"/>
      </w:pPr>
      <w:r>
        <w:tab/>
        <w:t>(i)</w:t>
      </w:r>
      <w:r>
        <w:tab/>
        <w:t>assess the costs in the absence of a party to the proceeding if the party does not appear at the time set for the assessment;</w:t>
      </w:r>
    </w:p>
    <w:p w14:paraId="3C2716F9" w14:textId="77777777" w:rsidR="003D4FF5" w:rsidRDefault="003D4FF5" w:rsidP="003D4FF5">
      <w:pPr>
        <w:pStyle w:val="Apara"/>
        <w:keepNext/>
        <w:spacing w:after="40"/>
      </w:pPr>
      <w:r>
        <w:tab/>
        <w:t>(j)</w:t>
      </w:r>
      <w:r>
        <w:tab/>
        <w:t>anything else the court directs.</w:t>
      </w:r>
    </w:p>
    <w:p w14:paraId="42A9166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BCCBC30" w14:textId="77777777" w:rsidR="003D4FF5" w:rsidRDefault="003D4FF5" w:rsidP="003D4FF5">
      <w:pPr>
        <w:pStyle w:val="AH5Sec"/>
      </w:pPr>
      <w:bookmarkStart w:id="587" w:name="_Toc185514203"/>
      <w:r w:rsidRPr="00C8328B">
        <w:rPr>
          <w:rStyle w:val="CharSectNo"/>
        </w:rPr>
        <w:t>1761</w:t>
      </w:r>
      <w:r>
        <w:tab/>
        <w:t>Costs—registrar’s discretion in assessing</w:t>
      </w:r>
      <w:bookmarkEnd w:id="587"/>
    </w:p>
    <w:p w14:paraId="285C70AE" w14:textId="77777777" w:rsidR="003D4FF5" w:rsidRDefault="003D4FF5" w:rsidP="003D4FF5">
      <w:pPr>
        <w:pStyle w:val="Amainreturn"/>
        <w:keepNext/>
      </w:pPr>
      <w:r>
        <w:t>In assessing costs, the registrar must consider the following:</w:t>
      </w:r>
    </w:p>
    <w:p w14:paraId="7D5B84C5" w14:textId="77777777" w:rsidR="003D4FF5" w:rsidRDefault="003D4FF5" w:rsidP="003D4FF5">
      <w:pPr>
        <w:pStyle w:val="Apara"/>
        <w:spacing w:after="40"/>
      </w:pPr>
      <w:r>
        <w:tab/>
        <w:t>(a)</w:t>
      </w:r>
      <w:r>
        <w:tab/>
        <w:t>any other fees and allowances payable to the solicitor or counsel for other items in the same proceeding;</w:t>
      </w:r>
    </w:p>
    <w:p w14:paraId="3B01774C" w14:textId="77777777" w:rsidR="003D4FF5" w:rsidRDefault="003D4FF5" w:rsidP="003D4FF5">
      <w:pPr>
        <w:pStyle w:val="Apara"/>
        <w:spacing w:after="40"/>
      </w:pPr>
      <w:r>
        <w:lastRenderedPageBreak/>
        <w:tab/>
        <w:t>(b)</w:t>
      </w:r>
      <w:r>
        <w:tab/>
        <w:t>the nature and importance of the proceeding;</w:t>
      </w:r>
    </w:p>
    <w:p w14:paraId="424A70A8" w14:textId="77777777" w:rsidR="003D4FF5" w:rsidRDefault="003D4FF5" w:rsidP="003D4FF5">
      <w:pPr>
        <w:pStyle w:val="Apara"/>
        <w:spacing w:after="40"/>
      </w:pPr>
      <w:r>
        <w:tab/>
        <w:t>(c)</w:t>
      </w:r>
      <w:r>
        <w:tab/>
        <w:t>the amount involved;</w:t>
      </w:r>
    </w:p>
    <w:p w14:paraId="3CD0B2E6" w14:textId="77777777" w:rsidR="003D4FF5" w:rsidRDefault="003D4FF5" w:rsidP="003D4FF5">
      <w:pPr>
        <w:pStyle w:val="Apara"/>
        <w:spacing w:after="40"/>
      </w:pPr>
      <w:r>
        <w:tab/>
        <w:t>(d)</w:t>
      </w:r>
      <w:r>
        <w:tab/>
        <w:t>the principle involved;</w:t>
      </w:r>
    </w:p>
    <w:p w14:paraId="2D6C018A" w14:textId="77777777" w:rsidR="003D4FF5" w:rsidRDefault="003D4FF5" w:rsidP="003D4FF5">
      <w:pPr>
        <w:pStyle w:val="Apara"/>
        <w:spacing w:after="40"/>
      </w:pPr>
      <w:r>
        <w:tab/>
        <w:t>(e)</w:t>
      </w:r>
      <w:r>
        <w:tab/>
        <w:t>the interest of the parties;</w:t>
      </w:r>
    </w:p>
    <w:p w14:paraId="2383D8C3" w14:textId="77777777" w:rsidR="003D4FF5" w:rsidRDefault="003D4FF5" w:rsidP="003D4FF5">
      <w:pPr>
        <w:pStyle w:val="Apara"/>
        <w:spacing w:after="40"/>
      </w:pPr>
      <w:r>
        <w:tab/>
        <w:t>(f)</w:t>
      </w:r>
      <w:r>
        <w:tab/>
        <w:t>the fund, estate, or person who is to pay the costs;</w:t>
      </w:r>
    </w:p>
    <w:p w14:paraId="141F6B36" w14:textId="77777777" w:rsidR="003D4FF5" w:rsidRDefault="003D4FF5" w:rsidP="003D4FF5">
      <w:pPr>
        <w:pStyle w:val="Apara"/>
        <w:spacing w:after="40"/>
      </w:pPr>
      <w:r>
        <w:tab/>
        <w:t>(g)</w:t>
      </w:r>
      <w:r>
        <w:tab/>
        <w:t>the general conduct and cost of the proceeding;</w:t>
      </w:r>
    </w:p>
    <w:p w14:paraId="1460BD34" w14:textId="77777777" w:rsidR="003D4FF5" w:rsidRDefault="003D4FF5" w:rsidP="003D4FF5">
      <w:pPr>
        <w:pStyle w:val="Apara"/>
        <w:spacing w:after="40"/>
      </w:pPr>
      <w:r>
        <w:tab/>
        <w:t>(h)</w:t>
      </w:r>
      <w:r>
        <w:tab/>
        <w:t>any other relevant circumstances.</w:t>
      </w:r>
    </w:p>
    <w:p w14:paraId="5E472B69" w14:textId="77777777" w:rsidR="003D4FF5" w:rsidRPr="00C8328B" w:rsidRDefault="003D4FF5" w:rsidP="003D4FF5">
      <w:pPr>
        <w:pStyle w:val="AH3Div"/>
      </w:pPr>
      <w:bookmarkStart w:id="588" w:name="_Toc185514204"/>
      <w:r w:rsidRPr="00C8328B">
        <w:rPr>
          <w:rStyle w:val="CharDivNo"/>
        </w:rPr>
        <w:t>Division 2.17.5</w:t>
      </w:r>
      <w:r>
        <w:tab/>
      </w:r>
      <w:r w:rsidRPr="00C8328B">
        <w:rPr>
          <w:rStyle w:val="CharDivText"/>
        </w:rPr>
        <w:t>Procedure for assessing costs</w:t>
      </w:r>
      <w:bookmarkEnd w:id="588"/>
    </w:p>
    <w:p w14:paraId="6B594BD6" w14:textId="77777777" w:rsidR="003D4FF5" w:rsidRDefault="003D4FF5" w:rsidP="003D4FF5">
      <w:pPr>
        <w:pStyle w:val="AH5Sec"/>
      </w:pPr>
      <w:bookmarkStart w:id="589" w:name="_Toc185514205"/>
      <w:r w:rsidRPr="00C8328B">
        <w:rPr>
          <w:rStyle w:val="CharSectNo"/>
        </w:rPr>
        <w:t>1800</w:t>
      </w:r>
      <w:r>
        <w:tab/>
        <w:t>Costs—when bill of costs to be filed etc</w:t>
      </w:r>
      <w:bookmarkEnd w:id="589"/>
    </w:p>
    <w:p w14:paraId="5BBF31C6" w14:textId="77777777"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14:paraId="50E55B76" w14:textId="77777777" w:rsidR="003D4FF5" w:rsidRDefault="003D4FF5" w:rsidP="003D4FF5">
      <w:pPr>
        <w:pStyle w:val="Apara"/>
      </w:pPr>
      <w:r>
        <w:tab/>
        <w:t>(a)</w:t>
      </w:r>
      <w:r>
        <w:tab/>
        <w:t>under—</w:t>
      </w:r>
    </w:p>
    <w:p w14:paraId="09F2923D" w14:textId="77777777" w:rsidR="003D4FF5" w:rsidRDefault="003D4FF5" w:rsidP="003D4FF5">
      <w:pPr>
        <w:pStyle w:val="Asubpara"/>
      </w:pPr>
      <w:r>
        <w:tab/>
        <w:t>(i)</w:t>
      </w:r>
      <w:r>
        <w:tab/>
        <w:t xml:space="preserve">a territory law; or </w:t>
      </w:r>
    </w:p>
    <w:p w14:paraId="39E0F5DE" w14:textId="77777777" w:rsidR="003D4FF5" w:rsidRDefault="003D4FF5" w:rsidP="003D4FF5">
      <w:pPr>
        <w:pStyle w:val="Asubpara"/>
      </w:pPr>
      <w:r>
        <w:tab/>
        <w:t>(ii)</w:t>
      </w:r>
      <w:r>
        <w:tab/>
        <w:t>an order of the court; or</w:t>
      </w:r>
    </w:p>
    <w:p w14:paraId="064518F9" w14:textId="77777777" w:rsidR="003D4FF5" w:rsidRDefault="003D4FF5" w:rsidP="003D4FF5">
      <w:pPr>
        <w:pStyle w:val="Asubpara"/>
      </w:pPr>
      <w:r>
        <w:tab/>
        <w:t>(iii)</w:t>
      </w:r>
      <w:r>
        <w:tab/>
        <w:t>a filed written agreement; but</w:t>
      </w:r>
    </w:p>
    <w:p w14:paraId="23DBBB56" w14:textId="77777777" w:rsidR="003D4FF5" w:rsidRDefault="003D4FF5" w:rsidP="003D4FF5">
      <w:pPr>
        <w:pStyle w:val="Apara"/>
        <w:keepNext/>
      </w:pPr>
      <w:r>
        <w:tab/>
        <w:t>(b)</w:t>
      </w:r>
      <w:r>
        <w:tab/>
        <w:t>the party entitled to costs and the person liable for costs cannot agree on the amount of costs to be paid.</w:t>
      </w:r>
    </w:p>
    <w:p w14:paraId="3FAE9288" w14:textId="21276756"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57" w:tooltip="A2001-14" w:history="1">
        <w:r w:rsidRPr="005A5F43">
          <w:rPr>
            <w:rStyle w:val="charCitHyperlinkAbbrev"/>
          </w:rPr>
          <w:t>Legislation Act</w:t>
        </w:r>
      </w:hyperlink>
      <w:r>
        <w:t>, s 98).</w:t>
      </w:r>
    </w:p>
    <w:p w14:paraId="27383F67" w14:textId="77777777" w:rsidR="003D4FF5" w:rsidRDefault="003D4FF5" w:rsidP="003D4FF5">
      <w:pPr>
        <w:pStyle w:val="Amain"/>
      </w:pPr>
      <w:r>
        <w:tab/>
        <w:t>(2)</w:t>
      </w:r>
      <w:r>
        <w:tab/>
        <w:t>The costs must be assessed by the registrar.</w:t>
      </w:r>
    </w:p>
    <w:p w14:paraId="33E51DA6" w14:textId="77777777" w:rsidR="003D4FF5" w:rsidRDefault="003D4FF5" w:rsidP="003D4FF5">
      <w:pPr>
        <w:pStyle w:val="Amain"/>
      </w:pPr>
      <w:r>
        <w:tab/>
        <w:t>(3)</w:t>
      </w:r>
      <w:r>
        <w:tab/>
        <w:t>The party entitled to costs must file a bill of costs.</w:t>
      </w:r>
    </w:p>
    <w:p w14:paraId="77AF2ADD" w14:textId="77777777" w:rsidR="003D4FF5" w:rsidRDefault="003D4FF5" w:rsidP="003D4FF5">
      <w:pPr>
        <w:pStyle w:val="Amain"/>
      </w:pPr>
      <w:r>
        <w:tab/>
        <w:t>(4)</w:t>
      </w:r>
      <w:r>
        <w:tab/>
        <w:t>On receipt of the bill of costs, the registrar must write on the bill, and a stamped copy of the bill, the day and time when the bill is to be assessed.</w:t>
      </w:r>
    </w:p>
    <w:p w14:paraId="160C5E05" w14:textId="77777777"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14:paraId="737F917F" w14:textId="77777777" w:rsidR="003D4FF5" w:rsidRDefault="003D4FF5" w:rsidP="003D4FF5">
      <w:pPr>
        <w:pStyle w:val="AH5Sec"/>
      </w:pPr>
      <w:bookmarkStart w:id="590" w:name="_Toc185514206"/>
      <w:r w:rsidRPr="00C8328B">
        <w:rPr>
          <w:rStyle w:val="CharSectNo"/>
        </w:rPr>
        <w:t>1801</w:t>
      </w:r>
      <w:r>
        <w:tab/>
        <w:t>Costs—if costs out of fund bill to be sent to clients</w:t>
      </w:r>
      <w:bookmarkEnd w:id="590"/>
    </w:p>
    <w:p w14:paraId="7FFDB15D" w14:textId="77777777" w:rsidR="003D4FF5" w:rsidRDefault="003D4FF5" w:rsidP="003D4FF5">
      <w:pPr>
        <w:pStyle w:val="Amain"/>
        <w:keepNext/>
      </w:pPr>
      <w:r>
        <w:tab/>
        <w:t>(1)</w:t>
      </w:r>
      <w:r>
        <w:tab/>
        <w:t>This rule applies if the costs of a proceeding are to be paid out of a fund or property.</w:t>
      </w:r>
    </w:p>
    <w:p w14:paraId="428A4348" w14:textId="77777777"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14:paraId="4D43FCCB" w14:textId="77777777" w:rsidR="003D4FF5" w:rsidRDefault="003D4FF5" w:rsidP="003D4FF5">
      <w:pPr>
        <w:pStyle w:val="Apara"/>
      </w:pPr>
      <w:r>
        <w:tab/>
        <w:t>(a)</w:t>
      </w:r>
      <w:r>
        <w:tab/>
        <w:t>a copy of the bill of costs or any part of it; and</w:t>
      </w:r>
    </w:p>
    <w:p w14:paraId="4445D734" w14:textId="77777777" w:rsidR="003D4FF5" w:rsidRDefault="003D4FF5" w:rsidP="003D4FF5">
      <w:pPr>
        <w:pStyle w:val="Apara"/>
      </w:pPr>
      <w:r>
        <w:tab/>
        <w:t>(b)</w:t>
      </w:r>
      <w:r>
        <w:tab/>
        <w:t>any statement directed by the registrar; and</w:t>
      </w:r>
    </w:p>
    <w:p w14:paraId="465DCF77" w14:textId="77777777" w:rsidR="003D4FF5" w:rsidRDefault="003D4FF5" w:rsidP="003D4FF5">
      <w:pPr>
        <w:pStyle w:val="Apara"/>
        <w:keepNext/>
      </w:pPr>
      <w:r>
        <w:tab/>
        <w:t>(c)</w:t>
      </w:r>
      <w:r>
        <w:tab/>
        <w:t>a letter telling the clients—</w:t>
      </w:r>
    </w:p>
    <w:p w14:paraId="17ECDF73" w14:textId="77777777" w:rsidR="003D4FF5" w:rsidRDefault="003D4FF5" w:rsidP="003D4FF5">
      <w:pPr>
        <w:pStyle w:val="Asubpara"/>
      </w:pPr>
      <w:r>
        <w:tab/>
        <w:t>(i)</w:t>
      </w:r>
      <w:r>
        <w:tab/>
        <w:t>the bill of costs is to be assessed by the registrar; and</w:t>
      </w:r>
    </w:p>
    <w:p w14:paraId="754502BC" w14:textId="77777777" w:rsidR="003D4FF5" w:rsidRDefault="003D4FF5" w:rsidP="003D4FF5">
      <w:pPr>
        <w:pStyle w:val="Asubpara"/>
      </w:pPr>
      <w:r>
        <w:tab/>
        <w:t>(ii)</w:t>
      </w:r>
      <w:r>
        <w:tab/>
        <w:t>the time set for the assessment.</w:t>
      </w:r>
    </w:p>
    <w:p w14:paraId="7386DCD5" w14:textId="77777777" w:rsidR="003D4FF5" w:rsidRDefault="003D4FF5" w:rsidP="003D4FF5">
      <w:pPr>
        <w:pStyle w:val="Amain"/>
      </w:pPr>
      <w:r>
        <w:tab/>
        <w:t>(3)</w:t>
      </w:r>
      <w:r>
        <w:tab/>
        <w:t>If the registrar gives a direction under subrule (2), the registrar may suspend the assessment of the costs for the time the registrar considers reasonable.</w:t>
      </w:r>
    </w:p>
    <w:p w14:paraId="17D2BF02" w14:textId="77777777" w:rsidR="003D4FF5" w:rsidRDefault="003D4FF5" w:rsidP="003D4FF5">
      <w:pPr>
        <w:pStyle w:val="AH5Sec"/>
      </w:pPr>
      <w:bookmarkStart w:id="591" w:name="_Toc185514207"/>
      <w:r w:rsidRPr="00C8328B">
        <w:rPr>
          <w:rStyle w:val="CharSectNo"/>
        </w:rPr>
        <w:t>1802</w:t>
      </w:r>
      <w:r>
        <w:tab/>
        <w:t>Costs—content of bill of costs</w:t>
      </w:r>
      <w:bookmarkEnd w:id="591"/>
    </w:p>
    <w:p w14:paraId="0AF66B4C" w14:textId="77777777" w:rsidR="003D4FF5" w:rsidRDefault="003D4FF5" w:rsidP="003D4FF5">
      <w:pPr>
        <w:pStyle w:val="Amainreturn"/>
        <w:keepNext/>
      </w:pPr>
      <w:r>
        <w:t>A bill of costs must contain—</w:t>
      </w:r>
    </w:p>
    <w:p w14:paraId="2A7F0599" w14:textId="77777777" w:rsidR="003D4FF5" w:rsidRDefault="003D4FF5" w:rsidP="003D4FF5">
      <w:pPr>
        <w:pStyle w:val="Apara"/>
      </w:pPr>
      <w:r>
        <w:tab/>
        <w:t>(a)</w:t>
      </w:r>
      <w:r>
        <w:tab/>
        <w:t>the name and address for service of the solicitor whose costs are to be assessed; and</w:t>
      </w:r>
    </w:p>
    <w:p w14:paraId="660680E4"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14:paraId="228BA184" w14:textId="77777777" w:rsidR="003D4FF5" w:rsidRDefault="003D4FF5" w:rsidP="003D4FF5">
      <w:pPr>
        <w:pStyle w:val="Apara"/>
      </w:pPr>
      <w:r>
        <w:tab/>
        <w:t>(b)</w:t>
      </w:r>
      <w:r>
        <w:tab/>
        <w:t>each item of work claimed, or disbursement made, numbered consecutively; and</w:t>
      </w:r>
    </w:p>
    <w:p w14:paraId="61C01400" w14:textId="77777777" w:rsidR="003D4FF5" w:rsidRDefault="003D4FF5" w:rsidP="003D4FF5">
      <w:pPr>
        <w:pStyle w:val="Apara"/>
      </w:pPr>
      <w:r>
        <w:tab/>
        <w:t>(c)</w:t>
      </w:r>
      <w:r>
        <w:tab/>
        <w:t>the date each item of work was done; and</w:t>
      </w:r>
    </w:p>
    <w:p w14:paraId="20CC360B" w14:textId="77777777" w:rsidR="003D4FF5" w:rsidRDefault="003D4FF5" w:rsidP="003D4FF5">
      <w:pPr>
        <w:pStyle w:val="Apara"/>
      </w:pPr>
      <w:r>
        <w:tab/>
        <w:t>(d)</w:t>
      </w:r>
      <w:r>
        <w:tab/>
        <w:t xml:space="preserve">the number of the item in the prescribed scale of costs for each item of work claimed; and </w:t>
      </w:r>
    </w:p>
    <w:p w14:paraId="55420901" w14:textId="77777777" w:rsidR="003D4FF5" w:rsidRDefault="003D4FF5" w:rsidP="003D4FF5">
      <w:pPr>
        <w:pStyle w:val="Apara"/>
      </w:pPr>
      <w:r>
        <w:lastRenderedPageBreak/>
        <w:tab/>
        <w:t>(e)</w:t>
      </w:r>
      <w:r>
        <w:tab/>
        <w:t>a detailed statement of the work done by the solicitor, or the solicitor’s employee or agent, for the party; and</w:t>
      </w:r>
    </w:p>
    <w:p w14:paraId="6160505D" w14:textId="77777777" w:rsidR="003D4FF5" w:rsidRDefault="003D4FF5" w:rsidP="003D4FF5">
      <w:pPr>
        <w:pStyle w:val="Apara"/>
      </w:pPr>
      <w:r>
        <w:tab/>
        <w:t>(f)</w:t>
      </w:r>
      <w:r>
        <w:tab/>
        <w:t>a detailed statement of the disbursements made; and</w:t>
      </w:r>
    </w:p>
    <w:p w14:paraId="46F7FA4B" w14:textId="77777777" w:rsidR="003D4FF5" w:rsidRDefault="003D4FF5" w:rsidP="003D4FF5">
      <w:pPr>
        <w:pStyle w:val="Apara"/>
      </w:pPr>
      <w:r>
        <w:tab/>
        <w:t>(g)</w:t>
      </w:r>
      <w:r>
        <w:tab/>
        <w:t>the date each disbursement was made; and</w:t>
      </w:r>
    </w:p>
    <w:p w14:paraId="3249E869" w14:textId="77777777" w:rsidR="003D4FF5" w:rsidRDefault="003D4FF5" w:rsidP="003D4FF5">
      <w:pPr>
        <w:pStyle w:val="Apara"/>
        <w:keepNext/>
      </w:pPr>
      <w:r>
        <w:tab/>
        <w:t>(h)</w:t>
      </w:r>
      <w:r>
        <w:tab/>
        <w:t>the costs claimed for each item of work done or disbursement made.</w:t>
      </w:r>
    </w:p>
    <w:p w14:paraId="5865E3D4" w14:textId="39D7C8D1"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58" w:history="1">
        <w:r w:rsidRPr="006B76A5">
          <w:rPr>
            <w:rStyle w:val="charCitHyperlinkAbbrev"/>
          </w:rPr>
          <w:t>AF2006-290</w:t>
        </w:r>
      </w:hyperlink>
      <w:r>
        <w:t>.</w:t>
      </w:r>
    </w:p>
    <w:p w14:paraId="57E21421" w14:textId="77777777" w:rsidR="003D4FF5" w:rsidRDefault="003D4FF5" w:rsidP="003D4FF5">
      <w:pPr>
        <w:pStyle w:val="AH5Sec"/>
      </w:pPr>
      <w:bookmarkStart w:id="592" w:name="_Toc185514208"/>
      <w:r w:rsidRPr="00C8328B">
        <w:rPr>
          <w:rStyle w:val="CharSectNo"/>
        </w:rPr>
        <w:t>1803</w:t>
      </w:r>
      <w:r>
        <w:tab/>
        <w:t>Costs—failure to file and serve bill of costs</w:t>
      </w:r>
      <w:bookmarkEnd w:id="592"/>
    </w:p>
    <w:p w14:paraId="172B2735" w14:textId="77777777"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14:paraId="6D8BE156" w14:textId="77777777"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14:paraId="2A508C37" w14:textId="77777777" w:rsidR="003D4FF5" w:rsidRDefault="003D4FF5" w:rsidP="003D4FF5">
      <w:pPr>
        <w:pStyle w:val="Amain"/>
      </w:pPr>
      <w:r>
        <w:tab/>
        <w:t>(3)</w:t>
      </w:r>
      <w:r>
        <w:tab/>
        <w:t>If the party does not comply with the registrar’s direction, the registrar may—</w:t>
      </w:r>
    </w:p>
    <w:p w14:paraId="6F1FEA14" w14:textId="77777777" w:rsidR="003D4FF5" w:rsidRDefault="003D4FF5" w:rsidP="003D4FF5">
      <w:pPr>
        <w:pStyle w:val="Apara"/>
      </w:pPr>
      <w:r>
        <w:tab/>
        <w:t>(a)</w:t>
      </w:r>
      <w:r>
        <w:tab/>
        <w:t>either—</w:t>
      </w:r>
    </w:p>
    <w:p w14:paraId="3663E1C6" w14:textId="77777777" w:rsidR="003D4FF5" w:rsidRDefault="003D4FF5" w:rsidP="003D4FF5">
      <w:pPr>
        <w:pStyle w:val="Asubpara"/>
      </w:pPr>
      <w:r>
        <w:tab/>
        <w:t>(i)</w:t>
      </w:r>
      <w:r>
        <w:tab/>
        <w:t>disallow the costs; or</w:t>
      </w:r>
    </w:p>
    <w:p w14:paraId="30D940F9" w14:textId="77777777" w:rsidR="003D4FF5" w:rsidRDefault="003D4FF5" w:rsidP="003D4FF5">
      <w:pPr>
        <w:pStyle w:val="Asubpara"/>
      </w:pPr>
      <w:r>
        <w:tab/>
        <w:t>(ii)</w:t>
      </w:r>
      <w:r>
        <w:tab/>
        <w:t>allow costs at a nominal or other amount; and</w:t>
      </w:r>
    </w:p>
    <w:p w14:paraId="199E5458" w14:textId="77777777" w:rsidR="003D4FF5" w:rsidRDefault="003D4FF5" w:rsidP="003D4FF5">
      <w:pPr>
        <w:pStyle w:val="Apara"/>
      </w:pPr>
      <w:r>
        <w:tab/>
        <w:t>(b)</w:t>
      </w:r>
      <w:r>
        <w:tab/>
        <w:t>order the party to pay to another party costs incurred because of the failure to comply with the direction.</w:t>
      </w:r>
    </w:p>
    <w:p w14:paraId="6A167D2C" w14:textId="77777777" w:rsidR="003D4FF5" w:rsidRDefault="003D4FF5" w:rsidP="003D4FF5">
      <w:pPr>
        <w:pStyle w:val="AH5Sec"/>
      </w:pPr>
      <w:bookmarkStart w:id="593" w:name="_Toc185514209"/>
      <w:r w:rsidRPr="00C8328B">
        <w:rPr>
          <w:rStyle w:val="CharSectNo"/>
        </w:rPr>
        <w:t>1804</w:t>
      </w:r>
      <w:r>
        <w:tab/>
        <w:t>Costs—payment of disbursements</w:t>
      </w:r>
      <w:bookmarkEnd w:id="593"/>
    </w:p>
    <w:p w14:paraId="7BCCEC94" w14:textId="77777777" w:rsidR="003D4FF5" w:rsidRDefault="003D4FF5" w:rsidP="003D4FF5">
      <w:pPr>
        <w:pStyle w:val="Amain"/>
      </w:pPr>
      <w:r>
        <w:tab/>
        <w:t>(1)</w:t>
      </w:r>
      <w:r>
        <w:tab/>
        <w:t>If a party’s bill of costs includes an account that has not been paid, the party may claim the amount as a disbursement.</w:t>
      </w:r>
    </w:p>
    <w:p w14:paraId="7F9CE3AC" w14:textId="77777777"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14:paraId="40D72BB4" w14:textId="77777777" w:rsidR="003D4FF5" w:rsidRDefault="003D4FF5" w:rsidP="003D4FF5">
      <w:pPr>
        <w:pStyle w:val="Amain"/>
      </w:pPr>
      <w:r>
        <w:tab/>
        <w:t>(3)</w:t>
      </w:r>
      <w:r>
        <w:tab/>
        <w:t>Subrule (2) does not apply to counsel’s fees properly incurred by the party in the proceeding.</w:t>
      </w:r>
    </w:p>
    <w:p w14:paraId="19B479BA" w14:textId="77777777" w:rsidR="003D4FF5" w:rsidRDefault="003D4FF5" w:rsidP="003D4FF5">
      <w:pPr>
        <w:pStyle w:val="AH5Sec"/>
      </w:pPr>
      <w:bookmarkStart w:id="594" w:name="_Toc185514210"/>
      <w:r w:rsidRPr="00C8328B">
        <w:rPr>
          <w:rStyle w:val="CharSectNo"/>
        </w:rPr>
        <w:t>1805</w:t>
      </w:r>
      <w:r>
        <w:tab/>
        <w:t>Costs—professional charges and disbursements</w:t>
      </w:r>
      <w:bookmarkEnd w:id="594"/>
    </w:p>
    <w:p w14:paraId="3BAE862C" w14:textId="77777777"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14:paraId="315E2944" w14:textId="77777777" w:rsidR="003D4FF5" w:rsidRDefault="003D4FF5" w:rsidP="003D4FF5">
      <w:pPr>
        <w:pStyle w:val="Amain"/>
      </w:pPr>
      <w:r>
        <w:tab/>
        <w:t>(2)</w:t>
      </w:r>
      <w:r>
        <w:tab/>
        <w:t>The registrar may assess and allow a charge mentioned in subrule (1) even though it is not paid before the assessment.</w:t>
      </w:r>
    </w:p>
    <w:p w14:paraId="0461E308" w14:textId="77777777" w:rsidR="003D4FF5" w:rsidRDefault="003D4FF5" w:rsidP="003D4FF5">
      <w:pPr>
        <w:pStyle w:val="Amain"/>
      </w:pPr>
      <w:r>
        <w:tab/>
        <w:t>(3)</w:t>
      </w:r>
      <w:r>
        <w:tab/>
        <w:t>If a bill of costs includes a charge for work done by a solicitor or counsel practising outside the ACT, the charge must be shown as a disbursement.</w:t>
      </w:r>
    </w:p>
    <w:p w14:paraId="3A4F6EC4" w14:textId="77777777"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14:paraId="14592C46" w14:textId="77777777" w:rsidR="003D4FF5" w:rsidRDefault="003D4FF5" w:rsidP="003D4FF5">
      <w:pPr>
        <w:pStyle w:val="AH5Sec"/>
      </w:pPr>
      <w:bookmarkStart w:id="595" w:name="_Toc185514211"/>
      <w:r w:rsidRPr="00C8328B">
        <w:rPr>
          <w:rStyle w:val="CharSectNo"/>
        </w:rPr>
        <w:t>1806</w:t>
      </w:r>
      <w:r>
        <w:tab/>
        <w:t>Costs—amendment and withdrawal of bill of costs</w:t>
      </w:r>
      <w:bookmarkEnd w:id="595"/>
    </w:p>
    <w:p w14:paraId="3C042F74" w14:textId="77777777" w:rsidR="003D4FF5" w:rsidRDefault="003D4FF5" w:rsidP="003D4FF5">
      <w:pPr>
        <w:pStyle w:val="Amain"/>
        <w:keepNext/>
      </w:pPr>
      <w:r>
        <w:tab/>
        <w:t>(1)</w:t>
      </w:r>
      <w:r>
        <w:tab/>
        <w:t>The court may at any time, by order, allow a party to amend or withdraw a bill of costs or order that a party file another bill of costs.</w:t>
      </w:r>
    </w:p>
    <w:p w14:paraId="079D4D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8B52750" w14:textId="77777777"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14:paraId="18B20307" w14:textId="77777777" w:rsidR="003D4FF5" w:rsidRDefault="003D4FF5" w:rsidP="005473D9">
      <w:pPr>
        <w:pStyle w:val="Apara"/>
        <w:keepNext/>
      </w:pPr>
      <w:r>
        <w:tab/>
        <w:t>(a)</w:t>
      </w:r>
      <w:r>
        <w:tab/>
        <w:t>under rule 1834 (Costs—bill of costs reduced by 15% or more), the bill of costs has been reduced by 15% or more on assessment; or</w:t>
      </w:r>
    </w:p>
    <w:p w14:paraId="002AEAA7" w14:textId="77777777"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14:paraId="0978CA9C" w14:textId="77777777" w:rsidR="003D4FF5" w:rsidRDefault="003D4FF5" w:rsidP="003D4FF5">
      <w:pPr>
        <w:pStyle w:val="Apara"/>
      </w:pPr>
      <w:r>
        <w:tab/>
        <w:t>(b)</w:t>
      </w:r>
      <w:r>
        <w:tab/>
        <w:t>the amount of the assessed costs in the bill of costs is more than, equal to or less than an offer mentioned in rule 1811 (Costs—offer to settle).</w:t>
      </w:r>
    </w:p>
    <w:p w14:paraId="7A017027" w14:textId="77777777" w:rsidR="003D4FF5" w:rsidRDefault="003D4FF5" w:rsidP="003D4FF5">
      <w:pPr>
        <w:pStyle w:val="AH5Sec"/>
      </w:pPr>
      <w:bookmarkStart w:id="596" w:name="_Toc185514212"/>
      <w:r w:rsidRPr="00C8328B">
        <w:rPr>
          <w:rStyle w:val="CharSectNo"/>
        </w:rPr>
        <w:t>1807</w:t>
      </w:r>
      <w:r>
        <w:tab/>
        <w:t>Costs—notice of objection to bill of costs</w:t>
      </w:r>
      <w:bookmarkEnd w:id="596"/>
    </w:p>
    <w:p w14:paraId="24387A34" w14:textId="77777777" w:rsidR="003D4FF5" w:rsidRDefault="003D4FF5" w:rsidP="003D4FF5">
      <w:pPr>
        <w:pStyle w:val="Amain"/>
      </w:pPr>
      <w:r>
        <w:tab/>
        <w:t>(1)</w:t>
      </w:r>
      <w:r>
        <w:tab/>
        <w:t>A party on whom a bill of costs is served may, by notice, object to any item in the bill.</w:t>
      </w:r>
    </w:p>
    <w:p w14:paraId="25B4D2C4" w14:textId="77777777" w:rsidR="003D4FF5" w:rsidRDefault="003D4FF5" w:rsidP="003D4FF5">
      <w:pPr>
        <w:pStyle w:val="Amain"/>
      </w:pPr>
      <w:r>
        <w:tab/>
        <w:t>(2)</w:t>
      </w:r>
      <w:r>
        <w:tab/>
        <w:t>The notice of objection must—</w:t>
      </w:r>
    </w:p>
    <w:p w14:paraId="250673AF" w14:textId="77777777" w:rsidR="003D4FF5" w:rsidRDefault="003D4FF5" w:rsidP="003D4FF5">
      <w:pPr>
        <w:pStyle w:val="Apara"/>
      </w:pPr>
      <w:r>
        <w:tab/>
        <w:t>(a)</w:t>
      </w:r>
      <w:r>
        <w:tab/>
        <w:t>number each objection; and</w:t>
      </w:r>
    </w:p>
    <w:p w14:paraId="0390C92F" w14:textId="77777777" w:rsidR="003D4FF5" w:rsidRDefault="003D4FF5" w:rsidP="003D4FF5">
      <w:pPr>
        <w:pStyle w:val="Apara"/>
      </w:pPr>
      <w:r>
        <w:tab/>
        <w:t>(b)</w:t>
      </w:r>
      <w:r>
        <w:tab/>
        <w:t>give the number of each item in the bill of costs to which the party objects; and</w:t>
      </w:r>
    </w:p>
    <w:p w14:paraId="6482C3EC" w14:textId="77777777"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14:paraId="07A32940" w14:textId="77777777" w:rsidR="003D4FF5" w:rsidRDefault="003D4FF5" w:rsidP="003D4FF5">
      <w:pPr>
        <w:pStyle w:val="Amain"/>
      </w:pPr>
      <w:r>
        <w:tab/>
        <w:t>(3)</w:t>
      </w:r>
      <w:r>
        <w:tab/>
        <w:t>The reasons for objection may be in abbreviated note form but must be understandable without further explanation.</w:t>
      </w:r>
    </w:p>
    <w:p w14:paraId="19724109" w14:textId="77777777"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14:paraId="4F35C65E" w14:textId="77777777" w:rsidR="003D4FF5" w:rsidRDefault="003D4FF5" w:rsidP="003D4FF5">
      <w:pPr>
        <w:pStyle w:val="Amain"/>
      </w:pPr>
      <w:r>
        <w:tab/>
        <w:t>(5)</w:t>
      </w:r>
      <w:r>
        <w:tab/>
        <w:t>Also, if there are a number of associated items, the objection may be in the form of an objection to a common issue related to the associated items.</w:t>
      </w:r>
    </w:p>
    <w:p w14:paraId="5D07E4A8" w14:textId="77777777"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14:paraId="12DBD913" w14:textId="77777777" w:rsidR="003D4FF5" w:rsidRDefault="003D4FF5" w:rsidP="003D4FF5">
      <w:pPr>
        <w:pStyle w:val="AH5Sec"/>
      </w:pPr>
      <w:bookmarkStart w:id="597" w:name="_Toc185514213"/>
      <w:r w:rsidRPr="00C8328B">
        <w:rPr>
          <w:rStyle w:val="CharSectNo"/>
        </w:rPr>
        <w:t>1808</w:t>
      </w:r>
      <w:r>
        <w:tab/>
        <w:t>Costs—assessment must be limited</w:t>
      </w:r>
      <w:bookmarkEnd w:id="597"/>
    </w:p>
    <w:p w14:paraId="172371CA" w14:textId="77777777" w:rsidR="003D4FF5" w:rsidRDefault="003D4FF5" w:rsidP="003D4FF5">
      <w:pPr>
        <w:pStyle w:val="Amainreturn"/>
      </w:pPr>
      <w:r>
        <w:t>The registrar must limit the assessment to the resolution of the matters raised in the notice of objection and otherwise assess the costs under rule 1809.</w:t>
      </w:r>
    </w:p>
    <w:p w14:paraId="45D11B96" w14:textId="77777777" w:rsidR="003D4FF5" w:rsidRDefault="003D4FF5" w:rsidP="003D4FF5">
      <w:pPr>
        <w:pStyle w:val="AH5Sec"/>
      </w:pPr>
      <w:bookmarkStart w:id="598" w:name="_Toc185514214"/>
      <w:r w:rsidRPr="00C8328B">
        <w:rPr>
          <w:rStyle w:val="CharSectNo"/>
        </w:rPr>
        <w:t>1809</w:t>
      </w:r>
      <w:r>
        <w:tab/>
        <w:t>Costs—default assessment if no objection to bill of costs</w:t>
      </w:r>
      <w:bookmarkEnd w:id="598"/>
    </w:p>
    <w:p w14:paraId="021C3518" w14:textId="77777777" w:rsidR="003D4FF5" w:rsidRDefault="003D4FF5" w:rsidP="003D4FF5">
      <w:pPr>
        <w:pStyle w:val="Amain"/>
      </w:pPr>
      <w:r>
        <w:tab/>
        <w:t>(1)</w:t>
      </w:r>
      <w:r>
        <w:tab/>
        <w:t>This rule applies if the party liable for costs does not file a notice of objection to the bill of costs.</w:t>
      </w:r>
    </w:p>
    <w:p w14:paraId="0F2D86E7" w14:textId="77777777" w:rsidR="003D4FF5" w:rsidRDefault="003D4FF5" w:rsidP="003D4FF5">
      <w:pPr>
        <w:pStyle w:val="Amain"/>
      </w:pPr>
      <w:r>
        <w:tab/>
        <w:t>(2)</w:t>
      </w:r>
      <w:r>
        <w:tab/>
        <w:t>On proof that the bill of costs was served on the party liable for the costs, the registrar must—</w:t>
      </w:r>
    </w:p>
    <w:p w14:paraId="609D13B3" w14:textId="77777777" w:rsidR="003D4FF5" w:rsidRDefault="003D4FF5" w:rsidP="003D4FF5">
      <w:pPr>
        <w:pStyle w:val="Apara"/>
      </w:pPr>
      <w:r>
        <w:tab/>
        <w:t>(a)</w:t>
      </w:r>
      <w:r>
        <w:tab/>
        <w:t>assess the costs without considering each item and by allowing the costs claimed in the bill of costs; and</w:t>
      </w:r>
    </w:p>
    <w:p w14:paraId="0509AB53" w14:textId="77777777" w:rsidR="003D4FF5" w:rsidRDefault="003D4FF5" w:rsidP="003D4FF5">
      <w:pPr>
        <w:pStyle w:val="Apara"/>
      </w:pPr>
      <w:r>
        <w:tab/>
        <w:t>(b)</w:t>
      </w:r>
      <w:r>
        <w:tab/>
        <w:t>issue a certificate of assessment for the amount of the assessed costs.</w:t>
      </w:r>
    </w:p>
    <w:p w14:paraId="5EFE34D7" w14:textId="77777777" w:rsidR="003D4FF5" w:rsidRDefault="003D4FF5" w:rsidP="003D4FF5">
      <w:pPr>
        <w:pStyle w:val="Amain"/>
        <w:keepNext/>
      </w:pPr>
      <w:r>
        <w:tab/>
        <w:t>(3)</w:t>
      </w:r>
      <w:r>
        <w:tab/>
        <w:t>However—</w:t>
      </w:r>
    </w:p>
    <w:p w14:paraId="593E03F4" w14:textId="77777777" w:rsidR="003D4FF5" w:rsidRDefault="003D4FF5" w:rsidP="003D4FF5">
      <w:pPr>
        <w:pStyle w:val="Apara"/>
      </w:pPr>
      <w:r>
        <w:tab/>
        <w:t>(a)</w:t>
      </w:r>
      <w:r>
        <w:tab/>
        <w:t>despite subrule (2) (a)—</w:t>
      </w:r>
    </w:p>
    <w:p w14:paraId="3B2A9E67" w14:textId="77777777" w:rsidR="003D4FF5" w:rsidRDefault="003D4FF5" w:rsidP="003D4FF5">
      <w:pPr>
        <w:pStyle w:val="Asubpara"/>
      </w:pPr>
      <w:r>
        <w:tab/>
        <w:t>(i)</w:t>
      </w:r>
      <w:r>
        <w:tab/>
        <w:t>the costs must be assessed subject to rule 1804 (Costs—payment of disbursements); and</w:t>
      </w:r>
    </w:p>
    <w:p w14:paraId="6D0BAB6F" w14:textId="77777777"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14:paraId="73BCAF3E" w14:textId="77777777" w:rsidR="003D4FF5" w:rsidRDefault="003D4FF5" w:rsidP="003D4FF5">
      <w:pPr>
        <w:pStyle w:val="Apara"/>
      </w:pPr>
      <w:r>
        <w:tab/>
        <w:t>(b)</w:t>
      </w:r>
      <w:r>
        <w:tab/>
        <w:t>subrule (2) (a) does not prevent the registrar correcting an obvious error in the bill of costs or assessing the costs differently in exceptional circumstances.</w:t>
      </w:r>
    </w:p>
    <w:p w14:paraId="289BC959" w14:textId="77777777" w:rsidR="003D4FF5" w:rsidRDefault="003D4FF5" w:rsidP="003D4FF5">
      <w:pPr>
        <w:pStyle w:val="AH5Sec"/>
      </w:pPr>
      <w:bookmarkStart w:id="599" w:name="_Toc185514215"/>
      <w:r w:rsidRPr="00C8328B">
        <w:rPr>
          <w:rStyle w:val="CharSectNo"/>
        </w:rPr>
        <w:t>1810</w:t>
      </w:r>
      <w:r>
        <w:tab/>
        <w:t>Costs—setting aside default assessment</w:t>
      </w:r>
      <w:bookmarkEnd w:id="599"/>
    </w:p>
    <w:p w14:paraId="7B881D7E" w14:textId="77777777" w:rsidR="003D4FF5" w:rsidRDefault="003D4FF5" w:rsidP="003D4FF5">
      <w:pPr>
        <w:pStyle w:val="Amain"/>
        <w:keepNext/>
      </w:pPr>
      <w:r>
        <w:tab/>
        <w:t>(1)</w:t>
      </w:r>
      <w:r>
        <w:tab/>
        <w:t>On the application of the party liable for costs, the court may amend or set aside a certificate of assessment issued under rule 1809 (2) (b).</w:t>
      </w:r>
    </w:p>
    <w:p w14:paraId="2FE0538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BF1131F" w14:textId="77777777" w:rsidR="003D4FF5" w:rsidRDefault="003D4FF5" w:rsidP="003D4FF5">
      <w:pPr>
        <w:pStyle w:val="Amain"/>
      </w:pPr>
      <w:r>
        <w:tab/>
        <w:t>(2)</w:t>
      </w:r>
      <w:r>
        <w:tab/>
        <w:t>The application must be supported by—</w:t>
      </w:r>
    </w:p>
    <w:p w14:paraId="7A776520" w14:textId="77777777" w:rsidR="003D4FF5" w:rsidRDefault="003D4FF5" w:rsidP="003D4FF5">
      <w:pPr>
        <w:pStyle w:val="Apara"/>
      </w:pPr>
      <w:r>
        <w:tab/>
        <w:t>(a)</w:t>
      </w:r>
      <w:r>
        <w:tab/>
        <w:t>an affidavit explaining—</w:t>
      </w:r>
    </w:p>
    <w:p w14:paraId="516F66CC" w14:textId="77777777" w:rsidR="003D4FF5" w:rsidRDefault="003D4FF5" w:rsidP="003D4FF5">
      <w:pPr>
        <w:pStyle w:val="Asubpara"/>
      </w:pPr>
      <w:r>
        <w:tab/>
        <w:t>(i)</w:t>
      </w:r>
      <w:r>
        <w:tab/>
        <w:t>the party’s failure to file a notice of objection to the bill of costs; and</w:t>
      </w:r>
    </w:p>
    <w:p w14:paraId="39C788C9" w14:textId="77777777" w:rsidR="003D4FF5" w:rsidRDefault="003D4FF5" w:rsidP="003D4FF5">
      <w:pPr>
        <w:pStyle w:val="Asubpara"/>
      </w:pPr>
      <w:r>
        <w:tab/>
        <w:t>(ii)</w:t>
      </w:r>
      <w:r>
        <w:tab/>
        <w:t>any delay; and</w:t>
      </w:r>
    </w:p>
    <w:p w14:paraId="36D75758" w14:textId="77777777" w:rsidR="003D4FF5" w:rsidRDefault="003D4FF5" w:rsidP="003D4FF5">
      <w:pPr>
        <w:pStyle w:val="Apara"/>
      </w:pPr>
      <w:r>
        <w:tab/>
        <w:t>(b)</w:t>
      </w:r>
      <w:r>
        <w:tab/>
        <w:t>a notice of objection under rule 1807, as an exhibit to the affidavit.</w:t>
      </w:r>
    </w:p>
    <w:p w14:paraId="7E3E9A04" w14:textId="77777777" w:rsidR="003D4FF5" w:rsidRDefault="003D4FF5" w:rsidP="003D4FF5">
      <w:pPr>
        <w:pStyle w:val="Amain"/>
      </w:pPr>
      <w:r>
        <w:tab/>
        <w:t>(3)</w:t>
      </w:r>
      <w:r>
        <w:tab/>
        <w:t>Rule 1808 (Costs—assessment must be limited) applies to any reassessment of costs on an application made under this rule.</w:t>
      </w:r>
    </w:p>
    <w:p w14:paraId="42A77D7F" w14:textId="77777777" w:rsidR="003D4FF5" w:rsidRDefault="003D4FF5" w:rsidP="003D4FF5">
      <w:pPr>
        <w:pStyle w:val="Amain"/>
      </w:pPr>
      <w:r>
        <w:tab/>
        <w:t>(4)</w:t>
      </w:r>
      <w:r>
        <w:tab/>
        <w:t>The costs of an application under this rule are to be paid by the applicant unless the court otherwise orders.</w:t>
      </w:r>
    </w:p>
    <w:p w14:paraId="2E86364C" w14:textId="77777777" w:rsidR="003D4FF5" w:rsidRDefault="003D4FF5" w:rsidP="003D4FF5">
      <w:pPr>
        <w:pStyle w:val="AH5Sec"/>
      </w:pPr>
      <w:bookmarkStart w:id="600" w:name="_Toc185514216"/>
      <w:r w:rsidRPr="00C8328B">
        <w:rPr>
          <w:rStyle w:val="CharSectNo"/>
        </w:rPr>
        <w:t>1811</w:t>
      </w:r>
      <w:r>
        <w:tab/>
        <w:t>Costs—offer to settle</w:t>
      </w:r>
      <w:bookmarkEnd w:id="600"/>
    </w:p>
    <w:p w14:paraId="6DDDCE2F" w14:textId="77777777" w:rsidR="003D4FF5" w:rsidRDefault="003D4FF5" w:rsidP="003D4FF5">
      <w:pPr>
        <w:pStyle w:val="Amain"/>
      </w:pPr>
      <w:r>
        <w:tab/>
        <w:t>(1)</w:t>
      </w:r>
      <w:r>
        <w:tab/>
        <w:t>A party liable to pay costs may serve on the party entitled to the costs a written offer to settle the costs.</w:t>
      </w:r>
    </w:p>
    <w:p w14:paraId="713BD356" w14:textId="77777777" w:rsidR="003D4FF5" w:rsidRDefault="003D4FF5" w:rsidP="005473D9">
      <w:pPr>
        <w:pStyle w:val="Amain"/>
        <w:keepNext/>
      </w:pPr>
      <w:r>
        <w:lastRenderedPageBreak/>
        <w:tab/>
        <w:t>(2)</w:t>
      </w:r>
      <w:r>
        <w:tab/>
        <w:t>An offer to settle costs—</w:t>
      </w:r>
    </w:p>
    <w:p w14:paraId="1F278A99" w14:textId="77777777" w:rsidR="003D4FF5" w:rsidRDefault="003D4FF5" w:rsidP="003D4FF5">
      <w:pPr>
        <w:pStyle w:val="Apara"/>
      </w:pPr>
      <w:r>
        <w:tab/>
        <w:t>(a)</w:t>
      </w:r>
      <w:r>
        <w:tab/>
        <w:t>must state it is made under this rule; and</w:t>
      </w:r>
    </w:p>
    <w:p w14:paraId="4AFCC8E7" w14:textId="77777777" w:rsidR="003D4FF5" w:rsidRDefault="003D4FF5" w:rsidP="003D4FF5">
      <w:pPr>
        <w:pStyle w:val="Apara"/>
      </w:pPr>
      <w:r>
        <w:tab/>
        <w:t>(b)</w:t>
      </w:r>
      <w:r>
        <w:tab/>
        <w:t>must be clear and unconditional; and</w:t>
      </w:r>
    </w:p>
    <w:p w14:paraId="5EB41E08" w14:textId="77777777" w:rsidR="003D4FF5" w:rsidRDefault="003D4FF5" w:rsidP="003D4FF5">
      <w:pPr>
        <w:pStyle w:val="Apara"/>
      </w:pPr>
      <w:r>
        <w:tab/>
        <w:t>(c)</w:t>
      </w:r>
      <w:r>
        <w:tab/>
        <w:t>must be for all of the person’s liability for costs (and any interest claimed on the costs) in the proceeding to the party to whom it is made; and</w:t>
      </w:r>
    </w:p>
    <w:p w14:paraId="3EF10A20" w14:textId="77777777" w:rsidR="003D4FF5" w:rsidRDefault="003D4FF5" w:rsidP="003D4FF5">
      <w:pPr>
        <w:pStyle w:val="Apara"/>
        <w:keepNext/>
      </w:pPr>
      <w:r>
        <w:tab/>
        <w:t>(d)</w:t>
      </w:r>
      <w:r>
        <w:tab/>
        <w:t>may be served at any time after whichever of the following applies, but at least 2 days before the day the bill of costs is to be assessed:</w:t>
      </w:r>
    </w:p>
    <w:p w14:paraId="401E32B6" w14:textId="77777777" w:rsidR="003D4FF5" w:rsidRDefault="003D4FF5" w:rsidP="003D4FF5">
      <w:pPr>
        <w:pStyle w:val="Asubpara"/>
      </w:pPr>
      <w:r>
        <w:tab/>
        <w:t>(i)</w:t>
      </w:r>
      <w:r>
        <w:tab/>
        <w:t>if costs are payable under an order—the day the order is made;</w:t>
      </w:r>
    </w:p>
    <w:p w14:paraId="618C35B9" w14:textId="77777777" w:rsidR="003D4FF5" w:rsidRDefault="003D4FF5" w:rsidP="003D4FF5">
      <w:pPr>
        <w:pStyle w:val="Asubpara"/>
      </w:pPr>
      <w:r>
        <w:tab/>
        <w:t>(ii)</w:t>
      </w:r>
      <w:r>
        <w:tab/>
        <w:t>if costs are not payable under an order—the day liability for costs accrues.</w:t>
      </w:r>
    </w:p>
    <w:p w14:paraId="5AF5F098" w14:textId="77777777" w:rsidR="003D4FF5" w:rsidRDefault="003D4FF5" w:rsidP="003D4FF5">
      <w:pPr>
        <w:pStyle w:val="Amain"/>
      </w:pPr>
      <w:r>
        <w:tab/>
        <w:t>(3)</w:t>
      </w:r>
      <w:r>
        <w:tab/>
        <w:t>An offer to settle costs—</w:t>
      </w:r>
    </w:p>
    <w:p w14:paraId="281BD0C3" w14:textId="77777777" w:rsidR="003D4FF5" w:rsidRDefault="003D4FF5" w:rsidP="003D4FF5">
      <w:pPr>
        <w:pStyle w:val="Apara"/>
      </w:pPr>
      <w:r>
        <w:tab/>
        <w:t>(a)</w:t>
      </w:r>
      <w:r>
        <w:tab/>
        <w:t>cannot be withdrawn without the court’s leave; and</w:t>
      </w:r>
    </w:p>
    <w:p w14:paraId="4E247EA3" w14:textId="77777777" w:rsidR="003D4FF5" w:rsidRDefault="003D4FF5" w:rsidP="003D4FF5">
      <w:pPr>
        <w:pStyle w:val="Apara"/>
      </w:pPr>
      <w:r>
        <w:tab/>
        <w:t>(b)</w:t>
      </w:r>
      <w:r>
        <w:tab/>
        <w:t>does not lapse because the party to whom it is made rejects or fails to accept it; and</w:t>
      </w:r>
    </w:p>
    <w:p w14:paraId="691B1D16" w14:textId="77777777" w:rsidR="003D4FF5" w:rsidRDefault="003D4FF5" w:rsidP="003D4FF5">
      <w:pPr>
        <w:pStyle w:val="Apara"/>
        <w:keepNext/>
      </w:pPr>
      <w:r>
        <w:tab/>
        <w:t>(c)</w:t>
      </w:r>
      <w:r>
        <w:tab/>
        <w:t>ends at the end of 14 days after the day it is made or when the assessment of the bill of costs to which it relates starts (whichever is the earlier).</w:t>
      </w:r>
    </w:p>
    <w:p w14:paraId="5037C8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703A779" w14:textId="77777777"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14:paraId="323C7844" w14:textId="77777777" w:rsidR="003D4FF5" w:rsidRDefault="003D4FF5" w:rsidP="003D4FF5">
      <w:pPr>
        <w:pStyle w:val="AH5Sec"/>
      </w:pPr>
      <w:bookmarkStart w:id="601" w:name="_Toc185514217"/>
      <w:r w:rsidRPr="00C8328B">
        <w:rPr>
          <w:rStyle w:val="CharSectNo"/>
        </w:rPr>
        <w:lastRenderedPageBreak/>
        <w:t>1812</w:t>
      </w:r>
      <w:r>
        <w:tab/>
        <w:t>Costs—acceptance of offer to settle</w:t>
      </w:r>
      <w:bookmarkEnd w:id="601"/>
    </w:p>
    <w:p w14:paraId="54DEA217" w14:textId="77777777" w:rsidR="003D4FF5" w:rsidRDefault="003D4FF5" w:rsidP="005473D9">
      <w:pPr>
        <w:pStyle w:val="Amain"/>
        <w:keepNext/>
      </w:pPr>
      <w:r>
        <w:tab/>
        <w:t>(1)</w:t>
      </w:r>
      <w:r>
        <w:tab/>
        <w:t>An acceptance of an offer to settle must be in writing.</w:t>
      </w:r>
    </w:p>
    <w:p w14:paraId="7BFD40F1" w14:textId="77777777" w:rsidR="003D4FF5" w:rsidRDefault="003D4FF5" w:rsidP="003D4FF5">
      <w:pPr>
        <w:pStyle w:val="Amain"/>
      </w:pPr>
      <w:r>
        <w:tab/>
        <w:t>(2)</w:t>
      </w:r>
      <w:r>
        <w:tab/>
        <w:t>If a party gives the registrar a copy of the offer and the acceptance of the offer, the amount of the offer is taken to be assessed costs of the proceeding.</w:t>
      </w:r>
    </w:p>
    <w:p w14:paraId="3DB14FAB" w14:textId="77777777" w:rsidR="003D4FF5" w:rsidRDefault="003D4FF5" w:rsidP="003D4FF5">
      <w:pPr>
        <w:pStyle w:val="AH5Sec"/>
      </w:pPr>
      <w:bookmarkStart w:id="602" w:name="_Toc185514218"/>
      <w:r w:rsidRPr="00C8328B">
        <w:rPr>
          <w:rStyle w:val="CharSectNo"/>
        </w:rPr>
        <w:t>1813</w:t>
      </w:r>
      <w:r>
        <w:tab/>
        <w:t>Costs—rejection of offer to settle</w:t>
      </w:r>
      <w:bookmarkEnd w:id="602"/>
    </w:p>
    <w:p w14:paraId="564A1F2C" w14:textId="77777777" w:rsidR="003D4FF5" w:rsidRDefault="003D4FF5" w:rsidP="003D4FF5">
      <w:pPr>
        <w:pStyle w:val="Amain"/>
      </w:pPr>
      <w:r>
        <w:tab/>
        <w:t>(1)</w:t>
      </w:r>
      <w:r>
        <w:tab/>
        <w:t>This rule applies if a party entitled to costs does not accept an offer to settle made under rule 1811 by a party liable to pay the costs.</w:t>
      </w:r>
    </w:p>
    <w:p w14:paraId="749AC2D5" w14:textId="77777777"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14:paraId="70315C23" w14:textId="77777777"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14:paraId="30A8A72C" w14:textId="76A3BACA"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59" w:tooltip="A2004-59" w:history="1">
        <w:r w:rsidRPr="005A5F43">
          <w:rPr>
            <w:rStyle w:val="charCitHyperlinkItal"/>
          </w:rPr>
          <w:t>Court Procedures Act 2004</w:t>
        </w:r>
      </w:hyperlink>
      <w:r>
        <w:t>, part 3 (Court and tribunal fees) for the assessment.</w:t>
      </w:r>
    </w:p>
    <w:p w14:paraId="51221195" w14:textId="77777777" w:rsidR="003D4FF5" w:rsidRPr="00DC6DB8" w:rsidRDefault="003D4FF5" w:rsidP="003D4FF5">
      <w:pPr>
        <w:pStyle w:val="AH5Sec"/>
      </w:pPr>
      <w:bookmarkStart w:id="603" w:name="_Toc185514219"/>
      <w:r w:rsidRPr="00C8328B">
        <w:rPr>
          <w:rStyle w:val="CharSectNo"/>
        </w:rPr>
        <w:t>1814</w:t>
      </w:r>
      <w:r w:rsidRPr="00DC6DB8">
        <w:tab/>
        <w:t>Costs—Calderbank offer to settle</w:t>
      </w:r>
      <w:bookmarkEnd w:id="603"/>
    </w:p>
    <w:p w14:paraId="23096FBA" w14:textId="77777777" w:rsidR="003D4FF5" w:rsidRPr="00DC6DB8" w:rsidRDefault="003D4FF5" w:rsidP="003D4FF5">
      <w:pPr>
        <w:pStyle w:val="Amain"/>
        <w:keepNext/>
      </w:pPr>
      <w:r w:rsidRPr="00DC6DB8">
        <w:tab/>
        <w:t>(1)</w:t>
      </w:r>
      <w:r w:rsidRPr="00DC6DB8">
        <w:tab/>
        <w:t>This rule applies if a party entitled to costs serves on the party liable to pay the costs—</w:t>
      </w:r>
    </w:p>
    <w:p w14:paraId="3C0FE9F1" w14:textId="77777777" w:rsidR="003D4FF5" w:rsidRPr="00DC6DB8" w:rsidRDefault="003D4FF5" w:rsidP="003D4FF5">
      <w:pPr>
        <w:pStyle w:val="Apara"/>
      </w:pPr>
      <w:r w:rsidRPr="00DC6DB8">
        <w:tab/>
        <w:t>(a)</w:t>
      </w:r>
      <w:r w:rsidRPr="00DC6DB8">
        <w:tab/>
        <w:t>a bill of costs; and</w:t>
      </w:r>
    </w:p>
    <w:p w14:paraId="498EA54E" w14:textId="77777777" w:rsidR="003D4FF5" w:rsidRPr="00DC6DB8" w:rsidRDefault="003D4FF5" w:rsidP="003D4FF5">
      <w:pPr>
        <w:pStyle w:val="Apara"/>
      </w:pPr>
      <w:r w:rsidRPr="00DC6DB8">
        <w:tab/>
        <w:t>(b)</w:t>
      </w:r>
      <w:r w:rsidRPr="00DC6DB8">
        <w:tab/>
        <w:t>not before the bill of costs is served—a written offer to settle the costs.</w:t>
      </w:r>
    </w:p>
    <w:p w14:paraId="00688A9D" w14:textId="77777777"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14:paraId="459A6461" w14:textId="77777777"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14:paraId="4F09B1AF" w14:textId="77777777"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14:paraId="41F263A3" w14:textId="77777777"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14:paraId="0AE52E9F" w14:textId="77777777"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14:paraId="153A4B67" w14:textId="77777777" w:rsidR="003D4FF5" w:rsidRPr="00C8328B" w:rsidRDefault="003D4FF5" w:rsidP="003D4FF5">
      <w:pPr>
        <w:pStyle w:val="AH3Div"/>
      </w:pPr>
      <w:bookmarkStart w:id="604" w:name="_Toc185514220"/>
      <w:r w:rsidRPr="00C8328B">
        <w:rPr>
          <w:rStyle w:val="CharDivNo"/>
        </w:rPr>
        <w:t>Division 2.17.6</w:t>
      </w:r>
      <w:r>
        <w:tab/>
      </w:r>
      <w:r w:rsidRPr="00C8328B">
        <w:rPr>
          <w:rStyle w:val="CharDivText"/>
        </w:rPr>
        <w:t>Procedure on costs assessment</w:t>
      </w:r>
      <w:bookmarkEnd w:id="604"/>
    </w:p>
    <w:p w14:paraId="786B6663" w14:textId="77777777" w:rsidR="003D4FF5" w:rsidRDefault="003D4FF5" w:rsidP="003D4FF5">
      <w:pPr>
        <w:pStyle w:val="AH5Sec"/>
      </w:pPr>
      <w:bookmarkStart w:id="605" w:name="_Toc185514221"/>
      <w:r w:rsidRPr="00C8328B">
        <w:rPr>
          <w:rStyle w:val="CharSectNo"/>
        </w:rPr>
        <w:t>1830</w:t>
      </w:r>
      <w:r>
        <w:tab/>
        <w:t>Costs—attendance of parties at assessment</w:t>
      </w:r>
      <w:bookmarkEnd w:id="605"/>
    </w:p>
    <w:p w14:paraId="4B43D81A" w14:textId="77777777" w:rsidR="003D4FF5" w:rsidRDefault="003D4FF5" w:rsidP="003D4FF5">
      <w:pPr>
        <w:pStyle w:val="Amain"/>
      </w:pPr>
      <w:r>
        <w:tab/>
        <w:t>(1)</w:t>
      </w:r>
      <w:r>
        <w:tab/>
        <w:t>The registrar may give directions about—</w:t>
      </w:r>
    </w:p>
    <w:p w14:paraId="04C64C45" w14:textId="77777777" w:rsidR="003D4FF5" w:rsidRDefault="003D4FF5" w:rsidP="003D4FF5">
      <w:pPr>
        <w:pStyle w:val="Apara"/>
      </w:pPr>
      <w:r>
        <w:tab/>
        <w:t>(a)</w:t>
      </w:r>
      <w:r>
        <w:tab/>
        <w:t>who must be served with a bill of costs; and</w:t>
      </w:r>
    </w:p>
    <w:p w14:paraId="466898FB" w14:textId="77777777" w:rsidR="003D4FF5" w:rsidRDefault="003D4FF5" w:rsidP="003D4FF5">
      <w:pPr>
        <w:pStyle w:val="Apara"/>
      </w:pPr>
      <w:r>
        <w:tab/>
        <w:t>(b)</w:t>
      </w:r>
      <w:r>
        <w:tab/>
        <w:t>who should attend or be represented when the registrar is assessing costs.</w:t>
      </w:r>
    </w:p>
    <w:p w14:paraId="35C1AB94" w14:textId="77777777" w:rsidR="003D4FF5" w:rsidRDefault="003D4FF5" w:rsidP="003D4FF5">
      <w:pPr>
        <w:pStyle w:val="Amain"/>
      </w:pPr>
      <w:r>
        <w:tab/>
        <w:t>(2)</w:t>
      </w:r>
      <w:r>
        <w:tab/>
        <w:t>If the registrar considers a person’s attendance at an assessment is unnecessary, the registrar may disallow the costs of the person’s attendance.</w:t>
      </w:r>
    </w:p>
    <w:p w14:paraId="61E010CC" w14:textId="77777777" w:rsidR="003D4FF5" w:rsidRDefault="003D4FF5" w:rsidP="003D4FF5">
      <w:pPr>
        <w:pStyle w:val="Amain"/>
      </w:pPr>
      <w:r>
        <w:tab/>
        <w:t>(3)</w:t>
      </w:r>
      <w:r>
        <w:tab/>
        <w:t>This rule does not prevent a person affected by an assessment attending the assessment.</w:t>
      </w:r>
    </w:p>
    <w:p w14:paraId="6BF15F9D" w14:textId="77777777"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14:paraId="25EDED64" w14:textId="77777777" w:rsidR="003D4FF5" w:rsidRDefault="003D4FF5" w:rsidP="003D4FF5">
      <w:pPr>
        <w:pStyle w:val="Apara"/>
      </w:pPr>
      <w:r>
        <w:tab/>
        <w:t>(a)</w:t>
      </w:r>
      <w:r>
        <w:tab/>
        <w:t>identifying the fund; and</w:t>
      </w:r>
    </w:p>
    <w:p w14:paraId="33B8E9C6" w14:textId="77777777" w:rsidR="003D4FF5" w:rsidRDefault="003D4FF5" w:rsidP="003D4FF5">
      <w:pPr>
        <w:pStyle w:val="Apara"/>
      </w:pPr>
      <w:r>
        <w:tab/>
        <w:t>(b)</w:t>
      </w:r>
      <w:r>
        <w:tab/>
        <w:t>stating that the costs in the bill of costs are payable by the fund; and</w:t>
      </w:r>
    </w:p>
    <w:p w14:paraId="57ED1F9A" w14:textId="77777777" w:rsidR="003D4FF5" w:rsidRDefault="003D4FF5" w:rsidP="003D4FF5">
      <w:pPr>
        <w:pStyle w:val="Apara"/>
      </w:pPr>
      <w:r>
        <w:tab/>
        <w:t>(c)</w:t>
      </w:r>
      <w:r>
        <w:tab/>
        <w:t>stating when the costs are to be assessed; and</w:t>
      </w:r>
    </w:p>
    <w:p w14:paraId="3EE24C82" w14:textId="77777777" w:rsidR="003D4FF5" w:rsidRDefault="003D4FF5" w:rsidP="003D4FF5">
      <w:pPr>
        <w:pStyle w:val="Apara"/>
      </w:pPr>
      <w:r>
        <w:tab/>
        <w:t>(d)</w:t>
      </w:r>
      <w:r>
        <w:tab/>
        <w:t>containing any other information the registrar requires to be included in the notice.</w:t>
      </w:r>
    </w:p>
    <w:p w14:paraId="0A9DF0D8" w14:textId="77777777" w:rsidR="003D4FF5" w:rsidRDefault="003D4FF5" w:rsidP="003D4FF5">
      <w:pPr>
        <w:pStyle w:val="AH5Sec"/>
      </w:pPr>
      <w:bookmarkStart w:id="606" w:name="_Toc185514222"/>
      <w:r w:rsidRPr="00C8328B">
        <w:rPr>
          <w:rStyle w:val="CharSectNo"/>
        </w:rPr>
        <w:t>1831</w:t>
      </w:r>
      <w:r>
        <w:tab/>
        <w:t>Costs—notice of adjournment of assessment</w:t>
      </w:r>
      <w:bookmarkEnd w:id="606"/>
    </w:p>
    <w:p w14:paraId="682D4B3C" w14:textId="77777777"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14:paraId="2CAC228D" w14:textId="77777777" w:rsidR="003D4FF5" w:rsidRDefault="003D4FF5" w:rsidP="003D4FF5">
      <w:pPr>
        <w:pStyle w:val="Amain"/>
      </w:pPr>
      <w:r>
        <w:tab/>
        <w:t>(2)</w:t>
      </w:r>
      <w:r>
        <w:tab/>
        <w:t>This rule applies unless the registrar otherwise directs.</w:t>
      </w:r>
    </w:p>
    <w:p w14:paraId="62B64852" w14:textId="77777777" w:rsidR="003D4FF5" w:rsidRDefault="003D4FF5" w:rsidP="003D4FF5">
      <w:pPr>
        <w:pStyle w:val="AH5Sec"/>
      </w:pPr>
      <w:bookmarkStart w:id="607" w:name="_Toc185514223"/>
      <w:r w:rsidRPr="00C8328B">
        <w:rPr>
          <w:rStyle w:val="CharSectNo"/>
        </w:rPr>
        <w:t>1832</w:t>
      </w:r>
      <w:r>
        <w:tab/>
        <w:t>Costs—delay before registrar etc</w:t>
      </w:r>
      <w:bookmarkEnd w:id="607"/>
    </w:p>
    <w:p w14:paraId="06016E79" w14:textId="77777777"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14:paraId="7FF7D505" w14:textId="77777777" w:rsidR="003D4FF5" w:rsidRDefault="003D4FF5" w:rsidP="003D4FF5">
      <w:pPr>
        <w:pStyle w:val="Apara"/>
      </w:pPr>
      <w:r>
        <w:tab/>
        <w:t>(a)</w:t>
      </w:r>
      <w:r>
        <w:tab/>
        <w:t>order the first party to pay the costs, or part of the costs, of the proceeding before the registrar to any party; or</w:t>
      </w:r>
    </w:p>
    <w:p w14:paraId="61B42271" w14:textId="77777777" w:rsidR="003D4FF5" w:rsidRDefault="003D4FF5" w:rsidP="003D4FF5">
      <w:pPr>
        <w:pStyle w:val="Apara"/>
      </w:pPr>
      <w:r>
        <w:tab/>
        <w:t>(b)</w:t>
      </w:r>
      <w:r>
        <w:tab/>
        <w:t>refuse to allow fees to which the practitioner would otherwise be entitled.</w:t>
      </w:r>
    </w:p>
    <w:p w14:paraId="569A2C2E" w14:textId="77777777" w:rsidR="003D4FF5" w:rsidRDefault="003D4FF5" w:rsidP="003D4FF5">
      <w:pPr>
        <w:pStyle w:val="AH5Sec"/>
      </w:pPr>
      <w:bookmarkStart w:id="608" w:name="_Toc185514224"/>
      <w:r w:rsidRPr="00C8328B">
        <w:rPr>
          <w:rStyle w:val="CharSectNo"/>
        </w:rPr>
        <w:lastRenderedPageBreak/>
        <w:t>1833</w:t>
      </w:r>
      <w:r>
        <w:tab/>
        <w:t>Costs—set off of costs</w:t>
      </w:r>
      <w:bookmarkEnd w:id="608"/>
    </w:p>
    <w:p w14:paraId="739DC676" w14:textId="77777777" w:rsidR="003D4FF5" w:rsidRDefault="003D4FF5" w:rsidP="005473D9">
      <w:pPr>
        <w:pStyle w:val="Amain"/>
        <w:keepNext/>
      </w:pPr>
      <w:r>
        <w:tab/>
        <w:t>(1)</w:t>
      </w:r>
      <w:r>
        <w:tab/>
        <w:t>If a party entitled to be paid costs is also liable to pay costs, the registrar may—</w:t>
      </w:r>
    </w:p>
    <w:p w14:paraId="06D39056" w14:textId="77777777"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14:paraId="7D54E345" w14:textId="77777777" w:rsidR="003D4FF5" w:rsidRDefault="003D4FF5" w:rsidP="003D4FF5">
      <w:pPr>
        <w:pStyle w:val="Apara"/>
      </w:pPr>
      <w:r>
        <w:tab/>
        <w:t>(b)</w:t>
      </w:r>
      <w:r>
        <w:tab/>
        <w:t>decline to make an order for costs the party is entitled to be paid until the party has paid the amount the party is liable to pay.</w:t>
      </w:r>
    </w:p>
    <w:p w14:paraId="3C9FB877" w14:textId="77777777" w:rsidR="003D4FF5" w:rsidRDefault="003D4FF5" w:rsidP="003D4FF5">
      <w:pPr>
        <w:pStyle w:val="Amain"/>
      </w:pPr>
      <w:r>
        <w:tab/>
        <w:t>(2)</w:t>
      </w:r>
      <w:r>
        <w:tab/>
        <w:t>Costs may be set off under subrule (1) even though a solicitor for a party has a lien for costs of the proceeding.</w:t>
      </w:r>
    </w:p>
    <w:p w14:paraId="5674845F" w14:textId="77777777" w:rsidR="003D4FF5" w:rsidRDefault="003D4FF5" w:rsidP="003D4FF5">
      <w:pPr>
        <w:pStyle w:val="AH5Sec"/>
      </w:pPr>
      <w:bookmarkStart w:id="609" w:name="_Toc185514225"/>
      <w:r w:rsidRPr="00C8328B">
        <w:rPr>
          <w:rStyle w:val="CharSectNo"/>
        </w:rPr>
        <w:t>1834</w:t>
      </w:r>
      <w:r>
        <w:tab/>
        <w:t>Costs—bill of costs reduced by 15% or more</w:t>
      </w:r>
      <w:bookmarkEnd w:id="609"/>
    </w:p>
    <w:p w14:paraId="4F0713DE" w14:textId="77777777"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14:paraId="5D91FFF1" w14:textId="77777777"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14:paraId="4514A7A7" w14:textId="77777777" w:rsidR="003D4FF5" w:rsidRDefault="003D4FF5" w:rsidP="003D4FF5">
      <w:pPr>
        <w:pStyle w:val="AH5Sec"/>
      </w:pPr>
      <w:bookmarkStart w:id="610" w:name="_Toc185514226"/>
      <w:r w:rsidRPr="00C8328B">
        <w:rPr>
          <w:rStyle w:val="CharSectNo"/>
        </w:rPr>
        <w:t>1835</w:t>
      </w:r>
      <w:r>
        <w:tab/>
        <w:t>Costs—registrar’s certificate of assessment</w:t>
      </w:r>
      <w:bookmarkEnd w:id="610"/>
    </w:p>
    <w:p w14:paraId="4470891C" w14:textId="77777777" w:rsidR="003D4FF5" w:rsidRDefault="003D4FF5" w:rsidP="003D4FF5">
      <w:pPr>
        <w:pStyle w:val="Amain"/>
        <w:keepNext/>
      </w:pPr>
      <w:r>
        <w:tab/>
        <w:t>(1)</w:t>
      </w:r>
      <w:r>
        <w:tab/>
        <w:t>The registrar must issue a certificate of assessment for the amount at which a bill of costs has been assessed.</w:t>
      </w:r>
    </w:p>
    <w:p w14:paraId="2C48D00A" w14:textId="32ECE7C2"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60" w:history="1">
        <w:r w:rsidRPr="006B76A5">
          <w:rPr>
            <w:rStyle w:val="charCitHyperlinkAbbrev"/>
          </w:rPr>
          <w:t>AF2006-291</w:t>
        </w:r>
      </w:hyperlink>
      <w:r>
        <w:t>.</w:t>
      </w:r>
    </w:p>
    <w:p w14:paraId="0061D372" w14:textId="77777777"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14:paraId="43F97EA7" w14:textId="77777777"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14:paraId="557C9606" w14:textId="77777777" w:rsidR="003D4FF5" w:rsidRDefault="003D4FF5" w:rsidP="003D4FF5">
      <w:pPr>
        <w:pStyle w:val="Amain"/>
        <w:keepNext/>
      </w:pPr>
      <w:r>
        <w:lastRenderedPageBreak/>
        <w:tab/>
        <w:t>(3)</w:t>
      </w:r>
      <w:r>
        <w:tab/>
        <w:t>Subrule (2) does not apply if—</w:t>
      </w:r>
    </w:p>
    <w:p w14:paraId="279445BD" w14:textId="77777777" w:rsidR="003D4FF5" w:rsidRDefault="003D4FF5" w:rsidP="003D4FF5">
      <w:pPr>
        <w:pStyle w:val="Apara"/>
      </w:pPr>
      <w:r>
        <w:tab/>
        <w:t>(a)</w:t>
      </w:r>
      <w:r>
        <w:tab/>
        <w:t>costs are assessed under rule 1809 (Costs—default assessment if no objection to bill of costs); or</w:t>
      </w:r>
    </w:p>
    <w:p w14:paraId="7E442A2A" w14:textId="77777777" w:rsidR="003D4FF5" w:rsidRDefault="003D4FF5" w:rsidP="003D4FF5">
      <w:pPr>
        <w:pStyle w:val="Apara"/>
      </w:pPr>
      <w:r>
        <w:tab/>
        <w:t>(b)</w:t>
      </w:r>
      <w:r>
        <w:tab/>
        <w:t>an offer to settle is accepted under rule 1812 (Costs—acceptance of offer to settle).</w:t>
      </w:r>
    </w:p>
    <w:p w14:paraId="18128A8A" w14:textId="77777777"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14:paraId="1A599E96" w14:textId="77777777" w:rsidR="003D4FF5" w:rsidRDefault="003D4FF5" w:rsidP="003D4FF5">
      <w:pPr>
        <w:pStyle w:val="Amain"/>
      </w:pPr>
      <w:r>
        <w:tab/>
        <w:t>(5)</w:t>
      </w:r>
      <w:r>
        <w:tab/>
        <w:t>However, if a notice is not filed under rule 1852 in relation to the assessment, the registrar must sign and file the certificate of assessment.</w:t>
      </w:r>
    </w:p>
    <w:p w14:paraId="7B259AC8" w14:textId="77777777" w:rsidR="003D4FF5" w:rsidRDefault="003D4FF5" w:rsidP="003D4FF5">
      <w:pPr>
        <w:pStyle w:val="Amain"/>
      </w:pPr>
      <w:r>
        <w:tab/>
        <w:t>(6)</w:t>
      </w:r>
      <w:r>
        <w:tab/>
        <w:t>The certificate of assessment is final when it is signed, sealed and filed by the registrar, and operates as if the certificate were an order of the court.</w:t>
      </w:r>
    </w:p>
    <w:p w14:paraId="6CAFF6FF" w14:textId="77777777" w:rsidR="003D4FF5" w:rsidRDefault="003D4FF5" w:rsidP="003D4FF5">
      <w:pPr>
        <w:pStyle w:val="AH5Sec"/>
      </w:pPr>
      <w:bookmarkStart w:id="611" w:name="_Toc185514227"/>
      <w:r w:rsidRPr="00C8328B">
        <w:rPr>
          <w:rStyle w:val="CharSectNo"/>
        </w:rPr>
        <w:t>1836</w:t>
      </w:r>
      <w:r>
        <w:tab/>
        <w:t>Costs—interim certificates of assessment</w:t>
      </w:r>
      <w:bookmarkEnd w:id="611"/>
    </w:p>
    <w:p w14:paraId="35A376B8" w14:textId="77777777"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14:paraId="5B0E41D7" w14:textId="77777777" w:rsidR="003D4FF5" w:rsidRPr="00C8328B" w:rsidRDefault="003D4FF5" w:rsidP="003D4FF5">
      <w:pPr>
        <w:pStyle w:val="AH3Div"/>
      </w:pPr>
      <w:bookmarkStart w:id="612" w:name="_Toc185514228"/>
      <w:r w:rsidRPr="00C8328B">
        <w:rPr>
          <w:rStyle w:val="CharDivNo"/>
        </w:rPr>
        <w:t>Division 2.17.7</w:t>
      </w:r>
      <w:r>
        <w:tab/>
      </w:r>
      <w:r w:rsidRPr="00C8328B">
        <w:rPr>
          <w:rStyle w:val="CharDivText"/>
        </w:rPr>
        <w:t>Reconsideration and review of costs assessment</w:t>
      </w:r>
      <w:bookmarkEnd w:id="612"/>
    </w:p>
    <w:p w14:paraId="4D00BC82" w14:textId="77777777" w:rsidR="003D4FF5" w:rsidRDefault="003D4FF5" w:rsidP="003D4FF5">
      <w:pPr>
        <w:pStyle w:val="AH5Sec"/>
      </w:pPr>
      <w:bookmarkStart w:id="613" w:name="_Toc185514229"/>
      <w:r w:rsidRPr="00C8328B">
        <w:rPr>
          <w:rStyle w:val="CharSectNo"/>
        </w:rPr>
        <w:t>1850</w:t>
      </w:r>
      <w:r>
        <w:tab/>
        <w:t>Application—div 2.17.7</w:t>
      </w:r>
      <w:bookmarkEnd w:id="613"/>
    </w:p>
    <w:p w14:paraId="304C942E" w14:textId="77777777" w:rsidR="003D4FF5" w:rsidRDefault="003D4FF5" w:rsidP="003D4FF5">
      <w:pPr>
        <w:pStyle w:val="Amainreturn"/>
        <w:keepNext/>
      </w:pPr>
      <w:r>
        <w:t>This division does not apply to—</w:t>
      </w:r>
    </w:p>
    <w:p w14:paraId="04DD7118" w14:textId="77777777" w:rsidR="003D4FF5" w:rsidRDefault="003D4FF5" w:rsidP="003D4FF5">
      <w:pPr>
        <w:pStyle w:val="Apara"/>
      </w:pPr>
      <w:r>
        <w:tab/>
        <w:t>(a)</w:t>
      </w:r>
      <w:r>
        <w:tab/>
        <w:t>an assessment under rule 1809 (Costs—default assessment if no objection to bill of costs); or</w:t>
      </w:r>
    </w:p>
    <w:p w14:paraId="3E486B07" w14:textId="77777777" w:rsidR="003D4FF5" w:rsidRDefault="003D4FF5" w:rsidP="003D4FF5">
      <w:pPr>
        <w:pStyle w:val="Apara"/>
      </w:pPr>
      <w:r>
        <w:tab/>
        <w:t>(b)</w:t>
      </w:r>
      <w:r>
        <w:tab/>
        <w:t>an interim assessment under rule 1836.</w:t>
      </w:r>
    </w:p>
    <w:p w14:paraId="7B3EC60E" w14:textId="77777777" w:rsidR="003D4FF5" w:rsidRDefault="003D4FF5" w:rsidP="003D4FF5">
      <w:pPr>
        <w:pStyle w:val="AH5Sec"/>
      </w:pPr>
      <w:bookmarkStart w:id="614" w:name="_Toc185514230"/>
      <w:r w:rsidRPr="00C8328B">
        <w:rPr>
          <w:rStyle w:val="CharSectNo"/>
        </w:rPr>
        <w:lastRenderedPageBreak/>
        <w:t>1851</w:t>
      </w:r>
      <w:r>
        <w:tab/>
        <w:t>Costs—application for reconsideration</w:t>
      </w:r>
      <w:bookmarkEnd w:id="614"/>
    </w:p>
    <w:p w14:paraId="3240F11C" w14:textId="77777777"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14:paraId="006E99EA" w14:textId="77777777" w:rsidR="003D4FF5" w:rsidRDefault="003D4FF5" w:rsidP="003D4FF5">
      <w:pPr>
        <w:pStyle w:val="Amain"/>
      </w:pPr>
      <w:r>
        <w:tab/>
        <w:t>(2)</w:t>
      </w:r>
      <w:r>
        <w:tab/>
        <w:t>The party may apply to the registrar in accordance with rule 1852 for reconsideration of the decision.</w:t>
      </w:r>
    </w:p>
    <w:p w14:paraId="2E135836" w14:textId="77777777"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14:paraId="372BDDEB" w14:textId="77777777" w:rsidR="003D4FF5" w:rsidRDefault="003D4FF5" w:rsidP="003D4FF5">
      <w:pPr>
        <w:pStyle w:val="AH5Sec"/>
      </w:pPr>
      <w:bookmarkStart w:id="615" w:name="_Toc185514231"/>
      <w:r w:rsidRPr="00C8328B">
        <w:rPr>
          <w:rStyle w:val="CharSectNo"/>
        </w:rPr>
        <w:t>1852</w:t>
      </w:r>
      <w:r>
        <w:tab/>
        <w:t>Costs—procedure for reconsideration</w:t>
      </w:r>
      <w:bookmarkEnd w:id="615"/>
    </w:p>
    <w:p w14:paraId="28ED5E98" w14:textId="77777777" w:rsidR="003D4FF5" w:rsidRDefault="003D4FF5" w:rsidP="003D4FF5">
      <w:pPr>
        <w:pStyle w:val="Amain"/>
        <w:keepNext/>
      </w:pPr>
      <w:r>
        <w:tab/>
        <w:t>(1)</w:t>
      </w:r>
      <w:r>
        <w:tab/>
        <w:t>A party must apply for reconsideration of a decision of the registrar under this part by notice given to the registrar.</w:t>
      </w:r>
    </w:p>
    <w:p w14:paraId="3552C3B0" w14:textId="6B9AE19C"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61" w:history="1">
        <w:r w:rsidRPr="006B76A5">
          <w:rPr>
            <w:rStyle w:val="charCitHyperlinkAbbrev"/>
          </w:rPr>
          <w:t>AF2006-292</w:t>
        </w:r>
      </w:hyperlink>
      <w:r>
        <w:t>.</w:t>
      </w:r>
    </w:p>
    <w:p w14:paraId="432A01F1" w14:textId="77777777" w:rsidR="003D4FF5" w:rsidRDefault="003D4FF5" w:rsidP="003D4FF5">
      <w:pPr>
        <w:pStyle w:val="Amain"/>
      </w:pPr>
      <w:r>
        <w:tab/>
        <w:t>(2)</w:t>
      </w:r>
      <w:r>
        <w:tab/>
        <w:t>The notice must be filed not later than 14 days after the day the assessment was made.</w:t>
      </w:r>
    </w:p>
    <w:p w14:paraId="3D994D92" w14:textId="77777777" w:rsidR="003D4FF5" w:rsidRDefault="003D4FF5" w:rsidP="003D4FF5">
      <w:pPr>
        <w:pStyle w:val="Amain"/>
      </w:pPr>
      <w:r>
        <w:tab/>
        <w:t>(3)</w:t>
      </w:r>
      <w:r>
        <w:tab/>
        <w:t>The applicant must file with, or include in, the notice a statement of objection.</w:t>
      </w:r>
    </w:p>
    <w:p w14:paraId="3D41BDC5" w14:textId="77777777" w:rsidR="003D4FF5" w:rsidRDefault="003D4FF5" w:rsidP="003D4FF5">
      <w:pPr>
        <w:pStyle w:val="Amain"/>
      </w:pPr>
      <w:r>
        <w:tab/>
        <w:t>(4)</w:t>
      </w:r>
      <w:r>
        <w:tab/>
        <w:t>The statement of objection must—</w:t>
      </w:r>
    </w:p>
    <w:p w14:paraId="1E19FF57" w14:textId="77777777" w:rsidR="003D4FF5" w:rsidRDefault="003D4FF5" w:rsidP="003D4FF5">
      <w:pPr>
        <w:pStyle w:val="Apara"/>
      </w:pPr>
      <w:r>
        <w:tab/>
        <w:t>(a)</w:t>
      </w:r>
      <w:r>
        <w:tab/>
        <w:t>give the number of each item in the bill of costs to which the decision objected to relates; and</w:t>
      </w:r>
    </w:p>
    <w:p w14:paraId="66657F19" w14:textId="77777777"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14:paraId="5EC9E1C2" w14:textId="77777777"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14:paraId="01E6BD1A" w14:textId="77777777"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14:paraId="0BF137F6" w14:textId="77777777" w:rsidR="003D4FF5" w:rsidRDefault="003D4FF5" w:rsidP="003D4FF5">
      <w:pPr>
        <w:pStyle w:val="AH5Sec"/>
      </w:pPr>
      <w:bookmarkStart w:id="616" w:name="_Toc185514232"/>
      <w:r w:rsidRPr="00C8328B">
        <w:rPr>
          <w:rStyle w:val="CharSectNo"/>
        </w:rPr>
        <w:t>1853</w:t>
      </w:r>
      <w:r>
        <w:tab/>
        <w:t>Costs—reply to objection on reconsideration</w:t>
      </w:r>
      <w:bookmarkEnd w:id="616"/>
    </w:p>
    <w:p w14:paraId="3FFC7D9C" w14:textId="77777777"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14:paraId="546B9EB5" w14:textId="100F7B20"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62" w:history="1">
        <w:r w:rsidRPr="006B76A5">
          <w:rPr>
            <w:rStyle w:val="charCitHyperlinkAbbrev"/>
          </w:rPr>
          <w:t>AF2006-293</w:t>
        </w:r>
      </w:hyperlink>
      <w:r>
        <w:t>.</w:t>
      </w:r>
    </w:p>
    <w:p w14:paraId="3FB45687" w14:textId="77777777"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14:paraId="04684B8B" w14:textId="77777777" w:rsidR="003D4FF5" w:rsidRDefault="003D4FF5" w:rsidP="003D4FF5">
      <w:pPr>
        <w:pStyle w:val="Amain"/>
      </w:pPr>
      <w:r>
        <w:tab/>
        <w:t>(3)</w:t>
      </w:r>
      <w:r>
        <w:tab/>
        <w:t>The party must serve a stamped copy of the reply on the party who applied for reconsideration.</w:t>
      </w:r>
    </w:p>
    <w:p w14:paraId="3026C673" w14:textId="77777777" w:rsidR="003D4FF5" w:rsidRDefault="003D4FF5" w:rsidP="003D4FF5">
      <w:pPr>
        <w:pStyle w:val="Amain"/>
      </w:pPr>
      <w:r>
        <w:tab/>
        <w:t>(4)</w:t>
      </w:r>
      <w:r>
        <w:tab/>
        <w:t>The reply must be filed and served not later than 14 days after the day the statement of objection is served.</w:t>
      </w:r>
    </w:p>
    <w:p w14:paraId="5A97F108" w14:textId="77777777" w:rsidR="003D4FF5" w:rsidRDefault="003D4FF5" w:rsidP="003D4FF5">
      <w:pPr>
        <w:pStyle w:val="AH5Sec"/>
      </w:pPr>
      <w:bookmarkStart w:id="617" w:name="_Toc185514233"/>
      <w:r w:rsidRPr="00C8328B">
        <w:rPr>
          <w:rStyle w:val="CharSectNo"/>
        </w:rPr>
        <w:t>1854</w:t>
      </w:r>
      <w:r>
        <w:tab/>
        <w:t>Costs—reconsideration of registrar’s assessment</w:t>
      </w:r>
      <w:bookmarkEnd w:id="617"/>
    </w:p>
    <w:p w14:paraId="1206B625" w14:textId="77777777" w:rsidR="003D4FF5" w:rsidRDefault="003D4FF5" w:rsidP="003D4FF5">
      <w:pPr>
        <w:pStyle w:val="Amain"/>
      </w:pPr>
      <w:r>
        <w:tab/>
        <w:t>(1)</w:t>
      </w:r>
      <w:r>
        <w:tab/>
        <w:t>If a party files a notice and statement under rule 1852 (Costs—procedure for reconsideration), the registrar must—</w:t>
      </w:r>
    </w:p>
    <w:p w14:paraId="2686750C" w14:textId="77777777" w:rsidR="003D4FF5" w:rsidRDefault="003D4FF5" w:rsidP="003D4FF5">
      <w:pPr>
        <w:pStyle w:val="Apara"/>
      </w:pPr>
      <w:r>
        <w:tab/>
        <w:t>(a)</w:t>
      </w:r>
      <w:r>
        <w:tab/>
        <w:t>reconsider a decision objected to having regard to the statement of objection and any reply filed under rule 1853; and</w:t>
      </w:r>
    </w:p>
    <w:p w14:paraId="0F450B67" w14:textId="77777777" w:rsidR="003D4FF5" w:rsidRDefault="003D4FF5" w:rsidP="003D4FF5">
      <w:pPr>
        <w:pStyle w:val="Apara"/>
      </w:pPr>
      <w:r>
        <w:tab/>
        <w:t>(b)</w:t>
      </w:r>
      <w:r>
        <w:tab/>
        <w:t>give reasons for the decision on reconsideration; and</w:t>
      </w:r>
    </w:p>
    <w:p w14:paraId="66D3312D" w14:textId="77777777" w:rsidR="003D4FF5" w:rsidRDefault="003D4FF5" w:rsidP="003D4FF5">
      <w:pPr>
        <w:pStyle w:val="Apara"/>
      </w:pPr>
      <w:r>
        <w:tab/>
        <w:t>(c)</w:t>
      </w:r>
      <w:r>
        <w:tab/>
        <w:t>issue a certificate of assessment in accordance with the decision on reconsideration.</w:t>
      </w:r>
    </w:p>
    <w:p w14:paraId="4F12857B" w14:textId="77777777" w:rsidR="003D4FF5" w:rsidRDefault="003D4FF5" w:rsidP="003D4FF5">
      <w:pPr>
        <w:pStyle w:val="Amain"/>
      </w:pPr>
      <w:r>
        <w:tab/>
        <w:t>(2)</w:t>
      </w:r>
      <w:r>
        <w:tab/>
        <w:t>Subject to rule 1855, a certificate of assessment issued under subrule (1) (c) is final.</w:t>
      </w:r>
    </w:p>
    <w:p w14:paraId="14979C5F" w14:textId="77777777" w:rsidR="003D4FF5" w:rsidRDefault="003D4FF5" w:rsidP="003D4FF5">
      <w:pPr>
        <w:pStyle w:val="AH5Sec"/>
      </w:pPr>
      <w:bookmarkStart w:id="618" w:name="_Toc185514234"/>
      <w:r w:rsidRPr="00C8328B">
        <w:rPr>
          <w:rStyle w:val="CharSectNo"/>
        </w:rPr>
        <w:lastRenderedPageBreak/>
        <w:t>1855</w:t>
      </w:r>
      <w:r>
        <w:tab/>
        <w:t>Costs—review by court</w:t>
      </w:r>
      <w:bookmarkEnd w:id="618"/>
    </w:p>
    <w:p w14:paraId="1756B671" w14:textId="77777777" w:rsidR="003D4FF5" w:rsidRDefault="003D4FF5" w:rsidP="003D4FF5">
      <w:pPr>
        <w:pStyle w:val="Amain"/>
      </w:pPr>
      <w:r>
        <w:tab/>
        <w:t>(1)</w:t>
      </w:r>
      <w:r>
        <w:tab/>
        <w:t>A party dissatisfied with the decision of the registrar on reconsideration under rule 1854 may apply to the court to review the decision.</w:t>
      </w:r>
    </w:p>
    <w:p w14:paraId="74A1BCED" w14:textId="77777777" w:rsidR="003D4FF5" w:rsidRDefault="003D4FF5" w:rsidP="003D4FF5">
      <w:pPr>
        <w:pStyle w:val="Amain"/>
      </w:pPr>
      <w:r>
        <w:tab/>
        <w:t>(2)</w:t>
      </w:r>
      <w:r>
        <w:tab/>
        <w:t>The application must—</w:t>
      </w:r>
    </w:p>
    <w:p w14:paraId="7BD9D2EB" w14:textId="77777777" w:rsidR="003D4FF5" w:rsidRDefault="003D4FF5" w:rsidP="003D4FF5">
      <w:pPr>
        <w:pStyle w:val="Apara"/>
      </w:pPr>
      <w:r>
        <w:tab/>
        <w:t>(a)</w:t>
      </w:r>
      <w:r>
        <w:tab/>
        <w:t>give the number of each item in the bill of costs to which the decision objected to relates; and</w:t>
      </w:r>
    </w:p>
    <w:p w14:paraId="6E7D8744" w14:textId="77777777" w:rsidR="003D4FF5" w:rsidRDefault="003D4FF5" w:rsidP="003D4FF5">
      <w:pPr>
        <w:pStyle w:val="Apara"/>
      </w:pPr>
      <w:r>
        <w:tab/>
        <w:t>(b)</w:t>
      </w:r>
      <w:r>
        <w:tab/>
        <w:t>state briefly, but specifically, the grounds for objecting to the decision; and</w:t>
      </w:r>
    </w:p>
    <w:p w14:paraId="60BB2C52" w14:textId="77777777" w:rsidR="003D4FF5" w:rsidRDefault="003D4FF5" w:rsidP="003D4FF5">
      <w:pPr>
        <w:pStyle w:val="Apara"/>
      </w:pPr>
      <w:r>
        <w:tab/>
        <w:t>(c)</w:t>
      </w:r>
      <w:r>
        <w:tab/>
        <w:t>state briefly the reasons for the grounds; and</w:t>
      </w:r>
    </w:p>
    <w:p w14:paraId="07A01FEE" w14:textId="77777777" w:rsidR="003D4FF5" w:rsidRDefault="003D4FF5" w:rsidP="003D4FF5">
      <w:pPr>
        <w:pStyle w:val="Apara"/>
      </w:pPr>
      <w:r>
        <w:tab/>
        <w:t>(d)</w:t>
      </w:r>
      <w:r>
        <w:tab/>
        <w:t>state the decision sought from the court in relation to each objection.</w:t>
      </w:r>
    </w:p>
    <w:p w14:paraId="24F5B4A5" w14:textId="77777777"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14:paraId="011FE6DA" w14:textId="77777777" w:rsidR="003D4FF5" w:rsidRDefault="003D4FF5" w:rsidP="003D4FF5">
      <w:pPr>
        <w:pStyle w:val="Amain"/>
      </w:pPr>
      <w:r>
        <w:tab/>
        <w:t>(4)</w:t>
      </w:r>
      <w:r>
        <w:tab/>
        <w:t>Unless the court otherwise orders, on the review a party must not—</w:t>
      </w:r>
    </w:p>
    <w:p w14:paraId="3FE7E28E" w14:textId="77777777" w:rsidR="003D4FF5" w:rsidRDefault="003D4FF5" w:rsidP="003D4FF5">
      <w:pPr>
        <w:pStyle w:val="Apara"/>
      </w:pPr>
      <w:r>
        <w:tab/>
        <w:t>(a)</w:t>
      </w:r>
      <w:r>
        <w:tab/>
        <w:t>present evidence; or</w:t>
      </w:r>
    </w:p>
    <w:p w14:paraId="3DEB459E" w14:textId="77777777" w:rsidR="003D4FF5" w:rsidRDefault="003D4FF5" w:rsidP="003D4FF5">
      <w:pPr>
        <w:pStyle w:val="Apara"/>
        <w:keepNext/>
      </w:pPr>
      <w:r>
        <w:tab/>
        <w:t>(b)</w:t>
      </w:r>
      <w:r>
        <w:tab/>
        <w:t>raise any ground of objection not stated in a statement of objection or raised before the registrar.</w:t>
      </w:r>
    </w:p>
    <w:p w14:paraId="05DA902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2CD8BBCD" w14:textId="77777777" w:rsidR="003D4FF5" w:rsidRDefault="003D4FF5" w:rsidP="003D4FF5">
      <w:pPr>
        <w:pStyle w:val="Amain"/>
      </w:pPr>
      <w:r>
        <w:tab/>
        <w:t>(5)</w:t>
      </w:r>
      <w:r>
        <w:tab/>
        <w:t>On the review, the court may—</w:t>
      </w:r>
    </w:p>
    <w:p w14:paraId="11A97194" w14:textId="77777777" w:rsidR="003D4FF5" w:rsidRDefault="003D4FF5" w:rsidP="003D4FF5">
      <w:pPr>
        <w:pStyle w:val="Apara"/>
      </w:pPr>
      <w:r>
        <w:tab/>
        <w:t>(a)</w:t>
      </w:r>
      <w:r>
        <w:tab/>
        <w:t>exercise all the powers of the registrar in relation to the items of the bill of costs under objection; and</w:t>
      </w:r>
    </w:p>
    <w:p w14:paraId="2C7706E5" w14:textId="77777777" w:rsidR="003D4FF5" w:rsidRDefault="003D4FF5" w:rsidP="003D4FF5">
      <w:pPr>
        <w:pStyle w:val="Apara"/>
      </w:pPr>
      <w:r>
        <w:tab/>
        <w:t>(b)</w:t>
      </w:r>
      <w:r>
        <w:tab/>
        <w:t>amend or set aside the registrar’s decision; and</w:t>
      </w:r>
    </w:p>
    <w:p w14:paraId="6D5047A5" w14:textId="77777777" w:rsidR="003D4FF5" w:rsidRDefault="003D4FF5" w:rsidP="003D4FF5">
      <w:pPr>
        <w:pStyle w:val="Apara"/>
      </w:pPr>
      <w:r>
        <w:tab/>
        <w:t>(c)</w:t>
      </w:r>
      <w:r>
        <w:tab/>
        <w:t>return any item in the bill of costs to the registrar for reconsideration, whether with or without directions to the registrar; and</w:t>
      </w:r>
    </w:p>
    <w:p w14:paraId="3BD97795" w14:textId="77777777" w:rsidR="003D4FF5" w:rsidRDefault="003D4FF5" w:rsidP="003D4FF5">
      <w:pPr>
        <w:pStyle w:val="Apara"/>
      </w:pPr>
      <w:r>
        <w:lastRenderedPageBreak/>
        <w:tab/>
        <w:t>(d)</w:t>
      </w:r>
      <w:r>
        <w:tab/>
        <w:t>make any other order it considers appropriate.</w:t>
      </w:r>
    </w:p>
    <w:p w14:paraId="20CD65AC" w14:textId="77777777" w:rsidR="003D4FF5" w:rsidRDefault="003D4FF5" w:rsidP="003D4FF5">
      <w:pPr>
        <w:pStyle w:val="Amain"/>
      </w:pPr>
      <w:r>
        <w:tab/>
        <w:t>(6)</w:t>
      </w:r>
      <w:r>
        <w:tab/>
        <w:t>Unless the court otherwise orders, the review does not operate as a stay of the registrar’s decision.</w:t>
      </w:r>
    </w:p>
    <w:p w14:paraId="02C24976" w14:textId="77777777" w:rsidR="003D4FF5" w:rsidRPr="00C8328B" w:rsidRDefault="003D4FF5" w:rsidP="003D4FF5">
      <w:pPr>
        <w:pStyle w:val="AH3Div"/>
      </w:pPr>
      <w:bookmarkStart w:id="619" w:name="_Toc185514235"/>
      <w:r w:rsidRPr="00C8328B">
        <w:rPr>
          <w:rStyle w:val="CharDivNo"/>
        </w:rPr>
        <w:t>Division 2.17.8</w:t>
      </w:r>
      <w:r>
        <w:tab/>
      </w:r>
      <w:r w:rsidRPr="00C8328B">
        <w:rPr>
          <w:rStyle w:val="CharDivText"/>
        </w:rPr>
        <w:t>Security for costs</w:t>
      </w:r>
      <w:bookmarkEnd w:id="619"/>
    </w:p>
    <w:p w14:paraId="7288DC67" w14:textId="77777777" w:rsidR="003D4FF5" w:rsidRDefault="003D4FF5" w:rsidP="003D4FF5">
      <w:pPr>
        <w:pStyle w:val="AH5Sec"/>
      </w:pPr>
      <w:bookmarkStart w:id="620" w:name="_Toc185514236"/>
      <w:r w:rsidRPr="00C8328B">
        <w:rPr>
          <w:rStyle w:val="CharSectNo"/>
        </w:rPr>
        <w:t>1900</w:t>
      </w:r>
      <w:r>
        <w:tab/>
        <w:t>Security for costs—application and order</w:t>
      </w:r>
      <w:bookmarkEnd w:id="620"/>
    </w:p>
    <w:p w14:paraId="077C3F87" w14:textId="77777777"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14:paraId="449DDC0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70E1AE1" w14:textId="77777777" w:rsidR="003D4FF5" w:rsidRDefault="003D4FF5" w:rsidP="003D4FF5">
      <w:pPr>
        <w:pStyle w:val="Amain"/>
      </w:pPr>
      <w:r>
        <w:tab/>
        <w:t>(2)</w:t>
      </w:r>
      <w:r>
        <w:tab/>
        <w:t>An application must be supported by an affidavit setting out the facts relied on and the grounds on which the order is sought.</w:t>
      </w:r>
    </w:p>
    <w:p w14:paraId="732A27FD" w14:textId="77777777" w:rsidR="003D4FF5" w:rsidRDefault="003D4FF5" w:rsidP="003D4FF5">
      <w:pPr>
        <w:pStyle w:val="AH5Sec"/>
      </w:pPr>
      <w:bookmarkStart w:id="621" w:name="_Toc185514237"/>
      <w:r w:rsidRPr="00C8328B">
        <w:rPr>
          <w:rStyle w:val="CharSectNo"/>
        </w:rPr>
        <w:t>1901</w:t>
      </w:r>
      <w:r>
        <w:tab/>
        <w:t>Security for costs—when court may make order</w:t>
      </w:r>
      <w:bookmarkEnd w:id="621"/>
    </w:p>
    <w:p w14:paraId="334D17A9" w14:textId="77777777" w:rsidR="003D4FF5" w:rsidRDefault="003D4FF5" w:rsidP="003D4FF5">
      <w:pPr>
        <w:pStyle w:val="Amainreturn"/>
      </w:pPr>
      <w:r>
        <w:t>The court may order a plaintiff to give security for costs under rule 1900 only if satisfied—</w:t>
      </w:r>
    </w:p>
    <w:p w14:paraId="2F9186E3" w14:textId="77777777" w:rsidR="003D4FF5" w:rsidRDefault="003D4FF5" w:rsidP="003D4FF5">
      <w:pPr>
        <w:pStyle w:val="Apara"/>
      </w:pPr>
      <w:r>
        <w:tab/>
        <w:t>(a)</w:t>
      </w:r>
      <w:r>
        <w:tab/>
        <w:t>the plaintiff is a corporation and there is reason to believe the plaintiff will not be able to pay the defendant’s costs if ordered to pay them; or</w:t>
      </w:r>
    </w:p>
    <w:p w14:paraId="7CF079CB" w14:textId="77777777"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14:paraId="307D5DF4" w14:textId="77777777"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14:paraId="548A2132" w14:textId="77777777"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14:paraId="522866E9" w14:textId="77777777" w:rsidR="003D4FF5" w:rsidRDefault="003D4FF5" w:rsidP="003D4FF5">
      <w:pPr>
        <w:pStyle w:val="Apara"/>
      </w:pPr>
      <w:r>
        <w:tab/>
        <w:t>(e)</w:t>
      </w:r>
      <w:r>
        <w:tab/>
        <w:t>the plaintiff is ordinarily resident outside Australia; or</w:t>
      </w:r>
    </w:p>
    <w:p w14:paraId="7300DA20" w14:textId="77777777"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14:paraId="02BCE388" w14:textId="77777777" w:rsidR="003D4FF5" w:rsidRDefault="003D4FF5" w:rsidP="003D4FF5">
      <w:pPr>
        <w:pStyle w:val="Apara"/>
      </w:pPr>
      <w:r>
        <w:tab/>
        <w:t>(g)</w:t>
      </w:r>
      <w:r>
        <w:tab/>
        <w:t>a territory law authorises the order to be made; or</w:t>
      </w:r>
    </w:p>
    <w:p w14:paraId="23718D15" w14:textId="5BDCE358"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3" w:tooltip="A2001-14" w:history="1">
        <w:r w:rsidRPr="005A5F43">
          <w:rPr>
            <w:rStyle w:val="charCitHyperlinkAbbrev"/>
          </w:rPr>
          <w:t>Legislation Act</w:t>
        </w:r>
      </w:hyperlink>
      <w:r>
        <w:t>, s 98).</w:t>
      </w:r>
    </w:p>
    <w:p w14:paraId="563E2CB5" w14:textId="77777777" w:rsidR="003D4FF5" w:rsidRDefault="003D4FF5" w:rsidP="003D4FF5">
      <w:pPr>
        <w:pStyle w:val="Apara"/>
      </w:pPr>
      <w:r>
        <w:tab/>
        <w:t>(h)</w:t>
      </w:r>
      <w:r>
        <w:tab/>
        <w:t>the justice of the case requires the order to be made.</w:t>
      </w:r>
    </w:p>
    <w:p w14:paraId="2A45F093" w14:textId="77777777" w:rsidR="003D4FF5" w:rsidRDefault="003D4FF5" w:rsidP="003D4FF5">
      <w:pPr>
        <w:pStyle w:val="AH5Sec"/>
      </w:pPr>
      <w:bookmarkStart w:id="622" w:name="_Toc185514238"/>
      <w:r w:rsidRPr="00C8328B">
        <w:rPr>
          <w:rStyle w:val="CharSectNo"/>
        </w:rPr>
        <w:t>1902</w:t>
      </w:r>
      <w:r>
        <w:tab/>
        <w:t>Security for costs—discretionary factors</w:t>
      </w:r>
      <w:bookmarkEnd w:id="622"/>
    </w:p>
    <w:p w14:paraId="582B028E" w14:textId="77777777"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14:paraId="050DE28C" w14:textId="77777777" w:rsidR="003D4FF5" w:rsidRDefault="003D4FF5" w:rsidP="003D4FF5">
      <w:pPr>
        <w:pStyle w:val="Apara"/>
      </w:pPr>
      <w:r>
        <w:tab/>
        <w:t>(a)</w:t>
      </w:r>
      <w:r>
        <w:tab/>
        <w:t>the means of the people standing behind the proceeding;</w:t>
      </w:r>
    </w:p>
    <w:p w14:paraId="00B8C9FD" w14:textId="77777777" w:rsidR="003D4FF5" w:rsidRDefault="003D4FF5" w:rsidP="003D4FF5">
      <w:pPr>
        <w:pStyle w:val="Apara"/>
      </w:pPr>
      <w:r>
        <w:tab/>
        <w:t>(b)</w:t>
      </w:r>
      <w:r>
        <w:tab/>
        <w:t>the prospects of success or merits of the proceeding;</w:t>
      </w:r>
    </w:p>
    <w:p w14:paraId="4C299A12" w14:textId="77777777" w:rsidR="003D4FF5" w:rsidRDefault="003D4FF5" w:rsidP="003D4FF5">
      <w:pPr>
        <w:pStyle w:val="Apara"/>
      </w:pPr>
      <w:r>
        <w:tab/>
        <w:t>(c)</w:t>
      </w:r>
      <w:r>
        <w:tab/>
        <w:t>the genuineness of the proceeding;</w:t>
      </w:r>
    </w:p>
    <w:p w14:paraId="73086FFD" w14:textId="77777777" w:rsidR="003D4FF5" w:rsidRDefault="003D4FF5" w:rsidP="003D4FF5">
      <w:pPr>
        <w:pStyle w:val="Apara"/>
      </w:pPr>
      <w:r>
        <w:tab/>
        <w:t>(d)</w:t>
      </w:r>
      <w:r>
        <w:tab/>
        <w:t>for rule 1901 (a)—the corporation’s lack of financial resources;</w:t>
      </w:r>
    </w:p>
    <w:p w14:paraId="25BD4535" w14:textId="77777777" w:rsidR="003D4FF5" w:rsidRDefault="003D4FF5" w:rsidP="003D4FF5">
      <w:pPr>
        <w:pStyle w:val="Apara"/>
      </w:pPr>
      <w:r>
        <w:tab/>
        <w:t>(e)</w:t>
      </w:r>
      <w:r>
        <w:tab/>
        <w:t>whether the plaintiff’s lack of financial resources is attributable to the defendant’s conduct;</w:t>
      </w:r>
    </w:p>
    <w:p w14:paraId="6914C550" w14:textId="77777777" w:rsidR="003D4FF5" w:rsidRDefault="003D4FF5" w:rsidP="003D4FF5">
      <w:pPr>
        <w:pStyle w:val="Apara"/>
      </w:pPr>
      <w:r>
        <w:tab/>
        <w:t>(f)</w:t>
      </w:r>
      <w:r>
        <w:tab/>
        <w:t>whether the plaintiff is effectively in the position of a defendant;</w:t>
      </w:r>
    </w:p>
    <w:p w14:paraId="5CE27DB4" w14:textId="77777777" w:rsidR="003D4FF5" w:rsidRDefault="003D4FF5" w:rsidP="003D4FF5">
      <w:pPr>
        <w:pStyle w:val="Apara"/>
      </w:pPr>
      <w:r>
        <w:tab/>
        <w:t>(g)</w:t>
      </w:r>
      <w:r>
        <w:tab/>
        <w:t>whether an order for security for costs would be oppressive;</w:t>
      </w:r>
    </w:p>
    <w:p w14:paraId="77FD54F4" w14:textId="77777777" w:rsidR="003D4FF5" w:rsidRDefault="003D4FF5" w:rsidP="003D4FF5">
      <w:pPr>
        <w:pStyle w:val="Apara"/>
      </w:pPr>
      <w:r>
        <w:tab/>
        <w:t>(h)</w:t>
      </w:r>
      <w:r>
        <w:tab/>
        <w:t>whether an order for security for costs would stop or limit the progress of the proceeding;</w:t>
      </w:r>
    </w:p>
    <w:p w14:paraId="4CB10A6D" w14:textId="77777777" w:rsidR="003D4FF5" w:rsidRDefault="003D4FF5" w:rsidP="003D4FF5">
      <w:pPr>
        <w:pStyle w:val="Apara"/>
      </w:pPr>
      <w:r>
        <w:tab/>
        <w:t>(i)</w:t>
      </w:r>
      <w:r>
        <w:tab/>
        <w:t>whether the proceeding involves a matter of public importance;</w:t>
      </w:r>
    </w:p>
    <w:p w14:paraId="3EE9E61E" w14:textId="77777777" w:rsidR="003D4FF5" w:rsidRDefault="003D4FF5" w:rsidP="003D4FF5">
      <w:pPr>
        <w:pStyle w:val="Apara"/>
      </w:pPr>
      <w:r>
        <w:lastRenderedPageBreak/>
        <w:tab/>
        <w:t>(j)</w:t>
      </w:r>
      <w:r>
        <w:tab/>
        <w:t>whether there has been an admission or payment into court;</w:t>
      </w:r>
    </w:p>
    <w:p w14:paraId="2E2DE3AB" w14:textId="77777777" w:rsidR="003D4FF5" w:rsidRDefault="003D4FF5" w:rsidP="003D4FF5">
      <w:pPr>
        <w:pStyle w:val="Apara"/>
      </w:pPr>
      <w:r>
        <w:tab/>
        <w:t>(k)</w:t>
      </w:r>
      <w:r>
        <w:tab/>
        <w:t>whether delay by the plaintiff in starting the proceeding has unfairly prejudiced the defendant;</w:t>
      </w:r>
    </w:p>
    <w:p w14:paraId="3183D7A3" w14:textId="77777777" w:rsidR="003D4FF5" w:rsidRDefault="003D4FF5" w:rsidP="003D4FF5">
      <w:pPr>
        <w:pStyle w:val="Apara"/>
      </w:pPr>
      <w:r>
        <w:tab/>
        <w:t>(l)</w:t>
      </w:r>
      <w:r>
        <w:tab/>
        <w:t>whether an order for costs made against the plaintiff would be enforceable within the jurisdiction;</w:t>
      </w:r>
    </w:p>
    <w:p w14:paraId="29F44AC1" w14:textId="77777777" w:rsidR="003D4FF5" w:rsidRDefault="003D4FF5" w:rsidP="003D4FF5">
      <w:pPr>
        <w:pStyle w:val="Apara"/>
      </w:pPr>
      <w:r>
        <w:tab/>
        <w:t>(m)</w:t>
      </w:r>
      <w:r>
        <w:tab/>
        <w:t>the estimated costs of the proceeding.</w:t>
      </w:r>
    </w:p>
    <w:p w14:paraId="1BE48CFB" w14:textId="77777777" w:rsidR="003D4FF5" w:rsidRDefault="003D4FF5" w:rsidP="003D4FF5">
      <w:pPr>
        <w:pStyle w:val="Amain"/>
      </w:pPr>
      <w:r>
        <w:tab/>
        <w:t>(2)</w:t>
      </w:r>
      <w:r>
        <w:tab/>
        <w:t>This rule does not limit the matters to which the court may have regard.</w:t>
      </w:r>
    </w:p>
    <w:p w14:paraId="2A013BDF" w14:textId="77777777" w:rsidR="003D4FF5" w:rsidRDefault="003D4FF5" w:rsidP="003D4FF5">
      <w:pPr>
        <w:pStyle w:val="AH5Sec"/>
      </w:pPr>
      <w:bookmarkStart w:id="623" w:name="_Toc185514239"/>
      <w:r w:rsidRPr="00C8328B">
        <w:rPr>
          <w:rStyle w:val="CharSectNo"/>
        </w:rPr>
        <w:t>1903</w:t>
      </w:r>
      <w:r>
        <w:tab/>
        <w:t>Security for costs—way security given</w:t>
      </w:r>
      <w:bookmarkEnd w:id="623"/>
    </w:p>
    <w:p w14:paraId="0C62A6D1" w14:textId="77777777" w:rsidR="003D4FF5" w:rsidRDefault="003D4FF5" w:rsidP="003D4FF5">
      <w:pPr>
        <w:pStyle w:val="Amain"/>
        <w:keepNext/>
      </w:pPr>
      <w:r>
        <w:tab/>
        <w:t>(1)</w:t>
      </w:r>
      <w:r>
        <w:tab/>
        <w:t>If the court orders the plaintiff to give security for costs, the security must be given for the amount, in the form, at the time the court directs.</w:t>
      </w:r>
    </w:p>
    <w:p w14:paraId="3FA65A5F"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6BE5BC0F" w14:textId="77777777" w:rsidR="003D4FF5" w:rsidRDefault="003D4FF5" w:rsidP="003D4FF5">
      <w:pPr>
        <w:pStyle w:val="Amain"/>
        <w:keepNext/>
      </w:pPr>
      <w:r>
        <w:tab/>
        <w:t>(2)</w:t>
      </w:r>
      <w:r>
        <w:tab/>
        <w:t>If the court does not state the form of security to be given—</w:t>
      </w:r>
    </w:p>
    <w:p w14:paraId="676C8B93" w14:textId="77777777" w:rsidR="003D4FF5" w:rsidRDefault="003D4FF5" w:rsidP="003D4FF5">
      <w:pPr>
        <w:pStyle w:val="Apara"/>
      </w:pPr>
      <w:r>
        <w:tab/>
        <w:t>(a)</w:t>
      </w:r>
      <w:r>
        <w:tab/>
        <w:t>the security must be given in a form satisfactory to the registrar; and</w:t>
      </w:r>
    </w:p>
    <w:p w14:paraId="4A33779E" w14:textId="77777777" w:rsidR="003D4FF5" w:rsidRDefault="003D4FF5" w:rsidP="003D4FF5">
      <w:pPr>
        <w:pStyle w:val="Apara"/>
      </w:pPr>
      <w:r>
        <w:tab/>
        <w:t>(b)</w:t>
      </w:r>
      <w:r>
        <w:tab/>
        <w:t>the registrar’s approval of the form of security must be written on the order before it is issued.</w:t>
      </w:r>
    </w:p>
    <w:p w14:paraId="3380D3D9" w14:textId="77777777" w:rsidR="003D4FF5" w:rsidRDefault="003D4FF5" w:rsidP="003D4FF5">
      <w:pPr>
        <w:pStyle w:val="Amain"/>
      </w:pPr>
      <w:r>
        <w:tab/>
        <w:t>(3)</w:t>
      </w:r>
      <w:r>
        <w:tab/>
        <w:t>After giving the security, the plaintiff must serve on the defendant notice of the time when, and the way, the security was given.</w:t>
      </w:r>
    </w:p>
    <w:p w14:paraId="704BF170" w14:textId="77777777" w:rsidR="003D4FF5" w:rsidRDefault="003D4FF5" w:rsidP="003D4FF5">
      <w:pPr>
        <w:pStyle w:val="AH5Sec"/>
      </w:pPr>
      <w:bookmarkStart w:id="624" w:name="_Toc185514240"/>
      <w:r w:rsidRPr="00C8328B">
        <w:rPr>
          <w:rStyle w:val="CharSectNo"/>
        </w:rPr>
        <w:t>1904</w:t>
      </w:r>
      <w:r>
        <w:tab/>
        <w:t>Security for costs—effect of order</w:t>
      </w:r>
      <w:bookmarkEnd w:id="624"/>
    </w:p>
    <w:p w14:paraId="2C7A4C13" w14:textId="77777777" w:rsidR="003D4FF5" w:rsidRDefault="003D4FF5" w:rsidP="003D4FF5">
      <w:pPr>
        <w:pStyle w:val="Amain"/>
      </w:pPr>
      <w:r>
        <w:tab/>
        <w:t>(1)</w:t>
      </w:r>
      <w:r>
        <w:tab/>
        <w:t>This rule applies if the court orders the plaintiff to give security for costs.</w:t>
      </w:r>
    </w:p>
    <w:p w14:paraId="6AC54E70" w14:textId="77777777" w:rsidR="003D4FF5" w:rsidRDefault="003D4FF5" w:rsidP="003D4FF5">
      <w:pPr>
        <w:pStyle w:val="Amain"/>
      </w:pPr>
      <w:r>
        <w:tab/>
        <w:t>(2)</w:t>
      </w:r>
      <w:r>
        <w:tab/>
        <w:t>The time set by these rules or by an order of the court for another party to take a step in the proceeding does not run until security is given.</w:t>
      </w:r>
    </w:p>
    <w:p w14:paraId="2E5F2137" w14:textId="77777777" w:rsidR="003D4FF5" w:rsidRDefault="003D4FF5" w:rsidP="003D4FF5">
      <w:pPr>
        <w:pStyle w:val="Amain"/>
      </w:pPr>
      <w:r>
        <w:lastRenderedPageBreak/>
        <w:tab/>
        <w:t>(3)</w:t>
      </w:r>
      <w:r>
        <w:tab/>
        <w:t>If security is not given under the order—</w:t>
      </w:r>
    </w:p>
    <w:p w14:paraId="1289FEA5" w14:textId="77777777" w:rsidR="003D4FF5" w:rsidRDefault="003D4FF5" w:rsidP="003D4FF5">
      <w:pPr>
        <w:pStyle w:val="Apara"/>
      </w:pPr>
      <w:r>
        <w:tab/>
        <w:t>(a)</w:t>
      </w:r>
      <w:r>
        <w:tab/>
        <w:t>the proceeding is stayed as far as it concerns steps to be taken by the plaintiff; and</w:t>
      </w:r>
    </w:p>
    <w:p w14:paraId="52FAB43E" w14:textId="77777777" w:rsidR="003D4FF5" w:rsidRDefault="003D4FF5" w:rsidP="003D4FF5">
      <w:pPr>
        <w:pStyle w:val="Apara"/>
      </w:pPr>
      <w:r>
        <w:tab/>
        <w:t>(b)</w:t>
      </w:r>
      <w:r>
        <w:tab/>
        <w:t>the court may, on the defendant’s application, dismiss all or part of the proceeding.</w:t>
      </w:r>
    </w:p>
    <w:p w14:paraId="76E1801E" w14:textId="77777777" w:rsidR="003D4FF5" w:rsidRDefault="003D4FF5" w:rsidP="003D4FF5">
      <w:pPr>
        <w:pStyle w:val="AH5Sec"/>
      </w:pPr>
      <w:bookmarkStart w:id="625" w:name="_Toc185514241"/>
      <w:r w:rsidRPr="00C8328B">
        <w:rPr>
          <w:rStyle w:val="CharSectNo"/>
        </w:rPr>
        <w:t>1905</w:t>
      </w:r>
      <w:r>
        <w:tab/>
        <w:t>Security for costs—setting aside or amending order</w:t>
      </w:r>
      <w:bookmarkEnd w:id="625"/>
    </w:p>
    <w:p w14:paraId="43FCF7AF" w14:textId="77777777" w:rsidR="003D4FF5" w:rsidRDefault="003D4FF5" w:rsidP="003D4FF5">
      <w:pPr>
        <w:pStyle w:val="Amainreturn"/>
        <w:keepNext/>
      </w:pPr>
      <w:r>
        <w:t>The court may, in special circumstances, amend or set aside an order made under this division.</w:t>
      </w:r>
    </w:p>
    <w:p w14:paraId="5AB6C6E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0FA171D" w14:textId="77777777" w:rsidR="003D4FF5" w:rsidRDefault="003D4FF5" w:rsidP="003D4FF5">
      <w:pPr>
        <w:pStyle w:val="AH5Sec"/>
      </w:pPr>
      <w:bookmarkStart w:id="626" w:name="_Toc185514242"/>
      <w:r w:rsidRPr="00C8328B">
        <w:rPr>
          <w:rStyle w:val="CharSectNo"/>
        </w:rPr>
        <w:t>1906</w:t>
      </w:r>
      <w:r>
        <w:tab/>
        <w:t>Security for costs—finalising security</w:t>
      </w:r>
      <w:bookmarkEnd w:id="626"/>
    </w:p>
    <w:p w14:paraId="0555830A" w14:textId="77777777" w:rsidR="003D4FF5" w:rsidRDefault="003D4FF5" w:rsidP="003D4FF5">
      <w:pPr>
        <w:pStyle w:val="Amain"/>
      </w:pPr>
      <w:r>
        <w:tab/>
        <w:t>(1)</w:t>
      </w:r>
      <w:r>
        <w:tab/>
        <w:t>This rule applies if, in a proceeding, security for costs has been given by a party under an order made under this division.</w:t>
      </w:r>
    </w:p>
    <w:p w14:paraId="3C90BF65" w14:textId="77777777"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14:paraId="180B5857" w14:textId="77777777" w:rsidR="003D4FF5" w:rsidRDefault="003D4FF5" w:rsidP="003D4FF5">
      <w:pPr>
        <w:pStyle w:val="Amain"/>
        <w:keepNext/>
      </w:pPr>
      <w:r>
        <w:tab/>
        <w:t>(3)</w:t>
      </w:r>
      <w:r>
        <w:tab/>
        <w:t>However, the security must be discharged—</w:t>
      </w:r>
    </w:p>
    <w:p w14:paraId="0648C27F" w14:textId="77777777" w:rsidR="003D4FF5" w:rsidRDefault="003D4FF5" w:rsidP="003D4FF5">
      <w:pPr>
        <w:pStyle w:val="Apara"/>
      </w:pPr>
      <w:r>
        <w:tab/>
        <w:t>(a)</w:t>
      </w:r>
      <w:r>
        <w:tab/>
        <w:t>if a judgment is given and the judgment does not require the party to pay all or part of the costs of the proceeding or any application in the proceeding; or</w:t>
      </w:r>
    </w:p>
    <w:p w14:paraId="305A4127" w14:textId="77777777" w:rsidR="003D4FF5" w:rsidRDefault="003D4FF5" w:rsidP="003D4FF5">
      <w:pPr>
        <w:pStyle w:val="Apara"/>
      </w:pPr>
      <w:r>
        <w:tab/>
        <w:t>(b)</w:t>
      </w:r>
      <w:r>
        <w:tab/>
        <w:t>if the court orders the discharge of the security; or</w:t>
      </w:r>
    </w:p>
    <w:p w14:paraId="118245CB" w14:textId="77777777" w:rsidR="003D4FF5" w:rsidRDefault="003D4FF5" w:rsidP="003D4FF5">
      <w:pPr>
        <w:pStyle w:val="Apara"/>
      </w:pPr>
      <w:r>
        <w:tab/>
        <w:t>(c)</w:t>
      </w:r>
      <w:r>
        <w:tab/>
        <w:t>if the party entitled to the benefit of the security agrees to its discharge; or</w:t>
      </w:r>
    </w:p>
    <w:p w14:paraId="4DBC414E" w14:textId="77777777" w:rsidR="003D4FF5" w:rsidRDefault="003D4FF5" w:rsidP="003D4FF5">
      <w:pPr>
        <w:pStyle w:val="Apara"/>
      </w:pPr>
      <w:r>
        <w:tab/>
        <w:t>(d)</w:t>
      </w:r>
      <w:r>
        <w:tab/>
        <w:t>in relation to the balance after costs have been satisfied under subrule (2).</w:t>
      </w:r>
    </w:p>
    <w:p w14:paraId="4A222EE4" w14:textId="77777777" w:rsidR="003D4FF5" w:rsidRDefault="003D4FF5" w:rsidP="003D4FF5">
      <w:pPr>
        <w:pStyle w:val="aExamHdgss"/>
      </w:pPr>
      <w:r>
        <w:t>Example</w:t>
      </w:r>
    </w:p>
    <w:p w14:paraId="1C6DCDB4" w14:textId="77777777" w:rsidR="003D4FF5" w:rsidRDefault="003D4FF5" w:rsidP="00B1067E">
      <w:pPr>
        <w:pStyle w:val="aExamss"/>
      </w:pPr>
      <w:r>
        <w:t>A security given by a payment into court is discharged by payment of the security out of court to the party who made the payment.</w:t>
      </w:r>
    </w:p>
    <w:p w14:paraId="3B7922F2" w14:textId="77777777" w:rsidR="003D4FF5" w:rsidRPr="00C8328B" w:rsidRDefault="003D4FF5" w:rsidP="003D4FF5">
      <w:pPr>
        <w:pStyle w:val="AH3Div"/>
      </w:pPr>
      <w:bookmarkStart w:id="627" w:name="_Toc185514243"/>
      <w:r w:rsidRPr="00C8328B">
        <w:rPr>
          <w:rStyle w:val="CharDivNo"/>
        </w:rPr>
        <w:lastRenderedPageBreak/>
        <w:t>Division 2.17.9</w:t>
      </w:r>
      <w:r>
        <w:tab/>
      </w:r>
      <w:r w:rsidRPr="00C8328B">
        <w:rPr>
          <w:rStyle w:val="CharDivText"/>
        </w:rPr>
        <w:t>Miscellaneous—pt 2.17</w:t>
      </w:r>
      <w:bookmarkEnd w:id="627"/>
    </w:p>
    <w:p w14:paraId="313E6C5D" w14:textId="77777777" w:rsidR="003D4FF5" w:rsidRDefault="003D4FF5" w:rsidP="003D4FF5">
      <w:pPr>
        <w:pStyle w:val="AH5Sec"/>
      </w:pPr>
      <w:bookmarkStart w:id="628" w:name="_Toc185514244"/>
      <w:r w:rsidRPr="00C8328B">
        <w:rPr>
          <w:rStyle w:val="CharSectNo"/>
        </w:rPr>
        <w:t>1920</w:t>
      </w:r>
      <w:r>
        <w:tab/>
        <w:t>Liquidator, guardian or manager—accounts</w:t>
      </w:r>
      <w:bookmarkEnd w:id="628"/>
    </w:p>
    <w:p w14:paraId="42D00C71" w14:textId="77777777"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14:paraId="427A3107" w14:textId="77777777" w:rsidR="008112BD" w:rsidRDefault="008112BD" w:rsidP="008112BD">
      <w:pPr>
        <w:pStyle w:val="PageBreak"/>
      </w:pPr>
      <w:r>
        <w:br w:type="page"/>
      </w:r>
    </w:p>
    <w:p w14:paraId="64B7BB8C" w14:textId="77777777" w:rsidR="008112BD" w:rsidRPr="00C8328B" w:rsidRDefault="008112BD" w:rsidP="008112BD">
      <w:pPr>
        <w:pStyle w:val="AH2Part"/>
      </w:pPr>
      <w:bookmarkStart w:id="629" w:name="_Toc185514245"/>
      <w:r w:rsidRPr="00C8328B">
        <w:rPr>
          <w:rStyle w:val="CharPartNo"/>
        </w:rPr>
        <w:lastRenderedPageBreak/>
        <w:t>Part 2.18</w:t>
      </w:r>
      <w:r>
        <w:tab/>
      </w:r>
      <w:r w:rsidRPr="00C8328B">
        <w:rPr>
          <w:rStyle w:val="CharPartText"/>
        </w:rPr>
        <w:t>Enforcement</w:t>
      </w:r>
      <w:bookmarkEnd w:id="629"/>
    </w:p>
    <w:p w14:paraId="77A2DA2C" w14:textId="77777777" w:rsidR="008112BD" w:rsidRPr="00C8328B" w:rsidRDefault="008112BD" w:rsidP="008112BD">
      <w:pPr>
        <w:pStyle w:val="AH3Div"/>
      </w:pPr>
      <w:bookmarkStart w:id="630" w:name="_Toc185514246"/>
      <w:r w:rsidRPr="00C8328B">
        <w:rPr>
          <w:rStyle w:val="CharDivNo"/>
        </w:rPr>
        <w:t>Division 2.18.1</w:t>
      </w:r>
      <w:r>
        <w:tab/>
      </w:r>
      <w:r w:rsidRPr="00C8328B">
        <w:rPr>
          <w:rStyle w:val="CharDivText"/>
        </w:rPr>
        <w:t>Enforcement—general</w:t>
      </w:r>
      <w:bookmarkEnd w:id="630"/>
    </w:p>
    <w:p w14:paraId="3D98D4E7" w14:textId="77777777" w:rsidR="008112BD" w:rsidRDefault="008112BD" w:rsidP="008112BD">
      <w:pPr>
        <w:pStyle w:val="AH5Sec"/>
      </w:pPr>
      <w:bookmarkStart w:id="631" w:name="_Toc185514247"/>
      <w:r w:rsidRPr="00C8328B">
        <w:rPr>
          <w:rStyle w:val="CharSectNo"/>
        </w:rPr>
        <w:t>2000</w:t>
      </w:r>
      <w:r>
        <w:tab/>
        <w:t>Definitions—pt 2.18</w:t>
      </w:r>
      <w:bookmarkEnd w:id="631"/>
    </w:p>
    <w:p w14:paraId="2B2C72C4" w14:textId="77777777" w:rsidR="008112BD" w:rsidRDefault="008112BD" w:rsidP="008112BD">
      <w:pPr>
        <w:pStyle w:val="Amainreturn"/>
        <w:keepNext/>
      </w:pPr>
      <w:r>
        <w:t>In this part:</w:t>
      </w:r>
    </w:p>
    <w:p w14:paraId="633BA2AA" w14:textId="77777777"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14:paraId="01DC4F52" w14:textId="77777777" w:rsidR="008112BD" w:rsidRDefault="008112BD" w:rsidP="008112BD">
      <w:pPr>
        <w:pStyle w:val="aDefpara"/>
        <w:rPr>
          <w:lang w:val="en-US"/>
        </w:rPr>
      </w:pPr>
      <w:r>
        <w:rPr>
          <w:lang w:val="en-US"/>
        </w:rPr>
        <w:tab/>
        <w:t>(a)</w:t>
      </w:r>
      <w:r>
        <w:rPr>
          <w:lang w:val="en-US"/>
        </w:rPr>
        <w:tab/>
        <w:t>a deposit account or withdrawable share account; and</w:t>
      </w:r>
    </w:p>
    <w:p w14:paraId="7BDB9E0E" w14:textId="77777777" w:rsidR="008112BD" w:rsidRDefault="008112BD" w:rsidP="008112BD">
      <w:pPr>
        <w:pStyle w:val="aDefpara"/>
        <w:rPr>
          <w:lang w:val="en-US"/>
        </w:rPr>
      </w:pPr>
      <w:r>
        <w:rPr>
          <w:lang w:val="en-US"/>
        </w:rPr>
        <w:tab/>
        <w:t>(b)</w:t>
      </w:r>
      <w:r>
        <w:rPr>
          <w:lang w:val="en-US"/>
        </w:rPr>
        <w:tab/>
        <w:t>any record of deposit or subscription for withdrawable shares; and</w:t>
      </w:r>
    </w:p>
    <w:p w14:paraId="334B71CE" w14:textId="77777777" w:rsidR="008112BD" w:rsidRDefault="008112BD" w:rsidP="008112BD">
      <w:pPr>
        <w:pStyle w:val="aDefpara"/>
        <w:rPr>
          <w:lang w:val="en-US"/>
        </w:rPr>
      </w:pPr>
      <w:r>
        <w:rPr>
          <w:lang w:val="en-US"/>
        </w:rPr>
        <w:tab/>
        <w:t>(c)</w:t>
      </w:r>
      <w:r>
        <w:rPr>
          <w:lang w:val="en-US"/>
        </w:rPr>
        <w:tab/>
        <w:t>a loan account that has a credit balance.</w:t>
      </w:r>
    </w:p>
    <w:p w14:paraId="7059B9D5" w14:textId="77777777"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14:paraId="3D3B23F4"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0DF1FFC" w14:textId="77777777" w:rsidR="008112BD" w:rsidRDefault="008112BD" w:rsidP="008112BD">
      <w:pPr>
        <w:pStyle w:val="aDef"/>
        <w:keepNext/>
      </w:pPr>
      <w:r w:rsidRPr="00FE0788">
        <w:rPr>
          <w:rStyle w:val="charBoldItals"/>
        </w:rPr>
        <w:t>debt redirection order</w:t>
      </w:r>
      <w:r>
        <w:t>—see rule 2301 (1).</w:t>
      </w:r>
    </w:p>
    <w:p w14:paraId="2ADABFF2"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5025FA3" w14:textId="77777777"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14:paraId="671BB6F2" w14:textId="77777777"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14:paraId="2D464DBD" w14:textId="77777777" w:rsidR="008112BD" w:rsidRDefault="008112BD" w:rsidP="008112BD">
      <w:pPr>
        <w:pStyle w:val="aDefpara"/>
      </w:pPr>
      <w:r>
        <w:tab/>
        <w:t>(a)</w:t>
      </w:r>
      <w:r>
        <w:tab/>
        <w:t>wages or salary, including, for example, any allowance, bonus, commission, fee, overtime pay or other amount received under a contract of employment;</w:t>
      </w:r>
    </w:p>
    <w:p w14:paraId="7D210DBE" w14:textId="77777777"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14:paraId="78193A2A" w14:textId="77777777"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14:paraId="7AD95F1B" w14:textId="77777777" w:rsidR="008112BD" w:rsidRDefault="008112BD" w:rsidP="008112BD">
      <w:pPr>
        <w:pStyle w:val="aDefpara"/>
      </w:pPr>
      <w:r>
        <w:tab/>
        <w:t>(d)</w:t>
      </w:r>
      <w:r>
        <w:tab/>
        <w:t>a pension, benefit or similar payment;</w:t>
      </w:r>
    </w:p>
    <w:p w14:paraId="002286C6" w14:textId="77777777" w:rsidR="008112BD" w:rsidRDefault="008112BD" w:rsidP="008112BD">
      <w:pPr>
        <w:pStyle w:val="aDefpara"/>
      </w:pPr>
      <w:r>
        <w:tab/>
        <w:t>(e)</w:t>
      </w:r>
      <w:r>
        <w:tab/>
        <w:t>an annuity;</w:t>
      </w:r>
    </w:p>
    <w:p w14:paraId="47990610" w14:textId="77777777" w:rsidR="008112BD" w:rsidRDefault="008112BD" w:rsidP="008112BD">
      <w:pPr>
        <w:pStyle w:val="aDefpara"/>
      </w:pPr>
      <w:r>
        <w:tab/>
        <w:t>(f)</w:t>
      </w:r>
      <w:r>
        <w:tab/>
        <w:t>an amount payable instead of leave;</w:t>
      </w:r>
    </w:p>
    <w:p w14:paraId="548A6D21" w14:textId="77777777" w:rsidR="008112BD" w:rsidRDefault="008112BD" w:rsidP="008112BD">
      <w:pPr>
        <w:pStyle w:val="aDefpara"/>
        <w:keepNext/>
      </w:pPr>
      <w:r>
        <w:tab/>
        <w:t>(g)</w:t>
      </w:r>
      <w:r>
        <w:tab/>
        <w:t>retirement benefit.</w:t>
      </w:r>
    </w:p>
    <w:p w14:paraId="5D8960A1" w14:textId="77777777" w:rsidR="008112BD" w:rsidRDefault="008112BD" w:rsidP="008112BD">
      <w:pPr>
        <w:pStyle w:val="aDef"/>
        <w:keepNext/>
      </w:pPr>
      <w:r w:rsidRPr="00FE0788">
        <w:rPr>
          <w:rStyle w:val="charBoldItals"/>
        </w:rPr>
        <w:t>earnings redirection order</w:t>
      </w:r>
      <w:r>
        <w:t>—see rule 2350.</w:t>
      </w:r>
    </w:p>
    <w:p w14:paraId="7A4CF1ED" w14:textId="77777777" w:rsidR="008112BD" w:rsidRDefault="008112BD" w:rsidP="008112BD">
      <w:pPr>
        <w:pStyle w:val="aNote"/>
      </w:pPr>
      <w:r w:rsidRPr="00FE0788">
        <w:rPr>
          <w:rStyle w:val="charItals"/>
        </w:rPr>
        <w:t>Note</w:t>
      </w:r>
      <w:r>
        <w:tab/>
        <w:t>This definition also applies outside this part.</w:t>
      </w:r>
    </w:p>
    <w:p w14:paraId="74EA1172" w14:textId="77777777"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14:paraId="52AC4876" w14:textId="63A8A39A" w:rsidR="008112BD" w:rsidRDefault="008112BD" w:rsidP="008112BD">
      <w:pPr>
        <w:pStyle w:val="aNote"/>
      </w:pPr>
      <w:r>
        <w:rPr>
          <w:rStyle w:val="charItals"/>
        </w:rPr>
        <w:t>Note</w:t>
      </w:r>
      <w:r>
        <w:rPr>
          <w:rStyle w:val="charItals"/>
        </w:rPr>
        <w:tab/>
      </w:r>
      <w:r>
        <w:t xml:space="preserve">This term applies to the Territory as an employer (see </w:t>
      </w:r>
      <w:hyperlink r:id="rId164" w:tooltip="A2001-14" w:history="1">
        <w:r w:rsidRPr="00FE0788">
          <w:rPr>
            <w:rStyle w:val="charCitHyperlinkAbbrev"/>
          </w:rPr>
          <w:t>Legislation Act</w:t>
        </w:r>
      </w:hyperlink>
      <w:r>
        <w:t>, s 121 (Binding effect of Acts)).</w:t>
      </w:r>
    </w:p>
    <w:p w14:paraId="3664AF0F" w14:textId="77777777" w:rsidR="008112BD" w:rsidRDefault="008112BD" w:rsidP="008112BD">
      <w:pPr>
        <w:pStyle w:val="aDef"/>
        <w:keepNext/>
      </w:pPr>
      <w:r w:rsidRPr="00FE0788">
        <w:rPr>
          <w:rStyle w:val="charBoldItals"/>
        </w:rPr>
        <w:t>enforceable money order</w:t>
      </w:r>
      <w:r>
        <w:t>, of the court, means—</w:t>
      </w:r>
    </w:p>
    <w:p w14:paraId="4F9CA445" w14:textId="77777777" w:rsidR="008112BD" w:rsidRDefault="008112BD" w:rsidP="008112BD">
      <w:pPr>
        <w:pStyle w:val="aDefpara"/>
      </w:pPr>
      <w:r>
        <w:tab/>
        <w:t>(a)</w:t>
      </w:r>
      <w:r>
        <w:tab/>
        <w:t>a money order of the court; or</w:t>
      </w:r>
    </w:p>
    <w:p w14:paraId="4756D264" w14:textId="77777777" w:rsidR="008112BD" w:rsidRDefault="008112BD" w:rsidP="008112BD">
      <w:pPr>
        <w:pStyle w:val="aDefpara"/>
        <w:keepNext/>
      </w:pPr>
      <w:r>
        <w:tab/>
        <w:t>(b)</w:t>
      </w:r>
      <w:r>
        <w:tab/>
        <w:t>a money order of another court or tribunal filed or registered, under a territory law or a law of the Commonwealth, in the court for enforcement.</w:t>
      </w:r>
    </w:p>
    <w:p w14:paraId="68D232AC" w14:textId="290B25DB"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65" w:tooltip="A2001-14" w:history="1">
        <w:r w:rsidRPr="00FE0788">
          <w:rPr>
            <w:rStyle w:val="charCitHyperlinkAbbrev"/>
          </w:rPr>
          <w:t>Legislation Act</w:t>
        </w:r>
      </w:hyperlink>
      <w:r>
        <w:t>, s 98).</w:t>
      </w:r>
    </w:p>
    <w:p w14:paraId="62EEE359" w14:textId="77777777" w:rsidR="008112BD" w:rsidRDefault="008112BD" w:rsidP="008112BD">
      <w:pPr>
        <w:pStyle w:val="aNote"/>
      </w:pPr>
      <w:r w:rsidRPr="00FE0788">
        <w:rPr>
          <w:rStyle w:val="charItals"/>
        </w:rPr>
        <w:t>Note 2</w:t>
      </w:r>
      <w:r>
        <w:tab/>
        <w:t>This definition also applies outside this part.</w:t>
      </w:r>
    </w:p>
    <w:p w14:paraId="0194B8A2" w14:textId="77777777" w:rsidR="008112BD" w:rsidRDefault="008112BD" w:rsidP="008112BD">
      <w:pPr>
        <w:pStyle w:val="aDef"/>
        <w:keepNext/>
      </w:pPr>
      <w:r w:rsidRPr="00FE0788">
        <w:rPr>
          <w:rStyle w:val="charBoldItals"/>
        </w:rPr>
        <w:t>enforceable non-money order</w:t>
      </w:r>
      <w:r>
        <w:t>, of the court, means—</w:t>
      </w:r>
    </w:p>
    <w:p w14:paraId="417BD686" w14:textId="77777777" w:rsidR="008112BD" w:rsidRDefault="008112BD" w:rsidP="008112BD">
      <w:pPr>
        <w:pStyle w:val="aDefpara"/>
        <w:keepNext/>
      </w:pPr>
      <w:r>
        <w:tab/>
        <w:t>(a)</w:t>
      </w:r>
      <w:r>
        <w:tab/>
        <w:t>a non-money order of the court; or</w:t>
      </w:r>
    </w:p>
    <w:p w14:paraId="46E1AAF2" w14:textId="77777777" w:rsidR="008112BD" w:rsidRDefault="008112BD" w:rsidP="008112BD">
      <w:pPr>
        <w:pStyle w:val="aDefpara"/>
        <w:keepNext/>
      </w:pPr>
      <w:r>
        <w:tab/>
        <w:t>(b)</w:t>
      </w:r>
      <w:r>
        <w:tab/>
        <w:t>a non-money order of another court or tribunal filed or registered, under a territory law or a law of the Commonwealth, in the court for enforcement.</w:t>
      </w:r>
    </w:p>
    <w:p w14:paraId="5A67EA2B" w14:textId="50E429B3"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66" w:tooltip="A2001-14" w:history="1">
        <w:r w:rsidRPr="00FE0788">
          <w:rPr>
            <w:rStyle w:val="charCitHyperlinkAbbrev"/>
          </w:rPr>
          <w:t>Legislation Act</w:t>
        </w:r>
      </w:hyperlink>
      <w:r>
        <w:t>, s 98).</w:t>
      </w:r>
    </w:p>
    <w:p w14:paraId="5F8F4ECF" w14:textId="77777777" w:rsidR="008112BD" w:rsidRDefault="008112BD" w:rsidP="008112BD">
      <w:pPr>
        <w:pStyle w:val="aDef"/>
        <w:keepNext/>
      </w:pPr>
      <w:r w:rsidRPr="00FE0788">
        <w:rPr>
          <w:rStyle w:val="charBoldItals"/>
        </w:rPr>
        <w:lastRenderedPageBreak/>
        <w:t>enforcement creditor</w:t>
      </w:r>
      <w:r>
        <w:t>, for an enforceable money order of the court, means—</w:t>
      </w:r>
    </w:p>
    <w:p w14:paraId="17CF3737" w14:textId="77777777" w:rsidR="008112BD" w:rsidRDefault="008112BD" w:rsidP="008112BD">
      <w:pPr>
        <w:pStyle w:val="aDefpara"/>
      </w:pPr>
      <w:r>
        <w:tab/>
        <w:t>(a)</w:t>
      </w:r>
      <w:r>
        <w:tab/>
        <w:t>the person entitled to enforce the money order; or</w:t>
      </w:r>
    </w:p>
    <w:p w14:paraId="0385EE8F" w14:textId="77777777" w:rsidR="008112BD" w:rsidRDefault="008112BD" w:rsidP="008112BD">
      <w:pPr>
        <w:pStyle w:val="aDefpara"/>
        <w:keepNext/>
      </w:pPr>
      <w:r>
        <w:tab/>
        <w:t>(b)</w:t>
      </w:r>
      <w:r>
        <w:tab/>
        <w:t>the person to whom the benefit of part of the money order has passed by way of assignment or in another way.</w:t>
      </w:r>
    </w:p>
    <w:p w14:paraId="441D928E"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3D8C2AAD" w14:textId="77777777"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14:paraId="454E0790"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D84FB8C" w14:textId="77777777" w:rsidR="008112BD" w:rsidRDefault="008112BD" w:rsidP="008112BD">
      <w:pPr>
        <w:pStyle w:val="aDef"/>
      </w:pPr>
      <w:r w:rsidRPr="00FE0788">
        <w:rPr>
          <w:rStyle w:val="charBoldItals"/>
        </w:rPr>
        <w:t>enforcement hearing subpoena</w:t>
      </w:r>
      <w:r>
        <w:t xml:space="preserve"> means a subpoena issued under rule 2103.</w:t>
      </w:r>
    </w:p>
    <w:p w14:paraId="51B31AB3" w14:textId="77777777" w:rsidR="008112BD" w:rsidRDefault="008112BD" w:rsidP="008112BD">
      <w:pPr>
        <w:pStyle w:val="aDef"/>
      </w:pPr>
      <w:r w:rsidRPr="00FE0788">
        <w:rPr>
          <w:rStyle w:val="charBoldItals"/>
        </w:rPr>
        <w:t>enforcement hearing warrant</w:t>
      </w:r>
      <w:r>
        <w:t>—see rule 2110 (2).</w:t>
      </w:r>
    </w:p>
    <w:p w14:paraId="5F1433FF" w14:textId="77777777"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14:paraId="251B97D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E9D5459" w14:textId="77777777" w:rsidR="008112BD" w:rsidRDefault="008112BD" w:rsidP="008112BD">
      <w:pPr>
        <w:pStyle w:val="aDef"/>
        <w:keepNext/>
      </w:pPr>
      <w:r w:rsidRPr="00FE0788">
        <w:rPr>
          <w:rStyle w:val="charBoldItals"/>
        </w:rPr>
        <w:t>enforcement order</w:t>
      </w:r>
      <w:r>
        <w:t>, of the court—</w:t>
      </w:r>
    </w:p>
    <w:p w14:paraId="64B99F1D" w14:textId="77777777" w:rsidR="008112BD" w:rsidRDefault="008112BD" w:rsidP="008112BD">
      <w:pPr>
        <w:pStyle w:val="aDefpara"/>
        <w:keepNext/>
      </w:pPr>
      <w:r>
        <w:tab/>
        <w:t>(a)</w:t>
      </w:r>
      <w:r>
        <w:tab/>
        <w:t>means an order of the court made under this part to enforce an enforceable money order or non-money order; and</w:t>
      </w:r>
    </w:p>
    <w:p w14:paraId="401A11FF" w14:textId="77777777" w:rsidR="008112BD" w:rsidRDefault="008112BD" w:rsidP="008112BD">
      <w:pPr>
        <w:pStyle w:val="aDefpara"/>
        <w:keepNext/>
      </w:pPr>
      <w:r>
        <w:tab/>
        <w:t>(b)</w:t>
      </w:r>
      <w:r>
        <w:tab/>
        <w:t>includes an order mentioned in rule 2001 (3), but, to remove any doubt, does not include an instalment order.</w:t>
      </w:r>
    </w:p>
    <w:p w14:paraId="43314425"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410177B" w14:textId="77777777"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14:paraId="0861B3F0" w14:textId="77777777" w:rsidR="008112BD" w:rsidRDefault="008112BD" w:rsidP="008112BD">
      <w:pPr>
        <w:pStyle w:val="aDef"/>
      </w:pPr>
      <w:r w:rsidRPr="00FE0788">
        <w:rPr>
          <w:rStyle w:val="charBoldItals"/>
        </w:rPr>
        <w:t>fourth person</w:t>
      </w:r>
      <w:r>
        <w:t>, for division 2.18.7 (which is about regular redirections from financial institutions)—see rule 2330.</w:t>
      </w:r>
    </w:p>
    <w:p w14:paraId="2740A108" w14:textId="77777777" w:rsidR="008112BD" w:rsidRDefault="008112BD" w:rsidP="008112BD">
      <w:pPr>
        <w:pStyle w:val="aDef"/>
      </w:pPr>
      <w:r w:rsidRPr="00FE0788">
        <w:rPr>
          <w:rStyle w:val="charBoldItals"/>
        </w:rPr>
        <w:lastRenderedPageBreak/>
        <w:t>instalment order</w:t>
      </w:r>
      <w:r>
        <w:t>—see rule 2150 (1).</w:t>
      </w:r>
    </w:p>
    <w:p w14:paraId="756E7523" w14:textId="77777777" w:rsidR="008112BD" w:rsidRDefault="008112BD" w:rsidP="008112BD">
      <w:pPr>
        <w:pStyle w:val="aDef"/>
        <w:keepNext/>
      </w:pPr>
      <w:r w:rsidRPr="00FE0788">
        <w:rPr>
          <w:rStyle w:val="charBoldItals"/>
        </w:rPr>
        <w:t>instalment order agreement</w:t>
      </w:r>
      <w:r>
        <w:t>—see rule 2157.</w:t>
      </w:r>
    </w:p>
    <w:p w14:paraId="2990B9A0" w14:textId="77777777" w:rsidR="008112BD" w:rsidRDefault="008112BD" w:rsidP="008112BD">
      <w:pPr>
        <w:pStyle w:val="aNote"/>
      </w:pPr>
      <w:r w:rsidRPr="00FE0788">
        <w:rPr>
          <w:rStyle w:val="charItals"/>
        </w:rPr>
        <w:t>Note</w:t>
      </w:r>
      <w:r>
        <w:tab/>
        <w:t>This definition also applies outside this part.</w:t>
      </w:r>
    </w:p>
    <w:p w14:paraId="302DF6FC" w14:textId="77777777"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14:paraId="6E68DC70"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47DDAC0C" w14:textId="77777777" w:rsidR="008112BD" w:rsidRDefault="008112BD" w:rsidP="008112BD">
      <w:pPr>
        <w:pStyle w:val="aNote"/>
      </w:pPr>
      <w:r w:rsidRPr="00FE0788">
        <w:rPr>
          <w:rStyle w:val="charItals"/>
        </w:rPr>
        <w:t>Note 2</w:t>
      </w:r>
      <w:r w:rsidRPr="00FE0788">
        <w:rPr>
          <w:rStyle w:val="charItals"/>
        </w:rPr>
        <w:tab/>
      </w:r>
      <w:r>
        <w:t>This definition also applies outside this part.</w:t>
      </w:r>
    </w:p>
    <w:p w14:paraId="1E1E2FD6" w14:textId="77777777"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14:paraId="071DF8A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3D95605" w14:textId="77777777" w:rsidR="008112BD" w:rsidRDefault="008112BD" w:rsidP="008112BD">
      <w:pPr>
        <w:pStyle w:val="aDef"/>
      </w:pPr>
      <w:r w:rsidRPr="00FE0788">
        <w:rPr>
          <w:rStyle w:val="charBoldItals"/>
        </w:rPr>
        <w:t>officer</w:t>
      </w:r>
      <w:r>
        <w:t>, of a corporation, includes a former officer of the corporation.</w:t>
      </w:r>
    </w:p>
    <w:p w14:paraId="63C5C37F" w14:textId="77777777"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14:paraId="34E9DC7E" w14:textId="77777777" w:rsidR="008112BD" w:rsidRDefault="008112BD" w:rsidP="008112BD">
      <w:pPr>
        <w:pStyle w:val="aDef"/>
        <w:keepNext/>
      </w:pPr>
      <w:r w:rsidRPr="00FE0788">
        <w:rPr>
          <w:rStyle w:val="charBoldItals"/>
        </w:rPr>
        <w:t>order for delivery of possession of land</w:t>
      </w:r>
      <w:r>
        <w:t>—see rule 2451.</w:t>
      </w:r>
    </w:p>
    <w:p w14:paraId="0ABCA332" w14:textId="77777777" w:rsidR="008112BD" w:rsidRDefault="008112BD" w:rsidP="008112BD">
      <w:pPr>
        <w:pStyle w:val="aNote"/>
      </w:pPr>
      <w:r w:rsidRPr="00FE0788">
        <w:rPr>
          <w:rStyle w:val="charItals"/>
        </w:rPr>
        <w:t>Note</w:t>
      </w:r>
      <w:r>
        <w:tab/>
        <w:t>This definition also applies outside this part.</w:t>
      </w:r>
    </w:p>
    <w:p w14:paraId="01CD6B57" w14:textId="77777777" w:rsidR="008112BD" w:rsidRDefault="008112BD" w:rsidP="008112BD">
      <w:pPr>
        <w:pStyle w:val="aDef"/>
        <w:keepNext/>
      </w:pPr>
      <w:r w:rsidRPr="00FE0788">
        <w:rPr>
          <w:rStyle w:val="charBoldItals"/>
        </w:rPr>
        <w:t>order for seizure and delivery of goods</w:t>
      </w:r>
      <w:r>
        <w:t>—see rule 2460.</w:t>
      </w:r>
    </w:p>
    <w:p w14:paraId="409BA898" w14:textId="77777777" w:rsidR="008112BD" w:rsidRDefault="008112BD" w:rsidP="008112BD">
      <w:pPr>
        <w:pStyle w:val="aNote"/>
      </w:pPr>
      <w:r w:rsidRPr="00FE0788">
        <w:rPr>
          <w:rStyle w:val="charItals"/>
        </w:rPr>
        <w:t>Note</w:t>
      </w:r>
      <w:r>
        <w:tab/>
        <w:t>This definition also applies outside this part.</w:t>
      </w:r>
    </w:p>
    <w:p w14:paraId="2E9FADB5" w14:textId="77777777" w:rsidR="008112BD" w:rsidRDefault="008112BD" w:rsidP="008112BD">
      <w:pPr>
        <w:pStyle w:val="aDef"/>
        <w:keepNext/>
      </w:pPr>
      <w:r w:rsidRPr="00FE0788">
        <w:rPr>
          <w:rStyle w:val="charBoldItals"/>
        </w:rPr>
        <w:t>order for seizure and detention of property</w:t>
      </w:r>
      <w:r>
        <w:t>—see rule 2470.</w:t>
      </w:r>
    </w:p>
    <w:p w14:paraId="3ED7C51B" w14:textId="77777777" w:rsidR="008112BD" w:rsidRDefault="008112BD" w:rsidP="008112BD">
      <w:pPr>
        <w:pStyle w:val="aNote"/>
      </w:pPr>
      <w:r w:rsidRPr="00FE0788">
        <w:rPr>
          <w:rStyle w:val="charItals"/>
        </w:rPr>
        <w:t>Note</w:t>
      </w:r>
      <w:r>
        <w:tab/>
        <w:t>This definition also applies outside this part.</w:t>
      </w:r>
    </w:p>
    <w:p w14:paraId="76B17A2B" w14:textId="77777777" w:rsidR="008112BD" w:rsidRDefault="008112BD" w:rsidP="008112BD">
      <w:pPr>
        <w:pStyle w:val="aDef"/>
      </w:pPr>
      <w:r w:rsidRPr="00FE0788">
        <w:rPr>
          <w:rStyle w:val="charBoldItals"/>
        </w:rPr>
        <w:t>partner</w:t>
      </w:r>
      <w:r>
        <w:t xml:space="preserve"> includes a former partner. </w:t>
      </w:r>
    </w:p>
    <w:p w14:paraId="11A8A9E7" w14:textId="77777777"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14:paraId="0E8AB426" w14:textId="77777777" w:rsidR="008112BD" w:rsidRDefault="008112BD" w:rsidP="008112BD">
      <w:pPr>
        <w:pStyle w:val="aDef"/>
        <w:keepNext/>
      </w:pPr>
      <w:r w:rsidRPr="00FE0788">
        <w:rPr>
          <w:rStyle w:val="charBoldItals"/>
        </w:rPr>
        <w:t>principal officer</w:t>
      </w:r>
      <w:r>
        <w:t>, of a corporation, means a person who is or has been—</w:t>
      </w:r>
    </w:p>
    <w:p w14:paraId="7A2DD63D" w14:textId="77777777" w:rsidR="008112BD" w:rsidRDefault="008112BD" w:rsidP="008112BD">
      <w:pPr>
        <w:pStyle w:val="aDefpara"/>
      </w:pPr>
      <w:r>
        <w:tab/>
        <w:t>(a)</w:t>
      </w:r>
      <w:r>
        <w:tab/>
        <w:t>the chair, or president, (however described) of the governing body of the corporation; or</w:t>
      </w:r>
    </w:p>
    <w:p w14:paraId="4B80EA74" w14:textId="77777777" w:rsidR="008112BD" w:rsidRDefault="008112BD" w:rsidP="008112BD">
      <w:pPr>
        <w:pStyle w:val="aDefpara"/>
      </w:pPr>
      <w:r>
        <w:tab/>
        <w:t>(b)</w:t>
      </w:r>
      <w:r>
        <w:tab/>
        <w:t>the general manager, chief executive officer, or other person, (however described) having general management of the affairs of the corporation; or</w:t>
      </w:r>
    </w:p>
    <w:p w14:paraId="2BAF4D91" w14:textId="77777777" w:rsidR="008112BD" w:rsidRDefault="008112BD" w:rsidP="008112BD">
      <w:pPr>
        <w:pStyle w:val="aDefpara"/>
      </w:pPr>
      <w:r>
        <w:tab/>
        <w:t>(c)</w:t>
      </w:r>
      <w:r>
        <w:tab/>
        <w:t>the secretary, treasurer, or other person, (however described) having the general function of accepting correspondence for the corporation.</w:t>
      </w:r>
    </w:p>
    <w:p w14:paraId="7F3F7CF4" w14:textId="77777777" w:rsidR="008112BD" w:rsidRDefault="008112BD" w:rsidP="008112BD">
      <w:pPr>
        <w:pStyle w:val="aDef"/>
      </w:pPr>
      <w:r w:rsidRPr="00FE0788">
        <w:rPr>
          <w:rStyle w:val="charBoldItals"/>
        </w:rPr>
        <w:t>regular deposit</w:t>
      </w:r>
      <w:r>
        <w:t>, for division 2.18.7 (which is about regular redirections from financial institutions)—see rule 2330.</w:t>
      </w:r>
    </w:p>
    <w:p w14:paraId="41A98F35" w14:textId="77777777" w:rsidR="008112BD" w:rsidRDefault="008112BD" w:rsidP="008112BD">
      <w:pPr>
        <w:pStyle w:val="aDef"/>
        <w:keepNext/>
      </w:pPr>
      <w:r w:rsidRPr="00FE0788">
        <w:rPr>
          <w:rStyle w:val="charBoldItals"/>
        </w:rPr>
        <w:t>regular redirection order</w:t>
      </w:r>
      <w:r>
        <w:t>—see rule 2332.</w:t>
      </w:r>
    </w:p>
    <w:p w14:paraId="20E7B3C1" w14:textId="77777777" w:rsidR="008112BD" w:rsidRDefault="008112BD" w:rsidP="008112BD">
      <w:pPr>
        <w:pStyle w:val="aNote"/>
      </w:pPr>
      <w:r w:rsidRPr="00FE0788">
        <w:rPr>
          <w:rStyle w:val="charItals"/>
        </w:rPr>
        <w:t>Note</w:t>
      </w:r>
      <w:r>
        <w:tab/>
        <w:t>This definition also applies outside this part.</w:t>
      </w:r>
    </w:p>
    <w:p w14:paraId="73E7C23C" w14:textId="77777777" w:rsidR="008112BD" w:rsidRDefault="008112BD" w:rsidP="008112BD">
      <w:pPr>
        <w:pStyle w:val="aDef"/>
      </w:pPr>
      <w:r w:rsidRPr="00FE0788">
        <w:rPr>
          <w:rStyle w:val="charBoldItals"/>
        </w:rPr>
        <w:t>security interest</w:t>
      </w:r>
      <w:r>
        <w:t>—see rule 2401.</w:t>
      </w:r>
    </w:p>
    <w:p w14:paraId="1D1370CF" w14:textId="77777777" w:rsidR="008112BD" w:rsidRDefault="008112BD" w:rsidP="008112BD">
      <w:pPr>
        <w:pStyle w:val="aDef"/>
        <w:keepNext/>
      </w:pPr>
      <w:r w:rsidRPr="00FE0788">
        <w:rPr>
          <w:rStyle w:val="charBoldItals"/>
        </w:rPr>
        <w:t>seizure and sale order</w:t>
      </w:r>
      <w:r>
        <w:t>—see rule 2200.</w:t>
      </w:r>
    </w:p>
    <w:p w14:paraId="0DDB762A" w14:textId="77777777" w:rsidR="008112BD" w:rsidRDefault="008112BD" w:rsidP="008112BD">
      <w:pPr>
        <w:pStyle w:val="aNote"/>
      </w:pPr>
      <w:r w:rsidRPr="00FE0788">
        <w:rPr>
          <w:rStyle w:val="charItals"/>
        </w:rPr>
        <w:t>Note</w:t>
      </w:r>
      <w:r>
        <w:tab/>
        <w:t>This definition also applies outside this part.</w:t>
      </w:r>
    </w:p>
    <w:p w14:paraId="3750EF3E" w14:textId="77777777"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14:paraId="36F6EA07" w14:textId="77777777" w:rsidR="008112BD" w:rsidRDefault="008112BD" w:rsidP="008112BD">
      <w:pPr>
        <w:pStyle w:val="aDef"/>
        <w:keepNext/>
      </w:pPr>
      <w:r w:rsidRPr="00FE0788">
        <w:rPr>
          <w:rStyle w:val="charBoldItals"/>
        </w:rPr>
        <w:t>third person</w:t>
      </w:r>
      <w:r>
        <w:t>, for division 2.18.6 (which is about debt redirection orders generally)—see rule 2300.</w:t>
      </w:r>
    </w:p>
    <w:p w14:paraId="397CD37A" w14:textId="6B2C44ED"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67" w:tooltip="A2001-14" w:history="1">
        <w:r w:rsidRPr="00FE0788">
          <w:rPr>
            <w:rStyle w:val="charCitHyperlinkAbbrev"/>
          </w:rPr>
          <w:t>Legislation Act</w:t>
        </w:r>
      </w:hyperlink>
      <w:r>
        <w:t>, s 121 (Binding effect of Acts)).</w:t>
      </w:r>
    </w:p>
    <w:p w14:paraId="04C9CD5C" w14:textId="77777777" w:rsidR="008112BD" w:rsidRDefault="008112BD" w:rsidP="008112BD">
      <w:pPr>
        <w:pStyle w:val="AH5Sec"/>
      </w:pPr>
      <w:bookmarkStart w:id="632" w:name="_Toc185514248"/>
      <w:r w:rsidRPr="00C8328B">
        <w:rPr>
          <w:rStyle w:val="CharSectNo"/>
        </w:rPr>
        <w:lastRenderedPageBreak/>
        <w:t>2001</w:t>
      </w:r>
      <w:r>
        <w:tab/>
        <w:t>Enforcement orders generally</w:t>
      </w:r>
      <w:bookmarkEnd w:id="632"/>
    </w:p>
    <w:p w14:paraId="4CD7F453" w14:textId="77777777"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14:paraId="13C4ECF2" w14:textId="77777777"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04C2BCC3" w14:textId="77777777" w:rsidR="008112BD" w:rsidRDefault="008112BD" w:rsidP="008112BD">
      <w:pPr>
        <w:pStyle w:val="Amain"/>
      </w:pPr>
      <w:r>
        <w:tab/>
        <w:t>(2)</w:t>
      </w:r>
      <w:r>
        <w:tab/>
        <w:t>An enforcement order may contain any order directed to enforcing the original order.</w:t>
      </w:r>
    </w:p>
    <w:p w14:paraId="3DD024D6" w14:textId="77777777" w:rsidR="008112BD" w:rsidRDefault="008112BD" w:rsidP="008112BD">
      <w:pPr>
        <w:pStyle w:val="Amain"/>
        <w:keepNext/>
      </w:pPr>
      <w:r>
        <w:tab/>
        <w:t>(3)</w:t>
      </w:r>
      <w:r>
        <w:tab/>
        <w:t>Without limiting subrule (2), an enforcement order includes the following orders:</w:t>
      </w:r>
    </w:p>
    <w:p w14:paraId="7521EEB8" w14:textId="77777777" w:rsidR="008112BD" w:rsidRDefault="008112BD" w:rsidP="008112BD">
      <w:pPr>
        <w:pStyle w:val="Apara"/>
      </w:pPr>
      <w:r>
        <w:tab/>
        <w:t>(a)</w:t>
      </w:r>
      <w:r>
        <w:tab/>
        <w:t>a seizure and sale order (see division 2.18.5);</w:t>
      </w:r>
    </w:p>
    <w:p w14:paraId="31D005E6" w14:textId="77777777" w:rsidR="008112BD" w:rsidRDefault="008112BD" w:rsidP="008112BD">
      <w:pPr>
        <w:pStyle w:val="Apara"/>
      </w:pPr>
      <w:r>
        <w:tab/>
        <w:t>(b)</w:t>
      </w:r>
      <w:r>
        <w:tab/>
        <w:t>a debt redirection order (see division 2.18.6);</w:t>
      </w:r>
    </w:p>
    <w:p w14:paraId="147F288A" w14:textId="77777777" w:rsidR="008112BD" w:rsidRDefault="008112BD" w:rsidP="008112BD">
      <w:pPr>
        <w:pStyle w:val="Apara"/>
      </w:pPr>
      <w:r>
        <w:tab/>
        <w:t>(c)</w:t>
      </w:r>
      <w:r>
        <w:tab/>
        <w:t>a regular redirection order (see division 2.18.7);</w:t>
      </w:r>
    </w:p>
    <w:p w14:paraId="6D4303C2" w14:textId="77777777" w:rsidR="008112BD" w:rsidRDefault="008112BD" w:rsidP="008112BD">
      <w:pPr>
        <w:pStyle w:val="Apara"/>
      </w:pPr>
      <w:r>
        <w:tab/>
        <w:t>(d)</w:t>
      </w:r>
      <w:r>
        <w:tab/>
        <w:t>an earnings redirection order (see division 2.18.8);</w:t>
      </w:r>
    </w:p>
    <w:p w14:paraId="3EF40A36" w14:textId="77777777" w:rsidR="008112BD" w:rsidRDefault="008112BD" w:rsidP="008112BD">
      <w:pPr>
        <w:pStyle w:val="Apara"/>
      </w:pPr>
      <w:r>
        <w:tab/>
        <w:t>(e)</w:t>
      </w:r>
      <w:r>
        <w:tab/>
        <w:t>a charging order (see division 2.18.9);</w:t>
      </w:r>
    </w:p>
    <w:p w14:paraId="33388047" w14:textId="77777777" w:rsidR="008112BD" w:rsidRDefault="008112BD" w:rsidP="008112BD">
      <w:pPr>
        <w:pStyle w:val="Apara"/>
      </w:pPr>
      <w:r>
        <w:tab/>
        <w:t>(f)</w:t>
      </w:r>
      <w:r>
        <w:tab/>
        <w:t>an order under division 2.18.10 relating to amounts or securities in court;</w:t>
      </w:r>
    </w:p>
    <w:p w14:paraId="199DE249" w14:textId="77777777" w:rsidR="008112BD" w:rsidRDefault="008112BD" w:rsidP="008112BD">
      <w:pPr>
        <w:pStyle w:val="Apara"/>
      </w:pPr>
      <w:r>
        <w:tab/>
        <w:t>(g)</w:t>
      </w:r>
      <w:r>
        <w:tab/>
        <w:t>an order under division 2.18.11 appointing a receiver;</w:t>
      </w:r>
    </w:p>
    <w:p w14:paraId="58FED0BA" w14:textId="77777777" w:rsidR="008112BD" w:rsidRDefault="008112BD" w:rsidP="008112BD">
      <w:pPr>
        <w:pStyle w:val="Apara"/>
      </w:pPr>
      <w:r>
        <w:tab/>
        <w:t>(h)</w:t>
      </w:r>
      <w:r>
        <w:tab/>
        <w:t>an order for delivery of possession of land (see division 2.18.13);</w:t>
      </w:r>
    </w:p>
    <w:p w14:paraId="429A50FA" w14:textId="77777777" w:rsidR="008112BD" w:rsidRDefault="008112BD" w:rsidP="008112BD">
      <w:pPr>
        <w:pStyle w:val="Apara"/>
      </w:pPr>
      <w:r>
        <w:tab/>
        <w:t>(i)</w:t>
      </w:r>
      <w:r>
        <w:tab/>
        <w:t>an order for seizure and delivery of goods (see division 2.18.14);</w:t>
      </w:r>
    </w:p>
    <w:p w14:paraId="352165C1" w14:textId="77777777" w:rsidR="008112BD" w:rsidRDefault="008112BD" w:rsidP="008112BD">
      <w:pPr>
        <w:pStyle w:val="Apara"/>
      </w:pPr>
      <w:r>
        <w:tab/>
        <w:t>(j)</w:t>
      </w:r>
      <w:r>
        <w:tab/>
        <w:t>an order for seizure and detention of property (see division 2.18.15);</w:t>
      </w:r>
    </w:p>
    <w:p w14:paraId="5D497C45" w14:textId="77777777" w:rsidR="008112BD" w:rsidRDefault="008112BD" w:rsidP="008112BD">
      <w:pPr>
        <w:pStyle w:val="Apara"/>
      </w:pPr>
      <w:r>
        <w:tab/>
        <w:t>(k)</w:t>
      </w:r>
      <w:r>
        <w:tab/>
        <w:t>an order issuing an arrest warrant or an arrest and detention warrant under division 2.18.16 (Contempt).</w:t>
      </w:r>
    </w:p>
    <w:p w14:paraId="67315721" w14:textId="77777777"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14:paraId="6AE874B0" w14:textId="77777777"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14:paraId="72D16CC2" w14:textId="77777777" w:rsidR="008112BD" w:rsidRDefault="008112BD" w:rsidP="008112BD">
      <w:pPr>
        <w:pStyle w:val="AH5Sec"/>
      </w:pPr>
      <w:bookmarkStart w:id="633" w:name="_Toc185514249"/>
      <w:r w:rsidRPr="00C8328B">
        <w:rPr>
          <w:rStyle w:val="CharSectNo"/>
        </w:rPr>
        <w:t>2002</w:t>
      </w:r>
      <w:r>
        <w:tab/>
        <w:t>Enforcement—enforcement application is application in original proceeding</w:t>
      </w:r>
      <w:bookmarkEnd w:id="633"/>
    </w:p>
    <w:p w14:paraId="6746532C" w14:textId="77777777"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14:paraId="0FF1B334" w14:textId="77777777" w:rsidR="008112BD" w:rsidRDefault="008112BD" w:rsidP="008112BD">
      <w:pPr>
        <w:pStyle w:val="aExamHdgss"/>
      </w:pPr>
      <w:r>
        <w:t>Example</w:t>
      </w:r>
    </w:p>
    <w:p w14:paraId="46747ACD" w14:textId="77777777"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14:paraId="7D97EB0D" w14:textId="77777777" w:rsidR="008112BD" w:rsidRDefault="008112BD" w:rsidP="008112BD">
      <w:pPr>
        <w:pStyle w:val="AH5Sec"/>
      </w:pPr>
      <w:bookmarkStart w:id="634" w:name="_Toc185514250"/>
      <w:r w:rsidRPr="00C8328B">
        <w:rPr>
          <w:rStyle w:val="CharSectNo"/>
        </w:rPr>
        <w:t>2003</w:t>
      </w:r>
      <w:r>
        <w:tab/>
        <w:t>Enforcement—by or against non-party</w:t>
      </w:r>
      <w:bookmarkEnd w:id="634"/>
    </w:p>
    <w:p w14:paraId="48215718" w14:textId="77777777"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14:paraId="421719D9" w14:textId="77777777" w:rsidR="008112BD" w:rsidRDefault="008112BD" w:rsidP="008112BD">
      <w:pPr>
        <w:pStyle w:val="Amain"/>
        <w:keepNext/>
      </w:pPr>
      <w:r>
        <w:tab/>
        <w:t>(2)</w:t>
      </w:r>
      <w:r>
        <w:tab/>
        <w:t>However, the person must not start a proceeding to enforce the order unless the person gives the court an address for service.</w:t>
      </w:r>
    </w:p>
    <w:p w14:paraId="0B4763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4CBD9B38" w14:textId="77777777" w:rsidR="008112BD" w:rsidRDefault="008112BD" w:rsidP="008112BD">
      <w:pPr>
        <w:pStyle w:val="Amain"/>
      </w:pPr>
      <w:r>
        <w:tab/>
        <w:t>(3)</w:t>
      </w:r>
      <w:r>
        <w:tab/>
        <w:t>If an order is made against a person who is not a party when the order is made, the order may be enforced against the person as if the person were a party.</w:t>
      </w:r>
    </w:p>
    <w:p w14:paraId="20F898A6" w14:textId="77777777"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14:paraId="7C04E1F5" w14:textId="77777777" w:rsidR="008112BD" w:rsidRDefault="008112BD" w:rsidP="008112BD">
      <w:pPr>
        <w:pStyle w:val="AH5Sec"/>
      </w:pPr>
      <w:bookmarkStart w:id="635" w:name="_Toc185514251"/>
      <w:r w:rsidRPr="00C8328B">
        <w:rPr>
          <w:rStyle w:val="CharSectNo"/>
        </w:rPr>
        <w:t>2004</w:t>
      </w:r>
      <w:r>
        <w:tab/>
        <w:t>Enforcement—amount recoverable</w:t>
      </w:r>
      <w:bookmarkEnd w:id="635"/>
    </w:p>
    <w:p w14:paraId="625D630C" w14:textId="77777777" w:rsidR="008112BD" w:rsidRDefault="008112BD" w:rsidP="008112BD">
      <w:pPr>
        <w:pStyle w:val="Amain"/>
      </w:pPr>
      <w:r>
        <w:tab/>
        <w:t>(1)</w:t>
      </w:r>
      <w:r>
        <w:tab/>
        <w:t>The costs of enforcement of an order are recoverable as part of the order.</w:t>
      </w:r>
    </w:p>
    <w:p w14:paraId="33ADA4B1" w14:textId="77777777"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14:paraId="2793F245" w14:textId="77777777" w:rsidR="008112BD" w:rsidRDefault="008112BD" w:rsidP="008112BD">
      <w:pPr>
        <w:pStyle w:val="Amain"/>
      </w:pPr>
      <w:r>
        <w:tab/>
        <w:t>(2)</w:t>
      </w:r>
      <w:r>
        <w:tab/>
        <w:t>Interest on an order debt is recoverable as part of the money order.</w:t>
      </w:r>
    </w:p>
    <w:p w14:paraId="71C1FDFB" w14:textId="77777777" w:rsidR="008112BD" w:rsidRDefault="008112BD" w:rsidP="008112BD">
      <w:pPr>
        <w:pStyle w:val="AH5Sec"/>
      </w:pPr>
      <w:bookmarkStart w:id="636" w:name="_Toc185514252"/>
      <w:r w:rsidRPr="00C8328B">
        <w:rPr>
          <w:rStyle w:val="CharSectNo"/>
        </w:rPr>
        <w:t>2005</w:t>
      </w:r>
      <w:r>
        <w:tab/>
        <w:t>Enforcement—separate enforcement for costs</w:t>
      </w:r>
      <w:bookmarkEnd w:id="636"/>
    </w:p>
    <w:p w14:paraId="3A3979E0" w14:textId="77777777" w:rsidR="008112BD" w:rsidRDefault="008112BD" w:rsidP="008112BD">
      <w:pPr>
        <w:pStyle w:val="Amainreturn"/>
      </w:pPr>
      <w:r>
        <w:t>A person entitled to enforce an order with costs may enforce the order and, when the costs become payable, enforce payment of the costs separately.</w:t>
      </w:r>
    </w:p>
    <w:p w14:paraId="4A054B3C" w14:textId="77777777" w:rsidR="008112BD" w:rsidRDefault="008112BD" w:rsidP="008112BD">
      <w:pPr>
        <w:pStyle w:val="AH5Sec"/>
      </w:pPr>
      <w:bookmarkStart w:id="637" w:name="_Toc185514253"/>
      <w:r w:rsidRPr="00C8328B">
        <w:rPr>
          <w:rStyle w:val="CharSectNo"/>
        </w:rPr>
        <w:t>2006</w:t>
      </w:r>
      <w:r>
        <w:tab/>
        <w:t>Enforcement—order in partnership name</w:t>
      </w:r>
      <w:bookmarkEnd w:id="637"/>
    </w:p>
    <w:p w14:paraId="482413DD" w14:textId="77777777" w:rsidR="008112BD" w:rsidRDefault="008112BD" w:rsidP="008112BD">
      <w:pPr>
        <w:pStyle w:val="Amain"/>
        <w:keepNext/>
      </w:pPr>
      <w:r>
        <w:tab/>
        <w:t>(1)</w:t>
      </w:r>
      <w:r>
        <w:tab/>
        <w:t>An order against partners in the partnership name may be enforced against 1 or more of the following:</w:t>
      </w:r>
    </w:p>
    <w:p w14:paraId="2B1AE1AC" w14:textId="77777777" w:rsidR="008112BD" w:rsidRDefault="008112BD" w:rsidP="008112BD">
      <w:pPr>
        <w:pStyle w:val="Apara"/>
      </w:pPr>
      <w:r>
        <w:tab/>
        <w:t>(a)</w:t>
      </w:r>
      <w:r>
        <w:tab/>
        <w:t>partnership property;</w:t>
      </w:r>
    </w:p>
    <w:p w14:paraId="41505BE6" w14:textId="77777777" w:rsidR="008112BD" w:rsidRDefault="008112BD" w:rsidP="008112BD">
      <w:pPr>
        <w:pStyle w:val="Apara"/>
      </w:pPr>
      <w:r>
        <w:tab/>
        <w:t>(b)</w:t>
      </w:r>
      <w:r>
        <w:tab/>
        <w:t>a partner who filed a defence;</w:t>
      </w:r>
    </w:p>
    <w:p w14:paraId="42E26D48" w14:textId="77777777" w:rsidR="008112BD" w:rsidRDefault="008112BD" w:rsidP="008112BD">
      <w:pPr>
        <w:pStyle w:val="Apara"/>
      </w:pPr>
      <w:r>
        <w:tab/>
        <w:t>(c)</w:t>
      </w:r>
      <w:r>
        <w:tab/>
        <w:t>a person who has admitted being a partner;</w:t>
      </w:r>
    </w:p>
    <w:p w14:paraId="03873E20" w14:textId="77777777" w:rsidR="008112BD" w:rsidRDefault="008112BD" w:rsidP="008112BD">
      <w:pPr>
        <w:pStyle w:val="Apara"/>
      </w:pPr>
      <w:r>
        <w:tab/>
        <w:t>(d)</w:t>
      </w:r>
      <w:r>
        <w:tab/>
        <w:t>a person who the court has decided is a partner;</w:t>
      </w:r>
    </w:p>
    <w:p w14:paraId="7666F25E" w14:textId="77777777" w:rsidR="008112BD" w:rsidRDefault="008112BD" w:rsidP="008112BD">
      <w:pPr>
        <w:pStyle w:val="Apara"/>
      </w:pPr>
      <w:r>
        <w:tab/>
        <w:t>(e)</w:t>
      </w:r>
      <w:r>
        <w:tab/>
        <w:t>a person who has been individually served as a partner with the originating process and who has not filed a defence.</w:t>
      </w:r>
    </w:p>
    <w:p w14:paraId="666CE872" w14:textId="77777777"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14:paraId="7B1E579E" w14:textId="77777777" w:rsidR="008112BD" w:rsidRDefault="008112BD" w:rsidP="008112BD">
      <w:pPr>
        <w:pStyle w:val="aNote"/>
      </w:pPr>
      <w:r w:rsidRPr="00FE0788">
        <w:rPr>
          <w:rStyle w:val="charItals"/>
        </w:rPr>
        <w:t>Note</w:t>
      </w:r>
      <w:r>
        <w:tab/>
        <w:t>Pt 6.2 (Applications in proceedings) applies to an application for an amendment or leave under this rule.</w:t>
      </w:r>
    </w:p>
    <w:p w14:paraId="5614526A" w14:textId="77777777"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14:paraId="64AA9CD3" w14:textId="77777777" w:rsidR="008112BD" w:rsidRDefault="008112BD" w:rsidP="008112BD">
      <w:pPr>
        <w:pStyle w:val="Amain"/>
        <w:keepNext/>
      </w:pPr>
      <w:r>
        <w:tab/>
        <w:t>(4)</w:t>
      </w:r>
      <w:r>
        <w:tab/>
        <w:t>The application for leave must be served on the person against whom the order is sought to be enforced.</w:t>
      </w:r>
    </w:p>
    <w:p w14:paraId="004F2F36" w14:textId="77777777" w:rsidR="008112BD" w:rsidRDefault="008112BD" w:rsidP="008112BD">
      <w:pPr>
        <w:pStyle w:val="aNote"/>
      </w:pPr>
      <w:r w:rsidRPr="00FE0788">
        <w:rPr>
          <w:rStyle w:val="charItals"/>
        </w:rPr>
        <w:t>Note</w:t>
      </w:r>
      <w:r>
        <w:tab/>
        <w:t>Rule 6008 (3) (Application in proceeding—filing and service) applies to service of the application for leave.</w:t>
      </w:r>
    </w:p>
    <w:p w14:paraId="78D2D4F3" w14:textId="77777777"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14:paraId="4B40602B" w14:textId="77777777" w:rsidR="008112BD" w:rsidRDefault="008112BD" w:rsidP="008112BD">
      <w:pPr>
        <w:pStyle w:val="AH5Sec"/>
      </w:pPr>
      <w:bookmarkStart w:id="638" w:name="_Toc185514254"/>
      <w:r w:rsidRPr="00C8328B">
        <w:rPr>
          <w:rStyle w:val="CharSectNo"/>
        </w:rPr>
        <w:t>2007</w:t>
      </w:r>
      <w:r>
        <w:tab/>
        <w:t>Enforcement—against property of partnership</w:t>
      </w:r>
      <w:bookmarkEnd w:id="638"/>
    </w:p>
    <w:p w14:paraId="7FB63D70" w14:textId="77777777" w:rsidR="008112BD" w:rsidRDefault="008112BD" w:rsidP="008112BD">
      <w:pPr>
        <w:pStyle w:val="Amainreturn"/>
      </w:pPr>
      <w:r>
        <w:t>An enforcement order must not be made against property of a partnership except to enforce an order against the partnership.</w:t>
      </w:r>
    </w:p>
    <w:p w14:paraId="0D600081" w14:textId="77777777" w:rsidR="008112BD" w:rsidRDefault="008112BD" w:rsidP="008112BD">
      <w:pPr>
        <w:pStyle w:val="AH5Sec"/>
      </w:pPr>
      <w:bookmarkStart w:id="639" w:name="_Toc185514255"/>
      <w:r w:rsidRPr="00C8328B">
        <w:rPr>
          <w:rStyle w:val="CharSectNo"/>
        </w:rPr>
        <w:t>2008</w:t>
      </w:r>
      <w:r>
        <w:tab/>
        <w:t>Enforcement—against property of business</w:t>
      </w:r>
      <w:bookmarkEnd w:id="639"/>
    </w:p>
    <w:p w14:paraId="3700106F" w14:textId="77777777" w:rsidR="008112BD" w:rsidRDefault="008112BD" w:rsidP="008112BD">
      <w:pPr>
        <w:pStyle w:val="Amain"/>
        <w:keepNext/>
      </w:pPr>
      <w:r>
        <w:tab/>
        <w:t>(1)</w:t>
      </w:r>
      <w:r>
        <w:tab/>
        <w:t>This rule applies if—</w:t>
      </w:r>
    </w:p>
    <w:p w14:paraId="18833550" w14:textId="77777777" w:rsidR="008112BD" w:rsidRDefault="008112BD" w:rsidP="008112BD">
      <w:pPr>
        <w:pStyle w:val="Apara"/>
      </w:pPr>
      <w:r>
        <w:tab/>
        <w:t>(a)</w:t>
      </w:r>
      <w:r>
        <w:tab/>
        <w:t>a proceeding is brought against a person under a business name; and</w:t>
      </w:r>
    </w:p>
    <w:p w14:paraId="7CA1005F" w14:textId="77777777" w:rsidR="008112BD" w:rsidRDefault="008112BD" w:rsidP="008112BD">
      <w:pPr>
        <w:pStyle w:val="Apara"/>
      </w:pPr>
      <w:r>
        <w:tab/>
        <w:t>(b)</w:t>
      </w:r>
      <w:r>
        <w:tab/>
        <w:t>rule 291 (Proceeding in business name if unregistered etc) applies to the business name.</w:t>
      </w:r>
    </w:p>
    <w:p w14:paraId="47983333" w14:textId="77777777" w:rsidR="008112BD" w:rsidRDefault="008112BD" w:rsidP="008112BD">
      <w:pPr>
        <w:pStyle w:val="Amain"/>
      </w:pPr>
      <w:r>
        <w:tab/>
        <w:t>(2)</w:t>
      </w:r>
      <w:r>
        <w:tab/>
        <w:t>An order in the proceeding may be enforced against any property of the person.</w:t>
      </w:r>
    </w:p>
    <w:p w14:paraId="34F0FA94" w14:textId="77777777" w:rsidR="008112BD" w:rsidRDefault="008112BD" w:rsidP="008112BD">
      <w:pPr>
        <w:pStyle w:val="Amain"/>
        <w:keepNext/>
      </w:pPr>
      <w:r>
        <w:lastRenderedPageBreak/>
        <w:tab/>
        <w:t>(3)</w:t>
      </w:r>
      <w:r>
        <w:tab/>
        <w:t>The court may amend an order made in the proceeding to make it an order against the person.</w:t>
      </w:r>
    </w:p>
    <w:p w14:paraId="1BC9CB72" w14:textId="77777777" w:rsidR="008112BD" w:rsidRDefault="008112BD" w:rsidP="008112BD">
      <w:pPr>
        <w:pStyle w:val="aNote"/>
      </w:pPr>
      <w:r w:rsidRPr="00FE0788">
        <w:rPr>
          <w:rStyle w:val="charItals"/>
        </w:rPr>
        <w:t>Note</w:t>
      </w:r>
      <w:r>
        <w:tab/>
        <w:t>Pt 6.2 (Applications in proceedings) applies to an application to amend an order.</w:t>
      </w:r>
    </w:p>
    <w:p w14:paraId="278E996D" w14:textId="77777777" w:rsidR="008112BD" w:rsidRDefault="008112BD" w:rsidP="008112BD">
      <w:pPr>
        <w:pStyle w:val="AH5Sec"/>
      </w:pPr>
      <w:bookmarkStart w:id="640" w:name="_Toc185514256"/>
      <w:r w:rsidRPr="00C8328B">
        <w:rPr>
          <w:rStyle w:val="CharSectNo"/>
        </w:rPr>
        <w:t>2009</w:t>
      </w:r>
      <w:r>
        <w:tab/>
        <w:t>Enforcement—enforcement of Supreme Court order in Magistrates Court</w:t>
      </w:r>
      <w:bookmarkEnd w:id="640"/>
    </w:p>
    <w:p w14:paraId="24A0A93D" w14:textId="77777777"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14:paraId="42895D4E" w14:textId="77777777" w:rsidR="008112BD" w:rsidRDefault="008112BD" w:rsidP="008112BD">
      <w:pPr>
        <w:pStyle w:val="Amain"/>
      </w:pPr>
      <w:r>
        <w:tab/>
        <w:t>(2)</w:t>
      </w:r>
      <w:r>
        <w:tab/>
        <w:t>To enforce the order, the order must be filed in the Magistrates Court.</w:t>
      </w:r>
    </w:p>
    <w:p w14:paraId="2ACD5281" w14:textId="77777777"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14:paraId="21E2D830"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68C5B31" w14:textId="77777777" w:rsidR="008112BD" w:rsidRDefault="008112BD" w:rsidP="008112BD">
      <w:pPr>
        <w:pStyle w:val="AH5Sec"/>
      </w:pPr>
      <w:bookmarkStart w:id="641" w:name="_Toc185514257"/>
      <w:r w:rsidRPr="00C8328B">
        <w:rPr>
          <w:rStyle w:val="CharSectNo"/>
        </w:rPr>
        <w:t>2010</w:t>
      </w:r>
      <w:r>
        <w:tab/>
        <w:t>Enforcement—enforcement of Magistrates Court order in Supreme Court</w:t>
      </w:r>
      <w:bookmarkEnd w:id="641"/>
    </w:p>
    <w:p w14:paraId="219331A8" w14:textId="77777777"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14:paraId="26E4BF1E" w14:textId="77777777" w:rsidR="008112BD" w:rsidRDefault="008112BD" w:rsidP="008112BD">
      <w:pPr>
        <w:pStyle w:val="Apara"/>
      </w:pPr>
      <w:r>
        <w:tab/>
        <w:t>(a)</w:t>
      </w:r>
      <w:r>
        <w:tab/>
        <w:t>the money order; and</w:t>
      </w:r>
    </w:p>
    <w:p w14:paraId="3084A782" w14:textId="77777777" w:rsidR="008112BD" w:rsidRDefault="008112BD" w:rsidP="008112BD">
      <w:pPr>
        <w:pStyle w:val="Apara"/>
      </w:pPr>
      <w:r>
        <w:tab/>
        <w:t>(b)</w:t>
      </w:r>
      <w:r>
        <w:tab/>
        <w:t>the amount owing under the money order (including any amount payable for interest and costs).</w:t>
      </w:r>
    </w:p>
    <w:p w14:paraId="6C1AF63F" w14:textId="77777777" w:rsidR="008112BD" w:rsidRDefault="008112BD" w:rsidP="008112BD">
      <w:pPr>
        <w:pStyle w:val="Amain"/>
        <w:keepNext/>
      </w:pPr>
      <w:r>
        <w:tab/>
        <w:t>(2)</w:t>
      </w:r>
      <w:r>
        <w:tab/>
        <w:t>An application under subrule (1) is made by filing in the Magistrates Court—</w:t>
      </w:r>
    </w:p>
    <w:p w14:paraId="6165CECA" w14:textId="77777777" w:rsidR="008112BD" w:rsidRDefault="008112BD" w:rsidP="008112BD">
      <w:pPr>
        <w:pStyle w:val="Apara"/>
      </w:pPr>
      <w:r>
        <w:tab/>
        <w:t>(a)</w:t>
      </w:r>
      <w:r>
        <w:tab/>
        <w:t>a draft certificate; and</w:t>
      </w:r>
    </w:p>
    <w:p w14:paraId="19BAF79F" w14:textId="77777777" w:rsidR="008112BD" w:rsidRDefault="008112BD" w:rsidP="008112BD">
      <w:pPr>
        <w:pStyle w:val="Apara"/>
      </w:pPr>
      <w:r>
        <w:tab/>
        <w:t>(b)</w:t>
      </w:r>
      <w:r>
        <w:tab/>
        <w:t>an affidavit in support of the application that contains sufficient information to enable the court to give the certificate.</w:t>
      </w:r>
    </w:p>
    <w:p w14:paraId="34BA593E" w14:textId="77777777" w:rsidR="008112BD" w:rsidRDefault="008112BD" w:rsidP="008112BD">
      <w:pPr>
        <w:pStyle w:val="Amain"/>
      </w:pPr>
      <w:r>
        <w:lastRenderedPageBreak/>
        <w:tab/>
        <w:t>(3)</w:t>
      </w:r>
      <w:r>
        <w:tab/>
        <w:t>Part 6.2 (Applications in proceedings) does not apply to the application.</w:t>
      </w:r>
    </w:p>
    <w:p w14:paraId="6BFE6820" w14:textId="77777777" w:rsidR="008112BD" w:rsidRDefault="008112BD" w:rsidP="008112BD">
      <w:pPr>
        <w:pStyle w:val="Amain"/>
      </w:pPr>
      <w:r>
        <w:tab/>
        <w:t>(4)</w:t>
      </w:r>
      <w:r>
        <w:tab/>
        <w:t>The draft certificate and affidavit need not be served on anyone unless the court otherwise orders on its own initiative.</w:t>
      </w:r>
    </w:p>
    <w:p w14:paraId="19ED9434" w14:textId="77777777" w:rsidR="008112BD" w:rsidRDefault="008112BD" w:rsidP="008112BD">
      <w:pPr>
        <w:pStyle w:val="Amain"/>
      </w:pPr>
      <w:r>
        <w:tab/>
        <w:t>(5)</w:t>
      </w:r>
      <w:r>
        <w:tab/>
        <w:t>Unless the court otherwise orders on its own initiative, the application must be dealt with without a hearing and in the absence of the parties.</w:t>
      </w:r>
    </w:p>
    <w:p w14:paraId="4A5B5D0A" w14:textId="77777777" w:rsidR="008112BD" w:rsidRDefault="008112BD" w:rsidP="008112BD">
      <w:pPr>
        <w:pStyle w:val="Amain"/>
        <w:keepNext/>
      </w:pPr>
      <w:r>
        <w:tab/>
        <w:t>(6)</w:t>
      </w:r>
      <w:r>
        <w:tab/>
        <w:t>The court may give a certificate under subrule (1) only if—</w:t>
      </w:r>
    </w:p>
    <w:p w14:paraId="2E0D33C8" w14:textId="77777777" w:rsidR="008112BD" w:rsidRDefault="008112BD" w:rsidP="008112BD">
      <w:pPr>
        <w:pStyle w:val="Apara"/>
      </w:pPr>
      <w:r>
        <w:tab/>
        <w:t>(a)</w:t>
      </w:r>
      <w:r>
        <w:tab/>
        <w:t>a seizure and sale order previously made for the order has been returned completely or partly unsatisfied; or</w:t>
      </w:r>
    </w:p>
    <w:p w14:paraId="4B884FC1" w14:textId="77777777" w:rsidR="008112BD" w:rsidRDefault="008112BD" w:rsidP="008112BD">
      <w:pPr>
        <w:pStyle w:val="Apara"/>
      </w:pPr>
      <w:r>
        <w:tab/>
        <w:t>(b)</w:t>
      </w:r>
      <w:r>
        <w:tab/>
        <w:t>the court otherwise considers it appropriate.</w:t>
      </w:r>
    </w:p>
    <w:p w14:paraId="47687F9F" w14:textId="77777777" w:rsidR="008112BD" w:rsidRDefault="008112BD" w:rsidP="008112BD">
      <w:pPr>
        <w:pStyle w:val="Amain"/>
      </w:pPr>
      <w:r>
        <w:tab/>
        <w:t>(7)</w:t>
      </w:r>
      <w:r>
        <w:tab/>
        <w:t>If the certificate is given, no further action may be taken in the Magistrates Court to enforce the money order.</w:t>
      </w:r>
    </w:p>
    <w:p w14:paraId="0EF4CECE" w14:textId="77777777"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14:paraId="60AE78B8" w14:textId="77777777" w:rsidR="008112BD" w:rsidRDefault="008112BD" w:rsidP="008112BD">
      <w:pPr>
        <w:pStyle w:val="Apara"/>
      </w:pPr>
      <w:r>
        <w:tab/>
        <w:t>(a)</w:t>
      </w:r>
      <w:r>
        <w:tab/>
        <w:t>the amount stated in the certificate as the amount owing under the money order; and</w:t>
      </w:r>
    </w:p>
    <w:p w14:paraId="205A1A6A" w14:textId="77777777" w:rsidR="008112BD" w:rsidRDefault="008112BD" w:rsidP="008112BD">
      <w:pPr>
        <w:pStyle w:val="Apara"/>
      </w:pPr>
      <w:r>
        <w:tab/>
        <w:t>(b)</w:t>
      </w:r>
      <w:r>
        <w:tab/>
        <w:t>any interest and costs up to the day of entry of final judgment.</w:t>
      </w:r>
    </w:p>
    <w:p w14:paraId="3BB419BE" w14:textId="77777777" w:rsidR="008112BD" w:rsidRDefault="008112BD" w:rsidP="008112BD">
      <w:pPr>
        <w:pStyle w:val="Amain"/>
      </w:pPr>
      <w:r>
        <w:tab/>
        <w:t>(9)</w:t>
      </w:r>
      <w:r>
        <w:tab/>
        <w:t>Subrule (8) does not authorise the giving of interest on interest.</w:t>
      </w:r>
    </w:p>
    <w:p w14:paraId="074C6193" w14:textId="77777777" w:rsidR="008112BD" w:rsidRDefault="008112BD" w:rsidP="008112BD">
      <w:pPr>
        <w:pStyle w:val="Amain"/>
      </w:pPr>
      <w:r>
        <w:tab/>
        <w:t>(10)</w:t>
      </w:r>
      <w:r>
        <w:tab/>
        <w:t>A judgment entered under subrule (8) may be enforced as if it were a money order made by the Supreme Court.</w:t>
      </w:r>
    </w:p>
    <w:p w14:paraId="1847E5D3" w14:textId="77777777" w:rsidR="008112BD" w:rsidRDefault="008112BD" w:rsidP="008112BD">
      <w:pPr>
        <w:pStyle w:val="AH5Sec"/>
      </w:pPr>
      <w:bookmarkStart w:id="642" w:name="_Toc185514258"/>
      <w:r w:rsidRPr="00C8328B">
        <w:rPr>
          <w:rStyle w:val="CharSectNo"/>
        </w:rPr>
        <w:t>2010A</w:t>
      </w:r>
      <w:r>
        <w:tab/>
        <w:t>Enforcement—certificate of registration of enforceable order under Service and Execution of Process Act</w:t>
      </w:r>
      <w:bookmarkEnd w:id="642"/>
    </w:p>
    <w:p w14:paraId="19488395" w14:textId="3DCD2496"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68" w:tooltip="Act 1992 No 172 (Cwlth)" w:history="1">
        <w:r w:rsidRPr="009D1718">
          <w:rPr>
            <w:rStyle w:val="charCitHyperlinkItal"/>
          </w:rPr>
          <w:t>Service and Execution of Process Act 1992</w:t>
        </w:r>
      </w:hyperlink>
      <w:r>
        <w:t xml:space="preserve"> (Cwlth), section 105.</w:t>
      </w:r>
    </w:p>
    <w:p w14:paraId="0DEC99E3" w14:textId="77777777" w:rsidR="008112BD" w:rsidRDefault="008112BD" w:rsidP="008112BD">
      <w:pPr>
        <w:pStyle w:val="Amain"/>
      </w:pPr>
      <w:r>
        <w:lastRenderedPageBreak/>
        <w:tab/>
        <w:t>(2)</w:t>
      </w:r>
      <w:r>
        <w:tab/>
        <w:t>An application under subrule (1) is made by filing in the court—</w:t>
      </w:r>
    </w:p>
    <w:p w14:paraId="48D85A21" w14:textId="77777777" w:rsidR="008112BD" w:rsidRDefault="008112BD" w:rsidP="008112BD">
      <w:pPr>
        <w:pStyle w:val="Apara"/>
      </w:pPr>
      <w:r>
        <w:tab/>
        <w:t>(a)</w:t>
      </w:r>
      <w:r>
        <w:tab/>
        <w:t>a copy, sealed by the court or tribunal that made the order, of the enforceable order, or a fax of the copy so sealed; and</w:t>
      </w:r>
    </w:p>
    <w:p w14:paraId="2F067476" w14:textId="77777777" w:rsidR="008112BD" w:rsidRDefault="008112BD" w:rsidP="008112BD">
      <w:pPr>
        <w:pStyle w:val="Apara"/>
      </w:pPr>
      <w:r>
        <w:tab/>
        <w:t>(b)</w:t>
      </w:r>
      <w:r>
        <w:tab/>
        <w:t>a draft certificate with a copy of the sealed copy of the order attached.</w:t>
      </w:r>
    </w:p>
    <w:p w14:paraId="25AEAFDB" w14:textId="77777777" w:rsidR="008112BD" w:rsidRDefault="008112BD" w:rsidP="008112BD">
      <w:pPr>
        <w:pStyle w:val="Amain"/>
      </w:pPr>
      <w:r>
        <w:tab/>
        <w:t>(3)</w:t>
      </w:r>
      <w:r>
        <w:tab/>
        <w:t>Part 6.2 (Applications in proceedings) does not apply to the application.</w:t>
      </w:r>
    </w:p>
    <w:p w14:paraId="399D27FF" w14:textId="77777777" w:rsidR="008112BD" w:rsidRDefault="008112BD" w:rsidP="008112BD">
      <w:pPr>
        <w:pStyle w:val="Amain"/>
      </w:pPr>
      <w:r>
        <w:tab/>
        <w:t>(4)</w:t>
      </w:r>
      <w:r>
        <w:tab/>
        <w:t>A copy of the enforceable order and draft certificate need not be served on anyone unless the court otherwise orders on its own initiative.</w:t>
      </w:r>
    </w:p>
    <w:p w14:paraId="5D142765" w14:textId="77777777"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14:paraId="69382BA6" w14:textId="0B65728C"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69" w:history="1">
        <w:r w:rsidRPr="009D1718">
          <w:rPr>
            <w:rStyle w:val="charCitHyperlinkAbbrev"/>
          </w:rPr>
          <w:t>AF2008-120</w:t>
        </w:r>
      </w:hyperlink>
      <w:r>
        <w:t>.</w:t>
      </w:r>
    </w:p>
    <w:p w14:paraId="2AEF76F7" w14:textId="77777777" w:rsidR="008112BD" w:rsidRDefault="008112BD" w:rsidP="008112BD">
      <w:pPr>
        <w:pStyle w:val="Amain"/>
      </w:pPr>
      <w:r>
        <w:tab/>
        <w:t>(6)</w:t>
      </w:r>
      <w:r>
        <w:tab/>
        <w:t>If a fax is filed under subrule (2) (a)—</w:t>
      </w:r>
    </w:p>
    <w:p w14:paraId="3FB3BEA4" w14:textId="77777777"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14:paraId="6DA57C68" w14:textId="77777777"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14:paraId="00A29207" w14:textId="77777777" w:rsidR="008112BD" w:rsidRDefault="008112BD" w:rsidP="008112BD">
      <w:pPr>
        <w:pStyle w:val="aNotepar"/>
      </w:pPr>
      <w:r>
        <w:rPr>
          <w:rStyle w:val="charItals"/>
        </w:rPr>
        <w:t>Note</w:t>
      </w:r>
      <w:r>
        <w:rPr>
          <w:rStyle w:val="charItals"/>
        </w:rPr>
        <w:tab/>
      </w:r>
      <w:r>
        <w:t>Pt 6.2 (Applications in proceedings) applies to an application for leave.</w:t>
      </w:r>
    </w:p>
    <w:p w14:paraId="77C8CDE9" w14:textId="77777777" w:rsidR="008112BD" w:rsidRDefault="008112BD" w:rsidP="008112BD">
      <w:pPr>
        <w:pStyle w:val="Amain"/>
      </w:pPr>
      <w:r>
        <w:tab/>
        <w:t>(7)</w:t>
      </w:r>
      <w:r>
        <w:tab/>
        <w:t>An application for leave to start, or continue, an enforcement proceeding need not be served on anyone unless the court otherwise orders on its own initiative.</w:t>
      </w:r>
    </w:p>
    <w:p w14:paraId="6D906CC3" w14:textId="77777777" w:rsidR="008112BD" w:rsidRDefault="008112BD" w:rsidP="00547763">
      <w:pPr>
        <w:pStyle w:val="Amain"/>
        <w:keepNext/>
      </w:pPr>
      <w:r>
        <w:lastRenderedPageBreak/>
        <w:tab/>
        <w:t>(8)</w:t>
      </w:r>
      <w:r>
        <w:tab/>
        <w:t>In this rule:</w:t>
      </w:r>
    </w:p>
    <w:p w14:paraId="58A969A7" w14:textId="77777777"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14:paraId="76470C66" w14:textId="77777777" w:rsidR="008112BD" w:rsidRDefault="008112BD" w:rsidP="008112BD">
      <w:pPr>
        <w:pStyle w:val="aDef"/>
      </w:pPr>
      <w:r>
        <w:rPr>
          <w:rStyle w:val="charBoldItals"/>
        </w:rPr>
        <w:t>enforceable order</w:t>
      </w:r>
      <w:r>
        <w:t xml:space="preserve"> means—</w:t>
      </w:r>
    </w:p>
    <w:p w14:paraId="1EB39201" w14:textId="77777777" w:rsidR="008112BD" w:rsidRDefault="008112BD" w:rsidP="008112BD">
      <w:pPr>
        <w:pStyle w:val="aDefpara"/>
      </w:pPr>
      <w:r>
        <w:tab/>
        <w:t>(a)</w:t>
      </w:r>
      <w:r>
        <w:tab/>
        <w:t xml:space="preserve">an enforceable money order; or </w:t>
      </w:r>
    </w:p>
    <w:p w14:paraId="69F4E808" w14:textId="77777777" w:rsidR="008112BD" w:rsidRDefault="008112BD" w:rsidP="008112BD">
      <w:pPr>
        <w:pStyle w:val="aDefpara"/>
      </w:pPr>
      <w:r>
        <w:tab/>
        <w:t>(b)</w:t>
      </w:r>
      <w:r>
        <w:tab/>
        <w:t>an enforceable non-money order.</w:t>
      </w:r>
    </w:p>
    <w:p w14:paraId="73767988" w14:textId="77777777" w:rsidR="008112BD" w:rsidRDefault="008112BD" w:rsidP="008112BD">
      <w:pPr>
        <w:pStyle w:val="aDef"/>
      </w:pPr>
      <w:r>
        <w:rPr>
          <w:rStyle w:val="charBoldItals"/>
        </w:rPr>
        <w:t>working day</w:t>
      </w:r>
      <w:r>
        <w:t xml:space="preserve"> means a day that is not—</w:t>
      </w:r>
    </w:p>
    <w:p w14:paraId="23215590" w14:textId="77777777" w:rsidR="008112BD" w:rsidRDefault="008112BD" w:rsidP="008112BD">
      <w:pPr>
        <w:pStyle w:val="aDefpara"/>
      </w:pPr>
      <w:r>
        <w:tab/>
        <w:t>(a)</w:t>
      </w:r>
      <w:r>
        <w:tab/>
        <w:t>a Saturday or Sunday; or</w:t>
      </w:r>
    </w:p>
    <w:p w14:paraId="50DC323A" w14:textId="77777777" w:rsidR="008112BD" w:rsidRPr="002B175D" w:rsidRDefault="008112BD" w:rsidP="008112BD">
      <w:pPr>
        <w:pStyle w:val="aDefpara"/>
      </w:pPr>
      <w:r w:rsidRPr="002B175D">
        <w:tab/>
        <w:t>(b)</w:t>
      </w:r>
      <w:r w:rsidRPr="002B175D">
        <w:tab/>
        <w:t>a public holiday or bank holiday.</w:t>
      </w:r>
    </w:p>
    <w:p w14:paraId="2A7FCEC3" w14:textId="77777777" w:rsidR="008112BD" w:rsidRPr="00AD5834" w:rsidRDefault="008112BD" w:rsidP="008112BD">
      <w:pPr>
        <w:pStyle w:val="AH5Sec"/>
      </w:pPr>
      <w:bookmarkStart w:id="643" w:name="_Toc185514259"/>
      <w:r w:rsidRPr="00C8328B">
        <w:rPr>
          <w:rStyle w:val="CharSectNo"/>
        </w:rPr>
        <w:t>2010B</w:t>
      </w:r>
      <w:r w:rsidRPr="00AD5834">
        <w:tab/>
        <w:t>Enforcement—assessment of costs for certificate of registration</w:t>
      </w:r>
      <w:bookmarkEnd w:id="643"/>
    </w:p>
    <w:p w14:paraId="042BD3B4" w14:textId="77777777" w:rsidR="008112BD" w:rsidRPr="00AD5834" w:rsidRDefault="008112BD" w:rsidP="008112BD">
      <w:pPr>
        <w:pStyle w:val="Amain"/>
      </w:pPr>
      <w:r w:rsidRPr="00AD5834">
        <w:tab/>
        <w:t>(1)</w:t>
      </w:r>
      <w:r w:rsidRPr="00AD5834">
        <w:tab/>
        <w:t>This rule applies if the court registers an enforceable order of another court under rule 2010A.</w:t>
      </w:r>
    </w:p>
    <w:p w14:paraId="20655119" w14:textId="77777777" w:rsidR="008112BD" w:rsidRPr="00AD5834" w:rsidRDefault="008112BD" w:rsidP="008112BD">
      <w:pPr>
        <w:pStyle w:val="Amain"/>
      </w:pPr>
      <w:r w:rsidRPr="00AD5834">
        <w:tab/>
        <w:t>(2)</w:t>
      </w:r>
      <w:r w:rsidRPr="00AD5834">
        <w:tab/>
        <w:t>The applicant’s costs and disbursements (plus any filing and service fees actually paid):</w:t>
      </w:r>
    </w:p>
    <w:p w14:paraId="69E4E21A" w14:textId="77777777"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14:paraId="0CC2FE3A" w14:textId="77777777"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14:paraId="2F9FB76F" w14:textId="77777777"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14:paraId="1D4CF84A" w14:textId="77777777" w:rsidR="008112BD" w:rsidRDefault="008112BD" w:rsidP="008112BD">
      <w:pPr>
        <w:pStyle w:val="AH5Sec"/>
      </w:pPr>
      <w:bookmarkStart w:id="644" w:name="_Toc185514260"/>
      <w:r w:rsidRPr="00C8328B">
        <w:rPr>
          <w:rStyle w:val="CharSectNo"/>
        </w:rPr>
        <w:lastRenderedPageBreak/>
        <w:t>2011</w:t>
      </w:r>
      <w:r>
        <w:tab/>
        <w:t>Enforcement—demand for compliance unnecessary</w:t>
      </w:r>
      <w:bookmarkEnd w:id="644"/>
    </w:p>
    <w:p w14:paraId="2CDDF5FE" w14:textId="77777777" w:rsidR="008112BD" w:rsidRDefault="008112BD" w:rsidP="008112BD">
      <w:pPr>
        <w:pStyle w:val="Amain"/>
      </w:pPr>
      <w:r>
        <w:tab/>
        <w:t>(1)</w:t>
      </w:r>
      <w:r>
        <w:tab/>
        <w:t>It is not necessary to demand compliance with an order before starting an enforcement proceeding for the order.</w:t>
      </w:r>
    </w:p>
    <w:p w14:paraId="5A32D336" w14:textId="77777777"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14:paraId="6ADD9276" w14:textId="5A037A8A"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0" w:tooltip="A2001-14" w:history="1">
        <w:r w:rsidRPr="00FE0788">
          <w:rPr>
            <w:rStyle w:val="charCitHyperlinkAbbrev"/>
          </w:rPr>
          <w:t>Legislation Act</w:t>
        </w:r>
      </w:hyperlink>
      <w:r>
        <w:t>, s 98).</w:t>
      </w:r>
    </w:p>
    <w:p w14:paraId="51489C85" w14:textId="77777777" w:rsidR="008112BD" w:rsidRDefault="008112BD" w:rsidP="008112BD">
      <w:pPr>
        <w:pStyle w:val="AH5Sec"/>
      </w:pPr>
      <w:bookmarkStart w:id="645" w:name="_Toc185514261"/>
      <w:r w:rsidRPr="00C8328B">
        <w:rPr>
          <w:rStyle w:val="CharSectNo"/>
        </w:rPr>
        <w:t>2012</w:t>
      </w:r>
      <w:r>
        <w:tab/>
        <w:t>Enforcement—when leave required</w:t>
      </w:r>
      <w:bookmarkEnd w:id="645"/>
    </w:p>
    <w:p w14:paraId="69A98AA2" w14:textId="77777777" w:rsidR="008112BD" w:rsidRDefault="008112BD" w:rsidP="008112BD">
      <w:pPr>
        <w:pStyle w:val="Amain"/>
        <w:keepNext/>
      </w:pPr>
      <w:r>
        <w:tab/>
        <w:t>(1)</w:t>
      </w:r>
      <w:r>
        <w:tab/>
        <w:t>A person entitled to enforce an order requires the court’s leave to start an enforcement proceeding in the following circumstances:</w:t>
      </w:r>
    </w:p>
    <w:p w14:paraId="28384D68" w14:textId="77777777" w:rsidR="008112BD" w:rsidRDefault="008112BD" w:rsidP="008112BD">
      <w:pPr>
        <w:pStyle w:val="Apara"/>
      </w:pPr>
      <w:r>
        <w:tab/>
        <w:t>(a)</w:t>
      </w:r>
      <w:r>
        <w:tab/>
        <w:t>if the proceeding would be started more than 6 years after the day the order is made;</w:t>
      </w:r>
    </w:p>
    <w:p w14:paraId="12FE5F7B" w14:textId="77777777" w:rsidR="008112BD" w:rsidRDefault="008112BD" w:rsidP="008112BD">
      <w:pPr>
        <w:pStyle w:val="Apara"/>
      </w:pPr>
      <w:r>
        <w:tab/>
        <w:t>(b)</w:t>
      </w:r>
      <w:r>
        <w:tab/>
        <w:t>if the order is against any of the assets of a deceased person coming to the hands of an executor or administrator after the order was made;</w:t>
      </w:r>
    </w:p>
    <w:p w14:paraId="43A1BD36" w14:textId="77777777" w:rsidR="008112BD" w:rsidRDefault="008112BD" w:rsidP="008112BD">
      <w:pPr>
        <w:pStyle w:val="Apara"/>
      </w:pPr>
      <w:r>
        <w:tab/>
        <w:t>(c)</w:t>
      </w:r>
      <w:r>
        <w:tab/>
        <w:t>if the order is subject to a condition;</w:t>
      </w:r>
    </w:p>
    <w:p w14:paraId="2EE49E0E" w14:textId="77777777" w:rsidR="008112BD" w:rsidRDefault="008112BD" w:rsidP="008112BD">
      <w:pPr>
        <w:pStyle w:val="aNotepar"/>
      </w:pPr>
      <w:r w:rsidRPr="00FE0788">
        <w:rPr>
          <w:rStyle w:val="charItals"/>
        </w:rPr>
        <w:t>Note</w:t>
      </w:r>
      <w:r w:rsidRPr="00FE0788">
        <w:rPr>
          <w:rStyle w:val="charItals"/>
        </w:rPr>
        <w:tab/>
      </w:r>
      <w:r>
        <w:t>See r 2014 (Enforcement—conditional orders).</w:t>
      </w:r>
    </w:p>
    <w:p w14:paraId="139045F9" w14:textId="77777777" w:rsidR="008112BD" w:rsidRDefault="008112BD" w:rsidP="008112BD">
      <w:pPr>
        <w:pStyle w:val="Apara"/>
      </w:pPr>
      <w:r>
        <w:tab/>
        <w:t>(d)</w:t>
      </w:r>
      <w:r>
        <w:tab/>
        <w:t>if enforcement is sought as mentioned in rule 2006 (3) (Enforcement—order in partnership name);</w:t>
      </w:r>
    </w:p>
    <w:p w14:paraId="20D90E7E" w14:textId="77777777" w:rsidR="008112BD" w:rsidRDefault="008112BD" w:rsidP="008112BD">
      <w:pPr>
        <w:pStyle w:val="Apara"/>
      </w:pPr>
      <w:r>
        <w:tab/>
        <w:t>(e)</w:t>
      </w:r>
      <w:r>
        <w:tab/>
        <w:t xml:space="preserve">for a money order—if there has been any change in the enforcement creditor or enforcement debtor, whether by assignment, death or otherwise; </w:t>
      </w:r>
    </w:p>
    <w:p w14:paraId="420DB19E" w14:textId="77777777"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14:paraId="2263DCEE" w14:textId="77777777"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14:paraId="6C1F6AD4" w14:textId="77777777" w:rsidR="008112BD" w:rsidRDefault="008112BD" w:rsidP="008112BD">
      <w:pPr>
        <w:pStyle w:val="Apara"/>
      </w:pPr>
      <w:r>
        <w:lastRenderedPageBreak/>
        <w:tab/>
        <w:t>(g)</w:t>
      </w:r>
      <w:r>
        <w:tab/>
        <w:t>if the order is against property in the hands of a receiver appointed by the court;</w:t>
      </w:r>
    </w:p>
    <w:p w14:paraId="0C523517" w14:textId="77777777" w:rsidR="008112BD" w:rsidRDefault="008112BD" w:rsidP="008112BD">
      <w:pPr>
        <w:pStyle w:val="Apara"/>
      </w:pPr>
      <w:r>
        <w:tab/>
        <w:t>(h)</w:t>
      </w:r>
      <w:r>
        <w:tab/>
        <w:t>if the order is against property in the hands of a sequestrator;</w:t>
      </w:r>
    </w:p>
    <w:p w14:paraId="48CB6063" w14:textId="77777777" w:rsidR="008112BD" w:rsidRDefault="008112BD" w:rsidP="008112BD">
      <w:pPr>
        <w:pStyle w:val="Apara"/>
      </w:pPr>
      <w:r>
        <w:tab/>
        <w:t>(i)</w:t>
      </w:r>
      <w:r>
        <w:tab/>
        <w:t>if the order is against a future asset of the enforcement debtor;</w:t>
      </w:r>
    </w:p>
    <w:p w14:paraId="3D3D962C" w14:textId="77777777" w:rsidR="008112BD" w:rsidRDefault="008112BD" w:rsidP="008112BD">
      <w:pPr>
        <w:pStyle w:val="Apara"/>
        <w:keepNext/>
      </w:pPr>
      <w:r>
        <w:tab/>
        <w:t>(j)</w:t>
      </w:r>
      <w:r>
        <w:tab/>
        <w:t>if the proceeding is an application for an enforcement order in aid of another enforcement order.</w:t>
      </w:r>
    </w:p>
    <w:p w14:paraId="7EB6F883" w14:textId="35172D0B" w:rsidR="008112BD" w:rsidRDefault="008112BD" w:rsidP="008112BD">
      <w:pPr>
        <w:pStyle w:val="aNote"/>
      </w:pPr>
      <w:r w:rsidRPr="00FE0788">
        <w:rPr>
          <w:rStyle w:val="charItals"/>
        </w:rPr>
        <w:t>Note</w:t>
      </w:r>
      <w:r w:rsidRPr="00FE0788">
        <w:rPr>
          <w:rStyle w:val="charItals"/>
        </w:rPr>
        <w:tab/>
      </w:r>
      <w:r>
        <w:t xml:space="preserve">The </w:t>
      </w:r>
      <w:hyperlink r:id="rId171" w:tooltip="A1985-66" w:history="1">
        <w:r w:rsidRPr="00FE0788">
          <w:rPr>
            <w:rStyle w:val="charCitHyperlinkItal"/>
          </w:rPr>
          <w:t>Limitation Act 1985</w:t>
        </w:r>
      </w:hyperlink>
      <w:r>
        <w:t>, s 14 makes provision for a 12 year limitation period in relation to the bringing of an action on a cause of action on a judgment.</w:t>
      </w:r>
    </w:p>
    <w:p w14:paraId="4C68B452" w14:textId="77777777" w:rsidR="008112BD" w:rsidRDefault="008112BD" w:rsidP="008112BD">
      <w:pPr>
        <w:pStyle w:val="Amain"/>
        <w:keepNext/>
      </w:pPr>
      <w:r>
        <w:tab/>
        <w:t>(2)</w:t>
      </w:r>
      <w:r>
        <w:tab/>
        <w:t>An application for leave to start an enforcement proceeding need not be served on anyone unless the court otherwise orders on its own initiative.</w:t>
      </w:r>
    </w:p>
    <w:p w14:paraId="67DA9C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89FD9FC" w14:textId="77777777" w:rsidR="008112BD" w:rsidRDefault="008112BD" w:rsidP="008112BD">
      <w:pPr>
        <w:pStyle w:val="Amain"/>
      </w:pPr>
      <w:r>
        <w:tab/>
        <w:t>(3)</w:t>
      </w:r>
      <w:r>
        <w:tab/>
        <w:t>An application for leave to start an enforcement proceeding must be accompanied by an affidavit in support of the application.</w:t>
      </w:r>
    </w:p>
    <w:p w14:paraId="377A698C" w14:textId="77777777" w:rsidR="008112BD" w:rsidRDefault="008112BD" w:rsidP="008112BD">
      <w:pPr>
        <w:pStyle w:val="Amain"/>
      </w:pPr>
      <w:r>
        <w:tab/>
        <w:t>(4)</w:t>
      </w:r>
      <w:r>
        <w:tab/>
        <w:t>The affidavit in support must state—</w:t>
      </w:r>
    </w:p>
    <w:p w14:paraId="6E2FE0E5" w14:textId="77777777" w:rsidR="008112BD" w:rsidRDefault="008112BD" w:rsidP="008112BD">
      <w:pPr>
        <w:pStyle w:val="Apara"/>
      </w:pPr>
      <w:r>
        <w:tab/>
        <w:t>(a)</w:t>
      </w:r>
      <w:r>
        <w:tab/>
        <w:t>that the order has not been fully complied with; and</w:t>
      </w:r>
    </w:p>
    <w:p w14:paraId="3DD3A482" w14:textId="77777777" w:rsidR="008112BD" w:rsidRDefault="008112BD" w:rsidP="008112BD">
      <w:pPr>
        <w:pStyle w:val="Apara"/>
      </w:pPr>
      <w:r>
        <w:tab/>
        <w:t>(b)</w:t>
      </w:r>
      <w:r>
        <w:tab/>
        <w:t>the extent (if any) to which the order has been partly complied with; and</w:t>
      </w:r>
    </w:p>
    <w:p w14:paraId="7B5AD7AE" w14:textId="77777777" w:rsidR="008112BD" w:rsidRDefault="008112BD" w:rsidP="008112BD">
      <w:pPr>
        <w:pStyle w:val="Apara"/>
      </w:pPr>
      <w:r>
        <w:tab/>
        <w:t>(c)</w:t>
      </w:r>
      <w:r>
        <w:tab/>
        <w:t>that the applicant is entitled to enforce the order; and</w:t>
      </w:r>
    </w:p>
    <w:p w14:paraId="671120D9" w14:textId="77777777" w:rsidR="008112BD" w:rsidRDefault="008112BD" w:rsidP="008112BD">
      <w:pPr>
        <w:pStyle w:val="Apara"/>
      </w:pPr>
      <w:r>
        <w:tab/>
        <w:t>(d)</w:t>
      </w:r>
      <w:r>
        <w:tab/>
        <w:t>that the person against whom enforcement is sought is liable to comply with the order; and</w:t>
      </w:r>
    </w:p>
    <w:p w14:paraId="172621BE" w14:textId="77777777" w:rsidR="008112BD" w:rsidRDefault="008112BD" w:rsidP="008112BD">
      <w:pPr>
        <w:pStyle w:val="Apara"/>
      </w:pPr>
      <w:r>
        <w:tab/>
        <w:t>(e)</w:t>
      </w:r>
      <w:r>
        <w:tab/>
        <w:t>if it is more than 6 years since the day the order was made—the reasons for the delay; and</w:t>
      </w:r>
    </w:p>
    <w:p w14:paraId="2CE921A2" w14:textId="77777777" w:rsidR="008112BD" w:rsidRDefault="008112BD" w:rsidP="008112BD">
      <w:pPr>
        <w:pStyle w:val="Apara"/>
      </w:pPr>
      <w:r>
        <w:tab/>
        <w:t>(f)</w:t>
      </w:r>
      <w:r>
        <w:tab/>
        <w:t>for a money order—</w:t>
      </w:r>
    </w:p>
    <w:p w14:paraId="06BC12C1" w14:textId="77777777"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14:paraId="782833DA" w14:textId="77777777" w:rsidR="008112BD" w:rsidRDefault="008112BD" w:rsidP="008112BD">
      <w:pPr>
        <w:pStyle w:val="Asubpara"/>
      </w:pPr>
      <w:r>
        <w:lastRenderedPageBreak/>
        <w:tab/>
        <w:t>(ii)</w:t>
      </w:r>
      <w:r>
        <w:tab/>
        <w:t>the daily amount of any interest that, subject to any future payment under the order, will accrue after the affidavit date; and</w:t>
      </w:r>
    </w:p>
    <w:p w14:paraId="395A25CF" w14:textId="77777777" w:rsidR="008112BD" w:rsidRDefault="008112BD" w:rsidP="008112BD">
      <w:pPr>
        <w:pStyle w:val="Asubpara"/>
      </w:pPr>
      <w:r>
        <w:tab/>
        <w:t>(iii)</w:t>
      </w:r>
      <w:r>
        <w:tab/>
        <w:t>if there has been a change in an enforcement creditor or enforcement debtor—the change that has happened.</w:t>
      </w:r>
    </w:p>
    <w:p w14:paraId="52695A87" w14:textId="77777777" w:rsidR="008112BD" w:rsidRDefault="008112BD" w:rsidP="008112BD">
      <w:pPr>
        <w:pStyle w:val="Amain"/>
      </w:pPr>
      <w:r>
        <w:tab/>
        <w:t>(5)</w:t>
      </w:r>
      <w:r>
        <w:tab/>
        <w:t>The affidavit must be sworn not earlier than 2 days before the day the application for leave is filed in the court.</w:t>
      </w:r>
    </w:p>
    <w:p w14:paraId="2EC2CF33" w14:textId="77777777" w:rsidR="008112BD" w:rsidRDefault="008112BD" w:rsidP="008112BD">
      <w:pPr>
        <w:pStyle w:val="AH5Sec"/>
      </w:pPr>
      <w:bookmarkStart w:id="646" w:name="_Toc185514262"/>
      <w:r w:rsidRPr="00C8328B">
        <w:rPr>
          <w:rStyle w:val="CharSectNo"/>
        </w:rPr>
        <w:t>2013</w:t>
      </w:r>
      <w:r>
        <w:tab/>
        <w:t>Enforcement—stay</w:t>
      </w:r>
      <w:bookmarkEnd w:id="646"/>
    </w:p>
    <w:p w14:paraId="0293AF6C" w14:textId="77777777"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14:paraId="76BD782E" w14:textId="77777777" w:rsidR="008112BD" w:rsidRDefault="008112BD" w:rsidP="008112BD">
      <w:pPr>
        <w:pStyle w:val="Apara"/>
      </w:pPr>
      <w:r>
        <w:tab/>
        <w:t>(a)</w:t>
      </w:r>
      <w:r>
        <w:tab/>
        <w:t>by order, stay the enforcement of all or part of the order, including because of facts arising or discovered after the order was made; and</w:t>
      </w:r>
    </w:p>
    <w:p w14:paraId="5DB87486" w14:textId="77777777" w:rsidR="008112BD" w:rsidRDefault="008112BD" w:rsidP="008112BD">
      <w:pPr>
        <w:pStyle w:val="Apara"/>
        <w:keepNext/>
      </w:pPr>
      <w:r>
        <w:tab/>
        <w:t>(b)</w:t>
      </w:r>
      <w:r>
        <w:tab/>
        <w:t>make the orders it considers appropriate, including, for a money order, an instalment order.</w:t>
      </w:r>
    </w:p>
    <w:p w14:paraId="085B142C" w14:textId="77777777"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14:paraId="29218725" w14:textId="77777777" w:rsidR="008112BD" w:rsidRDefault="008112BD" w:rsidP="008112BD">
      <w:pPr>
        <w:pStyle w:val="aNote"/>
      </w:pPr>
      <w:r w:rsidRPr="00FE0788">
        <w:rPr>
          <w:rStyle w:val="charItals"/>
        </w:rPr>
        <w:t>Note 2</w:t>
      </w:r>
      <w:r>
        <w:tab/>
        <w:t>See also r 2208 (Seizure and sale order—application for instalment order stays sale of seized property).</w:t>
      </w:r>
    </w:p>
    <w:p w14:paraId="064A61E6" w14:textId="77777777" w:rsidR="008112BD" w:rsidRDefault="008112BD" w:rsidP="008112BD">
      <w:pPr>
        <w:pStyle w:val="aNote"/>
      </w:pPr>
      <w:r w:rsidRPr="00FE0788">
        <w:rPr>
          <w:rStyle w:val="charItals"/>
        </w:rPr>
        <w:t>Note 3</w:t>
      </w:r>
      <w:r>
        <w:tab/>
        <w:t>Pt 6.2 (Applications in proceedings) applies to an application under this rule.</w:t>
      </w:r>
    </w:p>
    <w:p w14:paraId="6E9A64A8" w14:textId="77777777"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14:paraId="34147266" w14:textId="77777777" w:rsidR="008112BD" w:rsidRDefault="008112BD" w:rsidP="008112BD">
      <w:pPr>
        <w:pStyle w:val="Amain"/>
      </w:pPr>
      <w:r>
        <w:tab/>
        <w:t>(3)</w:t>
      </w:r>
      <w:r>
        <w:tab/>
        <w:t>The application must be accompanied by an affidavit in support of the application.</w:t>
      </w:r>
    </w:p>
    <w:p w14:paraId="0F758627" w14:textId="77777777" w:rsidR="008112BD" w:rsidRDefault="008112BD" w:rsidP="008112BD">
      <w:pPr>
        <w:pStyle w:val="Amain"/>
      </w:pPr>
      <w:r>
        <w:tab/>
        <w:t>(4)</w:t>
      </w:r>
      <w:r>
        <w:tab/>
        <w:t>Unless the court otherwise orders, the filing of the application does not stay the operation of the order.</w:t>
      </w:r>
    </w:p>
    <w:p w14:paraId="2AA84A81" w14:textId="77777777" w:rsidR="008112BD" w:rsidRDefault="008112BD" w:rsidP="008112BD">
      <w:pPr>
        <w:pStyle w:val="AH5Sec"/>
      </w:pPr>
      <w:bookmarkStart w:id="647" w:name="_Toc185514263"/>
      <w:r w:rsidRPr="00C8328B">
        <w:rPr>
          <w:rStyle w:val="CharSectNo"/>
        </w:rPr>
        <w:lastRenderedPageBreak/>
        <w:t>2014</w:t>
      </w:r>
      <w:r>
        <w:tab/>
        <w:t>Enforcement—conditional orders</w:t>
      </w:r>
      <w:bookmarkEnd w:id="647"/>
    </w:p>
    <w:p w14:paraId="153F0385" w14:textId="77777777" w:rsidR="008112BD" w:rsidRDefault="008112BD" w:rsidP="008112BD">
      <w:pPr>
        <w:pStyle w:val="Amain"/>
        <w:keepNext/>
      </w:pPr>
      <w:r>
        <w:tab/>
        <w:t>(1)</w:t>
      </w:r>
      <w:r>
        <w:tab/>
        <w:t>An order of the court subject to a condition may be enforced only if the condition is satisfied.</w:t>
      </w:r>
    </w:p>
    <w:p w14:paraId="2D76B1D3"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3D90C172" w14:textId="77777777" w:rsidR="008112BD" w:rsidRPr="00FE0788" w:rsidRDefault="008112BD" w:rsidP="008112BD">
      <w:pPr>
        <w:pStyle w:val="aNote"/>
      </w:pPr>
      <w:r>
        <w:rPr>
          <w:rStyle w:val="charItals"/>
        </w:rPr>
        <w:t>Note 2</w:t>
      </w:r>
      <w:r>
        <w:rPr>
          <w:rStyle w:val="charItals"/>
        </w:rPr>
        <w:tab/>
      </w:r>
      <w:r w:rsidRPr="00FE0788">
        <w:t>The court’s leave is also required (see r 2012 (1) (c)).</w:t>
      </w:r>
    </w:p>
    <w:p w14:paraId="755A0B6D" w14:textId="77777777"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14:paraId="1A754CB6" w14:textId="77777777" w:rsidR="008112BD" w:rsidRDefault="008112BD" w:rsidP="008112BD">
      <w:pPr>
        <w:pStyle w:val="Amain"/>
        <w:keepNext/>
      </w:pPr>
      <w:r>
        <w:tab/>
        <w:t>(3)</w:t>
      </w:r>
      <w:r>
        <w:tab/>
        <w:t>The court may order otherwise for subrule (2) on an application made before or after the time to satisfy the condition has passed.</w:t>
      </w:r>
    </w:p>
    <w:p w14:paraId="210C9C3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7BD0AE82" w14:textId="77777777" w:rsidR="008112BD" w:rsidRDefault="008112BD" w:rsidP="005473D9">
      <w:pPr>
        <w:pStyle w:val="Amain"/>
        <w:keepNext/>
      </w:pPr>
      <w:r>
        <w:tab/>
        <w:t>(4)</w:t>
      </w:r>
      <w:r>
        <w:tab/>
        <w:t>If subrule (2) applies to an order, then, unless the court otherwise orders, any interested person may take any steps—</w:t>
      </w:r>
    </w:p>
    <w:p w14:paraId="0FC39F99" w14:textId="77777777" w:rsidR="008112BD" w:rsidRDefault="008112BD" w:rsidP="008112BD">
      <w:pPr>
        <w:pStyle w:val="Apara"/>
      </w:pPr>
      <w:r>
        <w:tab/>
        <w:t>(a)</w:t>
      </w:r>
      <w:r>
        <w:tab/>
        <w:t>that are justified by the order; or</w:t>
      </w:r>
    </w:p>
    <w:p w14:paraId="5ECE797C" w14:textId="77777777" w:rsidR="008112BD" w:rsidRDefault="008112BD" w:rsidP="008112BD">
      <w:pPr>
        <w:pStyle w:val="Apara"/>
      </w:pPr>
      <w:r>
        <w:tab/>
        <w:t>(b)</w:t>
      </w:r>
      <w:r>
        <w:tab/>
        <w:t>that might have been taken if the order had not been made.</w:t>
      </w:r>
    </w:p>
    <w:p w14:paraId="32178023" w14:textId="77777777" w:rsidR="008112BD" w:rsidRDefault="008112BD" w:rsidP="008112BD">
      <w:pPr>
        <w:pStyle w:val="AH5Sec"/>
      </w:pPr>
      <w:bookmarkStart w:id="648" w:name="_Toc185514264"/>
      <w:r w:rsidRPr="00C8328B">
        <w:rPr>
          <w:rStyle w:val="CharSectNo"/>
        </w:rPr>
        <w:t>2015</w:t>
      </w:r>
      <w:r>
        <w:tab/>
        <w:t>Enforcement—service of order and related information</w:t>
      </w:r>
      <w:bookmarkEnd w:id="648"/>
    </w:p>
    <w:p w14:paraId="4A9B7C61" w14:textId="77777777"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14:paraId="49FF81E2" w14:textId="72777547" w:rsidR="008112BD" w:rsidRDefault="008112BD" w:rsidP="008112BD">
      <w:pPr>
        <w:pStyle w:val="aNote"/>
      </w:pPr>
      <w:r w:rsidRPr="00FE0788">
        <w:rPr>
          <w:rStyle w:val="charItals"/>
        </w:rPr>
        <w:t>Note</w:t>
      </w:r>
      <w:r>
        <w:tab/>
        <w:t xml:space="preserve">See approved form 2.49 (Notice about </w:t>
      </w:r>
      <w:r w:rsidR="008E6ADE">
        <w:t>c</w:t>
      </w:r>
      <w:r>
        <w:t xml:space="preserve">ourt order and enforcement options) </w:t>
      </w:r>
      <w:hyperlink r:id="rId172" w:history="1">
        <w:r w:rsidR="0076104E">
          <w:rPr>
            <w:rStyle w:val="charCitHyperlinkAbbrev"/>
          </w:rPr>
          <w:t>AF2024-23</w:t>
        </w:r>
      </w:hyperlink>
      <w:r>
        <w:t>.</w:t>
      </w:r>
    </w:p>
    <w:p w14:paraId="6A26A379" w14:textId="77777777" w:rsidR="008112BD" w:rsidRDefault="008112BD" w:rsidP="008112BD">
      <w:pPr>
        <w:pStyle w:val="Amain"/>
        <w:keepNext/>
      </w:pPr>
      <w:r>
        <w:tab/>
        <w:t>(2)</w:t>
      </w:r>
      <w:r>
        <w:tab/>
        <w:t>The notice mentioned in subrule (1) must include the following:</w:t>
      </w:r>
    </w:p>
    <w:p w14:paraId="675A5A22" w14:textId="77777777" w:rsidR="008112BD" w:rsidRDefault="008112BD" w:rsidP="008112BD">
      <w:pPr>
        <w:pStyle w:val="Apara"/>
      </w:pPr>
      <w:r>
        <w:tab/>
        <w:t>(a)</w:t>
      </w:r>
      <w:r>
        <w:tab/>
        <w:t>details of the order, including whether it was obtained by default;</w:t>
      </w:r>
    </w:p>
    <w:p w14:paraId="1040A9E3" w14:textId="77777777" w:rsidR="008112BD" w:rsidRDefault="008112BD" w:rsidP="008112BD">
      <w:pPr>
        <w:pStyle w:val="Apara"/>
      </w:pPr>
      <w:r>
        <w:lastRenderedPageBreak/>
        <w:tab/>
        <w:t>(b)</w:t>
      </w:r>
      <w:r>
        <w:tab/>
        <w:t>a summary of the enforcement options available to the enforcement creditor or other person entitled to enforce the order;</w:t>
      </w:r>
    </w:p>
    <w:p w14:paraId="1BC233A5" w14:textId="77777777" w:rsidR="008112BD" w:rsidRDefault="008112BD" w:rsidP="008112BD">
      <w:pPr>
        <w:pStyle w:val="Apara"/>
      </w:pPr>
      <w:r>
        <w:tab/>
        <w:t>(c)</w:t>
      </w:r>
      <w:r>
        <w:tab/>
        <w:t>a summary of the options available to the enforcement debtor or other person liable to comply with the order, including—</w:t>
      </w:r>
    </w:p>
    <w:p w14:paraId="0444140A" w14:textId="77777777" w:rsidR="008112BD" w:rsidRDefault="008112BD" w:rsidP="008112BD">
      <w:pPr>
        <w:pStyle w:val="Asubpara"/>
      </w:pPr>
      <w:r>
        <w:tab/>
        <w:t>(i)</w:t>
      </w:r>
      <w:r>
        <w:tab/>
        <w:t>if the order was obtained by default—that application can be made to set the order aside; and</w:t>
      </w:r>
    </w:p>
    <w:p w14:paraId="42C187F8" w14:textId="77777777" w:rsidR="008112BD" w:rsidRDefault="008112BD" w:rsidP="008112BD">
      <w:pPr>
        <w:pStyle w:val="Asubpara"/>
      </w:pPr>
      <w:r>
        <w:tab/>
        <w:t>(ii)</w:t>
      </w:r>
      <w:r>
        <w:tab/>
        <w:t xml:space="preserve">for a money order—that application can be made for an instalment order; </w:t>
      </w:r>
    </w:p>
    <w:p w14:paraId="158A01C0" w14:textId="77777777"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14:paraId="6A71CF41" w14:textId="77777777" w:rsidR="008112BD" w:rsidRDefault="008112BD" w:rsidP="008112BD">
      <w:pPr>
        <w:pStyle w:val="Amain"/>
      </w:pPr>
      <w:r>
        <w:tab/>
        <w:t>(3)</w:t>
      </w:r>
      <w:r>
        <w:tab/>
        <w:t>An enforcement proceeding may not be started before the end of 7 days after the day the copy of the order and the notice are served on the enforcement debtor.</w:t>
      </w:r>
    </w:p>
    <w:p w14:paraId="2B28ECC5" w14:textId="77777777" w:rsidR="008112BD" w:rsidRDefault="008112BD" w:rsidP="008112BD">
      <w:pPr>
        <w:pStyle w:val="Amain"/>
        <w:keepNext/>
      </w:pPr>
      <w:r>
        <w:tab/>
        <w:t>(4)</w:t>
      </w:r>
      <w:r>
        <w:tab/>
        <w:t>In this rule:</w:t>
      </w:r>
    </w:p>
    <w:p w14:paraId="5C101A94" w14:textId="77777777" w:rsidR="008112BD" w:rsidRDefault="008112BD" w:rsidP="008112BD">
      <w:pPr>
        <w:pStyle w:val="aDef"/>
      </w:pPr>
      <w:r>
        <w:rPr>
          <w:rStyle w:val="charBoldItals"/>
        </w:rPr>
        <w:t>order</w:t>
      </w:r>
      <w:r>
        <w:t xml:space="preserve"> includes a certificate of registration given under rule 2010A.</w:t>
      </w:r>
    </w:p>
    <w:p w14:paraId="70D897DF" w14:textId="77777777" w:rsidR="008112BD" w:rsidRPr="00C8328B" w:rsidRDefault="008112BD" w:rsidP="008112BD">
      <w:pPr>
        <w:pStyle w:val="AH3Div"/>
      </w:pPr>
      <w:bookmarkStart w:id="649" w:name="_Toc185514265"/>
      <w:r w:rsidRPr="00C8328B">
        <w:rPr>
          <w:rStyle w:val="CharDivNo"/>
        </w:rPr>
        <w:t>Division 2.18.2</w:t>
      </w:r>
      <w:r>
        <w:tab/>
      </w:r>
      <w:r w:rsidRPr="00C8328B">
        <w:rPr>
          <w:rStyle w:val="CharDivText"/>
        </w:rPr>
        <w:t>Enforcement orders—general</w:t>
      </w:r>
      <w:bookmarkEnd w:id="649"/>
    </w:p>
    <w:p w14:paraId="40474CBC" w14:textId="77777777" w:rsidR="008112BD" w:rsidRDefault="008112BD" w:rsidP="008112BD">
      <w:pPr>
        <w:pStyle w:val="AH5Sec"/>
      </w:pPr>
      <w:bookmarkStart w:id="650" w:name="_Toc185514266"/>
      <w:r w:rsidRPr="00C8328B">
        <w:rPr>
          <w:rStyle w:val="CharSectNo"/>
        </w:rPr>
        <w:t>2050</w:t>
      </w:r>
      <w:r>
        <w:tab/>
        <w:t>Enforcement orders—content and issue</w:t>
      </w:r>
      <w:bookmarkEnd w:id="650"/>
    </w:p>
    <w:p w14:paraId="0A57928E" w14:textId="77777777" w:rsidR="008112BD" w:rsidRDefault="008112BD" w:rsidP="008112BD">
      <w:pPr>
        <w:pStyle w:val="Amain"/>
      </w:pPr>
      <w:r>
        <w:tab/>
        <w:t>(1)</w:t>
      </w:r>
      <w:r>
        <w:tab/>
        <w:t>An enforcement order must state—</w:t>
      </w:r>
    </w:p>
    <w:p w14:paraId="5C9E0549" w14:textId="77777777" w:rsidR="008112BD" w:rsidRDefault="008112BD" w:rsidP="008112BD">
      <w:pPr>
        <w:pStyle w:val="Apara"/>
      </w:pPr>
      <w:r>
        <w:tab/>
        <w:t>(a)</w:t>
      </w:r>
      <w:r>
        <w:tab/>
        <w:t>for a money order—</w:t>
      </w:r>
    </w:p>
    <w:p w14:paraId="353DA819" w14:textId="77777777" w:rsidR="008112BD" w:rsidRDefault="008112BD" w:rsidP="008112BD">
      <w:pPr>
        <w:pStyle w:val="Asubpara"/>
      </w:pPr>
      <w:r>
        <w:tab/>
        <w:t>(i)</w:t>
      </w:r>
      <w:r>
        <w:tab/>
        <w:t>the name of the enforcement debtor; and</w:t>
      </w:r>
    </w:p>
    <w:p w14:paraId="1966941C" w14:textId="77777777" w:rsidR="008112BD" w:rsidRDefault="008112BD" w:rsidP="008112BD">
      <w:pPr>
        <w:pStyle w:val="Asubpara"/>
      </w:pPr>
      <w:r>
        <w:tab/>
        <w:t>(ii)</w:t>
      </w:r>
      <w:r>
        <w:tab/>
        <w:t>the amount recoverable under the order; and</w:t>
      </w:r>
    </w:p>
    <w:p w14:paraId="0F4CC586" w14:textId="77777777" w:rsidR="008112BD" w:rsidRDefault="008112BD" w:rsidP="008112BD">
      <w:pPr>
        <w:pStyle w:val="Asubpara"/>
        <w:keepNext/>
      </w:pPr>
      <w:r>
        <w:tab/>
        <w:t>(iii)</w:t>
      </w:r>
      <w:r>
        <w:tab/>
        <w:t>for an enforcement order to which rule 2052 applies—the date the order ends; and</w:t>
      </w:r>
    </w:p>
    <w:p w14:paraId="0F4266DF" w14:textId="77777777"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14:paraId="01712D8A" w14:textId="77777777" w:rsidR="008112BD" w:rsidRDefault="008112BD" w:rsidP="008112BD">
      <w:pPr>
        <w:pStyle w:val="Apara"/>
      </w:pPr>
      <w:r>
        <w:lastRenderedPageBreak/>
        <w:tab/>
        <w:t>(b)</w:t>
      </w:r>
      <w:r>
        <w:tab/>
        <w:t>for a non-money order—what is authorised under the order; and</w:t>
      </w:r>
    </w:p>
    <w:p w14:paraId="6DECC745" w14:textId="77777777" w:rsidR="008112BD" w:rsidRDefault="008112BD" w:rsidP="008112BD">
      <w:pPr>
        <w:pStyle w:val="Apara"/>
      </w:pPr>
      <w:r>
        <w:tab/>
        <w:t>(c)</w:t>
      </w:r>
      <w:r>
        <w:tab/>
        <w:t>any other details required under these rules.</w:t>
      </w:r>
    </w:p>
    <w:p w14:paraId="2FA58E7D" w14:textId="77777777"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14:paraId="7D58307E" w14:textId="77777777"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14:paraId="3B493EDF" w14:textId="77777777"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14:paraId="03FDB679" w14:textId="77777777" w:rsidR="008112BD" w:rsidRDefault="008112BD" w:rsidP="00C41E44">
      <w:pPr>
        <w:pStyle w:val="Amain"/>
        <w:keepNext/>
      </w:pPr>
      <w:r>
        <w:tab/>
        <w:t>(2)</w:t>
      </w:r>
      <w:r>
        <w:tab/>
        <w:t>For subrule (1) (a) (ii), the amount recoverable must include—</w:t>
      </w:r>
    </w:p>
    <w:p w14:paraId="374E020B" w14:textId="77777777" w:rsidR="008112BD" w:rsidRDefault="008112BD" w:rsidP="00C41E44">
      <w:pPr>
        <w:pStyle w:val="Apara"/>
        <w:keepNext/>
      </w:pPr>
      <w:r>
        <w:tab/>
        <w:t>(a)</w:t>
      </w:r>
      <w:r>
        <w:tab/>
        <w:t>unless the court otherwise orders—</w:t>
      </w:r>
    </w:p>
    <w:p w14:paraId="46B141C7" w14:textId="4E1EFF4D"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73" w:tooltip="Act 1992 No 172 (Cwlth)" w:history="1">
        <w:r w:rsidRPr="009D1718">
          <w:rPr>
            <w:rStyle w:val="charCitHyperlinkItal"/>
          </w:rPr>
          <w:t>Service and Execution of Process Act 1992</w:t>
        </w:r>
      </w:hyperlink>
      <w:r>
        <w:t xml:space="preserve"> (Cwlth)); and</w:t>
      </w:r>
    </w:p>
    <w:p w14:paraId="19354AB5" w14:textId="77777777" w:rsidR="008112BD" w:rsidRDefault="008112BD" w:rsidP="008112BD">
      <w:pPr>
        <w:pStyle w:val="Asubpara"/>
        <w:keepNext/>
      </w:pPr>
      <w:r>
        <w:tab/>
        <w:t>(ii)</w:t>
      </w:r>
      <w:r>
        <w:tab/>
        <w:t>the unpaid interest on those costs; and</w:t>
      </w:r>
    </w:p>
    <w:p w14:paraId="2C7FCC4F"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14:paraId="3DCDC246" w14:textId="77777777" w:rsidR="008112BD" w:rsidRDefault="008112BD" w:rsidP="008112BD">
      <w:pPr>
        <w:pStyle w:val="Apara"/>
      </w:pPr>
      <w:r>
        <w:tab/>
        <w:t>(b)</w:t>
      </w:r>
      <w:r>
        <w:tab/>
        <w:t>the costs relating to the enforcement order; and</w:t>
      </w:r>
    </w:p>
    <w:p w14:paraId="19A2CD86" w14:textId="77777777" w:rsidR="008112BD" w:rsidRDefault="008112BD" w:rsidP="008112BD">
      <w:pPr>
        <w:pStyle w:val="Apara"/>
      </w:pPr>
      <w:r>
        <w:tab/>
        <w:t>(c)</w:t>
      </w:r>
      <w:r>
        <w:tab/>
        <w:t>the amount of interest on the order debt.</w:t>
      </w:r>
    </w:p>
    <w:p w14:paraId="15B35C35" w14:textId="77777777"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14:paraId="1CE51E85" w14:textId="77777777" w:rsidR="008112BD" w:rsidRDefault="008112BD" w:rsidP="008112BD">
      <w:pPr>
        <w:pStyle w:val="Apara"/>
        <w:keepNext/>
      </w:pPr>
      <w:r>
        <w:tab/>
        <w:t>(a)</w:t>
      </w:r>
      <w:r>
        <w:tab/>
        <w:t>a seizure and sale order;</w:t>
      </w:r>
    </w:p>
    <w:p w14:paraId="1CD08FD0" w14:textId="77777777" w:rsidR="008112BD" w:rsidRDefault="008112BD" w:rsidP="008112BD">
      <w:pPr>
        <w:pStyle w:val="Apara"/>
      </w:pPr>
      <w:r>
        <w:tab/>
        <w:t>(b)</w:t>
      </w:r>
      <w:r>
        <w:tab/>
        <w:t>an order for delivery of possession of land;</w:t>
      </w:r>
    </w:p>
    <w:p w14:paraId="0829DA95" w14:textId="77777777" w:rsidR="008112BD" w:rsidRDefault="008112BD" w:rsidP="008112BD">
      <w:pPr>
        <w:pStyle w:val="Apara"/>
      </w:pPr>
      <w:r>
        <w:tab/>
        <w:t>(c)</w:t>
      </w:r>
      <w:r>
        <w:tab/>
        <w:t>an order for seizure and delivery of goods;</w:t>
      </w:r>
    </w:p>
    <w:p w14:paraId="48B34C90" w14:textId="77777777" w:rsidR="008112BD" w:rsidRDefault="008112BD" w:rsidP="008112BD">
      <w:pPr>
        <w:pStyle w:val="Apara"/>
      </w:pPr>
      <w:r>
        <w:tab/>
        <w:t>(d)</w:t>
      </w:r>
      <w:r>
        <w:tab/>
        <w:t>an order for seizure and detention of property;</w:t>
      </w:r>
    </w:p>
    <w:p w14:paraId="218D0043" w14:textId="77777777" w:rsidR="008112BD" w:rsidRDefault="008112BD" w:rsidP="008112BD">
      <w:pPr>
        <w:pStyle w:val="Apara"/>
      </w:pPr>
      <w:r>
        <w:tab/>
        <w:t>(e)</w:t>
      </w:r>
      <w:r>
        <w:tab/>
        <w:t>an order issuing an arrest warrant or arrest and detention warrant under division 2.18.16 (Contempt).</w:t>
      </w:r>
    </w:p>
    <w:p w14:paraId="394FDCE9" w14:textId="77777777"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14:paraId="47DAB6ED" w14:textId="77777777" w:rsidR="008112BD" w:rsidRDefault="008112BD" w:rsidP="008112BD">
      <w:pPr>
        <w:pStyle w:val="Apara"/>
      </w:pPr>
      <w:r>
        <w:tab/>
        <w:t>(a)</w:t>
      </w:r>
      <w:r>
        <w:tab/>
        <w:t>a debt redirection order;</w:t>
      </w:r>
    </w:p>
    <w:p w14:paraId="2CA88B99" w14:textId="77777777" w:rsidR="008112BD" w:rsidRDefault="008112BD" w:rsidP="008112BD">
      <w:pPr>
        <w:pStyle w:val="Apara"/>
      </w:pPr>
      <w:r>
        <w:tab/>
        <w:t>(b)</w:t>
      </w:r>
      <w:r>
        <w:tab/>
        <w:t>a regular debt redirection order;</w:t>
      </w:r>
    </w:p>
    <w:p w14:paraId="59003CD4" w14:textId="77777777" w:rsidR="008112BD" w:rsidRDefault="008112BD" w:rsidP="008112BD">
      <w:pPr>
        <w:pStyle w:val="Apara"/>
      </w:pPr>
      <w:r>
        <w:tab/>
        <w:t>(c)</w:t>
      </w:r>
      <w:r>
        <w:tab/>
        <w:t>an earnings redirection order.</w:t>
      </w:r>
    </w:p>
    <w:p w14:paraId="792A7F75" w14:textId="77777777" w:rsidR="008112BD" w:rsidRDefault="008112BD" w:rsidP="008112BD">
      <w:pPr>
        <w:pStyle w:val="Amain"/>
        <w:keepNext/>
      </w:pPr>
      <w:r>
        <w:tab/>
        <w:t>(5)</w:t>
      </w:r>
      <w:r>
        <w:tab/>
        <w:t>If the court makes either of the following enforcement orders, the registrar must give a sealed copy of the order to the enforcement creditor:</w:t>
      </w:r>
    </w:p>
    <w:p w14:paraId="6E68A1AA" w14:textId="77777777" w:rsidR="008112BD" w:rsidRDefault="008112BD" w:rsidP="008112BD">
      <w:pPr>
        <w:pStyle w:val="Apara"/>
        <w:keepNext/>
      </w:pPr>
      <w:r>
        <w:tab/>
        <w:t>(a)</w:t>
      </w:r>
      <w:r>
        <w:tab/>
        <w:t>a charging order;</w:t>
      </w:r>
    </w:p>
    <w:p w14:paraId="3F0EE1D5" w14:textId="77777777" w:rsidR="008112BD" w:rsidRDefault="008112BD" w:rsidP="008112BD">
      <w:pPr>
        <w:pStyle w:val="Apara"/>
      </w:pPr>
      <w:r>
        <w:tab/>
        <w:t>(b)</w:t>
      </w:r>
      <w:r>
        <w:tab/>
        <w:t>an order under division 2.18.10 relating to amounts or securities in court.</w:t>
      </w:r>
    </w:p>
    <w:p w14:paraId="38FA7196" w14:textId="77777777" w:rsidR="008112BD" w:rsidRDefault="008112BD" w:rsidP="008112BD">
      <w:pPr>
        <w:pStyle w:val="Amain"/>
      </w:pPr>
      <w:r>
        <w:tab/>
        <w:t>(6)</w:t>
      </w:r>
      <w:r>
        <w:tab/>
        <w:t>If the court makes an order under division 2.18.11 appointing a receiver, the registrar must give a sealed copy of the order to the receiver.</w:t>
      </w:r>
    </w:p>
    <w:p w14:paraId="7AE44CB9" w14:textId="77777777" w:rsidR="008112BD" w:rsidRDefault="008112BD" w:rsidP="008112BD">
      <w:pPr>
        <w:pStyle w:val="AH5Sec"/>
      </w:pPr>
      <w:bookmarkStart w:id="651" w:name="_Toc185514267"/>
      <w:r w:rsidRPr="00C8328B">
        <w:rPr>
          <w:rStyle w:val="CharSectNo"/>
        </w:rPr>
        <w:t>2051</w:t>
      </w:r>
      <w:r>
        <w:tab/>
        <w:t>Enforcement orders—application to set aside</w:t>
      </w:r>
      <w:bookmarkEnd w:id="651"/>
    </w:p>
    <w:p w14:paraId="23604F1E" w14:textId="77777777"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14:paraId="40C7F9C1" w14:textId="77777777"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14:paraId="52C5425F" w14:textId="77777777" w:rsidR="008112BD" w:rsidRDefault="008112BD" w:rsidP="008112BD">
      <w:pPr>
        <w:pStyle w:val="Apara"/>
      </w:pPr>
      <w:r>
        <w:tab/>
        <w:t>(a)</w:t>
      </w:r>
      <w:r>
        <w:tab/>
        <w:t>set the enforcement order aside; and</w:t>
      </w:r>
    </w:p>
    <w:p w14:paraId="74900782" w14:textId="77777777" w:rsidR="008112BD" w:rsidRDefault="008112BD" w:rsidP="008112BD">
      <w:pPr>
        <w:pStyle w:val="Apara"/>
        <w:keepNext/>
      </w:pPr>
      <w:r>
        <w:tab/>
        <w:t>(b)</w:t>
      </w:r>
      <w:r>
        <w:tab/>
        <w:t>make the orders it considers appropriate, including, for an enforceable money order, an instalment order.</w:t>
      </w:r>
    </w:p>
    <w:p w14:paraId="547CEDA0" w14:textId="77777777" w:rsidR="008112BD" w:rsidRDefault="008112BD" w:rsidP="008112BD">
      <w:pPr>
        <w:pStyle w:val="aNote"/>
      </w:pPr>
      <w:r w:rsidRPr="00FE0788">
        <w:rPr>
          <w:rStyle w:val="charItals"/>
        </w:rPr>
        <w:t>Note 1</w:t>
      </w:r>
      <w:r>
        <w:tab/>
        <w:t>A person liable to comply with the original order may also seek a stay under r 2013.</w:t>
      </w:r>
    </w:p>
    <w:p w14:paraId="57B50670" w14:textId="77777777" w:rsidR="008112BD" w:rsidRDefault="008112BD" w:rsidP="008112BD">
      <w:pPr>
        <w:pStyle w:val="aNote"/>
      </w:pPr>
      <w:r w:rsidRPr="00FE0788">
        <w:rPr>
          <w:rStyle w:val="charItals"/>
        </w:rPr>
        <w:t>Note 2</w:t>
      </w:r>
      <w:r>
        <w:tab/>
        <w:t>Pt 6.2 (Applications in proceedings) applies to an application for an order under this rule.</w:t>
      </w:r>
    </w:p>
    <w:p w14:paraId="56C4E56E" w14:textId="77777777" w:rsidR="008112BD" w:rsidRDefault="008112BD" w:rsidP="008112BD">
      <w:pPr>
        <w:pStyle w:val="Amain"/>
      </w:pPr>
      <w:r>
        <w:lastRenderedPageBreak/>
        <w:tab/>
        <w:t>(3)</w:t>
      </w:r>
      <w:r>
        <w:tab/>
        <w:t>Unless the court otherwise orders, the filing of the application does not stay the operation of the enforcement order.</w:t>
      </w:r>
    </w:p>
    <w:p w14:paraId="5AA298A2" w14:textId="77777777" w:rsidR="008112BD" w:rsidRDefault="008112BD" w:rsidP="008112BD">
      <w:pPr>
        <w:pStyle w:val="AH5Sec"/>
      </w:pPr>
      <w:bookmarkStart w:id="652" w:name="_Toc185514268"/>
      <w:r w:rsidRPr="00C8328B">
        <w:rPr>
          <w:rStyle w:val="CharSectNo"/>
        </w:rPr>
        <w:t>2052</w:t>
      </w:r>
      <w:r>
        <w:tab/>
        <w:t>Enforcement orders—duration and renewal of certain enforcement orders given to enforcement officers</w:t>
      </w:r>
      <w:bookmarkEnd w:id="652"/>
    </w:p>
    <w:p w14:paraId="2AC6595E" w14:textId="77777777" w:rsidR="008112BD" w:rsidRDefault="008112BD" w:rsidP="008112BD">
      <w:pPr>
        <w:pStyle w:val="Amain"/>
        <w:keepNext/>
      </w:pPr>
      <w:r>
        <w:tab/>
        <w:t>(1)</w:t>
      </w:r>
      <w:r>
        <w:tab/>
        <w:t>This rule applies to the following enforcement orders:</w:t>
      </w:r>
    </w:p>
    <w:p w14:paraId="165F2ED0" w14:textId="77777777" w:rsidR="008112BD" w:rsidRDefault="008112BD" w:rsidP="008112BD">
      <w:pPr>
        <w:pStyle w:val="Apara"/>
      </w:pPr>
      <w:r>
        <w:tab/>
        <w:t>(a)</w:t>
      </w:r>
      <w:r>
        <w:tab/>
        <w:t xml:space="preserve">a seizure and sale order; </w:t>
      </w:r>
    </w:p>
    <w:p w14:paraId="5C9395DC" w14:textId="77777777" w:rsidR="008112BD" w:rsidRDefault="008112BD" w:rsidP="008112BD">
      <w:pPr>
        <w:pStyle w:val="Apara"/>
      </w:pPr>
      <w:r>
        <w:tab/>
        <w:t>(b)</w:t>
      </w:r>
      <w:r>
        <w:tab/>
        <w:t xml:space="preserve">an order for delivery of possession of land; </w:t>
      </w:r>
    </w:p>
    <w:p w14:paraId="24E910E2" w14:textId="77777777" w:rsidR="008112BD" w:rsidRDefault="008112BD" w:rsidP="008112BD">
      <w:pPr>
        <w:pStyle w:val="Apara"/>
      </w:pPr>
      <w:r>
        <w:tab/>
        <w:t>(c)</w:t>
      </w:r>
      <w:r>
        <w:tab/>
        <w:t xml:space="preserve">an order for seizure and delivery of goods; </w:t>
      </w:r>
    </w:p>
    <w:p w14:paraId="1C398086" w14:textId="77777777" w:rsidR="008112BD" w:rsidRDefault="008112BD" w:rsidP="008112BD">
      <w:pPr>
        <w:pStyle w:val="Apara"/>
      </w:pPr>
      <w:r>
        <w:tab/>
        <w:t>(d)</w:t>
      </w:r>
      <w:r>
        <w:tab/>
        <w:t>an order for seizure and detention of property.</w:t>
      </w:r>
    </w:p>
    <w:p w14:paraId="65046706" w14:textId="77777777" w:rsidR="008112BD" w:rsidRDefault="008112BD" w:rsidP="008112BD">
      <w:pPr>
        <w:pStyle w:val="Amain"/>
        <w:keepNext/>
      </w:pPr>
      <w:r>
        <w:tab/>
        <w:t>(2)</w:t>
      </w:r>
      <w:r>
        <w:tab/>
        <w:t>The enforcement order remains in force for 1 year after the day it is made unless the order states that it ends at an earlier time.</w:t>
      </w:r>
    </w:p>
    <w:p w14:paraId="74F142EB" w14:textId="77777777"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14:paraId="66A1273B" w14:textId="77777777"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14:paraId="4F6AF7FF" w14:textId="77777777" w:rsidR="008112BD" w:rsidRDefault="008112BD" w:rsidP="008112BD">
      <w:pPr>
        <w:pStyle w:val="Amain"/>
      </w:pPr>
      <w:r>
        <w:tab/>
        <w:t>(3)</w:t>
      </w:r>
      <w:r>
        <w:tab/>
        <w:t>However, the order may be renewed for further periods of not longer than 1 year at a time.</w:t>
      </w:r>
    </w:p>
    <w:p w14:paraId="55B8CB40" w14:textId="77777777" w:rsidR="008112BD" w:rsidRDefault="008112BD" w:rsidP="008112BD">
      <w:pPr>
        <w:pStyle w:val="Amain"/>
      </w:pPr>
      <w:r>
        <w:tab/>
        <w:t>(4)</w:t>
      </w:r>
      <w:r>
        <w:tab/>
        <w:t>An application for renewal of an enforcement order—</w:t>
      </w:r>
    </w:p>
    <w:p w14:paraId="2D5A3962" w14:textId="77777777" w:rsidR="008112BD" w:rsidRDefault="008112BD" w:rsidP="008112BD">
      <w:pPr>
        <w:pStyle w:val="Apara"/>
      </w:pPr>
      <w:r>
        <w:tab/>
        <w:t>(a)</w:t>
      </w:r>
      <w:r>
        <w:tab/>
        <w:t>must be made before the order ends; and</w:t>
      </w:r>
    </w:p>
    <w:p w14:paraId="795823FD" w14:textId="77777777" w:rsidR="008112BD" w:rsidRDefault="008112BD" w:rsidP="008112BD">
      <w:pPr>
        <w:pStyle w:val="Apara"/>
      </w:pPr>
      <w:r>
        <w:tab/>
        <w:t>(b)</w:t>
      </w:r>
      <w:r>
        <w:tab/>
        <w:t>is made by filing in the court—</w:t>
      </w:r>
    </w:p>
    <w:p w14:paraId="45699460" w14:textId="77777777" w:rsidR="008112BD" w:rsidRDefault="008112BD" w:rsidP="008112BD">
      <w:pPr>
        <w:pStyle w:val="Asubpara"/>
      </w:pPr>
      <w:r>
        <w:tab/>
        <w:t>(i)</w:t>
      </w:r>
      <w:r>
        <w:tab/>
        <w:t>a request for the order to be renewed for a stated period of not longer than 1 year; and</w:t>
      </w:r>
    </w:p>
    <w:p w14:paraId="7E6DFD44" w14:textId="77777777" w:rsidR="008112BD" w:rsidRDefault="008112BD" w:rsidP="008112BD">
      <w:pPr>
        <w:pStyle w:val="Asubpara"/>
        <w:keepNext/>
      </w:pPr>
      <w:r>
        <w:tab/>
        <w:t>(ii)</w:t>
      </w:r>
      <w:r>
        <w:tab/>
        <w:t>an affidavit setting out—</w:t>
      </w:r>
    </w:p>
    <w:p w14:paraId="5C9A041A" w14:textId="77777777" w:rsidR="008112BD" w:rsidRDefault="008112BD" w:rsidP="008112BD">
      <w:pPr>
        <w:pStyle w:val="Asubsubpara"/>
      </w:pPr>
      <w:r>
        <w:tab/>
        <w:t>(A)</w:t>
      </w:r>
      <w:r>
        <w:tab/>
        <w:t>the matters required to be included in the affidavit in support of an application for an enforcement order of that kind; and</w:t>
      </w:r>
    </w:p>
    <w:p w14:paraId="1B9C3097" w14:textId="77777777" w:rsidR="008112BD" w:rsidRDefault="008112BD" w:rsidP="008112BD">
      <w:pPr>
        <w:pStyle w:val="Asubsubpara"/>
      </w:pPr>
      <w:r>
        <w:lastRenderedPageBreak/>
        <w:tab/>
        <w:t>(B)</w:t>
      </w:r>
      <w:r>
        <w:tab/>
        <w:t>the reasons why the order has not been enforced during the period that the order has been in force.</w:t>
      </w:r>
    </w:p>
    <w:p w14:paraId="5200CDD9" w14:textId="77777777" w:rsidR="008112BD" w:rsidRDefault="008112BD" w:rsidP="008112BD">
      <w:pPr>
        <w:pStyle w:val="Amain"/>
      </w:pPr>
      <w:r>
        <w:tab/>
        <w:t>(5)</w:t>
      </w:r>
      <w:r>
        <w:tab/>
        <w:t>Part 6.2 (Applications in proceedings) does not apply to the application.</w:t>
      </w:r>
    </w:p>
    <w:p w14:paraId="03E5D221" w14:textId="77777777" w:rsidR="008112BD" w:rsidRDefault="008112BD" w:rsidP="008112BD">
      <w:pPr>
        <w:pStyle w:val="Amain"/>
      </w:pPr>
      <w:r>
        <w:tab/>
        <w:t>(6)</w:t>
      </w:r>
      <w:r>
        <w:tab/>
        <w:t>The request and affidavit need not be served on anyone unless the court otherwise orders on its own initiative.</w:t>
      </w:r>
    </w:p>
    <w:p w14:paraId="22BAFCBA" w14:textId="77777777"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14:paraId="7A7E4302" w14:textId="77777777" w:rsidR="008112BD" w:rsidRDefault="008112BD" w:rsidP="008112BD">
      <w:pPr>
        <w:pStyle w:val="Amain"/>
      </w:pPr>
      <w:r>
        <w:tab/>
        <w:t>(8)</w:t>
      </w:r>
      <w:r>
        <w:tab/>
        <w:t>If the court renews an enforcement order, the registrar must give a sealed copy of the order as renewed to an enforcement officer to be enforced.</w:t>
      </w:r>
    </w:p>
    <w:p w14:paraId="58DDA2F4" w14:textId="77777777" w:rsidR="008112BD" w:rsidRDefault="008112BD" w:rsidP="008112BD">
      <w:pPr>
        <w:pStyle w:val="Amain"/>
      </w:pPr>
      <w:r>
        <w:tab/>
        <w:t>(9)</w:t>
      </w:r>
      <w:r>
        <w:tab/>
        <w:t>A renewed enforcement order must be stamped with the seal of the court to show the period for which the order is renewed.</w:t>
      </w:r>
    </w:p>
    <w:p w14:paraId="49C154F7" w14:textId="77777777" w:rsidR="008112BD" w:rsidRDefault="008112BD" w:rsidP="008112BD">
      <w:pPr>
        <w:pStyle w:val="Amain"/>
      </w:pPr>
      <w:r>
        <w:tab/>
        <w:t>(10)</w:t>
      </w:r>
      <w:r>
        <w:tab/>
        <w:t>The priority of a renewed enforcement order is decided according to the date the enforcement order was originally made.</w:t>
      </w:r>
    </w:p>
    <w:p w14:paraId="18E557E8" w14:textId="77777777"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14:paraId="316A2065" w14:textId="77777777" w:rsidR="008112BD" w:rsidRDefault="008112BD" w:rsidP="008112BD">
      <w:pPr>
        <w:pStyle w:val="AH5Sec"/>
      </w:pPr>
      <w:bookmarkStart w:id="653" w:name="_Toc185514269"/>
      <w:r w:rsidRPr="00C8328B">
        <w:rPr>
          <w:rStyle w:val="CharSectNo"/>
        </w:rPr>
        <w:t>2053</w:t>
      </w:r>
      <w:r>
        <w:tab/>
        <w:t>Enforcement orders—return by enforcement officer</w:t>
      </w:r>
      <w:bookmarkEnd w:id="653"/>
    </w:p>
    <w:p w14:paraId="4F69969C" w14:textId="77777777" w:rsidR="008112BD" w:rsidRDefault="008112BD" w:rsidP="008112BD">
      <w:pPr>
        <w:pStyle w:val="Amain"/>
      </w:pPr>
      <w:r>
        <w:tab/>
        <w:t>(1)</w:t>
      </w:r>
      <w:r>
        <w:tab/>
        <w:t>The registrar may require an enforcement officer who is given an enforcement order to enforce—</w:t>
      </w:r>
    </w:p>
    <w:p w14:paraId="20C3C94C" w14:textId="0049A3EA" w:rsidR="008112BD" w:rsidRDefault="008112BD" w:rsidP="008112BD">
      <w:pPr>
        <w:pStyle w:val="Apara"/>
      </w:pPr>
      <w:r>
        <w:tab/>
        <w:t>(a)</w:t>
      </w:r>
      <w:r>
        <w:tab/>
        <w:t xml:space="preserve">to </w:t>
      </w:r>
      <w:r w:rsidR="00EC2197" w:rsidRPr="00C1177F">
        <w:t>prepare</w:t>
      </w:r>
      <w:r>
        <w:t xml:space="preserve"> a statement of the steps the enforcement officer has taken under the order; and</w:t>
      </w:r>
    </w:p>
    <w:p w14:paraId="120E2E4C" w14:textId="2421F7AA" w:rsidR="008112BD" w:rsidRDefault="008112BD" w:rsidP="008112BD">
      <w:pPr>
        <w:pStyle w:val="Apara"/>
      </w:pPr>
      <w:r>
        <w:tab/>
        <w:t>(b)</w:t>
      </w:r>
      <w:r>
        <w:tab/>
        <w:t>to send a copy of the order with the statement to the person who obtained the order; and</w:t>
      </w:r>
    </w:p>
    <w:p w14:paraId="4512CA3D" w14:textId="4626FC51" w:rsidR="008112BD" w:rsidRDefault="008112BD" w:rsidP="008112BD">
      <w:pPr>
        <w:pStyle w:val="Apara"/>
        <w:keepNext/>
      </w:pPr>
      <w:r>
        <w:lastRenderedPageBreak/>
        <w:tab/>
        <w:t>(c)</w:t>
      </w:r>
      <w:r>
        <w:tab/>
        <w:t>to file in the court a copy of the order with the statement.</w:t>
      </w:r>
    </w:p>
    <w:p w14:paraId="7CE55B93" w14:textId="77777777"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14:paraId="05F7194E" w14:textId="77777777" w:rsidR="008112BD" w:rsidRDefault="008112BD" w:rsidP="00C41E44">
      <w:pPr>
        <w:pStyle w:val="Amain"/>
        <w:keepNext/>
      </w:pPr>
      <w:r>
        <w:tab/>
        <w:t>(2)</w:t>
      </w:r>
      <w:r>
        <w:tab/>
        <w:t>A person who obtains a seizure and sale order that is given to an enforcement officer to enforce may require the enforcement officer—</w:t>
      </w:r>
    </w:p>
    <w:p w14:paraId="73928566" w14:textId="60AA8332" w:rsidR="008112BD" w:rsidRDefault="008112BD" w:rsidP="008112BD">
      <w:pPr>
        <w:pStyle w:val="Apara"/>
      </w:pPr>
      <w:r>
        <w:tab/>
        <w:t>(a)</w:t>
      </w:r>
      <w:r>
        <w:tab/>
        <w:t xml:space="preserve">to </w:t>
      </w:r>
      <w:r w:rsidR="00EC2197" w:rsidRPr="00C1177F">
        <w:t>prepare</w:t>
      </w:r>
      <w:r>
        <w:t xml:space="preserve"> a statement of the steps the enforcement officer has taken under the order; and</w:t>
      </w:r>
    </w:p>
    <w:p w14:paraId="57147F82" w14:textId="0877F1DB" w:rsidR="008112BD" w:rsidRDefault="008112BD" w:rsidP="008112BD">
      <w:pPr>
        <w:pStyle w:val="Apara"/>
      </w:pPr>
      <w:r>
        <w:tab/>
        <w:t>(b)</w:t>
      </w:r>
      <w:r>
        <w:tab/>
        <w:t>to send a copy of the order with the statement to the person; and</w:t>
      </w:r>
    </w:p>
    <w:p w14:paraId="486C75F8" w14:textId="7C86061E" w:rsidR="008112BD" w:rsidRDefault="008112BD" w:rsidP="008112BD">
      <w:pPr>
        <w:pStyle w:val="Apara"/>
      </w:pPr>
      <w:r>
        <w:tab/>
        <w:t>(c)</w:t>
      </w:r>
      <w:r>
        <w:tab/>
        <w:t>to file in the court a copy of the order with the statement.</w:t>
      </w:r>
    </w:p>
    <w:p w14:paraId="03F67979" w14:textId="77777777" w:rsidR="008112BD" w:rsidRDefault="008112BD" w:rsidP="008112BD">
      <w:pPr>
        <w:pStyle w:val="AH5Sec"/>
      </w:pPr>
      <w:bookmarkStart w:id="654" w:name="_Toc185514270"/>
      <w:r w:rsidRPr="00C8328B">
        <w:rPr>
          <w:rStyle w:val="CharSectNo"/>
        </w:rPr>
        <w:t>2054</w:t>
      </w:r>
      <w:r>
        <w:tab/>
        <w:t>Enforcement orders—priority</w:t>
      </w:r>
      <w:bookmarkEnd w:id="654"/>
    </w:p>
    <w:p w14:paraId="219ECA49" w14:textId="77777777" w:rsidR="008112BD" w:rsidRDefault="008112BD" w:rsidP="008112BD">
      <w:pPr>
        <w:pStyle w:val="Amain"/>
      </w:pPr>
      <w:r>
        <w:tab/>
        <w:t>(1)</w:t>
      </w:r>
      <w:r>
        <w:tab/>
        <w:t>The precise time an application for an enforcement order is made must be written on the application by the registrar.</w:t>
      </w:r>
    </w:p>
    <w:p w14:paraId="63C31641" w14:textId="77777777"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14:paraId="4E399D3F" w14:textId="77777777" w:rsidR="008112BD" w:rsidRDefault="008112BD" w:rsidP="008112BD">
      <w:pPr>
        <w:pStyle w:val="Amain"/>
      </w:pPr>
      <w:r>
        <w:tab/>
        <w:t>(3)</w:t>
      </w:r>
      <w:r>
        <w:tab/>
        <w:t>The precise time an enforcement order is made must be written on the order by the registrar.</w:t>
      </w:r>
    </w:p>
    <w:p w14:paraId="1352475E" w14:textId="77777777"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14:paraId="56888D94" w14:textId="77777777" w:rsidR="008112BD" w:rsidRDefault="008112BD" w:rsidP="008112BD">
      <w:pPr>
        <w:pStyle w:val="Amain"/>
        <w:keepNext/>
      </w:pPr>
      <w:r>
        <w:tab/>
        <w:t>(5)</w:t>
      </w:r>
      <w:r>
        <w:tab/>
        <w:t>In this rule:</w:t>
      </w:r>
    </w:p>
    <w:p w14:paraId="4FAC5BF4" w14:textId="77777777" w:rsidR="008112BD" w:rsidRDefault="008112BD" w:rsidP="008112BD">
      <w:pPr>
        <w:pStyle w:val="aDef"/>
      </w:pPr>
      <w:r w:rsidRPr="00FE0788">
        <w:rPr>
          <w:rStyle w:val="charBoldItals"/>
        </w:rPr>
        <w:t>precise time</w:t>
      </w:r>
      <w:r>
        <w:t xml:space="preserve"> means the hour, day, month and year. </w:t>
      </w:r>
    </w:p>
    <w:p w14:paraId="22507CC7" w14:textId="77777777" w:rsidR="008112BD" w:rsidRDefault="008112BD" w:rsidP="008112BD">
      <w:pPr>
        <w:pStyle w:val="AH5Sec"/>
      </w:pPr>
      <w:bookmarkStart w:id="655" w:name="_Toc185514271"/>
      <w:r w:rsidRPr="00C8328B">
        <w:rPr>
          <w:rStyle w:val="CharSectNo"/>
        </w:rPr>
        <w:t>2055</w:t>
      </w:r>
      <w:r>
        <w:tab/>
        <w:t>Enforcement orders—payment under order</w:t>
      </w:r>
      <w:bookmarkEnd w:id="655"/>
    </w:p>
    <w:p w14:paraId="04CFAFAB" w14:textId="77777777" w:rsidR="008112BD" w:rsidRDefault="008112BD" w:rsidP="008112BD">
      <w:pPr>
        <w:pStyle w:val="Amainreturn"/>
      </w:pPr>
      <w:r>
        <w:t>A payment under an enforcement order discharges the person making the payment to the extent of the payment.</w:t>
      </w:r>
    </w:p>
    <w:p w14:paraId="2E92F0A3" w14:textId="77777777" w:rsidR="008112BD" w:rsidRDefault="008112BD" w:rsidP="008112BD">
      <w:pPr>
        <w:pStyle w:val="AH5Sec"/>
      </w:pPr>
      <w:bookmarkStart w:id="656" w:name="_Toc185514272"/>
      <w:r w:rsidRPr="00C8328B">
        <w:rPr>
          <w:rStyle w:val="CharSectNo"/>
        </w:rPr>
        <w:lastRenderedPageBreak/>
        <w:t>2056</w:t>
      </w:r>
      <w:r>
        <w:tab/>
        <w:t>Enforcement orders—orders about enforcement</w:t>
      </w:r>
      <w:bookmarkEnd w:id="656"/>
    </w:p>
    <w:p w14:paraId="56267BEC" w14:textId="77777777" w:rsidR="008112BD" w:rsidRDefault="008112BD" w:rsidP="008112BD">
      <w:pPr>
        <w:pStyle w:val="Amain"/>
      </w:pPr>
      <w:r>
        <w:tab/>
        <w:t>(1)</w:t>
      </w:r>
      <w:r>
        <w:tab/>
        <w:t>The court may make the orders in aid of, or otherwise in relation to, the enforcement of its orders that it considers appropriate.</w:t>
      </w:r>
    </w:p>
    <w:p w14:paraId="1D6CFD5B" w14:textId="77777777" w:rsidR="008112BD" w:rsidRDefault="008112BD" w:rsidP="008112BD">
      <w:pPr>
        <w:pStyle w:val="Amain"/>
        <w:keepNext/>
      </w:pPr>
      <w:r>
        <w:tab/>
        <w:t>(2)</w:t>
      </w:r>
      <w:r>
        <w:tab/>
        <w:t>Without limiting subrule (1), the court may make the following orders:</w:t>
      </w:r>
    </w:p>
    <w:p w14:paraId="79403FC2" w14:textId="77777777" w:rsidR="008112BD" w:rsidRDefault="008112BD" w:rsidP="008112BD">
      <w:pPr>
        <w:pStyle w:val="Apara"/>
      </w:pPr>
      <w:r>
        <w:tab/>
        <w:t>(a)</w:t>
      </w:r>
      <w:r>
        <w:tab/>
        <w:t>an order authorising an enforcement officer to enter premises to take possession of property under a seizure and sale order;</w:t>
      </w:r>
    </w:p>
    <w:p w14:paraId="30DADC0E" w14:textId="77777777" w:rsidR="008112BD" w:rsidRDefault="008112BD" w:rsidP="008112BD">
      <w:pPr>
        <w:pStyle w:val="Apara"/>
      </w:pPr>
      <w:r>
        <w:tab/>
        <w:t>(b)</w:t>
      </w:r>
      <w:r>
        <w:tab/>
        <w:t>an order prohibiting an enforcement officer from taking any further action on an enforcement order;</w:t>
      </w:r>
    </w:p>
    <w:p w14:paraId="5738D230" w14:textId="77777777" w:rsidR="008112BD" w:rsidRDefault="008112BD" w:rsidP="008112BD">
      <w:pPr>
        <w:pStyle w:val="Apara"/>
      </w:pPr>
      <w:r>
        <w:tab/>
        <w:t>(c)</w:t>
      </w:r>
      <w:r>
        <w:tab/>
        <w:t>an order prohibiting anyone else from taking any further action, either permanently or until a stated day, to enforce an order of the court.</w:t>
      </w:r>
    </w:p>
    <w:p w14:paraId="39E451C1" w14:textId="77777777" w:rsidR="008112BD" w:rsidRDefault="008112BD" w:rsidP="008112BD">
      <w:pPr>
        <w:pStyle w:val="Amain"/>
        <w:keepNext/>
      </w:pPr>
      <w:r>
        <w:tab/>
        <w:t>(3)</w:t>
      </w:r>
      <w:r>
        <w:tab/>
        <w:t>The court’s powers under this rule are additional to its powers under any other territory law.</w:t>
      </w:r>
    </w:p>
    <w:p w14:paraId="07213C8C" w14:textId="0C55DF99"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4" w:tooltip="A2001-14" w:history="1">
        <w:r w:rsidRPr="00FE0788">
          <w:rPr>
            <w:rStyle w:val="charCitHyperlinkAbbrev"/>
          </w:rPr>
          <w:t>Legislation Act</w:t>
        </w:r>
      </w:hyperlink>
      <w:r>
        <w:t>, s 98).</w:t>
      </w:r>
    </w:p>
    <w:p w14:paraId="211C7BC3" w14:textId="77777777"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14:paraId="5CC4A475" w14:textId="77777777" w:rsidR="008112BD" w:rsidRDefault="008112BD" w:rsidP="008112BD">
      <w:pPr>
        <w:pStyle w:val="AH5Sec"/>
      </w:pPr>
      <w:bookmarkStart w:id="657" w:name="_Toc185514273"/>
      <w:r w:rsidRPr="00C8328B">
        <w:rPr>
          <w:rStyle w:val="CharSectNo"/>
        </w:rPr>
        <w:t>2057</w:t>
      </w:r>
      <w:r>
        <w:tab/>
        <w:t>Enforcement orders—consecutive and concurrent orders</w:t>
      </w:r>
      <w:bookmarkEnd w:id="657"/>
    </w:p>
    <w:p w14:paraId="7EE5F451" w14:textId="77777777" w:rsidR="008112BD" w:rsidRDefault="008112BD" w:rsidP="008112BD">
      <w:pPr>
        <w:pStyle w:val="Amainreturn"/>
        <w:keepNext/>
      </w:pPr>
      <w:r>
        <w:t>To remove any doubt, this part does not prevent the court—</w:t>
      </w:r>
    </w:p>
    <w:p w14:paraId="56DAC322" w14:textId="77777777"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14:paraId="217CC4FF" w14:textId="77777777"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14:paraId="4A9E35B7" w14:textId="77777777" w:rsidR="008112BD" w:rsidRDefault="008112BD" w:rsidP="008112BD">
      <w:pPr>
        <w:pStyle w:val="AH5Sec"/>
      </w:pPr>
      <w:bookmarkStart w:id="658" w:name="_Toc185514274"/>
      <w:r w:rsidRPr="00C8328B">
        <w:rPr>
          <w:rStyle w:val="CharSectNo"/>
        </w:rPr>
        <w:t>2058</w:t>
      </w:r>
      <w:r>
        <w:tab/>
        <w:t>Enforcement orders—deceased enforcement debtor</w:t>
      </w:r>
      <w:bookmarkEnd w:id="658"/>
    </w:p>
    <w:p w14:paraId="327F8778" w14:textId="77777777" w:rsidR="008112BD" w:rsidRDefault="008112BD" w:rsidP="008112BD">
      <w:pPr>
        <w:pStyle w:val="Amainreturn"/>
      </w:pPr>
      <w:r>
        <w:t>If a money order is to be enforced against the estate of a deceased enforcement debtor, only the assets of the estate are subject to the enforcement.</w:t>
      </w:r>
    </w:p>
    <w:p w14:paraId="617CE633" w14:textId="77777777" w:rsidR="008112BD" w:rsidRPr="00C8328B" w:rsidRDefault="008112BD" w:rsidP="008112BD">
      <w:pPr>
        <w:pStyle w:val="AH3Div"/>
      </w:pPr>
      <w:bookmarkStart w:id="659" w:name="_Toc185514275"/>
      <w:r w:rsidRPr="00C8328B">
        <w:rPr>
          <w:rStyle w:val="CharDivNo"/>
        </w:rPr>
        <w:t>Division 2.18.3</w:t>
      </w:r>
      <w:r>
        <w:tab/>
      </w:r>
      <w:r w:rsidRPr="00C8328B">
        <w:rPr>
          <w:rStyle w:val="CharDivText"/>
        </w:rPr>
        <w:t>Enforcement of money orders—enforcement hearings</w:t>
      </w:r>
      <w:bookmarkEnd w:id="659"/>
    </w:p>
    <w:p w14:paraId="0F982A0B" w14:textId="77777777" w:rsidR="008112BD" w:rsidRDefault="008112BD" w:rsidP="008112BD">
      <w:pPr>
        <w:pStyle w:val="AH5Sec"/>
      </w:pPr>
      <w:bookmarkStart w:id="660" w:name="_Toc185514276"/>
      <w:r w:rsidRPr="00C8328B">
        <w:rPr>
          <w:rStyle w:val="CharSectNo"/>
        </w:rPr>
        <w:t>2100</w:t>
      </w:r>
      <w:r>
        <w:tab/>
        <w:t>Enforcement hearing—application by enforcement creditor</w:t>
      </w:r>
      <w:bookmarkEnd w:id="660"/>
    </w:p>
    <w:p w14:paraId="5B91909B" w14:textId="77777777" w:rsidR="008112BD" w:rsidRDefault="008112BD" w:rsidP="008112BD">
      <w:pPr>
        <w:pStyle w:val="Amain"/>
        <w:keepNext/>
      </w:pPr>
      <w:r>
        <w:tab/>
        <w:t>(1)</w:t>
      </w:r>
      <w:r>
        <w:tab/>
        <w:t>An enforcement creditor for an enforceable money order of the court may apply to the court for an enforcement hearing.</w:t>
      </w:r>
    </w:p>
    <w:p w14:paraId="7A657561" w14:textId="77777777"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14:paraId="2154F9BC" w14:textId="77777777" w:rsidR="008112BD" w:rsidRDefault="008112BD" w:rsidP="008112BD">
      <w:pPr>
        <w:pStyle w:val="Apara"/>
      </w:pPr>
      <w:r>
        <w:tab/>
        <w:t>(a)</w:t>
      </w:r>
      <w:r>
        <w:tab/>
        <w:t>an instalment order;</w:t>
      </w:r>
    </w:p>
    <w:p w14:paraId="53FD5F90" w14:textId="77777777" w:rsidR="008112BD" w:rsidRDefault="008112BD" w:rsidP="008112BD">
      <w:pPr>
        <w:pStyle w:val="Apara"/>
      </w:pPr>
      <w:r>
        <w:tab/>
        <w:t>(b)</w:t>
      </w:r>
      <w:r>
        <w:tab/>
        <w:t>a debt redirection order;</w:t>
      </w:r>
    </w:p>
    <w:p w14:paraId="3A47EEFB" w14:textId="77777777" w:rsidR="008112BD" w:rsidRDefault="008112BD" w:rsidP="008112BD">
      <w:pPr>
        <w:pStyle w:val="Apara"/>
      </w:pPr>
      <w:r>
        <w:tab/>
        <w:t>(c)</w:t>
      </w:r>
      <w:r>
        <w:tab/>
        <w:t>a regular redirection order;</w:t>
      </w:r>
    </w:p>
    <w:p w14:paraId="74A7DA96" w14:textId="77777777" w:rsidR="008112BD" w:rsidRDefault="008112BD" w:rsidP="008112BD">
      <w:pPr>
        <w:pStyle w:val="Apara"/>
        <w:keepNext/>
      </w:pPr>
      <w:r>
        <w:tab/>
        <w:t>(d)</w:t>
      </w:r>
      <w:r>
        <w:tab/>
        <w:t>an earnings redirection order.</w:t>
      </w:r>
    </w:p>
    <w:p w14:paraId="6679B0A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657B537B" w14:textId="77777777" w:rsidR="008112BD" w:rsidRDefault="008112BD" w:rsidP="00C41E44">
      <w:pPr>
        <w:pStyle w:val="Amain"/>
        <w:keepNext/>
      </w:pPr>
      <w:r>
        <w:lastRenderedPageBreak/>
        <w:tab/>
        <w:t>(3)</w:t>
      </w:r>
      <w:r>
        <w:tab/>
        <w:t>An application under this rule for an enforcement hearing is made by filing in the court—</w:t>
      </w:r>
    </w:p>
    <w:p w14:paraId="473E7AD6" w14:textId="77777777" w:rsidR="008112BD" w:rsidRDefault="008112BD" w:rsidP="008112BD">
      <w:pPr>
        <w:pStyle w:val="Apara"/>
      </w:pPr>
      <w:r>
        <w:tab/>
        <w:t>(a)</w:t>
      </w:r>
      <w:r>
        <w:tab/>
        <w:t>a draft order requiring the enforcement debtor to attend an enforcement hearing; and</w:t>
      </w:r>
    </w:p>
    <w:p w14:paraId="42FB45D3" w14:textId="77777777" w:rsidR="008112BD" w:rsidRDefault="008112BD" w:rsidP="008112BD">
      <w:pPr>
        <w:pStyle w:val="Apara"/>
        <w:keepNext/>
      </w:pPr>
      <w:r>
        <w:tab/>
        <w:t>(b)</w:t>
      </w:r>
      <w:r>
        <w:tab/>
        <w:t>an affidavit in support of the application.</w:t>
      </w:r>
    </w:p>
    <w:p w14:paraId="3CB28093" w14:textId="38CD0FEA"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75" w:history="1">
        <w:r w:rsidRPr="009D1718">
          <w:rPr>
            <w:rStyle w:val="charCitHyperlinkAbbrev"/>
          </w:rPr>
          <w:t>AF2006</w:t>
        </w:r>
        <w:r w:rsidRPr="009D1718">
          <w:rPr>
            <w:rStyle w:val="charCitHyperlinkAbbrev"/>
          </w:rPr>
          <w:noBreakHyphen/>
          <w:t>295</w:t>
        </w:r>
      </w:hyperlink>
      <w:r>
        <w:t>.</w:t>
      </w:r>
    </w:p>
    <w:p w14:paraId="26FB67D6" w14:textId="77777777" w:rsidR="008112BD" w:rsidRDefault="008112BD" w:rsidP="008112BD">
      <w:pPr>
        <w:pStyle w:val="Amain"/>
        <w:keepNext/>
      </w:pPr>
      <w:r>
        <w:tab/>
        <w:t>(4)</w:t>
      </w:r>
      <w:r>
        <w:tab/>
        <w:t>The affidavit in support must state—</w:t>
      </w:r>
    </w:p>
    <w:p w14:paraId="15CB4DD1" w14:textId="77777777" w:rsidR="008112BD" w:rsidRDefault="008112BD" w:rsidP="008112BD">
      <w:pPr>
        <w:pStyle w:val="Apara"/>
      </w:pPr>
      <w:r>
        <w:tab/>
        <w:t>(a)</w:t>
      </w:r>
      <w:r>
        <w:tab/>
        <w:t>the date the money order was made; and</w:t>
      </w:r>
    </w:p>
    <w:p w14:paraId="337512EF" w14:textId="77777777" w:rsidR="008112BD" w:rsidRDefault="008112BD" w:rsidP="008112BD">
      <w:pPr>
        <w:pStyle w:val="Apara"/>
      </w:pPr>
      <w:r>
        <w:tab/>
        <w:t>(b)</w:t>
      </w:r>
      <w:r>
        <w:tab/>
        <w:t>the amount of the order debt; and</w:t>
      </w:r>
    </w:p>
    <w:p w14:paraId="2D6423A8" w14:textId="77777777" w:rsidR="008112BD" w:rsidRDefault="008112BD" w:rsidP="008112BD">
      <w:pPr>
        <w:pStyle w:val="Apara"/>
      </w:pPr>
      <w:r>
        <w:tab/>
        <w:t>(c)</w:t>
      </w:r>
      <w:r>
        <w:tab/>
        <w:t>the date and amount of each payment (if any) made under the money order; and</w:t>
      </w:r>
    </w:p>
    <w:p w14:paraId="75B8ACC9" w14:textId="77777777" w:rsidR="008112BD" w:rsidRDefault="008112BD" w:rsidP="008112BD">
      <w:pPr>
        <w:pStyle w:val="Apara"/>
      </w:pPr>
      <w:r>
        <w:tab/>
        <w:t>(d)</w:t>
      </w:r>
      <w:r>
        <w:tab/>
        <w:t>the costs incurred in previous enforcement proceedings in relation to the money order; and</w:t>
      </w:r>
    </w:p>
    <w:p w14:paraId="48C9832B" w14:textId="77777777"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14:paraId="75B9F50A" w14:textId="77777777" w:rsidR="008112BD" w:rsidRDefault="008112BD" w:rsidP="008112BD">
      <w:pPr>
        <w:pStyle w:val="Apara"/>
      </w:pPr>
      <w:r>
        <w:tab/>
        <w:t>(f)</w:t>
      </w:r>
      <w:r>
        <w:tab/>
        <w:t>any other details necessary to work out the amount payable under the order on the affidavit date and how the amount is worked out; and</w:t>
      </w:r>
    </w:p>
    <w:p w14:paraId="79FA7A77" w14:textId="77777777" w:rsidR="008112BD" w:rsidRDefault="008112BD" w:rsidP="008112BD">
      <w:pPr>
        <w:pStyle w:val="Apara"/>
      </w:pPr>
      <w:r>
        <w:tab/>
        <w:t>(g)</w:t>
      </w:r>
      <w:r>
        <w:tab/>
        <w:t>the daily amount of any interest that, subject to any future payment under the money order, will accrue after the affidavit date; and</w:t>
      </w:r>
    </w:p>
    <w:p w14:paraId="19390E8F" w14:textId="77777777" w:rsidR="008112BD" w:rsidRDefault="008112BD" w:rsidP="008112BD">
      <w:pPr>
        <w:pStyle w:val="Apara"/>
      </w:pPr>
      <w:r>
        <w:tab/>
        <w:t>(h)</w:t>
      </w:r>
      <w:r>
        <w:tab/>
        <w:t>the last-known address of the enforcement debtor; and</w:t>
      </w:r>
    </w:p>
    <w:p w14:paraId="3CF04A02" w14:textId="77777777" w:rsidR="008112BD" w:rsidRDefault="008112BD" w:rsidP="008112BD">
      <w:pPr>
        <w:pStyle w:val="Apara"/>
      </w:pPr>
      <w:r>
        <w:tab/>
        <w:t>(i)</w:t>
      </w:r>
      <w:r>
        <w:tab/>
        <w:t>if the enforcement creditor has conducted a company name search or business name search in relation to the enforcement debtor—the results of the search.</w:t>
      </w:r>
    </w:p>
    <w:p w14:paraId="69540232" w14:textId="77777777" w:rsidR="008112BD" w:rsidRDefault="008112BD" w:rsidP="008112BD">
      <w:pPr>
        <w:pStyle w:val="Amain"/>
      </w:pPr>
      <w:r>
        <w:tab/>
        <w:t>(5)</w:t>
      </w:r>
      <w:r>
        <w:tab/>
        <w:t>Part 6.2 (Applications in proceedings) does not apply to the application.</w:t>
      </w:r>
    </w:p>
    <w:p w14:paraId="56E51F57" w14:textId="77777777" w:rsidR="008112BD" w:rsidRDefault="008112BD" w:rsidP="008112BD">
      <w:pPr>
        <w:pStyle w:val="Amain"/>
      </w:pPr>
      <w:r>
        <w:lastRenderedPageBreak/>
        <w:tab/>
        <w:t>(6)</w:t>
      </w:r>
      <w:r>
        <w:tab/>
        <w:t>The affidavit and draft order need not be served on the enforcement debtor unless the court otherwise orders on its own initiative.</w:t>
      </w:r>
    </w:p>
    <w:p w14:paraId="2EF02B04" w14:textId="77777777" w:rsidR="008112BD" w:rsidRDefault="008112BD" w:rsidP="008112BD">
      <w:pPr>
        <w:pStyle w:val="Amain"/>
      </w:pPr>
      <w:r>
        <w:tab/>
        <w:t>(7)</w:t>
      </w:r>
      <w:r>
        <w:tab/>
        <w:t>Unless the court otherwise orders on its own initiative, the application must be dealt with without a hearing and in the absence of the parties.</w:t>
      </w:r>
    </w:p>
    <w:p w14:paraId="4EAF0D32" w14:textId="77777777" w:rsidR="008112BD" w:rsidRDefault="008112BD" w:rsidP="008112BD">
      <w:pPr>
        <w:pStyle w:val="AH5Sec"/>
      </w:pPr>
      <w:bookmarkStart w:id="661" w:name="_Toc185514277"/>
      <w:r w:rsidRPr="00C8328B">
        <w:rPr>
          <w:rStyle w:val="CharSectNo"/>
        </w:rPr>
        <w:t>2101</w:t>
      </w:r>
      <w:r>
        <w:tab/>
        <w:t>Enforcement hearing—otherwise than on enforcement creditor’s application</w:t>
      </w:r>
      <w:bookmarkEnd w:id="661"/>
    </w:p>
    <w:p w14:paraId="2C9A21B7" w14:textId="77777777"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14:paraId="300C2832" w14:textId="77777777"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14:paraId="5D6EE147" w14:textId="42C78926" w:rsidR="008112BD" w:rsidRDefault="008112BD" w:rsidP="008112BD">
      <w:pPr>
        <w:pStyle w:val="aNote"/>
      </w:pPr>
      <w:r w:rsidRPr="00FE0788">
        <w:rPr>
          <w:rStyle w:val="charItals"/>
        </w:rPr>
        <w:t>Note</w:t>
      </w:r>
      <w:r>
        <w:tab/>
        <w:t xml:space="preserve">See approved form 2.50 (Order to attend enforcement hearing) </w:t>
      </w:r>
      <w:hyperlink r:id="rId176" w:history="1">
        <w:r w:rsidRPr="009D1718">
          <w:rPr>
            <w:rStyle w:val="charCitHyperlinkAbbrev"/>
          </w:rPr>
          <w:t>AF2006</w:t>
        </w:r>
        <w:r w:rsidRPr="009D1718">
          <w:rPr>
            <w:rStyle w:val="charCitHyperlinkAbbrev"/>
          </w:rPr>
          <w:noBreakHyphen/>
          <w:t>295</w:t>
        </w:r>
      </w:hyperlink>
      <w:r>
        <w:t>.</w:t>
      </w:r>
    </w:p>
    <w:p w14:paraId="01C535D7" w14:textId="77777777" w:rsidR="008112BD" w:rsidRDefault="008112BD" w:rsidP="008112BD">
      <w:pPr>
        <w:pStyle w:val="Amain"/>
      </w:pPr>
      <w:r>
        <w:tab/>
        <w:t>(3)</w:t>
      </w:r>
      <w:r>
        <w:tab/>
        <w:t>Part 6.2 (Applications in proceedings) does not apply to an application by an enforcement debtor.</w:t>
      </w:r>
    </w:p>
    <w:p w14:paraId="05AF32CE" w14:textId="77777777" w:rsidR="008112BD" w:rsidRDefault="008112BD" w:rsidP="008112BD">
      <w:pPr>
        <w:pStyle w:val="AH5Sec"/>
      </w:pPr>
      <w:bookmarkStart w:id="662" w:name="_Toc185514278"/>
      <w:r w:rsidRPr="00C8328B">
        <w:rPr>
          <w:rStyle w:val="CharSectNo"/>
        </w:rPr>
        <w:t>2102</w:t>
      </w:r>
      <w:r>
        <w:tab/>
        <w:t>Enforcement hearing—limit on number of applications</w:t>
      </w:r>
      <w:bookmarkEnd w:id="662"/>
    </w:p>
    <w:p w14:paraId="2D3CB712" w14:textId="77777777"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14:paraId="0D47FAC9" w14:textId="77777777"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14:paraId="1D6C9FAA" w14:textId="77777777" w:rsidR="008112BD" w:rsidRDefault="008112BD" w:rsidP="008112BD">
      <w:pPr>
        <w:pStyle w:val="aNote"/>
      </w:pPr>
      <w:r w:rsidRPr="00FE0788">
        <w:rPr>
          <w:rStyle w:val="charItals"/>
        </w:rPr>
        <w:t>Note</w:t>
      </w:r>
      <w:r>
        <w:tab/>
        <w:t>Pt 6.2 (Applications in proceedings) applies to an application for leave.</w:t>
      </w:r>
    </w:p>
    <w:p w14:paraId="6B360626" w14:textId="77777777" w:rsidR="008112BD" w:rsidRDefault="008112BD" w:rsidP="008112BD">
      <w:pPr>
        <w:pStyle w:val="Amain"/>
      </w:pPr>
      <w:r>
        <w:tab/>
        <w:t>(3)</w:t>
      </w:r>
      <w:r>
        <w:tab/>
        <w:t>An application for leave must be accompanied by an affidavit in support of the application.</w:t>
      </w:r>
    </w:p>
    <w:p w14:paraId="1296C9A5" w14:textId="77777777" w:rsidR="008112BD" w:rsidRDefault="008112BD" w:rsidP="008112BD">
      <w:pPr>
        <w:pStyle w:val="AH5Sec"/>
      </w:pPr>
      <w:bookmarkStart w:id="663" w:name="_Toc185514279"/>
      <w:r w:rsidRPr="00C8328B">
        <w:rPr>
          <w:rStyle w:val="CharSectNo"/>
        </w:rPr>
        <w:lastRenderedPageBreak/>
        <w:t>2103</w:t>
      </w:r>
      <w:r>
        <w:tab/>
        <w:t>Enforcement hearing—order for hearing etc</w:t>
      </w:r>
      <w:bookmarkEnd w:id="663"/>
    </w:p>
    <w:p w14:paraId="3DC2751D" w14:textId="77777777" w:rsidR="008112BD" w:rsidRDefault="008112BD" w:rsidP="008112BD">
      <w:pPr>
        <w:pStyle w:val="Amain"/>
      </w:pPr>
      <w:r>
        <w:tab/>
        <w:t>(1)</w:t>
      </w:r>
      <w:r>
        <w:tab/>
        <w:t>If the court orders that an enforcement hearing be held, the court must—</w:t>
      </w:r>
    </w:p>
    <w:p w14:paraId="6813BFE3" w14:textId="77777777" w:rsidR="008112BD" w:rsidRDefault="008112BD" w:rsidP="008112BD">
      <w:pPr>
        <w:pStyle w:val="Apara"/>
      </w:pPr>
      <w:r>
        <w:tab/>
        <w:t>(a)</w:t>
      </w:r>
      <w:r>
        <w:tab/>
        <w:t xml:space="preserve">set a date for the enforcement hearing; and </w:t>
      </w:r>
    </w:p>
    <w:p w14:paraId="58B545F3" w14:textId="77777777"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14:paraId="3D4956FD" w14:textId="77777777" w:rsidR="008112BD" w:rsidRDefault="008112BD" w:rsidP="008112BD">
      <w:pPr>
        <w:pStyle w:val="Asubpara"/>
      </w:pPr>
      <w:r>
        <w:tab/>
        <w:t>(i)</w:t>
      </w:r>
      <w:r>
        <w:tab/>
        <w:t>to complete, swear and file a statement of the enforcement debtor’s financial position in accordance with rule 2106; and</w:t>
      </w:r>
    </w:p>
    <w:p w14:paraId="419B0E56" w14:textId="77777777" w:rsidR="008112BD" w:rsidRDefault="008112BD" w:rsidP="008112BD">
      <w:pPr>
        <w:pStyle w:val="Asubpara"/>
      </w:pPr>
      <w:r>
        <w:tab/>
        <w:t>(ii)</w:t>
      </w:r>
      <w:r>
        <w:tab/>
        <w:t>to attend before the court, at the time and place stated in the order—</w:t>
      </w:r>
    </w:p>
    <w:p w14:paraId="7481DEB1" w14:textId="77777777" w:rsidR="008112BD" w:rsidRDefault="008112BD" w:rsidP="008112BD">
      <w:pPr>
        <w:pStyle w:val="Asubsubpara"/>
      </w:pPr>
      <w:r>
        <w:tab/>
        <w:t>(A)</w:t>
      </w:r>
      <w:r>
        <w:tab/>
        <w:t>to answer questions and give information; and</w:t>
      </w:r>
    </w:p>
    <w:p w14:paraId="35492A42" w14:textId="77777777" w:rsidR="008112BD" w:rsidRDefault="008112BD" w:rsidP="008112BD">
      <w:pPr>
        <w:pStyle w:val="Asubsubpara"/>
        <w:keepNext/>
      </w:pPr>
      <w:r>
        <w:tab/>
        <w:t>(B)</w:t>
      </w:r>
      <w:r>
        <w:tab/>
        <w:t>to produce the documents or other things (if any) stated in the order.</w:t>
      </w:r>
    </w:p>
    <w:p w14:paraId="52E6E67D" w14:textId="24E6B78D" w:rsidR="008112BD" w:rsidRDefault="008112BD" w:rsidP="008112BD">
      <w:pPr>
        <w:pStyle w:val="aNote"/>
      </w:pPr>
      <w:r w:rsidRPr="00FE0788">
        <w:rPr>
          <w:rStyle w:val="charItals"/>
        </w:rPr>
        <w:t>Note 1</w:t>
      </w:r>
      <w:r>
        <w:tab/>
        <w:t xml:space="preserve">See approved form 2.51 (Enforcement hearing subpoena) </w:t>
      </w:r>
      <w:hyperlink r:id="rId177" w:history="1">
        <w:r w:rsidRPr="009D1718">
          <w:rPr>
            <w:rStyle w:val="charCitHyperlinkAbbrev"/>
          </w:rPr>
          <w:t>AF2006-296</w:t>
        </w:r>
      </w:hyperlink>
      <w:r>
        <w:t>.</w:t>
      </w:r>
    </w:p>
    <w:p w14:paraId="7F25324E" w14:textId="77777777"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14:paraId="5107E5ED" w14:textId="77777777" w:rsidR="008112BD" w:rsidRDefault="008112BD" w:rsidP="008112BD">
      <w:pPr>
        <w:pStyle w:val="Amain"/>
      </w:pPr>
      <w:r>
        <w:tab/>
        <w:t>(2)</w:t>
      </w:r>
      <w:r>
        <w:tab/>
        <w:t>The date set for the enforcement hearing must be at least 21 days after the day the enforcement hearing subpoena is issued.</w:t>
      </w:r>
    </w:p>
    <w:p w14:paraId="370C9E39" w14:textId="77777777" w:rsidR="008112BD" w:rsidRDefault="008112BD" w:rsidP="008112BD">
      <w:pPr>
        <w:pStyle w:val="Amain"/>
      </w:pPr>
      <w:r>
        <w:tab/>
        <w:t>(3)</w:t>
      </w:r>
      <w:r>
        <w:tab/>
        <w:t>To remove any doubt—</w:t>
      </w:r>
    </w:p>
    <w:p w14:paraId="7A1EC479" w14:textId="77777777" w:rsidR="008112BD" w:rsidRDefault="008112BD" w:rsidP="008112BD">
      <w:pPr>
        <w:pStyle w:val="Apara"/>
      </w:pPr>
      <w:r>
        <w:tab/>
        <w:t>(a)</w:t>
      </w:r>
      <w:r>
        <w:tab/>
        <w:t>the court may, by enforcement hearing subpoena, require 2 or more people to attend before the court, at the same time and place, in relation to an order debt; and</w:t>
      </w:r>
    </w:p>
    <w:p w14:paraId="09645903" w14:textId="77777777" w:rsidR="008112BD" w:rsidRDefault="008112BD" w:rsidP="008112BD">
      <w:pPr>
        <w:pStyle w:val="Apara"/>
      </w:pPr>
      <w:r>
        <w:tab/>
        <w:t>(b)</w:t>
      </w:r>
      <w:r>
        <w:tab/>
        <w:t>part 6.9 (Subpoenas) applies to an enforcement hearing subpoena with any necessary changes and any changes provided by these rules.</w:t>
      </w:r>
    </w:p>
    <w:p w14:paraId="69B76FBA" w14:textId="77777777" w:rsidR="008112BD" w:rsidRDefault="008112BD" w:rsidP="008112BD">
      <w:pPr>
        <w:pStyle w:val="AH5Sec"/>
      </w:pPr>
      <w:bookmarkStart w:id="664" w:name="_Toc185514280"/>
      <w:r w:rsidRPr="00C8328B">
        <w:rPr>
          <w:rStyle w:val="CharSectNo"/>
        </w:rPr>
        <w:lastRenderedPageBreak/>
        <w:t>2104</w:t>
      </w:r>
      <w:r>
        <w:tab/>
        <w:t>Enforcement hearing—who may be directed to attend by enforcement hearing subpoena</w:t>
      </w:r>
      <w:bookmarkEnd w:id="664"/>
    </w:p>
    <w:p w14:paraId="3D460FC8" w14:textId="77777777" w:rsidR="008112BD" w:rsidRDefault="008112BD" w:rsidP="008112BD">
      <w:pPr>
        <w:pStyle w:val="Amainreturn"/>
      </w:pPr>
      <w:r>
        <w:t>An enforcement hearing subpoena in relation to an enforcement debtor may be directed to—</w:t>
      </w:r>
    </w:p>
    <w:p w14:paraId="43D843FF" w14:textId="77777777" w:rsidR="008112BD" w:rsidRDefault="008112BD" w:rsidP="008112BD">
      <w:pPr>
        <w:pStyle w:val="Apara"/>
      </w:pPr>
      <w:r>
        <w:tab/>
        <w:t>(a)</w:t>
      </w:r>
      <w:r>
        <w:tab/>
        <w:t>the enforcement debtor; or</w:t>
      </w:r>
    </w:p>
    <w:p w14:paraId="5AB56D65" w14:textId="77777777"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14:paraId="7D329AC6" w14:textId="77777777"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14:paraId="19688B07" w14:textId="77777777"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14:paraId="5AAA5100" w14:textId="77777777" w:rsidR="008112BD" w:rsidRDefault="008112BD" w:rsidP="008112BD">
      <w:pPr>
        <w:pStyle w:val="Apara"/>
      </w:pPr>
      <w:r>
        <w:tab/>
        <w:t>(d)</w:t>
      </w:r>
      <w:r>
        <w:tab/>
        <w:t>if the enforcement debtor is a cooperative—a member or former member of the board of directors, or a secretary or former secretary, of the cooperative; or</w:t>
      </w:r>
    </w:p>
    <w:p w14:paraId="52F25573" w14:textId="5449CAC4" w:rsidR="008112BD" w:rsidRDefault="008112BD" w:rsidP="008112BD">
      <w:pPr>
        <w:pStyle w:val="Apara"/>
      </w:pPr>
      <w:r>
        <w:tab/>
        <w:t>(e)</w:t>
      </w:r>
      <w:r>
        <w:tab/>
        <w:t xml:space="preserve">if the enforcement debtor is an owners corporation under the </w:t>
      </w:r>
      <w:hyperlink r:id="rId178" w:tooltip="A2001-16" w:history="1">
        <w:r w:rsidRPr="00FE0788">
          <w:rPr>
            <w:rStyle w:val="charCitHyperlinkItal"/>
          </w:rPr>
          <w:t>Unit Titles Act 2001</w:t>
        </w:r>
      </w:hyperlink>
      <w:r>
        <w:t>—an executive member, or former executive member, of the executive committee of the owners corporation; or</w:t>
      </w:r>
    </w:p>
    <w:p w14:paraId="35C4FE8F" w14:textId="1D56F660" w:rsidR="008112BD" w:rsidRDefault="008112BD" w:rsidP="008112BD">
      <w:pPr>
        <w:pStyle w:val="Apara"/>
        <w:keepLines/>
      </w:pPr>
      <w:r>
        <w:tab/>
        <w:t>(f)</w:t>
      </w:r>
      <w:r>
        <w:tab/>
        <w:t xml:space="preserve">if the enforcement debtor is a body corporate under the </w:t>
      </w:r>
      <w:hyperlink r:id="rId179" w:tooltip="A2001-58" w:history="1">
        <w:r w:rsidRPr="00FE0788">
          <w:rPr>
            <w:rStyle w:val="charCitHyperlinkItal"/>
          </w:rPr>
          <w:t>Community Title Act 2001</w:t>
        </w:r>
      </w:hyperlink>
      <w:r>
        <w:t>—a member or former member of the committee of management, or a manager or former manager, of the body corporate; or</w:t>
      </w:r>
    </w:p>
    <w:p w14:paraId="61668F5C" w14:textId="77777777" w:rsidR="008112BD" w:rsidRDefault="008112BD" w:rsidP="008112BD">
      <w:pPr>
        <w:pStyle w:val="Apara"/>
      </w:pPr>
      <w:r>
        <w:tab/>
        <w:t>(g)</w:t>
      </w:r>
      <w:r>
        <w:tab/>
        <w:t>if the enforcement debtor is a corporation (including a corporation mentioned in paragraphs (b) to (f))—any senior officer of the corporation.</w:t>
      </w:r>
    </w:p>
    <w:p w14:paraId="3696AD57" w14:textId="77777777" w:rsidR="008112BD" w:rsidRDefault="008112BD" w:rsidP="008112BD">
      <w:pPr>
        <w:pStyle w:val="AH5Sec"/>
      </w:pPr>
      <w:bookmarkStart w:id="665" w:name="_Toc185514281"/>
      <w:r w:rsidRPr="00C8328B">
        <w:rPr>
          <w:rStyle w:val="CharSectNo"/>
        </w:rPr>
        <w:lastRenderedPageBreak/>
        <w:t>2105</w:t>
      </w:r>
      <w:r>
        <w:tab/>
        <w:t>Enforcement hearing—service of enforcement hearing subpoena</w:t>
      </w:r>
      <w:bookmarkEnd w:id="665"/>
    </w:p>
    <w:p w14:paraId="4D84B22E" w14:textId="77777777" w:rsidR="008112BD" w:rsidRDefault="008112BD" w:rsidP="008112BD">
      <w:pPr>
        <w:pStyle w:val="Amain"/>
      </w:pPr>
      <w:r>
        <w:tab/>
        <w:t>(1)</w:t>
      </w:r>
      <w:r>
        <w:tab/>
        <w:t>An enforcement hearing subpoena must be served on the addressee for the subpoena at least 14 days before the date set for the enforcement hearing.</w:t>
      </w:r>
    </w:p>
    <w:p w14:paraId="76B464CD" w14:textId="77777777" w:rsidR="008112BD" w:rsidRDefault="008112BD" w:rsidP="008112BD">
      <w:pPr>
        <w:pStyle w:val="Amain"/>
        <w:keepNext/>
      </w:pPr>
      <w:r>
        <w:tab/>
        <w:t>(2)</w:t>
      </w:r>
      <w:r>
        <w:tab/>
        <w:t>A copy of the form of the statement to be completed in accordance with rule 2106 must be served with the enforcement hearing subpoena.</w:t>
      </w:r>
    </w:p>
    <w:p w14:paraId="018C015D" w14:textId="77777777"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14:paraId="731D0E0B" w14:textId="77777777" w:rsidR="008112BD" w:rsidRDefault="008112BD" w:rsidP="008112BD">
      <w:pPr>
        <w:pStyle w:val="AH5Sec"/>
      </w:pPr>
      <w:bookmarkStart w:id="666" w:name="_Toc185514282"/>
      <w:r w:rsidRPr="00C8328B">
        <w:rPr>
          <w:rStyle w:val="CharSectNo"/>
        </w:rPr>
        <w:t>2106</w:t>
      </w:r>
      <w:r>
        <w:tab/>
        <w:t>Enforcement hearing—statement of enforcement debtor’s financial position</w:t>
      </w:r>
      <w:bookmarkEnd w:id="666"/>
    </w:p>
    <w:p w14:paraId="3CB0C438" w14:textId="77777777"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14:paraId="64645FE6" w14:textId="42B5545D"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80" w:history="1">
        <w:r w:rsidRPr="009D1718">
          <w:rPr>
            <w:rStyle w:val="charCitHyperlinkAbbrev"/>
          </w:rPr>
          <w:t>AF2006-297</w:t>
        </w:r>
      </w:hyperlink>
      <w:r>
        <w:t>.</w:t>
      </w:r>
    </w:p>
    <w:p w14:paraId="79BFE64C" w14:textId="77777777" w:rsidR="008112BD" w:rsidRDefault="008112BD" w:rsidP="008112BD">
      <w:pPr>
        <w:pStyle w:val="Amain"/>
      </w:pPr>
      <w:r>
        <w:tab/>
        <w:t>(2)</w:t>
      </w:r>
      <w:r>
        <w:tab/>
        <w:t>If the enforcement debtor receives regular payments (for example, wages or social security benefits), the statement of financial position must include—</w:t>
      </w:r>
    </w:p>
    <w:p w14:paraId="51F2F974" w14:textId="77777777" w:rsidR="008112BD" w:rsidRDefault="008112BD" w:rsidP="008112BD">
      <w:pPr>
        <w:pStyle w:val="Apara"/>
      </w:pPr>
      <w:r>
        <w:tab/>
        <w:t>(a)</w:t>
      </w:r>
      <w:r>
        <w:tab/>
        <w:t>the dates the last 4 payments were received; and</w:t>
      </w:r>
    </w:p>
    <w:p w14:paraId="7158BD1E" w14:textId="77777777"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14:paraId="745C09E7" w14:textId="77777777" w:rsidR="008112BD" w:rsidRDefault="008112BD" w:rsidP="008112BD">
      <w:pPr>
        <w:pStyle w:val="Amain"/>
      </w:pPr>
      <w:r>
        <w:tab/>
        <w:t>(3)</w:t>
      </w:r>
      <w:r>
        <w:tab/>
        <w:t>The registrar must give a copy of the statement to the enforcement creditor at least 5 days before the date set for the enforcement hearing.</w:t>
      </w:r>
    </w:p>
    <w:p w14:paraId="09F4D33D" w14:textId="77777777"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14:paraId="1058896E" w14:textId="77777777"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14:paraId="2F9CF244" w14:textId="77777777" w:rsidR="008112BD" w:rsidRDefault="008112BD" w:rsidP="008112BD">
      <w:pPr>
        <w:pStyle w:val="Amain"/>
        <w:keepNext/>
      </w:pPr>
      <w:r>
        <w:tab/>
        <w:t>(6)</w:t>
      </w:r>
      <w:r>
        <w:tab/>
        <w:t>Subrule (5) does not limit any other power of the court in relation to the contravention.</w:t>
      </w:r>
    </w:p>
    <w:p w14:paraId="3306E21C" w14:textId="597A8066"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81" w:tooltip="A2002-51" w:history="1">
        <w:r w:rsidRPr="00FE0788">
          <w:rPr>
            <w:rStyle w:val="charCitHyperlinkAbbrev"/>
          </w:rPr>
          <w:t>Criminal Code</w:t>
        </w:r>
      </w:hyperlink>
      <w:r>
        <w:t>, s 722).</w:t>
      </w:r>
    </w:p>
    <w:p w14:paraId="2A1D29FC" w14:textId="77777777" w:rsidR="008112BD" w:rsidRDefault="008112BD" w:rsidP="008112BD">
      <w:pPr>
        <w:pStyle w:val="AH5Sec"/>
      </w:pPr>
      <w:bookmarkStart w:id="667" w:name="_Toc185514283"/>
      <w:r w:rsidRPr="00C8328B">
        <w:rPr>
          <w:rStyle w:val="CharSectNo"/>
        </w:rPr>
        <w:t>2107</w:t>
      </w:r>
      <w:r>
        <w:tab/>
        <w:t>Enforcement hearing—subpoena to other person</w:t>
      </w:r>
      <w:bookmarkEnd w:id="667"/>
    </w:p>
    <w:p w14:paraId="3BE06BE8" w14:textId="77777777"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14:paraId="2B988870" w14:textId="77777777" w:rsidR="008112BD" w:rsidRDefault="008112BD" w:rsidP="008112BD">
      <w:pPr>
        <w:pStyle w:val="AH5Sec"/>
      </w:pPr>
      <w:bookmarkStart w:id="668" w:name="_Toc185514284"/>
      <w:r w:rsidRPr="00C8328B">
        <w:rPr>
          <w:rStyle w:val="CharSectNo"/>
        </w:rPr>
        <w:t>2108</w:t>
      </w:r>
      <w:r>
        <w:tab/>
        <w:t>Enforcement hearing—meeting of parties</w:t>
      </w:r>
      <w:bookmarkEnd w:id="668"/>
    </w:p>
    <w:p w14:paraId="15B6EC69" w14:textId="77777777" w:rsidR="008112BD" w:rsidRDefault="008112BD" w:rsidP="008112BD">
      <w:pPr>
        <w:pStyle w:val="Amain"/>
        <w:keepNext/>
      </w:pPr>
      <w:r>
        <w:tab/>
        <w:t>(1)</w:t>
      </w:r>
      <w:r>
        <w:tab/>
        <w:t>The court may direct the enforcement debtor and enforcement creditor to meet together to attempt to settle payment of the order debt.</w:t>
      </w:r>
    </w:p>
    <w:p w14:paraId="259822B5" w14:textId="77777777"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14:paraId="587833D2" w14:textId="77777777"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14:paraId="1668F6BA" w14:textId="77777777" w:rsidR="008112BD" w:rsidRDefault="008112BD" w:rsidP="008112BD">
      <w:pPr>
        <w:pStyle w:val="Amain"/>
        <w:keepNext/>
      </w:pPr>
      <w:r>
        <w:lastRenderedPageBreak/>
        <w:tab/>
        <w:t>(3)</w:t>
      </w:r>
      <w:r>
        <w:tab/>
        <w:t>A direction under this rule—</w:t>
      </w:r>
    </w:p>
    <w:p w14:paraId="53CE0593" w14:textId="77777777"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14:paraId="21B8C799" w14:textId="77777777" w:rsidR="008112BD" w:rsidRDefault="008112BD" w:rsidP="008112BD">
      <w:pPr>
        <w:pStyle w:val="Apara"/>
      </w:pPr>
      <w:r>
        <w:tab/>
        <w:t>(b)</w:t>
      </w:r>
      <w:r>
        <w:tab/>
        <w:t>may be given during the enforcement hearing, on application by the enforcement debtor or enforcement creditor or on the court’s own initiative.</w:t>
      </w:r>
    </w:p>
    <w:p w14:paraId="48CE015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14:paraId="22162865" w14:textId="77777777"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14:paraId="47187099" w14:textId="77777777" w:rsidR="008112BD" w:rsidRDefault="008112BD" w:rsidP="008112BD">
      <w:pPr>
        <w:pStyle w:val="Amain"/>
      </w:pPr>
      <w:r>
        <w:tab/>
        <w:t>(5)</w:t>
      </w:r>
      <w:r>
        <w:tab/>
        <w:t>If a direction is given during the enforcement hearing, the court may adjourn the hearing to allow the parties to meet.</w:t>
      </w:r>
    </w:p>
    <w:p w14:paraId="0FA4897B" w14:textId="5510669E" w:rsidR="008112BD" w:rsidRDefault="008112BD" w:rsidP="008112BD">
      <w:pPr>
        <w:pStyle w:val="Amain"/>
      </w:pPr>
      <w:r>
        <w:tab/>
        <w:t>(6)</w:t>
      </w:r>
      <w:r>
        <w:tab/>
        <w:t xml:space="preserve">The </w:t>
      </w:r>
      <w:hyperlink r:id="rId182" w:tooltip="A2001-14" w:history="1">
        <w:r w:rsidRPr="00FE0788">
          <w:rPr>
            <w:rStyle w:val="charCitHyperlinkAbbrev"/>
          </w:rPr>
          <w:t>Legislation Act</w:t>
        </w:r>
      </w:hyperlink>
      <w:r>
        <w:t>, part 19.3 (Appointments) does not apply to the appointment of a facilitator under this rule.</w:t>
      </w:r>
    </w:p>
    <w:p w14:paraId="363AFCBD" w14:textId="77777777"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14:paraId="0FFEBC53" w14:textId="77777777" w:rsidR="008112BD" w:rsidRDefault="008112BD" w:rsidP="008112BD">
      <w:pPr>
        <w:pStyle w:val="Amain"/>
      </w:pPr>
      <w:r>
        <w:tab/>
        <w:t>(8)</w:t>
      </w:r>
      <w:r>
        <w:tab/>
        <w:t>Subrule (7) does not limit any other power of the court in relation to the contravention.</w:t>
      </w:r>
    </w:p>
    <w:p w14:paraId="3A8B7194" w14:textId="77777777" w:rsidR="008112BD" w:rsidRDefault="008112BD" w:rsidP="008112BD">
      <w:pPr>
        <w:pStyle w:val="AH5Sec"/>
      </w:pPr>
      <w:bookmarkStart w:id="669" w:name="_Toc185514285"/>
      <w:r w:rsidRPr="00C8328B">
        <w:rPr>
          <w:rStyle w:val="CharSectNo"/>
        </w:rPr>
        <w:t>2109</w:t>
      </w:r>
      <w:r>
        <w:tab/>
        <w:t>Enforcement hearing—examination</w:t>
      </w:r>
      <w:bookmarkEnd w:id="669"/>
    </w:p>
    <w:p w14:paraId="129101CD" w14:textId="77777777" w:rsidR="008112BD" w:rsidRDefault="008112BD" w:rsidP="008112BD">
      <w:pPr>
        <w:pStyle w:val="Amain"/>
        <w:keepNext/>
      </w:pPr>
      <w:r>
        <w:tab/>
        <w:t>(1)</w:t>
      </w:r>
      <w:r>
        <w:tab/>
        <w:t>This rule applies if a person—</w:t>
      </w:r>
    </w:p>
    <w:p w14:paraId="5FFED071" w14:textId="77777777"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14:paraId="4D8F5704" w14:textId="77777777" w:rsidR="008112BD" w:rsidRDefault="008112BD" w:rsidP="008112BD">
      <w:pPr>
        <w:pStyle w:val="Apara"/>
      </w:pPr>
      <w:r>
        <w:lastRenderedPageBreak/>
        <w:tab/>
        <w:t>(b)</w:t>
      </w:r>
      <w:r>
        <w:tab/>
        <w:t>is brought before the court on an enforcement hearing warrant; or</w:t>
      </w:r>
    </w:p>
    <w:p w14:paraId="0F0A17BD" w14:textId="77777777" w:rsidR="008112BD" w:rsidRDefault="008112BD" w:rsidP="008112BD">
      <w:pPr>
        <w:pStyle w:val="Apara"/>
      </w:pPr>
      <w:r>
        <w:tab/>
        <w:t>(c)</w:t>
      </w:r>
      <w:r>
        <w:tab/>
        <w:t>otherwise attends by arrangement before the court.</w:t>
      </w:r>
    </w:p>
    <w:p w14:paraId="113D54A0" w14:textId="77777777" w:rsidR="008112BD" w:rsidRDefault="008112BD" w:rsidP="008112BD">
      <w:pPr>
        <w:pStyle w:val="Amain"/>
        <w:keepNext/>
      </w:pPr>
      <w:r>
        <w:tab/>
        <w:t>(2)</w:t>
      </w:r>
      <w:r>
        <w:tab/>
        <w:t>The person may—</w:t>
      </w:r>
    </w:p>
    <w:p w14:paraId="78E442FB" w14:textId="77777777" w:rsidR="008112BD" w:rsidRDefault="008112BD" w:rsidP="008112BD">
      <w:pPr>
        <w:pStyle w:val="Apara"/>
      </w:pPr>
      <w:r>
        <w:tab/>
        <w:t>(a)</w:t>
      </w:r>
      <w:r>
        <w:tab/>
        <w:t>be examined orally on oath about—</w:t>
      </w:r>
    </w:p>
    <w:p w14:paraId="67EA949D" w14:textId="77777777" w:rsidR="008112BD" w:rsidRDefault="008112BD" w:rsidP="008112BD">
      <w:pPr>
        <w:pStyle w:val="Asubpara"/>
      </w:pPr>
      <w:r>
        <w:tab/>
        <w:t>(i)</w:t>
      </w:r>
      <w:r>
        <w:tab/>
        <w:t>the assets, liabilities, expenses and income of the enforcement debtor; and</w:t>
      </w:r>
    </w:p>
    <w:p w14:paraId="2D542793" w14:textId="77777777" w:rsidR="008112BD" w:rsidRDefault="008112BD" w:rsidP="008112BD">
      <w:pPr>
        <w:pStyle w:val="Asubpara"/>
      </w:pPr>
      <w:r>
        <w:tab/>
        <w:t>(ii)</w:t>
      </w:r>
      <w:r>
        <w:tab/>
        <w:t>any other means the debtor has of satisfying the debt; and</w:t>
      </w:r>
    </w:p>
    <w:p w14:paraId="107EF265" w14:textId="77777777" w:rsidR="008112BD" w:rsidRDefault="008112BD" w:rsidP="008112BD">
      <w:pPr>
        <w:pStyle w:val="Asubpara"/>
      </w:pPr>
      <w:r>
        <w:tab/>
        <w:t>(iii)</w:t>
      </w:r>
      <w:r>
        <w:tab/>
        <w:t>the debtor’s financial circumstances generally; and</w:t>
      </w:r>
    </w:p>
    <w:p w14:paraId="7125C4CF" w14:textId="658434F2"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83" w:tooltip="A2001-14" w:history="1">
        <w:r w:rsidRPr="00FE0788">
          <w:rPr>
            <w:rStyle w:val="charCitHyperlinkAbbrev"/>
          </w:rPr>
          <w:t>Legislation Act</w:t>
        </w:r>
      </w:hyperlink>
      <w:r>
        <w:t>, dict, pt 1).</w:t>
      </w:r>
    </w:p>
    <w:p w14:paraId="50FC3B46" w14:textId="77777777" w:rsidR="008112BD" w:rsidRDefault="008112BD" w:rsidP="008112BD">
      <w:pPr>
        <w:pStyle w:val="Apara"/>
      </w:pPr>
      <w:r>
        <w:tab/>
        <w:t>(b)</w:t>
      </w:r>
      <w:r>
        <w:tab/>
        <w:t>be required, by order, to produce any document substantiating anything relevant to—</w:t>
      </w:r>
    </w:p>
    <w:p w14:paraId="777AD2DB" w14:textId="77777777" w:rsidR="008112BD" w:rsidRDefault="008112BD" w:rsidP="008112BD">
      <w:pPr>
        <w:pStyle w:val="Asubpara"/>
      </w:pPr>
      <w:r>
        <w:tab/>
        <w:t>(i)</w:t>
      </w:r>
      <w:r>
        <w:tab/>
        <w:t>the assets, liabilities, expenses and income of the enforcement debtor; and</w:t>
      </w:r>
    </w:p>
    <w:p w14:paraId="3DF80103" w14:textId="77777777" w:rsidR="008112BD" w:rsidRDefault="008112BD" w:rsidP="008112BD">
      <w:pPr>
        <w:pStyle w:val="Asubpara"/>
      </w:pPr>
      <w:r>
        <w:tab/>
        <w:t>(ii)</w:t>
      </w:r>
      <w:r>
        <w:tab/>
        <w:t>any other means the debtor has of satisfying the debt; and</w:t>
      </w:r>
    </w:p>
    <w:p w14:paraId="6E4BA7D4" w14:textId="77777777" w:rsidR="008112BD" w:rsidRDefault="008112BD" w:rsidP="008112BD">
      <w:pPr>
        <w:pStyle w:val="Asubpara"/>
      </w:pPr>
      <w:r>
        <w:tab/>
        <w:t>(iii)</w:t>
      </w:r>
      <w:r>
        <w:tab/>
        <w:t>the debtor’s financial circumstances generally.</w:t>
      </w:r>
    </w:p>
    <w:p w14:paraId="677264C0" w14:textId="77777777" w:rsidR="008112BD" w:rsidRDefault="008112BD" w:rsidP="008112BD">
      <w:pPr>
        <w:pStyle w:val="Amain"/>
        <w:keepNext/>
      </w:pPr>
      <w:r>
        <w:tab/>
        <w:t>(3)</w:t>
      </w:r>
      <w:r>
        <w:tab/>
        <w:t>Unless the court otherwise orders, the examination may be conducted by the court and the enforcement creditor.</w:t>
      </w:r>
    </w:p>
    <w:p w14:paraId="2A9019F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14:paraId="7540774F" w14:textId="77777777" w:rsidR="008112BD" w:rsidRDefault="008112BD" w:rsidP="008112BD">
      <w:pPr>
        <w:pStyle w:val="Amain"/>
      </w:pPr>
      <w:r>
        <w:tab/>
        <w:t>(4)</w:t>
      </w:r>
      <w:r>
        <w:tab/>
        <w:t>The examination may be conducted in open court or in the absence of the public, as the court directs.</w:t>
      </w:r>
    </w:p>
    <w:p w14:paraId="452E1174" w14:textId="77777777"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14:paraId="13605D72" w14:textId="77777777"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14:paraId="72ED8AC5" w14:textId="77777777" w:rsidR="008112BD" w:rsidRDefault="008112BD" w:rsidP="008112BD">
      <w:pPr>
        <w:pStyle w:val="Apara"/>
      </w:pPr>
      <w:r>
        <w:tab/>
        <w:t>(a)</w:t>
      </w:r>
      <w:r>
        <w:tab/>
        <w:t>set aside the order for the enforcement hearing; or</w:t>
      </w:r>
    </w:p>
    <w:p w14:paraId="1DF195CA" w14:textId="77777777" w:rsidR="008112BD" w:rsidRDefault="008112BD" w:rsidP="008112BD">
      <w:pPr>
        <w:pStyle w:val="Apara"/>
      </w:pPr>
      <w:r>
        <w:tab/>
        <w:t>(b)</w:t>
      </w:r>
      <w:r>
        <w:tab/>
        <w:t>conduct the examination in the absence of the enforcement creditor.</w:t>
      </w:r>
    </w:p>
    <w:p w14:paraId="580C215A" w14:textId="77777777" w:rsidR="008112BD" w:rsidRDefault="008112BD" w:rsidP="008112BD">
      <w:pPr>
        <w:pStyle w:val="Amain"/>
      </w:pPr>
      <w:r>
        <w:tab/>
        <w:t>(7)</w:t>
      </w:r>
      <w:r>
        <w:tab/>
        <w:t>To remove any doubt, if subrule (6) applies, the court may make an order that it could make if that subrule did not apply.</w:t>
      </w:r>
    </w:p>
    <w:p w14:paraId="646851A9" w14:textId="77777777"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1111A3AD" w14:textId="77777777" w:rsidR="008112BD" w:rsidRDefault="008112BD" w:rsidP="008112BD">
      <w:pPr>
        <w:pStyle w:val="AH5Sec"/>
      </w:pPr>
      <w:bookmarkStart w:id="670" w:name="_Toc185514286"/>
      <w:r w:rsidRPr="00C8328B">
        <w:rPr>
          <w:rStyle w:val="CharSectNo"/>
        </w:rPr>
        <w:t>2110</w:t>
      </w:r>
      <w:r>
        <w:tab/>
        <w:t>Enforcement hearing—enforcement hearing warrant issue</w:t>
      </w:r>
      <w:bookmarkEnd w:id="670"/>
    </w:p>
    <w:p w14:paraId="6CC0F12C" w14:textId="77777777" w:rsidR="008112BD" w:rsidRDefault="008112BD" w:rsidP="008112BD">
      <w:pPr>
        <w:pStyle w:val="Amain"/>
      </w:pPr>
      <w:r>
        <w:tab/>
        <w:t>(1)</w:t>
      </w:r>
      <w:r>
        <w:tab/>
        <w:t>This rule applies if—</w:t>
      </w:r>
    </w:p>
    <w:p w14:paraId="40F11035" w14:textId="77777777" w:rsidR="008112BD" w:rsidRDefault="008112BD" w:rsidP="008112BD">
      <w:pPr>
        <w:pStyle w:val="Apara"/>
      </w:pPr>
      <w:r>
        <w:tab/>
        <w:t>(a)</w:t>
      </w:r>
      <w:r>
        <w:tab/>
        <w:t>a person is required—</w:t>
      </w:r>
    </w:p>
    <w:p w14:paraId="7B079864" w14:textId="77777777" w:rsidR="008112BD" w:rsidRDefault="008112BD" w:rsidP="008112BD">
      <w:pPr>
        <w:pStyle w:val="Asubpara"/>
      </w:pPr>
      <w:r>
        <w:tab/>
        <w:t>(i)</w:t>
      </w:r>
      <w:r>
        <w:tab/>
        <w:t>to attend an enforcement hearing by an enforcement hearing subpoena or a subpoena issued under rule 2107 (Enforcement hearing—subpoena to other person); or</w:t>
      </w:r>
    </w:p>
    <w:p w14:paraId="6D6E3E0B" w14:textId="77777777" w:rsidR="008112BD" w:rsidRDefault="008112BD" w:rsidP="008112BD">
      <w:pPr>
        <w:pStyle w:val="Asubpara"/>
      </w:pPr>
      <w:r>
        <w:tab/>
        <w:t>(ii)</w:t>
      </w:r>
      <w:r>
        <w:tab/>
        <w:t>to attend an adjourned enforcement hearing (or further adjourned enforcement hearing) by an order under rule 2109 (5) (Enforcement hearing—examination); and</w:t>
      </w:r>
    </w:p>
    <w:p w14:paraId="394F26CE" w14:textId="77777777" w:rsidR="008112BD" w:rsidRDefault="008112BD" w:rsidP="008112BD">
      <w:pPr>
        <w:pStyle w:val="Apara"/>
      </w:pPr>
      <w:r>
        <w:tab/>
        <w:t>(b)</w:t>
      </w:r>
      <w:r>
        <w:tab/>
        <w:t>the person fails to attend the hearing as required by the order.</w:t>
      </w:r>
    </w:p>
    <w:p w14:paraId="2C907B96" w14:textId="77777777"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14:paraId="3DE1FFA9" w14:textId="77777777"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14:paraId="2219CBE4" w14:textId="77777777" w:rsidR="008112BD" w:rsidRDefault="008112BD" w:rsidP="008112BD">
      <w:pPr>
        <w:pStyle w:val="Apara"/>
        <w:keepNext/>
      </w:pPr>
      <w:r>
        <w:tab/>
        <w:t>(b)</w:t>
      </w:r>
      <w:r>
        <w:tab/>
        <w:t>considers that the person does not have a reasonable excuse for not attending the hearing.</w:t>
      </w:r>
    </w:p>
    <w:p w14:paraId="52AFA6F8" w14:textId="6659E2EA" w:rsidR="008112BD" w:rsidRDefault="008112BD" w:rsidP="008112BD">
      <w:pPr>
        <w:pStyle w:val="aNote"/>
      </w:pPr>
      <w:r w:rsidRPr="00FE0788">
        <w:rPr>
          <w:rStyle w:val="charItals"/>
        </w:rPr>
        <w:t>Note</w:t>
      </w:r>
      <w:r>
        <w:tab/>
        <w:t xml:space="preserve">See approved form 2.53 (Enforcement hearing warrant) </w:t>
      </w:r>
      <w:hyperlink r:id="rId184" w:history="1">
        <w:r w:rsidRPr="009D1718">
          <w:rPr>
            <w:rStyle w:val="charCitHyperlinkAbbrev"/>
          </w:rPr>
          <w:t>AF2006-298</w:t>
        </w:r>
      </w:hyperlink>
      <w:r>
        <w:t>.</w:t>
      </w:r>
    </w:p>
    <w:p w14:paraId="37A55A53" w14:textId="77777777" w:rsidR="008112BD" w:rsidRDefault="008112BD" w:rsidP="008112BD">
      <w:pPr>
        <w:pStyle w:val="Amain"/>
        <w:keepNext/>
      </w:pPr>
      <w:r>
        <w:tab/>
        <w:t>(3)</w:t>
      </w:r>
      <w:r>
        <w:tab/>
        <w:t>The court may issue the enforcement hearing warrant on application by the enforcement creditor or on its own initiative.</w:t>
      </w:r>
    </w:p>
    <w:p w14:paraId="5D870103" w14:textId="77777777" w:rsidR="008112BD" w:rsidRDefault="008112BD" w:rsidP="008112BD">
      <w:pPr>
        <w:pStyle w:val="aNote"/>
      </w:pPr>
      <w:r w:rsidRPr="00FE0788">
        <w:rPr>
          <w:rStyle w:val="charItals"/>
        </w:rPr>
        <w:t>Note</w:t>
      </w:r>
      <w:r>
        <w:tab/>
        <w:t>Pt 6.2 (Applications in proceedings) applies to an application for an enforcement hearing warrant.</w:t>
      </w:r>
    </w:p>
    <w:p w14:paraId="1F3EA848" w14:textId="77777777" w:rsidR="008112BD" w:rsidRDefault="008112BD" w:rsidP="008112BD">
      <w:pPr>
        <w:pStyle w:val="Amain"/>
      </w:pPr>
      <w:r>
        <w:tab/>
        <w:t>(4)</w:t>
      </w:r>
      <w:r>
        <w:tab/>
        <w:t>However, the enforcement hearing warrant may only be issued by the judicial officer conducting the enforcement hearing.</w:t>
      </w:r>
    </w:p>
    <w:p w14:paraId="41CAA3FA" w14:textId="77777777"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14:paraId="16019526" w14:textId="721663F6" w:rsidR="008112BD" w:rsidRDefault="008112BD" w:rsidP="008112BD">
      <w:pPr>
        <w:pStyle w:val="Amain"/>
      </w:pPr>
      <w:r>
        <w:tab/>
        <w:t>(6)</w:t>
      </w:r>
      <w:r>
        <w:tab/>
        <w:t xml:space="preserve">For the </w:t>
      </w:r>
      <w:hyperlink r:id="rId185"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14:paraId="55C398C9" w14:textId="77777777" w:rsidR="008112BD" w:rsidRDefault="008112BD" w:rsidP="008112BD">
      <w:pPr>
        <w:pStyle w:val="AH5Sec"/>
      </w:pPr>
      <w:bookmarkStart w:id="671" w:name="_Toc185514287"/>
      <w:r w:rsidRPr="00C8328B">
        <w:rPr>
          <w:rStyle w:val="CharSectNo"/>
        </w:rPr>
        <w:t>2111</w:t>
      </w:r>
      <w:r>
        <w:tab/>
        <w:t>Enforcement hearing—enforcement hearing warrant contents etc</w:t>
      </w:r>
      <w:bookmarkEnd w:id="671"/>
    </w:p>
    <w:p w14:paraId="4BC949E2" w14:textId="77777777" w:rsidR="008112BD" w:rsidRDefault="008112BD" w:rsidP="008112BD">
      <w:pPr>
        <w:pStyle w:val="Amain"/>
        <w:keepNext/>
      </w:pPr>
      <w:r>
        <w:tab/>
        <w:t>(1)</w:t>
      </w:r>
      <w:r>
        <w:tab/>
        <w:t>An enforcement hearing warrant must—</w:t>
      </w:r>
    </w:p>
    <w:p w14:paraId="04244E67" w14:textId="77777777" w:rsidR="008112BD" w:rsidRDefault="008112BD" w:rsidP="008112BD">
      <w:pPr>
        <w:pStyle w:val="Apara"/>
      </w:pPr>
      <w:r>
        <w:tab/>
        <w:t>(a)</w:t>
      </w:r>
      <w:r>
        <w:tab/>
        <w:t>name, or otherwise describe, the person whose apprehension is required by the warrant; and</w:t>
      </w:r>
    </w:p>
    <w:p w14:paraId="7FE07D16" w14:textId="77777777" w:rsidR="008112BD" w:rsidRDefault="008112BD" w:rsidP="008112BD">
      <w:pPr>
        <w:pStyle w:val="Apara"/>
      </w:pPr>
      <w:r>
        <w:lastRenderedPageBreak/>
        <w:tab/>
        <w:t>(b)</w:t>
      </w:r>
      <w:r>
        <w:tab/>
        <w:t>state briefly the reason for its issue; and</w:t>
      </w:r>
    </w:p>
    <w:p w14:paraId="622BB39F" w14:textId="77777777"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14:paraId="4196B3B4" w14:textId="77777777" w:rsidR="008112BD" w:rsidRDefault="008112BD" w:rsidP="008112BD">
      <w:pPr>
        <w:pStyle w:val="Apara"/>
      </w:pPr>
      <w:r>
        <w:tab/>
        <w:t>(d)</w:t>
      </w:r>
      <w:r>
        <w:tab/>
        <w:t>be expressed to end not later than 3 months after the day it is issued.</w:t>
      </w:r>
    </w:p>
    <w:p w14:paraId="4D78CB2B" w14:textId="77777777"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14:paraId="2E17151A" w14:textId="77777777" w:rsidR="008112BD" w:rsidRDefault="008112BD" w:rsidP="008112BD">
      <w:pPr>
        <w:pStyle w:val="Amain"/>
      </w:pPr>
      <w:r>
        <w:tab/>
        <w:t>(3)</w:t>
      </w:r>
      <w:r>
        <w:tab/>
        <w:t>The enforcement officer may ask a police officer to help in the exercise of the enforcement officer’s powers under the enforcement hearing warrant.</w:t>
      </w:r>
    </w:p>
    <w:p w14:paraId="4691502D"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4FBD9DFF" w14:textId="77777777"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14:paraId="38631CB3" w14:textId="77777777" w:rsidR="008112BD" w:rsidRDefault="008112BD" w:rsidP="008112BD">
      <w:pPr>
        <w:pStyle w:val="Amain"/>
      </w:pPr>
      <w:r>
        <w:tab/>
        <w:t>(6)</w:t>
      </w:r>
      <w:r>
        <w:tab/>
        <w:t>An enforcement hearing warrant continues in force until—</w:t>
      </w:r>
    </w:p>
    <w:p w14:paraId="4D50C96E" w14:textId="77777777" w:rsidR="008112BD" w:rsidRDefault="008112BD" w:rsidP="008112BD">
      <w:pPr>
        <w:pStyle w:val="Apara"/>
      </w:pPr>
      <w:r>
        <w:tab/>
        <w:t>(a)</w:t>
      </w:r>
      <w:r>
        <w:tab/>
        <w:t>the warrant is executed; or</w:t>
      </w:r>
    </w:p>
    <w:p w14:paraId="2F4C68F6" w14:textId="77777777" w:rsidR="008112BD" w:rsidRDefault="008112BD" w:rsidP="008112BD">
      <w:pPr>
        <w:pStyle w:val="Apara"/>
      </w:pPr>
      <w:r>
        <w:tab/>
        <w:t>(b)</w:t>
      </w:r>
      <w:r>
        <w:tab/>
        <w:t>the warrant is set aside by the court and the enforcement officer is told that the warrant has been set aside; or</w:t>
      </w:r>
    </w:p>
    <w:p w14:paraId="216383B4" w14:textId="77777777" w:rsidR="008112BD" w:rsidRDefault="008112BD" w:rsidP="008112BD">
      <w:pPr>
        <w:pStyle w:val="Apara"/>
      </w:pPr>
      <w:r>
        <w:tab/>
        <w:t>(c)</w:t>
      </w:r>
      <w:r>
        <w:tab/>
        <w:t>the end of 3 months after the day it is issued.</w:t>
      </w:r>
    </w:p>
    <w:p w14:paraId="01C05E2C" w14:textId="77777777" w:rsidR="008112BD" w:rsidRDefault="008112BD" w:rsidP="008112BD">
      <w:pPr>
        <w:pStyle w:val="Amain"/>
      </w:pPr>
      <w:r>
        <w:tab/>
        <w:t>(7)</w:t>
      </w:r>
      <w:r>
        <w:tab/>
        <w:t>For subrule (6) (a), a warrant is executed when—</w:t>
      </w:r>
    </w:p>
    <w:p w14:paraId="4BE95FED" w14:textId="77777777" w:rsidR="008112BD" w:rsidRDefault="008112BD" w:rsidP="008112BD">
      <w:pPr>
        <w:pStyle w:val="Apara"/>
      </w:pPr>
      <w:r>
        <w:tab/>
        <w:t>(a)</w:t>
      </w:r>
      <w:r>
        <w:tab/>
        <w:t>the person whose apprehension is required has been examined at an enforcement hearing under rule 2109; or</w:t>
      </w:r>
    </w:p>
    <w:p w14:paraId="5311EBCE" w14:textId="77777777" w:rsidR="008112BD" w:rsidRDefault="008112BD" w:rsidP="00F32DEB">
      <w:pPr>
        <w:pStyle w:val="Apara"/>
        <w:keepNext/>
      </w:pPr>
      <w:r>
        <w:lastRenderedPageBreak/>
        <w:tab/>
        <w:t>(b)</w:t>
      </w:r>
      <w:r>
        <w:tab/>
        <w:t>the examination is adjourned to another day; or</w:t>
      </w:r>
    </w:p>
    <w:p w14:paraId="71900D1B" w14:textId="77777777" w:rsidR="008112BD" w:rsidRDefault="008112BD" w:rsidP="008112BD">
      <w:pPr>
        <w:pStyle w:val="Apara"/>
      </w:pPr>
      <w:r>
        <w:tab/>
        <w:t>(c)</w:t>
      </w:r>
      <w:r>
        <w:tab/>
        <w:t>the order for the enforcement hearing is set aside.</w:t>
      </w:r>
    </w:p>
    <w:p w14:paraId="3E53CBC1" w14:textId="77777777" w:rsidR="008112BD" w:rsidRDefault="008112BD" w:rsidP="008112BD">
      <w:pPr>
        <w:pStyle w:val="AH5Sec"/>
      </w:pPr>
      <w:bookmarkStart w:id="672" w:name="_Toc185514288"/>
      <w:r w:rsidRPr="00C8328B">
        <w:rPr>
          <w:rStyle w:val="CharSectNo"/>
        </w:rPr>
        <w:t>2112</w:t>
      </w:r>
      <w:r>
        <w:tab/>
        <w:t>Enforcement hearing—orders</w:t>
      </w:r>
      <w:bookmarkEnd w:id="672"/>
    </w:p>
    <w:p w14:paraId="2FBC8A33" w14:textId="77777777" w:rsidR="008112BD" w:rsidRDefault="008112BD" w:rsidP="008112BD">
      <w:pPr>
        <w:pStyle w:val="Amain"/>
      </w:pPr>
      <w:r>
        <w:tab/>
        <w:t>(1)</w:t>
      </w:r>
      <w:r>
        <w:tab/>
        <w:t>At the enforcement hearing, the court may—</w:t>
      </w:r>
    </w:p>
    <w:p w14:paraId="6F0E8D42" w14:textId="77777777" w:rsidR="008112BD" w:rsidRDefault="008112BD" w:rsidP="008112BD">
      <w:pPr>
        <w:pStyle w:val="Apara"/>
      </w:pPr>
      <w:r>
        <w:tab/>
        <w:t>(a)</w:t>
      </w:r>
      <w:r>
        <w:tab/>
        <w:t>issue an enforcement hearing warrant; or</w:t>
      </w:r>
    </w:p>
    <w:p w14:paraId="1C4E08CD" w14:textId="77777777" w:rsidR="008112BD" w:rsidRDefault="008112BD" w:rsidP="008112BD">
      <w:pPr>
        <w:pStyle w:val="aNotepar"/>
      </w:pPr>
      <w:r w:rsidRPr="00FE0788">
        <w:rPr>
          <w:rStyle w:val="charItals"/>
        </w:rPr>
        <w:t>Note</w:t>
      </w:r>
      <w:r w:rsidRPr="00FE0788">
        <w:rPr>
          <w:rStyle w:val="charItals"/>
        </w:rPr>
        <w:tab/>
      </w:r>
      <w:r>
        <w:t>Rule 2110 (2) deals with the issue of a warrant.</w:t>
      </w:r>
    </w:p>
    <w:p w14:paraId="78B462A2" w14:textId="77777777" w:rsidR="008112BD" w:rsidRDefault="008112BD" w:rsidP="008112BD">
      <w:pPr>
        <w:pStyle w:val="Apara"/>
      </w:pPr>
      <w:r>
        <w:tab/>
        <w:t>(b)</w:t>
      </w:r>
      <w:r>
        <w:tab/>
        <w:t>make an instalment order for the order debt; or</w:t>
      </w:r>
    </w:p>
    <w:p w14:paraId="3B38C99A" w14:textId="77777777"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14:paraId="0C9AF064" w14:textId="77777777" w:rsidR="008112BD" w:rsidRDefault="008112BD" w:rsidP="008112BD">
      <w:pPr>
        <w:pStyle w:val="Apara"/>
      </w:pPr>
      <w:r>
        <w:tab/>
        <w:t>(c)</w:t>
      </w:r>
      <w:r>
        <w:tab/>
        <w:t>make an order amending, suspending or setting aside an instalment order made for the order debt; or</w:t>
      </w:r>
    </w:p>
    <w:p w14:paraId="2F04DED5" w14:textId="77777777"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14:paraId="68E55530" w14:textId="77777777" w:rsidR="008112BD" w:rsidRDefault="008112BD" w:rsidP="008112BD">
      <w:pPr>
        <w:pStyle w:val="Apara"/>
        <w:keepNext/>
      </w:pPr>
      <w:r>
        <w:tab/>
        <w:t>(d)</w:t>
      </w:r>
      <w:r>
        <w:tab/>
        <w:t>make an earnings redirection order; or</w:t>
      </w:r>
    </w:p>
    <w:p w14:paraId="4101FB0A" w14:textId="77777777"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14:paraId="040877FE" w14:textId="77777777" w:rsidR="008112BD" w:rsidRDefault="008112BD" w:rsidP="008112BD">
      <w:pPr>
        <w:pStyle w:val="Apara"/>
      </w:pPr>
      <w:r>
        <w:tab/>
        <w:t>(e)</w:t>
      </w:r>
      <w:r>
        <w:tab/>
        <w:t>make an order amending, suspending or setting aside an earnings redirection order; or</w:t>
      </w:r>
    </w:p>
    <w:p w14:paraId="53EFF814" w14:textId="77777777"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14:paraId="380D08EF" w14:textId="77777777" w:rsidR="008112BD" w:rsidRDefault="008112BD" w:rsidP="008112BD">
      <w:pPr>
        <w:pStyle w:val="Apara"/>
        <w:keepNext/>
      </w:pPr>
      <w:r>
        <w:tab/>
        <w:t>(f)</w:t>
      </w:r>
      <w:r>
        <w:tab/>
        <w:t>make an order staying the enforcement of the money order; or</w:t>
      </w:r>
    </w:p>
    <w:p w14:paraId="671C815A" w14:textId="77777777"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14:paraId="4B9B534E" w14:textId="77777777" w:rsidR="008112BD" w:rsidRDefault="008112BD" w:rsidP="008112BD">
      <w:pPr>
        <w:pStyle w:val="Apara"/>
      </w:pPr>
      <w:r>
        <w:tab/>
        <w:t>(g)</w:t>
      </w:r>
      <w:r>
        <w:tab/>
        <w:t>make another order about the enforcement of the order; or</w:t>
      </w:r>
    </w:p>
    <w:p w14:paraId="20D7A99C" w14:textId="77777777"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14:paraId="0C928A1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14:paraId="6CC81B3F" w14:textId="77777777"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53CA3500" w14:textId="77777777" w:rsidR="008112BD" w:rsidRDefault="008112BD" w:rsidP="008112BD">
      <w:pPr>
        <w:pStyle w:val="Amain"/>
      </w:pPr>
      <w:r>
        <w:tab/>
        <w:t>(3)</w:t>
      </w:r>
      <w:r>
        <w:tab/>
        <w:t>However, the court must not—</w:t>
      </w:r>
    </w:p>
    <w:p w14:paraId="0F60173F" w14:textId="77777777" w:rsidR="008112BD" w:rsidRDefault="008112BD" w:rsidP="008112BD">
      <w:pPr>
        <w:pStyle w:val="Apara"/>
      </w:pPr>
      <w:r>
        <w:tab/>
        <w:t>(a)</w:t>
      </w:r>
      <w:r>
        <w:tab/>
        <w:t>make an instalment order at the enforcement hearing unless the enforcement debtor—</w:t>
      </w:r>
    </w:p>
    <w:p w14:paraId="746881FB" w14:textId="77777777" w:rsidR="008112BD" w:rsidRDefault="008112BD" w:rsidP="008112BD">
      <w:pPr>
        <w:pStyle w:val="Asubpara"/>
      </w:pPr>
      <w:r>
        <w:tab/>
        <w:t>(i)</w:t>
      </w:r>
      <w:r>
        <w:tab/>
        <w:t>had applied for the order under rule 2151; or</w:t>
      </w:r>
    </w:p>
    <w:p w14:paraId="684F7FEE" w14:textId="77777777" w:rsidR="008112BD" w:rsidRDefault="008112BD" w:rsidP="008112BD">
      <w:pPr>
        <w:pStyle w:val="Asubpara"/>
      </w:pPr>
      <w:r>
        <w:tab/>
        <w:t>(ii)</w:t>
      </w:r>
      <w:r>
        <w:tab/>
        <w:t>consents to the making of the order; or</w:t>
      </w:r>
    </w:p>
    <w:p w14:paraId="4CEBB024" w14:textId="77777777" w:rsidR="008112BD" w:rsidRDefault="008112BD" w:rsidP="008112BD">
      <w:pPr>
        <w:pStyle w:val="Apara"/>
        <w:keepNext/>
      </w:pPr>
      <w:r>
        <w:tab/>
        <w:t>(b)</w:t>
      </w:r>
      <w:r>
        <w:tab/>
        <w:t>amend an instalment order at the enforcement hearing unless the enforcement debtor—</w:t>
      </w:r>
    </w:p>
    <w:p w14:paraId="08D13763" w14:textId="77777777" w:rsidR="008112BD" w:rsidRDefault="008112BD" w:rsidP="008112BD">
      <w:pPr>
        <w:pStyle w:val="Asubpara"/>
        <w:keepNext/>
      </w:pPr>
      <w:r>
        <w:tab/>
        <w:t>(i)</w:t>
      </w:r>
      <w:r>
        <w:tab/>
        <w:t>had applied for the amendment under rule 2160; or</w:t>
      </w:r>
    </w:p>
    <w:p w14:paraId="5D46906D" w14:textId="77777777" w:rsidR="008112BD" w:rsidRDefault="008112BD" w:rsidP="008112BD">
      <w:pPr>
        <w:pStyle w:val="Asubpara"/>
      </w:pPr>
      <w:r>
        <w:tab/>
        <w:t>(ii)</w:t>
      </w:r>
      <w:r>
        <w:tab/>
        <w:t>consents to the amendment.</w:t>
      </w:r>
    </w:p>
    <w:p w14:paraId="771FA007" w14:textId="77777777"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14:paraId="134B251B" w14:textId="77777777" w:rsidR="008112BD" w:rsidRDefault="008112BD" w:rsidP="008112BD">
      <w:pPr>
        <w:pStyle w:val="Amain"/>
        <w:keepNext/>
      </w:pPr>
      <w:r>
        <w:tab/>
        <w:t>(5)</w:t>
      </w:r>
      <w:r>
        <w:tab/>
        <w:t>Also, unless the court otherwise orders, the costs of the enforcement hearing are costs of enforcement of the order.</w:t>
      </w:r>
    </w:p>
    <w:p w14:paraId="44DB3A53"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295960DD" w14:textId="77777777" w:rsidR="008112BD" w:rsidRPr="00C8328B" w:rsidRDefault="008112BD" w:rsidP="008112BD">
      <w:pPr>
        <w:pStyle w:val="AH3Div"/>
      </w:pPr>
      <w:bookmarkStart w:id="673" w:name="_Toc185514289"/>
      <w:r w:rsidRPr="00C8328B">
        <w:rPr>
          <w:rStyle w:val="CharDivNo"/>
        </w:rPr>
        <w:lastRenderedPageBreak/>
        <w:t>Division 2.18.4</w:t>
      </w:r>
      <w:r>
        <w:tab/>
      </w:r>
      <w:r w:rsidRPr="00C8328B">
        <w:rPr>
          <w:rStyle w:val="CharDivText"/>
        </w:rPr>
        <w:t>Enforcement of money orders—instalment orders</w:t>
      </w:r>
      <w:bookmarkEnd w:id="673"/>
    </w:p>
    <w:p w14:paraId="64E5C88A" w14:textId="77777777" w:rsidR="008112BD" w:rsidRDefault="008112BD" w:rsidP="008112BD">
      <w:pPr>
        <w:pStyle w:val="AH5Sec"/>
      </w:pPr>
      <w:bookmarkStart w:id="674" w:name="_Toc185514290"/>
      <w:r w:rsidRPr="00C8328B">
        <w:rPr>
          <w:rStyle w:val="CharSectNo"/>
        </w:rPr>
        <w:t>2150</w:t>
      </w:r>
      <w:r>
        <w:tab/>
        <w:t>Instalment order—making</w:t>
      </w:r>
      <w:bookmarkEnd w:id="674"/>
    </w:p>
    <w:p w14:paraId="5E4B3032" w14:textId="77777777"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14:paraId="0584D4BF" w14:textId="77777777" w:rsidR="008112BD" w:rsidRDefault="008112BD" w:rsidP="008112BD">
      <w:pPr>
        <w:pStyle w:val="Amain"/>
      </w:pPr>
      <w:r>
        <w:tab/>
        <w:t>(2)</w:t>
      </w:r>
      <w:r>
        <w:tab/>
        <w:t>The court may make an instalment order—</w:t>
      </w:r>
    </w:p>
    <w:p w14:paraId="53E24A0D" w14:textId="77777777" w:rsidR="008112BD" w:rsidRDefault="008112BD" w:rsidP="008112BD">
      <w:pPr>
        <w:pStyle w:val="Apara"/>
      </w:pPr>
      <w:r>
        <w:tab/>
        <w:t>(a)</w:t>
      </w:r>
      <w:r>
        <w:tab/>
        <w:t>on application by the enforcement debtor when making the money order; or</w:t>
      </w:r>
    </w:p>
    <w:p w14:paraId="2B3FA413" w14:textId="77777777" w:rsidR="008112BD" w:rsidRDefault="008112BD" w:rsidP="008112BD">
      <w:pPr>
        <w:pStyle w:val="Apara"/>
      </w:pPr>
      <w:r>
        <w:tab/>
        <w:t>(b)</w:t>
      </w:r>
      <w:r>
        <w:tab/>
        <w:t>on application by the enforcement debtor or someone else under rule 2013 (Enforcement—stay) or rule 2051 (Enforcement orders—application to set aside); or</w:t>
      </w:r>
    </w:p>
    <w:p w14:paraId="43862E17" w14:textId="77777777" w:rsidR="008112BD" w:rsidRDefault="008112BD" w:rsidP="008112BD">
      <w:pPr>
        <w:pStyle w:val="Apara"/>
      </w:pPr>
      <w:r>
        <w:tab/>
        <w:t>(c)</w:t>
      </w:r>
      <w:r>
        <w:tab/>
        <w:t>on application by the enforcement debtor under rule 2151 or the enforcement creditor under rule 2153; or</w:t>
      </w:r>
    </w:p>
    <w:p w14:paraId="0DA3033F" w14:textId="77777777" w:rsidR="008112BD" w:rsidRDefault="008112BD" w:rsidP="008112BD">
      <w:pPr>
        <w:pStyle w:val="Apara"/>
      </w:pPr>
      <w:r>
        <w:tab/>
        <w:t>(d)</w:t>
      </w:r>
      <w:r>
        <w:tab/>
        <w:t>on the filing in the court of an instalment order agreement under rule 2157; or</w:t>
      </w:r>
    </w:p>
    <w:p w14:paraId="41C04807" w14:textId="77777777" w:rsidR="008112BD" w:rsidRDefault="008112BD" w:rsidP="008112BD">
      <w:pPr>
        <w:pStyle w:val="Apara"/>
      </w:pPr>
      <w:r>
        <w:tab/>
        <w:t>(e)</w:t>
      </w:r>
      <w:r>
        <w:tab/>
        <w:t>after hearing an application under rule 2314 (Debt redirection order—amending, suspending or setting aside); or</w:t>
      </w:r>
    </w:p>
    <w:p w14:paraId="0897FA9B" w14:textId="77777777" w:rsidR="008112BD" w:rsidRDefault="008112BD" w:rsidP="008112BD">
      <w:pPr>
        <w:pStyle w:val="Apara"/>
        <w:keepNext/>
      </w:pPr>
      <w:r>
        <w:tab/>
        <w:t>(f)</w:t>
      </w:r>
      <w:r>
        <w:tab/>
        <w:t>after hearing an application under rule 2360 (Earnings redirection order—amending, suspending or setting aside).</w:t>
      </w:r>
    </w:p>
    <w:p w14:paraId="4975B96A" w14:textId="77777777" w:rsidR="008112BD" w:rsidRDefault="008112BD" w:rsidP="008112BD">
      <w:pPr>
        <w:pStyle w:val="aNote"/>
      </w:pPr>
      <w:r w:rsidRPr="00FE0788">
        <w:rPr>
          <w:rStyle w:val="charItals"/>
        </w:rPr>
        <w:t>Note</w:t>
      </w:r>
      <w:r>
        <w:tab/>
        <w:t>For the making of an instalment order, see esp—</w:t>
      </w:r>
    </w:p>
    <w:p w14:paraId="4456FEAF" w14:textId="77777777"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14:paraId="58755DFC" w14:textId="77777777"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14:paraId="29A3614B" w14:textId="77777777" w:rsidR="008112BD" w:rsidRDefault="008112BD" w:rsidP="008112BD">
      <w:pPr>
        <w:pStyle w:val="AH5Sec"/>
      </w:pPr>
      <w:bookmarkStart w:id="675" w:name="_Toc185514291"/>
      <w:r w:rsidRPr="00C8328B">
        <w:rPr>
          <w:rStyle w:val="CharSectNo"/>
        </w:rPr>
        <w:t>2151</w:t>
      </w:r>
      <w:r>
        <w:tab/>
        <w:t>Instalment order—application by enforcement debtor</w:t>
      </w:r>
      <w:bookmarkEnd w:id="675"/>
    </w:p>
    <w:p w14:paraId="7BD83E6D" w14:textId="77777777" w:rsidR="008112BD" w:rsidRDefault="008112BD" w:rsidP="008112BD">
      <w:pPr>
        <w:pStyle w:val="Amain"/>
      </w:pPr>
      <w:r>
        <w:tab/>
        <w:t>(1)</w:t>
      </w:r>
      <w:r>
        <w:tab/>
        <w:t>An application by an enforcement debtor for an instalment order is made by filing in the court—</w:t>
      </w:r>
    </w:p>
    <w:p w14:paraId="31DFE70A" w14:textId="77777777" w:rsidR="008112BD" w:rsidRDefault="008112BD" w:rsidP="008112BD">
      <w:pPr>
        <w:pStyle w:val="Apara"/>
      </w:pPr>
      <w:r>
        <w:tab/>
        <w:t>(a)</w:t>
      </w:r>
      <w:r>
        <w:tab/>
        <w:t xml:space="preserve">a sworn statement of the enforcement debtor’s financial position; and </w:t>
      </w:r>
    </w:p>
    <w:p w14:paraId="75AF45D1" w14:textId="77777777" w:rsidR="008112BD" w:rsidRDefault="008112BD" w:rsidP="008112BD">
      <w:pPr>
        <w:pStyle w:val="Apara"/>
        <w:keepNext/>
      </w:pPr>
      <w:r>
        <w:lastRenderedPageBreak/>
        <w:tab/>
        <w:t>(b)</w:t>
      </w:r>
      <w:r>
        <w:tab/>
        <w:t>a draft of the order sought.</w:t>
      </w:r>
    </w:p>
    <w:p w14:paraId="6016654D" w14:textId="5A963856" w:rsidR="008112BD" w:rsidRDefault="008112BD" w:rsidP="008112BD">
      <w:pPr>
        <w:pStyle w:val="aNote"/>
      </w:pPr>
      <w:r w:rsidRPr="00FE0788">
        <w:rPr>
          <w:rStyle w:val="charItals"/>
        </w:rPr>
        <w:t>Note 1</w:t>
      </w:r>
      <w:r>
        <w:tab/>
        <w:t xml:space="preserve">See approved form 2.54 (Instalment order) </w:t>
      </w:r>
      <w:hyperlink r:id="rId186" w:history="1">
        <w:r w:rsidRPr="00E44E15">
          <w:rPr>
            <w:rStyle w:val="charCitHyperlinkAbbrev"/>
          </w:rPr>
          <w:t>AF2006-299</w:t>
        </w:r>
      </w:hyperlink>
      <w:r>
        <w:t>.</w:t>
      </w:r>
    </w:p>
    <w:p w14:paraId="563916E9" w14:textId="77777777"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14:paraId="6730BD9C" w14:textId="77777777"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14:paraId="53E70920" w14:textId="77777777" w:rsidR="008112BD" w:rsidRDefault="008112BD" w:rsidP="008112BD">
      <w:pPr>
        <w:pStyle w:val="Amain"/>
      </w:pPr>
      <w:r>
        <w:tab/>
        <w:t>(2)</w:t>
      </w:r>
      <w:r>
        <w:tab/>
        <w:t>Part 6.2 (Applications in proceedings) does not apply to the application.</w:t>
      </w:r>
    </w:p>
    <w:p w14:paraId="6155E957" w14:textId="77777777" w:rsidR="008112BD" w:rsidRDefault="008112BD" w:rsidP="008112BD">
      <w:pPr>
        <w:pStyle w:val="Amain"/>
      </w:pPr>
      <w:r>
        <w:tab/>
        <w:t>(3)</w:t>
      </w:r>
      <w:r>
        <w:tab/>
        <w:t>The sworn statement and draft order mentioned in subrule (1) need not be served on anyone unless the court otherwise orders on its own initiative.</w:t>
      </w:r>
    </w:p>
    <w:p w14:paraId="37E58AD8" w14:textId="77777777"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14:paraId="7C0C4AF2" w14:textId="77777777" w:rsidR="008112BD" w:rsidRDefault="008112BD" w:rsidP="008112BD">
      <w:pPr>
        <w:pStyle w:val="Amain"/>
      </w:pPr>
      <w:r>
        <w:tab/>
        <w:t>(5)</w:t>
      </w:r>
      <w:r>
        <w:tab/>
        <w:t>To remove any doubt, this rule does not apply to an application by an enforcement debtor for an instalment order made—</w:t>
      </w:r>
    </w:p>
    <w:p w14:paraId="7EA414E1" w14:textId="77777777" w:rsidR="008112BD" w:rsidRDefault="008112BD" w:rsidP="008112BD">
      <w:pPr>
        <w:pStyle w:val="Apara"/>
      </w:pPr>
      <w:r>
        <w:tab/>
        <w:t>(a)</w:t>
      </w:r>
      <w:r>
        <w:tab/>
        <w:t>when making the money order; or</w:t>
      </w:r>
    </w:p>
    <w:p w14:paraId="77C1FC63" w14:textId="77777777" w:rsidR="008112BD" w:rsidRDefault="008112BD" w:rsidP="008112BD">
      <w:pPr>
        <w:pStyle w:val="Apara"/>
        <w:keepNext/>
      </w:pPr>
      <w:r>
        <w:tab/>
        <w:t>(b)</w:t>
      </w:r>
      <w:r>
        <w:tab/>
        <w:t>under any of the following rules:</w:t>
      </w:r>
    </w:p>
    <w:p w14:paraId="67FC5D85" w14:textId="77777777" w:rsidR="008112BD" w:rsidRDefault="008112BD" w:rsidP="008112BD">
      <w:pPr>
        <w:pStyle w:val="Asubpara"/>
      </w:pPr>
      <w:r>
        <w:tab/>
        <w:t>(i)</w:t>
      </w:r>
      <w:r>
        <w:tab/>
        <w:t>rule 2013 (Enforcement—stay);</w:t>
      </w:r>
    </w:p>
    <w:p w14:paraId="579CA563" w14:textId="77777777" w:rsidR="008112BD" w:rsidRDefault="008112BD" w:rsidP="008112BD">
      <w:pPr>
        <w:pStyle w:val="Asubpara"/>
      </w:pPr>
      <w:r>
        <w:tab/>
        <w:t>(ii)</w:t>
      </w:r>
      <w:r>
        <w:tab/>
        <w:t xml:space="preserve">rule 2051 (Enforcement orders—application to set aside); </w:t>
      </w:r>
    </w:p>
    <w:p w14:paraId="2F819A49" w14:textId="77777777" w:rsidR="008112BD" w:rsidRDefault="008112BD" w:rsidP="008112BD">
      <w:pPr>
        <w:pStyle w:val="Asubpara"/>
      </w:pPr>
      <w:r>
        <w:tab/>
        <w:t>(iii)</w:t>
      </w:r>
      <w:r>
        <w:tab/>
        <w:t xml:space="preserve">rule 2314 (Debt redirection order—amending, suspending or setting aside); </w:t>
      </w:r>
    </w:p>
    <w:p w14:paraId="1A08BBC3" w14:textId="77777777" w:rsidR="008112BD" w:rsidRDefault="008112BD" w:rsidP="008112BD">
      <w:pPr>
        <w:pStyle w:val="Asubpara"/>
      </w:pPr>
      <w:r>
        <w:tab/>
        <w:t>(iv)</w:t>
      </w:r>
      <w:r>
        <w:tab/>
        <w:t>rule 2360 (Earnings redirection order—amending, suspending or setting aside).</w:t>
      </w:r>
    </w:p>
    <w:p w14:paraId="5C17E820" w14:textId="77777777" w:rsidR="008112BD" w:rsidRDefault="008112BD" w:rsidP="008112BD">
      <w:pPr>
        <w:pStyle w:val="AH5Sec"/>
      </w:pPr>
      <w:bookmarkStart w:id="676" w:name="_Toc185514292"/>
      <w:r w:rsidRPr="00C8328B">
        <w:rPr>
          <w:rStyle w:val="CharSectNo"/>
        </w:rPr>
        <w:lastRenderedPageBreak/>
        <w:t>2152</w:t>
      </w:r>
      <w:r>
        <w:tab/>
        <w:t>Instalment order—when application by enforcement debtor requires leave</w:t>
      </w:r>
      <w:bookmarkEnd w:id="676"/>
    </w:p>
    <w:p w14:paraId="1C310DFC" w14:textId="77777777" w:rsidR="008112BD" w:rsidRDefault="008112BD" w:rsidP="00F32DEB">
      <w:pPr>
        <w:pStyle w:val="Amain"/>
        <w:keepNext/>
      </w:pPr>
      <w:r>
        <w:tab/>
        <w:t>(1)</w:t>
      </w:r>
      <w:r>
        <w:tab/>
        <w:t>The enforcement debtor may not make an application for an instalment order without the court’s leave if—</w:t>
      </w:r>
    </w:p>
    <w:p w14:paraId="20F247C7" w14:textId="77777777" w:rsidR="008112BD" w:rsidRDefault="008112BD" w:rsidP="008112BD">
      <w:pPr>
        <w:pStyle w:val="Apara"/>
      </w:pPr>
      <w:r>
        <w:tab/>
        <w:t>(a)</w:t>
      </w:r>
      <w:r>
        <w:tab/>
        <w:t>the enforcement debtor has made an application for an instalment order in relation to the same money order in the previous 6 months; or</w:t>
      </w:r>
    </w:p>
    <w:p w14:paraId="09B85EDC" w14:textId="77777777"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14:paraId="011BCEEE" w14:textId="77777777" w:rsidR="008112BD" w:rsidRDefault="008112BD" w:rsidP="008112BD">
      <w:pPr>
        <w:pStyle w:val="aNote"/>
      </w:pPr>
      <w:r w:rsidRPr="00FE0788">
        <w:rPr>
          <w:rStyle w:val="charItals"/>
        </w:rPr>
        <w:t>Note</w:t>
      </w:r>
      <w:r>
        <w:tab/>
        <w:t>Pt 6.2 (Applications in proceedings) applies to an application for leave.</w:t>
      </w:r>
    </w:p>
    <w:p w14:paraId="22DE2BFF" w14:textId="77777777" w:rsidR="008112BD" w:rsidRDefault="008112BD" w:rsidP="008112BD">
      <w:pPr>
        <w:pStyle w:val="Amain"/>
      </w:pPr>
      <w:r>
        <w:tab/>
        <w:t>(2)</w:t>
      </w:r>
      <w:r>
        <w:tab/>
        <w:t>An application for leave must be accompanied by an affidavit in support of the application.</w:t>
      </w:r>
    </w:p>
    <w:p w14:paraId="404A9D92" w14:textId="77777777" w:rsidR="008112BD" w:rsidRDefault="008112BD" w:rsidP="008112BD">
      <w:pPr>
        <w:pStyle w:val="Amain"/>
        <w:keepNext/>
      </w:pPr>
      <w:r>
        <w:tab/>
        <w:t>(3)</w:t>
      </w:r>
      <w:r>
        <w:tab/>
        <w:t>In deciding whether to give leave under this rule, the court must have regard to the following matters:</w:t>
      </w:r>
    </w:p>
    <w:p w14:paraId="098BB768" w14:textId="77777777"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14:paraId="5007C5FB" w14:textId="77777777" w:rsidR="008112BD" w:rsidRDefault="008112BD" w:rsidP="008112BD">
      <w:pPr>
        <w:pStyle w:val="Apara"/>
      </w:pPr>
      <w:r>
        <w:tab/>
        <w:t>(b)</w:t>
      </w:r>
      <w:r>
        <w:tab/>
        <w:t>the payments made by the enforcement debtor in discharge of the order debt;</w:t>
      </w:r>
    </w:p>
    <w:p w14:paraId="554306AC" w14:textId="77777777" w:rsidR="008112BD" w:rsidRDefault="008112BD" w:rsidP="008112BD">
      <w:pPr>
        <w:pStyle w:val="Apara"/>
      </w:pPr>
      <w:r>
        <w:tab/>
        <w:t>(c)</w:t>
      </w:r>
      <w:r>
        <w:tab/>
        <w:t>the enforcement action (if any) taken in relation to the order debt;</w:t>
      </w:r>
    </w:p>
    <w:p w14:paraId="0763E22F" w14:textId="77777777" w:rsidR="008112BD" w:rsidRDefault="008112BD" w:rsidP="008112BD">
      <w:pPr>
        <w:pStyle w:val="Apara"/>
      </w:pPr>
      <w:r>
        <w:tab/>
        <w:t>(d)</w:t>
      </w:r>
      <w:r>
        <w:tab/>
        <w:t>the interests and attitudes of the parties;</w:t>
      </w:r>
    </w:p>
    <w:p w14:paraId="1DE8D58E" w14:textId="77777777" w:rsidR="008112BD" w:rsidRDefault="008112BD" w:rsidP="008112BD">
      <w:pPr>
        <w:pStyle w:val="Apara"/>
      </w:pPr>
      <w:r>
        <w:tab/>
        <w:t>(e)</w:t>
      </w:r>
      <w:r>
        <w:tab/>
        <w:t>whether giving leave would be consistent with the public interest in enforcing orders justly, efficiently and quickly.</w:t>
      </w:r>
    </w:p>
    <w:p w14:paraId="08557012" w14:textId="77777777" w:rsidR="008112BD" w:rsidRDefault="008112BD" w:rsidP="008112BD">
      <w:pPr>
        <w:pStyle w:val="Amain"/>
      </w:pPr>
      <w:r>
        <w:tab/>
        <w:t>(4)</w:t>
      </w:r>
      <w:r>
        <w:tab/>
        <w:t>Subrule (3) does not limit the matters to which the court may have regard.</w:t>
      </w:r>
    </w:p>
    <w:p w14:paraId="50B920F4" w14:textId="77777777" w:rsidR="008112BD" w:rsidRDefault="008112BD" w:rsidP="008112BD">
      <w:pPr>
        <w:pStyle w:val="AH5Sec"/>
      </w:pPr>
      <w:bookmarkStart w:id="677" w:name="_Toc185514293"/>
      <w:r w:rsidRPr="00C8328B">
        <w:rPr>
          <w:rStyle w:val="CharSectNo"/>
        </w:rPr>
        <w:lastRenderedPageBreak/>
        <w:t>2153</w:t>
      </w:r>
      <w:r>
        <w:tab/>
        <w:t>Instalment order—application by enforcement creditor</w:t>
      </w:r>
      <w:bookmarkEnd w:id="677"/>
    </w:p>
    <w:p w14:paraId="6932163E" w14:textId="77777777" w:rsidR="008112BD" w:rsidRDefault="008112BD" w:rsidP="008112BD">
      <w:pPr>
        <w:pStyle w:val="Amain"/>
      </w:pPr>
      <w:r>
        <w:tab/>
        <w:t>(1)</w:t>
      </w:r>
      <w:r>
        <w:tab/>
        <w:t>An application by an enforcement creditor for an instalment order must be accompanied by—</w:t>
      </w:r>
    </w:p>
    <w:p w14:paraId="418C2E0D" w14:textId="77777777" w:rsidR="008112BD" w:rsidRDefault="008112BD" w:rsidP="008112BD">
      <w:pPr>
        <w:pStyle w:val="Apara"/>
      </w:pPr>
      <w:r>
        <w:tab/>
        <w:t>(a)</w:t>
      </w:r>
      <w:r>
        <w:tab/>
        <w:t>a draft of the order sought; and</w:t>
      </w:r>
    </w:p>
    <w:p w14:paraId="39CF8748" w14:textId="77777777" w:rsidR="008112BD" w:rsidRDefault="008112BD" w:rsidP="008112BD">
      <w:pPr>
        <w:pStyle w:val="Apara"/>
        <w:keepNext/>
      </w:pPr>
      <w:r>
        <w:tab/>
        <w:t>(b)</w:t>
      </w:r>
      <w:r>
        <w:tab/>
        <w:t>an affidavit in support of the application.</w:t>
      </w:r>
    </w:p>
    <w:p w14:paraId="6985B7D6" w14:textId="176519E9" w:rsidR="008112BD" w:rsidRDefault="008112BD" w:rsidP="008112BD">
      <w:pPr>
        <w:pStyle w:val="aNote"/>
      </w:pPr>
      <w:r w:rsidRPr="00FE0788">
        <w:rPr>
          <w:rStyle w:val="charItals"/>
        </w:rPr>
        <w:t>Note 1</w:t>
      </w:r>
      <w:r>
        <w:tab/>
        <w:t xml:space="preserve">See approved form 2.54 (Instalment order) </w:t>
      </w:r>
      <w:hyperlink r:id="rId187" w:history="1">
        <w:r w:rsidRPr="00E44E15">
          <w:rPr>
            <w:rStyle w:val="charCitHyperlinkAbbrev"/>
          </w:rPr>
          <w:t>AF2006-299</w:t>
        </w:r>
      </w:hyperlink>
      <w:r>
        <w:t>.</w:t>
      </w:r>
    </w:p>
    <w:p w14:paraId="49EA6F0C" w14:textId="77777777" w:rsidR="008112BD" w:rsidRDefault="008112BD" w:rsidP="008112BD">
      <w:pPr>
        <w:pStyle w:val="aNote"/>
      </w:pPr>
      <w:r w:rsidRPr="00FE0788">
        <w:rPr>
          <w:rStyle w:val="charItals"/>
        </w:rPr>
        <w:t>Note 2</w:t>
      </w:r>
      <w:r>
        <w:tab/>
        <w:t>Pt 6.2 (Applications in proceedings) applies to the application.</w:t>
      </w:r>
    </w:p>
    <w:p w14:paraId="41B30530" w14:textId="77777777" w:rsidR="008112BD" w:rsidRDefault="008112BD" w:rsidP="008112BD">
      <w:pPr>
        <w:pStyle w:val="Amain"/>
      </w:pPr>
      <w:r>
        <w:tab/>
        <w:t>(2)</w:t>
      </w:r>
      <w:r>
        <w:tab/>
        <w:t>The affidavit in support must state—</w:t>
      </w:r>
    </w:p>
    <w:p w14:paraId="0BDAD683" w14:textId="77777777" w:rsidR="008112BD" w:rsidRDefault="008112BD" w:rsidP="008112BD">
      <w:pPr>
        <w:pStyle w:val="Apara"/>
      </w:pPr>
      <w:r>
        <w:tab/>
        <w:t>(a)</w:t>
      </w:r>
      <w:r>
        <w:tab/>
        <w:t>the date the money order was made; and</w:t>
      </w:r>
    </w:p>
    <w:p w14:paraId="65640B6C" w14:textId="77777777" w:rsidR="008112BD" w:rsidRDefault="008112BD" w:rsidP="008112BD">
      <w:pPr>
        <w:pStyle w:val="Apara"/>
      </w:pPr>
      <w:r>
        <w:tab/>
        <w:t>(b)</w:t>
      </w:r>
      <w:r>
        <w:tab/>
        <w:t>the date a sealed copy of the money order, and the notice in accordance with rule 2015 (2), was served on the enforcement debtor; and</w:t>
      </w:r>
    </w:p>
    <w:p w14:paraId="4A17120A" w14:textId="77777777" w:rsidR="008112BD" w:rsidRDefault="008112BD" w:rsidP="008112BD">
      <w:pPr>
        <w:pStyle w:val="Apara"/>
      </w:pPr>
      <w:r>
        <w:tab/>
        <w:t>(c)</w:t>
      </w:r>
      <w:r>
        <w:tab/>
        <w:t>the amount of the order debt; and</w:t>
      </w:r>
    </w:p>
    <w:p w14:paraId="721BE15F" w14:textId="77777777" w:rsidR="008112BD" w:rsidRDefault="008112BD" w:rsidP="008112BD">
      <w:pPr>
        <w:pStyle w:val="Apara"/>
      </w:pPr>
      <w:r>
        <w:tab/>
        <w:t>(d)</w:t>
      </w:r>
      <w:r>
        <w:tab/>
        <w:t>that the order debt has not been fully paid; and</w:t>
      </w:r>
    </w:p>
    <w:p w14:paraId="32A1EE40" w14:textId="77777777" w:rsidR="008112BD" w:rsidRDefault="008112BD" w:rsidP="008112BD">
      <w:pPr>
        <w:pStyle w:val="Apara"/>
      </w:pPr>
      <w:r>
        <w:tab/>
        <w:t>(e)</w:t>
      </w:r>
      <w:r>
        <w:tab/>
        <w:t>the date and amount of each payment (if any) made under the order; and</w:t>
      </w:r>
    </w:p>
    <w:p w14:paraId="093DE718" w14:textId="77777777" w:rsidR="008112BD" w:rsidRDefault="008112BD" w:rsidP="008112BD">
      <w:pPr>
        <w:pStyle w:val="Apara"/>
      </w:pPr>
      <w:r>
        <w:tab/>
        <w:t>(f)</w:t>
      </w:r>
      <w:r>
        <w:tab/>
        <w:t>the costs incurred in previous enforcement proceedings in relation to the order; and</w:t>
      </w:r>
    </w:p>
    <w:p w14:paraId="26D72F07"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833F8EF"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CE1B70C" w14:textId="77777777" w:rsidR="008112BD" w:rsidRDefault="008112BD" w:rsidP="008112BD">
      <w:pPr>
        <w:pStyle w:val="Apara"/>
      </w:pPr>
      <w:r>
        <w:tab/>
        <w:t>(i)</w:t>
      </w:r>
      <w:r>
        <w:tab/>
        <w:t>the daily amount of any interest that, subject to any future payment under the order, will accrue after the affidavit date; and</w:t>
      </w:r>
    </w:p>
    <w:p w14:paraId="2A38397A" w14:textId="77777777" w:rsidR="008112BD" w:rsidRDefault="008112BD" w:rsidP="008112BD">
      <w:pPr>
        <w:pStyle w:val="Apara"/>
      </w:pPr>
      <w:r>
        <w:tab/>
        <w:t>(j)</w:t>
      </w:r>
      <w:r>
        <w:tab/>
        <w:t>any other information necessary for the order being sought.</w:t>
      </w:r>
    </w:p>
    <w:p w14:paraId="4A01C95F" w14:textId="77777777" w:rsidR="008112BD" w:rsidRDefault="008112BD" w:rsidP="008112BD">
      <w:pPr>
        <w:pStyle w:val="Amain"/>
      </w:pPr>
      <w:r>
        <w:lastRenderedPageBreak/>
        <w:tab/>
        <w:t>(3)</w:t>
      </w:r>
      <w:r>
        <w:tab/>
        <w:t>The affidavit made must be sworn not earlier than 2 days before the day the application is made.</w:t>
      </w:r>
    </w:p>
    <w:p w14:paraId="4197295D" w14:textId="77777777" w:rsidR="008112BD" w:rsidRDefault="008112BD" w:rsidP="008112BD">
      <w:pPr>
        <w:pStyle w:val="Amain"/>
        <w:keepNext/>
      </w:pPr>
      <w:r>
        <w:tab/>
        <w:t>(4)</w:t>
      </w:r>
      <w:r>
        <w:tab/>
        <w:t>To remove any doubt, this rule does not apply to an application by the enforcement creditor for an instalment order under any of the following rules:</w:t>
      </w:r>
    </w:p>
    <w:p w14:paraId="5F1AA52F" w14:textId="77777777" w:rsidR="008112BD" w:rsidRDefault="008112BD" w:rsidP="008112BD">
      <w:pPr>
        <w:pStyle w:val="Apara"/>
      </w:pPr>
      <w:r>
        <w:tab/>
        <w:t>(a)</w:t>
      </w:r>
      <w:r>
        <w:tab/>
        <w:t>rule 2013 (Enforcement—stay);</w:t>
      </w:r>
    </w:p>
    <w:p w14:paraId="1C3FD218" w14:textId="77777777" w:rsidR="008112BD" w:rsidRDefault="008112BD" w:rsidP="008112BD">
      <w:pPr>
        <w:pStyle w:val="Apara"/>
      </w:pPr>
      <w:r>
        <w:tab/>
        <w:t>(b)</w:t>
      </w:r>
      <w:r>
        <w:tab/>
        <w:t xml:space="preserve">rule 2051 (Enforcement orders—application to set aside); </w:t>
      </w:r>
    </w:p>
    <w:p w14:paraId="576BAA46" w14:textId="77777777" w:rsidR="008112BD" w:rsidRDefault="008112BD" w:rsidP="008112BD">
      <w:pPr>
        <w:pStyle w:val="Apara"/>
      </w:pPr>
      <w:r>
        <w:tab/>
        <w:t>(c)</w:t>
      </w:r>
      <w:r>
        <w:tab/>
        <w:t xml:space="preserve">rule 2314 (Debt redirection order—amending, suspending or setting aside); </w:t>
      </w:r>
    </w:p>
    <w:p w14:paraId="58702B2D" w14:textId="77777777" w:rsidR="008112BD" w:rsidRDefault="008112BD" w:rsidP="008112BD">
      <w:pPr>
        <w:pStyle w:val="Apara"/>
      </w:pPr>
      <w:r>
        <w:tab/>
        <w:t>(d)</w:t>
      </w:r>
      <w:r>
        <w:tab/>
        <w:t>rule 2360 (Earnings redirection order—amending, suspending or setting aside).</w:t>
      </w:r>
    </w:p>
    <w:p w14:paraId="62353ED4" w14:textId="77777777" w:rsidR="008112BD" w:rsidRDefault="008112BD" w:rsidP="008112BD">
      <w:pPr>
        <w:pStyle w:val="AH5Sec"/>
      </w:pPr>
      <w:bookmarkStart w:id="678" w:name="_Toc185514294"/>
      <w:r w:rsidRPr="00C8328B">
        <w:rPr>
          <w:rStyle w:val="CharSectNo"/>
        </w:rPr>
        <w:t>2154</w:t>
      </w:r>
      <w:r>
        <w:tab/>
        <w:t>Instalment order—relevant considerations</w:t>
      </w:r>
      <w:bookmarkEnd w:id="678"/>
    </w:p>
    <w:p w14:paraId="2FB830EB" w14:textId="77777777"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14:paraId="48398269" w14:textId="77777777" w:rsidR="008112BD" w:rsidRDefault="008112BD" w:rsidP="008112BD">
      <w:pPr>
        <w:pStyle w:val="Apara"/>
      </w:pPr>
      <w:r>
        <w:tab/>
        <w:t>(a)</w:t>
      </w:r>
      <w:r>
        <w:tab/>
        <w:t>whether the enforcement debtor is employed;</w:t>
      </w:r>
    </w:p>
    <w:p w14:paraId="614CC438" w14:textId="77777777" w:rsidR="008112BD" w:rsidRDefault="008112BD" w:rsidP="008112BD">
      <w:pPr>
        <w:pStyle w:val="Apara"/>
      </w:pPr>
      <w:r>
        <w:tab/>
        <w:t>(b)</w:t>
      </w:r>
      <w:r>
        <w:tab/>
        <w:t>the enforcement debtor’s means of satisfying the order debt;</w:t>
      </w:r>
    </w:p>
    <w:p w14:paraId="59107C86" w14:textId="77777777" w:rsidR="008112BD" w:rsidRDefault="008112BD" w:rsidP="008112BD">
      <w:pPr>
        <w:pStyle w:val="Apara"/>
      </w:pPr>
      <w:r>
        <w:tab/>
        <w:t>(c)</w:t>
      </w:r>
      <w:r>
        <w:tab/>
        <w:t>whether the order debt, including any interest, will be satisfied within a reasonable time;</w:t>
      </w:r>
    </w:p>
    <w:p w14:paraId="6885F4E6" w14:textId="77777777" w:rsidR="008112BD" w:rsidRDefault="008112BD" w:rsidP="008112BD">
      <w:pPr>
        <w:pStyle w:val="Apara"/>
      </w:pPr>
      <w:r>
        <w:tab/>
        <w:t>(d)</w:t>
      </w:r>
      <w:r>
        <w:tab/>
        <w:t>the necessary living expenses of the enforcement debtor and the enforcement debtor’s dependants;</w:t>
      </w:r>
    </w:p>
    <w:p w14:paraId="7610FBAF" w14:textId="77777777" w:rsidR="008112BD" w:rsidRDefault="008112BD" w:rsidP="008112BD">
      <w:pPr>
        <w:pStyle w:val="Apara"/>
      </w:pPr>
      <w:r>
        <w:tab/>
        <w:t>(e)</w:t>
      </w:r>
      <w:r>
        <w:tab/>
        <w:t>other liabilities of the enforcement debtor;</w:t>
      </w:r>
    </w:p>
    <w:p w14:paraId="04946A81" w14:textId="77777777"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14:paraId="4CC68924" w14:textId="77777777" w:rsidR="008112BD" w:rsidRDefault="008112BD" w:rsidP="008112BD">
      <w:pPr>
        <w:pStyle w:val="Amain"/>
      </w:pPr>
      <w:r>
        <w:tab/>
        <w:t>(2)</w:t>
      </w:r>
      <w:r>
        <w:tab/>
        <w:t>Subrule (1) does not limit the matters to which the court may have regard.</w:t>
      </w:r>
    </w:p>
    <w:p w14:paraId="7787FF58" w14:textId="77777777"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14:paraId="375BC7EF" w14:textId="77777777" w:rsidR="008112BD" w:rsidRDefault="008112BD" w:rsidP="008112BD">
      <w:pPr>
        <w:pStyle w:val="Amain"/>
      </w:pPr>
      <w:r>
        <w:tab/>
        <w:t>(4)</w:t>
      </w:r>
      <w:r>
        <w:tab/>
        <w:t>However, an enforcement hearing is not necessary before the court makes the instalment order.</w:t>
      </w:r>
    </w:p>
    <w:p w14:paraId="5711E421" w14:textId="77777777" w:rsidR="008112BD" w:rsidRDefault="008112BD" w:rsidP="008112BD">
      <w:pPr>
        <w:pStyle w:val="AH5Sec"/>
      </w:pPr>
      <w:bookmarkStart w:id="679" w:name="_Toc185514295"/>
      <w:r w:rsidRPr="00C8328B">
        <w:rPr>
          <w:rStyle w:val="CharSectNo"/>
        </w:rPr>
        <w:t>2155</w:t>
      </w:r>
      <w:r>
        <w:tab/>
        <w:t>Instalment order—stay of enforcement</w:t>
      </w:r>
      <w:bookmarkEnd w:id="679"/>
    </w:p>
    <w:p w14:paraId="6469AAB1" w14:textId="77777777"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14:paraId="44C626EF" w14:textId="77777777"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14:paraId="00D0887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5B106824" w14:textId="77777777" w:rsidR="008112BD" w:rsidRDefault="008112BD" w:rsidP="008112BD">
      <w:pPr>
        <w:pStyle w:val="AH5Sec"/>
      </w:pPr>
      <w:bookmarkStart w:id="680" w:name="_Toc185514296"/>
      <w:r w:rsidRPr="00C8328B">
        <w:rPr>
          <w:rStyle w:val="CharSectNo"/>
        </w:rPr>
        <w:t>2156</w:t>
      </w:r>
      <w:r>
        <w:tab/>
        <w:t>Instalment order—content and issue</w:t>
      </w:r>
      <w:bookmarkEnd w:id="680"/>
    </w:p>
    <w:p w14:paraId="1F781349" w14:textId="77777777" w:rsidR="008112BD" w:rsidRDefault="008112BD" w:rsidP="008112BD">
      <w:pPr>
        <w:pStyle w:val="Amain"/>
      </w:pPr>
      <w:r>
        <w:tab/>
        <w:t>(1)</w:t>
      </w:r>
      <w:r>
        <w:tab/>
        <w:t>An instalment order for a money order must state—</w:t>
      </w:r>
    </w:p>
    <w:p w14:paraId="5C888D2B" w14:textId="77777777" w:rsidR="008112BD" w:rsidRDefault="008112BD" w:rsidP="008112BD">
      <w:pPr>
        <w:pStyle w:val="Apara"/>
      </w:pPr>
      <w:r>
        <w:tab/>
        <w:t>(a)</w:t>
      </w:r>
      <w:r>
        <w:tab/>
        <w:t>the amount recoverable under the money order; and</w:t>
      </w:r>
    </w:p>
    <w:p w14:paraId="7D9C868E" w14:textId="77777777" w:rsidR="008112BD" w:rsidRDefault="008112BD" w:rsidP="008112BD">
      <w:pPr>
        <w:pStyle w:val="Apara"/>
      </w:pPr>
      <w:r>
        <w:tab/>
        <w:t>(b)</w:t>
      </w:r>
      <w:r>
        <w:tab/>
        <w:t>the amount of the instalments and when they are payable under the instalment order.</w:t>
      </w:r>
    </w:p>
    <w:p w14:paraId="78E2F0EA" w14:textId="77777777" w:rsidR="008112BD" w:rsidRDefault="008112BD" w:rsidP="008112BD">
      <w:pPr>
        <w:pStyle w:val="Amain"/>
        <w:keepNext/>
      </w:pPr>
      <w:r>
        <w:tab/>
        <w:t>(2)</w:t>
      </w:r>
      <w:r>
        <w:tab/>
        <w:t>The amount recoverable must include—</w:t>
      </w:r>
    </w:p>
    <w:p w14:paraId="3541409D" w14:textId="77777777" w:rsidR="008112BD" w:rsidRDefault="008112BD" w:rsidP="008112BD">
      <w:pPr>
        <w:pStyle w:val="Apara"/>
        <w:keepNext/>
      </w:pPr>
      <w:r>
        <w:tab/>
        <w:t>(a)</w:t>
      </w:r>
      <w:r>
        <w:tab/>
        <w:t>unless the court otherwise orders—</w:t>
      </w:r>
    </w:p>
    <w:p w14:paraId="23588767" w14:textId="39EEACA9" w:rsidR="008112BD" w:rsidRDefault="008112BD" w:rsidP="008112BD">
      <w:pPr>
        <w:pStyle w:val="Asubpara"/>
      </w:pPr>
      <w:r>
        <w:tab/>
        <w:t>(i)</w:t>
      </w:r>
      <w:r>
        <w:tab/>
        <w:t xml:space="preserve">the unpaid costs of any previous enforcement proceeding for the same money order (including any amounts recoverable under the </w:t>
      </w:r>
      <w:hyperlink r:id="rId188" w:tooltip="Act 1992 No 172 (Cwlth)" w:history="1">
        <w:r w:rsidRPr="00E44E15">
          <w:rPr>
            <w:rStyle w:val="charCitHyperlinkItal"/>
          </w:rPr>
          <w:t>Service and Execution of Process Act 1992</w:t>
        </w:r>
      </w:hyperlink>
      <w:r>
        <w:t xml:space="preserve"> (Cwlth)); and</w:t>
      </w:r>
    </w:p>
    <w:p w14:paraId="164F2F05" w14:textId="77777777" w:rsidR="008112BD" w:rsidRDefault="008112BD" w:rsidP="008112BD">
      <w:pPr>
        <w:pStyle w:val="Asubpara"/>
      </w:pPr>
      <w:r>
        <w:tab/>
        <w:t>(ii)</w:t>
      </w:r>
      <w:r>
        <w:tab/>
        <w:t>the unpaid interest on those costs; and</w:t>
      </w:r>
    </w:p>
    <w:p w14:paraId="76CB99EC" w14:textId="77777777" w:rsidR="008112BD" w:rsidRDefault="008112BD" w:rsidP="008112BD">
      <w:pPr>
        <w:pStyle w:val="Apara"/>
      </w:pPr>
      <w:r>
        <w:tab/>
        <w:t>(b)</w:t>
      </w:r>
      <w:r>
        <w:tab/>
        <w:t>the costs relating to the instalment order; and</w:t>
      </w:r>
    </w:p>
    <w:p w14:paraId="7BDCDB08" w14:textId="77777777" w:rsidR="008112BD" w:rsidRDefault="008112BD" w:rsidP="008112BD">
      <w:pPr>
        <w:pStyle w:val="Apara"/>
        <w:keepNext/>
      </w:pPr>
      <w:r>
        <w:lastRenderedPageBreak/>
        <w:tab/>
        <w:t>(c)</w:t>
      </w:r>
      <w:r>
        <w:tab/>
        <w:t>the amount of interest on the order debt.</w:t>
      </w:r>
    </w:p>
    <w:p w14:paraId="62CBBC1D" w14:textId="77777777" w:rsidR="008112BD" w:rsidRDefault="008112BD" w:rsidP="008112BD">
      <w:pPr>
        <w:pStyle w:val="aNote"/>
      </w:pPr>
      <w:r w:rsidRPr="00FE0788">
        <w:rPr>
          <w:rStyle w:val="charItals"/>
        </w:rPr>
        <w:t>Note</w:t>
      </w:r>
      <w:r>
        <w:tab/>
        <w:t>Pt 6.2 (Applications in proceedings) applies to an application for an order otherwise ordering under this rule.</w:t>
      </w:r>
    </w:p>
    <w:p w14:paraId="3CFC8844" w14:textId="77777777"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14:paraId="3F04697A" w14:textId="77777777"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14:paraId="274F3FD1" w14:textId="77777777" w:rsidR="008112BD" w:rsidRDefault="008112BD" w:rsidP="008112BD">
      <w:pPr>
        <w:pStyle w:val="Amain"/>
      </w:pPr>
      <w:r>
        <w:tab/>
        <w:t>(5)</w:t>
      </w:r>
      <w:r>
        <w:tab/>
        <w:t>A direction under subrule (3) must be made by notice given to the enforcement debtor.</w:t>
      </w:r>
    </w:p>
    <w:p w14:paraId="26500E3E" w14:textId="77777777" w:rsidR="008112BD" w:rsidRDefault="008112BD" w:rsidP="008112BD">
      <w:pPr>
        <w:pStyle w:val="AH5Sec"/>
      </w:pPr>
      <w:bookmarkStart w:id="681" w:name="_Toc185514297"/>
      <w:r w:rsidRPr="00C8328B">
        <w:rPr>
          <w:rStyle w:val="CharSectNo"/>
        </w:rPr>
        <w:t>2157</w:t>
      </w:r>
      <w:r>
        <w:tab/>
        <w:t>Instalment order—instalment order agreement</w:t>
      </w:r>
      <w:bookmarkEnd w:id="681"/>
    </w:p>
    <w:p w14:paraId="683F27C7" w14:textId="77777777"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14:paraId="59E5F387" w14:textId="77777777" w:rsidR="008112BD" w:rsidRDefault="008112BD" w:rsidP="008112BD">
      <w:pPr>
        <w:pStyle w:val="Apara"/>
      </w:pPr>
      <w:r>
        <w:tab/>
        <w:t>(a)</w:t>
      </w:r>
      <w:r>
        <w:tab/>
        <w:t>stating—</w:t>
      </w:r>
    </w:p>
    <w:p w14:paraId="65BC7402" w14:textId="77777777" w:rsidR="008112BD" w:rsidRDefault="008112BD" w:rsidP="008112BD">
      <w:pPr>
        <w:pStyle w:val="Asubpara"/>
      </w:pPr>
      <w:r>
        <w:tab/>
        <w:t>(i)</w:t>
      </w:r>
      <w:r>
        <w:tab/>
        <w:t>the amount agreed by them to be owing by the enforcement debtor to the enforcement creditor under the money order; and</w:t>
      </w:r>
    </w:p>
    <w:p w14:paraId="09BB5522" w14:textId="77777777" w:rsidR="008112BD" w:rsidRDefault="008112BD" w:rsidP="008112BD">
      <w:pPr>
        <w:pStyle w:val="Asubpara"/>
      </w:pPr>
      <w:r>
        <w:tab/>
        <w:t>(ii)</w:t>
      </w:r>
      <w:r>
        <w:tab/>
        <w:t>by what instalments payable at what times the amount owing is to be paid; or</w:t>
      </w:r>
    </w:p>
    <w:p w14:paraId="72BDBC1C" w14:textId="77777777" w:rsidR="008112BD" w:rsidRDefault="008112BD" w:rsidP="008112BD">
      <w:pPr>
        <w:pStyle w:val="Apara"/>
        <w:keepNext/>
      </w:pPr>
      <w:r>
        <w:tab/>
        <w:t>(b)</w:t>
      </w:r>
      <w:r>
        <w:tab/>
        <w:t>revoking or amending an instalment order in force in relation to the money order.</w:t>
      </w:r>
    </w:p>
    <w:p w14:paraId="73E6784D" w14:textId="285C5076" w:rsidR="008112BD" w:rsidRDefault="008112BD" w:rsidP="008112BD">
      <w:pPr>
        <w:pStyle w:val="aNote"/>
      </w:pPr>
      <w:r w:rsidRPr="00FE0788">
        <w:rPr>
          <w:rStyle w:val="charItals"/>
        </w:rPr>
        <w:t>Note</w:t>
      </w:r>
      <w:r>
        <w:tab/>
        <w:t xml:space="preserve">See approved form 2.55 (Instalment order agreement) </w:t>
      </w:r>
      <w:hyperlink r:id="rId189" w:history="1">
        <w:r w:rsidRPr="00E44E15">
          <w:rPr>
            <w:rStyle w:val="charCitHyperlinkAbbrev"/>
          </w:rPr>
          <w:t>AF2006-300</w:t>
        </w:r>
      </w:hyperlink>
      <w:r>
        <w:t>.</w:t>
      </w:r>
    </w:p>
    <w:p w14:paraId="6BA2252B" w14:textId="77777777" w:rsidR="008112BD" w:rsidRDefault="008112BD" w:rsidP="008112BD">
      <w:pPr>
        <w:pStyle w:val="Amain"/>
      </w:pPr>
      <w:r>
        <w:tab/>
        <w:t>(2)</w:t>
      </w:r>
      <w:r>
        <w:tab/>
        <w:t>An agreement has no effect unless it is signed by the enforcement creditor and enforcement debtor and each signature is witnessed.</w:t>
      </w:r>
    </w:p>
    <w:p w14:paraId="4678E4EC" w14:textId="77777777" w:rsidR="008112BD" w:rsidRDefault="008112BD" w:rsidP="008112BD">
      <w:pPr>
        <w:pStyle w:val="Amain"/>
        <w:keepNext/>
      </w:pPr>
      <w:r>
        <w:lastRenderedPageBreak/>
        <w:tab/>
        <w:t>(3)</w:t>
      </w:r>
      <w:r>
        <w:tab/>
        <w:t>If an agreement in accordance with this rule is filed in the court, the court must make an instalment order—</w:t>
      </w:r>
    </w:p>
    <w:p w14:paraId="26F306C8" w14:textId="77777777" w:rsidR="008112BD" w:rsidRDefault="008112BD" w:rsidP="008112BD">
      <w:pPr>
        <w:pStyle w:val="Apara"/>
      </w:pPr>
      <w:r>
        <w:tab/>
        <w:t>(a)</w:t>
      </w:r>
      <w:r>
        <w:tab/>
        <w:t>for an agreement under subrule (1) (a)—for the payment of the order debt by the instalments payable at the times stated in the agreement; or</w:t>
      </w:r>
    </w:p>
    <w:p w14:paraId="5457E05A" w14:textId="77777777" w:rsidR="008112BD" w:rsidRDefault="008112BD" w:rsidP="008112BD">
      <w:pPr>
        <w:pStyle w:val="Apara"/>
        <w:keepNext/>
      </w:pPr>
      <w:r>
        <w:tab/>
        <w:t>(b)</w:t>
      </w:r>
      <w:r>
        <w:tab/>
        <w:t>for an agreement under subrule (1) (b)—revoking or amending the instalment order as stated in the agreement.</w:t>
      </w:r>
    </w:p>
    <w:p w14:paraId="4A46B14A" w14:textId="03032010"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190" w:history="1">
        <w:r w:rsidRPr="00E44E15">
          <w:rPr>
            <w:rStyle w:val="charCitHyperlinkAbbrev"/>
          </w:rPr>
          <w:t>AF2006-301</w:t>
        </w:r>
      </w:hyperlink>
      <w:r>
        <w:t>.</w:t>
      </w:r>
    </w:p>
    <w:p w14:paraId="150C407F" w14:textId="77777777" w:rsidR="008112BD" w:rsidRDefault="008112BD" w:rsidP="008112BD">
      <w:pPr>
        <w:pStyle w:val="AH5Sec"/>
      </w:pPr>
      <w:bookmarkStart w:id="682" w:name="_Toc185514298"/>
      <w:r w:rsidRPr="00C8328B">
        <w:rPr>
          <w:rStyle w:val="CharSectNo"/>
        </w:rPr>
        <w:t>2158</w:t>
      </w:r>
      <w:r>
        <w:tab/>
        <w:t>Instalment order—service</w:t>
      </w:r>
      <w:bookmarkEnd w:id="682"/>
    </w:p>
    <w:p w14:paraId="12130F19" w14:textId="77777777"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14:paraId="0036E616" w14:textId="77777777"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14:paraId="55258FB7" w14:textId="77777777"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14:paraId="1D074264" w14:textId="77777777" w:rsidR="008112BD" w:rsidRDefault="008112BD" w:rsidP="008112BD">
      <w:pPr>
        <w:pStyle w:val="AH5Sec"/>
      </w:pPr>
      <w:bookmarkStart w:id="683" w:name="_Toc185514299"/>
      <w:r w:rsidRPr="00C8328B">
        <w:rPr>
          <w:rStyle w:val="CharSectNo"/>
        </w:rPr>
        <w:t>2159</w:t>
      </w:r>
      <w:r>
        <w:tab/>
        <w:t>Instalment order—no other enforcement while in force</w:t>
      </w:r>
      <w:bookmarkEnd w:id="683"/>
    </w:p>
    <w:p w14:paraId="3A8AAF33" w14:textId="77777777" w:rsidR="008112BD" w:rsidRDefault="008112BD" w:rsidP="008112BD">
      <w:pPr>
        <w:pStyle w:val="Amainreturn"/>
        <w:keepNext/>
      </w:pPr>
      <w:r>
        <w:t>Unless the court otherwise orders—</w:t>
      </w:r>
    </w:p>
    <w:p w14:paraId="75700C32" w14:textId="77777777" w:rsidR="008112BD" w:rsidRDefault="008112BD" w:rsidP="008112BD">
      <w:pPr>
        <w:pStyle w:val="Apara"/>
      </w:pPr>
      <w:r>
        <w:tab/>
        <w:t>(a)</w:t>
      </w:r>
      <w:r>
        <w:tab/>
        <w:t>on the making of an instalment order for a money order, any other enforcement order in force in relation to the money order is automatically stayed; and</w:t>
      </w:r>
    </w:p>
    <w:p w14:paraId="6690BDBE" w14:textId="77777777" w:rsidR="008112BD" w:rsidRDefault="008112BD" w:rsidP="008112BD">
      <w:pPr>
        <w:pStyle w:val="Apara"/>
        <w:keepNext/>
      </w:pPr>
      <w:r>
        <w:tab/>
        <w:t>(b)</w:t>
      </w:r>
      <w:r>
        <w:tab/>
        <w:t>while the instalment order is in force, no other enforcement order may be made in relation to the money order.</w:t>
      </w:r>
    </w:p>
    <w:p w14:paraId="59CC0B4C"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3DA4452" w14:textId="77777777" w:rsidR="008112BD" w:rsidRDefault="008112BD" w:rsidP="008112BD">
      <w:pPr>
        <w:pStyle w:val="AH5Sec"/>
      </w:pPr>
      <w:bookmarkStart w:id="684" w:name="_Toc185514300"/>
      <w:r w:rsidRPr="00C8328B">
        <w:rPr>
          <w:rStyle w:val="CharSectNo"/>
        </w:rPr>
        <w:lastRenderedPageBreak/>
        <w:t>2160</w:t>
      </w:r>
      <w:r>
        <w:tab/>
        <w:t>Instalment order—amending, suspending or setting aside</w:t>
      </w:r>
      <w:bookmarkEnd w:id="684"/>
    </w:p>
    <w:p w14:paraId="677BABDE" w14:textId="77777777"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14:paraId="0E7D58B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9C02722" w14:textId="77777777" w:rsidR="008112BD" w:rsidRDefault="008112BD" w:rsidP="008112BD">
      <w:pPr>
        <w:pStyle w:val="Amain"/>
      </w:pPr>
      <w:r>
        <w:tab/>
        <w:t>(2)</w:t>
      </w:r>
      <w:r>
        <w:tab/>
        <w:t>A party must not make more than 1 application for an order amending an instalment order within a 6-month period unless the court gives leave.</w:t>
      </w:r>
    </w:p>
    <w:p w14:paraId="5BAA4354" w14:textId="77777777" w:rsidR="008112BD" w:rsidRDefault="008112BD" w:rsidP="008112BD">
      <w:pPr>
        <w:pStyle w:val="Amain"/>
        <w:keepNext/>
      </w:pPr>
      <w:r>
        <w:tab/>
        <w:t>(3)</w:t>
      </w:r>
      <w:r>
        <w:tab/>
        <w:t>The enforcement creditor may make an application for an order amending an instalment order only if—</w:t>
      </w:r>
    </w:p>
    <w:p w14:paraId="2DE5D0A6" w14:textId="77777777" w:rsidR="008112BD" w:rsidRDefault="008112BD" w:rsidP="008112BD">
      <w:pPr>
        <w:pStyle w:val="Apara"/>
      </w:pPr>
      <w:r>
        <w:tab/>
        <w:t>(a)</w:t>
      </w:r>
      <w:r>
        <w:tab/>
        <w:t>there has been a substantial increase in the property, or a substantial improvement in the financial circumstances, of the enforcement debtor—</w:t>
      </w:r>
    </w:p>
    <w:p w14:paraId="64822FB1" w14:textId="77777777" w:rsidR="008112BD" w:rsidRDefault="008112BD" w:rsidP="008112BD">
      <w:pPr>
        <w:pStyle w:val="Asubpara"/>
      </w:pPr>
      <w:r>
        <w:tab/>
        <w:t>(i)</w:t>
      </w:r>
      <w:r>
        <w:tab/>
        <w:t>since the order was made; or</w:t>
      </w:r>
    </w:p>
    <w:p w14:paraId="716C8CC3" w14:textId="77777777" w:rsidR="008112BD" w:rsidRDefault="008112BD" w:rsidP="008112BD">
      <w:pPr>
        <w:pStyle w:val="Asubpara"/>
      </w:pPr>
      <w:r>
        <w:tab/>
        <w:t>(ii)</w:t>
      </w:r>
      <w:r>
        <w:tab/>
        <w:t>if the order has been amended—since the order was last amended; or</w:t>
      </w:r>
    </w:p>
    <w:p w14:paraId="6C611185" w14:textId="77777777" w:rsidR="008112BD" w:rsidRDefault="008112BD" w:rsidP="008112BD">
      <w:pPr>
        <w:pStyle w:val="Apara"/>
      </w:pPr>
      <w:r>
        <w:tab/>
        <w:t>(b)</w:t>
      </w:r>
      <w:r>
        <w:tab/>
        <w:t>when the order was made, amended or last amended, material facts had been withheld from the court or material evidence before the court was false.</w:t>
      </w:r>
    </w:p>
    <w:p w14:paraId="62E9FEBF" w14:textId="77777777" w:rsidR="008112BD" w:rsidRDefault="008112BD" w:rsidP="008112BD">
      <w:pPr>
        <w:pStyle w:val="Amain"/>
      </w:pPr>
      <w:r>
        <w:tab/>
        <w:t>(4)</w:t>
      </w:r>
      <w:r>
        <w:tab/>
        <w:t>If—</w:t>
      </w:r>
    </w:p>
    <w:p w14:paraId="45DEC0B9" w14:textId="77777777" w:rsidR="008112BD" w:rsidRDefault="008112BD" w:rsidP="008112BD">
      <w:pPr>
        <w:pStyle w:val="Apara"/>
      </w:pPr>
      <w:r>
        <w:tab/>
        <w:t>(a)</w:t>
      </w:r>
      <w:r>
        <w:tab/>
        <w:t>the court makes an order under subrule (1) on the application of the enforcement creditor; and</w:t>
      </w:r>
    </w:p>
    <w:p w14:paraId="0D946329" w14:textId="77777777" w:rsidR="008112BD" w:rsidRDefault="008112BD" w:rsidP="008112BD">
      <w:pPr>
        <w:pStyle w:val="Apara"/>
      </w:pPr>
      <w:r>
        <w:tab/>
        <w:t>(b)</w:t>
      </w:r>
      <w:r>
        <w:tab/>
        <w:t>the enforcement debtor was not before the court when the order was made;</w:t>
      </w:r>
    </w:p>
    <w:p w14:paraId="10ACC93B" w14:textId="77777777" w:rsidR="008112BD" w:rsidRDefault="008112BD" w:rsidP="008112BD">
      <w:pPr>
        <w:pStyle w:val="Amainreturn"/>
      </w:pPr>
      <w:r>
        <w:t>the enforcement creditor must serve a sealed copy of the order on the enforcement debtor.</w:t>
      </w:r>
    </w:p>
    <w:p w14:paraId="4FB08BCA" w14:textId="77777777" w:rsidR="008112BD" w:rsidRDefault="008112BD" w:rsidP="00DA58AC">
      <w:pPr>
        <w:pStyle w:val="Amain"/>
        <w:keepNext/>
      </w:pPr>
      <w:r>
        <w:lastRenderedPageBreak/>
        <w:tab/>
        <w:t>(5)</w:t>
      </w:r>
      <w:r>
        <w:tab/>
        <w:t>If—</w:t>
      </w:r>
    </w:p>
    <w:p w14:paraId="42EF966E" w14:textId="77777777" w:rsidR="008112BD" w:rsidRDefault="008112BD" w:rsidP="008112BD">
      <w:pPr>
        <w:pStyle w:val="Apara"/>
      </w:pPr>
      <w:r>
        <w:tab/>
        <w:t>(a)</w:t>
      </w:r>
      <w:r>
        <w:tab/>
        <w:t>the court makes an order under subrule (1) on the application of the enforcement debtor; and</w:t>
      </w:r>
    </w:p>
    <w:p w14:paraId="7C6ACFD3" w14:textId="77777777" w:rsidR="008112BD" w:rsidRDefault="008112BD" w:rsidP="008112BD">
      <w:pPr>
        <w:pStyle w:val="Apara"/>
      </w:pPr>
      <w:r>
        <w:tab/>
        <w:t>(b)</w:t>
      </w:r>
      <w:r>
        <w:tab/>
        <w:t>the enforcement creditor was not before the court when the order was made;</w:t>
      </w:r>
    </w:p>
    <w:p w14:paraId="28B3D800" w14:textId="77777777" w:rsidR="008112BD" w:rsidRDefault="008112BD" w:rsidP="008112BD">
      <w:pPr>
        <w:pStyle w:val="Amainreturn"/>
      </w:pPr>
      <w:r>
        <w:t>the registrar must serve a sealed copy of the order on the enforcement debtor.</w:t>
      </w:r>
    </w:p>
    <w:p w14:paraId="167245B4" w14:textId="77777777" w:rsidR="008112BD" w:rsidRDefault="008112BD" w:rsidP="008112BD">
      <w:pPr>
        <w:pStyle w:val="Amain"/>
      </w:pPr>
      <w:r>
        <w:tab/>
        <w:t>(6)</w:t>
      </w:r>
      <w:r>
        <w:tab/>
        <w:t>Unless the court otherwise orders, an order amending or suspending an instalment order does not come into force until the end of 7 days after—</w:t>
      </w:r>
    </w:p>
    <w:p w14:paraId="38E8CBBB" w14:textId="77777777" w:rsidR="008112BD" w:rsidRDefault="008112BD" w:rsidP="008112BD">
      <w:pPr>
        <w:pStyle w:val="Apara"/>
      </w:pPr>
      <w:r>
        <w:tab/>
        <w:t>(a)</w:t>
      </w:r>
      <w:r>
        <w:tab/>
        <w:t>the day the order is made; or</w:t>
      </w:r>
    </w:p>
    <w:p w14:paraId="55DC8765" w14:textId="77777777" w:rsidR="008112BD" w:rsidRDefault="008112BD" w:rsidP="008112BD">
      <w:pPr>
        <w:pStyle w:val="Apara"/>
      </w:pPr>
      <w:r>
        <w:tab/>
        <w:t>(b)</w:t>
      </w:r>
      <w:r>
        <w:tab/>
        <w:t>if a sealed copy of the order is required to be served under subrule (4) or (5)—the day the order is served.</w:t>
      </w:r>
    </w:p>
    <w:p w14:paraId="08430BF4" w14:textId="77777777" w:rsidR="008112BD" w:rsidRDefault="008112BD" w:rsidP="008112BD">
      <w:pPr>
        <w:pStyle w:val="AH5Sec"/>
      </w:pPr>
      <w:bookmarkStart w:id="685" w:name="_Toc185514301"/>
      <w:r w:rsidRPr="00C8328B">
        <w:rPr>
          <w:rStyle w:val="CharSectNo"/>
        </w:rPr>
        <w:t>2161</w:t>
      </w:r>
      <w:r>
        <w:tab/>
        <w:t>Instalment order—ceasing to have effect other than for nonpayment</w:t>
      </w:r>
      <w:bookmarkEnd w:id="685"/>
    </w:p>
    <w:p w14:paraId="0F2E5673" w14:textId="77777777" w:rsidR="008112BD" w:rsidRDefault="008112BD" w:rsidP="008112BD">
      <w:pPr>
        <w:pStyle w:val="Amain"/>
      </w:pPr>
      <w:r>
        <w:tab/>
        <w:t>(1)</w:t>
      </w:r>
      <w:r>
        <w:tab/>
        <w:t>An instalment order ceases to have effect if—</w:t>
      </w:r>
    </w:p>
    <w:p w14:paraId="7FB74633" w14:textId="77777777" w:rsidR="008112BD" w:rsidRDefault="008112BD" w:rsidP="008112BD">
      <w:pPr>
        <w:pStyle w:val="Apara"/>
      </w:pPr>
      <w:r>
        <w:tab/>
        <w:t>(a)</w:t>
      </w:r>
      <w:r>
        <w:tab/>
        <w:t>the order debt is satisfied; or</w:t>
      </w:r>
    </w:p>
    <w:p w14:paraId="350D1D38" w14:textId="77777777" w:rsidR="008112BD" w:rsidRDefault="008112BD" w:rsidP="008112BD">
      <w:pPr>
        <w:pStyle w:val="Apara"/>
      </w:pPr>
      <w:r>
        <w:tab/>
        <w:t>(b)</w:t>
      </w:r>
      <w:r>
        <w:tab/>
        <w:t>the instalment order is set aside or ends in accordance with its terms; or</w:t>
      </w:r>
    </w:p>
    <w:p w14:paraId="5326CF93" w14:textId="77777777" w:rsidR="008112BD" w:rsidRDefault="008112BD" w:rsidP="008112BD">
      <w:pPr>
        <w:pStyle w:val="Apara"/>
        <w:keepNext/>
      </w:pPr>
      <w:r>
        <w:tab/>
        <w:t>(c)</w:t>
      </w:r>
      <w:r>
        <w:tab/>
        <w:t>unless the court otherwise orders, another enforcement order is made in relation to the order debt.</w:t>
      </w:r>
    </w:p>
    <w:p w14:paraId="12F6194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633F789" w14:textId="77777777"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14:paraId="12ABEE3B" w14:textId="3827AB86"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191" w:history="1">
        <w:r w:rsidRPr="00E44E15">
          <w:rPr>
            <w:rStyle w:val="charCitHyperlinkAbbrev"/>
          </w:rPr>
          <w:t>AF2006-302</w:t>
        </w:r>
      </w:hyperlink>
      <w:r>
        <w:t>.</w:t>
      </w:r>
    </w:p>
    <w:p w14:paraId="68DF0E65" w14:textId="77777777" w:rsidR="008112BD" w:rsidRDefault="008112BD" w:rsidP="008112BD">
      <w:pPr>
        <w:pStyle w:val="Amain"/>
      </w:pPr>
      <w:r>
        <w:tab/>
        <w:t>(3)</w:t>
      </w:r>
      <w:r>
        <w:tab/>
        <w:t>The enforcement creditor must file a copy of the notice in the court.</w:t>
      </w:r>
    </w:p>
    <w:p w14:paraId="50382509" w14:textId="77777777" w:rsidR="008112BD" w:rsidRDefault="008112BD" w:rsidP="008112BD">
      <w:pPr>
        <w:pStyle w:val="AH5Sec"/>
      </w:pPr>
      <w:bookmarkStart w:id="686" w:name="_Toc185514302"/>
      <w:r w:rsidRPr="00C8328B">
        <w:rPr>
          <w:rStyle w:val="CharSectNo"/>
        </w:rPr>
        <w:t>2162</w:t>
      </w:r>
      <w:r>
        <w:tab/>
        <w:t>Instalment order—ceasing to have effect for nonpayment</w:t>
      </w:r>
      <w:bookmarkEnd w:id="686"/>
    </w:p>
    <w:p w14:paraId="14F1BD23" w14:textId="77777777" w:rsidR="008112BD" w:rsidRDefault="008112BD" w:rsidP="008112BD">
      <w:pPr>
        <w:pStyle w:val="Amain"/>
      </w:pPr>
      <w:r>
        <w:tab/>
        <w:t>(1)</w:t>
      </w:r>
      <w:r>
        <w:tab/>
        <w:t>An instalment order ceases to have effect if—</w:t>
      </w:r>
    </w:p>
    <w:p w14:paraId="18F1ACA7" w14:textId="77777777" w:rsidR="008112BD" w:rsidRDefault="008112BD" w:rsidP="008112BD">
      <w:pPr>
        <w:pStyle w:val="Apara"/>
      </w:pPr>
      <w:r>
        <w:tab/>
        <w:t>(a)</w:t>
      </w:r>
      <w:r>
        <w:tab/>
        <w:t>the enforcement debtor fails to make 2 consecutive payments under the order at the times required by the order; and</w:t>
      </w:r>
    </w:p>
    <w:p w14:paraId="0A793A58" w14:textId="77777777" w:rsidR="008112BD" w:rsidRDefault="008112BD" w:rsidP="008112BD">
      <w:pPr>
        <w:pStyle w:val="Apara"/>
      </w:pPr>
      <w:r>
        <w:tab/>
        <w:t>(b)</w:t>
      </w:r>
      <w:r>
        <w:tab/>
        <w:t>the enforcement creditor files in the court an affidavit stating that fact.</w:t>
      </w:r>
    </w:p>
    <w:p w14:paraId="67BFF3DE" w14:textId="77777777" w:rsidR="008112BD" w:rsidRDefault="008112BD" w:rsidP="008112BD">
      <w:pPr>
        <w:pStyle w:val="Amain"/>
      </w:pPr>
      <w:r>
        <w:tab/>
        <w:t>(2)</w:t>
      </w:r>
      <w:r>
        <w:tab/>
        <w:t>If an instalment order ceases to have effect under subrule (1), the enforcement creditor must serve on the enforcement debtor—</w:t>
      </w:r>
    </w:p>
    <w:p w14:paraId="49FB8ACD" w14:textId="77777777" w:rsidR="008112BD" w:rsidRDefault="008112BD" w:rsidP="008112BD">
      <w:pPr>
        <w:pStyle w:val="Apara"/>
      </w:pPr>
      <w:r>
        <w:tab/>
        <w:t>(a)</w:t>
      </w:r>
      <w:r>
        <w:tab/>
        <w:t>a stamped copy of the affidavit; and</w:t>
      </w:r>
    </w:p>
    <w:p w14:paraId="5208BDAD" w14:textId="77777777" w:rsidR="008112BD" w:rsidRDefault="008112BD" w:rsidP="008112BD">
      <w:pPr>
        <w:pStyle w:val="Apara"/>
        <w:keepNext/>
      </w:pPr>
      <w:r>
        <w:tab/>
        <w:t>(b)</w:t>
      </w:r>
      <w:r>
        <w:tab/>
        <w:t>a notice telling the enforcement debtor that the instalment order has ceased to have effect.</w:t>
      </w:r>
    </w:p>
    <w:p w14:paraId="34618292" w14:textId="4FE64C71"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192" w:history="1">
        <w:r w:rsidRPr="00E44E15">
          <w:rPr>
            <w:rStyle w:val="charCitHyperlinkAbbrev"/>
          </w:rPr>
          <w:t>AF2006-303</w:t>
        </w:r>
      </w:hyperlink>
      <w:r>
        <w:t>.</w:t>
      </w:r>
    </w:p>
    <w:p w14:paraId="1BDAE406" w14:textId="77777777" w:rsidR="008112BD" w:rsidRDefault="008112BD" w:rsidP="008112BD">
      <w:pPr>
        <w:pStyle w:val="Amain"/>
      </w:pPr>
      <w:r>
        <w:tab/>
        <w:t>(3)</w:t>
      </w:r>
      <w:r>
        <w:tab/>
        <w:t>The enforcement creditor must file a copy of the notice in the court.</w:t>
      </w:r>
    </w:p>
    <w:p w14:paraId="376A6A82" w14:textId="77777777" w:rsidR="008112BD" w:rsidRDefault="008112BD" w:rsidP="008112BD">
      <w:pPr>
        <w:pStyle w:val="AH5Sec"/>
      </w:pPr>
      <w:bookmarkStart w:id="687" w:name="_Toc185514303"/>
      <w:r w:rsidRPr="00C8328B">
        <w:rPr>
          <w:rStyle w:val="CharSectNo"/>
        </w:rPr>
        <w:t>2163</w:t>
      </w:r>
      <w:r>
        <w:tab/>
        <w:t>Instalment order—record of payments</w:t>
      </w:r>
      <w:bookmarkEnd w:id="687"/>
    </w:p>
    <w:p w14:paraId="0884DD23" w14:textId="77777777"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14:paraId="6C244E5F" w14:textId="77777777"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14:paraId="47DF775D" w14:textId="77777777"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14:paraId="62F31781"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22D99F3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11BD8AF3" w14:textId="77777777" w:rsidR="008112BD" w:rsidRDefault="008112BD" w:rsidP="008112BD">
      <w:pPr>
        <w:pStyle w:val="Apara"/>
      </w:pPr>
      <w:r>
        <w:tab/>
        <w:t>(a)</w:t>
      </w:r>
      <w:r>
        <w:tab/>
        <w:t>an order requiring the enforcement creditor to—</w:t>
      </w:r>
    </w:p>
    <w:p w14:paraId="2F8845D3" w14:textId="77777777" w:rsidR="008112BD" w:rsidRDefault="008112BD" w:rsidP="008112BD">
      <w:pPr>
        <w:pStyle w:val="Asubpara"/>
      </w:pPr>
      <w:r>
        <w:tab/>
        <w:t>(i)</w:t>
      </w:r>
      <w:r>
        <w:tab/>
        <w:t>file in the court a copy of all or part of the record verified by affidavit; or</w:t>
      </w:r>
    </w:p>
    <w:p w14:paraId="19EB7650" w14:textId="77777777" w:rsidR="008112BD" w:rsidRDefault="008112BD" w:rsidP="008112BD">
      <w:pPr>
        <w:pStyle w:val="Asubpara"/>
      </w:pPr>
      <w:r>
        <w:tab/>
        <w:t>(ii)</w:t>
      </w:r>
      <w:r>
        <w:tab/>
        <w:t>give the enforcement debtor a copy of all or part of the record; or</w:t>
      </w:r>
    </w:p>
    <w:p w14:paraId="7926998D"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58DDA2C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49BB273A" w14:textId="77777777" w:rsidR="008112BD" w:rsidRPr="00C8328B" w:rsidRDefault="008112BD" w:rsidP="008112BD">
      <w:pPr>
        <w:pStyle w:val="AH3Div"/>
      </w:pPr>
      <w:bookmarkStart w:id="688" w:name="_Toc185514304"/>
      <w:r w:rsidRPr="00C8328B">
        <w:rPr>
          <w:rStyle w:val="CharDivNo"/>
        </w:rPr>
        <w:lastRenderedPageBreak/>
        <w:t>Division 2.18.5</w:t>
      </w:r>
      <w:r>
        <w:tab/>
      </w:r>
      <w:r w:rsidRPr="00C8328B">
        <w:rPr>
          <w:rStyle w:val="CharDivText"/>
        </w:rPr>
        <w:t>Enforcement of money orders—seizure and sale orders</w:t>
      </w:r>
      <w:bookmarkEnd w:id="688"/>
    </w:p>
    <w:p w14:paraId="2BDCC1F9" w14:textId="77777777" w:rsidR="008112BD" w:rsidRDefault="008112BD" w:rsidP="008112BD">
      <w:pPr>
        <w:pStyle w:val="AH5Sec"/>
      </w:pPr>
      <w:bookmarkStart w:id="689" w:name="_Toc185514305"/>
      <w:r w:rsidRPr="00C8328B">
        <w:rPr>
          <w:rStyle w:val="CharSectNo"/>
        </w:rPr>
        <w:t>2200</w:t>
      </w:r>
      <w:r>
        <w:tab/>
        <w:t>Seizure and sale order—making</w:t>
      </w:r>
      <w:bookmarkEnd w:id="689"/>
    </w:p>
    <w:p w14:paraId="4F0A487F" w14:textId="77777777"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14:paraId="588BFE36" w14:textId="77777777"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14:paraId="0DA441CD"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717D0353" w14:textId="77777777" w:rsidR="008112BD" w:rsidRDefault="008112BD" w:rsidP="008112BD">
      <w:pPr>
        <w:pStyle w:val="AH5Sec"/>
      </w:pPr>
      <w:bookmarkStart w:id="690" w:name="_Toc185514306"/>
      <w:r w:rsidRPr="00C8328B">
        <w:rPr>
          <w:rStyle w:val="CharSectNo"/>
        </w:rPr>
        <w:t>2201</w:t>
      </w:r>
      <w:r>
        <w:tab/>
        <w:t>Seizure and sale order—application</w:t>
      </w:r>
      <w:bookmarkEnd w:id="690"/>
    </w:p>
    <w:p w14:paraId="63F58DA6" w14:textId="77777777" w:rsidR="008112BD" w:rsidRDefault="008112BD" w:rsidP="008112BD">
      <w:pPr>
        <w:pStyle w:val="Amain"/>
      </w:pPr>
      <w:r>
        <w:tab/>
        <w:t>(1)</w:t>
      </w:r>
      <w:r>
        <w:tab/>
        <w:t>An application for a seizure and sale order is made by filing in the court—</w:t>
      </w:r>
    </w:p>
    <w:p w14:paraId="5E47F4F1" w14:textId="77777777" w:rsidR="008112BD" w:rsidRDefault="008112BD" w:rsidP="008112BD">
      <w:pPr>
        <w:pStyle w:val="Apara"/>
      </w:pPr>
      <w:r>
        <w:tab/>
        <w:t>(a)</w:t>
      </w:r>
      <w:r>
        <w:tab/>
        <w:t>a draft of the order sought; and</w:t>
      </w:r>
    </w:p>
    <w:p w14:paraId="098CA103" w14:textId="77777777" w:rsidR="008112BD" w:rsidRDefault="008112BD" w:rsidP="008112BD">
      <w:pPr>
        <w:pStyle w:val="Apara"/>
        <w:keepNext/>
      </w:pPr>
      <w:r>
        <w:tab/>
        <w:t>(b)</w:t>
      </w:r>
      <w:r>
        <w:tab/>
        <w:t>an affidavit in support of the application.</w:t>
      </w:r>
    </w:p>
    <w:p w14:paraId="7309B34C" w14:textId="59E2CADD" w:rsidR="008112BD" w:rsidRDefault="008112BD" w:rsidP="008112BD">
      <w:pPr>
        <w:pStyle w:val="aNote"/>
      </w:pPr>
      <w:r w:rsidRPr="00FE0788">
        <w:rPr>
          <w:rStyle w:val="charItals"/>
        </w:rPr>
        <w:t>Note</w:t>
      </w:r>
      <w:r>
        <w:tab/>
        <w:t xml:space="preserve">See approved form 2.59 (Seizure and sale order) </w:t>
      </w:r>
      <w:hyperlink r:id="rId193" w:history="1">
        <w:r w:rsidRPr="00E44E15">
          <w:rPr>
            <w:rStyle w:val="charCitHyperlinkAbbrev"/>
          </w:rPr>
          <w:t>AF2006-304</w:t>
        </w:r>
      </w:hyperlink>
      <w:r>
        <w:t>.</w:t>
      </w:r>
    </w:p>
    <w:p w14:paraId="56306830" w14:textId="77777777" w:rsidR="008112BD" w:rsidRDefault="008112BD" w:rsidP="008112BD">
      <w:pPr>
        <w:pStyle w:val="Amain"/>
        <w:keepNext/>
      </w:pPr>
      <w:r>
        <w:tab/>
        <w:t>(2)</w:t>
      </w:r>
      <w:r>
        <w:tab/>
        <w:t>The affidavit in support must state—</w:t>
      </w:r>
    </w:p>
    <w:p w14:paraId="1A19E3C3" w14:textId="77777777" w:rsidR="008112BD" w:rsidRDefault="008112BD" w:rsidP="008112BD">
      <w:pPr>
        <w:pStyle w:val="Apara"/>
        <w:keepNext/>
      </w:pPr>
      <w:r>
        <w:tab/>
        <w:t>(a)</w:t>
      </w:r>
      <w:r>
        <w:tab/>
        <w:t>the date the money order was made; and</w:t>
      </w:r>
    </w:p>
    <w:p w14:paraId="6E438003" w14:textId="77777777" w:rsidR="008112BD" w:rsidRDefault="008112BD" w:rsidP="008112BD">
      <w:pPr>
        <w:pStyle w:val="Apara"/>
      </w:pPr>
      <w:r>
        <w:tab/>
        <w:t>(b)</w:t>
      </w:r>
      <w:r>
        <w:tab/>
        <w:t>the date a sealed copy of the money order, and the notice in accordance with rule 2015 (2), was served on the enforcement debtor; and</w:t>
      </w:r>
    </w:p>
    <w:p w14:paraId="2E92DA91" w14:textId="77777777" w:rsidR="008112BD" w:rsidRDefault="008112BD" w:rsidP="008112BD">
      <w:pPr>
        <w:pStyle w:val="Apara"/>
      </w:pPr>
      <w:r>
        <w:lastRenderedPageBreak/>
        <w:tab/>
        <w:t>(c)</w:t>
      </w:r>
      <w:r>
        <w:tab/>
        <w:t>the amount of the order debt; and</w:t>
      </w:r>
    </w:p>
    <w:p w14:paraId="52D7C0AB" w14:textId="77777777" w:rsidR="008112BD" w:rsidRDefault="008112BD" w:rsidP="008112BD">
      <w:pPr>
        <w:pStyle w:val="Apara"/>
      </w:pPr>
      <w:r>
        <w:tab/>
        <w:t>(d)</w:t>
      </w:r>
      <w:r>
        <w:tab/>
        <w:t>that the order debt has not been fully paid; and</w:t>
      </w:r>
    </w:p>
    <w:p w14:paraId="3A0751B7" w14:textId="77777777" w:rsidR="008112BD" w:rsidRDefault="008112BD" w:rsidP="008112BD">
      <w:pPr>
        <w:pStyle w:val="Apara"/>
      </w:pPr>
      <w:r>
        <w:tab/>
        <w:t>(e)</w:t>
      </w:r>
      <w:r>
        <w:tab/>
        <w:t>the date and amount of each payment (if any) made under the order; and</w:t>
      </w:r>
    </w:p>
    <w:p w14:paraId="45D69B0B" w14:textId="77777777" w:rsidR="008112BD" w:rsidRDefault="008112BD" w:rsidP="008112BD">
      <w:pPr>
        <w:pStyle w:val="Apara"/>
      </w:pPr>
      <w:r>
        <w:tab/>
        <w:t>(f)</w:t>
      </w:r>
      <w:r>
        <w:tab/>
        <w:t>the costs incurred in previous enforcement proceedings in relation to the order; and</w:t>
      </w:r>
    </w:p>
    <w:p w14:paraId="5506CC5D"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00DADDB0"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7774A81" w14:textId="77777777" w:rsidR="008112BD" w:rsidRDefault="008112BD" w:rsidP="008112BD">
      <w:pPr>
        <w:pStyle w:val="Apara"/>
      </w:pPr>
      <w:r>
        <w:tab/>
        <w:t>(i)</w:t>
      </w:r>
      <w:r>
        <w:tab/>
        <w:t>the daily amount of any interest that, subject to any future payment under the order, will accrue after the affidavit date; and</w:t>
      </w:r>
    </w:p>
    <w:p w14:paraId="66721F16" w14:textId="77777777" w:rsidR="008112BD" w:rsidRDefault="008112BD" w:rsidP="008112BD">
      <w:pPr>
        <w:pStyle w:val="Apara"/>
      </w:pPr>
      <w:r>
        <w:tab/>
        <w:t>(j)</w:t>
      </w:r>
      <w:r>
        <w:tab/>
        <w:t>any addresses where property belonging to the enforcement debtor may be located; and</w:t>
      </w:r>
    </w:p>
    <w:p w14:paraId="431F8DB2" w14:textId="77777777" w:rsidR="008112BD" w:rsidRDefault="008112BD" w:rsidP="008112BD">
      <w:pPr>
        <w:pStyle w:val="Apara"/>
      </w:pPr>
      <w:r>
        <w:tab/>
        <w:t>(k)</w:t>
      </w:r>
      <w:r>
        <w:tab/>
        <w:t>any other information necessary for the order being sought.</w:t>
      </w:r>
    </w:p>
    <w:p w14:paraId="2C8BC56D" w14:textId="77777777" w:rsidR="008112BD" w:rsidRDefault="008112BD" w:rsidP="008112BD">
      <w:pPr>
        <w:pStyle w:val="Amain"/>
      </w:pPr>
      <w:r>
        <w:tab/>
        <w:t>(3)</w:t>
      </w:r>
      <w:r>
        <w:tab/>
        <w:t>The affidavit must be sworn not earlier than 2 days before the day the application is filed in the court.</w:t>
      </w:r>
    </w:p>
    <w:p w14:paraId="09219F52" w14:textId="77777777" w:rsidR="008112BD" w:rsidRDefault="008112BD" w:rsidP="008112BD">
      <w:pPr>
        <w:pStyle w:val="Amain"/>
      </w:pPr>
      <w:r>
        <w:tab/>
        <w:t>(4)</w:t>
      </w:r>
      <w:r>
        <w:tab/>
        <w:t>Part 6.2 (Applications in proceedings) does not apply to the application.</w:t>
      </w:r>
    </w:p>
    <w:p w14:paraId="69E9D385" w14:textId="77777777" w:rsidR="008112BD" w:rsidRDefault="008112BD" w:rsidP="008112BD">
      <w:pPr>
        <w:pStyle w:val="Amain"/>
      </w:pPr>
      <w:r>
        <w:tab/>
        <w:t>(5)</w:t>
      </w:r>
      <w:r>
        <w:tab/>
        <w:t>The affidavit and draft order need not be served on anyone unless the court otherwise orders on its own initiative.</w:t>
      </w:r>
    </w:p>
    <w:p w14:paraId="4A648123" w14:textId="77777777"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14:paraId="0CBB042B" w14:textId="77777777" w:rsidR="008112BD" w:rsidRDefault="008112BD" w:rsidP="008112BD">
      <w:pPr>
        <w:pStyle w:val="AH5Sec"/>
      </w:pPr>
      <w:bookmarkStart w:id="691" w:name="_Toc185514307"/>
      <w:r w:rsidRPr="00C8328B">
        <w:rPr>
          <w:rStyle w:val="CharSectNo"/>
        </w:rPr>
        <w:lastRenderedPageBreak/>
        <w:t>2202</w:t>
      </w:r>
      <w:r>
        <w:tab/>
        <w:t>Seizure and sale order—additional exempt property</w:t>
      </w:r>
      <w:bookmarkEnd w:id="691"/>
    </w:p>
    <w:p w14:paraId="7D9BA109" w14:textId="77777777"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14:paraId="567DD80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4D60EEA" w14:textId="77777777"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14:paraId="1306F696" w14:textId="77777777"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14:paraId="0D2E883A" w14:textId="77777777" w:rsidR="008112BD" w:rsidRDefault="008112BD" w:rsidP="008112BD">
      <w:pPr>
        <w:pStyle w:val="AH5Sec"/>
      </w:pPr>
      <w:bookmarkStart w:id="692" w:name="_Toc185514308"/>
      <w:r w:rsidRPr="00C8328B">
        <w:rPr>
          <w:rStyle w:val="CharSectNo"/>
        </w:rPr>
        <w:t>2203</w:t>
      </w:r>
      <w:r>
        <w:tab/>
        <w:t>Seizure and sale order—entry, search and seizure powers if no consent</w:t>
      </w:r>
      <w:bookmarkEnd w:id="692"/>
    </w:p>
    <w:p w14:paraId="4D2CC13B" w14:textId="77777777" w:rsidR="008112BD" w:rsidRDefault="008112BD" w:rsidP="008112BD">
      <w:pPr>
        <w:pStyle w:val="Amain"/>
      </w:pPr>
      <w:r>
        <w:tab/>
        <w:t>(1)</w:t>
      </w:r>
      <w:r>
        <w:tab/>
        <w:t>This rule applies if, in executing a seizure and sale order—</w:t>
      </w:r>
    </w:p>
    <w:p w14:paraId="48FDDC0F" w14:textId="77777777"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14:paraId="4DF00D4E" w14:textId="77777777" w:rsidR="008112BD" w:rsidRDefault="008112BD" w:rsidP="008112BD">
      <w:pPr>
        <w:pStyle w:val="Asubpara"/>
      </w:pPr>
      <w:r>
        <w:tab/>
        <w:t>(i)</w:t>
      </w:r>
      <w:r>
        <w:tab/>
        <w:t>about the procedure for execution of the order; and</w:t>
      </w:r>
    </w:p>
    <w:p w14:paraId="0D3B4BB8" w14:textId="77777777" w:rsidR="008112BD" w:rsidRDefault="008112BD" w:rsidP="008112BD">
      <w:pPr>
        <w:pStyle w:val="Asubpara"/>
      </w:pPr>
      <w:r>
        <w:tab/>
        <w:t>(ii)</w:t>
      </w:r>
      <w:r>
        <w:tab/>
        <w:t>that the enforcement officer intends to apply for an order for entry under this rule if entry is refused; or</w:t>
      </w:r>
    </w:p>
    <w:p w14:paraId="36D49847" w14:textId="77777777" w:rsidR="008112BD" w:rsidRDefault="008112BD" w:rsidP="008112BD">
      <w:pPr>
        <w:pStyle w:val="Apara"/>
      </w:pPr>
      <w:r>
        <w:tab/>
        <w:t>(b)</w:t>
      </w:r>
      <w:r>
        <w:tab/>
        <w:t>an enforcement officer—</w:t>
      </w:r>
    </w:p>
    <w:p w14:paraId="14E2ABBF" w14:textId="77777777"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14:paraId="56E36A98" w14:textId="77777777" w:rsidR="008112BD" w:rsidRDefault="008112BD" w:rsidP="008112BD">
      <w:pPr>
        <w:pStyle w:val="Asubpara"/>
      </w:pPr>
      <w:r>
        <w:tab/>
        <w:t>(ii)</w:t>
      </w:r>
      <w:r>
        <w:tab/>
        <w:t>has been unable to make contact with the enforcement debtor or any other occupier of the premises.</w:t>
      </w:r>
    </w:p>
    <w:p w14:paraId="6D7D2980" w14:textId="77777777"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14:paraId="75ADFCFF" w14:textId="77777777" w:rsidR="008112BD" w:rsidRDefault="008112BD" w:rsidP="008112BD">
      <w:pPr>
        <w:pStyle w:val="Apara"/>
      </w:pPr>
      <w:r>
        <w:tab/>
        <w:t>(a)</w:t>
      </w:r>
      <w:r>
        <w:tab/>
        <w:t>using the force and assistance that is reasonable and necessary; and</w:t>
      </w:r>
    </w:p>
    <w:p w14:paraId="2ECFB940" w14:textId="77777777" w:rsidR="008112BD" w:rsidRDefault="008112BD" w:rsidP="008112BD">
      <w:pPr>
        <w:pStyle w:val="Apara"/>
      </w:pPr>
      <w:r>
        <w:tab/>
        <w:t>(b)</w:t>
      </w:r>
      <w:r>
        <w:tab/>
        <w:t>with the assistance of a police officer or police officers if the enforcement officer considers the assistance to be necessary.</w:t>
      </w:r>
    </w:p>
    <w:p w14:paraId="72029467" w14:textId="77777777" w:rsidR="008112BD" w:rsidRDefault="008112BD" w:rsidP="008112BD">
      <w:pPr>
        <w:pStyle w:val="Amain"/>
      </w:pPr>
      <w:r>
        <w:tab/>
        <w:t>(3)</w:t>
      </w:r>
      <w:r>
        <w:tab/>
        <w:t>Without limiting subrule (2), an order under that subrule is sufficient authority for the enforcement officer—</w:t>
      </w:r>
    </w:p>
    <w:p w14:paraId="6804308C" w14:textId="77777777" w:rsidR="008112BD" w:rsidRDefault="008112BD" w:rsidP="008112BD">
      <w:pPr>
        <w:pStyle w:val="Apara"/>
      </w:pPr>
      <w:r>
        <w:tab/>
        <w:t>(a)</w:t>
      </w:r>
      <w:r>
        <w:tab/>
        <w:t>to search the enforcement debtor’s premises for anything that the enforcement officer is entitled to seize in execution of the seizure and sale order; and</w:t>
      </w:r>
    </w:p>
    <w:p w14:paraId="03C751E4" w14:textId="77777777" w:rsidR="008112BD" w:rsidRDefault="008112BD" w:rsidP="008112BD">
      <w:pPr>
        <w:pStyle w:val="Apara"/>
      </w:pPr>
      <w:r>
        <w:tab/>
        <w:t>(b)</w:t>
      </w:r>
      <w:r>
        <w:tab/>
        <w:t>to seize and remove anything the enforcement officer is entitled to seize in execution of the seizure and sale order.</w:t>
      </w:r>
    </w:p>
    <w:p w14:paraId="109D41F1" w14:textId="77777777" w:rsidR="008112BD" w:rsidRDefault="008112BD" w:rsidP="008112BD">
      <w:pPr>
        <w:pStyle w:val="Amain"/>
        <w:keepNext/>
      </w:pPr>
      <w:r>
        <w:tab/>
        <w:t>(4)</w:t>
      </w:r>
      <w:r>
        <w:tab/>
        <w:t>The court must not make an order under subrule (2) in relation to premises unless satisfied that—</w:t>
      </w:r>
    </w:p>
    <w:p w14:paraId="7BF7712C" w14:textId="77777777" w:rsidR="008112BD" w:rsidRDefault="008112BD" w:rsidP="008112BD">
      <w:pPr>
        <w:pStyle w:val="Apara"/>
      </w:pPr>
      <w:r>
        <w:tab/>
        <w:t>(a)</w:t>
      </w:r>
      <w:r>
        <w:tab/>
        <w:t>the enforcement debtor lives at the premises; or</w:t>
      </w:r>
    </w:p>
    <w:p w14:paraId="5EBD8EC8" w14:textId="77777777" w:rsidR="008112BD" w:rsidRDefault="008112BD" w:rsidP="008112BD">
      <w:pPr>
        <w:pStyle w:val="Apara"/>
      </w:pPr>
      <w:r>
        <w:tab/>
        <w:t>(b)</w:t>
      </w:r>
      <w:r>
        <w:tab/>
        <w:t>something the enforcement officer is entitled to seize is at the premises; or</w:t>
      </w:r>
    </w:p>
    <w:p w14:paraId="291B7AC8" w14:textId="77777777" w:rsidR="008112BD" w:rsidRDefault="008112BD" w:rsidP="008112BD">
      <w:pPr>
        <w:pStyle w:val="Apara"/>
      </w:pPr>
      <w:r>
        <w:tab/>
        <w:t>(c)</w:t>
      </w:r>
      <w:r>
        <w:tab/>
        <w:t>the enforcement officer is entitled to sell the premises.</w:t>
      </w:r>
    </w:p>
    <w:p w14:paraId="1E420241" w14:textId="77777777" w:rsidR="008112BD" w:rsidRDefault="008112BD" w:rsidP="008112BD">
      <w:pPr>
        <w:pStyle w:val="Amain"/>
      </w:pPr>
      <w:r>
        <w:tab/>
        <w:t>(5)</w:t>
      </w:r>
      <w:r>
        <w:tab/>
        <w:t>An enforcement officer is not civilly liable for anything done or omitted to be done honestly and without recklessness in executing an order under subrule (2).</w:t>
      </w:r>
    </w:p>
    <w:p w14:paraId="655D48E9" w14:textId="77777777" w:rsidR="008112BD" w:rsidRDefault="008112BD" w:rsidP="008112BD">
      <w:pPr>
        <w:pStyle w:val="Amain"/>
      </w:pPr>
      <w:r>
        <w:tab/>
        <w:t>(6)</w:t>
      </w:r>
      <w:r>
        <w:tab/>
        <w:t>This rule does not limit any other power of an enforcement officer or the court in relation to the execution of an enforcement order.</w:t>
      </w:r>
    </w:p>
    <w:p w14:paraId="46C2EF8E" w14:textId="77777777" w:rsidR="008112BD" w:rsidRDefault="008112BD" w:rsidP="008112BD">
      <w:pPr>
        <w:pStyle w:val="Amain"/>
        <w:keepNext/>
      </w:pPr>
      <w:r>
        <w:tab/>
        <w:t>(7)</w:t>
      </w:r>
      <w:r>
        <w:tab/>
        <w:t>In this rule:</w:t>
      </w:r>
    </w:p>
    <w:p w14:paraId="3F6CFD6B" w14:textId="77777777" w:rsidR="008112BD" w:rsidRDefault="008112BD" w:rsidP="008112BD">
      <w:pPr>
        <w:pStyle w:val="aDef"/>
      </w:pPr>
      <w:r w:rsidRPr="00FE0788">
        <w:rPr>
          <w:rStyle w:val="charBoldItals"/>
        </w:rPr>
        <w:t>enforcement debtor’s premises</w:t>
      </w:r>
      <w:r>
        <w:t xml:space="preserve"> means premises occupied by the enforcement debtor.</w:t>
      </w:r>
    </w:p>
    <w:p w14:paraId="5342BBC0" w14:textId="77777777" w:rsidR="008112BD" w:rsidRDefault="008112BD" w:rsidP="008112BD">
      <w:pPr>
        <w:pStyle w:val="AH5Sec"/>
      </w:pPr>
      <w:bookmarkStart w:id="693" w:name="_Toc185514309"/>
      <w:r w:rsidRPr="00C8328B">
        <w:rPr>
          <w:rStyle w:val="CharSectNo"/>
        </w:rPr>
        <w:lastRenderedPageBreak/>
        <w:t>2204</w:t>
      </w:r>
      <w:r>
        <w:tab/>
        <w:t>Seizure and sale order—assistance to enforcement debtor</w:t>
      </w:r>
      <w:bookmarkEnd w:id="693"/>
    </w:p>
    <w:p w14:paraId="42299256" w14:textId="77777777"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14:paraId="4FDFC20F" w14:textId="77777777"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14:paraId="5624AAF7" w14:textId="77777777"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14:paraId="57BFA6B0" w14:textId="09F77F10" w:rsidR="008112BD" w:rsidRDefault="008112BD" w:rsidP="008112BD">
      <w:pPr>
        <w:pStyle w:val="aNote"/>
      </w:pPr>
      <w:r w:rsidRPr="00FE0788">
        <w:rPr>
          <w:rStyle w:val="charItals"/>
        </w:rPr>
        <w:t>Note</w:t>
      </w:r>
      <w:r>
        <w:tab/>
        <w:t xml:space="preserve">See approved form 2.60 (Notice to enforcement debtor about seizure and sale order) </w:t>
      </w:r>
      <w:hyperlink r:id="rId194" w:history="1">
        <w:r w:rsidRPr="00E44E15">
          <w:rPr>
            <w:rStyle w:val="charCitHyperlinkAbbrev"/>
          </w:rPr>
          <w:t>AF2006-305</w:t>
        </w:r>
      </w:hyperlink>
      <w:r>
        <w:t>.</w:t>
      </w:r>
    </w:p>
    <w:p w14:paraId="6E6A896C" w14:textId="77777777"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14:paraId="0826EC20" w14:textId="77777777" w:rsidR="008112BD" w:rsidRDefault="008112BD" w:rsidP="008112BD">
      <w:pPr>
        <w:pStyle w:val="Amain"/>
      </w:pPr>
      <w:r>
        <w:tab/>
        <w:t>(3)</w:t>
      </w:r>
      <w:r>
        <w:tab/>
        <w:t>The costs of complying with this rule are costs of enforcement of the seizure and sale order.</w:t>
      </w:r>
    </w:p>
    <w:p w14:paraId="583D2CB7" w14:textId="77777777" w:rsidR="008112BD" w:rsidRDefault="008112BD" w:rsidP="008112BD">
      <w:pPr>
        <w:pStyle w:val="AH5Sec"/>
      </w:pPr>
      <w:bookmarkStart w:id="694" w:name="_Toc185514310"/>
      <w:r w:rsidRPr="00C8328B">
        <w:rPr>
          <w:rStyle w:val="CharSectNo"/>
        </w:rPr>
        <w:t>2205</w:t>
      </w:r>
      <w:r>
        <w:tab/>
        <w:t>Seizure and sale order—notice of order</w:t>
      </w:r>
      <w:bookmarkEnd w:id="694"/>
    </w:p>
    <w:p w14:paraId="3DE93EF3" w14:textId="77777777" w:rsidR="008112BD" w:rsidRDefault="008112BD" w:rsidP="008112BD">
      <w:pPr>
        <w:pStyle w:val="Amain"/>
      </w:pPr>
      <w:r>
        <w:tab/>
        <w:t>(1)</w:t>
      </w:r>
      <w:r>
        <w:tab/>
        <w:t>This rule applies if—</w:t>
      </w:r>
    </w:p>
    <w:p w14:paraId="3820BB48" w14:textId="77777777" w:rsidR="008112BD" w:rsidRDefault="008112BD" w:rsidP="008112BD">
      <w:pPr>
        <w:pStyle w:val="Apara"/>
      </w:pPr>
      <w:r>
        <w:tab/>
        <w:t>(a)</w:t>
      </w:r>
      <w:r>
        <w:tab/>
        <w:t>an enforcement officer enters premises for the first time for the purpose of executing a seizure and sale order; or</w:t>
      </w:r>
    </w:p>
    <w:p w14:paraId="5ABD8C2D" w14:textId="77777777" w:rsidR="008112BD" w:rsidRDefault="008112BD" w:rsidP="008112BD">
      <w:pPr>
        <w:pStyle w:val="Apara"/>
      </w:pPr>
      <w:r>
        <w:tab/>
        <w:t>(b)</w:t>
      </w:r>
      <w:r>
        <w:tab/>
        <w:t>an enforcement officer seizes personal property under a seizure and sale order for the first time at a place.</w:t>
      </w:r>
    </w:p>
    <w:p w14:paraId="34B77E14" w14:textId="77777777" w:rsidR="008112BD" w:rsidRDefault="008112BD" w:rsidP="00DA58AC">
      <w:pPr>
        <w:pStyle w:val="Amain"/>
        <w:keepNext/>
      </w:pPr>
      <w:r>
        <w:lastRenderedPageBreak/>
        <w:tab/>
        <w:t>(2)</w:t>
      </w:r>
      <w:r>
        <w:tab/>
        <w:t>If subrule (1) (a) applies, the enforcement officer must give a sealed copy of the seizure and sale order to—</w:t>
      </w:r>
    </w:p>
    <w:p w14:paraId="7E6C9609" w14:textId="77777777" w:rsidR="008112BD" w:rsidRDefault="008112BD" w:rsidP="008112BD">
      <w:pPr>
        <w:pStyle w:val="Apara"/>
      </w:pPr>
      <w:r>
        <w:tab/>
        <w:t>(a)</w:t>
      </w:r>
      <w:r>
        <w:tab/>
        <w:t>the enforcement debtor; or</w:t>
      </w:r>
    </w:p>
    <w:p w14:paraId="26C4D021" w14:textId="77777777" w:rsidR="008112BD" w:rsidRDefault="008112BD" w:rsidP="008112BD">
      <w:pPr>
        <w:pStyle w:val="Apara"/>
      </w:pPr>
      <w:r>
        <w:tab/>
        <w:t>(b)</w:t>
      </w:r>
      <w:r>
        <w:tab/>
        <w:t>if the enforcement debtor is not present but a person who appears to be at least 16 years old and to live or be employed at the premises is present—that person.</w:t>
      </w:r>
    </w:p>
    <w:p w14:paraId="67715B60" w14:textId="77777777" w:rsidR="008112BD" w:rsidRDefault="008112BD" w:rsidP="008112BD">
      <w:pPr>
        <w:pStyle w:val="Amain"/>
      </w:pPr>
      <w:r>
        <w:tab/>
        <w:t>(3)</w:t>
      </w:r>
      <w:r>
        <w:tab/>
        <w:t>If subrule (1) (b) applies, the enforcement officer must give a sealed copy of the seizure and sale order to—</w:t>
      </w:r>
    </w:p>
    <w:p w14:paraId="02CB6678" w14:textId="77777777" w:rsidR="008112BD" w:rsidRDefault="008112BD" w:rsidP="008112BD">
      <w:pPr>
        <w:pStyle w:val="Apara"/>
      </w:pPr>
      <w:r>
        <w:tab/>
        <w:t>(a)</w:t>
      </w:r>
      <w:r>
        <w:tab/>
        <w:t>the enforcement debtor; or</w:t>
      </w:r>
    </w:p>
    <w:p w14:paraId="5026AEFB" w14:textId="77777777"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14:paraId="7713C586" w14:textId="77777777"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14:paraId="4C8D9D91" w14:textId="77777777" w:rsidR="008112BD" w:rsidRDefault="008112BD" w:rsidP="008112BD">
      <w:pPr>
        <w:pStyle w:val="Amain"/>
      </w:pPr>
      <w:r>
        <w:tab/>
        <w:t>(5)</w:t>
      </w:r>
      <w:r>
        <w:tab/>
        <w:t>However, subrule (4) does not require the enforcement officer to leave a sealed copy of the order in a public place.</w:t>
      </w:r>
    </w:p>
    <w:p w14:paraId="6FE28F20" w14:textId="77777777"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14:paraId="6199BB74" w14:textId="77777777" w:rsidR="008112BD" w:rsidRDefault="008112BD" w:rsidP="008112BD">
      <w:pPr>
        <w:pStyle w:val="Apara"/>
      </w:pPr>
      <w:r>
        <w:tab/>
        <w:t>(a)</w:t>
      </w:r>
      <w:r>
        <w:tab/>
        <w:t>if the enforcement debtor has an address for service—at the enforcement debtor’s address for service; or</w:t>
      </w:r>
    </w:p>
    <w:p w14:paraId="61B942A8" w14:textId="77777777" w:rsidR="008112BD" w:rsidRDefault="008112BD" w:rsidP="008112BD">
      <w:pPr>
        <w:pStyle w:val="Apara"/>
      </w:pPr>
      <w:r>
        <w:tab/>
        <w:t>(b)</w:t>
      </w:r>
      <w:r>
        <w:tab/>
        <w:t>in any other case—in the same way that an originating process filed in the court to recover the debt may be served on the enforcement debtor under these rules.</w:t>
      </w:r>
    </w:p>
    <w:p w14:paraId="1B3F07FE" w14:textId="77777777"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14:paraId="5C225065" w14:textId="77777777" w:rsidR="008112BD" w:rsidRDefault="008112BD" w:rsidP="008112BD">
      <w:pPr>
        <w:pStyle w:val="Amain"/>
        <w:keepNext/>
      </w:pPr>
      <w:r>
        <w:lastRenderedPageBreak/>
        <w:tab/>
        <w:t>(8)</w:t>
      </w:r>
      <w:r>
        <w:tab/>
        <w:t>In this rule:</w:t>
      </w:r>
    </w:p>
    <w:p w14:paraId="2B732A94" w14:textId="77777777" w:rsidR="008112BD" w:rsidRDefault="008112BD" w:rsidP="008112BD">
      <w:pPr>
        <w:pStyle w:val="aDef"/>
      </w:pPr>
      <w:r w:rsidRPr="00FE0788">
        <w:rPr>
          <w:rStyle w:val="charBoldItals"/>
        </w:rPr>
        <w:t>premises</w:t>
      </w:r>
      <w:r>
        <w:t xml:space="preserve"> includes the land around premises occupied by the enforcement debtor.</w:t>
      </w:r>
    </w:p>
    <w:p w14:paraId="7C353B37" w14:textId="77777777" w:rsidR="008112BD" w:rsidRDefault="008112BD" w:rsidP="008112BD">
      <w:pPr>
        <w:pStyle w:val="AH5Sec"/>
      </w:pPr>
      <w:bookmarkStart w:id="695" w:name="_Toc185514311"/>
      <w:r w:rsidRPr="00C8328B">
        <w:rPr>
          <w:rStyle w:val="CharSectNo"/>
        </w:rPr>
        <w:t>2206</w:t>
      </w:r>
      <w:r>
        <w:tab/>
        <w:t>Seizure and sale order—notice of property seized</w:t>
      </w:r>
      <w:bookmarkEnd w:id="695"/>
    </w:p>
    <w:p w14:paraId="212DA9D0" w14:textId="77777777" w:rsidR="008112BD" w:rsidRDefault="008112BD" w:rsidP="008112BD">
      <w:pPr>
        <w:pStyle w:val="Amain"/>
      </w:pPr>
      <w:r>
        <w:tab/>
        <w:t>(1)</w:t>
      </w:r>
      <w:r>
        <w:tab/>
        <w:t>If an enforcement officer seizes personal property at a place under a seizure and sale order, the enforcement officer must—</w:t>
      </w:r>
    </w:p>
    <w:p w14:paraId="6FD85BB7" w14:textId="77777777" w:rsidR="008112BD" w:rsidRDefault="008112BD" w:rsidP="008112BD">
      <w:pPr>
        <w:pStyle w:val="Apara"/>
      </w:pPr>
      <w:r>
        <w:tab/>
        <w:t>(a)</w:t>
      </w:r>
      <w:r>
        <w:tab/>
        <w:t xml:space="preserve">make an inventory of the seized property that is sufficient to identify it; and </w:t>
      </w:r>
    </w:p>
    <w:p w14:paraId="5A435C70" w14:textId="77777777" w:rsidR="008112BD" w:rsidRDefault="008112BD" w:rsidP="008112BD">
      <w:pPr>
        <w:pStyle w:val="Apara"/>
      </w:pPr>
      <w:r>
        <w:tab/>
        <w:t>(b)</w:t>
      </w:r>
      <w:r>
        <w:tab/>
        <w:t>give notice of the seizure and a copy of the inventory to—</w:t>
      </w:r>
    </w:p>
    <w:p w14:paraId="653E1053" w14:textId="77777777" w:rsidR="008112BD" w:rsidRDefault="008112BD" w:rsidP="008112BD">
      <w:pPr>
        <w:pStyle w:val="Asubpara"/>
      </w:pPr>
      <w:r>
        <w:tab/>
        <w:t>(i)</w:t>
      </w:r>
      <w:r>
        <w:tab/>
        <w:t>the enforcement debtor; or</w:t>
      </w:r>
    </w:p>
    <w:p w14:paraId="19051F9D" w14:textId="77777777"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14:paraId="749A8D3E" w14:textId="79ECB9B9"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195" w:history="1">
        <w:r w:rsidRPr="00E44E15">
          <w:rPr>
            <w:rStyle w:val="charCitHyperlinkAbbrev"/>
          </w:rPr>
          <w:t>AF2006-306</w:t>
        </w:r>
      </w:hyperlink>
      <w:r>
        <w:t>.</w:t>
      </w:r>
    </w:p>
    <w:p w14:paraId="6829811A" w14:textId="77777777" w:rsidR="008112BD" w:rsidRDefault="008112BD" w:rsidP="008112BD">
      <w:pPr>
        <w:pStyle w:val="Amain"/>
        <w:keepNext/>
      </w:pPr>
      <w:r>
        <w:tab/>
        <w:t>(2)</w:t>
      </w:r>
      <w:r>
        <w:tab/>
        <w:t>The notice must include the following information:</w:t>
      </w:r>
    </w:p>
    <w:p w14:paraId="1B4AACC5" w14:textId="77777777" w:rsidR="008112BD" w:rsidRDefault="008112BD" w:rsidP="008112BD">
      <w:pPr>
        <w:pStyle w:val="Apara"/>
      </w:pPr>
      <w:r>
        <w:tab/>
        <w:t>(a)</w:t>
      </w:r>
      <w:r>
        <w:tab/>
        <w:t xml:space="preserve">the amount (including any amount payable for interest and costs) required to satisfy the order debt; </w:t>
      </w:r>
    </w:p>
    <w:p w14:paraId="1AD2D1BE" w14:textId="77777777" w:rsidR="008112BD" w:rsidRDefault="008112BD" w:rsidP="008112BD">
      <w:pPr>
        <w:pStyle w:val="Apara"/>
      </w:pPr>
      <w:r>
        <w:tab/>
        <w:t>(b)</w:t>
      </w:r>
      <w:r>
        <w:tab/>
        <w:t xml:space="preserve">that application may be made under rule 2202 for an order exempting particular property from sale under the seizure and sale order; </w:t>
      </w:r>
    </w:p>
    <w:p w14:paraId="24C52723" w14:textId="77777777" w:rsidR="008112BD" w:rsidRDefault="008112BD" w:rsidP="008112BD">
      <w:pPr>
        <w:pStyle w:val="Apara"/>
      </w:pPr>
      <w:r>
        <w:tab/>
        <w:t>(c)</w:t>
      </w:r>
      <w:r>
        <w:tab/>
        <w:t>a summary of the process that is followed for sale of property under a seizure and sale order.</w:t>
      </w:r>
    </w:p>
    <w:p w14:paraId="3A7B3DA3" w14:textId="77777777"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14:paraId="24F85A7A" w14:textId="77777777" w:rsidR="008112BD" w:rsidRDefault="008112BD" w:rsidP="008112BD">
      <w:pPr>
        <w:pStyle w:val="Amain"/>
      </w:pPr>
      <w:r>
        <w:lastRenderedPageBreak/>
        <w:tab/>
        <w:t>(4)</w:t>
      </w:r>
      <w:r>
        <w:tab/>
        <w:t>However, subrule (3) does not require the enforcement officer to leave the notice and a copy of the inventory in a public place.</w:t>
      </w:r>
    </w:p>
    <w:p w14:paraId="66B3C000" w14:textId="77777777" w:rsidR="008112BD" w:rsidRDefault="008112BD" w:rsidP="008112BD">
      <w:pPr>
        <w:pStyle w:val="AH5Sec"/>
      </w:pPr>
      <w:bookmarkStart w:id="696" w:name="_Toc185514312"/>
      <w:r w:rsidRPr="00C8328B">
        <w:rPr>
          <w:rStyle w:val="CharSectNo"/>
        </w:rPr>
        <w:t>2207</w:t>
      </w:r>
      <w:r>
        <w:tab/>
        <w:t>Seizure and sale order—removal etc of seized property</w:t>
      </w:r>
      <w:bookmarkEnd w:id="696"/>
    </w:p>
    <w:p w14:paraId="18D9BD5C" w14:textId="77777777" w:rsidR="008112BD" w:rsidRDefault="008112BD" w:rsidP="008112BD">
      <w:pPr>
        <w:pStyle w:val="Amain"/>
      </w:pPr>
      <w:r>
        <w:tab/>
        <w:t>(1)</w:t>
      </w:r>
      <w:r>
        <w:tab/>
        <w:t>If an enforcement officer seizes personal property, the enforcement officer must consider how best to secure and preserve the property.</w:t>
      </w:r>
    </w:p>
    <w:p w14:paraId="74422179" w14:textId="77777777" w:rsidR="008112BD" w:rsidRDefault="008112BD" w:rsidP="008112BD">
      <w:pPr>
        <w:pStyle w:val="Amain"/>
      </w:pPr>
      <w:r>
        <w:tab/>
        <w:t>(2)</w:t>
      </w:r>
      <w:r>
        <w:tab/>
        <w:t>The enforcement officer may—</w:t>
      </w:r>
    </w:p>
    <w:p w14:paraId="280B21DC" w14:textId="77777777" w:rsidR="008112BD" w:rsidRDefault="008112BD" w:rsidP="008112BD">
      <w:pPr>
        <w:pStyle w:val="Apara"/>
      </w:pPr>
      <w:r>
        <w:tab/>
        <w:t>(a)</w:t>
      </w:r>
      <w:r>
        <w:tab/>
        <w:t>remove the property from the premises or place where the property was seized; or</w:t>
      </w:r>
    </w:p>
    <w:p w14:paraId="4E1EB4FC" w14:textId="77777777" w:rsidR="008112BD" w:rsidRDefault="008112BD" w:rsidP="008112BD">
      <w:pPr>
        <w:pStyle w:val="Apara"/>
      </w:pPr>
      <w:r>
        <w:tab/>
        <w:t>(b)</w:t>
      </w:r>
      <w:r>
        <w:tab/>
        <w:t>leave the property where it is but restrict access to it or otherwise mark the property as having been seized.</w:t>
      </w:r>
    </w:p>
    <w:p w14:paraId="0B120D01" w14:textId="77777777"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14:paraId="4E899097" w14:textId="77777777" w:rsidR="008112BD" w:rsidRDefault="008112BD" w:rsidP="008112BD">
      <w:pPr>
        <w:pStyle w:val="Amain"/>
      </w:pPr>
      <w:r>
        <w:tab/>
        <w:t>(4)</w:t>
      </w:r>
      <w:r>
        <w:tab/>
        <w:t>The enforcement creditor is liable to pay any storage expenses but may recover them as costs of enforcement.</w:t>
      </w:r>
    </w:p>
    <w:p w14:paraId="0E7CD7A9" w14:textId="77777777" w:rsidR="008112BD" w:rsidRDefault="008112BD" w:rsidP="008112BD">
      <w:pPr>
        <w:pStyle w:val="AH5Sec"/>
      </w:pPr>
      <w:bookmarkStart w:id="697" w:name="_Toc185514313"/>
      <w:r w:rsidRPr="00C8328B">
        <w:rPr>
          <w:rStyle w:val="CharSectNo"/>
        </w:rPr>
        <w:t>2208</w:t>
      </w:r>
      <w:r>
        <w:tab/>
        <w:t>Seizure and sale order—application for instalment order stays sale of seized property</w:t>
      </w:r>
      <w:bookmarkEnd w:id="697"/>
    </w:p>
    <w:p w14:paraId="666A29F6" w14:textId="77777777" w:rsidR="008112BD" w:rsidRDefault="008112BD" w:rsidP="008112BD">
      <w:pPr>
        <w:pStyle w:val="Amain"/>
      </w:pPr>
      <w:r>
        <w:tab/>
        <w:t>(1)</w:t>
      </w:r>
      <w:r>
        <w:tab/>
        <w:t>This rule applies if—</w:t>
      </w:r>
    </w:p>
    <w:p w14:paraId="11D8ABB8" w14:textId="77777777" w:rsidR="008112BD" w:rsidRDefault="008112BD" w:rsidP="008112BD">
      <w:pPr>
        <w:pStyle w:val="Apara"/>
      </w:pPr>
      <w:r>
        <w:tab/>
        <w:t>(a)</w:t>
      </w:r>
      <w:r>
        <w:tab/>
        <w:t>property is seized under a seizure and sale order in relation to an enforceable money order of the court; and</w:t>
      </w:r>
    </w:p>
    <w:p w14:paraId="40407428" w14:textId="77777777" w:rsidR="008112BD" w:rsidRDefault="008112BD" w:rsidP="008112BD">
      <w:pPr>
        <w:pStyle w:val="Apara"/>
        <w:keepNext/>
      </w:pPr>
      <w:r>
        <w:tab/>
        <w:t>(b)</w:t>
      </w:r>
      <w:r>
        <w:tab/>
        <w:t>the enforcement debtor makes an application to the court for an instalment order in relation to the money order.</w:t>
      </w:r>
    </w:p>
    <w:p w14:paraId="03B4F2DC" w14:textId="77777777"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14:paraId="4FD58A9B" w14:textId="77777777" w:rsidR="008112BD" w:rsidRDefault="008112BD" w:rsidP="008112BD">
      <w:pPr>
        <w:pStyle w:val="Amain"/>
      </w:pPr>
      <w:r>
        <w:tab/>
        <w:t>(2)</w:t>
      </w:r>
      <w:r>
        <w:tab/>
        <w:t>The property must not be sold until the court decides the application.</w:t>
      </w:r>
    </w:p>
    <w:p w14:paraId="4E334E59" w14:textId="77777777"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14:paraId="215197B5" w14:textId="77777777" w:rsidR="008112BD" w:rsidRDefault="008112BD" w:rsidP="008112BD">
      <w:pPr>
        <w:pStyle w:val="AH5Sec"/>
      </w:pPr>
      <w:bookmarkStart w:id="698" w:name="_Toc185514314"/>
      <w:r w:rsidRPr="00C8328B">
        <w:rPr>
          <w:rStyle w:val="CharSectNo"/>
        </w:rPr>
        <w:t>2209</w:t>
      </w:r>
      <w:r>
        <w:tab/>
        <w:t>Seizure and sale order—property seized not abandoned</w:t>
      </w:r>
      <w:bookmarkEnd w:id="698"/>
    </w:p>
    <w:p w14:paraId="5235B965" w14:textId="77777777" w:rsidR="008112BD" w:rsidRDefault="008112BD" w:rsidP="008112BD">
      <w:pPr>
        <w:pStyle w:val="Amainreturn"/>
        <w:keepNext/>
      </w:pPr>
      <w:r>
        <w:t>If an enforcement officer seizes property at premises under a seizure and sale order—</w:t>
      </w:r>
    </w:p>
    <w:p w14:paraId="72162BD5" w14:textId="77777777" w:rsidR="008112BD" w:rsidRDefault="008112BD" w:rsidP="008112BD">
      <w:pPr>
        <w:pStyle w:val="Apara"/>
      </w:pPr>
      <w:r>
        <w:tab/>
        <w:t>(a)</w:t>
      </w:r>
      <w:r>
        <w:tab/>
        <w:t>the enforcement officer is not taken to have abandoned the property if the enforcement officer leaves the property at the premises; and</w:t>
      </w:r>
    </w:p>
    <w:p w14:paraId="579C89E8" w14:textId="77777777" w:rsidR="008112BD" w:rsidRDefault="008112BD" w:rsidP="008112BD">
      <w:pPr>
        <w:pStyle w:val="Apara"/>
      </w:pPr>
      <w:r>
        <w:tab/>
        <w:t>(b)</w:t>
      </w:r>
      <w:r>
        <w:tab/>
        <w:t>the enforcement officer may at all reasonable times re-enter the premises while the property is there.</w:t>
      </w:r>
    </w:p>
    <w:p w14:paraId="2B63691E" w14:textId="77777777" w:rsidR="008112BD" w:rsidRDefault="008112BD" w:rsidP="008112BD">
      <w:pPr>
        <w:pStyle w:val="AH5Sec"/>
      </w:pPr>
      <w:bookmarkStart w:id="699" w:name="_Toc185514315"/>
      <w:r w:rsidRPr="00C8328B">
        <w:rPr>
          <w:rStyle w:val="CharSectNo"/>
        </w:rPr>
        <w:t>2210</w:t>
      </w:r>
      <w:r>
        <w:tab/>
        <w:t>Seizure and sale order—seizure of real property</w:t>
      </w:r>
      <w:bookmarkEnd w:id="699"/>
    </w:p>
    <w:p w14:paraId="1FC46397" w14:textId="77777777" w:rsidR="008112BD" w:rsidRDefault="008112BD" w:rsidP="008112BD">
      <w:pPr>
        <w:pStyle w:val="Amain"/>
      </w:pPr>
      <w:r>
        <w:tab/>
        <w:t>(1)</w:t>
      </w:r>
      <w:r>
        <w:tab/>
        <w:t>This rule applies if an enforcement creditor asks an enforcement officer to seize real property under a seizure and sale order.</w:t>
      </w:r>
    </w:p>
    <w:p w14:paraId="4C2D5A77" w14:textId="77777777" w:rsidR="008112BD" w:rsidRDefault="008112BD" w:rsidP="008112BD">
      <w:pPr>
        <w:pStyle w:val="Amain"/>
      </w:pPr>
      <w:r>
        <w:tab/>
        <w:t>(2)</w:t>
      </w:r>
      <w:r>
        <w:tab/>
        <w:t>The enforcement officer is taken to have seized the real property for these rules if the enforcement officer gives the enforcement debtor—</w:t>
      </w:r>
    </w:p>
    <w:p w14:paraId="02F4736E" w14:textId="77777777" w:rsidR="008112BD" w:rsidRDefault="008112BD" w:rsidP="008112BD">
      <w:pPr>
        <w:pStyle w:val="Apara"/>
      </w:pPr>
      <w:r>
        <w:tab/>
        <w:t>(a)</w:t>
      </w:r>
      <w:r>
        <w:tab/>
        <w:t xml:space="preserve">a sealed copy of the seizure and sale order; and </w:t>
      </w:r>
    </w:p>
    <w:p w14:paraId="76FD0186" w14:textId="77777777" w:rsidR="008112BD" w:rsidRDefault="008112BD" w:rsidP="008112BD">
      <w:pPr>
        <w:pStyle w:val="Apara"/>
      </w:pPr>
      <w:r>
        <w:tab/>
        <w:t>(b)</w:t>
      </w:r>
      <w:r>
        <w:tab/>
        <w:t>a copy of a notice that the enforcement officer is instructed to seize and sell the real property.</w:t>
      </w:r>
    </w:p>
    <w:p w14:paraId="63306538" w14:textId="088D8B67" w:rsidR="008112BD" w:rsidRDefault="008112BD" w:rsidP="008112BD">
      <w:pPr>
        <w:pStyle w:val="Amain"/>
        <w:rPr>
          <w:highlight w:val="yellow"/>
        </w:rPr>
      </w:pPr>
      <w:r>
        <w:tab/>
        <w:t>(</w:t>
      </w:r>
      <w:r w:rsidR="00F775A3">
        <w:t>3</w:t>
      </w:r>
      <w:r>
        <w:t>)</w:t>
      </w:r>
      <w:r>
        <w:tab/>
        <w:t>Actual seizure is not necessary to authorise the sale of real property under a seizure and sale order.</w:t>
      </w:r>
    </w:p>
    <w:p w14:paraId="52A809B5" w14:textId="77777777" w:rsidR="008112BD" w:rsidRDefault="008112BD" w:rsidP="008112BD">
      <w:pPr>
        <w:pStyle w:val="AH5Sec"/>
      </w:pPr>
      <w:bookmarkStart w:id="700" w:name="_Toc185514316"/>
      <w:r w:rsidRPr="00C8328B">
        <w:rPr>
          <w:rStyle w:val="CharSectNo"/>
        </w:rPr>
        <w:t>2211</w:t>
      </w:r>
      <w:r>
        <w:tab/>
        <w:t>Seizure and sale order—enforcement debtor not to deal with real property</w:t>
      </w:r>
      <w:bookmarkEnd w:id="700"/>
    </w:p>
    <w:p w14:paraId="138941F8" w14:textId="77777777"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14:paraId="13B47913" w14:textId="77777777" w:rsidR="008112BD" w:rsidRDefault="008112BD" w:rsidP="008112BD">
      <w:pPr>
        <w:pStyle w:val="aNote"/>
      </w:pPr>
      <w:r w:rsidRPr="00FE0788">
        <w:rPr>
          <w:rStyle w:val="charItals"/>
        </w:rPr>
        <w:t>Note</w:t>
      </w:r>
      <w:r>
        <w:tab/>
        <w:t>Pt 6.2 (Applications in proceedings) applies to an application for leave or an order under this rule.</w:t>
      </w:r>
    </w:p>
    <w:p w14:paraId="0D95874D" w14:textId="77777777"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14:paraId="3C744DB2" w14:textId="77777777" w:rsidR="008112BD" w:rsidRDefault="008112BD" w:rsidP="008112BD">
      <w:pPr>
        <w:pStyle w:val="AH5Sec"/>
      </w:pPr>
      <w:bookmarkStart w:id="701" w:name="_Toc185514317"/>
      <w:r w:rsidRPr="00C8328B">
        <w:rPr>
          <w:rStyle w:val="CharSectNo"/>
        </w:rPr>
        <w:t>2212</w:t>
      </w:r>
      <w:r>
        <w:tab/>
        <w:t>Seizure and sale order—order of seizing and selling property</w:t>
      </w:r>
      <w:bookmarkEnd w:id="701"/>
    </w:p>
    <w:p w14:paraId="54D56C65" w14:textId="77777777" w:rsidR="008112BD" w:rsidRDefault="008112BD" w:rsidP="008112BD">
      <w:pPr>
        <w:pStyle w:val="Amain"/>
      </w:pPr>
      <w:r>
        <w:tab/>
        <w:t>(1)</w:t>
      </w:r>
      <w:r>
        <w:tab/>
        <w:t>An enforcement officer must seize and sell property under a seizure and sale order—</w:t>
      </w:r>
    </w:p>
    <w:p w14:paraId="1AAC4A84" w14:textId="77777777" w:rsidR="008112BD" w:rsidRDefault="008112BD" w:rsidP="008112BD">
      <w:pPr>
        <w:pStyle w:val="Apara"/>
      </w:pPr>
      <w:r>
        <w:tab/>
        <w:t>(a)</w:t>
      </w:r>
      <w:r>
        <w:tab/>
        <w:t>in the order appearing to the enforcement officer to be best for the prompt enforcement of the order without unnecessary expense; and</w:t>
      </w:r>
    </w:p>
    <w:p w14:paraId="5EB36C0A" w14:textId="77777777" w:rsidR="008112BD" w:rsidRDefault="008112BD" w:rsidP="008112BD">
      <w:pPr>
        <w:pStyle w:val="Apara"/>
      </w:pPr>
      <w:r>
        <w:tab/>
        <w:t>(b)</w:t>
      </w:r>
      <w:r>
        <w:tab/>
        <w:t>subject to paragraph (a), in the order appearing to the enforcement officer to be best for minimising hardship to the enforcement debtor or other people; and</w:t>
      </w:r>
    </w:p>
    <w:p w14:paraId="24449D6B" w14:textId="77777777" w:rsidR="008112BD" w:rsidRDefault="008112BD" w:rsidP="008112BD">
      <w:pPr>
        <w:pStyle w:val="Apara"/>
      </w:pPr>
      <w:r>
        <w:tab/>
        <w:t>(c)</w:t>
      </w:r>
      <w:r>
        <w:tab/>
        <w:t>subject to paragraphs (a) and (b), by seizing and selling personal property before real property unless—</w:t>
      </w:r>
    </w:p>
    <w:p w14:paraId="7757C6EB" w14:textId="77777777" w:rsidR="008112BD" w:rsidRDefault="008112BD" w:rsidP="008112BD">
      <w:pPr>
        <w:pStyle w:val="Asubpara"/>
      </w:pPr>
      <w:r>
        <w:tab/>
        <w:t>(i)</w:t>
      </w:r>
      <w:r>
        <w:tab/>
        <w:t>the enforcement debtor asks for real property to be sold before personal property; or</w:t>
      </w:r>
    </w:p>
    <w:p w14:paraId="7D771649" w14:textId="77777777" w:rsidR="008112BD" w:rsidRDefault="008112BD" w:rsidP="008112BD">
      <w:pPr>
        <w:pStyle w:val="Asubpara"/>
      </w:pPr>
      <w:r>
        <w:tab/>
        <w:t>(ii)</w:t>
      </w:r>
      <w:r>
        <w:tab/>
        <w:t>the court otherwise orders on application by the enforcement debtor, the enforcement creditor or the enforcement officer.</w:t>
      </w:r>
    </w:p>
    <w:p w14:paraId="5C9EE488" w14:textId="77777777"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14:paraId="56B2128B" w14:textId="77777777"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14:paraId="087E2FDF" w14:textId="77777777" w:rsidR="008112BD" w:rsidRDefault="008112BD" w:rsidP="008112BD">
      <w:pPr>
        <w:pStyle w:val="AH5Sec"/>
      </w:pPr>
      <w:bookmarkStart w:id="702" w:name="_Toc185514318"/>
      <w:r w:rsidRPr="00C8328B">
        <w:rPr>
          <w:rStyle w:val="CharSectNo"/>
        </w:rPr>
        <w:lastRenderedPageBreak/>
        <w:t>2213</w:t>
      </w:r>
      <w:r>
        <w:tab/>
        <w:t>Seizure and sale order—payment before sale</w:t>
      </w:r>
      <w:bookmarkEnd w:id="702"/>
    </w:p>
    <w:p w14:paraId="6BFF3B87" w14:textId="77777777"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14:paraId="399B88C1" w14:textId="77777777" w:rsidR="008112BD" w:rsidRDefault="008112BD" w:rsidP="008112BD">
      <w:pPr>
        <w:pStyle w:val="Apara"/>
      </w:pPr>
      <w:r>
        <w:tab/>
        <w:t>(a)</w:t>
      </w:r>
      <w:r>
        <w:tab/>
        <w:t>the amount owing under the order, including interest; and</w:t>
      </w:r>
    </w:p>
    <w:p w14:paraId="1EDA1E5F" w14:textId="77777777" w:rsidR="008112BD" w:rsidRDefault="008112BD" w:rsidP="008112BD">
      <w:pPr>
        <w:pStyle w:val="Apara"/>
      </w:pPr>
      <w:r>
        <w:tab/>
        <w:t>(b)</w:t>
      </w:r>
      <w:r>
        <w:tab/>
        <w:t>the costs of enforcement then known to the enforcement officer; and</w:t>
      </w:r>
    </w:p>
    <w:p w14:paraId="30CBD637" w14:textId="77777777" w:rsidR="008112BD" w:rsidRDefault="008112BD" w:rsidP="008112BD">
      <w:pPr>
        <w:pStyle w:val="Apara"/>
      </w:pPr>
      <w:r>
        <w:tab/>
        <w:t>(c)</w:t>
      </w:r>
      <w:r>
        <w:tab/>
        <w:t>the amount set by the enforcement officer as security for the enforcement creditor’s other costs of enforcement.</w:t>
      </w:r>
    </w:p>
    <w:p w14:paraId="16E5BC32" w14:textId="77777777" w:rsidR="008112BD" w:rsidRDefault="008112BD" w:rsidP="008112BD">
      <w:pPr>
        <w:pStyle w:val="AH5Sec"/>
      </w:pPr>
      <w:bookmarkStart w:id="703" w:name="_Toc185514319"/>
      <w:r w:rsidRPr="00C8328B">
        <w:rPr>
          <w:rStyle w:val="CharSectNo"/>
        </w:rPr>
        <w:t>2214</w:t>
      </w:r>
      <w:r>
        <w:tab/>
        <w:t>Seizure and sale order—suspension etc of enforcement</w:t>
      </w:r>
      <w:bookmarkEnd w:id="703"/>
    </w:p>
    <w:p w14:paraId="06719732" w14:textId="77777777" w:rsidR="008112BD" w:rsidRDefault="008112BD" w:rsidP="008112BD">
      <w:pPr>
        <w:pStyle w:val="Amain"/>
        <w:keepNext/>
      </w:pPr>
      <w:r>
        <w:tab/>
        <w:t>(1)</w:t>
      </w:r>
      <w:r>
        <w:tab/>
        <w:t>If property has not been seized under a seizure and sale order, the enforcement creditor may, in writing—</w:t>
      </w:r>
    </w:p>
    <w:p w14:paraId="4EC20226" w14:textId="77777777" w:rsidR="008112BD" w:rsidRDefault="008112BD" w:rsidP="008112BD">
      <w:pPr>
        <w:pStyle w:val="Apara"/>
      </w:pPr>
      <w:r>
        <w:tab/>
        <w:t>(a)</w:t>
      </w:r>
      <w:r>
        <w:tab/>
        <w:t>require enforcement of the order to be suspended unconditionally; and</w:t>
      </w:r>
    </w:p>
    <w:p w14:paraId="03D9535C" w14:textId="77777777" w:rsidR="008112BD" w:rsidRDefault="008112BD" w:rsidP="008112BD">
      <w:pPr>
        <w:pStyle w:val="Apara"/>
      </w:pPr>
      <w:r>
        <w:tab/>
        <w:t>(b)</w:t>
      </w:r>
      <w:r>
        <w:tab/>
        <w:t>if enforcement of the order has been suspended under these rules—require enforcement to be resumed.</w:t>
      </w:r>
    </w:p>
    <w:p w14:paraId="435FA4F2" w14:textId="77777777" w:rsidR="008112BD" w:rsidRDefault="008112BD" w:rsidP="008112BD">
      <w:pPr>
        <w:pStyle w:val="Amain"/>
      </w:pPr>
      <w:r>
        <w:tab/>
        <w:t>(2)</w:t>
      </w:r>
      <w:r>
        <w:tab/>
        <w:t>An enforcement officer must comply with a requirement made in accordance with this rule.</w:t>
      </w:r>
    </w:p>
    <w:p w14:paraId="4747BE6A" w14:textId="77777777" w:rsidR="008112BD" w:rsidRDefault="008112BD" w:rsidP="008112BD">
      <w:pPr>
        <w:pStyle w:val="AH5Sec"/>
      </w:pPr>
      <w:bookmarkStart w:id="704" w:name="_Toc185514320"/>
      <w:r w:rsidRPr="00C8328B">
        <w:rPr>
          <w:rStyle w:val="CharSectNo"/>
        </w:rPr>
        <w:t>2215</w:t>
      </w:r>
      <w:r>
        <w:tab/>
        <w:t>Seizure and sale order—agreements to withdraw and re</w:t>
      </w:r>
      <w:r>
        <w:noBreakHyphen/>
        <w:t>enter</w:t>
      </w:r>
      <w:bookmarkEnd w:id="704"/>
    </w:p>
    <w:p w14:paraId="2660D4EE" w14:textId="77777777" w:rsidR="008112BD" w:rsidRDefault="008112BD" w:rsidP="008112BD">
      <w:pPr>
        <w:pStyle w:val="Amain"/>
        <w:keepNext/>
      </w:pPr>
      <w:r>
        <w:tab/>
        <w:t>(1)</w:t>
      </w:r>
      <w:r>
        <w:tab/>
        <w:t>This rule applies if property has been seized under a seizure and sale order and the enforcement creditor—</w:t>
      </w:r>
    </w:p>
    <w:p w14:paraId="6BD581EE" w14:textId="77777777" w:rsidR="008112BD" w:rsidRDefault="008112BD" w:rsidP="008112BD">
      <w:pPr>
        <w:pStyle w:val="Apara"/>
      </w:pPr>
      <w:r>
        <w:tab/>
        <w:t>(a)</w:t>
      </w:r>
      <w:r>
        <w:tab/>
        <w:t>enters into an arrangement with the enforcement debtor that an enforcement officer may withdraw from and re-enter possession of the property; and</w:t>
      </w:r>
    </w:p>
    <w:p w14:paraId="78E66EA2" w14:textId="77777777" w:rsidR="008112BD" w:rsidRDefault="008112BD" w:rsidP="008112BD">
      <w:pPr>
        <w:pStyle w:val="Apara"/>
      </w:pPr>
      <w:r>
        <w:tab/>
        <w:t>(b)</w:t>
      </w:r>
      <w:r>
        <w:tab/>
        <w:t>tells the enforcement officer about the arrangement; and</w:t>
      </w:r>
    </w:p>
    <w:p w14:paraId="3B2F41B3" w14:textId="77777777" w:rsidR="008112BD" w:rsidRDefault="008112BD" w:rsidP="008112BD">
      <w:pPr>
        <w:pStyle w:val="Apara"/>
      </w:pPr>
      <w:r>
        <w:lastRenderedPageBreak/>
        <w:tab/>
        <w:t>(c)</w:t>
      </w:r>
      <w:r>
        <w:tab/>
        <w:t>asks the enforcement officer to withdraw from possession of the property.</w:t>
      </w:r>
    </w:p>
    <w:p w14:paraId="1EF84BD1" w14:textId="77777777" w:rsidR="008112BD" w:rsidRDefault="008112BD" w:rsidP="008112BD">
      <w:pPr>
        <w:pStyle w:val="Amain"/>
      </w:pPr>
      <w:r>
        <w:tab/>
        <w:t>(2)</w:t>
      </w:r>
      <w:r>
        <w:tab/>
        <w:t>The enforcement officer must withdraw from possession of the property and suspend enforcement of the seizure and sale order.</w:t>
      </w:r>
    </w:p>
    <w:p w14:paraId="368157F5" w14:textId="77777777"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14:paraId="1B183357" w14:textId="77777777"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14:paraId="0A764236" w14:textId="77777777" w:rsidR="008112BD" w:rsidRDefault="008112BD" w:rsidP="008112BD">
      <w:pPr>
        <w:pStyle w:val="Apara"/>
      </w:pPr>
      <w:r>
        <w:tab/>
        <w:t>(a)</w:t>
      </w:r>
      <w:r>
        <w:tab/>
        <w:t>the enforcement creditor is taken to have abandoned the enforcement of the order; and</w:t>
      </w:r>
    </w:p>
    <w:p w14:paraId="75D6CE88" w14:textId="77777777" w:rsidR="008112BD" w:rsidRDefault="008112BD" w:rsidP="008112BD">
      <w:pPr>
        <w:pStyle w:val="Apara"/>
      </w:pPr>
      <w:r>
        <w:tab/>
        <w:t>(b)</w:t>
      </w:r>
      <w:r>
        <w:tab/>
        <w:t>the enforcement officer must withdraw from possession of the property and return the order to the enforcement creditor.</w:t>
      </w:r>
    </w:p>
    <w:p w14:paraId="4CBE2B18" w14:textId="77777777" w:rsidR="008112BD" w:rsidRDefault="008112BD" w:rsidP="008112BD">
      <w:pPr>
        <w:pStyle w:val="Amain"/>
        <w:keepNext/>
      </w:pPr>
      <w:r>
        <w:tab/>
        <w:t>(5)</w:t>
      </w:r>
      <w:r>
        <w:tab/>
        <w:t>Subrule (4) does not apply if the court otherwise orders on application by the enforcement creditor.</w:t>
      </w:r>
    </w:p>
    <w:p w14:paraId="368822F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B14E9F" w14:textId="77777777" w:rsidR="008112BD" w:rsidRDefault="008112BD" w:rsidP="008112BD">
      <w:pPr>
        <w:pStyle w:val="AH5Sec"/>
      </w:pPr>
      <w:bookmarkStart w:id="705" w:name="_Toc185514321"/>
      <w:r w:rsidRPr="00C8328B">
        <w:rPr>
          <w:rStyle w:val="CharSectNo"/>
        </w:rPr>
        <w:t>2216</w:t>
      </w:r>
      <w:r>
        <w:tab/>
        <w:t>Seizure and sale order—nature of sale</w:t>
      </w:r>
      <w:bookmarkEnd w:id="705"/>
    </w:p>
    <w:p w14:paraId="7021DFC8" w14:textId="77777777" w:rsidR="008112BD" w:rsidRDefault="008112BD" w:rsidP="008112BD">
      <w:pPr>
        <w:pStyle w:val="Amain"/>
      </w:pPr>
      <w:r>
        <w:tab/>
        <w:t>(1)</w:t>
      </w:r>
      <w:r>
        <w:tab/>
        <w:t>Unless the court otherwise orders, an enforcement officer must put up for sale by public auction all property liable to be sold under a seizure and sale order—</w:t>
      </w:r>
    </w:p>
    <w:p w14:paraId="5E92FA6F" w14:textId="77777777"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14:paraId="479E5B0D" w14:textId="77777777" w:rsidR="008112BD" w:rsidRDefault="008112BD" w:rsidP="008112BD">
      <w:pPr>
        <w:pStyle w:val="Apara"/>
        <w:keepNext/>
      </w:pPr>
      <w:r>
        <w:lastRenderedPageBreak/>
        <w:tab/>
        <w:t>(b)</w:t>
      </w:r>
      <w:r>
        <w:tab/>
        <w:t>at a place and in a way appearing to the enforcement officer to be suitable for a beneficial sale of the property.</w:t>
      </w:r>
    </w:p>
    <w:p w14:paraId="2117DCB0"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7A130C" w14:textId="77777777" w:rsidR="008112BD" w:rsidRDefault="008112BD" w:rsidP="008112BD">
      <w:pPr>
        <w:pStyle w:val="Amain"/>
      </w:pPr>
      <w:r>
        <w:tab/>
        <w:t>(2)</w:t>
      </w:r>
      <w:r>
        <w:tab/>
        <w:t>The property must not be sold before the end of 7 days after the day the property is seized unless—</w:t>
      </w:r>
    </w:p>
    <w:p w14:paraId="0539754D" w14:textId="77777777" w:rsidR="008112BD" w:rsidRDefault="008112BD" w:rsidP="008112BD">
      <w:pPr>
        <w:pStyle w:val="Apara"/>
      </w:pPr>
      <w:r>
        <w:tab/>
        <w:t>(a)</w:t>
      </w:r>
      <w:r>
        <w:tab/>
        <w:t>the enforcement debtor asks for the property to be sold before the end of the 7-day period; or</w:t>
      </w:r>
    </w:p>
    <w:p w14:paraId="0855B875" w14:textId="77777777" w:rsidR="008112BD" w:rsidRDefault="008112BD" w:rsidP="008112BD">
      <w:pPr>
        <w:pStyle w:val="Apara"/>
      </w:pPr>
      <w:r>
        <w:tab/>
        <w:t>(b)</w:t>
      </w:r>
      <w:r>
        <w:tab/>
        <w:t>the property is perishable.</w:t>
      </w:r>
    </w:p>
    <w:p w14:paraId="5B921DCB" w14:textId="77777777" w:rsidR="008112BD" w:rsidRDefault="008112BD" w:rsidP="008112BD">
      <w:pPr>
        <w:pStyle w:val="Amain"/>
      </w:pPr>
      <w:r>
        <w:tab/>
        <w:t>(3)</w:t>
      </w:r>
      <w:r>
        <w:tab/>
        <w:t>However, personal property must be sold within 12 weeks after the day it is seized.</w:t>
      </w:r>
    </w:p>
    <w:p w14:paraId="0F8DE4EB" w14:textId="77777777"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14:paraId="5193BBA0" w14:textId="77777777" w:rsidR="008112BD" w:rsidRDefault="008112BD" w:rsidP="008112BD">
      <w:pPr>
        <w:pStyle w:val="aNote"/>
      </w:pPr>
      <w:r w:rsidRPr="00FE0788">
        <w:rPr>
          <w:rStyle w:val="charItals"/>
        </w:rPr>
        <w:t>Note</w:t>
      </w:r>
      <w:r>
        <w:tab/>
        <w:t>Pt 6.2 (Applications in proceedings) applies to the application.</w:t>
      </w:r>
    </w:p>
    <w:p w14:paraId="2B91C211" w14:textId="77777777" w:rsidR="008112BD" w:rsidRDefault="008112BD" w:rsidP="008112BD">
      <w:pPr>
        <w:pStyle w:val="Amain"/>
      </w:pPr>
      <w:r>
        <w:tab/>
        <w:t>(5)</w:t>
      </w:r>
      <w:r>
        <w:tab/>
        <w:t>The application must be accompanied by an affidavit in support of the application.</w:t>
      </w:r>
    </w:p>
    <w:p w14:paraId="11CED0F5" w14:textId="77777777" w:rsidR="008112BD" w:rsidRDefault="008112BD" w:rsidP="008112BD">
      <w:pPr>
        <w:pStyle w:val="Amain"/>
      </w:pPr>
      <w:r>
        <w:tab/>
        <w:t>(6)</w:t>
      </w:r>
      <w:r>
        <w:tab/>
        <w:t>If the applicant is a party, the applicant must also serve a stamped copy of the application on the enforcement officer.</w:t>
      </w:r>
    </w:p>
    <w:p w14:paraId="4633051F" w14:textId="77777777"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14:paraId="2E583FFE" w14:textId="77777777" w:rsidR="008112BD" w:rsidRDefault="008112BD" w:rsidP="008112BD">
      <w:pPr>
        <w:pStyle w:val="Amain"/>
        <w:keepNext/>
      </w:pPr>
      <w:r>
        <w:tab/>
        <w:t>(8)</w:t>
      </w:r>
      <w:r>
        <w:tab/>
        <w:t>Property sold by public auction must be sold under the following conditions of sale:</w:t>
      </w:r>
    </w:p>
    <w:p w14:paraId="0A9BC2ED" w14:textId="77777777"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14:paraId="1491B4CC" w14:textId="77777777" w:rsidR="008112BD" w:rsidRDefault="008112BD" w:rsidP="008112BD">
      <w:pPr>
        <w:pStyle w:val="Apara"/>
      </w:pPr>
      <w:r>
        <w:lastRenderedPageBreak/>
        <w:tab/>
        <w:t>(b)</w:t>
      </w:r>
      <w:r>
        <w:tab/>
        <w:t xml:space="preserve">otherwise, if the reserve is reached—to the highest bidder; </w:t>
      </w:r>
    </w:p>
    <w:p w14:paraId="34D1C084" w14:textId="77777777"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14:paraId="6DD34996" w14:textId="77777777" w:rsidR="008112BD" w:rsidRDefault="008112BD" w:rsidP="008112BD">
      <w:pPr>
        <w:pStyle w:val="Amain"/>
      </w:pPr>
      <w:r>
        <w:tab/>
        <w:t>(9)</w:t>
      </w:r>
      <w:r>
        <w:tab/>
        <w:t>If property put up for sale at public auction is not sold by auction, the enforcement officer may sell the property privately—</w:t>
      </w:r>
    </w:p>
    <w:p w14:paraId="5DBB0430" w14:textId="77777777" w:rsidR="008112BD" w:rsidRDefault="008112BD" w:rsidP="008112BD">
      <w:pPr>
        <w:pStyle w:val="Apara"/>
      </w:pPr>
      <w:r>
        <w:tab/>
        <w:t>(a)</w:t>
      </w:r>
      <w:r>
        <w:tab/>
        <w:t>for an amount not less than the highest bid made at the auction that the enforcement officer considers is a reasonable amount for the property; or</w:t>
      </w:r>
    </w:p>
    <w:p w14:paraId="6A9C99A6" w14:textId="77777777" w:rsidR="008112BD" w:rsidRDefault="008112BD" w:rsidP="008112BD">
      <w:pPr>
        <w:pStyle w:val="Apara"/>
      </w:pPr>
      <w:r>
        <w:tab/>
        <w:t>(b)</w:t>
      </w:r>
      <w:r>
        <w:tab/>
        <w:t>if no bid was made at the auction—for an amount the enforcement officer considers is a reasonable amount for the property; or</w:t>
      </w:r>
    </w:p>
    <w:p w14:paraId="14BF6AF2" w14:textId="77777777" w:rsidR="008112BD" w:rsidRDefault="008112BD" w:rsidP="008112BD">
      <w:pPr>
        <w:pStyle w:val="Apara"/>
      </w:pPr>
      <w:r>
        <w:tab/>
        <w:t>(c)</w:t>
      </w:r>
      <w:r>
        <w:tab/>
        <w:t>in accordance with an order of the court under rule 2220 (Seizure and sale order—sale at best price obtainable).</w:t>
      </w:r>
    </w:p>
    <w:p w14:paraId="0E768023" w14:textId="77777777" w:rsidR="008112BD" w:rsidRDefault="008112BD" w:rsidP="008112BD">
      <w:pPr>
        <w:pStyle w:val="Amain"/>
        <w:keepNext/>
      </w:pPr>
      <w:r>
        <w:tab/>
        <w:t>(10)</w:t>
      </w:r>
      <w:r>
        <w:tab/>
        <w:t>In this rule:</w:t>
      </w:r>
    </w:p>
    <w:p w14:paraId="731E775C" w14:textId="77777777"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14:paraId="72D5EA8C" w14:textId="77777777" w:rsidR="008112BD" w:rsidRDefault="008112BD" w:rsidP="008112BD">
      <w:pPr>
        <w:pStyle w:val="AH5Sec"/>
      </w:pPr>
      <w:bookmarkStart w:id="706" w:name="_Toc185514322"/>
      <w:r w:rsidRPr="00C8328B">
        <w:rPr>
          <w:rStyle w:val="CharSectNo"/>
        </w:rPr>
        <w:t>2217</w:t>
      </w:r>
      <w:r>
        <w:tab/>
        <w:t>Seizure and sale order—setting reasonable amount</w:t>
      </w:r>
      <w:bookmarkEnd w:id="706"/>
    </w:p>
    <w:p w14:paraId="1393ECE1" w14:textId="77777777" w:rsidR="008112BD" w:rsidRDefault="008112BD" w:rsidP="008112BD">
      <w:pPr>
        <w:pStyle w:val="Amain"/>
        <w:keepNext/>
      </w:pPr>
      <w:r>
        <w:tab/>
        <w:t>(1)</w:t>
      </w:r>
      <w:r>
        <w:tab/>
        <w:t>To set an amount as a reasonable value of the property to be sold under a seizure and sale order, the enforcement officer—</w:t>
      </w:r>
    </w:p>
    <w:p w14:paraId="2CF33C7F" w14:textId="77777777" w:rsidR="008112BD" w:rsidRDefault="008112BD" w:rsidP="008112BD">
      <w:pPr>
        <w:pStyle w:val="Apara"/>
      </w:pPr>
      <w:r>
        <w:tab/>
        <w:t>(a)</w:t>
      </w:r>
      <w:r>
        <w:tab/>
        <w:t>may engage a suitably qualified and experienced valuer to give the enforcement officer an opinion about the value of the property; and</w:t>
      </w:r>
    </w:p>
    <w:p w14:paraId="0A6495ED" w14:textId="77777777" w:rsidR="008112BD" w:rsidRDefault="008112BD" w:rsidP="008112BD">
      <w:pPr>
        <w:pStyle w:val="Apara"/>
      </w:pPr>
      <w:r>
        <w:tab/>
        <w:t>(b)</w:t>
      </w:r>
      <w:r>
        <w:tab/>
        <w:t>may require the enforcement creditor to provide any information about the property that the enforcement creditor knows or can reasonably obtain; and</w:t>
      </w:r>
    </w:p>
    <w:p w14:paraId="4FD86B01" w14:textId="77777777" w:rsidR="008112BD" w:rsidRDefault="008112BD" w:rsidP="008112BD">
      <w:pPr>
        <w:pStyle w:val="Apara"/>
      </w:pPr>
      <w:r>
        <w:tab/>
        <w:t>(c)</w:t>
      </w:r>
      <w:r>
        <w:tab/>
        <w:t>may seek any other information the enforcement officer considers appropriate.</w:t>
      </w:r>
    </w:p>
    <w:p w14:paraId="3C8DF143" w14:textId="77777777"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14:paraId="2C6D60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14:paraId="7B17E059" w14:textId="77777777" w:rsidR="008112BD" w:rsidRDefault="008112BD" w:rsidP="008112BD">
      <w:pPr>
        <w:pStyle w:val="Amain"/>
      </w:pPr>
      <w:r>
        <w:tab/>
        <w:t>(3)</w:t>
      </w:r>
      <w:r>
        <w:tab/>
        <w:t>The enforcement officer’s costs under this rule are costs of enforcement of the seizure and sale order.</w:t>
      </w:r>
    </w:p>
    <w:p w14:paraId="5E06B87B" w14:textId="77777777"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14:paraId="42E03427" w14:textId="77777777" w:rsidR="008112BD" w:rsidRDefault="008112BD" w:rsidP="008112BD">
      <w:pPr>
        <w:pStyle w:val="AH5Sec"/>
      </w:pPr>
      <w:bookmarkStart w:id="707" w:name="_Toc185514323"/>
      <w:r w:rsidRPr="00C8328B">
        <w:rPr>
          <w:rStyle w:val="CharSectNo"/>
        </w:rPr>
        <w:t>2218</w:t>
      </w:r>
      <w:r>
        <w:tab/>
        <w:t>Seizure and sale order—additional provisions relating to land</w:t>
      </w:r>
      <w:bookmarkEnd w:id="707"/>
    </w:p>
    <w:p w14:paraId="2E3DA478" w14:textId="77777777" w:rsidR="008112BD" w:rsidRDefault="008112BD" w:rsidP="008112BD">
      <w:pPr>
        <w:pStyle w:val="Amain"/>
        <w:keepNext/>
      </w:pPr>
      <w:r>
        <w:tab/>
        <w:t>(1)</w:t>
      </w:r>
      <w:r>
        <w:tab/>
        <w:t>This rule applies if land is to be sold under a seizure and sale order.</w:t>
      </w:r>
    </w:p>
    <w:p w14:paraId="0DDB6371" w14:textId="77777777" w:rsidR="008112BD" w:rsidRDefault="008112BD" w:rsidP="008112BD">
      <w:pPr>
        <w:pStyle w:val="Amain"/>
      </w:pPr>
      <w:r>
        <w:tab/>
        <w:t>(2)</w:t>
      </w:r>
      <w:r>
        <w:tab/>
        <w:t>An enforcement officer may appoint a real estate agent to market the land and conduct the sale.</w:t>
      </w:r>
    </w:p>
    <w:p w14:paraId="3482A358" w14:textId="77777777" w:rsidR="008112BD" w:rsidRDefault="008112BD" w:rsidP="008112BD">
      <w:pPr>
        <w:pStyle w:val="Amain"/>
      </w:pPr>
      <w:r>
        <w:tab/>
        <w:t>(3)</w:t>
      </w:r>
      <w:r>
        <w:tab/>
        <w:t>The agent’s costs in marketing and selling the land are costs of enforcing the seizure and sale order.</w:t>
      </w:r>
    </w:p>
    <w:p w14:paraId="12C130C7" w14:textId="77777777"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14:paraId="1878F28D" w14:textId="77777777" w:rsidR="008112BD" w:rsidRDefault="008112BD" w:rsidP="008112BD">
      <w:pPr>
        <w:pStyle w:val="Amain"/>
      </w:pPr>
      <w:r>
        <w:tab/>
        <w:t>(5)</w:t>
      </w:r>
      <w:r>
        <w:tab/>
        <w:t>The enforcement officer must—</w:t>
      </w:r>
    </w:p>
    <w:p w14:paraId="72FDBDCC" w14:textId="77777777" w:rsidR="008112BD" w:rsidRDefault="008112BD" w:rsidP="008112BD">
      <w:pPr>
        <w:pStyle w:val="Apara"/>
      </w:pPr>
      <w:r>
        <w:tab/>
        <w:t>(a)</w:t>
      </w:r>
      <w:r>
        <w:tab/>
        <w:t>search the title of the land for any encumbrances; and</w:t>
      </w:r>
    </w:p>
    <w:p w14:paraId="0B672C41" w14:textId="77777777" w:rsidR="008112BD" w:rsidRDefault="008112BD" w:rsidP="008112BD">
      <w:pPr>
        <w:pStyle w:val="Apara"/>
      </w:pPr>
      <w:r>
        <w:tab/>
        <w:t>(b)</w:t>
      </w:r>
      <w:r>
        <w:tab/>
        <w:t>make inquiries about the outstanding value of any encumbrances.</w:t>
      </w:r>
    </w:p>
    <w:p w14:paraId="101977E2" w14:textId="77777777" w:rsidR="008112BD" w:rsidRDefault="008112BD" w:rsidP="008112BD">
      <w:pPr>
        <w:pStyle w:val="Amain"/>
      </w:pPr>
      <w:r>
        <w:tab/>
        <w:t>(6)</w:t>
      </w:r>
      <w:r>
        <w:tab/>
        <w:t>The enforcement officer must take the value of any encumbrances into account in setting the reserve price of the property.</w:t>
      </w:r>
    </w:p>
    <w:p w14:paraId="3C18CA68" w14:textId="77777777"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14:paraId="1E19BF31" w14:textId="77777777" w:rsidR="008112BD" w:rsidRDefault="008112BD" w:rsidP="008112BD">
      <w:pPr>
        <w:pStyle w:val="Amain"/>
      </w:pPr>
      <w:r>
        <w:tab/>
        <w:t>(8)</w:t>
      </w:r>
      <w:r>
        <w:tab/>
        <w:t>Part 6.2 (Applications in proceedings) does not apply to an application under subrule (7).</w:t>
      </w:r>
    </w:p>
    <w:p w14:paraId="5CC8723F" w14:textId="77777777" w:rsidR="008112BD" w:rsidRDefault="008112BD" w:rsidP="008112BD">
      <w:pPr>
        <w:pStyle w:val="Amain"/>
      </w:pPr>
      <w:r>
        <w:tab/>
        <w:t>(9)</w:t>
      </w:r>
      <w:r>
        <w:tab/>
        <w:t>An application under subrule (7) need not be served on anyone unless the court otherwise orders on its own initiative.</w:t>
      </w:r>
    </w:p>
    <w:p w14:paraId="10D3C49D" w14:textId="77777777" w:rsidR="008112BD" w:rsidRDefault="008112BD" w:rsidP="008112BD">
      <w:pPr>
        <w:pStyle w:val="Amain"/>
      </w:pPr>
      <w:r>
        <w:tab/>
        <w:t>(10)</w:t>
      </w:r>
      <w:r>
        <w:tab/>
        <w:t>Unless the court otherwise orders on its own initiative, an application under subrule (7) must be dealt with without a hearing and in the absence of the parties.</w:t>
      </w:r>
    </w:p>
    <w:p w14:paraId="272A79D4" w14:textId="77777777" w:rsidR="008112BD" w:rsidRDefault="008112BD" w:rsidP="008112BD">
      <w:pPr>
        <w:pStyle w:val="Amain"/>
      </w:pPr>
      <w:r>
        <w:tab/>
        <w:t>(11)</w:t>
      </w:r>
      <w:r>
        <w:tab/>
        <w:t>If the court makes an order under subrule (7), the registrar must give a sealed copy of the order to the enforcement creditor and enforcement debtor.</w:t>
      </w:r>
    </w:p>
    <w:p w14:paraId="239075BC" w14:textId="77777777" w:rsidR="008112BD" w:rsidRDefault="008112BD" w:rsidP="008112BD">
      <w:pPr>
        <w:pStyle w:val="AH5Sec"/>
      </w:pPr>
      <w:bookmarkStart w:id="708" w:name="_Toc185514324"/>
      <w:r w:rsidRPr="00C8328B">
        <w:rPr>
          <w:rStyle w:val="CharSectNo"/>
        </w:rPr>
        <w:t>2218A</w:t>
      </w:r>
      <w:r>
        <w:tab/>
        <w:t>Seizure and sale order—appointment of real estate agent</w:t>
      </w:r>
      <w:bookmarkEnd w:id="708"/>
    </w:p>
    <w:p w14:paraId="78017E37" w14:textId="77777777" w:rsidR="008112BD" w:rsidRDefault="008112BD" w:rsidP="008112BD">
      <w:pPr>
        <w:pStyle w:val="Amain"/>
      </w:pPr>
      <w:r>
        <w:tab/>
        <w:t>(1)</w:t>
      </w:r>
      <w:r>
        <w:tab/>
        <w:t>For rule 2218 (2), an enforcement officer may appoint a real estate agent</w:t>
      </w:r>
    </w:p>
    <w:p w14:paraId="6C540AC6" w14:textId="77777777" w:rsidR="008112BD" w:rsidRDefault="008112BD" w:rsidP="008112BD">
      <w:pPr>
        <w:pStyle w:val="aDefpara"/>
      </w:pPr>
      <w:r>
        <w:tab/>
        <w:t>(a)</w:t>
      </w:r>
      <w:r>
        <w:tab/>
        <w:t>after—</w:t>
      </w:r>
    </w:p>
    <w:p w14:paraId="6F2E4570" w14:textId="77777777" w:rsidR="008112BD" w:rsidRDefault="008112BD" w:rsidP="008112BD">
      <w:pPr>
        <w:pStyle w:val="Asubpara"/>
      </w:pPr>
      <w:r>
        <w:tab/>
        <w:t>(i)</w:t>
      </w:r>
      <w:r>
        <w:tab/>
        <w:t>seeking expressions of interest from real estate agents to market the land and conduct the sale; and</w:t>
      </w:r>
    </w:p>
    <w:p w14:paraId="5D2ACF19" w14:textId="77777777" w:rsidR="008112BD" w:rsidRDefault="008112BD" w:rsidP="008112BD">
      <w:pPr>
        <w:pStyle w:val="Asubpara"/>
      </w:pPr>
      <w:r>
        <w:tab/>
        <w:t>(ii)</w:t>
      </w:r>
      <w:r>
        <w:tab/>
        <w:t>considering any expressions of interest received, and the qualifications and experience of an agent who expresses an interest; or</w:t>
      </w:r>
    </w:p>
    <w:p w14:paraId="4E57E433" w14:textId="77777777" w:rsidR="008112BD" w:rsidRDefault="008112BD" w:rsidP="008112BD">
      <w:pPr>
        <w:pStyle w:val="Apara"/>
      </w:pPr>
      <w:r>
        <w:tab/>
        <w:t>(b)</w:t>
      </w:r>
      <w:r>
        <w:tab/>
        <w:t>from a panel established under subrule (2).</w:t>
      </w:r>
    </w:p>
    <w:p w14:paraId="1CDA4482" w14:textId="77777777" w:rsidR="008112BD" w:rsidRDefault="008112BD" w:rsidP="008112BD">
      <w:pPr>
        <w:pStyle w:val="Amain"/>
      </w:pPr>
      <w:r>
        <w:tab/>
        <w:t>(2)</w:t>
      </w:r>
      <w:r>
        <w:tab/>
        <w:t>The sheriff may establish a panel of real estate agents with appropriate qualifications and experience to market and sell land under a seizure and sale order.</w:t>
      </w:r>
    </w:p>
    <w:p w14:paraId="7C82E9BE" w14:textId="77777777" w:rsidR="008112BD" w:rsidRDefault="008112BD" w:rsidP="00DA58AC">
      <w:pPr>
        <w:pStyle w:val="Amain"/>
        <w:keepNext/>
      </w:pPr>
      <w:r>
        <w:lastRenderedPageBreak/>
        <w:tab/>
        <w:t>(3)</w:t>
      </w:r>
      <w:r>
        <w:tab/>
        <w:t>For subrule (2), the sheriff must—</w:t>
      </w:r>
    </w:p>
    <w:p w14:paraId="454E18E8" w14:textId="77777777" w:rsidR="008112BD" w:rsidRDefault="008112BD" w:rsidP="008112BD">
      <w:pPr>
        <w:pStyle w:val="Apara"/>
      </w:pPr>
      <w:r>
        <w:tab/>
        <w:t>(a)</w:t>
      </w:r>
      <w:r>
        <w:tab/>
        <w:t>call for expressions of interest from real estate agents who wish to be included on the panel; and</w:t>
      </w:r>
    </w:p>
    <w:p w14:paraId="601E51EC" w14:textId="77777777" w:rsidR="008112BD" w:rsidRDefault="008112BD" w:rsidP="008112BD">
      <w:pPr>
        <w:pStyle w:val="Apara"/>
      </w:pPr>
      <w:r>
        <w:tab/>
        <w:t>(b)</w:t>
      </w:r>
      <w:r>
        <w:tab/>
        <w:t>may arrange for enforcement officers to appoint agents from the panel—</w:t>
      </w:r>
    </w:p>
    <w:p w14:paraId="0639BC2E" w14:textId="77777777" w:rsidR="008112BD" w:rsidRDefault="008112BD" w:rsidP="008112BD">
      <w:pPr>
        <w:pStyle w:val="Asubpara"/>
      </w:pPr>
      <w:r>
        <w:tab/>
        <w:t>(i)</w:t>
      </w:r>
      <w:r>
        <w:tab/>
        <w:t>on rotation; or</w:t>
      </w:r>
    </w:p>
    <w:p w14:paraId="6FF4E455" w14:textId="77777777" w:rsidR="008112BD" w:rsidRDefault="008112BD" w:rsidP="008112BD">
      <w:pPr>
        <w:pStyle w:val="Asubpara"/>
      </w:pPr>
      <w:r>
        <w:tab/>
        <w:t>(ii)</w:t>
      </w:r>
      <w:r>
        <w:tab/>
        <w:t>because the agent’s business is concentrated in the area where land to be sold is situated; or</w:t>
      </w:r>
    </w:p>
    <w:p w14:paraId="20E896DA" w14:textId="77777777" w:rsidR="008112BD" w:rsidRDefault="008112BD" w:rsidP="008112BD">
      <w:pPr>
        <w:pStyle w:val="Asubpara"/>
      </w:pPr>
      <w:r>
        <w:tab/>
        <w:t>(iii)</w:t>
      </w:r>
      <w:r>
        <w:tab/>
        <w:t>for any other reason the sheriff considers relevant.</w:t>
      </w:r>
    </w:p>
    <w:p w14:paraId="15EFFA58" w14:textId="77777777"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14:paraId="3263D0F2" w14:textId="77777777" w:rsidR="008112BD" w:rsidRDefault="008112BD" w:rsidP="008112BD">
      <w:pPr>
        <w:pStyle w:val="AH5Sec"/>
      </w:pPr>
      <w:bookmarkStart w:id="709" w:name="_Toc185514325"/>
      <w:r w:rsidRPr="00C8328B">
        <w:rPr>
          <w:rStyle w:val="CharSectNo"/>
        </w:rPr>
        <w:t>2219</w:t>
      </w:r>
      <w:r>
        <w:tab/>
        <w:t>Seizure and sale order—power of entry for auction of land</w:t>
      </w:r>
      <w:bookmarkEnd w:id="709"/>
    </w:p>
    <w:p w14:paraId="3A5398A0" w14:textId="77777777" w:rsidR="008112BD" w:rsidRDefault="008112BD" w:rsidP="008112BD">
      <w:pPr>
        <w:pStyle w:val="Amain"/>
      </w:pPr>
      <w:r>
        <w:tab/>
        <w:t>(1)</w:t>
      </w:r>
      <w:r>
        <w:tab/>
        <w:t>If land is to be sold by public auction, the court may, on application by an enforcement officer, make an order—</w:t>
      </w:r>
    </w:p>
    <w:p w14:paraId="3412FB42" w14:textId="77777777"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14:paraId="573DD13E" w14:textId="77777777" w:rsidR="008112BD" w:rsidRDefault="008112BD" w:rsidP="008112BD">
      <w:pPr>
        <w:pStyle w:val="Apara"/>
      </w:pPr>
      <w:r>
        <w:tab/>
        <w:t>(b)</w:t>
      </w:r>
      <w:r>
        <w:tab/>
        <w:t>authorising entry onto the land by prospective purchasers in the presence of the enforcement officer.</w:t>
      </w:r>
    </w:p>
    <w:p w14:paraId="79910F30" w14:textId="77777777" w:rsidR="008112BD" w:rsidRDefault="008112BD" w:rsidP="008112BD">
      <w:pPr>
        <w:pStyle w:val="Amain"/>
        <w:keepNext/>
      </w:pPr>
      <w:r>
        <w:tab/>
        <w:t>(2)</w:t>
      </w:r>
      <w:r>
        <w:tab/>
        <w:t>The order may also authorise the enforcement officer to do either or both of the following:</w:t>
      </w:r>
    </w:p>
    <w:p w14:paraId="4D009235" w14:textId="77777777" w:rsidR="008112BD" w:rsidRDefault="008112BD" w:rsidP="008112BD">
      <w:pPr>
        <w:pStyle w:val="Apara"/>
      </w:pPr>
      <w:r>
        <w:tab/>
        <w:t>(a)</w:t>
      </w:r>
      <w:r>
        <w:tab/>
        <w:t>secure entry onto the land (including by breaking or replacing locks, bars and other devices restricting entry, if necessary);</w:t>
      </w:r>
    </w:p>
    <w:p w14:paraId="29F5D924" w14:textId="77777777" w:rsidR="008112BD" w:rsidRDefault="008112BD" w:rsidP="008112BD">
      <w:pPr>
        <w:pStyle w:val="Apara"/>
      </w:pPr>
      <w:r>
        <w:tab/>
        <w:t>(b)</w:t>
      </w:r>
      <w:r>
        <w:tab/>
        <w:t>take the steps necessary to prevent people from entering the land.</w:t>
      </w:r>
    </w:p>
    <w:p w14:paraId="57980468" w14:textId="77777777" w:rsidR="008112BD" w:rsidRDefault="008112BD" w:rsidP="008112BD">
      <w:pPr>
        <w:pStyle w:val="Amain"/>
      </w:pPr>
      <w:r>
        <w:lastRenderedPageBreak/>
        <w:tab/>
        <w:t>(3)</w:t>
      </w:r>
      <w:r>
        <w:tab/>
        <w:t>Part 6.2 (Applications in proceedings) does not apply to an application under this rule.</w:t>
      </w:r>
    </w:p>
    <w:p w14:paraId="7DEDEACF" w14:textId="77777777" w:rsidR="008112BD" w:rsidRDefault="008112BD" w:rsidP="008112BD">
      <w:pPr>
        <w:pStyle w:val="Amain"/>
      </w:pPr>
      <w:r>
        <w:tab/>
        <w:t>(4)</w:t>
      </w:r>
      <w:r>
        <w:tab/>
        <w:t>An application under this rule need not be served on anyone unless the court otherwise orders on its own initiative.</w:t>
      </w:r>
    </w:p>
    <w:p w14:paraId="2B561005" w14:textId="77777777" w:rsidR="008112BD" w:rsidRDefault="008112BD" w:rsidP="008112BD">
      <w:pPr>
        <w:pStyle w:val="Amain"/>
      </w:pPr>
      <w:r>
        <w:tab/>
        <w:t>(5)</w:t>
      </w:r>
      <w:r>
        <w:tab/>
        <w:t>Unless the court otherwise orders on its own initiative, an application under this rule must be dealt with without a hearing and in the absence of the parties.</w:t>
      </w:r>
    </w:p>
    <w:p w14:paraId="1FB15D5F" w14:textId="77777777" w:rsidR="008112BD" w:rsidRDefault="008112BD" w:rsidP="008112BD">
      <w:pPr>
        <w:pStyle w:val="Amain"/>
      </w:pPr>
      <w:r>
        <w:tab/>
        <w:t>(6)</w:t>
      </w:r>
      <w:r>
        <w:tab/>
        <w:t>This rule does not affect any other power of the court to make orders.</w:t>
      </w:r>
    </w:p>
    <w:p w14:paraId="7257B8E9" w14:textId="77777777" w:rsidR="008112BD" w:rsidRDefault="008112BD" w:rsidP="008112BD">
      <w:pPr>
        <w:pStyle w:val="Amain"/>
        <w:keepNext/>
      </w:pPr>
      <w:r>
        <w:tab/>
        <w:t>(7)</w:t>
      </w:r>
      <w:r>
        <w:tab/>
        <w:t>In this rule:</w:t>
      </w:r>
    </w:p>
    <w:p w14:paraId="2A5DB3B7" w14:textId="77777777" w:rsidR="008112BD" w:rsidRDefault="008112BD" w:rsidP="008112BD">
      <w:pPr>
        <w:pStyle w:val="aDef"/>
      </w:pPr>
      <w:r w:rsidRPr="00FE0788">
        <w:rPr>
          <w:rStyle w:val="charBoldItals"/>
        </w:rPr>
        <w:t>land</w:t>
      </w:r>
      <w:r>
        <w:t xml:space="preserve"> includes premises on land. </w:t>
      </w:r>
    </w:p>
    <w:p w14:paraId="67C42AB3" w14:textId="77777777" w:rsidR="008112BD" w:rsidRDefault="008112BD" w:rsidP="008112BD">
      <w:pPr>
        <w:pStyle w:val="AH5Sec"/>
      </w:pPr>
      <w:bookmarkStart w:id="710" w:name="_Toc185514326"/>
      <w:r w:rsidRPr="00C8328B">
        <w:rPr>
          <w:rStyle w:val="CharSectNo"/>
        </w:rPr>
        <w:t>2220</w:t>
      </w:r>
      <w:r>
        <w:tab/>
        <w:t>Seizure and sale order—sale at best price obtainable</w:t>
      </w:r>
      <w:bookmarkEnd w:id="710"/>
    </w:p>
    <w:p w14:paraId="6BA71035" w14:textId="77777777" w:rsidR="008112BD" w:rsidRDefault="008112BD" w:rsidP="008112BD">
      <w:pPr>
        <w:pStyle w:val="Amain"/>
      </w:pPr>
      <w:r>
        <w:tab/>
        <w:t>(1)</w:t>
      </w:r>
      <w:r>
        <w:tab/>
        <w:t>This rule applies if the property seized under a seizure and sale order is not sold under rule 2216 (Seizure and sale order—nature of sale).</w:t>
      </w:r>
    </w:p>
    <w:p w14:paraId="0325B2C6" w14:textId="77777777" w:rsidR="008112BD" w:rsidRDefault="008112BD" w:rsidP="008112BD">
      <w:pPr>
        <w:pStyle w:val="Amain"/>
        <w:keepNext/>
      </w:pPr>
      <w:r>
        <w:tab/>
        <w:t>(2)</w:t>
      </w:r>
      <w:r>
        <w:tab/>
        <w:t>The enforcement officer or enforcement creditor may apply to the court for an order to sell the property at the best price obtainable.</w:t>
      </w:r>
    </w:p>
    <w:p w14:paraId="58481099"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FB1A00A" w14:textId="77777777"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14:paraId="3C55840A" w14:textId="77777777" w:rsidR="008112BD" w:rsidRDefault="008112BD" w:rsidP="008112BD">
      <w:pPr>
        <w:pStyle w:val="Amain"/>
      </w:pPr>
      <w:r>
        <w:tab/>
        <w:t>(4)</w:t>
      </w:r>
      <w:r>
        <w:tab/>
        <w:t>A copy of the application and affidavit must be served on the enforcement debtor and any other interested party.</w:t>
      </w:r>
    </w:p>
    <w:p w14:paraId="37B73665" w14:textId="77777777" w:rsidR="008112BD" w:rsidRDefault="008112BD" w:rsidP="008112BD">
      <w:pPr>
        <w:pStyle w:val="AH5Sec"/>
      </w:pPr>
      <w:bookmarkStart w:id="711" w:name="_Toc185514327"/>
      <w:r w:rsidRPr="00C8328B">
        <w:rPr>
          <w:rStyle w:val="CharSectNo"/>
        </w:rPr>
        <w:t>2221</w:t>
      </w:r>
      <w:r>
        <w:tab/>
        <w:t>Seizure and sale order—advertisement of sale</w:t>
      </w:r>
      <w:bookmarkEnd w:id="711"/>
    </w:p>
    <w:p w14:paraId="0AAE9477" w14:textId="77777777" w:rsidR="008112BD" w:rsidRDefault="008112BD" w:rsidP="008112BD">
      <w:pPr>
        <w:pStyle w:val="Amain"/>
      </w:pPr>
      <w:r>
        <w:tab/>
        <w:t>(1)</w:t>
      </w:r>
      <w:r>
        <w:tab/>
        <w:t>Before selling property seized under a seizure and sale order, an enforcement officer must arrange advertisement of a notice giving—</w:t>
      </w:r>
    </w:p>
    <w:p w14:paraId="66824F8D" w14:textId="77777777" w:rsidR="008112BD" w:rsidRDefault="008112BD" w:rsidP="008112BD">
      <w:pPr>
        <w:pStyle w:val="Apara"/>
      </w:pPr>
      <w:r>
        <w:tab/>
        <w:t>(a)</w:t>
      </w:r>
      <w:r>
        <w:tab/>
        <w:t>the time and place of sale; and</w:t>
      </w:r>
    </w:p>
    <w:p w14:paraId="3032C883" w14:textId="77777777" w:rsidR="008112BD" w:rsidRDefault="008112BD" w:rsidP="008112BD">
      <w:pPr>
        <w:pStyle w:val="Apara"/>
      </w:pPr>
      <w:r>
        <w:tab/>
        <w:t>(b)</w:t>
      </w:r>
      <w:r>
        <w:tab/>
        <w:t>details of the property to be sold.</w:t>
      </w:r>
    </w:p>
    <w:p w14:paraId="27431FD6" w14:textId="77777777" w:rsidR="008112BD" w:rsidRDefault="008112BD" w:rsidP="008112BD">
      <w:pPr>
        <w:pStyle w:val="Amain"/>
      </w:pPr>
      <w:r>
        <w:lastRenderedPageBreak/>
        <w:tab/>
        <w:t>(2)</w:t>
      </w:r>
      <w:r>
        <w:tab/>
        <w:t>The notice must be published in a daily newspaper circulating generally in the ACT on 2 different days.</w:t>
      </w:r>
    </w:p>
    <w:p w14:paraId="55290AD7" w14:textId="77777777"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14:paraId="2291B97E" w14:textId="77777777" w:rsidR="008112BD" w:rsidRDefault="008112BD" w:rsidP="008112BD">
      <w:pPr>
        <w:pStyle w:val="Amain"/>
      </w:pPr>
      <w:r>
        <w:tab/>
        <w:t>(4)</w:t>
      </w:r>
      <w:r>
        <w:tab/>
        <w:t>However, the enforcement officer may sell the seized property without arranging the advertisements if—</w:t>
      </w:r>
    </w:p>
    <w:p w14:paraId="4B85D304" w14:textId="77777777" w:rsidR="008112BD" w:rsidRDefault="008112BD" w:rsidP="008112BD">
      <w:pPr>
        <w:pStyle w:val="Apara"/>
      </w:pPr>
      <w:r>
        <w:tab/>
        <w:t>(a)</w:t>
      </w:r>
      <w:r>
        <w:tab/>
        <w:t>the property is perishable; or</w:t>
      </w:r>
    </w:p>
    <w:p w14:paraId="67FD1BCA" w14:textId="77777777" w:rsidR="008112BD" w:rsidRDefault="008112BD" w:rsidP="008112BD">
      <w:pPr>
        <w:pStyle w:val="Apara"/>
      </w:pPr>
      <w:r>
        <w:tab/>
        <w:t>(b)</w:t>
      </w:r>
      <w:r>
        <w:tab/>
        <w:t>the enforcement debtor asks in writing for the property to be sold without the advertisements and the enforcement creditor consents.</w:t>
      </w:r>
    </w:p>
    <w:p w14:paraId="741FFE54" w14:textId="77777777" w:rsidR="008112BD" w:rsidRDefault="008112BD" w:rsidP="008112BD">
      <w:pPr>
        <w:pStyle w:val="Amain"/>
      </w:pPr>
      <w:r>
        <w:tab/>
        <w:t>(5)</w:t>
      </w:r>
      <w:r>
        <w:tab/>
        <w:t>Also, if the seized property is put up for sale at a public auction to be conducted by someone other than an enforcement officer—</w:t>
      </w:r>
    </w:p>
    <w:p w14:paraId="0A6CD694" w14:textId="77777777"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14:paraId="0C709B33" w14:textId="77777777" w:rsidR="008112BD" w:rsidRDefault="008112BD" w:rsidP="008112BD">
      <w:pPr>
        <w:pStyle w:val="Apara"/>
      </w:pPr>
      <w:r>
        <w:tab/>
        <w:t>(b)</w:t>
      </w:r>
      <w:r>
        <w:tab/>
        <w:t>advertisement of the notice may be done in the way reasonable and usual for a public auction of property of the same nature as the seized property; and</w:t>
      </w:r>
    </w:p>
    <w:p w14:paraId="56FEA62E" w14:textId="77777777" w:rsidR="008112BD" w:rsidRDefault="008112BD" w:rsidP="008112BD">
      <w:pPr>
        <w:pStyle w:val="Apara"/>
      </w:pPr>
      <w:r>
        <w:tab/>
        <w:t>(c)</w:t>
      </w:r>
      <w:r>
        <w:tab/>
        <w:t>an enforcement officer may require any other advertising the enforcement officer considers reasonable.</w:t>
      </w:r>
    </w:p>
    <w:p w14:paraId="023A0476" w14:textId="77777777"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14:paraId="06C9DCDE" w14:textId="77777777"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14:paraId="092AD465" w14:textId="77777777" w:rsidR="008112BD" w:rsidRDefault="008112BD" w:rsidP="008112BD">
      <w:pPr>
        <w:pStyle w:val="AH5Sec"/>
      </w:pPr>
      <w:bookmarkStart w:id="712" w:name="_Toc185514328"/>
      <w:r w:rsidRPr="00C8328B">
        <w:rPr>
          <w:rStyle w:val="CharSectNo"/>
        </w:rPr>
        <w:lastRenderedPageBreak/>
        <w:t>2222</w:t>
      </w:r>
      <w:r>
        <w:tab/>
        <w:t>Seizure and sale order—postponement of sale</w:t>
      </w:r>
      <w:bookmarkEnd w:id="712"/>
    </w:p>
    <w:p w14:paraId="4B22E373" w14:textId="77777777"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14:paraId="147C8947"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08AB14DB" w14:textId="77777777" w:rsidR="008112BD" w:rsidRDefault="008112BD" w:rsidP="008112BD">
      <w:pPr>
        <w:pStyle w:val="Amain"/>
      </w:pPr>
      <w:r>
        <w:tab/>
        <w:t>(2)</w:t>
      </w:r>
      <w:r>
        <w:tab/>
        <w:t>For a sale of personal property, the stated date must not be later than 12 weeks after the day the property was seized unless the court otherwise orders.</w:t>
      </w:r>
    </w:p>
    <w:p w14:paraId="264BC18B" w14:textId="77777777" w:rsidR="008112BD" w:rsidRDefault="008112BD" w:rsidP="008112BD">
      <w:pPr>
        <w:pStyle w:val="Amain"/>
      </w:pPr>
      <w:r>
        <w:tab/>
        <w:t>(3)</w:t>
      </w:r>
      <w:r>
        <w:tab/>
        <w:t>If the order authorising the sale would otherwise end before the stated date, the postponement automatically extends the order until the end of the stated date.</w:t>
      </w:r>
    </w:p>
    <w:p w14:paraId="434CBCE0" w14:textId="77777777" w:rsidR="008112BD" w:rsidRDefault="008112BD" w:rsidP="008112BD">
      <w:pPr>
        <w:pStyle w:val="AH5Sec"/>
      </w:pPr>
      <w:bookmarkStart w:id="713" w:name="_Toc185514329"/>
      <w:r w:rsidRPr="00C8328B">
        <w:rPr>
          <w:rStyle w:val="CharSectNo"/>
        </w:rPr>
        <w:t>2223</w:t>
      </w:r>
      <w:r>
        <w:tab/>
        <w:t>Seizure and sale order—amounts received</w:t>
      </w:r>
      <w:bookmarkEnd w:id="713"/>
    </w:p>
    <w:p w14:paraId="71F6ACDF" w14:textId="77777777" w:rsidR="008112BD" w:rsidRDefault="008112BD" w:rsidP="008112BD">
      <w:pPr>
        <w:pStyle w:val="Amain"/>
      </w:pPr>
      <w:r>
        <w:tab/>
        <w:t>(1)</w:t>
      </w:r>
      <w:r>
        <w:tab/>
        <w:t>An enforcement officer must pay to the registrar all proceeds of sale and other amounts received by the enforcement officer under a seizure and sale order.</w:t>
      </w:r>
    </w:p>
    <w:p w14:paraId="1F52DC80" w14:textId="77777777" w:rsidR="008112BD" w:rsidRDefault="008112BD" w:rsidP="008112BD">
      <w:pPr>
        <w:pStyle w:val="Amain"/>
      </w:pPr>
      <w:r>
        <w:tab/>
        <w:t>(2)</w:t>
      </w:r>
      <w:r>
        <w:tab/>
        <w:t>From the amounts received from the enforcement officer, the registrar must—</w:t>
      </w:r>
    </w:p>
    <w:p w14:paraId="48E1ED25" w14:textId="77777777" w:rsidR="008112BD" w:rsidRDefault="008112BD" w:rsidP="008112BD">
      <w:pPr>
        <w:pStyle w:val="Apara"/>
      </w:pPr>
      <w:r>
        <w:tab/>
        <w:t>(a)</w:t>
      </w:r>
      <w:r>
        <w:tab/>
        <w:t>pay the enforcement officer’s fees and costs of enforcement (including any costs of valuing and advertising property); and</w:t>
      </w:r>
    </w:p>
    <w:p w14:paraId="1E538BB2" w14:textId="77777777" w:rsidR="008112BD" w:rsidRDefault="008112BD" w:rsidP="008112BD">
      <w:pPr>
        <w:pStyle w:val="Apara"/>
      </w:pPr>
      <w:r>
        <w:tab/>
        <w:t>(b)</w:t>
      </w:r>
      <w:r>
        <w:tab/>
        <w:t>pay any balance, up to the amount recoverable under the seizure and sale order, to the enforcement creditor; and</w:t>
      </w:r>
    </w:p>
    <w:p w14:paraId="0622EAAF" w14:textId="77777777" w:rsidR="008112BD" w:rsidRDefault="008112BD" w:rsidP="008112BD">
      <w:pPr>
        <w:pStyle w:val="Apara"/>
      </w:pPr>
      <w:r>
        <w:tab/>
        <w:t>(c)</w:t>
      </w:r>
      <w:r>
        <w:tab/>
        <w:t>pay any remaining balance to the enforcement debtor.</w:t>
      </w:r>
    </w:p>
    <w:p w14:paraId="0491E5D6" w14:textId="77777777"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14:paraId="6C2B074D" w14:textId="77777777" w:rsidR="008112BD" w:rsidRDefault="008112BD" w:rsidP="008112BD">
      <w:pPr>
        <w:pStyle w:val="Amain"/>
      </w:pPr>
      <w:r>
        <w:lastRenderedPageBreak/>
        <w:tab/>
        <w:t>(4)</w:t>
      </w:r>
      <w:r>
        <w:tab/>
        <w:t>The registrar must give the enforcement debtor and enforcement creditor an account showing how the amounts received have been paid.</w:t>
      </w:r>
    </w:p>
    <w:p w14:paraId="49C3F687" w14:textId="77777777" w:rsidR="008112BD" w:rsidRDefault="008112BD" w:rsidP="008112BD">
      <w:pPr>
        <w:pStyle w:val="AH5Sec"/>
      </w:pPr>
      <w:bookmarkStart w:id="714" w:name="_Toc185514330"/>
      <w:r w:rsidRPr="00C8328B">
        <w:rPr>
          <w:rStyle w:val="CharSectNo"/>
        </w:rPr>
        <w:t>2224</w:t>
      </w:r>
      <w:r>
        <w:tab/>
        <w:t>Seizure and sale order—terms about payment</w:t>
      </w:r>
      <w:bookmarkEnd w:id="714"/>
    </w:p>
    <w:p w14:paraId="7DD5860F" w14:textId="77777777" w:rsidR="008112BD" w:rsidRDefault="008112BD" w:rsidP="008112BD">
      <w:pPr>
        <w:pStyle w:val="Amain"/>
      </w:pPr>
      <w:r>
        <w:tab/>
        <w:t>(1)</w:t>
      </w:r>
      <w:r>
        <w:tab/>
        <w:t>An enforcement officer must sell property seized under a seizure and sale order on terms that the purchaser of an item of the property—</w:t>
      </w:r>
    </w:p>
    <w:p w14:paraId="0384F8AC" w14:textId="77777777" w:rsidR="008112BD" w:rsidRDefault="008112BD" w:rsidP="008112BD">
      <w:pPr>
        <w:pStyle w:val="Apara"/>
      </w:pPr>
      <w:r>
        <w:tab/>
        <w:t>(a)</w:t>
      </w:r>
      <w:r>
        <w:tab/>
        <w:t>must pay—</w:t>
      </w:r>
    </w:p>
    <w:p w14:paraId="1F447E7B" w14:textId="77777777" w:rsidR="008112BD" w:rsidRDefault="008112BD" w:rsidP="008112BD">
      <w:pPr>
        <w:pStyle w:val="Asubpara"/>
      </w:pPr>
      <w:r>
        <w:tab/>
        <w:t>(i)</w:t>
      </w:r>
      <w:r>
        <w:tab/>
        <w:t>10% of the purchase price as a deposit immediately after the sale; and</w:t>
      </w:r>
    </w:p>
    <w:p w14:paraId="21B4FDAA" w14:textId="77777777"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14:paraId="37743973" w14:textId="77777777" w:rsidR="008112BD" w:rsidRDefault="008112BD" w:rsidP="008112BD">
      <w:pPr>
        <w:pStyle w:val="Apara"/>
      </w:pPr>
      <w:r>
        <w:tab/>
        <w:t>(b)</w:t>
      </w:r>
      <w:r>
        <w:tab/>
        <w:t>must pay all the purchase price immediately after the sale.</w:t>
      </w:r>
    </w:p>
    <w:p w14:paraId="00CCD0B1" w14:textId="77777777" w:rsidR="008112BD" w:rsidRDefault="008112BD" w:rsidP="008112BD">
      <w:pPr>
        <w:pStyle w:val="Amain"/>
      </w:pPr>
      <w:r>
        <w:tab/>
        <w:t>(2)</w:t>
      </w:r>
      <w:r>
        <w:tab/>
        <w:t>An enforcement officer must require payment of the purchase price to be in cash or by bank draft, electronic funds transfer, debit card or credit card.</w:t>
      </w:r>
    </w:p>
    <w:p w14:paraId="4C6EB698" w14:textId="77777777" w:rsidR="008112BD" w:rsidRDefault="008112BD" w:rsidP="008112BD">
      <w:pPr>
        <w:pStyle w:val="Amain"/>
      </w:pPr>
      <w:r>
        <w:tab/>
        <w:t>(3)</w:t>
      </w:r>
      <w:r>
        <w:tab/>
        <w:t>If payment is made by electronic funds transfer, debit card or credit card, any charge made for the payment must be included in the costs of enforcement.</w:t>
      </w:r>
    </w:p>
    <w:p w14:paraId="4E5FCA13" w14:textId="77777777" w:rsidR="008112BD" w:rsidRDefault="008112BD" w:rsidP="008112BD">
      <w:pPr>
        <w:pStyle w:val="AH5Sec"/>
      </w:pPr>
      <w:bookmarkStart w:id="715" w:name="_Toc185514331"/>
      <w:r w:rsidRPr="00C8328B">
        <w:rPr>
          <w:rStyle w:val="CharSectNo"/>
        </w:rPr>
        <w:t>2225</w:t>
      </w:r>
      <w:r>
        <w:tab/>
        <w:t>Seizure and sale order—securities held by enforcement officer</w:t>
      </w:r>
      <w:bookmarkEnd w:id="715"/>
    </w:p>
    <w:p w14:paraId="4BD80C93" w14:textId="77777777"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14:paraId="3A673CCB" w14:textId="77777777"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14:paraId="259405F9" w14:textId="77777777"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14:paraId="3AB5ED36" w14:textId="77777777" w:rsidR="008112BD" w:rsidRDefault="008112BD" w:rsidP="008112BD">
      <w:pPr>
        <w:pStyle w:val="Amain"/>
      </w:pPr>
      <w:r>
        <w:tab/>
        <w:t>(4)</w:t>
      </w:r>
      <w:r>
        <w:tab/>
        <w:t>Payment to the enforcement officer of an amount payable under the seized document discharges the person liable under the document to the extent of the payment.</w:t>
      </w:r>
    </w:p>
    <w:p w14:paraId="7059FC98" w14:textId="77777777" w:rsidR="008112BD" w:rsidRDefault="008112BD" w:rsidP="008112BD">
      <w:pPr>
        <w:pStyle w:val="AH5Sec"/>
      </w:pPr>
      <w:bookmarkStart w:id="716" w:name="_Toc185514332"/>
      <w:r w:rsidRPr="00C8328B">
        <w:rPr>
          <w:rStyle w:val="CharSectNo"/>
        </w:rPr>
        <w:t>2226</w:t>
      </w:r>
      <w:r>
        <w:tab/>
        <w:t>Seizure and sale order—personal property subject to conditional bill of sale</w:t>
      </w:r>
      <w:bookmarkEnd w:id="716"/>
    </w:p>
    <w:p w14:paraId="473C341A" w14:textId="77777777"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14:paraId="6BA79E09" w14:textId="77777777" w:rsidR="008112BD" w:rsidRDefault="008112BD" w:rsidP="008112BD">
      <w:pPr>
        <w:pStyle w:val="Amain"/>
      </w:pPr>
      <w:r>
        <w:tab/>
        <w:t>(2)</w:t>
      </w:r>
      <w:r>
        <w:tab/>
        <w:t>An enforcement officer may sell the enforcement debtor’s interest in the property without taking possession of it.</w:t>
      </w:r>
    </w:p>
    <w:p w14:paraId="1866C23F" w14:textId="77777777"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14:paraId="3936B1D8" w14:textId="77777777"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14:paraId="025185D6" w14:textId="77777777"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14:paraId="0C881878" w14:textId="77777777" w:rsidR="008112BD" w:rsidRDefault="008112BD" w:rsidP="008112BD">
      <w:pPr>
        <w:pStyle w:val="Amain"/>
      </w:pPr>
      <w:r>
        <w:tab/>
        <w:t>(6)</w:t>
      </w:r>
      <w:r>
        <w:tab/>
        <w:t>This rule does not affect the right of the enforcement creditor to test the validity of the bill of sale by interpleader.</w:t>
      </w:r>
    </w:p>
    <w:p w14:paraId="5C1F7023" w14:textId="77777777" w:rsidR="008112BD" w:rsidRDefault="008112BD" w:rsidP="008112BD">
      <w:pPr>
        <w:pStyle w:val="AH5Sec"/>
      </w:pPr>
      <w:bookmarkStart w:id="717" w:name="_Toc185514333"/>
      <w:r w:rsidRPr="00C8328B">
        <w:rPr>
          <w:rStyle w:val="CharSectNo"/>
        </w:rPr>
        <w:t>2227</w:t>
      </w:r>
      <w:r>
        <w:tab/>
        <w:t>Seizure and sale order—effect of sale of property</w:t>
      </w:r>
      <w:bookmarkEnd w:id="717"/>
    </w:p>
    <w:p w14:paraId="3D1DD68E" w14:textId="77777777"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14:paraId="3CBCED10" w14:textId="77777777" w:rsidR="008112BD" w:rsidRDefault="008112BD" w:rsidP="008112BD">
      <w:pPr>
        <w:pStyle w:val="Amain"/>
      </w:pPr>
      <w:r>
        <w:lastRenderedPageBreak/>
        <w:tab/>
        <w:t>(2)</w:t>
      </w:r>
      <w:r>
        <w:tab/>
        <w:t>In an instrument executed by an enforcement officer in relation to land, a statement in the instrument to the effect that—</w:t>
      </w:r>
    </w:p>
    <w:p w14:paraId="36DF52BC" w14:textId="77777777" w:rsidR="008112BD" w:rsidRDefault="008112BD" w:rsidP="008112BD">
      <w:pPr>
        <w:pStyle w:val="Apara"/>
      </w:pPr>
      <w:r>
        <w:tab/>
        <w:t>(a)</w:t>
      </w:r>
      <w:r>
        <w:tab/>
        <w:t>the land has been sold under a seizure and sale order; and</w:t>
      </w:r>
    </w:p>
    <w:p w14:paraId="3075BA8F" w14:textId="77777777" w:rsidR="008112BD" w:rsidRDefault="008112BD" w:rsidP="008112BD">
      <w:pPr>
        <w:pStyle w:val="Apara"/>
      </w:pPr>
      <w:r>
        <w:tab/>
        <w:t>(b)</w:t>
      </w:r>
      <w:r>
        <w:tab/>
        <w:t>the seizure and sale order was made for the enforcement of a money order made in a proceeding stated in the order;</w:t>
      </w:r>
    </w:p>
    <w:p w14:paraId="2F82C5A2" w14:textId="77777777" w:rsidR="008112BD" w:rsidRDefault="008112BD" w:rsidP="008112BD">
      <w:pPr>
        <w:pStyle w:val="Amainreturn"/>
      </w:pPr>
      <w:r>
        <w:t>is admissible in any proceeding as evidence of those facts.</w:t>
      </w:r>
    </w:p>
    <w:p w14:paraId="46E4AED8" w14:textId="77777777" w:rsidR="008112BD" w:rsidRDefault="008112BD" w:rsidP="008112BD">
      <w:pPr>
        <w:pStyle w:val="AH5Sec"/>
      </w:pPr>
      <w:bookmarkStart w:id="718" w:name="_Toc185514334"/>
      <w:r w:rsidRPr="00C8328B">
        <w:rPr>
          <w:rStyle w:val="CharSectNo"/>
        </w:rPr>
        <w:t>2228</w:t>
      </w:r>
      <w:r>
        <w:tab/>
        <w:t>Seizure and sale order—effect of ending of order on completion of sale etc</w:t>
      </w:r>
      <w:bookmarkEnd w:id="718"/>
    </w:p>
    <w:p w14:paraId="4E1469E3" w14:textId="77777777" w:rsidR="008112BD" w:rsidRDefault="008112BD" w:rsidP="00023F05">
      <w:pPr>
        <w:pStyle w:val="Amainreturn"/>
        <w:keepNext/>
      </w:pPr>
      <w:r>
        <w:t>Subject to any order made by the court under rule 2056 (Enforcement orders—orders about enforcement)—</w:t>
      </w:r>
    </w:p>
    <w:p w14:paraId="002F0601" w14:textId="77777777"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14:paraId="2706145B" w14:textId="77777777" w:rsidR="008112BD" w:rsidRDefault="008112BD" w:rsidP="008112BD">
      <w:pPr>
        <w:pStyle w:val="Apara"/>
      </w:pPr>
      <w:r>
        <w:tab/>
        <w:t>(b)</w:t>
      </w:r>
      <w:r>
        <w:tab/>
        <w:t>any action necessary to complete the sale or give effect to the transaction may be taken as if the order were still in force.</w:t>
      </w:r>
    </w:p>
    <w:p w14:paraId="2F479F2F" w14:textId="77777777" w:rsidR="008112BD" w:rsidRDefault="008112BD" w:rsidP="008112BD">
      <w:pPr>
        <w:pStyle w:val="AH5Sec"/>
      </w:pPr>
      <w:bookmarkStart w:id="719" w:name="_Toc185514335"/>
      <w:r w:rsidRPr="00C8328B">
        <w:rPr>
          <w:rStyle w:val="CharSectNo"/>
        </w:rPr>
        <w:t>2229</w:t>
      </w:r>
      <w:r>
        <w:tab/>
        <w:t>Seizure and sale order—appropriation of payments towards order debt</w:t>
      </w:r>
      <w:bookmarkEnd w:id="719"/>
    </w:p>
    <w:p w14:paraId="69B291CF" w14:textId="77777777" w:rsidR="008112BD" w:rsidRDefault="008112BD" w:rsidP="008112BD">
      <w:pPr>
        <w:pStyle w:val="Amainreturn"/>
      </w:pPr>
      <w:r>
        <w:t>Unless the court otherwise orders, any payment made on account of an order debt is to be appropriated—</w:t>
      </w:r>
    </w:p>
    <w:p w14:paraId="029093D6" w14:textId="77777777" w:rsidR="008112BD" w:rsidRDefault="008112BD" w:rsidP="008112BD">
      <w:pPr>
        <w:pStyle w:val="Apara"/>
      </w:pPr>
      <w:r>
        <w:tab/>
        <w:t>(a)</w:t>
      </w:r>
      <w:r>
        <w:tab/>
        <w:t>first towards the part of the order debt that is costs; and</w:t>
      </w:r>
    </w:p>
    <w:p w14:paraId="7F841FDA" w14:textId="77777777" w:rsidR="008112BD" w:rsidRDefault="008112BD" w:rsidP="008112BD">
      <w:pPr>
        <w:pStyle w:val="Apara"/>
      </w:pPr>
      <w:r>
        <w:tab/>
        <w:t>(b)</w:t>
      </w:r>
      <w:r>
        <w:tab/>
        <w:t>second towards the part of the order debt that is interest; and</w:t>
      </w:r>
    </w:p>
    <w:p w14:paraId="0AC6E75C" w14:textId="77777777" w:rsidR="008112BD" w:rsidRDefault="008112BD" w:rsidP="008112BD">
      <w:pPr>
        <w:pStyle w:val="Apara"/>
        <w:keepNext/>
      </w:pPr>
      <w:r>
        <w:tab/>
        <w:t>(c)</w:t>
      </w:r>
      <w:r>
        <w:tab/>
        <w:t>third toward the balance of the order debt.</w:t>
      </w:r>
    </w:p>
    <w:p w14:paraId="0BA673E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BB89F8A" w14:textId="77777777" w:rsidR="008112BD" w:rsidRDefault="008112BD" w:rsidP="008112BD">
      <w:pPr>
        <w:pStyle w:val="AH5Sec"/>
      </w:pPr>
      <w:bookmarkStart w:id="720" w:name="_Toc185514336"/>
      <w:r w:rsidRPr="00C8328B">
        <w:rPr>
          <w:rStyle w:val="CharSectNo"/>
        </w:rPr>
        <w:lastRenderedPageBreak/>
        <w:t>2230</w:t>
      </w:r>
      <w:r>
        <w:tab/>
        <w:t>Seizure and sale order—documents giving effect to sale</w:t>
      </w:r>
      <w:bookmarkEnd w:id="720"/>
    </w:p>
    <w:p w14:paraId="44CD1CF7" w14:textId="77777777"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14:paraId="0BDD138A" w14:textId="77777777" w:rsidR="008112BD" w:rsidRDefault="008112BD" w:rsidP="008112BD">
      <w:pPr>
        <w:pStyle w:val="Amain"/>
        <w:keepNext/>
      </w:pPr>
      <w:r>
        <w:tab/>
        <w:t>(2)</w:t>
      </w:r>
      <w:r>
        <w:tab/>
        <w:t>Unless the court otherwise orders, the settlement date under the contract of sale must not be later than 90 days after the day of the auction.</w:t>
      </w:r>
    </w:p>
    <w:p w14:paraId="3B43468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EF4DDF8" w14:textId="77777777"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14:paraId="32F4266C" w14:textId="77777777" w:rsidR="008112BD" w:rsidRDefault="008112BD" w:rsidP="008112BD">
      <w:pPr>
        <w:pStyle w:val="AH5Sec"/>
      </w:pPr>
      <w:bookmarkStart w:id="721" w:name="_Toc185514337"/>
      <w:r w:rsidRPr="00C8328B">
        <w:rPr>
          <w:rStyle w:val="CharSectNo"/>
        </w:rPr>
        <w:t>2231</w:t>
      </w:r>
      <w:r>
        <w:tab/>
        <w:t>Seizure and sale order—payment to enforcement debtor</w:t>
      </w:r>
      <w:bookmarkEnd w:id="721"/>
    </w:p>
    <w:p w14:paraId="5B72C0F8" w14:textId="77777777" w:rsidR="008112BD" w:rsidRDefault="008112BD" w:rsidP="008112BD">
      <w:pPr>
        <w:pStyle w:val="Amain"/>
        <w:keepNext/>
      </w:pPr>
      <w:r>
        <w:tab/>
        <w:t>(1)</w:t>
      </w:r>
      <w:r>
        <w:tab/>
        <w:t>An enforcement creditor on whose application a seizure and sale order has been made may file in the court—</w:t>
      </w:r>
    </w:p>
    <w:p w14:paraId="5C61CBB9" w14:textId="77777777"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14:paraId="2ED16C0C" w14:textId="77777777"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14:paraId="332ADB28" w14:textId="77777777" w:rsidR="008112BD" w:rsidRDefault="008112BD" w:rsidP="008112BD">
      <w:pPr>
        <w:pStyle w:val="Apara"/>
      </w:pPr>
      <w:r>
        <w:tab/>
        <w:t>(b)</w:t>
      </w:r>
      <w:r>
        <w:tab/>
        <w:t>a bill of costs.</w:t>
      </w:r>
    </w:p>
    <w:p w14:paraId="0E265C5C" w14:textId="77777777" w:rsidR="008112BD" w:rsidRDefault="008112BD" w:rsidP="008112BD">
      <w:pPr>
        <w:pStyle w:val="Amain"/>
      </w:pPr>
      <w:r>
        <w:tab/>
        <w:t>(2)</w:t>
      </w:r>
      <w:r>
        <w:tab/>
        <w:t>A costs agreement or bill of costs must be filed—</w:t>
      </w:r>
    </w:p>
    <w:p w14:paraId="70B1EC31" w14:textId="77777777" w:rsidR="008112BD" w:rsidRDefault="008112BD" w:rsidP="008112BD">
      <w:pPr>
        <w:pStyle w:val="Apara"/>
      </w:pPr>
      <w:r>
        <w:tab/>
        <w:t>(a)</w:t>
      </w:r>
      <w:r>
        <w:tab/>
        <w:t>not later than 2 months after the day an enforcement officer receives the proceeds of any sale under the seizure and sale order; or</w:t>
      </w:r>
    </w:p>
    <w:p w14:paraId="74BF0B89" w14:textId="77777777" w:rsidR="008112BD" w:rsidRDefault="008112BD" w:rsidP="008112BD">
      <w:pPr>
        <w:pStyle w:val="Apara"/>
      </w:pPr>
      <w:r>
        <w:tab/>
        <w:t>(b)</w:t>
      </w:r>
      <w:r>
        <w:tab/>
        <w:t>within any longer time the enforcement debtor agrees to in writing.</w:t>
      </w:r>
    </w:p>
    <w:p w14:paraId="602A6ACC" w14:textId="77777777"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14:paraId="565000D4" w14:textId="77777777"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14:paraId="563CB45C" w14:textId="77777777"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14:paraId="71E0041C" w14:textId="77777777" w:rsidR="008112BD" w:rsidRDefault="008112BD" w:rsidP="008112BD">
      <w:pPr>
        <w:pStyle w:val="Amain"/>
      </w:pPr>
      <w:r>
        <w:tab/>
        <w:t>(6)</w:t>
      </w:r>
      <w:r>
        <w:tab/>
        <w:t>The registrar must pay the enforcement creditor any of the proceeds of sale that the registrar is not required by this rule to pay to the enforcement debtor.</w:t>
      </w:r>
    </w:p>
    <w:p w14:paraId="3A0AAC72" w14:textId="77777777" w:rsidR="008112BD" w:rsidRDefault="008112BD" w:rsidP="008112BD">
      <w:pPr>
        <w:pStyle w:val="Amain"/>
      </w:pPr>
      <w:r>
        <w:tab/>
        <w:t>(7)</w:t>
      </w:r>
      <w:r>
        <w:tab/>
        <w:t>This rule does not affect the right of the enforcement creditor to recover from the enforcement debtor the costs of enforcement of the seizure and sale order.</w:t>
      </w:r>
    </w:p>
    <w:p w14:paraId="46865812" w14:textId="77777777" w:rsidR="008112BD" w:rsidRDefault="008112BD" w:rsidP="008112BD">
      <w:pPr>
        <w:pStyle w:val="AH5Sec"/>
      </w:pPr>
      <w:bookmarkStart w:id="722" w:name="_Toc185514338"/>
      <w:r w:rsidRPr="00C8328B">
        <w:rPr>
          <w:rStyle w:val="CharSectNo"/>
        </w:rPr>
        <w:t>2232</w:t>
      </w:r>
      <w:r>
        <w:tab/>
        <w:t>Seizure and sale order—purchase by enforcement officer or auctioneer prohibited</w:t>
      </w:r>
      <w:bookmarkEnd w:id="722"/>
    </w:p>
    <w:p w14:paraId="2AED8F65" w14:textId="77777777" w:rsidR="008112BD" w:rsidRDefault="008112BD" w:rsidP="008112BD">
      <w:pPr>
        <w:pStyle w:val="Amain"/>
      </w:pPr>
      <w:r>
        <w:tab/>
        <w:t>(1)</w:t>
      </w:r>
      <w:r>
        <w:tab/>
        <w:t>This rule applies to—</w:t>
      </w:r>
    </w:p>
    <w:p w14:paraId="76A2DBE5" w14:textId="77777777" w:rsidR="008112BD" w:rsidRDefault="008112BD" w:rsidP="008112BD">
      <w:pPr>
        <w:pStyle w:val="Apara"/>
      </w:pPr>
      <w:r>
        <w:tab/>
        <w:t>(a)</w:t>
      </w:r>
      <w:r>
        <w:tab/>
        <w:t>an enforcement officer; or</w:t>
      </w:r>
    </w:p>
    <w:p w14:paraId="60DAE7F6" w14:textId="77777777" w:rsidR="008112BD" w:rsidRDefault="008112BD" w:rsidP="008112BD">
      <w:pPr>
        <w:pStyle w:val="Apara"/>
      </w:pPr>
      <w:r>
        <w:tab/>
        <w:t>(b)</w:t>
      </w:r>
      <w:r>
        <w:tab/>
        <w:t>a real estate agent or auctioneer appointed or engaged by an enforcement officer in relation to a seizure and sale order; or</w:t>
      </w:r>
    </w:p>
    <w:p w14:paraId="4901A74D" w14:textId="77777777" w:rsidR="008112BD" w:rsidRDefault="008112BD" w:rsidP="008112BD">
      <w:pPr>
        <w:pStyle w:val="Apara"/>
      </w:pPr>
      <w:r>
        <w:tab/>
        <w:t>(c)</w:t>
      </w:r>
      <w:r>
        <w:tab/>
        <w:t>an employee of the real estate agent or auctioneer.</w:t>
      </w:r>
    </w:p>
    <w:p w14:paraId="5F7C1421" w14:textId="77777777" w:rsidR="008112BD" w:rsidRDefault="008112BD" w:rsidP="00DA58AC">
      <w:pPr>
        <w:pStyle w:val="Amain"/>
        <w:keepNext/>
      </w:pPr>
      <w:r>
        <w:lastRenderedPageBreak/>
        <w:tab/>
        <w:t>(2)</w:t>
      </w:r>
      <w:r>
        <w:tab/>
        <w:t>A person to whom this rule applies is not entitled—</w:t>
      </w:r>
    </w:p>
    <w:p w14:paraId="361D2A0E" w14:textId="77777777" w:rsidR="008112BD" w:rsidRDefault="008112BD" w:rsidP="008112BD">
      <w:pPr>
        <w:pStyle w:val="Apara"/>
      </w:pPr>
      <w:r>
        <w:tab/>
        <w:t>(a)</w:t>
      </w:r>
      <w:r>
        <w:tab/>
        <w:t>to bid at an auction at which property seized under the order is offered for sale; or</w:t>
      </w:r>
    </w:p>
    <w:p w14:paraId="17E31C6D" w14:textId="77777777" w:rsidR="008112BD" w:rsidRDefault="008112BD" w:rsidP="008112BD">
      <w:pPr>
        <w:pStyle w:val="Apara"/>
      </w:pPr>
      <w:r>
        <w:tab/>
        <w:t>(b)</w:t>
      </w:r>
      <w:r>
        <w:tab/>
        <w:t>to purchase, personally or for someone else, any property seized under the order at auction or by private agreement.</w:t>
      </w:r>
    </w:p>
    <w:p w14:paraId="7EC6440E" w14:textId="77777777" w:rsidR="008112BD" w:rsidRDefault="008112BD" w:rsidP="008112BD">
      <w:pPr>
        <w:pStyle w:val="AH5Sec"/>
      </w:pPr>
      <w:bookmarkStart w:id="723" w:name="_Toc185514339"/>
      <w:r w:rsidRPr="00C8328B">
        <w:rPr>
          <w:rStyle w:val="CharSectNo"/>
        </w:rPr>
        <w:t>2233</w:t>
      </w:r>
      <w:r>
        <w:tab/>
        <w:t>Seizure and sale order—account etc</w:t>
      </w:r>
      <w:bookmarkEnd w:id="723"/>
    </w:p>
    <w:p w14:paraId="172DD1B6" w14:textId="77777777" w:rsidR="008112BD" w:rsidRDefault="008112BD" w:rsidP="008112BD">
      <w:pPr>
        <w:pStyle w:val="Amain"/>
      </w:pPr>
      <w:r>
        <w:tab/>
        <w:t>(1)</w:t>
      </w:r>
      <w:r>
        <w:tab/>
        <w:t>This rule applies to a person if the person—</w:t>
      </w:r>
    </w:p>
    <w:p w14:paraId="53D2FA13" w14:textId="77777777" w:rsidR="008112BD" w:rsidRDefault="008112BD" w:rsidP="008112BD">
      <w:pPr>
        <w:pStyle w:val="Apara"/>
      </w:pPr>
      <w:r>
        <w:tab/>
        <w:t>(a)</w:t>
      </w:r>
      <w:r>
        <w:tab/>
        <w:t>is a real estate agent or auctioneer; and</w:t>
      </w:r>
    </w:p>
    <w:p w14:paraId="5FD08544" w14:textId="77777777" w:rsidR="008112BD" w:rsidRDefault="008112BD" w:rsidP="008112BD">
      <w:pPr>
        <w:pStyle w:val="Apara"/>
      </w:pPr>
      <w:r>
        <w:tab/>
        <w:t>(b)</w:t>
      </w:r>
      <w:r>
        <w:tab/>
        <w:t>is appointed or engaged by an enforcement officer in relation to a seizure and sale order.</w:t>
      </w:r>
    </w:p>
    <w:p w14:paraId="5D955DCA" w14:textId="77777777" w:rsidR="008112BD" w:rsidRDefault="008112BD" w:rsidP="008112BD">
      <w:pPr>
        <w:pStyle w:val="Amain"/>
      </w:pPr>
      <w:r>
        <w:tab/>
        <w:t>(2)</w:t>
      </w:r>
      <w:r>
        <w:tab/>
        <w:t>The person must tell an enforcement officer the amount of the person’s charges in relation to the seizure and sale order as soon as practicable after—</w:t>
      </w:r>
    </w:p>
    <w:p w14:paraId="463BF14A" w14:textId="77777777" w:rsidR="008112BD" w:rsidRDefault="008112BD" w:rsidP="008112BD">
      <w:pPr>
        <w:pStyle w:val="Apara"/>
      </w:pPr>
      <w:r>
        <w:tab/>
        <w:t>(a)</w:t>
      </w:r>
      <w:r>
        <w:tab/>
        <w:t xml:space="preserve">being told by the enforcement officer that the person’s services are not required, or will no longer be required, in relation to the order; or </w:t>
      </w:r>
    </w:p>
    <w:p w14:paraId="04A474BC" w14:textId="77777777" w:rsidR="008112BD" w:rsidRDefault="008112BD" w:rsidP="008112BD">
      <w:pPr>
        <w:pStyle w:val="Apara"/>
      </w:pPr>
      <w:r>
        <w:tab/>
        <w:t>(b)</w:t>
      </w:r>
      <w:r>
        <w:tab/>
        <w:t>being asked by an enforcement officer for an account of the person’s charges in relation to the order.</w:t>
      </w:r>
    </w:p>
    <w:p w14:paraId="341F0366" w14:textId="77777777"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14:paraId="24D23540" w14:textId="77777777" w:rsidR="008112BD" w:rsidRDefault="008112BD" w:rsidP="008112BD">
      <w:pPr>
        <w:pStyle w:val="AH5Sec"/>
      </w:pPr>
      <w:bookmarkStart w:id="724" w:name="_Toc185514340"/>
      <w:r w:rsidRPr="00C8328B">
        <w:rPr>
          <w:rStyle w:val="CharSectNo"/>
        </w:rPr>
        <w:t>2234</w:t>
      </w:r>
      <w:r>
        <w:tab/>
        <w:t>Seizure and sale order—report by enforcement officer</w:t>
      </w:r>
      <w:bookmarkEnd w:id="724"/>
    </w:p>
    <w:p w14:paraId="2F519FE2" w14:textId="77777777"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14:paraId="696F6D74" w14:textId="77777777" w:rsidR="008112BD" w:rsidRDefault="008112BD" w:rsidP="008112BD">
      <w:pPr>
        <w:pStyle w:val="Amain"/>
        <w:keepNext/>
      </w:pPr>
      <w:r>
        <w:lastRenderedPageBreak/>
        <w:tab/>
        <w:t>(2)</w:t>
      </w:r>
      <w:r>
        <w:tab/>
        <w:t>The report must include an account of—</w:t>
      </w:r>
    </w:p>
    <w:p w14:paraId="72C6D880" w14:textId="77777777" w:rsidR="008112BD" w:rsidRDefault="008112BD" w:rsidP="008112BD">
      <w:pPr>
        <w:pStyle w:val="Apara"/>
        <w:keepNext/>
      </w:pPr>
      <w:r>
        <w:tab/>
        <w:t>(a)</w:t>
      </w:r>
      <w:r>
        <w:tab/>
        <w:t>the proceeds of the sale and any other amount received by the enforcement officer under the seizure and sale order; and</w:t>
      </w:r>
    </w:p>
    <w:p w14:paraId="516C8CC7" w14:textId="77777777"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14:paraId="4C6185E2" w14:textId="77777777" w:rsidR="008112BD" w:rsidRDefault="008112BD" w:rsidP="008112BD">
      <w:pPr>
        <w:pStyle w:val="Apara"/>
      </w:pPr>
      <w:r>
        <w:tab/>
        <w:t>(c)</w:t>
      </w:r>
      <w:r>
        <w:tab/>
        <w:t>how the proceeds and other amount (if any) have been disposed of.</w:t>
      </w:r>
    </w:p>
    <w:p w14:paraId="545A15E7" w14:textId="77777777" w:rsidR="008112BD" w:rsidRDefault="008112BD" w:rsidP="008112BD">
      <w:pPr>
        <w:pStyle w:val="AH5Sec"/>
      </w:pPr>
      <w:bookmarkStart w:id="725" w:name="_Toc185514341"/>
      <w:r w:rsidRPr="00C8328B">
        <w:rPr>
          <w:rStyle w:val="CharSectNo"/>
        </w:rPr>
        <w:t>2235</w:t>
      </w:r>
      <w:r>
        <w:tab/>
        <w:t>Seizure and sale order—order for disposal and return of property to enforcement debtor</w:t>
      </w:r>
      <w:bookmarkEnd w:id="725"/>
    </w:p>
    <w:p w14:paraId="1F0720DA" w14:textId="77777777"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14:paraId="6F840E2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820E363" w14:textId="77777777" w:rsidR="008112BD" w:rsidRDefault="008112BD" w:rsidP="008112BD">
      <w:pPr>
        <w:pStyle w:val="Amain"/>
      </w:pPr>
      <w:r>
        <w:tab/>
        <w:t>(2)</w:t>
      </w:r>
      <w:r>
        <w:tab/>
        <w:t>An application under subrule (1) must be made not later than 4 weeks after the day of the auction.</w:t>
      </w:r>
    </w:p>
    <w:p w14:paraId="60C01D5C" w14:textId="77777777" w:rsidR="008112BD" w:rsidRDefault="008112BD" w:rsidP="008112BD">
      <w:pPr>
        <w:pStyle w:val="Amain"/>
      </w:pPr>
      <w:r>
        <w:tab/>
        <w:t>(3)</w:t>
      </w:r>
      <w:r>
        <w:tab/>
        <w:t>In considering whether to make an order for the disposal of the property, the court must have regard to—</w:t>
      </w:r>
    </w:p>
    <w:p w14:paraId="45334ECE" w14:textId="77777777" w:rsidR="008112BD" w:rsidRDefault="008112BD" w:rsidP="008112BD">
      <w:pPr>
        <w:pStyle w:val="Apara"/>
      </w:pPr>
      <w:r>
        <w:tab/>
        <w:t>(a)</w:t>
      </w:r>
      <w:r>
        <w:tab/>
        <w:t>the amount of the enforcement debt and costs and charges remaining unpaid; and</w:t>
      </w:r>
    </w:p>
    <w:p w14:paraId="5C62FC64" w14:textId="77777777" w:rsidR="008112BD" w:rsidRDefault="008112BD" w:rsidP="008112BD">
      <w:pPr>
        <w:pStyle w:val="Apara"/>
      </w:pPr>
      <w:r>
        <w:tab/>
        <w:t>(b)</w:t>
      </w:r>
      <w:r>
        <w:tab/>
        <w:t>any hardship that would be imposed on the enforcement creditor if the order were not made and on the enforcement debtor if the order were made.</w:t>
      </w:r>
    </w:p>
    <w:p w14:paraId="5C797413" w14:textId="77777777" w:rsidR="008112BD" w:rsidRDefault="008112BD" w:rsidP="008112BD">
      <w:pPr>
        <w:pStyle w:val="Amain"/>
        <w:keepNext/>
      </w:pPr>
      <w:r>
        <w:tab/>
        <w:t>(4)</w:t>
      </w:r>
      <w:r>
        <w:tab/>
        <w:t>If—</w:t>
      </w:r>
    </w:p>
    <w:p w14:paraId="3A66DE62" w14:textId="77777777" w:rsidR="008112BD" w:rsidRDefault="008112BD" w:rsidP="008112BD">
      <w:pPr>
        <w:pStyle w:val="Apara"/>
      </w:pPr>
      <w:r>
        <w:tab/>
        <w:t>(a)</w:t>
      </w:r>
      <w:r>
        <w:tab/>
        <w:t>the enforcement creditor does not make an application in accordance with subrule (2) in relation to property remaining unsold; or</w:t>
      </w:r>
    </w:p>
    <w:p w14:paraId="176E3B82" w14:textId="77777777" w:rsidR="008112BD" w:rsidRDefault="008112BD" w:rsidP="008112BD">
      <w:pPr>
        <w:pStyle w:val="Apara"/>
      </w:pPr>
      <w:r>
        <w:lastRenderedPageBreak/>
        <w:tab/>
        <w:t>(b)</w:t>
      </w:r>
      <w:r>
        <w:tab/>
        <w:t>the court refuses to make an order under subrule (1) for the disposal of property remaining unsold;</w:t>
      </w:r>
    </w:p>
    <w:p w14:paraId="7AED9EE6" w14:textId="77777777" w:rsidR="008112BD" w:rsidRDefault="008112BD" w:rsidP="008112BD">
      <w:pPr>
        <w:pStyle w:val="Amainreturn"/>
      </w:pPr>
      <w:r>
        <w:t>the property must be returned to the enforcement debtor.</w:t>
      </w:r>
    </w:p>
    <w:p w14:paraId="08F5D1FF" w14:textId="77777777" w:rsidR="008112BD" w:rsidRPr="00C8328B" w:rsidRDefault="008112BD" w:rsidP="008112BD">
      <w:pPr>
        <w:pStyle w:val="AH3Div"/>
      </w:pPr>
      <w:bookmarkStart w:id="726" w:name="_Toc185514342"/>
      <w:r w:rsidRPr="00C8328B">
        <w:rPr>
          <w:rStyle w:val="CharDivNo"/>
        </w:rPr>
        <w:t>Division 2.18.6</w:t>
      </w:r>
      <w:r>
        <w:tab/>
      </w:r>
      <w:r w:rsidRPr="00C8328B">
        <w:rPr>
          <w:rStyle w:val="CharDivText"/>
        </w:rPr>
        <w:t>Enforcement of money orders—debt redirection orders generally</w:t>
      </w:r>
      <w:bookmarkEnd w:id="726"/>
    </w:p>
    <w:p w14:paraId="5985E19A" w14:textId="77777777" w:rsidR="008112BD" w:rsidRDefault="008112BD" w:rsidP="008112BD">
      <w:pPr>
        <w:pStyle w:val="AH5Sec"/>
      </w:pPr>
      <w:bookmarkStart w:id="727" w:name="_Toc185514343"/>
      <w:r w:rsidRPr="00C8328B">
        <w:rPr>
          <w:rStyle w:val="CharSectNo"/>
        </w:rPr>
        <w:t>2300</w:t>
      </w:r>
      <w:r>
        <w:tab/>
        <w:t>Application—div 2.18.6</w:t>
      </w:r>
      <w:bookmarkEnd w:id="727"/>
    </w:p>
    <w:p w14:paraId="002CB31B" w14:textId="77777777"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14:paraId="4DDFC456" w14:textId="77777777"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14:paraId="1C7BF38F" w14:textId="77777777" w:rsidR="008112BD" w:rsidRDefault="008112BD" w:rsidP="008112BD">
      <w:pPr>
        <w:pStyle w:val="Amain"/>
      </w:pPr>
      <w:r>
        <w:tab/>
        <w:t>(2)</w:t>
      </w:r>
      <w:r>
        <w:tab/>
        <w:t>However, this division does not apply to—</w:t>
      </w:r>
    </w:p>
    <w:p w14:paraId="5A3B6E6B" w14:textId="77777777" w:rsidR="008112BD" w:rsidRDefault="008112BD" w:rsidP="008112BD">
      <w:pPr>
        <w:pStyle w:val="Apara"/>
      </w:pPr>
      <w:r>
        <w:tab/>
        <w:t>(a)</w:t>
      </w:r>
      <w:r>
        <w:tab/>
        <w:t>a redirection of earnings; or</w:t>
      </w:r>
    </w:p>
    <w:p w14:paraId="3507E4ED" w14:textId="77777777" w:rsidR="008112BD" w:rsidRDefault="008112BD" w:rsidP="008112BD">
      <w:pPr>
        <w:pStyle w:val="Apara"/>
        <w:keepNext/>
      </w:pPr>
      <w:r>
        <w:tab/>
        <w:t>(b)</w:t>
      </w:r>
      <w:r>
        <w:tab/>
        <w:t>an order for the payment of money into court.</w:t>
      </w:r>
    </w:p>
    <w:p w14:paraId="0AE61AB6" w14:textId="77777777" w:rsidR="008112BD" w:rsidRDefault="008112BD" w:rsidP="008112BD">
      <w:pPr>
        <w:pStyle w:val="aNote"/>
      </w:pPr>
      <w:r w:rsidRPr="00FE0788">
        <w:rPr>
          <w:rStyle w:val="charItals"/>
        </w:rPr>
        <w:t>Note</w:t>
      </w:r>
      <w:r w:rsidRPr="00FE0788">
        <w:rPr>
          <w:rStyle w:val="charItals"/>
        </w:rPr>
        <w:tab/>
      </w:r>
      <w:r>
        <w:t>Div 2.18.8 deals with earnings redirection orders.</w:t>
      </w:r>
    </w:p>
    <w:p w14:paraId="389B7DF3" w14:textId="77777777" w:rsidR="008112BD" w:rsidRDefault="008112BD" w:rsidP="008112BD">
      <w:pPr>
        <w:pStyle w:val="AH5Sec"/>
      </w:pPr>
      <w:bookmarkStart w:id="728" w:name="_Toc185514344"/>
      <w:r w:rsidRPr="00C8328B">
        <w:rPr>
          <w:rStyle w:val="CharSectNo"/>
        </w:rPr>
        <w:t>2301</w:t>
      </w:r>
      <w:r>
        <w:tab/>
        <w:t>Debt redirection order—making</w:t>
      </w:r>
      <w:bookmarkEnd w:id="728"/>
    </w:p>
    <w:p w14:paraId="403BB835" w14:textId="77777777"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14:paraId="4E16966E" w14:textId="77777777" w:rsidR="008112BD" w:rsidRDefault="008112BD" w:rsidP="008112BD">
      <w:pPr>
        <w:pStyle w:val="Amain"/>
      </w:pPr>
      <w:r>
        <w:tab/>
        <w:t>(2)</w:t>
      </w:r>
      <w:r>
        <w:tab/>
        <w:t>To remove any doubt, a single debt redirection order may be made in relation to 2 or more debts.</w:t>
      </w:r>
    </w:p>
    <w:p w14:paraId="5395D73F" w14:textId="77777777"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14:paraId="366F6B32"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6B7038CD" w14:textId="77777777" w:rsidR="008112BD" w:rsidRDefault="008112BD" w:rsidP="008112BD">
      <w:pPr>
        <w:pStyle w:val="AH5Sec"/>
      </w:pPr>
      <w:bookmarkStart w:id="729" w:name="_Toc185514345"/>
      <w:r w:rsidRPr="00C8328B">
        <w:rPr>
          <w:rStyle w:val="CharSectNo"/>
        </w:rPr>
        <w:lastRenderedPageBreak/>
        <w:t>2302</w:t>
      </w:r>
      <w:r>
        <w:tab/>
        <w:t>Debt redirection order—application</w:t>
      </w:r>
      <w:bookmarkEnd w:id="729"/>
    </w:p>
    <w:p w14:paraId="4B3FEFEE" w14:textId="77777777" w:rsidR="008112BD" w:rsidRDefault="008112BD" w:rsidP="00023F05">
      <w:pPr>
        <w:pStyle w:val="Amain"/>
        <w:keepNext/>
      </w:pPr>
      <w:r>
        <w:tab/>
        <w:t>(1)</w:t>
      </w:r>
      <w:r>
        <w:tab/>
        <w:t>An application for a debt redirection order is made by filing in the court—</w:t>
      </w:r>
    </w:p>
    <w:p w14:paraId="6EE4672F" w14:textId="77777777" w:rsidR="008112BD" w:rsidRDefault="008112BD" w:rsidP="008112BD">
      <w:pPr>
        <w:pStyle w:val="Apara"/>
      </w:pPr>
      <w:r>
        <w:tab/>
        <w:t>(a)</w:t>
      </w:r>
      <w:r>
        <w:tab/>
        <w:t>a draft of the order sought; and</w:t>
      </w:r>
    </w:p>
    <w:p w14:paraId="4B575B3A" w14:textId="77777777" w:rsidR="008112BD" w:rsidRDefault="008112BD" w:rsidP="008112BD">
      <w:pPr>
        <w:pStyle w:val="Apara"/>
        <w:keepNext/>
      </w:pPr>
      <w:r>
        <w:tab/>
        <w:t>(b)</w:t>
      </w:r>
      <w:r>
        <w:tab/>
        <w:t>an affidavit in support of the application.</w:t>
      </w:r>
    </w:p>
    <w:p w14:paraId="7153A24C" w14:textId="0C7970C1" w:rsidR="008112BD" w:rsidRDefault="008112BD" w:rsidP="008112BD">
      <w:pPr>
        <w:pStyle w:val="aNote"/>
      </w:pPr>
      <w:r w:rsidRPr="00FE0788">
        <w:rPr>
          <w:rStyle w:val="charItals"/>
        </w:rPr>
        <w:t>Note</w:t>
      </w:r>
      <w:r>
        <w:tab/>
        <w:t xml:space="preserve">See approved form 2.62 (Debt redirection order) </w:t>
      </w:r>
      <w:hyperlink r:id="rId196" w:history="1">
        <w:r w:rsidRPr="001C178D">
          <w:rPr>
            <w:rStyle w:val="charCitHyperlinkAbbrev"/>
          </w:rPr>
          <w:t>AF2006-307</w:t>
        </w:r>
      </w:hyperlink>
      <w:r>
        <w:t>.</w:t>
      </w:r>
    </w:p>
    <w:p w14:paraId="308642D5" w14:textId="77777777" w:rsidR="008112BD" w:rsidRDefault="008112BD" w:rsidP="008112BD">
      <w:pPr>
        <w:pStyle w:val="Amain"/>
      </w:pPr>
      <w:r>
        <w:tab/>
        <w:t>(2)</w:t>
      </w:r>
      <w:r>
        <w:tab/>
        <w:t>The affidavit in support must state—</w:t>
      </w:r>
    </w:p>
    <w:p w14:paraId="29BEBDB9" w14:textId="77777777" w:rsidR="008112BD" w:rsidRDefault="008112BD" w:rsidP="008112BD">
      <w:pPr>
        <w:pStyle w:val="Apara"/>
      </w:pPr>
      <w:r>
        <w:tab/>
        <w:t>(a)</w:t>
      </w:r>
      <w:r>
        <w:tab/>
        <w:t>the date the money order was made; and</w:t>
      </w:r>
    </w:p>
    <w:p w14:paraId="15811B9B" w14:textId="77777777" w:rsidR="008112BD" w:rsidRDefault="008112BD" w:rsidP="008112BD">
      <w:pPr>
        <w:pStyle w:val="Apara"/>
      </w:pPr>
      <w:r>
        <w:tab/>
        <w:t>(b)</w:t>
      </w:r>
      <w:r>
        <w:tab/>
        <w:t>the date a sealed copy of the money order, and the notice in accordance with rule 2015 (2), was served on the enforcement debtor; and</w:t>
      </w:r>
    </w:p>
    <w:p w14:paraId="150CC208" w14:textId="77777777" w:rsidR="008112BD" w:rsidRDefault="008112BD" w:rsidP="008112BD">
      <w:pPr>
        <w:pStyle w:val="Apara"/>
      </w:pPr>
      <w:r>
        <w:tab/>
        <w:t>(c)</w:t>
      </w:r>
      <w:r>
        <w:tab/>
        <w:t>the amount of the order debt; and</w:t>
      </w:r>
    </w:p>
    <w:p w14:paraId="257C73A4" w14:textId="77777777" w:rsidR="008112BD" w:rsidRDefault="008112BD" w:rsidP="008112BD">
      <w:pPr>
        <w:pStyle w:val="Apara"/>
      </w:pPr>
      <w:r>
        <w:tab/>
        <w:t>(d)</w:t>
      </w:r>
      <w:r>
        <w:tab/>
        <w:t>that the order debt has not been fully paid; and</w:t>
      </w:r>
    </w:p>
    <w:p w14:paraId="326D200A" w14:textId="77777777" w:rsidR="008112BD" w:rsidRDefault="008112BD" w:rsidP="008112BD">
      <w:pPr>
        <w:pStyle w:val="Apara"/>
      </w:pPr>
      <w:r>
        <w:tab/>
        <w:t>(e)</w:t>
      </w:r>
      <w:r>
        <w:tab/>
        <w:t>the date and amount of each payment (if any) made under the money order; and</w:t>
      </w:r>
    </w:p>
    <w:p w14:paraId="1F72E1B9" w14:textId="77777777" w:rsidR="008112BD" w:rsidRDefault="008112BD" w:rsidP="008112BD">
      <w:pPr>
        <w:pStyle w:val="Apara"/>
      </w:pPr>
      <w:r>
        <w:tab/>
        <w:t>(f)</w:t>
      </w:r>
      <w:r>
        <w:tab/>
        <w:t>the costs incurred in previous enforcement proceedings in relation to the money order; and</w:t>
      </w:r>
    </w:p>
    <w:p w14:paraId="154A31A1"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5A5EA289" w14:textId="77777777" w:rsidR="008112BD" w:rsidRDefault="008112BD" w:rsidP="008112BD">
      <w:pPr>
        <w:pStyle w:val="Apara"/>
      </w:pPr>
      <w:r>
        <w:tab/>
        <w:t>(h)</w:t>
      </w:r>
      <w:r>
        <w:tab/>
        <w:t>any other details necessary to work out the amount payable under the money order on the affidavit date and how the amount is worked out; and</w:t>
      </w:r>
    </w:p>
    <w:p w14:paraId="7B8E52AF" w14:textId="77777777" w:rsidR="008112BD" w:rsidRDefault="008112BD" w:rsidP="008112BD">
      <w:pPr>
        <w:pStyle w:val="Apara"/>
      </w:pPr>
      <w:r>
        <w:tab/>
        <w:t>(i)</w:t>
      </w:r>
      <w:r>
        <w:tab/>
        <w:t>the daily amount of any interest that, subject to any future payment under the money order, will accrue after the affidavit date; and</w:t>
      </w:r>
    </w:p>
    <w:p w14:paraId="1E06F984" w14:textId="77777777" w:rsidR="008112BD" w:rsidRDefault="008112BD" w:rsidP="008112BD">
      <w:pPr>
        <w:pStyle w:val="Apara"/>
      </w:pPr>
      <w:r>
        <w:tab/>
        <w:t>(j)</w:t>
      </w:r>
      <w:r>
        <w:tab/>
        <w:t>the name of the third person; and</w:t>
      </w:r>
    </w:p>
    <w:p w14:paraId="0C9EECD6" w14:textId="77777777" w:rsidR="008112BD" w:rsidRDefault="008112BD" w:rsidP="008112BD">
      <w:pPr>
        <w:pStyle w:val="Apara"/>
      </w:pPr>
      <w:r>
        <w:lastRenderedPageBreak/>
        <w:tab/>
        <w:t>(k)</w:t>
      </w:r>
      <w:r>
        <w:tab/>
        <w:t>the amount of the debt that appears to be owed by the third person to the enforcement debtor; and</w:t>
      </w:r>
    </w:p>
    <w:p w14:paraId="47F083D7" w14:textId="77777777" w:rsidR="008112BD" w:rsidRDefault="008112BD" w:rsidP="008112BD">
      <w:pPr>
        <w:pStyle w:val="Apara"/>
      </w:pPr>
      <w:r>
        <w:tab/>
        <w:t>(l)</w:t>
      </w:r>
      <w:r>
        <w:tab/>
        <w:t>any other information necessary for the order being sought.</w:t>
      </w:r>
    </w:p>
    <w:p w14:paraId="70FEAE7D" w14:textId="77777777" w:rsidR="008112BD" w:rsidRDefault="008112BD" w:rsidP="008112BD">
      <w:pPr>
        <w:pStyle w:val="Amain"/>
      </w:pPr>
      <w:r>
        <w:tab/>
        <w:t>(3)</w:t>
      </w:r>
      <w:r>
        <w:tab/>
        <w:t>The affidavit must be sworn not earlier than 2 days before the day the application is filed in the court.</w:t>
      </w:r>
    </w:p>
    <w:p w14:paraId="7578D403" w14:textId="77777777" w:rsidR="008112BD" w:rsidRDefault="008112BD" w:rsidP="008112BD">
      <w:pPr>
        <w:pStyle w:val="Amain"/>
      </w:pPr>
      <w:r>
        <w:tab/>
        <w:t>(4)</w:t>
      </w:r>
      <w:r>
        <w:tab/>
        <w:t>Part 6.2 (Applications in proceedings) does not apply to the application.</w:t>
      </w:r>
    </w:p>
    <w:p w14:paraId="376A78CB" w14:textId="77777777" w:rsidR="008112BD" w:rsidRDefault="008112BD" w:rsidP="008112BD">
      <w:pPr>
        <w:pStyle w:val="Amain"/>
      </w:pPr>
      <w:r>
        <w:tab/>
        <w:t>(5)</w:t>
      </w:r>
      <w:r>
        <w:tab/>
        <w:t>The affidavit and draft order need not be served on anyone unless the court otherwise orders on its own initiative.</w:t>
      </w:r>
    </w:p>
    <w:p w14:paraId="0AA8C769" w14:textId="77777777"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14:paraId="07F6BB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1D603" w14:textId="77777777" w:rsidR="008112BD" w:rsidRDefault="008112BD" w:rsidP="008112BD">
      <w:pPr>
        <w:pStyle w:val="AH5Sec"/>
      </w:pPr>
      <w:bookmarkStart w:id="730" w:name="_Toc185514346"/>
      <w:r w:rsidRPr="00C8328B">
        <w:rPr>
          <w:rStyle w:val="CharSectNo"/>
        </w:rPr>
        <w:t>2303</w:t>
      </w:r>
      <w:r>
        <w:tab/>
        <w:t>Debt redirection order—relevant considerations</w:t>
      </w:r>
      <w:bookmarkEnd w:id="730"/>
    </w:p>
    <w:p w14:paraId="52FC0383" w14:textId="77777777" w:rsidR="008112BD" w:rsidRDefault="008112BD" w:rsidP="008112BD">
      <w:pPr>
        <w:pStyle w:val="Amain"/>
        <w:keepNext/>
      </w:pPr>
      <w:r>
        <w:tab/>
        <w:t>(1)</w:t>
      </w:r>
      <w:r>
        <w:tab/>
        <w:t>In deciding whether to make a debt redirection order, the court must have regard to the following matters, as far as they are known to the court:</w:t>
      </w:r>
    </w:p>
    <w:p w14:paraId="291F8AF0" w14:textId="77777777" w:rsidR="008112BD" w:rsidRDefault="008112BD" w:rsidP="008112BD">
      <w:pPr>
        <w:pStyle w:val="Apara"/>
      </w:pPr>
      <w:r>
        <w:tab/>
        <w:t>(a)</w:t>
      </w:r>
      <w:r>
        <w:tab/>
        <w:t>the enforcement debtor’s means of satisfying the order debt;</w:t>
      </w:r>
    </w:p>
    <w:p w14:paraId="3A21E491" w14:textId="77777777" w:rsidR="008112BD" w:rsidRDefault="008112BD" w:rsidP="008112BD">
      <w:pPr>
        <w:pStyle w:val="Apara"/>
      </w:pPr>
      <w:r>
        <w:tab/>
        <w:t>(b)</w:t>
      </w:r>
      <w:r>
        <w:tab/>
        <w:t>whether the order debt, including any interest, will be satisfied within a reasonable time;</w:t>
      </w:r>
    </w:p>
    <w:p w14:paraId="414A5E2D" w14:textId="77777777" w:rsidR="008112BD" w:rsidRDefault="008112BD" w:rsidP="008112BD">
      <w:pPr>
        <w:pStyle w:val="Apara"/>
      </w:pPr>
      <w:r>
        <w:tab/>
        <w:t>(c)</w:t>
      </w:r>
      <w:r>
        <w:tab/>
        <w:t>the necessary living expenses of the enforcement debtor and the enforcement debtor’s dependants;</w:t>
      </w:r>
    </w:p>
    <w:p w14:paraId="5D0BB378" w14:textId="77777777" w:rsidR="008112BD" w:rsidRDefault="008112BD" w:rsidP="008112BD">
      <w:pPr>
        <w:pStyle w:val="Apara"/>
      </w:pPr>
      <w:r>
        <w:tab/>
        <w:t>(d)</w:t>
      </w:r>
      <w:r>
        <w:tab/>
        <w:t>other liabilities of the enforcement debtor;</w:t>
      </w:r>
    </w:p>
    <w:p w14:paraId="24F0FB9B" w14:textId="77777777" w:rsidR="008112BD" w:rsidRDefault="008112BD" w:rsidP="008112BD">
      <w:pPr>
        <w:pStyle w:val="Apara"/>
      </w:pPr>
      <w:r>
        <w:tab/>
        <w:t>(e)</w:t>
      </w:r>
      <w:r>
        <w:tab/>
        <w:t>the amount of the order debt;</w:t>
      </w:r>
    </w:p>
    <w:p w14:paraId="4BF12A32" w14:textId="77777777" w:rsidR="008112BD" w:rsidRDefault="008112BD" w:rsidP="008112BD">
      <w:pPr>
        <w:pStyle w:val="Apara"/>
      </w:pPr>
      <w:r>
        <w:tab/>
        <w:t>(f)</w:t>
      </w:r>
      <w:r>
        <w:tab/>
        <w:t>the amount of the debt to be redirected and the amount of each instalment (if any);</w:t>
      </w:r>
    </w:p>
    <w:p w14:paraId="7DECA58A" w14:textId="77777777"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14:paraId="7A97961E" w14:textId="77777777" w:rsidR="008112BD" w:rsidRDefault="008112BD" w:rsidP="008112BD">
      <w:pPr>
        <w:pStyle w:val="Apara"/>
      </w:pPr>
      <w:r>
        <w:tab/>
        <w:t>(h)</w:t>
      </w:r>
      <w:r>
        <w:tab/>
        <w:t>whether, having regard to the nature of the debt and the kind of redirection, the redirection is appropriate.</w:t>
      </w:r>
    </w:p>
    <w:p w14:paraId="2466E7D3" w14:textId="77777777" w:rsidR="008112BD" w:rsidRDefault="008112BD" w:rsidP="008112BD">
      <w:pPr>
        <w:pStyle w:val="Amain"/>
      </w:pPr>
      <w:r>
        <w:tab/>
        <w:t>(2)</w:t>
      </w:r>
      <w:r>
        <w:tab/>
        <w:t>Subrule (1) does not limit the matters to which the court may have regard.</w:t>
      </w:r>
    </w:p>
    <w:p w14:paraId="1AD844EC" w14:textId="77777777"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14:paraId="75D8DF35" w14:textId="77777777" w:rsidR="008112BD" w:rsidRDefault="008112BD" w:rsidP="008112BD">
      <w:pPr>
        <w:pStyle w:val="Amain"/>
      </w:pPr>
      <w:r>
        <w:tab/>
        <w:t>(4)</w:t>
      </w:r>
      <w:r>
        <w:tab/>
        <w:t>However, an enforcement hearing is not necessary before the court makes the debt redirection order.</w:t>
      </w:r>
    </w:p>
    <w:p w14:paraId="1BF7ED6A" w14:textId="77777777" w:rsidR="008112BD" w:rsidRDefault="008112BD" w:rsidP="008112BD">
      <w:pPr>
        <w:pStyle w:val="AH5Sec"/>
      </w:pPr>
      <w:bookmarkStart w:id="731" w:name="_Toc185514347"/>
      <w:r w:rsidRPr="00C8328B">
        <w:rPr>
          <w:rStyle w:val="CharSectNo"/>
        </w:rPr>
        <w:t>2304</w:t>
      </w:r>
      <w:r>
        <w:tab/>
        <w:t>Debt redirection order—joint funds</w:t>
      </w:r>
      <w:bookmarkEnd w:id="731"/>
    </w:p>
    <w:p w14:paraId="115BCA69" w14:textId="77777777"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14:paraId="0970DBE4" w14:textId="77777777" w:rsidR="008112BD" w:rsidRDefault="008112BD" w:rsidP="008112BD">
      <w:pPr>
        <w:pStyle w:val="Amain"/>
      </w:pPr>
      <w:r>
        <w:tab/>
        <w:t>(2)</w:t>
      </w:r>
      <w:r>
        <w:tab/>
        <w:t>A debt redirection order may authorise redirection to an enforcement creditor of the joint fund to the extent of the enforcement debtor’s entitlement.</w:t>
      </w:r>
    </w:p>
    <w:p w14:paraId="49B060B7" w14:textId="77777777"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14:paraId="0E7B30B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14:paraId="2709777D" w14:textId="77777777" w:rsidR="008112BD" w:rsidRDefault="008112BD" w:rsidP="008112BD">
      <w:pPr>
        <w:pStyle w:val="AH5Sec"/>
      </w:pPr>
      <w:bookmarkStart w:id="732" w:name="_Toc185514348"/>
      <w:r w:rsidRPr="00C8328B">
        <w:rPr>
          <w:rStyle w:val="CharSectNo"/>
        </w:rPr>
        <w:t>2305</w:t>
      </w:r>
      <w:r>
        <w:tab/>
        <w:t>Debt redirection order—partnership debts</w:t>
      </w:r>
      <w:bookmarkEnd w:id="732"/>
    </w:p>
    <w:p w14:paraId="3139AC0F" w14:textId="77777777"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14:paraId="0C8A9764" w14:textId="77777777" w:rsidR="008112BD" w:rsidRDefault="008112BD" w:rsidP="008112BD">
      <w:pPr>
        <w:pStyle w:val="AH5Sec"/>
      </w:pPr>
      <w:bookmarkStart w:id="733" w:name="_Toc185514349"/>
      <w:r w:rsidRPr="00C8328B">
        <w:rPr>
          <w:rStyle w:val="CharSectNo"/>
        </w:rPr>
        <w:lastRenderedPageBreak/>
        <w:t>2306</w:t>
      </w:r>
      <w:r>
        <w:tab/>
        <w:t>Debt redirection order—account with financial institution</w:t>
      </w:r>
      <w:bookmarkEnd w:id="733"/>
    </w:p>
    <w:p w14:paraId="3BDE85EF" w14:textId="77777777"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14:paraId="62C4FAEA" w14:textId="77777777" w:rsidR="008112BD" w:rsidRDefault="008112BD" w:rsidP="008112BD">
      <w:pPr>
        <w:pStyle w:val="Amain"/>
        <w:keepNext/>
      </w:pPr>
      <w:r>
        <w:tab/>
        <w:t>(2)</w:t>
      </w:r>
      <w:r>
        <w:tab/>
        <w:t>Subrule (1) applies even if any of the following conditions applying to the account have not been satisfied:</w:t>
      </w:r>
    </w:p>
    <w:p w14:paraId="39DABBB9" w14:textId="77777777" w:rsidR="008112BD" w:rsidRDefault="008112BD" w:rsidP="008112BD">
      <w:pPr>
        <w:pStyle w:val="Apara"/>
      </w:pPr>
      <w:r>
        <w:tab/>
        <w:t>(a)</w:t>
      </w:r>
      <w:r>
        <w:tab/>
        <w:t>a condition requiring a demand or notice to be made or given before an amount is withdrawn;</w:t>
      </w:r>
    </w:p>
    <w:p w14:paraId="17608472" w14:textId="77777777" w:rsidR="008112BD" w:rsidRDefault="008112BD" w:rsidP="008112BD">
      <w:pPr>
        <w:pStyle w:val="Apara"/>
      </w:pPr>
      <w:r>
        <w:tab/>
        <w:t>(b)</w:t>
      </w:r>
      <w:r>
        <w:tab/>
        <w:t>a condition about how, or the place where, a demand is to be made;</w:t>
      </w:r>
    </w:p>
    <w:p w14:paraId="6CC5D3E4" w14:textId="77777777" w:rsidR="008112BD" w:rsidRDefault="008112BD" w:rsidP="008112BD">
      <w:pPr>
        <w:pStyle w:val="Apara"/>
      </w:pPr>
      <w:r>
        <w:tab/>
        <w:t>(c)</w:t>
      </w:r>
      <w:r>
        <w:tab/>
        <w:t>a condition requiring a personal application to be made before an amount is withdrawn;</w:t>
      </w:r>
    </w:p>
    <w:p w14:paraId="7C5EC0CB" w14:textId="77777777" w:rsidR="008112BD" w:rsidRDefault="008112BD" w:rsidP="008112BD">
      <w:pPr>
        <w:pStyle w:val="Apara"/>
      </w:pPr>
      <w:r>
        <w:tab/>
        <w:t>(d)</w:t>
      </w:r>
      <w:r>
        <w:tab/>
        <w:t>a condition requiring the production of a deposit book, receipt or anything else for an amount deposited in the account before the amount is withdrawn;</w:t>
      </w:r>
    </w:p>
    <w:p w14:paraId="5A172C66" w14:textId="77777777" w:rsidR="008112BD" w:rsidRDefault="008112BD" w:rsidP="008112BD">
      <w:pPr>
        <w:pStyle w:val="Apara"/>
        <w:keepNext/>
      </w:pPr>
      <w:r>
        <w:tab/>
        <w:t>(e)</w:t>
      </w:r>
      <w:r>
        <w:tab/>
        <w:t>a condition requiring an amount not be withdrawn for a stated period;</w:t>
      </w:r>
    </w:p>
    <w:p w14:paraId="460F1A40" w14:textId="77777777" w:rsidR="008112BD" w:rsidRDefault="008112BD" w:rsidP="008112BD">
      <w:pPr>
        <w:pStyle w:val="Apara"/>
      </w:pPr>
      <w:r>
        <w:tab/>
        <w:t>(f)</w:t>
      </w:r>
      <w:r>
        <w:tab/>
        <w:t>a condition requiring a minimum amount for a withdrawal;</w:t>
      </w:r>
    </w:p>
    <w:p w14:paraId="4C6ED0E2" w14:textId="77777777" w:rsidR="008112BD" w:rsidRDefault="008112BD" w:rsidP="008112BD">
      <w:pPr>
        <w:pStyle w:val="Apara"/>
      </w:pPr>
      <w:r>
        <w:tab/>
        <w:t>(g)</w:t>
      </w:r>
      <w:r>
        <w:tab/>
        <w:t>a condition requiring a minimum balance to be maintained in the account;</w:t>
      </w:r>
    </w:p>
    <w:p w14:paraId="52503A74" w14:textId="77777777" w:rsidR="008112BD" w:rsidRDefault="008112BD" w:rsidP="008112BD">
      <w:pPr>
        <w:pStyle w:val="Apara"/>
      </w:pPr>
      <w:r>
        <w:tab/>
        <w:t>(h)</w:t>
      </w:r>
      <w:r>
        <w:tab/>
        <w:t>a similar condition.</w:t>
      </w:r>
    </w:p>
    <w:p w14:paraId="6ADF5180" w14:textId="77777777"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14:paraId="144681C8" w14:textId="77777777" w:rsidR="008112BD" w:rsidRDefault="008112BD" w:rsidP="008112BD">
      <w:pPr>
        <w:pStyle w:val="AH5Sec"/>
      </w:pPr>
      <w:bookmarkStart w:id="734" w:name="_Toc185514350"/>
      <w:r w:rsidRPr="00C8328B">
        <w:rPr>
          <w:rStyle w:val="CharSectNo"/>
        </w:rPr>
        <w:lastRenderedPageBreak/>
        <w:t>2307</w:t>
      </w:r>
      <w:r>
        <w:tab/>
        <w:t>Debt redirection order—claim by someone else</w:t>
      </w:r>
      <w:bookmarkEnd w:id="734"/>
    </w:p>
    <w:p w14:paraId="6FED86E2" w14:textId="77777777" w:rsidR="008112BD" w:rsidRDefault="008112BD" w:rsidP="004E43DB">
      <w:pPr>
        <w:pStyle w:val="Amain"/>
        <w:keepNext/>
      </w:pPr>
      <w:r>
        <w:tab/>
        <w:t>(1)</w:t>
      </w:r>
      <w:r>
        <w:tab/>
        <w:t>This rule applies if—</w:t>
      </w:r>
    </w:p>
    <w:p w14:paraId="065C72E8" w14:textId="77777777" w:rsidR="008112BD" w:rsidRDefault="008112BD" w:rsidP="008112BD">
      <w:pPr>
        <w:pStyle w:val="Apara"/>
      </w:pPr>
      <w:r>
        <w:tab/>
        <w:t>(a)</w:t>
      </w:r>
      <w:r>
        <w:tab/>
        <w:t>the court is considering making, or has made, a debt redirection order for a debt; and</w:t>
      </w:r>
    </w:p>
    <w:p w14:paraId="23B0E9DA" w14:textId="77777777"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14:paraId="5508132E" w14:textId="77777777" w:rsidR="008112BD" w:rsidRDefault="008112BD" w:rsidP="008112BD">
      <w:pPr>
        <w:pStyle w:val="Amain"/>
        <w:keepNext/>
      </w:pPr>
      <w:r>
        <w:tab/>
        <w:t>(2)</w:t>
      </w:r>
      <w:r>
        <w:tab/>
        <w:t>The court may, on its own initiative, give the directions it considers appropriate for deciding the interested person’s entitlement.</w:t>
      </w:r>
    </w:p>
    <w:p w14:paraId="31D4B463" w14:textId="77777777" w:rsidR="008112BD" w:rsidRDefault="008112BD" w:rsidP="008112BD">
      <w:pPr>
        <w:pStyle w:val="aExamHdgss"/>
      </w:pPr>
      <w:r>
        <w:t>Examples of directions</w:t>
      </w:r>
    </w:p>
    <w:p w14:paraId="48190A4A" w14:textId="77777777" w:rsidR="008112BD" w:rsidRDefault="008112BD" w:rsidP="008112BD">
      <w:pPr>
        <w:pStyle w:val="aExamINumss"/>
        <w:keepNext/>
      </w:pPr>
      <w:r>
        <w:t>1</w:t>
      </w:r>
      <w:r>
        <w:tab/>
        <w:t>that a stamped copy of a debt redirection order be served on a person who may be an interested person</w:t>
      </w:r>
    </w:p>
    <w:p w14:paraId="03AC87F0" w14:textId="77777777"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14:paraId="0CE7A781" w14:textId="77777777" w:rsidR="008112BD" w:rsidRDefault="008112BD" w:rsidP="008112BD">
      <w:pPr>
        <w:pStyle w:val="aExamINumss"/>
      </w:pPr>
      <w:r>
        <w:t>3</w:t>
      </w:r>
      <w:r>
        <w:tab/>
        <w:t>that a person who may be an interested person be given an opportunity to file a notice of objection and supporting affidavit</w:t>
      </w:r>
    </w:p>
    <w:p w14:paraId="2E11C4E0" w14:textId="77777777" w:rsidR="008112BD" w:rsidRDefault="008112BD" w:rsidP="008112BD">
      <w:pPr>
        <w:pStyle w:val="aExamINumss"/>
        <w:keepNext/>
      </w:pPr>
      <w:r>
        <w:t>4</w:t>
      </w:r>
      <w:r>
        <w:tab/>
        <w:t>directions for deciding any question arising out of a notice of objection or supporting affidavit</w:t>
      </w:r>
    </w:p>
    <w:p w14:paraId="7ABA8403" w14:textId="77777777" w:rsidR="008112BD" w:rsidRDefault="008112BD" w:rsidP="008112BD">
      <w:pPr>
        <w:pStyle w:val="AH5Sec"/>
      </w:pPr>
      <w:bookmarkStart w:id="735" w:name="_Toc185514351"/>
      <w:r w:rsidRPr="00C8328B">
        <w:rPr>
          <w:rStyle w:val="CharSectNo"/>
        </w:rPr>
        <w:t>2308</w:t>
      </w:r>
      <w:r>
        <w:tab/>
        <w:t>Debt redirection order—when debt redirected</w:t>
      </w:r>
      <w:bookmarkEnd w:id="735"/>
    </w:p>
    <w:p w14:paraId="60676199" w14:textId="77777777" w:rsidR="008112BD" w:rsidRDefault="008112BD" w:rsidP="008112BD">
      <w:pPr>
        <w:pStyle w:val="Amain"/>
        <w:keepNext/>
      </w:pPr>
      <w:r>
        <w:tab/>
        <w:t>(1)</w:t>
      </w:r>
      <w:r>
        <w:tab/>
        <w:t>A debt redirection order must be served on the third person to have effect.</w:t>
      </w:r>
    </w:p>
    <w:p w14:paraId="791803D2" w14:textId="77777777"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14:paraId="295775F1" w14:textId="77777777" w:rsidR="008112BD" w:rsidRDefault="008112BD" w:rsidP="008112BD">
      <w:pPr>
        <w:pStyle w:val="AH5Sec"/>
      </w:pPr>
      <w:bookmarkStart w:id="736" w:name="_Toc185514352"/>
      <w:r w:rsidRPr="00C8328B">
        <w:rPr>
          <w:rStyle w:val="CharSectNo"/>
        </w:rPr>
        <w:lastRenderedPageBreak/>
        <w:t>2309</w:t>
      </w:r>
      <w:r>
        <w:tab/>
        <w:t>Debt redirection order—notice by third person to enforcement creditor</w:t>
      </w:r>
      <w:bookmarkEnd w:id="736"/>
    </w:p>
    <w:p w14:paraId="1B5472B3" w14:textId="77777777"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14:paraId="11C0EFD5" w14:textId="77777777" w:rsidR="008112BD" w:rsidRDefault="008112BD" w:rsidP="008112BD">
      <w:pPr>
        <w:pStyle w:val="Apara"/>
      </w:pPr>
      <w:r>
        <w:tab/>
        <w:t>(a)</w:t>
      </w:r>
      <w:r>
        <w:tab/>
        <w:t>the date the debt is, or is likely to be, payable to the enforcement debtor; and</w:t>
      </w:r>
    </w:p>
    <w:p w14:paraId="31BD77B3" w14:textId="77777777" w:rsidR="008112BD" w:rsidRDefault="008112BD" w:rsidP="008112BD">
      <w:pPr>
        <w:pStyle w:val="Apara"/>
      </w:pPr>
      <w:r>
        <w:tab/>
        <w:t>(b)</w:t>
      </w:r>
      <w:r>
        <w:tab/>
        <w:t>if the amount of the debt is less than the unpaid amount of the amount recoverable under the money order—the amount of the debt.</w:t>
      </w:r>
    </w:p>
    <w:p w14:paraId="4CA5E624" w14:textId="77777777" w:rsidR="008112BD" w:rsidRDefault="008112BD" w:rsidP="008112BD">
      <w:pPr>
        <w:pStyle w:val="AH5Sec"/>
      </w:pPr>
      <w:bookmarkStart w:id="737" w:name="_Toc185514353"/>
      <w:r w:rsidRPr="00C8328B">
        <w:rPr>
          <w:rStyle w:val="CharSectNo"/>
        </w:rPr>
        <w:t>2310</w:t>
      </w:r>
      <w:r>
        <w:tab/>
        <w:t>Debt redirection order—payments by third person</w:t>
      </w:r>
      <w:bookmarkEnd w:id="737"/>
    </w:p>
    <w:p w14:paraId="137AE44C" w14:textId="77777777" w:rsidR="008112BD" w:rsidRDefault="008112BD" w:rsidP="008112BD">
      <w:pPr>
        <w:pStyle w:val="Amain"/>
        <w:keepNext/>
      </w:pPr>
      <w:r>
        <w:tab/>
        <w:t>(1)</w:t>
      </w:r>
      <w:r>
        <w:tab/>
        <w:t>Payments under a debt redirection order must be made in accordance with, and to the enforcement creditor stated in, the order.</w:t>
      </w:r>
    </w:p>
    <w:p w14:paraId="6C94FCB1" w14:textId="77777777"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14:paraId="2AAEFE46" w14:textId="77777777" w:rsidR="008112BD" w:rsidRDefault="008112BD" w:rsidP="008112BD">
      <w:pPr>
        <w:pStyle w:val="AH5Sec"/>
      </w:pPr>
      <w:bookmarkStart w:id="738" w:name="_Toc185514354"/>
      <w:r w:rsidRPr="00C8328B">
        <w:rPr>
          <w:rStyle w:val="CharSectNo"/>
        </w:rPr>
        <w:t>2311</w:t>
      </w:r>
      <w:r>
        <w:tab/>
        <w:t>Debt redirection order—third person disputes liability</w:t>
      </w:r>
      <w:bookmarkEnd w:id="738"/>
    </w:p>
    <w:p w14:paraId="165D9388" w14:textId="77777777" w:rsidR="008112BD" w:rsidRDefault="008112BD" w:rsidP="008112BD">
      <w:pPr>
        <w:pStyle w:val="Amain"/>
      </w:pPr>
      <w:r>
        <w:tab/>
        <w:t>(1)</w:t>
      </w:r>
      <w:r>
        <w:tab/>
        <w:t>This rule applies if—</w:t>
      </w:r>
    </w:p>
    <w:p w14:paraId="1EF1828E" w14:textId="77777777" w:rsidR="008112BD" w:rsidRDefault="008112BD" w:rsidP="008112BD">
      <w:pPr>
        <w:pStyle w:val="Apara"/>
      </w:pPr>
      <w:r>
        <w:tab/>
        <w:t>(a)</w:t>
      </w:r>
      <w:r>
        <w:tab/>
        <w:t>a debt redirection order is served on the third person; and</w:t>
      </w:r>
    </w:p>
    <w:p w14:paraId="322A3344" w14:textId="77777777" w:rsidR="008112BD" w:rsidRDefault="008112BD" w:rsidP="008112BD">
      <w:pPr>
        <w:pStyle w:val="Apara"/>
      </w:pPr>
      <w:r>
        <w:tab/>
        <w:t>(b)</w:t>
      </w:r>
      <w:r>
        <w:tab/>
        <w:t>the third person disputes liability to pay any debt to the enforcement debtor.</w:t>
      </w:r>
    </w:p>
    <w:p w14:paraId="17FD7B97" w14:textId="77777777" w:rsidR="008112BD" w:rsidRDefault="008112BD" w:rsidP="008112BD">
      <w:pPr>
        <w:pStyle w:val="Amain"/>
      </w:pPr>
      <w:r>
        <w:tab/>
        <w:t>(2)</w:t>
      </w:r>
      <w:r>
        <w:tab/>
        <w:t>The third person may file a notice of objection in the court.</w:t>
      </w:r>
    </w:p>
    <w:p w14:paraId="727B190F" w14:textId="77777777" w:rsidR="008112BD" w:rsidRDefault="008112BD" w:rsidP="008112BD">
      <w:pPr>
        <w:pStyle w:val="Amain"/>
      </w:pPr>
      <w:r>
        <w:tab/>
        <w:t>(3)</w:t>
      </w:r>
      <w:r>
        <w:tab/>
        <w:t>The notice must be filed not later than 7 days after the day the order is served on the third person.</w:t>
      </w:r>
    </w:p>
    <w:p w14:paraId="777D400B" w14:textId="77777777" w:rsidR="008112BD" w:rsidRDefault="008112BD" w:rsidP="008112BD">
      <w:pPr>
        <w:pStyle w:val="Amain"/>
      </w:pPr>
      <w:r>
        <w:tab/>
        <w:t>(4)</w:t>
      </w:r>
      <w:r>
        <w:tab/>
        <w:t>The notice must be accompanied by an affidavit in support stating the facts relied on by the third person.</w:t>
      </w:r>
    </w:p>
    <w:p w14:paraId="1B0EDFE8" w14:textId="77777777"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14:paraId="24B08F24" w14:textId="77777777"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14:paraId="247012F9" w14:textId="77777777" w:rsidR="008112BD" w:rsidRDefault="008112BD" w:rsidP="008112BD">
      <w:pPr>
        <w:pStyle w:val="Amain"/>
      </w:pPr>
      <w:r>
        <w:tab/>
        <w:t>(7)</w:t>
      </w:r>
      <w:r>
        <w:tab/>
        <w:t>The third person must serve a stamped copy of the notice and supporting affidavit on the enforcement creditor and enforcement debtor.</w:t>
      </w:r>
    </w:p>
    <w:p w14:paraId="7A94AB74" w14:textId="77777777" w:rsidR="008112BD" w:rsidRDefault="008112BD" w:rsidP="008112BD">
      <w:pPr>
        <w:pStyle w:val="Amain"/>
      </w:pPr>
      <w:r>
        <w:tab/>
        <w:t>(8)</w:t>
      </w:r>
      <w:r>
        <w:tab/>
        <w:t>The enforcement debtor or enforcement creditor may file in the court an affidavit in response to the notice of objection.</w:t>
      </w:r>
    </w:p>
    <w:p w14:paraId="3482688B" w14:textId="77777777" w:rsidR="008112BD" w:rsidRDefault="008112BD" w:rsidP="008112BD">
      <w:pPr>
        <w:pStyle w:val="Amain"/>
      </w:pPr>
      <w:r>
        <w:tab/>
        <w:t>(9)</w:t>
      </w:r>
      <w:r>
        <w:tab/>
        <w:t>The court may—</w:t>
      </w:r>
    </w:p>
    <w:p w14:paraId="09F16973" w14:textId="77777777" w:rsidR="008112BD" w:rsidRDefault="008112BD" w:rsidP="008112BD">
      <w:pPr>
        <w:pStyle w:val="Apara"/>
      </w:pPr>
      <w:r>
        <w:tab/>
        <w:t>(a)</w:t>
      </w:r>
      <w:r>
        <w:tab/>
        <w:t xml:space="preserve">decide the question of liability without a hearing and in the absence of the parties; or </w:t>
      </w:r>
    </w:p>
    <w:p w14:paraId="0D672929" w14:textId="77777777" w:rsidR="008112BD" w:rsidRDefault="008112BD" w:rsidP="008112BD">
      <w:pPr>
        <w:pStyle w:val="Apara"/>
      </w:pPr>
      <w:r>
        <w:tab/>
        <w:t>(b)</w:t>
      </w:r>
      <w:r>
        <w:tab/>
        <w:t>on its own initiative, give directions for the question to be decided.</w:t>
      </w:r>
    </w:p>
    <w:p w14:paraId="49A2CF34" w14:textId="77777777" w:rsidR="008112BD" w:rsidRDefault="008112BD" w:rsidP="008112BD">
      <w:pPr>
        <w:pStyle w:val="Amain"/>
      </w:pPr>
      <w:r>
        <w:tab/>
        <w:t>(10)</w:t>
      </w:r>
      <w:r>
        <w:tab/>
        <w:t>To remove any doubt, part 6.2 (Applications in proceedings) does not apply to a notice of objection, or response to a notice of objection, under this rule.</w:t>
      </w:r>
    </w:p>
    <w:p w14:paraId="05F3D868" w14:textId="77777777" w:rsidR="008112BD" w:rsidRDefault="008112BD" w:rsidP="008112BD">
      <w:pPr>
        <w:pStyle w:val="AH5Sec"/>
      </w:pPr>
      <w:bookmarkStart w:id="739" w:name="_Toc185514355"/>
      <w:r w:rsidRPr="00C8328B">
        <w:rPr>
          <w:rStyle w:val="CharSectNo"/>
        </w:rPr>
        <w:t>2312</w:t>
      </w:r>
      <w:r>
        <w:tab/>
        <w:t>Debt redirection order—discharge of third person</w:t>
      </w:r>
      <w:bookmarkEnd w:id="739"/>
    </w:p>
    <w:p w14:paraId="76C1D170" w14:textId="77777777"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14:paraId="048CB6B8" w14:textId="77777777" w:rsidR="008112BD" w:rsidRDefault="008112BD" w:rsidP="008112BD">
      <w:pPr>
        <w:pStyle w:val="Amain"/>
      </w:pPr>
      <w:r>
        <w:tab/>
        <w:t>(2)</w:t>
      </w:r>
      <w:r>
        <w:tab/>
        <w:t>This rule applies even if, after the payment, the debt redirection order is set aside or the money order from which it arose is amended or set aside.</w:t>
      </w:r>
    </w:p>
    <w:p w14:paraId="254A5C3B" w14:textId="77777777" w:rsidR="008112BD" w:rsidRDefault="008112BD" w:rsidP="008112BD">
      <w:pPr>
        <w:pStyle w:val="AH5Sec"/>
      </w:pPr>
      <w:bookmarkStart w:id="740" w:name="_Toc185514356"/>
      <w:r w:rsidRPr="00C8328B">
        <w:rPr>
          <w:rStyle w:val="CharSectNo"/>
        </w:rPr>
        <w:lastRenderedPageBreak/>
        <w:t>2313</w:t>
      </w:r>
      <w:r>
        <w:tab/>
        <w:t>Debt redirection order—payment to enforcement debtor despite redirection</w:t>
      </w:r>
      <w:bookmarkEnd w:id="740"/>
    </w:p>
    <w:p w14:paraId="30C0FD6E" w14:textId="77777777" w:rsidR="008112BD" w:rsidRDefault="008112BD" w:rsidP="008112BD">
      <w:pPr>
        <w:pStyle w:val="Amain"/>
      </w:pPr>
      <w:r>
        <w:tab/>
        <w:t>(1)</w:t>
      </w:r>
      <w:r>
        <w:tab/>
        <w:t>This rule applies if, after redirection of a debt in the hands of the third person—</w:t>
      </w:r>
    </w:p>
    <w:p w14:paraId="76C72F10" w14:textId="77777777" w:rsidR="008112BD" w:rsidRDefault="008112BD" w:rsidP="008112BD">
      <w:pPr>
        <w:pStyle w:val="Apara"/>
      </w:pPr>
      <w:r>
        <w:tab/>
        <w:t>(a)</w:t>
      </w:r>
      <w:r>
        <w:tab/>
        <w:t>the third person acts with reasonable diligence to give effect to the redirection; and</w:t>
      </w:r>
    </w:p>
    <w:p w14:paraId="52656B4D" w14:textId="77777777"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14:paraId="17D257CB" w14:textId="77777777"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14:paraId="7B7ED30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B726392" w14:textId="77777777" w:rsidR="008112BD" w:rsidRDefault="008112BD" w:rsidP="008112BD">
      <w:pPr>
        <w:pStyle w:val="AH5Sec"/>
      </w:pPr>
      <w:bookmarkStart w:id="741" w:name="_Toc185514357"/>
      <w:r w:rsidRPr="00C8328B">
        <w:rPr>
          <w:rStyle w:val="CharSectNo"/>
        </w:rPr>
        <w:t>2314</w:t>
      </w:r>
      <w:r>
        <w:tab/>
        <w:t>Debt redirection order—amending, suspending or setting aside</w:t>
      </w:r>
      <w:bookmarkEnd w:id="741"/>
    </w:p>
    <w:p w14:paraId="7E62C282" w14:textId="77777777"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14:paraId="2DCCF9B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942743" w14:textId="77777777" w:rsidR="008112BD" w:rsidRDefault="008112BD" w:rsidP="008112BD">
      <w:pPr>
        <w:pStyle w:val="Amain"/>
      </w:pPr>
      <w:r>
        <w:tab/>
        <w:t>(2)</w:t>
      </w:r>
      <w:r>
        <w:tab/>
        <w:t>The registrar must give notice of the date and time the application is to be heard to the enforcement creditor, enforcement debtor and third person.</w:t>
      </w:r>
    </w:p>
    <w:p w14:paraId="6DB30A02" w14:textId="77777777" w:rsidR="008112BD" w:rsidRDefault="008112BD" w:rsidP="008112BD">
      <w:pPr>
        <w:pStyle w:val="Amain"/>
        <w:keepNext/>
      </w:pPr>
      <w:r>
        <w:tab/>
        <w:t>(3)</w:t>
      </w:r>
      <w:r>
        <w:tab/>
        <w:t>After hearing the application, the court may make 1 or more of the following orders:</w:t>
      </w:r>
    </w:p>
    <w:p w14:paraId="0893D24F" w14:textId="77777777" w:rsidR="008112BD" w:rsidRDefault="008112BD" w:rsidP="008112BD">
      <w:pPr>
        <w:pStyle w:val="Apara"/>
      </w:pPr>
      <w:r>
        <w:tab/>
        <w:t>(a)</w:t>
      </w:r>
      <w:r>
        <w:tab/>
        <w:t>an instalment order;</w:t>
      </w:r>
    </w:p>
    <w:p w14:paraId="29F7E39D" w14:textId="77777777" w:rsidR="008112BD" w:rsidRDefault="008112BD" w:rsidP="008112BD">
      <w:pPr>
        <w:pStyle w:val="Apara"/>
      </w:pPr>
      <w:r>
        <w:lastRenderedPageBreak/>
        <w:tab/>
        <w:t>(b)</w:t>
      </w:r>
      <w:r>
        <w:tab/>
        <w:t>an order amending, suspending or setting aside the debt redirection order;</w:t>
      </w:r>
    </w:p>
    <w:p w14:paraId="25E3B961" w14:textId="77777777" w:rsidR="008112BD" w:rsidRDefault="008112BD" w:rsidP="008112BD">
      <w:pPr>
        <w:pStyle w:val="Apara"/>
      </w:pPr>
      <w:r>
        <w:tab/>
        <w:t>(c)</w:t>
      </w:r>
      <w:r>
        <w:tab/>
        <w:t>a regular redirection order;</w:t>
      </w:r>
    </w:p>
    <w:p w14:paraId="2C4B92AF" w14:textId="77777777" w:rsidR="008112BD" w:rsidRDefault="008112BD" w:rsidP="008112BD">
      <w:pPr>
        <w:pStyle w:val="Apara"/>
      </w:pPr>
      <w:r>
        <w:tab/>
        <w:t>(d)</w:t>
      </w:r>
      <w:r>
        <w:tab/>
        <w:t>an earnings redirection order.</w:t>
      </w:r>
    </w:p>
    <w:p w14:paraId="6A47123F" w14:textId="77777777" w:rsidR="008112BD" w:rsidRDefault="008112BD" w:rsidP="008112BD">
      <w:pPr>
        <w:pStyle w:val="Amain"/>
      </w:pPr>
      <w:r>
        <w:tab/>
        <w:t>(4)</w:t>
      </w:r>
      <w:r>
        <w:tab/>
        <w:t>In considering whether to make an order mentioned in subrule (3), the court must have regard to—</w:t>
      </w:r>
    </w:p>
    <w:p w14:paraId="4393F073" w14:textId="77777777" w:rsidR="008112BD" w:rsidRDefault="008112BD" w:rsidP="008112BD">
      <w:pPr>
        <w:pStyle w:val="Apara"/>
      </w:pPr>
      <w:r>
        <w:tab/>
        <w:t>(a)</w:t>
      </w:r>
      <w:r>
        <w:tab/>
        <w:t>the order (if any) preferred by the enforcement debtor; and</w:t>
      </w:r>
    </w:p>
    <w:p w14:paraId="1D7C4565" w14:textId="77777777" w:rsidR="008112BD" w:rsidRDefault="008112BD" w:rsidP="008112BD">
      <w:pPr>
        <w:pStyle w:val="Apara"/>
      </w:pPr>
      <w:r>
        <w:tab/>
        <w:t>(b)</w:t>
      </w:r>
      <w:r>
        <w:tab/>
        <w:t>the likelihood of the enforcement debtor complying with an instalment order; and</w:t>
      </w:r>
    </w:p>
    <w:p w14:paraId="437EF075"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77DB9E41" w14:textId="77777777" w:rsidR="008112BD" w:rsidRDefault="008112BD" w:rsidP="008112BD">
      <w:pPr>
        <w:pStyle w:val="Apara"/>
      </w:pPr>
      <w:r>
        <w:tab/>
        <w:t>(d)</w:t>
      </w:r>
      <w:r>
        <w:tab/>
        <w:t>any other information that the court considers is relevant and reliable.</w:t>
      </w:r>
    </w:p>
    <w:p w14:paraId="3F531714" w14:textId="77777777" w:rsidR="008112BD" w:rsidRDefault="008112BD" w:rsidP="008112BD">
      <w:pPr>
        <w:pStyle w:val="Amain"/>
        <w:keepNext/>
      </w:pPr>
      <w:r>
        <w:tab/>
        <w:t>(5)</w:t>
      </w:r>
      <w:r>
        <w:tab/>
        <w:t>Subrule (4) does not limit—</w:t>
      </w:r>
    </w:p>
    <w:p w14:paraId="71A930A8" w14:textId="77777777" w:rsidR="008112BD" w:rsidRDefault="008112BD" w:rsidP="008112BD">
      <w:pPr>
        <w:pStyle w:val="Apara"/>
        <w:keepNext/>
      </w:pPr>
      <w:r>
        <w:tab/>
        <w:t>(a)</w:t>
      </w:r>
      <w:r>
        <w:tab/>
        <w:t>the other matters to which the court must have regard in deciding whether to make an instalment order or earnings redirection order; or</w:t>
      </w:r>
    </w:p>
    <w:p w14:paraId="02BC876F" w14:textId="77777777" w:rsidR="008112BD" w:rsidRDefault="008112BD" w:rsidP="008112BD">
      <w:pPr>
        <w:pStyle w:val="aNotepar"/>
        <w:keepNext/>
      </w:pPr>
      <w:r w:rsidRPr="00FE0788">
        <w:rPr>
          <w:rStyle w:val="charItals"/>
        </w:rPr>
        <w:t>Note</w:t>
      </w:r>
      <w:r w:rsidRPr="00FE0788">
        <w:rPr>
          <w:rStyle w:val="charItals"/>
        </w:rPr>
        <w:tab/>
      </w:r>
      <w:r>
        <w:t>For these matters, see—</w:t>
      </w:r>
    </w:p>
    <w:p w14:paraId="15A45E1B" w14:textId="77777777"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14:paraId="5DBAEECD" w14:textId="77777777"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14:paraId="676819C5" w14:textId="77777777" w:rsidR="008112BD" w:rsidRDefault="008112BD" w:rsidP="008112BD">
      <w:pPr>
        <w:pStyle w:val="Apara"/>
      </w:pPr>
      <w:r>
        <w:tab/>
        <w:t>(b)</w:t>
      </w:r>
      <w:r>
        <w:tab/>
        <w:t>the other matters to which the court may have regard.</w:t>
      </w:r>
    </w:p>
    <w:p w14:paraId="1FB1789B" w14:textId="77777777" w:rsidR="008112BD" w:rsidRDefault="008112BD" w:rsidP="008112BD">
      <w:pPr>
        <w:pStyle w:val="Amain"/>
      </w:pPr>
      <w:r>
        <w:tab/>
        <w:t>(6)</w:t>
      </w:r>
      <w:r>
        <w:tab/>
        <w:t>If the court makes an order amending, suspending or setting aside the debt redirection order under this rule—</w:t>
      </w:r>
    </w:p>
    <w:p w14:paraId="766C8435" w14:textId="77777777" w:rsidR="008112BD" w:rsidRDefault="008112BD" w:rsidP="008112BD">
      <w:pPr>
        <w:pStyle w:val="Apara"/>
      </w:pPr>
      <w:r>
        <w:tab/>
        <w:t>(a)</w:t>
      </w:r>
      <w:r>
        <w:tab/>
        <w:t>the registrar must serve a sealed copy of the order on the enforcement creditor, enforcement debtor and third person; and</w:t>
      </w:r>
    </w:p>
    <w:p w14:paraId="3C18E468" w14:textId="77777777" w:rsidR="008112BD" w:rsidRDefault="008112BD" w:rsidP="008112BD">
      <w:pPr>
        <w:pStyle w:val="Apara"/>
      </w:pPr>
      <w:r>
        <w:tab/>
        <w:t>(b)</w:t>
      </w:r>
      <w:r>
        <w:tab/>
        <w:t>the order does not come into force until the end of 7 days after the day it is served on the third person.</w:t>
      </w:r>
    </w:p>
    <w:p w14:paraId="21FF4D10" w14:textId="77777777" w:rsidR="008112BD" w:rsidRDefault="008112BD" w:rsidP="008112BD">
      <w:pPr>
        <w:pStyle w:val="AH5Sec"/>
      </w:pPr>
      <w:bookmarkStart w:id="742" w:name="_Toc185514358"/>
      <w:r w:rsidRPr="00C8328B">
        <w:rPr>
          <w:rStyle w:val="CharSectNo"/>
        </w:rPr>
        <w:lastRenderedPageBreak/>
        <w:t>2315</w:t>
      </w:r>
      <w:r>
        <w:tab/>
        <w:t>Debt redirection order—procedure if order not complied with</w:t>
      </w:r>
      <w:bookmarkEnd w:id="742"/>
    </w:p>
    <w:p w14:paraId="5A3C2C23" w14:textId="77777777"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14:paraId="517625F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C9A3F41" w14:textId="77777777"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14:paraId="04797D01" w14:textId="77777777" w:rsidR="008112BD" w:rsidRDefault="008112BD" w:rsidP="008112BD">
      <w:pPr>
        <w:pStyle w:val="Apara"/>
      </w:pPr>
      <w:r>
        <w:tab/>
        <w:t>(a)</w:t>
      </w:r>
      <w:r>
        <w:tab/>
        <w:t>the amount that has not been paid to the enforcement creditor as required by the debt redirection order; and</w:t>
      </w:r>
    </w:p>
    <w:p w14:paraId="43BD416A" w14:textId="77777777" w:rsidR="008112BD" w:rsidRDefault="008112BD" w:rsidP="008112BD">
      <w:pPr>
        <w:pStyle w:val="Apara"/>
      </w:pPr>
      <w:r>
        <w:tab/>
        <w:t>(b)</w:t>
      </w:r>
      <w:r>
        <w:tab/>
        <w:t>the unpaid amount of the order debt.</w:t>
      </w:r>
    </w:p>
    <w:p w14:paraId="4E83663C" w14:textId="77777777"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14:paraId="21F5E6C3" w14:textId="77777777"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14:paraId="7D91BA9A" w14:textId="77777777" w:rsidR="006B04ED" w:rsidRDefault="006B04ED" w:rsidP="002A3279">
      <w:pPr>
        <w:pStyle w:val="02Text"/>
        <w:sectPr w:rsidR="006B04ED" w:rsidSect="00CD3DF7">
          <w:headerReference w:type="even" r:id="rId197"/>
          <w:headerReference w:type="default" r:id="rId198"/>
          <w:footerReference w:type="even" r:id="rId199"/>
          <w:footerReference w:type="default" r:id="rId200"/>
          <w:footerReference w:type="first" r:id="rId201"/>
          <w:pgSz w:w="11907" w:h="16839" w:code="9"/>
          <w:pgMar w:top="3880" w:right="1900" w:bottom="3100" w:left="2300" w:header="1800" w:footer="1760" w:gutter="0"/>
          <w:pgNumType w:start="1"/>
          <w:cols w:space="720"/>
          <w:titlePg/>
          <w:docGrid w:linePitch="254"/>
        </w:sectPr>
      </w:pPr>
    </w:p>
    <w:p w14:paraId="042C6538" w14:textId="77777777" w:rsidR="008112BD" w:rsidRPr="00C8328B" w:rsidRDefault="008112BD" w:rsidP="008112BD">
      <w:pPr>
        <w:pStyle w:val="AH3Div"/>
      </w:pPr>
      <w:bookmarkStart w:id="743" w:name="_Toc185514359"/>
      <w:r w:rsidRPr="00C8328B">
        <w:rPr>
          <w:rStyle w:val="CharDivNo"/>
        </w:rPr>
        <w:lastRenderedPageBreak/>
        <w:t>Division 2.18.7</w:t>
      </w:r>
      <w:r>
        <w:tab/>
      </w:r>
      <w:r w:rsidRPr="00C8328B">
        <w:rPr>
          <w:rStyle w:val="CharDivText"/>
        </w:rPr>
        <w:t>Enforcement of money orders—regular redirections from financial institutions</w:t>
      </w:r>
      <w:bookmarkEnd w:id="743"/>
    </w:p>
    <w:p w14:paraId="3633C2D3" w14:textId="77777777" w:rsidR="008112BD" w:rsidRDefault="008112BD" w:rsidP="008112BD">
      <w:pPr>
        <w:pStyle w:val="AH5Sec"/>
      </w:pPr>
      <w:bookmarkStart w:id="744" w:name="_Toc185514360"/>
      <w:r w:rsidRPr="00C8328B">
        <w:rPr>
          <w:rStyle w:val="CharSectNo"/>
        </w:rPr>
        <w:t>2330</w:t>
      </w:r>
      <w:r>
        <w:tab/>
        <w:t>Application—div 2.18.7</w:t>
      </w:r>
      <w:bookmarkEnd w:id="744"/>
    </w:p>
    <w:p w14:paraId="7AC5FC4E" w14:textId="77777777" w:rsidR="008112BD" w:rsidRDefault="008112BD" w:rsidP="008112BD">
      <w:pPr>
        <w:pStyle w:val="Amainreturn"/>
        <w:keepNext/>
      </w:pPr>
      <w:r>
        <w:t>This division applies if—</w:t>
      </w:r>
    </w:p>
    <w:p w14:paraId="186D2C82" w14:textId="77777777" w:rsidR="008112BD" w:rsidRDefault="008112BD" w:rsidP="008112BD">
      <w:pPr>
        <w:pStyle w:val="Apara"/>
      </w:pPr>
      <w:r>
        <w:tab/>
        <w:t>(a)</w:t>
      </w:r>
      <w:r>
        <w:tab/>
        <w:t>the enforcement debtor for an enforceable money order of the court has an account with a financial institution; and</w:t>
      </w:r>
    </w:p>
    <w:p w14:paraId="2F51278F" w14:textId="77777777"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14:paraId="5767527E" w14:textId="77777777" w:rsidR="008112BD" w:rsidRDefault="008112BD" w:rsidP="008112BD">
      <w:pPr>
        <w:pStyle w:val="AH5Sec"/>
      </w:pPr>
      <w:bookmarkStart w:id="745" w:name="_Toc185514361"/>
      <w:r w:rsidRPr="00C8328B">
        <w:rPr>
          <w:rStyle w:val="CharSectNo"/>
        </w:rPr>
        <w:t>2331</w:t>
      </w:r>
      <w:r>
        <w:tab/>
        <w:t>Regular redirection order—application of div 2.18.6</w:t>
      </w:r>
      <w:bookmarkEnd w:id="745"/>
    </w:p>
    <w:p w14:paraId="31D498CC" w14:textId="77777777"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14:paraId="43F6889A" w14:textId="77777777" w:rsidR="008112BD" w:rsidRDefault="008112BD" w:rsidP="008112BD">
      <w:pPr>
        <w:pStyle w:val="Amain"/>
        <w:keepNext/>
      </w:pPr>
      <w:r>
        <w:tab/>
        <w:t>(2)</w:t>
      </w:r>
      <w:r>
        <w:tab/>
        <w:t>In this rule:</w:t>
      </w:r>
    </w:p>
    <w:p w14:paraId="63E34227" w14:textId="77777777" w:rsidR="008112BD" w:rsidRDefault="008112BD" w:rsidP="008112BD">
      <w:pPr>
        <w:pStyle w:val="aDef"/>
        <w:keepNext/>
      </w:pPr>
      <w:r w:rsidRPr="00FE0788">
        <w:rPr>
          <w:rStyle w:val="charBoldItals"/>
        </w:rPr>
        <w:t>non-applied provisions</w:t>
      </w:r>
      <w:r>
        <w:t xml:space="preserve"> means the following provisions:</w:t>
      </w:r>
    </w:p>
    <w:p w14:paraId="206DB394"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14:paraId="2B8EED57"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14:paraId="2533DB6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14:paraId="5174CC1E" w14:textId="77777777" w:rsidR="008112BD" w:rsidRDefault="008112BD" w:rsidP="008112BD">
      <w:pPr>
        <w:pStyle w:val="AH5Sec"/>
      </w:pPr>
      <w:bookmarkStart w:id="746" w:name="_Toc185514362"/>
      <w:r w:rsidRPr="00C8328B">
        <w:rPr>
          <w:rStyle w:val="CharSectNo"/>
        </w:rPr>
        <w:t>2332</w:t>
      </w:r>
      <w:r>
        <w:tab/>
        <w:t>Regular redirection order—making</w:t>
      </w:r>
      <w:bookmarkEnd w:id="746"/>
    </w:p>
    <w:p w14:paraId="08C7829A" w14:textId="77777777"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14:paraId="68EA1068" w14:textId="2B74B38D"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02" w:history="1">
        <w:r w:rsidRPr="001C178D">
          <w:rPr>
            <w:rStyle w:val="charCitHyperlinkAbbrev"/>
          </w:rPr>
          <w:t>AF2006-308</w:t>
        </w:r>
      </w:hyperlink>
      <w:r>
        <w:t>.</w:t>
      </w:r>
    </w:p>
    <w:p w14:paraId="7684440A" w14:textId="77777777" w:rsidR="008112BD" w:rsidRDefault="008112BD" w:rsidP="008112BD">
      <w:pPr>
        <w:pStyle w:val="Amain"/>
        <w:keepNext/>
      </w:pPr>
      <w:r>
        <w:lastRenderedPageBreak/>
        <w:tab/>
        <w:t>(2)</w:t>
      </w:r>
      <w:r>
        <w:tab/>
        <w:t>In this rule:</w:t>
      </w:r>
    </w:p>
    <w:p w14:paraId="4B3320CE" w14:textId="77777777"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14:paraId="037E4B57" w14:textId="77777777" w:rsidR="008112BD" w:rsidRDefault="008112BD" w:rsidP="008112BD">
      <w:pPr>
        <w:pStyle w:val="AH5Sec"/>
      </w:pPr>
      <w:bookmarkStart w:id="747" w:name="_Toc185514363"/>
      <w:r w:rsidRPr="00C8328B">
        <w:rPr>
          <w:rStyle w:val="CharSectNo"/>
        </w:rPr>
        <w:t>2333</w:t>
      </w:r>
      <w:r>
        <w:tab/>
        <w:t>Regular redirection order—content</w:t>
      </w:r>
      <w:bookmarkEnd w:id="747"/>
    </w:p>
    <w:p w14:paraId="1F1D0D8B" w14:textId="77777777" w:rsidR="008112BD" w:rsidRDefault="008112BD" w:rsidP="008112BD">
      <w:pPr>
        <w:pStyle w:val="Amainreturn"/>
        <w:keepNext/>
      </w:pPr>
      <w:r>
        <w:t>A regular redirection order must state the following:</w:t>
      </w:r>
    </w:p>
    <w:p w14:paraId="389D452B" w14:textId="77777777" w:rsidR="008112BD" w:rsidRDefault="008112BD" w:rsidP="008112BD">
      <w:pPr>
        <w:pStyle w:val="Apara"/>
      </w:pPr>
      <w:r>
        <w:tab/>
        <w:t>(a)</w:t>
      </w:r>
      <w:r>
        <w:tab/>
        <w:t>the name of the financial institution that must deduct amounts from a regular deposit;</w:t>
      </w:r>
    </w:p>
    <w:p w14:paraId="04735AE4" w14:textId="77777777" w:rsidR="008112BD" w:rsidRDefault="008112BD" w:rsidP="008112BD">
      <w:pPr>
        <w:pStyle w:val="Apara"/>
      </w:pPr>
      <w:r>
        <w:tab/>
        <w:t>(b)</w:t>
      </w:r>
      <w:r>
        <w:tab/>
        <w:t>details of the enforcement debtor’s account from which the deduction is to be made;</w:t>
      </w:r>
    </w:p>
    <w:p w14:paraId="58728F41" w14:textId="77777777" w:rsidR="008112BD" w:rsidRDefault="008112BD" w:rsidP="008112BD">
      <w:pPr>
        <w:pStyle w:val="Apara"/>
      </w:pPr>
      <w:r>
        <w:tab/>
        <w:t>(c)</w:t>
      </w:r>
      <w:r>
        <w:tab/>
        <w:t>the name and address of the fourth person;</w:t>
      </w:r>
    </w:p>
    <w:p w14:paraId="3DEE93D2"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04A9A5A7" w14:textId="77777777" w:rsidR="008112BD" w:rsidRDefault="008112BD" w:rsidP="008112BD">
      <w:pPr>
        <w:pStyle w:val="Apara"/>
      </w:pPr>
      <w:r>
        <w:tab/>
        <w:t>(d)</w:t>
      </w:r>
      <w:r>
        <w:tab/>
        <w:t>the amount that the financial institution must deduct each time a regular deposit is made;</w:t>
      </w:r>
    </w:p>
    <w:p w14:paraId="7B449A48" w14:textId="77777777" w:rsidR="008112BD" w:rsidRDefault="008112BD" w:rsidP="008112BD">
      <w:pPr>
        <w:pStyle w:val="Apara"/>
        <w:keepNext/>
      </w:pPr>
      <w:r>
        <w:tab/>
        <w:t>(e)</w:t>
      </w:r>
      <w:r>
        <w:tab/>
        <w:t>the name and address of the enforcement creditor to whom the financial institution must give the deducted amount.</w:t>
      </w:r>
    </w:p>
    <w:p w14:paraId="11DFB937"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4ED12C9A" w14:textId="77777777" w:rsidR="008112BD" w:rsidRDefault="008112BD" w:rsidP="008112BD">
      <w:pPr>
        <w:pStyle w:val="AH5Sec"/>
      </w:pPr>
      <w:bookmarkStart w:id="748" w:name="_Toc185514364"/>
      <w:r w:rsidRPr="00C8328B">
        <w:rPr>
          <w:rStyle w:val="CharSectNo"/>
        </w:rPr>
        <w:t>2334</w:t>
      </w:r>
      <w:r>
        <w:tab/>
        <w:t>Regular redirection order—service and coming into force</w:t>
      </w:r>
      <w:bookmarkEnd w:id="748"/>
    </w:p>
    <w:p w14:paraId="49A8DD92" w14:textId="77777777" w:rsidR="008112BD" w:rsidRDefault="008112BD" w:rsidP="008112BD">
      <w:pPr>
        <w:pStyle w:val="Amain"/>
        <w:keepNext/>
      </w:pPr>
      <w:r>
        <w:tab/>
        <w:t>(1)</w:t>
      </w:r>
      <w:r>
        <w:tab/>
        <w:t>This rule applies if the court makes a regular redirection order, whether or not on the enforcement creditor’s application.</w:t>
      </w:r>
    </w:p>
    <w:p w14:paraId="6E490AC5"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734773C7" w14:textId="3A649666" w:rsidR="006F44B2" w:rsidRPr="00C1177F" w:rsidRDefault="006F44B2" w:rsidP="006F44B2">
      <w:pPr>
        <w:pStyle w:val="Amain"/>
      </w:pPr>
      <w:r w:rsidRPr="00C1177F">
        <w:tab/>
        <w:t>(2)</w:t>
      </w:r>
      <w:r w:rsidRPr="00C1177F">
        <w:tab/>
        <w:t>The enforcement creditor must serve a sealed copy of the order—</w:t>
      </w:r>
    </w:p>
    <w:p w14:paraId="17318737" w14:textId="77777777" w:rsidR="006F44B2" w:rsidRPr="00C1177F" w:rsidRDefault="006F44B2" w:rsidP="006F44B2">
      <w:pPr>
        <w:pStyle w:val="Apara"/>
      </w:pPr>
      <w:r>
        <w:tab/>
      </w:r>
      <w:r w:rsidRPr="00C1177F">
        <w:t>(a)</w:t>
      </w:r>
      <w:r w:rsidRPr="00C1177F">
        <w:tab/>
        <w:t>on the financial institution—</w:t>
      </w:r>
    </w:p>
    <w:p w14:paraId="621D0E70" w14:textId="77777777" w:rsidR="006F44B2" w:rsidRPr="00C1177F" w:rsidRDefault="006F44B2" w:rsidP="006F44B2">
      <w:pPr>
        <w:pStyle w:val="Asubpara"/>
      </w:pPr>
      <w:r w:rsidRPr="00C1177F">
        <w:tab/>
        <w:t>(i)</w:t>
      </w:r>
      <w:r w:rsidRPr="00C1177F">
        <w:tab/>
        <w:t>personally; or</w:t>
      </w:r>
    </w:p>
    <w:p w14:paraId="0FBFC724" w14:textId="77777777" w:rsidR="006F44B2" w:rsidRPr="00C1177F" w:rsidRDefault="006F44B2" w:rsidP="006F44B2">
      <w:pPr>
        <w:pStyle w:val="Asubpara"/>
      </w:pPr>
      <w:r w:rsidRPr="00C1177F">
        <w:tab/>
        <w:t>(ii)</w:t>
      </w:r>
      <w:r w:rsidRPr="00C1177F">
        <w:tab/>
        <w:t>by pre-paid post; or</w:t>
      </w:r>
    </w:p>
    <w:p w14:paraId="4B476B7F" w14:textId="77777777" w:rsidR="006F44B2" w:rsidRPr="00C1177F" w:rsidRDefault="006F44B2" w:rsidP="006F44B2">
      <w:pPr>
        <w:pStyle w:val="Asubpara"/>
      </w:pPr>
      <w:r w:rsidRPr="00C1177F">
        <w:lastRenderedPageBreak/>
        <w:tab/>
        <w:t>(iii)</w:t>
      </w:r>
      <w:r w:rsidRPr="00C1177F">
        <w:tab/>
        <w:t>by email; and</w:t>
      </w:r>
    </w:p>
    <w:p w14:paraId="0DF3C28D" w14:textId="77777777" w:rsidR="006F44B2" w:rsidRPr="00C1177F" w:rsidRDefault="006F44B2" w:rsidP="006F44B2">
      <w:pPr>
        <w:pStyle w:val="Apara"/>
      </w:pPr>
      <w:r w:rsidRPr="00C1177F">
        <w:tab/>
        <w:t>(b)</w:t>
      </w:r>
      <w:r w:rsidRPr="00C1177F">
        <w:tab/>
        <w:t>on the enforcement debtor—</w:t>
      </w:r>
    </w:p>
    <w:p w14:paraId="5B7B65C6" w14:textId="77777777" w:rsidR="006F44B2" w:rsidRPr="00C1177F" w:rsidRDefault="006F44B2" w:rsidP="006F44B2">
      <w:pPr>
        <w:pStyle w:val="Asubpara"/>
      </w:pPr>
      <w:r w:rsidRPr="00C1177F">
        <w:tab/>
        <w:t>(i)</w:t>
      </w:r>
      <w:r w:rsidRPr="00C1177F">
        <w:tab/>
        <w:t>personally; or</w:t>
      </w:r>
    </w:p>
    <w:p w14:paraId="27FC52DE" w14:textId="77777777" w:rsidR="006F44B2" w:rsidRPr="00C1177F" w:rsidRDefault="006F44B2" w:rsidP="006F44B2">
      <w:pPr>
        <w:pStyle w:val="Asubpara"/>
      </w:pPr>
      <w:r w:rsidRPr="00C1177F">
        <w:tab/>
        <w:t>(ii)</w:t>
      </w:r>
      <w:r w:rsidRPr="00C1177F">
        <w:tab/>
        <w:t>by pre-paid post; or</w:t>
      </w:r>
    </w:p>
    <w:p w14:paraId="1603E4BE" w14:textId="77777777" w:rsidR="006F44B2" w:rsidRPr="00C1177F" w:rsidRDefault="006F44B2" w:rsidP="006F44B2">
      <w:pPr>
        <w:pStyle w:val="Asubpara"/>
      </w:pPr>
      <w:r w:rsidRPr="00C1177F">
        <w:tab/>
        <w:t>(iii)</w:t>
      </w:r>
      <w:r w:rsidRPr="00C1177F">
        <w:tab/>
        <w:t>if the enforcement debtor’s address for service includes an email address—by email.</w:t>
      </w:r>
    </w:p>
    <w:p w14:paraId="4032C3A0" w14:textId="77777777" w:rsidR="008112BD" w:rsidRDefault="008112BD" w:rsidP="008112BD">
      <w:pPr>
        <w:pStyle w:val="Amain"/>
      </w:pPr>
      <w:r>
        <w:tab/>
        <w:t>(3)</w:t>
      </w:r>
      <w:r>
        <w:tab/>
        <w:t>The order does not come into force until the end of 7 days after the day the order is served on the financial institution.</w:t>
      </w:r>
    </w:p>
    <w:p w14:paraId="7687A964" w14:textId="77777777" w:rsidR="008112BD" w:rsidRDefault="008112BD" w:rsidP="008112BD">
      <w:pPr>
        <w:pStyle w:val="AH5Sec"/>
      </w:pPr>
      <w:bookmarkStart w:id="749" w:name="_Toc185514365"/>
      <w:r w:rsidRPr="00C8328B">
        <w:rPr>
          <w:rStyle w:val="CharSectNo"/>
        </w:rPr>
        <w:t>2335</w:t>
      </w:r>
      <w:r>
        <w:tab/>
        <w:t>Regular redirection order—financial institution to make payments etc</w:t>
      </w:r>
      <w:bookmarkEnd w:id="749"/>
    </w:p>
    <w:p w14:paraId="4D7A511F" w14:textId="77777777" w:rsidR="008112BD" w:rsidRDefault="008112BD" w:rsidP="008112BD">
      <w:pPr>
        <w:pStyle w:val="Amain"/>
      </w:pPr>
      <w:r>
        <w:tab/>
        <w:t>(1)</w:t>
      </w:r>
      <w:r>
        <w:tab/>
        <w:t>For each regular deposit into the enforcement debtor’s account while the regular redirection order is in force, the financial institution—</w:t>
      </w:r>
    </w:p>
    <w:p w14:paraId="6886EC66" w14:textId="77777777"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14:paraId="1B27F29A" w14:textId="77777777"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14:paraId="6692C6D9" w14:textId="77777777" w:rsidR="008112BD" w:rsidRDefault="008112BD" w:rsidP="008112BD">
      <w:pPr>
        <w:pStyle w:val="Apara"/>
      </w:pPr>
      <w:r>
        <w:tab/>
        <w:t>(c)</w:t>
      </w:r>
      <w:r>
        <w:tab/>
        <w:t>must, at least once a month, give the enforcement debtor a notice detailing the deductions.</w:t>
      </w:r>
    </w:p>
    <w:p w14:paraId="27E368EC" w14:textId="77777777" w:rsidR="008112BD" w:rsidRDefault="008112BD" w:rsidP="008112BD">
      <w:pPr>
        <w:pStyle w:val="Amain"/>
        <w:keepNext/>
      </w:pPr>
      <w:r>
        <w:tab/>
        <w:t>(2)</w:t>
      </w:r>
      <w:r>
        <w:tab/>
        <w:t>Any charge deducted under subrule (1) (b) must not be more than—</w:t>
      </w:r>
    </w:p>
    <w:p w14:paraId="5A3CE366" w14:textId="77777777" w:rsidR="008112BD" w:rsidRDefault="008112BD" w:rsidP="008112BD">
      <w:pPr>
        <w:pStyle w:val="Apara"/>
        <w:keepNext/>
      </w:pPr>
      <w:r>
        <w:tab/>
        <w:t>(a)</w:t>
      </w:r>
      <w:r>
        <w:tab/>
        <w:t>if the financial institution has an amount it usually charges its customers for making periodic payments—that amount; or</w:t>
      </w:r>
    </w:p>
    <w:p w14:paraId="6CECACB3" w14:textId="77777777" w:rsidR="008112BD" w:rsidRDefault="008112BD" w:rsidP="008112BD">
      <w:pPr>
        <w:pStyle w:val="Apara"/>
      </w:pPr>
      <w:r>
        <w:tab/>
        <w:t>(b)</w:t>
      </w:r>
      <w:r>
        <w:tab/>
        <w:t>otherwise—an amount that covers the financial institution’s costs and expenses of complying with the order.</w:t>
      </w:r>
    </w:p>
    <w:p w14:paraId="4EAA3767" w14:textId="77777777" w:rsidR="008112BD" w:rsidRDefault="008112BD" w:rsidP="008112BD">
      <w:pPr>
        <w:pStyle w:val="Amain"/>
      </w:pPr>
      <w:r>
        <w:tab/>
        <w:t>(3)</w:t>
      </w:r>
      <w:r>
        <w:tab/>
        <w:t xml:space="preserve">In applying subrule (1) (a) to the last deduction, the financial institution must deduct the amount (not more than the amount stated in the order for deduction for each regular deposit) that results in the </w:t>
      </w:r>
      <w:r>
        <w:lastRenderedPageBreak/>
        <w:t>total amount deducted under the order being the total amount for deduction stated in the order.</w:t>
      </w:r>
    </w:p>
    <w:p w14:paraId="731C454E" w14:textId="77777777"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14:paraId="1E9BA7D7" w14:textId="77777777" w:rsidR="008112BD" w:rsidRDefault="008112BD" w:rsidP="008112BD">
      <w:pPr>
        <w:pStyle w:val="AH5Sec"/>
      </w:pPr>
      <w:bookmarkStart w:id="750" w:name="_Toc185514366"/>
      <w:r w:rsidRPr="00C8328B">
        <w:rPr>
          <w:rStyle w:val="CharSectNo"/>
        </w:rPr>
        <w:t>2336</w:t>
      </w:r>
      <w:r>
        <w:tab/>
        <w:t>Regular redirection order—enforcement debtor not to defeat order</w:t>
      </w:r>
      <w:bookmarkEnd w:id="750"/>
    </w:p>
    <w:p w14:paraId="5482A92A" w14:textId="77777777"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14:paraId="33A083BB" w14:textId="77777777" w:rsidR="008112BD" w:rsidRDefault="008112BD" w:rsidP="008112BD">
      <w:pPr>
        <w:pStyle w:val="Amain"/>
      </w:pPr>
      <w:r>
        <w:tab/>
        <w:t>(2)</w:t>
      </w:r>
      <w:r>
        <w:tab/>
        <w:t>The enforcement debtor must tell the enforcement creditor in writing if—</w:t>
      </w:r>
    </w:p>
    <w:p w14:paraId="2FEA5DBF" w14:textId="77777777" w:rsidR="008112BD" w:rsidRDefault="008112BD" w:rsidP="008112BD">
      <w:pPr>
        <w:pStyle w:val="Apara"/>
      </w:pPr>
      <w:r>
        <w:tab/>
        <w:t>(a)</w:t>
      </w:r>
      <w:r>
        <w:tab/>
        <w:t>the fourth person discontinues making the regular deposit; or</w:t>
      </w:r>
    </w:p>
    <w:p w14:paraId="4D1B46CC"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2A77D4DB" w14:textId="77777777" w:rsidR="008112BD" w:rsidRDefault="008112BD" w:rsidP="008112BD">
      <w:pPr>
        <w:pStyle w:val="Apara"/>
      </w:pPr>
      <w:r>
        <w:tab/>
        <w:t>(b)</w:t>
      </w:r>
      <w:r>
        <w:tab/>
        <w:t>the enforcement debtor closes the account or arranges for the fourth person to pay the enforcement debtor in another way.</w:t>
      </w:r>
    </w:p>
    <w:p w14:paraId="522D99BE" w14:textId="77777777" w:rsidR="008112BD" w:rsidRDefault="008112BD" w:rsidP="008112BD">
      <w:pPr>
        <w:pStyle w:val="AH5Sec"/>
      </w:pPr>
      <w:bookmarkStart w:id="751" w:name="_Toc185514367"/>
      <w:r w:rsidRPr="00C8328B">
        <w:rPr>
          <w:rStyle w:val="CharSectNo"/>
        </w:rPr>
        <w:t>2337</w:t>
      </w:r>
      <w:r>
        <w:tab/>
        <w:t>Regular redirection order—no other enforcement while in force</w:t>
      </w:r>
      <w:bookmarkEnd w:id="751"/>
    </w:p>
    <w:p w14:paraId="3A6FF31A" w14:textId="77777777"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14:paraId="73CE078E"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4204CDFE" w14:textId="77777777" w:rsidR="008112BD" w:rsidRDefault="008112BD" w:rsidP="008112BD">
      <w:pPr>
        <w:pStyle w:val="AH5Sec"/>
      </w:pPr>
      <w:bookmarkStart w:id="752" w:name="_Toc185514368"/>
      <w:r w:rsidRPr="00C8328B">
        <w:rPr>
          <w:rStyle w:val="CharSectNo"/>
        </w:rPr>
        <w:t>2338</w:t>
      </w:r>
      <w:r>
        <w:tab/>
        <w:t>Regular redirection order—ceasing to have effect</w:t>
      </w:r>
      <w:bookmarkEnd w:id="752"/>
    </w:p>
    <w:p w14:paraId="4D5F6968" w14:textId="77777777" w:rsidR="008112BD" w:rsidRDefault="008112BD" w:rsidP="008112BD">
      <w:pPr>
        <w:pStyle w:val="Amain"/>
      </w:pPr>
      <w:r>
        <w:tab/>
        <w:t>(1)</w:t>
      </w:r>
      <w:r>
        <w:tab/>
        <w:t>A regular redirection order ceases to have effect when—</w:t>
      </w:r>
    </w:p>
    <w:p w14:paraId="605B9658" w14:textId="77777777" w:rsidR="008112BD" w:rsidRDefault="008112BD" w:rsidP="008112BD">
      <w:pPr>
        <w:pStyle w:val="Apara"/>
      </w:pPr>
      <w:r>
        <w:tab/>
        <w:t>(a)</w:t>
      </w:r>
      <w:r>
        <w:tab/>
        <w:t>the order debt is satisfied; or</w:t>
      </w:r>
    </w:p>
    <w:p w14:paraId="34A38676" w14:textId="77777777" w:rsidR="008112BD" w:rsidRDefault="008112BD" w:rsidP="008112BD">
      <w:pPr>
        <w:pStyle w:val="Apara"/>
      </w:pPr>
      <w:r>
        <w:tab/>
        <w:t>(b)</w:t>
      </w:r>
      <w:r>
        <w:tab/>
        <w:t>the regular redirection order is set aside or ends in accordance with its terms.</w:t>
      </w:r>
    </w:p>
    <w:p w14:paraId="006A2434" w14:textId="77777777"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14:paraId="02FB8F60" w14:textId="77777777" w:rsidR="008112BD" w:rsidRDefault="008112BD" w:rsidP="008112BD">
      <w:pPr>
        <w:pStyle w:val="Amain"/>
      </w:pPr>
      <w:r>
        <w:tab/>
        <w:t>(3)</w:t>
      </w:r>
      <w:r>
        <w:tab/>
        <w:t>The enforcement creditor must file a copy of the notice in the court.</w:t>
      </w:r>
    </w:p>
    <w:p w14:paraId="07B7F700" w14:textId="77777777"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14:paraId="378B5E8D" w14:textId="77777777" w:rsidR="008112BD" w:rsidRDefault="008112BD" w:rsidP="008112BD">
      <w:pPr>
        <w:pStyle w:val="Apara"/>
        <w:keepNext/>
      </w:pPr>
      <w:r>
        <w:tab/>
        <w:t>(a)</w:t>
      </w:r>
      <w:r>
        <w:tab/>
        <w:t xml:space="preserve">a sealed copy of the order because of which the regular redirection order ceases to have effect; </w:t>
      </w:r>
    </w:p>
    <w:p w14:paraId="78B7247A" w14:textId="77777777" w:rsidR="008112BD" w:rsidRDefault="008112BD" w:rsidP="008112BD">
      <w:pPr>
        <w:pStyle w:val="Apara"/>
      </w:pPr>
      <w:r>
        <w:tab/>
        <w:t>(b)</w:t>
      </w:r>
      <w:r>
        <w:tab/>
        <w:t>the notice mentioned in subrule (2).</w:t>
      </w:r>
    </w:p>
    <w:p w14:paraId="24FF5A94" w14:textId="77777777" w:rsidR="008112BD" w:rsidRDefault="008112BD" w:rsidP="008112BD">
      <w:pPr>
        <w:pStyle w:val="AH5Sec"/>
      </w:pPr>
      <w:bookmarkStart w:id="753" w:name="_Toc185514369"/>
      <w:r w:rsidRPr="00C8328B">
        <w:rPr>
          <w:rStyle w:val="CharSectNo"/>
        </w:rPr>
        <w:t>2339</w:t>
      </w:r>
      <w:r>
        <w:tab/>
        <w:t>Regular redirection order—return of excess</w:t>
      </w:r>
      <w:bookmarkEnd w:id="753"/>
    </w:p>
    <w:p w14:paraId="734295C9" w14:textId="77777777"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14:paraId="5C793ECC" w14:textId="77777777" w:rsidR="008112BD" w:rsidRDefault="008112BD" w:rsidP="008112BD">
      <w:pPr>
        <w:pStyle w:val="Apara"/>
      </w:pPr>
      <w:r>
        <w:tab/>
        <w:t>(a)</w:t>
      </w:r>
      <w:r>
        <w:tab/>
        <w:t>the enforcement creditor must return the excess to the financial institution; and</w:t>
      </w:r>
    </w:p>
    <w:p w14:paraId="326AFED6" w14:textId="77777777"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14:paraId="4DBF32B4" w14:textId="77777777" w:rsidR="008112BD" w:rsidRDefault="008112BD" w:rsidP="008112BD">
      <w:pPr>
        <w:pStyle w:val="Amain"/>
      </w:pPr>
      <w:r>
        <w:tab/>
        <w:t>(2)</w:t>
      </w:r>
      <w:r>
        <w:tab/>
        <w:t>If the enforcement creditor does not return the excess, the enforcement debtor may recover it as a debt owing to the debtor.</w:t>
      </w:r>
    </w:p>
    <w:p w14:paraId="3B0910DD" w14:textId="77777777" w:rsidR="008112BD" w:rsidRDefault="008112BD" w:rsidP="008112BD">
      <w:pPr>
        <w:pStyle w:val="Amain"/>
      </w:pPr>
      <w:r>
        <w:tab/>
        <w:t>(3)</w:t>
      </w:r>
      <w:r>
        <w:tab/>
        <w:t>For subrule (2), interest is payable on the amount of the excess as if the excess were an order debt.</w:t>
      </w:r>
    </w:p>
    <w:p w14:paraId="65D8B038" w14:textId="77777777" w:rsidR="008112BD" w:rsidRDefault="008112BD" w:rsidP="008112BD">
      <w:pPr>
        <w:pStyle w:val="AH5Sec"/>
      </w:pPr>
      <w:bookmarkStart w:id="754" w:name="_Toc185514370"/>
      <w:r w:rsidRPr="00C8328B">
        <w:rPr>
          <w:rStyle w:val="CharSectNo"/>
        </w:rPr>
        <w:lastRenderedPageBreak/>
        <w:t>2340</w:t>
      </w:r>
      <w:r>
        <w:tab/>
        <w:t>Regular redirection order—record of payments</w:t>
      </w:r>
      <w:bookmarkEnd w:id="754"/>
    </w:p>
    <w:p w14:paraId="44ED4E8D" w14:textId="77777777"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14:paraId="5EEB5AE0" w14:textId="77777777" w:rsidR="008112BD" w:rsidRDefault="008112BD" w:rsidP="008112BD">
      <w:pPr>
        <w:pStyle w:val="Amain"/>
      </w:pPr>
      <w:r>
        <w:tab/>
        <w:t>(2)</w:t>
      </w:r>
      <w:r>
        <w:tab/>
        <w:t>The enforcement creditor must keep the record for at least 6 years after the day the last payment is made under the regular redirection order.</w:t>
      </w:r>
    </w:p>
    <w:p w14:paraId="060A338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5068321D"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48575B7A"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5A5D2219" w14:textId="77777777" w:rsidR="008112BD" w:rsidRDefault="008112BD" w:rsidP="008112BD">
      <w:pPr>
        <w:pStyle w:val="Apara"/>
      </w:pPr>
      <w:r>
        <w:tab/>
        <w:t>(a)</w:t>
      </w:r>
      <w:r>
        <w:tab/>
        <w:t>an order requiring the enforcement creditor to—</w:t>
      </w:r>
    </w:p>
    <w:p w14:paraId="41F1FD90" w14:textId="77777777" w:rsidR="008112BD" w:rsidRDefault="008112BD" w:rsidP="008112BD">
      <w:pPr>
        <w:pStyle w:val="Asubpara"/>
      </w:pPr>
      <w:r>
        <w:tab/>
        <w:t>(i)</w:t>
      </w:r>
      <w:r>
        <w:tab/>
        <w:t>file in the court a copy of all or part of the record verified by affidavit; or</w:t>
      </w:r>
    </w:p>
    <w:p w14:paraId="7B99470A" w14:textId="77777777" w:rsidR="008112BD" w:rsidRDefault="008112BD" w:rsidP="008112BD">
      <w:pPr>
        <w:pStyle w:val="Asubpara"/>
      </w:pPr>
      <w:r>
        <w:tab/>
        <w:t>(ii)</w:t>
      </w:r>
      <w:r>
        <w:tab/>
        <w:t>give the enforcement debtor a copy of all or part of the record; or</w:t>
      </w:r>
    </w:p>
    <w:p w14:paraId="424740A5"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4287D71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052EBA3" w14:textId="77777777" w:rsidR="008112BD" w:rsidRPr="00C8328B" w:rsidRDefault="008112BD" w:rsidP="008112BD">
      <w:pPr>
        <w:pStyle w:val="AH3Div"/>
      </w:pPr>
      <w:bookmarkStart w:id="755" w:name="_Toc185514371"/>
      <w:r w:rsidRPr="00C8328B">
        <w:rPr>
          <w:rStyle w:val="CharDivNo"/>
        </w:rPr>
        <w:lastRenderedPageBreak/>
        <w:t>Division 2.18.8</w:t>
      </w:r>
      <w:r>
        <w:tab/>
      </w:r>
      <w:r w:rsidRPr="00C8328B">
        <w:rPr>
          <w:rStyle w:val="CharDivText"/>
        </w:rPr>
        <w:t>Enforcement of money orders—earnings redirection orders</w:t>
      </w:r>
      <w:bookmarkEnd w:id="755"/>
    </w:p>
    <w:p w14:paraId="3826B018" w14:textId="77777777" w:rsidR="008112BD" w:rsidRDefault="008112BD" w:rsidP="008112BD">
      <w:pPr>
        <w:pStyle w:val="AH5Sec"/>
      </w:pPr>
      <w:bookmarkStart w:id="756" w:name="_Toc185514372"/>
      <w:r w:rsidRPr="00C8328B">
        <w:rPr>
          <w:rStyle w:val="CharSectNo"/>
        </w:rPr>
        <w:t>2350</w:t>
      </w:r>
      <w:r>
        <w:tab/>
        <w:t>Earnings redirection order—making</w:t>
      </w:r>
      <w:bookmarkEnd w:id="756"/>
    </w:p>
    <w:p w14:paraId="3F3E6781" w14:textId="77777777"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14:paraId="58159116" w14:textId="77777777"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14:paraId="4E6BCEEF" w14:textId="77777777" w:rsidR="008112BD" w:rsidRDefault="008112BD" w:rsidP="008112BD">
      <w:pPr>
        <w:pStyle w:val="aNote"/>
      </w:pPr>
      <w:r w:rsidRPr="00FE0788">
        <w:rPr>
          <w:rStyle w:val="charItals"/>
        </w:rPr>
        <w:t>Note 2</w:t>
      </w:r>
      <w:r>
        <w:tab/>
        <w:t>An earnings redirection order may be made at an enforcement hearing (see r 2112 (Enforcement hearing—orders)).</w:t>
      </w:r>
    </w:p>
    <w:p w14:paraId="18EE8DC7" w14:textId="77777777" w:rsidR="008112BD" w:rsidRDefault="008112BD" w:rsidP="008112BD">
      <w:pPr>
        <w:pStyle w:val="AH5Sec"/>
      </w:pPr>
      <w:bookmarkStart w:id="757" w:name="_Toc185514373"/>
      <w:r w:rsidRPr="00C8328B">
        <w:rPr>
          <w:rStyle w:val="CharSectNo"/>
        </w:rPr>
        <w:t>2351</w:t>
      </w:r>
      <w:r>
        <w:tab/>
        <w:t>Earnings redirection order—application</w:t>
      </w:r>
      <w:bookmarkEnd w:id="757"/>
    </w:p>
    <w:p w14:paraId="12C1D4CD" w14:textId="77777777" w:rsidR="008112BD" w:rsidRDefault="008112BD" w:rsidP="00023F05">
      <w:pPr>
        <w:pStyle w:val="Amain"/>
        <w:keepNext/>
      </w:pPr>
      <w:r>
        <w:tab/>
        <w:t>(1)</w:t>
      </w:r>
      <w:r>
        <w:tab/>
        <w:t>An application for an earnings redirection order is made by filing in the court—</w:t>
      </w:r>
    </w:p>
    <w:p w14:paraId="310D7738" w14:textId="77777777" w:rsidR="008112BD" w:rsidRDefault="008112BD" w:rsidP="008112BD">
      <w:pPr>
        <w:pStyle w:val="Apara"/>
      </w:pPr>
      <w:r>
        <w:tab/>
        <w:t>(a)</w:t>
      </w:r>
      <w:r>
        <w:tab/>
        <w:t>a draft of the order sought; and</w:t>
      </w:r>
    </w:p>
    <w:p w14:paraId="6CA36267" w14:textId="77777777" w:rsidR="008112BD" w:rsidRDefault="008112BD" w:rsidP="008112BD">
      <w:pPr>
        <w:pStyle w:val="Apara"/>
        <w:keepNext/>
      </w:pPr>
      <w:r>
        <w:tab/>
        <w:t>(b)</w:t>
      </w:r>
      <w:r>
        <w:tab/>
        <w:t>an affidavit in support of the application.</w:t>
      </w:r>
    </w:p>
    <w:p w14:paraId="5302F90F" w14:textId="55C44DBC" w:rsidR="008112BD" w:rsidRDefault="008112BD" w:rsidP="008112BD">
      <w:pPr>
        <w:pStyle w:val="aNote"/>
      </w:pPr>
      <w:r w:rsidRPr="00FE0788">
        <w:rPr>
          <w:rStyle w:val="charItals"/>
        </w:rPr>
        <w:t>Note</w:t>
      </w:r>
      <w:r>
        <w:tab/>
        <w:t xml:space="preserve">See approved form 2.64 (Earnings redirection order) </w:t>
      </w:r>
      <w:hyperlink r:id="rId203" w:history="1">
        <w:r w:rsidR="00F30731">
          <w:rPr>
            <w:rStyle w:val="charCitHyperlinkAbbrev"/>
          </w:rPr>
          <w:t>AF2018-41</w:t>
        </w:r>
      </w:hyperlink>
      <w:r>
        <w:t>.</w:t>
      </w:r>
    </w:p>
    <w:p w14:paraId="3419A72A" w14:textId="77777777" w:rsidR="008112BD" w:rsidRDefault="008112BD" w:rsidP="008112BD">
      <w:pPr>
        <w:pStyle w:val="Amain"/>
        <w:keepNext/>
      </w:pPr>
      <w:r>
        <w:tab/>
        <w:t>(2)</w:t>
      </w:r>
      <w:r>
        <w:tab/>
        <w:t>The affidavit in support must state—</w:t>
      </w:r>
    </w:p>
    <w:p w14:paraId="572ED39E" w14:textId="77777777" w:rsidR="008112BD" w:rsidRDefault="008112BD" w:rsidP="008112BD">
      <w:pPr>
        <w:pStyle w:val="Apara"/>
      </w:pPr>
      <w:r>
        <w:tab/>
        <w:t>(a)</w:t>
      </w:r>
      <w:r>
        <w:tab/>
        <w:t>the date the money order was made; and</w:t>
      </w:r>
    </w:p>
    <w:p w14:paraId="3A793AAD" w14:textId="77777777" w:rsidR="008112BD" w:rsidRDefault="008112BD" w:rsidP="008112BD">
      <w:pPr>
        <w:pStyle w:val="Apara"/>
      </w:pPr>
      <w:r>
        <w:tab/>
        <w:t>(b)</w:t>
      </w:r>
      <w:r>
        <w:tab/>
        <w:t>the date a sealed copy of the money order, and the notice in accordance with rule 2015 (2), was served on the enforcement debtor; and</w:t>
      </w:r>
    </w:p>
    <w:p w14:paraId="57CCD65D" w14:textId="77777777" w:rsidR="008112BD" w:rsidRDefault="008112BD" w:rsidP="008112BD">
      <w:pPr>
        <w:pStyle w:val="Apara"/>
      </w:pPr>
      <w:r>
        <w:tab/>
        <w:t>(c)</w:t>
      </w:r>
      <w:r>
        <w:tab/>
        <w:t>the amount of the order debt; and</w:t>
      </w:r>
    </w:p>
    <w:p w14:paraId="68488D9E" w14:textId="77777777" w:rsidR="008112BD" w:rsidRDefault="008112BD" w:rsidP="008112BD">
      <w:pPr>
        <w:pStyle w:val="Apara"/>
      </w:pPr>
      <w:r>
        <w:tab/>
        <w:t>(d)</w:t>
      </w:r>
      <w:r>
        <w:tab/>
        <w:t>that the order debt has not been fully paid; and</w:t>
      </w:r>
    </w:p>
    <w:p w14:paraId="426DCC73" w14:textId="77777777" w:rsidR="008112BD" w:rsidRDefault="008112BD" w:rsidP="008112BD">
      <w:pPr>
        <w:pStyle w:val="Apara"/>
      </w:pPr>
      <w:r>
        <w:tab/>
        <w:t>(e)</w:t>
      </w:r>
      <w:r>
        <w:tab/>
        <w:t>the date and amount of each payment (if any) made under the order; and</w:t>
      </w:r>
    </w:p>
    <w:p w14:paraId="094940C1" w14:textId="77777777" w:rsidR="008112BD" w:rsidRDefault="008112BD" w:rsidP="008112BD">
      <w:pPr>
        <w:pStyle w:val="Apara"/>
      </w:pPr>
      <w:r>
        <w:lastRenderedPageBreak/>
        <w:tab/>
        <w:t>(f)</w:t>
      </w:r>
      <w:r>
        <w:tab/>
        <w:t>the costs incurred in previous enforcement proceedings in relation to the order; and</w:t>
      </w:r>
    </w:p>
    <w:p w14:paraId="5A45F1F2"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485FB5D8"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1ACFECA6" w14:textId="77777777" w:rsidR="008112BD" w:rsidRDefault="008112BD" w:rsidP="008112BD">
      <w:pPr>
        <w:pStyle w:val="Apara"/>
      </w:pPr>
      <w:r>
        <w:tab/>
        <w:t>(i)</w:t>
      </w:r>
      <w:r>
        <w:tab/>
        <w:t>the daily amount of any interest that, subject to any future payment under the order, will accrue after the affidavit date; and</w:t>
      </w:r>
    </w:p>
    <w:p w14:paraId="35B6533A" w14:textId="77777777" w:rsidR="008112BD" w:rsidRDefault="008112BD" w:rsidP="008112BD">
      <w:pPr>
        <w:pStyle w:val="Apara"/>
      </w:pPr>
      <w:r>
        <w:tab/>
        <w:t>(j)</w:t>
      </w:r>
      <w:r>
        <w:tab/>
        <w:t>any other information necessary for the order being sought.</w:t>
      </w:r>
    </w:p>
    <w:p w14:paraId="2EA3B761" w14:textId="77777777" w:rsidR="008112BD" w:rsidRDefault="008112BD" w:rsidP="008112BD">
      <w:pPr>
        <w:pStyle w:val="Amain"/>
      </w:pPr>
      <w:r>
        <w:tab/>
        <w:t>(3)</w:t>
      </w:r>
      <w:r>
        <w:tab/>
        <w:t>The affidavit must be sworn not earlier than 2 days before the day the application is filed in the court.</w:t>
      </w:r>
    </w:p>
    <w:p w14:paraId="59BEDFE0" w14:textId="77777777" w:rsidR="008112BD" w:rsidRDefault="008112BD" w:rsidP="008112BD">
      <w:pPr>
        <w:pStyle w:val="Amain"/>
      </w:pPr>
      <w:r>
        <w:tab/>
        <w:t>(4)</w:t>
      </w:r>
      <w:r>
        <w:tab/>
        <w:t>Part 6.2 (Applications in proceedings) does not apply to the application.</w:t>
      </w:r>
    </w:p>
    <w:p w14:paraId="0A9F73D6" w14:textId="77777777" w:rsidR="008112BD" w:rsidRDefault="008112BD" w:rsidP="008112BD">
      <w:pPr>
        <w:pStyle w:val="Amain"/>
      </w:pPr>
      <w:r>
        <w:tab/>
        <w:t>(5)</w:t>
      </w:r>
      <w:r>
        <w:tab/>
        <w:t>The affidavit and draft order need not be served on anyone unless the court otherwise orders on its own initiative.</w:t>
      </w:r>
    </w:p>
    <w:p w14:paraId="222B9BF4" w14:textId="77777777"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14:paraId="7E0AB6DB" w14:textId="77777777" w:rsidR="008112BD" w:rsidRDefault="008112BD" w:rsidP="008112BD">
      <w:pPr>
        <w:pStyle w:val="AH5Sec"/>
      </w:pPr>
      <w:bookmarkStart w:id="758" w:name="_Toc185514374"/>
      <w:r w:rsidRPr="00C8328B">
        <w:rPr>
          <w:rStyle w:val="CharSectNo"/>
        </w:rPr>
        <w:t>2352</w:t>
      </w:r>
      <w:r>
        <w:tab/>
        <w:t>Earnings redirection order—relevant considerations</w:t>
      </w:r>
      <w:bookmarkEnd w:id="758"/>
    </w:p>
    <w:p w14:paraId="7C15D9E1" w14:textId="77777777" w:rsidR="008112BD" w:rsidRDefault="008112BD" w:rsidP="008112BD">
      <w:pPr>
        <w:pStyle w:val="Amain"/>
        <w:keepNext/>
      </w:pPr>
      <w:r>
        <w:tab/>
        <w:t>(1)</w:t>
      </w:r>
      <w:r>
        <w:tab/>
        <w:t>In deciding whether to make an earnings redirection order, the court must have regard to the following matters, as far as they are known to the court:</w:t>
      </w:r>
    </w:p>
    <w:p w14:paraId="6D548359" w14:textId="77777777" w:rsidR="008112BD" w:rsidRDefault="008112BD" w:rsidP="008112BD">
      <w:pPr>
        <w:pStyle w:val="Apara"/>
      </w:pPr>
      <w:r>
        <w:tab/>
        <w:t>(a)</w:t>
      </w:r>
      <w:r>
        <w:tab/>
        <w:t>the enforcement debtor’s means of satisfying the order debt;</w:t>
      </w:r>
    </w:p>
    <w:p w14:paraId="5E3FDBDA" w14:textId="77777777" w:rsidR="008112BD" w:rsidRDefault="008112BD" w:rsidP="008112BD">
      <w:pPr>
        <w:pStyle w:val="Apara"/>
        <w:spacing w:after="40"/>
      </w:pPr>
      <w:r>
        <w:tab/>
        <w:t>(b)</w:t>
      </w:r>
      <w:r>
        <w:tab/>
        <w:t>whether the order debt, including any interest, will be satisfied within a reasonable time;</w:t>
      </w:r>
    </w:p>
    <w:p w14:paraId="52E21109" w14:textId="77777777" w:rsidR="008112BD" w:rsidRDefault="008112BD" w:rsidP="008112BD">
      <w:pPr>
        <w:pStyle w:val="Apara"/>
        <w:spacing w:after="40"/>
      </w:pPr>
      <w:r>
        <w:tab/>
        <w:t>(c)</w:t>
      </w:r>
      <w:r>
        <w:tab/>
        <w:t>the necessary living expenses of the enforcement debtor and the enforcement debtor’s dependants;</w:t>
      </w:r>
    </w:p>
    <w:p w14:paraId="45B4741D" w14:textId="77777777" w:rsidR="008112BD" w:rsidRDefault="008112BD" w:rsidP="008112BD">
      <w:pPr>
        <w:pStyle w:val="Apara"/>
        <w:spacing w:after="40"/>
      </w:pPr>
      <w:r>
        <w:lastRenderedPageBreak/>
        <w:tab/>
        <w:t>(d)</w:t>
      </w:r>
      <w:r>
        <w:tab/>
        <w:t>other liabilities of the enforcement debtor;</w:t>
      </w:r>
    </w:p>
    <w:p w14:paraId="36D76151" w14:textId="77777777" w:rsidR="008112BD" w:rsidRDefault="008112BD" w:rsidP="008112BD">
      <w:pPr>
        <w:pStyle w:val="Apara"/>
        <w:spacing w:after="40"/>
      </w:pPr>
      <w:r>
        <w:tab/>
        <w:t>(e)</w:t>
      </w:r>
      <w:r>
        <w:tab/>
        <w:t>the amount of the order debt;</w:t>
      </w:r>
    </w:p>
    <w:p w14:paraId="7FBD1FA9" w14:textId="77777777" w:rsidR="008112BD" w:rsidRDefault="008112BD" w:rsidP="008112BD">
      <w:pPr>
        <w:pStyle w:val="Apara"/>
        <w:spacing w:after="40"/>
      </w:pPr>
      <w:r>
        <w:tab/>
        <w:t>(f)</w:t>
      </w:r>
      <w:r>
        <w:tab/>
        <w:t>the amount of the earnings to be redirected each payday;</w:t>
      </w:r>
    </w:p>
    <w:p w14:paraId="1574A24A" w14:textId="77777777"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14:paraId="3682A928" w14:textId="77777777" w:rsidR="008112BD" w:rsidRDefault="008112BD" w:rsidP="008112BD">
      <w:pPr>
        <w:pStyle w:val="Amain"/>
      </w:pPr>
      <w:r>
        <w:tab/>
        <w:t>(2)</w:t>
      </w:r>
      <w:r>
        <w:tab/>
        <w:t>Subrule (1) does not limit the matters to which the court may have regard.</w:t>
      </w:r>
    </w:p>
    <w:p w14:paraId="4DA026D1" w14:textId="77777777"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14:paraId="13FDFE1D" w14:textId="77777777" w:rsidR="008112BD" w:rsidRDefault="008112BD" w:rsidP="008112BD">
      <w:pPr>
        <w:pStyle w:val="Amain"/>
      </w:pPr>
      <w:r>
        <w:tab/>
        <w:t>(4)</w:t>
      </w:r>
      <w:r>
        <w:tab/>
        <w:t>However, an enforcement hearing is not necessary before the court makes the earnings redirection order.</w:t>
      </w:r>
    </w:p>
    <w:p w14:paraId="120A5E61" w14:textId="77777777" w:rsidR="00D60791" w:rsidRPr="00CE5D4D" w:rsidRDefault="00D60791" w:rsidP="00D60791">
      <w:pPr>
        <w:pStyle w:val="AH5Sec"/>
      </w:pPr>
      <w:bookmarkStart w:id="759" w:name="_Toc185514375"/>
      <w:r w:rsidRPr="00C8328B">
        <w:rPr>
          <w:rStyle w:val="CharSectNo"/>
        </w:rPr>
        <w:t>2353</w:t>
      </w:r>
      <w:r w:rsidRPr="00CE5D4D">
        <w:tab/>
        <w:t>Earnings redirection order—limit</w:t>
      </w:r>
      <w:bookmarkEnd w:id="759"/>
    </w:p>
    <w:p w14:paraId="32D3596D" w14:textId="77777777"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14:paraId="711A6830" w14:textId="77777777" w:rsidR="00D60791" w:rsidRPr="00CE5D4D" w:rsidRDefault="00D60791" w:rsidP="00D60791">
      <w:pPr>
        <w:pStyle w:val="Amain"/>
      </w:pPr>
      <w:r w:rsidRPr="00CE5D4D">
        <w:tab/>
        <w:t>(2)</w:t>
      </w:r>
      <w:r w:rsidRPr="00CE5D4D">
        <w:tab/>
        <w:t>In this rule:</w:t>
      </w:r>
    </w:p>
    <w:p w14:paraId="1D1BDF1E" w14:textId="77777777"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14:paraId="514B481B" w14:textId="77777777" w:rsidR="008112BD" w:rsidRDefault="008112BD" w:rsidP="008112BD">
      <w:pPr>
        <w:pStyle w:val="AH5Sec"/>
      </w:pPr>
      <w:bookmarkStart w:id="760" w:name="_Toc185514376"/>
      <w:r w:rsidRPr="00C8328B">
        <w:rPr>
          <w:rStyle w:val="CharSectNo"/>
        </w:rPr>
        <w:lastRenderedPageBreak/>
        <w:t>2354</w:t>
      </w:r>
      <w:r>
        <w:tab/>
        <w:t>Earnings redirection order—information about enforcement debtor’s earnings</w:t>
      </w:r>
      <w:bookmarkEnd w:id="760"/>
    </w:p>
    <w:p w14:paraId="501A1537" w14:textId="77777777"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14:paraId="13ACBDEB" w14:textId="77777777" w:rsidR="008112BD" w:rsidRDefault="008112BD" w:rsidP="008112BD">
      <w:pPr>
        <w:pStyle w:val="Apara"/>
      </w:pPr>
      <w:r>
        <w:tab/>
        <w:t>(a)</w:t>
      </w:r>
      <w:r>
        <w:tab/>
        <w:t>the earnings owing to the debtor; and</w:t>
      </w:r>
    </w:p>
    <w:p w14:paraId="64FE992A" w14:textId="77777777" w:rsidR="008112BD" w:rsidRDefault="008112BD" w:rsidP="008112BD">
      <w:pPr>
        <w:pStyle w:val="Apara"/>
        <w:keepNext/>
      </w:pPr>
      <w:r>
        <w:tab/>
        <w:t>(b)</w:t>
      </w:r>
      <w:r>
        <w:tab/>
        <w:t>the earnings payable to the debtor from time to time.</w:t>
      </w:r>
    </w:p>
    <w:p w14:paraId="1646D453" w14:textId="77777777"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14:paraId="364C357E" w14:textId="77777777" w:rsidR="008112BD" w:rsidRDefault="008112BD" w:rsidP="008112BD">
      <w:pPr>
        <w:pStyle w:val="AH5Sec"/>
      </w:pPr>
      <w:bookmarkStart w:id="761" w:name="_Toc185514377"/>
      <w:r w:rsidRPr="00C8328B">
        <w:rPr>
          <w:rStyle w:val="CharSectNo"/>
        </w:rPr>
        <w:t>2355</w:t>
      </w:r>
      <w:r>
        <w:tab/>
        <w:t>Earnings redirection order—content</w:t>
      </w:r>
      <w:bookmarkEnd w:id="761"/>
    </w:p>
    <w:p w14:paraId="24ACE53D" w14:textId="77777777" w:rsidR="008112BD" w:rsidRDefault="008112BD" w:rsidP="008112BD">
      <w:pPr>
        <w:pStyle w:val="Amainreturn"/>
        <w:keepNext/>
      </w:pPr>
      <w:r>
        <w:t>An earnings redirection order must state—</w:t>
      </w:r>
    </w:p>
    <w:p w14:paraId="17E30D0F" w14:textId="77777777" w:rsidR="008112BD" w:rsidRDefault="008112BD" w:rsidP="008112BD">
      <w:pPr>
        <w:pStyle w:val="Apara"/>
        <w:keepNext/>
      </w:pPr>
      <w:r>
        <w:tab/>
        <w:t>(a)</w:t>
      </w:r>
      <w:r>
        <w:tab/>
        <w:t>the name of the enforcement debtor; and</w:t>
      </w:r>
    </w:p>
    <w:p w14:paraId="7C78BF41" w14:textId="77777777" w:rsidR="008112BD" w:rsidRDefault="008112BD" w:rsidP="008112BD">
      <w:pPr>
        <w:pStyle w:val="Apara"/>
      </w:pPr>
      <w:r>
        <w:tab/>
        <w:t>(b)</w:t>
      </w:r>
      <w:r>
        <w:tab/>
        <w:t>the name of the enforcement debtor’s employer who must deduct from the enforcement debtor’s earnings; and</w:t>
      </w:r>
    </w:p>
    <w:p w14:paraId="3F4E1367" w14:textId="77777777" w:rsidR="008112BD" w:rsidRDefault="008112BD" w:rsidP="008112BD">
      <w:pPr>
        <w:pStyle w:val="Apara"/>
      </w:pPr>
      <w:r>
        <w:tab/>
        <w:t>(c)</w:t>
      </w:r>
      <w:r>
        <w:tab/>
        <w:t>the total amount the employer must deduct from the enforcement debtor’s earnings; and</w:t>
      </w:r>
    </w:p>
    <w:p w14:paraId="314B3AC0" w14:textId="77777777" w:rsidR="008112BD" w:rsidRDefault="008112BD" w:rsidP="008112BD">
      <w:pPr>
        <w:pStyle w:val="Apara"/>
      </w:pPr>
      <w:r>
        <w:tab/>
        <w:t>(d)</w:t>
      </w:r>
      <w:r>
        <w:tab/>
        <w:t>if an amount is required to be deducted from the enforcement debtor’s earnings each payday—the amount; and</w:t>
      </w:r>
    </w:p>
    <w:p w14:paraId="2E19938B" w14:textId="77777777" w:rsidR="008112BD" w:rsidRDefault="008112BD" w:rsidP="008112BD">
      <w:pPr>
        <w:pStyle w:val="Apara"/>
        <w:keepNext/>
      </w:pPr>
      <w:r>
        <w:tab/>
        <w:t>(e)</w:t>
      </w:r>
      <w:r>
        <w:tab/>
        <w:t>the name and address of the enforcement creditor to whom the employer must pay the deductions.</w:t>
      </w:r>
    </w:p>
    <w:p w14:paraId="263E1364"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367A9947" w14:textId="77777777" w:rsidR="008112BD" w:rsidRDefault="008112BD" w:rsidP="008112BD">
      <w:pPr>
        <w:pStyle w:val="AH5Sec"/>
      </w:pPr>
      <w:bookmarkStart w:id="762" w:name="_Toc185514378"/>
      <w:r w:rsidRPr="00C8328B">
        <w:rPr>
          <w:rStyle w:val="CharSectNo"/>
        </w:rPr>
        <w:lastRenderedPageBreak/>
        <w:t>2356</w:t>
      </w:r>
      <w:r>
        <w:tab/>
        <w:t>Earnings redirection order—service and coming into force</w:t>
      </w:r>
      <w:bookmarkEnd w:id="762"/>
    </w:p>
    <w:p w14:paraId="18570A3E" w14:textId="77777777" w:rsidR="008112BD" w:rsidRDefault="008112BD" w:rsidP="008112BD">
      <w:pPr>
        <w:pStyle w:val="Amain"/>
        <w:keepNext/>
      </w:pPr>
      <w:r>
        <w:tab/>
        <w:t>(1)</w:t>
      </w:r>
      <w:r>
        <w:tab/>
        <w:t>This rule applies if the court makes an earnings redirection order, whether or not on the enforcement creditor’s application.</w:t>
      </w:r>
    </w:p>
    <w:p w14:paraId="5E30B102"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426D407" w14:textId="3FEAAD68" w:rsidR="008625B4" w:rsidRPr="00C1177F" w:rsidRDefault="008625B4" w:rsidP="008625B4">
      <w:pPr>
        <w:pStyle w:val="Amain"/>
      </w:pPr>
      <w:r w:rsidRPr="00C1177F">
        <w:tab/>
        <w:t>(2)</w:t>
      </w:r>
      <w:r w:rsidRPr="00C1177F">
        <w:tab/>
        <w:t>The enforcement creditor must serve a sealed copy of the order—</w:t>
      </w:r>
    </w:p>
    <w:p w14:paraId="60A0C5D1" w14:textId="77777777" w:rsidR="008625B4" w:rsidRPr="00C1177F" w:rsidRDefault="008625B4" w:rsidP="008625B4">
      <w:pPr>
        <w:pStyle w:val="Apara"/>
      </w:pPr>
      <w:r>
        <w:tab/>
      </w:r>
      <w:r w:rsidRPr="00C1177F">
        <w:t>(a)</w:t>
      </w:r>
      <w:r w:rsidRPr="00C1177F">
        <w:tab/>
        <w:t>on the enforcement debtor’s employer—</w:t>
      </w:r>
    </w:p>
    <w:p w14:paraId="12D1C263" w14:textId="77777777" w:rsidR="008625B4" w:rsidRPr="00C1177F" w:rsidRDefault="008625B4" w:rsidP="008625B4">
      <w:pPr>
        <w:pStyle w:val="Asubpara"/>
      </w:pPr>
      <w:r w:rsidRPr="00C1177F">
        <w:tab/>
        <w:t>(i)</w:t>
      </w:r>
      <w:r w:rsidRPr="00C1177F">
        <w:tab/>
        <w:t>personally; or</w:t>
      </w:r>
    </w:p>
    <w:p w14:paraId="141B132E" w14:textId="77777777" w:rsidR="008625B4" w:rsidRPr="00C1177F" w:rsidRDefault="008625B4" w:rsidP="008625B4">
      <w:pPr>
        <w:pStyle w:val="Asubpara"/>
      </w:pPr>
      <w:r w:rsidRPr="00C1177F">
        <w:tab/>
        <w:t>(ii)</w:t>
      </w:r>
      <w:r w:rsidRPr="00C1177F">
        <w:tab/>
        <w:t>by pre-paid post; and</w:t>
      </w:r>
    </w:p>
    <w:p w14:paraId="6DBB7C90" w14:textId="77777777" w:rsidR="008625B4" w:rsidRPr="00C1177F" w:rsidRDefault="008625B4" w:rsidP="008625B4">
      <w:pPr>
        <w:pStyle w:val="Apara"/>
      </w:pPr>
      <w:r w:rsidRPr="00C1177F">
        <w:tab/>
        <w:t>(b)</w:t>
      </w:r>
      <w:r w:rsidRPr="00C1177F">
        <w:tab/>
        <w:t>on the enforcement debtor—</w:t>
      </w:r>
    </w:p>
    <w:p w14:paraId="4CA68AA3" w14:textId="77777777" w:rsidR="008625B4" w:rsidRPr="00C1177F" w:rsidRDefault="008625B4" w:rsidP="008625B4">
      <w:pPr>
        <w:pStyle w:val="Asubpara"/>
      </w:pPr>
      <w:r w:rsidRPr="00C1177F">
        <w:tab/>
        <w:t>(i)</w:t>
      </w:r>
      <w:r w:rsidRPr="00C1177F">
        <w:tab/>
        <w:t>personally; or</w:t>
      </w:r>
    </w:p>
    <w:p w14:paraId="2C215F77" w14:textId="77777777" w:rsidR="008625B4" w:rsidRPr="00C1177F" w:rsidRDefault="008625B4" w:rsidP="008625B4">
      <w:pPr>
        <w:pStyle w:val="Asubpara"/>
      </w:pPr>
      <w:r w:rsidRPr="00C1177F">
        <w:tab/>
        <w:t>(ii)</w:t>
      </w:r>
      <w:r w:rsidRPr="00C1177F">
        <w:tab/>
        <w:t>by pre-paid post; or</w:t>
      </w:r>
    </w:p>
    <w:p w14:paraId="17582050" w14:textId="77777777" w:rsidR="008625B4" w:rsidRPr="00C1177F" w:rsidRDefault="008625B4" w:rsidP="008625B4">
      <w:pPr>
        <w:pStyle w:val="Asubpara"/>
      </w:pPr>
      <w:r w:rsidRPr="00C1177F">
        <w:tab/>
        <w:t>(iii)</w:t>
      </w:r>
      <w:r w:rsidRPr="00C1177F">
        <w:tab/>
        <w:t>if the enforcement debtor’s address for service includes an email address—by email.</w:t>
      </w:r>
    </w:p>
    <w:p w14:paraId="5892120E" w14:textId="77777777" w:rsidR="008112BD" w:rsidRDefault="008112BD" w:rsidP="008112BD">
      <w:pPr>
        <w:pStyle w:val="Amain"/>
        <w:keepNext/>
      </w:pPr>
      <w:r>
        <w:tab/>
        <w:t>(3)</w:t>
      </w:r>
      <w:r>
        <w:tab/>
        <w:t>The enforcement creditor must also serve on the enforcement debtor’s employer—</w:t>
      </w:r>
    </w:p>
    <w:p w14:paraId="76CB79A0" w14:textId="77777777" w:rsidR="008112BD" w:rsidRDefault="008112BD" w:rsidP="008112BD">
      <w:pPr>
        <w:pStyle w:val="Apara"/>
      </w:pPr>
      <w:r>
        <w:tab/>
        <w:t>(a)</w:t>
      </w:r>
      <w:r>
        <w:tab/>
        <w:t>a notice telling the enforcement debtor’s employer of the effect of the order and the employer’s obligations under this division; and</w:t>
      </w:r>
    </w:p>
    <w:p w14:paraId="7705E775" w14:textId="461BDBCB" w:rsidR="008112BD" w:rsidRDefault="008112BD" w:rsidP="008112BD">
      <w:pPr>
        <w:pStyle w:val="aNotepar"/>
      </w:pPr>
      <w:r w:rsidRPr="00FE0788">
        <w:rPr>
          <w:rStyle w:val="charItals"/>
        </w:rPr>
        <w:t>Note</w:t>
      </w:r>
      <w:r>
        <w:tab/>
        <w:t xml:space="preserve">See approved form 2.65 (Notice to employer—earnings redirection order) </w:t>
      </w:r>
      <w:hyperlink r:id="rId204" w:history="1">
        <w:r w:rsidR="00F30731">
          <w:rPr>
            <w:rStyle w:val="charCitHyperlinkAbbrev"/>
          </w:rPr>
          <w:t>AF2018-42</w:t>
        </w:r>
      </w:hyperlink>
      <w:r>
        <w:t>.</w:t>
      </w:r>
    </w:p>
    <w:p w14:paraId="388D68EB" w14:textId="77777777" w:rsidR="008112BD" w:rsidRDefault="008112BD" w:rsidP="008112BD">
      <w:pPr>
        <w:pStyle w:val="Apara"/>
        <w:keepNext/>
      </w:pPr>
      <w:r>
        <w:tab/>
        <w:t>(b)</w:t>
      </w:r>
      <w:r>
        <w:tab/>
        <w:t>a copy of a notice that the employer may use if the debtor is not employed by the employer.</w:t>
      </w:r>
    </w:p>
    <w:p w14:paraId="23FECB20" w14:textId="677C321A" w:rsidR="008112BD" w:rsidRDefault="008112BD" w:rsidP="008112BD">
      <w:pPr>
        <w:pStyle w:val="aNotepar"/>
      </w:pPr>
      <w:r w:rsidRPr="00FE0788">
        <w:rPr>
          <w:rStyle w:val="charItals"/>
        </w:rPr>
        <w:t>Note</w:t>
      </w:r>
      <w:r>
        <w:tab/>
        <w:t xml:space="preserve">See approved form 2.66 (Notice that debtor not employee) </w:t>
      </w:r>
      <w:hyperlink r:id="rId205" w:history="1">
        <w:r w:rsidRPr="001C178D">
          <w:rPr>
            <w:rStyle w:val="charCitHyperlinkAbbrev"/>
          </w:rPr>
          <w:t>AF2006-311</w:t>
        </w:r>
      </w:hyperlink>
      <w:r>
        <w:t>.</w:t>
      </w:r>
    </w:p>
    <w:p w14:paraId="00C3569B" w14:textId="77777777" w:rsidR="008112BD" w:rsidRDefault="008112BD" w:rsidP="008112BD">
      <w:pPr>
        <w:pStyle w:val="Amain"/>
      </w:pPr>
      <w:r>
        <w:tab/>
        <w:t>(4)</w:t>
      </w:r>
      <w:r>
        <w:tab/>
        <w:t xml:space="preserve">The order does not come into force until the end of 7 days after the day it is served on the employer. </w:t>
      </w:r>
    </w:p>
    <w:p w14:paraId="60DE32D3" w14:textId="77777777" w:rsidR="008112BD" w:rsidRDefault="008112BD" w:rsidP="008112BD">
      <w:pPr>
        <w:pStyle w:val="AH5Sec"/>
      </w:pPr>
      <w:bookmarkStart w:id="763" w:name="_Toc185514379"/>
      <w:r w:rsidRPr="00C8328B">
        <w:rPr>
          <w:rStyle w:val="CharSectNo"/>
        </w:rPr>
        <w:lastRenderedPageBreak/>
        <w:t>2357</w:t>
      </w:r>
      <w:r>
        <w:tab/>
        <w:t>Earnings redirection order—person served not employer</w:t>
      </w:r>
      <w:bookmarkEnd w:id="763"/>
    </w:p>
    <w:p w14:paraId="4750C389" w14:textId="77777777" w:rsidR="008112BD" w:rsidRDefault="008112BD" w:rsidP="008112BD">
      <w:pPr>
        <w:pStyle w:val="Amain"/>
      </w:pPr>
      <w:r>
        <w:tab/>
        <w:t>(1)</w:t>
      </w:r>
      <w:r>
        <w:tab/>
        <w:t>This rule applies if—</w:t>
      </w:r>
    </w:p>
    <w:p w14:paraId="006A3FE1" w14:textId="77777777" w:rsidR="008112BD" w:rsidRDefault="008112BD" w:rsidP="008112BD">
      <w:pPr>
        <w:pStyle w:val="Apara"/>
      </w:pPr>
      <w:r>
        <w:tab/>
        <w:t>(a)</w:t>
      </w:r>
      <w:r>
        <w:tab/>
        <w:t>an earnings redirection order is served on a person on the basis that the person is the enforcement debtor’s employer; and</w:t>
      </w:r>
    </w:p>
    <w:p w14:paraId="07215DCE" w14:textId="77777777" w:rsidR="008112BD" w:rsidRDefault="008112BD" w:rsidP="008112BD">
      <w:pPr>
        <w:pStyle w:val="Apara"/>
      </w:pPr>
      <w:r>
        <w:tab/>
        <w:t>(b)</w:t>
      </w:r>
      <w:r>
        <w:tab/>
        <w:t>the person is not the enforcement debtor’s employer when the order is served on the person.</w:t>
      </w:r>
    </w:p>
    <w:p w14:paraId="26184AC1" w14:textId="77777777" w:rsidR="008112BD" w:rsidRDefault="008112BD" w:rsidP="008112BD">
      <w:pPr>
        <w:pStyle w:val="Amain"/>
        <w:keepNext/>
      </w:pPr>
      <w:r>
        <w:tab/>
        <w:t>(2)</w:t>
      </w:r>
      <w:r>
        <w:tab/>
        <w:t>The person must immediately tell the registrar, in writing, that the person is not the enforcement debtor’s employer.</w:t>
      </w:r>
    </w:p>
    <w:p w14:paraId="0CF8A5D2" w14:textId="2F66DF7D" w:rsidR="008112BD" w:rsidRDefault="008112BD" w:rsidP="008112BD">
      <w:pPr>
        <w:pStyle w:val="aNote"/>
      </w:pPr>
      <w:r w:rsidRPr="00FE0788">
        <w:rPr>
          <w:rStyle w:val="charItals"/>
        </w:rPr>
        <w:t>Note</w:t>
      </w:r>
      <w:r>
        <w:tab/>
        <w:t xml:space="preserve">See approved form 2.66 (Notice that debtor not employee) </w:t>
      </w:r>
      <w:hyperlink r:id="rId206" w:history="1">
        <w:r w:rsidRPr="001C178D">
          <w:rPr>
            <w:rStyle w:val="charCitHyperlinkAbbrev"/>
          </w:rPr>
          <w:t>AF2006-311</w:t>
        </w:r>
      </w:hyperlink>
      <w:r>
        <w:t>.</w:t>
      </w:r>
    </w:p>
    <w:p w14:paraId="39FE2100" w14:textId="77777777" w:rsidR="008112BD" w:rsidRDefault="008112BD" w:rsidP="008112BD">
      <w:pPr>
        <w:pStyle w:val="Amain"/>
      </w:pPr>
      <w:r>
        <w:tab/>
        <w:t>(3)</w:t>
      </w:r>
      <w:r>
        <w:tab/>
        <w:t>To remove any doubt, the person is not bound by the order.</w:t>
      </w:r>
    </w:p>
    <w:p w14:paraId="6544C591" w14:textId="77777777" w:rsidR="008112BD" w:rsidRDefault="008112BD" w:rsidP="008112BD">
      <w:pPr>
        <w:pStyle w:val="AH5Sec"/>
      </w:pPr>
      <w:bookmarkStart w:id="764" w:name="_Toc185514380"/>
      <w:r w:rsidRPr="00C8328B">
        <w:rPr>
          <w:rStyle w:val="CharSectNo"/>
        </w:rPr>
        <w:t>2358</w:t>
      </w:r>
      <w:r>
        <w:tab/>
        <w:t>Earnings redirection order—employer to make payments etc</w:t>
      </w:r>
      <w:bookmarkEnd w:id="764"/>
    </w:p>
    <w:p w14:paraId="1A5C35A1" w14:textId="77777777" w:rsidR="00D60791" w:rsidRPr="00CE5D4D" w:rsidRDefault="00D60791" w:rsidP="00D60791">
      <w:pPr>
        <w:pStyle w:val="Amain"/>
      </w:pPr>
      <w:r w:rsidRPr="00CE5D4D">
        <w:tab/>
        <w:t>(1)</w:t>
      </w:r>
      <w:r w:rsidRPr="00CE5D4D">
        <w:tab/>
        <w:t>For each payday while an earnings redirection order is in force, the enforcement debtor’s employer—</w:t>
      </w:r>
    </w:p>
    <w:p w14:paraId="5E820ED2" w14:textId="77777777"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14:paraId="3E7F6402" w14:textId="77777777"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14:paraId="382C72C6" w14:textId="77777777" w:rsidR="00D60791" w:rsidRPr="00CE5D4D" w:rsidRDefault="00D60791" w:rsidP="00D60791">
      <w:pPr>
        <w:pStyle w:val="Apara"/>
      </w:pPr>
      <w:r w:rsidRPr="00CE5D4D">
        <w:tab/>
        <w:t>(c)</w:t>
      </w:r>
      <w:r w:rsidRPr="00CE5D4D">
        <w:tab/>
        <w:t>must pay the deducted amount less any administration charge to the person stated in the order; and</w:t>
      </w:r>
    </w:p>
    <w:p w14:paraId="1C3BEBCD" w14:textId="77777777" w:rsidR="00D60791" w:rsidRPr="00CE5D4D" w:rsidRDefault="00D60791" w:rsidP="00D60791">
      <w:pPr>
        <w:pStyle w:val="Apara"/>
      </w:pPr>
      <w:r w:rsidRPr="00CE5D4D">
        <w:tab/>
        <w:t>(d)</w:t>
      </w:r>
      <w:r w:rsidRPr="00CE5D4D">
        <w:tab/>
        <w:t>must give the enforcement debtor a notice detailing the deduction and any administration charge.</w:t>
      </w:r>
    </w:p>
    <w:p w14:paraId="41D1D118" w14:textId="77777777" w:rsidR="008112BD" w:rsidRDefault="008112BD" w:rsidP="008112BD">
      <w:pPr>
        <w:pStyle w:val="Amain"/>
      </w:pPr>
      <w:r>
        <w:tab/>
        <w:t>(2)</w:t>
      </w:r>
      <w:r>
        <w:tab/>
        <w:t>Any charge deducted by an employer under subrule (1) (b) must not be more than—</w:t>
      </w:r>
    </w:p>
    <w:p w14:paraId="294F5359" w14:textId="77777777" w:rsidR="008112BD" w:rsidRDefault="008112BD" w:rsidP="008112BD">
      <w:pPr>
        <w:pStyle w:val="Apara"/>
      </w:pPr>
      <w:r>
        <w:tab/>
        <w:t>(a)</w:t>
      </w:r>
      <w:r>
        <w:tab/>
        <w:t>if the employer has an amount the employer usually charges employees for making periodic payments—that amount; or</w:t>
      </w:r>
    </w:p>
    <w:p w14:paraId="633D37B3" w14:textId="77777777" w:rsidR="008112BD" w:rsidRDefault="008112BD" w:rsidP="008112BD">
      <w:pPr>
        <w:pStyle w:val="Apara"/>
      </w:pPr>
      <w:r>
        <w:lastRenderedPageBreak/>
        <w:tab/>
        <w:t>(b)</w:t>
      </w:r>
      <w:r>
        <w:tab/>
        <w:t>otherwise—an amount that covers the employer’s costs and expenses of complying with the order.</w:t>
      </w:r>
    </w:p>
    <w:p w14:paraId="3E8EBAF9" w14:textId="77777777"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14:paraId="04A7C059" w14:textId="77777777" w:rsidR="008112BD" w:rsidRDefault="008112BD" w:rsidP="008112BD">
      <w:pPr>
        <w:pStyle w:val="Amain"/>
        <w:keepLines/>
      </w:pPr>
      <w:r>
        <w:tab/>
        <w:t>(4)</w:t>
      </w:r>
      <w:r>
        <w:tab/>
        <w:t>A deduction paid or kept by an employer under subrule (1) is a valid discharge as between the employer and the enforcement debtor, to the extent of the deduction, of the employer’s liability to pay earnings.</w:t>
      </w:r>
    </w:p>
    <w:p w14:paraId="328ABA4C" w14:textId="77777777" w:rsidR="008112BD" w:rsidRDefault="008112BD" w:rsidP="008112BD">
      <w:pPr>
        <w:pStyle w:val="AH5Sec"/>
      </w:pPr>
      <w:bookmarkStart w:id="765" w:name="_Toc185514381"/>
      <w:r w:rsidRPr="00C8328B">
        <w:rPr>
          <w:rStyle w:val="CharSectNo"/>
        </w:rPr>
        <w:t>2359</w:t>
      </w:r>
      <w:r>
        <w:tab/>
        <w:t>Earnings redirection order—no other enforcement while in force</w:t>
      </w:r>
      <w:bookmarkEnd w:id="765"/>
    </w:p>
    <w:p w14:paraId="0F19D6A5" w14:textId="77777777"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14:paraId="6D4C3408"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F750AAC" w14:textId="77777777" w:rsidR="008112BD" w:rsidRDefault="008112BD" w:rsidP="008112BD">
      <w:pPr>
        <w:pStyle w:val="AH5Sec"/>
      </w:pPr>
      <w:bookmarkStart w:id="766" w:name="_Toc185514382"/>
      <w:r w:rsidRPr="00C8328B">
        <w:rPr>
          <w:rStyle w:val="CharSectNo"/>
        </w:rPr>
        <w:t>2360</w:t>
      </w:r>
      <w:r>
        <w:tab/>
        <w:t>Earnings redirection order—amending, suspending or setting aside</w:t>
      </w:r>
      <w:bookmarkEnd w:id="766"/>
    </w:p>
    <w:p w14:paraId="68273462" w14:textId="77777777"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14:paraId="431193E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1462F762" w14:textId="77777777"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14:paraId="33B91982" w14:textId="77777777" w:rsidR="008112BD" w:rsidRDefault="008112BD" w:rsidP="008112BD">
      <w:pPr>
        <w:pStyle w:val="Amain"/>
        <w:keepNext/>
      </w:pPr>
      <w:r>
        <w:lastRenderedPageBreak/>
        <w:tab/>
        <w:t>(3)</w:t>
      </w:r>
      <w:r>
        <w:tab/>
        <w:t>After hearing the application, the court may make 1 or more of the following orders:</w:t>
      </w:r>
    </w:p>
    <w:p w14:paraId="5F145ED3" w14:textId="77777777" w:rsidR="008112BD" w:rsidRDefault="008112BD" w:rsidP="008112BD">
      <w:pPr>
        <w:pStyle w:val="Apara"/>
        <w:keepNext/>
      </w:pPr>
      <w:r>
        <w:tab/>
        <w:t>(a)</w:t>
      </w:r>
      <w:r>
        <w:tab/>
        <w:t>an instalment order;</w:t>
      </w:r>
    </w:p>
    <w:p w14:paraId="2B86B340" w14:textId="77777777" w:rsidR="008112BD" w:rsidRDefault="008112BD" w:rsidP="008112BD">
      <w:pPr>
        <w:pStyle w:val="Apara"/>
      </w:pPr>
      <w:r>
        <w:tab/>
        <w:t>(b)</w:t>
      </w:r>
      <w:r>
        <w:tab/>
        <w:t>an order amending, suspending or setting aside the earnings redirection order;</w:t>
      </w:r>
    </w:p>
    <w:p w14:paraId="6997559F" w14:textId="77777777" w:rsidR="008112BD" w:rsidRDefault="008112BD" w:rsidP="008112BD">
      <w:pPr>
        <w:pStyle w:val="Apara"/>
      </w:pPr>
      <w:r>
        <w:tab/>
        <w:t>(c)</w:t>
      </w:r>
      <w:r>
        <w:tab/>
        <w:t>a debt redirection order;</w:t>
      </w:r>
    </w:p>
    <w:p w14:paraId="6DBC9784" w14:textId="77777777" w:rsidR="008112BD" w:rsidRDefault="008112BD" w:rsidP="008112BD">
      <w:pPr>
        <w:pStyle w:val="Apara"/>
      </w:pPr>
      <w:r>
        <w:tab/>
        <w:t>(d)</w:t>
      </w:r>
      <w:r>
        <w:tab/>
        <w:t>a regular redirection order.</w:t>
      </w:r>
    </w:p>
    <w:p w14:paraId="770D8C39" w14:textId="77777777" w:rsidR="008112BD" w:rsidRDefault="008112BD" w:rsidP="008112BD">
      <w:pPr>
        <w:pStyle w:val="Amain"/>
        <w:keepNext/>
      </w:pPr>
      <w:r>
        <w:tab/>
        <w:t>(4)</w:t>
      </w:r>
      <w:r>
        <w:tab/>
        <w:t>In considering whether to make an order mentioned in subrule (3), the court must have regard to—</w:t>
      </w:r>
    </w:p>
    <w:p w14:paraId="5DC96EDA" w14:textId="77777777" w:rsidR="008112BD" w:rsidRDefault="008112BD" w:rsidP="008112BD">
      <w:pPr>
        <w:pStyle w:val="Apara"/>
      </w:pPr>
      <w:r>
        <w:tab/>
        <w:t>(a)</w:t>
      </w:r>
      <w:r>
        <w:tab/>
        <w:t>the order (if any) preferred by the enforcement debtor; and</w:t>
      </w:r>
    </w:p>
    <w:p w14:paraId="13AE7CB0" w14:textId="77777777" w:rsidR="008112BD" w:rsidRDefault="008112BD" w:rsidP="008112BD">
      <w:pPr>
        <w:pStyle w:val="Apara"/>
      </w:pPr>
      <w:r>
        <w:tab/>
        <w:t>(b)</w:t>
      </w:r>
      <w:r>
        <w:tab/>
        <w:t>the likelihood of the enforcement debtor complying with an instalment order; and</w:t>
      </w:r>
    </w:p>
    <w:p w14:paraId="27F21719"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0D6CE58A" w14:textId="77777777" w:rsidR="008112BD" w:rsidRDefault="008112BD" w:rsidP="008112BD">
      <w:pPr>
        <w:pStyle w:val="Apara"/>
      </w:pPr>
      <w:r>
        <w:tab/>
        <w:t>(d)</w:t>
      </w:r>
      <w:r>
        <w:tab/>
        <w:t>any other information that the court considers is relevant and reliable.</w:t>
      </w:r>
    </w:p>
    <w:p w14:paraId="25AE8F3D" w14:textId="77777777" w:rsidR="008112BD" w:rsidRDefault="008112BD" w:rsidP="00023F05">
      <w:pPr>
        <w:pStyle w:val="Amain"/>
        <w:keepNext/>
      </w:pPr>
      <w:r>
        <w:tab/>
        <w:t>(5)</w:t>
      </w:r>
      <w:r>
        <w:tab/>
        <w:t>Subrule (4) does not limit—</w:t>
      </w:r>
    </w:p>
    <w:p w14:paraId="34B9E22A" w14:textId="77777777" w:rsidR="008112BD" w:rsidRDefault="008112BD" w:rsidP="008112BD">
      <w:pPr>
        <w:pStyle w:val="Apara"/>
      </w:pPr>
      <w:r>
        <w:tab/>
        <w:t>(a)</w:t>
      </w:r>
      <w:r>
        <w:tab/>
        <w:t>the other matters to which the court must have regard in deciding whether to make an instalment order or debt redirection order; or</w:t>
      </w:r>
    </w:p>
    <w:p w14:paraId="5A263847" w14:textId="77777777" w:rsidR="008112BD" w:rsidRDefault="008112BD" w:rsidP="008112BD">
      <w:pPr>
        <w:pStyle w:val="aNotepar"/>
      </w:pPr>
      <w:r w:rsidRPr="00FE0788">
        <w:rPr>
          <w:rStyle w:val="charItals"/>
        </w:rPr>
        <w:t>Note</w:t>
      </w:r>
      <w:r w:rsidRPr="00FE0788">
        <w:rPr>
          <w:rStyle w:val="charItals"/>
        </w:rPr>
        <w:tab/>
      </w:r>
      <w:r>
        <w:t>For these matters, see—</w:t>
      </w:r>
    </w:p>
    <w:p w14:paraId="0749DF87" w14:textId="77777777"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14:paraId="3810E874" w14:textId="77777777"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14:paraId="7BB27CA2" w14:textId="77777777" w:rsidR="008112BD" w:rsidRDefault="008112BD" w:rsidP="008112BD">
      <w:pPr>
        <w:pStyle w:val="Apara"/>
      </w:pPr>
      <w:r>
        <w:tab/>
        <w:t>(b)</w:t>
      </w:r>
      <w:r>
        <w:tab/>
        <w:t>the other matters to which the court may have regard.</w:t>
      </w:r>
    </w:p>
    <w:p w14:paraId="09645288" w14:textId="77777777" w:rsidR="008112BD" w:rsidRDefault="008112BD" w:rsidP="008112BD">
      <w:pPr>
        <w:pStyle w:val="Amain"/>
        <w:keepNext/>
      </w:pPr>
      <w:r>
        <w:lastRenderedPageBreak/>
        <w:tab/>
        <w:t>(6)</w:t>
      </w:r>
      <w:r>
        <w:tab/>
        <w:t>If the court makes an order amending, suspending or setting aside the earnings redirection order under this rule—</w:t>
      </w:r>
    </w:p>
    <w:p w14:paraId="68BEF2A9" w14:textId="77777777" w:rsidR="008112BD" w:rsidRDefault="008112BD" w:rsidP="008112BD">
      <w:pPr>
        <w:pStyle w:val="Apara"/>
      </w:pPr>
      <w:r>
        <w:tab/>
        <w:t>(a)</w:t>
      </w:r>
      <w:r>
        <w:tab/>
        <w:t>the registrar must serve a sealed copy of the order on the enforcement creditor, enforcement debtor and employer; and</w:t>
      </w:r>
    </w:p>
    <w:p w14:paraId="007033A3" w14:textId="77777777" w:rsidR="008112BD" w:rsidRDefault="008112BD" w:rsidP="008112BD">
      <w:pPr>
        <w:pStyle w:val="Apara"/>
      </w:pPr>
      <w:r>
        <w:tab/>
        <w:t>(b)</w:t>
      </w:r>
      <w:r>
        <w:tab/>
        <w:t>the order does not come into force until the end of 7 days after the day it is served on the employer.</w:t>
      </w:r>
    </w:p>
    <w:p w14:paraId="6B799974" w14:textId="77777777" w:rsidR="008112BD" w:rsidRDefault="008112BD" w:rsidP="008112BD">
      <w:pPr>
        <w:pStyle w:val="AH5Sec"/>
      </w:pPr>
      <w:bookmarkStart w:id="767" w:name="_Toc185514383"/>
      <w:r w:rsidRPr="00C8328B">
        <w:rPr>
          <w:rStyle w:val="CharSectNo"/>
        </w:rPr>
        <w:t>2361</w:t>
      </w:r>
      <w:r>
        <w:tab/>
        <w:t>Earnings redirection order—ceasing to have effect</w:t>
      </w:r>
      <w:bookmarkEnd w:id="767"/>
    </w:p>
    <w:p w14:paraId="3300DB8C" w14:textId="77777777" w:rsidR="008112BD" w:rsidRDefault="008112BD" w:rsidP="008112BD">
      <w:pPr>
        <w:pStyle w:val="Amain"/>
        <w:keepNext/>
      </w:pPr>
      <w:r>
        <w:tab/>
        <w:t>(1)</w:t>
      </w:r>
      <w:r>
        <w:tab/>
        <w:t>An earnings redirection order for a money order ceases to have effect when—</w:t>
      </w:r>
    </w:p>
    <w:p w14:paraId="42F35829" w14:textId="77777777" w:rsidR="008112BD" w:rsidRDefault="008112BD" w:rsidP="008112BD">
      <w:pPr>
        <w:pStyle w:val="Apara"/>
      </w:pPr>
      <w:r>
        <w:tab/>
        <w:t>(a)</w:t>
      </w:r>
      <w:r>
        <w:tab/>
        <w:t>the order debt is satisfied; or</w:t>
      </w:r>
    </w:p>
    <w:p w14:paraId="0C89EF9E" w14:textId="77777777" w:rsidR="008112BD" w:rsidRDefault="008112BD" w:rsidP="008112BD">
      <w:pPr>
        <w:pStyle w:val="Apara"/>
      </w:pPr>
      <w:r>
        <w:tab/>
        <w:t>(b)</w:t>
      </w:r>
      <w:r>
        <w:tab/>
        <w:t>the earnings redirection order is set aside or ends in accordance with its terms; or</w:t>
      </w:r>
    </w:p>
    <w:p w14:paraId="22BA4842" w14:textId="77777777" w:rsidR="008112BD" w:rsidRDefault="008112BD" w:rsidP="008112BD">
      <w:pPr>
        <w:pStyle w:val="Apara"/>
        <w:keepNext/>
      </w:pPr>
      <w:r>
        <w:tab/>
        <w:t>(c)</w:t>
      </w:r>
      <w:r>
        <w:tab/>
        <w:t>unless the court otherwise orders, another enforcement order is made for the money order.</w:t>
      </w:r>
    </w:p>
    <w:p w14:paraId="5F72C6D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1442A02" w14:textId="77777777"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14:paraId="3F0C7621" w14:textId="77777777" w:rsidR="008112BD" w:rsidRDefault="008112BD" w:rsidP="008112BD">
      <w:pPr>
        <w:pStyle w:val="Amain"/>
      </w:pPr>
      <w:r>
        <w:tab/>
        <w:t>(3)</w:t>
      </w:r>
      <w:r>
        <w:tab/>
        <w:t>The enforcement creditor must file a copy of the notice in the court.</w:t>
      </w:r>
    </w:p>
    <w:p w14:paraId="5C1C9CF0" w14:textId="77777777"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14:paraId="50BD91EE" w14:textId="77777777" w:rsidR="008112BD" w:rsidRDefault="008112BD" w:rsidP="008112BD">
      <w:pPr>
        <w:pStyle w:val="Apara"/>
      </w:pPr>
      <w:r>
        <w:tab/>
        <w:t>(a)</w:t>
      </w:r>
      <w:r>
        <w:tab/>
        <w:t xml:space="preserve">a sealed copy of the order because of which the earnings redirection order ceases to have effect; </w:t>
      </w:r>
    </w:p>
    <w:p w14:paraId="13944323" w14:textId="77777777" w:rsidR="008112BD" w:rsidRDefault="008112BD" w:rsidP="008112BD">
      <w:pPr>
        <w:pStyle w:val="Apara"/>
      </w:pPr>
      <w:r>
        <w:tab/>
        <w:t>(b)</w:t>
      </w:r>
      <w:r>
        <w:tab/>
        <w:t>the notice mentioned in subrule (2).</w:t>
      </w:r>
    </w:p>
    <w:p w14:paraId="39E049DE" w14:textId="77777777" w:rsidR="008112BD" w:rsidRDefault="008112BD" w:rsidP="008112BD">
      <w:pPr>
        <w:pStyle w:val="AH5Sec"/>
      </w:pPr>
      <w:bookmarkStart w:id="768" w:name="_Toc185514384"/>
      <w:r w:rsidRPr="00C8328B">
        <w:rPr>
          <w:rStyle w:val="CharSectNo"/>
        </w:rPr>
        <w:lastRenderedPageBreak/>
        <w:t>2362</w:t>
      </w:r>
      <w:r>
        <w:tab/>
        <w:t>Earnings redirection order—return of excess</w:t>
      </w:r>
      <w:bookmarkEnd w:id="768"/>
    </w:p>
    <w:p w14:paraId="6C7E8D4E" w14:textId="77777777"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14:paraId="4DFFEA5D" w14:textId="77777777" w:rsidR="008112BD" w:rsidRDefault="008112BD" w:rsidP="008112BD">
      <w:pPr>
        <w:pStyle w:val="Apara"/>
      </w:pPr>
      <w:r>
        <w:tab/>
        <w:t>(a)</w:t>
      </w:r>
      <w:r>
        <w:tab/>
        <w:t>the enforcement creditor must return the excess to the employer; and</w:t>
      </w:r>
    </w:p>
    <w:p w14:paraId="6DCEC388" w14:textId="77777777" w:rsidR="008112BD" w:rsidRDefault="008112BD" w:rsidP="008112BD">
      <w:pPr>
        <w:pStyle w:val="Apara"/>
      </w:pPr>
      <w:r>
        <w:tab/>
        <w:t>(b)</w:t>
      </w:r>
      <w:r>
        <w:tab/>
        <w:t>the employer must pay it to the enforcement debtor.</w:t>
      </w:r>
    </w:p>
    <w:p w14:paraId="303018C4" w14:textId="77777777" w:rsidR="008112BD" w:rsidRDefault="008112BD" w:rsidP="008112BD">
      <w:pPr>
        <w:pStyle w:val="Amain"/>
      </w:pPr>
      <w:r>
        <w:tab/>
        <w:t>(2)</w:t>
      </w:r>
      <w:r>
        <w:tab/>
        <w:t>If the enforcement creditor does not return the excess, the enforcement debtor may recover it as a debt owing to the debtor.</w:t>
      </w:r>
    </w:p>
    <w:p w14:paraId="4032E175" w14:textId="77777777" w:rsidR="008112BD" w:rsidRDefault="008112BD" w:rsidP="008112BD">
      <w:pPr>
        <w:pStyle w:val="Amain"/>
      </w:pPr>
      <w:r>
        <w:tab/>
        <w:t>(3)</w:t>
      </w:r>
      <w:r>
        <w:tab/>
        <w:t>For subrule (2), interest is payable on the amount of the excess as if the excess were an order debt.</w:t>
      </w:r>
    </w:p>
    <w:p w14:paraId="7B001F90" w14:textId="77777777" w:rsidR="008112BD" w:rsidRDefault="008112BD" w:rsidP="008112BD">
      <w:pPr>
        <w:pStyle w:val="AH5Sec"/>
      </w:pPr>
      <w:bookmarkStart w:id="769" w:name="_Toc185514385"/>
      <w:r w:rsidRPr="00C8328B">
        <w:rPr>
          <w:rStyle w:val="CharSectNo"/>
        </w:rPr>
        <w:t>2363</w:t>
      </w:r>
      <w:r>
        <w:tab/>
        <w:t>Earnings redirection order—record of payments</w:t>
      </w:r>
      <w:bookmarkEnd w:id="769"/>
    </w:p>
    <w:p w14:paraId="4EC7E441" w14:textId="77777777"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14:paraId="658C5EB6" w14:textId="77777777" w:rsidR="008112BD" w:rsidRDefault="008112BD" w:rsidP="008112BD">
      <w:pPr>
        <w:pStyle w:val="Amain"/>
      </w:pPr>
      <w:r>
        <w:tab/>
        <w:t>(2)</w:t>
      </w:r>
      <w:r>
        <w:tab/>
        <w:t>The enforcement creditor must keep the record for at least 6 years after the day the last payment is made under the earnings redirection order.</w:t>
      </w:r>
    </w:p>
    <w:p w14:paraId="551A68C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71333D89"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55CCB265" w14:textId="77777777" w:rsidR="008112BD" w:rsidRDefault="008112BD" w:rsidP="00F13D87">
      <w:pPr>
        <w:pStyle w:val="Amain"/>
        <w:keepNext/>
      </w:pPr>
      <w:r>
        <w:lastRenderedPageBreak/>
        <w:tab/>
        <w:t>(5)</w:t>
      </w:r>
      <w:r>
        <w:tab/>
        <w:t>On application by the enforcement debtor, the court may make any order it considers appropriate to ensure compliance with this rule, including, for example—</w:t>
      </w:r>
    </w:p>
    <w:p w14:paraId="28E4AFD3" w14:textId="77777777" w:rsidR="008112BD" w:rsidRDefault="008112BD" w:rsidP="008112BD">
      <w:pPr>
        <w:pStyle w:val="Apara"/>
      </w:pPr>
      <w:r>
        <w:tab/>
        <w:t>(a)</w:t>
      </w:r>
      <w:r>
        <w:tab/>
        <w:t>an order requiring the enforcement creditor to—</w:t>
      </w:r>
    </w:p>
    <w:p w14:paraId="6839F10A" w14:textId="77777777" w:rsidR="008112BD" w:rsidRDefault="008112BD" w:rsidP="008112BD">
      <w:pPr>
        <w:pStyle w:val="Asubpara"/>
        <w:spacing w:before="0"/>
      </w:pPr>
      <w:r>
        <w:tab/>
        <w:t>(i)</w:t>
      </w:r>
      <w:r>
        <w:tab/>
        <w:t>file in the court a copy of all or part of the record verified by affidavit; or</w:t>
      </w:r>
    </w:p>
    <w:p w14:paraId="11E1001A" w14:textId="77777777" w:rsidR="008112BD" w:rsidRDefault="008112BD" w:rsidP="008112BD">
      <w:pPr>
        <w:pStyle w:val="Asubpara"/>
      </w:pPr>
      <w:r>
        <w:tab/>
        <w:t>(ii)</w:t>
      </w:r>
      <w:r>
        <w:tab/>
        <w:t>give the enforcement debtor a copy of all or part of the record; or</w:t>
      </w:r>
    </w:p>
    <w:p w14:paraId="7FCD9565" w14:textId="77777777" w:rsidR="008112BD" w:rsidRDefault="008112BD" w:rsidP="008112BD">
      <w:pPr>
        <w:pStyle w:val="Apara"/>
        <w:keepNext/>
        <w:spacing w:before="0"/>
      </w:pPr>
      <w:r>
        <w:tab/>
        <w:t>(b)</w:t>
      </w:r>
      <w:r>
        <w:tab/>
        <w:t xml:space="preserve">an order that the enforcement creditor is not entitled to interest on the order debt for all or part of a period. </w:t>
      </w:r>
    </w:p>
    <w:p w14:paraId="0CE94D7D" w14:textId="77777777" w:rsidR="008112BD" w:rsidRDefault="008112BD" w:rsidP="008112BD">
      <w:pPr>
        <w:pStyle w:val="aNote"/>
        <w:keepNext/>
      </w:pPr>
      <w:r w:rsidRPr="00FE0788">
        <w:rPr>
          <w:rStyle w:val="charItals"/>
        </w:rPr>
        <w:t>Note</w:t>
      </w:r>
      <w:r>
        <w:tab/>
        <w:t>Pt 6.2 (Applications in proceedings) applies to an application for an order under this rule.</w:t>
      </w:r>
    </w:p>
    <w:p w14:paraId="6D4E6962" w14:textId="77777777" w:rsidR="008112BD" w:rsidRDefault="008112BD" w:rsidP="008112BD">
      <w:pPr>
        <w:pStyle w:val="AH5Sec"/>
      </w:pPr>
      <w:bookmarkStart w:id="770" w:name="_Toc185514386"/>
      <w:r w:rsidRPr="00C8328B">
        <w:rPr>
          <w:rStyle w:val="CharSectNo"/>
        </w:rPr>
        <w:t>2364</w:t>
      </w:r>
      <w:r>
        <w:tab/>
        <w:t>Earnings redirection order—2 or more orders in force</w:t>
      </w:r>
      <w:bookmarkEnd w:id="770"/>
    </w:p>
    <w:p w14:paraId="742DBE8C" w14:textId="77777777" w:rsidR="008112BD" w:rsidRDefault="008112BD" w:rsidP="008112BD">
      <w:pPr>
        <w:pStyle w:val="Amain"/>
      </w:pPr>
      <w:r>
        <w:tab/>
        <w:t>(1)</w:t>
      </w:r>
      <w:r>
        <w:tab/>
        <w:t>This rule applies if 2 or more earning redirection orders are in force in relation to the same earnings of an enforcement debtor.</w:t>
      </w:r>
    </w:p>
    <w:p w14:paraId="19F3FB12" w14:textId="77777777"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14:paraId="3FF39EE8" w14:textId="77777777" w:rsidR="008112BD" w:rsidRDefault="008112BD" w:rsidP="008112BD">
      <w:pPr>
        <w:pStyle w:val="aNote"/>
      </w:pPr>
      <w:r w:rsidRPr="00FE0788">
        <w:rPr>
          <w:rStyle w:val="charItals"/>
        </w:rPr>
        <w:t>Note</w:t>
      </w:r>
      <w:r>
        <w:tab/>
        <w:t>Rule 2361 deals with earnings redirection orders ceasing to have effect.</w:t>
      </w:r>
    </w:p>
    <w:p w14:paraId="0023FB0F" w14:textId="77777777" w:rsidR="008112BD" w:rsidRDefault="008112BD" w:rsidP="008112BD">
      <w:pPr>
        <w:pStyle w:val="Amain"/>
      </w:pPr>
      <w:r>
        <w:tab/>
        <w:t>(3)</w:t>
      </w:r>
      <w:r>
        <w:tab/>
        <w:t>If an earnings redirection order is amended, it continues to have priority according to the date the original order was served.</w:t>
      </w:r>
    </w:p>
    <w:p w14:paraId="7F631A94" w14:textId="77777777" w:rsidR="008112BD" w:rsidRDefault="008112BD" w:rsidP="008112BD">
      <w:pPr>
        <w:pStyle w:val="AH5Sec"/>
      </w:pPr>
      <w:bookmarkStart w:id="771" w:name="_Toc185514387"/>
      <w:r w:rsidRPr="00C8328B">
        <w:rPr>
          <w:rStyle w:val="CharSectNo"/>
        </w:rPr>
        <w:t>2365</w:t>
      </w:r>
      <w:r>
        <w:tab/>
        <w:t>Earnings redirection order—person served ceasing to be employer</w:t>
      </w:r>
      <w:bookmarkEnd w:id="771"/>
    </w:p>
    <w:p w14:paraId="17FF9F73" w14:textId="77777777" w:rsidR="008112BD" w:rsidRDefault="008112BD" w:rsidP="008112BD">
      <w:pPr>
        <w:pStyle w:val="Amain"/>
      </w:pPr>
      <w:r>
        <w:tab/>
        <w:t>(1)</w:t>
      </w:r>
      <w:r>
        <w:tab/>
        <w:t>This rule applies if—</w:t>
      </w:r>
    </w:p>
    <w:p w14:paraId="4494AE0F" w14:textId="77777777" w:rsidR="008112BD" w:rsidRDefault="008112BD" w:rsidP="008112BD">
      <w:pPr>
        <w:pStyle w:val="Apara"/>
      </w:pPr>
      <w:r>
        <w:tab/>
        <w:t>(a)</w:t>
      </w:r>
      <w:r>
        <w:tab/>
        <w:t>a person who is an enforcement debtor’s employer is served with an earnings redirection order; and</w:t>
      </w:r>
    </w:p>
    <w:p w14:paraId="16E64088" w14:textId="77777777" w:rsidR="008112BD" w:rsidRDefault="008112BD" w:rsidP="008112BD">
      <w:pPr>
        <w:pStyle w:val="Apara"/>
      </w:pPr>
      <w:r>
        <w:tab/>
        <w:t>(b)</w:t>
      </w:r>
      <w:r>
        <w:tab/>
        <w:t>the person later ceases to be the enforcement debtor’s employer.</w:t>
      </w:r>
    </w:p>
    <w:p w14:paraId="1A465509" w14:textId="77777777" w:rsidR="008112BD" w:rsidRDefault="008112BD" w:rsidP="008112BD">
      <w:pPr>
        <w:pStyle w:val="Amain"/>
        <w:keepNext/>
      </w:pPr>
      <w:r>
        <w:lastRenderedPageBreak/>
        <w:tab/>
        <w:t>(2)</w:t>
      </w:r>
      <w:r>
        <w:tab/>
        <w:t>The person must immediately tell the court and enforcement creditor, in writing, that the person is no longer the enforcement debtor’s employer.</w:t>
      </w:r>
    </w:p>
    <w:p w14:paraId="1738F384" w14:textId="31240047" w:rsidR="008112BD" w:rsidRDefault="008112BD" w:rsidP="008112BD">
      <w:pPr>
        <w:pStyle w:val="aNote"/>
      </w:pPr>
      <w:r w:rsidRPr="00FE0788">
        <w:rPr>
          <w:rStyle w:val="charItals"/>
        </w:rPr>
        <w:t>Note</w:t>
      </w:r>
      <w:r>
        <w:tab/>
        <w:t xml:space="preserve">See approved form 2.67 (Notice of cessation of employment) </w:t>
      </w:r>
      <w:hyperlink r:id="rId207" w:history="1">
        <w:r w:rsidRPr="008A4269">
          <w:rPr>
            <w:rStyle w:val="charCitHyperlinkAbbrev"/>
          </w:rPr>
          <w:t>AF2006</w:t>
        </w:r>
        <w:r w:rsidRPr="008A4269">
          <w:rPr>
            <w:rStyle w:val="charCitHyperlinkAbbrev"/>
          </w:rPr>
          <w:noBreakHyphen/>
          <w:t>312</w:t>
        </w:r>
      </w:hyperlink>
      <w:r>
        <w:t>.</w:t>
      </w:r>
    </w:p>
    <w:p w14:paraId="7EE2E019" w14:textId="77777777" w:rsidR="008112BD" w:rsidRDefault="008112BD" w:rsidP="008112BD">
      <w:pPr>
        <w:pStyle w:val="AH5Sec"/>
      </w:pPr>
      <w:bookmarkStart w:id="772" w:name="_Toc185514388"/>
      <w:r w:rsidRPr="00C8328B">
        <w:rPr>
          <w:rStyle w:val="CharSectNo"/>
        </w:rPr>
        <w:t>2366</w:t>
      </w:r>
      <w:r>
        <w:tab/>
        <w:t>Earnings redirection order—enforcement debtor changes or ceases employment</w:t>
      </w:r>
      <w:bookmarkEnd w:id="772"/>
    </w:p>
    <w:p w14:paraId="60BC146B" w14:textId="77777777" w:rsidR="008112BD" w:rsidRDefault="008112BD" w:rsidP="008112BD">
      <w:pPr>
        <w:pStyle w:val="Amain"/>
      </w:pPr>
      <w:r>
        <w:tab/>
        <w:t>(1)</w:t>
      </w:r>
      <w:r>
        <w:tab/>
        <w:t>This rule applies if an enforcement debtor for whom an earnings redirection order is in force changes employer or ceases to be employed.</w:t>
      </w:r>
    </w:p>
    <w:p w14:paraId="2A683818" w14:textId="77777777"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14:paraId="7B3CC7C8" w14:textId="1557C5DE" w:rsidR="008112BD" w:rsidRDefault="008112BD" w:rsidP="008112BD">
      <w:pPr>
        <w:pStyle w:val="aNote"/>
      </w:pPr>
      <w:r w:rsidRPr="00FE0788">
        <w:rPr>
          <w:rStyle w:val="charItals"/>
        </w:rPr>
        <w:t>Note</w:t>
      </w:r>
      <w:r>
        <w:tab/>
        <w:t xml:space="preserve">See approved form 2.68 (Notice by enforcement debtor of change in employment) </w:t>
      </w:r>
      <w:hyperlink r:id="rId208" w:history="1">
        <w:r w:rsidRPr="008A4269">
          <w:rPr>
            <w:rStyle w:val="charCitHyperlinkAbbrev"/>
          </w:rPr>
          <w:t>AF2006-313</w:t>
        </w:r>
      </w:hyperlink>
      <w:r w:rsidRPr="008A4269">
        <w:rPr>
          <w:rStyle w:val="charCitHyperlinkAbbrev"/>
        </w:rPr>
        <w:t>.</w:t>
      </w:r>
    </w:p>
    <w:p w14:paraId="65C94667" w14:textId="77777777" w:rsidR="008112BD" w:rsidRDefault="008112BD" w:rsidP="008112BD">
      <w:pPr>
        <w:pStyle w:val="Amain"/>
        <w:keepNext/>
      </w:pPr>
      <w:r>
        <w:tab/>
        <w:t>(3)</w:t>
      </w:r>
      <w:r>
        <w:tab/>
        <w:t>If the registrar is told under subrule (2) that the enforcement debtor has changed employer, the court may, on its own initiative—</w:t>
      </w:r>
    </w:p>
    <w:p w14:paraId="759EDC45" w14:textId="77777777" w:rsidR="008112BD" w:rsidRDefault="008112BD" w:rsidP="008112BD">
      <w:pPr>
        <w:pStyle w:val="Apara"/>
        <w:keepNext/>
      </w:pPr>
      <w:r>
        <w:tab/>
        <w:t>(a)</w:t>
      </w:r>
      <w:r>
        <w:tab/>
        <w:t>set aside the existing earnings redirection order; and</w:t>
      </w:r>
    </w:p>
    <w:p w14:paraId="6A7530C2" w14:textId="77777777" w:rsidR="008112BD" w:rsidRDefault="008112BD" w:rsidP="008112BD">
      <w:pPr>
        <w:pStyle w:val="Apara"/>
      </w:pPr>
      <w:r>
        <w:tab/>
        <w:t>(b)</w:t>
      </w:r>
      <w:r>
        <w:tab/>
        <w:t>make a new earnings redirection order authorising redirection to the enforcement creditor of earnings of the enforcement debtor from the new employer.</w:t>
      </w:r>
    </w:p>
    <w:p w14:paraId="2CDC7FAF" w14:textId="77777777" w:rsidR="008112BD" w:rsidRDefault="008112BD" w:rsidP="008112BD">
      <w:pPr>
        <w:pStyle w:val="AH5Sec"/>
      </w:pPr>
      <w:bookmarkStart w:id="773" w:name="_Toc185514389"/>
      <w:r w:rsidRPr="00C8328B">
        <w:rPr>
          <w:rStyle w:val="CharSectNo"/>
        </w:rPr>
        <w:t>2367</w:t>
      </w:r>
      <w:r>
        <w:tab/>
        <w:t>Earnings redirection order—directions</w:t>
      </w:r>
      <w:bookmarkEnd w:id="773"/>
    </w:p>
    <w:p w14:paraId="221B240F" w14:textId="77777777" w:rsidR="008112BD" w:rsidRDefault="008112BD" w:rsidP="008112BD">
      <w:pPr>
        <w:pStyle w:val="Amain"/>
        <w:keepNext/>
      </w:pPr>
      <w:r>
        <w:tab/>
        <w:t>(1)</w:t>
      </w:r>
      <w:r>
        <w:tab/>
        <w:t>An employer on whom an earnings redirection order is served may apply to the court for directions.</w:t>
      </w:r>
    </w:p>
    <w:p w14:paraId="064311DE"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61130E3" w14:textId="77777777" w:rsidR="008112BD" w:rsidRDefault="008112BD" w:rsidP="008112BD">
      <w:pPr>
        <w:pStyle w:val="Amain"/>
      </w:pPr>
      <w:r>
        <w:tab/>
        <w:t>(2)</w:t>
      </w:r>
      <w:r>
        <w:tab/>
        <w:t>The employer must serve a stamped copy of the application on the enforcement creditor and enforcement debtor.</w:t>
      </w:r>
    </w:p>
    <w:p w14:paraId="6C8D59FE" w14:textId="77777777" w:rsidR="008112BD" w:rsidRDefault="008112BD" w:rsidP="008112BD">
      <w:pPr>
        <w:pStyle w:val="Amain"/>
      </w:pPr>
      <w:r>
        <w:lastRenderedPageBreak/>
        <w:tab/>
        <w:t>(3)</w:t>
      </w:r>
      <w:r>
        <w:tab/>
        <w:t>The enforcement creditor and enforcement debtor are parties to the application.</w:t>
      </w:r>
    </w:p>
    <w:p w14:paraId="05C243D6" w14:textId="77777777" w:rsidR="008112BD" w:rsidRDefault="008112BD" w:rsidP="008112BD">
      <w:pPr>
        <w:pStyle w:val="Amain"/>
      </w:pPr>
      <w:r>
        <w:tab/>
        <w:t>(4)</w:t>
      </w:r>
      <w:r>
        <w:tab/>
        <w:t>On application under this rule, the court may give the directions it considers appropriate.</w:t>
      </w:r>
    </w:p>
    <w:p w14:paraId="08B12537" w14:textId="77777777" w:rsidR="008112BD" w:rsidRDefault="008112BD" w:rsidP="008112BD">
      <w:pPr>
        <w:pStyle w:val="Amain"/>
      </w:pPr>
      <w:r>
        <w:tab/>
        <w:t>(5)</w:t>
      </w:r>
      <w:r>
        <w:tab/>
        <w:t>Without limiting subrule (4), the court may decide whether payments being made by the employer to the enforcement debtor that are described in the application are earnings.</w:t>
      </w:r>
    </w:p>
    <w:p w14:paraId="0EED5280" w14:textId="77777777"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14:paraId="4182AFB9" w14:textId="77777777" w:rsidR="008112BD" w:rsidRDefault="008112BD" w:rsidP="008112BD">
      <w:pPr>
        <w:pStyle w:val="AH5Sec"/>
      </w:pPr>
      <w:bookmarkStart w:id="774" w:name="_Toc185514390"/>
      <w:r w:rsidRPr="00C8328B">
        <w:rPr>
          <w:rStyle w:val="CharSectNo"/>
        </w:rPr>
        <w:t>2368</w:t>
      </w:r>
      <w:r>
        <w:tab/>
        <w:t>Earnings redirection order—employment protection</w:t>
      </w:r>
      <w:bookmarkEnd w:id="774"/>
    </w:p>
    <w:p w14:paraId="4D9C2106" w14:textId="77777777"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14:paraId="79ABD4B1" w14:textId="77777777" w:rsidR="008112BD" w:rsidRDefault="008112BD" w:rsidP="008112BD">
      <w:pPr>
        <w:pStyle w:val="AH5Sec"/>
      </w:pPr>
      <w:bookmarkStart w:id="775" w:name="_Toc185514391"/>
      <w:r w:rsidRPr="00C8328B">
        <w:rPr>
          <w:rStyle w:val="CharSectNo"/>
        </w:rPr>
        <w:t>2369</w:t>
      </w:r>
      <w:r>
        <w:tab/>
        <w:t>Earnings redirection order—procedure if order not complied with</w:t>
      </w:r>
      <w:bookmarkEnd w:id="775"/>
    </w:p>
    <w:p w14:paraId="500B919F" w14:textId="77777777"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14:paraId="66DE5C6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7B8B9483" w14:textId="77777777" w:rsidR="008112BD" w:rsidRDefault="008112BD" w:rsidP="00F13D87">
      <w:pPr>
        <w:pStyle w:val="Amain"/>
        <w:keepNext/>
      </w:pPr>
      <w:r>
        <w:lastRenderedPageBreak/>
        <w:tab/>
        <w:t>(2)</w:t>
      </w:r>
      <w:r>
        <w:tab/>
        <w:t>If the court is satisfied that the employer is liable to pay the earnings, the court may make an order against the employer in favour of the enforcement creditor for the lesser of—</w:t>
      </w:r>
    </w:p>
    <w:p w14:paraId="34CD4F2A" w14:textId="77777777" w:rsidR="008112BD" w:rsidRDefault="008112BD" w:rsidP="008112BD">
      <w:pPr>
        <w:pStyle w:val="Apara"/>
      </w:pPr>
      <w:r>
        <w:tab/>
        <w:t>(a)</w:t>
      </w:r>
      <w:r>
        <w:tab/>
        <w:t>the amount of earnings that has not been paid to the enforcement creditor as required by the earnings redirection order; and</w:t>
      </w:r>
    </w:p>
    <w:p w14:paraId="4362D58D" w14:textId="77777777" w:rsidR="008112BD" w:rsidRDefault="008112BD" w:rsidP="008112BD">
      <w:pPr>
        <w:pStyle w:val="Apara"/>
      </w:pPr>
      <w:r>
        <w:tab/>
        <w:t>(b)</w:t>
      </w:r>
      <w:r>
        <w:tab/>
        <w:t>the unpaid amount of the order debt.</w:t>
      </w:r>
    </w:p>
    <w:p w14:paraId="41A74D27" w14:textId="77777777"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w:t>
      </w:r>
    </w:p>
    <w:p w14:paraId="4A479D38" w14:textId="77777777"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14:paraId="38675532" w14:textId="77777777" w:rsidR="008112BD" w:rsidRPr="00C8328B" w:rsidRDefault="008112BD" w:rsidP="008112BD">
      <w:pPr>
        <w:pStyle w:val="AH3Div"/>
      </w:pPr>
      <w:bookmarkStart w:id="776" w:name="_Toc185514392"/>
      <w:r w:rsidRPr="00C8328B">
        <w:rPr>
          <w:rStyle w:val="CharDivNo"/>
        </w:rPr>
        <w:t>Division 2.18.9</w:t>
      </w:r>
      <w:r>
        <w:tab/>
      </w:r>
      <w:r w:rsidRPr="00C8328B">
        <w:rPr>
          <w:rStyle w:val="CharDivText"/>
        </w:rPr>
        <w:t>Enforcement of money orders—charging orders</w:t>
      </w:r>
      <w:bookmarkEnd w:id="776"/>
    </w:p>
    <w:p w14:paraId="6F3C2F8F" w14:textId="77777777" w:rsidR="008112BD" w:rsidRDefault="008112BD" w:rsidP="008112BD">
      <w:pPr>
        <w:pStyle w:val="AH5Sec"/>
      </w:pPr>
      <w:bookmarkStart w:id="777" w:name="_Toc185514393"/>
      <w:r w:rsidRPr="00C8328B">
        <w:rPr>
          <w:rStyle w:val="CharSectNo"/>
        </w:rPr>
        <w:t>2400</w:t>
      </w:r>
      <w:r>
        <w:tab/>
        <w:t>Application—div 2.18.9</w:t>
      </w:r>
      <w:bookmarkEnd w:id="777"/>
    </w:p>
    <w:p w14:paraId="72F97D54" w14:textId="77777777" w:rsidR="008112BD" w:rsidRDefault="008112BD" w:rsidP="008112BD">
      <w:pPr>
        <w:pStyle w:val="Amainreturn"/>
      </w:pPr>
      <w:r>
        <w:t>This division applies only in relation to the Supreme Court.</w:t>
      </w:r>
    </w:p>
    <w:p w14:paraId="6849ED6F" w14:textId="77777777" w:rsidR="008112BD" w:rsidRDefault="008112BD" w:rsidP="008112BD">
      <w:pPr>
        <w:pStyle w:val="AH5Sec"/>
      </w:pPr>
      <w:bookmarkStart w:id="778" w:name="_Toc185514394"/>
      <w:r w:rsidRPr="00C8328B">
        <w:rPr>
          <w:rStyle w:val="CharSectNo"/>
        </w:rPr>
        <w:t>2401</w:t>
      </w:r>
      <w:r>
        <w:tab/>
        <w:t>Charging order—making</w:t>
      </w:r>
      <w:bookmarkEnd w:id="778"/>
    </w:p>
    <w:p w14:paraId="7726A725" w14:textId="77777777"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14:paraId="20E71EE5" w14:textId="77777777" w:rsidR="008112BD" w:rsidRDefault="008112BD" w:rsidP="008112BD">
      <w:pPr>
        <w:pStyle w:val="Apara"/>
      </w:pPr>
      <w:r>
        <w:tab/>
        <w:t>(a)</w:t>
      </w:r>
      <w:r>
        <w:tab/>
        <w:t>annuities;</w:t>
      </w:r>
    </w:p>
    <w:p w14:paraId="5D98F2C2" w14:textId="77777777" w:rsidR="008112BD" w:rsidRDefault="008112BD" w:rsidP="008112BD">
      <w:pPr>
        <w:pStyle w:val="Apara"/>
      </w:pPr>
      <w:r>
        <w:tab/>
        <w:t>(b)</w:t>
      </w:r>
      <w:r>
        <w:tab/>
        <w:t>debentures;</w:t>
      </w:r>
    </w:p>
    <w:p w14:paraId="4FA5E5D3" w14:textId="77777777" w:rsidR="008112BD" w:rsidRDefault="008112BD" w:rsidP="008112BD">
      <w:pPr>
        <w:pStyle w:val="Apara"/>
      </w:pPr>
      <w:r>
        <w:tab/>
        <w:t>(c)</w:t>
      </w:r>
      <w:r>
        <w:tab/>
        <w:t>stocks;</w:t>
      </w:r>
    </w:p>
    <w:p w14:paraId="2A6EB854" w14:textId="77777777" w:rsidR="008112BD" w:rsidRDefault="008112BD" w:rsidP="008112BD">
      <w:pPr>
        <w:pStyle w:val="Apara"/>
      </w:pPr>
      <w:r>
        <w:tab/>
        <w:t>(d)</w:t>
      </w:r>
      <w:r>
        <w:tab/>
        <w:t>bonds;</w:t>
      </w:r>
    </w:p>
    <w:p w14:paraId="74A23ED6" w14:textId="77777777" w:rsidR="008112BD" w:rsidRDefault="008112BD" w:rsidP="008112BD">
      <w:pPr>
        <w:pStyle w:val="Apara"/>
      </w:pPr>
      <w:r>
        <w:lastRenderedPageBreak/>
        <w:tab/>
        <w:t>(e)</w:t>
      </w:r>
      <w:r>
        <w:tab/>
        <w:t>shares;</w:t>
      </w:r>
    </w:p>
    <w:p w14:paraId="0F518D28" w14:textId="77777777" w:rsidR="008112BD" w:rsidRDefault="008112BD" w:rsidP="008112BD">
      <w:pPr>
        <w:pStyle w:val="Apara"/>
      </w:pPr>
      <w:r>
        <w:tab/>
        <w:t>(f)</w:t>
      </w:r>
      <w:r>
        <w:tab/>
        <w:t>marketable securities;</w:t>
      </w:r>
    </w:p>
    <w:p w14:paraId="46A10349" w14:textId="77777777" w:rsidR="008112BD" w:rsidRDefault="008112BD" w:rsidP="008112BD">
      <w:pPr>
        <w:pStyle w:val="Apara"/>
      </w:pPr>
      <w:r>
        <w:tab/>
        <w:t>(g)</w:t>
      </w:r>
      <w:r>
        <w:tab/>
        <w:t>interests in a managed investment scheme;</w:t>
      </w:r>
    </w:p>
    <w:p w14:paraId="2A07D380" w14:textId="77777777" w:rsidR="008112BD" w:rsidRDefault="008112BD" w:rsidP="008112BD">
      <w:pPr>
        <w:pStyle w:val="Apara"/>
        <w:keepNext/>
      </w:pPr>
      <w:r>
        <w:tab/>
        <w:t>(h)</w:t>
      </w:r>
      <w:r>
        <w:tab/>
        <w:t>units of—</w:t>
      </w:r>
    </w:p>
    <w:p w14:paraId="09499006" w14:textId="77777777" w:rsidR="008112BD" w:rsidRDefault="008112BD" w:rsidP="008112BD">
      <w:pPr>
        <w:pStyle w:val="Asubpara"/>
      </w:pPr>
      <w:r>
        <w:tab/>
        <w:t>(i)</w:t>
      </w:r>
      <w:r>
        <w:tab/>
        <w:t>shares; or</w:t>
      </w:r>
    </w:p>
    <w:p w14:paraId="6626E455" w14:textId="77777777" w:rsidR="008112BD" w:rsidRDefault="008112BD" w:rsidP="008112BD">
      <w:pPr>
        <w:pStyle w:val="Asubpara"/>
      </w:pPr>
      <w:r>
        <w:tab/>
        <w:t>(ii)</w:t>
      </w:r>
      <w:r>
        <w:tab/>
        <w:t>marketable securities;</w:t>
      </w:r>
    </w:p>
    <w:p w14:paraId="7D128CE2" w14:textId="77777777" w:rsidR="008112BD" w:rsidRDefault="008112BD" w:rsidP="008112BD">
      <w:pPr>
        <w:pStyle w:val="Apara"/>
        <w:keepNext/>
      </w:pPr>
      <w:r>
        <w:tab/>
        <w:t>(i)</w:t>
      </w:r>
      <w:r>
        <w:tab/>
        <w:t>money on deposit in a financial institution that is held—</w:t>
      </w:r>
    </w:p>
    <w:p w14:paraId="4BB3AB8B" w14:textId="77777777" w:rsidR="008112BD" w:rsidRDefault="008112BD" w:rsidP="008112BD">
      <w:pPr>
        <w:pStyle w:val="Asubpara"/>
      </w:pPr>
      <w:r>
        <w:tab/>
        <w:t>(i)</w:t>
      </w:r>
      <w:r>
        <w:tab/>
        <w:t>in the enforcement debtor’s name in the enforcement debtor’s own right; or</w:t>
      </w:r>
    </w:p>
    <w:p w14:paraId="46C8CDA2" w14:textId="77777777" w:rsidR="008112BD" w:rsidRDefault="008112BD" w:rsidP="008112BD">
      <w:pPr>
        <w:pStyle w:val="Asubpara"/>
      </w:pPr>
      <w:r>
        <w:tab/>
        <w:t>(ii)</w:t>
      </w:r>
      <w:r>
        <w:tab/>
        <w:t>in someone else’s name on trust for the enforcement debtor.</w:t>
      </w:r>
    </w:p>
    <w:p w14:paraId="2085AD66" w14:textId="77777777" w:rsidR="008112BD" w:rsidRDefault="008112BD" w:rsidP="008112BD">
      <w:pPr>
        <w:pStyle w:val="Amain"/>
      </w:pPr>
      <w:r>
        <w:tab/>
        <w:t>(2)</w:t>
      </w:r>
      <w:r>
        <w:tab/>
        <w:t>A charging order operates, in relation to each security interest stated in the order—</w:t>
      </w:r>
    </w:p>
    <w:p w14:paraId="4359EAF6" w14:textId="77777777" w:rsidR="008112BD" w:rsidRDefault="008112BD" w:rsidP="008112BD">
      <w:pPr>
        <w:pStyle w:val="Apara"/>
      </w:pPr>
      <w:r>
        <w:tab/>
        <w:t>(a)</w:t>
      </w:r>
      <w:r>
        <w:tab/>
        <w:t>to charge the security interest in favour of the enforcement creditor to the extent necessary to satisfy the order debt; and</w:t>
      </w:r>
    </w:p>
    <w:p w14:paraId="6B97AF17" w14:textId="77777777" w:rsidR="008112BD" w:rsidRDefault="008112BD" w:rsidP="008112BD">
      <w:pPr>
        <w:pStyle w:val="Apara"/>
      </w:pPr>
      <w:r>
        <w:tab/>
        <w:t>(b)</w:t>
      </w:r>
      <w:r>
        <w:tab/>
        <w:t>to restrain the chargee from dealing with the security interest otherwise than in accordance with the directions of the enforcement creditor.</w:t>
      </w:r>
    </w:p>
    <w:p w14:paraId="3524E963" w14:textId="77777777" w:rsidR="008112BD" w:rsidRDefault="008112BD" w:rsidP="008112BD">
      <w:pPr>
        <w:pStyle w:val="AH5Sec"/>
      </w:pPr>
      <w:bookmarkStart w:id="779" w:name="_Toc185514395"/>
      <w:r w:rsidRPr="00C8328B">
        <w:rPr>
          <w:rStyle w:val="CharSectNo"/>
        </w:rPr>
        <w:t>2402</w:t>
      </w:r>
      <w:r>
        <w:tab/>
        <w:t>Charging order—application</w:t>
      </w:r>
      <w:bookmarkEnd w:id="779"/>
    </w:p>
    <w:p w14:paraId="641A4152" w14:textId="77777777" w:rsidR="008112BD" w:rsidRDefault="008112BD" w:rsidP="008112BD">
      <w:pPr>
        <w:pStyle w:val="Amain"/>
      </w:pPr>
      <w:r>
        <w:tab/>
        <w:t>(1)</w:t>
      </w:r>
      <w:r>
        <w:tab/>
        <w:t>An application for a charging order is made by filing in the court—</w:t>
      </w:r>
    </w:p>
    <w:p w14:paraId="5E48D622" w14:textId="77777777" w:rsidR="008112BD" w:rsidRDefault="008112BD" w:rsidP="008112BD">
      <w:pPr>
        <w:pStyle w:val="Apara"/>
      </w:pPr>
      <w:r>
        <w:tab/>
        <w:t>(a)</w:t>
      </w:r>
      <w:r>
        <w:tab/>
        <w:t>a draft of the order sought; and</w:t>
      </w:r>
    </w:p>
    <w:p w14:paraId="2B4BAD0C" w14:textId="77777777" w:rsidR="008112BD" w:rsidRDefault="008112BD" w:rsidP="008112BD">
      <w:pPr>
        <w:pStyle w:val="Apara"/>
        <w:keepNext/>
      </w:pPr>
      <w:r>
        <w:tab/>
        <w:t>(b)</w:t>
      </w:r>
      <w:r>
        <w:tab/>
        <w:t>an affidavit in support of the application.</w:t>
      </w:r>
    </w:p>
    <w:p w14:paraId="113A5EE8" w14:textId="57EF36C9" w:rsidR="008112BD" w:rsidRDefault="008112BD" w:rsidP="008112BD">
      <w:pPr>
        <w:pStyle w:val="aNote"/>
      </w:pPr>
      <w:r w:rsidRPr="00FE0788">
        <w:rPr>
          <w:rStyle w:val="charItals"/>
        </w:rPr>
        <w:t>Note</w:t>
      </w:r>
      <w:r>
        <w:tab/>
        <w:t xml:space="preserve">See approved form 2.69 (Charging order) </w:t>
      </w:r>
      <w:hyperlink r:id="rId209" w:history="1">
        <w:r w:rsidRPr="008A4269">
          <w:rPr>
            <w:rStyle w:val="charCitHyperlinkAbbrev"/>
          </w:rPr>
          <w:t>AF2006-314</w:t>
        </w:r>
      </w:hyperlink>
      <w:r>
        <w:t>.</w:t>
      </w:r>
    </w:p>
    <w:p w14:paraId="0757B0F1" w14:textId="77777777" w:rsidR="008112BD" w:rsidRDefault="008112BD" w:rsidP="008112BD">
      <w:pPr>
        <w:pStyle w:val="Amain"/>
      </w:pPr>
      <w:r>
        <w:tab/>
        <w:t>(2)</w:t>
      </w:r>
      <w:r>
        <w:tab/>
        <w:t>The affidavit in support must state—</w:t>
      </w:r>
    </w:p>
    <w:p w14:paraId="4A2BCC0A" w14:textId="77777777" w:rsidR="008112BD" w:rsidRDefault="008112BD" w:rsidP="008112BD">
      <w:pPr>
        <w:pStyle w:val="Apara"/>
      </w:pPr>
      <w:r>
        <w:tab/>
        <w:t>(a)</w:t>
      </w:r>
      <w:r>
        <w:tab/>
        <w:t>the date the money order was made; and</w:t>
      </w:r>
    </w:p>
    <w:p w14:paraId="0D3F8835" w14:textId="77777777" w:rsidR="008112BD" w:rsidRDefault="008112BD" w:rsidP="008112BD">
      <w:pPr>
        <w:pStyle w:val="Apara"/>
      </w:pPr>
      <w:r>
        <w:lastRenderedPageBreak/>
        <w:tab/>
        <w:t>(b)</w:t>
      </w:r>
      <w:r>
        <w:tab/>
        <w:t>the date a sealed copy of the money order, and the notice in accordance with rule 2015 (2), was served on the enforcement debtor; and</w:t>
      </w:r>
    </w:p>
    <w:p w14:paraId="5959144C" w14:textId="77777777" w:rsidR="008112BD" w:rsidRDefault="008112BD" w:rsidP="008112BD">
      <w:pPr>
        <w:pStyle w:val="Apara"/>
      </w:pPr>
      <w:r>
        <w:tab/>
        <w:t>(c)</w:t>
      </w:r>
      <w:r>
        <w:tab/>
        <w:t>the amount of the order debt; and</w:t>
      </w:r>
    </w:p>
    <w:p w14:paraId="496C868B" w14:textId="77777777" w:rsidR="008112BD" w:rsidRDefault="008112BD" w:rsidP="008112BD">
      <w:pPr>
        <w:pStyle w:val="Apara"/>
      </w:pPr>
      <w:r>
        <w:tab/>
        <w:t>(d)</w:t>
      </w:r>
      <w:r>
        <w:tab/>
        <w:t>that the order debt has not been fully paid; and</w:t>
      </w:r>
    </w:p>
    <w:p w14:paraId="637261A7" w14:textId="77777777" w:rsidR="008112BD" w:rsidRDefault="008112BD" w:rsidP="008112BD">
      <w:pPr>
        <w:pStyle w:val="Apara"/>
      </w:pPr>
      <w:r>
        <w:tab/>
        <w:t>(e)</w:t>
      </w:r>
      <w:r>
        <w:tab/>
        <w:t>the date and amount of each payment (if any) made under the order; and</w:t>
      </w:r>
    </w:p>
    <w:p w14:paraId="361937BC" w14:textId="77777777" w:rsidR="008112BD" w:rsidRDefault="008112BD" w:rsidP="008112BD">
      <w:pPr>
        <w:pStyle w:val="Apara"/>
      </w:pPr>
      <w:r>
        <w:tab/>
        <w:t>(f)</w:t>
      </w:r>
      <w:r>
        <w:tab/>
        <w:t>the costs incurred in previous enforcement proceedings in relation to the order; and</w:t>
      </w:r>
    </w:p>
    <w:p w14:paraId="007BE8A3"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C9877AE"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7034061B" w14:textId="77777777" w:rsidR="008112BD" w:rsidRDefault="008112BD" w:rsidP="008112BD">
      <w:pPr>
        <w:pStyle w:val="Apara"/>
      </w:pPr>
      <w:r>
        <w:tab/>
        <w:t>(i)</w:t>
      </w:r>
      <w:r>
        <w:tab/>
        <w:t>the daily amount of any interest that, subject to any future payment under the order, will accrue after the affidavit date; and</w:t>
      </w:r>
    </w:p>
    <w:p w14:paraId="16DB327C" w14:textId="77777777" w:rsidR="008112BD" w:rsidRDefault="008112BD" w:rsidP="008112BD">
      <w:pPr>
        <w:pStyle w:val="Apara"/>
      </w:pPr>
      <w:r>
        <w:tab/>
        <w:t>(j)</w:t>
      </w:r>
      <w:r>
        <w:tab/>
        <w:t>the security interest or interests to be charged by the order being sought; and</w:t>
      </w:r>
    </w:p>
    <w:p w14:paraId="722C73DE" w14:textId="77777777" w:rsidR="008112BD" w:rsidRDefault="008112BD" w:rsidP="008112BD">
      <w:pPr>
        <w:pStyle w:val="Apara"/>
      </w:pPr>
      <w:r>
        <w:tab/>
        <w:t>(k)</w:t>
      </w:r>
      <w:r>
        <w:tab/>
        <w:t>any other information necessary for the order being sought.</w:t>
      </w:r>
    </w:p>
    <w:p w14:paraId="2E660E06" w14:textId="77777777" w:rsidR="008112BD" w:rsidRDefault="008112BD" w:rsidP="008112BD">
      <w:pPr>
        <w:pStyle w:val="Amain"/>
      </w:pPr>
      <w:r>
        <w:tab/>
        <w:t>(3)</w:t>
      </w:r>
      <w:r>
        <w:tab/>
        <w:t>The affidavit must be sworn not earlier than 2 days before the day the application is filed in the court.</w:t>
      </w:r>
    </w:p>
    <w:p w14:paraId="1C34D81F" w14:textId="77777777" w:rsidR="008112BD" w:rsidRDefault="008112BD" w:rsidP="008112BD">
      <w:pPr>
        <w:pStyle w:val="Amain"/>
      </w:pPr>
      <w:r>
        <w:tab/>
        <w:t>(4)</w:t>
      </w:r>
      <w:r>
        <w:tab/>
        <w:t>Part 6.2 (Applications in proceedings) does not apply to the application.</w:t>
      </w:r>
    </w:p>
    <w:p w14:paraId="3253CBDE" w14:textId="77777777" w:rsidR="008112BD" w:rsidRDefault="008112BD" w:rsidP="008112BD">
      <w:pPr>
        <w:pStyle w:val="Amain"/>
      </w:pPr>
      <w:r>
        <w:tab/>
        <w:t>(5)</w:t>
      </w:r>
      <w:r>
        <w:tab/>
        <w:t>The draft order and affidavit need not be served on anyone unless the court otherwise orders on its own initiative.</w:t>
      </w:r>
    </w:p>
    <w:p w14:paraId="53C0DCBD" w14:textId="77777777"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14:paraId="28E11761" w14:textId="77777777" w:rsidR="008112BD" w:rsidRDefault="008112BD" w:rsidP="008112BD">
      <w:pPr>
        <w:pStyle w:val="AH5Sec"/>
      </w:pPr>
      <w:bookmarkStart w:id="780" w:name="_Toc185514396"/>
      <w:r w:rsidRPr="00C8328B">
        <w:rPr>
          <w:rStyle w:val="CharSectNo"/>
        </w:rPr>
        <w:lastRenderedPageBreak/>
        <w:t>2403</w:t>
      </w:r>
      <w:r>
        <w:tab/>
        <w:t>Charging order—effect</w:t>
      </w:r>
      <w:bookmarkEnd w:id="780"/>
    </w:p>
    <w:p w14:paraId="5E4A9A1C" w14:textId="77777777" w:rsidR="008112BD" w:rsidRDefault="008112BD" w:rsidP="008112BD">
      <w:pPr>
        <w:pStyle w:val="Amain"/>
        <w:keepNext/>
      </w:pPr>
      <w:r>
        <w:tab/>
        <w:t>(1)</w:t>
      </w:r>
      <w:r>
        <w:tab/>
        <w:t>A charging order takes effect when it is made.</w:t>
      </w:r>
    </w:p>
    <w:p w14:paraId="6F071503" w14:textId="77777777" w:rsidR="008112BD" w:rsidRDefault="008112BD" w:rsidP="008112BD">
      <w:pPr>
        <w:pStyle w:val="Amain"/>
      </w:pPr>
      <w:r>
        <w:tab/>
        <w:t>(2)</w:t>
      </w:r>
      <w:r>
        <w:tab/>
        <w:t>However, to have effect on the enforcement debtor, a charging order must be served on the enforcement debtor.</w:t>
      </w:r>
    </w:p>
    <w:p w14:paraId="7DBE030E" w14:textId="77777777" w:rsidR="008112BD" w:rsidRDefault="008112BD" w:rsidP="008112BD">
      <w:pPr>
        <w:pStyle w:val="Amain"/>
      </w:pPr>
      <w:r>
        <w:tab/>
        <w:t>(3)</w:t>
      </w:r>
      <w:r>
        <w:tab/>
        <w:t>A charging order entitles the enforcement creditor to the same remedies as the enforcement creditor would have had if the charge imposed by the order had been made in the enforcement creditor’s favour by the enforcement debtor.</w:t>
      </w:r>
    </w:p>
    <w:p w14:paraId="7D8830BC" w14:textId="77777777"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14:paraId="6CC297DA" w14:textId="77777777" w:rsidR="008112BD" w:rsidRDefault="008112BD" w:rsidP="008112BD">
      <w:pPr>
        <w:pStyle w:val="Apara"/>
      </w:pPr>
      <w:r>
        <w:tab/>
        <w:t>(a)</w:t>
      </w:r>
      <w:r>
        <w:tab/>
        <w:t>a sealed copy of the charging order is served on the enforcement debtor and the person who issued or administers the property; and</w:t>
      </w:r>
    </w:p>
    <w:p w14:paraId="00487445" w14:textId="77777777" w:rsidR="008112BD" w:rsidRDefault="008112BD" w:rsidP="008112BD">
      <w:pPr>
        <w:pStyle w:val="Apara"/>
        <w:keepNext/>
      </w:pPr>
      <w:r>
        <w:tab/>
        <w:t>(b)</w:t>
      </w:r>
      <w:r>
        <w:tab/>
        <w:t>1 month has passed since the day the order was served, or the later of the days the order was served, as required by paragraph (a).</w:t>
      </w:r>
    </w:p>
    <w:p w14:paraId="76A1281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C274B" w14:textId="77777777" w:rsidR="008112BD" w:rsidRDefault="008112BD" w:rsidP="008112BD">
      <w:pPr>
        <w:pStyle w:val="AH5Sec"/>
      </w:pPr>
      <w:bookmarkStart w:id="781" w:name="_Toc185514397"/>
      <w:r w:rsidRPr="00C8328B">
        <w:rPr>
          <w:rStyle w:val="CharSectNo"/>
        </w:rPr>
        <w:t>2404</w:t>
      </w:r>
      <w:r>
        <w:tab/>
        <w:t>Charging order—enforcement debtor dealing with charged property</w:t>
      </w:r>
      <w:bookmarkEnd w:id="781"/>
    </w:p>
    <w:p w14:paraId="5ECC32CC" w14:textId="77777777"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14:paraId="5AC5B20C" w14:textId="77777777" w:rsidR="008112BD" w:rsidRDefault="008112BD" w:rsidP="008112BD">
      <w:pPr>
        <w:pStyle w:val="Amain"/>
      </w:pPr>
      <w:r>
        <w:tab/>
        <w:t>(2)</w:t>
      </w:r>
      <w:r>
        <w:tab/>
        <w:t>Any sale, transfer or other dealing by the enforcement debtor in contravention of subrule (1) is of no effect against the enforcement creditor.</w:t>
      </w:r>
    </w:p>
    <w:p w14:paraId="6D4C4C73" w14:textId="77777777" w:rsidR="008112BD" w:rsidRDefault="008112BD" w:rsidP="008112BD">
      <w:pPr>
        <w:pStyle w:val="Amain"/>
      </w:pPr>
      <w:r>
        <w:lastRenderedPageBreak/>
        <w:tab/>
        <w:t>(3)</w:t>
      </w:r>
      <w:r>
        <w:tab/>
        <w:t>The court may set aside or restrain the sale, transfer or other dealing unless to do so would prejudice the rights or interests of a genuine purchaser or chargee without notice.</w:t>
      </w:r>
    </w:p>
    <w:p w14:paraId="231DCCAB" w14:textId="77777777" w:rsidR="008112BD" w:rsidRDefault="008112BD" w:rsidP="008112BD">
      <w:pPr>
        <w:pStyle w:val="AH5Sec"/>
      </w:pPr>
      <w:bookmarkStart w:id="782" w:name="_Toc185514398"/>
      <w:r w:rsidRPr="00C8328B">
        <w:rPr>
          <w:rStyle w:val="CharSectNo"/>
        </w:rPr>
        <w:t>2405</w:t>
      </w:r>
      <w:r>
        <w:tab/>
        <w:t>Charging order—issuer etc dealing with charged property</w:t>
      </w:r>
      <w:bookmarkEnd w:id="782"/>
    </w:p>
    <w:p w14:paraId="49417D62" w14:textId="77777777" w:rsidR="008112BD" w:rsidRDefault="008112BD" w:rsidP="00D30C72">
      <w:pPr>
        <w:pStyle w:val="Amain"/>
        <w:keepNext/>
      </w:pPr>
      <w:r>
        <w:tab/>
        <w:t>(1)</w:t>
      </w:r>
      <w:r>
        <w:tab/>
        <w:t>This rule applies to—</w:t>
      </w:r>
    </w:p>
    <w:p w14:paraId="7073FA75" w14:textId="77777777" w:rsidR="008112BD" w:rsidRDefault="008112BD" w:rsidP="008112BD">
      <w:pPr>
        <w:pStyle w:val="Apara"/>
        <w:spacing w:after="40"/>
      </w:pPr>
      <w:r>
        <w:tab/>
        <w:t>(a)</w:t>
      </w:r>
      <w:r>
        <w:tab/>
        <w:t>a person who issued or administers charged property and has been served with a charging order in relation to the property; and</w:t>
      </w:r>
    </w:p>
    <w:p w14:paraId="2C5C3CE3" w14:textId="77777777" w:rsidR="008112BD" w:rsidRDefault="008112BD" w:rsidP="008112BD">
      <w:pPr>
        <w:pStyle w:val="Apara"/>
        <w:spacing w:after="40"/>
      </w:pPr>
      <w:r>
        <w:tab/>
        <w:t>(b)</w:t>
      </w:r>
      <w:r>
        <w:tab/>
        <w:t>anyone else who has notice of a charging order in relation to property.</w:t>
      </w:r>
    </w:p>
    <w:p w14:paraId="699896F8" w14:textId="77777777"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14:paraId="1DE4A560" w14:textId="77777777" w:rsidR="008112BD" w:rsidRDefault="008112BD" w:rsidP="008112BD">
      <w:pPr>
        <w:pStyle w:val="Amain"/>
        <w:keepNext/>
      </w:pPr>
      <w:r>
        <w:tab/>
        <w:t>(3)</w:t>
      </w:r>
      <w:r>
        <w:tab/>
        <w:t>If the person deals with the property in contravention of subrule (2), the person is liable to the enforcement creditor for whichever is the smaller of—</w:t>
      </w:r>
    </w:p>
    <w:p w14:paraId="67A92253" w14:textId="77777777" w:rsidR="008112BD" w:rsidRDefault="008112BD" w:rsidP="008112BD">
      <w:pPr>
        <w:pStyle w:val="Apara"/>
      </w:pPr>
      <w:r>
        <w:tab/>
        <w:t>(a)</w:t>
      </w:r>
      <w:r>
        <w:tab/>
        <w:t>the value or amount of the charged property sold, transferred or otherwise dealt with; and</w:t>
      </w:r>
    </w:p>
    <w:p w14:paraId="5E96AACF" w14:textId="77777777" w:rsidR="008112BD" w:rsidRDefault="008112BD" w:rsidP="008112BD">
      <w:pPr>
        <w:pStyle w:val="Apara"/>
      </w:pPr>
      <w:r>
        <w:tab/>
        <w:t>(b)</w:t>
      </w:r>
      <w:r>
        <w:tab/>
        <w:t>the order debt.</w:t>
      </w:r>
    </w:p>
    <w:p w14:paraId="5523AD2D" w14:textId="77777777" w:rsidR="008112BD" w:rsidRDefault="008112BD" w:rsidP="008112BD">
      <w:pPr>
        <w:pStyle w:val="AH5Sec"/>
      </w:pPr>
      <w:bookmarkStart w:id="783" w:name="_Toc185514399"/>
      <w:r w:rsidRPr="00C8328B">
        <w:rPr>
          <w:rStyle w:val="CharSectNo"/>
        </w:rPr>
        <w:t>2406</w:t>
      </w:r>
      <w:r>
        <w:tab/>
        <w:t>Charging order—application to enforce charge</w:t>
      </w:r>
      <w:bookmarkEnd w:id="783"/>
    </w:p>
    <w:p w14:paraId="54B7795A" w14:textId="77777777" w:rsidR="008112BD" w:rsidRDefault="008112BD" w:rsidP="008112BD">
      <w:pPr>
        <w:pStyle w:val="Amainreturn"/>
        <w:keepNext/>
      </w:pPr>
      <w:r>
        <w:t>An application to enforce a charge imposed under a charging order must be made in the proceeding in which the order is made.</w:t>
      </w:r>
    </w:p>
    <w:p w14:paraId="1DB76204" w14:textId="77777777" w:rsidR="008112BD" w:rsidRDefault="008112BD" w:rsidP="008112BD">
      <w:pPr>
        <w:pStyle w:val="aNote"/>
      </w:pPr>
      <w:r w:rsidRPr="00FE0788">
        <w:rPr>
          <w:rStyle w:val="charItals"/>
        </w:rPr>
        <w:t>Note</w:t>
      </w:r>
      <w:r>
        <w:tab/>
        <w:t>Pt 6.2 (Applications in proceedings) applies to an application under this rule.</w:t>
      </w:r>
    </w:p>
    <w:p w14:paraId="1F37F1A5" w14:textId="77777777" w:rsidR="008112BD" w:rsidRDefault="008112BD" w:rsidP="008112BD">
      <w:pPr>
        <w:pStyle w:val="AH5Sec"/>
      </w:pPr>
      <w:bookmarkStart w:id="784" w:name="_Toc185514400"/>
      <w:r w:rsidRPr="00C8328B">
        <w:rPr>
          <w:rStyle w:val="CharSectNo"/>
        </w:rPr>
        <w:t>2407</w:t>
      </w:r>
      <w:r>
        <w:tab/>
        <w:t>Charging order—procedure against partnership property for partner’s separate order debt</w:t>
      </w:r>
      <w:bookmarkEnd w:id="784"/>
    </w:p>
    <w:p w14:paraId="403E17A4" w14:textId="77777777" w:rsidR="008112BD" w:rsidRDefault="008112BD" w:rsidP="008112BD">
      <w:pPr>
        <w:pStyle w:val="Amain"/>
      </w:pPr>
      <w:r>
        <w:tab/>
        <w:t>(1)</w:t>
      </w:r>
      <w:r>
        <w:tab/>
        <w:t>This rule applies if the enforcement debtor in relation to an enforceable money order of the court is a partner in a partnership.</w:t>
      </w:r>
    </w:p>
    <w:p w14:paraId="291DBA1C" w14:textId="77777777" w:rsidR="008112BD" w:rsidRDefault="008112BD" w:rsidP="008112BD">
      <w:pPr>
        <w:pStyle w:val="Amain"/>
      </w:pPr>
      <w:r>
        <w:lastRenderedPageBreak/>
        <w:tab/>
        <w:t>(2)</w:t>
      </w:r>
      <w:r>
        <w:tab/>
        <w:t>On application by the enforcement creditor, the court may—</w:t>
      </w:r>
    </w:p>
    <w:p w14:paraId="74797B3E" w14:textId="77777777"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14:paraId="7379E6C4" w14:textId="77777777" w:rsidR="008112BD" w:rsidRDefault="008112BD" w:rsidP="00023F05">
      <w:pPr>
        <w:pStyle w:val="Apara"/>
        <w:keepNext/>
      </w:pPr>
      <w:r>
        <w:tab/>
        <w:t>(b)</w:t>
      </w:r>
      <w:r>
        <w:tab/>
        <w:t>by that order or another order—</w:t>
      </w:r>
    </w:p>
    <w:p w14:paraId="2696E71D" w14:textId="77777777"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14:paraId="062D0B65" w14:textId="77777777"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14:paraId="091ADC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68D377D" w14:textId="77777777" w:rsidR="008112BD" w:rsidRDefault="008112BD" w:rsidP="008112BD">
      <w:pPr>
        <w:pStyle w:val="Amain"/>
      </w:pPr>
      <w:r>
        <w:tab/>
        <w:t>(3)</w:t>
      </w:r>
      <w:r>
        <w:tab/>
        <w:t>The application must be served on the enforcement debtor and the partners of the partnership.</w:t>
      </w:r>
    </w:p>
    <w:p w14:paraId="52969DCF" w14:textId="77777777" w:rsidR="008112BD" w:rsidRDefault="008112BD" w:rsidP="008112BD">
      <w:pPr>
        <w:pStyle w:val="Amain"/>
      </w:pPr>
      <w:r>
        <w:tab/>
        <w:t>(4)</w:t>
      </w:r>
      <w:r>
        <w:tab/>
        <w:t>For this rule, service on each partner who lives in the ACT is sufficient service on any partner who lives outside the ACT.</w:t>
      </w:r>
    </w:p>
    <w:p w14:paraId="77310183" w14:textId="77777777" w:rsidR="008112BD" w:rsidRDefault="008112BD" w:rsidP="008112BD">
      <w:pPr>
        <w:pStyle w:val="Amain"/>
      </w:pPr>
      <w:r>
        <w:tab/>
        <w:t>(5)</w:t>
      </w:r>
      <w:r>
        <w:tab/>
        <w:t>If the interest of a partner in partnership property and profits of the partnership is charged under subrule (2), the other partners in the partnership may—</w:t>
      </w:r>
    </w:p>
    <w:p w14:paraId="2E13ED56" w14:textId="77777777" w:rsidR="008112BD" w:rsidRDefault="008112BD" w:rsidP="008112BD">
      <w:pPr>
        <w:pStyle w:val="Apara"/>
      </w:pPr>
      <w:r>
        <w:tab/>
        <w:t>(a)</w:t>
      </w:r>
      <w:r>
        <w:tab/>
        <w:t>at any time, redeem the interest charged; or</w:t>
      </w:r>
    </w:p>
    <w:p w14:paraId="4D84C1B3" w14:textId="77777777" w:rsidR="008112BD" w:rsidRDefault="008112BD" w:rsidP="008112BD">
      <w:pPr>
        <w:pStyle w:val="Apara"/>
      </w:pPr>
      <w:r>
        <w:tab/>
        <w:t>(b)</w:t>
      </w:r>
      <w:r>
        <w:tab/>
        <w:t>if a sale of the interest is directed—buy the interest.</w:t>
      </w:r>
    </w:p>
    <w:p w14:paraId="7907D879" w14:textId="77777777" w:rsidR="008112BD" w:rsidRDefault="008112BD" w:rsidP="008112BD">
      <w:pPr>
        <w:pStyle w:val="Amain"/>
      </w:pPr>
      <w:r>
        <w:tab/>
        <w:t>(6)</w:t>
      </w:r>
      <w:r>
        <w:tab/>
        <w:t>This rule does not apply in relation to an incorporated limited partnership.</w:t>
      </w:r>
    </w:p>
    <w:p w14:paraId="3D08A21A" w14:textId="77777777" w:rsidR="008112BD" w:rsidRPr="00C8328B" w:rsidRDefault="008112BD" w:rsidP="008112BD">
      <w:pPr>
        <w:pStyle w:val="AH3Div"/>
      </w:pPr>
      <w:bookmarkStart w:id="785" w:name="_Toc185514401"/>
      <w:r w:rsidRPr="00C8328B">
        <w:rPr>
          <w:rStyle w:val="CharDivNo"/>
        </w:rPr>
        <w:lastRenderedPageBreak/>
        <w:t>Division 2.18.10</w:t>
      </w:r>
      <w:r>
        <w:tab/>
      </w:r>
      <w:r w:rsidRPr="00C8328B">
        <w:rPr>
          <w:rStyle w:val="CharDivText"/>
        </w:rPr>
        <w:t>Enforcement of money orders—amounts in court and stop orders</w:t>
      </w:r>
      <w:bookmarkEnd w:id="785"/>
    </w:p>
    <w:p w14:paraId="0F3F9AF0" w14:textId="77777777" w:rsidR="008112BD" w:rsidRDefault="008112BD" w:rsidP="008112BD">
      <w:pPr>
        <w:pStyle w:val="AH5Sec"/>
      </w:pPr>
      <w:bookmarkStart w:id="786" w:name="_Toc185514402"/>
      <w:r w:rsidRPr="00C8328B">
        <w:rPr>
          <w:rStyle w:val="CharSectNo"/>
        </w:rPr>
        <w:t>2420</w:t>
      </w:r>
      <w:r>
        <w:tab/>
        <w:t>Enforcement orders—amounts in court</w:t>
      </w:r>
      <w:bookmarkEnd w:id="786"/>
    </w:p>
    <w:p w14:paraId="16279459" w14:textId="77777777"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14:paraId="0772E5CA" w14:textId="77777777" w:rsidR="008112BD" w:rsidRDefault="008112BD" w:rsidP="008112BD">
      <w:pPr>
        <w:pStyle w:val="Amain"/>
      </w:pPr>
      <w:r>
        <w:tab/>
        <w:t>(2)</w:t>
      </w:r>
      <w:r>
        <w:tab/>
        <w:t>On application by the enforcement creditor, the court may order that the amount, security or bond be applied towards satisfying the order debt.</w:t>
      </w:r>
    </w:p>
    <w:p w14:paraId="5DE6267C" w14:textId="77777777" w:rsidR="008112BD" w:rsidRDefault="008112BD" w:rsidP="008112BD">
      <w:pPr>
        <w:pStyle w:val="Amain"/>
      </w:pPr>
      <w:r>
        <w:tab/>
        <w:t>(3)</w:t>
      </w:r>
      <w:r>
        <w:tab/>
        <w:t>The application must be made in the proceeding in which the money order is being enforced.</w:t>
      </w:r>
    </w:p>
    <w:p w14:paraId="615F5469" w14:textId="77777777"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14:paraId="21363988" w14:textId="77777777" w:rsidR="008112BD" w:rsidRDefault="008112BD" w:rsidP="008112BD">
      <w:pPr>
        <w:pStyle w:val="AH5Sec"/>
        <w:rPr>
          <w:lang w:val="en-US"/>
        </w:rPr>
      </w:pPr>
      <w:bookmarkStart w:id="787" w:name="_Toc185514403"/>
      <w:r w:rsidRPr="00C8328B">
        <w:rPr>
          <w:rStyle w:val="CharSectNo"/>
        </w:rPr>
        <w:t>2421</w:t>
      </w:r>
      <w:r>
        <w:rPr>
          <w:lang w:val="en-US"/>
        </w:rPr>
        <w:tab/>
        <w:t>Enforcement orders—stop orders</w:t>
      </w:r>
      <w:bookmarkEnd w:id="787"/>
    </w:p>
    <w:p w14:paraId="3849D3C6" w14:textId="77777777"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14:paraId="034E23B5" w14:textId="77777777"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14:paraId="67BC82E2" w14:textId="77777777"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14:paraId="45F617C8" w14:textId="77777777" w:rsidR="008112BD" w:rsidRDefault="008112BD" w:rsidP="008112BD">
      <w:pPr>
        <w:pStyle w:val="Amain"/>
      </w:pPr>
      <w:r>
        <w:tab/>
        <w:t>(3)</w:t>
      </w:r>
      <w:r>
        <w:tab/>
        <w:t>The application must be made in the proceeding in which the amount, security or bond stands in court.</w:t>
      </w:r>
    </w:p>
    <w:p w14:paraId="0CFB31EB" w14:textId="77777777" w:rsidR="008112BD" w:rsidRDefault="008112BD" w:rsidP="008112BD">
      <w:pPr>
        <w:pStyle w:val="Amain"/>
      </w:pPr>
      <w:r>
        <w:tab/>
        <w:t>(4)</w:t>
      </w:r>
      <w:r>
        <w:tab/>
        <w:t>The application must be accompanied by an affidavit in support of the application.</w:t>
      </w:r>
    </w:p>
    <w:p w14:paraId="1BB6CB2E" w14:textId="77777777" w:rsidR="008112BD" w:rsidRDefault="008112BD" w:rsidP="008112BD">
      <w:pPr>
        <w:pStyle w:val="Amain"/>
      </w:pPr>
      <w:r>
        <w:lastRenderedPageBreak/>
        <w:tab/>
        <w:t>(5)</w:t>
      </w:r>
      <w:r>
        <w:tab/>
        <w:t>The affidavit must include information sufficient to identify the proceeding mentioned in subrule (3).</w:t>
      </w:r>
    </w:p>
    <w:p w14:paraId="4E9D7023" w14:textId="77777777"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14:paraId="08E3D30C" w14:textId="77777777"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14:paraId="27242F27" w14:textId="77777777" w:rsidR="008112BD" w:rsidRPr="00C8328B" w:rsidRDefault="008112BD" w:rsidP="008112BD">
      <w:pPr>
        <w:pStyle w:val="AH3Div"/>
      </w:pPr>
      <w:bookmarkStart w:id="788" w:name="_Toc185514404"/>
      <w:r w:rsidRPr="00C8328B">
        <w:rPr>
          <w:rStyle w:val="CharDivNo"/>
        </w:rPr>
        <w:t>Division 2.18.11</w:t>
      </w:r>
      <w:r>
        <w:tab/>
      </w:r>
      <w:r w:rsidRPr="00C8328B">
        <w:rPr>
          <w:rStyle w:val="CharDivText"/>
        </w:rPr>
        <w:t>Enforcement of money orders—receivers</w:t>
      </w:r>
      <w:bookmarkEnd w:id="788"/>
    </w:p>
    <w:p w14:paraId="3231C30F" w14:textId="77777777" w:rsidR="008112BD" w:rsidRDefault="008112BD" w:rsidP="008112BD">
      <w:pPr>
        <w:pStyle w:val="AH5Sec"/>
      </w:pPr>
      <w:bookmarkStart w:id="789" w:name="_Toc185514405"/>
      <w:r w:rsidRPr="00C8328B">
        <w:rPr>
          <w:rStyle w:val="CharSectNo"/>
        </w:rPr>
        <w:t>2430</w:t>
      </w:r>
      <w:r>
        <w:tab/>
        <w:t>Application—div 2.18.11</w:t>
      </w:r>
      <w:bookmarkEnd w:id="789"/>
    </w:p>
    <w:p w14:paraId="3A14F2C3" w14:textId="77777777" w:rsidR="008112BD" w:rsidRDefault="008112BD" w:rsidP="008112BD">
      <w:pPr>
        <w:pStyle w:val="Amainreturn"/>
      </w:pPr>
      <w:r>
        <w:t>This division applies only in relation to the Supreme Court.</w:t>
      </w:r>
    </w:p>
    <w:p w14:paraId="50B1F449" w14:textId="77777777" w:rsidR="008112BD" w:rsidRDefault="008112BD" w:rsidP="008112BD">
      <w:pPr>
        <w:pStyle w:val="AH5Sec"/>
      </w:pPr>
      <w:bookmarkStart w:id="790" w:name="_Toc185514406"/>
      <w:r w:rsidRPr="00C8328B">
        <w:rPr>
          <w:rStyle w:val="CharSectNo"/>
        </w:rPr>
        <w:t>2431</w:t>
      </w:r>
      <w:r>
        <w:tab/>
        <w:t>Receiver—appointment</w:t>
      </w:r>
      <w:bookmarkEnd w:id="790"/>
    </w:p>
    <w:p w14:paraId="55F57F5E" w14:textId="77777777"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14:paraId="462413BD" w14:textId="77777777" w:rsidR="008112BD" w:rsidRDefault="008112BD" w:rsidP="008112BD">
      <w:pPr>
        <w:pStyle w:val="Amain"/>
      </w:pPr>
      <w:r>
        <w:tab/>
        <w:t>(2)</w:t>
      </w:r>
      <w:r>
        <w:tab/>
        <w:t>A receiver may be appointed even though no other proceeding has been taken for enforcement of the money order.</w:t>
      </w:r>
    </w:p>
    <w:p w14:paraId="71160449" w14:textId="77777777" w:rsidR="008112BD" w:rsidRDefault="008112BD" w:rsidP="008112BD">
      <w:pPr>
        <w:pStyle w:val="AH5Sec"/>
      </w:pPr>
      <w:bookmarkStart w:id="791" w:name="_Toc185514407"/>
      <w:r w:rsidRPr="00C8328B">
        <w:rPr>
          <w:rStyle w:val="CharSectNo"/>
        </w:rPr>
        <w:t>2432</w:t>
      </w:r>
      <w:r>
        <w:tab/>
        <w:t>Receiver—application for appointment</w:t>
      </w:r>
      <w:bookmarkEnd w:id="791"/>
    </w:p>
    <w:p w14:paraId="74AF616C" w14:textId="77777777" w:rsidR="008112BD" w:rsidRDefault="008112BD" w:rsidP="008112BD">
      <w:pPr>
        <w:pStyle w:val="Amain"/>
      </w:pPr>
      <w:r>
        <w:tab/>
        <w:t>(1)</w:t>
      </w:r>
      <w:r>
        <w:tab/>
        <w:t>An application for an order appointing a receiver must be accompanied by—</w:t>
      </w:r>
    </w:p>
    <w:p w14:paraId="073964A6" w14:textId="77777777" w:rsidR="008112BD" w:rsidRDefault="008112BD" w:rsidP="008112BD">
      <w:pPr>
        <w:pStyle w:val="Apara"/>
      </w:pPr>
      <w:r>
        <w:tab/>
        <w:t>(a)</w:t>
      </w:r>
      <w:r>
        <w:tab/>
        <w:t>a draft of the order sought; and</w:t>
      </w:r>
    </w:p>
    <w:p w14:paraId="3FD6E3E2" w14:textId="77777777" w:rsidR="008112BD" w:rsidRDefault="008112BD" w:rsidP="008112BD">
      <w:pPr>
        <w:pStyle w:val="Apara"/>
        <w:keepNext/>
      </w:pPr>
      <w:r>
        <w:tab/>
        <w:t>(b)</w:t>
      </w:r>
      <w:r>
        <w:tab/>
        <w:t>an affidavit in support of the application.</w:t>
      </w:r>
    </w:p>
    <w:p w14:paraId="31F13C0E" w14:textId="77777777" w:rsidR="008112BD" w:rsidRDefault="008112BD" w:rsidP="008112BD">
      <w:pPr>
        <w:pStyle w:val="aNote"/>
      </w:pPr>
      <w:r w:rsidRPr="00FE0788">
        <w:rPr>
          <w:rStyle w:val="charItals"/>
        </w:rPr>
        <w:t>Note</w:t>
      </w:r>
      <w:r>
        <w:tab/>
        <w:t>Pt 6.2 (Applications in proceedings) applies to an application for an order appointing a receiver.</w:t>
      </w:r>
    </w:p>
    <w:p w14:paraId="0E99AE98" w14:textId="77777777" w:rsidR="008112BD" w:rsidRDefault="008112BD" w:rsidP="008112BD">
      <w:pPr>
        <w:pStyle w:val="Amain"/>
        <w:keepNext/>
      </w:pPr>
      <w:r>
        <w:lastRenderedPageBreak/>
        <w:tab/>
        <w:t>(2)</w:t>
      </w:r>
      <w:r>
        <w:tab/>
        <w:t>The affidavit in support must state—</w:t>
      </w:r>
    </w:p>
    <w:p w14:paraId="38CBB7F7" w14:textId="77777777" w:rsidR="008112BD" w:rsidRDefault="008112BD" w:rsidP="008112BD">
      <w:pPr>
        <w:pStyle w:val="Apara"/>
        <w:keepNext/>
      </w:pPr>
      <w:r>
        <w:tab/>
        <w:t>(a)</w:t>
      </w:r>
      <w:r>
        <w:tab/>
        <w:t>the date the money order was made; and</w:t>
      </w:r>
    </w:p>
    <w:p w14:paraId="7A5D41CA" w14:textId="77777777" w:rsidR="008112BD" w:rsidRDefault="008112BD" w:rsidP="008112BD">
      <w:pPr>
        <w:pStyle w:val="Apara"/>
      </w:pPr>
      <w:r>
        <w:tab/>
        <w:t>(b)</w:t>
      </w:r>
      <w:r>
        <w:tab/>
        <w:t>the date a sealed copy of the money order, and the notice in accordance with rule 2015 (2), was served on the enforcement debtor; and</w:t>
      </w:r>
    </w:p>
    <w:p w14:paraId="66B1D206" w14:textId="77777777" w:rsidR="008112BD" w:rsidRDefault="008112BD" w:rsidP="008112BD">
      <w:pPr>
        <w:pStyle w:val="Apara"/>
      </w:pPr>
      <w:r>
        <w:tab/>
        <w:t>(c)</w:t>
      </w:r>
      <w:r>
        <w:tab/>
        <w:t>the amount of the order debt; and</w:t>
      </w:r>
    </w:p>
    <w:p w14:paraId="4ED322E5" w14:textId="77777777" w:rsidR="008112BD" w:rsidRDefault="008112BD" w:rsidP="008112BD">
      <w:pPr>
        <w:pStyle w:val="Apara"/>
      </w:pPr>
      <w:r>
        <w:tab/>
        <w:t>(d)</w:t>
      </w:r>
      <w:r>
        <w:tab/>
        <w:t>that the order debt has not been fully paid; and</w:t>
      </w:r>
    </w:p>
    <w:p w14:paraId="14EE888E" w14:textId="77777777" w:rsidR="008112BD" w:rsidRDefault="008112BD" w:rsidP="008112BD">
      <w:pPr>
        <w:pStyle w:val="Apara"/>
      </w:pPr>
      <w:r>
        <w:tab/>
        <w:t>(e)</w:t>
      </w:r>
      <w:r>
        <w:tab/>
        <w:t>the date and amount of each payment (if any) made under the order; and</w:t>
      </w:r>
    </w:p>
    <w:p w14:paraId="1DF96F81" w14:textId="77777777" w:rsidR="008112BD" w:rsidRDefault="008112BD" w:rsidP="008112BD">
      <w:pPr>
        <w:pStyle w:val="Apara"/>
      </w:pPr>
      <w:r>
        <w:tab/>
        <w:t>(f)</w:t>
      </w:r>
      <w:r>
        <w:tab/>
        <w:t>the costs incurred in previous enforcement proceedings in relation to the order; and</w:t>
      </w:r>
    </w:p>
    <w:p w14:paraId="05375905"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375ECE4A"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4B1CAC92" w14:textId="77777777" w:rsidR="008112BD" w:rsidRDefault="008112BD" w:rsidP="008112BD">
      <w:pPr>
        <w:pStyle w:val="Apara"/>
      </w:pPr>
      <w:r>
        <w:tab/>
        <w:t>(i)</w:t>
      </w:r>
      <w:r>
        <w:tab/>
        <w:t>the daily amount of any interest that, subject to any future payment under the order, will accrue after the affidavit date; and</w:t>
      </w:r>
    </w:p>
    <w:p w14:paraId="26154604" w14:textId="77777777" w:rsidR="008112BD" w:rsidRDefault="008112BD" w:rsidP="008112BD">
      <w:pPr>
        <w:pStyle w:val="Apara"/>
      </w:pPr>
      <w:r>
        <w:tab/>
        <w:t>(j)</w:t>
      </w:r>
      <w:r>
        <w:tab/>
        <w:t>any other information necessary for the order being sought.</w:t>
      </w:r>
    </w:p>
    <w:p w14:paraId="192BCD4A" w14:textId="77777777" w:rsidR="008112BD" w:rsidRDefault="008112BD" w:rsidP="008112BD">
      <w:pPr>
        <w:pStyle w:val="Amain"/>
      </w:pPr>
      <w:r>
        <w:tab/>
        <w:t>(3)</w:t>
      </w:r>
      <w:r>
        <w:tab/>
        <w:t>The affidavit must be sworn not earlier than 2 days before the day the application is filed in the court.</w:t>
      </w:r>
    </w:p>
    <w:p w14:paraId="406F4E73" w14:textId="77777777" w:rsidR="008112BD" w:rsidRDefault="008112BD" w:rsidP="008112BD">
      <w:pPr>
        <w:pStyle w:val="AH5Sec"/>
      </w:pPr>
      <w:bookmarkStart w:id="792" w:name="_Toc185514408"/>
      <w:r w:rsidRPr="00C8328B">
        <w:rPr>
          <w:rStyle w:val="CharSectNo"/>
        </w:rPr>
        <w:t>2433</w:t>
      </w:r>
      <w:r>
        <w:tab/>
        <w:t>Receiver—relevant considerations for appointment</w:t>
      </w:r>
      <w:bookmarkEnd w:id="792"/>
    </w:p>
    <w:p w14:paraId="09215EF5" w14:textId="77777777" w:rsidR="008112BD" w:rsidRDefault="008112BD" w:rsidP="008112BD">
      <w:pPr>
        <w:pStyle w:val="Amain"/>
        <w:keepNext/>
      </w:pPr>
      <w:r>
        <w:tab/>
        <w:t>(1)</w:t>
      </w:r>
      <w:r>
        <w:tab/>
        <w:t>In deciding whether to make an order appointing a receiver, the court must have regard to—</w:t>
      </w:r>
    </w:p>
    <w:p w14:paraId="604493ED" w14:textId="77777777" w:rsidR="008112BD" w:rsidRDefault="008112BD" w:rsidP="008112BD">
      <w:pPr>
        <w:pStyle w:val="Apara"/>
      </w:pPr>
      <w:r>
        <w:tab/>
        <w:t>(a)</w:t>
      </w:r>
      <w:r>
        <w:tab/>
        <w:t>the amount of the order debt; and</w:t>
      </w:r>
    </w:p>
    <w:p w14:paraId="41EBCA68" w14:textId="77777777" w:rsidR="008112BD" w:rsidRDefault="008112BD" w:rsidP="008112BD">
      <w:pPr>
        <w:pStyle w:val="Apara"/>
      </w:pPr>
      <w:r>
        <w:tab/>
        <w:t>(b)</w:t>
      </w:r>
      <w:r>
        <w:tab/>
        <w:t>the amount likely to be obtained by the receiver; and</w:t>
      </w:r>
    </w:p>
    <w:p w14:paraId="0DC0D36C" w14:textId="77777777" w:rsidR="008112BD" w:rsidRDefault="008112BD" w:rsidP="008112BD">
      <w:pPr>
        <w:pStyle w:val="Apara"/>
      </w:pPr>
      <w:r>
        <w:tab/>
        <w:t>(c)</w:t>
      </w:r>
      <w:r>
        <w:tab/>
        <w:t>the probable costs of appointing and remunerating a receiver.</w:t>
      </w:r>
    </w:p>
    <w:p w14:paraId="397B8F55" w14:textId="77777777"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14:paraId="54367317" w14:textId="77777777" w:rsidR="008112BD" w:rsidRDefault="008112BD" w:rsidP="008112BD">
      <w:pPr>
        <w:pStyle w:val="AH5Sec"/>
      </w:pPr>
      <w:bookmarkStart w:id="793" w:name="_Toc185514409"/>
      <w:r w:rsidRPr="00C8328B">
        <w:rPr>
          <w:rStyle w:val="CharSectNo"/>
        </w:rPr>
        <w:t>2434</w:t>
      </w:r>
      <w:r>
        <w:tab/>
        <w:t>Receiver—powers</w:t>
      </w:r>
      <w:bookmarkEnd w:id="793"/>
    </w:p>
    <w:p w14:paraId="47EA1092" w14:textId="77777777" w:rsidR="008112BD" w:rsidRDefault="008112BD" w:rsidP="008112BD">
      <w:pPr>
        <w:pStyle w:val="Amainreturn"/>
      </w:pPr>
      <w:r>
        <w:t>The powers of a receiver appointed under this division operate to the exclusion of the enforcement debtor’s powers for the duration of the receiver’s appointment.</w:t>
      </w:r>
    </w:p>
    <w:p w14:paraId="798A9B5C" w14:textId="77777777" w:rsidR="008112BD" w:rsidRDefault="008112BD" w:rsidP="008112BD">
      <w:pPr>
        <w:pStyle w:val="AH5Sec"/>
      </w:pPr>
      <w:bookmarkStart w:id="794" w:name="_Toc185514410"/>
      <w:r w:rsidRPr="00C8328B">
        <w:rPr>
          <w:rStyle w:val="CharSectNo"/>
        </w:rPr>
        <w:t>2435</w:t>
      </w:r>
      <w:r>
        <w:tab/>
        <w:t>Receiver—general provisions apply</w:t>
      </w:r>
      <w:bookmarkEnd w:id="794"/>
    </w:p>
    <w:p w14:paraId="55770EF5" w14:textId="77777777" w:rsidR="008112BD" w:rsidRDefault="008112BD" w:rsidP="008112BD">
      <w:pPr>
        <w:pStyle w:val="Amainreturn"/>
      </w:pPr>
      <w:r>
        <w:t>Division 2.9.5 (Receivers) applies, with any necessary changes, to a receivers appointed to enforce an enforceable money order of the court.</w:t>
      </w:r>
    </w:p>
    <w:p w14:paraId="5385B4A1" w14:textId="77777777" w:rsidR="008112BD" w:rsidRPr="00C8328B" w:rsidRDefault="008112BD" w:rsidP="008112BD">
      <w:pPr>
        <w:pStyle w:val="AH3Div"/>
      </w:pPr>
      <w:bookmarkStart w:id="795" w:name="_Toc185514411"/>
      <w:r w:rsidRPr="00C8328B">
        <w:rPr>
          <w:rStyle w:val="CharDivNo"/>
        </w:rPr>
        <w:t>Division 2.18.12</w:t>
      </w:r>
      <w:r>
        <w:tab/>
      </w:r>
      <w:r w:rsidRPr="00C8328B">
        <w:rPr>
          <w:rStyle w:val="CharDivText"/>
        </w:rPr>
        <w:t>Enforcement of non-money orders—general</w:t>
      </w:r>
      <w:bookmarkEnd w:id="795"/>
    </w:p>
    <w:p w14:paraId="4B6F6658" w14:textId="77777777" w:rsidR="008112BD" w:rsidRDefault="008112BD" w:rsidP="008112BD">
      <w:pPr>
        <w:pStyle w:val="AH5Sec"/>
      </w:pPr>
      <w:bookmarkStart w:id="796" w:name="_Toc185514412"/>
      <w:r w:rsidRPr="00C8328B">
        <w:rPr>
          <w:rStyle w:val="CharSectNo"/>
        </w:rPr>
        <w:t>2440</w:t>
      </w:r>
      <w:r>
        <w:tab/>
        <w:t>Enforcement—orders for possession of land</w:t>
      </w:r>
      <w:bookmarkEnd w:id="796"/>
    </w:p>
    <w:p w14:paraId="0BB6205A" w14:textId="77777777"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14:paraId="6503E320" w14:textId="77777777" w:rsidR="008112BD" w:rsidRDefault="008112BD" w:rsidP="008112BD">
      <w:pPr>
        <w:pStyle w:val="Apara"/>
      </w:pPr>
      <w:r>
        <w:tab/>
        <w:t>(a)</w:t>
      </w:r>
      <w:r>
        <w:tab/>
        <w:t>an order for delivery of possession of land;</w:t>
      </w:r>
    </w:p>
    <w:p w14:paraId="612D38EF" w14:textId="77777777"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14:paraId="1EEE21C3" w14:textId="77777777" w:rsidR="008112BD" w:rsidRDefault="008112BD" w:rsidP="008112BD">
      <w:pPr>
        <w:pStyle w:val="Apara"/>
      </w:pPr>
      <w:r>
        <w:tab/>
        <w:t>(b)</w:t>
      </w:r>
      <w:r>
        <w:tab/>
        <w:t>for an order to which rule 2442 (Enforcement—orders to do or not do act) applies—</w:t>
      </w:r>
    </w:p>
    <w:p w14:paraId="3091EFC3" w14:textId="77777777" w:rsidR="008112BD" w:rsidRDefault="008112BD" w:rsidP="008112BD">
      <w:pPr>
        <w:pStyle w:val="Asubpara"/>
        <w:keepNext/>
      </w:pPr>
      <w:r>
        <w:tab/>
        <w:t>(i)</w:t>
      </w:r>
      <w:r>
        <w:tab/>
        <w:t>punishment for contempt of the person liable under the original order; or</w:t>
      </w:r>
    </w:p>
    <w:p w14:paraId="69A7CEF9"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65BC1D11" w14:textId="77777777" w:rsidR="008112BD" w:rsidRDefault="008112BD" w:rsidP="00D30C72">
      <w:pPr>
        <w:pStyle w:val="Asubpara"/>
        <w:keepNext/>
      </w:pPr>
      <w:r>
        <w:lastRenderedPageBreak/>
        <w:tab/>
        <w:t>(ii)</w:t>
      </w:r>
      <w:r>
        <w:tab/>
        <w:t>an order for seizure and detention of property against the person liable under the original order.</w:t>
      </w:r>
    </w:p>
    <w:p w14:paraId="7CB4039E"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20FBBA90" w14:textId="77777777" w:rsidR="008112BD" w:rsidRDefault="008112BD" w:rsidP="008112BD">
      <w:pPr>
        <w:pStyle w:val="Amain"/>
      </w:pPr>
      <w:r>
        <w:tab/>
        <w:t>(2)</w:t>
      </w:r>
      <w:r>
        <w:tab/>
        <w:t>Subrule (1) (b) is subject to rule 2446 (Enforcement by contempt or seizing and detaining property—preconditions).</w:t>
      </w:r>
    </w:p>
    <w:p w14:paraId="7430EB05" w14:textId="77777777" w:rsidR="008112BD" w:rsidRDefault="008112BD" w:rsidP="008112BD">
      <w:pPr>
        <w:pStyle w:val="AH5Sec"/>
      </w:pPr>
      <w:bookmarkStart w:id="797" w:name="_Toc185514413"/>
      <w:r w:rsidRPr="00C8328B">
        <w:rPr>
          <w:rStyle w:val="CharSectNo"/>
        </w:rPr>
        <w:t>2441</w:t>
      </w:r>
      <w:r>
        <w:tab/>
        <w:t>Enforcement—orders for return of goods etc</w:t>
      </w:r>
      <w:bookmarkEnd w:id="797"/>
    </w:p>
    <w:p w14:paraId="13B50E50" w14:textId="77777777"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14:paraId="23F2D154" w14:textId="77777777" w:rsidR="008112BD" w:rsidRDefault="008112BD" w:rsidP="008112BD">
      <w:pPr>
        <w:pStyle w:val="Apara"/>
        <w:keepNext/>
      </w:pPr>
      <w:r>
        <w:tab/>
        <w:t>(a)</w:t>
      </w:r>
      <w:r>
        <w:tab/>
        <w:t>an order for seizure and delivery of goods;</w:t>
      </w:r>
    </w:p>
    <w:p w14:paraId="35555B2F" w14:textId="77777777"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14:paraId="2697E17C" w14:textId="77777777" w:rsidR="008112BD" w:rsidRDefault="008112BD" w:rsidP="008112BD">
      <w:pPr>
        <w:pStyle w:val="Apara"/>
      </w:pPr>
      <w:r>
        <w:tab/>
        <w:t>(b)</w:t>
      </w:r>
      <w:r>
        <w:tab/>
        <w:t>for an order to which rule 2442 (Enforcement—orders to do or not do act) applies—</w:t>
      </w:r>
    </w:p>
    <w:p w14:paraId="2BB2097F" w14:textId="77777777" w:rsidR="008112BD" w:rsidRDefault="008112BD" w:rsidP="008112BD">
      <w:pPr>
        <w:pStyle w:val="Asubpara"/>
      </w:pPr>
      <w:r>
        <w:tab/>
        <w:t>(i)</w:t>
      </w:r>
      <w:r>
        <w:tab/>
        <w:t>punishment for contempt of the person liable under the original order; or</w:t>
      </w:r>
    </w:p>
    <w:p w14:paraId="6823107F"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243CBD4B" w14:textId="77777777" w:rsidR="008112BD" w:rsidRDefault="008112BD" w:rsidP="008112BD">
      <w:pPr>
        <w:pStyle w:val="Asubpara"/>
      </w:pPr>
      <w:r>
        <w:tab/>
        <w:t>(ii)</w:t>
      </w:r>
      <w:r>
        <w:tab/>
        <w:t>an order for seizure and detention of property against the person liable under the original order.</w:t>
      </w:r>
    </w:p>
    <w:p w14:paraId="4936A1F7"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4FF051A7" w14:textId="77777777" w:rsidR="008112BD" w:rsidRDefault="008112BD" w:rsidP="008112BD">
      <w:pPr>
        <w:pStyle w:val="Amain"/>
      </w:pPr>
      <w:r>
        <w:tab/>
        <w:t>(2)</w:t>
      </w:r>
      <w:r>
        <w:tab/>
        <w:t>Subrule (1) (b) is subject to rule 2446 (Enforcement by contempt or seizing and detaining property—preconditions).</w:t>
      </w:r>
    </w:p>
    <w:p w14:paraId="5179541A" w14:textId="77777777" w:rsidR="008112BD" w:rsidRDefault="008112BD" w:rsidP="008112BD">
      <w:pPr>
        <w:pStyle w:val="Amain"/>
      </w:pPr>
      <w:r>
        <w:tab/>
        <w:t>(3)</w:t>
      </w:r>
      <w:r>
        <w:tab/>
        <w:t>An order for the payment of the value of goods may be enforced as if it were a money order.</w:t>
      </w:r>
    </w:p>
    <w:p w14:paraId="369C3A85" w14:textId="77777777" w:rsidR="008112BD" w:rsidRDefault="008112BD" w:rsidP="008112BD">
      <w:pPr>
        <w:pStyle w:val="AH5Sec"/>
      </w:pPr>
      <w:bookmarkStart w:id="798" w:name="_Toc185514414"/>
      <w:r w:rsidRPr="00C8328B">
        <w:rPr>
          <w:rStyle w:val="CharSectNo"/>
        </w:rPr>
        <w:lastRenderedPageBreak/>
        <w:t>2442</w:t>
      </w:r>
      <w:r>
        <w:tab/>
        <w:t>Enforcement—orders to do or not do an act</w:t>
      </w:r>
      <w:bookmarkEnd w:id="798"/>
    </w:p>
    <w:p w14:paraId="227DC853" w14:textId="77777777" w:rsidR="008112BD" w:rsidRDefault="008112BD" w:rsidP="008112BD">
      <w:pPr>
        <w:pStyle w:val="Amain"/>
        <w:keepNext/>
      </w:pPr>
      <w:r>
        <w:tab/>
        <w:t>(1)</w:t>
      </w:r>
      <w:r>
        <w:tab/>
        <w:t xml:space="preserve">This rule applies to an order (the </w:t>
      </w:r>
      <w:r w:rsidRPr="00FE0788">
        <w:rPr>
          <w:rStyle w:val="charBoldItals"/>
        </w:rPr>
        <w:t>original order</w:t>
      </w:r>
      <w:r>
        <w:t>) if—</w:t>
      </w:r>
    </w:p>
    <w:p w14:paraId="4E7AE0FB" w14:textId="77777777" w:rsidR="008112BD" w:rsidRDefault="008112BD" w:rsidP="008112BD">
      <w:pPr>
        <w:pStyle w:val="Apara"/>
        <w:keepNext/>
      </w:pPr>
      <w:r>
        <w:tab/>
        <w:t>(a)</w:t>
      </w:r>
      <w:r>
        <w:tab/>
        <w:t>the order is a non-money order that requires a person—</w:t>
      </w:r>
    </w:p>
    <w:p w14:paraId="5B15EC4D" w14:textId="77777777" w:rsidR="008112BD" w:rsidRDefault="008112BD" w:rsidP="008112BD">
      <w:pPr>
        <w:pStyle w:val="Asubpara"/>
        <w:keepNext/>
      </w:pPr>
      <w:r>
        <w:tab/>
        <w:t>(i)</w:t>
      </w:r>
      <w:r>
        <w:tab/>
        <w:t>to do an act within a stated time; or</w:t>
      </w:r>
    </w:p>
    <w:p w14:paraId="73172E1F" w14:textId="77777777" w:rsidR="008112BD" w:rsidRDefault="008112BD" w:rsidP="008112BD">
      <w:pPr>
        <w:pStyle w:val="Asubpara"/>
      </w:pPr>
      <w:r>
        <w:tab/>
        <w:t>(ii)</w:t>
      </w:r>
      <w:r>
        <w:tab/>
        <w:t>not to do an act; and</w:t>
      </w:r>
    </w:p>
    <w:p w14:paraId="5B514788" w14:textId="77777777" w:rsidR="008112BD" w:rsidRDefault="008112BD" w:rsidP="008112BD">
      <w:pPr>
        <w:pStyle w:val="Apara"/>
      </w:pPr>
      <w:r>
        <w:tab/>
        <w:t>(b)</w:t>
      </w:r>
      <w:r>
        <w:tab/>
        <w:t>the person contravenes the order.</w:t>
      </w:r>
    </w:p>
    <w:p w14:paraId="58321860" w14:textId="77777777" w:rsidR="008112BD" w:rsidRDefault="008112BD" w:rsidP="008112BD">
      <w:pPr>
        <w:pStyle w:val="Amain"/>
        <w:keepNext/>
      </w:pPr>
      <w:r>
        <w:tab/>
        <w:t>(2)</w:t>
      </w:r>
      <w:r>
        <w:tab/>
        <w:t>The original order may be enforced in 1 or more of the following ways:</w:t>
      </w:r>
    </w:p>
    <w:p w14:paraId="14DE1144" w14:textId="77777777" w:rsidR="008112BD" w:rsidRDefault="008112BD" w:rsidP="008112BD">
      <w:pPr>
        <w:pStyle w:val="Apara"/>
      </w:pPr>
      <w:r>
        <w:tab/>
        <w:t>(a)</w:t>
      </w:r>
      <w:r>
        <w:tab/>
        <w:t>punishment for contempt of the person liable under the original order;</w:t>
      </w:r>
    </w:p>
    <w:p w14:paraId="264910E2"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C1963E6" w14:textId="77777777" w:rsidR="008112BD" w:rsidRDefault="008112BD" w:rsidP="008112BD">
      <w:pPr>
        <w:pStyle w:val="Apara"/>
      </w:pPr>
      <w:r>
        <w:tab/>
        <w:t>(b)</w:t>
      </w:r>
      <w:r>
        <w:tab/>
        <w:t>an order for seizure and detention of property against the person liable under the original order;</w:t>
      </w:r>
    </w:p>
    <w:p w14:paraId="551A586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6EBF40AF" w14:textId="77777777" w:rsidR="008112BD" w:rsidRDefault="008112BD" w:rsidP="008112BD">
      <w:pPr>
        <w:pStyle w:val="Apara"/>
        <w:keepNext/>
      </w:pPr>
      <w:r>
        <w:tab/>
        <w:t>(c)</w:t>
      </w:r>
      <w:r>
        <w:tab/>
        <w:t>if the person liable under the original order is a corporation—without limiting paragraphs (a) and (b), the following:</w:t>
      </w:r>
    </w:p>
    <w:p w14:paraId="3A2179C7" w14:textId="77777777" w:rsidR="008112BD" w:rsidRDefault="008112BD" w:rsidP="008112BD">
      <w:pPr>
        <w:pStyle w:val="Asubpara"/>
      </w:pPr>
      <w:r>
        <w:tab/>
        <w:t>(i)</w:t>
      </w:r>
      <w:r>
        <w:tab/>
        <w:t>punishment for contempt of any senior officer of the corporation;</w:t>
      </w:r>
    </w:p>
    <w:p w14:paraId="3149990A" w14:textId="77777777" w:rsidR="008112BD" w:rsidRDefault="008112BD" w:rsidP="008112BD">
      <w:pPr>
        <w:pStyle w:val="Asubpara"/>
      </w:pPr>
      <w:r>
        <w:tab/>
        <w:t>(ii)</w:t>
      </w:r>
      <w:r>
        <w:tab/>
        <w:t>an order for seizure and detention of property against the corporation.</w:t>
      </w:r>
    </w:p>
    <w:p w14:paraId="6F80F4FD" w14:textId="77777777" w:rsidR="008112BD" w:rsidRDefault="008112BD" w:rsidP="008112BD">
      <w:pPr>
        <w:pStyle w:val="Amain"/>
        <w:keepNext/>
      </w:pPr>
      <w:r>
        <w:tab/>
        <w:t>(3)</w:t>
      </w:r>
      <w:r>
        <w:tab/>
        <w:t>Subrule (2) is subject to rule 2446 (Enforcement by contempt or seizing and detaining property—preconditions).</w:t>
      </w:r>
    </w:p>
    <w:p w14:paraId="41437E61" w14:textId="77777777" w:rsidR="008112BD" w:rsidRDefault="008112BD" w:rsidP="008112BD">
      <w:pPr>
        <w:pStyle w:val="Amain"/>
        <w:keepNext/>
      </w:pPr>
      <w:r>
        <w:tab/>
        <w:t>(4)</w:t>
      </w:r>
      <w:r>
        <w:tab/>
        <w:t>Also, if the original order is an order to do an act, the court may—</w:t>
      </w:r>
    </w:p>
    <w:p w14:paraId="55541B70" w14:textId="77777777" w:rsidR="008112BD" w:rsidRDefault="008112BD" w:rsidP="008112BD">
      <w:pPr>
        <w:pStyle w:val="Apara"/>
      </w:pPr>
      <w:r>
        <w:tab/>
        <w:t>(a)</w:t>
      </w:r>
      <w:r>
        <w:tab/>
        <w:t>appoint someone else to do the act; and</w:t>
      </w:r>
    </w:p>
    <w:p w14:paraId="16AD8D7A" w14:textId="77777777" w:rsidR="008112BD" w:rsidRDefault="008112BD" w:rsidP="008112BD">
      <w:pPr>
        <w:pStyle w:val="Apara"/>
      </w:pPr>
      <w:r>
        <w:tab/>
        <w:t>(b)</w:t>
      </w:r>
      <w:r>
        <w:tab/>
        <w:t>order the person liable under the original order to pay the costs and expenses caused by the failure to do the act.</w:t>
      </w:r>
    </w:p>
    <w:p w14:paraId="1B19497B" w14:textId="77777777" w:rsidR="008112BD" w:rsidRDefault="008112BD" w:rsidP="008112BD">
      <w:pPr>
        <w:pStyle w:val="Amain"/>
        <w:keepNext/>
      </w:pPr>
      <w:r>
        <w:lastRenderedPageBreak/>
        <w:tab/>
        <w:t>(5)</w:t>
      </w:r>
      <w:r>
        <w:tab/>
        <w:t>Subrule (4) does not affect the court’s power to—</w:t>
      </w:r>
    </w:p>
    <w:p w14:paraId="3424A417" w14:textId="77777777" w:rsidR="008112BD" w:rsidRDefault="008112BD" w:rsidP="008112BD">
      <w:pPr>
        <w:pStyle w:val="Apara"/>
      </w:pPr>
      <w:r>
        <w:tab/>
        <w:t>(a)</w:t>
      </w:r>
      <w:r>
        <w:tab/>
        <w:t>appoint a person to execute a document by order of the court; or</w:t>
      </w:r>
    </w:p>
    <w:p w14:paraId="7CB7C6DE" w14:textId="77777777" w:rsidR="008112BD" w:rsidRDefault="008112BD" w:rsidP="008112BD">
      <w:pPr>
        <w:pStyle w:val="Apara"/>
      </w:pPr>
      <w:r>
        <w:tab/>
        <w:t>(b)</w:t>
      </w:r>
      <w:r>
        <w:tab/>
        <w:t>punish for contempt.</w:t>
      </w:r>
    </w:p>
    <w:p w14:paraId="31551B8D" w14:textId="77777777" w:rsidR="008112BD" w:rsidRDefault="008112BD" w:rsidP="008112BD">
      <w:pPr>
        <w:pStyle w:val="AH5Sec"/>
      </w:pPr>
      <w:bookmarkStart w:id="799" w:name="_Toc185514415"/>
      <w:r w:rsidRPr="00C8328B">
        <w:rPr>
          <w:rStyle w:val="CharSectNo"/>
        </w:rPr>
        <w:t>2443</w:t>
      </w:r>
      <w:r>
        <w:tab/>
        <w:t>Enforcement—undertakings</w:t>
      </w:r>
      <w:bookmarkEnd w:id="799"/>
    </w:p>
    <w:p w14:paraId="290EAF17" w14:textId="77777777" w:rsidR="008112BD" w:rsidRDefault="008112BD" w:rsidP="008112BD">
      <w:pPr>
        <w:pStyle w:val="Amain"/>
        <w:keepNext/>
      </w:pPr>
      <w:r>
        <w:tab/>
        <w:t>(1)</w:t>
      </w:r>
      <w:r>
        <w:tab/>
        <w:t>An undertaking to the court, other than for the payment of money, may be enforced in 1 or more of the following ways:</w:t>
      </w:r>
    </w:p>
    <w:p w14:paraId="335FC80B" w14:textId="77777777" w:rsidR="008112BD" w:rsidRDefault="008112BD" w:rsidP="008112BD">
      <w:pPr>
        <w:pStyle w:val="Apara"/>
      </w:pPr>
      <w:r>
        <w:tab/>
        <w:t>(a)</w:t>
      </w:r>
      <w:r>
        <w:tab/>
        <w:t>punishment for contempt of the person liable under the undertaking;</w:t>
      </w:r>
    </w:p>
    <w:p w14:paraId="7C8A1ACB"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932E4EA" w14:textId="77777777" w:rsidR="008112BD" w:rsidRDefault="008112BD" w:rsidP="008112BD">
      <w:pPr>
        <w:pStyle w:val="Apara"/>
      </w:pPr>
      <w:r>
        <w:tab/>
        <w:t>(b)</w:t>
      </w:r>
      <w:r>
        <w:tab/>
        <w:t>an order for seizure and detention of property against the person liable under the undertaking;</w:t>
      </w:r>
    </w:p>
    <w:p w14:paraId="1084D8E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5382AF7F" w14:textId="77777777" w:rsidR="008112BD" w:rsidRDefault="008112BD" w:rsidP="008112BD">
      <w:pPr>
        <w:pStyle w:val="Apara"/>
        <w:keepNext/>
      </w:pPr>
      <w:r>
        <w:tab/>
        <w:t>(c)</w:t>
      </w:r>
      <w:r>
        <w:tab/>
        <w:t>if the person liable under the undertaking is a corporation—without limiting paragraphs (a) and (b), the following:</w:t>
      </w:r>
    </w:p>
    <w:p w14:paraId="57938C34" w14:textId="77777777" w:rsidR="008112BD" w:rsidRDefault="008112BD" w:rsidP="008112BD">
      <w:pPr>
        <w:pStyle w:val="Asubpara"/>
      </w:pPr>
      <w:r>
        <w:tab/>
        <w:t>(i)</w:t>
      </w:r>
      <w:r>
        <w:tab/>
        <w:t>punishment for contempt of any senior officer of the corporation;</w:t>
      </w:r>
    </w:p>
    <w:p w14:paraId="52768466" w14:textId="77777777" w:rsidR="008112BD" w:rsidRDefault="008112BD" w:rsidP="008112BD">
      <w:pPr>
        <w:pStyle w:val="Asubpara"/>
      </w:pPr>
      <w:r>
        <w:tab/>
        <w:t>(ii)</w:t>
      </w:r>
      <w:r>
        <w:tab/>
        <w:t>an order for seizure and detention of property against the corporation.</w:t>
      </w:r>
    </w:p>
    <w:p w14:paraId="27C23145" w14:textId="77777777" w:rsidR="008112BD" w:rsidRDefault="008112BD" w:rsidP="008112BD">
      <w:pPr>
        <w:pStyle w:val="Amain"/>
        <w:keepNext/>
      </w:pPr>
      <w:r>
        <w:tab/>
        <w:t>(2)</w:t>
      </w:r>
      <w:r>
        <w:tab/>
        <w:t>Also, if the undertaking is an undertaking to do an act, the court may—</w:t>
      </w:r>
    </w:p>
    <w:p w14:paraId="5FE8F357" w14:textId="77777777" w:rsidR="008112BD" w:rsidRDefault="008112BD" w:rsidP="008112BD">
      <w:pPr>
        <w:pStyle w:val="Apara"/>
      </w:pPr>
      <w:r>
        <w:tab/>
        <w:t>(a)</w:t>
      </w:r>
      <w:r>
        <w:tab/>
        <w:t>appoint someone else to do the act; or</w:t>
      </w:r>
    </w:p>
    <w:p w14:paraId="06CC3131" w14:textId="77777777" w:rsidR="008112BD" w:rsidRDefault="008112BD" w:rsidP="008112BD">
      <w:pPr>
        <w:pStyle w:val="Apara"/>
      </w:pPr>
      <w:r>
        <w:tab/>
        <w:t>(b)</w:t>
      </w:r>
      <w:r>
        <w:tab/>
        <w:t>order the person liable under the undertaking to pay the costs and expenses caused by the failure to do the act.</w:t>
      </w:r>
    </w:p>
    <w:p w14:paraId="6287DD72" w14:textId="77777777" w:rsidR="008112BD" w:rsidRDefault="008112BD" w:rsidP="008112BD">
      <w:pPr>
        <w:pStyle w:val="Amain"/>
      </w:pPr>
      <w:r>
        <w:tab/>
        <w:t>(3)</w:t>
      </w:r>
      <w:r>
        <w:tab/>
        <w:t>An undertaking for the payment of money may be enforced as if it were a money order.</w:t>
      </w:r>
    </w:p>
    <w:p w14:paraId="1147448B" w14:textId="77777777"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14:paraId="761D5213" w14:textId="77777777" w:rsidR="008112BD" w:rsidRDefault="008112BD" w:rsidP="008112BD">
      <w:pPr>
        <w:pStyle w:val="aNote"/>
      </w:pPr>
      <w:r w:rsidRPr="00FE0788">
        <w:rPr>
          <w:rStyle w:val="charItals"/>
        </w:rPr>
        <w:t>Note</w:t>
      </w:r>
      <w:r>
        <w:tab/>
        <w:t>Pt 6.2 (Applications in proceedings) applies to an application for compensation under this rule.</w:t>
      </w:r>
    </w:p>
    <w:p w14:paraId="5DE28AFA" w14:textId="77777777" w:rsidR="008112BD" w:rsidRDefault="008112BD" w:rsidP="008112BD">
      <w:pPr>
        <w:pStyle w:val="Amain"/>
      </w:pPr>
      <w:r>
        <w:tab/>
        <w:t>(5)</w:t>
      </w:r>
      <w:r>
        <w:tab/>
        <w:t>If the court decides that—</w:t>
      </w:r>
    </w:p>
    <w:p w14:paraId="56FA7E32" w14:textId="77777777" w:rsidR="008112BD" w:rsidRDefault="008112BD" w:rsidP="008112BD">
      <w:pPr>
        <w:pStyle w:val="Apara"/>
      </w:pPr>
      <w:r>
        <w:tab/>
        <w:t>(a)</w:t>
      </w:r>
      <w:r>
        <w:tab/>
        <w:t xml:space="preserve">a party is in breach of an undertaking; and </w:t>
      </w:r>
    </w:p>
    <w:p w14:paraId="62C83B26" w14:textId="77777777" w:rsidR="008112BD" w:rsidRDefault="008112BD" w:rsidP="008112BD">
      <w:pPr>
        <w:pStyle w:val="Apara"/>
      </w:pPr>
      <w:r>
        <w:tab/>
        <w:t>(b)</w:t>
      </w:r>
      <w:r>
        <w:tab/>
        <w:t>another party has sustained a loss because of the breach; and</w:t>
      </w:r>
    </w:p>
    <w:p w14:paraId="36920BBA" w14:textId="77777777" w:rsidR="008112BD" w:rsidRDefault="008112BD" w:rsidP="008112BD">
      <w:pPr>
        <w:pStyle w:val="Apara"/>
      </w:pPr>
      <w:r>
        <w:tab/>
        <w:t>(c)</w:t>
      </w:r>
      <w:r>
        <w:tab/>
        <w:t>the party in breach should pay the other party compensation for the loss;</w:t>
      </w:r>
    </w:p>
    <w:p w14:paraId="1BD8C021" w14:textId="77777777" w:rsidR="008112BD" w:rsidRDefault="008112BD" w:rsidP="008112BD">
      <w:pPr>
        <w:pStyle w:val="Amainreturn"/>
      </w:pPr>
      <w:r>
        <w:t>the court may make an order against the party in breach for the amount the court decides should be paid.</w:t>
      </w:r>
    </w:p>
    <w:p w14:paraId="654F787E" w14:textId="77777777" w:rsidR="008112BD" w:rsidRDefault="008112BD" w:rsidP="008112BD">
      <w:pPr>
        <w:pStyle w:val="AH5Sec"/>
      </w:pPr>
      <w:bookmarkStart w:id="800" w:name="_Toc185514416"/>
      <w:r w:rsidRPr="00C8328B">
        <w:rPr>
          <w:rStyle w:val="CharSectNo"/>
        </w:rPr>
        <w:t>2444</w:t>
      </w:r>
      <w:r>
        <w:tab/>
        <w:t>Enforcement—failure of individual to comply with subpoena etc</w:t>
      </w:r>
      <w:bookmarkEnd w:id="800"/>
    </w:p>
    <w:p w14:paraId="34CE770E" w14:textId="77777777" w:rsidR="008112BD" w:rsidRDefault="008112BD" w:rsidP="008112BD">
      <w:pPr>
        <w:pStyle w:val="Amain"/>
      </w:pPr>
      <w:r>
        <w:tab/>
        <w:t>(1)</w:t>
      </w:r>
      <w:r>
        <w:tab/>
        <w:t>This rule applies if an individual fails to comply with—</w:t>
      </w:r>
    </w:p>
    <w:p w14:paraId="6FBA2289" w14:textId="77777777" w:rsidR="008112BD" w:rsidRDefault="008112BD" w:rsidP="008112BD">
      <w:pPr>
        <w:pStyle w:val="Apara"/>
      </w:pPr>
      <w:r>
        <w:tab/>
        <w:t>(a)</w:t>
      </w:r>
      <w:r>
        <w:tab/>
        <w:t>a subpoena; or</w:t>
      </w:r>
    </w:p>
    <w:p w14:paraId="52CBC26D" w14:textId="77777777" w:rsidR="008112BD" w:rsidRDefault="008112BD" w:rsidP="008112BD">
      <w:pPr>
        <w:pStyle w:val="Apara"/>
      </w:pPr>
      <w:r>
        <w:tab/>
        <w:t>(b)</w:t>
      </w:r>
      <w:r>
        <w:tab/>
        <w:t>a notice for non-party production; or</w:t>
      </w:r>
    </w:p>
    <w:p w14:paraId="6DEEB5B9" w14:textId="77777777" w:rsidR="008112BD" w:rsidRDefault="008112BD" w:rsidP="008112BD">
      <w:pPr>
        <w:pStyle w:val="Apara"/>
        <w:keepNext/>
      </w:pPr>
      <w:r>
        <w:tab/>
        <w:t>(c)</w:t>
      </w:r>
      <w:r>
        <w:tab/>
        <w:t>an order requiring attendance to give evidence or produce a document or thing before—</w:t>
      </w:r>
    </w:p>
    <w:p w14:paraId="79BE6A26" w14:textId="77777777" w:rsidR="008112BD" w:rsidRDefault="008112BD" w:rsidP="008112BD">
      <w:pPr>
        <w:pStyle w:val="Asubpara"/>
      </w:pPr>
      <w:r>
        <w:tab/>
        <w:t>(i)</w:t>
      </w:r>
      <w:r>
        <w:tab/>
        <w:t>the court; or</w:t>
      </w:r>
    </w:p>
    <w:p w14:paraId="18FB1C08" w14:textId="77777777" w:rsidR="008112BD" w:rsidRDefault="008112BD" w:rsidP="008112BD">
      <w:pPr>
        <w:pStyle w:val="Asubpara"/>
      </w:pPr>
      <w:r>
        <w:tab/>
        <w:t>(ii)</w:t>
      </w:r>
      <w:r>
        <w:tab/>
        <w:t>an officer, examiner, referee or anyone else who has authority to take evidence for the court.</w:t>
      </w:r>
    </w:p>
    <w:p w14:paraId="746F2BDB" w14:textId="77777777" w:rsidR="008112BD" w:rsidRDefault="008112BD" w:rsidP="008112BD">
      <w:pPr>
        <w:pStyle w:val="Amain"/>
      </w:pPr>
      <w:r>
        <w:tab/>
        <w:t>(2)</w:t>
      </w:r>
      <w:r>
        <w:tab/>
        <w:t>The court may make an order for the issue of a warrant to an enforcement officer for—</w:t>
      </w:r>
    </w:p>
    <w:p w14:paraId="67F25F4D" w14:textId="77777777" w:rsidR="008112BD" w:rsidRDefault="008112BD" w:rsidP="008112BD">
      <w:pPr>
        <w:pStyle w:val="Apara"/>
        <w:spacing w:after="40"/>
      </w:pPr>
      <w:r>
        <w:tab/>
        <w:t>(a)</w:t>
      </w:r>
      <w:r>
        <w:tab/>
        <w:t>the arrest of the individual; and</w:t>
      </w:r>
    </w:p>
    <w:p w14:paraId="583EF8CB" w14:textId="77777777" w:rsidR="008112BD" w:rsidRDefault="008112BD" w:rsidP="008112BD">
      <w:pPr>
        <w:pStyle w:val="Apara"/>
        <w:spacing w:after="40"/>
      </w:pPr>
      <w:r>
        <w:tab/>
        <w:t>(b)</w:t>
      </w:r>
      <w:r>
        <w:tab/>
        <w:t>the production of the individual as required by the subpoena, notice or order for the purpose of the proceeding; and</w:t>
      </w:r>
    </w:p>
    <w:p w14:paraId="02DB6C33" w14:textId="77777777" w:rsidR="008112BD" w:rsidRDefault="008112BD" w:rsidP="008112BD">
      <w:pPr>
        <w:pStyle w:val="Apara"/>
        <w:keepNext/>
        <w:spacing w:after="40"/>
      </w:pPr>
      <w:r>
        <w:lastRenderedPageBreak/>
        <w:tab/>
        <w:t>(c)</w:t>
      </w:r>
      <w:r>
        <w:tab/>
        <w:t>the detention in custody of the individual until released by the court.</w:t>
      </w:r>
    </w:p>
    <w:p w14:paraId="36D29BF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8B56E54" w14:textId="77777777"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14:paraId="73566E12" w14:textId="77777777"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14:paraId="55C99569" w14:textId="77777777" w:rsidR="008112BD" w:rsidRDefault="008112BD" w:rsidP="008112BD">
      <w:pPr>
        <w:pStyle w:val="Amain"/>
        <w:keepNext/>
      </w:pPr>
      <w:r>
        <w:tab/>
        <w:t>(5)</w:t>
      </w:r>
      <w:r>
        <w:tab/>
        <w:t>This rule does not limit any other power of the court.</w:t>
      </w:r>
    </w:p>
    <w:p w14:paraId="3175B423" w14:textId="4CBECB45"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10" w:tooltip="A2002-51" w:history="1">
        <w:r w:rsidRPr="00FE0788">
          <w:rPr>
            <w:rStyle w:val="charCitHyperlinkAbbrev"/>
          </w:rPr>
          <w:t>Criminal Code</w:t>
        </w:r>
      </w:hyperlink>
      <w:r>
        <w:t>, s 719 and s 720).</w:t>
      </w:r>
    </w:p>
    <w:p w14:paraId="0B8C7823" w14:textId="7911AA4D" w:rsidR="008112BD" w:rsidRDefault="008112BD" w:rsidP="008112BD">
      <w:pPr>
        <w:pStyle w:val="Amain"/>
      </w:pPr>
      <w:r>
        <w:tab/>
        <w:t>(6)</w:t>
      </w:r>
      <w:r>
        <w:tab/>
        <w:t xml:space="preserve">For the </w:t>
      </w:r>
      <w:hyperlink r:id="rId211"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6E98CE4" w14:textId="77777777" w:rsidR="008112BD" w:rsidRDefault="008112BD" w:rsidP="008112BD">
      <w:pPr>
        <w:pStyle w:val="AH5Sec"/>
      </w:pPr>
      <w:bookmarkStart w:id="801" w:name="_Toc185514417"/>
      <w:r w:rsidRPr="00C8328B">
        <w:rPr>
          <w:rStyle w:val="CharSectNo"/>
        </w:rPr>
        <w:t>2445</w:t>
      </w:r>
      <w:r>
        <w:tab/>
        <w:t>Enforcement—failure of corporation to comply with subpoena etc</w:t>
      </w:r>
      <w:bookmarkEnd w:id="801"/>
    </w:p>
    <w:p w14:paraId="68CEC6D1" w14:textId="77777777" w:rsidR="008112BD" w:rsidRDefault="008112BD" w:rsidP="008112BD">
      <w:pPr>
        <w:pStyle w:val="Amain"/>
        <w:keepNext/>
      </w:pPr>
      <w:r>
        <w:tab/>
        <w:t>(1)</w:t>
      </w:r>
      <w:r>
        <w:tab/>
        <w:t>This rule applies if a corporation fails to comply with—</w:t>
      </w:r>
    </w:p>
    <w:p w14:paraId="5FAE1E69" w14:textId="77777777" w:rsidR="008112BD" w:rsidRDefault="008112BD" w:rsidP="008112BD">
      <w:pPr>
        <w:pStyle w:val="Apara"/>
        <w:keepNext/>
      </w:pPr>
      <w:r>
        <w:tab/>
        <w:t>(a)</w:t>
      </w:r>
      <w:r>
        <w:tab/>
        <w:t>a subpoena; or</w:t>
      </w:r>
    </w:p>
    <w:p w14:paraId="35D17DDC" w14:textId="77777777" w:rsidR="008112BD" w:rsidRDefault="008112BD" w:rsidP="008112BD">
      <w:pPr>
        <w:pStyle w:val="Apara"/>
      </w:pPr>
      <w:r>
        <w:tab/>
        <w:t>(b)</w:t>
      </w:r>
      <w:r>
        <w:tab/>
        <w:t>a notice for non-party production; or</w:t>
      </w:r>
    </w:p>
    <w:p w14:paraId="40D620FC" w14:textId="77777777" w:rsidR="008112BD" w:rsidRDefault="008112BD" w:rsidP="008112BD">
      <w:pPr>
        <w:pStyle w:val="Apara"/>
      </w:pPr>
      <w:r>
        <w:tab/>
        <w:t>(c)</w:t>
      </w:r>
      <w:r>
        <w:tab/>
        <w:t>an order requiring attendance to give evidence or produce a document or thing before—</w:t>
      </w:r>
    </w:p>
    <w:p w14:paraId="71BC48FF" w14:textId="77777777" w:rsidR="008112BD" w:rsidRDefault="008112BD" w:rsidP="008112BD">
      <w:pPr>
        <w:pStyle w:val="Asubpara"/>
      </w:pPr>
      <w:r>
        <w:tab/>
        <w:t>(i)</w:t>
      </w:r>
      <w:r>
        <w:tab/>
        <w:t>the court; or</w:t>
      </w:r>
    </w:p>
    <w:p w14:paraId="5F495C97" w14:textId="77777777" w:rsidR="008112BD" w:rsidRDefault="008112BD" w:rsidP="008112BD">
      <w:pPr>
        <w:pStyle w:val="Asubpara"/>
      </w:pPr>
      <w:r>
        <w:tab/>
        <w:t>(ii)</w:t>
      </w:r>
      <w:r>
        <w:tab/>
        <w:t>an officer, examiner, referee or anyone else who has authority to take evidence for the court.</w:t>
      </w:r>
    </w:p>
    <w:p w14:paraId="1C71F3BC" w14:textId="77777777" w:rsidR="008112BD" w:rsidRDefault="008112BD" w:rsidP="008112BD">
      <w:pPr>
        <w:pStyle w:val="Amain"/>
        <w:keepNext/>
      </w:pPr>
      <w:r>
        <w:lastRenderedPageBreak/>
        <w:tab/>
        <w:t>(2)</w:t>
      </w:r>
      <w:r>
        <w:tab/>
        <w:t>The court may make an order for the issue of a warrant to an enforcement officer for—</w:t>
      </w:r>
    </w:p>
    <w:p w14:paraId="5AA035D5" w14:textId="77777777" w:rsidR="008112BD" w:rsidRDefault="008112BD" w:rsidP="008112BD">
      <w:pPr>
        <w:pStyle w:val="Apara"/>
      </w:pPr>
      <w:r>
        <w:tab/>
        <w:t>(a)</w:t>
      </w:r>
      <w:r>
        <w:tab/>
        <w:t>the arrest of a named senior officer of the corporation; and</w:t>
      </w:r>
    </w:p>
    <w:p w14:paraId="4F3E119B" w14:textId="77777777" w:rsidR="008112BD" w:rsidRDefault="008112BD" w:rsidP="008112BD">
      <w:pPr>
        <w:pStyle w:val="Apara"/>
      </w:pPr>
      <w:r>
        <w:tab/>
        <w:t>(b)</w:t>
      </w:r>
      <w:r>
        <w:tab/>
        <w:t>the production of the senior officer as required by the subpoena, notice or order for the purpose of the proceeding; and</w:t>
      </w:r>
    </w:p>
    <w:p w14:paraId="1B36505C" w14:textId="77777777" w:rsidR="008112BD" w:rsidRDefault="008112BD" w:rsidP="008112BD">
      <w:pPr>
        <w:pStyle w:val="Apara"/>
        <w:keepNext/>
      </w:pPr>
      <w:r>
        <w:tab/>
        <w:t>(c)</w:t>
      </w:r>
      <w:r>
        <w:tab/>
        <w:t>the detention in custody of the senior officer until released by the court.</w:t>
      </w:r>
    </w:p>
    <w:p w14:paraId="0DB5A63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CB6B985"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58F7CA81" w14:textId="77777777" w:rsidR="008112BD" w:rsidRDefault="008112BD" w:rsidP="008112BD">
      <w:pPr>
        <w:pStyle w:val="Amain"/>
        <w:keepNext/>
      </w:pPr>
      <w:r>
        <w:tab/>
        <w:t>(4)</w:t>
      </w:r>
      <w:r>
        <w:tab/>
        <w:t>This rule does not limit any other power of the court.</w:t>
      </w:r>
    </w:p>
    <w:p w14:paraId="352090A1" w14:textId="04256B57"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12" w:tooltip="A2002-51" w:history="1">
        <w:r w:rsidRPr="00FE0788">
          <w:rPr>
            <w:rStyle w:val="charCitHyperlinkAbbrev"/>
          </w:rPr>
          <w:t>Criminal Code</w:t>
        </w:r>
      </w:hyperlink>
      <w:r>
        <w:t>, s 719 and s 720).</w:t>
      </w:r>
    </w:p>
    <w:p w14:paraId="3D593B31" w14:textId="7D393364" w:rsidR="008112BD" w:rsidRDefault="008112BD" w:rsidP="008112BD">
      <w:pPr>
        <w:pStyle w:val="Amain"/>
      </w:pPr>
      <w:r>
        <w:tab/>
        <w:t>(5)</w:t>
      </w:r>
      <w:r>
        <w:tab/>
        <w:t xml:space="preserve">For the </w:t>
      </w:r>
      <w:hyperlink r:id="rId213"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340A450" w14:textId="77777777" w:rsidR="008112BD" w:rsidRDefault="008112BD" w:rsidP="008112BD">
      <w:pPr>
        <w:pStyle w:val="AH5Sec"/>
      </w:pPr>
      <w:bookmarkStart w:id="802" w:name="_Toc185514418"/>
      <w:r w:rsidRPr="00C8328B">
        <w:rPr>
          <w:rStyle w:val="CharSectNo"/>
        </w:rPr>
        <w:t>2446</w:t>
      </w:r>
      <w:r>
        <w:tab/>
        <w:t>Enforcement by contempt or seizing and detaining property—preconditions</w:t>
      </w:r>
      <w:bookmarkEnd w:id="802"/>
    </w:p>
    <w:p w14:paraId="01EC5EEB" w14:textId="77777777"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14:paraId="64020648" w14:textId="77777777" w:rsidR="008112BD" w:rsidRDefault="008112BD" w:rsidP="008112BD">
      <w:pPr>
        <w:pStyle w:val="Apara"/>
      </w:pPr>
      <w:r>
        <w:tab/>
        <w:t>(a)</w:t>
      </w:r>
      <w:r>
        <w:tab/>
        <w:t>the person against whom the original order is to be enforced is served personally with a sealed copy of the original order; and</w:t>
      </w:r>
    </w:p>
    <w:p w14:paraId="3CB7D8BE" w14:textId="77777777"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14:paraId="7402C0AB" w14:textId="77777777"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14:paraId="28A6638C" w14:textId="77777777" w:rsidR="008112BD" w:rsidRDefault="008112BD" w:rsidP="008112BD">
      <w:pPr>
        <w:pStyle w:val="Asubpara"/>
      </w:pPr>
      <w:r>
        <w:tab/>
        <w:t>(i)</w:t>
      </w:r>
      <w:r>
        <w:tab/>
        <w:t>the original order requires the person to do something within a fixed time, and the person fails to do it; or</w:t>
      </w:r>
    </w:p>
    <w:p w14:paraId="1245BC6B" w14:textId="77777777" w:rsidR="008112BD" w:rsidRDefault="008112BD" w:rsidP="008112BD">
      <w:pPr>
        <w:pStyle w:val="Asubpara"/>
      </w:pPr>
      <w:r>
        <w:tab/>
        <w:t>(ii)</w:t>
      </w:r>
      <w:r>
        <w:tab/>
        <w:t>the original order requires the person not to do something, and the person does it.</w:t>
      </w:r>
    </w:p>
    <w:p w14:paraId="1859FE16" w14:textId="77777777"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14:paraId="4F7541B9" w14:textId="77777777" w:rsidR="008112BD" w:rsidRDefault="008112BD" w:rsidP="008112BD">
      <w:pPr>
        <w:pStyle w:val="Apara"/>
      </w:pPr>
      <w:r>
        <w:tab/>
        <w:t>(a)</w:t>
      </w:r>
      <w:r>
        <w:tab/>
        <w:t>the person was present when the order was made; or</w:t>
      </w:r>
    </w:p>
    <w:p w14:paraId="606724BB" w14:textId="77777777"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14:paraId="0137E02D" w14:textId="77777777" w:rsidR="006B04ED" w:rsidRDefault="006B04ED">
      <w:pPr>
        <w:pStyle w:val="02Text"/>
        <w:sectPr w:rsidR="006B04ED" w:rsidSect="00CD3DF7">
          <w:headerReference w:type="even" r:id="rId214"/>
          <w:headerReference w:type="default" r:id="rId215"/>
          <w:footerReference w:type="even" r:id="rId216"/>
          <w:footerReference w:type="default" r:id="rId217"/>
          <w:footerReference w:type="first" r:id="rId218"/>
          <w:pgSz w:w="11907" w:h="16839" w:code="9"/>
          <w:pgMar w:top="3880" w:right="1900" w:bottom="3100" w:left="2300" w:header="1920" w:footer="1760" w:gutter="0"/>
          <w:cols w:space="720"/>
          <w:docGrid w:linePitch="254"/>
        </w:sectPr>
      </w:pPr>
    </w:p>
    <w:p w14:paraId="3EBDACCE" w14:textId="77777777" w:rsidR="008112BD" w:rsidRPr="00C8328B" w:rsidRDefault="008112BD" w:rsidP="008112BD">
      <w:pPr>
        <w:pStyle w:val="AH3Div"/>
      </w:pPr>
      <w:bookmarkStart w:id="803" w:name="_Toc185514419"/>
      <w:r w:rsidRPr="00C8328B">
        <w:rPr>
          <w:rStyle w:val="CharDivNo"/>
        </w:rPr>
        <w:t>Division 2.18.13</w:t>
      </w:r>
      <w:r>
        <w:tab/>
      </w:r>
      <w:r w:rsidRPr="00C8328B">
        <w:rPr>
          <w:rStyle w:val="CharDivText"/>
        </w:rPr>
        <w:t>Enforcement of non-money orders—orders for delivery of possession of land</w:t>
      </w:r>
      <w:bookmarkEnd w:id="803"/>
    </w:p>
    <w:p w14:paraId="0D9B3D5F" w14:textId="77777777" w:rsidR="008112BD" w:rsidRDefault="008112BD" w:rsidP="008112BD">
      <w:pPr>
        <w:pStyle w:val="AH5Sec"/>
      </w:pPr>
      <w:bookmarkStart w:id="804" w:name="_Toc185514420"/>
      <w:r w:rsidRPr="00C8328B">
        <w:rPr>
          <w:rStyle w:val="CharSectNo"/>
        </w:rPr>
        <w:t>2450</w:t>
      </w:r>
      <w:r>
        <w:tab/>
        <w:t>Application—div 2.18.13</w:t>
      </w:r>
      <w:bookmarkEnd w:id="804"/>
    </w:p>
    <w:p w14:paraId="178E1385" w14:textId="77777777" w:rsidR="008112BD" w:rsidRDefault="008112BD" w:rsidP="00D30C72">
      <w:pPr>
        <w:pStyle w:val="Amainreturn"/>
      </w:pPr>
      <w:r>
        <w:t>This division applies only in relation to the Supreme Court.</w:t>
      </w:r>
    </w:p>
    <w:p w14:paraId="408F9D06" w14:textId="77777777" w:rsidR="008112BD" w:rsidRDefault="008112BD" w:rsidP="008112BD">
      <w:pPr>
        <w:pStyle w:val="AH5Sec"/>
      </w:pPr>
      <w:bookmarkStart w:id="805" w:name="_Toc185514421"/>
      <w:r w:rsidRPr="00C8328B">
        <w:rPr>
          <w:rStyle w:val="CharSectNo"/>
        </w:rPr>
        <w:t>2451</w:t>
      </w:r>
      <w:r>
        <w:tab/>
        <w:t>Order for delivery of possession of land—making</w:t>
      </w:r>
      <w:bookmarkEnd w:id="805"/>
    </w:p>
    <w:p w14:paraId="6087C280" w14:textId="77777777"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14:paraId="533D81BD" w14:textId="77777777"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14:paraId="79A7164F" w14:textId="33F938F4"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19" w:history="1">
        <w:r w:rsidRPr="008A4269">
          <w:rPr>
            <w:rStyle w:val="charCitHyperlinkAbbrev"/>
          </w:rPr>
          <w:t>AF2006-315</w:t>
        </w:r>
      </w:hyperlink>
      <w:r>
        <w:t>.</w:t>
      </w:r>
    </w:p>
    <w:p w14:paraId="1A0FCF0F" w14:textId="77777777" w:rsidR="008112BD" w:rsidRDefault="008112BD" w:rsidP="008112BD">
      <w:pPr>
        <w:pStyle w:val="Amain"/>
      </w:pPr>
      <w:r>
        <w:tab/>
        <w:t>(2)</w:t>
      </w:r>
      <w:r>
        <w:tab/>
        <w:t>The application is made by filing in the court—</w:t>
      </w:r>
    </w:p>
    <w:p w14:paraId="6B873DC0" w14:textId="77777777" w:rsidR="008112BD" w:rsidRDefault="008112BD" w:rsidP="008112BD">
      <w:pPr>
        <w:pStyle w:val="Apara"/>
      </w:pPr>
      <w:r>
        <w:tab/>
        <w:t>(a)</w:t>
      </w:r>
      <w:r>
        <w:tab/>
        <w:t>a draft of the order sought; and</w:t>
      </w:r>
    </w:p>
    <w:p w14:paraId="3E58DDA5" w14:textId="77777777" w:rsidR="008112BD" w:rsidRDefault="008112BD" w:rsidP="008112BD">
      <w:pPr>
        <w:pStyle w:val="Apara"/>
      </w:pPr>
      <w:r>
        <w:tab/>
        <w:t>(b)</w:t>
      </w:r>
      <w:r>
        <w:tab/>
        <w:t>an affidavit in support of the application.</w:t>
      </w:r>
    </w:p>
    <w:p w14:paraId="723BD62F" w14:textId="77777777" w:rsidR="008112BD" w:rsidRDefault="008112BD" w:rsidP="008112BD">
      <w:pPr>
        <w:pStyle w:val="Amain"/>
      </w:pPr>
      <w:r>
        <w:tab/>
        <w:t>(3)</w:t>
      </w:r>
      <w:r>
        <w:tab/>
        <w:t>The affidavit in support must state—</w:t>
      </w:r>
    </w:p>
    <w:p w14:paraId="7C94C1B5" w14:textId="77777777"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14:paraId="71D827AD" w14:textId="77777777" w:rsidR="008112BD" w:rsidRDefault="008112BD" w:rsidP="008112BD">
      <w:pPr>
        <w:pStyle w:val="Apara"/>
      </w:pPr>
      <w:r>
        <w:tab/>
        <w:t>(b)</w:t>
      </w:r>
      <w:r>
        <w:tab/>
        <w:t>that the original order has not been complied with; and</w:t>
      </w:r>
    </w:p>
    <w:p w14:paraId="0C76F97C" w14:textId="77777777"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14:paraId="4B4DB13C" w14:textId="77777777" w:rsidR="008112BD" w:rsidRDefault="008112BD" w:rsidP="008112BD">
      <w:pPr>
        <w:pStyle w:val="Apara"/>
      </w:pPr>
      <w:r>
        <w:tab/>
        <w:t>(d)</w:t>
      </w:r>
      <w:r>
        <w:tab/>
        <w:t>how rule 2452 has been complied with; and</w:t>
      </w:r>
    </w:p>
    <w:p w14:paraId="7E95248F" w14:textId="77777777" w:rsidR="008112BD" w:rsidRDefault="008112BD" w:rsidP="008112BD">
      <w:pPr>
        <w:pStyle w:val="Apara"/>
      </w:pPr>
      <w:r>
        <w:tab/>
        <w:t>(e)</w:t>
      </w:r>
      <w:r>
        <w:tab/>
        <w:t>any other information necessary for the order being sought.</w:t>
      </w:r>
    </w:p>
    <w:p w14:paraId="3AA87304" w14:textId="77777777" w:rsidR="008112BD" w:rsidRDefault="008112BD" w:rsidP="00D30C72">
      <w:pPr>
        <w:pStyle w:val="Amain"/>
        <w:keepNext/>
      </w:pPr>
      <w:r>
        <w:tab/>
        <w:t>(4)</w:t>
      </w:r>
      <w:r>
        <w:tab/>
        <w:t>The affidavit may contain statements of information and belief if the applicant states the sources of the information and the reasons for the belief.</w:t>
      </w:r>
    </w:p>
    <w:p w14:paraId="6B513E09" w14:textId="77777777" w:rsidR="008112BD" w:rsidRDefault="008112BD" w:rsidP="00D30C72">
      <w:pPr>
        <w:pStyle w:val="Amain"/>
        <w:keepNext/>
      </w:pPr>
      <w:r>
        <w:tab/>
        <w:t>(5)</w:t>
      </w:r>
      <w:r>
        <w:tab/>
        <w:t>The affidavit must be sworn not earlier than 2 days before the day the application is filed in the court.</w:t>
      </w:r>
    </w:p>
    <w:p w14:paraId="26C5DA74" w14:textId="77777777" w:rsidR="008112BD" w:rsidRDefault="008112BD" w:rsidP="008112BD">
      <w:pPr>
        <w:pStyle w:val="Amain"/>
      </w:pPr>
      <w:r>
        <w:tab/>
        <w:t>(6)</w:t>
      </w:r>
      <w:r>
        <w:tab/>
        <w:t>Part 6.2 (Applications in proceedings) does not apply to an application under this rule.</w:t>
      </w:r>
    </w:p>
    <w:p w14:paraId="0F5A5F4C" w14:textId="77777777" w:rsidR="008112BD" w:rsidRDefault="008112BD" w:rsidP="008112BD">
      <w:pPr>
        <w:pStyle w:val="Amain"/>
      </w:pPr>
      <w:r>
        <w:tab/>
        <w:t>(7)</w:t>
      </w:r>
      <w:r>
        <w:tab/>
        <w:t>The draft order and supporting affidavit need not be served on anyone unless the court otherwise orders on its own initiative.</w:t>
      </w:r>
    </w:p>
    <w:p w14:paraId="1906A135" w14:textId="77777777" w:rsidR="008112BD" w:rsidRDefault="008112BD" w:rsidP="008112BD">
      <w:pPr>
        <w:pStyle w:val="Amain"/>
      </w:pPr>
      <w:r>
        <w:tab/>
        <w:t>(8)</w:t>
      </w:r>
      <w:r>
        <w:tab/>
        <w:t>Unless the court otherwise orders on its own initiative, an application under this rule must be dealt with without a hearing and in the absence of the parties.</w:t>
      </w:r>
    </w:p>
    <w:p w14:paraId="2E632361" w14:textId="77777777" w:rsidR="008112BD" w:rsidRDefault="008112BD" w:rsidP="008112BD">
      <w:pPr>
        <w:pStyle w:val="AH5Sec"/>
      </w:pPr>
      <w:bookmarkStart w:id="806" w:name="_Toc185514422"/>
      <w:r w:rsidRPr="00C8328B">
        <w:rPr>
          <w:rStyle w:val="CharSectNo"/>
        </w:rPr>
        <w:lastRenderedPageBreak/>
        <w:t>2452</w:t>
      </w:r>
      <w:r>
        <w:tab/>
        <w:t>Orders for delivery of possession of land—preconditions</w:t>
      </w:r>
      <w:bookmarkEnd w:id="806"/>
    </w:p>
    <w:p w14:paraId="2C5111C3" w14:textId="77777777"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14:paraId="3D23314B" w14:textId="77777777"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14:paraId="0A26E0B8" w14:textId="77777777" w:rsidR="008112BD" w:rsidRDefault="008112BD" w:rsidP="008112BD">
      <w:pPr>
        <w:pStyle w:val="aNote"/>
      </w:pPr>
      <w:r w:rsidRPr="00FE0788">
        <w:rPr>
          <w:rStyle w:val="charItals"/>
        </w:rPr>
        <w:t>Note</w:t>
      </w:r>
      <w:r>
        <w:tab/>
        <w:t>Pt 6.2 (Applications in proceedings) applies to an application for leave.</w:t>
      </w:r>
    </w:p>
    <w:p w14:paraId="11B0ECC9" w14:textId="77777777" w:rsidR="006B04ED" w:rsidRDefault="006B04ED">
      <w:pPr>
        <w:pStyle w:val="02Text"/>
        <w:sectPr w:rsidR="006B04ED" w:rsidSect="00CD3DF7">
          <w:headerReference w:type="even" r:id="rId220"/>
          <w:headerReference w:type="default" r:id="rId221"/>
          <w:footerReference w:type="even" r:id="rId222"/>
          <w:footerReference w:type="default" r:id="rId223"/>
          <w:footerReference w:type="first" r:id="rId224"/>
          <w:type w:val="continuous"/>
          <w:pgSz w:w="11907" w:h="16839" w:code="9"/>
          <w:pgMar w:top="3878" w:right="1899" w:bottom="3101" w:left="2302" w:header="1922" w:footer="1758" w:gutter="0"/>
          <w:cols w:space="720"/>
          <w:docGrid w:linePitch="254"/>
        </w:sectPr>
      </w:pPr>
    </w:p>
    <w:p w14:paraId="3CCB4311" w14:textId="77777777" w:rsidR="008112BD" w:rsidRPr="00C8328B" w:rsidRDefault="008112BD" w:rsidP="008112BD">
      <w:pPr>
        <w:pStyle w:val="AH3Div"/>
      </w:pPr>
      <w:bookmarkStart w:id="807" w:name="_Toc185514423"/>
      <w:r w:rsidRPr="00C8328B">
        <w:rPr>
          <w:rStyle w:val="CharDivNo"/>
        </w:rPr>
        <w:t>Division 2.18.14</w:t>
      </w:r>
      <w:r>
        <w:tab/>
      </w:r>
      <w:r w:rsidRPr="00C8328B">
        <w:rPr>
          <w:rStyle w:val="CharDivText"/>
        </w:rPr>
        <w:t>Enforcement of non-money orders—orders for seizure and delivery of goods</w:t>
      </w:r>
      <w:bookmarkEnd w:id="807"/>
    </w:p>
    <w:p w14:paraId="5CD8C6E7" w14:textId="77777777" w:rsidR="008112BD" w:rsidRDefault="008112BD" w:rsidP="008112BD">
      <w:pPr>
        <w:pStyle w:val="AH5Sec"/>
      </w:pPr>
      <w:bookmarkStart w:id="808" w:name="_Toc185514424"/>
      <w:r w:rsidRPr="00C8328B">
        <w:rPr>
          <w:rStyle w:val="CharSectNo"/>
        </w:rPr>
        <w:t>2460</w:t>
      </w:r>
      <w:r>
        <w:tab/>
        <w:t>Order for seizure and delivery of goods—making</w:t>
      </w:r>
      <w:bookmarkEnd w:id="808"/>
    </w:p>
    <w:p w14:paraId="0353830F" w14:textId="77777777"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14:paraId="35D78295" w14:textId="630B05F0" w:rsidR="008112BD" w:rsidRDefault="008112BD" w:rsidP="008112BD">
      <w:pPr>
        <w:pStyle w:val="aNote"/>
      </w:pPr>
      <w:r w:rsidRPr="00FE0788">
        <w:rPr>
          <w:rStyle w:val="charItals"/>
        </w:rPr>
        <w:t>Note</w:t>
      </w:r>
      <w:r>
        <w:tab/>
        <w:t xml:space="preserve">See approved form 2.71 (Order for seizure and delivery of goods) </w:t>
      </w:r>
      <w:hyperlink r:id="rId225" w:history="1">
        <w:r w:rsidRPr="008A4269">
          <w:rPr>
            <w:rStyle w:val="charCitHyperlinkAbbrev"/>
          </w:rPr>
          <w:t>AF2006-316</w:t>
        </w:r>
      </w:hyperlink>
      <w:r>
        <w:t>.</w:t>
      </w:r>
    </w:p>
    <w:p w14:paraId="27B96773" w14:textId="77777777" w:rsidR="008112BD" w:rsidRDefault="008112BD" w:rsidP="008112BD">
      <w:pPr>
        <w:pStyle w:val="Amain"/>
      </w:pPr>
      <w:r>
        <w:tab/>
        <w:t>(2)</w:t>
      </w:r>
      <w:r>
        <w:tab/>
        <w:t>If—</w:t>
      </w:r>
    </w:p>
    <w:p w14:paraId="0EC25EAD"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51B6D9A7" w14:textId="77777777" w:rsidR="008112BD" w:rsidRDefault="008112BD" w:rsidP="00B63703">
      <w:pPr>
        <w:pStyle w:val="Apara"/>
        <w:keepNext/>
      </w:pPr>
      <w:r>
        <w:lastRenderedPageBreak/>
        <w:tab/>
        <w:t>(b)</w:t>
      </w:r>
      <w:r>
        <w:tab/>
        <w:t>the person does not exercise the option;</w:t>
      </w:r>
    </w:p>
    <w:p w14:paraId="6EC8CE75" w14:textId="77777777" w:rsidR="008112BD" w:rsidRDefault="008112BD" w:rsidP="008112BD">
      <w:pPr>
        <w:pStyle w:val="Amainreturn"/>
        <w:keepNext/>
      </w:pPr>
      <w:r>
        <w:t>the court may, on application by the person in whose favour the original order was made, make an order for seizure and delivery of goods.</w:t>
      </w:r>
    </w:p>
    <w:p w14:paraId="28A542D6" w14:textId="77777777" w:rsidR="008112BD" w:rsidRDefault="008112BD" w:rsidP="008112BD">
      <w:pPr>
        <w:pStyle w:val="Amain"/>
        <w:keepNext/>
      </w:pPr>
      <w:r>
        <w:tab/>
        <w:t>(3)</w:t>
      </w:r>
      <w:r>
        <w:tab/>
        <w:t>An application under this rule is made by filing in the court—</w:t>
      </w:r>
    </w:p>
    <w:p w14:paraId="6701C79C" w14:textId="77777777" w:rsidR="008112BD" w:rsidRDefault="008112BD" w:rsidP="008112BD">
      <w:pPr>
        <w:pStyle w:val="Apara"/>
        <w:keepNext/>
      </w:pPr>
      <w:r>
        <w:tab/>
        <w:t>(a)</w:t>
      </w:r>
      <w:r>
        <w:tab/>
        <w:t>a draft of the order sought; and</w:t>
      </w:r>
    </w:p>
    <w:p w14:paraId="4A538A88" w14:textId="77777777" w:rsidR="008112BD" w:rsidRDefault="008112BD" w:rsidP="008112BD">
      <w:pPr>
        <w:pStyle w:val="Apara"/>
        <w:keepNext/>
      </w:pPr>
      <w:r>
        <w:tab/>
        <w:t>(b)</w:t>
      </w:r>
      <w:r>
        <w:tab/>
        <w:t>an affidavit in support of the application.</w:t>
      </w:r>
    </w:p>
    <w:p w14:paraId="01F65B9A" w14:textId="77777777" w:rsidR="008112BD" w:rsidRDefault="008112BD" w:rsidP="008112BD">
      <w:pPr>
        <w:pStyle w:val="Amain"/>
      </w:pPr>
      <w:r>
        <w:tab/>
        <w:t>(4)</w:t>
      </w:r>
      <w:r>
        <w:tab/>
        <w:t>Part 6.2 (Applications in proceedings) does not apply to an application under this rule.</w:t>
      </w:r>
    </w:p>
    <w:p w14:paraId="6324CE67" w14:textId="77777777" w:rsidR="008112BD" w:rsidRDefault="008112BD" w:rsidP="008112BD">
      <w:pPr>
        <w:pStyle w:val="Amain"/>
      </w:pPr>
      <w:r>
        <w:tab/>
        <w:t>(5)</w:t>
      </w:r>
      <w:r>
        <w:tab/>
        <w:t>The draft order and supporting affidavit need not be served on anyone unless the court otherwise orders on its own initiative.</w:t>
      </w:r>
    </w:p>
    <w:p w14:paraId="160F2CC0" w14:textId="77777777" w:rsidR="008112BD" w:rsidRDefault="008112BD" w:rsidP="008112BD">
      <w:pPr>
        <w:pStyle w:val="Amain"/>
      </w:pPr>
      <w:r>
        <w:tab/>
        <w:t>(6)</w:t>
      </w:r>
      <w:r>
        <w:tab/>
        <w:t>Unless the court otherwise orders on its own initiative, an application under this rule must be dealt with without a hearing and in the absence of the parties.</w:t>
      </w:r>
    </w:p>
    <w:p w14:paraId="5F34785F" w14:textId="77777777" w:rsidR="008112BD" w:rsidRDefault="008112BD" w:rsidP="008112BD">
      <w:pPr>
        <w:pStyle w:val="Amain"/>
      </w:pPr>
      <w:r>
        <w:tab/>
        <w:t>(7)</w:t>
      </w:r>
      <w:r>
        <w:tab/>
        <w:t>An order for seizure and delivery of goods may include provision for enforcing the payment of an amount required by the order to be paid.</w:t>
      </w:r>
    </w:p>
    <w:p w14:paraId="7AFABE4F" w14:textId="77777777" w:rsidR="008112BD" w:rsidRDefault="008112BD" w:rsidP="008112BD">
      <w:pPr>
        <w:pStyle w:val="Amain"/>
      </w:pPr>
      <w:r>
        <w:tab/>
        <w:t>(8)</w:t>
      </w:r>
      <w:r>
        <w:tab/>
        <w:t>If—</w:t>
      </w:r>
    </w:p>
    <w:p w14:paraId="0063C8D3"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0F1BFE54" w14:textId="77777777" w:rsidR="008112BD" w:rsidRDefault="008112BD" w:rsidP="008112BD">
      <w:pPr>
        <w:pStyle w:val="Apara"/>
      </w:pPr>
      <w:r>
        <w:tab/>
        <w:t>(b)</w:t>
      </w:r>
      <w:r>
        <w:tab/>
        <w:t>the person exercises the option;</w:t>
      </w:r>
    </w:p>
    <w:p w14:paraId="3FF88E6B" w14:textId="77777777" w:rsidR="008112BD" w:rsidRDefault="008112BD" w:rsidP="008112BD">
      <w:pPr>
        <w:pStyle w:val="Amainreturn"/>
      </w:pPr>
      <w:r>
        <w:t>the original order may be enforced in the same way as a money order.</w:t>
      </w:r>
    </w:p>
    <w:p w14:paraId="0DA4DBD9" w14:textId="77777777" w:rsidR="002E5CF7" w:rsidRDefault="002E5CF7">
      <w:pPr>
        <w:pStyle w:val="02Text"/>
        <w:sectPr w:rsidR="002E5CF7" w:rsidSect="00CD3DF7">
          <w:headerReference w:type="even" r:id="rId226"/>
          <w:headerReference w:type="default" r:id="rId227"/>
          <w:footerReference w:type="even" r:id="rId228"/>
          <w:footerReference w:type="default" r:id="rId229"/>
          <w:footerReference w:type="first" r:id="rId230"/>
          <w:type w:val="continuous"/>
          <w:pgSz w:w="11907" w:h="16839" w:code="9"/>
          <w:pgMar w:top="3878" w:right="1899" w:bottom="3101" w:left="2302" w:header="1922" w:footer="1758" w:gutter="0"/>
          <w:cols w:space="720"/>
          <w:docGrid w:linePitch="254"/>
        </w:sectPr>
      </w:pPr>
    </w:p>
    <w:p w14:paraId="6D2EA0D1" w14:textId="77777777" w:rsidR="008112BD" w:rsidRPr="00C8328B" w:rsidRDefault="008112BD" w:rsidP="008112BD">
      <w:pPr>
        <w:pStyle w:val="AH3Div"/>
      </w:pPr>
      <w:bookmarkStart w:id="809" w:name="_Toc185514425"/>
      <w:r w:rsidRPr="00C8328B">
        <w:rPr>
          <w:rStyle w:val="CharDivNo"/>
        </w:rPr>
        <w:lastRenderedPageBreak/>
        <w:t>Division 2.18.15</w:t>
      </w:r>
      <w:r>
        <w:tab/>
      </w:r>
      <w:r w:rsidRPr="00C8328B">
        <w:rPr>
          <w:rStyle w:val="CharDivText"/>
        </w:rPr>
        <w:t>Enforcement of non-money orders—orders for seizure and detention of property</w:t>
      </w:r>
      <w:bookmarkEnd w:id="809"/>
    </w:p>
    <w:p w14:paraId="30DC6FCE" w14:textId="77777777" w:rsidR="008112BD" w:rsidRDefault="008112BD" w:rsidP="008112BD">
      <w:pPr>
        <w:pStyle w:val="AH5Sec"/>
      </w:pPr>
      <w:bookmarkStart w:id="810" w:name="_Toc185514426"/>
      <w:r w:rsidRPr="00C8328B">
        <w:rPr>
          <w:rStyle w:val="CharSectNo"/>
        </w:rPr>
        <w:t>2470</w:t>
      </w:r>
      <w:r>
        <w:tab/>
        <w:t>Order for seizure and detention of property—making</w:t>
      </w:r>
      <w:bookmarkEnd w:id="810"/>
    </w:p>
    <w:p w14:paraId="13BA11AC" w14:textId="77777777"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14:paraId="6444B32C"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A9A87F6" w14:textId="77777777" w:rsidR="008112BD" w:rsidRDefault="008112BD" w:rsidP="008112BD">
      <w:pPr>
        <w:pStyle w:val="AH5Sec"/>
      </w:pPr>
      <w:bookmarkStart w:id="811" w:name="_Toc185514427"/>
      <w:r w:rsidRPr="00C8328B">
        <w:rPr>
          <w:rStyle w:val="CharSectNo"/>
        </w:rPr>
        <w:t>2471</w:t>
      </w:r>
      <w:r>
        <w:tab/>
        <w:t>Order for seizure and detention of property—preconditions</w:t>
      </w:r>
      <w:bookmarkEnd w:id="811"/>
    </w:p>
    <w:p w14:paraId="555EAE33" w14:textId="77777777" w:rsidR="008112BD" w:rsidRDefault="008112BD" w:rsidP="008112BD">
      <w:pPr>
        <w:pStyle w:val="Amainreturn"/>
      </w:pPr>
      <w:r>
        <w:t>The court may make an order for seizure and detention of property only if the non-money order being enforced stated a time for compliance and the time has passed.</w:t>
      </w:r>
    </w:p>
    <w:p w14:paraId="2C4DBF75" w14:textId="77777777" w:rsidR="008112BD" w:rsidRDefault="008112BD" w:rsidP="008112BD">
      <w:pPr>
        <w:pStyle w:val="AH5Sec"/>
      </w:pPr>
      <w:bookmarkStart w:id="812" w:name="_Toc185514428"/>
      <w:r w:rsidRPr="00C8328B">
        <w:rPr>
          <w:rStyle w:val="CharSectNo"/>
        </w:rPr>
        <w:t>2472</w:t>
      </w:r>
      <w:r>
        <w:tab/>
        <w:t>Order for seizure and detention of property—against officer of corporation</w:t>
      </w:r>
      <w:bookmarkEnd w:id="812"/>
    </w:p>
    <w:p w14:paraId="3DB6B8AE" w14:textId="77777777"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14:paraId="25D7C880" w14:textId="77777777" w:rsidR="008112BD" w:rsidRDefault="008112BD" w:rsidP="008112BD">
      <w:pPr>
        <w:pStyle w:val="Amain"/>
      </w:pPr>
      <w:r>
        <w:tab/>
        <w:t>(2)</w:t>
      </w:r>
      <w:r>
        <w:tab/>
        <w:t>A stamped copy of the application and of each affidavit in support must be served on the officer.</w:t>
      </w:r>
    </w:p>
    <w:p w14:paraId="62338F72" w14:textId="77777777" w:rsidR="008112BD" w:rsidRDefault="008112BD" w:rsidP="008112BD">
      <w:pPr>
        <w:pStyle w:val="AH5Sec"/>
      </w:pPr>
      <w:bookmarkStart w:id="813" w:name="_Toc185514429"/>
      <w:r w:rsidRPr="00C8328B">
        <w:rPr>
          <w:rStyle w:val="CharSectNo"/>
        </w:rPr>
        <w:lastRenderedPageBreak/>
        <w:t>2473</w:t>
      </w:r>
      <w:r>
        <w:tab/>
        <w:t>Order for seizure and detention of property—return of seized property</w:t>
      </w:r>
      <w:bookmarkEnd w:id="813"/>
    </w:p>
    <w:p w14:paraId="6F12E40C" w14:textId="77777777"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14:paraId="42C3A62E" w14:textId="77777777" w:rsidR="008112BD" w:rsidRPr="00C8328B" w:rsidRDefault="008112BD" w:rsidP="008112BD">
      <w:pPr>
        <w:pStyle w:val="AH3Div"/>
      </w:pPr>
      <w:bookmarkStart w:id="814" w:name="_Toc185514430"/>
      <w:r w:rsidRPr="00C8328B">
        <w:rPr>
          <w:rStyle w:val="CharDivNo"/>
        </w:rPr>
        <w:t>Division 2.18.16</w:t>
      </w:r>
      <w:r>
        <w:tab/>
      </w:r>
      <w:r w:rsidRPr="00C8328B">
        <w:rPr>
          <w:rStyle w:val="CharDivText"/>
        </w:rPr>
        <w:t>Enforcement—contempt</w:t>
      </w:r>
      <w:bookmarkEnd w:id="814"/>
    </w:p>
    <w:p w14:paraId="66CB1C6F" w14:textId="77777777" w:rsidR="008112BD" w:rsidRDefault="008112BD" w:rsidP="008112BD">
      <w:pPr>
        <w:pStyle w:val="AH5Sec"/>
      </w:pPr>
      <w:bookmarkStart w:id="815" w:name="_Toc185514431"/>
      <w:r w:rsidRPr="00C8328B">
        <w:rPr>
          <w:rStyle w:val="CharSectNo"/>
        </w:rPr>
        <w:t>2500</w:t>
      </w:r>
      <w:r>
        <w:tab/>
        <w:t>Contempt—application of div 2.18.16</w:t>
      </w:r>
      <w:bookmarkEnd w:id="815"/>
    </w:p>
    <w:p w14:paraId="190EB37B" w14:textId="77777777" w:rsidR="008112BD" w:rsidRDefault="008112BD" w:rsidP="008112BD">
      <w:pPr>
        <w:pStyle w:val="Amainreturn"/>
      </w:pPr>
      <w:r>
        <w:t>This division applies to the following contempts:</w:t>
      </w:r>
    </w:p>
    <w:p w14:paraId="64083166" w14:textId="77777777" w:rsidR="008112BD" w:rsidRDefault="008112BD" w:rsidP="008112BD">
      <w:pPr>
        <w:pStyle w:val="Apara"/>
      </w:pPr>
      <w:r>
        <w:tab/>
        <w:t>(a)</w:t>
      </w:r>
      <w:r>
        <w:tab/>
        <w:t>contempt for contravention of an order of the court or an undertaking given to the court;</w:t>
      </w:r>
    </w:p>
    <w:p w14:paraId="295C0D58" w14:textId="77777777" w:rsidR="008112BD" w:rsidRDefault="008112BD" w:rsidP="008112BD">
      <w:pPr>
        <w:pStyle w:val="Apara"/>
      </w:pPr>
      <w:r>
        <w:tab/>
        <w:t>(b)</w:t>
      </w:r>
      <w:r>
        <w:tab/>
        <w:t>contempt committed in the face or in the hearing of the court;</w:t>
      </w:r>
    </w:p>
    <w:p w14:paraId="4B78A30A" w14:textId="77777777" w:rsidR="008112BD" w:rsidRDefault="008112BD" w:rsidP="008112BD">
      <w:pPr>
        <w:pStyle w:val="Apara"/>
      </w:pPr>
      <w:r>
        <w:tab/>
        <w:t>(c)</w:t>
      </w:r>
      <w:r>
        <w:tab/>
        <w:t>any other contempt of the court;</w:t>
      </w:r>
    </w:p>
    <w:p w14:paraId="6E1387B4" w14:textId="5D416B8A" w:rsidR="008112BD" w:rsidRPr="00DC6DB8" w:rsidRDefault="008112BD" w:rsidP="008112BD">
      <w:pPr>
        <w:pStyle w:val="Apara"/>
      </w:pPr>
      <w:r w:rsidRPr="00DC6DB8">
        <w:tab/>
        <w:t>(d)</w:t>
      </w:r>
      <w:r w:rsidRPr="00DC6DB8">
        <w:tab/>
        <w:t xml:space="preserve">contempt of the Australian Crime Commission under the </w:t>
      </w:r>
      <w:hyperlink r:id="rId231" w:tooltip="Act 1984 No 41 (Cwlth)" w:history="1">
        <w:r w:rsidRPr="008A4269">
          <w:rPr>
            <w:rStyle w:val="charCitHyperlinkItal"/>
          </w:rPr>
          <w:t>Australian Crime Commission Act 2002</w:t>
        </w:r>
      </w:hyperlink>
      <w:r w:rsidRPr="00DC6DB8">
        <w:t xml:space="preserve"> (Cwlth), section 34A</w:t>
      </w:r>
      <w:r w:rsidR="00CB0A45">
        <w:t>;</w:t>
      </w:r>
    </w:p>
    <w:p w14:paraId="7E49F2C2" w14:textId="4C6C919C" w:rsidR="008B12AE" w:rsidRPr="00A005D4" w:rsidRDefault="008B12AE" w:rsidP="00936907">
      <w:pPr>
        <w:pStyle w:val="Apara"/>
      </w:pPr>
      <w:r w:rsidRPr="00A005D4">
        <w:tab/>
        <w:t>(e)</w:t>
      </w:r>
      <w:r w:rsidRPr="00A005D4">
        <w:tab/>
        <w:t xml:space="preserve">contempt of the ACT Integrity Commission under the </w:t>
      </w:r>
      <w:hyperlink r:id="rId232" w:tooltip="A2018-52" w:history="1">
        <w:r w:rsidRPr="00A005D4">
          <w:rPr>
            <w:rStyle w:val="charCitHyperlinkItal"/>
          </w:rPr>
          <w:t>Integrity Commission Act 2018</w:t>
        </w:r>
      </w:hyperlink>
      <w:r w:rsidRPr="00A005D4">
        <w:t>, section 166.</w:t>
      </w:r>
    </w:p>
    <w:p w14:paraId="75F2EBBE" w14:textId="77777777" w:rsidR="008112BD" w:rsidRDefault="008112BD" w:rsidP="008112BD">
      <w:pPr>
        <w:pStyle w:val="AH5Sec"/>
      </w:pPr>
      <w:bookmarkStart w:id="816" w:name="_Toc185514432"/>
      <w:r w:rsidRPr="00C8328B">
        <w:rPr>
          <w:rStyle w:val="CharSectNo"/>
        </w:rPr>
        <w:t>2501</w:t>
      </w:r>
      <w:r>
        <w:tab/>
        <w:t>Contempt—applications generally</w:t>
      </w:r>
      <w:bookmarkEnd w:id="816"/>
    </w:p>
    <w:p w14:paraId="034ACE30" w14:textId="77777777"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14:paraId="67D4CC25" w14:textId="77777777" w:rsidR="008112BD" w:rsidRDefault="008112BD" w:rsidP="008112BD">
      <w:pPr>
        <w:pStyle w:val="Amain"/>
        <w:keepNext/>
      </w:pPr>
      <w:r>
        <w:tab/>
        <w:t>(2)</w:t>
      </w:r>
      <w:r>
        <w:tab/>
        <w:t>The application may be made—</w:t>
      </w:r>
    </w:p>
    <w:p w14:paraId="69A896EF" w14:textId="77777777" w:rsidR="008112BD" w:rsidRDefault="008112BD" w:rsidP="008112BD">
      <w:pPr>
        <w:pStyle w:val="Apara"/>
        <w:keepNext/>
      </w:pPr>
      <w:r>
        <w:tab/>
        <w:t>(a)</w:t>
      </w:r>
      <w:r>
        <w:tab/>
        <w:t>in the proceeding in which the contempt was committed; or</w:t>
      </w:r>
    </w:p>
    <w:p w14:paraId="03B34A7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14:paraId="103C391B" w14:textId="77777777" w:rsidR="008112BD" w:rsidRDefault="008112BD" w:rsidP="008112BD">
      <w:pPr>
        <w:pStyle w:val="Apara"/>
        <w:keepNext/>
      </w:pPr>
      <w:r>
        <w:lastRenderedPageBreak/>
        <w:tab/>
        <w:t>(b)</w:t>
      </w:r>
      <w:r>
        <w:tab/>
        <w:t>by originating application.</w:t>
      </w:r>
    </w:p>
    <w:p w14:paraId="71678909" w14:textId="77777777"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14:paraId="2C01225F" w14:textId="77777777" w:rsidR="008112BD" w:rsidRDefault="008112BD" w:rsidP="008112BD">
      <w:pPr>
        <w:pStyle w:val="Amain"/>
      </w:pPr>
      <w:r>
        <w:tab/>
        <w:t>(3)</w:t>
      </w:r>
      <w:r>
        <w:tab/>
        <w:t>The application must set out particulars of the contempt.</w:t>
      </w:r>
    </w:p>
    <w:p w14:paraId="429052FB" w14:textId="77777777" w:rsidR="008112BD" w:rsidRDefault="008112BD" w:rsidP="008112BD">
      <w:pPr>
        <w:pStyle w:val="Amain"/>
      </w:pPr>
      <w:r>
        <w:tab/>
        <w:t>(4)</w:t>
      </w:r>
      <w:r>
        <w:tab/>
        <w:t>The application and any affidavit in support of it must be served on the respondent personally.</w:t>
      </w:r>
    </w:p>
    <w:p w14:paraId="35CC3110" w14:textId="77777777" w:rsidR="008112BD" w:rsidRDefault="008112BD" w:rsidP="008112BD">
      <w:pPr>
        <w:pStyle w:val="Amain"/>
      </w:pPr>
      <w:r>
        <w:tab/>
        <w:t>(5)</w:t>
      </w:r>
      <w:r>
        <w:tab/>
        <w:t>An affidavit in support of or opposing the application must not contain evidence that the person making it could not give if giving evidence orally.</w:t>
      </w:r>
    </w:p>
    <w:p w14:paraId="75831065" w14:textId="77777777" w:rsidR="008112BD" w:rsidRDefault="008112BD" w:rsidP="008112BD">
      <w:pPr>
        <w:pStyle w:val="AH5Sec"/>
      </w:pPr>
      <w:bookmarkStart w:id="817" w:name="_Toc185514433"/>
      <w:r w:rsidRPr="00C8328B">
        <w:rPr>
          <w:rStyle w:val="CharSectNo"/>
        </w:rPr>
        <w:t>2502</w:t>
      </w:r>
      <w:r>
        <w:tab/>
        <w:t>Contempt—application by registrar</w:t>
      </w:r>
      <w:bookmarkEnd w:id="817"/>
    </w:p>
    <w:p w14:paraId="4018EDE0" w14:textId="77777777" w:rsidR="008112BD" w:rsidRDefault="008112BD" w:rsidP="008112BD">
      <w:pPr>
        <w:pStyle w:val="Amainreturn"/>
      </w:pPr>
      <w:r>
        <w:t>The court may, by order, direct the registrar to apply to the court for a person to be punished for contempt.</w:t>
      </w:r>
    </w:p>
    <w:p w14:paraId="176A7588" w14:textId="77777777" w:rsidR="008112BD" w:rsidRPr="00DC6DB8" w:rsidRDefault="008112BD" w:rsidP="008112BD">
      <w:pPr>
        <w:pStyle w:val="AH5Sec"/>
      </w:pPr>
      <w:bookmarkStart w:id="818" w:name="_Toc185514434"/>
      <w:r w:rsidRPr="00C8328B">
        <w:rPr>
          <w:rStyle w:val="CharSectNo"/>
        </w:rPr>
        <w:t>2502A</w:t>
      </w:r>
      <w:r w:rsidRPr="00DC6DB8">
        <w:tab/>
        <w:t>Contempt of the Australian Crime Commission</w:t>
      </w:r>
      <w:bookmarkEnd w:id="818"/>
    </w:p>
    <w:p w14:paraId="6A2B9CFF" w14:textId="77777777"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14:paraId="2632E47D" w14:textId="2D19B651"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33"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14:paraId="097460F0" w14:textId="77777777"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14:paraId="50B77C47" w14:textId="77777777" w:rsidR="008112BD" w:rsidRPr="00DC6DB8" w:rsidRDefault="008112BD" w:rsidP="008112BD">
      <w:pPr>
        <w:pStyle w:val="Amain"/>
      </w:pPr>
      <w:r w:rsidRPr="00DC6DB8">
        <w:tab/>
        <w:t>(2)</w:t>
      </w:r>
      <w:r w:rsidRPr="00DC6DB8">
        <w:tab/>
        <w:t>The application must state whether or not the respondent has been detained to be brought before the court.</w:t>
      </w:r>
    </w:p>
    <w:p w14:paraId="2A278643" w14:textId="77777777"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14:paraId="49568358" w14:textId="77777777"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14:paraId="16F999FE" w14:textId="77777777" w:rsidR="00AF7193" w:rsidRPr="00A005D4" w:rsidRDefault="00AF7193" w:rsidP="00AF7193">
      <w:pPr>
        <w:pStyle w:val="AH5Sec"/>
      </w:pPr>
      <w:bookmarkStart w:id="819" w:name="_Toc185514435"/>
      <w:r w:rsidRPr="002659BE">
        <w:rPr>
          <w:rStyle w:val="CharSectNo"/>
        </w:rPr>
        <w:lastRenderedPageBreak/>
        <w:t>2502B</w:t>
      </w:r>
      <w:r w:rsidRPr="00A005D4">
        <w:tab/>
        <w:t>Contempt of the ACT Integrity Commission</w:t>
      </w:r>
      <w:bookmarkEnd w:id="819"/>
    </w:p>
    <w:p w14:paraId="009562A5" w14:textId="77777777" w:rsidR="00AF7193" w:rsidRPr="00A005D4" w:rsidRDefault="00AF7193" w:rsidP="00AF7193">
      <w:pPr>
        <w:pStyle w:val="Amain"/>
      </w:pPr>
      <w:r w:rsidRPr="00A005D4">
        <w:tab/>
        <w:t>(1)</w:t>
      </w:r>
      <w:r w:rsidRPr="00A005D4">
        <w:tab/>
        <w:t xml:space="preserve">An application for contempt of the ACT Integrity Commission by a person (the </w:t>
      </w:r>
      <w:r w:rsidRPr="00A005D4">
        <w:rPr>
          <w:rStyle w:val="charBoldItals"/>
        </w:rPr>
        <w:t>respondent</w:t>
      </w:r>
      <w:r w:rsidRPr="00A005D4">
        <w:t>) must be made by originating application.</w:t>
      </w:r>
    </w:p>
    <w:p w14:paraId="7DF5FE59" w14:textId="5718D371" w:rsidR="00AF7193" w:rsidRPr="00A005D4" w:rsidRDefault="00AF7193" w:rsidP="00AF7193">
      <w:pPr>
        <w:pStyle w:val="aNote"/>
        <w:keepNext/>
      </w:pPr>
      <w:r w:rsidRPr="00A005D4">
        <w:rPr>
          <w:rStyle w:val="charItals"/>
        </w:rPr>
        <w:t>Note 1</w:t>
      </w:r>
      <w:r w:rsidRPr="00A005D4">
        <w:rPr>
          <w:rStyle w:val="charItals"/>
        </w:rPr>
        <w:tab/>
      </w:r>
      <w:r w:rsidRPr="00A005D4">
        <w:t xml:space="preserve">The </w:t>
      </w:r>
      <w:hyperlink r:id="rId234" w:tooltip="A2018-52" w:history="1">
        <w:r w:rsidRPr="00A005D4">
          <w:rPr>
            <w:rStyle w:val="charCitHyperlinkItal"/>
          </w:rPr>
          <w:t>Integrity Commission Act 2018</w:t>
        </w:r>
      </w:hyperlink>
      <w:r w:rsidRPr="00A005D4">
        <w:t>, s 167 sets out the documents that must accompany the application.</w:t>
      </w:r>
    </w:p>
    <w:p w14:paraId="612B9531" w14:textId="77777777" w:rsidR="00AF7193" w:rsidRPr="00A005D4" w:rsidRDefault="00AF7193" w:rsidP="00AF7193">
      <w:pPr>
        <w:pStyle w:val="aNote"/>
      </w:pPr>
      <w:r w:rsidRPr="00A005D4">
        <w:rPr>
          <w:rStyle w:val="charItals"/>
        </w:rPr>
        <w:t>Note 2</w:t>
      </w:r>
      <w:r w:rsidRPr="00A005D4">
        <w:rPr>
          <w:rStyle w:val="charItals"/>
        </w:rPr>
        <w:tab/>
      </w:r>
      <w:r w:rsidRPr="00A005D4">
        <w:t>Div 2.2.3 (Originating applications) contains provisions about the contents of originating applications, the filing and service of originating applications, etc.</w:t>
      </w:r>
    </w:p>
    <w:p w14:paraId="60075DBA" w14:textId="77777777" w:rsidR="00AF7193" w:rsidRPr="00A005D4" w:rsidRDefault="00AF7193" w:rsidP="00AF7193">
      <w:pPr>
        <w:pStyle w:val="Amain"/>
      </w:pPr>
      <w:r w:rsidRPr="00A005D4">
        <w:tab/>
        <w:t>(2)</w:t>
      </w:r>
      <w:r w:rsidRPr="00A005D4">
        <w:tab/>
        <w:t>If an application under this rule is discontinued, the applicant must file and serve on the respondent a notice of discontinuance.</w:t>
      </w:r>
    </w:p>
    <w:p w14:paraId="15A39C1D" w14:textId="77777777" w:rsidR="00AF7193" w:rsidRPr="00A005D4" w:rsidRDefault="00AF7193" w:rsidP="00AF7193">
      <w:pPr>
        <w:pStyle w:val="aNote"/>
      </w:pPr>
      <w:r w:rsidRPr="00A005D4">
        <w:rPr>
          <w:rStyle w:val="charItals"/>
        </w:rPr>
        <w:t>Note</w:t>
      </w:r>
      <w:r w:rsidRPr="00A005D4">
        <w:rPr>
          <w:rStyle w:val="charItals"/>
        </w:rPr>
        <w:tab/>
      </w:r>
      <w:r w:rsidRPr="00A005D4">
        <w:t>See div 2.11.6 (Discontinuance and withdrawal).</w:t>
      </w:r>
    </w:p>
    <w:p w14:paraId="40A8BB75" w14:textId="77777777" w:rsidR="008112BD" w:rsidRDefault="008112BD" w:rsidP="008112BD">
      <w:pPr>
        <w:pStyle w:val="AH5Sec"/>
      </w:pPr>
      <w:bookmarkStart w:id="820" w:name="_Toc185514436"/>
      <w:r w:rsidRPr="00C8328B">
        <w:rPr>
          <w:rStyle w:val="CharSectNo"/>
        </w:rPr>
        <w:t>2503</w:t>
      </w:r>
      <w:r>
        <w:tab/>
        <w:t>Contempt—arrest warrant if respondent likely to abscond etc</w:t>
      </w:r>
      <w:bookmarkEnd w:id="820"/>
    </w:p>
    <w:p w14:paraId="242C56D1" w14:textId="77777777" w:rsidR="008112BD" w:rsidRDefault="008112BD" w:rsidP="008112BD">
      <w:pPr>
        <w:pStyle w:val="Amain"/>
        <w:keepNext/>
      </w:pPr>
      <w:r>
        <w:tab/>
        <w:t>(1)</w:t>
      </w:r>
      <w:r>
        <w:tab/>
        <w:t>This rule applies if—</w:t>
      </w:r>
    </w:p>
    <w:p w14:paraId="540B4533" w14:textId="77777777" w:rsidR="008112BD" w:rsidRDefault="008112BD" w:rsidP="008112BD">
      <w:pPr>
        <w:pStyle w:val="Apara"/>
      </w:pPr>
      <w:r>
        <w:tab/>
        <w:t>(a)</w:t>
      </w:r>
      <w:r>
        <w:tab/>
        <w:t>an application for punishment of a person for contempt has been filed in the court; and</w:t>
      </w:r>
    </w:p>
    <w:p w14:paraId="4F6A94FC" w14:textId="77777777" w:rsidR="008112BD" w:rsidRDefault="008112BD" w:rsidP="008112BD">
      <w:pPr>
        <w:pStyle w:val="Apara"/>
      </w:pPr>
      <w:r>
        <w:tab/>
        <w:t>(b)</w:t>
      </w:r>
      <w:r>
        <w:tab/>
        <w:t>the court considers that the person is likely to abscond or otherwise withdraw from the court’s jurisdiction.</w:t>
      </w:r>
    </w:p>
    <w:p w14:paraId="46E2711F" w14:textId="77777777"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14:paraId="781A897A" w14:textId="0805E0B0"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35" w:history="1">
        <w:r w:rsidRPr="008F2905">
          <w:rPr>
            <w:rStyle w:val="charCitHyperlinkAbbrev"/>
          </w:rPr>
          <w:t>AF2007-64</w:t>
        </w:r>
      </w:hyperlink>
      <w:r>
        <w:t>.</w:t>
      </w:r>
    </w:p>
    <w:p w14:paraId="2D18F7A5" w14:textId="77777777" w:rsidR="008112BD" w:rsidRDefault="008112BD" w:rsidP="008112BD">
      <w:pPr>
        <w:pStyle w:val="AH5Sec"/>
      </w:pPr>
      <w:bookmarkStart w:id="821" w:name="_Toc185514437"/>
      <w:r w:rsidRPr="00C8328B">
        <w:rPr>
          <w:rStyle w:val="CharSectNo"/>
        </w:rPr>
        <w:t>2504</w:t>
      </w:r>
      <w:r>
        <w:tab/>
        <w:t>Contempt in face or hearing of court—alternative procedure</w:t>
      </w:r>
      <w:bookmarkEnd w:id="821"/>
    </w:p>
    <w:p w14:paraId="31E14531" w14:textId="77777777"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14:paraId="2A2830E2" w14:textId="77777777" w:rsidR="008112BD" w:rsidRDefault="008112BD" w:rsidP="008112BD">
      <w:pPr>
        <w:pStyle w:val="Amain"/>
      </w:pPr>
      <w:r>
        <w:lastRenderedPageBreak/>
        <w:tab/>
        <w:t>(2)</w:t>
      </w:r>
      <w:r>
        <w:tab/>
        <w:t>If it is alleged or it appears to the court that a person is guilty of contempt of court committed in the face of, or in the hearing of, the court, the court may—</w:t>
      </w:r>
    </w:p>
    <w:p w14:paraId="62E81DE6" w14:textId="77777777" w:rsidR="008112BD" w:rsidRDefault="008112BD" w:rsidP="008112BD">
      <w:pPr>
        <w:pStyle w:val="Apara"/>
      </w:pPr>
      <w:r>
        <w:tab/>
        <w:t>(a)</w:t>
      </w:r>
      <w:r>
        <w:tab/>
        <w:t>by oral order direct the person to be brought before the court; or</w:t>
      </w:r>
    </w:p>
    <w:p w14:paraId="7DCFEB8D" w14:textId="77777777" w:rsidR="008112BD" w:rsidRDefault="008112BD" w:rsidP="008112BD">
      <w:pPr>
        <w:pStyle w:val="Apara"/>
        <w:keepNext/>
      </w:pPr>
      <w:r>
        <w:tab/>
        <w:t>(b)</w:t>
      </w:r>
      <w:r>
        <w:tab/>
        <w:t>issue a warrant for the person’s arrest.</w:t>
      </w:r>
    </w:p>
    <w:p w14:paraId="2C8C68C0" w14:textId="77777777" w:rsidR="008112BD" w:rsidRDefault="008112BD" w:rsidP="008112BD">
      <w:pPr>
        <w:pStyle w:val="Amain"/>
      </w:pPr>
      <w:r>
        <w:tab/>
        <w:t>(3)</w:t>
      </w:r>
      <w:r>
        <w:tab/>
        <w:t>Pending disposal of the charge of contempt, the court may direct that the person be kept in the custody the court directs or be released.</w:t>
      </w:r>
    </w:p>
    <w:p w14:paraId="219B5037" w14:textId="77777777"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14:paraId="5E6105E0" w14:textId="77777777" w:rsidR="008112BD" w:rsidRDefault="008112BD" w:rsidP="008112BD">
      <w:pPr>
        <w:pStyle w:val="Amain"/>
      </w:pPr>
      <w:r>
        <w:tab/>
        <w:t>(5)</w:t>
      </w:r>
      <w:r>
        <w:tab/>
        <w:t>If the person is brought before the court, the court must—</w:t>
      </w:r>
    </w:p>
    <w:p w14:paraId="4B2B4F8C" w14:textId="77777777" w:rsidR="008112BD" w:rsidRDefault="008112BD" w:rsidP="008112BD">
      <w:pPr>
        <w:pStyle w:val="Apara"/>
      </w:pPr>
      <w:r>
        <w:tab/>
        <w:t>(a)</w:t>
      </w:r>
      <w:r>
        <w:tab/>
        <w:t>tell the person orally of the contempt charged; and</w:t>
      </w:r>
    </w:p>
    <w:p w14:paraId="57977A49" w14:textId="77777777" w:rsidR="008112BD" w:rsidRDefault="008112BD" w:rsidP="008112BD">
      <w:pPr>
        <w:pStyle w:val="Apara"/>
      </w:pPr>
      <w:r>
        <w:tab/>
        <w:t>(b)</w:t>
      </w:r>
      <w:r>
        <w:tab/>
        <w:t>ask the person to show cause why punishment should not be imposed for contempt of court; and</w:t>
      </w:r>
    </w:p>
    <w:p w14:paraId="693B26D9" w14:textId="77777777" w:rsidR="008112BD" w:rsidRDefault="008112BD" w:rsidP="008112BD">
      <w:pPr>
        <w:pStyle w:val="Apara"/>
      </w:pPr>
      <w:r>
        <w:tab/>
        <w:t>(c)</w:t>
      </w:r>
      <w:r>
        <w:tab/>
        <w:t>after hearing the person, decide the matter in the way it considers appropriate; and</w:t>
      </w:r>
    </w:p>
    <w:p w14:paraId="1D4E34FE" w14:textId="77777777" w:rsidR="008112BD" w:rsidRDefault="008112BD" w:rsidP="008112BD">
      <w:pPr>
        <w:pStyle w:val="Apara"/>
      </w:pPr>
      <w:r>
        <w:tab/>
        <w:t>(d)</w:t>
      </w:r>
      <w:r>
        <w:tab/>
        <w:t>make an order for the person’s punishment or discharge.</w:t>
      </w:r>
    </w:p>
    <w:p w14:paraId="5C53A5CD" w14:textId="77777777" w:rsidR="008112BD" w:rsidRDefault="008112BD" w:rsidP="008112BD">
      <w:pPr>
        <w:pStyle w:val="AH5Sec"/>
      </w:pPr>
      <w:bookmarkStart w:id="822" w:name="_Toc185514438"/>
      <w:r w:rsidRPr="00C8328B">
        <w:rPr>
          <w:rStyle w:val="CharSectNo"/>
        </w:rPr>
        <w:t>2505</w:t>
      </w:r>
      <w:r>
        <w:tab/>
        <w:t>Contempt—arrest warrant</w:t>
      </w:r>
      <w:bookmarkEnd w:id="822"/>
    </w:p>
    <w:p w14:paraId="100C85CA" w14:textId="77777777"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14:paraId="4B754177" w14:textId="77777777" w:rsidR="008112BD" w:rsidRDefault="008112BD" w:rsidP="008112BD">
      <w:pPr>
        <w:pStyle w:val="Apara"/>
        <w:keepNext/>
      </w:pPr>
      <w:r>
        <w:tab/>
        <w:t>(a)</w:t>
      </w:r>
      <w:r>
        <w:tab/>
        <w:t>addressed to an enforcement officer; and</w:t>
      </w:r>
    </w:p>
    <w:p w14:paraId="6C5D5D13" w14:textId="77777777" w:rsidR="008112BD" w:rsidRDefault="008112BD" w:rsidP="008112BD">
      <w:pPr>
        <w:pStyle w:val="Apara"/>
        <w:keepNext/>
      </w:pPr>
      <w:r>
        <w:tab/>
        <w:t>(b)</w:t>
      </w:r>
      <w:r>
        <w:tab/>
        <w:t>signed by a judicial officer of the court.</w:t>
      </w:r>
    </w:p>
    <w:p w14:paraId="54C8A2DA" w14:textId="77777777"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14:paraId="301C7643" w14:textId="77777777" w:rsidR="008112BD" w:rsidRDefault="008112BD" w:rsidP="008112BD">
      <w:pPr>
        <w:pStyle w:val="Amain"/>
      </w:pPr>
      <w:r>
        <w:lastRenderedPageBreak/>
        <w:tab/>
        <w:t>(3)</w:t>
      </w:r>
      <w:r>
        <w:tab/>
        <w:t>The enforcement officer may ask a police officer to help in the exercise of the enforcement officer’s powers under the warrant.</w:t>
      </w:r>
    </w:p>
    <w:p w14:paraId="4EF1C5DA"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2C400A0C" w14:textId="77777777"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14:paraId="2FCE3DA3" w14:textId="77777777" w:rsidR="008112BD" w:rsidRDefault="008112BD" w:rsidP="008112BD">
      <w:pPr>
        <w:pStyle w:val="AH5Sec"/>
      </w:pPr>
      <w:bookmarkStart w:id="823" w:name="_Toc185514439"/>
      <w:r w:rsidRPr="00C8328B">
        <w:rPr>
          <w:rStyle w:val="CharSectNo"/>
        </w:rPr>
        <w:t>2506</w:t>
      </w:r>
      <w:r>
        <w:tab/>
        <w:t>Contempt—punishment</w:t>
      </w:r>
      <w:bookmarkEnd w:id="823"/>
    </w:p>
    <w:p w14:paraId="161F5070" w14:textId="77777777" w:rsidR="008112BD" w:rsidRDefault="008112BD" w:rsidP="008112BD">
      <w:pPr>
        <w:pStyle w:val="Amain"/>
        <w:keepNext/>
      </w:pPr>
      <w:r>
        <w:tab/>
        <w:t>(1)</w:t>
      </w:r>
      <w:r>
        <w:tab/>
        <w:t>This rule applies if the court decides that a person has committed a contempt.</w:t>
      </w:r>
    </w:p>
    <w:p w14:paraId="4A5D9155" w14:textId="08B2F475" w:rsidR="008112BD" w:rsidRDefault="008112BD" w:rsidP="008112BD">
      <w:pPr>
        <w:pStyle w:val="Amain"/>
      </w:pPr>
      <w:r>
        <w:tab/>
        <w:t>(2)</w:t>
      </w:r>
      <w:r>
        <w:tab/>
        <w:t xml:space="preserve">If the person is an individual, the court may punish the individual by making an order that may be made under the </w:t>
      </w:r>
      <w:hyperlink r:id="rId236"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14:paraId="029D5003" w14:textId="77777777" w:rsidR="008112BD" w:rsidRDefault="008112BD" w:rsidP="008112BD">
      <w:pPr>
        <w:pStyle w:val="Amain"/>
      </w:pPr>
      <w:r>
        <w:tab/>
        <w:t>(3)</w:t>
      </w:r>
      <w:r>
        <w:tab/>
        <w:t>If the person is a corporation, the court may punish the corporation by seizing corporation property or a fine or both.</w:t>
      </w:r>
    </w:p>
    <w:p w14:paraId="6813264E" w14:textId="77777777" w:rsidR="008112BD" w:rsidRDefault="008112BD" w:rsidP="008112BD">
      <w:pPr>
        <w:pStyle w:val="Amain"/>
        <w:keepNext/>
      </w:pPr>
      <w:r>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14:paraId="41B1666A" w14:textId="77777777" w:rsidR="008112BD" w:rsidRDefault="008112BD" w:rsidP="008112BD">
      <w:pPr>
        <w:pStyle w:val="Amain"/>
      </w:pPr>
      <w:r>
        <w:tab/>
        <w:t>(5)</w:t>
      </w:r>
      <w:r>
        <w:tab/>
        <w:t>Without limiting subrule (2), if the person is imprisoned for a term, the court may order the person’s release from imprisonment before the end of the term.</w:t>
      </w:r>
    </w:p>
    <w:p w14:paraId="4DB2C673" w14:textId="77777777" w:rsidR="008112BD" w:rsidRDefault="008112BD" w:rsidP="008112BD">
      <w:pPr>
        <w:pStyle w:val="AH5Sec"/>
      </w:pPr>
      <w:bookmarkStart w:id="824" w:name="_Toc185514440"/>
      <w:r w:rsidRPr="00C8328B">
        <w:rPr>
          <w:rStyle w:val="CharSectNo"/>
        </w:rPr>
        <w:t>2507</w:t>
      </w:r>
      <w:r>
        <w:tab/>
        <w:t>Contempt—costs</w:t>
      </w:r>
      <w:bookmarkEnd w:id="824"/>
    </w:p>
    <w:p w14:paraId="5E7410BA" w14:textId="77777777" w:rsidR="008112BD" w:rsidRDefault="008112BD" w:rsidP="008112BD">
      <w:pPr>
        <w:pStyle w:val="Amainreturn"/>
      </w:pPr>
      <w:r>
        <w:t>The costs of a proceeding for punishment for contempt are in the court’s discretion whether or not a specific punishment is imposed.</w:t>
      </w:r>
    </w:p>
    <w:p w14:paraId="25B29F71" w14:textId="77777777" w:rsidR="008112BD" w:rsidRPr="00C8328B" w:rsidRDefault="008112BD" w:rsidP="008112BD">
      <w:pPr>
        <w:pStyle w:val="AH3Div"/>
      </w:pPr>
      <w:bookmarkStart w:id="825" w:name="_Toc185514441"/>
      <w:r w:rsidRPr="00C8328B">
        <w:rPr>
          <w:rStyle w:val="CharDivNo"/>
        </w:rPr>
        <w:lastRenderedPageBreak/>
        <w:t>Division 2.18.17</w:t>
      </w:r>
      <w:r>
        <w:tab/>
      </w:r>
      <w:r w:rsidRPr="00C8328B">
        <w:rPr>
          <w:rStyle w:val="CharDivText"/>
        </w:rPr>
        <w:t>Enforcement—arrest warrants for absconding defendants</w:t>
      </w:r>
      <w:bookmarkEnd w:id="825"/>
    </w:p>
    <w:p w14:paraId="509B6CCB" w14:textId="77777777" w:rsidR="008112BD" w:rsidRDefault="008112BD" w:rsidP="008112BD">
      <w:pPr>
        <w:pStyle w:val="AH5Sec"/>
      </w:pPr>
      <w:bookmarkStart w:id="826" w:name="_Toc185514442"/>
      <w:r w:rsidRPr="00C8328B">
        <w:rPr>
          <w:rStyle w:val="CharSectNo"/>
        </w:rPr>
        <w:t>2550</w:t>
      </w:r>
      <w:r>
        <w:tab/>
        <w:t>Application—div 2.18.17</w:t>
      </w:r>
      <w:bookmarkEnd w:id="826"/>
    </w:p>
    <w:p w14:paraId="75A9912B" w14:textId="77777777" w:rsidR="008112BD" w:rsidRDefault="008112BD" w:rsidP="008112BD">
      <w:pPr>
        <w:pStyle w:val="Amainreturn"/>
        <w:keepNext/>
      </w:pPr>
      <w:r>
        <w:t>This division applies only in relation to the Supreme Court.</w:t>
      </w:r>
    </w:p>
    <w:p w14:paraId="05330E45" w14:textId="77777777" w:rsidR="008112BD" w:rsidRDefault="008112BD" w:rsidP="008112BD">
      <w:pPr>
        <w:pStyle w:val="AH5Sec"/>
      </w:pPr>
      <w:bookmarkStart w:id="827" w:name="_Toc185514443"/>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27"/>
    </w:p>
    <w:p w14:paraId="12B7130F" w14:textId="77777777" w:rsidR="008112BD" w:rsidRDefault="008112BD" w:rsidP="008112BD">
      <w:pPr>
        <w:pStyle w:val="aDef"/>
        <w:keepNext/>
      </w:pPr>
      <w:r>
        <w:t>For a proceeding in relation to an enforceable money order of the court—</w:t>
      </w:r>
    </w:p>
    <w:p w14:paraId="1462DD73" w14:textId="77777777"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14:paraId="2FD644B1" w14:textId="77777777"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14:paraId="4A1611D1" w14:textId="77777777" w:rsidR="008112BD" w:rsidRDefault="008112BD" w:rsidP="008112BD">
      <w:pPr>
        <w:pStyle w:val="AH5Sec"/>
      </w:pPr>
      <w:bookmarkStart w:id="828" w:name="_Toc185514444"/>
      <w:r w:rsidRPr="00C8328B">
        <w:rPr>
          <w:rStyle w:val="CharSectNo"/>
        </w:rPr>
        <w:t>2552</w:t>
      </w:r>
      <w:r>
        <w:tab/>
        <w:t>Arrest warrant for defendant—application</w:t>
      </w:r>
      <w:bookmarkEnd w:id="828"/>
    </w:p>
    <w:p w14:paraId="4BB65EC2" w14:textId="77777777" w:rsidR="008112BD" w:rsidRDefault="008112BD" w:rsidP="008112BD">
      <w:pPr>
        <w:pStyle w:val="Amainreturn"/>
        <w:keepNext/>
      </w:pPr>
      <w:r>
        <w:t>An application for an arrest warrant under this division need not be served on anyone unless the court otherwise orders on its own initiative.</w:t>
      </w:r>
    </w:p>
    <w:p w14:paraId="2E5E1E8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14:paraId="6BC60A04" w14:textId="77777777" w:rsidR="008112BD" w:rsidRDefault="008112BD" w:rsidP="008112BD">
      <w:pPr>
        <w:pStyle w:val="AH5Sec"/>
      </w:pPr>
      <w:bookmarkStart w:id="829" w:name="_Toc185514445"/>
      <w:r w:rsidRPr="00C8328B">
        <w:rPr>
          <w:rStyle w:val="CharSectNo"/>
        </w:rPr>
        <w:t>2553</w:t>
      </w:r>
      <w:r>
        <w:tab/>
        <w:t>Arrest warrant for defendant—issue</w:t>
      </w:r>
      <w:bookmarkEnd w:id="829"/>
    </w:p>
    <w:p w14:paraId="277B27A7" w14:textId="77777777" w:rsidR="008112BD" w:rsidRDefault="008112BD" w:rsidP="008112BD">
      <w:pPr>
        <w:pStyle w:val="Amain"/>
      </w:pPr>
      <w:r>
        <w:tab/>
        <w:t>(1)</w:t>
      </w:r>
      <w:r>
        <w:tab/>
        <w:t>The court may issue a warrant for the arrest of a defendant under this division only if satisfied that—</w:t>
      </w:r>
    </w:p>
    <w:p w14:paraId="3AACF03C" w14:textId="77777777" w:rsidR="008112BD" w:rsidRDefault="008112BD" w:rsidP="008112BD">
      <w:pPr>
        <w:pStyle w:val="Apara"/>
      </w:pPr>
      <w:r>
        <w:tab/>
        <w:t>(a)</w:t>
      </w:r>
      <w:r>
        <w:tab/>
        <w:t>the defendant has absconded or is about to abscond; and</w:t>
      </w:r>
    </w:p>
    <w:p w14:paraId="1788FAFA" w14:textId="77777777" w:rsidR="008112BD" w:rsidRDefault="008112BD" w:rsidP="008112BD">
      <w:pPr>
        <w:pStyle w:val="Apara"/>
      </w:pPr>
      <w:r>
        <w:tab/>
        <w:t>(b)</w:t>
      </w:r>
      <w:r>
        <w:tab/>
        <w:t>the absence of the defendant would materially prejudice the plaintiff in prosecuting a proceeding or enforcing any order that may be given.</w:t>
      </w:r>
    </w:p>
    <w:p w14:paraId="7D10FFBD" w14:textId="77777777" w:rsidR="008112BD" w:rsidRDefault="008112BD" w:rsidP="008112BD">
      <w:pPr>
        <w:pStyle w:val="Amain"/>
        <w:keepNext/>
      </w:pPr>
      <w:r>
        <w:lastRenderedPageBreak/>
        <w:tab/>
        <w:t>(2)</w:t>
      </w:r>
      <w:r>
        <w:tab/>
        <w:t>The court may issue the warrant at any time, for example, before the defendant has been served with the originating process or before judgment.</w:t>
      </w:r>
    </w:p>
    <w:p w14:paraId="102FFB56" w14:textId="77777777" w:rsidR="008112BD" w:rsidRDefault="008112BD" w:rsidP="008112BD">
      <w:pPr>
        <w:pStyle w:val="Amain"/>
      </w:pPr>
      <w:r>
        <w:tab/>
        <w:t>(3)</w:t>
      </w:r>
      <w:r>
        <w:tab/>
        <w:t>The warrant must state—</w:t>
      </w:r>
    </w:p>
    <w:p w14:paraId="1BC9C785" w14:textId="77777777" w:rsidR="008112BD" w:rsidRDefault="008112BD" w:rsidP="008112BD">
      <w:pPr>
        <w:pStyle w:val="Apara"/>
      </w:pPr>
      <w:r>
        <w:tab/>
        <w:t>(a)</w:t>
      </w:r>
      <w:r>
        <w:tab/>
        <w:t>the name of the defendant; and</w:t>
      </w:r>
    </w:p>
    <w:p w14:paraId="26F7F26A" w14:textId="77777777" w:rsidR="008112BD" w:rsidRDefault="008112BD" w:rsidP="008112BD">
      <w:pPr>
        <w:pStyle w:val="Apara"/>
      </w:pPr>
      <w:r>
        <w:tab/>
        <w:t>(b)</w:t>
      </w:r>
      <w:r>
        <w:tab/>
        <w:t>the date the warrant ends.</w:t>
      </w:r>
    </w:p>
    <w:p w14:paraId="111B8FB9" w14:textId="77777777" w:rsidR="008112BD" w:rsidRDefault="008112BD" w:rsidP="008112BD">
      <w:pPr>
        <w:pStyle w:val="Amain"/>
      </w:pPr>
      <w:r>
        <w:tab/>
        <w:t>(4)</w:t>
      </w:r>
      <w:r>
        <w:tab/>
        <w:t>The date stated under subrule (3) (b) must be not later than 2 months after the day the warrant is issued.</w:t>
      </w:r>
    </w:p>
    <w:p w14:paraId="69655D0F" w14:textId="77777777" w:rsidR="008112BD" w:rsidRDefault="008112BD" w:rsidP="008112BD">
      <w:pPr>
        <w:pStyle w:val="Amain"/>
      </w:pPr>
      <w:r>
        <w:tab/>
        <w:t>(5)</w:t>
      </w:r>
      <w:r>
        <w:tab/>
        <w:t>The court may fix an amount to be stated in the warrant entitling the defendant to be released.</w:t>
      </w:r>
    </w:p>
    <w:p w14:paraId="70AFF2C5" w14:textId="77777777" w:rsidR="008112BD" w:rsidRDefault="008112BD" w:rsidP="008112BD">
      <w:pPr>
        <w:pStyle w:val="Amain"/>
        <w:keepNext/>
      </w:pPr>
      <w:r>
        <w:tab/>
        <w:t>(6)</w:t>
      </w:r>
      <w:r>
        <w:tab/>
        <w:t>In fixing the amount, the court may have regard to anything it considers relevant, including the following:</w:t>
      </w:r>
    </w:p>
    <w:p w14:paraId="2901661B" w14:textId="77777777" w:rsidR="008112BD" w:rsidRDefault="008112BD" w:rsidP="008112BD">
      <w:pPr>
        <w:pStyle w:val="Apara"/>
      </w:pPr>
      <w:r>
        <w:tab/>
        <w:t>(a)</w:t>
      </w:r>
      <w:r>
        <w:tab/>
        <w:t>the amount (if any) of the plaintiff’s claim;</w:t>
      </w:r>
    </w:p>
    <w:p w14:paraId="35B6DB12" w14:textId="77777777" w:rsidR="008112BD" w:rsidRDefault="008112BD" w:rsidP="008112BD">
      <w:pPr>
        <w:pStyle w:val="Apara"/>
      </w:pPr>
      <w:r>
        <w:tab/>
        <w:t>(b)</w:t>
      </w:r>
      <w:r>
        <w:tab/>
        <w:t>the costs of issuing the warrant;</w:t>
      </w:r>
    </w:p>
    <w:p w14:paraId="42FF2365" w14:textId="77777777" w:rsidR="008112BD" w:rsidRDefault="008112BD" w:rsidP="008112BD">
      <w:pPr>
        <w:pStyle w:val="Apara"/>
      </w:pPr>
      <w:r>
        <w:tab/>
        <w:t>(c)</w:t>
      </w:r>
      <w:r>
        <w:tab/>
        <w:t>an estimate of the costs of executing the warrant.</w:t>
      </w:r>
    </w:p>
    <w:p w14:paraId="50FDBC12" w14:textId="77777777" w:rsidR="008112BD" w:rsidRDefault="008112BD" w:rsidP="008112BD">
      <w:pPr>
        <w:pStyle w:val="AH5Sec"/>
      </w:pPr>
      <w:bookmarkStart w:id="830" w:name="_Toc185514446"/>
      <w:r w:rsidRPr="00C8328B">
        <w:rPr>
          <w:rStyle w:val="CharSectNo"/>
        </w:rPr>
        <w:t>2554</w:t>
      </w:r>
      <w:r>
        <w:tab/>
        <w:t>Arrest warrant for defendant—enforcement</w:t>
      </w:r>
      <w:bookmarkEnd w:id="830"/>
    </w:p>
    <w:p w14:paraId="3124EB56" w14:textId="77777777" w:rsidR="008112BD" w:rsidRDefault="008112BD" w:rsidP="008112BD">
      <w:pPr>
        <w:pStyle w:val="Amain"/>
      </w:pPr>
      <w:r>
        <w:tab/>
        <w:t>(1)</w:t>
      </w:r>
      <w:r>
        <w:tab/>
        <w:t>The registrar must give a warrant under this division for the arrest of a defendant to an enforcement officer to be enforced.</w:t>
      </w:r>
    </w:p>
    <w:p w14:paraId="70651230" w14:textId="77777777" w:rsidR="008112BD" w:rsidRDefault="008112BD" w:rsidP="008112BD">
      <w:pPr>
        <w:pStyle w:val="Amain"/>
      </w:pPr>
      <w:r>
        <w:tab/>
        <w:t>(2)</w:t>
      </w:r>
      <w:r>
        <w:tab/>
        <w:t>The warrant may be enforced by the enforcement officer or an appropriately qualified person authorised in writing by the enforcement officer.</w:t>
      </w:r>
    </w:p>
    <w:p w14:paraId="7077B45F" w14:textId="290B4D44" w:rsidR="008112BD" w:rsidRDefault="008112BD" w:rsidP="008112BD">
      <w:pPr>
        <w:pStyle w:val="Amain"/>
      </w:pPr>
      <w:r>
        <w:tab/>
        <w:t>(3)</w:t>
      </w:r>
      <w:r>
        <w:tab/>
        <w:t xml:space="preserve">Receipt of a </w:t>
      </w:r>
      <w:r w:rsidR="006C4A1C" w:rsidRPr="00C1177F">
        <w:t>faxed or emailed</w:t>
      </w:r>
      <w:r w:rsidR="006C4A1C">
        <w:t xml:space="preserve"> </w:t>
      </w:r>
      <w:r>
        <w:t>copy of a warrant is sufficient authority for the enforcement officer or someone else to enforce the warrant.</w:t>
      </w:r>
    </w:p>
    <w:p w14:paraId="3B4F80F2" w14:textId="77777777" w:rsidR="008112BD" w:rsidRDefault="008112BD" w:rsidP="008112BD">
      <w:pPr>
        <w:pStyle w:val="Amain"/>
        <w:keepNext/>
      </w:pPr>
      <w:r>
        <w:lastRenderedPageBreak/>
        <w:tab/>
        <w:t>(4)</w:t>
      </w:r>
      <w:r>
        <w:tab/>
        <w:t>In this rule:</w:t>
      </w:r>
    </w:p>
    <w:p w14:paraId="7412950F" w14:textId="77777777" w:rsidR="008112BD" w:rsidRDefault="008112BD" w:rsidP="00FF2EB7">
      <w:pPr>
        <w:pStyle w:val="aDef"/>
        <w:keepNext/>
      </w:pPr>
      <w:r w:rsidRPr="00FE0788">
        <w:rPr>
          <w:rStyle w:val="charBoldItals"/>
        </w:rPr>
        <w:t>appropriately qualified</w:t>
      </w:r>
      <w:r>
        <w:t>, for a person who may be authorised to enforce a warrant, includes having the qualifications, experience or standing appropriate to enforce the warrant.</w:t>
      </w:r>
    </w:p>
    <w:p w14:paraId="07ED55CA" w14:textId="77777777" w:rsidR="008112BD" w:rsidRDefault="008112BD" w:rsidP="008112BD">
      <w:pPr>
        <w:pStyle w:val="aExamHdgss"/>
      </w:pPr>
      <w:r>
        <w:t>Examples</w:t>
      </w:r>
    </w:p>
    <w:p w14:paraId="3700EB3E" w14:textId="77777777" w:rsidR="008112BD" w:rsidRDefault="008112BD" w:rsidP="008112BD">
      <w:pPr>
        <w:pStyle w:val="aExamINumss"/>
      </w:pPr>
      <w:r>
        <w:t>1</w:t>
      </w:r>
      <w:r>
        <w:tab/>
        <w:t>an enforcement officer of another court</w:t>
      </w:r>
    </w:p>
    <w:p w14:paraId="394D8097" w14:textId="77777777" w:rsidR="008112BD" w:rsidRDefault="008112BD" w:rsidP="002659BE">
      <w:pPr>
        <w:pStyle w:val="aExamINumss"/>
      </w:pPr>
      <w:r>
        <w:t>2</w:t>
      </w:r>
      <w:r>
        <w:tab/>
        <w:t>a police officer</w:t>
      </w:r>
    </w:p>
    <w:p w14:paraId="6D4AFD3D" w14:textId="77777777" w:rsidR="008112BD" w:rsidRDefault="008112BD" w:rsidP="008112BD">
      <w:pPr>
        <w:pStyle w:val="AH5Sec"/>
      </w:pPr>
      <w:bookmarkStart w:id="831" w:name="_Toc185514447"/>
      <w:r w:rsidRPr="00C8328B">
        <w:rPr>
          <w:rStyle w:val="CharSectNo"/>
        </w:rPr>
        <w:t>2555</w:t>
      </w:r>
      <w:r>
        <w:tab/>
        <w:t>Arrest warrant for defendant—costs of enforcement</w:t>
      </w:r>
      <w:bookmarkEnd w:id="831"/>
    </w:p>
    <w:p w14:paraId="70E20BF0" w14:textId="77777777" w:rsidR="008112BD" w:rsidRDefault="008112BD" w:rsidP="008112BD">
      <w:pPr>
        <w:pStyle w:val="Amain"/>
      </w:pPr>
      <w:r>
        <w:tab/>
        <w:t>(1)</w:t>
      </w:r>
      <w:r>
        <w:tab/>
        <w:t>Unless the court otherwise orders—</w:t>
      </w:r>
    </w:p>
    <w:p w14:paraId="2AF0DCEA" w14:textId="77777777"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14:paraId="7557D80B" w14:textId="77777777"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14:paraId="4608126F"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EB810A7" w14:textId="77777777"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14:paraId="3663B8D3" w14:textId="77777777" w:rsidR="008112BD" w:rsidRDefault="008112BD" w:rsidP="008112BD">
      <w:pPr>
        <w:pStyle w:val="AH5Sec"/>
      </w:pPr>
      <w:bookmarkStart w:id="832" w:name="_Toc185514448"/>
      <w:r w:rsidRPr="00C8328B">
        <w:rPr>
          <w:rStyle w:val="CharSectNo"/>
        </w:rPr>
        <w:t>2556</w:t>
      </w:r>
      <w:r>
        <w:tab/>
        <w:t>Arrest warrant for defendant—service of warrant and claim</w:t>
      </w:r>
      <w:bookmarkEnd w:id="832"/>
    </w:p>
    <w:p w14:paraId="2AB64E8B" w14:textId="77777777" w:rsidR="008112BD" w:rsidRDefault="008112BD" w:rsidP="00D30C72">
      <w:pPr>
        <w:pStyle w:val="Amainreturn"/>
        <w:keepNext/>
      </w:pPr>
      <w:r>
        <w:t>A person who enforces a warrant under this division for the arrest of a defendant must, as soon as practicable after enforcing it, serve the defendant with—</w:t>
      </w:r>
    </w:p>
    <w:p w14:paraId="2EF006CF" w14:textId="77777777" w:rsidR="008112BD" w:rsidRDefault="008112BD" w:rsidP="008112BD">
      <w:pPr>
        <w:pStyle w:val="Apara"/>
      </w:pPr>
      <w:r>
        <w:tab/>
        <w:t>(a)</w:t>
      </w:r>
      <w:r>
        <w:tab/>
        <w:t>a copy of the warrant; and</w:t>
      </w:r>
    </w:p>
    <w:p w14:paraId="494204A5" w14:textId="77777777" w:rsidR="008112BD" w:rsidRDefault="008112BD" w:rsidP="008112BD">
      <w:pPr>
        <w:pStyle w:val="Apara"/>
      </w:pPr>
      <w:r>
        <w:lastRenderedPageBreak/>
        <w:tab/>
        <w:t>(b)</w:t>
      </w:r>
      <w:r>
        <w:tab/>
        <w:t>if the defendant has not been served with the originating process for which the warrant was issued—a sealed copy of the originating process.</w:t>
      </w:r>
    </w:p>
    <w:p w14:paraId="04B918CB" w14:textId="77777777" w:rsidR="008112BD" w:rsidRDefault="008112BD" w:rsidP="008112BD">
      <w:pPr>
        <w:pStyle w:val="AH5Sec"/>
      </w:pPr>
      <w:bookmarkStart w:id="833" w:name="_Toc185514449"/>
      <w:r w:rsidRPr="00C8328B">
        <w:rPr>
          <w:rStyle w:val="CharSectNo"/>
        </w:rPr>
        <w:t>2557</w:t>
      </w:r>
      <w:r>
        <w:tab/>
        <w:t>Arrest warrant for defendant—record of enforcement</w:t>
      </w:r>
      <w:bookmarkEnd w:id="833"/>
    </w:p>
    <w:p w14:paraId="4BF8D7F9" w14:textId="77777777" w:rsidR="008112BD" w:rsidRDefault="008112BD" w:rsidP="008112BD">
      <w:pPr>
        <w:pStyle w:val="Amainreturn"/>
      </w:pPr>
      <w:r>
        <w:t>A person who enforces a warrant for the arrest of a defendant must write on the warrant the time and place of enforcement.</w:t>
      </w:r>
    </w:p>
    <w:p w14:paraId="24823616" w14:textId="77777777" w:rsidR="008112BD" w:rsidRDefault="008112BD" w:rsidP="008112BD">
      <w:pPr>
        <w:pStyle w:val="AH5Sec"/>
      </w:pPr>
      <w:bookmarkStart w:id="834" w:name="_Toc185514450"/>
      <w:r w:rsidRPr="00C8328B">
        <w:rPr>
          <w:rStyle w:val="CharSectNo"/>
        </w:rPr>
        <w:t>2558</w:t>
      </w:r>
      <w:r>
        <w:tab/>
        <w:t>Arrest warrant for defendant—procedure after arrest</w:t>
      </w:r>
      <w:bookmarkEnd w:id="834"/>
    </w:p>
    <w:p w14:paraId="3261C089" w14:textId="77777777"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14:paraId="6B2419BD" w14:textId="77777777"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62FC5CEC" w14:textId="77777777"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14:paraId="0685ADEB" w14:textId="77777777" w:rsidR="008112BD" w:rsidRDefault="008112BD" w:rsidP="008112BD">
      <w:pPr>
        <w:pStyle w:val="AH5Sec"/>
      </w:pPr>
      <w:bookmarkStart w:id="835" w:name="_Toc185514451"/>
      <w:r w:rsidRPr="00C8328B">
        <w:rPr>
          <w:rStyle w:val="CharSectNo"/>
        </w:rPr>
        <w:t>2559</w:t>
      </w:r>
      <w:r>
        <w:tab/>
        <w:t>Arrest warrant for defendant—release of defendant</w:t>
      </w:r>
      <w:bookmarkEnd w:id="835"/>
    </w:p>
    <w:p w14:paraId="516DBE3A" w14:textId="77777777" w:rsidR="008112BD" w:rsidRDefault="008112BD" w:rsidP="008112BD">
      <w:pPr>
        <w:pStyle w:val="Amain"/>
      </w:pPr>
      <w:r>
        <w:tab/>
        <w:t>(1)</w:t>
      </w:r>
      <w:r>
        <w:tab/>
        <w:t>The person in charge of the correctional centre where the defendant is in custody must release the defendant if—</w:t>
      </w:r>
    </w:p>
    <w:p w14:paraId="7A279733" w14:textId="77777777" w:rsidR="008112BD" w:rsidRDefault="008112BD" w:rsidP="008112BD">
      <w:pPr>
        <w:pStyle w:val="Apara"/>
      </w:pPr>
      <w:r>
        <w:tab/>
        <w:t>(a)</w:t>
      </w:r>
      <w:r>
        <w:tab/>
        <w:t>the court orders that the defendant be released; or</w:t>
      </w:r>
    </w:p>
    <w:p w14:paraId="5BE08174" w14:textId="77777777" w:rsidR="008112BD" w:rsidRDefault="008112BD" w:rsidP="008112BD">
      <w:pPr>
        <w:pStyle w:val="Apara"/>
      </w:pPr>
      <w:r>
        <w:tab/>
        <w:t>(b)</w:t>
      </w:r>
      <w:r>
        <w:tab/>
        <w:t>the plaintiff gives the enforcement officer a written consent to the defendant’s release; or</w:t>
      </w:r>
    </w:p>
    <w:p w14:paraId="4ED317C8" w14:textId="77777777"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14:paraId="134428ED" w14:textId="77777777" w:rsidR="008112BD" w:rsidRDefault="008112BD" w:rsidP="008112BD">
      <w:pPr>
        <w:pStyle w:val="Amain"/>
        <w:keepNext/>
      </w:pPr>
      <w:r>
        <w:lastRenderedPageBreak/>
        <w:tab/>
        <w:t>(2)</w:t>
      </w:r>
      <w:r>
        <w:tab/>
        <w:t>An amount paid into court or security given under subrule (1) (c) may be paid out or released only in accordance with an order of the court.</w:t>
      </w:r>
    </w:p>
    <w:p w14:paraId="38E2DAB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1ECCD41" w14:textId="77777777" w:rsidR="008112BD" w:rsidRDefault="008112BD" w:rsidP="008112BD">
      <w:pPr>
        <w:pStyle w:val="AH5Sec"/>
      </w:pPr>
      <w:bookmarkStart w:id="836" w:name="_Toc185514452"/>
      <w:r w:rsidRPr="00C8328B">
        <w:rPr>
          <w:rStyle w:val="CharSectNo"/>
        </w:rPr>
        <w:t>2560</w:t>
      </w:r>
      <w:r>
        <w:tab/>
        <w:t>Arrest warrant for defendant—court powers</w:t>
      </w:r>
      <w:bookmarkEnd w:id="836"/>
    </w:p>
    <w:p w14:paraId="248B3AB7" w14:textId="77777777"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14:paraId="0C583AF3" w14:textId="77777777"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14:paraId="2FDA4628" w14:textId="77777777" w:rsidR="008112BD" w:rsidRDefault="008112BD" w:rsidP="008112BD">
      <w:pPr>
        <w:pStyle w:val="Apara"/>
      </w:pPr>
      <w:r>
        <w:tab/>
        <w:t>(a)</w:t>
      </w:r>
      <w:r>
        <w:tab/>
        <w:t>order that the defendant be released unconditionally from custody; or</w:t>
      </w:r>
    </w:p>
    <w:p w14:paraId="63C24A1D" w14:textId="77777777" w:rsidR="008112BD" w:rsidRDefault="008112BD" w:rsidP="008112BD">
      <w:pPr>
        <w:pStyle w:val="Apara"/>
        <w:keepNext/>
      </w:pPr>
      <w:r>
        <w:tab/>
        <w:t>(b)</w:t>
      </w:r>
      <w:r>
        <w:tab/>
        <w:t>order that the defendant be released from custody subject to 1 or more of the following conditions:</w:t>
      </w:r>
    </w:p>
    <w:p w14:paraId="2FA235B8" w14:textId="77777777" w:rsidR="008112BD" w:rsidRDefault="008112BD" w:rsidP="008112BD">
      <w:pPr>
        <w:pStyle w:val="Asubpara"/>
      </w:pPr>
      <w:r>
        <w:tab/>
        <w:t>(i)</w:t>
      </w:r>
      <w:r>
        <w:tab/>
        <w:t>that the defendant undertake not to leave Australia until an amount stated by the court is paid to the plaintiff, or into court, as the court directs;</w:t>
      </w:r>
    </w:p>
    <w:p w14:paraId="7CF39EFE" w14:textId="77777777" w:rsidR="008112BD" w:rsidRDefault="008112BD" w:rsidP="008112BD">
      <w:pPr>
        <w:pStyle w:val="Asubpara"/>
      </w:pPr>
      <w:r>
        <w:tab/>
        <w:t>(ii)</w:t>
      </w:r>
      <w:r>
        <w:tab/>
        <w:t>that the defendant surrender the defendant’s passport to the registrar;</w:t>
      </w:r>
    </w:p>
    <w:p w14:paraId="29277D98" w14:textId="77777777" w:rsidR="008112BD" w:rsidRDefault="008112BD" w:rsidP="008112BD">
      <w:pPr>
        <w:pStyle w:val="Asubpara"/>
      </w:pPr>
      <w:r>
        <w:tab/>
        <w:t>(iii)</w:t>
      </w:r>
      <w:r>
        <w:tab/>
        <w:t>that the defendant give security, either with or without surety, for the payment of an amount stated by the court;</w:t>
      </w:r>
    </w:p>
    <w:p w14:paraId="6B0A0BDB" w14:textId="77777777" w:rsidR="008112BD" w:rsidRDefault="008112BD" w:rsidP="008112BD">
      <w:pPr>
        <w:pStyle w:val="Asubpara"/>
      </w:pPr>
      <w:r>
        <w:tab/>
        <w:t>(iv)</w:t>
      </w:r>
      <w:r>
        <w:tab/>
        <w:t>that the defendant pay a stated amount to the plaintiff;</w:t>
      </w:r>
    </w:p>
    <w:p w14:paraId="7B75B004" w14:textId="77777777" w:rsidR="008112BD" w:rsidRDefault="008112BD" w:rsidP="008112BD">
      <w:pPr>
        <w:pStyle w:val="Asubpara"/>
      </w:pPr>
      <w:r>
        <w:tab/>
        <w:t>(v)</w:t>
      </w:r>
      <w:r>
        <w:tab/>
        <w:t>that the defendant pay a stated amount into court to await further consideration by the court; or</w:t>
      </w:r>
    </w:p>
    <w:p w14:paraId="6CEE732D" w14:textId="77777777" w:rsidR="008112BD" w:rsidRDefault="008112BD" w:rsidP="008112BD">
      <w:pPr>
        <w:pStyle w:val="Apara"/>
        <w:keepNext/>
      </w:pPr>
      <w:r>
        <w:lastRenderedPageBreak/>
        <w:tab/>
        <w:t>(c)</w:t>
      </w:r>
      <w:r>
        <w:tab/>
        <w:t>order that the defendant be detained in custody for the period the court considers appropriate or until the defendant complies with any condition stated by the court.</w:t>
      </w:r>
    </w:p>
    <w:p w14:paraId="12C56A9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14:paraId="3A967287" w14:textId="77777777"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14:paraId="38B478D0" w14:textId="77777777" w:rsidR="008112BD" w:rsidRDefault="008112BD" w:rsidP="008112BD">
      <w:pPr>
        <w:pStyle w:val="Amain"/>
      </w:pPr>
      <w:r>
        <w:tab/>
        <w:t>(4)</w:t>
      </w:r>
      <w:r>
        <w:tab/>
        <w:t>The court may make an order, or give a direction, under subrule (3) on application by the plaintiff or defendant or on its own initiative.</w:t>
      </w:r>
    </w:p>
    <w:p w14:paraId="7E8BA03F" w14:textId="77777777"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14:paraId="4D8F852D" w14:textId="77777777" w:rsidR="008112BD" w:rsidRDefault="008112BD" w:rsidP="008112BD">
      <w:pPr>
        <w:pStyle w:val="AH5Sec"/>
      </w:pPr>
      <w:bookmarkStart w:id="837" w:name="_Toc185514453"/>
      <w:r w:rsidRPr="00C8328B">
        <w:rPr>
          <w:rStyle w:val="CharSectNo"/>
        </w:rPr>
        <w:t>2561</w:t>
      </w:r>
      <w:r>
        <w:tab/>
        <w:t>Arrest warrant for defendant—failure to comply with conditions</w:t>
      </w:r>
      <w:bookmarkEnd w:id="837"/>
    </w:p>
    <w:p w14:paraId="15F4E598" w14:textId="77777777"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14:paraId="6F18AE50" w14:textId="77777777" w:rsidR="008112BD" w:rsidRDefault="008112BD" w:rsidP="008112BD">
      <w:pPr>
        <w:pStyle w:val="Amain"/>
      </w:pPr>
      <w:r>
        <w:tab/>
        <w:t>(2)</w:t>
      </w:r>
      <w:r>
        <w:tab/>
        <w:t>The enforcement officer or a surety may ask a police officer to help in the exercise of the enforcement officer’s or surety’s power under subrule (1).</w:t>
      </w:r>
    </w:p>
    <w:p w14:paraId="20E438D0" w14:textId="77777777" w:rsidR="008112BD" w:rsidRDefault="008112BD" w:rsidP="008112BD">
      <w:pPr>
        <w:pStyle w:val="Amain"/>
      </w:pPr>
      <w:r>
        <w:tab/>
        <w:t>(3)</w:t>
      </w:r>
      <w:r>
        <w:tab/>
        <w:t>The police officer must give the enforcement officer or surety the reasonable help the enforcement officer or surety requires, if it is practicable to give the help.</w:t>
      </w:r>
    </w:p>
    <w:p w14:paraId="6E643FE1" w14:textId="77777777" w:rsidR="008112BD" w:rsidRDefault="008112BD" w:rsidP="00FF2EB7">
      <w:pPr>
        <w:pStyle w:val="Amain"/>
        <w:keepLines/>
      </w:pPr>
      <w:r>
        <w:lastRenderedPageBreak/>
        <w:tab/>
        <w:t>(4)</w:t>
      </w:r>
      <w:r>
        <w:tab/>
        <w:t>If the defendant is arrested under subrule (1) by the enforcement officer or a police officer, the enforcement officer or police officer must, as soon as practicable after the arrest, take the defendant to the nearest correctional centre.</w:t>
      </w:r>
    </w:p>
    <w:p w14:paraId="16F37D0C" w14:textId="77777777"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14:paraId="1610F4D4" w14:textId="77777777"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238D16B9" w14:textId="77777777"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14:paraId="76AD8966" w14:textId="77777777" w:rsidR="008112BD" w:rsidRDefault="008112BD" w:rsidP="008112BD">
      <w:pPr>
        <w:pStyle w:val="Apara"/>
        <w:keepNext/>
      </w:pPr>
      <w:r>
        <w:tab/>
        <w:t>(a)</w:t>
      </w:r>
      <w:r>
        <w:tab/>
        <w:t>set aside the order under which the defendant was released; and</w:t>
      </w:r>
    </w:p>
    <w:p w14:paraId="7A7D1838" w14:textId="77777777" w:rsidR="008112BD" w:rsidRDefault="008112BD" w:rsidP="008112BD">
      <w:pPr>
        <w:pStyle w:val="Apara"/>
        <w:keepNext/>
      </w:pPr>
      <w:r>
        <w:tab/>
        <w:t>(b)</w:t>
      </w:r>
      <w:r>
        <w:tab/>
        <w:t>make any order that it could make under rule 2560 (Arrest warrant for defendant—court powers).</w:t>
      </w:r>
    </w:p>
    <w:p w14:paraId="2C171A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0D5E7C3B" w14:textId="77777777" w:rsidR="008112BD" w:rsidRDefault="008112BD" w:rsidP="008112BD">
      <w:pPr>
        <w:pStyle w:val="AH5Sec"/>
      </w:pPr>
      <w:bookmarkStart w:id="838" w:name="_Toc185514454"/>
      <w:r w:rsidRPr="00C8328B">
        <w:rPr>
          <w:rStyle w:val="CharSectNo"/>
        </w:rPr>
        <w:t>2562</w:t>
      </w:r>
      <w:r>
        <w:tab/>
        <w:t>Arrest warrant for defendant—review</w:t>
      </w:r>
      <w:bookmarkEnd w:id="838"/>
    </w:p>
    <w:p w14:paraId="7CD09DB9" w14:textId="77777777" w:rsidR="008112BD" w:rsidRDefault="008112BD" w:rsidP="008112BD">
      <w:pPr>
        <w:pStyle w:val="Amain"/>
      </w:pPr>
      <w:r>
        <w:tab/>
        <w:t>(1)</w:t>
      </w:r>
      <w:r>
        <w:tab/>
        <w:t>A defendant may, at any time and from time to time, apply to the court for an order that—</w:t>
      </w:r>
    </w:p>
    <w:p w14:paraId="6A3FCE8C" w14:textId="77777777" w:rsidR="008112BD" w:rsidRDefault="008112BD" w:rsidP="008112BD">
      <w:pPr>
        <w:pStyle w:val="Apara"/>
      </w:pPr>
      <w:r>
        <w:tab/>
        <w:t>(a)</w:t>
      </w:r>
      <w:r>
        <w:tab/>
        <w:t>the warrant be set aside; or</w:t>
      </w:r>
    </w:p>
    <w:p w14:paraId="2CE3B2F1" w14:textId="77777777" w:rsidR="008112BD" w:rsidRDefault="008112BD" w:rsidP="008112BD">
      <w:pPr>
        <w:pStyle w:val="Apara"/>
      </w:pPr>
      <w:r>
        <w:tab/>
        <w:t>(b)</w:t>
      </w:r>
      <w:r>
        <w:tab/>
        <w:t>the defendant be released from custody; or</w:t>
      </w:r>
    </w:p>
    <w:p w14:paraId="36549879" w14:textId="77777777" w:rsidR="008112BD" w:rsidRDefault="008112BD" w:rsidP="008112BD">
      <w:pPr>
        <w:pStyle w:val="Apara"/>
        <w:keepNext/>
      </w:pPr>
      <w:r>
        <w:tab/>
        <w:t>(c)</w:t>
      </w:r>
      <w:r>
        <w:tab/>
        <w:t>an order made under rule 2560 (Arrest warrant for defendant—court powers) be amended.</w:t>
      </w:r>
    </w:p>
    <w:p w14:paraId="666A3A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44EDF67" w14:textId="77777777" w:rsidR="008112BD" w:rsidRDefault="008112BD" w:rsidP="008112BD">
      <w:pPr>
        <w:pStyle w:val="Amain"/>
      </w:pPr>
      <w:r>
        <w:lastRenderedPageBreak/>
        <w:tab/>
        <w:t>(2)</w:t>
      </w:r>
      <w:r>
        <w:tab/>
        <w:t>On an application under subrule (1), the court may make any order that it could make under rule 2560.</w:t>
      </w:r>
    </w:p>
    <w:p w14:paraId="30DD3A6D" w14:textId="77777777" w:rsidR="008112BD" w:rsidRDefault="008112BD" w:rsidP="008112BD">
      <w:pPr>
        <w:pStyle w:val="AH5Sec"/>
      </w:pPr>
      <w:bookmarkStart w:id="839" w:name="_Toc185514455"/>
      <w:r w:rsidRPr="00C8328B">
        <w:rPr>
          <w:rStyle w:val="CharSectNo"/>
        </w:rPr>
        <w:t>2563</w:t>
      </w:r>
      <w:r>
        <w:tab/>
        <w:t>Arrest warrant for defendant—restriction on further applications</w:t>
      </w:r>
      <w:bookmarkEnd w:id="839"/>
    </w:p>
    <w:p w14:paraId="3217306E" w14:textId="77777777" w:rsidR="008112BD" w:rsidRDefault="008112BD" w:rsidP="008112BD">
      <w:pPr>
        <w:pStyle w:val="Amain"/>
      </w:pPr>
      <w:r>
        <w:tab/>
        <w:t>(1)</w:t>
      </w:r>
      <w:r>
        <w:tab/>
        <w:t>This rule applies if—</w:t>
      </w:r>
    </w:p>
    <w:p w14:paraId="3EA9B4B7" w14:textId="77777777" w:rsidR="008112BD" w:rsidRDefault="008112BD" w:rsidP="008112BD">
      <w:pPr>
        <w:pStyle w:val="Apara"/>
      </w:pPr>
      <w:r>
        <w:tab/>
        <w:t>(a)</w:t>
      </w:r>
      <w:r>
        <w:tab/>
        <w:t>the court makes an order refusing to issue or set aside a warrant under this division for the arrest of a defendant; or</w:t>
      </w:r>
    </w:p>
    <w:p w14:paraId="0F86B8A2" w14:textId="77777777" w:rsidR="008112BD" w:rsidRDefault="008112BD" w:rsidP="008112BD">
      <w:pPr>
        <w:pStyle w:val="Apara"/>
      </w:pPr>
      <w:r>
        <w:tab/>
        <w:t>(b)</w:t>
      </w:r>
      <w:r>
        <w:tab/>
        <w:t>the court makes an order that the defendant be released from custody under this division.</w:t>
      </w:r>
    </w:p>
    <w:p w14:paraId="3E65E4C3" w14:textId="77777777"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14:paraId="6605D25F" w14:textId="77777777" w:rsidR="008112BD" w:rsidRDefault="008112BD" w:rsidP="008112BD">
      <w:pPr>
        <w:pStyle w:val="AH5Sec"/>
      </w:pPr>
      <w:bookmarkStart w:id="840" w:name="_Toc185514456"/>
      <w:r w:rsidRPr="00C8328B">
        <w:rPr>
          <w:rStyle w:val="CharSectNo"/>
        </w:rPr>
        <w:t>2564</w:t>
      </w:r>
      <w:r>
        <w:tab/>
        <w:t>Arrest warrant for defendant—costs</w:t>
      </w:r>
      <w:bookmarkEnd w:id="840"/>
    </w:p>
    <w:p w14:paraId="086475EF" w14:textId="77777777"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14:paraId="110D092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14:paraId="3C23C60D" w14:textId="77777777" w:rsidR="008112BD" w:rsidRDefault="008112BD" w:rsidP="008112BD">
      <w:pPr>
        <w:pStyle w:val="PageBreak"/>
      </w:pPr>
      <w:r>
        <w:br w:type="page"/>
      </w:r>
    </w:p>
    <w:p w14:paraId="4371A7C1" w14:textId="77777777" w:rsidR="008112BD" w:rsidRPr="00C8328B" w:rsidRDefault="008112BD" w:rsidP="008112BD">
      <w:pPr>
        <w:pStyle w:val="AH2Part"/>
      </w:pPr>
      <w:bookmarkStart w:id="841" w:name="_Toc185514457"/>
      <w:r w:rsidRPr="00C8328B">
        <w:rPr>
          <w:rStyle w:val="CharPartNo"/>
        </w:rPr>
        <w:lastRenderedPageBreak/>
        <w:t>Part 2.19</w:t>
      </w:r>
      <w:r>
        <w:tab/>
      </w:r>
      <w:r w:rsidRPr="00C8328B">
        <w:rPr>
          <w:rStyle w:val="CharPartText"/>
        </w:rPr>
        <w:t>Interpleader proceedings</w:t>
      </w:r>
      <w:bookmarkEnd w:id="841"/>
    </w:p>
    <w:p w14:paraId="7A3D7871" w14:textId="77777777" w:rsidR="008112BD" w:rsidRPr="00C8328B" w:rsidRDefault="008112BD" w:rsidP="008112BD">
      <w:pPr>
        <w:pStyle w:val="AH3Div"/>
      </w:pPr>
      <w:bookmarkStart w:id="842" w:name="_Toc185514458"/>
      <w:r w:rsidRPr="00C8328B">
        <w:rPr>
          <w:rStyle w:val="CharDivNo"/>
        </w:rPr>
        <w:t>Division 2.19.1</w:t>
      </w:r>
      <w:r>
        <w:tab/>
      </w:r>
      <w:r w:rsidRPr="00C8328B">
        <w:rPr>
          <w:rStyle w:val="CharDivText"/>
        </w:rPr>
        <w:t>Stakeholder’s interpleader</w:t>
      </w:r>
      <w:bookmarkEnd w:id="842"/>
    </w:p>
    <w:p w14:paraId="23428562" w14:textId="77777777" w:rsidR="008112BD" w:rsidRDefault="008112BD" w:rsidP="008112BD">
      <w:pPr>
        <w:pStyle w:val="AH5Sec"/>
      </w:pPr>
      <w:bookmarkStart w:id="843" w:name="_Toc185514459"/>
      <w:r w:rsidRPr="00C8328B">
        <w:rPr>
          <w:rStyle w:val="CharSectNo"/>
        </w:rPr>
        <w:t>2600</w:t>
      </w:r>
      <w:r>
        <w:tab/>
        <w:t>Interpleader—application by stakeholder</w:t>
      </w:r>
      <w:bookmarkEnd w:id="843"/>
    </w:p>
    <w:p w14:paraId="4A03BDAB" w14:textId="77777777" w:rsidR="008112BD" w:rsidRDefault="008112BD" w:rsidP="008112BD">
      <w:pPr>
        <w:pStyle w:val="Amain"/>
      </w:pPr>
      <w:r>
        <w:tab/>
        <w:t>(1)</w:t>
      </w:r>
      <w:r>
        <w:tab/>
        <w:t>This rule applies if—</w:t>
      </w:r>
    </w:p>
    <w:p w14:paraId="0C902463" w14:textId="77777777"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14:paraId="10D0A696" w14:textId="77777777"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14:paraId="2F9379F2" w14:textId="77777777"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14:paraId="47BA0E4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7C1CF8B" w14:textId="77777777"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14:paraId="7143F1F7" w14:textId="77777777" w:rsidR="008112BD" w:rsidRDefault="008112BD" w:rsidP="008112BD">
      <w:pPr>
        <w:pStyle w:val="Amain"/>
      </w:pPr>
      <w:r>
        <w:tab/>
        <w:t>(4)</w:t>
      </w:r>
      <w:r>
        <w:tab/>
        <w:t>An application under this rule for interpleader relief must be supported by an affidavit.</w:t>
      </w:r>
    </w:p>
    <w:p w14:paraId="56A69534" w14:textId="77777777" w:rsidR="008112BD" w:rsidRDefault="008112BD" w:rsidP="008112BD">
      <w:pPr>
        <w:pStyle w:val="Amain"/>
      </w:pPr>
      <w:r>
        <w:tab/>
        <w:t>(5)</w:t>
      </w:r>
      <w:r>
        <w:tab/>
        <w:t>The affidavit must state that the stakeholder—</w:t>
      </w:r>
    </w:p>
    <w:p w14:paraId="4FB6CB20" w14:textId="77777777" w:rsidR="008112BD" w:rsidRDefault="008112BD" w:rsidP="008112BD">
      <w:pPr>
        <w:pStyle w:val="Apara"/>
      </w:pPr>
      <w:r>
        <w:tab/>
        <w:t>(a)</w:t>
      </w:r>
      <w:r>
        <w:tab/>
        <w:t>claims no interest in the disputed property, other than for charges or costs; and</w:t>
      </w:r>
    </w:p>
    <w:p w14:paraId="329B5F4C" w14:textId="77777777" w:rsidR="008112BD" w:rsidRDefault="008112BD" w:rsidP="008112BD">
      <w:pPr>
        <w:pStyle w:val="Apara"/>
      </w:pPr>
      <w:r>
        <w:tab/>
        <w:t>(b)</w:t>
      </w:r>
      <w:r>
        <w:tab/>
        <w:t>is not in collusion with any claimant; and</w:t>
      </w:r>
    </w:p>
    <w:p w14:paraId="0DA3A3D4" w14:textId="77777777" w:rsidR="008112BD" w:rsidRDefault="008112BD" w:rsidP="008112BD">
      <w:pPr>
        <w:pStyle w:val="Apara"/>
        <w:keepNext/>
      </w:pPr>
      <w:r>
        <w:tab/>
        <w:t>(c)</w:t>
      </w:r>
      <w:r>
        <w:tab/>
        <w:t>is willing to—</w:t>
      </w:r>
    </w:p>
    <w:p w14:paraId="59D0BEDA" w14:textId="77777777" w:rsidR="008112BD" w:rsidRDefault="008112BD" w:rsidP="008112BD">
      <w:pPr>
        <w:pStyle w:val="Asubpara"/>
      </w:pPr>
      <w:r>
        <w:tab/>
        <w:t>(i)</w:t>
      </w:r>
      <w:r>
        <w:tab/>
        <w:t>pay or transfer the disputed property into court; or</w:t>
      </w:r>
    </w:p>
    <w:p w14:paraId="38368BEF" w14:textId="77777777" w:rsidR="008112BD" w:rsidRDefault="008112BD" w:rsidP="008112BD">
      <w:pPr>
        <w:pStyle w:val="Asubpara"/>
      </w:pPr>
      <w:r>
        <w:tab/>
        <w:t>(ii)</w:t>
      </w:r>
      <w:r>
        <w:tab/>
        <w:t>dispose of the property as the court directs; or</w:t>
      </w:r>
    </w:p>
    <w:p w14:paraId="1FA32864" w14:textId="77777777" w:rsidR="008112BD" w:rsidRDefault="008112BD" w:rsidP="008112BD">
      <w:pPr>
        <w:pStyle w:val="Asubpara"/>
      </w:pPr>
      <w:r>
        <w:lastRenderedPageBreak/>
        <w:tab/>
        <w:t>(iii)</w:t>
      </w:r>
      <w:r>
        <w:tab/>
        <w:t>give security to the value of the property to the court’s satisfaction.</w:t>
      </w:r>
    </w:p>
    <w:p w14:paraId="515152A1" w14:textId="77777777" w:rsidR="008112BD" w:rsidRDefault="008112BD" w:rsidP="008112BD">
      <w:pPr>
        <w:pStyle w:val="Amain"/>
      </w:pPr>
      <w:r>
        <w:tab/>
        <w:t>(6)</w:t>
      </w:r>
      <w:r>
        <w:tab/>
        <w:t>A sealed or stamped copy of the application and supporting affidavits must be served on each of the claimants.</w:t>
      </w:r>
    </w:p>
    <w:p w14:paraId="37DBBD36" w14:textId="77777777" w:rsidR="008112BD" w:rsidRDefault="008112BD" w:rsidP="008112BD">
      <w:pPr>
        <w:pStyle w:val="Amain"/>
      </w:pPr>
      <w:r>
        <w:tab/>
        <w:t>(7)</w:t>
      </w:r>
      <w:r>
        <w:tab/>
        <w:t>If a claimant is not a party to the proceeding, the application and supporting affidavits must be served personally.</w:t>
      </w:r>
    </w:p>
    <w:p w14:paraId="03F6887A" w14:textId="77777777" w:rsidR="008112BD" w:rsidRPr="00C8328B" w:rsidRDefault="008112BD" w:rsidP="008112BD">
      <w:pPr>
        <w:pStyle w:val="AH3Div"/>
      </w:pPr>
      <w:bookmarkStart w:id="844" w:name="_Toc185514460"/>
      <w:r w:rsidRPr="00C8328B">
        <w:rPr>
          <w:rStyle w:val="CharDivNo"/>
        </w:rPr>
        <w:t>Division 2.19.2</w:t>
      </w:r>
      <w:r>
        <w:tab/>
      </w:r>
      <w:r w:rsidRPr="00C8328B">
        <w:rPr>
          <w:rStyle w:val="CharDivText"/>
        </w:rPr>
        <w:t>Enforcement officer’s interpleader</w:t>
      </w:r>
      <w:bookmarkEnd w:id="844"/>
    </w:p>
    <w:p w14:paraId="23DE6B37" w14:textId="77777777" w:rsidR="008112BD" w:rsidRDefault="008112BD" w:rsidP="008112BD">
      <w:pPr>
        <w:pStyle w:val="AH5Sec"/>
      </w:pPr>
      <w:bookmarkStart w:id="845" w:name="_Toc185514461"/>
      <w:r w:rsidRPr="00C8328B">
        <w:rPr>
          <w:rStyle w:val="CharSectNo"/>
        </w:rPr>
        <w:t>2605</w:t>
      </w:r>
      <w:r>
        <w:tab/>
        <w:t>Interpleader—notice of claim to enforcement officer</w:t>
      </w:r>
      <w:bookmarkEnd w:id="845"/>
    </w:p>
    <w:p w14:paraId="26C3EDFB" w14:textId="77777777" w:rsidR="008112BD" w:rsidRDefault="008112BD" w:rsidP="008112BD">
      <w:pPr>
        <w:pStyle w:val="Amain"/>
      </w:pPr>
      <w:r>
        <w:tab/>
        <w:t>(1)</w:t>
      </w:r>
      <w:r>
        <w:tab/>
        <w:t>This rule applies if—</w:t>
      </w:r>
    </w:p>
    <w:p w14:paraId="458D7739" w14:textId="77777777"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14:paraId="5F2392A8" w14:textId="77777777"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14:paraId="72BE25C6" w14:textId="77777777" w:rsidR="008112BD" w:rsidRDefault="008112BD" w:rsidP="008112BD">
      <w:pPr>
        <w:pStyle w:val="Amain"/>
      </w:pPr>
      <w:r>
        <w:tab/>
        <w:t>(2)</w:t>
      </w:r>
      <w:r>
        <w:tab/>
        <w:t>The claimant must give notice of the claim to the enforcement officer.</w:t>
      </w:r>
    </w:p>
    <w:p w14:paraId="03BC089B" w14:textId="77777777" w:rsidR="008112BD" w:rsidRDefault="008112BD" w:rsidP="008112BD">
      <w:pPr>
        <w:pStyle w:val="Amain"/>
        <w:keepNext/>
      </w:pPr>
      <w:r>
        <w:tab/>
        <w:t>(3)</w:t>
      </w:r>
      <w:r>
        <w:tab/>
        <w:t>The notice must—</w:t>
      </w:r>
    </w:p>
    <w:p w14:paraId="5FA2D688" w14:textId="77777777" w:rsidR="008112BD" w:rsidRDefault="008112BD" w:rsidP="008112BD">
      <w:pPr>
        <w:pStyle w:val="Apara"/>
      </w:pPr>
      <w:r>
        <w:tab/>
        <w:t>(a)</w:t>
      </w:r>
      <w:r>
        <w:tab/>
        <w:t>state the claimant’s name and give an address for service; and</w:t>
      </w:r>
    </w:p>
    <w:p w14:paraId="050D1067" w14:textId="77777777" w:rsidR="008112BD" w:rsidRDefault="008112BD" w:rsidP="008112BD">
      <w:pPr>
        <w:pStyle w:val="Apara"/>
      </w:pPr>
      <w:r>
        <w:tab/>
        <w:t>(b)</w:t>
      </w:r>
      <w:r>
        <w:tab/>
        <w:t>identify each item of the disputed property to which the claim relates; and</w:t>
      </w:r>
    </w:p>
    <w:p w14:paraId="613AEF98" w14:textId="77777777" w:rsidR="008112BD" w:rsidRDefault="008112BD" w:rsidP="008112BD">
      <w:pPr>
        <w:pStyle w:val="Apara"/>
      </w:pPr>
      <w:r>
        <w:tab/>
        <w:t>(c)</w:t>
      </w:r>
      <w:r>
        <w:tab/>
        <w:t>state the grounds of the claim.</w:t>
      </w:r>
    </w:p>
    <w:p w14:paraId="2D06928E" w14:textId="77777777" w:rsidR="008112BD" w:rsidRDefault="008112BD" w:rsidP="008112BD">
      <w:pPr>
        <w:pStyle w:val="AH5Sec"/>
      </w:pPr>
      <w:bookmarkStart w:id="846" w:name="_Toc185514462"/>
      <w:r w:rsidRPr="00C8328B">
        <w:rPr>
          <w:rStyle w:val="CharSectNo"/>
        </w:rPr>
        <w:t>2606</w:t>
      </w:r>
      <w:r>
        <w:tab/>
        <w:t>Interpleader—failure to give notice of claim</w:t>
      </w:r>
      <w:bookmarkEnd w:id="846"/>
    </w:p>
    <w:p w14:paraId="7031207C" w14:textId="77777777"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14:paraId="27B81927" w14:textId="77777777"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14:paraId="5CA9BA6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6617F1F" w14:textId="77777777" w:rsidR="008112BD" w:rsidRDefault="008112BD" w:rsidP="008112BD">
      <w:pPr>
        <w:pStyle w:val="Amain"/>
      </w:pPr>
      <w:r>
        <w:tab/>
        <w:t>(3)</w:t>
      </w:r>
      <w:r>
        <w:tab/>
        <w:t>The application must be supported by an affidavit.</w:t>
      </w:r>
    </w:p>
    <w:p w14:paraId="1556C9D1" w14:textId="77777777"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14:paraId="3D890CA6" w14:textId="77777777"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14:paraId="4DB71F36" w14:textId="77777777" w:rsidR="008112BD" w:rsidRDefault="008112BD" w:rsidP="008112BD">
      <w:pPr>
        <w:pStyle w:val="Amain"/>
      </w:pPr>
      <w:r>
        <w:tab/>
        <w:t>(6)</w:t>
      </w:r>
      <w:r>
        <w:tab/>
        <w:t>An application for an order under subrule (2) and supporting affidavits must be served on the claimant personally.</w:t>
      </w:r>
    </w:p>
    <w:p w14:paraId="05352B78" w14:textId="77777777" w:rsidR="008112BD" w:rsidRDefault="008112BD" w:rsidP="008112BD">
      <w:pPr>
        <w:pStyle w:val="AH5Sec"/>
      </w:pPr>
      <w:bookmarkStart w:id="847" w:name="_Toc185514463"/>
      <w:r w:rsidRPr="00C8328B">
        <w:rPr>
          <w:rStyle w:val="CharSectNo"/>
        </w:rPr>
        <w:t>2607</w:t>
      </w:r>
      <w:r>
        <w:tab/>
        <w:t>Interpleader—notice to enforcement creditor</w:t>
      </w:r>
      <w:bookmarkEnd w:id="847"/>
    </w:p>
    <w:p w14:paraId="63D14DB1" w14:textId="77777777"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14:paraId="6F9E7ADB" w14:textId="77777777" w:rsidR="008112BD" w:rsidRDefault="008112BD" w:rsidP="008112BD">
      <w:pPr>
        <w:pStyle w:val="Amain"/>
      </w:pPr>
      <w:r>
        <w:tab/>
        <w:t>(2)</w:t>
      </w:r>
      <w:r>
        <w:tab/>
        <w:t>The enforcement creditor may serve a notice on the enforcement officer stating that the claim is admitted.</w:t>
      </w:r>
    </w:p>
    <w:p w14:paraId="2DDC118E" w14:textId="77777777"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14:paraId="6E9A40EF" w14:textId="77777777" w:rsidR="008112BD" w:rsidRDefault="008112BD" w:rsidP="008112BD">
      <w:pPr>
        <w:pStyle w:val="AH5Sec"/>
      </w:pPr>
      <w:bookmarkStart w:id="848" w:name="_Toc185514464"/>
      <w:r w:rsidRPr="00C8328B">
        <w:rPr>
          <w:rStyle w:val="CharSectNo"/>
        </w:rPr>
        <w:lastRenderedPageBreak/>
        <w:t>2608</w:t>
      </w:r>
      <w:r>
        <w:tab/>
        <w:t>Interpleader—admission of claim</w:t>
      </w:r>
      <w:bookmarkEnd w:id="848"/>
    </w:p>
    <w:p w14:paraId="2EBA148D" w14:textId="77777777" w:rsidR="008112BD" w:rsidRDefault="008112BD" w:rsidP="008112BD">
      <w:pPr>
        <w:pStyle w:val="Amain"/>
      </w:pPr>
      <w:r>
        <w:tab/>
        <w:t>(1)</w:t>
      </w:r>
      <w:r>
        <w:tab/>
        <w:t>This rule applies if the enforcement creditor admits the claimant’s claim under rule 2605 by serving notice on the enforcement officer under rule 2607.</w:t>
      </w:r>
    </w:p>
    <w:p w14:paraId="33B3254A" w14:textId="77777777"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14:paraId="7AAA46F8" w14:textId="77777777" w:rsidR="008112BD" w:rsidRDefault="008112BD" w:rsidP="008112BD">
      <w:pPr>
        <w:pStyle w:val="Amain"/>
        <w:keepNext/>
      </w:pPr>
      <w:r>
        <w:tab/>
        <w:t>(3)</w:t>
      </w:r>
      <w:r>
        <w:tab/>
        <w:t>The enforcement officer must—</w:t>
      </w:r>
    </w:p>
    <w:p w14:paraId="7171960C" w14:textId="77777777"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14:paraId="2D96313D" w14:textId="77777777"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14:paraId="75EBB3C5" w14:textId="77777777"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14:paraId="6E5C78C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C91B5C4" w14:textId="77777777" w:rsidR="008112BD" w:rsidRDefault="008112BD" w:rsidP="008112BD">
      <w:pPr>
        <w:pStyle w:val="Amain"/>
      </w:pPr>
      <w:r>
        <w:tab/>
        <w:t>(5)</w:t>
      </w:r>
      <w:r>
        <w:tab/>
        <w:t>The application must be supported by an affidavit to which the notices mentioned in rule 2605 (2) and rule 2607 (2) are annexed.</w:t>
      </w:r>
    </w:p>
    <w:p w14:paraId="2CF713D2" w14:textId="77777777"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14:paraId="1DC01D42" w14:textId="77777777" w:rsidR="008112BD" w:rsidRDefault="008112BD" w:rsidP="008112BD">
      <w:pPr>
        <w:pStyle w:val="Amain"/>
        <w:keepNext/>
      </w:pPr>
      <w:r>
        <w:tab/>
        <w:t>(7)</w:t>
      </w:r>
      <w:r>
        <w:tab/>
        <w:t>If subrule (6) does not apply to the enforcement officer, the enforcement officer may apply to the court for an order under subrule (4) in—</w:t>
      </w:r>
    </w:p>
    <w:p w14:paraId="6E2F28C4" w14:textId="77777777" w:rsidR="008112BD" w:rsidRDefault="008112BD" w:rsidP="008112BD">
      <w:pPr>
        <w:pStyle w:val="Apara"/>
      </w:pPr>
      <w:r>
        <w:tab/>
        <w:t>(a)</w:t>
      </w:r>
      <w:r>
        <w:tab/>
        <w:t>the proceeding in which the enforcement order was made; or</w:t>
      </w:r>
    </w:p>
    <w:p w14:paraId="223BE576" w14:textId="77777777" w:rsidR="008112BD" w:rsidRDefault="008112BD" w:rsidP="008112BD">
      <w:pPr>
        <w:pStyle w:val="Apara"/>
      </w:pPr>
      <w:r>
        <w:lastRenderedPageBreak/>
        <w:tab/>
        <w:t>(b)</w:t>
      </w:r>
      <w:r>
        <w:tab/>
        <w:t>if a proceeding is pending in which the property’s ownership is an issue—the pending proceeding.</w:t>
      </w:r>
    </w:p>
    <w:p w14:paraId="6EDE95E3" w14:textId="77777777" w:rsidR="008112BD" w:rsidRDefault="008112BD" w:rsidP="008112BD">
      <w:pPr>
        <w:pStyle w:val="Amain"/>
      </w:pPr>
      <w:r>
        <w:tab/>
        <w:t>(8)</w:t>
      </w:r>
      <w:r>
        <w:tab/>
        <w:t>An application for an order under subrule (4) and supporting affidavits must be served on the claimant personally.</w:t>
      </w:r>
    </w:p>
    <w:p w14:paraId="6C29243E" w14:textId="77777777" w:rsidR="008112BD" w:rsidRDefault="008112BD" w:rsidP="008112BD">
      <w:pPr>
        <w:pStyle w:val="AH5Sec"/>
      </w:pPr>
      <w:bookmarkStart w:id="849" w:name="_Toc185514465"/>
      <w:r w:rsidRPr="00C8328B">
        <w:rPr>
          <w:rStyle w:val="CharSectNo"/>
        </w:rPr>
        <w:t>2609</w:t>
      </w:r>
      <w:r>
        <w:tab/>
        <w:t>Interpleader—enforcement officer’s interpleader application</w:t>
      </w:r>
      <w:bookmarkEnd w:id="849"/>
    </w:p>
    <w:p w14:paraId="01604541" w14:textId="77777777" w:rsidR="008112BD" w:rsidRDefault="008112BD" w:rsidP="008112BD">
      <w:pPr>
        <w:pStyle w:val="Amain"/>
      </w:pPr>
      <w:r>
        <w:tab/>
        <w:t>(1)</w:t>
      </w:r>
      <w:r>
        <w:tab/>
        <w:t>This rule applies if—</w:t>
      </w:r>
    </w:p>
    <w:p w14:paraId="654D8349" w14:textId="77777777" w:rsidR="008112BD" w:rsidRDefault="008112BD" w:rsidP="008112BD">
      <w:pPr>
        <w:pStyle w:val="Apara"/>
      </w:pPr>
      <w:r>
        <w:tab/>
        <w:t>(a)</w:t>
      </w:r>
      <w:r>
        <w:tab/>
        <w:t>the enforcement officer has served notice of the claimant’s claim on the enforcement creditor under rule 2607; and</w:t>
      </w:r>
    </w:p>
    <w:p w14:paraId="69B27BF5" w14:textId="77777777"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14:paraId="7F4A55A5" w14:textId="77777777" w:rsidR="008112BD" w:rsidRDefault="008112BD" w:rsidP="008112BD">
      <w:pPr>
        <w:pStyle w:val="Apara"/>
      </w:pPr>
      <w:r>
        <w:tab/>
        <w:t>(c)</w:t>
      </w:r>
      <w:r>
        <w:tab/>
        <w:t>the claimant does not afterwards withdraw the claim.</w:t>
      </w:r>
    </w:p>
    <w:p w14:paraId="61C48D81" w14:textId="77777777" w:rsidR="008112BD" w:rsidRDefault="008112BD" w:rsidP="008112BD">
      <w:pPr>
        <w:pStyle w:val="Amain"/>
        <w:keepNext/>
      </w:pPr>
      <w:r>
        <w:tab/>
        <w:t>(2)</w:t>
      </w:r>
      <w:r>
        <w:tab/>
        <w:t>The enforcement officer may apply to the court for interpleader relief.</w:t>
      </w:r>
    </w:p>
    <w:p w14:paraId="4C7583B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34B45B2" w14:textId="77777777" w:rsidR="008112BD" w:rsidRDefault="008112BD" w:rsidP="008112BD">
      <w:pPr>
        <w:pStyle w:val="Amain"/>
      </w:pPr>
      <w:r>
        <w:tab/>
        <w:t>(3)</w:t>
      </w:r>
      <w:r>
        <w:tab/>
        <w:t>The application must be supported by an affidavit to which the notice mentioned in rule 2605 (2) is annexed.</w:t>
      </w:r>
    </w:p>
    <w:p w14:paraId="09BD9050" w14:textId="77777777" w:rsidR="008112BD" w:rsidRDefault="008112BD" w:rsidP="008112BD">
      <w:pPr>
        <w:pStyle w:val="Amain"/>
      </w:pPr>
      <w:r>
        <w:tab/>
        <w:t>(4)</w:t>
      </w:r>
      <w:r>
        <w:tab/>
        <w:t>The application may be made only in the proceeding in which the enforcement order was made.</w:t>
      </w:r>
    </w:p>
    <w:p w14:paraId="48560DF3" w14:textId="77777777" w:rsidR="008112BD" w:rsidRDefault="008112BD" w:rsidP="008112BD">
      <w:pPr>
        <w:pStyle w:val="Amain"/>
      </w:pPr>
      <w:r>
        <w:tab/>
        <w:t>(5)</w:t>
      </w:r>
      <w:r>
        <w:tab/>
        <w:t>A stamped copy of the application and supporting affidavits must be served on the enforcement creditor and claimant personally.</w:t>
      </w:r>
    </w:p>
    <w:p w14:paraId="286208A8" w14:textId="77777777" w:rsidR="008112BD" w:rsidRDefault="008112BD" w:rsidP="008112BD">
      <w:pPr>
        <w:pStyle w:val="AH5Sec"/>
      </w:pPr>
      <w:bookmarkStart w:id="850" w:name="_Toc185514466"/>
      <w:r w:rsidRPr="00C8328B">
        <w:rPr>
          <w:rStyle w:val="CharSectNo"/>
        </w:rPr>
        <w:t>2610</w:t>
      </w:r>
      <w:r>
        <w:tab/>
        <w:t>Interpleader—enforcement debtor’s rights not affected</w:t>
      </w:r>
      <w:bookmarkEnd w:id="850"/>
    </w:p>
    <w:p w14:paraId="53F2E5A7" w14:textId="77777777" w:rsidR="008112BD" w:rsidRDefault="008112BD" w:rsidP="008112BD">
      <w:pPr>
        <w:pStyle w:val="Amainreturn"/>
      </w:pPr>
      <w:r>
        <w:t>This part does not affect a right of the enforcement debtor to bring a claim against the enforcement officer or the enforcement creditor.</w:t>
      </w:r>
    </w:p>
    <w:p w14:paraId="28612298" w14:textId="77777777" w:rsidR="008112BD" w:rsidRPr="00C8328B" w:rsidRDefault="008112BD" w:rsidP="008112BD">
      <w:pPr>
        <w:pStyle w:val="AH3Div"/>
      </w:pPr>
      <w:bookmarkStart w:id="851" w:name="_Toc185514467"/>
      <w:r w:rsidRPr="00C8328B">
        <w:rPr>
          <w:rStyle w:val="CharDivNo"/>
        </w:rPr>
        <w:lastRenderedPageBreak/>
        <w:t>Division 2.19.3</w:t>
      </w:r>
      <w:r>
        <w:tab/>
      </w:r>
      <w:r w:rsidRPr="00C8328B">
        <w:rPr>
          <w:rStyle w:val="CharDivText"/>
        </w:rPr>
        <w:t>Interpleader orders</w:t>
      </w:r>
      <w:bookmarkEnd w:id="851"/>
    </w:p>
    <w:p w14:paraId="3178DC6A" w14:textId="77777777" w:rsidR="008112BD" w:rsidRDefault="008112BD" w:rsidP="008112BD">
      <w:pPr>
        <w:pStyle w:val="AH5Sec"/>
      </w:pPr>
      <w:bookmarkStart w:id="852" w:name="_Toc185514468"/>
      <w:r w:rsidRPr="00C8328B">
        <w:rPr>
          <w:rStyle w:val="CharSectNo"/>
        </w:rPr>
        <w:t>2620</w:t>
      </w:r>
      <w:r>
        <w:tab/>
        <w:t>Interpleader—orders</w:t>
      </w:r>
      <w:bookmarkEnd w:id="852"/>
    </w:p>
    <w:p w14:paraId="04AC9505" w14:textId="77777777"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14:paraId="6BDD915E" w14:textId="77777777" w:rsidR="008112BD" w:rsidRDefault="008112BD" w:rsidP="008112BD">
      <w:pPr>
        <w:pStyle w:val="Amain"/>
        <w:keepNext/>
      </w:pPr>
      <w:r>
        <w:tab/>
        <w:t>(2)</w:t>
      </w:r>
      <w:r>
        <w:tab/>
        <w:t>Without limiting subrule (1), the court may do any of the following:</w:t>
      </w:r>
    </w:p>
    <w:p w14:paraId="2E1EB7F7" w14:textId="77777777"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14:paraId="6B843919" w14:textId="77777777"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14:paraId="4A8F6107" w14:textId="77777777"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14:paraId="798A2793" w14:textId="77777777"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14:paraId="441D3108" w14:textId="77777777" w:rsidR="008112BD" w:rsidRDefault="008112BD" w:rsidP="008112BD">
      <w:pPr>
        <w:pStyle w:val="Apara"/>
      </w:pPr>
      <w:r>
        <w:tab/>
        <w:t>(e)</w:t>
      </w:r>
      <w:r>
        <w:tab/>
        <w:t>decide summarily a question of law or fact arising on the application;</w:t>
      </w:r>
    </w:p>
    <w:p w14:paraId="2EEED8D9" w14:textId="77777777" w:rsidR="008112BD" w:rsidRDefault="008112BD" w:rsidP="008112BD">
      <w:pPr>
        <w:pStyle w:val="Apara"/>
      </w:pPr>
      <w:r>
        <w:tab/>
        <w:t>(f)</w:t>
      </w:r>
      <w:r>
        <w:tab/>
        <w:t>order that a special case be stated on a question of law under part 5.7 (Special cases);</w:t>
      </w:r>
    </w:p>
    <w:p w14:paraId="1C01C79D" w14:textId="77777777" w:rsidR="008112BD" w:rsidRDefault="008112BD" w:rsidP="008112BD">
      <w:pPr>
        <w:pStyle w:val="Apara"/>
      </w:pPr>
      <w:r>
        <w:tab/>
        <w:t>(g)</w:t>
      </w:r>
      <w:r>
        <w:tab/>
        <w:t>make any order it considers appropriate, including an order finally disposing of all issues arising in the proceeding.</w:t>
      </w:r>
    </w:p>
    <w:p w14:paraId="0B539027" w14:textId="77777777" w:rsidR="008112BD" w:rsidRDefault="008112BD" w:rsidP="008112BD">
      <w:pPr>
        <w:pStyle w:val="AH5Sec"/>
      </w:pPr>
      <w:bookmarkStart w:id="853" w:name="_Toc185514469"/>
      <w:r w:rsidRPr="00C8328B">
        <w:rPr>
          <w:rStyle w:val="CharSectNo"/>
        </w:rPr>
        <w:lastRenderedPageBreak/>
        <w:t>2621</w:t>
      </w:r>
      <w:r>
        <w:tab/>
        <w:t>Interpleader—summary disposal of proceeding</w:t>
      </w:r>
      <w:bookmarkEnd w:id="853"/>
    </w:p>
    <w:p w14:paraId="1FCDF1E6" w14:textId="77777777" w:rsidR="008112BD" w:rsidRDefault="008112BD" w:rsidP="008112BD">
      <w:pPr>
        <w:pStyle w:val="Amainreturn"/>
      </w:pPr>
      <w:r>
        <w:t>The court may, having regard to the value of the disputed property, decide the claimants’ claims summarily on any conditions it considers just if—</w:t>
      </w:r>
    </w:p>
    <w:p w14:paraId="3AC5D434" w14:textId="77777777" w:rsidR="008112BD" w:rsidRDefault="008112BD" w:rsidP="008112BD">
      <w:pPr>
        <w:pStyle w:val="Apara"/>
      </w:pPr>
      <w:r>
        <w:tab/>
        <w:t>(a)</w:t>
      </w:r>
      <w:r>
        <w:tab/>
        <w:t>the claimants consent; or</w:t>
      </w:r>
    </w:p>
    <w:p w14:paraId="526AABF3" w14:textId="77777777" w:rsidR="008112BD" w:rsidRDefault="008112BD" w:rsidP="008112BD">
      <w:pPr>
        <w:pStyle w:val="Apara"/>
        <w:keepNext/>
      </w:pPr>
      <w:r>
        <w:tab/>
        <w:t>(b)</w:t>
      </w:r>
      <w:r>
        <w:tab/>
        <w:t>a claimant applies to the court for the court to decide the claims summarily.</w:t>
      </w:r>
    </w:p>
    <w:p w14:paraId="61537A0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A7DDFFF" w14:textId="77777777" w:rsidR="008112BD" w:rsidRDefault="008112BD" w:rsidP="008112BD">
      <w:pPr>
        <w:pStyle w:val="AH5Sec"/>
      </w:pPr>
      <w:bookmarkStart w:id="854" w:name="_Toc185514470"/>
      <w:r w:rsidRPr="00C8328B">
        <w:rPr>
          <w:rStyle w:val="CharSectNo"/>
        </w:rPr>
        <w:t>2622</w:t>
      </w:r>
      <w:r>
        <w:tab/>
        <w:t>Interpleader—adverse claims</w:t>
      </w:r>
      <w:bookmarkEnd w:id="854"/>
    </w:p>
    <w:p w14:paraId="2A0717F9" w14:textId="77777777" w:rsidR="008112BD" w:rsidRDefault="008112BD" w:rsidP="008112BD">
      <w:pPr>
        <w:pStyle w:val="Amainreturn"/>
      </w:pPr>
      <w:r>
        <w:t>The applicant is not disentitled to relief only because the titles of the claimants do not have a common origin, but are adverse to and independent of one another.</w:t>
      </w:r>
    </w:p>
    <w:p w14:paraId="6D2F793B" w14:textId="77777777" w:rsidR="008112BD" w:rsidRDefault="008112BD" w:rsidP="008112BD">
      <w:pPr>
        <w:pStyle w:val="AH5Sec"/>
      </w:pPr>
      <w:bookmarkStart w:id="855" w:name="_Toc185514471"/>
      <w:r w:rsidRPr="00C8328B">
        <w:rPr>
          <w:rStyle w:val="CharSectNo"/>
        </w:rPr>
        <w:t>2623</w:t>
      </w:r>
      <w:r>
        <w:tab/>
        <w:t>Interpleader—default by claimant</w:t>
      </w:r>
      <w:bookmarkEnd w:id="855"/>
    </w:p>
    <w:p w14:paraId="514ABB1A" w14:textId="77777777" w:rsidR="008112BD" w:rsidRDefault="008112BD" w:rsidP="008112BD">
      <w:pPr>
        <w:pStyle w:val="Amain"/>
      </w:pPr>
      <w:r>
        <w:tab/>
        <w:t>(1)</w:t>
      </w:r>
      <w:r>
        <w:tab/>
        <w:t>This rule applies if—</w:t>
      </w:r>
    </w:p>
    <w:p w14:paraId="3AF8B939" w14:textId="77777777" w:rsidR="008112BD" w:rsidRDefault="008112BD" w:rsidP="008112BD">
      <w:pPr>
        <w:pStyle w:val="Apara"/>
      </w:pPr>
      <w:r>
        <w:tab/>
        <w:t>(a)</w:t>
      </w:r>
      <w:r>
        <w:tab/>
        <w:t>a claimant to the disputed property has been given appropriate notice of the hearing of an application for interpleader relief; and</w:t>
      </w:r>
    </w:p>
    <w:p w14:paraId="72E6A54F" w14:textId="77777777" w:rsidR="008112BD" w:rsidRDefault="008112BD" w:rsidP="008112BD">
      <w:pPr>
        <w:pStyle w:val="Apara"/>
      </w:pPr>
      <w:r>
        <w:tab/>
        <w:t>(b)</w:t>
      </w:r>
      <w:r>
        <w:tab/>
        <w:t>the claimant does not appear at the hearing or does not comply with an order made on an application for interpleader relief.</w:t>
      </w:r>
    </w:p>
    <w:p w14:paraId="1560AD3B" w14:textId="77777777"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14:paraId="38E268B5" w14:textId="77777777" w:rsidR="008112BD" w:rsidRDefault="008112BD" w:rsidP="008112BD">
      <w:pPr>
        <w:pStyle w:val="Amain"/>
      </w:pPr>
      <w:r>
        <w:tab/>
        <w:t>(3)</w:t>
      </w:r>
      <w:r>
        <w:tab/>
        <w:t>An order under subrule (2) does not affect the rights of the claimants as between themselves.</w:t>
      </w:r>
    </w:p>
    <w:p w14:paraId="60D7AB0A" w14:textId="77777777" w:rsidR="008112BD" w:rsidRDefault="008112BD" w:rsidP="008112BD">
      <w:pPr>
        <w:pStyle w:val="AH5Sec"/>
      </w:pPr>
      <w:bookmarkStart w:id="856" w:name="_Toc185514472"/>
      <w:r w:rsidRPr="00C8328B">
        <w:rPr>
          <w:rStyle w:val="CharSectNo"/>
        </w:rPr>
        <w:lastRenderedPageBreak/>
        <w:t>2624</w:t>
      </w:r>
      <w:r>
        <w:tab/>
        <w:t>Interpleader—neutrality of applicant</w:t>
      </w:r>
      <w:bookmarkEnd w:id="856"/>
    </w:p>
    <w:p w14:paraId="4CC97CD1" w14:textId="77777777"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14:paraId="68C64420" w14:textId="77777777" w:rsidR="008112BD" w:rsidRDefault="008112BD" w:rsidP="008112BD">
      <w:pPr>
        <w:pStyle w:val="Apara"/>
      </w:pPr>
      <w:r>
        <w:tab/>
        <w:t>(a)</w:t>
      </w:r>
      <w:r>
        <w:tab/>
        <w:t>claims no interest in the disputed property, other than for charges or costs; or</w:t>
      </w:r>
    </w:p>
    <w:p w14:paraId="1930768A" w14:textId="77777777" w:rsidR="008112BD" w:rsidRDefault="008112BD" w:rsidP="008112BD">
      <w:pPr>
        <w:pStyle w:val="Apara"/>
      </w:pPr>
      <w:r>
        <w:tab/>
        <w:t>(b)</w:t>
      </w:r>
      <w:r>
        <w:tab/>
        <w:t>is not in collusion with a claimant to the disputed property.</w:t>
      </w:r>
    </w:p>
    <w:p w14:paraId="734049B9" w14:textId="77777777" w:rsidR="008112BD" w:rsidRDefault="008112BD" w:rsidP="008112BD">
      <w:pPr>
        <w:pStyle w:val="Amain"/>
      </w:pPr>
      <w:r>
        <w:tab/>
        <w:t>(2)</w:t>
      </w:r>
      <w:r>
        <w:tab/>
        <w:t>If an enforcement officer applies for interpleader relief under rule 2609, the court may dismiss the application unless satisfied that the enforcement officer—</w:t>
      </w:r>
    </w:p>
    <w:p w14:paraId="045923E4" w14:textId="77777777" w:rsidR="008112BD" w:rsidRDefault="008112BD" w:rsidP="008112BD">
      <w:pPr>
        <w:pStyle w:val="Apara"/>
      </w:pPr>
      <w:r>
        <w:tab/>
        <w:t>(a)</w:t>
      </w:r>
      <w:r>
        <w:tab/>
        <w:t>claims no interest in the disputed property other than for charges or costs; or</w:t>
      </w:r>
    </w:p>
    <w:p w14:paraId="6AC281AC" w14:textId="77777777" w:rsidR="008112BD" w:rsidRDefault="008112BD" w:rsidP="008112BD">
      <w:pPr>
        <w:pStyle w:val="Apara"/>
      </w:pPr>
      <w:r>
        <w:tab/>
        <w:t>(b)</w:t>
      </w:r>
      <w:r>
        <w:tab/>
        <w:t>is not in collusion with a claimant to the disputed property.</w:t>
      </w:r>
    </w:p>
    <w:p w14:paraId="42F584E4" w14:textId="77777777"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14:paraId="5FF7FDC3" w14:textId="77777777" w:rsidR="008112BD" w:rsidRDefault="008112BD" w:rsidP="008112BD">
      <w:pPr>
        <w:pStyle w:val="AH5Sec"/>
      </w:pPr>
      <w:bookmarkStart w:id="857" w:name="_Toc185514473"/>
      <w:r w:rsidRPr="00C8328B">
        <w:rPr>
          <w:rStyle w:val="CharSectNo"/>
        </w:rPr>
        <w:t>2625</w:t>
      </w:r>
      <w:r>
        <w:tab/>
        <w:t>Interpleader order—2 or more proceedings</w:t>
      </w:r>
      <w:bookmarkEnd w:id="857"/>
    </w:p>
    <w:p w14:paraId="47CF0100" w14:textId="77777777" w:rsidR="008112BD" w:rsidRDefault="008112BD" w:rsidP="008112BD">
      <w:pPr>
        <w:pStyle w:val="Amain"/>
      </w:pPr>
      <w:r>
        <w:tab/>
        <w:t>(1)</w:t>
      </w:r>
      <w:r>
        <w:tab/>
        <w:t>This rule applies if—</w:t>
      </w:r>
    </w:p>
    <w:p w14:paraId="6B662AB3" w14:textId="77777777" w:rsidR="008112BD" w:rsidRDefault="008112BD" w:rsidP="008112BD">
      <w:pPr>
        <w:pStyle w:val="Apara"/>
      </w:pPr>
      <w:r>
        <w:tab/>
        <w:t>(a)</w:t>
      </w:r>
      <w:r>
        <w:tab/>
        <w:t>an application for interpleader relief is made; and</w:t>
      </w:r>
    </w:p>
    <w:p w14:paraId="4980FCBA" w14:textId="77777777" w:rsidR="008112BD" w:rsidRDefault="008112BD" w:rsidP="008112BD">
      <w:pPr>
        <w:pStyle w:val="Apara"/>
      </w:pPr>
      <w:r>
        <w:tab/>
        <w:t>(b)</w:t>
      </w:r>
      <w:r>
        <w:tab/>
        <w:t>2 or more proceedings are pending in the court for or about any or all of the disputed property; and</w:t>
      </w:r>
    </w:p>
    <w:p w14:paraId="746C5464" w14:textId="77777777" w:rsidR="008112BD" w:rsidRDefault="008112BD" w:rsidP="008112BD">
      <w:pPr>
        <w:pStyle w:val="Apara"/>
      </w:pPr>
      <w:r>
        <w:tab/>
        <w:t>(c)</w:t>
      </w:r>
      <w:r>
        <w:tab/>
        <w:t>the court makes an order in any 2 or more of the proceedings.</w:t>
      </w:r>
    </w:p>
    <w:p w14:paraId="7AEE84F3" w14:textId="77777777" w:rsidR="008112BD" w:rsidRDefault="008112BD" w:rsidP="008112BD">
      <w:pPr>
        <w:pStyle w:val="Amain"/>
      </w:pPr>
      <w:r>
        <w:tab/>
        <w:t>(2)</w:t>
      </w:r>
      <w:r>
        <w:tab/>
        <w:t>An order is binding on all the parties to all the proceedings to which it applies.</w:t>
      </w:r>
    </w:p>
    <w:p w14:paraId="2B6F4B99" w14:textId="77777777" w:rsidR="008112BD" w:rsidRDefault="008112BD" w:rsidP="008112BD">
      <w:pPr>
        <w:pStyle w:val="AH5Sec"/>
      </w:pPr>
      <w:bookmarkStart w:id="858" w:name="_Toc185514474"/>
      <w:r w:rsidRPr="00C8328B">
        <w:rPr>
          <w:rStyle w:val="CharSectNo"/>
        </w:rPr>
        <w:lastRenderedPageBreak/>
        <w:t>2626</w:t>
      </w:r>
      <w:r>
        <w:tab/>
        <w:t>Interpleader—trial</w:t>
      </w:r>
      <w:bookmarkEnd w:id="858"/>
    </w:p>
    <w:p w14:paraId="67B40705" w14:textId="77777777"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14:paraId="007E2DE0" w14:textId="77777777" w:rsidR="008112BD" w:rsidRDefault="008112BD" w:rsidP="008112BD">
      <w:pPr>
        <w:pStyle w:val="aNote"/>
      </w:pPr>
      <w:r w:rsidRPr="00FE0788">
        <w:rPr>
          <w:rStyle w:val="charItals"/>
        </w:rPr>
        <w:t>Note</w:t>
      </w:r>
      <w:r>
        <w:tab/>
        <w:t>Pt 6.2 (Applications in proceedings) applies to an application for directions.</w:t>
      </w:r>
    </w:p>
    <w:p w14:paraId="03B2A2CD" w14:textId="77777777" w:rsidR="008112BD" w:rsidRDefault="008112BD" w:rsidP="008112BD">
      <w:pPr>
        <w:pStyle w:val="AH5Sec"/>
      </w:pPr>
      <w:bookmarkStart w:id="859" w:name="_Toc185514475"/>
      <w:r w:rsidRPr="00C8328B">
        <w:rPr>
          <w:rStyle w:val="CharSectNo"/>
        </w:rPr>
        <w:t>2627</w:t>
      </w:r>
      <w:r>
        <w:tab/>
        <w:t>Interpleader—disposal of amounts in court</w:t>
      </w:r>
      <w:bookmarkEnd w:id="859"/>
    </w:p>
    <w:p w14:paraId="771C3D54" w14:textId="77777777"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14:paraId="1169C752" w14:textId="77777777" w:rsidR="008112BD" w:rsidRDefault="008112BD" w:rsidP="008112BD">
      <w:pPr>
        <w:pStyle w:val="PageBreak"/>
      </w:pPr>
      <w:r>
        <w:br w:type="page"/>
      </w:r>
    </w:p>
    <w:p w14:paraId="22105C7F" w14:textId="77777777" w:rsidR="008112BD" w:rsidRPr="00C8328B" w:rsidRDefault="008112BD" w:rsidP="008112BD">
      <w:pPr>
        <w:pStyle w:val="AH2Part"/>
      </w:pPr>
      <w:bookmarkStart w:id="860" w:name="_Toc185514476"/>
      <w:r w:rsidRPr="00C8328B">
        <w:rPr>
          <w:rStyle w:val="CharPartNo"/>
        </w:rPr>
        <w:lastRenderedPageBreak/>
        <w:t>Part 2.20</w:t>
      </w:r>
      <w:r>
        <w:tab/>
      </w:r>
      <w:r w:rsidRPr="00C8328B">
        <w:rPr>
          <w:rStyle w:val="CharPartText"/>
        </w:rPr>
        <w:t>Trusts, estates, accounts and inquiries</w:t>
      </w:r>
      <w:bookmarkEnd w:id="860"/>
    </w:p>
    <w:p w14:paraId="68B94774" w14:textId="77777777" w:rsidR="008112BD" w:rsidRPr="00C8328B" w:rsidRDefault="008112BD" w:rsidP="008112BD">
      <w:pPr>
        <w:pStyle w:val="AH3Div"/>
      </w:pPr>
      <w:bookmarkStart w:id="861" w:name="_Toc185514477"/>
      <w:r w:rsidRPr="00C8328B">
        <w:rPr>
          <w:rStyle w:val="CharDivNo"/>
        </w:rPr>
        <w:t>Division 2.20.1</w:t>
      </w:r>
      <w:r>
        <w:tab/>
      </w:r>
      <w:r w:rsidRPr="00C8328B">
        <w:rPr>
          <w:rStyle w:val="CharDivText"/>
        </w:rPr>
        <w:t>Trusts and estates generally</w:t>
      </w:r>
      <w:bookmarkEnd w:id="861"/>
    </w:p>
    <w:p w14:paraId="26F72CBF" w14:textId="77777777" w:rsidR="008112BD" w:rsidRPr="00446EDE" w:rsidRDefault="008112BD" w:rsidP="008112BD">
      <w:pPr>
        <w:spacing w:before="80" w:after="60"/>
        <w:ind w:left="1083"/>
        <w:rPr>
          <w:rStyle w:val="charItals"/>
          <w:sz w:val="20"/>
        </w:rPr>
      </w:pPr>
      <w:r w:rsidRPr="00446EDE">
        <w:rPr>
          <w:rStyle w:val="charItals"/>
          <w:sz w:val="20"/>
        </w:rPr>
        <w:t>Note to div 2.20.1</w:t>
      </w:r>
    </w:p>
    <w:p w14:paraId="737C5BAC" w14:textId="77777777"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14:paraId="04D5CFD9" w14:textId="77777777" w:rsidR="008112BD" w:rsidRDefault="008112BD" w:rsidP="008112BD">
      <w:pPr>
        <w:pStyle w:val="AH5Sec"/>
      </w:pPr>
      <w:bookmarkStart w:id="862" w:name="_Toc185514478"/>
      <w:r w:rsidRPr="00C8328B">
        <w:rPr>
          <w:rStyle w:val="CharSectNo"/>
        </w:rPr>
        <w:t>2700</w:t>
      </w:r>
      <w:r>
        <w:tab/>
        <w:t>Trusts and estates—decision without order for administration</w:t>
      </w:r>
      <w:bookmarkEnd w:id="862"/>
    </w:p>
    <w:p w14:paraId="19935CC6" w14:textId="77777777" w:rsidR="008112BD" w:rsidRDefault="008112BD" w:rsidP="008112BD">
      <w:pPr>
        <w:pStyle w:val="Amainreturn"/>
      </w:pPr>
      <w:r>
        <w:t>The court need not make an order for the administration of a trust or deceased person’s estate if the questions between the parties can be properly decided without the order.</w:t>
      </w:r>
    </w:p>
    <w:p w14:paraId="455AE076" w14:textId="77777777" w:rsidR="008112BD" w:rsidRDefault="008112BD" w:rsidP="008112BD">
      <w:pPr>
        <w:pStyle w:val="AH5Sec"/>
      </w:pPr>
      <w:bookmarkStart w:id="863" w:name="_Toc185514479"/>
      <w:r w:rsidRPr="00C8328B">
        <w:rPr>
          <w:rStyle w:val="CharSectNo"/>
        </w:rPr>
        <w:t>2701</w:t>
      </w:r>
      <w:r>
        <w:tab/>
        <w:t>Trusts and estates—application not to affect powers</w:t>
      </w:r>
      <w:bookmarkEnd w:id="863"/>
    </w:p>
    <w:p w14:paraId="4A61E21D" w14:textId="77777777"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14:paraId="282C44CF" w14:textId="77777777" w:rsidR="008112BD" w:rsidRDefault="008112BD" w:rsidP="008112BD">
      <w:pPr>
        <w:pStyle w:val="Apara"/>
      </w:pPr>
      <w:r>
        <w:tab/>
        <w:t>(a)</w:t>
      </w:r>
      <w:r>
        <w:tab/>
        <w:t>the only or main issue in the proceeding is an issue of law and a substantial dispute of fact is unlikely; or</w:t>
      </w:r>
    </w:p>
    <w:p w14:paraId="45587D9C" w14:textId="77777777" w:rsidR="008112BD" w:rsidRDefault="008112BD" w:rsidP="008112BD">
      <w:pPr>
        <w:pStyle w:val="Apara"/>
        <w:keepNext/>
      </w:pPr>
      <w:r>
        <w:tab/>
        <w:t>(b)</w:t>
      </w:r>
      <w:r>
        <w:tab/>
        <w:t>there is no opposing party to the proceeding or it is not intended to serve anyone with the originating process.</w:t>
      </w:r>
    </w:p>
    <w:p w14:paraId="6ED79D4A" w14:textId="77777777"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14:paraId="60BA14FE" w14:textId="77777777"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14:paraId="5DC450E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4F5FA433" w14:textId="77777777" w:rsidR="008112BD" w:rsidRDefault="008112BD" w:rsidP="008112BD">
      <w:pPr>
        <w:pStyle w:val="AH5Sec"/>
      </w:pPr>
      <w:bookmarkStart w:id="864" w:name="_Toc185514480"/>
      <w:r w:rsidRPr="00C8328B">
        <w:rPr>
          <w:rStyle w:val="CharSectNo"/>
        </w:rPr>
        <w:lastRenderedPageBreak/>
        <w:t>2702</w:t>
      </w:r>
      <w:r>
        <w:tab/>
        <w:t>Trusts and estates—conduct of sale</w:t>
      </w:r>
      <w:bookmarkEnd w:id="864"/>
    </w:p>
    <w:p w14:paraId="232B17EA" w14:textId="77777777" w:rsidR="008112BD" w:rsidRDefault="008112BD" w:rsidP="008112BD">
      <w:pPr>
        <w:pStyle w:val="Amain"/>
      </w:pPr>
      <w:r>
        <w:tab/>
        <w:t>(1)</w:t>
      </w:r>
      <w:r>
        <w:tab/>
        <w:t>This rule applies if—</w:t>
      </w:r>
    </w:p>
    <w:p w14:paraId="47412840" w14:textId="77777777" w:rsidR="008112BD" w:rsidRDefault="008112BD" w:rsidP="008112BD">
      <w:pPr>
        <w:pStyle w:val="Apara"/>
      </w:pPr>
      <w:r>
        <w:tab/>
        <w:t>(a)</w:t>
      </w:r>
      <w:r>
        <w:tab/>
        <w:t>there is a proceeding for the administration of a deceased person’s estate or enforcement of the trust of a written instrument; and</w:t>
      </w:r>
    </w:p>
    <w:p w14:paraId="29B1FA97" w14:textId="77777777" w:rsidR="008112BD" w:rsidRDefault="008112BD" w:rsidP="008112BD">
      <w:pPr>
        <w:pStyle w:val="Apara"/>
      </w:pPr>
      <w:r>
        <w:tab/>
        <w:t>(b)</w:t>
      </w:r>
      <w:r>
        <w:tab/>
        <w:t>the court orders the sale of property vested in an executor or administrator of the estate or trustee of the trust.</w:t>
      </w:r>
    </w:p>
    <w:p w14:paraId="2BE73671" w14:textId="77777777" w:rsidR="008112BD" w:rsidRDefault="008112BD" w:rsidP="008112BD">
      <w:pPr>
        <w:pStyle w:val="Amain"/>
        <w:keepNext/>
      </w:pPr>
      <w:r>
        <w:tab/>
        <w:t>(2)</w:t>
      </w:r>
      <w:r>
        <w:tab/>
        <w:t>Unless the court otherwise orders, the conduct of the sale must be given to the executor, administrator or trustee.</w:t>
      </w:r>
    </w:p>
    <w:p w14:paraId="602060B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52C551B" w14:textId="77777777" w:rsidR="008112BD" w:rsidRPr="00C8328B" w:rsidRDefault="008112BD" w:rsidP="008112BD">
      <w:pPr>
        <w:pStyle w:val="AH3Div"/>
      </w:pPr>
      <w:bookmarkStart w:id="865" w:name="_Toc185514481"/>
      <w:r w:rsidRPr="00C8328B">
        <w:rPr>
          <w:rStyle w:val="CharDivNo"/>
        </w:rPr>
        <w:t>Division 2.20.2</w:t>
      </w:r>
      <w:r>
        <w:tab/>
      </w:r>
      <w:r w:rsidRPr="00C8328B">
        <w:rPr>
          <w:rStyle w:val="CharDivText"/>
        </w:rPr>
        <w:t>Taking of accounts</w:t>
      </w:r>
      <w:bookmarkEnd w:id="865"/>
    </w:p>
    <w:p w14:paraId="20C9BEDB" w14:textId="77777777" w:rsidR="008112BD" w:rsidRPr="00FE0788" w:rsidRDefault="008112BD" w:rsidP="008112BD">
      <w:pPr>
        <w:pStyle w:val="aNote"/>
        <w:keepNext/>
        <w:rPr>
          <w:rStyle w:val="charItals"/>
        </w:rPr>
      </w:pPr>
      <w:r w:rsidRPr="00FE0788">
        <w:rPr>
          <w:rStyle w:val="charItals"/>
        </w:rPr>
        <w:t>Note to div 2.20.2</w:t>
      </w:r>
    </w:p>
    <w:p w14:paraId="76ABAD6C" w14:textId="77777777" w:rsidR="008112BD" w:rsidRDefault="008112BD" w:rsidP="008112BD">
      <w:pPr>
        <w:pStyle w:val="aNote"/>
        <w:keepNext/>
        <w:ind w:left="1100" w:firstLine="0"/>
      </w:pPr>
      <w:r>
        <w:t>For the accounts of executors, administrators and trustees, see div 2.20.4 (Executors, administrators and trustees—accounts and commission).</w:t>
      </w:r>
    </w:p>
    <w:p w14:paraId="33290E95" w14:textId="77777777" w:rsidR="008112BD" w:rsidRDefault="008112BD" w:rsidP="008112BD">
      <w:pPr>
        <w:pStyle w:val="AH5Sec"/>
      </w:pPr>
      <w:bookmarkStart w:id="866" w:name="_Toc185514482"/>
      <w:r w:rsidRPr="00C8328B">
        <w:rPr>
          <w:rStyle w:val="CharSectNo"/>
        </w:rPr>
        <w:t>2720</w:t>
      </w:r>
      <w:r>
        <w:tab/>
        <w:t xml:space="preserve">Meaning of </w:t>
      </w:r>
      <w:r w:rsidRPr="00FE0788">
        <w:rPr>
          <w:rStyle w:val="charItals"/>
        </w:rPr>
        <w:t>accounting party</w:t>
      </w:r>
      <w:r>
        <w:t>—div 2.20.2</w:t>
      </w:r>
      <w:bookmarkEnd w:id="866"/>
    </w:p>
    <w:p w14:paraId="492137D4" w14:textId="77777777" w:rsidR="008112BD" w:rsidRDefault="008112BD" w:rsidP="008112BD">
      <w:pPr>
        <w:pStyle w:val="Amainreturn"/>
        <w:keepNext/>
      </w:pPr>
      <w:r>
        <w:t>In this division:</w:t>
      </w:r>
    </w:p>
    <w:p w14:paraId="1A67A7B8" w14:textId="77777777" w:rsidR="008112BD" w:rsidRDefault="008112BD" w:rsidP="008112BD">
      <w:pPr>
        <w:pStyle w:val="aDef"/>
      </w:pPr>
      <w:r w:rsidRPr="00FE0788">
        <w:rPr>
          <w:rStyle w:val="charBoldItals"/>
        </w:rPr>
        <w:t>accounting party</w:t>
      </w:r>
      <w:r>
        <w:t xml:space="preserve"> means the party </w:t>
      </w:r>
      <w:r>
        <w:rPr>
          <w:lang w:val="en-US"/>
        </w:rPr>
        <w:t>required to account.</w:t>
      </w:r>
    </w:p>
    <w:p w14:paraId="159A004F" w14:textId="77777777" w:rsidR="008112BD" w:rsidRDefault="008112BD" w:rsidP="008112BD">
      <w:pPr>
        <w:pStyle w:val="AH5Sec"/>
      </w:pPr>
      <w:bookmarkStart w:id="867" w:name="_Toc185514483"/>
      <w:r w:rsidRPr="00C8328B">
        <w:rPr>
          <w:rStyle w:val="CharSectNo"/>
        </w:rPr>
        <w:t>2721</w:t>
      </w:r>
      <w:r>
        <w:tab/>
        <w:t>Account—order for account</w:t>
      </w:r>
      <w:bookmarkEnd w:id="867"/>
    </w:p>
    <w:p w14:paraId="500A8E98" w14:textId="77777777"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14:paraId="400D4A64" w14:textId="77777777" w:rsidR="008112BD" w:rsidRDefault="008112BD" w:rsidP="008112BD">
      <w:pPr>
        <w:pStyle w:val="Amain"/>
        <w:rPr>
          <w:lang w:val="en-US"/>
        </w:rPr>
      </w:pPr>
      <w:r>
        <w:rPr>
          <w:lang w:val="en-US"/>
        </w:rPr>
        <w:tab/>
        <w:t>(2)</w:t>
      </w:r>
      <w:r>
        <w:rPr>
          <w:lang w:val="en-US"/>
        </w:rPr>
        <w:tab/>
        <w:t>Without limiting subrule (1), the court may order that an account be taken if—</w:t>
      </w:r>
    </w:p>
    <w:p w14:paraId="58EBAAC1" w14:textId="77777777" w:rsidR="008112BD" w:rsidRDefault="008112BD" w:rsidP="008112BD">
      <w:pPr>
        <w:pStyle w:val="Apara"/>
        <w:rPr>
          <w:lang w:val="en-US"/>
        </w:rPr>
      </w:pPr>
      <w:r>
        <w:rPr>
          <w:lang w:val="en-US"/>
        </w:rPr>
        <w:tab/>
        <w:t>(a)</w:t>
      </w:r>
      <w:r>
        <w:rPr>
          <w:lang w:val="en-US"/>
        </w:rPr>
        <w:tab/>
        <w:t>an originating application seeks the taking of an account; and</w:t>
      </w:r>
    </w:p>
    <w:p w14:paraId="64029271" w14:textId="77777777"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14:paraId="51B8DB35" w14:textId="77777777" w:rsidR="008112BD" w:rsidRDefault="008112BD" w:rsidP="008112BD">
      <w:pPr>
        <w:pStyle w:val="Amain"/>
        <w:rPr>
          <w:lang w:val="en-US"/>
        </w:rPr>
      </w:pPr>
      <w:r>
        <w:rPr>
          <w:lang w:val="en-US"/>
        </w:rPr>
        <w:lastRenderedPageBreak/>
        <w:tab/>
        <w:t>(3)</w:t>
      </w:r>
      <w:r>
        <w:rPr>
          <w:lang w:val="en-US"/>
        </w:rPr>
        <w:tab/>
        <w:t>An order directing that an account be taken must state—</w:t>
      </w:r>
    </w:p>
    <w:p w14:paraId="3BBE5825" w14:textId="77777777" w:rsidR="008112BD" w:rsidRDefault="008112BD" w:rsidP="008112BD">
      <w:pPr>
        <w:pStyle w:val="Apara"/>
        <w:rPr>
          <w:lang w:val="en-US"/>
        </w:rPr>
      </w:pPr>
      <w:r>
        <w:rPr>
          <w:lang w:val="en-US"/>
        </w:rPr>
        <w:tab/>
        <w:t>(a)</w:t>
      </w:r>
      <w:r>
        <w:rPr>
          <w:lang w:val="en-US"/>
        </w:rPr>
        <w:tab/>
        <w:t>the transaction or series of transactions of which the account is to be taken; and</w:t>
      </w:r>
    </w:p>
    <w:p w14:paraId="10485FC2" w14:textId="77777777" w:rsidR="008112BD" w:rsidRDefault="008112BD" w:rsidP="008112BD">
      <w:pPr>
        <w:pStyle w:val="Apara"/>
        <w:rPr>
          <w:lang w:val="en-US"/>
        </w:rPr>
      </w:pPr>
      <w:r>
        <w:rPr>
          <w:lang w:val="en-US"/>
        </w:rPr>
        <w:tab/>
        <w:t>(b)</w:t>
      </w:r>
      <w:r>
        <w:rPr>
          <w:lang w:val="en-US"/>
        </w:rPr>
        <w:tab/>
        <w:t>the basis of the account; and</w:t>
      </w:r>
    </w:p>
    <w:p w14:paraId="438E408F" w14:textId="77777777" w:rsidR="008112BD" w:rsidRDefault="008112BD" w:rsidP="008112BD">
      <w:pPr>
        <w:pStyle w:val="Apara"/>
        <w:rPr>
          <w:lang w:val="en-US"/>
        </w:rPr>
      </w:pPr>
      <w:r>
        <w:rPr>
          <w:lang w:val="en-US"/>
        </w:rPr>
        <w:tab/>
        <w:t>(c)</w:t>
      </w:r>
      <w:r>
        <w:rPr>
          <w:lang w:val="en-US"/>
        </w:rPr>
        <w:tab/>
        <w:t>the period of the account.</w:t>
      </w:r>
    </w:p>
    <w:p w14:paraId="434F98CC" w14:textId="77777777" w:rsidR="008112BD" w:rsidRDefault="008112BD" w:rsidP="008112BD">
      <w:pPr>
        <w:pStyle w:val="AH5Sec"/>
      </w:pPr>
      <w:bookmarkStart w:id="868" w:name="_Toc185514484"/>
      <w:r w:rsidRPr="00C8328B">
        <w:rPr>
          <w:rStyle w:val="CharSectNo"/>
        </w:rPr>
        <w:t>2722</w:t>
      </w:r>
      <w:r>
        <w:tab/>
        <w:t>Account—orders</w:t>
      </w:r>
      <w:bookmarkEnd w:id="868"/>
    </w:p>
    <w:p w14:paraId="5FA5A4B2" w14:textId="77777777" w:rsidR="008112BD" w:rsidRDefault="008112BD" w:rsidP="008112BD">
      <w:pPr>
        <w:pStyle w:val="Amain"/>
        <w:rPr>
          <w:lang w:val="en-US"/>
        </w:rPr>
      </w:pPr>
      <w:r>
        <w:rPr>
          <w:lang w:val="en-US"/>
        </w:rPr>
        <w:tab/>
        <w:t>(1)</w:t>
      </w:r>
      <w:r>
        <w:rPr>
          <w:lang w:val="en-US"/>
        </w:rPr>
        <w:tab/>
        <w:t>This rule applies if the court orders the taking of an account.</w:t>
      </w:r>
    </w:p>
    <w:p w14:paraId="70AC31A7" w14:textId="77777777"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14:paraId="18F9D093" w14:textId="77777777"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14:paraId="42C36973" w14:textId="77777777"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14:paraId="5DB136A5" w14:textId="77777777"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14:paraId="728A37EC" w14:textId="77777777"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14:paraId="3B904CB9" w14:textId="77777777" w:rsidR="008112BD" w:rsidRDefault="008112BD" w:rsidP="008112BD">
      <w:pPr>
        <w:pStyle w:val="Apara"/>
        <w:rPr>
          <w:lang w:val="en-US"/>
        </w:rPr>
      </w:pPr>
      <w:r>
        <w:rPr>
          <w:lang w:val="en-US"/>
        </w:rPr>
        <w:tab/>
        <w:t>(e)</w:t>
      </w:r>
      <w:r>
        <w:rPr>
          <w:lang w:val="en-US"/>
        </w:rPr>
        <w:tab/>
        <w:t>the people to be called as witnesses at the taking of the account;</w:t>
      </w:r>
    </w:p>
    <w:p w14:paraId="29DC35F1" w14:textId="77777777"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14:paraId="000E2523"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14:paraId="39B3673D" w14:textId="77777777"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14:paraId="328C597E" w14:textId="77777777" w:rsidR="008112BD" w:rsidRDefault="008112BD" w:rsidP="008112BD">
      <w:pPr>
        <w:pStyle w:val="AH5Sec"/>
      </w:pPr>
      <w:bookmarkStart w:id="869" w:name="_Toc185514485"/>
      <w:r w:rsidRPr="00C8328B">
        <w:rPr>
          <w:rStyle w:val="CharSectNo"/>
        </w:rPr>
        <w:t>2723</w:t>
      </w:r>
      <w:r>
        <w:tab/>
        <w:t>Accounts—service of order etc</w:t>
      </w:r>
      <w:bookmarkEnd w:id="869"/>
    </w:p>
    <w:p w14:paraId="4D51FF14" w14:textId="77777777"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14:paraId="5DB386F8" w14:textId="77777777"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14:paraId="4B4DB6B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F67E737" w14:textId="77777777"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14:paraId="501E2D87" w14:textId="77777777"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14:paraId="30C57A52" w14:textId="77777777" w:rsidR="008112BD" w:rsidRDefault="008112BD" w:rsidP="008112BD">
      <w:pPr>
        <w:pStyle w:val="Amain"/>
        <w:rPr>
          <w:lang w:val="en-US"/>
        </w:rPr>
      </w:pPr>
      <w:r>
        <w:rPr>
          <w:lang w:val="en-US"/>
        </w:rPr>
        <w:tab/>
        <w:t>(5)</w:t>
      </w:r>
      <w:r>
        <w:rPr>
          <w:lang w:val="en-US"/>
        </w:rPr>
        <w:tab/>
        <w:t>If—</w:t>
      </w:r>
    </w:p>
    <w:p w14:paraId="22F2734F" w14:textId="77777777"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14:paraId="4A3E572B" w14:textId="77777777"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14:paraId="54A2F2AC" w14:textId="77777777"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14:paraId="0A449976" w14:textId="77777777" w:rsidR="008112BD" w:rsidRDefault="008112BD" w:rsidP="008112BD">
      <w:pPr>
        <w:pStyle w:val="Amainreturn"/>
        <w:rPr>
          <w:lang w:val="en-US"/>
        </w:rPr>
      </w:pPr>
      <w:r>
        <w:rPr>
          <w:lang w:val="en-US"/>
        </w:rPr>
        <w:t>everyone on whom the order is served is bound by the proceeding.</w:t>
      </w:r>
    </w:p>
    <w:p w14:paraId="04C009B4" w14:textId="77777777" w:rsidR="008112BD" w:rsidRDefault="008112BD" w:rsidP="008112BD">
      <w:pPr>
        <w:pStyle w:val="AH5Sec"/>
      </w:pPr>
      <w:bookmarkStart w:id="870" w:name="_Toc185514486"/>
      <w:r w:rsidRPr="00C8328B">
        <w:rPr>
          <w:rStyle w:val="CharSectNo"/>
        </w:rPr>
        <w:t>2724</w:t>
      </w:r>
      <w:r>
        <w:tab/>
        <w:t>Accounts—form and verification</w:t>
      </w:r>
      <w:bookmarkEnd w:id="870"/>
    </w:p>
    <w:p w14:paraId="5640FCF4" w14:textId="77777777" w:rsidR="008112BD" w:rsidRDefault="008112BD" w:rsidP="008112BD">
      <w:pPr>
        <w:pStyle w:val="Amain"/>
        <w:rPr>
          <w:lang w:val="en-US"/>
        </w:rPr>
      </w:pPr>
      <w:r>
        <w:rPr>
          <w:lang w:val="en-US"/>
        </w:rPr>
        <w:tab/>
        <w:t>(1)</w:t>
      </w:r>
      <w:r>
        <w:rPr>
          <w:lang w:val="en-US"/>
        </w:rPr>
        <w:tab/>
        <w:t>All items in an account must be numbered consecutively.</w:t>
      </w:r>
    </w:p>
    <w:p w14:paraId="1635102F" w14:textId="77777777"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14:paraId="0CBA9200" w14:textId="77777777"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14:paraId="6C7FC2F1" w14:textId="77777777" w:rsidR="008112BD" w:rsidRDefault="008112BD" w:rsidP="008112BD">
      <w:pPr>
        <w:pStyle w:val="Amain"/>
        <w:rPr>
          <w:lang w:val="en-US"/>
        </w:rPr>
      </w:pPr>
      <w:r>
        <w:rPr>
          <w:lang w:val="en-US"/>
        </w:rPr>
        <w:tab/>
        <w:t>(3)</w:t>
      </w:r>
      <w:r>
        <w:rPr>
          <w:lang w:val="en-US"/>
        </w:rPr>
        <w:tab/>
        <w:t>On the taking of an account, all payments over $250 must be verified by receipts.</w:t>
      </w:r>
    </w:p>
    <w:p w14:paraId="7C66998C" w14:textId="77777777"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14:paraId="071D95C3" w14:textId="77777777" w:rsidR="008112BD" w:rsidRDefault="008112BD" w:rsidP="008112BD">
      <w:pPr>
        <w:pStyle w:val="AH5Sec"/>
      </w:pPr>
      <w:bookmarkStart w:id="871" w:name="_Toc185514487"/>
      <w:r w:rsidRPr="00C8328B">
        <w:rPr>
          <w:rStyle w:val="CharSectNo"/>
        </w:rPr>
        <w:t>2725</w:t>
      </w:r>
      <w:r>
        <w:tab/>
        <w:t>Accounts—filing and service</w:t>
      </w:r>
      <w:bookmarkEnd w:id="871"/>
    </w:p>
    <w:p w14:paraId="1506FDBC" w14:textId="77777777" w:rsidR="008112BD" w:rsidRDefault="008112BD" w:rsidP="008112BD">
      <w:pPr>
        <w:pStyle w:val="Amainreturn"/>
        <w:rPr>
          <w:lang w:val="en-US"/>
        </w:rPr>
      </w:pPr>
      <w:r>
        <w:rPr>
          <w:lang w:val="en-US"/>
        </w:rPr>
        <w:t>The accounting party must—</w:t>
      </w:r>
    </w:p>
    <w:p w14:paraId="4840C8FF" w14:textId="77777777" w:rsidR="008112BD" w:rsidRDefault="008112BD" w:rsidP="008112BD">
      <w:pPr>
        <w:pStyle w:val="Apara"/>
        <w:rPr>
          <w:lang w:val="en-US"/>
        </w:rPr>
      </w:pPr>
      <w:r>
        <w:rPr>
          <w:lang w:val="en-US"/>
        </w:rPr>
        <w:tab/>
        <w:t>(a)</w:t>
      </w:r>
      <w:r>
        <w:rPr>
          <w:lang w:val="en-US"/>
        </w:rPr>
        <w:tab/>
        <w:t>file the account and verifying affidavit; and</w:t>
      </w:r>
    </w:p>
    <w:p w14:paraId="786BC536" w14:textId="77777777" w:rsidR="008112BD" w:rsidRDefault="008112BD" w:rsidP="008112BD">
      <w:pPr>
        <w:pStyle w:val="Apara"/>
        <w:rPr>
          <w:lang w:val="en-US"/>
        </w:rPr>
      </w:pPr>
      <w:r>
        <w:rPr>
          <w:lang w:val="en-US"/>
        </w:rPr>
        <w:tab/>
        <w:t>(b)</w:t>
      </w:r>
      <w:r>
        <w:rPr>
          <w:lang w:val="en-US"/>
        </w:rPr>
        <w:tab/>
        <w:t>serve stamped copies on everyone entitled to be heard at the taking of the account.</w:t>
      </w:r>
    </w:p>
    <w:p w14:paraId="59799C01" w14:textId="77777777" w:rsidR="008112BD" w:rsidRDefault="008112BD" w:rsidP="008112BD">
      <w:pPr>
        <w:pStyle w:val="AH5Sec"/>
      </w:pPr>
      <w:bookmarkStart w:id="872" w:name="_Toc185514488"/>
      <w:r w:rsidRPr="00C8328B">
        <w:rPr>
          <w:rStyle w:val="CharSectNo"/>
        </w:rPr>
        <w:t>2726</w:t>
      </w:r>
      <w:r>
        <w:tab/>
        <w:t>Accounts—challenging account</w:t>
      </w:r>
      <w:bookmarkEnd w:id="872"/>
    </w:p>
    <w:p w14:paraId="2962C814" w14:textId="77777777" w:rsidR="008112BD" w:rsidRDefault="008112BD" w:rsidP="008112BD">
      <w:pPr>
        <w:pStyle w:val="Amainreturn"/>
        <w:rPr>
          <w:lang w:val="en-US"/>
        </w:rPr>
      </w:pPr>
      <w:r>
        <w:rPr>
          <w:lang w:val="en-US"/>
        </w:rPr>
        <w:t>If a person challenges the accuracy of an account, the person must serve a notice on the accounting party that—</w:t>
      </w:r>
    </w:p>
    <w:p w14:paraId="4DA26874" w14:textId="77777777" w:rsidR="008112BD" w:rsidRDefault="008112BD" w:rsidP="008112BD">
      <w:pPr>
        <w:pStyle w:val="Apara"/>
        <w:rPr>
          <w:lang w:val="en-US"/>
        </w:rPr>
      </w:pPr>
      <w:r>
        <w:rPr>
          <w:lang w:val="en-US"/>
        </w:rPr>
        <w:tab/>
        <w:t>(a)</w:t>
      </w:r>
      <w:r>
        <w:rPr>
          <w:lang w:val="en-US"/>
        </w:rPr>
        <w:tab/>
        <w:t>states the errors or omissions claimed; and</w:t>
      </w:r>
    </w:p>
    <w:p w14:paraId="6A8E0507" w14:textId="77777777" w:rsidR="008112BD" w:rsidRDefault="008112BD" w:rsidP="008112BD">
      <w:pPr>
        <w:pStyle w:val="Apara"/>
        <w:rPr>
          <w:lang w:val="en-US"/>
        </w:rPr>
      </w:pPr>
      <w:r>
        <w:rPr>
          <w:lang w:val="en-US"/>
        </w:rPr>
        <w:tab/>
        <w:t>(b)</w:t>
      </w:r>
      <w:r>
        <w:rPr>
          <w:lang w:val="en-US"/>
        </w:rPr>
        <w:tab/>
        <w:t>gives brief details of them.</w:t>
      </w:r>
    </w:p>
    <w:p w14:paraId="6563C40B" w14:textId="77777777" w:rsidR="008112BD" w:rsidRDefault="008112BD" w:rsidP="008112BD">
      <w:pPr>
        <w:pStyle w:val="AH5Sec"/>
      </w:pPr>
      <w:bookmarkStart w:id="873" w:name="_Toc185514489"/>
      <w:r w:rsidRPr="00C8328B">
        <w:rPr>
          <w:rStyle w:val="CharSectNo"/>
        </w:rPr>
        <w:lastRenderedPageBreak/>
        <w:t>2727</w:t>
      </w:r>
      <w:r>
        <w:tab/>
        <w:t>Accounts—witness</w:t>
      </w:r>
      <w:bookmarkEnd w:id="873"/>
    </w:p>
    <w:p w14:paraId="3F64C66B" w14:textId="77777777"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14:paraId="181CCA58" w14:textId="72E59736"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37" w:tooltip="A2001-14" w:history="1">
        <w:r w:rsidRPr="00FE0788">
          <w:rPr>
            <w:rStyle w:val="charCitHyperlinkAbbrev"/>
          </w:rPr>
          <w:t>Legislation Act</w:t>
        </w:r>
      </w:hyperlink>
      <w:r>
        <w:t>, dict, pt 1).</w:t>
      </w:r>
    </w:p>
    <w:p w14:paraId="238B52C9" w14:textId="77777777" w:rsidR="008112BD" w:rsidRDefault="008112BD" w:rsidP="008112BD">
      <w:pPr>
        <w:pStyle w:val="AH5Sec"/>
      </w:pPr>
      <w:bookmarkStart w:id="874" w:name="_Toc185514490"/>
      <w:r w:rsidRPr="00C8328B">
        <w:rPr>
          <w:rStyle w:val="CharSectNo"/>
        </w:rPr>
        <w:t>2728</w:t>
      </w:r>
      <w:r>
        <w:tab/>
        <w:t>Accounts—allowances</w:t>
      </w:r>
      <w:bookmarkEnd w:id="874"/>
    </w:p>
    <w:p w14:paraId="32F3A111" w14:textId="77777777"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14:paraId="4776DDEB" w14:textId="77777777" w:rsidR="008112BD" w:rsidRDefault="008112BD" w:rsidP="008112BD">
      <w:pPr>
        <w:pStyle w:val="AH5Sec"/>
      </w:pPr>
      <w:bookmarkStart w:id="875" w:name="_Toc185514491"/>
      <w:r w:rsidRPr="00C8328B">
        <w:rPr>
          <w:rStyle w:val="CharSectNo"/>
        </w:rPr>
        <w:t>2729</w:t>
      </w:r>
      <w:r>
        <w:tab/>
        <w:t>Accounts—delay</w:t>
      </w:r>
      <w:bookmarkEnd w:id="875"/>
    </w:p>
    <w:p w14:paraId="362C6AEC" w14:textId="77777777"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14:paraId="610E9E73" w14:textId="77777777"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14:paraId="08E17C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D810BDF" w14:textId="77777777" w:rsidR="008112BD" w:rsidRDefault="008112BD" w:rsidP="008112BD">
      <w:pPr>
        <w:pStyle w:val="AH5Sec"/>
      </w:pPr>
      <w:bookmarkStart w:id="876" w:name="_Toc185514492"/>
      <w:r w:rsidRPr="00C8328B">
        <w:rPr>
          <w:rStyle w:val="CharSectNo"/>
        </w:rPr>
        <w:t>2730</w:t>
      </w:r>
      <w:r>
        <w:tab/>
        <w:t>Accounts—powers exercisable on taking account</w:t>
      </w:r>
      <w:bookmarkEnd w:id="876"/>
    </w:p>
    <w:p w14:paraId="6AB14A11" w14:textId="77777777"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14:paraId="2E736922" w14:textId="722F3D58"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38" w:tooltip="A2001-14" w:history="1">
        <w:r w:rsidRPr="00FE0788">
          <w:rPr>
            <w:rStyle w:val="charCitHyperlinkAbbrev"/>
          </w:rPr>
          <w:t>Legislation Act</w:t>
        </w:r>
      </w:hyperlink>
      <w:r>
        <w:t>, dict, pt 1).</w:t>
      </w:r>
    </w:p>
    <w:p w14:paraId="1C9519F7" w14:textId="77777777" w:rsidR="008112BD" w:rsidRDefault="008112BD" w:rsidP="008112BD">
      <w:pPr>
        <w:pStyle w:val="AH5Sec"/>
      </w:pPr>
      <w:bookmarkStart w:id="877" w:name="_Toc185514493"/>
      <w:r w:rsidRPr="00C8328B">
        <w:rPr>
          <w:rStyle w:val="CharSectNo"/>
        </w:rPr>
        <w:lastRenderedPageBreak/>
        <w:t>2731</w:t>
      </w:r>
      <w:r>
        <w:tab/>
        <w:t>Accounts—class interests</w:t>
      </w:r>
      <w:bookmarkEnd w:id="877"/>
    </w:p>
    <w:p w14:paraId="1F11DFB1" w14:textId="77777777"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14:paraId="0BBF3D4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29F8F0F" w14:textId="77777777"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14:paraId="7E40155A" w14:textId="77777777" w:rsidR="008112BD" w:rsidRDefault="008112BD" w:rsidP="008112BD">
      <w:pPr>
        <w:pStyle w:val="Apara"/>
        <w:rPr>
          <w:lang w:val="en-US"/>
        </w:rPr>
      </w:pPr>
      <w:r>
        <w:rPr>
          <w:lang w:val="en-US"/>
        </w:rPr>
        <w:tab/>
        <w:t>(a)</w:t>
      </w:r>
      <w:r>
        <w:rPr>
          <w:lang w:val="en-US"/>
        </w:rPr>
        <w:tab/>
        <w:t>may be separately represented; and</w:t>
      </w:r>
    </w:p>
    <w:p w14:paraId="7B8014E7" w14:textId="77777777"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14:paraId="7BAEE1D1" w14:textId="77777777"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14:paraId="7F1A1186" w14:textId="77777777"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14:paraId="261F3299" w14:textId="77777777" w:rsidR="008112BD" w:rsidRDefault="008112BD" w:rsidP="008112BD">
      <w:pPr>
        <w:pStyle w:val="AH5Sec"/>
      </w:pPr>
      <w:bookmarkStart w:id="878" w:name="_Toc185514494"/>
      <w:r w:rsidRPr="00C8328B">
        <w:rPr>
          <w:rStyle w:val="CharSectNo"/>
        </w:rPr>
        <w:t>2732</w:t>
      </w:r>
      <w:r>
        <w:tab/>
        <w:t>Accounts—reference to judicial officer</w:t>
      </w:r>
      <w:bookmarkEnd w:id="878"/>
    </w:p>
    <w:p w14:paraId="15E4E73C" w14:textId="2133F534" w:rsidR="008112BD" w:rsidRDefault="008112BD" w:rsidP="008112BD">
      <w:pPr>
        <w:pStyle w:val="Amain"/>
        <w:rPr>
          <w:lang w:val="en-US"/>
        </w:rPr>
      </w:pPr>
      <w:r>
        <w:rPr>
          <w:lang w:val="en-US"/>
        </w:rPr>
        <w:tab/>
        <w:t>(1)</w:t>
      </w:r>
      <w:r>
        <w:rPr>
          <w:lang w:val="en-US"/>
        </w:rPr>
        <w:tab/>
        <w:t xml:space="preserve">If an account is taken by the registrar of a court, the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14:paraId="09879F80" w14:textId="77777777"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14:paraId="32FE958B" w14:textId="77777777" w:rsidR="008112BD" w:rsidRDefault="008112BD" w:rsidP="008112BD">
      <w:pPr>
        <w:pStyle w:val="Amain"/>
        <w:keepNext/>
        <w:rPr>
          <w:lang w:val="en-US"/>
        </w:rPr>
      </w:pPr>
      <w:r>
        <w:rPr>
          <w:lang w:val="en-US"/>
        </w:rPr>
        <w:tab/>
        <w:t>(3)</w:t>
      </w:r>
      <w:r>
        <w:rPr>
          <w:lang w:val="en-US"/>
        </w:rPr>
        <w:tab/>
        <w:t>This rule is additional to the following rules:</w:t>
      </w:r>
    </w:p>
    <w:p w14:paraId="50AF3ACA"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6254 (Order that jurisdiction in proceeding be exercised by judicial officer other than registrar)</w:t>
      </w:r>
    </w:p>
    <w:p w14:paraId="6D6F26A8" w14:textId="77777777" w:rsidR="008112BD" w:rsidRDefault="008112BD" w:rsidP="008112BD">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rule 6255 (Registrar referring proceeding or issue to judicial officer).</w:t>
      </w:r>
    </w:p>
    <w:p w14:paraId="5C2ADB9D" w14:textId="77777777" w:rsidR="008112BD" w:rsidRDefault="008112BD" w:rsidP="008112BD">
      <w:pPr>
        <w:pStyle w:val="Amain"/>
        <w:keepNext/>
        <w:rPr>
          <w:lang w:val="en-US"/>
        </w:rPr>
      </w:pPr>
      <w:r>
        <w:rPr>
          <w:lang w:val="en-US"/>
        </w:rPr>
        <w:tab/>
        <w:t>(4)</w:t>
      </w:r>
      <w:r>
        <w:rPr>
          <w:lang w:val="en-US"/>
        </w:rPr>
        <w:tab/>
        <w:t>In this rule:</w:t>
      </w:r>
    </w:p>
    <w:p w14:paraId="312B965D" w14:textId="77777777" w:rsidR="00C9107A" w:rsidRPr="00F13970" w:rsidRDefault="00C9107A" w:rsidP="00C9107A">
      <w:pPr>
        <w:pStyle w:val="aDef"/>
        <w:keepNext/>
      </w:pPr>
      <w:r w:rsidRPr="005E6481">
        <w:rPr>
          <w:rStyle w:val="charBoldItals"/>
        </w:rPr>
        <w:t>judicial officer</w:t>
      </w:r>
      <w:r w:rsidRPr="00F13970">
        <w:t xml:space="preserve"> means</w:t>
      </w:r>
      <w:r w:rsidRPr="00F13970">
        <w:rPr>
          <w:color w:val="000000"/>
          <w:shd w:val="clear" w:color="auto" w:fill="FFFFFF"/>
        </w:rPr>
        <w:t>—</w:t>
      </w:r>
    </w:p>
    <w:p w14:paraId="70343590" w14:textId="77777777" w:rsidR="00C9107A" w:rsidRPr="00F13970" w:rsidRDefault="00C9107A" w:rsidP="00C9107A">
      <w:pPr>
        <w:pStyle w:val="aDefpara"/>
        <w:rPr>
          <w:lang w:eastAsia="en-AU"/>
        </w:rPr>
      </w:pPr>
      <w:r w:rsidRPr="00F13970">
        <w:tab/>
        <w:t>(a)</w:t>
      </w:r>
      <w:r w:rsidRPr="00F13970">
        <w:tab/>
        <w:t>for the registrar of the Supreme Court—a judge; or</w:t>
      </w:r>
    </w:p>
    <w:p w14:paraId="1DF7D5F7" w14:textId="77777777" w:rsidR="00C9107A" w:rsidRPr="00F13970" w:rsidRDefault="00C9107A" w:rsidP="00C9107A">
      <w:pPr>
        <w:pStyle w:val="aDefpara"/>
        <w:rPr>
          <w:lang w:eastAsia="en-AU"/>
        </w:rPr>
      </w:pPr>
      <w:r w:rsidRPr="00F13970">
        <w:tab/>
        <w:t>(b)</w:t>
      </w:r>
      <w:r w:rsidRPr="00F13970">
        <w:tab/>
      </w:r>
      <w:r w:rsidRPr="00F13970">
        <w:rPr>
          <w:color w:val="000000"/>
        </w:rPr>
        <w:t>for the registrar of the Magistrates Court—a magistrate.</w:t>
      </w:r>
    </w:p>
    <w:p w14:paraId="6E7D2866" w14:textId="77777777" w:rsidR="008112BD" w:rsidRDefault="008112BD" w:rsidP="008112BD">
      <w:pPr>
        <w:pStyle w:val="AH5Sec"/>
      </w:pPr>
      <w:bookmarkStart w:id="879" w:name="_Toc185514495"/>
      <w:r w:rsidRPr="00C8328B">
        <w:rPr>
          <w:rStyle w:val="CharSectNo"/>
        </w:rPr>
        <w:t>2733</w:t>
      </w:r>
      <w:r>
        <w:tab/>
        <w:t>Accounts—certificate about taking of account</w:t>
      </w:r>
      <w:bookmarkEnd w:id="879"/>
    </w:p>
    <w:p w14:paraId="5283D2D4" w14:textId="77777777"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14:paraId="263BFFEF" w14:textId="77777777"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14:paraId="66D643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14:paraId="44E47626" w14:textId="77777777" w:rsidR="008112BD" w:rsidRDefault="008112BD" w:rsidP="008112BD">
      <w:pPr>
        <w:pStyle w:val="Amain"/>
        <w:rPr>
          <w:lang w:val="en-US"/>
        </w:rPr>
      </w:pPr>
      <w:r>
        <w:rPr>
          <w:lang w:val="en-US"/>
        </w:rPr>
        <w:tab/>
        <w:t>(3)</w:t>
      </w:r>
      <w:r>
        <w:rPr>
          <w:lang w:val="en-US"/>
        </w:rPr>
        <w:tab/>
        <w:t>The application must state—</w:t>
      </w:r>
    </w:p>
    <w:p w14:paraId="0B955E55" w14:textId="77777777" w:rsidR="008112BD" w:rsidRDefault="008112BD" w:rsidP="008112BD">
      <w:pPr>
        <w:pStyle w:val="Apara"/>
        <w:rPr>
          <w:lang w:val="en-US"/>
        </w:rPr>
      </w:pPr>
      <w:r>
        <w:rPr>
          <w:lang w:val="en-US"/>
        </w:rPr>
        <w:tab/>
        <w:t>(a)</w:t>
      </w:r>
      <w:r>
        <w:rPr>
          <w:lang w:val="en-US"/>
        </w:rPr>
        <w:tab/>
        <w:t>the items objected to; and</w:t>
      </w:r>
    </w:p>
    <w:p w14:paraId="7C50A423" w14:textId="77777777" w:rsidR="008112BD" w:rsidRDefault="008112BD" w:rsidP="008112BD">
      <w:pPr>
        <w:pStyle w:val="Apara"/>
        <w:rPr>
          <w:lang w:val="en-US"/>
        </w:rPr>
      </w:pPr>
      <w:r>
        <w:rPr>
          <w:lang w:val="en-US"/>
        </w:rPr>
        <w:tab/>
        <w:t>(b)</w:t>
      </w:r>
      <w:r>
        <w:rPr>
          <w:lang w:val="en-US"/>
        </w:rPr>
        <w:tab/>
        <w:t>briefly, but specifically, the grounds of the objection.</w:t>
      </w:r>
    </w:p>
    <w:p w14:paraId="3CB5DAEF" w14:textId="77777777"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14:paraId="279CE55B" w14:textId="77777777" w:rsidR="008112BD" w:rsidRDefault="008112BD" w:rsidP="008112BD">
      <w:pPr>
        <w:pStyle w:val="Amain"/>
        <w:keepNext/>
        <w:rPr>
          <w:lang w:val="en-US"/>
        </w:rPr>
      </w:pPr>
      <w:r>
        <w:rPr>
          <w:lang w:val="en-US"/>
        </w:rPr>
        <w:tab/>
        <w:t>(5)</w:t>
      </w:r>
      <w:r>
        <w:rPr>
          <w:lang w:val="en-US"/>
        </w:rPr>
        <w:tab/>
        <w:t>The certificate becomes final, and is binding on the parties, at the end of 7 days after the day it is filed in the court, unless someone applies under subrule (2) for the certificate to be set aside or amended.</w:t>
      </w:r>
    </w:p>
    <w:p w14:paraId="4917A86D" w14:textId="77777777"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14:paraId="2BA54BAB" w14:textId="77777777"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14:paraId="7F54B270" w14:textId="77777777" w:rsidR="008112BD" w:rsidRDefault="008112BD" w:rsidP="008112BD">
      <w:pPr>
        <w:pStyle w:val="Amain"/>
        <w:rPr>
          <w:lang w:val="en-US"/>
        </w:rPr>
      </w:pPr>
      <w:r>
        <w:rPr>
          <w:lang w:val="en-US"/>
        </w:rPr>
        <w:lastRenderedPageBreak/>
        <w:tab/>
        <w:t>(8)</w:t>
      </w:r>
      <w:r>
        <w:rPr>
          <w:lang w:val="en-US"/>
        </w:rPr>
        <w:tab/>
        <w:t>The certificate must state the items allowed and disallowed.</w:t>
      </w:r>
    </w:p>
    <w:p w14:paraId="6F4E724A" w14:textId="77777777"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14:paraId="2F83679C" w14:textId="77777777"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14:paraId="5F2AA6B5" w14:textId="77777777" w:rsidR="008112BD" w:rsidRDefault="008112BD" w:rsidP="008112BD">
      <w:pPr>
        <w:pStyle w:val="AH5Sec"/>
      </w:pPr>
      <w:bookmarkStart w:id="880" w:name="_Toc185514496"/>
      <w:r w:rsidRPr="00C8328B">
        <w:rPr>
          <w:rStyle w:val="CharSectNo"/>
        </w:rPr>
        <w:t>2734</w:t>
      </w:r>
      <w:r>
        <w:tab/>
        <w:t>Accounts—further consideration</w:t>
      </w:r>
      <w:bookmarkEnd w:id="880"/>
    </w:p>
    <w:p w14:paraId="024A6232" w14:textId="77777777"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14:paraId="7AA5D5FA" w14:textId="77777777" w:rsidR="008112BD" w:rsidRPr="00C8328B" w:rsidRDefault="008112BD" w:rsidP="008112BD">
      <w:pPr>
        <w:pStyle w:val="AH3Div"/>
      </w:pPr>
      <w:bookmarkStart w:id="881" w:name="_Toc185514497"/>
      <w:r w:rsidRPr="00C8328B">
        <w:rPr>
          <w:rStyle w:val="CharDivNo"/>
        </w:rPr>
        <w:t>Division 2.20.3</w:t>
      </w:r>
      <w:r>
        <w:rPr>
          <w:lang w:val="en-US"/>
        </w:rPr>
        <w:tab/>
      </w:r>
      <w:r w:rsidRPr="00C8328B">
        <w:rPr>
          <w:rStyle w:val="CharDivText"/>
          <w:lang w:val="en-US"/>
        </w:rPr>
        <w:t>Making of inquiries</w:t>
      </w:r>
      <w:bookmarkEnd w:id="881"/>
    </w:p>
    <w:p w14:paraId="470ED268" w14:textId="77777777" w:rsidR="008112BD" w:rsidRDefault="008112BD" w:rsidP="008112BD">
      <w:pPr>
        <w:pStyle w:val="AH5Sec"/>
      </w:pPr>
      <w:bookmarkStart w:id="882" w:name="_Toc185514498"/>
      <w:r w:rsidRPr="00C8328B">
        <w:rPr>
          <w:rStyle w:val="CharSectNo"/>
        </w:rPr>
        <w:t>2740</w:t>
      </w:r>
      <w:r>
        <w:tab/>
        <w:t>Inquiries—procedure for inquiries</w:t>
      </w:r>
      <w:bookmarkEnd w:id="882"/>
    </w:p>
    <w:p w14:paraId="1EAAB0A2" w14:textId="77777777" w:rsidR="008112BD" w:rsidRDefault="008112BD" w:rsidP="006F56B6">
      <w:pPr>
        <w:pStyle w:val="Amainreturn"/>
        <w:keepNext/>
        <w:rPr>
          <w:lang w:val="en-US"/>
        </w:rPr>
      </w:pPr>
      <w:r>
        <w:rPr>
          <w:lang w:val="en-US"/>
        </w:rPr>
        <w:t>Division 2.20.2 (Taking of accounts) applies, with necessary changes, to the making of an inquiry.</w:t>
      </w:r>
    </w:p>
    <w:p w14:paraId="1546E9F5" w14:textId="77777777" w:rsidR="008112BD" w:rsidRDefault="008112BD" w:rsidP="008112BD">
      <w:pPr>
        <w:pStyle w:val="AH5Sec"/>
      </w:pPr>
      <w:bookmarkStart w:id="883" w:name="_Toc185514499"/>
      <w:r w:rsidRPr="00C8328B">
        <w:rPr>
          <w:rStyle w:val="CharSectNo"/>
        </w:rPr>
        <w:t>2741</w:t>
      </w:r>
      <w:r>
        <w:tab/>
        <w:t>Inquiries—orders</w:t>
      </w:r>
      <w:bookmarkEnd w:id="883"/>
    </w:p>
    <w:p w14:paraId="5C8A0AD5" w14:textId="77777777" w:rsidR="008112BD" w:rsidRDefault="008112BD" w:rsidP="008112BD">
      <w:pPr>
        <w:pStyle w:val="Amain"/>
        <w:keepNext/>
      </w:pPr>
      <w:r>
        <w:tab/>
        <w:t>(1)</w:t>
      </w:r>
      <w:r>
        <w:tab/>
        <w:t>This rule applies if the court orders the making of an inquiry.</w:t>
      </w:r>
    </w:p>
    <w:p w14:paraId="36CE7B60" w14:textId="77777777" w:rsidR="008112BD" w:rsidRDefault="008112BD" w:rsidP="008112BD">
      <w:pPr>
        <w:pStyle w:val="Amain"/>
      </w:pPr>
      <w:r>
        <w:tab/>
        <w:t>(2)</w:t>
      </w:r>
      <w:r>
        <w:tab/>
        <w:t>The court may, by the same or a later order, make the orders about the making of the inquiry it considers appropriate.</w:t>
      </w:r>
    </w:p>
    <w:p w14:paraId="2A5FDE3B" w14:textId="77777777" w:rsidR="008112BD" w:rsidRPr="00C8328B" w:rsidRDefault="008112BD" w:rsidP="008112BD">
      <w:pPr>
        <w:pStyle w:val="AH3Div"/>
      </w:pPr>
      <w:bookmarkStart w:id="884" w:name="_Toc185514500"/>
      <w:r w:rsidRPr="00C8328B">
        <w:rPr>
          <w:rStyle w:val="CharDivNo"/>
        </w:rPr>
        <w:t>Division 2.20.4</w:t>
      </w:r>
      <w:r>
        <w:tab/>
      </w:r>
      <w:r w:rsidRPr="00C8328B">
        <w:rPr>
          <w:rStyle w:val="CharDivText"/>
        </w:rPr>
        <w:t>Executors, administrators and trustees—accounts and commission</w:t>
      </w:r>
      <w:bookmarkEnd w:id="884"/>
    </w:p>
    <w:p w14:paraId="3ADD346E" w14:textId="77777777" w:rsidR="008112BD" w:rsidRDefault="008112BD" w:rsidP="008112BD">
      <w:pPr>
        <w:pStyle w:val="AH5Sec"/>
      </w:pPr>
      <w:bookmarkStart w:id="885" w:name="_Toc185514501"/>
      <w:r w:rsidRPr="00C8328B">
        <w:rPr>
          <w:rStyle w:val="CharSectNo"/>
        </w:rPr>
        <w:t>2745</w:t>
      </w:r>
      <w:r>
        <w:tab/>
        <w:t>Definitions—div 2.20.4</w:t>
      </w:r>
      <w:bookmarkEnd w:id="885"/>
    </w:p>
    <w:p w14:paraId="5331463D" w14:textId="77777777" w:rsidR="008112BD" w:rsidRDefault="008112BD" w:rsidP="008112BD">
      <w:pPr>
        <w:pStyle w:val="Amainreturn"/>
        <w:keepNext/>
      </w:pPr>
      <w:r>
        <w:t>In this division:</w:t>
      </w:r>
    </w:p>
    <w:p w14:paraId="246069AE" w14:textId="77777777" w:rsidR="008112BD" w:rsidRDefault="008112BD" w:rsidP="008112BD">
      <w:pPr>
        <w:pStyle w:val="aDef"/>
        <w:keepNext/>
      </w:pPr>
      <w:r w:rsidRPr="00FE0788">
        <w:rPr>
          <w:rStyle w:val="charBoldItals"/>
        </w:rPr>
        <w:t>beneficiary</w:t>
      </w:r>
      <w:r>
        <w:t>, of an estate or trust property, includes—</w:t>
      </w:r>
    </w:p>
    <w:p w14:paraId="21C2F1AF" w14:textId="77777777" w:rsidR="008112BD" w:rsidRDefault="008112BD" w:rsidP="008112BD">
      <w:pPr>
        <w:pStyle w:val="aDefpara"/>
      </w:pPr>
      <w:r>
        <w:tab/>
        <w:t>(a)</w:t>
      </w:r>
      <w:r>
        <w:tab/>
        <w:t>a person with a beneficial interest in the estate or trust property; and</w:t>
      </w:r>
    </w:p>
    <w:p w14:paraId="4EBE8643" w14:textId="77777777" w:rsidR="008112BD" w:rsidRDefault="008112BD" w:rsidP="008112BD">
      <w:pPr>
        <w:pStyle w:val="aDefpara"/>
      </w:pPr>
      <w:r>
        <w:lastRenderedPageBreak/>
        <w:tab/>
        <w:t>(b)</w:t>
      </w:r>
      <w:r>
        <w:tab/>
        <w:t xml:space="preserve">for an estate—a person with a right to compel the executor or administrator of the estate to complete the administration. </w:t>
      </w:r>
    </w:p>
    <w:p w14:paraId="7E31A150" w14:textId="77777777" w:rsidR="008112BD" w:rsidRDefault="008112BD" w:rsidP="008112BD">
      <w:pPr>
        <w:pStyle w:val="aDef"/>
      </w:pPr>
      <w:r w:rsidRPr="00FE0788">
        <w:rPr>
          <w:rStyle w:val="charBoldItals"/>
        </w:rPr>
        <w:t>estate</w:t>
      </w:r>
      <w:r>
        <w:t xml:space="preserve"> means estate of a deceased person.</w:t>
      </w:r>
    </w:p>
    <w:p w14:paraId="51066642" w14:textId="77777777" w:rsidR="008112BD" w:rsidRDefault="008112BD" w:rsidP="008112BD">
      <w:pPr>
        <w:pStyle w:val="AH5Sec"/>
      </w:pPr>
      <w:bookmarkStart w:id="886" w:name="_Toc185514502"/>
      <w:r w:rsidRPr="00C8328B">
        <w:rPr>
          <w:rStyle w:val="CharSectNo"/>
        </w:rPr>
        <w:t>2746</w:t>
      </w:r>
      <w:r>
        <w:tab/>
        <w:t>Estate and trust accounts—order requiring examination and passing of accounts</w:t>
      </w:r>
      <w:bookmarkEnd w:id="886"/>
    </w:p>
    <w:p w14:paraId="7D8DD6E7" w14:textId="77777777"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14:paraId="457A4F75" w14:textId="77777777" w:rsidR="008112BD" w:rsidRDefault="008112BD" w:rsidP="008112BD">
      <w:pPr>
        <w:pStyle w:val="Amain"/>
        <w:keepNext/>
      </w:pPr>
      <w:r>
        <w:tab/>
        <w:t>(2)</w:t>
      </w:r>
      <w:r>
        <w:tab/>
        <w:t>An application by a beneficiary of an estate must be made in the proceeding in which the grant of representation for the estate was made.</w:t>
      </w:r>
    </w:p>
    <w:p w14:paraId="004718F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2949C6F" w14:textId="77777777" w:rsidR="008112BD" w:rsidRDefault="008112BD" w:rsidP="008112BD">
      <w:pPr>
        <w:pStyle w:val="Amain"/>
        <w:keepNext/>
      </w:pPr>
      <w:r>
        <w:tab/>
        <w:t>(3)</w:t>
      </w:r>
      <w:r>
        <w:tab/>
        <w:t>An application by a beneficiary of a trust property must be made by originating application.</w:t>
      </w:r>
    </w:p>
    <w:p w14:paraId="5A4221B8"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36147E70" w14:textId="77777777" w:rsidR="008112BD" w:rsidRDefault="008112BD" w:rsidP="008112BD">
      <w:pPr>
        <w:pStyle w:val="Amain"/>
        <w:keepNext/>
      </w:pPr>
      <w:r>
        <w:tab/>
        <w:t>(4)</w:t>
      </w:r>
      <w:r>
        <w:tab/>
        <w:t>The application must be accompanied by an affidavit stating the reasons for the application.</w:t>
      </w:r>
    </w:p>
    <w:p w14:paraId="4B436C6C" w14:textId="77777777"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14:paraId="74A34DFD" w14:textId="77777777" w:rsidR="008112BD" w:rsidRDefault="008112BD" w:rsidP="008112BD">
      <w:pPr>
        <w:pStyle w:val="Amain"/>
      </w:pPr>
      <w:r>
        <w:tab/>
        <w:t>(6)</w:t>
      </w:r>
      <w:r>
        <w:tab/>
        <w:t>On application under this rule, the court may make the orders it considers appropriate, including an order requiring the examination and passing of accounts.</w:t>
      </w:r>
    </w:p>
    <w:p w14:paraId="37F3CC2F" w14:textId="77777777" w:rsidR="008112BD" w:rsidRDefault="008112BD" w:rsidP="008112BD">
      <w:pPr>
        <w:pStyle w:val="AH5Sec"/>
      </w:pPr>
      <w:bookmarkStart w:id="887" w:name="_Toc185514503"/>
      <w:r w:rsidRPr="00C8328B">
        <w:rPr>
          <w:rStyle w:val="CharSectNo"/>
        </w:rPr>
        <w:lastRenderedPageBreak/>
        <w:t>2747</w:t>
      </w:r>
      <w:r>
        <w:tab/>
        <w:t>Estate and trust accounts—compliance with order for examination and passing of accounts</w:t>
      </w:r>
      <w:bookmarkEnd w:id="887"/>
    </w:p>
    <w:p w14:paraId="1EED08DC" w14:textId="77777777"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14:paraId="067994FA" w14:textId="77777777"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14:paraId="0154DF04" w14:textId="77777777" w:rsidR="008112BD" w:rsidRDefault="008112BD" w:rsidP="008112BD">
      <w:pPr>
        <w:pStyle w:val="Apara"/>
      </w:pPr>
      <w:r>
        <w:tab/>
        <w:t>(a)</w:t>
      </w:r>
      <w:r>
        <w:tab/>
        <w:t>file the accounts; and</w:t>
      </w:r>
    </w:p>
    <w:p w14:paraId="2FFC45AA" w14:textId="77777777" w:rsidR="008112BD" w:rsidRDefault="008112BD" w:rsidP="008112BD">
      <w:pPr>
        <w:pStyle w:val="Apara"/>
      </w:pPr>
      <w:r>
        <w:tab/>
        <w:t>(b)</w:t>
      </w:r>
      <w:r>
        <w:tab/>
        <w:t>make an appointment with the registrar to have the accounts examined.</w:t>
      </w:r>
    </w:p>
    <w:p w14:paraId="7C0960D9" w14:textId="77777777" w:rsidR="008112BD" w:rsidRDefault="008112BD" w:rsidP="008112BD">
      <w:pPr>
        <w:pStyle w:val="Amain"/>
      </w:pPr>
      <w:r>
        <w:tab/>
        <w:t>(3)</w:t>
      </w:r>
      <w:r>
        <w:tab/>
        <w:t>The executor, administrator or trustee must attend the appointment.</w:t>
      </w:r>
    </w:p>
    <w:p w14:paraId="0ED5653A" w14:textId="77777777" w:rsidR="008112BD" w:rsidRDefault="008112BD" w:rsidP="008112BD">
      <w:pPr>
        <w:pStyle w:val="Amain"/>
        <w:keepNext/>
      </w:pPr>
      <w:r>
        <w:tab/>
        <w:t>(4)</w:t>
      </w:r>
      <w:r>
        <w:tab/>
        <w:t>The accounts must be—</w:t>
      </w:r>
    </w:p>
    <w:p w14:paraId="2B990BA8" w14:textId="77777777" w:rsidR="008112BD" w:rsidRDefault="008112BD" w:rsidP="008112BD">
      <w:pPr>
        <w:pStyle w:val="Apara"/>
        <w:keepNext/>
      </w:pPr>
      <w:r>
        <w:tab/>
        <w:t>(a)</w:t>
      </w:r>
      <w:r>
        <w:tab/>
        <w:t xml:space="preserve">full and correct; and </w:t>
      </w:r>
    </w:p>
    <w:p w14:paraId="2960FE9B" w14:textId="77777777" w:rsidR="008112BD" w:rsidRDefault="008112BD" w:rsidP="008112BD">
      <w:pPr>
        <w:pStyle w:val="Apara"/>
        <w:keepNext/>
      </w:pPr>
      <w:r>
        <w:tab/>
        <w:t>(b)</w:t>
      </w:r>
      <w:r>
        <w:tab/>
        <w:t>verified by affidavit.</w:t>
      </w:r>
    </w:p>
    <w:p w14:paraId="09143A3B" w14:textId="604CC4F0"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39" w:history="1">
        <w:r w:rsidRPr="008F2905">
          <w:rPr>
            <w:rStyle w:val="charCitHyperlinkAbbrev"/>
          </w:rPr>
          <w:t>AF2006-324</w:t>
        </w:r>
      </w:hyperlink>
      <w:r>
        <w:t>.</w:t>
      </w:r>
    </w:p>
    <w:p w14:paraId="680AAC91" w14:textId="77777777" w:rsidR="008112BD" w:rsidRDefault="008112BD" w:rsidP="008112BD">
      <w:pPr>
        <w:pStyle w:val="Amain"/>
        <w:keepNext/>
        <w:keepLines/>
      </w:pPr>
      <w:r>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14:paraId="7C8B2D49"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25537F8" w14:textId="77777777" w:rsidR="008112BD" w:rsidRDefault="008112BD" w:rsidP="008112BD">
      <w:pPr>
        <w:pStyle w:val="AH5Sec"/>
      </w:pPr>
      <w:bookmarkStart w:id="888" w:name="_Toc185514504"/>
      <w:r w:rsidRPr="00C8328B">
        <w:rPr>
          <w:rStyle w:val="CharSectNo"/>
        </w:rPr>
        <w:lastRenderedPageBreak/>
        <w:t>2748</w:t>
      </w:r>
      <w:r>
        <w:tab/>
        <w:t>Estate and trust accounts—application for commission</w:t>
      </w:r>
      <w:bookmarkEnd w:id="888"/>
    </w:p>
    <w:p w14:paraId="1A50CEAE" w14:textId="77777777" w:rsidR="008112BD" w:rsidRDefault="008112BD" w:rsidP="000E2641">
      <w:pPr>
        <w:pStyle w:val="Amain"/>
        <w:keepNext/>
        <w:keepLines/>
      </w:pPr>
      <w:r>
        <w:tab/>
        <w:t>(1)</w:t>
      </w:r>
      <w:r>
        <w:tab/>
        <w:t>If an executor or administrator of an estate applies for an order for the allowance of commission out of the estate, the executor or administrator must file a full and correct account of the administration of the estate.</w:t>
      </w:r>
    </w:p>
    <w:p w14:paraId="2915BBC9" w14:textId="77777777" w:rsidR="008112BD" w:rsidRDefault="008112BD" w:rsidP="000E2641">
      <w:pPr>
        <w:pStyle w:val="aNote"/>
        <w:keepNext/>
      </w:pPr>
      <w:r w:rsidRPr="00FE0788">
        <w:rPr>
          <w:rStyle w:val="charItals"/>
        </w:rPr>
        <w:t>Note 1</w:t>
      </w:r>
      <w:r w:rsidRPr="00FE0788">
        <w:rPr>
          <w:rStyle w:val="charItals"/>
        </w:rPr>
        <w:tab/>
      </w:r>
      <w:r>
        <w:t>Pt 6.2 (Applications in proceedings) applies to an application for commission under this rule.</w:t>
      </w:r>
    </w:p>
    <w:p w14:paraId="41D1DEF1" w14:textId="41A9B99E"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40" w:history="1">
        <w:r w:rsidRPr="008F2905">
          <w:rPr>
            <w:rStyle w:val="charCitHyperlinkAbbrev"/>
          </w:rPr>
          <w:t>AF2006-324</w:t>
        </w:r>
      </w:hyperlink>
      <w:r>
        <w:t>.</w:t>
      </w:r>
    </w:p>
    <w:p w14:paraId="2B62A3FC" w14:textId="77777777"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14:paraId="0239CBA0" w14:textId="77777777" w:rsidR="008112BD" w:rsidRDefault="008112BD" w:rsidP="008112BD">
      <w:pPr>
        <w:pStyle w:val="Amain"/>
      </w:pPr>
      <w:r>
        <w:tab/>
        <w:t>(3)</w:t>
      </w:r>
      <w:r>
        <w:tab/>
        <w:t xml:space="preserve">An account mentioned in subrule (1) or (2) must be verified by affidavit. </w:t>
      </w:r>
    </w:p>
    <w:p w14:paraId="7E455AC4" w14:textId="77777777" w:rsidR="008112BD" w:rsidRDefault="008112BD" w:rsidP="008112BD">
      <w:pPr>
        <w:pStyle w:val="AH5Sec"/>
      </w:pPr>
      <w:bookmarkStart w:id="889" w:name="_Toc185514505"/>
      <w:r w:rsidRPr="00C8328B">
        <w:rPr>
          <w:rStyle w:val="CharSectNo"/>
        </w:rPr>
        <w:t>2749</w:t>
      </w:r>
      <w:r>
        <w:tab/>
        <w:t>Estate and trust accounts—notice of filing of accounts etc</w:t>
      </w:r>
      <w:bookmarkEnd w:id="889"/>
    </w:p>
    <w:p w14:paraId="45B80066" w14:textId="77777777"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14:paraId="3EF428E3" w14:textId="77777777" w:rsidR="008112BD" w:rsidRDefault="008112BD" w:rsidP="008112BD">
      <w:pPr>
        <w:pStyle w:val="Amain"/>
        <w:keepNext/>
      </w:pPr>
      <w:r>
        <w:tab/>
        <w:t>(2)</w:t>
      </w:r>
      <w:r>
        <w:tab/>
        <w:t>At least 42 days before the date set for examining the accounts, the executor, administrator or trustee must serve on each beneficiary notice of—</w:t>
      </w:r>
    </w:p>
    <w:p w14:paraId="37D17285" w14:textId="77777777" w:rsidR="008112BD" w:rsidRDefault="008112BD" w:rsidP="008112BD">
      <w:pPr>
        <w:pStyle w:val="Apara"/>
      </w:pPr>
      <w:r>
        <w:tab/>
        <w:t>(a)</w:t>
      </w:r>
      <w:r>
        <w:tab/>
        <w:t>the filing of the accounts; and</w:t>
      </w:r>
    </w:p>
    <w:p w14:paraId="79231AED" w14:textId="77777777" w:rsidR="008112BD" w:rsidRDefault="008112BD" w:rsidP="008112BD">
      <w:pPr>
        <w:pStyle w:val="Apara"/>
      </w:pPr>
      <w:r>
        <w:tab/>
        <w:t>(b)</w:t>
      </w:r>
      <w:r>
        <w:tab/>
        <w:t>if the executor, administrator or trustee intends to apply for the allowance of commission—the intention to apply for the commission; and</w:t>
      </w:r>
    </w:p>
    <w:p w14:paraId="52CCE24B" w14:textId="77777777" w:rsidR="008112BD" w:rsidRDefault="008112BD" w:rsidP="008112BD">
      <w:pPr>
        <w:pStyle w:val="Apara"/>
        <w:keepNext/>
      </w:pPr>
      <w:r>
        <w:tab/>
        <w:t>(c)</w:t>
      </w:r>
      <w:r>
        <w:tab/>
        <w:t>the date set for examining the accounts.</w:t>
      </w:r>
    </w:p>
    <w:p w14:paraId="19123C2D" w14:textId="4686FE78"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41" w:history="1">
        <w:r w:rsidRPr="008F2905">
          <w:rPr>
            <w:rStyle w:val="charCitHyperlinkAbbrev"/>
          </w:rPr>
          <w:t>AF2006-325</w:t>
        </w:r>
      </w:hyperlink>
      <w:r>
        <w:t>.</w:t>
      </w:r>
    </w:p>
    <w:p w14:paraId="6B9B5785" w14:textId="77777777" w:rsidR="008112BD" w:rsidRDefault="008112BD" w:rsidP="008112BD">
      <w:pPr>
        <w:pStyle w:val="Amain"/>
      </w:pPr>
      <w:r>
        <w:lastRenderedPageBreak/>
        <w:tab/>
        <w:t>(3)</w:t>
      </w:r>
      <w:r>
        <w:tab/>
        <w:t>The notice must state that the beneficiary—</w:t>
      </w:r>
    </w:p>
    <w:p w14:paraId="41798CF7" w14:textId="77777777" w:rsidR="008112BD" w:rsidRDefault="008112BD" w:rsidP="008112BD">
      <w:pPr>
        <w:pStyle w:val="Apara"/>
      </w:pPr>
      <w:r>
        <w:tab/>
        <w:t>(a)</w:t>
      </w:r>
      <w:r>
        <w:tab/>
        <w:t>may inspect the accounts at the registry; and</w:t>
      </w:r>
    </w:p>
    <w:p w14:paraId="6F21BF1D" w14:textId="77777777"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14:paraId="259D54DC" w14:textId="77777777" w:rsidR="006C4A1C" w:rsidRPr="00C1177F" w:rsidRDefault="006C4A1C" w:rsidP="006C4A1C">
      <w:pPr>
        <w:pStyle w:val="Amain"/>
      </w:pPr>
      <w:r w:rsidRPr="00C1177F">
        <w:tab/>
        <w:t>(4)</w:t>
      </w:r>
      <w:r w:rsidRPr="00C1177F">
        <w:tab/>
        <w:t>The notice may be served on a beneficiary by sending a copy of the notice—</w:t>
      </w:r>
    </w:p>
    <w:p w14:paraId="1FCD4C66" w14:textId="62FC99EF" w:rsidR="006C4A1C" w:rsidRPr="00C1177F" w:rsidRDefault="006C4A1C" w:rsidP="006C4A1C">
      <w:pPr>
        <w:pStyle w:val="Apara"/>
      </w:pPr>
      <w:r>
        <w:tab/>
      </w:r>
      <w:r w:rsidRPr="00C1177F">
        <w:t>(a)</w:t>
      </w:r>
      <w:r w:rsidRPr="00C1177F">
        <w:tab/>
        <w:t>by pre-paid post, addressed to the beneficiary, at the beneficiary’s address last known to the executor, administrator or trustee; or</w:t>
      </w:r>
    </w:p>
    <w:p w14:paraId="21F89BAE" w14:textId="77777777" w:rsidR="006C4A1C" w:rsidRPr="00C1177F" w:rsidRDefault="006C4A1C" w:rsidP="006C4A1C">
      <w:pPr>
        <w:pStyle w:val="Apara"/>
      </w:pPr>
      <w:r>
        <w:tab/>
      </w:r>
      <w:r w:rsidRPr="00C1177F">
        <w:t>(b)</w:t>
      </w:r>
      <w:r w:rsidRPr="00C1177F">
        <w:tab/>
        <w:t>if the beneficiary has an address for service—to the beneficiary’s address for service.</w:t>
      </w:r>
    </w:p>
    <w:p w14:paraId="2B98A66B" w14:textId="77777777" w:rsidR="008112BD" w:rsidRDefault="008112BD" w:rsidP="008112BD">
      <w:pPr>
        <w:pStyle w:val="Amain"/>
      </w:pPr>
      <w:r>
        <w:tab/>
        <w:t>(5)</w:t>
      </w:r>
      <w:r>
        <w:tab/>
        <w:t>Not less than 7 days before the date set for examining the accounts, the executor, administrator or trustee must file an affidavit in the court stating—</w:t>
      </w:r>
    </w:p>
    <w:p w14:paraId="1A351A89" w14:textId="77777777" w:rsidR="008112BD" w:rsidRDefault="008112BD" w:rsidP="008112BD">
      <w:pPr>
        <w:pStyle w:val="Apara"/>
      </w:pPr>
      <w:r>
        <w:tab/>
        <w:t>(a)</w:t>
      </w:r>
      <w:r>
        <w:tab/>
        <w:t>that the notice required by this rule was served on each beneficiary; and</w:t>
      </w:r>
    </w:p>
    <w:p w14:paraId="0247AE13" w14:textId="77777777" w:rsidR="008112BD" w:rsidRDefault="008112BD" w:rsidP="008112BD">
      <w:pPr>
        <w:pStyle w:val="Apara"/>
      </w:pPr>
      <w:r>
        <w:tab/>
        <w:t>(b)</w:t>
      </w:r>
      <w:r>
        <w:tab/>
        <w:t>the date the notice was served on each beneficiary.</w:t>
      </w:r>
    </w:p>
    <w:p w14:paraId="12EDBA24" w14:textId="77777777" w:rsidR="008112BD" w:rsidRDefault="008112BD" w:rsidP="008112BD">
      <w:pPr>
        <w:pStyle w:val="AH5Sec"/>
      </w:pPr>
      <w:bookmarkStart w:id="890" w:name="_Toc185514506"/>
      <w:r w:rsidRPr="00C8328B">
        <w:rPr>
          <w:rStyle w:val="CharSectNo"/>
        </w:rPr>
        <w:t>2750</w:t>
      </w:r>
      <w:r>
        <w:tab/>
        <w:t>Estate and trust accounts—appearance of beneficiary at examination</w:t>
      </w:r>
      <w:bookmarkEnd w:id="890"/>
    </w:p>
    <w:p w14:paraId="450AA323" w14:textId="77777777"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14:paraId="44215F10" w14:textId="77777777" w:rsidR="008112BD" w:rsidRDefault="008112BD" w:rsidP="007B4A40">
      <w:pPr>
        <w:pStyle w:val="Amain"/>
        <w:keepNext/>
        <w:keepLines/>
      </w:pPr>
      <w:r>
        <w:tab/>
        <w:t>(2)</w:t>
      </w:r>
      <w:r>
        <w:tab/>
        <w:t>Not later than 14 days before the date set for examining the records, a beneficiary may file a notice in the court stating that the beneficiary wants to be heard on the examination and passing of the accounts or allowance of commission.</w:t>
      </w:r>
    </w:p>
    <w:p w14:paraId="4F48D17D" w14:textId="1591B611"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42" w:history="1">
        <w:r w:rsidRPr="008F2905">
          <w:rPr>
            <w:rStyle w:val="charCitHyperlinkAbbrev"/>
          </w:rPr>
          <w:t>AF2006-326</w:t>
        </w:r>
      </w:hyperlink>
      <w:r>
        <w:t>.</w:t>
      </w:r>
    </w:p>
    <w:p w14:paraId="379978BC" w14:textId="77777777" w:rsidR="008112BD" w:rsidRDefault="008112BD" w:rsidP="008112BD">
      <w:pPr>
        <w:pStyle w:val="Amain"/>
      </w:pPr>
      <w:r>
        <w:lastRenderedPageBreak/>
        <w:tab/>
        <w:t>(3)</w:t>
      </w:r>
      <w:r>
        <w:tab/>
        <w:t>The notice must—</w:t>
      </w:r>
    </w:p>
    <w:p w14:paraId="15B99359" w14:textId="77777777" w:rsidR="008112BD" w:rsidRDefault="008112BD" w:rsidP="008112BD">
      <w:pPr>
        <w:pStyle w:val="Apara"/>
      </w:pPr>
      <w:r>
        <w:tab/>
        <w:t>(a)</w:t>
      </w:r>
      <w:r>
        <w:tab/>
        <w:t>state the beneficiary’s address for service; and</w:t>
      </w:r>
    </w:p>
    <w:p w14:paraId="0B568903"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11D2FD1A" w14:textId="77777777" w:rsidR="008112BD" w:rsidRDefault="008112BD" w:rsidP="008112BD">
      <w:pPr>
        <w:pStyle w:val="Apara"/>
      </w:pPr>
      <w:r>
        <w:tab/>
        <w:t>(b)</w:t>
      </w:r>
      <w:r>
        <w:tab/>
        <w:t>be supported by an affidavit stating the nature and ground of any objection or exceptions to the accounts or allowance of commission.</w:t>
      </w:r>
    </w:p>
    <w:p w14:paraId="66448D15" w14:textId="77777777"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14:paraId="6EE55922" w14:textId="77777777"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14:paraId="6F996CE0" w14:textId="77777777"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14:paraId="6BF2D392" w14:textId="77777777" w:rsidR="008112BD" w:rsidRDefault="008112BD" w:rsidP="008112BD">
      <w:pPr>
        <w:pStyle w:val="AH5Sec"/>
      </w:pPr>
      <w:bookmarkStart w:id="891" w:name="_Toc185514507"/>
      <w:r w:rsidRPr="00C8328B">
        <w:rPr>
          <w:rStyle w:val="CharSectNo"/>
        </w:rPr>
        <w:t>2751</w:t>
      </w:r>
      <w:r>
        <w:tab/>
        <w:t>Estate and trust accounts—examination</w:t>
      </w:r>
      <w:bookmarkEnd w:id="891"/>
    </w:p>
    <w:p w14:paraId="5DAB6E2A" w14:textId="77777777" w:rsidR="008112BD" w:rsidRDefault="008112BD" w:rsidP="008112BD">
      <w:pPr>
        <w:pStyle w:val="Amainreturn"/>
      </w:pPr>
      <w:r>
        <w:t>At the examination of accounts of an executor, administrator or trustee under this division, the registrar must—</w:t>
      </w:r>
    </w:p>
    <w:p w14:paraId="14AE3147" w14:textId="77777777" w:rsidR="008112BD" w:rsidRDefault="008112BD" w:rsidP="008112BD">
      <w:pPr>
        <w:pStyle w:val="Apara"/>
      </w:pPr>
      <w:r>
        <w:tab/>
        <w:t>(a)</w:t>
      </w:r>
      <w:r>
        <w:tab/>
        <w:t>examine the accounts; and</w:t>
      </w:r>
    </w:p>
    <w:p w14:paraId="79A53978" w14:textId="77777777" w:rsidR="008112BD" w:rsidRDefault="008112BD" w:rsidP="008112BD">
      <w:pPr>
        <w:pStyle w:val="Apara"/>
      </w:pPr>
      <w:r>
        <w:tab/>
        <w:t>(b)</w:t>
      </w:r>
      <w:r>
        <w:tab/>
        <w:t>hear—</w:t>
      </w:r>
    </w:p>
    <w:p w14:paraId="529AB823" w14:textId="77777777" w:rsidR="008112BD" w:rsidRDefault="008112BD" w:rsidP="008112BD">
      <w:pPr>
        <w:pStyle w:val="Asubpara"/>
      </w:pPr>
      <w:r>
        <w:tab/>
        <w:t>(i)</w:t>
      </w:r>
      <w:r>
        <w:tab/>
        <w:t>the executor, administrator or trustee; and</w:t>
      </w:r>
    </w:p>
    <w:p w14:paraId="1497072F" w14:textId="77777777" w:rsidR="008112BD" w:rsidRDefault="008112BD" w:rsidP="008112BD">
      <w:pPr>
        <w:pStyle w:val="Asubpara"/>
      </w:pPr>
      <w:r>
        <w:tab/>
        <w:t>(ii)</w:t>
      </w:r>
      <w:r>
        <w:tab/>
        <w:t>anyone who has filed a notice under rule 2750 (Estate and trust accounts—appearance of beneficiary at examination) in relation to the examination, is present and wants to be heard; and</w:t>
      </w:r>
    </w:p>
    <w:p w14:paraId="00FB6235" w14:textId="77777777" w:rsidR="008112BD" w:rsidRDefault="008112BD" w:rsidP="008112BD">
      <w:pPr>
        <w:pStyle w:val="Apara"/>
      </w:pPr>
      <w:r>
        <w:lastRenderedPageBreak/>
        <w:tab/>
        <w:t>(c)</w:t>
      </w:r>
      <w:r>
        <w:tab/>
        <w:t>inquire into any objection or exception taken to the accounts or allowance of commission to the executor, administrator or trustee.</w:t>
      </w:r>
    </w:p>
    <w:p w14:paraId="46F32D59" w14:textId="77777777" w:rsidR="008112BD" w:rsidRDefault="008112BD" w:rsidP="008112BD">
      <w:pPr>
        <w:pStyle w:val="AH5Sec"/>
      </w:pPr>
      <w:bookmarkStart w:id="892" w:name="_Toc185514508"/>
      <w:r w:rsidRPr="00C8328B">
        <w:rPr>
          <w:rStyle w:val="CharSectNo"/>
        </w:rPr>
        <w:t>2752</w:t>
      </w:r>
      <w:r>
        <w:tab/>
        <w:t>Estate and trust accounts—conduct of examination</w:t>
      </w:r>
      <w:bookmarkEnd w:id="892"/>
    </w:p>
    <w:p w14:paraId="7A1F7B9B" w14:textId="77777777" w:rsidR="008112BD" w:rsidRDefault="008112BD" w:rsidP="008112BD">
      <w:pPr>
        <w:pStyle w:val="Amain"/>
      </w:pPr>
      <w:r>
        <w:tab/>
        <w:t>(1)</w:t>
      </w:r>
      <w:r>
        <w:tab/>
        <w:t>A beneficiary of an estate or trust property—</w:t>
      </w:r>
    </w:p>
    <w:p w14:paraId="24D5F188" w14:textId="77777777" w:rsidR="008112BD" w:rsidRDefault="008112BD" w:rsidP="008112BD">
      <w:pPr>
        <w:pStyle w:val="Apara"/>
      </w:pPr>
      <w:r>
        <w:tab/>
        <w:t>(a)</w:t>
      </w:r>
      <w:r>
        <w:tab/>
        <w:t xml:space="preserve">may attend before the registrar at the examination of accounts of the estate or trust property under this division; but </w:t>
      </w:r>
    </w:p>
    <w:p w14:paraId="3E9FAA93" w14:textId="77777777"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14:paraId="0E5F9DC6" w14:textId="77777777"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14:paraId="05347CA4" w14:textId="0139D10D"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3" w:tooltip="A2001-14" w:history="1">
        <w:r w:rsidRPr="00FE0788">
          <w:rPr>
            <w:rStyle w:val="charCitHyperlinkAbbrev"/>
          </w:rPr>
          <w:t>Legislation Act</w:t>
        </w:r>
      </w:hyperlink>
      <w:r>
        <w:t>, dict, pt 1).</w:t>
      </w:r>
    </w:p>
    <w:p w14:paraId="499E4C89" w14:textId="77777777" w:rsidR="008112BD" w:rsidRDefault="008112BD" w:rsidP="008112BD">
      <w:pPr>
        <w:pStyle w:val="Amain"/>
        <w:keepNext/>
      </w:pPr>
      <w:r>
        <w:tab/>
        <w:t>(3)</w:t>
      </w:r>
      <w:r>
        <w:tab/>
        <w:t>On the taking of the accounts, each payment of more than $50 must be verified—</w:t>
      </w:r>
    </w:p>
    <w:p w14:paraId="58EAFD02" w14:textId="77777777" w:rsidR="008112BD" w:rsidRDefault="008112BD" w:rsidP="008112BD">
      <w:pPr>
        <w:pStyle w:val="Apara"/>
      </w:pPr>
      <w:r>
        <w:tab/>
        <w:t>(a)</w:t>
      </w:r>
      <w:r>
        <w:tab/>
        <w:t>by a proper receipt signed by the person who is claimed to have received the payment; or</w:t>
      </w:r>
    </w:p>
    <w:p w14:paraId="49F91C61" w14:textId="77777777" w:rsidR="008112BD" w:rsidRDefault="008112BD" w:rsidP="008112BD">
      <w:pPr>
        <w:pStyle w:val="Apara"/>
      </w:pPr>
      <w:r>
        <w:tab/>
        <w:t>(b)</w:t>
      </w:r>
      <w:r>
        <w:tab/>
        <w:t>in the way the registrar considers satisfactory.</w:t>
      </w:r>
    </w:p>
    <w:p w14:paraId="74C2893B" w14:textId="77777777" w:rsidR="008112BD" w:rsidRDefault="008112BD" w:rsidP="008112BD">
      <w:pPr>
        <w:pStyle w:val="Amain"/>
      </w:pPr>
      <w:r>
        <w:tab/>
        <w:t>(4)</w:t>
      </w:r>
      <w:r>
        <w:tab/>
        <w:t>However, the accounts may be passed on the production of a certificate by a properly qualified accountant of the correctness of the accounts if—</w:t>
      </w:r>
    </w:p>
    <w:p w14:paraId="66178E06" w14:textId="77777777"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14:paraId="30B0641B" w14:textId="77777777"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14:paraId="79FD372C" w14:textId="2D98016A"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44" w:history="1">
        <w:r w:rsidRPr="008F2905">
          <w:rPr>
            <w:rStyle w:val="charCitHyperlinkAbbrev"/>
          </w:rPr>
          <w:t>AF2006-327</w:t>
        </w:r>
      </w:hyperlink>
      <w:r>
        <w:t>.</w:t>
      </w:r>
    </w:p>
    <w:p w14:paraId="023A8B40" w14:textId="77777777" w:rsidR="008112BD" w:rsidRDefault="008112BD" w:rsidP="008112BD">
      <w:pPr>
        <w:pStyle w:val="Amain"/>
      </w:pPr>
      <w:r>
        <w:tab/>
        <w:t>(5)</w:t>
      </w:r>
      <w:r>
        <w:tab/>
        <w:t>Also, the registrar may require the accounts to be filed in the way otherwise prescribed by these rules and to be further verified.</w:t>
      </w:r>
    </w:p>
    <w:p w14:paraId="1AFCB7E5" w14:textId="77777777" w:rsidR="008112BD" w:rsidRDefault="008112BD" w:rsidP="008112BD">
      <w:pPr>
        <w:pStyle w:val="Amain"/>
        <w:keepNext/>
      </w:pPr>
      <w:r>
        <w:tab/>
        <w:t>(6)</w:t>
      </w:r>
      <w:r>
        <w:tab/>
        <w:t>The result of the registrar’s examination of the accounts must be set out in a certificate.</w:t>
      </w:r>
    </w:p>
    <w:p w14:paraId="6C279506" w14:textId="78E376F8"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45" w:history="1">
        <w:r w:rsidRPr="008F2905">
          <w:rPr>
            <w:rStyle w:val="charCitHyperlinkAbbrev"/>
          </w:rPr>
          <w:t>AF2006-328</w:t>
        </w:r>
      </w:hyperlink>
      <w:r>
        <w:t>.</w:t>
      </w:r>
    </w:p>
    <w:p w14:paraId="458CE6F0" w14:textId="77777777" w:rsidR="008112BD" w:rsidRDefault="008112BD" w:rsidP="008112BD">
      <w:pPr>
        <w:pStyle w:val="AH5Sec"/>
      </w:pPr>
      <w:bookmarkStart w:id="893" w:name="_Toc185514509"/>
      <w:r w:rsidRPr="00C8328B">
        <w:rPr>
          <w:rStyle w:val="CharSectNo"/>
        </w:rPr>
        <w:t>2753</w:t>
      </w:r>
      <w:r>
        <w:tab/>
        <w:t>Estate and trust accounts—application for passing accounts etc</w:t>
      </w:r>
      <w:bookmarkEnd w:id="893"/>
    </w:p>
    <w:p w14:paraId="4984646C" w14:textId="77777777"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14:paraId="770D57E6" w14:textId="77777777" w:rsidR="008112BD" w:rsidRDefault="008112BD" w:rsidP="008112BD">
      <w:pPr>
        <w:pStyle w:val="Apara"/>
      </w:pPr>
      <w:r>
        <w:tab/>
        <w:t>(a)</w:t>
      </w:r>
      <w:r>
        <w:tab/>
        <w:t xml:space="preserve">must apply to the court for an order that the accounts be passed; and </w:t>
      </w:r>
    </w:p>
    <w:p w14:paraId="55F21C7F" w14:textId="77777777" w:rsidR="008112BD" w:rsidRDefault="008112BD" w:rsidP="008112BD">
      <w:pPr>
        <w:pStyle w:val="Apara"/>
        <w:keepNext/>
      </w:pPr>
      <w:r>
        <w:tab/>
        <w:t>(b)</w:t>
      </w:r>
      <w:r>
        <w:tab/>
        <w:t>may apply for an allowance of commission.</w:t>
      </w:r>
    </w:p>
    <w:p w14:paraId="443C1D6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14126DA" w14:textId="77777777" w:rsidR="008112BD" w:rsidRDefault="008112BD" w:rsidP="008112BD">
      <w:pPr>
        <w:pStyle w:val="Amain"/>
      </w:pPr>
      <w:r>
        <w:tab/>
        <w:t>(2)</w:t>
      </w:r>
      <w:r>
        <w:tab/>
        <w:t>Notice of the application must be served on everyone who—</w:t>
      </w:r>
    </w:p>
    <w:p w14:paraId="4B7C4DA4" w14:textId="77777777" w:rsidR="008112BD" w:rsidRDefault="008112BD" w:rsidP="008112BD">
      <w:pPr>
        <w:pStyle w:val="Apara"/>
      </w:pPr>
      <w:r>
        <w:tab/>
        <w:t>(a)</w:t>
      </w:r>
      <w:r>
        <w:tab/>
        <w:t xml:space="preserve">filed a notice under rule 2750 (Estate and trust accounts—appearance of beneficiary at examination) in relation to the examination; and </w:t>
      </w:r>
    </w:p>
    <w:p w14:paraId="7ABB5B40" w14:textId="77777777" w:rsidR="008112BD" w:rsidRDefault="008112BD" w:rsidP="008112BD">
      <w:pPr>
        <w:pStyle w:val="Apara"/>
      </w:pPr>
      <w:r>
        <w:tab/>
        <w:t>(b)</w:t>
      </w:r>
      <w:r>
        <w:tab/>
        <w:t>is not stated in the certificate to have withdrawn the person’s objection or exception.</w:t>
      </w:r>
    </w:p>
    <w:p w14:paraId="00A89BD1" w14:textId="77777777" w:rsidR="008112BD" w:rsidRDefault="008112BD" w:rsidP="008112BD">
      <w:pPr>
        <w:pStyle w:val="AH5Sec"/>
      </w:pPr>
      <w:bookmarkStart w:id="894" w:name="_Toc185514510"/>
      <w:r w:rsidRPr="00C8328B">
        <w:rPr>
          <w:rStyle w:val="CharSectNo"/>
        </w:rPr>
        <w:lastRenderedPageBreak/>
        <w:t>2754</w:t>
      </w:r>
      <w:r>
        <w:tab/>
        <w:t>Estate and trust accounts—passing of accounts etc</w:t>
      </w:r>
      <w:bookmarkEnd w:id="894"/>
    </w:p>
    <w:p w14:paraId="5F6E5440" w14:textId="77777777" w:rsidR="008112BD" w:rsidRDefault="008112BD" w:rsidP="008112BD">
      <w:pPr>
        <w:pStyle w:val="Amain"/>
      </w:pPr>
      <w:r>
        <w:tab/>
        <w:t>(1)</w:t>
      </w:r>
      <w:r>
        <w:tab/>
        <w:t>On the hearing of an application under rule 2753, the court may order that the accounts be passed with or without amendment.</w:t>
      </w:r>
    </w:p>
    <w:p w14:paraId="26A3055A" w14:textId="77777777" w:rsidR="008112BD" w:rsidRDefault="008112BD" w:rsidP="008112BD">
      <w:pPr>
        <w:pStyle w:val="Amain"/>
      </w:pPr>
      <w:r>
        <w:tab/>
        <w:t>(2)</w:t>
      </w:r>
      <w:r>
        <w:tab/>
        <w:t>The court may also—</w:t>
      </w:r>
    </w:p>
    <w:p w14:paraId="5711146D" w14:textId="77777777" w:rsidR="008112BD" w:rsidRDefault="008112BD" w:rsidP="008112BD">
      <w:pPr>
        <w:pStyle w:val="Apara"/>
      </w:pPr>
      <w:r>
        <w:tab/>
        <w:t>(a)</w:t>
      </w:r>
      <w:r>
        <w:tab/>
        <w:t>allow the costs of examining and passing the accounts to be paid out of the estate or trust property; and</w:t>
      </w:r>
    </w:p>
    <w:p w14:paraId="4549856B" w14:textId="77777777" w:rsidR="008112BD" w:rsidRDefault="008112BD" w:rsidP="008112BD">
      <w:pPr>
        <w:pStyle w:val="Apara"/>
      </w:pPr>
      <w:r>
        <w:tab/>
        <w:t>(b)</w:t>
      </w:r>
      <w:r>
        <w:tab/>
        <w:t>make the order for commission the court considers just; and</w:t>
      </w:r>
    </w:p>
    <w:p w14:paraId="30904253" w14:textId="77777777" w:rsidR="008112BD" w:rsidRDefault="008112BD" w:rsidP="008112BD">
      <w:pPr>
        <w:pStyle w:val="Apara"/>
      </w:pPr>
      <w:r>
        <w:tab/>
        <w:t>(c)</w:t>
      </w:r>
      <w:r>
        <w:tab/>
        <w:t>extend the time for filing and passing further accounts.</w:t>
      </w:r>
    </w:p>
    <w:p w14:paraId="294D2592" w14:textId="77777777" w:rsidR="008112BD" w:rsidRDefault="008112BD" w:rsidP="008112BD">
      <w:pPr>
        <w:pStyle w:val="AH5Sec"/>
      </w:pPr>
      <w:bookmarkStart w:id="895" w:name="_Toc185514511"/>
      <w:r w:rsidRPr="00C8328B">
        <w:rPr>
          <w:rStyle w:val="CharSectNo"/>
        </w:rPr>
        <w:t>2755</w:t>
      </w:r>
      <w:r>
        <w:tab/>
        <w:t>Estate and trust accounts—amended or further accounts</w:t>
      </w:r>
      <w:bookmarkEnd w:id="895"/>
    </w:p>
    <w:p w14:paraId="0FA72D74" w14:textId="77777777" w:rsidR="008112BD" w:rsidRDefault="008112BD" w:rsidP="008112BD">
      <w:pPr>
        <w:pStyle w:val="Amainreturn"/>
        <w:keepNext/>
      </w:pPr>
      <w:r>
        <w:t>The court may require—</w:t>
      </w:r>
    </w:p>
    <w:p w14:paraId="1B8785B2" w14:textId="77777777" w:rsidR="008112BD" w:rsidRDefault="008112BD" w:rsidP="008112BD">
      <w:pPr>
        <w:pStyle w:val="Apara"/>
      </w:pPr>
      <w:r>
        <w:tab/>
        <w:t>(a)</w:t>
      </w:r>
      <w:r>
        <w:tab/>
        <w:t>an executor, administrator or trustee to amend an account; or</w:t>
      </w:r>
    </w:p>
    <w:p w14:paraId="3920CD3D" w14:textId="77777777" w:rsidR="008112BD" w:rsidRDefault="008112BD" w:rsidP="008112BD">
      <w:pPr>
        <w:pStyle w:val="Apara"/>
      </w:pPr>
      <w:r>
        <w:tab/>
        <w:t>(b)</w:t>
      </w:r>
      <w:r>
        <w:tab/>
        <w:t>an executor, administrator or trustee to have a further account or amended account examined and passed; or</w:t>
      </w:r>
    </w:p>
    <w:p w14:paraId="3A6E7341" w14:textId="77777777" w:rsidR="008112BD" w:rsidRDefault="008112BD" w:rsidP="008112BD">
      <w:pPr>
        <w:pStyle w:val="Apara"/>
      </w:pPr>
      <w:r>
        <w:tab/>
        <w:t>(c)</w:t>
      </w:r>
      <w:r>
        <w:tab/>
        <w:t>a proceeding to be taken on the account, further account or amended account as the court considers appropriate.</w:t>
      </w:r>
    </w:p>
    <w:p w14:paraId="3A485324" w14:textId="77777777" w:rsidR="008112BD" w:rsidRDefault="008112BD" w:rsidP="008112BD">
      <w:pPr>
        <w:pStyle w:val="AH5Sec"/>
      </w:pPr>
      <w:bookmarkStart w:id="896" w:name="_Toc185514512"/>
      <w:r w:rsidRPr="00C8328B">
        <w:rPr>
          <w:rStyle w:val="CharSectNo"/>
        </w:rPr>
        <w:t>2756</w:t>
      </w:r>
      <w:r>
        <w:tab/>
        <w:t>Estate and trust accounts—renewal of objection in subsequent proceeding</w:t>
      </w:r>
      <w:bookmarkEnd w:id="896"/>
    </w:p>
    <w:p w14:paraId="03AA4D58" w14:textId="77777777" w:rsidR="008112BD" w:rsidRDefault="008112BD" w:rsidP="00F13D87">
      <w:pPr>
        <w:pStyle w:val="Amain"/>
        <w:keepNext/>
      </w:pPr>
      <w:r>
        <w:tab/>
        <w:t>(1)</w:t>
      </w:r>
      <w:r>
        <w:tab/>
        <w:t>This rule applies if—</w:t>
      </w:r>
    </w:p>
    <w:p w14:paraId="3765E476" w14:textId="77777777" w:rsidR="008112BD" w:rsidRDefault="008112BD" w:rsidP="00F13D87">
      <w:pPr>
        <w:pStyle w:val="Apara"/>
        <w:keepLines/>
      </w:pPr>
      <w:r>
        <w:tab/>
        <w:t>(a)</w:t>
      </w:r>
      <w:r>
        <w:tab/>
        <w:t>on the examination under this division of an account of an executor, administrator or trustee, a person made an objection or exception before the registrar that was disallowed or overruled; and</w:t>
      </w:r>
    </w:p>
    <w:p w14:paraId="5AFA653F" w14:textId="77777777" w:rsidR="008112BD" w:rsidRDefault="008112BD" w:rsidP="008112BD">
      <w:pPr>
        <w:pStyle w:val="Apara"/>
      </w:pPr>
      <w:r>
        <w:tab/>
        <w:t>(b)</w:t>
      </w:r>
      <w:r>
        <w:tab/>
        <w:t>the account was passed under this division; and</w:t>
      </w:r>
    </w:p>
    <w:p w14:paraId="530B0EAF" w14:textId="77777777" w:rsidR="008112BD" w:rsidRDefault="008112BD" w:rsidP="008112BD">
      <w:pPr>
        <w:pStyle w:val="Apara"/>
      </w:pPr>
      <w:r>
        <w:tab/>
        <w:t>(c)</w:t>
      </w:r>
      <w:r>
        <w:tab/>
        <w:t>the same account is afterwards directed to be taken in a proceeding.</w:t>
      </w:r>
    </w:p>
    <w:p w14:paraId="6A3F1F85" w14:textId="77777777" w:rsidR="008112BD" w:rsidRDefault="008112BD" w:rsidP="008112BD">
      <w:pPr>
        <w:pStyle w:val="Amain"/>
        <w:keepNext/>
      </w:pPr>
      <w:r>
        <w:lastRenderedPageBreak/>
        <w:tab/>
        <w:t>(2)</w:t>
      </w:r>
      <w:r>
        <w:tab/>
        <w:t>The person must not renew the objection or exception against the executor, administrator or trustee without the court’s leave.</w:t>
      </w:r>
    </w:p>
    <w:p w14:paraId="12A92A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7EC6B988" w14:textId="77777777" w:rsidR="008112BD" w:rsidRDefault="008112BD" w:rsidP="008112BD">
      <w:pPr>
        <w:pStyle w:val="AH5Sec"/>
      </w:pPr>
      <w:bookmarkStart w:id="897" w:name="_Toc185514513"/>
      <w:r w:rsidRPr="00C8328B">
        <w:rPr>
          <w:rStyle w:val="CharSectNo"/>
        </w:rPr>
        <w:t>2757</w:t>
      </w:r>
      <w:r>
        <w:tab/>
        <w:t>Estate and trust accounts—evidence in subsequent proceeding</w:t>
      </w:r>
      <w:bookmarkEnd w:id="897"/>
    </w:p>
    <w:p w14:paraId="28C87FE8" w14:textId="77777777" w:rsidR="008112BD" w:rsidRDefault="008112BD" w:rsidP="008112BD">
      <w:pPr>
        <w:pStyle w:val="Amain"/>
        <w:keepNext/>
      </w:pPr>
      <w:r>
        <w:tab/>
        <w:t>(1)</w:t>
      </w:r>
      <w:r>
        <w:tab/>
        <w:t>This rule applies if an account is passed under this division and the same account is afterwards directed to be taken in a proceeding.</w:t>
      </w:r>
    </w:p>
    <w:p w14:paraId="2EDFB788" w14:textId="77777777"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14:paraId="5790A47C" w14:textId="77777777"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14:paraId="63031F35" w14:textId="77777777" w:rsidR="008112BD" w:rsidRDefault="008112BD" w:rsidP="008112BD">
      <w:pPr>
        <w:pStyle w:val="AH5Sec"/>
      </w:pPr>
      <w:bookmarkStart w:id="898" w:name="_Toc185514514"/>
      <w:r w:rsidRPr="00C8328B">
        <w:rPr>
          <w:rStyle w:val="CharSectNo"/>
        </w:rPr>
        <w:t>2758</w:t>
      </w:r>
      <w:r>
        <w:tab/>
        <w:t>Estate and trust accounts—general practice to apply</w:t>
      </w:r>
      <w:bookmarkEnd w:id="898"/>
    </w:p>
    <w:p w14:paraId="09D11F41" w14:textId="77777777" w:rsidR="008112BD" w:rsidRDefault="008112BD" w:rsidP="008112BD">
      <w:pPr>
        <w:pStyle w:val="Amainreturn"/>
      </w:pPr>
      <w:r>
        <w:t>Unless this division otherwise provides, division 2.20.2 (Taking of accounts) applies, with any necessary changes, to the examination and passing of accounts under this division.</w:t>
      </w:r>
    </w:p>
    <w:p w14:paraId="36A8C2C7" w14:textId="77777777" w:rsidR="008112BD" w:rsidRDefault="008112BD" w:rsidP="008112BD">
      <w:pPr>
        <w:pStyle w:val="AH5Sec"/>
      </w:pPr>
      <w:bookmarkStart w:id="899" w:name="_Toc185514515"/>
      <w:r w:rsidRPr="00C8328B">
        <w:rPr>
          <w:rStyle w:val="CharSectNo"/>
        </w:rPr>
        <w:t>2759</w:t>
      </w:r>
      <w:r>
        <w:tab/>
        <w:t>Estate and trust accounts—combined executors’ and trustees’ account</w:t>
      </w:r>
      <w:bookmarkEnd w:id="899"/>
    </w:p>
    <w:p w14:paraId="03450EAF" w14:textId="77777777" w:rsidR="008112BD" w:rsidRDefault="008112BD" w:rsidP="008112BD">
      <w:pPr>
        <w:pStyle w:val="Amain"/>
      </w:pPr>
      <w:r>
        <w:tab/>
        <w:t>(1)</w:t>
      </w:r>
      <w:r>
        <w:tab/>
        <w:t>This rule applies if the same person is an executor and trustee or an administrator and trustee.</w:t>
      </w:r>
    </w:p>
    <w:p w14:paraId="0B510082" w14:textId="77777777" w:rsidR="008112BD" w:rsidRDefault="008112BD" w:rsidP="008112BD">
      <w:pPr>
        <w:pStyle w:val="Amain"/>
      </w:pPr>
      <w:r>
        <w:tab/>
        <w:t>(2)</w:t>
      </w:r>
      <w:r>
        <w:tab/>
        <w:t>The person may include in the same account a statement of the administration of property in both capacities.</w:t>
      </w:r>
    </w:p>
    <w:p w14:paraId="3D8D1FCB" w14:textId="77777777" w:rsidR="008112BD" w:rsidRDefault="008112BD" w:rsidP="008112BD">
      <w:pPr>
        <w:pStyle w:val="Amain"/>
      </w:pPr>
      <w:r>
        <w:tab/>
        <w:t>(3)</w:t>
      </w:r>
      <w:r>
        <w:tab/>
        <w:t>However, the person must distinguish the amounts received and disposed of by the person in each capacity.</w:t>
      </w:r>
    </w:p>
    <w:p w14:paraId="6A0991CA" w14:textId="77777777"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14:paraId="0C2AE840" w14:textId="77777777"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14:paraId="651C8802" w14:textId="77777777" w:rsidR="008112BD" w:rsidRDefault="008112BD" w:rsidP="008112BD">
      <w:pPr>
        <w:pStyle w:val="AH5Sec"/>
      </w:pPr>
      <w:bookmarkStart w:id="900" w:name="_Toc185514516"/>
      <w:r w:rsidRPr="00C8328B">
        <w:rPr>
          <w:rStyle w:val="CharSectNo"/>
        </w:rPr>
        <w:t>2760</w:t>
      </w:r>
      <w:r>
        <w:tab/>
        <w:t>Trustees—allowance of commission in proceeding</w:t>
      </w:r>
      <w:bookmarkEnd w:id="900"/>
    </w:p>
    <w:p w14:paraId="129AADBD" w14:textId="77777777"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14:paraId="5307EC8C" w14:textId="77777777"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14:paraId="720A9C3C" w14:textId="77777777" w:rsidR="008112BD" w:rsidRDefault="008112BD" w:rsidP="008112BD">
      <w:pPr>
        <w:pStyle w:val="Amain"/>
      </w:pPr>
      <w:r>
        <w:tab/>
        <w:t>(2)</w:t>
      </w:r>
      <w:r>
        <w:tab/>
        <w:t>Rule 2748 (Estate and trust accounts—application for commission) does not apply to the application.</w:t>
      </w:r>
    </w:p>
    <w:p w14:paraId="1C18A0C9" w14:textId="77777777" w:rsidR="008112BD" w:rsidRDefault="008112BD" w:rsidP="008112BD">
      <w:pPr>
        <w:pStyle w:val="PageBreak"/>
      </w:pPr>
      <w:r>
        <w:br w:type="page"/>
      </w:r>
    </w:p>
    <w:p w14:paraId="77DD0393" w14:textId="77777777" w:rsidR="008112BD" w:rsidRPr="00C8328B" w:rsidRDefault="008112BD" w:rsidP="008112BD">
      <w:pPr>
        <w:pStyle w:val="AH2Part"/>
      </w:pPr>
      <w:bookmarkStart w:id="901" w:name="_Toc185514517"/>
      <w:r w:rsidRPr="00C8328B">
        <w:rPr>
          <w:rStyle w:val="CharPartNo"/>
        </w:rPr>
        <w:lastRenderedPageBreak/>
        <w:t>Part 2.21</w:t>
      </w:r>
      <w:r>
        <w:tab/>
      </w:r>
      <w:r w:rsidRPr="00C8328B">
        <w:rPr>
          <w:rStyle w:val="CharPartText"/>
        </w:rPr>
        <w:t>Representation by solicitors</w:t>
      </w:r>
      <w:bookmarkEnd w:id="901"/>
    </w:p>
    <w:p w14:paraId="74DF2652" w14:textId="77777777" w:rsidR="008112BD" w:rsidRDefault="008112BD" w:rsidP="008112BD">
      <w:pPr>
        <w:pStyle w:val="Placeholder"/>
      </w:pPr>
      <w:r>
        <w:rPr>
          <w:rStyle w:val="CharDivNo"/>
        </w:rPr>
        <w:t xml:space="preserve">  </w:t>
      </w:r>
      <w:r>
        <w:rPr>
          <w:rStyle w:val="CharDivText"/>
        </w:rPr>
        <w:t xml:space="preserve">  </w:t>
      </w:r>
    </w:p>
    <w:p w14:paraId="2FCE04D0" w14:textId="77777777" w:rsidR="008112BD" w:rsidRDefault="008112BD" w:rsidP="008112BD">
      <w:pPr>
        <w:pStyle w:val="AH5Sec"/>
      </w:pPr>
      <w:bookmarkStart w:id="902" w:name="_Toc185514518"/>
      <w:r w:rsidRPr="00C8328B">
        <w:rPr>
          <w:rStyle w:val="CharSectNo"/>
        </w:rPr>
        <w:t>2800</w:t>
      </w:r>
      <w:r>
        <w:tab/>
        <w:t>Power to act by solicitor</w:t>
      </w:r>
      <w:bookmarkEnd w:id="902"/>
    </w:p>
    <w:p w14:paraId="0D9B5E22" w14:textId="77777777" w:rsidR="008112BD" w:rsidRDefault="008112BD" w:rsidP="008112BD">
      <w:pPr>
        <w:pStyle w:val="Amain"/>
      </w:pPr>
      <w:r>
        <w:tab/>
        <w:t>(1)</w:t>
      </w:r>
      <w:r>
        <w:tab/>
        <w:t>Every act required or allowed to be done by a party in the conduct of a proceeding in the court may be done by the party’s solicitor.</w:t>
      </w:r>
    </w:p>
    <w:p w14:paraId="1C76E52B" w14:textId="77777777" w:rsidR="008112BD" w:rsidRDefault="008112BD" w:rsidP="008112BD">
      <w:pPr>
        <w:pStyle w:val="Amain"/>
      </w:pPr>
      <w:r>
        <w:tab/>
        <w:t>(2)</w:t>
      </w:r>
      <w:r>
        <w:tab/>
        <w:t>However, this rule does not apply to a document that must be signed by a party.</w:t>
      </w:r>
    </w:p>
    <w:p w14:paraId="1842598C" w14:textId="77777777" w:rsidR="008112BD" w:rsidRDefault="008112BD" w:rsidP="008112BD">
      <w:pPr>
        <w:pStyle w:val="aExamHdgss"/>
      </w:pPr>
      <w:r>
        <w:t>Examples for r (2)</w:t>
      </w:r>
    </w:p>
    <w:p w14:paraId="447208CE" w14:textId="77777777" w:rsidR="008112BD" w:rsidRDefault="008112BD" w:rsidP="008112BD">
      <w:pPr>
        <w:pStyle w:val="aExamINumss"/>
      </w:pPr>
      <w:r>
        <w:t>1</w:t>
      </w:r>
      <w:r>
        <w:tab/>
        <w:t>answers to interrogatories</w:t>
      </w:r>
    </w:p>
    <w:p w14:paraId="65C8A279" w14:textId="77777777" w:rsidR="008112BD" w:rsidRDefault="008112BD" w:rsidP="008112BD">
      <w:pPr>
        <w:pStyle w:val="aExamINumss"/>
        <w:keepNext/>
      </w:pPr>
      <w:r>
        <w:t>2</w:t>
      </w:r>
      <w:r>
        <w:tab/>
        <w:t>an affidavit</w:t>
      </w:r>
    </w:p>
    <w:p w14:paraId="5D0DDB6A" w14:textId="77777777" w:rsidR="008112BD" w:rsidRDefault="008112BD" w:rsidP="008112BD">
      <w:pPr>
        <w:pStyle w:val="AH5Sec"/>
      </w:pPr>
      <w:bookmarkStart w:id="903" w:name="_Toc185514519"/>
      <w:r w:rsidRPr="00C8328B">
        <w:rPr>
          <w:rStyle w:val="CharSectNo"/>
        </w:rPr>
        <w:t>2801</w:t>
      </w:r>
      <w:r>
        <w:tab/>
        <w:t>Appointment of solicitor</w:t>
      </w:r>
      <w:bookmarkEnd w:id="903"/>
    </w:p>
    <w:p w14:paraId="77A75B14" w14:textId="77777777"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14:paraId="6A5E0BD8" w14:textId="77777777" w:rsidR="008112BD" w:rsidRDefault="008112BD" w:rsidP="008112BD">
      <w:pPr>
        <w:pStyle w:val="AH5Sec"/>
      </w:pPr>
      <w:bookmarkStart w:id="904" w:name="_Toc185514520"/>
      <w:r w:rsidRPr="00C8328B">
        <w:rPr>
          <w:rStyle w:val="CharSectNo"/>
        </w:rPr>
        <w:t>2802</w:t>
      </w:r>
      <w:r>
        <w:tab/>
        <w:t>Change between acting personally and acting by solicitor</w:t>
      </w:r>
      <w:bookmarkEnd w:id="904"/>
    </w:p>
    <w:p w14:paraId="34F947CB" w14:textId="77777777" w:rsidR="008112BD" w:rsidRDefault="008112BD" w:rsidP="008112BD">
      <w:pPr>
        <w:pStyle w:val="Amain"/>
      </w:pPr>
      <w:r>
        <w:tab/>
        <w:t>(1)</w:t>
      </w:r>
      <w:r>
        <w:tab/>
        <w:t>If a party acts in person in a proceeding and later appoints a solicitor, the solicitor must—</w:t>
      </w:r>
    </w:p>
    <w:p w14:paraId="5A4406EB" w14:textId="77777777" w:rsidR="008112BD" w:rsidRDefault="008112BD" w:rsidP="008112BD">
      <w:pPr>
        <w:pStyle w:val="Apara"/>
      </w:pPr>
      <w:r>
        <w:tab/>
        <w:t>(a)</w:t>
      </w:r>
      <w:r>
        <w:tab/>
        <w:t>file a notice of the solicitor’s appointment; and</w:t>
      </w:r>
    </w:p>
    <w:p w14:paraId="7ECA4CD8" w14:textId="77777777" w:rsidR="008112BD" w:rsidRDefault="008112BD" w:rsidP="008112BD">
      <w:pPr>
        <w:pStyle w:val="Apara"/>
      </w:pPr>
      <w:r>
        <w:tab/>
        <w:t>(b)</w:t>
      </w:r>
      <w:r>
        <w:tab/>
        <w:t>serve a stamped copy of the notice on all other active parties.</w:t>
      </w:r>
    </w:p>
    <w:p w14:paraId="31F2F4C1" w14:textId="77777777" w:rsidR="008112BD" w:rsidRDefault="008112BD" w:rsidP="008112BD">
      <w:pPr>
        <w:pStyle w:val="Amain"/>
        <w:keepNext/>
      </w:pPr>
      <w:r>
        <w:tab/>
        <w:t>(2)</w:t>
      </w:r>
      <w:r>
        <w:tab/>
        <w:t>The notice must state the party’s address for service.</w:t>
      </w:r>
    </w:p>
    <w:p w14:paraId="50A4545F" w14:textId="4D80289B"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46" w:history="1">
        <w:r w:rsidRPr="008F2905">
          <w:rPr>
            <w:rStyle w:val="charCitHyperlinkAbbrev"/>
          </w:rPr>
          <w:t>AF2006</w:t>
        </w:r>
        <w:r w:rsidRPr="008F2905">
          <w:rPr>
            <w:rStyle w:val="charCitHyperlinkAbbrev"/>
          </w:rPr>
          <w:noBreakHyphen/>
          <w:t>318</w:t>
        </w:r>
      </w:hyperlink>
      <w:r>
        <w:t>.</w:t>
      </w:r>
    </w:p>
    <w:p w14:paraId="4B45AC8F" w14:textId="77777777" w:rsidR="008112BD" w:rsidRDefault="008112BD" w:rsidP="008112BD">
      <w:pPr>
        <w:pStyle w:val="Amain"/>
        <w:keepNext/>
      </w:pPr>
      <w:r>
        <w:tab/>
        <w:t>(3)</w:t>
      </w:r>
      <w:r>
        <w:tab/>
        <w:t>If a party appoints a solicitor and later decides to act in person, the party must—</w:t>
      </w:r>
    </w:p>
    <w:p w14:paraId="4AF9C0F1" w14:textId="77777777" w:rsidR="008112BD" w:rsidRDefault="008112BD" w:rsidP="008112BD">
      <w:pPr>
        <w:pStyle w:val="Apara"/>
      </w:pPr>
      <w:r>
        <w:tab/>
        <w:t>(a)</w:t>
      </w:r>
      <w:r>
        <w:tab/>
        <w:t>file a notice that the party is acting in person; and</w:t>
      </w:r>
    </w:p>
    <w:p w14:paraId="6A6BB2F7" w14:textId="77777777" w:rsidR="008112BD" w:rsidRDefault="008112BD" w:rsidP="008112BD">
      <w:pPr>
        <w:pStyle w:val="Apara"/>
        <w:keepNext/>
      </w:pPr>
      <w:r>
        <w:lastRenderedPageBreak/>
        <w:tab/>
        <w:t>(b)</w:t>
      </w:r>
      <w:r>
        <w:tab/>
        <w:t>serve a stamped copy of the notice on all other active parties and the party’s former solicitor.</w:t>
      </w:r>
    </w:p>
    <w:p w14:paraId="40BDB0A1" w14:textId="77777777"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14:paraId="482DF6D7" w14:textId="2127D129"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47" w:history="1">
        <w:r w:rsidRPr="008F2905">
          <w:rPr>
            <w:rStyle w:val="charCitHyperlinkAbbrev"/>
          </w:rPr>
          <w:t>AF2006</w:t>
        </w:r>
        <w:r w:rsidRPr="008F2905">
          <w:rPr>
            <w:rStyle w:val="charCitHyperlinkAbbrev"/>
          </w:rPr>
          <w:noBreakHyphen/>
          <w:t>319</w:t>
        </w:r>
      </w:hyperlink>
      <w:r>
        <w:t>.</w:t>
      </w:r>
    </w:p>
    <w:p w14:paraId="26637498" w14:textId="77777777" w:rsidR="008112BD" w:rsidRDefault="008112BD" w:rsidP="008112BD">
      <w:pPr>
        <w:pStyle w:val="Amain"/>
        <w:keepNext/>
      </w:pPr>
      <w:r>
        <w:tab/>
        <w:t>(4)</w:t>
      </w:r>
      <w:r>
        <w:tab/>
        <w:t>The notice must state the party’s address for service.</w:t>
      </w:r>
    </w:p>
    <w:p w14:paraId="507CA091" w14:textId="77777777" w:rsidR="008112BD" w:rsidRDefault="008112BD" w:rsidP="008112BD">
      <w:pPr>
        <w:pStyle w:val="Amain"/>
      </w:pPr>
      <w:r>
        <w:tab/>
        <w:t>(5)</w:t>
      </w:r>
      <w:r>
        <w:tab/>
        <w:t>The party’s former solicitor remains the solicitor on the record until the party complies with subrule (3).</w:t>
      </w:r>
    </w:p>
    <w:p w14:paraId="5828C11A" w14:textId="77777777" w:rsidR="008112BD" w:rsidRDefault="008112BD" w:rsidP="008112BD">
      <w:pPr>
        <w:pStyle w:val="AH5Sec"/>
      </w:pPr>
      <w:bookmarkStart w:id="905" w:name="_Toc185514521"/>
      <w:r w:rsidRPr="00C8328B">
        <w:rPr>
          <w:rStyle w:val="CharSectNo"/>
        </w:rPr>
        <w:t>2803</w:t>
      </w:r>
      <w:r>
        <w:tab/>
        <w:t>Change of solicitor</w:t>
      </w:r>
      <w:bookmarkEnd w:id="905"/>
    </w:p>
    <w:p w14:paraId="2E84E7E6" w14:textId="77777777" w:rsidR="008112BD" w:rsidRDefault="008112BD" w:rsidP="008112BD">
      <w:pPr>
        <w:pStyle w:val="Amain"/>
      </w:pPr>
      <w:r>
        <w:tab/>
        <w:t>(1)</w:t>
      </w:r>
      <w:r>
        <w:tab/>
        <w:t>A party may, at any stage of a proceeding and without an order, appoint another solicitor in place of the solicitor then acting for the party.</w:t>
      </w:r>
    </w:p>
    <w:p w14:paraId="3BC13A25" w14:textId="77777777" w:rsidR="008112BD" w:rsidRDefault="008112BD" w:rsidP="008112BD">
      <w:pPr>
        <w:pStyle w:val="Amain"/>
      </w:pPr>
      <w:r>
        <w:tab/>
        <w:t>(2)</w:t>
      </w:r>
      <w:r>
        <w:tab/>
        <w:t>If a party appoints another solicitor, the newly appointed solicitor must—</w:t>
      </w:r>
    </w:p>
    <w:p w14:paraId="7EE0843D" w14:textId="77777777" w:rsidR="008112BD" w:rsidRDefault="008112BD" w:rsidP="008112BD">
      <w:pPr>
        <w:pStyle w:val="Apara"/>
      </w:pPr>
      <w:r>
        <w:tab/>
        <w:t>(a)</w:t>
      </w:r>
      <w:r>
        <w:tab/>
        <w:t>file a notice of the change of solicitor; and</w:t>
      </w:r>
    </w:p>
    <w:p w14:paraId="063E2075" w14:textId="77777777" w:rsidR="008112BD" w:rsidRDefault="008112BD" w:rsidP="008112BD">
      <w:pPr>
        <w:pStyle w:val="Apara"/>
        <w:keepNext/>
      </w:pPr>
      <w:r>
        <w:tab/>
        <w:t>(b)</w:t>
      </w:r>
      <w:r>
        <w:tab/>
        <w:t>serve a stamped copy of the notice on all other active parties and the party’s former solicitor.</w:t>
      </w:r>
    </w:p>
    <w:p w14:paraId="186FEB91" w14:textId="1BC9E5B5"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48" w:history="1">
        <w:r w:rsidRPr="00353CE7">
          <w:rPr>
            <w:rStyle w:val="charCitHyperlinkAbbrev"/>
          </w:rPr>
          <w:t>AF2006-320</w:t>
        </w:r>
      </w:hyperlink>
      <w:r>
        <w:t>.</w:t>
      </w:r>
    </w:p>
    <w:p w14:paraId="18ACE2F5" w14:textId="77777777" w:rsidR="008112BD" w:rsidRDefault="008112BD" w:rsidP="008112BD">
      <w:pPr>
        <w:pStyle w:val="Amain"/>
        <w:keepNext/>
      </w:pPr>
      <w:r>
        <w:tab/>
        <w:t>(3)</w:t>
      </w:r>
      <w:r>
        <w:tab/>
        <w:t>The notice must state the party’s address for service.</w:t>
      </w:r>
    </w:p>
    <w:p w14:paraId="3B8B9D35" w14:textId="77777777" w:rsidR="008112BD" w:rsidRDefault="008112BD" w:rsidP="008112BD">
      <w:pPr>
        <w:pStyle w:val="Amain"/>
      </w:pPr>
      <w:r>
        <w:tab/>
        <w:t>(4)</w:t>
      </w:r>
      <w:r>
        <w:tab/>
        <w:t>The party’s former solicitor remains the solicitor on the record until the newly appointed solicitor complies with subrule (2).</w:t>
      </w:r>
    </w:p>
    <w:p w14:paraId="761AC9AD" w14:textId="77777777" w:rsidR="008112BD" w:rsidRDefault="008112BD" w:rsidP="008112BD">
      <w:pPr>
        <w:pStyle w:val="AH5Sec"/>
      </w:pPr>
      <w:bookmarkStart w:id="906" w:name="_Toc185514522"/>
      <w:r w:rsidRPr="00C8328B">
        <w:rPr>
          <w:rStyle w:val="CharSectNo"/>
        </w:rPr>
        <w:t>2804</w:t>
      </w:r>
      <w:r>
        <w:tab/>
        <w:t>Removal of solicitor by court</w:t>
      </w:r>
      <w:bookmarkEnd w:id="906"/>
    </w:p>
    <w:p w14:paraId="7CB7E05D" w14:textId="77777777"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14:paraId="35274CFE" w14:textId="77777777" w:rsidR="008112BD" w:rsidRDefault="008112BD" w:rsidP="008112BD">
      <w:pPr>
        <w:pStyle w:val="Amain"/>
        <w:keepNext/>
      </w:pPr>
      <w:r>
        <w:lastRenderedPageBreak/>
        <w:tab/>
        <w:t>(2)</w:t>
      </w:r>
      <w:r>
        <w:tab/>
        <w:t>A party may apply to the court for the removal of the solicitor’s name from the record.</w:t>
      </w:r>
    </w:p>
    <w:p w14:paraId="3FC173D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B8577C2" w14:textId="77777777" w:rsidR="008112BD" w:rsidRDefault="008112BD" w:rsidP="008112BD">
      <w:pPr>
        <w:pStyle w:val="Amain"/>
      </w:pPr>
      <w:r>
        <w:tab/>
        <w:t>(3)</w:t>
      </w:r>
      <w:r>
        <w:tab/>
        <w:t>On application under subrule (2), the court may order that the solicitor’s name be removed from the record.</w:t>
      </w:r>
    </w:p>
    <w:p w14:paraId="4A505552" w14:textId="77777777" w:rsidR="008112BD" w:rsidRDefault="008112BD" w:rsidP="008112BD">
      <w:pPr>
        <w:pStyle w:val="Amain"/>
      </w:pPr>
      <w:r>
        <w:tab/>
        <w:t>(4)</w:t>
      </w:r>
      <w:r>
        <w:tab/>
        <w:t>On removal of the solicitor’s name from the record, the party must—</w:t>
      </w:r>
    </w:p>
    <w:p w14:paraId="06E610C5" w14:textId="77777777" w:rsidR="008112BD" w:rsidRDefault="008112BD" w:rsidP="008112BD">
      <w:pPr>
        <w:pStyle w:val="Apara"/>
      </w:pPr>
      <w:r>
        <w:tab/>
        <w:t>(a)</w:t>
      </w:r>
      <w:r>
        <w:tab/>
        <w:t>appoint another solicitor; or</w:t>
      </w:r>
    </w:p>
    <w:p w14:paraId="431E1136" w14:textId="77777777" w:rsidR="008112BD" w:rsidRDefault="008112BD" w:rsidP="008112BD">
      <w:pPr>
        <w:pStyle w:val="Apara"/>
        <w:keepNext/>
      </w:pPr>
      <w:r>
        <w:tab/>
        <w:t>(b)</w:t>
      </w:r>
      <w:r>
        <w:tab/>
        <w:t>comply with subrule (5).</w:t>
      </w:r>
    </w:p>
    <w:p w14:paraId="73870E92" w14:textId="21350667" w:rsidR="008112BD" w:rsidRDefault="008112BD" w:rsidP="008112BD">
      <w:pPr>
        <w:pStyle w:val="aNote"/>
      </w:pPr>
      <w:r w:rsidRPr="00FE0788">
        <w:rPr>
          <w:rStyle w:val="charItals"/>
        </w:rPr>
        <w:t>Note</w:t>
      </w:r>
      <w:r>
        <w:tab/>
        <w:t xml:space="preserve">See approved form 2.75 (Notice of change of solicitor) </w:t>
      </w:r>
      <w:hyperlink r:id="rId249" w:history="1">
        <w:r w:rsidRPr="00353CE7">
          <w:rPr>
            <w:rStyle w:val="charCitHyperlinkAbbrev"/>
          </w:rPr>
          <w:t>AF2006-320</w:t>
        </w:r>
      </w:hyperlink>
      <w:r>
        <w:t>.</w:t>
      </w:r>
    </w:p>
    <w:p w14:paraId="1F46DB98" w14:textId="77777777" w:rsidR="008112BD" w:rsidRDefault="008112BD" w:rsidP="008112BD">
      <w:pPr>
        <w:pStyle w:val="Amain"/>
      </w:pPr>
      <w:r>
        <w:tab/>
        <w:t>(5)</w:t>
      </w:r>
      <w:r>
        <w:tab/>
        <w:t>To comply with this subrule, the party must—</w:t>
      </w:r>
    </w:p>
    <w:p w14:paraId="7C632710" w14:textId="77777777" w:rsidR="008112BD" w:rsidRDefault="008112BD" w:rsidP="008112BD">
      <w:pPr>
        <w:pStyle w:val="Apara"/>
      </w:pPr>
      <w:r>
        <w:tab/>
        <w:t>(a)</w:t>
      </w:r>
      <w:r>
        <w:tab/>
        <w:t>file a notice that the party is acting in person; and</w:t>
      </w:r>
    </w:p>
    <w:p w14:paraId="02DE90A5" w14:textId="77777777" w:rsidR="008112BD" w:rsidRDefault="008112BD" w:rsidP="008112BD">
      <w:pPr>
        <w:pStyle w:val="Apara"/>
      </w:pPr>
      <w:r>
        <w:tab/>
        <w:t>(b)</w:t>
      </w:r>
      <w:r>
        <w:tab/>
        <w:t>serve a stamped copy of the notice on all other active parties.</w:t>
      </w:r>
    </w:p>
    <w:p w14:paraId="2F5FB8EC" w14:textId="77777777" w:rsidR="008112BD" w:rsidRDefault="008112BD" w:rsidP="008112BD">
      <w:pPr>
        <w:pStyle w:val="Amain"/>
        <w:keepNext/>
      </w:pPr>
      <w:r>
        <w:tab/>
        <w:t>(6)</w:t>
      </w:r>
      <w:r>
        <w:tab/>
        <w:t>The notice must state the party’s address for service.</w:t>
      </w:r>
    </w:p>
    <w:p w14:paraId="06460B4F" w14:textId="56AAEE86" w:rsidR="008112BD" w:rsidRDefault="008112BD" w:rsidP="008112BD">
      <w:pPr>
        <w:pStyle w:val="aNote"/>
      </w:pPr>
      <w:r w:rsidRPr="00FE0788">
        <w:rPr>
          <w:rStyle w:val="charItals"/>
        </w:rPr>
        <w:t>Note</w:t>
      </w:r>
      <w:r>
        <w:tab/>
        <w:t xml:space="preserve">See approved form 2.74 (Notice that party acting in person) </w:t>
      </w:r>
      <w:hyperlink r:id="rId250" w:history="1">
        <w:r w:rsidRPr="00353CE7">
          <w:rPr>
            <w:rStyle w:val="charCitHyperlinkAbbrev"/>
          </w:rPr>
          <w:t>AF2006</w:t>
        </w:r>
        <w:r w:rsidRPr="00353CE7">
          <w:rPr>
            <w:rStyle w:val="charCitHyperlinkAbbrev"/>
          </w:rPr>
          <w:noBreakHyphen/>
          <w:t>319</w:t>
        </w:r>
      </w:hyperlink>
      <w:r w:rsidRPr="00353CE7">
        <w:rPr>
          <w:rStyle w:val="charCitHyperlinkAbbrev"/>
        </w:rPr>
        <w:t>.</w:t>
      </w:r>
    </w:p>
    <w:p w14:paraId="482C8A73" w14:textId="77777777" w:rsidR="008112BD" w:rsidRDefault="008112BD" w:rsidP="008112BD">
      <w:pPr>
        <w:pStyle w:val="AH5Sec"/>
      </w:pPr>
      <w:bookmarkStart w:id="907" w:name="_Toc185514523"/>
      <w:r w:rsidRPr="00C8328B">
        <w:rPr>
          <w:rStyle w:val="CharSectNo"/>
        </w:rPr>
        <w:t>2805</w:t>
      </w:r>
      <w:r>
        <w:tab/>
        <w:t>Solicitor removed from roll etc</w:t>
      </w:r>
      <w:bookmarkEnd w:id="907"/>
    </w:p>
    <w:p w14:paraId="6FC832D2" w14:textId="2833C10D" w:rsidR="008112BD" w:rsidRDefault="008112BD" w:rsidP="008112BD">
      <w:pPr>
        <w:pStyle w:val="Amain"/>
      </w:pPr>
      <w:r>
        <w:tab/>
        <w:t>(1)</w:t>
      </w:r>
      <w:r>
        <w:tab/>
        <w:t xml:space="preserve">This rule applies if a solicitor’s name is removed from the local roll under the </w:t>
      </w:r>
      <w:hyperlink r:id="rId251" w:tooltip="A2006-25" w:history="1">
        <w:r w:rsidRPr="00FE0788">
          <w:rPr>
            <w:rStyle w:val="charCitHyperlinkItal"/>
          </w:rPr>
          <w:t>Legal Profession Act 2006</w:t>
        </w:r>
      </w:hyperlink>
      <w:r>
        <w:t xml:space="preserve"> or a solicitor’s local practising certificate under that Act is cancelled or suspended.</w:t>
      </w:r>
    </w:p>
    <w:p w14:paraId="6E528258" w14:textId="65FE5596" w:rsidR="008112BD" w:rsidRDefault="008112BD" w:rsidP="006F56B6">
      <w:pPr>
        <w:pStyle w:val="Amain"/>
        <w:keepLines/>
      </w:pPr>
      <w:r>
        <w:tab/>
        <w:t>(2)</w:t>
      </w:r>
      <w:r>
        <w:tab/>
        <w:t xml:space="preserve">If a receiver is appointed under the </w:t>
      </w:r>
      <w:hyperlink r:id="rId252"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6E5F6513" w14:textId="77777777" w:rsidR="008112BD" w:rsidRDefault="008112BD" w:rsidP="008112BD">
      <w:pPr>
        <w:pStyle w:val="Amain"/>
      </w:pPr>
      <w:r>
        <w:tab/>
        <w:t>(3)</w:t>
      </w:r>
      <w:r>
        <w:tab/>
        <w:t>If a receiver is not appointed, rule 2808 (Effect of removal of, or leave to withdraw as, solicitor) applies with necessary changes.</w:t>
      </w:r>
    </w:p>
    <w:p w14:paraId="008D02FE" w14:textId="77777777" w:rsidR="00F625FB" w:rsidRPr="00E31D57" w:rsidRDefault="00F625FB" w:rsidP="00C727A7">
      <w:pPr>
        <w:pStyle w:val="AH5Sec"/>
      </w:pPr>
      <w:bookmarkStart w:id="908" w:name="_Toc185514524"/>
      <w:r w:rsidRPr="00C727A7">
        <w:rPr>
          <w:rStyle w:val="CharSectNo"/>
        </w:rPr>
        <w:lastRenderedPageBreak/>
        <w:t>2806</w:t>
      </w:r>
      <w:r w:rsidRPr="00E31D57">
        <w:tab/>
        <w:t>Withdrawal as solicitor</w:t>
      </w:r>
      <w:bookmarkEnd w:id="908"/>
    </w:p>
    <w:p w14:paraId="3CB88B03" w14:textId="77777777" w:rsidR="00F625FB" w:rsidRPr="00E31D57" w:rsidRDefault="00F625FB" w:rsidP="00C727A7">
      <w:pPr>
        <w:pStyle w:val="Amain"/>
      </w:pPr>
      <w:r w:rsidRPr="00E31D57">
        <w:tab/>
        <w:t>(1)</w:t>
      </w:r>
      <w:r w:rsidRPr="00E31D57">
        <w:tab/>
        <w:t>A solicitor may withdraw from the record as solicitor for a client in a proceeding if the solicitor, in accordance with this rule—</w:t>
      </w:r>
    </w:p>
    <w:p w14:paraId="0EB9C989" w14:textId="77777777" w:rsidR="00F625FB" w:rsidRPr="00E31D57" w:rsidRDefault="00F625FB" w:rsidP="00C727A7">
      <w:pPr>
        <w:pStyle w:val="Apara"/>
      </w:pPr>
      <w:r w:rsidRPr="00E31D57">
        <w:tab/>
        <w:t>(a)</w:t>
      </w:r>
      <w:r w:rsidRPr="00E31D57">
        <w:tab/>
        <w:t>serves a notice of intention to withdraw on the client; and</w:t>
      </w:r>
    </w:p>
    <w:p w14:paraId="08754ABD" w14:textId="77777777" w:rsidR="00F625FB" w:rsidRPr="00E31D57" w:rsidRDefault="00F625FB" w:rsidP="00C727A7">
      <w:pPr>
        <w:pStyle w:val="Apara"/>
      </w:pPr>
      <w:r w:rsidRPr="00E31D57">
        <w:tab/>
        <w:t>(b)</w:t>
      </w:r>
      <w:r w:rsidRPr="00E31D57">
        <w:tab/>
        <w:t>files a notice of ceasing to act in the court.</w:t>
      </w:r>
    </w:p>
    <w:p w14:paraId="16C0F075" w14:textId="77777777" w:rsidR="00F625FB" w:rsidRPr="00E31D57" w:rsidRDefault="00F625FB" w:rsidP="00F625FB">
      <w:pPr>
        <w:pStyle w:val="aNote"/>
      </w:pPr>
      <w:r w:rsidRPr="00E31D57">
        <w:rPr>
          <w:rStyle w:val="charItals"/>
        </w:rPr>
        <w:t>Note</w:t>
      </w:r>
      <w:r w:rsidRPr="00E31D57">
        <w:rPr>
          <w:rStyle w:val="charItals"/>
        </w:rPr>
        <w:tab/>
      </w:r>
      <w:r w:rsidRPr="00E31D57">
        <w:t>See—</w:t>
      </w:r>
    </w:p>
    <w:p w14:paraId="02D56A09" w14:textId="7E6D9AC8"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2.76 (Notice of intention to withdraw)</w:t>
      </w:r>
      <w:r w:rsidR="00CF0286">
        <w:t xml:space="preserve"> </w:t>
      </w:r>
      <w:hyperlink r:id="rId253" w:tooltip="AF2021-22" w:history="1">
        <w:r w:rsidR="00CF0286">
          <w:rPr>
            <w:rStyle w:val="charCitHyperlinkAbbrev"/>
          </w:rPr>
          <w:t>AF2021</w:t>
        </w:r>
        <w:r w:rsidR="00CF0286">
          <w:rPr>
            <w:rStyle w:val="charCitHyperlinkAbbrev"/>
          </w:rPr>
          <w:noBreakHyphen/>
          <w:t>22</w:t>
        </w:r>
      </w:hyperlink>
      <w:r w:rsidRPr="00E31D57">
        <w:t>.</w:t>
      </w:r>
    </w:p>
    <w:p w14:paraId="50519138" w14:textId="70458110"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2.77 (Notice of ceasing to act)</w:t>
      </w:r>
      <w:r w:rsidR="00CF0286">
        <w:t xml:space="preserve"> </w:t>
      </w:r>
      <w:hyperlink r:id="rId254" w:tooltip="AF2021-19" w:history="1">
        <w:r w:rsidR="00CF0286">
          <w:rPr>
            <w:rStyle w:val="charCitHyperlinkAbbrev"/>
          </w:rPr>
          <w:t>AF2021</w:t>
        </w:r>
        <w:r w:rsidR="00CF0286">
          <w:rPr>
            <w:rStyle w:val="charCitHyperlinkAbbrev"/>
          </w:rPr>
          <w:noBreakHyphen/>
          <w:t>19</w:t>
        </w:r>
      </w:hyperlink>
      <w:r w:rsidRPr="00E31D57">
        <w:t>.</w:t>
      </w:r>
    </w:p>
    <w:p w14:paraId="643CE2CB" w14:textId="77777777" w:rsidR="00F625FB" w:rsidRPr="00E31D57" w:rsidRDefault="00F625FB" w:rsidP="00C727A7">
      <w:pPr>
        <w:pStyle w:val="Amain"/>
      </w:pPr>
      <w:r w:rsidRPr="00E31D57">
        <w:tab/>
        <w:t>(2)</w:t>
      </w:r>
      <w:r w:rsidRPr="00E31D57">
        <w:tab/>
        <w:t>Except with leave of the court—</w:t>
      </w:r>
    </w:p>
    <w:p w14:paraId="0ED5613D" w14:textId="01B85B33" w:rsidR="00F625FB" w:rsidRPr="00E31D57" w:rsidRDefault="00F625FB" w:rsidP="00C727A7">
      <w:pPr>
        <w:pStyle w:val="Apara"/>
      </w:pPr>
      <w:r w:rsidRPr="00E31D57">
        <w:tab/>
        <w:t>(a)</w:t>
      </w:r>
      <w:r w:rsidRPr="00E31D57">
        <w:tab/>
        <w:t xml:space="preserve">a notice of intention to withdraw must not be served less than 28 days before </w:t>
      </w:r>
      <w:r w:rsidR="00334F73" w:rsidRPr="00F13970">
        <w:t>the date for the hearing of the originating process</w:t>
      </w:r>
      <w:r w:rsidRPr="00E31D57">
        <w:t>; and</w:t>
      </w:r>
    </w:p>
    <w:p w14:paraId="2B000C52" w14:textId="77777777" w:rsidR="00F625FB" w:rsidRPr="00E31D57" w:rsidRDefault="00F625FB" w:rsidP="00C727A7">
      <w:pPr>
        <w:pStyle w:val="Apara"/>
      </w:pPr>
      <w:r w:rsidRPr="00E31D57">
        <w:tab/>
        <w:t>(b)</w:t>
      </w:r>
      <w:r w:rsidRPr="00E31D57">
        <w:tab/>
        <w:t>a notice of ceasing to act must not be filed less than 7 days after the notice of intention to withdraw has been served.</w:t>
      </w:r>
    </w:p>
    <w:p w14:paraId="3BE5713E" w14:textId="77777777" w:rsidR="00F625FB" w:rsidRPr="00E31D57" w:rsidRDefault="00F625FB" w:rsidP="00F625FB">
      <w:pPr>
        <w:pStyle w:val="aNotepar"/>
      </w:pPr>
      <w:r w:rsidRPr="00E31D57">
        <w:rPr>
          <w:rStyle w:val="charItals"/>
        </w:rPr>
        <w:t>Note</w:t>
      </w:r>
      <w:r w:rsidRPr="00E31D57">
        <w:rPr>
          <w:rStyle w:val="charItals"/>
        </w:rPr>
        <w:tab/>
      </w:r>
      <w:r w:rsidRPr="00E31D57">
        <w:t>Pt 6.2 (Applications in proceedings) applies to an application for leave.</w:t>
      </w:r>
    </w:p>
    <w:p w14:paraId="6C362DFD" w14:textId="77777777" w:rsidR="00F625FB" w:rsidRPr="00E31D57" w:rsidRDefault="00F625FB" w:rsidP="00C727A7">
      <w:pPr>
        <w:pStyle w:val="Amain"/>
      </w:pPr>
      <w:r w:rsidRPr="00E31D57">
        <w:tab/>
        <w:t>(3)</w:t>
      </w:r>
      <w:r w:rsidRPr="00E31D57">
        <w:tab/>
        <w:t>Leave may be granted under subrule (2) if the court considers it appropriate in the circumstances.</w:t>
      </w:r>
    </w:p>
    <w:p w14:paraId="758F3446" w14:textId="77777777" w:rsidR="00F625FB" w:rsidRPr="00E31D57" w:rsidRDefault="00F625FB" w:rsidP="00C727A7">
      <w:pPr>
        <w:pStyle w:val="Amain"/>
      </w:pPr>
      <w:r w:rsidRPr="00E31D57">
        <w:tab/>
        <w:t>(4)</w:t>
      </w:r>
      <w:r w:rsidRPr="00E31D57">
        <w:tab/>
        <w:t>A notice of intention to withdraw must—</w:t>
      </w:r>
    </w:p>
    <w:p w14:paraId="11D55AE4" w14:textId="77777777" w:rsidR="00F625FB" w:rsidRPr="00E31D57" w:rsidRDefault="00F625FB" w:rsidP="00C727A7">
      <w:pPr>
        <w:pStyle w:val="Apara"/>
      </w:pPr>
      <w:r w:rsidRPr="00E31D57">
        <w:tab/>
        <w:t>(a)</w:t>
      </w:r>
      <w:r w:rsidRPr="00E31D57">
        <w:tab/>
        <w:t>state that the solicitor will cease to act for the client not less than 7 days after the notice is served on the client; and</w:t>
      </w:r>
    </w:p>
    <w:p w14:paraId="410CA13D" w14:textId="77777777" w:rsidR="00F625FB" w:rsidRPr="00E31D57" w:rsidRDefault="00F625FB" w:rsidP="00C727A7">
      <w:pPr>
        <w:pStyle w:val="Apara"/>
      </w:pPr>
      <w:r w:rsidRPr="00E31D57">
        <w:tab/>
        <w:t>(b)</w:t>
      </w:r>
      <w:r w:rsidRPr="00E31D57">
        <w:tab/>
        <w:t>ask the client to file and serve on each other active party to the proceeding—</w:t>
      </w:r>
    </w:p>
    <w:p w14:paraId="1C9274C8" w14:textId="77777777" w:rsidR="00F625FB" w:rsidRPr="00E31D57" w:rsidRDefault="00F625FB" w:rsidP="00C727A7">
      <w:pPr>
        <w:pStyle w:val="Asubpara"/>
      </w:pPr>
      <w:r w:rsidRPr="00E31D57">
        <w:tab/>
        <w:t>(i)</w:t>
      </w:r>
      <w:r w:rsidRPr="00E31D57">
        <w:tab/>
        <w:t>a notice appointing another solicitor; or</w:t>
      </w:r>
    </w:p>
    <w:p w14:paraId="3996EB68" w14:textId="77777777" w:rsidR="00F625FB" w:rsidRPr="00E31D57" w:rsidRDefault="00F625FB" w:rsidP="000E2641">
      <w:pPr>
        <w:pStyle w:val="Asubpara"/>
        <w:keepNext/>
      </w:pPr>
      <w:r w:rsidRPr="00E31D57">
        <w:lastRenderedPageBreak/>
        <w:tab/>
        <w:t>(ii)</w:t>
      </w:r>
      <w:r w:rsidRPr="00E31D57">
        <w:tab/>
        <w:t>a notice of acting in person.</w:t>
      </w:r>
    </w:p>
    <w:p w14:paraId="6DD1CAF2" w14:textId="77777777" w:rsidR="00F625FB" w:rsidRPr="00E31D57" w:rsidRDefault="00F625FB" w:rsidP="000E2641">
      <w:pPr>
        <w:pStyle w:val="aNote"/>
        <w:keepNext/>
      </w:pPr>
      <w:r w:rsidRPr="00E31D57">
        <w:rPr>
          <w:rStyle w:val="charItals"/>
        </w:rPr>
        <w:t>Note</w:t>
      </w:r>
      <w:r w:rsidRPr="00E31D57">
        <w:rPr>
          <w:rStyle w:val="charItals"/>
        </w:rPr>
        <w:tab/>
      </w:r>
      <w:r w:rsidRPr="00E31D57">
        <w:t>See—</w:t>
      </w:r>
    </w:p>
    <w:p w14:paraId="2463A1C6" w14:textId="6AECCC6A" w:rsidR="00F625FB" w:rsidRPr="00E31D57" w:rsidRDefault="00F625FB" w:rsidP="000E2641">
      <w:pPr>
        <w:pStyle w:val="aNoteBulletss"/>
        <w:keepNext/>
        <w:tabs>
          <w:tab w:val="left" w:pos="2300"/>
        </w:tabs>
      </w:pPr>
      <w:r w:rsidRPr="00E31D57">
        <w:rPr>
          <w:rFonts w:ascii="Symbol" w:hAnsi="Symbol"/>
        </w:rPr>
        <w:t></w:t>
      </w:r>
      <w:r w:rsidRPr="00E31D57">
        <w:rPr>
          <w:rFonts w:ascii="Symbol" w:hAnsi="Symbol"/>
        </w:rPr>
        <w:tab/>
      </w:r>
      <w:r w:rsidRPr="00E31D57">
        <w:t xml:space="preserve">approved form 2.74 (Notice that party acting in person) </w:t>
      </w:r>
      <w:hyperlink r:id="rId255" w:tooltip="AF2006-319" w:history="1">
        <w:r w:rsidRPr="001A65C2">
          <w:rPr>
            <w:rStyle w:val="charCitHyperlinkAbbrev"/>
          </w:rPr>
          <w:t>AF2006</w:t>
        </w:r>
        <w:r w:rsidRPr="001A65C2">
          <w:rPr>
            <w:rStyle w:val="charCitHyperlinkAbbrev"/>
          </w:rPr>
          <w:noBreakHyphen/>
          <w:t>319</w:t>
        </w:r>
      </w:hyperlink>
      <w:r w:rsidRPr="00E31D57">
        <w:t>.</w:t>
      </w:r>
    </w:p>
    <w:p w14:paraId="1D41E626" w14:textId="33A43886"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 xml:space="preserve">approved form 2.75 (Notice of change of solicitor) </w:t>
      </w:r>
      <w:hyperlink r:id="rId256" w:tooltip="AF2006-320" w:history="1">
        <w:r w:rsidRPr="001A65C2">
          <w:rPr>
            <w:rStyle w:val="charCitHyperlinkAbbrev"/>
          </w:rPr>
          <w:t>AF2006</w:t>
        </w:r>
        <w:r w:rsidRPr="001A65C2">
          <w:rPr>
            <w:rStyle w:val="charCitHyperlinkAbbrev"/>
          </w:rPr>
          <w:noBreakHyphen/>
          <w:t>320</w:t>
        </w:r>
      </w:hyperlink>
      <w:r w:rsidRPr="00E31D57">
        <w:t>.</w:t>
      </w:r>
    </w:p>
    <w:p w14:paraId="042702A5" w14:textId="77777777" w:rsidR="00F625FB" w:rsidRPr="00E31D57" w:rsidRDefault="00F625FB" w:rsidP="00C727A7">
      <w:pPr>
        <w:pStyle w:val="Amain"/>
      </w:pPr>
      <w:r w:rsidRPr="00E31D57">
        <w:tab/>
        <w:t>(5)</w:t>
      </w:r>
      <w:r w:rsidRPr="00E31D57">
        <w:tab/>
        <w:t>A notice of ceasing to act must—</w:t>
      </w:r>
    </w:p>
    <w:p w14:paraId="679D2850" w14:textId="77777777" w:rsidR="00F625FB" w:rsidRPr="00E31D57" w:rsidRDefault="00F625FB" w:rsidP="00C727A7">
      <w:pPr>
        <w:pStyle w:val="Apara"/>
      </w:pPr>
      <w:r w:rsidRPr="00E31D57">
        <w:tab/>
        <w:t>(a)</w:t>
      </w:r>
      <w:r w:rsidRPr="00E31D57">
        <w:tab/>
        <w:t>state that the solicitor has ceased to act for the client; and</w:t>
      </w:r>
    </w:p>
    <w:p w14:paraId="132083FE" w14:textId="77777777" w:rsidR="00F625FB" w:rsidRPr="00E31D57" w:rsidRDefault="00F625FB" w:rsidP="00C727A7">
      <w:pPr>
        <w:pStyle w:val="Apara"/>
      </w:pPr>
      <w:r w:rsidRPr="00E31D57">
        <w:tab/>
        <w:t>(b)</w:t>
      </w:r>
      <w:r w:rsidRPr="00E31D57">
        <w:tab/>
        <w:t>state—</w:t>
      </w:r>
    </w:p>
    <w:p w14:paraId="61747592" w14:textId="77777777" w:rsidR="00F625FB" w:rsidRPr="00E31D57" w:rsidRDefault="00F625FB" w:rsidP="00C727A7">
      <w:pPr>
        <w:pStyle w:val="Asubpara"/>
      </w:pPr>
      <w:r w:rsidRPr="00E31D57">
        <w:tab/>
        <w:t>(i)</w:t>
      </w:r>
      <w:r w:rsidRPr="00E31D57">
        <w:tab/>
        <w:t>the date the notice of intention to withdraw was served on the client; or</w:t>
      </w:r>
    </w:p>
    <w:p w14:paraId="4BCF5B1F" w14:textId="77777777" w:rsidR="00F625FB" w:rsidRPr="00E31D57" w:rsidRDefault="00F625FB" w:rsidP="00C727A7">
      <w:pPr>
        <w:pStyle w:val="Asubpara"/>
      </w:pPr>
      <w:r w:rsidRPr="00E31D57">
        <w:tab/>
        <w:t>(ii)</w:t>
      </w:r>
      <w:r w:rsidRPr="00E31D57">
        <w:tab/>
        <w:t>if the court granted leave under subrule (2)—the date leave was granted.</w:t>
      </w:r>
    </w:p>
    <w:p w14:paraId="6CE7A27B" w14:textId="77777777" w:rsidR="00F625FB" w:rsidRPr="00E31D57" w:rsidRDefault="00F625FB" w:rsidP="00C727A7">
      <w:pPr>
        <w:pStyle w:val="Amain"/>
      </w:pPr>
      <w:r w:rsidRPr="00E31D57">
        <w:tab/>
        <w:t>(6)</w:t>
      </w:r>
      <w:r w:rsidRPr="00E31D57">
        <w:tab/>
        <w:t>A notice of ceasing to act must be filed in the court and a sealed copy of the notice served on all active parties in the proceeding, including the solicitor’s client.</w:t>
      </w:r>
    </w:p>
    <w:p w14:paraId="0D5129F2" w14:textId="77777777" w:rsidR="00F625FB" w:rsidRPr="00E31D57" w:rsidRDefault="00F625FB" w:rsidP="00C727A7">
      <w:pPr>
        <w:pStyle w:val="Amain"/>
      </w:pPr>
      <w:r w:rsidRPr="00E31D57">
        <w:tab/>
        <w:t>(7)</w:t>
      </w:r>
      <w:r w:rsidRPr="00E31D57">
        <w:tab/>
        <w:t>The solicitor’s withdrawal does not take effect until the solicitor has complied with subrule (6).</w:t>
      </w:r>
    </w:p>
    <w:p w14:paraId="7DC2D3B2" w14:textId="77777777" w:rsidR="00F625FB" w:rsidRPr="00E31D57" w:rsidRDefault="00F625FB" w:rsidP="00C727A7">
      <w:pPr>
        <w:pStyle w:val="Amain"/>
      </w:pPr>
      <w:r w:rsidRPr="00E31D57">
        <w:tab/>
        <w:t>(8)</w:t>
      </w:r>
      <w:r w:rsidRPr="00E31D57">
        <w:tab/>
        <w:t>Part 6.8 (Service) applies to service of a notice on the solicitor’s client under this rule as if a reference to an address for service were a reference to the address of the party last known to the solicitor.</w:t>
      </w:r>
    </w:p>
    <w:p w14:paraId="36404901" w14:textId="77777777" w:rsidR="00F625FB" w:rsidRPr="00E31D57" w:rsidRDefault="00F625FB" w:rsidP="00F625FB">
      <w:pPr>
        <w:pStyle w:val="aNote"/>
      </w:pPr>
      <w:r w:rsidRPr="00E31D57">
        <w:rPr>
          <w:rStyle w:val="charItals"/>
        </w:rPr>
        <w:t>Note</w:t>
      </w:r>
      <w:r w:rsidRPr="00E31D57">
        <w:rPr>
          <w:rStyle w:val="charItals"/>
        </w:rPr>
        <w:tab/>
      </w:r>
      <w:r w:rsidRPr="00E31D57">
        <w:t>See in particular r 6420 (Ordinary service—address for service).</w:t>
      </w:r>
    </w:p>
    <w:p w14:paraId="4F3190FC" w14:textId="77777777" w:rsidR="008112BD" w:rsidRDefault="008112BD" w:rsidP="008112BD">
      <w:pPr>
        <w:pStyle w:val="AH5Sec"/>
      </w:pPr>
      <w:bookmarkStart w:id="909" w:name="_Toc185514525"/>
      <w:r w:rsidRPr="00C8328B">
        <w:rPr>
          <w:rStyle w:val="CharSectNo"/>
        </w:rPr>
        <w:t>2807</w:t>
      </w:r>
      <w:r>
        <w:tab/>
        <w:t>Leave to withdraw as solicitor</w:t>
      </w:r>
      <w:bookmarkEnd w:id="909"/>
    </w:p>
    <w:p w14:paraId="108CA8D3" w14:textId="77777777" w:rsidR="00F625FB" w:rsidRPr="00E31D57" w:rsidRDefault="00F625FB" w:rsidP="00C727A7">
      <w:pPr>
        <w:pStyle w:val="Amain"/>
      </w:pPr>
      <w:r w:rsidRPr="00E31D57">
        <w:tab/>
        <w:t>(1)</w:t>
      </w:r>
      <w:r w:rsidRPr="00E31D57">
        <w:tab/>
        <w:t>Despite rule 6008 (1), an application for leave under rule 2806 need only be served on the solicitor’s client.</w:t>
      </w:r>
    </w:p>
    <w:p w14:paraId="3C2D7584" w14:textId="45B2D4B6" w:rsidR="008112BD" w:rsidRDefault="008112BD" w:rsidP="008112BD">
      <w:pPr>
        <w:pStyle w:val="Amain"/>
      </w:pPr>
      <w:r>
        <w:tab/>
        <w:t>(</w:t>
      </w:r>
      <w:r w:rsidR="0036738F">
        <w:t>2</w:t>
      </w:r>
      <w:r>
        <w:t>)</w:t>
      </w:r>
      <w:r>
        <w:tab/>
        <w:t>On the withdrawal of the solicitor’s name from the record</w:t>
      </w:r>
      <w:r w:rsidR="00F625FB">
        <w:t xml:space="preserve"> </w:t>
      </w:r>
      <w:r w:rsidR="00F625FB" w:rsidRPr="00E31D57">
        <w:t>under rule</w:t>
      </w:r>
      <w:r w:rsidR="00F625FB">
        <w:t> </w:t>
      </w:r>
      <w:r w:rsidR="00F625FB" w:rsidRPr="00E31D57">
        <w:t>2806</w:t>
      </w:r>
      <w:r>
        <w:t>, the party must—</w:t>
      </w:r>
    </w:p>
    <w:p w14:paraId="37022651" w14:textId="77777777" w:rsidR="008112BD" w:rsidRDefault="008112BD" w:rsidP="008112BD">
      <w:pPr>
        <w:pStyle w:val="Apara"/>
      </w:pPr>
      <w:r>
        <w:tab/>
        <w:t>(a)</w:t>
      </w:r>
      <w:r>
        <w:tab/>
        <w:t>appoint another solicitor; or</w:t>
      </w:r>
    </w:p>
    <w:p w14:paraId="6884B156" w14:textId="6DE4300C" w:rsidR="008112BD" w:rsidRDefault="008112BD" w:rsidP="008112BD">
      <w:pPr>
        <w:pStyle w:val="Apara"/>
        <w:keepNext/>
      </w:pPr>
      <w:r>
        <w:lastRenderedPageBreak/>
        <w:tab/>
        <w:t>(b)</w:t>
      </w:r>
      <w:r>
        <w:tab/>
        <w:t>comply with subrule (</w:t>
      </w:r>
      <w:r w:rsidR="0036738F">
        <w:t>3</w:t>
      </w:r>
      <w:r>
        <w:t>).</w:t>
      </w:r>
    </w:p>
    <w:p w14:paraId="45942E1F" w14:textId="6AC74D15" w:rsidR="008112BD" w:rsidRDefault="008112BD" w:rsidP="008112BD">
      <w:pPr>
        <w:pStyle w:val="aNote"/>
      </w:pPr>
      <w:r w:rsidRPr="00FE0788">
        <w:rPr>
          <w:rStyle w:val="charItals"/>
        </w:rPr>
        <w:t>Note</w:t>
      </w:r>
      <w:r>
        <w:tab/>
        <w:t xml:space="preserve">See approved form 2.75 (Notice of change of solicitor) </w:t>
      </w:r>
      <w:hyperlink r:id="rId257" w:history="1">
        <w:r w:rsidRPr="00353CE7">
          <w:rPr>
            <w:rStyle w:val="charCitHyperlinkAbbrev"/>
          </w:rPr>
          <w:t>AF2006-320</w:t>
        </w:r>
      </w:hyperlink>
      <w:r>
        <w:t>.</w:t>
      </w:r>
    </w:p>
    <w:p w14:paraId="60BA3B18" w14:textId="5BC962F7" w:rsidR="008112BD" w:rsidRDefault="008112BD" w:rsidP="008112BD">
      <w:pPr>
        <w:pStyle w:val="Amain"/>
        <w:keepNext/>
      </w:pPr>
      <w:r>
        <w:tab/>
        <w:t>(</w:t>
      </w:r>
      <w:r w:rsidR="0036738F">
        <w:t>3</w:t>
      </w:r>
      <w:r>
        <w:t>)</w:t>
      </w:r>
      <w:r>
        <w:tab/>
        <w:t>To comply with this subrule, the party must—</w:t>
      </w:r>
    </w:p>
    <w:p w14:paraId="6379EDC5" w14:textId="77777777" w:rsidR="008112BD" w:rsidRDefault="008112BD" w:rsidP="008112BD">
      <w:pPr>
        <w:pStyle w:val="Apara"/>
      </w:pPr>
      <w:r>
        <w:tab/>
        <w:t>(a)</w:t>
      </w:r>
      <w:r>
        <w:tab/>
        <w:t>file a notice that the party is acting in person; and</w:t>
      </w:r>
    </w:p>
    <w:p w14:paraId="57A3878A" w14:textId="77777777" w:rsidR="008112BD" w:rsidRDefault="008112BD" w:rsidP="008112BD">
      <w:pPr>
        <w:pStyle w:val="Apara"/>
        <w:keepNext/>
      </w:pPr>
      <w:r>
        <w:tab/>
        <w:t>(b)</w:t>
      </w:r>
      <w:r>
        <w:tab/>
        <w:t>serve a stamped copy of the notice on all other active parties.</w:t>
      </w:r>
    </w:p>
    <w:p w14:paraId="3793A555" w14:textId="3E78B59E" w:rsidR="008112BD" w:rsidRDefault="008112BD" w:rsidP="008112BD">
      <w:pPr>
        <w:pStyle w:val="aNote"/>
      </w:pPr>
      <w:r w:rsidRPr="00FE0788">
        <w:rPr>
          <w:rStyle w:val="charItals"/>
        </w:rPr>
        <w:t>Note</w:t>
      </w:r>
      <w:r>
        <w:tab/>
        <w:t xml:space="preserve">See approved form 2.74 (Notice that party acting in person) </w:t>
      </w:r>
      <w:hyperlink r:id="rId258" w:history="1">
        <w:r w:rsidRPr="00353CE7">
          <w:rPr>
            <w:rStyle w:val="charCitHyperlinkAbbrev"/>
          </w:rPr>
          <w:t>AF2006</w:t>
        </w:r>
        <w:r w:rsidRPr="00353CE7">
          <w:rPr>
            <w:rStyle w:val="charCitHyperlinkAbbrev"/>
          </w:rPr>
          <w:noBreakHyphen/>
          <w:t>319</w:t>
        </w:r>
      </w:hyperlink>
      <w:r>
        <w:t>.</w:t>
      </w:r>
    </w:p>
    <w:p w14:paraId="363A6C72" w14:textId="4054E466" w:rsidR="008112BD" w:rsidRDefault="008112BD" w:rsidP="008112BD">
      <w:pPr>
        <w:pStyle w:val="Amain"/>
        <w:keepNext/>
      </w:pPr>
      <w:r>
        <w:tab/>
        <w:t>(</w:t>
      </w:r>
      <w:r w:rsidR="0036738F">
        <w:t>4</w:t>
      </w:r>
      <w:r>
        <w:t>)</w:t>
      </w:r>
      <w:r>
        <w:tab/>
        <w:t>The notice must state the party’s address for service.</w:t>
      </w:r>
    </w:p>
    <w:p w14:paraId="7A5F1E96"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2E256425" w14:textId="77777777" w:rsidR="008112BD" w:rsidRDefault="008112BD" w:rsidP="008112BD">
      <w:pPr>
        <w:pStyle w:val="AH5Sec"/>
      </w:pPr>
      <w:bookmarkStart w:id="910" w:name="_Toc185514526"/>
      <w:r w:rsidRPr="00C8328B">
        <w:rPr>
          <w:rStyle w:val="CharSectNo"/>
        </w:rPr>
        <w:t>2808</w:t>
      </w:r>
      <w:r>
        <w:tab/>
        <w:t>Effect of removal of, or leave to withdraw as, solicitor</w:t>
      </w:r>
      <w:bookmarkEnd w:id="910"/>
    </w:p>
    <w:p w14:paraId="6B7F9876" w14:textId="08214064" w:rsidR="008112BD" w:rsidRDefault="008112BD" w:rsidP="008112BD">
      <w:pPr>
        <w:pStyle w:val="Amain"/>
        <w:keepLines/>
      </w:pPr>
      <w:r>
        <w:tab/>
        <w:t>(1)</w:t>
      </w:r>
      <w:r>
        <w:tab/>
        <w:t xml:space="preserve">This rule applies if a solicitor for a client who is a party to a proceeding is removed from the record under rule 2804 (Removal of solicitor by court) or withdraws from the record under </w:t>
      </w:r>
      <w:r w:rsidR="00F625FB" w:rsidRPr="00E31D57">
        <w:t>rule</w:t>
      </w:r>
      <w:r w:rsidR="00001CA7">
        <w:t> </w:t>
      </w:r>
      <w:r w:rsidR="00F625FB" w:rsidRPr="00E31D57">
        <w:t>2806 (Withdrawal as solicitor)</w:t>
      </w:r>
      <w:r>
        <w:t>.</w:t>
      </w:r>
    </w:p>
    <w:p w14:paraId="1908C97A" w14:textId="77777777" w:rsidR="008112BD" w:rsidRDefault="008112BD" w:rsidP="008112BD">
      <w:pPr>
        <w:pStyle w:val="Amain"/>
        <w:keepNext/>
      </w:pPr>
      <w:r>
        <w:tab/>
        <w:t>(2)</w:t>
      </w:r>
      <w:r>
        <w:tab/>
        <w:t>The client’s home or business address becomes the address for service until—</w:t>
      </w:r>
    </w:p>
    <w:p w14:paraId="0126024C" w14:textId="77777777" w:rsidR="008112BD" w:rsidRDefault="008112BD" w:rsidP="008112BD">
      <w:pPr>
        <w:pStyle w:val="Apara"/>
        <w:keepNext/>
      </w:pPr>
      <w:r>
        <w:tab/>
        <w:t>(a)</w:t>
      </w:r>
      <w:r>
        <w:tab/>
        <w:t>another solicitor is appointed; or</w:t>
      </w:r>
    </w:p>
    <w:p w14:paraId="2A32E132" w14:textId="77777777" w:rsidR="008112BD" w:rsidRDefault="008112BD" w:rsidP="008112BD">
      <w:pPr>
        <w:pStyle w:val="Apara"/>
      </w:pPr>
      <w:r>
        <w:tab/>
        <w:t>(b)</w:t>
      </w:r>
      <w:r>
        <w:tab/>
        <w:t>the client notifies another address for service in accordance with these rules.</w:t>
      </w:r>
    </w:p>
    <w:p w14:paraId="7CF60EDB" w14:textId="77777777"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14:paraId="06A4EF25" w14:textId="77777777" w:rsidR="008112BD" w:rsidRDefault="008112BD" w:rsidP="008112BD">
      <w:pPr>
        <w:pStyle w:val="AH5Sec"/>
      </w:pPr>
      <w:bookmarkStart w:id="911" w:name="_Toc185514527"/>
      <w:r w:rsidRPr="00C8328B">
        <w:rPr>
          <w:rStyle w:val="CharSectNo"/>
        </w:rPr>
        <w:lastRenderedPageBreak/>
        <w:t>2809</w:t>
      </w:r>
      <w:r>
        <w:tab/>
        <w:t>Withdrawal of solicitor’s agent</w:t>
      </w:r>
      <w:bookmarkEnd w:id="911"/>
    </w:p>
    <w:p w14:paraId="007718D1" w14:textId="77777777" w:rsidR="008112BD" w:rsidRDefault="008112BD" w:rsidP="000E2641">
      <w:pPr>
        <w:pStyle w:val="Amain"/>
        <w:keepNext/>
      </w:pPr>
      <w:r>
        <w:tab/>
        <w:t>(1)</w:t>
      </w:r>
      <w:r>
        <w:tab/>
        <w:t>An agent solicitor of a principal solicitor in a proceeding in the court may withdraw from the record.</w:t>
      </w:r>
    </w:p>
    <w:p w14:paraId="73FFAA24" w14:textId="77777777" w:rsidR="008112BD" w:rsidRDefault="008112BD" w:rsidP="000E2641">
      <w:pPr>
        <w:pStyle w:val="Amain"/>
        <w:keepNext/>
      </w:pPr>
      <w:r>
        <w:tab/>
        <w:t>(2)</w:t>
      </w:r>
      <w:r>
        <w:tab/>
        <w:t>However, the agent solicitor must not withdraw from the record unless the agent has—</w:t>
      </w:r>
    </w:p>
    <w:p w14:paraId="322F2B54" w14:textId="77777777" w:rsidR="008112BD" w:rsidRDefault="008112BD" w:rsidP="008112BD">
      <w:pPr>
        <w:pStyle w:val="Apara"/>
      </w:pPr>
      <w:r>
        <w:tab/>
        <w:t>(a)</w:t>
      </w:r>
      <w:r>
        <w:tab/>
        <w:t>at least 7 days before the day the agent intends to withdraw as agent, given notice of the agent’s intention to the principal solicitor; or</w:t>
      </w:r>
    </w:p>
    <w:p w14:paraId="569E0B75" w14:textId="77777777" w:rsidR="008112BD" w:rsidRDefault="008112BD" w:rsidP="008112BD">
      <w:pPr>
        <w:pStyle w:val="Apara"/>
        <w:keepNext/>
      </w:pPr>
      <w:r>
        <w:tab/>
        <w:t>(b)</w:t>
      </w:r>
      <w:r>
        <w:tab/>
        <w:t>obtained the court’s leave to withdraw without giving notice under paragraph (a).</w:t>
      </w:r>
    </w:p>
    <w:p w14:paraId="082A6E7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14:paraId="5EDC4802" w14:textId="77777777" w:rsidR="008112BD" w:rsidRDefault="008112BD" w:rsidP="008112BD">
      <w:pPr>
        <w:pStyle w:val="Amain"/>
      </w:pPr>
      <w:r>
        <w:tab/>
        <w:t>(3)</w:t>
      </w:r>
      <w:r>
        <w:tab/>
        <w:t>The application for leave to withdraw need not be served.</w:t>
      </w:r>
    </w:p>
    <w:p w14:paraId="43C355D5" w14:textId="77777777" w:rsidR="008112BD" w:rsidRDefault="008112BD" w:rsidP="008112BD">
      <w:pPr>
        <w:pStyle w:val="Amain"/>
      </w:pPr>
      <w:r>
        <w:tab/>
        <w:t>(4)</w:t>
      </w:r>
      <w:r>
        <w:tab/>
        <w:t>On application for leave to withdraw, the court may give the solicitor leave to withdraw from the record without giving notice under subrule (2) (a).</w:t>
      </w:r>
    </w:p>
    <w:p w14:paraId="37C0B5CE" w14:textId="77777777" w:rsidR="008112BD" w:rsidRDefault="008112BD" w:rsidP="008112BD">
      <w:pPr>
        <w:pStyle w:val="Amain"/>
      </w:pPr>
      <w:r>
        <w:tab/>
        <w:t>(5)</w:t>
      </w:r>
      <w:r>
        <w:tab/>
        <w:t>On withdrawing from the record, the agent solicitor must—</w:t>
      </w:r>
    </w:p>
    <w:p w14:paraId="770B691D" w14:textId="77777777" w:rsidR="008112BD" w:rsidRDefault="008112BD" w:rsidP="008112BD">
      <w:pPr>
        <w:pStyle w:val="Apara"/>
      </w:pPr>
      <w:r>
        <w:tab/>
        <w:t>(a)</w:t>
      </w:r>
      <w:r>
        <w:tab/>
        <w:t>file a notice of withdrawal of agent; and</w:t>
      </w:r>
    </w:p>
    <w:p w14:paraId="0BCC701B" w14:textId="77777777" w:rsidR="008112BD" w:rsidRDefault="008112BD" w:rsidP="008112BD">
      <w:pPr>
        <w:pStyle w:val="Apara"/>
        <w:keepNext/>
      </w:pPr>
      <w:r>
        <w:tab/>
        <w:t>(b)</w:t>
      </w:r>
      <w:r>
        <w:tab/>
        <w:t>serve a stamped copy of the notice on all other active parties.</w:t>
      </w:r>
    </w:p>
    <w:p w14:paraId="3CF564F2" w14:textId="18C09E5A" w:rsidR="008112BD" w:rsidRDefault="008112BD" w:rsidP="008112BD">
      <w:pPr>
        <w:pStyle w:val="aNote"/>
      </w:pPr>
      <w:r w:rsidRPr="00FE0788">
        <w:rPr>
          <w:rStyle w:val="charItals"/>
        </w:rPr>
        <w:t>Note</w:t>
      </w:r>
      <w:r>
        <w:tab/>
        <w:t xml:space="preserve">See approved form 2.78 (Notice of withdrawal of solicitor's agent) </w:t>
      </w:r>
      <w:hyperlink r:id="rId259" w:history="1">
        <w:r w:rsidRPr="00353CE7">
          <w:rPr>
            <w:rStyle w:val="charCitHyperlinkAbbrev"/>
          </w:rPr>
          <w:t>AF2006-323</w:t>
        </w:r>
      </w:hyperlink>
      <w:r>
        <w:t>.</w:t>
      </w:r>
    </w:p>
    <w:p w14:paraId="2D2E670A" w14:textId="77777777" w:rsidR="008112BD" w:rsidRDefault="008112BD" w:rsidP="008112BD">
      <w:pPr>
        <w:pStyle w:val="Amain"/>
      </w:pPr>
      <w:r>
        <w:tab/>
        <w:t>(6)</w:t>
      </w:r>
      <w:r>
        <w:tab/>
        <w:t>The agent solicitor’s withdrawal does not take effect until the agent has complied with subrule (5).</w:t>
      </w:r>
    </w:p>
    <w:p w14:paraId="6833BD47" w14:textId="77777777"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14:paraId="23F1340C"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77666F5F" w14:textId="77777777" w:rsidR="008112BD" w:rsidRDefault="008112BD" w:rsidP="008112BD">
      <w:pPr>
        <w:pStyle w:val="AH5Sec"/>
      </w:pPr>
      <w:bookmarkStart w:id="912" w:name="_Toc185514528"/>
      <w:r w:rsidRPr="00C8328B">
        <w:rPr>
          <w:rStyle w:val="CharSectNo"/>
        </w:rPr>
        <w:lastRenderedPageBreak/>
        <w:t>2810</w:t>
      </w:r>
      <w:r>
        <w:tab/>
        <w:t>Solicitor not to act for adverse parties</w:t>
      </w:r>
      <w:bookmarkEnd w:id="912"/>
    </w:p>
    <w:p w14:paraId="2FCB8680" w14:textId="77777777" w:rsidR="008112BD" w:rsidRDefault="008112BD" w:rsidP="008112BD">
      <w:pPr>
        <w:pStyle w:val="Amainreturn"/>
      </w:pPr>
      <w:r>
        <w:t>A solicitor must not act in a proceeding for a plaintiff and a defendant, or for any 2 or more parties having adverse interests in the proceeding.</w:t>
      </w:r>
    </w:p>
    <w:p w14:paraId="2DF3A110" w14:textId="77777777" w:rsidR="008112BD" w:rsidRDefault="008112BD" w:rsidP="008112BD">
      <w:pPr>
        <w:pStyle w:val="PageBreak"/>
      </w:pPr>
      <w:r>
        <w:br w:type="page"/>
      </w:r>
    </w:p>
    <w:p w14:paraId="76769E01" w14:textId="77777777" w:rsidR="008112BD" w:rsidRPr="00C8328B" w:rsidRDefault="008112BD" w:rsidP="008112BD">
      <w:pPr>
        <w:pStyle w:val="AH2Part"/>
      </w:pPr>
      <w:bookmarkStart w:id="913" w:name="_Toc185514529"/>
      <w:r w:rsidRPr="00C8328B">
        <w:rPr>
          <w:rStyle w:val="CharPartNo"/>
        </w:rPr>
        <w:lastRenderedPageBreak/>
        <w:t>Part 2.22</w:t>
      </w:r>
      <w:r>
        <w:tab/>
      </w:r>
      <w:r w:rsidRPr="00C8328B">
        <w:rPr>
          <w:rStyle w:val="CharPartText"/>
        </w:rPr>
        <w:t>Miscellaneous—ch 2</w:t>
      </w:r>
      <w:bookmarkEnd w:id="913"/>
    </w:p>
    <w:p w14:paraId="3F98793C" w14:textId="77777777" w:rsidR="008112BD" w:rsidRDefault="008112BD" w:rsidP="008112BD">
      <w:pPr>
        <w:pStyle w:val="AH5Sec"/>
      </w:pPr>
      <w:bookmarkStart w:id="914" w:name="_Toc185514530"/>
      <w:r w:rsidRPr="00C8328B">
        <w:rPr>
          <w:rStyle w:val="CharSectNo"/>
        </w:rPr>
        <w:t>2900</w:t>
      </w:r>
      <w:r>
        <w:tab/>
        <w:t>Declaratory order</w:t>
      </w:r>
      <w:bookmarkEnd w:id="914"/>
    </w:p>
    <w:p w14:paraId="576FC9CA" w14:textId="77777777" w:rsidR="008112BD" w:rsidRDefault="008112BD" w:rsidP="008112BD">
      <w:pPr>
        <w:pStyle w:val="Amain"/>
      </w:pPr>
      <w:r>
        <w:tab/>
        <w:t>(1)</w:t>
      </w:r>
      <w:r>
        <w:tab/>
        <w:t>A proceeding is not open to objection on the ground that the only relief sought is a declaratory order.</w:t>
      </w:r>
    </w:p>
    <w:p w14:paraId="769D1FCC" w14:textId="77777777" w:rsidR="008112BD" w:rsidRDefault="008112BD" w:rsidP="008112BD">
      <w:pPr>
        <w:pStyle w:val="Amain"/>
      </w:pPr>
      <w:r>
        <w:tab/>
        <w:t>(2)</w:t>
      </w:r>
      <w:r>
        <w:tab/>
        <w:t>The court may make binding declarations of right, whether or not any consequential relief is claimed.</w:t>
      </w:r>
    </w:p>
    <w:p w14:paraId="04D9D803" w14:textId="77777777" w:rsidR="008112BD" w:rsidRDefault="008112BD" w:rsidP="008112BD">
      <w:pPr>
        <w:pStyle w:val="AH5Sec"/>
      </w:pPr>
      <w:bookmarkStart w:id="915" w:name="_Toc185514531"/>
      <w:r w:rsidRPr="00C8328B">
        <w:rPr>
          <w:rStyle w:val="CharSectNo"/>
        </w:rPr>
        <w:t>2901</w:t>
      </w:r>
      <w:r>
        <w:tab/>
        <w:t>Copies of documents from registrar</w:t>
      </w:r>
      <w:bookmarkEnd w:id="915"/>
    </w:p>
    <w:p w14:paraId="3440AB28" w14:textId="77777777" w:rsidR="008112BD" w:rsidRDefault="008112BD" w:rsidP="008112BD">
      <w:pPr>
        <w:pStyle w:val="Amain"/>
      </w:pPr>
      <w:r>
        <w:tab/>
        <w:t>(1)</w:t>
      </w:r>
      <w:r>
        <w:tab/>
        <w:t>A person may, in writing, ask the registrar for—</w:t>
      </w:r>
    </w:p>
    <w:p w14:paraId="2FF2DC9F" w14:textId="77777777" w:rsidR="008112BD" w:rsidRDefault="008112BD" w:rsidP="008112BD">
      <w:pPr>
        <w:pStyle w:val="Apara"/>
      </w:pPr>
      <w:r>
        <w:tab/>
        <w:t>(a)</w:t>
      </w:r>
      <w:r>
        <w:tab/>
        <w:t>a copy or certified copy of an order of the court in a proceeding; or</w:t>
      </w:r>
    </w:p>
    <w:p w14:paraId="1306975B" w14:textId="77777777" w:rsidR="008112BD" w:rsidRDefault="008112BD" w:rsidP="008112BD">
      <w:pPr>
        <w:pStyle w:val="Apara"/>
      </w:pPr>
      <w:r>
        <w:tab/>
        <w:t>(b)</w:t>
      </w:r>
      <w:r>
        <w:tab/>
        <w:t>a copy or certified copy of a document filed in a proceeding.</w:t>
      </w:r>
    </w:p>
    <w:p w14:paraId="7EE93E7E" w14:textId="77777777" w:rsidR="008112BD" w:rsidRDefault="008112BD" w:rsidP="008112BD">
      <w:pPr>
        <w:pStyle w:val="Amain"/>
        <w:keepNext/>
      </w:pPr>
      <w:r>
        <w:tab/>
        <w:t>(2)</w:t>
      </w:r>
      <w:r>
        <w:tab/>
        <w:t>The registrar must give the person the copy or certified copy asked for.</w:t>
      </w:r>
    </w:p>
    <w:p w14:paraId="550F7011"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14:paraId="4C4B2599" w14:textId="5F000BFB"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0" w:tooltip="A2004-59" w:history="1">
        <w:r w:rsidRPr="00FE0788">
          <w:rPr>
            <w:rStyle w:val="charCitHyperlinkItal"/>
          </w:rPr>
          <w:t>Court Procedures Act 2004</w:t>
        </w:r>
      </w:hyperlink>
      <w:r>
        <w:t>, s 13 for this provision.</w:t>
      </w:r>
    </w:p>
    <w:p w14:paraId="79EE4E39" w14:textId="049513D2"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14:paraId="463BD346" w14:textId="77777777" w:rsidR="008112BD" w:rsidRDefault="008112BD" w:rsidP="008112BD">
      <w:pPr>
        <w:pStyle w:val="AH5Sec"/>
      </w:pPr>
      <w:bookmarkStart w:id="916" w:name="_Toc185514532"/>
      <w:r w:rsidRPr="00C8328B">
        <w:rPr>
          <w:rStyle w:val="CharSectNo"/>
        </w:rPr>
        <w:lastRenderedPageBreak/>
        <w:t>2902</w:t>
      </w:r>
      <w:r>
        <w:tab/>
        <w:t>Searches of registers etc</w:t>
      </w:r>
      <w:bookmarkEnd w:id="916"/>
    </w:p>
    <w:p w14:paraId="0024F3EF" w14:textId="77777777" w:rsidR="008112BD" w:rsidRDefault="008112BD" w:rsidP="008112BD">
      <w:pPr>
        <w:pStyle w:val="Amain"/>
        <w:keepNext/>
      </w:pPr>
      <w:r>
        <w:tab/>
        <w:t>(1)</w:t>
      </w:r>
      <w:r>
        <w:tab/>
        <w:t>A person may, in writing, ask the registrar to search the registers, indexes or calendars of the court.</w:t>
      </w:r>
    </w:p>
    <w:p w14:paraId="24AEC096" w14:textId="77777777" w:rsidR="008112BD" w:rsidRDefault="008112BD" w:rsidP="008112BD">
      <w:pPr>
        <w:pStyle w:val="Amain"/>
        <w:keepNext/>
      </w:pPr>
      <w:r>
        <w:tab/>
        <w:t>(2)</w:t>
      </w:r>
      <w:r>
        <w:tab/>
        <w:t>The registrar may—</w:t>
      </w:r>
    </w:p>
    <w:p w14:paraId="5F1F0D23" w14:textId="77777777" w:rsidR="008112BD" w:rsidRDefault="008112BD" w:rsidP="008112BD">
      <w:pPr>
        <w:pStyle w:val="Apara"/>
      </w:pPr>
      <w:r>
        <w:tab/>
        <w:t>(a)</w:t>
      </w:r>
      <w:r>
        <w:tab/>
        <w:t>comply with the request; and</w:t>
      </w:r>
    </w:p>
    <w:p w14:paraId="4547ED5A" w14:textId="77777777" w:rsidR="008112BD" w:rsidRDefault="008112BD" w:rsidP="008112BD">
      <w:pPr>
        <w:pStyle w:val="Apara"/>
        <w:keepNext/>
      </w:pPr>
      <w:r>
        <w:tab/>
        <w:t>(b)</w:t>
      </w:r>
      <w:r>
        <w:tab/>
        <w:t>issue a certificate of the result of the search.</w:t>
      </w:r>
    </w:p>
    <w:p w14:paraId="73697646" w14:textId="4E3495DA" w:rsidR="008112BD" w:rsidRDefault="008112BD" w:rsidP="008112BD">
      <w:pPr>
        <w:pStyle w:val="aNote"/>
      </w:pPr>
      <w:r w:rsidRPr="00FE0788">
        <w:rPr>
          <w:rStyle w:val="charItals"/>
        </w:rPr>
        <w:t>Note</w:t>
      </w:r>
      <w:r>
        <w:tab/>
        <w:t xml:space="preserve">A fee may be determined under the </w:t>
      </w:r>
      <w:hyperlink r:id="rId261" w:tooltip="A2004-59" w:history="1">
        <w:r w:rsidRPr="00FE0788">
          <w:rPr>
            <w:rStyle w:val="charCitHyperlinkItal"/>
          </w:rPr>
          <w:t>Court Procedures Act 2004</w:t>
        </w:r>
      </w:hyperlink>
      <w:r>
        <w:t>, s 13 for this provision.</w:t>
      </w:r>
    </w:p>
    <w:p w14:paraId="2FEB60CE" w14:textId="77777777" w:rsidR="008112BD" w:rsidRDefault="008112BD" w:rsidP="008112BD">
      <w:pPr>
        <w:pStyle w:val="AH5Sec"/>
      </w:pPr>
      <w:bookmarkStart w:id="917" w:name="_Toc185514533"/>
      <w:r w:rsidRPr="00C8328B">
        <w:rPr>
          <w:rStyle w:val="CharSectNo"/>
        </w:rPr>
        <w:t>2903</w:t>
      </w:r>
      <w:r>
        <w:tab/>
        <w:t>Inspection of registry files</w:t>
      </w:r>
      <w:bookmarkEnd w:id="917"/>
    </w:p>
    <w:p w14:paraId="73ED7E99" w14:textId="77777777" w:rsidR="008112BD" w:rsidRDefault="008112BD" w:rsidP="008112BD">
      <w:pPr>
        <w:pStyle w:val="Amain"/>
        <w:keepNext/>
      </w:pPr>
      <w:r>
        <w:tab/>
        <w:t>(1)</w:t>
      </w:r>
      <w:r>
        <w:tab/>
        <w:t>Anyone may search the registry for, inspect, or take a copy of, any document filed in the registry.</w:t>
      </w:r>
    </w:p>
    <w:p w14:paraId="791EA386"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14:paraId="277433E8" w14:textId="77777777"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14:paraId="2FF8183C" w14:textId="77777777"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5BC67E2D" w14:textId="77777777" w:rsidR="008112BD" w:rsidRDefault="008112BD" w:rsidP="008112BD">
      <w:pPr>
        <w:pStyle w:val="Apara"/>
      </w:pPr>
      <w:r>
        <w:tab/>
        <w:t>(a)</w:t>
      </w:r>
      <w:r>
        <w:tab/>
        <w:t>an order, transcript of the proceeding, or any other document, that the court has ordered to be kept confidential;</w:t>
      </w:r>
    </w:p>
    <w:p w14:paraId="68E37004" w14:textId="77777777" w:rsidR="008112BD" w:rsidRDefault="008112BD" w:rsidP="008112BD">
      <w:pPr>
        <w:pStyle w:val="Apara"/>
      </w:pPr>
      <w:r>
        <w:tab/>
        <w:t>(b)</w:t>
      </w:r>
      <w:r>
        <w:tab/>
        <w:t>an affidavit that has not been read in court;</w:t>
      </w:r>
    </w:p>
    <w:p w14:paraId="784D4A54" w14:textId="77777777" w:rsidR="008112BD" w:rsidRDefault="008112BD" w:rsidP="008112BD">
      <w:pPr>
        <w:pStyle w:val="Apara"/>
      </w:pPr>
      <w:r>
        <w:tab/>
        <w:t>(c)</w:t>
      </w:r>
      <w:r>
        <w:tab/>
        <w:t>a part of an affidavit ruled to be inadmissible in evidence;</w:t>
      </w:r>
    </w:p>
    <w:p w14:paraId="4829628A" w14:textId="77777777" w:rsidR="008112BD" w:rsidRDefault="008112BD" w:rsidP="008112BD">
      <w:pPr>
        <w:pStyle w:val="Apara"/>
      </w:pPr>
      <w:r>
        <w:tab/>
        <w:t>(d)</w:t>
      </w:r>
      <w:r>
        <w:tab/>
        <w:t>an interrogatory, or an answer to an interrogatory, that has not been admitted into evidence;</w:t>
      </w:r>
    </w:p>
    <w:p w14:paraId="76B622DE" w14:textId="77777777" w:rsidR="008112BD" w:rsidRDefault="008112BD" w:rsidP="008112BD">
      <w:pPr>
        <w:pStyle w:val="Apara"/>
      </w:pPr>
      <w:r>
        <w:lastRenderedPageBreak/>
        <w:tab/>
        <w:t>(e)</w:t>
      </w:r>
      <w:r>
        <w:tab/>
        <w:t>a list of documents given on discovery;</w:t>
      </w:r>
    </w:p>
    <w:p w14:paraId="44649D94" w14:textId="77777777" w:rsidR="008112BD" w:rsidRDefault="008112BD" w:rsidP="008112BD">
      <w:pPr>
        <w:pStyle w:val="Apara"/>
      </w:pPr>
      <w:r>
        <w:tab/>
        <w:t>(f)</w:t>
      </w:r>
      <w:r>
        <w:tab/>
        <w:t>an admission that has not been admitted into evidence;</w:t>
      </w:r>
    </w:p>
    <w:p w14:paraId="62FE0537" w14:textId="77777777" w:rsidR="008112BD" w:rsidRDefault="008112BD" w:rsidP="008112BD">
      <w:pPr>
        <w:pStyle w:val="Apara"/>
        <w:keepNext/>
      </w:pPr>
      <w:r>
        <w:tab/>
        <w:t>(g)</w:t>
      </w:r>
      <w:r>
        <w:tab/>
        <w:t>a subpoena;</w:t>
      </w:r>
    </w:p>
    <w:p w14:paraId="461AEFA3"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12682632" w14:textId="77777777" w:rsidR="008112BD" w:rsidRDefault="008112BD" w:rsidP="008112BD">
      <w:pPr>
        <w:pStyle w:val="Apara"/>
      </w:pPr>
      <w:r>
        <w:tab/>
        <w:t>(h)</w:t>
      </w:r>
      <w:r>
        <w:tab/>
        <w:t>an application for leave to serve a subpoena in New Zealand;</w:t>
      </w:r>
    </w:p>
    <w:p w14:paraId="408E07CF" w14:textId="77777777" w:rsidR="008112BD" w:rsidRDefault="008112BD" w:rsidP="008112BD">
      <w:pPr>
        <w:pStyle w:val="Apara"/>
      </w:pPr>
      <w:r>
        <w:tab/>
        <w:t>(i)</w:t>
      </w:r>
      <w:r>
        <w:tab/>
        <w:t>a document in relation to a proceeding about the adoption, custody or guardianship of a child;</w:t>
      </w:r>
    </w:p>
    <w:p w14:paraId="23CE5A28" w14:textId="208E39B8" w:rsidR="008112BD" w:rsidRDefault="008112BD" w:rsidP="008112BD">
      <w:pPr>
        <w:pStyle w:val="Apara"/>
      </w:pPr>
      <w:r>
        <w:tab/>
        <w:t>(j)</w:t>
      </w:r>
      <w:r>
        <w:tab/>
        <w:t xml:space="preserve">a document in relation to a proceeding under the </w:t>
      </w:r>
      <w:hyperlink r:id="rId262" w:tooltip="Act 1975 No 53 (Cwlth)" w:history="1">
        <w:r w:rsidRPr="002522F2">
          <w:rPr>
            <w:rStyle w:val="charCitHyperlinkItal"/>
          </w:rPr>
          <w:t>Family Law Act 1975</w:t>
        </w:r>
      </w:hyperlink>
      <w:r>
        <w:t xml:space="preserve"> (Cwlth);</w:t>
      </w:r>
    </w:p>
    <w:p w14:paraId="3E656EB9" w14:textId="77777777" w:rsidR="008112BD" w:rsidRDefault="008112BD" w:rsidP="008112BD">
      <w:pPr>
        <w:pStyle w:val="Apara"/>
      </w:pPr>
      <w:r>
        <w:tab/>
        <w:t>(k)</w:t>
      </w:r>
      <w:r>
        <w:tab/>
        <w:t>a document filed in the probate jurisdiction, other than—</w:t>
      </w:r>
    </w:p>
    <w:p w14:paraId="54557FE7" w14:textId="77777777" w:rsidR="008112BD" w:rsidRDefault="008112BD" w:rsidP="008112BD">
      <w:pPr>
        <w:pStyle w:val="Asubpara"/>
      </w:pPr>
      <w:r>
        <w:tab/>
        <w:t>(i)</w:t>
      </w:r>
      <w:r>
        <w:tab/>
        <w:t>a grant of probate or letters of administration; or</w:t>
      </w:r>
    </w:p>
    <w:p w14:paraId="6F18B2CE" w14:textId="77777777" w:rsidR="008112BD" w:rsidRDefault="008112BD" w:rsidP="008112BD">
      <w:pPr>
        <w:pStyle w:val="Asubpara"/>
      </w:pPr>
      <w:r>
        <w:tab/>
        <w:t>(ii)</w:t>
      </w:r>
      <w:r>
        <w:tab/>
        <w:t>an order to administer an estate; or</w:t>
      </w:r>
    </w:p>
    <w:p w14:paraId="21908CA3" w14:textId="77777777" w:rsidR="008112BD" w:rsidRDefault="008112BD" w:rsidP="008112BD">
      <w:pPr>
        <w:pStyle w:val="Asubpara"/>
      </w:pPr>
      <w:r>
        <w:tab/>
        <w:t>(iii)</w:t>
      </w:r>
      <w:r>
        <w:tab/>
        <w:t>a proceeding about a contested matter;</w:t>
      </w:r>
    </w:p>
    <w:p w14:paraId="4170102C" w14:textId="77777777" w:rsidR="008112BD" w:rsidRDefault="008112BD" w:rsidP="008112BD">
      <w:pPr>
        <w:pStyle w:val="Apara"/>
      </w:pPr>
      <w:r>
        <w:tab/>
        <w:t>(l)</w:t>
      </w:r>
      <w:r>
        <w:tab/>
        <w:t>a deposition taken before an examiner;</w:t>
      </w:r>
    </w:p>
    <w:p w14:paraId="0329425A" w14:textId="77777777" w:rsidR="008112BD" w:rsidRDefault="008112BD" w:rsidP="008112BD">
      <w:pPr>
        <w:pStyle w:val="Apara"/>
      </w:pPr>
      <w:r>
        <w:tab/>
        <w:t>(m)</w:t>
      </w:r>
      <w:r>
        <w:tab/>
        <w:t>a document filed in support of an application made in the absence of a party;</w:t>
      </w:r>
    </w:p>
    <w:p w14:paraId="60E32C6B" w14:textId="77777777" w:rsidR="008112BD" w:rsidRDefault="008112BD" w:rsidP="008112BD">
      <w:pPr>
        <w:pStyle w:val="Apara"/>
      </w:pPr>
      <w:r>
        <w:tab/>
        <w:t>(n)</w:t>
      </w:r>
      <w:r>
        <w:tab/>
        <w:t>a written submission that has not been read in court;</w:t>
      </w:r>
    </w:p>
    <w:p w14:paraId="062BE7C8" w14:textId="77777777" w:rsidR="008112BD" w:rsidRDefault="008112BD" w:rsidP="008112BD">
      <w:pPr>
        <w:pStyle w:val="Apara"/>
      </w:pPr>
      <w:r>
        <w:tab/>
        <w:t>(o)</w:t>
      </w:r>
      <w:r>
        <w:tab/>
        <w:t>an unsworn statement of evidence;</w:t>
      </w:r>
    </w:p>
    <w:p w14:paraId="5D67A524" w14:textId="77777777" w:rsidR="008112BD" w:rsidRDefault="008112BD" w:rsidP="008112BD">
      <w:pPr>
        <w:pStyle w:val="Apara"/>
        <w:keepNext/>
      </w:pPr>
      <w:r>
        <w:tab/>
        <w:t>(p)</w:t>
      </w:r>
      <w:r>
        <w:tab/>
        <w:t>a document that the registrar decides should be confidential to the parties to the proceeding in the interests of justice.</w:t>
      </w:r>
    </w:p>
    <w:p w14:paraId="6C374CD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208BAA20" w14:textId="77777777"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14:paraId="290A552F" w14:textId="77777777" w:rsidR="008112BD" w:rsidRDefault="008112BD" w:rsidP="008112BD">
      <w:pPr>
        <w:pStyle w:val="Amain"/>
      </w:pPr>
      <w:r>
        <w:tab/>
        <w:t>(4)</w:t>
      </w:r>
      <w:r>
        <w:tab/>
        <w:t>However, subrule (3) does not apply to a subpoena that has been served on the party.</w:t>
      </w:r>
    </w:p>
    <w:p w14:paraId="0C72B176"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270EB6FD" w14:textId="77777777" w:rsidR="008112BD" w:rsidRDefault="008112BD" w:rsidP="008112BD">
      <w:pPr>
        <w:pStyle w:val="Apara"/>
      </w:pPr>
      <w:r>
        <w:tab/>
        <w:t>(a)</w:t>
      </w:r>
      <w:r>
        <w:tab/>
        <w:t>an application for a document, evidence or thing to be kept confidential;</w:t>
      </w:r>
    </w:p>
    <w:p w14:paraId="7A8EC772" w14:textId="77777777" w:rsidR="008112BD" w:rsidRDefault="008112BD" w:rsidP="008112BD">
      <w:pPr>
        <w:pStyle w:val="Apara"/>
      </w:pPr>
      <w:r>
        <w:tab/>
        <w:t>(b)</w:t>
      </w:r>
      <w:r>
        <w:tab/>
        <w:t>an application for a document or thing to be granted privilege from production;</w:t>
      </w:r>
    </w:p>
    <w:p w14:paraId="528661D0" w14:textId="77777777" w:rsidR="008112BD" w:rsidRDefault="008112BD" w:rsidP="008112BD">
      <w:pPr>
        <w:pStyle w:val="Apara"/>
      </w:pPr>
      <w:r>
        <w:tab/>
        <w:t>(c)</w:t>
      </w:r>
      <w:r>
        <w:tab/>
        <w:t>an application for leave to serve a subpoena in New Zealand.</w:t>
      </w:r>
    </w:p>
    <w:p w14:paraId="08635D14" w14:textId="77777777" w:rsidR="008112BD" w:rsidRDefault="008112BD" w:rsidP="008112BD">
      <w:pPr>
        <w:pStyle w:val="Amain"/>
        <w:keepNext/>
      </w:pPr>
      <w:r>
        <w:tab/>
        <w:t>(6)</w:t>
      </w:r>
      <w:r>
        <w:tab/>
        <w:t>Before considering an application for leave under subrule (3), the court may require the applicant for leave to do either or both of the following:</w:t>
      </w:r>
    </w:p>
    <w:p w14:paraId="66F68D0C" w14:textId="77777777" w:rsidR="008112BD" w:rsidRDefault="008112BD" w:rsidP="008112BD">
      <w:pPr>
        <w:pStyle w:val="Apara"/>
      </w:pPr>
      <w:r>
        <w:tab/>
        <w:t>(a)</w:t>
      </w:r>
      <w:r>
        <w:tab/>
        <w:t>give notice of the application for leave to a party to the relevant proceeding or another interested person;</w:t>
      </w:r>
    </w:p>
    <w:p w14:paraId="1B8DFBD3" w14:textId="77777777"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14:paraId="310287CC" w14:textId="77777777" w:rsidR="008112BD" w:rsidRDefault="008112BD" w:rsidP="008112BD">
      <w:pPr>
        <w:pStyle w:val="Amain"/>
        <w:keepNext/>
      </w:pPr>
      <w:r>
        <w:lastRenderedPageBreak/>
        <w:tab/>
        <w:t>(7)</w:t>
      </w:r>
      <w:r>
        <w:tab/>
        <w:t>In this rule:</w:t>
      </w:r>
    </w:p>
    <w:p w14:paraId="49207526"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7D3B1D0D" w14:textId="0D81A090" w:rsidR="008112BD" w:rsidRDefault="008112BD" w:rsidP="008112BD">
      <w:pPr>
        <w:pStyle w:val="aNote"/>
        <w:keepNext/>
      </w:pPr>
      <w:r w:rsidRPr="00FE0788">
        <w:rPr>
          <w:rStyle w:val="charItals"/>
        </w:rPr>
        <w:t>Note</w:t>
      </w:r>
      <w:r w:rsidRPr="00FE0788">
        <w:rPr>
          <w:rStyle w:val="charItals"/>
        </w:rPr>
        <w:tab/>
      </w:r>
      <w:r>
        <w:t xml:space="preserve">The </w:t>
      </w:r>
      <w:hyperlink r:id="rId263"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5FD66B4A" w14:textId="77777777" w:rsidR="008112BD" w:rsidRDefault="008112BD" w:rsidP="008112BD">
      <w:pPr>
        <w:pStyle w:val="aNotePara"/>
        <w:keepNext/>
      </w:pPr>
      <w:r>
        <w:tab/>
        <w:t>(a)</w:t>
      </w:r>
      <w:r>
        <w:tab/>
        <w:t>anything on which there is writing; or</w:t>
      </w:r>
    </w:p>
    <w:p w14:paraId="3FDEE18E" w14:textId="77777777"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14:paraId="647FDF19"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189EAC1C" w14:textId="77777777" w:rsidR="008112BD" w:rsidRDefault="008112BD" w:rsidP="008112BD">
      <w:pPr>
        <w:pStyle w:val="aNotePara"/>
      </w:pPr>
      <w:r>
        <w:tab/>
        <w:t>(d)</w:t>
      </w:r>
      <w:r>
        <w:tab/>
        <w:t>a drawing, map, photograph or plan.</w:t>
      </w:r>
    </w:p>
    <w:p w14:paraId="1A3D6279" w14:textId="77777777" w:rsidR="006A2944" w:rsidRPr="006A2944" w:rsidRDefault="006A2944" w:rsidP="006A2944">
      <w:pPr>
        <w:pStyle w:val="PageBreak"/>
      </w:pPr>
      <w:r w:rsidRPr="006A2944">
        <w:br w:type="page"/>
      </w:r>
    </w:p>
    <w:p w14:paraId="3FF78D8E" w14:textId="77777777" w:rsidR="008112BD" w:rsidRPr="00C8328B" w:rsidRDefault="008112BD" w:rsidP="008112BD">
      <w:pPr>
        <w:pStyle w:val="AH1Chapter"/>
      </w:pPr>
      <w:bookmarkStart w:id="918" w:name="_Toc185514534"/>
      <w:r w:rsidRPr="00C8328B">
        <w:rPr>
          <w:rStyle w:val="CharChapNo"/>
        </w:rPr>
        <w:lastRenderedPageBreak/>
        <w:t>Chapter 3</w:t>
      </w:r>
      <w:r>
        <w:tab/>
      </w:r>
      <w:r w:rsidRPr="00C8328B">
        <w:rPr>
          <w:rStyle w:val="CharChapText"/>
        </w:rPr>
        <w:t>Particular civil proceedings</w:t>
      </w:r>
      <w:bookmarkEnd w:id="918"/>
    </w:p>
    <w:p w14:paraId="16FE5303" w14:textId="77777777" w:rsidR="008112BD" w:rsidRPr="00C8328B" w:rsidRDefault="008112BD" w:rsidP="008112BD">
      <w:pPr>
        <w:pStyle w:val="AH2Part"/>
      </w:pPr>
      <w:bookmarkStart w:id="919" w:name="_Toc185514535"/>
      <w:r w:rsidRPr="00C8328B">
        <w:rPr>
          <w:rStyle w:val="CharPartNo"/>
        </w:rPr>
        <w:t>Part 3.1</w:t>
      </w:r>
      <w:r>
        <w:tab/>
      </w:r>
      <w:r w:rsidRPr="00C8328B">
        <w:rPr>
          <w:rStyle w:val="CharPartText"/>
        </w:rPr>
        <w:t>Administration and probate</w:t>
      </w:r>
      <w:bookmarkEnd w:id="919"/>
    </w:p>
    <w:p w14:paraId="35C34613" w14:textId="77777777" w:rsidR="008112BD" w:rsidRPr="00C8328B" w:rsidRDefault="008112BD" w:rsidP="008112BD">
      <w:pPr>
        <w:pStyle w:val="AH3Div"/>
      </w:pPr>
      <w:bookmarkStart w:id="920" w:name="_Toc185514536"/>
      <w:r w:rsidRPr="00C8328B">
        <w:rPr>
          <w:rStyle w:val="CharDivNo"/>
        </w:rPr>
        <w:t>Division 3.1.1</w:t>
      </w:r>
      <w:r>
        <w:tab/>
      </w:r>
      <w:r w:rsidRPr="00C8328B">
        <w:rPr>
          <w:rStyle w:val="CharDivText"/>
        </w:rPr>
        <w:t>Administration and probate—general</w:t>
      </w:r>
      <w:bookmarkEnd w:id="920"/>
    </w:p>
    <w:p w14:paraId="1F641248" w14:textId="77777777" w:rsidR="008112BD" w:rsidRPr="00FE0788" w:rsidRDefault="008112BD" w:rsidP="008112BD">
      <w:pPr>
        <w:spacing w:before="80" w:after="60"/>
        <w:ind w:left="1100"/>
        <w:rPr>
          <w:rStyle w:val="charItals"/>
        </w:rPr>
      </w:pPr>
      <w:r w:rsidRPr="00FE0788">
        <w:rPr>
          <w:rStyle w:val="charItals"/>
        </w:rPr>
        <w:t>Note to div 3.1.1</w:t>
      </w:r>
    </w:p>
    <w:p w14:paraId="5D1E23A7" w14:textId="77777777"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14:paraId="684AB327" w14:textId="77777777" w:rsidR="008112BD" w:rsidRDefault="008112BD" w:rsidP="008112BD">
      <w:pPr>
        <w:pStyle w:val="AH5Sec"/>
      </w:pPr>
      <w:bookmarkStart w:id="921" w:name="_Toc185514537"/>
      <w:r w:rsidRPr="00C8328B">
        <w:rPr>
          <w:rStyle w:val="CharSectNo"/>
        </w:rPr>
        <w:t>3000</w:t>
      </w:r>
      <w:r>
        <w:tab/>
        <w:t>Definitions—pt 3.1</w:t>
      </w:r>
      <w:bookmarkEnd w:id="921"/>
    </w:p>
    <w:p w14:paraId="14C7D82E" w14:textId="77777777" w:rsidR="008112BD" w:rsidRDefault="008112BD" w:rsidP="008112BD">
      <w:pPr>
        <w:pStyle w:val="Amainreturn"/>
        <w:keepNext/>
      </w:pPr>
      <w:r>
        <w:t>In this part:</w:t>
      </w:r>
    </w:p>
    <w:p w14:paraId="51BD1D99" w14:textId="3C1DB5E6" w:rsidR="008112BD" w:rsidRDefault="008112BD" w:rsidP="008112BD">
      <w:pPr>
        <w:pStyle w:val="aDef"/>
      </w:pPr>
      <w:r w:rsidRPr="00FE0788">
        <w:rPr>
          <w:rStyle w:val="charBoldItals"/>
        </w:rPr>
        <w:t xml:space="preserve">Administration and Probate Act </w:t>
      </w:r>
      <w:r>
        <w:t xml:space="preserve">means the </w:t>
      </w:r>
      <w:hyperlink r:id="rId264" w:tooltip="A1929-18" w:history="1">
        <w:r w:rsidRPr="00FE0788">
          <w:rPr>
            <w:rStyle w:val="charCitHyperlinkItal"/>
          </w:rPr>
          <w:t>Administration and Probate Act 1929</w:t>
        </w:r>
      </w:hyperlink>
      <w:r>
        <w:t>.</w:t>
      </w:r>
    </w:p>
    <w:p w14:paraId="5F255BF5" w14:textId="77777777" w:rsidR="008112BD" w:rsidRDefault="008112BD" w:rsidP="008112BD">
      <w:pPr>
        <w:pStyle w:val="aDef"/>
      </w:pPr>
      <w:r w:rsidRPr="00FE0788">
        <w:rPr>
          <w:rStyle w:val="charBoldItals"/>
        </w:rPr>
        <w:t>administration bond—</w:t>
      </w:r>
      <w:r>
        <w:t>see rule 3045 (Administration bond—requirement for bond).</w:t>
      </w:r>
    </w:p>
    <w:p w14:paraId="3745BCFE" w14:textId="77777777" w:rsidR="008112BD" w:rsidRDefault="008112BD" w:rsidP="008112BD">
      <w:pPr>
        <w:pStyle w:val="aDef"/>
      </w:pPr>
      <w:r w:rsidRPr="00FE0788">
        <w:rPr>
          <w:rStyle w:val="charBoldItals"/>
        </w:rPr>
        <w:t xml:space="preserve">estate </w:t>
      </w:r>
      <w:r>
        <w:t>means estate of a deceased person.</w:t>
      </w:r>
    </w:p>
    <w:p w14:paraId="097020D6" w14:textId="77777777" w:rsidR="008112BD" w:rsidRDefault="008112BD" w:rsidP="008112BD">
      <w:pPr>
        <w:pStyle w:val="AH5Sec"/>
      </w:pPr>
      <w:bookmarkStart w:id="922" w:name="_Toc185514538"/>
      <w:r w:rsidRPr="00C8328B">
        <w:rPr>
          <w:rStyle w:val="CharSectNo"/>
        </w:rPr>
        <w:t>3001</w:t>
      </w:r>
      <w:r>
        <w:tab/>
        <w:t>Terms used in Administration and Probate Act</w:t>
      </w:r>
      <w:bookmarkEnd w:id="922"/>
    </w:p>
    <w:p w14:paraId="2DA86CF0" w14:textId="2DA5859B" w:rsidR="008112BD" w:rsidRDefault="008112BD" w:rsidP="008112BD">
      <w:pPr>
        <w:pStyle w:val="Amainreturn"/>
        <w:keepNext/>
      </w:pPr>
      <w:r>
        <w:t xml:space="preserve">A term used in the </w:t>
      </w:r>
      <w:hyperlink r:id="rId265" w:tooltip="A1929 No 18" w:history="1">
        <w:r w:rsidRPr="00353CE7">
          <w:rPr>
            <w:rStyle w:val="charCitHyperlinkAbbrev"/>
          </w:rPr>
          <w:t>Administration and Probate Act</w:t>
        </w:r>
      </w:hyperlink>
      <w:r>
        <w:t xml:space="preserve"> has the same meaning in this part.</w:t>
      </w:r>
    </w:p>
    <w:p w14:paraId="3167F9B2" w14:textId="1751F438"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66" w:tooltip="A1929 No 18" w:history="1">
        <w:r w:rsidRPr="00353CE7">
          <w:rPr>
            <w:rStyle w:val="charCitHyperlinkAbbrev"/>
          </w:rPr>
          <w:t>Administration and Probate Act</w:t>
        </w:r>
      </w:hyperlink>
      <w:r>
        <w:rPr>
          <w:color w:val="000000"/>
        </w:rPr>
        <w:t>, dictionary</w:t>
      </w:r>
      <w:r>
        <w:t>:</w:t>
      </w:r>
    </w:p>
    <w:p w14:paraId="7CE2F894" w14:textId="77777777" w:rsidR="008112BD" w:rsidRDefault="008112BD" w:rsidP="008112BD">
      <w:pPr>
        <w:pStyle w:val="aNoteBulletss"/>
        <w:tabs>
          <w:tab w:val="left" w:pos="2300"/>
        </w:tabs>
      </w:pPr>
      <w:r>
        <w:rPr>
          <w:rFonts w:ascii="Symbol" w:hAnsi="Symbol"/>
        </w:rPr>
        <w:t></w:t>
      </w:r>
      <w:r>
        <w:rPr>
          <w:rFonts w:ascii="Symbol" w:hAnsi="Symbol"/>
        </w:rPr>
        <w:tab/>
      </w:r>
      <w:r>
        <w:t>administration</w:t>
      </w:r>
    </w:p>
    <w:p w14:paraId="2A673A95" w14:textId="77777777" w:rsidR="008112BD" w:rsidRDefault="008112BD" w:rsidP="008112BD">
      <w:pPr>
        <w:pStyle w:val="aNoteBulletss"/>
        <w:tabs>
          <w:tab w:val="left" w:pos="2300"/>
        </w:tabs>
      </w:pPr>
      <w:r>
        <w:rPr>
          <w:rFonts w:ascii="Symbol" w:hAnsi="Symbol"/>
        </w:rPr>
        <w:t></w:t>
      </w:r>
      <w:r>
        <w:rPr>
          <w:rFonts w:ascii="Symbol" w:hAnsi="Symbol"/>
        </w:rPr>
        <w:tab/>
      </w:r>
      <w:r>
        <w:t>administrator</w:t>
      </w:r>
    </w:p>
    <w:p w14:paraId="553F207F" w14:textId="77777777" w:rsidR="008112BD" w:rsidRDefault="008112BD" w:rsidP="008112BD">
      <w:pPr>
        <w:pStyle w:val="aNoteBulletss"/>
        <w:tabs>
          <w:tab w:val="left" w:pos="2300"/>
        </w:tabs>
      </w:pPr>
      <w:r>
        <w:rPr>
          <w:rFonts w:ascii="Symbol" w:hAnsi="Symbol"/>
        </w:rPr>
        <w:t></w:t>
      </w:r>
      <w:r>
        <w:rPr>
          <w:rFonts w:ascii="Symbol" w:hAnsi="Symbol"/>
        </w:rPr>
        <w:tab/>
      </w:r>
      <w:r>
        <w:t>distribute</w:t>
      </w:r>
    </w:p>
    <w:p w14:paraId="71CE9514" w14:textId="77777777" w:rsidR="008112BD" w:rsidRDefault="008112BD" w:rsidP="008112BD">
      <w:pPr>
        <w:pStyle w:val="aNoteBulletss"/>
        <w:tabs>
          <w:tab w:val="left" w:pos="2300"/>
        </w:tabs>
      </w:pPr>
      <w:r>
        <w:rPr>
          <w:rFonts w:ascii="Symbol" w:hAnsi="Symbol"/>
        </w:rPr>
        <w:t></w:t>
      </w:r>
      <w:r>
        <w:rPr>
          <w:rFonts w:ascii="Symbol" w:hAnsi="Symbol"/>
        </w:rPr>
        <w:tab/>
      </w:r>
      <w:r>
        <w:t>representation</w:t>
      </w:r>
    </w:p>
    <w:p w14:paraId="1D3A2484" w14:textId="77777777" w:rsidR="008112BD" w:rsidRDefault="008112BD" w:rsidP="008112BD">
      <w:pPr>
        <w:pStyle w:val="aNoteBulletss"/>
        <w:tabs>
          <w:tab w:val="left" w:pos="2300"/>
        </w:tabs>
      </w:pPr>
      <w:r>
        <w:rPr>
          <w:rFonts w:ascii="Symbol" w:hAnsi="Symbol"/>
        </w:rPr>
        <w:t></w:t>
      </w:r>
      <w:r>
        <w:rPr>
          <w:rFonts w:ascii="Symbol" w:hAnsi="Symbol"/>
        </w:rPr>
        <w:tab/>
      </w:r>
      <w:r>
        <w:t>will.</w:t>
      </w:r>
    </w:p>
    <w:p w14:paraId="5A97A65B" w14:textId="77777777" w:rsidR="008112BD" w:rsidRDefault="008112BD" w:rsidP="008112BD">
      <w:pPr>
        <w:pStyle w:val="AH5Sec"/>
      </w:pPr>
      <w:bookmarkStart w:id="923" w:name="_Toc185514539"/>
      <w:r w:rsidRPr="00C8328B">
        <w:rPr>
          <w:rStyle w:val="CharSectNo"/>
        </w:rPr>
        <w:t>3002</w:t>
      </w:r>
      <w:r>
        <w:tab/>
        <w:t>Application—pt 3.1</w:t>
      </w:r>
      <w:bookmarkEnd w:id="923"/>
    </w:p>
    <w:p w14:paraId="06D5D910" w14:textId="77777777" w:rsidR="008112BD" w:rsidRDefault="008112BD" w:rsidP="008112BD">
      <w:pPr>
        <w:pStyle w:val="Amainreturn"/>
      </w:pPr>
      <w:r>
        <w:t>This part applies only in relation to the Supreme Court.</w:t>
      </w:r>
    </w:p>
    <w:p w14:paraId="54F4F2C8" w14:textId="77777777" w:rsidR="008112BD" w:rsidRPr="00C8328B" w:rsidRDefault="008112BD" w:rsidP="008112BD">
      <w:pPr>
        <w:pStyle w:val="AH3Div"/>
      </w:pPr>
      <w:bookmarkStart w:id="924" w:name="_Toc185514540"/>
      <w:r w:rsidRPr="00C8328B">
        <w:rPr>
          <w:rStyle w:val="CharDivNo"/>
        </w:rPr>
        <w:lastRenderedPageBreak/>
        <w:t>Division 3.1.2</w:t>
      </w:r>
      <w:r>
        <w:tab/>
      </w:r>
      <w:r w:rsidRPr="00C8328B">
        <w:rPr>
          <w:rStyle w:val="CharDivText"/>
        </w:rPr>
        <w:t>Application for grant of representation</w:t>
      </w:r>
      <w:bookmarkEnd w:id="924"/>
      <w:r w:rsidRPr="00C8328B">
        <w:rPr>
          <w:rStyle w:val="CharDivText"/>
        </w:rPr>
        <w:t xml:space="preserve"> </w:t>
      </w:r>
    </w:p>
    <w:p w14:paraId="5412D6CB" w14:textId="77777777" w:rsidR="008112BD" w:rsidRDefault="008112BD" w:rsidP="008112BD">
      <w:pPr>
        <w:pStyle w:val="AH5Sec"/>
      </w:pPr>
      <w:bookmarkStart w:id="925" w:name="_Toc185514541"/>
      <w:r w:rsidRPr="00C8328B">
        <w:rPr>
          <w:rStyle w:val="CharSectNo"/>
        </w:rPr>
        <w:t>3005</w:t>
      </w:r>
      <w:r>
        <w:tab/>
        <w:t>Grant of representation—application</w:t>
      </w:r>
      <w:bookmarkEnd w:id="925"/>
    </w:p>
    <w:p w14:paraId="71C7186A" w14:textId="77777777" w:rsidR="008112BD" w:rsidRDefault="008112BD" w:rsidP="008112BD">
      <w:pPr>
        <w:pStyle w:val="Amain"/>
        <w:keepNext/>
      </w:pPr>
      <w:r>
        <w:tab/>
        <w:t>(1)</w:t>
      </w:r>
      <w:r>
        <w:tab/>
        <w:t>A proceeding for grant of representation for an estate must be started by originating application.</w:t>
      </w:r>
    </w:p>
    <w:p w14:paraId="7E007F35" w14:textId="77777777" w:rsidR="008112BD" w:rsidRDefault="008112BD" w:rsidP="008112BD">
      <w:pPr>
        <w:pStyle w:val="aNote"/>
      </w:pPr>
      <w:r w:rsidRPr="00FE0788">
        <w:rPr>
          <w:rStyle w:val="charItals"/>
        </w:rPr>
        <w:t>Note 1</w:t>
      </w:r>
      <w:r w:rsidRPr="00FE0788">
        <w:rPr>
          <w:rStyle w:val="charItals"/>
        </w:rPr>
        <w:tab/>
      </w:r>
      <w:r>
        <w:t>See</w:t>
      </w:r>
    </w:p>
    <w:p w14:paraId="741D1940" w14:textId="742E85BF"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67" w:history="1">
        <w:r w:rsidR="000B1541">
          <w:rPr>
            <w:rStyle w:val="charCitHyperlinkAbbrev"/>
          </w:rPr>
          <w:t>AF2017</w:t>
        </w:r>
        <w:r w:rsidR="000B1541">
          <w:rPr>
            <w:rStyle w:val="charCitHyperlinkAbbrev"/>
          </w:rPr>
          <w:noBreakHyphen/>
          <w:t>160</w:t>
        </w:r>
      </w:hyperlink>
    </w:p>
    <w:p w14:paraId="1B5E95FA" w14:textId="6F690712"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68" w:history="1">
        <w:r w:rsidR="000B1541">
          <w:rPr>
            <w:rStyle w:val="charCitHyperlinkAbbrev"/>
          </w:rPr>
          <w:t>AF2017-161</w:t>
        </w:r>
      </w:hyperlink>
    </w:p>
    <w:p w14:paraId="16AC56B0" w14:textId="7DD3F742"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69" w:history="1">
        <w:r w:rsidR="00EC1C2D">
          <w:rPr>
            <w:rStyle w:val="charCitHyperlinkAbbrev"/>
          </w:rPr>
          <w:t>AF2017-162</w:t>
        </w:r>
      </w:hyperlink>
      <w:r>
        <w:t>.</w:t>
      </w:r>
    </w:p>
    <w:p w14:paraId="6C86609F" w14:textId="77777777"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14:paraId="7A35A6EC" w14:textId="5B15028E" w:rsidR="008112BD" w:rsidRDefault="008112BD" w:rsidP="008112BD">
      <w:pPr>
        <w:pStyle w:val="aNoteBulletss"/>
        <w:tabs>
          <w:tab w:val="left" w:pos="2300"/>
        </w:tabs>
      </w:pPr>
      <w:r>
        <w:rPr>
          <w:rFonts w:ascii="Symbol" w:hAnsi="Symbol"/>
        </w:rPr>
        <w:t></w:t>
      </w:r>
      <w:r>
        <w:rPr>
          <w:rFonts w:ascii="Symbol" w:hAnsi="Symbol"/>
        </w:rPr>
        <w:tab/>
      </w:r>
      <w:r>
        <w:t xml:space="preserve">r 3006 (Grant of representation—notice of intention to apply to be </w:t>
      </w:r>
      <w:r w:rsidR="00F5061D" w:rsidRPr="00D8116A">
        <w:t>published online</w:t>
      </w:r>
      <w:r>
        <w:t xml:space="preserve"> etc)</w:t>
      </w:r>
    </w:p>
    <w:p w14:paraId="7751B2FA" w14:textId="77777777"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14:paraId="144C1BC8" w14:textId="77777777"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14:paraId="46D27DFB" w14:textId="77777777"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14:paraId="1437D41D" w14:textId="77777777" w:rsidR="008112BD" w:rsidRDefault="008112BD" w:rsidP="008112BD">
      <w:pPr>
        <w:pStyle w:val="Amain"/>
      </w:pPr>
      <w:r>
        <w:tab/>
        <w:t>(2)</w:t>
      </w:r>
      <w:r>
        <w:tab/>
        <w:t>The application must be accompanied by—</w:t>
      </w:r>
    </w:p>
    <w:p w14:paraId="3CD10C6A" w14:textId="77777777" w:rsidR="008112BD" w:rsidRDefault="008112BD" w:rsidP="008112BD">
      <w:pPr>
        <w:pStyle w:val="Apara"/>
        <w:keepNext/>
      </w:pPr>
      <w:r>
        <w:tab/>
        <w:t>(a)</w:t>
      </w:r>
      <w:r>
        <w:tab/>
        <w:t>a draft of the grant of representation sought, in duplicate; and</w:t>
      </w:r>
    </w:p>
    <w:p w14:paraId="3AD61AF8" w14:textId="77777777" w:rsidR="008112BD" w:rsidRDefault="008112BD" w:rsidP="008112BD">
      <w:pPr>
        <w:pStyle w:val="aNotepar"/>
      </w:pPr>
      <w:r w:rsidRPr="00FE0788">
        <w:rPr>
          <w:rStyle w:val="charItals"/>
        </w:rPr>
        <w:t>Note</w:t>
      </w:r>
      <w:r w:rsidRPr="00FE0788">
        <w:rPr>
          <w:rStyle w:val="charItals"/>
        </w:rPr>
        <w:tab/>
      </w:r>
      <w:r>
        <w:t>See</w:t>
      </w:r>
    </w:p>
    <w:p w14:paraId="42D57B7A" w14:textId="674FB8B3"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0" w:history="1">
        <w:r w:rsidR="000273B7">
          <w:rPr>
            <w:rStyle w:val="charCitHyperlinkAbbrev"/>
          </w:rPr>
          <w:t>AF2017-163</w:t>
        </w:r>
      </w:hyperlink>
    </w:p>
    <w:p w14:paraId="12EED9EE" w14:textId="1DF09A6A"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1" w:history="1">
        <w:r w:rsidR="000273B7">
          <w:rPr>
            <w:rStyle w:val="charCitHyperlinkAbbrev"/>
          </w:rPr>
          <w:t>AF2017-164</w:t>
        </w:r>
      </w:hyperlink>
    </w:p>
    <w:p w14:paraId="702B346F" w14:textId="40C5ACBF"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72" w:history="1">
        <w:r w:rsidR="000273B7">
          <w:rPr>
            <w:rStyle w:val="charCitHyperlinkAbbrev"/>
          </w:rPr>
          <w:t>AF2017-165</w:t>
        </w:r>
      </w:hyperlink>
      <w:r>
        <w:t>.</w:t>
      </w:r>
    </w:p>
    <w:p w14:paraId="44877046" w14:textId="77777777" w:rsidR="008112BD" w:rsidRDefault="008112BD" w:rsidP="008112BD">
      <w:pPr>
        <w:pStyle w:val="Apara"/>
        <w:keepNext/>
      </w:pPr>
      <w:r>
        <w:tab/>
        <w:t>(b)</w:t>
      </w:r>
      <w:r>
        <w:tab/>
        <w:t>a supporting affidavit; and</w:t>
      </w:r>
    </w:p>
    <w:p w14:paraId="1AEB0147" w14:textId="77777777"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14:paraId="449CBE16" w14:textId="77777777"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14:paraId="4C351BCC" w14:textId="77777777"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14:paraId="2C7837BA" w14:textId="77777777"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14:paraId="1AFEB383" w14:textId="77777777" w:rsidR="008112BD" w:rsidRDefault="008112BD" w:rsidP="008112BD">
      <w:pPr>
        <w:pStyle w:val="Apara"/>
        <w:keepNext/>
      </w:pPr>
      <w:r>
        <w:tab/>
        <w:t>(d)</w:t>
      </w:r>
      <w:r>
        <w:tab/>
        <w:t>an affidavit of search; and</w:t>
      </w:r>
    </w:p>
    <w:p w14:paraId="3839735E" w14:textId="77777777"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14:paraId="0F0BC1A1" w14:textId="77777777" w:rsidR="008112BD" w:rsidRDefault="008112BD" w:rsidP="008112BD">
      <w:pPr>
        <w:pStyle w:val="Apara"/>
        <w:keepNext/>
      </w:pPr>
      <w:r>
        <w:tab/>
        <w:t>(e)</w:t>
      </w:r>
      <w:r>
        <w:tab/>
        <w:t>any other affidavit required by a territory law; and</w:t>
      </w:r>
    </w:p>
    <w:p w14:paraId="51100738" w14:textId="77777777" w:rsidR="008112BD" w:rsidRDefault="008112BD" w:rsidP="008112BD">
      <w:pPr>
        <w:pStyle w:val="Apara"/>
        <w:keepNext/>
      </w:pPr>
      <w:r>
        <w:tab/>
        <w:t>(f)</w:t>
      </w:r>
      <w:r>
        <w:tab/>
        <w:t>anything else required under a territory law.</w:t>
      </w:r>
    </w:p>
    <w:p w14:paraId="6EF1BEFD" w14:textId="77777777"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14:paraId="4B38F356" w14:textId="41A57439"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73" w:tooltip="A2001-14" w:history="1">
        <w:r w:rsidRPr="00FE0788">
          <w:rPr>
            <w:rStyle w:val="charCitHyperlinkAbbrev"/>
          </w:rPr>
          <w:t>Legislation Act</w:t>
        </w:r>
      </w:hyperlink>
      <w:r>
        <w:t>, s 98).</w:t>
      </w:r>
    </w:p>
    <w:p w14:paraId="62DBF4CB" w14:textId="77777777"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14:paraId="2B4B05AF" w14:textId="77777777"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14:paraId="7825E0AA" w14:textId="77777777" w:rsidR="008112BD" w:rsidRDefault="008112BD" w:rsidP="008112BD">
      <w:pPr>
        <w:pStyle w:val="Amain"/>
      </w:pPr>
      <w:r>
        <w:tab/>
        <w:t>(5)</w:t>
      </w:r>
      <w:r>
        <w:tab/>
        <w:t>The application and the documents accompanying it need not be served on anyone unless the court otherwise orders on its own initiative.</w:t>
      </w:r>
    </w:p>
    <w:p w14:paraId="6028CEA5" w14:textId="77777777" w:rsidR="008112BD" w:rsidRDefault="008112BD" w:rsidP="008112BD">
      <w:pPr>
        <w:pStyle w:val="Amain"/>
        <w:keepNext/>
      </w:pPr>
      <w:r>
        <w:lastRenderedPageBreak/>
        <w:tab/>
        <w:t>(6)</w:t>
      </w:r>
      <w:r>
        <w:tab/>
        <w:t>A return date must not be set for the application unless the court otherwise orders on its own initiative.</w:t>
      </w:r>
    </w:p>
    <w:p w14:paraId="188C7792"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64F905F5" w14:textId="77777777" w:rsidR="00AE4563" w:rsidRPr="00D8116A" w:rsidRDefault="00AE4563" w:rsidP="00AE4563">
      <w:pPr>
        <w:pStyle w:val="AH5Sec"/>
      </w:pPr>
      <w:bookmarkStart w:id="926" w:name="_Toc185514542"/>
      <w:r w:rsidRPr="00AE4563">
        <w:rPr>
          <w:rStyle w:val="CharSectNo"/>
        </w:rPr>
        <w:t>3006</w:t>
      </w:r>
      <w:r w:rsidRPr="00D8116A">
        <w:tab/>
        <w:t>Grant of representation—notice of intention to apply to be published online etc</w:t>
      </w:r>
      <w:bookmarkEnd w:id="926"/>
    </w:p>
    <w:p w14:paraId="5D005EC9" w14:textId="6BA1F8DD" w:rsidR="008112BD" w:rsidRDefault="008112BD" w:rsidP="008112BD">
      <w:pPr>
        <w:pStyle w:val="Amain"/>
        <w:keepNext/>
      </w:pPr>
      <w:r>
        <w:tab/>
        <w:t>(1)</w:t>
      </w:r>
      <w:r>
        <w:tab/>
        <w:t xml:space="preserve">A person intending to apply for grant of representation for an estate must publish notice of the person’s intention to apply </w:t>
      </w:r>
      <w:r w:rsidR="00AE4563" w:rsidRPr="00D8116A">
        <w:t>online on the ACT Supreme Court website</w:t>
      </w:r>
      <w:r>
        <w:t>.</w:t>
      </w:r>
    </w:p>
    <w:p w14:paraId="724131D0" w14:textId="77777777" w:rsidR="008112BD" w:rsidRDefault="008112BD" w:rsidP="008112BD">
      <w:pPr>
        <w:pStyle w:val="aNote"/>
      </w:pPr>
      <w:r w:rsidRPr="00FE0788">
        <w:rPr>
          <w:rStyle w:val="charItals"/>
        </w:rPr>
        <w:t>Note</w:t>
      </w:r>
      <w:r w:rsidRPr="00FE0788">
        <w:rPr>
          <w:rStyle w:val="charItals"/>
        </w:rPr>
        <w:tab/>
      </w:r>
      <w:r>
        <w:t>See</w:t>
      </w:r>
    </w:p>
    <w:p w14:paraId="4A20EEE0" w14:textId="5CE0ADCE"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74" w:history="1">
        <w:r w:rsidR="00EC660F">
          <w:rPr>
            <w:rStyle w:val="charCitHyperlinkAbbrev"/>
          </w:rPr>
          <w:t>AF2022-7</w:t>
        </w:r>
      </w:hyperlink>
      <w:r w:rsidR="0026636A">
        <w:rPr>
          <w:rStyle w:val="charCitHyperlinkAbbrev"/>
        </w:rPr>
        <w:t>.</w:t>
      </w:r>
    </w:p>
    <w:p w14:paraId="6C78DA05" w14:textId="58C990E1"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75" w:history="1">
        <w:r w:rsidR="00EC660F">
          <w:rPr>
            <w:rStyle w:val="charCitHyperlinkAbbrev"/>
          </w:rPr>
          <w:t>AF2022-8</w:t>
        </w:r>
      </w:hyperlink>
      <w:r w:rsidR="0026636A">
        <w:rPr>
          <w:rStyle w:val="charCitHyperlinkAbbrev"/>
        </w:rPr>
        <w:t>.</w:t>
      </w:r>
    </w:p>
    <w:p w14:paraId="7350D911" w14:textId="5956C5BF"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76" w:history="1">
        <w:r w:rsidR="008A4FF3">
          <w:rPr>
            <w:rStyle w:val="charCitHyperlinkAbbrev"/>
          </w:rPr>
          <w:t>AF2022-6</w:t>
        </w:r>
      </w:hyperlink>
      <w:r>
        <w:t>.</w:t>
      </w:r>
    </w:p>
    <w:p w14:paraId="7FA446B3" w14:textId="77777777" w:rsidR="008112BD" w:rsidRDefault="008112BD" w:rsidP="008112BD">
      <w:pPr>
        <w:pStyle w:val="Amain"/>
      </w:pPr>
      <w:r>
        <w:tab/>
        <w:t>(2)</w:t>
      </w:r>
      <w:r>
        <w:tab/>
        <w:t>The notice must be published not less than 14 days, and not more than 3 months, before the day the application is made.</w:t>
      </w:r>
    </w:p>
    <w:p w14:paraId="5C394606" w14:textId="77777777" w:rsidR="008112BD" w:rsidRDefault="008112BD" w:rsidP="008112BD">
      <w:pPr>
        <w:pStyle w:val="Amain"/>
      </w:pPr>
      <w:r>
        <w:tab/>
        <w:t>(3)</w:t>
      </w:r>
      <w:r>
        <w:tab/>
        <w:t>The notice must include—</w:t>
      </w:r>
    </w:p>
    <w:p w14:paraId="1C403DE8" w14:textId="77777777" w:rsidR="008112BD" w:rsidRDefault="008112BD" w:rsidP="008112BD">
      <w:pPr>
        <w:pStyle w:val="Apara"/>
      </w:pPr>
      <w:r>
        <w:tab/>
        <w:t>(a)</w:t>
      </w:r>
      <w:r>
        <w:tab/>
        <w:t>the name, including any known alias, of the deceased person in relation to whom the grant is to be sought; and</w:t>
      </w:r>
    </w:p>
    <w:p w14:paraId="6793AC12" w14:textId="77777777" w:rsidR="008112BD" w:rsidRDefault="008112BD" w:rsidP="008112BD">
      <w:pPr>
        <w:pStyle w:val="Apara"/>
      </w:pPr>
      <w:r>
        <w:tab/>
        <w:t>(b)</w:t>
      </w:r>
      <w:r>
        <w:tab/>
        <w:t>if the deceased person left a will—</w:t>
      </w:r>
    </w:p>
    <w:p w14:paraId="273D109F" w14:textId="77777777" w:rsidR="008112BD" w:rsidRDefault="008112BD" w:rsidP="008112BD">
      <w:pPr>
        <w:pStyle w:val="Asubpara"/>
      </w:pPr>
      <w:r>
        <w:tab/>
        <w:t>(i)</w:t>
      </w:r>
      <w:r>
        <w:tab/>
        <w:t>the deceased person’s address as shown in the will and, if different, the deceased person’s last-known address; and</w:t>
      </w:r>
    </w:p>
    <w:p w14:paraId="6CB374AF" w14:textId="77777777" w:rsidR="008112BD" w:rsidRDefault="008112BD" w:rsidP="008112BD">
      <w:pPr>
        <w:pStyle w:val="Asubpara"/>
      </w:pPr>
      <w:r>
        <w:tab/>
        <w:t>(ii)</w:t>
      </w:r>
      <w:r>
        <w:tab/>
        <w:t xml:space="preserve">the date of the will and any other testamentary documents for which the grant of representation is sought; and </w:t>
      </w:r>
    </w:p>
    <w:p w14:paraId="3B903E02" w14:textId="77777777" w:rsidR="008112BD" w:rsidRDefault="008112BD" w:rsidP="008112BD">
      <w:pPr>
        <w:pStyle w:val="Apara"/>
      </w:pPr>
      <w:r>
        <w:tab/>
        <w:t>(c)</w:t>
      </w:r>
      <w:r>
        <w:tab/>
        <w:t>if the deceased person did not leave a will—the deceased person’s last-known address; and</w:t>
      </w:r>
    </w:p>
    <w:p w14:paraId="27A7A3E0" w14:textId="77777777" w:rsidR="008112BD" w:rsidRDefault="008112BD" w:rsidP="008112BD">
      <w:pPr>
        <w:pStyle w:val="Apara"/>
        <w:keepNext/>
      </w:pPr>
      <w:r>
        <w:lastRenderedPageBreak/>
        <w:tab/>
        <w:t>(d)</w:t>
      </w:r>
      <w:r>
        <w:tab/>
        <w:t>an address for service for the person intending to apply for the grant; and</w:t>
      </w:r>
    </w:p>
    <w:p w14:paraId="65469759"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60291C67" w14:textId="77777777" w:rsidR="008112BD" w:rsidRDefault="008112BD" w:rsidP="008112BD">
      <w:pPr>
        <w:pStyle w:val="Apara"/>
      </w:pPr>
      <w:r>
        <w:tab/>
        <w:t>(e)</w:t>
      </w:r>
      <w:r>
        <w:tab/>
        <w:t>a statement requiring creditors of the estate to send particulars of their claims to the address for service included in the notice; and</w:t>
      </w:r>
    </w:p>
    <w:p w14:paraId="24338AEA" w14:textId="77777777"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14:paraId="6864F145" w14:textId="77777777"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14:paraId="0388E21A" w14:textId="77777777" w:rsidR="008112BD" w:rsidRDefault="008112BD" w:rsidP="008112BD">
      <w:pPr>
        <w:pStyle w:val="AH5Sec"/>
      </w:pPr>
      <w:bookmarkStart w:id="927" w:name="_Toc185514543"/>
      <w:r w:rsidRPr="00C8328B">
        <w:rPr>
          <w:rStyle w:val="CharSectNo"/>
        </w:rPr>
        <w:t>3007</w:t>
      </w:r>
      <w:r>
        <w:tab/>
        <w:t>Grant of administration—notice of intention to apply to be served on non-applicant domestic partner or next of kin</w:t>
      </w:r>
      <w:bookmarkEnd w:id="927"/>
    </w:p>
    <w:p w14:paraId="3556A07D" w14:textId="77777777"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14:paraId="5757B938" w14:textId="54D5B4E4" w:rsidR="008112BD" w:rsidRDefault="008112BD" w:rsidP="008112BD">
      <w:pPr>
        <w:pStyle w:val="aNote"/>
      </w:pPr>
      <w:r w:rsidRPr="00FE0788">
        <w:rPr>
          <w:rStyle w:val="charItals"/>
        </w:rPr>
        <w:t>Note</w:t>
      </w:r>
      <w:r w:rsidRPr="00FE0788">
        <w:rPr>
          <w:rStyle w:val="charItals"/>
        </w:rPr>
        <w:tab/>
      </w:r>
      <w:r>
        <w:t xml:space="preserve">See the </w:t>
      </w:r>
      <w:hyperlink r:id="rId277" w:tooltip="A1929 No 18" w:history="1">
        <w:r w:rsidRPr="00353CE7">
          <w:rPr>
            <w:rStyle w:val="charCitHyperlinkAbbrev"/>
          </w:rPr>
          <w:t>Administration and Probate Act</w:t>
        </w:r>
      </w:hyperlink>
      <w:r>
        <w:t>, s 12 for the people eligible to be administrators.</w:t>
      </w:r>
    </w:p>
    <w:p w14:paraId="5B698311" w14:textId="77777777"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14:paraId="79D60853" w14:textId="77777777" w:rsidR="008112BD" w:rsidRDefault="008112BD" w:rsidP="008112BD">
      <w:pPr>
        <w:pStyle w:val="Apara"/>
      </w:pPr>
      <w:r>
        <w:tab/>
        <w:t>(a)</w:t>
      </w:r>
      <w:r>
        <w:tab/>
        <w:t xml:space="preserve">is a domestic partner or next of kin of the deceased person; and </w:t>
      </w:r>
    </w:p>
    <w:p w14:paraId="230A6099" w14:textId="77777777" w:rsidR="008112BD" w:rsidRDefault="008112BD" w:rsidP="008112BD">
      <w:pPr>
        <w:pStyle w:val="Apara"/>
      </w:pPr>
      <w:r>
        <w:tab/>
        <w:t>(b)</w:t>
      </w:r>
      <w:r>
        <w:tab/>
        <w:t>if the person is a next of kin of the deceased person—is an adult; and</w:t>
      </w:r>
    </w:p>
    <w:p w14:paraId="60289E94" w14:textId="77777777" w:rsidR="008112BD" w:rsidRDefault="008112BD" w:rsidP="008112BD">
      <w:pPr>
        <w:pStyle w:val="Apara"/>
      </w:pPr>
      <w:r>
        <w:tab/>
        <w:t>(c)</w:t>
      </w:r>
      <w:r>
        <w:tab/>
        <w:t xml:space="preserve">is not the applicant or 1 of the applicants; and </w:t>
      </w:r>
    </w:p>
    <w:p w14:paraId="11587B2B" w14:textId="77777777" w:rsidR="008112BD" w:rsidRDefault="008112BD" w:rsidP="008112BD">
      <w:pPr>
        <w:pStyle w:val="Apara"/>
        <w:keepNext/>
      </w:pPr>
      <w:r>
        <w:lastRenderedPageBreak/>
        <w:tab/>
        <w:t>(d)</w:t>
      </w:r>
      <w:r>
        <w:tab/>
        <w:t>has not consented to the application.</w:t>
      </w:r>
    </w:p>
    <w:p w14:paraId="0A79ED93" w14:textId="24E5A9C2"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78" w:history="1">
        <w:r w:rsidR="00EF6274">
          <w:rPr>
            <w:rStyle w:val="charCitHyperlinkAbbrev"/>
          </w:rPr>
          <w:t>AF2017</w:t>
        </w:r>
        <w:r w:rsidR="00EF6274">
          <w:rPr>
            <w:rStyle w:val="charCitHyperlinkAbbrev"/>
          </w:rPr>
          <w:noBreakHyphen/>
          <w:t>166</w:t>
        </w:r>
      </w:hyperlink>
      <w:r>
        <w:t>.</w:t>
      </w:r>
    </w:p>
    <w:p w14:paraId="029BE8CA" w14:textId="4D89B815"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79" w:tooltip="A2001-14" w:history="1">
        <w:r w:rsidRPr="00FE0788">
          <w:rPr>
            <w:rStyle w:val="charCitHyperlinkAbbrev"/>
          </w:rPr>
          <w:t>Legislation Act</w:t>
        </w:r>
      </w:hyperlink>
      <w:r>
        <w:t>, s 169.</w:t>
      </w:r>
    </w:p>
    <w:p w14:paraId="323E2C54" w14:textId="77777777" w:rsidR="008112BD" w:rsidRDefault="008112BD" w:rsidP="008112BD">
      <w:pPr>
        <w:pStyle w:val="Amain"/>
      </w:pPr>
      <w:r>
        <w:tab/>
        <w:t>(3)</w:t>
      </w:r>
      <w:r>
        <w:tab/>
        <w:t>For each relevant person, either—</w:t>
      </w:r>
    </w:p>
    <w:p w14:paraId="16376D09" w14:textId="77777777" w:rsidR="008112BD" w:rsidRDefault="008112BD" w:rsidP="008112BD">
      <w:pPr>
        <w:pStyle w:val="Apara"/>
      </w:pPr>
      <w:r>
        <w:tab/>
        <w:t>(a)</w:t>
      </w:r>
      <w:r>
        <w:tab/>
        <w:t>the application must be accompanied by the consent, by affidavit, of the relevant person to the application; or</w:t>
      </w:r>
    </w:p>
    <w:p w14:paraId="675EA691" w14:textId="77777777" w:rsidR="008112BD" w:rsidRDefault="008112BD" w:rsidP="008112BD">
      <w:pPr>
        <w:pStyle w:val="Apara"/>
        <w:keepNext/>
      </w:pPr>
      <w:r>
        <w:tab/>
        <w:t>(b)</w:t>
      </w:r>
      <w:r>
        <w:tab/>
        <w:t>the supporting affidavit for the application must state that the relevant person—</w:t>
      </w:r>
    </w:p>
    <w:p w14:paraId="352900A3" w14:textId="77777777" w:rsidR="008112BD" w:rsidRDefault="008112BD" w:rsidP="008112BD">
      <w:pPr>
        <w:pStyle w:val="Asubpara"/>
      </w:pPr>
      <w:r>
        <w:tab/>
        <w:t>(i)</w:t>
      </w:r>
      <w:r>
        <w:tab/>
        <w:t>has been served with notice of the application in accordance with subrule (2); or</w:t>
      </w:r>
    </w:p>
    <w:p w14:paraId="010A3FA4" w14:textId="77777777" w:rsidR="008112BD" w:rsidRDefault="008112BD" w:rsidP="008112BD">
      <w:pPr>
        <w:pStyle w:val="Asubpara"/>
      </w:pPr>
      <w:r>
        <w:tab/>
        <w:t>(ii)</w:t>
      </w:r>
      <w:r>
        <w:tab/>
        <w:t>cannot be found.</w:t>
      </w:r>
    </w:p>
    <w:p w14:paraId="01382291" w14:textId="77777777" w:rsidR="008112BD" w:rsidRDefault="008112BD" w:rsidP="008112BD">
      <w:pPr>
        <w:pStyle w:val="AH5Sec"/>
      </w:pPr>
      <w:bookmarkStart w:id="928" w:name="_Toc185514544"/>
      <w:r w:rsidRPr="00C8328B">
        <w:rPr>
          <w:rStyle w:val="CharSectNo"/>
        </w:rPr>
        <w:t>3008</w:t>
      </w:r>
      <w:r>
        <w:tab/>
        <w:t>Grant of administration—notice of intention of creditor to apply to be served on domestic partner and next of kin</w:t>
      </w:r>
      <w:bookmarkEnd w:id="928"/>
    </w:p>
    <w:p w14:paraId="6192B9B1" w14:textId="77777777" w:rsidR="008112BD" w:rsidRDefault="008112BD" w:rsidP="008112BD">
      <w:pPr>
        <w:pStyle w:val="Amain"/>
      </w:pPr>
      <w:r>
        <w:tab/>
        <w:t>(1)</w:t>
      </w:r>
      <w:r>
        <w:tab/>
        <w:t>This rule applies to an application for grant of administration of the estate of a deceased person made by a person as a creditor of the deceased person.</w:t>
      </w:r>
    </w:p>
    <w:p w14:paraId="54EA964C" w14:textId="77777777"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14:paraId="4694CEC8" w14:textId="77777777" w:rsidR="008112BD" w:rsidRDefault="008112BD" w:rsidP="008112BD">
      <w:pPr>
        <w:pStyle w:val="Apara"/>
      </w:pPr>
      <w:r>
        <w:tab/>
        <w:t>(a)</w:t>
      </w:r>
      <w:r>
        <w:tab/>
        <w:t xml:space="preserve">is a domestic partner or next of kin of the deceased person; and </w:t>
      </w:r>
    </w:p>
    <w:p w14:paraId="55CD9B15" w14:textId="77777777" w:rsidR="008112BD" w:rsidRDefault="008112BD" w:rsidP="008112BD">
      <w:pPr>
        <w:pStyle w:val="Apara"/>
      </w:pPr>
      <w:r>
        <w:tab/>
        <w:t>(b)</w:t>
      </w:r>
      <w:r>
        <w:tab/>
        <w:t>if the person is a next of kin of the deceased person—is an adult; and</w:t>
      </w:r>
    </w:p>
    <w:p w14:paraId="4BC358F5" w14:textId="77777777" w:rsidR="008112BD" w:rsidRDefault="008112BD" w:rsidP="008112BD">
      <w:pPr>
        <w:pStyle w:val="Apara"/>
      </w:pPr>
      <w:r>
        <w:tab/>
        <w:t>(c)</w:t>
      </w:r>
      <w:r>
        <w:tab/>
        <w:t xml:space="preserve">is not the applicant or 1 of the applicants; and </w:t>
      </w:r>
    </w:p>
    <w:p w14:paraId="2038912A" w14:textId="77777777" w:rsidR="008112BD" w:rsidRDefault="008112BD" w:rsidP="008112BD">
      <w:pPr>
        <w:pStyle w:val="Apara"/>
        <w:keepNext/>
      </w:pPr>
      <w:r>
        <w:lastRenderedPageBreak/>
        <w:tab/>
        <w:t>(d)</w:t>
      </w:r>
      <w:r>
        <w:tab/>
        <w:t>has not consented to the application.</w:t>
      </w:r>
    </w:p>
    <w:p w14:paraId="3525A9C9" w14:textId="2731D7B7"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0" w:history="1">
        <w:r w:rsidRPr="002E28B7">
          <w:rPr>
            <w:rStyle w:val="charCitHyperlinkAbbrev"/>
          </w:rPr>
          <w:t>AF2006</w:t>
        </w:r>
        <w:r w:rsidRPr="002E28B7">
          <w:rPr>
            <w:rStyle w:val="charCitHyperlinkAbbrev"/>
          </w:rPr>
          <w:noBreakHyphen/>
          <w:t>338</w:t>
        </w:r>
      </w:hyperlink>
      <w:r>
        <w:t>.</w:t>
      </w:r>
    </w:p>
    <w:p w14:paraId="00EF6056" w14:textId="699A4AE5"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1" w:tooltip="A2001-14" w:history="1">
        <w:r w:rsidRPr="00FE0788">
          <w:rPr>
            <w:rStyle w:val="charCitHyperlinkAbbrev"/>
          </w:rPr>
          <w:t>Legislation Act</w:t>
        </w:r>
      </w:hyperlink>
      <w:r>
        <w:t>, s 169.</w:t>
      </w:r>
    </w:p>
    <w:p w14:paraId="7A4F6E53" w14:textId="77777777" w:rsidR="008112BD" w:rsidRDefault="008112BD" w:rsidP="008112BD">
      <w:pPr>
        <w:pStyle w:val="Amain"/>
      </w:pPr>
      <w:r>
        <w:tab/>
        <w:t>(3)</w:t>
      </w:r>
      <w:r>
        <w:tab/>
        <w:t>For each relevant person, either—</w:t>
      </w:r>
    </w:p>
    <w:p w14:paraId="54485100" w14:textId="77777777" w:rsidR="008112BD" w:rsidRDefault="008112BD" w:rsidP="008112BD">
      <w:pPr>
        <w:pStyle w:val="Apara"/>
      </w:pPr>
      <w:r>
        <w:tab/>
        <w:t>(a)</w:t>
      </w:r>
      <w:r>
        <w:tab/>
        <w:t>the application must be accompanied by the consent, by affidavit, of the relevant person to the application; or</w:t>
      </w:r>
    </w:p>
    <w:p w14:paraId="75585320" w14:textId="77777777" w:rsidR="008112BD" w:rsidRDefault="008112BD" w:rsidP="008112BD">
      <w:pPr>
        <w:pStyle w:val="Apara"/>
        <w:keepNext/>
      </w:pPr>
      <w:r>
        <w:tab/>
        <w:t>(b)</w:t>
      </w:r>
      <w:r>
        <w:tab/>
        <w:t>the supporting affidavit for the application must state that the relevant person—</w:t>
      </w:r>
    </w:p>
    <w:p w14:paraId="5879E291" w14:textId="77777777" w:rsidR="008112BD" w:rsidRDefault="008112BD" w:rsidP="008112BD">
      <w:pPr>
        <w:pStyle w:val="Asubpara"/>
      </w:pPr>
      <w:r>
        <w:tab/>
        <w:t>(i)</w:t>
      </w:r>
      <w:r>
        <w:tab/>
        <w:t>has been served with notice of the application, and a copy of the supporting affidavit to accompany the application, in accordance with subrule (2); or</w:t>
      </w:r>
    </w:p>
    <w:p w14:paraId="56F5BCE6" w14:textId="77777777" w:rsidR="008112BD" w:rsidRDefault="008112BD" w:rsidP="008112BD">
      <w:pPr>
        <w:pStyle w:val="Asubpara"/>
      </w:pPr>
      <w:r>
        <w:tab/>
        <w:t>(ii)</w:t>
      </w:r>
      <w:r>
        <w:tab/>
        <w:t>cannot be found.</w:t>
      </w:r>
    </w:p>
    <w:p w14:paraId="2C5CB6CC" w14:textId="77777777" w:rsidR="008112BD" w:rsidRDefault="008112BD" w:rsidP="008112BD">
      <w:pPr>
        <w:pStyle w:val="AH5Sec"/>
      </w:pPr>
      <w:bookmarkStart w:id="929" w:name="_Toc185514545"/>
      <w:r w:rsidRPr="00C8328B">
        <w:rPr>
          <w:rStyle w:val="CharSectNo"/>
        </w:rPr>
        <w:t>3009</w:t>
      </w:r>
      <w:r>
        <w:tab/>
        <w:t xml:space="preserve">Grant of representation—when notice of intention to apply to be served on </w:t>
      </w:r>
      <w:r w:rsidR="00E439D1">
        <w:t>public trustee and guardian</w:t>
      </w:r>
      <w:bookmarkEnd w:id="929"/>
    </w:p>
    <w:p w14:paraId="7BDD7185" w14:textId="096C0320"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82"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14:paraId="7958EB1B" w14:textId="77777777"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14:paraId="63406B4F" w14:textId="77777777" w:rsidR="008112BD" w:rsidRDefault="008112BD" w:rsidP="008112BD">
      <w:pPr>
        <w:pStyle w:val="Amain"/>
      </w:pPr>
      <w:r>
        <w:tab/>
        <w:t>(3)</w:t>
      </w:r>
      <w:r>
        <w:tab/>
        <w:t>Either—</w:t>
      </w:r>
    </w:p>
    <w:p w14:paraId="3961A352" w14:textId="77777777"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14:paraId="71C350A9" w14:textId="77777777"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14:paraId="6CFA555C" w14:textId="77777777"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14:paraId="5AA98EE6" w14:textId="77777777" w:rsidR="008112BD" w:rsidRDefault="008112BD" w:rsidP="008112BD">
      <w:pPr>
        <w:pStyle w:val="AH5Sec"/>
      </w:pPr>
      <w:bookmarkStart w:id="930" w:name="_Toc185514546"/>
      <w:r w:rsidRPr="00C8328B">
        <w:rPr>
          <w:rStyle w:val="CharSectNo"/>
        </w:rPr>
        <w:t>3010</w:t>
      </w:r>
      <w:r>
        <w:tab/>
        <w:t>Grant of representation—supporting affidavit for application</w:t>
      </w:r>
      <w:bookmarkEnd w:id="930"/>
    </w:p>
    <w:p w14:paraId="35DBFDB9" w14:textId="77777777"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14:paraId="53A178D3" w14:textId="77777777" w:rsidR="008112BD" w:rsidRDefault="008112BD" w:rsidP="008112BD">
      <w:pPr>
        <w:pStyle w:val="Apara"/>
      </w:pPr>
      <w:r>
        <w:tab/>
        <w:t>(a)</w:t>
      </w:r>
      <w:r>
        <w:tab/>
        <w:t>the date of death or, if the date of death is not known, the circumstances of death and the place of death of the deceased person;</w:t>
      </w:r>
    </w:p>
    <w:p w14:paraId="74A50F97" w14:textId="77777777" w:rsidR="008112BD" w:rsidRDefault="008112BD" w:rsidP="008112BD">
      <w:pPr>
        <w:pStyle w:val="Apara"/>
      </w:pPr>
      <w:r>
        <w:tab/>
        <w:t>(b)</w:t>
      </w:r>
      <w:r>
        <w:tab/>
        <w:t>if the applicant is an individual—that the applicant is an adult;</w:t>
      </w:r>
    </w:p>
    <w:p w14:paraId="7B5404FE" w14:textId="77777777" w:rsidR="008112BD" w:rsidRDefault="008112BD" w:rsidP="008112BD">
      <w:pPr>
        <w:pStyle w:val="Apara"/>
      </w:pPr>
      <w:r>
        <w:tab/>
        <w:t>(c)</w:t>
      </w:r>
      <w:r>
        <w:tab/>
        <w:t>the relationship (if any) of the applicant to the deceased person;</w:t>
      </w:r>
    </w:p>
    <w:p w14:paraId="61508F44" w14:textId="77777777" w:rsidR="008112BD" w:rsidRDefault="008112BD" w:rsidP="008112BD">
      <w:pPr>
        <w:pStyle w:val="Apara"/>
      </w:pPr>
      <w:r>
        <w:tab/>
        <w:t>(d)</w:t>
      </w:r>
      <w:r>
        <w:tab/>
        <w:t>if a death certificate for the deceased person is annexed to the affidavit—that the deceased person is the person named in the death certificate;</w:t>
      </w:r>
    </w:p>
    <w:p w14:paraId="6A94FB71" w14:textId="77777777" w:rsidR="008112BD" w:rsidRDefault="008112BD" w:rsidP="008112BD">
      <w:pPr>
        <w:pStyle w:val="Apara"/>
      </w:pPr>
      <w:r>
        <w:tab/>
        <w:t>(e)</w:t>
      </w:r>
      <w:r>
        <w:tab/>
        <w:t>if the application is made, for the first time, more than 6 months after the date of the deceased person’s death—the reasons for the delay;</w:t>
      </w:r>
    </w:p>
    <w:p w14:paraId="707F12C9" w14:textId="77777777" w:rsidR="008112BD" w:rsidRDefault="008112BD" w:rsidP="008112BD">
      <w:pPr>
        <w:pStyle w:val="Apara"/>
      </w:pPr>
      <w:r>
        <w:tab/>
        <w:t>(f)</w:t>
      </w:r>
      <w:r>
        <w:tab/>
        <w:t xml:space="preserve">whether the deceased person left property in the ACT; </w:t>
      </w:r>
    </w:p>
    <w:p w14:paraId="5600A912" w14:textId="77777777" w:rsidR="008112BD" w:rsidRDefault="008112BD" w:rsidP="008112BD">
      <w:pPr>
        <w:pStyle w:val="Apara"/>
      </w:pPr>
      <w:r>
        <w:tab/>
        <w:t>(g)</w:t>
      </w:r>
      <w:r>
        <w:tab/>
        <w:t>if the deceased left property in the ACT—the estimated gross value of the property in the ACT;</w:t>
      </w:r>
    </w:p>
    <w:p w14:paraId="726301B6" w14:textId="77777777" w:rsidR="008112BD" w:rsidRDefault="008112BD" w:rsidP="008112BD">
      <w:pPr>
        <w:pStyle w:val="Apara"/>
      </w:pPr>
      <w:r>
        <w:tab/>
        <w:t>(h)</w:t>
      </w:r>
      <w:r>
        <w:tab/>
        <w:t>whether the deceased person considered that the person’s domicile was in the ACT;</w:t>
      </w:r>
    </w:p>
    <w:p w14:paraId="5B458BB7" w14:textId="77777777"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14:paraId="160DDB34" w14:textId="77777777" w:rsidR="008112BD" w:rsidRDefault="008112BD" w:rsidP="008112BD">
      <w:pPr>
        <w:pStyle w:val="Apara"/>
        <w:keepNext/>
      </w:pPr>
      <w:r>
        <w:tab/>
        <w:t>(j)</w:t>
      </w:r>
      <w:r>
        <w:tab/>
        <w:t>if the application is made by the applicant as a creditor of the deceased person—the following particulars:</w:t>
      </w:r>
    </w:p>
    <w:p w14:paraId="2C9F06B3" w14:textId="77777777" w:rsidR="008112BD" w:rsidRDefault="008112BD" w:rsidP="008112BD">
      <w:pPr>
        <w:pStyle w:val="Asubpara"/>
        <w:keepNext/>
      </w:pPr>
      <w:r>
        <w:tab/>
        <w:t>(i)</w:t>
      </w:r>
      <w:r>
        <w:tab/>
        <w:t xml:space="preserve">that the applicant is a creditor of the deceased person; </w:t>
      </w:r>
    </w:p>
    <w:p w14:paraId="6BD0CC54" w14:textId="77777777" w:rsidR="008112BD" w:rsidRDefault="008112BD" w:rsidP="008112BD">
      <w:pPr>
        <w:pStyle w:val="Asubpara"/>
      </w:pPr>
      <w:r>
        <w:tab/>
        <w:t>(ii)</w:t>
      </w:r>
      <w:r>
        <w:tab/>
        <w:t xml:space="preserve">the amount of the debt owed by the deceased person to the applicant; </w:t>
      </w:r>
    </w:p>
    <w:p w14:paraId="443BA169" w14:textId="77777777" w:rsidR="008112BD" w:rsidRDefault="008112BD" w:rsidP="008112BD">
      <w:pPr>
        <w:pStyle w:val="Asubpara"/>
      </w:pPr>
      <w:r>
        <w:tab/>
        <w:t>(iii)</w:t>
      </w:r>
      <w:r>
        <w:tab/>
        <w:t>the particulars of the debt;</w:t>
      </w:r>
    </w:p>
    <w:p w14:paraId="3EAC0C64" w14:textId="77777777"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14:paraId="0EF14EA0" w14:textId="77777777" w:rsidR="00AE4563" w:rsidRPr="00D8116A" w:rsidRDefault="00AE4563" w:rsidP="00AE4563">
      <w:pPr>
        <w:pStyle w:val="Apara"/>
      </w:pPr>
      <w:r w:rsidRPr="00D8116A">
        <w:tab/>
        <w:t>(l)</w:t>
      </w:r>
      <w:r w:rsidRPr="00D8116A">
        <w:tab/>
        <w:t>that notice of intention to make the application was published online on the ACT Supreme Court website, and the date the notice was published;</w:t>
      </w:r>
    </w:p>
    <w:p w14:paraId="42C31A5B" w14:textId="77777777" w:rsidR="008112BD" w:rsidRDefault="008112BD" w:rsidP="008112BD">
      <w:pPr>
        <w:pStyle w:val="Apara"/>
      </w:pPr>
      <w:r>
        <w:tab/>
        <w:t>(m)</w:t>
      </w:r>
      <w:r>
        <w:tab/>
        <w:t>brief details of any responses to the publication of the notice from creditors of the estate.</w:t>
      </w:r>
    </w:p>
    <w:p w14:paraId="51D6E8AE" w14:textId="77777777" w:rsidR="008112BD" w:rsidRDefault="008112BD" w:rsidP="008112BD">
      <w:pPr>
        <w:pStyle w:val="aNote"/>
      </w:pPr>
      <w:r w:rsidRPr="00FE0788">
        <w:rPr>
          <w:rStyle w:val="charItals"/>
        </w:rPr>
        <w:t>Note 1</w:t>
      </w:r>
      <w:r w:rsidRPr="00FE0788">
        <w:rPr>
          <w:rStyle w:val="charItals"/>
        </w:rPr>
        <w:tab/>
      </w:r>
      <w:r>
        <w:t>See</w:t>
      </w:r>
    </w:p>
    <w:p w14:paraId="3CA929F6" w14:textId="6CC95868"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83" w:history="1">
        <w:r w:rsidR="00C54081">
          <w:rPr>
            <w:rStyle w:val="charCitHyperlinkAbbrev"/>
          </w:rPr>
          <w:t>AF2022</w:t>
        </w:r>
        <w:r w:rsidR="00C54081">
          <w:rPr>
            <w:rStyle w:val="charCitHyperlinkAbbrev"/>
          </w:rPr>
          <w:noBreakHyphen/>
          <w:t>1</w:t>
        </w:r>
      </w:hyperlink>
      <w:r w:rsidR="0026636A">
        <w:rPr>
          <w:rStyle w:val="charCitHyperlinkAbbrev"/>
        </w:rPr>
        <w:t>.</w:t>
      </w:r>
    </w:p>
    <w:p w14:paraId="40BB9889" w14:textId="65D00732"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84" w:history="1">
        <w:r w:rsidR="005A5608">
          <w:rPr>
            <w:rStyle w:val="charCitHyperlinkAbbrev"/>
          </w:rPr>
          <w:t>AF2022-2</w:t>
        </w:r>
      </w:hyperlink>
      <w:r w:rsidR="0026636A">
        <w:rPr>
          <w:rStyle w:val="charCitHyperlinkAbbrev"/>
        </w:rPr>
        <w:t>.</w:t>
      </w:r>
    </w:p>
    <w:p w14:paraId="77D79542" w14:textId="37828933"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85" w:history="1">
        <w:r w:rsidR="005A5608">
          <w:rPr>
            <w:rStyle w:val="charCitHyperlinkAbbrev"/>
          </w:rPr>
          <w:t>AF2022-3</w:t>
        </w:r>
      </w:hyperlink>
      <w:r>
        <w:t>.</w:t>
      </w:r>
    </w:p>
    <w:p w14:paraId="24860ED9" w14:textId="77777777"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14:paraId="45F456B3" w14:textId="77777777"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14:paraId="49AEEFE3" w14:textId="77777777"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14:paraId="5735AFA8" w14:textId="77777777"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14:paraId="41A091DA" w14:textId="77777777"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14:paraId="48083F85" w14:textId="77777777"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14:paraId="7F79BDA9" w14:textId="77777777" w:rsidR="008112BD" w:rsidRDefault="008112BD" w:rsidP="008112BD">
      <w:pPr>
        <w:pStyle w:val="Apara"/>
      </w:pPr>
      <w:r>
        <w:tab/>
        <w:t>(b)</w:t>
      </w:r>
      <w:r>
        <w:tab/>
        <w:t>if the application is for grant of probate—the applicant is the executor, or 1 of the executors, named in the will;</w:t>
      </w:r>
    </w:p>
    <w:p w14:paraId="7C6DEF42" w14:textId="77777777" w:rsidR="008112BD" w:rsidRDefault="008112BD" w:rsidP="008112BD">
      <w:pPr>
        <w:pStyle w:val="Apara"/>
      </w:pPr>
      <w:r>
        <w:tab/>
        <w:t>(c)</w:t>
      </w:r>
      <w:r>
        <w:tab/>
        <w:t xml:space="preserve">the will has not been revoked; </w:t>
      </w:r>
    </w:p>
    <w:p w14:paraId="2080A25A" w14:textId="77777777" w:rsidR="008112BD" w:rsidRDefault="008112BD" w:rsidP="008112BD">
      <w:pPr>
        <w:pStyle w:val="Apara"/>
      </w:pPr>
      <w:r>
        <w:tab/>
        <w:t>(d)</w:t>
      </w:r>
      <w:r>
        <w:tab/>
        <w:t>the applicant is, or is not, aware of the existence of any other document claiming to contain the testamentary intentions of the deceased person;</w:t>
      </w:r>
    </w:p>
    <w:p w14:paraId="01E1156A" w14:textId="77777777" w:rsidR="008112BD" w:rsidRDefault="008112BD" w:rsidP="008112BD">
      <w:pPr>
        <w:pStyle w:val="Apara"/>
      </w:pPr>
      <w:r>
        <w:tab/>
        <w:t>(e)</w:t>
      </w:r>
      <w:r>
        <w:tab/>
        <w:t>the steps taken to find out whether there is any other document mentioned in paragraph (d);</w:t>
      </w:r>
    </w:p>
    <w:p w14:paraId="32FF3842" w14:textId="77777777" w:rsidR="008112BD" w:rsidRDefault="008112BD" w:rsidP="008112BD">
      <w:pPr>
        <w:pStyle w:val="Apara"/>
      </w:pPr>
      <w:r>
        <w:tab/>
        <w:t>(f)</w:t>
      </w:r>
      <w:r>
        <w:tab/>
        <w:t>how the applicant identified the will;</w:t>
      </w:r>
    </w:p>
    <w:p w14:paraId="041E1107" w14:textId="77777777" w:rsidR="008112BD" w:rsidRDefault="008112BD" w:rsidP="008112BD">
      <w:pPr>
        <w:pStyle w:val="Apara"/>
      </w:pPr>
      <w:r>
        <w:tab/>
        <w:t>(g)</w:t>
      </w:r>
      <w:r>
        <w:tab/>
        <w:t>the names of the people who attested the will;</w:t>
      </w:r>
    </w:p>
    <w:p w14:paraId="107FE3E1" w14:textId="77777777" w:rsidR="008112BD" w:rsidRDefault="008112BD" w:rsidP="008112BD">
      <w:pPr>
        <w:pStyle w:val="Apara"/>
      </w:pPr>
      <w:r>
        <w:tab/>
        <w:t>(h)</w:t>
      </w:r>
      <w:r>
        <w:tab/>
        <w:t>the names and addresses (if known) of the people named in the will as the executors;</w:t>
      </w:r>
    </w:p>
    <w:p w14:paraId="1555FA45" w14:textId="77777777"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14:paraId="1E6EE024" w14:textId="77777777"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14:paraId="1E998BF6" w14:textId="26B84C46" w:rsidR="008112BD" w:rsidRPr="005D331F" w:rsidRDefault="008112BD" w:rsidP="008112BD">
      <w:pPr>
        <w:pStyle w:val="Apara"/>
      </w:pPr>
      <w:r w:rsidRPr="005D331F">
        <w:tab/>
        <w:t>(k)</w:t>
      </w:r>
      <w:r w:rsidRPr="005D331F">
        <w:tab/>
        <w:t xml:space="preserve">if under the </w:t>
      </w:r>
      <w:hyperlink r:id="rId286"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14:paraId="039B2FC4" w14:textId="0F77675A"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87" w:tooltip="A1968-11" w:history="1">
        <w:r w:rsidRPr="005D331F">
          <w:rPr>
            <w:rStyle w:val="charCitHyperlinkItal"/>
          </w:rPr>
          <w:t>Wills Act 1968</w:t>
        </w:r>
      </w:hyperlink>
      <w:r w:rsidRPr="005D331F">
        <w:t>, s 20A (4) provides that a marriage is taken to be terminated if—</w:t>
      </w:r>
    </w:p>
    <w:p w14:paraId="73842C0C" w14:textId="7C8A2CC1" w:rsidR="008112BD" w:rsidRPr="005D331F" w:rsidRDefault="008112BD" w:rsidP="008112BD">
      <w:pPr>
        <w:pStyle w:val="aNoteParapar"/>
      </w:pPr>
      <w:r w:rsidRPr="005D331F">
        <w:tab/>
        <w:t>(a)</w:t>
      </w:r>
      <w:r w:rsidRPr="005D331F">
        <w:tab/>
        <w:t xml:space="preserve">the marriage ends by divorce under the </w:t>
      </w:r>
      <w:hyperlink r:id="rId288" w:tooltip="Act 1975 No 53 (Cwlth)" w:history="1">
        <w:r w:rsidRPr="005D331F">
          <w:rPr>
            <w:rStyle w:val="charCitHyperlinkItal"/>
          </w:rPr>
          <w:t>Family Law Act 1975</w:t>
        </w:r>
      </w:hyperlink>
      <w:r w:rsidRPr="005D331F">
        <w:rPr>
          <w:rStyle w:val="charItals"/>
        </w:rPr>
        <w:t xml:space="preserve"> </w:t>
      </w:r>
      <w:r w:rsidRPr="005D331F">
        <w:t>(Cwlth); or</w:t>
      </w:r>
    </w:p>
    <w:p w14:paraId="309AAAE4" w14:textId="51F535EE" w:rsidR="008112BD" w:rsidRPr="005D331F" w:rsidRDefault="008112BD" w:rsidP="008112BD">
      <w:pPr>
        <w:pStyle w:val="aNoteParapar"/>
      </w:pPr>
      <w:r w:rsidRPr="005D331F">
        <w:tab/>
        <w:t>(b)</w:t>
      </w:r>
      <w:r w:rsidRPr="005D331F">
        <w:tab/>
        <w:t xml:space="preserve">a decree of nullity is made under the </w:t>
      </w:r>
      <w:hyperlink r:id="rId289"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14:paraId="389AC146" w14:textId="1CDB026E"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0" w:tooltip="Act 1975 No 53 (Cwlth)" w:history="1">
        <w:r w:rsidRPr="005D331F">
          <w:rPr>
            <w:rStyle w:val="charCitHyperlinkItal"/>
          </w:rPr>
          <w:t>Family Law Act 1975</w:t>
        </w:r>
      </w:hyperlink>
      <w:r w:rsidRPr="005D331F">
        <w:t xml:space="preserve"> (Cwlth).</w:t>
      </w:r>
    </w:p>
    <w:p w14:paraId="23F5691B" w14:textId="4055CEE6"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1"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292" w:tooltip="A2012-40" w:history="1">
        <w:r w:rsidRPr="005D331F">
          <w:rPr>
            <w:rStyle w:val="charCitHyperlinkItal"/>
          </w:rPr>
          <w:t>Civil Unions Act 2012</w:t>
        </w:r>
      </w:hyperlink>
      <w:r w:rsidRPr="005D331F">
        <w:t>, div 2.4 (otherwise than on the death of a party to the civil union).</w:t>
      </w:r>
    </w:p>
    <w:p w14:paraId="18CE0003" w14:textId="39217CD5"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293"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294" w:tooltip="A1994-28" w:history="1">
        <w:r w:rsidRPr="005D331F">
          <w:rPr>
            <w:rStyle w:val="charCitHyperlinkItal"/>
          </w:rPr>
          <w:t>Domestic Relationships Act 1994</w:t>
        </w:r>
      </w:hyperlink>
      <w:r w:rsidRPr="005D331F">
        <w:t>, div 4A.4 (otherwise than on the death of a party to the civil partnership).</w:t>
      </w:r>
    </w:p>
    <w:p w14:paraId="31E32658" w14:textId="35BDF66A"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295" w:tooltip="A1968-11" w:history="1">
        <w:r w:rsidRPr="00FE0788">
          <w:rPr>
            <w:rStyle w:val="charCitHyperlinkItal"/>
          </w:rPr>
          <w:t>Wills Act 1968</w:t>
        </w:r>
      </w:hyperlink>
      <w:r>
        <w:t>, section 8 (Children—testamentary capacity).</w:t>
      </w:r>
    </w:p>
    <w:p w14:paraId="7242BABC" w14:textId="77777777"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14:paraId="0502A40E" w14:textId="77777777" w:rsidR="008112BD" w:rsidRDefault="008112BD" w:rsidP="008112BD">
      <w:pPr>
        <w:pStyle w:val="Apara"/>
      </w:pPr>
      <w:r>
        <w:tab/>
        <w:t>(a)</w:t>
      </w:r>
      <w:r>
        <w:tab/>
        <w:t>the deceased person did not leave a will;</w:t>
      </w:r>
    </w:p>
    <w:p w14:paraId="515C53F9" w14:textId="77777777"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14:paraId="5E0E5BB6" w14:textId="77777777" w:rsidR="008112BD" w:rsidRDefault="008112BD" w:rsidP="008112BD">
      <w:pPr>
        <w:pStyle w:val="Apara"/>
      </w:pPr>
      <w:r>
        <w:tab/>
        <w:t>(c)</w:t>
      </w:r>
      <w:r>
        <w:tab/>
        <w:t>the steps taken to find out whether the deceased person left a will and whether there is any other document mentioned in paragraph (b);</w:t>
      </w:r>
    </w:p>
    <w:p w14:paraId="67E1304E" w14:textId="77777777" w:rsidR="008112BD" w:rsidRDefault="008112BD" w:rsidP="008112BD">
      <w:pPr>
        <w:pStyle w:val="Apara"/>
      </w:pPr>
      <w:r>
        <w:tab/>
        <w:t>(d)</w:t>
      </w:r>
      <w:r>
        <w:tab/>
        <w:t>the names of everyone with a beneficial interest in the estate;</w:t>
      </w:r>
    </w:p>
    <w:p w14:paraId="4506FC59" w14:textId="77777777" w:rsidR="008112BD" w:rsidRDefault="008112BD" w:rsidP="008112BD">
      <w:pPr>
        <w:pStyle w:val="Apara"/>
      </w:pPr>
      <w:r>
        <w:tab/>
        <w:t>(e)</w:t>
      </w:r>
      <w:r>
        <w:tab/>
        <w:t>the interest of everyone with a beneficial interest in the estate.</w:t>
      </w:r>
    </w:p>
    <w:p w14:paraId="380BBE45" w14:textId="77777777"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14:paraId="358F3209" w14:textId="77777777"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14:paraId="517F5C5C" w14:textId="77777777" w:rsidR="008112BD" w:rsidRDefault="008112BD" w:rsidP="008112BD">
      <w:pPr>
        <w:pStyle w:val="Amain"/>
        <w:keepNext/>
      </w:pPr>
      <w:r>
        <w:tab/>
        <w:t>(6)</w:t>
      </w:r>
      <w:r>
        <w:tab/>
        <w:t>The following documents must be annexed to the supporting affidavit (or a relevant supporting affidavit):</w:t>
      </w:r>
    </w:p>
    <w:p w14:paraId="1E070E24" w14:textId="33CC1348" w:rsidR="008112BD" w:rsidRDefault="008112BD" w:rsidP="008112BD">
      <w:pPr>
        <w:pStyle w:val="Apara"/>
      </w:pPr>
      <w:r>
        <w:tab/>
        <w:t>(a)</w:t>
      </w:r>
      <w:r>
        <w:tab/>
        <w:t xml:space="preserve">any death certificate (or a certified copy of any death certificate) issued for the deceased person under the </w:t>
      </w:r>
      <w:hyperlink r:id="rId296" w:tooltip="A1997-112" w:history="1">
        <w:r w:rsidRPr="00FE0788">
          <w:rPr>
            <w:rStyle w:val="charCitHyperlinkItal"/>
          </w:rPr>
          <w:t>Births, Deaths and Marriages Registration Act 1997</w:t>
        </w:r>
      </w:hyperlink>
      <w:r>
        <w:t xml:space="preserve"> or a corresponding law of another jurisdiction;</w:t>
      </w:r>
    </w:p>
    <w:p w14:paraId="0FB630F4" w14:textId="77777777"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14:paraId="5B80CB1E" w14:textId="77777777"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14:paraId="76FD2CDD" w14:textId="77777777" w:rsidR="008112BD" w:rsidRDefault="008112BD" w:rsidP="008112BD">
      <w:pPr>
        <w:pStyle w:val="Apara"/>
      </w:pPr>
      <w:r>
        <w:tab/>
        <w:t>(c)</w:t>
      </w:r>
      <w:r>
        <w:tab/>
        <w:t>an inventory of the property of the estate;</w:t>
      </w:r>
    </w:p>
    <w:p w14:paraId="69AF1ADC" w14:textId="5D193D0A" w:rsidR="008112BD" w:rsidRDefault="008112BD" w:rsidP="008112BD">
      <w:pPr>
        <w:pStyle w:val="Apara"/>
      </w:pPr>
      <w:r>
        <w:lastRenderedPageBreak/>
        <w:tab/>
        <w:t>(d)</w:t>
      </w:r>
      <w:r>
        <w:tab/>
        <w:t xml:space="preserve">a copy of the notice (or each notice) required by rule 3006 (Grant of representation—notice of intention to apply to be </w:t>
      </w:r>
      <w:r w:rsidR="00AE4563" w:rsidRPr="00D8116A">
        <w:t>published online</w:t>
      </w:r>
      <w:r>
        <w:t xml:space="preserve"> etc);</w:t>
      </w:r>
    </w:p>
    <w:p w14:paraId="7DA65E6F" w14:textId="77777777" w:rsidR="008112BD" w:rsidRDefault="008112BD" w:rsidP="008112BD">
      <w:pPr>
        <w:pStyle w:val="Apara"/>
      </w:pPr>
      <w:r>
        <w:tab/>
        <w:t>(e)</w:t>
      </w:r>
      <w:r>
        <w:tab/>
        <w:t>if the application is made by the applicant as a creditor of the deceased person—documents sufficient to prove the deceased person’s debt to the applicant;</w:t>
      </w:r>
    </w:p>
    <w:p w14:paraId="7281B378" w14:textId="77777777"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14:paraId="74CEF934" w14:textId="77777777" w:rsidR="008112BD" w:rsidRDefault="008112BD" w:rsidP="008112BD">
      <w:pPr>
        <w:pStyle w:val="aNote"/>
      </w:pPr>
      <w:r w:rsidRPr="00FE0788">
        <w:rPr>
          <w:rStyle w:val="charItals"/>
        </w:rPr>
        <w:t>Note</w:t>
      </w:r>
      <w:r>
        <w:tab/>
        <w:t>See also div 3.1.4 (Validity and form of wills).</w:t>
      </w:r>
    </w:p>
    <w:p w14:paraId="433B2E69" w14:textId="77777777" w:rsidR="008112BD" w:rsidRDefault="008112BD" w:rsidP="008112BD">
      <w:pPr>
        <w:pStyle w:val="AH5Sec"/>
      </w:pPr>
      <w:bookmarkStart w:id="931" w:name="_Toc185514547"/>
      <w:r w:rsidRPr="00C8328B">
        <w:rPr>
          <w:rStyle w:val="CharSectNo"/>
        </w:rPr>
        <w:t>3011</w:t>
      </w:r>
      <w:r>
        <w:tab/>
        <w:t>Grant of representation—affidavit of search</w:t>
      </w:r>
      <w:bookmarkEnd w:id="931"/>
    </w:p>
    <w:p w14:paraId="507048FC" w14:textId="77777777"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14:paraId="7EACD963"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481CB61B" w14:textId="77777777"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14:paraId="10830F7D" w14:textId="77777777"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14:paraId="0EF5F48C" w14:textId="73CD91E1"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297" w:history="1">
        <w:r w:rsidR="00E318DA">
          <w:rPr>
            <w:rStyle w:val="charCitHyperlinkAbbrev"/>
          </w:rPr>
          <w:t>AF2017-170</w:t>
        </w:r>
      </w:hyperlink>
      <w:r>
        <w:t>.</w:t>
      </w:r>
    </w:p>
    <w:p w14:paraId="0CB352F0" w14:textId="77777777" w:rsidR="008112BD" w:rsidRDefault="008112BD" w:rsidP="008112BD">
      <w:pPr>
        <w:pStyle w:val="AH5Sec"/>
      </w:pPr>
      <w:bookmarkStart w:id="932" w:name="_Toc185514548"/>
      <w:r w:rsidRPr="00C8328B">
        <w:rPr>
          <w:rStyle w:val="CharSectNo"/>
        </w:rPr>
        <w:lastRenderedPageBreak/>
        <w:t>3012</w:t>
      </w:r>
      <w:r>
        <w:tab/>
        <w:t>Grant of representation—proof of identity and death</w:t>
      </w:r>
      <w:bookmarkEnd w:id="932"/>
      <w:r>
        <w:t xml:space="preserve"> </w:t>
      </w:r>
    </w:p>
    <w:p w14:paraId="56817DE1" w14:textId="77777777" w:rsidR="008112BD" w:rsidRDefault="008112BD" w:rsidP="008112BD">
      <w:pPr>
        <w:pStyle w:val="Amain"/>
      </w:pPr>
      <w:r>
        <w:tab/>
        <w:t>(1)</w:t>
      </w:r>
      <w:r>
        <w:tab/>
        <w:t>This rule applies if an application is made for grant of representation for the estate of a deceased person.</w:t>
      </w:r>
    </w:p>
    <w:p w14:paraId="40C6FF86" w14:textId="77777777" w:rsidR="008112BD" w:rsidRDefault="008112BD" w:rsidP="008112BD">
      <w:pPr>
        <w:pStyle w:val="Amain"/>
      </w:pPr>
      <w:r>
        <w:tab/>
        <w:t>(2)</w:t>
      </w:r>
      <w:r>
        <w:tab/>
        <w:t>The court may require further proof of the identity of the deceased person or the applicant.</w:t>
      </w:r>
    </w:p>
    <w:p w14:paraId="2D4588E7" w14:textId="77777777" w:rsidR="008112BD" w:rsidRDefault="008112BD" w:rsidP="008112BD">
      <w:pPr>
        <w:pStyle w:val="Amain"/>
        <w:keepNext/>
      </w:pPr>
      <w:r>
        <w:tab/>
        <w:t>(3)</w:t>
      </w:r>
      <w:r>
        <w:tab/>
        <w:t>The court may, on application, allow a death to be proved otherwise than by a death certificate.</w:t>
      </w:r>
    </w:p>
    <w:p w14:paraId="5FA1DBD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F7C6DDF" w14:textId="77777777" w:rsidR="008112BD" w:rsidRDefault="008112BD" w:rsidP="008112BD">
      <w:pPr>
        <w:pStyle w:val="AH5Sec"/>
      </w:pPr>
      <w:bookmarkStart w:id="933" w:name="_Toc185514549"/>
      <w:r w:rsidRPr="00C8328B">
        <w:rPr>
          <w:rStyle w:val="CharSectNo"/>
        </w:rPr>
        <w:t>3013</w:t>
      </w:r>
      <w:r>
        <w:tab/>
        <w:t>Grant of representation—further evidence, documents and notices</w:t>
      </w:r>
      <w:bookmarkEnd w:id="933"/>
    </w:p>
    <w:p w14:paraId="438FF3E1" w14:textId="77777777" w:rsidR="008112BD" w:rsidRDefault="008112BD" w:rsidP="008112BD">
      <w:pPr>
        <w:pStyle w:val="Amain"/>
      </w:pPr>
      <w:r>
        <w:tab/>
        <w:t>(1)</w:t>
      </w:r>
      <w:r>
        <w:tab/>
        <w:t>This rule applies if an application is made for grant of representation for the estate of a deceased person.</w:t>
      </w:r>
    </w:p>
    <w:p w14:paraId="048BDFD9" w14:textId="77777777"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14:paraId="05174A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69A0FC78" w14:textId="77777777" w:rsidR="008112BD" w:rsidRDefault="008112BD" w:rsidP="008112BD">
      <w:pPr>
        <w:pStyle w:val="AH5Sec"/>
      </w:pPr>
      <w:bookmarkStart w:id="934" w:name="_Toc185514550"/>
      <w:r w:rsidRPr="00C8328B">
        <w:rPr>
          <w:rStyle w:val="CharSectNo"/>
        </w:rPr>
        <w:t>3014</w:t>
      </w:r>
      <w:r>
        <w:tab/>
        <w:t>Grant of representation—no grant to executor etc who has renounced</w:t>
      </w:r>
      <w:bookmarkEnd w:id="934"/>
    </w:p>
    <w:p w14:paraId="60027A28" w14:textId="77777777" w:rsidR="008112BD" w:rsidRDefault="008112BD" w:rsidP="008112BD">
      <w:pPr>
        <w:pStyle w:val="Amain"/>
      </w:pPr>
      <w:r>
        <w:tab/>
        <w:t>(1)</w:t>
      </w:r>
      <w:r>
        <w:tab/>
        <w:t>A person may renounce probate of the will or administration of the estate of a deceased person by affidavit.</w:t>
      </w:r>
    </w:p>
    <w:p w14:paraId="5A154651" w14:textId="48F84C9C"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298" w:history="1">
        <w:r w:rsidR="00E318DA">
          <w:rPr>
            <w:rStyle w:val="charCitHyperlinkAbbrev"/>
          </w:rPr>
          <w:t>AF2017-171</w:t>
        </w:r>
      </w:hyperlink>
      <w:r>
        <w:t>.</w:t>
      </w:r>
    </w:p>
    <w:p w14:paraId="7D377FF1" w14:textId="77777777"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14:paraId="55343DAE" w14:textId="77777777" w:rsidR="008112BD" w:rsidRDefault="008112BD" w:rsidP="008112BD">
      <w:pPr>
        <w:pStyle w:val="AH5Sec"/>
      </w:pPr>
      <w:bookmarkStart w:id="935" w:name="_Toc185514551"/>
      <w:r w:rsidRPr="00C8328B">
        <w:rPr>
          <w:rStyle w:val="CharSectNo"/>
        </w:rPr>
        <w:lastRenderedPageBreak/>
        <w:t>3015</w:t>
      </w:r>
      <w:r>
        <w:tab/>
        <w:t>Grant of representation—when hearing not required</w:t>
      </w:r>
      <w:bookmarkEnd w:id="935"/>
    </w:p>
    <w:p w14:paraId="502F233D" w14:textId="77777777"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14:paraId="3B67ABA2" w14:textId="77777777" w:rsidR="008112BD" w:rsidRPr="00C8328B" w:rsidRDefault="008112BD" w:rsidP="008112BD">
      <w:pPr>
        <w:pStyle w:val="AH3Div"/>
      </w:pPr>
      <w:bookmarkStart w:id="936" w:name="_Toc185514552"/>
      <w:r w:rsidRPr="00C8328B">
        <w:rPr>
          <w:rStyle w:val="CharDivNo"/>
        </w:rPr>
        <w:t>Division 3.1.3</w:t>
      </w:r>
      <w:r>
        <w:tab/>
      </w:r>
      <w:r w:rsidRPr="00C8328B">
        <w:rPr>
          <w:rStyle w:val="CharDivText"/>
        </w:rPr>
        <w:t>Application for reseal of foreign grant</w:t>
      </w:r>
      <w:bookmarkEnd w:id="936"/>
    </w:p>
    <w:p w14:paraId="133042D7" w14:textId="77777777" w:rsidR="008112BD" w:rsidRDefault="008112BD" w:rsidP="008112BD">
      <w:pPr>
        <w:pStyle w:val="AH5Sec"/>
      </w:pPr>
      <w:bookmarkStart w:id="937" w:name="_Toc185514553"/>
      <w:r w:rsidRPr="00C8328B">
        <w:rPr>
          <w:rStyle w:val="CharSectNo"/>
        </w:rPr>
        <w:t>3020</w:t>
      </w:r>
      <w:r>
        <w:tab/>
        <w:t>Reseal of foreign grant—application</w:t>
      </w:r>
      <w:bookmarkEnd w:id="937"/>
    </w:p>
    <w:p w14:paraId="3D80F58B" w14:textId="2668579A" w:rsidR="008112BD" w:rsidRDefault="008112BD" w:rsidP="008112BD">
      <w:pPr>
        <w:pStyle w:val="Amain"/>
        <w:keepNext/>
      </w:pPr>
      <w:r>
        <w:tab/>
        <w:t>(1)</w:t>
      </w:r>
      <w:r>
        <w:tab/>
        <w:t xml:space="preserve">An application under the </w:t>
      </w:r>
      <w:hyperlink r:id="rId299" w:tooltip="A1929 No 18" w:history="1">
        <w:r w:rsidRPr="00353CE7">
          <w:rPr>
            <w:rStyle w:val="charCitHyperlinkAbbrev"/>
          </w:rPr>
          <w:t>Administration and Probate Act</w:t>
        </w:r>
      </w:hyperlink>
      <w:r>
        <w:t>, section 80 (Reseal of grant made in reciprocating jurisdiction) must be made by originating application.</w:t>
      </w:r>
    </w:p>
    <w:p w14:paraId="17589B42" w14:textId="61434A18"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0" w:history="1">
        <w:r w:rsidR="00C1675F">
          <w:rPr>
            <w:rStyle w:val="charCitHyperlinkAbbrev"/>
          </w:rPr>
          <w:t>AF2017-172</w:t>
        </w:r>
      </w:hyperlink>
      <w:r>
        <w:t>.</w:t>
      </w:r>
    </w:p>
    <w:p w14:paraId="3D48EA93" w14:textId="77777777" w:rsidR="008112BD" w:rsidRDefault="008112BD" w:rsidP="008112BD">
      <w:pPr>
        <w:pStyle w:val="Amain"/>
      </w:pPr>
      <w:r>
        <w:tab/>
        <w:t>(2)</w:t>
      </w:r>
      <w:r>
        <w:tab/>
        <w:t>The application must be accompanied by—</w:t>
      </w:r>
    </w:p>
    <w:p w14:paraId="315BDAB3" w14:textId="77777777"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14:paraId="2BE1E1F1" w14:textId="22A14212"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1" w:history="1">
        <w:r w:rsidR="00C1675F">
          <w:rPr>
            <w:rStyle w:val="charCitHyperlinkAbbrev"/>
          </w:rPr>
          <w:t>AF2017-173</w:t>
        </w:r>
      </w:hyperlink>
      <w:r>
        <w:t>.</w:t>
      </w:r>
    </w:p>
    <w:p w14:paraId="13A59705" w14:textId="77777777" w:rsidR="008112BD" w:rsidRDefault="008112BD" w:rsidP="008112BD">
      <w:pPr>
        <w:pStyle w:val="Apara"/>
      </w:pPr>
      <w:r>
        <w:tab/>
        <w:t>(b)</w:t>
      </w:r>
      <w:r>
        <w:tab/>
        <w:t>a copy of the grant or order mentioned in paragraph (a) sealed, or certified, by the court that made it; and</w:t>
      </w:r>
    </w:p>
    <w:p w14:paraId="529F64B2" w14:textId="77777777" w:rsidR="008112BD" w:rsidRDefault="008112BD" w:rsidP="008112BD">
      <w:pPr>
        <w:pStyle w:val="Apara"/>
      </w:pPr>
      <w:r>
        <w:tab/>
        <w:t>(c)</w:t>
      </w:r>
      <w:r>
        <w:tab/>
        <w:t>a supporting affidavit; and</w:t>
      </w:r>
    </w:p>
    <w:p w14:paraId="47E6DE40" w14:textId="77777777"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14:paraId="7EE91211" w14:textId="77777777" w:rsidR="008112BD" w:rsidRDefault="008112BD" w:rsidP="008112BD">
      <w:pPr>
        <w:pStyle w:val="Apara"/>
        <w:keepNext/>
      </w:pPr>
      <w:r>
        <w:tab/>
        <w:t>(d)</w:t>
      </w:r>
      <w:r>
        <w:tab/>
        <w:t>an affidavit of search; and</w:t>
      </w:r>
    </w:p>
    <w:p w14:paraId="4E6707B1" w14:textId="77777777"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14:paraId="619EF255" w14:textId="77777777" w:rsidR="008112BD" w:rsidRDefault="008112BD" w:rsidP="008112BD">
      <w:pPr>
        <w:pStyle w:val="Apara"/>
        <w:keepNext/>
      </w:pPr>
      <w:r>
        <w:tab/>
        <w:t>(e)</w:t>
      </w:r>
      <w:r>
        <w:tab/>
        <w:t>anything else required under a territory law.</w:t>
      </w:r>
    </w:p>
    <w:p w14:paraId="29C38956" w14:textId="392B1C92"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02" w:tooltip="A2001-14" w:history="1">
        <w:r w:rsidRPr="00FE0788">
          <w:rPr>
            <w:rStyle w:val="charCitHyperlinkAbbrev"/>
          </w:rPr>
          <w:t>Legislation Act</w:t>
        </w:r>
      </w:hyperlink>
      <w:r>
        <w:t>, s 98).</w:t>
      </w:r>
    </w:p>
    <w:p w14:paraId="4D7875A5" w14:textId="77777777" w:rsidR="008112BD" w:rsidRDefault="008112BD" w:rsidP="008112BD">
      <w:pPr>
        <w:pStyle w:val="Amain"/>
      </w:pPr>
      <w:r>
        <w:lastRenderedPageBreak/>
        <w:tab/>
        <w:t>(3)</w:t>
      </w:r>
      <w:r>
        <w:tab/>
        <w:t>The application and the documents accompanying it need not be served on anyone unless the court otherwise orders on its own initiative.</w:t>
      </w:r>
    </w:p>
    <w:p w14:paraId="214606C5" w14:textId="77777777" w:rsidR="008112BD" w:rsidRDefault="008112BD" w:rsidP="008112BD">
      <w:pPr>
        <w:pStyle w:val="Amain"/>
        <w:keepNext/>
      </w:pPr>
      <w:r>
        <w:tab/>
        <w:t>(4)</w:t>
      </w:r>
      <w:r>
        <w:tab/>
        <w:t>A return date must not be set for the application unless the court otherwise orders on its own initiative.</w:t>
      </w:r>
    </w:p>
    <w:p w14:paraId="167E8684"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367C1867" w14:textId="77777777" w:rsidR="00CD24D3" w:rsidRPr="00D8116A" w:rsidRDefault="00CD24D3" w:rsidP="00CD24D3">
      <w:pPr>
        <w:pStyle w:val="AH5Sec"/>
      </w:pPr>
      <w:bookmarkStart w:id="938" w:name="_Toc185514554"/>
      <w:r w:rsidRPr="00CD24D3">
        <w:rPr>
          <w:rStyle w:val="CharSectNo"/>
        </w:rPr>
        <w:t>3021</w:t>
      </w:r>
      <w:r w:rsidRPr="00D8116A">
        <w:tab/>
        <w:t>Reseal of foreign grant—notice of intention to apply to be published online etc</w:t>
      </w:r>
      <w:bookmarkEnd w:id="938"/>
    </w:p>
    <w:p w14:paraId="54E14D97" w14:textId="34FF04AD" w:rsidR="008112BD" w:rsidRDefault="008112BD" w:rsidP="008112BD">
      <w:pPr>
        <w:pStyle w:val="Amain"/>
        <w:keepNext/>
      </w:pPr>
      <w:r>
        <w:tab/>
        <w:t>(1)</w:t>
      </w:r>
      <w:r>
        <w:tab/>
        <w:t xml:space="preserve">A person intending to make an application under the </w:t>
      </w:r>
      <w:hyperlink r:id="rId303" w:tooltip="A1929-18" w:history="1">
        <w:r w:rsidRPr="00367710">
          <w:rPr>
            <w:rStyle w:val="charCitHyperlinkAbbrev"/>
          </w:rPr>
          <w:t>Administration and Probate Act</w:t>
        </w:r>
      </w:hyperlink>
      <w:r>
        <w:t xml:space="preserve">, section 80 must publish notice of the person’s intention to apply </w:t>
      </w:r>
      <w:r w:rsidR="00CD24D3" w:rsidRPr="00D8116A">
        <w:t>online on the ACT Supreme Court website</w:t>
      </w:r>
      <w:r>
        <w:t>.</w:t>
      </w:r>
    </w:p>
    <w:p w14:paraId="626A6BFA" w14:textId="156DDF08"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04" w:history="1">
        <w:r w:rsidR="008F333F">
          <w:rPr>
            <w:rStyle w:val="charCitHyperlinkAbbrev"/>
          </w:rPr>
          <w:t>AF2022-4</w:t>
        </w:r>
      </w:hyperlink>
      <w:r>
        <w:t>.</w:t>
      </w:r>
    </w:p>
    <w:p w14:paraId="27BD32A9" w14:textId="77777777" w:rsidR="008112BD" w:rsidRDefault="008112BD" w:rsidP="008112BD">
      <w:pPr>
        <w:pStyle w:val="Amain"/>
      </w:pPr>
      <w:r>
        <w:tab/>
        <w:t>(2)</w:t>
      </w:r>
      <w:r>
        <w:tab/>
        <w:t>The notice must be published not less than 14 days, and not more than 3 months, before the day the application is made.</w:t>
      </w:r>
    </w:p>
    <w:p w14:paraId="204D32E5" w14:textId="77777777" w:rsidR="008112BD" w:rsidRDefault="008112BD" w:rsidP="008112BD">
      <w:pPr>
        <w:pStyle w:val="Amain"/>
        <w:keepNext/>
      </w:pPr>
      <w:r>
        <w:tab/>
        <w:t>(3)</w:t>
      </w:r>
      <w:r>
        <w:tab/>
        <w:t xml:space="preserve">The notice must include— </w:t>
      </w:r>
    </w:p>
    <w:p w14:paraId="4CA64931" w14:textId="77777777" w:rsidR="008112BD" w:rsidRDefault="008112BD" w:rsidP="008112BD">
      <w:pPr>
        <w:pStyle w:val="Apara"/>
      </w:pPr>
      <w:r>
        <w:tab/>
        <w:t>(a)</w:t>
      </w:r>
      <w:r>
        <w:tab/>
        <w:t>the name, including any known alias, of the deceased person in relation to whom the application is to be made; and</w:t>
      </w:r>
    </w:p>
    <w:p w14:paraId="2252BA04" w14:textId="77777777" w:rsidR="008112BD" w:rsidRDefault="008112BD" w:rsidP="008112BD">
      <w:pPr>
        <w:pStyle w:val="Apara"/>
        <w:keepNext/>
      </w:pPr>
      <w:r>
        <w:tab/>
        <w:t>(b)</w:t>
      </w:r>
      <w:r>
        <w:tab/>
        <w:t>an address for service for the person intending to make the application.</w:t>
      </w:r>
    </w:p>
    <w:p w14:paraId="5AB6DD6E"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3459A4B8" w14:textId="4FD4760D"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05" w:tooltip="A1929-18" w:history="1">
        <w:r w:rsidRPr="00367710">
          <w:rPr>
            <w:rStyle w:val="charCitHyperlinkAbbrev"/>
          </w:rPr>
          <w:t>Administration and Probate Act</w:t>
        </w:r>
      </w:hyperlink>
      <w:r>
        <w:t>, section 80, the court may, on its own initiative, require any other notice it considers appropriate.</w:t>
      </w:r>
    </w:p>
    <w:p w14:paraId="6E1105ED" w14:textId="77777777" w:rsidR="008112BD" w:rsidRDefault="008112BD" w:rsidP="008112BD">
      <w:pPr>
        <w:pStyle w:val="AH5Sec"/>
      </w:pPr>
      <w:bookmarkStart w:id="939" w:name="_Toc185514555"/>
      <w:r w:rsidRPr="00C8328B">
        <w:rPr>
          <w:rStyle w:val="CharSectNo"/>
        </w:rPr>
        <w:lastRenderedPageBreak/>
        <w:t>3022</w:t>
      </w:r>
      <w:r>
        <w:tab/>
        <w:t>Reseal of foreign grant—supporting affidavit for application</w:t>
      </w:r>
      <w:bookmarkEnd w:id="939"/>
    </w:p>
    <w:p w14:paraId="1E1D4232" w14:textId="354321C7" w:rsidR="008112BD" w:rsidRDefault="008112BD" w:rsidP="008112BD">
      <w:pPr>
        <w:pStyle w:val="Amain"/>
        <w:keepNext/>
      </w:pPr>
      <w:r>
        <w:tab/>
        <w:t>(1)</w:t>
      </w:r>
      <w:r>
        <w:tab/>
        <w:t xml:space="preserve">An affidavit made by a person supporting an application by the person under the </w:t>
      </w:r>
      <w:hyperlink r:id="rId306" w:tooltip="A1929-18" w:history="1">
        <w:r w:rsidRPr="00367710">
          <w:rPr>
            <w:rStyle w:val="charCitHyperlinkAbbrev"/>
          </w:rPr>
          <w:t>Administration and Probate Act</w:t>
        </w:r>
      </w:hyperlink>
      <w:r>
        <w:t>, section 80 must state the following:</w:t>
      </w:r>
    </w:p>
    <w:p w14:paraId="63813D9F" w14:textId="77777777"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14:paraId="7025E536" w14:textId="77777777" w:rsidR="008112BD" w:rsidRDefault="008112BD" w:rsidP="008112BD">
      <w:pPr>
        <w:pStyle w:val="Apara"/>
      </w:pPr>
      <w:r>
        <w:tab/>
        <w:t>(b)</w:t>
      </w:r>
      <w:r>
        <w:tab/>
        <w:t>the name of the court that made the grant or order and the date the grant or order was made;</w:t>
      </w:r>
    </w:p>
    <w:p w14:paraId="78D72A65" w14:textId="77777777" w:rsidR="008112BD" w:rsidRDefault="008112BD" w:rsidP="008112BD">
      <w:pPr>
        <w:pStyle w:val="Apara"/>
      </w:pPr>
      <w:r>
        <w:tab/>
        <w:t>(c)</w:t>
      </w:r>
      <w:r>
        <w:tab/>
        <w:t>that the grant or order has not been revoked;</w:t>
      </w:r>
    </w:p>
    <w:p w14:paraId="7182668A" w14:textId="77777777" w:rsidR="008112BD" w:rsidRDefault="008112BD" w:rsidP="008112BD">
      <w:pPr>
        <w:pStyle w:val="Apara"/>
      </w:pPr>
      <w:r>
        <w:tab/>
        <w:t>(d)</w:t>
      </w:r>
      <w:r>
        <w:tab/>
        <w:t>whether the applicant is the person to whom the grant was made or for whom the order was made;</w:t>
      </w:r>
    </w:p>
    <w:p w14:paraId="32A4B418" w14:textId="77777777"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14:paraId="739DCF36" w14:textId="77777777" w:rsidR="008112BD" w:rsidRDefault="008112BD" w:rsidP="008112BD">
      <w:pPr>
        <w:pStyle w:val="Apara"/>
      </w:pPr>
      <w:r>
        <w:tab/>
        <w:t>(f)</w:t>
      </w:r>
      <w:r>
        <w:tab/>
        <w:t>whether the deceased person left property in the ACT;</w:t>
      </w:r>
    </w:p>
    <w:p w14:paraId="08234A4C" w14:textId="77777777" w:rsidR="008112BD" w:rsidRDefault="008112BD" w:rsidP="008112BD">
      <w:pPr>
        <w:pStyle w:val="Apara"/>
      </w:pPr>
      <w:r>
        <w:tab/>
        <w:t>(g)</w:t>
      </w:r>
      <w:r>
        <w:tab/>
        <w:t>if the deceased left property in the ACT—the estimated gross value of the property in the ACT;</w:t>
      </w:r>
    </w:p>
    <w:p w14:paraId="4CE60CDE" w14:textId="77777777"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14:paraId="1FC7EBA6" w14:textId="77777777" w:rsidR="00CD24D3" w:rsidRPr="00D8116A" w:rsidRDefault="00CD24D3" w:rsidP="00CD24D3">
      <w:pPr>
        <w:pStyle w:val="Apara"/>
      </w:pPr>
      <w:r w:rsidRPr="00D8116A">
        <w:tab/>
        <w:t>(h)</w:t>
      </w:r>
      <w:r w:rsidRPr="00D8116A">
        <w:tab/>
        <w:t>that notice of intention to make the application was published online on the ACT Supreme Court website, and the date the notice was published;</w:t>
      </w:r>
    </w:p>
    <w:p w14:paraId="7D519047" w14:textId="372AADC3" w:rsidR="008112BD" w:rsidRPr="00FE0788" w:rsidRDefault="008112BD" w:rsidP="003477BF">
      <w:pPr>
        <w:pStyle w:val="Apara"/>
        <w:keepNext/>
        <w:keepLines/>
        <w:rPr>
          <w:rStyle w:val="charItals"/>
        </w:rPr>
      </w:pPr>
      <w:r>
        <w:lastRenderedPageBreak/>
        <w:tab/>
        <w:t>(i)</w:t>
      </w:r>
      <w:r>
        <w:tab/>
        <w:t xml:space="preserve">for each notice required under rule 3021 (4) (Reseal of foreign grant—notice of intention to apply to be </w:t>
      </w:r>
      <w:r w:rsidR="00CD24D3" w:rsidRPr="00D8116A">
        <w:t>published online</w:t>
      </w:r>
      <w:r>
        <w:t xml:space="preserve"> etc)—how the requirement for the notice was complied with.</w:t>
      </w:r>
      <w:r w:rsidRPr="00FE0788">
        <w:rPr>
          <w:rStyle w:val="charItals"/>
        </w:rPr>
        <w:t xml:space="preserve"> </w:t>
      </w:r>
    </w:p>
    <w:p w14:paraId="3D18FE90" w14:textId="4E351A25"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07" w:history="1">
        <w:r w:rsidR="008F333F">
          <w:rPr>
            <w:rStyle w:val="charCitHyperlinkAbbrev"/>
          </w:rPr>
          <w:t>AF2022-5</w:t>
        </w:r>
      </w:hyperlink>
      <w:r>
        <w:t>.</w:t>
      </w:r>
    </w:p>
    <w:p w14:paraId="02EA9D14" w14:textId="77777777"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14:paraId="7D98B5AB" w14:textId="77777777" w:rsidR="008112BD" w:rsidRDefault="008112BD" w:rsidP="008112BD">
      <w:pPr>
        <w:pStyle w:val="Amain"/>
        <w:keepNext/>
      </w:pPr>
      <w:r>
        <w:tab/>
        <w:t>(3)</w:t>
      </w:r>
      <w:r>
        <w:tab/>
        <w:t>the following documents must be annexed to the supporting affidavit:</w:t>
      </w:r>
    </w:p>
    <w:p w14:paraId="667E642C" w14:textId="77777777" w:rsidR="008112BD" w:rsidRDefault="008112BD" w:rsidP="008112BD">
      <w:pPr>
        <w:pStyle w:val="Apara"/>
      </w:pPr>
      <w:r>
        <w:tab/>
        <w:t>(a)</w:t>
      </w:r>
      <w:r>
        <w:tab/>
        <w:t>a copy of the notice (or each notice) required by rule 3021;</w:t>
      </w:r>
    </w:p>
    <w:p w14:paraId="19D5D0EA" w14:textId="77777777" w:rsidR="008112BD" w:rsidRDefault="008112BD" w:rsidP="008112BD">
      <w:pPr>
        <w:pStyle w:val="Apara"/>
      </w:pPr>
      <w:r>
        <w:tab/>
        <w:t>(b)</w:t>
      </w:r>
      <w:r>
        <w:tab/>
        <w:t>an inventory of the property of the estate in the ACT;</w:t>
      </w:r>
    </w:p>
    <w:p w14:paraId="3ABC6E2F" w14:textId="77777777" w:rsidR="008112BD" w:rsidRDefault="008112BD" w:rsidP="008112BD">
      <w:pPr>
        <w:pStyle w:val="AH5Sec"/>
      </w:pPr>
      <w:bookmarkStart w:id="940" w:name="_Toc185514556"/>
      <w:r w:rsidRPr="00C8328B">
        <w:rPr>
          <w:rStyle w:val="CharSectNo"/>
        </w:rPr>
        <w:t>3023</w:t>
      </w:r>
      <w:r>
        <w:tab/>
        <w:t>Reseal of foreign grant—affidavit of search</w:t>
      </w:r>
      <w:bookmarkEnd w:id="940"/>
    </w:p>
    <w:p w14:paraId="69DBDE5C" w14:textId="2EF527D4" w:rsidR="008112BD" w:rsidRDefault="008112BD" w:rsidP="008112BD">
      <w:pPr>
        <w:pStyle w:val="Amainreturn"/>
        <w:keepNext/>
        <w:keepLines/>
      </w:pPr>
      <w:r>
        <w:t xml:space="preserve">An affidavit of search accompanying an application under the </w:t>
      </w:r>
      <w:hyperlink r:id="rId308"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14:paraId="32EE4EBB"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7B4F3791" w14:textId="0C660788" w:rsidR="008112BD" w:rsidRDefault="008112BD" w:rsidP="008112BD">
      <w:pPr>
        <w:pStyle w:val="Apara"/>
      </w:pPr>
      <w:r>
        <w:tab/>
        <w:t>(b)</w:t>
      </w:r>
      <w:r>
        <w:tab/>
        <w:t xml:space="preserve">that another application under the </w:t>
      </w:r>
      <w:hyperlink r:id="rId309"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14:paraId="2913BB80" w14:textId="77777777"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14:paraId="750CE0DC" w14:textId="275A73CF"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0" w:history="1">
        <w:r w:rsidR="00146609">
          <w:rPr>
            <w:rStyle w:val="charCitHyperlinkAbbrev"/>
          </w:rPr>
          <w:t>AF2017-175</w:t>
        </w:r>
      </w:hyperlink>
      <w:r>
        <w:t>.</w:t>
      </w:r>
    </w:p>
    <w:p w14:paraId="0A1B3D14" w14:textId="77777777" w:rsidR="008112BD" w:rsidRDefault="008112BD" w:rsidP="008112BD">
      <w:pPr>
        <w:pStyle w:val="AH5Sec"/>
      </w:pPr>
      <w:bookmarkStart w:id="941" w:name="_Toc185514557"/>
      <w:r w:rsidRPr="00C8328B">
        <w:rPr>
          <w:rStyle w:val="CharSectNo"/>
        </w:rPr>
        <w:lastRenderedPageBreak/>
        <w:t>3024</w:t>
      </w:r>
      <w:r>
        <w:tab/>
        <w:t>Reseal of foreign grant—when hearing required</w:t>
      </w:r>
      <w:bookmarkEnd w:id="941"/>
    </w:p>
    <w:p w14:paraId="5202E422" w14:textId="76236964" w:rsidR="008112BD" w:rsidRDefault="008112BD" w:rsidP="008112BD">
      <w:pPr>
        <w:pStyle w:val="Amain"/>
        <w:rPr>
          <w:lang w:val="en-US"/>
        </w:rPr>
      </w:pPr>
      <w:r>
        <w:rPr>
          <w:lang w:val="en-US"/>
        </w:rPr>
        <w:tab/>
        <w:t>(1)</w:t>
      </w:r>
      <w:r>
        <w:rPr>
          <w:lang w:val="en-US"/>
        </w:rPr>
        <w:tab/>
        <w:t xml:space="preserve">This rule applies to an application under the </w:t>
      </w:r>
      <w:hyperlink r:id="rId311" w:tooltip="A1929-18" w:history="1">
        <w:r w:rsidRPr="00367710">
          <w:rPr>
            <w:rStyle w:val="charCitHyperlinkAbbrev"/>
          </w:rPr>
          <w:t>Administration and Probate Act</w:t>
        </w:r>
      </w:hyperlink>
      <w:r>
        <w:rPr>
          <w:lang w:val="en-US"/>
        </w:rPr>
        <w:t>, section 80 (Resealing of grant made in reciprocating jurisdiction).</w:t>
      </w:r>
    </w:p>
    <w:p w14:paraId="53F6CB36" w14:textId="77777777"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14:paraId="3DDEAECF" w14:textId="77777777" w:rsidR="008112BD" w:rsidRPr="00C8328B" w:rsidRDefault="008112BD" w:rsidP="008112BD">
      <w:pPr>
        <w:pStyle w:val="AH3Div"/>
      </w:pPr>
      <w:bookmarkStart w:id="942" w:name="_Toc185514558"/>
      <w:r w:rsidRPr="00C8328B">
        <w:rPr>
          <w:rStyle w:val="CharDivNo"/>
        </w:rPr>
        <w:t>Division 3.1.4</w:t>
      </w:r>
      <w:r>
        <w:tab/>
      </w:r>
      <w:r w:rsidRPr="00C8328B">
        <w:rPr>
          <w:rStyle w:val="CharDivText"/>
        </w:rPr>
        <w:t>Validity and form of wills</w:t>
      </w:r>
      <w:bookmarkEnd w:id="942"/>
    </w:p>
    <w:p w14:paraId="22E50D06" w14:textId="77777777" w:rsidR="008112BD" w:rsidRDefault="008112BD" w:rsidP="008112BD">
      <w:pPr>
        <w:pStyle w:val="AH5Sec"/>
      </w:pPr>
      <w:bookmarkStart w:id="943" w:name="_Toc185514559"/>
      <w:r w:rsidRPr="00C8328B">
        <w:rPr>
          <w:rStyle w:val="CharSectNo"/>
        </w:rPr>
        <w:t>3030</w:t>
      </w:r>
      <w:r>
        <w:tab/>
        <w:t>Grant of representation—evidence of proper attestation of will</w:t>
      </w:r>
      <w:bookmarkEnd w:id="943"/>
    </w:p>
    <w:p w14:paraId="48316024" w14:textId="77777777" w:rsidR="008112BD" w:rsidRDefault="008112BD" w:rsidP="008112BD">
      <w:pPr>
        <w:pStyle w:val="Amain"/>
      </w:pPr>
      <w:r>
        <w:tab/>
        <w:t>(1)</w:t>
      </w:r>
      <w:r>
        <w:tab/>
        <w:t>This rule applies if a person applies for grant of probate or administration of a will.</w:t>
      </w:r>
    </w:p>
    <w:p w14:paraId="2942316D" w14:textId="77777777"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14:paraId="6B6EEF19" w14:textId="77777777"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14:paraId="19D77D62" w14:textId="77777777"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14:paraId="7AF1D045" w14:textId="77777777"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14:paraId="29CFE5B2" w14:textId="77777777" w:rsidR="008112BD" w:rsidRDefault="008112BD" w:rsidP="008112BD">
      <w:pPr>
        <w:pStyle w:val="Amain"/>
      </w:pPr>
      <w:r>
        <w:tab/>
        <w:t>(6)</w:t>
      </w:r>
      <w:r>
        <w:tab/>
        <w:t>The applicant must also state in the affidavit anything else relevant about the making of the will.</w:t>
      </w:r>
    </w:p>
    <w:p w14:paraId="27ABB69B" w14:textId="77777777" w:rsidR="008112BD" w:rsidRDefault="008112BD" w:rsidP="008112BD">
      <w:pPr>
        <w:pStyle w:val="AH5Sec"/>
      </w:pPr>
      <w:bookmarkStart w:id="944" w:name="_Toc185514560"/>
      <w:r w:rsidRPr="00C8328B">
        <w:rPr>
          <w:rStyle w:val="CharSectNo"/>
        </w:rPr>
        <w:lastRenderedPageBreak/>
        <w:t>3031</w:t>
      </w:r>
      <w:r>
        <w:tab/>
        <w:t>Grant of representation—will by blind or illiterate person</w:t>
      </w:r>
      <w:bookmarkEnd w:id="944"/>
    </w:p>
    <w:p w14:paraId="01892317" w14:textId="77777777" w:rsidR="008112BD" w:rsidRDefault="008112BD" w:rsidP="008112BD">
      <w:pPr>
        <w:pStyle w:val="Amain"/>
      </w:pPr>
      <w:r>
        <w:tab/>
        <w:t>(1)</w:t>
      </w:r>
      <w:r>
        <w:tab/>
        <w:t>This rule applies if a person applies for grant of probate or administration of a will that—</w:t>
      </w:r>
    </w:p>
    <w:p w14:paraId="0513E77A" w14:textId="77777777" w:rsidR="008112BD" w:rsidRDefault="008112BD" w:rsidP="008112BD">
      <w:pPr>
        <w:pStyle w:val="Apara"/>
      </w:pPr>
      <w:r>
        <w:tab/>
        <w:t>(a)</w:t>
      </w:r>
      <w:r>
        <w:tab/>
        <w:t>has been made by a blind or apparently illiterate testator; or</w:t>
      </w:r>
    </w:p>
    <w:p w14:paraId="67A3D6B0" w14:textId="77777777" w:rsidR="008112BD" w:rsidRDefault="008112BD" w:rsidP="008112BD">
      <w:pPr>
        <w:pStyle w:val="Apara"/>
      </w:pPr>
      <w:r>
        <w:tab/>
        <w:t>(b)</w:t>
      </w:r>
      <w:r>
        <w:tab/>
        <w:t>appears to have been signed by someone else on behalf of the testator; or</w:t>
      </w:r>
    </w:p>
    <w:p w14:paraId="136FF916" w14:textId="77777777" w:rsidR="008112BD" w:rsidRDefault="008112BD" w:rsidP="008112BD">
      <w:pPr>
        <w:pStyle w:val="Apara"/>
      </w:pPr>
      <w:r>
        <w:tab/>
        <w:t>(c)</w:t>
      </w:r>
      <w:r>
        <w:tab/>
        <w:t>was made under circumstances that raise doubt about whether the testator knew or approved of the will’s contents.</w:t>
      </w:r>
    </w:p>
    <w:p w14:paraId="49B37EBC" w14:textId="77777777" w:rsidR="008112BD" w:rsidRDefault="008112BD" w:rsidP="008112BD">
      <w:pPr>
        <w:pStyle w:val="Amain"/>
      </w:pPr>
      <w:r>
        <w:tab/>
        <w:t>(2)</w:t>
      </w:r>
      <w:r>
        <w:tab/>
        <w:t>The applicant must file an affidavit giving evidence that, when the testator signed the will, the testator knew and approved of its contents.</w:t>
      </w:r>
    </w:p>
    <w:p w14:paraId="0611BF8D" w14:textId="77777777"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14:paraId="71EE421C" w14:textId="77777777"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14:paraId="5C6B2DB9" w14:textId="77777777" w:rsidR="008112BD" w:rsidRDefault="008112BD" w:rsidP="008112BD">
      <w:pPr>
        <w:pStyle w:val="Apara"/>
      </w:pPr>
      <w:r>
        <w:tab/>
        <w:t>(a)</w:t>
      </w:r>
      <w:r>
        <w:tab/>
        <w:t>the will specifically states the testator is blind or apparently illiterate; and</w:t>
      </w:r>
    </w:p>
    <w:p w14:paraId="16C5EE4C" w14:textId="77777777" w:rsidR="008112BD" w:rsidRDefault="008112BD" w:rsidP="008112BD">
      <w:pPr>
        <w:pStyle w:val="Apara"/>
        <w:keepNext/>
      </w:pPr>
      <w:r>
        <w:tab/>
        <w:t>(b)</w:t>
      </w:r>
      <w:r>
        <w:tab/>
        <w:t xml:space="preserve">the attestation of the witnesses who signed the will acknowledges that the testator knew and approved of the contents of the will. </w:t>
      </w:r>
    </w:p>
    <w:p w14:paraId="4253962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BB42705" w14:textId="77777777" w:rsidR="008112BD" w:rsidRDefault="008112BD" w:rsidP="008112BD">
      <w:pPr>
        <w:pStyle w:val="AH5Sec"/>
      </w:pPr>
      <w:bookmarkStart w:id="945" w:name="_Toc185514561"/>
      <w:r w:rsidRPr="00C8328B">
        <w:rPr>
          <w:rStyle w:val="CharSectNo"/>
        </w:rPr>
        <w:t>3032</w:t>
      </w:r>
      <w:r>
        <w:tab/>
        <w:t>Grant of representation—alterations in will</w:t>
      </w:r>
      <w:bookmarkEnd w:id="945"/>
    </w:p>
    <w:p w14:paraId="69499DEA" w14:textId="77777777" w:rsidR="008112BD" w:rsidRDefault="008112BD" w:rsidP="008112BD">
      <w:pPr>
        <w:pStyle w:val="Amain"/>
      </w:pPr>
      <w:r>
        <w:tab/>
        <w:t>(1)</w:t>
      </w:r>
      <w:r>
        <w:tab/>
        <w:t>This rule applies if a person applies for grant of probate or administration of a will that appears to have been altered.</w:t>
      </w:r>
    </w:p>
    <w:p w14:paraId="483C1590" w14:textId="77777777" w:rsidR="008112BD" w:rsidRDefault="008112BD" w:rsidP="008112BD">
      <w:pPr>
        <w:pStyle w:val="Amain"/>
      </w:pPr>
      <w:r>
        <w:tab/>
        <w:t>(2)</w:t>
      </w:r>
      <w:r>
        <w:tab/>
        <w:t>The court may require evidence about the alteration.</w:t>
      </w:r>
    </w:p>
    <w:p w14:paraId="4414234F" w14:textId="77777777" w:rsidR="008112BD" w:rsidRDefault="008112BD" w:rsidP="008112BD">
      <w:pPr>
        <w:pStyle w:val="Amain"/>
      </w:pPr>
      <w:r>
        <w:lastRenderedPageBreak/>
        <w:tab/>
        <w:t>(3)</w:t>
      </w:r>
      <w:r>
        <w:tab/>
        <w:t>The court must not include the alteration in a grant of representation unless the alteration—</w:t>
      </w:r>
    </w:p>
    <w:p w14:paraId="539B5A0D" w14:textId="77777777" w:rsidR="008112BD" w:rsidRDefault="008112BD" w:rsidP="008112BD">
      <w:pPr>
        <w:pStyle w:val="Apara"/>
      </w:pPr>
      <w:r>
        <w:tab/>
        <w:t>(a)</w:t>
      </w:r>
      <w:r>
        <w:tab/>
        <w:t>was in the will when the will was made; or</w:t>
      </w:r>
    </w:p>
    <w:p w14:paraId="09DA8216" w14:textId="77777777" w:rsidR="008112BD" w:rsidRDefault="008112BD" w:rsidP="008112BD">
      <w:pPr>
        <w:pStyle w:val="Apara"/>
        <w:keepNext/>
      </w:pPr>
      <w:r>
        <w:tab/>
        <w:t>(b)</w:t>
      </w:r>
      <w:r>
        <w:tab/>
        <w:t>if made afterwards—was made and attested in a way required by law; or</w:t>
      </w:r>
    </w:p>
    <w:p w14:paraId="1EBD45E9" w14:textId="5562DA0E" w:rsidR="008112BD" w:rsidRDefault="008112BD" w:rsidP="008112BD">
      <w:pPr>
        <w:pStyle w:val="aNote"/>
      </w:pPr>
      <w:r w:rsidRPr="00FE0788">
        <w:rPr>
          <w:rStyle w:val="charItals"/>
        </w:rPr>
        <w:t>Note</w:t>
      </w:r>
      <w:r w:rsidRPr="00FE0788">
        <w:rPr>
          <w:rStyle w:val="charItals"/>
        </w:rPr>
        <w:tab/>
      </w:r>
      <w:r>
        <w:t xml:space="preserve">The </w:t>
      </w:r>
      <w:hyperlink r:id="rId312" w:tooltip="A1968-11" w:history="1">
        <w:r w:rsidRPr="00FE0788">
          <w:rPr>
            <w:rStyle w:val="charCitHyperlinkItal"/>
          </w:rPr>
          <w:t>Wills Act 1968</w:t>
        </w:r>
      </w:hyperlink>
      <w:r>
        <w:t>, s 12 (Alteration in will) deals with the validity of alterations made after the execution of the will.</w:t>
      </w:r>
    </w:p>
    <w:p w14:paraId="5E2FACCC" w14:textId="77777777" w:rsidR="008112BD" w:rsidRDefault="008112BD" w:rsidP="008112BD">
      <w:pPr>
        <w:pStyle w:val="Apara"/>
      </w:pPr>
      <w:r>
        <w:tab/>
        <w:t>(c)</w:t>
      </w:r>
      <w:r>
        <w:tab/>
        <w:t>was made valid by the remaking of the will or a later codicil.</w:t>
      </w:r>
    </w:p>
    <w:p w14:paraId="6604EDF1" w14:textId="77777777"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14:paraId="66291C9A" w14:textId="77777777" w:rsidR="008112BD" w:rsidRDefault="008112BD" w:rsidP="008112BD">
      <w:pPr>
        <w:pStyle w:val="Amain"/>
      </w:pPr>
      <w:r>
        <w:tab/>
        <w:t>(5)</w:t>
      </w:r>
      <w:r>
        <w:tab/>
        <w:t>If the erased words may have been of importance, the erasure must be explained by evidence.</w:t>
      </w:r>
    </w:p>
    <w:p w14:paraId="523B28EB" w14:textId="77777777" w:rsidR="008112BD" w:rsidRDefault="008112BD" w:rsidP="008112BD">
      <w:pPr>
        <w:pStyle w:val="Amain"/>
        <w:keepNext/>
      </w:pPr>
      <w:r>
        <w:tab/>
        <w:t>(6)</w:t>
      </w:r>
      <w:r>
        <w:tab/>
        <w:t>In this rule:</w:t>
      </w:r>
    </w:p>
    <w:p w14:paraId="429DAB91" w14:textId="77777777" w:rsidR="008112BD" w:rsidRDefault="008112BD" w:rsidP="008112BD">
      <w:pPr>
        <w:pStyle w:val="aDef"/>
      </w:pPr>
      <w:r w:rsidRPr="00FE0788">
        <w:rPr>
          <w:rStyle w:val="charBoldItals"/>
        </w:rPr>
        <w:t>alter</w:t>
      </w:r>
      <w:r>
        <w:t xml:space="preserve"> includes alter by omission, substitution or addition. </w:t>
      </w:r>
    </w:p>
    <w:p w14:paraId="35CBBE9B" w14:textId="77777777" w:rsidR="008112BD" w:rsidRDefault="008112BD" w:rsidP="008112BD">
      <w:pPr>
        <w:pStyle w:val="AH5Sec"/>
      </w:pPr>
      <w:bookmarkStart w:id="946" w:name="_Toc185514562"/>
      <w:r w:rsidRPr="00C8328B">
        <w:rPr>
          <w:rStyle w:val="CharSectNo"/>
        </w:rPr>
        <w:t>3033</w:t>
      </w:r>
      <w:r>
        <w:tab/>
        <w:t>Grant of representation—documents mentioned in or attached to will</w:t>
      </w:r>
      <w:bookmarkEnd w:id="946"/>
    </w:p>
    <w:p w14:paraId="645C0D7C" w14:textId="77777777" w:rsidR="008112BD" w:rsidRDefault="008112BD" w:rsidP="008112BD">
      <w:pPr>
        <w:pStyle w:val="Amain"/>
      </w:pPr>
      <w:r>
        <w:tab/>
        <w:t>(1)</w:t>
      </w:r>
      <w:r>
        <w:tab/>
        <w:t>This rule applies if a person applies for grant of probate or administration of a will.</w:t>
      </w:r>
    </w:p>
    <w:p w14:paraId="3A7E2B55" w14:textId="77777777"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14:paraId="15513B31" w14:textId="77777777"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14:paraId="68587C13" w14:textId="77777777"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14:paraId="259CC45D" w14:textId="77777777" w:rsidR="008112BD" w:rsidRDefault="008112BD" w:rsidP="008112BD">
      <w:pPr>
        <w:pStyle w:val="AH5Sec"/>
      </w:pPr>
      <w:bookmarkStart w:id="947" w:name="_Toc185514563"/>
      <w:r w:rsidRPr="00C8328B">
        <w:rPr>
          <w:rStyle w:val="CharSectNo"/>
        </w:rPr>
        <w:lastRenderedPageBreak/>
        <w:t>3034</w:t>
      </w:r>
      <w:r>
        <w:tab/>
        <w:t>Grant of representation—evidence of proper execution of will etc</w:t>
      </w:r>
      <w:bookmarkEnd w:id="947"/>
    </w:p>
    <w:p w14:paraId="0A25E700" w14:textId="77777777" w:rsidR="008112BD" w:rsidRDefault="008112BD" w:rsidP="008112BD">
      <w:pPr>
        <w:pStyle w:val="Amain"/>
      </w:pPr>
      <w:r>
        <w:tab/>
        <w:t>(1)</w:t>
      </w:r>
      <w:r>
        <w:tab/>
        <w:t>This rule applies if a person applies for grant of probate or administration of a will and—</w:t>
      </w:r>
    </w:p>
    <w:p w14:paraId="6B1B9BDA" w14:textId="77777777" w:rsidR="008112BD" w:rsidRDefault="008112BD" w:rsidP="008112BD">
      <w:pPr>
        <w:pStyle w:val="Apara"/>
      </w:pPr>
      <w:r>
        <w:tab/>
        <w:t>(a)</w:t>
      </w:r>
      <w:r>
        <w:tab/>
        <w:t>the court considers that—</w:t>
      </w:r>
    </w:p>
    <w:p w14:paraId="1D36E485" w14:textId="77777777" w:rsidR="008112BD" w:rsidRDefault="008112BD" w:rsidP="008112BD">
      <w:pPr>
        <w:pStyle w:val="Asubpara"/>
      </w:pPr>
      <w:r>
        <w:tab/>
        <w:t>(i)</w:t>
      </w:r>
      <w:r>
        <w:tab/>
        <w:t>there is doubt about the proper execution or attestation of the will; or</w:t>
      </w:r>
    </w:p>
    <w:p w14:paraId="5DE99290" w14:textId="77777777" w:rsidR="008112BD" w:rsidRDefault="008112BD" w:rsidP="008112BD">
      <w:pPr>
        <w:pStyle w:val="Asubpara"/>
      </w:pPr>
      <w:r>
        <w:tab/>
        <w:t>(ii)</w:t>
      </w:r>
      <w:r>
        <w:tab/>
        <w:t>any circumstances in relation to the making of the will need explanation; or</w:t>
      </w:r>
    </w:p>
    <w:p w14:paraId="64A88CC1" w14:textId="77777777" w:rsidR="008112BD" w:rsidRDefault="008112BD" w:rsidP="008112BD">
      <w:pPr>
        <w:pStyle w:val="Asubpara"/>
      </w:pPr>
      <w:r>
        <w:tab/>
        <w:t>(iii)</w:t>
      </w:r>
      <w:r>
        <w:tab/>
        <w:t>there is doubt about the date the will was made; or</w:t>
      </w:r>
    </w:p>
    <w:p w14:paraId="312CBE47" w14:textId="77777777" w:rsidR="008112BD" w:rsidRDefault="008112BD" w:rsidP="008112BD">
      <w:pPr>
        <w:pStyle w:val="Apara"/>
      </w:pPr>
      <w:r>
        <w:tab/>
        <w:t>(b)</w:t>
      </w:r>
      <w:r>
        <w:tab/>
        <w:t>the will is undated.</w:t>
      </w:r>
    </w:p>
    <w:p w14:paraId="1C8C6E6E" w14:textId="77777777" w:rsidR="008112BD" w:rsidRDefault="008112BD" w:rsidP="008112BD">
      <w:pPr>
        <w:pStyle w:val="Amain"/>
      </w:pPr>
      <w:r>
        <w:tab/>
        <w:t>(2)</w:t>
      </w:r>
      <w:r>
        <w:tab/>
        <w:t>The court may, by order, require evidence about the execution, attestation or making of the will, including the date the will was made.</w:t>
      </w:r>
    </w:p>
    <w:p w14:paraId="5275341F" w14:textId="77777777" w:rsidR="008112BD" w:rsidRDefault="008112BD" w:rsidP="008112BD">
      <w:pPr>
        <w:pStyle w:val="Amain"/>
        <w:keepNext/>
      </w:pPr>
      <w:r>
        <w:tab/>
        <w:t>(3)</w:t>
      </w:r>
      <w:r>
        <w:tab/>
        <w:t>The court may make an order under subrule (2) on application by an interested person or on its own initiative.</w:t>
      </w:r>
    </w:p>
    <w:p w14:paraId="755D72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1CEBB462" w14:textId="77777777" w:rsidR="008112BD" w:rsidRDefault="008112BD" w:rsidP="008112BD">
      <w:pPr>
        <w:pStyle w:val="Amain"/>
        <w:keepNext/>
      </w:pPr>
      <w:r>
        <w:tab/>
        <w:t>(4)</w:t>
      </w:r>
      <w:r>
        <w:tab/>
        <w:t>The court may make an order under subrule (2) even though the following rules may have been complied with:</w:t>
      </w:r>
    </w:p>
    <w:p w14:paraId="1973DE9C"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14:paraId="0D2FB355"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14:paraId="79FF813E" w14:textId="77777777" w:rsidR="008112BD" w:rsidRDefault="008112BD" w:rsidP="008112BD">
      <w:pPr>
        <w:pStyle w:val="AH5Sec"/>
      </w:pPr>
      <w:bookmarkStart w:id="948" w:name="_Toc185514564"/>
      <w:r w:rsidRPr="00C8328B">
        <w:rPr>
          <w:rStyle w:val="CharSectNo"/>
        </w:rPr>
        <w:t>3035</w:t>
      </w:r>
      <w:r>
        <w:tab/>
        <w:t>Grant of representation—will inoperative or partly inoperative</w:t>
      </w:r>
      <w:bookmarkEnd w:id="948"/>
    </w:p>
    <w:p w14:paraId="5A0E1EA8" w14:textId="77777777" w:rsidR="008112BD" w:rsidRDefault="008112BD" w:rsidP="008112BD">
      <w:pPr>
        <w:pStyle w:val="Amain"/>
        <w:keepNext/>
      </w:pPr>
      <w:r>
        <w:tab/>
        <w:t>(1)</w:t>
      </w:r>
      <w:r>
        <w:tab/>
        <w:t>This rule applies if—</w:t>
      </w:r>
    </w:p>
    <w:p w14:paraId="6ABB0C0A" w14:textId="77777777" w:rsidR="008112BD" w:rsidRDefault="008112BD" w:rsidP="008112BD">
      <w:pPr>
        <w:pStyle w:val="Apara"/>
      </w:pPr>
      <w:r>
        <w:tab/>
        <w:t>(a)</w:t>
      </w:r>
      <w:r>
        <w:tab/>
        <w:t>a person applies for grant of probate or administration of a will of a deceased person; and</w:t>
      </w:r>
    </w:p>
    <w:p w14:paraId="24C9C2E3" w14:textId="77777777" w:rsidR="008112BD" w:rsidRDefault="008112BD" w:rsidP="008112BD">
      <w:pPr>
        <w:pStyle w:val="Apara"/>
      </w:pPr>
      <w:r>
        <w:lastRenderedPageBreak/>
        <w:tab/>
        <w:t>(b)</w:t>
      </w:r>
      <w:r>
        <w:tab/>
        <w:t>it appears to the court that the will is inoperative or partly inoperative.</w:t>
      </w:r>
    </w:p>
    <w:p w14:paraId="6B463D7A" w14:textId="77777777"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14:paraId="00B16850" w14:textId="77777777" w:rsidR="008112BD" w:rsidRPr="00C8328B" w:rsidRDefault="008112BD" w:rsidP="008112BD">
      <w:pPr>
        <w:pStyle w:val="AH3Div"/>
      </w:pPr>
      <w:bookmarkStart w:id="949" w:name="_Toc185514565"/>
      <w:r w:rsidRPr="00C8328B">
        <w:rPr>
          <w:rStyle w:val="CharDivNo"/>
        </w:rPr>
        <w:t>Division 3.1.5</w:t>
      </w:r>
      <w:r>
        <w:tab/>
      </w:r>
      <w:r w:rsidRPr="00C8328B">
        <w:rPr>
          <w:rStyle w:val="CharDivText"/>
        </w:rPr>
        <w:t>Administration bonds</w:t>
      </w:r>
      <w:bookmarkEnd w:id="949"/>
    </w:p>
    <w:p w14:paraId="30FB6343" w14:textId="77777777" w:rsidR="008112BD" w:rsidRDefault="008112BD" w:rsidP="008112BD">
      <w:pPr>
        <w:pStyle w:val="AH5Sec"/>
      </w:pPr>
      <w:bookmarkStart w:id="950" w:name="_Toc185514566"/>
      <w:r w:rsidRPr="00C8328B">
        <w:rPr>
          <w:rStyle w:val="CharSectNo"/>
        </w:rPr>
        <w:t>3045</w:t>
      </w:r>
      <w:r>
        <w:tab/>
        <w:t>Administration bond—requirement for bond</w:t>
      </w:r>
      <w:bookmarkEnd w:id="950"/>
    </w:p>
    <w:p w14:paraId="371BBC89" w14:textId="77777777" w:rsidR="008112BD" w:rsidRDefault="008112BD" w:rsidP="008112BD">
      <w:pPr>
        <w:pStyle w:val="Amain"/>
        <w:keepNext/>
      </w:pPr>
      <w:r>
        <w:tab/>
        <w:t>(1)</w:t>
      </w:r>
      <w:r>
        <w:tab/>
        <w:t>This rule applies if a person applies for grant of letters of administration without the will annexed for the estate of a deceased person.</w:t>
      </w:r>
    </w:p>
    <w:p w14:paraId="3E1CA5C7" w14:textId="77777777"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14:paraId="6C10A8E5" w14:textId="52F40B73"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13" w:history="1">
        <w:r w:rsidR="00146609">
          <w:rPr>
            <w:rStyle w:val="charCitHyperlinkAbbrev"/>
          </w:rPr>
          <w:t>AF2017-176</w:t>
        </w:r>
      </w:hyperlink>
      <w:r>
        <w:t>.</w:t>
      </w:r>
    </w:p>
    <w:p w14:paraId="562C3EB8" w14:textId="77777777" w:rsidR="008112BD" w:rsidRDefault="008112BD" w:rsidP="008112BD">
      <w:pPr>
        <w:pStyle w:val="Amain"/>
      </w:pPr>
      <w:r>
        <w:tab/>
        <w:t>(3)</w:t>
      </w:r>
      <w:r>
        <w:tab/>
        <w:t>However, an administration bond must not be required if administration is granted to—</w:t>
      </w:r>
    </w:p>
    <w:p w14:paraId="7A6EF77A" w14:textId="77777777" w:rsidR="008112BD" w:rsidRDefault="008112BD" w:rsidP="008112BD">
      <w:pPr>
        <w:pStyle w:val="Apara"/>
      </w:pPr>
      <w:r>
        <w:tab/>
        <w:t>(a)</w:t>
      </w:r>
      <w:r>
        <w:tab/>
        <w:t>a person on behalf of the Territory, the Commonwealth, a State or another Territory; or</w:t>
      </w:r>
    </w:p>
    <w:p w14:paraId="0E18ECF9" w14:textId="77777777" w:rsidR="008112BD" w:rsidRDefault="008112BD" w:rsidP="008112BD">
      <w:pPr>
        <w:pStyle w:val="Apara"/>
      </w:pPr>
      <w:r>
        <w:tab/>
        <w:t>(b)</w:t>
      </w:r>
      <w:r>
        <w:tab/>
        <w:t xml:space="preserve">the </w:t>
      </w:r>
      <w:r w:rsidR="00E439D1">
        <w:t>public trustee and guardian</w:t>
      </w:r>
      <w:r>
        <w:t xml:space="preserve"> of the Territory, a State or another Territory; or</w:t>
      </w:r>
    </w:p>
    <w:p w14:paraId="6D47C46D" w14:textId="77777777" w:rsidR="008112BD" w:rsidRDefault="008112BD" w:rsidP="008112BD">
      <w:pPr>
        <w:pStyle w:val="Apara"/>
      </w:pPr>
      <w:r>
        <w:tab/>
        <w:t>(c)</w:t>
      </w:r>
      <w:r>
        <w:tab/>
        <w:t>a trustee company.</w:t>
      </w:r>
    </w:p>
    <w:p w14:paraId="75477DBC" w14:textId="77777777"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14:paraId="52AF841D" w14:textId="77777777"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14:paraId="326C3F4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7DC3579B" w14:textId="77777777" w:rsidR="008112BD" w:rsidRDefault="008112BD" w:rsidP="008112BD">
      <w:pPr>
        <w:pStyle w:val="Amain"/>
        <w:keepNext/>
      </w:pPr>
      <w:r>
        <w:tab/>
        <w:t>(6)</w:t>
      </w:r>
      <w:r>
        <w:tab/>
        <w:t>In this rule:</w:t>
      </w:r>
    </w:p>
    <w:p w14:paraId="4A04E1F3" w14:textId="77777777" w:rsidR="008112BD" w:rsidRDefault="008112BD" w:rsidP="008112BD">
      <w:pPr>
        <w:pStyle w:val="aDef"/>
        <w:keepNext/>
      </w:pPr>
      <w:r w:rsidRPr="00FE0788">
        <w:rPr>
          <w:rStyle w:val="charBoldItals"/>
        </w:rPr>
        <w:t>required amount</w:t>
      </w:r>
      <w:r>
        <w:t>, for an administration bond for an estate, means—</w:t>
      </w:r>
    </w:p>
    <w:p w14:paraId="385CFEDF" w14:textId="77777777" w:rsidR="008112BD" w:rsidRDefault="008112BD" w:rsidP="008112BD">
      <w:pPr>
        <w:pStyle w:val="aDefpara"/>
      </w:pPr>
      <w:r>
        <w:tab/>
        <w:t>(a)</w:t>
      </w:r>
      <w:r>
        <w:tab/>
        <w:t>the value of the estate; or</w:t>
      </w:r>
    </w:p>
    <w:p w14:paraId="62AA7173" w14:textId="77777777" w:rsidR="008112BD" w:rsidRDefault="008112BD" w:rsidP="008112BD">
      <w:pPr>
        <w:pStyle w:val="aDefpara"/>
      </w:pPr>
      <w:r>
        <w:tab/>
        <w:t>(b)</w:t>
      </w:r>
      <w:r>
        <w:tab/>
        <w:t>a lesser amount decided by the court under subrule (5); or</w:t>
      </w:r>
    </w:p>
    <w:p w14:paraId="3FCF2AB5" w14:textId="77777777" w:rsidR="008112BD" w:rsidRDefault="008112BD" w:rsidP="008112BD">
      <w:pPr>
        <w:pStyle w:val="aDefpara"/>
      </w:pPr>
      <w:r>
        <w:tab/>
        <w:t>(c)</w:t>
      </w:r>
      <w:r>
        <w:tab/>
        <w:t>if the value of the estate is less than $10 000—a lesser amount decided by the registrar.</w:t>
      </w:r>
    </w:p>
    <w:p w14:paraId="09A64B1B" w14:textId="77777777" w:rsidR="008112BD" w:rsidRDefault="008112BD" w:rsidP="008112BD">
      <w:pPr>
        <w:pStyle w:val="AH5Sec"/>
      </w:pPr>
      <w:bookmarkStart w:id="951" w:name="_Toc185514567"/>
      <w:r w:rsidRPr="00C8328B">
        <w:rPr>
          <w:rStyle w:val="CharSectNo"/>
        </w:rPr>
        <w:t>3046</w:t>
      </w:r>
      <w:r>
        <w:tab/>
        <w:t>Administration bond—dispensing with bond</w:t>
      </w:r>
      <w:bookmarkEnd w:id="951"/>
    </w:p>
    <w:p w14:paraId="4B9C0D1F" w14:textId="77777777" w:rsidR="008112BD" w:rsidRDefault="008112BD" w:rsidP="008112BD">
      <w:pPr>
        <w:pStyle w:val="Amain"/>
      </w:pPr>
      <w:r>
        <w:tab/>
        <w:t>(1)</w:t>
      </w:r>
      <w:r>
        <w:tab/>
        <w:t>This rule applies in relation to an estate if—</w:t>
      </w:r>
    </w:p>
    <w:p w14:paraId="3CB02E96" w14:textId="77777777" w:rsidR="008112BD" w:rsidRDefault="008112BD" w:rsidP="008112BD">
      <w:pPr>
        <w:pStyle w:val="Apara"/>
      </w:pPr>
      <w:r>
        <w:tab/>
        <w:t>(a)</w:t>
      </w:r>
      <w:r>
        <w:tab/>
        <w:t>all or any part of the estate passes to the person to whom administration is granted; or</w:t>
      </w:r>
    </w:p>
    <w:p w14:paraId="4DF7FF8A" w14:textId="77777777"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14:paraId="3E13432D" w14:textId="77777777"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14:paraId="0404DA5C" w14:textId="77777777" w:rsidR="008112BD" w:rsidRDefault="008112BD" w:rsidP="008112BD">
      <w:pPr>
        <w:pStyle w:val="Amain"/>
        <w:keepNext/>
      </w:pPr>
      <w:r>
        <w:lastRenderedPageBreak/>
        <w:tab/>
        <w:t>(3)</w:t>
      </w:r>
      <w:r>
        <w:tab/>
        <w:t>The application may be made in the application for letters of administration or by application in the proceeding.</w:t>
      </w:r>
    </w:p>
    <w:p w14:paraId="4939BA1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14:paraId="46A3CBF5" w14:textId="77777777" w:rsidR="008112BD" w:rsidRDefault="008112BD" w:rsidP="008112BD">
      <w:pPr>
        <w:pStyle w:val="AH5Sec"/>
      </w:pPr>
      <w:bookmarkStart w:id="952" w:name="_Toc185514568"/>
      <w:r w:rsidRPr="00C8328B">
        <w:rPr>
          <w:rStyle w:val="CharSectNo"/>
        </w:rPr>
        <w:t>3047</w:t>
      </w:r>
      <w:r>
        <w:tab/>
        <w:t>Administration bond—affidavit of justification</w:t>
      </w:r>
      <w:bookmarkEnd w:id="952"/>
    </w:p>
    <w:p w14:paraId="14D44F2C" w14:textId="77777777" w:rsidR="008112BD" w:rsidRDefault="008112BD" w:rsidP="008112BD">
      <w:pPr>
        <w:pStyle w:val="Amain"/>
        <w:keepNext/>
      </w:pPr>
      <w:r>
        <w:tab/>
        <w:t>(1)</w:t>
      </w:r>
      <w:r>
        <w:tab/>
        <w:t>A surety, other than an exempt surety, must justify by affidavit.</w:t>
      </w:r>
    </w:p>
    <w:p w14:paraId="2FEE044E" w14:textId="71220997"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14" w:history="1">
        <w:r w:rsidR="00146609">
          <w:rPr>
            <w:rStyle w:val="charCitHyperlinkAbbrev"/>
          </w:rPr>
          <w:t>AF2017-177</w:t>
        </w:r>
      </w:hyperlink>
      <w:r>
        <w:t>.</w:t>
      </w:r>
    </w:p>
    <w:p w14:paraId="5927FC73" w14:textId="77777777" w:rsidR="008112BD" w:rsidRDefault="008112BD" w:rsidP="008112BD">
      <w:pPr>
        <w:pStyle w:val="Amain"/>
      </w:pPr>
      <w:r>
        <w:tab/>
        <w:t>(2)</w:t>
      </w:r>
      <w:r>
        <w:tab/>
        <w:t>A surety that is a corporation must make an affidavit by a proper officer.</w:t>
      </w:r>
    </w:p>
    <w:p w14:paraId="6E0CB8FE" w14:textId="77777777"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14:paraId="7921D3B8" w14:textId="77777777"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14:paraId="21C425F8" w14:textId="77777777"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14:paraId="7CF152C3" w14:textId="77777777" w:rsidR="008112BD" w:rsidRDefault="008112BD" w:rsidP="008112BD">
      <w:pPr>
        <w:pStyle w:val="Amain"/>
      </w:pPr>
      <w:r>
        <w:tab/>
        <w:t>(6)</w:t>
      </w:r>
      <w:r>
        <w:tab/>
        <w:t>The further information must be given in the way the registrar requires, either—</w:t>
      </w:r>
    </w:p>
    <w:p w14:paraId="51010178" w14:textId="77777777" w:rsidR="008112BD" w:rsidRDefault="008112BD" w:rsidP="008112BD">
      <w:pPr>
        <w:pStyle w:val="Apara"/>
      </w:pPr>
      <w:r>
        <w:tab/>
        <w:t>(a)</w:t>
      </w:r>
      <w:r>
        <w:tab/>
        <w:t>by another affidavit; or</w:t>
      </w:r>
    </w:p>
    <w:p w14:paraId="2EA23189" w14:textId="77777777" w:rsidR="008112BD" w:rsidRDefault="008112BD" w:rsidP="008112BD">
      <w:pPr>
        <w:pStyle w:val="Apara"/>
        <w:keepNext/>
      </w:pPr>
      <w:r>
        <w:tab/>
        <w:t>(b)</w:t>
      </w:r>
      <w:r>
        <w:tab/>
        <w:t>by the oral examination of the person who made the affidavit of justification on oath before the registrar.</w:t>
      </w:r>
    </w:p>
    <w:p w14:paraId="1F531F8D" w14:textId="6B47AA93"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15" w:tooltip="A2001-14" w:history="1">
        <w:r w:rsidRPr="00FE0788">
          <w:rPr>
            <w:rStyle w:val="charCitHyperlinkAbbrev"/>
          </w:rPr>
          <w:t>Legislation Act</w:t>
        </w:r>
      </w:hyperlink>
      <w:r>
        <w:t>, dict, pt 1).</w:t>
      </w:r>
    </w:p>
    <w:p w14:paraId="52EE2256" w14:textId="77777777" w:rsidR="008112BD" w:rsidRDefault="008112BD" w:rsidP="008112BD">
      <w:pPr>
        <w:pStyle w:val="Amain"/>
        <w:keepNext/>
      </w:pPr>
      <w:r>
        <w:tab/>
        <w:t>(7)</w:t>
      </w:r>
      <w:r>
        <w:tab/>
        <w:t>In this rule:</w:t>
      </w:r>
    </w:p>
    <w:p w14:paraId="14A82D56" w14:textId="77777777" w:rsidR="008112BD" w:rsidRDefault="008112BD" w:rsidP="008112BD">
      <w:pPr>
        <w:pStyle w:val="aDef"/>
        <w:keepNext/>
      </w:pPr>
      <w:r w:rsidRPr="00FE0788">
        <w:rPr>
          <w:rStyle w:val="charBoldItals"/>
        </w:rPr>
        <w:t>exempt surety</w:t>
      </w:r>
      <w:r>
        <w:t xml:space="preserve"> means—</w:t>
      </w:r>
    </w:p>
    <w:p w14:paraId="12E00BE5" w14:textId="77777777" w:rsidR="008112BD" w:rsidRDefault="008112BD" w:rsidP="008112BD">
      <w:pPr>
        <w:pStyle w:val="aDefpara"/>
      </w:pPr>
      <w:r>
        <w:tab/>
        <w:t>(a)</w:t>
      </w:r>
      <w:r>
        <w:tab/>
        <w:t>an authorised deposit-taking institution; or</w:t>
      </w:r>
    </w:p>
    <w:p w14:paraId="383506E4" w14:textId="77777777" w:rsidR="008112BD" w:rsidRDefault="008112BD" w:rsidP="008112BD">
      <w:pPr>
        <w:pStyle w:val="aDefpara"/>
        <w:keepNext/>
      </w:pPr>
      <w:r>
        <w:lastRenderedPageBreak/>
        <w:tab/>
        <w:t>(b)</w:t>
      </w:r>
      <w:r>
        <w:tab/>
        <w:t>an entity declared by the registrar under rule 3048 (1) to be an exempt surety.</w:t>
      </w:r>
    </w:p>
    <w:p w14:paraId="6556233B" w14:textId="4F7AA046"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16" w:tooltip="A2001-14" w:history="1">
        <w:r w:rsidRPr="00FE0788">
          <w:rPr>
            <w:rStyle w:val="charCitHyperlinkAbbrev"/>
          </w:rPr>
          <w:t>Legislation Act</w:t>
        </w:r>
      </w:hyperlink>
      <w:r>
        <w:t xml:space="preserve">, dict, pt 1 as an authorised deposit-taking institution under the </w:t>
      </w:r>
      <w:hyperlink r:id="rId317" w:tooltip="Act 1959 No 6 (Cwlth)" w:history="1">
        <w:r w:rsidRPr="00367710">
          <w:rPr>
            <w:rStyle w:val="charCitHyperlinkItal"/>
          </w:rPr>
          <w:t>Banking Act 1959</w:t>
        </w:r>
      </w:hyperlink>
      <w:r>
        <w:t xml:space="preserve"> (Cwlth).</w:t>
      </w:r>
    </w:p>
    <w:p w14:paraId="3492766F" w14:textId="77777777" w:rsidR="008112BD" w:rsidRDefault="008112BD" w:rsidP="008112BD">
      <w:pPr>
        <w:pStyle w:val="AH5Sec"/>
      </w:pPr>
      <w:bookmarkStart w:id="953" w:name="_Toc185514569"/>
      <w:r w:rsidRPr="00C8328B">
        <w:rPr>
          <w:rStyle w:val="CharSectNo"/>
        </w:rPr>
        <w:t>3048</w:t>
      </w:r>
      <w:r>
        <w:tab/>
        <w:t>Administration bond—exempt surety</w:t>
      </w:r>
      <w:bookmarkEnd w:id="953"/>
    </w:p>
    <w:p w14:paraId="71D65EA8" w14:textId="77777777" w:rsidR="008112BD" w:rsidRDefault="008112BD" w:rsidP="008112BD">
      <w:pPr>
        <w:pStyle w:val="Amain"/>
      </w:pPr>
      <w:r>
        <w:tab/>
        <w:t>(1)</w:t>
      </w:r>
      <w:r>
        <w:tab/>
        <w:t>The registrar may declare an entity to be an exempt surety.</w:t>
      </w:r>
    </w:p>
    <w:p w14:paraId="47FA472C" w14:textId="77777777" w:rsidR="008112BD" w:rsidRDefault="008112BD" w:rsidP="008112BD">
      <w:pPr>
        <w:pStyle w:val="Amain"/>
        <w:keepNext/>
      </w:pPr>
      <w:r>
        <w:tab/>
        <w:t>(2)</w:t>
      </w:r>
      <w:r>
        <w:tab/>
        <w:t>A declaration is a notifiable instrument.</w:t>
      </w:r>
    </w:p>
    <w:p w14:paraId="67892B70" w14:textId="3B02AB4C"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18" w:tooltip="A2001-14" w:history="1">
        <w:r w:rsidRPr="00FE0788">
          <w:rPr>
            <w:rStyle w:val="charCitHyperlinkAbbrev"/>
          </w:rPr>
          <w:t>Legislation Act</w:t>
        </w:r>
      </w:hyperlink>
      <w:r>
        <w:t>.</w:t>
      </w:r>
    </w:p>
    <w:p w14:paraId="14545A55" w14:textId="77777777" w:rsidR="008112BD" w:rsidRDefault="008112BD" w:rsidP="008112BD">
      <w:pPr>
        <w:pStyle w:val="AH5Sec"/>
      </w:pPr>
      <w:bookmarkStart w:id="954" w:name="_Toc185514570"/>
      <w:r w:rsidRPr="00C8328B">
        <w:rPr>
          <w:rStyle w:val="CharSectNo"/>
        </w:rPr>
        <w:t>3049</w:t>
      </w:r>
      <w:r>
        <w:tab/>
        <w:t>Administration bond—addition or reduction after required but before given</w:t>
      </w:r>
      <w:bookmarkEnd w:id="954"/>
    </w:p>
    <w:p w14:paraId="031A1EE9" w14:textId="77777777"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14:paraId="1C2094AF" w14:textId="77777777"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14:paraId="28F4AE5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4DD1AD0D" w14:textId="77777777" w:rsidR="008112BD" w:rsidRDefault="008112BD" w:rsidP="008112BD">
      <w:pPr>
        <w:pStyle w:val="Amain"/>
      </w:pPr>
      <w:r>
        <w:tab/>
        <w:t>(3)</w:t>
      </w:r>
      <w:r>
        <w:tab/>
        <w:t>However, application must not be made if the court has made a decision about the amount under rule 3045 (5).</w:t>
      </w:r>
    </w:p>
    <w:p w14:paraId="7FE8BD4F" w14:textId="77777777"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14:paraId="1EB38DFE" w14:textId="77777777" w:rsidR="008112BD" w:rsidRDefault="008112BD" w:rsidP="008112BD">
      <w:pPr>
        <w:pStyle w:val="Apara"/>
      </w:pPr>
      <w:r>
        <w:tab/>
        <w:t>(a)</w:t>
      </w:r>
      <w:r>
        <w:tab/>
        <w:t>the court makes an order under subrule (2) that the amount be increased; and</w:t>
      </w:r>
    </w:p>
    <w:p w14:paraId="695AFA59" w14:textId="77777777" w:rsidR="008112BD" w:rsidRDefault="008112BD" w:rsidP="008112BD">
      <w:pPr>
        <w:pStyle w:val="Apara"/>
      </w:pPr>
      <w:r>
        <w:tab/>
        <w:t>(b)</w:t>
      </w:r>
      <w:r>
        <w:tab/>
        <w:t>the surety or sureties will not guarantee the increased amount; and</w:t>
      </w:r>
    </w:p>
    <w:p w14:paraId="6243278F" w14:textId="77777777" w:rsidR="008112BD" w:rsidRDefault="008112BD" w:rsidP="008112BD">
      <w:pPr>
        <w:pStyle w:val="Apara"/>
      </w:pPr>
      <w:r>
        <w:lastRenderedPageBreak/>
        <w:tab/>
        <w:t>(c)</w:t>
      </w:r>
      <w:r>
        <w:tab/>
        <w:t>the administrator does not produce another surety or other sureties to cover the increased amount.</w:t>
      </w:r>
    </w:p>
    <w:p w14:paraId="4551831F" w14:textId="77777777" w:rsidR="008112BD" w:rsidRDefault="008112BD" w:rsidP="008112BD">
      <w:pPr>
        <w:pStyle w:val="Amain"/>
        <w:keepNext/>
      </w:pPr>
      <w:r>
        <w:tab/>
        <w:t>(5)</w:t>
      </w:r>
      <w:r>
        <w:tab/>
        <w:t>In this rule:</w:t>
      </w:r>
    </w:p>
    <w:p w14:paraId="632024DC" w14:textId="77777777" w:rsidR="008112BD" w:rsidRDefault="008112BD" w:rsidP="008112BD">
      <w:pPr>
        <w:pStyle w:val="aDef"/>
      </w:pPr>
      <w:r w:rsidRPr="00FE0788">
        <w:rPr>
          <w:rStyle w:val="charBoldItals"/>
        </w:rPr>
        <w:t>required amount</w:t>
      </w:r>
      <w:r>
        <w:t>—see rule 3045 (6).</w:t>
      </w:r>
    </w:p>
    <w:p w14:paraId="6332FBA3" w14:textId="77777777" w:rsidR="008112BD" w:rsidRDefault="008112BD" w:rsidP="008112BD">
      <w:pPr>
        <w:pStyle w:val="AH5Sec"/>
      </w:pPr>
      <w:bookmarkStart w:id="955" w:name="_Toc185514571"/>
      <w:r w:rsidRPr="00C8328B">
        <w:rPr>
          <w:rStyle w:val="CharSectNo"/>
        </w:rPr>
        <w:t>3050</w:t>
      </w:r>
      <w:r>
        <w:tab/>
        <w:t>Administration bond—addition or reduction after given</w:t>
      </w:r>
      <w:bookmarkEnd w:id="955"/>
    </w:p>
    <w:p w14:paraId="35EC95C0" w14:textId="77777777" w:rsidR="008112BD" w:rsidRDefault="008112BD" w:rsidP="003477BF">
      <w:pPr>
        <w:pStyle w:val="Amain"/>
        <w:keepNext/>
      </w:pPr>
      <w:r>
        <w:tab/>
        <w:t>(1)</w:t>
      </w:r>
      <w:r>
        <w:tab/>
        <w:t>This rule applies if an administration bond is given under rule 3045 (Administration bond—requirement for bond) for an estate.</w:t>
      </w:r>
    </w:p>
    <w:p w14:paraId="5039B20D" w14:textId="77777777" w:rsidR="008112BD" w:rsidRDefault="008112BD" w:rsidP="003477BF">
      <w:pPr>
        <w:pStyle w:val="Amain"/>
        <w:keepNext/>
      </w:pPr>
      <w:r>
        <w:tab/>
        <w:t>(2)</w:t>
      </w:r>
      <w:r>
        <w:tab/>
        <w:t>On the application of anyone interested in the estate or on its own initiative on the registrar’s report, the court may, at any time—</w:t>
      </w:r>
    </w:p>
    <w:p w14:paraId="50708B9E" w14:textId="77777777" w:rsidR="008112BD" w:rsidRDefault="008112BD" w:rsidP="008112BD">
      <w:pPr>
        <w:pStyle w:val="Apara"/>
      </w:pPr>
      <w:r>
        <w:tab/>
        <w:t>(a)</w:t>
      </w:r>
      <w:r>
        <w:tab/>
        <w:t>require the surety or sureties to give an additional administration bond; or</w:t>
      </w:r>
    </w:p>
    <w:p w14:paraId="08A8FFA6" w14:textId="77777777" w:rsidR="008112BD" w:rsidRDefault="008112BD" w:rsidP="008112BD">
      <w:pPr>
        <w:pStyle w:val="Apara"/>
        <w:keepNext/>
      </w:pPr>
      <w:r>
        <w:tab/>
        <w:t>(b)</w:t>
      </w:r>
      <w:r>
        <w:tab/>
        <w:t>order that the liability of a surety under the bond be reduced by a stated amount.</w:t>
      </w:r>
    </w:p>
    <w:p w14:paraId="56642F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C741563" w14:textId="77777777"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14:paraId="6C6570F2" w14:textId="77777777" w:rsidR="008112BD" w:rsidRDefault="008112BD" w:rsidP="008112BD">
      <w:pPr>
        <w:pStyle w:val="Apara"/>
      </w:pPr>
      <w:r>
        <w:tab/>
        <w:t>(a)</w:t>
      </w:r>
      <w:r>
        <w:tab/>
        <w:t>the additional administration bond is not given by the surety or sureties; and</w:t>
      </w:r>
    </w:p>
    <w:p w14:paraId="0AAAE908" w14:textId="77777777" w:rsidR="008112BD" w:rsidRDefault="008112BD" w:rsidP="008112BD">
      <w:pPr>
        <w:pStyle w:val="Apara"/>
      </w:pPr>
      <w:r>
        <w:tab/>
        <w:t>(b)</w:t>
      </w:r>
      <w:r>
        <w:tab/>
        <w:t>the administrator does not produce another surety or other sureties to give the additional bond.</w:t>
      </w:r>
    </w:p>
    <w:p w14:paraId="59BA87C9" w14:textId="77777777" w:rsidR="008112BD" w:rsidRDefault="008112BD" w:rsidP="008112BD">
      <w:pPr>
        <w:pStyle w:val="Amain"/>
      </w:pPr>
      <w:r>
        <w:tab/>
        <w:t>(4)</w:t>
      </w:r>
      <w:r>
        <w:tab/>
        <w:t>For these rules, an additional administration bond under this rule is taken to be an administration bond under rule 3045.</w:t>
      </w:r>
    </w:p>
    <w:p w14:paraId="63F8067B" w14:textId="77777777" w:rsidR="008112BD" w:rsidRDefault="008112BD" w:rsidP="008112BD">
      <w:pPr>
        <w:pStyle w:val="AH5Sec"/>
      </w:pPr>
      <w:bookmarkStart w:id="956" w:name="_Toc185514572"/>
      <w:r w:rsidRPr="00C8328B">
        <w:rPr>
          <w:rStyle w:val="CharSectNo"/>
        </w:rPr>
        <w:lastRenderedPageBreak/>
        <w:t>3051</w:t>
      </w:r>
      <w:r>
        <w:tab/>
        <w:t>Administration bond—proceeding on bond</w:t>
      </w:r>
      <w:bookmarkEnd w:id="956"/>
    </w:p>
    <w:p w14:paraId="3D1D7C11" w14:textId="77777777" w:rsidR="008112BD" w:rsidRDefault="008112BD" w:rsidP="008112BD">
      <w:pPr>
        <w:pStyle w:val="Amain"/>
        <w:keepNext/>
      </w:pPr>
      <w:r>
        <w:tab/>
        <w:t>(1)</w:t>
      </w:r>
      <w:r>
        <w:tab/>
        <w:t>A proceeding on an administration bond may only be started with the court’s leave.</w:t>
      </w:r>
    </w:p>
    <w:p w14:paraId="2F2D7AC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14:paraId="7ECC25FE" w14:textId="77777777" w:rsidR="008112BD" w:rsidRDefault="008112BD" w:rsidP="008112BD">
      <w:pPr>
        <w:pStyle w:val="Amain"/>
      </w:pPr>
      <w:r>
        <w:tab/>
        <w:t>(2)</w:t>
      </w:r>
      <w:r>
        <w:tab/>
        <w:t>A stamped copy of the application and supporting affidavits must be served on the administrator and surety.</w:t>
      </w:r>
    </w:p>
    <w:p w14:paraId="78DA6B38" w14:textId="77777777" w:rsidR="008112BD" w:rsidRDefault="008112BD" w:rsidP="008112BD">
      <w:pPr>
        <w:pStyle w:val="AH5Sec"/>
      </w:pPr>
      <w:bookmarkStart w:id="957" w:name="_Toc185514573"/>
      <w:r w:rsidRPr="00C8328B">
        <w:rPr>
          <w:rStyle w:val="CharSectNo"/>
        </w:rPr>
        <w:t>3052</w:t>
      </w:r>
      <w:r>
        <w:tab/>
        <w:t>Administration bond—application by surety</w:t>
      </w:r>
      <w:bookmarkEnd w:id="957"/>
      <w:r>
        <w:t xml:space="preserve"> </w:t>
      </w:r>
    </w:p>
    <w:p w14:paraId="6E503D8D" w14:textId="77777777"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14:paraId="17562DF4" w14:textId="77777777" w:rsidR="008112BD" w:rsidRDefault="008112BD" w:rsidP="008112BD">
      <w:pPr>
        <w:pStyle w:val="Apara"/>
      </w:pPr>
      <w:r>
        <w:tab/>
        <w:t>(a)</w:t>
      </w:r>
      <w:r>
        <w:tab/>
        <w:t>the estate is being wasted, or is in danger of being wasted;</w:t>
      </w:r>
    </w:p>
    <w:p w14:paraId="602DBA7D" w14:textId="77777777" w:rsidR="008112BD" w:rsidRDefault="008112BD" w:rsidP="008112BD">
      <w:pPr>
        <w:pStyle w:val="Apara"/>
        <w:keepNext/>
      </w:pPr>
      <w:r>
        <w:tab/>
        <w:t>(b)</w:t>
      </w:r>
      <w:r>
        <w:tab/>
        <w:t>the surety is being in any way prejudiced, or in danger of being prejudiced, by the act or omission of the person administering the estate.</w:t>
      </w:r>
    </w:p>
    <w:p w14:paraId="555826E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14:paraId="31D83492" w14:textId="77777777" w:rsidR="008112BD" w:rsidRDefault="008112BD" w:rsidP="008112BD">
      <w:pPr>
        <w:pStyle w:val="AH5Sec"/>
      </w:pPr>
      <w:bookmarkStart w:id="958" w:name="_Toc185514574"/>
      <w:r w:rsidRPr="00C8328B">
        <w:rPr>
          <w:rStyle w:val="CharSectNo"/>
        </w:rPr>
        <w:t>3053</w:t>
      </w:r>
      <w:r>
        <w:tab/>
        <w:t>Administration bond—reseal of foreign grant</w:t>
      </w:r>
      <w:bookmarkEnd w:id="958"/>
    </w:p>
    <w:p w14:paraId="4E658CAC" w14:textId="6C82AE45"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19" w:tooltip="A1929-18" w:history="1">
        <w:r w:rsidRPr="00367710">
          <w:rPr>
            <w:rStyle w:val="charCitHyperlinkAbbrev"/>
          </w:rPr>
          <w:t>Administration and Probate Act</w:t>
        </w:r>
      </w:hyperlink>
      <w:r>
        <w:t>, section 80 (Reseal of grant made in reciprocating jurisdiction).</w:t>
      </w:r>
    </w:p>
    <w:p w14:paraId="28D26ED7" w14:textId="77777777" w:rsidR="008112BD" w:rsidRPr="00C8328B" w:rsidRDefault="008112BD" w:rsidP="008112BD">
      <w:pPr>
        <w:pStyle w:val="AH3Div"/>
      </w:pPr>
      <w:bookmarkStart w:id="959" w:name="_Toc185514575"/>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59"/>
    </w:p>
    <w:p w14:paraId="2BF2E51B" w14:textId="77777777" w:rsidR="008112BD" w:rsidRDefault="008112BD" w:rsidP="008112BD">
      <w:pPr>
        <w:pStyle w:val="AH5Sec"/>
      </w:pPr>
      <w:bookmarkStart w:id="960" w:name="_Toc185514576"/>
      <w:r w:rsidRPr="00C8328B">
        <w:rPr>
          <w:rStyle w:val="CharSectNo"/>
        </w:rPr>
        <w:t>3055</w:t>
      </w:r>
      <w:r>
        <w:tab/>
        <w:t xml:space="preserve">Administration by </w:t>
      </w:r>
      <w:r w:rsidR="00E439D1">
        <w:t>public trustee and guardian</w:t>
      </w:r>
      <w:r>
        <w:t>—application</w:t>
      </w:r>
      <w:bookmarkEnd w:id="960"/>
    </w:p>
    <w:p w14:paraId="204BFCBA" w14:textId="64705125" w:rsidR="008112BD" w:rsidRDefault="008112BD" w:rsidP="00B5202E">
      <w:pPr>
        <w:pStyle w:val="Amain"/>
        <w:keepLines/>
      </w:pPr>
      <w:r>
        <w:tab/>
        <w:t>(1)</w:t>
      </w:r>
      <w:r>
        <w:tab/>
        <w:t xml:space="preserve">An application by the </w:t>
      </w:r>
      <w:r w:rsidR="00E439D1">
        <w:t>public trustee and guardian</w:t>
      </w:r>
      <w:r>
        <w:t xml:space="preserve"> under the </w:t>
      </w:r>
      <w:hyperlink r:id="rId320"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14:paraId="1E2B1CBA" w14:textId="77777777" w:rsidR="008112BD" w:rsidRDefault="008112BD" w:rsidP="008112BD">
      <w:pPr>
        <w:pStyle w:val="Apara"/>
      </w:pPr>
      <w:r>
        <w:tab/>
        <w:t>(a)</w:t>
      </w:r>
      <w:r>
        <w:tab/>
        <w:t>the person has died, and the date and place of the person’s death; and</w:t>
      </w:r>
    </w:p>
    <w:p w14:paraId="76F9C50A" w14:textId="77777777" w:rsidR="008112BD" w:rsidRDefault="008112BD" w:rsidP="008112BD">
      <w:pPr>
        <w:pStyle w:val="Apara"/>
      </w:pPr>
      <w:r>
        <w:tab/>
        <w:t>(b)</w:t>
      </w:r>
      <w:r>
        <w:tab/>
        <w:t>whether the person died with or without leaving a will; and</w:t>
      </w:r>
    </w:p>
    <w:p w14:paraId="6708F6AF" w14:textId="77777777" w:rsidR="008112BD" w:rsidRDefault="008112BD" w:rsidP="008112BD">
      <w:pPr>
        <w:pStyle w:val="Apara"/>
      </w:pPr>
      <w:r>
        <w:tab/>
        <w:t>(c)</w:t>
      </w:r>
      <w:r>
        <w:tab/>
        <w:t>whether the person left real or personal property in the ACT; and</w:t>
      </w:r>
    </w:p>
    <w:p w14:paraId="5DEC80B2" w14:textId="77777777" w:rsidR="008112BD" w:rsidRDefault="008112BD" w:rsidP="008112BD">
      <w:pPr>
        <w:pStyle w:val="Apara"/>
        <w:keepNext/>
      </w:pPr>
      <w:r>
        <w:tab/>
        <w:t>(d)</w:t>
      </w:r>
      <w:r>
        <w:tab/>
        <w:t>the names of any surviving domestic partner or next of kin.</w:t>
      </w:r>
    </w:p>
    <w:p w14:paraId="551226CC" w14:textId="658F857F"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1" w:history="1">
        <w:r w:rsidR="007F47A9">
          <w:rPr>
            <w:rStyle w:val="charCitHyperlinkAbbrev"/>
          </w:rPr>
          <w:t>AF2017-178</w:t>
        </w:r>
      </w:hyperlink>
      <w:r>
        <w:t>.</w:t>
      </w:r>
    </w:p>
    <w:p w14:paraId="34673CCC" w14:textId="1FD0E9B3"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22" w:tooltip="A2001-14" w:history="1">
        <w:r w:rsidRPr="00FE0788">
          <w:rPr>
            <w:rStyle w:val="charCitHyperlinkAbbrev"/>
          </w:rPr>
          <w:t>Legislation Act</w:t>
        </w:r>
      </w:hyperlink>
      <w:r>
        <w:t>, s 169.</w:t>
      </w:r>
    </w:p>
    <w:p w14:paraId="77942C08" w14:textId="77777777"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14:paraId="0A6A2B84" w14:textId="77777777" w:rsidR="008112BD" w:rsidRDefault="008112BD" w:rsidP="008112BD">
      <w:pPr>
        <w:pStyle w:val="AH5Sec"/>
      </w:pPr>
      <w:bookmarkStart w:id="961" w:name="_Toc185514577"/>
      <w:r w:rsidRPr="00C8328B">
        <w:rPr>
          <w:rStyle w:val="CharSectNo"/>
        </w:rPr>
        <w:t>3056</w:t>
      </w:r>
      <w:r>
        <w:tab/>
        <w:t xml:space="preserve">Administration by </w:t>
      </w:r>
      <w:r w:rsidR="00E439D1">
        <w:t>public trustee and guardian</w:t>
      </w:r>
      <w:r>
        <w:t>—renunciation of probate by executors</w:t>
      </w:r>
      <w:bookmarkEnd w:id="961"/>
    </w:p>
    <w:p w14:paraId="26141D21" w14:textId="77777777"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14:paraId="6CAE3AFA" w14:textId="77777777"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14:paraId="7319674D" w14:textId="6859D845"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23" w:history="1">
        <w:r w:rsidR="004704B5">
          <w:rPr>
            <w:rStyle w:val="charCitHyperlinkAbbrev"/>
          </w:rPr>
          <w:t>AF2017-179</w:t>
        </w:r>
      </w:hyperlink>
      <w:r>
        <w:t>.</w:t>
      </w:r>
    </w:p>
    <w:p w14:paraId="309CF720" w14:textId="77777777"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14:paraId="10C14DBC" w14:textId="77777777" w:rsidR="008112BD" w:rsidRDefault="008112BD" w:rsidP="008112BD">
      <w:pPr>
        <w:pStyle w:val="AH5Sec"/>
      </w:pPr>
      <w:bookmarkStart w:id="962" w:name="_Toc185514578"/>
      <w:r w:rsidRPr="00C8328B">
        <w:rPr>
          <w:rStyle w:val="CharSectNo"/>
        </w:rPr>
        <w:t>3057</w:t>
      </w:r>
      <w:r>
        <w:tab/>
        <w:t xml:space="preserve">Administration by </w:t>
      </w:r>
      <w:r w:rsidR="00E439D1">
        <w:t>public trustee and guardian</w:t>
      </w:r>
      <w:r>
        <w:t>—renunciation of letters of administration by entitled people</w:t>
      </w:r>
      <w:bookmarkEnd w:id="962"/>
    </w:p>
    <w:p w14:paraId="62CFE73B" w14:textId="77777777" w:rsidR="008112BD" w:rsidRDefault="008112BD" w:rsidP="008112BD">
      <w:pPr>
        <w:pStyle w:val="Amain"/>
      </w:pPr>
      <w:r>
        <w:tab/>
        <w:t>(1)</w:t>
      </w:r>
      <w:r>
        <w:tab/>
        <w:t>This rule applies if—</w:t>
      </w:r>
    </w:p>
    <w:p w14:paraId="5CE6BCA4" w14:textId="77777777" w:rsidR="008112BD" w:rsidRDefault="008112BD" w:rsidP="008112BD">
      <w:pPr>
        <w:pStyle w:val="Apara"/>
      </w:pPr>
      <w:r>
        <w:tab/>
        <w:t>(a)</w:t>
      </w:r>
      <w:r>
        <w:tab/>
        <w:t>a person died without leaving a will; and</w:t>
      </w:r>
    </w:p>
    <w:p w14:paraId="1ADFC33C" w14:textId="77777777"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14:paraId="15519E9B" w14:textId="77777777"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14:paraId="773E508F" w14:textId="50FD8416"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24" w:history="1">
        <w:r w:rsidR="004704B5">
          <w:rPr>
            <w:rStyle w:val="charCitHyperlinkAbbrev"/>
          </w:rPr>
          <w:t>AF2017-180</w:t>
        </w:r>
      </w:hyperlink>
      <w:r>
        <w:t>.</w:t>
      </w:r>
    </w:p>
    <w:p w14:paraId="2CA57D41" w14:textId="77777777" w:rsidR="008112BD" w:rsidRDefault="008112BD" w:rsidP="008112BD">
      <w:pPr>
        <w:pStyle w:val="Amain"/>
      </w:pPr>
      <w:r>
        <w:tab/>
        <w:t>(3)</w:t>
      </w:r>
      <w:r>
        <w:tab/>
        <w:t xml:space="preserve">The </w:t>
      </w:r>
      <w:r w:rsidR="00E439D1">
        <w:t>public trustee and guardian</w:t>
      </w:r>
      <w:r>
        <w:t xml:space="preserve"> must file the notice of renunciation in the court.</w:t>
      </w:r>
    </w:p>
    <w:p w14:paraId="63C2F177" w14:textId="77777777" w:rsidR="008112BD" w:rsidRDefault="008112BD" w:rsidP="008112BD">
      <w:pPr>
        <w:pStyle w:val="AH5Sec"/>
      </w:pPr>
      <w:bookmarkStart w:id="963" w:name="_Toc185514579"/>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3"/>
    </w:p>
    <w:p w14:paraId="48B64DAD" w14:textId="77777777" w:rsidR="008112BD" w:rsidRDefault="008112BD" w:rsidP="008112BD">
      <w:pPr>
        <w:pStyle w:val="Amain"/>
      </w:pPr>
      <w:r>
        <w:tab/>
        <w:t>(1)</w:t>
      </w:r>
      <w:r>
        <w:tab/>
        <w:t>This rule applies if—</w:t>
      </w:r>
    </w:p>
    <w:p w14:paraId="14CED1D3" w14:textId="77777777" w:rsidR="008112BD" w:rsidRDefault="008112BD" w:rsidP="008112BD">
      <w:pPr>
        <w:pStyle w:val="Apara"/>
      </w:pPr>
      <w:r>
        <w:tab/>
        <w:t>(a)</w:t>
      </w:r>
      <w:r>
        <w:tab/>
        <w:t xml:space="preserve">the </w:t>
      </w:r>
      <w:r w:rsidR="00E439D1">
        <w:t>public trustee and guardian</w:t>
      </w:r>
      <w:r>
        <w:t xml:space="preserve"> is administering an estate; and</w:t>
      </w:r>
    </w:p>
    <w:p w14:paraId="5D543550" w14:textId="77777777" w:rsidR="008112BD" w:rsidRDefault="008112BD" w:rsidP="008112BD">
      <w:pPr>
        <w:pStyle w:val="Apara"/>
      </w:pPr>
      <w:r>
        <w:tab/>
        <w:t>(b)</w:t>
      </w:r>
      <w:r>
        <w:tab/>
        <w:t>someone else brings a proceeding in a court in relation to the estate; and</w:t>
      </w:r>
    </w:p>
    <w:p w14:paraId="028E179B" w14:textId="77777777" w:rsidR="008112BD" w:rsidRDefault="008112BD" w:rsidP="008112BD">
      <w:pPr>
        <w:pStyle w:val="Apara"/>
      </w:pPr>
      <w:r>
        <w:tab/>
        <w:t>(c)</w:t>
      </w:r>
      <w:r>
        <w:tab/>
        <w:t xml:space="preserve">the </w:t>
      </w:r>
      <w:r w:rsidR="00E439D1">
        <w:t>public trustee and guardian</w:t>
      </w:r>
      <w:r>
        <w:t xml:space="preserve"> is not a party to the proceeding.</w:t>
      </w:r>
    </w:p>
    <w:p w14:paraId="202C4B1C" w14:textId="77777777"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14:paraId="5E4A34AF" w14:textId="77777777" w:rsidR="008112BD" w:rsidRPr="00C8328B" w:rsidRDefault="008112BD" w:rsidP="008112BD">
      <w:pPr>
        <w:pStyle w:val="AH3Div"/>
      </w:pPr>
      <w:bookmarkStart w:id="964" w:name="_Toc185514580"/>
      <w:r w:rsidRPr="00C8328B">
        <w:rPr>
          <w:rStyle w:val="CharDivNo"/>
        </w:rPr>
        <w:lastRenderedPageBreak/>
        <w:t>Division 3.1.7</w:t>
      </w:r>
      <w:r>
        <w:tab/>
      </w:r>
      <w:r w:rsidRPr="00C8328B">
        <w:rPr>
          <w:rStyle w:val="CharDivText"/>
        </w:rPr>
        <w:t>Caveats</w:t>
      </w:r>
      <w:bookmarkEnd w:id="964"/>
    </w:p>
    <w:p w14:paraId="5FD4014D" w14:textId="77777777" w:rsidR="008112BD" w:rsidRDefault="008112BD" w:rsidP="008112BD">
      <w:pPr>
        <w:pStyle w:val="AH5Sec"/>
      </w:pPr>
      <w:bookmarkStart w:id="965" w:name="_Toc185514581"/>
      <w:r w:rsidRPr="00C8328B">
        <w:rPr>
          <w:rStyle w:val="CharSectNo"/>
        </w:rPr>
        <w:t>3065</w:t>
      </w:r>
      <w:r>
        <w:tab/>
        <w:t>Definitions—div 3.1.7</w:t>
      </w:r>
      <w:bookmarkEnd w:id="965"/>
    </w:p>
    <w:p w14:paraId="6342DE1B" w14:textId="77777777" w:rsidR="008112BD" w:rsidRDefault="008112BD" w:rsidP="008112BD">
      <w:pPr>
        <w:pStyle w:val="Amainreturn"/>
        <w:keepNext/>
      </w:pPr>
      <w:r>
        <w:t>In this division:</w:t>
      </w:r>
    </w:p>
    <w:p w14:paraId="174FAAAC" w14:textId="77777777" w:rsidR="008112BD" w:rsidRDefault="008112BD" w:rsidP="008112BD">
      <w:pPr>
        <w:pStyle w:val="aDef"/>
      </w:pPr>
      <w:r w:rsidRPr="00FE0788">
        <w:rPr>
          <w:rStyle w:val="charBoldItals"/>
        </w:rPr>
        <w:t>caveator</w:t>
      </w:r>
      <w:r>
        <w:t xml:space="preserve"> means a person who files a caveat in the court under this division.</w:t>
      </w:r>
    </w:p>
    <w:p w14:paraId="66533B6F" w14:textId="77777777"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14:paraId="221BFEF2" w14:textId="77777777" w:rsidR="008112BD" w:rsidRDefault="008112BD" w:rsidP="008112BD">
      <w:pPr>
        <w:pStyle w:val="AH5Sec"/>
      </w:pPr>
      <w:bookmarkStart w:id="966" w:name="_Toc185514582"/>
      <w:r w:rsidRPr="00C8328B">
        <w:rPr>
          <w:rStyle w:val="CharSectNo"/>
        </w:rPr>
        <w:t>3066</w:t>
      </w:r>
      <w:r>
        <w:tab/>
        <w:t>Caveat—filing</w:t>
      </w:r>
      <w:bookmarkEnd w:id="966"/>
    </w:p>
    <w:p w14:paraId="271059CA" w14:textId="77777777" w:rsidR="008112BD" w:rsidRDefault="008112BD" w:rsidP="008112BD">
      <w:pPr>
        <w:pStyle w:val="Amain"/>
        <w:keepNext/>
      </w:pPr>
      <w:r>
        <w:tab/>
        <w:t>(1)</w:t>
      </w:r>
      <w:r>
        <w:tab/>
        <w:t>A person claiming to have an interest in an estate may file a caveat in the court.</w:t>
      </w:r>
    </w:p>
    <w:p w14:paraId="395165FC" w14:textId="15EE70B0"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25" w:history="1">
        <w:r w:rsidR="004704B5">
          <w:rPr>
            <w:rStyle w:val="charCitHyperlinkAbbrev"/>
          </w:rPr>
          <w:t>AF2017-181</w:t>
        </w:r>
      </w:hyperlink>
      <w:r>
        <w:t>.</w:t>
      </w:r>
    </w:p>
    <w:p w14:paraId="02C258F4" w14:textId="77777777" w:rsidR="008112BD" w:rsidRDefault="008112BD" w:rsidP="008112BD">
      <w:pPr>
        <w:pStyle w:val="Amain"/>
      </w:pPr>
      <w:r>
        <w:tab/>
        <w:t>(2)</w:t>
      </w:r>
      <w:r>
        <w:tab/>
        <w:t>A caveat may be—</w:t>
      </w:r>
    </w:p>
    <w:p w14:paraId="74DB4B66" w14:textId="77777777" w:rsidR="008112BD" w:rsidRDefault="008112BD" w:rsidP="008112BD">
      <w:pPr>
        <w:pStyle w:val="Apara"/>
      </w:pPr>
      <w:r>
        <w:tab/>
        <w:t>(a)</w:t>
      </w:r>
      <w:r>
        <w:tab/>
        <w:t>a caveat against a grant of representation for the estate; or</w:t>
      </w:r>
    </w:p>
    <w:p w14:paraId="1BE88231" w14:textId="77777777" w:rsidR="008112BD" w:rsidRDefault="008112BD" w:rsidP="008112BD">
      <w:pPr>
        <w:pStyle w:val="Apara"/>
      </w:pPr>
      <w:r>
        <w:tab/>
        <w:t>(b)</w:t>
      </w:r>
      <w:r>
        <w:tab/>
        <w:t>a caveat requiring proof in solemn form of any will of the deceased person; or</w:t>
      </w:r>
    </w:p>
    <w:p w14:paraId="0B651EF9" w14:textId="1798F914" w:rsidR="00AE6557" w:rsidRPr="00E41162" w:rsidRDefault="00AE6557" w:rsidP="00AE6557">
      <w:pPr>
        <w:pStyle w:val="Apara"/>
      </w:pPr>
      <w:r w:rsidRPr="00E41162">
        <w:tab/>
        <w:t>(c)</w:t>
      </w:r>
      <w:r w:rsidRPr="00E41162">
        <w:tab/>
        <w:t xml:space="preserve">if a grant of probate is made on presumption of the death of the person under the </w:t>
      </w:r>
      <w:hyperlink r:id="rId326" w:tooltip="A1929-18" w:history="1">
        <w:r w:rsidRPr="00E41162">
          <w:rPr>
            <w:rStyle w:val="charCitHyperlinkItal"/>
          </w:rPr>
          <w:t>Administration and Probate Act 1929</w:t>
        </w:r>
      </w:hyperlink>
      <w:r w:rsidRPr="00E41162">
        <w:t>, section 9B—a caveat against distribution of the estate.</w:t>
      </w:r>
    </w:p>
    <w:p w14:paraId="7E6C19B7" w14:textId="77777777" w:rsidR="008112BD" w:rsidRDefault="008112BD" w:rsidP="008112BD">
      <w:pPr>
        <w:pStyle w:val="Amain"/>
      </w:pPr>
      <w:r>
        <w:tab/>
        <w:t>(3)</w:t>
      </w:r>
      <w:r>
        <w:tab/>
        <w:t>A caveat mentioned in subrule (2) (a) or (b) may be filed at any time before a grant of representation is made for the estate.</w:t>
      </w:r>
    </w:p>
    <w:p w14:paraId="14237ACB" w14:textId="77777777" w:rsidR="008112BD" w:rsidRDefault="008112BD" w:rsidP="008112BD">
      <w:pPr>
        <w:pStyle w:val="Amain"/>
      </w:pPr>
      <w:r>
        <w:tab/>
        <w:t>(4)</w:t>
      </w:r>
      <w:r>
        <w:tab/>
        <w:t>A caveat mentioned in subrule (2) (c) may be filed at any time before the estate has been fully distributed.</w:t>
      </w:r>
    </w:p>
    <w:p w14:paraId="302A7438" w14:textId="77777777" w:rsidR="008112BD" w:rsidRDefault="008112BD" w:rsidP="008112BD">
      <w:pPr>
        <w:pStyle w:val="Amain"/>
      </w:pPr>
      <w:r>
        <w:tab/>
        <w:t>(5)</w:t>
      </w:r>
      <w:r>
        <w:tab/>
        <w:t>The caveat must state fully the nature of the caveator’s interest and the grounds of the caveator’s objection.</w:t>
      </w:r>
    </w:p>
    <w:p w14:paraId="67B96434" w14:textId="77777777"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14:paraId="4E461341" w14:textId="77777777" w:rsidR="008112BD" w:rsidRDefault="008112BD" w:rsidP="008112BD">
      <w:pPr>
        <w:pStyle w:val="Apara"/>
      </w:pPr>
      <w:r>
        <w:tab/>
        <w:t>(a)</w:t>
      </w:r>
      <w:r>
        <w:tab/>
        <w:t>that there is a later will executed, or act of revocation or made, on a stated date;</w:t>
      </w:r>
    </w:p>
    <w:p w14:paraId="715D81D2" w14:textId="77777777" w:rsidR="008112BD" w:rsidRDefault="008112BD" w:rsidP="008112BD">
      <w:pPr>
        <w:pStyle w:val="Apara"/>
      </w:pPr>
      <w:r>
        <w:tab/>
        <w:t>(b)</w:t>
      </w:r>
      <w:r>
        <w:tab/>
        <w:t>that the will was not executed by the testator;</w:t>
      </w:r>
    </w:p>
    <w:p w14:paraId="2B4A53FF" w14:textId="01F478CE" w:rsidR="008112BD" w:rsidRDefault="008112BD" w:rsidP="008112BD">
      <w:pPr>
        <w:pStyle w:val="Apara"/>
      </w:pPr>
      <w:r>
        <w:tab/>
        <w:t>(c)</w:t>
      </w:r>
      <w:r>
        <w:tab/>
        <w:t xml:space="preserve">that the will was not executed in accordance with a stated provision of the </w:t>
      </w:r>
      <w:hyperlink r:id="rId327" w:tooltip="A1968-11" w:history="1">
        <w:r w:rsidRPr="00FE0788">
          <w:rPr>
            <w:rStyle w:val="charCitHyperlinkItal"/>
          </w:rPr>
          <w:t>Wills Act 1968</w:t>
        </w:r>
      </w:hyperlink>
      <w:r>
        <w:t>;</w:t>
      </w:r>
    </w:p>
    <w:p w14:paraId="5D85171B" w14:textId="7CA4ED72" w:rsidR="008112BD" w:rsidRDefault="008112BD" w:rsidP="008112BD">
      <w:pPr>
        <w:pStyle w:val="Apara"/>
        <w:keepLines/>
      </w:pPr>
      <w:r>
        <w:tab/>
        <w:t>(d)</w:t>
      </w:r>
      <w:r>
        <w:tab/>
        <w:t xml:space="preserve">that the document for which probate or administration is sought was not executed in accordance with the </w:t>
      </w:r>
      <w:hyperlink r:id="rId328" w:tooltip="A1968-11" w:history="1">
        <w:r w:rsidRPr="00FE0788">
          <w:rPr>
            <w:rStyle w:val="charCitHyperlinkItal"/>
          </w:rPr>
          <w:t>Wills Act 1968</w:t>
        </w:r>
      </w:hyperlink>
      <w:r>
        <w:t xml:space="preserve"> and was not intended by the deceased person to be the deceased person’s will;</w:t>
      </w:r>
    </w:p>
    <w:p w14:paraId="55D44CDC" w14:textId="77777777" w:rsidR="008112BD" w:rsidRDefault="008112BD" w:rsidP="008112BD">
      <w:pPr>
        <w:pStyle w:val="Apara"/>
      </w:pPr>
      <w:r>
        <w:tab/>
        <w:t>(e)</w:t>
      </w:r>
      <w:r>
        <w:tab/>
        <w:t>that the testator lacked testamentary capacity at the time of execution of the will;</w:t>
      </w:r>
    </w:p>
    <w:p w14:paraId="4C957CE5" w14:textId="77777777" w:rsidR="008112BD" w:rsidRDefault="008112BD" w:rsidP="008112BD">
      <w:pPr>
        <w:pStyle w:val="Apara"/>
      </w:pPr>
      <w:r>
        <w:tab/>
        <w:t>(f)</w:t>
      </w:r>
      <w:r>
        <w:tab/>
        <w:t>that the testator executed the will under the undue influence of a named person.</w:t>
      </w:r>
    </w:p>
    <w:p w14:paraId="1DE54964" w14:textId="77777777" w:rsidR="008112BD" w:rsidRDefault="008112BD" w:rsidP="008112BD">
      <w:pPr>
        <w:pStyle w:val="Amain"/>
        <w:keepNext/>
      </w:pPr>
      <w:r>
        <w:tab/>
        <w:t>(7)</w:t>
      </w:r>
      <w:r>
        <w:tab/>
        <w:t>If a grant of representation is sought for an intestate estate, the grounds of objection may be stated as follows:</w:t>
      </w:r>
    </w:p>
    <w:p w14:paraId="003D3FE6" w14:textId="77777777" w:rsidR="008112BD" w:rsidRDefault="008112BD" w:rsidP="008112BD">
      <w:pPr>
        <w:pStyle w:val="Apara"/>
      </w:pPr>
      <w:r>
        <w:tab/>
        <w:t>(a)</w:t>
      </w:r>
      <w:r>
        <w:tab/>
        <w:t>that a will executed on a stated date exists;</w:t>
      </w:r>
    </w:p>
    <w:p w14:paraId="48C9015E" w14:textId="77777777" w:rsidR="008112BD" w:rsidRDefault="008112BD" w:rsidP="008112BD">
      <w:pPr>
        <w:pStyle w:val="Apara"/>
      </w:pPr>
      <w:r>
        <w:tab/>
        <w:t>(b)</w:t>
      </w:r>
      <w:r>
        <w:tab/>
        <w:t>that the applicant for the grant of representation does not have the capacity or stand in the relationship for which the applicant seeks administration;</w:t>
      </w:r>
    </w:p>
    <w:p w14:paraId="6246506F" w14:textId="77777777" w:rsidR="008112BD" w:rsidRDefault="008112BD" w:rsidP="008112BD">
      <w:pPr>
        <w:pStyle w:val="Apara"/>
      </w:pPr>
      <w:r>
        <w:tab/>
        <w:t>(c)</w:t>
      </w:r>
      <w:r>
        <w:tab/>
        <w:t>that the caveator or someone else seeking administration has a better stated right;</w:t>
      </w:r>
    </w:p>
    <w:p w14:paraId="3E88A005" w14:textId="77777777" w:rsidR="008112BD" w:rsidRDefault="008112BD" w:rsidP="008112BD">
      <w:pPr>
        <w:pStyle w:val="Apara"/>
      </w:pPr>
      <w:r>
        <w:tab/>
        <w:t>(d)</w:t>
      </w:r>
      <w:r>
        <w:tab/>
        <w:t>that the proposed administrator is disqualified because of a stated reason.</w:t>
      </w:r>
    </w:p>
    <w:p w14:paraId="1A6FB6A9" w14:textId="77777777" w:rsidR="008112BD" w:rsidRDefault="008112BD" w:rsidP="008112BD">
      <w:pPr>
        <w:pStyle w:val="Amain"/>
        <w:keepNext/>
      </w:pPr>
      <w:r>
        <w:lastRenderedPageBreak/>
        <w:tab/>
        <w:t>(8)</w:t>
      </w:r>
      <w:r>
        <w:tab/>
        <w:t>Subrules (6) and (7) do not limit the grounds of objection that may be stated in a caveat.</w:t>
      </w:r>
    </w:p>
    <w:p w14:paraId="4ABF38E0" w14:textId="77777777" w:rsidR="008112BD" w:rsidRDefault="008112BD" w:rsidP="008112BD">
      <w:pPr>
        <w:pStyle w:val="Amain"/>
        <w:keepNext/>
      </w:pPr>
      <w:r>
        <w:tab/>
        <w:t>(9)</w:t>
      </w:r>
      <w:r>
        <w:tab/>
        <w:t>The caveat must give an address for service of the caveator.</w:t>
      </w:r>
    </w:p>
    <w:p w14:paraId="24F5CE28"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04F293C6" w14:textId="77777777" w:rsidR="008112BD" w:rsidRDefault="008112BD" w:rsidP="008112BD">
      <w:pPr>
        <w:pStyle w:val="AH5Sec"/>
      </w:pPr>
      <w:bookmarkStart w:id="967" w:name="_Toc185514583"/>
      <w:r w:rsidRPr="00C8328B">
        <w:rPr>
          <w:rStyle w:val="CharSectNo"/>
        </w:rPr>
        <w:t>3067</w:t>
      </w:r>
      <w:r>
        <w:tab/>
        <w:t>Caveat—service</w:t>
      </w:r>
      <w:bookmarkEnd w:id="967"/>
    </w:p>
    <w:p w14:paraId="691BD218" w14:textId="77777777"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14:paraId="6B57C147" w14:textId="77777777"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14:paraId="209EA37A" w14:textId="77777777" w:rsidR="008112BD" w:rsidRDefault="008112BD" w:rsidP="008112BD">
      <w:pPr>
        <w:pStyle w:val="AH5Sec"/>
      </w:pPr>
      <w:bookmarkStart w:id="968" w:name="_Toc185514584"/>
      <w:r w:rsidRPr="00C8328B">
        <w:rPr>
          <w:rStyle w:val="CharSectNo"/>
        </w:rPr>
        <w:t>3068</w:t>
      </w:r>
      <w:r>
        <w:tab/>
        <w:t>Caveat—period of operation</w:t>
      </w:r>
      <w:bookmarkEnd w:id="968"/>
    </w:p>
    <w:p w14:paraId="00F23B58" w14:textId="77777777" w:rsidR="008112BD" w:rsidRDefault="008112BD" w:rsidP="008112BD">
      <w:pPr>
        <w:pStyle w:val="Amain"/>
      </w:pPr>
      <w:r>
        <w:tab/>
        <w:t>(1)</w:t>
      </w:r>
      <w:r>
        <w:tab/>
        <w:t>A caveat takes effect when it is filed in the court.</w:t>
      </w:r>
    </w:p>
    <w:p w14:paraId="67DB3F09" w14:textId="77777777" w:rsidR="008112BD" w:rsidRDefault="008112BD" w:rsidP="008112BD">
      <w:pPr>
        <w:pStyle w:val="Amain"/>
      </w:pPr>
      <w:r>
        <w:tab/>
        <w:t>(2)</w:t>
      </w:r>
      <w:r>
        <w:tab/>
        <w:t>A caveat remains in force for 6 months unless it is set aside or withdrawn under this division.</w:t>
      </w:r>
    </w:p>
    <w:p w14:paraId="610E3295" w14:textId="77777777" w:rsidR="008112BD" w:rsidRDefault="008112BD" w:rsidP="008112BD">
      <w:pPr>
        <w:pStyle w:val="Amain"/>
      </w:pPr>
      <w:r>
        <w:tab/>
        <w:t>(3)</w:t>
      </w:r>
      <w:r>
        <w:tab/>
        <w:t>A caveat may be renewed by filing a new caveat in the court.</w:t>
      </w:r>
    </w:p>
    <w:p w14:paraId="78B75C29" w14:textId="77777777" w:rsidR="008112BD" w:rsidRDefault="008112BD" w:rsidP="008112BD">
      <w:pPr>
        <w:pStyle w:val="AH5Sec"/>
      </w:pPr>
      <w:bookmarkStart w:id="969" w:name="_Toc185514585"/>
      <w:r w:rsidRPr="00C8328B">
        <w:rPr>
          <w:rStyle w:val="CharSectNo"/>
        </w:rPr>
        <w:t>3069</w:t>
      </w:r>
      <w:r>
        <w:tab/>
        <w:t>Caveat—setting aside</w:t>
      </w:r>
      <w:bookmarkEnd w:id="969"/>
    </w:p>
    <w:p w14:paraId="2D578F86" w14:textId="77777777" w:rsidR="008112BD" w:rsidRDefault="008112BD" w:rsidP="008112BD">
      <w:pPr>
        <w:pStyle w:val="Amain"/>
      </w:pPr>
      <w:r>
        <w:tab/>
        <w:t>(1)</w:t>
      </w:r>
      <w:r>
        <w:tab/>
        <w:t>If—</w:t>
      </w:r>
    </w:p>
    <w:p w14:paraId="1329E09F" w14:textId="77777777" w:rsidR="008112BD" w:rsidRDefault="008112BD" w:rsidP="008112BD">
      <w:pPr>
        <w:pStyle w:val="Apara"/>
      </w:pPr>
      <w:r>
        <w:tab/>
        <w:t>(a)</w:t>
      </w:r>
      <w:r>
        <w:tab/>
        <w:t>a person has applied or intends to apply for grant of representation for an estate; and</w:t>
      </w:r>
    </w:p>
    <w:p w14:paraId="489AFE8A" w14:textId="77777777" w:rsidR="008112BD" w:rsidRDefault="008112BD" w:rsidP="009C0BC6">
      <w:pPr>
        <w:pStyle w:val="Apara"/>
        <w:keepNext/>
      </w:pPr>
      <w:r>
        <w:lastRenderedPageBreak/>
        <w:tab/>
        <w:t>(b)</w:t>
      </w:r>
      <w:r>
        <w:tab/>
        <w:t>a caveat is in force in relation to the granting of representation for the estate;</w:t>
      </w:r>
    </w:p>
    <w:p w14:paraId="7D23D89C" w14:textId="77777777" w:rsidR="008112BD" w:rsidRDefault="008112BD" w:rsidP="008112BD">
      <w:pPr>
        <w:pStyle w:val="Amainreturn"/>
      </w:pPr>
      <w:r>
        <w:t>the person may apply to the court for an order setting aside the caveat.</w:t>
      </w:r>
    </w:p>
    <w:p w14:paraId="6339C8C3" w14:textId="77777777" w:rsidR="008112BD" w:rsidRDefault="008112BD" w:rsidP="008112BD">
      <w:pPr>
        <w:pStyle w:val="Amain"/>
        <w:keepNext/>
      </w:pPr>
      <w:r>
        <w:tab/>
        <w:t>(2)</w:t>
      </w:r>
      <w:r>
        <w:tab/>
        <w:t>If the person has applied for grant of representation, the application must be made in that proceeding.</w:t>
      </w:r>
    </w:p>
    <w:p w14:paraId="3AD7D6D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55A4643" w14:textId="77777777" w:rsidR="008112BD" w:rsidRDefault="008112BD" w:rsidP="008112BD">
      <w:pPr>
        <w:pStyle w:val="Amain"/>
      </w:pPr>
      <w:r>
        <w:tab/>
        <w:t>(3)</w:t>
      </w:r>
      <w:r>
        <w:tab/>
        <w:t>If the person intends to apply for grant of representation, the application must be made by originating application, naming the caveator as a defendant.</w:t>
      </w:r>
    </w:p>
    <w:p w14:paraId="73461C61" w14:textId="77777777" w:rsidR="008112BD" w:rsidRDefault="008112BD" w:rsidP="008112BD">
      <w:pPr>
        <w:pStyle w:val="Amain"/>
      </w:pPr>
      <w:r>
        <w:tab/>
        <w:t>(4)</w:t>
      </w:r>
      <w:r>
        <w:tab/>
        <w:t>The court may set aside the caveat if it considers that the evidence does not—</w:t>
      </w:r>
    </w:p>
    <w:p w14:paraId="63BB9D3D" w14:textId="77777777" w:rsidR="008112BD" w:rsidRDefault="008112BD" w:rsidP="008112BD">
      <w:pPr>
        <w:pStyle w:val="Apara"/>
      </w:pPr>
      <w:r>
        <w:tab/>
        <w:t>(a)</w:t>
      </w:r>
      <w:r>
        <w:tab/>
        <w:t>show that the caveator has an interest in the estate or a reasonable prospect of establishing an interest; or</w:t>
      </w:r>
    </w:p>
    <w:p w14:paraId="2F8C0B7F" w14:textId="77777777" w:rsidR="008112BD" w:rsidRDefault="008112BD" w:rsidP="008112BD">
      <w:pPr>
        <w:pStyle w:val="Apara"/>
      </w:pPr>
      <w:r>
        <w:tab/>
        <w:t>(b)</w:t>
      </w:r>
      <w:r>
        <w:tab/>
        <w:t>raise doubt about whether the grant of representation should be made.</w:t>
      </w:r>
    </w:p>
    <w:p w14:paraId="2AA1D4EA" w14:textId="77777777"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14:paraId="1D71DD5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14:paraId="34442AC4" w14:textId="77777777"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14:paraId="36297FD7" w14:textId="77777777" w:rsidR="008112BD" w:rsidRDefault="008112BD" w:rsidP="008112BD">
      <w:pPr>
        <w:pStyle w:val="Amain"/>
        <w:keepNext/>
      </w:pPr>
      <w:r>
        <w:tab/>
        <w:t>(7)</w:t>
      </w:r>
      <w:r>
        <w:tab/>
        <w:t>The court may give directions under subrule (6) on application by a party or on its own initiative.</w:t>
      </w:r>
    </w:p>
    <w:p w14:paraId="711A1E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120CC084" w14:textId="77777777"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14:paraId="0E4247DF" w14:textId="77777777" w:rsidR="008112BD" w:rsidRDefault="008112BD" w:rsidP="008112BD">
      <w:pPr>
        <w:pStyle w:val="AH5Sec"/>
      </w:pPr>
      <w:bookmarkStart w:id="970" w:name="_Toc185514586"/>
      <w:r w:rsidRPr="00C8328B">
        <w:rPr>
          <w:rStyle w:val="CharSectNo"/>
        </w:rPr>
        <w:t>3070</w:t>
      </w:r>
      <w:r>
        <w:tab/>
        <w:t>Caveat—withdrawal if no pending proceeding for grant of representation etc</w:t>
      </w:r>
      <w:bookmarkEnd w:id="970"/>
    </w:p>
    <w:p w14:paraId="1FCBE72B" w14:textId="77777777" w:rsidR="008112BD" w:rsidRDefault="008112BD" w:rsidP="008112BD">
      <w:pPr>
        <w:pStyle w:val="Amain"/>
      </w:pPr>
      <w:r>
        <w:tab/>
        <w:t>(1)</w:t>
      </w:r>
      <w:r>
        <w:tab/>
        <w:t>This rule applies to a caveat in relation to an estate if—</w:t>
      </w:r>
    </w:p>
    <w:p w14:paraId="6C701617" w14:textId="77777777" w:rsidR="008112BD" w:rsidRDefault="008112BD" w:rsidP="008112BD">
      <w:pPr>
        <w:pStyle w:val="Apara"/>
      </w:pPr>
      <w:r>
        <w:tab/>
        <w:t>(a)</w:t>
      </w:r>
      <w:r>
        <w:tab/>
        <w:t>an application has not been made for grant of representation for the estate; or</w:t>
      </w:r>
    </w:p>
    <w:p w14:paraId="230C5669" w14:textId="77777777" w:rsidR="008112BD" w:rsidRDefault="008112BD" w:rsidP="008112BD">
      <w:pPr>
        <w:pStyle w:val="Apara"/>
      </w:pPr>
      <w:r>
        <w:tab/>
        <w:t>(b)</w:t>
      </w:r>
      <w:r>
        <w:tab/>
        <w:t>the caveator is the sole applicant for grant of representation for the estate.</w:t>
      </w:r>
    </w:p>
    <w:p w14:paraId="2B5BBCE8" w14:textId="77777777" w:rsidR="008112BD" w:rsidRDefault="008112BD" w:rsidP="008112BD">
      <w:pPr>
        <w:pStyle w:val="Amain"/>
        <w:keepNext/>
      </w:pPr>
      <w:r>
        <w:tab/>
        <w:t>(2)</w:t>
      </w:r>
      <w:r>
        <w:tab/>
        <w:t>The caveator may withdraw the caveat by filing a notice of withdrawal in the court.</w:t>
      </w:r>
    </w:p>
    <w:p w14:paraId="796AE40C" w14:textId="5C687A98"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29" w:history="1">
        <w:r w:rsidR="00A15D4A">
          <w:rPr>
            <w:rStyle w:val="charCitHyperlinkAbbrev"/>
          </w:rPr>
          <w:t>AF2017-182</w:t>
        </w:r>
      </w:hyperlink>
      <w:r>
        <w:t>.</w:t>
      </w:r>
    </w:p>
    <w:p w14:paraId="14BBA369" w14:textId="77777777" w:rsidR="008112BD" w:rsidRDefault="008112BD" w:rsidP="008112BD">
      <w:pPr>
        <w:pStyle w:val="Amain"/>
      </w:pPr>
      <w:r>
        <w:tab/>
        <w:t>(3)</w:t>
      </w:r>
      <w:r>
        <w:tab/>
        <w:t>The caveat is withdrawn on the filing of the notice.</w:t>
      </w:r>
    </w:p>
    <w:p w14:paraId="7D78C124" w14:textId="77777777" w:rsidR="008112BD" w:rsidRDefault="008112BD" w:rsidP="008112BD">
      <w:pPr>
        <w:pStyle w:val="AH5Sec"/>
      </w:pPr>
      <w:bookmarkStart w:id="971" w:name="_Toc185514587"/>
      <w:r w:rsidRPr="00C8328B">
        <w:rPr>
          <w:rStyle w:val="CharSectNo"/>
        </w:rPr>
        <w:t>3071</w:t>
      </w:r>
      <w:r>
        <w:tab/>
        <w:t>Caveat—leave to withdraw</w:t>
      </w:r>
      <w:bookmarkEnd w:id="971"/>
    </w:p>
    <w:p w14:paraId="1C9685A8" w14:textId="77777777"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14:paraId="55923002" w14:textId="77777777" w:rsidR="008112BD" w:rsidRDefault="008112BD" w:rsidP="008112BD">
      <w:pPr>
        <w:pStyle w:val="Amain"/>
        <w:keepNext/>
      </w:pPr>
      <w:r>
        <w:tab/>
        <w:t>(2)</w:t>
      </w:r>
      <w:r>
        <w:tab/>
        <w:t>The caveator may withdraw the caveat only with the court’s leave.</w:t>
      </w:r>
    </w:p>
    <w:p w14:paraId="64489C7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14:paraId="50A82021" w14:textId="77777777"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14:paraId="5CE57F15" w14:textId="77777777" w:rsidR="008112BD" w:rsidRDefault="008112BD" w:rsidP="008112BD">
      <w:pPr>
        <w:pStyle w:val="Amain"/>
      </w:pPr>
      <w:r>
        <w:tab/>
        <w:t>(3)</w:t>
      </w:r>
      <w:r>
        <w:tab/>
        <w:t>If the court gives leave for the caveat to be withdrawn, the caveat is taken to be withdrawn when the leave is given.</w:t>
      </w:r>
    </w:p>
    <w:p w14:paraId="6B493473" w14:textId="77777777" w:rsidR="008112BD" w:rsidRDefault="008112BD" w:rsidP="008112BD">
      <w:pPr>
        <w:pStyle w:val="AH5Sec"/>
      </w:pPr>
      <w:bookmarkStart w:id="972" w:name="_Toc185514588"/>
      <w:r w:rsidRPr="00C8328B">
        <w:rPr>
          <w:rStyle w:val="CharSectNo"/>
        </w:rPr>
        <w:lastRenderedPageBreak/>
        <w:t>3072</w:t>
      </w:r>
      <w:r>
        <w:tab/>
        <w:t>Caveat—effect if filed on day of grant</w:t>
      </w:r>
      <w:bookmarkEnd w:id="972"/>
    </w:p>
    <w:p w14:paraId="726E083A" w14:textId="77777777" w:rsidR="008112BD" w:rsidRDefault="008112BD" w:rsidP="008112BD">
      <w:pPr>
        <w:pStyle w:val="Amainreturn"/>
        <w:keepNext/>
      </w:pPr>
      <w:r>
        <w:t>A caveat does not affect a grant of representation made on the day the caveat is filed in the court, unless it is filed before the grant is sealed.</w:t>
      </w:r>
    </w:p>
    <w:p w14:paraId="023E7B01" w14:textId="77777777"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14:paraId="3201986D" w14:textId="77777777" w:rsidR="008112BD" w:rsidRPr="00C8328B" w:rsidRDefault="008112BD" w:rsidP="008112BD">
      <w:pPr>
        <w:pStyle w:val="AH3Div"/>
      </w:pPr>
      <w:bookmarkStart w:id="973" w:name="_Toc185514589"/>
      <w:r w:rsidRPr="00C8328B">
        <w:rPr>
          <w:rStyle w:val="CharDivNo"/>
        </w:rPr>
        <w:t>Division 3.1.8</w:t>
      </w:r>
      <w:r>
        <w:tab/>
      </w:r>
      <w:r w:rsidRPr="00C8328B">
        <w:rPr>
          <w:rStyle w:val="CharDivText"/>
        </w:rPr>
        <w:t>Revocation of grant</w:t>
      </w:r>
      <w:bookmarkEnd w:id="973"/>
    </w:p>
    <w:p w14:paraId="024156E2" w14:textId="77777777" w:rsidR="008112BD" w:rsidRDefault="008112BD" w:rsidP="008112BD">
      <w:pPr>
        <w:pStyle w:val="AH5Sec"/>
      </w:pPr>
      <w:bookmarkStart w:id="974" w:name="_Toc185514590"/>
      <w:r w:rsidRPr="00C8328B">
        <w:rPr>
          <w:rStyle w:val="CharSectNo"/>
        </w:rPr>
        <w:t>3080</w:t>
      </w:r>
      <w:r>
        <w:tab/>
        <w:t>Revocation of grant—urgent order before start of proceeding</w:t>
      </w:r>
      <w:bookmarkEnd w:id="974"/>
    </w:p>
    <w:p w14:paraId="1FAED8F2" w14:textId="77777777" w:rsidR="008112BD" w:rsidRDefault="008112BD" w:rsidP="008112BD">
      <w:pPr>
        <w:pStyle w:val="Amain"/>
      </w:pPr>
      <w:r>
        <w:tab/>
        <w:t>(1)</w:t>
      </w:r>
      <w:r>
        <w:tab/>
        <w:t>This rule applies—</w:t>
      </w:r>
    </w:p>
    <w:p w14:paraId="11C58247" w14:textId="77777777" w:rsidR="008112BD" w:rsidRDefault="008112BD" w:rsidP="008112BD">
      <w:pPr>
        <w:pStyle w:val="Apara"/>
      </w:pPr>
      <w:r>
        <w:tab/>
        <w:t>(a)</w:t>
      </w:r>
      <w:r>
        <w:tab/>
        <w:t>in urgent circumstances; and</w:t>
      </w:r>
    </w:p>
    <w:p w14:paraId="61239769" w14:textId="77777777" w:rsidR="008112BD" w:rsidRDefault="008112BD" w:rsidP="008112BD">
      <w:pPr>
        <w:pStyle w:val="Apara"/>
      </w:pPr>
      <w:r>
        <w:tab/>
        <w:t>(b)</w:t>
      </w:r>
      <w:r>
        <w:tab/>
        <w:t xml:space="preserve">if the person applying for an order mentioned in subrule (2) intends to start a proceeding for revocation of a grant of representation. </w:t>
      </w:r>
    </w:p>
    <w:p w14:paraId="2D748B23" w14:textId="77777777" w:rsidR="008112BD" w:rsidRDefault="008112BD" w:rsidP="008112BD">
      <w:pPr>
        <w:pStyle w:val="Amain"/>
      </w:pPr>
      <w:r>
        <w:tab/>
        <w:t>(2)</w:t>
      </w:r>
      <w:r>
        <w:tab/>
        <w:t>Before the proceeding starts, the court may order the personal representative to bring the original grant, and all sealed copies of the grant, into the registry.</w:t>
      </w:r>
    </w:p>
    <w:p w14:paraId="6B0A7815" w14:textId="77777777" w:rsidR="008112BD" w:rsidRDefault="008112BD" w:rsidP="008112BD">
      <w:pPr>
        <w:pStyle w:val="Amain"/>
        <w:keepNext/>
      </w:pPr>
      <w:r>
        <w:tab/>
        <w:t>(3)</w:t>
      </w:r>
      <w:r>
        <w:tab/>
        <w:t>An application for an order mentioned in subrule (2) must be made by originating application.</w:t>
      </w:r>
    </w:p>
    <w:p w14:paraId="0BADAA94"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2075A771" w14:textId="77777777"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14:paraId="5CA54BF4" w14:textId="77777777"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14:paraId="4C5FA86E" w14:textId="77777777" w:rsidR="008112BD" w:rsidRDefault="008112BD" w:rsidP="008112BD">
      <w:pPr>
        <w:pStyle w:val="Apara"/>
      </w:pPr>
      <w:r>
        <w:tab/>
        <w:t>(a)</w:t>
      </w:r>
      <w:r>
        <w:tab/>
        <w:t>the end of the time ordered by the court; or</w:t>
      </w:r>
    </w:p>
    <w:p w14:paraId="0CCD672B" w14:textId="77777777" w:rsidR="008112BD" w:rsidRDefault="008112BD" w:rsidP="008112BD">
      <w:pPr>
        <w:pStyle w:val="Apara"/>
      </w:pPr>
      <w:r>
        <w:lastRenderedPageBreak/>
        <w:tab/>
        <w:t>(b)</w:t>
      </w:r>
      <w:r>
        <w:tab/>
        <w:t>if the court does not make an order mentioned in paragraph (a)—2 days after the day the order mentioned in subrule (2) is made.</w:t>
      </w:r>
    </w:p>
    <w:p w14:paraId="3EFBA2FB" w14:textId="77777777" w:rsidR="008112BD" w:rsidRDefault="008112BD" w:rsidP="008112BD">
      <w:pPr>
        <w:pStyle w:val="AH5Sec"/>
      </w:pPr>
      <w:bookmarkStart w:id="975" w:name="_Toc185514591"/>
      <w:r w:rsidRPr="00C8328B">
        <w:rPr>
          <w:rStyle w:val="CharSectNo"/>
        </w:rPr>
        <w:t>3081</w:t>
      </w:r>
      <w:r>
        <w:tab/>
        <w:t>Revocation of grant—application</w:t>
      </w:r>
      <w:bookmarkEnd w:id="975"/>
    </w:p>
    <w:p w14:paraId="56A8402A" w14:textId="77777777" w:rsidR="008112BD" w:rsidRDefault="008112BD" w:rsidP="008112BD">
      <w:pPr>
        <w:pStyle w:val="Amain"/>
      </w:pPr>
      <w:r>
        <w:tab/>
        <w:t>(1)</w:t>
      </w:r>
      <w:r>
        <w:tab/>
        <w:t>This rule applies if, after probate of a will or administration of an estate has been granted—</w:t>
      </w:r>
    </w:p>
    <w:p w14:paraId="0FB261F4" w14:textId="77777777" w:rsidR="008112BD" w:rsidRDefault="008112BD" w:rsidP="008112BD">
      <w:pPr>
        <w:pStyle w:val="Apara"/>
      </w:pPr>
      <w:r>
        <w:tab/>
        <w:t>(a)</w:t>
      </w:r>
      <w:r>
        <w:tab/>
        <w:t>a person interested in the estate wants the grant revoked; or</w:t>
      </w:r>
    </w:p>
    <w:p w14:paraId="4964872F" w14:textId="77777777" w:rsidR="008112BD" w:rsidRDefault="008112BD" w:rsidP="008112BD">
      <w:pPr>
        <w:pStyle w:val="Apara"/>
      </w:pPr>
      <w:r>
        <w:tab/>
        <w:t>(b)</w:t>
      </w:r>
      <w:r>
        <w:tab/>
        <w:t>the personal representative wants to retire from the administration.</w:t>
      </w:r>
    </w:p>
    <w:p w14:paraId="30A30319" w14:textId="77777777" w:rsidR="008112BD" w:rsidRDefault="008112BD" w:rsidP="008112BD">
      <w:pPr>
        <w:pStyle w:val="Amain"/>
        <w:keepNext/>
      </w:pPr>
      <w:r>
        <w:tab/>
        <w:t>(2)</w:t>
      </w:r>
      <w:r>
        <w:tab/>
        <w:t>The person must apply in the proceeding in which the grant of representation was made for an order to revoke the grant.</w:t>
      </w:r>
    </w:p>
    <w:p w14:paraId="78BA949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14:paraId="28E2919D" w14:textId="77777777" w:rsidR="008112BD" w:rsidRDefault="008112BD" w:rsidP="008112BD">
      <w:pPr>
        <w:pStyle w:val="Amain"/>
      </w:pPr>
      <w:r>
        <w:tab/>
        <w:t>(3)</w:t>
      </w:r>
      <w:r>
        <w:tab/>
        <w:t>An application must be supported by an affidavit setting out the facts relied on and the grounds on which the order is sought.</w:t>
      </w:r>
    </w:p>
    <w:p w14:paraId="16F8EF28" w14:textId="77777777" w:rsidR="008112BD" w:rsidRDefault="008112BD" w:rsidP="008112BD">
      <w:pPr>
        <w:pStyle w:val="AH5Sec"/>
      </w:pPr>
      <w:bookmarkStart w:id="976" w:name="_Toc185514592"/>
      <w:r w:rsidRPr="00C8328B">
        <w:rPr>
          <w:rStyle w:val="CharSectNo"/>
        </w:rPr>
        <w:t>3082</w:t>
      </w:r>
      <w:r>
        <w:tab/>
        <w:t>Revocation of grant—orders</w:t>
      </w:r>
      <w:bookmarkEnd w:id="976"/>
    </w:p>
    <w:p w14:paraId="66FB9112" w14:textId="77777777" w:rsidR="008112BD" w:rsidRDefault="008112BD" w:rsidP="008112BD">
      <w:pPr>
        <w:pStyle w:val="Amainreturn"/>
        <w:keepNext/>
      </w:pPr>
      <w:r>
        <w:t>On the hearing of an application for revocation of a grant of representation, the court may make any of the following orders:</w:t>
      </w:r>
    </w:p>
    <w:p w14:paraId="5BF93A93" w14:textId="77777777" w:rsidR="008112BD" w:rsidRDefault="008112BD" w:rsidP="008112BD">
      <w:pPr>
        <w:pStyle w:val="Apara"/>
      </w:pPr>
      <w:r>
        <w:tab/>
        <w:t>(a)</w:t>
      </w:r>
      <w:r>
        <w:tab/>
        <w:t>an order revoking the grant;</w:t>
      </w:r>
    </w:p>
    <w:p w14:paraId="03490DD8" w14:textId="77777777" w:rsidR="008112BD" w:rsidRDefault="008112BD" w:rsidP="008112BD">
      <w:pPr>
        <w:pStyle w:val="Apara"/>
      </w:pPr>
      <w:r>
        <w:tab/>
        <w:t>(b)</w:t>
      </w:r>
      <w:r>
        <w:tab/>
        <w:t>an order revoking the grant and making a limited grant of representation;</w:t>
      </w:r>
    </w:p>
    <w:p w14:paraId="24A4D549" w14:textId="77777777" w:rsidR="008112BD" w:rsidRDefault="008112BD" w:rsidP="008112BD">
      <w:pPr>
        <w:pStyle w:val="Apara"/>
      </w:pPr>
      <w:r>
        <w:tab/>
        <w:t>(c)</w:t>
      </w:r>
      <w:r>
        <w:tab/>
        <w:t>an order under rule 3091 (2) (Application—div 3.1.9).</w:t>
      </w:r>
    </w:p>
    <w:p w14:paraId="629725BD" w14:textId="77777777" w:rsidR="008112BD" w:rsidRDefault="008112BD" w:rsidP="008112BD">
      <w:pPr>
        <w:pStyle w:val="AH5Sec"/>
      </w:pPr>
      <w:bookmarkStart w:id="977" w:name="_Toc185514593"/>
      <w:r w:rsidRPr="00C8328B">
        <w:rPr>
          <w:rStyle w:val="CharSectNo"/>
        </w:rPr>
        <w:lastRenderedPageBreak/>
        <w:t>3083</w:t>
      </w:r>
      <w:r>
        <w:tab/>
        <w:t>Revocation of grant—return of original grant</w:t>
      </w:r>
      <w:bookmarkEnd w:id="977"/>
    </w:p>
    <w:p w14:paraId="5B8FBACB" w14:textId="77777777"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14:paraId="33FDF69B" w14:textId="77777777" w:rsidR="008112BD" w:rsidRPr="00C8328B" w:rsidRDefault="008112BD" w:rsidP="008112BD">
      <w:pPr>
        <w:pStyle w:val="AH3Div"/>
      </w:pPr>
      <w:bookmarkStart w:id="978" w:name="_Toc185514594"/>
      <w:r w:rsidRPr="00C8328B">
        <w:rPr>
          <w:rStyle w:val="CharDivNo"/>
        </w:rPr>
        <w:t>Division 3.1.9</w:t>
      </w:r>
      <w:r>
        <w:tab/>
      </w:r>
      <w:r w:rsidRPr="00C8328B">
        <w:rPr>
          <w:rStyle w:val="CharDivText"/>
        </w:rPr>
        <w:t>Other probate proceedings</w:t>
      </w:r>
      <w:bookmarkEnd w:id="978"/>
    </w:p>
    <w:p w14:paraId="30EA71A0" w14:textId="77777777" w:rsidR="008112BD" w:rsidRDefault="008112BD" w:rsidP="008112BD">
      <w:pPr>
        <w:pStyle w:val="AH5Sec"/>
      </w:pPr>
      <w:bookmarkStart w:id="979" w:name="_Toc185514595"/>
      <w:r w:rsidRPr="00C8328B">
        <w:rPr>
          <w:rStyle w:val="CharSectNo"/>
        </w:rPr>
        <w:t>3090</w:t>
      </w:r>
      <w:r>
        <w:tab/>
        <w:t>Definitions—div 3.1.9</w:t>
      </w:r>
      <w:bookmarkEnd w:id="979"/>
    </w:p>
    <w:p w14:paraId="2D15CE62" w14:textId="77777777" w:rsidR="008112BD" w:rsidRDefault="008112BD" w:rsidP="008112BD">
      <w:pPr>
        <w:pStyle w:val="Amainreturn"/>
        <w:keepNext/>
      </w:pPr>
      <w:r>
        <w:t>In this division:</w:t>
      </w:r>
    </w:p>
    <w:p w14:paraId="389B557A" w14:textId="77777777" w:rsidR="008112BD" w:rsidRDefault="008112BD" w:rsidP="008112BD">
      <w:pPr>
        <w:pStyle w:val="aDef"/>
        <w:keepNext/>
      </w:pPr>
      <w:r w:rsidRPr="00FE0788">
        <w:rPr>
          <w:rStyle w:val="charBoldItals"/>
        </w:rPr>
        <w:t xml:space="preserve">division 3.1.9 proceeding </w:t>
      </w:r>
      <w:r>
        <w:t>means a proceeding to which this division applies.</w:t>
      </w:r>
    </w:p>
    <w:p w14:paraId="3A2AF4EC" w14:textId="77777777" w:rsidR="008112BD" w:rsidRDefault="008112BD" w:rsidP="008112BD">
      <w:pPr>
        <w:pStyle w:val="aNote"/>
      </w:pPr>
      <w:r w:rsidRPr="00FE0788">
        <w:rPr>
          <w:rStyle w:val="charItals"/>
        </w:rPr>
        <w:t>Note</w:t>
      </w:r>
      <w:r>
        <w:tab/>
        <w:t>Rule 3091 deals with the proceedings to which this division applies.</w:t>
      </w:r>
    </w:p>
    <w:p w14:paraId="1D02E624" w14:textId="77777777" w:rsidR="008112BD" w:rsidRDefault="008112BD" w:rsidP="008112BD">
      <w:pPr>
        <w:pStyle w:val="aDef"/>
        <w:keepNext/>
      </w:pPr>
      <w:r w:rsidRPr="00FE0788">
        <w:rPr>
          <w:rStyle w:val="charBoldItals"/>
        </w:rPr>
        <w:t>script</w:t>
      </w:r>
      <w:r>
        <w:t xml:space="preserve"> means any of the following:</w:t>
      </w:r>
    </w:p>
    <w:p w14:paraId="1343B5D8" w14:textId="77777777" w:rsidR="008112BD" w:rsidRDefault="008112BD" w:rsidP="008112BD">
      <w:pPr>
        <w:pStyle w:val="aDefpara"/>
      </w:pPr>
      <w:r>
        <w:tab/>
        <w:t>(a)</w:t>
      </w:r>
      <w:r>
        <w:tab/>
        <w:t>a will;</w:t>
      </w:r>
    </w:p>
    <w:p w14:paraId="27A3CCE1" w14:textId="77777777" w:rsidR="008112BD" w:rsidRDefault="008112BD" w:rsidP="008112BD">
      <w:pPr>
        <w:pStyle w:val="aDefpara"/>
      </w:pPr>
      <w:r>
        <w:tab/>
        <w:t>(b)</w:t>
      </w:r>
      <w:r>
        <w:tab/>
        <w:t>a draft of a will;</w:t>
      </w:r>
    </w:p>
    <w:p w14:paraId="51F78A0F" w14:textId="77777777" w:rsidR="008112BD" w:rsidRDefault="008112BD" w:rsidP="008112BD">
      <w:pPr>
        <w:pStyle w:val="aDefpara"/>
      </w:pPr>
      <w:r>
        <w:tab/>
        <w:t>(c)</w:t>
      </w:r>
      <w:r>
        <w:tab/>
        <w:t>documentary instructions for a will made by or at the request of a testator;</w:t>
      </w:r>
    </w:p>
    <w:p w14:paraId="207855BD" w14:textId="77777777" w:rsidR="008112BD" w:rsidRDefault="008112BD" w:rsidP="008112BD">
      <w:pPr>
        <w:pStyle w:val="aDefpara"/>
      </w:pPr>
      <w:r>
        <w:tab/>
        <w:t>(d)</w:t>
      </w:r>
      <w:r>
        <w:tab/>
        <w:t>a solicitor’s attendance notes containing a client’s instructions written down from the client’s oral instructions;</w:t>
      </w:r>
    </w:p>
    <w:p w14:paraId="437E09E7" w14:textId="77777777" w:rsidR="008112BD" w:rsidRDefault="008112BD" w:rsidP="008112BD">
      <w:pPr>
        <w:pStyle w:val="aDefpara"/>
      </w:pPr>
      <w:r>
        <w:tab/>
        <w:t>(e)</w:t>
      </w:r>
      <w:r>
        <w:tab/>
        <w:t>for a will alleged to have been lost or destroyed—another document that is or may be evidence of the contents, or a copy, of the will.</w:t>
      </w:r>
    </w:p>
    <w:p w14:paraId="554EBF61" w14:textId="77777777" w:rsidR="008112BD" w:rsidRDefault="008112BD" w:rsidP="008112BD">
      <w:pPr>
        <w:pStyle w:val="AH5Sec"/>
      </w:pPr>
      <w:bookmarkStart w:id="980" w:name="_Toc185514596"/>
      <w:r w:rsidRPr="00C8328B">
        <w:rPr>
          <w:rStyle w:val="CharSectNo"/>
        </w:rPr>
        <w:t>3091</w:t>
      </w:r>
      <w:r>
        <w:tab/>
        <w:t>Application—div 3.1.9</w:t>
      </w:r>
      <w:bookmarkEnd w:id="980"/>
    </w:p>
    <w:p w14:paraId="4910CB9F" w14:textId="77777777" w:rsidR="008112BD" w:rsidRDefault="008112BD" w:rsidP="008112BD">
      <w:pPr>
        <w:pStyle w:val="Amain"/>
        <w:keepNext/>
      </w:pPr>
      <w:r>
        <w:tab/>
        <w:t>(1)</w:t>
      </w:r>
      <w:r>
        <w:tab/>
        <w:t>This division applies to the following proceedings:</w:t>
      </w:r>
    </w:p>
    <w:p w14:paraId="2460755F" w14:textId="77777777" w:rsidR="008112BD" w:rsidRDefault="008112BD" w:rsidP="008112BD">
      <w:pPr>
        <w:pStyle w:val="Apara"/>
      </w:pPr>
      <w:r>
        <w:tab/>
        <w:t>(a)</w:t>
      </w:r>
      <w:r>
        <w:tab/>
        <w:t xml:space="preserve">a proceeding in which the court is asked to pronounce for or against the validity of a will; </w:t>
      </w:r>
    </w:p>
    <w:p w14:paraId="2383727D" w14:textId="77777777" w:rsidR="008112BD" w:rsidRDefault="008112BD" w:rsidP="008112BD">
      <w:pPr>
        <w:pStyle w:val="Apara"/>
      </w:pPr>
      <w:r>
        <w:lastRenderedPageBreak/>
        <w:tab/>
        <w:t>(b)</w:t>
      </w:r>
      <w:r>
        <w:tab/>
        <w:t xml:space="preserve">a proceeding brought in opposition to an application for a grant of representation; </w:t>
      </w:r>
    </w:p>
    <w:p w14:paraId="04CBE900" w14:textId="7947DDDD" w:rsidR="008112BD" w:rsidRDefault="008112BD" w:rsidP="008112BD">
      <w:pPr>
        <w:pStyle w:val="Apara"/>
      </w:pPr>
      <w:r>
        <w:tab/>
        <w:t>(c)</w:t>
      </w:r>
      <w:r>
        <w:tab/>
        <w:t xml:space="preserve">a proceeding under the </w:t>
      </w:r>
      <w:hyperlink r:id="rId330" w:tooltip="A1968-11" w:history="1">
        <w:r w:rsidRPr="00FE0788">
          <w:rPr>
            <w:rStyle w:val="charCitHyperlinkItal"/>
          </w:rPr>
          <w:t>Wills Act 1968</w:t>
        </w:r>
      </w:hyperlink>
      <w:r>
        <w:t xml:space="preserve">, section 11A (Validity of will etc not executed with required formalities); </w:t>
      </w:r>
    </w:p>
    <w:p w14:paraId="1DB65256" w14:textId="7EF54C0D" w:rsidR="008112BD" w:rsidRDefault="008112BD" w:rsidP="008112BD">
      <w:pPr>
        <w:pStyle w:val="Apara"/>
      </w:pPr>
      <w:r>
        <w:tab/>
        <w:t>(d)</w:t>
      </w:r>
      <w:r>
        <w:tab/>
        <w:t xml:space="preserve">a proceeding in opposition to an application under the </w:t>
      </w:r>
      <w:hyperlink r:id="rId331" w:tooltip="A1929-18" w:history="1">
        <w:r w:rsidRPr="00367710">
          <w:rPr>
            <w:rStyle w:val="charCitHyperlinkAbbrev"/>
          </w:rPr>
          <w:t>Administration and Probate Act</w:t>
        </w:r>
      </w:hyperlink>
      <w:r>
        <w:t>, section 80 (Reseal of grant made in reciprocating jurisdiction);</w:t>
      </w:r>
    </w:p>
    <w:p w14:paraId="76815C98" w14:textId="77777777" w:rsidR="008112BD" w:rsidRDefault="008112BD" w:rsidP="008112BD">
      <w:pPr>
        <w:pStyle w:val="Apara"/>
      </w:pPr>
      <w:r>
        <w:tab/>
        <w:t>(e)</w:t>
      </w:r>
      <w:r>
        <w:tab/>
        <w:t>a proceeding for the removal of an executor;</w:t>
      </w:r>
    </w:p>
    <w:p w14:paraId="5BCA2BA1" w14:textId="77777777" w:rsidR="008112BD" w:rsidRDefault="008112BD" w:rsidP="008112BD">
      <w:pPr>
        <w:pStyle w:val="Apara"/>
      </w:pPr>
      <w:r>
        <w:tab/>
        <w:t>(f)</w:t>
      </w:r>
      <w:r>
        <w:tab/>
        <w:t>a proceeding for the revocation of a grant of representation;</w:t>
      </w:r>
    </w:p>
    <w:p w14:paraId="75F8956E" w14:textId="77777777" w:rsidR="008112BD" w:rsidRDefault="008112BD" w:rsidP="008112BD">
      <w:pPr>
        <w:pStyle w:val="Apara"/>
      </w:pPr>
      <w:r>
        <w:tab/>
        <w:t>(g)</w:t>
      </w:r>
      <w:r>
        <w:tab/>
        <w:t>any other proceeding in relation to which the court makes an order under subrule (2).</w:t>
      </w:r>
    </w:p>
    <w:p w14:paraId="5C8983E9" w14:textId="77777777" w:rsidR="008112BD" w:rsidRDefault="008112BD" w:rsidP="008112BD">
      <w:pPr>
        <w:pStyle w:val="Amain"/>
      </w:pPr>
      <w:r>
        <w:tab/>
        <w:t>(2)</w:t>
      </w:r>
      <w:r>
        <w:tab/>
        <w:t>On application by an interested person or on its own initiative, the court may, at any stage of a proceeding started in the court in relation to an estate—</w:t>
      </w:r>
    </w:p>
    <w:p w14:paraId="229671AA" w14:textId="77777777" w:rsidR="008112BD" w:rsidRDefault="008112BD" w:rsidP="008112BD">
      <w:pPr>
        <w:pStyle w:val="Apara"/>
      </w:pPr>
      <w:r>
        <w:tab/>
        <w:t>(a)</w:t>
      </w:r>
      <w:r>
        <w:tab/>
        <w:t>order that a proceeding continue as if it were a proceeding to which this division applied; and</w:t>
      </w:r>
    </w:p>
    <w:p w14:paraId="00934F71" w14:textId="77777777" w:rsidR="008112BD" w:rsidRDefault="008112BD" w:rsidP="008112BD">
      <w:pPr>
        <w:pStyle w:val="Apara"/>
      </w:pPr>
      <w:r>
        <w:tab/>
        <w:t>(b)</w:t>
      </w:r>
      <w:r>
        <w:tab/>
        <w:t>give the directions it considers appropriate for the conduct of the proceeding; and</w:t>
      </w:r>
    </w:p>
    <w:p w14:paraId="2E5B5CDF" w14:textId="77777777" w:rsidR="008112BD" w:rsidRDefault="008112BD" w:rsidP="008112BD">
      <w:pPr>
        <w:pStyle w:val="Apara"/>
        <w:keepNext/>
      </w:pPr>
      <w:r>
        <w:tab/>
        <w:t>(c)</w:t>
      </w:r>
      <w:r>
        <w:tab/>
        <w:t>make any orders it considers appropriate.</w:t>
      </w:r>
    </w:p>
    <w:p w14:paraId="0206A10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14:paraId="535CF3A8"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2FFC4F43" w14:textId="77777777" w:rsidR="008112BD" w:rsidRDefault="008112BD" w:rsidP="008112BD">
      <w:pPr>
        <w:pStyle w:val="AH5Sec"/>
      </w:pPr>
      <w:bookmarkStart w:id="981" w:name="_Toc185514597"/>
      <w:r w:rsidRPr="00C8328B">
        <w:rPr>
          <w:rStyle w:val="CharSectNo"/>
        </w:rPr>
        <w:lastRenderedPageBreak/>
        <w:t>3092</w:t>
      </w:r>
      <w:r>
        <w:tab/>
        <w:t>Division 3.1.9 proceeding—starting</w:t>
      </w:r>
      <w:bookmarkEnd w:id="981"/>
    </w:p>
    <w:p w14:paraId="7D797A41" w14:textId="77777777"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14:paraId="3854034E" w14:textId="77777777"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14:paraId="0A0F8C33" w14:textId="77777777"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14:paraId="1182313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AA780D2" w14:textId="77777777" w:rsidR="008112BD" w:rsidRDefault="008112BD" w:rsidP="008112BD">
      <w:pPr>
        <w:pStyle w:val="AH5Sec"/>
      </w:pPr>
      <w:bookmarkStart w:id="982" w:name="_Toc185514598"/>
      <w:r w:rsidRPr="00C8328B">
        <w:rPr>
          <w:rStyle w:val="CharSectNo"/>
        </w:rPr>
        <w:t>3093</w:t>
      </w:r>
      <w:r>
        <w:tab/>
        <w:t>Division 3.1.9 proceeding—application for revocation</w:t>
      </w:r>
      <w:bookmarkEnd w:id="982"/>
    </w:p>
    <w:p w14:paraId="1705D0B5" w14:textId="77777777" w:rsidR="008112BD" w:rsidRDefault="008112BD" w:rsidP="008112BD">
      <w:pPr>
        <w:pStyle w:val="Amain"/>
      </w:pPr>
      <w:r>
        <w:tab/>
        <w:t>(1)</w:t>
      </w:r>
      <w:r>
        <w:tab/>
        <w:t>This rule applies to a division 3.1.9 proceeding—</w:t>
      </w:r>
    </w:p>
    <w:p w14:paraId="5524701E" w14:textId="77777777" w:rsidR="008112BD" w:rsidRDefault="008112BD" w:rsidP="008112BD">
      <w:pPr>
        <w:pStyle w:val="Apara"/>
      </w:pPr>
      <w:r>
        <w:tab/>
        <w:t>(a)</w:t>
      </w:r>
      <w:r>
        <w:tab/>
        <w:t>that is started by originating application; and</w:t>
      </w:r>
    </w:p>
    <w:p w14:paraId="71EE09DC" w14:textId="77777777" w:rsidR="008112BD" w:rsidRDefault="008112BD" w:rsidP="008112BD">
      <w:pPr>
        <w:pStyle w:val="Apara"/>
      </w:pPr>
      <w:r>
        <w:tab/>
        <w:t>(b)</w:t>
      </w:r>
      <w:r>
        <w:tab/>
        <w:t>in which the relief sought is, or includes, the revocation of a grant of representation.</w:t>
      </w:r>
    </w:p>
    <w:p w14:paraId="53FD2A64" w14:textId="77777777" w:rsidR="008112BD" w:rsidRDefault="008112BD" w:rsidP="008112BD">
      <w:pPr>
        <w:pStyle w:val="Amain"/>
      </w:pPr>
      <w:r>
        <w:tab/>
        <w:t>(2)</w:t>
      </w:r>
      <w:r>
        <w:tab/>
        <w:t>The originating application must name as a defendant each person to whom the grant was made.</w:t>
      </w:r>
    </w:p>
    <w:p w14:paraId="325026B4" w14:textId="77777777" w:rsidR="008112BD" w:rsidRDefault="008112BD" w:rsidP="008112BD">
      <w:pPr>
        <w:pStyle w:val="AH5Sec"/>
      </w:pPr>
      <w:bookmarkStart w:id="983" w:name="_Toc185514599"/>
      <w:r w:rsidRPr="00C8328B">
        <w:rPr>
          <w:rStyle w:val="CharSectNo"/>
        </w:rPr>
        <w:t>3094</w:t>
      </w:r>
      <w:r>
        <w:tab/>
        <w:t>Division 3.1.9 proceeding—affidavits</w:t>
      </w:r>
      <w:bookmarkEnd w:id="983"/>
    </w:p>
    <w:p w14:paraId="47E9A234" w14:textId="77777777"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14:paraId="6900846C" w14:textId="77777777"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14:paraId="53E513C7" w14:textId="77777777"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14:paraId="16348C64"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8FA9CA9"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4158F269" w14:textId="77777777" w:rsidR="008112BD" w:rsidRDefault="008112BD" w:rsidP="008112BD">
      <w:pPr>
        <w:pStyle w:val="AH5Sec"/>
      </w:pPr>
      <w:bookmarkStart w:id="984" w:name="_Toc185514600"/>
      <w:r w:rsidRPr="00C8328B">
        <w:rPr>
          <w:rStyle w:val="CharSectNo"/>
        </w:rPr>
        <w:t>3095</w:t>
      </w:r>
      <w:r>
        <w:tab/>
        <w:t>Division 3.1.9 proceeding—affidavits of scripts</w:t>
      </w:r>
      <w:bookmarkEnd w:id="984"/>
    </w:p>
    <w:p w14:paraId="0C587918" w14:textId="77777777" w:rsidR="008112BD" w:rsidRDefault="008112BD" w:rsidP="008112BD">
      <w:pPr>
        <w:pStyle w:val="Amain"/>
      </w:pPr>
      <w:r>
        <w:tab/>
        <w:t>(1)</w:t>
      </w:r>
      <w:r>
        <w:tab/>
        <w:t>This rule applies if, in a division 3.1.9 proceeding, the court gives a direction under rule 3094 for affidavits of scripts to be filed.</w:t>
      </w:r>
    </w:p>
    <w:p w14:paraId="392A441E" w14:textId="77777777" w:rsidR="008112BD" w:rsidRDefault="008112BD" w:rsidP="008112BD">
      <w:pPr>
        <w:pStyle w:val="Amain"/>
      </w:pPr>
      <w:r>
        <w:tab/>
        <w:t>(2)</w:t>
      </w:r>
      <w:r>
        <w:tab/>
        <w:t>The plaintiff, and any party who files a notice of intention to respond, must each file in the court an affidavit—</w:t>
      </w:r>
    </w:p>
    <w:p w14:paraId="258407CB" w14:textId="77777777" w:rsidR="008112BD" w:rsidRDefault="008112BD" w:rsidP="008112BD">
      <w:pPr>
        <w:pStyle w:val="Apara"/>
      </w:pPr>
      <w:r>
        <w:tab/>
        <w:t>(a)</w:t>
      </w:r>
      <w:r>
        <w:tab/>
        <w:t>either—</w:t>
      </w:r>
    </w:p>
    <w:p w14:paraId="552BC8DE" w14:textId="77777777" w:rsidR="008112BD" w:rsidRDefault="008112BD" w:rsidP="008112BD">
      <w:pPr>
        <w:pStyle w:val="Asubpara"/>
      </w:pPr>
      <w:r>
        <w:tab/>
        <w:t>(i)</w:t>
      </w:r>
      <w:r>
        <w:tab/>
        <w:t>describing any script of the deceased person of which the person knows; or</w:t>
      </w:r>
    </w:p>
    <w:p w14:paraId="0BC5C97D" w14:textId="77777777" w:rsidR="008112BD" w:rsidRDefault="008112BD" w:rsidP="008112BD">
      <w:pPr>
        <w:pStyle w:val="Asubpara"/>
      </w:pPr>
      <w:r>
        <w:tab/>
        <w:t>(ii)</w:t>
      </w:r>
      <w:r>
        <w:tab/>
        <w:t>if the party does not know of any script of the deceased person—stating the party does not know of any script of the deceased person; and</w:t>
      </w:r>
    </w:p>
    <w:p w14:paraId="3DCF75E9" w14:textId="77777777" w:rsidR="008112BD" w:rsidRDefault="008112BD" w:rsidP="008112BD">
      <w:pPr>
        <w:pStyle w:val="Apara"/>
        <w:keepNext/>
      </w:pPr>
      <w:r>
        <w:tab/>
        <w:t>(b)</w:t>
      </w:r>
      <w:r>
        <w:tab/>
        <w:t>if the party making the affidavit does not have possession of any known script—</w:t>
      </w:r>
    </w:p>
    <w:p w14:paraId="5AEB39A5" w14:textId="77777777" w:rsidR="008112BD" w:rsidRDefault="008112BD" w:rsidP="008112BD">
      <w:pPr>
        <w:pStyle w:val="Asubpara"/>
      </w:pPr>
      <w:r>
        <w:tab/>
        <w:t>(i)</w:t>
      </w:r>
      <w:r>
        <w:tab/>
        <w:t>stating the name and address of the person who has, last had, or is believed to have or last had, possession of the script and the grounds for any belief; or</w:t>
      </w:r>
    </w:p>
    <w:p w14:paraId="0D0F4C28" w14:textId="77777777" w:rsidR="008112BD" w:rsidRDefault="008112BD" w:rsidP="008112BD">
      <w:pPr>
        <w:pStyle w:val="Asubpara"/>
        <w:keepNext/>
      </w:pPr>
      <w:r>
        <w:tab/>
        <w:t>(ii)</w:t>
      </w:r>
      <w:r>
        <w:tab/>
        <w:t>if the party does not know who has possession of the script—stating that fact.</w:t>
      </w:r>
    </w:p>
    <w:p w14:paraId="1EE94C83"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7728F6FB" w14:textId="77777777" w:rsidR="008112BD" w:rsidRDefault="008112BD" w:rsidP="008112BD">
      <w:pPr>
        <w:pStyle w:val="Amain"/>
      </w:pPr>
      <w:r>
        <w:tab/>
        <w:t>(3)</w:t>
      </w:r>
      <w:r>
        <w:tab/>
        <w:t>The party must ensure any script in the party’s possession is filed as an exhibit to the affidavit.</w:t>
      </w:r>
    </w:p>
    <w:p w14:paraId="799800A1" w14:textId="77777777"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14:paraId="575D0DA8" w14:textId="77777777"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14:paraId="27E1D8E6" w14:textId="77777777" w:rsidR="008112BD" w:rsidRDefault="008112BD" w:rsidP="008112BD">
      <w:pPr>
        <w:pStyle w:val="AH5Sec"/>
      </w:pPr>
      <w:bookmarkStart w:id="985" w:name="_Toc185514601"/>
      <w:r w:rsidRPr="00C8328B">
        <w:rPr>
          <w:rStyle w:val="CharSectNo"/>
        </w:rPr>
        <w:t>3096</w:t>
      </w:r>
      <w:r>
        <w:tab/>
        <w:t>Division 3.1.9 proceeding—directions for notice to people with beneficial interests</w:t>
      </w:r>
      <w:bookmarkEnd w:id="985"/>
    </w:p>
    <w:p w14:paraId="1E4AB47E" w14:textId="77777777" w:rsidR="008112BD" w:rsidRDefault="008112BD" w:rsidP="008112BD">
      <w:pPr>
        <w:pStyle w:val="Amain"/>
        <w:keepNext/>
      </w:pPr>
      <w:r>
        <w:tab/>
        <w:t>(1)</w:t>
      </w:r>
      <w:r>
        <w:tab/>
        <w:t>This rule applies to a division 3.1.9 proceeding in relation to an estate that is started by originating application.</w:t>
      </w:r>
    </w:p>
    <w:p w14:paraId="32FAFD72" w14:textId="77777777" w:rsidR="008112BD" w:rsidRDefault="008112BD" w:rsidP="008112BD">
      <w:pPr>
        <w:pStyle w:val="Amain"/>
        <w:keepNext/>
      </w:pPr>
      <w:r>
        <w:tab/>
        <w:t>(2)</w:t>
      </w:r>
      <w:r>
        <w:tab/>
        <w:t>The court may give directions about whether the plaintiff is to serve notice on anyone else who has a beneficial interest in the estate.</w:t>
      </w:r>
    </w:p>
    <w:p w14:paraId="61D9D6AE"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D0DA9FF"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103FA535" w14:textId="77777777" w:rsidR="008112BD" w:rsidRDefault="008112BD" w:rsidP="008112BD">
      <w:pPr>
        <w:pStyle w:val="AH5Sec"/>
      </w:pPr>
      <w:bookmarkStart w:id="986" w:name="_Toc185514602"/>
      <w:r w:rsidRPr="00C8328B">
        <w:rPr>
          <w:rStyle w:val="CharSectNo"/>
        </w:rPr>
        <w:t>3097</w:t>
      </w:r>
      <w:r>
        <w:tab/>
        <w:t>Division 3.1.9 proceeding—notice of intention to intervene</w:t>
      </w:r>
      <w:bookmarkEnd w:id="986"/>
    </w:p>
    <w:p w14:paraId="74B1A89C" w14:textId="77777777"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14:paraId="5E9E5804" w14:textId="77777777" w:rsidR="008112BD" w:rsidRDefault="008112BD" w:rsidP="008112BD">
      <w:pPr>
        <w:pStyle w:val="Amain"/>
        <w:keepNext/>
      </w:pPr>
      <w:r>
        <w:tab/>
        <w:t>(2)</w:t>
      </w:r>
      <w:r>
        <w:tab/>
        <w:t>The affidavit must include an address for service for the person.</w:t>
      </w:r>
    </w:p>
    <w:p w14:paraId="7BA3684B"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46E4F317" w14:textId="77777777" w:rsidR="008112BD" w:rsidRDefault="008112BD" w:rsidP="008112BD">
      <w:pPr>
        <w:pStyle w:val="Amain"/>
      </w:pPr>
      <w:r>
        <w:tab/>
        <w:t>(3)</w:t>
      </w:r>
      <w:r>
        <w:tab/>
        <w:t>The person must serve a stamped copy of the affidavit on everyone named in the proceeding.</w:t>
      </w:r>
    </w:p>
    <w:p w14:paraId="584E9E48" w14:textId="77777777" w:rsidR="008112BD" w:rsidRDefault="008112BD" w:rsidP="008112BD">
      <w:pPr>
        <w:pStyle w:val="AH5Sec"/>
      </w:pPr>
      <w:bookmarkStart w:id="987" w:name="_Toc185514603"/>
      <w:r w:rsidRPr="00C8328B">
        <w:rPr>
          <w:rStyle w:val="CharSectNo"/>
        </w:rPr>
        <w:lastRenderedPageBreak/>
        <w:t>3098</w:t>
      </w:r>
      <w:r>
        <w:tab/>
        <w:t>Division 3.1.9 proceeding—filing of grant of representation</w:t>
      </w:r>
      <w:bookmarkEnd w:id="987"/>
    </w:p>
    <w:p w14:paraId="5B1B23B2" w14:textId="77777777" w:rsidR="008112BD" w:rsidRDefault="008112BD" w:rsidP="008112BD">
      <w:pPr>
        <w:pStyle w:val="Amain"/>
      </w:pPr>
      <w:r>
        <w:tab/>
        <w:t>(1)</w:t>
      </w:r>
      <w:r>
        <w:tab/>
        <w:t>This rule applies if, in a division 3.1.9 proceeding, the relief sought is, or includes, the revocation of a grant of representation of an estate.</w:t>
      </w:r>
    </w:p>
    <w:p w14:paraId="3B3540F3" w14:textId="77777777" w:rsidR="008112BD" w:rsidRDefault="008112BD" w:rsidP="008112BD">
      <w:pPr>
        <w:pStyle w:val="Amain"/>
        <w:keepNext/>
      </w:pPr>
      <w:r>
        <w:tab/>
        <w:t>(2)</w:t>
      </w:r>
      <w:r>
        <w:tab/>
        <w:t>The court may, at any time, order the personal representative to bring the original grant, and all sealed copies of the grant, into the registry.</w:t>
      </w:r>
    </w:p>
    <w:p w14:paraId="0509899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14:paraId="59F01B21" w14:textId="233C0C0D"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32"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6B4DA072" w14:textId="77777777" w:rsidR="008112BD" w:rsidRPr="00C8328B" w:rsidRDefault="008112BD" w:rsidP="008112BD">
      <w:pPr>
        <w:pStyle w:val="AH3Div"/>
      </w:pPr>
      <w:bookmarkStart w:id="988" w:name="_Toc185514604"/>
      <w:r w:rsidRPr="00C8328B">
        <w:rPr>
          <w:rStyle w:val="CharDivNo"/>
        </w:rPr>
        <w:t>Division 3.1.10</w:t>
      </w:r>
      <w:r>
        <w:tab/>
      </w:r>
      <w:r w:rsidRPr="00C8328B">
        <w:rPr>
          <w:rStyle w:val="CharDivText"/>
        </w:rPr>
        <w:t>Administration and probate—other provisions</w:t>
      </w:r>
      <w:bookmarkEnd w:id="988"/>
    </w:p>
    <w:p w14:paraId="1C111EFE" w14:textId="77777777" w:rsidR="008112BD" w:rsidRDefault="008112BD" w:rsidP="008112BD">
      <w:pPr>
        <w:pStyle w:val="AH5Sec"/>
      </w:pPr>
      <w:bookmarkStart w:id="989" w:name="_Toc185514605"/>
      <w:r w:rsidRPr="00C8328B">
        <w:rPr>
          <w:rStyle w:val="CharSectNo"/>
        </w:rPr>
        <w:t>3110</w:t>
      </w:r>
      <w:r>
        <w:tab/>
        <w:t>Administration and probate—registrar may make inquiries</w:t>
      </w:r>
      <w:bookmarkEnd w:id="989"/>
    </w:p>
    <w:p w14:paraId="57DEA733" w14:textId="77777777"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14:paraId="13C140D2" w14:textId="77777777" w:rsidR="008112BD" w:rsidRDefault="008112BD" w:rsidP="008112BD">
      <w:pPr>
        <w:pStyle w:val="Amain"/>
      </w:pPr>
      <w:r>
        <w:tab/>
        <w:t>(2)</w:t>
      </w:r>
      <w:r>
        <w:tab/>
        <w:t>The registrar may require an answer to an inquiry to be given by affidavit.</w:t>
      </w:r>
    </w:p>
    <w:p w14:paraId="77E08457" w14:textId="77777777" w:rsidR="008112BD" w:rsidRDefault="008112BD" w:rsidP="008112BD">
      <w:pPr>
        <w:pStyle w:val="AH5Sec"/>
      </w:pPr>
      <w:bookmarkStart w:id="990" w:name="_Toc185514606"/>
      <w:r w:rsidRPr="00C8328B">
        <w:rPr>
          <w:rStyle w:val="CharSectNo"/>
        </w:rPr>
        <w:t>3111</w:t>
      </w:r>
      <w:r>
        <w:tab/>
        <w:t>Administration and probate—subpoenas</w:t>
      </w:r>
      <w:bookmarkEnd w:id="990"/>
    </w:p>
    <w:p w14:paraId="7B41E574" w14:textId="77777777"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14:paraId="2A0C8A0E" w14:textId="77777777" w:rsidR="008112BD" w:rsidRDefault="008112BD" w:rsidP="008112BD">
      <w:pPr>
        <w:pStyle w:val="Apara"/>
      </w:pPr>
      <w:r>
        <w:tab/>
        <w:t>(a)</w:t>
      </w:r>
      <w:r>
        <w:tab/>
        <w:t xml:space="preserve">to bring into the registry or otherwise as directed by the court a will or other document; </w:t>
      </w:r>
    </w:p>
    <w:p w14:paraId="3E18F8C1" w14:textId="77777777" w:rsidR="008112BD" w:rsidRDefault="008112BD" w:rsidP="008112BD">
      <w:pPr>
        <w:pStyle w:val="Apara"/>
      </w:pPr>
      <w:r>
        <w:lastRenderedPageBreak/>
        <w:tab/>
        <w:t>(b)</w:t>
      </w:r>
      <w:r>
        <w:tab/>
        <w:t>to attend the court for examination in relation to anything relevant to the proceeding.</w:t>
      </w:r>
    </w:p>
    <w:p w14:paraId="5F0BCA65" w14:textId="77777777"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14:paraId="62606D11"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2844FFFE" w14:textId="77777777"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14:paraId="7A1D6C71" w14:textId="77777777" w:rsidR="008112BD" w:rsidRDefault="008112BD" w:rsidP="008112BD">
      <w:pPr>
        <w:pStyle w:val="AH5Sec"/>
      </w:pPr>
      <w:bookmarkStart w:id="991" w:name="_Toc185514607"/>
      <w:r w:rsidRPr="00C8328B">
        <w:rPr>
          <w:rStyle w:val="CharSectNo"/>
        </w:rPr>
        <w:t>3112</w:t>
      </w:r>
      <w:r>
        <w:tab/>
        <w:t>Administration and probate—evidence about domicile</w:t>
      </w:r>
      <w:bookmarkEnd w:id="991"/>
      <w:r>
        <w:t xml:space="preserve"> </w:t>
      </w:r>
    </w:p>
    <w:p w14:paraId="55D61B98" w14:textId="77777777" w:rsidR="008112BD" w:rsidRDefault="008112BD" w:rsidP="008112BD">
      <w:pPr>
        <w:pStyle w:val="Amain"/>
        <w:keepNext/>
      </w:pPr>
      <w:r>
        <w:tab/>
        <w:t>(1)</w:t>
      </w:r>
      <w:r>
        <w:tab/>
        <w:t>This rule applies if—</w:t>
      </w:r>
    </w:p>
    <w:p w14:paraId="11ED6978" w14:textId="77777777" w:rsidR="008112BD" w:rsidRDefault="008112BD" w:rsidP="008112BD">
      <w:pPr>
        <w:pStyle w:val="Apara"/>
      </w:pPr>
      <w:r>
        <w:tab/>
        <w:t>(a)</w:t>
      </w:r>
      <w:r>
        <w:tab/>
        <w:t>a person applies for grant of representation for the estate of a deceased person; and</w:t>
      </w:r>
    </w:p>
    <w:p w14:paraId="5BF3CC80" w14:textId="77777777" w:rsidR="008112BD" w:rsidRDefault="008112BD" w:rsidP="008112BD">
      <w:pPr>
        <w:pStyle w:val="Apara"/>
      </w:pPr>
      <w:r>
        <w:tab/>
        <w:t>(b)</w:t>
      </w:r>
      <w:r>
        <w:tab/>
        <w:t>it appears that the deceased person may have been domiciled outside the ACT.</w:t>
      </w:r>
    </w:p>
    <w:p w14:paraId="32F93546" w14:textId="77777777" w:rsidR="008112BD" w:rsidRDefault="008112BD" w:rsidP="008112BD">
      <w:pPr>
        <w:pStyle w:val="Amain"/>
        <w:keepNext/>
      </w:pPr>
      <w:r>
        <w:tab/>
        <w:t>(2)</w:t>
      </w:r>
      <w:r>
        <w:tab/>
        <w:t>The court may require evidence of the following:</w:t>
      </w:r>
    </w:p>
    <w:p w14:paraId="1D7D920D" w14:textId="77777777" w:rsidR="008112BD" w:rsidRDefault="008112BD" w:rsidP="008112BD">
      <w:pPr>
        <w:pStyle w:val="Apara"/>
      </w:pPr>
      <w:r>
        <w:tab/>
        <w:t>(a)</w:t>
      </w:r>
      <w:r>
        <w:tab/>
        <w:t xml:space="preserve">the domicile of the deceased person; </w:t>
      </w:r>
    </w:p>
    <w:p w14:paraId="7558CB78" w14:textId="77777777" w:rsidR="008112BD" w:rsidRDefault="008112BD" w:rsidP="008112BD">
      <w:pPr>
        <w:pStyle w:val="Apara"/>
      </w:pPr>
      <w:r>
        <w:tab/>
        <w:t>(b)</w:t>
      </w:r>
      <w:r>
        <w:tab/>
        <w:t>the requirements of the law of the domicile in relation to the validity of any will or testamentary document made by the deceased person;</w:t>
      </w:r>
    </w:p>
    <w:p w14:paraId="6A82B71F" w14:textId="77777777" w:rsidR="008112BD" w:rsidRDefault="008112BD" w:rsidP="008112BD">
      <w:pPr>
        <w:pStyle w:val="Apara"/>
      </w:pPr>
      <w:r>
        <w:tab/>
        <w:t>(c)</w:t>
      </w:r>
      <w:r>
        <w:tab/>
        <w:t>the law of the domicile in relation to a person entitled in distribution of the estate</w:t>
      </w:r>
    </w:p>
    <w:p w14:paraId="33B81C45" w14:textId="77777777" w:rsidR="008112BD" w:rsidRDefault="008112BD" w:rsidP="008112BD">
      <w:pPr>
        <w:pStyle w:val="AH5Sec"/>
      </w:pPr>
      <w:bookmarkStart w:id="992" w:name="_Toc185514608"/>
      <w:r w:rsidRPr="00C8328B">
        <w:rPr>
          <w:rStyle w:val="CharSectNo"/>
        </w:rPr>
        <w:t>3113</w:t>
      </w:r>
      <w:r>
        <w:tab/>
        <w:t>Administration and probate—proof in solemn form</w:t>
      </w:r>
      <w:bookmarkEnd w:id="992"/>
    </w:p>
    <w:p w14:paraId="39214E25" w14:textId="77777777" w:rsidR="008112BD" w:rsidRDefault="008112BD" w:rsidP="008112BD">
      <w:pPr>
        <w:pStyle w:val="Amain"/>
      </w:pPr>
      <w:r>
        <w:tab/>
        <w:t>(1)</w:t>
      </w:r>
      <w:r>
        <w:tab/>
        <w:t>This rule applies if the court has made a grant in common form of probate or letters of administration with the will annexed.</w:t>
      </w:r>
    </w:p>
    <w:p w14:paraId="4DBFBB6E" w14:textId="77777777"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14:paraId="4F864A92" w14:textId="77777777"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14:paraId="6DE7942F" w14:textId="77777777"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14:paraId="682CC469" w14:textId="77777777"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14:paraId="1877DB5F" w14:textId="11AFB1D0"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33"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49277C37" w14:textId="77777777"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14:paraId="0AD5265F" w14:textId="77777777" w:rsidR="008112BD" w:rsidRDefault="008112BD" w:rsidP="008112BD">
      <w:pPr>
        <w:pStyle w:val="AH5Sec"/>
      </w:pPr>
      <w:bookmarkStart w:id="993" w:name="_Toc185514609"/>
      <w:r w:rsidRPr="00C8328B">
        <w:rPr>
          <w:rStyle w:val="CharSectNo"/>
        </w:rPr>
        <w:t>3114</w:t>
      </w:r>
      <w:r>
        <w:tab/>
        <w:t>Failure of executor to prove will—Administration and Probate Act, s 25</w:t>
      </w:r>
      <w:bookmarkEnd w:id="993"/>
    </w:p>
    <w:p w14:paraId="2E2DBC91" w14:textId="77777777" w:rsidR="008112BD" w:rsidRDefault="008112BD" w:rsidP="008112BD">
      <w:pPr>
        <w:pStyle w:val="Amain"/>
      </w:pPr>
      <w:r>
        <w:tab/>
        <w:t>(1)</w:t>
      </w:r>
      <w:r>
        <w:tab/>
        <w:t>This rule applies if the person named as the executor in a will—</w:t>
      </w:r>
    </w:p>
    <w:p w14:paraId="2BA7C70A" w14:textId="77777777" w:rsidR="008112BD" w:rsidRDefault="008112BD" w:rsidP="008112BD">
      <w:pPr>
        <w:pStyle w:val="Apara"/>
        <w:keepNext/>
      </w:pPr>
      <w:r>
        <w:tab/>
        <w:t>(a)</w:t>
      </w:r>
      <w:r>
        <w:tab/>
        <w:t>does not prove the will, or renounce probate, within 6 months after the later of the following:</w:t>
      </w:r>
    </w:p>
    <w:p w14:paraId="5E8BA598" w14:textId="77777777" w:rsidR="008112BD" w:rsidRDefault="008112BD" w:rsidP="008112BD">
      <w:pPr>
        <w:pStyle w:val="Asubpara"/>
      </w:pPr>
      <w:r>
        <w:tab/>
        <w:t>(i)</w:t>
      </w:r>
      <w:r>
        <w:tab/>
        <w:t>the date of the testator’s death;</w:t>
      </w:r>
    </w:p>
    <w:p w14:paraId="2E5CA5B1" w14:textId="77777777" w:rsidR="008112BD" w:rsidRDefault="008112BD" w:rsidP="008112BD">
      <w:pPr>
        <w:pStyle w:val="Asubpara"/>
      </w:pPr>
      <w:r>
        <w:tab/>
        <w:t>(ii)</w:t>
      </w:r>
      <w:r>
        <w:tab/>
        <w:t xml:space="preserve">the executor turning 18 years old; or </w:t>
      </w:r>
    </w:p>
    <w:p w14:paraId="334D393D" w14:textId="77777777" w:rsidR="008112BD" w:rsidRDefault="008112BD" w:rsidP="008112BD">
      <w:pPr>
        <w:pStyle w:val="Apara"/>
      </w:pPr>
      <w:r>
        <w:tab/>
        <w:t>(b)</w:t>
      </w:r>
      <w:r>
        <w:tab/>
        <w:t>is unknown or cannot be found.</w:t>
      </w:r>
    </w:p>
    <w:p w14:paraId="3499AD02" w14:textId="77777777" w:rsidR="008112BD" w:rsidRDefault="008112BD" w:rsidP="008112BD">
      <w:pPr>
        <w:pStyle w:val="Amain"/>
      </w:pPr>
      <w:r>
        <w:tab/>
        <w:t>(2)</w:t>
      </w:r>
      <w:r>
        <w:tab/>
        <w:t>A person interested in the estate, or a creditor of the estate, may apply to the court for orders under this rule.</w:t>
      </w:r>
    </w:p>
    <w:p w14:paraId="068EE306"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32A8009F" w14:textId="77777777"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722CAA60"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3691242E" w14:textId="77777777" w:rsidR="008112BD" w:rsidRDefault="008112BD" w:rsidP="008112BD">
      <w:pPr>
        <w:pStyle w:val="Amain"/>
        <w:keepNext/>
      </w:pPr>
      <w:r>
        <w:tab/>
        <w:t>(4)</w:t>
      </w:r>
      <w:r>
        <w:tab/>
        <w:t>The application must be supported by an affidavit filed with the application.</w:t>
      </w:r>
    </w:p>
    <w:p w14:paraId="7925C390" w14:textId="77777777" w:rsidR="008112BD" w:rsidRDefault="008112BD" w:rsidP="008112BD">
      <w:pPr>
        <w:pStyle w:val="Amain"/>
      </w:pPr>
      <w:r>
        <w:tab/>
        <w:t>(5)</w:t>
      </w:r>
      <w:r>
        <w:tab/>
        <w:t>The applicant must serve a sealed or stamped copy of the application and supporting affidavit on the person named as executor in the will.</w:t>
      </w:r>
    </w:p>
    <w:p w14:paraId="38CC56C3" w14:textId="77777777" w:rsidR="008112BD" w:rsidRDefault="008112BD" w:rsidP="008112BD">
      <w:pPr>
        <w:pStyle w:val="Amain"/>
      </w:pPr>
      <w:r>
        <w:tab/>
        <w:t>(6)</w:t>
      </w:r>
      <w:r>
        <w:tab/>
        <w:t>On application under this rule, the court may make the order in relation to administration of the estate, and any other orders, the court considers just.</w:t>
      </w:r>
    </w:p>
    <w:p w14:paraId="12293C9A" w14:textId="77777777" w:rsidR="008112BD" w:rsidRDefault="008112BD" w:rsidP="008112BD">
      <w:pPr>
        <w:pStyle w:val="AH5Sec"/>
      </w:pPr>
      <w:bookmarkStart w:id="994" w:name="_Toc185514610"/>
      <w:r w:rsidRPr="00C8328B">
        <w:rPr>
          <w:rStyle w:val="CharSectNo"/>
        </w:rPr>
        <w:t>3115</w:t>
      </w:r>
      <w:r>
        <w:tab/>
        <w:t>Failure by executor, administrator or trustee to comply with beneficiary’s request etc</w:t>
      </w:r>
      <w:bookmarkEnd w:id="994"/>
    </w:p>
    <w:p w14:paraId="5306978B" w14:textId="77777777"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14:paraId="3EF080CB" w14:textId="77777777" w:rsidR="008112BD" w:rsidRDefault="008112BD" w:rsidP="008112BD">
      <w:pPr>
        <w:pStyle w:val="Apara"/>
      </w:pPr>
      <w:r>
        <w:tab/>
        <w:t>(a)</w:t>
      </w:r>
      <w:r>
        <w:tab/>
        <w:t>to apply for and take all necessary steps to register the transmission of any interest in property; or</w:t>
      </w:r>
    </w:p>
    <w:p w14:paraId="2B89C8A9" w14:textId="77777777" w:rsidR="008112BD" w:rsidRDefault="008112BD" w:rsidP="008112BD">
      <w:pPr>
        <w:pStyle w:val="Apara"/>
      </w:pPr>
      <w:r>
        <w:tab/>
        <w:t>(b)</w:t>
      </w:r>
      <w:r>
        <w:tab/>
        <w:t>if the executor, administrator or trustee has or is entitled to a legal interest in property—to convey or transfer the interest to the person entitled to it; or</w:t>
      </w:r>
    </w:p>
    <w:p w14:paraId="5FE3B7DC" w14:textId="77777777" w:rsidR="008112BD" w:rsidRDefault="008112BD" w:rsidP="008112BD">
      <w:pPr>
        <w:pStyle w:val="Apara"/>
      </w:pPr>
      <w:r>
        <w:tab/>
        <w:t>(c)</w:t>
      </w:r>
      <w:r>
        <w:tab/>
        <w:t>to pay or hand over any legacy or residuary bequest to the person entitled to it; or</w:t>
      </w:r>
    </w:p>
    <w:p w14:paraId="3E11632A" w14:textId="77777777" w:rsidR="008112BD" w:rsidRDefault="008112BD" w:rsidP="008112BD">
      <w:pPr>
        <w:pStyle w:val="Apara"/>
      </w:pPr>
      <w:r>
        <w:tab/>
        <w:t>(d)</w:t>
      </w:r>
      <w:r>
        <w:tab/>
        <w:t>to do anything else the executor, administrator or trustee is required or allowed by law to do in relation to the estate.</w:t>
      </w:r>
    </w:p>
    <w:p w14:paraId="3C161FD8" w14:textId="77777777" w:rsidR="008112BD" w:rsidRDefault="008112BD" w:rsidP="008112BD">
      <w:pPr>
        <w:pStyle w:val="Amain"/>
      </w:pPr>
      <w:r>
        <w:tab/>
        <w:t>(2)</w:t>
      </w:r>
      <w:r>
        <w:tab/>
        <w:t>The beneficiary, or other executor, administrator or trustee, may apply to the court for orders under this rule.</w:t>
      </w:r>
    </w:p>
    <w:p w14:paraId="37D0764A"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5356C009" w14:textId="77777777"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4211FA3A"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46B95E8F" w14:textId="77777777" w:rsidR="008112BD" w:rsidRDefault="008112BD" w:rsidP="008112BD">
      <w:pPr>
        <w:pStyle w:val="Amain"/>
      </w:pPr>
      <w:r>
        <w:tab/>
        <w:t>(4)</w:t>
      </w:r>
      <w:r>
        <w:tab/>
        <w:t>The application must be supported by an affidavit filed with the application.</w:t>
      </w:r>
    </w:p>
    <w:p w14:paraId="506D6578" w14:textId="77777777"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14:paraId="0FDA9E6A" w14:textId="77777777" w:rsidR="008112BD" w:rsidRDefault="008112BD" w:rsidP="008112BD">
      <w:pPr>
        <w:pStyle w:val="Amain"/>
      </w:pPr>
      <w:r>
        <w:tab/>
        <w:t>(6)</w:t>
      </w:r>
      <w:r>
        <w:tab/>
        <w:t>On application under this rule, the court may make the orders the court considers just.</w:t>
      </w:r>
    </w:p>
    <w:p w14:paraId="50FBF89C" w14:textId="77777777" w:rsidR="008112BD" w:rsidRDefault="008112BD" w:rsidP="008112BD">
      <w:pPr>
        <w:pStyle w:val="AH5Sec"/>
      </w:pPr>
      <w:bookmarkStart w:id="995" w:name="_Toc185514611"/>
      <w:r w:rsidRPr="00C8328B">
        <w:rPr>
          <w:rStyle w:val="CharSectNo"/>
        </w:rPr>
        <w:t>3116</w:t>
      </w:r>
      <w:r>
        <w:tab/>
        <w:t>Grant of administration—grant to child</w:t>
      </w:r>
      <w:bookmarkEnd w:id="995"/>
    </w:p>
    <w:p w14:paraId="6D7D6A09" w14:textId="77777777" w:rsidR="008112BD" w:rsidRDefault="008112BD" w:rsidP="008112BD">
      <w:pPr>
        <w:pStyle w:val="Amain"/>
      </w:pPr>
      <w:r>
        <w:tab/>
        <w:t>(1)</w:t>
      </w:r>
      <w:r>
        <w:tab/>
        <w:t>This rule applies if—</w:t>
      </w:r>
    </w:p>
    <w:p w14:paraId="7F59D4A6" w14:textId="77777777" w:rsidR="008112BD" w:rsidRDefault="008112BD" w:rsidP="008112BD">
      <w:pPr>
        <w:pStyle w:val="Apara"/>
      </w:pPr>
      <w:r>
        <w:tab/>
        <w:t>(a)</w:t>
      </w:r>
      <w:r>
        <w:tab/>
        <w:t>a person is under 18 years; and</w:t>
      </w:r>
    </w:p>
    <w:p w14:paraId="343FEE66" w14:textId="77777777" w:rsidR="008112BD" w:rsidRDefault="008112BD" w:rsidP="008112BD">
      <w:pPr>
        <w:pStyle w:val="Apara"/>
      </w:pPr>
      <w:r>
        <w:tab/>
        <w:t>(b)</w:t>
      </w:r>
      <w:r>
        <w:tab/>
        <w:t>either—</w:t>
      </w:r>
    </w:p>
    <w:p w14:paraId="13A98FE8" w14:textId="77777777" w:rsidR="008112BD" w:rsidRDefault="008112BD" w:rsidP="008112BD">
      <w:pPr>
        <w:pStyle w:val="Asubpara"/>
      </w:pPr>
      <w:r>
        <w:tab/>
        <w:t>(i)</w:t>
      </w:r>
      <w:r>
        <w:tab/>
        <w:t>is the sole executor of a will; or</w:t>
      </w:r>
    </w:p>
    <w:p w14:paraId="6B026A61" w14:textId="77777777" w:rsidR="008112BD" w:rsidRDefault="008112BD" w:rsidP="008112BD">
      <w:pPr>
        <w:pStyle w:val="Asubpara"/>
      </w:pPr>
      <w:r>
        <w:tab/>
        <w:t>(ii)</w:t>
      </w:r>
      <w:r>
        <w:tab/>
        <w:t>would be entitled to a grant of administration on intestacy.</w:t>
      </w:r>
    </w:p>
    <w:p w14:paraId="56B806CB" w14:textId="77777777"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14:paraId="6CE987D0" w14:textId="77777777"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14:paraId="560C303F" w14:textId="77777777"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14:paraId="2CA3BA21" w14:textId="77777777" w:rsidR="008112BD" w:rsidRDefault="008112BD" w:rsidP="008112BD">
      <w:pPr>
        <w:pStyle w:val="aNote"/>
      </w:pPr>
      <w:r w:rsidRPr="00FE0788">
        <w:rPr>
          <w:rStyle w:val="charItals"/>
        </w:rPr>
        <w:t>Note</w:t>
      </w:r>
      <w:r>
        <w:tab/>
        <w:t>Pt 6.2 (Applications in proceedings) applies to an application under r (3).</w:t>
      </w:r>
    </w:p>
    <w:p w14:paraId="20284447" w14:textId="77777777" w:rsidR="008112BD" w:rsidRDefault="008112BD" w:rsidP="008112BD">
      <w:pPr>
        <w:pStyle w:val="AH5Sec"/>
      </w:pPr>
      <w:bookmarkStart w:id="996" w:name="_Toc185514612"/>
      <w:r w:rsidRPr="00C8328B">
        <w:rPr>
          <w:rStyle w:val="CharSectNo"/>
        </w:rPr>
        <w:t>3117</w:t>
      </w:r>
      <w:r>
        <w:tab/>
        <w:t>Order about administration of real estate—Administration and Probate Act, s 51</w:t>
      </w:r>
      <w:bookmarkEnd w:id="996"/>
    </w:p>
    <w:p w14:paraId="43D02BCA" w14:textId="233EBE40" w:rsidR="008112BD" w:rsidRDefault="008112BD" w:rsidP="008112BD">
      <w:pPr>
        <w:pStyle w:val="Amain"/>
      </w:pPr>
      <w:r>
        <w:tab/>
        <w:t>(1)</w:t>
      </w:r>
      <w:r>
        <w:tab/>
        <w:t xml:space="preserve">This rule applies if an application has been made for an order under the </w:t>
      </w:r>
      <w:hyperlink r:id="rId334" w:tooltip="A1929-18" w:history="1">
        <w:r w:rsidRPr="00367710">
          <w:rPr>
            <w:rStyle w:val="charCitHyperlinkAbbrev"/>
          </w:rPr>
          <w:t>Administration and Probate Act</w:t>
        </w:r>
      </w:hyperlink>
      <w:r>
        <w:t>, section 51 (Supreme Court may make special order) in relation to the administration of a deceased person’s real estate.</w:t>
      </w:r>
    </w:p>
    <w:p w14:paraId="242CAF9D" w14:textId="77777777" w:rsidR="008112BD" w:rsidRDefault="008112BD" w:rsidP="008112BD">
      <w:pPr>
        <w:pStyle w:val="Amain"/>
      </w:pPr>
      <w:r>
        <w:tab/>
        <w:t>(2)</w:t>
      </w:r>
      <w:r>
        <w:tab/>
        <w:t>Stamped copies of the application and any supporting affidavits must be served personally on each party with a beneficial interest in the real estate.</w:t>
      </w:r>
    </w:p>
    <w:p w14:paraId="6159DB99" w14:textId="77777777" w:rsidR="008112BD" w:rsidRDefault="008112BD" w:rsidP="008112BD">
      <w:pPr>
        <w:pStyle w:val="AH5Sec"/>
      </w:pPr>
      <w:bookmarkStart w:id="997" w:name="_Toc185514613"/>
      <w:r w:rsidRPr="00C8328B">
        <w:rPr>
          <w:rStyle w:val="CharSectNo"/>
        </w:rPr>
        <w:t>3118</w:t>
      </w:r>
      <w:r>
        <w:tab/>
        <w:t>Assessment of costs—Administration and Probate Act, s 71</w:t>
      </w:r>
      <w:bookmarkEnd w:id="997"/>
    </w:p>
    <w:p w14:paraId="4F4A53F3" w14:textId="021FDD3D" w:rsidR="008112BD" w:rsidRDefault="008112BD" w:rsidP="008112BD">
      <w:pPr>
        <w:pStyle w:val="Amainreturn"/>
      </w:pPr>
      <w:r>
        <w:t xml:space="preserve">Part 2.17 (Costs) applies, with all necessary changes, to the assessment of costs for the </w:t>
      </w:r>
      <w:hyperlink r:id="rId335" w:tooltip="A1929-18" w:history="1">
        <w:r w:rsidRPr="00367710">
          <w:rPr>
            <w:rStyle w:val="charCitHyperlinkAbbrev"/>
          </w:rPr>
          <w:t>Administration and Probate Act</w:t>
        </w:r>
      </w:hyperlink>
      <w:r>
        <w:t>, section 71 (Limits of professional charges for obtaining probate etc).</w:t>
      </w:r>
    </w:p>
    <w:p w14:paraId="7183632C" w14:textId="77777777" w:rsidR="008112BD" w:rsidRDefault="008112BD" w:rsidP="008112BD">
      <w:pPr>
        <w:pStyle w:val="AH5Sec"/>
      </w:pPr>
      <w:bookmarkStart w:id="998" w:name="_Toc185514614"/>
      <w:r w:rsidRPr="00C8328B">
        <w:rPr>
          <w:rStyle w:val="CharSectNo"/>
        </w:rPr>
        <w:t>3119</w:t>
      </w:r>
      <w:r>
        <w:tab/>
        <w:t>Administration and probate book</w:t>
      </w:r>
      <w:bookmarkEnd w:id="998"/>
    </w:p>
    <w:p w14:paraId="58807D47" w14:textId="77777777" w:rsidR="008112BD" w:rsidRDefault="008112BD" w:rsidP="008112BD">
      <w:pPr>
        <w:pStyle w:val="Amain"/>
      </w:pPr>
      <w:r>
        <w:tab/>
        <w:t>(1)</w:t>
      </w:r>
      <w:r>
        <w:tab/>
        <w:t>The registrar must keep an administration and probate book.</w:t>
      </w:r>
    </w:p>
    <w:p w14:paraId="5452F504" w14:textId="77777777" w:rsidR="008112BD" w:rsidRDefault="008112BD" w:rsidP="008112BD">
      <w:pPr>
        <w:pStyle w:val="Amain"/>
      </w:pPr>
      <w:r>
        <w:tab/>
        <w:t>(2)</w:t>
      </w:r>
      <w:r>
        <w:tab/>
        <w:t>The administration and probate book—</w:t>
      </w:r>
    </w:p>
    <w:p w14:paraId="0D8E8DB2" w14:textId="77777777" w:rsidR="008112BD" w:rsidRDefault="008112BD" w:rsidP="008112BD">
      <w:pPr>
        <w:pStyle w:val="Apara"/>
      </w:pPr>
      <w:r>
        <w:tab/>
        <w:t>(a)</w:t>
      </w:r>
      <w:r>
        <w:tab/>
        <w:t>must be kept in accordance with the directions of the court; and</w:t>
      </w:r>
    </w:p>
    <w:p w14:paraId="30DEA714" w14:textId="77777777" w:rsidR="008112BD" w:rsidRDefault="008112BD" w:rsidP="008112BD">
      <w:pPr>
        <w:pStyle w:val="Apara"/>
      </w:pPr>
      <w:r>
        <w:tab/>
        <w:t>(b)</w:t>
      </w:r>
      <w:r>
        <w:tab/>
        <w:t>may be kept in electronic form.</w:t>
      </w:r>
    </w:p>
    <w:p w14:paraId="68BC73B1" w14:textId="77777777" w:rsidR="008112BD" w:rsidRDefault="008112BD" w:rsidP="008112BD">
      <w:pPr>
        <w:pStyle w:val="Amain"/>
        <w:keepNext/>
      </w:pPr>
      <w:r>
        <w:tab/>
        <w:t>(3)</w:t>
      </w:r>
      <w:r>
        <w:tab/>
        <w:t>The registrar must record in the administration and probate book—</w:t>
      </w:r>
    </w:p>
    <w:p w14:paraId="20AF4DCE" w14:textId="77777777" w:rsidR="008112BD" w:rsidRDefault="008112BD" w:rsidP="008112BD">
      <w:pPr>
        <w:pStyle w:val="Apara"/>
      </w:pPr>
      <w:r>
        <w:tab/>
        <w:t>(a)</w:t>
      </w:r>
      <w:r>
        <w:tab/>
        <w:t>all grants of probate and administration; and</w:t>
      </w:r>
    </w:p>
    <w:p w14:paraId="00489F06" w14:textId="77777777" w:rsidR="008112BD" w:rsidRDefault="008112BD" w:rsidP="008112BD">
      <w:pPr>
        <w:pStyle w:val="Apara"/>
      </w:pPr>
      <w:r>
        <w:tab/>
        <w:t>(b)</w:t>
      </w:r>
      <w:r>
        <w:tab/>
        <w:t>all elections and orders to collect; and</w:t>
      </w:r>
    </w:p>
    <w:p w14:paraId="7D094BB8" w14:textId="77777777" w:rsidR="008112BD" w:rsidRDefault="008112BD" w:rsidP="008112BD">
      <w:pPr>
        <w:pStyle w:val="Apara"/>
      </w:pPr>
      <w:r>
        <w:lastRenderedPageBreak/>
        <w:tab/>
        <w:t>(c)</w:t>
      </w:r>
      <w:r>
        <w:tab/>
        <w:t>the passing of accounts of, and allowance of commission to, all executors and administrators.</w:t>
      </w:r>
    </w:p>
    <w:p w14:paraId="68AAC7EE" w14:textId="77777777" w:rsidR="008112BD" w:rsidRDefault="008112BD" w:rsidP="008112BD">
      <w:pPr>
        <w:pStyle w:val="Amain"/>
      </w:pPr>
      <w:r>
        <w:tab/>
        <w:t>(4)</w:t>
      </w:r>
      <w:r>
        <w:tab/>
        <w:t>The administration and probate book must set out—</w:t>
      </w:r>
    </w:p>
    <w:p w14:paraId="7AC4E7E0" w14:textId="77777777" w:rsidR="008112BD" w:rsidRDefault="008112BD" w:rsidP="008112BD">
      <w:pPr>
        <w:pStyle w:val="Apara"/>
      </w:pPr>
      <w:r>
        <w:tab/>
        <w:t>(a)</w:t>
      </w:r>
      <w:r>
        <w:tab/>
        <w:t>the dates of the grants, elections and orders; and</w:t>
      </w:r>
    </w:p>
    <w:p w14:paraId="6F006439" w14:textId="77777777" w:rsidR="008112BD" w:rsidRDefault="008112BD" w:rsidP="008112BD">
      <w:pPr>
        <w:pStyle w:val="Apara"/>
      </w:pPr>
      <w:r>
        <w:tab/>
        <w:t>(b)</w:t>
      </w:r>
      <w:r>
        <w:tab/>
        <w:t>the names of testators and intestates; and</w:t>
      </w:r>
    </w:p>
    <w:p w14:paraId="7D11D59D" w14:textId="77777777" w:rsidR="008112BD" w:rsidRDefault="008112BD" w:rsidP="008112BD">
      <w:pPr>
        <w:pStyle w:val="Apara"/>
      </w:pPr>
      <w:r>
        <w:tab/>
        <w:t>(c)</w:t>
      </w:r>
      <w:r>
        <w:tab/>
        <w:t>the place and time of their deaths; and</w:t>
      </w:r>
    </w:p>
    <w:p w14:paraId="303CF26E" w14:textId="77777777" w:rsidR="008112BD" w:rsidRDefault="008112BD" w:rsidP="008112BD">
      <w:pPr>
        <w:pStyle w:val="Apara"/>
      </w:pPr>
      <w:r>
        <w:tab/>
        <w:t>(d)</w:t>
      </w:r>
      <w:r>
        <w:tab/>
        <w:t>the names and descriptions of executors and administrators; and</w:t>
      </w:r>
    </w:p>
    <w:p w14:paraId="2D2D2C52" w14:textId="77777777" w:rsidR="008112BD" w:rsidRDefault="008112BD" w:rsidP="008112BD">
      <w:pPr>
        <w:pStyle w:val="Apara"/>
      </w:pPr>
      <w:r>
        <w:tab/>
        <w:t>(e)</w:t>
      </w:r>
      <w:r>
        <w:tab/>
        <w:t>any other information that the court directs.</w:t>
      </w:r>
    </w:p>
    <w:p w14:paraId="390A0EC5" w14:textId="77777777" w:rsidR="008112BD" w:rsidRDefault="008112BD" w:rsidP="008112BD">
      <w:pPr>
        <w:pStyle w:val="Amain"/>
      </w:pPr>
      <w:r>
        <w:tab/>
        <w:t>(5)</w:t>
      </w:r>
      <w:r>
        <w:tab/>
        <w:t>The registrar may record any other information in the administration and probate book.</w:t>
      </w:r>
    </w:p>
    <w:p w14:paraId="51E57242" w14:textId="77777777" w:rsidR="008112BD" w:rsidRPr="002B175D" w:rsidRDefault="008112BD" w:rsidP="008112BD">
      <w:pPr>
        <w:pStyle w:val="AH5Sec"/>
      </w:pPr>
      <w:bookmarkStart w:id="999" w:name="_Toc185514615"/>
      <w:r w:rsidRPr="00C8328B">
        <w:rPr>
          <w:rStyle w:val="CharSectNo"/>
        </w:rPr>
        <w:t>3120</w:t>
      </w:r>
      <w:r w:rsidRPr="002B175D">
        <w:tab/>
        <w:t>Proved wills to be kept by court</w:t>
      </w:r>
      <w:bookmarkEnd w:id="999"/>
    </w:p>
    <w:p w14:paraId="6A5D2DE2" w14:textId="77777777" w:rsidR="008112BD" w:rsidRPr="002B175D" w:rsidRDefault="008112BD" w:rsidP="008112BD">
      <w:pPr>
        <w:pStyle w:val="Amainreturn"/>
      </w:pPr>
      <w:r w:rsidRPr="002B175D">
        <w:t>The court must keep—</w:t>
      </w:r>
    </w:p>
    <w:p w14:paraId="13B62420" w14:textId="77777777" w:rsidR="008112BD" w:rsidRPr="002B175D" w:rsidRDefault="008112BD" w:rsidP="008112BD">
      <w:pPr>
        <w:pStyle w:val="Apara"/>
      </w:pPr>
      <w:r w:rsidRPr="002B175D">
        <w:tab/>
        <w:t>(a)</w:t>
      </w:r>
      <w:r w:rsidRPr="002B175D">
        <w:tab/>
        <w:t>the original of any will filed in the court; and</w:t>
      </w:r>
    </w:p>
    <w:p w14:paraId="4D949E1D" w14:textId="77777777"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14:paraId="5982AB1B" w14:textId="77777777"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14:paraId="04EB0C38" w14:textId="77777777"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14:paraId="484078EA" w14:textId="77777777" w:rsidR="008112BD" w:rsidRDefault="008112BD" w:rsidP="008112BD">
      <w:pPr>
        <w:pStyle w:val="PageBreak"/>
      </w:pPr>
      <w:r>
        <w:br w:type="page"/>
      </w:r>
    </w:p>
    <w:p w14:paraId="6C6B882A" w14:textId="77777777" w:rsidR="008112BD" w:rsidRPr="00C8328B" w:rsidRDefault="008112BD" w:rsidP="008112BD">
      <w:pPr>
        <w:pStyle w:val="AH2Part"/>
      </w:pPr>
      <w:bookmarkStart w:id="1000" w:name="_Toc185514616"/>
      <w:r w:rsidRPr="00C8328B">
        <w:rPr>
          <w:rStyle w:val="CharPartNo"/>
        </w:rPr>
        <w:lastRenderedPageBreak/>
        <w:t>Part 3.2</w:t>
      </w:r>
      <w:r>
        <w:tab/>
      </w:r>
      <w:r w:rsidRPr="00C8328B">
        <w:rPr>
          <w:rStyle w:val="CharPartText"/>
        </w:rPr>
        <w:t>Adoption</w:t>
      </w:r>
      <w:bookmarkEnd w:id="1000"/>
    </w:p>
    <w:p w14:paraId="7453A752" w14:textId="77777777" w:rsidR="008112BD" w:rsidRPr="00C8328B" w:rsidRDefault="008112BD" w:rsidP="008112BD">
      <w:pPr>
        <w:pStyle w:val="AH3Div"/>
      </w:pPr>
      <w:bookmarkStart w:id="1001" w:name="_Toc185514617"/>
      <w:r w:rsidRPr="00C8328B">
        <w:rPr>
          <w:rStyle w:val="CharDivNo"/>
        </w:rPr>
        <w:t>Division 3.2.1</w:t>
      </w:r>
      <w:r>
        <w:tab/>
      </w:r>
      <w:r w:rsidRPr="00C8328B">
        <w:rPr>
          <w:rStyle w:val="CharDivText"/>
        </w:rPr>
        <w:t>Adoption—general</w:t>
      </w:r>
      <w:bookmarkEnd w:id="1001"/>
    </w:p>
    <w:p w14:paraId="4846DC91" w14:textId="77777777" w:rsidR="008112BD" w:rsidRDefault="008112BD" w:rsidP="008112BD">
      <w:pPr>
        <w:pStyle w:val="AH5Sec"/>
      </w:pPr>
      <w:bookmarkStart w:id="1002" w:name="_Toc185514618"/>
      <w:r w:rsidRPr="00C8328B">
        <w:rPr>
          <w:rStyle w:val="CharSectNo"/>
        </w:rPr>
        <w:t>3150</w:t>
      </w:r>
      <w:r>
        <w:tab/>
        <w:t>Definitions—pt 3.2</w:t>
      </w:r>
      <w:bookmarkEnd w:id="1002"/>
    </w:p>
    <w:p w14:paraId="6188702E" w14:textId="77777777" w:rsidR="008112BD" w:rsidRDefault="008112BD" w:rsidP="008112BD">
      <w:pPr>
        <w:pStyle w:val="Amainreturn"/>
        <w:keepNext/>
      </w:pPr>
      <w:r>
        <w:t>In this part:</w:t>
      </w:r>
    </w:p>
    <w:p w14:paraId="4A4475D1" w14:textId="4234D585" w:rsidR="008112BD" w:rsidRDefault="008112BD" w:rsidP="008112BD">
      <w:pPr>
        <w:pStyle w:val="aDef"/>
      </w:pPr>
      <w:r w:rsidRPr="00FE0788">
        <w:rPr>
          <w:rStyle w:val="charBoldItals"/>
        </w:rPr>
        <w:t xml:space="preserve">Adoption Act </w:t>
      </w:r>
      <w:r>
        <w:t xml:space="preserve">means the </w:t>
      </w:r>
      <w:hyperlink r:id="rId336" w:tooltip="A1993-20" w:history="1">
        <w:r w:rsidRPr="00FE0788">
          <w:rPr>
            <w:rStyle w:val="charCitHyperlinkItal"/>
          </w:rPr>
          <w:t>Adoption Act 1993</w:t>
        </w:r>
      </w:hyperlink>
      <w:r>
        <w:t>.</w:t>
      </w:r>
    </w:p>
    <w:p w14:paraId="3F68BC5A" w14:textId="77777777"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14:paraId="300E91FA" w14:textId="3DA0DB99"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37" w:tooltip="A1993-20" w:history="1">
        <w:r w:rsidRPr="00365CD4">
          <w:rPr>
            <w:rStyle w:val="charCitHyperlinkAbbrev"/>
          </w:rPr>
          <w:t>Adoption Act</w:t>
        </w:r>
      </w:hyperlink>
      <w:r>
        <w:t>, section 41 (Amendment etc of adoption condition) amending or setting aside a condition of an adoption order.</w:t>
      </w:r>
    </w:p>
    <w:p w14:paraId="3A02F006" w14:textId="4F035187"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38" w:tooltip="A2008-19" w:history="1">
        <w:r w:rsidRPr="00FE0788">
          <w:rPr>
            <w:rStyle w:val="charCitHyperlinkItal"/>
          </w:rPr>
          <w:t>Children and Young People Act 2008</w:t>
        </w:r>
      </w:hyperlink>
      <w:r w:rsidRPr="002B175D">
        <w:t>.</w:t>
      </w:r>
    </w:p>
    <w:p w14:paraId="1DBEE59B" w14:textId="77777777" w:rsidR="008112BD" w:rsidRDefault="008112BD" w:rsidP="008112BD">
      <w:pPr>
        <w:pStyle w:val="aDef"/>
        <w:keepNext/>
      </w:pPr>
      <w:r w:rsidRPr="00FE0788">
        <w:rPr>
          <w:rStyle w:val="charBoldItals"/>
        </w:rPr>
        <w:t xml:space="preserve">discharging order </w:t>
      </w:r>
      <w:r>
        <w:t>means—</w:t>
      </w:r>
    </w:p>
    <w:p w14:paraId="3F7B3377" w14:textId="4D332E83" w:rsidR="008112BD" w:rsidRDefault="008112BD" w:rsidP="008112BD">
      <w:pPr>
        <w:pStyle w:val="aDefpara"/>
      </w:pPr>
      <w:r>
        <w:tab/>
        <w:t>(a)</w:t>
      </w:r>
      <w:r>
        <w:tab/>
        <w:t xml:space="preserve">an order of the court under the </w:t>
      </w:r>
      <w:hyperlink r:id="rId339"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14:paraId="747232FF" w14:textId="7F76A475" w:rsidR="008112BD" w:rsidRDefault="008112BD" w:rsidP="008112BD">
      <w:pPr>
        <w:pStyle w:val="aDefpara"/>
      </w:pPr>
      <w:r>
        <w:tab/>
        <w:t>(b)</w:t>
      </w:r>
      <w:r>
        <w:tab/>
        <w:t xml:space="preserve">an order of the court under the </w:t>
      </w:r>
      <w:hyperlink r:id="rId340" w:tooltip="A1993-20" w:history="1">
        <w:r w:rsidRPr="00365CD4">
          <w:rPr>
            <w:rStyle w:val="charCitHyperlinkAbbrev"/>
          </w:rPr>
          <w:t>Adoption Act</w:t>
        </w:r>
      </w:hyperlink>
      <w:r>
        <w:t>, section 52 (1) (Discharge) discharging an interim order.</w:t>
      </w:r>
    </w:p>
    <w:p w14:paraId="5C1B4783" w14:textId="058A536B"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1" w:tooltip="A1993-20" w:history="1">
        <w:r w:rsidRPr="00365CD4">
          <w:rPr>
            <w:rStyle w:val="charCitHyperlinkAbbrev"/>
          </w:rPr>
          <w:t>Adoption Act</w:t>
        </w:r>
      </w:hyperlink>
      <w:r>
        <w:t>, section 35 (1) (Dispensing with consent) dispensing with the requirement for consent of a person to the adoption of a child.</w:t>
      </w:r>
    </w:p>
    <w:p w14:paraId="1D935591" w14:textId="1D210CD8"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42" w:tooltip="A1993-20" w:history="1">
        <w:r w:rsidRPr="00365CD4">
          <w:rPr>
            <w:rStyle w:val="charCitHyperlinkAbbrev"/>
          </w:rPr>
          <w:t>Adoption Act</w:t>
        </w:r>
      </w:hyperlink>
      <w:r w:rsidRPr="00DC6DB8">
        <w:t>, section 75 (3) (Application to court in absence of consent) or section 76 (3) (Other person’s right to information).</w:t>
      </w:r>
    </w:p>
    <w:p w14:paraId="38466182" w14:textId="77777777" w:rsidR="008112BD" w:rsidRDefault="008112BD" w:rsidP="008112BD">
      <w:pPr>
        <w:pStyle w:val="AH5Sec"/>
      </w:pPr>
      <w:bookmarkStart w:id="1003" w:name="_Toc185514619"/>
      <w:r w:rsidRPr="00C8328B">
        <w:rPr>
          <w:rStyle w:val="CharSectNo"/>
        </w:rPr>
        <w:lastRenderedPageBreak/>
        <w:t>3151</w:t>
      </w:r>
      <w:r>
        <w:tab/>
        <w:t>Terms used in Adoption Act</w:t>
      </w:r>
      <w:bookmarkEnd w:id="1003"/>
    </w:p>
    <w:p w14:paraId="7F179D27" w14:textId="66AAAEA4" w:rsidR="008112BD" w:rsidRDefault="008112BD" w:rsidP="008112BD">
      <w:pPr>
        <w:pStyle w:val="Amainreturn"/>
        <w:keepNext/>
      </w:pPr>
      <w:r>
        <w:t xml:space="preserve">A term used in the </w:t>
      </w:r>
      <w:hyperlink r:id="rId343" w:tooltip="A1993-20" w:history="1">
        <w:r w:rsidRPr="00365CD4">
          <w:rPr>
            <w:rStyle w:val="charCitHyperlinkAbbrev"/>
          </w:rPr>
          <w:t>Adoption Act</w:t>
        </w:r>
      </w:hyperlink>
      <w:r>
        <w:t xml:space="preserve"> has the same meaning in this part.</w:t>
      </w:r>
    </w:p>
    <w:p w14:paraId="47F4D4B5" w14:textId="78F9D368"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44" w:tooltip="A1993-20" w:history="1">
        <w:r w:rsidRPr="00365CD4">
          <w:rPr>
            <w:rStyle w:val="charCitHyperlinkAbbrev"/>
          </w:rPr>
          <w:t>Adoption Act</w:t>
        </w:r>
      </w:hyperlink>
      <w:r w:rsidRPr="00DC6DB8">
        <w:t>, dictionary:</w:t>
      </w:r>
    </w:p>
    <w:p w14:paraId="1691013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14:paraId="53E77BA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14:paraId="7280BBF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14:paraId="4FB7F94D"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14:paraId="5FE3E18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14:paraId="444EE63C"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14:paraId="21E3538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14:paraId="29074F2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14:paraId="1875975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14:paraId="723ABEB6"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14:paraId="52B3467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14:paraId="42A381A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14:paraId="15B09FA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14:paraId="33E9C34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14:paraId="29F54D11" w14:textId="77777777" w:rsidR="008112BD" w:rsidRDefault="008112BD" w:rsidP="008112BD">
      <w:pPr>
        <w:pStyle w:val="AH5Sec"/>
      </w:pPr>
      <w:bookmarkStart w:id="1004" w:name="_Toc185514620"/>
      <w:r w:rsidRPr="00C8328B">
        <w:rPr>
          <w:rStyle w:val="CharSectNo"/>
        </w:rPr>
        <w:t>3152</w:t>
      </w:r>
      <w:r>
        <w:tab/>
        <w:t>Application—pt 3.2</w:t>
      </w:r>
      <w:bookmarkEnd w:id="1004"/>
    </w:p>
    <w:p w14:paraId="429A4996" w14:textId="0C640416" w:rsidR="008112BD" w:rsidRDefault="008112BD" w:rsidP="008112BD">
      <w:pPr>
        <w:pStyle w:val="Amainreturn"/>
      </w:pPr>
      <w:r>
        <w:t xml:space="preserve">This part applies to a proceeding in the Supreme Court under the </w:t>
      </w:r>
      <w:hyperlink r:id="rId345" w:tooltip="A1993-20" w:history="1">
        <w:r w:rsidRPr="00365CD4">
          <w:rPr>
            <w:rStyle w:val="charCitHyperlinkAbbrev"/>
          </w:rPr>
          <w:t>Adoption Act</w:t>
        </w:r>
      </w:hyperlink>
      <w:r>
        <w:t>.</w:t>
      </w:r>
    </w:p>
    <w:p w14:paraId="3405D31D" w14:textId="77777777" w:rsidR="008112BD" w:rsidRPr="00C8328B" w:rsidRDefault="008112BD" w:rsidP="008112BD">
      <w:pPr>
        <w:pStyle w:val="AH3Div"/>
      </w:pPr>
      <w:bookmarkStart w:id="1005" w:name="_Toc185514621"/>
      <w:r w:rsidRPr="00C8328B">
        <w:rPr>
          <w:rStyle w:val="CharDivNo"/>
        </w:rPr>
        <w:t>Division 3.2.2</w:t>
      </w:r>
      <w:r>
        <w:tab/>
      </w:r>
      <w:r w:rsidRPr="00C8328B">
        <w:rPr>
          <w:rStyle w:val="CharDivText"/>
        </w:rPr>
        <w:t>Adoption orders</w:t>
      </w:r>
      <w:bookmarkEnd w:id="1005"/>
    </w:p>
    <w:p w14:paraId="5E80CE49" w14:textId="77777777" w:rsidR="008112BD" w:rsidRDefault="008112BD" w:rsidP="008112BD">
      <w:pPr>
        <w:pStyle w:val="AH5Sec"/>
      </w:pPr>
      <w:bookmarkStart w:id="1006" w:name="_Toc185514622"/>
      <w:r w:rsidRPr="00C8328B">
        <w:rPr>
          <w:rStyle w:val="CharSectNo"/>
        </w:rPr>
        <w:t>3155</w:t>
      </w:r>
      <w:r>
        <w:tab/>
        <w:t xml:space="preserve">References to </w:t>
      </w:r>
      <w:r w:rsidRPr="00FE0788">
        <w:rPr>
          <w:rStyle w:val="charItals"/>
        </w:rPr>
        <w:t>applicants</w:t>
      </w:r>
      <w:r>
        <w:t>—div 3.2.2</w:t>
      </w:r>
      <w:bookmarkEnd w:id="1006"/>
    </w:p>
    <w:p w14:paraId="0E769CB1" w14:textId="77777777"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14:paraId="7765E16D" w14:textId="77777777" w:rsidR="008112BD" w:rsidRDefault="008112BD" w:rsidP="008112BD">
      <w:pPr>
        <w:pStyle w:val="AH5Sec"/>
      </w:pPr>
      <w:bookmarkStart w:id="1007" w:name="_Toc185514623"/>
      <w:r w:rsidRPr="00C8328B">
        <w:rPr>
          <w:rStyle w:val="CharSectNo"/>
        </w:rPr>
        <w:lastRenderedPageBreak/>
        <w:t>3156</w:t>
      </w:r>
      <w:r>
        <w:tab/>
        <w:t>Adoption order—application</w:t>
      </w:r>
      <w:bookmarkEnd w:id="1007"/>
    </w:p>
    <w:p w14:paraId="1A861C78" w14:textId="77777777" w:rsidR="008112BD" w:rsidRDefault="008112BD" w:rsidP="008112BD">
      <w:pPr>
        <w:pStyle w:val="Amain"/>
      </w:pPr>
      <w:r>
        <w:tab/>
        <w:t>(1)</w:t>
      </w:r>
      <w:r>
        <w:tab/>
        <w:t>An application for an adoption order may be made—</w:t>
      </w:r>
    </w:p>
    <w:p w14:paraId="25FEE377" w14:textId="77777777" w:rsidR="008112BD" w:rsidRDefault="008112BD" w:rsidP="008112BD">
      <w:pPr>
        <w:pStyle w:val="Apara"/>
      </w:pPr>
      <w:r>
        <w:tab/>
        <w:t>(a)</w:t>
      </w:r>
      <w:r>
        <w:tab/>
        <w:t>by the proposed adoptive parent or parents; or</w:t>
      </w:r>
    </w:p>
    <w:p w14:paraId="3E6904BA" w14:textId="0C46529B" w:rsidR="008112BD" w:rsidRDefault="008112BD" w:rsidP="008112BD">
      <w:pPr>
        <w:pStyle w:val="Apara"/>
      </w:pPr>
      <w:r>
        <w:tab/>
        <w:t>(b)</w:t>
      </w:r>
      <w:r>
        <w:tab/>
      </w:r>
      <w:r w:rsidR="007D10CD" w:rsidRPr="00D8116A">
        <w:t>if the order is for the adoption of a child or young person—</w:t>
      </w:r>
      <w:r>
        <w:t>on behalf of the proposed adoptive parent or parents, by—</w:t>
      </w:r>
    </w:p>
    <w:p w14:paraId="5DE72BC2" w14:textId="77777777" w:rsidR="008112BD" w:rsidRPr="002B175D" w:rsidRDefault="008112BD" w:rsidP="008112BD">
      <w:pPr>
        <w:pStyle w:val="Asubpara"/>
      </w:pPr>
      <w:r w:rsidRPr="002B175D">
        <w:tab/>
        <w:t>(i)</w:t>
      </w:r>
      <w:r w:rsidRPr="002B175D">
        <w:tab/>
        <w:t>the CYP director-general; or</w:t>
      </w:r>
    </w:p>
    <w:p w14:paraId="0886A9AA" w14:textId="77777777" w:rsidR="008112BD" w:rsidRDefault="008112BD" w:rsidP="008112BD">
      <w:pPr>
        <w:pStyle w:val="Asubpara"/>
        <w:keepNext/>
      </w:pPr>
      <w:r>
        <w:tab/>
        <w:t>(ii)</w:t>
      </w:r>
      <w:r>
        <w:tab/>
        <w:t>the principal officer of a private adoption agency.</w:t>
      </w:r>
    </w:p>
    <w:p w14:paraId="31279FB9" w14:textId="60C18C0B" w:rsidR="008112BD" w:rsidRDefault="008112BD" w:rsidP="008112BD">
      <w:pPr>
        <w:pStyle w:val="aNote"/>
      </w:pPr>
      <w:r w:rsidRPr="00FE0788">
        <w:rPr>
          <w:rStyle w:val="charItals"/>
        </w:rPr>
        <w:t>Note</w:t>
      </w:r>
      <w:r>
        <w:tab/>
        <w:t xml:space="preserve">See approved form 3.28 (Application for adoption order) </w:t>
      </w:r>
      <w:hyperlink r:id="rId346" w:tooltip="AF2016-44" w:history="1">
        <w:r w:rsidR="00A81E50">
          <w:rPr>
            <w:rStyle w:val="charCitHyperlinkAbbrev"/>
          </w:rPr>
          <w:t>AF2016-44</w:t>
        </w:r>
      </w:hyperlink>
      <w:r>
        <w:t>.</w:t>
      </w:r>
    </w:p>
    <w:p w14:paraId="55DE373C" w14:textId="77777777" w:rsidR="007D10CD" w:rsidRPr="00D8116A" w:rsidRDefault="007D10CD" w:rsidP="007D10CD">
      <w:pPr>
        <w:pStyle w:val="Amain"/>
      </w:pPr>
      <w:r w:rsidRPr="00D8116A">
        <w:tab/>
        <w:t>(2)</w:t>
      </w:r>
      <w:r w:rsidRPr="00D8116A">
        <w:tab/>
        <w:t>The application for an order for the adoption of a child or young person must be—</w:t>
      </w:r>
    </w:p>
    <w:p w14:paraId="75231E4D" w14:textId="77777777" w:rsidR="008112BD" w:rsidRDefault="008112BD" w:rsidP="008112BD">
      <w:pPr>
        <w:pStyle w:val="Apara"/>
      </w:pPr>
      <w:r>
        <w:tab/>
        <w:t>(a)</w:t>
      </w:r>
      <w:r>
        <w:tab/>
        <w:t>supported by an affidavit in accordance with rule 3157; and</w:t>
      </w:r>
    </w:p>
    <w:p w14:paraId="5F4E5B45" w14:textId="77777777" w:rsidR="008112BD" w:rsidRDefault="008112BD" w:rsidP="008112BD">
      <w:pPr>
        <w:pStyle w:val="Apara"/>
      </w:pPr>
      <w:r>
        <w:tab/>
        <w:t>(b)</w:t>
      </w:r>
      <w:r>
        <w:tab/>
        <w:t>accompanied by the documents required under rule 3158.</w:t>
      </w:r>
    </w:p>
    <w:p w14:paraId="15A319A4" w14:textId="77777777" w:rsidR="007D10CD" w:rsidRPr="00D8116A" w:rsidRDefault="007D10CD" w:rsidP="007D10CD">
      <w:pPr>
        <w:pStyle w:val="Amain"/>
      </w:pPr>
      <w:r w:rsidRPr="00D8116A">
        <w:tab/>
        <w:t>(3)</w:t>
      </w:r>
      <w:r w:rsidRPr="00D8116A">
        <w:tab/>
        <w:t>The application for an order for the adoption of a person 18 years old or older must be supported by an affidavit in accordance with rule 3157A.</w:t>
      </w:r>
    </w:p>
    <w:p w14:paraId="6D4E19B6" w14:textId="77777777" w:rsidR="007D10CD" w:rsidRPr="00D8116A" w:rsidRDefault="007D10CD" w:rsidP="007D10CD">
      <w:pPr>
        <w:pStyle w:val="AH5Sec"/>
      </w:pPr>
      <w:bookmarkStart w:id="1008" w:name="_Toc185514624"/>
      <w:r w:rsidRPr="00337257">
        <w:rPr>
          <w:rStyle w:val="CharSectNo"/>
        </w:rPr>
        <w:t>3157</w:t>
      </w:r>
      <w:r w:rsidRPr="00D8116A">
        <w:tab/>
        <w:t>Adoption order—supporting affidavit for application for adoption of child or young person</w:t>
      </w:r>
      <w:bookmarkEnd w:id="1008"/>
    </w:p>
    <w:p w14:paraId="41961875" w14:textId="77777777" w:rsidR="007D10CD" w:rsidRPr="00D8116A" w:rsidRDefault="007D10CD" w:rsidP="007D10CD">
      <w:pPr>
        <w:pStyle w:val="Amain"/>
      </w:pPr>
      <w:r w:rsidRPr="00D8116A">
        <w:tab/>
        <w:t>(1)</w:t>
      </w:r>
      <w:r w:rsidRPr="00D8116A">
        <w:tab/>
        <w:t>An affidavit supporting an application for an adoption order for the adoption of a child or young person must be made by—</w:t>
      </w:r>
    </w:p>
    <w:p w14:paraId="73442BE8" w14:textId="77777777" w:rsidR="008112BD" w:rsidRDefault="008112BD" w:rsidP="008112BD">
      <w:pPr>
        <w:pStyle w:val="Apara"/>
      </w:pPr>
      <w:r>
        <w:tab/>
        <w:t>(a)</w:t>
      </w:r>
      <w:r>
        <w:tab/>
        <w:t>the applicant; or</w:t>
      </w:r>
    </w:p>
    <w:p w14:paraId="19554690" w14:textId="77777777" w:rsidR="008112BD" w:rsidRDefault="008112BD" w:rsidP="008112BD">
      <w:pPr>
        <w:pStyle w:val="Apara"/>
      </w:pPr>
      <w:r>
        <w:tab/>
        <w:t>(b)</w:t>
      </w:r>
      <w:r>
        <w:tab/>
        <w:t>for a joint application—each applicant jointly.</w:t>
      </w:r>
    </w:p>
    <w:p w14:paraId="7780CFB6" w14:textId="77777777" w:rsidR="008112BD" w:rsidRDefault="008112BD" w:rsidP="008112BD">
      <w:pPr>
        <w:pStyle w:val="Amain"/>
        <w:keepNext/>
      </w:pPr>
      <w:r>
        <w:tab/>
        <w:t>(2)</w:t>
      </w:r>
      <w:r>
        <w:tab/>
        <w:t>The affidavit must include a statement of the following:</w:t>
      </w:r>
    </w:p>
    <w:p w14:paraId="23AD6B4F" w14:textId="77777777" w:rsidR="008112BD" w:rsidRDefault="008112BD" w:rsidP="008112BD">
      <w:pPr>
        <w:pStyle w:val="Apara"/>
        <w:keepNext/>
      </w:pPr>
      <w:r>
        <w:tab/>
        <w:t>(a)</w:t>
      </w:r>
      <w:r>
        <w:tab/>
        <w:t>the following particulars about the applicant:</w:t>
      </w:r>
    </w:p>
    <w:p w14:paraId="4EFA88A5" w14:textId="77777777" w:rsidR="008112BD" w:rsidRDefault="008112BD" w:rsidP="008112BD">
      <w:pPr>
        <w:pStyle w:val="Asubpara"/>
      </w:pPr>
      <w:r>
        <w:tab/>
        <w:t>(i)</w:t>
      </w:r>
      <w:r>
        <w:tab/>
        <w:t>full name;</w:t>
      </w:r>
    </w:p>
    <w:p w14:paraId="7C58FEB3" w14:textId="77777777" w:rsidR="008112BD" w:rsidRDefault="008112BD" w:rsidP="008112BD">
      <w:pPr>
        <w:pStyle w:val="Asubpara"/>
      </w:pPr>
      <w:r>
        <w:tab/>
        <w:t>(ii)</w:t>
      </w:r>
      <w:r>
        <w:tab/>
        <w:t>usual place of residence;</w:t>
      </w:r>
    </w:p>
    <w:p w14:paraId="7D301448" w14:textId="77777777" w:rsidR="008112BD" w:rsidRDefault="008112BD" w:rsidP="008112BD">
      <w:pPr>
        <w:pStyle w:val="Asubpara"/>
      </w:pPr>
      <w:r>
        <w:lastRenderedPageBreak/>
        <w:tab/>
        <w:t>(iii)</w:t>
      </w:r>
      <w:r>
        <w:tab/>
        <w:t>occupation;</w:t>
      </w:r>
    </w:p>
    <w:p w14:paraId="388706B7" w14:textId="77777777" w:rsidR="008112BD" w:rsidRDefault="008112BD" w:rsidP="008112BD">
      <w:pPr>
        <w:pStyle w:val="Asubpara"/>
      </w:pPr>
      <w:r>
        <w:tab/>
        <w:t>(iv)</w:t>
      </w:r>
      <w:r>
        <w:tab/>
        <w:t>domicile;</w:t>
      </w:r>
    </w:p>
    <w:p w14:paraId="2F197E5C" w14:textId="77777777" w:rsidR="008112BD" w:rsidRDefault="008112BD" w:rsidP="008112BD">
      <w:pPr>
        <w:pStyle w:val="Asubpara"/>
      </w:pPr>
      <w:r>
        <w:tab/>
        <w:t>(v)</w:t>
      </w:r>
      <w:r>
        <w:tab/>
        <w:t>date and place of birth;</w:t>
      </w:r>
    </w:p>
    <w:p w14:paraId="00116E23" w14:textId="77777777" w:rsidR="008112BD" w:rsidRDefault="008112BD" w:rsidP="008112BD">
      <w:pPr>
        <w:pStyle w:val="Asubpara"/>
      </w:pPr>
      <w:r>
        <w:tab/>
        <w:t>(vi)</w:t>
      </w:r>
      <w:r>
        <w:tab/>
        <w:t>state of health;</w:t>
      </w:r>
    </w:p>
    <w:p w14:paraId="37BAD89B" w14:textId="77777777" w:rsidR="008112BD" w:rsidRDefault="008112BD" w:rsidP="008112BD">
      <w:pPr>
        <w:pStyle w:val="Asubpara"/>
      </w:pPr>
      <w:r>
        <w:tab/>
        <w:t>(vii)</w:t>
      </w:r>
      <w:r>
        <w:tab/>
        <w:t xml:space="preserve">financial circumstances; </w:t>
      </w:r>
    </w:p>
    <w:p w14:paraId="16148C60" w14:textId="77777777" w:rsidR="008112BD" w:rsidRDefault="008112BD" w:rsidP="008112BD">
      <w:pPr>
        <w:pStyle w:val="Apara"/>
      </w:pPr>
      <w:r>
        <w:tab/>
        <w:t>(b)</w:t>
      </w:r>
      <w:r>
        <w:tab/>
        <w:t>for a joint application—</w:t>
      </w:r>
    </w:p>
    <w:p w14:paraId="2D5A0CBA" w14:textId="77777777" w:rsidR="008112BD" w:rsidRDefault="008112BD" w:rsidP="008112BD">
      <w:pPr>
        <w:pStyle w:val="Asubpara"/>
      </w:pPr>
      <w:r>
        <w:tab/>
        <w:t>(i)</w:t>
      </w:r>
      <w:r>
        <w:tab/>
        <w:t>the length of the applicants’ relationship; and</w:t>
      </w:r>
    </w:p>
    <w:p w14:paraId="72A70AD7" w14:textId="77777777" w:rsidR="008112BD" w:rsidRDefault="008112BD" w:rsidP="008112BD">
      <w:pPr>
        <w:pStyle w:val="Asubpara"/>
      </w:pPr>
      <w:r>
        <w:tab/>
        <w:t>(ii)</w:t>
      </w:r>
      <w:r>
        <w:tab/>
        <w:t xml:space="preserve">the stability of the relationship and the applicant’s commitment to the relationship; </w:t>
      </w:r>
    </w:p>
    <w:p w14:paraId="0D57E10E" w14:textId="77777777" w:rsidR="008112BD" w:rsidRDefault="008112BD" w:rsidP="008112BD">
      <w:pPr>
        <w:pStyle w:val="Apara"/>
        <w:keepNext/>
      </w:pPr>
      <w:r>
        <w:tab/>
        <w:t>(c)</w:t>
      </w:r>
      <w:r>
        <w:tab/>
        <w:t>the following information about the applicant’s children (if any), whether birth children or adopted children:</w:t>
      </w:r>
    </w:p>
    <w:p w14:paraId="7F618ECE" w14:textId="77777777" w:rsidR="008112BD" w:rsidRDefault="008112BD" w:rsidP="008112BD">
      <w:pPr>
        <w:pStyle w:val="Asubpara"/>
      </w:pPr>
      <w:r>
        <w:tab/>
        <w:t>(i)</w:t>
      </w:r>
      <w:r>
        <w:tab/>
        <w:t>sex and date of birth;</w:t>
      </w:r>
    </w:p>
    <w:p w14:paraId="5CB061EE" w14:textId="77777777" w:rsidR="008112BD" w:rsidRDefault="008112BD" w:rsidP="008112BD">
      <w:pPr>
        <w:pStyle w:val="Asubpara"/>
      </w:pPr>
      <w:r>
        <w:tab/>
        <w:t>(ii)</w:t>
      </w:r>
      <w:r>
        <w:tab/>
        <w:t>the state of health of any living child;</w:t>
      </w:r>
    </w:p>
    <w:p w14:paraId="75A9D348" w14:textId="77777777" w:rsidR="008112BD" w:rsidRDefault="008112BD" w:rsidP="008112BD">
      <w:pPr>
        <w:pStyle w:val="Asubpara"/>
      </w:pPr>
      <w:r>
        <w:tab/>
        <w:t>(iii)</w:t>
      </w:r>
      <w:r>
        <w:tab/>
        <w:t xml:space="preserve">if any child has died—the date of death; </w:t>
      </w:r>
    </w:p>
    <w:p w14:paraId="0F1B599C" w14:textId="77777777" w:rsidR="008112BD" w:rsidRDefault="008112BD" w:rsidP="008112BD">
      <w:pPr>
        <w:pStyle w:val="Apara"/>
      </w:pPr>
      <w:r>
        <w:tab/>
        <w:t>(d)</w:t>
      </w:r>
      <w:r>
        <w:tab/>
        <w:t xml:space="preserve">the likelihood of any children being born to the applicant in the future; </w:t>
      </w:r>
    </w:p>
    <w:p w14:paraId="2749713E" w14:textId="77777777"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14:paraId="478A1A82" w14:textId="77777777"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14:paraId="1827D5E7" w14:textId="77777777"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14:paraId="4B45CF3E" w14:textId="77777777"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14:paraId="502C4C92" w14:textId="77777777" w:rsidR="008112BD" w:rsidRDefault="008112BD" w:rsidP="008112BD">
      <w:pPr>
        <w:pStyle w:val="Apara"/>
      </w:pPr>
      <w:r>
        <w:tab/>
        <w:t>(i)</w:t>
      </w:r>
      <w:r>
        <w:tab/>
        <w:t xml:space="preserve">whether the applicant has ever been refused an adoption order; </w:t>
      </w:r>
    </w:p>
    <w:p w14:paraId="4E826F14" w14:textId="77777777" w:rsidR="008112BD" w:rsidRDefault="008112BD" w:rsidP="008112BD">
      <w:pPr>
        <w:pStyle w:val="Apara"/>
      </w:pPr>
      <w:r>
        <w:lastRenderedPageBreak/>
        <w:tab/>
        <w:t>(j)</w:t>
      </w:r>
      <w:r>
        <w:tab/>
        <w:t xml:space="preserve">whether an adoption order or interim order in the applicant’s favour has been discharged; </w:t>
      </w:r>
    </w:p>
    <w:p w14:paraId="7CEC3DA2" w14:textId="69F68BDF" w:rsidR="008112BD" w:rsidRPr="00DC6DB8" w:rsidRDefault="008112BD" w:rsidP="008112BD">
      <w:pPr>
        <w:pStyle w:val="Apara"/>
        <w:keepLines/>
      </w:pPr>
      <w:r w:rsidRPr="00DC6DB8">
        <w:tab/>
        <w:t>(k)</w:t>
      </w:r>
      <w:r w:rsidRPr="00DC6DB8">
        <w:tab/>
        <w:t xml:space="preserve">if the child or young person to be adopted is habitually resident in the ACT—that fact, together with a statement about the matters mentioned in the </w:t>
      </w:r>
      <w:hyperlink r:id="rId347" w:tooltip="A1993-20" w:history="1">
        <w:r w:rsidRPr="00365CD4">
          <w:rPr>
            <w:rStyle w:val="charCitHyperlinkAbbrev"/>
          </w:rPr>
          <w:t>Adoption Act</w:t>
        </w:r>
      </w:hyperlink>
      <w:r w:rsidRPr="00DC6DB8">
        <w:t>, section 57 (3) (Adoption in ACT of ACT child or young person by parents from Convention country);</w:t>
      </w:r>
    </w:p>
    <w:p w14:paraId="0E057B39" w14:textId="4AE39334"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48"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14:paraId="0354E77E" w14:textId="00CE043F"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49" w:tooltip="A1993-20" w:history="1">
        <w:r w:rsidRPr="00365CD4">
          <w:rPr>
            <w:rStyle w:val="charCitHyperlinkAbbrev"/>
          </w:rPr>
          <w:t>Adoption Act</w:t>
        </w:r>
      </w:hyperlink>
      <w:r w:rsidRPr="00DC6DB8">
        <w:t>, section 57J (2) (Adoption in ACT of child or young person from prescribed overseas jurisdiction by ACT parents);</w:t>
      </w:r>
    </w:p>
    <w:p w14:paraId="6B417F93" w14:textId="70AC0B0B"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0" w:tooltip="A1993-20" w:history="1">
        <w:r w:rsidRPr="00365CD4">
          <w:rPr>
            <w:rStyle w:val="charCitHyperlinkAbbrev"/>
          </w:rPr>
          <w:t>Adoption Act</w:t>
        </w:r>
      </w:hyperlink>
      <w:r>
        <w:t>, section 39G (2)</w:t>
      </w:r>
      <w:r w:rsidRPr="00DC6DB8">
        <w:t xml:space="preserve"> (Aboriginal or Torres Strait Islander child or young person);</w:t>
      </w:r>
    </w:p>
    <w:p w14:paraId="4AC80A16" w14:textId="4BA8EE00" w:rsidR="008112BD" w:rsidRPr="00DC6DB8" w:rsidRDefault="008112BD" w:rsidP="008112BD">
      <w:pPr>
        <w:pStyle w:val="Apara"/>
      </w:pPr>
      <w:r w:rsidRPr="00DC6DB8">
        <w:tab/>
        <w:t>(o)</w:t>
      </w:r>
      <w:r w:rsidRPr="00DC6DB8">
        <w:tab/>
        <w:t xml:space="preserve">a statement about the matters mentioned in a provision in the </w:t>
      </w:r>
      <w:hyperlink r:id="rId351"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14:paraId="7737DD1C" w14:textId="06FF6CF2" w:rsidR="008112BD" w:rsidRPr="00DC6DB8" w:rsidRDefault="008112BD" w:rsidP="008112BD">
      <w:pPr>
        <w:pStyle w:val="Apara"/>
      </w:pPr>
      <w:r w:rsidRPr="00DC6DB8">
        <w:tab/>
        <w:t>(p)</w:t>
      </w:r>
      <w:r w:rsidRPr="00DC6DB8">
        <w:tab/>
        <w:t xml:space="preserve">any conditions under the </w:t>
      </w:r>
      <w:hyperlink r:id="rId352" w:tooltip="A1993-20" w:history="1">
        <w:r w:rsidRPr="00365CD4">
          <w:rPr>
            <w:rStyle w:val="charCitHyperlinkAbbrev"/>
          </w:rPr>
          <w:t>Adoption Act</w:t>
        </w:r>
      </w:hyperlink>
      <w:r w:rsidRPr="00DC6DB8">
        <w:t>, section 40 (Adoption order subject to certain conditions) sought by anyone in relation to the adoption.</w:t>
      </w:r>
    </w:p>
    <w:p w14:paraId="352A6353" w14:textId="77777777"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14:paraId="490A7AC2" w14:textId="77777777" w:rsidR="007D10CD" w:rsidRPr="00D8116A" w:rsidRDefault="007D10CD" w:rsidP="007D10CD">
      <w:pPr>
        <w:pStyle w:val="AH5Sec"/>
      </w:pPr>
      <w:bookmarkStart w:id="1009" w:name="_Toc185514625"/>
      <w:r w:rsidRPr="00337257">
        <w:rPr>
          <w:rStyle w:val="CharSectNo"/>
        </w:rPr>
        <w:lastRenderedPageBreak/>
        <w:t>3157A</w:t>
      </w:r>
      <w:r w:rsidRPr="00D8116A">
        <w:tab/>
        <w:t xml:space="preserve">Adoption order—supporting affidavit for application </w:t>
      </w:r>
      <w:r w:rsidRPr="00D8116A">
        <w:rPr>
          <w:lang w:eastAsia="en-AU"/>
        </w:rPr>
        <w:t>for adoption of person 18 years old or older</w:t>
      </w:r>
      <w:bookmarkEnd w:id="1009"/>
    </w:p>
    <w:p w14:paraId="32144A28" w14:textId="77777777" w:rsidR="007D10CD" w:rsidRPr="00D8116A" w:rsidRDefault="007D10CD" w:rsidP="007D10CD">
      <w:pPr>
        <w:pStyle w:val="Amain"/>
      </w:pPr>
      <w:r w:rsidRPr="00D8116A">
        <w:tab/>
        <w:t>(1)</w:t>
      </w:r>
      <w:r w:rsidRPr="00D8116A">
        <w:tab/>
        <w:t>An affidavit supporting an application for an adoption order for the adoption of a person 18 years old or older must be made by—</w:t>
      </w:r>
    </w:p>
    <w:p w14:paraId="4F6DA6AA" w14:textId="77777777" w:rsidR="007D10CD" w:rsidRPr="00D8116A" w:rsidRDefault="007D10CD" w:rsidP="007D10CD">
      <w:pPr>
        <w:pStyle w:val="Apara"/>
      </w:pPr>
      <w:r w:rsidRPr="00D8116A">
        <w:tab/>
        <w:t>(a)</w:t>
      </w:r>
      <w:r w:rsidRPr="00D8116A">
        <w:tab/>
        <w:t>the applicant; or</w:t>
      </w:r>
    </w:p>
    <w:p w14:paraId="3C9FA232" w14:textId="77777777" w:rsidR="007D10CD" w:rsidRPr="00D8116A" w:rsidRDefault="007D10CD" w:rsidP="007D10CD">
      <w:pPr>
        <w:pStyle w:val="Apara"/>
      </w:pPr>
      <w:r w:rsidRPr="00D8116A">
        <w:tab/>
        <w:t>(b)</w:t>
      </w:r>
      <w:r w:rsidRPr="00D8116A">
        <w:tab/>
        <w:t>for a joint application—each applicant jointly.</w:t>
      </w:r>
    </w:p>
    <w:p w14:paraId="531E3B38" w14:textId="77777777" w:rsidR="007D10CD" w:rsidRPr="00D8116A" w:rsidRDefault="007D10CD" w:rsidP="007D10CD">
      <w:pPr>
        <w:pStyle w:val="Amain"/>
      </w:pPr>
      <w:r w:rsidRPr="00D8116A">
        <w:tab/>
        <w:t>(2)</w:t>
      </w:r>
      <w:r w:rsidRPr="00D8116A">
        <w:tab/>
        <w:t>The affidavit must include a statement of the following:</w:t>
      </w:r>
    </w:p>
    <w:p w14:paraId="49D2B221" w14:textId="77777777" w:rsidR="007D10CD" w:rsidRPr="00D8116A" w:rsidRDefault="007D10CD" w:rsidP="007D10CD">
      <w:pPr>
        <w:pStyle w:val="Apara"/>
      </w:pPr>
      <w:r w:rsidRPr="00D8116A">
        <w:tab/>
        <w:t>(a)</w:t>
      </w:r>
      <w:r w:rsidRPr="00D8116A">
        <w:tab/>
        <w:t>the age of the person to be adopted;</w:t>
      </w:r>
    </w:p>
    <w:p w14:paraId="33086D36" w14:textId="683B9974" w:rsidR="007D10CD" w:rsidRPr="00D8116A" w:rsidRDefault="007D10CD" w:rsidP="007D10CD">
      <w:pPr>
        <w:pStyle w:val="Apara"/>
      </w:pPr>
      <w:r w:rsidRPr="00D8116A">
        <w:tab/>
        <w:t>(b)</w:t>
      </w:r>
      <w:r w:rsidRPr="00D8116A">
        <w:tab/>
        <w:t xml:space="preserve">whether consent in accordance with the requirements of the </w:t>
      </w:r>
      <w:hyperlink r:id="rId353" w:tooltip="A1993-20" w:history="1">
        <w:r w:rsidRPr="002F0925">
          <w:rPr>
            <w:rStyle w:val="charCitHyperlinkAbbrev"/>
          </w:rPr>
          <w:t>Adoption Act</w:t>
        </w:r>
      </w:hyperlink>
      <w:r w:rsidRPr="00D8116A">
        <w:t xml:space="preserve"> has been given;</w:t>
      </w:r>
    </w:p>
    <w:p w14:paraId="6552868F" w14:textId="77777777" w:rsidR="007D10CD" w:rsidRPr="00D8116A" w:rsidRDefault="007D10CD" w:rsidP="007D10CD">
      <w:pPr>
        <w:pStyle w:val="Apara"/>
      </w:pPr>
      <w:r w:rsidRPr="00D8116A">
        <w:tab/>
        <w:t>(c)</w:t>
      </w:r>
      <w:r w:rsidRPr="00D8116A">
        <w:tab/>
        <w:t>the nature of the relationship between the applicant and the person to be adopted;</w:t>
      </w:r>
    </w:p>
    <w:p w14:paraId="2A0102E7" w14:textId="77777777" w:rsidR="007D10CD" w:rsidRPr="00D8116A" w:rsidRDefault="007D10CD" w:rsidP="007D10CD">
      <w:pPr>
        <w:pStyle w:val="Apara"/>
      </w:pPr>
      <w:r w:rsidRPr="00D8116A">
        <w:tab/>
        <w:t>(d)</w:t>
      </w:r>
      <w:r w:rsidRPr="00D8116A">
        <w:tab/>
        <w:t>the nature of any physical, emotional, intellectual and educational care and support the person to be adopted has received from the applicant;</w:t>
      </w:r>
    </w:p>
    <w:p w14:paraId="03D9216D" w14:textId="77777777" w:rsidR="007D10CD" w:rsidRPr="00D8116A" w:rsidRDefault="007D10CD" w:rsidP="007D10CD">
      <w:pPr>
        <w:pStyle w:val="Apara"/>
      </w:pPr>
      <w:r w:rsidRPr="00D8116A">
        <w:tab/>
        <w:t>(e)</w:t>
      </w:r>
      <w:r w:rsidRPr="00D8116A">
        <w:tab/>
        <w:t>the ordinary residence of the applicant and the person to be adopted;</w:t>
      </w:r>
    </w:p>
    <w:p w14:paraId="3BE40D58" w14:textId="77777777" w:rsidR="007D10CD" w:rsidRPr="00D8116A" w:rsidRDefault="007D10CD" w:rsidP="007D10CD">
      <w:pPr>
        <w:pStyle w:val="Apara"/>
      </w:pPr>
      <w:r w:rsidRPr="00D8116A">
        <w:tab/>
        <w:t>(f)</w:t>
      </w:r>
      <w:r w:rsidRPr="00D8116A">
        <w:tab/>
        <w:t>the applicant’s good reputation.</w:t>
      </w:r>
    </w:p>
    <w:p w14:paraId="36E0AC08" w14:textId="77777777" w:rsidR="007D10CD" w:rsidRPr="00D8116A" w:rsidRDefault="007D10CD" w:rsidP="007D10CD">
      <w:pPr>
        <w:pStyle w:val="Amain"/>
      </w:pPr>
      <w:r w:rsidRPr="00D8116A">
        <w:tab/>
        <w:t>(3)</w:t>
      </w:r>
      <w:r w:rsidRPr="00D8116A">
        <w:tab/>
        <w:t>If the affidavit is made by 2 people jointly, a reference in subrule (2) to the applicant is a reference to each of them.</w:t>
      </w:r>
    </w:p>
    <w:p w14:paraId="36312D36" w14:textId="77777777" w:rsidR="008112BD" w:rsidRDefault="008112BD" w:rsidP="008112BD">
      <w:pPr>
        <w:pStyle w:val="AH5Sec"/>
      </w:pPr>
      <w:bookmarkStart w:id="1010" w:name="_Toc185514626"/>
      <w:r w:rsidRPr="00C8328B">
        <w:rPr>
          <w:rStyle w:val="CharSectNo"/>
        </w:rPr>
        <w:t>3158</w:t>
      </w:r>
      <w:r>
        <w:tab/>
        <w:t>Adoption order—documents accompanying application</w:t>
      </w:r>
      <w:bookmarkEnd w:id="1010"/>
    </w:p>
    <w:p w14:paraId="17A04417" w14:textId="37801ADA" w:rsidR="008112BD" w:rsidRDefault="008112BD" w:rsidP="008112BD">
      <w:pPr>
        <w:pStyle w:val="Amain"/>
        <w:keepNext/>
      </w:pPr>
      <w:r>
        <w:tab/>
        <w:t>(1)</w:t>
      </w:r>
      <w:r>
        <w:tab/>
        <w:t>The following documents must accompany an application for an adoption order</w:t>
      </w:r>
      <w:r w:rsidR="007D10CD">
        <w:t xml:space="preserve"> </w:t>
      </w:r>
      <w:r w:rsidR="007D10CD" w:rsidRPr="00D8116A">
        <w:t>for the adoption of a child or young person</w:t>
      </w:r>
      <w:r>
        <w:t>:</w:t>
      </w:r>
    </w:p>
    <w:p w14:paraId="7A60E72A" w14:textId="77777777" w:rsidR="008112BD" w:rsidRDefault="008112BD" w:rsidP="008112BD">
      <w:pPr>
        <w:pStyle w:val="Apara"/>
      </w:pPr>
      <w:r>
        <w:tab/>
        <w:t>(a)</w:t>
      </w:r>
      <w:r>
        <w:tab/>
        <w:t>any instrument of consent to the adoption, together with an affidavit verifying the making of the instrument;</w:t>
      </w:r>
    </w:p>
    <w:p w14:paraId="04EF39EA" w14:textId="191DA3A8" w:rsidR="007D10CD" w:rsidRPr="00D8116A" w:rsidRDefault="007D10CD" w:rsidP="007D10CD">
      <w:pPr>
        <w:pStyle w:val="aNotepar"/>
      </w:pPr>
      <w:r w:rsidRPr="00D8116A">
        <w:rPr>
          <w:rStyle w:val="charItals"/>
        </w:rPr>
        <w:t>Note</w:t>
      </w:r>
      <w:r w:rsidRPr="00D8116A">
        <w:rPr>
          <w:rStyle w:val="charItals"/>
        </w:rPr>
        <w:tab/>
      </w:r>
      <w:r w:rsidRPr="00D8116A">
        <w:t xml:space="preserve">See the </w:t>
      </w:r>
      <w:hyperlink r:id="rId354" w:tooltip="A1993-20" w:history="1">
        <w:r w:rsidRPr="002F0925">
          <w:rPr>
            <w:rStyle w:val="charCitHyperlinkAbbrev"/>
          </w:rPr>
          <w:t>Adoption Act</w:t>
        </w:r>
      </w:hyperlink>
      <w:r w:rsidRPr="00D8116A">
        <w:t xml:space="preserve">, s 30 and the </w:t>
      </w:r>
      <w:hyperlink r:id="rId355" w:tooltip="A2001-14" w:history="1">
        <w:r w:rsidRPr="00D8116A">
          <w:rPr>
            <w:rStyle w:val="charCitHyperlinkAbbrev"/>
          </w:rPr>
          <w:t>Legislation Act</w:t>
        </w:r>
      </w:hyperlink>
      <w:r w:rsidRPr="00D8116A">
        <w:t>, s 14 for requirements in relation to an instrument of consent to an adoption.</w:t>
      </w:r>
    </w:p>
    <w:p w14:paraId="72913B07" w14:textId="77777777" w:rsidR="008112BD" w:rsidRDefault="008112BD" w:rsidP="008112BD">
      <w:pPr>
        <w:pStyle w:val="Apara"/>
      </w:pPr>
      <w:r>
        <w:lastRenderedPageBreak/>
        <w:tab/>
        <w:t>(b)</w:t>
      </w:r>
      <w:r>
        <w:tab/>
        <w:t>any dispensing order in relation to the application;</w:t>
      </w:r>
    </w:p>
    <w:p w14:paraId="489276A6" w14:textId="77777777" w:rsidR="008112BD" w:rsidRDefault="008112BD" w:rsidP="008112BD">
      <w:pPr>
        <w:pStyle w:val="Apara"/>
      </w:pPr>
      <w:r>
        <w:tab/>
        <w:t>(c)</w:t>
      </w:r>
      <w:r>
        <w:tab/>
        <w:t xml:space="preserve">the child’s </w:t>
      </w:r>
      <w:r w:rsidRPr="00DC6DB8">
        <w:t>or young person’s</w:t>
      </w:r>
      <w:r>
        <w:t xml:space="preserve"> birth certificate, together with—</w:t>
      </w:r>
    </w:p>
    <w:p w14:paraId="35DEA8EE" w14:textId="77777777"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14:paraId="3A037825" w14:textId="77777777"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14:paraId="3224FA6F" w14:textId="77777777"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14:paraId="4FA849BE" w14:textId="77777777"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14:paraId="0621DA90" w14:textId="511D011A" w:rsidR="008112BD" w:rsidRPr="00BB65FC" w:rsidRDefault="008112BD" w:rsidP="008112BD">
      <w:pPr>
        <w:pStyle w:val="Apara"/>
      </w:pPr>
      <w:r w:rsidRPr="00BB65FC">
        <w:tab/>
        <w:t>(f)</w:t>
      </w:r>
      <w:r w:rsidRPr="00BB65FC">
        <w:tab/>
        <w:t xml:space="preserve">if any conditions under the </w:t>
      </w:r>
      <w:hyperlink r:id="rId356"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14:paraId="5BCA864D" w14:textId="77777777" w:rsidR="008112BD" w:rsidRDefault="008112BD" w:rsidP="008112BD">
      <w:pPr>
        <w:pStyle w:val="Amain"/>
      </w:pPr>
      <w:r>
        <w:tab/>
        <w:t>(2)</w:t>
      </w:r>
      <w:r>
        <w:tab/>
        <w:t>Any other document relevant to a matter stated in the affidavit supporting the application may be filed with the application.</w:t>
      </w:r>
    </w:p>
    <w:p w14:paraId="038F1676" w14:textId="77777777" w:rsidR="008112BD" w:rsidRDefault="008112BD" w:rsidP="00102E19">
      <w:pPr>
        <w:pStyle w:val="Amain"/>
        <w:keepNext/>
      </w:pPr>
      <w:r>
        <w:tab/>
        <w:t>(3)</w:t>
      </w:r>
      <w:r>
        <w:tab/>
        <w:t xml:space="preserve">If it is impracticable to obtain a birth certificate of the child </w:t>
      </w:r>
      <w:r w:rsidRPr="00DC6DB8">
        <w:t>or young person</w:t>
      </w:r>
      <w:r>
        <w:t xml:space="preserve"> to be adopted, the applicant or applicants must state why—</w:t>
      </w:r>
    </w:p>
    <w:p w14:paraId="235D6238" w14:textId="77777777" w:rsidR="008112BD" w:rsidRDefault="008112BD" w:rsidP="008112BD">
      <w:pPr>
        <w:pStyle w:val="Apara"/>
      </w:pPr>
      <w:r>
        <w:tab/>
        <w:t>(a)</w:t>
      </w:r>
      <w:r>
        <w:tab/>
        <w:t>in the affidavit supporting the application; or</w:t>
      </w:r>
    </w:p>
    <w:p w14:paraId="508DBE68" w14:textId="43AB3DF8" w:rsidR="008112BD" w:rsidRDefault="008112BD" w:rsidP="008112BD">
      <w:pPr>
        <w:pStyle w:val="Apara"/>
      </w:pPr>
      <w:r>
        <w:tab/>
        <w:t>(b)</w:t>
      </w:r>
      <w:r>
        <w:tab/>
        <w:t xml:space="preserve">if the applicant is the CYP director-general or the principal officer of a private adoption agency—in the report under the </w:t>
      </w:r>
      <w:hyperlink r:id="rId357" w:tooltip="A1993-20" w:history="1">
        <w:r w:rsidRPr="00365CD4">
          <w:rPr>
            <w:rStyle w:val="charCitHyperlinkAbbrev"/>
          </w:rPr>
          <w:t>Adoption Act</w:t>
        </w:r>
      </w:hyperlink>
      <w:r>
        <w:t xml:space="preserve">, </w:t>
      </w:r>
      <w:r w:rsidRPr="00DC6DB8">
        <w:t>section 39D (1) (Report on proposed adoption)</w:t>
      </w:r>
      <w:r>
        <w:t>.</w:t>
      </w:r>
    </w:p>
    <w:p w14:paraId="68CE813B" w14:textId="77777777" w:rsidR="008112BD" w:rsidRDefault="008112BD" w:rsidP="00754410">
      <w:pPr>
        <w:pStyle w:val="Amain"/>
        <w:keepLines/>
      </w:pPr>
      <w:r>
        <w:lastRenderedPageBreak/>
        <w:tab/>
        <w:t>(4)</w:t>
      </w:r>
      <w:r>
        <w:tab/>
        <w:t>If a document filed under this rule is not in English, the applicant or applicants must file with the document a written English translation of the document certified, in writing, by a notary public or proved by affidavit.</w:t>
      </w:r>
    </w:p>
    <w:p w14:paraId="5540B263" w14:textId="77777777" w:rsidR="008112BD" w:rsidRDefault="008112BD" w:rsidP="008112BD">
      <w:pPr>
        <w:pStyle w:val="Amain"/>
        <w:keepNext/>
      </w:pPr>
      <w:r>
        <w:tab/>
        <w:t>(5)</w:t>
      </w:r>
      <w:r>
        <w:tab/>
        <w:t>In this rule:</w:t>
      </w:r>
    </w:p>
    <w:p w14:paraId="2E0866C5" w14:textId="77777777"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14:paraId="135B4F23" w14:textId="77777777" w:rsidR="008112BD" w:rsidRDefault="008112BD" w:rsidP="008112BD">
      <w:pPr>
        <w:pStyle w:val="aDefpara"/>
      </w:pPr>
      <w:r>
        <w:tab/>
        <w:t>(a)</w:t>
      </w:r>
      <w:r>
        <w:tab/>
        <w:t xml:space="preserve">the official certificate of birth of the child </w:t>
      </w:r>
      <w:r w:rsidRPr="00DC6DB8">
        <w:t>or young person</w:t>
      </w:r>
      <w:r>
        <w:t>; or</w:t>
      </w:r>
    </w:p>
    <w:p w14:paraId="30F7B4B4" w14:textId="77777777" w:rsidR="008112BD" w:rsidRDefault="008112BD" w:rsidP="008112BD">
      <w:pPr>
        <w:pStyle w:val="aDefpara"/>
      </w:pPr>
      <w:r>
        <w:tab/>
        <w:t>(b)</w:t>
      </w:r>
      <w:r>
        <w:tab/>
        <w:t xml:space="preserve">any other written record of the birth of the child </w:t>
      </w:r>
      <w:r w:rsidRPr="00DC6DB8">
        <w:t>or young person</w:t>
      </w:r>
      <w:r>
        <w:t>.</w:t>
      </w:r>
    </w:p>
    <w:p w14:paraId="29DC1FB4" w14:textId="77777777" w:rsidR="008112BD" w:rsidRDefault="008112BD" w:rsidP="008112BD">
      <w:pPr>
        <w:pStyle w:val="aDef"/>
        <w:keepNext/>
      </w:pPr>
      <w:r w:rsidRPr="00FE0788">
        <w:rPr>
          <w:rStyle w:val="charBoldItals"/>
        </w:rPr>
        <w:t>document</w:t>
      </w:r>
      <w:r>
        <w:rPr>
          <w:b/>
          <w:bCs/>
        </w:rPr>
        <w:t xml:space="preserve"> </w:t>
      </w:r>
      <w:r>
        <w:t>includes—</w:t>
      </w:r>
    </w:p>
    <w:p w14:paraId="7CB90CB6" w14:textId="77777777" w:rsidR="008112BD" w:rsidRDefault="008112BD" w:rsidP="008112BD">
      <w:pPr>
        <w:pStyle w:val="aDefpara"/>
      </w:pPr>
      <w:r>
        <w:tab/>
        <w:t>(a)</w:t>
      </w:r>
      <w:r>
        <w:tab/>
        <w:t>a copy of an original document verified as a true copy by a person having custody of the original; and</w:t>
      </w:r>
    </w:p>
    <w:p w14:paraId="62299787" w14:textId="77777777" w:rsidR="008112BD" w:rsidRDefault="008112BD" w:rsidP="008112BD">
      <w:pPr>
        <w:pStyle w:val="aDefpara"/>
      </w:pPr>
      <w:r>
        <w:tab/>
        <w:t>(b)</w:t>
      </w:r>
      <w:r>
        <w:tab/>
        <w:t>a copy of an entry in an official register verified as a true copy by a person having custody of the register; and</w:t>
      </w:r>
    </w:p>
    <w:p w14:paraId="70A70828" w14:textId="79D39849"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58" w:tooltip="Act 1994 No 59 (Cwlth)" w:history="1">
        <w:r w:rsidRPr="00D2167B">
          <w:rPr>
            <w:rStyle w:val="charCitHyperlinkItal"/>
          </w:rPr>
          <w:t>Foreign Evidence Act 1994</w:t>
        </w:r>
      </w:hyperlink>
      <w:r>
        <w:t xml:space="preserve"> (Cwlth), schedule.</w:t>
      </w:r>
    </w:p>
    <w:p w14:paraId="52F0D8DF" w14:textId="45DDDE13" w:rsidR="008112BD" w:rsidRDefault="008112BD" w:rsidP="008112BD">
      <w:pPr>
        <w:pStyle w:val="aNote"/>
      </w:pPr>
      <w:r w:rsidRPr="00FE0788">
        <w:rPr>
          <w:rStyle w:val="charItals"/>
        </w:rPr>
        <w:t>Note</w:t>
      </w:r>
      <w:r>
        <w:tab/>
        <w:t xml:space="preserve">The </w:t>
      </w:r>
      <w:hyperlink r:id="rId359"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14:paraId="7CBCC40A" w14:textId="10BB07AB" w:rsidR="008112BD" w:rsidRDefault="008112BD" w:rsidP="008112BD">
      <w:pPr>
        <w:pStyle w:val="aDef"/>
      </w:pPr>
      <w:r w:rsidRPr="00FE0788">
        <w:rPr>
          <w:rStyle w:val="charBoldItals"/>
        </w:rPr>
        <w:t>foreign public document</w:t>
      </w:r>
      <w:r>
        <w:t xml:space="preserve">—see the </w:t>
      </w:r>
      <w:hyperlink r:id="rId360" w:tooltip="Act 1994 No 59 (Cwlth)" w:history="1">
        <w:r w:rsidRPr="00D2167B">
          <w:rPr>
            <w:rStyle w:val="charCitHyperlinkItal"/>
          </w:rPr>
          <w:t>Foreign Evidence Act 1994</w:t>
        </w:r>
      </w:hyperlink>
      <w:r>
        <w:t xml:space="preserve"> (Cwlth), section 3 (1).</w:t>
      </w:r>
    </w:p>
    <w:p w14:paraId="4F84BCD3" w14:textId="77777777" w:rsidR="007D10CD" w:rsidRPr="00D8116A" w:rsidRDefault="007D10CD" w:rsidP="007D10CD">
      <w:pPr>
        <w:pStyle w:val="AH5Sec"/>
      </w:pPr>
      <w:bookmarkStart w:id="1011" w:name="_Toc185514627"/>
      <w:r w:rsidRPr="000E1091">
        <w:rPr>
          <w:rStyle w:val="CharSectNo"/>
        </w:rPr>
        <w:lastRenderedPageBreak/>
        <w:t>3159</w:t>
      </w:r>
      <w:r w:rsidRPr="00D8116A">
        <w:tab/>
        <w:t>Adoption order—service of application on CYP director</w:t>
      </w:r>
      <w:r w:rsidRPr="00D8116A">
        <w:noBreakHyphen/>
        <w:t>general</w:t>
      </w:r>
      <w:bookmarkEnd w:id="1011"/>
    </w:p>
    <w:p w14:paraId="324CBE0C" w14:textId="77777777" w:rsidR="007D10CD" w:rsidRPr="00D8116A" w:rsidRDefault="007D10CD" w:rsidP="00754410">
      <w:pPr>
        <w:pStyle w:val="Amain"/>
        <w:keepNext/>
      </w:pPr>
      <w:r w:rsidRPr="00D8116A">
        <w:tab/>
        <w:t>(1)</w:t>
      </w:r>
      <w:r w:rsidRPr="00D8116A">
        <w:tab/>
        <w:t>This rule applies to an adoption order for the adoption of a child or young person.</w:t>
      </w:r>
    </w:p>
    <w:p w14:paraId="4523B291" w14:textId="77777777" w:rsidR="007D10CD" w:rsidRPr="00D8116A" w:rsidRDefault="007D10CD" w:rsidP="007D10CD">
      <w:pPr>
        <w:pStyle w:val="Amain"/>
      </w:pPr>
      <w:r w:rsidRPr="00D8116A">
        <w:tab/>
        <w:t>(2)</w:t>
      </w:r>
      <w:r w:rsidRPr="00D8116A">
        <w:tab/>
        <w:t>If the applicant for the adoption order is not the CYP director</w:t>
      </w:r>
      <w:r w:rsidRPr="00D8116A">
        <w:noBreakHyphen/>
        <w:t>general or the principal officer of a private adoption agency, the applicant must serve a sealed copy of the application and stamped copies of the following documents on the CYP director-general not later than 28 days before the return date for the application:</w:t>
      </w:r>
    </w:p>
    <w:p w14:paraId="05864736" w14:textId="77777777" w:rsidR="007D10CD" w:rsidRPr="00D8116A" w:rsidRDefault="007D10CD" w:rsidP="007D10CD">
      <w:pPr>
        <w:pStyle w:val="Apara"/>
      </w:pPr>
      <w:r w:rsidRPr="00D8116A">
        <w:tab/>
        <w:t>(a)</w:t>
      </w:r>
      <w:r w:rsidRPr="00D8116A">
        <w:tab/>
        <w:t>the affidavit under rule 3157 supporting the application;</w:t>
      </w:r>
    </w:p>
    <w:p w14:paraId="0B6690A0" w14:textId="41E3E144" w:rsidR="007D10CD" w:rsidRPr="00D8116A" w:rsidRDefault="007D10CD" w:rsidP="007D10CD">
      <w:pPr>
        <w:pStyle w:val="Apara"/>
      </w:pPr>
      <w:r w:rsidRPr="00D8116A">
        <w:tab/>
        <w:t>(b)</w:t>
      </w:r>
      <w:r w:rsidRPr="00D8116A">
        <w:tab/>
        <w:t>each document accompanying the application under rule</w:t>
      </w:r>
      <w:r>
        <w:t> </w:t>
      </w:r>
      <w:r w:rsidRPr="00D8116A">
        <w:t>3158.</w:t>
      </w:r>
    </w:p>
    <w:p w14:paraId="442B0424" w14:textId="77777777" w:rsidR="008112BD" w:rsidRDefault="008112BD" w:rsidP="008112BD">
      <w:pPr>
        <w:pStyle w:val="AH5Sec"/>
      </w:pPr>
      <w:bookmarkStart w:id="1012" w:name="_Toc185514628"/>
      <w:r w:rsidRPr="00C8328B">
        <w:rPr>
          <w:rStyle w:val="CharSectNo"/>
        </w:rPr>
        <w:t>3160</w:t>
      </w:r>
      <w:r>
        <w:tab/>
        <w:t>Adoption order—notice of intention to oppose</w:t>
      </w:r>
      <w:bookmarkEnd w:id="1012"/>
    </w:p>
    <w:p w14:paraId="414AA74E" w14:textId="1B7EC190" w:rsidR="008112BD" w:rsidRDefault="008112BD" w:rsidP="008112BD">
      <w:pPr>
        <w:pStyle w:val="Amain"/>
        <w:keepNext/>
      </w:pPr>
      <w:r>
        <w:tab/>
        <w:t>(1)</w:t>
      </w:r>
      <w:r>
        <w:tab/>
        <w:t xml:space="preserve">A person served under </w:t>
      </w:r>
      <w:r w:rsidRPr="00DC6DB8">
        <w:t xml:space="preserve">the </w:t>
      </w:r>
      <w:hyperlink r:id="rId361"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14:paraId="68012716" w14:textId="77777777" w:rsidR="008112BD" w:rsidRDefault="008112BD" w:rsidP="008112BD">
      <w:pPr>
        <w:pStyle w:val="aNote"/>
      </w:pPr>
      <w:r w:rsidRPr="00FE0788">
        <w:rPr>
          <w:rStyle w:val="charItals"/>
        </w:rPr>
        <w:t>Note</w:t>
      </w:r>
      <w:r>
        <w:tab/>
        <w:t>See</w:t>
      </w:r>
    </w:p>
    <w:p w14:paraId="0F456956" w14:textId="3925544B"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2" w:history="1">
        <w:r w:rsidRPr="00D2167B">
          <w:rPr>
            <w:rStyle w:val="charCitHyperlinkAbbrev"/>
          </w:rPr>
          <w:t>AF2011-56</w:t>
        </w:r>
      </w:hyperlink>
    </w:p>
    <w:p w14:paraId="74E6C2C2" w14:textId="2006273C"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3" w:history="1">
        <w:r w:rsidRPr="00D2167B">
          <w:rPr>
            <w:rStyle w:val="charCitHyperlinkAbbrev"/>
          </w:rPr>
          <w:t>AF2011-57</w:t>
        </w:r>
      </w:hyperlink>
      <w:r>
        <w:t>.</w:t>
      </w:r>
    </w:p>
    <w:p w14:paraId="53CA875C" w14:textId="7B0DB3C0"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w:t>
      </w:r>
      <w:r w:rsidR="007D10CD" w:rsidRPr="00D8116A">
        <w:t>for the adoption of a child or young person</w:t>
      </w:r>
      <w:r w:rsidR="007D10CD">
        <w:t xml:space="preserve"> </w:t>
      </w:r>
      <w:r>
        <w:t xml:space="preserve">by filing in the court a notice of opposition not later than 10 days after the day the application is served on the </w:t>
      </w:r>
      <w:r w:rsidRPr="002B175D">
        <w:t>CYP director</w:t>
      </w:r>
      <w:r>
        <w:noBreakHyphen/>
      </w:r>
      <w:r w:rsidRPr="002B175D">
        <w:t>general</w:t>
      </w:r>
      <w:r>
        <w:t>.</w:t>
      </w:r>
    </w:p>
    <w:p w14:paraId="339DC729" w14:textId="77777777" w:rsidR="007D10CD" w:rsidRPr="00D8116A" w:rsidRDefault="007D10CD" w:rsidP="007D10CD">
      <w:pPr>
        <w:pStyle w:val="Amain"/>
        <w:rPr>
          <w:shd w:val="clear" w:color="auto" w:fill="FFFFFF"/>
        </w:rPr>
      </w:pPr>
      <w:r w:rsidRPr="00D8116A">
        <w:tab/>
        <w:t>(3)</w:t>
      </w:r>
      <w:r w:rsidRPr="00D8116A">
        <w:tab/>
      </w:r>
      <w:r w:rsidRPr="000E1091">
        <w:t>A person who files a notice of opposition to an application for an adoption order must serve a stamped copy of the notice on—</w:t>
      </w:r>
    </w:p>
    <w:p w14:paraId="46EE301C" w14:textId="77777777" w:rsidR="007D10CD" w:rsidRPr="00D8116A" w:rsidRDefault="007D10CD" w:rsidP="007D10CD">
      <w:pPr>
        <w:pStyle w:val="Apara"/>
      </w:pPr>
      <w:r w:rsidRPr="00D8116A">
        <w:tab/>
        <w:t>(a)</w:t>
      </w:r>
      <w:r w:rsidRPr="00D8116A">
        <w:tab/>
        <w:t>the applicant or applicants for the adoption order; and</w:t>
      </w:r>
    </w:p>
    <w:p w14:paraId="3AB86F33" w14:textId="77777777" w:rsidR="007D10CD" w:rsidRPr="00D8116A" w:rsidRDefault="007D10CD" w:rsidP="007D10CD">
      <w:pPr>
        <w:pStyle w:val="Apara"/>
      </w:pPr>
      <w:r w:rsidRPr="00D8116A">
        <w:lastRenderedPageBreak/>
        <w:tab/>
        <w:t>(b)</w:t>
      </w:r>
      <w:r w:rsidRPr="00D8116A">
        <w:tab/>
        <w:t>if the application is for the adoption of a child or young person—the CYP director-general.</w:t>
      </w:r>
    </w:p>
    <w:p w14:paraId="508EC6E0" w14:textId="759B9B8B" w:rsidR="007D10CD" w:rsidRPr="00D8116A" w:rsidRDefault="007D10CD" w:rsidP="007D10CD">
      <w:pPr>
        <w:pStyle w:val="Amain"/>
        <w:rPr>
          <w:shd w:val="clear" w:color="auto" w:fill="FFFFFF"/>
        </w:rPr>
      </w:pPr>
      <w:r w:rsidRPr="00D8116A">
        <w:tab/>
        <w:t>(4)</w:t>
      </w:r>
      <w:r w:rsidRPr="00D8116A">
        <w:tab/>
      </w:r>
      <w:r w:rsidRPr="000E1091">
        <w:t xml:space="preserve">However, if the CYP director-general files the notice of opposition, the CYP director-general must serve a stamped copy of the notice on each person required to be served with the notice under the </w:t>
      </w:r>
      <w:hyperlink r:id="rId364" w:tooltip="A1993-20" w:history="1">
        <w:r w:rsidRPr="002F0925">
          <w:rPr>
            <w:rStyle w:val="charCitHyperlinkAbbrev"/>
          </w:rPr>
          <w:t>Adoption Act</w:t>
        </w:r>
      </w:hyperlink>
      <w:r w:rsidRPr="000E1091">
        <w:t>, section 39B.</w:t>
      </w:r>
    </w:p>
    <w:p w14:paraId="6D6F6FA0" w14:textId="77777777" w:rsidR="008112BD" w:rsidRPr="00C8328B" w:rsidRDefault="008112BD" w:rsidP="008112BD">
      <w:pPr>
        <w:pStyle w:val="AH3Div"/>
      </w:pPr>
      <w:bookmarkStart w:id="1013" w:name="_Toc185514629"/>
      <w:r w:rsidRPr="00C8328B">
        <w:rPr>
          <w:rStyle w:val="CharDivNo"/>
        </w:rPr>
        <w:t>Division 3.2.3</w:t>
      </w:r>
      <w:r>
        <w:tab/>
      </w:r>
      <w:r w:rsidRPr="00C8328B">
        <w:rPr>
          <w:rStyle w:val="CharDivText"/>
        </w:rPr>
        <w:t>Orders for dispensing with consent to adoption</w:t>
      </w:r>
      <w:bookmarkEnd w:id="1013"/>
    </w:p>
    <w:p w14:paraId="671A4B9A" w14:textId="77777777" w:rsidR="008112BD" w:rsidRDefault="008112BD" w:rsidP="008112BD">
      <w:pPr>
        <w:pStyle w:val="AH5Sec"/>
      </w:pPr>
      <w:bookmarkStart w:id="1014" w:name="_Toc185514630"/>
      <w:r w:rsidRPr="00C8328B">
        <w:rPr>
          <w:rStyle w:val="CharSectNo"/>
        </w:rPr>
        <w:t>3170</w:t>
      </w:r>
      <w:r>
        <w:tab/>
        <w:t>Dispensing order—application</w:t>
      </w:r>
      <w:bookmarkEnd w:id="1014"/>
    </w:p>
    <w:p w14:paraId="76D34429" w14:textId="77777777" w:rsidR="008112BD" w:rsidRDefault="008112BD" w:rsidP="008112BD">
      <w:pPr>
        <w:pStyle w:val="Amain"/>
        <w:keepNext/>
      </w:pPr>
      <w:r>
        <w:tab/>
        <w:t>(1)</w:t>
      </w:r>
      <w:r>
        <w:tab/>
        <w:t>An application for a dispensing order must be made in the adoption proceeding in relation to which the dispensing order is sought.</w:t>
      </w:r>
    </w:p>
    <w:p w14:paraId="21EAC458"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67B29BA" w14:textId="583DAA84"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65" w:history="1">
        <w:r w:rsidRPr="00D2167B">
          <w:rPr>
            <w:rStyle w:val="charCitHyperlinkAbbrev"/>
          </w:rPr>
          <w:t>AF2011-58</w:t>
        </w:r>
      </w:hyperlink>
      <w:r>
        <w:t>.</w:t>
      </w:r>
    </w:p>
    <w:p w14:paraId="7DFCA287" w14:textId="753F58BD"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66" w:tooltip="A1993-20" w:history="1">
        <w:r w:rsidRPr="00365CD4">
          <w:rPr>
            <w:rStyle w:val="charCitHyperlinkAbbrev"/>
          </w:rPr>
          <w:t>Adoption Act</w:t>
        </w:r>
      </w:hyperlink>
      <w:r>
        <w:t>, section 35 (1) (a) to (d) (Dispensing with consent).</w:t>
      </w:r>
    </w:p>
    <w:p w14:paraId="5FF40CB4" w14:textId="77777777" w:rsidR="008112BD" w:rsidRDefault="008112BD" w:rsidP="008112BD">
      <w:pPr>
        <w:pStyle w:val="Amain"/>
      </w:pPr>
      <w:r>
        <w:tab/>
        <w:t>(3)</w:t>
      </w:r>
      <w:r>
        <w:tab/>
        <w:t>The supporting affidavit must be made by—</w:t>
      </w:r>
    </w:p>
    <w:p w14:paraId="30983261" w14:textId="77777777" w:rsidR="008112BD" w:rsidRDefault="008112BD" w:rsidP="008112BD">
      <w:pPr>
        <w:pStyle w:val="Apara"/>
      </w:pPr>
      <w:r>
        <w:tab/>
        <w:t>(a)</w:t>
      </w:r>
      <w:r>
        <w:tab/>
        <w:t>the applicant for the dispensing order; or</w:t>
      </w:r>
    </w:p>
    <w:p w14:paraId="59D176AC" w14:textId="77777777" w:rsidR="008112BD" w:rsidRDefault="008112BD" w:rsidP="008112BD">
      <w:pPr>
        <w:pStyle w:val="Apara"/>
      </w:pPr>
      <w:r>
        <w:tab/>
        <w:t>(b)</w:t>
      </w:r>
      <w:r>
        <w:tab/>
        <w:t>for a joint application—each applicant jointly.</w:t>
      </w:r>
    </w:p>
    <w:p w14:paraId="53C2909B" w14:textId="1610D209" w:rsidR="008112BD" w:rsidRDefault="008112BD" w:rsidP="008112BD">
      <w:pPr>
        <w:pStyle w:val="Amain"/>
      </w:pPr>
      <w:r>
        <w:tab/>
        <w:t>(4)</w:t>
      </w:r>
      <w:r>
        <w:tab/>
        <w:t xml:space="preserve">The application for a dispensing order must be made at the same time as the application for an adoption order unless the </w:t>
      </w:r>
      <w:hyperlink r:id="rId367" w:tooltip="A1993-20" w:history="1">
        <w:r w:rsidRPr="00365CD4">
          <w:rPr>
            <w:rStyle w:val="charCitHyperlinkAbbrev"/>
          </w:rPr>
          <w:t>Adoption Act</w:t>
        </w:r>
      </w:hyperlink>
      <w:r>
        <w:t>, section 35 (3) applies.</w:t>
      </w:r>
    </w:p>
    <w:p w14:paraId="6A326844" w14:textId="77777777" w:rsidR="008112BD" w:rsidRDefault="008112BD" w:rsidP="008112BD">
      <w:pPr>
        <w:pStyle w:val="AH5Sec"/>
      </w:pPr>
      <w:bookmarkStart w:id="1015" w:name="_Toc185514631"/>
      <w:r w:rsidRPr="00C8328B">
        <w:rPr>
          <w:rStyle w:val="CharSectNo"/>
        </w:rPr>
        <w:lastRenderedPageBreak/>
        <w:t>3171</w:t>
      </w:r>
      <w:r>
        <w:tab/>
        <w:t>Dispensing order—service of application</w:t>
      </w:r>
      <w:bookmarkEnd w:id="1015"/>
    </w:p>
    <w:p w14:paraId="2AD6F05D" w14:textId="77777777" w:rsidR="008112BD" w:rsidRDefault="008112BD" w:rsidP="00754410">
      <w:pPr>
        <w:pStyle w:val="Amainreturn"/>
        <w:keepNext/>
        <w:keepLines/>
      </w:pPr>
      <w:r>
        <w:t>An applicant for a dispensing order must serve a sealed copy of the application, and a stamped copy of the supporting affidavit, on the following people not later than 28 days before the return date for the application:</w:t>
      </w:r>
    </w:p>
    <w:p w14:paraId="12CFFCB3" w14:textId="77777777" w:rsidR="008112BD" w:rsidRDefault="008112BD" w:rsidP="008112BD">
      <w:pPr>
        <w:pStyle w:val="Apara"/>
      </w:pPr>
      <w:r>
        <w:tab/>
        <w:t>(a)</w:t>
      </w:r>
      <w:r>
        <w:tab/>
        <w:t xml:space="preserve">each person interested in the adoption proceeding to which the application for a dispensing order relates; </w:t>
      </w:r>
    </w:p>
    <w:p w14:paraId="501E1B7E" w14:textId="77777777"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14:paraId="2E11A104" w14:textId="77777777" w:rsidR="008112BD" w:rsidRDefault="008112BD" w:rsidP="008112BD">
      <w:pPr>
        <w:pStyle w:val="Apara"/>
        <w:keepNext/>
      </w:pPr>
      <w:r>
        <w:tab/>
        <w:t>(c)</w:t>
      </w:r>
      <w:r>
        <w:tab/>
        <w:t>if the court considers it to be in the interests of justice—anyone nominated by the court.</w:t>
      </w:r>
    </w:p>
    <w:p w14:paraId="755AF409" w14:textId="77777777" w:rsidR="008112BD" w:rsidRDefault="008112BD" w:rsidP="008112BD">
      <w:pPr>
        <w:pStyle w:val="AH5Sec"/>
      </w:pPr>
      <w:bookmarkStart w:id="1016" w:name="_Toc185514632"/>
      <w:r w:rsidRPr="00C8328B">
        <w:rPr>
          <w:rStyle w:val="CharSectNo"/>
        </w:rPr>
        <w:t>3172</w:t>
      </w:r>
      <w:r>
        <w:tab/>
        <w:t>Dispensing order—notice of intention to oppose</w:t>
      </w:r>
      <w:bookmarkEnd w:id="1016"/>
    </w:p>
    <w:p w14:paraId="3D50F874" w14:textId="77777777"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14:paraId="6658454B" w14:textId="7244C3CE"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68" w:history="1">
        <w:r w:rsidRPr="00D2167B">
          <w:rPr>
            <w:rStyle w:val="charCitHyperlinkAbbrev"/>
          </w:rPr>
          <w:t>AF2011-59</w:t>
        </w:r>
      </w:hyperlink>
      <w:r>
        <w:t>.</w:t>
      </w:r>
    </w:p>
    <w:p w14:paraId="63672F34" w14:textId="77777777" w:rsidR="008112BD" w:rsidRDefault="008112BD" w:rsidP="008112BD">
      <w:pPr>
        <w:pStyle w:val="Amain"/>
      </w:pPr>
      <w:r>
        <w:tab/>
        <w:t>(2)</w:t>
      </w:r>
      <w:r>
        <w:tab/>
        <w:t>A person who files a notice of opposition to an application for a dispensing order must serve a stamped copy of the notice on—</w:t>
      </w:r>
    </w:p>
    <w:p w14:paraId="088AB962" w14:textId="77777777"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14:paraId="4CF68FC3" w14:textId="77777777"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14:paraId="29F5F74B" w14:textId="77777777" w:rsidR="008112BD" w:rsidRPr="00C8328B" w:rsidRDefault="008112BD" w:rsidP="008112BD">
      <w:pPr>
        <w:pStyle w:val="AH3Div"/>
      </w:pPr>
      <w:bookmarkStart w:id="1017" w:name="_Toc185514633"/>
      <w:r w:rsidRPr="00C8328B">
        <w:rPr>
          <w:rStyle w:val="CharDivNo"/>
        </w:rPr>
        <w:lastRenderedPageBreak/>
        <w:t>Division 3.2.4</w:t>
      </w:r>
      <w:r>
        <w:tab/>
      </w:r>
      <w:r w:rsidRPr="00C8328B">
        <w:rPr>
          <w:rStyle w:val="CharDivText"/>
        </w:rPr>
        <w:t>Amendment of adoption order</w:t>
      </w:r>
      <w:bookmarkEnd w:id="1017"/>
    </w:p>
    <w:p w14:paraId="5C1CCEB6" w14:textId="77777777" w:rsidR="008112BD" w:rsidRDefault="008112BD" w:rsidP="008112BD">
      <w:pPr>
        <w:pStyle w:val="AH5Sec"/>
      </w:pPr>
      <w:bookmarkStart w:id="1018" w:name="_Toc185514634"/>
      <w:r w:rsidRPr="00C8328B">
        <w:rPr>
          <w:rStyle w:val="CharSectNo"/>
        </w:rPr>
        <w:t>3180</w:t>
      </w:r>
      <w:r>
        <w:tab/>
        <w:t>Amendment order—application</w:t>
      </w:r>
      <w:bookmarkEnd w:id="1018"/>
    </w:p>
    <w:p w14:paraId="58330D7C" w14:textId="77777777" w:rsidR="008112BD" w:rsidRDefault="008112BD" w:rsidP="008112BD">
      <w:pPr>
        <w:pStyle w:val="Amain"/>
        <w:keepNext/>
      </w:pPr>
      <w:r>
        <w:tab/>
        <w:t>(1)</w:t>
      </w:r>
      <w:r>
        <w:tab/>
        <w:t>An application for an amendment order must be made in the adoption proceeding in relation to which the amendment order is sought.</w:t>
      </w:r>
    </w:p>
    <w:p w14:paraId="39992111"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2966CE8" w14:textId="73FE66F8" w:rsidR="008112BD" w:rsidRDefault="008112BD" w:rsidP="008112BD">
      <w:pPr>
        <w:pStyle w:val="aNote"/>
      </w:pPr>
      <w:r w:rsidRPr="00FE0788">
        <w:rPr>
          <w:rStyle w:val="charItals"/>
        </w:rPr>
        <w:t>Note 2</w:t>
      </w:r>
      <w:r>
        <w:tab/>
        <w:t xml:space="preserve">See approved form 3.33 (Application for amendment of adoption order) </w:t>
      </w:r>
      <w:hyperlink r:id="rId369" w:history="1">
        <w:r w:rsidRPr="006E5F5D">
          <w:rPr>
            <w:rStyle w:val="charCitHyperlinkAbbrev"/>
          </w:rPr>
          <w:t>AF2011-60</w:t>
        </w:r>
      </w:hyperlink>
      <w:r>
        <w:t>.</w:t>
      </w:r>
    </w:p>
    <w:p w14:paraId="1FDCD10E" w14:textId="77777777" w:rsidR="008112BD" w:rsidRDefault="008112BD" w:rsidP="008112BD">
      <w:pPr>
        <w:pStyle w:val="Amain"/>
        <w:keepNext/>
      </w:pPr>
      <w:r>
        <w:tab/>
        <w:t>(2)</w:t>
      </w:r>
      <w:r>
        <w:tab/>
        <w:t>The application must be—</w:t>
      </w:r>
    </w:p>
    <w:p w14:paraId="754CD894" w14:textId="77777777" w:rsidR="008112BD" w:rsidRDefault="008112BD" w:rsidP="008112BD">
      <w:pPr>
        <w:pStyle w:val="Apara"/>
      </w:pPr>
      <w:r>
        <w:tab/>
        <w:t>(a)</w:t>
      </w:r>
      <w:r>
        <w:tab/>
        <w:t>supported by an affidavit setting out the details of the amendment sought and the circumstances the applicant claims justify the amendment order; and</w:t>
      </w:r>
    </w:p>
    <w:p w14:paraId="201DA572" w14:textId="6A9144D6"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0" w:tooltip="A1993-20" w:history="1">
        <w:r w:rsidRPr="00365CD4">
          <w:rPr>
            <w:rStyle w:val="charCitHyperlinkAbbrev"/>
          </w:rPr>
          <w:t>Adoption Act</w:t>
        </w:r>
      </w:hyperlink>
      <w:r>
        <w:t xml:space="preserve">, section 41 (2) </w:t>
      </w:r>
      <w:r w:rsidRPr="00DC6DB8">
        <w:t>(Amendment of adoption condition)</w:t>
      </w:r>
      <w:r>
        <w:t>.</w:t>
      </w:r>
    </w:p>
    <w:p w14:paraId="2C60CDAC" w14:textId="77777777" w:rsidR="008112BD" w:rsidRDefault="008112BD" w:rsidP="008112BD">
      <w:pPr>
        <w:pStyle w:val="AH5Sec"/>
      </w:pPr>
      <w:bookmarkStart w:id="1019" w:name="_Toc185514635"/>
      <w:r w:rsidRPr="00C8328B">
        <w:rPr>
          <w:rStyle w:val="CharSectNo"/>
        </w:rPr>
        <w:t>3181</w:t>
      </w:r>
      <w:r>
        <w:tab/>
        <w:t>Amendment order—service of application</w:t>
      </w:r>
      <w:bookmarkEnd w:id="1019"/>
    </w:p>
    <w:p w14:paraId="18BF0F5C" w14:textId="77777777"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14:paraId="74BD0806" w14:textId="77777777" w:rsidR="008112BD" w:rsidRDefault="008112BD" w:rsidP="008112BD">
      <w:pPr>
        <w:pStyle w:val="AH5Sec"/>
      </w:pPr>
      <w:bookmarkStart w:id="1020" w:name="_Toc185514636"/>
      <w:r w:rsidRPr="00C8328B">
        <w:rPr>
          <w:rStyle w:val="CharSectNo"/>
        </w:rPr>
        <w:t>3182</w:t>
      </w:r>
      <w:r>
        <w:tab/>
        <w:t>Amendment order—notice of intention to oppose</w:t>
      </w:r>
      <w:bookmarkEnd w:id="1020"/>
    </w:p>
    <w:p w14:paraId="12E9B296" w14:textId="77777777"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14:paraId="2A74E741" w14:textId="512AEB2B"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1" w:history="1">
        <w:r w:rsidRPr="006E5F5D">
          <w:rPr>
            <w:rStyle w:val="charCitHyperlinkAbbrev"/>
          </w:rPr>
          <w:t>AF2010-142</w:t>
        </w:r>
      </w:hyperlink>
      <w:r>
        <w:t>.</w:t>
      </w:r>
    </w:p>
    <w:p w14:paraId="61D87C62" w14:textId="77777777"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14:paraId="4928984A" w14:textId="77777777" w:rsidR="008112BD" w:rsidRPr="00C8328B" w:rsidRDefault="008112BD" w:rsidP="008112BD">
      <w:pPr>
        <w:pStyle w:val="AH3Div"/>
      </w:pPr>
      <w:bookmarkStart w:id="1021" w:name="_Toc185514637"/>
      <w:r w:rsidRPr="00C8328B">
        <w:rPr>
          <w:rStyle w:val="CharDivNo"/>
        </w:rPr>
        <w:t>Division 3.2.5</w:t>
      </w:r>
      <w:r>
        <w:tab/>
      </w:r>
      <w:r w:rsidRPr="00C8328B">
        <w:rPr>
          <w:rStyle w:val="CharDivText"/>
        </w:rPr>
        <w:t>Discharge of interim orders and adoption orders</w:t>
      </w:r>
      <w:bookmarkEnd w:id="1021"/>
    </w:p>
    <w:p w14:paraId="35671CCF" w14:textId="77777777" w:rsidR="008112BD" w:rsidRDefault="008112BD" w:rsidP="008112BD">
      <w:pPr>
        <w:pStyle w:val="AH5Sec"/>
      </w:pPr>
      <w:bookmarkStart w:id="1022" w:name="_Toc185514638"/>
      <w:r w:rsidRPr="00C8328B">
        <w:rPr>
          <w:rStyle w:val="CharSectNo"/>
        </w:rPr>
        <w:t>3190</w:t>
      </w:r>
      <w:r>
        <w:tab/>
        <w:t>Discharging order—application</w:t>
      </w:r>
      <w:bookmarkEnd w:id="1022"/>
    </w:p>
    <w:p w14:paraId="4FC90771" w14:textId="77777777" w:rsidR="008112BD" w:rsidRDefault="008112BD" w:rsidP="008112BD">
      <w:pPr>
        <w:pStyle w:val="Amain"/>
        <w:keepNext/>
      </w:pPr>
      <w:r>
        <w:tab/>
        <w:t>(1)</w:t>
      </w:r>
      <w:r>
        <w:tab/>
        <w:t>An application for a discharging order must be made in the adoption proceeding in relation to which the discharging order is sought.</w:t>
      </w:r>
    </w:p>
    <w:p w14:paraId="6E2F5683" w14:textId="77777777"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14:paraId="2916BEFA" w14:textId="0DA24079" w:rsidR="008112BD" w:rsidRDefault="008112BD" w:rsidP="008112BD">
      <w:pPr>
        <w:pStyle w:val="aNote"/>
      </w:pPr>
      <w:r w:rsidRPr="00FE0788">
        <w:rPr>
          <w:rStyle w:val="charItals"/>
        </w:rPr>
        <w:t>Note 2</w:t>
      </w:r>
      <w:r>
        <w:tab/>
        <w:t xml:space="preserve">See approved form 3.35 (Application for discharge of adoption order) </w:t>
      </w:r>
      <w:hyperlink r:id="rId372" w:history="1">
        <w:r w:rsidRPr="006E5F5D">
          <w:rPr>
            <w:rStyle w:val="charCitHyperlinkAbbrev"/>
          </w:rPr>
          <w:t>AF2010-143</w:t>
        </w:r>
      </w:hyperlink>
      <w:r>
        <w:t>.</w:t>
      </w:r>
    </w:p>
    <w:p w14:paraId="68A93923" w14:textId="77777777"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14:paraId="3F01D605" w14:textId="77777777" w:rsidR="008112BD" w:rsidRDefault="008112BD" w:rsidP="008112BD">
      <w:pPr>
        <w:pStyle w:val="AH5Sec"/>
      </w:pPr>
      <w:bookmarkStart w:id="1023" w:name="_Toc185514639"/>
      <w:r w:rsidRPr="00C8328B">
        <w:rPr>
          <w:rStyle w:val="CharSectNo"/>
        </w:rPr>
        <w:t>3191</w:t>
      </w:r>
      <w:r>
        <w:tab/>
        <w:t>Discharging order—service of application</w:t>
      </w:r>
      <w:bookmarkEnd w:id="1023"/>
    </w:p>
    <w:p w14:paraId="447C63A5" w14:textId="482582E4" w:rsidR="008112BD" w:rsidRDefault="008112BD" w:rsidP="008112BD">
      <w:pPr>
        <w:pStyle w:val="Amainreturn"/>
        <w:keepNext/>
      </w:pPr>
      <w:r>
        <w:t xml:space="preserve">A notice of an application for a discharging order served under the </w:t>
      </w:r>
      <w:hyperlink r:id="rId373"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14:paraId="73078502" w14:textId="49F53B28"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4" w:history="1">
        <w:r w:rsidRPr="006E5F5D">
          <w:rPr>
            <w:rStyle w:val="charCitHyperlinkAbbrev"/>
          </w:rPr>
          <w:t>AF2011-61</w:t>
        </w:r>
      </w:hyperlink>
      <w:r>
        <w:t>.</w:t>
      </w:r>
    </w:p>
    <w:p w14:paraId="0286964A" w14:textId="77777777" w:rsidR="008112BD" w:rsidRDefault="008112BD" w:rsidP="008112BD">
      <w:pPr>
        <w:pStyle w:val="AH5Sec"/>
      </w:pPr>
      <w:bookmarkStart w:id="1024" w:name="_Toc185514640"/>
      <w:r w:rsidRPr="00C8328B">
        <w:rPr>
          <w:rStyle w:val="CharSectNo"/>
        </w:rPr>
        <w:t>3192</w:t>
      </w:r>
      <w:r>
        <w:tab/>
        <w:t>Discharging order—notice of intention to oppose</w:t>
      </w:r>
      <w:bookmarkEnd w:id="1024"/>
    </w:p>
    <w:p w14:paraId="00405267" w14:textId="5EDBE7AB" w:rsidR="008112BD" w:rsidRDefault="008112BD" w:rsidP="008112BD">
      <w:pPr>
        <w:pStyle w:val="Amain"/>
        <w:keepNext/>
      </w:pPr>
      <w:r>
        <w:tab/>
        <w:t>(1)</w:t>
      </w:r>
      <w:r>
        <w:tab/>
        <w:t xml:space="preserve">A person served under the </w:t>
      </w:r>
      <w:hyperlink r:id="rId375"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14:paraId="3EA5F1C4" w14:textId="5B71C1BF"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76" w:history="1">
        <w:r w:rsidRPr="006E5F5D">
          <w:rPr>
            <w:rStyle w:val="charCitHyperlinkAbbrev"/>
          </w:rPr>
          <w:t>AF2010-145</w:t>
        </w:r>
      </w:hyperlink>
      <w:r>
        <w:t>.</w:t>
      </w:r>
    </w:p>
    <w:p w14:paraId="7F38CD73" w14:textId="77777777"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14:paraId="412EC23E" w14:textId="77777777" w:rsidR="008112BD" w:rsidRPr="00C8328B" w:rsidRDefault="008112BD" w:rsidP="008112BD">
      <w:pPr>
        <w:pStyle w:val="AH3Div"/>
      </w:pPr>
      <w:bookmarkStart w:id="1025" w:name="_Toc185514641"/>
      <w:r w:rsidRPr="00C8328B">
        <w:rPr>
          <w:rStyle w:val="CharDivNo"/>
        </w:rPr>
        <w:t>Division 3.2.6</w:t>
      </w:r>
      <w:r>
        <w:tab/>
      </w:r>
      <w:r w:rsidRPr="00C8328B">
        <w:rPr>
          <w:rStyle w:val="CharDivText"/>
        </w:rPr>
        <w:t>Access to identifying information</w:t>
      </w:r>
      <w:bookmarkEnd w:id="1025"/>
    </w:p>
    <w:p w14:paraId="39DE9BF7" w14:textId="77777777" w:rsidR="008112BD" w:rsidRDefault="008112BD" w:rsidP="008112BD">
      <w:pPr>
        <w:pStyle w:val="AH5Sec"/>
      </w:pPr>
      <w:bookmarkStart w:id="1026" w:name="_Toc185514642"/>
      <w:r w:rsidRPr="00C8328B">
        <w:rPr>
          <w:rStyle w:val="CharSectNo"/>
        </w:rPr>
        <w:t>3200</w:t>
      </w:r>
      <w:r>
        <w:tab/>
        <w:t>Order for access to identifying information—application</w:t>
      </w:r>
      <w:bookmarkEnd w:id="1026"/>
    </w:p>
    <w:p w14:paraId="2C122B99" w14:textId="77777777" w:rsidR="008112BD" w:rsidRDefault="008112BD" w:rsidP="008112BD">
      <w:pPr>
        <w:pStyle w:val="Amainreturn"/>
        <w:keepNext/>
      </w:pPr>
      <w:r>
        <w:t>An application for an order for access to identifying information must be made in the adoption proceeding in relation to which the order is sought.</w:t>
      </w:r>
    </w:p>
    <w:p w14:paraId="501F5064"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5C5BF4ED" w14:textId="676B866E" w:rsidR="008112BD" w:rsidRDefault="008112BD" w:rsidP="008112BD">
      <w:pPr>
        <w:pStyle w:val="aNote"/>
      </w:pPr>
      <w:r w:rsidRPr="00FE0788">
        <w:rPr>
          <w:rStyle w:val="charItals"/>
        </w:rPr>
        <w:t>Note 2</w:t>
      </w:r>
      <w:r>
        <w:tab/>
        <w:t xml:space="preserve">See approved form 3.38 (Application for access to identifying information) </w:t>
      </w:r>
      <w:hyperlink r:id="rId377" w:history="1">
        <w:r w:rsidRPr="006E5F5D">
          <w:rPr>
            <w:rStyle w:val="charCitHyperlinkAbbrev"/>
          </w:rPr>
          <w:t>AF2011-62</w:t>
        </w:r>
      </w:hyperlink>
      <w:r>
        <w:t>.</w:t>
      </w:r>
    </w:p>
    <w:p w14:paraId="4ED017D1" w14:textId="77777777" w:rsidR="008112BD" w:rsidRDefault="008112BD" w:rsidP="008112BD">
      <w:pPr>
        <w:pStyle w:val="AH5Sec"/>
      </w:pPr>
      <w:bookmarkStart w:id="1027" w:name="_Toc185514643"/>
      <w:r w:rsidRPr="00C8328B">
        <w:rPr>
          <w:rStyle w:val="CharSectNo"/>
        </w:rPr>
        <w:t>3201</w:t>
      </w:r>
      <w:r>
        <w:tab/>
        <w:t>Order for access to identifying information—service of application</w:t>
      </w:r>
      <w:bookmarkEnd w:id="1027"/>
    </w:p>
    <w:p w14:paraId="202E8019" w14:textId="77777777"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14:paraId="685AEAF6" w14:textId="77777777" w:rsidR="007D10CD" w:rsidRPr="00D8116A" w:rsidRDefault="007D10CD" w:rsidP="007D10CD">
      <w:pPr>
        <w:pStyle w:val="Apara"/>
      </w:pPr>
      <w:r w:rsidRPr="00D8116A">
        <w:tab/>
        <w:t>(a)</w:t>
      </w:r>
      <w:r w:rsidRPr="00D8116A">
        <w:tab/>
        <w:t>if the application relates to an adopted child or young person—the CYP director-general; and</w:t>
      </w:r>
    </w:p>
    <w:p w14:paraId="7D9C407E" w14:textId="77777777" w:rsidR="008112BD" w:rsidRDefault="008112BD" w:rsidP="00102E19">
      <w:pPr>
        <w:pStyle w:val="Apara"/>
        <w:keepNext/>
      </w:pPr>
      <w:r>
        <w:tab/>
        <w:t>(b)</w:t>
      </w:r>
      <w:r>
        <w:tab/>
        <w:t>anyone—</w:t>
      </w:r>
    </w:p>
    <w:p w14:paraId="6E631B61" w14:textId="62E7B1CF" w:rsidR="008112BD" w:rsidRDefault="008112BD" w:rsidP="008112BD">
      <w:pPr>
        <w:pStyle w:val="Asubpara"/>
      </w:pPr>
      <w:r>
        <w:tab/>
        <w:t>(i)</w:t>
      </w:r>
      <w:r>
        <w:tab/>
        <w:t xml:space="preserve">whose approval would be sufficient under the </w:t>
      </w:r>
      <w:hyperlink r:id="rId378" w:tooltip="A1993-20" w:history="1">
        <w:r w:rsidRPr="00365CD4">
          <w:rPr>
            <w:rStyle w:val="charCitHyperlinkAbbrev"/>
          </w:rPr>
          <w:t>Adoption Act</w:t>
        </w:r>
      </w:hyperlink>
      <w:r>
        <w:t>, division 5.3 (Identifying information) to entitle the applicant to the identifying information; and</w:t>
      </w:r>
    </w:p>
    <w:p w14:paraId="6B1E50F2" w14:textId="77777777" w:rsidR="008112BD" w:rsidRDefault="008112BD" w:rsidP="008112BD">
      <w:pPr>
        <w:pStyle w:val="Asubpara"/>
      </w:pPr>
      <w:r>
        <w:tab/>
        <w:t>(ii)</w:t>
      </w:r>
      <w:r>
        <w:tab/>
        <w:t>who has refused approval.</w:t>
      </w:r>
    </w:p>
    <w:p w14:paraId="051445BC" w14:textId="77777777" w:rsidR="008112BD" w:rsidRDefault="008112BD" w:rsidP="008112BD">
      <w:pPr>
        <w:pStyle w:val="AH5Sec"/>
      </w:pPr>
      <w:bookmarkStart w:id="1028" w:name="_Toc185514644"/>
      <w:r w:rsidRPr="00C8328B">
        <w:rPr>
          <w:rStyle w:val="CharSectNo"/>
        </w:rPr>
        <w:lastRenderedPageBreak/>
        <w:t>3202</w:t>
      </w:r>
      <w:r>
        <w:tab/>
        <w:t>Order for access to identifying information—notice of intention to oppose</w:t>
      </w:r>
      <w:bookmarkEnd w:id="1028"/>
    </w:p>
    <w:p w14:paraId="75C3ED79" w14:textId="77777777"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14:paraId="787A334A" w14:textId="458C20D1"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79" w:history="1">
        <w:r w:rsidRPr="006E5F5D">
          <w:rPr>
            <w:rStyle w:val="charCitHyperlinkAbbrev"/>
          </w:rPr>
          <w:t>AF2010-147</w:t>
        </w:r>
      </w:hyperlink>
      <w:r>
        <w:t>.</w:t>
      </w:r>
    </w:p>
    <w:p w14:paraId="030E934D" w14:textId="77777777"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14:paraId="6135965C" w14:textId="77777777" w:rsidR="008112BD" w:rsidRPr="00C8328B" w:rsidRDefault="008112BD" w:rsidP="008112BD">
      <w:pPr>
        <w:pStyle w:val="AH3Div"/>
      </w:pPr>
      <w:bookmarkStart w:id="1029" w:name="_Toc185514645"/>
      <w:r w:rsidRPr="00C8328B">
        <w:rPr>
          <w:rStyle w:val="CharDivNo"/>
        </w:rPr>
        <w:t>Division 3.2.7</w:t>
      </w:r>
      <w:r>
        <w:tab/>
      </w:r>
      <w:r w:rsidRPr="00C8328B">
        <w:rPr>
          <w:rStyle w:val="CharDivText"/>
        </w:rPr>
        <w:t>Adoption proceedings—general procedures</w:t>
      </w:r>
      <w:bookmarkEnd w:id="1029"/>
    </w:p>
    <w:p w14:paraId="5FD639C3" w14:textId="77777777" w:rsidR="008112BD" w:rsidRDefault="008112BD" w:rsidP="008112BD">
      <w:pPr>
        <w:pStyle w:val="AH5Sec"/>
      </w:pPr>
      <w:bookmarkStart w:id="1030" w:name="_Toc185514646"/>
      <w:r w:rsidRPr="00C8328B">
        <w:rPr>
          <w:rStyle w:val="CharSectNo"/>
        </w:rPr>
        <w:t>3210</w:t>
      </w:r>
      <w:r>
        <w:tab/>
        <w:t>Adoption proceedings—service of applications</w:t>
      </w:r>
      <w:bookmarkEnd w:id="1030"/>
    </w:p>
    <w:p w14:paraId="3872E5BA" w14:textId="77766D49" w:rsidR="008112BD" w:rsidRDefault="008112BD" w:rsidP="008112BD">
      <w:pPr>
        <w:pStyle w:val="Amain"/>
      </w:pPr>
      <w:r>
        <w:tab/>
        <w:t>(1)</w:t>
      </w:r>
      <w:r>
        <w:tab/>
        <w:t xml:space="preserve">A sealed copy of an application for an order under the </w:t>
      </w:r>
      <w:hyperlink r:id="rId380" w:tooltip="A1993-20" w:history="1">
        <w:r w:rsidRPr="00365CD4">
          <w:rPr>
            <w:rStyle w:val="charCitHyperlinkAbbrev"/>
          </w:rPr>
          <w:t>Adoption Act</w:t>
        </w:r>
      </w:hyperlink>
      <w:r>
        <w:t xml:space="preserve"> must be served personally.</w:t>
      </w:r>
    </w:p>
    <w:p w14:paraId="2AE3DC06" w14:textId="77777777" w:rsidR="008112BD" w:rsidRDefault="008112BD" w:rsidP="008112BD">
      <w:pPr>
        <w:pStyle w:val="Amain"/>
      </w:pPr>
      <w:r>
        <w:tab/>
        <w:t>(2)</w:t>
      </w:r>
      <w:r>
        <w:tab/>
        <w:t>However, a sealed copy of an application may be served on—</w:t>
      </w:r>
    </w:p>
    <w:p w14:paraId="027CA8A7" w14:textId="77777777"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14:paraId="035EB350" w14:textId="77777777" w:rsidR="008112BD" w:rsidRDefault="008112BD" w:rsidP="008112BD">
      <w:pPr>
        <w:pStyle w:val="Apara"/>
        <w:keepNext/>
      </w:pPr>
      <w:r>
        <w:tab/>
        <w:t>(b)</w:t>
      </w:r>
      <w:r>
        <w:tab/>
        <w:t>the principal officer of a private adoption agency by giving the sealed copy to a member of the staff of the agency.</w:t>
      </w:r>
    </w:p>
    <w:p w14:paraId="6311B0B8" w14:textId="77777777"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14:paraId="38B57D91" w14:textId="77777777"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14:paraId="259F0276" w14:textId="77777777" w:rsidR="008112BD" w:rsidRDefault="008112BD" w:rsidP="008112BD">
      <w:pPr>
        <w:pStyle w:val="AH5Sec"/>
      </w:pPr>
      <w:bookmarkStart w:id="1031" w:name="_Toc185514647"/>
      <w:r w:rsidRPr="00C8328B">
        <w:rPr>
          <w:rStyle w:val="CharSectNo"/>
        </w:rPr>
        <w:lastRenderedPageBreak/>
        <w:t>3211</w:t>
      </w:r>
      <w:r>
        <w:tab/>
        <w:t>Adoption proceedings—service of documents containing identifying information</w:t>
      </w:r>
      <w:bookmarkEnd w:id="1031"/>
    </w:p>
    <w:p w14:paraId="602E3A16" w14:textId="77777777" w:rsidR="008112BD" w:rsidRDefault="008112BD" w:rsidP="008112BD">
      <w:pPr>
        <w:pStyle w:val="Amain"/>
      </w:pPr>
      <w:r>
        <w:tab/>
        <w:t>(1)</w:t>
      </w:r>
      <w:r>
        <w:tab/>
        <w:t>This rule applies if—</w:t>
      </w:r>
    </w:p>
    <w:p w14:paraId="68775A4C" w14:textId="77777777" w:rsidR="008112BD" w:rsidRDefault="008112BD" w:rsidP="008112BD">
      <w:pPr>
        <w:pStyle w:val="Apara"/>
      </w:pPr>
      <w:r>
        <w:tab/>
        <w:t>(a)</w:t>
      </w:r>
      <w:r>
        <w:tab/>
        <w:t>a document is required to be served on an associated person in an adoption proceeding; and</w:t>
      </w:r>
    </w:p>
    <w:p w14:paraId="45CFFC90" w14:textId="77777777"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14:paraId="5718E9D1" w14:textId="0D039A90"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1" w:tooltip="A1993-20" w:history="1">
        <w:r w:rsidRPr="00365CD4">
          <w:rPr>
            <w:rStyle w:val="charCitHyperlinkAbbrev"/>
          </w:rPr>
          <w:t>Adoption Act</w:t>
        </w:r>
      </w:hyperlink>
      <w:r>
        <w:t>, s 58.</w:t>
      </w:r>
    </w:p>
    <w:p w14:paraId="71CED808" w14:textId="538F2D7A" w:rsidR="008112BD" w:rsidRDefault="008112BD" w:rsidP="008112BD">
      <w:pPr>
        <w:pStyle w:val="Amain"/>
      </w:pPr>
      <w:r>
        <w:tab/>
        <w:t>(2)</w:t>
      </w:r>
      <w:r>
        <w:tab/>
        <w:t xml:space="preserve">If the associated person is not entitled, under the </w:t>
      </w:r>
      <w:hyperlink r:id="rId382"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14:paraId="27429455" w14:textId="77777777" w:rsidR="008112BD" w:rsidRDefault="008112BD" w:rsidP="008112BD">
      <w:pPr>
        <w:pStyle w:val="PageBreak"/>
      </w:pPr>
      <w:r>
        <w:br w:type="page"/>
      </w:r>
    </w:p>
    <w:p w14:paraId="40414A3C" w14:textId="77777777" w:rsidR="008112BD" w:rsidRPr="00C8328B" w:rsidRDefault="008112BD" w:rsidP="008112BD">
      <w:pPr>
        <w:pStyle w:val="AH2Part"/>
      </w:pPr>
      <w:bookmarkStart w:id="1032" w:name="_Toc185514648"/>
      <w:r w:rsidRPr="00C8328B">
        <w:rPr>
          <w:rStyle w:val="CharPartNo"/>
        </w:rPr>
        <w:lastRenderedPageBreak/>
        <w:t>Part 3.3</w:t>
      </w:r>
      <w:r>
        <w:tab/>
      </w:r>
      <w:r w:rsidRPr="00C8328B">
        <w:rPr>
          <w:rStyle w:val="CharPartText"/>
        </w:rPr>
        <w:t>Commercial arbitration</w:t>
      </w:r>
      <w:bookmarkEnd w:id="1032"/>
    </w:p>
    <w:p w14:paraId="23C9B2F8" w14:textId="77777777" w:rsidR="008112BD" w:rsidRPr="00C8328B" w:rsidRDefault="008112BD" w:rsidP="008112BD">
      <w:pPr>
        <w:pStyle w:val="AH3Div"/>
      </w:pPr>
      <w:bookmarkStart w:id="1033" w:name="_Toc185514649"/>
      <w:r w:rsidRPr="00C8328B">
        <w:rPr>
          <w:rStyle w:val="CharDivNo"/>
        </w:rPr>
        <w:t>Division 3.3.1</w:t>
      </w:r>
      <w:r w:rsidRPr="005D331F">
        <w:tab/>
      </w:r>
      <w:r w:rsidRPr="00C8328B">
        <w:rPr>
          <w:rStyle w:val="CharDivText"/>
        </w:rPr>
        <w:t>Commercial arbitration—general</w:t>
      </w:r>
      <w:bookmarkEnd w:id="1033"/>
    </w:p>
    <w:p w14:paraId="0BE39F66" w14:textId="77777777" w:rsidR="008112BD" w:rsidRDefault="008112BD" w:rsidP="008112BD">
      <w:pPr>
        <w:pStyle w:val="AH5Sec"/>
      </w:pPr>
      <w:bookmarkStart w:id="1034" w:name="_Toc185514650"/>
      <w:r w:rsidRPr="00C8328B">
        <w:rPr>
          <w:rStyle w:val="CharSectNo"/>
        </w:rPr>
        <w:t>3250</w:t>
      </w:r>
      <w:r>
        <w:tab/>
        <w:t xml:space="preserve">Meaning of </w:t>
      </w:r>
      <w:r w:rsidRPr="00FE0788">
        <w:rPr>
          <w:rStyle w:val="charItals"/>
        </w:rPr>
        <w:t>Commercial Arbitration Act</w:t>
      </w:r>
      <w:r>
        <w:t>—pt 3.3</w:t>
      </w:r>
      <w:bookmarkEnd w:id="1034"/>
    </w:p>
    <w:p w14:paraId="3666D496" w14:textId="77777777" w:rsidR="008112BD" w:rsidRDefault="008112BD" w:rsidP="008112BD">
      <w:pPr>
        <w:pStyle w:val="Amainreturn"/>
        <w:keepNext/>
      </w:pPr>
      <w:r>
        <w:t>In this part:</w:t>
      </w:r>
    </w:p>
    <w:p w14:paraId="21F651BD" w14:textId="780BBA50" w:rsidR="008112BD" w:rsidRDefault="008112BD" w:rsidP="008112BD">
      <w:pPr>
        <w:pStyle w:val="aDef"/>
      </w:pPr>
      <w:r w:rsidRPr="00FE0788">
        <w:rPr>
          <w:rStyle w:val="charBoldItals"/>
        </w:rPr>
        <w:t>Commercial Arbitration Act</w:t>
      </w:r>
      <w:r>
        <w:t xml:space="preserve"> means the </w:t>
      </w:r>
      <w:hyperlink r:id="rId383" w:tooltip="A2017-7" w:history="1">
        <w:r w:rsidR="00325AD1">
          <w:rPr>
            <w:rStyle w:val="charCitHyperlinkItal"/>
          </w:rPr>
          <w:t>Commercial Arbitration Act 2017</w:t>
        </w:r>
      </w:hyperlink>
      <w:r>
        <w:t>.</w:t>
      </w:r>
    </w:p>
    <w:p w14:paraId="01AA91F0" w14:textId="77777777" w:rsidR="00325AD1" w:rsidRPr="00A60754" w:rsidRDefault="00325AD1" w:rsidP="00325AD1">
      <w:pPr>
        <w:pStyle w:val="AH5Sec"/>
      </w:pPr>
      <w:bookmarkStart w:id="1035" w:name="_Toc185514651"/>
      <w:r w:rsidRPr="00C8328B">
        <w:rPr>
          <w:rStyle w:val="CharSectNo"/>
        </w:rPr>
        <w:t>3251</w:t>
      </w:r>
      <w:r w:rsidRPr="00A60754">
        <w:tab/>
        <w:t>Terms used in Commercial Arbitration Act</w:t>
      </w:r>
      <w:bookmarkEnd w:id="1035"/>
    </w:p>
    <w:p w14:paraId="07AD423D" w14:textId="77777777" w:rsidR="00325AD1" w:rsidRPr="00A60754" w:rsidRDefault="00325AD1" w:rsidP="00325AD1">
      <w:pPr>
        <w:pStyle w:val="Amainreturn"/>
        <w:keepNext/>
      </w:pPr>
      <w:r w:rsidRPr="00A60754">
        <w:t>A term used in the Commercial Arbitration Act has the same meaning in this part.</w:t>
      </w:r>
    </w:p>
    <w:p w14:paraId="1CD2CB6C" w14:textId="5631ED0A"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4" w:tooltip="Commercial Arbitration Act 2017" w:history="1">
        <w:r w:rsidRPr="00A60754">
          <w:rPr>
            <w:rStyle w:val="charCitHyperlinkAbbrev"/>
          </w:rPr>
          <w:t>Commercial Arbitration Act</w:t>
        </w:r>
      </w:hyperlink>
      <w:r w:rsidRPr="00A60754">
        <w:t>, dictionary:</w:t>
      </w:r>
    </w:p>
    <w:p w14:paraId="5DD2AD9D"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14:paraId="765B4440"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14:paraId="2656361A"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14:paraId="546637D2"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14:paraId="70784BDA" w14:textId="77777777"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14:paraId="5202DEDC" w14:textId="7071B2B1"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85" w:tooltip="Commercial Arbitration Act 2017" w:history="1">
        <w:r w:rsidRPr="00A60754">
          <w:rPr>
            <w:rStyle w:val="charCitHyperlinkAbbrev"/>
          </w:rPr>
          <w:t>Commercial Arbitration Act</w:t>
        </w:r>
      </w:hyperlink>
      <w:r w:rsidRPr="00A60754">
        <w:t>, dictionary as follows:</w:t>
      </w:r>
    </w:p>
    <w:p w14:paraId="532C70B7" w14:textId="77777777" w:rsidR="00325AD1" w:rsidRPr="00A60754" w:rsidRDefault="00325AD1" w:rsidP="00325AD1">
      <w:pPr>
        <w:pStyle w:val="aNoteTextss"/>
      </w:pPr>
      <w:r w:rsidRPr="00A60754">
        <w:rPr>
          <w:rStyle w:val="charBoldItals"/>
        </w:rPr>
        <w:t>the court</w:t>
      </w:r>
      <w:r w:rsidRPr="00A60754">
        <w:t xml:space="preserve"> means, subject to section 6 (2), the Supreme Court.</w:t>
      </w:r>
    </w:p>
    <w:p w14:paraId="6AED11AB" w14:textId="77777777" w:rsidR="00325AD1" w:rsidRPr="00A60754" w:rsidRDefault="00325AD1" w:rsidP="00325AD1">
      <w:pPr>
        <w:pStyle w:val="aNoteTextss"/>
      </w:pPr>
      <w:r w:rsidRPr="00A60754">
        <w:t>Section 6 (2) provides as follows:</w:t>
      </w:r>
    </w:p>
    <w:p w14:paraId="23CBAA42" w14:textId="77777777"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14:paraId="574F776C" w14:textId="77777777"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14:paraId="1EA55516" w14:textId="77777777"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14:paraId="47BDE138" w14:textId="77777777"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14:paraId="5A75EBF9" w14:textId="77777777"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14:paraId="78EA85FF" w14:textId="77777777" w:rsidR="008112BD" w:rsidRDefault="008112BD" w:rsidP="008112BD">
      <w:pPr>
        <w:pStyle w:val="AH5Sec"/>
      </w:pPr>
      <w:bookmarkStart w:id="1036" w:name="_Toc185514652"/>
      <w:r w:rsidRPr="00C8328B">
        <w:rPr>
          <w:rStyle w:val="CharSectNo"/>
        </w:rPr>
        <w:t>3252</w:t>
      </w:r>
      <w:r>
        <w:tab/>
        <w:t>Commercial arbitration—application</w:t>
      </w:r>
      <w:bookmarkEnd w:id="1036"/>
    </w:p>
    <w:p w14:paraId="58237FF8" w14:textId="5A2C035B" w:rsidR="008112BD" w:rsidRDefault="008112BD" w:rsidP="008112BD">
      <w:pPr>
        <w:pStyle w:val="Amainreturn"/>
        <w:keepNext/>
      </w:pPr>
      <w:r>
        <w:t xml:space="preserve">A proceeding under the </w:t>
      </w:r>
      <w:hyperlink r:id="rId386" w:tooltip="A1986-84" w:history="1">
        <w:r w:rsidRPr="00850EE0">
          <w:rPr>
            <w:rStyle w:val="charCitHyperlinkAbbrev"/>
          </w:rPr>
          <w:t>Commercial Arbitration Act</w:t>
        </w:r>
      </w:hyperlink>
      <w:r>
        <w:t xml:space="preserve"> must be started by originating application.</w:t>
      </w:r>
    </w:p>
    <w:p w14:paraId="64F14281" w14:textId="77777777"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14:paraId="169140E8" w14:textId="77777777"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14:paraId="5D73C94A" w14:textId="77777777" w:rsidR="00325AD1" w:rsidRPr="00A60754" w:rsidRDefault="00325AD1" w:rsidP="00325AD1">
      <w:pPr>
        <w:pStyle w:val="AH5Sec"/>
      </w:pPr>
      <w:bookmarkStart w:id="1037" w:name="_Toc185514653"/>
      <w:r w:rsidRPr="00C8328B">
        <w:rPr>
          <w:rStyle w:val="CharSectNo"/>
        </w:rPr>
        <w:t>3253</w:t>
      </w:r>
      <w:r w:rsidRPr="00A60754">
        <w:tab/>
        <w:t>Commercial arbitration—leave to appeal under Commercial Arbitration Act, s 34A</w:t>
      </w:r>
      <w:bookmarkEnd w:id="1037"/>
    </w:p>
    <w:p w14:paraId="3DFE00E3" w14:textId="6BECF9DA"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87"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14:paraId="5474D89C" w14:textId="77777777"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14:paraId="21A6B1D7" w14:textId="77777777"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14:paraId="13013E6E" w14:textId="77777777"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14:paraId="31C4B3B7" w14:textId="368D0252"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88"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14:paraId="622F3E55" w14:textId="77777777" w:rsidR="00325AD1" w:rsidRPr="00A60754" w:rsidRDefault="00325AD1" w:rsidP="00325AD1">
      <w:pPr>
        <w:pStyle w:val="Amain"/>
      </w:pPr>
      <w:r w:rsidRPr="00A60754">
        <w:tab/>
        <w:t>(2)</w:t>
      </w:r>
      <w:r w:rsidRPr="00A60754">
        <w:tab/>
        <w:t>The application must be made not later than 3 months from—</w:t>
      </w:r>
    </w:p>
    <w:p w14:paraId="49772E53" w14:textId="77777777" w:rsidR="00325AD1" w:rsidRPr="00A60754" w:rsidRDefault="00325AD1" w:rsidP="00325AD1">
      <w:pPr>
        <w:pStyle w:val="Apara"/>
      </w:pPr>
      <w:r w:rsidRPr="00A60754">
        <w:tab/>
        <w:t>(a)</w:t>
      </w:r>
      <w:r w:rsidRPr="00A60754">
        <w:tab/>
        <w:t>the date on which the party making the appeal received the award; or</w:t>
      </w:r>
    </w:p>
    <w:p w14:paraId="7C39121F" w14:textId="1C55B367" w:rsidR="00325AD1" w:rsidRPr="00A60754" w:rsidRDefault="00325AD1" w:rsidP="00E1447C">
      <w:pPr>
        <w:pStyle w:val="Apara"/>
        <w:keepLines/>
      </w:pPr>
      <w:r w:rsidRPr="00A60754">
        <w:lastRenderedPageBreak/>
        <w:tab/>
        <w:t>(b)</w:t>
      </w:r>
      <w:r w:rsidRPr="00A60754">
        <w:tab/>
        <w:t xml:space="preserve">if a request had been made under the </w:t>
      </w:r>
      <w:hyperlink r:id="rId389"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347925A6" w14:textId="77777777"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26A62AD9" w14:textId="77777777" w:rsidR="00325AD1" w:rsidRPr="00A60754" w:rsidRDefault="00325AD1" w:rsidP="00325AD1">
      <w:pPr>
        <w:pStyle w:val="Amain"/>
      </w:pPr>
      <w:r w:rsidRPr="00A60754">
        <w:tab/>
        <w:t>(3)</w:t>
      </w:r>
      <w:r w:rsidRPr="00A60754">
        <w:tab/>
        <w:t>If the court grants leave to appeal, the appeal must be filed within—</w:t>
      </w:r>
    </w:p>
    <w:p w14:paraId="4FC67CA1" w14:textId="77777777" w:rsidR="00325AD1" w:rsidRPr="00A60754" w:rsidRDefault="00325AD1" w:rsidP="00325AD1">
      <w:pPr>
        <w:pStyle w:val="Apara"/>
      </w:pPr>
      <w:r w:rsidRPr="00A60754">
        <w:tab/>
        <w:t>(a)</w:t>
      </w:r>
      <w:r w:rsidRPr="00A60754">
        <w:tab/>
        <w:t>30 days after the day leave is granted; or</w:t>
      </w:r>
    </w:p>
    <w:p w14:paraId="0CA8165E" w14:textId="77777777" w:rsidR="00325AD1" w:rsidRPr="00A60754" w:rsidRDefault="00325AD1" w:rsidP="00325AD1">
      <w:pPr>
        <w:pStyle w:val="Apara"/>
      </w:pPr>
      <w:r w:rsidRPr="00A60754">
        <w:tab/>
        <w:t>(b)</w:t>
      </w:r>
      <w:r w:rsidRPr="00A60754">
        <w:tab/>
        <w:t>any further time allowed by the court.</w:t>
      </w:r>
    </w:p>
    <w:p w14:paraId="276EBA83" w14:textId="77777777" w:rsidR="002A5D94" w:rsidRPr="00A60754" w:rsidRDefault="002A5D94" w:rsidP="002A5D94">
      <w:pPr>
        <w:pStyle w:val="AH5Sec"/>
      </w:pPr>
      <w:bookmarkStart w:id="1038" w:name="_Toc185514654"/>
      <w:r w:rsidRPr="00C8328B">
        <w:rPr>
          <w:rStyle w:val="CharSectNo"/>
        </w:rPr>
        <w:t>3255</w:t>
      </w:r>
      <w:r w:rsidRPr="00A60754">
        <w:tab/>
        <w:t>Commercial arbitration—application under Commercial Arbitration Act, s 27J</w:t>
      </w:r>
      <w:bookmarkEnd w:id="1038"/>
    </w:p>
    <w:p w14:paraId="5DF60D6D" w14:textId="360323E9"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0"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14:paraId="436E06A2"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6F014E3D" w14:textId="69970D71"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1"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14:paraId="20236EC0" w14:textId="77777777" w:rsidR="002A5D94" w:rsidRPr="00A60754" w:rsidRDefault="002A5D94" w:rsidP="002A5D94">
      <w:pPr>
        <w:pStyle w:val="AH5Sec"/>
      </w:pPr>
      <w:bookmarkStart w:id="1039" w:name="_Toc185514655"/>
      <w:r w:rsidRPr="00C8328B">
        <w:rPr>
          <w:rStyle w:val="CharSectNo"/>
        </w:rPr>
        <w:t>3256</w:t>
      </w:r>
      <w:r w:rsidRPr="00A60754">
        <w:tab/>
        <w:t>Commercial arbitration—application for order under Commercial Arbitration Act, s 34 (1)</w:t>
      </w:r>
      <w:bookmarkEnd w:id="1039"/>
    </w:p>
    <w:p w14:paraId="0A5C8782" w14:textId="00899201"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14:paraId="1AC72BD8" w14:textId="77777777" w:rsidR="002A5D94" w:rsidRPr="00A60754" w:rsidRDefault="002A5D94" w:rsidP="002A5D94">
      <w:pPr>
        <w:pStyle w:val="Amain"/>
      </w:pPr>
      <w:r w:rsidRPr="00A60754">
        <w:tab/>
        <w:t>(2)</w:t>
      </w:r>
      <w:r w:rsidRPr="00A60754">
        <w:tab/>
        <w:t>The application must be made not later than 3 months from—</w:t>
      </w:r>
    </w:p>
    <w:p w14:paraId="65E9B7FC" w14:textId="77777777" w:rsidR="002A5D94" w:rsidRPr="00A60754" w:rsidRDefault="002A5D94" w:rsidP="002A5D94">
      <w:pPr>
        <w:pStyle w:val="Apara"/>
      </w:pPr>
      <w:r w:rsidRPr="00A60754">
        <w:tab/>
        <w:t>(a)</w:t>
      </w:r>
      <w:r w:rsidRPr="00A60754">
        <w:tab/>
        <w:t>the date on which the party making the application had received the award; or</w:t>
      </w:r>
    </w:p>
    <w:p w14:paraId="5244396E" w14:textId="407710D1" w:rsidR="002A5D94" w:rsidRPr="00A60754" w:rsidRDefault="002A5D94" w:rsidP="002A5D94">
      <w:pPr>
        <w:pStyle w:val="Apara"/>
      </w:pPr>
      <w:r w:rsidRPr="00A60754">
        <w:lastRenderedPageBreak/>
        <w:tab/>
        <w:t>(b)</w:t>
      </w:r>
      <w:r w:rsidRPr="00A60754">
        <w:tab/>
        <w:t xml:space="preserve">if a request had been made under the </w:t>
      </w:r>
      <w:hyperlink r:id="rId393"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1E5C069B"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4B763363" w14:textId="77777777" w:rsidR="008112BD" w:rsidRPr="005D331F" w:rsidRDefault="008112BD" w:rsidP="008112BD">
      <w:pPr>
        <w:pStyle w:val="AH5Sec"/>
      </w:pPr>
      <w:bookmarkStart w:id="1040" w:name="_Toc185514656"/>
      <w:r w:rsidRPr="00C8328B">
        <w:rPr>
          <w:rStyle w:val="CharSectNo"/>
        </w:rPr>
        <w:t>3257</w:t>
      </w:r>
      <w:r w:rsidRPr="005D331F">
        <w:tab/>
        <w:t>Commercial arbitration—offers of compromise</w:t>
      </w:r>
      <w:bookmarkEnd w:id="1040"/>
    </w:p>
    <w:p w14:paraId="109E36F5" w14:textId="77777777"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14:paraId="20AF0E40" w14:textId="77777777" w:rsidR="008112BD" w:rsidRPr="005D331F" w:rsidRDefault="008112BD" w:rsidP="008112BD">
      <w:pPr>
        <w:pStyle w:val="Amain"/>
      </w:pPr>
      <w:r w:rsidRPr="005D331F">
        <w:tab/>
        <w:t>(2)</w:t>
      </w:r>
      <w:r w:rsidRPr="005D331F">
        <w:tab/>
        <w:t>Part 2.10 (Offers of compromise) applies, with necessary changes, in relation to the offer as if—</w:t>
      </w:r>
    </w:p>
    <w:p w14:paraId="76C27E65" w14:textId="77777777" w:rsidR="008112BD" w:rsidRPr="005D331F" w:rsidRDefault="008112BD" w:rsidP="008112BD">
      <w:pPr>
        <w:pStyle w:val="Apara"/>
      </w:pPr>
      <w:r w:rsidRPr="005D331F">
        <w:tab/>
        <w:t>(a)</w:t>
      </w:r>
      <w:r w:rsidRPr="005D331F">
        <w:tab/>
        <w:t>the arbitration were a proceeding; and</w:t>
      </w:r>
    </w:p>
    <w:p w14:paraId="1E77DE08" w14:textId="77777777" w:rsidR="008112BD" w:rsidRPr="005D331F" w:rsidRDefault="008112BD" w:rsidP="008112BD">
      <w:pPr>
        <w:pStyle w:val="Apara"/>
      </w:pPr>
      <w:r w:rsidRPr="005D331F">
        <w:tab/>
        <w:t>(b)</w:t>
      </w:r>
      <w:r w:rsidRPr="005D331F">
        <w:tab/>
        <w:t>the respondent were a defendant who has made or received an offer of compromise in the proceeding; and</w:t>
      </w:r>
    </w:p>
    <w:p w14:paraId="778D9DC3" w14:textId="77777777" w:rsidR="008112BD" w:rsidRPr="005D331F" w:rsidRDefault="008112BD" w:rsidP="008112BD">
      <w:pPr>
        <w:pStyle w:val="Apara"/>
      </w:pPr>
      <w:r w:rsidRPr="005D331F">
        <w:tab/>
        <w:t>(c)</w:t>
      </w:r>
      <w:r w:rsidRPr="005D331F">
        <w:tab/>
        <w:t>the claimant were the plaintiff who has made or received an offer of compromise in the proceeding; and</w:t>
      </w:r>
    </w:p>
    <w:p w14:paraId="0EEA3F46" w14:textId="77777777" w:rsidR="008112BD" w:rsidRPr="005D331F" w:rsidRDefault="008112BD" w:rsidP="008112BD">
      <w:pPr>
        <w:pStyle w:val="Apara"/>
      </w:pPr>
      <w:r w:rsidRPr="005D331F">
        <w:tab/>
        <w:t>(d)</w:t>
      </w:r>
      <w:r w:rsidRPr="005D331F">
        <w:tab/>
        <w:t>the other parties to the agreement were other parties to the proceeding.</w:t>
      </w:r>
    </w:p>
    <w:p w14:paraId="4B8A169A" w14:textId="77777777" w:rsidR="008112BD" w:rsidRDefault="008112BD" w:rsidP="008112BD">
      <w:pPr>
        <w:pStyle w:val="AH5Sec"/>
      </w:pPr>
      <w:bookmarkStart w:id="1041" w:name="_Toc185514657"/>
      <w:r w:rsidRPr="00C8328B">
        <w:rPr>
          <w:rStyle w:val="CharSectNo"/>
        </w:rPr>
        <w:t>3258</w:t>
      </w:r>
      <w:r>
        <w:tab/>
        <w:t>Commercial arbitration—examination of witnesses</w:t>
      </w:r>
      <w:bookmarkEnd w:id="1041"/>
    </w:p>
    <w:p w14:paraId="0B91F84D" w14:textId="7AA199DE" w:rsidR="008112BD" w:rsidRDefault="008112BD" w:rsidP="008112BD">
      <w:pPr>
        <w:pStyle w:val="Amainreturn"/>
      </w:pPr>
      <w:r>
        <w:t xml:space="preserve">Part 6.10 (Evidence) applies in relation to the examination of a witness in a proceeding under the </w:t>
      </w:r>
      <w:hyperlink r:id="rId394" w:tooltip="A1986-84" w:history="1">
        <w:r w:rsidRPr="00850EE0">
          <w:rPr>
            <w:rStyle w:val="charCitHyperlinkAbbrev"/>
          </w:rPr>
          <w:t>Commercial Arbitration Act</w:t>
        </w:r>
      </w:hyperlink>
      <w:r>
        <w:t xml:space="preserve"> as if the witness were a witness for the purposes of a trial and any other necessary changes were made.</w:t>
      </w:r>
    </w:p>
    <w:p w14:paraId="79EF5A17" w14:textId="77777777" w:rsidR="002A5D94" w:rsidRPr="00A60754" w:rsidRDefault="002A5D94" w:rsidP="002A5D94">
      <w:pPr>
        <w:pStyle w:val="AH5Sec"/>
      </w:pPr>
      <w:bookmarkStart w:id="1042" w:name="_Toc185514658"/>
      <w:r w:rsidRPr="00C8328B">
        <w:rPr>
          <w:rStyle w:val="CharSectNo"/>
        </w:rPr>
        <w:lastRenderedPageBreak/>
        <w:t>3259</w:t>
      </w:r>
      <w:r w:rsidRPr="00A60754">
        <w:tab/>
        <w:t>Commercial arbitration—decision to refuse to issue interim measure</w:t>
      </w:r>
      <w:bookmarkEnd w:id="1042"/>
    </w:p>
    <w:p w14:paraId="6E60266E" w14:textId="14804DAD" w:rsidR="002A5D94" w:rsidRPr="00A60754" w:rsidRDefault="002A5D94" w:rsidP="002A5D94">
      <w:pPr>
        <w:pStyle w:val="Amainreturn"/>
      </w:pPr>
      <w:r w:rsidRPr="00A60754">
        <w:t xml:space="preserve">The court may refuse to issue an interim measure under the </w:t>
      </w:r>
      <w:hyperlink r:id="rId395"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14:paraId="79AF3062" w14:textId="77777777" w:rsidR="002A5D94" w:rsidRPr="00A60754" w:rsidRDefault="002A5D94" w:rsidP="002A5D94">
      <w:pPr>
        <w:pStyle w:val="AH5Sec"/>
      </w:pPr>
      <w:bookmarkStart w:id="1043" w:name="_Toc185514659"/>
      <w:r w:rsidRPr="00C8328B">
        <w:rPr>
          <w:rStyle w:val="CharSectNo"/>
        </w:rPr>
        <w:t>3260</w:t>
      </w:r>
      <w:r w:rsidRPr="00A60754">
        <w:tab/>
        <w:t>Commercial arbitration—application to enforce arbitral award</w:t>
      </w:r>
      <w:bookmarkEnd w:id="1043"/>
    </w:p>
    <w:p w14:paraId="50E02B7E" w14:textId="78F27143"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396"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14:paraId="42F15F68" w14:textId="77777777"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14:paraId="40E6026E" w14:textId="77777777"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14:paraId="52F81425" w14:textId="77777777"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14:paraId="1229B5A6" w14:textId="77777777"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14:paraId="652A4B7D" w14:textId="77777777" w:rsidR="002A5D94" w:rsidRPr="00A60754" w:rsidRDefault="002A5D94" w:rsidP="002A5D94">
      <w:pPr>
        <w:pStyle w:val="AH5Sec"/>
      </w:pPr>
      <w:bookmarkStart w:id="1044" w:name="_Toc185514660"/>
      <w:r w:rsidRPr="00C8328B">
        <w:rPr>
          <w:rStyle w:val="CharSectNo"/>
        </w:rPr>
        <w:t>3261</w:t>
      </w:r>
      <w:r w:rsidRPr="00A60754">
        <w:tab/>
        <w:t>Commercial arbitration—evidence of arbitral award for purposes of enforcement</w:t>
      </w:r>
      <w:bookmarkEnd w:id="1044"/>
    </w:p>
    <w:p w14:paraId="229EDE5E" w14:textId="1D238AF1"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397"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14:paraId="43C57B77" w14:textId="7A6249C6"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398"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399"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14:paraId="0A1E4A5E" w14:textId="77777777" w:rsidR="002A5D94" w:rsidRPr="00A60754" w:rsidRDefault="002A5D94" w:rsidP="002A5D94">
      <w:pPr>
        <w:pStyle w:val="AH5Sec"/>
      </w:pPr>
      <w:bookmarkStart w:id="1045" w:name="_Toc185514661"/>
      <w:r w:rsidRPr="00C8328B">
        <w:rPr>
          <w:rStyle w:val="CharSectNo"/>
        </w:rPr>
        <w:lastRenderedPageBreak/>
        <w:t>3262</w:t>
      </w:r>
      <w:r w:rsidRPr="00A60754">
        <w:tab/>
        <w:t>Commercial arbitration—endorsement and service of application for enforcement</w:t>
      </w:r>
      <w:bookmarkEnd w:id="1045"/>
    </w:p>
    <w:p w14:paraId="4717AC39" w14:textId="6EEB22EC" w:rsidR="002A5D94" w:rsidRPr="00A60754" w:rsidRDefault="002A5D94" w:rsidP="002A5D94">
      <w:pPr>
        <w:pStyle w:val="Amain"/>
      </w:pPr>
      <w:r w:rsidRPr="00A60754">
        <w:tab/>
        <w:t>(1)</w:t>
      </w:r>
      <w:r w:rsidRPr="00A60754">
        <w:tab/>
        <w:t xml:space="preserve">An application under the </w:t>
      </w:r>
      <w:hyperlink r:id="rId400" w:tooltip="Commercial Arbitration Act 2017" w:history="1">
        <w:r w:rsidRPr="00A60754">
          <w:rPr>
            <w:rStyle w:val="charCitHyperlinkAbbrev"/>
          </w:rPr>
          <w:t>Commercial Arbitration Act</w:t>
        </w:r>
      </w:hyperlink>
      <w:r w:rsidRPr="00A60754">
        <w:t>, section 35 (Recognition and enforcement) to enforce an arbitral award must—</w:t>
      </w:r>
    </w:p>
    <w:p w14:paraId="7236E9C2" w14:textId="77777777"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14:paraId="3FB2BCA0" w14:textId="77777777" w:rsidR="002A5D94" w:rsidRPr="00A60754" w:rsidRDefault="002A5D94" w:rsidP="002A5D94">
      <w:pPr>
        <w:pStyle w:val="Apara"/>
      </w:pPr>
      <w:r w:rsidRPr="00A60754">
        <w:tab/>
        <w:t>(b)</w:t>
      </w:r>
      <w:r w:rsidRPr="00A60754">
        <w:tab/>
        <w:t>be served on the person against whom it is sought to enforce the award.</w:t>
      </w:r>
    </w:p>
    <w:p w14:paraId="46FB176C" w14:textId="77777777"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14:paraId="29BE6726" w14:textId="77777777" w:rsidR="002A5D94" w:rsidRPr="00A60754" w:rsidRDefault="002A5D94" w:rsidP="002A5D94">
      <w:pPr>
        <w:pStyle w:val="Amain"/>
      </w:pPr>
      <w:r w:rsidRPr="00A60754">
        <w:tab/>
        <w:t>(2)</w:t>
      </w:r>
      <w:r w:rsidRPr="00A60754">
        <w:tab/>
        <w:t>The court must not recognise an arbitral award, or make an order for its enforcement, until—</w:t>
      </w:r>
    </w:p>
    <w:p w14:paraId="0887D947" w14:textId="77777777" w:rsidR="002A5D94" w:rsidRPr="00A60754" w:rsidRDefault="002A5D94" w:rsidP="002A5D94">
      <w:pPr>
        <w:pStyle w:val="Apara"/>
      </w:pPr>
      <w:r w:rsidRPr="00A60754">
        <w:tab/>
        <w:t>(a)</w:t>
      </w:r>
      <w:r w:rsidRPr="00A60754">
        <w:tab/>
        <w:t>the end of the period mentioned in subrule (1); and</w:t>
      </w:r>
    </w:p>
    <w:p w14:paraId="5EA71C4F" w14:textId="77777777"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14:paraId="4BF5E049" w14:textId="77777777" w:rsidR="008112BD" w:rsidRPr="00C8328B" w:rsidRDefault="008112BD" w:rsidP="008112BD">
      <w:pPr>
        <w:pStyle w:val="AH3Div"/>
      </w:pPr>
      <w:bookmarkStart w:id="1046" w:name="_Toc185514662"/>
      <w:r w:rsidRPr="00C8328B">
        <w:rPr>
          <w:rStyle w:val="CharDivNo"/>
        </w:rPr>
        <w:t>Division 3.3.2</w:t>
      </w:r>
      <w:r w:rsidRPr="005D331F">
        <w:tab/>
      </w:r>
      <w:r w:rsidRPr="00C8328B">
        <w:rPr>
          <w:rStyle w:val="CharDivText"/>
        </w:rPr>
        <w:t>Commercial arbitration—payment into court</w:t>
      </w:r>
      <w:bookmarkEnd w:id="1046"/>
    </w:p>
    <w:p w14:paraId="32AA2557" w14:textId="77777777" w:rsidR="008112BD" w:rsidRPr="005D331F" w:rsidRDefault="008112BD" w:rsidP="008112BD">
      <w:pPr>
        <w:pStyle w:val="AH5Sec"/>
      </w:pPr>
      <w:bookmarkStart w:id="1047" w:name="_Toc185514663"/>
      <w:r w:rsidRPr="00C8328B">
        <w:rPr>
          <w:rStyle w:val="CharSectNo"/>
        </w:rPr>
        <w:t>3263</w:t>
      </w:r>
      <w:r w:rsidRPr="005D331F">
        <w:tab/>
        <w:t>Commercial arbitration—payment into court</w:t>
      </w:r>
      <w:bookmarkEnd w:id="1047"/>
    </w:p>
    <w:p w14:paraId="446745C2" w14:textId="77777777"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14:paraId="48EC046F" w14:textId="77777777" w:rsidR="008112BD" w:rsidRPr="005D331F" w:rsidRDefault="008112BD" w:rsidP="008112BD">
      <w:pPr>
        <w:pStyle w:val="Amain"/>
      </w:pPr>
      <w:r w:rsidRPr="005D331F">
        <w:tab/>
        <w:t>(2)</w:t>
      </w:r>
      <w:r w:rsidRPr="005D331F">
        <w:tab/>
        <w:t>The respondent must serve a notice of the payment on the claimant and any other party to the agreement.</w:t>
      </w:r>
    </w:p>
    <w:p w14:paraId="2172F1D0" w14:textId="77777777"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14:paraId="51B38A15" w14:textId="77777777"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14:paraId="6FC53971" w14:textId="77777777" w:rsidR="008112BD" w:rsidRPr="005D331F" w:rsidRDefault="008112BD" w:rsidP="008112BD">
      <w:pPr>
        <w:pStyle w:val="AH5Sec"/>
      </w:pPr>
      <w:bookmarkStart w:id="1048" w:name="_Toc185514664"/>
      <w:r w:rsidRPr="00C8328B">
        <w:rPr>
          <w:rStyle w:val="CharSectNo"/>
        </w:rPr>
        <w:t>3264</w:t>
      </w:r>
      <w:r w:rsidRPr="005D331F">
        <w:tab/>
        <w:t>Payment into court—costs</w:t>
      </w:r>
      <w:bookmarkEnd w:id="1048"/>
    </w:p>
    <w:p w14:paraId="7C39A0E1" w14:textId="77777777"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14:paraId="49DDC941" w14:textId="77777777" w:rsidR="008112BD" w:rsidRPr="005D331F" w:rsidRDefault="008112BD" w:rsidP="008112BD">
      <w:pPr>
        <w:pStyle w:val="Amain"/>
      </w:pPr>
      <w:r w:rsidRPr="005D331F">
        <w:tab/>
        <w:t>(2)</w:t>
      </w:r>
      <w:r w:rsidRPr="005D331F">
        <w:tab/>
        <w:t>This division applies, with necessary changes, in relation to costs as if—</w:t>
      </w:r>
    </w:p>
    <w:p w14:paraId="5C7EA3A5" w14:textId="77777777" w:rsidR="008112BD" w:rsidRPr="005D331F" w:rsidRDefault="008112BD" w:rsidP="008112BD">
      <w:pPr>
        <w:pStyle w:val="Apara"/>
      </w:pPr>
      <w:r w:rsidRPr="005D331F">
        <w:tab/>
        <w:t>(a)</w:t>
      </w:r>
      <w:r w:rsidRPr="005D331F">
        <w:tab/>
        <w:t>the party entitled to the costs is a claimant; and</w:t>
      </w:r>
    </w:p>
    <w:p w14:paraId="0158D367" w14:textId="77777777" w:rsidR="008112BD" w:rsidRPr="005D331F" w:rsidRDefault="008112BD" w:rsidP="008112BD">
      <w:pPr>
        <w:pStyle w:val="Apara"/>
      </w:pPr>
      <w:r w:rsidRPr="005D331F">
        <w:tab/>
        <w:t>(b)</w:t>
      </w:r>
      <w:r w:rsidRPr="005D331F">
        <w:tab/>
        <w:t>the party liable to pay the costs is a respondent; and</w:t>
      </w:r>
    </w:p>
    <w:p w14:paraId="47B2BD75" w14:textId="77777777" w:rsidR="008112BD" w:rsidRPr="005D331F" w:rsidRDefault="008112BD" w:rsidP="008112BD">
      <w:pPr>
        <w:pStyle w:val="Apara"/>
      </w:pPr>
      <w:r w:rsidRPr="005D331F">
        <w:tab/>
        <w:t>(c)</w:t>
      </w:r>
      <w:r w:rsidRPr="005D331F">
        <w:tab/>
        <w:t>the party’s entitlement to costs is a claim to which the arbitration agreement applies.</w:t>
      </w:r>
    </w:p>
    <w:p w14:paraId="2F1AFD55" w14:textId="77777777" w:rsidR="008112BD" w:rsidRPr="005D331F" w:rsidRDefault="008112BD" w:rsidP="008112BD">
      <w:pPr>
        <w:pStyle w:val="AH5Sec"/>
      </w:pPr>
      <w:bookmarkStart w:id="1049" w:name="_Toc185514665"/>
      <w:r w:rsidRPr="00C8328B">
        <w:rPr>
          <w:rStyle w:val="CharSectNo"/>
        </w:rPr>
        <w:t>3265</w:t>
      </w:r>
      <w:r w:rsidRPr="005D331F">
        <w:tab/>
        <w:t>Payment into court—bond or security</w:t>
      </w:r>
      <w:bookmarkEnd w:id="1049"/>
    </w:p>
    <w:p w14:paraId="3975844A" w14:textId="77777777"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14:paraId="6C60DFA0" w14:textId="77777777" w:rsidR="008112BD" w:rsidRPr="005D331F" w:rsidRDefault="008112BD" w:rsidP="008112BD">
      <w:pPr>
        <w:pStyle w:val="Amain"/>
      </w:pPr>
      <w:r w:rsidRPr="005D331F">
        <w:tab/>
        <w:t>(2)</w:t>
      </w:r>
      <w:r w:rsidRPr="005D331F">
        <w:tab/>
        <w:t>The bond must be given by—</w:t>
      </w:r>
    </w:p>
    <w:p w14:paraId="5B6FE7AC" w14:textId="77777777" w:rsidR="008112BD" w:rsidRPr="005D331F" w:rsidRDefault="008112BD" w:rsidP="008112BD">
      <w:pPr>
        <w:pStyle w:val="Apara"/>
      </w:pPr>
      <w:r w:rsidRPr="005D331F">
        <w:tab/>
        <w:t>(a)</w:t>
      </w:r>
      <w:r w:rsidRPr="005D331F">
        <w:tab/>
        <w:t>a corporation approved by the registrar; or</w:t>
      </w:r>
    </w:p>
    <w:p w14:paraId="6F1796B6" w14:textId="77777777" w:rsidR="008112BD" w:rsidRPr="005D331F" w:rsidRDefault="008112BD" w:rsidP="008112BD">
      <w:pPr>
        <w:pStyle w:val="Apara"/>
      </w:pPr>
      <w:r w:rsidRPr="005D331F">
        <w:tab/>
        <w:t>(b)</w:t>
      </w:r>
      <w:r w:rsidRPr="005D331F">
        <w:tab/>
        <w:t>the Territory, the Commonwealth or a State; or</w:t>
      </w:r>
    </w:p>
    <w:p w14:paraId="76FDAD2A" w14:textId="77777777" w:rsidR="008112BD" w:rsidRPr="005D331F" w:rsidRDefault="008112BD" w:rsidP="008112BD">
      <w:pPr>
        <w:pStyle w:val="Apara"/>
      </w:pPr>
      <w:r w:rsidRPr="005D331F">
        <w:tab/>
        <w:t>(c)</w:t>
      </w:r>
      <w:r w:rsidRPr="005D331F">
        <w:tab/>
        <w:t>a person who is authorised, in writing, to give the bond for a person mentioned in paragraph (a) or (b).</w:t>
      </w:r>
    </w:p>
    <w:p w14:paraId="7CE91792" w14:textId="77777777" w:rsidR="008112BD" w:rsidRPr="005D331F" w:rsidRDefault="008112BD" w:rsidP="002F0862">
      <w:pPr>
        <w:pStyle w:val="Amain"/>
        <w:keepNext/>
      </w:pPr>
      <w:r w:rsidRPr="005D331F">
        <w:tab/>
        <w:t>(3)</w:t>
      </w:r>
      <w:r w:rsidRPr="005D331F">
        <w:tab/>
        <w:t>The bond or security—</w:t>
      </w:r>
    </w:p>
    <w:p w14:paraId="153A2ADC" w14:textId="77777777"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14:paraId="738B0645" w14:textId="77777777" w:rsidR="008112BD" w:rsidRPr="005D331F" w:rsidRDefault="008112BD" w:rsidP="008112BD">
      <w:pPr>
        <w:pStyle w:val="Apara"/>
      </w:pPr>
      <w:r w:rsidRPr="005D331F">
        <w:tab/>
        <w:t>(b)</w:t>
      </w:r>
      <w:r w:rsidRPr="005D331F">
        <w:tab/>
        <w:t>applies as if the party had paid the amount of the bond or security into court under subrule (1).</w:t>
      </w:r>
    </w:p>
    <w:p w14:paraId="377C88CB" w14:textId="77777777" w:rsidR="008112BD" w:rsidRPr="005D331F" w:rsidRDefault="008112BD" w:rsidP="008112BD">
      <w:pPr>
        <w:pStyle w:val="AH5Sec"/>
      </w:pPr>
      <w:bookmarkStart w:id="1050" w:name="_Toc185514666"/>
      <w:r w:rsidRPr="00C8328B">
        <w:rPr>
          <w:rStyle w:val="CharSectNo"/>
        </w:rPr>
        <w:lastRenderedPageBreak/>
        <w:t>3266</w:t>
      </w:r>
      <w:r w:rsidRPr="005D331F">
        <w:tab/>
        <w:t>Payment into court—interest up to payment</w:t>
      </w:r>
      <w:bookmarkEnd w:id="1050"/>
    </w:p>
    <w:p w14:paraId="3F9893CF" w14:textId="77777777"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14:paraId="5B6B51A7" w14:textId="77777777" w:rsidR="008112BD" w:rsidRPr="005D331F" w:rsidRDefault="008112BD" w:rsidP="008112BD">
      <w:pPr>
        <w:pStyle w:val="AH5Sec"/>
      </w:pPr>
      <w:bookmarkStart w:id="1051" w:name="_Toc185514667"/>
      <w:r w:rsidRPr="00C8328B">
        <w:rPr>
          <w:rStyle w:val="CharSectNo"/>
        </w:rPr>
        <w:t>3267</w:t>
      </w:r>
      <w:r w:rsidRPr="005D331F">
        <w:tab/>
        <w:t>Payment into court—acceptance</w:t>
      </w:r>
      <w:bookmarkEnd w:id="1051"/>
    </w:p>
    <w:p w14:paraId="3F284B42" w14:textId="77777777"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14:paraId="07DC09C8" w14:textId="77777777" w:rsidR="008112BD" w:rsidRPr="005D331F" w:rsidRDefault="008112BD" w:rsidP="008112BD">
      <w:pPr>
        <w:pStyle w:val="Apara"/>
      </w:pPr>
      <w:r w:rsidRPr="005D331F">
        <w:tab/>
        <w:t>(a)</w:t>
      </w:r>
      <w:r w:rsidRPr="005D331F">
        <w:tab/>
        <w:t>not later than 14 days after the day notice of the payment into court is served on the claimant; or</w:t>
      </w:r>
    </w:p>
    <w:p w14:paraId="1F6FF93A" w14:textId="77777777"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14:paraId="25B8E90F" w14:textId="77777777"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14:paraId="41D1A6C3" w14:textId="77777777"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14:paraId="22F7572A" w14:textId="77777777" w:rsidR="008112BD" w:rsidRPr="005D331F" w:rsidRDefault="008112BD" w:rsidP="008112BD">
      <w:pPr>
        <w:pStyle w:val="Apara"/>
      </w:pPr>
      <w:r w:rsidRPr="005D331F">
        <w:tab/>
        <w:t>(a)</w:t>
      </w:r>
      <w:r w:rsidRPr="005D331F">
        <w:tab/>
        <w:t>withdraw the claimant’s acceptance by notice; or</w:t>
      </w:r>
    </w:p>
    <w:p w14:paraId="05D7B550" w14:textId="77777777" w:rsidR="008112BD" w:rsidRPr="005D331F" w:rsidRDefault="008112BD" w:rsidP="008112BD">
      <w:pPr>
        <w:pStyle w:val="Apara"/>
      </w:pPr>
      <w:r w:rsidRPr="005D331F">
        <w:tab/>
        <w:t>(b)</w:t>
      </w:r>
      <w:r w:rsidRPr="005D331F">
        <w:tab/>
        <w:t>ask the registrar to assign the bond or security to the claimant so the claimant can enforce it.</w:t>
      </w:r>
    </w:p>
    <w:p w14:paraId="3F536361" w14:textId="77777777" w:rsidR="008112BD" w:rsidRPr="005D331F" w:rsidRDefault="008112BD" w:rsidP="008112BD">
      <w:pPr>
        <w:pStyle w:val="Amain"/>
      </w:pPr>
      <w:r w:rsidRPr="005D331F">
        <w:tab/>
        <w:t>(4)</w:t>
      </w:r>
      <w:r w:rsidRPr="005D331F">
        <w:tab/>
        <w:t>If the amount was paid into court by 1 of 2 or more respondents, the amount may be paid out only—</w:t>
      </w:r>
    </w:p>
    <w:p w14:paraId="7D18453E" w14:textId="77777777" w:rsidR="008112BD" w:rsidRPr="005D331F" w:rsidRDefault="008112BD" w:rsidP="008112BD">
      <w:pPr>
        <w:pStyle w:val="Apara"/>
      </w:pPr>
      <w:r w:rsidRPr="005D331F">
        <w:tab/>
        <w:t>(a)</w:t>
      </w:r>
      <w:r w:rsidRPr="005D331F">
        <w:tab/>
        <w:t>with the agreement of the parties to the agreement; or</w:t>
      </w:r>
    </w:p>
    <w:p w14:paraId="272566E4"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60E90CF9" w14:textId="77777777"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14:paraId="67A3859F" w14:textId="77777777" w:rsidR="008112BD" w:rsidRPr="005D331F" w:rsidRDefault="008112BD" w:rsidP="008112BD">
      <w:pPr>
        <w:pStyle w:val="Apara"/>
      </w:pPr>
      <w:r w:rsidRPr="005D331F">
        <w:tab/>
        <w:t>(a)</w:t>
      </w:r>
      <w:r w:rsidRPr="005D331F">
        <w:tab/>
        <w:t>the claimant; or</w:t>
      </w:r>
    </w:p>
    <w:p w14:paraId="074A0473" w14:textId="77777777"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14:paraId="3D996188" w14:textId="77777777" w:rsidR="008112BD" w:rsidRPr="005D331F" w:rsidRDefault="008112BD" w:rsidP="008112BD">
      <w:pPr>
        <w:pStyle w:val="Amain"/>
      </w:pPr>
      <w:r w:rsidRPr="005D331F">
        <w:tab/>
        <w:t>(6)</w:t>
      </w:r>
      <w:r w:rsidRPr="005D331F">
        <w:tab/>
        <w:t>If payment out of court is made in accordance with this rule, the claim is permanently stayed.</w:t>
      </w:r>
    </w:p>
    <w:p w14:paraId="403F6943" w14:textId="77777777" w:rsidR="008112BD" w:rsidRPr="005D331F" w:rsidRDefault="008112BD" w:rsidP="008112BD">
      <w:pPr>
        <w:pStyle w:val="AH5Sec"/>
      </w:pPr>
      <w:bookmarkStart w:id="1052" w:name="_Toc185514668"/>
      <w:r w:rsidRPr="00C8328B">
        <w:rPr>
          <w:rStyle w:val="CharSectNo"/>
        </w:rPr>
        <w:t>3268</w:t>
      </w:r>
      <w:r w:rsidRPr="005D331F">
        <w:tab/>
        <w:t>Payment into court—costs on acceptance by claimant</w:t>
      </w:r>
      <w:bookmarkEnd w:id="1052"/>
    </w:p>
    <w:p w14:paraId="5BB5F46C" w14:textId="77777777"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14:paraId="6E6EBF34" w14:textId="77777777" w:rsidR="008112BD" w:rsidRPr="005D331F" w:rsidRDefault="008112BD" w:rsidP="008112BD">
      <w:pPr>
        <w:pStyle w:val="Amain"/>
      </w:pPr>
      <w:r w:rsidRPr="005D331F">
        <w:tab/>
        <w:t>(2)</w:t>
      </w:r>
      <w:r w:rsidRPr="005D331F">
        <w:tab/>
        <w:t>The costs claimed in the bill of costs may include—</w:t>
      </w:r>
    </w:p>
    <w:p w14:paraId="29AA2447" w14:textId="77777777" w:rsidR="008112BD" w:rsidRPr="005D331F" w:rsidRDefault="008112BD" w:rsidP="008112BD">
      <w:pPr>
        <w:pStyle w:val="Apara"/>
      </w:pPr>
      <w:r w:rsidRPr="005D331F">
        <w:tab/>
        <w:t>(a)</w:t>
      </w:r>
      <w:r w:rsidRPr="005D331F">
        <w:tab/>
        <w:t>the costs incurred to the day of payment into court; and</w:t>
      </w:r>
    </w:p>
    <w:p w14:paraId="7F3E9154" w14:textId="77777777" w:rsidR="008112BD" w:rsidRPr="005D331F" w:rsidRDefault="008112BD" w:rsidP="008112BD">
      <w:pPr>
        <w:pStyle w:val="Apara"/>
      </w:pPr>
      <w:r w:rsidRPr="005D331F">
        <w:tab/>
        <w:t>(b)</w:t>
      </w:r>
      <w:r w:rsidRPr="005D331F">
        <w:tab/>
        <w:t>the costs reasonably incurred in accepting the payment; and</w:t>
      </w:r>
    </w:p>
    <w:p w14:paraId="1E5A460B" w14:textId="77777777" w:rsidR="008112BD" w:rsidRPr="005D331F" w:rsidRDefault="008112BD" w:rsidP="008112BD">
      <w:pPr>
        <w:pStyle w:val="Apara"/>
      </w:pPr>
      <w:r w:rsidRPr="005D331F">
        <w:tab/>
        <w:t>(c)</w:t>
      </w:r>
      <w:r w:rsidRPr="005D331F">
        <w:tab/>
        <w:t>the costs incurred in preparing the bill of costs.</w:t>
      </w:r>
    </w:p>
    <w:p w14:paraId="083DD7A9" w14:textId="77777777" w:rsidR="008112BD" w:rsidRPr="005D331F" w:rsidRDefault="008112BD" w:rsidP="008112BD">
      <w:pPr>
        <w:pStyle w:val="AH5Sec"/>
      </w:pPr>
      <w:bookmarkStart w:id="1053" w:name="_Toc185514669"/>
      <w:r w:rsidRPr="00C8328B">
        <w:rPr>
          <w:rStyle w:val="CharSectNo"/>
        </w:rPr>
        <w:t>3269</w:t>
      </w:r>
      <w:r w:rsidRPr="005D331F">
        <w:tab/>
        <w:t>Payment into court—payment out of remaining amount</w:t>
      </w:r>
      <w:bookmarkEnd w:id="1053"/>
    </w:p>
    <w:p w14:paraId="478722B2" w14:textId="77777777" w:rsidR="008112BD" w:rsidRPr="005D331F" w:rsidRDefault="008112BD" w:rsidP="009C0BC6">
      <w:pPr>
        <w:pStyle w:val="Amainreturn"/>
      </w:pPr>
      <w:r w:rsidRPr="005D331F">
        <w:t>If an amount paid into court is not taken out in accordance with this division, the amount may be paid out only—</w:t>
      </w:r>
    </w:p>
    <w:p w14:paraId="264AD843" w14:textId="77777777" w:rsidR="008112BD" w:rsidRPr="005D331F" w:rsidRDefault="008112BD" w:rsidP="008112BD">
      <w:pPr>
        <w:pStyle w:val="Apara"/>
      </w:pPr>
      <w:r w:rsidRPr="005D331F">
        <w:tab/>
        <w:t>(a)</w:t>
      </w:r>
      <w:r w:rsidRPr="005D331F">
        <w:tab/>
        <w:t>with agreement of all parties to the agreement; or</w:t>
      </w:r>
    </w:p>
    <w:p w14:paraId="205754C3"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515B8F2F" w14:textId="77777777" w:rsidR="008112BD" w:rsidRPr="005D331F" w:rsidRDefault="008112BD" w:rsidP="008112BD">
      <w:pPr>
        <w:pStyle w:val="AH5Sec"/>
      </w:pPr>
      <w:bookmarkStart w:id="1054" w:name="_Toc185514670"/>
      <w:r w:rsidRPr="00C8328B">
        <w:rPr>
          <w:rStyle w:val="CharSectNo"/>
        </w:rPr>
        <w:t>3269A</w:t>
      </w:r>
      <w:r w:rsidRPr="005D331F">
        <w:tab/>
        <w:t>Payment into court—nondisclosure</w:t>
      </w:r>
      <w:bookmarkEnd w:id="1054"/>
    </w:p>
    <w:p w14:paraId="4090EFD1" w14:textId="77777777"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14:paraId="134CF46E" w14:textId="77777777" w:rsidR="008112BD" w:rsidRDefault="008112BD" w:rsidP="008112BD">
      <w:pPr>
        <w:pStyle w:val="PageBreak"/>
      </w:pPr>
      <w:r>
        <w:br w:type="page"/>
      </w:r>
    </w:p>
    <w:p w14:paraId="0A49C8BA" w14:textId="77777777" w:rsidR="008112BD" w:rsidRPr="00C8328B" w:rsidRDefault="008112BD" w:rsidP="008112BD">
      <w:pPr>
        <w:pStyle w:val="AH2Part"/>
      </w:pPr>
      <w:bookmarkStart w:id="1055" w:name="_Toc185514671"/>
      <w:r w:rsidRPr="00C8328B">
        <w:rPr>
          <w:rStyle w:val="CharPartNo"/>
        </w:rPr>
        <w:lastRenderedPageBreak/>
        <w:t>Part 3.4</w:t>
      </w:r>
      <w:r>
        <w:tab/>
      </w:r>
      <w:r w:rsidRPr="00C8328B">
        <w:rPr>
          <w:rStyle w:val="CharPartText"/>
        </w:rPr>
        <w:t>Corporations Act and ASIC Act</w:t>
      </w:r>
      <w:bookmarkEnd w:id="1055"/>
    </w:p>
    <w:p w14:paraId="4BA633DA" w14:textId="77777777" w:rsidR="00E1447C" w:rsidRDefault="00E1447C" w:rsidP="00E1447C">
      <w:pPr>
        <w:pStyle w:val="Placeholder"/>
        <w:suppressLineNumbers/>
      </w:pPr>
      <w:r>
        <w:rPr>
          <w:rStyle w:val="CharDivNo"/>
        </w:rPr>
        <w:t xml:space="preserve">  </w:t>
      </w:r>
      <w:r>
        <w:rPr>
          <w:rStyle w:val="CharDivText"/>
        </w:rPr>
        <w:t xml:space="preserve">  </w:t>
      </w:r>
    </w:p>
    <w:p w14:paraId="42201972" w14:textId="77777777" w:rsidR="008112BD" w:rsidRDefault="008112BD" w:rsidP="008112BD">
      <w:pPr>
        <w:pStyle w:val="AH5Sec"/>
      </w:pPr>
      <w:bookmarkStart w:id="1056" w:name="_Toc185514672"/>
      <w:r w:rsidRPr="00C8328B">
        <w:rPr>
          <w:rStyle w:val="CharSectNo"/>
        </w:rPr>
        <w:t>3270</w:t>
      </w:r>
      <w:r>
        <w:tab/>
        <w:t>Rules for proceedings under Corporations Act or ASIC Act</w:t>
      </w:r>
      <w:bookmarkEnd w:id="1056"/>
    </w:p>
    <w:p w14:paraId="647D0FCA" w14:textId="38C9DA09" w:rsidR="008112BD" w:rsidRDefault="008112BD" w:rsidP="008112BD">
      <w:pPr>
        <w:pStyle w:val="Amainreturn"/>
      </w:pPr>
      <w:r>
        <w:t xml:space="preserve">The rules in schedule 6 apply to a proceeding in the Supreme Court under the </w:t>
      </w:r>
      <w:hyperlink r:id="rId401" w:tooltip="Act 2001 No 50 (Cwlth)" w:history="1">
        <w:r w:rsidRPr="00D74CAB">
          <w:rPr>
            <w:rStyle w:val="charCitHyperlinkAbbrev"/>
          </w:rPr>
          <w:t>Corporations Act</w:t>
        </w:r>
      </w:hyperlink>
      <w:r>
        <w:t xml:space="preserve"> or the </w:t>
      </w:r>
      <w:hyperlink r:id="rId402"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14:paraId="2CD3AF5F" w14:textId="77777777" w:rsidR="008112BD" w:rsidRDefault="008112BD" w:rsidP="008112BD">
      <w:pPr>
        <w:pStyle w:val="PageBreak"/>
      </w:pPr>
      <w:r>
        <w:br w:type="page"/>
      </w:r>
    </w:p>
    <w:p w14:paraId="4FFB9412" w14:textId="77777777" w:rsidR="008112BD" w:rsidRPr="00C8328B" w:rsidRDefault="008112BD" w:rsidP="008112BD">
      <w:pPr>
        <w:pStyle w:val="AH2Part"/>
      </w:pPr>
      <w:bookmarkStart w:id="1057" w:name="_Toc185514673"/>
      <w:r w:rsidRPr="00C8328B">
        <w:rPr>
          <w:rStyle w:val="CharPartNo"/>
        </w:rPr>
        <w:lastRenderedPageBreak/>
        <w:t>Part 3.5</w:t>
      </w:r>
      <w:r>
        <w:tab/>
      </w:r>
      <w:r w:rsidRPr="00C8328B">
        <w:rPr>
          <w:rStyle w:val="CharPartText"/>
        </w:rPr>
        <w:t>Cross-vesting</w:t>
      </w:r>
      <w:bookmarkEnd w:id="1057"/>
    </w:p>
    <w:p w14:paraId="016C581A" w14:textId="77777777" w:rsidR="008112BD" w:rsidRDefault="008112BD" w:rsidP="008112BD">
      <w:pPr>
        <w:pStyle w:val="AH5Sec"/>
      </w:pPr>
      <w:bookmarkStart w:id="1058" w:name="_Toc185514674"/>
      <w:r w:rsidRPr="00C8328B">
        <w:rPr>
          <w:rStyle w:val="CharSectNo"/>
        </w:rPr>
        <w:t>3300</w:t>
      </w:r>
      <w:r>
        <w:tab/>
        <w:t>Definitions—pt 3.5</w:t>
      </w:r>
      <w:bookmarkEnd w:id="1058"/>
    </w:p>
    <w:p w14:paraId="347C7D97" w14:textId="77777777" w:rsidR="008112BD" w:rsidRDefault="008112BD" w:rsidP="008112BD">
      <w:pPr>
        <w:keepNext/>
        <w:spacing w:after="60"/>
        <w:ind w:left="1083"/>
      </w:pPr>
      <w:r>
        <w:t>In this part:</w:t>
      </w:r>
    </w:p>
    <w:p w14:paraId="26EAE0C6" w14:textId="4EDA8217" w:rsidR="008112BD" w:rsidRDefault="008112BD" w:rsidP="008112BD">
      <w:pPr>
        <w:pStyle w:val="aDef"/>
      </w:pPr>
      <w:r w:rsidRPr="00FE0788">
        <w:rPr>
          <w:rStyle w:val="charBoldItals"/>
        </w:rPr>
        <w:t>Cross-vesting Act</w:t>
      </w:r>
      <w:r>
        <w:t xml:space="preserve"> means the </w:t>
      </w:r>
      <w:hyperlink r:id="rId403" w:tooltip="A1993-60" w:history="1">
        <w:r w:rsidRPr="00FE0788">
          <w:rPr>
            <w:rStyle w:val="charCitHyperlinkItal"/>
          </w:rPr>
          <w:t>Jurisdiction of Courts (Cross-vesting) Act 1993</w:t>
        </w:r>
      </w:hyperlink>
      <w:r>
        <w:t>.</w:t>
      </w:r>
    </w:p>
    <w:p w14:paraId="1BBDE5E2" w14:textId="1730828D"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4" w:tooltip="A1993-60" w:history="1">
        <w:r w:rsidRPr="006743EB">
          <w:rPr>
            <w:rStyle w:val="charCitHyperlinkAbbrev"/>
          </w:rPr>
          <w:t>Cross-vesting Act</w:t>
        </w:r>
      </w:hyperlink>
      <w:r>
        <w:t>.</w:t>
      </w:r>
    </w:p>
    <w:p w14:paraId="5F28D80B" w14:textId="00D4055D" w:rsidR="008112BD" w:rsidRDefault="008112BD" w:rsidP="008112BD">
      <w:pPr>
        <w:pStyle w:val="aDef"/>
      </w:pPr>
      <w:r w:rsidRPr="00FE0788">
        <w:rPr>
          <w:rStyle w:val="charBoldItals"/>
        </w:rPr>
        <w:t>special federal matter</w:t>
      </w:r>
      <w:r>
        <w:t xml:space="preserve">—see the </w:t>
      </w:r>
      <w:hyperlink r:id="rId405" w:tooltip="Act 1987 No 24 (Cwlth)" w:history="1">
        <w:r w:rsidRPr="006743EB">
          <w:rPr>
            <w:rStyle w:val="charCitHyperlinkItal"/>
          </w:rPr>
          <w:t>Jurisdiction of Courts (Cross-vesting) Act 1987</w:t>
        </w:r>
      </w:hyperlink>
      <w:r>
        <w:t xml:space="preserve"> (Cwlth), section 3 (1).</w:t>
      </w:r>
    </w:p>
    <w:p w14:paraId="3CF50463" w14:textId="77777777" w:rsidR="008112BD" w:rsidRDefault="008112BD" w:rsidP="008112BD">
      <w:pPr>
        <w:pStyle w:val="AH5Sec"/>
      </w:pPr>
      <w:bookmarkStart w:id="1059" w:name="_Toc185514675"/>
      <w:r w:rsidRPr="00C8328B">
        <w:rPr>
          <w:rStyle w:val="CharSectNo"/>
        </w:rPr>
        <w:t>3301</w:t>
      </w:r>
      <w:r>
        <w:tab/>
        <w:t>Terms used in Cross-vesting Act</w:t>
      </w:r>
      <w:bookmarkEnd w:id="1059"/>
    </w:p>
    <w:p w14:paraId="1EB618CB" w14:textId="52A30E8E" w:rsidR="008112BD" w:rsidRDefault="008112BD" w:rsidP="008112BD">
      <w:pPr>
        <w:pStyle w:val="Amainreturn"/>
        <w:keepNext/>
      </w:pPr>
      <w:r>
        <w:t xml:space="preserve">A term used in the </w:t>
      </w:r>
      <w:hyperlink r:id="rId406" w:tooltip="A1993-60" w:history="1">
        <w:r w:rsidRPr="006743EB">
          <w:rPr>
            <w:rStyle w:val="charCitHyperlinkAbbrev"/>
          </w:rPr>
          <w:t>Cross-vesting Act</w:t>
        </w:r>
      </w:hyperlink>
      <w:r>
        <w:t xml:space="preserve"> has the same meaning in this part.</w:t>
      </w:r>
    </w:p>
    <w:p w14:paraId="4AE1DA85" w14:textId="3B88F07F"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07" w:tooltip="A1993-60" w:history="1">
        <w:r w:rsidRPr="006743EB">
          <w:rPr>
            <w:rStyle w:val="charCitHyperlinkAbbrev"/>
          </w:rPr>
          <w:t>Cross-vesting Act</w:t>
        </w:r>
      </w:hyperlink>
      <w:r>
        <w:t>, dictionary:</w:t>
      </w:r>
    </w:p>
    <w:p w14:paraId="5588F1B0" w14:textId="77777777" w:rsidR="008112BD" w:rsidRDefault="008112BD" w:rsidP="008112BD">
      <w:pPr>
        <w:pStyle w:val="aNoteBulletss"/>
        <w:tabs>
          <w:tab w:val="left" w:pos="2300"/>
        </w:tabs>
      </w:pPr>
      <w:r>
        <w:rPr>
          <w:rFonts w:ascii="Symbol" w:hAnsi="Symbol"/>
        </w:rPr>
        <w:t></w:t>
      </w:r>
      <w:r>
        <w:rPr>
          <w:rFonts w:ascii="Symbol" w:hAnsi="Symbol"/>
        </w:rPr>
        <w:tab/>
      </w:r>
      <w:r>
        <w:t>ACT matter</w:t>
      </w:r>
    </w:p>
    <w:p w14:paraId="01ACD0D2"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5DD3C0A2" w14:textId="77777777" w:rsidR="008112BD" w:rsidRDefault="008112BD" w:rsidP="008112BD">
      <w:pPr>
        <w:pStyle w:val="aNoteBulletss"/>
        <w:tabs>
          <w:tab w:val="left" w:pos="2300"/>
        </w:tabs>
      </w:pPr>
      <w:r>
        <w:rPr>
          <w:rFonts w:ascii="Symbol" w:hAnsi="Symbol"/>
        </w:rPr>
        <w:t></w:t>
      </w:r>
      <w:r>
        <w:rPr>
          <w:rFonts w:ascii="Symbol" w:hAnsi="Symbol"/>
        </w:rPr>
        <w:tab/>
      </w:r>
      <w:r>
        <w:t>party</w:t>
      </w:r>
    </w:p>
    <w:p w14:paraId="1F91F779"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DCFA7A9" w14:textId="77777777" w:rsidR="008112BD" w:rsidRDefault="008112BD" w:rsidP="008112BD">
      <w:pPr>
        <w:pStyle w:val="aNoteBulletss"/>
        <w:tabs>
          <w:tab w:val="left" w:pos="2300"/>
        </w:tabs>
      </w:pPr>
      <w:r>
        <w:rPr>
          <w:rFonts w:ascii="Symbol" w:hAnsi="Symbol"/>
        </w:rPr>
        <w:t></w:t>
      </w:r>
      <w:r>
        <w:rPr>
          <w:rFonts w:ascii="Symbol" w:hAnsi="Symbol"/>
        </w:rPr>
        <w:tab/>
      </w:r>
      <w:r>
        <w:t>State</w:t>
      </w:r>
    </w:p>
    <w:p w14:paraId="625FDBE7" w14:textId="77777777" w:rsidR="008112BD" w:rsidRDefault="008112BD" w:rsidP="008112BD">
      <w:pPr>
        <w:pStyle w:val="aNoteBulletss"/>
        <w:tabs>
          <w:tab w:val="left" w:pos="2300"/>
        </w:tabs>
      </w:pPr>
      <w:r>
        <w:rPr>
          <w:rFonts w:ascii="Symbol" w:hAnsi="Symbol"/>
        </w:rPr>
        <w:t></w:t>
      </w:r>
      <w:r>
        <w:rPr>
          <w:rFonts w:ascii="Symbol" w:hAnsi="Symbol"/>
        </w:rPr>
        <w:tab/>
      </w:r>
      <w:r>
        <w:t>Territory.</w:t>
      </w:r>
    </w:p>
    <w:p w14:paraId="12842123" w14:textId="77777777" w:rsidR="008112BD" w:rsidRDefault="008112BD" w:rsidP="008112BD">
      <w:pPr>
        <w:pStyle w:val="AH5Sec"/>
      </w:pPr>
      <w:bookmarkStart w:id="1060" w:name="_Toc185514676"/>
      <w:r w:rsidRPr="00C8328B">
        <w:rPr>
          <w:rStyle w:val="CharSectNo"/>
        </w:rPr>
        <w:t>3302</w:t>
      </w:r>
      <w:r>
        <w:tab/>
        <w:t>Application—pt 3.5</w:t>
      </w:r>
      <w:bookmarkEnd w:id="1060"/>
    </w:p>
    <w:p w14:paraId="71F7E49F" w14:textId="77777777" w:rsidR="008112BD" w:rsidRDefault="008112BD" w:rsidP="008112BD">
      <w:pPr>
        <w:pStyle w:val="Amain"/>
        <w:keepNext/>
      </w:pPr>
      <w:r>
        <w:tab/>
        <w:t>(1)</w:t>
      </w:r>
      <w:r>
        <w:tab/>
        <w:t>This part applies only to the Supreme Court.</w:t>
      </w:r>
    </w:p>
    <w:p w14:paraId="4E0AAEB5" w14:textId="77777777" w:rsidR="008112BD" w:rsidRDefault="008112BD" w:rsidP="008112BD">
      <w:pPr>
        <w:pStyle w:val="Amain"/>
      </w:pPr>
      <w:r>
        <w:tab/>
        <w:t>(2)</w:t>
      </w:r>
      <w:r>
        <w:tab/>
        <w:t>This part applies to a proceeding to which a cross-vesting law applies.</w:t>
      </w:r>
    </w:p>
    <w:p w14:paraId="0ADD34D7" w14:textId="77777777" w:rsidR="008112BD" w:rsidRDefault="008112BD" w:rsidP="008112BD">
      <w:pPr>
        <w:pStyle w:val="AH5Sec"/>
      </w:pPr>
      <w:bookmarkStart w:id="1061" w:name="_Toc185514677"/>
      <w:r w:rsidRPr="00C8328B">
        <w:rPr>
          <w:rStyle w:val="CharSectNo"/>
        </w:rPr>
        <w:lastRenderedPageBreak/>
        <w:t>3303</w:t>
      </w:r>
      <w:r>
        <w:tab/>
        <w:t>Cross-vesting—application for transfer or removal of proceedings</w:t>
      </w:r>
      <w:bookmarkEnd w:id="1061"/>
    </w:p>
    <w:p w14:paraId="6340E2D6" w14:textId="77777777" w:rsidR="008112BD" w:rsidRDefault="008112BD" w:rsidP="008112BD">
      <w:pPr>
        <w:pStyle w:val="Amain"/>
        <w:keepNext/>
      </w:pPr>
      <w:r>
        <w:tab/>
        <w:t>(1)</w:t>
      </w:r>
      <w:r>
        <w:tab/>
        <w:t>An application under a cross-vesting law for the transfer of a proceeding pending in the court must be made by application in the proceeding.</w:t>
      </w:r>
    </w:p>
    <w:p w14:paraId="4B4B1790"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1AD3D7C4" w14:textId="17C2026D" w:rsidR="008112BD" w:rsidRDefault="008112BD" w:rsidP="008112BD">
      <w:pPr>
        <w:pStyle w:val="Amain"/>
        <w:keepNext/>
      </w:pPr>
      <w:r>
        <w:tab/>
        <w:t>(2)</w:t>
      </w:r>
      <w:r>
        <w:tab/>
        <w:t xml:space="preserve">An application under the </w:t>
      </w:r>
      <w:hyperlink r:id="rId408"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14:paraId="4C09359F" w14:textId="77777777" w:rsidR="008112BD" w:rsidRDefault="008112BD" w:rsidP="008112BD">
      <w:pPr>
        <w:pStyle w:val="AH5Sec"/>
      </w:pPr>
      <w:bookmarkStart w:id="1062" w:name="_Toc185514678"/>
      <w:r w:rsidRPr="00C8328B">
        <w:rPr>
          <w:rStyle w:val="CharSectNo"/>
        </w:rPr>
        <w:t>3304</w:t>
      </w:r>
      <w:r>
        <w:tab/>
        <w:t>Cross-vesting—application by Attorney-General</w:t>
      </w:r>
      <w:bookmarkEnd w:id="1062"/>
    </w:p>
    <w:p w14:paraId="185AF02D" w14:textId="77777777"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14:paraId="73BCB8E6" w14:textId="77777777" w:rsidR="008112BD" w:rsidRDefault="008112BD" w:rsidP="008112BD">
      <w:pPr>
        <w:pStyle w:val="Amain"/>
      </w:pPr>
      <w:r>
        <w:tab/>
        <w:t>(2)</w:t>
      </w:r>
      <w:r>
        <w:tab/>
        <w:t>The application may be made without the Attorney-General becoming a party to the proceeding.</w:t>
      </w:r>
    </w:p>
    <w:p w14:paraId="2A0E457E" w14:textId="77777777" w:rsidR="008112BD" w:rsidRDefault="008112BD" w:rsidP="008112BD">
      <w:pPr>
        <w:pStyle w:val="AH5Sec"/>
      </w:pPr>
      <w:bookmarkStart w:id="1063" w:name="_Toc185514679"/>
      <w:r w:rsidRPr="00C8328B">
        <w:rPr>
          <w:rStyle w:val="CharSectNo"/>
        </w:rPr>
        <w:t>3305</w:t>
      </w:r>
      <w:r>
        <w:tab/>
        <w:t>Cross-vesting—removal of proceedings</w:t>
      </w:r>
      <w:bookmarkEnd w:id="1063"/>
    </w:p>
    <w:p w14:paraId="008CC905" w14:textId="28F29135" w:rsidR="008112BD" w:rsidRDefault="008112BD" w:rsidP="008112BD">
      <w:pPr>
        <w:pStyle w:val="Amain"/>
      </w:pPr>
      <w:r>
        <w:tab/>
        <w:t>(1)</w:t>
      </w:r>
      <w:r>
        <w:tab/>
        <w:t xml:space="preserve">This rule applies if the court makes an order under the </w:t>
      </w:r>
      <w:hyperlink r:id="rId409" w:tooltip="A1993-60" w:history="1">
        <w:r w:rsidRPr="006743EB">
          <w:rPr>
            <w:rStyle w:val="charCitHyperlinkAbbrev"/>
          </w:rPr>
          <w:t>Cross-vesting Act</w:t>
        </w:r>
      </w:hyperlink>
      <w:r>
        <w:t xml:space="preserve">, section 8 removing a proceeding from another ACT court or a tribunal to the court. </w:t>
      </w:r>
    </w:p>
    <w:p w14:paraId="34087AEA" w14:textId="77777777"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14:paraId="44604265" w14:textId="77777777" w:rsidR="008112BD" w:rsidRDefault="008112BD" w:rsidP="008112BD">
      <w:pPr>
        <w:pStyle w:val="Amain"/>
      </w:pPr>
      <w:r>
        <w:tab/>
        <w:t>(3)</w:t>
      </w:r>
      <w:r>
        <w:tab/>
        <w:t xml:space="preserve">The court’s powers under subrule (2)— </w:t>
      </w:r>
    </w:p>
    <w:p w14:paraId="3BDFE470" w14:textId="77777777" w:rsidR="008112BD" w:rsidRDefault="008112BD" w:rsidP="008112BD">
      <w:pPr>
        <w:pStyle w:val="Apara"/>
      </w:pPr>
      <w:r>
        <w:tab/>
        <w:t>(a)</w:t>
      </w:r>
      <w:r>
        <w:tab/>
        <w:t>are in addition to the court’s powers under rule 3308 (Cross-vesting—directions); and</w:t>
      </w:r>
    </w:p>
    <w:p w14:paraId="174B6047" w14:textId="77777777" w:rsidR="008112BD" w:rsidRDefault="008112BD" w:rsidP="008112BD">
      <w:pPr>
        <w:pStyle w:val="Apara"/>
      </w:pPr>
      <w:r>
        <w:tab/>
        <w:t>(b)</w:t>
      </w:r>
      <w:r>
        <w:tab/>
        <w:t>include power to give directions that could have been given by the court or tribunal in which the proceeding was pending.</w:t>
      </w:r>
    </w:p>
    <w:p w14:paraId="41B93120" w14:textId="77777777" w:rsidR="008112BD" w:rsidRDefault="008112BD" w:rsidP="008112BD">
      <w:pPr>
        <w:pStyle w:val="AH5Sec"/>
      </w:pPr>
      <w:bookmarkStart w:id="1064" w:name="_Toc185514680"/>
      <w:r w:rsidRPr="00C8328B">
        <w:rPr>
          <w:rStyle w:val="CharSectNo"/>
        </w:rPr>
        <w:lastRenderedPageBreak/>
        <w:t>3306</w:t>
      </w:r>
      <w:r>
        <w:tab/>
        <w:t>Cross-vesting—relying on jurisdiction under cross-vesting laws</w:t>
      </w:r>
      <w:bookmarkEnd w:id="1064"/>
    </w:p>
    <w:p w14:paraId="789E6E57" w14:textId="77777777" w:rsidR="008112BD" w:rsidRDefault="008112BD" w:rsidP="008112BD">
      <w:pPr>
        <w:pStyle w:val="Amain"/>
      </w:pPr>
      <w:r>
        <w:tab/>
        <w:t>(1)</w:t>
      </w:r>
      <w:r>
        <w:tab/>
        <w:t>This rule applies if a party to a proceeding relies on a provision of a cross-vesting law.</w:t>
      </w:r>
    </w:p>
    <w:p w14:paraId="70FBF803" w14:textId="77777777" w:rsidR="008112BD" w:rsidRDefault="008112BD" w:rsidP="008112BD">
      <w:pPr>
        <w:pStyle w:val="Amain"/>
      </w:pPr>
      <w:r>
        <w:tab/>
        <w:t>(2)</w:t>
      </w:r>
      <w:r>
        <w:tab/>
        <w:t>The party must include in the process, pleading or affidavit by which the cross-vesting law is relied on a statement—</w:t>
      </w:r>
    </w:p>
    <w:p w14:paraId="0D668766" w14:textId="77777777" w:rsidR="008112BD" w:rsidRDefault="008112BD" w:rsidP="008112BD">
      <w:pPr>
        <w:pStyle w:val="Apara"/>
      </w:pPr>
      <w:r>
        <w:tab/>
        <w:t>(a)</w:t>
      </w:r>
      <w:r>
        <w:tab/>
        <w:t>identifying the provision of the cross-vesting law relied on; and</w:t>
      </w:r>
    </w:p>
    <w:p w14:paraId="316514B8" w14:textId="77777777" w:rsidR="008112BD" w:rsidRDefault="008112BD" w:rsidP="008112BD">
      <w:pPr>
        <w:pStyle w:val="Apara"/>
      </w:pPr>
      <w:r>
        <w:tab/>
        <w:t>(b)</w:t>
      </w:r>
      <w:r>
        <w:tab/>
        <w:t>identifying each claim or ground of defence for which the provision of the cross-vesting law is relied on; and</w:t>
      </w:r>
    </w:p>
    <w:p w14:paraId="0DD8A752" w14:textId="77777777" w:rsidR="008112BD" w:rsidRDefault="008112BD" w:rsidP="008112BD">
      <w:pPr>
        <w:pStyle w:val="Apara"/>
      </w:pPr>
      <w:r>
        <w:tab/>
        <w:t>(c)</w:t>
      </w:r>
      <w:r>
        <w:tab/>
        <w:t>the grounds on which the provision is relied on.</w:t>
      </w:r>
    </w:p>
    <w:p w14:paraId="4B97AB69" w14:textId="77777777" w:rsidR="008112BD" w:rsidRDefault="008112BD" w:rsidP="008112BD">
      <w:pPr>
        <w:pStyle w:val="Amain"/>
      </w:pPr>
      <w:r>
        <w:tab/>
        <w:t>(3)</w:t>
      </w:r>
      <w:r>
        <w:tab/>
        <w:t>Failure to comply with subrule (2) does not invalidate the process, pleading or affidavit.</w:t>
      </w:r>
    </w:p>
    <w:p w14:paraId="1497C4F2" w14:textId="77777777"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14:paraId="1D6B3DA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629CD72" w14:textId="77777777" w:rsidR="008112BD" w:rsidRDefault="008112BD" w:rsidP="008112BD">
      <w:pPr>
        <w:pStyle w:val="Amain"/>
      </w:pPr>
      <w:r>
        <w:tab/>
        <w:t>(5)</w:t>
      </w:r>
      <w:r>
        <w:tab/>
        <w:t>If a matter to be decided in the proceeding is a special federal matter, the statement mentioned in subrule (2) must also—</w:t>
      </w:r>
    </w:p>
    <w:p w14:paraId="7CBB5FB5" w14:textId="77777777" w:rsidR="008112BD" w:rsidRDefault="008112BD" w:rsidP="008112BD">
      <w:pPr>
        <w:pStyle w:val="Apara"/>
      </w:pPr>
      <w:r>
        <w:tab/>
        <w:t>(a)</w:t>
      </w:r>
      <w:r>
        <w:tab/>
        <w:t>identify the matter as a special federal matter; and</w:t>
      </w:r>
    </w:p>
    <w:p w14:paraId="3B53A607" w14:textId="77777777" w:rsidR="008112BD" w:rsidRDefault="008112BD" w:rsidP="008112BD">
      <w:pPr>
        <w:pStyle w:val="Apara"/>
      </w:pPr>
      <w:r>
        <w:tab/>
        <w:t>(b)</w:t>
      </w:r>
      <w:r>
        <w:tab/>
        <w:t>state the grounds on which it is a special federal matter.</w:t>
      </w:r>
    </w:p>
    <w:p w14:paraId="13153D60" w14:textId="77777777" w:rsidR="008112BD" w:rsidRDefault="008112BD" w:rsidP="008112BD">
      <w:pPr>
        <w:pStyle w:val="AH5Sec"/>
      </w:pPr>
      <w:bookmarkStart w:id="1065" w:name="_Toc185514681"/>
      <w:r w:rsidRPr="00C8328B">
        <w:rPr>
          <w:rStyle w:val="CharSectNo"/>
        </w:rPr>
        <w:t>3307</w:t>
      </w:r>
      <w:r>
        <w:tab/>
        <w:t>Cross-vesting—service</w:t>
      </w:r>
      <w:bookmarkEnd w:id="1065"/>
    </w:p>
    <w:p w14:paraId="30E055C1" w14:textId="77777777" w:rsidR="008112BD" w:rsidRDefault="008112BD" w:rsidP="008112BD">
      <w:pPr>
        <w:pStyle w:val="Amain"/>
      </w:pPr>
      <w:r>
        <w:tab/>
        <w:t>(1)</w:t>
      </w:r>
      <w:r>
        <w:tab/>
        <w:t>Despite part 6.8 (Service), an originating process by which a cross</w:t>
      </w:r>
      <w:r>
        <w:noBreakHyphen/>
        <w:t>vesting law is relied on may be served outside the ACT.</w:t>
      </w:r>
    </w:p>
    <w:p w14:paraId="2946AAB3" w14:textId="77777777"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14:paraId="170F69D9" w14:textId="77777777" w:rsidR="008112BD" w:rsidRDefault="008112BD" w:rsidP="008112BD">
      <w:pPr>
        <w:pStyle w:val="Amain"/>
      </w:pPr>
      <w:r>
        <w:lastRenderedPageBreak/>
        <w:tab/>
        <w:t>(3)</w:t>
      </w:r>
      <w:r>
        <w:tab/>
        <w:t>The court must not give leave to proceed unless satisfied that—</w:t>
      </w:r>
    </w:p>
    <w:p w14:paraId="455C74FC" w14:textId="77777777" w:rsidR="008112BD" w:rsidRDefault="008112BD" w:rsidP="008112BD">
      <w:pPr>
        <w:pStyle w:val="Apara"/>
      </w:pPr>
      <w:r>
        <w:tab/>
        <w:t>(a)</w:t>
      </w:r>
      <w:r>
        <w:tab/>
        <w:t>jurisdiction under a cross-vesting law is being relied on; and</w:t>
      </w:r>
    </w:p>
    <w:p w14:paraId="0700C882" w14:textId="77777777" w:rsidR="008112BD" w:rsidRDefault="008112BD" w:rsidP="008112BD">
      <w:pPr>
        <w:pStyle w:val="Apara"/>
      </w:pPr>
      <w:r>
        <w:tab/>
        <w:t>(b)</w:t>
      </w:r>
      <w:r>
        <w:tab/>
        <w:t>the court is a convenient court in which to decide the matter.</w:t>
      </w:r>
    </w:p>
    <w:p w14:paraId="4418D85A" w14:textId="77777777"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14:paraId="0830C63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14:paraId="52311DCC" w14:textId="77777777" w:rsidR="008112BD" w:rsidRDefault="008112BD" w:rsidP="008112BD">
      <w:pPr>
        <w:pStyle w:val="Amain"/>
      </w:pPr>
      <w:r>
        <w:tab/>
        <w:t>(5)</w:t>
      </w:r>
      <w:r>
        <w:tab/>
        <w:t>An order giving leave to proceed does not prevent the court from later transferring the proceeding to another court.</w:t>
      </w:r>
    </w:p>
    <w:p w14:paraId="4150F194" w14:textId="77777777" w:rsidR="008112BD" w:rsidRDefault="008112BD" w:rsidP="008112BD">
      <w:pPr>
        <w:pStyle w:val="AH5Sec"/>
      </w:pPr>
      <w:bookmarkStart w:id="1066" w:name="_Toc185514682"/>
      <w:r w:rsidRPr="00C8328B">
        <w:rPr>
          <w:rStyle w:val="CharSectNo"/>
        </w:rPr>
        <w:t>3308</w:t>
      </w:r>
      <w:r>
        <w:tab/>
        <w:t>Cross-vesting—directions</w:t>
      </w:r>
      <w:bookmarkEnd w:id="1066"/>
    </w:p>
    <w:p w14:paraId="595085C5" w14:textId="77777777" w:rsidR="008112BD" w:rsidRDefault="008112BD" w:rsidP="008112BD">
      <w:pPr>
        <w:pStyle w:val="Amain"/>
        <w:keepNext/>
      </w:pPr>
      <w:r>
        <w:tab/>
        <w:t>(1)</w:t>
      </w:r>
      <w:r>
        <w:tab/>
        <w:t>The first party in a proceeding to rely on a cross-vesting law must apply to the court for directions.</w:t>
      </w:r>
    </w:p>
    <w:p w14:paraId="0128A9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FFEC33A" w14:textId="77777777"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14:paraId="3B94327B" w14:textId="77777777"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14:paraId="3F6176AE" w14:textId="77777777"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14:paraId="1912D93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323CAF5" w14:textId="77777777" w:rsidR="008112BD" w:rsidRDefault="008112BD" w:rsidP="008112BD">
      <w:pPr>
        <w:pStyle w:val="Amain"/>
      </w:pPr>
      <w:r>
        <w:tab/>
        <w:t>(5)</w:t>
      </w:r>
      <w:r>
        <w:tab/>
        <w:t>If the plaintiff does not comply with subrule (4)—</w:t>
      </w:r>
    </w:p>
    <w:p w14:paraId="0F2DC06B" w14:textId="77777777" w:rsidR="008112BD" w:rsidRDefault="008112BD" w:rsidP="008112BD">
      <w:pPr>
        <w:pStyle w:val="Apara"/>
      </w:pPr>
      <w:r>
        <w:tab/>
        <w:t>(a)</w:t>
      </w:r>
      <w:r>
        <w:tab/>
        <w:t>another party may apply for directions; or</w:t>
      </w:r>
    </w:p>
    <w:p w14:paraId="693B912D" w14:textId="77777777" w:rsidR="008112BD" w:rsidRDefault="008112BD" w:rsidP="008112BD">
      <w:pPr>
        <w:pStyle w:val="Apara"/>
      </w:pPr>
      <w:r>
        <w:lastRenderedPageBreak/>
        <w:tab/>
        <w:t>(b)</w:t>
      </w:r>
      <w:r>
        <w:tab/>
        <w:t>the court may call the parties before it on its own initiative.</w:t>
      </w:r>
    </w:p>
    <w:p w14:paraId="2D3D670E" w14:textId="77777777"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14:paraId="27A759A8" w14:textId="77777777" w:rsidR="008112BD" w:rsidRDefault="008112BD" w:rsidP="008112BD">
      <w:pPr>
        <w:pStyle w:val="Amain"/>
      </w:pPr>
      <w:r>
        <w:tab/>
        <w:t>(7)</w:t>
      </w:r>
      <w:r>
        <w:tab/>
        <w:t>At the trial or hearing of the proceeding, the court may amend or set aside a direction made on application for directions.</w:t>
      </w:r>
    </w:p>
    <w:p w14:paraId="5A274624" w14:textId="77777777" w:rsidR="008112BD" w:rsidRDefault="008112BD" w:rsidP="008112BD">
      <w:pPr>
        <w:pStyle w:val="AH5Sec"/>
      </w:pPr>
      <w:bookmarkStart w:id="1067" w:name="_Toc185514683"/>
      <w:r w:rsidRPr="00C8328B">
        <w:rPr>
          <w:rStyle w:val="CharSectNo"/>
        </w:rPr>
        <w:t>3309</w:t>
      </w:r>
      <w:r>
        <w:tab/>
        <w:t>Cross-vesting—procedure following transfer of proceeding from court</w:t>
      </w:r>
      <w:bookmarkEnd w:id="1067"/>
    </w:p>
    <w:p w14:paraId="2FBAB130" w14:textId="77777777" w:rsidR="008112BD" w:rsidRDefault="008112BD" w:rsidP="008112BD">
      <w:pPr>
        <w:pStyle w:val="Amain"/>
      </w:pPr>
      <w:r>
        <w:tab/>
        <w:t>(1)</w:t>
      </w:r>
      <w:r>
        <w:tab/>
        <w:t>This rule applies if the court makes an order transferring a proceeding to another court under a cross-vesting law.</w:t>
      </w:r>
    </w:p>
    <w:p w14:paraId="282C5DAC" w14:textId="77777777" w:rsidR="008112BD" w:rsidRDefault="008112BD" w:rsidP="008112BD">
      <w:pPr>
        <w:pStyle w:val="Amain"/>
      </w:pPr>
      <w:r>
        <w:tab/>
        <w:t>(2)</w:t>
      </w:r>
      <w:r>
        <w:tab/>
        <w:t>The registrar must send to the other court all documents filed in the court and a sealed copy of orders made in the proceeding.</w:t>
      </w:r>
    </w:p>
    <w:p w14:paraId="49126427" w14:textId="77777777" w:rsidR="008112BD" w:rsidRDefault="008112BD" w:rsidP="008112BD">
      <w:pPr>
        <w:pStyle w:val="AH5Sec"/>
      </w:pPr>
      <w:bookmarkStart w:id="1068" w:name="_Toc185514684"/>
      <w:r w:rsidRPr="00C8328B">
        <w:rPr>
          <w:rStyle w:val="CharSectNo"/>
        </w:rPr>
        <w:t>3310</w:t>
      </w:r>
      <w:r>
        <w:tab/>
        <w:t>Cross-vesting—procedure following transfer of proceeding to court</w:t>
      </w:r>
      <w:bookmarkEnd w:id="1068"/>
    </w:p>
    <w:p w14:paraId="61990FBF" w14:textId="77777777" w:rsidR="008112BD" w:rsidRDefault="008112BD" w:rsidP="008112BD">
      <w:pPr>
        <w:pStyle w:val="Amain"/>
      </w:pPr>
      <w:r>
        <w:tab/>
        <w:t>(1)</w:t>
      </w:r>
      <w:r>
        <w:tab/>
        <w:t>This rule applies if a proceeding is transferred to the court from another court under a cross-vesting law.</w:t>
      </w:r>
    </w:p>
    <w:p w14:paraId="47FDFB96" w14:textId="77777777" w:rsidR="008112BD" w:rsidRDefault="008112BD" w:rsidP="008112BD">
      <w:pPr>
        <w:pStyle w:val="Amain"/>
      </w:pPr>
      <w:r>
        <w:tab/>
        <w:t>(2)</w:t>
      </w:r>
      <w:r>
        <w:tab/>
        <w:t>The registrar must—</w:t>
      </w:r>
    </w:p>
    <w:p w14:paraId="75A9843A" w14:textId="77777777" w:rsidR="008112BD" w:rsidRDefault="008112BD" w:rsidP="008112BD">
      <w:pPr>
        <w:pStyle w:val="Apara"/>
      </w:pPr>
      <w:r>
        <w:tab/>
        <w:t>(a)</w:t>
      </w:r>
      <w:r>
        <w:tab/>
        <w:t>give a distinguishing number or other unique identifier to the proceeding; and</w:t>
      </w:r>
    </w:p>
    <w:p w14:paraId="0342A401" w14:textId="77777777" w:rsidR="008112BD" w:rsidRDefault="008112BD" w:rsidP="008112BD">
      <w:pPr>
        <w:pStyle w:val="Apara"/>
      </w:pPr>
      <w:r>
        <w:tab/>
        <w:t>(b)</w:t>
      </w:r>
      <w:r>
        <w:tab/>
        <w:t>record in the cause book—</w:t>
      </w:r>
    </w:p>
    <w:p w14:paraId="2E9A6274" w14:textId="77777777" w:rsidR="008112BD" w:rsidRDefault="008112BD" w:rsidP="008112BD">
      <w:pPr>
        <w:pStyle w:val="Asubpara"/>
      </w:pPr>
      <w:r>
        <w:tab/>
        <w:t>(i)</w:t>
      </w:r>
      <w:r>
        <w:tab/>
        <w:t>the distinguishing number or other unique identifier given to the proceeding; and</w:t>
      </w:r>
    </w:p>
    <w:p w14:paraId="73BFB66F" w14:textId="77777777" w:rsidR="008112BD" w:rsidRDefault="008112BD" w:rsidP="008112BD">
      <w:pPr>
        <w:pStyle w:val="Asubpara"/>
      </w:pPr>
      <w:r>
        <w:tab/>
        <w:t>(ii)</w:t>
      </w:r>
      <w:r>
        <w:tab/>
        <w:t>the date when the proceeding was sent to the court; and</w:t>
      </w:r>
    </w:p>
    <w:p w14:paraId="1CC6BD4F" w14:textId="77777777" w:rsidR="008112BD" w:rsidRDefault="008112BD" w:rsidP="008112BD">
      <w:pPr>
        <w:pStyle w:val="Asubpara"/>
      </w:pPr>
      <w:r>
        <w:tab/>
        <w:t>(iii)</w:t>
      </w:r>
      <w:r>
        <w:tab/>
        <w:t>any other information that the court directs.</w:t>
      </w:r>
    </w:p>
    <w:p w14:paraId="0F593247" w14:textId="77777777" w:rsidR="008112BD" w:rsidRDefault="008112BD" w:rsidP="008112BD">
      <w:pPr>
        <w:pStyle w:val="Amain"/>
      </w:pPr>
      <w:r>
        <w:tab/>
        <w:t>(3)</w:t>
      </w:r>
      <w:r>
        <w:tab/>
        <w:t>The registrar must—</w:t>
      </w:r>
    </w:p>
    <w:p w14:paraId="6BEA9892" w14:textId="77777777" w:rsidR="008112BD" w:rsidRDefault="008112BD" w:rsidP="008112BD">
      <w:pPr>
        <w:pStyle w:val="Apara"/>
      </w:pPr>
      <w:r>
        <w:tab/>
        <w:t>(a)</w:t>
      </w:r>
      <w:r>
        <w:tab/>
        <w:t>give each party to the proceeding notice of the distinguishing number or other unique identifier given to the proceeding; and</w:t>
      </w:r>
    </w:p>
    <w:p w14:paraId="21EBFD85" w14:textId="77777777"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14:paraId="7569A11E" w14:textId="77777777"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14:paraId="7056F8E0" w14:textId="77777777" w:rsidR="008112BD" w:rsidRDefault="008112BD" w:rsidP="008112BD">
      <w:pPr>
        <w:pStyle w:val="AH5Sec"/>
      </w:pPr>
      <w:bookmarkStart w:id="1069" w:name="_Toc185514685"/>
      <w:r w:rsidRPr="00C8328B">
        <w:rPr>
          <w:rStyle w:val="CharSectNo"/>
        </w:rPr>
        <w:t>3311</w:t>
      </w:r>
      <w:r>
        <w:tab/>
        <w:t>Cross-vesting—application of another jurisdiction’s written law</w:t>
      </w:r>
      <w:bookmarkEnd w:id="1069"/>
    </w:p>
    <w:p w14:paraId="5396A8AD" w14:textId="712D0ECE" w:rsidR="008112BD" w:rsidRDefault="008112BD" w:rsidP="008112BD">
      <w:pPr>
        <w:pStyle w:val="Amain"/>
      </w:pPr>
      <w:r>
        <w:tab/>
        <w:t>(1)</w:t>
      </w:r>
      <w:r>
        <w:tab/>
        <w:t xml:space="preserve">This rule applies if a party to a proceeding wants to have a written law of another State or Territory applied under the </w:t>
      </w:r>
      <w:hyperlink r:id="rId410"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14:paraId="55D1E610" w14:textId="77777777" w:rsidR="008112BD" w:rsidRDefault="008112BD" w:rsidP="008112BD">
      <w:pPr>
        <w:pStyle w:val="Amain"/>
      </w:pPr>
      <w:r>
        <w:tab/>
        <w:t>(2)</w:t>
      </w:r>
      <w:r>
        <w:tab/>
        <w:t>The party’s pleadings must include a statement identifying the right of action and the written law under which it arises.</w:t>
      </w:r>
    </w:p>
    <w:p w14:paraId="7073DF42" w14:textId="77777777" w:rsidR="008112BD" w:rsidRDefault="008112BD" w:rsidP="008112BD">
      <w:pPr>
        <w:pStyle w:val="AH5Sec"/>
      </w:pPr>
      <w:bookmarkStart w:id="1070" w:name="_Toc185514686"/>
      <w:r w:rsidRPr="00C8328B">
        <w:rPr>
          <w:rStyle w:val="CharSectNo"/>
        </w:rPr>
        <w:t>3312</w:t>
      </w:r>
      <w:r>
        <w:tab/>
        <w:t>Cross-vesting—application of another jurisdiction’s rules of evidence and procedure</w:t>
      </w:r>
      <w:bookmarkEnd w:id="1070"/>
    </w:p>
    <w:p w14:paraId="2848D2F3" w14:textId="0ACF006C"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1" w:tooltip="A1993-60" w:history="1">
        <w:r w:rsidRPr="006743EB">
          <w:rPr>
            <w:rStyle w:val="charCitHyperlinkAbbrev"/>
          </w:rPr>
          <w:t>Cross-vesting Act</w:t>
        </w:r>
      </w:hyperlink>
      <w:r>
        <w:t>, section 11 (1) (c) in dealing with a matter to be decided in the proceeding.</w:t>
      </w:r>
    </w:p>
    <w:p w14:paraId="0CD18461" w14:textId="77777777" w:rsidR="008112BD" w:rsidRDefault="008112BD" w:rsidP="008112BD">
      <w:pPr>
        <w:pStyle w:val="Amain"/>
      </w:pPr>
      <w:r>
        <w:tab/>
        <w:t>(2)</w:t>
      </w:r>
      <w:r>
        <w:tab/>
        <w:t>The party’s pleadings must include a statement identifying the rules that the party wants applied.</w:t>
      </w:r>
    </w:p>
    <w:p w14:paraId="5CD03762" w14:textId="77777777" w:rsidR="008112BD" w:rsidRDefault="008112BD" w:rsidP="008112BD">
      <w:pPr>
        <w:pStyle w:val="PageBreak"/>
      </w:pPr>
      <w:r>
        <w:br w:type="page"/>
      </w:r>
    </w:p>
    <w:p w14:paraId="3AE982A5" w14:textId="77777777" w:rsidR="008112BD" w:rsidRPr="00C8328B" w:rsidRDefault="008112BD" w:rsidP="008112BD">
      <w:pPr>
        <w:pStyle w:val="AH2Part"/>
      </w:pPr>
      <w:bookmarkStart w:id="1071" w:name="_Toc185514687"/>
      <w:r w:rsidRPr="00C8328B">
        <w:rPr>
          <w:rStyle w:val="CharPartNo"/>
        </w:rPr>
        <w:lastRenderedPageBreak/>
        <w:t>Part 3.6</w:t>
      </w:r>
      <w:r>
        <w:tab/>
      </w:r>
      <w:r w:rsidRPr="00C8328B">
        <w:rPr>
          <w:rStyle w:val="CharPartText"/>
        </w:rPr>
        <w:t>Electoral matters</w:t>
      </w:r>
      <w:bookmarkEnd w:id="1071"/>
    </w:p>
    <w:p w14:paraId="2B45B7D4" w14:textId="77777777" w:rsidR="008112BD" w:rsidRPr="00C8328B" w:rsidRDefault="008112BD" w:rsidP="008112BD">
      <w:pPr>
        <w:pStyle w:val="AH3Div"/>
      </w:pPr>
      <w:bookmarkStart w:id="1072" w:name="_Toc185514688"/>
      <w:r w:rsidRPr="00C8328B">
        <w:rPr>
          <w:rStyle w:val="CharDivNo"/>
        </w:rPr>
        <w:t>Division 3.6.1</w:t>
      </w:r>
      <w:r>
        <w:tab/>
      </w:r>
      <w:r w:rsidRPr="00C8328B">
        <w:rPr>
          <w:rStyle w:val="CharDivText"/>
        </w:rPr>
        <w:t>Electoral matters—general</w:t>
      </w:r>
      <w:bookmarkEnd w:id="1072"/>
    </w:p>
    <w:p w14:paraId="2CAA0939" w14:textId="77777777" w:rsidR="008112BD" w:rsidRDefault="008112BD" w:rsidP="008112BD">
      <w:pPr>
        <w:pStyle w:val="AH5Sec"/>
      </w:pPr>
      <w:bookmarkStart w:id="1073" w:name="_Toc185514689"/>
      <w:r w:rsidRPr="00C8328B">
        <w:rPr>
          <w:rStyle w:val="CharSectNo"/>
        </w:rPr>
        <w:t>3350</w:t>
      </w:r>
      <w:r>
        <w:tab/>
        <w:t>Definitions—pt 3.6</w:t>
      </w:r>
      <w:bookmarkEnd w:id="1073"/>
    </w:p>
    <w:p w14:paraId="123094F2" w14:textId="77777777" w:rsidR="008112BD" w:rsidRDefault="008112BD" w:rsidP="008112BD">
      <w:pPr>
        <w:keepNext/>
        <w:spacing w:after="60"/>
        <w:ind w:left="1083"/>
      </w:pPr>
      <w:r>
        <w:t>In this part:</w:t>
      </w:r>
    </w:p>
    <w:p w14:paraId="6CCEB518" w14:textId="26C2F3F1" w:rsidR="008112BD" w:rsidRDefault="008112BD" w:rsidP="008112BD">
      <w:pPr>
        <w:pStyle w:val="aDef"/>
      </w:pPr>
      <w:r w:rsidRPr="00FE0788">
        <w:rPr>
          <w:rStyle w:val="charBoldItals"/>
        </w:rPr>
        <w:t xml:space="preserve">election application </w:t>
      </w:r>
      <w:r>
        <w:t xml:space="preserve">means an application under the </w:t>
      </w:r>
      <w:hyperlink r:id="rId412"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3" w:tooltip="A1992-71" w:history="1">
        <w:r w:rsidRPr="00B444C8">
          <w:rPr>
            <w:rStyle w:val="charCitHyperlinkAbbrev"/>
          </w:rPr>
          <w:t>Electoral Act</w:t>
        </w:r>
      </w:hyperlink>
      <w:r>
        <w:t>, section 258 (Form of application).</w:t>
      </w:r>
    </w:p>
    <w:p w14:paraId="510647DD" w14:textId="65CE84A0" w:rsidR="008112BD" w:rsidRDefault="008112BD" w:rsidP="008112BD">
      <w:pPr>
        <w:pStyle w:val="aDef"/>
      </w:pPr>
      <w:r w:rsidRPr="00FE0788">
        <w:rPr>
          <w:rStyle w:val="charBoldItals"/>
        </w:rPr>
        <w:t>Electoral Act</w:t>
      </w:r>
      <w:r>
        <w:t xml:space="preserve"> means the </w:t>
      </w:r>
      <w:hyperlink r:id="rId414" w:tooltip="A1992-71" w:history="1">
        <w:r w:rsidRPr="00FE0788">
          <w:rPr>
            <w:rStyle w:val="charCitHyperlinkItal"/>
          </w:rPr>
          <w:t>Electoral Act 1992</w:t>
        </w:r>
      </w:hyperlink>
      <w:r>
        <w:t>.</w:t>
      </w:r>
    </w:p>
    <w:p w14:paraId="78FFC3B8" w14:textId="77777777" w:rsidR="008112BD" w:rsidRDefault="008112BD" w:rsidP="008112BD">
      <w:pPr>
        <w:pStyle w:val="AH5Sec"/>
      </w:pPr>
      <w:bookmarkStart w:id="1074" w:name="_Toc185514690"/>
      <w:r w:rsidRPr="00C8328B">
        <w:rPr>
          <w:rStyle w:val="CharSectNo"/>
        </w:rPr>
        <w:t>3351</w:t>
      </w:r>
      <w:r>
        <w:tab/>
        <w:t>Terms used in Electoral Act</w:t>
      </w:r>
      <w:bookmarkEnd w:id="1074"/>
    </w:p>
    <w:p w14:paraId="07047344" w14:textId="53ABC750" w:rsidR="008112BD" w:rsidRDefault="008112BD" w:rsidP="008112BD">
      <w:pPr>
        <w:pStyle w:val="Amainreturn"/>
        <w:keepNext/>
      </w:pPr>
      <w:r>
        <w:t xml:space="preserve">A term used in the </w:t>
      </w:r>
      <w:hyperlink r:id="rId415" w:tooltip="A1992-71" w:history="1">
        <w:r w:rsidRPr="00B444C8">
          <w:rPr>
            <w:rStyle w:val="charCitHyperlinkAbbrev"/>
          </w:rPr>
          <w:t>Electoral Act</w:t>
        </w:r>
      </w:hyperlink>
      <w:r>
        <w:t xml:space="preserve"> has the same meaning in this part.</w:t>
      </w:r>
    </w:p>
    <w:p w14:paraId="50C6B046" w14:textId="209DE2C3"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6" w:tooltip="A1992-71" w:history="1">
        <w:r w:rsidRPr="00B444C8">
          <w:rPr>
            <w:rStyle w:val="charCitHyperlinkAbbrev"/>
          </w:rPr>
          <w:t>Electoral Act</w:t>
        </w:r>
      </w:hyperlink>
      <w:r>
        <w:t>, s 250 (Definitions—pt 16):</w:t>
      </w:r>
    </w:p>
    <w:p w14:paraId="71654C96" w14:textId="77777777" w:rsidR="008112BD" w:rsidRDefault="008112BD" w:rsidP="008112BD">
      <w:pPr>
        <w:pStyle w:val="aNoteBulletss"/>
        <w:tabs>
          <w:tab w:val="left" w:pos="2300"/>
        </w:tabs>
      </w:pPr>
      <w:r>
        <w:rPr>
          <w:rFonts w:ascii="Symbol" w:hAnsi="Symbol"/>
        </w:rPr>
        <w:t></w:t>
      </w:r>
      <w:r>
        <w:rPr>
          <w:rFonts w:ascii="Symbol" w:hAnsi="Symbol"/>
        </w:rPr>
        <w:tab/>
      </w:r>
      <w:r>
        <w:t>application</w:t>
      </w:r>
    </w:p>
    <w:p w14:paraId="56380A8E" w14:textId="77777777" w:rsidR="008112BD" w:rsidRDefault="008112BD" w:rsidP="008112BD">
      <w:pPr>
        <w:pStyle w:val="aNoteBulletss"/>
        <w:tabs>
          <w:tab w:val="left" w:pos="2300"/>
        </w:tabs>
      </w:pPr>
      <w:r>
        <w:rPr>
          <w:rFonts w:ascii="Symbol" w:hAnsi="Symbol"/>
        </w:rPr>
        <w:t></w:t>
      </w:r>
      <w:r>
        <w:rPr>
          <w:rFonts w:ascii="Symbol" w:hAnsi="Symbol"/>
        </w:rPr>
        <w:tab/>
      </w:r>
      <w:r>
        <w:t>Court of Disputed Elections</w:t>
      </w:r>
    </w:p>
    <w:p w14:paraId="3EF9D15D" w14:textId="77777777" w:rsidR="008112BD" w:rsidRDefault="008112BD" w:rsidP="008112BD">
      <w:pPr>
        <w:pStyle w:val="aNoteBulletss"/>
        <w:tabs>
          <w:tab w:val="left" w:pos="2300"/>
        </w:tabs>
      </w:pPr>
      <w:r>
        <w:rPr>
          <w:rFonts w:ascii="Symbol" w:hAnsi="Symbol"/>
        </w:rPr>
        <w:t></w:t>
      </w:r>
      <w:r>
        <w:rPr>
          <w:rFonts w:ascii="Symbol" w:hAnsi="Symbol"/>
        </w:rPr>
        <w:tab/>
      </w:r>
      <w:r>
        <w:t>election</w:t>
      </w:r>
    </w:p>
    <w:p w14:paraId="10E1A638"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BB2661F" w14:textId="00E93A2A" w:rsidR="008112BD" w:rsidRDefault="008112BD" w:rsidP="008112BD">
      <w:pPr>
        <w:pStyle w:val="aNoteTextss"/>
        <w:keepNext/>
      </w:pPr>
      <w:r>
        <w:t xml:space="preserve">Also, the following terms are defined in the </w:t>
      </w:r>
      <w:hyperlink r:id="rId417" w:tooltip="A1992-71" w:history="1">
        <w:r w:rsidRPr="00B444C8">
          <w:rPr>
            <w:rStyle w:val="charCitHyperlinkAbbrev"/>
          </w:rPr>
          <w:t>Electoral Act</w:t>
        </w:r>
      </w:hyperlink>
      <w:r>
        <w:t>, dictionary:</w:t>
      </w:r>
    </w:p>
    <w:p w14:paraId="46047A72" w14:textId="77777777" w:rsidR="008112BD" w:rsidRDefault="008112BD" w:rsidP="008112BD">
      <w:pPr>
        <w:pStyle w:val="aNoteBulletss"/>
        <w:tabs>
          <w:tab w:val="left" w:pos="2300"/>
        </w:tabs>
      </w:pPr>
      <w:r>
        <w:rPr>
          <w:rFonts w:ascii="Symbol" w:hAnsi="Symbol"/>
        </w:rPr>
        <w:t></w:t>
      </w:r>
      <w:r>
        <w:rPr>
          <w:rFonts w:ascii="Symbol" w:hAnsi="Symbol"/>
        </w:rPr>
        <w:tab/>
      </w:r>
      <w:r>
        <w:t>Assembly</w:t>
      </w:r>
    </w:p>
    <w:p w14:paraId="34DA3052" w14:textId="77777777" w:rsidR="008112BD" w:rsidRDefault="008112BD" w:rsidP="008112BD">
      <w:pPr>
        <w:pStyle w:val="aNoteBulletss"/>
        <w:tabs>
          <w:tab w:val="left" w:pos="2300"/>
        </w:tabs>
      </w:pPr>
      <w:r>
        <w:rPr>
          <w:rFonts w:ascii="Symbol" w:hAnsi="Symbol"/>
        </w:rPr>
        <w:t></w:t>
      </w:r>
      <w:r>
        <w:rPr>
          <w:rFonts w:ascii="Symbol" w:hAnsi="Symbol"/>
        </w:rPr>
        <w:tab/>
      </w:r>
      <w:r>
        <w:t>ballot paper</w:t>
      </w:r>
    </w:p>
    <w:p w14:paraId="317C8984" w14:textId="77777777" w:rsidR="008112BD" w:rsidRDefault="008112BD" w:rsidP="008112BD">
      <w:pPr>
        <w:pStyle w:val="aNoteBulletss"/>
        <w:tabs>
          <w:tab w:val="left" w:pos="2300"/>
        </w:tabs>
      </w:pPr>
      <w:r>
        <w:rPr>
          <w:rFonts w:ascii="Symbol" w:hAnsi="Symbol"/>
        </w:rPr>
        <w:t></w:t>
      </w:r>
      <w:r>
        <w:rPr>
          <w:rFonts w:ascii="Symbol" w:hAnsi="Symbol"/>
        </w:rPr>
        <w:tab/>
      </w:r>
      <w:r>
        <w:t>commissioner</w:t>
      </w:r>
    </w:p>
    <w:p w14:paraId="11B44A9F" w14:textId="77777777" w:rsidR="008112BD" w:rsidRDefault="008112BD" w:rsidP="008112BD">
      <w:pPr>
        <w:pStyle w:val="aNoteBulletss"/>
        <w:tabs>
          <w:tab w:val="left" w:pos="2300"/>
        </w:tabs>
      </w:pPr>
      <w:r>
        <w:rPr>
          <w:rFonts w:ascii="Symbol" w:hAnsi="Symbol"/>
        </w:rPr>
        <w:t></w:t>
      </w:r>
      <w:r>
        <w:rPr>
          <w:rFonts w:ascii="Symbol" w:hAnsi="Symbol"/>
        </w:rPr>
        <w:tab/>
      </w:r>
      <w:r>
        <w:t>newspaper.</w:t>
      </w:r>
    </w:p>
    <w:p w14:paraId="4C9F7C0B" w14:textId="77777777" w:rsidR="008112BD" w:rsidRDefault="008112BD" w:rsidP="008112BD">
      <w:pPr>
        <w:pStyle w:val="AH5Sec"/>
      </w:pPr>
      <w:bookmarkStart w:id="1075" w:name="_Toc185514691"/>
      <w:r w:rsidRPr="00C8328B">
        <w:rPr>
          <w:rStyle w:val="CharSectNo"/>
        </w:rPr>
        <w:lastRenderedPageBreak/>
        <w:t>3352</w:t>
      </w:r>
      <w:r>
        <w:tab/>
        <w:t>Application—pt 3.6</w:t>
      </w:r>
      <w:bookmarkEnd w:id="1075"/>
    </w:p>
    <w:p w14:paraId="1D669A60" w14:textId="77777777" w:rsidR="008112BD" w:rsidRDefault="008112BD" w:rsidP="008112BD">
      <w:pPr>
        <w:pStyle w:val="Amainreturn"/>
        <w:keepNext/>
      </w:pPr>
      <w:r>
        <w:t>This part applies only to the Supreme Court when exercising its jurisdiction as the Court of Disputed Elections.</w:t>
      </w:r>
    </w:p>
    <w:p w14:paraId="043D0954" w14:textId="6E1020D9" w:rsidR="008112BD" w:rsidRDefault="008112BD" w:rsidP="008112BD">
      <w:pPr>
        <w:pStyle w:val="aNote"/>
        <w:keepNext/>
      </w:pPr>
      <w:r w:rsidRPr="00FE0788">
        <w:rPr>
          <w:rStyle w:val="charItals"/>
        </w:rPr>
        <w:t>Note</w:t>
      </w:r>
      <w:r w:rsidRPr="00FE0788">
        <w:rPr>
          <w:rStyle w:val="charItals"/>
        </w:rPr>
        <w:tab/>
      </w:r>
      <w:r>
        <w:t xml:space="preserve">The </w:t>
      </w:r>
      <w:hyperlink r:id="rId418" w:tooltip="A1992-71" w:history="1">
        <w:r w:rsidRPr="00B444C8">
          <w:rPr>
            <w:rStyle w:val="charCitHyperlinkAbbrev"/>
          </w:rPr>
          <w:t>Electoral Act</w:t>
        </w:r>
      </w:hyperlink>
      <w:r>
        <w:t>, s 252 (1) (Court of Disputed Elections) provides that the Supreme Court has jurisdiction to hear and decide—</w:t>
      </w:r>
    </w:p>
    <w:p w14:paraId="349B94B0" w14:textId="77777777" w:rsidR="008112BD" w:rsidRDefault="008112BD" w:rsidP="008112BD">
      <w:pPr>
        <w:pStyle w:val="aNotePara"/>
        <w:keepNext/>
      </w:pPr>
      <w:r>
        <w:tab/>
        <w:t>(a)</w:t>
      </w:r>
      <w:r>
        <w:tab/>
        <w:t xml:space="preserve">applications disputing the validity of elections; and </w:t>
      </w:r>
    </w:p>
    <w:p w14:paraId="4FA3EE1E" w14:textId="77777777"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14:paraId="5EF2C7FE" w14:textId="77777777" w:rsidR="008112BD" w:rsidRDefault="008112BD" w:rsidP="008112BD">
      <w:pPr>
        <w:pStyle w:val="aNoteTextss"/>
      </w:pPr>
      <w:r>
        <w:t>That Act, s 252 (2) provides that, when exercising jurisdiction under s 252 (1), the Supreme Court is to be known as the Court of Disputed Elections.</w:t>
      </w:r>
    </w:p>
    <w:p w14:paraId="22EF45F9" w14:textId="77777777" w:rsidR="008112BD" w:rsidRDefault="008112BD" w:rsidP="008112BD">
      <w:pPr>
        <w:pStyle w:val="AH5Sec"/>
      </w:pPr>
      <w:bookmarkStart w:id="1076" w:name="_Toc185514692"/>
      <w:r w:rsidRPr="00C8328B">
        <w:rPr>
          <w:rStyle w:val="CharSectNo"/>
        </w:rPr>
        <w:t>3353</w:t>
      </w:r>
      <w:r>
        <w:tab/>
        <w:t>Election application etc originating application</w:t>
      </w:r>
      <w:bookmarkEnd w:id="1076"/>
    </w:p>
    <w:p w14:paraId="505C2E1C" w14:textId="77777777" w:rsidR="008112BD" w:rsidRDefault="008112BD" w:rsidP="008112BD">
      <w:pPr>
        <w:pStyle w:val="Amain"/>
      </w:pPr>
      <w:r>
        <w:tab/>
        <w:t>(1)</w:t>
      </w:r>
      <w:r>
        <w:tab/>
        <w:t>To remove any doubt, these rules apply to an election application as if the application were an originating application.</w:t>
      </w:r>
    </w:p>
    <w:p w14:paraId="7B61BB0A" w14:textId="0E0EF09F" w:rsidR="008112BD" w:rsidRDefault="008112BD" w:rsidP="008112BD">
      <w:pPr>
        <w:pStyle w:val="Amain"/>
      </w:pPr>
      <w:r>
        <w:tab/>
        <w:t>(2)</w:t>
      </w:r>
      <w:r>
        <w:tab/>
        <w:t xml:space="preserve">These rules apply in relation to a reference to the court under the </w:t>
      </w:r>
      <w:hyperlink r:id="rId419" w:tooltip="A1992-71" w:history="1">
        <w:r w:rsidRPr="00B444C8">
          <w:rPr>
            <w:rStyle w:val="charCitHyperlinkAbbrev"/>
          </w:rPr>
          <w:t>Electoral Act</w:t>
        </w:r>
      </w:hyperlink>
      <w:r>
        <w:t xml:space="preserve">, division 16.4 (Eligibility and vacancies) as if a statement under the </w:t>
      </w:r>
      <w:hyperlink r:id="rId420" w:tooltip="A1992-71" w:history="1">
        <w:r w:rsidRPr="00B444C8">
          <w:rPr>
            <w:rStyle w:val="charCitHyperlinkAbbrev"/>
          </w:rPr>
          <w:t>Electoral Act</w:t>
        </w:r>
      </w:hyperlink>
      <w:r>
        <w:t>, section 276 (Speaker to state case) setting out a question referred by the Assembly were an originating application.</w:t>
      </w:r>
    </w:p>
    <w:p w14:paraId="6F516AC9" w14:textId="77777777" w:rsidR="008112BD" w:rsidRDefault="008112BD" w:rsidP="008112BD">
      <w:pPr>
        <w:pStyle w:val="Amain"/>
      </w:pPr>
      <w:r>
        <w:tab/>
        <w:t>(3)</w:t>
      </w:r>
      <w:r>
        <w:tab/>
        <w:t>These rules apply to an election application or a statement mentioned in subrule (2)—</w:t>
      </w:r>
    </w:p>
    <w:p w14:paraId="217AA07A" w14:textId="049D0D58" w:rsidR="008112BD" w:rsidRDefault="008112BD" w:rsidP="008112BD">
      <w:pPr>
        <w:pStyle w:val="Apara"/>
      </w:pPr>
      <w:r>
        <w:tab/>
        <w:t>(a)</w:t>
      </w:r>
      <w:r>
        <w:tab/>
        <w:t xml:space="preserve">subject to the </w:t>
      </w:r>
      <w:hyperlink r:id="rId421" w:tooltip="A1992-71" w:history="1">
        <w:r w:rsidRPr="00B444C8">
          <w:rPr>
            <w:rStyle w:val="charCitHyperlinkAbbrev"/>
          </w:rPr>
          <w:t>Electoral Act</w:t>
        </w:r>
      </w:hyperlink>
      <w:r>
        <w:t xml:space="preserve"> and this part; and</w:t>
      </w:r>
    </w:p>
    <w:p w14:paraId="786B1ABE" w14:textId="77777777" w:rsidR="008112BD" w:rsidRDefault="008112BD" w:rsidP="008112BD">
      <w:pPr>
        <w:pStyle w:val="Apara"/>
      </w:pPr>
      <w:r>
        <w:tab/>
        <w:t>(b)</w:t>
      </w:r>
      <w:r>
        <w:tab/>
        <w:t>with any necessary changes.</w:t>
      </w:r>
    </w:p>
    <w:p w14:paraId="3FEDF498" w14:textId="77777777" w:rsidR="008112BD" w:rsidRPr="00C8328B" w:rsidRDefault="008112BD" w:rsidP="008112BD">
      <w:pPr>
        <w:pStyle w:val="AH3Div"/>
      </w:pPr>
      <w:bookmarkStart w:id="1077" w:name="_Toc185514693"/>
      <w:r w:rsidRPr="00C8328B">
        <w:rPr>
          <w:rStyle w:val="CharDivNo"/>
        </w:rPr>
        <w:lastRenderedPageBreak/>
        <w:t>Division 3.6.2</w:t>
      </w:r>
      <w:r>
        <w:tab/>
      </w:r>
      <w:r w:rsidRPr="00C8328B">
        <w:rPr>
          <w:rStyle w:val="CharDivText"/>
        </w:rPr>
        <w:t>Disputed elections</w:t>
      </w:r>
      <w:bookmarkEnd w:id="1077"/>
    </w:p>
    <w:p w14:paraId="26CD3194" w14:textId="77777777" w:rsidR="008112BD" w:rsidRDefault="008112BD" w:rsidP="008112BD">
      <w:pPr>
        <w:pStyle w:val="AH5Sec"/>
      </w:pPr>
      <w:bookmarkStart w:id="1078" w:name="_Toc185514694"/>
      <w:r w:rsidRPr="00C8328B">
        <w:rPr>
          <w:rStyle w:val="CharSectNo"/>
        </w:rPr>
        <w:t>3355</w:t>
      </w:r>
      <w:r>
        <w:tab/>
        <w:t>Disputed election—deposit as security for costs</w:t>
      </w:r>
      <w:bookmarkEnd w:id="1078"/>
    </w:p>
    <w:p w14:paraId="28F3C3BF" w14:textId="10A3CD24" w:rsidR="008112BD" w:rsidRDefault="008112BD" w:rsidP="008112BD">
      <w:pPr>
        <w:pStyle w:val="Amainreturn"/>
      </w:pPr>
      <w:r>
        <w:t xml:space="preserve">For the </w:t>
      </w:r>
      <w:hyperlink r:id="rId422" w:tooltip="A1992-71" w:history="1">
        <w:r w:rsidRPr="00B444C8">
          <w:rPr>
            <w:rStyle w:val="charCitHyperlinkAbbrev"/>
          </w:rPr>
          <w:t>Electoral Act</w:t>
        </w:r>
      </w:hyperlink>
      <w:r>
        <w:t>, section 260 (1) (Deposit as security for costs), the amount a plaintiff must deposit with the registrar as security for costs is $2 000.</w:t>
      </w:r>
    </w:p>
    <w:p w14:paraId="2AA94D15" w14:textId="77777777" w:rsidR="008112BD" w:rsidRDefault="008112BD" w:rsidP="008112BD">
      <w:pPr>
        <w:pStyle w:val="AH5Sec"/>
      </w:pPr>
      <w:bookmarkStart w:id="1079" w:name="_Toc185514695"/>
      <w:r w:rsidRPr="00C8328B">
        <w:rPr>
          <w:rStyle w:val="CharSectNo"/>
        </w:rPr>
        <w:t>3356</w:t>
      </w:r>
      <w:r>
        <w:tab/>
        <w:t>Disputed election—public notice of election application</w:t>
      </w:r>
      <w:bookmarkEnd w:id="1079"/>
    </w:p>
    <w:p w14:paraId="3BFED82D" w14:textId="77777777" w:rsidR="008112BD" w:rsidRDefault="008112BD" w:rsidP="008112BD">
      <w:pPr>
        <w:pStyle w:val="Amain"/>
      </w:pPr>
      <w:r>
        <w:tab/>
        <w:t>(1)</w:t>
      </w:r>
      <w:r>
        <w:tab/>
        <w:t>This rule applies if a person files an election application in the court.</w:t>
      </w:r>
    </w:p>
    <w:p w14:paraId="3AB7FD01" w14:textId="77777777"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14:paraId="3F71F438" w14:textId="77777777" w:rsidR="008112BD" w:rsidRDefault="008112BD" w:rsidP="008112BD">
      <w:pPr>
        <w:pStyle w:val="Amain"/>
      </w:pPr>
      <w:r>
        <w:tab/>
        <w:t>(3)</w:t>
      </w:r>
      <w:r>
        <w:tab/>
        <w:t>The notice must state—</w:t>
      </w:r>
    </w:p>
    <w:p w14:paraId="11B2CE8E" w14:textId="77777777" w:rsidR="008112BD" w:rsidRDefault="008112BD" w:rsidP="008112BD">
      <w:pPr>
        <w:pStyle w:val="Apara"/>
      </w:pPr>
      <w:r>
        <w:tab/>
        <w:t>(a)</w:t>
      </w:r>
      <w:r>
        <w:tab/>
        <w:t>the plaintiff’s name, the date of filing and the declaration sought; and</w:t>
      </w:r>
    </w:p>
    <w:p w14:paraId="13AAD8A2" w14:textId="77777777" w:rsidR="008112BD" w:rsidRDefault="008112BD" w:rsidP="008112BD">
      <w:pPr>
        <w:pStyle w:val="Apara"/>
      </w:pPr>
      <w:r>
        <w:tab/>
        <w:t>(b)</w:t>
      </w:r>
      <w:r>
        <w:tab/>
        <w:t>as briefly as practicable, the facts relied on to invalidate the election.</w:t>
      </w:r>
    </w:p>
    <w:p w14:paraId="1C45776D" w14:textId="77777777" w:rsidR="008112BD" w:rsidRDefault="008112BD" w:rsidP="008112BD">
      <w:pPr>
        <w:pStyle w:val="AH5Sec"/>
      </w:pPr>
      <w:bookmarkStart w:id="1080" w:name="_Toc185514696"/>
      <w:r w:rsidRPr="00C8328B">
        <w:rPr>
          <w:rStyle w:val="CharSectNo"/>
        </w:rPr>
        <w:t>3357</w:t>
      </w:r>
      <w:r>
        <w:tab/>
        <w:t>Disputed election—parties to proceeding</w:t>
      </w:r>
      <w:bookmarkEnd w:id="1080"/>
    </w:p>
    <w:p w14:paraId="30034965" w14:textId="127EC328" w:rsidR="008112BD" w:rsidRDefault="008112BD" w:rsidP="008112BD">
      <w:pPr>
        <w:pStyle w:val="Amainreturn"/>
        <w:keepNext/>
      </w:pPr>
      <w:r>
        <w:t xml:space="preserve">The parties to a proceeding under the </w:t>
      </w:r>
      <w:hyperlink r:id="rId423" w:tooltip="A1992-71" w:history="1">
        <w:r w:rsidRPr="00B444C8">
          <w:rPr>
            <w:rStyle w:val="charCitHyperlinkAbbrev"/>
          </w:rPr>
          <w:t>Electoral Act</w:t>
        </w:r>
      </w:hyperlink>
      <w:r>
        <w:t>, division 16.3 (Disputed elections) are—</w:t>
      </w:r>
    </w:p>
    <w:p w14:paraId="09237565" w14:textId="77777777" w:rsidR="008112BD" w:rsidRDefault="008112BD" w:rsidP="008112BD">
      <w:pPr>
        <w:pStyle w:val="Apara"/>
      </w:pPr>
      <w:r>
        <w:tab/>
        <w:t>(a)</w:t>
      </w:r>
      <w:r>
        <w:tab/>
        <w:t>the plaintiff; and</w:t>
      </w:r>
    </w:p>
    <w:p w14:paraId="305B6508" w14:textId="77777777" w:rsidR="008112BD" w:rsidRDefault="008112BD" w:rsidP="008112BD">
      <w:pPr>
        <w:pStyle w:val="Apara"/>
      </w:pPr>
      <w:r>
        <w:tab/>
        <w:t>(b)</w:t>
      </w:r>
      <w:r>
        <w:tab/>
        <w:t>each other person who—</w:t>
      </w:r>
    </w:p>
    <w:p w14:paraId="3D3FA65E" w14:textId="522347FB" w:rsidR="008112BD" w:rsidRDefault="008112BD" w:rsidP="008112BD">
      <w:pPr>
        <w:pStyle w:val="Asubpara"/>
      </w:pPr>
      <w:r>
        <w:tab/>
        <w:t>(i)</w:t>
      </w:r>
      <w:r>
        <w:tab/>
        <w:t xml:space="preserve">is entitled under the </w:t>
      </w:r>
      <w:hyperlink r:id="rId424" w:tooltip="A1992-71" w:history="1">
        <w:r w:rsidRPr="00B444C8">
          <w:rPr>
            <w:rStyle w:val="charCitHyperlinkAbbrev"/>
          </w:rPr>
          <w:t>Electoral Act</w:t>
        </w:r>
      </w:hyperlink>
      <w:r>
        <w:t>, section 262 (Parties to application under div 16.3) or section 263 (Withdrawal and abatement of application) to appear in the proceeding; and</w:t>
      </w:r>
    </w:p>
    <w:p w14:paraId="4DDE4268" w14:textId="77777777" w:rsidR="008112BD" w:rsidRDefault="008112BD" w:rsidP="008112BD">
      <w:pPr>
        <w:pStyle w:val="Asubpara"/>
        <w:keepNext/>
      </w:pPr>
      <w:r>
        <w:lastRenderedPageBreak/>
        <w:tab/>
        <w:t>(ii)</w:t>
      </w:r>
      <w:r>
        <w:tab/>
        <w:t>files a notice of intention to respond.</w:t>
      </w:r>
    </w:p>
    <w:p w14:paraId="62A67CF3"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14:paraId="28146912" w14:textId="77777777" w:rsidR="008112BD" w:rsidRDefault="008112BD" w:rsidP="008112BD">
      <w:pPr>
        <w:pStyle w:val="AH5Sec"/>
      </w:pPr>
      <w:bookmarkStart w:id="1081" w:name="_Toc185514697"/>
      <w:r w:rsidRPr="00C8328B">
        <w:rPr>
          <w:rStyle w:val="CharSectNo"/>
        </w:rPr>
        <w:t>3358</w:t>
      </w:r>
      <w:r>
        <w:tab/>
        <w:t>Disputed election—public notice of intention to make application for leave to withdraw</w:t>
      </w:r>
      <w:bookmarkEnd w:id="1081"/>
    </w:p>
    <w:p w14:paraId="320F9582" w14:textId="7D66E39F" w:rsidR="008112BD" w:rsidRDefault="008112BD" w:rsidP="008112BD">
      <w:pPr>
        <w:pStyle w:val="Amainreturn"/>
      </w:pPr>
      <w:r>
        <w:t xml:space="preserve">For the </w:t>
      </w:r>
      <w:hyperlink r:id="rId425"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14:paraId="1AE75806" w14:textId="77777777" w:rsidR="008112BD" w:rsidRDefault="008112BD" w:rsidP="008112BD">
      <w:pPr>
        <w:pStyle w:val="AH5Sec"/>
      </w:pPr>
      <w:bookmarkStart w:id="1082" w:name="_Toc185514698"/>
      <w:r w:rsidRPr="00C8328B">
        <w:rPr>
          <w:rStyle w:val="CharSectNo"/>
        </w:rPr>
        <w:t>3359</w:t>
      </w:r>
      <w:r>
        <w:tab/>
        <w:t>Disputed election—particulars of contested ballot papers</w:t>
      </w:r>
      <w:bookmarkEnd w:id="1082"/>
      <w:r>
        <w:t xml:space="preserve"> </w:t>
      </w:r>
    </w:p>
    <w:p w14:paraId="38288FB5" w14:textId="77777777" w:rsidR="008112BD" w:rsidRDefault="008112BD" w:rsidP="008112BD">
      <w:pPr>
        <w:pStyle w:val="Amain"/>
      </w:pPr>
      <w:r>
        <w:tab/>
        <w:t>(1)</w:t>
      </w:r>
      <w:r>
        <w:tab/>
        <w:t>This rule applies if an election application—</w:t>
      </w:r>
    </w:p>
    <w:p w14:paraId="071DEF12" w14:textId="77777777" w:rsidR="008112BD" w:rsidRDefault="008112BD" w:rsidP="008112BD">
      <w:pPr>
        <w:pStyle w:val="Apara"/>
      </w:pPr>
      <w:r>
        <w:tab/>
        <w:t>(a)</w:t>
      </w:r>
      <w:r>
        <w:tab/>
        <w:t>seeks a declaration that—</w:t>
      </w:r>
    </w:p>
    <w:p w14:paraId="226930A0" w14:textId="77777777" w:rsidR="008112BD" w:rsidRDefault="008112BD" w:rsidP="008112BD">
      <w:pPr>
        <w:pStyle w:val="Asubpara"/>
      </w:pPr>
      <w:r>
        <w:tab/>
        <w:t>(i)</w:t>
      </w:r>
      <w:r>
        <w:tab/>
        <w:t>a person who has been declared elected was not duly elected; or</w:t>
      </w:r>
    </w:p>
    <w:p w14:paraId="387B2E9C" w14:textId="77777777" w:rsidR="008112BD" w:rsidRDefault="008112BD" w:rsidP="008112BD">
      <w:pPr>
        <w:pStyle w:val="Asubpara"/>
      </w:pPr>
      <w:r>
        <w:tab/>
        <w:t>(ii)</w:t>
      </w:r>
      <w:r>
        <w:tab/>
        <w:t>a person who has not been declared elected was duly elected; and</w:t>
      </w:r>
    </w:p>
    <w:p w14:paraId="68B7F142" w14:textId="77777777" w:rsidR="008112BD" w:rsidRDefault="008112BD" w:rsidP="008112BD">
      <w:pPr>
        <w:pStyle w:val="Apara"/>
      </w:pPr>
      <w:r>
        <w:tab/>
        <w:t>(b)</w:t>
      </w:r>
      <w:r>
        <w:tab/>
        <w:t>states a claim or objection to ballot papers or a class of ballot papers.</w:t>
      </w:r>
    </w:p>
    <w:p w14:paraId="73AF61F7" w14:textId="77777777" w:rsidR="008112BD" w:rsidRDefault="008112BD" w:rsidP="008112BD">
      <w:pPr>
        <w:pStyle w:val="Amain"/>
      </w:pPr>
      <w:r>
        <w:tab/>
        <w:t>(2)</w:t>
      </w:r>
      <w:r>
        <w:tab/>
        <w:t>Not later than 7 days before the return date for the election application, each party to the proceeding must file, and serve on each other party—</w:t>
      </w:r>
    </w:p>
    <w:p w14:paraId="2A4E3DA3" w14:textId="77777777" w:rsidR="008112BD" w:rsidRDefault="008112BD" w:rsidP="008112BD">
      <w:pPr>
        <w:pStyle w:val="Apara"/>
      </w:pPr>
      <w:r>
        <w:tab/>
        <w:t>(a)</w:t>
      </w:r>
      <w:r>
        <w:tab/>
        <w:t>a list of the ballot papers or classes of ballot papers intended to be claimed or objected to; and</w:t>
      </w:r>
    </w:p>
    <w:p w14:paraId="169F6844" w14:textId="77777777" w:rsidR="008112BD" w:rsidRDefault="008112BD" w:rsidP="008112BD">
      <w:pPr>
        <w:pStyle w:val="Apara"/>
      </w:pPr>
      <w:r>
        <w:tab/>
        <w:t>(b)</w:t>
      </w:r>
      <w:r>
        <w:tab/>
        <w:t>if the ballot papers are being objected to—a statement of the grounds for the objection.</w:t>
      </w:r>
    </w:p>
    <w:p w14:paraId="7C6FA834" w14:textId="77777777"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14:paraId="6294D93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035EC6DD" w14:textId="77777777" w:rsidR="008112BD" w:rsidRDefault="008112BD" w:rsidP="008112BD">
      <w:pPr>
        <w:pStyle w:val="Amain"/>
        <w:keepNext/>
      </w:pPr>
      <w:r>
        <w:tab/>
        <w:t>(4)</w:t>
      </w:r>
      <w:r>
        <w:tab/>
        <w:t>Without limiting rule 6902 (Leave may be given on conditions), leave may be given on any of the following conditions:</w:t>
      </w:r>
    </w:p>
    <w:p w14:paraId="65FFCD9F" w14:textId="77777777" w:rsidR="008112BD" w:rsidRDefault="008112BD" w:rsidP="008112BD">
      <w:pPr>
        <w:pStyle w:val="Apara"/>
      </w:pPr>
      <w:r>
        <w:tab/>
        <w:t>(a)</w:t>
      </w:r>
      <w:r>
        <w:tab/>
        <w:t>conditions about amendment of the statement and service of the amended statement;</w:t>
      </w:r>
    </w:p>
    <w:p w14:paraId="21803597" w14:textId="77777777" w:rsidR="008112BD" w:rsidRDefault="008112BD" w:rsidP="008112BD">
      <w:pPr>
        <w:pStyle w:val="Apara"/>
      </w:pPr>
      <w:r>
        <w:tab/>
        <w:t>(b)</w:t>
      </w:r>
      <w:r>
        <w:tab/>
        <w:t>conditions about adjournment and costs.</w:t>
      </w:r>
    </w:p>
    <w:p w14:paraId="4E9499C0" w14:textId="77777777" w:rsidR="008112BD" w:rsidRDefault="008112BD" w:rsidP="008112BD">
      <w:pPr>
        <w:pStyle w:val="AH5Sec"/>
      </w:pPr>
      <w:bookmarkStart w:id="1083" w:name="_Toc185514699"/>
      <w:r w:rsidRPr="00C8328B">
        <w:rPr>
          <w:rStyle w:val="CharSectNo"/>
        </w:rPr>
        <w:t>3360</w:t>
      </w:r>
      <w:r>
        <w:tab/>
        <w:t>Disputed election—countercharges</w:t>
      </w:r>
      <w:bookmarkEnd w:id="1083"/>
    </w:p>
    <w:p w14:paraId="35DB47EC" w14:textId="77777777"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14:paraId="3862F529" w14:textId="77777777" w:rsidR="008112BD" w:rsidRDefault="008112BD" w:rsidP="008112BD">
      <w:pPr>
        <w:pStyle w:val="Amain"/>
      </w:pPr>
      <w:r>
        <w:tab/>
        <w:t>(2)</w:t>
      </w:r>
      <w:r>
        <w:tab/>
        <w:t>Not later than 7 days after the day the defendant files a notice of intention to respond, the defendant must—</w:t>
      </w:r>
    </w:p>
    <w:p w14:paraId="47640A39" w14:textId="77777777" w:rsidR="008112BD" w:rsidRDefault="008112BD" w:rsidP="008112BD">
      <w:pPr>
        <w:pStyle w:val="Apara"/>
      </w:pPr>
      <w:r>
        <w:tab/>
        <w:t>(a)</w:t>
      </w:r>
      <w:r>
        <w:tab/>
        <w:t>file in the court a statement of the grounds on which the defendant intends to rely in opposing the election application; and</w:t>
      </w:r>
    </w:p>
    <w:p w14:paraId="63E90EDC" w14:textId="77777777" w:rsidR="008112BD" w:rsidRDefault="008112BD" w:rsidP="008112BD">
      <w:pPr>
        <w:pStyle w:val="Apara"/>
        <w:keepNext/>
      </w:pPr>
      <w:r>
        <w:tab/>
        <w:t>(b)</w:t>
      </w:r>
      <w:r>
        <w:tab/>
        <w:t>serve a stamped copy of the statement on the plaintiff.</w:t>
      </w:r>
    </w:p>
    <w:p w14:paraId="7EEC0C2C"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09BF6A9" w14:textId="77777777"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14:paraId="3A5282D8" w14:textId="77777777" w:rsidR="008112BD" w:rsidRDefault="008112BD" w:rsidP="008112BD">
      <w:pPr>
        <w:pStyle w:val="AH5Sec"/>
      </w:pPr>
      <w:bookmarkStart w:id="1084" w:name="_Toc185514700"/>
      <w:r w:rsidRPr="00C8328B">
        <w:rPr>
          <w:rStyle w:val="CharSectNo"/>
        </w:rPr>
        <w:lastRenderedPageBreak/>
        <w:t>3361</w:t>
      </w:r>
      <w:r>
        <w:tab/>
        <w:t>Disputed election—time of trial etc</w:t>
      </w:r>
      <w:bookmarkEnd w:id="1084"/>
    </w:p>
    <w:p w14:paraId="0A725CF5" w14:textId="77777777" w:rsidR="008112BD" w:rsidRDefault="008112BD" w:rsidP="00310388">
      <w:pPr>
        <w:pStyle w:val="Amain"/>
        <w:keepNext/>
      </w:pPr>
      <w:r>
        <w:tab/>
        <w:t>(1)</w:t>
      </w:r>
      <w:r>
        <w:tab/>
        <w:t>The trial of an election application must be held at a time set by the court.</w:t>
      </w:r>
    </w:p>
    <w:p w14:paraId="6064D73A" w14:textId="77777777" w:rsidR="008112BD" w:rsidRDefault="008112BD" w:rsidP="008112BD">
      <w:pPr>
        <w:pStyle w:val="Amain"/>
      </w:pPr>
      <w:r>
        <w:tab/>
        <w:t>(2)</w:t>
      </w:r>
      <w:r>
        <w:tab/>
        <w:t>If the court makes an order setting the time for the trial, the plaintiff must, not later than 14 days before the trial date—</w:t>
      </w:r>
    </w:p>
    <w:p w14:paraId="17A1BD11" w14:textId="77777777" w:rsidR="008112BD" w:rsidRDefault="008112BD" w:rsidP="008112BD">
      <w:pPr>
        <w:pStyle w:val="Apara"/>
      </w:pPr>
      <w:r>
        <w:tab/>
        <w:t>(a)</w:t>
      </w:r>
      <w:r>
        <w:tab/>
        <w:t>serve a sealed copy of the order on each other party; and</w:t>
      </w:r>
    </w:p>
    <w:p w14:paraId="32DEE55B" w14:textId="77777777" w:rsidR="008112BD" w:rsidRDefault="008112BD" w:rsidP="008112BD">
      <w:pPr>
        <w:pStyle w:val="Apara"/>
      </w:pPr>
      <w:r>
        <w:tab/>
        <w:t>(b)</w:t>
      </w:r>
      <w:r>
        <w:tab/>
        <w:t>publish notice of the trial in a newspaper.</w:t>
      </w:r>
    </w:p>
    <w:p w14:paraId="2C11A608" w14:textId="77777777" w:rsidR="008112BD" w:rsidRDefault="008112BD" w:rsidP="008112BD">
      <w:pPr>
        <w:pStyle w:val="Amain"/>
      </w:pPr>
      <w:r>
        <w:tab/>
        <w:t>(3)</w:t>
      </w:r>
      <w:r>
        <w:tab/>
        <w:t>An order setting the time of the trial may be amended by the court from time to time.</w:t>
      </w:r>
    </w:p>
    <w:p w14:paraId="3C1B4FCE" w14:textId="77777777" w:rsidR="008112BD" w:rsidRDefault="008112BD" w:rsidP="008112BD">
      <w:pPr>
        <w:pStyle w:val="AH5Sec"/>
      </w:pPr>
      <w:bookmarkStart w:id="1085" w:name="_Toc185514701"/>
      <w:r w:rsidRPr="00C8328B">
        <w:rPr>
          <w:rStyle w:val="CharSectNo"/>
        </w:rPr>
        <w:t>3362</w:t>
      </w:r>
      <w:r>
        <w:tab/>
        <w:t>Disputed election—substitution of plaintiff</w:t>
      </w:r>
      <w:bookmarkEnd w:id="1085"/>
    </w:p>
    <w:p w14:paraId="7ED175F0" w14:textId="77777777" w:rsidR="008112BD" w:rsidRDefault="008112BD" w:rsidP="008112BD">
      <w:pPr>
        <w:pStyle w:val="Amain"/>
      </w:pPr>
      <w:r>
        <w:tab/>
        <w:t>(1)</w:t>
      </w:r>
      <w:r>
        <w:tab/>
        <w:t>This rule applies if—</w:t>
      </w:r>
    </w:p>
    <w:p w14:paraId="44A66BCD" w14:textId="3840AC19" w:rsidR="008112BD" w:rsidRDefault="008112BD" w:rsidP="008112BD">
      <w:pPr>
        <w:pStyle w:val="Apara"/>
      </w:pPr>
      <w:r>
        <w:tab/>
        <w:t>(a)</w:t>
      </w:r>
      <w:r>
        <w:tab/>
        <w:t xml:space="preserve">the court is deciding whether to give leave under the </w:t>
      </w:r>
      <w:hyperlink r:id="rId426" w:tooltip="A1992-71" w:history="1">
        <w:r w:rsidRPr="00B444C8">
          <w:rPr>
            <w:rStyle w:val="charCitHyperlinkAbbrev"/>
          </w:rPr>
          <w:t>Electoral Act</w:t>
        </w:r>
      </w:hyperlink>
      <w:r>
        <w:t>, section 263 (Withdrawal and abatement of application) for the withdrawal of an election application; or</w:t>
      </w:r>
    </w:p>
    <w:p w14:paraId="3F827BCD" w14:textId="77777777" w:rsidR="008112BD" w:rsidRDefault="008112BD" w:rsidP="008112BD">
      <w:pPr>
        <w:pStyle w:val="Apara"/>
      </w:pPr>
      <w:r>
        <w:tab/>
        <w:t>(b)</w:t>
      </w:r>
      <w:r>
        <w:tab/>
        <w:t>the sole plaintiff, or the last survivor of several plaintiffs, for an election application dies before the trial of the application.</w:t>
      </w:r>
    </w:p>
    <w:p w14:paraId="0BD449A2" w14:textId="77777777" w:rsidR="008112BD" w:rsidRDefault="008112BD" w:rsidP="008112BD">
      <w:pPr>
        <w:pStyle w:val="Amain"/>
      </w:pPr>
      <w:r>
        <w:tab/>
        <w:t>(2)</w:t>
      </w:r>
      <w:r>
        <w:tab/>
        <w:t>The court may order that someone else be substituted as the plaintiff if the other person—</w:t>
      </w:r>
    </w:p>
    <w:p w14:paraId="6A197D60" w14:textId="77777777" w:rsidR="008112BD" w:rsidRDefault="008112BD" w:rsidP="008112BD">
      <w:pPr>
        <w:pStyle w:val="Apara"/>
      </w:pPr>
      <w:r>
        <w:tab/>
        <w:t>(a)</w:t>
      </w:r>
      <w:r>
        <w:tab/>
        <w:t>is entitled to dispute the validity of the election on similar grounds to the plaintiff; and</w:t>
      </w:r>
    </w:p>
    <w:p w14:paraId="6EEBCE8C" w14:textId="77777777" w:rsidR="008112BD" w:rsidRDefault="008112BD" w:rsidP="008112BD">
      <w:pPr>
        <w:pStyle w:val="Apara"/>
        <w:keepNext/>
      </w:pPr>
      <w:r>
        <w:tab/>
        <w:t>(b)</w:t>
      </w:r>
      <w:r>
        <w:tab/>
        <w:t>agrees to be substituted as the plaintiff.</w:t>
      </w:r>
    </w:p>
    <w:p w14:paraId="675FC8AB"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14:paraId="60A2330B" w14:textId="77777777"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14:paraId="498D0E8D" w14:textId="77777777" w:rsidR="008112BD" w:rsidRDefault="008112BD" w:rsidP="008112BD">
      <w:pPr>
        <w:pStyle w:val="AH5Sec"/>
      </w:pPr>
      <w:bookmarkStart w:id="1086" w:name="_Toc185514702"/>
      <w:r w:rsidRPr="00C8328B">
        <w:rPr>
          <w:rStyle w:val="CharSectNo"/>
        </w:rPr>
        <w:lastRenderedPageBreak/>
        <w:t>3363</w:t>
      </w:r>
      <w:r>
        <w:tab/>
        <w:t>Disputed election—withdrawal of defendant</w:t>
      </w:r>
      <w:bookmarkEnd w:id="1086"/>
    </w:p>
    <w:p w14:paraId="43742418" w14:textId="22EC8608" w:rsidR="008112BD" w:rsidRDefault="008112BD" w:rsidP="008112BD">
      <w:pPr>
        <w:pStyle w:val="Amainreturn"/>
      </w:pPr>
      <w:r>
        <w:t xml:space="preserve">For the </w:t>
      </w:r>
      <w:hyperlink r:id="rId427"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14:paraId="599983A2" w14:textId="77777777" w:rsidR="008112BD" w:rsidRDefault="008112BD" w:rsidP="008112BD">
      <w:pPr>
        <w:pStyle w:val="AH5Sec"/>
      </w:pPr>
      <w:bookmarkStart w:id="1087" w:name="_Toc185514703"/>
      <w:r w:rsidRPr="00C8328B">
        <w:rPr>
          <w:rStyle w:val="CharSectNo"/>
        </w:rPr>
        <w:t>3364</w:t>
      </w:r>
      <w:r>
        <w:tab/>
        <w:t>Disputed election—substitution of defendant</w:t>
      </w:r>
      <w:bookmarkEnd w:id="1087"/>
    </w:p>
    <w:p w14:paraId="715BD2A9" w14:textId="24FA00F7" w:rsidR="008112BD" w:rsidRDefault="008112BD" w:rsidP="008112BD">
      <w:pPr>
        <w:pStyle w:val="Amainreturn"/>
      </w:pPr>
      <w:r>
        <w:t xml:space="preserve">For the </w:t>
      </w:r>
      <w:hyperlink r:id="rId428"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29" w:tooltip="A1992-71" w:history="1">
        <w:r w:rsidRPr="00B444C8">
          <w:rPr>
            <w:rStyle w:val="charCitHyperlinkAbbrev"/>
          </w:rPr>
          <w:t>Electoral Act</w:t>
        </w:r>
      </w:hyperlink>
      <w:r>
        <w:t>, section 263 (9) (d) (i).</w:t>
      </w:r>
    </w:p>
    <w:p w14:paraId="6AADA46A" w14:textId="77777777" w:rsidR="008112BD" w:rsidRPr="00C8328B" w:rsidRDefault="008112BD" w:rsidP="008112BD">
      <w:pPr>
        <w:pStyle w:val="AH3Div"/>
      </w:pPr>
      <w:bookmarkStart w:id="1088" w:name="_Toc185514704"/>
      <w:r w:rsidRPr="00C8328B">
        <w:rPr>
          <w:rStyle w:val="CharDivNo"/>
        </w:rPr>
        <w:t>Division 3.6.3</w:t>
      </w:r>
      <w:r>
        <w:tab/>
      </w:r>
      <w:r w:rsidRPr="00C8328B">
        <w:rPr>
          <w:rStyle w:val="CharDivText"/>
        </w:rPr>
        <w:t>Questions referred by Legislative Assembly</w:t>
      </w:r>
      <w:bookmarkEnd w:id="1088"/>
    </w:p>
    <w:p w14:paraId="22895CA3" w14:textId="77777777" w:rsidR="008112BD" w:rsidRDefault="008112BD" w:rsidP="008112BD">
      <w:pPr>
        <w:pStyle w:val="AH5Sec"/>
      </w:pPr>
      <w:bookmarkStart w:id="1089" w:name="_Toc185514705"/>
      <w:r w:rsidRPr="00C8328B">
        <w:rPr>
          <w:rStyle w:val="CharSectNo"/>
        </w:rPr>
        <w:t>3400</w:t>
      </w:r>
      <w:r>
        <w:tab/>
        <w:t>Question referred—parties to proceeding</w:t>
      </w:r>
      <w:bookmarkEnd w:id="1089"/>
    </w:p>
    <w:p w14:paraId="0AB3A2CC" w14:textId="787873D6" w:rsidR="008112BD" w:rsidRDefault="008112BD" w:rsidP="008112BD">
      <w:pPr>
        <w:pStyle w:val="Amainreturn"/>
        <w:keepNext/>
      </w:pPr>
      <w:r>
        <w:t xml:space="preserve">A person is a party to a proceeding under the </w:t>
      </w:r>
      <w:hyperlink r:id="rId430" w:tooltip="A1992-71" w:history="1">
        <w:r w:rsidRPr="00B444C8">
          <w:rPr>
            <w:rStyle w:val="charCitHyperlinkAbbrev"/>
          </w:rPr>
          <w:t>Electoral Act</w:t>
        </w:r>
      </w:hyperlink>
      <w:r>
        <w:t>, division 16.4 (Eligibility and vacancies) if the person—</w:t>
      </w:r>
    </w:p>
    <w:p w14:paraId="28792DD3" w14:textId="7950A786" w:rsidR="008112BD" w:rsidRDefault="008112BD" w:rsidP="008112BD">
      <w:pPr>
        <w:pStyle w:val="aDefpara"/>
      </w:pPr>
      <w:r>
        <w:tab/>
        <w:t>(a)</w:t>
      </w:r>
      <w:r>
        <w:tab/>
        <w:t xml:space="preserve">is entitled under the </w:t>
      </w:r>
      <w:hyperlink r:id="rId431" w:tooltip="A1992-71" w:history="1">
        <w:r w:rsidRPr="00B444C8">
          <w:rPr>
            <w:rStyle w:val="charCitHyperlinkAbbrev"/>
          </w:rPr>
          <w:t>Electoral Act</w:t>
        </w:r>
      </w:hyperlink>
      <w:r>
        <w:t>, section 277 (Parties to a referral) to appear in the proceeding; and</w:t>
      </w:r>
    </w:p>
    <w:p w14:paraId="4BDFB697" w14:textId="77777777" w:rsidR="008112BD" w:rsidRDefault="008112BD" w:rsidP="008112BD">
      <w:pPr>
        <w:pStyle w:val="aDefpara"/>
        <w:keepNext/>
      </w:pPr>
      <w:r>
        <w:tab/>
        <w:t>(b)</w:t>
      </w:r>
      <w:r>
        <w:tab/>
        <w:t>the person files a notice of intention to respond.</w:t>
      </w:r>
    </w:p>
    <w:p w14:paraId="606CAEDF"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14:paraId="447D900E" w14:textId="77777777" w:rsidR="008112BD" w:rsidRPr="00C8328B" w:rsidRDefault="008112BD" w:rsidP="008112BD">
      <w:pPr>
        <w:pStyle w:val="AH3Div"/>
      </w:pPr>
      <w:bookmarkStart w:id="1090" w:name="_Toc185514706"/>
      <w:r w:rsidRPr="00C8328B">
        <w:rPr>
          <w:rStyle w:val="CharDivNo"/>
        </w:rPr>
        <w:lastRenderedPageBreak/>
        <w:t>Division 3.6.4</w:t>
      </w:r>
      <w:r>
        <w:tab/>
      </w:r>
      <w:r w:rsidRPr="00C8328B">
        <w:rPr>
          <w:rStyle w:val="CharDivText"/>
        </w:rPr>
        <w:t>Electoral matters—general procedure</w:t>
      </w:r>
      <w:bookmarkEnd w:id="1090"/>
    </w:p>
    <w:p w14:paraId="200C4A45" w14:textId="77777777" w:rsidR="008112BD" w:rsidRDefault="008112BD" w:rsidP="008112BD">
      <w:pPr>
        <w:pStyle w:val="AH5Sec"/>
      </w:pPr>
      <w:bookmarkStart w:id="1091" w:name="_Toc185514707"/>
      <w:r w:rsidRPr="00C8328B">
        <w:rPr>
          <w:rStyle w:val="CharSectNo"/>
        </w:rPr>
        <w:t>3405</w:t>
      </w:r>
      <w:r>
        <w:tab/>
        <w:t>Electoral matters—better particulars</w:t>
      </w:r>
      <w:bookmarkEnd w:id="1091"/>
    </w:p>
    <w:p w14:paraId="128A0319" w14:textId="41CC49D0" w:rsidR="008112BD" w:rsidRDefault="008112BD" w:rsidP="00310388">
      <w:pPr>
        <w:pStyle w:val="Amainreturn"/>
        <w:keepNext/>
        <w:keepLines/>
      </w:pPr>
      <w:r>
        <w:t xml:space="preserve">The court may order a party to a proceeding under the </w:t>
      </w:r>
      <w:hyperlink r:id="rId432"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14:paraId="53A59B3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14:paraId="1341661A" w14:textId="77777777" w:rsidR="008112BD" w:rsidRDefault="008112BD" w:rsidP="008112BD">
      <w:pPr>
        <w:pStyle w:val="PageBreak"/>
      </w:pPr>
      <w:r>
        <w:br w:type="page"/>
      </w:r>
    </w:p>
    <w:p w14:paraId="4EF6BF59" w14:textId="77777777" w:rsidR="008112BD" w:rsidRPr="00C8328B" w:rsidRDefault="008112BD" w:rsidP="008112BD">
      <w:pPr>
        <w:pStyle w:val="AH2Part"/>
      </w:pPr>
      <w:bookmarkStart w:id="1092" w:name="_Toc185514708"/>
      <w:r w:rsidRPr="00C8328B">
        <w:rPr>
          <w:rStyle w:val="CharPartNo"/>
        </w:rPr>
        <w:lastRenderedPageBreak/>
        <w:t>Part 3.7</w:t>
      </w:r>
      <w:r>
        <w:tab/>
      </w:r>
      <w:r w:rsidRPr="00C8328B">
        <w:rPr>
          <w:rStyle w:val="CharPartText"/>
        </w:rPr>
        <w:t>Foreign and interstate confiscation orders—registration</w:t>
      </w:r>
      <w:bookmarkEnd w:id="1092"/>
    </w:p>
    <w:p w14:paraId="6B17933E" w14:textId="77777777" w:rsidR="008112BD" w:rsidRPr="00C8328B" w:rsidRDefault="008112BD" w:rsidP="008112BD">
      <w:pPr>
        <w:pStyle w:val="AH3Div"/>
      </w:pPr>
      <w:bookmarkStart w:id="1093" w:name="_Toc185514709"/>
      <w:r w:rsidRPr="00C8328B">
        <w:rPr>
          <w:rStyle w:val="CharDivNo"/>
        </w:rPr>
        <w:t>Division 3.7.1</w:t>
      </w:r>
      <w:r>
        <w:tab/>
      </w:r>
      <w:r w:rsidRPr="00C8328B">
        <w:rPr>
          <w:rStyle w:val="CharDivText"/>
        </w:rPr>
        <w:t>Foreign confiscation orders—registration</w:t>
      </w:r>
      <w:bookmarkEnd w:id="1093"/>
    </w:p>
    <w:p w14:paraId="0278B088" w14:textId="77777777" w:rsidR="008112BD" w:rsidRDefault="008112BD" w:rsidP="008112BD">
      <w:pPr>
        <w:pStyle w:val="AH5Sec"/>
      </w:pPr>
      <w:bookmarkStart w:id="1094" w:name="_Toc185514710"/>
      <w:r w:rsidRPr="00C8328B">
        <w:rPr>
          <w:rStyle w:val="CharSectNo"/>
        </w:rPr>
        <w:t>3450</w:t>
      </w:r>
      <w:r>
        <w:tab/>
        <w:t>Definitions—div 3.7.1</w:t>
      </w:r>
      <w:bookmarkEnd w:id="1094"/>
    </w:p>
    <w:p w14:paraId="6B190062" w14:textId="77777777" w:rsidR="008112BD" w:rsidRDefault="008112BD" w:rsidP="008112BD">
      <w:pPr>
        <w:pStyle w:val="Amainreturn"/>
        <w:keepNext/>
      </w:pPr>
      <w:r>
        <w:t>In this division:</w:t>
      </w:r>
    </w:p>
    <w:p w14:paraId="3930AB89" w14:textId="77777777" w:rsidR="008112BD" w:rsidRDefault="008112BD" w:rsidP="008112BD">
      <w:pPr>
        <w:pStyle w:val="aDef"/>
        <w:keepNext/>
      </w:pPr>
      <w:r w:rsidRPr="00FE0788">
        <w:rPr>
          <w:rStyle w:val="charBoldItals"/>
        </w:rPr>
        <w:t xml:space="preserve">foreign confiscation order </w:t>
      </w:r>
      <w:r>
        <w:t>means—</w:t>
      </w:r>
    </w:p>
    <w:p w14:paraId="1B3181F6" w14:textId="773BEAE7" w:rsidR="008112BD" w:rsidRDefault="008112BD" w:rsidP="008112BD">
      <w:pPr>
        <w:pStyle w:val="aDefpara"/>
        <w:keepNext/>
      </w:pPr>
      <w:r>
        <w:tab/>
        <w:t>(a)</w:t>
      </w:r>
      <w:r>
        <w:tab/>
        <w:t xml:space="preserve">any of the following orders within the meaning of the </w:t>
      </w:r>
      <w:hyperlink r:id="rId433"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14:paraId="55537004" w14:textId="77777777" w:rsidR="008112BD" w:rsidRDefault="008112BD" w:rsidP="008112BD">
      <w:pPr>
        <w:pStyle w:val="Asubpara"/>
      </w:pPr>
      <w:r>
        <w:tab/>
        <w:t>(i)</w:t>
      </w:r>
      <w:r>
        <w:tab/>
        <w:t>a foreign forfeiture order;</w:t>
      </w:r>
    </w:p>
    <w:p w14:paraId="7CFD2563" w14:textId="77777777" w:rsidR="008112BD" w:rsidRDefault="008112BD" w:rsidP="008112BD">
      <w:pPr>
        <w:pStyle w:val="Asubpara"/>
      </w:pPr>
      <w:r>
        <w:tab/>
        <w:t>(ii)</w:t>
      </w:r>
      <w:r>
        <w:tab/>
        <w:t>a foreign pecuniary penalty order;</w:t>
      </w:r>
    </w:p>
    <w:p w14:paraId="1690424D" w14:textId="77777777" w:rsidR="008112BD" w:rsidRDefault="008112BD" w:rsidP="008112BD">
      <w:pPr>
        <w:pStyle w:val="Asubpara"/>
        <w:keepNext/>
      </w:pPr>
      <w:r>
        <w:tab/>
        <w:t>(iii)</w:t>
      </w:r>
      <w:r>
        <w:tab/>
        <w:t>a foreign restraining order; or</w:t>
      </w:r>
    </w:p>
    <w:p w14:paraId="374C36DA" w14:textId="7C0BFD87" w:rsidR="008112BD" w:rsidRDefault="008112BD" w:rsidP="008112BD">
      <w:pPr>
        <w:pStyle w:val="aDefpara"/>
      </w:pPr>
      <w:r>
        <w:tab/>
        <w:t>(b)</w:t>
      </w:r>
      <w:r>
        <w:tab/>
        <w:t xml:space="preserve">a forfeiture order within the meaning of the </w:t>
      </w:r>
      <w:hyperlink r:id="rId434" w:tooltip="Act 1995 No 18 (Cwlth)" w:history="1">
        <w:r w:rsidRPr="007A273E">
          <w:rPr>
            <w:rStyle w:val="charCitHyperlinkItal"/>
          </w:rPr>
          <w:t>International War Crimes Tribunals Act 1995</w:t>
        </w:r>
      </w:hyperlink>
      <w:r w:rsidRPr="00FE0788">
        <w:rPr>
          <w:rStyle w:val="charItals"/>
        </w:rPr>
        <w:t xml:space="preserve"> </w:t>
      </w:r>
      <w:r>
        <w:t>(Cwlth), section 4.</w:t>
      </w:r>
    </w:p>
    <w:p w14:paraId="01E1097D" w14:textId="77777777" w:rsidR="008112BD" w:rsidRDefault="008112BD" w:rsidP="008112BD">
      <w:pPr>
        <w:pStyle w:val="aDef"/>
      </w:pPr>
      <w:r w:rsidRPr="00FE0788">
        <w:rPr>
          <w:rStyle w:val="charBoldItals"/>
        </w:rPr>
        <w:t>register</w:t>
      </w:r>
      <w:r>
        <w:t xml:space="preserve"> means the register of foreign confiscation orders kept under rule 3452.</w:t>
      </w:r>
    </w:p>
    <w:p w14:paraId="3135AE0B" w14:textId="77777777" w:rsidR="008112BD" w:rsidRDefault="008112BD" w:rsidP="008112BD">
      <w:pPr>
        <w:pStyle w:val="AH5Sec"/>
      </w:pPr>
      <w:bookmarkStart w:id="1095" w:name="_Toc185514711"/>
      <w:r w:rsidRPr="00C8328B">
        <w:rPr>
          <w:rStyle w:val="CharSectNo"/>
        </w:rPr>
        <w:t>3451</w:t>
      </w:r>
      <w:r>
        <w:tab/>
        <w:t>Application—div 3.7.1</w:t>
      </w:r>
      <w:bookmarkEnd w:id="1095"/>
    </w:p>
    <w:p w14:paraId="7362A739" w14:textId="77777777" w:rsidR="008112BD" w:rsidRDefault="008112BD" w:rsidP="008112BD">
      <w:pPr>
        <w:pStyle w:val="Amainreturn"/>
      </w:pPr>
      <w:r>
        <w:t>This division applies only in relation to the Supreme Court.</w:t>
      </w:r>
    </w:p>
    <w:p w14:paraId="2AB634A3" w14:textId="77777777" w:rsidR="008112BD" w:rsidRDefault="008112BD" w:rsidP="008112BD">
      <w:pPr>
        <w:pStyle w:val="AH5Sec"/>
      </w:pPr>
      <w:bookmarkStart w:id="1096" w:name="_Toc185514712"/>
      <w:r w:rsidRPr="00C8328B">
        <w:rPr>
          <w:rStyle w:val="CharSectNo"/>
        </w:rPr>
        <w:t>3452</w:t>
      </w:r>
      <w:r>
        <w:tab/>
        <w:t>Foreign confiscation orders—register</w:t>
      </w:r>
      <w:bookmarkEnd w:id="1096"/>
    </w:p>
    <w:p w14:paraId="2B0E1FAB" w14:textId="77777777" w:rsidR="008112BD" w:rsidRDefault="008112BD" w:rsidP="008112BD">
      <w:pPr>
        <w:pStyle w:val="Amain"/>
      </w:pPr>
      <w:r>
        <w:tab/>
        <w:t>(1)</w:t>
      </w:r>
      <w:r>
        <w:tab/>
        <w:t>The registrar must keep a register of foreign confiscation orders.</w:t>
      </w:r>
    </w:p>
    <w:p w14:paraId="57E19D6A" w14:textId="77777777" w:rsidR="008112BD" w:rsidRDefault="008112BD" w:rsidP="008112BD">
      <w:pPr>
        <w:pStyle w:val="Amain"/>
        <w:keepNext/>
      </w:pPr>
      <w:r>
        <w:tab/>
        <w:t>(2)</w:t>
      </w:r>
      <w:r>
        <w:tab/>
        <w:t>The register—</w:t>
      </w:r>
    </w:p>
    <w:p w14:paraId="0560D17D" w14:textId="77777777" w:rsidR="008112BD" w:rsidRDefault="008112BD" w:rsidP="008112BD">
      <w:pPr>
        <w:pStyle w:val="Apara"/>
      </w:pPr>
      <w:r>
        <w:tab/>
        <w:t>(a)</w:t>
      </w:r>
      <w:r>
        <w:tab/>
        <w:t>must be kept in accordance with the directions of the court; and</w:t>
      </w:r>
    </w:p>
    <w:p w14:paraId="6E51640D" w14:textId="77777777" w:rsidR="008112BD" w:rsidRDefault="008112BD" w:rsidP="008112BD">
      <w:pPr>
        <w:pStyle w:val="Apara"/>
      </w:pPr>
      <w:r>
        <w:tab/>
        <w:t>(b)</w:t>
      </w:r>
      <w:r>
        <w:tab/>
        <w:t>may be kept in electronic form.</w:t>
      </w:r>
    </w:p>
    <w:p w14:paraId="4378370A" w14:textId="77777777" w:rsidR="008112BD" w:rsidRDefault="008112BD" w:rsidP="008112BD">
      <w:pPr>
        <w:pStyle w:val="Amain"/>
      </w:pPr>
      <w:r>
        <w:lastRenderedPageBreak/>
        <w:tab/>
        <w:t>(3)</w:t>
      </w:r>
      <w:r>
        <w:tab/>
        <w:t>The registrar must record in the register, for each foreign confiscation order registered—</w:t>
      </w:r>
    </w:p>
    <w:p w14:paraId="75E45F42" w14:textId="77777777" w:rsidR="008112BD" w:rsidRDefault="008112BD" w:rsidP="008112BD">
      <w:pPr>
        <w:pStyle w:val="Apara"/>
      </w:pPr>
      <w:r>
        <w:tab/>
        <w:t>(a)</w:t>
      </w:r>
      <w:r>
        <w:tab/>
        <w:t>the date when the order was filed in the court ;and</w:t>
      </w:r>
    </w:p>
    <w:p w14:paraId="55276501" w14:textId="77777777" w:rsidR="008112BD" w:rsidRDefault="008112BD" w:rsidP="008112BD">
      <w:pPr>
        <w:pStyle w:val="Apara"/>
      </w:pPr>
      <w:r>
        <w:tab/>
        <w:t>(b)</w:t>
      </w:r>
      <w:r>
        <w:tab/>
        <w:t>the date when the order was made; and</w:t>
      </w:r>
    </w:p>
    <w:p w14:paraId="635AC548" w14:textId="77777777" w:rsidR="008112BD" w:rsidRDefault="008112BD" w:rsidP="008112BD">
      <w:pPr>
        <w:pStyle w:val="Apara"/>
      </w:pPr>
      <w:r>
        <w:tab/>
        <w:t>(c)</w:t>
      </w:r>
      <w:r>
        <w:tab/>
        <w:t>the name of the court or other entity that made the order; and</w:t>
      </w:r>
    </w:p>
    <w:p w14:paraId="2C4F46E8" w14:textId="77777777" w:rsidR="008112BD" w:rsidRDefault="008112BD" w:rsidP="008112BD">
      <w:pPr>
        <w:pStyle w:val="Apara"/>
      </w:pPr>
      <w:r>
        <w:tab/>
        <w:t>(d)</w:t>
      </w:r>
      <w:r>
        <w:tab/>
        <w:t>the name of the person subject to the order; and</w:t>
      </w:r>
    </w:p>
    <w:p w14:paraId="785FED66" w14:textId="77777777" w:rsidR="008112BD" w:rsidRDefault="008112BD" w:rsidP="008112BD">
      <w:pPr>
        <w:pStyle w:val="Apara"/>
      </w:pPr>
      <w:r>
        <w:tab/>
        <w:t>(e)</w:t>
      </w:r>
      <w:r>
        <w:tab/>
        <w:t>the name of the person who applied for registration of the order, or for whose benefit the order was registered; and</w:t>
      </w:r>
    </w:p>
    <w:p w14:paraId="132347F6" w14:textId="77777777" w:rsidR="008112BD" w:rsidRDefault="008112BD" w:rsidP="008112BD">
      <w:pPr>
        <w:pStyle w:val="Apara"/>
      </w:pPr>
      <w:r>
        <w:tab/>
        <w:t>(f)</w:t>
      </w:r>
      <w:r>
        <w:tab/>
        <w:t>if the order is amended—the date the order is amended; and</w:t>
      </w:r>
    </w:p>
    <w:p w14:paraId="4B8C5D0B" w14:textId="77777777" w:rsidR="008112BD" w:rsidRDefault="008112BD" w:rsidP="008112BD">
      <w:pPr>
        <w:pStyle w:val="Apara"/>
      </w:pPr>
      <w:r>
        <w:tab/>
        <w:t>(g)</w:t>
      </w:r>
      <w:r>
        <w:tab/>
        <w:t>if the order is cancelled—the date the order is cancelled.</w:t>
      </w:r>
    </w:p>
    <w:p w14:paraId="62DA3D12" w14:textId="77777777" w:rsidR="008112BD" w:rsidRDefault="008112BD" w:rsidP="008112BD">
      <w:pPr>
        <w:pStyle w:val="Amain"/>
      </w:pPr>
      <w:r>
        <w:tab/>
        <w:t>(4)</w:t>
      </w:r>
      <w:r>
        <w:tab/>
        <w:t>Subrule (3) does not limit the details of the order that the registrar may include in the register.</w:t>
      </w:r>
    </w:p>
    <w:p w14:paraId="6965BFB7" w14:textId="77777777" w:rsidR="008112BD" w:rsidRDefault="008112BD" w:rsidP="008112BD">
      <w:pPr>
        <w:pStyle w:val="AH5Sec"/>
      </w:pPr>
      <w:bookmarkStart w:id="1097" w:name="_Toc185514713"/>
      <w:r w:rsidRPr="00C8328B">
        <w:rPr>
          <w:rStyle w:val="CharSectNo"/>
        </w:rPr>
        <w:t>3453</w:t>
      </w:r>
      <w:r>
        <w:tab/>
        <w:t>Foreign confiscation orders—registration</w:t>
      </w:r>
      <w:bookmarkEnd w:id="1097"/>
    </w:p>
    <w:p w14:paraId="7F78CA0F" w14:textId="77777777" w:rsidR="008112BD" w:rsidRDefault="008112BD" w:rsidP="008112BD">
      <w:pPr>
        <w:pStyle w:val="Amainreturn"/>
        <w:keepNext/>
      </w:pPr>
      <w:r>
        <w:t>A foreign confiscation order, or an amendment of a foreign confiscation order, is registered when details of the order or amendment are included in the register.</w:t>
      </w:r>
    </w:p>
    <w:p w14:paraId="57ECA7F2" w14:textId="2DCC5521" w:rsidR="008112BD" w:rsidRDefault="008112BD" w:rsidP="008112BD">
      <w:pPr>
        <w:pStyle w:val="aNote"/>
      </w:pPr>
      <w:r w:rsidRPr="00FE0788">
        <w:rPr>
          <w:rStyle w:val="charItals"/>
        </w:rPr>
        <w:t>Note</w:t>
      </w:r>
      <w:r w:rsidRPr="00FE0788">
        <w:rPr>
          <w:rStyle w:val="charItals"/>
        </w:rPr>
        <w:tab/>
      </w:r>
      <w:r>
        <w:t xml:space="preserve">The </w:t>
      </w:r>
      <w:hyperlink r:id="rId435"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36"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14:paraId="2CF3CA8E" w14:textId="77777777" w:rsidR="008112BD" w:rsidRDefault="008112BD" w:rsidP="008112BD">
      <w:pPr>
        <w:pStyle w:val="AH5Sec"/>
      </w:pPr>
      <w:bookmarkStart w:id="1098" w:name="_Toc185514714"/>
      <w:r w:rsidRPr="00C8328B">
        <w:rPr>
          <w:rStyle w:val="CharSectNo"/>
        </w:rPr>
        <w:t>3454</w:t>
      </w:r>
      <w:r>
        <w:tab/>
        <w:t>Foreign confiscation orders—proceedings for registration</w:t>
      </w:r>
      <w:bookmarkEnd w:id="1098"/>
    </w:p>
    <w:p w14:paraId="1FAE62AF" w14:textId="77777777" w:rsidR="008112BD" w:rsidRDefault="008112BD" w:rsidP="008112BD">
      <w:pPr>
        <w:pStyle w:val="Amain"/>
      </w:pPr>
      <w:r>
        <w:tab/>
        <w:t>(1)</w:t>
      </w:r>
      <w:r>
        <w:tab/>
        <w:t>An application for registration of a foreign confiscation order, or an amendment of a foreign confiscation order, must—</w:t>
      </w:r>
    </w:p>
    <w:p w14:paraId="000C96CA" w14:textId="77777777" w:rsidR="008112BD" w:rsidRDefault="008112BD" w:rsidP="008112BD">
      <w:pPr>
        <w:pStyle w:val="Apara"/>
      </w:pPr>
      <w:r>
        <w:tab/>
        <w:t>(a)</w:t>
      </w:r>
      <w:r>
        <w:tab/>
        <w:t>be made by originating application; and</w:t>
      </w:r>
    </w:p>
    <w:p w14:paraId="7E01743C" w14:textId="4DB06CD0" w:rsidR="008112BD" w:rsidRDefault="008112BD" w:rsidP="008112BD">
      <w:pPr>
        <w:pStyle w:val="Apara"/>
        <w:keepLines/>
      </w:pPr>
      <w:r>
        <w:lastRenderedPageBreak/>
        <w:tab/>
        <w:t>(b)</w:t>
      </w:r>
      <w:r>
        <w:tab/>
        <w:t xml:space="preserve">if the application relates to a forfeiture order within the meaning of the </w:t>
      </w:r>
      <w:hyperlink r:id="rId437"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14:paraId="18D50C20" w14:textId="77777777"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14:paraId="403EDF26" w14:textId="77777777" w:rsidR="008112BD" w:rsidRDefault="008112BD" w:rsidP="008112BD">
      <w:pPr>
        <w:pStyle w:val="Amain"/>
      </w:pPr>
      <w:r>
        <w:tab/>
        <w:t>(2)</w:t>
      </w:r>
      <w:r>
        <w:tab/>
        <w:t>The person against whom the foreign confiscation order was made must be named as the defendant to the application.</w:t>
      </w:r>
    </w:p>
    <w:p w14:paraId="47037F22" w14:textId="77777777" w:rsidR="008112BD" w:rsidRDefault="008112BD" w:rsidP="008112BD">
      <w:pPr>
        <w:pStyle w:val="Amain"/>
      </w:pPr>
      <w:r>
        <w:tab/>
        <w:t>(3)</w:t>
      </w:r>
      <w:r>
        <w:tab/>
        <w:t>The application may be made without notice to anyone unless the court otherwise orders.</w:t>
      </w:r>
    </w:p>
    <w:p w14:paraId="6C311C62" w14:textId="77777777"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14:paraId="331ABE0F"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FA1301" w14:textId="77777777"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14:paraId="4BB7C0C4" w14:textId="77777777"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14:paraId="636AE9E8" w14:textId="77777777" w:rsidR="008112BD" w:rsidRDefault="008112BD" w:rsidP="008112BD">
      <w:pPr>
        <w:pStyle w:val="Apara"/>
      </w:pPr>
      <w:r>
        <w:tab/>
        <w:t>(a)</w:t>
      </w:r>
      <w:r>
        <w:tab/>
        <w:t>a sealed copy of the order for registration; and</w:t>
      </w:r>
    </w:p>
    <w:p w14:paraId="179C46CB" w14:textId="77777777" w:rsidR="008112BD" w:rsidRDefault="008112BD" w:rsidP="008112BD">
      <w:pPr>
        <w:pStyle w:val="Apara"/>
      </w:pPr>
      <w:r>
        <w:tab/>
        <w:t>(b)</w:t>
      </w:r>
      <w:r>
        <w:tab/>
        <w:t>a certified copy of the registered foreign confiscation order or registered amendment of a foreign confiscation order.</w:t>
      </w:r>
    </w:p>
    <w:p w14:paraId="6154A798" w14:textId="77777777" w:rsidR="008112BD" w:rsidRDefault="008112BD" w:rsidP="008112BD">
      <w:pPr>
        <w:pStyle w:val="AH5Sec"/>
      </w:pPr>
      <w:bookmarkStart w:id="1099" w:name="_Toc185514715"/>
      <w:r w:rsidRPr="00C8328B">
        <w:rPr>
          <w:rStyle w:val="CharSectNo"/>
        </w:rPr>
        <w:lastRenderedPageBreak/>
        <w:t>3455</w:t>
      </w:r>
      <w:r>
        <w:tab/>
        <w:t>Foreign confiscation orders—when registration cancelled</w:t>
      </w:r>
      <w:bookmarkEnd w:id="1099"/>
    </w:p>
    <w:p w14:paraId="07AE67DC" w14:textId="77777777"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14:paraId="48D31D24" w14:textId="77777777" w:rsidR="008112BD" w:rsidRPr="00C8328B" w:rsidRDefault="008112BD" w:rsidP="008112BD">
      <w:pPr>
        <w:pStyle w:val="AH3Div"/>
      </w:pPr>
      <w:bookmarkStart w:id="1100" w:name="_Toc185514716"/>
      <w:r w:rsidRPr="00C8328B">
        <w:rPr>
          <w:rStyle w:val="CharDivNo"/>
        </w:rPr>
        <w:t>Division 3.7.2</w:t>
      </w:r>
      <w:r>
        <w:tab/>
      </w:r>
      <w:r w:rsidRPr="00C8328B">
        <w:rPr>
          <w:rStyle w:val="CharDivText"/>
        </w:rPr>
        <w:t>Interstate confiscation orders—registration</w:t>
      </w:r>
      <w:bookmarkEnd w:id="1100"/>
    </w:p>
    <w:p w14:paraId="6611CD16" w14:textId="77777777" w:rsidR="008112BD" w:rsidRDefault="008112BD" w:rsidP="008112BD">
      <w:pPr>
        <w:pStyle w:val="AH5Sec"/>
      </w:pPr>
      <w:bookmarkStart w:id="1101" w:name="_Toc185514717"/>
      <w:r w:rsidRPr="00C8328B">
        <w:rPr>
          <w:rStyle w:val="CharSectNo"/>
        </w:rPr>
        <w:t>3460</w:t>
      </w:r>
      <w:r>
        <w:tab/>
        <w:t>Definitions—div 3.7.2</w:t>
      </w:r>
      <w:bookmarkEnd w:id="1101"/>
    </w:p>
    <w:p w14:paraId="53F5AB1E" w14:textId="77777777" w:rsidR="008112BD" w:rsidRDefault="008112BD" w:rsidP="008112BD">
      <w:pPr>
        <w:pStyle w:val="Amainreturn"/>
        <w:keepNext/>
      </w:pPr>
      <w:r>
        <w:t>In this division:</w:t>
      </w:r>
    </w:p>
    <w:p w14:paraId="12B28DD8" w14:textId="544CF2C8"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38" w:tooltip="A2003-8" w:history="1">
        <w:r w:rsidRPr="00FE0788">
          <w:rPr>
            <w:rStyle w:val="charCitHyperlinkItal"/>
          </w:rPr>
          <w:t>Confiscation of Criminal Assets Act 2003</w:t>
        </w:r>
      </w:hyperlink>
      <w:r>
        <w:t>:</w:t>
      </w:r>
    </w:p>
    <w:p w14:paraId="66F8592E" w14:textId="77777777" w:rsidR="008112BD" w:rsidRDefault="008112BD" w:rsidP="008112BD">
      <w:pPr>
        <w:pStyle w:val="aDefpara"/>
      </w:pPr>
      <w:r>
        <w:tab/>
        <w:t>(a)</w:t>
      </w:r>
      <w:r>
        <w:tab/>
        <w:t>an interstate restraining order;</w:t>
      </w:r>
    </w:p>
    <w:p w14:paraId="60821F03" w14:textId="77777777" w:rsidR="008112BD" w:rsidRDefault="008112BD" w:rsidP="008112BD">
      <w:pPr>
        <w:pStyle w:val="aDefpara"/>
      </w:pPr>
      <w:r>
        <w:tab/>
        <w:t>(b)</w:t>
      </w:r>
      <w:r>
        <w:tab/>
        <w:t>an interstate automatic forfeiture decision;</w:t>
      </w:r>
    </w:p>
    <w:p w14:paraId="7AECA61B" w14:textId="77777777" w:rsidR="008112BD" w:rsidRDefault="008112BD" w:rsidP="008112BD">
      <w:pPr>
        <w:pStyle w:val="aDefpara"/>
      </w:pPr>
      <w:r>
        <w:tab/>
        <w:t>(c)</w:t>
      </w:r>
      <w:r>
        <w:tab/>
        <w:t>an interstate civil forfeiture order;</w:t>
      </w:r>
    </w:p>
    <w:p w14:paraId="63AD48DA" w14:textId="77777777" w:rsidR="008112BD" w:rsidRDefault="008112BD" w:rsidP="008112BD">
      <w:pPr>
        <w:pStyle w:val="aDefpara"/>
      </w:pPr>
      <w:r>
        <w:tab/>
        <w:t>(d)</w:t>
      </w:r>
      <w:r>
        <w:tab/>
        <w:t>an interstate conviction forfeiture order.</w:t>
      </w:r>
    </w:p>
    <w:p w14:paraId="09D0B488" w14:textId="77777777" w:rsidR="008112BD" w:rsidRDefault="008112BD" w:rsidP="008112BD">
      <w:pPr>
        <w:pStyle w:val="aDef"/>
      </w:pPr>
      <w:r w:rsidRPr="00FE0788">
        <w:rPr>
          <w:rStyle w:val="charBoldItals"/>
        </w:rPr>
        <w:t xml:space="preserve">register </w:t>
      </w:r>
      <w:r>
        <w:t>means the register of interstate confiscation orders kept under rule 3461.</w:t>
      </w:r>
    </w:p>
    <w:p w14:paraId="26AA7703" w14:textId="77777777" w:rsidR="008112BD" w:rsidRDefault="008112BD" w:rsidP="008112BD">
      <w:pPr>
        <w:pStyle w:val="AH5Sec"/>
      </w:pPr>
      <w:bookmarkStart w:id="1102" w:name="_Toc185514718"/>
      <w:r w:rsidRPr="00C8328B">
        <w:rPr>
          <w:rStyle w:val="CharSectNo"/>
        </w:rPr>
        <w:t>3461</w:t>
      </w:r>
      <w:r>
        <w:tab/>
        <w:t>Interstate confiscation orders—register</w:t>
      </w:r>
      <w:bookmarkEnd w:id="1102"/>
    </w:p>
    <w:p w14:paraId="74A46B01" w14:textId="77777777" w:rsidR="008112BD" w:rsidRDefault="008112BD" w:rsidP="008112BD">
      <w:pPr>
        <w:pStyle w:val="Amain"/>
      </w:pPr>
      <w:r>
        <w:tab/>
        <w:t>(1)</w:t>
      </w:r>
      <w:r>
        <w:tab/>
        <w:t>The registrar must keep a register of interstate confiscation orders.</w:t>
      </w:r>
    </w:p>
    <w:p w14:paraId="62A9F90D" w14:textId="77777777" w:rsidR="008112BD" w:rsidRDefault="008112BD" w:rsidP="008112BD">
      <w:pPr>
        <w:pStyle w:val="Amain"/>
      </w:pPr>
      <w:r>
        <w:tab/>
        <w:t>(2)</w:t>
      </w:r>
      <w:r>
        <w:tab/>
        <w:t>The register—</w:t>
      </w:r>
    </w:p>
    <w:p w14:paraId="2DC452F2" w14:textId="77777777" w:rsidR="008112BD" w:rsidRDefault="008112BD" w:rsidP="008112BD">
      <w:pPr>
        <w:pStyle w:val="Apara"/>
      </w:pPr>
      <w:r>
        <w:tab/>
        <w:t>(a)</w:t>
      </w:r>
      <w:r>
        <w:tab/>
        <w:t>must be kept in accordance with the directions of the court; and</w:t>
      </w:r>
    </w:p>
    <w:p w14:paraId="5FAEE4FB" w14:textId="77777777" w:rsidR="008112BD" w:rsidRDefault="008112BD" w:rsidP="008112BD">
      <w:pPr>
        <w:pStyle w:val="Apara"/>
      </w:pPr>
      <w:r>
        <w:tab/>
        <w:t>(b)</w:t>
      </w:r>
      <w:r>
        <w:tab/>
        <w:t>may be kept in electronic form.</w:t>
      </w:r>
    </w:p>
    <w:p w14:paraId="53934D92" w14:textId="77777777" w:rsidR="008112BD" w:rsidRDefault="008112BD" w:rsidP="008112BD">
      <w:pPr>
        <w:pStyle w:val="Amain"/>
      </w:pPr>
      <w:r>
        <w:tab/>
        <w:t>(3)</w:t>
      </w:r>
      <w:r>
        <w:tab/>
        <w:t>The registrar must record in the register, for each interstate confiscation order filed—</w:t>
      </w:r>
    </w:p>
    <w:p w14:paraId="5513B274" w14:textId="77777777" w:rsidR="008112BD" w:rsidRDefault="008112BD" w:rsidP="008112BD">
      <w:pPr>
        <w:pStyle w:val="Apara"/>
      </w:pPr>
      <w:r>
        <w:tab/>
        <w:t>(a)</w:t>
      </w:r>
      <w:r>
        <w:tab/>
        <w:t>the date when the order was filed in the court ;and</w:t>
      </w:r>
    </w:p>
    <w:p w14:paraId="6FB1F2DD" w14:textId="77777777" w:rsidR="008112BD" w:rsidRDefault="008112BD" w:rsidP="008112BD">
      <w:pPr>
        <w:pStyle w:val="Apara"/>
      </w:pPr>
      <w:r>
        <w:tab/>
        <w:t>(b)</w:t>
      </w:r>
      <w:r>
        <w:tab/>
        <w:t>the date when the order was made; and</w:t>
      </w:r>
    </w:p>
    <w:p w14:paraId="18BF099D" w14:textId="77777777" w:rsidR="008112BD" w:rsidRDefault="008112BD" w:rsidP="008112BD">
      <w:pPr>
        <w:pStyle w:val="Apara"/>
      </w:pPr>
      <w:r>
        <w:lastRenderedPageBreak/>
        <w:tab/>
        <w:t>(c)</w:t>
      </w:r>
      <w:r>
        <w:tab/>
        <w:t>the name of the court or other entity that made the order; and</w:t>
      </w:r>
    </w:p>
    <w:p w14:paraId="73E0934A" w14:textId="77777777" w:rsidR="008112BD" w:rsidRDefault="008112BD" w:rsidP="008112BD">
      <w:pPr>
        <w:pStyle w:val="Apara"/>
      </w:pPr>
      <w:r>
        <w:tab/>
        <w:t>(d)</w:t>
      </w:r>
      <w:r>
        <w:tab/>
        <w:t>the name of the person subject to the order; and</w:t>
      </w:r>
    </w:p>
    <w:p w14:paraId="097F7420" w14:textId="77777777" w:rsidR="008112BD" w:rsidRDefault="008112BD" w:rsidP="008112BD">
      <w:pPr>
        <w:pStyle w:val="Apara"/>
      </w:pPr>
      <w:r>
        <w:tab/>
        <w:t>(e)</w:t>
      </w:r>
      <w:r>
        <w:tab/>
        <w:t>the name of the person who applied for registration of the order, or for whose benefit the order was registered; and</w:t>
      </w:r>
    </w:p>
    <w:p w14:paraId="79969503" w14:textId="77777777" w:rsidR="008112BD" w:rsidRDefault="008112BD" w:rsidP="008112BD">
      <w:pPr>
        <w:pStyle w:val="Apara"/>
      </w:pPr>
      <w:r>
        <w:tab/>
        <w:t>(f)</w:t>
      </w:r>
      <w:r>
        <w:tab/>
        <w:t>if the order is amended—the date the order is amended; and</w:t>
      </w:r>
    </w:p>
    <w:p w14:paraId="20DF866F" w14:textId="77777777" w:rsidR="008112BD" w:rsidRDefault="008112BD" w:rsidP="008112BD">
      <w:pPr>
        <w:pStyle w:val="Apara"/>
      </w:pPr>
      <w:r>
        <w:tab/>
        <w:t>(g)</w:t>
      </w:r>
      <w:r>
        <w:tab/>
        <w:t>if the order is cancelled—the date the order is cancelled.</w:t>
      </w:r>
    </w:p>
    <w:p w14:paraId="3A350AFE" w14:textId="77777777" w:rsidR="008112BD" w:rsidRDefault="008112BD" w:rsidP="008112BD">
      <w:pPr>
        <w:pStyle w:val="Amain"/>
      </w:pPr>
      <w:r>
        <w:tab/>
        <w:t>(4)</w:t>
      </w:r>
      <w:r>
        <w:tab/>
        <w:t>Subrule (3) does not limit the details of the order that the registrar may include in the register.</w:t>
      </w:r>
    </w:p>
    <w:p w14:paraId="1FF394BB" w14:textId="77777777" w:rsidR="008112BD" w:rsidRDefault="008112BD" w:rsidP="008112BD">
      <w:pPr>
        <w:pStyle w:val="AH5Sec"/>
      </w:pPr>
      <w:bookmarkStart w:id="1103" w:name="_Toc185514719"/>
      <w:r w:rsidRPr="00C8328B">
        <w:rPr>
          <w:rStyle w:val="CharSectNo"/>
        </w:rPr>
        <w:t>3462</w:t>
      </w:r>
      <w:r>
        <w:tab/>
        <w:t>Interstate confiscation orders—registration</w:t>
      </w:r>
      <w:bookmarkEnd w:id="1103"/>
    </w:p>
    <w:p w14:paraId="5E9D9755" w14:textId="77777777"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14:paraId="5EC38A11" w14:textId="62F0DA2B" w:rsidR="008112BD" w:rsidRDefault="008112BD" w:rsidP="008112BD">
      <w:pPr>
        <w:pStyle w:val="aNote"/>
        <w:keepLines/>
      </w:pPr>
      <w:r w:rsidRPr="00FE0788">
        <w:rPr>
          <w:rStyle w:val="charItals"/>
        </w:rPr>
        <w:t>Note</w:t>
      </w:r>
      <w:r w:rsidRPr="00FE0788">
        <w:rPr>
          <w:rStyle w:val="charItals"/>
        </w:rPr>
        <w:tab/>
      </w:r>
      <w:r>
        <w:t xml:space="preserve">The </w:t>
      </w:r>
      <w:hyperlink r:id="rId439"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14:paraId="0E94A77D" w14:textId="77777777" w:rsidR="008112BD" w:rsidRDefault="008112BD" w:rsidP="008112BD">
      <w:pPr>
        <w:pStyle w:val="AH5Sec"/>
      </w:pPr>
      <w:bookmarkStart w:id="1104" w:name="_Toc185514720"/>
      <w:r w:rsidRPr="00C8328B">
        <w:rPr>
          <w:rStyle w:val="CharSectNo"/>
        </w:rPr>
        <w:t>3463</w:t>
      </w:r>
      <w:r>
        <w:tab/>
        <w:t>Interstate confiscation orders—proceedings for registration</w:t>
      </w:r>
      <w:bookmarkEnd w:id="1104"/>
    </w:p>
    <w:p w14:paraId="77EA1CCE" w14:textId="77777777"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14:paraId="6B600617" w14:textId="77777777" w:rsidR="008112BD" w:rsidRDefault="008112BD" w:rsidP="008112BD">
      <w:pPr>
        <w:pStyle w:val="Amain"/>
      </w:pPr>
      <w:r>
        <w:tab/>
        <w:t>(2)</w:t>
      </w:r>
      <w:r>
        <w:tab/>
        <w:t>The person against whom the interstate confiscation order was made must be named as the defendant to the application.</w:t>
      </w:r>
    </w:p>
    <w:p w14:paraId="5DD698EA" w14:textId="77777777" w:rsidR="008112BD" w:rsidRDefault="008112BD" w:rsidP="008112BD">
      <w:pPr>
        <w:pStyle w:val="Amain"/>
      </w:pPr>
      <w:r>
        <w:tab/>
        <w:t>(3)</w:t>
      </w:r>
      <w:r>
        <w:tab/>
        <w:t>The application may be made without notice to anyone unless the court otherwise orders.</w:t>
      </w:r>
    </w:p>
    <w:p w14:paraId="0CB52CE4" w14:textId="77777777"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14:paraId="1D87DF2D"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00898B9B" w14:textId="77777777"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14:paraId="37BD6D03" w14:textId="77777777"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14:paraId="790BCC4D" w14:textId="77777777" w:rsidR="008112BD" w:rsidRDefault="008112BD" w:rsidP="008112BD">
      <w:pPr>
        <w:pStyle w:val="Apara"/>
      </w:pPr>
      <w:r>
        <w:tab/>
        <w:t>(a)</w:t>
      </w:r>
      <w:r>
        <w:tab/>
        <w:t>a sealed copy of the order for registration; and</w:t>
      </w:r>
    </w:p>
    <w:p w14:paraId="54A9A4D3" w14:textId="77777777" w:rsidR="008112BD" w:rsidRDefault="008112BD" w:rsidP="008112BD">
      <w:pPr>
        <w:pStyle w:val="Apara"/>
      </w:pPr>
      <w:r>
        <w:tab/>
        <w:t>(b)</w:t>
      </w:r>
      <w:r>
        <w:tab/>
        <w:t>a certified copy of the registered interstate confiscation order or registered amendment of an interstate confiscation order.</w:t>
      </w:r>
    </w:p>
    <w:p w14:paraId="0B25206D" w14:textId="77777777" w:rsidR="008112BD" w:rsidRDefault="008112BD" w:rsidP="008112BD">
      <w:pPr>
        <w:pStyle w:val="AH5Sec"/>
      </w:pPr>
      <w:bookmarkStart w:id="1105" w:name="_Toc185514721"/>
      <w:r w:rsidRPr="00C8328B">
        <w:rPr>
          <w:rStyle w:val="CharSectNo"/>
        </w:rPr>
        <w:t>3464</w:t>
      </w:r>
      <w:r>
        <w:tab/>
        <w:t>Interstate confiscation orders—when registration cancelled</w:t>
      </w:r>
      <w:bookmarkEnd w:id="1105"/>
    </w:p>
    <w:p w14:paraId="2A59AD0C" w14:textId="77777777"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14:paraId="4D5068B8" w14:textId="77777777" w:rsidR="008112BD" w:rsidRDefault="008112BD" w:rsidP="008112BD">
      <w:pPr>
        <w:pStyle w:val="AH5Sec"/>
      </w:pPr>
      <w:bookmarkStart w:id="1106" w:name="_Toc185514722"/>
      <w:r w:rsidRPr="00C8328B">
        <w:rPr>
          <w:rStyle w:val="CharSectNo"/>
        </w:rPr>
        <w:t>3465</w:t>
      </w:r>
      <w:r>
        <w:tab/>
        <w:t>Interstate confiscation orders—filing of amendments etc</w:t>
      </w:r>
      <w:bookmarkEnd w:id="1106"/>
    </w:p>
    <w:p w14:paraId="20CE4000" w14:textId="76275454" w:rsidR="008112BD" w:rsidRDefault="008112BD" w:rsidP="008112BD">
      <w:pPr>
        <w:pStyle w:val="Amainreturn"/>
        <w:keepNext/>
      </w:pPr>
      <w:r>
        <w:t xml:space="preserve">For the </w:t>
      </w:r>
      <w:hyperlink r:id="rId440"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14:paraId="2379FBB8" w14:textId="77777777"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14:paraId="19BA92C5" w14:textId="77777777" w:rsidR="008112BD" w:rsidRDefault="008112BD" w:rsidP="008112BD">
      <w:pPr>
        <w:pStyle w:val="PageBreak"/>
      </w:pPr>
      <w:r>
        <w:br w:type="page"/>
      </w:r>
    </w:p>
    <w:p w14:paraId="259D49A3" w14:textId="77777777" w:rsidR="008112BD" w:rsidRPr="00C8328B" w:rsidRDefault="008112BD" w:rsidP="008112BD">
      <w:pPr>
        <w:pStyle w:val="AH2Part"/>
      </w:pPr>
      <w:bookmarkStart w:id="1107" w:name="_Toc185514723"/>
      <w:r w:rsidRPr="00C8328B">
        <w:rPr>
          <w:rStyle w:val="CharPartNo"/>
        </w:rPr>
        <w:lastRenderedPageBreak/>
        <w:t>Part 3.8</w:t>
      </w:r>
      <w:r>
        <w:tab/>
      </w:r>
      <w:r w:rsidRPr="00C8328B">
        <w:rPr>
          <w:rStyle w:val="CharPartText"/>
        </w:rPr>
        <w:t>Foreign judgments—reciprocal enforcement</w:t>
      </w:r>
      <w:bookmarkEnd w:id="1107"/>
    </w:p>
    <w:p w14:paraId="1E1EC34A" w14:textId="77777777" w:rsidR="008112BD" w:rsidRDefault="008112BD" w:rsidP="008112BD">
      <w:pPr>
        <w:pStyle w:val="Placeholder"/>
      </w:pPr>
      <w:r>
        <w:rPr>
          <w:rStyle w:val="CharDivNo"/>
        </w:rPr>
        <w:t xml:space="preserve">  </w:t>
      </w:r>
      <w:r>
        <w:rPr>
          <w:rStyle w:val="CharDivText"/>
        </w:rPr>
        <w:t xml:space="preserve">  </w:t>
      </w:r>
    </w:p>
    <w:p w14:paraId="1D36B5E4" w14:textId="77777777" w:rsidR="008112BD" w:rsidRDefault="008112BD" w:rsidP="008112BD">
      <w:pPr>
        <w:pStyle w:val="AH5Sec"/>
      </w:pPr>
      <w:bookmarkStart w:id="1108" w:name="_Toc185514724"/>
      <w:r w:rsidRPr="00C8328B">
        <w:rPr>
          <w:rStyle w:val="CharSectNo"/>
        </w:rPr>
        <w:t>3470</w:t>
      </w:r>
      <w:r>
        <w:tab/>
        <w:t>Definitions—pt 3.8</w:t>
      </w:r>
      <w:bookmarkEnd w:id="1108"/>
    </w:p>
    <w:p w14:paraId="56ECB4A8" w14:textId="77777777" w:rsidR="008112BD" w:rsidRDefault="008112BD" w:rsidP="008112BD">
      <w:pPr>
        <w:pStyle w:val="Amainreturn"/>
        <w:keepNext/>
      </w:pPr>
      <w:r>
        <w:t>In this part:</w:t>
      </w:r>
    </w:p>
    <w:p w14:paraId="51DB8026" w14:textId="35FF403C" w:rsidR="008112BD" w:rsidRDefault="008112BD" w:rsidP="008112BD">
      <w:pPr>
        <w:pStyle w:val="aDef"/>
      </w:pPr>
      <w:r w:rsidRPr="00FE0788">
        <w:rPr>
          <w:rStyle w:val="charBoldItals"/>
        </w:rPr>
        <w:t>Foreign Judgments Act</w:t>
      </w:r>
      <w:r>
        <w:t xml:space="preserve"> means the </w:t>
      </w:r>
      <w:hyperlink r:id="rId441" w:tooltip="Act 1991 No 112 (Cwlth)" w:history="1">
        <w:r w:rsidRPr="0067571E">
          <w:rPr>
            <w:rStyle w:val="charCitHyperlinkItal"/>
          </w:rPr>
          <w:t>Foreign Judgments Act 1991</w:t>
        </w:r>
      </w:hyperlink>
      <w:r>
        <w:t xml:space="preserve"> (Cwlth).</w:t>
      </w:r>
    </w:p>
    <w:p w14:paraId="6CD019F4" w14:textId="464609CB" w:rsidR="008112BD" w:rsidRDefault="008112BD" w:rsidP="008112BD">
      <w:pPr>
        <w:pStyle w:val="aDef"/>
      </w:pPr>
      <w:r w:rsidRPr="00FE0788">
        <w:rPr>
          <w:rStyle w:val="charBoldItals"/>
        </w:rPr>
        <w:t>judgment</w:t>
      </w:r>
      <w:r>
        <w:t xml:space="preserve"> means a judgment to which the </w:t>
      </w:r>
      <w:hyperlink r:id="rId442" w:tooltip="Act 1991 No 112 (Cwlth)" w:history="1">
        <w:r w:rsidRPr="0067571E">
          <w:rPr>
            <w:rStyle w:val="charCitHyperlinkAbbrev"/>
          </w:rPr>
          <w:t>Foreign Judgments Act</w:t>
        </w:r>
      </w:hyperlink>
      <w:r>
        <w:t>, part 2 applies.</w:t>
      </w:r>
    </w:p>
    <w:p w14:paraId="068091EA" w14:textId="77777777" w:rsidR="008112BD" w:rsidRDefault="008112BD" w:rsidP="008112BD">
      <w:pPr>
        <w:pStyle w:val="AH5Sec"/>
      </w:pPr>
      <w:bookmarkStart w:id="1109" w:name="_Toc185514725"/>
      <w:r w:rsidRPr="00C8328B">
        <w:rPr>
          <w:rStyle w:val="CharSectNo"/>
        </w:rPr>
        <w:t>3471</w:t>
      </w:r>
      <w:r>
        <w:tab/>
        <w:t>Terms used in Foreign Judgments Act</w:t>
      </w:r>
      <w:bookmarkEnd w:id="1109"/>
    </w:p>
    <w:p w14:paraId="0D6A839F" w14:textId="7FE380D7" w:rsidR="008112BD" w:rsidRDefault="008112BD" w:rsidP="008112BD">
      <w:pPr>
        <w:pStyle w:val="Amainreturn"/>
        <w:keepNext/>
      </w:pPr>
      <w:r>
        <w:t xml:space="preserve">A term used in the </w:t>
      </w:r>
      <w:hyperlink r:id="rId443" w:tooltip="Act 1991 No 112 (Cwlth)" w:history="1">
        <w:r w:rsidRPr="0067571E">
          <w:rPr>
            <w:rStyle w:val="charCitHyperlinkAbbrev"/>
          </w:rPr>
          <w:t>Foreign Judgments Act</w:t>
        </w:r>
      </w:hyperlink>
      <w:r>
        <w:t xml:space="preserve"> has the same meaning in this part.</w:t>
      </w:r>
    </w:p>
    <w:p w14:paraId="4A48146C" w14:textId="0F85656B"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4" w:tooltip="Act 1991 No 112 (Cwlth)" w:history="1">
        <w:r w:rsidRPr="0067571E">
          <w:rPr>
            <w:rStyle w:val="charCitHyperlinkAbbrev"/>
          </w:rPr>
          <w:t>Foreign Judgments Act</w:t>
        </w:r>
      </w:hyperlink>
      <w:r>
        <w:t>, s 3 (Interpretation):</w:t>
      </w:r>
    </w:p>
    <w:p w14:paraId="4A444CC6"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39422418" w14:textId="77777777" w:rsidR="008112BD" w:rsidRDefault="008112BD" w:rsidP="008112BD">
      <w:pPr>
        <w:pStyle w:val="aNoteBulletss"/>
        <w:tabs>
          <w:tab w:val="left" w:pos="2300"/>
        </w:tabs>
      </w:pPr>
      <w:r>
        <w:rPr>
          <w:rFonts w:ascii="Symbol" w:hAnsi="Symbol"/>
        </w:rPr>
        <w:t></w:t>
      </w:r>
      <w:r>
        <w:rPr>
          <w:rFonts w:ascii="Symbol" w:hAnsi="Symbol"/>
        </w:rPr>
        <w:tab/>
      </w:r>
      <w:r>
        <w:t>judgment creditor</w:t>
      </w:r>
    </w:p>
    <w:p w14:paraId="396F703B" w14:textId="77777777" w:rsidR="008112BD" w:rsidRDefault="008112BD" w:rsidP="008112BD">
      <w:pPr>
        <w:pStyle w:val="aNoteBulletss"/>
        <w:tabs>
          <w:tab w:val="left" w:pos="2300"/>
        </w:tabs>
      </w:pPr>
      <w:r>
        <w:rPr>
          <w:rFonts w:ascii="Symbol" w:hAnsi="Symbol"/>
        </w:rPr>
        <w:t></w:t>
      </w:r>
      <w:r>
        <w:rPr>
          <w:rFonts w:ascii="Symbol" w:hAnsi="Symbol"/>
        </w:rPr>
        <w:tab/>
      </w:r>
      <w:r>
        <w:t>judgment debtor</w:t>
      </w:r>
    </w:p>
    <w:p w14:paraId="0331542A" w14:textId="77777777" w:rsidR="008112BD" w:rsidRDefault="008112BD" w:rsidP="008112BD">
      <w:pPr>
        <w:pStyle w:val="aNoteBulletss"/>
        <w:tabs>
          <w:tab w:val="left" w:pos="2300"/>
        </w:tabs>
      </w:pPr>
      <w:r>
        <w:rPr>
          <w:rFonts w:ascii="Symbol" w:hAnsi="Symbol"/>
        </w:rPr>
        <w:t></w:t>
      </w:r>
      <w:r>
        <w:rPr>
          <w:rFonts w:ascii="Symbol" w:hAnsi="Symbol"/>
        </w:rPr>
        <w:tab/>
      </w:r>
      <w:r>
        <w:t>money judgment</w:t>
      </w:r>
    </w:p>
    <w:p w14:paraId="167682BD" w14:textId="77777777" w:rsidR="008112BD" w:rsidRDefault="008112BD" w:rsidP="008112BD">
      <w:pPr>
        <w:pStyle w:val="aNoteBulletss"/>
        <w:tabs>
          <w:tab w:val="left" w:pos="2300"/>
        </w:tabs>
      </w:pPr>
      <w:r>
        <w:rPr>
          <w:rFonts w:ascii="Symbol" w:hAnsi="Symbol"/>
        </w:rPr>
        <w:t></w:t>
      </w:r>
      <w:r>
        <w:rPr>
          <w:rFonts w:ascii="Symbol" w:hAnsi="Symbol"/>
        </w:rPr>
        <w:tab/>
      </w:r>
      <w:r>
        <w:t>non-money judgment</w:t>
      </w:r>
    </w:p>
    <w:p w14:paraId="5B8237F8" w14:textId="77777777" w:rsidR="008112BD" w:rsidRDefault="008112BD" w:rsidP="008112BD">
      <w:pPr>
        <w:pStyle w:val="aNoteBulletss"/>
        <w:tabs>
          <w:tab w:val="left" w:pos="2300"/>
        </w:tabs>
      </w:pPr>
      <w:r>
        <w:rPr>
          <w:rFonts w:ascii="Symbol" w:hAnsi="Symbol"/>
        </w:rPr>
        <w:t></w:t>
      </w:r>
      <w:r>
        <w:rPr>
          <w:rFonts w:ascii="Symbol" w:hAnsi="Symbol"/>
        </w:rPr>
        <w:tab/>
      </w:r>
      <w:r>
        <w:t>non-recoverable tax</w:t>
      </w:r>
    </w:p>
    <w:p w14:paraId="2DAA157D" w14:textId="77777777" w:rsidR="008112BD" w:rsidRDefault="008112BD" w:rsidP="008112BD">
      <w:pPr>
        <w:pStyle w:val="aNoteBulletss"/>
        <w:tabs>
          <w:tab w:val="left" w:pos="2300"/>
        </w:tabs>
      </w:pPr>
      <w:r>
        <w:rPr>
          <w:rFonts w:ascii="Symbol" w:hAnsi="Symbol"/>
        </w:rPr>
        <w:t></w:t>
      </w:r>
      <w:r>
        <w:rPr>
          <w:rFonts w:ascii="Symbol" w:hAnsi="Symbol"/>
        </w:rPr>
        <w:tab/>
      </w:r>
      <w:r>
        <w:t>original court</w:t>
      </w:r>
    </w:p>
    <w:p w14:paraId="71072191" w14:textId="77777777"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14:paraId="399FAA9E" w14:textId="77777777" w:rsidR="008112BD" w:rsidRDefault="008112BD" w:rsidP="008112BD">
      <w:pPr>
        <w:pStyle w:val="AH5Sec"/>
      </w:pPr>
      <w:bookmarkStart w:id="1110" w:name="_Toc185514726"/>
      <w:r w:rsidRPr="00C8328B">
        <w:rPr>
          <w:rStyle w:val="CharSectNo"/>
        </w:rPr>
        <w:t>3472</w:t>
      </w:r>
      <w:r>
        <w:tab/>
        <w:t>Application—pt 3.8</w:t>
      </w:r>
      <w:bookmarkEnd w:id="1110"/>
    </w:p>
    <w:p w14:paraId="3D613B73" w14:textId="77777777" w:rsidR="008112BD" w:rsidRDefault="008112BD" w:rsidP="008112BD">
      <w:pPr>
        <w:pStyle w:val="Amainreturn"/>
      </w:pPr>
      <w:r>
        <w:t>This part applies only in relation to the Supreme Court.</w:t>
      </w:r>
    </w:p>
    <w:p w14:paraId="563292A0" w14:textId="77777777" w:rsidR="008112BD" w:rsidRDefault="008112BD" w:rsidP="008112BD">
      <w:pPr>
        <w:pStyle w:val="AH5Sec"/>
      </w:pPr>
      <w:bookmarkStart w:id="1111" w:name="_Toc185514727"/>
      <w:r w:rsidRPr="00C8328B">
        <w:rPr>
          <w:rStyle w:val="CharSectNo"/>
        </w:rPr>
        <w:lastRenderedPageBreak/>
        <w:t>3473</w:t>
      </w:r>
      <w:r>
        <w:tab/>
        <w:t>Foreign judgment—application for registration</w:t>
      </w:r>
      <w:bookmarkEnd w:id="1111"/>
    </w:p>
    <w:p w14:paraId="6D2FFAE2" w14:textId="77777777" w:rsidR="008112BD" w:rsidRDefault="008112BD" w:rsidP="008112BD">
      <w:pPr>
        <w:pStyle w:val="Amain"/>
        <w:keepNext/>
      </w:pPr>
      <w:r>
        <w:tab/>
        <w:t>(1)</w:t>
      </w:r>
      <w:r>
        <w:tab/>
        <w:t>An application for registration of a judgment must be made by originating application.</w:t>
      </w:r>
    </w:p>
    <w:p w14:paraId="64B8AC7B" w14:textId="3FC5553C"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45" w:history="1">
        <w:r w:rsidRPr="00845934">
          <w:rPr>
            <w:rStyle w:val="charCitHyperlinkAbbrev"/>
          </w:rPr>
          <w:t>AF2006-368</w:t>
        </w:r>
      </w:hyperlink>
      <w:r>
        <w:t>.</w:t>
      </w:r>
    </w:p>
    <w:p w14:paraId="1BBDD89B" w14:textId="77777777" w:rsidR="008112BD" w:rsidRDefault="008112BD" w:rsidP="008112BD">
      <w:pPr>
        <w:pStyle w:val="Amain"/>
      </w:pPr>
      <w:r>
        <w:tab/>
        <w:t>(2)</w:t>
      </w:r>
      <w:r>
        <w:tab/>
        <w:t>The application must be accompanied by—</w:t>
      </w:r>
    </w:p>
    <w:p w14:paraId="5D2B77B1" w14:textId="77777777" w:rsidR="008112BD" w:rsidRDefault="008112BD" w:rsidP="008112BD">
      <w:pPr>
        <w:pStyle w:val="Apara"/>
      </w:pPr>
      <w:r>
        <w:tab/>
        <w:t>(a)</w:t>
      </w:r>
      <w:r>
        <w:tab/>
        <w:t>a copy of the judgment certified by the original court; and</w:t>
      </w:r>
    </w:p>
    <w:p w14:paraId="679BA2C8" w14:textId="77777777"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14:paraId="58C0B88F" w14:textId="77777777" w:rsidR="008112BD" w:rsidRDefault="008112BD" w:rsidP="008112BD">
      <w:pPr>
        <w:pStyle w:val="Apara"/>
      </w:pPr>
      <w:r>
        <w:tab/>
        <w:t>(c)</w:t>
      </w:r>
      <w:r>
        <w:tab/>
        <w:t>the supporting affidavit required by rule 3474.</w:t>
      </w:r>
    </w:p>
    <w:p w14:paraId="747520FC" w14:textId="77777777" w:rsidR="008112BD" w:rsidRDefault="008112BD" w:rsidP="008112BD">
      <w:pPr>
        <w:pStyle w:val="Amain"/>
        <w:keepNext/>
      </w:pPr>
      <w:r>
        <w:tab/>
        <w:t>(3)</w:t>
      </w:r>
      <w:r>
        <w:tab/>
        <w:t>An application for registration of a judgment may be made without notice to anyone or on notice given to the judgment debtor.</w:t>
      </w:r>
    </w:p>
    <w:p w14:paraId="4C7F57FC" w14:textId="77777777"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14:paraId="4C5F42E0"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7D956D87" w14:textId="77777777"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14:paraId="6897D24C" w14:textId="77777777" w:rsidR="008112BD" w:rsidRDefault="008112BD" w:rsidP="008112BD">
      <w:pPr>
        <w:pStyle w:val="AH5Sec"/>
      </w:pPr>
      <w:bookmarkStart w:id="1112" w:name="_Toc185514728"/>
      <w:r w:rsidRPr="00C8328B">
        <w:rPr>
          <w:rStyle w:val="CharSectNo"/>
        </w:rPr>
        <w:t>3474</w:t>
      </w:r>
      <w:r>
        <w:tab/>
        <w:t>Foreign judgment—evidence in support of application for registration</w:t>
      </w:r>
      <w:bookmarkEnd w:id="1112"/>
    </w:p>
    <w:p w14:paraId="236B89FF" w14:textId="77777777" w:rsidR="008112BD" w:rsidRDefault="008112BD" w:rsidP="008112BD">
      <w:pPr>
        <w:pStyle w:val="Amain"/>
        <w:keepNext/>
      </w:pPr>
      <w:r>
        <w:tab/>
        <w:t>(1)</w:t>
      </w:r>
      <w:r>
        <w:tab/>
        <w:t>The supporting affidavit for an application for registration of a judgment must state the following particulars:</w:t>
      </w:r>
    </w:p>
    <w:p w14:paraId="6F99D40D" w14:textId="77777777" w:rsidR="008112BD" w:rsidRDefault="008112BD" w:rsidP="008112BD">
      <w:pPr>
        <w:pStyle w:val="Apara"/>
      </w:pPr>
      <w:r>
        <w:tab/>
        <w:t>(a)</w:t>
      </w:r>
      <w:r>
        <w:tab/>
        <w:t>the full name and last-known address of the judgment creditor and judgment debtor;</w:t>
      </w:r>
    </w:p>
    <w:p w14:paraId="7B68DD72" w14:textId="5DE868CA" w:rsidR="008112BD" w:rsidRDefault="008112BD" w:rsidP="008112BD">
      <w:pPr>
        <w:pStyle w:val="Apara"/>
      </w:pPr>
      <w:r>
        <w:tab/>
        <w:t>(b)</w:t>
      </w:r>
      <w:r>
        <w:tab/>
        <w:t xml:space="preserve">the facts that show that the </w:t>
      </w:r>
      <w:hyperlink r:id="rId446" w:tooltip="Act 1991 No 112 (Cwlth)" w:history="1">
        <w:r w:rsidRPr="0067571E">
          <w:rPr>
            <w:rStyle w:val="charCitHyperlinkAbbrev"/>
          </w:rPr>
          <w:t>Foreign Judgments Act</w:t>
        </w:r>
      </w:hyperlink>
      <w:r>
        <w:t>, part 2 applies to the judgment;</w:t>
      </w:r>
    </w:p>
    <w:p w14:paraId="01045FD2" w14:textId="4A3654E3" w:rsidR="008112BD" w:rsidRDefault="008112BD" w:rsidP="008112BD">
      <w:pPr>
        <w:pStyle w:val="Apara"/>
      </w:pPr>
      <w:r>
        <w:lastRenderedPageBreak/>
        <w:tab/>
        <w:t>(c)</w:t>
      </w:r>
      <w:r>
        <w:tab/>
        <w:t xml:space="preserve">the regulation under the </w:t>
      </w:r>
      <w:hyperlink r:id="rId447" w:tooltip="Act 1991 No 112 (Cwlth)" w:history="1">
        <w:r w:rsidRPr="0067571E">
          <w:rPr>
            <w:rStyle w:val="charCitHyperlinkAbbrev"/>
          </w:rPr>
          <w:t>Foreign Judgments Act</w:t>
        </w:r>
      </w:hyperlink>
      <w:r>
        <w:t xml:space="preserve"> that extends that Act, part 2 in relation to the judgment;</w:t>
      </w:r>
    </w:p>
    <w:p w14:paraId="1FDCA314" w14:textId="77777777" w:rsidR="008112BD" w:rsidRDefault="008112BD" w:rsidP="008112BD">
      <w:pPr>
        <w:pStyle w:val="Apara"/>
      </w:pPr>
      <w:r>
        <w:tab/>
        <w:t>(d)</w:t>
      </w:r>
      <w:r>
        <w:tab/>
        <w:t>the nature of the causes of action to which the judgment relates;</w:t>
      </w:r>
    </w:p>
    <w:p w14:paraId="6E68FB0C" w14:textId="7A9A14B5" w:rsidR="008112BD" w:rsidRDefault="008112BD" w:rsidP="008112BD">
      <w:pPr>
        <w:pStyle w:val="Apara"/>
      </w:pPr>
      <w:r>
        <w:tab/>
        <w:t>(e)</w:t>
      </w:r>
      <w:r>
        <w:tab/>
        <w:t xml:space="preserve">that a regulation has not been made under the </w:t>
      </w:r>
      <w:hyperlink r:id="rId448" w:tooltip="Act 1991 No 112 (Cwlth)" w:history="1">
        <w:r w:rsidRPr="0067571E">
          <w:rPr>
            <w:rStyle w:val="charCitHyperlinkAbbrev"/>
          </w:rPr>
          <w:t>Foreign Judgments Act</w:t>
        </w:r>
      </w:hyperlink>
      <w:r>
        <w:t>, section 13 applying the section to the country of the original court;</w:t>
      </w:r>
    </w:p>
    <w:p w14:paraId="4C73FD52" w14:textId="77777777"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14:paraId="18CA220F" w14:textId="77777777"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14:paraId="1D89692D" w14:textId="77777777" w:rsidR="008112BD" w:rsidRDefault="008112BD" w:rsidP="008112BD">
      <w:pPr>
        <w:pStyle w:val="Apara"/>
      </w:pPr>
      <w:r>
        <w:tab/>
        <w:t>(h)</w:t>
      </w:r>
      <w:r>
        <w:tab/>
        <w:t>if some only of the provisions of the judgment are subject to the application—the provisions of the judgment to which the application applies;</w:t>
      </w:r>
    </w:p>
    <w:p w14:paraId="3B94A104" w14:textId="77777777" w:rsidR="008112BD" w:rsidRDefault="008112BD" w:rsidP="008112BD">
      <w:pPr>
        <w:pStyle w:val="Apara"/>
      </w:pPr>
      <w:r>
        <w:tab/>
        <w:t>(i)</w:t>
      </w:r>
      <w:r>
        <w:tab/>
        <w:t>that there is no reason why the judgment could not be enforced in the country of the original court;</w:t>
      </w:r>
    </w:p>
    <w:p w14:paraId="4FF1DCBC" w14:textId="77777777" w:rsidR="008112BD" w:rsidRDefault="008112BD" w:rsidP="008112BD">
      <w:pPr>
        <w:pStyle w:val="Apara"/>
      </w:pPr>
      <w:r>
        <w:tab/>
        <w:t>(j)</w:t>
      </w:r>
      <w:r>
        <w:tab/>
        <w:t>the costs of registration of the judgment incurred by the applicant;</w:t>
      </w:r>
    </w:p>
    <w:p w14:paraId="0CAE00AD" w14:textId="77777777"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14:paraId="0A5CA14D" w14:textId="77777777"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14:paraId="1EA4C025" w14:textId="77777777" w:rsidR="008112BD" w:rsidRDefault="008112BD" w:rsidP="008112BD">
      <w:pPr>
        <w:pStyle w:val="Apara"/>
      </w:pPr>
      <w:r>
        <w:tab/>
        <w:t>(m)</w:t>
      </w:r>
      <w:r>
        <w:tab/>
        <w:t>if interest is payable on the judgment under the law of the country of the original court and the interest is not stated in the judgment—the rate of interest;</w:t>
      </w:r>
    </w:p>
    <w:p w14:paraId="316C159F" w14:textId="77777777" w:rsidR="008112BD" w:rsidRDefault="008112BD" w:rsidP="008112BD">
      <w:pPr>
        <w:pStyle w:val="Apara"/>
      </w:pPr>
      <w:r>
        <w:lastRenderedPageBreak/>
        <w:tab/>
        <w:t>(n)</w:t>
      </w:r>
      <w:r>
        <w:tab/>
        <w:t xml:space="preserve">if interest is payable on the judgment—the amount of interest that has accrued by the day the application is made; </w:t>
      </w:r>
    </w:p>
    <w:p w14:paraId="1A8647DC" w14:textId="77777777"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14:paraId="2C7F8742" w14:textId="77777777"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14:paraId="3374BBA1" w14:textId="77777777" w:rsidR="008112BD" w:rsidRDefault="008112BD" w:rsidP="008112BD">
      <w:pPr>
        <w:pStyle w:val="AH5Sec"/>
      </w:pPr>
      <w:bookmarkStart w:id="1113" w:name="_Toc185514729"/>
      <w:r w:rsidRPr="00C8328B">
        <w:rPr>
          <w:rStyle w:val="CharSectNo"/>
        </w:rPr>
        <w:t>3475</w:t>
      </w:r>
      <w:r>
        <w:tab/>
        <w:t>Foreign judgment—security for costs of application for registration</w:t>
      </w:r>
      <w:bookmarkEnd w:id="1113"/>
    </w:p>
    <w:p w14:paraId="204EE25C" w14:textId="5A45408B"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49" w:tooltip="Act 1991 No 112 (Cwlth)" w:history="1">
        <w:r w:rsidRPr="0067571E">
          <w:rPr>
            <w:rStyle w:val="charCitHyperlinkAbbrev"/>
          </w:rPr>
          <w:t>Foreign Judgments Act</w:t>
        </w:r>
      </w:hyperlink>
      <w:r>
        <w:t>, section 7 to set aside registration of the judgment.</w:t>
      </w:r>
    </w:p>
    <w:p w14:paraId="0D4EB938" w14:textId="77777777" w:rsidR="008112BD" w:rsidRDefault="008112BD" w:rsidP="008112BD">
      <w:pPr>
        <w:pStyle w:val="AH5Sec"/>
      </w:pPr>
      <w:bookmarkStart w:id="1114" w:name="_Toc185514730"/>
      <w:r w:rsidRPr="00C8328B">
        <w:rPr>
          <w:rStyle w:val="CharSectNo"/>
        </w:rPr>
        <w:t>3476</w:t>
      </w:r>
      <w:r>
        <w:tab/>
        <w:t>Foreign judgment—order for registration</w:t>
      </w:r>
      <w:bookmarkEnd w:id="1114"/>
    </w:p>
    <w:p w14:paraId="20244BFF" w14:textId="77777777" w:rsidR="008112BD" w:rsidRDefault="008112BD" w:rsidP="008112BD">
      <w:pPr>
        <w:pStyle w:val="Amainreturn"/>
        <w:keepNext/>
      </w:pPr>
      <w:r>
        <w:t>The court may order the registration of a judgment on application in accordance with this part.</w:t>
      </w:r>
    </w:p>
    <w:p w14:paraId="2B844763" w14:textId="39D427DE"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0" w:history="1">
        <w:r>
          <w:rPr>
            <w:rStyle w:val="charCitHyperlinkAbbrev"/>
          </w:rPr>
          <w:t>AF2015-34</w:t>
        </w:r>
      </w:hyperlink>
      <w:r>
        <w:t>.</w:t>
      </w:r>
    </w:p>
    <w:p w14:paraId="0CB35AF6" w14:textId="77777777" w:rsidR="008112BD" w:rsidRDefault="008112BD" w:rsidP="008112BD">
      <w:pPr>
        <w:pStyle w:val="AH5Sec"/>
      </w:pPr>
      <w:bookmarkStart w:id="1115" w:name="_Toc185514731"/>
      <w:r w:rsidRPr="00C8328B">
        <w:rPr>
          <w:rStyle w:val="CharSectNo"/>
        </w:rPr>
        <w:t>3477</w:t>
      </w:r>
      <w:r>
        <w:tab/>
        <w:t>Foreign judgment—register</w:t>
      </w:r>
      <w:bookmarkEnd w:id="1115"/>
    </w:p>
    <w:p w14:paraId="57B55978" w14:textId="77777777" w:rsidR="008112BD" w:rsidRDefault="008112BD" w:rsidP="008112BD">
      <w:pPr>
        <w:pStyle w:val="Amain"/>
      </w:pPr>
      <w:r>
        <w:tab/>
        <w:t>(1)</w:t>
      </w:r>
      <w:r>
        <w:tab/>
        <w:t>The registrar must keep a register of registered judgments.</w:t>
      </w:r>
    </w:p>
    <w:p w14:paraId="63364315" w14:textId="77777777" w:rsidR="008112BD" w:rsidRDefault="008112BD" w:rsidP="008112BD">
      <w:pPr>
        <w:pStyle w:val="Amain"/>
      </w:pPr>
      <w:r>
        <w:tab/>
        <w:t>(2)</w:t>
      </w:r>
      <w:r>
        <w:tab/>
        <w:t>The register—</w:t>
      </w:r>
    </w:p>
    <w:p w14:paraId="33B86B73" w14:textId="77777777" w:rsidR="008112BD" w:rsidRDefault="008112BD" w:rsidP="008112BD">
      <w:pPr>
        <w:pStyle w:val="Apara"/>
      </w:pPr>
      <w:r>
        <w:tab/>
        <w:t>(a)</w:t>
      </w:r>
      <w:r>
        <w:tab/>
        <w:t>must be kept in accordance with the directions of the court; and</w:t>
      </w:r>
    </w:p>
    <w:p w14:paraId="44FEE70E" w14:textId="77777777" w:rsidR="008112BD" w:rsidRDefault="008112BD" w:rsidP="008112BD">
      <w:pPr>
        <w:pStyle w:val="Apara"/>
      </w:pPr>
      <w:r>
        <w:tab/>
        <w:t>(b)</w:t>
      </w:r>
      <w:r>
        <w:tab/>
        <w:t>may be kept in electronic form.</w:t>
      </w:r>
    </w:p>
    <w:p w14:paraId="01F2DA7B" w14:textId="77777777" w:rsidR="008112BD" w:rsidRDefault="008112BD" w:rsidP="008112BD">
      <w:pPr>
        <w:pStyle w:val="AH5Sec"/>
      </w:pPr>
      <w:bookmarkStart w:id="1116" w:name="_Toc185514732"/>
      <w:r w:rsidRPr="00C8328B">
        <w:rPr>
          <w:rStyle w:val="CharSectNo"/>
        </w:rPr>
        <w:lastRenderedPageBreak/>
        <w:t>3478</w:t>
      </w:r>
      <w:r>
        <w:tab/>
        <w:t>Foreign judgment—registration</w:t>
      </w:r>
      <w:bookmarkEnd w:id="1116"/>
    </w:p>
    <w:p w14:paraId="5CB464B8" w14:textId="77777777"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14:paraId="0F88BDFE" w14:textId="77777777" w:rsidR="008112BD" w:rsidRDefault="008112BD" w:rsidP="008112BD">
      <w:pPr>
        <w:pStyle w:val="Apara"/>
      </w:pPr>
      <w:r>
        <w:tab/>
        <w:t>(a)</w:t>
      </w:r>
      <w:r>
        <w:tab/>
        <w:t>the full name and last-known address of the judgment creditor and judgment debtor;</w:t>
      </w:r>
    </w:p>
    <w:p w14:paraId="0BED66E9" w14:textId="77777777" w:rsidR="008112BD" w:rsidRDefault="008112BD" w:rsidP="008112BD">
      <w:pPr>
        <w:pStyle w:val="Apara"/>
      </w:pPr>
      <w:r>
        <w:tab/>
        <w:t>(b)</w:t>
      </w:r>
      <w:r>
        <w:tab/>
        <w:t xml:space="preserve">the name of the original court; </w:t>
      </w:r>
    </w:p>
    <w:p w14:paraId="2D919D83" w14:textId="77777777" w:rsidR="008112BD" w:rsidRDefault="008112BD" w:rsidP="008112BD">
      <w:pPr>
        <w:pStyle w:val="Apara"/>
      </w:pPr>
      <w:r>
        <w:tab/>
        <w:t>(c)</w:t>
      </w:r>
      <w:r>
        <w:tab/>
        <w:t>the details of the judgment;</w:t>
      </w:r>
    </w:p>
    <w:p w14:paraId="46546C27" w14:textId="77777777" w:rsidR="008112BD" w:rsidRDefault="008112BD" w:rsidP="008112BD">
      <w:pPr>
        <w:pStyle w:val="Apara"/>
      </w:pPr>
      <w:r>
        <w:tab/>
        <w:t>(d)</w:t>
      </w:r>
      <w:r>
        <w:tab/>
        <w:t>the date of the order that the judgment be registered;</w:t>
      </w:r>
    </w:p>
    <w:p w14:paraId="2FC5EB89" w14:textId="77777777"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14:paraId="56E9B8AA" w14:textId="77777777" w:rsidR="008112BD" w:rsidRDefault="008112BD" w:rsidP="008112BD">
      <w:pPr>
        <w:pStyle w:val="Apara"/>
      </w:pPr>
      <w:r>
        <w:tab/>
        <w:t>(f)</w:t>
      </w:r>
      <w:r>
        <w:tab/>
        <w:t>if the judgment is a non-money judgment—a brief description of the terms of the judgment;</w:t>
      </w:r>
    </w:p>
    <w:p w14:paraId="5F5E400D" w14:textId="77777777" w:rsidR="008112BD" w:rsidRDefault="008112BD" w:rsidP="008112BD">
      <w:pPr>
        <w:pStyle w:val="Apara"/>
      </w:pPr>
      <w:r>
        <w:tab/>
        <w:t>(g)</w:t>
      </w:r>
      <w:r>
        <w:tab/>
        <w:t>the amount payable under the judgment after deducting any amount paid in part satisfaction of the judgment;</w:t>
      </w:r>
    </w:p>
    <w:p w14:paraId="3DCC1AF3" w14:textId="77777777" w:rsidR="008112BD" w:rsidRDefault="008112BD" w:rsidP="008112BD">
      <w:pPr>
        <w:pStyle w:val="Apara"/>
      </w:pPr>
      <w:r>
        <w:tab/>
        <w:t>(h)</w:t>
      </w:r>
      <w:r>
        <w:tab/>
        <w:t>any interest that, under the law of the country of the original court, has become payable under the judgment up to the time of registration.</w:t>
      </w:r>
    </w:p>
    <w:p w14:paraId="5A32A927" w14:textId="77777777" w:rsidR="008112BD" w:rsidRDefault="008112BD" w:rsidP="008112BD">
      <w:pPr>
        <w:pStyle w:val="Amain"/>
        <w:keepNext/>
      </w:pPr>
      <w:r>
        <w:tab/>
        <w:t>(2)</w:t>
      </w:r>
      <w:r>
        <w:tab/>
        <w:t>The registrar must also record the following details in the register:</w:t>
      </w:r>
    </w:p>
    <w:p w14:paraId="649024F1" w14:textId="77777777" w:rsidR="008112BD" w:rsidRDefault="008112BD" w:rsidP="008112BD">
      <w:pPr>
        <w:pStyle w:val="Apara"/>
      </w:pPr>
      <w:r>
        <w:tab/>
        <w:t>(a)</w:t>
      </w:r>
      <w:r>
        <w:tab/>
        <w:t>the reasonable costs of, and incidental to, registration of the judgment including—</w:t>
      </w:r>
    </w:p>
    <w:p w14:paraId="08E62159" w14:textId="77777777" w:rsidR="008112BD" w:rsidRDefault="008112BD" w:rsidP="008112BD">
      <w:pPr>
        <w:pStyle w:val="Asubpara"/>
      </w:pPr>
      <w:r>
        <w:tab/>
        <w:t>(i)</w:t>
      </w:r>
      <w:r>
        <w:tab/>
        <w:t>the cost of obtaining a certified copy of the judgment from the original court; and</w:t>
      </w:r>
    </w:p>
    <w:p w14:paraId="7F9A071B" w14:textId="77777777"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14:paraId="530F845A" w14:textId="77777777" w:rsidR="008112BD" w:rsidRDefault="008112BD" w:rsidP="008112BD">
      <w:pPr>
        <w:pStyle w:val="Apara"/>
      </w:pPr>
      <w:r>
        <w:lastRenderedPageBreak/>
        <w:tab/>
        <w:t>(b)</w:t>
      </w:r>
      <w:r>
        <w:tab/>
        <w:t>any special directions contained in the order for registration.</w:t>
      </w:r>
    </w:p>
    <w:p w14:paraId="1555601E" w14:textId="77777777" w:rsidR="008112BD" w:rsidRDefault="008112BD" w:rsidP="008112BD">
      <w:pPr>
        <w:pStyle w:val="AH5Sec"/>
      </w:pPr>
      <w:bookmarkStart w:id="1117" w:name="_Toc185514733"/>
      <w:r w:rsidRPr="00C8328B">
        <w:rPr>
          <w:rStyle w:val="CharSectNo"/>
        </w:rPr>
        <w:t>3479</w:t>
      </w:r>
      <w:r>
        <w:tab/>
        <w:t>Foreign judgment—notice of registration</w:t>
      </w:r>
      <w:bookmarkEnd w:id="1117"/>
    </w:p>
    <w:p w14:paraId="07551633" w14:textId="77777777" w:rsidR="008112BD" w:rsidRDefault="008112BD" w:rsidP="008112BD">
      <w:pPr>
        <w:pStyle w:val="Amain"/>
      </w:pPr>
      <w:r>
        <w:tab/>
        <w:t>(1)</w:t>
      </w:r>
      <w:r>
        <w:tab/>
        <w:t>The judgment creditor under a registered judgment must, not later than 28 days after the day the judgment is registered, serve—</w:t>
      </w:r>
    </w:p>
    <w:p w14:paraId="664157F3" w14:textId="77777777" w:rsidR="008112BD" w:rsidRDefault="008112BD" w:rsidP="008112BD">
      <w:pPr>
        <w:pStyle w:val="Apara"/>
      </w:pPr>
      <w:r>
        <w:tab/>
        <w:t>(a)</w:t>
      </w:r>
      <w:r>
        <w:tab/>
        <w:t>notice of the registration on the judgment debtor; and</w:t>
      </w:r>
    </w:p>
    <w:p w14:paraId="73D7F2AB" w14:textId="73FCFA3A"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1" w:history="1">
        <w:r w:rsidRPr="003A357B">
          <w:rPr>
            <w:rStyle w:val="charCitHyperlinkAbbrev"/>
          </w:rPr>
          <w:t>AF2006-370</w:t>
        </w:r>
      </w:hyperlink>
      <w:r>
        <w:t>.</w:t>
      </w:r>
    </w:p>
    <w:p w14:paraId="3E8591D1" w14:textId="77777777" w:rsidR="008112BD" w:rsidRDefault="008112BD" w:rsidP="008112BD">
      <w:pPr>
        <w:pStyle w:val="Apara"/>
      </w:pPr>
      <w:r>
        <w:tab/>
        <w:t>(b)</w:t>
      </w:r>
      <w:r>
        <w:tab/>
        <w:t>a sealed copy of the order for registration; and</w:t>
      </w:r>
    </w:p>
    <w:p w14:paraId="2537D6F8" w14:textId="77777777" w:rsidR="008112BD" w:rsidRDefault="008112BD" w:rsidP="008112BD">
      <w:pPr>
        <w:pStyle w:val="Apara"/>
      </w:pPr>
      <w:r>
        <w:tab/>
        <w:t>(c)</w:t>
      </w:r>
      <w:r>
        <w:tab/>
        <w:t>a stamped copy of the affidavit filed under rule 3474 (1) (c).</w:t>
      </w:r>
    </w:p>
    <w:p w14:paraId="6A3EABFA" w14:textId="77777777" w:rsidR="008112BD" w:rsidRDefault="008112BD" w:rsidP="008112BD">
      <w:pPr>
        <w:pStyle w:val="Amain"/>
        <w:keepNext/>
      </w:pPr>
      <w:r>
        <w:tab/>
        <w:t>(2)</w:t>
      </w:r>
      <w:r>
        <w:tab/>
        <w:t>Unless the court otherwise orders, the notice and accompanying documents must be served personally.</w:t>
      </w:r>
    </w:p>
    <w:p w14:paraId="015885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C021290" w14:textId="77777777" w:rsidR="008112BD" w:rsidRDefault="008112BD" w:rsidP="008112BD">
      <w:pPr>
        <w:pStyle w:val="AH5Sec"/>
      </w:pPr>
      <w:bookmarkStart w:id="1118" w:name="_Toc185514734"/>
      <w:r w:rsidRPr="00C8328B">
        <w:rPr>
          <w:rStyle w:val="CharSectNo"/>
        </w:rPr>
        <w:t>3480</w:t>
      </w:r>
      <w:r>
        <w:tab/>
        <w:t>Notice of registration—affidavit of service to be filed</w:t>
      </w:r>
      <w:bookmarkEnd w:id="1118"/>
    </w:p>
    <w:p w14:paraId="368EF1DC" w14:textId="77777777" w:rsidR="008112BD" w:rsidRDefault="008112BD" w:rsidP="008112BD">
      <w:pPr>
        <w:pStyle w:val="Amainreturn"/>
      </w:pPr>
      <w:r>
        <w:t>An affidavit of service of the notice of registration of a judgment and accompanying documents must be filed in the court before any step is taken to enforce the judgment.</w:t>
      </w:r>
    </w:p>
    <w:p w14:paraId="24E1582B" w14:textId="77777777" w:rsidR="008112BD" w:rsidRDefault="008112BD" w:rsidP="008112BD">
      <w:pPr>
        <w:pStyle w:val="AH5Sec"/>
      </w:pPr>
      <w:bookmarkStart w:id="1119" w:name="_Toc185514735"/>
      <w:r w:rsidRPr="00C8328B">
        <w:rPr>
          <w:rStyle w:val="CharSectNo"/>
        </w:rPr>
        <w:t>3481</w:t>
      </w:r>
      <w:r>
        <w:tab/>
        <w:t>Registration of judgment—application to set aside</w:t>
      </w:r>
      <w:bookmarkEnd w:id="1119"/>
    </w:p>
    <w:p w14:paraId="74003BE4" w14:textId="77777777" w:rsidR="008112BD" w:rsidRDefault="008112BD" w:rsidP="008112BD">
      <w:pPr>
        <w:pStyle w:val="Amainreturn"/>
      </w:pPr>
      <w:r>
        <w:t>An application to set aside the registration of a judgment must—</w:t>
      </w:r>
    </w:p>
    <w:p w14:paraId="4806849A" w14:textId="77777777" w:rsidR="008112BD" w:rsidRDefault="008112BD" w:rsidP="008112BD">
      <w:pPr>
        <w:pStyle w:val="Apara"/>
      </w:pPr>
      <w:r>
        <w:tab/>
        <w:t>(a)</w:t>
      </w:r>
      <w:r>
        <w:tab/>
        <w:t>be made within the period stated in the order for registration of the judgment; and</w:t>
      </w:r>
    </w:p>
    <w:p w14:paraId="3D19DBA4" w14:textId="77777777" w:rsidR="008112BD" w:rsidRDefault="008112BD" w:rsidP="008112BD">
      <w:pPr>
        <w:pStyle w:val="Apara"/>
        <w:keepNext/>
      </w:pPr>
      <w:r>
        <w:tab/>
        <w:t>(b)</w:t>
      </w:r>
      <w:r>
        <w:tab/>
        <w:t>be supported by an affidavit setting out the specific grounds on which the application is made.</w:t>
      </w:r>
    </w:p>
    <w:p w14:paraId="240BF84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A414DA7" w14:textId="77777777" w:rsidR="008112BD" w:rsidRDefault="008112BD" w:rsidP="008112BD">
      <w:pPr>
        <w:pStyle w:val="AH5Sec"/>
      </w:pPr>
      <w:bookmarkStart w:id="1120" w:name="_Toc185514736"/>
      <w:r w:rsidRPr="00C8328B">
        <w:rPr>
          <w:rStyle w:val="CharSectNo"/>
        </w:rPr>
        <w:lastRenderedPageBreak/>
        <w:t>3482</w:t>
      </w:r>
      <w:r>
        <w:tab/>
        <w:t>Foreign judgment—enforcement</w:t>
      </w:r>
      <w:bookmarkEnd w:id="1120"/>
    </w:p>
    <w:p w14:paraId="364CFBE6" w14:textId="77777777" w:rsidR="008112BD" w:rsidRDefault="008112BD" w:rsidP="008112BD">
      <w:pPr>
        <w:pStyle w:val="Amain"/>
      </w:pPr>
      <w:r>
        <w:tab/>
        <w:t>(1)</w:t>
      </w:r>
      <w:r>
        <w:tab/>
        <w:t>The form of enforcement order used in relation to the enforcement of a registered judgment must be amended, in a way approved by the registrar, by stating—</w:t>
      </w:r>
    </w:p>
    <w:p w14:paraId="426886B0" w14:textId="77777777" w:rsidR="008112BD" w:rsidRDefault="008112BD" w:rsidP="008112BD">
      <w:pPr>
        <w:pStyle w:val="Apara"/>
      </w:pPr>
      <w:r>
        <w:tab/>
        <w:t>(a)</w:t>
      </w:r>
      <w:r>
        <w:tab/>
        <w:t>that the judgment is a registered judgment; and</w:t>
      </w:r>
    </w:p>
    <w:p w14:paraId="3F03E980" w14:textId="77777777" w:rsidR="008112BD" w:rsidRDefault="008112BD" w:rsidP="008112BD">
      <w:pPr>
        <w:pStyle w:val="Apara"/>
      </w:pPr>
      <w:r>
        <w:tab/>
        <w:t>(b)</w:t>
      </w:r>
      <w:r>
        <w:tab/>
        <w:t>the date of, and the amount payable under, the judgment.</w:t>
      </w:r>
    </w:p>
    <w:p w14:paraId="1421ABFE" w14:textId="77777777"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14:paraId="6ACFF69A" w14:textId="77777777" w:rsidR="008112BD" w:rsidRDefault="008112BD" w:rsidP="008112BD">
      <w:pPr>
        <w:pStyle w:val="AH5Sec"/>
      </w:pPr>
      <w:bookmarkStart w:id="1121" w:name="_Toc185514737"/>
      <w:r w:rsidRPr="00C8328B">
        <w:rPr>
          <w:rStyle w:val="CharSectNo"/>
        </w:rPr>
        <w:t>3483</w:t>
      </w:r>
      <w:r>
        <w:tab/>
        <w:t>Australian judgment—certificate for foreign registration</w:t>
      </w:r>
      <w:bookmarkEnd w:id="1121"/>
    </w:p>
    <w:p w14:paraId="47346F26" w14:textId="0509966C" w:rsidR="008112BD" w:rsidRDefault="008112BD" w:rsidP="008112BD">
      <w:pPr>
        <w:pStyle w:val="Amain"/>
      </w:pPr>
      <w:r>
        <w:tab/>
        <w:t>(1)</w:t>
      </w:r>
      <w:r>
        <w:tab/>
        <w:t xml:space="preserve">An application under the </w:t>
      </w:r>
      <w:hyperlink r:id="rId452"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14:paraId="4198F2BA" w14:textId="77777777" w:rsidR="008112BD" w:rsidRDefault="008112BD" w:rsidP="008112BD">
      <w:pPr>
        <w:pStyle w:val="Amain"/>
        <w:keepNext/>
      </w:pPr>
      <w:r>
        <w:tab/>
        <w:t>(2)</w:t>
      </w:r>
      <w:r>
        <w:tab/>
        <w:t>The application must be made—</w:t>
      </w:r>
    </w:p>
    <w:p w14:paraId="23A48EF5" w14:textId="77777777" w:rsidR="008112BD" w:rsidRDefault="008112BD" w:rsidP="008112BD">
      <w:pPr>
        <w:pStyle w:val="Apara"/>
        <w:keepNext/>
      </w:pPr>
      <w:r>
        <w:tab/>
        <w:t>(a)</w:t>
      </w:r>
      <w:r>
        <w:tab/>
        <w:t>in the proceeding in which the judgment was obtained; and</w:t>
      </w:r>
    </w:p>
    <w:p w14:paraId="7B0D081E" w14:textId="77777777" w:rsidR="008112BD" w:rsidRDefault="008112BD" w:rsidP="008112BD">
      <w:pPr>
        <w:pStyle w:val="Apara"/>
      </w:pPr>
      <w:r>
        <w:tab/>
        <w:t>(b)</w:t>
      </w:r>
      <w:r>
        <w:tab/>
        <w:t>by filing—</w:t>
      </w:r>
    </w:p>
    <w:p w14:paraId="3DFD732A" w14:textId="77777777" w:rsidR="008112BD" w:rsidRDefault="008112BD" w:rsidP="008112BD">
      <w:pPr>
        <w:pStyle w:val="Asubpara"/>
      </w:pPr>
      <w:r>
        <w:tab/>
        <w:t>(i)</w:t>
      </w:r>
      <w:r>
        <w:tab/>
        <w:t>a draft of the certificate sought; and</w:t>
      </w:r>
    </w:p>
    <w:p w14:paraId="3F37ED4C" w14:textId="77777777" w:rsidR="008112BD" w:rsidRDefault="008112BD" w:rsidP="008112BD">
      <w:pPr>
        <w:pStyle w:val="Asubpara"/>
      </w:pPr>
      <w:r>
        <w:tab/>
        <w:t>(ii)</w:t>
      </w:r>
      <w:r>
        <w:tab/>
        <w:t>a supporting affidavit.</w:t>
      </w:r>
    </w:p>
    <w:p w14:paraId="5F974AAF" w14:textId="77777777" w:rsidR="008112BD" w:rsidRDefault="008112BD" w:rsidP="008112BD">
      <w:pPr>
        <w:pStyle w:val="Amain"/>
      </w:pPr>
      <w:r>
        <w:tab/>
        <w:t>(3)</w:t>
      </w:r>
      <w:r>
        <w:tab/>
        <w:t>Part 6.2 (Applications in proceedings) does not apply to the application.</w:t>
      </w:r>
    </w:p>
    <w:p w14:paraId="4A18FFC1" w14:textId="77777777" w:rsidR="008112BD" w:rsidRDefault="008112BD" w:rsidP="008112BD">
      <w:pPr>
        <w:pStyle w:val="Amain"/>
      </w:pPr>
      <w:r>
        <w:tab/>
        <w:t>(4)</w:t>
      </w:r>
      <w:r>
        <w:tab/>
        <w:t>The supporting affidavit must include all information that would enable the certificate to be issued.</w:t>
      </w:r>
    </w:p>
    <w:p w14:paraId="3C186355" w14:textId="165BE83F" w:rsidR="008112BD" w:rsidRDefault="008112BD" w:rsidP="008112BD">
      <w:pPr>
        <w:pStyle w:val="Amain"/>
        <w:keepNext/>
      </w:pPr>
      <w:r>
        <w:lastRenderedPageBreak/>
        <w:tab/>
        <w:t>(5)</w:t>
      </w:r>
      <w:r>
        <w:tab/>
        <w:t xml:space="preserve">For the </w:t>
      </w:r>
      <w:hyperlink r:id="rId453"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4" w:tooltip="A2004-59" w:history="1">
        <w:r w:rsidRPr="00FE0788">
          <w:rPr>
            <w:rStyle w:val="charCitHyperlinkItal"/>
          </w:rPr>
          <w:t>Court Procedures Act 2004</w:t>
        </w:r>
      </w:hyperlink>
      <w:r>
        <w:t>, section 8 for the certificate.</w:t>
      </w:r>
    </w:p>
    <w:p w14:paraId="0EA79404" w14:textId="3BF79D12"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55" w:history="1">
        <w:r w:rsidRPr="003A357B">
          <w:rPr>
            <w:rStyle w:val="charCitHyperlinkAbbrev"/>
          </w:rPr>
          <w:t>AF2006-371</w:t>
        </w:r>
      </w:hyperlink>
      <w:r>
        <w:t>.</w:t>
      </w:r>
    </w:p>
    <w:p w14:paraId="4DE612A7" w14:textId="77777777"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14:paraId="0E666929" w14:textId="77777777" w:rsidR="008112BD" w:rsidRDefault="008112BD" w:rsidP="008112BD">
      <w:pPr>
        <w:pStyle w:val="PageBreak"/>
      </w:pPr>
      <w:r>
        <w:br w:type="page"/>
      </w:r>
    </w:p>
    <w:p w14:paraId="09DD113B" w14:textId="77777777" w:rsidR="008112BD" w:rsidRPr="00C8328B" w:rsidRDefault="008112BD" w:rsidP="008112BD">
      <w:pPr>
        <w:pStyle w:val="AH2Part"/>
      </w:pPr>
      <w:bookmarkStart w:id="1122" w:name="_Toc185514738"/>
      <w:r w:rsidRPr="00C8328B">
        <w:rPr>
          <w:rStyle w:val="CharPartNo"/>
        </w:rPr>
        <w:lastRenderedPageBreak/>
        <w:t>Part 3.9</w:t>
      </w:r>
      <w:r>
        <w:tab/>
      </w:r>
      <w:r w:rsidRPr="00C8328B">
        <w:rPr>
          <w:rStyle w:val="CharPartText"/>
        </w:rPr>
        <w:t>Habeas corpus</w:t>
      </w:r>
      <w:bookmarkEnd w:id="1122"/>
    </w:p>
    <w:p w14:paraId="00EAB4EB" w14:textId="77777777" w:rsidR="008112BD" w:rsidRDefault="008112BD" w:rsidP="008112BD">
      <w:pPr>
        <w:pStyle w:val="AH5Sec"/>
      </w:pPr>
      <w:bookmarkStart w:id="1123" w:name="_Toc185514739"/>
      <w:r w:rsidRPr="00C8328B">
        <w:rPr>
          <w:rStyle w:val="CharSectNo"/>
        </w:rPr>
        <w:t>3500</w:t>
      </w:r>
      <w:r>
        <w:tab/>
        <w:t>Definitions—pt 3.9</w:t>
      </w:r>
      <w:bookmarkEnd w:id="1123"/>
    </w:p>
    <w:p w14:paraId="472B3C7D" w14:textId="77777777" w:rsidR="008112BD" w:rsidRDefault="008112BD" w:rsidP="008112BD">
      <w:pPr>
        <w:pStyle w:val="Amainreturn"/>
        <w:keepNext/>
      </w:pPr>
      <w:r>
        <w:t>In this part:</w:t>
      </w:r>
    </w:p>
    <w:p w14:paraId="60BC6C30" w14:textId="77777777" w:rsidR="008112BD" w:rsidRDefault="008112BD" w:rsidP="008112BD">
      <w:pPr>
        <w:pStyle w:val="aDef"/>
      </w:pPr>
      <w:r w:rsidRPr="00FE0788">
        <w:rPr>
          <w:rStyle w:val="charBoldItals"/>
        </w:rPr>
        <w:t>custody</w:t>
      </w:r>
      <w:r>
        <w:t xml:space="preserve"> includes confinement.</w:t>
      </w:r>
    </w:p>
    <w:p w14:paraId="378F5E81" w14:textId="77777777" w:rsidR="008112BD" w:rsidRDefault="008112BD" w:rsidP="008112BD">
      <w:pPr>
        <w:pStyle w:val="aDef"/>
        <w:keepNext/>
      </w:pPr>
      <w:r w:rsidRPr="00FE0788">
        <w:rPr>
          <w:rStyle w:val="charBoldItals"/>
        </w:rPr>
        <w:t>defendant</w:t>
      </w:r>
      <w:r>
        <w:t xml:space="preserve"> means the person named as the defendant in—</w:t>
      </w:r>
    </w:p>
    <w:p w14:paraId="12295860" w14:textId="77777777" w:rsidR="008112BD" w:rsidRDefault="008112BD" w:rsidP="008112BD">
      <w:pPr>
        <w:pStyle w:val="aDefpara"/>
      </w:pPr>
      <w:r>
        <w:tab/>
        <w:t>(a)</w:t>
      </w:r>
      <w:r>
        <w:tab/>
        <w:t>a habeas corpus order; or</w:t>
      </w:r>
    </w:p>
    <w:p w14:paraId="573028B9" w14:textId="77777777" w:rsidR="008112BD" w:rsidRDefault="008112BD" w:rsidP="008112BD">
      <w:pPr>
        <w:pStyle w:val="aDefpara"/>
      </w:pPr>
      <w:r>
        <w:tab/>
        <w:t>(b)</w:t>
      </w:r>
      <w:r>
        <w:tab/>
        <w:t>an application for a habeas corpus order.</w:t>
      </w:r>
    </w:p>
    <w:p w14:paraId="6D9736D8" w14:textId="77777777"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14:paraId="5D1FDD0D" w14:textId="77777777" w:rsidR="008112BD" w:rsidRDefault="008112BD" w:rsidP="008112BD">
      <w:pPr>
        <w:pStyle w:val="AH5Sec"/>
      </w:pPr>
      <w:bookmarkStart w:id="1124" w:name="_Toc185514740"/>
      <w:r w:rsidRPr="00C8328B">
        <w:rPr>
          <w:rStyle w:val="CharSectNo"/>
        </w:rPr>
        <w:t>3501</w:t>
      </w:r>
      <w:r>
        <w:tab/>
        <w:t>Application—pt 3.9</w:t>
      </w:r>
      <w:bookmarkEnd w:id="1124"/>
    </w:p>
    <w:p w14:paraId="2A701ACF" w14:textId="77777777" w:rsidR="008112BD" w:rsidRDefault="008112BD" w:rsidP="008112BD">
      <w:pPr>
        <w:pStyle w:val="Amainreturn"/>
      </w:pPr>
      <w:r>
        <w:t>This part applies only to the Supreme Court.</w:t>
      </w:r>
    </w:p>
    <w:p w14:paraId="29C13DEF" w14:textId="77777777" w:rsidR="008112BD" w:rsidRDefault="008112BD" w:rsidP="008112BD">
      <w:pPr>
        <w:pStyle w:val="AH5Sec"/>
      </w:pPr>
      <w:bookmarkStart w:id="1125" w:name="_Toc185514741"/>
      <w:r w:rsidRPr="00C8328B">
        <w:rPr>
          <w:rStyle w:val="CharSectNo"/>
        </w:rPr>
        <w:t>3502</w:t>
      </w:r>
      <w:r>
        <w:tab/>
        <w:t>Habeas corpus—writs of habeas corpus abolished</w:t>
      </w:r>
      <w:bookmarkEnd w:id="1125"/>
    </w:p>
    <w:p w14:paraId="7571BF48" w14:textId="77777777" w:rsidR="008112BD" w:rsidRDefault="008112BD" w:rsidP="008112BD">
      <w:pPr>
        <w:pStyle w:val="Amainreturn"/>
      </w:pPr>
      <w:r>
        <w:t>Writs of habeas corpus are no longer to be issued by the court.</w:t>
      </w:r>
    </w:p>
    <w:p w14:paraId="27C4159C" w14:textId="77777777" w:rsidR="008112BD" w:rsidRDefault="008112BD" w:rsidP="008112BD">
      <w:pPr>
        <w:pStyle w:val="AH5Sec"/>
      </w:pPr>
      <w:bookmarkStart w:id="1126" w:name="_Toc185514742"/>
      <w:r w:rsidRPr="00C8328B">
        <w:rPr>
          <w:rStyle w:val="CharSectNo"/>
        </w:rPr>
        <w:t>3503</w:t>
      </w:r>
      <w:r>
        <w:tab/>
        <w:t>Habeas corpus—order instead of writ of habeas corpus</w:t>
      </w:r>
      <w:bookmarkEnd w:id="1126"/>
    </w:p>
    <w:p w14:paraId="287DBD3E" w14:textId="77777777"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14:paraId="7AD1B682"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5A5381E6" w14:textId="77777777" w:rsidR="008112BD" w:rsidRDefault="008112BD" w:rsidP="008112BD">
      <w:pPr>
        <w:pStyle w:val="AH5Sec"/>
      </w:pPr>
      <w:bookmarkStart w:id="1127" w:name="_Toc185514743"/>
      <w:r w:rsidRPr="00C8328B">
        <w:rPr>
          <w:rStyle w:val="CharSectNo"/>
        </w:rPr>
        <w:lastRenderedPageBreak/>
        <w:t>3504</w:t>
      </w:r>
      <w:r>
        <w:tab/>
        <w:t>Habeas corpus—application and service</w:t>
      </w:r>
      <w:bookmarkEnd w:id="1127"/>
    </w:p>
    <w:p w14:paraId="50AB4B51" w14:textId="77777777" w:rsidR="008112BD" w:rsidRDefault="008112BD" w:rsidP="008112BD">
      <w:pPr>
        <w:pStyle w:val="Amain"/>
        <w:keepNext/>
      </w:pPr>
      <w:r>
        <w:tab/>
        <w:t>(1)</w:t>
      </w:r>
      <w:r>
        <w:tab/>
        <w:t>A proceeding for a habeas corpus order must be started by originating application.</w:t>
      </w:r>
    </w:p>
    <w:p w14:paraId="56753871"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14:paraId="6A0334F8" w14:textId="77777777"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14:paraId="1813F9D8" w14:textId="77777777" w:rsidR="008112BD" w:rsidRDefault="008112BD" w:rsidP="008112BD">
      <w:pPr>
        <w:pStyle w:val="Amain"/>
      </w:pPr>
      <w:r>
        <w:tab/>
        <w:t>(3)</w:t>
      </w:r>
      <w:r>
        <w:tab/>
        <w:t>The application must be supported by an affidavit.</w:t>
      </w:r>
    </w:p>
    <w:p w14:paraId="51648E96" w14:textId="77777777" w:rsidR="008112BD" w:rsidRDefault="008112BD" w:rsidP="008112BD">
      <w:pPr>
        <w:pStyle w:val="Amain"/>
      </w:pPr>
      <w:r>
        <w:tab/>
        <w:t>(4)</w:t>
      </w:r>
      <w:r>
        <w:tab/>
        <w:t>The affidavit may—</w:t>
      </w:r>
    </w:p>
    <w:p w14:paraId="19BEF666" w14:textId="77777777" w:rsidR="008112BD" w:rsidRDefault="008112BD" w:rsidP="008112BD">
      <w:pPr>
        <w:pStyle w:val="Apara"/>
      </w:pPr>
      <w:r>
        <w:tab/>
        <w:t>(a)</w:t>
      </w:r>
      <w:r>
        <w:tab/>
        <w:t>be made by someone else on behalf of the person in custody; and</w:t>
      </w:r>
    </w:p>
    <w:p w14:paraId="4DFF5BBB" w14:textId="77777777" w:rsidR="008112BD" w:rsidRDefault="008112BD" w:rsidP="008112BD">
      <w:pPr>
        <w:pStyle w:val="Apara"/>
        <w:keepNext/>
      </w:pPr>
      <w:r>
        <w:tab/>
        <w:t>(b)</w:t>
      </w:r>
      <w:r>
        <w:tab/>
        <w:t>contain statements based on information and belief if the person making it states the sources of the information and the grounds for the belief.</w:t>
      </w:r>
    </w:p>
    <w:p w14:paraId="586EE302" w14:textId="43F0F206"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56" w:tooltip="A2011-12" w:history="1">
        <w:r w:rsidRPr="00781093">
          <w:rPr>
            <w:rStyle w:val="charCitHyperlinkAbbrev"/>
          </w:rPr>
          <w:t>Evidence Act</w:t>
        </w:r>
      </w:hyperlink>
      <w:r w:rsidRPr="00AD5834">
        <w:t>, s 75 (Exception—interlocutory proceedings)</w:t>
      </w:r>
      <w:r>
        <w:t>).</w:t>
      </w:r>
    </w:p>
    <w:p w14:paraId="3107A7E8" w14:textId="77777777" w:rsidR="008112BD" w:rsidRDefault="008112BD" w:rsidP="008112BD">
      <w:pPr>
        <w:pStyle w:val="Amain"/>
      </w:pPr>
      <w:r>
        <w:tab/>
        <w:t>(5)</w:t>
      </w:r>
      <w:r>
        <w:tab/>
        <w:t>The application need not be served on anyone unless the court otherwise orders on its own initiative.</w:t>
      </w:r>
    </w:p>
    <w:p w14:paraId="0DC14381" w14:textId="77777777" w:rsidR="008112BD" w:rsidRDefault="008112BD" w:rsidP="008112BD">
      <w:pPr>
        <w:pStyle w:val="AH5Sec"/>
      </w:pPr>
      <w:bookmarkStart w:id="1128" w:name="_Toc185514744"/>
      <w:r w:rsidRPr="00C8328B">
        <w:rPr>
          <w:rStyle w:val="CharSectNo"/>
        </w:rPr>
        <w:t>3505</w:t>
      </w:r>
      <w:r>
        <w:tab/>
        <w:t>Habeas corpus—parties</w:t>
      </w:r>
      <w:bookmarkEnd w:id="1128"/>
    </w:p>
    <w:p w14:paraId="4A4765A2" w14:textId="77777777" w:rsidR="008112BD" w:rsidRDefault="008112BD" w:rsidP="008112BD">
      <w:pPr>
        <w:pStyle w:val="Amainreturn"/>
      </w:pPr>
      <w:r>
        <w:t>An application for a habeas corpus order may be made by the person in custody or by someone else.</w:t>
      </w:r>
    </w:p>
    <w:p w14:paraId="3012D36A" w14:textId="77777777" w:rsidR="008112BD" w:rsidRDefault="008112BD" w:rsidP="008112BD">
      <w:pPr>
        <w:pStyle w:val="AH5Sec"/>
      </w:pPr>
      <w:bookmarkStart w:id="1129" w:name="_Toc185514745"/>
      <w:r w:rsidRPr="00C8328B">
        <w:rPr>
          <w:rStyle w:val="CharSectNo"/>
        </w:rPr>
        <w:lastRenderedPageBreak/>
        <w:t>3506</w:t>
      </w:r>
      <w:r>
        <w:tab/>
        <w:t>Habeas corpus—procedure on application etc</w:t>
      </w:r>
      <w:bookmarkEnd w:id="1129"/>
    </w:p>
    <w:p w14:paraId="5D4561FF" w14:textId="77777777" w:rsidR="008112BD" w:rsidRDefault="008112BD" w:rsidP="008112BD">
      <w:pPr>
        <w:pStyle w:val="Amain"/>
        <w:keepNext/>
      </w:pPr>
      <w:r>
        <w:tab/>
        <w:t>(1)</w:t>
      </w:r>
      <w:r>
        <w:tab/>
        <w:t>On the hearing of an application for a habeas corpus order, the court may—</w:t>
      </w:r>
    </w:p>
    <w:p w14:paraId="49CD6155" w14:textId="77777777" w:rsidR="008112BD" w:rsidRDefault="008112BD" w:rsidP="008112BD">
      <w:pPr>
        <w:pStyle w:val="Apara"/>
      </w:pPr>
      <w:r>
        <w:tab/>
        <w:t>(a)</w:t>
      </w:r>
      <w:r>
        <w:tab/>
        <w:t>order the release or other disposition of the person in custody; or</w:t>
      </w:r>
    </w:p>
    <w:p w14:paraId="671BD0B8" w14:textId="77777777"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14:paraId="312310B1" w14:textId="77777777" w:rsidR="008112BD" w:rsidRDefault="008112BD" w:rsidP="008112BD">
      <w:pPr>
        <w:pStyle w:val="Apara"/>
        <w:keepNext/>
      </w:pPr>
      <w:r>
        <w:tab/>
        <w:t>(c)</w:t>
      </w:r>
      <w:r>
        <w:tab/>
        <w:t>dismiss the application.</w:t>
      </w:r>
    </w:p>
    <w:p w14:paraId="294414B8" w14:textId="44725BD2"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57" w:history="1">
        <w:r w:rsidRPr="003A357B">
          <w:rPr>
            <w:rStyle w:val="charCitHyperlinkAbbrev"/>
          </w:rPr>
          <w:t>AF2006-372</w:t>
        </w:r>
      </w:hyperlink>
      <w:r>
        <w:t>.</w:t>
      </w:r>
    </w:p>
    <w:p w14:paraId="33DB9616" w14:textId="77777777" w:rsidR="008112BD" w:rsidRDefault="008112BD" w:rsidP="008112BD">
      <w:pPr>
        <w:pStyle w:val="Amain"/>
      </w:pPr>
      <w:r>
        <w:tab/>
        <w:t>(2)</w:t>
      </w:r>
      <w:r>
        <w:tab/>
        <w:t>If a habeas corpus order is issued—</w:t>
      </w:r>
    </w:p>
    <w:p w14:paraId="0A198929" w14:textId="77777777" w:rsidR="008112BD" w:rsidRDefault="008112BD" w:rsidP="008112BD">
      <w:pPr>
        <w:pStyle w:val="Apara"/>
      </w:pPr>
      <w:r>
        <w:tab/>
        <w:t>(a)</w:t>
      </w:r>
      <w:r>
        <w:tab/>
        <w:t>the person to whom the order is directed must bring the person in custody before the court as directed in the order; and</w:t>
      </w:r>
    </w:p>
    <w:p w14:paraId="10AFA218" w14:textId="77777777" w:rsidR="008112BD" w:rsidRDefault="008112BD" w:rsidP="008112BD">
      <w:pPr>
        <w:pStyle w:val="Apara"/>
        <w:keepNext/>
      </w:pPr>
      <w:r>
        <w:tab/>
        <w:t>(b)</w:t>
      </w:r>
      <w:r>
        <w:tab/>
        <w:t>unless the court otherwise orders, the following must be served personally on everyone to whom the order is directed:</w:t>
      </w:r>
    </w:p>
    <w:p w14:paraId="3CEA2F09" w14:textId="77777777" w:rsidR="008112BD" w:rsidRDefault="008112BD" w:rsidP="008112BD">
      <w:pPr>
        <w:pStyle w:val="Asubpara"/>
      </w:pPr>
      <w:r>
        <w:tab/>
        <w:t>(i)</w:t>
      </w:r>
      <w:r>
        <w:tab/>
        <w:t>a sealed copy of the order;</w:t>
      </w:r>
    </w:p>
    <w:p w14:paraId="7F1B4E92" w14:textId="77777777" w:rsidR="008112BD" w:rsidRDefault="008112BD" w:rsidP="008112BD">
      <w:pPr>
        <w:pStyle w:val="Asubpara"/>
      </w:pPr>
      <w:r>
        <w:tab/>
        <w:t>(ii)</w:t>
      </w:r>
      <w:r>
        <w:tab/>
        <w:t>the application for the order;</w:t>
      </w:r>
    </w:p>
    <w:p w14:paraId="55A2433B" w14:textId="77777777" w:rsidR="008112BD" w:rsidRDefault="008112BD" w:rsidP="008112BD">
      <w:pPr>
        <w:pStyle w:val="Asubpara"/>
      </w:pPr>
      <w:r>
        <w:tab/>
        <w:t>(iii)</w:t>
      </w:r>
      <w:r>
        <w:tab/>
        <w:t>the supporting affidavits;</w:t>
      </w:r>
    </w:p>
    <w:p w14:paraId="4CFA0294" w14:textId="77777777" w:rsidR="008112BD" w:rsidRDefault="008112BD" w:rsidP="008112BD">
      <w:pPr>
        <w:pStyle w:val="Asubpara"/>
        <w:keepNext/>
      </w:pPr>
      <w:r>
        <w:tab/>
        <w:t>(iv)</w:t>
      </w:r>
      <w:r>
        <w:tab/>
        <w:t>a notice stating the things to be done by the person under the order and the consequences of failing to comply with the order.</w:t>
      </w:r>
    </w:p>
    <w:p w14:paraId="2E41C0EF" w14:textId="77777777"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14:paraId="2B934A25" w14:textId="2035CACE"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58" w:tooltip="A2001-14" w:history="1">
        <w:r w:rsidRPr="00FE0788">
          <w:rPr>
            <w:rStyle w:val="charCitHyperlinkAbbrev"/>
          </w:rPr>
          <w:t>Legislation Act</w:t>
        </w:r>
      </w:hyperlink>
      <w:r>
        <w:t>, s 151B (Doing things for which no time is fixed)).</w:t>
      </w:r>
    </w:p>
    <w:p w14:paraId="4C90458E" w14:textId="77777777"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14:paraId="55C949CD" w14:textId="77777777"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14:paraId="262128EC" w14:textId="77777777" w:rsidR="008112BD" w:rsidRDefault="008112BD" w:rsidP="008112BD">
      <w:pPr>
        <w:pStyle w:val="Apara"/>
      </w:pPr>
      <w:r>
        <w:tab/>
        <w:t>(a)</w:t>
      </w:r>
      <w:r>
        <w:tab/>
        <w:t>by sending a copy by prepaid post to the place where the person is in custody, addressed to the person in charge of the place; or</w:t>
      </w:r>
    </w:p>
    <w:p w14:paraId="612BAB57"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63591EFE" w14:textId="77777777" w:rsidR="008112BD" w:rsidRDefault="008112BD" w:rsidP="008112BD">
      <w:pPr>
        <w:pStyle w:val="Apara"/>
      </w:pPr>
      <w:r>
        <w:tab/>
        <w:t>(c)</w:t>
      </w:r>
      <w:r>
        <w:tab/>
        <w:t>if the place has a fax machine—by sending a copy by fax to the place, addressed to the person in charge of the place; or</w:t>
      </w:r>
    </w:p>
    <w:p w14:paraId="6D06CFCF" w14:textId="77777777"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14:paraId="395F3ABA" w14:textId="77777777" w:rsidR="008112BD" w:rsidRDefault="008112BD" w:rsidP="008112BD">
      <w:pPr>
        <w:pStyle w:val="Amain"/>
      </w:pPr>
      <w:r>
        <w:tab/>
        <w:t>(4)</w:t>
      </w:r>
      <w:r>
        <w:tab/>
        <w:t>The court may, pending the return of the habeas corpus order, make an order about the custody of the person in custody.</w:t>
      </w:r>
    </w:p>
    <w:p w14:paraId="155CB53C" w14:textId="77777777" w:rsidR="008112BD" w:rsidRDefault="008112BD" w:rsidP="008112BD">
      <w:pPr>
        <w:pStyle w:val="AH5Sec"/>
      </w:pPr>
      <w:bookmarkStart w:id="1130" w:name="_Toc185514746"/>
      <w:r w:rsidRPr="00C8328B">
        <w:rPr>
          <w:rStyle w:val="CharSectNo"/>
        </w:rPr>
        <w:t>3507</w:t>
      </w:r>
      <w:r>
        <w:tab/>
        <w:t>Habeas corpus—return of order</w:t>
      </w:r>
      <w:bookmarkEnd w:id="1130"/>
    </w:p>
    <w:p w14:paraId="20A17319" w14:textId="77777777" w:rsidR="008112BD" w:rsidRDefault="008112BD" w:rsidP="008112BD">
      <w:pPr>
        <w:pStyle w:val="Amainreturn"/>
        <w:keepNext/>
      </w:pPr>
      <w:r>
        <w:t>On the return of a habeas corpus order, the court may do any of the following:</w:t>
      </w:r>
    </w:p>
    <w:p w14:paraId="6CC957AD" w14:textId="77777777" w:rsidR="008112BD" w:rsidRDefault="008112BD" w:rsidP="008112BD">
      <w:pPr>
        <w:pStyle w:val="Apara"/>
      </w:pPr>
      <w:r>
        <w:tab/>
        <w:t>(a)</w:t>
      </w:r>
      <w:r>
        <w:tab/>
        <w:t>receive further evidence in support of the application for release from custody;</w:t>
      </w:r>
    </w:p>
    <w:p w14:paraId="033580A3" w14:textId="77777777" w:rsidR="008112BD" w:rsidRDefault="008112BD" w:rsidP="008112BD">
      <w:pPr>
        <w:pStyle w:val="Apara"/>
      </w:pPr>
      <w:r>
        <w:tab/>
        <w:t>(b)</w:t>
      </w:r>
      <w:r>
        <w:tab/>
        <w:t>allow a person to whom the order is directed to show cause why the person should not be released from custody;</w:t>
      </w:r>
    </w:p>
    <w:p w14:paraId="36949933" w14:textId="77777777" w:rsidR="008112BD" w:rsidRDefault="008112BD" w:rsidP="008112BD">
      <w:pPr>
        <w:pStyle w:val="Apara"/>
      </w:pPr>
      <w:r>
        <w:tab/>
        <w:t>(c)</w:t>
      </w:r>
      <w:r>
        <w:tab/>
        <w:t>if it considers the person’s custody is unlawful—order the person’s release or other disposition;</w:t>
      </w:r>
    </w:p>
    <w:p w14:paraId="7DC604E7" w14:textId="77777777" w:rsidR="008112BD" w:rsidRDefault="008112BD" w:rsidP="008112BD">
      <w:pPr>
        <w:pStyle w:val="Apara"/>
      </w:pPr>
      <w:r>
        <w:tab/>
        <w:t>(d)</w:t>
      </w:r>
      <w:r>
        <w:tab/>
        <w:t>set aside the order;</w:t>
      </w:r>
    </w:p>
    <w:p w14:paraId="30B71EC9" w14:textId="77777777"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14:paraId="7C24CB13" w14:textId="77777777" w:rsidR="008112BD" w:rsidRDefault="008112BD" w:rsidP="008112BD">
      <w:pPr>
        <w:pStyle w:val="Apara"/>
      </w:pPr>
      <w:r>
        <w:tab/>
        <w:t>(f)</w:t>
      </w:r>
      <w:r>
        <w:tab/>
        <w:t>make an order or give directions about the disposal of the proceeding, or about the person in custody, it considers appropriate.</w:t>
      </w:r>
    </w:p>
    <w:p w14:paraId="2A8F91BD" w14:textId="77777777" w:rsidR="008112BD" w:rsidRDefault="008112BD" w:rsidP="008112BD">
      <w:pPr>
        <w:pStyle w:val="PageBreak"/>
      </w:pPr>
      <w:r>
        <w:br w:type="page"/>
      </w:r>
    </w:p>
    <w:p w14:paraId="60D6C09F" w14:textId="77777777" w:rsidR="008112BD" w:rsidRPr="00C8328B" w:rsidRDefault="008112BD" w:rsidP="008112BD">
      <w:pPr>
        <w:pStyle w:val="AH2Part"/>
      </w:pPr>
      <w:bookmarkStart w:id="1131" w:name="_Toc185514747"/>
      <w:r w:rsidRPr="00C8328B">
        <w:rPr>
          <w:rStyle w:val="CharPartNo"/>
        </w:rPr>
        <w:lastRenderedPageBreak/>
        <w:t>Part 3.10</w:t>
      </w:r>
      <w:r>
        <w:tab/>
      </w:r>
      <w:r w:rsidRPr="00C8328B">
        <w:rPr>
          <w:rStyle w:val="CharPartText"/>
        </w:rPr>
        <w:t>Judicial review</w:t>
      </w:r>
      <w:bookmarkEnd w:id="1131"/>
    </w:p>
    <w:p w14:paraId="29A8801C" w14:textId="77777777" w:rsidR="008112BD" w:rsidRDefault="008112BD" w:rsidP="008112BD">
      <w:pPr>
        <w:pStyle w:val="AH5Sec"/>
      </w:pPr>
      <w:bookmarkStart w:id="1132" w:name="_Toc185514748"/>
      <w:r w:rsidRPr="00C8328B">
        <w:rPr>
          <w:rStyle w:val="CharSectNo"/>
        </w:rPr>
        <w:t>3550</w:t>
      </w:r>
      <w:r>
        <w:tab/>
        <w:t>Definitions—pt 3.10</w:t>
      </w:r>
      <w:bookmarkEnd w:id="1132"/>
    </w:p>
    <w:p w14:paraId="40477EAD" w14:textId="77777777" w:rsidR="008112BD" w:rsidRDefault="008112BD" w:rsidP="008112BD">
      <w:pPr>
        <w:pStyle w:val="Amainreturn"/>
        <w:keepNext/>
      </w:pPr>
      <w:r>
        <w:t>In this part:</w:t>
      </w:r>
    </w:p>
    <w:p w14:paraId="11D377C9" w14:textId="77777777"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14:paraId="78A711B0" w14:textId="2CC4BB62" w:rsidR="008112BD" w:rsidRDefault="008112BD" w:rsidP="008112BD">
      <w:pPr>
        <w:pStyle w:val="aDef"/>
      </w:pPr>
      <w:r w:rsidRPr="00FE0788">
        <w:rPr>
          <w:rStyle w:val="charBoldItals"/>
        </w:rPr>
        <w:t>Judicial Review Act</w:t>
      </w:r>
      <w:r>
        <w:t xml:space="preserve"> means the </w:t>
      </w:r>
      <w:hyperlink r:id="rId459" w:tooltip="A1989-33" w:history="1">
        <w:r w:rsidRPr="00FE0788">
          <w:rPr>
            <w:rStyle w:val="charCitHyperlinkItal"/>
          </w:rPr>
          <w:t>Administrative Decisions (Judicial Review) Act 1989</w:t>
        </w:r>
      </w:hyperlink>
      <w:r>
        <w:t>.</w:t>
      </w:r>
    </w:p>
    <w:p w14:paraId="3C5E8B91" w14:textId="77777777" w:rsidR="008112BD" w:rsidRDefault="008112BD" w:rsidP="008112BD">
      <w:pPr>
        <w:pStyle w:val="aDef"/>
        <w:keepNext/>
      </w:pPr>
      <w:r w:rsidRPr="00FE0788">
        <w:rPr>
          <w:rStyle w:val="charBoldItals"/>
        </w:rPr>
        <w:t>judicial review application</w:t>
      </w:r>
      <w:r>
        <w:t xml:space="preserve"> means—</w:t>
      </w:r>
    </w:p>
    <w:p w14:paraId="121D129E" w14:textId="77777777" w:rsidR="008112BD" w:rsidRDefault="008112BD" w:rsidP="008112BD">
      <w:pPr>
        <w:pStyle w:val="aDefpara"/>
      </w:pPr>
      <w:r>
        <w:tab/>
        <w:t>(a)</w:t>
      </w:r>
      <w:r>
        <w:tab/>
        <w:t>an application for a statutory order of review; or</w:t>
      </w:r>
    </w:p>
    <w:p w14:paraId="0060022E" w14:textId="77777777" w:rsidR="008112BD" w:rsidRDefault="008112BD" w:rsidP="008112BD">
      <w:pPr>
        <w:pStyle w:val="aDefpara"/>
      </w:pPr>
      <w:r>
        <w:tab/>
        <w:t>(b)</w:t>
      </w:r>
      <w:r>
        <w:tab/>
        <w:t>an application for prerogative relief; or</w:t>
      </w:r>
    </w:p>
    <w:p w14:paraId="7E405CD3" w14:textId="77777777" w:rsidR="008112BD" w:rsidRDefault="008112BD" w:rsidP="008112BD">
      <w:pPr>
        <w:pStyle w:val="aDefpara"/>
      </w:pPr>
      <w:r>
        <w:tab/>
        <w:t>(c)</w:t>
      </w:r>
      <w:r>
        <w:tab/>
        <w:t>an application for a statutory order of review and prerogative relief; or</w:t>
      </w:r>
    </w:p>
    <w:p w14:paraId="0635FAC0" w14:textId="77777777" w:rsidR="008112BD" w:rsidRDefault="008112BD" w:rsidP="008112BD">
      <w:pPr>
        <w:pStyle w:val="aDefpara"/>
      </w:pPr>
      <w:r>
        <w:tab/>
        <w:t>(d)</w:t>
      </w:r>
      <w:r>
        <w:tab/>
        <w:t>an application mentioned in rule 3561 (Judicial review—application for statutory order of review and prerogative relief etc); or</w:t>
      </w:r>
    </w:p>
    <w:p w14:paraId="5FE14F6C" w14:textId="77777777"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14:paraId="61B0BA80" w14:textId="77777777"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14:paraId="53EF994A" w14:textId="77777777"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14:paraId="29D88F17" w14:textId="77777777" w:rsidR="008112BD" w:rsidRDefault="008112BD" w:rsidP="008112BD">
      <w:pPr>
        <w:pStyle w:val="aDef"/>
      </w:pPr>
      <w:r w:rsidRPr="00FE0788">
        <w:rPr>
          <w:rStyle w:val="charBoldItals"/>
        </w:rPr>
        <w:t xml:space="preserve">prerogative relief </w:t>
      </w:r>
      <w:r>
        <w:t>means a prerogative order, and includes a prerogative injunction or declaration.</w:t>
      </w:r>
    </w:p>
    <w:p w14:paraId="73F62BB6" w14:textId="77777777"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14:paraId="45F7D476" w14:textId="77777777"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14:paraId="4F9E89B5" w14:textId="77777777" w:rsidR="008112BD" w:rsidRDefault="008112BD" w:rsidP="008112BD">
      <w:pPr>
        <w:pStyle w:val="aDef"/>
        <w:keepNext/>
      </w:pPr>
      <w:r w:rsidRPr="00FE0788">
        <w:rPr>
          <w:rStyle w:val="charBoldItals"/>
        </w:rPr>
        <w:t>statutory order of review</w:t>
      </w:r>
      <w:r>
        <w:t xml:space="preserve"> means an order on an application made—</w:t>
      </w:r>
    </w:p>
    <w:p w14:paraId="1015D29A" w14:textId="740B97F2" w:rsidR="008112BD" w:rsidRDefault="008112BD" w:rsidP="008112BD">
      <w:pPr>
        <w:pStyle w:val="aDefpara"/>
      </w:pPr>
      <w:r>
        <w:tab/>
        <w:t>(a)</w:t>
      </w:r>
      <w:r>
        <w:tab/>
        <w:t xml:space="preserve">under the </w:t>
      </w:r>
      <w:hyperlink r:id="rId460" w:tooltip="A1989-33" w:history="1">
        <w:r w:rsidRPr="00BB6EDD">
          <w:rPr>
            <w:rStyle w:val="charCitHyperlinkAbbrev"/>
          </w:rPr>
          <w:t>Judicial Review Act</w:t>
        </w:r>
      </w:hyperlink>
      <w:r>
        <w:t>, section 5 (Applications for review of decisions) in relation to a decision to which that Act applies; or</w:t>
      </w:r>
    </w:p>
    <w:p w14:paraId="303D1C5D" w14:textId="1CDDBF1A" w:rsidR="008112BD" w:rsidRDefault="008112BD" w:rsidP="008112BD">
      <w:pPr>
        <w:pStyle w:val="aDefpara"/>
      </w:pPr>
      <w:r>
        <w:tab/>
        <w:t>(b)</w:t>
      </w:r>
      <w:r>
        <w:tab/>
        <w:t xml:space="preserve">under the </w:t>
      </w:r>
      <w:hyperlink r:id="rId461"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14:paraId="3375DB07" w14:textId="496C4CD1" w:rsidR="008112BD" w:rsidRDefault="008112BD" w:rsidP="008112BD">
      <w:pPr>
        <w:pStyle w:val="aDefpara"/>
      </w:pPr>
      <w:r>
        <w:tab/>
        <w:t>(c)</w:t>
      </w:r>
      <w:r>
        <w:tab/>
        <w:t xml:space="preserve">under the </w:t>
      </w:r>
      <w:hyperlink r:id="rId462" w:tooltip="A1989-33" w:history="1">
        <w:r w:rsidRPr="00BB6EDD">
          <w:rPr>
            <w:rStyle w:val="charCitHyperlinkAbbrev"/>
          </w:rPr>
          <w:t>Judicial Review Act</w:t>
        </w:r>
      </w:hyperlink>
      <w:r>
        <w:t>, section 7 (Applications for failures to make decisions) in relation to a failure to make a decision to which that Act applies.</w:t>
      </w:r>
    </w:p>
    <w:p w14:paraId="4B605AB5" w14:textId="77777777" w:rsidR="008112BD" w:rsidRDefault="008112BD" w:rsidP="008112BD">
      <w:pPr>
        <w:pStyle w:val="AH5Sec"/>
      </w:pPr>
      <w:bookmarkStart w:id="1133" w:name="_Toc185514749"/>
      <w:r w:rsidRPr="00C8328B">
        <w:rPr>
          <w:rStyle w:val="CharSectNo"/>
        </w:rPr>
        <w:t>3551</w:t>
      </w:r>
      <w:r>
        <w:tab/>
        <w:t>Terms defined in Judicial Review Act</w:t>
      </w:r>
      <w:bookmarkEnd w:id="1133"/>
    </w:p>
    <w:p w14:paraId="4A84B050" w14:textId="58E939CA" w:rsidR="008112BD" w:rsidRDefault="008112BD" w:rsidP="008112BD">
      <w:pPr>
        <w:pStyle w:val="Amainreturn"/>
        <w:keepNext/>
      </w:pPr>
      <w:r>
        <w:t xml:space="preserve">A term defined in the </w:t>
      </w:r>
      <w:hyperlink r:id="rId463" w:tooltip="A1989-33" w:history="1">
        <w:r w:rsidRPr="00BB6EDD">
          <w:rPr>
            <w:rStyle w:val="charCitHyperlinkAbbrev"/>
          </w:rPr>
          <w:t>Judicial Review Act</w:t>
        </w:r>
      </w:hyperlink>
      <w:r>
        <w:t xml:space="preserve"> has the same meaning in this part.</w:t>
      </w:r>
    </w:p>
    <w:p w14:paraId="5F6CCFBE" w14:textId="650B0632"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4" w:tooltip="A1989-33" w:history="1">
        <w:r w:rsidRPr="00BB6EDD">
          <w:rPr>
            <w:rStyle w:val="charCitHyperlinkAbbrev"/>
          </w:rPr>
          <w:t>Judicial Review Act</w:t>
        </w:r>
      </w:hyperlink>
      <w:r>
        <w:t xml:space="preserve"> defines the following terms:</w:t>
      </w:r>
    </w:p>
    <w:p w14:paraId="6C6A8E54" w14:textId="77777777"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14:paraId="4EE31258" w14:textId="77777777"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14:paraId="78438E1C" w14:textId="77777777"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14:paraId="52AFC7B3" w14:textId="77777777"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14:paraId="3C8CFDDC" w14:textId="77777777"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14:paraId="07F3C6FA" w14:textId="77777777" w:rsidR="008112BD" w:rsidRDefault="008112BD" w:rsidP="008112BD">
      <w:pPr>
        <w:pStyle w:val="AH5Sec"/>
      </w:pPr>
      <w:bookmarkStart w:id="1134" w:name="_Toc185514750"/>
      <w:r w:rsidRPr="00C8328B">
        <w:rPr>
          <w:rStyle w:val="CharSectNo"/>
        </w:rPr>
        <w:t>3552</w:t>
      </w:r>
      <w:r>
        <w:tab/>
        <w:t>Application—pt 3.10</w:t>
      </w:r>
      <w:bookmarkEnd w:id="1134"/>
    </w:p>
    <w:p w14:paraId="2E25276F" w14:textId="77777777" w:rsidR="008112BD" w:rsidRDefault="008112BD" w:rsidP="008112BD">
      <w:pPr>
        <w:pStyle w:val="Amainreturn"/>
      </w:pPr>
      <w:r>
        <w:t>This part applies only to the Supreme Court.</w:t>
      </w:r>
    </w:p>
    <w:p w14:paraId="62669328" w14:textId="77777777" w:rsidR="008112BD" w:rsidRDefault="008112BD" w:rsidP="008112BD">
      <w:pPr>
        <w:pStyle w:val="AH5Sec"/>
      </w:pPr>
      <w:bookmarkStart w:id="1135" w:name="_Toc185514751"/>
      <w:r w:rsidRPr="00C8328B">
        <w:rPr>
          <w:rStyle w:val="CharSectNo"/>
        </w:rPr>
        <w:lastRenderedPageBreak/>
        <w:t>3553</w:t>
      </w:r>
      <w:r>
        <w:tab/>
        <w:t>Judicial review—prerogative writs etc abolished</w:t>
      </w:r>
      <w:bookmarkEnd w:id="1135"/>
    </w:p>
    <w:p w14:paraId="14284A76" w14:textId="77777777" w:rsidR="008112BD" w:rsidRDefault="008112BD" w:rsidP="008112BD">
      <w:pPr>
        <w:pStyle w:val="Amain"/>
      </w:pPr>
      <w:r>
        <w:tab/>
        <w:t>(1)</w:t>
      </w:r>
      <w:r>
        <w:tab/>
        <w:t>The prerogative writs of mandamus, prohibition and certiorari are no longer to be issued by the Supreme Court.</w:t>
      </w:r>
    </w:p>
    <w:p w14:paraId="68BD5E0B" w14:textId="77777777"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14:paraId="43CDA948" w14:textId="77777777" w:rsidR="008112BD" w:rsidRDefault="008112BD" w:rsidP="008112BD">
      <w:pPr>
        <w:pStyle w:val="AH5Sec"/>
      </w:pPr>
      <w:bookmarkStart w:id="1136" w:name="_Toc185514752"/>
      <w:r w:rsidRPr="00C8328B">
        <w:rPr>
          <w:rStyle w:val="CharSectNo"/>
        </w:rPr>
        <w:t>3554</w:t>
      </w:r>
      <w:r>
        <w:tab/>
        <w:t>Judicial review—relief previously granted by prerogative writ etc</w:t>
      </w:r>
      <w:bookmarkEnd w:id="1136"/>
    </w:p>
    <w:p w14:paraId="43E40E77" w14:textId="77777777"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14:paraId="1F0BC6DF"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21D9121C" w14:textId="77777777" w:rsidR="008112BD" w:rsidRDefault="008112BD" w:rsidP="008112BD">
      <w:pPr>
        <w:pStyle w:val="Amain"/>
      </w:pPr>
      <w:r>
        <w:tab/>
        <w:t>(3)</w:t>
      </w:r>
      <w:r>
        <w:tab/>
        <w:t>For example, if—</w:t>
      </w:r>
    </w:p>
    <w:p w14:paraId="1F987F63" w14:textId="77777777" w:rsidR="008112BD" w:rsidRDefault="008112BD" w:rsidP="008112BD">
      <w:pPr>
        <w:pStyle w:val="Apara"/>
      </w:pPr>
      <w:r>
        <w:tab/>
        <w:t>(a)</w:t>
      </w:r>
      <w:r>
        <w:tab/>
        <w:t>someone acts in an office in which the person is not entitled to act; and</w:t>
      </w:r>
    </w:p>
    <w:p w14:paraId="385BA9D2" w14:textId="77777777"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14:paraId="2F8EA140" w14:textId="77777777" w:rsidR="008112BD" w:rsidRDefault="008112BD" w:rsidP="008112BD">
      <w:pPr>
        <w:pStyle w:val="Amainreturn"/>
        <w:keepNext/>
      </w:pPr>
      <w:r>
        <w:t>the court may—</w:t>
      </w:r>
    </w:p>
    <w:p w14:paraId="0DCCE46D" w14:textId="77777777" w:rsidR="008112BD" w:rsidRDefault="008112BD" w:rsidP="008112BD">
      <w:pPr>
        <w:pStyle w:val="Apara"/>
      </w:pPr>
      <w:r>
        <w:tab/>
        <w:t>(c)</w:t>
      </w:r>
      <w:r>
        <w:tab/>
        <w:t>grant an injunction restraining the person from acting in the office; and</w:t>
      </w:r>
    </w:p>
    <w:p w14:paraId="0863EAB7" w14:textId="77777777" w:rsidR="008112BD" w:rsidRDefault="008112BD" w:rsidP="00CF21B0">
      <w:pPr>
        <w:pStyle w:val="Apara"/>
      </w:pPr>
      <w:r>
        <w:tab/>
        <w:t>(d)</w:t>
      </w:r>
      <w:r>
        <w:tab/>
        <w:t>declare the office to be vacant.</w:t>
      </w:r>
    </w:p>
    <w:p w14:paraId="7C301C09" w14:textId="77777777" w:rsidR="008112BD" w:rsidRDefault="008112BD" w:rsidP="008112BD">
      <w:pPr>
        <w:pStyle w:val="AH5Sec"/>
      </w:pPr>
      <w:bookmarkStart w:id="1137" w:name="_Toc185514753"/>
      <w:r w:rsidRPr="00C8328B">
        <w:rPr>
          <w:rStyle w:val="CharSectNo"/>
        </w:rPr>
        <w:lastRenderedPageBreak/>
        <w:t>3555</w:t>
      </w:r>
      <w:r>
        <w:tab/>
        <w:t>Judicial review—other jurisdiction not excluded</w:t>
      </w:r>
      <w:bookmarkEnd w:id="1137"/>
    </w:p>
    <w:p w14:paraId="5CB06FE4" w14:textId="77777777" w:rsidR="008112BD" w:rsidRDefault="008112BD" w:rsidP="008112BD">
      <w:pPr>
        <w:pStyle w:val="Amainreturn"/>
        <w:keepNext/>
      </w:pPr>
      <w:r>
        <w:t>The existence of prerogative relief under this part does not exclude any other jurisdiction of the court to grant relief.</w:t>
      </w:r>
    </w:p>
    <w:p w14:paraId="77C169F2" w14:textId="6E50CF96" w:rsidR="008112BD" w:rsidRDefault="008112BD" w:rsidP="008112BD">
      <w:pPr>
        <w:pStyle w:val="aNote"/>
      </w:pPr>
      <w:r w:rsidRPr="00FE0788">
        <w:rPr>
          <w:rStyle w:val="charItals"/>
        </w:rPr>
        <w:t>Note</w:t>
      </w:r>
      <w:r w:rsidRPr="00FE0788">
        <w:rPr>
          <w:rStyle w:val="charItals"/>
        </w:rPr>
        <w:tab/>
      </w:r>
      <w:r>
        <w:t xml:space="preserve">The </w:t>
      </w:r>
      <w:hyperlink r:id="rId465"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14:paraId="520A6D3D" w14:textId="77777777" w:rsidR="008112BD" w:rsidRDefault="008112BD" w:rsidP="008112BD">
      <w:pPr>
        <w:pStyle w:val="AH5Sec"/>
      </w:pPr>
      <w:bookmarkStart w:id="1138" w:name="_Toc185514754"/>
      <w:r w:rsidRPr="00C8328B">
        <w:rPr>
          <w:rStyle w:val="CharSectNo"/>
        </w:rPr>
        <w:t>3556</w:t>
      </w:r>
      <w:r>
        <w:tab/>
        <w:t>Judicial review—application etc</w:t>
      </w:r>
      <w:bookmarkEnd w:id="1138"/>
    </w:p>
    <w:p w14:paraId="750D8E9B" w14:textId="77777777" w:rsidR="008112BD" w:rsidRDefault="008112BD" w:rsidP="008112BD">
      <w:pPr>
        <w:pStyle w:val="Amain"/>
        <w:keepNext/>
      </w:pPr>
      <w:r>
        <w:tab/>
        <w:t>(1)</w:t>
      </w:r>
      <w:r>
        <w:tab/>
        <w:t>A statutory order of review or prerogative relief must be sought by way of judicial review by originating application.</w:t>
      </w:r>
    </w:p>
    <w:p w14:paraId="2424BB29" w14:textId="711366ED"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66" w:history="1">
        <w:r w:rsidRPr="00E11B81">
          <w:rPr>
            <w:rStyle w:val="charCitHyperlinkAbbrev"/>
          </w:rPr>
          <w:t>AF2006-373</w:t>
        </w:r>
      </w:hyperlink>
      <w:r>
        <w:t>.</w:t>
      </w:r>
    </w:p>
    <w:p w14:paraId="302CC845" w14:textId="77777777"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14:paraId="410BD7A2" w14:textId="77777777" w:rsidR="008112BD" w:rsidRDefault="008112BD" w:rsidP="008112BD">
      <w:pPr>
        <w:pStyle w:val="Amain"/>
        <w:keepNext/>
      </w:pPr>
      <w:r>
        <w:tab/>
        <w:t>(2)</w:t>
      </w:r>
      <w:r>
        <w:tab/>
        <w:t>The application must state—</w:t>
      </w:r>
    </w:p>
    <w:p w14:paraId="7E5C3026" w14:textId="77777777" w:rsidR="008112BD" w:rsidRDefault="008112BD" w:rsidP="008112BD">
      <w:pPr>
        <w:pStyle w:val="Apara"/>
      </w:pPr>
      <w:r>
        <w:tab/>
        <w:t>(a)</w:t>
      </w:r>
      <w:r>
        <w:tab/>
        <w:t>if the grounds of the application include an allegation of fraud or bad faith—particulars of the fraud or bad faith on which the plaintiff relies; and</w:t>
      </w:r>
    </w:p>
    <w:p w14:paraId="31B01AE4" w14:textId="77777777"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14:paraId="4C0464AF" w14:textId="77777777"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14:paraId="5F976ED4" w14:textId="77777777"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4F83B260" w14:textId="77777777"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14:paraId="0A5EF448" w14:textId="77777777" w:rsidR="008112BD" w:rsidRDefault="008112BD" w:rsidP="008112BD">
      <w:pPr>
        <w:pStyle w:val="Amain"/>
      </w:pPr>
      <w:r>
        <w:tab/>
        <w:t>(4)</w:t>
      </w:r>
      <w:r>
        <w:tab/>
        <w:t>A person must be included as a defendant to the application if—</w:t>
      </w:r>
    </w:p>
    <w:p w14:paraId="77CE14BE" w14:textId="77777777" w:rsidR="008112BD" w:rsidRDefault="008112BD" w:rsidP="008112BD">
      <w:pPr>
        <w:pStyle w:val="Apara"/>
      </w:pPr>
      <w:r>
        <w:tab/>
        <w:t>(a)</w:t>
      </w:r>
      <w:r>
        <w:tab/>
        <w:t>the application relates to a decision made by an entity authorised to make the decision, and the person—</w:t>
      </w:r>
    </w:p>
    <w:p w14:paraId="37FEABC5" w14:textId="77777777" w:rsidR="008112BD" w:rsidRDefault="008112BD" w:rsidP="008112BD">
      <w:pPr>
        <w:pStyle w:val="Asubpara"/>
      </w:pPr>
      <w:r>
        <w:tab/>
        <w:t>(i)</w:t>
      </w:r>
      <w:r>
        <w:tab/>
        <w:t>appeared, or was given leave to appear, before the entity; and</w:t>
      </w:r>
    </w:p>
    <w:p w14:paraId="40106A06" w14:textId="77777777" w:rsidR="008112BD" w:rsidRDefault="008112BD" w:rsidP="008112BD">
      <w:pPr>
        <w:pStyle w:val="Asubpara"/>
      </w:pPr>
      <w:r>
        <w:tab/>
        <w:t>(ii)</w:t>
      </w:r>
      <w:r>
        <w:tab/>
        <w:t>would be directly affected by the relief sought in the application or is interested in maintaining the decision; or</w:t>
      </w:r>
    </w:p>
    <w:p w14:paraId="50C050A1" w14:textId="77777777"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14:paraId="7CE21244" w14:textId="77777777" w:rsidR="008112BD" w:rsidRDefault="008112BD" w:rsidP="008112BD">
      <w:pPr>
        <w:pStyle w:val="Asubpara"/>
      </w:pPr>
      <w:r>
        <w:tab/>
        <w:t>(i)</w:t>
      </w:r>
      <w:r>
        <w:tab/>
        <w:t>appeared, or was given leave to appear, before the entity; and</w:t>
      </w:r>
    </w:p>
    <w:p w14:paraId="07E3BC7C" w14:textId="77777777" w:rsidR="008112BD" w:rsidRDefault="008112BD" w:rsidP="008112BD">
      <w:pPr>
        <w:pStyle w:val="Asubpara"/>
      </w:pPr>
      <w:r>
        <w:tab/>
        <w:t>(ii)</w:t>
      </w:r>
      <w:r>
        <w:tab/>
        <w:t>would be directly affected by the relief sought in the application or is interested in maintaining the decision; or</w:t>
      </w:r>
    </w:p>
    <w:p w14:paraId="46C2853D" w14:textId="77777777" w:rsidR="008112BD" w:rsidRDefault="008112BD" w:rsidP="008112BD">
      <w:pPr>
        <w:pStyle w:val="Apara"/>
      </w:pPr>
      <w:r>
        <w:tab/>
        <w:t>(c)</w:t>
      </w:r>
      <w:r>
        <w:tab/>
        <w:t>for a statutory order of review—the application relates to a failure by an entity to make a decision to which the Judicial Review Act applies, and the person—</w:t>
      </w:r>
    </w:p>
    <w:p w14:paraId="2F7E44BC" w14:textId="77777777" w:rsidR="008112BD" w:rsidRDefault="008112BD" w:rsidP="008112BD">
      <w:pPr>
        <w:pStyle w:val="Asubpara"/>
      </w:pPr>
      <w:r>
        <w:tab/>
        <w:t>(i)</w:t>
      </w:r>
      <w:r>
        <w:tab/>
        <w:t>appeared, or was given leave to appear, before the entity; and</w:t>
      </w:r>
    </w:p>
    <w:p w14:paraId="1A1FB664" w14:textId="77777777" w:rsidR="008112BD" w:rsidRDefault="008112BD" w:rsidP="008112BD">
      <w:pPr>
        <w:pStyle w:val="Asubpara"/>
        <w:keepNext/>
      </w:pPr>
      <w:r>
        <w:tab/>
        <w:t>(ii)</w:t>
      </w:r>
      <w:r>
        <w:tab/>
        <w:t>would be directly affected by the relief sought in the application.</w:t>
      </w:r>
    </w:p>
    <w:p w14:paraId="4DA4E8DA" w14:textId="643281C9"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67"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14:paraId="4A85DAD2" w14:textId="77777777"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14:paraId="0C288C26" w14:textId="77777777" w:rsidR="008112BD" w:rsidRDefault="008112BD" w:rsidP="008112BD">
      <w:pPr>
        <w:pStyle w:val="Amain"/>
      </w:pPr>
      <w:r>
        <w:tab/>
        <w:t>(6)</w:t>
      </w:r>
      <w:r>
        <w:tab/>
        <w:t>The application must be accompanied by a supporting affidavit.</w:t>
      </w:r>
    </w:p>
    <w:p w14:paraId="0A9549D3" w14:textId="77777777" w:rsidR="008112BD" w:rsidRDefault="008112BD" w:rsidP="008112BD">
      <w:pPr>
        <w:pStyle w:val="Amain"/>
      </w:pPr>
      <w:r>
        <w:tab/>
        <w:t>(7)</w:t>
      </w:r>
      <w:r>
        <w:tab/>
        <w:t>The supporting affidavit must contain—</w:t>
      </w:r>
    </w:p>
    <w:p w14:paraId="1C3DEA16" w14:textId="77777777" w:rsidR="008112BD" w:rsidRDefault="008112BD" w:rsidP="008112BD">
      <w:pPr>
        <w:pStyle w:val="Apara"/>
      </w:pPr>
      <w:r>
        <w:tab/>
        <w:t>(a)</w:t>
      </w:r>
      <w:r>
        <w:tab/>
        <w:t>the grounds relied on in support of the relief sought; and</w:t>
      </w:r>
    </w:p>
    <w:p w14:paraId="0E4A1DF2" w14:textId="77777777" w:rsidR="008112BD" w:rsidRDefault="008112BD" w:rsidP="008112BD">
      <w:pPr>
        <w:pStyle w:val="Apara"/>
      </w:pPr>
      <w:r>
        <w:tab/>
        <w:t>(b)</w:t>
      </w:r>
      <w:r>
        <w:tab/>
        <w:t>the facts relied on.</w:t>
      </w:r>
    </w:p>
    <w:p w14:paraId="4C6B791F" w14:textId="77777777" w:rsidR="008112BD" w:rsidRDefault="008112BD" w:rsidP="008112BD">
      <w:pPr>
        <w:pStyle w:val="Amain"/>
      </w:pPr>
      <w:r>
        <w:tab/>
        <w:t>(8)</w:t>
      </w:r>
      <w:r>
        <w:tab/>
        <w:t>If subrule (2) (b) applies, but has not been complied with, a ground mentioned in the subrule must not be relied on.</w:t>
      </w:r>
    </w:p>
    <w:p w14:paraId="52127A8B" w14:textId="77777777" w:rsidR="008112BD" w:rsidRDefault="008112BD" w:rsidP="008112BD">
      <w:pPr>
        <w:pStyle w:val="Amain"/>
      </w:pPr>
      <w:r>
        <w:tab/>
        <w:t>(9)</w:t>
      </w:r>
      <w:r>
        <w:tab/>
        <w:t>If subrule (2) (c) applies, but has not been complied with, a ground mentioned in the subrule must not be relied on without the court’s leave.</w:t>
      </w:r>
    </w:p>
    <w:p w14:paraId="29F40FFF" w14:textId="77777777" w:rsidR="008112BD" w:rsidRDefault="008112BD" w:rsidP="008112BD">
      <w:pPr>
        <w:pStyle w:val="AH5Sec"/>
      </w:pPr>
      <w:bookmarkStart w:id="1139" w:name="_Toc185514755"/>
      <w:r w:rsidRPr="00C8328B">
        <w:rPr>
          <w:rStyle w:val="CharSectNo"/>
        </w:rPr>
        <w:t>3557</w:t>
      </w:r>
      <w:r>
        <w:tab/>
        <w:t>Judicial review—time for starting proceeding</w:t>
      </w:r>
      <w:bookmarkEnd w:id="1139"/>
    </w:p>
    <w:p w14:paraId="131679E3" w14:textId="77777777" w:rsidR="008112BD" w:rsidRDefault="008112BD" w:rsidP="008112BD">
      <w:pPr>
        <w:pStyle w:val="Amain"/>
        <w:keepNext/>
      </w:pPr>
      <w:r>
        <w:tab/>
        <w:t>(1)</w:t>
      </w:r>
      <w:r>
        <w:tab/>
        <w:t>This rule applies in relation to an application for prerogative relief.</w:t>
      </w:r>
    </w:p>
    <w:p w14:paraId="604EC18B" w14:textId="0E9DC92D"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68" w:tooltip="A1989-33" w:history="1">
        <w:r w:rsidRPr="00BB6EDD">
          <w:rPr>
            <w:rStyle w:val="charCitHyperlinkAbbrev"/>
          </w:rPr>
          <w:t>Judicial Review Act</w:t>
        </w:r>
      </w:hyperlink>
      <w:r>
        <w:t>, s 10 (Period in which application for order of review must be made).</w:t>
      </w:r>
    </w:p>
    <w:p w14:paraId="4863E7A8" w14:textId="77777777" w:rsidR="008112BD" w:rsidRDefault="008112BD" w:rsidP="008112BD">
      <w:pPr>
        <w:pStyle w:val="Amain"/>
      </w:pPr>
      <w:r>
        <w:tab/>
        <w:t>(2)</w:t>
      </w:r>
      <w:r>
        <w:tab/>
        <w:t>The application must be filed in the court not later than 60 days after the day when the grounds for the grant of the relief sought first arose.</w:t>
      </w:r>
    </w:p>
    <w:p w14:paraId="3BBB0308" w14:textId="77777777"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14:paraId="10700C12" w14:textId="77777777" w:rsidR="008112BD" w:rsidRDefault="008112BD" w:rsidP="008112BD">
      <w:pPr>
        <w:pStyle w:val="Amain"/>
        <w:keepNext/>
      </w:pPr>
      <w:r>
        <w:tab/>
        <w:t>(4)</w:t>
      </w:r>
      <w:r>
        <w:tab/>
        <w:t>The court may extend the time mentioned in subrule (2) only in special circumstances.</w:t>
      </w:r>
    </w:p>
    <w:p w14:paraId="358BD0ED"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14:paraId="4FDAEB63" w14:textId="77777777" w:rsidR="008112BD" w:rsidRDefault="008112BD" w:rsidP="008112BD">
      <w:pPr>
        <w:pStyle w:val="AH5Sec"/>
      </w:pPr>
      <w:bookmarkStart w:id="1140" w:name="_Toc185514756"/>
      <w:r w:rsidRPr="00C8328B">
        <w:rPr>
          <w:rStyle w:val="CharSectNo"/>
        </w:rPr>
        <w:lastRenderedPageBreak/>
        <w:t>3558</w:t>
      </w:r>
      <w:r>
        <w:tab/>
        <w:t>Judicial review—declaration or injunction</w:t>
      </w:r>
      <w:bookmarkEnd w:id="1140"/>
    </w:p>
    <w:p w14:paraId="1C852642" w14:textId="77777777" w:rsidR="008112BD" w:rsidRDefault="008112BD" w:rsidP="008112BD">
      <w:pPr>
        <w:pStyle w:val="Amain"/>
      </w:pPr>
      <w:r>
        <w:tab/>
        <w:t>(1)</w:t>
      </w:r>
      <w:r>
        <w:tab/>
        <w:t>A declaration or injunction (other than a prerogative injunction) may also be sought in an application for prerogative relief if appropriate, having regard to—</w:t>
      </w:r>
    </w:p>
    <w:p w14:paraId="3B197E08" w14:textId="77777777" w:rsidR="008112BD" w:rsidRDefault="008112BD" w:rsidP="008112BD">
      <w:pPr>
        <w:pStyle w:val="Apara"/>
      </w:pPr>
      <w:r>
        <w:tab/>
        <w:t>(a)</w:t>
      </w:r>
      <w:r>
        <w:tab/>
        <w:t>the nature of the matters in relation to which relief may be sought; and</w:t>
      </w:r>
    </w:p>
    <w:p w14:paraId="5C04BA64" w14:textId="77777777" w:rsidR="008112BD" w:rsidRDefault="008112BD" w:rsidP="008112BD">
      <w:pPr>
        <w:pStyle w:val="Apara"/>
      </w:pPr>
      <w:r>
        <w:tab/>
        <w:t>(b)</w:t>
      </w:r>
      <w:r>
        <w:tab/>
        <w:t>the nature of the entities against whom relief may be sought; and</w:t>
      </w:r>
    </w:p>
    <w:p w14:paraId="3C6F8517" w14:textId="77777777" w:rsidR="008112BD" w:rsidRDefault="008112BD" w:rsidP="008112BD">
      <w:pPr>
        <w:pStyle w:val="Apara"/>
      </w:pPr>
      <w:r>
        <w:tab/>
        <w:t>(c)</w:t>
      </w:r>
      <w:r>
        <w:tab/>
        <w:t>all the other circumstances of the case.</w:t>
      </w:r>
    </w:p>
    <w:p w14:paraId="1D519960" w14:textId="77777777"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14:paraId="5E75BF6E" w14:textId="77777777" w:rsidR="008112BD" w:rsidRDefault="008112BD" w:rsidP="008112BD">
      <w:pPr>
        <w:pStyle w:val="Amain"/>
      </w:pPr>
      <w:r>
        <w:tab/>
        <w:t>(3)</w:t>
      </w:r>
      <w:r>
        <w:tab/>
        <w:t>However, if the court considers that—</w:t>
      </w:r>
    </w:p>
    <w:p w14:paraId="663DCAB5" w14:textId="77777777" w:rsidR="008112BD" w:rsidRDefault="008112BD" w:rsidP="008112BD">
      <w:pPr>
        <w:pStyle w:val="Apara"/>
      </w:pPr>
      <w:r>
        <w:tab/>
        <w:t>(a)</w:t>
      </w:r>
      <w:r>
        <w:tab/>
        <w:t>the declaration or injunction mentioned in subrule (1) should not be granted in the application for prerogative relief; and</w:t>
      </w:r>
    </w:p>
    <w:p w14:paraId="6B96633C" w14:textId="77777777"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14:paraId="0369DAB4" w14:textId="77777777" w:rsidR="008112BD" w:rsidRDefault="008112BD" w:rsidP="008112BD">
      <w:pPr>
        <w:pStyle w:val="Amainreturn"/>
        <w:keepNext/>
      </w:pPr>
      <w:r>
        <w:t>the court may, instead of refusing the application, order the proceeding to continue as if it had been started in the way mentioned in paragraph (b).</w:t>
      </w:r>
    </w:p>
    <w:p w14:paraId="0EF7E012" w14:textId="412DC6A1"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69" w:tooltip="A1989-33" w:history="1">
        <w:r w:rsidRPr="00BB6EDD">
          <w:rPr>
            <w:rStyle w:val="charCitHyperlinkAbbrev"/>
          </w:rPr>
          <w:t>Judicial Review Act</w:t>
        </w:r>
      </w:hyperlink>
      <w:r>
        <w:t>, s 8 (Effect of Act on other rights).</w:t>
      </w:r>
    </w:p>
    <w:p w14:paraId="565BBA40" w14:textId="77777777" w:rsidR="008112BD" w:rsidRDefault="008112BD" w:rsidP="008112BD">
      <w:pPr>
        <w:pStyle w:val="AH5Sec"/>
      </w:pPr>
      <w:bookmarkStart w:id="1141" w:name="_Toc185514757"/>
      <w:r w:rsidRPr="00C8328B">
        <w:rPr>
          <w:rStyle w:val="CharSectNo"/>
        </w:rPr>
        <w:t>3559</w:t>
      </w:r>
      <w:r>
        <w:tab/>
        <w:t>Judicial review—other prerogative relief etc</w:t>
      </w:r>
      <w:bookmarkEnd w:id="1141"/>
    </w:p>
    <w:p w14:paraId="18050D6F" w14:textId="77777777" w:rsidR="008112BD" w:rsidRDefault="008112BD" w:rsidP="008112BD">
      <w:pPr>
        <w:pStyle w:val="Amainreturn"/>
      </w:pPr>
      <w:r>
        <w:t>On an application for prerogative relief—</w:t>
      </w:r>
    </w:p>
    <w:p w14:paraId="14E1092F" w14:textId="77777777"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14:paraId="182A09D9" w14:textId="77777777"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14:paraId="1FC87F09" w14:textId="26CB4FCD"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0" w:tooltip="A1989-33" w:history="1">
        <w:r w:rsidRPr="00BB6EDD">
          <w:rPr>
            <w:rStyle w:val="charCitHyperlinkAbbrev"/>
          </w:rPr>
          <w:t>Judicial Review Act</w:t>
        </w:r>
      </w:hyperlink>
      <w:r>
        <w:t>, s 8 (Effect of Act on other rights) and s 11 (Application for order of review not limited to grounds in application).</w:t>
      </w:r>
    </w:p>
    <w:p w14:paraId="69BE2E65" w14:textId="77777777" w:rsidR="008112BD" w:rsidRDefault="008112BD" w:rsidP="008112BD">
      <w:pPr>
        <w:pStyle w:val="AH5Sec"/>
      </w:pPr>
      <w:bookmarkStart w:id="1142" w:name="_Toc185514758"/>
      <w:r w:rsidRPr="00C8328B">
        <w:rPr>
          <w:rStyle w:val="CharSectNo"/>
        </w:rPr>
        <w:t>3560</w:t>
      </w:r>
      <w:r>
        <w:tab/>
        <w:t>Judicial review—additional orders</w:t>
      </w:r>
      <w:bookmarkEnd w:id="1142"/>
    </w:p>
    <w:p w14:paraId="4006C663" w14:textId="77777777" w:rsidR="008112BD" w:rsidRDefault="008112BD" w:rsidP="008112BD">
      <w:pPr>
        <w:pStyle w:val="Amain"/>
        <w:keepNext/>
      </w:pPr>
      <w:r>
        <w:tab/>
        <w:t>(1)</w:t>
      </w:r>
      <w:r>
        <w:tab/>
        <w:t>If—</w:t>
      </w:r>
    </w:p>
    <w:p w14:paraId="5EF59ACE" w14:textId="77777777" w:rsidR="008112BD" w:rsidRDefault="008112BD" w:rsidP="008112BD">
      <w:pPr>
        <w:pStyle w:val="Apara"/>
      </w:pPr>
      <w:r>
        <w:tab/>
        <w:t>(a)</w:t>
      </w:r>
      <w:r>
        <w:tab/>
        <w:t>the relief sought in an application for prerogative relief is a certiorari order in relation to an order of an entity; and</w:t>
      </w:r>
    </w:p>
    <w:p w14:paraId="0F40BEAF" w14:textId="77777777" w:rsidR="008112BD" w:rsidRDefault="008112BD" w:rsidP="008112BD">
      <w:pPr>
        <w:pStyle w:val="Apara"/>
      </w:pPr>
      <w:r>
        <w:tab/>
        <w:t>(b)</w:t>
      </w:r>
      <w:r>
        <w:tab/>
        <w:t>the court is satisfied that there are grounds for setting the order aside;</w:t>
      </w:r>
    </w:p>
    <w:p w14:paraId="41DFFDFD" w14:textId="77777777"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14:paraId="491FB883" w14:textId="77777777"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14:paraId="60F65F1E" w14:textId="77777777" w:rsidR="008112BD" w:rsidRDefault="008112BD" w:rsidP="008112BD">
      <w:pPr>
        <w:pStyle w:val="Apara"/>
      </w:pPr>
      <w:r>
        <w:tab/>
        <w:t>(a)</w:t>
      </w:r>
      <w:r>
        <w:tab/>
        <w:t>by order, suspend the operation of the order, either indefinitely or until further order of the court; or</w:t>
      </w:r>
    </w:p>
    <w:p w14:paraId="66ABE075" w14:textId="77777777" w:rsidR="008112BD" w:rsidRDefault="008112BD" w:rsidP="008112BD">
      <w:pPr>
        <w:pStyle w:val="Apara"/>
      </w:pPr>
      <w:r>
        <w:tab/>
        <w:t>(b)</w:t>
      </w:r>
      <w:r>
        <w:tab/>
        <w:t>order a stay of the proceeding until—</w:t>
      </w:r>
    </w:p>
    <w:p w14:paraId="6ACECB2F" w14:textId="77777777" w:rsidR="008112BD" w:rsidRDefault="008112BD" w:rsidP="008112BD">
      <w:pPr>
        <w:pStyle w:val="Asubpara"/>
      </w:pPr>
      <w:r>
        <w:tab/>
        <w:t>(i)</w:t>
      </w:r>
      <w:r>
        <w:tab/>
        <w:t>the application is decided; or</w:t>
      </w:r>
    </w:p>
    <w:p w14:paraId="1A55AC62" w14:textId="77777777" w:rsidR="008112BD" w:rsidRDefault="008112BD" w:rsidP="008112BD">
      <w:pPr>
        <w:pStyle w:val="Asubpara"/>
        <w:keepNext/>
      </w:pPr>
      <w:r>
        <w:tab/>
        <w:t>(ii)</w:t>
      </w:r>
      <w:r>
        <w:tab/>
        <w:t>another time that the court orders.</w:t>
      </w:r>
    </w:p>
    <w:p w14:paraId="63C2EB10" w14:textId="6FA155D9"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1" w:tooltip="A1989-33" w:history="1">
        <w:r w:rsidRPr="00BB6EDD">
          <w:rPr>
            <w:rStyle w:val="charCitHyperlinkAbbrev"/>
          </w:rPr>
          <w:t>Judicial Review Act</w:t>
        </w:r>
      </w:hyperlink>
      <w:r>
        <w:t>, s 16 (Stay of proceedings) and s 17 (Powers of Supreme Court in relation to applications for order of review).</w:t>
      </w:r>
    </w:p>
    <w:p w14:paraId="47C0BF3F" w14:textId="77777777" w:rsidR="008112BD" w:rsidRDefault="008112BD" w:rsidP="008112BD">
      <w:pPr>
        <w:pStyle w:val="AH5Sec"/>
      </w:pPr>
      <w:bookmarkStart w:id="1143" w:name="_Toc185514759"/>
      <w:r w:rsidRPr="00C8328B">
        <w:rPr>
          <w:rStyle w:val="CharSectNo"/>
        </w:rPr>
        <w:lastRenderedPageBreak/>
        <w:t>3561</w:t>
      </w:r>
      <w:r>
        <w:tab/>
        <w:t>Judicial review—application for statutory order of review and prerogative relief etc</w:t>
      </w:r>
      <w:bookmarkEnd w:id="1143"/>
    </w:p>
    <w:p w14:paraId="4875A615" w14:textId="77777777" w:rsidR="008112BD" w:rsidRDefault="008112BD" w:rsidP="008112BD">
      <w:pPr>
        <w:pStyle w:val="Amain"/>
        <w:keepNext/>
      </w:pPr>
      <w:r>
        <w:tab/>
        <w:t>(1)</w:t>
      </w:r>
      <w:r>
        <w:tab/>
        <w:t>This rule applies if the following relate to the same matter:</w:t>
      </w:r>
    </w:p>
    <w:p w14:paraId="6471576E" w14:textId="77777777" w:rsidR="008112BD" w:rsidRDefault="008112BD" w:rsidP="008112BD">
      <w:pPr>
        <w:pStyle w:val="Apara"/>
      </w:pPr>
      <w:r>
        <w:tab/>
        <w:t>(a)</w:t>
      </w:r>
      <w:r>
        <w:tab/>
        <w:t>an application for a statutory order of review;</w:t>
      </w:r>
    </w:p>
    <w:p w14:paraId="6B341510" w14:textId="77777777" w:rsidR="008112BD" w:rsidRDefault="008112BD" w:rsidP="008112BD">
      <w:pPr>
        <w:pStyle w:val="Apara"/>
      </w:pPr>
      <w:r>
        <w:tab/>
        <w:t>(b)</w:t>
      </w:r>
      <w:r>
        <w:tab/>
        <w:t>an application for—</w:t>
      </w:r>
    </w:p>
    <w:p w14:paraId="4818FB8D" w14:textId="77777777" w:rsidR="008112BD" w:rsidRDefault="008112BD" w:rsidP="008112BD">
      <w:pPr>
        <w:pStyle w:val="Asubpara"/>
      </w:pPr>
      <w:r>
        <w:tab/>
        <w:t>(i)</w:t>
      </w:r>
      <w:r>
        <w:tab/>
        <w:t>prerogative relief; or</w:t>
      </w:r>
    </w:p>
    <w:p w14:paraId="01772A11" w14:textId="77777777" w:rsidR="008112BD" w:rsidRDefault="008112BD" w:rsidP="008112BD">
      <w:pPr>
        <w:pStyle w:val="Asubpara"/>
      </w:pPr>
      <w:r>
        <w:tab/>
        <w:t>(ii)</w:t>
      </w:r>
      <w:r>
        <w:tab/>
        <w:t>prerogative relief and a declaration or injunction mentioned in rule 3558 (1) (Judicial review—declaration or injunction).</w:t>
      </w:r>
    </w:p>
    <w:p w14:paraId="5395797C" w14:textId="77777777" w:rsidR="008112BD" w:rsidRDefault="008112BD" w:rsidP="008112BD">
      <w:pPr>
        <w:pStyle w:val="Amain"/>
        <w:keepNext/>
      </w:pPr>
      <w:r>
        <w:tab/>
        <w:t>(2)</w:t>
      </w:r>
      <w:r>
        <w:tab/>
        <w:t>The applications may be made in a single application.</w:t>
      </w:r>
    </w:p>
    <w:p w14:paraId="28626370" w14:textId="651083A3" w:rsidR="008112BD" w:rsidRDefault="008112BD" w:rsidP="008112BD">
      <w:pPr>
        <w:pStyle w:val="aNote"/>
      </w:pPr>
      <w:r w:rsidRPr="00FE0788">
        <w:rPr>
          <w:rStyle w:val="charItals"/>
        </w:rPr>
        <w:t>Note</w:t>
      </w:r>
      <w:r w:rsidRPr="00FE0788">
        <w:rPr>
          <w:rStyle w:val="charItals"/>
        </w:rPr>
        <w:tab/>
      </w:r>
      <w:r>
        <w:t xml:space="preserve">See the </w:t>
      </w:r>
      <w:hyperlink r:id="rId472" w:tooltip="A1989-33" w:history="1">
        <w:r w:rsidRPr="00BB6EDD">
          <w:rPr>
            <w:rStyle w:val="charCitHyperlinkAbbrev"/>
          </w:rPr>
          <w:t>Judicial Review Act</w:t>
        </w:r>
      </w:hyperlink>
      <w:r>
        <w:t>, s 8 (Effect of Act on other rights).</w:t>
      </w:r>
    </w:p>
    <w:p w14:paraId="618D9960" w14:textId="77777777" w:rsidR="008112BD" w:rsidRDefault="008112BD" w:rsidP="008112BD">
      <w:pPr>
        <w:pStyle w:val="AH5Sec"/>
      </w:pPr>
      <w:bookmarkStart w:id="1144" w:name="_Toc185514760"/>
      <w:r w:rsidRPr="00C8328B">
        <w:rPr>
          <w:rStyle w:val="CharSectNo"/>
        </w:rPr>
        <w:t>3562</w:t>
      </w:r>
      <w:r>
        <w:tab/>
        <w:t>Judicial review—relief based on application for prerogative relief etc if application made for statutory order of review</w:t>
      </w:r>
      <w:bookmarkEnd w:id="1144"/>
    </w:p>
    <w:p w14:paraId="1041E1FA" w14:textId="77777777" w:rsidR="008112BD" w:rsidRDefault="008112BD" w:rsidP="008112BD">
      <w:pPr>
        <w:pStyle w:val="Amain"/>
      </w:pPr>
      <w:r>
        <w:tab/>
        <w:t>(1)</w:t>
      </w:r>
      <w:r>
        <w:tab/>
        <w:t>This rule applies if—</w:t>
      </w:r>
    </w:p>
    <w:p w14:paraId="4A86EF17" w14:textId="77777777" w:rsidR="008112BD" w:rsidRDefault="008112BD" w:rsidP="008112BD">
      <w:pPr>
        <w:pStyle w:val="Apara"/>
      </w:pPr>
      <w:r>
        <w:tab/>
        <w:t>(a)</w:t>
      </w:r>
      <w:r>
        <w:tab/>
        <w:t>an application is made under this part for a statutory order of review in relation to—</w:t>
      </w:r>
    </w:p>
    <w:p w14:paraId="358F12D5" w14:textId="77777777" w:rsidR="008112BD" w:rsidRDefault="008112BD" w:rsidP="008112BD">
      <w:pPr>
        <w:pStyle w:val="Asubpara"/>
      </w:pPr>
      <w:r>
        <w:tab/>
        <w:t>(i)</w:t>
      </w:r>
      <w:r>
        <w:tab/>
        <w:t>a decision; or</w:t>
      </w:r>
    </w:p>
    <w:p w14:paraId="4CD2482D" w14:textId="77777777" w:rsidR="008112BD" w:rsidRDefault="008112BD" w:rsidP="008112BD">
      <w:pPr>
        <w:pStyle w:val="Asubpara"/>
      </w:pPr>
      <w:r>
        <w:tab/>
        <w:t>(ii)</w:t>
      </w:r>
      <w:r>
        <w:tab/>
        <w:t>conduct engaged in, or proposed to be engaged in, for the purpose of making a decision; or</w:t>
      </w:r>
    </w:p>
    <w:p w14:paraId="3A27B52C" w14:textId="77777777" w:rsidR="008112BD" w:rsidRDefault="008112BD" w:rsidP="008112BD">
      <w:pPr>
        <w:pStyle w:val="Asubpara"/>
      </w:pPr>
      <w:r>
        <w:tab/>
        <w:t>(iii)</w:t>
      </w:r>
      <w:r>
        <w:tab/>
        <w:t>a failure to make a decision; and</w:t>
      </w:r>
    </w:p>
    <w:p w14:paraId="205E361F" w14:textId="77777777" w:rsidR="008112BD" w:rsidRDefault="008112BD" w:rsidP="008112BD">
      <w:pPr>
        <w:pStyle w:val="Apara"/>
        <w:keepNext/>
      </w:pPr>
      <w:r>
        <w:tab/>
        <w:t>(b)</w:t>
      </w:r>
      <w:r>
        <w:tab/>
        <w:t>the court considers—</w:t>
      </w:r>
    </w:p>
    <w:p w14:paraId="594F14A2" w14:textId="4BCE02D9" w:rsidR="008112BD" w:rsidRDefault="008112BD" w:rsidP="008112BD">
      <w:pPr>
        <w:pStyle w:val="Asubpara"/>
      </w:pPr>
      <w:r>
        <w:tab/>
        <w:t>(i)</w:t>
      </w:r>
      <w:r>
        <w:tab/>
        <w:t xml:space="preserve">the decision is not a decision to which this Act applies as defined in the </w:t>
      </w:r>
      <w:hyperlink r:id="rId473" w:tooltip="A1989-33" w:history="1">
        <w:r w:rsidRPr="00BB6EDD">
          <w:rPr>
            <w:rStyle w:val="charCitHyperlinkAbbrev"/>
          </w:rPr>
          <w:t>Judicial Review Act</w:t>
        </w:r>
      </w:hyperlink>
      <w:r>
        <w:t>, dictionary; and</w:t>
      </w:r>
    </w:p>
    <w:p w14:paraId="49D76EBB" w14:textId="77777777"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14:paraId="68BFDAA4" w14:textId="77777777" w:rsidR="008112BD" w:rsidRDefault="008112BD" w:rsidP="008112BD">
      <w:pPr>
        <w:pStyle w:val="Amain"/>
      </w:pPr>
      <w:r>
        <w:tab/>
        <w:t>(2)</w:t>
      </w:r>
      <w:r>
        <w:tab/>
        <w:t>The court may, instead of refusing the application, order the proceeding to continue as if it had been started as an application for prerogative relief.</w:t>
      </w:r>
    </w:p>
    <w:p w14:paraId="2333B633" w14:textId="77777777" w:rsidR="008112BD" w:rsidRDefault="008112BD" w:rsidP="008112BD">
      <w:pPr>
        <w:pStyle w:val="AH5Sec"/>
      </w:pPr>
      <w:bookmarkStart w:id="1145" w:name="_Toc185514761"/>
      <w:r w:rsidRPr="00C8328B">
        <w:rPr>
          <w:rStyle w:val="CharSectNo"/>
        </w:rPr>
        <w:t>3563</w:t>
      </w:r>
      <w:r>
        <w:tab/>
        <w:t>Judicial review—filing and serving statements</w:t>
      </w:r>
      <w:bookmarkEnd w:id="1145"/>
    </w:p>
    <w:p w14:paraId="11E1763B" w14:textId="77777777"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14:paraId="118175A6" w14:textId="77777777" w:rsidR="008112BD" w:rsidRDefault="008112BD" w:rsidP="008112BD">
      <w:pPr>
        <w:pStyle w:val="Apara"/>
      </w:pPr>
      <w:r>
        <w:tab/>
        <w:t>(a)</w:t>
      </w:r>
      <w:r>
        <w:tab/>
        <w:t>a statement made by the decision-maker of the terms of the decision;</w:t>
      </w:r>
    </w:p>
    <w:p w14:paraId="2E8B2E55" w14:textId="77777777" w:rsidR="008112BD" w:rsidRDefault="008112BD" w:rsidP="008112BD">
      <w:pPr>
        <w:pStyle w:val="Apara"/>
      </w:pPr>
      <w:r>
        <w:tab/>
        <w:t>(b)</w:t>
      </w:r>
      <w:r>
        <w:tab/>
        <w:t>either—</w:t>
      </w:r>
    </w:p>
    <w:p w14:paraId="2C7D423B" w14:textId="766C97C0" w:rsidR="008112BD" w:rsidRPr="00403BD1" w:rsidRDefault="008112BD" w:rsidP="008112BD">
      <w:pPr>
        <w:pStyle w:val="Asubpara"/>
      </w:pPr>
      <w:r w:rsidRPr="00403BD1">
        <w:tab/>
        <w:t>(i)</w:t>
      </w:r>
      <w:r w:rsidRPr="00403BD1">
        <w:tab/>
        <w:t xml:space="preserve">for an application for a statutory order of review—a statement under the </w:t>
      </w:r>
      <w:hyperlink r:id="rId474" w:tooltip="A1989-33" w:history="1">
        <w:r w:rsidRPr="00BB6EDD">
          <w:rPr>
            <w:rStyle w:val="charCitHyperlinkAbbrev"/>
          </w:rPr>
          <w:t>Judicial Review Act</w:t>
        </w:r>
      </w:hyperlink>
      <w:r w:rsidRPr="00403BD1">
        <w:t xml:space="preserve">, section 13 (Reasons for decision may be obtained) or the </w:t>
      </w:r>
      <w:hyperlink r:id="rId475" w:tooltip="A2008-35" w:history="1">
        <w:r w:rsidRPr="00FE0788">
          <w:rPr>
            <w:rStyle w:val="charCitHyperlinkItal"/>
          </w:rPr>
          <w:t>ACT Civil and Administrative Tribunal Act 2008</w:t>
        </w:r>
      </w:hyperlink>
      <w:r w:rsidRPr="00403BD1">
        <w:t>, section 22B (Requirement to give reasons statements); or</w:t>
      </w:r>
    </w:p>
    <w:p w14:paraId="5C62929F" w14:textId="77777777" w:rsidR="008112BD" w:rsidRDefault="008112BD" w:rsidP="008112BD">
      <w:pPr>
        <w:pStyle w:val="Asubpara"/>
      </w:pPr>
      <w:r>
        <w:tab/>
        <w:t>(ii)</w:t>
      </w:r>
      <w:r>
        <w:tab/>
        <w:t>any other statement given by or on behalf of the decision-maker purporting to be a statement of reasons for the decision.</w:t>
      </w:r>
    </w:p>
    <w:p w14:paraId="4C9FB8A6" w14:textId="77777777"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14:paraId="267B9ECF" w14:textId="77777777"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14:paraId="6F883141" w14:textId="77777777"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14:paraId="56D68472" w14:textId="77777777" w:rsidR="008112BD" w:rsidRDefault="008112BD" w:rsidP="008112BD">
      <w:pPr>
        <w:pStyle w:val="AH5Sec"/>
      </w:pPr>
      <w:bookmarkStart w:id="1146" w:name="_Toc185514762"/>
      <w:r w:rsidRPr="00C8328B">
        <w:rPr>
          <w:rStyle w:val="CharSectNo"/>
        </w:rPr>
        <w:t>3564</w:t>
      </w:r>
      <w:r>
        <w:tab/>
        <w:t>Judicial review—stay or dismissal of application for statutory order of review on return date</w:t>
      </w:r>
      <w:bookmarkEnd w:id="1146"/>
    </w:p>
    <w:p w14:paraId="7EA3F0BD" w14:textId="77777777" w:rsidR="008112BD" w:rsidRDefault="008112BD" w:rsidP="008112BD">
      <w:pPr>
        <w:pStyle w:val="Amain"/>
      </w:pPr>
      <w:r>
        <w:tab/>
        <w:t>(1)</w:t>
      </w:r>
      <w:r>
        <w:tab/>
        <w:t>This rule applies if—</w:t>
      </w:r>
    </w:p>
    <w:p w14:paraId="72576F01" w14:textId="77777777"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14:paraId="1F4A6C61" w14:textId="79966233" w:rsidR="008112BD" w:rsidRDefault="008112BD" w:rsidP="008112BD">
      <w:pPr>
        <w:pStyle w:val="Apara"/>
      </w:pPr>
      <w:r>
        <w:tab/>
        <w:t>(b)</w:t>
      </w:r>
      <w:r>
        <w:tab/>
        <w:t xml:space="preserve">a party to the review application applies for an order under the </w:t>
      </w:r>
      <w:hyperlink r:id="rId476" w:tooltip="A1989-33" w:history="1">
        <w:r w:rsidRPr="00BB6EDD">
          <w:rPr>
            <w:rStyle w:val="charCitHyperlinkAbbrev"/>
          </w:rPr>
          <w:t>Judicial Review Act</w:t>
        </w:r>
      </w:hyperlink>
      <w:r>
        <w:t>, section 8 (2) (b).</w:t>
      </w:r>
    </w:p>
    <w:p w14:paraId="052C9830" w14:textId="77777777"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14:paraId="1AD71FD7"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9ED29A3" w14:textId="77777777"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14:paraId="2A632457"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14:paraId="3875D414" w14:textId="77777777" w:rsidR="008112BD" w:rsidRDefault="008112BD" w:rsidP="008112BD">
      <w:pPr>
        <w:pStyle w:val="AH5Sec"/>
      </w:pPr>
      <w:bookmarkStart w:id="1147" w:name="_Toc185514763"/>
      <w:r w:rsidRPr="00C8328B">
        <w:rPr>
          <w:rStyle w:val="CharSectNo"/>
        </w:rPr>
        <w:lastRenderedPageBreak/>
        <w:t>3565</w:t>
      </w:r>
      <w:r>
        <w:tab/>
        <w:t>Judicial review—directions on return date</w:t>
      </w:r>
      <w:bookmarkEnd w:id="1147"/>
    </w:p>
    <w:p w14:paraId="1B55DF21" w14:textId="77777777" w:rsidR="008112BD" w:rsidRDefault="008112BD" w:rsidP="00C174FA">
      <w:pPr>
        <w:pStyle w:val="Amain"/>
        <w:keepNext/>
      </w:pPr>
      <w:r>
        <w:tab/>
        <w:t>(1)</w:t>
      </w:r>
      <w:r>
        <w:tab/>
        <w:t>On the return date for a judicial review application, the court may give any direction about the conduct of the proceeding it considers appropriate.</w:t>
      </w:r>
    </w:p>
    <w:p w14:paraId="485DC2FD" w14:textId="77777777" w:rsidR="008112BD" w:rsidRDefault="008112BD" w:rsidP="008112BD">
      <w:pPr>
        <w:pStyle w:val="Amain"/>
        <w:keepNext/>
      </w:pPr>
      <w:r>
        <w:tab/>
        <w:t>(2)</w:t>
      </w:r>
      <w:r>
        <w:tab/>
        <w:t>Without limiting subrule (1), the court may consider, and give directions in relation to, the following matters:</w:t>
      </w:r>
    </w:p>
    <w:p w14:paraId="500E411F" w14:textId="77777777" w:rsidR="008112BD" w:rsidRDefault="008112BD" w:rsidP="008112BD">
      <w:pPr>
        <w:pStyle w:val="Apara"/>
      </w:pPr>
      <w:r>
        <w:tab/>
        <w:t>(a)</w:t>
      </w:r>
      <w:r>
        <w:tab/>
        <w:t>discovery and interrogatories;</w:t>
      </w:r>
    </w:p>
    <w:p w14:paraId="4DE51A9A" w14:textId="77777777" w:rsidR="008112BD" w:rsidRDefault="008112BD" w:rsidP="008112BD">
      <w:pPr>
        <w:pStyle w:val="Apara"/>
      </w:pPr>
      <w:r>
        <w:tab/>
        <w:t>(b)</w:t>
      </w:r>
      <w:r>
        <w:tab/>
        <w:t>inspection of property;</w:t>
      </w:r>
    </w:p>
    <w:p w14:paraId="693A65B4" w14:textId="77777777" w:rsidR="008112BD" w:rsidRDefault="008112BD" w:rsidP="008112BD">
      <w:pPr>
        <w:pStyle w:val="Apara"/>
      </w:pPr>
      <w:r>
        <w:tab/>
        <w:t>(c)</w:t>
      </w:r>
      <w:r>
        <w:tab/>
        <w:t>admissions of fact or documents;</w:t>
      </w:r>
    </w:p>
    <w:p w14:paraId="005C897B" w14:textId="77777777" w:rsidR="008112BD" w:rsidRDefault="008112BD" w:rsidP="008112BD">
      <w:pPr>
        <w:pStyle w:val="Apara"/>
      </w:pPr>
      <w:r>
        <w:tab/>
        <w:t>(d)</w:t>
      </w:r>
      <w:r>
        <w:tab/>
        <w:t>defining the issues by pleadings or otherwise;</w:t>
      </w:r>
    </w:p>
    <w:p w14:paraId="7912D40D" w14:textId="77777777"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14:paraId="625DE28B" w14:textId="77777777" w:rsidR="008112BD" w:rsidRDefault="008112BD" w:rsidP="008112BD">
      <w:pPr>
        <w:pStyle w:val="Apara"/>
      </w:pPr>
      <w:r>
        <w:tab/>
        <w:t>(e)</w:t>
      </w:r>
      <w:r>
        <w:tab/>
        <w:t>the standing of affidavits as pleadings;</w:t>
      </w:r>
    </w:p>
    <w:p w14:paraId="46C8E568" w14:textId="77777777" w:rsidR="008112BD" w:rsidRDefault="008112BD" w:rsidP="008112BD">
      <w:pPr>
        <w:pStyle w:val="Apara"/>
      </w:pPr>
      <w:r>
        <w:tab/>
        <w:t>(f)</w:t>
      </w:r>
      <w:r>
        <w:tab/>
        <w:t>including parties;</w:t>
      </w:r>
    </w:p>
    <w:p w14:paraId="2415AABD" w14:textId="77777777" w:rsidR="008112BD" w:rsidRDefault="008112BD" w:rsidP="008112BD">
      <w:pPr>
        <w:pStyle w:val="Apara"/>
      </w:pPr>
      <w:r>
        <w:tab/>
        <w:t>(g)</w:t>
      </w:r>
      <w:r>
        <w:tab/>
        <w:t>service of documents;</w:t>
      </w:r>
    </w:p>
    <w:p w14:paraId="6E43D3F9" w14:textId="77777777" w:rsidR="008112BD" w:rsidRDefault="008112BD" w:rsidP="008112BD">
      <w:pPr>
        <w:pStyle w:val="Apara"/>
      </w:pPr>
      <w:r>
        <w:tab/>
        <w:t>(h)</w:t>
      </w:r>
      <w:r>
        <w:tab/>
        <w:t>amendments;</w:t>
      </w:r>
    </w:p>
    <w:p w14:paraId="3B27E3F4" w14:textId="77777777" w:rsidR="008112BD" w:rsidRDefault="008112BD" w:rsidP="008112BD">
      <w:pPr>
        <w:pStyle w:val="Apara"/>
        <w:keepNext/>
      </w:pPr>
      <w:r>
        <w:tab/>
        <w:t>(i)</w:t>
      </w:r>
      <w:r>
        <w:tab/>
        <w:t>the filing of affidavits.</w:t>
      </w:r>
    </w:p>
    <w:p w14:paraId="0460E215" w14:textId="77777777"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14:paraId="13CDFC53" w14:textId="77777777" w:rsidR="008112BD" w:rsidRDefault="008112BD" w:rsidP="008112BD">
      <w:pPr>
        <w:pStyle w:val="Amain"/>
      </w:pPr>
      <w:r>
        <w:tab/>
        <w:t>(3)</w:t>
      </w:r>
      <w:r>
        <w:tab/>
        <w:t>Without limiting subrule (1), the court may—</w:t>
      </w:r>
    </w:p>
    <w:p w14:paraId="6055B492" w14:textId="77777777" w:rsidR="008112BD" w:rsidRDefault="008112BD" w:rsidP="008112BD">
      <w:pPr>
        <w:pStyle w:val="Apara"/>
      </w:pPr>
      <w:r>
        <w:tab/>
        <w:t>(a)</w:t>
      </w:r>
      <w:r>
        <w:tab/>
        <w:t>order that an agreed bundle of documents be prepared by the parties; or</w:t>
      </w:r>
    </w:p>
    <w:p w14:paraId="52FD3CA0" w14:textId="77777777" w:rsidR="008112BD" w:rsidRDefault="008112BD" w:rsidP="008112BD">
      <w:pPr>
        <w:pStyle w:val="Apara"/>
      </w:pPr>
      <w:r>
        <w:tab/>
        <w:t>(b)</w:t>
      </w:r>
      <w:r>
        <w:tab/>
        <w:t>order the service or exchange of expert reports; or</w:t>
      </w:r>
    </w:p>
    <w:p w14:paraId="580B9C11" w14:textId="77777777" w:rsidR="008112BD" w:rsidRDefault="008112BD" w:rsidP="008112BD">
      <w:pPr>
        <w:pStyle w:val="Apara"/>
      </w:pPr>
      <w:r>
        <w:tab/>
        <w:t>(c)</w:t>
      </w:r>
      <w:r>
        <w:tab/>
        <w:t>order that a party serve a copy of the application on the Attorney-General; or</w:t>
      </w:r>
    </w:p>
    <w:p w14:paraId="506F1F20" w14:textId="77777777" w:rsidR="008112BD" w:rsidRDefault="008112BD" w:rsidP="008112BD">
      <w:pPr>
        <w:pStyle w:val="Apara"/>
      </w:pPr>
      <w:r>
        <w:lastRenderedPageBreak/>
        <w:tab/>
        <w:t>(d)</w:t>
      </w:r>
      <w:r>
        <w:tab/>
        <w:t>order that a party give notice of the application to the people, and in the way, the court directs; or</w:t>
      </w:r>
    </w:p>
    <w:p w14:paraId="5209FE7E" w14:textId="77777777" w:rsidR="008112BD" w:rsidRDefault="008112BD" w:rsidP="008112BD">
      <w:pPr>
        <w:pStyle w:val="Apara"/>
      </w:pPr>
      <w:r>
        <w:tab/>
        <w:t>(e)</w:t>
      </w:r>
      <w:r>
        <w:tab/>
        <w:t>set a date for hearing; or</w:t>
      </w:r>
    </w:p>
    <w:p w14:paraId="647508E1" w14:textId="77777777" w:rsidR="008112BD" w:rsidRDefault="008112BD" w:rsidP="008112BD">
      <w:pPr>
        <w:pStyle w:val="Apara"/>
      </w:pPr>
      <w:r>
        <w:tab/>
        <w:t>(f)</w:t>
      </w:r>
      <w:r>
        <w:tab/>
        <w:t>set a date after which the parties are directed to arrange with the registrar a date for hearing.</w:t>
      </w:r>
    </w:p>
    <w:p w14:paraId="78E28929" w14:textId="77777777" w:rsidR="008112BD" w:rsidRDefault="008112BD" w:rsidP="008112BD">
      <w:pPr>
        <w:pStyle w:val="Amain"/>
        <w:keepNext/>
      </w:pPr>
      <w:r>
        <w:tab/>
        <w:t>(4)</w:t>
      </w:r>
      <w:r>
        <w:tab/>
        <w:t>The court may at any time amend or revoke a direction or order made under this rule on application by a party or on its own initiative.</w:t>
      </w:r>
    </w:p>
    <w:p w14:paraId="25B4D98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14:paraId="260A4F7D" w14:textId="77777777" w:rsidR="008112BD" w:rsidRDefault="008112BD" w:rsidP="008112BD">
      <w:pPr>
        <w:pStyle w:val="Amain"/>
        <w:keepNext/>
      </w:pPr>
      <w:r>
        <w:tab/>
        <w:t>(5)</w:t>
      </w:r>
      <w:r>
        <w:tab/>
        <w:t>The powers of the court under this rule are additional to any other powers of the court under a territory law.</w:t>
      </w:r>
    </w:p>
    <w:p w14:paraId="74982568" w14:textId="1B1A5861"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77" w:tooltip="A2001-14" w:history="1">
        <w:r w:rsidRPr="00FE0788">
          <w:rPr>
            <w:rStyle w:val="charCitHyperlinkAbbrev"/>
          </w:rPr>
          <w:t>Legislation Act</w:t>
        </w:r>
      </w:hyperlink>
      <w:r>
        <w:t>, s 98).</w:t>
      </w:r>
    </w:p>
    <w:p w14:paraId="0BDFED10" w14:textId="77777777" w:rsidR="008112BD" w:rsidRDefault="008112BD" w:rsidP="008112BD">
      <w:pPr>
        <w:pStyle w:val="AH5Sec"/>
      </w:pPr>
      <w:bookmarkStart w:id="1148" w:name="_Toc185514764"/>
      <w:r w:rsidRPr="00C8328B">
        <w:rPr>
          <w:rStyle w:val="CharSectNo"/>
        </w:rPr>
        <w:t>3566</w:t>
      </w:r>
      <w:r>
        <w:tab/>
        <w:t>Judicial review—power of the court to stay or dismiss applications in certain circumstances</w:t>
      </w:r>
      <w:bookmarkEnd w:id="1148"/>
    </w:p>
    <w:p w14:paraId="2896300B" w14:textId="77777777" w:rsidR="008112BD" w:rsidRDefault="008112BD" w:rsidP="008112BD">
      <w:pPr>
        <w:pStyle w:val="Amain"/>
      </w:pPr>
      <w:r>
        <w:tab/>
        <w:t>(1)</w:t>
      </w:r>
      <w:r>
        <w:tab/>
        <w:t>The court may, by order, stay or dismiss a judicial review application, or a claim for relief in a judicial review application, if the court considers that—</w:t>
      </w:r>
    </w:p>
    <w:p w14:paraId="24BDD670" w14:textId="77777777" w:rsidR="008112BD" w:rsidRDefault="008112BD" w:rsidP="008112BD">
      <w:pPr>
        <w:pStyle w:val="Apara"/>
      </w:pPr>
      <w:r>
        <w:tab/>
        <w:t>(a)</w:t>
      </w:r>
      <w:r>
        <w:tab/>
        <w:t>it would be inappropriate—</w:t>
      </w:r>
    </w:p>
    <w:p w14:paraId="21D84242" w14:textId="77777777" w:rsidR="008112BD" w:rsidRDefault="008112BD" w:rsidP="008112BD">
      <w:pPr>
        <w:pStyle w:val="Asubpara"/>
      </w:pPr>
      <w:r>
        <w:tab/>
        <w:t>(i)</w:t>
      </w:r>
      <w:r>
        <w:tab/>
        <w:t>for the proceeding in relation to the application or claim to be continued; or</w:t>
      </w:r>
    </w:p>
    <w:p w14:paraId="0072A0F7" w14:textId="62E6B347" w:rsidR="008112BD" w:rsidRDefault="008112BD" w:rsidP="008112BD">
      <w:pPr>
        <w:pStyle w:val="Asubpara"/>
      </w:pPr>
      <w:r>
        <w:tab/>
        <w:t>(ii)</w:t>
      </w:r>
      <w:r>
        <w:tab/>
        <w:t xml:space="preserve">to grant the application or claim (including, for an application for a statutory order of review, because the </w:t>
      </w:r>
      <w:hyperlink r:id="rId478" w:tooltip="A1989-33" w:history="1">
        <w:r w:rsidRPr="00BB6EDD">
          <w:rPr>
            <w:rStyle w:val="charCitHyperlinkAbbrev"/>
          </w:rPr>
          <w:t>Judicial Review Act</w:t>
        </w:r>
      </w:hyperlink>
      <w:r>
        <w:t>, section 8 (2) (b) (Effect of Act on other rights) applies); or</w:t>
      </w:r>
    </w:p>
    <w:p w14:paraId="4895E60B" w14:textId="77777777" w:rsidR="008112BD" w:rsidRDefault="008112BD" w:rsidP="008112BD">
      <w:pPr>
        <w:pStyle w:val="Apara"/>
      </w:pPr>
      <w:r>
        <w:tab/>
        <w:t>(b)</w:t>
      </w:r>
      <w:r>
        <w:tab/>
        <w:t>the application is incompetent; or</w:t>
      </w:r>
    </w:p>
    <w:p w14:paraId="39A70452" w14:textId="77777777" w:rsidR="008112BD" w:rsidRDefault="008112BD" w:rsidP="008112BD">
      <w:pPr>
        <w:pStyle w:val="Apara"/>
      </w:pPr>
      <w:r>
        <w:tab/>
        <w:t>(c)</w:t>
      </w:r>
      <w:r>
        <w:tab/>
        <w:t>no reasonable basis for the application or claim is disclosed; or</w:t>
      </w:r>
    </w:p>
    <w:p w14:paraId="575D984D" w14:textId="77777777" w:rsidR="008112BD" w:rsidRDefault="008112BD" w:rsidP="008112BD">
      <w:pPr>
        <w:pStyle w:val="Apara"/>
      </w:pPr>
      <w:r>
        <w:tab/>
        <w:t>(d)</w:t>
      </w:r>
      <w:r>
        <w:tab/>
        <w:t>the application or claim is frivolous or vexatious; or</w:t>
      </w:r>
    </w:p>
    <w:p w14:paraId="3CA8ABFF" w14:textId="77777777" w:rsidR="008112BD" w:rsidRDefault="008112BD" w:rsidP="008112BD">
      <w:pPr>
        <w:pStyle w:val="Apara"/>
        <w:keepNext/>
      </w:pPr>
      <w:r>
        <w:lastRenderedPageBreak/>
        <w:tab/>
        <w:t>(e)</w:t>
      </w:r>
      <w:r>
        <w:tab/>
        <w:t>the application or claim is an abuse of the court’s process.</w:t>
      </w:r>
    </w:p>
    <w:p w14:paraId="2DDB304D" w14:textId="77777777"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4CD8CB92" w14:textId="77777777" w:rsidR="008112BD" w:rsidRDefault="008112BD" w:rsidP="00875EA2">
      <w:pPr>
        <w:pStyle w:val="Amain"/>
        <w:keepLines/>
      </w:pPr>
      <w:r>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14:paraId="34067276" w14:textId="77777777" w:rsidR="008112BD" w:rsidRDefault="008112BD" w:rsidP="008112BD">
      <w:pPr>
        <w:pStyle w:val="Amain"/>
        <w:keepNext/>
      </w:pPr>
      <w:r>
        <w:tab/>
        <w:t>(3)</w:t>
      </w:r>
      <w:r>
        <w:tab/>
        <w:t>The court may make an order under this rule on application by a party to the proceeding or on its own initiative.</w:t>
      </w:r>
    </w:p>
    <w:p w14:paraId="7661EB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2589685C" w14:textId="77777777" w:rsidR="008112BD" w:rsidRDefault="008112BD" w:rsidP="008112BD">
      <w:pPr>
        <w:pStyle w:val="Amain"/>
      </w:pPr>
      <w:r>
        <w:tab/>
        <w:t>(4)</w:t>
      </w:r>
      <w:r>
        <w:tab/>
        <w:t>The court may receive evidence on the hearing of an application for an order under this rule.</w:t>
      </w:r>
    </w:p>
    <w:p w14:paraId="23756113" w14:textId="77777777" w:rsidR="008112BD" w:rsidRDefault="008112BD" w:rsidP="008112BD">
      <w:pPr>
        <w:pStyle w:val="AH5Sec"/>
      </w:pPr>
      <w:bookmarkStart w:id="1149" w:name="_Toc185514765"/>
      <w:r w:rsidRPr="00C8328B">
        <w:rPr>
          <w:rStyle w:val="CharSectNo"/>
        </w:rPr>
        <w:t>3567</w:t>
      </w:r>
      <w:r>
        <w:tab/>
        <w:t>Judicial review—additional requirements for certiorari order</w:t>
      </w:r>
      <w:bookmarkEnd w:id="1149"/>
    </w:p>
    <w:p w14:paraId="6919CC99" w14:textId="77777777" w:rsidR="008112BD" w:rsidRDefault="008112BD" w:rsidP="008112BD">
      <w:pPr>
        <w:pStyle w:val="Amainreturn"/>
      </w:pPr>
      <w:r>
        <w:t>A certiorari order may be granted only if—</w:t>
      </w:r>
    </w:p>
    <w:p w14:paraId="1DCAFA5A" w14:textId="77777777" w:rsidR="008112BD" w:rsidRDefault="008112BD" w:rsidP="008112BD">
      <w:pPr>
        <w:pStyle w:val="Apara"/>
      </w:pPr>
      <w:r>
        <w:tab/>
        <w:t>(a)</w:t>
      </w:r>
      <w:r>
        <w:tab/>
        <w:t>a copy of the order, warrant, conviction, inquisition or record relevant to the proceeding, verified by an affidavit, has been filed in the court; or</w:t>
      </w:r>
    </w:p>
    <w:p w14:paraId="0EF31056" w14:textId="77777777" w:rsidR="008112BD" w:rsidRDefault="008112BD" w:rsidP="008112BD">
      <w:pPr>
        <w:pStyle w:val="Apara"/>
      </w:pPr>
      <w:r>
        <w:tab/>
        <w:t>(b)</w:t>
      </w:r>
      <w:r>
        <w:tab/>
        <w:t>the failure of the plaintiff to file the copy has been explained to the court’s satisfaction.</w:t>
      </w:r>
    </w:p>
    <w:p w14:paraId="1DC66B37" w14:textId="77777777" w:rsidR="008112BD" w:rsidRDefault="008112BD" w:rsidP="008112BD">
      <w:pPr>
        <w:pStyle w:val="AH5Sec"/>
      </w:pPr>
      <w:bookmarkStart w:id="1150" w:name="_Toc185514766"/>
      <w:r w:rsidRPr="00C8328B">
        <w:rPr>
          <w:rStyle w:val="CharSectNo"/>
        </w:rPr>
        <w:t>3568</w:t>
      </w:r>
      <w:r>
        <w:tab/>
        <w:t>Judicial review—no proceeding in relation to things done under mandamus order</w:t>
      </w:r>
      <w:bookmarkEnd w:id="1150"/>
    </w:p>
    <w:p w14:paraId="600BEAC1" w14:textId="77777777" w:rsidR="008112BD" w:rsidRDefault="008112BD" w:rsidP="008112BD">
      <w:pPr>
        <w:pStyle w:val="Amainreturn"/>
      </w:pPr>
      <w:r>
        <w:t>A proceeding must not be started or continued against someone in relation to anything done in obedience to an order of the court for relief in the nature of mandamus.</w:t>
      </w:r>
    </w:p>
    <w:p w14:paraId="4439DCC8" w14:textId="77777777" w:rsidR="008112BD" w:rsidRDefault="008112BD" w:rsidP="008112BD">
      <w:pPr>
        <w:pStyle w:val="AH5Sec"/>
      </w:pPr>
      <w:bookmarkStart w:id="1151" w:name="_Toc185514767"/>
      <w:r w:rsidRPr="00C8328B">
        <w:rPr>
          <w:rStyle w:val="CharSectNo"/>
        </w:rPr>
        <w:lastRenderedPageBreak/>
        <w:t>3569</w:t>
      </w:r>
      <w:r>
        <w:tab/>
        <w:t>Judicial review—disclaimer in relation to quo warranto order</w:t>
      </w:r>
      <w:bookmarkEnd w:id="1151"/>
    </w:p>
    <w:p w14:paraId="7AD7C95B" w14:textId="77777777" w:rsidR="008112BD" w:rsidRDefault="008112BD" w:rsidP="008112BD">
      <w:pPr>
        <w:pStyle w:val="Amain"/>
      </w:pPr>
      <w:r>
        <w:tab/>
        <w:t>(1)</w:t>
      </w:r>
      <w:r>
        <w:tab/>
        <w:t>This rule applies in relation to an application for a quo warranto order in relation to the defendant’s office mentioned in the application.</w:t>
      </w:r>
    </w:p>
    <w:p w14:paraId="4354AD0E" w14:textId="77777777" w:rsidR="008112BD" w:rsidRDefault="008112BD" w:rsidP="008112BD">
      <w:pPr>
        <w:pStyle w:val="Amain"/>
      </w:pPr>
      <w:r>
        <w:tab/>
        <w:t>(2)</w:t>
      </w:r>
      <w:r>
        <w:tab/>
        <w:t>The defendant may, by notice, disclaim the office.</w:t>
      </w:r>
    </w:p>
    <w:p w14:paraId="227FDBD0" w14:textId="77777777" w:rsidR="008112BD" w:rsidRDefault="008112BD" w:rsidP="008112BD">
      <w:pPr>
        <w:pStyle w:val="Amain"/>
        <w:keepNext/>
      </w:pPr>
      <w:r>
        <w:tab/>
        <w:t>(3)</w:t>
      </w:r>
      <w:r>
        <w:tab/>
        <w:t>The notice must be signed by the defendant and witnessed by a person authorised to take an affidavit.</w:t>
      </w:r>
    </w:p>
    <w:p w14:paraId="1E20795B" w14:textId="7C8E34CF" w:rsidR="008112BD" w:rsidRDefault="008112BD" w:rsidP="008112BD">
      <w:pPr>
        <w:pStyle w:val="aNote"/>
      </w:pPr>
      <w:r w:rsidRPr="00FE0788">
        <w:rPr>
          <w:rStyle w:val="charItals"/>
        </w:rPr>
        <w:t>Note</w:t>
      </w:r>
      <w:r w:rsidRPr="00FE0788">
        <w:rPr>
          <w:rStyle w:val="charItals"/>
        </w:rPr>
        <w:tab/>
      </w:r>
      <w:r>
        <w:t xml:space="preserve">See the </w:t>
      </w:r>
      <w:hyperlink r:id="rId479"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0" w:tooltip="A1984-79" w:history="1">
        <w:r w:rsidRPr="00FE0788">
          <w:rPr>
            <w:rStyle w:val="charCitHyperlinkItal"/>
          </w:rPr>
          <w:t>Oaths and Affirmations Act 1984</w:t>
        </w:r>
      </w:hyperlink>
      <w:r>
        <w:t>, s 11 (Authority to administer oath etc).</w:t>
      </w:r>
    </w:p>
    <w:p w14:paraId="5EDC53C6" w14:textId="77777777"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14:paraId="4586CA37" w14:textId="77777777" w:rsidR="008112BD" w:rsidRDefault="008112BD" w:rsidP="008112BD">
      <w:pPr>
        <w:pStyle w:val="Amain"/>
      </w:pPr>
      <w:r>
        <w:tab/>
        <w:t>(5)</w:t>
      </w:r>
      <w:r>
        <w:tab/>
        <w:t>The plaintiff for the quo warranto order may apply to the court for judgment of ouster against the defendant, with costs.</w:t>
      </w:r>
    </w:p>
    <w:p w14:paraId="5F088069" w14:textId="77777777" w:rsidR="008112BD" w:rsidRDefault="008112BD" w:rsidP="008112BD">
      <w:pPr>
        <w:pStyle w:val="Amain"/>
      </w:pPr>
      <w:r>
        <w:tab/>
        <w:t>(6)</w:t>
      </w:r>
      <w:r>
        <w:tab/>
        <w:t>The application is made by filing a draft judgment in the court.</w:t>
      </w:r>
    </w:p>
    <w:p w14:paraId="64333394" w14:textId="77777777" w:rsidR="008112BD" w:rsidRDefault="008112BD" w:rsidP="008112BD">
      <w:pPr>
        <w:pStyle w:val="Amain"/>
      </w:pPr>
      <w:r>
        <w:tab/>
        <w:t>(7)</w:t>
      </w:r>
      <w:r>
        <w:tab/>
        <w:t>Part 6.2 (Applications in proceedings) does not apply to the application.</w:t>
      </w:r>
    </w:p>
    <w:p w14:paraId="1B4EA323" w14:textId="77777777" w:rsidR="008112BD" w:rsidRDefault="008112BD" w:rsidP="008112BD">
      <w:pPr>
        <w:pStyle w:val="Amain"/>
      </w:pPr>
      <w:r>
        <w:tab/>
        <w:t>(8)</w:t>
      </w:r>
      <w:r>
        <w:tab/>
        <w:t>The draft judgment need not be served on anyone unless the court otherwise orders on its own initiative.</w:t>
      </w:r>
    </w:p>
    <w:p w14:paraId="32D53E8C" w14:textId="77777777" w:rsidR="008112BD" w:rsidRDefault="008112BD" w:rsidP="008112BD">
      <w:pPr>
        <w:pStyle w:val="Amain"/>
      </w:pPr>
      <w:r>
        <w:tab/>
        <w:t>(9)</w:t>
      </w:r>
      <w:r>
        <w:tab/>
        <w:t>The court may enter judgment of ouster against the defendant, with costs without a hearing.</w:t>
      </w:r>
    </w:p>
    <w:p w14:paraId="39CD499E" w14:textId="77777777" w:rsidR="008112BD" w:rsidRDefault="008112BD" w:rsidP="008112BD">
      <w:pPr>
        <w:pStyle w:val="AH5Sec"/>
      </w:pPr>
      <w:bookmarkStart w:id="1152" w:name="_Toc185514768"/>
      <w:r w:rsidRPr="00C8328B">
        <w:rPr>
          <w:rStyle w:val="CharSectNo"/>
        </w:rPr>
        <w:lastRenderedPageBreak/>
        <w:t>3570</w:t>
      </w:r>
      <w:r>
        <w:tab/>
        <w:t>Judicial review—proceeding in relation to statement of reasons</w:t>
      </w:r>
      <w:bookmarkEnd w:id="1152"/>
    </w:p>
    <w:p w14:paraId="138DF430" w14:textId="17D17B82" w:rsidR="008112BD" w:rsidRDefault="008112BD" w:rsidP="008112BD">
      <w:pPr>
        <w:pStyle w:val="Amain"/>
        <w:keepNext/>
      </w:pPr>
      <w:r>
        <w:tab/>
        <w:t>(1)</w:t>
      </w:r>
      <w:r>
        <w:tab/>
        <w:t xml:space="preserve">This rule applies if a decision-maker or requester applies to the court for an order or declaration under the </w:t>
      </w:r>
      <w:hyperlink r:id="rId481" w:tooltip="A1989-33" w:history="1">
        <w:r w:rsidRPr="00BB6EDD">
          <w:rPr>
            <w:rStyle w:val="charCitHyperlinkAbbrev"/>
          </w:rPr>
          <w:t>Judicial Review Act</w:t>
        </w:r>
      </w:hyperlink>
      <w:r>
        <w:t>, section 13 (Reasons for decisions may be obtained).</w:t>
      </w:r>
    </w:p>
    <w:p w14:paraId="47DD9B58" w14:textId="77777777" w:rsidR="008112BD" w:rsidRDefault="008112BD" w:rsidP="00C174FA">
      <w:pPr>
        <w:pStyle w:val="aNote"/>
        <w:keepNext/>
        <w:keepLines/>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14:paraId="1B9D6ADE" w14:textId="77777777"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01198FB5" w14:textId="77777777" w:rsidR="008112BD" w:rsidRDefault="008112BD" w:rsidP="008112BD">
      <w:pPr>
        <w:pStyle w:val="Amain"/>
      </w:pPr>
      <w:r>
        <w:tab/>
        <w:t>(2)</w:t>
      </w:r>
      <w:r>
        <w:tab/>
        <w:t>The application must be supported by an affidavit.</w:t>
      </w:r>
    </w:p>
    <w:p w14:paraId="4CAACA0D" w14:textId="77777777" w:rsidR="008112BD" w:rsidRDefault="008112BD" w:rsidP="008112BD">
      <w:pPr>
        <w:pStyle w:val="Amain"/>
      </w:pPr>
      <w:r>
        <w:tab/>
        <w:t>(3)</w:t>
      </w:r>
      <w:r>
        <w:tab/>
        <w:t>The affidavit must contain—</w:t>
      </w:r>
    </w:p>
    <w:p w14:paraId="4F163083" w14:textId="77777777" w:rsidR="008112BD" w:rsidRDefault="008112BD" w:rsidP="008112BD">
      <w:pPr>
        <w:pStyle w:val="Apara"/>
      </w:pPr>
      <w:r>
        <w:tab/>
        <w:t>(a)</w:t>
      </w:r>
      <w:r>
        <w:tab/>
        <w:t>the plaintiff’s name and description; and</w:t>
      </w:r>
    </w:p>
    <w:p w14:paraId="214FE417" w14:textId="77777777" w:rsidR="008112BD" w:rsidRDefault="008112BD" w:rsidP="008112BD">
      <w:pPr>
        <w:pStyle w:val="Apara"/>
      </w:pPr>
      <w:r>
        <w:tab/>
        <w:t>(b)</w:t>
      </w:r>
      <w:r>
        <w:tab/>
        <w:t>the decision for which reasons are sought; and</w:t>
      </w:r>
    </w:p>
    <w:p w14:paraId="10EDF94F" w14:textId="77777777" w:rsidR="008112BD" w:rsidRDefault="008112BD" w:rsidP="008112BD">
      <w:pPr>
        <w:pStyle w:val="Apara"/>
      </w:pPr>
      <w:r>
        <w:tab/>
        <w:t>(c)</w:t>
      </w:r>
      <w:r>
        <w:tab/>
        <w:t>the grounds relied on in support of the relief sought; and</w:t>
      </w:r>
    </w:p>
    <w:p w14:paraId="148212F6" w14:textId="77777777" w:rsidR="008112BD" w:rsidRDefault="008112BD" w:rsidP="008112BD">
      <w:pPr>
        <w:pStyle w:val="Apara"/>
      </w:pPr>
      <w:r>
        <w:tab/>
        <w:t>(d)</w:t>
      </w:r>
      <w:r>
        <w:tab/>
        <w:t>the facts relied on.</w:t>
      </w:r>
    </w:p>
    <w:p w14:paraId="5D1E10E0" w14:textId="77777777"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14:paraId="657A5357" w14:textId="77777777" w:rsidR="008112BD" w:rsidRDefault="008112BD" w:rsidP="008112BD">
      <w:pPr>
        <w:pStyle w:val="Amain"/>
        <w:keepNext/>
      </w:pPr>
      <w:r>
        <w:tab/>
        <w:t>(5)</w:t>
      </w:r>
      <w:r>
        <w:tab/>
        <w:t>In this rule:</w:t>
      </w:r>
    </w:p>
    <w:p w14:paraId="20DC1503" w14:textId="5F78F718" w:rsidR="008112BD" w:rsidRDefault="008112BD" w:rsidP="008112BD">
      <w:pPr>
        <w:pStyle w:val="aDef"/>
      </w:pPr>
      <w:r w:rsidRPr="00FE0788">
        <w:rPr>
          <w:rStyle w:val="charBoldItals"/>
        </w:rPr>
        <w:t>decision-maker</w:t>
      </w:r>
      <w:r>
        <w:t xml:space="preserve">—see the </w:t>
      </w:r>
      <w:hyperlink r:id="rId482" w:tooltip="A1989-33" w:history="1">
        <w:r w:rsidRPr="00BB6EDD">
          <w:rPr>
            <w:rStyle w:val="charCitHyperlinkAbbrev"/>
          </w:rPr>
          <w:t>Judicial Review Act</w:t>
        </w:r>
      </w:hyperlink>
      <w:r>
        <w:t>, section 13 (1).</w:t>
      </w:r>
    </w:p>
    <w:p w14:paraId="361ED6DA" w14:textId="6DEF5D88" w:rsidR="008112BD" w:rsidRDefault="008112BD" w:rsidP="008112BD">
      <w:pPr>
        <w:pStyle w:val="aDef"/>
      </w:pPr>
      <w:r w:rsidRPr="00FE0788">
        <w:rPr>
          <w:rStyle w:val="charBoldItals"/>
        </w:rPr>
        <w:t>requester</w:t>
      </w:r>
      <w:r>
        <w:t xml:space="preserve">—see the </w:t>
      </w:r>
      <w:hyperlink r:id="rId483" w:tooltip="A1989-33" w:history="1">
        <w:r w:rsidRPr="00BB6EDD">
          <w:rPr>
            <w:rStyle w:val="charCitHyperlinkAbbrev"/>
          </w:rPr>
          <w:t>Judicial Review Act</w:t>
        </w:r>
      </w:hyperlink>
      <w:r>
        <w:t>, section 13 (1).</w:t>
      </w:r>
    </w:p>
    <w:p w14:paraId="58253CF7" w14:textId="77777777" w:rsidR="008112BD" w:rsidRDefault="008112BD" w:rsidP="008112BD">
      <w:pPr>
        <w:pStyle w:val="PageBreak"/>
      </w:pPr>
      <w:r>
        <w:br w:type="page"/>
      </w:r>
    </w:p>
    <w:p w14:paraId="27A0AC6B" w14:textId="77777777" w:rsidR="008112BD" w:rsidRPr="00C8328B" w:rsidRDefault="008112BD" w:rsidP="008112BD">
      <w:pPr>
        <w:pStyle w:val="AH2Part"/>
      </w:pPr>
      <w:bookmarkStart w:id="1153" w:name="_Toc185514769"/>
      <w:r w:rsidRPr="00C8328B">
        <w:rPr>
          <w:rStyle w:val="CharPartNo"/>
        </w:rPr>
        <w:lastRenderedPageBreak/>
        <w:t>Part 3.11</w:t>
      </w:r>
      <w:r>
        <w:tab/>
      </w:r>
      <w:r w:rsidRPr="00C8328B">
        <w:rPr>
          <w:rStyle w:val="CharPartText"/>
        </w:rPr>
        <w:t>Legal profession</w:t>
      </w:r>
      <w:bookmarkEnd w:id="1153"/>
    </w:p>
    <w:p w14:paraId="5A0352CC" w14:textId="77777777" w:rsidR="008112BD" w:rsidRPr="00C8328B" w:rsidRDefault="008112BD" w:rsidP="008112BD">
      <w:pPr>
        <w:pStyle w:val="AH3Div"/>
      </w:pPr>
      <w:bookmarkStart w:id="1154" w:name="_Toc185514770"/>
      <w:r w:rsidRPr="00C8328B">
        <w:rPr>
          <w:rStyle w:val="CharDivNo"/>
        </w:rPr>
        <w:t>Division 3.11.1</w:t>
      </w:r>
      <w:r>
        <w:tab/>
      </w:r>
      <w:r w:rsidRPr="00C8328B">
        <w:rPr>
          <w:rStyle w:val="CharDivText"/>
        </w:rPr>
        <w:t>Legal profession—general</w:t>
      </w:r>
      <w:bookmarkEnd w:id="1154"/>
    </w:p>
    <w:p w14:paraId="4C8C325A" w14:textId="77777777" w:rsidR="008112BD" w:rsidRPr="0023482E" w:rsidRDefault="008112BD" w:rsidP="008112BD">
      <w:pPr>
        <w:pStyle w:val="AH5Sec"/>
      </w:pPr>
      <w:bookmarkStart w:id="1155" w:name="_Toc185514771"/>
      <w:r w:rsidRPr="00C8328B">
        <w:rPr>
          <w:rStyle w:val="CharSectNo"/>
        </w:rPr>
        <w:t>3600</w:t>
      </w:r>
      <w:r w:rsidRPr="0023482E">
        <w:tab/>
        <w:t>Definitions—pt 3.11</w:t>
      </w:r>
      <w:bookmarkEnd w:id="1155"/>
    </w:p>
    <w:p w14:paraId="39748328" w14:textId="77777777" w:rsidR="008112BD" w:rsidRPr="0023482E" w:rsidRDefault="008112BD" w:rsidP="008112BD">
      <w:pPr>
        <w:pStyle w:val="Amainreturn"/>
      </w:pPr>
      <w:r w:rsidRPr="0023482E">
        <w:t>In this part:</w:t>
      </w:r>
    </w:p>
    <w:p w14:paraId="45D874EA" w14:textId="56AAEFC3"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4" w:tooltip="A2006-25" w:history="1">
        <w:r w:rsidRPr="0023482E">
          <w:rPr>
            <w:rStyle w:val="charCitHyperlinkAbbrev"/>
          </w:rPr>
          <w:t>Legal Profession Act</w:t>
        </w:r>
      </w:hyperlink>
      <w:r w:rsidRPr="0023482E">
        <w:t>.</w:t>
      </w:r>
    </w:p>
    <w:p w14:paraId="1C0A179E" w14:textId="77777777"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14:paraId="4A38BD5F" w14:textId="4981A1D6"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85" w:tooltip="A2006-25" w:history="1">
        <w:r w:rsidRPr="0023482E">
          <w:rPr>
            <w:rStyle w:val="charCitHyperlinkAbbrev"/>
          </w:rPr>
          <w:t>Legal Profession Act</w:t>
        </w:r>
      </w:hyperlink>
      <w:r w:rsidRPr="0023482E">
        <w:t xml:space="preserve">, division 3.2.7. </w:t>
      </w:r>
    </w:p>
    <w:p w14:paraId="7DC5CF75" w14:textId="30EF174D"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86" w:tooltip="A2006-25" w:history="1">
        <w:r w:rsidRPr="0023482E">
          <w:rPr>
            <w:rStyle w:val="charCitHyperlinkAbbrev"/>
          </w:rPr>
          <w:t>Legal Profession Act</w:t>
        </w:r>
      </w:hyperlink>
      <w:r w:rsidRPr="0023482E">
        <w:t xml:space="preserve">, section 26 (1). </w:t>
      </w:r>
    </w:p>
    <w:p w14:paraId="28B4B590" w14:textId="77777777"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14:paraId="37A62B1B" w14:textId="77777777"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14:paraId="7CD083D2" w14:textId="77777777" w:rsidR="008112BD" w:rsidRPr="0023482E" w:rsidRDefault="008112BD" w:rsidP="008112BD">
      <w:pPr>
        <w:pStyle w:val="aDef"/>
      </w:pPr>
      <w:r w:rsidRPr="0023482E">
        <w:rPr>
          <w:rStyle w:val="charBoldItals"/>
        </w:rPr>
        <w:t>approved PLT course</w:t>
      </w:r>
      <w:r w:rsidRPr="0023482E">
        <w:t xml:space="preserve"> means a course approved under rule 3607G.</w:t>
      </w:r>
    </w:p>
    <w:p w14:paraId="665E0766" w14:textId="77777777"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14:paraId="404EB47D" w14:textId="77777777" w:rsidR="008112BD" w:rsidRPr="0023482E" w:rsidRDefault="008112BD" w:rsidP="008112BD">
      <w:pPr>
        <w:pStyle w:val="aDef"/>
      </w:pPr>
      <w:r w:rsidRPr="0023482E">
        <w:rPr>
          <w:rStyle w:val="charBoldItals"/>
        </w:rPr>
        <w:t>approved subject</w:t>
      </w:r>
      <w:r w:rsidRPr="0023482E">
        <w:t xml:space="preserve"> means a subject approved under rule 3607B.</w:t>
      </w:r>
    </w:p>
    <w:p w14:paraId="266EF07C" w14:textId="77777777"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14:paraId="090C8D0F" w14:textId="266331CB"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87" w:tooltip="A2006-25" w:history="1">
        <w:r w:rsidRPr="0023482E">
          <w:rPr>
            <w:rStyle w:val="charCitHyperlinkItal"/>
          </w:rPr>
          <w:t>Legal Profession Act 2006</w:t>
        </w:r>
      </w:hyperlink>
      <w:r w:rsidRPr="0023482E">
        <w:t>.</w:t>
      </w:r>
    </w:p>
    <w:p w14:paraId="418C1AEB" w14:textId="77777777" w:rsidR="008112BD" w:rsidRDefault="008112BD" w:rsidP="008112BD">
      <w:pPr>
        <w:pStyle w:val="AH5Sec"/>
      </w:pPr>
      <w:bookmarkStart w:id="1156" w:name="_Toc185514772"/>
      <w:r w:rsidRPr="00C8328B">
        <w:rPr>
          <w:rStyle w:val="CharSectNo"/>
        </w:rPr>
        <w:lastRenderedPageBreak/>
        <w:t>3601</w:t>
      </w:r>
      <w:r>
        <w:tab/>
        <w:t>Terms used in Legal Profession Act</w:t>
      </w:r>
      <w:bookmarkEnd w:id="1156"/>
    </w:p>
    <w:p w14:paraId="36F17221" w14:textId="5233ACAA" w:rsidR="008112BD" w:rsidRDefault="008112BD" w:rsidP="008112BD">
      <w:pPr>
        <w:pStyle w:val="Amainreturn"/>
        <w:keepNext/>
      </w:pPr>
      <w:r>
        <w:t xml:space="preserve">A term used in the </w:t>
      </w:r>
      <w:hyperlink r:id="rId488" w:tooltip="A2006-25" w:history="1">
        <w:r w:rsidRPr="002B0419">
          <w:rPr>
            <w:rStyle w:val="charCitHyperlinkAbbrev"/>
          </w:rPr>
          <w:t>Legal Profession Act</w:t>
        </w:r>
      </w:hyperlink>
      <w:r>
        <w:t xml:space="preserve"> has the same meaning in this part.</w:t>
      </w:r>
    </w:p>
    <w:p w14:paraId="67B41DC6" w14:textId="30D84540"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89" w:tooltip="A2006-25" w:history="1">
        <w:r w:rsidRPr="002B0419">
          <w:rPr>
            <w:rStyle w:val="charCitHyperlinkAbbrev"/>
          </w:rPr>
          <w:t>Legal Profession Act</w:t>
        </w:r>
      </w:hyperlink>
      <w:r>
        <w:t>, dict:</w:t>
      </w:r>
    </w:p>
    <w:p w14:paraId="03E72134" w14:textId="77777777" w:rsidR="008112BD" w:rsidRDefault="008112BD" w:rsidP="008112BD">
      <w:pPr>
        <w:pStyle w:val="aNoteBulletss"/>
        <w:tabs>
          <w:tab w:val="left" w:pos="2300"/>
        </w:tabs>
      </w:pPr>
      <w:r>
        <w:rPr>
          <w:rFonts w:ascii="Symbol" w:hAnsi="Symbol"/>
        </w:rPr>
        <w:t></w:t>
      </w:r>
      <w:r>
        <w:rPr>
          <w:rFonts w:ascii="Symbol" w:hAnsi="Symbol"/>
        </w:rPr>
        <w:tab/>
      </w:r>
      <w:r>
        <w:t>admissions board</w:t>
      </w:r>
    </w:p>
    <w:p w14:paraId="54F18D6C" w14:textId="77777777"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14:paraId="51CB57A7" w14:textId="77777777" w:rsidR="008112BD" w:rsidRDefault="008112BD" w:rsidP="008112BD">
      <w:pPr>
        <w:pStyle w:val="aNoteBulletss"/>
        <w:tabs>
          <w:tab w:val="left" w:pos="2300"/>
        </w:tabs>
      </w:pPr>
      <w:r>
        <w:rPr>
          <w:rFonts w:ascii="Symbol" w:hAnsi="Symbol"/>
        </w:rPr>
        <w:t></w:t>
      </w:r>
      <w:r>
        <w:rPr>
          <w:rFonts w:ascii="Symbol" w:hAnsi="Symbol"/>
        </w:rPr>
        <w:tab/>
      </w:r>
      <w:r>
        <w:t>bar council</w:t>
      </w:r>
    </w:p>
    <w:p w14:paraId="00EE7F55" w14:textId="77777777"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14:paraId="5897954D" w14:textId="77777777" w:rsidR="008112BD" w:rsidRDefault="008112BD" w:rsidP="008112BD">
      <w:pPr>
        <w:pStyle w:val="aNoteBulletss"/>
        <w:tabs>
          <w:tab w:val="left" w:pos="2300"/>
        </w:tabs>
      </w:pPr>
      <w:r>
        <w:rPr>
          <w:rFonts w:ascii="Symbol" w:hAnsi="Symbol"/>
        </w:rPr>
        <w:t></w:t>
      </w:r>
      <w:r>
        <w:rPr>
          <w:rFonts w:ascii="Symbol" w:hAnsi="Symbol"/>
        </w:rPr>
        <w:tab/>
      </w:r>
      <w:r>
        <w:t>conviction (see s 13 (1))</w:t>
      </w:r>
    </w:p>
    <w:p w14:paraId="4A47985E"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14:paraId="37AD3AF2"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14:paraId="0BBB25DE" w14:textId="77777777" w:rsidR="008112BD" w:rsidRDefault="008112BD" w:rsidP="008112BD">
      <w:pPr>
        <w:pStyle w:val="aNoteBulletss"/>
        <w:tabs>
          <w:tab w:val="left" w:pos="2300"/>
        </w:tabs>
      </w:pPr>
      <w:r>
        <w:rPr>
          <w:rFonts w:ascii="Symbol" w:hAnsi="Symbol"/>
        </w:rPr>
        <w:t></w:t>
      </w:r>
      <w:r>
        <w:rPr>
          <w:rFonts w:ascii="Symbol" w:hAnsi="Symbol"/>
        </w:rPr>
        <w:tab/>
      </w:r>
      <w:r>
        <w:t>law society council</w:t>
      </w:r>
    </w:p>
    <w:p w14:paraId="25A861DC" w14:textId="77777777" w:rsidR="008112BD" w:rsidRDefault="008112BD" w:rsidP="008112BD">
      <w:pPr>
        <w:pStyle w:val="aNoteBulletss"/>
        <w:tabs>
          <w:tab w:val="left" w:pos="2300"/>
        </w:tabs>
      </w:pPr>
      <w:r>
        <w:rPr>
          <w:rFonts w:ascii="Symbol" w:hAnsi="Symbol"/>
        </w:rPr>
        <w:t></w:t>
      </w:r>
      <w:r>
        <w:rPr>
          <w:rFonts w:ascii="Symbol" w:hAnsi="Symbol"/>
        </w:rPr>
        <w:tab/>
      </w:r>
      <w:r>
        <w:t>local roll</w:t>
      </w:r>
    </w:p>
    <w:p w14:paraId="47BEEED7" w14:textId="77777777"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14:paraId="02DD979C" w14:textId="77777777" w:rsidR="008112BD" w:rsidRDefault="008112BD" w:rsidP="008112BD">
      <w:pPr>
        <w:pStyle w:val="AH5Sec"/>
      </w:pPr>
      <w:bookmarkStart w:id="1157" w:name="_Toc185514773"/>
      <w:r w:rsidRPr="00C8328B">
        <w:rPr>
          <w:rStyle w:val="CharSectNo"/>
        </w:rPr>
        <w:t>3602</w:t>
      </w:r>
      <w:r>
        <w:tab/>
        <w:t>Application—pt 3.11</w:t>
      </w:r>
      <w:bookmarkEnd w:id="1157"/>
    </w:p>
    <w:p w14:paraId="0A0DE58F" w14:textId="77777777" w:rsidR="008112BD" w:rsidRDefault="008112BD" w:rsidP="008112BD">
      <w:pPr>
        <w:pStyle w:val="Amainreturn"/>
      </w:pPr>
      <w:r>
        <w:t>This part applies only in relation to the Supreme Court.</w:t>
      </w:r>
    </w:p>
    <w:p w14:paraId="522C6708" w14:textId="77777777" w:rsidR="008112BD" w:rsidRPr="00C8328B" w:rsidRDefault="008112BD" w:rsidP="008112BD">
      <w:pPr>
        <w:pStyle w:val="AH3Div"/>
      </w:pPr>
      <w:bookmarkStart w:id="1158" w:name="_Toc185514774"/>
      <w:r w:rsidRPr="00C8328B">
        <w:rPr>
          <w:rStyle w:val="CharDivNo"/>
        </w:rPr>
        <w:lastRenderedPageBreak/>
        <w:t>Division 3.11.2</w:t>
      </w:r>
      <w:r>
        <w:tab/>
      </w:r>
      <w:r w:rsidRPr="00C8328B">
        <w:rPr>
          <w:rStyle w:val="CharDivText"/>
        </w:rPr>
        <w:t>Admission of local lawyers</w:t>
      </w:r>
      <w:bookmarkEnd w:id="1158"/>
    </w:p>
    <w:p w14:paraId="0C7984B4" w14:textId="77777777" w:rsidR="008112BD" w:rsidRPr="0023482E" w:rsidRDefault="008112BD" w:rsidP="008112BD">
      <w:pPr>
        <w:pStyle w:val="AH4SubDiv"/>
      </w:pPr>
      <w:bookmarkStart w:id="1159" w:name="_Toc185514775"/>
      <w:r w:rsidRPr="0023482E">
        <w:t>Subdivision 3.11.2.1</w:t>
      </w:r>
      <w:r w:rsidRPr="0023482E">
        <w:tab/>
        <w:t>Academic qualifications</w:t>
      </w:r>
      <w:bookmarkEnd w:id="1159"/>
    </w:p>
    <w:p w14:paraId="2CE499AD" w14:textId="77777777" w:rsidR="008112BD" w:rsidRPr="0023482E" w:rsidRDefault="008112BD" w:rsidP="008112BD">
      <w:pPr>
        <w:pStyle w:val="AH5Sec"/>
      </w:pPr>
      <w:bookmarkStart w:id="1160" w:name="_Toc185514776"/>
      <w:r w:rsidRPr="00C8328B">
        <w:rPr>
          <w:rStyle w:val="CharSectNo"/>
        </w:rPr>
        <w:t>3605</w:t>
      </w:r>
      <w:r w:rsidRPr="0023482E">
        <w:tab/>
        <w:t>Admission—approved academic qualifications</w:t>
      </w:r>
      <w:r>
        <w:t>—Legal Profession Act, s 21 (5)</w:t>
      </w:r>
      <w:bookmarkEnd w:id="1160"/>
    </w:p>
    <w:p w14:paraId="58E842BC" w14:textId="77777777" w:rsidR="008112BD" w:rsidRPr="0023482E" w:rsidRDefault="008112BD" w:rsidP="00973EC9">
      <w:pPr>
        <w:pStyle w:val="Amain"/>
        <w:keepNext/>
      </w:pPr>
      <w:r w:rsidRPr="0023482E">
        <w:tab/>
        <w:t>(1)</w:t>
      </w:r>
      <w:r w:rsidRPr="0023482E">
        <w:tab/>
        <w:t>The academic qualifications approved for admission to the legal profession in the ACT are—</w:t>
      </w:r>
    </w:p>
    <w:p w14:paraId="61550BAC" w14:textId="77777777"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14:paraId="16ADBC79" w14:textId="77777777" w:rsidR="008112BD" w:rsidRPr="0023482E" w:rsidRDefault="008112BD" w:rsidP="008112BD">
      <w:pPr>
        <w:pStyle w:val="Asubpara"/>
      </w:pPr>
      <w:r w:rsidRPr="0023482E">
        <w:tab/>
        <w:t>(i)</w:t>
      </w:r>
      <w:r w:rsidRPr="0023482E">
        <w:tab/>
        <w:t>criminal law and procedure;</w:t>
      </w:r>
    </w:p>
    <w:p w14:paraId="22243285" w14:textId="77777777" w:rsidR="008112BD" w:rsidRPr="0023482E" w:rsidRDefault="008112BD" w:rsidP="008112BD">
      <w:pPr>
        <w:pStyle w:val="Asubpara"/>
      </w:pPr>
      <w:r w:rsidRPr="0023482E">
        <w:tab/>
        <w:t>(ii)</w:t>
      </w:r>
      <w:r w:rsidRPr="0023482E">
        <w:tab/>
        <w:t>the law of torts;</w:t>
      </w:r>
    </w:p>
    <w:p w14:paraId="61B2D382" w14:textId="77777777" w:rsidR="008112BD" w:rsidRPr="0023482E" w:rsidRDefault="008112BD" w:rsidP="008112BD">
      <w:pPr>
        <w:pStyle w:val="Asubpara"/>
      </w:pPr>
      <w:r w:rsidRPr="0023482E">
        <w:tab/>
        <w:t>(iii)</w:t>
      </w:r>
      <w:r w:rsidRPr="0023482E">
        <w:tab/>
        <w:t>the law relating to contracts;</w:t>
      </w:r>
    </w:p>
    <w:p w14:paraId="24690F19" w14:textId="77777777" w:rsidR="008112BD" w:rsidRPr="0023482E" w:rsidRDefault="008112BD" w:rsidP="008112BD">
      <w:pPr>
        <w:pStyle w:val="Asubpara"/>
      </w:pPr>
      <w:r w:rsidRPr="0023482E">
        <w:tab/>
        <w:t>(iv)</w:t>
      </w:r>
      <w:r w:rsidRPr="0023482E">
        <w:tab/>
        <w:t>the law relating to property, both real (including the law relating to Torrens system land) and personal;</w:t>
      </w:r>
    </w:p>
    <w:p w14:paraId="6D7508FF" w14:textId="77777777" w:rsidR="008112BD" w:rsidRPr="0023482E" w:rsidRDefault="008112BD" w:rsidP="008112BD">
      <w:pPr>
        <w:pStyle w:val="Asubpara"/>
      </w:pPr>
      <w:r w:rsidRPr="0023482E">
        <w:tab/>
        <w:t>(v)</w:t>
      </w:r>
      <w:r w:rsidRPr="0023482E">
        <w:tab/>
        <w:t>equity, including trusts;</w:t>
      </w:r>
    </w:p>
    <w:p w14:paraId="3DE71373" w14:textId="77777777" w:rsidR="008112BD" w:rsidRPr="0023482E" w:rsidRDefault="008112BD" w:rsidP="008112BD">
      <w:pPr>
        <w:pStyle w:val="Asubpara"/>
      </w:pPr>
      <w:r w:rsidRPr="0023482E">
        <w:tab/>
        <w:t>(vi)</w:t>
      </w:r>
      <w:r w:rsidRPr="0023482E">
        <w:tab/>
        <w:t>company law;</w:t>
      </w:r>
    </w:p>
    <w:p w14:paraId="64E20382" w14:textId="77777777" w:rsidR="008112BD" w:rsidRPr="0023482E" w:rsidRDefault="008112BD" w:rsidP="008112BD">
      <w:pPr>
        <w:pStyle w:val="Asubpara"/>
      </w:pPr>
      <w:r w:rsidRPr="0023482E">
        <w:tab/>
        <w:t>(vii)</w:t>
      </w:r>
      <w:r w:rsidRPr="0023482E">
        <w:tab/>
        <w:t>administrative law;</w:t>
      </w:r>
    </w:p>
    <w:p w14:paraId="4DAD7F2C" w14:textId="77777777" w:rsidR="008112BD" w:rsidRPr="0023482E" w:rsidRDefault="008112BD" w:rsidP="008112BD">
      <w:pPr>
        <w:pStyle w:val="Asubpara"/>
      </w:pPr>
      <w:r w:rsidRPr="0023482E">
        <w:tab/>
        <w:t>(viii)</w:t>
      </w:r>
      <w:r w:rsidRPr="0023482E">
        <w:tab/>
        <w:t>constitutional law of—</w:t>
      </w:r>
    </w:p>
    <w:p w14:paraId="13F498DF" w14:textId="77777777" w:rsidR="008112BD" w:rsidRPr="0023482E" w:rsidRDefault="008112BD" w:rsidP="008112BD">
      <w:pPr>
        <w:pStyle w:val="Asubsubpara"/>
      </w:pPr>
      <w:r w:rsidRPr="0023482E">
        <w:tab/>
        <w:t>(A)</w:t>
      </w:r>
      <w:r w:rsidRPr="0023482E">
        <w:tab/>
        <w:t>the Commonwealth; and</w:t>
      </w:r>
    </w:p>
    <w:p w14:paraId="29996D58" w14:textId="77777777" w:rsidR="008112BD" w:rsidRPr="0023482E" w:rsidRDefault="008112BD" w:rsidP="008112BD">
      <w:pPr>
        <w:pStyle w:val="Asubsubpara"/>
      </w:pPr>
      <w:r w:rsidRPr="0023482E">
        <w:tab/>
        <w:t>(B)</w:t>
      </w:r>
      <w:r w:rsidRPr="0023482E">
        <w:tab/>
        <w:t>the Territory, a State or the Northern Territory;</w:t>
      </w:r>
    </w:p>
    <w:p w14:paraId="7E0483A2" w14:textId="77777777" w:rsidR="008112BD" w:rsidRPr="0023482E" w:rsidRDefault="008112BD" w:rsidP="008112BD">
      <w:pPr>
        <w:pStyle w:val="Asubpara"/>
      </w:pPr>
      <w:r w:rsidRPr="0023482E">
        <w:tab/>
        <w:t>(ix)</w:t>
      </w:r>
      <w:r w:rsidRPr="0023482E">
        <w:tab/>
        <w:t>civil procedure;</w:t>
      </w:r>
    </w:p>
    <w:p w14:paraId="0E3AE6AD" w14:textId="77777777" w:rsidR="008112BD" w:rsidRPr="0023482E" w:rsidRDefault="008112BD" w:rsidP="008112BD">
      <w:pPr>
        <w:pStyle w:val="Asubpara"/>
      </w:pPr>
      <w:r w:rsidRPr="0023482E">
        <w:tab/>
        <w:t>(x)</w:t>
      </w:r>
      <w:r w:rsidRPr="0023482E">
        <w:tab/>
        <w:t>evidence;</w:t>
      </w:r>
    </w:p>
    <w:p w14:paraId="04B0220A" w14:textId="77777777" w:rsidR="008112BD" w:rsidRPr="0023482E" w:rsidRDefault="008112BD" w:rsidP="008112BD">
      <w:pPr>
        <w:pStyle w:val="Asubpara"/>
      </w:pPr>
      <w:r w:rsidRPr="0023482E">
        <w:tab/>
        <w:t>(xi)</w:t>
      </w:r>
      <w:r w:rsidRPr="0023482E">
        <w:tab/>
        <w:t>ethics and professional responsibility; and</w:t>
      </w:r>
    </w:p>
    <w:p w14:paraId="74168D08" w14:textId="77777777"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14:paraId="202D5CFA" w14:textId="77777777" w:rsidR="008112BD" w:rsidRDefault="008112BD" w:rsidP="008112BD">
      <w:pPr>
        <w:pStyle w:val="Amain"/>
      </w:pPr>
      <w:r w:rsidRPr="0023482E">
        <w:tab/>
        <w:t>(2)</w:t>
      </w:r>
      <w:r w:rsidRPr="0023482E">
        <w:tab/>
        <w:t>The admissions board may require an applicant to pass an examination nominated by the admissions board for subrule (1) (b).</w:t>
      </w:r>
    </w:p>
    <w:p w14:paraId="07549A0C" w14:textId="77777777"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14:paraId="53A66CD0" w14:textId="77777777"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14:paraId="32A95914" w14:textId="77777777" w:rsidR="009029CA" w:rsidRPr="009029CA" w:rsidRDefault="009029CA" w:rsidP="009029CA">
      <w:pPr>
        <w:pStyle w:val="Apara"/>
      </w:pPr>
      <w:r w:rsidRPr="008B7490">
        <w:tab/>
        <w:t>(b)</w:t>
      </w:r>
      <w:r w:rsidRPr="008B7490">
        <w:tab/>
        <w:t>apply for a compliance certificate within a stated time.</w:t>
      </w:r>
    </w:p>
    <w:p w14:paraId="25CB353A" w14:textId="77777777"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14:paraId="7FC5A731" w14:textId="77777777" w:rsidR="008112BD" w:rsidRPr="0023482E" w:rsidRDefault="008112BD" w:rsidP="008112BD">
      <w:pPr>
        <w:pStyle w:val="AH4SubDiv"/>
      </w:pPr>
      <w:bookmarkStart w:id="1161" w:name="_Toc185514777"/>
      <w:r w:rsidRPr="0023482E">
        <w:t>Subdivision 3.11.2.2</w:t>
      </w:r>
      <w:r w:rsidRPr="0023482E">
        <w:tab/>
        <w:t>Approval of academic institutions</w:t>
      </w:r>
      <w:bookmarkEnd w:id="1161"/>
    </w:p>
    <w:p w14:paraId="5CABFAAF" w14:textId="77777777" w:rsidR="008112BD" w:rsidRPr="0023482E" w:rsidRDefault="008112BD" w:rsidP="008112BD">
      <w:pPr>
        <w:pStyle w:val="AH5Sec"/>
      </w:pPr>
      <w:bookmarkStart w:id="1162" w:name="_Toc185514778"/>
      <w:r w:rsidRPr="00C8328B">
        <w:rPr>
          <w:rStyle w:val="CharSectNo"/>
        </w:rPr>
        <w:t>3606</w:t>
      </w:r>
      <w:r w:rsidRPr="0023482E">
        <w:tab/>
        <w:t>Approved academic institutions</w:t>
      </w:r>
      <w:bookmarkEnd w:id="1162"/>
    </w:p>
    <w:p w14:paraId="4CBCFD64" w14:textId="77777777" w:rsidR="008112BD" w:rsidRPr="0023482E" w:rsidRDefault="008112BD" w:rsidP="008112BD">
      <w:pPr>
        <w:pStyle w:val="Amain"/>
      </w:pPr>
      <w:r w:rsidRPr="0023482E">
        <w:tab/>
        <w:t>(1)</w:t>
      </w:r>
      <w:r w:rsidRPr="0023482E">
        <w:tab/>
        <w:t>Subject to subrule (3) (a), each of the following is an approved academic institution:</w:t>
      </w:r>
    </w:p>
    <w:p w14:paraId="0951BBCD" w14:textId="77777777" w:rsidR="008112BD" w:rsidRPr="0023482E" w:rsidRDefault="008112BD" w:rsidP="008112BD">
      <w:pPr>
        <w:pStyle w:val="Apara"/>
      </w:pPr>
      <w:r w:rsidRPr="0023482E">
        <w:tab/>
        <w:t>(a)</w:t>
      </w:r>
      <w:r w:rsidRPr="0023482E">
        <w:tab/>
        <w:t>the Australian National University;</w:t>
      </w:r>
    </w:p>
    <w:p w14:paraId="1F9E4C1D" w14:textId="77777777" w:rsidR="008112BD" w:rsidRPr="0023482E" w:rsidRDefault="008112BD" w:rsidP="008112BD">
      <w:pPr>
        <w:pStyle w:val="Apara"/>
      </w:pPr>
      <w:r w:rsidRPr="0023482E">
        <w:tab/>
        <w:t>(b)</w:t>
      </w:r>
      <w:r w:rsidRPr="0023482E">
        <w:tab/>
        <w:t>the University of Canberra;</w:t>
      </w:r>
    </w:p>
    <w:p w14:paraId="16DAC78F" w14:textId="77777777" w:rsidR="008112BD" w:rsidRPr="0023482E" w:rsidRDefault="008112BD" w:rsidP="008112BD">
      <w:pPr>
        <w:pStyle w:val="Apara"/>
      </w:pPr>
      <w:r w:rsidRPr="0023482E">
        <w:tab/>
        <w:t>(c)</w:t>
      </w:r>
      <w:r w:rsidRPr="0023482E">
        <w:tab/>
        <w:t>an institution recognised by another Australian jurisdiction as providing a course of study which—</w:t>
      </w:r>
    </w:p>
    <w:p w14:paraId="62267650" w14:textId="77777777" w:rsidR="008112BD" w:rsidRPr="0023482E" w:rsidRDefault="008112BD" w:rsidP="008112BD">
      <w:pPr>
        <w:pStyle w:val="Asubpara"/>
      </w:pPr>
      <w:r w:rsidRPr="0023482E">
        <w:tab/>
        <w:t>(i)</w:t>
      </w:r>
      <w:r w:rsidRPr="0023482E">
        <w:tab/>
        <w:t>satisfies the academic requirements for admission in that jurisdiction; and</w:t>
      </w:r>
    </w:p>
    <w:p w14:paraId="7895D232" w14:textId="77777777"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14:paraId="26ADC106" w14:textId="77777777"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14:paraId="72D2DC91" w14:textId="77777777" w:rsidR="008112BD" w:rsidRPr="0023482E" w:rsidRDefault="008112BD" w:rsidP="00973EC9">
      <w:pPr>
        <w:pStyle w:val="Amain"/>
        <w:keepNext/>
      </w:pPr>
      <w:r w:rsidRPr="0023482E">
        <w:tab/>
        <w:t>(3)</w:t>
      </w:r>
      <w:r w:rsidRPr="0023482E">
        <w:tab/>
        <w:t>The admissions board may—</w:t>
      </w:r>
    </w:p>
    <w:p w14:paraId="1E649B44" w14:textId="77777777"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14:paraId="14A54B75" w14:textId="77777777"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14:paraId="244C937C" w14:textId="77777777" w:rsidR="008112BD" w:rsidRPr="0023482E" w:rsidRDefault="008112BD" w:rsidP="008112BD">
      <w:pPr>
        <w:pStyle w:val="AH5Sec"/>
      </w:pPr>
      <w:bookmarkStart w:id="1163" w:name="_Toc185514779"/>
      <w:r w:rsidRPr="00C8328B">
        <w:rPr>
          <w:rStyle w:val="CharSectNo"/>
        </w:rPr>
        <w:t>3607</w:t>
      </w:r>
      <w:r w:rsidRPr="0023482E">
        <w:tab/>
        <w:t>Monitoring and review</w:t>
      </w:r>
      <w:bookmarkEnd w:id="1163"/>
    </w:p>
    <w:p w14:paraId="28C2B691"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50E2AD32" w14:textId="77777777"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14:paraId="231B2CCF" w14:textId="77777777" w:rsidR="008112BD" w:rsidRPr="0023482E" w:rsidRDefault="008112BD" w:rsidP="008112BD">
      <w:pPr>
        <w:pStyle w:val="Apara"/>
      </w:pPr>
      <w:r w:rsidRPr="0023482E">
        <w:tab/>
        <w:t>(b)</w:t>
      </w:r>
      <w:r w:rsidRPr="0023482E">
        <w:tab/>
        <w:t>the content and conduct of an approved course of study or any approved subject provided by the institution.</w:t>
      </w:r>
    </w:p>
    <w:p w14:paraId="6492CC47" w14:textId="77777777" w:rsidR="008112BD" w:rsidRPr="0023482E" w:rsidRDefault="008112BD" w:rsidP="008112BD">
      <w:pPr>
        <w:pStyle w:val="Amain"/>
      </w:pPr>
      <w:r w:rsidRPr="0023482E">
        <w:tab/>
        <w:t>(2)</w:t>
      </w:r>
      <w:r w:rsidRPr="0023482E">
        <w:tab/>
        <w:t>The admissions board may, after consulting an approved academic institution—</w:t>
      </w:r>
    </w:p>
    <w:p w14:paraId="6EB399C8" w14:textId="77777777"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14:paraId="7B1F6D43" w14:textId="77777777" w:rsidR="008112BD" w:rsidRPr="0023482E" w:rsidRDefault="008112BD" w:rsidP="008112BD">
      <w:pPr>
        <w:pStyle w:val="Apara"/>
      </w:pPr>
      <w:r w:rsidRPr="0023482E">
        <w:tab/>
        <w:t>(b)</w:t>
      </w:r>
      <w:r w:rsidRPr="0023482E">
        <w:tab/>
        <w:t>determine the terms of reference for the review.</w:t>
      </w:r>
    </w:p>
    <w:p w14:paraId="7FAF9AD9" w14:textId="77777777"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14:paraId="0ED46C3F" w14:textId="77777777"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14:paraId="064978A5" w14:textId="77777777"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14:paraId="4BA5F78E" w14:textId="77777777" w:rsidR="008112BD" w:rsidRPr="0023482E" w:rsidRDefault="008112BD" w:rsidP="008112BD">
      <w:pPr>
        <w:pStyle w:val="AH4SubDiv"/>
      </w:pPr>
      <w:bookmarkStart w:id="1164" w:name="_Toc185514780"/>
      <w:r w:rsidRPr="0023482E">
        <w:t>Subdivision 3.11.2.3</w:t>
      </w:r>
      <w:r w:rsidRPr="0023482E">
        <w:tab/>
        <w:t>Approval of course of study</w:t>
      </w:r>
      <w:bookmarkEnd w:id="1164"/>
    </w:p>
    <w:p w14:paraId="3916E378" w14:textId="77777777" w:rsidR="008112BD" w:rsidRPr="0023482E" w:rsidRDefault="008112BD" w:rsidP="008112BD">
      <w:pPr>
        <w:pStyle w:val="AH5Sec"/>
      </w:pPr>
      <w:bookmarkStart w:id="1165" w:name="_Toc185514781"/>
      <w:r w:rsidRPr="00C8328B">
        <w:rPr>
          <w:rStyle w:val="CharSectNo"/>
        </w:rPr>
        <w:t>3607A</w:t>
      </w:r>
      <w:r w:rsidRPr="0023482E">
        <w:tab/>
        <w:t>Approval of course of study</w:t>
      </w:r>
      <w:bookmarkEnd w:id="1165"/>
    </w:p>
    <w:p w14:paraId="3E21471D" w14:textId="77777777"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14:paraId="1DB1F92E" w14:textId="77777777" w:rsidR="008112BD" w:rsidRPr="0023482E" w:rsidRDefault="008112BD" w:rsidP="008112BD">
      <w:pPr>
        <w:pStyle w:val="Amain"/>
      </w:pPr>
      <w:r w:rsidRPr="0023482E">
        <w:tab/>
        <w:t>(2)</w:t>
      </w:r>
      <w:r w:rsidRPr="0023482E">
        <w:tab/>
        <w:t>The admissions board may—</w:t>
      </w:r>
    </w:p>
    <w:p w14:paraId="4FB124CA" w14:textId="77777777"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14:paraId="59DD335F" w14:textId="77777777"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14:paraId="1608A320" w14:textId="77777777" w:rsidR="008112BD" w:rsidRPr="0023482E" w:rsidRDefault="008112BD" w:rsidP="008112BD">
      <w:pPr>
        <w:pStyle w:val="AH5Sec"/>
      </w:pPr>
      <w:bookmarkStart w:id="1166" w:name="_Toc185514782"/>
      <w:r w:rsidRPr="00C8328B">
        <w:rPr>
          <w:rStyle w:val="CharSectNo"/>
        </w:rPr>
        <w:t>3607B</w:t>
      </w:r>
      <w:r w:rsidRPr="0023482E">
        <w:tab/>
        <w:t>Approval of subjects</w:t>
      </w:r>
      <w:bookmarkEnd w:id="1166"/>
    </w:p>
    <w:p w14:paraId="6466AD68" w14:textId="77777777" w:rsidR="008112BD" w:rsidRPr="0023482E" w:rsidRDefault="008112BD" w:rsidP="008112BD">
      <w:pPr>
        <w:pStyle w:val="Amain"/>
      </w:pPr>
      <w:r w:rsidRPr="0023482E">
        <w:tab/>
        <w:t>(1)</w:t>
      </w:r>
      <w:r w:rsidRPr="0023482E">
        <w:tab/>
        <w:t>The admissions board may approve any subject or part of a subject in either—</w:t>
      </w:r>
    </w:p>
    <w:p w14:paraId="5217641E" w14:textId="77777777" w:rsidR="008112BD" w:rsidRPr="0023482E" w:rsidRDefault="008112BD" w:rsidP="008112BD">
      <w:pPr>
        <w:pStyle w:val="Apara"/>
      </w:pPr>
      <w:r w:rsidRPr="0023482E">
        <w:tab/>
        <w:t>(a)</w:t>
      </w:r>
      <w:r w:rsidRPr="0023482E">
        <w:tab/>
        <w:t>a course of study approved under rule 3607A; or</w:t>
      </w:r>
    </w:p>
    <w:p w14:paraId="6668BDF8" w14:textId="77777777" w:rsidR="008112BD" w:rsidRPr="0023482E" w:rsidRDefault="008112BD" w:rsidP="008112BD">
      <w:pPr>
        <w:pStyle w:val="Apara"/>
      </w:pPr>
      <w:r w:rsidRPr="0023482E">
        <w:tab/>
        <w:t>(b)</w:t>
      </w:r>
      <w:r w:rsidRPr="0023482E">
        <w:tab/>
        <w:t>a course of study at any other institution.</w:t>
      </w:r>
    </w:p>
    <w:p w14:paraId="5B4CC296" w14:textId="77777777"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14:paraId="2AD1D91F" w14:textId="77777777" w:rsidR="008112BD" w:rsidRPr="0023482E" w:rsidRDefault="008112BD" w:rsidP="008112BD">
      <w:pPr>
        <w:pStyle w:val="Amain"/>
      </w:pPr>
      <w:r w:rsidRPr="0023482E">
        <w:tab/>
        <w:t>(3)</w:t>
      </w:r>
      <w:r w:rsidRPr="0023482E">
        <w:tab/>
        <w:t>The admissions board may, as it considers appropriate, by written notice to an approved academic institution—</w:t>
      </w:r>
    </w:p>
    <w:p w14:paraId="4F8351ED" w14:textId="77777777" w:rsidR="008112BD" w:rsidRPr="0023482E" w:rsidRDefault="008112BD" w:rsidP="008112BD">
      <w:pPr>
        <w:pStyle w:val="Apara"/>
      </w:pPr>
      <w:r w:rsidRPr="0023482E">
        <w:tab/>
        <w:t>(a)</w:t>
      </w:r>
      <w:r w:rsidRPr="0023482E">
        <w:tab/>
        <w:t>withdraw approval of any subject or part of a subject; or</w:t>
      </w:r>
    </w:p>
    <w:p w14:paraId="7BEADEDD" w14:textId="77777777"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14:paraId="7C74C875" w14:textId="77777777"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14:paraId="273B1A3B" w14:textId="77777777" w:rsidR="008112BD" w:rsidRPr="0023482E" w:rsidRDefault="008112BD" w:rsidP="008112BD">
      <w:pPr>
        <w:pStyle w:val="AH5Sec"/>
      </w:pPr>
      <w:bookmarkStart w:id="1167" w:name="_Toc185514783"/>
      <w:r w:rsidRPr="00C8328B">
        <w:rPr>
          <w:rStyle w:val="CharSectNo"/>
        </w:rPr>
        <w:t>3607C</w:t>
      </w:r>
      <w:r w:rsidRPr="0023482E">
        <w:tab/>
        <w:t>Changes to approved courses of study</w:t>
      </w:r>
      <w:bookmarkEnd w:id="1167"/>
    </w:p>
    <w:p w14:paraId="216A084D" w14:textId="77777777"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14:paraId="7BCD34A8" w14:textId="77777777" w:rsidR="008112BD" w:rsidRPr="0023482E" w:rsidRDefault="008112BD" w:rsidP="008112BD">
      <w:pPr>
        <w:pStyle w:val="Apara"/>
      </w:pPr>
      <w:r w:rsidRPr="0023482E">
        <w:tab/>
        <w:t>(a)</w:t>
      </w:r>
      <w:r w:rsidRPr="0023482E">
        <w:tab/>
        <w:t>any material change to the curriculum for the approved course of study; and</w:t>
      </w:r>
    </w:p>
    <w:p w14:paraId="0A6A0433" w14:textId="77777777" w:rsidR="008112BD" w:rsidRPr="0023482E" w:rsidRDefault="008112BD" w:rsidP="008112BD">
      <w:pPr>
        <w:pStyle w:val="Apara"/>
      </w:pPr>
      <w:r w:rsidRPr="0023482E">
        <w:tab/>
        <w:t>(b)</w:t>
      </w:r>
      <w:r w:rsidRPr="0023482E">
        <w:tab/>
        <w:t>any proposed material change to the curriculum for the approved course of study; and</w:t>
      </w:r>
    </w:p>
    <w:p w14:paraId="202FD30C" w14:textId="77777777"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14:paraId="65C047E0"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14:paraId="1C925862" w14:textId="77777777"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14:paraId="355572AE" w14:textId="77777777" w:rsidR="008112BD" w:rsidRPr="0023482E" w:rsidRDefault="008112BD" w:rsidP="008112BD">
      <w:pPr>
        <w:pStyle w:val="Apara"/>
      </w:pPr>
      <w:r w:rsidRPr="0023482E">
        <w:tab/>
        <w:t>(a)</w:t>
      </w:r>
      <w:r w:rsidRPr="0023482E">
        <w:tab/>
        <w:t>approval of the approved course of study is confirmed or not confirmed; and</w:t>
      </w:r>
    </w:p>
    <w:p w14:paraId="2A1D5734" w14:textId="77777777"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14:paraId="42A71F23" w14:textId="77777777" w:rsidR="008112BD" w:rsidRPr="0023482E" w:rsidRDefault="008112BD" w:rsidP="008112BD">
      <w:pPr>
        <w:pStyle w:val="Amain"/>
      </w:pPr>
      <w:r w:rsidRPr="0023482E">
        <w:tab/>
        <w:t>(4)</w:t>
      </w:r>
      <w:r w:rsidRPr="0023482E">
        <w:tab/>
        <w:t>The admissions board may withdraw the approval of an approved course of study if—</w:t>
      </w:r>
    </w:p>
    <w:p w14:paraId="206252DD" w14:textId="77777777" w:rsidR="008112BD" w:rsidRPr="0023482E" w:rsidRDefault="008112BD" w:rsidP="008112BD">
      <w:pPr>
        <w:pStyle w:val="Apara"/>
      </w:pPr>
      <w:r w:rsidRPr="0023482E">
        <w:tab/>
        <w:t>(a)</w:t>
      </w:r>
      <w:r w:rsidRPr="0023482E">
        <w:tab/>
        <w:t>the board has determined not to confirm the approval of the approved course of study; and</w:t>
      </w:r>
    </w:p>
    <w:p w14:paraId="7711B742"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7DB04A0C"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6F159DED" w14:textId="77777777" w:rsidR="008112BD" w:rsidRPr="0023482E" w:rsidRDefault="008112BD" w:rsidP="008112BD">
      <w:pPr>
        <w:pStyle w:val="AH4SubDiv"/>
      </w:pPr>
      <w:bookmarkStart w:id="1168" w:name="_Toc185514784"/>
      <w:r w:rsidRPr="0023482E">
        <w:t>Subdivision 3.11.2.4</w:t>
      </w:r>
      <w:r w:rsidRPr="0023482E">
        <w:tab/>
        <w:t>Practical legal training</w:t>
      </w:r>
      <w:bookmarkEnd w:id="1168"/>
    </w:p>
    <w:p w14:paraId="2B5878C5" w14:textId="77777777" w:rsidR="008112BD" w:rsidRPr="0023482E" w:rsidRDefault="008112BD" w:rsidP="008112BD">
      <w:pPr>
        <w:pStyle w:val="AH5Sec"/>
      </w:pPr>
      <w:bookmarkStart w:id="1169" w:name="_Toc185514785"/>
      <w:r w:rsidRPr="00C8328B">
        <w:rPr>
          <w:rStyle w:val="CharSectNo"/>
        </w:rPr>
        <w:t>3607D</w:t>
      </w:r>
      <w:r w:rsidRPr="0023482E">
        <w:tab/>
        <w:t>Practical legal training</w:t>
      </w:r>
      <w:bookmarkEnd w:id="1169"/>
    </w:p>
    <w:p w14:paraId="7C1DF827" w14:textId="77777777" w:rsidR="008112BD" w:rsidRPr="0023482E" w:rsidRDefault="008112BD" w:rsidP="008112BD">
      <w:pPr>
        <w:pStyle w:val="Amain"/>
      </w:pPr>
      <w:r w:rsidRPr="0023482E">
        <w:tab/>
        <w:t>(1)</w:t>
      </w:r>
      <w:r w:rsidRPr="0023482E">
        <w:tab/>
        <w:t>The practical legal training approved for admission to the legal profession in the ACT is—</w:t>
      </w:r>
    </w:p>
    <w:p w14:paraId="24C5E129" w14:textId="77777777"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14:paraId="565BB870" w14:textId="77777777"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14:paraId="17BF72A9" w14:textId="77777777"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14:paraId="269E8C4C" w14:textId="77777777"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14:paraId="2B78FD5A" w14:textId="77777777"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14:paraId="5B9C32F2" w14:textId="77777777"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14:paraId="125B522C" w14:textId="77777777" w:rsidR="00AD144A" w:rsidRPr="008F52FA" w:rsidRDefault="00AD144A" w:rsidP="008F52FA">
      <w:pPr>
        <w:pStyle w:val="AH5Sec"/>
      </w:pPr>
      <w:bookmarkStart w:id="1170" w:name="_Toc185514786"/>
      <w:r w:rsidRPr="001D5CAF">
        <w:rPr>
          <w:rStyle w:val="CharSectNo"/>
        </w:rPr>
        <w:t>3607DA</w:t>
      </w:r>
      <w:r w:rsidRPr="008B7490">
        <w:tab/>
      </w:r>
      <w:r w:rsidRPr="008F52FA">
        <w:t>Early commencement of practical legal training</w:t>
      </w:r>
      <w:bookmarkEnd w:id="1170"/>
    </w:p>
    <w:p w14:paraId="546C16CF" w14:textId="77777777"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14:paraId="51B3DF36" w14:textId="77777777"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14:paraId="7C86F68D" w14:textId="77777777"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14:paraId="60AD7A8E" w14:textId="77777777" w:rsidR="00AD144A" w:rsidRPr="008B7490" w:rsidRDefault="00AD144A" w:rsidP="00AD144A">
      <w:pPr>
        <w:pStyle w:val="Apara"/>
      </w:pPr>
      <w:r w:rsidRPr="008B7490">
        <w:tab/>
        <w:t>(c)</w:t>
      </w:r>
      <w:r w:rsidRPr="008B7490">
        <w:tab/>
        <w:t>the person is enrolled in the course’s final subjects; and</w:t>
      </w:r>
    </w:p>
    <w:p w14:paraId="7A4372D3" w14:textId="77777777" w:rsidR="00AD144A" w:rsidRPr="008B7490" w:rsidRDefault="00AD144A" w:rsidP="00AD144A">
      <w:pPr>
        <w:pStyle w:val="Apara"/>
      </w:pPr>
      <w:r w:rsidRPr="008B7490">
        <w:tab/>
        <w:t>(d)</w:t>
      </w:r>
      <w:r w:rsidRPr="008B7490">
        <w:tab/>
        <w:t>there are exceptional circumstances in support of early commencement.</w:t>
      </w:r>
    </w:p>
    <w:p w14:paraId="0898EF4F" w14:textId="77777777" w:rsidR="00AD144A" w:rsidRPr="008B7490" w:rsidRDefault="00AD144A" w:rsidP="00AD144A">
      <w:pPr>
        <w:pStyle w:val="Amain"/>
      </w:pPr>
      <w:r w:rsidRPr="008B7490">
        <w:rPr>
          <w:color w:val="000000"/>
        </w:rPr>
        <w:tab/>
        <w:t>(2)</w:t>
      </w:r>
      <w:r w:rsidRPr="008B7490">
        <w:rPr>
          <w:color w:val="000000"/>
        </w:rPr>
        <w:tab/>
        <w:t>An application for early commencement must—</w:t>
      </w:r>
    </w:p>
    <w:p w14:paraId="6E21577A" w14:textId="77777777"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14:paraId="1025E2DA" w14:textId="77777777" w:rsidR="00AD144A" w:rsidRPr="008B7490" w:rsidRDefault="00AD144A" w:rsidP="00AD144A">
      <w:pPr>
        <w:pStyle w:val="Apara"/>
      </w:pPr>
      <w:r w:rsidRPr="008B7490">
        <w:tab/>
        <w:t>(b)</w:t>
      </w:r>
      <w:r w:rsidRPr="008B7490">
        <w:tab/>
        <w:t>include evidence in support of the exceptional circumstances (if any); and</w:t>
      </w:r>
    </w:p>
    <w:p w14:paraId="187C7EAB" w14:textId="77777777" w:rsidR="00AD144A" w:rsidRPr="008B7490" w:rsidRDefault="00AD144A" w:rsidP="00AD144A">
      <w:pPr>
        <w:pStyle w:val="Apara"/>
      </w:pPr>
      <w:r w:rsidRPr="008B7490">
        <w:lastRenderedPageBreak/>
        <w:tab/>
        <w:t>(c)</w:t>
      </w:r>
      <w:r w:rsidRPr="008B7490">
        <w:tab/>
        <w:t>include evidence that the person has satisfied subrule (1) (a) to (c).</w:t>
      </w:r>
    </w:p>
    <w:p w14:paraId="7B1425CF" w14:textId="77777777" w:rsidR="00AD144A" w:rsidRPr="008B7490" w:rsidRDefault="00AD144A" w:rsidP="00AD144A">
      <w:pPr>
        <w:pStyle w:val="Amain"/>
      </w:pPr>
      <w:r w:rsidRPr="008B7490">
        <w:rPr>
          <w:color w:val="000000"/>
        </w:rPr>
        <w:tab/>
        <w:t>(3)</w:t>
      </w:r>
      <w:r w:rsidRPr="008B7490">
        <w:rPr>
          <w:color w:val="000000"/>
        </w:rPr>
        <w:tab/>
        <w:t>The admissions board must—</w:t>
      </w:r>
    </w:p>
    <w:p w14:paraId="4EFB5F2C" w14:textId="77777777" w:rsidR="00AD144A" w:rsidRPr="008B7490" w:rsidRDefault="00AD144A" w:rsidP="00AD144A">
      <w:pPr>
        <w:pStyle w:val="Apara"/>
      </w:pPr>
      <w:r w:rsidRPr="008B7490">
        <w:rPr>
          <w:color w:val="000000"/>
        </w:rPr>
        <w:tab/>
        <w:t>(a)</w:t>
      </w:r>
      <w:r w:rsidRPr="008B7490">
        <w:rPr>
          <w:color w:val="000000"/>
        </w:rPr>
        <w:tab/>
        <w:t>approve the application; or</w:t>
      </w:r>
    </w:p>
    <w:p w14:paraId="1C7F0742" w14:textId="77777777" w:rsidR="00AD144A" w:rsidRPr="008B7490" w:rsidRDefault="00AD144A" w:rsidP="00AD144A">
      <w:pPr>
        <w:pStyle w:val="Apara"/>
      </w:pPr>
      <w:r w:rsidRPr="008B7490">
        <w:tab/>
        <w:t>(b)</w:t>
      </w:r>
      <w:r w:rsidRPr="008B7490">
        <w:tab/>
        <w:t>refuse to approve the application.</w:t>
      </w:r>
    </w:p>
    <w:p w14:paraId="50463482" w14:textId="77777777" w:rsidR="00AD144A" w:rsidRPr="008B7490" w:rsidRDefault="00AD144A" w:rsidP="00AD144A">
      <w:pPr>
        <w:pStyle w:val="Amain"/>
      </w:pPr>
      <w:r w:rsidRPr="008B7490">
        <w:rPr>
          <w:color w:val="000000"/>
        </w:rPr>
        <w:tab/>
        <w:t>(4)</w:t>
      </w:r>
      <w:r w:rsidRPr="008B7490">
        <w:rPr>
          <w:color w:val="000000"/>
        </w:rPr>
        <w:tab/>
        <w:t>In this section:</w:t>
      </w:r>
    </w:p>
    <w:p w14:paraId="30594EA5" w14:textId="77777777"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14:paraId="6D2AED99" w14:textId="77777777" w:rsidR="008112BD" w:rsidRPr="0023482E" w:rsidRDefault="008112BD" w:rsidP="008112BD">
      <w:pPr>
        <w:pStyle w:val="AH4SubDiv"/>
      </w:pPr>
      <w:bookmarkStart w:id="1171" w:name="_Toc185514787"/>
      <w:r w:rsidRPr="0023482E">
        <w:t>Subdivision 3.11.2.5</w:t>
      </w:r>
      <w:r w:rsidRPr="0023482E">
        <w:tab/>
        <w:t>Practical legal training providers and courses</w:t>
      </w:r>
      <w:bookmarkEnd w:id="1171"/>
    </w:p>
    <w:p w14:paraId="22EA08BC" w14:textId="77777777" w:rsidR="008112BD" w:rsidRPr="0023482E" w:rsidRDefault="008112BD" w:rsidP="008112BD">
      <w:pPr>
        <w:pStyle w:val="AH5Sec"/>
      </w:pPr>
      <w:bookmarkStart w:id="1172" w:name="_Toc185514788"/>
      <w:r w:rsidRPr="00C8328B">
        <w:rPr>
          <w:rStyle w:val="CharSectNo"/>
        </w:rPr>
        <w:t>3607E</w:t>
      </w:r>
      <w:r w:rsidRPr="0023482E">
        <w:tab/>
        <w:t>Approval of PLT providers</w:t>
      </w:r>
      <w:bookmarkEnd w:id="1172"/>
    </w:p>
    <w:p w14:paraId="075DDB68" w14:textId="77777777" w:rsidR="008112BD" w:rsidRPr="0023482E" w:rsidRDefault="008112BD" w:rsidP="008112BD">
      <w:pPr>
        <w:pStyle w:val="Amain"/>
      </w:pPr>
      <w:r w:rsidRPr="0023482E">
        <w:tab/>
        <w:t>(1)</w:t>
      </w:r>
      <w:r w:rsidRPr="0023482E">
        <w:tab/>
        <w:t>Subject to subrule (2) (a), each of the following is an approved PLT provider:</w:t>
      </w:r>
    </w:p>
    <w:p w14:paraId="36B6E6B8" w14:textId="77777777" w:rsidR="00E551B9" w:rsidRPr="00266A34" w:rsidRDefault="00E551B9" w:rsidP="00E551B9">
      <w:pPr>
        <w:pStyle w:val="Apara"/>
      </w:pPr>
      <w:r w:rsidRPr="00266A34">
        <w:tab/>
        <w:t>(a)</w:t>
      </w:r>
      <w:r w:rsidRPr="00266A34">
        <w:tab/>
        <w:t>the School of Legal Practice within the College of Law of the Australian National University;</w:t>
      </w:r>
    </w:p>
    <w:p w14:paraId="21BDF4B1" w14:textId="77777777" w:rsidR="008112BD" w:rsidRPr="0023482E" w:rsidRDefault="008112BD" w:rsidP="008112BD">
      <w:pPr>
        <w:pStyle w:val="Apara"/>
      </w:pPr>
      <w:r w:rsidRPr="0023482E">
        <w:tab/>
        <w:t>(b)</w:t>
      </w:r>
      <w:r w:rsidRPr="0023482E">
        <w:tab/>
        <w:t>an institution that the admissions board is satisfied will competently conduct an approved PLT course.</w:t>
      </w:r>
    </w:p>
    <w:p w14:paraId="0F60E798" w14:textId="77777777" w:rsidR="008112BD" w:rsidRPr="0023482E" w:rsidRDefault="008112BD" w:rsidP="008112BD">
      <w:pPr>
        <w:pStyle w:val="Amain"/>
      </w:pPr>
      <w:r w:rsidRPr="0023482E">
        <w:tab/>
        <w:t>(2)</w:t>
      </w:r>
      <w:r w:rsidRPr="0023482E">
        <w:tab/>
        <w:t>The admissions board may—</w:t>
      </w:r>
    </w:p>
    <w:p w14:paraId="13A17C07" w14:textId="77777777"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14:paraId="351FC8CC" w14:textId="77777777"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14:paraId="1F67130D" w14:textId="77777777" w:rsidR="008112BD" w:rsidRPr="0023482E" w:rsidRDefault="008112BD" w:rsidP="008112BD">
      <w:pPr>
        <w:pStyle w:val="AH5Sec"/>
      </w:pPr>
      <w:bookmarkStart w:id="1173" w:name="_Toc185514789"/>
      <w:r w:rsidRPr="00C8328B">
        <w:rPr>
          <w:rStyle w:val="CharSectNo"/>
        </w:rPr>
        <w:lastRenderedPageBreak/>
        <w:t>3607F</w:t>
      </w:r>
      <w:r w:rsidRPr="0023482E">
        <w:tab/>
        <w:t>Monitoring and review of approved PLT provider</w:t>
      </w:r>
      <w:bookmarkEnd w:id="1173"/>
    </w:p>
    <w:p w14:paraId="5052A480"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0D7DA6FB" w14:textId="77777777"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14:paraId="287BB4EA" w14:textId="77777777"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14:paraId="2CD844A8" w14:textId="77777777" w:rsidR="008112BD" w:rsidRPr="0023482E" w:rsidRDefault="008112BD" w:rsidP="008112BD">
      <w:pPr>
        <w:pStyle w:val="Amain"/>
      </w:pPr>
      <w:r w:rsidRPr="0023482E">
        <w:tab/>
        <w:t>(2)</w:t>
      </w:r>
      <w:r w:rsidRPr="0023482E">
        <w:tab/>
        <w:t>The admissions board may, after consulting an approved PLT provider—</w:t>
      </w:r>
    </w:p>
    <w:p w14:paraId="7FCEBE17" w14:textId="77777777"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14:paraId="395F6920" w14:textId="77777777" w:rsidR="008112BD" w:rsidRPr="0023482E" w:rsidRDefault="008112BD" w:rsidP="008112BD">
      <w:pPr>
        <w:pStyle w:val="Apara"/>
      </w:pPr>
      <w:r w:rsidRPr="0023482E">
        <w:tab/>
        <w:t>(b)</w:t>
      </w:r>
      <w:r w:rsidRPr="0023482E">
        <w:tab/>
        <w:t>determine the terms of reference for the review.</w:t>
      </w:r>
    </w:p>
    <w:p w14:paraId="1C50B257" w14:textId="77777777"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14:paraId="5ED6728B" w14:textId="77777777"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14:paraId="63F52E83" w14:textId="77777777"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14:paraId="500646A2" w14:textId="77777777" w:rsidR="008112BD" w:rsidRPr="0023482E" w:rsidRDefault="008112BD" w:rsidP="008112BD">
      <w:pPr>
        <w:pStyle w:val="AH5Sec"/>
      </w:pPr>
      <w:bookmarkStart w:id="1174" w:name="_Toc185514790"/>
      <w:r w:rsidRPr="00C8328B">
        <w:rPr>
          <w:rStyle w:val="CharSectNo"/>
        </w:rPr>
        <w:t>3607G</w:t>
      </w:r>
      <w:r w:rsidRPr="0023482E">
        <w:tab/>
        <w:t>Approval of training course</w:t>
      </w:r>
      <w:bookmarkEnd w:id="1174"/>
    </w:p>
    <w:p w14:paraId="1BD09609" w14:textId="77777777"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14:paraId="2C18A14D" w14:textId="77777777" w:rsidR="008112BD" w:rsidRPr="0023482E" w:rsidRDefault="008112BD" w:rsidP="008112BD">
      <w:pPr>
        <w:pStyle w:val="Amain"/>
      </w:pPr>
      <w:r w:rsidRPr="0023482E">
        <w:tab/>
        <w:t>(2)</w:t>
      </w:r>
      <w:r w:rsidRPr="0023482E">
        <w:tab/>
        <w:t>The admissions board may approve a course which is to be conducted wholly or partly online.</w:t>
      </w:r>
    </w:p>
    <w:p w14:paraId="47F0CC22" w14:textId="77777777"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14:paraId="7BD400ED" w14:textId="77777777" w:rsidR="008112BD" w:rsidRPr="0023482E" w:rsidRDefault="008112BD" w:rsidP="008112BD">
      <w:pPr>
        <w:pStyle w:val="Apara"/>
      </w:pPr>
      <w:r w:rsidRPr="0023482E">
        <w:tab/>
        <w:t>(a)</w:t>
      </w:r>
      <w:r w:rsidRPr="0023482E">
        <w:tab/>
        <w:t>withdraw approval for a course; or</w:t>
      </w:r>
    </w:p>
    <w:p w14:paraId="0F34765E" w14:textId="77777777"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14:paraId="6AADA7C6" w14:textId="77777777" w:rsidR="008112BD" w:rsidRPr="0023482E" w:rsidRDefault="008112BD" w:rsidP="008112BD">
      <w:pPr>
        <w:pStyle w:val="AH5Sec"/>
      </w:pPr>
      <w:bookmarkStart w:id="1175" w:name="_Toc185514791"/>
      <w:r w:rsidRPr="00C8328B">
        <w:rPr>
          <w:rStyle w:val="CharSectNo"/>
        </w:rPr>
        <w:t>3607H</w:t>
      </w:r>
      <w:r w:rsidRPr="0023482E">
        <w:tab/>
        <w:t>Changes to approved courses of study</w:t>
      </w:r>
      <w:bookmarkEnd w:id="1175"/>
    </w:p>
    <w:p w14:paraId="230A368A" w14:textId="77777777"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14:paraId="59DB1D47" w14:textId="77777777" w:rsidR="008112BD" w:rsidRPr="0023482E" w:rsidRDefault="008112BD" w:rsidP="008112BD">
      <w:pPr>
        <w:pStyle w:val="Apara"/>
      </w:pPr>
      <w:r w:rsidRPr="0023482E">
        <w:tab/>
        <w:t>(a)</w:t>
      </w:r>
      <w:r w:rsidRPr="0023482E">
        <w:tab/>
        <w:t>any material change to the curriculum for the approved PLT course; and</w:t>
      </w:r>
    </w:p>
    <w:p w14:paraId="45FF2221" w14:textId="77777777" w:rsidR="008112BD" w:rsidRPr="0023482E" w:rsidRDefault="008112BD" w:rsidP="008112BD">
      <w:pPr>
        <w:pStyle w:val="Apara"/>
      </w:pPr>
      <w:r w:rsidRPr="0023482E">
        <w:tab/>
        <w:t>(b)</w:t>
      </w:r>
      <w:r w:rsidRPr="0023482E">
        <w:tab/>
        <w:t>any proposed material change to the curriculum for the approved PLT course; and</w:t>
      </w:r>
    </w:p>
    <w:p w14:paraId="67CD370F" w14:textId="77777777"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14:paraId="46C629F1"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14:paraId="3B43E72E" w14:textId="77777777"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14:paraId="3708A761" w14:textId="77777777" w:rsidR="008112BD" w:rsidRPr="0023482E" w:rsidRDefault="008112BD" w:rsidP="008112BD">
      <w:pPr>
        <w:pStyle w:val="Apara"/>
      </w:pPr>
      <w:r w:rsidRPr="0023482E">
        <w:tab/>
        <w:t>(a)</w:t>
      </w:r>
      <w:r w:rsidRPr="0023482E">
        <w:tab/>
        <w:t>approval of the approved PLT course is confirmed or not confirmed; and</w:t>
      </w:r>
    </w:p>
    <w:p w14:paraId="6209FBA5" w14:textId="77777777"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14:paraId="3407C6C1" w14:textId="77777777" w:rsidR="008112BD" w:rsidRPr="0023482E" w:rsidRDefault="008112BD" w:rsidP="008112BD">
      <w:pPr>
        <w:pStyle w:val="Amain"/>
      </w:pPr>
      <w:r w:rsidRPr="0023482E">
        <w:lastRenderedPageBreak/>
        <w:tab/>
        <w:t>(4)</w:t>
      </w:r>
      <w:r w:rsidRPr="0023482E">
        <w:tab/>
        <w:t>The admissions board may withdraw the approval of an approved PLT course if—</w:t>
      </w:r>
    </w:p>
    <w:p w14:paraId="29609D7A" w14:textId="77777777" w:rsidR="008112BD" w:rsidRPr="0023482E" w:rsidRDefault="008112BD" w:rsidP="008112BD">
      <w:pPr>
        <w:pStyle w:val="Apara"/>
      </w:pPr>
      <w:r w:rsidRPr="0023482E">
        <w:tab/>
        <w:t>(a)</w:t>
      </w:r>
      <w:r w:rsidRPr="0023482E">
        <w:tab/>
        <w:t>the board has determined not to confirm the approval of the approved PLT course; and</w:t>
      </w:r>
    </w:p>
    <w:p w14:paraId="7A86101B"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0424E442"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1655629D" w14:textId="77777777" w:rsidR="008112BD" w:rsidRPr="0023482E" w:rsidRDefault="008112BD" w:rsidP="008112BD">
      <w:pPr>
        <w:pStyle w:val="AH4SubDiv"/>
      </w:pPr>
      <w:bookmarkStart w:id="1176" w:name="_Toc185514792"/>
      <w:r w:rsidRPr="0023482E">
        <w:t>Subdivision 3.11.2.6</w:t>
      </w:r>
      <w:r w:rsidRPr="0023482E">
        <w:tab/>
        <w:t>Admission—application and related matters</w:t>
      </w:r>
      <w:bookmarkEnd w:id="1176"/>
    </w:p>
    <w:p w14:paraId="64B4E212" w14:textId="77777777" w:rsidR="008112BD" w:rsidRDefault="008112BD" w:rsidP="008112BD">
      <w:pPr>
        <w:pStyle w:val="AH5Sec"/>
      </w:pPr>
      <w:bookmarkStart w:id="1177" w:name="_Toc185514793"/>
      <w:r w:rsidRPr="00C8328B">
        <w:rPr>
          <w:rStyle w:val="CharSectNo"/>
        </w:rPr>
        <w:t>3608</w:t>
      </w:r>
      <w:r>
        <w:tab/>
        <w:t>Admission—application for admission</w:t>
      </w:r>
      <w:bookmarkEnd w:id="1177"/>
    </w:p>
    <w:p w14:paraId="0A51BFDB" w14:textId="77777777" w:rsidR="008B29DE" w:rsidRPr="008B7490" w:rsidRDefault="008B29DE" w:rsidP="008B29DE">
      <w:pPr>
        <w:pStyle w:val="Amain"/>
      </w:pPr>
      <w:r w:rsidRPr="008B7490">
        <w:rPr>
          <w:color w:val="000000"/>
        </w:rPr>
        <w:tab/>
        <w:t>(1)</w:t>
      </w:r>
      <w:r w:rsidRPr="008B7490">
        <w:rPr>
          <w:color w:val="000000"/>
        </w:rPr>
        <w:tab/>
        <w:t>An application for admission must—</w:t>
      </w:r>
    </w:p>
    <w:p w14:paraId="7D39FCF0" w14:textId="77777777" w:rsidR="008B29DE" w:rsidRPr="008B7490" w:rsidRDefault="008B29DE" w:rsidP="008B29DE">
      <w:pPr>
        <w:pStyle w:val="Apara"/>
      </w:pPr>
      <w:r w:rsidRPr="008B7490">
        <w:rPr>
          <w:color w:val="000000"/>
        </w:rPr>
        <w:tab/>
        <w:t>(a)</w:t>
      </w:r>
      <w:r w:rsidRPr="008B7490">
        <w:rPr>
          <w:color w:val="000000"/>
        </w:rPr>
        <w:tab/>
        <w:t>be made by originating application; and</w:t>
      </w:r>
    </w:p>
    <w:p w14:paraId="34A96EDC" w14:textId="77777777"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14:paraId="630EC882" w14:textId="77777777"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14:paraId="492F1438" w14:textId="77777777" w:rsidR="008B29DE" w:rsidRPr="008B7490" w:rsidRDefault="008B29DE" w:rsidP="008B29DE">
      <w:pPr>
        <w:pStyle w:val="Asubpara"/>
      </w:pPr>
      <w:r w:rsidRPr="008B7490">
        <w:tab/>
        <w:t>(ii)</w:t>
      </w:r>
      <w:r w:rsidRPr="008B7490">
        <w:tab/>
        <w:t>an affidavit—</w:t>
      </w:r>
    </w:p>
    <w:p w14:paraId="2E277EE3" w14:textId="77777777"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14:paraId="3C3B9C70" w14:textId="77777777" w:rsidR="008B29DE" w:rsidRPr="008B7490" w:rsidRDefault="008B29DE" w:rsidP="008B29DE">
      <w:pPr>
        <w:pStyle w:val="Asubsubpara"/>
      </w:pPr>
      <w:r w:rsidRPr="008B7490">
        <w:tab/>
        <w:t>(B)</w:t>
      </w:r>
      <w:r w:rsidRPr="008B7490">
        <w:tab/>
        <w:t>giving evidence in support of the circumstances (if any).</w:t>
      </w:r>
    </w:p>
    <w:p w14:paraId="55ED4396" w14:textId="77777777" w:rsidR="008B29DE" w:rsidRPr="008B7490" w:rsidRDefault="008B29DE" w:rsidP="008B29DE">
      <w:pPr>
        <w:pStyle w:val="aExamHdgss"/>
        <w:rPr>
          <w:color w:val="000000"/>
        </w:rPr>
      </w:pPr>
      <w:r w:rsidRPr="008B7490">
        <w:rPr>
          <w:color w:val="000000"/>
        </w:rPr>
        <w:t>Example—exceptional circumstances</w:t>
      </w:r>
    </w:p>
    <w:p w14:paraId="0A46B59A" w14:textId="77777777"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14:paraId="55B17BD5" w14:textId="4477D827" w:rsidR="008112BD" w:rsidRDefault="008112BD" w:rsidP="008112BD">
      <w:pPr>
        <w:pStyle w:val="aNote"/>
      </w:pPr>
      <w:r w:rsidRPr="00FE0788">
        <w:rPr>
          <w:rStyle w:val="charItals"/>
        </w:rPr>
        <w:t>Note</w:t>
      </w:r>
      <w:r>
        <w:tab/>
        <w:t xml:space="preserve">See approved form 3.46 (Originating application for admission as a lawyer) </w:t>
      </w:r>
      <w:hyperlink r:id="rId490" w:history="1">
        <w:r w:rsidRPr="002B0419">
          <w:rPr>
            <w:rStyle w:val="charCitHyperlinkAbbrev"/>
          </w:rPr>
          <w:t>AF2007-70</w:t>
        </w:r>
      </w:hyperlink>
      <w:r>
        <w:t>.</w:t>
      </w:r>
    </w:p>
    <w:p w14:paraId="14E87EA3" w14:textId="77777777" w:rsidR="008112BD" w:rsidRDefault="008112BD" w:rsidP="008112BD">
      <w:pPr>
        <w:pStyle w:val="Amain"/>
        <w:keepNext/>
      </w:pPr>
      <w:r>
        <w:lastRenderedPageBreak/>
        <w:tab/>
        <w:t>(2)</w:t>
      </w:r>
      <w:r>
        <w:tab/>
        <w:t>The application must be supported by—</w:t>
      </w:r>
    </w:p>
    <w:p w14:paraId="364EE80A" w14:textId="77777777" w:rsidR="008112BD" w:rsidRDefault="008112BD" w:rsidP="008112BD">
      <w:pPr>
        <w:pStyle w:val="Apara"/>
      </w:pPr>
      <w:r>
        <w:tab/>
        <w:t>(a)</w:t>
      </w:r>
      <w:r>
        <w:tab/>
        <w:t>an affidavit by the applicant; and</w:t>
      </w:r>
    </w:p>
    <w:p w14:paraId="0C28A3A6" w14:textId="77777777" w:rsidR="008112BD" w:rsidRDefault="008112BD" w:rsidP="008112BD">
      <w:pPr>
        <w:pStyle w:val="Apara"/>
      </w:pPr>
      <w:r>
        <w:tab/>
        <w:t>(b)</w:t>
      </w:r>
      <w:r>
        <w:tab/>
        <w:t>at least 3 affidavits of character; and</w:t>
      </w:r>
    </w:p>
    <w:p w14:paraId="0E1ACCE2" w14:textId="77777777"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14:paraId="3532A8B5" w14:textId="0FAA4B48" w:rsidR="008112BD" w:rsidRDefault="008112BD" w:rsidP="008112BD">
      <w:pPr>
        <w:pStyle w:val="Amain"/>
      </w:pPr>
      <w:r>
        <w:tab/>
        <w:t>(3)</w:t>
      </w:r>
      <w:r>
        <w:tab/>
      </w:r>
      <w:r w:rsidR="006C4A1C" w:rsidRPr="00C1177F">
        <w:t>If the application is filed in paper form, the applicant</w:t>
      </w:r>
      <w:r>
        <w:t xml:space="preserve"> must file with the application a copy of the application and the affidavits mentioned in subrule (2).</w:t>
      </w:r>
    </w:p>
    <w:p w14:paraId="737F00D7" w14:textId="77777777" w:rsidR="008112BD" w:rsidRDefault="008112BD" w:rsidP="001817D5">
      <w:pPr>
        <w:pStyle w:val="Amain"/>
      </w:pPr>
      <w:r>
        <w:tab/>
        <w:t>(4)</w:t>
      </w:r>
      <w:r>
        <w:tab/>
        <w:t>The applicant’s affidavit must—</w:t>
      </w:r>
    </w:p>
    <w:p w14:paraId="6A50372E" w14:textId="77777777" w:rsidR="008112BD" w:rsidRDefault="008112BD" w:rsidP="001817D5">
      <w:pPr>
        <w:pStyle w:val="Apara"/>
      </w:pPr>
      <w:r>
        <w:tab/>
        <w:t>(a)</w:t>
      </w:r>
      <w:r>
        <w:tab/>
        <w:t>state whether the person has been convicted of an offence in Australia or a foreign country, and if so—</w:t>
      </w:r>
    </w:p>
    <w:p w14:paraId="2261E250" w14:textId="77777777" w:rsidR="008112BD" w:rsidRDefault="008112BD" w:rsidP="001817D5">
      <w:pPr>
        <w:pStyle w:val="Asubpara"/>
      </w:pPr>
      <w:r>
        <w:tab/>
        <w:t>(i)</w:t>
      </w:r>
      <w:r>
        <w:tab/>
        <w:t>the nature of the offence; and</w:t>
      </w:r>
    </w:p>
    <w:p w14:paraId="2033E18B" w14:textId="77777777" w:rsidR="008112BD" w:rsidRDefault="008112BD" w:rsidP="008112BD">
      <w:pPr>
        <w:pStyle w:val="Asubpara"/>
      </w:pPr>
      <w:r>
        <w:tab/>
        <w:t>(ii)</w:t>
      </w:r>
      <w:r>
        <w:tab/>
        <w:t>the court by which, and the date when, the person was convicted; and</w:t>
      </w:r>
    </w:p>
    <w:p w14:paraId="01605A1B" w14:textId="77777777" w:rsidR="008112BD" w:rsidRDefault="008112BD" w:rsidP="008112BD">
      <w:pPr>
        <w:pStyle w:val="Asubpara"/>
      </w:pPr>
      <w:r>
        <w:tab/>
        <w:t>(iii)</w:t>
      </w:r>
      <w:r>
        <w:tab/>
        <w:t>how long ago the offence was committed; and</w:t>
      </w:r>
    </w:p>
    <w:p w14:paraId="686D71A8" w14:textId="77777777" w:rsidR="008112BD" w:rsidRDefault="008112BD" w:rsidP="008112BD">
      <w:pPr>
        <w:pStyle w:val="Asubpara"/>
      </w:pPr>
      <w:r>
        <w:tab/>
        <w:t>(iv)</w:t>
      </w:r>
      <w:r>
        <w:tab/>
        <w:t>the person’s age when the offence was committed; and</w:t>
      </w:r>
    </w:p>
    <w:p w14:paraId="49AE2E8C" w14:textId="77777777"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14:paraId="3A3C811C" w14:textId="77777777" w:rsidR="008112BD" w:rsidRDefault="008112BD" w:rsidP="008112BD">
      <w:pPr>
        <w:pStyle w:val="Apara"/>
      </w:pPr>
      <w:r>
        <w:tab/>
        <w:t>(</w:t>
      </w:r>
      <w:r w:rsidR="001817D5">
        <w:t>c</w:t>
      </w:r>
      <w:r>
        <w:t>)</w:t>
      </w:r>
      <w:r>
        <w:tab/>
        <w:t>state whether there are other suitability matters relevant to the applicant’s fitness for admission; and</w:t>
      </w:r>
    </w:p>
    <w:p w14:paraId="3E31D741" w14:textId="77777777" w:rsidR="008112BD" w:rsidRDefault="008112BD" w:rsidP="008112BD">
      <w:pPr>
        <w:pStyle w:val="Apara"/>
        <w:keepNext/>
      </w:pPr>
      <w:r>
        <w:tab/>
        <w:t>(</w:t>
      </w:r>
      <w:r w:rsidR="001817D5">
        <w:t>d</w:t>
      </w:r>
      <w:r>
        <w:t>)</w:t>
      </w:r>
      <w:r>
        <w:tab/>
        <w:t>state an address that is the applicant’s address for service.</w:t>
      </w:r>
    </w:p>
    <w:p w14:paraId="191BA8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518AF24" w14:textId="77777777" w:rsidR="008112BD" w:rsidRDefault="008112BD" w:rsidP="008112BD">
      <w:pPr>
        <w:pStyle w:val="Amain"/>
        <w:keepNext/>
      </w:pPr>
      <w:r>
        <w:lastRenderedPageBreak/>
        <w:tab/>
        <w:t>(5)</w:t>
      </w:r>
      <w:r>
        <w:tab/>
        <w:t>An affidavit of character by a person must state—</w:t>
      </w:r>
    </w:p>
    <w:p w14:paraId="2F03E09B" w14:textId="77777777" w:rsidR="008112BD" w:rsidRDefault="008112BD" w:rsidP="008112BD">
      <w:pPr>
        <w:pStyle w:val="Apara"/>
        <w:keepNext/>
      </w:pPr>
      <w:r>
        <w:tab/>
        <w:t>(a)</w:t>
      </w:r>
      <w:r>
        <w:tab/>
        <w:t>how long the person has known the applicant; and</w:t>
      </w:r>
    </w:p>
    <w:p w14:paraId="42CC5CB2" w14:textId="77777777" w:rsidR="008112BD" w:rsidRDefault="008112BD" w:rsidP="008112BD">
      <w:pPr>
        <w:pStyle w:val="Apara"/>
      </w:pPr>
      <w:r>
        <w:tab/>
        <w:t>(b)</w:t>
      </w:r>
      <w:r>
        <w:tab/>
        <w:t>the circumstances in which the person has known the applicant; and</w:t>
      </w:r>
    </w:p>
    <w:p w14:paraId="350CEFF5" w14:textId="77777777" w:rsidR="008112BD" w:rsidRDefault="008112BD" w:rsidP="008112BD">
      <w:pPr>
        <w:pStyle w:val="Apara"/>
      </w:pPr>
      <w:r>
        <w:tab/>
        <w:t>(c)</w:t>
      </w:r>
      <w:r>
        <w:tab/>
        <w:t>whether there is or has been any professional or business relationship between the person and the applicant and, if so, the nature of the relationship; and</w:t>
      </w:r>
    </w:p>
    <w:p w14:paraId="4C5E54EF" w14:textId="77777777" w:rsidR="008112BD" w:rsidRDefault="008112BD" w:rsidP="008112BD">
      <w:pPr>
        <w:pStyle w:val="Apara"/>
      </w:pPr>
      <w:r>
        <w:tab/>
        <w:t>(d)</w:t>
      </w:r>
      <w:r>
        <w:tab/>
        <w:t>whether the person is related to the applicant by blood, affinity or adoption; and</w:t>
      </w:r>
    </w:p>
    <w:p w14:paraId="59ED20E0" w14:textId="77777777" w:rsidR="008112BD" w:rsidRDefault="008112BD" w:rsidP="008112BD">
      <w:pPr>
        <w:pStyle w:val="Apara"/>
      </w:pPr>
      <w:r>
        <w:tab/>
        <w:t>(e)</w:t>
      </w:r>
      <w:r>
        <w:tab/>
        <w:t>the person’s opinion about the fame and character of the applicant.</w:t>
      </w:r>
    </w:p>
    <w:p w14:paraId="79131939" w14:textId="77777777" w:rsidR="008112BD" w:rsidRDefault="008112BD" w:rsidP="008112BD">
      <w:pPr>
        <w:pStyle w:val="Amain"/>
      </w:pPr>
      <w:r>
        <w:tab/>
        <w:t>(6)</w:t>
      </w:r>
      <w:r>
        <w:tab/>
        <w:t>The court may direct that further evidence about an applicant’s fame and character be given in support of the application.</w:t>
      </w:r>
    </w:p>
    <w:p w14:paraId="6CBB9677" w14:textId="77777777" w:rsidR="008112BD" w:rsidRDefault="008112BD" w:rsidP="008112BD">
      <w:pPr>
        <w:pStyle w:val="AH5Sec"/>
      </w:pPr>
      <w:bookmarkStart w:id="1178" w:name="_Toc185514794"/>
      <w:r w:rsidRPr="00C8328B">
        <w:rPr>
          <w:rStyle w:val="CharSectNo"/>
        </w:rPr>
        <w:t>3609</w:t>
      </w:r>
      <w:r>
        <w:tab/>
        <w:t>Admission—when application must be made</w:t>
      </w:r>
      <w:bookmarkEnd w:id="1178"/>
    </w:p>
    <w:p w14:paraId="73884FAF" w14:textId="057A0CD1" w:rsidR="008112BD" w:rsidRDefault="008112BD" w:rsidP="008112BD">
      <w:pPr>
        <w:pStyle w:val="Amainreturn"/>
      </w:pPr>
      <w:r>
        <w:t>An application for admission must be filed in the court not later than 2</w:t>
      </w:r>
      <w:r w:rsidR="00D825E5">
        <w:t>8</w:t>
      </w:r>
      <w:r>
        <w:t xml:space="preserve"> days before the day the application is to be heard.</w:t>
      </w:r>
    </w:p>
    <w:p w14:paraId="4F65E189" w14:textId="77777777" w:rsidR="00CA4E7C" w:rsidRPr="008B7490" w:rsidRDefault="00CA4E7C" w:rsidP="00CA4E7C">
      <w:pPr>
        <w:pStyle w:val="AH5Sec"/>
      </w:pPr>
      <w:bookmarkStart w:id="1179" w:name="_Toc185514795"/>
      <w:r w:rsidRPr="00502908">
        <w:rPr>
          <w:rStyle w:val="CharSectNo"/>
        </w:rPr>
        <w:t>3609A</w:t>
      </w:r>
      <w:r w:rsidRPr="008B7490">
        <w:rPr>
          <w:color w:val="000000"/>
        </w:rPr>
        <w:tab/>
        <w:t>Request for absentee admission</w:t>
      </w:r>
      <w:bookmarkEnd w:id="1179"/>
    </w:p>
    <w:p w14:paraId="128A3371" w14:textId="77777777"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14:paraId="5AE43464" w14:textId="77777777" w:rsidR="00CA4E7C" w:rsidRPr="008B7490" w:rsidRDefault="00CA4E7C" w:rsidP="00CA4E7C">
      <w:pPr>
        <w:pStyle w:val="Amain"/>
      </w:pPr>
      <w:r w:rsidRPr="008B7490">
        <w:tab/>
        <w:t>(2)</w:t>
      </w:r>
      <w:r w:rsidRPr="008B7490">
        <w:tab/>
        <w:t>The admissions board must consider the request and either—</w:t>
      </w:r>
    </w:p>
    <w:p w14:paraId="7FBABEF6" w14:textId="77777777" w:rsidR="00CA4E7C" w:rsidRPr="008B7490" w:rsidRDefault="00CA4E7C" w:rsidP="00CA4E7C">
      <w:pPr>
        <w:pStyle w:val="Apara"/>
      </w:pPr>
      <w:r w:rsidRPr="008B7490">
        <w:rPr>
          <w:color w:val="000000"/>
        </w:rPr>
        <w:tab/>
        <w:t>(a)</w:t>
      </w:r>
      <w:r w:rsidRPr="008B7490">
        <w:rPr>
          <w:color w:val="000000"/>
        </w:rPr>
        <w:tab/>
        <w:t>approve the request; or</w:t>
      </w:r>
    </w:p>
    <w:p w14:paraId="3A3CCD04" w14:textId="77777777" w:rsidR="00CA4E7C" w:rsidRPr="008B7490" w:rsidRDefault="00CA4E7C" w:rsidP="00CA4E7C">
      <w:pPr>
        <w:pStyle w:val="Apara"/>
      </w:pPr>
      <w:r w:rsidRPr="008B7490">
        <w:tab/>
        <w:t>(b)</w:t>
      </w:r>
      <w:r w:rsidRPr="008B7490">
        <w:tab/>
        <w:t>refuse the request.</w:t>
      </w:r>
    </w:p>
    <w:p w14:paraId="4991F0CA" w14:textId="77777777"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14:paraId="7ECF4328" w14:textId="77777777" w:rsidR="008112BD" w:rsidRDefault="008112BD" w:rsidP="008112BD">
      <w:pPr>
        <w:pStyle w:val="AH5Sec"/>
      </w:pPr>
      <w:bookmarkStart w:id="1180" w:name="_Toc185514796"/>
      <w:r w:rsidRPr="00C8328B">
        <w:rPr>
          <w:rStyle w:val="CharSectNo"/>
        </w:rPr>
        <w:lastRenderedPageBreak/>
        <w:t>3610</w:t>
      </w:r>
      <w:r>
        <w:tab/>
        <w:t>Admission—compliance certificate (Legal Profession Act, s 30 (2))</w:t>
      </w:r>
      <w:bookmarkEnd w:id="1180"/>
    </w:p>
    <w:p w14:paraId="70504433" w14:textId="1A087518" w:rsidR="008112BD" w:rsidRDefault="008112BD" w:rsidP="008112BD">
      <w:pPr>
        <w:pStyle w:val="Amainreturn"/>
      </w:pPr>
      <w:r>
        <w:t xml:space="preserve">The admissions board must do the things required under the </w:t>
      </w:r>
      <w:hyperlink r:id="rId491"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14:paraId="52553D4E" w14:textId="77777777" w:rsidR="008112BD" w:rsidRDefault="008112BD" w:rsidP="008112BD">
      <w:pPr>
        <w:pStyle w:val="AH5Sec"/>
      </w:pPr>
      <w:bookmarkStart w:id="1181" w:name="_Toc185514797"/>
      <w:r w:rsidRPr="00C8328B">
        <w:rPr>
          <w:rStyle w:val="CharSectNo"/>
        </w:rPr>
        <w:t>3611</w:t>
      </w:r>
      <w:r>
        <w:tab/>
        <w:t>Admission—objection by bar council or law society council</w:t>
      </w:r>
      <w:bookmarkEnd w:id="1181"/>
    </w:p>
    <w:p w14:paraId="2B1DBF04" w14:textId="77777777" w:rsidR="008112BD" w:rsidRDefault="008112BD" w:rsidP="008112BD">
      <w:pPr>
        <w:pStyle w:val="Amain"/>
      </w:pPr>
      <w:r>
        <w:tab/>
        <w:t>(1)</w:t>
      </w:r>
      <w:r>
        <w:tab/>
        <w:t>This rule applies if the bar council or law society council intends to object to an application for admission.</w:t>
      </w:r>
    </w:p>
    <w:p w14:paraId="2F35C296" w14:textId="77777777" w:rsidR="008112BD" w:rsidRDefault="008112BD" w:rsidP="008112BD">
      <w:pPr>
        <w:pStyle w:val="Amain"/>
        <w:keepNext/>
      </w:pPr>
      <w:r>
        <w:tab/>
        <w:t>(2)</w:t>
      </w:r>
      <w:r>
        <w:tab/>
        <w:t>Not later than 4 days before the day the application is to be heard, it must serve on the applicant—</w:t>
      </w:r>
    </w:p>
    <w:p w14:paraId="3C76CEEE" w14:textId="77777777" w:rsidR="008112BD" w:rsidRDefault="008112BD" w:rsidP="008112BD">
      <w:pPr>
        <w:pStyle w:val="Apara"/>
      </w:pPr>
      <w:r>
        <w:tab/>
        <w:t>(a)</w:t>
      </w:r>
      <w:r>
        <w:tab/>
        <w:t>notice of its intention to object and the grounds for the objection; and</w:t>
      </w:r>
    </w:p>
    <w:p w14:paraId="34ED6384" w14:textId="77777777" w:rsidR="008112BD" w:rsidRDefault="008112BD" w:rsidP="008112BD">
      <w:pPr>
        <w:pStyle w:val="Apara"/>
      </w:pPr>
      <w:r>
        <w:tab/>
        <w:t>(b)</w:t>
      </w:r>
      <w:r>
        <w:tab/>
        <w:t>a copy of each affidavit it intends to use in support of its objection.</w:t>
      </w:r>
    </w:p>
    <w:p w14:paraId="120F9DBE" w14:textId="77777777"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14:paraId="7C232CE1" w14:textId="77777777" w:rsidR="008112BD" w:rsidRDefault="008112BD" w:rsidP="008112BD">
      <w:pPr>
        <w:pStyle w:val="Apara"/>
      </w:pPr>
      <w:r>
        <w:tab/>
        <w:t>(a)</w:t>
      </w:r>
      <w:r>
        <w:tab/>
        <w:t>the notice; and</w:t>
      </w:r>
    </w:p>
    <w:p w14:paraId="6C7DB00B" w14:textId="77777777" w:rsidR="008112BD" w:rsidRDefault="008112BD" w:rsidP="008112BD">
      <w:pPr>
        <w:pStyle w:val="Apara"/>
      </w:pPr>
      <w:r>
        <w:tab/>
        <w:t>(b)</w:t>
      </w:r>
      <w:r>
        <w:tab/>
        <w:t>each affidavit it intends to use in support of its objection; and</w:t>
      </w:r>
    </w:p>
    <w:p w14:paraId="2CD77D06" w14:textId="77777777" w:rsidR="008112BD" w:rsidRDefault="008112BD" w:rsidP="008112BD">
      <w:pPr>
        <w:pStyle w:val="Apara"/>
      </w:pPr>
      <w:r>
        <w:tab/>
        <w:t>(c)</w:t>
      </w:r>
      <w:r>
        <w:tab/>
        <w:t>an affidavit of service.</w:t>
      </w:r>
    </w:p>
    <w:p w14:paraId="61E41FBA" w14:textId="77777777" w:rsidR="008112BD" w:rsidRDefault="008112BD" w:rsidP="008112BD">
      <w:pPr>
        <w:pStyle w:val="AH5Sec"/>
      </w:pPr>
      <w:bookmarkStart w:id="1182" w:name="_Toc185514798"/>
      <w:r w:rsidRPr="00C8328B">
        <w:rPr>
          <w:rStyle w:val="CharSectNo"/>
        </w:rPr>
        <w:lastRenderedPageBreak/>
        <w:t>3612</w:t>
      </w:r>
      <w:r>
        <w:tab/>
        <w:t>Admission—appearance by bar council or law society council</w:t>
      </w:r>
      <w:bookmarkEnd w:id="1182"/>
    </w:p>
    <w:p w14:paraId="07A20687" w14:textId="77777777" w:rsidR="008112BD" w:rsidRDefault="008112BD" w:rsidP="00EB3EFE">
      <w:pPr>
        <w:pStyle w:val="Amain"/>
        <w:keepNext/>
      </w:pPr>
      <w:r>
        <w:tab/>
        <w:t>(1)</w:t>
      </w:r>
      <w:r>
        <w:tab/>
        <w:t>The bar council or law society council must, if asked by the court, appear and be heard on the hearing of an application for admission.</w:t>
      </w:r>
    </w:p>
    <w:p w14:paraId="6DE1285B" w14:textId="77777777" w:rsidR="008112BD" w:rsidRDefault="008112BD" w:rsidP="008112BD">
      <w:pPr>
        <w:pStyle w:val="Amain"/>
      </w:pPr>
      <w:r>
        <w:tab/>
        <w:t>(2)</w:t>
      </w:r>
      <w:r>
        <w:tab/>
        <w:t>The bar council or law society council may, on its own initiative, appear and be heard on the hearing of an application for admission, otherwise than for the purpose of objecting to the admission of the applicant.</w:t>
      </w:r>
    </w:p>
    <w:p w14:paraId="71D6178D" w14:textId="77777777" w:rsidR="008112BD" w:rsidRDefault="008112BD" w:rsidP="008112BD">
      <w:pPr>
        <w:pStyle w:val="AH5Sec"/>
      </w:pPr>
      <w:bookmarkStart w:id="1183" w:name="_Toc185514799"/>
      <w:r w:rsidRPr="00C8328B">
        <w:rPr>
          <w:rStyle w:val="CharSectNo"/>
        </w:rPr>
        <w:t>3613</w:t>
      </w:r>
      <w:r>
        <w:tab/>
        <w:t>Admission—applicant’s duty of frankness</w:t>
      </w:r>
      <w:bookmarkEnd w:id="1183"/>
    </w:p>
    <w:p w14:paraId="3D527D06" w14:textId="77777777"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14:paraId="20933250" w14:textId="77777777" w:rsidR="008112BD" w:rsidRDefault="008112BD" w:rsidP="008112BD">
      <w:pPr>
        <w:pStyle w:val="AH5Sec"/>
      </w:pPr>
      <w:bookmarkStart w:id="1184" w:name="_Toc185514800"/>
      <w:r w:rsidRPr="00C8328B">
        <w:rPr>
          <w:rStyle w:val="CharSectNo"/>
        </w:rPr>
        <w:t>3614</w:t>
      </w:r>
      <w:r>
        <w:tab/>
        <w:t>Admission—oath or affirmation</w:t>
      </w:r>
      <w:bookmarkEnd w:id="1184"/>
    </w:p>
    <w:p w14:paraId="49FDE674" w14:textId="77777777"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14:paraId="2C7EBD3E" w14:textId="77777777" w:rsidR="00C5715C" w:rsidRPr="008B7490" w:rsidRDefault="00C5715C" w:rsidP="00C5715C">
      <w:pPr>
        <w:pStyle w:val="Apara"/>
      </w:pPr>
      <w:r w:rsidRPr="008B7490">
        <w:rPr>
          <w:color w:val="000000"/>
        </w:rPr>
        <w:tab/>
        <w:t>(a)</w:t>
      </w:r>
      <w:r w:rsidRPr="008B7490">
        <w:rPr>
          <w:color w:val="000000"/>
        </w:rPr>
        <w:tab/>
        <w:t>before the court; or</w:t>
      </w:r>
    </w:p>
    <w:p w14:paraId="152EC9D8" w14:textId="77777777" w:rsidR="00C5715C" w:rsidRPr="008B7490" w:rsidRDefault="00C5715C" w:rsidP="00C5715C">
      <w:pPr>
        <w:pStyle w:val="Apara"/>
      </w:pPr>
      <w:r w:rsidRPr="008B7490">
        <w:tab/>
        <w:t>(b)</w:t>
      </w:r>
      <w:r w:rsidRPr="008B7490">
        <w:tab/>
        <w:t>if the admissions board approves the person’s request for absentee admission—in accordance with rule 3614A.</w:t>
      </w:r>
    </w:p>
    <w:p w14:paraId="3F022089" w14:textId="77777777" w:rsidR="008112BD" w:rsidRDefault="008112BD" w:rsidP="008112BD">
      <w:pPr>
        <w:pStyle w:val="Amain"/>
        <w:keepNext/>
      </w:pPr>
      <w:r>
        <w:tab/>
        <w:t>(2)</w:t>
      </w:r>
      <w:r>
        <w:tab/>
        <w:t>An oath taken under this rule must be in the following form:</w:t>
      </w:r>
    </w:p>
    <w:p w14:paraId="4FA70308" w14:textId="77777777"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14:paraId="552C2CE3" w14:textId="77777777" w:rsidR="008112BD" w:rsidRDefault="008112BD" w:rsidP="008112BD">
      <w:pPr>
        <w:pStyle w:val="Amainreturn"/>
      </w:pPr>
      <w:r>
        <w:t>So help me God!</w:t>
      </w:r>
    </w:p>
    <w:p w14:paraId="1AC2D849" w14:textId="77777777" w:rsidR="008112BD" w:rsidRDefault="008112BD" w:rsidP="008112BD">
      <w:pPr>
        <w:pStyle w:val="Amain"/>
        <w:keepNext/>
      </w:pPr>
      <w:r>
        <w:tab/>
        <w:t>(3)</w:t>
      </w:r>
      <w:r>
        <w:tab/>
        <w:t>An affirmation made under this rule must be in the following form:</w:t>
      </w:r>
    </w:p>
    <w:p w14:paraId="3FF01780" w14:textId="77777777"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14:paraId="78C25F11" w14:textId="77777777" w:rsidR="008F0BA6" w:rsidRPr="008B7490" w:rsidRDefault="008F0BA6" w:rsidP="008F0BA6">
      <w:pPr>
        <w:pStyle w:val="AH5Sec"/>
      </w:pPr>
      <w:bookmarkStart w:id="1185" w:name="_Toc185514801"/>
      <w:r w:rsidRPr="00EE0507">
        <w:rPr>
          <w:rStyle w:val="CharSectNo"/>
        </w:rPr>
        <w:lastRenderedPageBreak/>
        <w:t>3614A</w:t>
      </w:r>
      <w:r w:rsidRPr="008B7490">
        <w:rPr>
          <w:color w:val="000000"/>
        </w:rPr>
        <w:tab/>
        <w:t>Admission—absentee admission</w:t>
      </w:r>
      <w:bookmarkEnd w:id="1185"/>
    </w:p>
    <w:p w14:paraId="53C5F9A6" w14:textId="77777777" w:rsidR="008F0BA6" w:rsidRPr="008B7490" w:rsidRDefault="008F0BA6" w:rsidP="00CF21B0">
      <w:pPr>
        <w:pStyle w:val="Amain"/>
        <w:keepNext/>
      </w:pPr>
      <w:r w:rsidRPr="008B7490">
        <w:rPr>
          <w:color w:val="000000"/>
        </w:rPr>
        <w:tab/>
        <w:t>(1)</w:t>
      </w:r>
      <w:r w:rsidRPr="008B7490">
        <w:rPr>
          <w:color w:val="000000"/>
        </w:rPr>
        <w:tab/>
        <w:t>This rule applies if—</w:t>
      </w:r>
    </w:p>
    <w:p w14:paraId="6D07337D" w14:textId="77777777"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14:paraId="484F289D" w14:textId="77777777" w:rsidR="008F0BA6" w:rsidRPr="008B7490" w:rsidRDefault="008F0BA6" w:rsidP="008F0BA6">
      <w:pPr>
        <w:pStyle w:val="Apara"/>
      </w:pPr>
      <w:r w:rsidRPr="008B7490">
        <w:tab/>
        <w:t>(b)</w:t>
      </w:r>
      <w:r w:rsidRPr="008B7490">
        <w:tab/>
        <w:t>the admissions board has approved the applicant’s request for absentee admission; and</w:t>
      </w:r>
    </w:p>
    <w:p w14:paraId="1FD5DF96" w14:textId="564F7D32"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2" w:tooltip="A2006-25" w:history="1">
        <w:r w:rsidRPr="008B7490">
          <w:rPr>
            <w:rStyle w:val="charCitHyperlinkAbbrev"/>
          </w:rPr>
          <w:t>Legal Profession Act</w:t>
        </w:r>
      </w:hyperlink>
      <w:r w:rsidRPr="008B7490">
        <w:t xml:space="preserve"> in relation to the applicant; and</w:t>
      </w:r>
    </w:p>
    <w:p w14:paraId="6AEF3B15" w14:textId="77777777" w:rsidR="008F0BA6" w:rsidRPr="008B7490" w:rsidRDefault="008F0BA6" w:rsidP="008F0BA6">
      <w:pPr>
        <w:pStyle w:val="Apara"/>
      </w:pPr>
      <w:r w:rsidRPr="008B7490">
        <w:tab/>
        <w:t>(d)</w:t>
      </w:r>
      <w:r w:rsidRPr="008B7490">
        <w:tab/>
        <w:t>the court is satisfied that the person should be admitted.</w:t>
      </w:r>
    </w:p>
    <w:p w14:paraId="76BA7A4E" w14:textId="77777777" w:rsidR="008F0BA6" w:rsidRPr="008B7490" w:rsidRDefault="008F0BA6" w:rsidP="008F0BA6">
      <w:pPr>
        <w:pStyle w:val="Amain"/>
      </w:pPr>
      <w:r w:rsidRPr="008B7490">
        <w:rPr>
          <w:color w:val="000000"/>
        </w:rPr>
        <w:tab/>
        <w:t>(2)</w:t>
      </w:r>
      <w:r w:rsidRPr="008B7490">
        <w:rPr>
          <w:color w:val="000000"/>
        </w:rPr>
        <w:tab/>
        <w:t>The court must send the applicant—</w:t>
      </w:r>
    </w:p>
    <w:p w14:paraId="6AF2EEE8" w14:textId="77777777" w:rsidR="008F0BA6" w:rsidRPr="008B7490" w:rsidRDefault="008F0BA6" w:rsidP="008F0BA6">
      <w:pPr>
        <w:pStyle w:val="Apara"/>
      </w:pPr>
      <w:r w:rsidRPr="008B7490">
        <w:rPr>
          <w:color w:val="000000"/>
        </w:rPr>
        <w:tab/>
        <w:t>(a)</w:t>
      </w:r>
      <w:r w:rsidRPr="008B7490">
        <w:rPr>
          <w:color w:val="000000"/>
        </w:rPr>
        <w:tab/>
        <w:t>a supplementary roll sheet; and</w:t>
      </w:r>
    </w:p>
    <w:p w14:paraId="04C41BC4" w14:textId="77777777" w:rsidR="008F0BA6" w:rsidRPr="008B7490" w:rsidRDefault="008F0BA6" w:rsidP="008F0BA6">
      <w:pPr>
        <w:pStyle w:val="Apara"/>
      </w:pPr>
      <w:r w:rsidRPr="008B7490">
        <w:tab/>
        <w:t>(b)</w:t>
      </w:r>
      <w:r w:rsidRPr="008B7490">
        <w:tab/>
        <w:t>information about completing the supplementary roll.</w:t>
      </w:r>
    </w:p>
    <w:p w14:paraId="7269EDD1" w14:textId="77777777" w:rsidR="008F0BA6" w:rsidRPr="008B7490" w:rsidRDefault="008F0BA6" w:rsidP="008F0BA6">
      <w:pPr>
        <w:pStyle w:val="Amain"/>
      </w:pPr>
      <w:r w:rsidRPr="008B7490">
        <w:rPr>
          <w:color w:val="000000"/>
        </w:rPr>
        <w:tab/>
        <w:t>(3)</w:t>
      </w:r>
      <w:r w:rsidRPr="008B7490">
        <w:rPr>
          <w:color w:val="000000"/>
        </w:rPr>
        <w:tab/>
        <w:t>The applicant must—</w:t>
      </w:r>
    </w:p>
    <w:p w14:paraId="64D54CEE" w14:textId="77777777"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14:paraId="65F536C7" w14:textId="77777777" w:rsidR="008F0BA6" w:rsidRPr="008B7490" w:rsidRDefault="008F0BA6" w:rsidP="008F0BA6">
      <w:pPr>
        <w:pStyle w:val="Apara"/>
      </w:pPr>
      <w:r w:rsidRPr="008B7490">
        <w:tab/>
        <w:t>(b)</w:t>
      </w:r>
      <w:r w:rsidRPr="008B7490">
        <w:tab/>
        <w:t>sign the supplementary roll sheet before the authorised person.</w:t>
      </w:r>
    </w:p>
    <w:p w14:paraId="0B4354DA" w14:textId="77777777"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14:paraId="311AD988" w14:textId="77777777" w:rsidR="008F0BA6" w:rsidRPr="008B7490" w:rsidRDefault="008F0BA6" w:rsidP="008F0BA6">
      <w:pPr>
        <w:pStyle w:val="Apara"/>
      </w:pPr>
      <w:r w:rsidRPr="008B7490">
        <w:rPr>
          <w:color w:val="000000"/>
        </w:rPr>
        <w:tab/>
        <w:t>(a)</w:t>
      </w:r>
      <w:r w:rsidRPr="008B7490">
        <w:rPr>
          <w:color w:val="000000"/>
        </w:rPr>
        <w:tab/>
        <w:t>the signed supplementary roll sheet; and</w:t>
      </w:r>
    </w:p>
    <w:p w14:paraId="6E1801EE" w14:textId="77777777"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14:paraId="2A0F0B43" w14:textId="77777777"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14:paraId="1E2FD04D" w14:textId="77777777" w:rsidR="008F0BA6" w:rsidRPr="008B7490" w:rsidRDefault="008F0BA6" w:rsidP="008F0BA6">
      <w:pPr>
        <w:pStyle w:val="Amain"/>
      </w:pPr>
      <w:r w:rsidRPr="008B7490">
        <w:tab/>
        <w:t>(6)</w:t>
      </w:r>
      <w:r w:rsidRPr="008B7490">
        <w:tab/>
        <w:t>In this section:</w:t>
      </w:r>
    </w:p>
    <w:p w14:paraId="2B56CDF9" w14:textId="77777777"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14:paraId="3C28A58B" w14:textId="77777777"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14:paraId="7E63A866" w14:textId="77777777"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14:paraId="50404844" w14:textId="77777777" w:rsidR="008112BD" w:rsidRDefault="008112BD" w:rsidP="008112BD">
      <w:pPr>
        <w:pStyle w:val="AH5Sec"/>
      </w:pPr>
      <w:bookmarkStart w:id="1186" w:name="_Toc185514802"/>
      <w:r w:rsidRPr="00C8328B">
        <w:rPr>
          <w:rStyle w:val="CharSectNo"/>
        </w:rPr>
        <w:t>3615</w:t>
      </w:r>
      <w:r>
        <w:tab/>
        <w:t>Admission—entry on local roll</w:t>
      </w:r>
      <w:bookmarkEnd w:id="1186"/>
    </w:p>
    <w:p w14:paraId="4D21323E" w14:textId="77777777" w:rsidR="008112BD" w:rsidRDefault="008112BD" w:rsidP="008112BD">
      <w:pPr>
        <w:pStyle w:val="Amainreturn"/>
      </w:pPr>
      <w:r>
        <w:t>After a person is admitted, the registrar must enter on the local roll—</w:t>
      </w:r>
    </w:p>
    <w:p w14:paraId="0D9150B0" w14:textId="77777777" w:rsidR="008112BD" w:rsidRDefault="008112BD" w:rsidP="008112BD">
      <w:pPr>
        <w:pStyle w:val="Apara"/>
      </w:pPr>
      <w:r>
        <w:tab/>
        <w:t>(a)</w:t>
      </w:r>
      <w:r>
        <w:tab/>
        <w:t>the person’s name; and</w:t>
      </w:r>
    </w:p>
    <w:p w14:paraId="1AD13373" w14:textId="77777777" w:rsidR="008112BD" w:rsidRDefault="008112BD" w:rsidP="008112BD">
      <w:pPr>
        <w:pStyle w:val="Apara"/>
      </w:pPr>
      <w:r>
        <w:tab/>
        <w:t>(b)</w:t>
      </w:r>
      <w:r>
        <w:tab/>
        <w:t>the date of the person’s admission</w:t>
      </w:r>
      <w:r w:rsidR="00004B9B">
        <w:t>; and</w:t>
      </w:r>
    </w:p>
    <w:p w14:paraId="66AF8F80" w14:textId="77777777"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14:paraId="782121B3" w14:textId="77777777" w:rsidR="008112BD" w:rsidRPr="00C8328B" w:rsidRDefault="008112BD" w:rsidP="008112BD">
      <w:pPr>
        <w:pStyle w:val="AH3Div"/>
      </w:pPr>
      <w:bookmarkStart w:id="1187" w:name="_Toc185514803"/>
      <w:r w:rsidRPr="00C8328B">
        <w:rPr>
          <w:rStyle w:val="CharDivNo"/>
        </w:rPr>
        <w:t>Division 3.11.3</w:t>
      </w:r>
      <w:r w:rsidRPr="002B175D">
        <w:tab/>
      </w:r>
      <w:r w:rsidRPr="00C8328B">
        <w:rPr>
          <w:rStyle w:val="CharDivText"/>
        </w:rPr>
        <w:t>Assessment of client costs</w:t>
      </w:r>
      <w:bookmarkEnd w:id="1187"/>
    </w:p>
    <w:p w14:paraId="2A16C810" w14:textId="77777777" w:rsidR="008112BD" w:rsidRPr="002B175D" w:rsidRDefault="008112BD" w:rsidP="008112BD">
      <w:pPr>
        <w:pStyle w:val="AH5Sec"/>
      </w:pPr>
      <w:bookmarkStart w:id="1188" w:name="_Toc185514804"/>
      <w:r w:rsidRPr="00C8328B">
        <w:rPr>
          <w:rStyle w:val="CharSectNo"/>
        </w:rPr>
        <w:t>3620</w:t>
      </w:r>
      <w:r w:rsidRPr="002B175D">
        <w:tab/>
        <w:t>Application—div 3.11.3</w:t>
      </w:r>
      <w:bookmarkEnd w:id="1188"/>
    </w:p>
    <w:p w14:paraId="4705E75A" w14:textId="77777777" w:rsidR="008112BD" w:rsidRPr="002B175D" w:rsidRDefault="008112BD" w:rsidP="008112BD">
      <w:pPr>
        <w:pStyle w:val="Amainreturn"/>
      </w:pPr>
      <w:r w:rsidRPr="002B175D">
        <w:t>This division applies to an application for a costs assessment.</w:t>
      </w:r>
    </w:p>
    <w:p w14:paraId="488943DB" w14:textId="77777777" w:rsidR="008112BD" w:rsidRPr="002B175D" w:rsidRDefault="008112BD" w:rsidP="008112BD">
      <w:pPr>
        <w:pStyle w:val="AH5Sec"/>
      </w:pPr>
      <w:bookmarkStart w:id="1189" w:name="_Toc185514805"/>
      <w:r w:rsidRPr="00C8328B">
        <w:rPr>
          <w:rStyle w:val="CharSectNo"/>
        </w:rPr>
        <w:t>3621</w:t>
      </w:r>
      <w:r w:rsidRPr="002B175D">
        <w:tab/>
        <w:t>Form of application</w:t>
      </w:r>
      <w:bookmarkEnd w:id="1189"/>
    </w:p>
    <w:p w14:paraId="54FD126E" w14:textId="77777777" w:rsidR="008112BD" w:rsidRPr="002B175D" w:rsidRDefault="008112BD" w:rsidP="008112BD">
      <w:pPr>
        <w:pStyle w:val="Amain"/>
      </w:pPr>
      <w:r w:rsidRPr="002B175D">
        <w:tab/>
        <w:t>(1)</w:t>
      </w:r>
      <w:r w:rsidRPr="002B175D">
        <w:tab/>
        <w:t>An application for a costs assessment must be made by originating application.</w:t>
      </w:r>
    </w:p>
    <w:p w14:paraId="0BB8F90E" w14:textId="2F0A7FD4"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3" w:tooltip="Court Procedures Rules 2006—Form 3.47 — Originating application for costs assessment" w:history="1">
        <w:r w:rsidRPr="00E95F50">
          <w:rPr>
            <w:rStyle w:val="charCitHyperlinkAbbrev"/>
          </w:rPr>
          <w:t>AF2011-66</w:t>
        </w:r>
      </w:hyperlink>
      <w:r w:rsidRPr="00350CCF">
        <w:t>.</w:t>
      </w:r>
    </w:p>
    <w:p w14:paraId="52374190" w14:textId="77777777" w:rsidR="008112BD" w:rsidRPr="002B175D" w:rsidRDefault="008112BD" w:rsidP="008112BD">
      <w:pPr>
        <w:pStyle w:val="Amain"/>
      </w:pPr>
      <w:r w:rsidRPr="002B175D">
        <w:tab/>
        <w:t>(2)</w:t>
      </w:r>
      <w:r w:rsidRPr="002B175D">
        <w:tab/>
        <w:t>The application must be supported by—</w:t>
      </w:r>
    </w:p>
    <w:p w14:paraId="2CDB02FC" w14:textId="77777777" w:rsidR="008112BD" w:rsidRPr="002B175D" w:rsidRDefault="008112BD" w:rsidP="008112BD">
      <w:pPr>
        <w:pStyle w:val="Apara"/>
      </w:pPr>
      <w:r w:rsidRPr="002B175D">
        <w:tab/>
        <w:t>(a)</w:t>
      </w:r>
      <w:r w:rsidRPr="002B175D">
        <w:tab/>
        <w:t>if the legal costs are subject to a costs agreement—a copy of the agreement; and</w:t>
      </w:r>
    </w:p>
    <w:p w14:paraId="690E56EF" w14:textId="77777777" w:rsidR="008112BD" w:rsidRPr="002B175D" w:rsidRDefault="008112BD" w:rsidP="008112BD">
      <w:pPr>
        <w:pStyle w:val="Apara"/>
      </w:pPr>
      <w:r w:rsidRPr="002B175D">
        <w:tab/>
        <w:t>(b)</w:t>
      </w:r>
      <w:r w:rsidRPr="002B175D">
        <w:tab/>
        <w:t>if the legal costs are subject to a retainer—a copy of the retainer; and</w:t>
      </w:r>
    </w:p>
    <w:p w14:paraId="662A0369" w14:textId="063A29E1" w:rsidR="008112BD" w:rsidRPr="002B175D" w:rsidRDefault="008112BD" w:rsidP="00CF21B0">
      <w:pPr>
        <w:pStyle w:val="Apara"/>
        <w:keepNext/>
      </w:pPr>
      <w:r w:rsidRPr="002B175D">
        <w:lastRenderedPageBreak/>
        <w:tab/>
        <w:t>(c)</w:t>
      </w:r>
      <w:r w:rsidRPr="002B175D">
        <w:tab/>
        <w:t xml:space="preserve">if the application is made under the </w:t>
      </w:r>
      <w:hyperlink r:id="rId494" w:tooltip="A2006-25" w:history="1">
        <w:r w:rsidRPr="002B0419">
          <w:rPr>
            <w:rStyle w:val="charCitHyperlinkAbbrev"/>
          </w:rPr>
          <w:t>Legal Profession Act</w:t>
        </w:r>
      </w:hyperlink>
      <w:r w:rsidRPr="002B175D">
        <w:t>, section 296—</w:t>
      </w:r>
    </w:p>
    <w:p w14:paraId="74D1C542" w14:textId="77777777" w:rsidR="008112BD" w:rsidRPr="002B175D" w:rsidRDefault="008112BD" w:rsidP="008112BD">
      <w:pPr>
        <w:pStyle w:val="Asubpara"/>
      </w:pPr>
      <w:r w:rsidRPr="002B175D">
        <w:tab/>
        <w:t>(i)</w:t>
      </w:r>
      <w:r w:rsidRPr="002B175D">
        <w:tab/>
        <w:t>an affidavit by the applicant stating the matters set out in that Act, section 300 (2); and</w:t>
      </w:r>
    </w:p>
    <w:p w14:paraId="2E896752" w14:textId="77777777"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14:paraId="7DB9BDF5" w14:textId="77777777" w:rsidR="008112BD" w:rsidRPr="002B175D" w:rsidRDefault="008112BD" w:rsidP="008112BD">
      <w:pPr>
        <w:pStyle w:val="AH5Sec"/>
      </w:pPr>
      <w:bookmarkStart w:id="1190" w:name="_Toc185514806"/>
      <w:r w:rsidRPr="00C8328B">
        <w:rPr>
          <w:rStyle w:val="CharSectNo"/>
        </w:rPr>
        <w:t>3622</w:t>
      </w:r>
      <w:r w:rsidRPr="002B175D">
        <w:tab/>
        <w:t>Application for leave to apply out of time</w:t>
      </w:r>
      <w:bookmarkEnd w:id="1190"/>
    </w:p>
    <w:p w14:paraId="59B953C4" w14:textId="77777777" w:rsidR="008112BD" w:rsidRPr="002B175D" w:rsidRDefault="008112BD" w:rsidP="008112BD">
      <w:pPr>
        <w:pStyle w:val="Amainreturn"/>
      </w:pPr>
      <w:r w:rsidRPr="002B175D">
        <w:t>An application for leave to apply for a costs assessment out of time must be in accordance with part 6.2 (Applications in proceedings).</w:t>
      </w:r>
    </w:p>
    <w:p w14:paraId="35CF7878" w14:textId="77777777" w:rsidR="008112BD" w:rsidRPr="002B175D" w:rsidRDefault="008112BD" w:rsidP="008112BD">
      <w:pPr>
        <w:pStyle w:val="AH5Sec"/>
      </w:pPr>
      <w:bookmarkStart w:id="1191" w:name="_Toc185514807"/>
      <w:r w:rsidRPr="00C8328B">
        <w:rPr>
          <w:rStyle w:val="CharSectNo"/>
        </w:rPr>
        <w:t>3623</w:t>
      </w:r>
      <w:r w:rsidRPr="002B175D">
        <w:tab/>
        <w:t>Directions</w:t>
      </w:r>
      <w:bookmarkEnd w:id="1191"/>
    </w:p>
    <w:p w14:paraId="734D6D81" w14:textId="77777777" w:rsidR="008112BD" w:rsidRPr="002B175D" w:rsidRDefault="008112BD" w:rsidP="00973EC9">
      <w:pPr>
        <w:pStyle w:val="Amain"/>
        <w:keepNext/>
      </w:pPr>
      <w:r w:rsidRPr="002B175D">
        <w:tab/>
        <w:t>(1)</w:t>
      </w:r>
      <w:r w:rsidRPr="002B175D">
        <w:tab/>
        <w:t>On the filing of an application, the registrar must—</w:t>
      </w:r>
    </w:p>
    <w:p w14:paraId="7C6EECDD" w14:textId="77777777" w:rsidR="008112BD" w:rsidRPr="002B175D" w:rsidRDefault="008112BD" w:rsidP="008112BD">
      <w:pPr>
        <w:pStyle w:val="Apara"/>
      </w:pPr>
      <w:r w:rsidRPr="002B175D">
        <w:tab/>
        <w:t>(a)</w:t>
      </w:r>
      <w:r w:rsidRPr="002B175D">
        <w:tab/>
        <w:t>set a date for directions before the registrar; and</w:t>
      </w:r>
    </w:p>
    <w:p w14:paraId="4681D5FE" w14:textId="77777777" w:rsidR="008112BD" w:rsidRPr="002B175D" w:rsidRDefault="008112BD" w:rsidP="008112BD">
      <w:pPr>
        <w:pStyle w:val="Apara"/>
      </w:pPr>
      <w:r w:rsidRPr="002B175D">
        <w:tab/>
        <w:t>(b)</w:t>
      </w:r>
      <w:r w:rsidRPr="002B175D">
        <w:tab/>
        <w:t>tell the parties the date.</w:t>
      </w:r>
    </w:p>
    <w:p w14:paraId="7DFB46EA" w14:textId="77777777" w:rsidR="008112BD" w:rsidRPr="002B175D" w:rsidRDefault="008112BD" w:rsidP="008112BD">
      <w:pPr>
        <w:pStyle w:val="Amain"/>
      </w:pPr>
      <w:r w:rsidRPr="002B175D">
        <w:tab/>
        <w:t>(2)</w:t>
      </w:r>
      <w:r w:rsidRPr="002B175D">
        <w:tab/>
        <w:t>At the directions hearing, the registrar must set a time and date for the assessment of the legal costs.</w:t>
      </w:r>
    </w:p>
    <w:p w14:paraId="2BDC7073" w14:textId="77777777" w:rsidR="008112BD" w:rsidRPr="002B175D" w:rsidRDefault="008112BD" w:rsidP="008112BD">
      <w:pPr>
        <w:pStyle w:val="AH5Sec"/>
      </w:pPr>
      <w:bookmarkStart w:id="1192" w:name="_Toc185514808"/>
      <w:r w:rsidRPr="00C8328B">
        <w:rPr>
          <w:rStyle w:val="CharSectNo"/>
        </w:rPr>
        <w:t>3624</w:t>
      </w:r>
      <w:r w:rsidRPr="002B175D">
        <w:tab/>
        <w:t>Response to application</w:t>
      </w:r>
      <w:bookmarkEnd w:id="1192"/>
    </w:p>
    <w:p w14:paraId="42D2C5EB" w14:textId="77777777" w:rsidR="008112BD" w:rsidRPr="002B175D" w:rsidRDefault="008112BD" w:rsidP="008112BD">
      <w:pPr>
        <w:pStyle w:val="Amain"/>
      </w:pPr>
      <w:r w:rsidRPr="002B175D">
        <w:tab/>
        <w:t>(1)</w:t>
      </w:r>
      <w:r w:rsidRPr="002B175D">
        <w:tab/>
        <w:t>This rule applies if the respondent to an application is a law practice.</w:t>
      </w:r>
    </w:p>
    <w:p w14:paraId="2AFF8F8E" w14:textId="77777777" w:rsidR="008112BD" w:rsidRPr="002B175D" w:rsidRDefault="008112BD" w:rsidP="008112BD">
      <w:pPr>
        <w:pStyle w:val="Amain"/>
      </w:pPr>
      <w:r w:rsidRPr="002B175D">
        <w:tab/>
        <w:t>(2)</w:t>
      </w:r>
      <w:r w:rsidRPr="002B175D">
        <w:tab/>
        <w:t>The respondent must file—</w:t>
      </w:r>
    </w:p>
    <w:p w14:paraId="2933037E" w14:textId="47563B96" w:rsidR="008112BD" w:rsidRPr="002B175D" w:rsidRDefault="008112BD" w:rsidP="008112BD">
      <w:pPr>
        <w:pStyle w:val="Apara"/>
      </w:pPr>
      <w:r w:rsidRPr="002B175D">
        <w:tab/>
        <w:t>(a)</w:t>
      </w:r>
      <w:r w:rsidRPr="002B175D">
        <w:tab/>
        <w:t xml:space="preserve">an affidavit stating the matters set out in the </w:t>
      </w:r>
      <w:hyperlink r:id="rId495" w:tooltip="A2006-25" w:history="1">
        <w:r w:rsidRPr="002B0419">
          <w:rPr>
            <w:rStyle w:val="charCitHyperlinkAbbrev"/>
          </w:rPr>
          <w:t>Legal Profession Act</w:t>
        </w:r>
      </w:hyperlink>
      <w:r w:rsidRPr="002B175D">
        <w:t>, section 300 (2); and</w:t>
      </w:r>
    </w:p>
    <w:p w14:paraId="2519C880" w14:textId="77777777"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14:paraId="692D942A" w14:textId="77777777" w:rsidR="008112BD" w:rsidRPr="002B175D" w:rsidRDefault="008112BD" w:rsidP="008112BD">
      <w:pPr>
        <w:pStyle w:val="Apara"/>
      </w:pPr>
      <w:r w:rsidRPr="002B175D">
        <w:tab/>
        <w:t>(c)</w:t>
      </w:r>
      <w:r w:rsidRPr="002B175D">
        <w:tab/>
        <w:t>if the legal costs are subject to a costs agreement—a copy of the costs agreement if the applicant has not filed a copy of the agreement; and</w:t>
      </w:r>
    </w:p>
    <w:p w14:paraId="1499FBE8" w14:textId="77777777" w:rsidR="008112BD" w:rsidRPr="002B175D" w:rsidRDefault="008112BD" w:rsidP="008112BD">
      <w:pPr>
        <w:pStyle w:val="Apara"/>
      </w:pPr>
      <w:r w:rsidRPr="002B175D">
        <w:lastRenderedPageBreak/>
        <w:tab/>
        <w:t>(d)</w:t>
      </w:r>
      <w:r w:rsidRPr="002B175D">
        <w:tab/>
        <w:t>if the legal costs are subject to a retainer—a copy of the retainer if the applicant has not filed a copy of the retainer.</w:t>
      </w:r>
    </w:p>
    <w:p w14:paraId="7261B54A" w14:textId="77777777" w:rsidR="008112BD" w:rsidRPr="002B175D" w:rsidRDefault="008112BD" w:rsidP="008112BD">
      <w:pPr>
        <w:pStyle w:val="AH5Sec"/>
      </w:pPr>
      <w:bookmarkStart w:id="1193" w:name="_Toc185514809"/>
      <w:r w:rsidRPr="00C8328B">
        <w:rPr>
          <w:rStyle w:val="CharSectNo"/>
        </w:rPr>
        <w:t>3625</w:t>
      </w:r>
      <w:r w:rsidRPr="002B175D">
        <w:tab/>
        <w:t>Notice of objections to legal costs</w:t>
      </w:r>
      <w:bookmarkEnd w:id="1193"/>
    </w:p>
    <w:p w14:paraId="2974D910" w14:textId="77777777" w:rsidR="008112BD" w:rsidRPr="002B175D" w:rsidRDefault="008112BD" w:rsidP="008112BD">
      <w:pPr>
        <w:pStyle w:val="Amain"/>
      </w:pPr>
      <w:r w:rsidRPr="002B175D">
        <w:tab/>
        <w:t>(1)</w:t>
      </w:r>
      <w:r w:rsidRPr="002B175D">
        <w:tab/>
        <w:t>The party liable to pay the legal costs may by notice object to all or part of the legal costs.</w:t>
      </w:r>
    </w:p>
    <w:p w14:paraId="02B7F3FD" w14:textId="77777777"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14:paraId="6617D4B9" w14:textId="77777777"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14:paraId="3B48B6AB" w14:textId="77777777" w:rsidR="00F02960" w:rsidRPr="00F02960" w:rsidRDefault="00F02960" w:rsidP="00F02960">
      <w:pPr>
        <w:pStyle w:val="PageBreak"/>
      </w:pPr>
      <w:r w:rsidRPr="00F02960">
        <w:br w:type="page"/>
      </w:r>
    </w:p>
    <w:p w14:paraId="6F949975" w14:textId="77777777" w:rsidR="00F02960" w:rsidRPr="00C8328B" w:rsidRDefault="00F02960" w:rsidP="00F02960">
      <w:pPr>
        <w:pStyle w:val="AH2Part"/>
      </w:pPr>
      <w:bookmarkStart w:id="1194" w:name="_Toc185514810"/>
      <w:r w:rsidRPr="00C8328B">
        <w:rPr>
          <w:rStyle w:val="CharPartNo"/>
        </w:rPr>
        <w:lastRenderedPageBreak/>
        <w:t>Part 3.12</w:t>
      </w:r>
      <w:r w:rsidRPr="00510424">
        <w:tab/>
      </w:r>
      <w:r w:rsidRPr="00C8328B">
        <w:rPr>
          <w:rStyle w:val="CharPartText"/>
        </w:rPr>
        <w:t>Family violence and personal violence proceedings</w:t>
      </w:r>
      <w:bookmarkEnd w:id="1194"/>
    </w:p>
    <w:p w14:paraId="32D00774" w14:textId="77777777" w:rsidR="00F02960" w:rsidRPr="00C8328B" w:rsidRDefault="00F02960" w:rsidP="00F02960">
      <w:pPr>
        <w:pStyle w:val="AH3Div"/>
      </w:pPr>
      <w:bookmarkStart w:id="1195" w:name="_Toc185514811"/>
      <w:r w:rsidRPr="00C8328B">
        <w:rPr>
          <w:rStyle w:val="CharDivNo"/>
        </w:rPr>
        <w:t>Division 3.12.1</w:t>
      </w:r>
      <w:r w:rsidRPr="00510424">
        <w:tab/>
      </w:r>
      <w:r w:rsidRPr="00C8328B">
        <w:rPr>
          <w:rStyle w:val="CharDivText"/>
        </w:rPr>
        <w:t>Family violence and personal violence proceedings—general</w:t>
      </w:r>
      <w:bookmarkEnd w:id="1195"/>
    </w:p>
    <w:p w14:paraId="71BAC0FC" w14:textId="77777777" w:rsidR="00F02960" w:rsidRPr="00510424" w:rsidRDefault="00F02960" w:rsidP="00F02960">
      <w:pPr>
        <w:pStyle w:val="AH5Sec"/>
      </w:pPr>
      <w:bookmarkStart w:id="1196" w:name="_Toc185514812"/>
      <w:r w:rsidRPr="00C8328B">
        <w:rPr>
          <w:rStyle w:val="CharSectNo"/>
        </w:rPr>
        <w:t>3800</w:t>
      </w:r>
      <w:r w:rsidRPr="00510424">
        <w:tab/>
        <w:t>Terms used in Family Violence Act and Personal Violence Act</w:t>
      </w:r>
      <w:bookmarkEnd w:id="1196"/>
    </w:p>
    <w:p w14:paraId="248A6734" w14:textId="3CF89324" w:rsidR="00F02960" w:rsidRPr="00510424" w:rsidRDefault="00F02960" w:rsidP="00F02960">
      <w:pPr>
        <w:pStyle w:val="Amainreturn"/>
        <w:keepNext/>
      </w:pPr>
      <w:r w:rsidRPr="00510424">
        <w:t xml:space="preserve">A term used in the </w:t>
      </w:r>
      <w:hyperlink r:id="rId496" w:tooltip="A2016-42" w:history="1">
        <w:r w:rsidRPr="00906995">
          <w:rPr>
            <w:rStyle w:val="charCitHyperlinkItal"/>
          </w:rPr>
          <w:t>Family Violence Act 2016</w:t>
        </w:r>
      </w:hyperlink>
      <w:r w:rsidRPr="00510424">
        <w:t xml:space="preserve"> or </w:t>
      </w:r>
      <w:hyperlink r:id="rId497" w:tooltip="A2016-43" w:history="1">
        <w:r w:rsidRPr="00906995">
          <w:rPr>
            <w:rStyle w:val="charCitHyperlinkItal"/>
          </w:rPr>
          <w:t>Personal Violence Act 2016</w:t>
        </w:r>
      </w:hyperlink>
      <w:r w:rsidRPr="00510424">
        <w:t xml:space="preserve"> has the same meaning in this part.</w:t>
      </w:r>
    </w:p>
    <w:p w14:paraId="6CA5FFD8" w14:textId="77777777" w:rsidR="00F02960" w:rsidRPr="00510424" w:rsidRDefault="00F02960" w:rsidP="00F02960">
      <w:pPr>
        <w:pStyle w:val="aExamHdgss"/>
      </w:pPr>
      <w:r w:rsidRPr="00510424">
        <w:t>Examples</w:t>
      </w:r>
    </w:p>
    <w:p w14:paraId="3754E606" w14:textId="77777777" w:rsidR="00F02960" w:rsidRPr="00510424" w:rsidRDefault="00F02960" w:rsidP="00F02960">
      <w:pPr>
        <w:pStyle w:val="aExamss"/>
        <w:keepNext/>
      </w:pPr>
      <w:r w:rsidRPr="00510424">
        <w:t>affected person, protection order</w:t>
      </w:r>
    </w:p>
    <w:p w14:paraId="4F094507" w14:textId="77777777" w:rsidR="00F02960" w:rsidRPr="00510424" w:rsidRDefault="00F02960" w:rsidP="00F02960">
      <w:pPr>
        <w:pStyle w:val="AH5Sec"/>
      </w:pPr>
      <w:bookmarkStart w:id="1197" w:name="_Toc185514813"/>
      <w:r w:rsidRPr="00C8328B">
        <w:rPr>
          <w:rStyle w:val="CharSectNo"/>
        </w:rPr>
        <w:t>3801</w:t>
      </w:r>
      <w:r w:rsidRPr="00510424">
        <w:tab/>
        <w:t>Application—pt 3.12</w:t>
      </w:r>
      <w:bookmarkEnd w:id="1197"/>
    </w:p>
    <w:p w14:paraId="31A9F702" w14:textId="77777777" w:rsidR="00F02960" w:rsidRPr="00510424" w:rsidRDefault="00F02960" w:rsidP="00F02960">
      <w:pPr>
        <w:pStyle w:val="Amainreturn"/>
        <w:keepNext/>
      </w:pPr>
      <w:r w:rsidRPr="00510424">
        <w:t xml:space="preserve">This part only applies to a family violence or personal violence proceeding. </w:t>
      </w:r>
    </w:p>
    <w:p w14:paraId="6075DCEB" w14:textId="69D452D7"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498" w:tooltip="A2008-46" w:history="1">
        <w:r w:rsidRPr="00510424">
          <w:rPr>
            <w:rStyle w:val="charCitHyperlinkItal"/>
          </w:rPr>
          <w:t>Domestic Violence and Protection Orders Act 2008</w:t>
        </w:r>
      </w:hyperlink>
      <w:r w:rsidRPr="00510424">
        <w:t xml:space="preserve"> (repealed) (see </w:t>
      </w:r>
      <w:hyperlink r:id="rId499" w:tooltip="A2016-42" w:history="1">
        <w:r w:rsidRPr="00906995">
          <w:rPr>
            <w:rStyle w:val="charCitHyperlinkItal"/>
          </w:rPr>
          <w:t>Family Violence Act 2016</w:t>
        </w:r>
      </w:hyperlink>
      <w:r w:rsidRPr="00510424">
        <w:t xml:space="preserve">, s 199 and </w:t>
      </w:r>
      <w:hyperlink r:id="rId500" w:tooltip="A2016-43" w:history="1">
        <w:r w:rsidRPr="00906995">
          <w:rPr>
            <w:rStyle w:val="charCitHyperlinkItal"/>
          </w:rPr>
          <w:t>Personal Violence Act 2016</w:t>
        </w:r>
      </w:hyperlink>
      <w:r w:rsidRPr="00510424">
        <w:t>, s 199).</w:t>
      </w:r>
    </w:p>
    <w:p w14:paraId="24A9115E" w14:textId="77777777" w:rsidR="00F02960" w:rsidRPr="00510424" w:rsidRDefault="00F02960" w:rsidP="00F02960">
      <w:pPr>
        <w:pStyle w:val="AH5Sec"/>
      </w:pPr>
      <w:bookmarkStart w:id="1198" w:name="_Toc185514814"/>
      <w:r w:rsidRPr="00C8328B">
        <w:rPr>
          <w:rStyle w:val="CharSectNo"/>
        </w:rPr>
        <w:t>3802</w:t>
      </w:r>
      <w:r w:rsidRPr="00510424">
        <w:tab/>
        <w:t>Rules in ch 2 disapplied</w:t>
      </w:r>
      <w:bookmarkEnd w:id="1198"/>
    </w:p>
    <w:p w14:paraId="050C0F81" w14:textId="77777777"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14:paraId="3ABB7EDC" w14:textId="77777777" w:rsidR="00F02960" w:rsidRPr="00510424" w:rsidRDefault="00F02960" w:rsidP="00F02960">
      <w:pPr>
        <w:pStyle w:val="Amain"/>
      </w:pPr>
      <w:r w:rsidRPr="00510424">
        <w:tab/>
        <w:t>(2)</w:t>
      </w:r>
      <w:r w:rsidRPr="00510424">
        <w:tab/>
        <w:t>The following rules apply, with any necessary changes, to a family violence and personal violence proceeding:</w:t>
      </w:r>
    </w:p>
    <w:p w14:paraId="45FEA433" w14:textId="77777777" w:rsidR="00F02960" w:rsidRPr="00510424" w:rsidRDefault="00F02960" w:rsidP="00F02960">
      <w:pPr>
        <w:pStyle w:val="Apara"/>
      </w:pPr>
      <w:r w:rsidRPr="00510424">
        <w:tab/>
        <w:t>(a)</w:t>
      </w:r>
      <w:r w:rsidRPr="00510424">
        <w:tab/>
        <w:t>rule 30 (Who may start and carry on a proceeding);</w:t>
      </w:r>
    </w:p>
    <w:p w14:paraId="54EE100B" w14:textId="77777777" w:rsidR="00F02960" w:rsidRPr="00510424" w:rsidRDefault="00F02960" w:rsidP="00F02960">
      <w:pPr>
        <w:pStyle w:val="Apara"/>
      </w:pPr>
      <w:r w:rsidRPr="00510424">
        <w:tab/>
        <w:t>(b)</w:t>
      </w:r>
      <w:r w:rsidRPr="00510424">
        <w:tab/>
        <w:t>rule 270 (Consolidation etc of proceedings);</w:t>
      </w:r>
    </w:p>
    <w:p w14:paraId="4BEA55D4" w14:textId="77777777" w:rsidR="00F02960" w:rsidRPr="00510424" w:rsidRDefault="00F02960" w:rsidP="00BF20FD">
      <w:pPr>
        <w:pStyle w:val="Apara"/>
        <w:keepNext/>
      </w:pPr>
      <w:r w:rsidRPr="00510424">
        <w:tab/>
        <w:t>(c)</w:t>
      </w:r>
      <w:r w:rsidRPr="00510424">
        <w:tab/>
        <w:t>rule 502 (Amendment—of documents);</w:t>
      </w:r>
    </w:p>
    <w:p w14:paraId="77EB8C11" w14:textId="77777777" w:rsidR="00F02960" w:rsidRPr="00510424" w:rsidRDefault="00F02960" w:rsidP="00F02960">
      <w:pPr>
        <w:pStyle w:val="Apara"/>
      </w:pPr>
      <w:r w:rsidRPr="00510424">
        <w:tab/>
        <w:t>(d)</w:t>
      </w:r>
      <w:r w:rsidRPr="00510424">
        <w:tab/>
        <w:t>rule 1166 (Discontinuance or withdrawal by party representing someone else etc);</w:t>
      </w:r>
    </w:p>
    <w:p w14:paraId="22695127" w14:textId="77777777" w:rsidR="00F02960" w:rsidRPr="00510424" w:rsidRDefault="00F02960" w:rsidP="00F02960">
      <w:pPr>
        <w:pStyle w:val="Apara"/>
      </w:pPr>
      <w:r w:rsidRPr="00510424">
        <w:lastRenderedPageBreak/>
        <w:tab/>
        <w:t>(e)</w:t>
      </w:r>
      <w:r w:rsidRPr="00510424">
        <w:tab/>
        <w:t>rule 1401 (Directions generally);</w:t>
      </w:r>
    </w:p>
    <w:p w14:paraId="3D5B0B14" w14:textId="77777777" w:rsidR="00F02960" w:rsidRPr="00510424" w:rsidRDefault="00F02960" w:rsidP="00F02960">
      <w:pPr>
        <w:pStyle w:val="Apara"/>
      </w:pPr>
      <w:r w:rsidRPr="00510424">
        <w:tab/>
        <w:t>(f)</w:t>
      </w:r>
      <w:r w:rsidRPr="00510424">
        <w:tab/>
        <w:t>part 2.12 (Expert evidence);</w:t>
      </w:r>
    </w:p>
    <w:p w14:paraId="68C4C3CC" w14:textId="77777777" w:rsidR="00F02960" w:rsidRPr="00510424" w:rsidRDefault="00F02960" w:rsidP="00F02960">
      <w:pPr>
        <w:pStyle w:val="Apara"/>
      </w:pPr>
      <w:r w:rsidRPr="00510424">
        <w:tab/>
        <w:t>(g)</w:t>
      </w:r>
      <w:r w:rsidRPr="00510424">
        <w:tab/>
        <w:t>division 2.14.2 (Failure to comply with rules or order);</w:t>
      </w:r>
    </w:p>
    <w:p w14:paraId="5F985887" w14:textId="77777777" w:rsidR="00F02960" w:rsidRPr="00510424" w:rsidRDefault="00F02960" w:rsidP="00F02960">
      <w:pPr>
        <w:pStyle w:val="Apara"/>
      </w:pPr>
      <w:r w:rsidRPr="00510424">
        <w:tab/>
        <w:t>(h)</w:t>
      </w:r>
      <w:r w:rsidRPr="00510424">
        <w:tab/>
        <w:t>rule 1506 (Trial—adjournment etc);</w:t>
      </w:r>
    </w:p>
    <w:p w14:paraId="728910B3" w14:textId="77777777" w:rsidR="00F02960" w:rsidRPr="00510424" w:rsidRDefault="00F02960" w:rsidP="00F02960">
      <w:pPr>
        <w:pStyle w:val="Apara"/>
      </w:pPr>
      <w:r w:rsidRPr="00510424">
        <w:tab/>
        <w:t>(i)</w:t>
      </w:r>
      <w:r w:rsidRPr="00510424">
        <w:tab/>
        <w:t>rule 1508 (Order of evidence and addresses);</w:t>
      </w:r>
    </w:p>
    <w:p w14:paraId="0F52A52E" w14:textId="77777777" w:rsidR="00F02960" w:rsidRPr="00510424" w:rsidRDefault="00F02960" w:rsidP="00F02960">
      <w:pPr>
        <w:pStyle w:val="Apara"/>
      </w:pPr>
      <w:r w:rsidRPr="00510424">
        <w:tab/>
        <w:t>(j)</w:t>
      </w:r>
      <w:r w:rsidRPr="00510424">
        <w:tab/>
        <w:t>rule 1600 (Orders—required by nature of case);</w:t>
      </w:r>
    </w:p>
    <w:p w14:paraId="70979CD1" w14:textId="77777777" w:rsidR="00F02960" w:rsidRPr="00510424" w:rsidRDefault="00F02960" w:rsidP="00F02960">
      <w:pPr>
        <w:pStyle w:val="Apara"/>
      </w:pPr>
      <w:r w:rsidRPr="00510424">
        <w:tab/>
        <w:t>(k)</w:t>
      </w:r>
      <w:r w:rsidRPr="00510424">
        <w:tab/>
        <w:t>rule 1601 (Judgment book);</w:t>
      </w:r>
    </w:p>
    <w:p w14:paraId="0367E63B" w14:textId="77777777" w:rsidR="00F02960" w:rsidRPr="00510424" w:rsidRDefault="00F02960" w:rsidP="00F02960">
      <w:pPr>
        <w:pStyle w:val="Apara"/>
      </w:pPr>
      <w:r w:rsidRPr="00510424">
        <w:tab/>
        <w:t>(l)</w:t>
      </w:r>
      <w:r w:rsidRPr="00510424">
        <w:tab/>
        <w:t>rule 1605 (1) and (2) (Orders—making and effect);</w:t>
      </w:r>
    </w:p>
    <w:p w14:paraId="43F812EA" w14:textId="77777777" w:rsidR="00F02960" w:rsidRPr="00510424" w:rsidRDefault="00F02960" w:rsidP="00F02960">
      <w:pPr>
        <w:pStyle w:val="Apara"/>
      </w:pPr>
      <w:r w:rsidRPr="00510424">
        <w:tab/>
        <w:t>(m)</w:t>
      </w:r>
      <w:r w:rsidRPr="00510424">
        <w:tab/>
        <w:t>rule 1607 (Orders—certified duplicate);</w:t>
      </w:r>
    </w:p>
    <w:p w14:paraId="1EFA7EAA" w14:textId="77777777" w:rsidR="00F02960" w:rsidRPr="00510424" w:rsidRDefault="00F02960" w:rsidP="00F02960">
      <w:pPr>
        <w:pStyle w:val="Apara"/>
      </w:pPr>
      <w:r w:rsidRPr="00510424">
        <w:tab/>
        <w:t>(n)</w:t>
      </w:r>
      <w:r w:rsidRPr="00510424">
        <w:tab/>
        <w:t>rule 1608 (Orders—reasons);</w:t>
      </w:r>
    </w:p>
    <w:p w14:paraId="0ADA0991" w14:textId="77777777" w:rsidR="00F02960" w:rsidRPr="00510424" w:rsidRDefault="00F02960" w:rsidP="00F02960">
      <w:pPr>
        <w:pStyle w:val="Apara"/>
      </w:pPr>
      <w:r w:rsidRPr="00510424">
        <w:tab/>
        <w:t>(o)</w:t>
      </w:r>
      <w:r w:rsidRPr="00510424">
        <w:tab/>
        <w:t>rule 1609 (Orders—reservation of decision);</w:t>
      </w:r>
    </w:p>
    <w:p w14:paraId="69ADAFED" w14:textId="77777777" w:rsidR="00F02960" w:rsidRPr="00510424" w:rsidRDefault="00F02960" w:rsidP="00F02960">
      <w:pPr>
        <w:pStyle w:val="Apara"/>
      </w:pPr>
      <w:r w:rsidRPr="00510424">
        <w:tab/>
        <w:t>(p)</w:t>
      </w:r>
      <w:r w:rsidRPr="00510424">
        <w:tab/>
        <w:t>part 2.18 (Enforcement);</w:t>
      </w:r>
    </w:p>
    <w:p w14:paraId="47431667" w14:textId="77777777" w:rsidR="00F02960" w:rsidRPr="00510424" w:rsidRDefault="00F02960" w:rsidP="00F02960">
      <w:pPr>
        <w:pStyle w:val="Apara"/>
      </w:pPr>
      <w:r w:rsidRPr="00510424">
        <w:tab/>
        <w:t>(q)</w:t>
      </w:r>
      <w:r w:rsidRPr="00510424">
        <w:tab/>
        <w:t>part 2.21 (Representation by solicitors) other than rule 2802 (3) (b);</w:t>
      </w:r>
    </w:p>
    <w:p w14:paraId="73BF3832" w14:textId="77777777"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14:paraId="09DBBAA6" w14:textId="77777777" w:rsidR="00F02960" w:rsidRPr="00510424" w:rsidRDefault="00F02960" w:rsidP="00BF20FD">
      <w:pPr>
        <w:pStyle w:val="Apara"/>
        <w:keepNext/>
      </w:pPr>
      <w:r w:rsidRPr="00510424">
        <w:tab/>
        <w:t>(s)</w:t>
      </w:r>
      <w:r w:rsidRPr="00510424">
        <w:tab/>
        <w:t>rule 2903 (Inspection of registry files) but only—</w:t>
      </w:r>
    </w:p>
    <w:p w14:paraId="4D9415BF" w14:textId="77777777"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14:paraId="45131701" w14:textId="77777777"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14:paraId="08665A4F" w14:textId="77777777"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14:paraId="59A32D1D" w14:textId="79EBA1E3"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1" w:tooltip="A2016-42" w:history="1">
        <w:r w:rsidRPr="00906995">
          <w:rPr>
            <w:rStyle w:val="charCitHyperlinkItal"/>
          </w:rPr>
          <w:t>Family Violence Act 2016</w:t>
        </w:r>
      </w:hyperlink>
      <w:r w:rsidRPr="00510424">
        <w:t xml:space="preserve">, s 12 and </w:t>
      </w:r>
      <w:hyperlink r:id="rId502" w:tooltip="A2016-43" w:history="1">
        <w:r w:rsidRPr="00906995">
          <w:rPr>
            <w:rStyle w:val="charCitHyperlinkItal"/>
          </w:rPr>
          <w:t>Personal Violence Act 2016</w:t>
        </w:r>
      </w:hyperlink>
      <w:r w:rsidRPr="00510424">
        <w:t>, s 9).</w:t>
      </w:r>
    </w:p>
    <w:p w14:paraId="64069603" w14:textId="77777777" w:rsidR="00BF20FD" w:rsidRPr="00510424" w:rsidRDefault="00BF20FD" w:rsidP="00BF20FD">
      <w:pPr>
        <w:pStyle w:val="AH5Sec"/>
      </w:pPr>
      <w:bookmarkStart w:id="1199" w:name="_Toc185514815"/>
      <w:r w:rsidRPr="00C8328B">
        <w:rPr>
          <w:rStyle w:val="CharSectNo"/>
        </w:rPr>
        <w:t>3803</w:t>
      </w:r>
      <w:r w:rsidRPr="00510424">
        <w:tab/>
        <w:t>Other disapplied rules</w:t>
      </w:r>
      <w:bookmarkEnd w:id="1199"/>
    </w:p>
    <w:p w14:paraId="6BB5E12E" w14:textId="77777777" w:rsidR="00BF20FD" w:rsidRPr="00510424" w:rsidRDefault="00BF20FD" w:rsidP="00BF20FD">
      <w:pPr>
        <w:pStyle w:val="Amainreturn"/>
      </w:pPr>
      <w:r w:rsidRPr="00510424">
        <w:t>The following rules do not apply to a family violence or personal violence proceeding:</w:t>
      </w:r>
    </w:p>
    <w:p w14:paraId="3B8C97B9" w14:textId="77777777" w:rsidR="00BF20FD" w:rsidRPr="00510424" w:rsidRDefault="00BF20FD" w:rsidP="00BF20FD">
      <w:pPr>
        <w:pStyle w:val="Apara"/>
      </w:pPr>
      <w:r w:rsidRPr="00510424">
        <w:tab/>
        <w:t>(a)</w:t>
      </w:r>
      <w:r w:rsidRPr="00510424">
        <w:tab/>
        <w:t>rule 6103 (1) (a) (i) (Documents—layout etc);</w:t>
      </w:r>
    </w:p>
    <w:p w14:paraId="1BA57158" w14:textId="77777777" w:rsidR="00BF20FD" w:rsidRPr="00510424" w:rsidRDefault="00BF20FD" w:rsidP="00BF20FD">
      <w:pPr>
        <w:pStyle w:val="Apara"/>
      </w:pPr>
      <w:r w:rsidRPr="00510424">
        <w:tab/>
        <w:t>(b)</w:t>
      </w:r>
      <w:r w:rsidRPr="00510424">
        <w:tab/>
        <w:t>rule 6120 (b) (Filing documents—number of copies);</w:t>
      </w:r>
    </w:p>
    <w:p w14:paraId="34FA0E58" w14:textId="77777777" w:rsidR="00BF20FD" w:rsidRPr="00510424" w:rsidRDefault="00BF20FD" w:rsidP="00BF20FD">
      <w:pPr>
        <w:pStyle w:val="Apara"/>
      </w:pPr>
      <w:r w:rsidRPr="00510424">
        <w:tab/>
        <w:t>(c)</w:t>
      </w:r>
      <w:r w:rsidRPr="00510424">
        <w:tab/>
        <w:t>rule 6256 (Appeals from registrar’s orders etc);</w:t>
      </w:r>
    </w:p>
    <w:p w14:paraId="7805037B" w14:textId="77777777" w:rsidR="00BF20FD" w:rsidRPr="00510424" w:rsidRDefault="00BF20FD" w:rsidP="00BF20FD">
      <w:pPr>
        <w:pStyle w:val="Apara"/>
      </w:pPr>
      <w:r w:rsidRPr="00510424">
        <w:tab/>
        <w:t>(d)</w:t>
      </w:r>
      <w:r w:rsidRPr="00510424">
        <w:tab/>
        <w:t>division 6.8.3 (Service—Magistrates Court);</w:t>
      </w:r>
    </w:p>
    <w:p w14:paraId="73638AC1" w14:textId="77777777" w:rsidR="00BF20FD" w:rsidRPr="00510424" w:rsidRDefault="00BF20FD" w:rsidP="00BF20FD">
      <w:pPr>
        <w:pStyle w:val="Apara"/>
      </w:pPr>
      <w:r w:rsidRPr="00510424">
        <w:tab/>
        <w:t>(e)</w:t>
      </w:r>
      <w:r w:rsidRPr="00510424">
        <w:tab/>
        <w:t>rule 6430 (Service in Australia but outside ACT);</w:t>
      </w:r>
    </w:p>
    <w:p w14:paraId="4CCEFEBB" w14:textId="77777777" w:rsidR="00BF20FD" w:rsidRPr="00510424" w:rsidRDefault="00BF20FD" w:rsidP="00BF20FD">
      <w:pPr>
        <w:pStyle w:val="Apara"/>
        <w:rPr>
          <w:lang w:val="en-US"/>
        </w:rPr>
      </w:pPr>
      <w:r w:rsidRPr="00510424">
        <w:tab/>
        <w:t>(f)</w:t>
      </w:r>
      <w:r w:rsidRPr="00510424">
        <w:tab/>
        <w:t>rule 6435 (</w:t>
      </w:r>
      <w:r w:rsidRPr="00510424">
        <w:rPr>
          <w:lang w:val="en-US"/>
        </w:rPr>
        <w:t>Service on children);</w:t>
      </w:r>
    </w:p>
    <w:p w14:paraId="3C0F2613" w14:textId="77777777"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14:paraId="2C346E16" w14:textId="77777777" w:rsidR="00BF20FD" w:rsidRPr="00510424" w:rsidRDefault="00BF20FD" w:rsidP="00BF20FD">
      <w:pPr>
        <w:pStyle w:val="Apara"/>
        <w:rPr>
          <w:lang w:val="en-US"/>
        </w:rPr>
      </w:pPr>
      <w:r w:rsidRPr="00510424">
        <w:rPr>
          <w:lang w:val="en-US"/>
        </w:rPr>
        <w:tab/>
        <w:t>(h)</w:t>
      </w:r>
      <w:r w:rsidRPr="00510424">
        <w:rPr>
          <w:lang w:val="en-US"/>
        </w:rPr>
        <w:tab/>
        <w:t>rule 6460 (Substituted service);</w:t>
      </w:r>
    </w:p>
    <w:p w14:paraId="72700AE5" w14:textId="77777777"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14:paraId="4F5EE947" w14:textId="77777777"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14:paraId="07282CD3" w14:textId="77777777" w:rsidR="00BF20FD" w:rsidRDefault="00BF20FD" w:rsidP="00BF20FD">
      <w:pPr>
        <w:pStyle w:val="Apara"/>
        <w:rPr>
          <w:lang w:val="en-US"/>
        </w:rPr>
      </w:pPr>
      <w:r w:rsidRPr="00510424">
        <w:rPr>
          <w:lang w:val="en-US"/>
        </w:rPr>
        <w:tab/>
        <w:t>(k)</w:t>
      </w:r>
      <w:r w:rsidRPr="00510424">
        <w:rPr>
          <w:lang w:val="en-US"/>
        </w:rPr>
        <w:tab/>
        <w:t>rule 6469 (2) (b) (Change of address for service).</w:t>
      </w:r>
    </w:p>
    <w:p w14:paraId="2B4C60F0" w14:textId="77777777" w:rsidR="008F186A" w:rsidRPr="00266A34" w:rsidRDefault="008F186A" w:rsidP="008F186A">
      <w:pPr>
        <w:pStyle w:val="AH5Sec"/>
      </w:pPr>
      <w:bookmarkStart w:id="1200" w:name="_Toc185514816"/>
      <w:r w:rsidRPr="00C8328B">
        <w:rPr>
          <w:rStyle w:val="CharSectNo"/>
        </w:rPr>
        <w:lastRenderedPageBreak/>
        <w:t>3804</w:t>
      </w:r>
      <w:r w:rsidRPr="00266A34">
        <w:tab/>
        <w:t>Correction of name of respondent</w:t>
      </w:r>
      <w:bookmarkEnd w:id="1200"/>
      <w:r w:rsidRPr="00266A34">
        <w:t xml:space="preserve"> </w:t>
      </w:r>
    </w:p>
    <w:p w14:paraId="2C2F9933" w14:textId="77777777" w:rsidR="008F186A" w:rsidRPr="00266A34" w:rsidRDefault="008F186A" w:rsidP="009C6041">
      <w:pPr>
        <w:pStyle w:val="Amainreturn"/>
        <w:keepNext/>
      </w:pPr>
      <w:r w:rsidRPr="00266A34">
        <w:t>The registrar may at any time correct a mistake, omission or error in the name or identity of the respondent in a proceeding in—</w:t>
      </w:r>
    </w:p>
    <w:p w14:paraId="39151457" w14:textId="77777777" w:rsidR="008F186A" w:rsidRPr="00266A34" w:rsidRDefault="008F186A" w:rsidP="008F186A">
      <w:pPr>
        <w:pStyle w:val="Apara"/>
      </w:pPr>
      <w:r w:rsidRPr="00266A34">
        <w:tab/>
        <w:t>(a)</w:t>
      </w:r>
      <w:r w:rsidRPr="00266A34">
        <w:tab/>
        <w:t>a document filed in the court in the proceeding; or</w:t>
      </w:r>
    </w:p>
    <w:p w14:paraId="78BA2D23" w14:textId="77777777" w:rsidR="008F186A" w:rsidRPr="008F186A" w:rsidRDefault="008F186A" w:rsidP="008F186A">
      <w:pPr>
        <w:pStyle w:val="Apara"/>
      </w:pPr>
      <w:r w:rsidRPr="00266A34">
        <w:tab/>
        <w:t>(b)</w:t>
      </w:r>
      <w:r w:rsidRPr="00266A34">
        <w:tab/>
        <w:t>an order made based on the name in the original application.</w:t>
      </w:r>
    </w:p>
    <w:p w14:paraId="19628843" w14:textId="77777777" w:rsidR="008112BD" w:rsidRDefault="008112BD" w:rsidP="008112BD">
      <w:pPr>
        <w:pStyle w:val="PageBreak"/>
      </w:pPr>
      <w:r>
        <w:br w:type="page"/>
      </w:r>
    </w:p>
    <w:p w14:paraId="74121F38" w14:textId="77777777" w:rsidR="008112BD" w:rsidRPr="00C8328B" w:rsidRDefault="008112BD" w:rsidP="008112BD">
      <w:pPr>
        <w:pStyle w:val="AH2Part"/>
      </w:pPr>
      <w:bookmarkStart w:id="1201" w:name="_Toc185514817"/>
      <w:r w:rsidRPr="00C8328B">
        <w:rPr>
          <w:rStyle w:val="CharPartNo"/>
        </w:rPr>
        <w:lastRenderedPageBreak/>
        <w:t>Part 3.13</w:t>
      </w:r>
      <w:r>
        <w:tab/>
      </w:r>
      <w:r w:rsidRPr="00C8328B">
        <w:rPr>
          <w:rStyle w:val="CharPartText"/>
        </w:rPr>
        <w:t>Workers compensation</w:t>
      </w:r>
      <w:bookmarkEnd w:id="1201"/>
    </w:p>
    <w:p w14:paraId="76449FFA" w14:textId="77777777" w:rsidR="008112BD" w:rsidRPr="00C8328B" w:rsidRDefault="008112BD" w:rsidP="008112BD">
      <w:pPr>
        <w:pStyle w:val="AH3Div"/>
      </w:pPr>
      <w:bookmarkStart w:id="1202" w:name="_Toc185514818"/>
      <w:r w:rsidRPr="00C8328B">
        <w:rPr>
          <w:rStyle w:val="CharDivNo"/>
        </w:rPr>
        <w:t>Division 3.13.1</w:t>
      </w:r>
      <w:r>
        <w:tab/>
      </w:r>
      <w:r w:rsidRPr="00C8328B">
        <w:rPr>
          <w:rStyle w:val="CharDivText"/>
        </w:rPr>
        <w:t>Workers compensation proceedings—general</w:t>
      </w:r>
      <w:bookmarkEnd w:id="1202"/>
    </w:p>
    <w:p w14:paraId="41BA24BE" w14:textId="77777777" w:rsidR="008112BD" w:rsidRDefault="008112BD" w:rsidP="008112BD">
      <w:pPr>
        <w:pStyle w:val="AH5Sec"/>
      </w:pPr>
      <w:bookmarkStart w:id="1203" w:name="_Toc185514819"/>
      <w:r w:rsidRPr="00C8328B">
        <w:rPr>
          <w:rStyle w:val="CharSectNo"/>
        </w:rPr>
        <w:t>3900</w:t>
      </w:r>
      <w:r>
        <w:tab/>
        <w:t>Definitions—pt 3.13</w:t>
      </w:r>
      <w:bookmarkEnd w:id="1203"/>
      <w:r>
        <w:t xml:space="preserve"> </w:t>
      </w:r>
    </w:p>
    <w:p w14:paraId="1D206EA8" w14:textId="77777777" w:rsidR="008112BD" w:rsidRDefault="008112BD" w:rsidP="008112BD">
      <w:pPr>
        <w:pStyle w:val="Amainreturn"/>
        <w:keepNext/>
      </w:pPr>
      <w:r>
        <w:t>In this part:</w:t>
      </w:r>
    </w:p>
    <w:p w14:paraId="0041F083" w14:textId="426F88F0" w:rsidR="008112BD" w:rsidRDefault="008112BD" w:rsidP="008112BD">
      <w:pPr>
        <w:pStyle w:val="aDef"/>
      </w:pPr>
      <w:r w:rsidRPr="00FE0788">
        <w:rPr>
          <w:rStyle w:val="charBoldItals"/>
        </w:rPr>
        <w:t>arbitration</w:t>
      </w:r>
      <w:r>
        <w:t xml:space="preserve"> means arbitration under the </w:t>
      </w:r>
      <w:hyperlink r:id="rId503" w:tooltip="A1951-2" w:history="1">
        <w:r w:rsidRPr="00E95F50">
          <w:rPr>
            <w:rStyle w:val="charCitHyperlinkAbbrev"/>
          </w:rPr>
          <w:t>Workers Compensation Act</w:t>
        </w:r>
      </w:hyperlink>
      <w:r>
        <w:t>.</w:t>
      </w:r>
    </w:p>
    <w:p w14:paraId="7CB47E05" w14:textId="337636F7" w:rsidR="008112BD" w:rsidRPr="00FE0788" w:rsidRDefault="008112BD" w:rsidP="008112BD">
      <w:pPr>
        <w:pStyle w:val="aDef"/>
      </w:pPr>
      <w:r>
        <w:rPr>
          <w:rStyle w:val="charBoldItals"/>
        </w:rPr>
        <w:t xml:space="preserve">claim </w:t>
      </w:r>
      <w:r>
        <w:t xml:space="preserve">includes a matter or question arising under the </w:t>
      </w:r>
      <w:hyperlink r:id="rId504" w:tooltip="A1951-2" w:history="1">
        <w:r w:rsidRPr="00E95F50">
          <w:rPr>
            <w:rStyle w:val="charCitHyperlinkAbbrev"/>
          </w:rPr>
          <w:t>Workers Compensation Act</w:t>
        </w:r>
      </w:hyperlink>
      <w:r>
        <w:t xml:space="preserve"> to be decided by arbitration.</w:t>
      </w:r>
    </w:p>
    <w:p w14:paraId="33537B02" w14:textId="5B54BADB" w:rsidR="008112BD" w:rsidRPr="00FE0788" w:rsidRDefault="008112BD" w:rsidP="008112BD">
      <w:pPr>
        <w:pStyle w:val="aDef"/>
      </w:pPr>
      <w:r>
        <w:rPr>
          <w:rStyle w:val="charBoldItals"/>
        </w:rPr>
        <w:t>contractor</w:t>
      </w:r>
      <w:r>
        <w:t xml:space="preserve">—see the </w:t>
      </w:r>
      <w:hyperlink r:id="rId505" w:tooltip="A1951-2" w:history="1">
        <w:r w:rsidRPr="00E95F50">
          <w:rPr>
            <w:rStyle w:val="charCitHyperlinkAbbrev"/>
          </w:rPr>
          <w:t>Workers Compensation Act</w:t>
        </w:r>
      </w:hyperlink>
      <w:r>
        <w:t>, section 13 (Subcontracting).</w:t>
      </w:r>
    </w:p>
    <w:p w14:paraId="24A2C0E3" w14:textId="4C9F5033" w:rsidR="008112BD" w:rsidRPr="00FE0788" w:rsidRDefault="008112BD" w:rsidP="008112BD">
      <w:pPr>
        <w:pStyle w:val="aDef"/>
      </w:pPr>
      <w:r>
        <w:rPr>
          <w:rStyle w:val="charBoldItals"/>
        </w:rPr>
        <w:t>injury notice</w:t>
      </w:r>
      <w:r>
        <w:t xml:space="preserve">—see the </w:t>
      </w:r>
      <w:hyperlink r:id="rId506" w:tooltip="A1951-2" w:history="1">
        <w:r w:rsidRPr="00E95F50">
          <w:rPr>
            <w:rStyle w:val="charCitHyperlinkAbbrev"/>
          </w:rPr>
          <w:t>Workers Compensation Act</w:t>
        </w:r>
      </w:hyperlink>
      <w:r>
        <w:t>, section 123 (The notice for an injury).</w:t>
      </w:r>
    </w:p>
    <w:p w14:paraId="12CE910B" w14:textId="77777777" w:rsidR="008112BD" w:rsidRDefault="008112BD" w:rsidP="008112BD">
      <w:pPr>
        <w:pStyle w:val="aDef"/>
      </w:pPr>
      <w:r w:rsidRPr="00FE0788">
        <w:rPr>
          <w:rStyle w:val="charBoldItals"/>
        </w:rPr>
        <w:t>prescribed scale of costs</w:t>
      </w:r>
      <w:r>
        <w:t xml:space="preserve"> means the scale of costs in schedule 4 (Scale of costs).</w:t>
      </w:r>
    </w:p>
    <w:p w14:paraId="199F1EE7" w14:textId="72106D35" w:rsidR="008112BD" w:rsidRPr="00FE0788" w:rsidRDefault="008112BD" w:rsidP="008112BD">
      <w:pPr>
        <w:pStyle w:val="aDef"/>
      </w:pPr>
      <w:r>
        <w:rPr>
          <w:rStyle w:val="charBoldItals"/>
        </w:rPr>
        <w:t>principal</w:t>
      </w:r>
      <w:r>
        <w:t xml:space="preserve">—see the </w:t>
      </w:r>
      <w:hyperlink r:id="rId507" w:tooltip="A1951-2" w:history="1">
        <w:r w:rsidRPr="00E95F50">
          <w:rPr>
            <w:rStyle w:val="charCitHyperlinkAbbrev"/>
          </w:rPr>
          <w:t>Workers Compensation Act</w:t>
        </w:r>
      </w:hyperlink>
      <w:r>
        <w:t>, section 13 (Subcontracting).</w:t>
      </w:r>
    </w:p>
    <w:p w14:paraId="08713779" w14:textId="77777777" w:rsidR="008112BD" w:rsidRPr="00FE0788" w:rsidRDefault="008112BD" w:rsidP="008112BD">
      <w:pPr>
        <w:pStyle w:val="aDef"/>
      </w:pPr>
      <w:r>
        <w:rPr>
          <w:rStyle w:val="charBoldItals"/>
        </w:rPr>
        <w:t>representative</w:t>
      </w:r>
      <w:r>
        <w:t>, for a party to an arbitration, means a lawyer or other person who represents the party.</w:t>
      </w:r>
    </w:p>
    <w:p w14:paraId="7A69CF3B" w14:textId="77777777" w:rsidR="008112BD" w:rsidRDefault="008112BD" w:rsidP="008112BD">
      <w:pPr>
        <w:pStyle w:val="Amainreturn"/>
        <w:keepNext/>
      </w:pPr>
      <w:r>
        <w:rPr>
          <w:rStyle w:val="charBoldItals"/>
        </w:rPr>
        <w:t>third-party respondent</w:t>
      </w:r>
      <w:r>
        <w:t>—see rule 3920 (Arbitration—including other parties).</w:t>
      </w:r>
    </w:p>
    <w:p w14:paraId="48400611" w14:textId="0E8E2B76" w:rsidR="008112BD" w:rsidRPr="00FE0788" w:rsidRDefault="008112BD" w:rsidP="008112BD">
      <w:pPr>
        <w:pStyle w:val="aDef"/>
      </w:pPr>
      <w:r>
        <w:rPr>
          <w:rStyle w:val="charBoldItals"/>
        </w:rPr>
        <w:t>Workers Compensation Act</w:t>
      </w:r>
      <w:r>
        <w:t xml:space="preserve"> means the </w:t>
      </w:r>
      <w:hyperlink r:id="rId508" w:tooltip="A1951-2" w:history="1">
        <w:r w:rsidRPr="00FE0788">
          <w:rPr>
            <w:rStyle w:val="charCitHyperlinkItal"/>
          </w:rPr>
          <w:t>Workers Compensation Act 1951</w:t>
        </w:r>
      </w:hyperlink>
      <w:r>
        <w:t>.</w:t>
      </w:r>
    </w:p>
    <w:p w14:paraId="5B3588ED" w14:textId="77777777" w:rsidR="008112BD" w:rsidRDefault="008112BD" w:rsidP="008112BD">
      <w:pPr>
        <w:pStyle w:val="AH5Sec"/>
        <w:rPr>
          <w:rStyle w:val="charBoldItals"/>
          <w:b/>
          <w:bCs/>
          <w:i w:val="0"/>
          <w:iCs/>
        </w:rPr>
      </w:pPr>
      <w:bookmarkStart w:id="1204" w:name="_Toc185514820"/>
      <w:r w:rsidRPr="00C8328B">
        <w:rPr>
          <w:rStyle w:val="CharSectNo"/>
        </w:rPr>
        <w:lastRenderedPageBreak/>
        <w:t>3901</w:t>
      </w:r>
      <w:r>
        <w:rPr>
          <w:rStyle w:val="charBoldItals"/>
          <w:bCs/>
          <w:iCs/>
        </w:rPr>
        <w:tab/>
      </w:r>
      <w:r w:rsidRPr="004335A2">
        <w:t>Terms used in Workers Compensation Act</w:t>
      </w:r>
      <w:bookmarkEnd w:id="1204"/>
    </w:p>
    <w:p w14:paraId="2FD2C244" w14:textId="6F9B63D0" w:rsidR="008112BD" w:rsidRDefault="008112BD" w:rsidP="008112BD">
      <w:pPr>
        <w:pStyle w:val="Amainreturn"/>
        <w:keepNext/>
      </w:pPr>
      <w:r>
        <w:t xml:space="preserve">A term used in the </w:t>
      </w:r>
      <w:hyperlink r:id="rId509" w:tooltip="A1951-2" w:history="1">
        <w:r w:rsidRPr="00E95F50">
          <w:rPr>
            <w:rStyle w:val="charCitHyperlinkAbbrev"/>
          </w:rPr>
          <w:t>Workers Compensation Act</w:t>
        </w:r>
      </w:hyperlink>
      <w:r>
        <w:t xml:space="preserve"> has the same meaning in this part.</w:t>
      </w:r>
    </w:p>
    <w:p w14:paraId="43738032" w14:textId="3A993A06"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0" w:tooltip="A1951-2" w:history="1">
        <w:r w:rsidRPr="00E95F50">
          <w:rPr>
            <w:rStyle w:val="charCitHyperlinkAbbrev"/>
          </w:rPr>
          <w:t>Workers Compensation Act</w:t>
        </w:r>
      </w:hyperlink>
      <w:r>
        <w:t>, dictionary:</w:t>
      </w:r>
    </w:p>
    <w:p w14:paraId="4109E1AB" w14:textId="77777777" w:rsidR="008112BD" w:rsidRDefault="008112BD" w:rsidP="008112BD">
      <w:pPr>
        <w:pStyle w:val="aNoteBulletss"/>
        <w:tabs>
          <w:tab w:val="left" w:pos="2300"/>
        </w:tabs>
      </w:pPr>
      <w:r>
        <w:rPr>
          <w:rFonts w:ascii="Symbol" w:hAnsi="Symbol"/>
        </w:rPr>
        <w:t></w:t>
      </w:r>
      <w:r>
        <w:rPr>
          <w:rFonts w:ascii="Symbol" w:hAnsi="Symbol"/>
        </w:rPr>
        <w:tab/>
      </w:r>
      <w:r>
        <w:t>compulsory insurance policy</w:t>
      </w:r>
    </w:p>
    <w:p w14:paraId="33233F5A" w14:textId="77777777" w:rsidR="008112BD" w:rsidRDefault="008112BD" w:rsidP="008112BD">
      <w:pPr>
        <w:pStyle w:val="aNoteBulletss"/>
        <w:tabs>
          <w:tab w:val="left" w:pos="2300"/>
        </w:tabs>
      </w:pPr>
      <w:r>
        <w:rPr>
          <w:rFonts w:ascii="Symbol" w:hAnsi="Symbol"/>
        </w:rPr>
        <w:t></w:t>
      </w:r>
      <w:r>
        <w:rPr>
          <w:rFonts w:ascii="Symbol" w:hAnsi="Symbol"/>
        </w:rPr>
        <w:tab/>
      </w:r>
      <w:r>
        <w:t>dependant</w:t>
      </w:r>
    </w:p>
    <w:p w14:paraId="6A423E8D" w14:textId="77777777" w:rsidR="008112BD" w:rsidRDefault="008112BD" w:rsidP="008112BD">
      <w:pPr>
        <w:pStyle w:val="aNoteBulletss"/>
        <w:tabs>
          <w:tab w:val="left" w:pos="2300"/>
        </w:tabs>
      </w:pPr>
      <w:r>
        <w:rPr>
          <w:rFonts w:ascii="Symbol" w:hAnsi="Symbol"/>
        </w:rPr>
        <w:t></w:t>
      </w:r>
      <w:r>
        <w:rPr>
          <w:rFonts w:ascii="Symbol" w:hAnsi="Symbol"/>
        </w:rPr>
        <w:tab/>
      </w:r>
      <w:r>
        <w:t>employer</w:t>
      </w:r>
    </w:p>
    <w:p w14:paraId="0A66A5C8" w14:textId="77777777" w:rsidR="008112BD" w:rsidRDefault="008112BD" w:rsidP="008112BD">
      <w:pPr>
        <w:pStyle w:val="aNoteBulletss"/>
        <w:tabs>
          <w:tab w:val="left" w:pos="2300"/>
        </w:tabs>
      </w:pPr>
      <w:r>
        <w:rPr>
          <w:rFonts w:ascii="Symbol" w:hAnsi="Symbol"/>
        </w:rPr>
        <w:t></w:t>
      </w:r>
      <w:r>
        <w:rPr>
          <w:rFonts w:ascii="Symbol" w:hAnsi="Symbol"/>
        </w:rPr>
        <w:tab/>
      </w:r>
      <w:r>
        <w:t>injured worker (see s 86)</w:t>
      </w:r>
    </w:p>
    <w:p w14:paraId="1EF2951E" w14:textId="77777777" w:rsidR="008112BD" w:rsidRDefault="008112BD" w:rsidP="008112BD">
      <w:pPr>
        <w:pStyle w:val="aNoteBulletss"/>
        <w:tabs>
          <w:tab w:val="left" w:pos="2300"/>
        </w:tabs>
      </w:pPr>
      <w:r>
        <w:rPr>
          <w:rFonts w:ascii="Symbol" w:hAnsi="Symbol"/>
        </w:rPr>
        <w:t></w:t>
      </w:r>
      <w:r>
        <w:rPr>
          <w:rFonts w:ascii="Symbol" w:hAnsi="Symbol"/>
        </w:rPr>
        <w:tab/>
      </w:r>
      <w:r>
        <w:t>insurer</w:t>
      </w:r>
    </w:p>
    <w:p w14:paraId="5B4F60DC" w14:textId="77777777" w:rsidR="008112BD" w:rsidRDefault="008112BD" w:rsidP="008112BD">
      <w:pPr>
        <w:pStyle w:val="aNoteBulletss"/>
        <w:tabs>
          <w:tab w:val="left" w:pos="2300"/>
        </w:tabs>
      </w:pPr>
      <w:r>
        <w:rPr>
          <w:rFonts w:ascii="Symbol" w:hAnsi="Symbol"/>
        </w:rPr>
        <w:t></w:t>
      </w:r>
      <w:r>
        <w:rPr>
          <w:rFonts w:ascii="Symbol" w:hAnsi="Symbol"/>
        </w:rPr>
        <w:tab/>
      </w:r>
      <w:r>
        <w:t>medical referee</w:t>
      </w:r>
    </w:p>
    <w:p w14:paraId="0F43C445" w14:textId="77777777" w:rsidR="008112BD" w:rsidRDefault="008112BD" w:rsidP="008112BD">
      <w:pPr>
        <w:pStyle w:val="aNoteBulletss"/>
        <w:tabs>
          <w:tab w:val="left" w:pos="2300"/>
        </w:tabs>
      </w:pPr>
      <w:r>
        <w:rPr>
          <w:rFonts w:ascii="Symbol" w:hAnsi="Symbol"/>
        </w:rPr>
        <w:t></w:t>
      </w:r>
      <w:r>
        <w:rPr>
          <w:rFonts w:ascii="Symbol" w:hAnsi="Symbol"/>
        </w:rPr>
        <w:tab/>
      </w:r>
      <w:r>
        <w:t>registered agreement</w:t>
      </w:r>
    </w:p>
    <w:p w14:paraId="35CD5792" w14:textId="77777777" w:rsidR="008112BD" w:rsidRDefault="008112BD" w:rsidP="008112BD">
      <w:pPr>
        <w:pStyle w:val="aNoteBulletss"/>
        <w:tabs>
          <w:tab w:val="left" w:pos="2300"/>
        </w:tabs>
      </w:pPr>
      <w:r>
        <w:rPr>
          <w:rFonts w:ascii="Symbol" w:hAnsi="Symbol"/>
        </w:rPr>
        <w:t></w:t>
      </w:r>
      <w:r>
        <w:rPr>
          <w:rFonts w:ascii="Symbol" w:hAnsi="Symbol"/>
        </w:rPr>
        <w:tab/>
      </w:r>
      <w:r>
        <w:t>self-insurer.</w:t>
      </w:r>
    </w:p>
    <w:p w14:paraId="21A540FA" w14:textId="77777777" w:rsidR="008112BD" w:rsidRDefault="008112BD" w:rsidP="008112BD">
      <w:pPr>
        <w:pStyle w:val="AH5Sec"/>
      </w:pPr>
      <w:bookmarkStart w:id="1205" w:name="_Toc185514821"/>
      <w:r w:rsidRPr="00C8328B">
        <w:rPr>
          <w:rStyle w:val="CharSectNo"/>
        </w:rPr>
        <w:t>3902</w:t>
      </w:r>
      <w:r>
        <w:tab/>
        <w:t>Application—pt 3.13</w:t>
      </w:r>
      <w:bookmarkEnd w:id="1205"/>
    </w:p>
    <w:p w14:paraId="5BBA6E7E" w14:textId="77777777" w:rsidR="008112BD" w:rsidRDefault="008112BD" w:rsidP="008112BD">
      <w:pPr>
        <w:pStyle w:val="Amainreturn"/>
      </w:pPr>
      <w:r>
        <w:t>This part applies only in relation to—</w:t>
      </w:r>
    </w:p>
    <w:p w14:paraId="1A2DB00B" w14:textId="77777777" w:rsidR="008112BD" w:rsidRDefault="008112BD" w:rsidP="008112BD">
      <w:pPr>
        <w:pStyle w:val="Apara"/>
      </w:pPr>
      <w:r>
        <w:tab/>
        <w:t>(a)</w:t>
      </w:r>
      <w:r>
        <w:tab/>
        <w:t>the Magistrates Court; and</w:t>
      </w:r>
    </w:p>
    <w:p w14:paraId="65C7486C" w14:textId="2372C9E2" w:rsidR="008112BD" w:rsidRDefault="008112BD" w:rsidP="008112BD">
      <w:pPr>
        <w:pStyle w:val="Apara"/>
        <w:keepNext/>
      </w:pPr>
      <w:r>
        <w:tab/>
        <w:t>(b)</w:t>
      </w:r>
      <w:r>
        <w:tab/>
        <w:t xml:space="preserve">an injury to which the </w:t>
      </w:r>
      <w:hyperlink r:id="rId511" w:tooltip="A1951-2" w:history="1">
        <w:r w:rsidRPr="00E95F50">
          <w:rPr>
            <w:rStyle w:val="charCitHyperlinkAbbrev"/>
          </w:rPr>
          <w:t>Workers Compensation Act</w:t>
        </w:r>
      </w:hyperlink>
      <w:r>
        <w:t xml:space="preserve">, as in force after the commencement of the </w:t>
      </w:r>
      <w:hyperlink r:id="rId512" w:tooltip="A2001-81" w:history="1">
        <w:r w:rsidRPr="00FE0788">
          <w:rPr>
            <w:rStyle w:val="charCitHyperlinkItal"/>
          </w:rPr>
          <w:t>Workers Compensation Amendment Act 2001</w:t>
        </w:r>
      </w:hyperlink>
      <w:r>
        <w:t>, applies.</w:t>
      </w:r>
    </w:p>
    <w:p w14:paraId="29323A71" w14:textId="520DDF33" w:rsidR="008112BD" w:rsidRDefault="008112BD" w:rsidP="008112BD">
      <w:pPr>
        <w:pStyle w:val="aNote"/>
      </w:pPr>
      <w:r w:rsidRPr="00FE0788">
        <w:rPr>
          <w:rStyle w:val="charItals"/>
        </w:rPr>
        <w:t>Note</w:t>
      </w:r>
      <w:r w:rsidRPr="00FE0788">
        <w:rPr>
          <w:rStyle w:val="charItals"/>
        </w:rPr>
        <w:tab/>
      </w:r>
      <w:r>
        <w:t xml:space="preserve">With some exceptions (see </w:t>
      </w:r>
      <w:hyperlink r:id="rId513" w:tooltip="A1951-2" w:history="1">
        <w:r w:rsidRPr="00E95F50">
          <w:rPr>
            <w:rStyle w:val="charCitHyperlinkAbbrev"/>
          </w:rPr>
          <w:t>Workers Compensation Act</w:t>
        </w:r>
      </w:hyperlink>
      <w:r>
        <w:t xml:space="preserve">, s 234 (now expired)), the </w:t>
      </w:r>
      <w:hyperlink r:id="rId514" w:tooltip="A1951-2" w:history="1">
        <w:r w:rsidRPr="00E95F50">
          <w:rPr>
            <w:rStyle w:val="charCitHyperlinkAbbrev"/>
          </w:rPr>
          <w:t>Workers Compensation Act</w:t>
        </w:r>
      </w:hyperlink>
      <w:r>
        <w:t xml:space="preserve">, as in force after the commencement of the </w:t>
      </w:r>
      <w:hyperlink r:id="rId515" w:tooltip="A2001-81" w:history="1">
        <w:r w:rsidRPr="00FE0788">
          <w:rPr>
            <w:rStyle w:val="charCitHyperlinkItal"/>
          </w:rPr>
          <w:t>Workers Compensation Amendment Act 2001</w:t>
        </w:r>
      </w:hyperlink>
      <w:r>
        <w:t>, does not apply to injuries that happened before the commencement of the amending Act ie 1 July 2002.</w:t>
      </w:r>
    </w:p>
    <w:p w14:paraId="06F8C76A" w14:textId="77777777" w:rsidR="008112BD" w:rsidRDefault="008112BD" w:rsidP="008112BD">
      <w:pPr>
        <w:pStyle w:val="AH5Sec"/>
      </w:pPr>
      <w:bookmarkStart w:id="1206" w:name="_Toc185514822"/>
      <w:r w:rsidRPr="00C8328B">
        <w:rPr>
          <w:rStyle w:val="CharSectNo"/>
        </w:rPr>
        <w:t>3903</w:t>
      </w:r>
      <w:r>
        <w:tab/>
        <w:t>Workers compensation proceedings—application of ch 2 generally</w:t>
      </w:r>
      <w:bookmarkEnd w:id="1206"/>
      <w:r>
        <w:t xml:space="preserve"> </w:t>
      </w:r>
    </w:p>
    <w:p w14:paraId="1106D021" w14:textId="77777777" w:rsidR="008112BD" w:rsidRDefault="008112BD" w:rsidP="008112BD">
      <w:pPr>
        <w:pStyle w:val="Amain"/>
      </w:pPr>
      <w:r>
        <w:tab/>
        <w:t>(1)</w:t>
      </w:r>
      <w:r>
        <w:tab/>
        <w:t>Except as provided by this rule, chapter 2 does not apply to a proceeding under this part.</w:t>
      </w:r>
    </w:p>
    <w:p w14:paraId="4D6B3251" w14:textId="77777777" w:rsidR="008112BD" w:rsidRDefault="008112BD" w:rsidP="008112BD">
      <w:pPr>
        <w:pStyle w:val="Amain"/>
      </w:pPr>
      <w:r>
        <w:tab/>
        <w:t>(2)</w:t>
      </w:r>
      <w:r>
        <w:tab/>
        <w:t>The applied civil rules apply, with any necessary changes, to a proceeding under this part.</w:t>
      </w:r>
    </w:p>
    <w:p w14:paraId="24762D56" w14:textId="77777777"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14:paraId="64B602E6" w14:textId="77777777" w:rsidR="008112BD" w:rsidRDefault="008112BD" w:rsidP="008112BD">
      <w:pPr>
        <w:pStyle w:val="Amain"/>
        <w:keepNext/>
      </w:pPr>
      <w:r>
        <w:tab/>
        <w:t>(4)</w:t>
      </w:r>
      <w:r>
        <w:tab/>
        <w:t>In this rule:</w:t>
      </w:r>
    </w:p>
    <w:p w14:paraId="359A1669" w14:textId="77777777" w:rsidR="008112BD" w:rsidRDefault="008112BD" w:rsidP="008112BD">
      <w:pPr>
        <w:pStyle w:val="aDef"/>
        <w:keepNext/>
      </w:pPr>
      <w:r w:rsidRPr="00FE0788">
        <w:rPr>
          <w:rStyle w:val="charBoldItals"/>
        </w:rPr>
        <w:t>applied civil rules</w:t>
      </w:r>
      <w:r>
        <w:t xml:space="preserve"> means the following:</w:t>
      </w:r>
    </w:p>
    <w:p w14:paraId="735A805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14:paraId="71FADE19"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14:paraId="40276A61"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14:paraId="4328EA7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14:paraId="13B7F8A1" w14:textId="77777777"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14:paraId="13C9F5B5"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14:paraId="45E3E397"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14:paraId="529EF298"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14:paraId="36CD89C9" w14:textId="77777777"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14:paraId="062BB25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14:paraId="5564C682"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14:paraId="1620577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14:paraId="71C791AB"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14:paraId="102C447C"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14:paraId="0D4C0A2A"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14:paraId="392E9AD1" w14:textId="77777777" w:rsidR="008112BD" w:rsidRPr="00C8328B" w:rsidRDefault="008112BD" w:rsidP="008112BD">
      <w:pPr>
        <w:pStyle w:val="AH3Div"/>
      </w:pPr>
      <w:bookmarkStart w:id="1207" w:name="_Toc185514823"/>
      <w:r w:rsidRPr="00C8328B">
        <w:rPr>
          <w:rStyle w:val="CharDivNo"/>
        </w:rPr>
        <w:lastRenderedPageBreak/>
        <w:t>Division 3.13.2</w:t>
      </w:r>
      <w:r>
        <w:tab/>
      </w:r>
      <w:r w:rsidRPr="00C8328B">
        <w:rPr>
          <w:rStyle w:val="CharDivText"/>
        </w:rPr>
        <w:t>Workers compensation—applications for arbitration</w:t>
      </w:r>
      <w:bookmarkEnd w:id="1207"/>
    </w:p>
    <w:p w14:paraId="4BF6082F" w14:textId="77777777" w:rsidR="008112BD" w:rsidRPr="00FE0788" w:rsidRDefault="008112BD" w:rsidP="008112BD">
      <w:pPr>
        <w:pStyle w:val="aNote"/>
        <w:keepNext/>
        <w:keepLines/>
      </w:pPr>
      <w:r w:rsidRPr="00FE0788">
        <w:rPr>
          <w:rStyle w:val="charItals"/>
        </w:rPr>
        <w:t>Note to div 3.13.2</w:t>
      </w:r>
    </w:p>
    <w:p w14:paraId="38A4DF1F" w14:textId="7253A351" w:rsidR="008112BD" w:rsidRDefault="008112BD" w:rsidP="008112BD">
      <w:pPr>
        <w:pStyle w:val="aNoteTextss"/>
        <w:keepNext/>
        <w:keepLines/>
        <w:ind w:left="1083"/>
      </w:pPr>
      <w:r>
        <w:t xml:space="preserve">The </w:t>
      </w:r>
      <w:hyperlink r:id="rId516"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17" w:tooltip="SL2002-20" w:history="1">
        <w:r w:rsidRPr="00FE0788">
          <w:rPr>
            <w:rStyle w:val="charCitHyperlinkItal"/>
          </w:rPr>
          <w:t>Workers Compensation Regulation 2002</w:t>
        </w:r>
      </w:hyperlink>
      <w:r>
        <w:t>, pt 7 provides for a committee rather than the court to arbitrate matters in certain cases (see esp s 51).</w:t>
      </w:r>
    </w:p>
    <w:p w14:paraId="28107F41" w14:textId="77777777" w:rsidR="008112BD" w:rsidRDefault="008112BD" w:rsidP="008112BD">
      <w:pPr>
        <w:pStyle w:val="AH5Sec"/>
      </w:pPr>
      <w:bookmarkStart w:id="1208" w:name="_Toc185514824"/>
      <w:r w:rsidRPr="00C8328B">
        <w:rPr>
          <w:rStyle w:val="CharSectNo"/>
        </w:rPr>
        <w:t>3904</w:t>
      </w:r>
      <w:r>
        <w:tab/>
        <w:t>Application for arbitration—Commercial Arbitration Act not apply</w:t>
      </w:r>
      <w:bookmarkEnd w:id="1208"/>
      <w:r>
        <w:t xml:space="preserve"> </w:t>
      </w:r>
    </w:p>
    <w:p w14:paraId="1BEEB609" w14:textId="4EDC5FD6" w:rsidR="008112BD" w:rsidRDefault="008112BD" w:rsidP="008112BD">
      <w:pPr>
        <w:pStyle w:val="Amainreturn"/>
      </w:pPr>
      <w:r>
        <w:t xml:space="preserve">The </w:t>
      </w:r>
      <w:hyperlink r:id="rId518" w:tooltip="A2017-7" w:history="1">
        <w:r w:rsidR="002A5D94" w:rsidRPr="00A60754">
          <w:rPr>
            <w:rStyle w:val="charCitHyperlinkItal"/>
          </w:rPr>
          <w:t>Commercial Arbitration Act 2017</w:t>
        </w:r>
      </w:hyperlink>
      <w:r>
        <w:rPr>
          <w:rStyle w:val="charItals"/>
        </w:rPr>
        <w:t xml:space="preserve"> </w:t>
      </w:r>
      <w:r>
        <w:t>does not apply to an arbitration.</w:t>
      </w:r>
    </w:p>
    <w:p w14:paraId="2FCA2D72" w14:textId="77777777" w:rsidR="008112BD" w:rsidRDefault="008112BD" w:rsidP="008112BD">
      <w:pPr>
        <w:pStyle w:val="AH5Sec"/>
      </w:pPr>
      <w:bookmarkStart w:id="1209" w:name="_Toc185514825"/>
      <w:r w:rsidRPr="00C8328B">
        <w:rPr>
          <w:rStyle w:val="CharSectNo"/>
        </w:rPr>
        <w:t>3905</w:t>
      </w:r>
      <w:r>
        <w:tab/>
        <w:t>Application for arbitration—by worker</w:t>
      </w:r>
      <w:bookmarkEnd w:id="1209"/>
    </w:p>
    <w:p w14:paraId="7A3E2E66" w14:textId="77777777" w:rsidR="008112BD" w:rsidRDefault="008112BD" w:rsidP="008112BD">
      <w:pPr>
        <w:pStyle w:val="Amain"/>
        <w:keepNext/>
      </w:pPr>
      <w:r>
        <w:tab/>
        <w:t>(1)</w:t>
      </w:r>
      <w:r>
        <w:tab/>
        <w:t>An injured worker may ask that a claim be decided by arbitration by filing an application in the court.</w:t>
      </w:r>
    </w:p>
    <w:p w14:paraId="3E8703E7" w14:textId="2679D988"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19" w:history="1">
        <w:r w:rsidRPr="00814A26">
          <w:rPr>
            <w:rStyle w:val="charCitHyperlinkAbbrev"/>
          </w:rPr>
          <w:t>AF2010-150</w:t>
        </w:r>
      </w:hyperlink>
      <w:r>
        <w:t>.</w:t>
      </w:r>
    </w:p>
    <w:p w14:paraId="5CAD90B4" w14:textId="77777777" w:rsidR="008112BD" w:rsidRDefault="008112BD" w:rsidP="008112BD">
      <w:pPr>
        <w:pStyle w:val="Amain"/>
      </w:pPr>
      <w:r>
        <w:tab/>
        <w:t>(2)</w:t>
      </w:r>
      <w:r>
        <w:tab/>
        <w:t>The application must state briefly, but specifically, the claim to be arbitrated.</w:t>
      </w:r>
    </w:p>
    <w:p w14:paraId="099536CA" w14:textId="77777777" w:rsidR="008112BD" w:rsidRDefault="008112BD" w:rsidP="008112BD">
      <w:pPr>
        <w:pStyle w:val="AH5Sec"/>
      </w:pPr>
      <w:bookmarkStart w:id="1210" w:name="_Toc185514826"/>
      <w:r w:rsidRPr="00C8328B">
        <w:rPr>
          <w:rStyle w:val="CharSectNo"/>
        </w:rPr>
        <w:t>3906</w:t>
      </w:r>
      <w:r>
        <w:tab/>
        <w:t>Application for arbitration—by dependant or estate of deceased worker</w:t>
      </w:r>
      <w:bookmarkEnd w:id="1210"/>
    </w:p>
    <w:p w14:paraId="3C639E5A" w14:textId="77777777" w:rsidR="008112BD" w:rsidRDefault="008112BD" w:rsidP="008112BD">
      <w:pPr>
        <w:pStyle w:val="Amain"/>
        <w:keepNext/>
      </w:pPr>
      <w:r>
        <w:tab/>
        <w:t>(1)</w:t>
      </w:r>
      <w:r>
        <w:tab/>
        <w:t>A dependant, or the personal representative, of a deceased worker may ask that a claim be decided by arbitration by filing an application in the court.</w:t>
      </w:r>
    </w:p>
    <w:p w14:paraId="54BEBAA9" w14:textId="740DB21C"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0" w:history="1">
        <w:r w:rsidRPr="00814A26">
          <w:rPr>
            <w:rStyle w:val="charCitHyperlinkAbbrev"/>
          </w:rPr>
          <w:t>AF2006-495</w:t>
        </w:r>
      </w:hyperlink>
      <w:r>
        <w:t>.</w:t>
      </w:r>
    </w:p>
    <w:p w14:paraId="340BC8AD" w14:textId="77777777" w:rsidR="008112BD" w:rsidRDefault="008112BD" w:rsidP="008112BD">
      <w:pPr>
        <w:pStyle w:val="Amain"/>
        <w:keepNext/>
      </w:pPr>
      <w:r>
        <w:lastRenderedPageBreak/>
        <w:tab/>
        <w:t>(2)</w:t>
      </w:r>
      <w:r>
        <w:tab/>
        <w:t>The application must—</w:t>
      </w:r>
    </w:p>
    <w:p w14:paraId="431E622C" w14:textId="77777777" w:rsidR="008112BD" w:rsidRDefault="008112BD" w:rsidP="008112BD">
      <w:pPr>
        <w:pStyle w:val="Apara"/>
      </w:pPr>
      <w:r>
        <w:tab/>
        <w:t>(a)</w:t>
      </w:r>
      <w:r>
        <w:tab/>
        <w:t>contain details of each dependant on whose behalf the application is made; and</w:t>
      </w:r>
    </w:p>
    <w:p w14:paraId="7FA91D34" w14:textId="77777777" w:rsidR="008112BD" w:rsidRDefault="008112BD" w:rsidP="008112BD">
      <w:pPr>
        <w:pStyle w:val="Apara"/>
      </w:pPr>
      <w:r>
        <w:tab/>
        <w:t>(b)</w:t>
      </w:r>
      <w:r>
        <w:tab/>
        <w:t>state briefly, but specifically, the claim to be arbitrated; and</w:t>
      </w:r>
    </w:p>
    <w:p w14:paraId="15D25153" w14:textId="77777777" w:rsidR="008112BD" w:rsidRDefault="008112BD" w:rsidP="008112BD">
      <w:pPr>
        <w:pStyle w:val="Apara"/>
      </w:pPr>
      <w:r>
        <w:tab/>
        <w:t>(c)</w:t>
      </w:r>
      <w:r>
        <w:tab/>
        <w:t>be accompanied by a certified copy of—</w:t>
      </w:r>
    </w:p>
    <w:p w14:paraId="40869353" w14:textId="77777777" w:rsidR="008112BD" w:rsidRDefault="008112BD" w:rsidP="008112BD">
      <w:pPr>
        <w:pStyle w:val="Asubpara"/>
      </w:pPr>
      <w:r>
        <w:tab/>
        <w:t>(i)</w:t>
      </w:r>
      <w:r>
        <w:tab/>
        <w:t>the worker’s death certificate; and</w:t>
      </w:r>
    </w:p>
    <w:p w14:paraId="05CEBD82" w14:textId="77777777" w:rsidR="008112BD" w:rsidRDefault="008112BD" w:rsidP="008112BD">
      <w:pPr>
        <w:pStyle w:val="Asubpara"/>
      </w:pPr>
      <w:r>
        <w:tab/>
        <w:t>(ii)</w:t>
      </w:r>
      <w:r>
        <w:tab/>
        <w:t>the birth certificate of each dependant.</w:t>
      </w:r>
    </w:p>
    <w:p w14:paraId="6748DC59" w14:textId="77777777" w:rsidR="008112BD" w:rsidRDefault="008112BD" w:rsidP="008112BD">
      <w:pPr>
        <w:pStyle w:val="Amain"/>
        <w:keepNext/>
      </w:pPr>
      <w:r>
        <w:tab/>
        <w:t>(3)</w:t>
      </w:r>
      <w:r>
        <w:tab/>
        <w:t>In this rule:</w:t>
      </w:r>
    </w:p>
    <w:p w14:paraId="713A1E0B" w14:textId="77777777" w:rsidR="008112BD" w:rsidRPr="00FE0788" w:rsidRDefault="008112BD" w:rsidP="008112BD">
      <w:pPr>
        <w:pStyle w:val="aDef"/>
      </w:pPr>
      <w:r>
        <w:rPr>
          <w:rStyle w:val="charBoldItals"/>
        </w:rPr>
        <w:t xml:space="preserve">dependant </w:t>
      </w:r>
      <w:r>
        <w:t>includes a person claiming to be a dependant.</w:t>
      </w:r>
    </w:p>
    <w:p w14:paraId="5D9F726C" w14:textId="77777777" w:rsidR="008112BD" w:rsidRDefault="008112BD" w:rsidP="008112BD">
      <w:pPr>
        <w:pStyle w:val="AH5Sec"/>
      </w:pPr>
      <w:bookmarkStart w:id="1211" w:name="_Toc185514827"/>
      <w:r w:rsidRPr="00C8328B">
        <w:rPr>
          <w:rStyle w:val="CharSectNo"/>
        </w:rPr>
        <w:t>3907</w:t>
      </w:r>
      <w:r>
        <w:tab/>
        <w:t>Application for arbitration—by employer or insurer</w:t>
      </w:r>
      <w:bookmarkEnd w:id="1211"/>
    </w:p>
    <w:p w14:paraId="48F57EC3" w14:textId="77777777" w:rsidR="008112BD" w:rsidRDefault="008112BD" w:rsidP="008112BD">
      <w:pPr>
        <w:pStyle w:val="Amain"/>
        <w:keepNext/>
      </w:pPr>
      <w:r>
        <w:tab/>
        <w:t>(1)</w:t>
      </w:r>
      <w:r>
        <w:tab/>
        <w:t>An employer or insurer may ask that a claim be decided by arbitration by filing an application.</w:t>
      </w:r>
    </w:p>
    <w:p w14:paraId="0D0CDD67" w14:textId="0816536F"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1" w:history="1">
        <w:r w:rsidRPr="00814A26">
          <w:rPr>
            <w:rStyle w:val="charCitHyperlinkAbbrev"/>
          </w:rPr>
          <w:t>AF2006-496</w:t>
        </w:r>
      </w:hyperlink>
      <w:r>
        <w:t>.</w:t>
      </w:r>
    </w:p>
    <w:p w14:paraId="419674BC" w14:textId="77777777" w:rsidR="008112BD" w:rsidRDefault="008112BD" w:rsidP="008112BD">
      <w:pPr>
        <w:pStyle w:val="Amain"/>
      </w:pPr>
      <w:r>
        <w:tab/>
        <w:t>(2)</w:t>
      </w:r>
      <w:r>
        <w:tab/>
        <w:t>The application must state briefly, but specifically, the claim to be arbitrated.</w:t>
      </w:r>
    </w:p>
    <w:p w14:paraId="4409329A" w14:textId="77777777" w:rsidR="008112BD" w:rsidRDefault="008112BD" w:rsidP="008112BD">
      <w:pPr>
        <w:pStyle w:val="AH5Sec"/>
      </w:pPr>
      <w:bookmarkStart w:id="1212" w:name="_Toc185514828"/>
      <w:r w:rsidRPr="00C8328B">
        <w:rPr>
          <w:rStyle w:val="CharSectNo"/>
        </w:rPr>
        <w:t>3909</w:t>
      </w:r>
      <w:r>
        <w:tab/>
        <w:t>Application for arbitration—injury notice and medical evidence</w:t>
      </w:r>
      <w:bookmarkEnd w:id="1212"/>
    </w:p>
    <w:p w14:paraId="2FE723C6" w14:textId="77777777" w:rsidR="008112BD" w:rsidRDefault="008112BD" w:rsidP="008112BD">
      <w:pPr>
        <w:pStyle w:val="Amain"/>
      </w:pPr>
      <w:r>
        <w:tab/>
        <w:t>(1)</w:t>
      </w:r>
      <w:r>
        <w:tab/>
        <w:t>An application for arbitration filed in the court must be accompanied by—</w:t>
      </w:r>
    </w:p>
    <w:p w14:paraId="51543700" w14:textId="77777777" w:rsidR="008112BD" w:rsidRDefault="008112BD" w:rsidP="008112BD">
      <w:pPr>
        <w:pStyle w:val="Apara"/>
      </w:pPr>
      <w:r>
        <w:tab/>
        <w:t>(a)</w:t>
      </w:r>
      <w:r>
        <w:tab/>
        <w:t>if available to the applicant—a copy of the injury notice in relation to the claim; and</w:t>
      </w:r>
    </w:p>
    <w:p w14:paraId="26CECD33" w14:textId="77777777" w:rsidR="008112BD" w:rsidRDefault="008112BD" w:rsidP="008112BD">
      <w:pPr>
        <w:pStyle w:val="Apara"/>
      </w:pPr>
      <w:r>
        <w:tab/>
        <w:t>(b)</w:t>
      </w:r>
      <w:r>
        <w:tab/>
        <w:t>a copy of all available medical evidence the applicant intends to rely on.</w:t>
      </w:r>
    </w:p>
    <w:p w14:paraId="66A2DAF7" w14:textId="77777777" w:rsidR="008112BD" w:rsidRDefault="008112BD" w:rsidP="008112BD">
      <w:pPr>
        <w:pStyle w:val="Amain"/>
      </w:pPr>
      <w:r>
        <w:tab/>
        <w:t>(2)</w:t>
      </w:r>
      <w:r>
        <w:tab/>
        <w:t>If no injury notice was given in relation to the claim, the application must contain details of why no notice was given.</w:t>
      </w:r>
    </w:p>
    <w:p w14:paraId="10B733D7" w14:textId="77777777" w:rsidR="008112BD" w:rsidRDefault="008112BD" w:rsidP="008112BD">
      <w:pPr>
        <w:pStyle w:val="AH5Sec"/>
      </w:pPr>
      <w:bookmarkStart w:id="1213" w:name="_Toc185514829"/>
      <w:r w:rsidRPr="00C8328B">
        <w:rPr>
          <w:rStyle w:val="CharSectNo"/>
        </w:rPr>
        <w:lastRenderedPageBreak/>
        <w:t>3910</w:t>
      </w:r>
      <w:r>
        <w:tab/>
        <w:t>Application for arbitration—copies</w:t>
      </w:r>
      <w:bookmarkEnd w:id="1213"/>
    </w:p>
    <w:p w14:paraId="5F4C671E" w14:textId="77777777" w:rsidR="008112BD" w:rsidRDefault="008112BD" w:rsidP="008112BD">
      <w:pPr>
        <w:pStyle w:val="Amainreturn"/>
      </w:pPr>
      <w:r>
        <w:t>When filing an application for arbitration, and the documents accompanying the application mentioned in rule 3909, in the court, the applicant must also file—</w:t>
      </w:r>
    </w:p>
    <w:p w14:paraId="111CC397" w14:textId="77777777" w:rsidR="008112BD" w:rsidRDefault="008112BD" w:rsidP="008112BD">
      <w:pPr>
        <w:pStyle w:val="Apara"/>
      </w:pPr>
      <w:r>
        <w:tab/>
        <w:t>(a)</w:t>
      </w:r>
      <w:r>
        <w:tab/>
        <w:t>1 copy for each respondent; and</w:t>
      </w:r>
    </w:p>
    <w:p w14:paraId="17883B98" w14:textId="77777777" w:rsidR="008112BD" w:rsidRDefault="008112BD" w:rsidP="008112BD">
      <w:pPr>
        <w:pStyle w:val="Apara"/>
      </w:pPr>
      <w:r>
        <w:tab/>
        <w:t>(b)</w:t>
      </w:r>
      <w:r>
        <w:tab/>
        <w:t>for each respondent who is an employer other than a self</w:t>
      </w:r>
      <w:r>
        <w:noBreakHyphen/>
        <w:t>insurer—1 copy for the respondent’s insurer.</w:t>
      </w:r>
    </w:p>
    <w:p w14:paraId="6062F17C" w14:textId="77777777" w:rsidR="008112BD" w:rsidRDefault="008112BD" w:rsidP="008112BD">
      <w:pPr>
        <w:pStyle w:val="AH5Sec"/>
      </w:pPr>
      <w:bookmarkStart w:id="1214" w:name="_Toc185514830"/>
      <w:r w:rsidRPr="00C8328B">
        <w:rPr>
          <w:rStyle w:val="CharSectNo"/>
        </w:rPr>
        <w:t>3911</w:t>
      </w:r>
      <w:r>
        <w:tab/>
        <w:t>Application for arbitration—service on respondent</w:t>
      </w:r>
      <w:bookmarkEnd w:id="1214"/>
    </w:p>
    <w:p w14:paraId="4ED715E3" w14:textId="77777777"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14:paraId="2C6F784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B65712A" w14:textId="77777777" w:rsidR="008112BD" w:rsidRDefault="008112BD" w:rsidP="008112BD">
      <w:pPr>
        <w:pStyle w:val="Amain"/>
      </w:pPr>
      <w:r>
        <w:tab/>
        <w:t>(2)</w:t>
      </w:r>
      <w:r>
        <w:tab/>
        <w:t>The applicant must file in the court an affidavit of service of the application on a respondent unless the respondent has filed an answer.</w:t>
      </w:r>
    </w:p>
    <w:p w14:paraId="0DB33566" w14:textId="77777777"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14:paraId="2F143511" w14:textId="77777777" w:rsidR="008112BD" w:rsidRDefault="008112BD" w:rsidP="008112BD">
      <w:pPr>
        <w:pStyle w:val="AH5Sec"/>
      </w:pPr>
      <w:bookmarkStart w:id="1215" w:name="_Toc185514831"/>
      <w:r w:rsidRPr="00C8328B">
        <w:rPr>
          <w:rStyle w:val="CharSectNo"/>
        </w:rPr>
        <w:t>3912</w:t>
      </w:r>
      <w:r>
        <w:tab/>
        <w:t>Application for arbitration—service on insurer</w:t>
      </w:r>
      <w:bookmarkEnd w:id="1215"/>
    </w:p>
    <w:p w14:paraId="35448AB1" w14:textId="77777777"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14:paraId="21898703" w14:textId="77777777"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14:paraId="340D4858"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7C9D3207" w14:textId="77777777" w:rsidR="008112BD" w:rsidRDefault="008112BD" w:rsidP="008112BD">
      <w:pPr>
        <w:pStyle w:val="AH5Sec"/>
      </w:pPr>
      <w:bookmarkStart w:id="1216" w:name="_Toc185514832"/>
      <w:r w:rsidRPr="00C8328B">
        <w:rPr>
          <w:rStyle w:val="CharSectNo"/>
        </w:rPr>
        <w:lastRenderedPageBreak/>
        <w:t>3913</w:t>
      </w:r>
      <w:r>
        <w:tab/>
        <w:t>Application for arbitration—answer by respondent or third-party respondent</w:t>
      </w:r>
      <w:bookmarkEnd w:id="1216"/>
    </w:p>
    <w:p w14:paraId="3595437C" w14:textId="77777777" w:rsidR="008112BD" w:rsidRDefault="008112BD" w:rsidP="008112BD">
      <w:pPr>
        <w:pStyle w:val="Amain"/>
        <w:keepNext/>
      </w:pPr>
      <w:r>
        <w:tab/>
        <w:t>(1)</w:t>
      </w:r>
      <w:r>
        <w:tab/>
        <w:t>A respondent to an application for arbitration may file an answer.</w:t>
      </w:r>
    </w:p>
    <w:p w14:paraId="3A4AB926" w14:textId="77777777" w:rsidR="008112BD" w:rsidRDefault="008112BD" w:rsidP="008112BD">
      <w:pPr>
        <w:pStyle w:val="aNote"/>
        <w:keepNext/>
      </w:pPr>
      <w:r>
        <w:rPr>
          <w:rStyle w:val="charItals"/>
        </w:rPr>
        <w:t>Note</w:t>
      </w:r>
      <w:r>
        <w:tab/>
        <w:t>See</w:t>
      </w:r>
    </w:p>
    <w:p w14:paraId="5FADBD1F" w14:textId="1278E80D"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2" w:history="1">
        <w:r w:rsidRPr="00814A26">
          <w:rPr>
            <w:rStyle w:val="charCitHyperlinkAbbrev"/>
          </w:rPr>
          <w:t>AF2008-153</w:t>
        </w:r>
      </w:hyperlink>
    </w:p>
    <w:p w14:paraId="273D31B2" w14:textId="79DBF9B4"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3" w:history="1">
        <w:r w:rsidRPr="00814A26">
          <w:rPr>
            <w:rStyle w:val="charCitHyperlinkAbbrev"/>
          </w:rPr>
          <w:t>AF2008-145</w:t>
        </w:r>
      </w:hyperlink>
    </w:p>
    <w:p w14:paraId="71A82E90" w14:textId="41058798"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4" w:history="1">
        <w:r w:rsidRPr="00814A26">
          <w:rPr>
            <w:rStyle w:val="charCitHyperlinkAbbrev"/>
          </w:rPr>
          <w:t>AF2008-146</w:t>
        </w:r>
      </w:hyperlink>
      <w:r>
        <w:t>.</w:t>
      </w:r>
    </w:p>
    <w:p w14:paraId="5C0F2D4B" w14:textId="77777777" w:rsidR="008112BD" w:rsidRDefault="008112BD" w:rsidP="008112BD">
      <w:pPr>
        <w:pStyle w:val="Amain"/>
        <w:keepNext/>
      </w:pPr>
      <w:r>
        <w:tab/>
        <w:t>(2)</w:t>
      </w:r>
      <w:r>
        <w:tab/>
        <w:t>The answer must be filed not later than 28 days after the day the respondent is served with the application.</w:t>
      </w:r>
    </w:p>
    <w:p w14:paraId="4D496E2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15131108" w14:textId="77777777"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14:paraId="17810AFE"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4C8F76C2" w14:textId="77777777" w:rsidR="008112BD" w:rsidRDefault="008112BD" w:rsidP="008112BD">
      <w:pPr>
        <w:pStyle w:val="Amain"/>
      </w:pPr>
      <w:r>
        <w:tab/>
        <w:t>(4)</w:t>
      </w:r>
      <w:r>
        <w:tab/>
        <w:t>When filing an answer in the court, the respondent must also file—</w:t>
      </w:r>
    </w:p>
    <w:p w14:paraId="36CBCB11" w14:textId="77777777" w:rsidR="008112BD" w:rsidRDefault="008112BD" w:rsidP="008112BD">
      <w:pPr>
        <w:pStyle w:val="Apara"/>
      </w:pPr>
      <w:r>
        <w:tab/>
        <w:t>(a)</w:t>
      </w:r>
      <w:r>
        <w:tab/>
        <w:t>1 copy for the applicant; and</w:t>
      </w:r>
    </w:p>
    <w:p w14:paraId="433A15CE" w14:textId="77777777" w:rsidR="008112BD" w:rsidRDefault="008112BD" w:rsidP="008112BD">
      <w:pPr>
        <w:pStyle w:val="Apara"/>
      </w:pPr>
      <w:r>
        <w:tab/>
        <w:t>(b)</w:t>
      </w:r>
      <w:r>
        <w:tab/>
        <w:t xml:space="preserve">1 copy for each other respondent; and </w:t>
      </w:r>
    </w:p>
    <w:p w14:paraId="26635661" w14:textId="77777777" w:rsidR="008112BD" w:rsidRDefault="008112BD" w:rsidP="008112BD">
      <w:pPr>
        <w:pStyle w:val="Apara"/>
      </w:pPr>
      <w:r>
        <w:tab/>
        <w:t>(c)</w:t>
      </w:r>
      <w:r>
        <w:tab/>
        <w:t>for each other respondent who is an employer other than a self</w:t>
      </w:r>
      <w:r>
        <w:noBreakHyphen/>
        <w:t>insurer—1 copy for the respondent’s insurer.</w:t>
      </w:r>
    </w:p>
    <w:p w14:paraId="4BF59936" w14:textId="77777777" w:rsidR="008112BD" w:rsidRDefault="008112BD" w:rsidP="008112BD">
      <w:pPr>
        <w:pStyle w:val="AH5Sec"/>
      </w:pPr>
      <w:bookmarkStart w:id="1217" w:name="_Toc185514833"/>
      <w:r w:rsidRPr="00C8328B">
        <w:rPr>
          <w:rStyle w:val="CharSectNo"/>
        </w:rPr>
        <w:t>3914</w:t>
      </w:r>
      <w:r>
        <w:tab/>
        <w:t>Application for arbitration—liability and particulars subject to answer</w:t>
      </w:r>
      <w:bookmarkEnd w:id="1217"/>
      <w:r>
        <w:t xml:space="preserve"> </w:t>
      </w:r>
    </w:p>
    <w:p w14:paraId="28037B85" w14:textId="77777777" w:rsidR="008112BD" w:rsidRDefault="008112BD" w:rsidP="008112BD">
      <w:pPr>
        <w:pStyle w:val="Amain"/>
      </w:pPr>
      <w:r>
        <w:tab/>
        <w:t>(1)</w:t>
      </w:r>
      <w:r>
        <w:tab/>
        <w:t>An answer to an application for arbitration must admit or deny each claim and admit or deny each particular set out in the application.</w:t>
      </w:r>
    </w:p>
    <w:p w14:paraId="28A65B0F" w14:textId="77777777" w:rsidR="008112BD" w:rsidRDefault="008112BD" w:rsidP="008112BD">
      <w:pPr>
        <w:pStyle w:val="Amain"/>
      </w:pPr>
      <w:r>
        <w:tab/>
        <w:t>(2)</w:t>
      </w:r>
      <w:r>
        <w:tab/>
        <w:t>If no admission or denial of a claim or particular is made, the claim or particular is taken to be admitted.</w:t>
      </w:r>
    </w:p>
    <w:p w14:paraId="11001BB4" w14:textId="77777777"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14:paraId="4C338648" w14:textId="77777777" w:rsidR="008112BD" w:rsidRDefault="008112BD" w:rsidP="008112BD">
      <w:pPr>
        <w:pStyle w:val="Amain"/>
        <w:keepNext/>
      </w:pPr>
      <w:r>
        <w:tab/>
        <w:t>(4)</w:t>
      </w:r>
      <w:r>
        <w:tab/>
        <w:t>If a respondent employer wishes to deny a claim or particular, but has not done so in an answer, the court may—</w:t>
      </w:r>
    </w:p>
    <w:p w14:paraId="6FB35357" w14:textId="77777777" w:rsidR="008112BD" w:rsidRDefault="008112BD" w:rsidP="008112BD">
      <w:pPr>
        <w:pStyle w:val="Apara"/>
      </w:pPr>
      <w:r>
        <w:tab/>
        <w:t>(a)</w:t>
      </w:r>
      <w:r>
        <w:tab/>
        <w:t>allow the respondent to raise a matter the respondent should have included, or given notice of, in an answer; or</w:t>
      </w:r>
    </w:p>
    <w:p w14:paraId="4D9132FB" w14:textId="77777777" w:rsidR="008112BD" w:rsidRDefault="008112BD" w:rsidP="008112BD">
      <w:pPr>
        <w:pStyle w:val="Apara"/>
        <w:keepNext/>
      </w:pPr>
      <w:r>
        <w:tab/>
        <w:t>(b)</w:t>
      </w:r>
      <w:r>
        <w:tab/>
        <w:t>adjourn the arbitration to a stated time or for a stated period to allow the respondent to file an answer.</w:t>
      </w:r>
    </w:p>
    <w:p w14:paraId="565DA31F" w14:textId="77777777"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14:paraId="6147B13B" w14:textId="77777777" w:rsidR="008112BD" w:rsidRDefault="008112BD" w:rsidP="008112BD">
      <w:pPr>
        <w:pStyle w:val="AH5Sec"/>
      </w:pPr>
      <w:bookmarkStart w:id="1218" w:name="_Toc185514834"/>
      <w:r w:rsidRPr="00C8328B">
        <w:rPr>
          <w:rStyle w:val="CharSectNo"/>
        </w:rPr>
        <w:t>3915</w:t>
      </w:r>
      <w:r>
        <w:tab/>
        <w:t>Application for arbitration—service of answer</w:t>
      </w:r>
      <w:bookmarkEnd w:id="1218"/>
      <w:r>
        <w:t xml:space="preserve"> </w:t>
      </w:r>
    </w:p>
    <w:p w14:paraId="1666FD87" w14:textId="77777777" w:rsidR="008112BD" w:rsidRDefault="008112BD" w:rsidP="008112BD">
      <w:pPr>
        <w:pStyle w:val="Amain"/>
        <w:keepNext/>
      </w:pPr>
      <w:r>
        <w:tab/>
        <w:t>(1)</w:t>
      </w:r>
      <w:r>
        <w:tab/>
        <w:t>A respondent must serve a sealed copy of the answer on the applicant and each other respondent.</w:t>
      </w:r>
    </w:p>
    <w:p w14:paraId="0818D666" w14:textId="19114DD8"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25" w:tooltip="A2001-14" w:history="1">
        <w:r w:rsidRPr="00FE0788">
          <w:rPr>
            <w:rStyle w:val="charCitHyperlinkAbbrev"/>
          </w:rPr>
          <w:t>Legislation Act</w:t>
        </w:r>
      </w:hyperlink>
      <w:r>
        <w:t>, s 151B (Doing things for which no time is fixed)).</w:t>
      </w:r>
    </w:p>
    <w:p w14:paraId="3BE5BCEE" w14:textId="77777777" w:rsidR="008112BD" w:rsidRDefault="008112BD" w:rsidP="008112BD">
      <w:pPr>
        <w:pStyle w:val="Amain"/>
      </w:pPr>
      <w:r>
        <w:tab/>
        <w:t>(2)</w:t>
      </w:r>
      <w:r>
        <w:tab/>
        <w:t>If the court makes an order under rule 6351 (Time—extending and shortening by court order), the respondent must serve a sealed copy of the order with the answer.</w:t>
      </w:r>
    </w:p>
    <w:p w14:paraId="778DC0F0" w14:textId="77777777" w:rsidR="008112BD" w:rsidRDefault="008112BD" w:rsidP="008112BD">
      <w:pPr>
        <w:pStyle w:val="AH5Sec"/>
      </w:pPr>
      <w:bookmarkStart w:id="1219" w:name="_Toc185514835"/>
      <w:r w:rsidRPr="00C8328B">
        <w:rPr>
          <w:rStyle w:val="CharSectNo"/>
        </w:rPr>
        <w:t>3916</w:t>
      </w:r>
      <w:r>
        <w:tab/>
        <w:t>Application for arbitration—amendment</w:t>
      </w:r>
      <w:bookmarkEnd w:id="1219"/>
    </w:p>
    <w:p w14:paraId="142FA629" w14:textId="77777777"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14:paraId="030626D3" w14:textId="77777777"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14:paraId="1E0C1B69" w14:textId="77777777" w:rsidR="008112BD" w:rsidRDefault="008112BD" w:rsidP="008112BD">
      <w:pPr>
        <w:pStyle w:val="Amain"/>
        <w:keepNext/>
      </w:pPr>
      <w:r>
        <w:lastRenderedPageBreak/>
        <w:tab/>
        <w:t>(3)</w:t>
      </w:r>
      <w:r>
        <w:tab/>
        <w:t>The court may give leave, or give a direction, on application by the party or on its own initiative.</w:t>
      </w:r>
    </w:p>
    <w:p w14:paraId="51844BCF" w14:textId="77777777"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14:paraId="5B5D2BAD" w14:textId="77777777"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0615FC5" w14:textId="77777777"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14:paraId="52A3CCD3" w14:textId="77777777" w:rsidR="008112BD" w:rsidRDefault="008112BD" w:rsidP="008112BD">
      <w:pPr>
        <w:pStyle w:val="Amain"/>
      </w:pPr>
      <w:r>
        <w:tab/>
        <w:t>(5)</w:t>
      </w:r>
      <w:r>
        <w:tab/>
        <w:t>An amendment of a document made under this rule must be distinguished so that the changes are identifiable.</w:t>
      </w:r>
    </w:p>
    <w:p w14:paraId="70F5A6B2" w14:textId="77777777" w:rsidR="008112BD" w:rsidRDefault="008112BD" w:rsidP="008112BD">
      <w:pPr>
        <w:pStyle w:val="Amain"/>
        <w:keepNext/>
      </w:pPr>
      <w:r>
        <w:tab/>
        <w:t>(6)</w:t>
      </w:r>
      <w:r>
        <w:tab/>
        <w:t>A party amending a document must file and serve on each other active party—</w:t>
      </w:r>
    </w:p>
    <w:p w14:paraId="1B08F806" w14:textId="77777777" w:rsidR="008112BD" w:rsidRDefault="008112BD" w:rsidP="008112BD">
      <w:pPr>
        <w:pStyle w:val="Apara"/>
      </w:pPr>
      <w:r>
        <w:tab/>
        <w:t>(a)</w:t>
      </w:r>
      <w:r>
        <w:tab/>
        <w:t>a copy of the document that contains the amendments written on it; or</w:t>
      </w:r>
    </w:p>
    <w:p w14:paraId="421FAD4F" w14:textId="77777777" w:rsidR="008112BD" w:rsidRDefault="008112BD" w:rsidP="008112BD">
      <w:pPr>
        <w:pStyle w:val="Apara"/>
      </w:pPr>
      <w:r>
        <w:tab/>
        <w:t>(b)</w:t>
      </w:r>
      <w:r>
        <w:tab/>
        <w:t>a revised document incorporating and distinguishing the amendments.</w:t>
      </w:r>
    </w:p>
    <w:p w14:paraId="54489334" w14:textId="77777777" w:rsidR="008112BD" w:rsidRDefault="008112BD" w:rsidP="008112BD">
      <w:pPr>
        <w:pStyle w:val="Amain"/>
        <w:keepNext/>
      </w:pPr>
      <w:r>
        <w:tab/>
        <w:t>(7)</w:t>
      </w:r>
      <w:r>
        <w:tab/>
        <w:t>This rule does not apply in relation to an amendment of an order.</w:t>
      </w:r>
    </w:p>
    <w:p w14:paraId="7F44141E" w14:textId="77777777" w:rsidR="008112BD" w:rsidRDefault="008112BD" w:rsidP="008112BD">
      <w:pPr>
        <w:pStyle w:val="aNote"/>
      </w:pPr>
      <w:r>
        <w:rPr>
          <w:rStyle w:val="charItals"/>
        </w:rPr>
        <w:t>Note</w:t>
      </w:r>
      <w:r>
        <w:rPr>
          <w:rStyle w:val="charItals"/>
        </w:rPr>
        <w:tab/>
      </w:r>
      <w:r>
        <w:t>See r 6906 (Mistakes in orders or court certificates) for amendment of orders.</w:t>
      </w:r>
    </w:p>
    <w:p w14:paraId="71C4C81E" w14:textId="77777777" w:rsidR="008112BD" w:rsidRDefault="008112BD" w:rsidP="008112BD">
      <w:pPr>
        <w:pStyle w:val="AH5Sec"/>
      </w:pPr>
      <w:bookmarkStart w:id="1220" w:name="_Toc185514836"/>
      <w:r w:rsidRPr="00C8328B">
        <w:rPr>
          <w:rStyle w:val="CharSectNo"/>
        </w:rPr>
        <w:t>3917</w:t>
      </w:r>
      <w:r>
        <w:tab/>
        <w:t>Application for arbitration—minor amendment or amendment by consent</w:t>
      </w:r>
      <w:bookmarkEnd w:id="1220"/>
    </w:p>
    <w:p w14:paraId="253E259B" w14:textId="77777777" w:rsidR="008112BD" w:rsidRDefault="008112BD" w:rsidP="008112BD">
      <w:pPr>
        <w:pStyle w:val="Amain"/>
      </w:pPr>
      <w:r>
        <w:tab/>
        <w:t>(1)</w:t>
      </w:r>
      <w:r>
        <w:tab/>
        <w:t>This rule applies to an amendment to a document in a proceeding that is—</w:t>
      </w:r>
    </w:p>
    <w:p w14:paraId="5C3564C7" w14:textId="77777777" w:rsidR="008112BD" w:rsidRDefault="008112BD" w:rsidP="008112BD">
      <w:pPr>
        <w:pStyle w:val="Apara"/>
      </w:pPr>
      <w:r>
        <w:tab/>
        <w:t>(a)</w:t>
      </w:r>
      <w:r>
        <w:tab/>
        <w:t>minor and will not have any substantive effect on the case to be put by any party to the proceeding; or</w:t>
      </w:r>
    </w:p>
    <w:p w14:paraId="07680C59" w14:textId="77777777" w:rsidR="008112BD" w:rsidRDefault="008112BD" w:rsidP="008112BD">
      <w:pPr>
        <w:pStyle w:val="Apara"/>
      </w:pPr>
      <w:r>
        <w:tab/>
        <w:t>(b)</w:t>
      </w:r>
      <w:r>
        <w:tab/>
        <w:t>consented to by all parties to the proceeding.</w:t>
      </w:r>
    </w:p>
    <w:p w14:paraId="3DAE74F2" w14:textId="77777777" w:rsidR="008112BD" w:rsidRDefault="008112BD" w:rsidP="008112BD">
      <w:pPr>
        <w:pStyle w:val="Amain"/>
      </w:pPr>
      <w:r>
        <w:lastRenderedPageBreak/>
        <w:tab/>
        <w:t>(2)</w:t>
      </w:r>
      <w:r>
        <w:tab/>
        <w:t>Rule 3916 does not apply to an amendment mentioned in subrule (1).</w:t>
      </w:r>
    </w:p>
    <w:p w14:paraId="68C92DBF" w14:textId="77777777" w:rsidR="008112BD" w:rsidRDefault="008112BD" w:rsidP="008112BD">
      <w:pPr>
        <w:pStyle w:val="Amain"/>
      </w:pPr>
      <w:r>
        <w:tab/>
        <w:t>(3)</w:t>
      </w:r>
      <w:r>
        <w:tab/>
        <w:t>A party may amend the document by filing, and serving on each other active party in the proceeding—</w:t>
      </w:r>
    </w:p>
    <w:p w14:paraId="08ECDD52" w14:textId="77777777" w:rsidR="008112BD" w:rsidRDefault="008112BD" w:rsidP="008112BD">
      <w:pPr>
        <w:pStyle w:val="Apara"/>
      </w:pPr>
      <w:r>
        <w:tab/>
        <w:t>(a)</w:t>
      </w:r>
      <w:r>
        <w:tab/>
        <w:t>a copy of the document that contains the amendments written on it; or</w:t>
      </w:r>
    </w:p>
    <w:p w14:paraId="01F3399B" w14:textId="77777777" w:rsidR="008112BD" w:rsidRDefault="008112BD" w:rsidP="008112BD">
      <w:pPr>
        <w:pStyle w:val="Apara"/>
      </w:pPr>
      <w:r>
        <w:tab/>
        <w:t>(b)</w:t>
      </w:r>
      <w:r>
        <w:tab/>
        <w:t>a revised document incorporating and distinguishing the amendments.</w:t>
      </w:r>
    </w:p>
    <w:p w14:paraId="6AF5A63B" w14:textId="77777777" w:rsidR="008112BD" w:rsidRDefault="008112BD" w:rsidP="008112BD">
      <w:pPr>
        <w:pStyle w:val="AH5Sec"/>
      </w:pPr>
      <w:bookmarkStart w:id="1221" w:name="_Toc185514837"/>
      <w:r w:rsidRPr="00C8328B">
        <w:rPr>
          <w:rStyle w:val="CharSectNo"/>
        </w:rPr>
        <w:t>3918</w:t>
      </w:r>
      <w:r>
        <w:tab/>
        <w:t>Application for arbitration—discontinuance</w:t>
      </w:r>
      <w:bookmarkEnd w:id="1221"/>
    </w:p>
    <w:p w14:paraId="6CF704BE" w14:textId="77777777" w:rsidR="008112BD" w:rsidRDefault="008112BD" w:rsidP="008112BD">
      <w:pPr>
        <w:pStyle w:val="Amain"/>
      </w:pPr>
      <w:r>
        <w:tab/>
        <w:t>(1)</w:t>
      </w:r>
      <w:r>
        <w:tab/>
        <w:t>An applicant may discontinue a proceeding, or withdraw part of it, at any time.</w:t>
      </w:r>
    </w:p>
    <w:p w14:paraId="5B7DDFBD" w14:textId="77777777"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14:paraId="06FD3319" w14:textId="77777777"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14:paraId="3A9E0CF7" w14:textId="13790C99"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26" w:tooltip="A2004-59" w:history="1">
        <w:r w:rsidRPr="00FE0788">
          <w:rPr>
            <w:rStyle w:val="charCitHyperlinkItal"/>
          </w:rPr>
          <w:t>Court Procedures Act 2004</w:t>
        </w:r>
      </w:hyperlink>
      <w:r>
        <w:t>, s 8 for this provision, the form must be used.</w:t>
      </w:r>
    </w:p>
    <w:p w14:paraId="5C643320" w14:textId="77777777"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14:paraId="0B0A32D6" w14:textId="77777777" w:rsidR="008112BD" w:rsidRDefault="008112BD" w:rsidP="008112BD">
      <w:pPr>
        <w:pStyle w:val="aNote"/>
        <w:keepNext/>
      </w:pPr>
      <w:r>
        <w:rPr>
          <w:rStyle w:val="charItals"/>
        </w:rPr>
        <w:t>Note</w:t>
      </w:r>
      <w:r>
        <w:rPr>
          <w:rStyle w:val="charItals"/>
        </w:rPr>
        <w:tab/>
      </w:r>
      <w:r>
        <w:t>Pt 6.2 (Applications in proceedings) applies to an application under this rule.</w:t>
      </w:r>
    </w:p>
    <w:p w14:paraId="214CF7E9" w14:textId="77777777" w:rsidR="008112BD" w:rsidRDefault="008112BD" w:rsidP="008112BD">
      <w:pPr>
        <w:pStyle w:val="Amain"/>
      </w:pPr>
      <w:r>
        <w:tab/>
        <w:t>(5)</w:t>
      </w:r>
      <w:r>
        <w:tab/>
        <w:t>Subrule (4) is subject to rule 3968 (Workers compensation costs—generally).</w:t>
      </w:r>
    </w:p>
    <w:p w14:paraId="20CF7A04" w14:textId="77777777" w:rsidR="008112BD" w:rsidRPr="00C8328B" w:rsidRDefault="008112BD" w:rsidP="008112BD">
      <w:pPr>
        <w:pStyle w:val="AH3Div"/>
      </w:pPr>
      <w:bookmarkStart w:id="1222" w:name="_Toc185514838"/>
      <w:r w:rsidRPr="00C8328B">
        <w:rPr>
          <w:rStyle w:val="CharDivNo"/>
        </w:rPr>
        <w:lastRenderedPageBreak/>
        <w:t>Division 3.13.3</w:t>
      </w:r>
      <w:r>
        <w:tab/>
      </w:r>
      <w:r w:rsidRPr="00C8328B">
        <w:rPr>
          <w:rStyle w:val="CharDivText"/>
        </w:rPr>
        <w:t>Workers compensation—parties for arbitration</w:t>
      </w:r>
      <w:bookmarkEnd w:id="1222"/>
    </w:p>
    <w:p w14:paraId="5288B329" w14:textId="77777777" w:rsidR="008112BD" w:rsidRDefault="008112BD" w:rsidP="008112BD">
      <w:pPr>
        <w:pStyle w:val="AH5Sec"/>
      </w:pPr>
      <w:bookmarkStart w:id="1223" w:name="_Toc185514839"/>
      <w:r w:rsidRPr="00C8328B">
        <w:rPr>
          <w:rStyle w:val="CharSectNo"/>
        </w:rPr>
        <w:t>3919</w:t>
      </w:r>
      <w:r>
        <w:tab/>
        <w:t>Arbitration—necessary parties</w:t>
      </w:r>
      <w:bookmarkEnd w:id="1223"/>
      <w:r>
        <w:t xml:space="preserve"> </w:t>
      </w:r>
    </w:p>
    <w:p w14:paraId="614DFF37" w14:textId="77777777"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14:paraId="0844BA39" w14:textId="77777777" w:rsidR="008112BD" w:rsidRDefault="008112BD" w:rsidP="008112BD">
      <w:pPr>
        <w:pStyle w:val="aExamHdgss"/>
      </w:pPr>
      <w:r>
        <w:t>Example</w:t>
      </w:r>
    </w:p>
    <w:p w14:paraId="4FA8DCFF" w14:textId="77777777"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14:paraId="1C32F6A2" w14:textId="77777777" w:rsidR="008112BD" w:rsidRDefault="008112BD" w:rsidP="008112BD">
      <w:pPr>
        <w:pStyle w:val="Amain"/>
      </w:pPr>
      <w:r>
        <w:tab/>
        <w:t>(2)</w:t>
      </w:r>
      <w:r>
        <w:tab/>
        <w:t>The court may require a person to be included as a party.</w:t>
      </w:r>
    </w:p>
    <w:p w14:paraId="6A2C7014" w14:textId="77777777" w:rsidR="008112BD" w:rsidRDefault="008112BD" w:rsidP="008112BD">
      <w:pPr>
        <w:pStyle w:val="aExamHdgss"/>
      </w:pPr>
      <w:r>
        <w:t>Example</w:t>
      </w:r>
    </w:p>
    <w:p w14:paraId="45D49731" w14:textId="77777777" w:rsidR="008112BD" w:rsidRDefault="008112BD" w:rsidP="008112BD">
      <w:pPr>
        <w:pStyle w:val="aExam"/>
      </w:pPr>
      <w:r>
        <w:t>If, for an application on behalf of dependants of a deceased worker, a dependant fails to join in the application, the dependant may be included as a respondent.</w:t>
      </w:r>
    </w:p>
    <w:p w14:paraId="07B90A2C" w14:textId="77777777" w:rsidR="008112BD" w:rsidRDefault="008112BD" w:rsidP="008112BD">
      <w:pPr>
        <w:pStyle w:val="Amain"/>
      </w:pPr>
      <w:r>
        <w:tab/>
        <w:t>(3)</w:t>
      </w:r>
      <w:r>
        <w:tab/>
        <w:t>Each party other than the applicant is a respondent.</w:t>
      </w:r>
    </w:p>
    <w:p w14:paraId="60C7E584" w14:textId="77777777" w:rsidR="008112BD" w:rsidRDefault="008112BD" w:rsidP="008112BD">
      <w:pPr>
        <w:pStyle w:val="Amain"/>
      </w:pPr>
      <w:r>
        <w:tab/>
        <w:t>(4)</w:t>
      </w:r>
      <w:r>
        <w:tab/>
        <w:t>The court may decide a claim even if a person is incorrectly included or not included as a party.</w:t>
      </w:r>
    </w:p>
    <w:p w14:paraId="6FBCE73F" w14:textId="77777777" w:rsidR="008112BD" w:rsidRPr="00483FB9" w:rsidRDefault="008112BD" w:rsidP="008112BD">
      <w:pPr>
        <w:pStyle w:val="AH5Sec"/>
      </w:pPr>
      <w:bookmarkStart w:id="1224" w:name="_Toc185514840"/>
      <w:r w:rsidRPr="00C8328B">
        <w:rPr>
          <w:rStyle w:val="CharSectNo"/>
        </w:rPr>
        <w:t>3919A</w:t>
      </w:r>
      <w:r w:rsidRPr="00483FB9">
        <w:tab/>
        <w:t>Arbitration—determination of Territory or State of connection</w:t>
      </w:r>
      <w:bookmarkEnd w:id="1224"/>
    </w:p>
    <w:p w14:paraId="3D00441D" w14:textId="77777777"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14:paraId="4E41D97C" w14:textId="5BFB238F"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27"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14:paraId="4F4158CA" w14:textId="77777777"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14:paraId="18F8290F" w14:textId="77777777"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14:paraId="034BD89A" w14:textId="77777777" w:rsidR="008112BD" w:rsidRPr="00483FB9" w:rsidRDefault="008112BD" w:rsidP="008112BD">
      <w:pPr>
        <w:pStyle w:val="Amain"/>
      </w:pPr>
      <w:r w:rsidRPr="00483FB9">
        <w:tab/>
        <w:t>(3)</w:t>
      </w:r>
      <w:r w:rsidRPr="00483FB9">
        <w:tab/>
        <w:t>In this rule:</w:t>
      </w:r>
    </w:p>
    <w:p w14:paraId="0FC14F9C" w14:textId="4FF40617" w:rsidR="008112BD" w:rsidRPr="00483FB9" w:rsidRDefault="008112BD" w:rsidP="008112BD">
      <w:pPr>
        <w:pStyle w:val="aDef"/>
      </w:pPr>
      <w:r w:rsidRPr="00A02F0D">
        <w:rPr>
          <w:rStyle w:val="charBoldItals"/>
        </w:rPr>
        <w:t>Territory or State of connection</w:t>
      </w:r>
      <w:r w:rsidRPr="00483FB9">
        <w:t xml:space="preserve">—see the </w:t>
      </w:r>
      <w:hyperlink r:id="rId528" w:tooltip="A1951-2" w:history="1">
        <w:r w:rsidRPr="00FE0788">
          <w:rPr>
            <w:rStyle w:val="charCitHyperlinkItal"/>
          </w:rPr>
          <w:t>Workers Compensation Act 1951</w:t>
        </w:r>
      </w:hyperlink>
      <w:r w:rsidRPr="00483FB9">
        <w:t>, section 36A.</w:t>
      </w:r>
    </w:p>
    <w:p w14:paraId="0617C7FA" w14:textId="77777777" w:rsidR="008112BD" w:rsidRDefault="008112BD" w:rsidP="008112BD">
      <w:pPr>
        <w:pStyle w:val="AH5Sec"/>
      </w:pPr>
      <w:bookmarkStart w:id="1225" w:name="_Toc185514841"/>
      <w:r w:rsidRPr="00C8328B">
        <w:rPr>
          <w:rStyle w:val="CharSectNo"/>
        </w:rPr>
        <w:t>3920</w:t>
      </w:r>
      <w:r>
        <w:tab/>
        <w:t>Arbitration—including other parties</w:t>
      </w:r>
      <w:bookmarkEnd w:id="1225"/>
      <w:r>
        <w:t xml:space="preserve"> </w:t>
      </w:r>
    </w:p>
    <w:p w14:paraId="595F840E" w14:textId="77777777" w:rsidR="008112BD" w:rsidRDefault="008112BD" w:rsidP="008112BD">
      <w:pPr>
        <w:pStyle w:val="Amain"/>
      </w:pPr>
      <w:r>
        <w:tab/>
        <w:t>(1)</w:t>
      </w:r>
      <w:r>
        <w:tab/>
        <w:t>An applicant may include someone else as a party to an arbitration by naming the person in the application.</w:t>
      </w:r>
    </w:p>
    <w:p w14:paraId="4059FCCE" w14:textId="77777777"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14:paraId="57443E01" w14:textId="77777777" w:rsidR="008112BD" w:rsidRDefault="008112BD" w:rsidP="008112BD">
      <w:pPr>
        <w:pStyle w:val="aExamHdgss"/>
      </w:pPr>
      <w:r>
        <w:t>Example</w:t>
      </w:r>
    </w:p>
    <w:p w14:paraId="700B9E07" w14:textId="77777777"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14:paraId="08BA6171" w14:textId="463A2BB9" w:rsidR="008112BD" w:rsidRDefault="008112BD" w:rsidP="008112BD">
      <w:pPr>
        <w:pStyle w:val="aNote"/>
        <w:keepNext/>
      </w:pPr>
      <w:r>
        <w:rPr>
          <w:rStyle w:val="charItals"/>
        </w:rPr>
        <w:t>Note</w:t>
      </w:r>
      <w:r>
        <w:tab/>
        <w:t>See approved form 3.61 (</w:t>
      </w:r>
      <w:r w:rsidRPr="00A170D6">
        <w:t>Arbitration—third-party notice</w:t>
      </w:r>
      <w:r>
        <w:t xml:space="preserve">) </w:t>
      </w:r>
      <w:hyperlink r:id="rId529" w:history="1">
        <w:r w:rsidRPr="00814A26">
          <w:rPr>
            <w:rStyle w:val="charCitHyperlinkAbbrev"/>
          </w:rPr>
          <w:t>AF2006-498</w:t>
        </w:r>
      </w:hyperlink>
      <w:r>
        <w:t>.</w:t>
      </w:r>
    </w:p>
    <w:p w14:paraId="7138D8EE" w14:textId="77777777" w:rsidR="008112BD" w:rsidRDefault="008112BD" w:rsidP="008112BD">
      <w:pPr>
        <w:pStyle w:val="Amain"/>
      </w:pPr>
      <w:r>
        <w:tab/>
        <w:t>(3)</w:t>
      </w:r>
      <w:r>
        <w:tab/>
        <w:t>A party including a person as a third-party respondent must, not later than 14 days after the day the party files the notice—</w:t>
      </w:r>
    </w:p>
    <w:p w14:paraId="2CE71B19" w14:textId="77777777" w:rsidR="008112BD" w:rsidRDefault="008112BD" w:rsidP="008112BD">
      <w:pPr>
        <w:pStyle w:val="Apara"/>
      </w:pPr>
      <w:r>
        <w:tab/>
        <w:t>(a)</w:t>
      </w:r>
      <w:r>
        <w:tab/>
        <w:t>serve a sealed copy of the notice, the application for arbitration and any answer filed in the arbitration, on the person; and</w:t>
      </w:r>
    </w:p>
    <w:p w14:paraId="390752A4" w14:textId="77777777" w:rsidR="008112BD" w:rsidRDefault="008112BD" w:rsidP="008112BD">
      <w:pPr>
        <w:pStyle w:val="Apara"/>
      </w:pPr>
      <w:r>
        <w:tab/>
        <w:t>(b)</w:t>
      </w:r>
      <w:r>
        <w:tab/>
        <w:t>serve a sealed copy of the notice on each other party to the arbitration.</w:t>
      </w:r>
    </w:p>
    <w:p w14:paraId="68FA3F22" w14:textId="77777777" w:rsidR="008112BD" w:rsidRDefault="008112BD" w:rsidP="008112BD">
      <w:pPr>
        <w:pStyle w:val="Amain"/>
      </w:pPr>
      <w:r>
        <w:tab/>
        <w:t>(4)</w:t>
      </w:r>
      <w:r>
        <w:tab/>
        <w:t>The court may, at any time, order a party who has included a person as a party in an arbitration to—</w:t>
      </w:r>
    </w:p>
    <w:p w14:paraId="6354E838" w14:textId="77777777" w:rsidR="008112BD" w:rsidRDefault="008112BD" w:rsidP="008112BD">
      <w:pPr>
        <w:pStyle w:val="Apara"/>
      </w:pPr>
      <w:r>
        <w:tab/>
        <w:t>(a)</w:t>
      </w:r>
      <w:r>
        <w:tab/>
        <w:t>serve on the person any document in the arbitration; or</w:t>
      </w:r>
    </w:p>
    <w:p w14:paraId="4B5DA9A0" w14:textId="77777777" w:rsidR="008112BD" w:rsidRDefault="008112BD" w:rsidP="008112BD">
      <w:pPr>
        <w:pStyle w:val="Apara"/>
      </w:pPr>
      <w:r>
        <w:lastRenderedPageBreak/>
        <w:tab/>
        <w:t>(b)</w:t>
      </w:r>
      <w:r>
        <w:tab/>
        <w:t>file and serve on the person and each other party an affidavit setting out the basis on which the person has been included.</w:t>
      </w:r>
    </w:p>
    <w:p w14:paraId="63412D93" w14:textId="77777777" w:rsidR="008112BD" w:rsidRDefault="008112BD" w:rsidP="008112BD">
      <w:pPr>
        <w:pStyle w:val="AH5Sec"/>
      </w:pPr>
      <w:bookmarkStart w:id="1226" w:name="_Toc185514842"/>
      <w:r w:rsidRPr="00C8328B">
        <w:rPr>
          <w:rStyle w:val="CharSectNo"/>
        </w:rPr>
        <w:t>3921</w:t>
      </w:r>
      <w:r>
        <w:tab/>
        <w:t>Arbitration—person may apply to be included as party</w:t>
      </w:r>
      <w:bookmarkEnd w:id="1226"/>
    </w:p>
    <w:p w14:paraId="567E410F" w14:textId="77777777" w:rsidR="008112BD" w:rsidRDefault="008112BD" w:rsidP="008112BD">
      <w:pPr>
        <w:pStyle w:val="Amainreturn"/>
        <w:keepNext/>
      </w:pPr>
      <w:r>
        <w:t>A person may apply to the court to be included as a party to an arbitration.</w:t>
      </w:r>
    </w:p>
    <w:p w14:paraId="4492C26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D39B19A" w14:textId="77777777" w:rsidR="008112BD" w:rsidRDefault="008112BD" w:rsidP="008112BD">
      <w:pPr>
        <w:pStyle w:val="AH5Sec"/>
      </w:pPr>
      <w:bookmarkStart w:id="1227" w:name="_Toc185514843"/>
      <w:r w:rsidRPr="00C8328B">
        <w:rPr>
          <w:rStyle w:val="CharSectNo"/>
        </w:rPr>
        <w:t>3922</w:t>
      </w:r>
      <w:r>
        <w:tab/>
        <w:t>Arbitration—party may apply to be removed as party</w:t>
      </w:r>
      <w:bookmarkEnd w:id="1227"/>
    </w:p>
    <w:p w14:paraId="395F5143" w14:textId="77777777" w:rsidR="008112BD" w:rsidRDefault="008112BD" w:rsidP="008112BD">
      <w:pPr>
        <w:pStyle w:val="Amainreturn"/>
        <w:keepNext/>
      </w:pPr>
      <w:r>
        <w:t>A party to an arbitration may apply to the court to be removed as a party.</w:t>
      </w:r>
    </w:p>
    <w:p w14:paraId="18BD5B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37B30E4" w14:textId="77777777" w:rsidR="008112BD" w:rsidRDefault="008112BD" w:rsidP="008112BD">
      <w:pPr>
        <w:pStyle w:val="AH5Sec"/>
      </w:pPr>
      <w:bookmarkStart w:id="1228" w:name="_Toc185514844"/>
      <w:r w:rsidRPr="00C8328B">
        <w:rPr>
          <w:rStyle w:val="CharSectNo"/>
        </w:rPr>
        <w:t>3923</w:t>
      </w:r>
      <w:r>
        <w:tab/>
        <w:t>Arbitration—employer not respondent in certain applications by dependant or personal representative</w:t>
      </w:r>
      <w:bookmarkEnd w:id="1228"/>
      <w:r>
        <w:t xml:space="preserve"> </w:t>
      </w:r>
    </w:p>
    <w:p w14:paraId="180F665C" w14:textId="77777777" w:rsidR="008112BD" w:rsidRDefault="008112BD" w:rsidP="008112BD">
      <w:pPr>
        <w:pStyle w:val="Amain"/>
      </w:pPr>
      <w:r>
        <w:tab/>
        <w:t>(1)</w:t>
      </w:r>
      <w:r>
        <w:tab/>
        <w:t>This rule applies if—</w:t>
      </w:r>
    </w:p>
    <w:p w14:paraId="21D68E7F" w14:textId="77777777" w:rsidR="008112BD" w:rsidRDefault="008112BD" w:rsidP="008112BD">
      <w:pPr>
        <w:pStyle w:val="Apara"/>
      </w:pPr>
      <w:r>
        <w:tab/>
        <w:t>(a)</w:t>
      </w:r>
      <w:r>
        <w:tab/>
        <w:t>a dependant, or the personal representative, of a deceased worker asks that a claim be decided by arbitration; and</w:t>
      </w:r>
    </w:p>
    <w:p w14:paraId="3F256505" w14:textId="77777777" w:rsidR="008112BD" w:rsidRDefault="008112BD" w:rsidP="008112BD">
      <w:pPr>
        <w:pStyle w:val="Apara"/>
      </w:pPr>
      <w:r>
        <w:tab/>
        <w:t>(b)</w:t>
      </w:r>
      <w:r>
        <w:tab/>
        <w:t>the amount of compensation payable to the dependants of the deceased worker is not an issue in the arbitration.</w:t>
      </w:r>
    </w:p>
    <w:p w14:paraId="18A14437" w14:textId="77777777" w:rsidR="008112BD" w:rsidRDefault="008112BD" w:rsidP="008112BD">
      <w:pPr>
        <w:pStyle w:val="Amain"/>
      </w:pPr>
      <w:r>
        <w:tab/>
        <w:t>(2)</w:t>
      </w:r>
      <w:r>
        <w:tab/>
        <w:t>The employer is not a respondent in the arbitration if the employer has paid the amount of compensation—</w:t>
      </w:r>
    </w:p>
    <w:p w14:paraId="7DC2ABD2" w14:textId="77777777" w:rsidR="008112BD" w:rsidRDefault="008112BD" w:rsidP="008112BD">
      <w:pPr>
        <w:pStyle w:val="Apara"/>
      </w:pPr>
      <w:r>
        <w:tab/>
        <w:t>(a)</w:t>
      </w:r>
      <w:r>
        <w:tab/>
        <w:t xml:space="preserve">to the applicant; or </w:t>
      </w:r>
    </w:p>
    <w:p w14:paraId="3046A02F" w14:textId="77777777" w:rsidR="008112BD" w:rsidRDefault="008112BD" w:rsidP="008112BD">
      <w:pPr>
        <w:pStyle w:val="Apara"/>
      </w:pPr>
      <w:r>
        <w:tab/>
        <w:t>(b)</w:t>
      </w:r>
      <w:r>
        <w:tab/>
        <w:t>into court to be dealt with as the court directs.</w:t>
      </w:r>
    </w:p>
    <w:p w14:paraId="207BFF85" w14:textId="77777777" w:rsidR="008112BD" w:rsidRPr="00C8328B" w:rsidRDefault="008112BD" w:rsidP="008112BD">
      <w:pPr>
        <w:pStyle w:val="AH3Div"/>
      </w:pPr>
      <w:bookmarkStart w:id="1229" w:name="_Toc185514845"/>
      <w:r w:rsidRPr="00C8328B">
        <w:rPr>
          <w:rStyle w:val="CharDivNo"/>
        </w:rPr>
        <w:lastRenderedPageBreak/>
        <w:t>Division 3.13.4</w:t>
      </w:r>
      <w:r>
        <w:tab/>
      </w:r>
      <w:r w:rsidRPr="00C8328B">
        <w:rPr>
          <w:rStyle w:val="CharDivText"/>
        </w:rPr>
        <w:t>Workers compensation—representation in arbitrations</w:t>
      </w:r>
      <w:bookmarkEnd w:id="1229"/>
    </w:p>
    <w:p w14:paraId="50065FFE" w14:textId="77777777" w:rsidR="008112BD" w:rsidRDefault="008112BD" w:rsidP="008112BD">
      <w:pPr>
        <w:pStyle w:val="AH5Sec"/>
        <w:rPr>
          <w:lang w:val="en-US"/>
        </w:rPr>
      </w:pPr>
      <w:bookmarkStart w:id="1230" w:name="_Toc185514846"/>
      <w:r w:rsidRPr="00C8328B">
        <w:rPr>
          <w:rStyle w:val="CharSectNo"/>
        </w:rPr>
        <w:t>3924</w:t>
      </w:r>
      <w:r>
        <w:rPr>
          <w:lang w:val="en-US"/>
        </w:rPr>
        <w:tab/>
        <w:t>Arbitration—party may be represented</w:t>
      </w:r>
      <w:bookmarkEnd w:id="1230"/>
      <w:r>
        <w:rPr>
          <w:lang w:val="en-US"/>
        </w:rPr>
        <w:t xml:space="preserve"> </w:t>
      </w:r>
    </w:p>
    <w:p w14:paraId="1F9D627A" w14:textId="77777777" w:rsidR="008112BD" w:rsidRDefault="008112BD" w:rsidP="008112BD">
      <w:pPr>
        <w:pStyle w:val="Amain"/>
        <w:rPr>
          <w:lang w:val="en-US"/>
        </w:rPr>
      </w:pPr>
      <w:r>
        <w:rPr>
          <w:lang w:val="en-US"/>
        </w:rPr>
        <w:tab/>
        <w:t>(1)</w:t>
      </w:r>
      <w:r>
        <w:rPr>
          <w:lang w:val="en-US"/>
        </w:rPr>
        <w:tab/>
        <w:t>A party to an arbitration may be represented by—</w:t>
      </w:r>
    </w:p>
    <w:p w14:paraId="73D79592" w14:textId="77777777" w:rsidR="008112BD" w:rsidRDefault="008112BD" w:rsidP="008112BD">
      <w:pPr>
        <w:pStyle w:val="Apara"/>
      </w:pPr>
      <w:r>
        <w:tab/>
        <w:t>(a)</w:t>
      </w:r>
      <w:r>
        <w:tab/>
        <w:t>a lawyer; or</w:t>
      </w:r>
    </w:p>
    <w:p w14:paraId="3091E52C" w14:textId="77777777" w:rsidR="008112BD" w:rsidRDefault="008112BD" w:rsidP="008112BD">
      <w:pPr>
        <w:pStyle w:val="Apara"/>
      </w:pPr>
      <w:r>
        <w:tab/>
        <w:t>(b)</w:t>
      </w:r>
      <w:r>
        <w:tab/>
        <w:t>with leave of the court—</w:t>
      </w:r>
    </w:p>
    <w:p w14:paraId="68118872" w14:textId="77777777" w:rsidR="008112BD" w:rsidRDefault="008112BD" w:rsidP="008112BD">
      <w:pPr>
        <w:pStyle w:val="Asubpara"/>
      </w:pPr>
      <w:r>
        <w:tab/>
        <w:t>(i)</w:t>
      </w:r>
      <w:r>
        <w:tab/>
        <w:t>if the party is an injured worker—a member of the party’s family; or</w:t>
      </w:r>
    </w:p>
    <w:p w14:paraId="03AC77DA" w14:textId="77777777" w:rsidR="008112BD" w:rsidRDefault="008112BD" w:rsidP="008112BD">
      <w:pPr>
        <w:pStyle w:val="Asubpara"/>
      </w:pPr>
      <w:r>
        <w:tab/>
        <w:t>(ii)</w:t>
      </w:r>
      <w:r>
        <w:tab/>
        <w:t>an employee of the party; or</w:t>
      </w:r>
    </w:p>
    <w:p w14:paraId="0A7E9208" w14:textId="77777777" w:rsidR="008112BD" w:rsidRDefault="008112BD" w:rsidP="008112BD">
      <w:pPr>
        <w:pStyle w:val="Asubpara"/>
      </w:pPr>
      <w:r>
        <w:tab/>
        <w:t>(iii)</w:t>
      </w:r>
      <w:r>
        <w:tab/>
        <w:t>if the party is a corporation—a director or officer of the corporation; or</w:t>
      </w:r>
    </w:p>
    <w:p w14:paraId="34B4FA59" w14:textId="77777777" w:rsidR="008112BD" w:rsidRDefault="008112BD" w:rsidP="008112BD">
      <w:pPr>
        <w:pStyle w:val="Asubpara"/>
      </w:pPr>
      <w:r>
        <w:tab/>
        <w:t>(iv)</w:t>
      </w:r>
      <w:r>
        <w:tab/>
        <w:t>if the party is a member of an organisation—an officer or member of the organisation; or</w:t>
      </w:r>
    </w:p>
    <w:p w14:paraId="1DF50013" w14:textId="77777777" w:rsidR="008112BD" w:rsidRDefault="008112BD" w:rsidP="008112BD">
      <w:pPr>
        <w:pStyle w:val="Asubpara"/>
        <w:keepNext/>
      </w:pPr>
      <w:r>
        <w:tab/>
        <w:t>(v)</w:t>
      </w:r>
      <w:r>
        <w:tab/>
        <w:t>in special circumstances, anyone else.</w:t>
      </w:r>
    </w:p>
    <w:p w14:paraId="5B10A74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28EE287C" w14:textId="77777777" w:rsidR="008112BD" w:rsidRDefault="008112BD" w:rsidP="008112BD">
      <w:pPr>
        <w:pStyle w:val="Amain"/>
      </w:pPr>
      <w:r>
        <w:tab/>
        <w:t>(2)</w:t>
      </w:r>
      <w:r>
        <w:tab/>
        <w:t>A person who represents a party with the court’s leave must file in the court an authority to act signed by the party.</w:t>
      </w:r>
    </w:p>
    <w:p w14:paraId="5393E0C8" w14:textId="77777777" w:rsidR="008112BD" w:rsidRDefault="008112BD" w:rsidP="008112BD">
      <w:pPr>
        <w:pStyle w:val="Amain"/>
        <w:keepNext/>
      </w:pPr>
      <w:r>
        <w:tab/>
        <w:t>(3)</w:t>
      </w:r>
      <w:r>
        <w:tab/>
        <w:t>The court may allow a person other than a lawyer to claim travelling expenses for representing a party in an arbitration.</w:t>
      </w:r>
    </w:p>
    <w:p w14:paraId="6B233A49" w14:textId="77777777"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14:paraId="417FF65C" w14:textId="77777777" w:rsidR="008112BD" w:rsidRDefault="008112BD" w:rsidP="008112BD">
      <w:pPr>
        <w:pStyle w:val="Amain"/>
      </w:pPr>
      <w:r>
        <w:tab/>
        <w:t>(4)</w:t>
      </w:r>
      <w:r>
        <w:tab/>
        <w:t>Also, the court may allow a worker, or a member of the worker’s family who represents the worker, an allowance for time spent at the arbitration.</w:t>
      </w:r>
    </w:p>
    <w:p w14:paraId="651AFA5E" w14:textId="77777777" w:rsidR="008112BD" w:rsidRDefault="008112BD" w:rsidP="008112BD">
      <w:pPr>
        <w:pStyle w:val="AH5Sec"/>
      </w:pPr>
      <w:bookmarkStart w:id="1231" w:name="_Toc185514847"/>
      <w:r w:rsidRPr="00C8328B">
        <w:rPr>
          <w:rStyle w:val="CharSectNo"/>
        </w:rPr>
        <w:lastRenderedPageBreak/>
        <w:t>3925</w:t>
      </w:r>
      <w:r>
        <w:tab/>
        <w:t>Arbitration—separate representation of employer for insurer’s period on risk</w:t>
      </w:r>
      <w:bookmarkEnd w:id="1231"/>
    </w:p>
    <w:p w14:paraId="5703C4E9" w14:textId="77777777"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14:paraId="46A5F38A" w14:textId="77777777"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14:paraId="677CC741" w14:textId="77777777" w:rsidR="008112BD" w:rsidRDefault="008112BD" w:rsidP="008112BD">
      <w:pPr>
        <w:pStyle w:val="Amain"/>
      </w:pPr>
      <w:r>
        <w:tab/>
        <w:t>(2)</w:t>
      </w:r>
      <w:r>
        <w:tab/>
        <w:t>This part applies to the employer as if, for each separate representation, the employer were a separate party.</w:t>
      </w:r>
    </w:p>
    <w:p w14:paraId="38F4E573" w14:textId="77777777"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14:paraId="261348A4" w14:textId="77777777" w:rsidR="008112BD" w:rsidRPr="00C8328B" w:rsidRDefault="008112BD" w:rsidP="008112BD">
      <w:pPr>
        <w:pStyle w:val="AH3Div"/>
      </w:pPr>
      <w:bookmarkStart w:id="1232" w:name="_Toc185514848"/>
      <w:r w:rsidRPr="00C8328B">
        <w:rPr>
          <w:rStyle w:val="CharDivNo"/>
        </w:rPr>
        <w:t>Division 3.13.6</w:t>
      </w:r>
      <w:r>
        <w:tab/>
      </w:r>
      <w:r w:rsidRPr="00C8328B">
        <w:rPr>
          <w:rStyle w:val="CharDivText"/>
        </w:rPr>
        <w:t>Workers compensation—medical reports for arbitrations</w:t>
      </w:r>
      <w:bookmarkEnd w:id="1232"/>
    </w:p>
    <w:p w14:paraId="4CD68994" w14:textId="77777777" w:rsidR="008112BD" w:rsidRDefault="008112BD" w:rsidP="008112BD">
      <w:pPr>
        <w:pStyle w:val="AH5Sec"/>
      </w:pPr>
      <w:bookmarkStart w:id="1233" w:name="_Toc185514849"/>
      <w:r w:rsidRPr="00C8328B">
        <w:rPr>
          <w:rStyle w:val="CharSectNo"/>
        </w:rPr>
        <w:t>3928</w:t>
      </w:r>
      <w:r>
        <w:tab/>
        <w:t>Arbitration—service of medical reports</w:t>
      </w:r>
      <w:bookmarkEnd w:id="1233"/>
    </w:p>
    <w:p w14:paraId="5D68CFFA" w14:textId="77777777"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14:paraId="18FF822A" w14:textId="77777777" w:rsidR="008112BD" w:rsidRDefault="008112BD" w:rsidP="008112BD">
      <w:pPr>
        <w:pStyle w:val="Apara"/>
      </w:pPr>
      <w:r>
        <w:tab/>
        <w:t>(a)</w:t>
      </w:r>
      <w:r>
        <w:tab/>
        <w:t>on which the party intends to rely at the arbitration; or</w:t>
      </w:r>
    </w:p>
    <w:p w14:paraId="1D313EA8" w14:textId="77777777" w:rsidR="008112BD" w:rsidRDefault="008112BD" w:rsidP="008112BD">
      <w:pPr>
        <w:pStyle w:val="Apara"/>
        <w:keepNext/>
      </w:pPr>
      <w:r>
        <w:tab/>
        <w:t>(b)</w:t>
      </w:r>
      <w:r>
        <w:tab/>
        <w:t>obtained from a doctor whom the party intends to call at the arbitration.</w:t>
      </w:r>
    </w:p>
    <w:p w14:paraId="053D6BC2"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14:paraId="205B91D9" w14:textId="77777777" w:rsidR="008112BD" w:rsidRDefault="008112BD" w:rsidP="008112BD">
      <w:pPr>
        <w:pStyle w:val="Amain"/>
      </w:pPr>
      <w:r>
        <w:tab/>
        <w:t>(2)</w:t>
      </w:r>
      <w:r>
        <w:tab/>
        <w:t>If a party serves a medical report from a doctor, the party must serve every medical report from that doctor obtained by the party.</w:t>
      </w:r>
    </w:p>
    <w:p w14:paraId="73F6F74A" w14:textId="77777777" w:rsidR="008112BD" w:rsidRDefault="008112BD" w:rsidP="008573CF">
      <w:pPr>
        <w:pStyle w:val="Amain"/>
        <w:keepNext/>
      </w:pPr>
      <w:r>
        <w:lastRenderedPageBreak/>
        <w:tab/>
        <w:t>(3)</w:t>
      </w:r>
      <w:r>
        <w:tab/>
        <w:t>If, after serving a medical report under subrule (1), a party obtains a further report from the same doctor, the party—</w:t>
      </w:r>
    </w:p>
    <w:p w14:paraId="6479BA55" w14:textId="77777777" w:rsidR="008112BD" w:rsidRDefault="008112BD" w:rsidP="008112BD">
      <w:pPr>
        <w:pStyle w:val="Apara"/>
      </w:pPr>
      <w:r>
        <w:tab/>
        <w:t>(a)</w:t>
      </w:r>
      <w:r>
        <w:tab/>
        <w:t>must serve the further report not later than 3 days after the day the party obtains the report; or</w:t>
      </w:r>
    </w:p>
    <w:p w14:paraId="2CEE30D0" w14:textId="77777777" w:rsidR="008112BD" w:rsidRDefault="008112BD" w:rsidP="008112BD">
      <w:pPr>
        <w:pStyle w:val="Apara"/>
      </w:pPr>
      <w:r>
        <w:tab/>
        <w:t>(b)</w:t>
      </w:r>
      <w:r>
        <w:tab/>
        <w:t>must not serve the report and tell the other parties that the party does not intend to rely on the reports of that doctor already served.</w:t>
      </w:r>
    </w:p>
    <w:p w14:paraId="48D35E8C" w14:textId="77777777" w:rsidR="008112BD" w:rsidRDefault="008112BD" w:rsidP="008112BD">
      <w:pPr>
        <w:pStyle w:val="Amain"/>
      </w:pPr>
      <w:r>
        <w:tab/>
        <w:t>(4)</w:t>
      </w:r>
      <w:r>
        <w:tab/>
        <w:t>A doctor’s report must not be tendered, and is not admissible, in the arbitration unless it has been served in accordance with this rule, except with—</w:t>
      </w:r>
    </w:p>
    <w:p w14:paraId="6FDF0988" w14:textId="77777777" w:rsidR="008112BD" w:rsidRDefault="008112BD" w:rsidP="008112BD">
      <w:pPr>
        <w:pStyle w:val="Apara"/>
      </w:pPr>
      <w:r>
        <w:tab/>
        <w:t>(a)</w:t>
      </w:r>
      <w:r>
        <w:tab/>
        <w:t>the court’s leave; or</w:t>
      </w:r>
    </w:p>
    <w:p w14:paraId="5A7D9D17" w14:textId="77777777" w:rsidR="008112BD" w:rsidRDefault="008112BD" w:rsidP="008112BD">
      <w:pPr>
        <w:pStyle w:val="Apara"/>
        <w:keepNext/>
      </w:pPr>
      <w:r>
        <w:tab/>
        <w:t>(b)</w:t>
      </w:r>
      <w:r>
        <w:tab/>
        <w:t>the agreement of all parties to the arbitration.</w:t>
      </w:r>
    </w:p>
    <w:p w14:paraId="200070C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14:paraId="4BF3013E" w14:textId="77777777" w:rsidR="008112BD" w:rsidRDefault="008112BD" w:rsidP="008112BD">
      <w:pPr>
        <w:pStyle w:val="Amain"/>
      </w:pPr>
      <w:r>
        <w:tab/>
        <w:t>(5)</w:t>
      </w:r>
      <w:r>
        <w:tab/>
        <w:t>This rule applies subject to any order of the court.</w:t>
      </w:r>
    </w:p>
    <w:p w14:paraId="448392E5" w14:textId="77777777" w:rsidR="008112BD" w:rsidRDefault="008112BD" w:rsidP="008112BD">
      <w:pPr>
        <w:pStyle w:val="AH5Sec"/>
      </w:pPr>
      <w:bookmarkStart w:id="1234" w:name="_Toc185514850"/>
      <w:r w:rsidRPr="00C8328B">
        <w:rPr>
          <w:rStyle w:val="CharSectNo"/>
        </w:rPr>
        <w:t>3929</w:t>
      </w:r>
      <w:r>
        <w:tab/>
        <w:t>Arbitration—supplementary medical reports</w:t>
      </w:r>
      <w:bookmarkEnd w:id="1234"/>
    </w:p>
    <w:p w14:paraId="06A74033" w14:textId="77777777"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14:paraId="5956924F" w14:textId="77777777"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14:paraId="6937B9DD" w14:textId="77777777"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14:paraId="19E232F9" w14:textId="77777777" w:rsidR="008112BD" w:rsidRDefault="008112BD" w:rsidP="008112BD">
      <w:pPr>
        <w:pStyle w:val="AH5Sec"/>
      </w:pPr>
      <w:bookmarkStart w:id="1235" w:name="_Toc185514851"/>
      <w:r w:rsidRPr="00C8328B">
        <w:rPr>
          <w:rStyle w:val="CharSectNo"/>
        </w:rPr>
        <w:lastRenderedPageBreak/>
        <w:t>3930</w:t>
      </w:r>
      <w:r>
        <w:tab/>
        <w:t>Arbitration—doctor’s evidence to be covered by medical report</w:t>
      </w:r>
      <w:bookmarkEnd w:id="1235"/>
    </w:p>
    <w:p w14:paraId="15CA2C36" w14:textId="77777777"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14:paraId="080EDE7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3D798D0B" w14:textId="77777777" w:rsidR="008112BD" w:rsidRDefault="008112BD" w:rsidP="008112BD">
      <w:pPr>
        <w:pStyle w:val="AH5Sec"/>
      </w:pPr>
      <w:bookmarkStart w:id="1236" w:name="_Toc185514852"/>
      <w:r w:rsidRPr="00C8328B">
        <w:rPr>
          <w:rStyle w:val="CharSectNo"/>
        </w:rPr>
        <w:t>3931</w:t>
      </w:r>
      <w:r>
        <w:tab/>
        <w:t>Arbitration—medical reports admissible as evidence of opinion etc</w:t>
      </w:r>
      <w:bookmarkEnd w:id="1236"/>
      <w:r>
        <w:t xml:space="preserve"> </w:t>
      </w:r>
    </w:p>
    <w:p w14:paraId="7B24A49A" w14:textId="77777777" w:rsidR="008112BD" w:rsidRDefault="008112BD" w:rsidP="008112BD">
      <w:pPr>
        <w:pStyle w:val="Amainreturn"/>
      </w:pPr>
      <w:r>
        <w:t>A medical report served under rule 3928 is admissible as evidence of—</w:t>
      </w:r>
    </w:p>
    <w:p w14:paraId="47CB9E55" w14:textId="77777777" w:rsidR="008112BD" w:rsidRDefault="008112BD" w:rsidP="008112BD">
      <w:pPr>
        <w:pStyle w:val="Apara"/>
      </w:pPr>
      <w:r>
        <w:tab/>
        <w:t>(a)</w:t>
      </w:r>
      <w:r>
        <w:tab/>
        <w:t>the author’s opinion; and</w:t>
      </w:r>
    </w:p>
    <w:p w14:paraId="6985FC6A" w14:textId="77777777"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14:paraId="54317108" w14:textId="77777777" w:rsidR="008112BD" w:rsidRDefault="008112BD" w:rsidP="008112BD">
      <w:pPr>
        <w:pStyle w:val="AH5Sec"/>
      </w:pPr>
      <w:bookmarkStart w:id="1237" w:name="_Toc185514853"/>
      <w:r w:rsidRPr="00C8328B">
        <w:rPr>
          <w:rStyle w:val="CharSectNo"/>
        </w:rPr>
        <w:t>3932</w:t>
      </w:r>
      <w:r>
        <w:tab/>
        <w:t>Arbitration—requiring attendance of doctor for cross-examination etc</w:t>
      </w:r>
      <w:bookmarkEnd w:id="1237"/>
      <w:r>
        <w:t xml:space="preserve"> </w:t>
      </w:r>
    </w:p>
    <w:p w14:paraId="07CA29C9" w14:textId="77777777" w:rsidR="008112BD" w:rsidRDefault="008112BD" w:rsidP="008112BD">
      <w:pPr>
        <w:pStyle w:val="Amain"/>
      </w:pPr>
      <w:r>
        <w:tab/>
        <w:t>(1)</w:t>
      </w:r>
      <w:r>
        <w:tab/>
        <w:t>This rule applies if a medical report is served under rule 3928 by a party to an arbitration.</w:t>
      </w:r>
    </w:p>
    <w:p w14:paraId="71B1AA61" w14:textId="77777777"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14:paraId="47E24B71" w14:textId="77777777" w:rsidR="008112BD" w:rsidRDefault="008112BD" w:rsidP="008112BD">
      <w:pPr>
        <w:pStyle w:val="Amain"/>
      </w:pPr>
      <w:r>
        <w:tab/>
        <w:t>(3)</w:t>
      </w:r>
      <w:r>
        <w:tab/>
        <w:t>The notice must be served not later than 14 days after the day the report is served on the other party.</w:t>
      </w:r>
    </w:p>
    <w:p w14:paraId="4F74FFCC" w14:textId="77777777" w:rsidR="008112BD" w:rsidRDefault="008112BD" w:rsidP="008112BD">
      <w:pPr>
        <w:pStyle w:val="AH5Sec"/>
      </w:pPr>
      <w:bookmarkStart w:id="1238" w:name="_Toc185514854"/>
      <w:r w:rsidRPr="00C8328B">
        <w:rPr>
          <w:rStyle w:val="CharSectNo"/>
        </w:rPr>
        <w:lastRenderedPageBreak/>
        <w:t>3933</w:t>
      </w:r>
      <w:r>
        <w:tab/>
        <w:t>Arbitration—tender of medical report</w:t>
      </w:r>
      <w:bookmarkEnd w:id="1238"/>
    </w:p>
    <w:p w14:paraId="56861577" w14:textId="77777777" w:rsidR="008112BD" w:rsidRDefault="008112BD" w:rsidP="008112BD">
      <w:pPr>
        <w:pStyle w:val="Amain"/>
      </w:pPr>
      <w:r>
        <w:tab/>
        <w:t>(1)</w:t>
      </w:r>
      <w:r>
        <w:tab/>
        <w:t>A party to an arbitration who is served with a medical report under rule 3928 may tender the report.</w:t>
      </w:r>
    </w:p>
    <w:p w14:paraId="70F266B2" w14:textId="77777777" w:rsidR="008112BD" w:rsidRDefault="008112BD" w:rsidP="008112BD">
      <w:pPr>
        <w:pStyle w:val="Amain"/>
      </w:pPr>
      <w:r>
        <w:tab/>
        <w:t>(2)</w:t>
      </w:r>
      <w:r>
        <w:tab/>
        <w:t>If the doctor who prepared the report is required under rule 3932 to be available during the arbitration, the report must not be tendered or otherwise used in the proceeding by any party unless—</w:t>
      </w:r>
    </w:p>
    <w:p w14:paraId="1E5AAD28" w14:textId="77777777" w:rsidR="008112BD" w:rsidRDefault="008112BD" w:rsidP="008112BD">
      <w:pPr>
        <w:pStyle w:val="Apara"/>
      </w:pPr>
      <w:r>
        <w:tab/>
        <w:t>(a)</w:t>
      </w:r>
      <w:r>
        <w:tab/>
        <w:t>the doctor is available as required to be cross-examined on the report; or</w:t>
      </w:r>
    </w:p>
    <w:p w14:paraId="17B19FFD" w14:textId="77777777" w:rsidR="008112BD" w:rsidRDefault="008112BD" w:rsidP="008112BD">
      <w:pPr>
        <w:pStyle w:val="Apara"/>
      </w:pPr>
      <w:r>
        <w:tab/>
        <w:t>(b)</w:t>
      </w:r>
      <w:r>
        <w:tab/>
        <w:t>the doctor has died; or</w:t>
      </w:r>
    </w:p>
    <w:p w14:paraId="14537931" w14:textId="77777777" w:rsidR="008112BD" w:rsidRDefault="008112BD" w:rsidP="008112BD">
      <w:pPr>
        <w:pStyle w:val="Apara"/>
        <w:keepNext/>
      </w:pPr>
      <w:r>
        <w:tab/>
        <w:t>(c)</w:t>
      </w:r>
      <w:r>
        <w:tab/>
        <w:t>the court gives leave.</w:t>
      </w:r>
    </w:p>
    <w:p w14:paraId="615CFCD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75C3B6A" w14:textId="77777777" w:rsidR="008112BD" w:rsidRDefault="008112BD" w:rsidP="008112BD">
      <w:pPr>
        <w:pStyle w:val="Amain"/>
      </w:pPr>
      <w:r>
        <w:tab/>
        <w:t>(3)</w:t>
      </w:r>
      <w:r>
        <w:tab/>
        <w:t>If the doctor is cross-examined on the report, the party using the report may re-examine the doctor.</w:t>
      </w:r>
    </w:p>
    <w:p w14:paraId="386028A6" w14:textId="77777777" w:rsidR="008112BD" w:rsidRPr="00C8328B" w:rsidRDefault="008112BD" w:rsidP="008112BD">
      <w:pPr>
        <w:pStyle w:val="AH3Div"/>
      </w:pPr>
      <w:bookmarkStart w:id="1239" w:name="_Toc185514855"/>
      <w:r w:rsidRPr="00C8328B">
        <w:rPr>
          <w:rStyle w:val="CharDivNo"/>
        </w:rPr>
        <w:t>Division 3.13.7</w:t>
      </w:r>
      <w:r>
        <w:tab/>
      </w:r>
      <w:r w:rsidRPr="00C8328B">
        <w:rPr>
          <w:rStyle w:val="CharDivText"/>
        </w:rPr>
        <w:t>Workers compensation—medical referees for arbitrations</w:t>
      </w:r>
      <w:bookmarkEnd w:id="1239"/>
    </w:p>
    <w:p w14:paraId="5C044BA9" w14:textId="77777777" w:rsidR="008112BD" w:rsidRDefault="008112BD" w:rsidP="008112BD">
      <w:pPr>
        <w:pStyle w:val="AH5Sec"/>
        <w:rPr>
          <w:lang w:val="en-US"/>
        </w:rPr>
      </w:pPr>
      <w:bookmarkStart w:id="1240" w:name="_Toc185514856"/>
      <w:r w:rsidRPr="00C8328B">
        <w:rPr>
          <w:rStyle w:val="CharSectNo"/>
        </w:rPr>
        <w:t>3934</w:t>
      </w:r>
      <w:r>
        <w:rPr>
          <w:lang w:val="en-US"/>
        </w:rPr>
        <w:tab/>
        <w:t>Arbitration—party may apply for medical referee etc</w:t>
      </w:r>
      <w:bookmarkEnd w:id="1240"/>
    </w:p>
    <w:p w14:paraId="2BD766B1" w14:textId="77777777"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14:paraId="018B550B" w14:textId="77777777" w:rsidR="008112BD" w:rsidRDefault="008112BD" w:rsidP="008112BD">
      <w:pPr>
        <w:pStyle w:val="Apara"/>
        <w:rPr>
          <w:lang w:val="en-US"/>
        </w:rPr>
      </w:pPr>
      <w:r>
        <w:rPr>
          <w:lang w:val="en-US"/>
        </w:rPr>
        <w:tab/>
        <w:t>(a)</w:t>
      </w:r>
      <w:r>
        <w:rPr>
          <w:lang w:val="en-US"/>
        </w:rPr>
        <w:tab/>
        <w:t>help the court to assess a medical matter during an arbitration; or</w:t>
      </w:r>
    </w:p>
    <w:p w14:paraId="594A3813" w14:textId="77777777" w:rsidR="008112BD" w:rsidRDefault="008112BD" w:rsidP="008112BD">
      <w:pPr>
        <w:pStyle w:val="Apara"/>
        <w:keepNext/>
        <w:rPr>
          <w:lang w:val="en-US"/>
        </w:rPr>
      </w:pPr>
      <w:r>
        <w:rPr>
          <w:lang w:val="en-US"/>
        </w:rPr>
        <w:tab/>
        <w:t>(b)</w:t>
      </w:r>
      <w:r>
        <w:rPr>
          <w:lang w:val="en-US"/>
        </w:rPr>
        <w:tab/>
        <w:t>report on a medical matter during, or arising from, the arbitration.</w:t>
      </w:r>
    </w:p>
    <w:p w14:paraId="0F5609C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14:paraId="72C199D6" w14:textId="77777777"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14:paraId="0837ADB1" w14:textId="77777777"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14:paraId="5B0F1805" w14:textId="77777777" w:rsidR="008112BD" w:rsidRDefault="008112BD" w:rsidP="008112BD">
      <w:pPr>
        <w:pStyle w:val="AH5Sec"/>
        <w:rPr>
          <w:lang w:val="en-US"/>
        </w:rPr>
      </w:pPr>
      <w:bookmarkStart w:id="1241" w:name="_Toc185514857"/>
      <w:r w:rsidRPr="00C8328B">
        <w:rPr>
          <w:rStyle w:val="CharSectNo"/>
        </w:rPr>
        <w:lastRenderedPageBreak/>
        <w:t>3935</w:t>
      </w:r>
      <w:r>
        <w:rPr>
          <w:lang w:val="en-US"/>
        </w:rPr>
        <w:tab/>
        <w:t>Arbitration—number of medical referees</w:t>
      </w:r>
      <w:bookmarkEnd w:id="1241"/>
      <w:r>
        <w:rPr>
          <w:lang w:val="en-US"/>
        </w:rPr>
        <w:t xml:space="preserve"> </w:t>
      </w:r>
    </w:p>
    <w:p w14:paraId="6D1964E9" w14:textId="77777777" w:rsidR="008112BD" w:rsidRDefault="008112BD" w:rsidP="008112BD">
      <w:pPr>
        <w:pStyle w:val="Amain"/>
      </w:pPr>
      <w:r>
        <w:tab/>
        <w:t>(1)</w:t>
      </w:r>
      <w:r>
        <w:tab/>
        <w:t>The same medical referee must help the court throughout an arbitration.</w:t>
      </w:r>
    </w:p>
    <w:p w14:paraId="02412A78" w14:textId="77777777" w:rsidR="008112BD" w:rsidRDefault="008112BD" w:rsidP="008112BD">
      <w:pPr>
        <w:pStyle w:val="Amain"/>
      </w:pPr>
      <w:r>
        <w:tab/>
        <w:t>(2)</w:t>
      </w:r>
      <w:r>
        <w:tab/>
        <w:t>However, another medical referee may help the court if the medical referee is unavailable for any reason.</w:t>
      </w:r>
    </w:p>
    <w:p w14:paraId="1906FFC2" w14:textId="77777777" w:rsidR="008112BD" w:rsidRDefault="008112BD" w:rsidP="008112BD">
      <w:pPr>
        <w:pStyle w:val="AH5Sec"/>
        <w:rPr>
          <w:lang w:val="en-US"/>
        </w:rPr>
      </w:pPr>
      <w:bookmarkStart w:id="1242" w:name="_Toc185514858"/>
      <w:r w:rsidRPr="00C8328B">
        <w:rPr>
          <w:rStyle w:val="CharSectNo"/>
        </w:rPr>
        <w:t>3936</w:t>
      </w:r>
      <w:r>
        <w:rPr>
          <w:lang w:val="en-US"/>
        </w:rPr>
        <w:tab/>
        <w:t>Arbitration—notice of request to medical referee</w:t>
      </w:r>
      <w:bookmarkEnd w:id="1242"/>
    </w:p>
    <w:p w14:paraId="3C8E77DE" w14:textId="77777777"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14:paraId="40994794" w14:textId="77777777" w:rsidR="008112BD" w:rsidRDefault="008112BD" w:rsidP="008112BD">
      <w:pPr>
        <w:pStyle w:val="AH5Sec"/>
        <w:rPr>
          <w:lang w:val="en-US"/>
        </w:rPr>
      </w:pPr>
      <w:bookmarkStart w:id="1243" w:name="_Toc185514859"/>
      <w:r w:rsidRPr="00C8328B">
        <w:rPr>
          <w:rStyle w:val="CharSectNo"/>
        </w:rPr>
        <w:t>3937</w:t>
      </w:r>
      <w:r>
        <w:rPr>
          <w:lang w:val="en-US"/>
        </w:rPr>
        <w:tab/>
        <w:t>Arbitration—assessment of worker by medical referee</w:t>
      </w:r>
      <w:bookmarkEnd w:id="1243"/>
    </w:p>
    <w:p w14:paraId="535BE0FD" w14:textId="77777777"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14:paraId="06D33D2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14:paraId="70DDC294" w14:textId="26D84140" w:rsidR="008112BD" w:rsidRDefault="008112BD" w:rsidP="008112BD">
      <w:pPr>
        <w:pStyle w:val="aNote"/>
      </w:pPr>
      <w:r w:rsidRPr="00FE0788">
        <w:rPr>
          <w:rStyle w:val="charItals"/>
        </w:rPr>
        <w:t>Note 2</w:t>
      </w:r>
      <w:r>
        <w:tab/>
        <w:t xml:space="preserve">The </w:t>
      </w:r>
      <w:hyperlink r:id="rId530" w:tooltip="SL2002-20" w:history="1">
        <w:r w:rsidRPr="00FE0788">
          <w:rPr>
            <w:rStyle w:val="charCitHyperlinkItal"/>
          </w:rPr>
          <w:t>Workers Compensation Regulation 2002</w:t>
        </w:r>
      </w:hyperlink>
      <w:r>
        <w:t>, div 3.1 deals with how a medical assessment must be done.</w:t>
      </w:r>
    </w:p>
    <w:p w14:paraId="067E9790" w14:textId="77777777"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14:paraId="41892317" w14:textId="77777777" w:rsidR="008112BD" w:rsidRDefault="008112BD" w:rsidP="008112BD">
      <w:pPr>
        <w:pStyle w:val="AH5Sec"/>
      </w:pPr>
      <w:bookmarkStart w:id="1244" w:name="_Toc185514860"/>
      <w:r w:rsidRPr="00C8328B">
        <w:rPr>
          <w:rStyle w:val="CharSectNo"/>
        </w:rPr>
        <w:t>3938</w:t>
      </w:r>
      <w:r>
        <w:rPr>
          <w:lang w:val="en-US"/>
        </w:rPr>
        <w:tab/>
        <w:t xml:space="preserve">Arbitration—medical referee </w:t>
      </w:r>
      <w:r>
        <w:t>to review medical evidence etc</w:t>
      </w:r>
      <w:bookmarkEnd w:id="1244"/>
      <w:r>
        <w:t xml:space="preserve"> </w:t>
      </w:r>
    </w:p>
    <w:p w14:paraId="4513F08A" w14:textId="77777777"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14:paraId="28FFA70A" w14:textId="77777777" w:rsidR="008112BD" w:rsidRDefault="008112BD" w:rsidP="00B72E8D">
      <w:pPr>
        <w:pStyle w:val="Amain"/>
        <w:keepNext/>
      </w:pPr>
      <w:r>
        <w:lastRenderedPageBreak/>
        <w:tab/>
        <w:t>(2)</w:t>
      </w:r>
      <w:r>
        <w:tab/>
        <w:t>The medical referee must—</w:t>
      </w:r>
    </w:p>
    <w:p w14:paraId="72B7FA5B" w14:textId="77777777" w:rsidR="008112BD" w:rsidRDefault="008112BD" w:rsidP="00B72E8D">
      <w:pPr>
        <w:pStyle w:val="Apara"/>
        <w:keepNext/>
      </w:pPr>
      <w:r>
        <w:tab/>
        <w:t>(a)</w:t>
      </w:r>
      <w:r>
        <w:tab/>
        <w:t>review the medical evidence about the injured worker; and</w:t>
      </w:r>
    </w:p>
    <w:p w14:paraId="170C5917" w14:textId="77777777" w:rsidR="008112BD" w:rsidRDefault="008112BD" w:rsidP="008112BD">
      <w:pPr>
        <w:pStyle w:val="Apara"/>
      </w:pPr>
      <w:r>
        <w:tab/>
        <w:t>(b)</w:t>
      </w:r>
      <w:r>
        <w:tab/>
        <w:t>review any relevant approved medical guidelines or clinically relevant research about the worker’s injury; and</w:t>
      </w:r>
    </w:p>
    <w:p w14:paraId="4FC28DB6" w14:textId="77777777" w:rsidR="008112BD" w:rsidRDefault="008112BD" w:rsidP="008112BD">
      <w:pPr>
        <w:pStyle w:val="Apara"/>
      </w:pPr>
      <w:r>
        <w:tab/>
        <w:t>(c)</w:t>
      </w:r>
      <w:r>
        <w:tab/>
        <w:t>apply the referee’s clinical expertise to the review under paragraphs (a) and (b); and</w:t>
      </w:r>
    </w:p>
    <w:p w14:paraId="75C36E75" w14:textId="77777777" w:rsidR="008112BD" w:rsidRDefault="008112BD" w:rsidP="008112BD">
      <w:pPr>
        <w:pStyle w:val="Apara"/>
      </w:pPr>
      <w:r>
        <w:tab/>
        <w:t>(d)</w:t>
      </w:r>
      <w:r>
        <w:tab/>
        <w:t>do a medical assessment of the worker, unless the referee considers it unnecessary.</w:t>
      </w:r>
    </w:p>
    <w:p w14:paraId="65717B8F" w14:textId="77777777" w:rsidR="008112BD" w:rsidRDefault="008112BD" w:rsidP="008112BD">
      <w:pPr>
        <w:pStyle w:val="Amain"/>
        <w:keepNext/>
      </w:pPr>
      <w:r>
        <w:tab/>
        <w:t>(3)</w:t>
      </w:r>
      <w:r>
        <w:tab/>
        <w:t>In this rule:</w:t>
      </w:r>
    </w:p>
    <w:p w14:paraId="4D9DFCEF" w14:textId="6D667E4B" w:rsidR="008112BD" w:rsidRDefault="008112BD" w:rsidP="008112BD">
      <w:pPr>
        <w:pStyle w:val="aDef"/>
        <w:keepNext/>
      </w:pPr>
      <w:r w:rsidRPr="00FE0788">
        <w:rPr>
          <w:rStyle w:val="charBoldItals"/>
        </w:rPr>
        <w:t>approved medical guidelines</w:t>
      </w:r>
      <w:r>
        <w:t xml:space="preserve">—see the </w:t>
      </w:r>
      <w:hyperlink r:id="rId531" w:tooltip="SL2002-20" w:history="1">
        <w:r w:rsidRPr="00FE0788">
          <w:rPr>
            <w:rStyle w:val="charCitHyperlinkItal"/>
          </w:rPr>
          <w:t>Workers Compensation Regulation 2002</w:t>
        </w:r>
      </w:hyperlink>
      <w:r>
        <w:t>, dictionary.</w:t>
      </w:r>
    </w:p>
    <w:p w14:paraId="40FD2A73" w14:textId="1BCA235C" w:rsidR="008112BD" w:rsidRDefault="008112BD" w:rsidP="008112BD">
      <w:pPr>
        <w:pStyle w:val="aDef"/>
        <w:keepNext/>
      </w:pPr>
      <w:r w:rsidRPr="00FE0788">
        <w:rPr>
          <w:rStyle w:val="charBoldItals"/>
        </w:rPr>
        <w:t>clinically relevant research</w:t>
      </w:r>
      <w:r>
        <w:t xml:space="preserve">—see the </w:t>
      </w:r>
      <w:hyperlink r:id="rId532" w:tooltip="SL2002-20" w:history="1">
        <w:r w:rsidRPr="00FE0788">
          <w:rPr>
            <w:rStyle w:val="charCitHyperlinkItal"/>
          </w:rPr>
          <w:t>Workers Compensation Regulation 2002</w:t>
        </w:r>
      </w:hyperlink>
      <w:r>
        <w:t>, section 6.</w:t>
      </w:r>
    </w:p>
    <w:p w14:paraId="4B525E82" w14:textId="10914463" w:rsidR="008112BD" w:rsidRDefault="008112BD" w:rsidP="008112BD">
      <w:pPr>
        <w:pStyle w:val="aDef"/>
      </w:pPr>
      <w:r w:rsidRPr="00FE0788">
        <w:rPr>
          <w:rStyle w:val="charBoldItals"/>
        </w:rPr>
        <w:t>medical evidence</w:t>
      </w:r>
      <w:r>
        <w:t xml:space="preserve">—see the </w:t>
      </w:r>
      <w:hyperlink r:id="rId533" w:tooltip="SL2002-20" w:history="1">
        <w:r w:rsidRPr="00FE0788">
          <w:rPr>
            <w:rStyle w:val="charCitHyperlinkItal"/>
          </w:rPr>
          <w:t>Workers Compensation Regulation 2002</w:t>
        </w:r>
      </w:hyperlink>
      <w:r>
        <w:t>, dictionary.</w:t>
      </w:r>
    </w:p>
    <w:p w14:paraId="32008E2C" w14:textId="77777777" w:rsidR="008112BD" w:rsidRDefault="008112BD" w:rsidP="008112BD">
      <w:pPr>
        <w:pStyle w:val="AH5Sec"/>
      </w:pPr>
      <w:bookmarkStart w:id="1245" w:name="_Toc185514861"/>
      <w:r w:rsidRPr="00C8328B">
        <w:rPr>
          <w:rStyle w:val="CharSectNo"/>
        </w:rPr>
        <w:t>3939</w:t>
      </w:r>
      <w:r>
        <w:rPr>
          <w:lang w:val="en-US"/>
        </w:rPr>
        <w:tab/>
        <w:t xml:space="preserve">Arbitration—medical referee’s </w:t>
      </w:r>
      <w:r>
        <w:t>report</w:t>
      </w:r>
      <w:bookmarkEnd w:id="1245"/>
    </w:p>
    <w:p w14:paraId="5A5B0BDE" w14:textId="77777777" w:rsidR="008112BD" w:rsidRDefault="008112BD" w:rsidP="008112BD">
      <w:pPr>
        <w:pStyle w:val="Amain"/>
      </w:pPr>
      <w:r>
        <w:tab/>
        <w:t>(1)</w:t>
      </w:r>
      <w:r>
        <w:tab/>
        <w:t>A medical referee’s report for an arbitration must state—</w:t>
      </w:r>
    </w:p>
    <w:p w14:paraId="71E33456" w14:textId="77777777" w:rsidR="008112BD" w:rsidRDefault="008112BD" w:rsidP="008112BD">
      <w:pPr>
        <w:pStyle w:val="Apara"/>
      </w:pPr>
      <w:r>
        <w:tab/>
        <w:t>(a)</w:t>
      </w:r>
      <w:r>
        <w:tab/>
        <w:t>the results of the referee’s assessment of the cause or diagnosis of, or the prognosis or recommended medical treatment for, the worker’s injury; and</w:t>
      </w:r>
    </w:p>
    <w:p w14:paraId="345BCEA3" w14:textId="77777777" w:rsidR="008112BD" w:rsidRDefault="008112BD" w:rsidP="008112BD">
      <w:pPr>
        <w:pStyle w:val="Apara"/>
      </w:pPr>
      <w:r>
        <w:tab/>
        <w:t>(b)</w:t>
      </w:r>
      <w:r>
        <w:tab/>
        <w:t>if the referee’s assessment differs from the medical evidence about the worker’s injury—</w:t>
      </w:r>
    </w:p>
    <w:p w14:paraId="411325BF" w14:textId="77777777" w:rsidR="008112BD" w:rsidRDefault="008112BD" w:rsidP="008112BD">
      <w:pPr>
        <w:pStyle w:val="Asubpara"/>
      </w:pPr>
      <w:r>
        <w:tab/>
        <w:t>(i)</w:t>
      </w:r>
      <w:r>
        <w:tab/>
        <w:t>how the assessment differs and why; and</w:t>
      </w:r>
    </w:p>
    <w:p w14:paraId="169BE4C2" w14:textId="77777777" w:rsidR="008112BD" w:rsidRDefault="008112BD" w:rsidP="008112BD">
      <w:pPr>
        <w:pStyle w:val="Asubpara"/>
      </w:pPr>
      <w:r>
        <w:tab/>
        <w:t>(ii)</w:t>
      </w:r>
      <w:r>
        <w:tab/>
        <w:t>why the referee’s assessment is preferable; and</w:t>
      </w:r>
    </w:p>
    <w:p w14:paraId="75A3AE2E" w14:textId="77777777" w:rsidR="008112BD" w:rsidRDefault="008112BD" w:rsidP="008112BD">
      <w:pPr>
        <w:pStyle w:val="Apara"/>
        <w:keepNext/>
      </w:pPr>
      <w:r>
        <w:lastRenderedPageBreak/>
        <w:tab/>
        <w:t>(c)</w:t>
      </w:r>
      <w:r>
        <w:tab/>
        <w:t>if the referee considered it unnecessary to assess the worker—why the referee did not consider it necessary.</w:t>
      </w:r>
    </w:p>
    <w:p w14:paraId="235E1466" w14:textId="77777777" w:rsidR="008112BD" w:rsidRDefault="008112BD" w:rsidP="008112BD">
      <w:pPr>
        <w:pStyle w:val="aExamHdgss"/>
      </w:pPr>
      <w:r>
        <w:t>Example of why assessment may differ</w:t>
      </w:r>
    </w:p>
    <w:p w14:paraId="6B413FEE" w14:textId="77777777" w:rsidR="008112BD" w:rsidRDefault="008112BD" w:rsidP="008112BD">
      <w:pPr>
        <w:pStyle w:val="aExamss"/>
        <w:keepNext/>
      </w:pPr>
      <w:r>
        <w:t>The medical evidence does not take into account relevant approved medical guidelines or clinically relevant research.</w:t>
      </w:r>
    </w:p>
    <w:p w14:paraId="413E741D" w14:textId="77777777" w:rsidR="008112BD" w:rsidRDefault="008112BD" w:rsidP="008112BD">
      <w:pPr>
        <w:pStyle w:val="Amain"/>
      </w:pPr>
      <w:r>
        <w:tab/>
        <w:t>(2)</w:t>
      </w:r>
      <w:r>
        <w:tab/>
        <w:t>If there is no difference between the medical referee’s assessment and the medical evidence, the report must say there is no difference.</w:t>
      </w:r>
    </w:p>
    <w:p w14:paraId="13F950AF" w14:textId="77777777" w:rsidR="008112BD" w:rsidRDefault="008112BD" w:rsidP="008112BD">
      <w:pPr>
        <w:pStyle w:val="AH5Sec"/>
        <w:rPr>
          <w:lang w:val="en-US"/>
        </w:rPr>
      </w:pPr>
      <w:bookmarkStart w:id="1246" w:name="_Toc185514862"/>
      <w:r w:rsidRPr="00C8328B">
        <w:rPr>
          <w:rStyle w:val="CharSectNo"/>
        </w:rPr>
        <w:t>3940</w:t>
      </w:r>
      <w:r>
        <w:rPr>
          <w:lang w:val="en-US"/>
        </w:rPr>
        <w:tab/>
        <w:t>Arbitration—medical referee’s report to be given to parties</w:t>
      </w:r>
      <w:bookmarkEnd w:id="1246"/>
      <w:r>
        <w:rPr>
          <w:lang w:val="en-US"/>
        </w:rPr>
        <w:t xml:space="preserve"> </w:t>
      </w:r>
    </w:p>
    <w:p w14:paraId="5E98FC60" w14:textId="77777777" w:rsidR="008112BD" w:rsidRDefault="008112BD" w:rsidP="008112BD">
      <w:pPr>
        <w:pStyle w:val="Amainreturn"/>
      </w:pPr>
      <w:r>
        <w:t>If a medical referee prepares a report for an arbitration, the registrar must give a copy of the report to each party to the arbitration.</w:t>
      </w:r>
    </w:p>
    <w:p w14:paraId="2E16CE8F" w14:textId="77777777" w:rsidR="008112BD" w:rsidRDefault="008112BD" w:rsidP="008112BD">
      <w:pPr>
        <w:pStyle w:val="AH5Sec"/>
        <w:rPr>
          <w:lang w:val="en-US"/>
        </w:rPr>
      </w:pPr>
      <w:bookmarkStart w:id="1247" w:name="_Toc185514863"/>
      <w:r w:rsidRPr="00C8328B">
        <w:rPr>
          <w:rStyle w:val="CharSectNo"/>
        </w:rPr>
        <w:t>3941</w:t>
      </w:r>
      <w:r>
        <w:rPr>
          <w:lang w:val="en-US"/>
        </w:rPr>
        <w:tab/>
        <w:t>Arbitration—court may decide claim without medical referee report</w:t>
      </w:r>
      <w:bookmarkEnd w:id="1247"/>
    </w:p>
    <w:p w14:paraId="3BFF1C11" w14:textId="77777777" w:rsidR="008112BD" w:rsidRDefault="008112BD" w:rsidP="008112BD">
      <w:pPr>
        <w:pStyle w:val="Amainreturn"/>
        <w:rPr>
          <w:lang w:val="en-US"/>
        </w:rPr>
      </w:pPr>
      <w:r>
        <w:rPr>
          <w:lang w:val="en-US"/>
        </w:rPr>
        <w:t>This division does not prevent the court from deciding a claim without the help of, or a report from, a medical referee.</w:t>
      </w:r>
    </w:p>
    <w:p w14:paraId="44E48307" w14:textId="77777777" w:rsidR="008112BD" w:rsidRPr="00C8328B" w:rsidRDefault="008112BD" w:rsidP="008112BD">
      <w:pPr>
        <w:pStyle w:val="AH3Div"/>
      </w:pPr>
      <w:bookmarkStart w:id="1248" w:name="_Toc185514864"/>
      <w:r w:rsidRPr="00C8328B">
        <w:rPr>
          <w:rStyle w:val="CharDivNo"/>
        </w:rPr>
        <w:t>Division 3.13.8</w:t>
      </w:r>
      <w:r w:rsidRPr="00B06181">
        <w:tab/>
      </w:r>
      <w:r w:rsidRPr="00C8328B">
        <w:rPr>
          <w:rStyle w:val="CharDivText"/>
        </w:rPr>
        <w:t>Workers compensation—dispute resolution conference for arbitration</w:t>
      </w:r>
      <w:bookmarkEnd w:id="1248"/>
    </w:p>
    <w:p w14:paraId="0D838EFE" w14:textId="77777777" w:rsidR="008112BD" w:rsidRPr="00B06181" w:rsidRDefault="008112BD" w:rsidP="008112BD">
      <w:pPr>
        <w:pStyle w:val="AH5Sec"/>
      </w:pPr>
      <w:bookmarkStart w:id="1249" w:name="_Toc185514865"/>
      <w:r w:rsidRPr="00C8328B">
        <w:rPr>
          <w:rStyle w:val="CharSectNo"/>
        </w:rPr>
        <w:t>3942</w:t>
      </w:r>
      <w:r w:rsidRPr="00B06181">
        <w:tab/>
        <w:t xml:space="preserve">Meaning of </w:t>
      </w:r>
      <w:r w:rsidRPr="00B06181">
        <w:rPr>
          <w:rStyle w:val="charItals"/>
        </w:rPr>
        <w:t>dispute resolution conference</w:t>
      </w:r>
      <w:r w:rsidRPr="00B06181">
        <w:t>—div 3.13.8</w:t>
      </w:r>
      <w:bookmarkEnd w:id="1249"/>
    </w:p>
    <w:p w14:paraId="0B116BE3" w14:textId="77777777"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14:paraId="36648D20" w14:textId="77777777" w:rsidR="008112BD" w:rsidRPr="00B06181" w:rsidRDefault="008112BD" w:rsidP="008112BD">
      <w:pPr>
        <w:pStyle w:val="AH5Sec"/>
      </w:pPr>
      <w:bookmarkStart w:id="1250" w:name="_Toc185514866"/>
      <w:r w:rsidRPr="00C8328B">
        <w:rPr>
          <w:rStyle w:val="CharSectNo"/>
        </w:rPr>
        <w:t>3943</w:t>
      </w:r>
      <w:r w:rsidRPr="00B06181">
        <w:tab/>
        <w:t>Dispute resolution conference—purpose</w:t>
      </w:r>
      <w:bookmarkEnd w:id="1250"/>
    </w:p>
    <w:p w14:paraId="4A86DE2A" w14:textId="77777777"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14:paraId="3305CD6C" w14:textId="77777777" w:rsidR="008112BD" w:rsidRPr="00B06181" w:rsidRDefault="008112BD" w:rsidP="008112BD">
      <w:pPr>
        <w:pStyle w:val="Apara"/>
      </w:pPr>
      <w:r w:rsidRPr="00B06181">
        <w:tab/>
        <w:t>(a)</w:t>
      </w:r>
      <w:r w:rsidRPr="00B06181">
        <w:tab/>
        <w:t>settle any issue in dispute; and</w:t>
      </w:r>
    </w:p>
    <w:p w14:paraId="00A66BC0" w14:textId="77777777" w:rsidR="008112BD" w:rsidRPr="00B06181" w:rsidRDefault="008112BD" w:rsidP="008112BD">
      <w:pPr>
        <w:pStyle w:val="Apara"/>
      </w:pPr>
      <w:r w:rsidRPr="00B06181">
        <w:tab/>
        <w:t>(b)</w:t>
      </w:r>
      <w:r w:rsidRPr="00B06181">
        <w:tab/>
        <w:t>settle the amount of compensation payable or the basis upon which compensation is payable; and</w:t>
      </w:r>
    </w:p>
    <w:p w14:paraId="0B804B1E" w14:textId="77777777"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14:paraId="53CE7160" w14:textId="77777777"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14:paraId="31E04D0D" w14:textId="77777777" w:rsidR="008112BD" w:rsidRPr="00B06181" w:rsidRDefault="008112BD" w:rsidP="008112BD">
      <w:pPr>
        <w:pStyle w:val="AH5Sec"/>
      </w:pPr>
      <w:bookmarkStart w:id="1251" w:name="_Toc185514867"/>
      <w:r w:rsidRPr="00C8328B">
        <w:rPr>
          <w:rStyle w:val="CharSectNo"/>
        </w:rPr>
        <w:t>3944</w:t>
      </w:r>
      <w:r w:rsidRPr="00B06181">
        <w:tab/>
        <w:t>Conciliator for dispute resolution conference—div 3.13.8</w:t>
      </w:r>
      <w:bookmarkEnd w:id="1251"/>
    </w:p>
    <w:p w14:paraId="04F8AD5D" w14:textId="77777777"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14:paraId="531F80C1" w14:textId="77777777" w:rsidR="008112BD" w:rsidRPr="00B06181" w:rsidRDefault="008112BD" w:rsidP="008112BD">
      <w:pPr>
        <w:pStyle w:val="Amain"/>
      </w:pPr>
      <w:r w:rsidRPr="00B06181">
        <w:tab/>
        <w:t>(2)</w:t>
      </w:r>
      <w:r w:rsidRPr="00B06181">
        <w:tab/>
        <w:t>The court may appoint another person as a conciliator.</w:t>
      </w:r>
    </w:p>
    <w:p w14:paraId="7A9B6040" w14:textId="77777777"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14:paraId="35C865EC" w14:textId="77777777" w:rsidR="008112BD" w:rsidRPr="00B06181" w:rsidRDefault="008112BD" w:rsidP="008112BD">
      <w:pPr>
        <w:pStyle w:val="AH5Sec"/>
      </w:pPr>
      <w:bookmarkStart w:id="1252" w:name="_Toc185514868"/>
      <w:r w:rsidRPr="00C8328B">
        <w:rPr>
          <w:rStyle w:val="CharSectNo"/>
        </w:rPr>
        <w:t>3945</w:t>
      </w:r>
      <w:r w:rsidRPr="00B06181">
        <w:tab/>
        <w:t>Dispute resolution conference—listings etc</w:t>
      </w:r>
      <w:bookmarkEnd w:id="1252"/>
    </w:p>
    <w:p w14:paraId="63FACD26" w14:textId="77777777" w:rsidR="008112BD" w:rsidRPr="00B06181" w:rsidRDefault="008112BD" w:rsidP="008112BD">
      <w:pPr>
        <w:pStyle w:val="Amain"/>
      </w:pPr>
      <w:r w:rsidRPr="00B06181">
        <w:tab/>
        <w:t>(1)</w:t>
      </w:r>
      <w:r w:rsidRPr="00B06181">
        <w:tab/>
        <w:t>Each application for arbitration must be listed for a dispute resolution conference.</w:t>
      </w:r>
    </w:p>
    <w:p w14:paraId="279D1069" w14:textId="77777777" w:rsidR="008112BD" w:rsidRPr="00B06181" w:rsidRDefault="008112BD" w:rsidP="008112BD">
      <w:pPr>
        <w:pStyle w:val="Amain"/>
      </w:pPr>
      <w:r w:rsidRPr="00B06181">
        <w:tab/>
        <w:t>(2)</w:t>
      </w:r>
      <w:r w:rsidRPr="00B06181">
        <w:tab/>
        <w:t>However, if the court considers it appropriate, the court may make any of the following orders:</w:t>
      </w:r>
    </w:p>
    <w:p w14:paraId="4F8B4B4F" w14:textId="77777777" w:rsidR="008112BD" w:rsidRPr="00B06181" w:rsidRDefault="008112BD" w:rsidP="008112BD">
      <w:pPr>
        <w:pStyle w:val="Apara"/>
      </w:pPr>
      <w:r w:rsidRPr="00B06181">
        <w:tab/>
        <w:t>(a)</w:t>
      </w:r>
      <w:r w:rsidRPr="00B06181">
        <w:tab/>
        <w:t xml:space="preserve">an order dispensing with the requirement to hold a dispute resolution conference; </w:t>
      </w:r>
    </w:p>
    <w:p w14:paraId="2DD4F443" w14:textId="77777777" w:rsidR="008112BD" w:rsidRPr="00B06181" w:rsidRDefault="008112BD" w:rsidP="008112BD">
      <w:pPr>
        <w:pStyle w:val="Apara"/>
      </w:pPr>
      <w:r w:rsidRPr="00B06181">
        <w:tab/>
        <w:t>(b)</w:t>
      </w:r>
      <w:r w:rsidRPr="00B06181">
        <w:tab/>
        <w:t xml:space="preserve">an order excusing a party from attending a dispute resolution conference; </w:t>
      </w:r>
    </w:p>
    <w:p w14:paraId="5DAB6AA8" w14:textId="77777777" w:rsidR="008112BD" w:rsidRPr="00B06181" w:rsidRDefault="008112BD" w:rsidP="008112BD">
      <w:pPr>
        <w:pStyle w:val="Apara"/>
      </w:pPr>
      <w:r w:rsidRPr="00B06181">
        <w:tab/>
        <w:t>(c)</w:t>
      </w:r>
      <w:r w:rsidRPr="00B06181">
        <w:tab/>
        <w:t>any other order about a dispute resolution conference.</w:t>
      </w:r>
    </w:p>
    <w:p w14:paraId="14279157" w14:textId="77777777"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14:paraId="4CFF7612" w14:textId="77777777" w:rsidR="008112BD" w:rsidRPr="00B06181" w:rsidRDefault="008112BD" w:rsidP="008112BD">
      <w:pPr>
        <w:pStyle w:val="Amain"/>
      </w:pPr>
      <w:r w:rsidRPr="00B06181">
        <w:tab/>
        <w:t>(3)</w:t>
      </w:r>
      <w:r w:rsidRPr="00B06181">
        <w:tab/>
        <w:t>In making an order, the court must take into account—</w:t>
      </w:r>
    </w:p>
    <w:p w14:paraId="7F61649B" w14:textId="0B0123D5"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4" w:tooltip="A1951-2" w:history="1">
        <w:r w:rsidRPr="00B06181">
          <w:rPr>
            <w:rStyle w:val="charCitHyperlinkItal"/>
          </w:rPr>
          <w:t>Workers Compensation Act 1951</w:t>
        </w:r>
      </w:hyperlink>
      <w:r w:rsidRPr="00B06181">
        <w:t>; and</w:t>
      </w:r>
    </w:p>
    <w:p w14:paraId="565D86DE" w14:textId="77777777"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14:paraId="5D0BD687" w14:textId="77777777" w:rsidR="008112BD" w:rsidRPr="00B06181" w:rsidRDefault="008112BD" w:rsidP="008112BD">
      <w:pPr>
        <w:pStyle w:val="Apara"/>
      </w:pPr>
      <w:r w:rsidRPr="00B06181">
        <w:tab/>
        <w:t>(c)</w:t>
      </w:r>
      <w:r w:rsidRPr="00B06181">
        <w:tab/>
        <w:t>the likelihood of the dispute being settled at the conference.</w:t>
      </w:r>
    </w:p>
    <w:p w14:paraId="2A31D7C1" w14:textId="77777777" w:rsidR="008112BD" w:rsidRPr="00B06181" w:rsidRDefault="008112BD" w:rsidP="008112BD">
      <w:pPr>
        <w:pStyle w:val="AH5Sec"/>
      </w:pPr>
      <w:bookmarkStart w:id="1253" w:name="_Toc185514869"/>
      <w:r w:rsidRPr="00C8328B">
        <w:rPr>
          <w:rStyle w:val="CharSectNo"/>
        </w:rPr>
        <w:t>3946</w:t>
      </w:r>
      <w:r w:rsidRPr="00B06181">
        <w:tab/>
        <w:t>Dispute resolution conference—requirement to attend</w:t>
      </w:r>
      <w:bookmarkEnd w:id="1253"/>
    </w:p>
    <w:p w14:paraId="552ED15E" w14:textId="77777777"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14:paraId="0022DD37" w14:textId="77777777"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14:paraId="548D4731" w14:textId="77777777"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14:paraId="4AF11631" w14:textId="77777777"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14:paraId="1DED338A" w14:textId="77777777"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14:paraId="2FDEF187" w14:textId="77777777"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14:paraId="16E48AF5" w14:textId="77777777"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14:paraId="58B39459" w14:textId="77777777" w:rsidR="008112BD" w:rsidRPr="00B06181" w:rsidRDefault="008112BD" w:rsidP="008112BD">
      <w:pPr>
        <w:pStyle w:val="AH5Sec"/>
      </w:pPr>
      <w:bookmarkStart w:id="1254" w:name="_Toc185514870"/>
      <w:r w:rsidRPr="00C8328B">
        <w:rPr>
          <w:rStyle w:val="CharSectNo"/>
        </w:rPr>
        <w:t>3947</w:t>
      </w:r>
      <w:r w:rsidRPr="00B06181">
        <w:tab/>
        <w:t>Dispute resolution conference—time</w:t>
      </w:r>
      <w:bookmarkEnd w:id="1254"/>
    </w:p>
    <w:p w14:paraId="7C4EEEC6" w14:textId="22ED6279" w:rsidR="008112BD" w:rsidRPr="00B06181" w:rsidRDefault="008112BD" w:rsidP="00A835F6">
      <w:pPr>
        <w:pStyle w:val="Amainreturn"/>
      </w:pPr>
      <w:r w:rsidRPr="00B06181">
        <w:t>The dispute resolution conference must be listed for a time—</w:t>
      </w:r>
    </w:p>
    <w:p w14:paraId="7B2B16F7" w14:textId="77777777"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14:paraId="3F1CF771" w14:textId="77777777"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14:paraId="554D91AD" w14:textId="77777777" w:rsidR="008112BD" w:rsidRPr="00B06181" w:rsidRDefault="008112BD" w:rsidP="008112BD">
      <w:pPr>
        <w:pStyle w:val="AH5Sec"/>
      </w:pPr>
      <w:bookmarkStart w:id="1255" w:name="_Toc185514871"/>
      <w:r w:rsidRPr="00C8328B">
        <w:rPr>
          <w:rStyle w:val="CharSectNo"/>
        </w:rPr>
        <w:lastRenderedPageBreak/>
        <w:t>3948</w:t>
      </w:r>
      <w:r w:rsidRPr="00B06181">
        <w:tab/>
        <w:t>Dispute resolution conference—information to be provided before conference</w:t>
      </w:r>
      <w:bookmarkEnd w:id="1255"/>
    </w:p>
    <w:p w14:paraId="1BDA7BB5" w14:textId="77777777"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14:paraId="27C88AC6" w14:textId="77777777" w:rsidR="008112BD" w:rsidRPr="00B06181" w:rsidRDefault="008112BD" w:rsidP="008112BD">
      <w:pPr>
        <w:pStyle w:val="Apara"/>
      </w:pPr>
      <w:r w:rsidRPr="00B06181">
        <w:tab/>
        <w:t>(a)</w:t>
      </w:r>
      <w:r w:rsidRPr="00B06181">
        <w:tab/>
        <w:t>a statement of issues;</w:t>
      </w:r>
    </w:p>
    <w:p w14:paraId="5380945D" w14:textId="77777777" w:rsidR="008112BD" w:rsidRPr="00B06181" w:rsidRDefault="008112BD" w:rsidP="008112BD">
      <w:pPr>
        <w:pStyle w:val="Apara"/>
      </w:pPr>
      <w:r w:rsidRPr="00B06181">
        <w:tab/>
        <w:t>(b)</w:t>
      </w:r>
      <w:r w:rsidRPr="00B06181">
        <w:tab/>
        <w:t>a summary of the evidence on which the party intends to rely at the arbitration;</w:t>
      </w:r>
    </w:p>
    <w:p w14:paraId="06C883BD" w14:textId="77777777"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14:paraId="557295DE" w14:textId="77777777" w:rsidR="008112BD" w:rsidRPr="00B06181" w:rsidRDefault="008112BD" w:rsidP="008112BD">
      <w:pPr>
        <w:pStyle w:val="AH5Sec"/>
      </w:pPr>
      <w:bookmarkStart w:id="1256" w:name="_Toc185514872"/>
      <w:r w:rsidRPr="00C8328B">
        <w:rPr>
          <w:rStyle w:val="CharSectNo"/>
        </w:rPr>
        <w:t>3948A</w:t>
      </w:r>
      <w:r w:rsidRPr="00B06181">
        <w:tab/>
        <w:t>Dispute resolution conference—confidentiality</w:t>
      </w:r>
      <w:bookmarkEnd w:id="1256"/>
    </w:p>
    <w:p w14:paraId="27EC45EF" w14:textId="77777777"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14:paraId="2E43A4F6" w14:textId="77777777"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14:paraId="741C419D" w14:textId="77777777" w:rsidR="008112BD" w:rsidRPr="00B06181" w:rsidRDefault="008112BD" w:rsidP="008112BD">
      <w:pPr>
        <w:pStyle w:val="AH5Sec"/>
      </w:pPr>
      <w:bookmarkStart w:id="1257" w:name="_Toc185514873"/>
      <w:r w:rsidRPr="00C8328B">
        <w:rPr>
          <w:rStyle w:val="CharSectNo"/>
        </w:rPr>
        <w:t>3948B</w:t>
      </w:r>
      <w:r w:rsidRPr="00B06181">
        <w:tab/>
        <w:t>Dispute resolution conference—settlement must be in writing</w:t>
      </w:r>
      <w:bookmarkEnd w:id="1257"/>
    </w:p>
    <w:p w14:paraId="7B0E127A" w14:textId="77777777"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14:paraId="65E7C8A1" w14:textId="77777777" w:rsidR="008112BD" w:rsidRPr="00B06181" w:rsidRDefault="008112BD" w:rsidP="008112BD">
      <w:pPr>
        <w:pStyle w:val="AH5Sec"/>
      </w:pPr>
      <w:bookmarkStart w:id="1258" w:name="_Toc185514874"/>
      <w:r w:rsidRPr="00C8328B">
        <w:rPr>
          <w:rStyle w:val="CharSectNo"/>
        </w:rPr>
        <w:lastRenderedPageBreak/>
        <w:t>3948C</w:t>
      </w:r>
      <w:r w:rsidRPr="00B06181">
        <w:tab/>
        <w:t>Dispute resolution conference—court orders on outcome of conference</w:t>
      </w:r>
      <w:bookmarkEnd w:id="1258"/>
    </w:p>
    <w:p w14:paraId="0808C180" w14:textId="77777777"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14:paraId="52F40C63" w14:textId="77777777"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14:paraId="778C1757" w14:textId="77777777" w:rsidR="008112BD" w:rsidRPr="00B06181" w:rsidRDefault="008112BD" w:rsidP="008112BD">
      <w:pPr>
        <w:pStyle w:val="Asubpara"/>
      </w:pPr>
      <w:r w:rsidRPr="00B06181">
        <w:tab/>
        <w:t>(i)</w:t>
      </w:r>
      <w:r w:rsidRPr="00B06181">
        <w:tab/>
        <w:t>direct the parties to attend a further dispute resolution conference; and</w:t>
      </w:r>
    </w:p>
    <w:p w14:paraId="54685B97" w14:textId="77777777" w:rsidR="008112BD" w:rsidRPr="00B06181" w:rsidRDefault="008112BD" w:rsidP="008112BD">
      <w:pPr>
        <w:pStyle w:val="Asubpara"/>
      </w:pPr>
      <w:r w:rsidRPr="00B06181">
        <w:tab/>
        <w:t>(ii)</w:t>
      </w:r>
      <w:r w:rsidRPr="00B06181">
        <w:tab/>
        <w:t xml:space="preserve">make directions as required; and </w:t>
      </w:r>
    </w:p>
    <w:p w14:paraId="428E9AC7" w14:textId="77777777"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14:paraId="73D4A5D9" w14:textId="77777777" w:rsidR="008112BD" w:rsidRPr="00B06181" w:rsidRDefault="008112BD" w:rsidP="008112BD">
      <w:pPr>
        <w:pStyle w:val="Amain"/>
      </w:pPr>
      <w:r w:rsidRPr="00B06181">
        <w:tab/>
        <w:t>(2)</w:t>
      </w:r>
      <w:r w:rsidRPr="00B06181">
        <w:tab/>
        <w:t>In making a direction for subsection (1) (b), the court must try to facilitate—</w:t>
      </w:r>
    </w:p>
    <w:p w14:paraId="3FEB62B4" w14:textId="77777777" w:rsidR="008112BD" w:rsidRPr="00B06181" w:rsidRDefault="008112BD" w:rsidP="008112BD">
      <w:pPr>
        <w:pStyle w:val="Apara"/>
      </w:pPr>
      <w:r w:rsidRPr="00B06181">
        <w:tab/>
        <w:t>(a)</w:t>
      </w:r>
      <w:r w:rsidRPr="00B06181">
        <w:tab/>
        <w:t>hearing the claim as quickly as practicable; and</w:t>
      </w:r>
    </w:p>
    <w:p w14:paraId="44366A62" w14:textId="77777777" w:rsidR="008112BD" w:rsidRPr="00B06181" w:rsidRDefault="008112BD" w:rsidP="008112BD">
      <w:pPr>
        <w:pStyle w:val="Apara"/>
      </w:pPr>
      <w:r w:rsidRPr="00B06181">
        <w:tab/>
        <w:t>(b)</w:t>
      </w:r>
      <w:r w:rsidRPr="00B06181">
        <w:tab/>
        <w:t>keeping costs as low as practicable.</w:t>
      </w:r>
    </w:p>
    <w:p w14:paraId="769C0704" w14:textId="77777777" w:rsidR="008112BD" w:rsidRPr="00B06181" w:rsidRDefault="008112BD" w:rsidP="00C56C3A">
      <w:pPr>
        <w:pStyle w:val="Amain"/>
        <w:keepNext/>
      </w:pPr>
      <w:r w:rsidRPr="00B06181">
        <w:tab/>
        <w:t>(3)</w:t>
      </w:r>
      <w:r w:rsidRPr="00B06181">
        <w:tab/>
        <w:t>Without limiting subsection (1) (b), the court may make directions about any of the following:</w:t>
      </w:r>
    </w:p>
    <w:p w14:paraId="5AC6275A" w14:textId="77777777" w:rsidR="008112BD" w:rsidRPr="00B06181" w:rsidRDefault="008112BD" w:rsidP="00C56C3A">
      <w:pPr>
        <w:pStyle w:val="Apara"/>
        <w:keepNext/>
      </w:pPr>
      <w:r w:rsidRPr="00B06181">
        <w:tab/>
        <w:t>(a)</w:t>
      </w:r>
      <w:r w:rsidRPr="00B06181">
        <w:tab/>
        <w:t xml:space="preserve">obtaining, filing or serving further material, including evidence by affidavit; </w:t>
      </w:r>
    </w:p>
    <w:p w14:paraId="7EE08E1E" w14:textId="77777777" w:rsidR="008112BD" w:rsidRPr="00B06181" w:rsidRDefault="008112BD" w:rsidP="00C56C3A">
      <w:pPr>
        <w:pStyle w:val="Apara"/>
        <w:keepNext/>
      </w:pPr>
      <w:r w:rsidRPr="00B06181">
        <w:tab/>
        <w:t>(b)</w:t>
      </w:r>
      <w:r w:rsidRPr="00B06181">
        <w:tab/>
        <w:t>any special requirements in relation to evidence;</w:t>
      </w:r>
    </w:p>
    <w:p w14:paraId="07B920B8" w14:textId="77777777" w:rsidR="008112BD" w:rsidRPr="00B06181" w:rsidRDefault="008112BD" w:rsidP="008112BD">
      <w:pPr>
        <w:pStyle w:val="aExamHdgpar"/>
      </w:pPr>
      <w:r w:rsidRPr="00B06181">
        <w:t>Example</w:t>
      </w:r>
    </w:p>
    <w:p w14:paraId="6428E438" w14:textId="77777777" w:rsidR="008112BD" w:rsidRPr="00B06181" w:rsidRDefault="008112BD" w:rsidP="008112BD">
      <w:pPr>
        <w:pStyle w:val="aExampar"/>
        <w:keepNext/>
      </w:pPr>
      <w:r w:rsidRPr="00B06181">
        <w:t>use of telephone or audio visual facilities for evidence</w:t>
      </w:r>
    </w:p>
    <w:p w14:paraId="0FC82D16" w14:textId="77777777"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14:paraId="0D765852" w14:textId="77777777" w:rsidR="008112BD" w:rsidRPr="00C8328B" w:rsidRDefault="008112BD" w:rsidP="008112BD">
      <w:pPr>
        <w:pStyle w:val="AH3Div"/>
      </w:pPr>
      <w:bookmarkStart w:id="1259" w:name="_Toc185514875"/>
      <w:r w:rsidRPr="00C8328B">
        <w:rPr>
          <w:rStyle w:val="CharDivNo"/>
        </w:rPr>
        <w:lastRenderedPageBreak/>
        <w:t>Division 3.13.9</w:t>
      </w:r>
      <w:r>
        <w:tab/>
      </w:r>
      <w:r w:rsidRPr="00C8328B">
        <w:rPr>
          <w:rStyle w:val="CharDivText"/>
        </w:rPr>
        <w:t>Workers compensation—conduct of arbitration</w:t>
      </w:r>
      <w:bookmarkEnd w:id="1259"/>
    </w:p>
    <w:p w14:paraId="10270587" w14:textId="77777777" w:rsidR="008112BD" w:rsidRDefault="008112BD" w:rsidP="008112BD">
      <w:pPr>
        <w:pStyle w:val="AH5Sec"/>
      </w:pPr>
      <w:bookmarkStart w:id="1260" w:name="_Toc185514876"/>
      <w:r w:rsidRPr="00C8328B">
        <w:rPr>
          <w:rStyle w:val="CharSectNo"/>
        </w:rPr>
        <w:t>3949</w:t>
      </w:r>
      <w:r>
        <w:tab/>
        <w:t>Conduct of arbitration—date</w:t>
      </w:r>
      <w:bookmarkEnd w:id="1260"/>
      <w:r>
        <w:t xml:space="preserve"> </w:t>
      </w:r>
    </w:p>
    <w:p w14:paraId="440BC750" w14:textId="77777777" w:rsidR="008112BD" w:rsidRDefault="008112BD" w:rsidP="008112BD">
      <w:pPr>
        <w:pStyle w:val="Amainreturn"/>
        <w:keepNext/>
      </w:pPr>
      <w:r>
        <w:t>The registrar must—</w:t>
      </w:r>
    </w:p>
    <w:p w14:paraId="12EA158B" w14:textId="77777777" w:rsidR="008112BD" w:rsidRDefault="008112BD" w:rsidP="008112BD">
      <w:pPr>
        <w:pStyle w:val="Apara"/>
      </w:pPr>
      <w:r>
        <w:tab/>
        <w:t>(a)</w:t>
      </w:r>
      <w:r>
        <w:tab/>
        <w:t>set a date for an arbitration in accordance with the directions (if any) of the court; and</w:t>
      </w:r>
    </w:p>
    <w:p w14:paraId="394921EE" w14:textId="77777777" w:rsidR="008112BD" w:rsidRDefault="008112BD" w:rsidP="008112BD">
      <w:pPr>
        <w:pStyle w:val="Apara"/>
      </w:pPr>
      <w:r>
        <w:tab/>
        <w:t>(b)</w:t>
      </w:r>
      <w:r>
        <w:tab/>
        <w:t>tell the parties the date set.</w:t>
      </w:r>
    </w:p>
    <w:p w14:paraId="45A77649" w14:textId="77777777" w:rsidR="008112BD" w:rsidRDefault="008112BD" w:rsidP="008112BD">
      <w:pPr>
        <w:pStyle w:val="AH5Sec"/>
      </w:pPr>
      <w:bookmarkStart w:id="1261" w:name="_Toc185514877"/>
      <w:r w:rsidRPr="00C8328B">
        <w:rPr>
          <w:rStyle w:val="CharSectNo"/>
        </w:rPr>
        <w:t>3950</w:t>
      </w:r>
      <w:r>
        <w:tab/>
        <w:t>Conduct of arbitration—burden of proof on party asserting fact</w:t>
      </w:r>
      <w:bookmarkEnd w:id="1261"/>
      <w:r>
        <w:t xml:space="preserve"> </w:t>
      </w:r>
    </w:p>
    <w:p w14:paraId="4471ABA8" w14:textId="77777777"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14:paraId="57D31D67" w14:textId="77777777" w:rsidR="008112BD" w:rsidRDefault="008112BD" w:rsidP="008112BD">
      <w:pPr>
        <w:pStyle w:val="AH5Sec"/>
      </w:pPr>
      <w:bookmarkStart w:id="1262" w:name="_Toc185514878"/>
      <w:r w:rsidRPr="00C8328B">
        <w:rPr>
          <w:rStyle w:val="CharSectNo"/>
        </w:rPr>
        <w:t>3951</w:t>
      </w:r>
      <w:r>
        <w:tab/>
        <w:t>Conduct of arbitration—directions about third-party respondents</w:t>
      </w:r>
      <w:bookmarkEnd w:id="1262"/>
      <w:r>
        <w:t xml:space="preserve"> </w:t>
      </w:r>
    </w:p>
    <w:p w14:paraId="591BDC4C" w14:textId="77777777" w:rsidR="008112BD" w:rsidRDefault="008112BD" w:rsidP="008112BD">
      <w:pPr>
        <w:pStyle w:val="Amain"/>
        <w:keepNext/>
      </w:pPr>
      <w:r>
        <w:tab/>
        <w:t>(1)</w:t>
      </w:r>
      <w:r>
        <w:tab/>
        <w:t>A party may apply for directions about the procedure to decide a question between a respondent and a third-party respondent.</w:t>
      </w:r>
    </w:p>
    <w:p w14:paraId="1CDF2E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900CA0B" w14:textId="77777777" w:rsidR="008112BD" w:rsidRDefault="008112BD" w:rsidP="008112BD">
      <w:pPr>
        <w:pStyle w:val="Amain"/>
      </w:pPr>
      <w:r>
        <w:tab/>
        <w:t>(2)</w:t>
      </w:r>
      <w:r>
        <w:tab/>
        <w:t>The court may give the directions it considers appropriate.</w:t>
      </w:r>
    </w:p>
    <w:p w14:paraId="6E53E20F" w14:textId="77777777" w:rsidR="008112BD" w:rsidRDefault="008112BD" w:rsidP="008112BD">
      <w:pPr>
        <w:pStyle w:val="Amain"/>
      </w:pPr>
      <w:r>
        <w:tab/>
        <w:t>(3)</w:t>
      </w:r>
      <w:r>
        <w:tab/>
        <w:t>Without limiting subrule (2), the court may—</w:t>
      </w:r>
    </w:p>
    <w:p w14:paraId="23144007" w14:textId="77777777" w:rsidR="008112BD" w:rsidRDefault="008112BD" w:rsidP="008112BD">
      <w:pPr>
        <w:pStyle w:val="Apara"/>
      </w:pPr>
      <w:r>
        <w:tab/>
        <w:t>(a)</w:t>
      </w:r>
      <w:r>
        <w:tab/>
        <w:t>give the third-party respondent leave to answer the applicant’s claim against the respondent; or</w:t>
      </w:r>
    </w:p>
    <w:p w14:paraId="5AE919A5" w14:textId="77777777" w:rsidR="008112BD" w:rsidRDefault="008112BD" w:rsidP="008112BD">
      <w:pPr>
        <w:pStyle w:val="Apara"/>
      </w:pPr>
      <w:r>
        <w:tab/>
        <w:t>(b)</w:t>
      </w:r>
      <w:r>
        <w:tab/>
        <w:t>give directions about the extent to which the third-party respondent is to be liable to or be bound by an award in the arbitration.</w:t>
      </w:r>
    </w:p>
    <w:p w14:paraId="3B89A542" w14:textId="77777777" w:rsidR="008112BD" w:rsidRDefault="008112BD" w:rsidP="008112BD">
      <w:pPr>
        <w:pStyle w:val="Amain"/>
      </w:pPr>
      <w:r>
        <w:tab/>
        <w:t>(4)</w:t>
      </w:r>
      <w:r>
        <w:tab/>
        <w:t>This rule does not affect an applicant’s claim against a respondent.</w:t>
      </w:r>
    </w:p>
    <w:p w14:paraId="2A95B868" w14:textId="77777777" w:rsidR="008112BD" w:rsidRDefault="008112BD" w:rsidP="008112BD">
      <w:pPr>
        <w:pStyle w:val="AH5Sec"/>
      </w:pPr>
      <w:bookmarkStart w:id="1263" w:name="_Toc185514879"/>
      <w:r w:rsidRPr="00C8328B">
        <w:rPr>
          <w:rStyle w:val="CharSectNo"/>
        </w:rPr>
        <w:lastRenderedPageBreak/>
        <w:t>3952</w:t>
      </w:r>
      <w:r>
        <w:tab/>
        <w:t>Conduct of arbitration—directions and orders if remedy against employer and stranger</w:t>
      </w:r>
      <w:bookmarkEnd w:id="1263"/>
      <w:r>
        <w:t xml:space="preserve"> </w:t>
      </w:r>
    </w:p>
    <w:p w14:paraId="4CD0490B" w14:textId="77777777" w:rsidR="008112BD" w:rsidRDefault="008112BD" w:rsidP="008112BD">
      <w:pPr>
        <w:pStyle w:val="Amain"/>
      </w:pPr>
      <w:r>
        <w:tab/>
        <w:t>(1)</w:t>
      </w:r>
      <w:r>
        <w:tab/>
        <w:t>This rule applies to an arbitration if—</w:t>
      </w:r>
    </w:p>
    <w:p w14:paraId="6D8F0DF9" w14:textId="34868238" w:rsidR="008112BD" w:rsidRDefault="008112BD" w:rsidP="008112BD">
      <w:pPr>
        <w:pStyle w:val="Apara"/>
      </w:pPr>
      <w:r>
        <w:tab/>
        <w:t>(a)</w:t>
      </w:r>
      <w:r>
        <w:tab/>
        <w:t xml:space="preserve">the injury to the applicant worker happened in circumstances mentioned in the </w:t>
      </w:r>
      <w:hyperlink r:id="rId535" w:tooltip="A1951-2" w:history="1">
        <w:r w:rsidRPr="00E95F50">
          <w:rPr>
            <w:rStyle w:val="charCitHyperlinkAbbrev"/>
          </w:rPr>
          <w:t>Workers Compensation Act</w:t>
        </w:r>
      </w:hyperlink>
      <w:r>
        <w:t xml:space="preserve">, section 183 (Remedies against employer and stranger); and </w:t>
      </w:r>
    </w:p>
    <w:p w14:paraId="241807A3" w14:textId="21116635" w:rsidR="008112BD" w:rsidRDefault="008112BD" w:rsidP="008112BD">
      <w:pPr>
        <w:pStyle w:val="Apara"/>
      </w:pPr>
      <w:r>
        <w:tab/>
        <w:t>(b)</w:t>
      </w:r>
      <w:r>
        <w:tab/>
        <w:t xml:space="preserve">a respondent to the application claims that, if compensation is paid under the </w:t>
      </w:r>
      <w:hyperlink r:id="rId536" w:tooltip="A1951-2" w:history="1">
        <w:r w:rsidRPr="00E95F50">
          <w:rPr>
            <w:rStyle w:val="charCitHyperlinkAbbrev"/>
          </w:rPr>
          <w:t>Workers Compensation Act</w:t>
        </w:r>
      </w:hyperlink>
      <w:r>
        <w:t xml:space="preserve"> to the applicant, the respondent is entitled to be indemnified by a person under that section.</w:t>
      </w:r>
    </w:p>
    <w:p w14:paraId="48E9CD8F" w14:textId="77777777" w:rsidR="008112BD" w:rsidRDefault="008112BD" w:rsidP="008112BD">
      <w:pPr>
        <w:pStyle w:val="Amain"/>
      </w:pPr>
      <w:r>
        <w:tab/>
        <w:t>(2)</w:t>
      </w:r>
      <w:r>
        <w:tab/>
        <w:t>The respondent may file a notice of claim naming the person.</w:t>
      </w:r>
    </w:p>
    <w:p w14:paraId="4C7FBC84" w14:textId="77777777" w:rsidR="008112BD" w:rsidRDefault="008112BD" w:rsidP="008112BD">
      <w:pPr>
        <w:pStyle w:val="Amain"/>
        <w:keepNext/>
      </w:pPr>
      <w:r>
        <w:tab/>
        <w:t>(3)</w:t>
      </w:r>
      <w:r>
        <w:tab/>
        <w:t>The respondent must serve a sealed copy of the notice on the person.</w:t>
      </w:r>
    </w:p>
    <w:p w14:paraId="5B6FFE6D" w14:textId="6DC90124"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37" w:tooltip="A2001-14" w:history="1">
        <w:r w:rsidRPr="00FE0788">
          <w:rPr>
            <w:rStyle w:val="charCitHyperlinkAbbrev"/>
          </w:rPr>
          <w:t>Legislation Act</w:t>
        </w:r>
      </w:hyperlink>
      <w:r>
        <w:t>, s 151B (Doing things for which no time is fixed)).</w:t>
      </w:r>
    </w:p>
    <w:p w14:paraId="728079B4" w14:textId="77777777" w:rsidR="008112BD" w:rsidRDefault="008112BD" w:rsidP="008112BD">
      <w:pPr>
        <w:pStyle w:val="Amain"/>
        <w:keepNext/>
      </w:pPr>
      <w:r>
        <w:tab/>
        <w:t>(4)</w:t>
      </w:r>
      <w:r>
        <w:tab/>
        <w:t>If this rule applies, the court may make the orders it considers appropriate.</w:t>
      </w:r>
    </w:p>
    <w:p w14:paraId="45C9F3F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FA205A7" w14:textId="77777777" w:rsidR="008112BD" w:rsidRDefault="008112BD" w:rsidP="008112BD">
      <w:pPr>
        <w:pStyle w:val="Amain"/>
      </w:pPr>
      <w:r>
        <w:tab/>
        <w:t>(5)</w:t>
      </w:r>
      <w:r>
        <w:tab/>
        <w:t>Without limiting subrule (4), the court may give the person leave to answer the applicant’s claim against the respondent.</w:t>
      </w:r>
    </w:p>
    <w:p w14:paraId="35BFC238" w14:textId="77777777" w:rsidR="008112BD" w:rsidRDefault="008112BD" w:rsidP="008112BD">
      <w:pPr>
        <w:pStyle w:val="Amain"/>
      </w:pPr>
      <w:r>
        <w:tab/>
        <w:t>(6)</w:t>
      </w:r>
      <w:r>
        <w:tab/>
        <w:t>If the person wishes to dispute the notice, the person may appear at the arbitration.</w:t>
      </w:r>
    </w:p>
    <w:p w14:paraId="188A9D36" w14:textId="77777777"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14:paraId="18BDE34E" w14:textId="77777777" w:rsidR="008112BD" w:rsidRDefault="008112BD" w:rsidP="008112BD">
      <w:pPr>
        <w:pStyle w:val="Amain"/>
      </w:pPr>
      <w:r>
        <w:tab/>
        <w:t>(8)</w:t>
      </w:r>
      <w:r>
        <w:tab/>
        <w:t>If the person does not appear at the arbitration, the person is taken to admit the validity of the award of the court on the arbitration.</w:t>
      </w:r>
    </w:p>
    <w:p w14:paraId="47C5F423" w14:textId="77777777" w:rsidR="008112BD" w:rsidRDefault="008112BD" w:rsidP="008112BD">
      <w:pPr>
        <w:pStyle w:val="Amain"/>
      </w:pPr>
      <w:r>
        <w:lastRenderedPageBreak/>
        <w:tab/>
        <w:t>(9)</w:t>
      </w:r>
      <w:r>
        <w:tab/>
        <w:t>With the consent of the respondent and the person, the court may, under subrule (4)—</w:t>
      </w:r>
    </w:p>
    <w:p w14:paraId="1033C387" w14:textId="77777777"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14:paraId="2CE0B93B" w14:textId="77777777"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14:paraId="442EE633" w14:textId="77777777" w:rsidR="008112BD" w:rsidRDefault="008112BD" w:rsidP="008112BD">
      <w:pPr>
        <w:pStyle w:val="Amain"/>
      </w:pPr>
      <w:r>
        <w:tab/>
        <w:t>(10)</w:t>
      </w:r>
      <w:r>
        <w:tab/>
        <w:t>If the court makes an order mentioned in subrule (9) (b), the court may make the orders it considers appropriate in relation to the later arbitration.</w:t>
      </w:r>
    </w:p>
    <w:p w14:paraId="5641FD3B" w14:textId="77777777"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14:paraId="3C9C9DF2" w14:textId="77777777" w:rsidR="008112BD" w:rsidRDefault="008112BD" w:rsidP="008112BD">
      <w:pPr>
        <w:pStyle w:val="AH5Sec"/>
      </w:pPr>
      <w:bookmarkStart w:id="1264" w:name="_Toc185514880"/>
      <w:r w:rsidRPr="00C8328B">
        <w:rPr>
          <w:rStyle w:val="CharSectNo"/>
        </w:rPr>
        <w:t>3953</w:t>
      </w:r>
      <w:r>
        <w:tab/>
        <w:t>Conduct of arbitration—directions generally</w:t>
      </w:r>
      <w:bookmarkEnd w:id="1264"/>
    </w:p>
    <w:p w14:paraId="5F641AC3" w14:textId="77777777"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1E63A07B" w14:textId="77777777" w:rsidR="008112BD" w:rsidRDefault="008112BD" w:rsidP="008112BD">
      <w:pPr>
        <w:pStyle w:val="Amain"/>
        <w:keepNext/>
      </w:pPr>
      <w:r>
        <w:tab/>
        <w:t>(2)</w:t>
      </w:r>
      <w:r>
        <w:tab/>
        <w:t>The court may give a direction about the conduct of the proceeding on application by a party or on its own initiative.</w:t>
      </w:r>
    </w:p>
    <w:p w14:paraId="6F1048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5EC9A4ED" w14:textId="77777777" w:rsidR="008112BD" w:rsidRDefault="008112BD" w:rsidP="008112BD">
      <w:pPr>
        <w:pStyle w:val="Amain"/>
      </w:pPr>
      <w:r>
        <w:tab/>
        <w:t>(3)</w:t>
      </w:r>
      <w:r>
        <w:tab/>
        <w:t>In deciding whether to give a direction under this rule, the interests of justice are paramount.</w:t>
      </w:r>
    </w:p>
    <w:p w14:paraId="78C8FE39" w14:textId="77777777" w:rsidR="008112BD" w:rsidRDefault="008112BD" w:rsidP="008112BD">
      <w:pPr>
        <w:pStyle w:val="Amain"/>
      </w:pPr>
      <w:r>
        <w:tab/>
        <w:t>(4)</w:t>
      </w:r>
      <w:r>
        <w:tab/>
        <w:t>If a direction under this rule is inconsistent with another provision of these rules, the direction prevails to the extent of the inconsistency.</w:t>
      </w:r>
    </w:p>
    <w:p w14:paraId="51CDC0A6" w14:textId="77777777" w:rsidR="008112BD" w:rsidRDefault="008112BD" w:rsidP="008112BD">
      <w:pPr>
        <w:pStyle w:val="Amain"/>
      </w:pPr>
      <w:r>
        <w:lastRenderedPageBreak/>
        <w:tab/>
        <w:t>(5)</w:t>
      </w:r>
      <w:r>
        <w:tab/>
        <w:t>The court may at any time amend or revoke a direction made under this rule.</w:t>
      </w:r>
    </w:p>
    <w:p w14:paraId="5D648887" w14:textId="77777777" w:rsidR="008112BD" w:rsidRDefault="008112BD" w:rsidP="008112BD">
      <w:pPr>
        <w:pStyle w:val="Amain"/>
        <w:keepNext/>
      </w:pPr>
      <w:r>
        <w:tab/>
        <w:t>(6)</w:t>
      </w:r>
      <w:r>
        <w:tab/>
        <w:t>The court may amend or revoke a direction made under this rule on application by a party or on its own initiative.</w:t>
      </w:r>
    </w:p>
    <w:p w14:paraId="74D69648"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14:paraId="67502FEE" w14:textId="77777777" w:rsidR="008112BD" w:rsidRDefault="008112BD" w:rsidP="008112BD">
      <w:pPr>
        <w:pStyle w:val="Amain"/>
        <w:keepNext/>
      </w:pPr>
      <w:r>
        <w:tab/>
        <w:t>(7)</w:t>
      </w:r>
      <w:r>
        <w:tab/>
        <w:t>The powers of the court under this rule are additional to any other powers of the court under a territory law.</w:t>
      </w:r>
    </w:p>
    <w:p w14:paraId="0A4BAD55" w14:textId="03787427"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38" w:tooltip="A2001-14" w:history="1">
        <w:r w:rsidRPr="00FE0788">
          <w:rPr>
            <w:rStyle w:val="charCitHyperlinkAbbrev"/>
          </w:rPr>
          <w:t>Legislation Act</w:t>
        </w:r>
      </w:hyperlink>
      <w:r>
        <w:t>, s 98).</w:t>
      </w:r>
    </w:p>
    <w:p w14:paraId="144550A0" w14:textId="77777777" w:rsidR="008112BD" w:rsidRPr="00C8328B" w:rsidRDefault="008112BD" w:rsidP="008112BD">
      <w:pPr>
        <w:pStyle w:val="AH3Div"/>
      </w:pPr>
      <w:bookmarkStart w:id="1265" w:name="_Toc185514881"/>
      <w:r w:rsidRPr="00C8328B">
        <w:rPr>
          <w:rStyle w:val="CharDivNo"/>
        </w:rPr>
        <w:t>Division 3.13.10</w:t>
      </w:r>
      <w:r>
        <w:tab/>
      </w:r>
      <w:r w:rsidRPr="00C8328B">
        <w:rPr>
          <w:rStyle w:val="CharDivText"/>
        </w:rPr>
        <w:t>Workers compensation—submission to award and payments into court</w:t>
      </w:r>
      <w:bookmarkEnd w:id="1265"/>
    </w:p>
    <w:p w14:paraId="4232CD30" w14:textId="77777777" w:rsidR="008112BD" w:rsidRDefault="008112BD" w:rsidP="008112BD">
      <w:pPr>
        <w:pStyle w:val="AH5Sec"/>
      </w:pPr>
      <w:bookmarkStart w:id="1266" w:name="_Toc185514882"/>
      <w:r w:rsidRPr="00C8328B">
        <w:rPr>
          <w:rStyle w:val="CharSectNo"/>
        </w:rPr>
        <w:t>3954</w:t>
      </w:r>
      <w:r>
        <w:tab/>
        <w:t>Arbitration—payment into court generally</w:t>
      </w:r>
      <w:bookmarkEnd w:id="1266"/>
      <w:r>
        <w:t xml:space="preserve"> </w:t>
      </w:r>
    </w:p>
    <w:p w14:paraId="31F673B8" w14:textId="77777777"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14:paraId="56C2260B" w14:textId="77777777" w:rsidR="008112BD" w:rsidRDefault="008112BD" w:rsidP="008112BD">
      <w:pPr>
        <w:pStyle w:val="AH5Sec"/>
      </w:pPr>
      <w:bookmarkStart w:id="1267" w:name="_Toc185514883"/>
      <w:r w:rsidRPr="00C8328B">
        <w:rPr>
          <w:rStyle w:val="CharSectNo"/>
        </w:rPr>
        <w:t>3955</w:t>
      </w:r>
      <w:r>
        <w:tab/>
        <w:t>Arbitration—admission of liability to claim by worker</w:t>
      </w:r>
      <w:bookmarkEnd w:id="1267"/>
      <w:r>
        <w:t xml:space="preserve"> </w:t>
      </w:r>
    </w:p>
    <w:p w14:paraId="713A69C8" w14:textId="77777777" w:rsidR="008112BD" w:rsidRDefault="008112BD" w:rsidP="008112BD">
      <w:pPr>
        <w:pStyle w:val="Amain"/>
      </w:pPr>
      <w:r>
        <w:tab/>
        <w:t>(1)</w:t>
      </w:r>
      <w:r>
        <w:tab/>
        <w:t>This rule applies to the arbitration of a claim if the application is by a worker.</w:t>
      </w:r>
    </w:p>
    <w:p w14:paraId="68F90C2C" w14:textId="77777777" w:rsidR="008112BD" w:rsidRDefault="008112BD" w:rsidP="008112BD">
      <w:pPr>
        <w:pStyle w:val="Amain"/>
      </w:pPr>
      <w:r>
        <w:tab/>
        <w:t>(2)</w:t>
      </w:r>
      <w:r>
        <w:tab/>
        <w:t>An employer may, before the day set for the arbitration, act under subrule (3) or (4).</w:t>
      </w:r>
    </w:p>
    <w:p w14:paraId="3554F131" w14:textId="77777777"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14:paraId="16B5AC49" w14:textId="626259A4"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39" w:history="1">
        <w:r w:rsidRPr="007A5860">
          <w:rPr>
            <w:rStyle w:val="charCitHyperlinkAbbrev"/>
          </w:rPr>
          <w:t>AF2006</w:t>
        </w:r>
        <w:r w:rsidRPr="007A5860">
          <w:rPr>
            <w:rStyle w:val="charCitHyperlinkAbbrev"/>
          </w:rPr>
          <w:noBreakHyphen/>
          <w:t>501</w:t>
        </w:r>
      </w:hyperlink>
      <w:r>
        <w:t>.</w:t>
      </w:r>
    </w:p>
    <w:p w14:paraId="529F2AEF" w14:textId="77777777" w:rsidR="008112BD" w:rsidRDefault="008112BD" w:rsidP="008112BD">
      <w:pPr>
        <w:pStyle w:val="Amain"/>
        <w:keepNext/>
      </w:pPr>
      <w:r>
        <w:lastRenderedPageBreak/>
        <w:tab/>
        <w:t>(4)</w:t>
      </w:r>
      <w:r>
        <w:tab/>
        <w:t>The employer may—</w:t>
      </w:r>
    </w:p>
    <w:p w14:paraId="3F3EF86D" w14:textId="77777777"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14:paraId="6DCD531F" w14:textId="77777777" w:rsidR="008112BD" w:rsidRDefault="008112BD" w:rsidP="008112BD">
      <w:pPr>
        <w:pStyle w:val="Apara"/>
      </w:pPr>
      <w:r>
        <w:tab/>
        <w:t>(b)</w:t>
      </w:r>
      <w:r>
        <w:tab/>
        <w:t>pay the amount into court.</w:t>
      </w:r>
    </w:p>
    <w:p w14:paraId="78FAD12E" w14:textId="77777777" w:rsidR="008112BD" w:rsidRDefault="008112BD" w:rsidP="008112BD">
      <w:pPr>
        <w:pStyle w:val="Amain"/>
      </w:pPr>
      <w:r>
        <w:tab/>
        <w:t>(5)</w:t>
      </w:r>
      <w:r>
        <w:tab/>
        <w:t>An employer filing a notice under this rule must serve a copy of the notice on each other party to the arbitration.</w:t>
      </w:r>
    </w:p>
    <w:p w14:paraId="4937DAE8" w14:textId="77777777" w:rsidR="008112BD" w:rsidRDefault="008112BD" w:rsidP="008112BD">
      <w:pPr>
        <w:pStyle w:val="AH5Sec"/>
      </w:pPr>
      <w:bookmarkStart w:id="1268" w:name="_Toc185514884"/>
      <w:r w:rsidRPr="00C8328B">
        <w:rPr>
          <w:rStyle w:val="CharSectNo"/>
        </w:rPr>
        <w:t>3956</w:t>
      </w:r>
      <w:r>
        <w:tab/>
        <w:t>Arbitration—admission of liability to claim for deceased worker</w:t>
      </w:r>
      <w:bookmarkEnd w:id="1268"/>
      <w:r>
        <w:t xml:space="preserve"> </w:t>
      </w:r>
    </w:p>
    <w:p w14:paraId="7ED5C03B" w14:textId="77777777" w:rsidR="008112BD" w:rsidRDefault="008112BD" w:rsidP="008112BD">
      <w:pPr>
        <w:pStyle w:val="Amain"/>
      </w:pPr>
      <w:r>
        <w:tab/>
        <w:t>(1)</w:t>
      </w:r>
      <w:r>
        <w:tab/>
        <w:t>This rule applies to the arbitration of a claim if the application is by a dependant, or the personal representative, of a deceased worker.</w:t>
      </w:r>
    </w:p>
    <w:p w14:paraId="693CA259" w14:textId="77777777" w:rsidR="008112BD" w:rsidRDefault="008112BD" w:rsidP="008112BD">
      <w:pPr>
        <w:pStyle w:val="Amain"/>
      </w:pPr>
      <w:r>
        <w:tab/>
        <w:t>(2)</w:t>
      </w:r>
      <w:r>
        <w:tab/>
        <w:t>An employer may, before the day set for the arbitration—</w:t>
      </w:r>
    </w:p>
    <w:p w14:paraId="562D278B" w14:textId="77777777" w:rsidR="008112BD" w:rsidRDefault="008112BD" w:rsidP="008112BD">
      <w:pPr>
        <w:pStyle w:val="Apara"/>
      </w:pPr>
      <w:r>
        <w:tab/>
        <w:t>(a)</w:t>
      </w:r>
      <w:r>
        <w:tab/>
        <w:t>file in the court a notice stating that the employer admits liability; and</w:t>
      </w:r>
    </w:p>
    <w:p w14:paraId="1D52D8F7" w14:textId="77777777" w:rsidR="008112BD" w:rsidRDefault="008112BD" w:rsidP="008112BD">
      <w:pPr>
        <w:pStyle w:val="Apara"/>
        <w:keepNext/>
      </w:pPr>
      <w:r>
        <w:tab/>
        <w:t>(b)</w:t>
      </w:r>
      <w:r>
        <w:tab/>
        <w:t>pay into court an amount sufficient to cover the employer’s liability on the claim.</w:t>
      </w:r>
    </w:p>
    <w:p w14:paraId="0E5A2A90" w14:textId="4A571772"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0" w:history="1">
        <w:r w:rsidRPr="007A5860">
          <w:rPr>
            <w:rStyle w:val="charCitHyperlinkAbbrev"/>
          </w:rPr>
          <w:t>AF2006</w:t>
        </w:r>
        <w:r w:rsidRPr="007A5860">
          <w:rPr>
            <w:rStyle w:val="charCitHyperlinkAbbrev"/>
          </w:rPr>
          <w:noBreakHyphen/>
          <w:t>502</w:t>
        </w:r>
      </w:hyperlink>
      <w:r>
        <w:t>.</w:t>
      </w:r>
    </w:p>
    <w:p w14:paraId="341F9DF2" w14:textId="77777777" w:rsidR="008112BD" w:rsidRDefault="008112BD" w:rsidP="008112BD">
      <w:pPr>
        <w:pStyle w:val="Amain"/>
      </w:pPr>
      <w:r>
        <w:tab/>
        <w:t>(3)</w:t>
      </w:r>
      <w:r>
        <w:tab/>
        <w:t>An employer filing a notice under this rule must serve a copy of the notice on each other party to the arbitration.</w:t>
      </w:r>
    </w:p>
    <w:p w14:paraId="3BFB1944" w14:textId="77777777" w:rsidR="008112BD" w:rsidRDefault="008112BD" w:rsidP="008112BD">
      <w:pPr>
        <w:pStyle w:val="AH5Sec"/>
      </w:pPr>
      <w:bookmarkStart w:id="1269" w:name="_Toc185514885"/>
      <w:r w:rsidRPr="00C8328B">
        <w:rPr>
          <w:rStyle w:val="CharSectNo"/>
        </w:rPr>
        <w:t>3957</w:t>
      </w:r>
      <w:r>
        <w:tab/>
        <w:t>Arbitration—denial and submission to award or payment by employer</w:t>
      </w:r>
      <w:bookmarkEnd w:id="1269"/>
    </w:p>
    <w:p w14:paraId="2B052311" w14:textId="77777777" w:rsidR="008112BD" w:rsidRDefault="008112BD" w:rsidP="008112BD">
      <w:pPr>
        <w:pStyle w:val="Amain"/>
      </w:pPr>
      <w:r>
        <w:tab/>
        <w:t>(1)</w:t>
      </w:r>
      <w:r>
        <w:tab/>
        <w:t>An employer who is a party to an arbitration may, before the day set for the arbitration—</w:t>
      </w:r>
    </w:p>
    <w:p w14:paraId="7F1F0316" w14:textId="77777777" w:rsidR="008112BD" w:rsidRDefault="008112BD" w:rsidP="008112BD">
      <w:pPr>
        <w:pStyle w:val="Apara"/>
      </w:pPr>
      <w:r>
        <w:tab/>
        <w:t>(a)</w:t>
      </w:r>
      <w:r>
        <w:tab/>
        <w:t>file in the court a notice stating that—</w:t>
      </w:r>
    </w:p>
    <w:p w14:paraId="63C660DF" w14:textId="77777777" w:rsidR="008112BD" w:rsidRDefault="008112BD" w:rsidP="008112BD">
      <w:pPr>
        <w:pStyle w:val="Asubpara"/>
      </w:pPr>
      <w:r>
        <w:tab/>
        <w:t>(i)</w:t>
      </w:r>
      <w:r>
        <w:tab/>
        <w:t>the employer does not admit liability on the claim; or</w:t>
      </w:r>
    </w:p>
    <w:p w14:paraId="4C7F2AD8" w14:textId="77777777"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14:paraId="459B8685" w14:textId="77777777" w:rsidR="008112BD" w:rsidRDefault="008112BD" w:rsidP="008112BD">
      <w:pPr>
        <w:pStyle w:val="Apara"/>
      </w:pPr>
      <w:r>
        <w:tab/>
        <w:t>(b)</w:t>
      </w:r>
      <w:r>
        <w:tab/>
        <w:t>pay into court—</w:t>
      </w:r>
    </w:p>
    <w:p w14:paraId="7A84854A" w14:textId="77777777" w:rsidR="008112BD" w:rsidRDefault="008112BD" w:rsidP="008112BD">
      <w:pPr>
        <w:pStyle w:val="Asubpara"/>
      </w:pPr>
      <w:r>
        <w:tab/>
        <w:t>(i)</w:t>
      </w:r>
      <w:r>
        <w:tab/>
        <w:t>an amount sufficient to cover the liability the employer would have on the claim if the employer did not deny liability; or</w:t>
      </w:r>
    </w:p>
    <w:p w14:paraId="48FA5414" w14:textId="77777777" w:rsidR="008112BD" w:rsidRDefault="008112BD" w:rsidP="008112BD">
      <w:pPr>
        <w:pStyle w:val="Asubpara"/>
        <w:keepNext/>
      </w:pPr>
      <w:r>
        <w:tab/>
        <w:t>(ii)</w:t>
      </w:r>
      <w:r>
        <w:tab/>
        <w:t>the amount stated in the notice.</w:t>
      </w:r>
    </w:p>
    <w:p w14:paraId="46786832" w14:textId="77777777" w:rsidR="008112BD" w:rsidRDefault="008112BD" w:rsidP="008112BD">
      <w:pPr>
        <w:pStyle w:val="aNote"/>
        <w:keepNext/>
      </w:pPr>
      <w:r>
        <w:rPr>
          <w:rStyle w:val="charItals"/>
        </w:rPr>
        <w:t>Note</w:t>
      </w:r>
      <w:r>
        <w:tab/>
        <w:t>See</w:t>
      </w:r>
    </w:p>
    <w:p w14:paraId="14421358" w14:textId="38C3FD2F"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1" w:history="1">
        <w:r w:rsidRPr="007A5860">
          <w:rPr>
            <w:rStyle w:val="charCitHyperlinkAbbrev"/>
          </w:rPr>
          <w:t>AF2006</w:t>
        </w:r>
        <w:r w:rsidRPr="007A5860">
          <w:rPr>
            <w:rStyle w:val="charCitHyperlinkAbbrev"/>
          </w:rPr>
          <w:noBreakHyphen/>
          <w:t>501</w:t>
        </w:r>
      </w:hyperlink>
    </w:p>
    <w:p w14:paraId="45ECCDE4" w14:textId="6B2EA436"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2" w:history="1">
        <w:r w:rsidRPr="007A5860">
          <w:rPr>
            <w:rStyle w:val="charCitHyperlinkAbbrev"/>
          </w:rPr>
          <w:t>AF2006</w:t>
        </w:r>
        <w:r w:rsidRPr="007A5860">
          <w:rPr>
            <w:rStyle w:val="charCitHyperlinkAbbrev"/>
          </w:rPr>
          <w:noBreakHyphen/>
          <w:t>502</w:t>
        </w:r>
      </w:hyperlink>
      <w:r>
        <w:t>.</w:t>
      </w:r>
    </w:p>
    <w:p w14:paraId="28A38323" w14:textId="77777777" w:rsidR="008112BD" w:rsidRDefault="008112BD" w:rsidP="008112BD">
      <w:pPr>
        <w:pStyle w:val="Amain"/>
      </w:pPr>
      <w:r>
        <w:tab/>
        <w:t>(2)</w:t>
      </w:r>
      <w:r>
        <w:tab/>
        <w:t>An employer filing a notice under this rule must serve a copy of the notice on each other party to the arbitration.</w:t>
      </w:r>
    </w:p>
    <w:p w14:paraId="23EAB15B" w14:textId="77777777" w:rsidR="008112BD" w:rsidRDefault="008112BD" w:rsidP="008112BD">
      <w:pPr>
        <w:pStyle w:val="AH5Sec"/>
      </w:pPr>
      <w:bookmarkStart w:id="1270" w:name="_Toc185514886"/>
      <w:r w:rsidRPr="00C8328B">
        <w:rPr>
          <w:rStyle w:val="CharSectNo"/>
        </w:rPr>
        <w:t>3958</w:t>
      </w:r>
      <w:r>
        <w:tab/>
        <w:t>Arbitration—acceptance of payment by worker</w:t>
      </w:r>
      <w:bookmarkEnd w:id="1270"/>
    </w:p>
    <w:p w14:paraId="7DA2A927" w14:textId="77777777" w:rsidR="008112BD" w:rsidRDefault="008112BD" w:rsidP="008112BD">
      <w:pPr>
        <w:pStyle w:val="Amain"/>
      </w:pPr>
      <w:r>
        <w:tab/>
        <w:t>(1)</w:t>
      </w:r>
      <w:r>
        <w:tab/>
        <w:t>This rule applies if a notice is filed under rule 3955 (Arbitration—admission of liability to claim by worker) in relation to a claim by a worker.</w:t>
      </w:r>
    </w:p>
    <w:p w14:paraId="644026BD" w14:textId="77777777" w:rsidR="008112BD" w:rsidRDefault="008112BD" w:rsidP="008112BD">
      <w:pPr>
        <w:pStyle w:val="Amain"/>
      </w:pPr>
      <w:r>
        <w:tab/>
        <w:t>(2)</w:t>
      </w:r>
      <w:r>
        <w:tab/>
        <w:t>The worker may accept the amount of compensation in satisfaction of the worker’s claim by giving written notice of the acceptance to the employer and registrar.</w:t>
      </w:r>
    </w:p>
    <w:p w14:paraId="0C1B1E52" w14:textId="77777777"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14:paraId="0766D45C" w14:textId="77777777" w:rsidR="008112BD" w:rsidRDefault="008112BD" w:rsidP="008112BD">
      <w:pPr>
        <w:pStyle w:val="AH5Sec"/>
      </w:pPr>
      <w:bookmarkStart w:id="1271" w:name="_Toc185514887"/>
      <w:r w:rsidRPr="00C8328B">
        <w:rPr>
          <w:rStyle w:val="CharSectNo"/>
        </w:rPr>
        <w:lastRenderedPageBreak/>
        <w:t>3959</w:t>
      </w:r>
      <w:r>
        <w:tab/>
        <w:t>Arbitration—acceptance of payment for deceased worker</w:t>
      </w:r>
      <w:bookmarkEnd w:id="1271"/>
    </w:p>
    <w:p w14:paraId="0EED731D" w14:textId="77777777"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14:paraId="4665E106" w14:textId="77777777"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14:paraId="4D767394" w14:textId="77777777"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14:paraId="543CCAC8" w14:textId="77777777"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14:paraId="3B3C4894" w14:textId="77777777" w:rsidR="008112BD" w:rsidRDefault="008112BD" w:rsidP="008112BD">
      <w:pPr>
        <w:pStyle w:val="AH5Sec"/>
      </w:pPr>
      <w:bookmarkStart w:id="1272" w:name="_Toc185514888"/>
      <w:r w:rsidRPr="00C8328B">
        <w:rPr>
          <w:rStyle w:val="CharSectNo"/>
        </w:rPr>
        <w:t>3960</w:t>
      </w:r>
      <w:r>
        <w:tab/>
        <w:t>Arbitration—payment on worker’s acceptance</w:t>
      </w:r>
      <w:bookmarkEnd w:id="1272"/>
      <w:r>
        <w:t xml:space="preserve"> </w:t>
      </w:r>
    </w:p>
    <w:p w14:paraId="12B91B27" w14:textId="77777777" w:rsidR="008112BD" w:rsidRDefault="008112BD" w:rsidP="008112BD">
      <w:pPr>
        <w:pStyle w:val="Amain"/>
      </w:pPr>
      <w:r>
        <w:tab/>
        <w:t>(1)</w:t>
      </w:r>
      <w:r>
        <w:tab/>
        <w:t>This rule applies if a worker accepts payment of an amount under rule 3958 (Arbitration—acceptance of payment by worker).</w:t>
      </w:r>
    </w:p>
    <w:p w14:paraId="62536249" w14:textId="77777777" w:rsidR="008112BD" w:rsidRDefault="008112BD" w:rsidP="008112BD">
      <w:pPr>
        <w:pStyle w:val="Amain"/>
        <w:keepNext/>
      </w:pPr>
      <w:r>
        <w:tab/>
        <w:t>(2)</w:t>
      </w:r>
      <w:r>
        <w:tab/>
        <w:t>The court may order payment of the amount to the worker or the application of the amount for the worker’s benefit.</w:t>
      </w:r>
    </w:p>
    <w:p w14:paraId="33EE706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D5BBA45" w14:textId="77777777"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14:paraId="2305DD82" w14:textId="77777777" w:rsidR="008112BD" w:rsidRDefault="008112BD" w:rsidP="008112BD">
      <w:pPr>
        <w:pStyle w:val="AH5Sec"/>
      </w:pPr>
      <w:bookmarkStart w:id="1273" w:name="_Toc185514889"/>
      <w:r w:rsidRPr="00C8328B">
        <w:rPr>
          <w:rStyle w:val="CharSectNo"/>
        </w:rPr>
        <w:lastRenderedPageBreak/>
        <w:t>3961</w:t>
      </w:r>
      <w:r>
        <w:tab/>
        <w:t>Arbitration—payment on dependant’s etc acceptance</w:t>
      </w:r>
      <w:bookmarkEnd w:id="1273"/>
      <w:r>
        <w:t xml:space="preserve"> </w:t>
      </w:r>
    </w:p>
    <w:p w14:paraId="330F820B" w14:textId="77777777"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14:paraId="74FCB436" w14:textId="77777777" w:rsidR="008112BD" w:rsidRDefault="008112BD" w:rsidP="008112BD">
      <w:pPr>
        <w:pStyle w:val="Amain"/>
      </w:pPr>
      <w:r>
        <w:tab/>
        <w:t>(2)</w:t>
      </w:r>
      <w:r>
        <w:tab/>
        <w:t>Further proceedings against the employer are stayed and—</w:t>
      </w:r>
    </w:p>
    <w:p w14:paraId="1D9A821E" w14:textId="77777777"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14:paraId="4B7E6E2C" w14:textId="77777777" w:rsidR="008112BD" w:rsidRDefault="008112BD" w:rsidP="008112BD">
      <w:pPr>
        <w:pStyle w:val="Apara"/>
      </w:pPr>
      <w:r>
        <w:tab/>
        <w:t>(b)</w:t>
      </w:r>
      <w:r>
        <w:tab/>
        <w:t>in any other case—the arbitration may proceed as between the other parties.</w:t>
      </w:r>
    </w:p>
    <w:p w14:paraId="4C556D71" w14:textId="77777777"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14:paraId="045471A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697DE58" w14:textId="77777777" w:rsidR="008112BD" w:rsidRDefault="008112BD" w:rsidP="008112BD">
      <w:pPr>
        <w:pStyle w:val="AH5Sec"/>
      </w:pPr>
      <w:bookmarkStart w:id="1274" w:name="_Toc185514890"/>
      <w:r w:rsidRPr="00C8328B">
        <w:rPr>
          <w:rStyle w:val="CharSectNo"/>
        </w:rPr>
        <w:t>3962</w:t>
      </w:r>
      <w:r>
        <w:tab/>
        <w:t>Arbitration—no prompt acceptance of submission or payment</w:t>
      </w:r>
      <w:bookmarkEnd w:id="1274"/>
    </w:p>
    <w:p w14:paraId="7B3999ED" w14:textId="77777777"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14:paraId="6BD30FA2" w14:textId="77777777" w:rsidR="008112BD" w:rsidRDefault="008112BD" w:rsidP="008112BD">
      <w:pPr>
        <w:pStyle w:val="Amain"/>
      </w:pPr>
      <w:r>
        <w:tab/>
        <w:t>(2)</w:t>
      </w:r>
      <w:r>
        <w:tab/>
        <w:t>The party may accept the amount at any time before the arbitration starts.</w:t>
      </w:r>
    </w:p>
    <w:p w14:paraId="1B0BA17B" w14:textId="77777777"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14:paraId="283EA7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6A32B9A" w14:textId="77777777"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14:paraId="3CCC7542" w14:textId="77777777" w:rsidR="008112BD" w:rsidRDefault="008112BD" w:rsidP="008112BD">
      <w:pPr>
        <w:pStyle w:val="AH5Sec"/>
      </w:pPr>
      <w:bookmarkStart w:id="1275" w:name="_Toc185514891"/>
      <w:r w:rsidRPr="00C8328B">
        <w:rPr>
          <w:rStyle w:val="CharSectNo"/>
        </w:rPr>
        <w:t>3963</w:t>
      </w:r>
      <w:r>
        <w:tab/>
        <w:t>Arbitration—award not greater than submission or payment</w:t>
      </w:r>
      <w:bookmarkEnd w:id="1275"/>
      <w:r>
        <w:t xml:space="preserve"> </w:t>
      </w:r>
    </w:p>
    <w:p w14:paraId="0ABB354E" w14:textId="77777777" w:rsidR="008112BD" w:rsidRDefault="008112BD" w:rsidP="008112BD">
      <w:pPr>
        <w:pStyle w:val="Amain"/>
      </w:pPr>
      <w:r>
        <w:tab/>
        <w:t>(1)</w:t>
      </w:r>
      <w:r>
        <w:tab/>
        <w:t>This rule applies if—</w:t>
      </w:r>
    </w:p>
    <w:p w14:paraId="4AF89A06" w14:textId="77777777" w:rsidR="008112BD" w:rsidRDefault="008112BD" w:rsidP="008112BD">
      <w:pPr>
        <w:pStyle w:val="Apara"/>
      </w:pPr>
      <w:r>
        <w:tab/>
        <w:t>(a)</w:t>
      </w:r>
      <w:r>
        <w:tab/>
        <w:t>an employer to an arbitration has submitted to an award, or paid an amount into court, and given notice under rule 3955, rule 3956 or rule 3957; and</w:t>
      </w:r>
    </w:p>
    <w:p w14:paraId="3E39A3DC" w14:textId="77777777" w:rsidR="008112BD" w:rsidRDefault="008112BD" w:rsidP="008112BD">
      <w:pPr>
        <w:pStyle w:val="Apara"/>
      </w:pPr>
      <w:r>
        <w:tab/>
        <w:t>(b)</w:t>
      </w:r>
      <w:r>
        <w:tab/>
        <w:t>the award on arbitration is not more than the amount submitted to or paid.</w:t>
      </w:r>
    </w:p>
    <w:p w14:paraId="444FF3EE" w14:textId="77777777"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14:paraId="4A4DD677" w14:textId="77777777" w:rsidR="008112BD" w:rsidRDefault="008112BD" w:rsidP="008112BD">
      <w:pPr>
        <w:pStyle w:val="Amain"/>
      </w:pPr>
      <w:r>
        <w:tab/>
        <w:t>(3)</w:t>
      </w:r>
      <w:r>
        <w:tab/>
        <w:t>The court may—</w:t>
      </w:r>
    </w:p>
    <w:p w14:paraId="27296760" w14:textId="77777777"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14:paraId="7A6FA709" w14:textId="77777777" w:rsidR="008112BD" w:rsidRDefault="008112BD" w:rsidP="008112BD">
      <w:pPr>
        <w:pStyle w:val="Apara"/>
      </w:pPr>
      <w:r>
        <w:tab/>
        <w:t>(b)</w:t>
      </w:r>
      <w:r>
        <w:tab/>
        <w:t>order that the costs be set off against any costs payable to the party or be deducted from any amount awarded to the party.</w:t>
      </w:r>
    </w:p>
    <w:p w14:paraId="28680A51" w14:textId="77777777" w:rsidR="008112BD" w:rsidRDefault="008112BD" w:rsidP="00B72E8D">
      <w:pPr>
        <w:pStyle w:val="Amain"/>
        <w:keepNext/>
      </w:pPr>
      <w:r>
        <w:tab/>
        <w:t>(4)</w:t>
      </w:r>
      <w:r>
        <w:tab/>
        <w:t>The court may also—</w:t>
      </w:r>
    </w:p>
    <w:p w14:paraId="3A609D9E" w14:textId="77777777"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14:paraId="278B8839" w14:textId="77777777" w:rsidR="008112BD" w:rsidRDefault="008112BD" w:rsidP="008112BD">
      <w:pPr>
        <w:pStyle w:val="Apara"/>
      </w:pPr>
      <w:r>
        <w:tab/>
        <w:t>(b)</w:t>
      </w:r>
      <w:r>
        <w:tab/>
        <w:t>order that the costs be set off against any costs payable to the party or be deducted from any amount awarded to the party.</w:t>
      </w:r>
    </w:p>
    <w:p w14:paraId="2EF5B3AC" w14:textId="77777777" w:rsidR="008112BD" w:rsidRPr="00C8328B" w:rsidRDefault="008112BD" w:rsidP="008112BD">
      <w:pPr>
        <w:pStyle w:val="AH3Div"/>
      </w:pPr>
      <w:bookmarkStart w:id="1276" w:name="_Toc185514892"/>
      <w:r w:rsidRPr="00C8328B">
        <w:rPr>
          <w:rStyle w:val="CharDivNo"/>
        </w:rPr>
        <w:lastRenderedPageBreak/>
        <w:t>Division 3.13.11</w:t>
      </w:r>
      <w:r>
        <w:tab/>
      </w:r>
      <w:r w:rsidRPr="00C8328B">
        <w:rPr>
          <w:rStyle w:val="CharDivText"/>
        </w:rPr>
        <w:t>Workers compensation—awards</w:t>
      </w:r>
      <w:bookmarkEnd w:id="1276"/>
    </w:p>
    <w:p w14:paraId="22FA9378" w14:textId="77777777" w:rsidR="008112BD" w:rsidRDefault="008112BD" w:rsidP="008112BD">
      <w:pPr>
        <w:pStyle w:val="AH5Sec"/>
      </w:pPr>
      <w:bookmarkStart w:id="1277" w:name="_Toc185514893"/>
      <w:r w:rsidRPr="00C8328B">
        <w:rPr>
          <w:rStyle w:val="CharSectNo"/>
        </w:rPr>
        <w:t>3964</w:t>
      </w:r>
      <w:r>
        <w:tab/>
        <w:t>Arbitration—award</w:t>
      </w:r>
      <w:bookmarkEnd w:id="1277"/>
    </w:p>
    <w:p w14:paraId="01F82F1A" w14:textId="77777777"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14:paraId="29339705" w14:textId="066563DE"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3" w:tooltip="A2004-59" w:history="1">
        <w:r w:rsidRPr="00FE0788">
          <w:rPr>
            <w:rStyle w:val="charCitHyperlinkItal"/>
          </w:rPr>
          <w:t>Court Procedures Act 2004</w:t>
        </w:r>
      </w:hyperlink>
      <w:r>
        <w:t>, s 8 for this provision, the form must be used.</w:t>
      </w:r>
    </w:p>
    <w:p w14:paraId="3B35527E" w14:textId="77777777"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14:paraId="07AA74AF" w14:textId="77777777" w:rsidR="008112BD" w:rsidRDefault="008112BD" w:rsidP="008112BD">
      <w:pPr>
        <w:pStyle w:val="Amain"/>
      </w:pPr>
      <w:r>
        <w:tab/>
        <w:t>(3)</w:t>
      </w:r>
      <w:r>
        <w:tab/>
        <w:t>Each other party to the arbitration must, not later than 7 days after the day the party receives a copy of the draft terms—</w:t>
      </w:r>
    </w:p>
    <w:p w14:paraId="314B06F0" w14:textId="77777777" w:rsidR="008112BD" w:rsidRDefault="008112BD" w:rsidP="008112BD">
      <w:pPr>
        <w:pStyle w:val="Apara"/>
      </w:pPr>
      <w:r>
        <w:tab/>
        <w:t>(a)</w:t>
      </w:r>
      <w:r>
        <w:tab/>
        <w:t>endorse the party’s agreement on the draft terms; or</w:t>
      </w:r>
    </w:p>
    <w:p w14:paraId="2655E2DB" w14:textId="77777777" w:rsidR="008112BD" w:rsidRDefault="008112BD" w:rsidP="008112BD">
      <w:pPr>
        <w:pStyle w:val="Apara"/>
      </w:pPr>
      <w:r>
        <w:tab/>
        <w:t>(b)</w:t>
      </w:r>
      <w:r>
        <w:tab/>
        <w:t>object to the draft terms.</w:t>
      </w:r>
    </w:p>
    <w:p w14:paraId="47ECB1D7" w14:textId="77777777" w:rsidR="008112BD" w:rsidRDefault="008112BD" w:rsidP="008112BD">
      <w:pPr>
        <w:pStyle w:val="Amain"/>
      </w:pPr>
      <w:r>
        <w:tab/>
        <w:t>(4)</w:t>
      </w:r>
      <w:r>
        <w:tab/>
        <w:t>If the draft terms of the award are agreed, the draft terms must be given to the registrar for making by the court.</w:t>
      </w:r>
    </w:p>
    <w:p w14:paraId="5E6F6D7B" w14:textId="77777777" w:rsidR="008112BD" w:rsidRDefault="008112BD" w:rsidP="008112BD">
      <w:pPr>
        <w:pStyle w:val="Amain"/>
        <w:keepNext/>
      </w:pPr>
      <w:r>
        <w:tab/>
        <w:t>(5)</w:t>
      </w:r>
      <w:r>
        <w:tab/>
        <w:t xml:space="preserve">A party objecting to the terms must ask the registrar to list the matter before the court. </w:t>
      </w:r>
    </w:p>
    <w:p w14:paraId="73C7E27E" w14:textId="098E7894"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4" w:tooltip="A2001-14" w:history="1">
        <w:r w:rsidRPr="00FE0788">
          <w:rPr>
            <w:rStyle w:val="charCitHyperlinkAbbrev"/>
          </w:rPr>
          <w:t>Legislation Act</w:t>
        </w:r>
      </w:hyperlink>
      <w:r>
        <w:t>, s 151B (Doing things for which no time is fixed)).</w:t>
      </w:r>
    </w:p>
    <w:p w14:paraId="564901AB" w14:textId="77777777" w:rsidR="008112BD" w:rsidRDefault="008112BD" w:rsidP="008112BD">
      <w:pPr>
        <w:pStyle w:val="Amain"/>
      </w:pPr>
      <w:r>
        <w:tab/>
        <w:t>(6)</w:t>
      </w:r>
      <w:r>
        <w:tab/>
        <w:t>After the award is made by the court, the registrar must serve a sealed copy of the award on each party to the arbitration.</w:t>
      </w:r>
    </w:p>
    <w:p w14:paraId="49D1EDBD" w14:textId="77777777" w:rsidR="008112BD" w:rsidRDefault="008112BD" w:rsidP="008112BD">
      <w:pPr>
        <w:pStyle w:val="Amain"/>
      </w:pPr>
      <w:r>
        <w:tab/>
        <w:t>(7)</w:t>
      </w:r>
      <w:r>
        <w:tab/>
        <w:t>The court may at any time correct a clerical error in an award made on an arbitration.</w:t>
      </w:r>
    </w:p>
    <w:p w14:paraId="159A45BA" w14:textId="77777777" w:rsidR="008112BD" w:rsidRDefault="008112BD" w:rsidP="008112BD">
      <w:pPr>
        <w:pStyle w:val="AH5Sec"/>
      </w:pPr>
      <w:bookmarkStart w:id="1278" w:name="_Toc185514894"/>
      <w:r w:rsidRPr="00C8328B">
        <w:rPr>
          <w:rStyle w:val="CharSectNo"/>
        </w:rPr>
        <w:lastRenderedPageBreak/>
        <w:t>3965</w:t>
      </w:r>
      <w:r>
        <w:tab/>
        <w:t>Arbitration—setting aside or amending award</w:t>
      </w:r>
      <w:bookmarkEnd w:id="1278"/>
      <w:r>
        <w:t xml:space="preserve"> </w:t>
      </w:r>
    </w:p>
    <w:p w14:paraId="5A71B0C8" w14:textId="77777777" w:rsidR="008112BD" w:rsidRDefault="008112BD" w:rsidP="008112BD">
      <w:pPr>
        <w:pStyle w:val="Amain"/>
        <w:keepNext/>
      </w:pPr>
      <w:r>
        <w:tab/>
        <w:t>(1)</w:t>
      </w:r>
      <w:r>
        <w:tab/>
        <w:t>The court may, by order, set aside or amend an award made on arbitration if satisfied that—</w:t>
      </w:r>
    </w:p>
    <w:p w14:paraId="5697DC0B" w14:textId="77777777" w:rsidR="008112BD" w:rsidRDefault="008112BD" w:rsidP="008112BD">
      <w:pPr>
        <w:pStyle w:val="Apara"/>
      </w:pPr>
      <w:r>
        <w:tab/>
        <w:t>(a)</w:t>
      </w:r>
      <w:r>
        <w:tab/>
        <w:t>the award was obtained by fraud or other improper means; or</w:t>
      </w:r>
    </w:p>
    <w:p w14:paraId="1AE187B6" w14:textId="77777777" w:rsidR="008112BD" w:rsidRDefault="008112BD" w:rsidP="008112BD">
      <w:pPr>
        <w:pStyle w:val="Apara"/>
      </w:pPr>
      <w:r>
        <w:tab/>
        <w:t>(b)</w:t>
      </w:r>
      <w:r>
        <w:tab/>
        <w:t>a person included in the award as a dependant is not a dependant; or</w:t>
      </w:r>
    </w:p>
    <w:p w14:paraId="5920124E" w14:textId="77777777" w:rsidR="008112BD" w:rsidRDefault="008112BD" w:rsidP="008112BD">
      <w:pPr>
        <w:pStyle w:val="Apara"/>
        <w:keepNext/>
      </w:pPr>
      <w:r>
        <w:tab/>
        <w:t>(c)</w:t>
      </w:r>
      <w:r>
        <w:tab/>
        <w:t>a person who is a dependant is not included in the award.</w:t>
      </w:r>
    </w:p>
    <w:p w14:paraId="3E6B1539"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14:paraId="2D1A1236" w14:textId="77777777" w:rsidR="008112BD" w:rsidRDefault="008112BD" w:rsidP="008112BD">
      <w:pPr>
        <w:pStyle w:val="Amain"/>
      </w:pPr>
      <w:r>
        <w:tab/>
        <w:t>(2)</w:t>
      </w:r>
      <w:r>
        <w:tab/>
        <w:t>The court may give directions it considers appropriate about the conduct of a proceeding to set aside or amend an award.</w:t>
      </w:r>
    </w:p>
    <w:p w14:paraId="5C3967AC" w14:textId="77777777" w:rsidR="008112BD" w:rsidRDefault="008112BD" w:rsidP="008112BD">
      <w:pPr>
        <w:pStyle w:val="Amain"/>
      </w:pPr>
      <w:r>
        <w:tab/>
        <w:t>(3)</w:t>
      </w:r>
      <w:r>
        <w:tab/>
        <w:t>The court may give the directions under subrule (2) on application by a party or on its own initiative.</w:t>
      </w:r>
    </w:p>
    <w:p w14:paraId="214B2B52" w14:textId="77777777" w:rsidR="008112BD" w:rsidRDefault="008112BD" w:rsidP="008112BD">
      <w:pPr>
        <w:pStyle w:val="Amain"/>
      </w:pPr>
      <w:r>
        <w:tab/>
        <w:t>(4)</w:t>
      </w:r>
      <w:r>
        <w:tab/>
        <w:t>In setting aside or amending an award, the court may make any order it considers just.</w:t>
      </w:r>
    </w:p>
    <w:p w14:paraId="5BC9A99A" w14:textId="77777777" w:rsidR="008112BD" w:rsidRDefault="008112BD" w:rsidP="008112BD">
      <w:pPr>
        <w:pStyle w:val="Amain"/>
      </w:pPr>
      <w:r>
        <w:tab/>
        <w:t>(5)</w:t>
      </w:r>
      <w:r>
        <w:tab/>
        <w:t>An application to set aside or amend an award must not be made more than 6 months after the date of the award without the court’s leave.</w:t>
      </w:r>
    </w:p>
    <w:p w14:paraId="627C575A" w14:textId="77777777"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14:paraId="573012CD" w14:textId="77777777" w:rsidR="008112BD" w:rsidRPr="00C8328B" w:rsidRDefault="008112BD" w:rsidP="008112BD">
      <w:pPr>
        <w:pStyle w:val="AH3Div"/>
      </w:pPr>
      <w:bookmarkStart w:id="1279" w:name="_Toc185514895"/>
      <w:r w:rsidRPr="00C8328B">
        <w:rPr>
          <w:rStyle w:val="CharDivNo"/>
        </w:rPr>
        <w:lastRenderedPageBreak/>
        <w:t>Division 3.13.12</w:t>
      </w:r>
      <w:r>
        <w:tab/>
      </w:r>
      <w:r w:rsidRPr="00C8328B">
        <w:rPr>
          <w:rStyle w:val="CharDivText"/>
        </w:rPr>
        <w:t>Workers compensation—registered agreements</w:t>
      </w:r>
      <w:bookmarkEnd w:id="1279"/>
    </w:p>
    <w:p w14:paraId="6A4E2D05" w14:textId="77777777" w:rsidR="008112BD" w:rsidRDefault="008112BD" w:rsidP="008112BD">
      <w:pPr>
        <w:pStyle w:val="AH5Sec"/>
      </w:pPr>
      <w:bookmarkStart w:id="1280" w:name="_Toc185514896"/>
      <w:r w:rsidRPr="00C8328B">
        <w:rPr>
          <w:rStyle w:val="CharSectNo"/>
        </w:rPr>
        <w:t>3966</w:t>
      </w:r>
      <w:r>
        <w:tab/>
        <w:t>Registered agreement—application for registration</w:t>
      </w:r>
      <w:bookmarkEnd w:id="1280"/>
      <w:r>
        <w:t xml:space="preserve"> </w:t>
      </w:r>
    </w:p>
    <w:p w14:paraId="5421FDE5" w14:textId="5AD899FD" w:rsidR="008112BD" w:rsidRDefault="008112BD" w:rsidP="008112BD">
      <w:pPr>
        <w:pStyle w:val="Amain"/>
        <w:keepNext/>
      </w:pPr>
      <w:r>
        <w:tab/>
        <w:t>(1)</w:t>
      </w:r>
      <w:r>
        <w:tab/>
        <w:t xml:space="preserve">This rule applies to an agreement under the </w:t>
      </w:r>
      <w:hyperlink r:id="rId545" w:tooltip="A1951-2" w:history="1">
        <w:r w:rsidRPr="00E95F50">
          <w:rPr>
            <w:rStyle w:val="charCitHyperlinkAbbrev"/>
          </w:rPr>
          <w:t>Workers Compensation Act</w:t>
        </w:r>
      </w:hyperlink>
      <w:r>
        <w:t>, part 4.7 (Registration of agreements for compensation).</w:t>
      </w:r>
    </w:p>
    <w:p w14:paraId="3716154E" w14:textId="77777777" w:rsidR="008112BD" w:rsidRDefault="008112BD" w:rsidP="008112BD">
      <w:pPr>
        <w:pStyle w:val="Amain"/>
        <w:keepNext/>
      </w:pPr>
      <w:r>
        <w:tab/>
        <w:t>(2)</w:t>
      </w:r>
      <w:r>
        <w:tab/>
        <w:t>A person who is a party to the agreement may apply to the court for registration of the agreement by filing a copy of the agreement in the court.</w:t>
      </w:r>
    </w:p>
    <w:p w14:paraId="653C2661" w14:textId="6B40BC05"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46" w:history="1">
        <w:r w:rsidRPr="007A5860">
          <w:rPr>
            <w:rStyle w:val="charCitHyperlinkAbbrev"/>
          </w:rPr>
          <w:t>AF2007</w:t>
        </w:r>
        <w:r w:rsidRPr="007A5860">
          <w:rPr>
            <w:rStyle w:val="charCitHyperlinkAbbrev"/>
          </w:rPr>
          <w:noBreakHyphen/>
          <w:t>71</w:t>
        </w:r>
      </w:hyperlink>
      <w:r>
        <w:t>.</w:t>
      </w:r>
    </w:p>
    <w:p w14:paraId="4F99374C" w14:textId="3D73F5D7" w:rsidR="008112BD" w:rsidRDefault="008112BD" w:rsidP="008112BD">
      <w:pPr>
        <w:pStyle w:val="aNote"/>
      </w:pPr>
      <w:r w:rsidRPr="00FE0788">
        <w:rPr>
          <w:rStyle w:val="charItals"/>
        </w:rPr>
        <w:t>Note 2</w:t>
      </w:r>
      <w:r w:rsidRPr="00FE0788">
        <w:rPr>
          <w:rStyle w:val="charItals"/>
        </w:rPr>
        <w:tab/>
      </w:r>
      <w:r>
        <w:t xml:space="preserve">The </w:t>
      </w:r>
      <w:hyperlink r:id="rId547" w:tooltip="A2001-14" w:history="1">
        <w:r w:rsidRPr="00FE0788">
          <w:rPr>
            <w:rStyle w:val="charCitHyperlinkAbbrev"/>
          </w:rPr>
          <w:t>Legislation Act</w:t>
        </w:r>
      </w:hyperlink>
      <w:r>
        <w:t xml:space="preserve"> provides for things to be done as soon as possible if no time is fixed (see s 151B).</w:t>
      </w:r>
    </w:p>
    <w:p w14:paraId="43EB3334" w14:textId="77777777"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14:paraId="31182E81" w14:textId="77777777" w:rsidR="008112BD" w:rsidRDefault="008112BD" w:rsidP="008112BD">
      <w:pPr>
        <w:pStyle w:val="Amain"/>
      </w:pPr>
      <w:r>
        <w:tab/>
        <w:t>(4)</w:t>
      </w:r>
      <w:r>
        <w:tab/>
        <w:t>The copy of the agreement filed or handed to the court must—</w:t>
      </w:r>
    </w:p>
    <w:p w14:paraId="07BCD1D3" w14:textId="77777777" w:rsidR="008112BD" w:rsidRDefault="008112BD" w:rsidP="008112BD">
      <w:pPr>
        <w:pStyle w:val="Apara"/>
      </w:pPr>
      <w:r>
        <w:tab/>
        <w:t>(a)</w:t>
      </w:r>
      <w:r>
        <w:tab/>
        <w:t>be signed by the injured worker, the injured worker’s representative and each other party or the party’s representative; and</w:t>
      </w:r>
    </w:p>
    <w:p w14:paraId="71CA3FA6" w14:textId="77777777" w:rsidR="008112BD" w:rsidRDefault="008112BD" w:rsidP="008112BD">
      <w:pPr>
        <w:pStyle w:val="Apara"/>
      </w:pPr>
      <w:r>
        <w:tab/>
        <w:t>(b)</w:t>
      </w:r>
      <w:r>
        <w:tab/>
        <w:t>include a statement by a lawyer that the lawyer—</w:t>
      </w:r>
    </w:p>
    <w:p w14:paraId="76F8C5C0" w14:textId="77777777" w:rsidR="008112BD" w:rsidRDefault="008112BD" w:rsidP="008112BD">
      <w:pPr>
        <w:pStyle w:val="Asubpara"/>
      </w:pPr>
      <w:r>
        <w:tab/>
        <w:t>(i)</w:t>
      </w:r>
      <w:r>
        <w:tab/>
        <w:t>has provided independent legal advice about the agreement to the injured worker; and</w:t>
      </w:r>
    </w:p>
    <w:p w14:paraId="40C76018" w14:textId="77777777"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14:paraId="3BBE509C" w14:textId="77777777" w:rsidR="008112BD" w:rsidRDefault="008112BD" w:rsidP="008112BD">
      <w:pPr>
        <w:pStyle w:val="Amain"/>
      </w:pPr>
      <w:r>
        <w:tab/>
        <w:t>(5)</w:t>
      </w:r>
      <w:r>
        <w:tab/>
        <w:t>Part 6.2 (Applications in proceedings) does not apply to the application to register the agreement.</w:t>
      </w:r>
    </w:p>
    <w:p w14:paraId="0F274CFD" w14:textId="77777777"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14:paraId="71C130FE" w14:textId="77777777" w:rsidR="008112BD" w:rsidRDefault="008112BD" w:rsidP="008112BD">
      <w:pPr>
        <w:pStyle w:val="Amain"/>
      </w:pPr>
      <w:r>
        <w:tab/>
        <w:t>(7)</w:t>
      </w:r>
      <w:r>
        <w:tab/>
        <w:t>However, at any time before registering an agreement, the court may require a party to provide additional information.</w:t>
      </w:r>
    </w:p>
    <w:p w14:paraId="1B816B20" w14:textId="77777777" w:rsidR="008112BD" w:rsidRDefault="008112BD" w:rsidP="008112BD">
      <w:pPr>
        <w:pStyle w:val="Amain"/>
      </w:pPr>
      <w:r>
        <w:tab/>
        <w:t>(8)</w:t>
      </w:r>
      <w:r>
        <w:tab/>
        <w:t>If the court registers the agreement, the registrar must give a sealed copy of the registered agreement, endorsed with the date of registration, to—</w:t>
      </w:r>
    </w:p>
    <w:p w14:paraId="4EF75F00" w14:textId="77777777" w:rsidR="008112BD" w:rsidRDefault="008112BD" w:rsidP="008112BD">
      <w:pPr>
        <w:pStyle w:val="Apara"/>
      </w:pPr>
      <w:r>
        <w:tab/>
        <w:t>(a)</w:t>
      </w:r>
      <w:r>
        <w:tab/>
        <w:t>each party to the agreement; and</w:t>
      </w:r>
    </w:p>
    <w:p w14:paraId="03045B92" w14:textId="77777777" w:rsidR="008112BD" w:rsidRDefault="008112BD" w:rsidP="008112BD">
      <w:pPr>
        <w:pStyle w:val="Apara"/>
      </w:pPr>
      <w:r>
        <w:tab/>
        <w:t>(b)</w:t>
      </w:r>
      <w:r>
        <w:tab/>
        <w:t>if applicable, any party to the arbitration who is not a party to the agreement.</w:t>
      </w:r>
    </w:p>
    <w:p w14:paraId="593997FA" w14:textId="77777777" w:rsidR="008112BD" w:rsidRDefault="008112BD" w:rsidP="008112BD">
      <w:pPr>
        <w:pStyle w:val="AH5Sec"/>
      </w:pPr>
      <w:bookmarkStart w:id="1281" w:name="_Toc185514897"/>
      <w:r w:rsidRPr="00C8328B">
        <w:rPr>
          <w:rStyle w:val="CharSectNo"/>
        </w:rPr>
        <w:t>3967</w:t>
      </w:r>
      <w:r>
        <w:tab/>
        <w:t>Registered agreement—application for amendment or cancellation</w:t>
      </w:r>
      <w:bookmarkEnd w:id="1281"/>
      <w:r>
        <w:t xml:space="preserve"> </w:t>
      </w:r>
    </w:p>
    <w:p w14:paraId="1188248C" w14:textId="5244BC9C" w:rsidR="008112BD" w:rsidRDefault="008112BD" w:rsidP="008112BD">
      <w:pPr>
        <w:pStyle w:val="Amain"/>
        <w:keepNext/>
      </w:pPr>
      <w:r>
        <w:tab/>
        <w:t>(1)</w:t>
      </w:r>
      <w:r>
        <w:tab/>
        <w:t xml:space="preserve">A party to a registered agreement may apply to the court to amend or cancel the agreement under the </w:t>
      </w:r>
      <w:hyperlink r:id="rId548" w:tooltip="A1951-2" w:history="1">
        <w:r w:rsidRPr="00E95F50">
          <w:rPr>
            <w:rStyle w:val="charCitHyperlinkAbbrev"/>
          </w:rPr>
          <w:t>Workers Compensation Act</w:t>
        </w:r>
      </w:hyperlink>
      <w:r w:rsidR="00B72E8D">
        <w:t>, section </w:t>
      </w:r>
      <w:r>
        <w:t>81 (Cancellation or amendment of registered agreements) by filing an application in the court.</w:t>
      </w:r>
    </w:p>
    <w:p w14:paraId="2EEEC75B"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14:paraId="1962C640" w14:textId="77777777" w:rsidR="008112BD" w:rsidRDefault="008112BD" w:rsidP="008112BD">
      <w:pPr>
        <w:pStyle w:val="Amain"/>
      </w:pPr>
      <w:r>
        <w:tab/>
        <w:t>(2)</w:t>
      </w:r>
      <w:r>
        <w:tab/>
        <w:t>The court may give the directions it considers appropriate about the conduct of the proceeding.</w:t>
      </w:r>
    </w:p>
    <w:p w14:paraId="7D5C5711" w14:textId="77777777" w:rsidR="008112BD" w:rsidRDefault="008112BD" w:rsidP="008112BD">
      <w:pPr>
        <w:pStyle w:val="Amain"/>
      </w:pPr>
      <w:r>
        <w:tab/>
        <w:t>(3)</w:t>
      </w:r>
      <w:r>
        <w:tab/>
        <w:t>The court may give directions under subrule (2) on application by a party or on its own initiative.</w:t>
      </w:r>
    </w:p>
    <w:p w14:paraId="5A8534DD" w14:textId="77777777" w:rsidR="008112BD" w:rsidRPr="00C8328B" w:rsidRDefault="008112BD" w:rsidP="008112BD">
      <w:pPr>
        <w:pStyle w:val="AH3Div"/>
      </w:pPr>
      <w:bookmarkStart w:id="1282" w:name="_Toc185514898"/>
      <w:r w:rsidRPr="00C8328B">
        <w:rPr>
          <w:rStyle w:val="CharDivNo"/>
        </w:rPr>
        <w:t>Division 3.13.13</w:t>
      </w:r>
      <w:r>
        <w:tab/>
      </w:r>
      <w:r w:rsidRPr="00C8328B">
        <w:rPr>
          <w:rStyle w:val="CharDivText"/>
        </w:rPr>
        <w:t>Workers compensation—costs</w:t>
      </w:r>
      <w:bookmarkEnd w:id="1282"/>
    </w:p>
    <w:p w14:paraId="4349EEB5" w14:textId="77777777" w:rsidR="008112BD" w:rsidRDefault="008112BD" w:rsidP="008112BD">
      <w:pPr>
        <w:pStyle w:val="AH5Sec"/>
      </w:pPr>
      <w:bookmarkStart w:id="1283" w:name="_Toc185514899"/>
      <w:r w:rsidRPr="00C8328B">
        <w:rPr>
          <w:rStyle w:val="CharSectNo"/>
        </w:rPr>
        <w:t>3968</w:t>
      </w:r>
      <w:r>
        <w:tab/>
        <w:t>Workers compensation costs—generally</w:t>
      </w:r>
      <w:bookmarkEnd w:id="1283"/>
      <w:r>
        <w:t xml:space="preserve"> </w:t>
      </w:r>
    </w:p>
    <w:p w14:paraId="0657693A" w14:textId="77777777"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14:paraId="626C96E2" w14:textId="77777777"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14:paraId="7AE53A82" w14:textId="77777777"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14:paraId="47028855" w14:textId="77777777"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14:paraId="47350F80" w14:textId="77777777" w:rsidR="008112BD" w:rsidRDefault="008112BD" w:rsidP="008112BD">
      <w:pPr>
        <w:pStyle w:val="Amain"/>
      </w:pPr>
      <w:r>
        <w:tab/>
        <w:t>(5)</w:t>
      </w:r>
      <w:r>
        <w:tab/>
        <w:t>Disbursements are payable in full.</w:t>
      </w:r>
    </w:p>
    <w:p w14:paraId="59A08D8C" w14:textId="77777777"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14:paraId="7F630AD9" w14:textId="77777777" w:rsidR="008112BD" w:rsidRDefault="008112BD" w:rsidP="008112BD">
      <w:pPr>
        <w:pStyle w:val="AH5Sec"/>
      </w:pPr>
      <w:bookmarkStart w:id="1284" w:name="_Toc185514900"/>
      <w:r w:rsidRPr="00C8328B">
        <w:rPr>
          <w:rStyle w:val="CharSectNo"/>
        </w:rPr>
        <w:t>3969</w:t>
      </w:r>
      <w:r>
        <w:tab/>
        <w:t>Workers compensation costs—claim against arbitration award</w:t>
      </w:r>
      <w:bookmarkEnd w:id="1284"/>
      <w:r>
        <w:t xml:space="preserve"> </w:t>
      </w:r>
    </w:p>
    <w:p w14:paraId="15A4229E" w14:textId="77777777" w:rsidR="008112BD" w:rsidRDefault="008112BD" w:rsidP="008112BD">
      <w:pPr>
        <w:pStyle w:val="Amain"/>
      </w:pPr>
      <w:r>
        <w:tab/>
        <w:t>(1)</w:t>
      </w:r>
      <w:r>
        <w:tab/>
        <w:t>This rule applies if a worker is paid an amount of compensation on arbitration.</w:t>
      </w:r>
    </w:p>
    <w:p w14:paraId="54D0BD92" w14:textId="77777777"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14:paraId="67057064" w14:textId="77777777"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14:paraId="56B58AD0" w14:textId="77777777"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14:paraId="0D9B2947" w14:textId="77777777" w:rsidR="008112BD" w:rsidRPr="00C8328B" w:rsidRDefault="008112BD" w:rsidP="008112BD">
      <w:pPr>
        <w:pStyle w:val="AH3Div"/>
      </w:pPr>
      <w:bookmarkStart w:id="1285" w:name="_Toc185514901"/>
      <w:r w:rsidRPr="00C8328B">
        <w:rPr>
          <w:rStyle w:val="CharDivNo"/>
        </w:rPr>
        <w:lastRenderedPageBreak/>
        <w:t>Division 3.13.14</w:t>
      </w:r>
      <w:r>
        <w:tab/>
      </w:r>
      <w:r w:rsidRPr="00C8328B">
        <w:rPr>
          <w:rStyle w:val="CharDivText"/>
        </w:rPr>
        <w:t>Workers compensation—appeals</w:t>
      </w:r>
      <w:bookmarkEnd w:id="1285"/>
    </w:p>
    <w:p w14:paraId="148B48DC" w14:textId="77777777" w:rsidR="008112BD" w:rsidRDefault="008112BD" w:rsidP="008112BD">
      <w:pPr>
        <w:pStyle w:val="AH5Sec"/>
      </w:pPr>
      <w:bookmarkStart w:id="1286" w:name="_Toc185514902"/>
      <w:r w:rsidRPr="00C8328B">
        <w:rPr>
          <w:rStyle w:val="CharSectNo"/>
        </w:rPr>
        <w:t>3970</w:t>
      </w:r>
      <w:r>
        <w:tab/>
        <w:t>Appeal—order of Supreme Court</w:t>
      </w:r>
      <w:bookmarkEnd w:id="1286"/>
      <w:r>
        <w:t xml:space="preserve"> </w:t>
      </w:r>
    </w:p>
    <w:p w14:paraId="3E76DF03" w14:textId="77777777" w:rsidR="008112BD" w:rsidRDefault="008112BD" w:rsidP="008112BD">
      <w:pPr>
        <w:pStyle w:val="Amain"/>
      </w:pPr>
      <w:r>
        <w:tab/>
        <w:t>(1)</w:t>
      </w:r>
      <w:r>
        <w:tab/>
        <w:t>This rule applies if an order is made by the Supreme Court on an appeal from a decision or award of the Magistrates Court in an arbitration.</w:t>
      </w:r>
    </w:p>
    <w:p w14:paraId="71564DAE" w14:textId="77777777" w:rsidR="008112BD" w:rsidRDefault="008112BD" w:rsidP="008112BD">
      <w:pPr>
        <w:pStyle w:val="Amain"/>
        <w:keepNext/>
      </w:pPr>
      <w:r>
        <w:tab/>
        <w:t>(2)</w:t>
      </w:r>
      <w:r>
        <w:tab/>
        <w:t>A party may file a sealed copy of the order in the Magistrates Court.</w:t>
      </w:r>
    </w:p>
    <w:p w14:paraId="16EEF304" w14:textId="75A2DEFD" w:rsidR="008112BD" w:rsidRDefault="008112BD" w:rsidP="008112BD">
      <w:pPr>
        <w:pStyle w:val="aNote"/>
      </w:pPr>
      <w:r w:rsidRPr="00FE0788">
        <w:rPr>
          <w:rStyle w:val="charItals"/>
        </w:rPr>
        <w:t>Note</w:t>
      </w:r>
      <w:r w:rsidRPr="00FE0788">
        <w:rPr>
          <w:rStyle w:val="charItals"/>
        </w:rPr>
        <w:tab/>
      </w:r>
      <w:r>
        <w:t xml:space="preserve">The </w:t>
      </w:r>
      <w:hyperlink r:id="rId549" w:tooltip="A2001-14" w:history="1">
        <w:r w:rsidRPr="00FE0788">
          <w:rPr>
            <w:rStyle w:val="charCitHyperlinkAbbrev"/>
          </w:rPr>
          <w:t>Legislation Act</w:t>
        </w:r>
      </w:hyperlink>
      <w:r>
        <w:t xml:space="preserve"> provides for things to be done as soon as possible if no time is fixed (see s 151B).</w:t>
      </w:r>
    </w:p>
    <w:p w14:paraId="67ED9C05" w14:textId="77777777"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14:paraId="2187552B" w14:textId="77777777" w:rsidR="008112BD" w:rsidRDefault="008112BD" w:rsidP="008112BD">
      <w:pPr>
        <w:pStyle w:val="Amain"/>
      </w:pPr>
      <w:r>
        <w:tab/>
        <w:t>(4)</w:t>
      </w:r>
      <w:r>
        <w:tab/>
        <w:t>If the order requires an award be made in favour of a party, the Magistrates Court must make the award.</w:t>
      </w:r>
    </w:p>
    <w:p w14:paraId="5FDB14EE" w14:textId="77777777" w:rsidR="008112BD" w:rsidRDefault="008112BD" w:rsidP="008112BD">
      <w:pPr>
        <w:pStyle w:val="Amain"/>
      </w:pPr>
      <w:r>
        <w:tab/>
        <w:t>(5)</w:t>
      </w:r>
      <w:r>
        <w:tab/>
        <w:t>If the judgment directs a re-hearing or further hearing of the arbitration, the registrar of the Magistrates Court must—</w:t>
      </w:r>
    </w:p>
    <w:p w14:paraId="72BEE525" w14:textId="77777777" w:rsidR="008112BD" w:rsidRDefault="008112BD" w:rsidP="008112BD">
      <w:pPr>
        <w:pStyle w:val="Apara"/>
      </w:pPr>
      <w:r>
        <w:tab/>
        <w:t>(a)</w:t>
      </w:r>
      <w:r>
        <w:tab/>
        <w:t>set a date for directions; and</w:t>
      </w:r>
    </w:p>
    <w:p w14:paraId="2069B1DB" w14:textId="77777777" w:rsidR="008112BD" w:rsidRDefault="008112BD" w:rsidP="008112BD">
      <w:pPr>
        <w:pStyle w:val="Apara"/>
      </w:pPr>
      <w:r>
        <w:tab/>
        <w:t>(b)</w:t>
      </w:r>
      <w:r>
        <w:tab/>
        <w:t>tell the parties the date for directions.</w:t>
      </w:r>
    </w:p>
    <w:p w14:paraId="11D8EA50" w14:textId="77777777" w:rsidR="008112BD" w:rsidRDefault="008112BD" w:rsidP="008112BD">
      <w:pPr>
        <w:pStyle w:val="Amain"/>
      </w:pPr>
      <w:r>
        <w:tab/>
        <w:t>(6)</w:t>
      </w:r>
      <w:r>
        <w:tab/>
        <w:t>The Magistrates Court must make any other direction, decision or award that is necessary to give effect to the order.</w:t>
      </w:r>
    </w:p>
    <w:p w14:paraId="49A1CB0A" w14:textId="77777777" w:rsidR="008112BD" w:rsidRDefault="008112BD" w:rsidP="008112BD">
      <w:pPr>
        <w:pStyle w:val="PageBreak"/>
      </w:pPr>
      <w:r>
        <w:br w:type="page"/>
      </w:r>
    </w:p>
    <w:p w14:paraId="5EF71F83" w14:textId="77777777" w:rsidR="008112BD" w:rsidRPr="00C8328B" w:rsidRDefault="008112BD" w:rsidP="008112BD">
      <w:pPr>
        <w:pStyle w:val="AH1Chapter"/>
      </w:pPr>
      <w:bookmarkStart w:id="1287" w:name="_Toc185514903"/>
      <w:r w:rsidRPr="00C8328B">
        <w:rPr>
          <w:rStyle w:val="CharChapNo"/>
        </w:rPr>
        <w:lastRenderedPageBreak/>
        <w:t>Chapter 4</w:t>
      </w:r>
      <w:r>
        <w:tab/>
      </w:r>
      <w:r w:rsidRPr="00C8328B">
        <w:rPr>
          <w:rStyle w:val="CharChapText"/>
        </w:rPr>
        <w:t>Criminal proceedings</w:t>
      </w:r>
      <w:bookmarkEnd w:id="1287"/>
    </w:p>
    <w:p w14:paraId="4980DF79" w14:textId="77777777" w:rsidR="008112BD" w:rsidRPr="00C8328B" w:rsidRDefault="008112BD" w:rsidP="008112BD">
      <w:pPr>
        <w:pStyle w:val="AH2Part"/>
      </w:pPr>
      <w:bookmarkStart w:id="1288" w:name="_Toc185514904"/>
      <w:r w:rsidRPr="00C8328B">
        <w:rPr>
          <w:rStyle w:val="CharPartNo"/>
        </w:rPr>
        <w:t>Part 4.1</w:t>
      </w:r>
      <w:r>
        <w:tab/>
      </w:r>
      <w:r w:rsidRPr="00C8328B">
        <w:rPr>
          <w:rStyle w:val="CharPartText"/>
        </w:rPr>
        <w:t>Criminal proceedings—general</w:t>
      </w:r>
      <w:bookmarkEnd w:id="1288"/>
    </w:p>
    <w:p w14:paraId="133F0320" w14:textId="77777777" w:rsidR="00334F73" w:rsidRPr="00F13970" w:rsidRDefault="00334F73" w:rsidP="00334F73">
      <w:pPr>
        <w:pStyle w:val="AH3Div"/>
        <w:rPr>
          <w:lang w:eastAsia="en-AU"/>
        </w:rPr>
      </w:pPr>
      <w:bookmarkStart w:id="1289" w:name="_Toc185514905"/>
      <w:r w:rsidRPr="00A532CE">
        <w:rPr>
          <w:rStyle w:val="CharDivNo"/>
        </w:rPr>
        <w:t>Division 4.1.1A</w:t>
      </w:r>
      <w:r w:rsidRPr="00F13970">
        <w:rPr>
          <w:rStyle w:val="chardivtext0"/>
          <w:rFonts w:cs="Arial"/>
          <w:color w:val="000000"/>
          <w:szCs w:val="28"/>
        </w:rPr>
        <w:tab/>
        <w:t>Criminal proceedings—representation</w:t>
      </w:r>
      <w:bookmarkEnd w:id="1289"/>
    </w:p>
    <w:p w14:paraId="73679460" w14:textId="77777777" w:rsidR="00334F73" w:rsidRPr="00F13970" w:rsidRDefault="00334F73" w:rsidP="00334F73">
      <w:pPr>
        <w:pStyle w:val="AH5Sec"/>
      </w:pPr>
      <w:bookmarkStart w:id="1290" w:name="_Toc185514906"/>
      <w:r w:rsidRPr="001C2F77">
        <w:rPr>
          <w:rStyle w:val="CharSectno0"/>
        </w:rPr>
        <w:t>4000A</w:t>
      </w:r>
      <w:r w:rsidRPr="00F13970">
        <w:rPr>
          <w:rStyle w:val="charsectno1"/>
          <w:rFonts w:cs="Arial"/>
          <w:color w:val="000000"/>
        </w:rPr>
        <w:tab/>
      </w:r>
      <w:r w:rsidRPr="00F13970">
        <w:t>Definitions—div 4.1.1A</w:t>
      </w:r>
      <w:bookmarkEnd w:id="1290"/>
    </w:p>
    <w:p w14:paraId="67B41817" w14:textId="77777777" w:rsidR="00334F73" w:rsidRPr="00F13970" w:rsidRDefault="00334F73" w:rsidP="00334F73">
      <w:pPr>
        <w:pStyle w:val="amainreturn0"/>
        <w:shd w:val="clear" w:color="auto" w:fill="FFFFFF"/>
        <w:spacing w:before="140" w:beforeAutospacing="0" w:after="0" w:afterAutospacing="0"/>
        <w:ind w:left="1100"/>
        <w:jc w:val="both"/>
        <w:rPr>
          <w:color w:val="000000"/>
        </w:rPr>
      </w:pPr>
      <w:r w:rsidRPr="00F13970">
        <w:rPr>
          <w:color w:val="000000"/>
        </w:rPr>
        <w:t>In this division:</w:t>
      </w:r>
    </w:p>
    <w:p w14:paraId="030D15E2" w14:textId="77777777" w:rsidR="00334F73" w:rsidRPr="00F13970" w:rsidRDefault="00334F73" w:rsidP="00334F73">
      <w:pPr>
        <w:pStyle w:val="aDef"/>
      </w:pPr>
      <w:r w:rsidRPr="005E6481">
        <w:rPr>
          <w:rStyle w:val="charBoldItals"/>
        </w:rPr>
        <w:t>accused person</w:t>
      </w:r>
      <w:r w:rsidRPr="00F13970">
        <w:rPr>
          <w:rStyle w:val="charbolditals0"/>
          <w:color w:val="000000"/>
        </w:rPr>
        <w:t xml:space="preserve"> </w:t>
      </w:r>
      <w:r w:rsidRPr="00F13970">
        <w:t>means—</w:t>
      </w:r>
    </w:p>
    <w:p w14:paraId="280D2551" w14:textId="77777777" w:rsidR="00334F73" w:rsidRPr="00F13970" w:rsidRDefault="00334F73" w:rsidP="00334F73">
      <w:pPr>
        <w:pStyle w:val="aDefpara"/>
        <w:rPr>
          <w:lang w:eastAsia="en-AU"/>
        </w:rPr>
      </w:pPr>
      <w:r>
        <w:tab/>
      </w:r>
      <w:r w:rsidRPr="00F13970">
        <w:t>(a)</w:t>
      </w:r>
      <w:r w:rsidRPr="00F13970">
        <w:tab/>
        <w:t>a person charged with an indictable offence—</w:t>
      </w:r>
    </w:p>
    <w:p w14:paraId="1B5D6055" w14:textId="77777777" w:rsidR="00334F73" w:rsidRPr="00F13970" w:rsidRDefault="00334F73" w:rsidP="00334F73">
      <w:pPr>
        <w:pStyle w:val="aDefsubpara"/>
      </w:pPr>
      <w:r>
        <w:tab/>
      </w:r>
      <w:r w:rsidRPr="00F13970">
        <w:t>(i)</w:t>
      </w:r>
      <w:r w:rsidRPr="00F13970">
        <w:tab/>
        <w:t>who is committed to the Supreme Court for trial or sentence; or</w:t>
      </w:r>
    </w:p>
    <w:p w14:paraId="6845676E" w14:textId="77777777" w:rsidR="00334F73" w:rsidRPr="00F13970" w:rsidRDefault="00334F73" w:rsidP="00334F73">
      <w:pPr>
        <w:pStyle w:val="aDefsubpara"/>
      </w:pPr>
      <w:r w:rsidRPr="00F13970">
        <w:tab/>
        <w:t>(ii)</w:t>
      </w:r>
      <w:r w:rsidRPr="00F13970">
        <w:tab/>
        <w:t>for whom an indictment has been filed in the Supreme Court; or</w:t>
      </w:r>
    </w:p>
    <w:p w14:paraId="499DDCE6" w14:textId="77777777" w:rsidR="00334F73" w:rsidRPr="00F13970" w:rsidRDefault="00334F73" w:rsidP="00334F73">
      <w:pPr>
        <w:pStyle w:val="aDefpara"/>
      </w:pPr>
      <w:r w:rsidRPr="00F13970">
        <w:tab/>
        <w:t>(b)</w:t>
      </w:r>
      <w:r w:rsidRPr="00F13970">
        <w:tab/>
        <w:t>a defendant.</w:t>
      </w:r>
    </w:p>
    <w:p w14:paraId="483039A6" w14:textId="77777777" w:rsidR="00334F73" w:rsidRPr="00F13970" w:rsidRDefault="00334F73" w:rsidP="00334F73">
      <w:pPr>
        <w:pStyle w:val="aDef"/>
        <w:rPr>
          <w:color w:val="000000"/>
        </w:rPr>
      </w:pPr>
      <w:r w:rsidRPr="005E6481">
        <w:rPr>
          <w:rStyle w:val="charBoldItals"/>
        </w:rPr>
        <w:t>criminal proceeding</w:t>
      </w:r>
      <w:r w:rsidRPr="00F13970">
        <w:rPr>
          <w:rStyle w:val="charbolditals0"/>
          <w:color w:val="000000"/>
        </w:rPr>
        <w:t>, in relation to a proceeding in the Supreme Court,</w:t>
      </w:r>
      <w:r w:rsidRPr="00F13970">
        <w:rPr>
          <w:color w:val="000000"/>
        </w:rPr>
        <w:t xml:space="preserve"> does not include an application in relation to bail.</w:t>
      </w:r>
    </w:p>
    <w:p w14:paraId="7D2063D3" w14:textId="77777777" w:rsidR="00334F73" w:rsidRPr="00F13970" w:rsidRDefault="00334F73" w:rsidP="00334F73">
      <w:pPr>
        <w:pStyle w:val="aNote"/>
      </w:pPr>
      <w:r w:rsidRPr="005E6481">
        <w:rPr>
          <w:rStyle w:val="charItals"/>
        </w:rPr>
        <w:t>Note</w:t>
      </w:r>
      <w:r w:rsidRPr="005E6481">
        <w:rPr>
          <w:rStyle w:val="charItals"/>
        </w:rPr>
        <w:tab/>
      </w:r>
      <w:r w:rsidRPr="00F13970">
        <w:t>See also dict, def</w:t>
      </w:r>
      <w:r>
        <w:t xml:space="preserve"> </w:t>
      </w:r>
      <w:r w:rsidRPr="005E6481">
        <w:rPr>
          <w:rStyle w:val="charBoldItals"/>
        </w:rPr>
        <w:t>criminal proceeding</w:t>
      </w:r>
      <w:r w:rsidRPr="00F13970">
        <w:t>.</w:t>
      </w:r>
    </w:p>
    <w:p w14:paraId="5EA2A3A4" w14:textId="77777777" w:rsidR="00334F73" w:rsidRPr="00F13970" w:rsidRDefault="00334F73" w:rsidP="00334F73">
      <w:pPr>
        <w:pStyle w:val="aDef"/>
        <w:rPr>
          <w:color w:val="000000"/>
          <w:shd w:val="clear" w:color="auto" w:fill="FFFFFF"/>
        </w:rPr>
      </w:pPr>
      <w:r w:rsidRPr="005E6481">
        <w:rPr>
          <w:rStyle w:val="charBoldItals"/>
        </w:rPr>
        <w:t>defendant</w:t>
      </w:r>
      <w:r w:rsidRPr="00F13970">
        <w:rPr>
          <w:color w:val="000000"/>
          <w:shd w:val="clear" w:color="auto" w:fill="FFFFFF"/>
        </w:rPr>
        <w:t xml:space="preserve"> means a person against whom an information is laid.</w:t>
      </w:r>
    </w:p>
    <w:p w14:paraId="206CAC83" w14:textId="77777777" w:rsidR="00334F73" w:rsidRPr="00F13970" w:rsidRDefault="00334F73" w:rsidP="00334F73">
      <w:pPr>
        <w:pStyle w:val="AH5Sec"/>
      </w:pPr>
      <w:bookmarkStart w:id="1291" w:name="_Toc185514907"/>
      <w:r w:rsidRPr="00A532CE">
        <w:rPr>
          <w:rStyle w:val="CharSectNo"/>
        </w:rPr>
        <w:t>4000B</w:t>
      </w:r>
      <w:r w:rsidRPr="00F13970">
        <w:tab/>
        <w:t>Criminal proceedings—notice of solicitor acting</w:t>
      </w:r>
      <w:bookmarkEnd w:id="1291"/>
    </w:p>
    <w:p w14:paraId="0422E094" w14:textId="77777777" w:rsidR="00334F73" w:rsidRPr="00F13970" w:rsidRDefault="00334F73" w:rsidP="00334F73">
      <w:pPr>
        <w:pStyle w:val="Amain"/>
      </w:pPr>
      <w:r w:rsidRPr="00F13970">
        <w:tab/>
        <w:t>(1)</w:t>
      </w:r>
      <w:r w:rsidRPr="00F13970">
        <w:tab/>
        <w:t>If a solicitor is acting for an accused person in a criminal proceeding in a court, the solicitor must, as soon as practicable, but not later than 14</w:t>
      </w:r>
      <w:r>
        <w:t> </w:t>
      </w:r>
      <w:r w:rsidRPr="00F13970">
        <w:t>days after the day the solicitor begins acting—</w:t>
      </w:r>
    </w:p>
    <w:p w14:paraId="490E5014" w14:textId="77777777" w:rsidR="00334F73" w:rsidRPr="00F13970" w:rsidRDefault="00334F73" w:rsidP="00334F73">
      <w:pPr>
        <w:pStyle w:val="Apara"/>
      </w:pPr>
      <w:r w:rsidRPr="00F13970">
        <w:tab/>
        <w:t>(a)</w:t>
      </w:r>
      <w:r w:rsidRPr="00F13970">
        <w:tab/>
        <w:t>file with the court a notice that the solicitor is acting for the accused person; and</w:t>
      </w:r>
    </w:p>
    <w:p w14:paraId="4522DF97" w14:textId="77777777" w:rsidR="00334F73" w:rsidRPr="00F13970" w:rsidRDefault="00334F73" w:rsidP="00334F73">
      <w:pPr>
        <w:pStyle w:val="Apara"/>
        <w:rPr>
          <w:szCs w:val="24"/>
        </w:rPr>
      </w:pPr>
      <w:r w:rsidRPr="00F13970">
        <w:tab/>
        <w:t>(b)</w:t>
      </w:r>
      <w:r w:rsidRPr="00F13970">
        <w:tab/>
        <w:t>serve a stamped copy of the notice on—</w:t>
      </w:r>
    </w:p>
    <w:p w14:paraId="65E872E7" w14:textId="77777777" w:rsidR="00334F73" w:rsidRPr="00F13970" w:rsidRDefault="00334F73" w:rsidP="00334F73">
      <w:pPr>
        <w:pStyle w:val="Asubpara"/>
      </w:pPr>
      <w:r w:rsidRPr="00F13970">
        <w:tab/>
        <w:t>(i)</w:t>
      </w:r>
      <w:r w:rsidRPr="00F13970">
        <w:tab/>
        <w:t>the director of public prosecutions; and</w:t>
      </w:r>
    </w:p>
    <w:p w14:paraId="218CF9F6" w14:textId="77777777" w:rsidR="00334F73" w:rsidRPr="00F13970" w:rsidRDefault="00334F73" w:rsidP="00334F73">
      <w:pPr>
        <w:pStyle w:val="Asubpara"/>
      </w:pPr>
      <w:r w:rsidRPr="00F13970">
        <w:lastRenderedPageBreak/>
        <w:tab/>
        <w:t>(ii)</w:t>
      </w:r>
      <w:r w:rsidRPr="00F13970">
        <w:tab/>
        <w:t>any solicitor who was acting for the accused person immediately before the notice was filed.</w:t>
      </w:r>
    </w:p>
    <w:p w14:paraId="385E1760" w14:textId="77777777" w:rsidR="00334F73" w:rsidRPr="00F13970" w:rsidRDefault="00334F73" w:rsidP="00334F73">
      <w:pPr>
        <w:pStyle w:val="aNote"/>
      </w:pPr>
      <w:r w:rsidRPr="005E6481">
        <w:rPr>
          <w:rStyle w:val="charItals"/>
        </w:rPr>
        <w:t>Note</w:t>
      </w:r>
      <w:r w:rsidRPr="005E6481">
        <w:rPr>
          <w:rStyle w:val="charItals"/>
        </w:rPr>
        <w:tab/>
      </w:r>
      <w:r w:rsidRPr="00F13970">
        <w:t>See the following approved forms:</w:t>
      </w:r>
    </w:p>
    <w:p w14:paraId="0CB3A2E2" w14:textId="45523A0B" w:rsidR="00334F73" w:rsidRPr="00F13970" w:rsidRDefault="00334F73" w:rsidP="00334F73">
      <w:pPr>
        <w:pStyle w:val="aNotePara"/>
      </w:pPr>
      <w:r w:rsidRPr="00F13970">
        <w:tab/>
        <w:t>(a)</w:t>
      </w:r>
      <w:r w:rsidRPr="00F13970">
        <w:tab/>
        <w:t>approved form 4.4 (Supreme Court criminal proceeding—notice of solicitor acting)</w:t>
      </w:r>
      <w:r>
        <w:t xml:space="preserve"> </w:t>
      </w:r>
      <w:hyperlink r:id="rId550" w:history="1">
        <w:r w:rsidR="00713A4F">
          <w:rPr>
            <w:rStyle w:val="charCitHyperlinkAbbrev"/>
          </w:rPr>
          <w:t>AF2024-26</w:t>
        </w:r>
      </w:hyperlink>
      <w:r>
        <w:rPr>
          <w:rStyle w:val="charCitHyperlinkAbbrev"/>
        </w:rPr>
        <w:t>;</w:t>
      </w:r>
    </w:p>
    <w:p w14:paraId="627C65E2" w14:textId="7CC6C644" w:rsidR="00334F73" w:rsidRPr="00F13970" w:rsidRDefault="00334F73" w:rsidP="00334F73">
      <w:pPr>
        <w:pStyle w:val="aNotePara"/>
      </w:pPr>
      <w:r w:rsidRPr="00F13970">
        <w:tab/>
        <w:t>(b)</w:t>
      </w:r>
      <w:r w:rsidRPr="00F13970">
        <w:tab/>
        <w:t xml:space="preserve">approved form 4.4A (Magistrates Court criminal proceeding—notice of solicitor acting) </w:t>
      </w:r>
      <w:hyperlink r:id="rId551" w:history="1">
        <w:r w:rsidR="00713A4F">
          <w:rPr>
            <w:rStyle w:val="charCitHyperlinkAbbrev"/>
          </w:rPr>
          <w:t>AF2024-27</w:t>
        </w:r>
      </w:hyperlink>
      <w:r>
        <w:rPr>
          <w:rStyle w:val="charCitHyperlinkAbbrev"/>
        </w:rPr>
        <w:t>;</w:t>
      </w:r>
    </w:p>
    <w:p w14:paraId="595D6844" w14:textId="56D03275" w:rsidR="00334F73" w:rsidRPr="00F13970" w:rsidRDefault="00334F73" w:rsidP="00334F73">
      <w:pPr>
        <w:pStyle w:val="aNotePara"/>
      </w:pPr>
      <w:r w:rsidRPr="00F13970">
        <w:tab/>
        <w:t>(c)</w:t>
      </w:r>
      <w:r w:rsidRPr="00F13970">
        <w:tab/>
        <w:t xml:space="preserve">approved form 4.5 (Supreme Court criminal proceeding—notice of change of solicitor) </w:t>
      </w:r>
      <w:hyperlink r:id="rId552" w:history="1">
        <w:r w:rsidR="00713A4F">
          <w:rPr>
            <w:rStyle w:val="charCitHyperlinkAbbrev"/>
          </w:rPr>
          <w:t>AF2024-28</w:t>
        </w:r>
      </w:hyperlink>
      <w:r>
        <w:rPr>
          <w:rStyle w:val="charCitHyperlinkAbbrev"/>
        </w:rPr>
        <w:t>;</w:t>
      </w:r>
    </w:p>
    <w:p w14:paraId="6F75D862" w14:textId="25588EE6" w:rsidR="00334F73" w:rsidRPr="00F13970" w:rsidRDefault="00334F73" w:rsidP="00334F73">
      <w:pPr>
        <w:pStyle w:val="aNotePara"/>
      </w:pPr>
      <w:r w:rsidRPr="00F13970">
        <w:tab/>
        <w:t>(d)</w:t>
      </w:r>
      <w:r w:rsidRPr="00F13970">
        <w:tab/>
        <w:t xml:space="preserve">approved form 4.5A (Magistrates Court criminal proceeding—notice of change of solicitor) </w:t>
      </w:r>
      <w:hyperlink r:id="rId553" w:history="1">
        <w:r w:rsidR="00AC7832">
          <w:rPr>
            <w:rStyle w:val="charCitHyperlinkAbbrev"/>
          </w:rPr>
          <w:t>AF2024-29</w:t>
        </w:r>
      </w:hyperlink>
      <w:r>
        <w:rPr>
          <w:rStyle w:val="charCitHyperlinkAbbrev"/>
        </w:rPr>
        <w:t>.</w:t>
      </w:r>
    </w:p>
    <w:p w14:paraId="16FB2615" w14:textId="77777777" w:rsidR="00334F73" w:rsidRPr="00F13970" w:rsidRDefault="00334F73" w:rsidP="00334F73">
      <w:pPr>
        <w:pStyle w:val="Amain"/>
      </w:pPr>
      <w:r w:rsidRPr="00F13970">
        <w:tab/>
        <w:t>(2)</w:t>
      </w:r>
      <w:r w:rsidRPr="00F13970">
        <w:tab/>
        <w:t>For subsection (1) (a), if a person charged with an indictable offence is committed to the Supreme Court for trial or sentence, the solicitor acting for the accused person in that proceeding must file a notice with the Supreme Court even if the solicitor previously filed a notice with the Magistrates Court.</w:t>
      </w:r>
    </w:p>
    <w:p w14:paraId="3BF0BE7C" w14:textId="77777777" w:rsidR="00334F73" w:rsidRPr="00F13970" w:rsidRDefault="00334F73" w:rsidP="00334F73">
      <w:pPr>
        <w:pStyle w:val="Amain"/>
      </w:pPr>
      <w:r w:rsidRPr="00F13970">
        <w:tab/>
        <w:t>(3)</w:t>
      </w:r>
      <w:r w:rsidRPr="00F13970">
        <w:tab/>
        <w:t>A notice under subrule</w:t>
      </w:r>
      <w:r>
        <w:t xml:space="preserve"> </w:t>
      </w:r>
      <w:r w:rsidRPr="00F13970">
        <w:t>(1) must include an address for service.</w:t>
      </w:r>
    </w:p>
    <w:p w14:paraId="1DC86022" w14:textId="77777777" w:rsidR="00334F73" w:rsidRPr="00F13970" w:rsidRDefault="00334F73" w:rsidP="00334F73">
      <w:pPr>
        <w:pStyle w:val="Amain"/>
      </w:pPr>
      <w:r w:rsidRPr="00F13970">
        <w:tab/>
        <w:t>(4)</w:t>
      </w:r>
      <w:r w:rsidRPr="00F13970">
        <w:tab/>
        <w:t>If a solicitor acts for 2 or more accused people in the same criminal proceeding, the solicitor may file a single notice under subrule</w:t>
      </w:r>
      <w:r>
        <w:t xml:space="preserve"> </w:t>
      </w:r>
      <w:r w:rsidRPr="00F13970">
        <w:t>(1) that lists all the people the solicitor acts for in the proceeding.</w:t>
      </w:r>
    </w:p>
    <w:p w14:paraId="2B1CBDF6" w14:textId="77777777" w:rsidR="00334F73" w:rsidRPr="00F13970" w:rsidRDefault="00334F73" w:rsidP="00334F73">
      <w:pPr>
        <w:pStyle w:val="Amain"/>
      </w:pPr>
      <w:r w:rsidRPr="00F13970">
        <w:tab/>
        <w:t>(5)</w:t>
      </w:r>
      <w:r w:rsidRPr="00F13970">
        <w:tab/>
        <w:t>To remove any doubt, an accused person may, at any stage of a criminal proceeding and without an order being made by the court, instruct another solicitor to act for them in place of the solicitor who is on the record for them in the proceeding.</w:t>
      </w:r>
    </w:p>
    <w:p w14:paraId="08B05665" w14:textId="77777777" w:rsidR="00334F73" w:rsidRPr="00F13970" w:rsidRDefault="00334F73" w:rsidP="00334F73">
      <w:pPr>
        <w:pStyle w:val="Amain"/>
      </w:pPr>
      <w:r w:rsidRPr="00F13970">
        <w:tab/>
        <w:t>(6)</w:t>
      </w:r>
      <w:r w:rsidRPr="00F13970">
        <w:tab/>
        <w:t>If a solicitor files and serves a notice under subrule</w:t>
      </w:r>
      <w:r>
        <w:t xml:space="preserve"> </w:t>
      </w:r>
      <w:r w:rsidRPr="00F13970">
        <w:t>(1), the solicitor is taken to act for the accused person until—</w:t>
      </w:r>
    </w:p>
    <w:p w14:paraId="6FEF13DD" w14:textId="77777777" w:rsidR="00334F73" w:rsidRPr="00F13970" w:rsidRDefault="00334F73" w:rsidP="00334F73">
      <w:pPr>
        <w:pStyle w:val="Apara"/>
      </w:pPr>
      <w:r w:rsidRPr="00F13970">
        <w:tab/>
        <w:t>(a)</w:t>
      </w:r>
      <w:r w:rsidRPr="00F13970">
        <w:tab/>
        <w:t>another solicitor—</w:t>
      </w:r>
    </w:p>
    <w:p w14:paraId="41DA07CF" w14:textId="77777777" w:rsidR="00334F73" w:rsidRPr="00F13970" w:rsidRDefault="00334F73" w:rsidP="00334F73">
      <w:pPr>
        <w:pStyle w:val="Asubpara"/>
      </w:pPr>
      <w:r w:rsidRPr="00F13970">
        <w:tab/>
        <w:t>(i)</w:t>
      </w:r>
      <w:r w:rsidRPr="00F13970">
        <w:tab/>
        <w:t>files a notice under subrule (1) (a); and</w:t>
      </w:r>
    </w:p>
    <w:p w14:paraId="646A7A39" w14:textId="77777777" w:rsidR="00334F73" w:rsidRPr="00F13970" w:rsidRDefault="00334F73" w:rsidP="00334F73">
      <w:pPr>
        <w:pStyle w:val="Asubpara"/>
      </w:pPr>
      <w:r w:rsidRPr="00F13970">
        <w:tab/>
        <w:t>(ii)</w:t>
      </w:r>
      <w:r w:rsidRPr="00F13970">
        <w:tab/>
        <w:t>serves a stamped copy of the notice in accordance with subrule</w:t>
      </w:r>
      <w:r>
        <w:t> </w:t>
      </w:r>
      <w:r w:rsidRPr="00F13970">
        <w:t xml:space="preserve">(1) (b); or </w:t>
      </w:r>
    </w:p>
    <w:p w14:paraId="63DFB75E" w14:textId="77777777" w:rsidR="00334F73" w:rsidRPr="00F13970" w:rsidRDefault="00334F73" w:rsidP="00334F73">
      <w:pPr>
        <w:pStyle w:val="Apara"/>
      </w:pPr>
      <w:r w:rsidRPr="00F13970">
        <w:lastRenderedPageBreak/>
        <w:tab/>
        <w:t>(b)</w:t>
      </w:r>
      <w:r w:rsidRPr="00F13970">
        <w:tab/>
        <w:t>the solicitor files a notice under rule 4000C and serves a stamped copy of the notice in accordance with that rule; or</w:t>
      </w:r>
    </w:p>
    <w:p w14:paraId="188A891D" w14:textId="77777777" w:rsidR="00334F73" w:rsidRPr="00F13970" w:rsidRDefault="00334F73" w:rsidP="00334F73">
      <w:pPr>
        <w:pStyle w:val="Apara"/>
      </w:pPr>
      <w:r w:rsidRPr="00F13970">
        <w:tab/>
        <w:t>(c)</w:t>
      </w:r>
      <w:r w:rsidRPr="00F13970">
        <w:tab/>
        <w:t>the court makes an order under rule 4000E that the solicitor’s name be removed from the record; or</w:t>
      </w:r>
    </w:p>
    <w:p w14:paraId="15BAC999" w14:textId="25347070" w:rsidR="00334F73" w:rsidRPr="00F13970" w:rsidRDefault="00334F73" w:rsidP="00334F73">
      <w:pPr>
        <w:pStyle w:val="Apara"/>
      </w:pPr>
      <w:r w:rsidRPr="00F13970">
        <w:tab/>
        <w:t>(d)</w:t>
      </w:r>
      <w:r w:rsidRPr="00F13970">
        <w:tab/>
        <w:t xml:space="preserve">the solicitor’s name is removed from the local roll under the </w:t>
      </w:r>
      <w:hyperlink r:id="rId554" w:tooltip="A2006-25" w:history="1">
        <w:r w:rsidRPr="005E6481">
          <w:rPr>
            <w:rStyle w:val="charCitHyperlinkItal"/>
          </w:rPr>
          <w:t>Legal Profession Act 2006</w:t>
        </w:r>
      </w:hyperlink>
      <w:r w:rsidRPr="00F13970">
        <w:t>; or</w:t>
      </w:r>
    </w:p>
    <w:p w14:paraId="39D49E91" w14:textId="53044DCF" w:rsidR="00334F73" w:rsidRPr="00F13970" w:rsidRDefault="00334F73" w:rsidP="00334F73">
      <w:pPr>
        <w:pStyle w:val="Apara"/>
      </w:pPr>
      <w:r w:rsidRPr="00F13970">
        <w:tab/>
        <w:t>(e)</w:t>
      </w:r>
      <w:r w:rsidRPr="00F13970">
        <w:tab/>
        <w:t xml:space="preserve">a solicitor’s local practising certificate under the </w:t>
      </w:r>
      <w:hyperlink r:id="rId555" w:tooltip="A2006-25" w:history="1">
        <w:r w:rsidRPr="005E6481">
          <w:rPr>
            <w:rStyle w:val="charCitHyperlinkItal"/>
          </w:rPr>
          <w:t>Legal Profession Act 2006</w:t>
        </w:r>
      </w:hyperlink>
      <w:r w:rsidRPr="005E6481">
        <w:rPr>
          <w:rStyle w:val="charItals"/>
        </w:rPr>
        <w:t xml:space="preserve"> </w:t>
      </w:r>
      <w:r w:rsidRPr="00F13970">
        <w:t>is cancelled or suspended; or</w:t>
      </w:r>
    </w:p>
    <w:p w14:paraId="2CD3EC0E" w14:textId="77777777" w:rsidR="00334F73" w:rsidRPr="00F13970" w:rsidRDefault="00334F73" w:rsidP="00334F73">
      <w:pPr>
        <w:pStyle w:val="Apara"/>
      </w:pPr>
      <w:r w:rsidRPr="00F13970">
        <w:tab/>
        <w:t>(f)</w:t>
      </w:r>
      <w:r w:rsidRPr="00F13970">
        <w:tab/>
        <w:t>the solicitor is given leave to withdraw under rule 4000D, and complies with rule 4000D</w:t>
      </w:r>
      <w:r>
        <w:t xml:space="preserve"> </w:t>
      </w:r>
      <w:r w:rsidRPr="00F13970">
        <w:t>(5).</w:t>
      </w:r>
    </w:p>
    <w:p w14:paraId="5913A495" w14:textId="77777777" w:rsidR="00334F73" w:rsidRPr="00F13970" w:rsidRDefault="00334F73" w:rsidP="00334F73">
      <w:pPr>
        <w:pStyle w:val="AH5Sec"/>
      </w:pPr>
      <w:bookmarkStart w:id="1292" w:name="_Toc185514908"/>
      <w:r w:rsidRPr="00A532CE">
        <w:rPr>
          <w:rStyle w:val="CharSectNo"/>
        </w:rPr>
        <w:t>4000C</w:t>
      </w:r>
      <w:r w:rsidRPr="00F13970">
        <w:tab/>
        <w:t>Criminal proceedings—solicitor’s instructions to act for accused person ended</w:t>
      </w:r>
      <w:bookmarkEnd w:id="1292"/>
    </w:p>
    <w:p w14:paraId="619DDD9D" w14:textId="77777777" w:rsidR="00334F73" w:rsidRPr="00F13970" w:rsidRDefault="00334F73" w:rsidP="00334F73">
      <w:pPr>
        <w:pStyle w:val="Amain"/>
      </w:pPr>
      <w:r w:rsidRPr="00F13970">
        <w:tab/>
        <w:t>(1)</w:t>
      </w:r>
      <w:r w:rsidRPr="00F13970">
        <w:tab/>
        <w:t>This rule applies if—</w:t>
      </w:r>
    </w:p>
    <w:p w14:paraId="004BC90C" w14:textId="77777777" w:rsidR="00334F73" w:rsidRPr="00F13970" w:rsidRDefault="00334F73" w:rsidP="00334F73">
      <w:pPr>
        <w:pStyle w:val="Apara"/>
      </w:pPr>
      <w:r w:rsidRPr="00F13970">
        <w:tab/>
        <w:t>(a)</w:t>
      </w:r>
      <w:r w:rsidRPr="00F13970">
        <w:tab/>
        <w:t>a solicitor for an accused person is on the record in a criminal proceeding; and</w:t>
      </w:r>
    </w:p>
    <w:p w14:paraId="766C923F" w14:textId="77777777" w:rsidR="00334F73" w:rsidRPr="00F13970" w:rsidRDefault="00334F73" w:rsidP="00334F73">
      <w:pPr>
        <w:pStyle w:val="Apara"/>
      </w:pPr>
      <w:r w:rsidRPr="00F13970">
        <w:tab/>
        <w:t>(b)</w:t>
      </w:r>
      <w:r w:rsidRPr="00F13970">
        <w:tab/>
        <w:t>the solicitor’s instructions to act for the accused person in the proceeding are ended before the proceeding is finally disposed of in the court.</w:t>
      </w:r>
    </w:p>
    <w:p w14:paraId="3E336044" w14:textId="77777777" w:rsidR="00334F73" w:rsidRPr="00F13970" w:rsidRDefault="00334F73" w:rsidP="00334F73">
      <w:pPr>
        <w:pStyle w:val="aNote"/>
      </w:pPr>
      <w:r w:rsidRPr="005E6481">
        <w:rPr>
          <w:rStyle w:val="charItals"/>
        </w:rPr>
        <w:t>Note</w:t>
      </w:r>
      <w:r w:rsidRPr="005E6481">
        <w:rPr>
          <w:rStyle w:val="charItals"/>
        </w:rPr>
        <w:tab/>
      </w:r>
      <w:r w:rsidRPr="00F13970">
        <w:t>Rule 5537 (Appeals to Court of Appeal—solicitor’s instructions to act for convicted person ended) applies to a solicitor if the solicitor’s instructions to act for a convicted person who is a party to an application or appeal in the Court of Appeal are ended.</w:t>
      </w:r>
    </w:p>
    <w:p w14:paraId="5400EFC9" w14:textId="77777777" w:rsidR="00334F73" w:rsidRPr="00F13970" w:rsidRDefault="00334F73" w:rsidP="00334F73">
      <w:pPr>
        <w:pStyle w:val="Amain"/>
      </w:pPr>
      <w:r w:rsidRPr="00F13970">
        <w:tab/>
        <w:t>(2)</w:t>
      </w:r>
      <w:r w:rsidRPr="00F13970">
        <w:tab/>
        <w:t>The solicitor must—</w:t>
      </w:r>
    </w:p>
    <w:p w14:paraId="42FBDF1E" w14:textId="77777777" w:rsidR="00334F73" w:rsidRPr="00F13970" w:rsidRDefault="00334F73" w:rsidP="00334F73">
      <w:pPr>
        <w:pStyle w:val="Apara"/>
      </w:pPr>
      <w:r w:rsidRPr="00F13970">
        <w:tab/>
        <w:t>(a)</w:t>
      </w:r>
      <w:r w:rsidRPr="00F13970">
        <w:tab/>
        <w:t>file a notice stating that the solicitor is no longer acting for the accused person; and</w:t>
      </w:r>
    </w:p>
    <w:p w14:paraId="53AB475B" w14:textId="77777777" w:rsidR="00334F73" w:rsidRPr="00F13970" w:rsidRDefault="00334F73" w:rsidP="002B2764">
      <w:pPr>
        <w:pStyle w:val="Apara"/>
        <w:keepNext/>
      </w:pPr>
      <w:r w:rsidRPr="00F13970">
        <w:lastRenderedPageBreak/>
        <w:tab/>
        <w:t>(b)</w:t>
      </w:r>
      <w:r w:rsidRPr="00F13970">
        <w:tab/>
        <w:t>serve a stamped copy of the notice on each party to the proceeding (including the accused person).</w:t>
      </w:r>
    </w:p>
    <w:p w14:paraId="6CDD5682" w14:textId="6CDC29D7" w:rsidR="00334F73" w:rsidRPr="00F13970" w:rsidRDefault="00334F73" w:rsidP="002B2764">
      <w:pPr>
        <w:pStyle w:val="aNote"/>
        <w:keepLines/>
      </w:pPr>
      <w:r w:rsidRPr="005E6481">
        <w:rPr>
          <w:rStyle w:val="charItals"/>
        </w:rPr>
        <w:t>Note</w:t>
      </w:r>
      <w:r w:rsidRPr="005E6481">
        <w:rPr>
          <w:rStyle w:val="charItals"/>
        </w:rPr>
        <w:tab/>
      </w:r>
      <w:r w:rsidRPr="00F13970">
        <w:t>See approved form 4.6 (Supreme Court criminal proceeding—notice that solicitor no longer acting)</w:t>
      </w:r>
      <w:r>
        <w:t xml:space="preserve"> </w:t>
      </w:r>
      <w:hyperlink r:id="rId556" w:history="1">
        <w:r w:rsidR="00AC7832">
          <w:rPr>
            <w:rStyle w:val="charCitHyperlinkAbbrev"/>
          </w:rPr>
          <w:t>AF2024-30</w:t>
        </w:r>
      </w:hyperlink>
      <w:r w:rsidRPr="00F13970">
        <w:t xml:space="preserve"> and approved form 4.6A (Magistrates Court criminal proceeding—notice that solicitor no longer acting) </w:t>
      </w:r>
      <w:hyperlink r:id="rId557" w:history="1">
        <w:r w:rsidR="00AC7832">
          <w:rPr>
            <w:rStyle w:val="charCitHyperlinkAbbrev"/>
          </w:rPr>
          <w:t>AF2024-31</w:t>
        </w:r>
      </w:hyperlink>
      <w:r w:rsidRPr="00F13970">
        <w:t>.</w:t>
      </w:r>
    </w:p>
    <w:p w14:paraId="024C9B03" w14:textId="77777777" w:rsidR="00334F73" w:rsidRPr="00F13970" w:rsidRDefault="00334F73" w:rsidP="00334F73">
      <w:pPr>
        <w:pStyle w:val="Amain"/>
      </w:pPr>
      <w:r w:rsidRPr="00F13970">
        <w:tab/>
        <w:t>(3)</w:t>
      </w:r>
      <w:r w:rsidRPr="00F13970">
        <w:tab/>
        <w:t>The solicitor must file and serve the notice as soon as practicable, but not later than 14 days after the day the solicitor’s instructions are ended.</w:t>
      </w:r>
    </w:p>
    <w:p w14:paraId="4FE37737" w14:textId="77777777" w:rsidR="00334F73" w:rsidRPr="00F13970" w:rsidRDefault="00334F73" w:rsidP="00334F73">
      <w:pPr>
        <w:pStyle w:val="Amain"/>
      </w:pPr>
      <w:r w:rsidRPr="00F13970">
        <w:tab/>
        <w:t>(4)</w:t>
      </w:r>
      <w:r w:rsidRPr="00F13970">
        <w:tab/>
        <w:t>In this rule:</w:t>
      </w:r>
    </w:p>
    <w:p w14:paraId="64614A81" w14:textId="77777777" w:rsidR="00334F73" w:rsidRPr="00F13970" w:rsidRDefault="00334F73" w:rsidP="00334F73">
      <w:pPr>
        <w:pStyle w:val="adef0"/>
        <w:shd w:val="clear" w:color="auto" w:fill="FFFFFF"/>
        <w:spacing w:before="140" w:beforeAutospacing="0" w:after="0" w:afterAutospacing="0"/>
        <w:ind w:left="1100"/>
        <w:jc w:val="both"/>
        <w:rPr>
          <w:color w:val="000000"/>
        </w:rPr>
      </w:pPr>
      <w:r w:rsidRPr="005E6481">
        <w:rPr>
          <w:rStyle w:val="charBoldItals"/>
        </w:rPr>
        <w:t>accused person</w:t>
      </w:r>
      <w:r>
        <w:rPr>
          <w:color w:val="000000"/>
        </w:rPr>
        <w:t xml:space="preserve"> </w:t>
      </w:r>
      <w:r w:rsidRPr="00F13970">
        <w:rPr>
          <w:color w:val="000000"/>
        </w:rPr>
        <w:t>includes a person who has been convicted of an offence and is awaiting sentence for the offence in the court.</w:t>
      </w:r>
    </w:p>
    <w:p w14:paraId="03741953" w14:textId="77777777" w:rsidR="00334F73" w:rsidRPr="00F13970" w:rsidRDefault="00334F73" w:rsidP="00334F73">
      <w:pPr>
        <w:pStyle w:val="aNote"/>
      </w:pPr>
      <w:r w:rsidRPr="005E6481">
        <w:rPr>
          <w:rStyle w:val="charItals"/>
        </w:rPr>
        <w:t>Note</w:t>
      </w:r>
      <w:r w:rsidRPr="005E6481">
        <w:rPr>
          <w:rStyle w:val="charItals"/>
        </w:rPr>
        <w:tab/>
      </w:r>
      <w:r w:rsidRPr="00F13970">
        <w:t>See also r 4000A, def</w:t>
      </w:r>
      <w:r>
        <w:t xml:space="preserve"> </w:t>
      </w:r>
      <w:r w:rsidRPr="005E6481">
        <w:rPr>
          <w:rStyle w:val="charBoldItals"/>
        </w:rPr>
        <w:t>accused person</w:t>
      </w:r>
      <w:r w:rsidRPr="00F13970">
        <w:t>.</w:t>
      </w:r>
    </w:p>
    <w:p w14:paraId="17FC2C31" w14:textId="77777777" w:rsidR="00334F73" w:rsidRPr="00F13970" w:rsidRDefault="00334F73" w:rsidP="00334F73">
      <w:pPr>
        <w:pStyle w:val="adef0"/>
        <w:shd w:val="clear" w:color="auto" w:fill="FFFFFF"/>
        <w:spacing w:before="140" w:beforeAutospacing="0" w:after="0" w:afterAutospacing="0"/>
        <w:ind w:left="1100"/>
        <w:jc w:val="both"/>
        <w:rPr>
          <w:color w:val="000000"/>
        </w:rPr>
      </w:pPr>
      <w:r w:rsidRPr="005E6481">
        <w:rPr>
          <w:rStyle w:val="charBoldItals"/>
        </w:rPr>
        <w:t>court</w:t>
      </w:r>
      <w:r w:rsidRPr="005E6481">
        <w:t xml:space="preserve"> </w:t>
      </w:r>
      <w:r w:rsidRPr="00F13970">
        <w:rPr>
          <w:color w:val="000000"/>
        </w:rPr>
        <w:t>does not include the Court of Appeal.</w:t>
      </w:r>
    </w:p>
    <w:p w14:paraId="40381FA1" w14:textId="77777777" w:rsidR="00334F73" w:rsidRPr="00F13970" w:rsidRDefault="00334F73" w:rsidP="00334F73">
      <w:pPr>
        <w:pStyle w:val="AH5Sec"/>
      </w:pPr>
      <w:bookmarkStart w:id="1293" w:name="_Toc185514909"/>
      <w:r w:rsidRPr="00E92D4C">
        <w:rPr>
          <w:rStyle w:val="CharSectNo"/>
        </w:rPr>
        <w:t>4000D</w:t>
      </w:r>
      <w:r w:rsidRPr="00F13970">
        <w:tab/>
        <w:t>Criminal proceedings—withdrawal of solicitor</w:t>
      </w:r>
      <w:bookmarkEnd w:id="1293"/>
    </w:p>
    <w:p w14:paraId="4422366F" w14:textId="77777777" w:rsidR="00334F73" w:rsidRPr="00F13970" w:rsidRDefault="00334F73" w:rsidP="00334F73">
      <w:pPr>
        <w:pStyle w:val="Amain"/>
      </w:pPr>
      <w:r w:rsidRPr="00F13970">
        <w:tab/>
        <w:t>(1)</w:t>
      </w:r>
      <w:r w:rsidRPr="00F13970">
        <w:tab/>
        <w:t>If a solicitor for an accused person is on the record in a criminal proceeding, the solicitor may withdraw from acting for an accused person only with the court’s leave.</w:t>
      </w:r>
    </w:p>
    <w:p w14:paraId="6F8F1D15" w14:textId="77777777" w:rsidR="00334F73" w:rsidRPr="00F13970" w:rsidRDefault="00334F73" w:rsidP="00334F73">
      <w:pPr>
        <w:pStyle w:val="aNote"/>
      </w:pPr>
      <w:r w:rsidRPr="005E6481">
        <w:rPr>
          <w:rStyle w:val="charItals"/>
        </w:rPr>
        <w:t>Note</w:t>
      </w:r>
      <w:r w:rsidRPr="005E6481">
        <w:rPr>
          <w:rStyle w:val="charItals"/>
        </w:rPr>
        <w:tab/>
      </w:r>
      <w:r w:rsidRPr="00F13970">
        <w:t>Pt 6.2 (Applications in proceedings) applies to an application for leave.</w:t>
      </w:r>
    </w:p>
    <w:p w14:paraId="605BA9E2" w14:textId="77777777" w:rsidR="00334F73" w:rsidRPr="00F13970" w:rsidRDefault="00334F73" w:rsidP="00334F73">
      <w:pPr>
        <w:pStyle w:val="Amain"/>
      </w:pPr>
      <w:r w:rsidRPr="00F13970">
        <w:tab/>
        <w:t>(2)</w:t>
      </w:r>
      <w:r w:rsidRPr="00F13970">
        <w:tab/>
        <w:t>The application must be made in writing and—</w:t>
      </w:r>
    </w:p>
    <w:p w14:paraId="37913BA9" w14:textId="77777777" w:rsidR="00334F73" w:rsidRPr="00F13970" w:rsidRDefault="00334F73" w:rsidP="00334F73">
      <w:pPr>
        <w:pStyle w:val="Apara"/>
      </w:pPr>
      <w:r w:rsidRPr="00F13970">
        <w:tab/>
        <w:t>(a)</w:t>
      </w:r>
      <w:r w:rsidRPr="00F13970">
        <w:tab/>
        <w:t>state the name of the solicitor making the application; and</w:t>
      </w:r>
    </w:p>
    <w:p w14:paraId="59AAA633" w14:textId="77777777" w:rsidR="00334F73" w:rsidRPr="00F13970" w:rsidRDefault="00334F73" w:rsidP="00334F73">
      <w:pPr>
        <w:pStyle w:val="Apara"/>
      </w:pPr>
      <w:r w:rsidRPr="00F13970">
        <w:tab/>
        <w:t>(b)</w:t>
      </w:r>
      <w:r w:rsidRPr="00F13970">
        <w:tab/>
        <w:t>state briefly the order sought.</w:t>
      </w:r>
    </w:p>
    <w:p w14:paraId="02B6CA46" w14:textId="77777777" w:rsidR="00334F73" w:rsidRPr="00F13970" w:rsidRDefault="00334F73" w:rsidP="00334F73">
      <w:pPr>
        <w:pStyle w:val="Amain"/>
      </w:pPr>
      <w:r w:rsidRPr="00F13970">
        <w:tab/>
        <w:t>(3)</w:t>
      </w:r>
      <w:r w:rsidRPr="00F13970">
        <w:tab/>
        <w:t>A stamped copy of the application must be served—</w:t>
      </w:r>
    </w:p>
    <w:p w14:paraId="397A8771" w14:textId="77777777" w:rsidR="00334F73" w:rsidRPr="00F13970" w:rsidRDefault="00334F73" w:rsidP="00334F73">
      <w:pPr>
        <w:pStyle w:val="Apara"/>
      </w:pPr>
      <w:r w:rsidRPr="00F13970">
        <w:tab/>
        <w:t>(a)</w:t>
      </w:r>
      <w:r w:rsidRPr="00F13970">
        <w:tab/>
        <w:t>on the accused person—</w:t>
      </w:r>
    </w:p>
    <w:p w14:paraId="2CAAD3BE" w14:textId="77777777" w:rsidR="00334F73" w:rsidRPr="00F13970" w:rsidRDefault="00334F73" w:rsidP="00334F73">
      <w:pPr>
        <w:pStyle w:val="Asubpara"/>
      </w:pPr>
      <w:r w:rsidRPr="00F13970">
        <w:tab/>
        <w:t>(i)</w:t>
      </w:r>
      <w:r w:rsidRPr="00F13970">
        <w:tab/>
        <w:t>personally; or</w:t>
      </w:r>
    </w:p>
    <w:p w14:paraId="3089FAC3" w14:textId="77777777" w:rsidR="00334F73" w:rsidRPr="00F13970" w:rsidRDefault="00334F73" w:rsidP="00334F73">
      <w:pPr>
        <w:pStyle w:val="Asubpara"/>
      </w:pPr>
      <w:r w:rsidRPr="00F13970">
        <w:tab/>
        <w:t>(ii)</w:t>
      </w:r>
      <w:r w:rsidRPr="00F13970">
        <w:tab/>
        <w:t>by registered letter addressed to the person’s last-known address; or</w:t>
      </w:r>
    </w:p>
    <w:p w14:paraId="3865E368" w14:textId="77777777" w:rsidR="00334F73" w:rsidRPr="00F13970" w:rsidRDefault="00334F73" w:rsidP="00334F73">
      <w:pPr>
        <w:pStyle w:val="Asubpara"/>
      </w:pPr>
      <w:r w:rsidRPr="00F13970">
        <w:lastRenderedPageBreak/>
        <w:tab/>
        <w:t>(iii)</w:t>
      </w:r>
      <w:r w:rsidRPr="00F13970">
        <w:tab/>
        <w:t>if the court orders another way of service—as ordered; and</w:t>
      </w:r>
    </w:p>
    <w:p w14:paraId="37D1DB15" w14:textId="77777777" w:rsidR="00334F73" w:rsidRPr="00F13970" w:rsidRDefault="00334F73" w:rsidP="00334F73">
      <w:pPr>
        <w:pStyle w:val="Apara"/>
      </w:pPr>
      <w:r w:rsidRPr="00F13970">
        <w:tab/>
        <w:t>(b)</w:t>
      </w:r>
      <w:r w:rsidRPr="00F13970">
        <w:tab/>
        <w:t>on the director of public prosecutions.</w:t>
      </w:r>
    </w:p>
    <w:p w14:paraId="08CE875A" w14:textId="77777777" w:rsidR="00334F73" w:rsidRPr="00F13970" w:rsidRDefault="00334F73" w:rsidP="00334F73">
      <w:pPr>
        <w:pStyle w:val="Amain"/>
      </w:pPr>
      <w:r w:rsidRPr="00F13970">
        <w:tab/>
        <w:t>(4)</w:t>
      </w:r>
      <w:r w:rsidRPr="00F13970">
        <w:tab/>
        <w:t>However, the application may be made orally to the court if the solicitor wants to withdraw from acting for the accused person during—</w:t>
      </w:r>
    </w:p>
    <w:p w14:paraId="762B4F8C" w14:textId="77777777" w:rsidR="00334F73" w:rsidRPr="00F13970" w:rsidRDefault="00334F73" w:rsidP="00334F73">
      <w:pPr>
        <w:pStyle w:val="Apara"/>
      </w:pPr>
      <w:r w:rsidRPr="00F13970">
        <w:tab/>
        <w:t>(a)</w:t>
      </w:r>
      <w:r w:rsidRPr="00F13970">
        <w:tab/>
        <w:t>for a proceeding before the Magistrates Court—the hearing of the information laid against the person; or</w:t>
      </w:r>
    </w:p>
    <w:p w14:paraId="7697B57A" w14:textId="77777777" w:rsidR="00334F73" w:rsidRPr="00F13970" w:rsidRDefault="00334F73" w:rsidP="00334F73">
      <w:pPr>
        <w:pStyle w:val="Apara"/>
      </w:pPr>
      <w:r w:rsidRPr="00F13970">
        <w:tab/>
        <w:t>(b)</w:t>
      </w:r>
      <w:r w:rsidRPr="00F13970">
        <w:tab/>
        <w:t>for a proceeding before the Supreme Court—the person’s trial; or</w:t>
      </w:r>
    </w:p>
    <w:p w14:paraId="351A00D5" w14:textId="77777777" w:rsidR="00334F73" w:rsidRPr="00F13970" w:rsidRDefault="00334F73" w:rsidP="00334F73">
      <w:pPr>
        <w:pStyle w:val="Apara"/>
      </w:pPr>
      <w:r w:rsidRPr="00F13970">
        <w:tab/>
        <w:t>(c)</w:t>
      </w:r>
      <w:r w:rsidRPr="00F13970">
        <w:tab/>
        <w:t>the person’s sentence hearing.</w:t>
      </w:r>
    </w:p>
    <w:p w14:paraId="419EBA6E" w14:textId="77777777" w:rsidR="00334F73" w:rsidRPr="00F13970" w:rsidRDefault="00334F73" w:rsidP="00334F73">
      <w:pPr>
        <w:pStyle w:val="Amain"/>
      </w:pPr>
      <w:r w:rsidRPr="00F13970">
        <w:tab/>
        <w:t>(5)</w:t>
      </w:r>
      <w:r w:rsidRPr="00F13970">
        <w:tab/>
        <w:t>If the court gives the solicitor leave to withdraw, the solicitor must—</w:t>
      </w:r>
    </w:p>
    <w:p w14:paraId="0162D9A5" w14:textId="77777777" w:rsidR="00334F73" w:rsidRPr="00F13970" w:rsidRDefault="00334F73" w:rsidP="00334F73">
      <w:pPr>
        <w:pStyle w:val="Apara"/>
      </w:pPr>
      <w:r w:rsidRPr="00F13970">
        <w:tab/>
        <w:t>(a)</w:t>
      </w:r>
      <w:r w:rsidRPr="00F13970">
        <w:tab/>
        <w:t>file a notice of withdrawal; and</w:t>
      </w:r>
    </w:p>
    <w:p w14:paraId="48442D96" w14:textId="77777777" w:rsidR="00334F73" w:rsidRPr="00F13970" w:rsidRDefault="00334F73" w:rsidP="00334F73">
      <w:pPr>
        <w:pStyle w:val="Apara"/>
      </w:pPr>
      <w:r w:rsidRPr="00F13970">
        <w:tab/>
        <w:t>(b)</w:t>
      </w:r>
      <w:r w:rsidRPr="00F13970">
        <w:tab/>
        <w:t>serve a stamped copy of the notice on the accused person—</w:t>
      </w:r>
    </w:p>
    <w:p w14:paraId="7A95B87E" w14:textId="77777777" w:rsidR="00334F73" w:rsidRPr="00F13970" w:rsidRDefault="00334F73" w:rsidP="00334F73">
      <w:pPr>
        <w:pStyle w:val="Asubpara"/>
      </w:pPr>
      <w:r w:rsidRPr="00F13970">
        <w:tab/>
        <w:t>(i)</w:t>
      </w:r>
      <w:r w:rsidRPr="00F13970">
        <w:tab/>
        <w:t>personally; or</w:t>
      </w:r>
    </w:p>
    <w:p w14:paraId="5CD3BFBE" w14:textId="77777777" w:rsidR="00334F73" w:rsidRPr="00F13970" w:rsidRDefault="00334F73" w:rsidP="00334F73">
      <w:pPr>
        <w:pStyle w:val="Asubpara"/>
      </w:pPr>
      <w:r w:rsidRPr="00F13970">
        <w:tab/>
        <w:t>(ii)</w:t>
      </w:r>
      <w:r w:rsidRPr="00F13970">
        <w:tab/>
        <w:t>by registered letter addressed to the person’s last-known address; and</w:t>
      </w:r>
    </w:p>
    <w:p w14:paraId="426FD389" w14:textId="77777777" w:rsidR="00334F73" w:rsidRPr="00F13970" w:rsidRDefault="00334F73" w:rsidP="00334F73">
      <w:pPr>
        <w:pStyle w:val="Apara"/>
      </w:pPr>
      <w:r w:rsidRPr="00F13970">
        <w:tab/>
        <w:t>(c)</w:t>
      </w:r>
      <w:r w:rsidRPr="00F13970">
        <w:tab/>
        <w:t>serve a stamped copy of the notice on the director of public prosecutions.</w:t>
      </w:r>
    </w:p>
    <w:p w14:paraId="5712FDBE" w14:textId="3F79EFF6" w:rsidR="00334F73" w:rsidRPr="00F13970" w:rsidRDefault="00334F73" w:rsidP="00334F73">
      <w:pPr>
        <w:pStyle w:val="aNote"/>
      </w:pPr>
      <w:r w:rsidRPr="005E6481">
        <w:rPr>
          <w:rStyle w:val="charItals"/>
        </w:rPr>
        <w:t>Note</w:t>
      </w:r>
      <w:r w:rsidRPr="005E6481">
        <w:rPr>
          <w:rStyle w:val="charItals"/>
        </w:rPr>
        <w:tab/>
      </w:r>
      <w:r w:rsidRPr="00F13970">
        <w:t>See approved form 4.7 (Supreme Court criminal proceeding—notice of withdrawal of solicitor)</w:t>
      </w:r>
      <w:r>
        <w:t xml:space="preserve"> </w:t>
      </w:r>
      <w:hyperlink r:id="rId558" w:history="1">
        <w:r w:rsidR="00822506">
          <w:rPr>
            <w:rStyle w:val="charCitHyperlinkAbbrev"/>
          </w:rPr>
          <w:t>AF2024-32</w:t>
        </w:r>
      </w:hyperlink>
      <w:r w:rsidRPr="00F13970">
        <w:t xml:space="preserve"> and approved form 4.7A (Magistrates Court criminal proceeding—notice of withdrawal of solicitor) </w:t>
      </w:r>
      <w:hyperlink r:id="rId559" w:history="1">
        <w:r w:rsidR="00293B84">
          <w:rPr>
            <w:rStyle w:val="charCitHyperlinkAbbrev"/>
          </w:rPr>
          <w:t>AF2024-33</w:t>
        </w:r>
      </w:hyperlink>
      <w:r w:rsidRPr="00F13970">
        <w:t>.</w:t>
      </w:r>
    </w:p>
    <w:p w14:paraId="0E9D4D19" w14:textId="77777777" w:rsidR="00334F73" w:rsidRPr="00F13970" w:rsidRDefault="00334F73" w:rsidP="00334F73">
      <w:pPr>
        <w:pStyle w:val="AH5Sec"/>
      </w:pPr>
      <w:bookmarkStart w:id="1294" w:name="_Toc185514910"/>
      <w:r w:rsidRPr="00E92D4C">
        <w:rPr>
          <w:rStyle w:val="CharSectNo"/>
        </w:rPr>
        <w:t>4000E</w:t>
      </w:r>
      <w:r w:rsidRPr="00F13970">
        <w:tab/>
        <w:t>Criminal proceedings—removal of solicitor by court</w:t>
      </w:r>
      <w:bookmarkEnd w:id="1294"/>
    </w:p>
    <w:p w14:paraId="43A38136" w14:textId="77777777" w:rsidR="00334F73" w:rsidRPr="00F13970" w:rsidRDefault="00334F73" w:rsidP="00334F73">
      <w:pPr>
        <w:pStyle w:val="Amain"/>
      </w:pPr>
      <w:r w:rsidRPr="00F13970">
        <w:tab/>
        <w:t>(1)</w:t>
      </w:r>
      <w:r w:rsidRPr="00F13970">
        <w:tab/>
        <w:t>This rule applies if</w:t>
      </w:r>
      <w:r w:rsidRPr="00F13970">
        <w:rPr>
          <w:b/>
        </w:rPr>
        <w:t>—</w:t>
      </w:r>
    </w:p>
    <w:p w14:paraId="72A0D93E" w14:textId="77777777" w:rsidR="00334F73" w:rsidRPr="00F13970" w:rsidRDefault="00334F73" w:rsidP="00334F73">
      <w:pPr>
        <w:pStyle w:val="Apara"/>
      </w:pPr>
      <w:r w:rsidRPr="00F13970">
        <w:tab/>
        <w:t>(a)</w:t>
      </w:r>
      <w:r w:rsidRPr="00F13970">
        <w:tab/>
        <w:t>a solicitor for an accused person is on the record in a criminal proceeding; and</w:t>
      </w:r>
    </w:p>
    <w:p w14:paraId="1FBB1D8E" w14:textId="77777777" w:rsidR="00334F73" w:rsidRPr="00F13970" w:rsidRDefault="00334F73" w:rsidP="002B2764">
      <w:pPr>
        <w:pStyle w:val="Apara"/>
        <w:keepNext/>
        <w:rPr>
          <w:b/>
        </w:rPr>
      </w:pPr>
      <w:r w:rsidRPr="00F13970">
        <w:lastRenderedPageBreak/>
        <w:tab/>
        <w:t>(b)</w:t>
      </w:r>
      <w:r w:rsidRPr="00F13970">
        <w:tab/>
        <w:t>the solicitor</w:t>
      </w:r>
      <w:r w:rsidRPr="00F13970">
        <w:rPr>
          <w:b/>
        </w:rPr>
        <w:t>—</w:t>
      </w:r>
    </w:p>
    <w:p w14:paraId="68699824" w14:textId="77777777" w:rsidR="00334F73" w:rsidRPr="00F13970" w:rsidRDefault="00334F73" w:rsidP="00334F73">
      <w:pPr>
        <w:pStyle w:val="Asubpara"/>
      </w:pPr>
      <w:r w:rsidRPr="00F13970">
        <w:tab/>
        <w:t>(i)</w:t>
      </w:r>
      <w:r w:rsidRPr="00F13970">
        <w:tab/>
        <w:t>loses the capacity to act as the solicitor for the accused person; or</w:t>
      </w:r>
    </w:p>
    <w:p w14:paraId="35FE88D3" w14:textId="77777777" w:rsidR="00334F73" w:rsidRPr="00F13970" w:rsidRDefault="00334F73" w:rsidP="00334F73">
      <w:pPr>
        <w:pStyle w:val="Asubpara"/>
      </w:pPr>
      <w:r w:rsidRPr="00F13970">
        <w:tab/>
        <w:t>(ii)</w:t>
      </w:r>
      <w:r w:rsidRPr="00F13970">
        <w:tab/>
        <w:t>cannot be found; and</w:t>
      </w:r>
    </w:p>
    <w:p w14:paraId="00D3E823" w14:textId="77777777" w:rsidR="00334F73" w:rsidRPr="00F13970" w:rsidRDefault="00334F73" w:rsidP="00334F73">
      <w:pPr>
        <w:pStyle w:val="Apara"/>
      </w:pPr>
      <w:r w:rsidRPr="00F13970">
        <w:tab/>
        <w:t>(b)</w:t>
      </w:r>
      <w:r w:rsidRPr="00F13970">
        <w:tab/>
        <w:t>the solicitor does not file a notice that they are no longer acting for the accused person; and</w:t>
      </w:r>
    </w:p>
    <w:p w14:paraId="5C7D4641" w14:textId="77777777" w:rsidR="00334F73" w:rsidRPr="00F13970" w:rsidRDefault="00334F73" w:rsidP="00334F73">
      <w:pPr>
        <w:pStyle w:val="Apara"/>
      </w:pPr>
      <w:r w:rsidRPr="00F13970">
        <w:tab/>
        <w:t>(c)</w:t>
      </w:r>
      <w:r w:rsidRPr="00F13970">
        <w:tab/>
        <w:t>another solicitor does not file a notice of solicitor acting under rule</w:t>
      </w:r>
      <w:r>
        <w:t> </w:t>
      </w:r>
      <w:r w:rsidRPr="00F13970">
        <w:t>4000B.</w:t>
      </w:r>
    </w:p>
    <w:p w14:paraId="4CFD06A7" w14:textId="77777777" w:rsidR="00334F73" w:rsidRPr="00F13970" w:rsidRDefault="00334F73" w:rsidP="00334F73">
      <w:pPr>
        <w:pStyle w:val="Amain"/>
      </w:pPr>
      <w:r w:rsidRPr="00F13970">
        <w:tab/>
        <w:t>(2)</w:t>
      </w:r>
      <w:r w:rsidRPr="00F13970">
        <w:tab/>
        <w:t>The accused person may apply to the court for the removal of the solicitor’s name from the record.</w:t>
      </w:r>
    </w:p>
    <w:p w14:paraId="21F50E36" w14:textId="77777777" w:rsidR="00334F73" w:rsidRPr="00F13970" w:rsidRDefault="00334F73" w:rsidP="00334F73">
      <w:pPr>
        <w:pStyle w:val="aNote"/>
      </w:pPr>
      <w:r w:rsidRPr="005E6481">
        <w:rPr>
          <w:rStyle w:val="charItals"/>
        </w:rPr>
        <w:t>Note</w:t>
      </w:r>
      <w:r w:rsidRPr="005E6481">
        <w:rPr>
          <w:rStyle w:val="charItals"/>
        </w:rPr>
        <w:tab/>
      </w:r>
      <w:r w:rsidRPr="00F13970">
        <w:t>Pt 6.2 (Applications in proceedings) applies to an application for an order under this rule.</w:t>
      </w:r>
    </w:p>
    <w:p w14:paraId="512EE36A" w14:textId="77777777" w:rsidR="00334F73" w:rsidRPr="00F13970" w:rsidRDefault="00334F73" w:rsidP="00334F73">
      <w:pPr>
        <w:pStyle w:val="Amain"/>
      </w:pPr>
      <w:r w:rsidRPr="00F13970">
        <w:tab/>
        <w:t>(3)</w:t>
      </w:r>
      <w:r w:rsidRPr="00F13970">
        <w:tab/>
        <w:t>On application under subrule (2), the court may order that the solicitor’s name be removed from the record.</w:t>
      </w:r>
    </w:p>
    <w:p w14:paraId="0ED74363" w14:textId="77777777" w:rsidR="00334F73" w:rsidRPr="00F13970" w:rsidRDefault="00334F73" w:rsidP="00334F73">
      <w:pPr>
        <w:pStyle w:val="AH5Sec"/>
      </w:pPr>
      <w:bookmarkStart w:id="1295" w:name="_Toc185514911"/>
      <w:r w:rsidRPr="00E92D4C">
        <w:rPr>
          <w:rStyle w:val="CharSectNo"/>
        </w:rPr>
        <w:t>4000F</w:t>
      </w:r>
      <w:r w:rsidRPr="00F13970">
        <w:tab/>
        <w:t>Criminal proceedings—solicitor removed from roll etc</w:t>
      </w:r>
      <w:bookmarkEnd w:id="1295"/>
    </w:p>
    <w:p w14:paraId="7340D353" w14:textId="77777777" w:rsidR="00334F73" w:rsidRPr="00F13970" w:rsidRDefault="00334F73" w:rsidP="00334F73">
      <w:pPr>
        <w:pStyle w:val="Amain"/>
      </w:pPr>
      <w:r w:rsidRPr="00F13970">
        <w:tab/>
        <w:t>(1)</w:t>
      </w:r>
      <w:r w:rsidRPr="00F13970">
        <w:tab/>
        <w:t>This rule applies if</w:t>
      </w:r>
      <w:r w:rsidRPr="00F13970">
        <w:rPr>
          <w:bCs/>
        </w:rPr>
        <w:t>—</w:t>
      </w:r>
    </w:p>
    <w:p w14:paraId="18F8175B" w14:textId="087B5C14" w:rsidR="00334F73" w:rsidRPr="00F13970" w:rsidRDefault="00334F73" w:rsidP="00334F73">
      <w:pPr>
        <w:pStyle w:val="Apara"/>
      </w:pPr>
      <w:r w:rsidRPr="00F13970">
        <w:tab/>
        <w:t>(a)</w:t>
      </w:r>
      <w:r w:rsidRPr="00F13970">
        <w:tab/>
        <w:t xml:space="preserve">a solicitor’s name is removed from the local roll under the </w:t>
      </w:r>
      <w:hyperlink r:id="rId560" w:tooltip="A2006-25" w:history="1">
        <w:r w:rsidRPr="005E6481">
          <w:rPr>
            <w:rStyle w:val="charCitHyperlinkItal"/>
          </w:rPr>
          <w:t>Legal Profession Act 2006</w:t>
        </w:r>
      </w:hyperlink>
      <w:r w:rsidRPr="00F13970">
        <w:t xml:space="preserve">; or </w:t>
      </w:r>
    </w:p>
    <w:p w14:paraId="00A4CFCF" w14:textId="254F4258" w:rsidR="00334F73" w:rsidRPr="00F13970" w:rsidRDefault="00334F73" w:rsidP="00334F73">
      <w:pPr>
        <w:pStyle w:val="Apara"/>
      </w:pPr>
      <w:r w:rsidRPr="00F13970">
        <w:tab/>
        <w:t>(b)</w:t>
      </w:r>
      <w:r w:rsidRPr="00F13970">
        <w:tab/>
        <w:t xml:space="preserve">a solicitor’s local practising certificate under the </w:t>
      </w:r>
      <w:hyperlink r:id="rId561" w:tooltip="A2006-25" w:history="1">
        <w:r w:rsidRPr="005E6481">
          <w:rPr>
            <w:rStyle w:val="charCitHyperlinkItal"/>
          </w:rPr>
          <w:t>Legal Profession Act 2006</w:t>
        </w:r>
      </w:hyperlink>
      <w:r w:rsidRPr="005E6481">
        <w:rPr>
          <w:rStyle w:val="charItals"/>
        </w:rPr>
        <w:t xml:space="preserve"> </w:t>
      </w:r>
      <w:r w:rsidRPr="00F13970">
        <w:t>is cancelled or suspended.</w:t>
      </w:r>
    </w:p>
    <w:p w14:paraId="4DC4F231" w14:textId="77777777" w:rsidR="00334F73" w:rsidRPr="00F13970" w:rsidRDefault="00334F73" w:rsidP="00334F73">
      <w:pPr>
        <w:pStyle w:val="Amain"/>
      </w:pPr>
      <w:r w:rsidRPr="00F13970">
        <w:tab/>
        <w:t>(2)</w:t>
      </w:r>
      <w:r w:rsidRPr="00F13970">
        <w:tab/>
        <w:t>A copy of all processes and other documents to be served in a criminal proceeding in which the solicitor is a solicitor on the record must be served on</w:t>
      </w:r>
      <w:r w:rsidRPr="00F13970">
        <w:rPr>
          <w:b/>
        </w:rPr>
        <w:t>—</w:t>
      </w:r>
    </w:p>
    <w:p w14:paraId="178C3246" w14:textId="588DEBB0" w:rsidR="00334F73" w:rsidRPr="00F13970" w:rsidRDefault="00334F73" w:rsidP="00334F73">
      <w:pPr>
        <w:pStyle w:val="Apara"/>
      </w:pPr>
      <w:r w:rsidRPr="00F13970">
        <w:tab/>
        <w:t>(a)</w:t>
      </w:r>
      <w:r w:rsidRPr="00F13970">
        <w:tab/>
        <w:t xml:space="preserve">if a receiver is appointed under the </w:t>
      </w:r>
      <w:hyperlink r:id="rId562" w:tooltip="A2006-25" w:history="1">
        <w:r w:rsidRPr="005E6481">
          <w:rPr>
            <w:rStyle w:val="charCitHyperlinkItal"/>
          </w:rPr>
          <w:t>Legal Profession Act 2006</w:t>
        </w:r>
      </w:hyperlink>
      <w:r w:rsidRPr="00F13970">
        <w:t xml:space="preserve"> for the solicitor’s practice</w:t>
      </w:r>
      <w:r w:rsidRPr="00F13970">
        <w:rPr>
          <w:b/>
        </w:rPr>
        <w:t>—</w:t>
      </w:r>
      <w:r w:rsidRPr="00F13970">
        <w:t>the receiver; or</w:t>
      </w:r>
    </w:p>
    <w:p w14:paraId="787158A8" w14:textId="77777777" w:rsidR="00334F73" w:rsidRPr="00F13970" w:rsidRDefault="00334F73" w:rsidP="00334F73">
      <w:pPr>
        <w:pStyle w:val="Apara"/>
      </w:pPr>
      <w:r w:rsidRPr="00F13970">
        <w:tab/>
        <w:t>(b)</w:t>
      </w:r>
      <w:r w:rsidRPr="00F13970">
        <w:tab/>
        <w:t>if a receiver is not appointed</w:t>
      </w:r>
      <w:r w:rsidRPr="00F13970">
        <w:rPr>
          <w:b/>
        </w:rPr>
        <w:t>—</w:t>
      </w:r>
      <w:r w:rsidRPr="00F13970">
        <w:t>the accused person’s home or business address until another solicitor is appointed.</w:t>
      </w:r>
    </w:p>
    <w:p w14:paraId="2F630BD6" w14:textId="77777777" w:rsidR="00334F73" w:rsidRPr="00F13970" w:rsidRDefault="00334F73" w:rsidP="00334F73">
      <w:pPr>
        <w:pStyle w:val="AH5Sec"/>
      </w:pPr>
      <w:bookmarkStart w:id="1296" w:name="_Toc185514912"/>
      <w:r w:rsidRPr="00E92D4C">
        <w:rPr>
          <w:rStyle w:val="CharSectNo"/>
        </w:rPr>
        <w:lastRenderedPageBreak/>
        <w:t>4000G</w:t>
      </w:r>
      <w:r w:rsidRPr="00F13970">
        <w:tab/>
        <w:t>Criminal proceedings—handing over depositions</w:t>
      </w:r>
      <w:bookmarkEnd w:id="1296"/>
    </w:p>
    <w:p w14:paraId="05C9CC50" w14:textId="77777777" w:rsidR="00334F73" w:rsidRPr="00F13970" w:rsidRDefault="00334F73" w:rsidP="00442C70">
      <w:pPr>
        <w:pStyle w:val="Amain"/>
        <w:keepNext/>
      </w:pPr>
      <w:r w:rsidRPr="00F13970">
        <w:tab/>
        <w:t>(1)</w:t>
      </w:r>
      <w:r w:rsidRPr="00F13970">
        <w:tab/>
        <w:t>This rule applies if—</w:t>
      </w:r>
    </w:p>
    <w:p w14:paraId="29AFDC0D" w14:textId="77777777" w:rsidR="00334F73" w:rsidRPr="00F13970" w:rsidRDefault="00334F73" w:rsidP="00334F73">
      <w:pPr>
        <w:pStyle w:val="Apara"/>
      </w:pPr>
      <w:r w:rsidRPr="00F13970">
        <w:tab/>
        <w:t>(a)</w:t>
      </w:r>
      <w:r w:rsidRPr="00F13970">
        <w:tab/>
        <w:t>a person charged with an indictable offence is committed to the Supreme Court for trial; and</w:t>
      </w:r>
    </w:p>
    <w:p w14:paraId="5A99A108" w14:textId="77777777" w:rsidR="00334F73" w:rsidRPr="00F13970" w:rsidRDefault="00334F73" w:rsidP="00334F73">
      <w:pPr>
        <w:pStyle w:val="Apara"/>
      </w:pPr>
      <w:r w:rsidRPr="00F13970">
        <w:tab/>
        <w:t>(b)</w:t>
      </w:r>
      <w:r w:rsidRPr="00F13970">
        <w:tab/>
        <w:t>a solicitor (the</w:t>
      </w:r>
      <w:r>
        <w:t xml:space="preserve"> </w:t>
      </w:r>
      <w:r w:rsidRPr="005E6481">
        <w:rPr>
          <w:rStyle w:val="charBoldItals"/>
        </w:rPr>
        <w:t>original solicitor</w:t>
      </w:r>
      <w:r w:rsidRPr="00F13970">
        <w:t>) is the solicitor on the record in relation to the person for the proceeding in the Supreme Court; and</w:t>
      </w:r>
    </w:p>
    <w:p w14:paraId="52C3A698" w14:textId="77777777" w:rsidR="00334F73" w:rsidRPr="00F13970" w:rsidRDefault="00334F73" w:rsidP="00334F73">
      <w:pPr>
        <w:pStyle w:val="Apara"/>
      </w:pPr>
      <w:r w:rsidRPr="00F13970">
        <w:tab/>
        <w:t>(c)</w:t>
      </w:r>
      <w:r w:rsidRPr="00F13970">
        <w:tab/>
        <w:t>the original solicitor stops acting for the accused person.</w:t>
      </w:r>
    </w:p>
    <w:p w14:paraId="36DAE445" w14:textId="6FBB45B8" w:rsidR="00334F73" w:rsidRPr="00F13970" w:rsidRDefault="00334F73" w:rsidP="00334F73">
      <w:pPr>
        <w:pStyle w:val="Amain"/>
      </w:pPr>
      <w:r w:rsidRPr="00F13970">
        <w:tab/>
        <w:t>(2)</w:t>
      </w:r>
      <w:r w:rsidRPr="00F13970">
        <w:tab/>
        <w:t>The original solicitor must, as soon as practicable after the solicitor stops acting, give any depositions received by the original solicitor under the</w:t>
      </w:r>
      <w:r>
        <w:t xml:space="preserve"> </w:t>
      </w:r>
      <w:hyperlink r:id="rId563" w:tooltip="A1930-21" w:history="1">
        <w:r w:rsidRPr="005E6481">
          <w:rPr>
            <w:rStyle w:val="charCitHyperlinkItal"/>
          </w:rPr>
          <w:t>Magistrates Court Act 1930</w:t>
        </w:r>
      </w:hyperlink>
      <w:r w:rsidRPr="00F13970">
        <w:t>, section 108 (Accused person may obtain copies of depositions etc) to—</w:t>
      </w:r>
    </w:p>
    <w:p w14:paraId="0673F6BF" w14:textId="77777777" w:rsidR="00334F73" w:rsidRPr="00F13970" w:rsidRDefault="00334F73" w:rsidP="00334F73">
      <w:pPr>
        <w:pStyle w:val="Apara"/>
      </w:pPr>
      <w:r w:rsidRPr="00F13970">
        <w:tab/>
        <w:t>(a)</w:t>
      </w:r>
      <w:r w:rsidRPr="00F13970">
        <w:tab/>
        <w:t>if another solicitor has served a notice under rule</w:t>
      </w:r>
      <w:r>
        <w:t xml:space="preserve"> </w:t>
      </w:r>
      <w:r w:rsidRPr="00F13970">
        <w:t>4000B on the original solicitor—the other solicitor; or</w:t>
      </w:r>
    </w:p>
    <w:p w14:paraId="29CDC266" w14:textId="77777777" w:rsidR="00334F73" w:rsidRPr="00F13970" w:rsidRDefault="00334F73" w:rsidP="00334F73">
      <w:pPr>
        <w:pStyle w:val="Apara"/>
      </w:pPr>
      <w:r w:rsidRPr="00F13970">
        <w:tab/>
        <w:t>(b)</w:t>
      </w:r>
      <w:r w:rsidRPr="00F13970">
        <w:tab/>
        <w:t>if the original solicitor has not been served with a notice under rule</w:t>
      </w:r>
      <w:r>
        <w:t> </w:t>
      </w:r>
      <w:r w:rsidRPr="00F13970">
        <w:t>4000B—the accused person.</w:t>
      </w:r>
    </w:p>
    <w:p w14:paraId="7009FA99" w14:textId="77777777" w:rsidR="008112BD" w:rsidRPr="00C8328B" w:rsidRDefault="008112BD" w:rsidP="008112BD">
      <w:pPr>
        <w:pStyle w:val="AH3Div"/>
      </w:pPr>
      <w:bookmarkStart w:id="1297" w:name="_Toc185514913"/>
      <w:r w:rsidRPr="00C8328B">
        <w:rPr>
          <w:rStyle w:val="CharDivNo"/>
        </w:rPr>
        <w:t>Division 4.1.1</w:t>
      </w:r>
      <w:r>
        <w:tab/>
      </w:r>
      <w:r w:rsidRPr="00C8328B">
        <w:rPr>
          <w:rStyle w:val="CharDivText"/>
        </w:rPr>
        <w:t>Criminal proceedings—application of ch 2</w:t>
      </w:r>
      <w:bookmarkEnd w:id="1297"/>
    </w:p>
    <w:p w14:paraId="49DFB106" w14:textId="77777777" w:rsidR="008112BD" w:rsidRDefault="008112BD" w:rsidP="008112BD">
      <w:pPr>
        <w:pStyle w:val="AH5Sec"/>
      </w:pPr>
      <w:bookmarkStart w:id="1298" w:name="_Toc185514914"/>
      <w:r w:rsidRPr="00C8328B">
        <w:rPr>
          <w:rStyle w:val="CharSectNo"/>
        </w:rPr>
        <w:t>4000</w:t>
      </w:r>
      <w:r>
        <w:tab/>
        <w:t>Criminal proceedings—application of expert witness code of conduct</w:t>
      </w:r>
      <w:bookmarkEnd w:id="1298"/>
    </w:p>
    <w:p w14:paraId="25970D52" w14:textId="77777777" w:rsidR="008112BD" w:rsidRDefault="008112BD" w:rsidP="008112BD">
      <w:pPr>
        <w:pStyle w:val="Amainreturn"/>
      </w:pPr>
      <w:r>
        <w:t>Division 2.12.1 (Expert evidence generally) applies to a criminal proceeding as if—</w:t>
      </w:r>
    </w:p>
    <w:p w14:paraId="2EE6C9F9" w14:textId="77777777"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14:paraId="66DF1E5C" w14:textId="77777777"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14:paraId="189CA583" w14:textId="77777777" w:rsidR="008112BD" w:rsidRDefault="008112BD" w:rsidP="008112BD">
      <w:pPr>
        <w:pStyle w:val="Apara"/>
      </w:pPr>
      <w:r>
        <w:tab/>
        <w:t>(c)</w:t>
      </w:r>
      <w:r>
        <w:tab/>
        <w:t>any other necessary changes were made.</w:t>
      </w:r>
    </w:p>
    <w:p w14:paraId="4C865041" w14:textId="77777777" w:rsidR="008112BD" w:rsidRPr="00C8328B" w:rsidRDefault="008112BD" w:rsidP="008112BD">
      <w:pPr>
        <w:pStyle w:val="AH3Div"/>
      </w:pPr>
      <w:bookmarkStart w:id="1299" w:name="_Toc185514915"/>
      <w:r w:rsidRPr="00C8328B">
        <w:rPr>
          <w:rStyle w:val="CharDivNo"/>
        </w:rPr>
        <w:lastRenderedPageBreak/>
        <w:t>Division 4.1.2</w:t>
      </w:r>
      <w:r>
        <w:tab/>
      </w:r>
      <w:r w:rsidRPr="00C8328B">
        <w:rPr>
          <w:rStyle w:val="CharDivText"/>
        </w:rPr>
        <w:t>Criminal proceedings—service</w:t>
      </w:r>
      <w:bookmarkEnd w:id="1299"/>
    </w:p>
    <w:p w14:paraId="57C1BA42" w14:textId="77777777" w:rsidR="008112BD" w:rsidRDefault="008112BD" w:rsidP="008112BD">
      <w:pPr>
        <w:pStyle w:val="AH5Sec"/>
      </w:pPr>
      <w:bookmarkStart w:id="1300" w:name="_Toc185514916"/>
      <w:r w:rsidRPr="00C8328B">
        <w:rPr>
          <w:rStyle w:val="CharSectNo"/>
        </w:rPr>
        <w:t>4005</w:t>
      </w:r>
      <w:r>
        <w:tab/>
        <w:t xml:space="preserve">Meaning of </w:t>
      </w:r>
      <w:r>
        <w:rPr>
          <w:rStyle w:val="charItals"/>
        </w:rPr>
        <w:t>accused person</w:t>
      </w:r>
      <w:r>
        <w:t xml:space="preserve"> for div 4.1.2—bail applications</w:t>
      </w:r>
      <w:bookmarkEnd w:id="1300"/>
    </w:p>
    <w:p w14:paraId="3E135E5A" w14:textId="77777777" w:rsidR="008112BD" w:rsidRDefault="008112BD" w:rsidP="008112BD">
      <w:pPr>
        <w:pStyle w:val="Amainreturn"/>
        <w:keepNext/>
      </w:pPr>
      <w:r>
        <w:t>In this division:</w:t>
      </w:r>
    </w:p>
    <w:p w14:paraId="08177D83" w14:textId="77777777" w:rsidR="008112BD" w:rsidRDefault="008112BD" w:rsidP="008112BD">
      <w:pPr>
        <w:pStyle w:val="aDef"/>
        <w:keepNext/>
      </w:pPr>
      <w:r w:rsidRPr="00FE0788">
        <w:rPr>
          <w:rStyle w:val="charBoldItals"/>
        </w:rPr>
        <w:t>accused person</w:t>
      </w:r>
      <w:r>
        <w:t xml:space="preserve"> includes—</w:t>
      </w:r>
    </w:p>
    <w:p w14:paraId="0836C3C4" w14:textId="72C9926F" w:rsidR="008112BD" w:rsidRDefault="008112BD" w:rsidP="008112BD">
      <w:pPr>
        <w:pStyle w:val="aDefpara"/>
      </w:pPr>
      <w:r>
        <w:tab/>
        <w:t>(a)</w:t>
      </w:r>
      <w:r>
        <w:tab/>
        <w:t xml:space="preserve">for an application under the </w:t>
      </w:r>
      <w:hyperlink r:id="rId564" w:tooltip="A1992-8" w:history="1">
        <w:r w:rsidRPr="00FE0788">
          <w:rPr>
            <w:rStyle w:val="charCitHyperlinkItal"/>
          </w:rPr>
          <w:t>Bail Act 1992</w:t>
        </w:r>
      </w:hyperlink>
      <w:r>
        <w:t>, division 6.2 (Review of decisions by courts)—a person who is an accused person for that division; and</w:t>
      </w:r>
    </w:p>
    <w:p w14:paraId="3800DA05" w14:textId="77777777" w:rsidR="008112BD" w:rsidRDefault="008112BD" w:rsidP="008112BD">
      <w:pPr>
        <w:pStyle w:val="aDefpara"/>
        <w:keepNext/>
      </w:pPr>
      <w:r>
        <w:tab/>
        <w:t>(b)</w:t>
      </w:r>
      <w:r>
        <w:tab/>
        <w:t>for any other application in relation to bail—a convicted person.</w:t>
      </w:r>
    </w:p>
    <w:p w14:paraId="13B8C4EA"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32670958" w14:textId="77777777" w:rsidR="008112BD" w:rsidRDefault="008112BD" w:rsidP="008112BD">
      <w:pPr>
        <w:pStyle w:val="AH5Sec"/>
      </w:pPr>
      <w:bookmarkStart w:id="1301" w:name="_Toc185514917"/>
      <w:r w:rsidRPr="00C8328B">
        <w:rPr>
          <w:rStyle w:val="CharSectNo"/>
        </w:rPr>
        <w:t>4006</w:t>
      </w:r>
      <w:r>
        <w:tab/>
        <w:t>Criminal proceedings—application of pt 6.8</w:t>
      </w:r>
      <w:bookmarkEnd w:id="1301"/>
    </w:p>
    <w:p w14:paraId="35DE419F" w14:textId="77777777" w:rsidR="008112BD" w:rsidRDefault="008112BD" w:rsidP="008112BD">
      <w:pPr>
        <w:pStyle w:val="Amainreturn"/>
        <w:keepNext/>
      </w:pPr>
      <w:r>
        <w:t>The following rules do not apply to a criminal proceeding:</w:t>
      </w:r>
    </w:p>
    <w:p w14:paraId="2A8843A2" w14:textId="77777777" w:rsidR="008112BD" w:rsidRDefault="008112BD" w:rsidP="008112BD">
      <w:pPr>
        <w:pStyle w:val="Apara"/>
      </w:pPr>
      <w:r>
        <w:tab/>
        <w:t>(a)</w:t>
      </w:r>
      <w:r>
        <w:tab/>
        <w:t>rule 6412 (Service of originating process by post—Magistrates Court);</w:t>
      </w:r>
    </w:p>
    <w:p w14:paraId="489773A5" w14:textId="77777777" w:rsidR="008112BD" w:rsidRDefault="008112BD" w:rsidP="008112BD">
      <w:pPr>
        <w:pStyle w:val="Apara"/>
      </w:pPr>
      <w:r>
        <w:tab/>
        <w:t>(b)</w:t>
      </w:r>
      <w:r>
        <w:tab/>
        <w:t>rule 6413 (Doubtful service—Magistrates Court);</w:t>
      </w:r>
    </w:p>
    <w:p w14:paraId="753C59F4" w14:textId="77777777" w:rsidR="008112BD" w:rsidRDefault="008112BD" w:rsidP="008112BD">
      <w:pPr>
        <w:pStyle w:val="Apara"/>
      </w:pPr>
      <w:r>
        <w:tab/>
        <w:t>(c)</w:t>
      </w:r>
      <w:r>
        <w:tab/>
        <w:t>rule 6421 (Service by filing);</w:t>
      </w:r>
    </w:p>
    <w:p w14:paraId="2753DDC1" w14:textId="77777777" w:rsidR="008112BD" w:rsidRDefault="008112BD" w:rsidP="008112BD">
      <w:pPr>
        <w:pStyle w:val="Apara"/>
      </w:pPr>
      <w:r>
        <w:tab/>
        <w:t>(d)</w:t>
      </w:r>
      <w:r>
        <w:tab/>
        <w:t>division 6.8.5 (Service—particular cases);</w:t>
      </w:r>
    </w:p>
    <w:p w14:paraId="576EEF2E" w14:textId="77777777" w:rsidR="008112BD" w:rsidRDefault="008112BD" w:rsidP="008112BD">
      <w:pPr>
        <w:pStyle w:val="Apara"/>
      </w:pPr>
      <w:r>
        <w:tab/>
        <w:t>(e)</w:t>
      </w:r>
      <w:r>
        <w:tab/>
        <w:t>rule 6460 (Substituted service)</w:t>
      </w:r>
      <w:r>
        <w:rPr>
          <w:lang w:val="en-US"/>
        </w:rPr>
        <w:t>;</w:t>
      </w:r>
    </w:p>
    <w:p w14:paraId="55DAAF25" w14:textId="77777777" w:rsidR="008112BD" w:rsidRDefault="008112BD" w:rsidP="008112BD">
      <w:pPr>
        <w:pStyle w:val="Apara"/>
        <w:rPr>
          <w:lang w:val="en-US"/>
        </w:rPr>
      </w:pPr>
      <w:r>
        <w:tab/>
        <w:t>(f)</w:t>
      </w:r>
      <w:r>
        <w:tab/>
      </w:r>
      <w:r>
        <w:rPr>
          <w:lang w:val="en-US"/>
        </w:rPr>
        <w:t>rule 6461 (Informal service);</w:t>
      </w:r>
    </w:p>
    <w:p w14:paraId="417E0CD0" w14:textId="77777777" w:rsidR="008112BD" w:rsidRDefault="008112BD" w:rsidP="008112BD">
      <w:pPr>
        <w:pStyle w:val="Apara"/>
      </w:pPr>
      <w:r>
        <w:tab/>
        <w:t>(g)</w:t>
      </w:r>
      <w:r>
        <w:tab/>
        <w:t>rule 6462 (Service on agent);</w:t>
      </w:r>
    </w:p>
    <w:p w14:paraId="1BBE5065" w14:textId="77777777" w:rsidR="008112BD" w:rsidRDefault="008112BD" w:rsidP="008112BD">
      <w:pPr>
        <w:pStyle w:val="Apara"/>
      </w:pPr>
      <w:r>
        <w:tab/>
        <w:t>(h)</w:t>
      </w:r>
      <w:r>
        <w:tab/>
        <w:t>rule 6463 (Service under contract);</w:t>
      </w:r>
    </w:p>
    <w:p w14:paraId="6F1EFB72" w14:textId="77777777" w:rsidR="002A5D94" w:rsidRPr="00A60754" w:rsidRDefault="002A5D94" w:rsidP="002A5D94">
      <w:pPr>
        <w:pStyle w:val="Apara"/>
      </w:pPr>
      <w:r w:rsidRPr="00A60754">
        <w:tab/>
        <w:t>(i)</w:t>
      </w:r>
      <w:r w:rsidRPr="00A60754">
        <w:tab/>
        <w:t>division 6.8.9 (Service out of Australia);</w:t>
      </w:r>
    </w:p>
    <w:p w14:paraId="12A12C91" w14:textId="77777777" w:rsidR="008112BD" w:rsidRDefault="008112BD" w:rsidP="008112BD">
      <w:pPr>
        <w:pStyle w:val="Apara"/>
      </w:pPr>
      <w:r>
        <w:tab/>
        <w:t>(j)</w:t>
      </w:r>
      <w:r>
        <w:tab/>
        <w:t>division 6.8.11 (Service of foreign legal process in the ACT);</w:t>
      </w:r>
    </w:p>
    <w:p w14:paraId="4C377CBC" w14:textId="77777777" w:rsidR="008112BD" w:rsidRPr="00C754DF" w:rsidRDefault="008112BD" w:rsidP="008112BD">
      <w:pPr>
        <w:pStyle w:val="Apara"/>
      </w:pPr>
      <w:r w:rsidRPr="00C754DF">
        <w:tab/>
        <w:t>(</w:t>
      </w:r>
      <w:r>
        <w:t>k</w:t>
      </w:r>
      <w:r w:rsidRPr="00C754DF">
        <w:t>)</w:t>
      </w:r>
      <w:r w:rsidRPr="00C754DF">
        <w:tab/>
        <w:t>division 6.8.12 (Service under the Hague Convention).</w:t>
      </w:r>
    </w:p>
    <w:p w14:paraId="07B90BC5" w14:textId="77777777" w:rsidR="008112BD" w:rsidRDefault="008112BD" w:rsidP="008112BD">
      <w:pPr>
        <w:pStyle w:val="AH5Sec"/>
      </w:pPr>
      <w:bookmarkStart w:id="1302" w:name="_Toc185514918"/>
      <w:r w:rsidRPr="00C8328B">
        <w:rPr>
          <w:rStyle w:val="CharSectNo"/>
        </w:rPr>
        <w:lastRenderedPageBreak/>
        <w:t>4007</w:t>
      </w:r>
      <w:r>
        <w:tab/>
        <w:t>Criminal proceedings—service on accused person by filing if no address for service</w:t>
      </w:r>
      <w:bookmarkEnd w:id="1302"/>
    </w:p>
    <w:p w14:paraId="61054561" w14:textId="77777777" w:rsidR="008112BD" w:rsidRDefault="008112BD" w:rsidP="008112BD">
      <w:pPr>
        <w:pStyle w:val="Amain"/>
      </w:pPr>
      <w:r>
        <w:tab/>
        <w:t>(1)</w:t>
      </w:r>
      <w:r>
        <w:tab/>
        <w:t>This rule applies if an accused person in a criminal proceeding—</w:t>
      </w:r>
    </w:p>
    <w:p w14:paraId="224378A6" w14:textId="77777777" w:rsidR="008112BD" w:rsidRDefault="008112BD" w:rsidP="008112BD">
      <w:pPr>
        <w:pStyle w:val="Apara"/>
      </w:pPr>
      <w:r>
        <w:tab/>
        <w:t>(a)</w:t>
      </w:r>
      <w:r>
        <w:tab/>
        <w:t>is not in custody; and</w:t>
      </w:r>
    </w:p>
    <w:p w14:paraId="11784D0D" w14:textId="77777777" w:rsidR="008112BD" w:rsidRDefault="008112BD" w:rsidP="008112BD">
      <w:pPr>
        <w:pStyle w:val="Apara"/>
      </w:pPr>
      <w:r>
        <w:tab/>
        <w:t>(b)</w:t>
      </w:r>
      <w:r>
        <w:tab/>
        <w:t>is not represented by a solicitor.</w:t>
      </w:r>
    </w:p>
    <w:p w14:paraId="4F30AFE8" w14:textId="77777777" w:rsidR="008112BD" w:rsidRDefault="008112BD" w:rsidP="008112BD">
      <w:pPr>
        <w:pStyle w:val="Amain"/>
      </w:pPr>
      <w:r>
        <w:tab/>
        <w:t>(2)</w:t>
      </w:r>
      <w:r>
        <w:tab/>
        <w:t>If the accused person does not have an address for service, a document for which personal service is not necessary may be served on the person by—</w:t>
      </w:r>
    </w:p>
    <w:p w14:paraId="19D93C5D" w14:textId="77777777" w:rsidR="008112BD" w:rsidRDefault="008112BD" w:rsidP="008112BD">
      <w:pPr>
        <w:pStyle w:val="Apara"/>
      </w:pPr>
      <w:r>
        <w:tab/>
        <w:t>(a)</w:t>
      </w:r>
      <w:r>
        <w:tab/>
        <w:t>filing it; and</w:t>
      </w:r>
    </w:p>
    <w:p w14:paraId="3DED7089" w14:textId="77777777" w:rsidR="008112BD" w:rsidRDefault="008112BD" w:rsidP="008112BD">
      <w:pPr>
        <w:pStyle w:val="Apara"/>
        <w:keepNext/>
      </w:pPr>
      <w:r>
        <w:tab/>
        <w:t>(b)</w:t>
      </w:r>
      <w:r>
        <w:tab/>
        <w:t>sending a copy by prepaid post addressed to the accused person at the person’s last-known address.</w:t>
      </w:r>
    </w:p>
    <w:p w14:paraId="59030CD0"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650F679E" w14:textId="77777777" w:rsidR="008112BD" w:rsidRDefault="008112BD" w:rsidP="008112BD">
      <w:pPr>
        <w:pStyle w:val="Amain"/>
      </w:pPr>
      <w:r>
        <w:tab/>
        <w:t>(3)</w:t>
      </w:r>
      <w:r>
        <w:tab/>
        <w:t>A document filed under subrule (2) (a) must have endorsed on its first page a statement that it is filed under this rule.</w:t>
      </w:r>
    </w:p>
    <w:p w14:paraId="1B07135C" w14:textId="77777777" w:rsidR="008112BD" w:rsidRDefault="008112BD" w:rsidP="008112BD">
      <w:pPr>
        <w:pStyle w:val="AH5Sec"/>
      </w:pPr>
      <w:bookmarkStart w:id="1303" w:name="_Toc185514919"/>
      <w:r w:rsidRPr="00C8328B">
        <w:rPr>
          <w:rStyle w:val="CharSectNo"/>
        </w:rPr>
        <w:t>4008</w:t>
      </w:r>
      <w:r>
        <w:tab/>
        <w:t>Criminal proceedings—service if no-one found at accused person’s address for service</w:t>
      </w:r>
      <w:bookmarkEnd w:id="1303"/>
    </w:p>
    <w:p w14:paraId="797E66AB" w14:textId="77777777" w:rsidR="008112BD" w:rsidRDefault="008112BD" w:rsidP="008112BD">
      <w:pPr>
        <w:pStyle w:val="Amain"/>
      </w:pPr>
      <w:r>
        <w:tab/>
        <w:t>(1)</w:t>
      </w:r>
      <w:r>
        <w:tab/>
        <w:t>This rule applies if—</w:t>
      </w:r>
    </w:p>
    <w:p w14:paraId="01359B72" w14:textId="77777777" w:rsidR="008112BD" w:rsidRDefault="008112BD" w:rsidP="008112BD">
      <w:pPr>
        <w:pStyle w:val="Apara"/>
      </w:pPr>
      <w:r>
        <w:tab/>
        <w:t>(a)</w:t>
      </w:r>
      <w:r>
        <w:tab/>
        <w:t>an accused person in a criminal proceeding—</w:t>
      </w:r>
    </w:p>
    <w:p w14:paraId="0099187E" w14:textId="77777777" w:rsidR="008112BD" w:rsidRDefault="008112BD" w:rsidP="008112BD">
      <w:pPr>
        <w:pStyle w:val="Asubpara"/>
      </w:pPr>
      <w:r>
        <w:tab/>
        <w:t>(i)</w:t>
      </w:r>
      <w:r>
        <w:tab/>
        <w:t>is not in custody; and</w:t>
      </w:r>
    </w:p>
    <w:p w14:paraId="0C4D5678" w14:textId="77777777" w:rsidR="008112BD" w:rsidRDefault="008112BD" w:rsidP="008112BD">
      <w:pPr>
        <w:pStyle w:val="Asubpara"/>
      </w:pPr>
      <w:r>
        <w:tab/>
        <w:t>(ii)</w:t>
      </w:r>
      <w:r>
        <w:tab/>
        <w:t>is not represented by a solicitor; and</w:t>
      </w:r>
    </w:p>
    <w:p w14:paraId="0DFAFD84" w14:textId="77777777" w:rsidR="008112BD" w:rsidRDefault="008112BD" w:rsidP="008112BD">
      <w:pPr>
        <w:pStyle w:val="Asubpara"/>
      </w:pPr>
      <w:r>
        <w:tab/>
        <w:t>(iii)</w:t>
      </w:r>
      <w:r>
        <w:tab/>
        <w:t>has an address for service; and</w:t>
      </w:r>
    </w:p>
    <w:p w14:paraId="70DC79D4" w14:textId="77777777" w:rsidR="008112BD" w:rsidRDefault="008112BD" w:rsidP="008112BD">
      <w:pPr>
        <w:pStyle w:val="Apara"/>
      </w:pPr>
      <w:r>
        <w:tab/>
        <w:t>(b)</w:t>
      </w:r>
      <w:r>
        <w:tab/>
        <w:t>no-one can be found at the address.</w:t>
      </w:r>
    </w:p>
    <w:p w14:paraId="553AA8AF" w14:textId="77777777"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14:paraId="4666265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7DA304C" w14:textId="77777777" w:rsidR="008112BD" w:rsidRDefault="008112BD" w:rsidP="008112BD">
      <w:pPr>
        <w:pStyle w:val="AH5Sec"/>
      </w:pPr>
      <w:bookmarkStart w:id="1304" w:name="_Toc185514920"/>
      <w:r w:rsidRPr="00C8328B">
        <w:rPr>
          <w:rStyle w:val="CharSectNo"/>
        </w:rPr>
        <w:lastRenderedPageBreak/>
        <w:t>4009</w:t>
      </w:r>
      <w:r>
        <w:tab/>
        <w:t>Criminal proceedings—service of documents when unrepresented accused person in custody</w:t>
      </w:r>
      <w:bookmarkEnd w:id="1304"/>
    </w:p>
    <w:p w14:paraId="687BB923" w14:textId="77777777" w:rsidR="008112BD" w:rsidRDefault="008112BD" w:rsidP="008112BD">
      <w:pPr>
        <w:pStyle w:val="Amain"/>
        <w:keepNext/>
      </w:pPr>
      <w:r>
        <w:tab/>
        <w:t>(1)</w:t>
      </w:r>
      <w:r>
        <w:tab/>
        <w:t>This rule applies if an accused person in a criminal proceeding—</w:t>
      </w:r>
    </w:p>
    <w:p w14:paraId="6D7A5246" w14:textId="77777777" w:rsidR="008112BD" w:rsidRDefault="008112BD" w:rsidP="008112BD">
      <w:pPr>
        <w:pStyle w:val="Apara"/>
      </w:pPr>
      <w:r>
        <w:tab/>
        <w:t>(a)</w:t>
      </w:r>
      <w:r>
        <w:tab/>
        <w:t>is in custody; and</w:t>
      </w:r>
    </w:p>
    <w:p w14:paraId="08B32A1D" w14:textId="77777777" w:rsidR="008112BD" w:rsidRDefault="008112BD" w:rsidP="008112BD">
      <w:pPr>
        <w:pStyle w:val="Apara"/>
      </w:pPr>
      <w:r>
        <w:tab/>
        <w:t>(b)</w:t>
      </w:r>
      <w:r>
        <w:tab/>
        <w:t>is not represented by a solicitor.</w:t>
      </w:r>
    </w:p>
    <w:p w14:paraId="5C63568D" w14:textId="77777777"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14:paraId="69FC4C04" w14:textId="77777777" w:rsidR="008112BD" w:rsidRDefault="008112BD" w:rsidP="008112BD">
      <w:pPr>
        <w:pStyle w:val="Amain"/>
      </w:pPr>
      <w:r>
        <w:tab/>
        <w:t>(3)</w:t>
      </w:r>
      <w:r>
        <w:tab/>
        <w:t>A document required or allowed to be served on the accused person for the proceeding may be served by leaving the document with the person in charge of the place where the person is in custody.</w:t>
      </w:r>
    </w:p>
    <w:p w14:paraId="0EFD2BC5" w14:textId="77777777" w:rsidR="008112BD" w:rsidRDefault="008112BD" w:rsidP="008112BD">
      <w:pPr>
        <w:pStyle w:val="Amain"/>
      </w:pPr>
      <w:r>
        <w:tab/>
        <w:t>(4)</w:t>
      </w:r>
      <w:r>
        <w:tab/>
        <w:t>If a document mentioned in subrule (3) is served by the registrar, the document may be served—</w:t>
      </w:r>
    </w:p>
    <w:p w14:paraId="2184D0C7" w14:textId="77777777" w:rsidR="008112BD" w:rsidRDefault="008112BD" w:rsidP="008112BD">
      <w:pPr>
        <w:pStyle w:val="Apara"/>
      </w:pPr>
      <w:r>
        <w:tab/>
        <w:t>(a)</w:t>
      </w:r>
      <w:r>
        <w:tab/>
        <w:t>by sending a copy by prepaid post to the place where the accused person is in custody, addressed to the person in charge of the place; or</w:t>
      </w:r>
    </w:p>
    <w:p w14:paraId="7F4A1C36"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59292D1D" w14:textId="77777777" w:rsidR="008112BD" w:rsidRDefault="008112BD" w:rsidP="008112BD">
      <w:pPr>
        <w:pStyle w:val="Apara"/>
      </w:pPr>
      <w:r>
        <w:tab/>
        <w:t>(c)</w:t>
      </w:r>
      <w:r>
        <w:tab/>
        <w:t>if the place has a fax machine—by sending a copy by fax to the place, addressed to the person in charge of the place; or</w:t>
      </w:r>
    </w:p>
    <w:p w14:paraId="1BB4A826" w14:textId="77777777"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14:paraId="7CA381E2" w14:textId="77777777"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14:paraId="27BAB144" w14:textId="77777777" w:rsidR="008112BD" w:rsidRPr="00C8328B" w:rsidRDefault="008112BD" w:rsidP="008112BD">
      <w:pPr>
        <w:pStyle w:val="AH3Div"/>
      </w:pPr>
      <w:bookmarkStart w:id="1305" w:name="_Toc185514921"/>
      <w:r w:rsidRPr="00C8328B">
        <w:rPr>
          <w:rStyle w:val="CharDivNo"/>
        </w:rPr>
        <w:lastRenderedPageBreak/>
        <w:t>Division 4.1.3</w:t>
      </w:r>
      <w:r>
        <w:tab/>
      </w:r>
      <w:r w:rsidRPr="00C8328B">
        <w:rPr>
          <w:rStyle w:val="CharDivText"/>
        </w:rPr>
        <w:t>Criminal proceedings—enforcement</w:t>
      </w:r>
      <w:bookmarkEnd w:id="1305"/>
    </w:p>
    <w:p w14:paraId="402F426A" w14:textId="77777777" w:rsidR="008112BD" w:rsidRDefault="008112BD" w:rsidP="008112BD">
      <w:pPr>
        <w:pStyle w:val="AH5Sec"/>
      </w:pPr>
      <w:bookmarkStart w:id="1306" w:name="_Toc185514922"/>
      <w:r w:rsidRPr="00C8328B">
        <w:rPr>
          <w:rStyle w:val="CharSectNo"/>
        </w:rPr>
        <w:t>4020</w:t>
      </w:r>
      <w:r>
        <w:tab/>
        <w:t>Criminal proceedings—failure of individual to comply with subpoena etc</w:t>
      </w:r>
      <w:bookmarkEnd w:id="1306"/>
    </w:p>
    <w:p w14:paraId="7013A5A3" w14:textId="77777777" w:rsidR="008112BD" w:rsidRDefault="008112BD" w:rsidP="008112BD">
      <w:pPr>
        <w:pStyle w:val="Amain"/>
      </w:pPr>
      <w:r>
        <w:tab/>
        <w:t>(1)</w:t>
      </w:r>
      <w:r>
        <w:tab/>
        <w:t>This rule applies if an individual fails to comply with—</w:t>
      </w:r>
    </w:p>
    <w:p w14:paraId="3CC642D8" w14:textId="77777777" w:rsidR="008112BD" w:rsidRDefault="008112BD" w:rsidP="008112BD">
      <w:pPr>
        <w:pStyle w:val="Apara"/>
      </w:pPr>
      <w:r>
        <w:tab/>
        <w:t>(a)</w:t>
      </w:r>
      <w:r>
        <w:tab/>
        <w:t>a subpoena; or</w:t>
      </w:r>
    </w:p>
    <w:p w14:paraId="1CFF3036" w14:textId="77777777" w:rsidR="008112BD" w:rsidRDefault="008112BD" w:rsidP="008112BD">
      <w:pPr>
        <w:pStyle w:val="Apara"/>
      </w:pPr>
      <w:r>
        <w:tab/>
        <w:t>(b)</w:t>
      </w:r>
      <w:r>
        <w:tab/>
        <w:t>an order requiring attendance to give evidence or produce a document or thing before—</w:t>
      </w:r>
    </w:p>
    <w:p w14:paraId="04E955FF" w14:textId="77777777" w:rsidR="008112BD" w:rsidRDefault="008112BD" w:rsidP="008112BD">
      <w:pPr>
        <w:pStyle w:val="Asubpara"/>
      </w:pPr>
      <w:r>
        <w:tab/>
        <w:t>(i)</w:t>
      </w:r>
      <w:r>
        <w:tab/>
        <w:t>the court; or</w:t>
      </w:r>
    </w:p>
    <w:p w14:paraId="0694CAF7" w14:textId="77777777" w:rsidR="008112BD" w:rsidRDefault="008112BD" w:rsidP="008112BD">
      <w:pPr>
        <w:pStyle w:val="Asubpara"/>
      </w:pPr>
      <w:r>
        <w:tab/>
        <w:t>(ii)</w:t>
      </w:r>
      <w:r>
        <w:tab/>
        <w:t>an officer, examiner or anyone else who has authority to take evidence for the court.</w:t>
      </w:r>
    </w:p>
    <w:p w14:paraId="153B2978" w14:textId="77777777" w:rsidR="008112BD" w:rsidRDefault="008112BD" w:rsidP="008112BD">
      <w:pPr>
        <w:pStyle w:val="Amain"/>
      </w:pPr>
      <w:r>
        <w:tab/>
        <w:t>(2)</w:t>
      </w:r>
      <w:r>
        <w:tab/>
        <w:t>The court may make an order for the issue of a warrant to an enforcement officer for—</w:t>
      </w:r>
    </w:p>
    <w:p w14:paraId="19B29BDD" w14:textId="77777777" w:rsidR="008112BD" w:rsidRDefault="008112BD" w:rsidP="008112BD">
      <w:pPr>
        <w:pStyle w:val="Apara"/>
      </w:pPr>
      <w:r>
        <w:tab/>
        <w:t>(a)</w:t>
      </w:r>
      <w:r>
        <w:tab/>
        <w:t>the arrest of the individual; and</w:t>
      </w:r>
    </w:p>
    <w:p w14:paraId="74123AC2" w14:textId="77777777" w:rsidR="008112BD" w:rsidRDefault="008112BD" w:rsidP="008112BD">
      <w:pPr>
        <w:pStyle w:val="Apara"/>
      </w:pPr>
      <w:r>
        <w:tab/>
        <w:t>(b)</w:t>
      </w:r>
      <w:r>
        <w:tab/>
        <w:t>the production of the individual as required by the subpoena or order for the purpose of the proceeding; and</w:t>
      </w:r>
    </w:p>
    <w:p w14:paraId="7A651DA2" w14:textId="77777777" w:rsidR="008112BD" w:rsidRDefault="008112BD" w:rsidP="008112BD">
      <w:pPr>
        <w:pStyle w:val="Apara"/>
        <w:keepNext/>
      </w:pPr>
      <w:r>
        <w:tab/>
        <w:t>(c)</w:t>
      </w:r>
      <w:r>
        <w:tab/>
        <w:t>the detention in custody of the individual until released by the court.</w:t>
      </w:r>
    </w:p>
    <w:p w14:paraId="142EC51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14CCDB6" w14:textId="77777777"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14:paraId="5A7CB9B3" w14:textId="77777777" w:rsidR="008112BD" w:rsidRDefault="008112BD" w:rsidP="008112BD">
      <w:pPr>
        <w:pStyle w:val="Amain"/>
        <w:keepNext/>
      </w:pPr>
      <w:r>
        <w:tab/>
        <w:t>(4)</w:t>
      </w:r>
      <w:r>
        <w:tab/>
        <w:t>This rule does not limit any other power of the court.</w:t>
      </w:r>
    </w:p>
    <w:p w14:paraId="7DECE828" w14:textId="3A26C6FB"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65" w:tooltip="A2002-51" w:history="1">
        <w:r w:rsidRPr="00FE0788">
          <w:rPr>
            <w:rStyle w:val="charCitHyperlinkAbbrev"/>
          </w:rPr>
          <w:t>Criminal Code</w:t>
        </w:r>
      </w:hyperlink>
      <w:r>
        <w:t>, s 719 and s 720).</w:t>
      </w:r>
    </w:p>
    <w:p w14:paraId="04934876" w14:textId="77777777" w:rsidR="008112BD" w:rsidRDefault="008112BD" w:rsidP="008112BD">
      <w:pPr>
        <w:pStyle w:val="AH5Sec"/>
      </w:pPr>
      <w:bookmarkStart w:id="1307" w:name="_Toc185514923"/>
      <w:r w:rsidRPr="00C8328B">
        <w:rPr>
          <w:rStyle w:val="CharSectNo"/>
        </w:rPr>
        <w:lastRenderedPageBreak/>
        <w:t>4021</w:t>
      </w:r>
      <w:r>
        <w:tab/>
        <w:t>Criminal proceedings—failure of corporation to comply with subpoena etc</w:t>
      </w:r>
      <w:bookmarkEnd w:id="1307"/>
    </w:p>
    <w:p w14:paraId="214F8925" w14:textId="77777777" w:rsidR="008112BD" w:rsidRDefault="008112BD" w:rsidP="008112BD">
      <w:pPr>
        <w:pStyle w:val="Amain"/>
      </w:pPr>
      <w:r>
        <w:tab/>
        <w:t>(1)</w:t>
      </w:r>
      <w:r>
        <w:tab/>
        <w:t>This rule applies if a corporation fails to comply with—</w:t>
      </w:r>
    </w:p>
    <w:p w14:paraId="034D25B7" w14:textId="77777777" w:rsidR="008112BD" w:rsidRDefault="008112BD" w:rsidP="008112BD">
      <w:pPr>
        <w:pStyle w:val="Apara"/>
      </w:pPr>
      <w:r>
        <w:tab/>
        <w:t>(a)</w:t>
      </w:r>
      <w:r>
        <w:tab/>
        <w:t>a subpoena; or</w:t>
      </w:r>
    </w:p>
    <w:p w14:paraId="41AC85B8" w14:textId="77777777" w:rsidR="008112BD" w:rsidRDefault="008112BD" w:rsidP="008112BD">
      <w:pPr>
        <w:pStyle w:val="Apara"/>
      </w:pPr>
      <w:r>
        <w:tab/>
        <w:t>(b)</w:t>
      </w:r>
      <w:r>
        <w:tab/>
        <w:t>an order requiring attendance to give evidence or produce a document or thing before—</w:t>
      </w:r>
    </w:p>
    <w:p w14:paraId="1292AC14" w14:textId="77777777" w:rsidR="008112BD" w:rsidRDefault="008112BD" w:rsidP="008112BD">
      <w:pPr>
        <w:pStyle w:val="Asubpara"/>
      </w:pPr>
      <w:r>
        <w:tab/>
        <w:t>(i)</w:t>
      </w:r>
      <w:r>
        <w:tab/>
        <w:t>the court; or</w:t>
      </w:r>
    </w:p>
    <w:p w14:paraId="1FE049A5" w14:textId="77777777" w:rsidR="008112BD" w:rsidRDefault="008112BD" w:rsidP="008112BD">
      <w:pPr>
        <w:pStyle w:val="Asubpara"/>
      </w:pPr>
      <w:r>
        <w:tab/>
        <w:t>(ii)</w:t>
      </w:r>
      <w:r>
        <w:tab/>
        <w:t>an officer, examiner or anyone else who has authority to take evidence for the court.</w:t>
      </w:r>
    </w:p>
    <w:p w14:paraId="7A75F244" w14:textId="77777777" w:rsidR="008112BD" w:rsidRDefault="008112BD" w:rsidP="008112BD">
      <w:pPr>
        <w:pStyle w:val="Amain"/>
        <w:keepNext/>
      </w:pPr>
      <w:r>
        <w:tab/>
        <w:t>(2)</w:t>
      </w:r>
      <w:r>
        <w:tab/>
        <w:t>The court may make an order for the issue of a warrant to an enforcement officer for—</w:t>
      </w:r>
    </w:p>
    <w:p w14:paraId="19DC04CE" w14:textId="77777777" w:rsidR="008112BD" w:rsidRDefault="008112BD" w:rsidP="008112BD">
      <w:pPr>
        <w:pStyle w:val="Apara"/>
      </w:pPr>
      <w:r>
        <w:tab/>
        <w:t>(a)</w:t>
      </w:r>
      <w:r>
        <w:tab/>
        <w:t>the arrest of a named senior officer of the corporation; and</w:t>
      </w:r>
    </w:p>
    <w:p w14:paraId="28B10E1B" w14:textId="77777777" w:rsidR="008112BD" w:rsidRDefault="008112BD" w:rsidP="008112BD">
      <w:pPr>
        <w:pStyle w:val="Apara"/>
      </w:pPr>
      <w:r>
        <w:tab/>
        <w:t>(b)</w:t>
      </w:r>
      <w:r>
        <w:tab/>
        <w:t>the production of the senior officer as required by the subpoena or order for the purpose of the proceeding; and</w:t>
      </w:r>
    </w:p>
    <w:p w14:paraId="2B76EF49" w14:textId="77777777" w:rsidR="008112BD" w:rsidRDefault="008112BD" w:rsidP="008112BD">
      <w:pPr>
        <w:pStyle w:val="Apara"/>
        <w:keepNext/>
      </w:pPr>
      <w:r>
        <w:tab/>
        <w:t>(c)</w:t>
      </w:r>
      <w:r>
        <w:tab/>
        <w:t>the detention in custody of the senior officer until released by the court.</w:t>
      </w:r>
    </w:p>
    <w:p w14:paraId="0CC696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9817040"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35BC2463" w14:textId="77777777" w:rsidR="008112BD" w:rsidRDefault="008112BD" w:rsidP="008112BD">
      <w:pPr>
        <w:pStyle w:val="Amain"/>
        <w:keepNext/>
      </w:pPr>
      <w:r>
        <w:tab/>
        <w:t>(4)</w:t>
      </w:r>
      <w:r>
        <w:tab/>
        <w:t>This rule does not limit any other power of the court.</w:t>
      </w:r>
    </w:p>
    <w:p w14:paraId="0DCCBB57" w14:textId="7AC0DEF7"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66" w:tooltip="A2002-51" w:history="1">
        <w:r w:rsidRPr="00FE0788">
          <w:rPr>
            <w:rStyle w:val="charCitHyperlinkAbbrev"/>
          </w:rPr>
          <w:t>Criminal Code</w:t>
        </w:r>
      </w:hyperlink>
      <w:r>
        <w:t>, s 719 and s 720).</w:t>
      </w:r>
    </w:p>
    <w:p w14:paraId="023BB620" w14:textId="77777777" w:rsidR="008112BD" w:rsidRPr="00C8328B" w:rsidRDefault="008112BD" w:rsidP="008112BD">
      <w:pPr>
        <w:pStyle w:val="AH3Div"/>
      </w:pPr>
      <w:bookmarkStart w:id="1308" w:name="_Toc185514924"/>
      <w:r w:rsidRPr="00C8328B">
        <w:rPr>
          <w:rStyle w:val="CharDivNo"/>
        </w:rPr>
        <w:lastRenderedPageBreak/>
        <w:t>Division 4.1.4</w:t>
      </w:r>
      <w:r>
        <w:tab/>
      </w:r>
      <w:r w:rsidRPr="00C8328B">
        <w:rPr>
          <w:rStyle w:val="CharDivText"/>
        </w:rPr>
        <w:t>Criminal proceedings—other provisions</w:t>
      </w:r>
      <w:bookmarkEnd w:id="1308"/>
    </w:p>
    <w:p w14:paraId="47C6A1F9" w14:textId="77777777" w:rsidR="008112BD" w:rsidRDefault="008112BD" w:rsidP="008112BD">
      <w:pPr>
        <w:pStyle w:val="AH5Sec"/>
      </w:pPr>
      <w:bookmarkStart w:id="1309" w:name="_Toc185514925"/>
      <w:r w:rsidRPr="00C8328B">
        <w:rPr>
          <w:rStyle w:val="CharSectNo"/>
        </w:rPr>
        <w:t>4050</w:t>
      </w:r>
      <w:r>
        <w:tab/>
        <w:t>Criminal proceedings—production of person in custody</w:t>
      </w:r>
      <w:bookmarkEnd w:id="1309"/>
    </w:p>
    <w:p w14:paraId="2A4097B7" w14:textId="77777777" w:rsidR="008112BD" w:rsidRDefault="008112BD" w:rsidP="008112BD">
      <w:pPr>
        <w:pStyle w:val="Amain"/>
        <w:keepNext/>
      </w:pPr>
      <w:r>
        <w:tab/>
        <w:t>(1)</w:t>
      </w:r>
      <w:r>
        <w:tab/>
        <w:t>The court may make the following orders:</w:t>
      </w:r>
    </w:p>
    <w:p w14:paraId="0B091230" w14:textId="77777777" w:rsidR="008112BD" w:rsidRDefault="008112BD" w:rsidP="008112BD">
      <w:pPr>
        <w:pStyle w:val="Apara"/>
      </w:pPr>
      <w:r>
        <w:tab/>
        <w:t>(a)</w:t>
      </w:r>
      <w:r>
        <w:tab/>
        <w:t>an order requiring the production of a person who is in custody;</w:t>
      </w:r>
    </w:p>
    <w:p w14:paraId="760B7295" w14:textId="77777777" w:rsidR="008112BD" w:rsidRDefault="008112BD" w:rsidP="008112BD">
      <w:pPr>
        <w:pStyle w:val="Apara"/>
        <w:keepNext/>
      </w:pPr>
      <w:r>
        <w:tab/>
        <w:t>(b)</w:t>
      </w:r>
      <w:r>
        <w:tab/>
        <w:t>an order about the continuing custody of a person who is in custody.</w:t>
      </w:r>
    </w:p>
    <w:p w14:paraId="3037B258" w14:textId="77777777" w:rsidR="008112BD" w:rsidRDefault="008112BD" w:rsidP="008112BD">
      <w:pPr>
        <w:pStyle w:val="Amain"/>
      </w:pPr>
      <w:r>
        <w:tab/>
        <w:t>(2)</w:t>
      </w:r>
      <w:r>
        <w:tab/>
        <w:t>The court may order that the person in custody be produced—</w:t>
      </w:r>
    </w:p>
    <w:p w14:paraId="63C1A951" w14:textId="77777777" w:rsidR="008112BD" w:rsidRDefault="008112BD" w:rsidP="008112BD">
      <w:pPr>
        <w:pStyle w:val="Apara"/>
      </w:pPr>
      <w:r>
        <w:tab/>
        <w:t>(a)</w:t>
      </w:r>
      <w:r>
        <w:tab/>
        <w:t>in person; or</w:t>
      </w:r>
    </w:p>
    <w:p w14:paraId="17896FFB" w14:textId="77777777" w:rsidR="008112BD" w:rsidRDefault="008112BD" w:rsidP="008112BD">
      <w:pPr>
        <w:pStyle w:val="Apara"/>
      </w:pPr>
      <w:r>
        <w:tab/>
        <w:t>(b)</w:t>
      </w:r>
      <w:r>
        <w:tab/>
        <w:t>by audiovisual link or audio link.</w:t>
      </w:r>
    </w:p>
    <w:p w14:paraId="0E99A4B6" w14:textId="77777777" w:rsidR="008112BD" w:rsidRDefault="008112BD" w:rsidP="008112BD">
      <w:pPr>
        <w:pStyle w:val="Amain"/>
        <w:keepNext/>
      </w:pPr>
      <w:r>
        <w:tab/>
        <w:t>(3)</w:t>
      </w:r>
      <w:r>
        <w:tab/>
        <w:t>An order under this rule may be made on the application of a party or on the court’s initiative.</w:t>
      </w:r>
    </w:p>
    <w:p w14:paraId="37509A4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2A3A9C09" w14:textId="77777777" w:rsidR="008112BD" w:rsidRDefault="008112BD" w:rsidP="008112BD">
      <w:pPr>
        <w:pStyle w:val="AH5Sec"/>
      </w:pPr>
      <w:bookmarkStart w:id="1310" w:name="_Toc185514926"/>
      <w:r w:rsidRPr="00C8328B">
        <w:rPr>
          <w:rStyle w:val="CharSectNo"/>
        </w:rPr>
        <w:t>4051</w:t>
      </w:r>
      <w:r>
        <w:tab/>
        <w:t>Criminal proceedings—defence response to prosecutor’s opening address</w:t>
      </w:r>
      <w:bookmarkEnd w:id="1310"/>
    </w:p>
    <w:p w14:paraId="2580D8BE" w14:textId="77777777" w:rsidR="008112BD" w:rsidRDefault="008112BD" w:rsidP="008112BD">
      <w:pPr>
        <w:pStyle w:val="Amainreturn"/>
      </w:pPr>
      <w:r>
        <w:t>If an accused person, or the person’s counsel, makes an opening response to the prosecutor’s opening address in a trial, the response—</w:t>
      </w:r>
    </w:p>
    <w:p w14:paraId="5B07B1D6" w14:textId="77777777" w:rsidR="008112BD" w:rsidRDefault="008112BD" w:rsidP="008112BD">
      <w:pPr>
        <w:pStyle w:val="Apara"/>
      </w:pPr>
      <w:r>
        <w:tab/>
        <w:t>(a)</w:t>
      </w:r>
      <w:r>
        <w:tab/>
        <w:t>must identify the acts, facts, matters and circumstances with which issue is taken in the prosecutor’s opening address and the basis on which issue is taken; and</w:t>
      </w:r>
    </w:p>
    <w:p w14:paraId="513E3D27" w14:textId="77777777" w:rsidR="008112BD" w:rsidRDefault="008112BD" w:rsidP="008112BD">
      <w:pPr>
        <w:pStyle w:val="Apara"/>
      </w:pPr>
      <w:r>
        <w:tab/>
        <w:t>(b)</w:t>
      </w:r>
      <w:r>
        <w:tab/>
        <w:t>must not state facts that cannot be supported by evidence to be presented, or that has been presented, at the trial.</w:t>
      </w:r>
    </w:p>
    <w:p w14:paraId="5BBCD5E9" w14:textId="77777777" w:rsidR="008112BD" w:rsidRDefault="008112BD" w:rsidP="008112BD">
      <w:pPr>
        <w:pStyle w:val="AH5Sec"/>
      </w:pPr>
      <w:bookmarkStart w:id="1311" w:name="_Toc185514927"/>
      <w:r w:rsidRPr="00C8328B">
        <w:rPr>
          <w:rStyle w:val="CharSectNo"/>
        </w:rPr>
        <w:lastRenderedPageBreak/>
        <w:t>4052</w:t>
      </w:r>
      <w:r>
        <w:tab/>
        <w:t>Criminal proceedings—execution of documents</w:t>
      </w:r>
      <w:bookmarkEnd w:id="1311"/>
    </w:p>
    <w:p w14:paraId="76673631" w14:textId="77777777" w:rsidR="008112BD" w:rsidRDefault="008112BD" w:rsidP="002B2764">
      <w:pPr>
        <w:pStyle w:val="Amainreturn"/>
        <w:keepLines/>
      </w:pPr>
      <w:r>
        <w:t>The registrar or a justice of the peace may witness any document required or allowed to be entered into under an order, decision or other sentence (however described) of the court in a criminal proceeding.</w:t>
      </w:r>
    </w:p>
    <w:p w14:paraId="7096DAE0" w14:textId="77777777" w:rsidR="008112BD" w:rsidRDefault="008112BD" w:rsidP="008112BD">
      <w:pPr>
        <w:pStyle w:val="AH5Sec"/>
      </w:pPr>
      <w:bookmarkStart w:id="1312" w:name="_Toc185514928"/>
      <w:r w:rsidRPr="00C8328B">
        <w:rPr>
          <w:rStyle w:val="CharSectNo"/>
        </w:rPr>
        <w:t>4053</w:t>
      </w:r>
      <w:r>
        <w:tab/>
        <w:t>Criminal proceedings—inspection of registry files</w:t>
      </w:r>
      <w:bookmarkEnd w:id="1312"/>
    </w:p>
    <w:p w14:paraId="6657C4ED" w14:textId="77777777" w:rsidR="008112BD" w:rsidRDefault="008112BD" w:rsidP="008112BD">
      <w:pPr>
        <w:pStyle w:val="Amain"/>
        <w:keepNext/>
      </w:pPr>
      <w:r>
        <w:tab/>
        <w:t>(1)</w:t>
      </w:r>
      <w:r>
        <w:tab/>
        <w:t>Anyone may search the registry for, inspect, or take a copy of, any document filed in the registry in a criminal proceeding.</w:t>
      </w:r>
    </w:p>
    <w:p w14:paraId="502A942F" w14:textId="4C7331FD" w:rsidR="008112BD" w:rsidRDefault="008112BD" w:rsidP="008112BD">
      <w:pPr>
        <w:pStyle w:val="aNote"/>
      </w:pPr>
      <w:r>
        <w:rPr>
          <w:rStyle w:val="charItals"/>
        </w:rPr>
        <w:t>Note</w:t>
      </w:r>
      <w:r>
        <w:tab/>
        <w:t xml:space="preserve">A fee may be determined under the </w:t>
      </w:r>
      <w:hyperlink r:id="rId567" w:tooltip="A2004-59" w:history="1">
        <w:r w:rsidRPr="00FE0788">
          <w:rPr>
            <w:rStyle w:val="charCitHyperlinkItal"/>
          </w:rPr>
          <w:t>Court Procedures Act 2004</w:t>
        </w:r>
      </w:hyperlink>
      <w:r>
        <w:t xml:space="preserve"> for this provision.</w:t>
      </w:r>
    </w:p>
    <w:p w14:paraId="0C83B1FC" w14:textId="77777777" w:rsidR="008112BD" w:rsidRDefault="008112BD" w:rsidP="00B72E8D">
      <w:pPr>
        <w:pStyle w:val="Amain"/>
        <w:keepNext/>
        <w:keepLines/>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334FBB08" w14:textId="77777777" w:rsidR="008112BD" w:rsidRDefault="008112BD" w:rsidP="008112BD">
      <w:pPr>
        <w:pStyle w:val="Apara"/>
      </w:pPr>
      <w:r>
        <w:tab/>
        <w:t>(a)</w:t>
      </w:r>
      <w:r>
        <w:tab/>
        <w:t>an order, transcript of the proceeding, or any other document, that the court has ordered to be kept confidential;</w:t>
      </w:r>
    </w:p>
    <w:p w14:paraId="14C6FB60" w14:textId="77777777" w:rsidR="008112BD" w:rsidRDefault="008112BD" w:rsidP="008112BD">
      <w:pPr>
        <w:pStyle w:val="Apara"/>
      </w:pPr>
      <w:r>
        <w:tab/>
        <w:t>(b)</w:t>
      </w:r>
      <w:r>
        <w:tab/>
        <w:t>an affidavit that has not been read in court;</w:t>
      </w:r>
    </w:p>
    <w:p w14:paraId="30A640B5" w14:textId="77777777" w:rsidR="008112BD" w:rsidRDefault="008112BD" w:rsidP="008112BD">
      <w:pPr>
        <w:pStyle w:val="Apara"/>
      </w:pPr>
      <w:r>
        <w:tab/>
        <w:t>(c)</w:t>
      </w:r>
      <w:r>
        <w:tab/>
        <w:t>a part of an affidavit ruled to be inadmissible in evidence;</w:t>
      </w:r>
    </w:p>
    <w:p w14:paraId="750D2762" w14:textId="77777777" w:rsidR="008112BD" w:rsidRDefault="008112BD" w:rsidP="008112BD">
      <w:pPr>
        <w:pStyle w:val="Apara"/>
      </w:pPr>
      <w:r>
        <w:tab/>
        <w:t>(d)</w:t>
      </w:r>
      <w:r>
        <w:tab/>
        <w:t>an admission that has not been admitted into evidence;</w:t>
      </w:r>
    </w:p>
    <w:p w14:paraId="14ACCD52" w14:textId="77777777" w:rsidR="008112BD" w:rsidRDefault="008112BD" w:rsidP="008112BD">
      <w:pPr>
        <w:pStyle w:val="Apara"/>
        <w:keepNext/>
      </w:pPr>
      <w:r>
        <w:tab/>
        <w:t>(e)</w:t>
      </w:r>
      <w:r>
        <w:tab/>
        <w:t>a subpoena;</w:t>
      </w:r>
    </w:p>
    <w:p w14:paraId="444D79DD"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6B48DA2A" w14:textId="77777777" w:rsidR="008112BD" w:rsidRDefault="008112BD" w:rsidP="008112BD">
      <w:pPr>
        <w:pStyle w:val="Apara"/>
      </w:pPr>
      <w:r>
        <w:tab/>
        <w:t>(f)</w:t>
      </w:r>
      <w:r>
        <w:tab/>
        <w:t>a deposition taken before an examiner;</w:t>
      </w:r>
    </w:p>
    <w:p w14:paraId="64E67704" w14:textId="77777777" w:rsidR="008112BD" w:rsidRDefault="008112BD" w:rsidP="008112BD">
      <w:pPr>
        <w:pStyle w:val="Apara"/>
      </w:pPr>
      <w:r>
        <w:tab/>
        <w:t>(g)</w:t>
      </w:r>
      <w:r>
        <w:tab/>
        <w:t>a document filed in support of an application made in the absence of a party;</w:t>
      </w:r>
    </w:p>
    <w:p w14:paraId="7870B4BC" w14:textId="77777777" w:rsidR="008112BD" w:rsidRDefault="008112BD" w:rsidP="008112BD">
      <w:pPr>
        <w:pStyle w:val="Apara"/>
      </w:pPr>
      <w:r>
        <w:tab/>
        <w:t>(h)</w:t>
      </w:r>
      <w:r>
        <w:tab/>
        <w:t>a written submission that has not been read in court;</w:t>
      </w:r>
    </w:p>
    <w:p w14:paraId="16D279CC" w14:textId="77777777" w:rsidR="008112BD" w:rsidRDefault="008112BD" w:rsidP="008112BD">
      <w:pPr>
        <w:pStyle w:val="Apara"/>
      </w:pPr>
      <w:r>
        <w:lastRenderedPageBreak/>
        <w:tab/>
        <w:t>(i)</w:t>
      </w:r>
      <w:r>
        <w:tab/>
        <w:t>an unsworn statement of evidence;</w:t>
      </w:r>
    </w:p>
    <w:p w14:paraId="2397575C" w14:textId="77777777" w:rsidR="008F186A" w:rsidRPr="00266A34" w:rsidRDefault="008F186A" w:rsidP="008F186A">
      <w:pPr>
        <w:pStyle w:val="Apara"/>
      </w:pPr>
      <w:r w:rsidRPr="00266A34">
        <w:tab/>
        <w:t>(j)</w:t>
      </w:r>
      <w:r w:rsidRPr="00266A34">
        <w:tab/>
        <w:t>an indictment on which the accused has not yet been arraigned;</w:t>
      </w:r>
    </w:p>
    <w:p w14:paraId="7FFF2C80" w14:textId="77777777" w:rsidR="008112BD" w:rsidRDefault="008112BD" w:rsidP="008112BD">
      <w:pPr>
        <w:pStyle w:val="Apara"/>
      </w:pPr>
      <w:r>
        <w:tab/>
        <w:t>(k)</w:t>
      </w:r>
      <w:r>
        <w:tab/>
        <w:t>a case statement filed by the prosecution until read in court;</w:t>
      </w:r>
    </w:p>
    <w:p w14:paraId="7B5B20A9" w14:textId="77777777" w:rsidR="008112BD" w:rsidRDefault="008112BD" w:rsidP="008112BD">
      <w:pPr>
        <w:pStyle w:val="Apara"/>
      </w:pPr>
      <w:r>
        <w:tab/>
        <w:t>(l)</w:t>
      </w:r>
      <w:r>
        <w:tab/>
        <w:t>a questionnaire completed by the parties;</w:t>
      </w:r>
    </w:p>
    <w:p w14:paraId="7200DE77" w14:textId="77777777" w:rsidR="008112BD" w:rsidRDefault="008112BD" w:rsidP="008112BD">
      <w:pPr>
        <w:pStyle w:val="Apara"/>
        <w:keepNext/>
      </w:pPr>
      <w:r>
        <w:tab/>
        <w:t>(m)</w:t>
      </w:r>
      <w:r>
        <w:tab/>
        <w:t>a document that the registrar decides should be confidential to the parties to the proceeding in the interests of justice.</w:t>
      </w:r>
    </w:p>
    <w:p w14:paraId="26636AC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4F04FFC8" w14:textId="77777777" w:rsidR="008112BD" w:rsidRDefault="008112BD" w:rsidP="008112BD">
      <w:pPr>
        <w:pStyle w:val="Amain"/>
      </w:pPr>
      <w:r>
        <w:tab/>
        <w:t>(3)</w:t>
      </w:r>
      <w:r>
        <w:tab/>
        <w:t>Also, a party to a proceeding may search the registry for, inspect, or take a copy of, a subpoena issued at the request of another party only with the court’s leave.</w:t>
      </w:r>
    </w:p>
    <w:p w14:paraId="0DD5762C" w14:textId="77777777" w:rsidR="008112BD" w:rsidRDefault="008112BD" w:rsidP="008112BD">
      <w:pPr>
        <w:pStyle w:val="Amain"/>
      </w:pPr>
      <w:r>
        <w:tab/>
        <w:t>(4)</w:t>
      </w:r>
      <w:r>
        <w:tab/>
        <w:t>However, subrule (3) does not apply to a subpoena that has been served on the party.</w:t>
      </w:r>
    </w:p>
    <w:p w14:paraId="512339A5"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4F67499B" w14:textId="77777777" w:rsidR="008112BD" w:rsidRDefault="008112BD" w:rsidP="008112BD">
      <w:pPr>
        <w:pStyle w:val="Apara"/>
      </w:pPr>
      <w:r>
        <w:tab/>
        <w:t>(a)</w:t>
      </w:r>
      <w:r>
        <w:tab/>
        <w:t>an application for a document, evidence or thing to be kept confidential;</w:t>
      </w:r>
    </w:p>
    <w:p w14:paraId="487F90E8" w14:textId="77777777" w:rsidR="008112BD" w:rsidRDefault="008112BD" w:rsidP="008112BD">
      <w:pPr>
        <w:pStyle w:val="Apara"/>
      </w:pPr>
      <w:r>
        <w:tab/>
        <w:t>(b)</w:t>
      </w:r>
      <w:r>
        <w:tab/>
        <w:t>an application for a document or thing to be granted privilege from production.</w:t>
      </w:r>
    </w:p>
    <w:p w14:paraId="60E6E6B3" w14:textId="77777777" w:rsidR="008112BD" w:rsidRDefault="008112BD" w:rsidP="008112BD">
      <w:pPr>
        <w:pStyle w:val="Amain"/>
        <w:keepNext/>
      </w:pPr>
      <w:r>
        <w:tab/>
        <w:t>(6)</w:t>
      </w:r>
      <w:r>
        <w:tab/>
        <w:t>Before considering an application for leave under subrule (2), the court may require the applicant for leave to do either or both of the following:</w:t>
      </w:r>
    </w:p>
    <w:p w14:paraId="152D59BD" w14:textId="77777777" w:rsidR="008112BD" w:rsidRDefault="008112BD" w:rsidP="008112BD">
      <w:pPr>
        <w:pStyle w:val="Apara"/>
      </w:pPr>
      <w:r>
        <w:tab/>
        <w:t>(a)</w:t>
      </w:r>
      <w:r>
        <w:tab/>
        <w:t>give notice of the application for leave to a party to the relevant proceeding or another interested person;</w:t>
      </w:r>
    </w:p>
    <w:p w14:paraId="07D8730B" w14:textId="77777777"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14:paraId="15C21622" w14:textId="77777777" w:rsidR="008112BD" w:rsidRDefault="008112BD" w:rsidP="008112BD">
      <w:pPr>
        <w:pStyle w:val="Amain"/>
        <w:keepNext/>
      </w:pPr>
      <w:r>
        <w:lastRenderedPageBreak/>
        <w:tab/>
        <w:t>(7)</w:t>
      </w:r>
      <w:r>
        <w:tab/>
        <w:t>In this rule:</w:t>
      </w:r>
    </w:p>
    <w:p w14:paraId="51D7E57A"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628B4BF7" w14:textId="287DECA7" w:rsidR="008112BD" w:rsidRDefault="008112BD" w:rsidP="008112BD">
      <w:pPr>
        <w:pStyle w:val="aNote"/>
        <w:keepNext/>
      </w:pPr>
      <w:r w:rsidRPr="00FE0788">
        <w:rPr>
          <w:rStyle w:val="charItals"/>
        </w:rPr>
        <w:t>Note</w:t>
      </w:r>
      <w:r w:rsidRPr="00FE0788">
        <w:rPr>
          <w:rStyle w:val="charItals"/>
        </w:rPr>
        <w:tab/>
      </w:r>
      <w:r>
        <w:t xml:space="preserve">The </w:t>
      </w:r>
      <w:hyperlink r:id="rId568"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14EE29FC" w14:textId="77777777" w:rsidR="008112BD" w:rsidRDefault="008112BD" w:rsidP="008112BD">
      <w:pPr>
        <w:pStyle w:val="aNotePara"/>
        <w:keepNext/>
      </w:pPr>
      <w:r>
        <w:tab/>
        <w:t>(a)</w:t>
      </w:r>
      <w:r>
        <w:tab/>
        <w:t>anything on which there is writing; or</w:t>
      </w:r>
    </w:p>
    <w:p w14:paraId="0FCD6791" w14:textId="77777777"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14:paraId="560ACFEF"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77D7EEBE" w14:textId="77777777" w:rsidR="008112BD" w:rsidRDefault="008112BD" w:rsidP="008112BD">
      <w:pPr>
        <w:pStyle w:val="aNotePara"/>
      </w:pPr>
      <w:r>
        <w:tab/>
        <w:t>(d)</w:t>
      </w:r>
      <w:r>
        <w:tab/>
        <w:t>a drawing, map, photograph or plan.</w:t>
      </w:r>
    </w:p>
    <w:p w14:paraId="31EEF6F2" w14:textId="77777777" w:rsidR="008112BD" w:rsidRDefault="008112BD" w:rsidP="008112BD">
      <w:pPr>
        <w:pStyle w:val="AH5Sec"/>
      </w:pPr>
      <w:bookmarkStart w:id="1313" w:name="_Toc185514929"/>
      <w:r w:rsidRPr="00C8328B">
        <w:rPr>
          <w:rStyle w:val="CharSectNo"/>
        </w:rPr>
        <w:t>4054</w:t>
      </w:r>
      <w:r>
        <w:tab/>
        <w:t>Criminal proceedings—certificate of conviction</w:t>
      </w:r>
      <w:bookmarkEnd w:id="1313"/>
    </w:p>
    <w:p w14:paraId="37846893" w14:textId="77777777" w:rsidR="008112BD" w:rsidRDefault="008112BD" w:rsidP="00A835F6">
      <w:pPr>
        <w:pStyle w:val="Amain"/>
        <w:keepNext/>
      </w:pPr>
      <w:r>
        <w:tab/>
        <w:t>(1)</w:t>
      </w:r>
      <w:r>
        <w:tab/>
        <w:t>For a criminal proceeding, the registrar may issue a certificate of conviction.</w:t>
      </w:r>
    </w:p>
    <w:p w14:paraId="6DAC8DE4" w14:textId="77777777" w:rsidR="008112BD" w:rsidRDefault="008112BD" w:rsidP="008112BD">
      <w:pPr>
        <w:pStyle w:val="Amain"/>
        <w:keepNext/>
      </w:pPr>
      <w:r>
        <w:tab/>
        <w:t>(2)</w:t>
      </w:r>
      <w:r>
        <w:tab/>
        <w:t>In this rule:</w:t>
      </w:r>
    </w:p>
    <w:p w14:paraId="0FCC5067" w14:textId="77777777"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14:paraId="2C353A8A" w14:textId="77777777" w:rsidR="008112BD" w:rsidRDefault="008112BD" w:rsidP="008112BD">
      <w:pPr>
        <w:pStyle w:val="aDefpara"/>
      </w:pPr>
      <w:r>
        <w:tab/>
        <w:t>(a)</w:t>
      </w:r>
      <w:r>
        <w:tab/>
        <w:t>a conviction recorded by the court for the person; or</w:t>
      </w:r>
    </w:p>
    <w:p w14:paraId="11137FAD" w14:textId="77777777" w:rsidR="008112BD" w:rsidRDefault="008112BD" w:rsidP="008112BD">
      <w:pPr>
        <w:pStyle w:val="aDefpara"/>
      </w:pPr>
      <w:r>
        <w:tab/>
        <w:t>(b)</w:t>
      </w:r>
      <w:r>
        <w:tab/>
        <w:t>a finding of guilt recorded by the court for the person.</w:t>
      </w:r>
    </w:p>
    <w:p w14:paraId="3415C486" w14:textId="77777777" w:rsidR="008112BD" w:rsidRDefault="008112BD" w:rsidP="008112BD">
      <w:pPr>
        <w:pStyle w:val="AH5Sec"/>
      </w:pPr>
      <w:bookmarkStart w:id="1314" w:name="_Toc185514930"/>
      <w:r w:rsidRPr="00C8328B">
        <w:rPr>
          <w:rStyle w:val="CharSectNo"/>
        </w:rPr>
        <w:t>4055</w:t>
      </w:r>
      <w:r>
        <w:tab/>
        <w:t>Criminal proceedings—preparation of judgments</w:t>
      </w:r>
      <w:bookmarkEnd w:id="1314"/>
    </w:p>
    <w:p w14:paraId="422116C1" w14:textId="77777777" w:rsidR="008112BD" w:rsidRDefault="008112BD" w:rsidP="008112BD">
      <w:pPr>
        <w:pStyle w:val="Amain"/>
        <w:keepNext/>
      </w:pPr>
      <w:r>
        <w:tab/>
        <w:t>(1)</w:t>
      </w:r>
      <w:r>
        <w:tab/>
        <w:t>In this rule:</w:t>
      </w:r>
    </w:p>
    <w:p w14:paraId="0A72CE4C" w14:textId="77777777" w:rsidR="008112BD" w:rsidRDefault="008112BD" w:rsidP="008112BD">
      <w:pPr>
        <w:pStyle w:val="aDef"/>
      </w:pPr>
      <w:r w:rsidRPr="00FE0788">
        <w:rPr>
          <w:rStyle w:val="charBoldItals"/>
        </w:rPr>
        <w:t>judgment</w:t>
      </w:r>
      <w:r>
        <w:t xml:space="preserve"> means sentence or other order.</w:t>
      </w:r>
    </w:p>
    <w:p w14:paraId="7160E776" w14:textId="77777777" w:rsidR="008112BD" w:rsidRDefault="008112BD" w:rsidP="008112BD">
      <w:pPr>
        <w:pStyle w:val="Amain"/>
        <w:keepNext/>
      </w:pPr>
      <w:r>
        <w:lastRenderedPageBreak/>
        <w:tab/>
        <w:t>(2)</w:t>
      </w:r>
      <w:r>
        <w:tab/>
        <w:t>At any time after a judgment has been given in a criminal proceeding, a party may give a draft of the judgment to the registrar.</w:t>
      </w:r>
    </w:p>
    <w:p w14:paraId="2D9CA05D" w14:textId="77777777" w:rsidR="008112BD" w:rsidRDefault="008112BD" w:rsidP="008112BD">
      <w:pPr>
        <w:pStyle w:val="aNote"/>
        <w:keepNext/>
      </w:pPr>
      <w:r w:rsidRPr="00FE0788">
        <w:rPr>
          <w:rStyle w:val="charItals"/>
        </w:rPr>
        <w:t>Note</w:t>
      </w:r>
      <w:r w:rsidRPr="00FE0788">
        <w:rPr>
          <w:rStyle w:val="charItals"/>
        </w:rPr>
        <w:tab/>
      </w:r>
      <w:r>
        <w:t>See</w:t>
      </w:r>
    </w:p>
    <w:p w14:paraId="6CC0EB6C" w14:textId="6BD2C931"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69" w:history="1">
        <w:r w:rsidR="00D03193">
          <w:rPr>
            <w:rStyle w:val="charCitHyperlinkAbbrev"/>
          </w:rPr>
          <w:t>AF2024-24</w:t>
        </w:r>
      </w:hyperlink>
    </w:p>
    <w:p w14:paraId="40146DB1" w14:textId="31A87798"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70" w:history="1">
        <w:r w:rsidR="00713A4F">
          <w:rPr>
            <w:rStyle w:val="charCitHyperlinkAbbrev"/>
          </w:rPr>
          <w:t>AF2024-25</w:t>
        </w:r>
      </w:hyperlink>
      <w:r>
        <w:t>.</w:t>
      </w:r>
    </w:p>
    <w:p w14:paraId="6AC10906" w14:textId="77777777"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14:paraId="0A841056" w14:textId="77777777" w:rsidR="008112BD" w:rsidRDefault="008112BD" w:rsidP="008112BD">
      <w:pPr>
        <w:pStyle w:val="Amain"/>
      </w:pPr>
      <w:r>
        <w:tab/>
        <w:t>(4)</w:t>
      </w:r>
      <w:r>
        <w:tab/>
        <w:t>The registrar—</w:t>
      </w:r>
    </w:p>
    <w:p w14:paraId="07736EF7" w14:textId="77777777" w:rsidR="008112BD" w:rsidRDefault="008112BD" w:rsidP="008112BD">
      <w:pPr>
        <w:pStyle w:val="Apara"/>
      </w:pPr>
      <w:r>
        <w:tab/>
        <w:t>(a)</w:t>
      </w:r>
      <w:r>
        <w:tab/>
        <w:t>may approve a draft of the judgment given to the registrar, with or without amendment; and</w:t>
      </w:r>
    </w:p>
    <w:p w14:paraId="7274A449" w14:textId="77777777" w:rsidR="008112BD" w:rsidRDefault="008112BD" w:rsidP="008112BD">
      <w:pPr>
        <w:pStyle w:val="Apara"/>
      </w:pPr>
      <w:r>
        <w:tab/>
        <w:t>(b)</w:t>
      </w:r>
      <w:r>
        <w:tab/>
        <w:t>must, on the filing of the engrossed judgment with the approved draft, enter the judgment.</w:t>
      </w:r>
    </w:p>
    <w:p w14:paraId="7FCF8B50" w14:textId="77777777" w:rsidR="008112BD" w:rsidRDefault="008112BD" w:rsidP="008112BD">
      <w:pPr>
        <w:pStyle w:val="PageBreak"/>
      </w:pPr>
      <w:r>
        <w:br w:type="page"/>
      </w:r>
    </w:p>
    <w:p w14:paraId="58207392" w14:textId="77777777" w:rsidR="008112BD" w:rsidRPr="00C8328B" w:rsidRDefault="008112BD" w:rsidP="008112BD">
      <w:pPr>
        <w:pStyle w:val="AH2Part"/>
      </w:pPr>
      <w:bookmarkStart w:id="1315" w:name="_Toc185514931"/>
      <w:r w:rsidRPr="00C8328B">
        <w:rPr>
          <w:rStyle w:val="CharPartNo"/>
        </w:rPr>
        <w:lastRenderedPageBreak/>
        <w:t>Part 4.2</w:t>
      </w:r>
      <w:r>
        <w:tab/>
      </w:r>
      <w:r w:rsidRPr="00C8328B">
        <w:rPr>
          <w:rStyle w:val="CharPartText"/>
        </w:rPr>
        <w:t>Magistrates Court criminal proceedings</w:t>
      </w:r>
      <w:bookmarkEnd w:id="1315"/>
    </w:p>
    <w:p w14:paraId="6FFE9D73" w14:textId="77777777" w:rsidR="008112BD" w:rsidRPr="00C8328B" w:rsidRDefault="008112BD" w:rsidP="008112BD">
      <w:pPr>
        <w:pStyle w:val="AH3Div"/>
      </w:pPr>
      <w:bookmarkStart w:id="1316" w:name="_Toc185514932"/>
      <w:r w:rsidRPr="00C8328B">
        <w:rPr>
          <w:rStyle w:val="CharDivNo"/>
        </w:rPr>
        <w:t>Division 4.2.1</w:t>
      </w:r>
      <w:r>
        <w:tab/>
      </w:r>
      <w:r w:rsidRPr="00C8328B">
        <w:rPr>
          <w:rStyle w:val="CharDivText"/>
        </w:rPr>
        <w:t>Magistrates Court criminal proceedings—preliminary</w:t>
      </w:r>
      <w:bookmarkEnd w:id="1316"/>
    </w:p>
    <w:p w14:paraId="15EB36D2" w14:textId="77777777" w:rsidR="008112BD" w:rsidRDefault="008112BD" w:rsidP="008112BD">
      <w:pPr>
        <w:pStyle w:val="AH5Sec"/>
      </w:pPr>
      <w:bookmarkStart w:id="1317" w:name="_Toc185514933"/>
      <w:r w:rsidRPr="00C8328B">
        <w:rPr>
          <w:rStyle w:val="CharSectNo"/>
        </w:rPr>
        <w:t>4300</w:t>
      </w:r>
      <w:r>
        <w:tab/>
        <w:t>Definitions—pt 4.2</w:t>
      </w:r>
      <w:bookmarkEnd w:id="1317"/>
    </w:p>
    <w:p w14:paraId="7BA2DB72" w14:textId="77777777" w:rsidR="008112BD" w:rsidRDefault="008112BD" w:rsidP="008112BD">
      <w:pPr>
        <w:pStyle w:val="Amainreturn"/>
        <w:keepNext/>
      </w:pPr>
      <w:r>
        <w:t>In this part:</w:t>
      </w:r>
    </w:p>
    <w:p w14:paraId="31C9975B" w14:textId="77777777" w:rsidR="008112BD" w:rsidRDefault="008112BD" w:rsidP="008112BD">
      <w:pPr>
        <w:pStyle w:val="aDef"/>
      </w:pPr>
      <w:r w:rsidRPr="00FE0788">
        <w:rPr>
          <w:rStyle w:val="charBoldItals"/>
        </w:rPr>
        <w:t>conviction</w:t>
      </w:r>
      <w:r>
        <w:t xml:space="preserve"> includes a finding of guilt recorded by the court for a person.</w:t>
      </w:r>
    </w:p>
    <w:p w14:paraId="1DC04A1D" w14:textId="77777777" w:rsidR="008112BD" w:rsidRDefault="008112BD" w:rsidP="008112BD">
      <w:pPr>
        <w:pStyle w:val="aDef"/>
      </w:pPr>
      <w:r w:rsidRPr="00FE0788">
        <w:rPr>
          <w:rStyle w:val="charBoldItals"/>
        </w:rPr>
        <w:t>defendant</w:t>
      </w:r>
      <w:r>
        <w:t xml:space="preserve"> means a person against whom an information is laid.</w:t>
      </w:r>
    </w:p>
    <w:p w14:paraId="74E7FC05" w14:textId="77777777" w:rsidR="008112BD" w:rsidRDefault="008112BD" w:rsidP="008112BD">
      <w:pPr>
        <w:pStyle w:val="aDef"/>
      </w:pPr>
      <w:r w:rsidRPr="00FE0788">
        <w:rPr>
          <w:rStyle w:val="charBoldItals"/>
        </w:rPr>
        <w:t>order</w:t>
      </w:r>
      <w:r>
        <w:t xml:space="preserve"> includes a conviction or sentence.</w:t>
      </w:r>
    </w:p>
    <w:p w14:paraId="02BC4295" w14:textId="77777777" w:rsidR="008112BD" w:rsidRDefault="008112BD" w:rsidP="008112BD">
      <w:pPr>
        <w:pStyle w:val="AH5Sec"/>
      </w:pPr>
      <w:bookmarkStart w:id="1318" w:name="_Toc185514934"/>
      <w:r w:rsidRPr="00C8328B">
        <w:rPr>
          <w:rStyle w:val="CharSectNo"/>
        </w:rPr>
        <w:t>4301</w:t>
      </w:r>
      <w:r>
        <w:tab/>
        <w:t>Application—pt 4.2</w:t>
      </w:r>
      <w:bookmarkEnd w:id="1318"/>
    </w:p>
    <w:p w14:paraId="0B52FDDD" w14:textId="77777777" w:rsidR="008112BD" w:rsidRDefault="008112BD" w:rsidP="008112BD">
      <w:pPr>
        <w:pStyle w:val="Amainreturn"/>
      </w:pPr>
      <w:r>
        <w:t>This part applies to a criminal proceeding in the Magistrates Court.</w:t>
      </w:r>
    </w:p>
    <w:p w14:paraId="09E1AF74" w14:textId="77777777" w:rsidR="001B4A1E" w:rsidRPr="00EE54A4" w:rsidRDefault="001B4A1E" w:rsidP="001B4A1E">
      <w:pPr>
        <w:pStyle w:val="AH3Div"/>
      </w:pPr>
      <w:bookmarkStart w:id="1319" w:name="_Toc185514935"/>
      <w:r w:rsidRPr="00F62934">
        <w:rPr>
          <w:rStyle w:val="CharDivNo"/>
        </w:rPr>
        <w:t>Division 4.2.1AA</w:t>
      </w:r>
      <w:r w:rsidRPr="00EE54A4">
        <w:tab/>
      </w:r>
      <w:r w:rsidRPr="00F62934">
        <w:rPr>
          <w:rStyle w:val="CharDivText"/>
        </w:rPr>
        <w:t>Magistrates Court criminal proceedings—first appearance</w:t>
      </w:r>
      <w:bookmarkEnd w:id="1319"/>
    </w:p>
    <w:p w14:paraId="3214A709" w14:textId="77777777" w:rsidR="001B4A1E" w:rsidRPr="00EE54A4" w:rsidRDefault="001B4A1E" w:rsidP="001B4A1E">
      <w:pPr>
        <w:pStyle w:val="AH5Sec"/>
      </w:pPr>
      <w:bookmarkStart w:id="1320" w:name="_Toc185514936"/>
      <w:r w:rsidRPr="00F62934">
        <w:rPr>
          <w:rStyle w:val="CharSectNo"/>
        </w:rPr>
        <w:t>4302</w:t>
      </w:r>
      <w:r w:rsidRPr="00EE54A4">
        <w:tab/>
        <w:t>When not necessary for court to read charges to defendant</w:t>
      </w:r>
      <w:bookmarkEnd w:id="1320"/>
    </w:p>
    <w:p w14:paraId="5D58CDCD" w14:textId="77777777" w:rsidR="001B4A1E" w:rsidRPr="00EE54A4" w:rsidRDefault="001B4A1E" w:rsidP="001B4A1E">
      <w:pPr>
        <w:pStyle w:val="Amain"/>
      </w:pPr>
      <w:r w:rsidRPr="00EE54A4">
        <w:tab/>
        <w:t>(1)</w:t>
      </w:r>
      <w:r w:rsidRPr="00EE54A4">
        <w:tab/>
        <w:t>This rule applies to a defendant in a criminal proceeding if—</w:t>
      </w:r>
    </w:p>
    <w:p w14:paraId="32DC1A00" w14:textId="66D05F94" w:rsidR="001B4A1E" w:rsidRPr="00EE54A4" w:rsidRDefault="001B4A1E" w:rsidP="001B4A1E">
      <w:pPr>
        <w:pStyle w:val="Apara"/>
      </w:pPr>
      <w:r w:rsidRPr="00EE54A4">
        <w:tab/>
        <w:t>(a)</w:t>
      </w:r>
      <w:r w:rsidRPr="00EE54A4">
        <w:tab/>
        <w:t xml:space="preserve">the defendant was served with a summons under the </w:t>
      </w:r>
      <w:hyperlink r:id="rId571" w:tooltip="A1930-21" w:history="1">
        <w:r w:rsidRPr="00EE54A4">
          <w:rPr>
            <w:rStyle w:val="charCitHyperlinkItal"/>
          </w:rPr>
          <w:t>Magistrates Court Act 1930</w:t>
        </w:r>
      </w:hyperlink>
      <w:r w:rsidRPr="00EE54A4">
        <w:t>, section 41 (Service of summons) and the information to which it relates; or</w:t>
      </w:r>
    </w:p>
    <w:p w14:paraId="40DE3463" w14:textId="1AD04C0B" w:rsidR="001B4A1E" w:rsidRPr="00EE54A4" w:rsidRDefault="001B4A1E" w:rsidP="001B4A1E">
      <w:pPr>
        <w:pStyle w:val="Apara"/>
      </w:pPr>
      <w:r w:rsidRPr="00EE54A4">
        <w:tab/>
        <w:t>(b)</w:t>
      </w:r>
      <w:r w:rsidRPr="00EE54A4">
        <w:tab/>
        <w:t xml:space="preserve">the defendant was served with a court attendance notice under the </w:t>
      </w:r>
      <w:hyperlink r:id="rId572" w:tooltip="A1930-21" w:history="1">
        <w:r w:rsidRPr="00EE54A4">
          <w:rPr>
            <w:rStyle w:val="charCitHyperlinkItal"/>
          </w:rPr>
          <w:t>Magistrates Court Act 1930</w:t>
        </w:r>
      </w:hyperlink>
      <w:r w:rsidRPr="00EE54A4">
        <w:rPr>
          <w:rStyle w:val="charItals"/>
        </w:rPr>
        <w:t xml:space="preserve">, </w:t>
      </w:r>
      <w:r w:rsidRPr="00EE54A4">
        <w:t>section 41B (Commencing criminal proceeding by court attendance notice); or</w:t>
      </w:r>
    </w:p>
    <w:p w14:paraId="278C9142" w14:textId="77777777" w:rsidR="001B4A1E" w:rsidRPr="00EE54A4" w:rsidRDefault="001B4A1E" w:rsidP="001B4A1E">
      <w:pPr>
        <w:pStyle w:val="Apara"/>
      </w:pPr>
      <w:r w:rsidRPr="00EE54A4">
        <w:tab/>
        <w:t>(c)</w:t>
      </w:r>
      <w:r w:rsidRPr="00EE54A4">
        <w:tab/>
        <w:t>the court is satisfied the defendant has otherwise received a written copy of an information laid against the defendant.</w:t>
      </w:r>
    </w:p>
    <w:p w14:paraId="56AD5BE7" w14:textId="77777777" w:rsidR="001B4A1E" w:rsidRPr="00EE54A4" w:rsidRDefault="001B4A1E" w:rsidP="001B4A1E">
      <w:pPr>
        <w:pStyle w:val="Amain"/>
      </w:pPr>
      <w:r w:rsidRPr="00EE54A4">
        <w:lastRenderedPageBreak/>
        <w:tab/>
        <w:t>(2)</w:t>
      </w:r>
      <w:r w:rsidRPr="00EE54A4">
        <w:tab/>
        <w:t>It is not necessary for the court to read the information laid against the defendant to the defendant at the defendant’s first appearance before the court.</w:t>
      </w:r>
    </w:p>
    <w:p w14:paraId="53AB9F55" w14:textId="77777777" w:rsidR="001B4A1E" w:rsidRPr="00EE54A4" w:rsidRDefault="001B4A1E" w:rsidP="001B4A1E">
      <w:pPr>
        <w:pStyle w:val="AH5Sec"/>
      </w:pPr>
      <w:bookmarkStart w:id="1321" w:name="_Toc185514937"/>
      <w:r w:rsidRPr="00F62934">
        <w:rPr>
          <w:rStyle w:val="CharSectNo"/>
        </w:rPr>
        <w:t>4303</w:t>
      </w:r>
      <w:r w:rsidRPr="00EE54A4">
        <w:tab/>
        <w:t>Represented defendant may enter plea or consent to summary disposal of proceeding</w:t>
      </w:r>
      <w:bookmarkEnd w:id="1321"/>
    </w:p>
    <w:p w14:paraId="7A0C67BA" w14:textId="77777777" w:rsidR="001B4A1E" w:rsidRPr="00EE54A4" w:rsidRDefault="001B4A1E" w:rsidP="001B4A1E">
      <w:pPr>
        <w:pStyle w:val="Amain"/>
      </w:pPr>
      <w:r w:rsidRPr="00EE54A4">
        <w:tab/>
        <w:t>(1)</w:t>
      </w:r>
      <w:r w:rsidRPr="00EE54A4">
        <w:tab/>
        <w:t>A defendant represented by a legal practitioner in a criminal proceeding may—</w:t>
      </w:r>
    </w:p>
    <w:p w14:paraId="48F44155" w14:textId="77777777" w:rsidR="001B4A1E" w:rsidRPr="00EE54A4" w:rsidRDefault="001B4A1E" w:rsidP="001B4A1E">
      <w:pPr>
        <w:pStyle w:val="Apara"/>
      </w:pPr>
      <w:r w:rsidRPr="00EE54A4">
        <w:tab/>
        <w:t>(a)</w:t>
      </w:r>
      <w:r w:rsidRPr="00EE54A4">
        <w:tab/>
        <w:t>enter a plea to an information by filing in the court a plea in writing—</w:t>
      </w:r>
    </w:p>
    <w:p w14:paraId="5D7B2FF8" w14:textId="77777777" w:rsidR="001B4A1E" w:rsidRPr="00EE54A4" w:rsidRDefault="001B4A1E" w:rsidP="001B4A1E">
      <w:pPr>
        <w:pStyle w:val="Asubpara"/>
      </w:pPr>
      <w:r w:rsidRPr="00EE54A4">
        <w:tab/>
        <w:t>(i)</w:t>
      </w:r>
      <w:r w:rsidRPr="00EE54A4">
        <w:tab/>
        <w:t>signed by the defendant; and</w:t>
      </w:r>
    </w:p>
    <w:p w14:paraId="59EC31FB" w14:textId="77777777" w:rsidR="001B4A1E" w:rsidRPr="00EE54A4" w:rsidRDefault="001B4A1E" w:rsidP="001B4A1E">
      <w:pPr>
        <w:pStyle w:val="Asubpara"/>
      </w:pPr>
      <w:r w:rsidRPr="00EE54A4">
        <w:tab/>
        <w:t>(ii)</w:t>
      </w:r>
      <w:r w:rsidRPr="00EE54A4">
        <w:tab/>
        <w:t>witnessed and certified by the legal practitioner; and</w:t>
      </w:r>
    </w:p>
    <w:p w14:paraId="554651CF" w14:textId="77777777" w:rsidR="001B4A1E" w:rsidRPr="00EE54A4" w:rsidRDefault="001B4A1E" w:rsidP="001B4A1E">
      <w:pPr>
        <w:pStyle w:val="Apara"/>
      </w:pPr>
      <w:r w:rsidRPr="00EE54A4">
        <w:tab/>
        <w:t>(b)</w:t>
      </w:r>
      <w:r w:rsidRPr="00EE54A4">
        <w:tab/>
        <w:t>consent to summary disposal of the proceeding by filing in the court a consent in writing—</w:t>
      </w:r>
    </w:p>
    <w:p w14:paraId="05BD540F" w14:textId="77777777" w:rsidR="001B4A1E" w:rsidRPr="00EE54A4" w:rsidRDefault="001B4A1E" w:rsidP="001B4A1E">
      <w:pPr>
        <w:pStyle w:val="Asubpara"/>
      </w:pPr>
      <w:r w:rsidRPr="00EE54A4">
        <w:tab/>
        <w:t>(i)</w:t>
      </w:r>
      <w:r w:rsidRPr="00EE54A4">
        <w:tab/>
        <w:t>signed by the defendant; and</w:t>
      </w:r>
    </w:p>
    <w:p w14:paraId="4B4E7F77" w14:textId="77777777" w:rsidR="001B4A1E" w:rsidRPr="00EE54A4" w:rsidRDefault="001B4A1E" w:rsidP="001B4A1E">
      <w:pPr>
        <w:pStyle w:val="Asubpara"/>
      </w:pPr>
      <w:r w:rsidRPr="00EE54A4">
        <w:tab/>
        <w:t>(ii)</w:t>
      </w:r>
      <w:r w:rsidRPr="00EE54A4">
        <w:tab/>
        <w:t>witnessed by the legal practitioner.</w:t>
      </w:r>
    </w:p>
    <w:p w14:paraId="1D7CE507" w14:textId="1C5DBBAC" w:rsidR="001B4A1E" w:rsidRPr="00EE54A4" w:rsidRDefault="001B4A1E" w:rsidP="001B4A1E">
      <w:pPr>
        <w:pStyle w:val="aNote"/>
      </w:pPr>
      <w:r w:rsidRPr="00EE54A4">
        <w:rPr>
          <w:rStyle w:val="charItals"/>
        </w:rPr>
        <w:t>Note</w:t>
      </w:r>
      <w:r w:rsidRPr="00EE54A4">
        <w:rPr>
          <w:rStyle w:val="charItals"/>
        </w:rPr>
        <w:tab/>
      </w:r>
      <w:r w:rsidRPr="00EE54A4">
        <w:t>See approved form 4.16 (Plea to information or consent to disposal of proceeding summarily)</w:t>
      </w:r>
      <w:r w:rsidR="005C2648">
        <w:t xml:space="preserve"> </w:t>
      </w:r>
      <w:hyperlink r:id="rId573" w:history="1">
        <w:r w:rsidR="00591D6C">
          <w:rPr>
            <w:rStyle w:val="charCitHyperlinkAbbrev"/>
          </w:rPr>
          <w:t>AF2024-40</w:t>
        </w:r>
      </w:hyperlink>
      <w:r w:rsidRPr="00EE54A4">
        <w:t>.</w:t>
      </w:r>
    </w:p>
    <w:p w14:paraId="5B6B0D7D" w14:textId="77777777" w:rsidR="001B4A1E" w:rsidRPr="00EE54A4" w:rsidRDefault="001B4A1E" w:rsidP="001B4A1E">
      <w:pPr>
        <w:pStyle w:val="Amain"/>
      </w:pPr>
      <w:r w:rsidRPr="00EE54A4">
        <w:tab/>
        <w:t>(2)</w:t>
      </w:r>
      <w:r w:rsidRPr="00EE54A4">
        <w:tab/>
        <w:t>The certification under subrule (1) (a) (ii) must certify that—</w:t>
      </w:r>
    </w:p>
    <w:p w14:paraId="34F16D58" w14:textId="77777777" w:rsidR="001B4A1E" w:rsidRPr="00EE54A4" w:rsidRDefault="001B4A1E" w:rsidP="001B4A1E">
      <w:pPr>
        <w:pStyle w:val="Apara"/>
      </w:pPr>
      <w:r w:rsidRPr="00EE54A4">
        <w:tab/>
        <w:t>(a)</w:t>
      </w:r>
      <w:r w:rsidRPr="00EE54A4">
        <w:tab/>
        <w:t>the defendant read or was made aware of the contents of the information; and</w:t>
      </w:r>
    </w:p>
    <w:p w14:paraId="2CFCA941" w14:textId="77777777" w:rsidR="001B4A1E" w:rsidRPr="00EE54A4" w:rsidRDefault="001B4A1E" w:rsidP="001B4A1E">
      <w:pPr>
        <w:pStyle w:val="Apara"/>
      </w:pPr>
      <w:r w:rsidRPr="00EE54A4">
        <w:tab/>
        <w:t>(b)</w:t>
      </w:r>
      <w:r w:rsidRPr="00EE54A4">
        <w:tab/>
        <w:t>the defendant was made aware of the effect of entering the plea, including that entering a plea of guilty to an offence in the information is a binding and unequivocal admission of guilt to each element of the offence; and</w:t>
      </w:r>
    </w:p>
    <w:p w14:paraId="73F5E5BF" w14:textId="77777777" w:rsidR="001B4A1E" w:rsidRPr="00EE54A4" w:rsidRDefault="001B4A1E" w:rsidP="001B4A1E">
      <w:pPr>
        <w:pStyle w:val="Apara"/>
      </w:pPr>
      <w:r w:rsidRPr="00EE54A4">
        <w:tab/>
        <w:t>(c)</w:t>
      </w:r>
      <w:r w:rsidRPr="00EE54A4">
        <w:tab/>
        <w:t>the defendant signed the plea after being made aware of the matters mentioned in paragraphs (a) and (b).</w:t>
      </w:r>
    </w:p>
    <w:p w14:paraId="3B7BC700" w14:textId="77777777" w:rsidR="008112BD" w:rsidRPr="00C8328B" w:rsidRDefault="008112BD" w:rsidP="008112BD">
      <w:pPr>
        <w:pStyle w:val="AH3Div"/>
      </w:pPr>
      <w:bookmarkStart w:id="1322" w:name="_Toc185514938"/>
      <w:r w:rsidRPr="00C8328B">
        <w:rPr>
          <w:rStyle w:val="CharDivNo"/>
        </w:rPr>
        <w:lastRenderedPageBreak/>
        <w:t>Division 4.2.1A</w:t>
      </w:r>
      <w:r>
        <w:tab/>
      </w:r>
      <w:r w:rsidRPr="00C8328B">
        <w:rPr>
          <w:rStyle w:val="CharDivText"/>
        </w:rPr>
        <w:t>Magistrates Court criminal proceedings—prosecution evidence in committal proceedings</w:t>
      </w:r>
      <w:bookmarkEnd w:id="1322"/>
    </w:p>
    <w:p w14:paraId="168E1329" w14:textId="77777777" w:rsidR="008112BD" w:rsidRDefault="008112BD" w:rsidP="008112BD">
      <w:pPr>
        <w:pStyle w:val="AH5Sec"/>
      </w:pPr>
      <w:bookmarkStart w:id="1323" w:name="_Toc185514939"/>
      <w:r w:rsidRPr="00C8328B">
        <w:rPr>
          <w:rStyle w:val="CharSectNo"/>
        </w:rPr>
        <w:t>4305</w:t>
      </w:r>
      <w:r>
        <w:tab/>
        <w:t xml:space="preserve">Prosecution evidence to be given to accused </w:t>
      </w:r>
      <w:r w:rsidRPr="00C46011">
        <w:t>etc</w:t>
      </w:r>
      <w:r>
        <w:t>—Magistrates Court Act, s 90</w:t>
      </w:r>
      <w:bookmarkEnd w:id="1323"/>
    </w:p>
    <w:p w14:paraId="6381BC4C" w14:textId="2D410619" w:rsidR="008112BD" w:rsidRPr="00C46011" w:rsidRDefault="008112BD" w:rsidP="008112BD">
      <w:pPr>
        <w:pStyle w:val="Amain"/>
      </w:pPr>
      <w:r>
        <w:tab/>
      </w:r>
      <w:r w:rsidRPr="00C46011">
        <w:t>(1)</w:t>
      </w:r>
      <w:r w:rsidRPr="00C46011">
        <w:tab/>
        <w:t xml:space="preserve">For the </w:t>
      </w:r>
      <w:hyperlink r:id="rId574"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14:paraId="0321967D" w14:textId="77777777" w:rsidR="008112BD" w:rsidRPr="00C46011" w:rsidRDefault="008112BD" w:rsidP="008112BD">
      <w:pPr>
        <w:pStyle w:val="Apara"/>
      </w:pPr>
      <w:r w:rsidRPr="00C46011">
        <w:tab/>
        <w:t>(a)</w:t>
      </w:r>
      <w:r w:rsidRPr="00C46011">
        <w:tab/>
        <w:t>28 days; or</w:t>
      </w:r>
    </w:p>
    <w:p w14:paraId="3A96FBF2" w14:textId="77777777" w:rsidR="008112BD" w:rsidRDefault="008112BD" w:rsidP="008112BD">
      <w:pPr>
        <w:pStyle w:val="Apara"/>
      </w:pPr>
      <w:r w:rsidRPr="00C46011">
        <w:tab/>
        <w:t>(b)</w:t>
      </w:r>
      <w:r w:rsidRPr="00C46011">
        <w:tab/>
        <w:t>if the court orders another period—the period ordered</w:t>
      </w:r>
      <w:r>
        <w:t>.</w:t>
      </w:r>
    </w:p>
    <w:p w14:paraId="4D4C5825" w14:textId="69C782F7" w:rsidR="008112BD" w:rsidRPr="00C46011" w:rsidRDefault="008112BD" w:rsidP="008112BD">
      <w:pPr>
        <w:pStyle w:val="Amain"/>
        <w:keepNext/>
      </w:pPr>
      <w:r>
        <w:tab/>
      </w:r>
      <w:r w:rsidRPr="00C46011">
        <w:t>(2)</w:t>
      </w:r>
      <w:r w:rsidRPr="00C46011">
        <w:tab/>
        <w:t xml:space="preserve">For the </w:t>
      </w:r>
      <w:hyperlink r:id="rId575"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14:paraId="04DE5D22" w14:textId="77777777" w:rsidR="008112BD" w:rsidRPr="00C46011" w:rsidRDefault="008112BD" w:rsidP="008112BD">
      <w:pPr>
        <w:pStyle w:val="Apara"/>
      </w:pPr>
      <w:r w:rsidRPr="00C46011">
        <w:tab/>
        <w:t>(a)</w:t>
      </w:r>
      <w:r w:rsidRPr="00C46011">
        <w:tab/>
        <w:t>28 days; or</w:t>
      </w:r>
    </w:p>
    <w:p w14:paraId="61A7A516" w14:textId="77777777" w:rsidR="008112BD" w:rsidRPr="001B0D86" w:rsidRDefault="008112BD" w:rsidP="008112BD">
      <w:pPr>
        <w:pStyle w:val="Apara"/>
      </w:pPr>
      <w:r w:rsidRPr="00C46011">
        <w:tab/>
        <w:t>(b)</w:t>
      </w:r>
      <w:r w:rsidRPr="00C46011">
        <w:tab/>
        <w:t>if the court orders another period—the period ordered.</w:t>
      </w:r>
    </w:p>
    <w:p w14:paraId="77751E9F" w14:textId="77777777" w:rsidR="008112BD" w:rsidRPr="00C8328B" w:rsidRDefault="008112BD" w:rsidP="008112BD">
      <w:pPr>
        <w:pStyle w:val="AH3Div"/>
      </w:pPr>
      <w:bookmarkStart w:id="1324" w:name="_Toc185514940"/>
      <w:r w:rsidRPr="00C8328B">
        <w:rPr>
          <w:rStyle w:val="CharDivNo"/>
        </w:rPr>
        <w:t>Division 4.2.2</w:t>
      </w:r>
      <w:r>
        <w:tab/>
      </w:r>
      <w:r w:rsidRPr="00C8328B">
        <w:rPr>
          <w:rStyle w:val="CharDivText"/>
        </w:rPr>
        <w:t>Magistrates Court criminal proceedings—setting aside orders</w:t>
      </w:r>
      <w:bookmarkEnd w:id="1324"/>
      <w:r w:rsidRPr="00C8328B">
        <w:rPr>
          <w:rStyle w:val="CharDivText"/>
        </w:rPr>
        <w:t xml:space="preserve"> </w:t>
      </w:r>
    </w:p>
    <w:p w14:paraId="6324AD99" w14:textId="77777777" w:rsidR="008112BD" w:rsidRDefault="008112BD" w:rsidP="008112BD">
      <w:pPr>
        <w:pStyle w:val="AH5Sec"/>
      </w:pPr>
      <w:bookmarkStart w:id="1325" w:name="_Toc185514941"/>
      <w:r w:rsidRPr="00C8328B">
        <w:rPr>
          <w:rStyle w:val="CharSectNo"/>
        </w:rPr>
        <w:t>4310</w:t>
      </w:r>
      <w:r>
        <w:tab/>
        <w:t>Magistrates Court order made in absence of party may be set aside—general</w:t>
      </w:r>
      <w:bookmarkEnd w:id="1325"/>
    </w:p>
    <w:p w14:paraId="1124BFE5" w14:textId="77777777" w:rsidR="008112BD" w:rsidRDefault="008112BD" w:rsidP="008112BD">
      <w:pPr>
        <w:pStyle w:val="Amain"/>
      </w:pPr>
      <w:r>
        <w:tab/>
        <w:t>(1)</w:t>
      </w:r>
      <w:r>
        <w:tab/>
        <w:t xml:space="preserve">This rule applies if a party does not appear in a criminal proceeding and an order is made. </w:t>
      </w:r>
    </w:p>
    <w:p w14:paraId="49E26A97" w14:textId="77777777" w:rsidR="008112BD" w:rsidRDefault="008112BD" w:rsidP="008112BD">
      <w:pPr>
        <w:pStyle w:val="Amain"/>
      </w:pPr>
      <w:r>
        <w:tab/>
        <w:t>(2)</w:t>
      </w:r>
      <w:r>
        <w:tab/>
        <w:t>However, this rule does not apply if the defendant—</w:t>
      </w:r>
    </w:p>
    <w:p w14:paraId="0E1FF7C1" w14:textId="3D2B057E" w:rsidR="008112BD" w:rsidRDefault="008112BD" w:rsidP="008112BD">
      <w:pPr>
        <w:pStyle w:val="Apara"/>
      </w:pPr>
      <w:r>
        <w:tab/>
        <w:t>(a)</w:t>
      </w:r>
      <w:r>
        <w:tab/>
        <w:t xml:space="preserve">had entered a plea of guilty under the </w:t>
      </w:r>
      <w:hyperlink r:id="rId576" w:tooltip="A1930-21" w:history="1">
        <w:r w:rsidRPr="00FE0788">
          <w:rPr>
            <w:rStyle w:val="charCitHyperlinkItal"/>
          </w:rPr>
          <w:t>Magistrates Court Act 1930</w:t>
        </w:r>
      </w:hyperlink>
      <w:r>
        <w:t xml:space="preserve">, section 116D (Pleas to prescribed offence); and </w:t>
      </w:r>
    </w:p>
    <w:p w14:paraId="7B7052DE" w14:textId="77777777" w:rsidR="008112BD" w:rsidRDefault="008112BD" w:rsidP="008112BD">
      <w:pPr>
        <w:pStyle w:val="Apara"/>
      </w:pPr>
      <w:r>
        <w:tab/>
        <w:t>(b)</w:t>
      </w:r>
      <w:r>
        <w:tab/>
        <w:t>did not withdraw the plea before the order was made; and</w:t>
      </w:r>
    </w:p>
    <w:p w14:paraId="1F2811DA" w14:textId="77777777" w:rsidR="008112BD" w:rsidRDefault="008112BD" w:rsidP="008112BD">
      <w:pPr>
        <w:pStyle w:val="Apara"/>
      </w:pPr>
      <w:r>
        <w:tab/>
        <w:t>(c)</w:t>
      </w:r>
      <w:r>
        <w:tab/>
        <w:t>did not appear in the proceeding.</w:t>
      </w:r>
    </w:p>
    <w:p w14:paraId="5F418DC4" w14:textId="77777777" w:rsidR="008112BD" w:rsidRDefault="008112BD" w:rsidP="008112BD">
      <w:pPr>
        <w:pStyle w:val="Amain"/>
        <w:keepNext/>
      </w:pPr>
      <w:r>
        <w:lastRenderedPageBreak/>
        <w:tab/>
        <w:t>(3)</w:t>
      </w:r>
      <w:r>
        <w:tab/>
        <w:t>On application by the party who did not appear, the court may set aside the order.</w:t>
      </w:r>
    </w:p>
    <w:p w14:paraId="70E89388"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2570C7DC" w14:textId="77777777" w:rsidR="008112BD" w:rsidRDefault="008112BD" w:rsidP="008112BD">
      <w:pPr>
        <w:pStyle w:val="AH5Sec"/>
      </w:pPr>
      <w:bookmarkStart w:id="1326" w:name="_Toc185514942"/>
      <w:r w:rsidRPr="00C8328B">
        <w:rPr>
          <w:rStyle w:val="CharSectNo"/>
        </w:rPr>
        <w:t>4311</w:t>
      </w:r>
      <w:r>
        <w:tab/>
        <w:t>Magistrates Court order made in absence of defendant may be set aside—summons for prescribed offence</w:t>
      </w:r>
      <w:bookmarkEnd w:id="1326"/>
    </w:p>
    <w:p w14:paraId="72B01BB6" w14:textId="77777777" w:rsidR="008112BD" w:rsidRDefault="008112BD" w:rsidP="008112BD">
      <w:pPr>
        <w:pStyle w:val="Amain"/>
      </w:pPr>
      <w:r>
        <w:tab/>
        <w:t>(1)</w:t>
      </w:r>
      <w:r>
        <w:tab/>
        <w:t>This rule applies to an order made against a defendant in the defendant’s absence if—</w:t>
      </w:r>
    </w:p>
    <w:p w14:paraId="6923F852" w14:textId="2D7B3083" w:rsidR="008112BD" w:rsidRDefault="008112BD" w:rsidP="008112BD">
      <w:pPr>
        <w:pStyle w:val="Apara"/>
      </w:pPr>
      <w:r>
        <w:tab/>
        <w:t>(a)</w:t>
      </w:r>
      <w:r>
        <w:tab/>
        <w:t xml:space="preserve">the defendant was served with a summons under the </w:t>
      </w:r>
      <w:hyperlink r:id="rId577" w:tooltip="A1930-21" w:history="1">
        <w:r w:rsidRPr="00FE0788">
          <w:rPr>
            <w:rStyle w:val="charCitHyperlinkItal"/>
          </w:rPr>
          <w:t>Magistrates Court Act 1930</w:t>
        </w:r>
      </w:hyperlink>
      <w:r>
        <w:t>, section 116B (Service of summons for prescribed offence); and</w:t>
      </w:r>
    </w:p>
    <w:p w14:paraId="23FA4E83" w14:textId="77777777" w:rsidR="008112BD" w:rsidRDefault="008112BD" w:rsidP="008112BD">
      <w:pPr>
        <w:pStyle w:val="Apara"/>
        <w:keepNext/>
      </w:pPr>
      <w:r>
        <w:tab/>
        <w:t>(b)</w:t>
      </w:r>
      <w:r>
        <w:tab/>
        <w:t>any of the following subparagraphs apply:</w:t>
      </w:r>
    </w:p>
    <w:p w14:paraId="54A2C092" w14:textId="77777777"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14:paraId="02C277BC" w14:textId="40D04712" w:rsidR="008112BD" w:rsidRDefault="008112BD" w:rsidP="008112BD">
      <w:pPr>
        <w:pStyle w:val="Asubpara"/>
      </w:pPr>
      <w:r>
        <w:tab/>
        <w:t>(ii)</w:t>
      </w:r>
      <w:r>
        <w:tab/>
        <w:t xml:space="preserve">the court has previously, in the absence of the defendant, adjourned the hearing under the </w:t>
      </w:r>
      <w:hyperlink r:id="rId578"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14:paraId="797820D7" w14:textId="619B3D77" w:rsidR="008112BD" w:rsidRDefault="008112BD" w:rsidP="008112BD">
      <w:pPr>
        <w:pStyle w:val="Asubpara"/>
        <w:keepLines/>
      </w:pPr>
      <w:r>
        <w:tab/>
        <w:t>(iii)</w:t>
      </w:r>
      <w:r>
        <w:tab/>
        <w:t xml:space="preserve">the court is satisfied that a notice mentioned in the </w:t>
      </w:r>
      <w:hyperlink r:id="rId579"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14:paraId="1090C522" w14:textId="77777777" w:rsidR="008112BD" w:rsidRDefault="008112BD" w:rsidP="008112BD">
      <w:pPr>
        <w:pStyle w:val="Amain"/>
        <w:keepNext/>
      </w:pPr>
      <w:r>
        <w:tab/>
        <w:t>(2)</w:t>
      </w:r>
      <w:r>
        <w:tab/>
        <w:t>On the application of the defendant, the court must set aside the order.</w:t>
      </w:r>
    </w:p>
    <w:p w14:paraId="1CE7587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23A4A30" w14:textId="77777777" w:rsidR="008112BD" w:rsidRDefault="008112BD" w:rsidP="008112BD">
      <w:pPr>
        <w:pStyle w:val="AH5Sec"/>
      </w:pPr>
      <w:bookmarkStart w:id="1327" w:name="_Toc185514943"/>
      <w:r w:rsidRPr="00C8328B">
        <w:rPr>
          <w:rStyle w:val="CharSectNo"/>
        </w:rPr>
        <w:lastRenderedPageBreak/>
        <w:t>4312</w:t>
      </w:r>
      <w:r>
        <w:tab/>
        <w:t>Magistrates Court order made in absence of party may be set aside—other offences</w:t>
      </w:r>
      <w:bookmarkEnd w:id="1327"/>
    </w:p>
    <w:p w14:paraId="413CF5AB" w14:textId="77777777"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14:paraId="5AA9800E" w14:textId="77777777" w:rsidR="008112BD" w:rsidRDefault="008112BD" w:rsidP="00867568">
      <w:pPr>
        <w:pStyle w:val="Amain"/>
        <w:keepNext/>
      </w:pPr>
      <w:r>
        <w:tab/>
        <w:t>(2)</w:t>
      </w:r>
      <w:r>
        <w:tab/>
        <w:t>On application by the party, the court may set aside the order on the conditions it considers appropriate.</w:t>
      </w:r>
    </w:p>
    <w:p w14:paraId="33A2783F" w14:textId="77777777" w:rsidR="008112BD" w:rsidRDefault="008112BD" w:rsidP="008112BD">
      <w:pPr>
        <w:pStyle w:val="aExamHdgss"/>
      </w:pPr>
      <w:r>
        <w:t>Example of conditions</w:t>
      </w:r>
    </w:p>
    <w:p w14:paraId="7AEBD696" w14:textId="77777777" w:rsidR="008112BD" w:rsidRDefault="008112BD" w:rsidP="008112BD">
      <w:pPr>
        <w:pStyle w:val="aExamss"/>
        <w:keepNext/>
      </w:pPr>
      <w:r>
        <w:t>payment of costs</w:t>
      </w:r>
    </w:p>
    <w:p w14:paraId="44942031" w14:textId="77777777" w:rsidR="008112BD" w:rsidRDefault="008112BD" w:rsidP="008112BD">
      <w:pPr>
        <w:pStyle w:val="AH5Sec"/>
      </w:pPr>
      <w:bookmarkStart w:id="1328" w:name="_Toc185514944"/>
      <w:r w:rsidRPr="00C8328B">
        <w:rPr>
          <w:rStyle w:val="CharSectNo"/>
        </w:rPr>
        <w:t>4313</w:t>
      </w:r>
      <w:r>
        <w:tab/>
        <w:t>Magistrates Court conviction made in absence of party set aside—warrant may be set aside</w:t>
      </w:r>
      <w:bookmarkEnd w:id="1328"/>
    </w:p>
    <w:p w14:paraId="01A3E0A1" w14:textId="77777777" w:rsidR="008112BD" w:rsidRDefault="008112BD" w:rsidP="008112BD">
      <w:pPr>
        <w:pStyle w:val="Amain"/>
        <w:keepNext/>
      </w:pPr>
      <w:r>
        <w:tab/>
        <w:t>(1)</w:t>
      </w:r>
      <w:r>
        <w:tab/>
        <w:t>This rule applies if the court sets aside a conviction in a criminal proceeding under any of the following rules:</w:t>
      </w:r>
    </w:p>
    <w:p w14:paraId="06ED3863"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5598F4C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67F327DB"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764CEF7F" w14:textId="490BEED1" w:rsidR="008112BD" w:rsidRDefault="008112BD" w:rsidP="008112BD">
      <w:pPr>
        <w:pStyle w:val="Amain"/>
      </w:pPr>
      <w:r>
        <w:tab/>
        <w:t>(2)</w:t>
      </w:r>
      <w:r>
        <w:tab/>
        <w:t xml:space="preserve">The court must set aside a warrant issued under the </w:t>
      </w:r>
      <w:hyperlink r:id="rId580" w:tooltip="A1930-21" w:history="1">
        <w:r w:rsidRPr="00FE0788">
          <w:rPr>
            <w:rStyle w:val="charCitHyperlinkItal"/>
          </w:rPr>
          <w:t>Magistrates Court Act 1930</w:t>
        </w:r>
      </w:hyperlink>
      <w:r>
        <w:t xml:space="preserve"> because of the conviction, unless the warrant has been executed before the conviction is set aside.</w:t>
      </w:r>
    </w:p>
    <w:p w14:paraId="008CCD68" w14:textId="77777777" w:rsidR="008112BD" w:rsidRDefault="008112BD" w:rsidP="008112BD">
      <w:pPr>
        <w:pStyle w:val="AH5Sec"/>
      </w:pPr>
      <w:bookmarkStart w:id="1329" w:name="_Toc185514945"/>
      <w:r w:rsidRPr="00C8328B">
        <w:rPr>
          <w:rStyle w:val="CharSectNo"/>
        </w:rPr>
        <w:lastRenderedPageBreak/>
        <w:t>4314</w:t>
      </w:r>
      <w:r>
        <w:tab/>
        <w:t>Magistrates Court conviction made in absence of party set aside—hearing</w:t>
      </w:r>
      <w:bookmarkEnd w:id="1329"/>
    </w:p>
    <w:p w14:paraId="34B0C268" w14:textId="77777777" w:rsidR="008112BD" w:rsidRDefault="008112BD" w:rsidP="008112BD">
      <w:pPr>
        <w:pStyle w:val="Amain"/>
        <w:keepNext/>
      </w:pPr>
      <w:r>
        <w:tab/>
        <w:t>(1)</w:t>
      </w:r>
      <w:r>
        <w:tab/>
        <w:t>This rule applies if the court has set aside a conviction in a criminal proceeding under any of the following rules:</w:t>
      </w:r>
    </w:p>
    <w:p w14:paraId="7C1EEF63" w14:textId="77777777" w:rsidR="008112BD" w:rsidRDefault="008112BD" w:rsidP="00A835F6">
      <w:pPr>
        <w:pStyle w:val="Amainbullet"/>
        <w:keepNex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49D2ABFA"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321C738F"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0889F158" w14:textId="77777777" w:rsidR="008112BD" w:rsidRDefault="008112BD" w:rsidP="008112BD">
      <w:pPr>
        <w:pStyle w:val="Amain"/>
        <w:keepNext/>
      </w:pPr>
      <w:r>
        <w:tab/>
        <w:t>(2)</w:t>
      </w:r>
      <w:r>
        <w:tab/>
        <w:t>The court may—</w:t>
      </w:r>
    </w:p>
    <w:p w14:paraId="2EFC7FE2" w14:textId="77777777" w:rsidR="008112BD" w:rsidRDefault="008112BD" w:rsidP="008112BD">
      <w:pPr>
        <w:pStyle w:val="Apara"/>
      </w:pPr>
      <w:r>
        <w:tab/>
        <w:t>(a)</w:t>
      </w:r>
      <w:r>
        <w:tab/>
        <w:t xml:space="preserve">on giving the parties reasonable notice, hear and decide the proceeding; or </w:t>
      </w:r>
    </w:p>
    <w:p w14:paraId="27C2BC72" w14:textId="77777777" w:rsidR="008112BD" w:rsidRDefault="008112BD" w:rsidP="008112BD">
      <w:pPr>
        <w:pStyle w:val="Apara"/>
      </w:pPr>
      <w:r>
        <w:tab/>
        <w:t>(b)</w:t>
      </w:r>
      <w:r>
        <w:tab/>
        <w:t>adjourn the hearing of the proceeding to a time and place the court considers appropriate.</w:t>
      </w:r>
    </w:p>
    <w:p w14:paraId="74C435DB" w14:textId="77777777"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14:paraId="26530799" w14:textId="77777777" w:rsidR="008112BD" w:rsidRDefault="008112BD" w:rsidP="008112BD">
      <w:pPr>
        <w:pStyle w:val="AH5Sec"/>
      </w:pPr>
      <w:bookmarkStart w:id="1330" w:name="_Toc185514946"/>
      <w:r w:rsidRPr="00C8328B">
        <w:rPr>
          <w:rStyle w:val="CharSectNo"/>
        </w:rPr>
        <w:t>4315</w:t>
      </w:r>
      <w:r>
        <w:tab/>
        <w:t>Magistrates Court order made in absence of party may be set aside—application by informant</w:t>
      </w:r>
      <w:bookmarkEnd w:id="1330"/>
    </w:p>
    <w:p w14:paraId="5A5747EE" w14:textId="77777777" w:rsidR="008112BD" w:rsidRDefault="008112BD" w:rsidP="008112BD">
      <w:pPr>
        <w:pStyle w:val="Amain"/>
      </w:pPr>
      <w:r>
        <w:tab/>
        <w:t>(1)</w:t>
      </w:r>
      <w:r>
        <w:tab/>
        <w:t xml:space="preserve">This rule applies if a defendant does not appear in a criminal proceeding and an order is made against the defendant. </w:t>
      </w:r>
    </w:p>
    <w:p w14:paraId="616F5D03" w14:textId="77777777" w:rsidR="008112BD" w:rsidRDefault="008112BD" w:rsidP="008112BD">
      <w:pPr>
        <w:pStyle w:val="Amain"/>
        <w:keepNext/>
      </w:pPr>
      <w:r>
        <w:tab/>
        <w:t>(2)</w:t>
      </w:r>
      <w:r>
        <w:tab/>
        <w:t>However, this rule does not apply if the defendant—</w:t>
      </w:r>
    </w:p>
    <w:p w14:paraId="085016FB" w14:textId="454C7B1F" w:rsidR="008112BD" w:rsidRDefault="008112BD" w:rsidP="008112BD">
      <w:pPr>
        <w:pStyle w:val="Apara"/>
      </w:pPr>
      <w:r>
        <w:tab/>
        <w:t>(a)</w:t>
      </w:r>
      <w:r>
        <w:tab/>
        <w:t xml:space="preserve">had entered a plea of guilty under the </w:t>
      </w:r>
      <w:hyperlink r:id="rId581" w:tooltip="A1930-21" w:history="1">
        <w:r w:rsidRPr="00FE0788">
          <w:rPr>
            <w:rStyle w:val="charCitHyperlinkItal"/>
          </w:rPr>
          <w:t>Magistrates Court Act 1930</w:t>
        </w:r>
      </w:hyperlink>
      <w:r>
        <w:t xml:space="preserve">, section 116D (Pleas to prescribed offence); and </w:t>
      </w:r>
    </w:p>
    <w:p w14:paraId="038E5B54" w14:textId="77777777" w:rsidR="008112BD" w:rsidRDefault="008112BD" w:rsidP="008112BD">
      <w:pPr>
        <w:pStyle w:val="Apara"/>
      </w:pPr>
      <w:r>
        <w:tab/>
        <w:t>(b)</w:t>
      </w:r>
      <w:r>
        <w:tab/>
        <w:t>did not withdraw the plea before the order was made; and</w:t>
      </w:r>
    </w:p>
    <w:p w14:paraId="07524537" w14:textId="77777777" w:rsidR="008112BD" w:rsidRDefault="008112BD" w:rsidP="008112BD">
      <w:pPr>
        <w:pStyle w:val="Apara"/>
      </w:pPr>
      <w:r>
        <w:tab/>
        <w:t>(c)</w:t>
      </w:r>
      <w:r>
        <w:tab/>
        <w:t>did not appear in the proceeding.</w:t>
      </w:r>
    </w:p>
    <w:p w14:paraId="7A35FC16" w14:textId="77777777" w:rsidR="008112BD" w:rsidRDefault="008112BD" w:rsidP="008112BD">
      <w:pPr>
        <w:pStyle w:val="Amain"/>
      </w:pPr>
      <w:r>
        <w:lastRenderedPageBreak/>
        <w:tab/>
        <w:t>(3)</w:t>
      </w:r>
      <w:r>
        <w:tab/>
        <w:t>On application by the informant, the court may set aside the order on the conditions it considers appropriate.</w:t>
      </w:r>
    </w:p>
    <w:p w14:paraId="0414BF2C" w14:textId="77777777" w:rsidR="008112BD" w:rsidRDefault="008112BD" w:rsidP="008112BD">
      <w:pPr>
        <w:pStyle w:val="aExamHdgss"/>
      </w:pPr>
      <w:r>
        <w:t>Example of conditions</w:t>
      </w:r>
    </w:p>
    <w:p w14:paraId="2AF6B31B" w14:textId="77777777" w:rsidR="008112BD" w:rsidRDefault="008112BD" w:rsidP="008112BD">
      <w:pPr>
        <w:pStyle w:val="aExamss"/>
        <w:keepNext/>
      </w:pPr>
      <w:r>
        <w:t>payment of costs</w:t>
      </w:r>
    </w:p>
    <w:p w14:paraId="5541EE85"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D684ABE" w14:textId="307FF1D5" w:rsidR="008112BD" w:rsidRDefault="008112BD" w:rsidP="008112BD">
      <w:pPr>
        <w:pStyle w:val="Amain"/>
      </w:pPr>
      <w:r>
        <w:tab/>
        <w:t>(4)</w:t>
      </w:r>
      <w:r>
        <w:tab/>
        <w:t xml:space="preserve">If, under this rule, the court sets aside a conviction, the court must dismiss the information and set aside any warrant issued under the </w:t>
      </w:r>
      <w:hyperlink r:id="rId582" w:tooltip="A1930-21" w:history="1">
        <w:r w:rsidRPr="00FE0788">
          <w:rPr>
            <w:rStyle w:val="charCitHyperlinkItal"/>
          </w:rPr>
          <w:t>Magistrates Court Act 1930</w:t>
        </w:r>
      </w:hyperlink>
      <w:r>
        <w:t xml:space="preserve"> because of the conviction.</w:t>
      </w:r>
    </w:p>
    <w:p w14:paraId="0508407B" w14:textId="77777777" w:rsidR="008112BD" w:rsidRPr="00C8328B" w:rsidRDefault="008112BD" w:rsidP="008112BD">
      <w:pPr>
        <w:pStyle w:val="AH3Div"/>
      </w:pPr>
      <w:bookmarkStart w:id="1331" w:name="_Toc185514947"/>
      <w:r w:rsidRPr="00C8328B">
        <w:rPr>
          <w:rStyle w:val="CharDivNo"/>
        </w:rPr>
        <w:t>Division 4.2.3</w:t>
      </w:r>
      <w:r>
        <w:tab/>
      </w:r>
      <w:r w:rsidRPr="00C8328B">
        <w:rPr>
          <w:rStyle w:val="CharDivText"/>
        </w:rPr>
        <w:t>Magistrates Court criminal proceedings—witnesses</w:t>
      </w:r>
      <w:bookmarkEnd w:id="1331"/>
    </w:p>
    <w:p w14:paraId="289E5FEA" w14:textId="77777777" w:rsidR="008112BD" w:rsidRDefault="008112BD" w:rsidP="008112BD">
      <w:pPr>
        <w:pStyle w:val="AH5Sec"/>
      </w:pPr>
      <w:bookmarkStart w:id="1332" w:name="_Toc185514948"/>
      <w:r w:rsidRPr="00C8328B">
        <w:rPr>
          <w:rStyle w:val="CharSectNo"/>
        </w:rPr>
        <w:t>4330</w:t>
      </w:r>
      <w:r>
        <w:tab/>
        <w:t>Magistrates Court witness—informant may request attendance</w:t>
      </w:r>
      <w:bookmarkEnd w:id="1332"/>
    </w:p>
    <w:p w14:paraId="5ED25472" w14:textId="77777777"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14:paraId="45FE7B58" w14:textId="74128CE4"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83" w:history="1">
        <w:r w:rsidR="009B4D9E">
          <w:rPr>
            <w:rStyle w:val="charCitHyperlinkAbbrev"/>
          </w:rPr>
          <w:t>AF2024</w:t>
        </w:r>
        <w:r w:rsidR="009B4D9E">
          <w:rPr>
            <w:rStyle w:val="charCitHyperlinkAbbrev"/>
          </w:rPr>
          <w:noBreakHyphen/>
          <w:t>36</w:t>
        </w:r>
      </w:hyperlink>
      <w:r>
        <w:t>.</w:t>
      </w:r>
    </w:p>
    <w:p w14:paraId="4ECEC851" w14:textId="77777777" w:rsidR="008112BD" w:rsidRDefault="008112BD" w:rsidP="008112BD">
      <w:pPr>
        <w:pStyle w:val="Amain"/>
      </w:pPr>
      <w:r>
        <w:tab/>
        <w:t>(2)</w:t>
      </w:r>
      <w:r>
        <w:tab/>
        <w:t>The letter must—</w:t>
      </w:r>
    </w:p>
    <w:p w14:paraId="6DE7B419" w14:textId="77777777" w:rsidR="008112BD" w:rsidRDefault="008112BD" w:rsidP="008112BD">
      <w:pPr>
        <w:pStyle w:val="Apara"/>
      </w:pPr>
      <w:r>
        <w:tab/>
        <w:t>(a)</w:t>
      </w:r>
      <w:r>
        <w:tab/>
        <w:t>set out the time and place for the hearing; and</w:t>
      </w:r>
    </w:p>
    <w:p w14:paraId="6CF519C4" w14:textId="77777777" w:rsidR="008112BD" w:rsidRDefault="008112BD" w:rsidP="008112BD">
      <w:pPr>
        <w:pStyle w:val="Apara"/>
      </w:pPr>
      <w:r>
        <w:tab/>
        <w:t>(b)</w:t>
      </w:r>
      <w:r>
        <w:tab/>
        <w:t>be accompanied by an undertaking to attend the hearing to be signed by the person and returned to the informant by the date stated in the undertaking; and</w:t>
      </w:r>
    </w:p>
    <w:p w14:paraId="11EA699E" w14:textId="3F42E07C" w:rsidR="008112BD" w:rsidRDefault="008112BD" w:rsidP="008112BD">
      <w:pPr>
        <w:pStyle w:val="aNotepar"/>
      </w:pPr>
      <w:r w:rsidRPr="00FE0788">
        <w:rPr>
          <w:rStyle w:val="charItals"/>
        </w:rPr>
        <w:t>Note</w:t>
      </w:r>
      <w:r w:rsidRPr="00FE0788">
        <w:rPr>
          <w:rStyle w:val="charItals"/>
        </w:rPr>
        <w:tab/>
      </w:r>
      <w:r>
        <w:t xml:space="preserve">See approved form 4.13 (Undertaking to attend as witness) </w:t>
      </w:r>
      <w:hyperlink r:id="rId584" w:history="1">
        <w:r w:rsidR="009B4D9E">
          <w:rPr>
            <w:rStyle w:val="charCitHyperlinkAbbrev"/>
          </w:rPr>
          <w:t>AF2024</w:t>
        </w:r>
        <w:r w:rsidR="009B4D9E">
          <w:rPr>
            <w:rStyle w:val="charCitHyperlinkAbbrev"/>
          </w:rPr>
          <w:noBreakHyphen/>
          <w:t>37</w:t>
        </w:r>
      </w:hyperlink>
      <w:r>
        <w:t>.</w:t>
      </w:r>
    </w:p>
    <w:p w14:paraId="68E29E26" w14:textId="77777777" w:rsidR="008112BD" w:rsidRDefault="008112BD" w:rsidP="008112BD">
      <w:pPr>
        <w:pStyle w:val="Apara"/>
      </w:pPr>
      <w:r>
        <w:tab/>
        <w:t>(c)</w:t>
      </w:r>
      <w:r>
        <w:tab/>
        <w:t>be accompanied by a form to be completed by the person to claim the person’s reasonable expenses incurred in attending the hearing.</w:t>
      </w:r>
    </w:p>
    <w:p w14:paraId="58DA0A25" w14:textId="49F25618"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85" w:history="1">
        <w:r w:rsidR="009E4496">
          <w:rPr>
            <w:rStyle w:val="charCitHyperlinkAbbrev"/>
          </w:rPr>
          <w:t>AF2024</w:t>
        </w:r>
        <w:r w:rsidR="009E4496">
          <w:rPr>
            <w:rStyle w:val="charCitHyperlinkAbbrev"/>
          </w:rPr>
          <w:noBreakHyphen/>
          <w:t>38</w:t>
        </w:r>
      </w:hyperlink>
      <w:r>
        <w:t>.</w:t>
      </w:r>
    </w:p>
    <w:p w14:paraId="3FC40E53" w14:textId="77777777" w:rsidR="008112BD" w:rsidRDefault="008112BD" w:rsidP="008112BD">
      <w:pPr>
        <w:pStyle w:val="AH5Sec"/>
      </w:pPr>
      <w:bookmarkStart w:id="1333" w:name="_Toc185514949"/>
      <w:r w:rsidRPr="00C8328B">
        <w:rPr>
          <w:rStyle w:val="CharSectNo"/>
        </w:rPr>
        <w:lastRenderedPageBreak/>
        <w:t>4331</w:t>
      </w:r>
      <w:r>
        <w:tab/>
        <w:t>Magistrates Court witness—expenses</w:t>
      </w:r>
      <w:bookmarkEnd w:id="1333"/>
    </w:p>
    <w:p w14:paraId="5F665AAB" w14:textId="77777777" w:rsidR="008112BD" w:rsidRDefault="008112BD" w:rsidP="008112BD">
      <w:pPr>
        <w:pStyle w:val="Amainreturn"/>
      </w:pPr>
      <w:r>
        <w:t>A person who attends the hearing of a criminal proceeding as a witness is entitled to be paid witness expenses assessed in accordance with schedule 4.</w:t>
      </w:r>
    </w:p>
    <w:p w14:paraId="74B14E20" w14:textId="77777777" w:rsidR="008112BD" w:rsidRDefault="008112BD" w:rsidP="008112BD">
      <w:pPr>
        <w:pStyle w:val="PageBreak"/>
      </w:pPr>
      <w:r>
        <w:br w:type="page"/>
      </w:r>
    </w:p>
    <w:p w14:paraId="510F1311" w14:textId="77777777" w:rsidR="008112BD" w:rsidRPr="00C8328B" w:rsidRDefault="008112BD" w:rsidP="008112BD">
      <w:pPr>
        <w:pStyle w:val="AH2Part"/>
      </w:pPr>
      <w:bookmarkStart w:id="1334" w:name="_Toc185514950"/>
      <w:r w:rsidRPr="00C8328B">
        <w:rPr>
          <w:rStyle w:val="CharPartNo"/>
        </w:rPr>
        <w:lastRenderedPageBreak/>
        <w:t>Part 4.3</w:t>
      </w:r>
      <w:r>
        <w:tab/>
      </w:r>
      <w:r w:rsidRPr="00C8328B">
        <w:rPr>
          <w:rStyle w:val="CharPartText"/>
        </w:rPr>
        <w:t>Supreme Court criminal proceedings</w:t>
      </w:r>
      <w:bookmarkEnd w:id="1334"/>
    </w:p>
    <w:p w14:paraId="4A5B4D50" w14:textId="77777777" w:rsidR="008112BD" w:rsidRPr="00C8328B" w:rsidRDefault="008112BD" w:rsidP="008112BD">
      <w:pPr>
        <w:pStyle w:val="AH3Div"/>
      </w:pPr>
      <w:bookmarkStart w:id="1335" w:name="_Toc185514951"/>
      <w:r w:rsidRPr="00C8328B">
        <w:rPr>
          <w:rStyle w:val="CharDivNo"/>
        </w:rPr>
        <w:t>Division 4.3.1</w:t>
      </w:r>
      <w:r>
        <w:tab/>
      </w:r>
      <w:r w:rsidRPr="00C8328B">
        <w:rPr>
          <w:rStyle w:val="CharDivText"/>
        </w:rPr>
        <w:t>Supreme Court criminal proceedings—preliminary</w:t>
      </w:r>
      <w:bookmarkEnd w:id="1335"/>
    </w:p>
    <w:p w14:paraId="2BB1E39C" w14:textId="77777777" w:rsidR="008112BD" w:rsidRDefault="008112BD" w:rsidP="008112BD">
      <w:pPr>
        <w:pStyle w:val="AH5Sec"/>
      </w:pPr>
      <w:bookmarkStart w:id="1336" w:name="_Toc185514952"/>
      <w:r w:rsidRPr="00C8328B">
        <w:rPr>
          <w:rStyle w:val="CharSectNo"/>
        </w:rPr>
        <w:t>4700</w:t>
      </w:r>
      <w:r>
        <w:tab/>
        <w:t>Definitions—pt 4.3</w:t>
      </w:r>
      <w:bookmarkEnd w:id="1336"/>
    </w:p>
    <w:p w14:paraId="6275A093" w14:textId="77777777" w:rsidR="008112BD" w:rsidRDefault="008112BD" w:rsidP="008112BD">
      <w:pPr>
        <w:pStyle w:val="Amainreturn"/>
        <w:keepNext/>
      </w:pPr>
      <w:r>
        <w:t>In this part:</w:t>
      </w:r>
    </w:p>
    <w:p w14:paraId="559E1D7D" w14:textId="77777777" w:rsidR="008112BD" w:rsidRDefault="008112BD" w:rsidP="008112BD">
      <w:pPr>
        <w:pStyle w:val="aDef"/>
        <w:keepNext/>
      </w:pPr>
      <w:r>
        <w:rPr>
          <w:rStyle w:val="charBoldItals"/>
        </w:rPr>
        <w:t>accused person</w:t>
      </w:r>
      <w:r>
        <w:t xml:space="preserve"> means a person charged with an indictable offence—</w:t>
      </w:r>
    </w:p>
    <w:p w14:paraId="2DDE2871" w14:textId="77777777" w:rsidR="008112BD" w:rsidRDefault="008112BD" w:rsidP="008112BD">
      <w:pPr>
        <w:pStyle w:val="aDefpara"/>
      </w:pPr>
      <w:r>
        <w:tab/>
        <w:t>(a)</w:t>
      </w:r>
      <w:r>
        <w:tab/>
        <w:t>who is committed to the court for trial or sentence; or</w:t>
      </w:r>
    </w:p>
    <w:p w14:paraId="3EC23D55" w14:textId="77777777" w:rsidR="008112BD" w:rsidRDefault="008112BD" w:rsidP="008112BD">
      <w:pPr>
        <w:pStyle w:val="aDefpara"/>
        <w:keepNext/>
      </w:pPr>
      <w:r>
        <w:tab/>
        <w:t>(b)</w:t>
      </w:r>
      <w:r>
        <w:tab/>
        <w:t>for whom an indictment has been filed in the court.</w:t>
      </w:r>
    </w:p>
    <w:p w14:paraId="3CB7CE41" w14:textId="77777777"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14:paraId="72706E6C" w14:textId="77777777"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14:paraId="5E492B21" w14:textId="77777777"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14:paraId="3808819B" w14:textId="77777777" w:rsidR="008112BD" w:rsidRDefault="008112BD" w:rsidP="008112BD">
      <w:pPr>
        <w:pStyle w:val="aDef"/>
      </w:pPr>
      <w:r>
        <w:rPr>
          <w:rStyle w:val="charBoldItals"/>
        </w:rPr>
        <w:t>appearance date</w:t>
      </w:r>
      <w:r>
        <w:t>—see rule 4731.</w:t>
      </w:r>
    </w:p>
    <w:p w14:paraId="3960F160" w14:textId="77777777" w:rsidR="008112BD" w:rsidRDefault="008112BD" w:rsidP="008112BD">
      <w:pPr>
        <w:pStyle w:val="aDef"/>
      </w:pPr>
      <w:r>
        <w:rPr>
          <w:rStyle w:val="charBoldItals"/>
        </w:rPr>
        <w:t>case statement</w:t>
      </w:r>
      <w:r>
        <w:t>—see rule 4732.</w:t>
      </w:r>
    </w:p>
    <w:p w14:paraId="5718B016" w14:textId="77777777" w:rsidR="008112BD" w:rsidRDefault="008112BD" w:rsidP="008112BD">
      <w:pPr>
        <w:pStyle w:val="aDef"/>
        <w:keepNext/>
      </w:pPr>
      <w:r>
        <w:rPr>
          <w:rStyle w:val="charBoldItals"/>
        </w:rPr>
        <w:t>sentence</w:t>
      </w:r>
      <w:r>
        <w:t xml:space="preserve"> means an order, decision or other sentence (however described) imposed by the court on a person—</w:t>
      </w:r>
    </w:p>
    <w:p w14:paraId="69282F61" w14:textId="77777777" w:rsidR="008112BD" w:rsidRDefault="008112BD" w:rsidP="008112BD">
      <w:pPr>
        <w:pStyle w:val="aDefpara"/>
      </w:pPr>
      <w:r>
        <w:tab/>
        <w:t>(a)</w:t>
      </w:r>
      <w:r>
        <w:tab/>
        <w:t>after the person has been convicted or found guilty; or</w:t>
      </w:r>
    </w:p>
    <w:p w14:paraId="45AE91F3" w14:textId="05497E6D" w:rsidR="008112BD" w:rsidRDefault="008112BD" w:rsidP="008112BD">
      <w:pPr>
        <w:pStyle w:val="aDefpara"/>
        <w:keepNext/>
      </w:pPr>
      <w:r>
        <w:tab/>
        <w:t>(b)</w:t>
      </w:r>
      <w:r>
        <w:tab/>
        <w:t xml:space="preserve">after the person has pleaded guilty to an indictable offence under the </w:t>
      </w:r>
      <w:hyperlink r:id="rId586" w:tooltip="A1930-21" w:history="1">
        <w:r w:rsidRPr="00FE0788">
          <w:rPr>
            <w:rStyle w:val="charCitHyperlinkItal"/>
          </w:rPr>
          <w:t>Magistrates Court Act 1930</w:t>
        </w:r>
      </w:hyperlink>
      <w:r>
        <w:t>, section 90A (7) (Plea of guilty in committal proceedings).</w:t>
      </w:r>
    </w:p>
    <w:p w14:paraId="5521FED4" w14:textId="77777777" w:rsidR="008112BD" w:rsidRDefault="008112BD" w:rsidP="008112BD">
      <w:pPr>
        <w:pStyle w:val="aExamHdgss"/>
        <w:rPr>
          <w:rStyle w:val="charItals"/>
        </w:rPr>
      </w:pPr>
      <w:r>
        <w:t>Examples of sentences</w:t>
      </w:r>
    </w:p>
    <w:p w14:paraId="1439E5E8" w14:textId="2CF6F13C" w:rsidR="008112BD" w:rsidRDefault="008112BD" w:rsidP="008112BD">
      <w:pPr>
        <w:pStyle w:val="aExamINumss"/>
        <w:keepNext/>
      </w:pPr>
      <w:r>
        <w:t>1</w:t>
      </w:r>
      <w:r>
        <w:tab/>
        <w:t xml:space="preserve">a reparation order under the </w:t>
      </w:r>
      <w:hyperlink r:id="rId587" w:tooltip="A2005-58" w:history="1">
        <w:r w:rsidRPr="00FE0788">
          <w:rPr>
            <w:rStyle w:val="charCitHyperlinkItal"/>
          </w:rPr>
          <w:t>Crimes (Sentencing) Act 2005</w:t>
        </w:r>
      </w:hyperlink>
      <w:r>
        <w:t>, section 19 (Reparation orders—losses and expenses generally)</w:t>
      </w:r>
    </w:p>
    <w:p w14:paraId="0C35B56C" w14:textId="18E63FE5" w:rsidR="008112BD" w:rsidRDefault="008112BD" w:rsidP="00052E9E">
      <w:pPr>
        <w:pStyle w:val="aExamINumss"/>
      </w:pPr>
      <w:r>
        <w:t>2</w:t>
      </w:r>
      <w:r>
        <w:tab/>
        <w:t xml:space="preserve">a good behaviour order under the </w:t>
      </w:r>
      <w:hyperlink r:id="rId588" w:tooltip="A2005-58" w:history="1">
        <w:r w:rsidRPr="00FE0788">
          <w:rPr>
            <w:rStyle w:val="charCitHyperlinkItal"/>
          </w:rPr>
          <w:t>Crimes (Sentencing) Act 2005</w:t>
        </w:r>
      </w:hyperlink>
      <w:r>
        <w:t>, section 13 (Good behaviour orders)</w:t>
      </w:r>
    </w:p>
    <w:p w14:paraId="037DB64C" w14:textId="77777777" w:rsidR="008112BD" w:rsidRDefault="008112BD" w:rsidP="008112BD">
      <w:pPr>
        <w:pStyle w:val="AH5Sec"/>
      </w:pPr>
      <w:bookmarkStart w:id="1337" w:name="_Toc185514953"/>
      <w:r w:rsidRPr="00C8328B">
        <w:rPr>
          <w:rStyle w:val="CharSectNo"/>
        </w:rPr>
        <w:lastRenderedPageBreak/>
        <w:t>4701</w:t>
      </w:r>
      <w:r>
        <w:tab/>
        <w:t>Application—pt 4.3</w:t>
      </w:r>
      <w:bookmarkEnd w:id="1337"/>
    </w:p>
    <w:p w14:paraId="08C72EB8" w14:textId="77777777" w:rsidR="008112BD" w:rsidRDefault="008112BD" w:rsidP="008112BD">
      <w:pPr>
        <w:pStyle w:val="Amainreturn"/>
      </w:pPr>
      <w:r>
        <w:t>This part applies to a criminal proceeding in the Supreme Court.</w:t>
      </w:r>
    </w:p>
    <w:p w14:paraId="38003549" w14:textId="77777777" w:rsidR="008112BD" w:rsidRPr="00C8328B" w:rsidRDefault="008112BD" w:rsidP="008112BD">
      <w:pPr>
        <w:pStyle w:val="AH3Div"/>
      </w:pPr>
      <w:bookmarkStart w:id="1338" w:name="_Toc185514954"/>
      <w:r w:rsidRPr="00C8328B">
        <w:rPr>
          <w:rStyle w:val="CharDivNo"/>
        </w:rPr>
        <w:t>Division 4.3.3</w:t>
      </w:r>
      <w:r>
        <w:tab/>
      </w:r>
      <w:r w:rsidRPr="00C8328B">
        <w:rPr>
          <w:rStyle w:val="CharDivText"/>
        </w:rPr>
        <w:t>Supreme Court criminal proceedings—bail</w:t>
      </w:r>
      <w:bookmarkEnd w:id="1338"/>
    </w:p>
    <w:p w14:paraId="7B09030A" w14:textId="77777777" w:rsidR="008112BD" w:rsidRDefault="008112BD" w:rsidP="008112BD">
      <w:pPr>
        <w:pStyle w:val="AH5Sec"/>
      </w:pPr>
      <w:bookmarkStart w:id="1339" w:name="_Toc185514955"/>
      <w:r w:rsidRPr="00C8328B">
        <w:rPr>
          <w:rStyle w:val="CharSectNo"/>
        </w:rPr>
        <w:t>4720</w:t>
      </w:r>
      <w:r>
        <w:tab/>
        <w:t xml:space="preserve">Meaning of </w:t>
      </w:r>
      <w:r w:rsidRPr="00FE0788">
        <w:rPr>
          <w:rStyle w:val="charItals"/>
        </w:rPr>
        <w:t>accused person</w:t>
      </w:r>
      <w:r>
        <w:t>—div 4.3.3</w:t>
      </w:r>
      <w:bookmarkEnd w:id="1339"/>
    </w:p>
    <w:p w14:paraId="23C68873" w14:textId="77777777" w:rsidR="008112BD" w:rsidRDefault="008112BD" w:rsidP="008112BD">
      <w:pPr>
        <w:pStyle w:val="Amainreturn"/>
        <w:keepNext/>
      </w:pPr>
      <w:r>
        <w:t>In this division:</w:t>
      </w:r>
    </w:p>
    <w:p w14:paraId="126D7A53" w14:textId="77777777" w:rsidR="008112BD" w:rsidRDefault="008112BD" w:rsidP="008112BD">
      <w:pPr>
        <w:pStyle w:val="aDef"/>
        <w:keepNext/>
      </w:pPr>
      <w:r w:rsidRPr="00FE0788">
        <w:rPr>
          <w:rStyle w:val="charBoldItals"/>
        </w:rPr>
        <w:t>accused person</w:t>
      </w:r>
      <w:r>
        <w:t>—</w:t>
      </w:r>
    </w:p>
    <w:p w14:paraId="0CFA6DC4" w14:textId="023F843A" w:rsidR="008112BD" w:rsidRDefault="008112BD" w:rsidP="008112BD">
      <w:pPr>
        <w:pStyle w:val="aDefpara"/>
      </w:pPr>
      <w:r>
        <w:tab/>
        <w:t>(a)</w:t>
      </w:r>
      <w:r>
        <w:tab/>
        <w:t xml:space="preserve">for an application under the </w:t>
      </w:r>
      <w:hyperlink r:id="rId589" w:tooltip="A1992-8" w:history="1">
        <w:r w:rsidRPr="00FE0788">
          <w:rPr>
            <w:rStyle w:val="charCitHyperlinkItal"/>
          </w:rPr>
          <w:t>Bail Act 1992</w:t>
        </w:r>
      </w:hyperlink>
      <w:r>
        <w:t>, division 6.2 (Review of decisions by courts)—means a person who is an accused person for that division; and</w:t>
      </w:r>
    </w:p>
    <w:p w14:paraId="7E51A0BC" w14:textId="40A4E078"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90" w:tooltip="A1992-8" w:history="1">
        <w:r w:rsidRPr="00FE0788">
          <w:rPr>
            <w:rStyle w:val="charCitHyperlinkItal"/>
          </w:rPr>
          <w:t>Bail Act 1992</w:t>
        </w:r>
      </w:hyperlink>
      <w:r>
        <w:t>, dict.</w:t>
      </w:r>
    </w:p>
    <w:p w14:paraId="1C9056C4" w14:textId="77777777" w:rsidR="008112BD" w:rsidRDefault="008112BD" w:rsidP="008112BD">
      <w:pPr>
        <w:pStyle w:val="aDefpara"/>
        <w:keepNext/>
      </w:pPr>
      <w:r>
        <w:tab/>
        <w:t>(b)</w:t>
      </w:r>
      <w:r>
        <w:tab/>
        <w:t>for any other application in relation to bail—includes a convicted person.</w:t>
      </w:r>
    </w:p>
    <w:p w14:paraId="685D6A74" w14:textId="77777777"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62C9C865" w14:textId="77777777" w:rsidR="008112BD" w:rsidRDefault="008112BD" w:rsidP="008112BD">
      <w:pPr>
        <w:pStyle w:val="AH5Sec"/>
      </w:pPr>
      <w:bookmarkStart w:id="1340" w:name="_Toc185514956"/>
      <w:r w:rsidRPr="00C8328B">
        <w:rPr>
          <w:rStyle w:val="CharSectNo"/>
        </w:rPr>
        <w:t>4721</w:t>
      </w:r>
      <w:r>
        <w:tab/>
        <w:t>Supreme Court bail application in relation to accused person</w:t>
      </w:r>
      <w:bookmarkEnd w:id="1340"/>
    </w:p>
    <w:p w14:paraId="7219A5E0" w14:textId="77777777" w:rsidR="008112BD" w:rsidRDefault="008112BD" w:rsidP="008112BD">
      <w:pPr>
        <w:pStyle w:val="Amain"/>
        <w:keepNext/>
      </w:pPr>
      <w:r>
        <w:tab/>
        <w:t>(1)</w:t>
      </w:r>
      <w:r>
        <w:tab/>
        <w:t>An application in relation to bail by an accused person must comply with this division.</w:t>
      </w:r>
    </w:p>
    <w:p w14:paraId="5CFD84C0"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04DA95B1" w14:textId="228F22D6"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1" w:history="1">
        <w:r w:rsidRPr="00F45D0B">
          <w:rPr>
            <w:rStyle w:val="charCitHyperlinkAbbrev"/>
          </w:rPr>
          <w:t>AF2011-63</w:t>
        </w:r>
      </w:hyperlink>
      <w:r>
        <w:t>.</w:t>
      </w:r>
    </w:p>
    <w:p w14:paraId="50AD55E8" w14:textId="77777777" w:rsidR="008112BD" w:rsidRDefault="008112BD" w:rsidP="008112BD">
      <w:pPr>
        <w:pStyle w:val="Amain"/>
        <w:keepNext/>
      </w:pPr>
      <w:r>
        <w:tab/>
        <w:t>(2)</w:t>
      </w:r>
      <w:r>
        <w:tab/>
        <w:t>The application must—</w:t>
      </w:r>
    </w:p>
    <w:p w14:paraId="24C57E5F" w14:textId="77777777" w:rsidR="008112BD" w:rsidRDefault="008112BD" w:rsidP="008112BD">
      <w:pPr>
        <w:pStyle w:val="Apara"/>
        <w:keepNext/>
      </w:pPr>
      <w:r>
        <w:tab/>
        <w:t>(a)</w:t>
      </w:r>
      <w:r>
        <w:tab/>
        <w:t>state the accused person’s name; and</w:t>
      </w:r>
    </w:p>
    <w:p w14:paraId="478DDB3A" w14:textId="77777777" w:rsidR="008112BD" w:rsidRDefault="008112BD" w:rsidP="008112BD">
      <w:pPr>
        <w:pStyle w:val="Apara"/>
      </w:pPr>
      <w:r>
        <w:tab/>
        <w:t>(b)</w:t>
      </w:r>
      <w:r>
        <w:tab/>
        <w:t>state briefly the order (or orders) sought.</w:t>
      </w:r>
    </w:p>
    <w:p w14:paraId="28201C4F" w14:textId="77777777" w:rsidR="008112BD" w:rsidRDefault="008112BD" w:rsidP="008112BD">
      <w:pPr>
        <w:pStyle w:val="Amain"/>
      </w:pPr>
      <w:r>
        <w:lastRenderedPageBreak/>
        <w:tab/>
        <w:t>(3)</w:t>
      </w:r>
      <w:r>
        <w:tab/>
        <w:t>The application must be supported by an affidavit stating—</w:t>
      </w:r>
    </w:p>
    <w:p w14:paraId="72EACD2D" w14:textId="77777777" w:rsidR="008112BD" w:rsidRDefault="008112BD" w:rsidP="008112BD">
      <w:pPr>
        <w:pStyle w:val="Apara"/>
      </w:pPr>
      <w:r>
        <w:tab/>
        <w:t>(a)</w:t>
      </w:r>
      <w:r>
        <w:tab/>
        <w:t>the charges (if any) outstanding against the accused person; and</w:t>
      </w:r>
    </w:p>
    <w:p w14:paraId="34CE2651" w14:textId="77777777" w:rsidR="008112BD" w:rsidRDefault="008112BD" w:rsidP="008112BD">
      <w:pPr>
        <w:pStyle w:val="Apara"/>
      </w:pPr>
      <w:r>
        <w:tab/>
        <w:t>(b)</w:t>
      </w:r>
      <w:r>
        <w:tab/>
        <w:t>if the accused person has been committed for sentence or trial to the court—that fact, and the date the person was committed; and</w:t>
      </w:r>
    </w:p>
    <w:p w14:paraId="63A0CBB6" w14:textId="77777777"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14:paraId="2AB4009A" w14:textId="77777777" w:rsidR="008112BD" w:rsidRDefault="008112BD" w:rsidP="008112BD">
      <w:pPr>
        <w:pStyle w:val="Apara"/>
        <w:keepNext/>
      </w:pPr>
      <w:r>
        <w:tab/>
        <w:t>(d)</w:t>
      </w:r>
      <w:r>
        <w:tab/>
        <w:t>if the accused person has been sentenced for an offence relevant to the application—that fact, the sentence and the date the person was sentenced; and</w:t>
      </w:r>
    </w:p>
    <w:p w14:paraId="5687D49B" w14:textId="77777777" w:rsidR="008112BD" w:rsidRDefault="008112BD" w:rsidP="008112BD">
      <w:pPr>
        <w:pStyle w:val="Apara"/>
        <w:keepNext/>
      </w:pPr>
      <w:r>
        <w:tab/>
        <w:t>(e)</w:t>
      </w:r>
      <w:r>
        <w:tab/>
        <w:t>if bail has previously been refused for an offence relevant to the application—the reasons bail was refused; and</w:t>
      </w:r>
    </w:p>
    <w:p w14:paraId="33F43525" w14:textId="77777777" w:rsidR="008112BD" w:rsidRDefault="008112BD" w:rsidP="008112BD">
      <w:pPr>
        <w:pStyle w:val="Apara"/>
      </w:pPr>
      <w:r>
        <w:tab/>
        <w:t>(f)</w:t>
      </w:r>
      <w:r>
        <w:tab/>
        <w:t>the accused person’s date of birth; and</w:t>
      </w:r>
    </w:p>
    <w:p w14:paraId="3AA7A96E" w14:textId="77777777" w:rsidR="008112BD" w:rsidRDefault="008112BD" w:rsidP="008112BD">
      <w:pPr>
        <w:pStyle w:val="Apara"/>
      </w:pPr>
      <w:r>
        <w:tab/>
        <w:t>(g)</w:t>
      </w:r>
      <w:r>
        <w:tab/>
        <w:t>whether the accused person has a criminal record; and</w:t>
      </w:r>
    </w:p>
    <w:p w14:paraId="4D1BA465" w14:textId="77777777" w:rsidR="008112BD" w:rsidRDefault="008112BD" w:rsidP="008112BD">
      <w:pPr>
        <w:pStyle w:val="Apara"/>
      </w:pPr>
      <w:r>
        <w:tab/>
        <w:t>(h)</w:t>
      </w:r>
      <w:r>
        <w:tab/>
        <w:t>if the accused person is in custody—the day the person was placed in custody; and</w:t>
      </w:r>
    </w:p>
    <w:p w14:paraId="387EA2D0" w14:textId="77777777" w:rsidR="008112BD" w:rsidRDefault="008112BD" w:rsidP="008112BD">
      <w:pPr>
        <w:pStyle w:val="Apara"/>
      </w:pPr>
      <w:r>
        <w:tab/>
        <w:t>(i)</w:t>
      </w:r>
      <w:r>
        <w:tab/>
        <w:t>the day the matter is next listed before a court; and</w:t>
      </w:r>
    </w:p>
    <w:p w14:paraId="6D38E385" w14:textId="77777777" w:rsidR="008112BD" w:rsidRDefault="008112BD" w:rsidP="008112BD">
      <w:pPr>
        <w:pStyle w:val="Apara"/>
      </w:pPr>
      <w:r>
        <w:tab/>
        <w:t>(j)</w:t>
      </w:r>
      <w:r>
        <w:tab/>
        <w:t>the informant’s name; and</w:t>
      </w:r>
    </w:p>
    <w:p w14:paraId="3A7D5CFA" w14:textId="4ED87912" w:rsidR="008112BD" w:rsidRDefault="008112BD" w:rsidP="008112BD">
      <w:pPr>
        <w:pStyle w:val="Apara"/>
      </w:pPr>
      <w:r>
        <w:tab/>
        <w:t>(k)</w:t>
      </w:r>
      <w:r>
        <w:tab/>
        <w:t xml:space="preserve">if the </w:t>
      </w:r>
      <w:hyperlink r:id="rId592"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14:paraId="7664BFCE" w14:textId="77777777" w:rsidR="008112BD" w:rsidRPr="002B175D" w:rsidRDefault="008112BD" w:rsidP="00442C70">
      <w:pPr>
        <w:pStyle w:val="Apara"/>
        <w:keepNext/>
      </w:pPr>
      <w:r w:rsidRPr="002B175D">
        <w:lastRenderedPageBreak/>
        <w:tab/>
        <w:t>(l)</w:t>
      </w:r>
      <w:r w:rsidRPr="002B175D">
        <w:tab/>
        <w:t>if a court has made a decision in relation to an application for bail by the accused person and the application is a further application for bail—</w:t>
      </w:r>
    </w:p>
    <w:p w14:paraId="121F2BA3" w14:textId="77777777" w:rsidR="008112BD" w:rsidRPr="002B175D" w:rsidRDefault="008112BD" w:rsidP="00442C70">
      <w:pPr>
        <w:pStyle w:val="Asubpara"/>
        <w:keepNext/>
      </w:pPr>
      <w:r w:rsidRPr="002B175D">
        <w:tab/>
        <w:t>(i)</w:t>
      </w:r>
      <w:r w:rsidRPr="002B175D">
        <w:tab/>
        <w:t>for each previous application for bail—</w:t>
      </w:r>
    </w:p>
    <w:p w14:paraId="50D9D1F9"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4F591B6B" w14:textId="77777777" w:rsidR="008112BD" w:rsidRPr="002B175D" w:rsidRDefault="008112BD" w:rsidP="008112BD">
      <w:pPr>
        <w:pStyle w:val="Asubsubpara"/>
      </w:pPr>
      <w:r w:rsidRPr="002B175D">
        <w:tab/>
        <w:t>(B)</w:t>
      </w:r>
      <w:r w:rsidRPr="002B175D">
        <w:tab/>
        <w:t>the date the application was made; and</w:t>
      </w:r>
    </w:p>
    <w:p w14:paraId="287DA92C" w14:textId="77777777" w:rsidR="008112BD" w:rsidRPr="002B175D" w:rsidRDefault="008112BD" w:rsidP="008112BD">
      <w:pPr>
        <w:pStyle w:val="Asubpara"/>
      </w:pPr>
      <w:r w:rsidRPr="002B175D">
        <w:tab/>
        <w:t>(ii)</w:t>
      </w:r>
      <w:r w:rsidRPr="002B175D">
        <w:tab/>
        <w:t>either—</w:t>
      </w:r>
    </w:p>
    <w:p w14:paraId="77CFB387" w14:textId="77777777"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14:paraId="76274B3C" w14:textId="77777777"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14:paraId="5C7E2D1D" w14:textId="4172F9C7"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3" w:tooltip="A1992-8" w:history="1">
        <w:r w:rsidRPr="00FE0788">
          <w:rPr>
            <w:rStyle w:val="charCitHyperlinkItal"/>
          </w:rPr>
          <w:t>Bail Act 1992</w:t>
        </w:r>
      </w:hyperlink>
      <w:r w:rsidRPr="002B175D">
        <w:t>, s 20C (Repeat application for bail—Supreme Court).</w:t>
      </w:r>
    </w:p>
    <w:p w14:paraId="6F959629" w14:textId="77777777" w:rsidR="008112BD" w:rsidRPr="002B175D" w:rsidRDefault="008112BD" w:rsidP="008112BD">
      <w:pPr>
        <w:pStyle w:val="Apara"/>
      </w:pPr>
      <w:r w:rsidRPr="002B175D">
        <w:tab/>
        <w:t>(m)</w:t>
      </w:r>
      <w:r w:rsidRPr="002B175D">
        <w:tab/>
        <w:t>if the application is for review of a decision of an authorised officer in relation to bail—</w:t>
      </w:r>
    </w:p>
    <w:p w14:paraId="58AEA0EC" w14:textId="77777777" w:rsidR="008112BD" w:rsidRPr="002B175D" w:rsidRDefault="008112BD" w:rsidP="008112BD">
      <w:pPr>
        <w:pStyle w:val="Asubpara"/>
      </w:pPr>
      <w:r w:rsidRPr="002B175D">
        <w:tab/>
        <w:t>(i)</w:t>
      </w:r>
      <w:r w:rsidRPr="002B175D">
        <w:tab/>
        <w:t>the change in circumstances relevant to the granting of bail since the officer’s decision was made; or</w:t>
      </w:r>
    </w:p>
    <w:p w14:paraId="3E606BA8" w14:textId="77777777" w:rsidR="008112BD" w:rsidRPr="002B175D" w:rsidRDefault="008112BD" w:rsidP="00751AD4">
      <w:pPr>
        <w:pStyle w:val="Asubpara"/>
        <w:keepNext/>
      </w:pPr>
      <w:r w:rsidRPr="002B175D">
        <w:tab/>
        <w:t>(ii)</w:t>
      </w:r>
      <w:r w:rsidRPr="002B175D">
        <w:tab/>
        <w:t>the fresh evidence or information of relevance to the granting of bail that was unavailable when the officer’s decision was made; and</w:t>
      </w:r>
    </w:p>
    <w:p w14:paraId="140ED16B" w14:textId="5AF889BD"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4" w:tooltip="A1992-8" w:history="1">
        <w:r w:rsidRPr="00FE0788">
          <w:rPr>
            <w:rStyle w:val="charCitHyperlinkItal"/>
          </w:rPr>
          <w:t>Bail Act 1992</w:t>
        </w:r>
      </w:hyperlink>
      <w:r w:rsidRPr="002B175D">
        <w:t>, s 43 (Power of Supreme Court to review—decision of authorised officer).</w:t>
      </w:r>
    </w:p>
    <w:p w14:paraId="1784B0FE" w14:textId="77777777" w:rsidR="008112BD" w:rsidRPr="002B175D" w:rsidRDefault="008112BD" w:rsidP="008112BD">
      <w:pPr>
        <w:pStyle w:val="Apara"/>
      </w:pPr>
      <w:r w:rsidRPr="002B175D">
        <w:tab/>
        <w:t>(n)</w:t>
      </w:r>
      <w:r w:rsidRPr="002B175D">
        <w:tab/>
        <w:t>if the application is for review of a decision of a court in relation to bail—</w:t>
      </w:r>
    </w:p>
    <w:p w14:paraId="5886BFD0" w14:textId="77777777" w:rsidR="008112BD" w:rsidRPr="002B175D" w:rsidRDefault="008112BD" w:rsidP="008112BD">
      <w:pPr>
        <w:pStyle w:val="Asubpara"/>
      </w:pPr>
      <w:r w:rsidRPr="002B175D">
        <w:tab/>
        <w:t>(i)</w:t>
      </w:r>
      <w:r w:rsidRPr="002B175D">
        <w:tab/>
        <w:t>for each previous application for bail—</w:t>
      </w:r>
    </w:p>
    <w:p w14:paraId="4479699A"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00D50706" w14:textId="77777777" w:rsidR="008112BD" w:rsidRPr="002B175D" w:rsidRDefault="008112BD" w:rsidP="008112BD">
      <w:pPr>
        <w:pStyle w:val="Asubsubpara"/>
      </w:pPr>
      <w:r w:rsidRPr="002B175D">
        <w:lastRenderedPageBreak/>
        <w:tab/>
        <w:t>(B)</w:t>
      </w:r>
      <w:r w:rsidRPr="002B175D">
        <w:tab/>
        <w:t>the date the application was made; and</w:t>
      </w:r>
    </w:p>
    <w:p w14:paraId="077B2F00" w14:textId="77777777" w:rsidR="008112BD" w:rsidRPr="002B175D" w:rsidRDefault="008112BD" w:rsidP="008112BD">
      <w:pPr>
        <w:pStyle w:val="Asubpara"/>
      </w:pPr>
      <w:r w:rsidRPr="002B175D">
        <w:tab/>
        <w:t>(ii)</w:t>
      </w:r>
      <w:r w:rsidRPr="002B175D">
        <w:tab/>
        <w:t>either—</w:t>
      </w:r>
    </w:p>
    <w:p w14:paraId="1BC6C0DC" w14:textId="77777777" w:rsidR="008112BD" w:rsidRPr="002B175D" w:rsidRDefault="008112BD" w:rsidP="008112BD">
      <w:pPr>
        <w:pStyle w:val="Asubsubpara"/>
      </w:pPr>
      <w:r w:rsidRPr="002B175D">
        <w:tab/>
        <w:t>(A)</w:t>
      </w:r>
      <w:r w:rsidRPr="002B175D">
        <w:tab/>
        <w:t>a change in circumstances relevant to the granting of bail since the court’s decision was made; or</w:t>
      </w:r>
    </w:p>
    <w:p w14:paraId="32E17D32" w14:textId="77777777"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14:paraId="0F8CAB04" w14:textId="384FBCE1"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5" w:tooltip="A1992-8" w:history="1">
        <w:r w:rsidRPr="00FE0788">
          <w:rPr>
            <w:rStyle w:val="charCitHyperlinkItal"/>
          </w:rPr>
          <w:t>Bail Act 1992</w:t>
        </w:r>
      </w:hyperlink>
      <w:r w:rsidRPr="002B175D">
        <w:t>, s 43A (Power of Supreme Court to review—decision of Magistrates Court or Supreme Court).</w:t>
      </w:r>
    </w:p>
    <w:p w14:paraId="22896AFF" w14:textId="77777777" w:rsidR="008112BD" w:rsidRPr="002B175D" w:rsidRDefault="008112BD" w:rsidP="008112BD">
      <w:pPr>
        <w:pStyle w:val="Apara"/>
      </w:pPr>
      <w:r w:rsidRPr="002B175D">
        <w:tab/>
        <w:t>(o)</w:t>
      </w:r>
      <w:r w:rsidRPr="002B175D">
        <w:tab/>
        <w:t>the conditions (if any) on which bail is sought.</w:t>
      </w:r>
    </w:p>
    <w:p w14:paraId="0CDA6CC1" w14:textId="77777777" w:rsidR="008112BD" w:rsidRDefault="008112BD" w:rsidP="008112BD">
      <w:pPr>
        <w:pStyle w:val="Amain"/>
      </w:pPr>
      <w:r>
        <w:tab/>
        <w:t>(4)</w:t>
      </w:r>
      <w:r>
        <w:tab/>
        <w:t>The accused person must serve a stamped copy of the application and supporting affidavit on the director of public prosecutions.</w:t>
      </w:r>
    </w:p>
    <w:p w14:paraId="328AD51C" w14:textId="77777777"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14:paraId="131E5CB8" w14:textId="77777777" w:rsidR="008112BD" w:rsidRDefault="008112BD" w:rsidP="008112BD">
      <w:pPr>
        <w:pStyle w:val="AH5Sec"/>
      </w:pPr>
      <w:bookmarkStart w:id="1341" w:name="_Toc185514957"/>
      <w:r w:rsidRPr="00C8328B">
        <w:rPr>
          <w:rStyle w:val="CharSectNo"/>
        </w:rPr>
        <w:t>4722</w:t>
      </w:r>
      <w:r>
        <w:tab/>
        <w:t>Supreme Court bail application by informant</w:t>
      </w:r>
      <w:bookmarkEnd w:id="1341"/>
    </w:p>
    <w:p w14:paraId="0ED7A9E5" w14:textId="77777777" w:rsidR="008112BD" w:rsidRDefault="008112BD" w:rsidP="008112BD">
      <w:pPr>
        <w:pStyle w:val="Amain"/>
        <w:keepNext/>
      </w:pPr>
      <w:r>
        <w:tab/>
        <w:t>(1)</w:t>
      </w:r>
      <w:r>
        <w:tab/>
        <w:t>An application in relation to bail by an informant must comply with this division.</w:t>
      </w:r>
    </w:p>
    <w:p w14:paraId="029D6404"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6B12908E" w14:textId="39D56CA6"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6" w:history="1">
        <w:r w:rsidRPr="00F45D0B">
          <w:rPr>
            <w:rStyle w:val="charCitHyperlinkAbbrev"/>
          </w:rPr>
          <w:t>AF2011-63</w:t>
        </w:r>
      </w:hyperlink>
      <w:r w:rsidRPr="00F45D0B">
        <w:rPr>
          <w:rStyle w:val="charCitHyperlinkAbbrev"/>
        </w:rPr>
        <w:t>.</w:t>
      </w:r>
    </w:p>
    <w:p w14:paraId="42408865" w14:textId="77777777" w:rsidR="008112BD" w:rsidRDefault="008112BD" w:rsidP="008112BD">
      <w:pPr>
        <w:pStyle w:val="Amain"/>
        <w:keepNext/>
      </w:pPr>
      <w:r>
        <w:tab/>
        <w:t>(2)</w:t>
      </w:r>
      <w:r>
        <w:tab/>
        <w:t>The application must—</w:t>
      </w:r>
    </w:p>
    <w:p w14:paraId="40BD53BF" w14:textId="77777777" w:rsidR="008112BD" w:rsidRDefault="008112BD" w:rsidP="008112BD">
      <w:pPr>
        <w:pStyle w:val="Apara"/>
        <w:keepNext/>
      </w:pPr>
      <w:r>
        <w:tab/>
        <w:t>(a)</w:t>
      </w:r>
      <w:r>
        <w:tab/>
        <w:t>state the accused person’s name; and</w:t>
      </w:r>
    </w:p>
    <w:p w14:paraId="3A42A40C" w14:textId="77777777" w:rsidR="008112BD" w:rsidRDefault="008112BD" w:rsidP="008112BD">
      <w:pPr>
        <w:pStyle w:val="Apara"/>
      </w:pPr>
      <w:r>
        <w:tab/>
        <w:t>(b)</w:t>
      </w:r>
      <w:r>
        <w:tab/>
        <w:t>state briefly the order (or orders) sought; and</w:t>
      </w:r>
    </w:p>
    <w:p w14:paraId="299C3C26" w14:textId="77777777" w:rsidR="008112BD" w:rsidRDefault="008112BD" w:rsidP="008112BD">
      <w:pPr>
        <w:pStyle w:val="Apara"/>
      </w:pPr>
      <w:r>
        <w:tab/>
        <w:t>(c)</w:t>
      </w:r>
      <w:r>
        <w:tab/>
        <w:t>state briefly particulars of the grounds relied on in support of the order (or orders) sought.</w:t>
      </w:r>
    </w:p>
    <w:p w14:paraId="69BC44D6" w14:textId="77777777" w:rsidR="008112BD" w:rsidRDefault="008112BD" w:rsidP="008112BD">
      <w:pPr>
        <w:pStyle w:val="Amain"/>
      </w:pPr>
      <w:r>
        <w:tab/>
        <w:t>(3)</w:t>
      </w:r>
      <w:r>
        <w:tab/>
        <w:t>The application must be supported by an affidavit.</w:t>
      </w:r>
    </w:p>
    <w:p w14:paraId="76A9A712" w14:textId="77777777" w:rsidR="008112BD" w:rsidRDefault="008112BD" w:rsidP="008112BD">
      <w:pPr>
        <w:pStyle w:val="Amain"/>
      </w:pPr>
      <w:r>
        <w:lastRenderedPageBreak/>
        <w:tab/>
        <w:t>(4)</w:t>
      </w:r>
      <w:r>
        <w:tab/>
        <w:t>The informant must serve a stamped copy of the application and supporting affidavit on the accused person.</w:t>
      </w:r>
    </w:p>
    <w:p w14:paraId="657B5BDE" w14:textId="77777777" w:rsidR="008112BD" w:rsidRPr="002B175D" w:rsidRDefault="008112BD" w:rsidP="008112BD">
      <w:pPr>
        <w:pStyle w:val="AH5Sec"/>
      </w:pPr>
      <w:bookmarkStart w:id="1342" w:name="_Toc185514958"/>
      <w:r w:rsidRPr="00C8328B">
        <w:rPr>
          <w:rStyle w:val="CharSectNo"/>
        </w:rPr>
        <w:t>4723</w:t>
      </w:r>
      <w:r w:rsidRPr="002B175D">
        <w:tab/>
        <w:t>Supreme Court application for bail by unrepresented accused person</w:t>
      </w:r>
      <w:bookmarkEnd w:id="1342"/>
    </w:p>
    <w:p w14:paraId="48803714" w14:textId="77777777" w:rsidR="008112BD" w:rsidRPr="002B175D" w:rsidRDefault="008112BD" w:rsidP="008112BD">
      <w:pPr>
        <w:pStyle w:val="Amain"/>
      </w:pPr>
      <w:r w:rsidRPr="002B175D">
        <w:tab/>
        <w:t>(1)</w:t>
      </w:r>
      <w:r w:rsidRPr="002B175D">
        <w:tab/>
        <w:t>This rule applies if—</w:t>
      </w:r>
    </w:p>
    <w:p w14:paraId="79CDD586" w14:textId="77777777" w:rsidR="008112BD" w:rsidRPr="002B175D" w:rsidRDefault="008112BD" w:rsidP="008112BD">
      <w:pPr>
        <w:pStyle w:val="Apara"/>
      </w:pPr>
      <w:r w:rsidRPr="002B175D">
        <w:tab/>
        <w:t>(a)</w:t>
      </w:r>
      <w:r w:rsidRPr="002B175D">
        <w:tab/>
        <w:t>an accused person is unrepresented; and</w:t>
      </w:r>
    </w:p>
    <w:p w14:paraId="68857F05" w14:textId="1F1276B8" w:rsidR="008112BD" w:rsidRPr="002B175D" w:rsidRDefault="008112BD" w:rsidP="008112BD">
      <w:pPr>
        <w:pStyle w:val="Apara"/>
      </w:pPr>
      <w:r w:rsidRPr="002B175D">
        <w:tab/>
        <w:t>(b)</w:t>
      </w:r>
      <w:r w:rsidRPr="002B175D">
        <w:tab/>
        <w:t xml:space="preserve">the person applies for review of bail under the </w:t>
      </w:r>
      <w:hyperlink r:id="rId597"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14:paraId="6466E112" w14:textId="77777777" w:rsidR="008112BD" w:rsidRPr="002B175D" w:rsidRDefault="008112BD" w:rsidP="00E7506A">
      <w:pPr>
        <w:pStyle w:val="Amain"/>
        <w:keepNext/>
      </w:pPr>
      <w:r w:rsidRPr="002B175D">
        <w:tab/>
        <w:t>(2)</w:t>
      </w:r>
      <w:r w:rsidRPr="002B175D">
        <w:tab/>
        <w:t>The accused person may apply for bail using a short form of application.</w:t>
      </w:r>
    </w:p>
    <w:p w14:paraId="59D54BD9" w14:textId="77777777" w:rsidR="008112BD" w:rsidRPr="002B175D" w:rsidRDefault="008112BD" w:rsidP="00E7506A">
      <w:pPr>
        <w:pStyle w:val="aNote"/>
        <w:keepNext/>
      </w:pPr>
      <w:r w:rsidRPr="00FE0788">
        <w:rPr>
          <w:rStyle w:val="charItals"/>
        </w:rPr>
        <w:t>Note 1</w:t>
      </w:r>
      <w:r w:rsidRPr="00FE0788">
        <w:rPr>
          <w:rStyle w:val="charItals"/>
        </w:rPr>
        <w:tab/>
      </w:r>
      <w:r w:rsidRPr="002B175D">
        <w:t>Pt 6.2 (Applications in proceedings) also applies to an application under this rule.</w:t>
      </w:r>
    </w:p>
    <w:p w14:paraId="66CBBBA4" w14:textId="05A99939" w:rsidR="008112BD" w:rsidRPr="002B175D" w:rsidRDefault="008112BD" w:rsidP="008112BD">
      <w:pPr>
        <w:pStyle w:val="aNote"/>
      </w:pPr>
      <w:r w:rsidRPr="00FE0788">
        <w:rPr>
          <w:rStyle w:val="charItals"/>
        </w:rPr>
        <w:t>Note 2</w:t>
      </w:r>
      <w:r w:rsidRPr="00FE0788">
        <w:rPr>
          <w:rStyle w:val="charItals"/>
        </w:rPr>
        <w:tab/>
      </w:r>
      <w:r w:rsidRPr="00350CCF">
        <w:t>See approved form 4.9 (Supreme Court application for bail by unrepresented accused person)</w:t>
      </w:r>
      <w:r>
        <w:t xml:space="preserve"> </w:t>
      </w:r>
      <w:hyperlink r:id="rId598" w:history="1">
        <w:r w:rsidRPr="00F45D0B">
          <w:rPr>
            <w:rStyle w:val="charCitHyperlinkAbbrev"/>
          </w:rPr>
          <w:t>AF2011-64</w:t>
        </w:r>
      </w:hyperlink>
      <w:r w:rsidRPr="00350CCF">
        <w:t>.</w:t>
      </w:r>
    </w:p>
    <w:p w14:paraId="30EA6D6D" w14:textId="77777777"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14:paraId="2C74C930" w14:textId="77777777" w:rsidR="005718F5" w:rsidRPr="00876C68" w:rsidRDefault="005718F5" w:rsidP="005718F5">
      <w:pPr>
        <w:pStyle w:val="AH5Sec"/>
      </w:pPr>
      <w:bookmarkStart w:id="1343" w:name="_Toc185514959"/>
      <w:r w:rsidRPr="00C8328B">
        <w:rPr>
          <w:rStyle w:val="CharSectNo"/>
        </w:rPr>
        <w:t>4724</w:t>
      </w:r>
      <w:r w:rsidRPr="00876C68">
        <w:tab/>
        <w:t>Prosecution application for review of bail decision</w:t>
      </w:r>
      <w:bookmarkEnd w:id="1343"/>
    </w:p>
    <w:p w14:paraId="17570112" w14:textId="654EE413"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9" w:tooltip="A1992-8" w:history="1">
        <w:r w:rsidRPr="00876C68">
          <w:rPr>
            <w:rStyle w:val="charCitHyperlinkItal"/>
          </w:rPr>
          <w:t>Bail Act 1992</w:t>
        </w:r>
      </w:hyperlink>
      <w:r w:rsidRPr="00876C68">
        <w:t>, section 44 (Right of review of bail decisions—prosecution).</w:t>
      </w:r>
    </w:p>
    <w:p w14:paraId="7FD0BFB7" w14:textId="2E67C0D4"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600" w:history="1">
        <w:r w:rsidR="006A4E8D">
          <w:rPr>
            <w:rStyle w:val="charCitHyperlinkAbbrev"/>
          </w:rPr>
          <w:t>AF2017-107</w:t>
        </w:r>
      </w:hyperlink>
      <w:r w:rsidRPr="00876C68">
        <w:t>.</w:t>
      </w:r>
    </w:p>
    <w:p w14:paraId="0657C7D2" w14:textId="77777777" w:rsidR="005718F5" w:rsidRPr="00876C68" w:rsidRDefault="005718F5" w:rsidP="005718F5">
      <w:pPr>
        <w:pStyle w:val="Amain"/>
      </w:pPr>
      <w:r w:rsidRPr="00876C68">
        <w:tab/>
        <w:t>(2)</w:t>
      </w:r>
      <w:r w:rsidRPr="00876C68">
        <w:tab/>
        <w:t>Part 6.2 (Applications in proceedings) does not apply to an application under this rule.</w:t>
      </w:r>
    </w:p>
    <w:p w14:paraId="70996BF9" w14:textId="77777777" w:rsidR="005718F5" w:rsidRPr="00876C68" w:rsidRDefault="005718F5" w:rsidP="00442C70">
      <w:pPr>
        <w:pStyle w:val="Amain"/>
        <w:keepNext/>
      </w:pPr>
      <w:r w:rsidRPr="00876C68">
        <w:lastRenderedPageBreak/>
        <w:tab/>
        <w:t>(3)</w:t>
      </w:r>
      <w:r w:rsidRPr="00876C68">
        <w:tab/>
        <w:t>When the registry is open, the application must be—</w:t>
      </w:r>
    </w:p>
    <w:p w14:paraId="48D0217F" w14:textId="77777777" w:rsidR="005718F5" w:rsidRPr="00876C68" w:rsidRDefault="005718F5" w:rsidP="005718F5">
      <w:pPr>
        <w:pStyle w:val="Apara"/>
      </w:pPr>
      <w:r w:rsidRPr="00876C68">
        <w:tab/>
        <w:t>(a)</w:t>
      </w:r>
      <w:r w:rsidRPr="00876C68">
        <w:tab/>
        <w:t>filed by delivering it to the registry personally; and</w:t>
      </w:r>
    </w:p>
    <w:p w14:paraId="73A1F0A8" w14:textId="77777777" w:rsidR="005718F5" w:rsidRPr="00876C68" w:rsidRDefault="005718F5" w:rsidP="005718F5">
      <w:pPr>
        <w:pStyle w:val="Apara"/>
      </w:pPr>
      <w:r w:rsidRPr="00876C68">
        <w:tab/>
        <w:t>(b)</w:t>
      </w:r>
      <w:r w:rsidRPr="00876C68">
        <w:tab/>
        <w:t>stamped with the date and time of filing.</w:t>
      </w:r>
    </w:p>
    <w:p w14:paraId="269A4FF9" w14:textId="5FA5A4E8"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601" w:history="1">
        <w:r w:rsidR="00487FE8" w:rsidRPr="009B7A98">
          <w:rPr>
            <w:rStyle w:val="Hyperlink"/>
          </w:rPr>
          <w:t>s44bailreview@courts.act.gov.au</w:t>
        </w:r>
      </w:hyperlink>
      <w:r w:rsidR="00487FE8" w:rsidRPr="00876C68">
        <w:t>.</w:t>
      </w:r>
    </w:p>
    <w:p w14:paraId="08FACF83" w14:textId="77777777" w:rsidR="008112BD" w:rsidRPr="00C8328B" w:rsidRDefault="008112BD" w:rsidP="008112BD">
      <w:pPr>
        <w:pStyle w:val="AH3Div"/>
      </w:pPr>
      <w:bookmarkStart w:id="1344" w:name="_Toc185514960"/>
      <w:r w:rsidRPr="00C8328B">
        <w:rPr>
          <w:rStyle w:val="CharDivNo"/>
        </w:rPr>
        <w:t>Division 4.3.4</w:t>
      </w:r>
      <w:r>
        <w:tab/>
      </w:r>
      <w:r w:rsidRPr="00C8328B">
        <w:rPr>
          <w:rStyle w:val="CharDivText"/>
        </w:rPr>
        <w:t>Supreme Court criminal proceedings—pre-trial procedure</w:t>
      </w:r>
      <w:bookmarkEnd w:id="1344"/>
    </w:p>
    <w:p w14:paraId="18F79614" w14:textId="77777777" w:rsidR="008112BD" w:rsidRDefault="008112BD" w:rsidP="008112BD">
      <w:pPr>
        <w:pStyle w:val="AH5Sec"/>
      </w:pPr>
      <w:bookmarkStart w:id="1345" w:name="_Toc185514961"/>
      <w:r w:rsidRPr="00C8328B">
        <w:rPr>
          <w:rStyle w:val="CharSectNo"/>
        </w:rPr>
        <w:t>4730</w:t>
      </w:r>
      <w:r>
        <w:tab/>
        <w:t>Application—div 4.3.4</w:t>
      </w:r>
      <w:bookmarkEnd w:id="1345"/>
    </w:p>
    <w:p w14:paraId="6D454DA9" w14:textId="77777777" w:rsidR="008112BD" w:rsidRDefault="008112BD" w:rsidP="00E7506A">
      <w:pPr>
        <w:pStyle w:val="Amainreturn"/>
        <w:keepNext/>
      </w:pPr>
      <w:r>
        <w:t>This division applies if an accused person is committed to the Supreme Court for trial or sentence.</w:t>
      </w:r>
    </w:p>
    <w:p w14:paraId="16C148C7" w14:textId="77777777" w:rsidR="008112BD" w:rsidRPr="00C754DF" w:rsidRDefault="008112BD" w:rsidP="008112BD">
      <w:pPr>
        <w:pStyle w:val="AH5Sec"/>
      </w:pPr>
      <w:bookmarkStart w:id="1346" w:name="_Toc185514962"/>
      <w:r w:rsidRPr="00C8328B">
        <w:rPr>
          <w:rStyle w:val="CharSectNo"/>
        </w:rPr>
        <w:t>4731</w:t>
      </w:r>
      <w:r w:rsidRPr="00C754DF">
        <w:tab/>
        <w:t>Supreme Court criminal proceedings—appearance of accused person</w:t>
      </w:r>
      <w:bookmarkEnd w:id="1346"/>
    </w:p>
    <w:p w14:paraId="1011C1DA" w14:textId="77777777"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14:paraId="14468D95" w14:textId="77777777" w:rsidR="008112BD" w:rsidRPr="00C754DF" w:rsidRDefault="008112BD" w:rsidP="008112BD">
      <w:pPr>
        <w:pStyle w:val="Amain"/>
      </w:pPr>
      <w:r w:rsidRPr="00C754DF">
        <w:tab/>
        <w:t>(2)</w:t>
      </w:r>
      <w:r w:rsidRPr="00C754DF">
        <w:tab/>
        <w:t>The registrar of the Supreme Court must give the registrar of the Magistrates Court suitable dates for the proceeding to be listed in the Supreme Court.</w:t>
      </w:r>
    </w:p>
    <w:p w14:paraId="71B2483F" w14:textId="77777777"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14:paraId="5F8A7ECA" w14:textId="77777777"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14:paraId="5F2EE66B" w14:textId="77777777" w:rsidR="008112BD" w:rsidRDefault="008112BD" w:rsidP="008112BD">
      <w:pPr>
        <w:pStyle w:val="AH5Sec"/>
      </w:pPr>
      <w:bookmarkStart w:id="1347" w:name="_Toc185514963"/>
      <w:r w:rsidRPr="00C8328B">
        <w:rPr>
          <w:rStyle w:val="CharSectNo"/>
        </w:rPr>
        <w:lastRenderedPageBreak/>
        <w:t>4732</w:t>
      </w:r>
      <w:r>
        <w:tab/>
        <w:t>Supreme Court criminal proceedings—appearance when committed for sentence</w:t>
      </w:r>
      <w:bookmarkEnd w:id="1347"/>
    </w:p>
    <w:p w14:paraId="254A8B50" w14:textId="77777777" w:rsidR="008112BD" w:rsidRDefault="008112BD" w:rsidP="008112BD">
      <w:pPr>
        <w:pStyle w:val="Amainreturn"/>
        <w:keepNext/>
      </w:pPr>
      <w:r>
        <w:t>If the accused person is committed for sentence, the court may, on the appearance date—</w:t>
      </w:r>
    </w:p>
    <w:p w14:paraId="37CF39E1" w14:textId="77777777" w:rsidR="008112BD" w:rsidRDefault="008112BD" w:rsidP="008112BD">
      <w:pPr>
        <w:pStyle w:val="Apara"/>
      </w:pPr>
      <w:r>
        <w:tab/>
        <w:t>(a)</w:t>
      </w:r>
      <w:r>
        <w:tab/>
        <w:t>ask the accused person about the person’s representation, including legal aid; and</w:t>
      </w:r>
    </w:p>
    <w:p w14:paraId="23EC40F6" w14:textId="77777777" w:rsidR="008112BD" w:rsidRDefault="008112BD" w:rsidP="008112BD">
      <w:pPr>
        <w:pStyle w:val="Apara"/>
      </w:pPr>
      <w:r>
        <w:tab/>
        <w:t>(b)</w:t>
      </w:r>
      <w:r>
        <w:tab/>
        <w:t>if the accused person pleaded guilty in the Magistrates Court—confirm the accused person’s plea of guilty; and</w:t>
      </w:r>
    </w:p>
    <w:p w14:paraId="3984D723" w14:textId="77777777" w:rsidR="008112BD" w:rsidRDefault="008112BD" w:rsidP="008112BD">
      <w:pPr>
        <w:pStyle w:val="Apara"/>
      </w:pPr>
      <w:r>
        <w:tab/>
        <w:t>(c)</w:t>
      </w:r>
      <w:r>
        <w:tab/>
        <w:t xml:space="preserve">direct the director of public prosecutions to file in the court a statement of the facts (the </w:t>
      </w:r>
      <w:r w:rsidRPr="00FE0788">
        <w:rPr>
          <w:rStyle w:val="charBoldItals"/>
        </w:rPr>
        <w:t>case statement</w:t>
      </w:r>
      <w:r>
        <w:t>) on which the prosecution relies; and</w:t>
      </w:r>
    </w:p>
    <w:p w14:paraId="383E3547" w14:textId="77777777"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14:paraId="458EBD49" w14:textId="77777777" w:rsidR="008112BD" w:rsidRDefault="008112BD" w:rsidP="008112BD">
      <w:pPr>
        <w:pStyle w:val="Apara"/>
      </w:pPr>
      <w:r>
        <w:tab/>
        <w:t>(e)</w:t>
      </w:r>
      <w:r>
        <w:tab/>
        <w:t>ask the parties if the matter is urgent; and</w:t>
      </w:r>
    </w:p>
    <w:p w14:paraId="100060DB" w14:textId="77777777" w:rsidR="008112BD" w:rsidRDefault="008112BD" w:rsidP="008112BD">
      <w:pPr>
        <w:pStyle w:val="Apara"/>
      </w:pPr>
      <w:r>
        <w:tab/>
        <w:t>(f)</w:t>
      </w:r>
      <w:r>
        <w:tab/>
        <w:t>make orders in relation to pre-sentence reports; and</w:t>
      </w:r>
    </w:p>
    <w:p w14:paraId="79906209" w14:textId="77777777" w:rsidR="008112BD" w:rsidRDefault="008112BD" w:rsidP="008112BD">
      <w:pPr>
        <w:pStyle w:val="Apara"/>
      </w:pPr>
      <w:r>
        <w:tab/>
        <w:t>(g)</w:t>
      </w:r>
      <w:r>
        <w:tab/>
        <w:t>ask if any variation of bail is sought; and</w:t>
      </w:r>
    </w:p>
    <w:p w14:paraId="330DE11E" w14:textId="77777777" w:rsidR="008112BD" w:rsidRDefault="008112BD" w:rsidP="008112BD">
      <w:pPr>
        <w:pStyle w:val="Apara"/>
      </w:pPr>
      <w:r>
        <w:tab/>
        <w:t>(h)</w:t>
      </w:r>
      <w:r>
        <w:tab/>
        <w:t>give any other directions that the court considers appropriate.</w:t>
      </w:r>
    </w:p>
    <w:p w14:paraId="3681FA77" w14:textId="77777777" w:rsidR="008112BD" w:rsidRDefault="008112BD" w:rsidP="008112BD">
      <w:pPr>
        <w:pStyle w:val="AH5Sec"/>
      </w:pPr>
      <w:bookmarkStart w:id="1348" w:name="_Toc185514964"/>
      <w:r w:rsidRPr="00C8328B">
        <w:rPr>
          <w:rStyle w:val="CharSectNo"/>
        </w:rPr>
        <w:t>4733</w:t>
      </w:r>
      <w:r>
        <w:tab/>
        <w:t>Supreme Court criminal proceedings—appearance when committed for trial</w:t>
      </w:r>
      <w:bookmarkEnd w:id="1348"/>
    </w:p>
    <w:p w14:paraId="33727468" w14:textId="77777777" w:rsidR="008112BD" w:rsidRDefault="008112BD" w:rsidP="008112BD">
      <w:pPr>
        <w:pStyle w:val="Amainreturn"/>
        <w:keepNext/>
      </w:pPr>
      <w:r>
        <w:t>If the accused person is committed for trial, the court may, on the appearance date—</w:t>
      </w:r>
    </w:p>
    <w:p w14:paraId="48E89711" w14:textId="77777777" w:rsidR="008112BD" w:rsidRDefault="008112BD" w:rsidP="008112BD">
      <w:pPr>
        <w:pStyle w:val="Apara"/>
      </w:pPr>
      <w:r>
        <w:tab/>
        <w:t>(a)</w:t>
      </w:r>
      <w:r>
        <w:tab/>
        <w:t>ask the accused person about the person’s representation, including legal aid; and</w:t>
      </w:r>
    </w:p>
    <w:p w14:paraId="1DF8467D" w14:textId="77777777" w:rsidR="008112BD" w:rsidRDefault="008112BD" w:rsidP="008112BD">
      <w:pPr>
        <w:pStyle w:val="Apara"/>
        <w:keepNext/>
      </w:pPr>
      <w:r>
        <w:lastRenderedPageBreak/>
        <w:tab/>
        <w:t>(b)</w:t>
      </w:r>
      <w:r>
        <w:tab/>
        <w:t>ask the accused person whether the person has decided to have the trial by judge alone; and</w:t>
      </w:r>
    </w:p>
    <w:p w14:paraId="58B4DEAF" w14:textId="4BD1227C"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602" w:tooltip="A1933-34" w:history="1">
        <w:r w:rsidRPr="00FE0788">
          <w:rPr>
            <w:rStyle w:val="charCitHyperlinkItal"/>
          </w:rPr>
          <w:t>Supreme Court Act 1933</w:t>
        </w:r>
      </w:hyperlink>
      <w:r w:rsidRPr="003C7C75">
        <w:t>, s 68B (Trial by judge alone in certain criminal proceedings).</w:t>
      </w:r>
    </w:p>
    <w:p w14:paraId="2DCFBF09" w14:textId="6CD96B83"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603" w:history="1">
        <w:r w:rsidR="006A4E8D">
          <w:rPr>
            <w:rStyle w:val="charCitHyperlinkAbbrev"/>
          </w:rPr>
          <w:t>AF2024-35</w:t>
        </w:r>
      </w:hyperlink>
      <w:r>
        <w:t>.</w:t>
      </w:r>
    </w:p>
    <w:p w14:paraId="15E07F7C" w14:textId="77777777" w:rsidR="008112BD" w:rsidRDefault="008112BD" w:rsidP="008112BD">
      <w:pPr>
        <w:pStyle w:val="Apara"/>
      </w:pPr>
      <w:r>
        <w:tab/>
        <w:t>(c)</w:t>
      </w:r>
      <w:r>
        <w:tab/>
        <w:t>direct the director of public prosecutions to file in the court—</w:t>
      </w:r>
    </w:p>
    <w:p w14:paraId="608768E6" w14:textId="77777777" w:rsidR="008112BD" w:rsidRDefault="008112BD" w:rsidP="008112BD">
      <w:pPr>
        <w:pStyle w:val="Asubpara"/>
      </w:pPr>
      <w:r>
        <w:tab/>
        <w:t>(i)</w:t>
      </w:r>
      <w:r>
        <w:tab/>
        <w:t>a draft indictment; and</w:t>
      </w:r>
    </w:p>
    <w:p w14:paraId="45D029E1" w14:textId="77777777" w:rsidR="008112BD" w:rsidRDefault="008112BD" w:rsidP="008112BD">
      <w:pPr>
        <w:pStyle w:val="Asubpara"/>
      </w:pPr>
      <w:r>
        <w:tab/>
        <w:t>(ii)</w:t>
      </w:r>
      <w:r>
        <w:tab/>
        <w:t>the case statement; and</w:t>
      </w:r>
    </w:p>
    <w:p w14:paraId="5DE36CE9" w14:textId="77777777"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14:paraId="78D60E1E" w14:textId="77777777" w:rsidR="008112BD" w:rsidRDefault="008112BD" w:rsidP="008112BD">
      <w:pPr>
        <w:pStyle w:val="Apara"/>
      </w:pPr>
      <w:r>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14:paraId="46E88F2E" w14:textId="77777777" w:rsidR="008112BD" w:rsidRDefault="008112BD" w:rsidP="008112BD">
      <w:pPr>
        <w:pStyle w:val="Apara"/>
        <w:keepNext/>
      </w:pPr>
      <w:r>
        <w:tab/>
        <w:t>(e)</w:t>
      </w:r>
      <w:r>
        <w:tab/>
        <w:t>direct the parties to complete and file in the court a pre-trial questionnaire by the date set by the court; and</w:t>
      </w:r>
    </w:p>
    <w:p w14:paraId="62C9C255" w14:textId="1ADC9D4F" w:rsidR="008112BD" w:rsidRDefault="008112BD" w:rsidP="009427D2">
      <w:pPr>
        <w:pStyle w:val="aNotepar"/>
      </w:pPr>
      <w:r w:rsidRPr="00FE0788">
        <w:rPr>
          <w:rStyle w:val="charItals"/>
        </w:rPr>
        <w:t>Note</w:t>
      </w:r>
      <w:r w:rsidRPr="00FE0788">
        <w:rPr>
          <w:rStyle w:val="charItals"/>
        </w:rPr>
        <w:tab/>
      </w:r>
      <w:r>
        <w:t xml:space="preserve">See approved form 4.10 (Supreme Court criminal proceeding—pre-trial questionnaire) </w:t>
      </w:r>
      <w:hyperlink r:id="rId604" w:history="1">
        <w:r w:rsidR="009427D2">
          <w:rPr>
            <w:rStyle w:val="charCitHyperlinkAbbrev"/>
          </w:rPr>
          <w:t>AF2024-34</w:t>
        </w:r>
      </w:hyperlink>
      <w:r>
        <w:t>.</w:t>
      </w:r>
    </w:p>
    <w:p w14:paraId="713122EC" w14:textId="77777777" w:rsidR="008112BD" w:rsidRDefault="008112BD" w:rsidP="008112BD">
      <w:pPr>
        <w:pStyle w:val="Apara"/>
      </w:pPr>
      <w:r>
        <w:tab/>
        <w:t>(f)</w:t>
      </w:r>
      <w:r>
        <w:tab/>
        <w:t>ask the parties if the matter is urgent; and</w:t>
      </w:r>
    </w:p>
    <w:p w14:paraId="0515B518" w14:textId="77777777" w:rsidR="008112BD" w:rsidRDefault="008112BD" w:rsidP="008112BD">
      <w:pPr>
        <w:pStyle w:val="Apara"/>
      </w:pPr>
      <w:r>
        <w:tab/>
        <w:t>(g)</w:t>
      </w:r>
      <w:r>
        <w:tab/>
        <w:t>ask about any unusual features of the matter; and</w:t>
      </w:r>
    </w:p>
    <w:p w14:paraId="2CD108DA" w14:textId="77777777" w:rsidR="008112BD" w:rsidRDefault="008112BD" w:rsidP="008112BD">
      <w:pPr>
        <w:pStyle w:val="Apara"/>
        <w:keepNext/>
      </w:pPr>
      <w:r>
        <w:tab/>
        <w:t>(h)</w:t>
      </w:r>
      <w:r>
        <w:tab/>
        <w:t>ask about the length of the trial; and</w:t>
      </w:r>
    </w:p>
    <w:p w14:paraId="6A4D5056" w14:textId="77777777" w:rsidR="008112BD" w:rsidRDefault="008112BD" w:rsidP="008112BD">
      <w:pPr>
        <w:pStyle w:val="Apara"/>
        <w:keepNext/>
      </w:pPr>
      <w:r>
        <w:tab/>
        <w:t>(i)</w:t>
      </w:r>
      <w:r>
        <w:tab/>
        <w:t>ask if any variation of bail is sought; and</w:t>
      </w:r>
    </w:p>
    <w:p w14:paraId="330FD579" w14:textId="77777777" w:rsidR="008112BD" w:rsidRPr="009D5743" w:rsidRDefault="008112BD" w:rsidP="008112BD">
      <w:pPr>
        <w:pStyle w:val="Apara"/>
      </w:pPr>
      <w:r w:rsidRPr="009D5743">
        <w:tab/>
        <w:t>(</w:t>
      </w:r>
      <w:r>
        <w:t>j</w:t>
      </w:r>
      <w:r w:rsidRPr="009D5743">
        <w:t>)</w:t>
      </w:r>
      <w:r w:rsidRPr="009D5743">
        <w:tab/>
        <w:t>give any other directions that the court considers appropriate.</w:t>
      </w:r>
    </w:p>
    <w:p w14:paraId="017D61D2" w14:textId="77777777" w:rsidR="008112BD" w:rsidRDefault="008112BD" w:rsidP="008112BD">
      <w:pPr>
        <w:pStyle w:val="AH5Sec"/>
      </w:pPr>
      <w:bookmarkStart w:id="1349" w:name="_Toc185514965"/>
      <w:r w:rsidRPr="00C8328B">
        <w:rPr>
          <w:rStyle w:val="CharSectNo"/>
        </w:rPr>
        <w:lastRenderedPageBreak/>
        <w:t>4734</w:t>
      </w:r>
      <w:r>
        <w:tab/>
        <w:t>Supreme Court criminal proceedings—pre-trial questionnaire</w:t>
      </w:r>
      <w:bookmarkEnd w:id="1349"/>
    </w:p>
    <w:p w14:paraId="421E671E" w14:textId="77777777" w:rsidR="008112BD" w:rsidRDefault="008112BD" w:rsidP="008112BD">
      <w:pPr>
        <w:pStyle w:val="Amainreturn"/>
        <w:keepNext/>
      </w:pPr>
      <w:r>
        <w:t>If the court directs the parties to complete a pre-trial questionnaire—</w:t>
      </w:r>
    </w:p>
    <w:p w14:paraId="2366BBB9" w14:textId="77777777" w:rsidR="008112BD" w:rsidRDefault="008112BD" w:rsidP="008112BD">
      <w:pPr>
        <w:pStyle w:val="Apara"/>
      </w:pPr>
      <w:r>
        <w:tab/>
        <w:t>(a)</w:t>
      </w:r>
      <w:r>
        <w:tab/>
        <w:t>the director of public prosecutions must—</w:t>
      </w:r>
    </w:p>
    <w:p w14:paraId="373C74A2" w14:textId="77777777" w:rsidR="008112BD" w:rsidRDefault="008112BD" w:rsidP="008112BD">
      <w:pPr>
        <w:pStyle w:val="Asubpara"/>
      </w:pPr>
      <w:r>
        <w:tab/>
        <w:t>(i)</w:t>
      </w:r>
      <w:r>
        <w:tab/>
        <w:t>complete the column of the questionnaire headed ‘DPP’; and</w:t>
      </w:r>
    </w:p>
    <w:p w14:paraId="25534F2F" w14:textId="77777777" w:rsidR="008112BD" w:rsidRDefault="008112BD" w:rsidP="008112BD">
      <w:pPr>
        <w:pStyle w:val="Asubpara"/>
      </w:pPr>
      <w:r>
        <w:tab/>
        <w:t>(ii)</w:t>
      </w:r>
      <w:r>
        <w:tab/>
        <w:t>give the completed questionnaire to the accused person or, if the accused person is represented by a solicitor, the solicitor—</w:t>
      </w:r>
    </w:p>
    <w:p w14:paraId="081179DF" w14:textId="77777777" w:rsidR="008112BD" w:rsidRDefault="008112BD" w:rsidP="008112BD">
      <w:pPr>
        <w:pStyle w:val="Asubsubpara"/>
      </w:pPr>
      <w:r>
        <w:tab/>
        <w:t>(A)</w:t>
      </w:r>
      <w:r>
        <w:tab/>
        <w:t>at least 7 days before the day the questionnaire must be filed in the court; or</w:t>
      </w:r>
    </w:p>
    <w:p w14:paraId="217D118B" w14:textId="77777777" w:rsidR="008112BD" w:rsidRDefault="008112BD" w:rsidP="008112BD">
      <w:pPr>
        <w:pStyle w:val="Asubsubpara"/>
      </w:pPr>
      <w:r>
        <w:tab/>
        <w:t>(B)</w:t>
      </w:r>
      <w:r>
        <w:tab/>
        <w:t>if the court sets another date—by that date; and</w:t>
      </w:r>
    </w:p>
    <w:p w14:paraId="5616B772" w14:textId="77777777"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14:paraId="408861DD" w14:textId="77777777" w:rsidR="008112BD" w:rsidRDefault="008112BD" w:rsidP="008112BD">
      <w:pPr>
        <w:pStyle w:val="Asubpara"/>
      </w:pPr>
      <w:r>
        <w:tab/>
        <w:t>(i)</w:t>
      </w:r>
      <w:r>
        <w:tab/>
        <w:t>complete the column of the questionnaire headed ‘Accused’; and</w:t>
      </w:r>
    </w:p>
    <w:p w14:paraId="4B1F1FC5" w14:textId="77777777" w:rsidR="008112BD" w:rsidRDefault="008112BD" w:rsidP="008112BD">
      <w:pPr>
        <w:pStyle w:val="Asubpara"/>
      </w:pPr>
      <w:r>
        <w:tab/>
        <w:t>(ii)</w:t>
      </w:r>
      <w:r>
        <w:tab/>
        <w:t>file the completed questionnaire in the court by the date set by the court.</w:t>
      </w:r>
    </w:p>
    <w:p w14:paraId="0412A329" w14:textId="77777777" w:rsidR="008112BD" w:rsidRPr="009D5743" w:rsidRDefault="008112BD" w:rsidP="008112BD">
      <w:pPr>
        <w:pStyle w:val="AH5Sec"/>
      </w:pPr>
      <w:bookmarkStart w:id="1350" w:name="_Toc185514966"/>
      <w:r w:rsidRPr="00C8328B">
        <w:rPr>
          <w:rStyle w:val="CharSectNo"/>
        </w:rPr>
        <w:t>4735</w:t>
      </w:r>
      <w:r w:rsidRPr="009D5743">
        <w:tab/>
        <w:t>Supreme Court criminal proceedings—completion of pre</w:t>
      </w:r>
      <w:r w:rsidRPr="009D5743">
        <w:noBreakHyphen/>
        <w:t>trial questionnaire</w:t>
      </w:r>
      <w:bookmarkEnd w:id="1350"/>
    </w:p>
    <w:p w14:paraId="5A0A0029" w14:textId="77777777"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14:paraId="4CB4FB70" w14:textId="77777777"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14:paraId="561EC9A8" w14:textId="77777777"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14:paraId="762B274B" w14:textId="77777777" w:rsidR="008112BD" w:rsidRPr="009D5743" w:rsidRDefault="008112BD" w:rsidP="008112BD">
      <w:pPr>
        <w:pStyle w:val="Amain"/>
      </w:pPr>
      <w:r w:rsidRPr="009D5743">
        <w:lastRenderedPageBreak/>
        <w:tab/>
        <w:t>(2)</w:t>
      </w:r>
      <w:r w:rsidRPr="009D5743">
        <w:tab/>
        <w:t>In considering whether a matter needs to be listed for further case management, the registrar—</w:t>
      </w:r>
    </w:p>
    <w:p w14:paraId="708F4C59" w14:textId="77777777"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14:paraId="4470E5F2" w14:textId="77777777" w:rsidR="008112BD" w:rsidRPr="009D5743" w:rsidRDefault="008112BD" w:rsidP="008112BD">
      <w:pPr>
        <w:pStyle w:val="Apara"/>
      </w:pPr>
      <w:r w:rsidRPr="009D5743">
        <w:tab/>
        <w:t>(b)</w:t>
      </w:r>
      <w:r w:rsidRPr="009D5743">
        <w:tab/>
        <w:t>must have regard to the following:</w:t>
      </w:r>
    </w:p>
    <w:p w14:paraId="3A32593E" w14:textId="77777777" w:rsidR="008112BD" w:rsidRPr="009D5743" w:rsidRDefault="008112BD" w:rsidP="008112BD">
      <w:pPr>
        <w:pStyle w:val="Asubpara"/>
      </w:pPr>
      <w:r w:rsidRPr="009D5743">
        <w:tab/>
        <w:t>(i)</w:t>
      </w:r>
      <w:r w:rsidRPr="009D5743">
        <w:tab/>
        <w:t>the parties’ answers in the questionnaire;</w:t>
      </w:r>
    </w:p>
    <w:p w14:paraId="389681AE" w14:textId="77777777" w:rsidR="008112BD" w:rsidRPr="009D5743" w:rsidRDefault="008112BD" w:rsidP="008112BD">
      <w:pPr>
        <w:pStyle w:val="Asubpara"/>
      </w:pPr>
      <w:r w:rsidRPr="009D5743">
        <w:tab/>
        <w:t>(ii)</w:t>
      </w:r>
      <w:r w:rsidRPr="009D5743">
        <w:tab/>
        <w:t>any other documents filed in the proceeding;</w:t>
      </w:r>
    </w:p>
    <w:p w14:paraId="00F9C81B" w14:textId="77777777" w:rsidR="008112BD" w:rsidRPr="009D5743" w:rsidRDefault="008112BD" w:rsidP="008112BD">
      <w:pPr>
        <w:pStyle w:val="Asubpara"/>
      </w:pPr>
      <w:r w:rsidRPr="009D5743">
        <w:tab/>
        <w:t>(iii)</w:t>
      </w:r>
      <w:r w:rsidRPr="009D5743">
        <w:tab/>
        <w:t>any other information given by a party to the court.</w:t>
      </w:r>
    </w:p>
    <w:p w14:paraId="097E69C3" w14:textId="77777777" w:rsidR="008112BD" w:rsidRPr="009D5743" w:rsidRDefault="008112BD" w:rsidP="008112BD">
      <w:pPr>
        <w:pStyle w:val="AH5Sec"/>
      </w:pPr>
      <w:bookmarkStart w:id="1351" w:name="_Toc185514967"/>
      <w:r w:rsidRPr="00C8328B">
        <w:rPr>
          <w:rStyle w:val="CharSectNo"/>
        </w:rPr>
        <w:t>4735A</w:t>
      </w:r>
      <w:r w:rsidRPr="009D5743">
        <w:tab/>
        <w:t>Supreme Court criminal proceedings—registrar’s directions hearing</w:t>
      </w:r>
      <w:bookmarkEnd w:id="1351"/>
    </w:p>
    <w:p w14:paraId="51AC08ED" w14:textId="77777777" w:rsidR="008112BD" w:rsidRPr="00C754DF" w:rsidRDefault="008112BD" w:rsidP="00803799">
      <w:pPr>
        <w:pStyle w:val="Amain"/>
        <w:keepNext/>
      </w:pPr>
      <w:r w:rsidRPr="00C754DF">
        <w:tab/>
        <w:t>(1)</w:t>
      </w:r>
      <w:r w:rsidRPr="00C754DF">
        <w:tab/>
        <w:t>At a directions hearing under rule 4735, the registrar may deal with any matter mentioned in rule 4732 or rule 4733.</w:t>
      </w:r>
    </w:p>
    <w:p w14:paraId="4FDF3C15" w14:textId="77777777"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14:paraId="4210DAD4" w14:textId="77777777" w:rsidR="008112BD" w:rsidRDefault="008112BD" w:rsidP="008112BD">
      <w:pPr>
        <w:pStyle w:val="AH5Sec"/>
      </w:pPr>
      <w:bookmarkStart w:id="1352" w:name="_Toc185514968"/>
      <w:r w:rsidRPr="00C8328B">
        <w:rPr>
          <w:rStyle w:val="CharSectNo"/>
        </w:rPr>
        <w:t>4736</w:t>
      </w:r>
      <w:r>
        <w:tab/>
        <w:t>Supreme Court criminal proceedings—arraignment</w:t>
      </w:r>
      <w:bookmarkEnd w:id="1352"/>
    </w:p>
    <w:p w14:paraId="1BA7D1C2" w14:textId="77777777" w:rsidR="008112BD" w:rsidRDefault="008112BD" w:rsidP="008112BD">
      <w:pPr>
        <w:pStyle w:val="Amain"/>
      </w:pPr>
      <w:r>
        <w:tab/>
        <w:t>(1)</w:t>
      </w:r>
      <w:r>
        <w:tab/>
        <w:t>On the arraignment of the accused person, the director of public prosecutions may present an indictment in relation to the person to the court.</w:t>
      </w:r>
    </w:p>
    <w:p w14:paraId="1026B1AF" w14:textId="77777777" w:rsidR="008112BD" w:rsidRDefault="008112BD" w:rsidP="008112BD">
      <w:pPr>
        <w:pStyle w:val="Amain"/>
        <w:keepNext/>
      </w:pPr>
      <w:r>
        <w:tab/>
        <w:t>(2)</w:t>
      </w:r>
      <w:r>
        <w:tab/>
        <w:t>If an indictment is presented by the director of public prosecutions, the accused person must enter a plea.</w:t>
      </w:r>
    </w:p>
    <w:p w14:paraId="377B2E83" w14:textId="35098F72" w:rsidR="008112BD" w:rsidRDefault="008112BD" w:rsidP="00536D93">
      <w:pPr>
        <w:pStyle w:val="aNote"/>
        <w:keepLines/>
      </w:pPr>
      <w:r w:rsidRPr="00FE0788">
        <w:rPr>
          <w:rStyle w:val="charItals"/>
        </w:rPr>
        <w:t>Note</w:t>
      </w:r>
      <w:r w:rsidRPr="00FE0788">
        <w:rPr>
          <w:rStyle w:val="charItals"/>
        </w:rPr>
        <w:tab/>
      </w:r>
      <w:r>
        <w:t xml:space="preserve">The </w:t>
      </w:r>
      <w:hyperlink r:id="rId605"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14:paraId="6064C28E" w14:textId="77777777" w:rsidR="00334F73" w:rsidRPr="00F13970" w:rsidRDefault="00334F73" w:rsidP="00334F73">
      <w:pPr>
        <w:pStyle w:val="Amain"/>
      </w:pPr>
      <w:r w:rsidRPr="00F13970">
        <w:tab/>
        <w:t>(3)</w:t>
      </w:r>
      <w:r w:rsidRPr="00F13970">
        <w:tab/>
        <w:t xml:space="preserve">After the accused person enters a plea, the court may make any order, or </w:t>
      </w:r>
      <w:r w:rsidRPr="00F13970">
        <w:rPr>
          <w:color w:val="000000"/>
          <w:shd w:val="clear" w:color="auto" w:fill="FFFFFF"/>
        </w:rPr>
        <w:t>give any direction, about the conduct of the proceeding it considers appropriate</w:t>
      </w:r>
      <w:r w:rsidRPr="00F13970">
        <w:t>.</w:t>
      </w:r>
    </w:p>
    <w:p w14:paraId="4769366D" w14:textId="77777777" w:rsidR="008112BD" w:rsidRPr="00C754DF" w:rsidRDefault="008112BD" w:rsidP="008112BD">
      <w:pPr>
        <w:pStyle w:val="AH5Sec"/>
        <w:rPr>
          <w:lang w:eastAsia="en-AU"/>
        </w:rPr>
      </w:pPr>
      <w:bookmarkStart w:id="1353" w:name="_Toc185514969"/>
      <w:r w:rsidRPr="00C8328B">
        <w:rPr>
          <w:rStyle w:val="CharSectNo"/>
        </w:rPr>
        <w:lastRenderedPageBreak/>
        <w:t>4738</w:t>
      </w:r>
      <w:r w:rsidRPr="00C754DF">
        <w:rPr>
          <w:lang w:eastAsia="en-AU"/>
        </w:rPr>
        <w:tab/>
      </w:r>
      <w:r w:rsidRPr="00C754DF">
        <w:rPr>
          <w:bCs/>
          <w:lang w:eastAsia="en-AU"/>
        </w:rPr>
        <w:t>Supreme Court criminal</w:t>
      </w:r>
      <w:r w:rsidRPr="00C754DF">
        <w:rPr>
          <w:lang w:eastAsia="en-AU"/>
        </w:rPr>
        <w:t xml:space="preserve"> proceedings—directions</w:t>
      </w:r>
      <w:bookmarkEnd w:id="1353"/>
    </w:p>
    <w:p w14:paraId="2A59CABE" w14:textId="77777777"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14:paraId="51C39804"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14:paraId="57ABA5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14:paraId="6F02777C" w14:textId="77777777"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14:paraId="4CAECDDA" w14:textId="77777777"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14:paraId="691BFD22" w14:textId="77777777"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14:paraId="71CAF27E" w14:textId="77777777"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14:paraId="11C5B041" w14:textId="77777777"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14:paraId="6807776A" w14:textId="77777777"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14:paraId="017D1A7E" w14:textId="77777777"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14:paraId="376E065A" w14:textId="4B312186"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606" w:tooltip="A2001-14" w:history="1">
        <w:r w:rsidRPr="00FE0788">
          <w:rPr>
            <w:rStyle w:val="charCitHyperlinkAbbrev"/>
          </w:rPr>
          <w:t>Legislation Act</w:t>
        </w:r>
      </w:hyperlink>
      <w:r w:rsidRPr="00C754DF">
        <w:rPr>
          <w:lang w:eastAsia="en-AU"/>
        </w:rPr>
        <w:t>, s 98).</w:t>
      </w:r>
    </w:p>
    <w:p w14:paraId="3CDC7767" w14:textId="77777777" w:rsidR="008112BD" w:rsidRPr="00C8328B" w:rsidRDefault="008112BD" w:rsidP="008112BD">
      <w:pPr>
        <w:pStyle w:val="AH3Div"/>
      </w:pPr>
      <w:bookmarkStart w:id="1354" w:name="_Toc185514970"/>
      <w:r w:rsidRPr="00C8328B">
        <w:rPr>
          <w:rStyle w:val="CharDivNo"/>
        </w:rPr>
        <w:lastRenderedPageBreak/>
        <w:t>Division 4.3.5</w:t>
      </w:r>
      <w:r>
        <w:tab/>
      </w:r>
      <w:r w:rsidRPr="00C8328B">
        <w:rPr>
          <w:rStyle w:val="CharDivText"/>
        </w:rPr>
        <w:t>Supreme Court criminal proceedings—pre-trial applications</w:t>
      </w:r>
      <w:bookmarkEnd w:id="1354"/>
    </w:p>
    <w:p w14:paraId="70DD7319" w14:textId="77777777" w:rsidR="008112BD" w:rsidRDefault="008112BD" w:rsidP="008112BD">
      <w:pPr>
        <w:pStyle w:val="AH5Sec"/>
      </w:pPr>
      <w:bookmarkStart w:id="1355" w:name="_Toc185514971"/>
      <w:r w:rsidRPr="00C8328B">
        <w:rPr>
          <w:rStyle w:val="CharSectNo"/>
        </w:rPr>
        <w:t>4750</w:t>
      </w:r>
      <w:r>
        <w:tab/>
        <w:t>Supreme Court criminal proceedings—application to set aside or stay proceeding</w:t>
      </w:r>
      <w:bookmarkEnd w:id="1355"/>
    </w:p>
    <w:p w14:paraId="7A956743" w14:textId="77777777" w:rsidR="008112BD" w:rsidRDefault="008112BD" w:rsidP="008112BD">
      <w:pPr>
        <w:pStyle w:val="Amain"/>
        <w:keepNext/>
      </w:pPr>
      <w:r>
        <w:tab/>
        <w:t>(1)</w:t>
      </w:r>
      <w:r>
        <w:tab/>
        <w:t>An accused person may apply to set aside or stay any criminal proceeding against the person.</w:t>
      </w:r>
    </w:p>
    <w:p w14:paraId="50A765CE"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0F98267" w14:textId="77777777" w:rsidR="008112BD" w:rsidRDefault="008112BD" w:rsidP="008112BD">
      <w:pPr>
        <w:pStyle w:val="Amain"/>
      </w:pPr>
      <w:r>
        <w:tab/>
        <w:t>(2)</w:t>
      </w:r>
      <w:r>
        <w:tab/>
        <w:t>The application must be made and heard before the accused person is arraigned.</w:t>
      </w:r>
    </w:p>
    <w:p w14:paraId="3F0C78D8" w14:textId="77777777" w:rsidR="008112BD" w:rsidRDefault="008112BD" w:rsidP="008112BD">
      <w:pPr>
        <w:pStyle w:val="Amain"/>
      </w:pPr>
      <w:r>
        <w:tab/>
        <w:t>(3)</w:t>
      </w:r>
      <w:r>
        <w:tab/>
        <w:t>If the application is dismissed, the accused person may make a further application under subrule (1) in relation to the same or similar charges only if—</w:t>
      </w:r>
    </w:p>
    <w:p w14:paraId="5C84BEA0" w14:textId="77777777" w:rsidR="008112BD" w:rsidRDefault="008112BD" w:rsidP="008112BD">
      <w:pPr>
        <w:pStyle w:val="Apara"/>
      </w:pPr>
      <w:r>
        <w:tab/>
        <w:t>(a)</w:t>
      </w:r>
      <w:r>
        <w:tab/>
        <w:t>there has been a significant change of circumstances; and</w:t>
      </w:r>
    </w:p>
    <w:p w14:paraId="6B91D6E4" w14:textId="77777777" w:rsidR="008112BD" w:rsidRDefault="008112BD" w:rsidP="008112BD">
      <w:pPr>
        <w:pStyle w:val="Apara"/>
      </w:pPr>
      <w:r>
        <w:tab/>
        <w:t>(b)</w:t>
      </w:r>
      <w:r>
        <w:tab/>
        <w:t>the application is limited to the change of circumstances.</w:t>
      </w:r>
    </w:p>
    <w:p w14:paraId="54EDCFB4" w14:textId="77777777" w:rsidR="008112BD" w:rsidRDefault="008112BD" w:rsidP="008112BD">
      <w:pPr>
        <w:pStyle w:val="AH5Sec"/>
      </w:pPr>
      <w:bookmarkStart w:id="1356" w:name="_Toc185514972"/>
      <w:r w:rsidRPr="00C8328B">
        <w:rPr>
          <w:rStyle w:val="CharSectNo"/>
        </w:rPr>
        <w:t>4751</w:t>
      </w:r>
      <w:r>
        <w:tab/>
        <w:t>Supreme Court criminal proceedings—application for separate trials</w:t>
      </w:r>
      <w:bookmarkEnd w:id="1356"/>
    </w:p>
    <w:p w14:paraId="4246155E" w14:textId="77777777" w:rsidR="008112BD" w:rsidRDefault="008112BD" w:rsidP="002F0862">
      <w:pPr>
        <w:pStyle w:val="Amainreturn"/>
        <w:keepNext/>
      </w:pPr>
      <w:r>
        <w:t>An accused person may apply for—</w:t>
      </w:r>
    </w:p>
    <w:p w14:paraId="15AE7CFC" w14:textId="77777777" w:rsidR="008112BD" w:rsidRDefault="008112BD" w:rsidP="008112BD">
      <w:pPr>
        <w:pStyle w:val="Apara"/>
      </w:pPr>
      <w:r>
        <w:tab/>
        <w:t>(a)</w:t>
      </w:r>
      <w:r>
        <w:tab/>
        <w:t>separate trials of different charges alleged against the person in the same indictment; and</w:t>
      </w:r>
    </w:p>
    <w:p w14:paraId="61FD8E1C" w14:textId="77777777" w:rsidR="008112BD" w:rsidRDefault="008112BD" w:rsidP="008112BD">
      <w:pPr>
        <w:pStyle w:val="Apara"/>
        <w:keepNext/>
      </w:pPr>
      <w:r>
        <w:tab/>
        <w:t>(b)</w:t>
      </w:r>
      <w:r>
        <w:tab/>
        <w:t>a separate trial from that of someone else committed for trial and charged in the same indictment.</w:t>
      </w:r>
    </w:p>
    <w:p w14:paraId="5741BBB6"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FCB1268" w14:textId="77777777" w:rsidR="008112BD" w:rsidRDefault="008112BD" w:rsidP="008112BD">
      <w:pPr>
        <w:pStyle w:val="AH5Sec"/>
      </w:pPr>
      <w:bookmarkStart w:id="1357" w:name="_Toc185514973"/>
      <w:r w:rsidRPr="00C8328B">
        <w:rPr>
          <w:rStyle w:val="CharSectNo"/>
        </w:rPr>
        <w:lastRenderedPageBreak/>
        <w:t>4752</w:t>
      </w:r>
      <w:r>
        <w:tab/>
        <w:t>Supreme Court criminal proceedings—other pre-trial applications</w:t>
      </w:r>
      <w:bookmarkEnd w:id="1357"/>
    </w:p>
    <w:p w14:paraId="7C8DD8B9" w14:textId="77777777" w:rsidR="008112BD" w:rsidRDefault="008112BD" w:rsidP="00A94CFA">
      <w:pPr>
        <w:pStyle w:val="Amainreturn"/>
        <w:keepNext/>
      </w:pPr>
      <w:r>
        <w:t>An application made in the course of a criminal proceeding must be made in writing if—</w:t>
      </w:r>
    </w:p>
    <w:p w14:paraId="68C03335" w14:textId="77777777" w:rsidR="008112BD" w:rsidRDefault="008112BD" w:rsidP="00A94CFA">
      <w:pPr>
        <w:pStyle w:val="Apara"/>
        <w:keepNext/>
      </w:pPr>
      <w:r>
        <w:tab/>
        <w:t>(a)</w:t>
      </w:r>
      <w:r>
        <w:tab/>
        <w:t>the application—</w:t>
      </w:r>
    </w:p>
    <w:p w14:paraId="307957CA" w14:textId="77777777" w:rsidR="008112BD" w:rsidRDefault="008112BD" w:rsidP="008112BD">
      <w:pPr>
        <w:pStyle w:val="Asubpara"/>
      </w:pPr>
      <w:r>
        <w:tab/>
        <w:t>(i)</w:t>
      </w:r>
      <w:r>
        <w:tab/>
        <w:t>is made before the prosecution’s case opens or witnesses are called; and</w:t>
      </w:r>
    </w:p>
    <w:p w14:paraId="3A29AA90" w14:textId="05204402" w:rsidR="008112BD" w:rsidRDefault="008112BD" w:rsidP="008112BD">
      <w:pPr>
        <w:pStyle w:val="Asubpara"/>
      </w:pPr>
      <w:r>
        <w:tab/>
        <w:t>(ii)</w:t>
      </w:r>
      <w:r>
        <w:tab/>
        <w:t>raises any question about the admissibility of evidence, or any other question of law affecting the conduct of the trial</w:t>
      </w:r>
      <w:r w:rsidR="006D0511">
        <w:t>;</w:t>
      </w:r>
      <w:r>
        <w:t xml:space="preserve"> or</w:t>
      </w:r>
    </w:p>
    <w:p w14:paraId="6B812968" w14:textId="77777777" w:rsidR="008112BD" w:rsidRDefault="008112BD" w:rsidP="008112BD">
      <w:pPr>
        <w:pStyle w:val="Apara"/>
      </w:pPr>
      <w:r>
        <w:tab/>
        <w:t>(b)</w:t>
      </w:r>
      <w:r>
        <w:tab/>
        <w:t>the application would postpone or delay a trial that has been listed for hearing if it were granted; or</w:t>
      </w:r>
    </w:p>
    <w:p w14:paraId="551E657A" w14:textId="77777777" w:rsidR="008112BD" w:rsidRDefault="008112BD" w:rsidP="008112BD">
      <w:pPr>
        <w:pStyle w:val="Apara"/>
      </w:pPr>
      <w:r>
        <w:tab/>
        <w:t>(c)</w:t>
      </w:r>
      <w:r>
        <w:tab/>
        <w:t>the application cannot reasonably be made without notice to other parties; or</w:t>
      </w:r>
    </w:p>
    <w:p w14:paraId="0A27EC57" w14:textId="77777777" w:rsidR="008112BD" w:rsidRDefault="008112BD" w:rsidP="008112BD">
      <w:pPr>
        <w:pStyle w:val="Apara"/>
        <w:keepNext/>
      </w:pPr>
      <w:r>
        <w:tab/>
        <w:t>(d)</w:t>
      </w:r>
      <w:r>
        <w:tab/>
        <w:t>the application is directed by a judge to be in writing.</w:t>
      </w:r>
    </w:p>
    <w:p w14:paraId="38A2721D"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B009854" w14:textId="77777777" w:rsidR="008112BD" w:rsidRDefault="008112BD" w:rsidP="008112BD">
      <w:pPr>
        <w:pStyle w:val="AH5Sec"/>
      </w:pPr>
      <w:bookmarkStart w:id="1358" w:name="_Toc185514974"/>
      <w:r w:rsidRPr="00C8328B">
        <w:rPr>
          <w:rStyle w:val="CharSectNo"/>
        </w:rPr>
        <w:t>4753</w:t>
      </w:r>
      <w:r>
        <w:tab/>
        <w:t>Supreme Court criminal proceedings—applications under r 4750, r 4751 and r 4752</w:t>
      </w:r>
      <w:bookmarkEnd w:id="1358"/>
    </w:p>
    <w:p w14:paraId="70E0A787" w14:textId="77777777" w:rsidR="008112BD" w:rsidRDefault="008112BD" w:rsidP="008112BD">
      <w:pPr>
        <w:pStyle w:val="Amain"/>
        <w:keepNext/>
      </w:pPr>
      <w:r>
        <w:tab/>
        <w:t>(1)</w:t>
      </w:r>
      <w:r>
        <w:tab/>
        <w:t>This rule applies to an application under any of the following rules:</w:t>
      </w:r>
    </w:p>
    <w:p w14:paraId="7587DE2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14:paraId="78625E99"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14:paraId="70D40B1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14:paraId="11BA66C5" w14:textId="77777777" w:rsidR="008112BD" w:rsidRDefault="008112BD" w:rsidP="008112BD">
      <w:pPr>
        <w:pStyle w:val="Amain"/>
        <w:keepNext/>
      </w:pPr>
      <w:r>
        <w:tab/>
        <w:t>(2)</w:t>
      </w:r>
      <w:r>
        <w:tab/>
        <w:t>The application must—</w:t>
      </w:r>
    </w:p>
    <w:p w14:paraId="37055F52" w14:textId="77777777" w:rsidR="008112BD" w:rsidRDefault="008112BD" w:rsidP="008112BD">
      <w:pPr>
        <w:pStyle w:val="Apara"/>
      </w:pPr>
      <w:r>
        <w:tab/>
        <w:t>(a)</w:t>
      </w:r>
      <w:r>
        <w:tab/>
        <w:t>state the party making the application; and</w:t>
      </w:r>
    </w:p>
    <w:p w14:paraId="642698C4" w14:textId="77777777" w:rsidR="008112BD" w:rsidRDefault="008112BD" w:rsidP="008112BD">
      <w:pPr>
        <w:pStyle w:val="Apara"/>
      </w:pPr>
      <w:r>
        <w:tab/>
        <w:t>(b)</w:t>
      </w:r>
      <w:r>
        <w:tab/>
        <w:t>state briefly the order (or orders) sought; and</w:t>
      </w:r>
    </w:p>
    <w:p w14:paraId="37BF7816" w14:textId="77777777" w:rsidR="008112BD" w:rsidRDefault="008112BD" w:rsidP="008112BD">
      <w:pPr>
        <w:pStyle w:val="Apara"/>
      </w:pPr>
      <w:r>
        <w:lastRenderedPageBreak/>
        <w:tab/>
        <w:t>(c)</w:t>
      </w:r>
      <w:r>
        <w:tab/>
        <w:t>state briefly particulars of the grounds relied on that are sufficient for any other party to decide whether to call evidence to resolve the issues raised; and</w:t>
      </w:r>
    </w:p>
    <w:p w14:paraId="476EB883" w14:textId="77777777" w:rsidR="008112BD" w:rsidRDefault="008112BD" w:rsidP="008112BD">
      <w:pPr>
        <w:pStyle w:val="Apara"/>
      </w:pPr>
      <w:r>
        <w:tab/>
        <w:t>(d)</w:t>
      </w:r>
      <w:r>
        <w:tab/>
        <w:t>state briefly any questions of law; and</w:t>
      </w:r>
    </w:p>
    <w:p w14:paraId="7DA94F3B" w14:textId="77777777" w:rsidR="008112BD" w:rsidRDefault="008112BD" w:rsidP="00536D93">
      <w:pPr>
        <w:pStyle w:val="Apara"/>
        <w:keepNext/>
      </w:pPr>
      <w:r>
        <w:tab/>
        <w:t>(e)</w:t>
      </w:r>
      <w:r>
        <w:tab/>
        <w:t>be supported by an affidavit filed with the application stating—</w:t>
      </w:r>
    </w:p>
    <w:p w14:paraId="63517BE0" w14:textId="77777777" w:rsidR="008112BD" w:rsidRDefault="008112BD" w:rsidP="008112BD">
      <w:pPr>
        <w:pStyle w:val="Asubpara"/>
      </w:pPr>
      <w:r>
        <w:tab/>
        <w:t>(i)</w:t>
      </w:r>
      <w:r>
        <w:tab/>
        <w:t>any evidence necessary to establish the grounds of the application; and</w:t>
      </w:r>
    </w:p>
    <w:p w14:paraId="480A1A83" w14:textId="77777777" w:rsidR="008112BD" w:rsidRDefault="008112BD" w:rsidP="008112BD">
      <w:pPr>
        <w:pStyle w:val="Asubpara"/>
      </w:pPr>
      <w:r>
        <w:tab/>
        <w:t>(ii)</w:t>
      </w:r>
      <w:r>
        <w:tab/>
        <w:t>any evidence that the applicant wants the court to receive.</w:t>
      </w:r>
    </w:p>
    <w:p w14:paraId="46A80123" w14:textId="77777777"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14:paraId="3640649F" w14:textId="77777777" w:rsidR="008112BD" w:rsidRDefault="008112BD" w:rsidP="00B72E8D">
      <w:pPr>
        <w:pStyle w:val="Amain"/>
        <w:keepNext/>
      </w:pPr>
      <w:r>
        <w:tab/>
        <w:t>(4)</w:t>
      </w:r>
      <w:r>
        <w:tab/>
        <w:t>This rule is subject to rule 4750 (2) (Supreme Court criminal proceedings—applications to set aside or stay proceedings).</w:t>
      </w:r>
    </w:p>
    <w:p w14:paraId="5F60F77C" w14:textId="77777777"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14:paraId="26033414" w14:textId="77777777" w:rsidR="008112BD" w:rsidRPr="0056339B" w:rsidRDefault="008112BD" w:rsidP="008112BD">
      <w:pPr>
        <w:pStyle w:val="PageBreak"/>
      </w:pPr>
      <w:r w:rsidRPr="0056339B">
        <w:br w:type="page"/>
      </w:r>
    </w:p>
    <w:p w14:paraId="63F1A98C" w14:textId="77777777" w:rsidR="008112BD" w:rsidRPr="00C8328B" w:rsidRDefault="008112BD" w:rsidP="008112BD">
      <w:pPr>
        <w:pStyle w:val="AH2Part"/>
      </w:pPr>
      <w:bookmarkStart w:id="1359" w:name="_Toc185514975"/>
      <w:r w:rsidRPr="00C8328B">
        <w:rPr>
          <w:rStyle w:val="CharPartNo"/>
        </w:rPr>
        <w:lastRenderedPageBreak/>
        <w:t>Part 4.4</w:t>
      </w:r>
      <w:r w:rsidRPr="00C754DF">
        <w:tab/>
      </w:r>
      <w:r w:rsidRPr="00C8328B">
        <w:rPr>
          <w:rStyle w:val="CharPartText"/>
        </w:rPr>
        <w:t>Forensic proceedings</w:t>
      </w:r>
      <w:bookmarkEnd w:id="1359"/>
    </w:p>
    <w:p w14:paraId="4902483C" w14:textId="77777777" w:rsidR="008112BD" w:rsidRPr="00C8328B" w:rsidRDefault="008112BD" w:rsidP="008112BD">
      <w:pPr>
        <w:pStyle w:val="AH3Div"/>
      </w:pPr>
      <w:bookmarkStart w:id="1360" w:name="_Toc185514976"/>
      <w:r w:rsidRPr="00C8328B">
        <w:rPr>
          <w:rStyle w:val="CharDivNo"/>
        </w:rPr>
        <w:t>Division 4.4.1</w:t>
      </w:r>
      <w:r w:rsidRPr="00C754DF">
        <w:tab/>
      </w:r>
      <w:r w:rsidRPr="00C8328B">
        <w:rPr>
          <w:rStyle w:val="CharDivText"/>
        </w:rPr>
        <w:t>Forensic proceedings—preliminary</w:t>
      </w:r>
      <w:bookmarkEnd w:id="1360"/>
    </w:p>
    <w:p w14:paraId="779A009B" w14:textId="77777777" w:rsidR="008112BD" w:rsidRPr="00C53530" w:rsidRDefault="008112BD" w:rsidP="008112BD">
      <w:pPr>
        <w:pStyle w:val="AH5Sec"/>
      </w:pPr>
      <w:bookmarkStart w:id="1361" w:name="_Toc185514977"/>
      <w:r w:rsidRPr="00C8328B">
        <w:rPr>
          <w:rStyle w:val="CharSectNo"/>
        </w:rPr>
        <w:t>4800</w:t>
      </w:r>
      <w:r w:rsidRPr="00C53530">
        <w:tab/>
        <w:t>Definitions—pt 4.4</w:t>
      </w:r>
      <w:bookmarkEnd w:id="1361"/>
    </w:p>
    <w:p w14:paraId="6A164034" w14:textId="77777777" w:rsidR="008112BD" w:rsidRPr="00C53530" w:rsidRDefault="008112BD" w:rsidP="008112BD">
      <w:pPr>
        <w:pStyle w:val="Amainreturn"/>
        <w:keepNext/>
      </w:pPr>
      <w:r w:rsidRPr="00C53530">
        <w:t>In this part:</w:t>
      </w:r>
    </w:p>
    <w:p w14:paraId="72A9FB81" w14:textId="480AD591"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7" w:tooltip="Crimes (Forensic Procedures) Act 2000" w:history="1">
        <w:r w:rsidRPr="00C53530">
          <w:rPr>
            <w:rStyle w:val="charCitHyperlinkAbbrev"/>
          </w:rPr>
          <w:t>the Act</w:t>
        </w:r>
      </w:hyperlink>
      <w:r w:rsidRPr="00C53530">
        <w:t xml:space="preserve"> or </w:t>
      </w:r>
      <w:hyperlink r:id="rId608" w:tooltip="Crimes Act 1914 (Cwlth)" w:history="1">
        <w:r w:rsidRPr="00C53530">
          <w:rPr>
            <w:rStyle w:val="charCitHyperlinkAbbrev"/>
          </w:rPr>
          <w:t>the Crimes Act</w:t>
        </w:r>
      </w:hyperlink>
      <w:r w:rsidRPr="00C53530">
        <w:t>.</w:t>
      </w:r>
    </w:p>
    <w:p w14:paraId="7E228449" w14:textId="14115321" w:rsidR="008112BD" w:rsidRPr="00C53530" w:rsidRDefault="008112BD" w:rsidP="008112BD">
      <w:pPr>
        <w:pStyle w:val="Amainreturn"/>
      </w:pPr>
      <w:r w:rsidRPr="00C53530">
        <w:rPr>
          <w:rStyle w:val="charBoldItals"/>
        </w:rPr>
        <w:t>prescribed offender</w:t>
      </w:r>
      <w:r w:rsidRPr="00C53530">
        <w:t xml:space="preserve">—see </w:t>
      </w:r>
      <w:hyperlink r:id="rId609" w:tooltip="Crimes Act 1914 (Cwlth)" w:history="1">
        <w:r w:rsidRPr="00C53530">
          <w:rPr>
            <w:rStyle w:val="charCitHyperlinkAbbrev"/>
          </w:rPr>
          <w:t>the Crimes Act</w:t>
        </w:r>
      </w:hyperlink>
      <w:r w:rsidRPr="00C53530">
        <w:t>, section 23WA.</w:t>
      </w:r>
    </w:p>
    <w:p w14:paraId="0D39F19D" w14:textId="77777777" w:rsidR="008112BD" w:rsidRPr="00C53530" w:rsidRDefault="008112BD" w:rsidP="008112BD">
      <w:pPr>
        <w:pStyle w:val="Amainreturn"/>
      </w:pPr>
      <w:r w:rsidRPr="00C53530">
        <w:rPr>
          <w:rStyle w:val="charBoldItals"/>
        </w:rPr>
        <w:t>serious offender</w:t>
      </w:r>
      <w:r w:rsidRPr="00C53530">
        <w:t>—</w:t>
      </w:r>
    </w:p>
    <w:p w14:paraId="02F6C8B7" w14:textId="3D781886" w:rsidR="008112BD" w:rsidRPr="00C53530" w:rsidRDefault="008112BD" w:rsidP="008112BD">
      <w:pPr>
        <w:pStyle w:val="Apara"/>
      </w:pPr>
      <w:r w:rsidRPr="00C53530">
        <w:tab/>
        <w:t>(a)</w:t>
      </w:r>
      <w:r w:rsidRPr="00C53530">
        <w:tab/>
        <w:t xml:space="preserve">for an application under </w:t>
      </w:r>
      <w:hyperlink r:id="rId610" w:tooltip="Crimes (Forensic Procedures) Act 2000" w:history="1">
        <w:r w:rsidRPr="00C53530">
          <w:rPr>
            <w:rStyle w:val="charCitHyperlinkAbbrev"/>
          </w:rPr>
          <w:t>the Act</w:t>
        </w:r>
      </w:hyperlink>
      <w:r w:rsidRPr="00C53530">
        <w:t xml:space="preserve">—see </w:t>
      </w:r>
      <w:hyperlink r:id="rId611" w:tooltip="Crimes (Forensic Procedures) Act 2000" w:history="1">
        <w:r w:rsidRPr="00C53530">
          <w:rPr>
            <w:rStyle w:val="charCitHyperlinkAbbrev"/>
          </w:rPr>
          <w:t>the Act</w:t>
        </w:r>
      </w:hyperlink>
      <w:r w:rsidRPr="00C53530">
        <w:t>, section 9; and</w:t>
      </w:r>
    </w:p>
    <w:p w14:paraId="507EBC31" w14:textId="1C146F85" w:rsidR="008112BD" w:rsidRPr="00C53530" w:rsidRDefault="008112BD" w:rsidP="008112BD">
      <w:pPr>
        <w:pStyle w:val="Apara"/>
      </w:pPr>
      <w:r w:rsidRPr="00C53530">
        <w:tab/>
        <w:t>(b)</w:t>
      </w:r>
      <w:r w:rsidRPr="00C53530">
        <w:tab/>
        <w:t xml:space="preserve">for an application under </w:t>
      </w:r>
      <w:hyperlink r:id="rId612" w:tooltip="Crimes Act 1914 (Cwlth)" w:history="1">
        <w:r w:rsidRPr="00C53530">
          <w:rPr>
            <w:rStyle w:val="charCitHyperlinkAbbrev"/>
          </w:rPr>
          <w:t>the Crimes Act</w:t>
        </w:r>
      </w:hyperlink>
      <w:r w:rsidRPr="00C53530">
        <w:t xml:space="preserve">—see </w:t>
      </w:r>
      <w:hyperlink r:id="rId613" w:tooltip="Crimes Act 1914 (Cwlth)" w:history="1">
        <w:r w:rsidRPr="00C53530">
          <w:rPr>
            <w:rStyle w:val="charCitHyperlinkAbbrev"/>
          </w:rPr>
          <w:t>the Crimes Act</w:t>
        </w:r>
      </w:hyperlink>
      <w:r w:rsidRPr="00C53530">
        <w:t>, section 23WA.</w:t>
      </w:r>
    </w:p>
    <w:p w14:paraId="290687FC" w14:textId="40E421AD" w:rsidR="008112BD" w:rsidRPr="00C53530" w:rsidRDefault="008112BD" w:rsidP="008112BD">
      <w:pPr>
        <w:pStyle w:val="Amainreturn"/>
      </w:pPr>
      <w:r w:rsidRPr="00C53530">
        <w:rPr>
          <w:rStyle w:val="charBoldItals"/>
        </w:rPr>
        <w:t>the Act</w:t>
      </w:r>
      <w:r w:rsidRPr="00C53530">
        <w:t xml:space="preserve"> means the </w:t>
      </w:r>
      <w:hyperlink r:id="rId614" w:tooltip="A2000-61" w:history="1">
        <w:r w:rsidRPr="00C53530">
          <w:rPr>
            <w:rStyle w:val="charCitHyperlinkItal"/>
          </w:rPr>
          <w:t>Crimes (Forensic Procedures) Act 2000</w:t>
        </w:r>
      </w:hyperlink>
      <w:r w:rsidRPr="00C53530">
        <w:t>.</w:t>
      </w:r>
    </w:p>
    <w:p w14:paraId="7A9B9367" w14:textId="3946FB29" w:rsidR="008112BD" w:rsidRPr="00C53530" w:rsidRDefault="008112BD" w:rsidP="008112BD">
      <w:pPr>
        <w:pStyle w:val="Amainreturn"/>
      </w:pPr>
      <w:r w:rsidRPr="00C53530">
        <w:rPr>
          <w:rStyle w:val="charBoldItals"/>
        </w:rPr>
        <w:t>the Crimes Act</w:t>
      </w:r>
      <w:r w:rsidRPr="00C53530">
        <w:t xml:space="preserve"> means the </w:t>
      </w:r>
      <w:hyperlink r:id="rId615" w:tooltip="Act 1914 No 12 (Cwlth)" w:history="1">
        <w:r w:rsidRPr="00C53530">
          <w:rPr>
            <w:rStyle w:val="charCitHyperlinkItal"/>
          </w:rPr>
          <w:t>Crimes Act 1914</w:t>
        </w:r>
      </w:hyperlink>
      <w:r w:rsidRPr="00C53530">
        <w:t xml:space="preserve"> (Cwlth).</w:t>
      </w:r>
    </w:p>
    <w:p w14:paraId="3D72D3D9" w14:textId="77777777" w:rsidR="008112BD" w:rsidRPr="00C754DF" w:rsidRDefault="008112BD" w:rsidP="008112BD">
      <w:pPr>
        <w:pStyle w:val="AH5Sec"/>
        <w:rPr>
          <w:lang w:eastAsia="en-AU"/>
        </w:rPr>
      </w:pPr>
      <w:bookmarkStart w:id="1362" w:name="_Toc185514978"/>
      <w:r w:rsidRPr="00C8328B">
        <w:rPr>
          <w:rStyle w:val="CharSectNo"/>
        </w:rPr>
        <w:t>4801</w:t>
      </w:r>
      <w:r w:rsidRPr="00C754DF">
        <w:rPr>
          <w:lang w:eastAsia="en-AU"/>
        </w:rPr>
        <w:tab/>
        <w:t>Forensic proceedings—application of applied civil rules</w:t>
      </w:r>
      <w:bookmarkEnd w:id="1362"/>
    </w:p>
    <w:p w14:paraId="7936085E" w14:textId="77777777"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14:paraId="28EBE481"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14:paraId="7CA9E122"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14:paraId="1C2EBF01" w14:textId="77777777"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14:paraId="48624156" w14:textId="77777777" w:rsidR="008112BD" w:rsidRPr="00C754DF" w:rsidRDefault="008112BD" w:rsidP="008112BD">
      <w:pPr>
        <w:pStyle w:val="Amain"/>
        <w:rPr>
          <w:lang w:eastAsia="en-AU"/>
        </w:rPr>
      </w:pPr>
      <w:r w:rsidRPr="00C754DF">
        <w:rPr>
          <w:lang w:eastAsia="en-AU"/>
        </w:rPr>
        <w:tab/>
        <w:t>(2)</w:t>
      </w:r>
      <w:r w:rsidRPr="00C754DF">
        <w:rPr>
          <w:lang w:eastAsia="en-AU"/>
        </w:rPr>
        <w:tab/>
        <w:t>In this rule:</w:t>
      </w:r>
    </w:p>
    <w:p w14:paraId="7C714E04" w14:textId="77777777"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14:paraId="21CADE20" w14:textId="77777777" w:rsidR="008112BD" w:rsidRPr="00C754DF" w:rsidRDefault="008112BD" w:rsidP="008112BD">
      <w:pPr>
        <w:pStyle w:val="AH5Sec"/>
      </w:pPr>
      <w:bookmarkStart w:id="1363" w:name="_Toc185514979"/>
      <w:r w:rsidRPr="00C8328B">
        <w:rPr>
          <w:rStyle w:val="CharSectNo"/>
        </w:rPr>
        <w:lastRenderedPageBreak/>
        <w:t>4802</w:t>
      </w:r>
      <w:r w:rsidRPr="00C754DF">
        <w:tab/>
        <w:t>Forensic proceedings—application of applied criminal rules</w:t>
      </w:r>
      <w:bookmarkEnd w:id="1363"/>
    </w:p>
    <w:p w14:paraId="7EB83009" w14:textId="77777777" w:rsidR="008112BD" w:rsidRPr="00C754DF" w:rsidRDefault="008112BD" w:rsidP="008112BD">
      <w:pPr>
        <w:pStyle w:val="Amain"/>
      </w:pPr>
      <w:r w:rsidRPr="00C754DF">
        <w:tab/>
        <w:t>(1)</w:t>
      </w:r>
      <w:r w:rsidRPr="00C754DF">
        <w:tab/>
        <w:t>The applied criminal rules apply to a forensic proceeding as if—</w:t>
      </w:r>
    </w:p>
    <w:p w14:paraId="7B17D53B" w14:textId="77777777"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14:paraId="5C5C4453" w14:textId="77777777"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14:paraId="5AB602C9" w14:textId="77777777" w:rsidR="008112BD" w:rsidRPr="00C754DF" w:rsidRDefault="008112BD" w:rsidP="008112BD">
      <w:pPr>
        <w:pStyle w:val="Asubpara"/>
      </w:pPr>
      <w:r w:rsidRPr="00C754DF">
        <w:tab/>
        <w:t>(i)</w:t>
      </w:r>
      <w:r w:rsidRPr="00C754DF">
        <w:tab/>
        <w:t>for division 4.4.2—a suspect; or</w:t>
      </w:r>
    </w:p>
    <w:p w14:paraId="1395C2AC" w14:textId="77777777" w:rsidR="008112BD" w:rsidRPr="00C53530" w:rsidRDefault="008112BD" w:rsidP="008112BD">
      <w:pPr>
        <w:pStyle w:val="Asubpara"/>
      </w:pPr>
      <w:r w:rsidRPr="00C53530">
        <w:tab/>
        <w:t>(ii)</w:t>
      </w:r>
      <w:r w:rsidRPr="00C53530">
        <w:tab/>
        <w:t>for division 4.4.3—a serious offender or a prescribed offender.</w:t>
      </w:r>
    </w:p>
    <w:p w14:paraId="48F08EE4" w14:textId="77777777" w:rsidR="00F122D7" w:rsidRPr="00F13970" w:rsidRDefault="00F122D7" w:rsidP="00F122D7">
      <w:pPr>
        <w:pStyle w:val="Amain"/>
      </w:pPr>
      <w:r w:rsidRPr="00F13970">
        <w:tab/>
        <w:t>(2)</w:t>
      </w:r>
      <w:r w:rsidRPr="00F13970">
        <w:tab/>
        <w:t>In this rule:</w:t>
      </w:r>
    </w:p>
    <w:p w14:paraId="4FA69EF0" w14:textId="77777777" w:rsidR="00F122D7" w:rsidRPr="00F13970" w:rsidRDefault="00F122D7" w:rsidP="00F122D7">
      <w:pPr>
        <w:pStyle w:val="aDef"/>
        <w:rPr>
          <w:lang w:eastAsia="en-AU"/>
        </w:rPr>
      </w:pPr>
      <w:r w:rsidRPr="005E6481">
        <w:rPr>
          <w:rStyle w:val="charBoldItals"/>
        </w:rPr>
        <w:t xml:space="preserve">applied criminal rules </w:t>
      </w:r>
      <w:r w:rsidRPr="00F13970">
        <w:t>means the following:</w:t>
      </w:r>
    </w:p>
    <w:p w14:paraId="462C3C6C" w14:textId="77777777" w:rsidR="00F122D7" w:rsidRPr="00F13970" w:rsidRDefault="00F122D7" w:rsidP="00F122D7">
      <w:pPr>
        <w:pStyle w:val="aDefpara"/>
      </w:pPr>
      <w:r>
        <w:tab/>
        <w:t>(a)</w:t>
      </w:r>
      <w:r>
        <w:tab/>
      </w:r>
      <w:r w:rsidRPr="00F13970">
        <w:t>division</w:t>
      </w:r>
      <w:r>
        <w:t xml:space="preserve"> </w:t>
      </w:r>
      <w:r w:rsidRPr="00F13970">
        <w:t>4.1.1A (Criminal proceedings—representation)</w:t>
      </w:r>
      <w:r>
        <w:t>;</w:t>
      </w:r>
    </w:p>
    <w:p w14:paraId="2A16CFE8" w14:textId="77777777" w:rsidR="00F122D7" w:rsidRPr="00F13970" w:rsidRDefault="00F122D7" w:rsidP="00F122D7">
      <w:pPr>
        <w:pStyle w:val="aDefpara"/>
      </w:pPr>
      <w:r>
        <w:tab/>
        <w:t>(b)</w:t>
      </w:r>
      <w:r>
        <w:tab/>
      </w:r>
      <w:r w:rsidRPr="00F13970">
        <w:t>division 4.1.2 (Criminal proceedings—service)</w:t>
      </w:r>
      <w:r>
        <w:t>;</w:t>
      </w:r>
    </w:p>
    <w:p w14:paraId="4832B47F" w14:textId="77777777" w:rsidR="00F122D7" w:rsidRPr="00F13970" w:rsidRDefault="00F122D7" w:rsidP="00F122D7">
      <w:pPr>
        <w:pStyle w:val="aDefpara"/>
      </w:pPr>
      <w:r>
        <w:tab/>
        <w:t>(c)</w:t>
      </w:r>
      <w:r>
        <w:tab/>
      </w:r>
      <w:r w:rsidRPr="00F13970">
        <w:t>rule 4053 (Criminal proceedings—inspection of registry files).</w:t>
      </w:r>
    </w:p>
    <w:p w14:paraId="652AA052" w14:textId="4C5EE555" w:rsidR="008112BD" w:rsidRPr="00C8328B" w:rsidRDefault="008112BD" w:rsidP="008112BD">
      <w:pPr>
        <w:pStyle w:val="AH3Div"/>
      </w:pPr>
      <w:bookmarkStart w:id="1364" w:name="_Toc185514980"/>
      <w:r w:rsidRPr="00C8328B">
        <w:rPr>
          <w:rStyle w:val="CharDivNo"/>
        </w:rPr>
        <w:t>Division 4.4.2</w:t>
      </w:r>
      <w:r w:rsidRPr="00C53530">
        <w:tab/>
      </w:r>
      <w:r w:rsidRPr="00C8328B">
        <w:rPr>
          <w:rStyle w:val="CharDivText"/>
        </w:rPr>
        <w:t>Forensic proceedings under the Act, pt 2.5 and the Crimes Act, pt 1D, div</w:t>
      </w:r>
      <w:r w:rsidR="00803799">
        <w:rPr>
          <w:rStyle w:val="CharDivText"/>
        </w:rPr>
        <w:t> </w:t>
      </w:r>
      <w:r w:rsidRPr="00C8328B">
        <w:rPr>
          <w:rStyle w:val="CharDivText"/>
        </w:rPr>
        <w:t>5</w:t>
      </w:r>
      <w:bookmarkEnd w:id="1364"/>
    </w:p>
    <w:p w14:paraId="2F55443B" w14:textId="77777777" w:rsidR="008112BD" w:rsidRPr="00C53530" w:rsidRDefault="008112BD" w:rsidP="008112BD">
      <w:pPr>
        <w:pStyle w:val="AH5Sec"/>
      </w:pPr>
      <w:bookmarkStart w:id="1365" w:name="_Toc185514981"/>
      <w:r w:rsidRPr="00C8328B">
        <w:rPr>
          <w:rStyle w:val="CharSectNo"/>
        </w:rPr>
        <w:t>4803</w:t>
      </w:r>
      <w:r w:rsidRPr="00C53530">
        <w:tab/>
        <w:t>Application—div 4.4.2</w:t>
      </w:r>
      <w:bookmarkEnd w:id="1365"/>
    </w:p>
    <w:p w14:paraId="7527481F" w14:textId="77777777" w:rsidR="008112BD" w:rsidRPr="00C53530" w:rsidRDefault="008112BD" w:rsidP="008112BD">
      <w:pPr>
        <w:pStyle w:val="Amainreturn"/>
      </w:pPr>
      <w:r w:rsidRPr="00C53530">
        <w:t>This division applies to a forensic proceeding under—</w:t>
      </w:r>
    </w:p>
    <w:p w14:paraId="7F06D268" w14:textId="66BF2320" w:rsidR="008112BD" w:rsidRPr="00C53530" w:rsidRDefault="008112BD" w:rsidP="008112BD">
      <w:pPr>
        <w:pStyle w:val="Apara"/>
      </w:pPr>
      <w:r w:rsidRPr="00C53530">
        <w:tab/>
        <w:t>(a)</w:t>
      </w:r>
      <w:r w:rsidRPr="00C53530">
        <w:tab/>
      </w:r>
      <w:hyperlink r:id="rId616" w:tooltip="Crimes (Forensic Procedures) Act 2000" w:history="1">
        <w:r w:rsidRPr="00C53530">
          <w:rPr>
            <w:rStyle w:val="charCitHyperlinkAbbrev"/>
          </w:rPr>
          <w:t>the Act</w:t>
        </w:r>
      </w:hyperlink>
      <w:r w:rsidRPr="00C53530">
        <w:t>, part 2.5 (Forensic procedures on suspect by order of magistrate); or</w:t>
      </w:r>
    </w:p>
    <w:p w14:paraId="43C2D771" w14:textId="756D8D36" w:rsidR="008112BD" w:rsidRPr="00C53530" w:rsidRDefault="008112BD" w:rsidP="008112BD">
      <w:pPr>
        <w:pStyle w:val="Apara"/>
      </w:pPr>
      <w:r w:rsidRPr="00C53530">
        <w:tab/>
        <w:t>(b)</w:t>
      </w:r>
      <w:r w:rsidRPr="00C53530">
        <w:tab/>
      </w:r>
      <w:hyperlink r:id="rId617" w:tooltip="Crimes Act 1914 (Cwlth)" w:history="1">
        <w:r w:rsidRPr="00C53530">
          <w:rPr>
            <w:rStyle w:val="charCitHyperlinkAbbrev"/>
          </w:rPr>
          <w:t>the Crimes Act</w:t>
        </w:r>
      </w:hyperlink>
      <w:r w:rsidRPr="00C53530">
        <w:t>, part 1D, division 5 (Forensic procedures on suspect by order of a magistrate).</w:t>
      </w:r>
    </w:p>
    <w:p w14:paraId="24CFE70A" w14:textId="77777777" w:rsidR="008112BD" w:rsidRPr="00C754DF" w:rsidRDefault="008112BD" w:rsidP="008112BD">
      <w:pPr>
        <w:pStyle w:val="AH5Sec"/>
      </w:pPr>
      <w:bookmarkStart w:id="1366" w:name="_Toc185514982"/>
      <w:r w:rsidRPr="00C8328B">
        <w:rPr>
          <w:rStyle w:val="CharSectNo"/>
        </w:rPr>
        <w:lastRenderedPageBreak/>
        <w:t>4804</w:t>
      </w:r>
      <w:r w:rsidRPr="00C754DF">
        <w:tab/>
        <w:t>Forensic proceedings—filing of application</w:t>
      </w:r>
      <w:bookmarkEnd w:id="1366"/>
    </w:p>
    <w:p w14:paraId="56DF2E11" w14:textId="77777777" w:rsidR="008112BD" w:rsidRPr="00C754DF" w:rsidRDefault="008112BD" w:rsidP="008112BD">
      <w:pPr>
        <w:pStyle w:val="Amainreturn"/>
        <w:keepNext/>
      </w:pPr>
      <w:r w:rsidRPr="00C754DF">
        <w:t>An application to carry out a forensic procedure must be filed in the Magistrates Court.</w:t>
      </w:r>
    </w:p>
    <w:p w14:paraId="4AF72E4C" w14:textId="740BDCF2"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8" w:tooltip="Crimes (Forensic Procedures) Act 2000" w:history="1">
        <w:r w:rsidRPr="00C53530">
          <w:rPr>
            <w:rStyle w:val="charCitHyperlinkAbbrev"/>
          </w:rPr>
          <w:t>the Act</w:t>
        </w:r>
      </w:hyperlink>
      <w:r w:rsidRPr="00C53530">
        <w:t xml:space="preserve">, pt 2.5, and </w:t>
      </w:r>
      <w:hyperlink r:id="rId619" w:tooltip="Crimes Act 1914 (Cwlth)" w:history="1">
        <w:r w:rsidRPr="00C53530">
          <w:rPr>
            <w:rStyle w:val="charCitHyperlinkAbbrev"/>
          </w:rPr>
          <w:t>the Crimes Act</w:t>
        </w:r>
      </w:hyperlink>
      <w:r w:rsidRPr="00C53530">
        <w:t>, pt 1D, div 5, an authorised applicant may apply to a magistrate for—</w:t>
      </w:r>
    </w:p>
    <w:p w14:paraId="07B7F793" w14:textId="705EDBA2"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20" w:tooltip="Crimes (Forensic Procedures) Act 2000" w:history="1">
        <w:r w:rsidRPr="00C53530">
          <w:rPr>
            <w:rStyle w:val="charCitHyperlinkAbbrev"/>
          </w:rPr>
          <w:t>the Act</w:t>
        </w:r>
      </w:hyperlink>
      <w:r w:rsidRPr="00C53530">
        <w:t xml:space="preserve">, s 35 and </w:t>
      </w:r>
      <w:hyperlink r:id="rId621" w:tooltip="Crimes Act 1914 (Cwlth)" w:history="1">
        <w:r w:rsidRPr="00C53530">
          <w:rPr>
            <w:rStyle w:val="charCitHyperlinkAbbrev"/>
          </w:rPr>
          <w:t>the Crimes Act</w:t>
        </w:r>
      </w:hyperlink>
      <w:r w:rsidRPr="00C53530">
        <w:t>, s 23WU); or</w:t>
      </w:r>
    </w:p>
    <w:p w14:paraId="37A16D56" w14:textId="459C5618"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22" w:tooltip="Crimes (Forensic Procedures) Act 2000" w:history="1">
        <w:r w:rsidRPr="00C53530">
          <w:rPr>
            <w:rStyle w:val="charCitHyperlinkAbbrev"/>
          </w:rPr>
          <w:t>the Act</w:t>
        </w:r>
      </w:hyperlink>
      <w:r w:rsidRPr="00C53530">
        <w:t xml:space="preserve">, s 42 and </w:t>
      </w:r>
      <w:hyperlink r:id="rId623" w:tooltip="Crimes Act 1914 (Cwlth)" w:history="1">
        <w:r w:rsidRPr="00C53530">
          <w:rPr>
            <w:rStyle w:val="charCitHyperlinkAbbrev"/>
          </w:rPr>
          <w:t>the Crimes Act</w:t>
        </w:r>
      </w:hyperlink>
      <w:r w:rsidRPr="00C53530">
        <w:t>, s 23XB).</w:t>
      </w:r>
    </w:p>
    <w:p w14:paraId="46EC5927" w14:textId="77777777" w:rsidR="008112BD" w:rsidRPr="00C754DF" w:rsidRDefault="008112BD" w:rsidP="008112BD">
      <w:pPr>
        <w:pStyle w:val="AH5Sec"/>
      </w:pPr>
      <w:bookmarkStart w:id="1367" w:name="_Toc185514983"/>
      <w:r w:rsidRPr="00C8328B">
        <w:rPr>
          <w:rStyle w:val="CharSectNo"/>
        </w:rPr>
        <w:t>4805</w:t>
      </w:r>
      <w:r w:rsidRPr="00C754DF">
        <w:tab/>
        <w:t>Forensic proceedings—personal service</w:t>
      </w:r>
      <w:bookmarkEnd w:id="1367"/>
    </w:p>
    <w:p w14:paraId="74250FFF" w14:textId="77777777"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14:paraId="4CE399E1"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52932A79" w14:textId="77777777" w:rsidR="008112BD" w:rsidRPr="00C8328B" w:rsidRDefault="008112BD" w:rsidP="008112BD">
      <w:pPr>
        <w:pStyle w:val="AH3Div"/>
      </w:pPr>
      <w:bookmarkStart w:id="1368" w:name="_Toc185514984"/>
      <w:r w:rsidRPr="00C8328B">
        <w:rPr>
          <w:rStyle w:val="CharDivNo"/>
        </w:rPr>
        <w:t>Division 4.4.3</w:t>
      </w:r>
      <w:r w:rsidRPr="00C53530">
        <w:tab/>
      </w:r>
      <w:r w:rsidRPr="00C8328B">
        <w:rPr>
          <w:rStyle w:val="CharDivText"/>
        </w:rPr>
        <w:t>Forensic proceedings under the Act, pt 2.7 and the Crimes Act, pt 1D, div 6A</w:t>
      </w:r>
      <w:bookmarkEnd w:id="1368"/>
    </w:p>
    <w:p w14:paraId="72D146B6" w14:textId="77777777" w:rsidR="008112BD" w:rsidRPr="00C53530" w:rsidRDefault="008112BD" w:rsidP="008112BD">
      <w:pPr>
        <w:pStyle w:val="AH5Sec"/>
      </w:pPr>
      <w:bookmarkStart w:id="1369" w:name="_Toc185514985"/>
      <w:r w:rsidRPr="00C8328B">
        <w:rPr>
          <w:rStyle w:val="CharSectNo"/>
        </w:rPr>
        <w:t>4806</w:t>
      </w:r>
      <w:r w:rsidRPr="00C53530">
        <w:tab/>
        <w:t>Application—div 4.4.3</w:t>
      </w:r>
      <w:bookmarkEnd w:id="1369"/>
    </w:p>
    <w:p w14:paraId="61929D64" w14:textId="77777777" w:rsidR="008112BD" w:rsidRPr="00C53530" w:rsidRDefault="008112BD" w:rsidP="008112BD">
      <w:pPr>
        <w:pStyle w:val="Amainreturn"/>
      </w:pPr>
      <w:r w:rsidRPr="00C53530">
        <w:t>This division applies to a forensic proceeding under—</w:t>
      </w:r>
    </w:p>
    <w:p w14:paraId="50ACE71C" w14:textId="1CEC3F25" w:rsidR="008112BD" w:rsidRPr="00C53530" w:rsidRDefault="008112BD" w:rsidP="008112BD">
      <w:pPr>
        <w:pStyle w:val="Apara"/>
      </w:pPr>
      <w:r w:rsidRPr="00C53530">
        <w:tab/>
        <w:t>(a)</w:t>
      </w:r>
      <w:r w:rsidRPr="00C53530">
        <w:tab/>
      </w:r>
      <w:hyperlink r:id="rId624" w:tooltip="Crimes (Forensic Procedures) Act 2000" w:history="1">
        <w:r w:rsidRPr="00C53530">
          <w:rPr>
            <w:rStyle w:val="charCitHyperlinkAbbrev"/>
          </w:rPr>
          <w:t>the Act</w:t>
        </w:r>
      </w:hyperlink>
      <w:r w:rsidRPr="00C53530">
        <w:t>, part 2.7 (Carrying out of certain forensic procedures after conviction of serious offenders); or</w:t>
      </w:r>
    </w:p>
    <w:p w14:paraId="142AF896" w14:textId="4652CE10" w:rsidR="008112BD" w:rsidRPr="00C53530" w:rsidRDefault="008112BD" w:rsidP="008112BD">
      <w:pPr>
        <w:pStyle w:val="Apara"/>
      </w:pPr>
      <w:r w:rsidRPr="00C53530">
        <w:tab/>
        <w:t>(b)</w:t>
      </w:r>
      <w:r w:rsidRPr="00C53530">
        <w:tab/>
      </w:r>
      <w:hyperlink r:id="rId625"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14:paraId="4F8F5D0C" w14:textId="77777777" w:rsidR="008112BD" w:rsidRPr="00C754DF" w:rsidRDefault="008112BD" w:rsidP="008112BD">
      <w:pPr>
        <w:pStyle w:val="AH5Sec"/>
      </w:pPr>
      <w:bookmarkStart w:id="1370" w:name="_Toc185514986"/>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70"/>
    </w:p>
    <w:p w14:paraId="49F164EF" w14:textId="77777777"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14:paraId="4CB9FAEB" w14:textId="77777777" w:rsidR="008112BD" w:rsidRPr="00C754DF" w:rsidRDefault="008112BD" w:rsidP="008112BD">
      <w:pPr>
        <w:pStyle w:val="Apara"/>
      </w:pPr>
      <w:r w:rsidRPr="00C754DF">
        <w:tab/>
        <w:t>(a)</w:t>
      </w:r>
      <w:r w:rsidRPr="00C754DF">
        <w:tab/>
        <w:t>notice of the application must be given to the offender at least 7 days before the sentencing; and</w:t>
      </w:r>
    </w:p>
    <w:p w14:paraId="15DBD7E6" w14:textId="77777777" w:rsidR="008112BD" w:rsidRPr="00C754DF" w:rsidRDefault="008112BD" w:rsidP="008112BD">
      <w:pPr>
        <w:pStyle w:val="Apara"/>
      </w:pPr>
      <w:r w:rsidRPr="00C754DF">
        <w:tab/>
        <w:t>(b)</w:t>
      </w:r>
      <w:r w:rsidRPr="00C754DF">
        <w:tab/>
        <w:t>the application must be made orally at the sentencing.</w:t>
      </w:r>
    </w:p>
    <w:p w14:paraId="2DF653D2" w14:textId="77777777"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14:paraId="5DFA5AC8" w14:textId="77777777" w:rsidR="008112BD" w:rsidRPr="00C754DF" w:rsidRDefault="008112BD" w:rsidP="008112BD">
      <w:pPr>
        <w:pStyle w:val="Apara"/>
      </w:pPr>
      <w:r w:rsidRPr="00C754DF">
        <w:tab/>
        <w:t>(a)</w:t>
      </w:r>
      <w:r w:rsidRPr="00C754DF">
        <w:tab/>
        <w:t>the application must be filed with the court; and</w:t>
      </w:r>
    </w:p>
    <w:p w14:paraId="68798D09" w14:textId="77777777"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14:paraId="1A247F11" w14:textId="77777777"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14:paraId="052B7F21" w14:textId="11E239DC"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26"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7"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8" w:tooltip="Crimes (Forensic Procedures) Act 2000" w:history="1">
        <w:r w:rsidRPr="00F45D0B">
          <w:rPr>
            <w:rStyle w:val="charCitHyperlinkAbbrev"/>
          </w:rPr>
          <w:t>the Act</w:t>
        </w:r>
      </w:hyperlink>
      <w:r w:rsidRPr="00C754DF">
        <w:rPr>
          <w:lang w:eastAsia="en-AU"/>
        </w:rPr>
        <w:t>, s 77 (3)).</w:t>
      </w:r>
    </w:p>
    <w:p w14:paraId="70B8C131" w14:textId="2B625555"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9"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30"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31" w:tooltip="Crimes Act 1914 (Cwlth)" w:history="1">
        <w:r w:rsidRPr="00C53530">
          <w:rPr>
            <w:rStyle w:val="charCitHyperlinkAbbrev"/>
          </w:rPr>
          <w:t>the Crimes Act</w:t>
        </w:r>
      </w:hyperlink>
      <w:r w:rsidRPr="00C53530">
        <w:t>, s 23XWO (5)).</w:t>
      </w:r>
    </w:p>
    <w:p w14:paraId="7AD87B72" w14:textId="77777777" w:rsidR="008112BD" w:rsidRPr="00C8328B" w:rsidRDefault="008112BD" w:rsidP="008112BD">
      <w:pPr>
        <w:pStyle w:val="AH3Div"/>
      </w:pPr>
      <w:bookmarkStart w:id="1371" w:name="_Toc185514987"/>
      <w:r w:rsidRPr="00C8328B">
        <w:rPr>
          <w:rStyle w:val="CharDivNo"/>
        </w:rPr>
        <w:lastRenderedPageBreak/>
        <w:t>Division 4.4.4</w:t>
      </w:r>
      <w:r w:rsidRPr="00C754DF">
        <w:tab/>
      </w:r>
      <w:r w:rsidRPr="00C8328B">
        <w:rPr>
          <w:rStyle w:val="CharDivText"/>
        </w:rPr>
        <w:t>Forensic proceedings—general</w:t>
      </w:r>
      <w:bookmarkEnd w:id="1371"/>
    </w:p>
    <w:p w14:paraId="5E04ADFD" w14:textId="77777777" w:rsidR="008112BD" w:rsidRPr="00C754DF" w:rsidRDefault="008112BD" w:rsidP="008112BD">
      <w:pPr>
        <w:pStyle w:val="AH5Sec"/>
        <w:rPr>
          <w:lang w:eastAsia="en-AU"/>
        </w:rPr>
      </w:pPr>
      <w:bookmarkStart w:id="1372" w:name="_Toc185514988"/>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72"/>
    </w:p>
    <w:p w14:paraId="74939A33" w14:textId="77777777"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14:paraId="5D8F87D1" w14:textId="77777777" w:rsidR="008112BD" w:rsidRPr="00C754DF" w:rsidRDefault="008112BD" w:rsidP="008112BD">
      <w:pPr>
        <w:pStyle w:val="Apara"/>
        <w:rPr>
          <w:lang w:eastAsia="en-AU"/>
        </w:rPr>
      </w:pPr>
      <w:r w:rsidRPr="00C754DF">
        <w:rPr>
          <w:lang w:eastAsia="en-AU"/>
        </w:rPr>
        <w:tab/>
        <w:t>(a)</w:t>
      </w:r>
      <w:r w:rsidRPr="00C754DF">
        <w:rPr>
          <w:lang w:eastAsia="en-AU"/>
        </w:rPr>
        <w:tab/>
        <w:t>either—</w:t>
      </w:r>
    </w:p>
    <w:p w14:paraId="665A4F57" w14:textId="77777777"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14:paraId="31A2A475" w14:textId="77777777"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14:paraId="478BECE7"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14:paraId="5E0C2FEF"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1497D1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14:paraId="1F5651C6"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14:paraId="4D8BD40C"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14:paraId="0852B644" w14:textId="77777777" w:rsidR="008112BD" w:rsidRPr="00C754DF" w:rsidRDefault="008112BD" w:rsidP="008112BD">
      <w:pPr>
        <w:pStyle w:val="AH5Sec"/>
        <w:rPr>
          <w:lang w:eastAsia="en-AU"/>
        </w:rPr>
      </w:pPr>
      <w:bookmarkStart w:id="1373" w:name="_Toc185514989"/>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73"/>
    </w:p>
    <w:p w14:paraId="68270360" w14:textId="77777777"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14:paraId="3BB96E50" w14:textId="77777777"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14:paraId="53C9D73E" w14:textId="77777777"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14:paraId="015339BF" w14:textId="77777777" w:rsidR="008112BD" w:rsidRPr="00C754DF" w:rsidRDefault="008112BD" w:rsidP="008112BD">
      <w:pPr>
        <w:pStyle w:val="AH5Sec"/>
        <w:rPr>
          <w:lang w:eastAsia="en-AU"/>
        </w:rPr>
      </w:pPr>
      <w:bookmarkStart w:id="1374" w:name="_Toc185514990"/>
      <w:r w:rsidRPr="00C8328B">
        <w:rPr>
          <w:rStyle w:val="CharSectNo"/>
        </w:rPr>
        <w:lastRenderedPageBreak/>
        <w:t>4810</w:t>
      </w:r>
      <w:r w:rsidRPr="00C754DF">
        <w:rPr>
          <w:lang w:eastAsia="en-AU"/>
        </w:rPr>
        <w:tab/>
        <w:t>Forensic proceedings—costs</w:t>
      </w:r>
      <w:bookmarkEnd w:id="1374"/>
    </w:p>
    <w:p w14:paraId="70DB0E27" w14:textId="77777777"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14:paraId="1EBAF019"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14:paraId="0499ACC1" w14:textId="77777777" w:rsidR="00D94935" w:rsidRDefault="00D94935" w:rsidP="00D94935">
      <w:pPr>
        <w:pStyle w:val="PageBreak"/>
      </w:pPr>
      <w:r>
        <w:br w:type="page"/>
      </w:r>
    </w:p>
    <w:p w14:paraId="16850809" w14:textId="77777777" w:rsidR="00D94935" w:rsidRPr="00C8328B" w:rsidRDefault="00D94935" w:rsidP="00D94935">
      <w:pPr>
        <w:pStyle w:val="AH1Chapter"/>
      </w:pPr>
      <w:bookmarkStart w:id="1375" w:name="_Toc185514991"/>
      <w:r w:rsidRPr="00C8328B">
        <w:rPr>
          <w:rStyle w:val="CharChapNo"/>
        </w:rPr>
        <w:lastRenderedPageBreak/>
        <w:t>Chapter 5</w:t>
      </w:r>
      <w:r>
        <w:tab/>
      </w:r>
      <w:r w:rsidRPr="00C8328B">
        <w:rPr>
          <w:rStyle w:val="CharChapText"/>
        </w:rPr>
        <w:t>Appellate proceedings</w:t>
      </w:r>
      <w:bookmarkEnd w:id="1375"/>
    </w:p>
    <w:p w14:paraId="08920349" w14:textId="77777777" w:rsidR="00D94935" w:rsidRPr="00C8328B" w:rsidRDefault="00D94935" w:rsidP="00D94935">
      <w:pPr>
        <w:pStyle w:val="AH2Part"/>
      </w:pPr>
      <w:bookmarkStart w:id="1376" w:name="_Toc185514992"/>
      <w:r w:rsidRPr="00C8328B">
        <w:rPr>
          <w:rStyle w:val="CharPartNo"/>
        </w:rPr>
        <w:t>Part 5.1</w:t>
      </w:r>
      <w:r>
        <w:tab/>
      </w:r>
      <w:r w:rsidRPr="00C8328B">
        <w:rPr>
          <w:rStyle w:val="CharPartText"/>
        </w:rPr>
        <w:t>Appellate proceedings—preliminary</w:t>
      </w:r>
      <w:bookmarkEnd w:id="1376"/>
    </w:p>
    <w:p w14:paraId="6494BBF8" w14:textId="77777777" w:rsidR="00C5613A" w:rsidRDefault="00C5613A" w:rsidP="00A4585D">
      <w:pPr>
        <w:pStyle w:val="Placeholder"/>
        <w:suppressLineNumbers/>
      </w:pPr>
      <w:r>
        <w:rPr>
          <w:rStyle w:val="CharDivNo"/>
        </w:rPr>
        <w:t xml:space="preserve">  </w:t>
      </w:r>
      <w:r>
        <w:rPr>
          <w:rStyle w:val="CharDivText"/>
        </w:rPr>
        <w:t xml:space="preserve">  </w:t>
      </w:r>
    </w:p>
    <w:p w14:paraId="38FBF8A1" w14:textId="77777777" w:rsidR="00D94935" w:rsidRDefault="00D94935" w:rsidP="00D94935">
      <w:pPr>
        <w:pStyle w:val="AH5Sec"/>
      </w:pPr>
      <w:bookmarkStart w:id="1377" w:name="_Toc185514993"/>
      <w:r w:rsidRPr="00C8328B">
        <w:rPr>
          <w:rStyle w:val="CharSectNo"/>
        </w:rPr>
        <w:t>5000</w:t>
      </w:r>
      <w:r>
        <w:tab/>
        <w:t>Definitions—ch 5</w:t>
      </w:r>
      <w:bookmarkEnd w:id="1377"/>
    </w:p>
    <w:p w14:paraId="357E02AB" w14:textId="77777777" w:rsidR="00D94935" w:rsidRDefault="00D94935" w:rsidP="00D94935">
      <w:pPr>
        <w:pStyle w:val="Amainreturn"/>
      </w:pPr>
      <w:r>
        <w:t>In this chapter:</w:t>
      </w:r>
    </w:p>
    <w:p w14:paraId="3E392D38" w14:textId="77777777"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14:paraId="328881AE" w14:textId="77777777" w:rsidR="00D94935" w:rsidRDefault="00D94935" w:rsidP="00D94935">
      <w:pPr>
        <w:pStyle w:val="aDefpara"/>
      </w:pPr>
      <w:r>
        <w:tab/>
        <w:t>(a)</w:t>
      </w:r>
      <w:r>
        <w:tab/>
        <w:t>a conviction recorded by the Supreme Court for the person; or</w:t>
      </w:r>
    </w:p>
    <w:p w14:paraId="39E3BCDD" w14:textId="77777777" w:rsidR="00D94935" w:rsidRDefault="00D94935" w:rsidP="00D94935">
      <w:pPr>
        <w:pStyle w:val="aDefpara"/>
      </w:pPr>
      <w:r>
        <w:tab/>
        <w:t>(b)</w:t>
      </w:r>
      <w:r>
        <w:tab/>
        <w:t>a finding of guilt recorded by the Supreme Court for the person.</w:t>
      </w:r>
    </w:p>
    <w:p w14:paraId="70D13D27" w14:textId="77777777"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14:paraId="2623FD53" w14:textId="77777777" w:rsidR="00D94935" w:rsidRDefault="00D94935" w:rsidP="00D94935">
      <w:pPr>
        <w:pStyle w:val="aDefpara"/>
      </w:pPr>
      <w:r>
        <w:tab/>
        <w:t>(a)</w:t>
      </w:r>
      <w:r>
        <w:tab/>
        <w:t>after the person has been convicted or found guilty; or</w:t>
      </w:r>
    </w:p>
    <w:p w14:paraId="4DBA323E" w14:textId="508E8378" w:rsidR="00D94935" w:rsidRDefault="00D94935" w:rsidP="00D94935">
      <w:pPr>
        <w:pStyle w:val="Apara"/>
      </w:pPr>
      <w:r>
        <w:tab/>
        <w:t>(b)</w:t>
      </w:r>
      <w:r>
        <w:tab/>
        <w:t xml:space="preserve">after the person has pleaded guilty to an indictable offence under the </w:t>
      </w:r>
      <w:hyperlink r:id="rId632" w:tooltip="A1930-21" w:history="1">
        <w:r w:rsidRPr="006364FA">
          <w:rPr>
            <w:rStyle w:val="charCitHyperlinkItal"/>
          </w:rPr>
          <w:t>Magistrates Court Act 1930</w:t>
        </w:r>
      </w:hyperlink>
      <w:r>
        <w:t>, section 90A (7) (Plea of guilty in committal proceedings).</w:t>
      </w:r>
    </w:p>
    <w:p w14:paraId="7B264D3C" w14:textId="77777777" w:rsidR="00D94935" w:rsidRDefault="00D94935" w:rsidP="00D94935">
      <w:pPr>
        <w:pStyle w:val="aExamHdgss"/>
        <w:rPr>
          <w:rStyle w:val="charItals"/>
        </w:rPr>
      </w:pPr>
      <w:r>
        <w:t>Examples of sentences</w:t>
      </w:r>
    </w:p>
    <w:p w14:paraId="076DF967" w14:textId="3BB039D3" w:rsidR="00D94935" w:rsidRDefault="00D94935" w:rsidP="00D94935">
      <w:pPr>
        <w:pStyle w:val="aExamINumss"/>
      </w:pPr>
      <w:r>
        <w:t>1</w:t>
      </w:r>
      <w:r>
        <w:tab/>
        <w:t xml:space="preserve">a reparation order under the </w:t>
      </w:r>
      <w:hyperlink r:id="rId633" w:tooltip="A2005-58" w:history="1">
        <w:r w:rsidRPr="006364FA">
          <w:rPr>
            <w:rStyle w:val="charCitHyperlinkItal"/>
          </w:rPr>
          <w:t>Crimes (Sentencing) Act 2005</w:t>
        </w:r>
      </w:hyperlink>
      <w:r>
        <w:t>, section 19 (Reparation orders—losses and expenses generally)</w:t>
      </w:r>
    </w:p>
    <w:p w14:paraId="2105889C" w14:textId="1369425C" w:rsidR="00D94935" w:rsidRDefault="00D94935" w:rsidP="00D94935">
      <w:pPr>
        <w:pStyle w:val="aExamINumss"/>
      </w:pPr>
      <w:r>
        <w:t>2</w:t>
      </w:r>
      <w:r>
        <w:tab/>
        <w:t xml:space="preserve">a good behaviour order under the </w:t>
      </w:r>
      <w:hyperlink r:id="rId634" w:tooltip="A2005-58" w:history="1">
        <w:r w:rsidRPr="006364FA">
          <w:rPr>
            <w:rStyle w:val="charCitHyperlinkItal"/>
          </w:rPr>
          <w:t>Crimes (Sentencing) Act 2005</w:t>
        </w:r>
      </w:hyperlink>
      <w:r>
        <w:t>, section 13 (Good behaviour orders)</w:t>
      </w:r>
    </w:p>
    <w:p w14:paraId="6C56983E" w14:textId="77777777" w:rsidR="00D94935" w:rsidRDefault="00D94935" w:rsidP="00D94935">
      <w:pPr>
        <w:pStyle w:val="AH5Sec"/>
      </w:pPr>
      <w:bookmarkStart w:id="1378" w:name="_Toc185514994"/>
      <w:r w:rsidRPr="00C8328B">
        <w:rPr>
          <w:rStyle w:val="CharSectNo"/>
        </w:rPr>
        <w:t>5001</w:t>
      </w:r>
      <w:r>
        <w:tab/>
      </w:r>
      <w:r>
        <w:rPr>
          <w:rStyle w:val="CharChapText"/>
        </w:rPr>
        <w:t>Appellate proceedings</w:t>
      </w:r>
      <w:r>
        <w:t>—application of ch 2 generally</w:t>
      </w:r>
      <w:bookmarkEnd w:id="1378"/>
    </w:p>
    <w:p w14:paraId="511B7EFB" w14:textId="77777777"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14:paraId="26E331C9" w14:textId="77777777" w:rsidR="00D94935" w:rsidRDefault="00D94935" w:rsidP="00D94935">
      <w:pPr>
        <w:pStyle w:val="Amain"/>
      </w:pPr>
      <w:r>
        <w:tab/>
        <w:t>(2)</w:t>
      </w:r>
      <w:r>
        <w:tab/>
        <w:t>The applied civil rules apply, with any necessary changes, to an appellate proceeding that is a civil proceeding.</w:t>
      </w:r>
    </w:p>
    <w:p w14:paraId="74F9B43F" w14:textId="77777777" w:rsidR="00D94935" w:rsidRDefault="00D94935" w:rsidP="00D94935">
      <w:pPr>
        <w:pStyle w:val="Amain"/>
        <w:keepNext/>
      </w:pPr>
      <w:r>
        <w:lastRenderedPageBreak/>
        <w:tab/>
        <w:t>(3)</w:t>
      </w:r>
      <w:r>
        <w:tab/>
        <w:t>In this rule:</w:t>
      </w:r>
    </w:p>
    <w:p w14:paraId="2A84D8FD" w14:textId="77777777" w:rsidR="00D94935" w:rsidRDefault="00D94935" w:rsidP="00D94935">
      <w:pPr>
        <w:pStyle w:val="aDef"/>
        <w:keepNext/>
      </w:pPr>
      <w:r w:rsidRPr="006364FA">
        <w:rPr>
          <w:rStyle w:val="charBoldItals"/>
        </w:rPr>
        <w:t>applied civil rules</w:t>
      </w:r>
      <w:r>
        <w:t xml:space="preserve"> means the following:</w:t>
      </w:r>
    </w:p>
    <w:p w14:paraId="45851E61" w14:textId="77777777"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14:paraId="1EEB391F" w14:textId="77777777"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14:paraId="40FB117C"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14:paraId="7ADA96DD"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14:paraId="2EDA8DCE" w14:textId="77777777"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14:paraId="117ED282" w14:textId="77777777"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14:paraId="495E8152" w14:textId="77777777"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14:paraId="4993F431" w14:textId="77777777"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14:paraId="4C0BC7A1" w14:textId="77777777" w:rsidR="00D94935" w:rsidRDefault="00D94935" w:rsidP="00D94935">
      <w:pPr>
        <w:pStyle w:val="Amainbullet"/>
      </w:pPr>
      <w:r>
        <w:rPr>
          <w:rFonts w:ascii="Symbol" w:hAnsi="Symbol"/>
          <w:sz w:val="20"/>
        </w:rPr>
        <w:sym w:font="Symbol" w:char="F0B7"/>
      </w:r>
      <w:r>
        <w:rPr>
          <w:rFonts w:ascii="Symbol" w:hAnsi="Symbol"/>
          <w:sz w:val="20"/>
        </w:rPr>
        <w:tab/>
      </w:r>
      <w:r>
        <w:t>part 2.17 (Costs)</w:t>
      </w:r>
    </w:p>
    <w:p w14:paraId="7AF63E6E" w14:textId="77777777"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14:paraId="53C60516" w14:textId="77777777"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14:paraId="6EBDF209" w14:textId="77777777"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14:paraId="07FB2355" w14:textId="77777777"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14:paraId="48872242" w14:textId="77777777"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14:paraId="033A2887" w14:textId="77777777" w:rsidR="00D94935" w:rsidRDefault="00D94935" w:rsidP="00D94935">
      <w:pPr>
        <w:pStyle w:val="PageBreak"/>
      </w:pPr>
      <w:r>
        <w:br w:type="page"/>
      </w:r>
    </w:p>
    <w:p w14:paraId="693181C1" w14:textId="77777777" w:rsidR="00D94935" w:rsidRPr="00C8328B" w:rsidRDefault="00D94935" w:rsidP="00D94935">
      <w:pPr>
        <w:pStyle w:val="AH2Part"/>
      </w:pPr>
      <w:bookmarkStart w:id="1379" w:name="_Toc185514995"/>
      <w:r w:rsidRPr="00C8328B">
        <w:rPr>
          <w:rStyle w:val="CharPartNo"/>
        </w:rPr>
        <w:lastRenderedPageBreak/>
        <w:t>Part 5.2</w:t>
      </w:r>
      <w:r w:rsidRPr="00284A0B">
        <w:tab/>
      </w:r>
      <w:r w:rsidRPr="00C8328B">
        <w:rPr>
          <w:rStyle w:val="CharPartText"/>
        </w:rPr>
        <w:t>Appeals from registrar</w:t>
      </w:r>
      <w:bookmarkEnd w:id="1379"/>
    </w:p>
    <w:p w14:paraId="2B4BCA98" w14:textId="77777777"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14:paraId="15A7EEE8" w14:textId="77777777" w:rsidR="00D94935" w:rsidRPr="00284A0B" w:rsidRDefault="00D94935" w:rsidP="00D94935">
      <w:pPr>
        <w:pStyle w:val="AH5Sec"/>
      </w:pPr>
      <w:bookmarkStart w:id="1380" w:name="_Toc185514996"/>
      <w:r w:rsidRPr="00C8328B">
        <w:rPr>
          <w:rStyle w:val="CharSectNo"/>
        </w:rPr>
        <w:t>5010</w:t>
      </w:r>
      <w:r w:rsidRPr="00284A0B">
        <w:tab/>
        <w:t>Definitions—pt 5.2</w:t>
      </w:r>
      <w:bookmarkEnd w:id="1380"/>
    </w:p>
    <w:p w14:paraId="6684EAE8" w14:textId="77777777" w:rsidR="00D94935" w:rsidRPr="00284A0B" w:rsidRDefault="00D94935" w:rsidP="00D94935">
      <w:pPr>
        <w:pStyle w:val="Amainreturn"/>
        <w:keepNext/>
      </w:pPr>
      <w:r w:rsidRPr="00284A0B">
        <w:t>In this part:</w:t>
      </w:r>
    </w:p>
    <w:p w14:paraId="1434C211" w14:textId="77777777" w:rsidR="00D94935" w:rsidRPr="00284A0B" w:rsidRDefault="00D94935" w:rsidP="00D94935">
      <w:pPr>
        <w:pStyle w:val="aDef"/>
        <w:keepNext/>
      </w:pPr>
      <w:r w:rsidRPr="00284A0B">
        <w:rPr>
          <w:rStyle w:val="charBoldItals"/>
        </w:rPr>
        <w:t>appeal</w:t>
      </w:r>
      <w:r w:rsidRPr="00284A0B">
        <w:t xml:space="preserve"> means an appeal to the court from a decision of—</w:t>
      </w:r>
    </w:p>
    <w:p w14:paraId="4705BC59" w14:textId="77777777" w:rsidR="00D94935" w:rsidRPr="00284A0B" w:rsidRDefault="00D94935" w:rsidP="00D94935">
      <w:pPr>
        <w:pStyle w:val="aDefpara"/>
      </w:pPr>
      <w:r w:rsidRPr="00284A0B">
        <w:tab/>
        <w:t>(a)</w:t>
      </w:r>
      <w:r w:rsidRPr="00284A0B">
        <w:tab/>
        <w:t>for the Supreme Court—the registrar of the Supreme Court; and</w:t>
      </w:r>
    </w:p>
    <w:p w14:paraId="421788AF" w14:textId="77777777" w:rsidR="00D94935" w:rsidRPr="00284A0B" w:rsidRDefault="00D94935" w:rsidP="00D94935">
      <w:pPr>
        <w:pStyle w:val="aDefpara"/>
      </w:pPr>
      <w:r w:rsidRPr="00284A0B">
        <w:tab/>
        <w:t>(b)</w:t>
      </w:r>
      <w:r w:rsidRPr="00284A0B">
        <w:tab/>
        <w:t>for the Magistrates Court—the registrar of the Magistrates Court.</w:t>
      </w:r>
    </w:p>
    <w:p w14:paraId="1BE38010" w14:textId="77777777"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14:paraId="01B49B2A" w14:textId="77777777"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14:paraId="08B15A53" w14:textId="77777777" w:rsidR="00D94935" w:rsidRPr="00284A0B" w:rsidRDefault="00D94935" w:rsidP="00D94935">
      <w:pPr>
        <w:pStyle w:val="AH5Sec"/>
      </w:pPr>
      <w:bookmarkStart w:id="1381" w:name="_Toc185514997"/>
      <w:r w:rsidRPr="00C8328B">
        <w:rPr>
          <w:rStyle w:val="CharSectNo"/>
        </w:rPr>
        <w:t>5011</w:t>
      </w:r>
      <w:r w:rsidRPr="00284A0B">
        <w:tab/>
        <w:t>Application—pt 5.2</w:t>
      </w:r>
      <w:bookmarkEnd w:id="1381"/>
    </w:p>
    <w:p w14:paraId="16E2E13F" w14:textId="77777777" w:rsidR="00D94935" w:rsidRPr="00284A0B" w:rsidRDefault="00D94935" w:rsidP="00D94935">
      <w:pPr>
        <w:pStyle w:val="Amainreturn"/>
        <w:keepNext/>
      </w:pPr>
      <w:r w:rsidRPr="00284A0B">
        <w:t>This part applies to an appeal to the court subject to any territory law applying to the appeal.</w:t>
      </w:r>
    </w:p>
    <w:p w14:paraId="18E7F61C" w14:textId="1715FEE1"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35" w:tooltip="A2001-14" w:history="1">
        <w:r w:rsidRPr="00284A0B">
          <w:rPr>
            <w:rStyle w:val="charCitHyperlinkAbbrev"/>
          </w:rPr>
          <w:t>Legislation Act</w:t>
        </w:r>
      </w:hyperlink>
      <w:r w:rsidRPr="00284A0B">
        <w:t>, s 98).</w:t>
      </w:r>
    </w:p>
    <w:p w14:paraId="15D95EAA" w14:textId="77777777" w:rsidR="00D94935" w:rsidRPr="00284A0B" w:rsidRDefault="00D94935" w:rsidP="00D94935">
      <w:pPr>
        <w:pStyle w:val="AH5Sec"/>
      </w:pPr>
      <w:bookmarkStart w:id="1382" w:name="_Toc185514998"/>
      <w:r w:rsidRPr="00C8328B">
        <w:rPr>
          <w:rStyle w:val="CharSectNo"/>
        </w:rPr>
        <w:t>5012</w:t>
      </w:r>
      <w:r w:rsidRPr="00284A0B">
        <w:tab/>
        <w:t>Appeals from registrar—starting appeal</w:t>
      </w:r>
      <w:bookmarkEnd w:id="1382"/>
    </w:p>
    <w:p w14:paraId="4F114A5B" w14:textId="77777777" w:rsidR="00D94935" w:rsidRPr="00284A0B" w:rsidRDefault="00D94935" w:rsidP="00D94935">
      <w:pPr>
        <w:pStyle w:val="Amainreturn"/>
        <w:keepNext/>
      </w:pPr>
      <w:r w:rsidRPr="00284A0B">
        <w:t>An appeal may be started in the court by filing a notice of appeal in the court.</w:t>
      </w:r>
    </w:p>
    <w:p w14:paraId="655E55CB" w14:textId="4055FD5B"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36" w:history="1">
        <w:r w:rsidR="009E22CD">
          <w:rPr>
            <w:rStyle w:val="charCitHyperlinkAbbrev"/>
          </w:rPr>
          <w:t>AF2017-183</w:t>
        </w:r>
      </w:hyperlink>
      <w:r w:rsidRPr="00284A0B">
        <w:t>.</w:t>
      </w:r>
    </w:p>
    <w:p w14:paraId="6F0E2EE6" w14:textId="77777777" w:rsidR="00D94935" w:rsidRPr="00284A0B" w:rsidRDefault="00D94935" w:rsidP="00D94935">
      <w:pPr>
        <w:pStyle w:val="AH5Sec"/>
      </w:pPr>
      <w:bookmarkStart w:id="1383" w:name="_Toc185514999"/>
      <w:r w:rsidRPr="00C8328B">
        <w:rPr>
          <w:rStyle w:val="CharSectNo"/>
        </w:rPr>
        <w:t>5013</w:t>
      </w:r>
      <w:r w:rsidRPr="00284A0B">
        <w:tab/>
        <w:t>Appeals from registrar—requirements for notice of appeal</w:t>
      </w:r>
      <w:bookmarkEnd w:id="1383"/>
    </w:p>
    <w:p w14:paraId="0E2A2BD0" w14:textId="77777777" w:rsidR="00D94935" w:rsidRPr="00284A0B" w:rsidRDefault="00D94935" w:rsidP="00D94935">
      <w:pPr>
        <w:pStyle w:val="Amain"/>
      </w:pPr>
      <w:r w:rsidRPr="00284A0B">
        <w:tab/>
        <w:t>(1)</w:t>
      </w:r>
      <w:r w:rsidRPr="00284A0B">
        <w:tab/>
        <w:t>A notice of appeal to the court must state—</w:t>
      </w:r>
    </w:p>
    <w:p w14:paraId="02DF8097" w14:textId="77777777" w:rsidR="00D94935" w:rsidRPr="00284A0B" w:rsidRDefault="00D94935" w:rsidP="00D94935">
      <w:pPr>
        <w:pStyle w:val="Apara"/>
      </w:pPr>
      <w:r>
        <w:tab/>
      </w:r>
      <w:r w:rsidRPr="00284A0B">
        <w:t>(a)</w:t>
      </w:r>
      <w:r w:rsidRPr="00284A0B">
        <w:tab/>
        <w:t>who made the decision appealed from; and</w:t>
      </w:r>
    </w:p>
    <w:p w14:paraId="5354D2E8" w14:textId="77777777" w:rsidR="00D94935" w:rsidRPr="00284A0B" w:rsidRDefault="00D94935" w:rsidP="00D94935">
      <w:pPr>
        <w:pStyle w:val="Apara"/>
      </w:pPr>
      <w:r w:rsidRPr="00284A0B">
        <w:tab/>
        <w:t>(b)</w:t>
      </w:r>
      <w:r w:rsidRPr="00284A0B">
        <w:tab/>
        <w:t>the decision and the date of the decision; and</w:t>
      </w:r>
    </w:p>
    <w:p w14:paraId="782BF502" w14:textId="77777777" w:rsidR="00D94935" w:rsidRPr="00284A0B" w:rsidRDefault="00D94935" w:rsidP="00D94935">
      <w:pPr>
        <w:pStyle w:val="Apara"/>
      </w:pPr>
      <w:r w:rsidRPr="00284A0B">
        <w:lastRenderedPageBreak/>
        <w:tab/>
        <w:t>(c)</w:t>
      </w:r>
      <w:r w:rsidRPr="00284A0B">
        <w:tab/>
        <w:t>whether the appeal is from all or part of the decision; and</w:t>
      </w:r>
    </w:p>
    <w:p w14:paraId="49633FB1" w14:textId="77777777" w:rsidR="00D94935" w:rsidRPr="00284A0B" w:rsidRDefault="00D94935" w:rsidP="00D94935">
      <w:pPr>
        <w:pStyle w:val="Apara"/>
      </w:pPr>
      <w:r w:rsidRPr="00284A0B">
        <w:tab/>
        <w:t>(d)</w:t>
      </w:r>
      <w:r w:rsidRPr="00284A0B">
        <w:tab/>
        <w:t>if the appeal is from part of the decision—the part appealed from; and</w:t>
      </w:r>
    </w:p>
    <w:p w14:paraId="7F8F4DC7" w14:textId="77777777" w:rsidR="00D94935" w:rsidRPr="00284A0B" w:rsidRDefault="00D94935" w:rsidP="00D94935">
      <w:pPr>
        <w:pStyle w:val="Apara"/>
      </w:pPr>
      <w:r w:rsidRPr="00284A0B">
        <w:tab/>
        <w:t>(e)</w:t>
      </w:r>
      <w:r w:rsidRPr="00284A0B">
        <w:tab/>
        <w:t>whether the appellant will seek to put further evidence before the court; and</w:t>
      </w:r>
    </w:p>
    <w:p w14:paraId="37A7BB63" w14:textId="77777777" w:rsidR="00D94935" w:rsidRPr="00284A0B" w:rsidRDefault="00D94935" w:rsidP="00D94935">
      <w:pPr>
        <w:pStyle w:val="Apara"/>
      </w:pPr>
      <w:r w:rsidRPr="00284A0B">
        <w:tab/>
        <w:t>(f)</w:t>
      </w:r>
      <w:r w:rsidRPr="00284A0B">
        <w:tab/>
        <w:t>the order sought.</w:t>
      </w:r>
    </w:p>
    <w:p w14:paraId="38CC949D" w14:textId="77777777" w:rsidR="00D94935" w:rsidRPr="00284A0B" w:rsidRDefault="00D94935" w:rsidP="00D94935">
      <w:pPr>
        <w:pStyle w:val="Amain"/>
      </w:pPr>
      <w:r w:rsidRPr="00284A0B">
        <w:tab/>
        <w:t>(2)</w:t>
      </w:r>
      <w:r w:rsidRPr="00284A0B">
        <w:tab/>
        <w:t>The notice of appeal need not set out grounds of appeal.</w:t>
      </w:r>
    </w:p>
    <w:p w14:paraId="1B6E2819" w14:textId="77777777" w:rsidR="00D94935" w:rsidRPr="00284A0B" w:rsidRDefault="00D94935" w:rsidP="00D94935">
      <w:pPr>
        <w:pStyle w:val="AH5Sec"/>
      </w:pPr>
      <w:bookmarkStart w:id="1384" w:name="_Toc185515000"/>
      <w:r w:rsidRPr="00C8328B">
        <w:rPr>
          <w:rStyle w:val="CharSectNo"/>
        </w:rPr>
        <w:t>5014</w:t>
      </w:r>
      <w:r w:rsidRPr="00284A0B">
        <w:tab/>
        <w:t>Appeals from registrar—time for filing notice of appeal</w:t>
      </w:r>
      <w:bookmarkEnd w:id="1384"/>
    </w:p>
    <w:p w14:paraId="6C05117C" w14:textId="77777777" w:rsidR="00D94935" w:rsidRPr="00284A0B" w:rsidRDefault="00D94935" w:rsidP="00D94935">
      <w:pPr>
        <w:pStyle w:val="Amain"/>
      </w:pPr>
      <w:r w:rsidRPr="00284A0B">
        <w:tab/>
        <w:t>(1)</w:t>
      </w:r>
      <w:r w:rsidRPr="00284A0B">
        <w:tab/>
        <w:t>A notice of appeal to the court from a decision of the registrar must be filed in the court—</w:t>
      </w:r>
    </w:p>
    <w:p w14:paraId="197CAA0D" w14:textId="77777777"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14:paraId="5E946CB1" w14:textId="77777777"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14:paraId="7F1AB670" w14:textId="77777777"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14:paraId="3ED5D55B" w14:textId="77777777"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14:paraId="2C66E8D7" w14:textId="24777ABF"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7" w:tooltip="A2001-14" w:history="1">
        <w:r w:rsidRPr="00284A0B">
          <w:rPr>
            <w:rStyle w:val="charCitHyperlinkAbbrev"/>
          </w:rPr>
          <w:t>Legislation Act</w:t>
        </w:r>
      </w:hyperlink>
      <w:r w:rsidRPr="00284A0B">
        <w:rPr>
          <w:iCs/>
        </w:rPr>
        <w:t>, s 151C).</w:t>
      </w:r>
    </w:p>
    <w:p w14:paraId="02FF3F59" w14:textId="77777777" w:rsidR="00D94935" w:rsidRPr="00284A0B" w:rsidRDefault="00D94935" w:rsidP="00D94935">
      <w:pPr>
        <w:pStyle w:val="Amain"/>
        <w:keepNext/>
      </w:pPr>
      <w:r w:rsidRPr="00284A0B">
        <w:tab/>
        <w:t>(2)</w:t>
      </w:r>
      <w:r w:rsidRPr="00284A0B">
        <w:tab/>
        <w:t>An application for further time must be accompanied by an affidavit showing—</w:t>
      </w:r>
    </w:p>
    <w:p w14:paraId="152DF880" w14:textId="77777777" w:rsidR="00D94935" w:rsidRPr="00284A0B" w:rsidRDefault="00D94935" w:rsidP="00D94935">
      <w:pPr>
        <w:pStyle w:val="Apara"/>
      </w:pPr>
      <w:r w:rsidRPr="00284A0B">
        <w:tab/>
        <w:t>(a)</w:t>
      </w:r>
      <w:r w:rsidRPr="00284A0B">
        <w:tab/>
        <w:t>the nature of the case in summary form; and</w:t>
      </w:r>
    </w:p>
    <w:p w14:paraId="1FA2FEB3" w14:textId="77777777" w:rsidR="00D94935" w:rsidRPr="00284A0B" w:rsidRDefault="00D94935" w:rsidP="00D94935">
      <w:pPr>
        <w:pStyle w:val="Apara"/>
      </w:pPr>
      <w:r w:rsidRPr="00284A0B">
        <w:lastRenderedPageBreak/>
        <w:tab/>
        <w:t>(b)</w:t>
      </w:r>
      <w:r w:rsidRPr="00284A0B">
        <w:tab/>
        <w:t>each question involved; and</w:t>
      </w:r>
    </w:p>
    <w:p w14:paraId="4B11EC59" w14:textId="77777777" w:rsidR="00D94935" w:rsidRPr="00284A0B" w:rsidRDefault="00D94935" w:rsidP="00D94935">
      <w:pPr>
        <w:pStyle w:val="Apara"/>
      </w:pPr>
      <w:r w:rsidRPr="00284A0B">
        <w:tab/>
        <w:t>(c)</w:t>
      </w:r>
      <w:r w:rsidRPr="00284A0B">
        <w:tab/>
        <w:t>the reasons why the extension of time should be given.</w:t>
      </w:r>
    </w:p>
    <w:p w14:paraId="09A4EB93" w14:textId="77777777" w:rsidR="00D94935" w:rsidRPr="00284A0B" w:rsidRDefault="00D94935" w:rsidP="00D94935">
      <w:pPr>
        <w:pStyle w:val="AH5Sec"/>
      </w:pPr>
      <w:bookmarkStart w:id="1385" w:name="_Toc185515001"/>
      <w:r w:rsidRPr="00C8328B">
        <w:rPr>
          <w:rStyle w:val="CharSectNo"/>
        </w:rPr>
        <w:t>5015</w:t>
      </w:r>
      <w:r w:rsidRPr="00284A0B">
        <w:tab/>
        <w:t>Appeals from registrar—notice of appeal to be sealed</w:t>
      </w:r>
      <w:bookmarkEnd w:id="1385"/>
    </w:p>
    <w:p w14:paraId="16EE26B2" w14:textId="662D6100" w:rsidR="00D94935" w:rsidRPr="00284A0B" w:rsidRDefault="00D94935" w:rsidP="00D94935">
      <w:pPr>
        <w:pStyle w:val="Amainreturn"/>
        <w:keepNext/>
      </w:pPr>
      <w:r w:rsidRPr="00284A0B">
        <w:t xml:space="preserve">The registrar of the court in which an appeal is brought must seal </w:t>
      </w:r>
      <w:r w:rsidR="00977B49" w:rsidRPr="00C1177F">
        <w:t>a notice of appeal and any filed copies of the notice</w:t>
      </w:r>
      <w:r w:rsidRPr="00284A0B">
        <w:t>.</w:t>
      </w:r>
    </w:p>
    <w:p w14:paraId="494F284C" w14:textId="77777777"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14:paraId="7CC9B6D6" w14:textId="77777777" w:rsidR="00D94935" w:rsidRPr="00284A0B" w:rsidRDefault="00D94935" w:rsidP="00D94935">
      <w:pPr>
        <w:pStyle w:val="AH5Sec"/>
      </w:pPr>
      <w:bookmarkStart w:id="1386" w:name="_Toc185515002"/>
      <w:r w:rsidRPr="00C8328B">
        <w:rPr>
          <w:rStyle w:val="CharSectNo"/>
        </w:rPr>
        <w:t>5016</w:t>
      </w:r>
      <w:r w:rsidRPr="00284A0B">
        <w:tab/>
        <w:t>Appeals from registrar—serving notice of appeal</w:t>
      </w:r>
      <w:bookmarkEnd w:id="1386"/>
    </w:p>
    <w:p w14:paraId="617817AB" w14:textId="77777777"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14:paraId="5730D290" w14:textId="77777777"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14:paraId="070AB72E" w14:textId="77777777"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14:paraId="41222385" w14:textId="77777777"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14:paraId="55B98DEA" w14:textId="77777777" w:rsidR="00D94935" w:rsidRPr="00284A0B" w:rsidRDefault="00D94935" w:rsidP="00D94935">
      <w:pPr>
        <w:pStyle w:val="AH5Sec"/>
      </w:pPr>
      <w:bookmarkStart w:id="1387" w:name="_Toc185515003"/>
      <w:r w:rsidRPr="00C8328B">
        <w:rPr>
          <w:rStyle w:val="CharSectNo"/>
        </w:rPr>
        <w:t>5017</w:t>
      </w:r>
      <w:r w:rsidRPr="00284A0B">
        <w:tab/>
        <w:t>Appeals from registrar—stay and reinstatement</w:t>
      </w:r>
      <w:bookmarkEnd w:id="1387"/>
    </w:p>
    <w:p w14:paraId="4A8639BA" w14:textId="77777777"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14:paraId="1A6167BE" w14:textId="77777777"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14:paraId="25D5AF54" w14:textId="77777777" w:rsidR="00D94935" w:rsidRPr="00284A0B" w:rsidRDefault="00D94935" w:rsidP="00D94935">
      <w:pPr>
        <w:pStyle w:val="Amain"/>
      </w:pPr>
      <w:r w:rsidRPr="00284A0B">
        <w:tab/>
        <w:t>(2)</w:t>
      </w:r>
      <w:r w:rsidRPr="00284A0B">
        <w:tab/>
        <w:t>An application for a stay of the decision may be made by a party to the appeal.</w:t>
      </w:r>
    </w:p>
    <w:p w14:paraId="11B3F20D" w14:textId="77777777" w:rsidR="00D94935" w:rsidRPr="00284A0B" w:rsidRDefault="00D94935" w:rsidP="00D94935">
      <w:pPr>
        <w:pStyle w:val="Amain"/>
      </w:pPr>
      <w:r w:rsidRPr="00284A0B">
        <w:lastRenderedPageBreak/>
        <w:tab/>
        <w:t>(3)</w:t>
      </w:r>
      <w:r w:rsidRPr="00284A0B">
        <w:tab/>
        <w:t>In an urgent case, the application may be made without serving it on anyone.</w:t>
      </w:r>
    </w:p>
    <w:p w14:paraId="3F59899B" w14:textId="77777777"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14:paraId="6900D194" w14:textId="77777777"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14:paraId="5F750589" w14:textId="77777777" w:rsidR="00D94935" w:rsidRPr="00284A0B" w:rsidRDefault="00D94935" w:rsidP="00D94935">
      <w:pPr>
        <w:pStyle w:val="Amain"/>
      </w:pPr>
      <w:r w:rsidRPr="00284A0B">
        <w:tab/>
        <w:t>(6)</w:t>
      </w:r>
      <w:r w:rsidRPr="00284A0B">
        <w:tab/>
        <w:t>The court may, by order, amend or set aside an order for a stay (including an order made by the registrar).</w:t>
      </w:r>
    </w:p>
    <w:p w14:paraId="276252C1" w14:textId="77777777"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14:paraId="020D84DE" w14:textId="77777777"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14:paraId="5BAEE874" w14:textId="77777777" w:rsidR="00D94935" w:rsidRDefault="00D94935" w:rsidP="00D94935">
      <w:pPr>
        <w:pStyle w:val="PageBreak"/>
      </w:pPr>
      <w:r>
        <w:br w:type="page"/>
      </w:r>
    </w:p>
    <w:p w14:paraId="60187FA2" w14:textId="77777777" w:rsidR="00D94935" w:rsidRPr="00C8328B" w:rsidRDefault="00D94935" w:rsidP="00D94935">
      <w:pPr>
        <w:pStyle w:val="AH2Part"/>
      </w:pPr>
      <w:bookmarkStart w:id="1388" w:name="_Toc185515004"/>
      <w:r w:rsidRPr="00C8328B">
        <w:rPr>
          <w:rStyle w:val="CharPartNo"/>
        </w:rPr>
        <w:lastRenderedPageBreak/>
        <w:t>Part 5.3</w:t>
      </w:r>
      <w:r>
        <w:tab/>
      </w:r>
      <w:r w:rsidRPr="00C8328B">
        <w:rPr>
          <w:rStyle w:val="CharPartText"/>
        </w:rPr>
        <w:t>Appeals to Supreme Court</w:t>
      </w:r>
      <w:bookmarkEnd w:id="1388"/>
    </w:p>
    <w:p w14:paraId="26E5645C" w14:textId="77777777" w:rsidR="00D94935" w:rsidRPr="007E65A0" w:rsidRDefault="00D94935" w:rsidP="00D94935">
      <w:pPr>
        <w:spacing w:after="60"/>
        <w:ind w:left="1100"/>
        <w:rPr>
          <w:rStyle w:val="charItals"/>
          <w:sz w:val="20"/>
        </w:rPr>
      </w:pPr>
      <w:r w:rsidRPr="007E65A0">
        <w:rPr>
          <w:rStyle w:val="charItals"/>
          <w:sz w:val="20"/>
        </w:rPr>
        <w:t>Note to pt 5.3</w:t>
      </w:r>
    </w:p>
    <w:p w14:paraId="4947F696" w14:textId="77777777"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14:paraId="68CBB82C" w14:textId="77777777" w:rsidR="00D94935" w:rsidRPr="00C8328B" w:rsidRDefault="00D94935" w:rsidP="00D94935">
      <w:pPr>
        <w:pStyle w:val="AH3Div"/>
      </w:pPr>
      <w:bookmarkStart w:id="1389" w:name="_Toc185515005"/>
      <w:r w:rsidRPr="00C8328B">
        <w:rPr>
          <w:rStyle w:val="CharDivNo"/>
        </w:rPr>
        <w:t>Division 5.3.1</w:t>
      </w:r>
      <w:r>
        <w:tab/>
      </w:r>
      <w:r w:rsidRPr="00C8328B">
        <w:rPr>
          <w:rStyle w:val="CharDivText"/>
        </w:rPr>
        <w:t>Appeals to Supreme Court—preliminary</w:t>
      </w:r>
      <w:bookmarkEnd w:id="1389"/>
    </w:p>
    <w:p w14:paraId="6A656E76" w14:textId="77777777" w:rsidR="00D94935" w:rsidRDefault="00D94935" w:rsidP="00D94935">
      <w:pPr>
        <w:pStyle w:val="AH5Sec"/>
      </w:pPr>
      <w:bookmarkStart w:id="1390" w:name="_Toc185515006"/>
      <w:r w:rsidRPr="00C8328B">
        <w:rPr>
          <w:rStyle w:val="CharSectNo"/>
        </w:rPr>
        <w:t>5050</w:t>
      </w:r>
      <w:r>
        <w:tab/>
        <w:t>Definitions—pt 5.3</w:t>
      </w:r>
      <w:bookmarkEnd w:id="1390"/>
    </w:p>
    <w:p w14:paraId="504B9615" w14:textId="77777777" w:rsidR="00D94935" w:rsidRDefault="00D94935" w:rsidP="00D94935">
      <w:pPr>
        <w:pStyle w:val="Amainreturn"/>
      </w:pPr>
      <w:r>
        <w:t>In this part:</w:t>
      </w:r>
    </w:p>
    <w:p w14:paraId="7EC98F13" w14:textId="77777777" w:rsidR="00D94935" w:rsidRDefault="00D94935" w:rsidP="00D94935">
      <w:pPr>
        <w:pStyle w:val="aDef"/>
      </w:pPr>
      <w:r>
        <w:rPr>
          <w:rStyle w:val="charBoldItals"/>
        </w:rPr>
        <w:t>appeal</w:t>
      </w:r>
      <w:r>
        <w:t xml:space="preserve"> means an appeal to the Supreme Court from an order of a court or tribunal, but does not include—</w:t>
      </w:r>
    </w:p>
    <w:p w14:paraId="1582B7E0" w14:textId="77777777" w:rsidR="00D94935" w:rsidRDefault="00D94935" w:rsidP="00D94935">
      <w:pPr>
        <w:pStyle w:val="aDefpara"/>
      </w:pPr>
      <w:r>
        <w:tab/>
        <w:t>(a)</w:t>
      </w:r>
      <w:r>
        <w:tab/>
        <w:t>an appeal to the Court of Appeal; or</w:t>
      </w:r>
    </w:p>
    <w:p w14:paraId="52D4DC79" w14:textId="77777777" w:rsidR="00D94935" w:rsidRDefault="00D94935" w:rsidP="00D94935">
      <w:pPr>
        <w:pStyle w:val="aNotepar"/>
      </w:pPr>
      <w:r w:rsidRPr="006364FA">
        <w:rPr>
          <w:rStyle w:val="charItals"/>
        </w:rPr>
        <w:t>Note</w:t>
      </w:r>
      <w:r w:rsidRPr="006364FA">
        <w:rPr>
          <w:rStyle w:val="charItals"/>
        </w:rPr>
        <w:tab/>
      </w:r>
      <w:r>
        <w:t>See pt 5.4 (Appeals to Court of Appeal).</w:t>
      </w:r>
    </w:p>
    <w:p w14:paraId="4B1AEE77" w14:textId="7AA4A847" w:rsidR="00D94935" w:rsidRDefault="00D94935" w:rsidP="00D94935">
      <w:pPr>
        <w:pStyle w:val="aDefpara"/>
      </w:pPr>
      <w:r>
        <w:tab/>
        <w:t>(b)</w:t>
      </w:r>
      <w:r>
        <w:tab/>
        <w:t xml:space="preserve">an order to review a decision of the Magistrates Court mentioned in the </w:t>
      </w:r>
      <w:hyperlink r:id="rId638" w:tooltip="A1930-21" w:history="1">
        <w:r w:rsidRPr="006364FA">
          <w:rPr>
            <w:rStyle w:val="charCitHyperlinkItal"/>
          </w:rPr>
          <w:t>Magistrates Court Act 1930</w:t>
        </w:r>
      </w:hyperlink>
      <w:r>
        <w:t>, section 219B (Appeals by way of orders to review); or</w:t>
      </w:r>
    </w:p>
    <w:p w14:paraId="633B2345" w14:textId="77777777"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14:paraId="6EC4F850" w14:textId="284B2763" w:rsidR="00D94935" w:rsidRDefault="00D94935" w:rsidP="00D94935">
      <w:pPr>
        <w:pStyle w:val="aDefpara"/>
      </w:pPr>
      <w:r>
        <w:tab/>
        <w:t>(c)</w:t>
      </w:r>
      <w:r>
        <w:tab/>
        <w:t xml:space="preserve">a reference appeal to the Supreme Court mentioned in the </w:t>
      </w:r>
      <w:hyperlink r:id="rId639" w:tooltip="A1930-21" w:history="1">
        <w:r w:rsidRPr="006364FA">
          <w:rPr>
            <w:rStyle w:val="charCitHyperlinkItal"/>
          </w:rPr>
          <w:t>Magistrates Court Act 1930</w:t>
        </w:r>
      </w:hyperlink>
      <w:r>
        <w:t>, section 219AB (2) (Reference appeal following acquittal on indictment); or</w:t>
      </w:r>
    </w:p>
    <w:p w14:paraId="157704A2" w14:textId="77777777" w:rsidR="00D94935" w:rsidRDefault="00D94935" w:rsidP="00D94935">
      <w:pPr>
        <w:pStyle w:val="aNotepar"/>
      </w:pPr>
      <w:r w:rsidRPr="006364FA">
        <w:rPr>
          <w:rStyle w:val="charItals"/>
        </w:rPr>
        <w:t>Note</w:t>
      </w:r>
      <w:r w:rsidRPr="006364FA">
        <w:rPr>
          <w:rStyle w:val="charItals"/>
        </w:rPr>
        <w:tab/>
      </w:r>
      <w:r>
        <w:t>See div 5.6.1 (Reference appeals—Supreme Court).</w:t>
      </w:r>
    </w:p>
    <w:p w14:paraId="11F9802A" w14:textId="77777777" w:rsidR="00D94935" w:rsidRDefault="00D94935" w:rsidP="00D94935">
      <w:pPr>
        <w:pStyle w:val="aDefpara"/>
      </w:pPr>
      <w:r>
        <w:tab/>
        <w:t>(d)</w:t>
      </w:r>
      <w:r>
        <w:tab/>
        <w:t>a question referred to the Supreme Court to which division 5.7.1 (Questions referred—Supreme Court) applies.</w:t>
      </w:r>
    </w:p>
    <w:p w14:paraId="2BB67F69" w14:textId="77777777"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14:paraId="1342A2CF" w14:textId="433B3979"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40" w:tooltip="A1930-21" w:history="1">
        <w:r w:rsidRPr="006364FA">
          <w:rPr>
            <w:rStyle w:val="charCitHyperlinkItal"/>
          </w:rPr>
          <w:t>Magistrates Court Act 1930</w:t>
        </w:r>
      </w:hyperlink>
      <w:r>
        <w:t>, section 208 (Appeals to which div 3.10.2 applies).</w:t>
      </w:r>
    </w:p>
    <w:p w14:paraId="7E6C937F" w14:textId="77777777"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14:paraId="26636719" w14:textId="77777777" w:rsidR="00D94935" w:rsidRDefault="00D94935" w:rsidP="00D94935">
      <w:pPr>
        <w:pStyle w:val="aDef"/>
        <w:keepNext/>
      </w:pPr>
      <w:r>
        <w:rPr>
          <w:rStyle w:val="charBoldItals"/>
        </w:rPr>
        <w:lastRenderedPageBreak/>
        <w:t>registrar</w:t>
      </w:r>
      <w:r>
        <w:t>, of a court or tribunal, means—</w:t>
      </w:r>
    </w:p>
    <w:p w14:paraId="4E76FC94" w14:textId="77777777"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14:paraId="45C49315" w14:textId="77777777"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14:paraId="214B53E3" w14:textId="77777777" w:rsidR="00D94935" w:rsidRDefault="00D94935" w:rsidP="00D94935">
      <w:pPr>
        <w:pStyle w:val="aDef"/>
      </w:pPr>
      <w:r>
        <w:rPr>
          <w:rStyle w:val="charBoldItals"/>
        </w:rPr>
        <w:t>relevant law</w:t>
      </w:r>
      <w:r>
        <w:t>, in relation to an appeal, means the law under which the appeal is brought.</w:t>
      </w:r>
    </w:p>
    <w:p w14:paraId="61DDFB56" w14:textId="77777777"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14:paraId="1C000436" w14:textId="77777777" w:rsidR="00D94935" w:rsidRDefault="00D94935" w:rsidP="00D94935">
      <w:pPr>
        <w:pStyle w:val="AH5Sec"/>
      </w:pPr>
      <w:bookmarkStart w:id="1391" w:name="_Toc185515007"/>
      <w:r w:rsidRPr="00C8328B">
        <w:rPr>
          <w:rStyle w:val="CharSectNo"/>
        </w:rPr>
        <w:t>5051</w:t>
      </w:r>
      <w:r>
        <w:tab/>
        <w:t>Application—pt 5.3</w:t>
      </w:r>
      <w:bookmarkEnd w:id="1391"/>
    </w:p>
    <w:p w14:paraId="47AE49A8" w14:textId="77777777" w:rsidR="00D94935" w:rsidRDefault="00D94935" w:rsidP="00D94935">
      <w:pPr>
        <w:pStyle w:val="Amain"/>
      </w:pPr>
      <w:r>
        <w:tab/>
        <w:t>(1)</w:t>
      </w:r>
      <w:r>
        <w:tab/>
        <w:t>This part applies to an appeal to the Supreme Court from an order of a court or tribunal.</w:t>
      </w:r>
    </w:p>
    <w:p w14:paraId="044C9B29" w14:textId="77777777" w:rsidR="00D94935" w:rsidRDefault="00D94935" w:rsidP="00D94935">
      <w:pPr>
        <w:pStyle w:val="Amain"/>
      </w:pPr>
      <w:r>
        <w:tab/>
        <w:t>(2)</w:t>
      </w:r>
      <w:r>
        <w:tab/>
        <w:t>This part applies subject to any territory law applying to the appeal.</w:t>
      </w:r>
    </w:p>
    <w:p w14:paraId="09E9214E" w14:textId="16354B73"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41" w:tooltip="A2001-14" w:history="1">
        <w:r w:rsidRPr="006364FA">
          <w:rPr>
            <w:rStyle w:val="charCitHyperlinkAbbrev"/>
          </w:rPr>
          <w:t>Legislation Act</w:t>
        </w:r>
      </w:hyperlink>
      <w:r>
        <w:t>, s 98).</w:t>
      </w:r>
    </w:p>
    <w:p w14:paraId="4FAF63A9" w14:textId="77777777"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14:paraId="168F1853" w14:textId="359B9DFC" w:rsidR="00D94935" w:rsidRDefault="00D94935" w:rsidP="00D94935">
      <w:pPr>
        <w:pStyle w:val="aNote"/>
      </w:pPr>
      <w:r w:rsidRPr="006364FA">
        <w:rPr>
          <w:rStyle w:val="charItals"/>
        </w:rPr>
        <w:t>Note 3</w:t>
      </w:r>
      <w:r>
        <w:tab/>
        <w:t xml:space="preserve">Certain jurisdiction of the Supreme Court under the </w:t>
      </w:r>
      <w:hyperlink r:id="rId642"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43" w:tooltip="A1933-34" w:history="1">
        <w:r w:rsidRPr="006364FA">
          <w:rPr>
            <w:rStyle w:val="charCitHyperlinkItal"/>
          </w:rPr>
          <w:t>Supreme Court Act 1933</w:t>
        </w:r>
      </w:hyperlink>
      <w:r>
        <w:t>, s 11).</w:t>
      </w:r>
    </w:p>
    <w:p w14:paraId="0AA4D809" w14:textId="77777777"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9"/>
      </w:tblGrid>
      <w:tr w:rsidR="00D94935" w:rsidRPr="00403BD1" w14:paraId="06917380" w14:textId="77777777" w:rsidTr="003A681D">
        <w:trPr>
          <w:cantSplit/>
          <w:tblHeader/>
        </w:trPr>
        <w:tc>
          <w:tcPr>
            <w:tcW w:w="688" w:type="pct"/>
            <w:tcBorders>
              <w:bottom w:val="single" w:sz="4" w:space="0" w:color="auto"/>
            </w:tcBorders>
          </w:tcPr>
          <w:p w14:paraId="7100875D" w14:textId="77777777" w:rsidR="00D94935" w:rsidRPr="00403BD1" w:rsidRDefault="00D94935" w:rsidP="003A681D">
            <w:pPr>
              <w:pStyle w:val="TableColHd"/>
            </w:pPr>
            <w:r w:rsidRPr="00403BD1">
              <w:t>column 1</w:t>
            </w:r>
          </w:p>
          <w:p w14:paraId="3C560088" w14:textId="77777777" w:rsidR="00D94935" w:rsidRPr="00403BD1" w:rsidRDefault="00D94935" w:rsidP="003A681D">
            <w:pPr>
              <w:pStyle w:val="TableColHd"/>
            </w:pPr>
            <w:r w:rsidRPr="00403BD1">
              <w:t>item</w:t>
            </w:r>
          </w:p>
        </w:tc>
        <w:tc>
          <w:tcPr>
            <w:tcW w:w="1094" w:type="pct"/>
            <w:tcBorders>
              <w:bottom w:val="single" w:sz="4" w:space="0" w:color="auto"/>
            </w:tcBorders>
          </w:tcPr>
          <w:p w14:paraId="4A5F4416"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43C3E24C"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14:paraId="4CCD6370" w14:textId="77777777" w:rsidR="00D94935" w:rsidRPr="00403BD1" w:rsidRDefault="00D94935" w:rsidP="003A681D">
            <w:pPr>
              <w:pStyle w:val="TableColHd"/>
            </w:pPr>
            <w:r w:rsidRPr="00403BD1">
              <w:t>column 3</w:t>
            </w:r>
          </w:p>
          <w:p w14:paraId="7E6C93C1" w14:textId="77777777"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14:paraId="266D4BAD" w14:textId="77777777" w:rsidR="00D94935" w:rsidRPr="00403BD1" w:rsidRDefault="00D94935" w:rsidP="003A681D">
            <w:pPr>
              <w:pStyle w:val="TableColHd"/>
            </w:pPr>
            <w:r w:rsidRPr="00403BD1">
              <w:t>column 4</w:t>
            </w:r>
          </w:p>
          <w:p w14:paraId="49FCE95D" w14:textId="77777777" w:rsidR="00D94935" w:rsidRPr="00403BD1" w:rsidRDefault="00D94935" w:rsidP="003A681D">
            <w:pPr>
              <w:pStyle w:val="TableColHd"/>
            </w:pPr>
            <w:r w:rsidRPr="00403BD1">
              <w:t>law appealed under</w:t>
            </w:r>
          </w:p>
        </w:tc>
      </w:tr>
      <w:tr w:rsidR="00D94935" w:rsidRPr="00403BD1" w14:paraId="334D9FE9" w14:textId="77777777" w:rsidTr="003A681D">
        <w:tblPrEx>
          <w:tblCellMar>
            <w:left w:w="150" w:type="dxa"/>
            <w:right w:w="150" w:type="dxa"/>
          </w:tblCellMar>
        </w:tblPrEx>
        <w:trPr>
          <w:cantSplit/>
        </w:trPr>
        <w:tc>
          <w:tcPr>
            <w:tcW w:w="688" w:type="pct"/>
            <w:tcBorders>
              <w:top w:val="single" w:sz="4" w:space="0" w:color="auto"/>
            </w:tcBorders>
          </w:tcPr>
          <w:p w14:paraId="15089965" w14:textId="77777777" w:rsidR="00D94935" w:rsidRPr="00403BD1" w:rsidRDefault="00D94935" w:rsidP="003A681D">
            <w:pPr>
              <w:pStyle w:val="TableText10"/>
            </w:pPr>
            <w:r w:rsidRPr="00403BD1">
              <w:t>1</w:t>
            </w:r>
          </w:p>
        </w:tc>
        <w:tc>
          <w:tcPr>
            <w:tcW w:w="1094" w:type="pct"/>
            <w:tcBorders>
              <w:top w:val="single" w:sz="4" w:space="0" w:color="auto"/>
            </w:tcBorders>
          </w:tcPr>
          <w:p w14:paraId="05F16B65" w14:textId="77777777" w:rsidR="00D94935" w:rsidRPr="00403BD1" w:rsidRDefault="00D94935" w:rsidP="003A681D">
            <w:pPr>
              <w:pStyle w:val="TableText10"/>
            </w:pPr>
            <w:r w:rsidRPr="00403BD1">
              <w:t>ACT civil and administrative tribunal</w:t>
            </w:r>
          </w:p>
        </w:tc>
        <w:tc>
          <w:tcPr>
            <w:tcW w:w="1268" w:type="pct"/>
            <w:tcBorders>
              <w:top w:val="single" w:sz="4" w:space="0" w:color="auto"/>
            </w:tcBorders>
          </w:tcPr>
          <w:p w14:paraId="19B1C1E8" w14:textId="1BE687C9" w:rsidR="00D94935" w:rsidRPr="00403BD1" w:rsidRDefault="00D94935" w:rsidP="003A681D">
            <w:pPr>
              <w:pStyle w:val="TableText10"/>
            </w:pPr>
            <w:r w:rsidRPr="00403BD1">
              <w:t>judge</w:t>
            </w:r>
          </w:p>
        </w:tc>
        <w:tc>
          <w:tcPr>
            <w:tcW w:w="1950" w:type="pct"/>
            <w:tcBorders>
              <w:top w:val="single" w:sz="4" w:space="0" w:color="auto"/>
            </w:tcBorders>
          </w:tcPr>
          <w:p w14:paraId="5368AE4F" w14:textId="1E53E516" w:rsidR="00D94935" w:rsidRPr="00483FB9" w:rsidRDefault="001542D1" w:rsidP="003A681D">
            <w:pPr>
              <w:pStyle w:val="TableText10"/>
            </w:pPr>
            <w:hyperlink r:id="rId644" w:tooltip="A2008-35" w:history="1">
              <w:r w:rsidR="00D94935" w:rsidRPr="006364FA">
                <w:rPr>
                  <w:rStyle w:val="charCitHyperlinkItal"/>
                </w:rPr>
                <w:t>ACT Civil and Administrative Tribunal Act 2008</w:t>
              </w:r>
            </w:hyperlink>
            <w:r w:rsidR="00D94935" w:rsidRPr="00483FB9">
              <w:t>, s 83 (for appeals only) and s 86</w:t>
            </w:r>
          </w:p>
          <w:p w14:paraId="71F3DC0C" w14:textId="6C16ED7C" w:rsidR="00D94935" w:rsidRPr="00403BD1" w:rsidRDefault="001542D1" w:rsidP="003A681D">
            <w:pPr>
              <w:pStyle w:val="TableText10"/>
            </w:pPr>
            <w:hyperlink r:id="rId645" w:tooltip="A1994-44" w:history="1">
              <w:r w:rsidR="00D94935" w:rsidRPr="006364FA">
                <w:rPr>
                  <w:rStyle w:val="charCitHyperlinkItal"/>
                </w:rPr>
                <w:t>Mental Health (Treatment and Care) Act 1994</w:t>
              </w:r>
            </w:hyperlink>
            <w:r w:rsidR="00D94935" w:rsidRPr="00483FB9">
              <w:t>, s 141</w:t>
            </w:r>
          </w:p>
        </w:tc>
      </w:tr>
      <w:tr w:rsidR="00D94935" w:rsidRPr="00403BD1" w14:paraId="738F44D5" w14:textId="77777777" w:rsidTr="003A681D">
        <w:tblPrEx>
          <w:tblCellMar>
            <w:left w:w="150" w:type="dxa"/>
            <w:right w:w="150" w:type="dxa"/>
          </w:tblCellMar>
        </w:tblPrEx>
        <w:tc>
          <w:tcPr>
            <w:tcW w:w="688" w:type="pct"/>
          </w:tcPr>
          <w:p w14:paraId="43FC88AF" w14:textId="77777777" w:rsidR="00D94935" w:rsidRPr="00AD5834" w:rsidRDefault="00D94935" w:rsidP="003A681D">
            <w:pPr>
              <w:pStyle w:val="TableText10"/>
            </w:pPr>
            <w:r>
              <w:lastRenderedPageBreak/>
              <w:t>2</w:t>
            </w:r>
          </w:p>
        </w:tc>
        <w:tc>
          <w:tcPr>
            <w:tcW w:w="1094" w:type="pct"/>
          </w:tcPr>
          <w:p w14:paraId="4A146FA6" w14:textId="77777777" w:rsidR="00D94935" w:rsidRPr="00AD5834" w:rsidRDefault="00D94935" w:rsidP="003A681D">
            <w:pPr>
              <w:pStyle w:val="TableText10"/>
            </w:pPr>
            <w:r w:rsidRPr="00AD5834">
              <w:t>adjudicator</w:t>
            </w:r>
          </w:p>
        </w:tc>
        <w:tc>
          <w:tcPr>
            <w:tcW w:w="1268" w:type="pct"/>
          </w:tcPr>
          <w:p w14:paraId="0D0C177D" w14:textId="75F3EA3B" w:rsidR="00D94935" w:rsidRPr="00AD5834" w:rsidRDefault="00D94935" w:rsidP="003A681D">
            <w:pPr>
              <w:pStyle w:val="TableText10"/>
            </w:pPr>
            <w:r w:rsidRPr="00AD5834">
              <w:t>judge</w:t>
            </w:r>
          </w:p>
        </w:tc>
        <w:tc>
          <w:tcPr>
            <w:tcW w:w="1950" w:type="pct"/>
          </w:tcPr>
          <w:p w14:paraId="23EDC445" w14:textId="42FA26C2" w:rsidR="00D94935" w:rsidRPr="00AD5834" w:rsidRDefault="001542D1" w:rsidP="003A681D">
            <w:pPr>
              <w:pStyle w:val="TableText10"/>
              <w:rPr>
                <w:rStyle w:val="charItals"/>
                <w:i w:val="0"/>
                <w:iCs/>
              </w:rPr>
            </w:pPr>
            <w:hyperlink r:id="rId646"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2087843D" w14:textId="77777777" w:rsidTr="003A681D">
        <w:tblPrEx>
          <w:tblCellMar>
            <w:left w:w="150" w:type="dxa"/>
            <w:right w:w="150" w:type="dxa"/>
          </w:tblCellMar>
        </w:tblPrEx>
        <w:tc>
          <w:tcPr>
            <w:tcW w:w="688" w:type="pct"/>
          </w:tcPr>
          <w:p w14:paraId="5A50A14E" w14:textId="77777777" w:rsidR="00D94935" w:rsidRPr="00403BD1" w:rsidRDefault="00D94935" w:rsidP="003A681D">
            <w:pPr>
              <w:pStyle w:val="TableText10"/>
            </w:pPr>
            <w:r>
              <w:t>3</w:t>
            </w:r>
          </w:p>
        </w:tc>
        <w:tc>
          <w:tcPr>
            <w:tcW w:w="1094" w:type="pct"/>
          </w:tcPr>
          <w:p w14:paraId="624905F9" w14:textId="77777777" w:rsidR="00D94935" w:rsidRPr="00403BD1" w:rsidRDefault="00D94935" w:rsidP="003A681D">
            <w:pPr>
              <w:pStyle w:val="TableText10"/>
            </w:pPr>
            <w:r w:rsidRPr="00403BD1">
              <w:t>admissions board</w:t>
            </w:r>
          </w:p>
        </w:tc>
        <w:tc>
          <w:tcPr>
            <w:tcW w:w="1268" w:type="pct"/>
          </w:tcPr>
          <w:p w14:paraId="26771D17" w14:textId="77777777" w:rsidR="00D94935" w:rsidRPr="00403BD1" w:rsidRDefault="00D94935" w:rsidP="003A681D">
            <w:pPr>
              <w:pStyle w:val="TableText10"/>
            </w:pPr>
            <w:r w:rsidRPr="00403BD1">
              <w:t>Full Court or judge</w:t>
            </w:r>
          </w:p>
        </w:tc>
        <w:tc>
          <w:tcPr>
            <w:tcW w:w="1950" w:type="pct"/>
          </w:tcPr>
          <w:p w14:paraId="42A3C9F5" w14:textId="4E9B4093" w:rsidR="00D94935" w:rsidRPr="00403BD1" w:rsidRDefault="001542D1" w:rsidP="003A681D">
            <w:pPr>
              <w:pStyle w:val="TableText10"/>
              <w:rPr>
                <w:rStyle w:val="charItals"/>
                <w:i w:val="0"/>
                <w:iCs/>
              </w:rPr>
            </w:pPr>
            <w:hyperlink r:id="rId647" w:tooltip="A2006-25" w:history="1">
              <w:r w:rsidR="00D94935" w:rsidRPr="006364FA">
                <w:rPr>
                  <w:rStyle w:val="charCitHyperlinkItal"/>
                </w:rPr>
                <w:t>Legal Profession Act 2006</w:t>
              </w:r>
            </w:hyperlink>
            <w:r w:rsidR="00D94935" w:rsidRPr="006364FA">
              <w:t>, s 25</w:t>
            </w:r>
          </w:p>
        </w:tc>
      </w:tr>
      <w:tr w:rsidR="00D94935" w:rsidRPr="00403BD1" w14:paraId="47DCE2F6" w14:textId="77777777" w:rsidTr="003A681D">
        <w:tblPrEx>
          <w:tblCellMar>
            <w:left w:w="150" w:type="dxa"/>
            <w:right w:w="150" w:type="dxa"/>
          </w:tblCellMar>
        </w:tblPrEx>
        <w:tc>
          <w:tcPr>
            <w:tcW w:w="688" w:type="pct"/>
          </w:tcPr>
          <w:p w14:paraId="09E8CF89" w14:textId="77777777" w:rsidR="00D94935" w:rsidRPr="0023482E" w:rsidRDefault="00D94935" w:rsidP="003A681D">
            <w:pPr>
              <w:pStyle w:val="TableText10"/>
            </w:pPr>
            <w:r w:rsidRPr="0023482E">
              <w:t>4</w:t>
            </w:r>
          </w:p>
        </w:tc>
        <w:tc>
          <w:tcPr>
            <w:tcW w:w="1094" w:type="pct"/>
          </w:tcPr>
          <w:p w14:paraId="436E7729" w14:textId="77777777" w:rsidR="00D94935" w:rsidRPr="0023482E" w:rsidRDefault="00D94935" w:rsidP="003A681D">
            <w:pPr>
              <w:pStyle w:val="TableText10"/>
            </w:pPr>
            <w:r w:rsidRPr="0023482E">
              <w:t>relevant council</w:t>
            </w:r>
          </w:p>
        </w:tc>
        <w:tc>
          <w:tcPr>
            <w:tcW w:w="1268" w:type="pct"/>
          </w:tcPr>
          <w:p w14:paraId="7FDE492A" w14:textId="77777777" w:rsidR="00D94935" w:rsidRPr="0023482E" w:rsidRDefault="00D94935" w:rsidP="003A681D">
            <w:pPr>
              <w:pStyle w:val="TableText10"/>
            </w:pPr>
            <w:r w:rsidRPr="0023482E">
              <w:t xml:space="preserve">Full Court </w:t>
            </w:r>
          </w:p>
        </w:tc>
        <w:tc>
          <w:tcPr>
            <w:tcW w:w="1950" w:type="pct"/>
          </w:tcPr>
          <w:p w14:paraId="0DA9D855" w14:textId="3B2A6F3D" w:rsidR="00D94935" w:rsidRPr="0023482E" w:rsidRDefault="001542D1" w:rsidP="003A681D">
            <w:pPr>
              <w:pStyle w:val="TableText10"/>
            </w:pPr>
            <w:hyperlink r:id="rId648" w:tooltip="A2006-25" w:history="1">
              <w:r w:rsidR="00D94935" w:rsidRPr="0023482E">
                <w:rPr>
                  <w:rStyle w:val="charCitHyperlinkItal"/>
                </w:rPr>
                <w:t>Legal Profession Act 2006</w:t>
              </w:r>
            </w:hyperlink>
            <w:r w:rsidR="00D94935" w:rsidRPr="0023482E">
              <w:t>, s 81</w:t>
            </w:r>
          </w:p>
        </w:tc>
      </w:tr>
      <w:tr w:rsidR="00D94935" w:rsidRPr="00403BD1" w14:paraId="39E25DC0" w14:textId="77777777" w:rsidTr="003A681D">
        <w:tblPrEx>
          <w:tblCellMar>
            <w:left w:w="150" w:type="dxa"/>
            <w:right w:w="150" w:type="dxa"/>
          </w:tblCellMar>
        </w:tblPrEx>
        <w:trPr>
          <w:cantSplit/>
        </w:trPr>
        <w:tc>
          <w:tcPr>
            <w:tcW w:w="688" w:type="pct"/>
          </w:tcPr>
          <w:p w14:paraId="7FFBC60A" w14:textId="77777777" w:rsidR="00D94935" w:rsidRPr="0023482E" w:rsidRDefault="00D94935" w:rsidP="003A681D">
            <w:pPr>
              <w:pStyle w:val="TableText10"/>
            </w:pPr>
            <w:r w:rsidRPr="0023482E">
              <w:t>5</w:t>
            </w:r>
          </w:p>
        </w:tc>
        <w:tc>
          <w:tcPr>
            <w:tcW w:w="1094" w:type="pct"/>
          </w:tcPr>
          <w:p w14:paraId="78E96331" w14:textId="77777777" w:rsidR="00D94935" w:rsidRPr="0023482E" w:rsidRDefault="00D94935" w:rsidP="003A681D">
            <w:pPr>
              <w:pStyle w:val="TableText10"/>
            </w:pPr>
            <w:r w:rsidRPr="0023482E">
              <w:t>law society council or relevant council</w:t>
            </w:r>
          </w:p>
        </w:tc>
        <w:tc>
          <w:tcPr>
            <w:tcW w:w="1268" w:type="pct"/>
          </w:tcPr>
          <w:p w14:paraId="2C8F4EDB" w14:textId="77777777" w:rsidR="00D94935" w:rsidRPr="0023482E" w:rsidRDefault="00D94935" w:rsidP="003A681D">
            <w:pPr>
              <w:pStyle w:val="TableText10"/>
            </w:pPr>
            <w:r w:rsidRPr="0023482E">
              <w:t>judge</w:t>
            </w:r>
          </w:p>
        </w:tc>
        <w:tc>
          <w:tcPr>
            <w:tcW w:w="1950" w:type="pct"/>
          </w:tcPr>
          <w:p w14:paraId="10D0EB5F" w14:textId="4D61716C" w:rsidR="00D94935" w:rsidRPr="0023482E" w:rsidRDefault="001542D1" w:rsidP="003A681D">
            <w:pPr>
              <w:pStyle w:val="TableText10"/>
            </w:pPr>
            <w:hyperlink r:id="rId649"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14:paraId="572B55D1" w14:textId="77777777" w:rsidTr="003A681D">
        <w:tblPrEx>
          <w:tblCellMar>
            <w:left w:w="150" w:type="dxa"/>
            <w:right w:w="150" w:type="dxa"/>
          </w:tblCellMar>
        </w:tblPrEx>
        <w:trPr>
          <w:cantSplit/>
        </w:trPr>
        <w:tc>
          <w:tcPr>
            <w:tcW w:w="688" w:type="pct"/>
          </w:tcPr>
          <w:p w14:paraId="3C33581B" w14:textId="77777777" w:rsidR="00D94935" w:rsidRPr="00403BD1" w:rsidRDefault="00D94935" w:rsidP="003A681D">
            <w:pPr>
              <w:pStyle w:val="TableText10"/>
            </w:pPr>
            <w:r>
              <w:t>6</w:t>
            </w:r>
          </w:p>
        </w:tc>
        <w:tc>
          <w:tcPr>
            <w:tcW w:w="1094" w:type="pct"/>
          </w:tcPr>
          <w:p w14:paraId="18C7D6FB" w14:textId="77777777" w:rsidR="00D94935" w:rsidRPr="00403BD1" w:rsidRDefault="00D94935" w:rsidP="003A681D">
            <w:pPr>
              <w:pStyle w:val="TableText10"/>
            </w:pPr>
            <w:r w:rsidRPr="00403BD1">
              <w:t>Magistrates Court</w:t>
            </w:r>
          </w:p>
        </w:tc>
        <w:tc>
          <w:tcPr>
            <w:tcW w:w="1268" w:type="pct"/>
          </w:tcPr>
          <w:p w14:paraId="458F267D" w14:textId="296DCCD3" w:rsidR="00D94935" w:rsidRPr="00403BD1" w:rsidRDefault="00D94935" w:rsidP="003A681D">
            <w:pPr>
              <w:pStyle w:val="TableText10"/>
            </w:pPr>
            <w:r w:rsidRPr="00403BD1">
              <w:t>judge</w:t>
            </w:r>
          </w:p>
        </w:tc>
        <w:tc>
          <w:tcPr>
            <w:tcW w:w="1950" w:type="pct"/>
          </w:tcPr>
          <w:p w14:paraId="1FC451F1" w14:textId="481F6333" w:rsidR="00DE6187" w:rsidRPr="00510424" w:rsidRDefault="001542D1" w:rsidP="00DE6187">
            <w:pPr>
              <w:pStyle w:val="aNoteTextss"/>
              <w:ind w:left="0"/>
            </w:pPr>
            <w:hyperlink r:id="rId650"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14:paraId="49885DCC" w14:textId="25A90C93" w:rsidR="00DE6187" w:rsidRPr="00510424" w:rsidRDefault="001542D1" w:rsidP="00DE6187">
            <w:pPr>
              <w:pStyle w:val="aNoteTextss"/>
              <w:ind w:left="0"/>
            </w:pPr>
            <w:hyperlink r:id="rId651" w:tooltip="A2016-42" w:history="1">
              <w:r w:rsidR="00DE6187" w:rsidRPr="00510424">
                <w:rPr>
                  <w:rStyle w:val="charCitHyperlinkItal"/>
                </w:rPr>
                <w:t>Family Violence Act 2016</w:t>
              </w:r>
            </w:hyperlink>
            <w:r w:rsidR="00DE6187" w:rsidRPr="00510424">
              <w:rPr>
                <w:rStyle w:val="charCitHyperlinkItal"/>
                <w:i w:val="0"/>
              </w:rPr>
              <w:t>, s 93</w:t>
            </w:r>
          </w:p>
          <w:p w14:paraId="0F832D62" w14:textId="7299C06C" w:rsidR="00DE6187" w:rsidRPr="00510424" w:rsidRDefault="001542D1" w:rsidP="00DE6187">
            <w:pPr>
              <w:pStyle w:val="aNoteTextss"/>
              <w:ind w:left="0"/>
            </w:pPr>
            <w:hyperlink r:id="rId652" w:tooltip="A1997-125" w:history="1">
              <w:r w:rsidR="00DE6187" w:rsidRPr="00510424">
                <w:rPr>
                  <w:rStyle w:val="charCitHyperlinkItal"/>
                </w:rPr>
                <w:t>Health Records (Privacy and Access) Act 1997</w:t>
              </w:r>
            </w:hyperlink>
            <w:r w:rsidR="00DE6187" w:rsidRPr="00510424">
              <w:t>, s 32 (1)</w:t>
            </w:r>
          </w:p>
          <w:p w14:paraId="3670CD03" w14:textId="083D6106" w:rsidR="00DE6187" w:rsidRPr="00510424" w:rsidRDefault="001542D1" w:rsidP="00DE6187">
            <w:pPr>
              <w:pStyle w:val="aNoteTextss"/>
              <w:ind w:left="0"/>
            </w:pPr>
            <w:hyperlink r:id="rId653" w:tooltip="A2001-18" w:history="1">
              <w:r w:rsidR="00DE6187" w:rsidRPr="00510424">
                <w:rPr>
                  <w:rStyle w:val="charCitHyperlinkItal"/>
                </w:rPr>
                <w:t>Leases (Commercial and Retail) Act 2001</w:t>
              </w:r>
            </w:hyperlink>
            <w:r w:rsidR="00DE6187" w:rsidRPr="00510424">
              <w:t>, s 155</w:t>
            </w:r>
          </w:p>
          <w:p w14:paraId="2075BFB6" w14:textId="1AC8E625" w:rsidR="00DE6187" w:rsidRPr="00510424" w:rsidRDefault="001542D1" w:rsidP="00DE6187">
            <w:pPr>
              <w:pStyle w:val="aNoteTextss"/>
              <w:ind w:left="0"/>
            </w:pPr>
            <w:hyperlink r:id="rId654" w:tooltip="A1930-21" w:history="1">
              <w:r w:rsidR="00DE6187" w:rsidRPr="00510424">
                <w:rPr>
                  <w:rStyle w:val="charCitHyperlinkItal"/>
                </w:rPr>
                <w:t>Magistrates Court Act 1930</w:t>
              </w:r>
            </w:hyperlink>
            <w:r w:rsidR="00DE6187" w:rsidRPr="00510424">
              <w:t>, s 274</w:t>
            </w:r>
          </w:p>
          <w:p w14:paraId="604877DD" w14:textId="1E54CE15" w:rsidR="00D94935" w:rsidRPr="00DE6187" w:rsidRDefault="001542D1" w:rsidP="00DE6187">
            <w:pPr>
              <w:pStyle w:val="aNoteTextss"/>
              <w:ind w:left="0"/>
              <w:rPr>
                <w:color w:val="0000FF" w:themeColor="hyperlink"/>
              </w:rPr>
            </w:pPr>
            <w:hyperlink r:id="rId655" w:tooltip="A2016-43" w:history="1">
              <w:r w:rsidR="00DE6187" w:rsidRPr="00510424">
                <w:rPr>
                  <w:rStyle w:val="charCitHyperlinkItal"/>
                </w:rPr>
                <w:t>Personal Violence Act 2016</w:t>
              </w:r>
            </w:hyperlink>
            <w:r w:rsidR="00DE6187" w:rsidRPr="00DE6187">
              <w:t>, s 85</w:t>
            </w:r>
          </w:p>
        </w:tc>
      </w:tr>
      <w:tr w:rsidR="00D94935" w:rsidRPr="00403BD1" w14:paraId="1A98CB50" w14:textId="77777777" w:rsidTr="003A681D">
        <w:tblPrEx>
          <w:tblCellMar>
            <w:left w:w="150" w:type="dxa"/>
            <w:right w:w="150" w:type="dxa"/>
          </w:tblCellMar>
        </w:tblPrEx>
        <w:trPr>
          <w:cantSplit/>
        </w:trPr>
        <w:tc>
          <w:tcPr>
            <w:tcW w:w="688" w:type="pct"/>
          </w:tcPr>
          <w:p w14:paraId="3488086C" w14:textId="77777777" w:rsidR="00D94935" w:rsidRPr="00403BD1" w:rsidRDefault="00D94935" w:rsidP="003A681D">
            <w:pPr>
              <w:pStyle w:val="TableText10"/>
            </w:pPr>
            <w:r>
              <w:t>7</w:t>
            </w:r>
          </w:p>
        </w:tc>
        <w:tc>
          <w:tcPr>
            <w:tcW w:w="1094" w:type="pct"/>
          </w:tcPr>
          <w:p w14:paraId="61B7D460" w14:textId="77777777" w:rsidR="00D94935" w:rsidRPr="00403BD1" w:rsidRDefault="00D94935" w:rsidP="003A681D">
            <w:pPr>
              <w:pStyle w:val="TableText10"/>
            </w:pPr>
            <w:r w:rsidRPr="00403BD1">
              <w:t>Magistrates Court</w:t>
            </w:r>
          </w:p>
        </w:tc>
        <w:tc>
          <w:tcPr>
            <w:tcW w:w="1268" w:type="pct"/>
          </w:tcPr>
          <w:p w14:paraId="645B491B" w14:textId="77777777" w:rsidR="00D94935" w:rsidRPr="00403BD1" w:rsidRDefault="00D94935" w:rsidP="003A681D">
            <w:pPr>
              <w:pStyle w:val="TableText10"/>
            </w:pPr>
            <w:r w:rsidRPr="00403BD1">
              <w:t>judge</w:t>
            </w:r>
          </w:p>
        </w:tc>
        <w:tc>
          <w:tcPr>
            <w:tcW w:w="1950" w:type="pct"/>
          </w:tcPr>
          <w:p w14:paraId="1D106FAC" w14:textId="6A9FFA5D" w:rsidR="00D94935" w:rsidRPr="00403BD1" w:rsidRDefault="001542D1" w:rsidP="003A681D">
            <w:pPr>
              <w:pStyle w:val="TableText10"/>
              <w:rPr>
                <w:rStyle w:val="charItals"/>
                <w:i w:val="0"/>
                <w:iCs/>
              </w:rPr>
            </w:pPr>
            <w:hyperlink r:id="rId656" w:tooltip="A1930-21" w:history="1">
              <w:r w:rsidR="00D94935" w:rsidRPr="006364FA">
                <w:rPr>
                  <w:rStyle w:val="charCitHyperlinkItal"/>
                </w:rPr>
                <w:t>Magistrates Court Act 1930</w:t>
              </w:r>
            </w:hyperlink>
            <w:r w:rsidR="00D94935" w:rsidRPr="00403BD1">
              <w:t>, s 207 (1) (a)</w:t>
            </w:r>
          </w:p>
        </w:tc>
      </w:tr>
    </w:tbl>
    <w:p w14:paraId="72BC8DE2" w14:textId="77777777" w:rsidR="00D94935" w:rsidRDefault="00D94935" w:rsidP="00D94935"/>
    <w:p w14:paraId="469BFE6D" w14:textId="77777777" w:rsidR="00D94935" w:rsidRDefault="00D94935" w:rsidP="00D94935">
      <w:pPr>
        <w:pStyle w:val="AH5Sec"/>
      </w:pPr>
      <w:bookmarkStart w:id="1392" w:name="_Toc185515008"/>
      <w:r w:rsidRPr="00C8328B">
        <w:rPr>
          <w:rStyle w:val="CharSectNo"/>
        </w:rPr>
        <w:t>5052</w:t>
      </w:r>
      <w:r>
        <w:tab/>
        <w:t>Appeals to Supreme Court—general powers</w:t>
      </w:r>
      <w:bookmarkEnd w:id="1392"/>
    </w:p>
    <w:p w14:paraId="697C8804" w14:textId="77777777" w:rsidR="00D94935" w:rsidRDefault="00D94935" w:rsidP="00C5613A">
      <w:pPr>
        <w:pStyle w:val="Amain"/>
        <w:keepNext/>
      </w:pPr>
      <w:r>
        <w:tab/>
        <w:t>(1)</w:t>
      </w:r>
      <w:r>
        <w:tab/>
        <w:t>For an appeal to the Supreme Court, the court—</w:t>
      </w:r>
    </w:p>
    <w:p w14:paraId="697AFB49" w14:textId="77777777" w:rsidR="00D94935" w:rsidRDefault="00D94935" w:rsidP="00D94935">
      <w:pPr>
        <w:pStyle w:val="Apara"/>
      </w:pPr>
      <w:r>
        <w:tab/>
        <w:t>(a)</w:t>
      </w:r>
      <w:r>
        <w:tab/>
        <w:t>has all the powers and duties of the court or tribunal that made the order appealed from; and</w:t>
      </w:r>
    </w:p>
    <w:p w14:paraId="2E0706B2" w14:textId="77777777" w:rsidR="00D94935" w:rsidRDefault="00D94935" w:rsidP="00D94935">
      <w:pPr>
        <w:pStyle w:val="Apara"/>
      </w:pPr>
      <w:r>
        <w:tab/>
        <w:t>(b)</w:t>
      </w:r>
      <w:r>
        <w:tab/>
        <w:t>may draw inferences of fact; and</w:t>
      </w:r>
    </w:p>
    <w:p w14:paraId="5E98B912" w14:textId="77777777" w:rsidR="00D94935" w:rsidRDefault="00D94935" w:rsidP="00D94935">
      <w:pPr>
        <w:pStyle w:val="Apara"/>
      </w:pPr>
      <w:r>
        <w:tab/>
        <w:t>(c)</w:t>
      </w:r>
      <w:r>
        <w:tab/>
        <w:t>may, on special grounds, receive further evidence about questions of fact, either orally in court, by affidavit or in another way; and</w:t>
      </w:r>
    </w:p>
    <w:p w14:paraId="2400E2A6" w14:textId="77777777" w:rsidR="00D94935" w:rsidRDefault="00D94935" w:rsidP="00D94935">
      <w:pPr>
        <w:pStyle w:val="Apara"/>
      </w:pPr>
      <w:r>
        <w:lastRenderedPageBreak/>
        <w:tab/>
        <w:t>(d)</w:t>
      </w:r>
      <w:r>
        <w:tab/>
        <w:t>may make any of the following orders:</w:t>
      </w:r>
    </w:p>
    <w:p w14:paraId="5103BE7D" w14:textId="77777777" w:rsidR="00D94935" w:rsidRDefault="00D94935" w:rsidP="00D94935">
      <w:pPr>
        <w:pStyle w:val="Asubpara"/>
      </w:pPr>
      <w:r>
        <w:tab/>
        <w:t>(i)</w:t>
      </w:r>
      <w:r>
        <w:tab/>
        <w:t>an order confirming, amending or setting aside the order of the court or tribunal appealed from;</w:t>
      </w:r>
    </w:p>
    <w:p w14:paraId="17AFA67E" w14:textId="77777777"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14:paraId="4892E486" w14:textId="77777777" w:rsidR="00D94935" w:rsidRDefault="00D94935" w:rsidP="00D94935">
      <w:pPr>
        <w:pStyle w:val="Apara"/>
      </w:pPr>
      <w:r>
        <w:tab/>
        <w:t>(e)</w:t>
      </w:r>
      <w:r>
        <w:tab/>
        <w:t>may make any other order that it considers appropriate.</w:t>
      </w:r>
    </w:p>
    <w:p w14:paraId="4655BDB9" w14:textId="77777777"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14:paraId="625C4243" w14:textId="77777777"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14:paraId="0866FF4D"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25CE338"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7085C8A9"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576FFC32"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7E2AED4A"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4FDE3C00"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1BB09941" w14:textId="77777777"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14:paraId="60F41081" w14:textId="77777777" w:rsidR="00D94935" w:rsidRDefault="00D94935" w:rsidP="00D94935">
      <w:pPr>
        <w:pStyle w:val="AH5Sec"/>
      </w:pPr>
      <w:bookmarkStart w:id="1393" w:name="_Toc185515009"/>
      <w:r w:rsidRPr="00C8328B">
        <w:rPr>
          <w:rStyle w:val="CharSectNo"/>
        </w:rPr>
        <w:t>5053</w:t>
      </w:r>
      <w:r>
        <w:tab/>
        <w:t>Appeals to Supreme Court—non-publication order</w:t>
      </w:r>
      <w:bookmarkEnd w:id="1393"/>
    </w:p>
    <w:p w14:paraId="0E2A000E" w14:textId="77777777" w:rsidR="00D94935" w:rsidRDefault="00D94935" w:rsidP="007E65A0">
      <w:pPr>
        <w:pStyle w:val="Amain"/>
        <w:keepNext/>
      </w:pPr>
      <w:r>
        <w:tab/>
        <w:t>(1)</w:t>
      </w:r>
      <w:r>
        <w:tab/>
        <w:t>This rule applies if—</w:t>
      </w:r>
    </w:p>
    <w:p w14:paraId="7C50CEBB" w14:textId="77777777"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14:paraId="4317DE3C" w14:textId="77777777" w:rsidR="00D94935" w:rsidRDefault="00D94935" w:rsidP="00D94935">
      <w:pPr>
        <w:pStyle w:val="Apara"/>
      </w:pPr>
      <w:r>
        <w:tab/>
        <w:t>(b)</w:t>
      </w:r>
      <w:r>
        <w:tab/>
        <w:t>the non-publication order has not been discharged by the court or tribunal or by the Supreme Court.</w:t>
      </w:r>
    </w:p>
    <w:p w14:paraId="05B578D8" w14:textId="77777777"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14:paraId="1DE9B0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9180FDB" w14:textId="77777777" w:rsidR="00D94935" w:rsidRDefault="00D94935" w:rsidP="00D94935">
      <w:pPr>
        <w:pStyle w:val="Amain"/>
        <w:keepNext/>
      </w:pPr>
      <w:r>
        <w:tab/>
        <w:t>(3)</w:t>
      </w:r>
      <w:r>
        <w:tab/>
        <w:t>In this rule:</w:t>
      </w:r>
    </w:p>
    <w:p w14:paraId="1B24FACF" w14:textId="77777777" w:rsidR="00D94935" w:rsidRDefault="00D94935" w:rsidP="00D94935">
      <w:pPr>
        <w:pStyle w:val="aDef"/>
      </w:pPr>
      <w:r>
        <w:rPr>
          <w:rStyle w:val="charBoldItals"/>
        </w:rPr>
        <w:t>party</w:t>
      </w:r>
      <w:r>
        <w:t xml:space="preserve"> means a party to the proceeding in which the order appealed from was made.</w:t>
      </w:r>
    </w:p>
    <w:p w14:paraId="74B69E27" w14:textId="77777777" w:rsidR="00D94935" w:rsidRDefault="00D94935" w:rsidP="00D94935">
      <w:pPr>
        <w:pStyle w:val="AH5Sec"/>
      </w:pPr>
      <w:bookmarkStart w:id="1394" w:name="_Toc185515010"/>
      <w:r w:rsidRPr="00C8328B">
        <w:rPr>
          <w:rStyle w:val="CharSectNo"/>
        </w:rPr>
        <w:t>5054</w:t>
      </w:r>
      <w:r>
        <w:tab/>
        <w:t>Appeals to Supreme Court—stay and reinstatement</w:t>
      </w:r>
      <w:bookmarkEnd w:id="1394"/>
    </w:p>
    <w:p w14:paraId="1CDE3EE6" w14:textId="77777777" w:rsidR="00D94935" w:rsidRDefault="00D94935" w:rsidP="00D94935">
      <w:pPr>
        <w:pStyle w:val="Amain"/>
      </w:pPr>
      <w:r>
        <w:tab/>
        <w:t>(1)</w:t>
      </w:r>
      <w:r>
        <w:tab/>
        <w:t>An appeal to the Supreme Court in a civil proceeding does not operate as a stay of the order of the court or tribunal appealed from unless—</w:t>
      </w:r>
    </w:p>
    <w:p w14:paraId="151FB36E" w14:textId="77777777" w:rsidR="00D94935" w:rsidRDefault="00D94935" w:rsidP="00D94935">
      <w:pPr>
        <w:pStyle w:val="Apara"/>
      </w:pPr>
      <w:r>
        <w:tab/>
        <w:t>(a)</w:t>
      </w:r>
      <w:r>
        <w:tab/>
        <w:t>the relevant law or these rules otherwise provide; or</w:t>
      </w:r>
    </w:p>
    <w:p w14:paraId="7C334D70" w14:textId="77777777" w:rsidR="00D94935" w:rsidRDefault="00D94935" w:rsidP="00D94935">
      <w:pPr>
        <w:pStyle w:val="Apara"/>
      </w:pPr>
      <w:r>
        <w:tab/>
        <w:t>(b)</w:t>
      </w:r>
      <w:r>
        <w:tab/>
        <w:t>in any other case—</w:t>
      </w:r>
    </w:p>
    <w:p w14:paraId="572EB0A8" w14:textId="77777777" w:rsidR="00D94935" w:rsidRDefault="00D94935" w:rsidP="00D94935">
      <w:pPr>
        <w:pStyle w:val="Asubpara"/>
      </w:pPr>
      <w:r>
        <w:tab/>
        <w:t>(i)</w:t>
      </w:r>
      <w:r>
        <w:tab/>
        <w:t>the court or tribunal, under another territory law, orders a stay of the order; or</w:t>
      </w:r>
    </w:p>
    <w:p w14:paraId="353BF752" w14:textId="77777777" w:rsidR="00D94935" w:rsidRDefault="00D94935" w:rsidP="00D94935">
      <w:pPr>
        <w:pStyle w:val="Asubpara"/>
      </w:pPr>
      <w:r>
        <w:tab/>
        <w:t>(ii)</w:t>
      </w:r>
      <w:r>
        <w:tab/>
        <w:t>the Supreme Court orders a stay of the order on application by a party to the appeal.</w:t>
      </w:r>
    </w:p>
    <w:p w14:paraId="588BD9E8"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14:paraId="08338050" w14:textId="77777777" w:rsidR="00D94935" w:rsidRDefault="00D94935" w:rsidP="00D94935">
      <w:pPr>
        <w:pStyle w:val="Amain"/>
      </w:pPr>
      <w:r>
        <w:tab/>
        <w:t>(2)</w:t>
      </w:r>
      <w:r>
        <w:tab/>
        <w:t>In an urgent case, an application to the Supreme Court for a stay may be made without serving it on anyone.</w:t>
      </w:r>
    </w:p>
    <w:p w14:paraId="3ACE272C" w14:textId="77777777"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14:paraId="11C19FF9" w14:textId="77777777"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14:paraId="4C22D6E4" w14:textId="77777777" w:rsidR="00D94935" w:rsidRDefault="00D94935" w:rsidP="00D94935">
      <w:pPr>
        <w:pStyle w:val="aExamHdgss"/>
      </w:pPr>
      <w:r>
        <w:t>Examples</w:t>
      </w:r>
    </w:p>
    <w:p w14:paraId="6F9AD4F2" w14:textId="77777777"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14:paraId="21E84C3D" w14:textId="77777777"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14:paraId="67C1919B" w14:textId="4A7251CD" w:rsidR="00D94935" w:rsidRDefault="00D94935" w:rsidP="00D94935">
      <w:pPr>
        <w:pStyle w:val="Amain"/>
      </w:pPr>
      <w:r>
        <w:tab/>
        <w:t>(5)</w:t>
      </w:r>
      <w:r>
        <w:tab/>
        <w:t>If an appeal mentioned in the</w:t>
      </w:r>
      <w:r>
        <w:rPr>
          <w:rStyle w:val="charItals"/>
        </w:rPr>
        <w:t xml:space="preserve"> </w:t>
      </w:r>
      <w:hyperlink r:id="rId657" w:tooltip="A1930-21" w:history="1">
        <w:r w:rsidRPr="006364FA">
          <w:rPr>
            <w:rStyle w:val="charCitHyperlinkItal"/>
          </w:rPr>
          <w:t>Magistrates Court Act 1930</w:t>
        </w:r>
      </w:hyperlink>
      <w:r>
        <w:t>, section 207 (1) (a) (Jurisdiction of Supreme Court) has been properly started—</w:t>
      </w:r>
    </w:p>
    <w:p w14:paraId="07FBD229" w14:textId="77777777" w:rsidR="00D94935" w:rsidRDefault="00D94935" w:rsidP="00D94935">
      <w:pPr>
        <w:pStyle w:val="Apara"/>
      </w:pPr>
      <w:r>
        <w:tab/>
        <w:t>(a)</w:t>
      </w:r>
      <w:r>
        <w:tab/>
        <w:t>the enforcement of the order appealed from is stayed until the appeal ends, is abandoned or discontinued; and</w:t>
      </w:r>
    </w:p>
    <w:p w14:paraId="62BA231E" w14:textId="77777777" w:rsidR="00D94935" w:rsidRDefault="00D94935" w:rsidP="00D94935">
      <w:pPr>
        <w:pStyle w:val="Apara"/>
      </w:pPr>
      <w:r>
        <w:tab/>
        <w:t>(b)</w:t>
      </w:r>
      <w:r>
        <w:tab/>
        <w:t>if the appellant is in custody and is not detained for any other reason, the appellant—</w:t>
      </w:r>
    </w:p>
    <w:p w14:paraId="19E226E5" w14:textId="39C89601" w:rsidR="00D94935" w:rsidRDefault="00D94935" w:rsidP="00D94935">
      <w:pPr>
        <w:pStyle w:val="Asubpara"/>
      </w:pPr>
      <w:r>
        <w:tab/>
        <w:t>(i)</w:t>
      </w:r>
      <w:r>
        <w:tab/>
        <w:t xml:space="preserve">may be granted bail under the </w:t>
      </w:r>
      <w:hyperlink r:id="rId658" w:tooltip="A1992-8" w:history="1">
        <w:r w:rsidRPr="006364FA">
          <w:rPr>
            <w:rStyle w:val="charCitHyperlinkItal"/>
          </w:rPr>
          <w:t>Bail Act 1992</w:t>
        </w:r>
      </w:hyperlink>
      <w:r>
        <w:t>; or</w:t>
      </w:r>
    </w:p>
    <w:p w14:paraId="13FACF60" w14:textId="77777777"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14:paraId="17F2417C" w14:textId="77777777" w:rsidR="00D94935" w:rsidRDefault="00D94935" w:rsidP="00D94935">
      <w:pPr>
        <w:pStyle w:val="Amain"/>
        <w:keepNext/>
      </w:pPr>
      <w:r>
        <w:tab/>
        <w:t>(6)</w:t>
      </w:r>
      <w:r>
        <w:tab/>
        <w:t>The Supreme Court may, by order, amend or set aside—</w:t>
      </w:r>
    </w:p>
    <w:p w14:paraId="43C700F2" w14:textId="77777777" w:rsidR="00D94935" w:rsidRDefault="00D94935" w:rsidP="00D94935">
      <w:pPr>
        <w:pStyle w:val="Apara"/>
      </w:pPr>
      <w:r>
        <w:tab/>
        <w:t>(a)</w:t>
      </w:r>
      <w:r>
        <w:tab/>
        <w:t>an order of the court or tribunal staying the order of the court or tribunal appealed from; or</w:t>
      </w:r>
    </w:p>
    <w:p w14:paraId="447C2805" w14:textId="77777777" w:rsidR="00D94935" w:rsidRDefault="00D94935" w:rsidP="00D94935">
      <w:pPr>
        <w:pStyle w:val="Apara"/>
      </w:pPr>
      <w:r>
        <w:tab/>
        <w:t>(b)</w:t>
      </w:r>
      <w:r>
        <w:tab/>
        <w:t>an order made by it under this rule.</w:t>
      </w:r>
    </w:p>
    <w:p w14:paraId="6A181511" w14:textId="77777777" w:rsidR="00D94935" w:rsidRDefault="00D94935" w:rsidP="00D94935">
      <w:pPr>
        <w:pStyle w:val="Amain"/>
      </w:pPr>
      <w:r>
        <w:tab/>
        <w:t>(7)</w:t>
      </w:r>
      <w:r>
        <w:tab/>
        <w:t>An application for an order of the Supreme Court for a stay may be made whether or not a similar application has been made to the court or tribunal.</w:t>
      </w:r>
    </w:p>
    <w:p w14:paraId="38ED116E" w14:textId="77777777"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14:paraId="79C28425" w14:textId="77777777" w:rsidR="00D94935" w:rsidRDefault="00D94935" w:rsidP="00D94935">
      <w:pPr>
        <w:pStyle w:val="AH5Sec"/>
      </w:pPr>
      <w:bookmarkStart w:id="1395" w:name="_Toc185515011"/>
      <w:r w:rsidRPr="00C8328B">
        <w:rPr>
          <w:rStyle w:val="CharSectNo"/>
        </w:rPr>
        <w:t>5055</w:t>
      </w:r>
      <w:r>
        <w:tab/>
        <w:t>Appeals to Supreme Court—security for costs</w:t>
      </w:r>
      <w:bookmarkEnd w:id="1395"/>
    </w:p>
    <w:p w14:paraId="365481D1" w14:textId="77777777" w:rsidR="00D94935" w:rsidRDefault="00D94935" w:rsidP="00D94935">
      <w:pPr>
        <w:pStyle w:val="Amain"/>
      </w:pPr>
      <w:r>
        <w:tab/>
        <w:t>(1)</w:t>
      </w:r>
      <w:r>
        <w:tab/>
        <w:t>Security for costs of an appeal is not required, unless the Supreme Court otherwise orders.</w:t>
      </w:r>
    </w:p>
    <w:p w14:paraId="63050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37E9541" w14:textId="77777777" w:rsidR="00D94935" w:rsidRDefault="00D94935" w:rsidP="00D94935">
      <w:pPr>
        <w:pStyle w:val="Amain"/>
      </w:pPr>
      <w:r>
        <w:tab/>
        <w:t>(2)</w:t>
      </w:r>
      <w:r>
        <w:tab/>
        <w:t>This rule does not limit division 2.17.8 (Security for costs).</w:t>
      </w:r>
    </w:p>
    <w:p w14:paraId="3A30B7B4" w14:textId="77777777" w:rsidR="00D94935" w:rsidRPr="00C8328B" w:rsidRDefault="00D94935" w:rsidP="00D94935">
      <w:pPr>
        <w:pStyle w:val="AH3Div"/>
      </w:pPr>
      <w:bookmarkStart w:id="1396" w:name="_Toc185515012"/>
      <w:r w:rsidRPr="00C8328B">
        <w:rPr>
          <w:rStyle w:val="CharDivNo"/>
        </w:rPr>
        <w:t>Division 5.3.2</w:t>
      </w:r>
      <w:r>
        <w:tab/>
      </w:r>
      <w:r w:rsidRPr="00C8328B">
        <w:rPr>
          <w:rStyle w:val="CharDivText"/>
        </w:rPr>
        <w:t>Appeals to Supreme Court—leave to appeal</w:t>
      </w:r>
      <w:bookmarkEnd w:id="1396"/>
    </w:p>
    <w:p w14:paraId="7A044D1A" w14:textId="77777777" w:rsidR="00D94935" w:rsidRDefault="00D94935" w:rsidP="00D94935">
      <w:pPr>
        <w:pStyle w:val="AH5Sec"/>
      </w:pPr>
      <w:bookmarkStart w:id="1397" w:name="_Toc185515013"/>
      <w:r w:rsidRPr="00C8328B">
        <w:rPr>
          <w:rStyle w:val="CharSectNo"/>
        </w:rPr>
        <w:t>5070</w:t>
      </w:r>
      <w:r>
        <w:tab/>
        <w:t>Application—div 5.3.2</w:t>
      </w:r>
      <w:bookmarkEnd w:id="1397"/>
    </w:p>
    <w:p w14:paraId="120EE10C" w14:textId="77777777" w:rsidR="00D94935" w:rsidRDefault="00D94935" w:rsidP="00D94935">
      <w:pPr>
        <w:pStyle w:val="Amain"/>
      </w:pPr>
      <w:r>
        <w:tab/>
        <w:t>(1)</w:t>
      </w:r>
      <w:r>
        <w:tab/>
        <w:t>This division applies if—</w:t>
      </w:r>
    </w:p>
    <w:p w14:paraId="5FDC53E9" w14:textId="77777777" w:rsidR="00D94935" w:rsidRDefault="00D94935" w:rsidP="00D94935">
      <w:pPr>
        <w:pStyle w:val="Apara"/>
      </w:pPr>
      <w:r>
        <w:tab/>
        <w:t>(a)</w:t>
      </w:r>
      <w:r>
        <w:tab/>
        <w:t>a person wants to appeal to the Supreme Court from an order of a court or tribunal; and</w:t>
      </w:r>
    </w:p>
    <w:p w14:paraId="228C0795" w14:textId="77777777" w:rsidR="00D94935" w:rsidRDefault="00D94935" w:rsidP="00D94935">
      <w:pPr>
        <w:pStyle w:val="Apara"/>
      </w:pPr>
      <w:r>
        <w:tab/>
        <w:t>(b)</w:t>
      </w:r>
      <w:r>
        <w:tab/>
        <w:t>the relevant law requires the Supreme Court’s leave to appeal.</w:t>
      </w:r>
    </w:p>
    <w:p w14:paraId="710BB538" w14:textId="77777777" w:rsidR="00D94935" w:rsidRDefault="00D94935" w:rsidP="00C5613A">
      <w:pPr>
        <w:pStyle w:val="Amain"/>
        <w:keepNext/>
      </w:pPr>
      <w:r>
        <w:tab/>
        <w:t>(2)</w:t>
      </w:r>
      <w:r>
        <w:tab/>
        <w:t>The person must make an application for leave to appeal under this division.</w:t>
      </w:r>
    </w:p>
    <w:p w14:paraId="69341A3B" w14:textId="77777777"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14:paraId="0EDF3110" w14:textId="395A6179"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9" w:tooltip="A2008-35" w:history="1">
        <w:r w:rsidRPr="006364FA">
          <w:rPr>
            <w:rStyle w:val="charCitHyperlinkItal"/>
          </w:rPr>
          <w:t>ACT Civil and Administrative Tribunal Act 2008</w:t>
        </w:r>
      </w:hyperlink>
      <w:r w:rsidRPr="00BB65FC">
        <w:t>, s 86 (Appeals to Supreme Court)</w:t>
      </w:r>
      <w:r>
        <w:t>)</w:t>
      </w:r>
    </w:p>
    <w:p w14:paraId="2369EE4F" w14:textId="2D507228"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60" w:tooltip="A1930-21" w:history="1">
        <w:r w:rsidRPr="006364FA">
          <w:rPr>
            <w:rStyle w:val="charCitHyperlinkItal"/>
          </w:rPr>
          <w:t>Magistrates Court Act 1930</w:t>
        </w:r>
      </w:hyperlink>
      <w:r w:rsidRPr="00BB65FC">
        <w:t>, s 274 (1) (Cases in which appeal may be brought)).</w:t>
      </w:r>
    </w:p>
    <w:p w14:paraId="31E808B8" w14:textId="77777777" w:rsidR="00D94935" w:rsidRDefault="00D94935" w:rsidP="00D94935">
      <w:pPr>
        <w:pStyle w:val="AH5Sec"/>
      </w:pPr>
      <w:bookmarkStart w:id="1398" w:name="_Toc185515014"/>
      <w:r w:rsidRPr="00C8328B">
        <w:rPr>
          <w:rStyle w:val="CharSectNo"/>
        </w:rPr>
        <w:lastRenderedPageBreak/>
        <w:t>5071</w:t>
      </w:r>
      <w:r>
        <w:tab/>
        <w:t>Appeals to Supreme Court—application for leave to appeal</w:t>
      </w:r>
      <w:bookmarkEnd w:id="1398"/>
    </w:p>
    <w:p w14:paraId="2DA34147" w14:textId="77777777" w:rsidR="00D94935" w:rsidRDefault="00D94935" w:rsidP="00D94935">
      <w:pPr>
        <w:pStyle w:val="Amain"/>
      </w:pPr>
      <w:r>
        <w:tab/>
        <w:t>(1)</w:t>
      </w:r>
      <w:r>
        <w:tab/>
        <w:t>The application for leave to appeal must comply with this division.</w:t>
      </w:r>
    </w:p>
    <w:p w14:paraId="6B0C10BD" w14:textId="40E18482"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61" w:history="1">
        <w:r w:rsidRPr="003E4891">
          <w:rPr>
            <w:rStyle w:val="charCitHyperlinkAbbrev"/>
          </w:rPr>
          <w:t>AF2006-386</w:t>
        </w:r>
      </w:hyperlink>
      <w:r>
        <w:t>.</w:t>
      </w:r>
    </w:p>
    <w:p w14:paraId="48EB1B98"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7E8E76A6" w14:textId="77777777" w:rsidR="00D94935" w:rsidRDefault="00D94935" w:rsidP="00D94935">
      <w:pPr>
        <w:pStyle w:val="Amain"/>
      </w:pPr>
      <w:r>
        <w:tab/>
        <w:t>(2)</w:t>
      </w:r>
      <w:r>
        <w:tab/>
        <w:t>The application must be accompanied by—</w:t>
      </w:r>
    </w:p>
    <w:p w14:paraId="3A6AB5BE" w14:textId="77777777" w:rsidR="00D94935" w:rsidRDefault="00D94935" w:rsidP="00D94935">
      <w:pPr>
        <w:pStyle w:val="Apara"/>
      </w:pPr>
      <w:r>
        <w:tab/>
        <w:t>(a)</w:t>
      </w:r>
      <w:r>
        <w:tab/>
        <w:t>an affidavit showing—</w:t>
      </w:r>
    </w:p>
    <w:p w14:paraId="2ACB022E" w14:textId="77777777" w:rsidR="00D94935" w:rsidRDefault="00D94935" w:rsidP="00D94935">
      <w:pPr>
        <w:pStyle w:val="Asubpara"/>
      </w:pPr>
      <w:r>
        <w:tab/>
        <w:t>(i)</w:t>
      </w:r>
      <w:r>
        <w:tab/>
        <w:t>the nature of the case; and</w:t>
      </w:r>
    </w:p>
    <w:p w14:paraId="491F757A" w14:textId="77777777" w:rsidR="00D94935" w:rsidRDefault="00D94935" w:rsidP="00D94935">
      <w:pPr>
        <w:pStyle w:val="Asubpara"/>
      </w:pPr>
      <w:r>
        <w:tab/>
        <w:t>(ii)</w:t>
      </w:r>
      <w:r>
        <w:tab/>
        <w:t>the questions involved; and</w:t>
      </w:r>
    </w:p>
    <w:p w14:paraId="56EAB032" w14:textId="77777777" w:rsidR="00D94935" w:rsidRDefault="00D94935" w:rsidP="00D94935">
      <w:pPr>
        <w:pStyle w:val="Asubpara"/>
      </w:pPr>
      <w:r>
        <w:tab/>
        <w:t>(iii)</w:t>
      </w:r>
      <w:r>
        <w:tab/>
        <w:t>the reasons why leave should be given; and</w:t>
      </w:r>
    </w:p>
    <w:p w14:paraId="04765711" w14:textId="77777777" w:rsidR="00D94935" w:rsidRDefault="00D94935" w:rsidP="00D94935">
      <w:pPr>
        <w:pStyle w:val="Apara"/>
      </w:pPr>
      <w:r>
        <w:tab/>
        <w:t>(b)</w:t>
      </w:r>
      <w:r>
        <w:tab/>
        <w:t>the draft notice of appeal.</w:t>
      </w:r>
    </w:p>
    <w:p w14:paraId="4AF6E60A" w14:textId="77777777"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14:paraId="7CE3F6AE"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507B6460" w14:textId="77777777" w:rsidR="00D94935" w:rsidRDefault="00D94935" w:rsidP="00D94935">
      <w:pPr>
        <w:pStyle w:val="AH5Sec"/>
      </w:pPr>
      <w:bookmarkStart w:id="1399" w:name="_Toc185515015"/>
      <w:r w:rsidRPr="00C8328B">
        <w:rPr>
          <w:rStyle w:val="CharSectNo"/>
        </w:rPr>
        <w:lastRenderedPageBreak/>
        <w:t>5072</w:t>
      </w:r>
      <w:r>
        <w:tab/>
        <w:t>Appeals to Supreme Court—time for filing application for leave to appeal</w:t>
      </w:r>
      <w:bookmarkEnd w:id="1399"/>
    </w:p>
    <w:p w14:paraId="28C697C2" w14:textId="77777777" w:rsidR="00D94935" w:rsidRDefault="00D94935" w:rsidP="00803799">
      <w:pPr>
        <w:pStyle w:val="Amainreturn"/>
        <w:keepNext/>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14:paraId="65B8C1FE" w14:textId="77777777" w:rsidR="00D94935" w:rsidRDefault="00D94935" w:rsidP="00803799">
      <w:pPr>
        <w:pStyle w:val="aNote"/>
        <w:keepNext/>
      </w:pPr>
      <w:r w:rsidRPr="006364FA">
        <w:rPr>
          <w:rStyle w:val="charItals"/>
        </w:rPr>
        <w:t>Note 1</w:t>
      </w:r>
      <w:r w:rsidRPr="006364FA">
        <w:rPr>
          <w:rStyle w:val="charItals"/>
        </w:rPr>
        <w:tab/>
      </w:r>
      <w:r>
        <w:t>See r 5103 (Appeals to Supreme Court—time for filing notice of appeal).</w:t>
      </w:r>
    </w:p>
    <w:p w14:paraId="7BF72947"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53F77A3C" w14:textId="2B253A0E"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62" w:tooltip="A2001-14" w:history="1">
        <w:r w:rsidRPr="006364FA">
          <w:rPr>
            <w:rStyle w:val="charCitHyperlinkAbbrev"/>
          </w:rPr>
          <w:t>Legislation Act</w:t>
        </w:r>
      </w:hyperlink>
      <w:r>
        <w:rPr>
          <w:iCs/>
        </w:rPr>
        <w:t>, s 151C).</w:t>
      </w:r>
    </w:p>
    <w:p w14:paraId="581929EF" w14:textId="77777777" w:rsidR="00D94935" w:rsidRDefault="00D94935" w:rsidP="00D94935">
      <w:pPr>
        <w:pStyle w:val="AH5Sec"/>
      </w:pPr>
      <w:bookmarkStart w:id="1400" w:name="_Toc185515016"/>
      <w:r w:rsidRPr="00C8328B">
        <w:rPr>
          <w:rStyle w:val="CharSectNo"/>
        </w:rPr>
        <w:t>5073</w:t>
      </w:r>
      <w:r>
        <w:tab/>
        <w:t>Appeals to Supreme Court—application for leave to appeal to be sealed</w:t>
      </w:r>
      <w:bookmarkEnd w:id="1400"/>
    </w:p>
    <w:p w14:paraId="586AA35E" w14:textId="75EF285F" w:rsidR="00D94935" w:rsidRDefault="00D94935" w:rsidP="00D94935">
      <w:pPr>
        <w:pStyle w:val="Amainreturn"/>
        <w:keepNext/>
      </w:pPr>
      <w:r>
        <w:t xml:space="preserve">The registrar of the Supreme Court must seal </w:t>
      </w:r>
      <w:r w:rsidR="00977B49" w:rsidRPr="00C1177F">
        <w:t>an application for leave to appeal and any filed copies of the application</w:t>
      </w:r>
      <w:r>
        <w:t>.</w:t>
      </w:r>
    </w:p>
    <w:p w14:paraId="0E0A3C6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39BCA498" w14:textId="77777777" w:rsidR="00D94935" w:rsidRDefault="00D94935" w:rsidP="00D94935">
      <w:pPr>
        <w:pStyle w:val="AH5Sec"/>
      </w:pPr>
      <w:bookmarkStart w:id="1401" w:name="_Toc185515017"/>
      <w:r w:rsidRPr="00C8328B">
        <w:rPr>
          <w:rStyle w:val="CharSectNo"/>
        </w:rPr>
        <w:t>5074</w:t>
      </w:r>
      <w:r>
        <w:tab/>
        <w:t>Appeals to Supreme Court—serving application for leave to appeal</w:t>
      </w:r>
      <w:bookmarkEnd w:id="1401"/>
    </w:p>
    <w:p w14:paraId="15033F40" w14:textId="77777777"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389E4089" w14:textId="77777777" w:rsidR="00D94935" w:rsidRDefault="00D94935" w:rsidP="00D94935">
      <w:pPr>
        <w:pStyle w:val="Apara"/>
      </w:pPr>
      <w:r>
        <w:tab/>
        <w:t>(a)</w:t>
      </w:r>
      <w:r>
        <w:tab/>
        <w:t>a sealed copy of the application;</w:t>
      </w:r>
    </w:p>
    <w:p w14:paraId="2A1E89C8" w14:textId="77777777" w:rsidR="00D94935" w:rsidRDefault="00D94935" w:rsidP="00D94935">
      <w:pPr>
        <w:pStyle w:val="Apara"/>
      </w:pPr>
      <w:r>
        <w:tab/>
        <w:t>(b)</w:t>
      </w:r>
      <w:r>
        <w:tab/>
        <w:t>a stamped copy of the accompanying affidavit;</w:t>
      </w:r>
    </w:p>
    <w:p w14:paraId="70989877" w14:textId="77777777" w:rsidR="00D94935" w:rsidRDefault="00D94935" w:rsidP="00D94935">
      <w:pPr>
        <w:pStyle w:val="Apara"/>
      </w:pPr>
      <w:r>
        <w:tab/>
        <w:t>(c)</w:t>
      </w:r>
      <w:r>
        <w:tab/>
        <w:t>a stamped copy of the draft notice of appeal.</w:t>
      </w:r>
    </w:p>
    <w:p w14:paraId="291E1321" w14:textId="77777777" w:rsidR="00D94935" w:rsidRDefault="00D94935" w:rsidP="00803799">
      <w:pPr>
        <w:pStyle w:val="Amain"/>
        <w:keepNext/>
      </w:pPr>
      <w:r>
        <w:lastRenderedPageBreak/>
        <w:tab/>
        <w:t>(2)</w:t>
      </w:r>
      <w:r>
        <w:tab/>
        <w:t>The documents mentioned in subrule (1) must be served—</w:t>
      </w:r>
    </w:p>
    <w:p w14:paraId="01D0A33F" w14:textId="77777777" w:rsidR="00D94935" w:rsidRDefault="00D94935" w:rsidP="00803799">
      <w:pPr>
        <w:pStyle w:val="Apara"/>
        <w:keepNext/>
      </w:pPr>
      <w:r>
        <w:tab/>
        <w:t>(a)</w:t>
      </w:r>
      <w:r>
        <w:tab/>
        <w:t>personally; or</w:t>
      </w:r>
    </w:p>
    <w:p w14:paraId="3C135B9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DAD7012" w14:textId="77777777" w:rsidR="00D94935" w:rsidRDefault="00D94935" w:rsidP="00B72E8D">
      <w:pPr>
        <w:pStyle w:val="Apara"/>
        <w:keepLines/>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11B14692" w14:textId="77777777" w:rsidR="00D94935" w:rsidRDefault="00D94935" w:rsidP="00D94935">
      <w:pPr>
        <w:pStyle w:val="Amain"/>
      </w:pPr>
      <w:r>
        <w:tab/>
        <w:t>(3)</w:t>
      </w:r>
      <w:r>
        <w:tab/>
        <w:t>Part 6.8 (Service) applies to this rule as if a reference to an address for service were a reference to an address for service mentioned in subrule (2) (b).</w:t>
      </w:r>
    </w:p>
    <w:p w14:paraId="58ED1552" w14:textId="77777777" w:rsidR="00D94935" w:rsidRDefault="00D94935" w:rsidP="00D94935">
      <w:pPr>
        <w:pStyle w:val="aNote"/>
      </w:pPr>
      <w:r w:rsidRPr="006364FA">
        <w:rPr>
          <w:rStyle w:val="charItals"/>
        </w:rPr>
        <w:t>Note</w:t>
      </w:r>
      <w:r>
        <w:tab/>
        <w:t>See in particular r 6420 (Ordinary service—address for service).</w:t>
      </w:r>
    </w:p>
    <w:p w14:paraId="1A57D32B" w14:textId="77777777" w:rsidR="00D94935" w:rsidRDefault="00D94935" w:rsidP="00D94935">
      <w:pPr>
        <w:pStyle w:val="AH5Sec"/>
      </w:pPr>
      <w:bookmarkStart w:id="1402" w:name="_Toc185515018"/>
      <w:r w:rsidRPr="00C8328B">
        <w:rPr>
          <w:rStyle w:val="CharSectNo"/>
        </w:rPr>
        <w:t>5075</w:t>
      </w:r>
      <w:r>
        <w:tab/>
        <w:t>Appeals to Supreme Court—notice of intention to respond to application for leave to appeal</w:t>
      </w:r>
      <w:bookmarkEnd w:id="1402"/>
    </w:p>
    <w:p w14:paraId="364CCD12" w14:textId="77777777"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14:paraId="3B640B13" w14:textId="77777777" w:rsidR="00D94935" w:rsidRDefault="00D94935" w:rsidP="00D94935">
      <w:pPr>
        <w:pStyle w:val="Apara"/>
      </w:pPr>
      <w:r>
        <w:tab/>
        <w:t>(a)</w:t>
      </w:r>
      <w:r>
        <w:tab/>
        <w:t>the application were an originating application; and</w:t>
      </w:r>
    </w:p>
    <w:p w14:paraId="0809A216" w14:textId="77777777" w:rsidR="00D94935" w:rsidRDefault="00D94935" w:rsidP="00D94935">
      <w:pPr>
        <w:pStyle w:val="Apara"/>
      </w:pPr>
      <w:r>
        <w:tab/>
        <w:t>(b)</w:t>
      </w:r>
      <w:r>
        <w:tab/>
        <w:t>the respondent were a defendant; and</w:t>
      </w:r>
    </w:p>
    <w:p w14:paraId="749BD2B9" w14:textId="77777777" w:rsidR="00D94935" w:rsidRDefault="00D94935" w:rsidP="00D94935">
      <w:pPr>
        <w:pStyle w:val="Apara"/>
      </w:pPr>
      <w:r>
        <w:tab/>
        <w:t>(c)</w:t>
      </w:r>
      <w:r>
        <w:tab/>
        <w:t>the appellant were the plaintiff; and</w:t>
      </w:r>
    </w:p>
    <w:p w14:paraId="18EFEDE8" w14:textId="77777777" w:rsidR="00D94935" w:rsidRDefault="00D94935" w:rsidP="00D94935">
      <w:pPr>
        <w:pStyle w:val="Apara"/>
      </w:pPr>
      <w:r>
        <w:tab/>
        <w:t>(d)</w:t>
      </w:r>
      <w:r>
        <w:tab/>
        <w:t>any other necessary changes were made.</w:t>
      </w:r>
    </w:p>
    <w:p w14:paraId="4786A9EF" w14:textId="77777777" w:rsidR="00D94935" w:rsidRDefault="00D94935" w:rsidP="00D94935">
      <w:pPr>
        <w:pStyle w:val="Amain"/>
        <w:keepLines/>
      </w:pPr>
      <w:r>
        <w:lastRenderedPageBreak/>
        <w:tab/>
        <w:t>(2)</w:t>
      </w:r>
      <w:r>
        <w:tab/>
        <w:t>To remove any doubt, if the application for leave to appeal is a single application mentioned in rule 5071 (3) (Appeals to Supreme Court—application for leave to appeal), the respondent need only file a single notice of intention to respond.</w:t>
      </w:r>
    </w:p>
    <w:p w14:paraId="143208B3" w14:textId="77777777" w:rsidR="00D94935" w:rsidRDefault="00D94935" w:rsidP="00D94935">
      <w:pPr>
        <w:pStyle w:val="AH5Sec"/>
      </w:pPr>
      <w:bookmarkStart w:id="1403" w:name="_Toc185515019"/>
      <w:r w:rsidRPr="00C8328B">
        <w:rPr>
          <w:rStyle w:val="CharSectNo"/>
        </w:rPr>
        <w:t>5076</w:t>
      </w:r>
      <w:r>
        <w:tab/>
        <w:t>Appeals to Supreme Court—time for filing etc respondent’s affidavits for leave to appeal</w:t>
      </w:r>
      <w:bookmarkEnd w:id="1403"/>
    </w:p>
    <w:p w14:paraId="5E846A75" w14:textId="77777777"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14:paraId="18F4E385"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05C93711" w14:textId="77777777" w:rsidR="00D94935" w:rsidRPr="00C8328B" w:rsidRDefault="00D94935" w:rsidP="00D94935">
      <w:pPr>
        <w:pStyle w:val="AH3Div"/>
      </w:pPr>
      <w:bookmarkStart w:id="1404" w:name="_Toc185515020"/>
      <w:r w:rsidRPr="00C8328B">
        <w:rPr>
          <w:rStyle w:val="CharDivNo"/>
        </w:rPr>
        <w:t>Division 5.3.3</w:t>
      </w:r>
      <w:r>
        <w:tab/>
      </w:r>
      <w:r w:rsidRPr="00C8328B">
        <w:rPr>
          <w:rStyle w:val="CharDivText"/>
        </w:rPr>
        <w:t>Appeals to Supreme Court—leave to appeal out of time</w:t>
      </w:r>
      <w:bookmarkEnd w:id="1404"/>
    </w:p>
    <w:p w14:paraId="1352412C" w14:textId="77777777" w:rsidR="00D94935" w:rsidRDefault="00D94935" w:rsidP="00D94935">
      <w:pPr>
        <w:pStyle w:val="AH5Sec"/>
      </w:pPr>
      <w:bookmarkStart w:id="1405" w:name="_Toc185515021"/>
      <w:r w:rsidRPr="00C8328B">
        <w:rPr>
          <w:rStyle w:val="CharSectNo"/>
        </w:rPr>
        <w:t>5080</w:t>
      </w:r>
      <w:r>
        <w:tab/>
        <w:t xml:space="preserve">Meaning of </w:t>
      </w:r>
      <w:r w:rsidRPr="006364FA">
        <w:rPr>
          <w:rStyle w:val="charItals"/>
        </w:rPr>
        <w:t>out of time</w:t>
      </w:r>
      <w:r>
        <w:t>—div 5.3.3</w:t>
      </w:r>
      <w:bookmarkEnd w:id="1405"/>
    </w:p>
    <w:p w14:paraId="559AFF16" w14:textId="77777777" w:rsidR="00D94935" w:rsidRDefault="00D94935" w:rsidP="00D94935">
      <w:pPr>
        <w:pStyle w:val="Amainreturn"/>
        <w:keepNext/>
      </w:pPr>
      <w:r>
        <w:t>In this division:</w:t>
      </w:r>
    </w:p>
    <w:p w14:paraId="3638E17C" w14:textId="77777777"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14:paraId="3F2F1A81" w14:textId="77777777" w:rsidR="00D94935" w:rsidRDefault="00D94935" w:rsidP="00D94935">
      <w:pPr>
        <w:pStyle w:val="AH5Sec"/>
      </w:pPr>
      <w:bookmarkStart w:id="1406" w:name="_Toc185515022"/>
      <w:r w:rsidRPr="00C8328B">
        <w:rPr>
          <w:rStyle w:val="CharSectNo"/>
        </w:rPr>
        <w:t>5081</w:t>
      </w:r>
      <w:r>
        <w:tab/>
        <w:t>Application—div 5.3.3</w:t>
      </w:r>
      <w:bookmarkEnd w:id="1406"/>
    </w:p>
    <w:p w14:paraId="0D189325" w14:textId="77777777" w:rsidR="00D94935" w:rsidRDefault="00D94935" w:rsidP="00D94935">
      <w:pPr>
        <w:pStyle w:val="Amain"/>
      </w:pPr>
      <w:r>
        <w:tab/>
        <w:t>(1)</w:t>
      </w:r>
      <w:r>
        <w:tab/>
        <w:t>This division applies if a person wants to appeal out of time to the Supreme Court from an order of a court or tribunal.</w:t>
      </w:r>
    </w:p>
    <w:p w14:paraId="02D1A279" w14:textId="77777777" w:rsidR="00D94935" w:rsidRDefault="00D94935" w:rsidP="00D94935">
      <w:pPr>
        <w:pStyle w:val="Amain"/>
      </w:pPr>
      <w:r>
        <w:tab/>
        <w:t>(2)</w:t>
      </w:r>
      <w:r>
        <w:tab/>
        <w:t>The person must make an application for leave to appeal out of time under this division.</w:t>
      </w:r>
    </w:p>
    <w:p w14:paraId="3F52BFFE" w14:textId="77777777" w:rsidR="00D94935" w:rsidRDefault="00D94935" w:rsidP="00D94935">
      <w:pPr>
        <w:pStyle w:val="AH5Sec"/>
      </w:pPr>
      <w:bookmarkStart w:id="1407" w:name="_Toc185515023"/>
      <w:r w:rsidRPr="00C8328B">
        <w:rPr>
          <w:rStyle w:val="CharSectNo"/>
        </w:rPr>
        <w:lastRenderedPageBreak/>
        <w:t>5082</w:t>
      </w:r>
      <w:r>
        <w:tab/>
        <w:t>Appeals to Supreme Court—application for leave to appeal out of time</w:t>
      </w:r>
      <w:bookmarkEnd w:id="1407"/>
    </w:p>
    <w:p w14:paraId="649C4A6A" w14:textId="77777777" w:rsidR="00D94935" w:rsidRDefault="00D94935" w:rsidP="00B72E8D">
      <w:pPr>
        <w:pStyle w:val="Amain"/>
        <w:keepNext/>
      </w:pPr>
      <w:r>
        <w:tab/>
        <w:t>(1)</w:t>
      </w:r>
      <w:r>
        <w:tab/>
        <w:t>The application for leave to appeal out of time must comply with this division.</w:t>
      </w:r>
    </w:p>
    <w:p w14:paraId="5ADFBEDD" w14:textId="46B6EAE0"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63" w:history="1">
        <w:r w:rsidRPr="003E4891">
          <w:rPr>
            <w:rStyle w:val="charCitHyperlinkAbbrev"/>
          </w:rPr>
          <w:t>AF2006-387</w:t>
        </w:r>
      </w:hyperlink>
      <w:r>
        <w:t>.</w:t>
      </w:r>
    </w:p>
    <w:p w14:paraId="54AA15E0"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1C161A4E" w14:textId="77777777" w:rsidR="00D94935" w:rsidRDefault="00D94935" w:rsidP="00D94935">
      <w:pPr>
        <w:pStyle w:val="Amain"/>
      </w:pPr>
      <w:r>
        <w:tab/>
        <w:t>(2)</w:t>
      </w:r>
      <w:r>
        <w:tab/>
        <w:t>The application must be accompanied by—</w:t>
      </w:r>
    </w:p>
    <w:p w14:paraId="16FBD358" w14:textId="77777777" w:rsidR="00D94935" w:rsidRDefault="00D94935" w:rsidP="00D94935">
      <w:pPr>
        <w:pStyle w:val="Apara"/>
      </w:pPr>
      <w:r>
        <w:tab/>
        <w:t>(a)</w:t>
      </w:r>
      <w:r>
        <w:tab/>
        <w:t>an affidavit showing—</w:t>
      </w:r>
    </w:p>
    <w:p w14:paraId="55E78280" w14:textId="77777777" w:rsidR="00D94935" w:rsidRDefault="00D94935" w:rsidP="00D94935">
      <w:pPr>
        <w:pStyle w:val="Asubpara"/>
      </w:pPr>
      <w:r>
        <w:tab/>
        <w:t>(i)</w:t>
      </w:r>
      <w:r>
        <w:tab/>
        <w:t>the nature of the case; and</w:t>
      </w:r>
    </w:p>
    <w:p w14:paraId="2D8656CC" w14:textId="77777777" w:rsidR="00D94935" w:rsidRDefault="00D94935" w:rsidP="00D94935">
      <w:pPr>
        <w:pStyle w:val="Asubpara"/>
      </w:pPr>
      <w:r>
        <w:tab/>
        <w:t>(ii)</w:t>
      </w:r>
      <w:r>
        <w:tab/>
        <w:t>the questions involved; and</w:t>
      </w:r>
    </w:p>
    <w:p w14:paraId="15BC91F9" w14:textId="77777777" w:rsidR="00D94935" w:rsidRDefault="00D94935" w:rsidP="00D94935">
      <w:pPr>
        <w:pStyle w:val="Asubpara"/>
      </w:pPr>
      <w:r>
        <w:tab/>
        <w:t>(iii)</w:t>
      </w:r>
      <w:r>
        <w:tab/>
        <w:t>the reasons why leave should be given; and</w:t>
      </w:r>
    </w:p>
    <w:p w14:paraId="7E38CA54" w14:textId="77777777" w:rsidR="00D94935" w:rsidRDefault="00D94935" w:rsidP="00D94935">
      <w:pPr>
        <w:pStyle w:val="Apara"/>
      </w:pPr>
      <w:r>
        <w:tab/>
        <w:t>(b)</w:t>
      </w:r>
      <w:r>
        <w:tab/>
        <w:t>the draft notice of appeal.</w:t>
      </w:r>
    </w:p>
    <w:p w14:paraId="63B706A7" w14:textId="77777777"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14:paraId="7F872488"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7E917CE0" w14:textId="77777777" w:rsidR="00D94935" w:rsidRDefault="00D94935" w:rsidP="00D94935">
      <w:pPr>
        <w:pStyle w:val="AH5Sec"/>
      </w:pPr>
      <w:bookmarkStart w:id="1408" w:name="_Toc185515024"/>
      <w:r w:rsidRPr="00C8328B">
        <w:rPr>
          <w:rStyle w:val="CharSectNo"/>
        </w:rPr>
        <w:t>5083</w:t>
      </w:r>
      <w:r>
        <w:tab/>
        <w:t>Appeals to Supreme Court—filing application for leave to appeal out of time</w:t>
      </w:r>
      <w:bookmarkEnd w:id="1408"/>
    </w:p>
    <w:p w14:paraId="2E7086CD" w14:textId="77777777"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14:paraId="2DF02FD4" w14:textId="77777777"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14:paraId="7267AB2F" w14:textId="77777777" w:rsidR="00D94935" w:rsidRDefault="00D94935" w:rsidP="00D94935">
      <w:pPr>
        <w:pStyle w:val="AH5Sec"/>
      </w:pPr>
      <w:bookmarkStart w:id="1409" w:name="_Toc185515025"/>
      <w:r w:rsidRPr="00C8328B">
        <w:rPr>
          <w:rStyle w:val="CharSectNo"/>
        </w:rPr>
        <w:lastRenderedPageBreak/>
        <w:t>5084</w:t>
      </w:r>
      <w:r>
        <w:tab/>
        <w:t>Appeals to Supreme Court—application for leave to appeal out of time to be sealed</w:t>
      </w:r>
      <w:bookmarkEnd w:id="1409"/>
    </w:p>
    <w:p w14:paraId="0E1F1BBE" w14:textId="72ECA983" w:rsidR="00D94935" w:rsidRDefault="00D94935" w:rsidP="00D94935">
      <w:pPr>
        <w:pStyle w:val="Amainreturn"/>
        <w:keepNext/>
      </w:pPr>
      <w:r>
        <w:t xml:space="preserve">The registrar of the Supreme Court must seal </w:t>
      </w:r>
      <w:r w:rsidR="00977B49" w:rsidRPr="00C1177F">
        <w:t>an application for leave to appeal out of time and any filed copies of the application</w:t>
      </w:r>
      <w:r>
        <w:t>.</w:t>
      </w:r>
    </w:p>
    <w:p w14:paraId="5A7810A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4B22CAB4" w14:textId="77777777" w:rsidR="00D94935" w:rsidRDefault="00D94935" w:rsidP="00D94935">
      <w:pPr>
        <w:pStyle w:val="AH5Sec"/>
      </w:pPr>
      <w:bookmarkStart w:id="1410" w:name="_Toc185515026"/>
      <w:r w:rsidRPr="00C8328B">
        <w:rPr>
          <w:rStyle w:val="CharSectNo"/>
        </w:rPr>
        <w:t>5085</w:t>
      </w:r>
      <w:r>
        <w:tab/>
        <w:t>Appeals to Supreme Court—serving application for leave to appeal out of time</w:t>
      </w:r>
      <w:bookmarkEnd w:id="1410"/>
    </w:p>
    <w:p w14:paraId="10C7298B" w14:textId="77777777"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43917E48" w14:textId="77777777" w:rsidR="00D94935" w:rsidRDefault="00D94935" w:rsidP="00D94935">
      <w:pPr>
        <w:pStyle w:val="Apara"/>
      </w:pPr>
      <w:r>
        <w:tab/>
        <w:t>(a)</w:t>
      </w:r>
      <w:r>
        <w:tab/>
        <w:t>a sealed copy of the application;</w:t>
      </w:r>
    </w:p>
    <w:p w14:paraId="3FA66041" w14:textId="77777777" w:rsidR="00D94935" w:rsidRDefault="00D94935" w:rsidP="00D94935">
      <w:pPr>
        <w:pStyle w:val="Apara"/>
      </w:pPr>
      <w:r>
        <w:tab/>
        <w:t>(b)</w:t>
      </w:r>
      <w:r>
        <w:tab/>
        <w:t>a stamped copy of the accompanying affidavit;</w:t>
      </w:r>
    </w:p>
    <w:p w14:paraId="6CC77E1E" w14:textId="77777777" w:rsidR="00D94935" w:rsidRDefault="00D94935" w:rsidP="00D94935">
      <w:pPr>
        <w:pStyle w:val="Apara"/>
      </w:pPr>
      <w:r>
        <w:tab/>
        <w:t>(c)</w:t>
      </w:r>
      <w:r>
        <w:tab/>
        <w:t>a stamped copy of the draft notice of appeal.</w:t>
      </w:r>
    </w:p>
    <w:p w14:paraId="3C3E434E" w14:textId="77777777" w:rsidR="00D94935" w:rsidRDefault="00D94935" w:rsidP="00D94935">
      <w:pPr>
        <w:pStyle w:val="Amain"/>
        <w:keepNext/>
      </w:pPr>
      <w:r>
        <w:tab/>
        <w:t>(2)</w:t>
      </w:r>
      <w:r>
        <w:tab/>
        <w:t>The documents mentioned in subrule (1) must be served—</w:t>
      </w:r>
    </w:p>
    <w:p w14:paraId="3BA8CB4C" w14:textId="77777777" w:rsidR="00D94935" w:rsidRDefault="00D94935" w:rsidP="00D94935">
      <w:pPr>
        <w:pStyle w:val="Apara"/>
        <w:keepNext/>
      </w:pPr>
      <w:r>
        <w:tab/>
        <w:t>(a)</w:t>
      </w:r>
      <w:r>
        <w:tab/>
        <w:t>personally; or</w:t>
      </w:r>
    </w:p>
    <w:p w14:paraId="558BF2C8" w14:textId="77777777"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74EDCA21" w14:textId="77777777"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61704E45" w14:textId="77777777"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14:paraId="2C7797B1" w14:textId="77777777" w:rsidR="00D94935" w:rsidRDefault="00D94935" w:rsidP="00D94935">
      <w:pPr>
        <w:pStyle w:val="aNote"/>
      </w:pPr>
      <w:r w:rsidRPr="006364FA">
        <w:rPr>
          <w:rStyle w:val="charItals"/>
        </w:rPr>
        <w:t>Note</w:t>
      </w:r>
      <w:r>
        <w:tab/>
        <w:t>See in particular r 6420 (Ordinary service—address for service).</w:t>
      </w:r>
    </w:p>
    <w:p w14:paraId="030326FD" w14:textId="77777777" w:rsidR="00D94935" w:rsidRDefault="00D94935" w:rsidP="00D94935">
      <w:pPr>
        <w:pStyle w:val="AH5Sec"/>
      </w:pPr>
      <w:bookmarkStart w:id="1411" w:name="_Toc185515027"/>
      <w:r w:rsidRPr="00C8328B">
        <w:rPr>
          <w:rStyle w:val="CharSectNo"/>
        </w:rPr>
        <w:t>5086</w:t>
      </w:r>
      <w:r>
        <w:tab/>
        <w:t>Appeals to Supreme Court—notice of intention to respond to application for leave to appeal out of time</w:t>
      </w:r>
      <w:bookmarkEnd w:id="1411"/>
    </w:p>
    <w:p w14:paraId="2AFB688A" w14:textId="77777777"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14:paraId="09E64B8F" w14:textId="77777777" w:rsidR="00D94935" w:rsidRDefault="00D94935" w:rsidP="00D94935">
      <w:pPr>
        <w:pStyle w:val="Apara"/>
      </w:pPr>
      <w:r>
        <w:tab/>
        <w:t>(a)</w:t>
      </w:r>
      <w:r>
        <w:tab/>
        <w:t>the application were an originating application; and</w:t>
      </w:r>
    </w:p>
    <w:p w14:paraId="62ED53C3" w14:textId="77777777" w:rsidR="00D94935" w:rsidRDefault="00D94935" w:rsidP="00D94935">
      <w:pPr>
        <w:pStyle w:val="Apara"/>
      </w:pPr>
      <w:r>
        <w:tab/>
        <w:t>(b)</w:t>
      </w:r>
      <w:r>
        <w:tab/>
        <w:t>the respondent were a defendant; and</w:t>
      </w:r>
    </w:p>
    <w:p w14:paraId="45B33D20" w14:textId="77777777" w:rsidR="00D94935" w:rsidRDefault="00D94935" w:rsidP="00D94935">
      <w:pPr>
        <w:pStyle w:val="Apara"/>
      </w:pPr>
      <w:r>
        <w:tab/>
        <w:t>(c)</w:t>
      </w:r>
      <w:r>
        <w:tab/>
        <w:t>the appellant were the plaintiff; and</w:t>
      </w:r>
    </w:p>
    <w:p w14:paraId="083CD3F0" w14:textId="77777777" w:rsidR="00D94935" w:rsidRDefault="00D94935" w:rsidP="00D94935">
      <w:pPr>
        <w:pStyle w:val="Apara"/>
      </w:pPr>
      <w:r>
        <w:tab/>
        <w:t>(d)</w:t>
      </w:r>
      <w:r>
        <w:tab/>
        <w:t>any other necessary changes were made.</w:t>
      </w:r>
    </w:p>
    <w:p w14:paraId="209B5377" w14:textId="77777777"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14:paraId="01DDB554" w14:textId="77777777" w:rsidR="00D94935" w:rsidRDefault="00D94935" w:rsidP="00D94935">
      <w:pPr>
        <w:pStyle w:val="AH5Sec"/>
      </w:pPr>
      <w:bookmarkStart w:id="1412" w:name="_Toc185515028"/>
      <w:r w:rsidRPr="00C8328B">
        <w:rPr>
          <w:rStyle w:val="CharSectNo"/>
        </w:rPr>
        <w:t>5087</w:t>
      </w:r>
      <w:r>
        <w:tab/>
        <w:t>Appeals to Supreme Court—time for filing etc respondent’s affidavits for leave to appeal out of time</w:t>
      </w:r>
      <w:bookmarkEnd w:id="1412"/>
    </w:p>
    <w:p w14:paraId="31821ABA" w14:textId="77777777"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14:paraId="674828CA"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5651A858" w14:textId="77777777" w:rsidR="00D94935" w:rsidRPr="00C8328B" w:rsidRDefault="00D94935" w:rsidP="00D94935">
      <w:pPr>
        <w:pStyle w:val="AH3Div"/>
      </w:pPr>
      <w:bookmarkStart w:id="1413" w:name="_Toc185515029"/>
      <w:r w:rsidRPr="00C8328B">
        <w:rPr>
          <w:rStyle w:val="CharDivNo"/>
        </w:rPr>
        <w:lastRenderedPageBreak/>
        <w:t>Division 5.3.4</w:t>
      </w:r>
      <w:r>
        <w:tab/>
      </w:r>
      <w:r w:rsidRPr="00C8328B">
        <w:rPr>
          <w:rStyle w:val="CharDivText"/>
        </w:rPr>
        <w:t>Appeals to Supreme Court—procedure generally</w:t>
      </w:r>
      <w:bookmarkEnd w:id="1413"/>
    </w:p>
    <w:p w14:paraId="15B42571" w14:textId="77777777" w:rsidR="00D94935" w:rsidRDefault="00D94935" w:rsidP="00D94935">
      <w:pPr>
        <w:pStyle w:val="AH5Sec"/>
      </w:pPr>
      <w:bookmarkStart w:id="1414" w:name="_Toc185515030"/>
      <w:r w:rsidRPr="00C8328B">
        <w:rPr>
          <w:rStyle w:val="CharSectNo"/>
        </w:rPr>
        <w:t>5100</w:t>
      </w:r>
      <w:r>
        <w:tab/>
        <w:t>Appeals to Supreme Court—starting appeal</w:t>
      </w:r>
      <w:bookmarkEnd w:id="1414"/>
    </w:p>
    <w:p w14:paraId="3B0D21FD" w14:textId="77777777" w:rsidR="00D94935" w:rsidRDefault="00D94935" w:rsidP="00D94935">
      <w:pPr>
        <w:pStyle w:val="Amainreturn"/>
        <w:keepNext/>
      </w:pPr>
      <w:r>
        <w:t>An appeal may be started in the Supreme Court by filing a notice of appeal in the Supreme Court.</w:t>
      </w:r>
    </w:p>
    <w:p w14:paraId="01DDBAC2" w14:textId="08024853"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64" w:history="1">
        <w:r w:rsidRPr="003867FF">
          <w:rPr>
            <w:rStyle w:val="charCitHyperlinkAbbrev"/>
          </w:rPr>
          <w:t>AF2006</w:t>
        </w:r>
        <w:r w:rsidRPr="003867FF">
          <w:rPr>
            <w:rStyle w:val="charCitHyperlinkAbbrev"/>
          </w:rPr>
          <w:noBreakHyphen/>
          <w:t>388</w:t>
        </w:r>
      </w:hyperlink>
      <w:r>
        <w:t>.</w:t>
      </w:r>
    </w:p>
    <w:p w14:paraId="325261C5" w14:textId="77777777" w:rsidR="00D94935" w:rsidRDefault="00D94935" w:rsidP="00D94935">
      <w:pPr>
        <w:pStyle w:val="AH5Sec"/>
      </w:pPr>
      <w:bookmarkStart w:id="1415" w:name="_Toc185515031"/>
      <w:r w:rsidRPr="00C8328B">
        <w:rPr>
          <w:rStyle w:val="CharSectNo"/>
        </w:rPr>
        <w:t>5101</w:t>
      </w:r>
      <w:r>
        <w:tab/>
        <w:t>Appeals to Supreme Court—requirements for notice of appeal etc</w:t>
      </w:r>
      <w:bookmarkEnd w:id="1415"/>
    </w:p>
    <w:p w14:paraId="1D7D8C60" w14:textId="77777777" w:rsidR="00D94935" w:rsidRDefault="00D94935" w:rsidP="00D94935">
      <w:pPr>
        <w:pStyle w:val="Amain"/>
      </w:pPr>
      <w:r>
        <w:tab/>
        <w:t>(1)</w:t>
      </w:r>
      <w:r>
        <w:tab/>
        <w:t>The notice of appeal to the Supreme Court must state—</w:t>
      </w:r>
    </w:p>
    <w:p w14:paraId="747F0621" w14:textId="77777777" w:rsidR="00D94935" w:rsidRDefault="00D94935" w:rsidP="00D94935">
      <w:pPr>
        <w:pStyle w:val="Apara"/>
      </w:pPr>
      <w:r>
        <w:tab/>
        <w:t>(a)</w:t>
      </w:r>
      <w:r>
        <w:tab/>
        <w:t>the court or tribunal’s name; and</w:t>
      </w:r>
    </w:p>
    <w:p w14:paraId="481B163A" w14:textId="77777777" w:rsidR="00D94935" w:rsidRDefault="00D94935" w:rsidP="00D94935">
      <w:pPr>
        <w:pStyle w:val="Apara"/>
      </w:pPr>
      <w:r>
        <w:tab/>
        <w:t>(b)</w:t>
      </w:r>
      <w:r>
        <w:tab/>
        <w:t>the order of the court or tribunal appealed from and the date of the order; and</w:t>
      </w:r>
    </w:p>
    <w:p w14:paraId="52307AD2" w14:textId="77777777" w:rsidR="00D94935" w:rsidRDefault="00D94935" w:rsidP="00D94935">
      <w:pPr>
        <w:pStyle w:val="Apara"/>
      </w:pPr>
      <w:r>
        <w:tab/>
        <w:t>(c)</w:t>
      </w:r>
      <w:r>
        <w:tab/>
        <w:t>whether the appeal is from all or part of the order; and</w:t>
      </w:r>
    </w:p>
    <w:p w14:paraId="28E4BCA2" w14:textId="77777777" w:rsidR="00D94935" w:rsidRDefault="00D94935" w:rsidP="00D94935">
      <w:pPr>
        <w:pStyle w:val="Apara"/>
      </w:pPr>
      <w:r>
        <w:tab/>
        <w:t>(d)</w:t>
      </w:r>
      <w:r>
        <w:tab/>
        <w:t>if the appeal is from part of the order—the part appealed from; and</w:t>
      </w:r>
    </w:p>
    <w:p w14:paraId="6A254D5E" w14:textId="77777777" w:rsidR="00D94935" w:rsidRDefault="00D94935" w:rsidP="00D94935">
      <w:pPr>
        <w:pStyle w:val="Apara"/>
      </w:pPr>
      <w:r>
        <w:tab/>
        <w:t>(e)</w:t>
      </w:r>
      <w:r>
        <w:tab/>
        <w:t>whether the appellant will seek to put further evidence before the court; and</w:t>
      </w:r>
    </w:p>
    <w:p w14:paraId="34160A08" w14:textId="77777777" w:rsidR="00D94935" w:rsidRDefault="00D94935" w:rsidP="00D94935">
      <w:pPr>
        <w:pStyle w:val="Apara"/>
      </w:pPr>
      <w:r>
        <w:tab/>
        <w:t>(f)</w:t>
      </w:r>
      <w:r>
        <w:tab/>
        <w:t>if further evidence is to be put before the court—briefly the nature of the evidence and what is sought to be proved; and</w:t>
      </w:r>
    </w:p>
    <w:p w14:paraId="4C8BAA8D" w14:textId="77777777"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14:paraId="251AAE4E" w14:textId="77777777" w:rsidR="00D94935" w:rsidRDefault="00D94935" w:rsidP="00D94935">
      <w:pPr>
        <w:pStyle w:val="Apara"/>
      </w:pPr>
      <w:r>
        <w:tab/>
        <w:t>(h)</w:t>
      </w:r>
      <w:r>
        <w:tab/>
        <w:t>the order sought.</w:t>
      </w:r>
    </w:p>
    <w:p w14:paraId="0B9D99F7" w14:textId="77777777" w:rsidR="00D94935" w:rsidRDefault="00D94935" w:rsidP="00B72E8D">
      <w:pPr>
        <w:pStyle w:val="Amain"/>
        <w:keepNext/>
      </w:pPr>
      <w:r>
        <w:lastRenderedPageBreak/>
        <w:tab/>
        <w:t>(2)</w:t>
      </w:r>
      <w:r>
        <w:tab/>
        <w:t>If the appeal is brought by leave of the Supreme Court—</w:t>
      </w:r>
    </w:p>
    <w:p w14:paraId="382851FA" w14:textId="77777777" w:rsidR="00D94935" w:rsidRDefault="00D94935" w:rsidP="00B72E8D">
      <w:pPr>
        <w:pStyle w:val="Apara"/>
        <w:keepNext/>
      </w:pPr>
      <w:r>
        <w:tab/>
        <w:t>(a)</w:t>
      </w:r>
      <w:r>
        <w:tab/>
        <w:t>the notice of appeal must state—</w:t>
      </w:r>
    </w:p>
    <w:p w14:paraId="7DDDB4F7" w14:textId="77777777" w:rsidR="00D94935" w:rsidRDefault="00D94935" w:rsidP="00D94935">
      <w:pPr>
        <w:pStyle w:val="Asubpara"/>
      </w:pPr>
      <w:r>
        <w:tab/>
        <w:t>(i)</w:t>
      </w:r>
      <w:r>
        <w:tab/>
        <w:t>that the appeal is brought by leave; and</w:t>
      </w:r>
    </w:p>
    <w:p w14:paraId="3D745D12" w14:textId="77777777" w:rsidR="00D94935" w:rsidRDefault="00D94935" w:rsidP="00D94935">
      <w:pPr>
        <w:pStyle w:val="Asubpara"/>
      </w:pPr>
      <w:r>
        <w:tab/>
        <w:t>(ii)</w:t>
      </w:r>
      <w:r>
        <w:tab/>
        <w:t>the date of the court order giving leave; and</w:t>
      </w:r>
    </w:p>
    <w:p w14:paraId="34234066" w14:textId="7C300118" w:rsidR="00D94935" w:rsidRDefault="00D94935" w:rsidP="00D94935">
      <w:pPr>
        <w:pStyle w:val="Apara"/>
      </w:pPr>
      <w:r>
        <w:tab/>
        <w:t>(b)</w:t>
      </w:r>
      <w:r>
        <w:tab/>
        <w:t xml:space="preserve">a sealed copy of the order giving leave to appeal must </w:t>
      </w:r>
      <w:r w:rsidR="00FD42A6" w:rsidRPr="00C1177F">
        <w:t>accompany</w:t>
      </w:r>
      <w:r>
        <w:t xml:space="preserve"> the notice of appeal and every copy of the notice of appeal served under rule 5107 (Appeals to Supreme Court—serving notice of appeal).</w:t>
      </w:r>
    </w:p>
    <w:p w14:paraId="476A601F" w14:textId="77777777" w:rsidR="00D94935" w:rsidRDefault="00D94935" w:rsidP="00D94935">
      <w:pPr>
        <w:pStyle w:val="Amain"/>
      </w:pPr>
      <w:r>
        <w:tab/>
        <w:t>(3)</w:t>
      </w:r>
      <w:r>
        <w:tab/>
        <w:t>If the appellant wants to present the appellant’s case in writing under part 5.8 (Written cases), the notice of appeal must state that the appellant wants to do so.</w:t>
      </w:r>
    </w:p>
    <w:p w14:paraId="56F661A6" w14:textId="77777777"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14:paraId="450CF5B8" w14:textId="77777777" w:rsidR="00D94935" w:rsidRDefault="00D94935" w:rsidP="00D94935">
      <w:pPr>
        <w:pStyle w:val="Amain"/>
        <w:keepNext/>
      </w:pPr>
      <w:r>
        <w:tab/>
        <w:t>(5)</w:t>
      </w:r>
      <w:r>
        <w:tab/>
        <w:t>On the hearing of the appeal, the appellant must not, without the Supreme Court’s leave—</w:t>
      </w:r>
    </w:p>
    <w:p w14:paraId="1D3B7A93" w14:textId="77777777" w:rsidR="00D94935" w:rsidRDefault="00D94935" w:rsidP="00D94935">
      <w:pPr>
        <w:pStyle w:val="Apara"/>
        <w:keepNext/>
      </w:pPr>
      <w:r>
        <w:tab/>
        <w:t>(a)</w:t>
      </w:r>
      <w:r>
        <w:tab/>
        <w:t>raise any question that is not stated in the notice of appeal; or</w:t>
      </w:r>
    </w:p>
    <w:p w14:paraId="0DDA0E01" w14:textId="77777777" w:rsidR="00D94935" w:rsidRDefault="00D94935" w:rsidP="00D94935">
      <w:pPr>
        <w:pStyle w:val="Apara"/>
        <w:keepNext/>
      </w:pPr>
      <w:r>
        <w:tab/>
        <w:t>(b)</w:t>
      </w:r>
      <w:r>
        <w:tab/>
        <w:t>rely on any ground in support of the judgment sought that is not stated in the notice of appeal.</w:t>
      </w:r>
    </w:p>
    <w:p w14:paraId="01580379"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889FAE5" w14:textId="77777777" w:rsidR="00D94935" w:rsidRDefault="00D94935" w:rsidP="00D94935">
      <w:pPr>
        <w:pStyle w:val="AH5Sec"/>
      </w:pPr>
      <w:bookmarkStart w:id="1416" w:name="_Toc185515032"/>
      <w:r w:rsidRPr="00C8328B">
        <w:rPr>
          <w:rStyle w:val="CharSectNo"/>
        </w:rPr>
        <w:lastRenderedPageBreak/>
        <w:t>5102</w:t>
      </w:r>
      <w:r>
        <w:tab/>
        <w:t>Appeals to Supreme Court—parties to appeal</w:t>
      </w:r>
      <w:bookmarkEnd w:id="1416"/>
    </w:p>
    <w:p w14:paraId="506AF709" w14:textId="77777777" w:rsidR="00D94935" w:rsidRDefault="00D94935" w:rsidP="00B72E8D">
      <w:pPr>
        <w:pStyle w:val="Amain"/>
        <w:keepNext/>
      </w:pPr>
      <w:r>
        <w:tab/>
        <w:t>(1)</w:t>
      </w:r>
      <w:r>
        <w:tab/>
        <w:t>A person must be included as a respondent to the appeal if the person—</w:t>
      </w:r>
    </w:p>
    <w:p w14:paraId="3294036D" w14:textId="77777777"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14:paraId="73544503" w14:textId="77777777" w:rsidR="00D94935" w:rsidRDefault="00D94935" w:rsidP="00D94935">
      <w:pPr>
        <w:pStyle w:val="Apara"/>
      </w:pPr>
      <w:r>
        <w:tab/>
        <w:t>(b)</w:t>
      </w:r>
      <w:r>
        <w:tab/>
        <w:t>would be directly affected by the order sought by the notice of appeal, or is interested in maintaining the order appealed from.</w:t>
      </w:r>
    </w:p>
    <w:p w14:paraId="02E86AD2" w14:textId="77777777"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14:paraId="2956AEF7" w14:textId="77777777" w:rsidR="00D94935" w:rsidRDefault="00D94935" w:rsidP="00D94935">
      <w:pPr>
        <w:pStyle w:val="Amain"/>
      </w:pPr>
      <w:r>
        <w:tab/>
        <w:t>(3)</w:t>
      </w:r>
      <w:r>
        <w:tab/>
        <w:t>If an unincorporated organisation or association appeared or was given leave to appear before the court or tribunal in the original proceeding—</w:t>
      </w:r>
    </w:p>
    <w:p w14:paraId="7D8307CE" w14:textId="77777777" w:rsidR="00D94935" w:rsidRDefault="00D94935" w:rsidP="00D94935">
      <w:pPr>
        <w:pStyle w:val="Apara"/>
      </w:pPr>
      <w:r>
        <w:tab/>
        <w:t>(a)</w:t>
      </w:r>
      <w:r>
        <w:tab/>
        <w:t>a reference in subrule (1) to a person is a reference to someone acting (other than as a legal practitioner) for the organisation or association; and</w:t>
      </w:r>
    </w:p>
    <w:p w14:paraId="26CF6505" w14:textId="77777777"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14:paraId="7D633BF7" w14:textId="77777777" w:rsidR="00D94935" w:rsidRDefault="00D94935" w:rsidP="00C5613A">
      <w:pPr>
        <w:pStyle w:val="Amain"/>
        <w:keepNext/>
      </w:pPr>
      <w:r>
        <w:tab/>
        <w:t>(4)</w:t>
      </w:r>
      <w:r>
        <w:tab/>
        <w:t>The Supreme Court may order that—</w:t>
      </w:r>
    </w:p>
    <w:p w14:paraId="63007A0D" w14:textId="77777777" w:rsidR="00D94935" w:rsidRDefault="00D94935" w:rsidP="00D94935">
      <w:pPr>
        <w:pStyle w:val="Apara"/>
      </w:pPr>
      <w:r>
        <w:tab/>
        <w:t>(a)</w:t>
      </w:r>
      <w:r>
        <w:tab/>
        <w:t>a person (whether or not a party to the original proceeding) be included or removed as a party to the appeal; or</w:t>
      </w:r>
    </w:p>
    <w:p w14:paraId="2457205D" w14:textId="77777777" w:rsidR="00D94935" w:rsidRDefault="00D94935" w:rsidP="00D94935">
      <w:pPr>
        <w:pStyle w:val="Apara"/>
        <w:keepNext/>
      </w:pPr>
      <w:r>
        <w:tab/>
        <w:t>(b)</w:t>
      </w:r>
      <w:r>
        <w:tab/>
        <w:t>a person directly affected by the appeal be included or substituted as a party.</w:t>
      </w:r>
    </w:p>
    <w:p w14:paraId="3D8148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3D5C950" w14:textId="77777777" w:rsidR="00D94935" w:rsidRDefault="00D94935" w:rsidP="00D94935">
      <w:pPr>
        <w:pStyle w:val="Amain"/>
      </w:pPr>
      <w:r>
        <w:lastRenderedPageBreak/>
        <w:tab/>
        <w:t>(5)</w:t>
      </w:r>
      <w:r>
        <w:tab/>
        <w:t>However, a person may be made an appellant only with the person’s consent.</w:t>
      </w:r>
    </w:p>
    <w:p w14:paraId="5B98D947" w14:textId="77777777"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14:paraId="11D4631F" w14:textId="77777777" w:rsidR="00D94935" w:rsidRDefault="00D94935" w:rsidP="00D94935">
      <w:pPr>
        <w:pStyle w:val="AH5Sec"/>
      </w:pPr>
      <w:bookmarkStart w:id="1417" w:name="_Toc185515033"/>
      <w:r w:rsidRPr="00C8328B">
        <w:rPr>
          <w:rStyle w:val="CharSectNo"/>
        </w:rPr>
        <w:t>5103</w:t>
      </w:r>
      <w:r>
        <w:tab/>
        <w:t>Appeals to Supreme Court—time for filing notice of appeal</w:t>
      </w:r>
      <w:bookmarkEnd w:id="1417"/>
    </w:p>
    <w:p w14:paraId="1BEB4613" w14:textId="77777777" w:rsidR="00D94935" w:rsidRDefault="00D94935" w:rsidP="00D94935">
      <w:pPr>
        <w:pStyle w:val="Amainreturn"/>
      </w:pPr>
      <w:r>
        <w:t>The notice of appeal must be filed in the Supreme Court—</w:t>
      </w:r>
    </w:p>
    <w:p w14:paraId="2BEC0804" w14:textId="77777777" w:rsidR="00D94935" w:rsidRDefault="00D94935" w:rsidP="00D94935">
      <w:pPr>
        <w:pStyle w:val="Apara"/>
      </w:pPr>
      <w:r>
        <w:tab/>
        <w:t>(a)</w:t>
      </w:r>
      <w:r>
        <w:tab/>
        <w:t>not later than the time provided by the relevant law; or</w:t>
      </w:r>
    </w:p>
    <w:p w14:paraId="18FC5560" w14:textId="77777777" w:rsidR="00D94935" w:rsidRDefault="00D94935" w:rsidP="00D94935">
      <w:pPr>
        <w:pStyle w:val="Apara"/>
      </w:pPr>
      <w:r>
        <w:tab/>
        <w:t>(b)</w:t>
      </w:r>
      <w:r>
        <w:tab/>
        <w:t>not later than any further time the Supreme Court allows; or</w:t>
      </w:r>
    </w:p>
    <w:p w14:paraId="23640823" w14:textId="77777777" w:rsidR="00D94935" w:rsidRDefault="00D94935" w:rsidP="00D94935">
      <w:pPr>
        <w:pStyle w:val="Apara"/>
      </w:pPr>
      <w:r>
        <w:tab/>
        <w:t>(c)</w:t>
      </w:r>
      <w:r>
        <w:tab/>
        <w:t>if no time is provided by the relevant law and leave to appeal has been given—</w:t>
      </w:r>
    </w:p>
    <w:p w14:paraId="4F98EC66" w14:textId="77777777"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14:paraId="38B1DC0C" w14:textId="77777777"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14:paraId="1A538DC8"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1272E7D5" w14:textId="77777777"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14:paraId="5D34965E" w14:textId="77777777"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14:paraId="457972A2" w14:textId="77777777" w:rsidR="00D94935" w:rsidRDefault="00D94935" w:rsidP="00D94935">
      <w:pPr>
        <w:pStyle w:val="AH5Sec"/>
      </w:pPr>
      <w:bookmarkStart w:id="1418" w:name="_Toc185515034"/>
      <w:r w:rsidRPr="00C8328B">
        <w:rPr>
          <w:rStyle w:val="CharSectNo"/>
        </w:rPr>
        <w:t>5104</w:t>
      </w:r>
      <w:r>
        <w:tab/>
        <w:t>Appeals to Supreme Court—notice of appeal to be sealed</w:t>
      </w:r>
      <w:bookmarkEnd w:id="1418"/>
    </w:p>
    <w:p w14:paraId="5F2F8C90" w14:textId="181E3185" w:rsidR="00D94935" w:rsidRDefault="00D94935" w:rsidP="00D94935">
      <w:pPr>
        <w:pStyle w:val="Amainreturn"/>
        <w:keepNext/>
      </w:pPr>
      <w:r>
        <w:t xml:space="preserve">The registrar of the Supreme Court must seal </w:t>
      </w:r>
      <w:r w:rsidR="00FD42A6" w:rsidRPr="00C1177F">
        <w:t>a notice of appeal and any filed copies of the notice</w:t>
      </w:r>
      <w:r>
        <w:t>.</w:t>
      </w:r>
    </w:p>
    <w:p w14:paraId="3E3056BD"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5F7C761D" w14:textId="77777777" w:rsidR="00D94935" w:rsidRDefault="00D94935" w:rsidP="00D94935">
      <w:pPr>
        <w:pStyle w:val="AH5Sec"/>
      </w:pPr>
      <w:bookmarkStart w:id="1419" w:name="_Toc185515035"/>
      <w:r w:rsidRPr="00C8328B">
        <w:rPr>
          <w:rStyle w:val="CharSectNo"/>
        </w:rPr>
        <w:t>5105</w:t>
      </w:r>
      <w:r>
        <w:tab/>
        <w:t>Appeals to Supreme Court—numbering etc of appeals</w:t>
      </w:r>
      <w:bookmarkEnd w:id="1419"/>
    </w:p>
    <w:p w14:paraId="44CC0E20" w14:textId="77777777"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14:paraId="6346C86D" w14:textId="595E6FEA" w:rsidR="00D94935" w:rsidRDefault="00D94935" w:rsidP="00D94935">
      <w:pPr>
        <w:pStyle w:val="Amain"/>
      </w:pPr>
      <w:r>
        <w:tab/>
        <w:t>(2)</w:t>
      </w:r>
      <w:r>
        <w:tab/>
        <w:t xml:space="preserve">The registrar must ensure that the </w:t>
      </w:r>
      <w:r w:rsidR="00FD42A6" w:rsidRPr="00C1177F">
        <w:t>notice of appeal</w:t>
      </w:r>
      <w:r w:rsidR="00FD42A6">
        <w:t xml:space="preserve"> </w:t>
      </w:r>
      <w:r>
        <w:t>and each copy sealed under rule 5104 is endorsed with—</w:t>
      </w:r>
    </w:p>
    <w:p w14:paraId="2D83DF88" w14:textId="77777777" w:rsidR="00D94935" w:rsidRDefault="00D94935" w:rsidP="00D94935">
      <w:pPr>
        <w:pStyle w:val="Apara"/>
      </w:pPr>
      <w:r>
        <w:tab/>
        <w:t>(a)</w:t>
      </w:r>
      <w:r>
        <w:tab/>
        <w:t>the distinguishing number or other unique identifier given to the appeal; and</w:t>
      </w:r>
    </w:p>
    <w:p w14:paraId="37232765" w14:textId="77777777" w:rsidR="00D94935" w:rsidRDefault="00D94935" w:rsidP="00D94935">
      <w:pPr>
        <w:pStyle w:val="Apara"/>
      </w:pPr>
      <w:r>
        <w:tab/>
        <w:t>(b)</w:t>
      </w:r>
      <w:r>
        <w:tab/>
        <w:t>the date when the notice was filed in the court.</w:t>
      </w:r>
    </w:p>
    <w:p w14:paraId="5AAB1000" w14:textId="77777777" w:rsidR="00D94935" w:rsidRDefault="00D94935" w:rsidP="00D94935">
      <w:pPr>
        <w:pStyle w:val="AH5Sec"/>
      </w:pPr>
      <w:bookmarkStart w:id="1420" w:name="_Toc185515036"/>
      <w:r w:rsidRPr="00C8328B">
        <w:rPr>
          <w:rStyle w:val="CharSectNo"/>
        </w:rPr>
        <w:t>5106</w:t>
      </w:r>
      <w:r>
        <w:tab/>
        <w:t>Appeals to Supreme Court—date for settlement of appeal papers</w:t>
      </w:r>
      <w:bookmarkEnd w:id="1420"/>
    </w:p>
    <w:p w14:paraId="6F91C6AF" w14:textId="77777777" w:rsidR="00D94935" w:rsidRDefault="00D94935" w:rsidP="00D94935">
      <w:pPr>
        <w:pStyle w:val="Amainreturn"/>
      </w:pPr>
      <w:r>
        <w:t>The registrar of the Supreme Court must set a date for settlement of the appeal papers by writing the date on the notice of appeal.</w:t>
      </w:r>
    </w:p>
    <w:p w14:paraId="46801CFD" w14:textId="77777777" w:rsidR="00D94935" w:rsidRDefault="00D94935" w:rsidP="00D94935">
      <w:pPr>
        <w:pStyle w:val="AH5Sec"/>
      </w:pPr>
      <w:bookmarkStart w:id="1421" w:name="_Toc185515037"/>
      <w:r w:rsidRPr="00C8328B">
        <w:rPr>
          <w:rStyle w:val="CharSectNo"/>
        </w:rPr>
        <w:lastRenderedPageBreak/>
        <w:t>5107</w:t>
      </w:r>
      <w:r>
        <w:tab/>
        <w:t>Appeals to Supreme Court—serving notice of appeal</w:t>
      </w:r>
      <w:bookmarkEnd w:id="1421"/>
    </w:p>
    <w:p w14:paraId="3BE4E1AA" w14:textId="77777777" w:rsidR="00D94935" w:rsidRDefault="00D94935" w:rsidP="00D94935">
      <w:pPr>
        <w:pStyle w:val="Amain"/>
      </w:pPr>
      <w:r>
        <w:tab/>
        <w:t>(1)</w:t>
      </w:r>
      <w:r>
        <w:tab/>
        <w:t>The appellant must serve a sealed copy of the notice of appeal on each respondent.</w:t>
      </w:r>
    </w:p>
    <w:p w14:paraId="56B202BC" w14:textId="77777777" w:rsidR="00D94935" w:rsidRDefault="00D94935" w:rsidP="00D94935">
      <w:pPr>
        <w:pStyle w:val="Amain"/>
      </w:pPr>
      <w:r>
        <w:tab/>
        <w:t>(2)</w:t>
      </w:r>
      <w:r>
        <w:tab/>
        <w:t>The notice of appeal must be served—</w:t>
      </w:r>
    </w:p>
    <w:p w14:paraId="061FC72F" w14:textId="77777777" w:rsidR="00D94935" w:rsidRDefault="00D94935" w:rsidP="00D94935">
      <w:pPr>
        <w:pStyle w:val="Apara"/>
      </w:pPr>
      <w:r>
        <w:tab/>
        <w:t>(a)</w:t>
      </w:r>
      <w:r>
        <w:tab/>
        <w:t>personally; or</w:t>
      </w:r>
    </w:p>
    <w:p w14:paraId="0C29043C"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1C942114" w14:textId="77777777"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14:paraId="79C5C757" w14:textId="602EA85D" w:rsidR="00D94935" w:rsidRDefault="00D94935" w:rsidP="00D94935">
      <w:pPr>
        <w:pStyle w:val="Apara"/>
      </w:pPr>
      <w:r>
        <w:tab/>
        <w:t>(c)</w:t>
      </w:r>
      <w:r>
        <w:tab/>
        <w:t xml:space="preserve">for an appeal mentioned in the </w:t>
      </w:r>
      <w:hyperlink r:id="rId665" w:tooltip="A1930-21" w:history="1">
        <w:r w:rsidRPr="006364FA">
          <w:rPr>
            <w:rStyle w:val="charCitHyperlinkItal"/>
          </w:rPr>
          <w:t>Magistrates Court Act 1930</w:t>
        </w:r>
      </w:hyperlink>
      <w:r>
        <w:t>, section 208 (1), other than section 208 (1) (a)—on the informant; or</w:t>
      </w:r>
    </w:p>
    <w:p w14:paraId="337D54F5" w14:textId="404DCB88" w:rsidR="00D94935" w:rsidRDefault="00D94935" w:rsidP="00D94935">
      <w:pPr>
        <w:pStyle w:val="Apara"/>
      </w:pPr>
      <w:r>
        <w:tab/>
        <w:t>(d)</w:t>
      </w:r>
      <w:r>
        <w:tab/>
        <w:t xml:space="preserve">for an appeal mentioned in the </w:t>
      </w:r>
      <w:hyperlink r:id="rId666" w:tooltip="A1930-21" w:history="1">
        <w:r w:rsidRPr="006364FA">
          <w:rPr>
            <w:rStyle w:val="charCitHyperlinkItal"/>
          </w:rPr>
          <w:t>Magistrates Court Act 1930</w:t>
        </w:r>
      </w:hyperlink>
      <w:r>
        <w:t>, section 208 (1) (a)—on each person mentioned in the paragraph.</w:t>
      </w:r>
    </w:p>
    <w:p w14:paraId="6A311AAF" w14:textId="77777777" w:rsidR="00D94935" w:rsidRDefault="00D94935" w:rsidP="00D94935">
      <w:pPr>
        <w:pStyle w:val="Amain"/>
      </w:pPr>
      <w:r>
        <w:tab/>
        <w:t>(3)</w:t>
      </w:r>
      <w:r>
        <w:tab/>
        <w:t>The appellant must also serve a sealed copy of the notice of appeal on the registrar of the court or tribunal.</w:t>
      </w:r>
    </w:p>
    <w:p w14:paraId="78D9AA0D" w14:textId="77777777"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14:paraId="515DA5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0B3D3B6" w14:textId="77777777"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14:paraId="5DCDB9B1" w14:textId="77777777" w:rsidR="00D94935" w:rsidRDefault="00D94935" w:rsidP="00D94935">
      <w:pPr>
        <w:pStyle w:val="Amain"/>
      </w:pPr>
      <w:r>
        <w:tab/>
        <w:t>(6)</w:t>
      </w:r>
      <w:r>
        <w:tab/>
        <w:t>If the Supreme Court makes an order under subrule (5), the registrar of the Supreme Court must make a note of the order on the notice of appeal.</w:t>
      </w:r>
    </w:p>
    <w:p w14:paraId="3859AD91" w14:textId="77777777" w:rsidR="00D94935" w:rsidRDefault="00D94935" w:rsidP="00D94935">
      <w:pPr>
        <w:pStyle w:val="Amain"/>
      </w:pPr>
      <w:r>
        <w:tab/>
        <w:t>(7)</w:t>
      </w:r>
      <w:r>
        <w:tab/>
        <w:t>Part 6.8 (Service) applies to this rule as if a reference to an address for service were a reference to an address for service mentioned in subrule (2) (b).</w:t>
      </w:r>
    </w:p>
    <w:p w14:paraId="63646D97" w14:textId="77777777" w:rsidR="00D94935" w:rsidRDefault="00D94935" w:rsidP="00D94935">
      <w:pPr>
        <w:pStyle w:val="aNote"/>
      </w:pPr>
      <w:r w:rsidRPr="006364FA">
        <w:rPr>
          <w:rStyle w:val="charItals"/>
        </w:rPr>
        <w:t>Note</w:t>
      </w:r>
      <w:r>
        <w:tab/>
        <w:t>See in particular r 6420 (Ordinary service—address for service).</w:t>
      </w:r>
    </w:p>
    <w:p w14:paraId="1ECD127F" w14:textId="77777777" w:rsidR="00D94935" w:rsidRDefault="00D94935" w:rsidP="00D94935">
      <w:pPr>
        <w:pStyle w:val="AH5Sec"/>
      </w:pPr>
      <w:bookmarkStart w:id="1422" w:name="_Toc185515038"/>
      <w:r w:rsidRPr="00C8328B">
        <w:rPr>
          <w:rStyle w:val="CharSectNo"/>
        </w:rPr>
        <w:t>5108</w:t>
      </w:r>
      <w:r>
        <w:tab/>
        <w:t>Appeals to Supreme Court—notice of intention to respond</w:t>
      </w:r>
      <w:bookmarkEnd w:id="1422"/>
    </w:p>
    <w:p w14:paraId="3C4B6768"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3CACF62" w14:textId="77777777" w:rsidR="00D94935" w:rsidRDefault="00D94935" w:rsidP="00D94935">
      <w:pPr>
        <w:pStyle w:val="Apara"/>
      </w:pPr>
      <w:r>
        <w:tab/>
        <w:t>(a)</w:t>
      </w:r>
      <w:r>
        <w:tab/>
        <w:t>the notice of appeal were an originating claim; and</w:t>
      </w:r>
    </w:p>
    <w:p w14:paraId="0682AAD6" w14:textId="77777777" w:rsidR="00D94935" w:rsidRDefault="00D94935" w:rsidP="00D94935">
      <w:pPr>
        <w:pStyle w:val="Apara"/>
      </w:pPr>
      <w:r>
        <w:tab/>
        <w:t>(b)</w:t>
      </w:r>
      <w:r>
        <w:tab/>
        <w:t>the respondent were a defendant; and</w:t>
      </w:r>
    </w:p>
    <w:p w14:paraId="5DE08B1D" w14:textId="77777777" w:rsidR="00D94935" w:rsidRDefault="00D94935" w:rsidP="00D94935">
      <w:pPr>
        <w:pStyle w:val="Apara"/>
      </w:pPr>
      <w:r>
        <w:tab/>
        <w:t>(c)</w:t>
      </w:r>
      <w:r>
        <w:tab/>
        <w:t>the appellant were the plaintiff; and</w:t>
      </w:r>
    </w:p>
    <w:p w14:paraId="0A45BA4B" w14:textId="77777777" w:rsidR="00D94935" w:rsidRDefault="00D94935" w:rsidP="00D94935">
      <w:pPr>
        <w:pStyle w:val="Apara"/>
      </w:pPr>
      <w:r>
        <w:tab/>
        <w:t>(d)</w:t>
      </w:r>
      <w:r>
        <w:tab/>
        <w:t>any other necessary changes were made.</w:t>
      </w:r>
    </w:p>
    <w:p w14:paraId="30089229" w14:textId="77777777"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14:paraId="53DBEA3D" w14:textId="77777777" w:rsidR="00D94935" w:rsidRDefault="00D94935" w:rsidP="00D94935">
      <w:pPr>
        <w:pStyle w:val="AH5Sec"/>
        <w:rPr>
          <w:lang w:val="en-US"/>
        </w:rPr>
      </w:pPr>
      <w:bookmarkStart w:id="1423" w:name="_Toc185515039"/>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23"/>
    </w:p>
    <w:p w14:paraId="36B5FA9B" w14:textId="77777777" w:rsidR="00D94935" w:rsidRDefault="00D94935" w:rsidP="00D94935">
      <w:pPr>
        <w:pStyle w:val="Amain"/>
        <w:keepLines/>
        <w:rPr>
          <w:lang w:val="en-US"/>
        </w:rPr>
      </w:pPr>
      <w:r>
        <w:rPr>
          <w:lang w:val="en-US"/>
        </w:rPr>
        <w:tab/>
        <w:t>(1)</w:t>
      </w:r>
      <w:r>
        <w:rPr>
          <w:lang w:val="en-US"/>
        </w:rPr>
        <w:tab/>
        <w:t>This rule applies to a respondent to the appeal if—</w:t>
      </w:r>
    </w:p>
    <w:p w14:paraId="7E5BDAFB" w14:textId="77777777" w:rsidR="00D94935" w:rsidRDefault="00D94935" w:rsidP="00D94935">
      <w:pPr>
        <w:pStyle w:val="Apara"/>
        <w:rPr>
          <w:lang w:val="en-US"/>
        </w:rPr>
      </w:pPr>
      <w:r>
        <w:rPr>
          <w:lang w:val="en-US"/>
        </w:rPr>
        <w:tab/>
        <w:t>(a)</w:t>
      </w:r>
      <w:r>
        <w:rPr>
          <w:lang w:val="en-US"/>
        </w:rPr>
        <w:tab/>
        <w:t>the respondent is represented by a solicitor; and</w:t>
      </w:r>
    </w:p>
    <w:p w14:paraId="24ECC4C0"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2A44AD1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27B09C01" w14:textId="77777777" w:rsidR="00D94935" w:rsidRDefault="00D94935" w:rsidP="00D94935">
      <w:pPr>
        <w:pStyle w:val="AH5Sec"/>
      </w:pPr>
      <w:bookmarkStart w:id="1424" w:name="_Toc185515040"/>
      <w:r w:rsidRPr="00C8328B">
        <w:rPr>
          <w:rStyle w:val="CharSectNo"/>
        </w:rPr>
        <w:t>5110</w:t>
      </w:r>
      <w:r>
        <w:tab/>
        <w:t>Appeals to Supreme Court—documents</w:t>
      </w:r>
      <w:bookmarkEnd w:id="1424"/>
    </w:p>
    <w:p w14:paraId="3D5D8DA2" w14:textId="77777777"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14:paraId="490F4D54" w14:textId="77777777" w:rsidR="00D94935" w:rsidRDefault="00D94935" w:rsidP="00D94935">
      <w:pPr>
        <w:pStyle w:val="Apara"/>
      </w:pPr>
      <w:r>
        <w:tab/>
        <w:t>(a)</w:t>
      </w:r>
      <w:r>
        <w:tab/>
        <w:t>give the registrar of the Supreme Court and serve on each appellant—</w:t>
      </w:r>
    </w:p>
    <w:p w14:paraId="6B16624F" w14:textId="77777777" w:rsidR="00D94935" w:rsidRDefault="00D94935" w:rsidP="00D94935">
      <w:pPr>
        <w:pStyle w:val="Asubpara"/>
      </w:pPr>
      <w:r>
        <w:tab/>
        <w:t>(i)</w:t>
      </w:r>
      <w:r>
        <w:tab/>
        <w:t>a copy of the order appealed from; and</w:t>
      </w:r>
    </w:p>
    <w:p w14:paraId="54C665E3" w14:textId="77777777" w:rsidR="00D94935" w:rsidRDefault="00D94935" w:rsidP="00D94935">
      <w:pPr>
        <w:pStyle w:val="Asubpara"/>
      </w:pPr>
      <w:r>
        <w:tab/>
        <w:t>(ii)</w:t>
      </w:r>
      <w:r>
        <w:tab/>
        <w:t>if the court or tribunal gave written reasons for its order—a copy of the reasons, certified by the registrar of the court or tribunal; and</w:t>
      </w:r>
    </w:p>
    <w:p w14:paraId="5A3F9299" w14:textId="77777777"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14:paraId="53E7EF51" w14:textId="77777777" w:rsidR="00D94935" w:rsidRDefault="00D94935" w:rsidP="00D94935">
      <w:pPr>
        <w:pStyle w:val="Asubpara"/>
      </w:pPr>
      <w:r>
        <w:tab/>
        <w:t>(iv)</w:t>
      </w:r>
      <w:r>
        <w:tab/>
        <w:t>a list of the documents and any other exhibits that were before the court or tribunal, certified by the registrar of the court or tribunal; and</w:t>
      </w:r>
    </w:p>
    <w:p w14:paraId="03D4DA4F" w14:textId="77777777"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14:paraId="17C7C10C" w14:textId="77777777"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14:paraId="6545B39D" w14:textId="77777777" w:rsidR="00D94935" w:rsidRDefault="00D94935" w:rsidP="00D94935">
      <w:pPr>
        <w:pStyle w:val="Apara"/>
      </w:pPr>
      <w:r>
        <w:tab/>
        <w:t>(a)</w:t>
      </w:r>
      <w:r>
        <w:tab/>
        <w:t>the evidence in the proceeding in the court or tribunal; and</w:t>
      </w:r>
    </w:p>
    <w:p w14:paraId="3E086819" w14:textId="77777777" w:rsidR="00D94935" w:rsidRDefault="00D94935" w:rsidP="00D94935">
      <w:pPr>
        <w:pStyle w:val="Apara"/>
      </w:pPr>
      <w:r>
        <w:tab/>
        <w:t>(b)</w:t>
      </w:r>
      <w:r>
        <w:tab/>
        <w:t>the decision made by the court or tribunal.</w:t>
      </w:r>
    </w:p>
    <w:p w14:paraId="638E6DA8" w14:textId="77777777" w:rsidR="00D94935" w:rsidRPr="00403BD1" w:rsidRDefault="00D94935" w:rsidP="00D94935">
      <w:pPr>
        <w:pStyle w:val="Amain"/>
      </w:pPr>
      <w:r w:rsidRPr="00403BD1">
        <w:tab/>
        <w:t>(3)</w:t>
      </w:r>
      <w:r w:rsidRPr="00403BD1">
        <w:tab/>
        <w:t>If the appeal is from an order of the ACAT, the list mentioned in subrule (1) (a) (iv) must—</w:t>
      </w:r>
    </w:p>
    <w:p w14:paraId="6A11B96B" w14:textId="481CFAB1" w:rsidR="00D94935" w:rsidRPr="00403BD1" w:rsidRDefault="00D94935" w:rsidP="00D94935">
      <w:pPr>
        <w:pStyle w:val="Apara"/>
      </w:pPr>
      <w:r w:rsidRPr="00403BD1">
        <w:tab/>
        <w:t>(a)</w:t>
      </w:r>
      <w:r w:rsidRPr="00403BD1">
        <w:tab/>
        <w:t xml:space="preserve">state any documents that were the subject of an order under the </w:t>
      </w:r>
      <w:hyperlink r:id="rId667" w:tooltip="A2008-35" w:history="1">
        <w:r w:rsidRPr="006364FA">
          <w:rPr>
            <w:rStyle w:val="charCitHyperlinkItal"/>
          </w:rPr>
          <w:t>ACT Civil and Administrative Tribunal Act 2008</w:t>
        </w:r>
      </w:hyperlink>
      <w:r w:rsidRPr="00403BD1">
        <w:t>, section 39 (2) (Hearings in private or partly in private); and</w:t>
      </w:r>
    </w:p>
    <w:p w14:paraId="45033395" w14:textId="77777777"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14:paraId="26DEC2AF" w14:textId="77777777"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14:paraId="4ADF6819" w14:textId="77777777"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14:paraId="77A96D95" w14:textId="77777777" w:rsidR="00D94935" w:rsidRPr="00403BD1" w:rsidRDefault="00D94935" w:rsidP="00D94935">
      <w:pPr>
        <w:pStyle w:val="Apara"/>
      </w:pPr>
      <w:r w:rsidRPr="00403BD1">
        <w:tab/>
        <w:t>(a)</w:t>
      </w:r>
      <w:r w:rsidRPr="00403BD1">
        <w:tab/>
        <w:t>ask the ACAT for a written statement of reasons for the order; and</w:t>
      </w:r>
    </w:p>
    <w:p w14:paraId="39DDD98D" w14:textId="77777777"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14:paraId="0EEFC9C5" w14:textId="77777777" w:rsidR="00D94935" w:rsidRDefault="00D94935" w:rsidP="00D94935">
      <w:pPr>
        <w:pStyle w:val="AH5Sec"/>
      </w:pPr>
      <w:bookmarkStart w:id="1425" w:name="_Toc185515041"/>
      <w:r w:rsidRPr="00C8328B">
        <w:rPr>
          <w:rStyle w:val="CharSectNo"/>
        </w:rPr>
        <w:lastRenderedPageBreak/>
        <w:t>5111</w:t>
      </w:r>
      <w:r>
        <w:tab/>
        <w:t>Appeals to Supreme Court—amending notice of appeal</w:t>
      </w:r>
      <w:bookmarkEnd w:id="1425"/>
    </w:p>
    <w:p w14:paraId="201C525A" w14:textId="77777777" w:rsidR="00D94935" w:rsidRDefault="00D94935" w:rsidP="00803799">
      <w:pPr>
        <w:pStyle w:val="Amain"/>
        <w:keepNext/>
      </w:pPr>
      <w:r>
        <w:tab/>
        <w:t>(1)</w:t>
      </w:r>
      <w:r>
        <w:tab/>
        <w:t>Before the appeal papers are settled, the appellant may amend the notice of appeal without the Supreme Court’s leave.</w:t>
      </w:r>
    </w:p>
    <w:p w14:paraId="798FFA9E" w14:textId="77777777" w:rsidR="00D94935" w:rsidRDefault="00D94935" w:rsidP="00D94935">
      <w:pPr>
        <w:pStyle w:val="Amain"/>
        <w:keepNext/>
      </w:pPr>
      <w:r>
        <w:tab/>
        <w:t>(2)</w:t>
      </w:r>
      <w:r>
        <w:tab/>
        <w:t>After the appeal papers are settled, the appellant may amend the notice of appeal only with the Supreme Court’s leave.</w:t>
      </w:r>
    </w:p>
    <w:p w14:paraId="238E7A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C0CF0C4" w14:textId="77777777" w:rsidR="00D94935" w:rsidRDefault="00D94935" w:rsidP="00D94935">
      <w:pPr>
        <w:pStyle w:val="Amain"/>
        <w:keepNext/>
      </w:pPr>
      <w:r>
        <w:tab/>
        <w:t>(3)</w:t>
      </w:r>
      <w:r>
        <w:tab/>
        <w:t>The provisions of part 2.7 (Amendment) mentioned in subrule (4) apply to an amendment of the notice of appeal as if—</w:t>
      </w:r>
    </w:p>
    <w:p w14:paraId="077D5FAE" w14:textId="77777777" w:rsidR="00D94935" w:rsidRDefault="00D94935" w:rsidP="00D94935">
      <w:pPr>
        <w:pStyle w:val="Apara"/>
      </w:pPr>
      <w:r>
        <w:tab/>
        <w:t>(a)</w:t>
      </w:r>
      <w:r>
        <w:tab/>
        <w:t>the notice of appeal were a pleading; and</w:t>
      </w:r>
    </w:p>
    <w:p w14:paraId="6FCC4CD5" w14:textId="77777777" w:rsidR="00D94935" w:rsidRDefault="00D94935" w:rsidP="00D94935">
      <w:pPr>
        <w:pStyle w:val="Apara"/>
      </w:pPr>
      <w:r>
        <w:tab/>
        <w:t>(b)</w:t>
      </w:r>
      <w:r>
        <w:tab/>
        <w:t>the respondent were a defendant; and</w:t>
      </w:r>
    </w:p>
    <w:p w14:paraId="0BAC712E" w14:textId="77777777" w:rsidR="00D94935" w:rsidRDefault="00D94935" w:rsidP="00D94935">
      <w:pPr>
        <w:pStyle w:val="Apara"/>
      </w:pPr>
      <w:r>
        <w:tab/>
        <w:t>(c)</w:t>
      </w:r>
      <w:r>
        <w:tab/>
        <w:t>the appellant were the plaintiff; and</w:t>
      </w:r>
    </w:p>
    <w:p w14:paraId="717EB777" w14:textId="77777777" w:rsidR="00D94935" w:rsidRDefault="00D94935" w:rsidP="00D94935">
      <w:pPr>
        <w:pStyle w:val="Apara"/>
      </w:pPr>
      <w:r>
        <w:tab/>
        <w:t>(d)</w:t>
      </w:r>
      <w:r>
        <w:tab/>
        <w:t>any other necessary changes were made.</w:t>
      </w:r>
    </w:p>
    <w:p w14:paraId="2551548E" w14:textId="77777777" w:rsidR="00D94935" w:rsidRDefault="00D94935" w:rsidP="00D94935">
      <w:pPr>
        <w:pStyle w:val="Amain"/>
      </w:pPr>
      <w:r>
        <w:tab/>
        <w:t>(4)</w:t>
      </w:r>
      <w:r>
        <w:tab/>
        <w:t>The provisions of part 2.7 applying to an amendment of the notice of appeal are the following:</w:t>
      </w:r>
    </w:p>
    <w:p w14:paraId="3C259D09" w14:textId="77777777"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14:paraId="0A0626C2" w14:textId="77777777"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14:paraId="290994B4" w14:textId="77777777"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14:paraId="6F9A8804"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14:paraId="1660FE5D" w14:textId="77777777"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14:paraId="220AE178" w14:textId="77777777"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14:paraId="16788E77" w14:textId="77777777" w:rsidR="00D94935" w:rsidRDefault="00D94935" w:rsidP="00D94935">
      <w:pPr>
        <w:pStyle w:val="AH5Sec"/>
      </w:pPr>
      <w:bookmarkStart w:id="1426" w:name="_Toc185515042"/>
      <w:r w:rsidRPr="00C8328B">
        <w:rPr>
          <w:rStyle w:val="CharSectNo"/>
        </w:rPr>
        <w:lastRenderedPageBreak/>
        <w:t>5112</w:t>
      </w:r>
      <w:r>
        <w:tab/>
        <w:t>Appeals to Supreme Court—cross-appeal</w:t>
      </w:r>
      <w:bookmarkEnd w:id="1426"/>
    </w:p>
    <w:p w14:paraId="29FE24DA" w14:textId="77777777" w:rsidR="00D94935" w:rsidRDefault="00D94935" w:rsidP="00803799">
      <w:pPr>
        <w:pStyle w:val="Amain"/>
        <w:keepNext/>
      </w:pPr>
      <w:r>
        <w:tab/>
        <w:t>(1)</w:t>
      </w:r>
      <w:r>
        <w:tab/>
        <w:t>If a respondent wants to appeal from all or part of the order appealed from, or wants an amendment of the order, the respondent need not start a substantive appeal.</w:t>
      </w:r>
    </w:p>
    <w:p w14:paraId="15D88CD3" w14:textId="77777777" w:rsidR="00D94935" w:rsidRDefault="00D94935" w:rsidP="00E87BCD">
      <w:pPr>
        <w:pStyle w:val="Amain"/>
        <w:keepNext/>
      </w:pPr>
      <w:r>
        <w:tab/>
        <w:t>(2)</w:t>
      </w:r>
      <w:r>
        <w:tab/>
        <w:t>However, the respondent must—</w:t>
      </w:r>
    </w:p>
    <w:p w14:paraId="2F9F3506" w14:textId="77777777"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14:paraId="09C1EDC4"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14:paraId="6FCB2FB9" w14:textId="77777777" w:rsidR="00D94935" w:rsidRDefault="00D94935" w:rsidP="00D94935">
      <w:pPr>
        <w:pStyle w:val="Asubpara"/>
      </w:pPr>
      <w:r>
        <w:tab/>
        <w:t>(i)</w:t>
      </w:r>
      <w:r>
        <w:tab/>
        <w:t>each appellant and any other respondent;</w:t>
      </w:r>
    </w:p>
    <w:p w14:paraId="60F2BCE6" w14:textId="77777777"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14:paraId="5B45A496" w14:textId="5CD7FF62"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8" w:history="1">
        <w:r w:rsidRPr="00CC08D0">
          <w:rPr>
            <w:rStyle w:val="charCitHyperlinkAbbrev"/>
          </w:rPr>
          <w:t>AF2006-389</w:t>
        </w:r>
      </w:hyperlink>
      <w:r>
        <w:t>.</w:t>
      </w:r>
    </w:p>
    <w:p w14:paraId="19C7F0F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267367AE"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14:paraId="345D4A0A" w14:textId="77777777"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14:paraId="79EE3493" w14:textId="77777777" w:rsidR="00D94935" w:rsidRDefault="00D94935" w:rsidP="00D94935">
      <w:pPr>
        <w:pStyle w:val="Amain"/>
      </w:pPr>
      <w:r>
        <w:lastRenderedPageBreak/>
        <w:tab/>
        <w:t>(4)</w:t>
      </w:r>
      <w:r>
        <w:tab/>
        <w:t>Part 6.8 (Service) applies to this rule as if a reference to an address for service were a reference to an address for service mentioned in subrule (3).</w:t>
      </w:r>
    </w:p>
    <w:p w14:paraId="4263EE87" w14:textId="77777777" w:rsidR="00D94935" w:rsidRDefault="00D94935" w:rsidP="00D94935">
      <w:pPr>
        <w:pStyle w:val="aNote"/>
      </w:pPr>
      <w:r w:rsidRPr="006364FA">
        <w:rPr>
          <w:rStyle w:val="charItals"/>
        </w:rPr>
        <w:t>Note</w:t>
      </w:r>
      <w:r>
        <w:tab/>
        <w:t>See in particular r 6420 (Ordinary service—address for service).</w:t>
      </w:r>
    </w:p>
    <w:p w14:paraId="0EC28617" w14:textId="77777777" w:rsidR="00D94935" w:rsidRDefault="00D94935" w:rsidP="00E87BCD">
      <w:pPr>
        <w:pStyle w:val="Amain"/>
        <w:keepNext/>
      </w:pPr>
      <w:r>
        <w:tab/>
        <w:t>(5)</w:t>
      </w:r>
      <w:r>
        <w:tab/>
        <w:t>The notice of cross-appeal must state—</w:t>
      </w:r>
    </w:p>
    <w:p w14:paraId="579EDA0D" w14:textId="77777777" w:rsidR="00D94935" w:rsidRDefault="00D94935" w:rsidP="00D94935">
      <w:pPr>
        <w:pStyle w:val="Apara"/>
      </w:pPr>
      <w:r>
        <w:tab/>
        <w:t>(a)</w:t>
      </w:r>
      <w:r>
        <w:tab/>
        <w:t>whether the appeal is from all or part of the order or seeks an amendment of the order; and</w:t>
      </w:r>
    </w:p>
    <w:p w14:paraId="041FF952" w14:textId="77777777" w:rsidR="00D94935" w:rsidRDefault="00D94935" w:rsidP="00D94935">
      <w:pPr>
        <w:pStyle w:val="Apara"/>
      </w:pPr>
      <w:r>
        <w:tab/>
        <w:t>(b)</w:t>
      </w:r>
      <w:r>
        <w:tab/>
        <w:t>if the appeal is from part of the order or seeks an amendment of the order—the part the respondent cross-appeals from; and</w:t>
      </w:r>
    </w:p>
    <w:p w14:paraId="59AC7509" w14:textId="77777777" w:rsidR="00D94935" w:rsidRDefault="00D94935" w:rsidP="00D94935">
      <w:pPr>
        <w:pStyle w:val="Apara"/>
        <w:keepNext/>
      </w:pPr>
      <w:r>
        <w:tab/>
        <w:t>(c)</w:t>
      </w:r>
      <w:r>
        <w:tab/>
        <w:t>either—</w:t>
      </w:r>
    </w:p>
    <w:p w14:paraId="4812C797" w14:textId="77777777" w:rsidR="00D94935" w:rsidRDefault="00D94935" w:rsidP="00D94935">
      <w:pPr>
        <w:pStyle w:val="Asubpara"/>
      </w:pPr>
      <w:r>
        <w:tab/>
        <w:t>(i)</w:t>
      </w:r>
      <w:r>
        <w:tab/>
        <w:t>the order that the respondent seeks instead of the order cross-appealed; or</w:t>
      </w:r>
    </w:p>
    <w:p w14:paraId="137FC639" w14:textId="77777777" w:rsidR="00D94935" w:rsidRDefault="00D94935" w:rsidP="00D94935">
      <w:pPr>
        <w:pStyle w:val="Asubpara"/>
      </w:pPr>
      <w:r>
        <w:tab/>
        <w:t>(ii)</w:t>
      </w:r>
      <w:r>
        <w:tab/>
        <w:t>the amendment of the order that the respondent seeks; and</w:t>
      </w:r>
    </w:p>
    <w:p w14:paraId="27E42E6F" w14:textId="77777777" w:rsidR="00D94935" w:rsidRDefault="00D94935" w:rsidP="00D94935">
      <w:pPr>
        <w:pStyle w:val="Apara"/>
      </w:pPr>
      <w:r>
        <w:tab/>
        <w:t>(d)</w:t>
      </w:r>
      <w:r>
        <w:tab/>
        <w:t>whether the respondent will seek to put further evidence before the Supreme Court; and</w:t>
      </w:r>
    </w:p>
    <w:p w14:paraId="77D614DD" w14:textId="77777777" w:rsidR="00D94935" w:rsidRDefault="00D94935" w:rsidP="00D94935">
      <w:pPr>
        <w:pStyle w:val="Apara"/>
      </w:pPr>
      <w:r>
        <w:tab/>
        <w:t>(e)</w:t>
      </w:r>
      <w:r>
        <w:tab/>
        <w:t>if further evidence is to be put before the Supreme Court—briefly the nature of the evidence and what is sought to be proved; and</w:t>
      </w:r>
    </w:p>
    <w:p w14:paraId="6AEB597E"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61D536AD" w14:textId="77777777" w:rsidR="00D94935" w:rsidRDefault="00D94935" w:rsidP="00D94935">
      <w:pPr>
        <w:pStyle w:val="Amain"/>
      </w:pPr>
      <w:r>
        <w:tab/>
        <w:t>(6)</w:t>
      </w:r>
      <w:r>
        <w:tab/>
        <w:t>On the hearing of a cross-appeal, the respondent bringing the cross</w:t>
      </w:r>
      <w:r>
        <w:noBreakHyphen/>
        <w:t>appeal must not, without the Supreme Court’s leave—</w:t>
      </w:r>
    </w:p>
    <w:p w14:paraId="4B9F6716" w14:textId="77777777" w:rsidR="00D94935" w:rsidRDefault="00D94935" w:rsidP="00D94935">
      <w:pPr>
        <w:pStyle w:val="Apara"/>
      </w:pPr>
      <w:r>
        <w:tab/>
        <w:t>(a)</w:t>
      </w:r>
      <w:r>
        <w:tab/>
        <w:t>raise any question that is not stated in the notice of cross</w:t>
      </w:r>
      <w:r>
        <w:noBreakHyphen/>
        <w:t>appeal; or</w:t>
      </w:r>
    </w:p>
    <w:p w14:paraId="3D428179" w14:textId="77777777" w:rsidR="00D94935" w:rsidRDefault="00D94935" w:rsidP="00803799">
      <w:pPr>
        <w:pStyle w:val="Apara"/>
        <w:keepNext/>
      </w:pPr>
      <w:r>
        <w:lastRenderedPageBreak/>
        <w:tab/>
        <w:t>(b)</w:t>
      </w:r>
      <w:r>
        <w:tab/>
        <w:t>rely on any ground in support of—</w:t>
      </w:r>
    </w:p>
    <w:p w14:paraId="3B6DC790" w14:textId="77777777" w:rsidR="00D94935" w:rsidRDefault="00D94935" w:rsidP="00D94935">
      <w:pPr>
        <w:pStyle w:val="Asubpara"/>
      </w:pPr>
      <w:r>
        <w:tab/>
        <w:t>(i)</w:t>
      </w:r>
      <w:r>
        <w:tab/>
        <w:t>the order sought that is not stated in the notice of cross</w:t>
      </w:r>
      <w:r>
        <w:noBreakHyphen/>
        <w:t>appeal; or</w:t>
      </w:r>
    </w:p>
    <w:p w14:paraId="7D8DB986" w14:textId="77777777" w:rsidR="00D94935" w:rsidRDefault="00D94935" w:rsidP="00D94935">
      <w:pPr>
        <w:pStyle w:val="Asubpara"/>
        <w:keepNext/>
      </w:pPr>
      <w:r>
        <w:tab/>
        <w:t>(ii)</w:t>
      </w:r>
      <w:r>
        <w:tab/>
        <w:t>the amendment of the order sought that is not stated in the notice of cross-appeal.</w:t>
      </w:r>
    </w:p>
    <w:p w14:paraId="41133E3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A45C907" w14:textId="77777777" w:rsidR="00D94935" w:rsidRDefault="00D94935" w:rsidP="00D94935">
      <w:pPr>
        <w:pStyle w:val="AH5Sec"/>
      </w:pPr>
      <w:bookmarkStart w:id="1427" w:name="_Toc185515043"/>
      <w:r w:rsidRPr="00C8328B">
        <w:rPr>
          <w:rStyle w:val="CharSectNo"/>
        </w:rPr>
        <w:t>5113</w:t>
      </w:r>
      <w:r>
        <w:tab/>
        <w:t>Appeals to Supreme Court—application of certain rules to cross-appeals</w:t>
      </w:r>
      <w:bookmarkEnd w:id="1427"/>
    </w:p>
    <w:p w14:paraId="023DC240" w14:textId="77777777" w:rsidR="00D94935" w:rsidRDefault="00D94935" w:rsidP="00D94935">
      <w:pPr>
        <w:pStyle w:val="Amain"/>
      </w:pPr>
      <w:r>
        <w:tab/>
        <w:t>(1)</w:t>
      </w:r>
      <w:r>
        <w:tab/>
        <w:t>The provisions mentioned in subrule (2) apply to a cross-appeal as if—</w:t>
      </w:r>
    </w:p>
    <w:p w14:paraId="1651C747" w14:textId="77777777" w:rsidR="00D94935" w:rsidRDefault="00D94935" w:rsidP="00D94935">
      <w:pPr>
        <w:pStyle w:val="Apara"/>
      </w:pPr>
      <w:r>
        <w:tab/>
        <w:t>(a)</w:t>
      </w:r>
      <w:r>
        <w:tab/>
        <w:t>a reference to an appeal were a reference to a cross-appeal; and</w:t>
      </w:r>
    </w:p>
    <w:p w14:paraId="5A56A0D9" w14:textId="77777777" w:rsidR="00D94935" w:rsidRDefault="00D94935" w:rsidP="00D94935">
      <w:pPr>
        <w:pStyle w:val="Apara"/>
      </w:pPr>
      <w:r>
        <w:tab/>
        <w:t>(b)</w:t>
      </w:r>
      <w:r>
        <w:tab/>
        <w:t>a reference to the appellant were a reference to the respondent bringing the cross-appeal; and</w:t>
      </w:r>
    </w:p>
    <w:p w14:paraId="48657C33" w14:textId="77777777" w:rsidR="00D94935" w:rsidRDefault="00D94935" w:rsidP="00D94935">
      <w:pPr>
        <w:pStyle w:val="Apara"/>
      </w:pPr>
      <w:r>
        <w:tab/>
        <w:t>(c)</w:t>
      </w:r>
      <w:r>
        <w:tab/>
        <w:t>a reference to the respondent were a reference to the appellant (or an appellant) on whom the cross-appeal is served; and</w:t>
      </w:r>
    </w:p>
    <w:p w14:paraId="785A826C" w14:textId="77777777" w:rsidR="00D94935" w:rsidRDefault="00D94935" w:rsidP="00D94935">
      <w:pPr>
        <w:pStyle w:val="Apara"/>
      </w:pPr>
      <w:r>
        <w:tab/>
        <w:t>(d)</w:t>
      </w:r>
      <w:r>
        <w:tab/>
        <w:t>any other necessary changes were made.</w:t>
      </w:r>
    </w:p>
    <w:p w14:paraId="434A5787" w14:textId="77777777" w:rsidR="00D94935" w:rsidRDefault="00D94935" w:rsidP="00D94935">
      <w:pPr>
        <w:pStyle w:val="Amain"/>
        <w:keepNext/>
      </w:pPr>
      <w:r>
        <w:tab/>
        <w:t>(2)</w:t>
      </w:r>
      <w:r>
        <w:tab/>
        <w:t>The provisions applying to a cross-appeal are as follows:</w:t>
      </w:r>
    </w:p>
    <w:p w14:paraId="160CBE45"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14:paraId="01EC29F2"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14:paraId="5C11EA5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14:paraId="365761F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5155720E"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14:paraId="5605679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62EF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14:paraId="7687386D" w14:textId="77777777" w:rsidR="00D94935" w:rsidRDefault="00D94935" w:rsidP="00D94935">
      <w:pPr>
        <w:pStyle w:val="AH5Sec"/>
      </w:pPr>
      <w:bookmarkStart w:id="1428" w:name="_Toc185515044"/>
      <w:r w:rsidRPr="00C8328B">
        <w:rPr>
          <w:rStyle w:val="CharSectNo"/>
        </w:rPr>
        <w:lastRenderedPageBreak/>
        <w:t>5114</w:t>
      </w:r>
      <w:r>
        <w:tab/>
        <w:t>Appeals to Supreme Court—effect of failure to give notice of cross-appeal</w:t>
      </w:r>
      <w:bookmarkEnd w:id="1428"/>
    </w:p>
    <w:p w14:paraId="3C8CB106" w14:textId="77777777" w:rsidR="00D94935" w:rsidRDefault="00D94935" w:rsidP="00D94935">
      <w:pPr>
        <w:pStyle w:val="Amainreturn"/>
      </w:pPr>
      <w:r>
        <w:t>A failure to give a notice of cross-appeal does not affect the powers of the Supreme Court on the hearing of the appeal, but the court may adjourn the hearing of the appeal.</w:t>
      </w:r>
    </w:p>
    <w:p w14:paraId="7C6FFDBB" w14:textId="77777777" w:rsidR="00D94935" w:rsidRDefault="00D94935" w:rsidP="00D94935">
      <w:pPr>
        <w:pStyle w:val="AH5Sec"/>
      </w:pPr>
      <w:bookmarkStart w:id="1429" w:name="_Toc185515045"/>
      <w:r w:rsidRPr="00C8328B">
        <w:rPr>
          <w:rStyle w:val="CharSectNo"/>
        </w:rPr>
        <w:t>5115</w:t>
      </w:r>
      <w:r>
        <w:tab/>
        <w:t>Appeals to Supreme Court—notice of contention</w:t>
      </w:r>
      <w:bookmarkEnd w:id="1429"/>
    </w:p>
    <w:p w14:paraId="6F65E4DE" w14:textId="77777777" w:rsidR="00D94935" w:rsidRDefault="00D94935" w:rsidP="00D94935">
      <w:pPr>
        <w:pStyle w:val="Amain"/>
      </w:pPr>
      <w:r>
        <w:tab/>
        <w:t>(1)</w:t>
      </w:r>
      <w:r>
        <w:tab/>
        <w:t>A respondent need not file a notice of cross-appeal if the respondent—</w:t>
      </w:r>
    </w:p>
    <w:p w14:paraId="330A1541"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24DE3B27" w14:textId="77777777" w:rsidR="00D94935" w:rsidRDefault="00D94935" w:rsidP="00D94935">
      <w:pPr>
        <w:pStyle w:val="Apara"/>
      </w:pPr>
      <w:r>
        <w:tab/>
        <w:t>(b)</w:t>
      </w:r>
      <w:r>
        <w:tab/>
        <w:t>wants to contend that the order appealed from should be confirmed on a ground other than the ground relied on by the court or tribunal that made the order.</w:t>
      </w:r>
    </w:p>
    <w:p w14:paraId="7C900727" w14:textId="77777777" w:rsidR="00D94935" w:rsidRDefault="00D94935" w:rsidP="00D94935">
      <w:pPr>
        <w:pStyle w:val="Amain"/>
        <w:keepNext/>
      </w:pPr>
      <w:r>
        <w:tab/>
        <w:t>(2)</w:t>
      </w:r>
      <w:r>
        <w:tab/>
        <w:t>However, the respondent must—</w:t>
      </w:r>
    </w:p>
    <w:p w14:paraId="3C6F6804" w14:textId="77777777"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14:paraId="18F63D3E" w14:textId="29E12A9E"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9" w:history="1">
        <w:r w:rsidRPr="00CC08D0">
          <w:rPr>
            <w:rStyle w:val="charCitHyperlinkAbbrev"/>
          </w:rPr>
          <w:t>AF2006-390</w:t>
        </w:r>
      </w:hyperlink>
      <w:r>
        <w:t>.</w:t>
      </w:r>
    </w:p>
    <w:p w14:paraId="39983A8E"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200B3AEC"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14:paraId="69E02156" w14:textId="77777777" w:rsidR="00D94935" w:rsidRDefault="00D94935" w:rsidP="00D94935">
      <w:pPr>
        <w:pStyle w:val="Asubpara"/>
      </w:pPr>
      <w:r>
        <w:tab/>
        <w:t>(i)</w:t>
      </w:r>
      <w:r>
        <w:tab/>
        <w:t>each appellant and any other respondent;</w:t>
      </w:r>
    </w:p>
    <w:p w14:paraId="566BC385" w14:textId="77777777" w:rsidR="00D94935" w:rsidRDefault="00D94935" w:rsidP="00D94935">
      <w:pPr>
        <w:pStyle w:val="Asubpara"/>
      </w:pPr>
      <w:r>
        <w:lastRenderedPageBreak/>
        <w:tab/>
        <w:t>(ii)</w:t>
      </w:r>
      <w:r>
        <w:tab/>
        <w:t>any other party to the proceeding in which the order appealed from was made who would be directly affected by the order that the respondent seeks; and</w:t>
      </w:r>
    </w:p>
    <w:p w14:paraId="7F38B901" w14:textId="77777777"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14:paraId="3E1E4696" w14:textId="77777777" w:rsidR="00D94935" w:rsidRDefault="00D94935" w:rsidP="00D94935">
      <w:pPr>
        <w:pStyle w:val="Apara"/>
      </w:pPr>
      <w:r>
        <w:tab/>
        <w:t>(d)</w:t>
      </w:r>
      <w:r>
        <w:tab/>
        <w:t>when the appeal papers are being settled, ask the Supreme Court to include the record of evidence or documents in the appeal papers.</w:t>
      </w:r>
    </w:p>
    <w:p w14:paraId="2A86BFA3" w14:textId="77777777"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14:paraId="0E728D36" w14:textId="77777777" w:rsidR="00D94935" w:rsidRDefault="00D94935" w:rsidP="00D94935">
      <w:pPr>
        <w:pStyle w:val="Amain"/>
      </w:pPr>
      <w:r>
        <w:tab/>
        <w:t>(4)</w:t>
      </w:r>
      <w:r>
        <w:tab/>
        <w:t>Part 6.8 (Service) applies to this rule as if a reference to an address for service were a reference to an address for service mentioned in subrule (3).</w:t>
      </w:r>
    </w:p>
    <w:p w14:paraId="5B9FFE8C" w14:textId="77777777" w:rsidR="00D94935" w:rsidRDefault="00D94935" w:rsidP="00D94935">
      <w:pPr>
        <w:pStyle w:val="aNote"/>
      </w:pPr>
      <w:r w:rsidRPr="006364FA">
        <w:rPr>
          <w:rStyle w:val="charItals"/>
        </w:rPr>
        <w:t>Note</w:t>
      </w:r>
      <w:r>
        <w:tab/>
        <w:t>See in particular r 6420 (Ordinary service—address for service).</w:t>
      </w:r>
    </w:p>
    <w:p w14:paraId="23F527F6" w14:textId="77777777" w:rsidR="00D94935" w:rsidRDefault="00D94935" w:rsidP="00D94935">
      <w:pPr>
        <w:pStyle w:val="Amain"/>
      </w:pPr>
      <w:r>
        <w:tab/>
        <w:t>(5)</w:t>
      </w:r>
      <w:r>
        <w:tab/>
        <w:t>The notice of contention must state—</w:t>
      </w:r>
    </w:p>
    <w:p w14:paraId="0F0ADFD0" w14:textId="77777777" w:rsidR="00D94935" w:rsidRDefault="00D94935" w:rsidP="00D94935">
      <w:pPr>
        <w:pStyle w:val="Apara"/>
      </w:pPr>
      <w:r>
        <w:tab/>
        <w:t>(a)</w:t>
      </w:r>
      <w:r>
        <w:tab/>
        <w:t>the contention; and</w:t>
      </w:r>
    </w:p>
    <w:p w14:paraId="2F38E111" w14:textId="77777777" w:rsidR="00D94935" w:rsidRDefault="00D94935" w:rsidP="00D94935">
      <w:pPr>
        <w:pStyle w:val="Apara"/>
      </w:pPr>
      <w:r>
        <w:tab/>
        <w:t>(b)</w:t>
      </w:r>
      <w:r>
        <w:tab/>
        <w:t>briefly, but specifically, the grounds relied on in support of the contention.</w:t>
      </w:r>
    </w:p>
    <w:p w14:paraId="3BDA469B" w14:textId="624802C5" w:rsidR="00F625FB" w:rsidRPr="00E31D57" w:rsidRDefault="00F625FB" w:rsidP="00D61368">
      <w:pPr>
        <w:pStyle w:val="Amain"/>
        <w:keepNext/>
      </w:pPr>
      <w:r w:rsidRPr="00E31D57">
        <w:lastRenderedPageBreak/>
        <w:tab/>
        <w:t>(</w:t>
      </w:r>
      <w:r w:rsidR="00652EBE">
        <w:t>6</w:t>
      </w:r>
      <w:r w:rsidRPr="00E31D57">
        <w:t>)</w:t>
      </w:r>
      <w:r w:rsidRPr="00E31D57">
        <w:tab/>
        <w:t>If a respondent is served an amended notice of appeal, the respondent may—</w:t>
      </w:r>
    </w:p>
    <w:p w14:paraId="3FD3758F" w14:textId="77777777" w:rsidR="00F625FB" w:rsidRPr="00E31D57" w:rsidRDefault="00F625FB" w:rsidP="00D61368">
      <w:pPr>
        <w:pStyle w:val="Apara"/>
        <w:keepLines/>
      </w:pPr>
      <w:r w:rsidRPr="00E31D57">
        <w:tab/>
        <w:t>(a)</w:t>
      </w:r>
      <w:r w:rsidRPr="00E31D57">
        <w:tab/>
        <w:t>file an amended notice of contention in the Supreme Court not later than 14 days after the day the amended notice is served on the respondent, or not later than any further time allowed by the Supreme Court; and</w:t>
      </w:r>
    </w:p>
    <w:p w14:paraId="2E51D334" w14:textId="56E63E32" w:rsidR="00F625FB" w:rsidRPr="00E31D57" w:rsidRDefault="00F625FB" w:rsidP="00F625FB">
      <w:pPr>
        <w:pStyle w:val="aNote"/>
        <w:keepNext/>
      </w:pPr>
      <w:r w:rsidRPr="00E31D57">
        <w:rPr>
          <w:rStyle w:val="charItals"/>
        </w:rPr>
        <w:t>Note 1</w:t>
      </w:r>
      <w:r w:rsidRPr="00E31D57">
        <w:tab/>
        <w:t xml:space="preserve">See approved form 5.6 (Supreme Court—notice of contention) </w:t>
      </w:r>
      <w:hyperlink r:id="rId670" w:tooltip="AF2006-390" w:history="1">
        <w:r w:rsidRPr="001A65C2">
          <w:rPr>
            <w:rStyle w:val="charCitHyperlinkAbbrev"/>
          </w:rPr>
          <w:t>AF2006</w:t>
        </w:r>
        <w:r w:rsidRPr="001A65C2">
          <w:rPr>
            <w:rStyle w:val="charCitHyperlinkAbbrev"/>
          </w:rPr>
          <w:noBreakHyphen/>
          <w:t>390</w:t>
        </w:r>
      </w:hyperlink>
      <w:r w:rsidRPr="00E31D57">
        <w:t>.</w:t>
      </w:r>
    </w:p>
    <w:p w14:paraId="14204D15" w14:textId="77777777" w:rsidR="00F625FB" w:rsidRPr="00E31D57" w:rsidRDefault="00F625FB" w:rsidP="00F625FB">
      <w:pPr>
        <w:pStyle w:val="aNote"/>
      </w:pPr>
      <w:r w:rsidRPr="00E31D57">
        <w:rPr>
          <w:rStyle w:val="charItals"/>
        </w:rPr>
        <w:t>Note 2</w:t>
      </w:r>
      <w:r w:rsidRPr="00E31D57">
        <w:tab/>
        <w:t>Pt 6.2 (Applications in proceedings) applies to an application for further time.</w:t>
      </w:r>
    </w:p>
    <w:p w14:paraId="3639D447" w14:textId="77777777" w:rsidR="00F625FB" w:rsidRPr="00E31D57" w:rsidRDefault="00F625FB" w:rsidP="00F625FB">
      <w:pPr>
        <w:pStyle w:val="Apara"/>
      </w:pPr>
      <w:r w:rsidRPr="00E31D57">
        <w:tab/>
        <w:t>(b)</w:t>
      </w:r>
      <w:r w:rsidRPr="00E31D57">
        <w:tab/>
        <w:t>serve on each party mentioned in subrule (2) (b) a stamped copy of the amended notice of contention, not later than 7 days after the day the notice of contention is filed, unless the Supreme Court otherwise orders.</w:t>
      </w:r>
    </w:p>
    <w:p w14:paraId="341F0CFD" w14:textId="1844DDEF" w:rsidR="00D94935" w:rsidRDefault="00D94935" w:rsidP="00D94935">
      <w:pPr>
        <w:pStyle w:val="Amain"/>
      </w:pPr>
      <w:r>
        <w:tab/>
        <w:t>(</w:t>
      </w:r>
      <w:r w:rsidR="00652EBE">
        <w:t>7</w:t>
      </w:r>
      <w:r>
        <w:t>)</w:t>
      </w:r>
      <w:r>
        <w:tab/>
        <w:t>On the hearing of a contention, the respondent making the contention must not, without the Supreme Court’s leave—</w:t>
      </w:r>
    </w:p>
    <w:p w14:paraId="26420826" w14:textId="77777777" w:rsidR="00D94935" w:rsidRDefault="00D94935" w:rsidP="00D94935">
      <w:pPr>
        <w:pStyle w:val="Apara"/>
      </w:pPr>
      <w:r>
        <w:tab/>
        <w:t>(a)</w:t>
      </w:r>
      <w:r>
        <w:tab/>
        <w:t>raise any question that is not stated in the notice of contention; or</w:t>
      </w:r>
    </w:p>
    <w:p w14:paraId="4E3F6329" w14:textId="77777777" w:rsidR="00D94935" w:rsidRDefault="00D94935" w:rsidP="00803799">
      <w:pPr>
        <w:pStyle w:val="Apara"/>
        <w:keepNext/>
      </w:pPr>
      <w:r>
        <w:tab/>
        <w:t>(b)</w:t>
      </w:r>
      <w:r>
        <w:tab/>
        <w:t>rely on any ground in support of—</w:t>
      </w:r>
    </w:p>
    <w:p w14:paraId="70CBEF10" w14:textId="77777777" w:rsidR="00D94935" w:rsidRDefault="00D94935" w:rsidP="00D94935">
      <w:pPr>
        <w:pStyle w:val="Asubpara"/>
      </w:pPr>
      <w:r>
        <w:tab/>
        <w:t>(i)</w:t>
      </w:r>
      <w:r>
        <w:tab/>
        <w:t>the order sought that is not stated in the notice of contention; or</w:t>
      </w:r>
    </w:p>
    <w:p w14:paraId="5A9F2A7A" w14:textId="77777777" w:rsidR="00D94935" w:rsidRDefault="00D94935" w:rsidP="00D94935">
      <w:pPr>
        <w:pStyle w:val="Asubpara"/>
        <w:keepNext/>
      </w:pPr>
      <w:r>
        <w:tab/>
        <w:t>(ii)</w:t>
      </w:r>
      <w:r>
        <w:tab/>
        <w:t>the amendment of the order sought that is not stated in the notice of contention.</w:t>
      </w:r>
    </w:p>
    <w:p w14:paraId="272D794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692E619" w14:textId="77777777" w:rsidR="00D94935" w:rsidRPr="00C8328B" w:rsidRDefault="00D94935" w:rsidP="00D94935">
      <w:pPr>
        <w:pStyle w:val="AH3Div"/>
      </w:pPr>
      <w:bookmarkStart w:id="1430" w:name="_Toc185515046"/>
      <w:r w:rsidRPr="00C8328B">
        <w:rPr>
          <w:rStyle w:val="CharDivNo"/>
        </w:rPr>
        <w:lastRenderedPageBreak/>
        <w:t>Division 5.3.5</w:t>
      </w:r>
      <w:r>
        <w:tab/>
      </w:r>
      <w:r w:rsidRPr="00C8328B">
        <w:rPr>
          <w:rStyle w:val="CharDivText"/>
        </w:rPr>
        <w:t>Appeals to Supreme Court—appeal papers and hearing</w:t>
      </w:r>
      <w:bookmarkEnd w:id="1430"/>
    </w:p>
    <w:p w14:paraId="1C921B3C" w14:textId="77777777" w:rsidR="00D94935" w:rsidRDefault="00D94935" w:rsidP="00D94935">
      <w:pPr>
        <w:pStyle w:val="AH5Sec"/>
      </w:pPr>
      <w:bookmarkStart w:id="1431" w:name="_Toc185515047"/>
      <w:r w:rsidRPr="00C8328B">
        <w:rPr>
          <w:rStyle w:val="CharSectNo"/>
        </w:rPr>
        <w:t>5130</w:t>
      </w:r>
      <w:r>
        <w:tab/>
        <w:t>Appeals to Supreme Court—draft index of appeal papers</w:t>
      </w:r>
      <w:bookmarkEnd w:id="1431"/>
    </w:p>
    <w:p w14:paraId="2C2B9195" w14:textId="77777777" w:rsidR="00D94935" w:rsidRDefault="00D94935" w:rsidP="00D94935">
      <w:pPr>
        <w:pStyle w:val="Amain"/>
      </w:pPr>
      <w:r>
        <w:tab/>
        <w:t>(1)</w:t>
      </w:r>
      <w:r>
        <w:tab/>
        <w:t>Before the date set for settling the appeal papers, the appellant must prepare and file a draft index of the appeal papers.</w:t>
      </w:r>
    </w:p>
    <w:p w14:paraId="1E7CD13B" w14:textId="77777777" w:rsidR="00D94935" w:rsidRDefault="00D94935" w:rsidP="00D94935">
      <w:pPr>
        <w:pStyle w:val="Amain"/>
      </w:pPr>
      <w:r>
        <w:tab/>
        <w:t>(2)</w:t>
      </w:r>
      <w:r>
        <w:tab/>
        <w:t>The appellant must serve a copy of the draft index on each respondent not later than 3 days before the date set for settling the appeal papers.</w:t>
      </w:r>
    </w:p>
    <w:p w14:paraId="35737E94" w14:textId="77777777" w:rsidR="00D94935" w:rsidRDefault="00D94935" w:rsidP="00D94935">
      <w:pPr>
        <w:pStyle w:val="AH5Sec"/>
      </w:pPr>
      <w:bookmarkStart w:id="1432" w:name="_Toc185515048"/>
      <w:r w:rsidRPr="00C8328B">
        <w:rPr>
          <w:rStyle w:val="CharSectNo"/>
        </w:rPr>
        <w:t>5131</w:t>
      </w:r>
      <w:r>
        <w:tab/>
        <w:t>Appeals to Supreme Court—settlement of appeal papers</w:t>
      </w:r>
      <w:bookmarkEnd w:id="1432"/>
    </w:p>
    <w:p w14:paraId="2ACBCBCF" w14:textId="77777777"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14:paraId="67568815" w14:textId="77777777" w:rsidR="00D94935" w:rsidRDefault="00D94935" w:rsidP="00D94935">
      <w:pPr>
        <w:pStyle w:val="Amain"/>
        <w:keepNext/>
      </w:pPr>
      <w:r>
        <w:tab/>
        <w:t>(2)</w:t>
      </w:r>
      <w:r>
        <w:tab/>
        <w:t>Without limiting subrule (1), the registrar may do the following:</w:t>
      </w:r>
    </w:p>
    <w:p w14:paraId="7DAF7D32" w14:textId="77777777" w:rsidR="00D94935" w:rsidRDefault="00D94935" w:rsidP="00D94935">
      <w:pPr>
        <w:pStyle w:val="Apara"/>
      </w:pPr>
      <w:r>
        <w:tab/>
        <w:t>(a)</w:t>
      </w:r>
      <w:r>
        <w:tab/>
        <w:t>work out what documents were before the court or tribunal;</w:t>
      </w:r>
    </w:p>
    <w:p w14:paraId="5062D2C3" w14:textId="77777777" w:rsidR="00D94935" w:rsidRDefault="00D94935" w:rsidP="00D94935">
      <w:pPr>
        <w:pStyle w:val="Apara"/>
      </w:pPr>
      <w:r>
        <w:tab/>
        <w:t>(b)</w:t>
      </w:r>
      <w:r>
        <w:tab/>
        <w:t>decide what documents are to be included in the appeal papers, and the order of inclusion;</w:t>
      </w:r>
    </w:p>
    <w:p w14:paraId="7A3C5662" w14:textId="77777777" w:rsidR="00D94935" w:rsidRDefault="00D94935" w:rsidP="00D94935">
      <w:pPr>
        <w:pStyle w:val="Apara"/>
      </w:pPr>
      <w:r>
        <w:tab/>
        <w:t>(c)</w:t>
      </w:r>
      <w:r>
        <w:tab/>
        <w:t>settle the index of the documents to be included in the appeal papers;</w:t>
      </w:r>
    </w:p>
    <w:p w14:paraId="77CADBBE" w14:textId="77777777" w:rsidR="00D94935" w:rsidRDefault="00D94935" w:rsidP="00D94935">
      <w:pPr>
        <w:pStyle w:val="Apara"/>
      </w:pPr>
      <w:r>
        <w:tab/>
        <w:t>(d)</w:t>
      </w:r>
      <w:r>
        <w:tab/>
        <w:t>decide the number of copies of the appeal papers required and when they should be served;</w:t>
      </w:r>
    </w:p>
    <w:p w14:paraId="3C5D08D3" w14:textId="77777777" w:rsidR="00D94935" w:rsidRDefault="00D94935" w:rsidP="00D94935">
      <w:pPr>
        <w:pStyle w:val="Apara"/>
      </w:pPr>
      <w:r>
        <w:tab/>
        <w:t>(e)</w:t>
      </w:r>
      <w:r>
        <w:tab/>
        <w:t>direct the inclusion, substitution or removal of parties;</w:t>
      </w:r>
    </w:p>
    <w:p w14:paraId="582869C8" w14:textId="77777777" w:rsidR="00D94935" w:rsidRDefault="00D94935" w:rsidP="00D94935">
      <w:pPr>
        <w:pStyle w:val="Apara"/>
      </w:pPr>
      <w:r>
        <w:tab/>
        <w:t>(f)</w:t>
      </w:r>
      <w:r>
        <w:tab/>
        <w:t>get an estimate of the length of the hearing from the parties;</w:t>
      </w:r>
    </w:p>
    <w:p w14:paraId="216F0369" w14:textId="77777777" w:rsidR="00D94935" w:rsidRDefault="00D94935" w:rsidP="00D94935">
      <w:pPr>
        <w:pStyle w:val="Apara"/>
      </w:pPr>
      <w:r>
        <w:tab/>
        <w:t>(g)</w:t>
      </w:r>
      <w:r>
        <w:tab/>
        <w:t>direct the place, date and kind of hearing.</w:t>
      </w:r>
    </w:p>
    <w:p w14:paraId="3AE2A03F" w14:textId="77777777" w:rsidR="00D94935" w:rsidRDefault="00D94935" w:rsidP="00D94935">
      <w:pPr>
        <w:pStyle w:val="AH5Sec"/>
      </w:pPr>
      <w:bookmarkStart w:id="1433" w:name="_Toc185515049"/>
      <w:r w:rsidRPr="00C8328B">
        <w:rPr>
          <w:rStyle w:val="CharSectNo"/>
        </w:rPr>
        <w:t>5132</w:t>
      </w:r>
      <w:r>
        <w:tab/>
        <w:t>Appeals to Supreme Court—content of appeal papers</w:t>
      </w:r>
      <w:bookmarkEnd w:id="1433"/>
    </w:p>
    <w:p w14:paraId="232A6735" w14:textId="77777777" w:rsidR="00D94935" w:rsidRDefault="00D94935" w:rsidP="00D94935">
      <w:pPr>
        <w:pStyle w:val="Amain"/>
      </w:pPr>
      <w:r>
        <w:tab/>
        <w:t>(1)</w:t>
      </w:r>
      <w:r>
        <w:tab/>
        <w:t>The title page of the appeal papers must give—</w:t>
      </w:r>
    </w:p>
    <w:p w14:paraId="2CC61952" w14:textId="77777777" w:rsidR="00D94935" w:rsidRDefault="00D94935" w:rsidP="00D94935">
      <w:pPr>
        <w:pStyle w:val="Apara"/>
      </w:pPr>
      <w:r>
        <w:tab/>
        <w:t>(a)</w:t>
      </w:r>
      <w:r>
        <w:tab/>
        <w:t>the title of the proceeding; and</w:t>
      </w:r>
    </w:p>
    <w:p w14:paraId="46C63A0D" w14:textId="77777777" w:rsidR="00D94935" w:rsidRDefault="00D94935" w:rsidP="00D94935">
      <w:pPr>
        <w:pStyle w:val="Apara"/>
      </w:pPr>
      <w:r>
        <w:lastRenderedPageBreak/>
        <w:tab/>
        <w:t>(b)</w:t>
      </w:r>
      <w:r>
        <w:tab/>
        <w:t>the name of the court or tribunal appealed from; and</w:t>
      </w:r>
    </w:p>
    <w:p w14:paraId="3DADE7B4" w14:textId="77777777" w:rsidR="00D94935" w:rsidRDefault="00D94935" w:rsidP="00D94935">
      <w:pPr>
        <w:pStyle w:val="Apara"/>
      </w:pPr>
      <w:r>
        <w:tab/>
        <w:t>(c)</w:t>
      </w:r>
      <w:r>
        <w:tab/>
        <w:t>the names of each party (and the party’s solicitor (if any)) and the party’s address for service.</w:t>
      </w:r>
    </w:p>
    <w:p w14:paraId="539EBC35" w14:textId="77777777"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14:paraId="0BA7129A" w14:textId="77777777" w:rsidR="00D94935" w:rsidRDefault="00D94935" w:rsidP="00D94935">
      <w:pPr>
        <w:pStyle w:val="Amain"/>
        <w:keepNext/>
      </w:pPr>
      <w:r>
        <w:tab/>
        <w:t>(3)</w:t>
      </w:r>
      <w:r>
        <w:tab/>
        <w:t>The documents must be arranged as directed under rule 5131 (2) (b) or, if no direction is given, in the following order:</w:t>
      </w:r>
    </w:p>
    <w:p w14:paraId="23814D27" w14:textId="77777777" w:rsidR="00D94935" w:rsidRDefault="00D94935" w:rsidP="00D94935">
      <w:pPr>
        <w:pStyle w:val="Apara"/>
      </w:pPr>
      <w:r>
        <w:tab/>
        <w:t>(a)</w:t>
      </w:r>
      <w:r>
        <w:tab/>
        <w:t>notice of appeal or, if amended, the amended notice of appeal;</w:t>
      </w:r>
    </w:p>
    <w:p w14:paraId="32799547" w14:textId="77777777" w:rsidR="00D94935" w:rsidRDefault="00D94935" w:rsidP="00D94935">
      <w:pPr>
        <w:pStyle w:val="Apara"/>
      </w:pPr>
      <w:r>
        <w:tab/>
        <w:t>(b)</w:t>
      </w:r>
      <w:r>
        <w:tab/>
        <w:t>any notice of cross-appeal or notice of contention;</w:t>
      </w:r>
    </w:p>
    <w:p w14:paraId="7D60A2E6" w14:textId="77777777" w:rsidR="00D94935" w:rsidRDefault="00D94935" w:rsidP="00D94935">
      <w:pPr>
        <w:pStyle w:val="Apara"/>
      </w:pPr>
      <w:r>
        <w:tab/>
        <w:t>(c)</w:t>
      </w:r>
      <w:r>
        <w:tab/>
        <w:t>if leave to appeal has been given—the order giving leave;</w:t>
      </w:r>
    </w:p>
    <w:p w14:paraId="7F565726" w14:textId="77777777" w:rsidR="00D94935" w:rsidRDefault="00D94935" w:rsidP="00D94935">
      <w:pPr>
        <w:pStyle w:val="Apara"/>
      </w:pPr>
      <w:r>
        <w:tab/>
        <w:t>(d)</w:t>
      </w:r>
      <w:r>
        <w:tab/>
        <w:t>the formal order of the court or tribunal from which the appeal is brought;</w:t>
      </w:r>
    </w:p>
    <w:p w14:paraId="2E5A47EA" w14:textId="77777777" w:rsidR="00D94935" w:rsidRDefault="00D94935" w:rsidP="00D94935">
      <w:pPr>
        <w:pStyle w:val="Apara"/>
      </w:pPr>
      <w:r>
        <w:tab/>
        <w:t>(e)</w:t>
      </w:r>
      <w:r>
        <w:tab/>
        <w:t>reasons for the order of the court or tribunal;</w:t>
      </w:r>
    </w:p>
    <w:p w14:paraId="5885A044" w14:textId="77777777" w:rsidR="00D94935" w:rsidRDefault="00D94935" w:rsidP="00D94935">
      <w:pPr>
        <w:pStyle w:val="Apara"/>
      </w:pPr>
      <w:r>
        <w:tab/>
        <w:t>(f)</w:t>
      </w:r>
      <w:r>
        <w:tab/>
        <w:t>process and pleading;</w:t>
      </w:r>
    </w:p>
    <w:p w14:paraId="19623CC1" w14:textId="77777777" w:rsidR="00D94935" w:rsidRDefault="00D94935" w:rsidP="00D94935">
      <w:pPr>
        <w:pStyle w:val="Apara"/>
        <w:keepNext/>
      </w:pPr>
      <w:r>
        <w:tab/>
        <w:t>(g)</w:t>
      </w:r>
      <w:r>
        <w:tab/>
        <w:t>evidence, as follows:</w:t>
      </w:r>
    </w:p>
    <w:p w14:paraId="68C168BD" w14:textId="77777777" w:rsidR="00D94935" w:rsidRDefault="00D94935" w:rsidP="00D94935">
      <w:pPr>
        <w:pStyle w:val="Asubpara"/>
      </w:pPr>
      <w:r>
        <w:tab/>
        <w:t>(i)</w:t>
      </w:r>
      <w:r>
        <w:tab/>
        <w:t>the transcript of any oral evidence;</w:t>
      </w:r>
    </w:p>
    <w:p w14:paraId="5EDC1671" w14:textId="77777777" w:rsidR="00D94935" w:rsidRDefault="00D94935" w:rsidP="00D94935">
      <w:pPr>
        <w:pStyle w:val="Asubpara"/>
        <w:keepLines/>
      </w:pPr>
      <w:r>
        <w:tab/>
        <w:t>(ii)</w:t>
      </w:r>
      <w:r>
        <w:tab/>
        <w:t>affidavit evidence;</w:t>
      </w:r>
    </w:p>
    <w:p w14:paraId="3C55C996" w14:textId="77777777"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14:paraId="422365D8" w14:textId="77777777" w:rsidR="00D94935" w:rsidRDefault="00D94935" w:rsidP="00D94935">
      <w:pPr>
        <w:pStyle w:val="Asubpara"/>
      </w:pPr>
      <w:r>
        <w:tab/>
        <w:t>(iv)</w:t>
      </w:r>
      <w:r>
        <w:tab/>
        <w:t>a list of exhibits that are not documents;</w:t>
      </w:r>
    </w:p>
    <w:p w14:paraId="6306EDF4" w14:textId="77777777" w:rsidR="00D94935" w:rsidRDefault="00D94935" w:rsidP="00D94935">
      <w:pPr>
        <w:pStyle w:val="Apara"/>
      </w:pPr>
      <w:r>
        <w:tab/>
        <w:t>(h)</w:t>
      </w:r>
      <w:r>
        <w:tab/>
        <w:t>the certificate under rule 5134 (1) (Appeals to Supreme Court—filing and serving appeal papers).</w:t>
      </w:r>
    </w:p>
    <w:p w14:paraId="1BE3855B" w14:textId="77777777"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14:paraId="027FB42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782DEEB6" w14:textId="77777777" w:rsidR="00D94935" w:rsidRDefault="00D94935" w:rsidP="00D94935">
      <w:pPr>
        <w:pStyle w:val="AH5Sec"/>
      </w:pPr>
      <w:bookmarkStart w:id="1434" w:name="_Toc185515050"/>
      <w:r w:rsidRPr="00C8328B">
        <w:rPr>
          <w:rStyle w:val="CharSectNo"/>
        </w:rPr>
        <w:t>5133</w:t>
      </w:r>
      <w:r>
        <w:tab/>
        <w:t>Appeals to Supreme Court—presentation of appeal papers</w:t>
      </w:r>
      <w:bookmarkEnd w:id="1434"/>
    </w:p>
    <w:p w14:paraId="152BBA14" w14:textId="77777777" w:rsidR="00D94935" w:rsidRDefault="00D94935" w:rsidP="00D94935">
      <w:pPr>
        <w:pStyle w:val="Amain"/>
        <w:keepNext/>
      </w:pPr>
      <w:r>
        <w:tab/>
        <w:t>(1)</w:t>
      </w:r>
      <w:r>
        <w:tab/>
        <w:t>The appeal papers must be—</w:t>
      </w:r>
    </w:p>
    <w:p w14:paraId="498E4258" w14:textId="77777777" w:rsidR="00D94935" w:rsidRDefault="00D94935" w:rsidP="00D94935">
      <w:pPr>
        <w:pStyle w:val="Apara"/>
      </w:pPr>
      <w:r>
        <w:tab/>
        <w:t>(a)</w:t>
      </w:r>
      <w:r>
        <w:tab/>
        <w:t>paginated; and</w:t>
      </w:r>
    </w:p>
    <w:p w14:paraId="0281F6E4" w14:textId="16F8517B" w:rsidR="004624D0" w:rsidRPr="00C1177F" w:rsidRDefault="004624D0" w:rsidP="004624D0">
      <w:pPr>
        <w:pStyle w:val="Apara"/>
      </w:pPr>
      <w:r w:rsidRPr="00C1177F">
        <w:tab/>
        <w:t>(b)</w:t>
      </w:r>
      <w:r w:rsidRPr="00C1177F">
        <w:tab/>
        <w:t>clear and legible; and</w:t>
      </w:r>
    </w:p>
    <w:p w14:paraId="4EE9358F" w14:textId="625DB09B" w:rsidR="004624D0" w:rsidRPr="00C1177F" w:rsidRDefault="004624D0" w:rsidP="004624D0">
      <w:pPr>
        <w:pStyle w:val="Apara"/>
      </w:pPr>
      <w:r w:rsidRPr="00C1177F">
        <w:tab/>
        <w:t>(c)</w:t>
      </w:r>
      <w:r w:rsidRPr="00C1177F">
        <w:tab/>
        <w:t>if filed in paper form—securely fastened but need not be bound.</w:t>
      </w:r>
    </w:p>
    <w:p w14:paraId="563D8F8D" w14:textId="77777777" w:rsidR="00D94935" w:rsidRDefault="00D94935" w:rsidP="00D94935">
      <w:pPr>
        <w:pStyle w:val="Amain"/>
      </w:pPr>
      <w:r>
        <w:tab/>
        <w:t>(2)</w:t>
      </w:r>
      <w:r>
        <w:tab/>
        <w:t>The registrar must be satisfied about the presentation of the appeal papers.</w:t>
      </w:r>
    </w:p>
    <w:p w14:paraId="12B8FCE7" w14:textId="77777777" w:rsidR="00D94935" w:rsidRDefault="00D94935" w:rsidP="00D94935">
      <w:pPr>
        <w:pStyle w:val="Amain"/>
      </w:pPr>
      <w:r>
        <w:tab/>
        <w:t>(3)</w:t>
      </w:r>
      <w:r>
        <w:tab/>
        <w:t>The requirements of this rule are subject to any direction given by the Supreme Court on application by a party or on its own initiative.</w:t>
      </w:r>
    </w:p>
    <w:p w14:paraId="5DCAD3E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492F2DCA" w14:textId="77777777" w:rsidR="00D94935" w:rsidRDefault="00D94935" w:rsidP="00D94935">
      <w:pPr>
        <w:pStyle w:val="AH5Sec"/>
      </w:pPr>
      <w:bookmarkStart w:id="1435" w:name="_Toc185515051"/>
      <w:r w:rsidRPr="00C8328B">
        <w:rPr>
          <w:rStyle w:val="CharSectNo"/>
        </w:rPr>
        <w:t>5134</w:t>
      </w:r>
      <w:r>
        <w:tab/>
        <w:t>Appeals to Supreme Court—filing and serving appeal papers</w:t>
      </w:r>
      <w:bookmarkEnd w:id="1435"/>
    </w:p>
    <w:p w14:paraId="31FC6A10" w14:textId="77777777"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14:paraId="3B7DACD2" w14:textId="6DCBAC84"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71" w:history="1">
        <w:r w:rsidRPr="00CC08D0">
          <w:rPr>
            <w:rStyle w:val="charCitHyperlinkAbbrev"/>
          </w:rPr>
          <w:t>AF2006-391</w:t>
        </w:r>
      </w:hyperlink>
      <w:r>
        <w:t>.</w:t>
      </w:r>
    </w:p>
    <w:p w14:paraId="5F5BD94A" w14:textId="77777777"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14:paraId="61ABE664" w14:textId="77777777" w:rsidR="00D94935" w:rsidRDefault="00D94935" w:rsidP="00D94935">
      <w:pPr>
        <w:pStyle w:val="AH5Sec"/>
      </w:pPr>
      <w:bookmarkStart w:id="1436" w:name="_Toc185515052"/>
      <w:r w:rsidRPr="00C8328B">
        <w:rPr>
          <w:rStyle w:val="CharSectNo"/>
        </w:rPr>
        <w:lastRenderedPageBreak/>
        <w:t>5135</w:t>
      </w:r>
      <w:r>
        <w:tab/>
        <w:t>Appeals to Supreme Court—setting appeal for hearing</w:t>
      </w:r>
      <w:bookmarkEnd w:id="1436"/>
    </w:p>
    <w:p w14:paraId="1AB2637F" w14:textId="77777777"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14:paraId="489FB875" w14:textId="77777777" w:rsidR="00D94935" w:rsidRDefault="00D94935" w:rsidP="00D94935">
      <w:pPr>
        <w:pStyle w:val="Amain"/>
      </w:pPr>
      <w:r>
        <w:tab/>
        <w:t>(2)</w:t>
      </w:r>
      <w:r>
        <w:tab/>
        <w:t>The registrar may set a hearing date for the appeal when the registrar is satisfied that the appeal is ready for hearing.</w:t>
      </w:r>
    </w:p>
    <w:p w14:paraId="3274389F" w14:textId="77777777" w:rsidR="00D94935" w:rsidRDefault="00D94935" w:rsidP="00D94935">
      <w:pPr>
        <w:pStyle w:val="Amain"/>
      </w:pPr>
      <w:r>
        <w:tab/>
        <w:t>(3)</w:t>
      </w:r>
      <w:r>
        <w:tab/>
        <w:t>The registrar may set the date on application to the registrar by any party to the appeal or on the registrar’s own initiative.</w:t>
      </w:r>
    </w:p>
    <w:p w14:paraId="2FACF69E" w14:textId="77777777" w:rsidR="00D94935" w:rsidRDefault="00D94935" w:rsidP="00D94935">
      <w:pPr>
        <w:pStyle w:val="Amain"/>
      </w:pPr>
      <w:r>
        <w:tab/>
        <w:t>(4)</w:t>
      </w:r>
      <w:r>
        <w:tab/>
        <w:t>The registrar must tell the parties the hearing date set for the appeal.</w:t>
      </w:r>
    </w:p>
    <w:p w14:paraId="197DD07C" w14:textId="77777777" w:rsidR="00D94935" w:rsidRDefault="00D94935" w:rsidP="00D94935">
      <w:pPr>
        <w:pStyle w:val="AH5Sec"/>
      </w:pPr>
      <w:bookmarkStart w:id="1437" w:name="_Toc185515053"/>
      <w:r w:rsidRPr="00C8328B">
        <w:rPr>
          <w:rStyle w:val="CharSectNo"/>
        </w:rPr>
        <w:t>5136</w:t>
      </w:r>
      <w:r>
        <w:tab/>
        <w:t>Appeals to Supreme Court—changing appeal hearing date</w:t>
      </w:r>
      <w:bookmarkEnd w:id="1437"/>
    </w:p>
    <w:p w14:paraId="0AB3EAA9" w14:textId="77777777"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14:paraId="333DFF0E" w14:textId="77777777" w:rsidR="00D94935" w:rsidRDefault="00D94935" w:rsidP="00D94935">
      <w:pPr>
        <w:pStyle w:val="Amain"/>
      </w:pPr>
      <w:r>
        <w:tab/>
        <w:t>(2)</w:t>
      </w:r>
      <w:r>
        <w:tab/>
        <w:t>The Supreme Court may make an order under subrule (1) on the application of a party to the appeal or on its own initiative.</w:t>
      </w:r>
    </w:p>
    <w:p w14:paraId="6C6E959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696EF749" w14:textId="77777777" w:rsidR="00D94935" w:rsidRDefault="00D94935" w:rsidP="00D94935">
      <w:pPr>
        <w:pStyle w:val="AH5Sec"/>
      </w:pPr>
      <w:bookmarkStart w:id="1438" w:name="_Toc185515054"/>
      <w:r w:rsidRPr="00C8328B">
        <w:rPr>
          <w:rStyle w:val="CharSectNo"/>
        </w:rPr>
        <w:t>5137</w:t>
      </w:r>
      <w:r>
        <w:tab/>
        <w:t>Appeals to Supreme Court—written summary and list for appeal hearing</w:t>
      </w:r>
      <w:bookmarkEnd w:id="1438"/>
    </w:p>
    <w:p w14:paraId="6111958B" w14:textId="77777777"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14:paraId="7AA2D028"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5318867E" w14:textId="5F9D5648" w:rsidR="00D94935" w:rsidRDefault="00D94935" w:rsidP="00D94935">
      <w:pPr>
        <w:pStyle w:val="Amain"/>
      </w:pPr>
      <w:r>
        <w:lastRenderedPageBreak/>
        <w:tab/>
        <w:t>(2)</w:t>
      </w:r>
      <w:r>
        <w:tab/>
        <w:t xml:space="preserve">At least </w:t>
      </w:r>
      <w:r w:rsidR="00736AA2">
        <w:t>14</w:t>
      </w:r>
      <w:r>
        <w:t xml:space="preserve"> days before the day set for the start of the hearing of the appeal, each appellant must—</w:t>
      </w:r>
    </w:p>
    <w:p w14:paraId="6EEC6244" w14:textId="77777777" w:rsidR="00D94935" w:rsidRDefault="00D94935" w:rsidP="00D94935">
      <w:pPr>
        <w:pStyle w:val="Apara"/>
      </w:pPr>
      <w:r>
        <w:tab/>
        <w:t>(a)</w:t>
      </w:r>
      <w:r>
        <w:tab/>
        <w:t>file in the Supreme Court the appellant’s summary and list, and serve a copy of each on each other party to the appeal; and</w:t>
      </w:r>
    </w:p>
    <w:p w14:paraId="7D82CA61" w14:textId="77777777" w:rsidR="00D94935" w:rsidRDefault="00D94935" w:rsidP="00D94935">
      <w:pPr>
        <w:pStyle w:val="Apara"/>
      </w:pPr>
      <w:r>
        <w:tab/>
        <w:t>(b)</w:t>
      </w:r>
      <w:r>
        <w:tab/>
        <w:t>file in the court a copy of each authority and item of legislation mentioned in the list.</w:t>
      </w:r>
    </w:p>
    <w:p w14:paraId="1D9AD8DC" w14:textId="00E884EE" w:rsidR="00D94935" w:rsidRDefault="00D94935" w:rsidP="00D94935">
      <w:pPr>
        <w:pStyle w:val="Amain"/>
      </w:pPr>
      <w:r>
        <w:tab/>
        <w:t>(3)</w:t>
      </w:r>
      <w:r>
        <w:tab/>
        <w:t xml:space="preserve">At least </w:t>
      </w:r>
      <w:r w:rsidR="00D825E5">
        <w:t>7</w:t>
      </w:r>
      <w:r>
        <w:t xml:space="preserve"> days before the day set for the start of the hearing of the appeal, each respondent must—</w:t>
      </w:r>
    </w:p>
    <w:p w14:paraId="587E3FDF" w14:textId="77777777" w:rsidR="00D94935" w:rsidRDefault="00D94935" w:rsidP="00D94935">
      <w:pPr>
        <w:pStyle w:val="Apara"/>
      </w:pPr>
      <w:r>
        <w:tab/>
        <w:t>(a)</w:t>
      </w:r>
      <w:r>
        <w:tab/>
        <w:t>file in the Supreme Court the respondent’s summary and list, and serve a copy of each on each other party to the appeal; and</w:t>
      </w:r>
    </w:p>
    <w:p w14:paraId="7E652094" w14:textId="77777777" w:rsidR="00D94935" w:rsidRDefault="00D94935" w:rsidP="00D94935">
      <w:pPr>
        <w:pStyle w:val="Apara"/>
      </w:pPr>
      <w:r>
        <w:tab/>
        <w:t>(b)</w:t>
      </w:r>
      <w:r>
        <w:tab/>
        <w:t>file in the court a copy of each authority and item of legislation mentioned in the list.</w:t>
      </w:r>
    </w:p>
    <w:p w14:paraId="089FD46A" w14:textId="46E39559" w:rsidR="00D94935" w:rsidRDefault="00D94935" w:rsidP="00D94935">
      <w:pPr>
        <w:pStyle w:val="Amain"/>
      </w:pPr>
      <w:r>
        <w:tab/>
        <w:t>(4)</w:t>
      </w:r>
      <w:r>
        <w:tab/>
        <w:t xml:space="preserve">At least </w:t>
      </w:r>
      <w:r w:rsidR="00D825E5">
        <w:t>2</w:t>
      </w:r>
      <w:r>
        <w:t xml:space="preserve"> day</w:t>
      </w:r>
      <w:r w:rsidR="00D825E5">
        <w:t>s</w:t>
      </w:r>
      <w:r>
        <w:t xml:space="preserve"> before the day set for the start of the hearing of the appeal, each appellant may file in the Supreme Court a written summary of arguments in reply, and serve a copy on each other party to the appeal.</w:t>
      </w:r>
    </w:p>
    <w:p w14:paraId="76A4A9B7" w14:textId="77777777" w:rsidR="00D94935" w:rsidRDefault="00D94935" w:rsidP="00D94935">
      <w:pPr>
        <w:pStyle w:val="AH5Sec"/>
      </w:pPr>
      <w:bookmarkStart w:id="1439" w:name="_Toc185515055"/>
      <w:r w:rsidRPr="00C8328B">
        <w:rPr>
          <w:rStyle w:val="CharSectNo"/>
        </w:rPr>
        <w:t>5138</w:t>
      </w:r>
      <w:r>
        <w:tab/>
        <w:t>Appeals to Supreme Court—summaries of arguments</w:t>
      </w:r>
      <w:bookmarkEnd w:id="1439"/>
    </w:p>
    <w:p w14:paraId="260FCF10" w14:textId="77777777" w:rsidR="00D94935" w:rsidRDefault="00D94935" w:rsidP="00803799">
      <w:pPr>
        <w:pStyle w:val="Amain"/>
        <w:keepNext/>
      </w:pPr>
      <w:r>
        <w:tab/>
        <w:t>(1)</w:t>
      </w:r>
      <w:r>
        <w:tab/>
        <w:t>A party’s summary of arguments must state as briefly as possible—</w:t>
      </w:r>
    </w:p>
    <w:p w14:paraId="47875CC6" w14:textId="77777777" w:rsidR="00D94935" w:rsidRDefault="00D94935" w:rsidP="00803799">
      <w:pPr>
        <w:pStyle w:val="Apara"/>
        <w:keepNext/>
      </w:pPr>
      <w:r>
        <w:tab/>
        <w:t>(a)</w:t>
      </w:r>
      <w:r>
        <w:tab/>
        <w:t>the issues in the appeal; and</w:t>
      </w:r>
    </w:p>
    <w:p w14:paraId="2EFEE81B" w14:textId="77777777"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14:paraId="041B14ED" w14:textId="77777777" w:rsidR="00D94935" w:rsidRDefault="00D94935" w:rsidP="00D94935">
      <w:pPr>
        <w:pStyle w:val="Apara"/>
      </w:pPr>
      <w:r>
        <w:tab/>
        <w:t>(c)</w:t>
      </w:r>
      <w:r>
        <w:tab/>
        <w:t>if there is to be a challenge to any of the findings of fact of the court or tribunal—</w:t>
      </w:r>
    </w:p>
    <w:p w14:paraId="1DFE75A8" w14:textId="77777777" w:rsidR="00D94935" w:rsidRDefault="00D94935" w:rsidP="00D94935">
      <w:pPr>
        <w:pStyle w:val="Asubpara"/>
      </w:pPr>
      <w:r>
        <w:tab/>
        <w:t>(i)</w:t>
      </w:r>
      <w:r>
        <w:tab/>
        <w:t>the claimed error (including any failure to make a finding of fact); and</w:t>
      </w:r>
    </w:p>
    <w:p w14:paraId="45F4724A" w14:textId="77777777" w:rsidR="00D94935" w:rsidRDefault="00D94935" w:rsidP="00D94935">
      <w:pPr>
        <w:pStyle w:val="Asubpara"/>
      </w:pPr>
      <w:r>
        <w:tab/>
        <w:t>(ii)</w:t>
      </w:r>
      <w:r>
        <w:tab/>
        <w:t>the reasons why the party considers the finding was an error; and</w:t>
      </w:r>
    </w:p>
    <w:p w14:paraId="4DD16CEE" w14:textId="77777777" w:rsidR="00D94935" w:rsidRDefault="00D94935" w:rsidP="00D94935">
      <w:pPr>
        <w:pStyle w:val="Asubpara"/>
      </w:pPr>
      <w:r>
        <w:lastRenderedPageBreak/>
        <w:tab/>
        <w:t>(iii)</w:t>
      </w:r>
      <w:r>
        <w:tab/>
        <w:t>the finding that the party considers should have been made; and</w:t>
      </w:r>
    </w:p>
    <w:p w14:paraId="764CBD73" w14:textId="77777777" w:rsidR="00D94935" w:rsidRDefault="00D94935" w:rsidP="00D94935">
      <w:pPr>
        <w:pStyle w:val="Apara"/>
      </w:pPr>
      <w:r>
        <w:tab/>
        <w:t>(d)</w:t>
      </w:r>
      <w:r>
        <w:tab/>
        <w:t>for an appellant—a chronology of the facts; and</w:t>
      </w:r>
    </w:p>
    <w:p w14:paraId="790CE08E" w14:textId="77777777"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14:paraId="7E0FAA7B" w14:textId="77777777" w:rsidR="00D94935" w:rsidRDefault="00D94935" w:rsidP="00D94935">
      <w:pPr>
        <w:pStyle w:val="Amain"/>
      </w:pPr>
      <w:r>
        <w:tab/>
        <w:t>(2)</w:t>
      </w:r>
      <w:r>
        <w:tab/>
        <w:t>If the summary relies on a matter in another document, the summary must—</w:t>
      </w:r>
    </w:p>
    <w:p w14:paraId="3A0C3D79" w14:textId="77777777" w:rsidR="00D94935" w:rsidRDefault="00D94935" w:rsidP="00D94935">
      <w:pPr>
        <w:pStyle w:val="Apara"/>
      </w:pPr>
      <w:r>
        <w:tab/>
        <w:t>(a)</w:t>
      </w:r>
      <w:r>
        <w:tab/>
        <w:t>for a document mentioned in rule 5139 (3) (a) to (c)—identify the document as mentioned in the paragraphs; and</w:t>
      </w:r>
    </w:p>
    <w:p w14:paraId="029F307D" w14:textId="77777777" w:rsidR="00D94935" w:rsidRDefault="00D94935" w:rsidP="00D94935">
      <w:pPr>
        <w:pStyle w:val="Apara"/>
      </w:pPr>
      <w:r>
        <w:tab/>
        <w:t>(b)</w:t>
      </w:r>
      <w:r>
        <w:tab/>
        <w:t>for other documents—if relevant, identify the page of the document relied on.</w:t>
      </w:r>
    </w:p>
    <w:p w14:paraId="3013E39C" w14:textId="77777777" w:rsidR="00D94935" w:rsidRDefault="00D94935" w:rsidP="00D94935">
      <w:pPr>
        <w:pStyle w:val="AH5Sec"/>
      </w:pPr>
      <w:bookmarkStart w:id="1440" w:name="_Toc185515056"/>
      <w:r w:rsidRPr="00C8328B">
        <w:rPr>
          <w:rStyle w:val="CharSectNo"/>
        </w:rPr>
        <w:t>5139</w:t>
      </w:r>
      <w:r>
        <w:tab/>
        <w:t>Appeals to Supreme Court—list of authorities, legislation and texts</w:t>
      </w:r>
      <w:bookmarkEnd w:id="1440"/>
    </w:p>
    <w:p w14:paraId="060F93FF" w14:textId="77777777"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14:paraId="1EAD4A39" w14:textId="77777777" w:rsidR="00D94935" w:rsidRDefault="00D94935" w:rsidP="00D94935">
      <w:pPr>
        <w:pStyle w:val="Amain"/>
      </w:pPr>
      <w:r>
        <w:tab/>
        <w:t>(2)</w:t>
      </w:r>
      <w:r>
        <w:tab/>
        <w:t>A party’s list of authorities, legislation and texts may be divided into 2 parts (parts A and B) and list any authority, legislation or text—</w:t>
      </w:r>
    </w:p>
    <w:p w14:paraId="7905231A" w14:textId="77777777" w:rsidR="00D94935" w:rsidRDefault="00D94935" w:rsidP="00D94935">
      <w:pPr>
        <w:pStyle w:val="Apara"/>
      </w:pPr>
      <w:r>
        <w:tab/>
        <w:t>(a)</w:t>
      </w:r>
      <w:r>
        <w:tab/>
        <w:t>in part A—that the party expects will be quoted from by the party; and</w:t>
      </w:r>
    </w:p>
    <w:p w14:paraId="552097B4" w14:textId="77777777" w:rsidR="00D94935" w:rsidRDefault="00D94935" w:rsidP="00D94935">
      <w:pPr>
        <w:pStyle w:val="Apara"/>
      </w:pPr>
      <w:r>
        <w:tab/>
        <w:t>(b)</w:t>
      </w:r>
      <w:r>
        <w:tab/>
        <w:t>in part B—that may be referred to by the party.</w:t>
      </w:r>
    </w:p>
    <w:p w14:paraId="5E68A696" w14:textId="77777777" w:rsidR="00D94935" w:rsidRDefault="00D94935" w:rsidP="00D94935">
      <w:pPr>
        <w:pStyle w:val="Amain"/>
        <w:keepNext/>
      </w:pPr>
      <w:r>
        <w:tab/>
        <w:t>(3)</w:t>
      </w:r>
      <w:r>
        <w:tab/>
        <w:t>An authority, legislation or text must be identified as follows:</w:t>
      </w:r>
    </w:p>
    <w:p w14:paraId="6FCBAC4B" w14:textId="77777777" w:rsidR="00D94935" w:rsidRDefault="00D94935" w:rsidP="00D94935">
      <w:pPr>
        <w:pStyle w:val="Apara"/>
      </w:pPr>
      <w:r>
        <w:tab/>
        <w:t>(a)</w:t>
      </w:r>
      <w:r>
        <w:tab/>
        <w:t xml:space="preserve">for an authority—by case, citation and relevant part; </w:t>
      </w:r>
    </w:p>
    <w:p w14:paraId="739DB759" w14:textId="77777777" w:rsidR="00D94935" w:rsidRDefault="00D94935" w:rsidP="00D94935">
      <w:pPr>
        <w:pStyle w:val="Apara"/>
      </w:pPr>
      <w:r>
        <w:tab/>
        <w:t>(b)</w:t>
      </w:r>
      <w:r>
        <w:tab/>
        <w:t>for legislation—by provision;</w:t>
      </w:r>
    </w:p>
    <w:p w14:paraId="048FC626" w14:textId="77777777" w:rsidR="00D94935" w:rsidRDefault="00D94935" w:rsidP="00D94935">
      <w:pPr>
        <w:pStyle w:val="Apara"/>
      </w:pPr>
      <w:r>
        <w:tab/>
        <w:t>(c)</w:t>
      </w:r>
      <w:r>
        <w:tab/>
        <w:t>for a text—by edition and page number.</w:t>
      </w:r>
    </w:p>
    <w:p w14:paraId="1AB15A2D" w14:textId="77777777" w:rsidR="00D94935" w:rsidRDefault="00D94935" w:rsidP="00D94935">
      <w:pPr>
        <w:pStyle w:val="AH5Sec"/>
      </w:pPr>
      <w:bookmarkStart w:id="1441" w:name="_Toc185515057"/>
      <w:r w:rsidRPr="00C8328B">
        <w:rPr>
          <w:rStyle w:val="CharSectNo"/>
        </w:rPr>
        <w:lastRenderedPageBreak/>
        <w:t>5140</w:t>
      </w:r>
      <w:r>
        <w:tab/>
        <w:t>Appeals to Supreme Court—absence of party</w:t>
      </w:r>
      <w:bookmarkEnd w:id="1441"/>
    </w:p>
    <w:p w14:paraId="20DD36EF" w14:textId="77777777" w:rsidR="00D94935" w:rsidRDefault="00D94935" w:rsidP="00D94935">
      <w:pPr>
        <w:pStyle w:val="Amain"/>
        <w:keepNext/>
      </w:pPr>
      <w:r>
        <w:tab/>
        <w:t>(1)</w:t>
      </w:r>
      <w:r>
        <w:tab/>
        <w:t>If a party is not present when the appeal is called on for hearing, the Supreme Court may—</w:t>
      </w:r>
    </w:p>
    <w:p w14:paraId="61912658" w14:textId="77777777" w:rsidR="00D94935" w:rsidRDefault="00D94935" w:rsidP="00D94935">
      <w:pPr>
        <w:pStyle w:val="Apara"/>
      </w:pPr>
      <w:r>
        <w:tab/>
        <w:t>(a)</w:t>
      </w:r>
      <w:r>
        <w:tab/>
        <w:t>order that the hearing not proceed unless a hearing date is again set for the appeal or the other steps directed by the court are taken; or</w:t>
      </w:r>
    </w:p>
    <w:p w14:paraId="1878EEAA" w14:textId="77777777" w:rsidR="00D94935" w:rsidRDefault="00D94935" w:rsidP="00D94935">
      <w:pPr>
        <w:pStyle w:val="Apara"/>
      </w:pPr>
      <w:r>
        <w:tab/>
        <w:t>(b)</w:t>
      </w:r>
      <w:r>
        <w:tab/>
        <w:t xml:space="preserve">adjourn the hearing; or </w:t>
      </w:r>
    </w:p>
    <w:p w14:paraId="7268AA6D" w14:textId="77777777" w:rsidR="00D94935" w:rsidRDefault="00D94935" w:rsidP="00D94935">
      <w:pPr>
        <w:pStyle w:val="Apara"/>
      </w:pPr>
      <w:r>
        <w:tab/>
        <w:t>(c)</w:t>
      </w:r>
      <w:r>
        <w:tab/>
        <w:t>if the absent party is an appellant or cross-appellant—dismiss the appeal or cross-appeal; or</w:t>
      </w:r>
    </w:p>
    <w:p w14:paraId="345EFA0E" w14:textId="77777777" w:rsidR="00D94935" w:rsidRDefault="00D94935" w:rsidP="00D94935">
      <w:pPr>
        <w:pStyle w:val="Apara"/>
      </w:pPr>
      <w:r>
        <w:tab/>
        <w:t>(d)</w:t>
      </w:r>
      <w:r>
        <w:tab/>
        <w:t>proceed with the hearing, either generally or in relation to the order sought in the appeal; or</w:t>
      </w:r>
    </w:p>
    <w:p w14:paraId="3AABB8A3" w14:textId="3AAE42FC" w:rsidR="00D94935" w:rsidRDefault="00D94935" w:rsidP="00803799">
      <w:pPr>
        <w:pStyle w:val="Apara"/>
        <w:keepLines/>
      </w:pPr>
      <w:r>
        <w:tab/>
        <w:t>(e)</w:t>
      </w:r>
      <w:r>
        <w:tab/>
        <w:t xml:space="preserve">for an appeal against a conviction or sentence mentioned in the </w:t>
      </w:r>
      <w:hyperlink r:id="rId672"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14:paraId="68D71EFA" w14:textId="77777777" w:rsidR="00D94935" w:rsidRDefault="00D94935" w:rsidP="00D94935">
      <w:pPr>
        <w:pStyle w:val="Amain"/>
      </w:pPr>
      <w:r>
        <w:tab/>
        <w:t>(2)</w:t>
      </w:r>
      <w:r>
        <w:tab/>
        <w:t>The Supreme Court may make an order, or do anything else, mentioned in subrule (1) on application by a party to the appeal or on its own initiative.</w:t>
      </w:r>
    </w:p>
    <w:p w14:paraId="1FCC4D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7BD4DAF9" w14:textId="77777777"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14:paraId="2FE176AC" w14:textId="77777777" w:rsidR="00D94935" w:rsidRPr="00C53530" w:rsidRDefault="00D94935" w:rsidP="00D94935">
      <w:pPr>
        <w:pStyle w:val="Apara"/>
      </w:pPr>
      <w:r w:rsidRPr="00C53530">
        <w:tab/>
        <w:t>(a)</w:t>
      </w:r>
      <w:r w:rsidRPr="00C53530">
        <w:tab/>
        <w:t>set aside the dismissal; and</w:t>
      </w:r>
    </w:p>
    <w:p w14:paraId="779273D5" w14:textId="77777777" w:rsidR="00D94935" w:rsidRPr="00C53530" w:rsidRDefault="00D94935" w:rsidP="00D94935">
      <w:pPr>
        <w:pStyle w:val="Apara"/>
      </w:pPr>
      <w:r w:rsidRPr="00C53530">
        <w:tab/>
        <w:t>(b)</w:t>
      </w:r>
      <w:r w:rsidRPr="00C53530">
        <w:tab/>
        <w:t>give directions for the further conduct of the appeal.</w:t>
      </w:r>
    </w:p>
    <w:p w14:paraId="487299EE" w14:textId="77777777"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14:paraId="6F881A7F" w14:textId="77777777" w:rsidR="00D94935" w:rsidRPr="00C53530" w:rsidRDefault="00D94935" w:rsidP="00D94935">
      <w:pPr>
        <w:pStyle w:val="Apara"/>
      </w:pPr>
      <w:r w:rsidRPr="00C53530">
        <w:tab/>
        <w:t>(a)</w:t>
      </w:r>
      <w:r w:rsidRPr="00C53530">
        <w:tab/>
        <w:t>amend or set aside the order; and</w:t>
      </w:r>
    </w:p>
    <w:p w14:paraId="536D6E93" w14:textId="77777777" w:rsidR="00D94935" w:rsidRPr="00C53530" w:rsidRDefault="00D94935" w:rsidP="00D94935">
      <w:pPr>
        <w:pStyle w:val="Apara"/>
      </w:pPr>
      <w:r w:rsidRPr="00C53530">
        <w:tab/>
        <w:t>(b)</w:t>
      </w:r>
      <w:r w:rsidRPr="00C53530">
        <w:tab/>
        <w:t>give directions for the further conduct of the appeal.</w:t>
      </w:r>
    </w:p>
    <w:p w14:paraId="2837E1BC" w14:textId="77777777" w:rsidR="00D94935" w:rsidRDefault="00D94935" w:rsidP="00D94935">
      <w:pPr>
        <w:pStyle w:val="AH5Sec"/>
      </w:pPr>
      <w:bookmarkStart w:id="1442" w:name="_Toc185515058"/>
      <w:r w:rsidRPr="00C8328B">
        <w:rPr>
          <w:rStyle w:val="CharSectNo"/>
        </w:rPr>
        <w:t>5141</w:t>
      </w:r>
      <w:r>
        <w:tab/>
        <w:t>Appeals to Supreme Court—insufficient material</w:t>
      </w:r>
      <w:bookmarkEnd w:id="1442"/>
    </w:p>
    <w:p w14:paraId="02DBA518" w14:textId="77777777" w:rsidR="00D94935" w:rsidRDefault="00D94935" w:rsidP="00D94935">
      <w:pPr>
        <w:pStyle w:val="Amainreturn"/>
      </w:pPr>
      <w:r>
        <w:t>If the Supreme Court considers that it has insufficient material before it to enable it to make a decision on the appeal, it may give all or any of the following directions:</w:t>
      </w:r>
    </w:p>
    <w:p w14:paraId="3F593B3F" w14:textId="77777777" w:rsidR="00D94935" w:rsidRDefault="00D94935" w:rsidP="00D94935">
      <w:pPr>
        <w:pStyle w:val="Apara"/>
      </w:pPr>
      <w:r>
        <w:tab/>
        <w:t>(a)</w:t>
      </w:r>
      <w:r>
        <w:tab/>
        <w:t>that the appeal be adjourned for further consideration;</w:t>
      </w:r>
    </w:p>
    <w:p w14:paraId="5D42BC33" w14:textId="77777777" w:rsidR="00D94935" w:rsidRDefault="00D94935" w:rsidP="00D94935">
      <w:pPr>
        <w:pStyle w:val="Apara"/>
      </w:pPr>
      <w:r>
        <w:tab/>
        <w:t>(b)</w:t>
      </w:r>
      <w:r>
        <w:tab/>
        <w:t>a direction about the issues to be decided that it considers appropriate;</w:t>
      </w:r>
    </w:p>
    <w:p w14:paraId="643AD8FA" w14:textId="77777777" w:rsidR="00D94935" w:rsidRDefault="00D94935" w:rsidP="00D94935">
      <w:pPr>
        <w:pStyle w:val="Apara"/>
      </w:pPr>
      <w:r>
        <w:tab/>
        <w:t>(c)</w:t>
      </w:r>
      <w:r>
        <w:tab/>
        <w:t>a direction about the accounts to be taken, or inquiries made, that it considers appropriate.</w:t>
      </w:r>
    </w:p>
    <w:p w14:paraId="40A2D09A" w14:textId="77777777" w:rsidR="00D94935" w:rsidRPr="00C8328B" w:rsidRDefault="00D94935" w:rsidP="00D94935">
      <w:pPr>
        <w:pStyle w:val="AH3Div"/>
      </w:pPr>
      <w:bookmarkStart w:id="1443" w:name="_Toc185515059"/>
      <w:r w:rsidRPr="00C8328B">
        <w:rPr>
          <w:rStyle w:val="CharDivNo"/>
        </w:rPr>
        <w:t>Division 5.3.6</w:t>
      </w:r>
      <w:r>
        <w:tab/>
      </w:r>
      <w:r w:rsidRPr="00C8328B">
        <w:rPr>
          <w:rStyle w:val="CharDivText"/>
        </w:rPr>
        <w:t>Appeals to Supreme Court—ending all or part of appeal</w:t>
      </w:r>
      <w:bookmarkEnd w:id="1443"/>
    </w:p>
    <w:p w14:paraId="41297F5C" w14:textId="77777777" w:rsidR="00D94935" w:rsidRPr="006364FA" w:rsidRDefault="00D94935" w:rsidP="00D94935">
      <w:pPr>
        <w:pStyle w:val="aNote"/>
        <w:rPr>
          <w:rStyle w:val="charItals"/>
        </w:rPr>
      </w:pPr>
      <w:r w:rsidRPr="006364FA">
        <w:rPr>
          <w:rStyle w:val="charItals"/>
        </w:rPr>
        <w:t>Note to div 5.3.6</w:t>
      </w:r>
    </w:p>
    <w:p w14:paraId="7007B6F9" w14:textId="77777777" w:rsidR="00D94935" w:rsidRDefault="00D94935" w:rsidP="00D94935">
      <w:pPr>
        <w:pStyle w:val="aNote"/>
      </w:pPr>
      <w:r>
        <w:t>See also r 5140 (Appeals to Supreme Court—absence of party).</w:t>
      </w:r>
    </w:p>
    <w:p w14:paraId="73036464" w14:textId="77777777" w:rsidR="00D94935" w:rsidRDefault="00D94935" w:rsidP="00D94935">
      <w:pPr>
        <w:pStyle w:val="AH5Sec"/>
      </w:pPr>
      <w:bookmarkStart w:id="1444" w:name="_Toc185515060"/>
      <w:r w:rsidRPr="00C8328B">
        <w:rPr>
          <w:rStyle w:val="CharSectNo"/>
        </w:rPr>
        <w:t>5170</w:t>
      </w:r>
      <w:r>
        <w:tab/>
        <w:t>Appeals to Supreme Court—abandonment of ground of appeal</w:t>
      </w:r>
      <w:bookmarkEnd w:id="1444"/>
    </w:p>
    <w:p w14:paraId="642F4CEF" w14:textId="77777777" w:rsidR="00D94935" w:rsidRDefault="00D94935" w:rsidP="00D94935">
      <w:pPr>
        <w:pStyle w:val="Amain"/>
      </w:pPr>
      <w:r>
        <w:tab/>
        <w:t>(1)</w:t>
      </w:r>
      <w:r>
        <w:tab/>
        <w:t>This rule applies if an appellant wants to abandon a ground of appeal.</w:t>
      </w:r>
    </w:p>
    <w:p w14:paraId="05A7495D" w14:textId="77777777" w:rsidR="00D94935" w:rsidRDefault="00D94935" w:rsidP="00D94935">
      <w:pPr>
        <w:pStyle w:val="Amain"/>
      </w:pPr>
      <w:r>
        <w:tab/>
        <w:t>(2)</w:t>
      </w:r>
      <w:r>
        <w:tab/>
        <w:t>The appellant must give notice to each other party to the appeal that the ground of appeal will not be relied on.</w:t>
      </w:r>
    </w:p>
    <w:p w14:paraId="7DB634C5" w14:textId="77777777" w:rsidR="00D94935" w:rsidRDefault="00D94935" w:rsidP="00D94935">
      <w:pPr>
        <w:pStyle w:val="Amain"/>
      </w:pPr>
      <w:r>
        <w:tab/>
        <w:t>(3)</w:t>
      </w:r>
      <w:r>
        <w:tab/>
        <w:t>The notice must be given—</w:t>
      </w:r>
    </w:p>
    <w:p w14:paraId="52136E6A" w14:textId="77777777" w:rsidR="00D94935" w:rsidRDefault="00D94935" w:rsidP="00D94935">
      <w:pPr>
        <w:pStyle w:val="Apara"/>
      </w:pPr>
      <w:r>
        <w:tab/>
        <w:t>(a)</w:t>
      </w:r>
      <w:r>
        <w:tab/>
        <w:t>as soon as possible; but</w:t>
      </w:r>
    </w:p>
    <w:p w14:paraId="4E7FB44B" w14:textId="77777777"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14:paraId="14348EA5" w14:textId="77777777"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14:paraId="3F510AE9" w14:textId="77777777" w:rsidR="00D94935" w:rsidRDefault="00D94935" w:rsidP="00D94935">
      <w:pPr>
        <w:pStyle w:val="AH5Sec"/>
      </w:pPr>
      <w:bookmarkStart w:id="1445" w:name="_Toc185515061"/>
      <w:r w:rsidRPr="00C8328B">
        <w:rPr>
          <w:rStyle w:val="CharSectNo"/>
        </w:rPr>
        <w:t>5171</w:t>
      </w:r>
      <w:r>
        <w:tab/>
        <w:t>Appeals to Supreme Court—discontinuance of appeal</w:t>
      </w:r>
      <w:bookmarkEnd w:id="1445"/>
    </w:p>
    <w:p w14:paraId="231C649D" w14:textId="77777777" w:rsidR="00D94935" w:rsidRDefault="00D94935" w:rsidP="00D94935">
      <w:pPr>
        <w:pStyle w:val="Amain"/>
      </w:pPr>
      <w:r>
        <w:tab/>
        <w:t>(1)</w:t>
      </w:r>
      <w:r>
        <w:tab/>
        <w:t>An appellant may discontinue the appeal or a part of the appeal—</w:t>
      </w:r>
    </w:p>
    <w:p w14:paraId="134C97F4" w14:textId="77777777" w:rsidR="00D94935" w:rsidRDefault="00D94935" w:rsidP="00D94935">
      <w:pPr>
        <w:pStyle w:val="Apara"/>
      </w:pPr>
      <w:r>
        <w:tab/>
        <w:t>(a)</w:t>
      </w:r>
      <w:r>
        <w:tab/>
        <w:t>without the Supreme Court’s leave, at any time before the hearing of the appeal; or</w:t>
      </w:r>
    </w:p>
    <w:p w14:paraId="7C6E38F7" w14:textId="77777777" w:rsidR="00D94935" w:rsidRDefault="00D94935" w:rsidP="00D94935">
      <w:pPr>
        <w:pStyle w:val="Apara"/>
        <w:keepNext/>
      </w:pPr>
      <w:r>
        <w:tab/>
        <w:t>(b)</w:t>
      </w:r>
      <w:r>
        <w:tab/>
        <w:t>only with the Supreme Court’s leave, at the hearing or after the hearing and before judgment.</w:t>
      </w:r>
    </w:p>
    <w:p w14:paraId="2B8C46F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F8AD5C8" w14:textId="77777777" w:rsidR="00D94935" w:rsidRDefault="00D94935" w:rsidP="00D94935">
      <w:pPr>
        <w:pStyle w:val="Amain"/>
      </w:pPr>
      <w:r>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14:paraId="4C383D03" w14:textId="77777777" w:rsidR="00D94935" w:rsidRDefault="00D94935" w:rsidP="00D94935">
      <w:pPr>
        <w:pStyle w:val="Apara"/>
      </w:pPr>
      <w:r>
        <w:tab/>
        <w:t>(a)</w:t>
      </w:r>
      <w:r>
        <w:tab/>
        <w:t>the agreement of the director of public prosecutions; or</w:t>
      </w:r>
    </w:p>
    <w:p w14:paraId="24897063" w14:textId="77777777" w:rsidR="00D94935" w:rsidRDefault="00D94935" w:rsidP="00D94935">
      <w:pPr>
        <w:pStyle w:val="Apara"/>
      </w:pPr>
      <w:r>
        <w:tab/>
        <w:t>(b)</w:t>
      </w:r>
      <w:r>
        <w:tab/>
        <w:t>the leave of the Supreme Court.</w:t>
      </w:r>
    </w:p>
    <w:p w14:paraId="47A946B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440A3ED5" w14:textId="77777777" w:rsidR="00D94935" w:rsidRDefault="00D94935" w:rsidP="00A94CFA">
      <w:pPr>
        <w:pStyle w:val="Amain"/>
        <w:keepNext/>
      </w:pPr>
      <w:r>
        <w:tab/>
        <w:t>(3)</w:t>
      </w:r>
      <w:r>
        <w:tab/>
        <w:t>Also, if the appeal is to be decided by written cases under part 5.8 (Written cases), an appellant may discontinue the appeal or a part of the appeal—</w:t>
      </w:r>
    </w:p>
    <w:p w14:paraId="58194A3E" w14:textId="77777777"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14:paraId="5D4216B2" w14:textId="77777777" w:rsidR="00D94935" w:rsidRDefault="00D94935" w:rsidP="00D94935">
      <w:pPr>
        <w:pStyle w:val="Apara"/>
      </w:pPr>
      <w:r>
        <w:lastRenderedPageBreak/>
        <w:tab/>
        <w:t>(b)</w:t>
      </w:r>
      <w:r>
        <w:tab/>
        <w:t>only with the Supreme Court’s leave, at any time after the last day mentioned in paragraph (a), but before judgment.</w:t>
      </w:r>
    </w:p>
    <w:p w14:paraId="4B6D9343" w14:textId="77777777"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14:paraId="45B7610F" w14:textId="77E55C4C"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73" w:history="1">
        <w:r w:rsidRPr="003306F1">
          <w:rPr>
            <w:rStyle w:val="charCitHyperlinkAbbrev"/>
          </w:rPr>
          <w:t>AF2006-392</w:t>
        </w:r>
      </w:hyperlink>
      <w:r>
        <w:t>.</w:t>
      </w:r>
    </w:p>
    <w:p w14:paraId="27134F9F" w14:textId="77777777" w:rsidR="00D94935" w:rsidRDefault="00D94935" w:rsidP="00D94935">
      <w:pPr>
        <w:pStyle w:val="Amain"/>
      </w:pPr>
      <w:r>
        <w:tab/>
        <w:t>(5)</w:t>
      </w:r>
      <w:r>
        <w:tab/>
        <w:t>If the appeal or a part of the appeal is discontinued—</w:t>
      </w:r>
    </w:p>
    <w:p w14:paraId="2AE25211" w14:textId="77777777" w:rsidR="00D94935" w:rsidRDefault="00D94935" w:rsidP="00D94935">
      <w:pPr>
        <w:pStyle w:val="Apara"/>
      </w:pPr>
      <w:r>
        <w:tab/>
        <w:t>(a)</w:t>
      </w:r>
      <w:r>
        <w:tab/>
        <w:t>the appeal or part of the appeal is abandoned by the appellant; and</w:t>
      </w:r>
    </w:p>
    <w:p w14:paraId="47731EB5" w14:textId="77777777" w:rsidR="00D94935" w:rsidRDefault="00D94935" w:rsidP="00D94935">
      <w:pPr>
        <w:pStyle w:val="Apara"/>
      </w:pPr>
      <w:r>
        <w:tab/>
        <w:t>(b)</w:t>
      </w:r>
      <w:r>
        <w:tab/>
        <w:t>the discontinuance does not affect any other appellant in the appeal.</w:t>
      </w:r>
    </w:p>
    <w:p w14:paraId="266DD900" w14:textId="2C25E29F" w:rsidR="00D94935" w:rsidRPr="00AD5834" w:rsidRDefault="00D94935" w:rsidP="00803799">
      <w:pPr>
        <w:pStyle w:val="Amain"/>
        <w:keepLines/>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74"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14:paraId="5F2AA745" w14:textId="77777777"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14:paraId="025FECD8" w14:textId="77777777" w:rsidR="00D94935" w:rsidRDefault="00D94935" w:rsidP="00D94935">
      <w:pPr>
        <w:pStyle w:val="Amain"/>
      </w:pPr>
      <w:r>
        <w:tab/>
        <w:t>(8)</w:t>
      </w:r>
      <w:r>
        <w:tab/>
        <w:t>The Supreme Court may make an order under subrule (7) on application by a party to the appeal or on its own initiative.</w:t>
      </w:r>
    </w:p>
    <w:p w14:paraId="350DC7BA" w14:textId="77777777" w:rsidR="00D94935" w:rsidRDefault="00D94935" w:rsidP="00D94935">
      <w:pPr>
        <w:pStyle w:val="AH5Sec"/>
      </w:pPr>
      <w:bookmarkStart w:id="1446" w:name="_Toc185515062"/>
      <w:r w:rsidRPr="00C8328B">
        <w:rPr>
          <w:rStyle w:val="CharSectNo"/>
        </w:rPr>
        <w:t>5172</w:t>
      </w:r>
      <w:r>
        <w:tab/>
        <w:t>Appeals to Supreme Court—competency of appeal</w:t>
      </w:r>
      <w:bookmarkEnd w:id="1446"/>
    </w:p>
    <w:p w14:paraId="6CB3F952" w14:textId="77777777" w:rsidR="00D94935" w:rsidRDefault="00D94935" w:rsidP="00D94935">
      <w:pPr>
        <w:pStyle w:val="Amain"/>
        <w:keepNext/>
      </w:pPr>
      <w:r>
        <w:tab/>
        <w:t>(1)</w:t>
      </w:r>
      <w:r>
        <w:tab/>
        <w:t>A respondent to the appeal may apply to the Supreme Court at any time for an order striking out the appeal as incompetent.</w:t>
      </w:r>
    </w:p>
    <w:p w14:paraId="4F70AB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81C8DF" w14:textId="77777777" w:rsidR="00D94935" w:rsidRDefault="00D94935" w:rsidP="00D94935">
      <w:pPr>
        <w:pStyle w:val="Amain"/>
      </w:pPr>
      <w:r>
        <w:lastRenderedPageBreak/>
        <w:tab/>
        <w:t>(2)</w:t>
      </w:r>
      <w:r>
        <w:tab/>
        <w:t>The burden of establishing the competency of the appeal is on the appellant.</w:t>
      </w:r>
    </w:p>
    <w:p w14:paraId="7E03D7F1" w14:textId="77777777" w:rsidR="00D94935" w:rsidRDefault="00D94935" w:rsidP="00D94935">
      <w:pPr>
        <w:pStyle w:val="AH5Sec"/>
      </w:pPr>
      <w:bookmarkStart w:id="1447" w:name="_Toc185515063"/>
      <w:r w:rsidRPr="00C8328B">
        <w:rPr>
          <w:rStyle w:val="CharSectNo"/>
        </w:rPr>
        <w:t>5173</w:t>
      </w:r>
      <w:r>
        <w:tab/>
        <w:t>Appeals to Supreme Court—costs for failure to apply for appeal to be struck out as incompetent</w:t>
      </w:r>
      <w:bookmarkEnd w:id="1447"/>
    </w:p>
    <w:p w14:paraId="74803CF2" w14:textId="77777777"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14:paraId="76AF0E9D" w14:textId="77777777" w:rsidR="00D94935" w:rsidRDefault="00D94935" w:rsidP="00D94935">
      <w:pPr>
        <w:pStyle w:val="Amain"/>
      </w:pPr>
      <w:r>
        <w:tab/>
        <w:t>(2)</w:t>
      </w:r>
      <w:r>
        <w:tab/>
        <w:t>The respondent must not receive any costs of the appeal, unless the Supreme Court otherwise orders.</w:t>
      </w:r>
    </w:p>
    <w:p w14:paraId="34D0A33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312F490" w14:textId="77777777"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14:paraId="493D01E4" w14:textId="77777777" w:rsidR="00D94935" w:rsidRDefault="00D94935" w:rsidP="00A94CFA">
      <w:pPr>
        <w:pStyle w:val="Amain"/>
      </w:pPr>
      <w:r>
        <w:tab/>
        <w:t>(4)</w:t>
      </w:r>
      <w:r>
        <w:tab/>
        <w:t>The Supreme Court may make an order under this rule on application by a party to the appeal or on its own initiative.</w:t>
      </w:r>
    </w:p>
    <w:p w14:paraId="447E6FE7" w14:textId="77777777" w:rsidR="00D94935" w:rsidRDefault="00D94935" w:rsidP="00D94935">
      <w:pPr>
        <w:pStyle w:val="AH5Sec"/>
      </w:pPr>
      <w:bookmarkStart w:id="1448" w:name="_Toc185515064"/>
      <w:r w:rsidRPr="00C8328B">
        <w:rPr>
          <w:rStyle w:val="CharSectNo"/>
        </w:rPr>
        <w:t>5174</w:t>
      </w:r>
      <w:r>
        <w:tab/>
        <w:t>Appeals to Supreme Court—dismissal by consent</w:t>
      </w:r>
      <w:bookmarkEnd w:id="1448"/>
    </w:p>
    <w:p w14:paraId="4197D639" w14:textId="77777777" w:rsidR="00D94935" w:rsidRDefault="00D94935" w:rsidP="00A94CFA">
      <w:pPr>
        <w:pStyle w:val="Amain"/>
        <w:keepNext/>
      </w:pPr>
      <w:r>
        <w:tab/>
        <w:t>(1)</w:t>
      </w:r>
      <w:r>
        <w:tab/>
        <w:t>The parties to the appeal may agree that the appeal be dismissed by consent.</w:t>
      </w:r>
    </w:p>
    <w:p w14:paraId="7902125C" w14:textId="77777777" w:rsidR="00D94935" w:rsidRDefault="00D94935" w:rsidP="00D94935">
      <w:pPr>
        <w:pStyle w:val="Amain"/>
      </w:pPr>
      <w:r>
        <w:tab/>
        <w:t>(2)</w:t>
      </w:r>
      <w:r>
        <w:tab/>
        <w:t>Rule 1612 (Orders—by consent in proceeding) applies, with any necessary changes, to an order for the dismissal of the appeal by consent.</w:t>
      </w:r>
    </w:p>
    <w:p w14:paraId="5F874277" w14:textId="77777777" w:rsidR="00D94935" w:rsidRDefault="00D94935" w:rsidP="00D94935">
      <w:pPr>
        <w:pStyle w:val="Amain"/>
      </w:pPr>
      <w:r>
        <w:tab/>
        <w:t>(3)</w:t>
      </w:r>
      <w:r>
        <w:tab/>
        <w:t>Without limiting subrule (2), the order may provide that—</w:t>
      </w:r>
    </w:p>
    <w:p w14:paraId="630DB08F" w14:textId="77777777" w:rsidR="00D94935" w:rsidRDefault="00D94935" w:rsidP="00D94935">
      <w:pPr>
        <w:pStyle w:val="Apara"/>
      </w:pPr>
      <w:r>
        <w:tab/>
        <w:t>(a)</w:t>
      </w:r>
      <w:r>
        <w:tab/>
        <w:t>an amount secured for the costs of the appeal be paid to a party stated in the order; or</w:t>
      </w:r>
    </w:p>
    <w:p w14:paraId="1F3B5C48" w14:textId="77777777" w:rsidR="00D94935" w:rsidRDefault="00D94935" w:rsidP="00D94935">
      <w:pPr>
        <w:pStyle w:val="Apara"/>
      </w:pPr>
      <w:r>
        <w:tab/>
        <w:t>(b)</w:t>
      </w:r>
      <w:r>
        <w:tab/>
        <w:t>the appellant pay the respondent’s costs of the appeal to be assessed; or</w:t>
      </w:r>
    </w:p>
    <w:p w14:paraId="434FF313" w14:textId="77777777" w:rsidR="00D94935" w:rsidRDefault="00D94935" w:rsidP="00D94935">
      <w:pPr>
        <w:pStyle w:val="Apara"/>
      </w:pPr>
      <w:r>
        <w:lastRenderedPageBreak/>
        <w:tab/>
        <w:t>(c)</w:t>
      </w:r>
      <w:r>
        <w:tab/>
        <w:t>the appellant pay the respondent’s costs of the appeal agreed as a stated amount; or</w:t>
      </w:r>
    </w:p>
    <w:p w14:paraId="6D2CED3A"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6F95B54A" w14:textId="77777777" w:rsidR="00D94935" w:rsidRDefault="00D94935" w:rsidP="00D94935">
      <w:pPr>
        <w:pStyle w:val="Apara"/>
      </w:pPr>
      <w:r>
        <w:tab/>
        <w:t>(e)</w:t>
      </w:r>
      <w:r>
        <w:tab/>
        <w:t>there be no order for the costs of the appeal.</w:t>
      </w:r>
    </w:p>
    <w:p w14:paraId="5D58D563" w14:textId="77777777"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14:paraId="33FF1A6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5CA46FF4" w14:textId="77777777" w:rsidR="00D94935" w:rsidRDefault="00D94935" w:rsidP="00D94935">
      <w:pPr>
        <w:pStyle w:val="Amain"/>
      </w:pPr>
      <w:r>
        <w:tab/>
        <w:t>(5)</w:t>
      </w:r>
      <w:r>
        <w:tab/>
        <w:t>The payment may be made to the solicitor on the record for the respondent.</w:t>
      </w:r>
    </w:p>
    <w:p w14:paraId="2B67C69F" w14:textId="77777777" w:rsidR="00D94935" w:rsidRDefault="00D94935" w:rsidP="00D94935">
      <w:pPr>
        <w:pStyle w:val="AH5Sec"/>
      </w:pPr>
      <w:bookmarkStart w:id="1449" w:name="_Toc185515065"/>
      <w:r w:rsidRPr="00C8328B">
        <w:rPr>
          <w:rStyle w:val="CharSectNo"/>
        </w:rPr>
        <w:t>5175</w:t>
      </w:r>
      <w:r>
        <w:tab/>
        <w:t>Appeals to Supreme Court—consent orders</w:t>
      </w:r>
      <w:bookmarkEnd w:id="1449"/>
    </w:p>
    <w:p w14:paraId="473B9994" w14:textId="77777777"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14:paraId="547F981C" w14:textId="77777777" w:rsidR="00D94935" w:rsidRPr="00C8328B" w:rsidRDefault="00D94935" w:rsidP="00D94935">
      <w:pPr>
        <w:pStyle w:val="AH3Div"/>
      </w:pPr>
      <w:bookmarkStart w:id="1450" w:name="_Toc185515066"/>
      <w:r w:rsidRPr="00C8328B">
        <w:rPr>
          <w:rStyle w:val="CharDivNo"/>
        </w:rPr>
        <w:t>Division 5.3.7</w:t>
      </w:r>
      <w:r>
        <w:tab/>
      </w:r>
      <w:r w:rsidRPr="00C8328B">
        <w:rPr>
          <w:rStyle w:val="CharDivText"/>
        </w:rPr>
        <w:t>Appeals to Supreme Court—miscellaneous</w:t>
      </w:r>
      <w:bookmarkEnd w:id="1450"/>
    </w:p>
    <w:p w14:paraId="3DFB3FBE" w14:textId="77777777" w:rsidR="00D94935" w:rsidRDefault="00D94935" w:rsidP="00D94935">
      <w:pPr>
        <w:pStyle w:val="AH5Sec"/>
      </w:pPr>
      <w:bookmarkStart w:id="1451" w:name="_Toc185515067"/>
      <w:r w:rsidRPr="00C8328B">
        <w:rPr>
          <w:rStyle w:val="CharSectNo"/>
        </w:rPr>
        <w:t>5190</w:t>
      </w:r>
      <w:r>
        <w:tab/>
        <w:t>Appeals to Supreme Court—directions about appeal etc</w:t>
      </w:r>
      <w:bookmarkEnd w:id="1451"/>
    </w:p>
    <w:p w14:paraId="6AC92022" w14:textId="77777777"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14:paraId="40E29676" w14:textId="77777777"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14:paraId="4FB30C1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22E4161E" w14:textId="77777777" w:rsidR="00D94935" w:rsidRDefault="00D94935" w:rsidP="00D94935">
      <w:pPr>
        <w:pStyle w:val="Amain"/>
      </w:pPr>
      <w:r>
        <w:tab/>
        <w:t>(3)</w:t>
      </w:r>
      <w:r>
        <w:tab/>
        <w:t>In deciding whether to give a direction under this rule, the interests of justice are paramount.</w:t>
      </w:r>
    </w:p>
    <w:p w14:paraId="23313A1E" w14:textId="77777777" w:rsidR="00D94935" w:rsidRDefault="00D94935" w:rsidP="00D94935">
      <w:pPr>
        <w:pStyle w:val="Amain"/>
      </w:pPr>
      <w:r>
        <w:tab/>
        <w:t>(4)</w:t>
      </w:r>
      <w:r>
        <w:tab/>
        <w:t>If a direction under this rule is inconsistent with another provision of these rules, the direction prevails to the extent of the inconsistency.</w:t>
      </w:r>
    </w:p>
    <w:p w14:paraId="328F53BC" w14:textId="77777777" w:rsidR="00D94935" w:rsidRDefault="00D94935" w:rsidP="00D94935">
      <w:pPr>
        <w:pStyle w:val="Amain"/>
      </w:pPr>
      <w:r>
        <w:tab/>
        <w:t>(5)</w:t>
      </w:r>
      <w:r>
        <w:tab/>
        <w:t>The court may at any time amend or revoke a direction made under this rule on application by a party or on its own initiative.</w:t>
      </w:r>
    </w:p>
    <w:p w14:paraId="3F8C2E09" w14:textId="77777777" w:rsidR="00D94935" w:rsidRDefault="00D94935" w:rsidP="00D94935">
      <w:pPr>
        <w:pStyle w:val="Amain"/>
        <w:keepNext/>
      </w:pPr>
      <w:r>
        <w:tab/>
        <w:t>(6)</w:t>
      </w:r>
      <w:r>
        <w:tab/>
        <w:t>The powers of the court under this rule are additional to any other powers of the court under a territory law.</w:t>
      </w:r>
    </w:p>
    <w:p w14:paraId="7FCEE7D5" w14:textId="25DA71DB"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5" w:tooltip="A2001-14" w:history="1">
        <w:r w:rsidRPr="006364FA">
          <w:rPr>
            <w:rStyle w:val="charCitHyperlinkAbbrev"/>
          </w:rPr>
          <w:t>Legislation Act</w:t>
        </w:r>
      </w:hyperlink>
      <w:r>
        <w:t>, s 98).</w:t>
      </w:r>
    </w:p>
    <w:p w14:paraId="3FA0CB0B" w14:textId="77777777" w:rsidR="00D94935" w:rsidRDefault="00D94935" w:rsidP="00D94935">
      <w:pPr>
        <w:pStyle w:val="AH5Sec"/>
      </w:pPr>
      <w:bookmarkStart w:id="1452" w:name="_Toc185515068"/>
      <w:r w:rsidRPr="00C8328B">
        <w:rPr>
          <w:rStyle w:val="CharSectNo"/>
        </w:rPr>
        <w:t>5191</w:t>
      </w:r>
      <w:r>
        <w:tab/>
        <w:t>Appeals to Supreme Court—want of prosecution of appeal</w:t>
      </w:r>
      <w:bookmarkEnd w:id="1452"/>
    </w:p>
    <w:p w14:paraId="169A37CB" w14:textId="77777777" w:rsidR="00D94935" w:rsidRDefault="00D94935" w:rsidP="00D94935">
      <w:pPr>
        <w:pStyle w:val="Amain"/>
        <w:keepNext/>
      </w:pPr>
      <w:r>
        <w:tab/>
        <w:t>(1)</w:t>
      </w:r>
      <w:r>
        <w:tab/>
        <w:t>In this rule:</w:t>
      </w:r>
    </w:p>
    <w:p w14:paraId="355B3592" w14:textId="77777777" w:rsidR="00D94935" w:rsidRDefault="00D94935" w:rsidP="00D94935">
      <w:pPr>
        <w:pStyle w:val="aDef"/>
        <w:keepNext/>
      </w:pPr>
      <w:r>
        <w:rPr>
          <w:rStyle w:val="charBoldItals"/>
        </w:rPr>
        <w:t>appeal</w:t>
      </w:r>
      <w:r>
        <w:t xml:space="preserve"> means—</w:t>
      </w:r>
    </w:p>
    <w:p w14:paraId="0722FF2E" w14:textId="77777777" w:rsidR="00D94935" w:rsidRDefault="00D94935" w:rsidP="00D94935">
      <w:pPr>
        <w:pStyle w:val="aDefpara"/>
      </w:pPr>
      <w:r>
        <w:tab/>
        <w:t>(a)</w:t>
      </w:r>
      <w:r>
        <w:tab/>
        <w:t>an application for further time to apply for leave to appeal under this part; or</w:t>
      </w:r>
    </w:p>
    <w:p w14:paraId="64A432B8" w14:textId="77777777" w:rsidR="00D94935" w:rsidRDefault="00D94935" w:rsidP="00D94935">
      <w:pPr>
        <w:pStyle w:val="aDefpara"/>
      </w:pPr>
      <w:r>
        <w:tab/>
        <w:t>(b)</w:t>
      </w:r>
      <w:r>
        <w:tab/>
        <w:t>an appeal or application for leave to appeal (or leave to appeal out of time) under this part.</w:t>
      </w:r>
    </w:p>
    <w:p w14:paraId="0A3AA0BA" w14:textId="77777777" w:rsidR="00D94935" w:rsidRDefault="00D94935" w:rsidP="00D94935">
      <w:pPr>
        <w:pStyle w:val="aDef"/>
        <w:keepNext/>
      </w:pPr>
      <w:r>
        <w:rPr>
          <w:rStyle w:val="charBoldItals"/>
        </w:rPr>
        <w:t>appellant</w:t>
      </w:r>
      <w:r>
        <w:t xml:space="preserve"> means—</w:t>
      </w:r>
    </w:p>
    <w:p w14:paraId="0634B7EC" w14:textId="77777777" w:rsidR="00D94935" w:rsidRDefault="00D94935" w:rsidP="00D94935">
      <w:pPr>
        <w:pStyle w:val="aDefpara"/>
      </w:pPr>
      <w:r>
        <w:tab/>
        <w:t>(a)</w:t>
      </w:r>
      <w:r>
        <w:tab/>
        <w:t>a person applying for further time to apply for leave to appeal under this part; or</w:t>
      </w:r>
    </w:p>
    <w:p w14:paraId="2F807CA0" w14:textId="77777777" w:rsidR="00D94935" w:rsidRDefault="00D94935" w:rsidP="00D94935">
      <w:pPr>
        <w:pStyle w:val="aDefpara"/>
      </w:pPr>
      <w:r>
        <w:tab/>
        <w:t>(b)</w:t>
      </w:r>
      <w:r>
        <w:tab/>
        <w:t>an applicant for leave to appeal (or leave to appeal out of time) under this part; or</w:t>
      </w:r>
    </w:p>
    <w:p w14:paraId="6F39E030" w14:textId="77777777" w:rsidR="00D94935" w:rsidRDefault="00D94935" w:rsidP="00D94935">
      <w:pPr>
        <w:pStyle w:val="aDefpara"/>
      </w:pPr>
      <w:r>
        <w:tab/>
        <w:t>(c)</w:t>
      </w:r>
      <w:r>
        <w:tab/>
        <w:t>a person appealing under this part.</w:t>
      </w:r>
    </w:p>
    <w:p w14:paraId="1A5A7804" w14:textId="77777777" w:rsidR="00D94935" w:rsidRDefault="00D94935" w:rsidP="00D94935">
      <w:pPr>
        <w:pStyle w:val="Amain"/>
        <w:keepNext/>
      </w:pPr>
      <w:r>
        <w:lastRenderedPageBreak/>
        <w:tab/>
        <w:t>(2)</w:t>
      </w:r>
      <w:r>
        <w:tab/>
        <w:t>This rule applies if an appellant—</w:t>
      </w:r>
    </w:p>
    <w:p w14:paraId="1BBAFE8F" w14:textId="77777777" w:rsidR="00D94935" w:rsidRDefault="00D94935" w:rsidP="00D94935">
      <w:pPr>
        <w:pStyle w:val="Apara"/>
      </w:pPr>
      <w:r>
        <w:tab/>
        <w:t>(a)</w:t>
      </w:r>
      <w:r>
        <w:tab/>
        <w:t>has not done anything required to be done under these rules during a period of 3 months after the day the requirement arises; or</w:t>
      </w:r>
    </w:p>
    <w:p w14:paraId="6FC463E7"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5C397859" w14:textId="77777777" w:rsidR="00D94935" w:rsidRDefault="00D94935" w:rsidP="00D94935">
      <w:pPr>
        <w:pStyle w:val="Amain"/>
      </w:pPr>
      <w:r>
        <w:tab/>
        <w:t>(3)</w:t>
      </w:r>
      <w:r>
        <w:tab/>
        <w:t>The Supreme Court may—</w:t>
      </w:r>
    </w:p>
    <w:p w14:paraId="23CAC9AC" w14:textId="77777777" w:rsidR="00D94935" w:rsidRDefault="00D94935" w:rsidP="00D94935">
      <w:pPr>
        <w:pStyle w:val="Apara"/>
      </w:pPr>
      <w:r>
        <w:tab/>
        <w:t>(a)</w:t>
      </w:r>
      <w:r>
        <w:tab/>
        <w:t>order that the appeal be dismissed for want of prosecution and confirm the order appealed from; or</w:t>
      </w:r>
    </w:p>
    <w:p w14:paraId="35A78F12" w14:textId="77777777" w:rsidR="00D94935" w:rsidRDefault="00D94935" w:rsidP="00A94CFA">
      <w:pPr>
        <w:pStyle w:val="Apara"/>
        <w:keepNext/>
      </w:pPr>
      <w:r>
        <w:tab/>
        <w:t>(b)</w:t>
      </w:r>
      <w:r>
        <w:tab/>
        <w:t>on its own initiative, set a time for the doing of a thing required to be done in relation to the appeal and—</w:t>
      </w:r>
    </w:p>
    <w:p w14:paraId="7828793B" w14:textId="77777777"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14:paraId="43BFC88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2F7C4200" w14:textId="77777777" w:rsidR="00D94935" w:rsidRDefault="00D94935" w:rsidP="00D94935">
      <w:pPr>
        <w:pStyle w:val="Apara"/>
      </w:pPr>
      <w:r>
        <w:tab/>
        <w:t>(c)</w:t>
      </w:r>
      <w:r>
        <w:tab/>
        <w:t>make any other order the Supreme Court considers just.</w:t>
      </w:r>
    </w:p>
    <w:p w14:paraId="4CFCCFDE" w14:textId="77777777" w:rsidR="00D94935" w:rsidRDefault="00D94935" w:rsidP="00D94935">
      <w:pPr>
        <w:pStyle w:val="Amain"/>
        <w:keepNext/>
      </w:pPr>
      <w:r>
        <w:tab/>
        <w:t>(4)</w:t>
      </w:r>
      <w:r>
        <w:tab/>
        <w:t>A respondent may apply to the Supreme Court to require the appellant to show cause why the appeal should not be dismissed for want of prosecution.</w:t>
      </w:r>
    </w:p>
    <w:p w14:paraId="19BF57A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14:paraId="5C91AF7A" w14:textId="77777777" w:rsidR="00D94935" w:rsidRDefault="00D94935" w:rsidP="00D94935">
      <w:pPr>
        <w:pStyle w:val="Amain"/>
      </w:pPr>
      <w:r>
        <w:tab/>
        <w:t>(5)</w:t>
      </w:r>
      <w:r>
        <w:tab/>
        <w:t>On the hearing of the application, the Supreme Court may make an order mentioned in subrule (3).</w:t>
      </w:r>
    </w:p>
    <w:p w14:paraId="5C05BC0D"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630C2BAB" w14:textId="77777777" w:rsidR="00D94935" w:rsidRDefault="00D94935" w:rsidP="00D94935">
      <w:pPr>
        <w:pStyle w:val="AH5Sec"/>
      </w:pPr>
      <w:bookmarkStart w:id="1453" w:name="_Toc185515069"/>
      <w:r w:rsidRPr="00C8328B">
        <w:rPr>
          <w:rStyle w:val="CharSectNo"/>
        </w:rPr>
        <w:lastRenderedPageBreak/>
        <w:t>5192</w:t>
      </w:r>
      <w:r>
        <w:tab/>
        <w:t>Appeals to Supreme Court—matter happening in court or tribunal appealed from</w:t>
      </w:r>
      <w:bookmarkEnd w:id="1453"/>
    </w:p>
    <w:p w14:paraId="64F41D01" w14:textId="77777777"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14:paraId="0409A00F" w14:textId="77777777" w:rsidR="00D94935" w:rsidRDefault="00D94935" w:rsidP="00D94935">
      <w:pPr>
        <w:pStyle w:val="Amain"/>
      </w:pPr>
      <w:r>
        <w:tab/>
        <w:t>(2)</w:t>
      </w:r>
      <w:r>
        <w:tab/>
        <w:t>Without limiting subrule (1), the Supreme Court may—</w:t>
      </w:r>
    </w:p>
    <w:p w14:paraId="004E1A1F" w14:textId="77777777" w:rsidR="00D94935" w:rsidRDefault="00D94935" w:rsidP="00D94935">
      <w:pPr>
        <w:pStyle w:val="Apara"/>
      </w:pPr>
      <w:r>
        <w:tab/>
        <w:t>(a)</w:t>
      </w:r>
      <w:r>
        <w:tab/>
        <w:t>call for a report from the court or tribunal; and</w:t>
      </w:r>
    </w:p>
    <w:p w14:paraId="4F4CD35B" w14:textId="77777777" w:rsidR="00D94935" w:rsidRDefault="00D94935" w:rsidP="00D94935">
      <w:pPr>
        <w:pStyle w:val="Apara"/>
      </w:pPr>
      <w:r>
        <w:tab/>
        <w:t>(b)</w:t>
      </w:r>
      <w:r>
        <w:tab/>
        <w:t>if the contents of the report have been made available to the parties to the appeal—act on the report.</w:t>
      </w:r>
    </w:p>
    <w:p w14:paraId="51551776" w14:textId="77777777" w:rsidR="00D94935" w:rsidRDefault="00D94935" w:rsidP="00D94935">
      <w:pPr>
        <w:pStyle w:val="AH5Sec"/>
      </w:pPr>
      <w:bookmarkStart w:id="1454" w:name="_Toc185515070"/>
      <w:r w:rsidRPr="00C8328B">
        <w:rPr>
          <w:rStyle w:val="CharSectNo"/>
        </w:rPr>
        <w:t>5193</w:t>
      </w:r>
      <w:r>
        <w:tab/>
        <w:t>Further evidence on appeal to Supreme Court—</w:t>
      </w:r>
      <w:r w:rsidRPr="006364FA">
        <w:rPr>
          <w:rFonts w:cs="Arial"/>
        </w:rPr>
        <w:t>Magistrates Court Act 1930</w:t>
      </w:r>
      <w:r>
        <w:t>, s 214</w:t>
      </w:r>
      <w:bookmarkEnd w:id="1454"/>
    </w:p>
    <w:p w14:paraId="4871E415" w14:textId="0CB1ED80" w:rsidR="00D94935" w:rsidRDefault="00D94935" w:rsidP="00D94935">
      <w:pPr>
        <w:pStyle w:val="Amain"/>
        <w:keepNext/>
      </w:pPr>
      <w:r>
        <w:tab/>
        <w:t>(1)</w:t>
      </w:r>
      <w:r>
        <w:tab/>
        <w:t xml:space="preserve">This rule applies to an application to the Supreme Court to receive evidence mentioned in the </w:t>
      </w:r>
      <w:hyperlink r:id="rId676" w:tooltip="A1930-21" w:history="1">
        <w:r w:rsidRPr="006364FA">
          <w:rPr>
            <w:rStyle w:val="charCitHyperlinkItal"/>
          </w:rPr>
          <w:t>Magistrates Court Act 1930</w:t>
        </w:r>
      </w:hyperlink>
      <w:r>
        <w:t>, section 214 (3) and (4) in an appeal mentioned in that section.</w:t>
      </w:r>
    </w:p>
    <w:p w14:paraId="5447C7C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14:paraId="60C80870" w14:textId="77777777" w:rsidR="00D94935" w:rsidRDefault="00D94935" w:rsidP="00D94935">
      <w:pPr>
        <w:pStyle w:val="Amain"/>
      </w:pPr>
      <w:r>
        <w:tab/>
        <w:t>(2)</w:t>
      </w:r>
      <w:r>
        <w:tab/>
        <w:t>The application must be supported by an affidavit stating—</w:t>
      </w:r>
    </w:p>
    <w:p w14:paraId="74F8A725" w14:textId="77777777" w:rsidR="00D94935" w:rsidRDefault="00D94935" w:rsidP="00D94935">
      <w:pPr>
        <w:pStyle w:val="Apara"/>
      </w:pPr>
      <w:r>
        <w:tab/>
        <w:t>(a)</w:t>
      </w:r>
      <w:r>
        <w:tab/>
        <w:t>the grounds of the application; and</w:t>
      </w:r>
    </w:p>
    <w:p w14:paraId="02313D51" w14:textId="77777777" w:rsidR="00D94935" w:rsidRDefault="00D94935" w:rsidP="00D94935">
      <w:pPr>
        <w:pStyle w:val="Apara"/>
      </w:pPr>
      <w:r>
        <w:tab/>
        <w:t>(b)</w:t>
      </w:r>
      <w:r>
        <w:tab/>
        <w:t>any evidence necessary to establish the grounds of the application; and</w:t>
      </w:r>
    </w:p>
    <w:p w14:paraId="3609FE1B" w14:textId="77777777" w:rsidR="00D94935" w:rsidRDefault="00D94935" w:rsidP="00D94935">
      <w:pPr>
        <w:pStyle w:val="Apara"/>
      </w:pPr>
      <w:r>
        <w:tab/>
        <w:t>(c)</w:t>
      </w:r>
      <w:r>
        <w:tab/>
        <w:t>the evidence that the applicant wants the Supreme Court to receive.</w:t>
      </w:r>
    </w:p>
    <w:p w14:paraId="386615B2" w14:textId="77777777"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14:paraId="3F5B2DDF" w14:textId="77777777" w:rsidR="00D94935" w:rsidRDefault="00D94935" w:rsidP="00D94935">
      <w:pPr>
        <w:pStyle w:val="Amain"/>
      </w:pPr>
      <w:r>
        <w:tab/>
        <w:t>(4)</w:t>
      </w:r>
      <w:r>
        <w:tab/>
        <w:t>Unless the Supreme Court otherwise orders, the evidence of the other party to the appeal must be given by affidavit.</w:t>
      </w:r>
    </w:p>
    <w:p w14:paraId="27FBA68B" w14:textId="77777777"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14:paraId="7C30F6DD" w14:textId="77777777" w:rsidR="00D94935" w:rsidRDefault="00D94935" w:rsidP="00D94935">
      <w:pPr>
        <w:pStyle w:val="AH5Sec"/>
      </w:pPr>
      <w:bookmarkStart w:id="1455" w:name="_Toc185515071"/>
      <w:r w:rsidRPr="00C8328B">
        <w:rPr>
          <w:rStyle w:val="CharSectNo"/>
        </w:rPr>
        <w:t>5194</w:t>
      </w:r>
      <w:r>
        <w:tab/>
        <w:t>Appeals to Supreme Court—keeping exhibits</w:t>
      </w:r>
      <w:bookmarkEnd w:id="1455"/>
    </w:p>
    <w:p w14:paraId="7D7B6A5A" w14:textId="77777777" w:rsidR="00D94935" w:rsidRDefault="00D94935" w:rsidP="00A94CFA">
      <w:pPr>
        <w:pStyle w:val="Amain"/>
        <w:keepNext/>
      </w:pPr>
      <w:r>
        <w:tab/>
        <w:t>(1)</w:t>
      </w:r>
      <w:r>
        <w:tab/>
        <w:t>This rule applies in relation to an appeal or application to the Supreme Court under this part.</w:t>
      </w:r>
    </w:p>
    <w:p w14:paraId="02ABF875" w14:textId="77777777"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14:paraId="1A675A6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A04CABD" w14:textId="77777777"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14:paraId="74E2758C" w14:textId="77777777" w:rsidR="00D94935" w:rsidRDefault="00D94935" w:rsidP="00D94935">
      <w:pPr>
        <w:pStyle w:val="PageBreak"/>
      </w:pPr>
      <w:r>
        <w:br w:type="page"/>
      </w:r>
    </w:p>
    <w:p w14:paraId="2EC4613D" w14:textId="77777777" w:rsidR="00D94935" w:rsidRPr="00C8328B" w:rsidRDefault="00D94935" w:rsidP="00D94935">
      <w:pPr>
        <w:pStyle w:val="AH2Part"/>
      </w:pPr>
      <w:bookmarkStart w:id="1456" w:name="_Toc185515072"/>
      <w:r w:rsidRPr="00C8328B">
        <w:rPr>
          <w:rStyle w:val="CharPartNo"/>
        </w:rPr>
        <w:lastRenderedPageBreak/>
        <w:t>Part 5.4</w:t>
      </w:r>
      <w:r>
        <w:tab/>
      </w:r>
      <w:r w:rsidRPr="00C8328B">
        <w:rPr>
          <w:rStyle w:val="CharPartText"/>
        </w:rPr>
        <w:t>Appeals to Court of Appeal</w:t>
      </w:r>
      <w:bookmarkEnd w:id="1456"/>
    </w:p>
    <w:p w14:paraId="3ED331DC" w14:textId="77777777" w:rsidR="00D94935" w:rsidRPr="00C8328B" w:rsidRDefault="00D94935" w:rsidP="00D94935">
      <w:pPr>
        <w:pStyle w:val="AH3Div"/>
      </w:pPr>
      <w:bookmarkStart w:id="1457" w:name="_Toc185515073"/>
      <w:r w:rsidRPr="00C8328B">
        <w:rPr>
          <w:rStyle w:val="CharDivNo"/>
        </w:rPr>
        <w:t>Division 5.4.1</w:t>
      </w:r>
      <w:r>
        <w:tab/>
      </w:r>
      <w:r w:rsidRPr="00C8328B">
        <w:rPr>
          <w:rStyle w:val="CharDivText"/>
        </w:rPr>
        <w:t>Appeals to Court of Appeal—preliminary</w:t>
      </w:r>
      <w:bookmarkEnd w:id="1457"/>
    </w:p>
    <w:p w14:paraId="472C9073" w14:textId="77777777" w:rsidR="00A66D80" w:rsidRPr="00061096" w:rsidRDefault="00A66D80" w:rsidP="00A66D80">
      <w:pPr>
        <w:pStyle w:val="AH5Sec"/>
      </w:pPr>
      <w:bookmarkStart w:id="1458" w:name="_Toc185515074"/>
      <w:r w:rsidRPr="00C8328B">
        <w:rPr>
          <w:rStyle w:val="CharSectNo"/>
        </w:rPr>
        <w:t>5300A</w:t>
      </w:r>
      <w:r w:rsidRPr="00061096">
        <w:tab/>
        <w:t>Definitions—pt 5.4</w:t>
      </w:r>
      <w:bookmarkEnd w:id="1458"/>
    </w:p>
    <w:p w14:paraId="13AE6937" w14:textId="77777777" w:rsidR="00A66D80" w:rsidRPr="00061096" w:rsidRDefault="00A66D80" w:rsidP="00A66D80">
      <w:pPr>
        <w:pStyle w:val="Amainreturn"/>
      </w:pPr>
      <w:r w:rsidRPr="00061096">
        <w:t>In this part:</w:t>
      </w:r>
    </w:p>
    <w:p w14:paraId="250729DD" w14:textId="77777777"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14:paraId="1EDDD6AF" w14:textId="77777777"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14:paraId="3F81B16B" w14:textId="77777777" w:rsidR="00D94935" w:rsidRDefault="00D94935" w:rsidP="00D94935">
      <w:pPr>
        <w:pStyle w:val="AH5Sec"/>
      </w:pPr>
      <w:bookmarkStart w:id="1459" w:name="_Toc185515075"/>
      <w:r w:rsidRPr="00C8328B">
        <w:rPr>
          <w:rStyle w:val="CharSectNo"/>
        </w:rPr>
        <w:t>5300</w:t>
      </w:r>
      <w:r>
        <w:tab/>
        <w:t xml:space="preserve">Meaning of </w:t>
      </w:r>
      <w:r>
        <w:rPr>
          <w:rStyle w:val="charItals"/>
        </w:rPr>
        <w:t>court</w:t>
      </w:r>
      <w:r>
        <w:t>—pt 5.4</w:t>
      </w:r>
      <w:bookmarkEnd w:id="1459"/>
    </w:p>
    <w:p w14:paraId="6D803866" w14:textId="77777777"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14:paraId="11655C3E" w14:textId="3C1C4774" w:rsidR="00D94935" w:rsidRDefault="00D94935" w:rsidP="00D94935">
      <w:pPr>
        <w:pStyle w:val="Amain"/>
      </w:pPr>
      <w:r>
        <w:tab/>
        <w:t>(</w:t>
      </w:r>
      <w:r w:rsidR="00DD771A">
        <w:t>2</w:t>
      </w:r>
      <w:r>
        <w:t>)</w:t>
      </w:r>
      <w:r>
        <w:tab/>
        <w:t xml:space="preserve">However, the </w:t>
      </w:r>
      <w:r>
        <w:rPr>
          <w:rStyle w:val="charBoldItals"/>
        </w:rPr>
        <w:t>court</w:t>
      </w:r>
      <w:r>
        <w:t xml:space="preserve"> does not include—</w:t>
      </w:r>
    </w:p>
    <w:p w14:paraId="7890717D" w14:textId="77777777" w:rsidR="00D94935" w:rsidRDefault="00D94935" w:rsidP="00D94935">
      <w:pPr>
        <w:pStyle w:val="Apara"/>
      </w:pPr>
      <w:r>
        <w:tab/>
        <w:t>(a)</w:t>
      </w:r>
      <w:r>
        <w:tab/>
        <w:t>a Full Court of the Supreme Court exercising appellate jurisdiction; or</w:t>
      </w:r>
    </w:p>
    <w:p w14:paraId="585EC6BD" w14:textId="77777777" w:rsidR="00D94935" w:rsidRDefault="00D94935" w:rsidP="00D94935">
      <w:pPr>
        <w:pStyle w:val="Apara"/>
      </w:pPr>
      <w:r>
        <w:tab/>
        <w:t>(b)</w:t>
      </w:r>
      <w:r>
        <w:tab/>
        <w:t>the registrar.</w:t>
      </w:r>
    </w:p>
    <w:p w14:paraId="46FB2417" w14:textId="77777777" w:rsidR="00D94935" w:rsidRDefault="00D94935" w:rsidP="00D94935">
      <w:pPr>
        <w:pStyle w:val="AH5Sec"/>
      </w:pPr>
      <w:bookmarkStart w:id="1460" w:name="_Toc185515076"/>
      <w:r w:rsidRPr="00C8328B">
        <w:rPr>
          <w:rStyle w:val="CharSectNo"/>
        </w:rPr>
        <w:t>5301</w:t>
      </w:r>
      <w:r>
        <w:tab/>
        <w:t>Appeals to Court of Appeal—stay and reinstatement</w:t>
      </w:r>
      <w:bookmarkEnd w:id="1460"/>
    </w:p>
    <w:p w14:paraId="2BA4619F" w14:textId="77777777" w:rsidR="00D94935" w:rsidRDefault="00D94935" w:rsidP="00D94935">
      <w:pPr>
        <w:pStyle w:val="Amain"/>
      </w:pPr>
      <w:r>
        <w:tab/>
        <w:t>(1)</w:t>
      </w:r>
      <w:r>
        <w:tab/>
        <w:t>An appeal to the Court of Appeal in a civil proceeding does not operate as a stay of the order appealed from unless—</w:t>
      </w:r>
    </w:p>
    <w:p w14:paraId="5C41CD61" w14:textId="77777777" w:rsidR="00D94935" w:rsidRDefault="00D94935" w:rsidP="00D94935">
      <w:pPr>
        <w:pStyle w:val="Apara"/>
      </w:pPr>
      <w:r>
        <w:tab/>
        <w:t>(a)</w:t>
      </w:r>
      <w:r>
        <w:tab/>
        <w:t>a territory law provides otherwise; or</w:t>
      </w:r>
    </w:p>
    <w:p w14:paraId="6370DA0D" w14:textId="5923AB9E"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7" w:tooltip="A2001-14" w:history="1">
        <w:r w:rsidRPr="006364FA">
          <w:rPr>
            <w:rStyle w:val="charCitHyperlinkAbbrev"/>
          </w:rPr>
          <w:t>Legislation Act</w:t>
        </w:r>
      </w:hyperlink>
      <w:r>
        <w:t>, s 98).</w:t>
      </w:r>
    </w:p>
    <w:p w14:paraId="7B6A206D" w14:textId="77777777" w:rsidR="00D94935" w:rsidRDefault="00D94935" w:rsidP="00117E78">
      <w:pPr>
        <w:pStyle w:val="Apara"/>
        <w:keepNext/>
      </w:pPr>
      <w:r>
        <w:lastRenderedPageBreak/>
        <w:tab/>
        <w:t>(b)</w:t>
      </w:r>
      <w:r>
        <w:tab/>
        <w:t>the Court of Appeal or the court otherwise orders.</w:t>
      </w:r>
    </w:p>
    <w:p w14:paraId="316AF188" w14:textId="77777777"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14:paraId="6EC0B2AA" w14:textId="77777777"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14:paraId="71930FCD" w14:textId="77777777" w:rsidR="00D94935" w:rsidRDefault="00D94935" w:rsidP="00D94935">
      <w:pPr>
        <w:pStyle w:val="Amain"/>
      </w:pPr>
      <w:r>
        <w:tab/>
        <w:t>(2)</w:t>
      </w:r>
      <w:r>
        <w:tab/>
        <w:t>In an urgent case, an application to the Court of Appeal or the court for a stay may be made without serving it on anyone.</w:t>
      </w:r>
    </w:p>
    <w:p w14:paraId="31D228FB" w14:textId="77777777"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14:paraId="667AE240" w14:textId="77777777"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14:paraId="13468C84" w14:textId="77777777" w:rsidR="00D94935" w:rsidRDefault="00D94935" w:rsidP="00D94935">
      <w:pPr>
        <w:pStyle w:val="Amain"/>
        <w:keepNext/>
      </w:pPr>
      <w:r>
        <w:tab/>
        <w:t>(5)</w:t>
      </w:r>
      <w:r>
        <w:tab/>
        <w:t>The Court of Appeal may, by order, amend or set aside an order made by the court or it under this rule.</w:t>
      </w:r>
    </w:p>
    <w:p w14:paraId="14896093" w14:textId="77777777" w:rsidR="00D94935" w:rsidRDefault="00D94935" w:rsidP="00D94935">
      <w:pPr>
        <w:pStyle w:val="Amain"/>
        <w:keepNext/>
      </w:pPr>
      <w:r>
        <w:tab/>
        <w:t>(6)</w:t>
      </w:r>
      <w:r>
        <w:tab/>
        <w:t>The court may, by order, amend or set aside an order made by it under this rule.</w:t>
      </w:r>
    </w:p>
    <w:p w14:paraId="754A98DA" w14:textId="77777777" w:rsidR="00D94935" w:rsidRDefault="00D94935" w:rsidP="00D94935">
      <w:pPr>
        <w:pStyle w:val="Amain"/>
      </w:pPr>
      <w:r>
        <w:tab/>
        <w:t>(7)</w:t>
      </w:r>
      <w:r>
        <w:tab/>
        <w:t>An application for an order of the Court of Appeal for a stay may be made whether or not a similar application has been made to the court.</w:t>
      </w:r>
    </w:p>
    <w:p w14:paraId="49D6DEE7" w14:textId="77777777"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14:paraId="5332198F" w14:textId="77777777" w:rsidR="00D94935" w:rsidRDefault="00D94935" w:rsidP="00D94935">
      <w:pPr>
        <w:pStyle w:val="AH5Sec"/>
      </w:pPr>
      <w:bookmarkStart w:id="1461" w:name="_Toc185515077"/>
      <w:r w:rsidRPr="00C8328B">
        <w:rPr>
          <w:rStyle w:val="CharSectNo"/>
        </w:rPr>
        <w:lastRenderedPageBreak/>
        <w:t>5302</w:t>
      </w:r>
      <w:r>
        <w:tab/>
        <w:t>Appeals to Court of Appeal—security for costs</w:t>
      </w:r>
      <w:bookmarkEnd w:id="1461"/>
    </w:p>
    <w:p w14:paraId="440B7464" w14:textId="77777777" w:rsidR="00D94935" w:rsidRDefault="00D94935" w:rsidP="00117E78">
      <w:pPr>
        <w:pStyle w:val="Amain"/>
        <w:keepNext/>
      </w:pPr>
      <w:r>
        <w:tab/>
        <w:t>(1)</w:t>
      </w:r>
      <w:r>
        <w:tab/>
        <w:t>Security for costs of an appeal is not required, unless the Court of Appeal otherwise orders.</w:t>
      </w:r>
    </w:p>
    <w:p w14:paraId="067CFA52" w14:textId="77777777"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14:paraId="039BD50A" w14:textId="77777777" w:rsidR="00D94935" w:rsidRDefault="00D94935" w:rsidP="00D94935">
      <w:pPr>
        <w:pStyle w:val="Amain"/>
      </w:pPr>
      <w:r>
        <w:tab/>
        <w:t>(2)</w:t>
      </w:r>
      <w:r>
        <w:tab/>
        <w:t>This rule does not limit division 2.17.8 (Security for costs).</w:t>
      </w:r>
    </w:p>
    <w:p w14:paraId="5E369CDD" w14:textId="77777777" w:rsidR="00C66F4A" w:rsidRDefault="00C66F4A">
      <w:pPr>
        <w:pStyle w:val="02Text"/>
        <w:sectPr w:rsidR="00C66F4A" w:rsidSect="00CD3DF7">
          <w:headerReference w:type="even" r:id="rId678"/>
          <w:headerReference w:type="default" r:id="rId679"/>
          <w:footerReference w:type="even" r:id="rId680"/>
          <w:footerReference w:type="default" r:id="rId681"/>
          <w:footerReference w:type="first" r:id="rId682"/>
          <w:pgSz w:w="11907" w:h="16839" w:code="9"/>
          <w:pgMar w:top="3880" w:right="1900" w:bottom="3100" w:left="2300" w:header="1920" w:footer="1760" w:gutter="0"/>
          <w:cols w:space="720"/>
          <w:docGrid w:linePitch="254"/>
        </w:sectPr>
      </w:pPr>
    </w:p>
    <w:p w14:paraId="561956D8" w14:textId="77777777" w:rsidR="00D94935" w:rsidRPr="00C8328B" w:rsidRDefault="00D94935" w:rsidP="00D94935">
      <w:pPr>
        <w:pStyle w:val="AH3Div"/>
      </w:pPr>
      <w:bookmarkStart w:id="1462" w:name="_Toc185515078"/>
      <w:r w:rsidRPr="00C8328B">
        <w:rPr>
          <w:rStyle w:val="CharDivNo"/>
        </w:rPr>
        <w:t>Division 5.4.2</w:t>
      </w:r>
      <w:r>
        <w:tab/>
      </w:r>
      <w:r w:rsidRPr="00C8328B">
        <w:rPr>
          <w:rStyle w:val="CharDivText"/>
        </w:rPr>
        <w:t>Appeals to Court of Appeal—leave to appeal from interlocutory orders</w:t>
      </w:r>
      <w:bookmarkEnd w:id="1462"/>
    </w:p>
    <w:p w14:paraId="2525878B" w14:textId="77777777" w:rsidR="00D94935" w:rsidRDefault="00D94935" w:rsidP="00D94935">
      <w:pPr>
        <w:pStyle w:val="AH5Sec"/>
      </w:pPr>
      <w:bookmarkStart w:id="1463" w:name="_Toc185515079"/>
      <w:r w:rsidRPr="00C8328B">
        <w:rPr>
          <w:rStyle w:val="CharSectNo"/>
        </w:rPr>
        <w:t>5310</w:t>
      </w:r>
      <w:r>
        <w:tab/>
        <w:t>Application—div 5.4.2</w:t>
      </w:r>
      <w:bookmarkEnd w:id="1463"/>
    </w:p>
    <w:p w14:paraId="2BCDA8A1" w14:textId="5AE45CAA"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w:t>
      </w:r>
    </w:p>
    <w:p w14:paraId="0BCAE6C2" w14:textId="77777777"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14:paraId="020351C9" w14:textId="77777777" w:rsidR="00D94935" w:rsidRDefault="00D94935" w:rsidP="00D94935">
      <w:pPr>
        <w:pStyle w:val="Amain"/>
      </w:pPr>
      <w:r>
        <w:tab/>
        <w:t>(2)</w:t>
      </w:r>
      <w:r>
        <w:tab/>
        <w:t>The person must make an application for leave to appeal under this division.</w:t>
      </w:r>
    </w:p>
    <w:p w14:paraId="54652D10" w14:textId="77777777" w:rsidR="00D94935" w:rsidRDefault="00D94935" w:rsidP="00D94935">
      <w:pPr>
        <w:pStyle w:val="AH5Sec"/>
      </w:pPr>
      <w:bookmarkStart w:id="1464" w:name="_Toc185515080"/>
      <w:r w:rsidRPr="00C8328B">
        <w:rPr>
          <w:rStyle w:val="CharSectNo"/>
        </w:rPr>
        <w:t>5311</w:t>
      </w:r>
      <w:r>
        <w:tab/>
        <w:t>Appeals to Court of Appeal—application for leave to appeal</w:t>
      </w:r>
      <w:bookmarkEnd w:id="1464"/>
    </w:p>
    <w:p w14:paraId="487E9CA0" w14:textId="77777777" w:rsidR="00D94935" w:rsidRDefault="00D94935" w:rsidP="00D94935">
      <w:pPr>
        <w:pStyle w:val="Amain"/>
      </w:pPr>
      <w:r>
        <w:tab/>
        <w:t>(1)</w:t>
      </w:r>
      <w:r>
        <w:tab/>
        <w:t>The application for leave to appeal must comply with this division.</w:t>
      </w:r>
    </w:p>
    <w:p w14:paraId="3C4B807D" w14:textId="77777777"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14:paraId="378D177F" w14:textId="4E4B79CD"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83" w:history="1">
        <w:r w:rsidR="00D94935">
          <w:rPr>
            <w:rStyle w:val="charCitHyperlinkAbbrev"/>
          </w:rPr>
          <w:t>AF2015-36</w:t>
        </w:r>
      </w:hyperlink>
      <w:r w:rsidR="00D94935">
        <w:t>.</w:t>
      </w:r>
    </w:p>
    <w:p w14:paraId="3ACB460B" w14:textId="77777777"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234AE4D9" w14:textId="77777777"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14:paraId="0B3A0BF0" w14:textId="77777777" w:rsidR="00D94935" w:rsidRDefault="00D94935" w:rsidP="00D94935">
      <w:pPr>
        <w:pStyle w:val="AH5Sec"/>
      </w:pPr>
      <w:bookmarkStart w:id="1465" w:name="_Toc185515081"/>
      <w:r w:rsidRPr="00C8328B">
        <w:rPr>
          <w:rStyle w:val="CharSectNo"/>
        </w:rPr>
        <w:t>5312</w:t>
      </w:r>
      <w:r>
        <w:tab/>
        <w:t>Appeals to Court of Appeal—time for filing application for leave to appeal</w:t>
      </w:r>
      <w:bookmarkEnd w:id="1465"/>
    </w:p>
    <w:p w14:paraId="4CE8A504" w14:textId="77777777"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14:paraId="140F7873" w14:textId="77777777"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14:paraId="308CA021"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1DE7EF5A" w14:textId="6A9FF4B0"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84" w:tooltip="A2001-14" w:history="1">
        <w:r w:rsidRPr="006364FA">
          <w:rPr>
            <w:rStyle w:val="charCitHyperlinkAbbrev"/>
          </w:rPr>
          <w:t>Legislation Act</w:t>
        </w:r>
      </w:hyperlink>
      <w:r>
        <w:rPr>
          <w:iCs/>
        </w:rPr>
        <w:t>, s 151C).</w:t>
      </w:r>
    </w:p>
    <w:p w14:paraId="65D60F9B" w14:textId="77777777" w:rsidR="00D94935" w:rsidRDefault="00D94935" w:rsidP="00D94935">
      <w:pPr>
        <w:pStyle w:val="AH5Sec"/>
      </w:pPr>
      <w:bookmarkStart w:id="1466" w:name="_Toc185515082"/>
      <w:r w:rsidRPr="00C8328B">
        <w:rPr>
          <w:rStyle w:val="CharSectNo"/>
        </w:rPr>
        <w:t>5313</w:t>
      </w:r>
      <w:r>
        <w:tab/>
        <w:t>Appeals to Court of Appeal—application for leave to appeal to be sealed</w:t>
      </w:r>
      <w:bookmarkEnd w:id="1466"/>
    </w:p>
    <w:p w14:paraId="6021AB30" w14:textId="3F4D0DF7" w:rsidR="00D94935" w:rsidRDefault="00D94935" w:rsidP="00D94935">
      <w:pPr>
        <w:pStyle w:val="Amainreturn"/>
        <w:keepNext/>
      </w:pPr>
      <w:r>
        <w:t xml:space="preserve">The registrar must seal </w:t>
      </w:r>
      <w:r w:rsidR="004624D0" w:rsidRPr="00C1177F">
        <w:t>an application for leave to appeal and any filed copies of the application</w:t>
      </w:r>
      <w:r>
        <w:t>.</w:t>
      </w:r>
    </w:p>
    <w:p w14:paraId="06B13046"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5695AD1E" w14:textId="77777777" w:rsidR="00D94935" w:rsidRDefault="00D94935" w:rsidP="00D94935">
      <w:pPr>
        <w:pStyle w:val="AH5Sec"/>
      </w:pPr>
      <w:bookmarkStart w:id="1467" w:name="_Toc185515083"/>
      <w:r w:rsidRPr="00C8328B">
        <w:rPr>
          <w:rStyle w:val="CharSectNo"/>
        </w:rPr>
        <w:t>5314</w:t>
      </w:r>
      <w:r>
        <w:tab/>
        <w:t>Appeals to Court of Appeal—serving application for leave to appeal</w:t>
      </w:r>
      <w:bookmarkEnd w:id="1467"/>
    </w:p>
    <w:p w14:paraId="471F40DF" w14:textId="77777777"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14:paraId="15089736" w14:textId="77777777" w:rsidR="00D94935" w:rsidRDefault="00D94935" w:rsidP="00D94935">
      <w:pPr>
        <w:pStyle w:val="Apara"/>
      </w:pPr>
      <w:r>
        <w:tab/>
        <w:t>(a)</w:t>
      </w:r>
      <w:r>
        <w:tab/>
        <w:t>a sealed copy of the application;</w:t>
      </w:r>
    </w:p>
    <w:p w14:paraId="059DB130" w14:textId="77777777" w:rsidR="00A66D80" w:rsidRPr="00061096" w:rsidRDefault="00A66D80" w:rsidP="00A66D80">
      <w:pPr>
        <w:pStyle w:val="Apara"/>
      </w:pPr>
      <w:r w:rsidRPr="00061096">
        <w:lastRenderedPageBreak/>
        <w:tab/>
        <w:t>(b)</w:t>
      </w:r>
      <w:r w:rsidRPr="00061096">
        <w:tab/>
        <w:t>a stamped copy of the supporting material for the application.</w:t>
      </w:r>
    </w:p>
    <w:p w14:paraId="0DA32541" w14:textId="77777777" w:rsidR="00D94935" w:rsidRDefault="00D94935" w:rsidP="00D94935">
      <w:pPr>
        <w:pStyle w:val="Amain"/>
      </w:pPr>
      <w:r>
        <w:tab/>
        <w:t>(2)</w:t>
      </w:r>
      <w:r>
        <w:tab/>
        <w:t>The documents mentioned in subrule (1) must be served—</w:t>
      </w:r>
    </w:p>
    <w:p w14:paraId="46D8E589" w14:textId="77777777" w:rsidR="00D94935" w:rsidRDefault="00D94935" w:rsidP="00D94935">
      <w:pPr>
        <w:pStyle w:val="Apara"/>
        <w:rPr>
          <w:rFonts w:ascii="Arial" w:hAnsi="Arial" w:cs="Arial"/>
          <w:sz w:val="18"/>
        </w:rPr>
      </w:pPr>
      <w:r>
        <w:tab/>
        <w:t>(a)</w:t>
      </w:r>
      <w:r>
        <w:tab/>
        <w:t>personally; or</w:t>
      </w:r>
    </w:p>
    <w:p w14:paraId="09EA9815"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07D912E8" w14:textId="77777777" w:rsidR="00D94935" w:rsidRDefault="00D94935" w:rsidP="00D94935">
      <w:pPr>
        <w:pStyle w:val="Apara"/>
      </w:pPr>
      <w:r>
        <w:tab/>
        <w:t>(b)</w:t>
      </w:r>
      <w:r>
        <w:tab/>
        <w:t>on the person at the person’s address for service in the proceeding in which the interlocutory order appealed from was given.</w:t>
      </w:r>
    </w:p>
    <w:p w14:paraId="2DB7076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61A2D77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3F302DFF" w14:textId="77777777" w:rsidR="00A66D80" w:rsidRPr="00061096" w:rsidRDefault="00A66D80" w:rsidP="00A66D80">
      <w:pPr>
        <w:pStyle w:val="AH5Sec"/>
      </w:pPr>
      <w:bookmarkStart w:id="1468" w:name="_Toc185515084"/>
      <w:r w:rsidRPr="00C8328B">
        <w:rPr>
          <w:rStyle w:val="CharSectNo"/>
        </w:rPr>
        <w:t>5315</w:t>
      </w:r>
      <w:r w:rsidRPr="00061096">
        <w:tab/>
        <w:t>Appeals to Court of Appeal—response to application for leave to appeal</w:t>
      </w:r>
      <w:bookmarkEnd w:id="1468"/>
    </w:p>
    <w:p w14:paraId="36615399" w14:textId="77777777"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14:paraId="4ED0E4C1" w14:textId="77777777" w:rsidR="00D94935" w:rsidRDefault="00D94935" w:rsidP="00D94935">
      <w:pPr>
        <w:pStyle w:val="Apara"/>
      </w:pPr>
      <w:r>
        <w:tab/>
        <w:t>(a)</w:t>
      </w:r>
      <w:r>
        <w:tab/>
        <w:t>the application were an originating application; and</w:t>
      </w:r>
    </w:p>
    <w:p w14:paraId="3EE4A797" w14:textId="77777777" w:rsidR="00D94935" w:rsidRDefault="00D94935" w:rsidP="00D94935">
      <w:pPr>
        <w:pStyle w:val="Apara"/>
      </w:pPr>
      <w:r>
        <w:tab/>
        <w:t>(b)</w:t>
      </w:r>
      <w:r>
        <w:tab/>
        <w:t>the respondent were a defendant; and</w:t>
      </w:r>
    </w:p>
    <w:p w14:paraId="64FE1FC6" w14:textId="77777777" w:rsidR="00D94935" w:rsidRDefault="00D94935" w:rsidP="00D94935">
      <w:pPr>
        <w:pStyle w:val="Apara"/>
      </w:pPr>
      <w:r>
        <w:tab/>
        <w:t>(c)</w:t>
      </w:r>
      <w:r>
        <w:tab/>
        <w:t>the appellant were the plaintiff; and</w:t>
      </w:r>
    </w:p>
    <w:p w14:paraId="0415D98E" w14:textId="77777777" w:rsidR="00D94935" w:rsidRDefault="00D94935" w:rsidP="00D94935">
      <w:pPr>
        <w:pStyle w:val="Apara"/>
      </w:pPr>
      <w:r>
        <w:tab/>
        <w:t>(d)</w:t>
      </w:r>
      <w:r>
        <w:tab/>
        <w:t>any other necessary changes were made.</w:t>
      </w:r>
    </w:p>
    <w:p w14:paraId="5547E245" w14:textId="77777777"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C4B24E9" w14:textId="77777777" w:rsidR="00F371AE" w:rsidRDefault="00F371AE">
      <w:pPr>
        <w:pStyle w:val="02Text"/>
        <w:sectPr w:rsidR="00F371AE" w:rsidSect="00CD3DF7">
          <w:headerReference w:type="even" r:id="rId685"/>
          <w:headerReference w:type="default" r:id="rId686"/>
          <w:footerReference w:type="even" r:id="rId687"/>
          <w:footerReference w:type="default" r:id="rId688"/>
          <w:footerReference w:type="first" r:id="rId689"/>
          <w:type w:val="continuous"/>
          <w:pgSz w:w="11907" w:h="16839" w:code="9"/>
          <w:pgMar w:top="3878" w:right="1899" w:bottom="3101" w:left="2302" w:header="1922" w:footer="1758" w:gutter="0"/>
          <w:cols w:space="720"/>
          <w:docGrid w:linePitch="254"/>
        </w:sectPr>
      </w:pPr>
    </w:p>
    <w:p w14:paraId="08993CDF" w14:textId="77777777" w:rsidR="00D94935" w:rsidRPr="00C8328B" w:rsidRDefault="00D94935" w:rsidP="00D94935">
      <w:pPr>
        <w:pStyle w:val="AH3Div"/>
      </w:pPr>
      <w:bookmarkStart w:id="1469" w:name="_Toc185515085"/>
      <w:r w:rsidRPr="00C8328B">
        <w:rPr>
          <w:rStyle w:val="CharDivNo"/>
        </w:rPr>
        <w:lastRenderedPageBreak/>
        <w:t>Division 5.4.3</w:t>
      </w:r>
      <w:r>
        <w:tab/>
      </w:r>
      <w:r w:rsidRPr="00C8328B">
        <w:rPr>
          <w:rStyle w:val="CharDivText"/>
        </w:rPr>
        <w:t>Appeals to Court of Appeal—leave to appeal out of time from final judgments</w:t>
      </w:r>
      <w:bookmarkEnd w:id="1469"/>
    </w:p>
    <w:p w14:paraId="79C0ED2F" w14:textId="77777777" w:rsidR="00D94935" w:rsidRDefault="00D94935" w:rsidP="00D94935">
      <w:pPr>
        <w:pStyle w:val="AH5Sec"/>
      </w:pPr>
      <w:bookmarkStart w:id="1470" w:name="_Toc185515086"/>
      <w:r w:rsidRPr="00C8328B">
        <w:rPr>
          <w:rStyle w:val="CharSectNo"/>
        </w:rPr>
        <w:t>5330</w:t>
      </w:r>
      <w:r>
        <w:tab/>
        <w:t>Definitions—div 5.4.3</w:t>
      </w:r>
      <w:bookmarkEnd w:id="1470"/>
    </w:p>
    <w:p w14:paraId="79580A6C" w14:textId="77777777" w:rsidR="00D94935" w:rsidRDefault="00D94935" w:rsidP="00D94935">
      <w:pPr>
        <w:pStyle w:val="Amainreturn"/>
        <w:keepNext/>
      </w:pPr>
      <w:r>
        <w:t>In this division:</w:t>
      </w:r>
    </w:p>
    <w:p w14:paraId="4194D63B" w14:textId="77777777"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14:paraId="05EB7F29"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367A06AF" w14:textId="77777777" w:rsidR="00D94935" w:rsidRDefault="00D94935" w:rsidP="00D94935">
      <w:pPr>
        <w:pStyle w:val="aDef"/>
      </w:pPr>
      <w:r>
        <w:rPr>
          <w:rStyle w:val="charBoldItals"/>
        </w:rPr>
        <w:t>out of time</w:t>
      </w:r>
      <w:r>
        <w:t>, for a final judgment of the court, means more than 28 days after the day the judgment was given by the court.</w:t>
      </w:r>
    </w:p>
    <w:p w14:paraId="025F49A9" w14:textId="77777777" w:rsidR="00D94935" w:rsidRDefault="00D94935" w:rsidP="00D94935">
      <w:pPr>
        <w:pStyle w:val="AH5Sec"/>
      </w:pPr>
      <w:bookmarkStart w:id="1471" w:name="_Toc185515087"/>
      <w:r w:rsidRPr="00C8328B">
        <w:rPr>
          <w:rStyle w:val="CharSectNo"/>
        </w:rPr>
        <w:t>5331</w:t>
      </w:r>
      <w:r>
        <w:tab/>
        <w:t>Application—div 5.4.3</w:t>
      </w:r>
      <w:bookmarkEnd w:id="1471"/>
    </w:p>
    <w:p w14:paraId="1C9982F5" w14:textId="77777777" w:rsidR="00D94935" w:rsidRDefault="00D94935" w:rsidP="00D94935">
      <w:pPr>
        <w:pStyle w:val="Amain"/>
      </w:pPr>
      <w:r>
        <w:tab/>
        <w:t>(1)</w:t>
      </w:r>
      <w:r>
        <w:tab/>
        <w:t>This division applies if a person wants to appeal out of time to the Court of Appeal from a final judgment of the court.</w:t>
      </w:r>
    </w:p>
    <w:p w14:paraId="4841AB13" w14:textId="77777777"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14:paraId="1A4CDFFB" w14:textId="77777777" w:rsidR="00D94935" w:rsidRDefault="00D94935" w:rsidP="00D94935">
      <w:pPr>
        <w:pStyle w:val="Amain"/>
      </w:pPr>
      <w:r>
        <w:tab/>
        <w:t>(2)</w:t>
      </w:r>
      <w:r>
        <w:tab/>
        <w:t>The person must make an application for leave to appeal out of time under this division.</w:t>
      </w:r>
    </w:p>
    <w:p w14:paraId="12395F20" w14:textId="77777777" w:rsidR="00D94935" w:rsidRDefault="00D94935" w:rsidP="00D94935">
      <w:pPr>
        <w:pStyle w:val="AH5Sec"/>
      </w:pPr>
      <w:bookmarkStart w:id="1472" w:name="_Toc185515088"/>
      <w:r w:rsidRPr="00C8328B">
        <w:rPr>
          <w:rStyle w:val="CharSectNo"/>
        </w:rPr>
        <w:lastRenderedPageBreak/>
        <w:t>5332</w:t>
      </w:r>
      <w:r>
        <w:tab/>
        <w:t>Appeals to Court of Appeal—application for leave to appeal out of time</w:t>
      </w:r>
      <w:bookmarkEnd w:id="1472"/>
    </w:p>
    <w:p w14:paraId="3E031848" w14:textId="77777777" w:rsidR="00D94935" w:rsidRDefault="00D94935" w:rsidP="00D94935">
      <w:pPr>
        <w:pStyle w:val="Amain"/>
        <w:keepNext/>
      </w:pPr>
      <w:r>
        <w:tab/>
        <w:t>(1)</w:t>
      </w:r>
      <w:r>
        <w:tab/>
        <w:t>The application for leave to appeal out of time must comply with this division.</w:t>
      </w:r>
    </w:p>
    <w:p w14:paraId="17C74AD7" w14:textId="77777777"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14:paraId="538ED4EC" w14:textId="2A329812"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90" w:history="1">
        <w:r w:rsidR="00D94935">
          <w:rPr>
            <w:rStyle w:val="charCitHyperlinkAbbrev"/>
          </w:rPr>
          <w:t>AF2015-40</w:t>
        </w:r>
      </w:hyperlink>
      <w:r w:rsidR="00D94935">
        <w:t>.</w:t>
      </w:r>
    </w:p>
    <w:p w14:paraId="298B5221" w14:textId="77777777"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60DA8125" w14:textId="77777777"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14:paraId="39995B62" w14:textId="77777777" w:rsidR="00D94935" w:rsidRDefault="00D94935" w:rsidP="00D94935">
      <w:pPr>
        <w:pStyle w:val="AH5Sec"/>
      </w:pPr>
      <w:bookmarkStart w:id="1473" w:name="_Toc185515089"/>
      <w:r w:rsidRPr="00C8328B">
        <w:rPr>
          <w:rStyle w:val="CharSectNo"/>
        </w:rPr>
        <w:t>5333</w:t>
      </w:r>
      <w:r>
        <w:tab/>
        <w:t>Appeals to Court of Appeal—filing application for leave to appeal out of time</w:t>
      </w:r>
      <w:bookmarkEnd w:id="1473"/>
    </w:p>
    <w:p w14:paraId="4B538A81" w14:textId="77777777"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14:paraId="5EF550C7" w14:textId="77777777"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14:paraId="0428BAF0" w14:textId="77777777" w:rsidR="00D94935" w:rsidRDefault="00D94935" w:rsidP="00D94935">
      <w:pPr>
        <w:pStyle w:val="AH5Sec"/>
      </w:pPr>
      <w:bookmarkStart w:id="1474" w:name="_Toc185515090"/>
      <w:r w:rsidRPr="00C8328B">
        <w:rPr>
          <w:rStyle w:val="CharSectNo"/>
        </w:rPr>
        <w:t>5334</w:t>
      </w:r>
      <w:r>
        <w:tab/>
        <w:t>Appeals to Court of Appeal—application for leave to appeal out of time to be sealed</w:t>
      </w:r>
      <w:bookmarkEnd w:id="1474"/>
    </w:p>
    <w:p w14:paraId="29983818" w14:textId="0A1D868A" w:rsidR="00D94935" w:rsidRDefault="00D94935" w:rsidP="00D94935">
      <w:pPr>
        <w:pStyle w:val="Amainreturn"/>
        <w:keepNext/>
      </w:pPr>
      <w:r>
        <w:t xml:space="preserve">The registrar must seal </w:t>
      </w:r>
      <w:r w:rsidR="001A60D4" w:rsidRPr="00C1177F">
        <w:t>an application for leave to appeal out of time and any filed copies of the application</w:t>
      </w:r>
      <w:r>
        <w:t>.</w:t>
      </w:r>
    </w:p>
    <w:p w14:paraId="4FACBF5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31347505" w14:textId="77777777" w:rsidR="00D94935" w:rsidRDefault="00D94935" w:rsidP="00D94935">
      <w:pPr>
        <w:pStyle w:val="AH5Sec"/>
      </w:pPr>
      <w:bookmarkStart w:id="1475" w:name="_Toc185515091"/>
      <w:r w:rsidRPr="00C8328B">
        <w:rPr>
          <w:rStyle w:val="CharSectNo"/>
        </w:rPr>
        <w:lastRenderedPageBreak/>
        <w:t>5335</w:t>
      </w:r>
      <w:r>
        <w:tab/>
        <w:t>Appeals to Court of Appeal—serving application for leave to appeal out of time</w:t>
      </w:r>
      <w:bookmarkEnd w:id="1475"/>
    </w:p>
    <w:p w14:paraId="447A1E8D" w14:textId="77777777"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14:paraId="1BF2E9FB" w14:textId="77777777" w:rsidR="00D94935" w:rsidRDefault="00D94935" w:rsidP="00D94935">
      <w:pPr>
        <w:pStyle w:val="Apara"/>
      </w:pPr>
      <w:r>
        <w:tab/>
        <w:t>(a)</w:t>
      </w:r>
      <w:r>
        <w:tab/>
        <w:t>a sealed copy of the application;</w:t>
      </w:r>
    </w:p>
    <w:p w14:paraId="51070518" w14:textId="77777777" w:rsidR="005960EF" w:rsidRPr="00061096" w:rsidRDefault="005960EF" w:rsidP="005960EF">
      <w:pPr>
        <w:pStyle w:val="Apara"/>
      </w:pPr>
      <w:r w:rsidRPr="00061096">
        <w:tab/>
        <w:t>(b)</w:t>
      </w:r>
      <w:r w:rsidRPr="00061096">
        <w:tab/>
        <w:t>a stamped copy of the supporting material for the application.</w:t>
      </w:r>
    </w:p>
    <w:p w14:paraId="155B4B6E" w14:textId="77777777" w:rsidR="00D94935" w:rsidRDefault="00D94935" w:rsidP="00D94935">
      <w:pPr>
        <w:pStyle w:val="Amain"/>
        <w:keepNext/>
      </w:pPr>
      <w:r>
        <w:tab/>
        <w:t>(2)</w:t>
      </w:r>
      <w:r>
        <w:tab/>
        <w:t>The documents mentioned in subrule (1) must be served—</w:t>
      </w:r>
    </w:p>
    <w:p w14:paraId="6A69690A" w14:textId="77777777" w:rsidR="00D94935" w:rsidRDefault="00D94935" w:rsidP="00D94935">
      <w:pPr>
        <w:pStyle w:val="Apara"/>
        <w:keepNext/>
      </w:pPr>
      <w:r>
        <w:tab/>
        <w:t>(a)</w:t>
      </w:r>
      <w:r>
        <w:tab/>
        <w:t>personally; or</w:t>
      </w:r>
    </w:p>
    <w:p w14:paraId="68EF99AB"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AE72AAF" w14:textId="77777777" w:rsidR="00D94935" w:rsidRDefault="00D94935" w:rsidP="00D94935">
      <w:pPr>
        <w:pStyle w:val="Apara"/>
      </w:pPr>
      <w:r>
        <w:tab/>
        <w:t>(b)</w:t>
      </w:r>
      <w:r>
        <w:tab/>
        <w:t>on the person at the person’s address for service in the proceeding in which the final judgment appealed from was given.</w:t>
      </w:r>
    </w:p>
    <w:p w14:paraId="215D553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1499F59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716EA16D" w14:textId="77777777" w:rsidR="005960EF" w:rsidRPr="00061096" w:rsidRDefault="005960EF" w:rsidP="005960EF">
      <w:pPr>
        <w:pStyle w:val="AH5Sec"/>
      </w:pPr>
      <w:bookmarkStart w:id="1476" w:name="_Toc185515092"/>
      <w:r w:rsidRPr="00C8328B">
        <w:rPr>
          <w:rStyle w:val="CharSectNo"/>
        </w:rPr>
        <w:t>5336</w:t>
      </w:r>
      <w:r w:rsidRPr="00061096">
        <w:tab/>
        <w:t>Appeals to Court of Appeal—response to application for leave to appeal out of time</w:t>
      </w:r>
      <w:bookmarkEnd w:id="1476"/>
    </w:p>
    <w:p w14:paraId="3C33C610" w14:textId="77777777"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14:paraId="29422A35" w14:textId="77777777" w:rsidR="00D94935" w:rsidRDefault="00D94935" w:rsidP="00D94935">
      <w:pPr>
        <w:pStyle w:val="Apara"/>
      </w:pPr>
      <w:r>
        <w:tab/>
        <w:t>(a)</w:t>
      </w:r>
      <w:r>
        <w:tab/>
        <w:t>the application were an originating application; and</w:t>
      </w:r>
    </w:p>
    <w:p w14:paraId="6A59F749" w14:textId="77777777" w:rsidR="00D94935" w:rsidRDefault="00D94935" w:rsidP="00D94935">
      <w:pPr>
        <w:pStyle w:val="Apara"/>
      </w:pPr>
      <w:r>
        <w:tab/>
        <w:t>(b)</w:t>
      </w:r>
      <w:r>
        <w:tab/>
        <w:t>the respondent were a defendant; and</w:t>
      </w:r>
    </w:p>
    <w:p w14:paraId="1870A907" w14:textId="77777777" w:rsidR="00D94935" w:rsidRDefault="00D94935" w:rsidP="00D94935">
      <w:pPr>
        <w:pStyle w:val="Apara"/>
      </w:pPr>
      <w:r>
        <w:tab/>
        <w:t>(c)</w:t>
      </w:r>
      <w:r>
        <w:tab/>
        <w:t>the appellant were the plaintiff; and</w:t>
      </w:r>
    </w:p>
    <w:p w14:paraId="35112E89" w14:textId="77777777" w:rsidR="00D94935" w:rsidRDefault="00D94935" w:rsidP="00D94935">
      <w:pPr>
        <w:pStyle w:val="Apara"/>
      </w:pPr>
      <w:r>
        <w:lastRenderedPageBreak/>
        <w:tab/>
        <w:t>(d)</w:t>
      </w:r>
      <w:r>
        <w:tab/>
        <w:t>any other necessary changes were made.</w:t>
      </w:r>
    </w:p>
    <w:p w14:paraId="6F331210" w14:textId="77777777"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548D6EB" w14:textId="77777777" w:rsidR="00D94935" w:rsidRDefault="00D94935" w:rsidP="00D94935">
      <w:pPr>
        <w:pStyle w:val="PageBreak"/>
      </w:pPr>
      <w:r>
        <w:br w:type="page"/>
      </w:r>
    </w:p>
    <w:p w14:paraId="2669A673" w14:textId="77777777" w:rsidR="00D94935" w:rsidRPr="00C8328B" w:rsidRDefault="00D94935" w:rsidP="00D94935">
      <w:pPr>
        <w:pStyle w:val="AH3Div"/>
      </w:pPr>
      <w:bookmarkStart w:id="1477" w:name="_Toc185515093"/>
      <w:r w:rsidRPr="00C8328B">
        <w:rPr>
          <w:rStyle w:val="CharDivNo"/>
        </w:rPr>
        <w:lastRenderedPageBreak/>
        <w:t>Division 5.4.4</w:t>
      </w:r>
      <w:r>
        <w:tab/>
      </w:r>
      <w:r w:rsidRPr="00C8328B">
        <w:rPr>
          <w:rStyle w:val="CharDivText"/>
        </w:rPr>
        <w:t>Appeals to Court of Appeal—procedure generally</w:t>
      </w:r>
      <w:bookmarkEnd w:id="1477"/>
    </w:p>
    <w:p w14:paraId="3E2362A5" w14:textId="77777777" w:rsidR="00D94935" w:rsidRDefault="00D94935" w:rsidP="00D94935">
      <w:pPr>
        <w:pStyle w:val="aNote"/>
        <w:rPr>
          <w:rStyle w:val="charItals"/>
        </w:rPr>
      </w:pPr>
      <w:r>
        <w:rPr>
          <w:rStyle w:val="charItals"/>
        </w:rPr>
        <w:t>Note to div 5.4.4</w:t>
      </w:r>
    </w:p>
    <w:p w14:paraId="6E8C17C0" w14:textId="77777777" w:rsidR="00D94935" w:rsidRDefault="00D94935" w:rsidP="00D94935">
      <w:pPr>
        <w:pStyle w:val="aNote"/>
        <w:ind w:left="1100" w:firstLine="0"/>
      </w:pPr>
      <w:r>
        <w:t>See also sdiv 5.4.7.4 (Appeals to Court of Appeal—convictions and sentences generally).</w:t>
      </w:r>
    </w:p>
    <w:p w14:paraId="0F78095A" w14:textId="77777777" w:rsidR="00D94935" w:rsidRDefault="00D94935" w:rsidP="00D94935">
      <w:pPr>
        <w:pStyle w:val="AH5Sec"/>
      </w:pPr>
      <w:bookmarkStart w:id="1478" w:name="_Toc185515094"/>
      <w:r w:rsidRPr="00C8328B">
        <w:rPr>
          <w:rStyle w:val="CharSectNo"/>
        </w:rPr>
        <w:t>5400</w:t>
      </w:r>
      <w:r>
        <w:tab/>
        <w:t>Definitions—divs 5.4.4 to 5.4.6</w:t>
      </w:r>
      <w:bookmarkEnd w:id="1478"/>
    </w:p>
    <w:p w14:paraId="0B0B8B0E" w14:textId="77777777"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14:paraId="54E244E4" w14:textId="77777777" w:rsidR="00D94935" w:rsidRDefault="00D94935" w:rsidP="00D94935">
      <w:pPr>
        <w:pStyle w:val="aDef"/>
      </w:pPr>
      <w:r>
        <w:rPr>
          <w:rStyle w:val="charBoldItals"/>
        </w:rPr>
        <w:t>appeal</w:t>
      </w:r>
      <w:r>
        <w:t xml:space="preserve"> means an appeal from an order of the court.</w:t>
      </w:r>
    </w:p>
    <w:p w14:paraId="0779D080" w14:textId="77777777" w:rsidR="00D94935" w:rsidRDefault="00D94935" w:rsidP="00D94935">
      <w:pPr>
        <w:pStyle w:val="aDef"/>
        <w:keepNext/>
      </w:pPr>
      <w:r>
        <w:rPr>
          <w:rStyle w:val="charBoldItals"/>
        </w:rPr>
        <w:t>order</w:t>
      </w:r>
      <w:r>
        <w:t xml:space="preserve"> includes—</w:t>
      </w:r>
    </w:p>
    <w:p w14:paraId="674060AA" w14:textId="77777777" w:rsidR="00D94935" w:rsidRDefault="00D94935" w:rsidP="00D94935">
      <w:pPr>
        <w:pStyle w:val="aDefpara"/>
      </w:pPr>
      <w:r>
        <w:tab/>
        <w:t>(a)</w:t>
      </w:r>
      <w:r>
        <w:tab/>
        <w:t>a conviction of the court; or</w:t>
      </w:r>
    </w:p>
    <w:p w14:paraId="2BC9535E" w14:textId="77777777" w:rsidR="00D94935" w:rsidRDefault="00D94935" w:rsidP="00D94935">
      <w:pPr>
        <w:pStyle w:val="aDefpara"/>
      </w:pPr>
      <w:r>
        <w:tab/>
        <w:t>(b)</w:t>
      </w:r>
      <w:r>
        <w:tab/>
        <w:t>a sentence of the court.</w:t>
      </w:r>
    </w:p>
    <w:p w14:paraId="65900F6B" w14:textId="77777777"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14:paraId="62AC66A4" w14:textId="77777777"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14:paraId="0AEA9B91" w14:textId="77777777" w:rsidR="00D94935" w:rsidRDefault="00D94935" w:rsidP="00D94935">
      <w:pPr>
        <w:pStyle w:val="Amain"/>
        <w:keepNext/>
      </w:pPr>
      <w:r>
        <w:tab/>
        <w:t>(2)</w:t>
      </w:r>
      <w:r>
        <w:tab/>
        <w:t xml:space="preserve">However, an </w:t>
      </w:r>
      <w:r>
        <w:rPr>
          <w:rStyle w:val="charBoldItals"/>
        </w:rPr>
        <w:t>appeal</w:t>
      </w:r>
      <w:r>
        <w:t xml:space="preserve"> does not include—</w:t>
      </w:r>
    </w:p>
    <w:p w14:paraId="655EB20F" w14:textId="77777777" w:rsidR="00D94935" w:rsidRDefault="00D94935" w:rsidP="00D94935">
      <w:pPr>
        <w:pStyle w:val="Apara"/>
      </w:pPr>
      <w:r>
        <w:tab/>
        <w:t>(a)</w:t>
      </w:r>
      <w:r>
        <w:tab/>
        <w:t>a case stated or question reserved by the court about any matter in relation to which an appeal may be brought to the Court of Appeal; or</w:t>
      </w:r>
    </w:p>
    <w:p w14:paraId="7CE1E5FA" w14:textId="77777777" w:rsidR="00D94935" w:rsidRDefault="00D94935" w:rsidP="00D94935">
      <w:pPr>
        <w:pStyle w:val="aNotepar"/>
      </w:pPr>
      <w:r w:rsidRPr="006364FA">
        <w:rPr>
          <w:rStyle w:val="charItals"/>
        </w:rPr>
        <w:t>Note</w:t>
      </w:r>
      <w:r w:rsidRPr="006364FA">
        <w:rPr>
          <w:rStyle w:val="charItals"/>
        </w:rPr>
        <w:tab/>
      </w:r>
      <w:r>
        <w:t>See div 5.7.2 (Questions referred—Court of Appeal).</w:t>
      </w:r>
    </w:p>
    <w:p w14:paraId="0140A3AE" w14:textId="22C82B6C" w:rsidR="00D94935" w:rsidRDefault="00D94935" w:rsidP="00D94935">
      <w:pPr>
        <w:pStyle w:val="Apara"/>
      </w:pPr>
      <w:r>
        <w:tab/>
        <w:t>(b)</w:t>
      </w:r>
      <w:r>
        <w:tab/>
        <w:t xml:space="preserve">an appeal under the </w:t>
      </w:r>
      <w:hyperlink r:id="rId691" w:tooltip="A1933-34" w:history="1">
        <w:r w:rsidRPr="006364FA">
          <w:rPr>
            <w:rStyle w:val="charCitHyperlinkItal"/>
          </w:rPr>
          <w:t>Supreme Court Act 1933</w:t>
        </w:r>
      </w:hyperlink>
      <w:r>
        <w:t>, section 37S (Reference appeal following acquittal on indictment).</w:t>
      </w:r>
    </w:p>
    <w:p w14:paraId="27D4076E" w14:textId="77777777" w:rsidR="00D94935" w:rsidRDefault="00D94935" w:rsidP="00D94935">
      <w:pPr>
        <w:pStyle w:val="aNotepar"/>
      </w:pPr>
      <w:r w:rsidRPr="006364FA">
        <w:rPr>
          <w:rStyle w:val="charItals"/>
        </w:rPr>
        <w:t>Note</w:t>
      </w:r>
      <w:r w:rsidRPr="006364FA">
        <w:rPr>
          <w:rStyle w:val="charItals"/>
        </w:rPr>
        <w:tab/>
      </w:r>
      <w:r>
        <w:t>See div 5.6.2 (Reference appeals—Court of Appeal).</w:t>
      </w:r>
    </w:p>
    <w:p w14:paraId="0C2DC9CD" w14:textId="77777777" w:rsidR="005960EF" w:rsidRPr="00061096" w:rsidRDefault="005960EF" w:rsidP="005960EF">
      <w:pPr>
        <w:pStyle w:val="AH5Sec"/>
      </w:pPr>
      <w:bookmarkStart w:id="1479" w:name="_Toc185515095"/>
      <w:r w:rsidRPr="00C8328B">
        <w:rPr>
          <w:rStyle w:val="CharSectNo"/>
        </w:rPr>
        <w:lastRenderedPageBreak/>
        <w:t>5400A</w:t>
      </w:r>
      <w:r w:rsidRPr="00061096">
        <w:tab/>
        <w:t xml:space="preserve">Meaning of </w:t>
      </w:r>
      <w:r w:rsidRPr="00061096">
        <w:rPr>
          <w:rStyle w:val="charItals"/>
        </w:rPr>
        <w:t>case summary</w:t>
      </w:r>
      <w:r w:rsidRPr="00061096">
        <w:t>—div 5.4.4</w:t>
      </w:r>
      <w:bookmarkEnd w:id="1479"/>
    </w:p>
    <w:p w14:paraId="53A37D59" w14:textId="77777777" w:rsidR="005960EF" w:rsidRPr="00061096" w:rsidRDefault="005960EF" w:rsidP="00117E78">
      <w:pPr>
        <w:pStyle w:val="Amainreturn"/>
        <w:keepNext/>
      </w:pPr>
      <w:r w:rsidRPr="00061096">
        <w:t>In this division:</w:t>
      </w:r>
    </w:p>
    <w:p w14:paraId="420CA68C" w14:textId="77777777" w:rsidR="005960EF" w:rsidRPr="00061096" w:rsidRDefault="005960EF" w:rsidP="00117E78">
      <w:pPr>
        <w:pStyle w:val="aDef"/>
        <w:keepNext/>
      </w:pPr>
      <w:r w:rsidRPr="00061096">
        <w:rPr>
          <w:rStyle w:val="charBoldItals"/>
        </w:rPr>
        <w:t>case summary</w:t>
      </w:r>
      <w:r w:rsidRPr="00061096">
        <w:t>—</w:t>
      </w:r>
    </w:p>
    <w:p w14:paraId="7A5E1788" w14:textId="77777777" w:rsidR="005960EF" w:rsidRPr="00061096" w:rsidRDefault="005960EF" w:rsidP="005960EF">
      <w:pPr>
        <w:pStyle w:val="aDefpara"/>
      </w:pPr>
      <w:r w:rsidRPr="00061096">
        <w:tab/>
        <w:t>(a)</w:t>
      </w:r>
      <w:r w:rsidRPr="00061096">
        <w:tab/>
        <w:t>for an appeal—see rule 5403 (</w:t>
      </w:r>
      <w:r w:rsidR="00B757F8">
        <w:t>2</w:t>
      </w:r>
      <w:r w:rsidRPr="00061096">
        <w:t>); and</w:t>
      </w:r>
    </w:p>
    <w:p w14:paraId="06B9B1F9" w14:textId="77777777" w:rsidR="005960EF" w:rsidRPr="00061096" w:rsidRDefault="005960EF" w:rsidP="005960EF">
      <w:pPr>
        <w:pStyle w:val="aDefpara"/>
      </w:pPr>
      <w:r w:rsidRPr="00061096">
        <w:tab/>
        <w:t>(b)</w:t>
      </w:r>
      <w:r w:rsidRPr="00061096">
        <w:tab/>
        <w:t>for a cross-appeal—see rule 5413 (</w:t>
      </w:r>
      <w:r w:rsidR="00853F33">
        <w:t>4</w:t>
      </w:r>
      <w:r w:rsidRPr="00061096">
        <w:t>).</w:t>
      </w:r>
    </w:p>
    <w:p w14:paraId="1CED50C9" w14:textId="77777777" w:rsidR="00D94935" w:rsidRDefault="00D94935" w:rsidP="00D94935">
      <w:pPr>
        <w:pStyle w:val="AH5Sec"/>
      </w:pPr>
      <w:bookmarkStart w:id="1480" w:name="_Toc185515096"/>
      <w:r w:rsidRPr="00C8328B">
        <w:rPr>
          <w:rStyle w:val="CharSectNo"/>
        </w:rPr>
        <w:t>5401</w:t>
      </w:r>
      <w:r>
        <w:tab/>
        <w:t>Application—divs 5.4.4 to 5.4.6</w:t>
      </w:r>
      <w:bookmarkEnd w:id="1480"/>
    </w:p>
    <w:p w14:paraId="5740F2C1" w14:textId="77777777" w:rsidR="00D94935" w:rsidRDefault="00D94935" w:rsidP="00D94935">
      <w:pPr>
        <w:pStyle w:val="Amain"/>
      </w:pPr>
      <w:r>
        <w:tab/>
        <w:t>(1)</w:t>
      </w:r>
      <w:r>
        <w:tab/>
        <w:t>This division, division 5.4.5 and division 5.4.6 apply to an appeal to the Court of Appeal.</w:t>
      </w:r>
    </w:p>
    <w:p w14:paraId="71ADB7BE" w14:textId="77777777" w:rsidR="00D94935" w:rsidRDefault="00D94935" w:rsidP="00D94935">
      <w:pPr>
        <w:pStyle w:val="Amain"/>
      </w:pPr>
      <w:r>
        <w:tab/>
        <w:t>(2)</w:t>
      </w:r>
      <w:r>
        <w:tab/>
        <w:t>The divisions apply subject to any territory law applying to the appeal.</w:t>
      </w:r>
    </w:p>
    <w:p w14:paraId="306EE7DD" w14:textId="6A9F2ED6"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2" w:tooltip="A2001-14" w:history="1">
        <w:r w:rsidRPr="006364FA">
          <w:rPr>
            <w:rStyle w:val="charCitHyperlinkAbbrev"/>
          </w:rPr>
          <w:t>Legislation Act</w:t>
        </w:r>
      </w:hyperlink>
      <w:r>
        <w:t>, s 98).</w:t>
      </w:r>
    </w:p>
    <w:p w14:paraId="29C1DC3C" w14:textId="77777777" w:rsidR="00D94935" w:rsidRDefault="00D94935" w:rsidP="00D94935">
      <w:pPr>
        <w:pStyle w:val="AH5Sec"/>
      </w:pPr>
      <w:bookmarkStart w:id="1481" w:name="_Toc185515097"/>
      <w:r w:rsidRPr="00C8328B">
        <w:rPr>
          <w:rStyle w:val="CharSectNo"/>
        </w:rPr>
        <w:t>5402</w:t>
      </w:r>
      <w:r>
        <w:tab/>
        <w:t>Appeals to Court of Appeal—starting appeal</w:t>
      </w:r>
      <w:bookmarkEnd w:id="1481"/>
    </w:p>
    <w:p w14:paraId="0D2AA033" w14:textId="77777777" w:rsidR="00D94935" w:rsidRDefault="00D94935" w:rsidP="00D94935">
      <w:pPr>
        <w:pStyle w:val="Amainreturn"/>
        <w:keepNext/>
      </w:pPr>
      <w:r>
        <w:t>An appeal may be started in the Court of Appeal by filing a notice of appeal in the court.</w:t>
      </w:r>
    </w:p>
    <w:p w14:paraId="3750730F" w14:textId="394C5D7C"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93" w:history="1">
        <w:r w:rsidR="00E26868">
          <w:rPr>
            <w:rStyle w:val="charCitHyperlinkAbbrev"/>
          </w:rPr>
          <w:t>AF2016</w:t>
        </w:r>
        <w:r w:rsidR="00E26868">
          <w:rPr>
            <w:rStyle w:val="charCitHyperlinkAbbrev"/>
          </w:rPr>
          <w:noBreakHyphen/>
          <w:t>104</w:t>
        </w:r>
      </w:hyperlink>
      <w:r>
        <w:t>.</w:t>
      </w:r>
    </w:p>
    <w:p w14:paraId="245AD893" w14:textId="77777777" w:rsidR="00D94935" w:rsidRDefault="00D94935" w:rsidP="00D94935">
      <w:pPr>
        <w:pStyle w:val="AH5Sec"/>
      </w:pPr>
      <w:bookmarkStart w:id="1482" w:name="_Toc185515098"/>
      <w:r w:rsidRPr="00C8328B">
        <w:rPr>
          <w:rStyle w:val="CharSectNo"/>
        </w:rPr>
        <w:t>5403</w:t>
      </w:r>
      <w:r>
        <w:tab/>
        <w:t>Appeals to Court of Appeal—requirements for notice of appeal etc</w:t>
      </w:r>
      <w:bookmarkEnd w:id="1482"/>
    </w:p>
    <w:p w14:paraId="4C3335E0" w14:textId="77777777" w:rsidR="00D94935" w:rsidRDefault="00D94935" w:rsidP="00D94935">
      <w:pPr>
        <w:pStyle w:val="Amain"/>
        <w:keepNext/>
      </w:pPr>
      <w:r>
        <w:tab/>
        <w:t>(1)</w:t>
      </w:r>
      <w:r>
        <w:tab/>
        <w:t>The notice of appeal to the Court of Appeal must state—</w:t>
      </w:r>
    </w:p>
    <w:p w14:paraId="63A6AE3C" w14:textId="77777777" w:rsidR="00D94935" w:rsidRDefault="00D94935" w:rsidP="00D94935">
      <w:pPr>
        <w:pStyle w:val="Apara"/>
        <w:keepNext/>
      </w:pPr>
      <w:r>
        <w:tab/>
        <w:t>(a)</w:t>
      </w:r>
      <w:r>
        <w:tab/>
        <w:t>the order appealed from and the date of the order; and</w:t>
      </w:r>
    </w:p>
    <w:p w14:paraId="0C77282A" w14:textId="77777777" w:rsidR="00D94935" w:rsidRDefault="00D94935" w:rsidP="00D94935">
      <w:pPr>
        <w:pStyle w:val="Apara"/>
      </w:pPr>
      <w:r>
        <w:tab/>
        <w:t>(b)</w:t>
      </w:r>
      <w:r>
        <w:tab/>
        <w:t>whether the appeal is from all or part of the order; and</w:t>
      </w:r>
    </w:p>
    <w:p w14:paraId="524C8A1B" w14:textId="77777777" w:rsidR="00D94935" w:rsidRDefault="00D94935" w:rsidP="00D94935">
      <w:pPr>
        <w:pStyle w:val="Apara"/>
      </w:pPr>
      <w:r>
        <w:tab/>
        <w:t>(c)</w:t>
      </w:r>
      <w:r>
        <w:tab/>
        <w:t>if the appeal is from part of the order—the part appealed from; and</w:t>
      </w:r>
    </w:p>
    <w:p w14:paraId="5D5B0626" w14:textId="77777777" w:rsidR="00D94935" w:rsidRDefault="00D94935" w:rsidP="00D94935">
      <w:pPr>
        <w:pStyle w:val="Apara"/>
      </w:pPr>
      <w:r>
        <w:tab/>
        <w:t>(d)</w:t>
      </w:r>
      <w:r>
        <w:tab/>
        <w:t>whether the appellant will seek to put further evidence before the court; and</w:t>
      </w:r>
    </w:p>
    <w:p w14:paraId="0807BF91" w14:textId="77777777" w:rsidR="00D94935" w:rsidRDefault="00D94935" w:rsidP="00D94935">
      <w:pPr>
        <w:pStyle w:val="Apara"/>
      </w:pPr>
      <w:r>
        <w:lastRenderedPageBreak/>
        <w:tab/>
        <w:t>(e)</w:t>
      </w:r>
      <w:r>
        <w:tab/>
        <w:t>if further evidence is to be put before the court—briefly the nature of the evidence and what is sought to be proved; and</w:t>
      </w:r>
    </w:p>
    <w:p w14:paraId="2C4CD666" w14:textId="77777777"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14:paraId="1AC9CDCA" w14:textId="77777777" w:rsidR="00D94935" w:rsidRDefault="00D94935" w:rsidP="00D94935">
      <w:pPr>
        <w:pStyle w:val="Apara"/>
      </w:pPr>
      <w:r>
        <w:tab/>
        <w:t>(g)</w:t>
      </w:r>
      <w:r>
        <w:tab/>
        <w:t>the order sought.</w:t>
      </w:r>
    </w:p>
    <w:p w14:paraId="4AE883D7" w14:textId="77777777"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14:paraId="5516B78E" w14:textId="77777777" w:rsidR="005960EF" w:rsidRPr="00061096" w:rsidRDefault="005960EF" w:rsidP="005960EF">
      <w:pPr>
        <w:pStyle w:val="Apara"/>
      </w:pPr>
      <w:r w:rsidRPr="00061096">
        <w:tab/>
        <w:t>(a)</w:t>
      </w:r>
      <w:r w:rsidRPr="00061096">
        <w:tab/>
        <w:t>the proceeding in which the order appealed from was made; and</w:t>
      </w:r>
    </w:p>
    <w:p w14:paraId="638CA45E" w14:textId="77777777" w:rsidR="005960EF" w:rsidRPr="00061096" w:rsidRDefault="005960EF" w:rsidP="005960EF">
      <w:pPr>
        <w:pStyle w:val="Apara"/>
      </w:pPr>
      <w:r w:rsidRPr="00061096">
        <w:tab/>
        <w:t>(b)</w:t>
      </w:r>
      <w:r w:rsidRPr="00061096">
        <w:tab/>
        <w:t>the order appealed from; and</w:t>
      </w:r>
    </w:p>
    <w:p w14:paraId="258A8590" w14:textId="77777777" w:rsidR="005960EF" w:rsidRPr="00061096" w:rsidRDefault="005960EF" w:rsidP="005960EF">
      <w:pPr>
        <w:pStyle w:val="Apara"/>
      </w:pPr>
      <w:r w:rsidRPr="00061096">
        <w:tab/>
        <w:t>(c)</w:t>
      </w:r>
      <w:r w:rsidRPr="00061096">
        <w:tab/>
        <w:t>the grounds relied on in support of the appeal.</w:t>
      </w:r>
    </w:p>
    <w:p w14:paraId="4E32AFDE" w14:textId="77777777" w:rsidR="00D94935" w:rsidRDefault="00D94935" w:rsidP="00D94935">
      <w:pPr>
        <w:pStyle w:val="Amain"/>
      </w:pPr>
      <w:r>
        <w:tab/>
        <w:t>(</w:t>
      </w:r>
      <w:r w:rsidR="005960EF">
        <w:t>3</w:t>
      </w:r>
      <w:r>
        <w:t>)</w:t>
      </w:r>
      <w:r>
        <w:tab/>
        <w:t>If the appeal is brought by leave of the Court of Appeal—</w:t>
      </w:r>
    </w:p>
    <w:p w14:paraId="0991A73A" w14:textId="77777777" w:rsidR="00D94935" w:rsidRDefault="00D94935" w:rsidP="00D94935">
      <w:pPr>
        <w:pStyle w:val="Apara"/>
      </w:pPr>
      <w:r>
        <w:tab/>
        <w:t>(a)</w:t>
      </w:r>
      <w:r>
        <w:tab/>
        <w:t>the notice of appeal must state that the appeal is brought by leave; and</w:t>
      </w:r>
    </w:p>
    <w:p w14:paraId="33C90BCD" w14:textId="214B0AE8" w:rsidR="00D94935" w:rsidRDefault="00D94935" w:rsidP="00D94935">
      <w:pPr>
        <w:pStyle w:val="Apara"/>
      </w:pPr>
      <w:r>
        <w:tab/>
        <w:t>(b)</w:t>
      </w:r>
      <w:r>
        <w:tab/>
        <w:t xml:space="preserve">a sealed copy of the order giving leave to appeal must </w:t>
      </w:r>
      <w:r w:rsidR="001A60D4" w:rsidRPr="00C1177F">
        <w:t>accompany</w:t>
      </w:r>
      <w:r>
        <w:t xml:space="preserve"> the notice of appeal and every copy of the notice of appeal served under rule 5409 (Appeals to Court of Appeal—serving notice of appeal</w:t>
      </w:r>
      <w:r w:rsidR="00D41E58">
        <w:t xml:space="preserve"> and case summary</w:t>
      </w:r>
      <w:r>
        <w:t>).</w:t>
      </w:r>
    </w:p>
    <w:p w14:paraId="42D685FF" w14:textId="77777777"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14:paraId="3ADF6F43" w14:textId="77777777"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14:paraId="28BC3F33" w14:textId="77777777" w:rsidR="00D94935" w:rsidRDefault="00D94935" w:rsidP="00D94935">
      <w:pPr>
        <w:pStyle w:val="Amain"/>
        <w:keepNext/>
      </w:pPr>
      <w:r>
        <w:lastRenderedPageBreak/>
        <w:tab/>
        <w:t>(</w:t>
      </w:r>
      <w:r w:rsidR="005960EF">
        <w:t>6</w:t>
      </w:r>
      <w:r>
        <w:t>)</w:t>
      </w:r>
      <w:r>
        <w:tab/>
        <w:t>On the hearing of the appeal, the appellant must not, without the Court of Appeal’s leave—</w:t>
      </w:r>
    </w:p>
    <w:p w14:paraId="58D1438B" w14:textId="77777777" w:rsidR="00D94935" w:rsidRDefault="00D94935" w:rsidP="00D94935">
      <w:pPr>
        <w:pStyle w:val="Apara"/>
        <w:keepNext/>
      </w:pPr>
      <w:r>
        <w:tab/>
        <w:t>(a)</w:t>
      </w:r>
      <w:r>
        <w:tab/>
        <w:t>raise any question that is not stated in the notice of appeal; or</w:t>
      </w:r>
    </w:p>
    <w:p w14:paraId="6F19184A" w14:textId="77777777" w:rsidR="00D94935" w:rsidRDefault="00D94935" w:rsidP="00D94935">
      <w:pPr>
        <w:pStyle w:val="Apara"/>
        <w:keepNext/>
      </w:pPr>
      <w:r>
        <w:tab/>
        <w:t>(b)</w:t>
      </w:r>
      <w:r>
        <w:tab/>
        <w:t>rely on any ground in support of the order sought that is not stated in the notice of appeal.</w:t>
      </w:r>
    </w:p>
    <w:p w14:paraId="30C5C53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E2AE1D0" w14:textId="77777777" w:rsidR="00D94935" w:rsidRDefault="00D94935" w:rsidP="00D94935">
      <w:pPr>
        <w:pStyle w:val="AH5Sec"/>
      </w:pPr>
      <w:bookmarkStart w:id="1483" w:name="_Toc185515099"/>
      <w:r w:rsidRPr="00C8328B">
        <w:rPr>
          <w:rStyle w:val="CharSectNo"/>
        </w:rPr>
        <w:t>5404</w:t>
      </w:r>
      <w:r>
        <w:tab/>
        <w:t>Appeals to Court of Appeal—parties to appeal</w:t>
      </w:r>
      <w:bookmarkEnd w:id="1483"/>
    </w:p>
    <w:p w14:paraId="3E25A973" w14:textId="77777777"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14:paraId="45E28628" w14:textId="77777777" w:rsidR="00D94935" w:rsidRDefault="00D94935" w:rsidP="00D94935">
      <w:pPr>
        <w:pStyle w:val="Amain"/>
      </w:pPr>
      <w:r>
        <w:tab/>
        <w:t>(2)</w:t>
      </w:r>
      <w:r>
        <w:tab/>
        <w:t>The Court of Appeal may order that—</w:t>
      </w:r>
    </w:p>
    <w:p w14:paraId="1E417D28" w14:textId="77777777" w:rsidR="00D94935" w:rsidRDefault="00D94935" w:rsidP="00D94935">
      <w:pPr>
        <w:pStyle w:val="Apara"/>
      </w:pPr>
      <w:r>
        <w:tab/>
        <w:t>(a)</w:t>
      </w:r>
      <w:r>
        <w:tab/>
        <w:t>a person (whether or not a party to the original proceeding) be included or removed as a party to the appeal; or</w:t>
      </w:r>
    </w:p>
    <w:p w14:paraId="516B2C17" w14:textId="77777777" w:rsidR="00D94935" w:rsidRDefault="00D94935" w:rsidP="00D94935">
      <w:pPr>
        <w:pStyle w:val="Apara"/>
        <w:keepNext/>
      </w:pPr>
      <w:r>
        <w:tab/>
        <w:t>(b)</w:t>
      </w:r>
      <w:r>
        <w:tab/>
        <w:t>a person directly affected by the appeal be included or substituted as a party.</w:t>
      </w:r>
    </w:p>
    <w:p w14:paraId="17874FE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D118A84" w14:textId="77777777" w:rsidR="00D94935" w:rsidRDefault="00D94935" w:rsidP="00D94935">
      <w:pPr>
        <w:pStyle w:val="Amain"/>
      </w:pPr>
      <w:r>
        <w:tab/>
        <w:t>(3)</w:t>
      </w:r>
      <w:r>
        <w:tab/>
        <w:t>However, a person may be made an appellant only with the person’s consent.</w:t>
      </w:r>
    </w:p>
    <w:p w14:paraId="64FBC0DE" w14:textId="77777777"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14:paraId="2922F977" w14:textId="77777777" w:rsidR="00D94935" w:rsidRDefault="00D94935" w:rsidP="00D94935">
      <w:pPr>
        <w:pStyle w:val="AH5Sec"/>
      </w:pPr>
      <w:bookmarkStart w:id="1484" w:name="_Toc185515100"/>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84"/>
    </w:p>
    <w:p w14:paraId="3DC90486" w14:textId="77777777"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14:paraId="63BF6EA8" w14:textId="77777777" w:rsidR="00D94935" w:rsidRDefault="00D94935" w:rsidP="00D94935">
      <w:pPr>
        <w:pStyle w:val="Apara"/>
      </w:pPr>
      <w:r>
        <w:tab/>
        <w:t>(a)</w:t>
      </w:r>
      <w:r>
        <w:tab/>
        <w:t>if leave to appeal has been given—</w:t>
      </w:r>
    </w:p>
    <w:p w14:paraId="4205050A" w14:textId="77777777"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14:paraId="559F1A96" w14:textId="77777777"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14:paraId="53CBD10C"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4D1F8A0F" w14:textId="77777777"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14:paraId="4E002CFA" w14:textId="77777777"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14:paraId="77CA5041" w14:textId="77777777"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14:paraId="2775B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8E5D77" w14:textId="77777777" w:rsidR="00D94935" w:rsidRDefault="00D94935" w:rsidP="00D94935">
      <w:pPr>
        <w:pStyle w:val="AH5Sec"/>
      </w:pPr>
      <w:bookmarkStart w:id="1485" w:name="_Toc185515101"/>
      <w:r w:rsidRPr="00C8328B">
        <w:rPr>
          <w:rStyle w:val="CharSectNo"/>
        </w:rPr>
        <w:lastRenderedPageBreak/>
        <w:t>5406</w:t>
      </w:r>
      <w:r>
        <w:tab/>
        <w:t>Appeals to Court of Appeal—notice of appeal to be sealed</w:t>
      </w:r>
      <w:bookmarkEnd w:id="1485"/>
    </w:p>
    <w:p w14:paraId="72A48C5F" w14:textId="0ADCF0EE" w:rsidR="00D94935" w:rsidRDefault="00D94935" w:rsidP="00D94935">
      <w:pPr>
        <w:pStyle w:val="Amainreturn"/>
        <w:keepNext/>
      </w:pPr>
      <w:r>
        <w:t xml:space="preserve">The registrar must seal </w:t>
      </w:r>
      <w:r w:rsidR="000802DA" w:rsidRPr="00C1177F">
        <w:t>a notice of appeal and any filed copies of the notice</w:t>
      </w:r>
      <w:r>
        <w:t>.</w:t>
      </w:r>
    </w:p>
    <w:p w14:paraId="2DAA192A"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71943573" w14:textId="77777777" w:rsidR="00D94935" w:rsidRDefault="00D94935" w:rsidP="00D94935">
      <w:pPr>
        <w:pStyle w:val="AH5Sec"/>
      </w:pPr>
      <w:bookmarkStart w:id="1486" w:name="_Toc185515102"/>
      <w:r w:rsidRPr="00C8328B">
        <w:rPr>
          <w:rStyle w:val="CharSectNo"/>
        </w:rPr>
        <w:t>5407</w:t>
      </w:r>
      <w:r>
        <w:tab/>
        <w:t>Appeals to Court of Appeal——numbering etc of appeals</w:t>
      </w:r>
      <w:bookmarkEnd w:id="1486"/>
    </w:p>
    <w:p w14:paraId="5DD36AC5" w14:textId="77777777" w:rsidR="00D94935" w:rsidRDefault="00D94935" w:rsidP="00D94935">
      <w:pPr>
        <w:pStyle w:val="Amain"/>
      </w:pPr>
      <w:r>
        <w:tab/>
        <w:t>(1)</w:t>
      </w:r>
      <w:r>
        <w:tab/>
        <w:t>When the notice of appeal is sealed, the registrar must give a distinguishing number or other unique identifier to the appeal started by the notice.</w:t>
      </w:r>
    </w:p>
    <w:p w14:paraId="12B3FA49" w14:textId="5913A430" w:rsidR="00D94935" w:rsidRDefault="00D94935" w:rsidP="00D94935">
      <w:pPr>
        <w:pStyle w:val="Amain"/>
      </w:pPr>
      <w:r>
        <w:tab/>
        <w:t>(2)</w:t>
      </w:r>
      <w:r>
        <w:tab/>
        <w:t xml:space="preserve">The registrar must ensure that the </w:t>
      </w:r>
      <w:r w:rsidR="00AA0316" w:rsidRPr="00C1177F">
        <w:t>notice of appeal</w:t>
      </w:r>
      <w:r w:rsidR="00AA0316">
        <w:t xml:space="preserve"> </w:t>
      </w:r>
      <w:r>
        <w:t>and each copy sealed under rule 5406 is endorsed with—</w:t>
      </w:r>
    </w:p>
    <w:p w14:paraId="1D957985" w14:textId="77777777" w:rsidR="00D94935" w:rsidRDefault="00D94935" w:rsidP="00D94935">
      <w:pPr>
        <w:pStyle w:val="Apara"/>
      </w:pPr>
      <w:r>
        <w:tab/>
        <w:t>(a)</w:t>
      </w:r>
      <w:r>
        <w:tab/>
        <w:t>the distinguishing number or other unique identifier given to the appeal; and</w:t>
      </w:r>
    </w:p>
    <w:p w14:paraId="0A63A33C" w14:textId="77777777" w:rsidR="00D94935" w:rsidRDefault="00D94935" w:rsidP="00D94935">
      <w:pPr>
        <w:pStyle w:val="Apara"/>
      </w:pPr>
      <w:r>
        <w:tab/>
        <w:t>(b)</w:t>
      </w:r>
      <w:r>
        <w:tab/>
        <w:t>the date when the notice was filed in the court.</w:t>
      </w:r>
    </w:p>
    <w:p w14:paraId="2B79E5F4" w14:textId="77777777" w:rsidR="00D94935" w:rsidRDefault="00D94935" w:rsidP="00D94935">
      <w:pPr>
        <w:pStyle w:val="AH5Sec"/>
      </w:pPr>
      <w:bookmarkStart w:id="1487" w:name="_Toc185515103"/>
      <w:r w:rsidRPr="00C8328B">
        <w:rPr>
          <w:rStyle w:val="CharSectNo"/>
        </w:rPr>
        <w:t>5408</w:t>
      </w:r>
      <w:r>
        <w:tab/>
        <w:t>Appeals to Court of Appeal—date for settlement of appeal papers</w:t>
      </w:r>
      <w:bookmarkEnd w:id="1487"/>
    </w:p>
    <w:p w14:paraId="7E777B1B" w14:textId="77777777" w:rsidR="00D94935" w:rsidRDefault="00D94935" w:rsidP="00D94935">
      <w:pPr>
        <w:pStyle w:val="Amainreturn"/>
      </w:pPr>
      <w:r>
        <w:t>The registrar must set a date for settlement of the appeal papers by writing the date on the notice of appeal.</w:t>
      </w:r>
    </w:p>
    <w:p w14:paraId="48BAC739" w14:textId="77777777" w:rsidR="003E0E9E" w:rsidRPr="00061096" w:rsidRDefault="003E0E9E" w:rsidP="003E0E9E">
      <w:pPr>
        <w:pStyle w:val="AH5Sec"/>
      </w:pPr>
      <w:bookmarkStart w:id="1488" w:name="_Toc185515104"/>
      <w:r w:rsidRPr="00C8328B">
        <w:rPr>
          <w:rStyle w:val="CharSectNo"/>
        </w:rPr>
        <w:t>5409</w:t>
      </w:r>
      <w:r w:rsidRPr="00061096">
        <w:tab/>
        <w:t>Appeals to Court of Appeal—serving notice of appeal and case summary</w:t>
      </w:r>
      <w:bookmarkEnd w:id="1488"/>
    </w:p>
    <w:p w14:paraId="4079BED5" w14:textId="77777777" w:rsidR="003E0E9E" w:rsidRPr="00061096" w:rsidRDefault="003E0E9E" w:rsidP="003E0E9E">
      <w:pPr>
        <w:pStyle w:val="Amain"/>
      </w:pPr>
      <w:r w:rsidRPr="00061096">
        <w:tab/>
        <w:t>(1)</w:t>
      </w:r>
      <w:r w:rsidRPr="00061096">
        <w:tab/>
        <w:t>The appellant must serve on each respondent—</w:t>
      </w:r>
    </w:p>
    <w:p w14:paraId="199AC527" w14:textId="77777777" w:rsidR="003E0E9E" w:rsidRPr="00061096" w:rsidRDefault="003E0E9E" w:rsidP="003E0E9E">
      <w:pPr>
        <w:pStyle w:val="Apara"/>
      </w:pPr>
      <w:r w:rsidRPr="00061096">
        <w:tab/>
        <w:t>(a)</w:t>
      </w:r>
      <w:r w:rsidRPr="00061096">
        <w:tab/>
        <w:t>a sealed copy of the notice of appeal; and</w:t>
      </w:r>
    </w:p>
    <w:p w14:paraId="618A1F7D" w14:textId="77777777" w:rsidR="003E0E9E" w:rsidRPr="00061096" w:rsidRDefault="003E0E9E" w:rsidP="003E0E9E">
      <w:pPr>
        <w:pStyle w:val="Apara"/>
      </w:pPr>
      <w:r w:rsidRPr="00061096">
        <w:tab/>
        <w:t>(b)</w:t>
      </w:r>
      <w:r w:rsidRPr="00061096">
        <w:tab/>
        <w:t>a stamped copy of the case summary.</w:t>
      </w:r>
    </w:p>
    <w:p w14:paraId="0AE6F2B4" w14:textId="77777777"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14:paraId="58F99345" w14:textId="77777777" w:rsidR="00D94935" w:rsidRDefault="00D94935" w:rsidP="00117E78">
      <w:pPr>
        <w:pStyle w:val="Apara"/>
        <w:keepNext/>
      </w:pPr>
      <w:r>
        <w:tab/>
        <w:t>(a)</w:t>
      </w:r>
      <w:r>
        <w:tab/>
        <w:t>personally; or</w:t>
      </w:r>
    </w:p>
    <w:p w14:paraId="79939A8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2E9C0C6E" w14:textId="77777777" w:rsidR="00D94935" w:rsidRDefault="00D94935" w:rsidP="00D94935">
      <w:pPr>
        <w:pStyle w:val="Apara"/>
      </w:pPr>
      <w:r>
        <w:tab/>
        <w:t>(b)</w:t>
      </w:r>
      <w:r>
        <w:tab/>
        <w:t>on a respondent at the respondent’s address for service in the proceeding in which the order appealed from was made.</w:t>
      </w:r>
    </w:p>
    <w:p w14:paraId="33959448"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0C664A1A"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4B3586E9" w14:textId="77777777"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14:paraId="5F856CB6" w14:textId="77777777"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14:paraId="1CA87AA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67722A8" w14:textId="77777777"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14:paraId="23793869" w14:textId="77777777"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14:paraId="7C75E284" w14:textId="77777777" w:rsidR="00D94935" w:rsidRDefault="00D94935" w:rsidP="00D94935">
      <w:pPr>
        <w:pStyle w:val="AH5Sec"/>
      </w:pPr>
      <w:bookmarkStart w:id="1489" w:name="_Toc185515105"/>
      <w:r w:rsidRPr="00C8328B">
        <w:rPr>
          <w:rStyle w:val="CharSectNo"/>
        </w:rPr>
        <w:lastRenderedPageBreak/>
        <w:t>5410</w:t>
      </w:r>
      <w:r>
        <w:tab/>
        <w:t>Appeals to Court of Appeal—notice of intention to respond</w:t>
      </w:r>
      <w:bookmarkEnd w:id="1489"/>
    </w:p>
    <w:p w14:paraId="517FE201"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20E2A8A" w14:textId="77777777" w:rsidR="00D94935" w:rsidRDefault="00D94935" w:rsidP="00D94935">
      <w:pPr>
        <w:pStyle w:val="Apara"/>
      </w:pPr>
      <w:r>
        <w:tab/>
        <w:t>(a)</w:t>
      </w:r>
      <w:r>
        <w:tab/>
        <w:t>the notice of appeal were an originating application; and</w:t>
      </w:r>
    </w:p>
    <w:p w14:paraId="6482B25E" w14:textId="77777777" w:rsidR="00D94935" w:rsidRDefault="00D94935" w:rsidP="00D94935">
      <w:pPr>
        <w:pStyle w:val="Apara"/>
      </w:pPr>
      <w:r>
        <w:tab/>
        <w:t>(b)</w:t>
      </w:r>
      <w:r>
        <w:tab/>
        <w:t>the respondent were a defendant; and</w:t>
      </w:r>
    </w:p>
    <w:p w14:paraId="0501AFDF" w14:textId="77777777" w:rsidR="00D94935" w:rsidRDefault="00D94935" w:rsidP="00D94935">
      <w:pPr>
        <w:pStyle w:val="Apara"/>
      </w:pPr>
      <w:r>
        <w:tab/>
        <w:t>(c)</w:t>
      </w:r>
      <w:r>
        <w:tab/>
        <w:t>the appellant were the plaintiff; and</w:t>
      </w:r>
    </w:p>
    <w:p w14:paraId="2CC4AAD2" w14:textId="77777777" w:rsidR="00D94935" w:rsidRDefault="00D94935" w:rsidP="00D94935">
      <w:pPr>
        <w:pStyle w:val="Apara"/>
      </w:pPr>
      <w:r>
        <w:tab/>
        <w:t>(d)</w:t>
      </w:r>
      <w:r>
        <w:tab/>
        <w:t>any other necessary changes were made.</w:t>
      </w:r>
    </w:p>
    <w:p w14:paraId="0FDA0598" w14:textId="77777777"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14:paraId="3A1560C0" w14:textId="77777777" w:rsidR="00D94935" w:rsidRDefault="00D94935" w:rsidP="00D94935">
      <w:pPr>
        <w:pStyle w:val="AH5Sec"/>
        <w:rPr>
          <w:lang w:val="en-US"/>
        </w:rPr>
      </w:pPr>
      <w:bookmarkStart w:id="1490" w:name="_Toc185515106"/>
      <w:r w:rsidRPr="00C8328B">
        <w:rPr>
          <w:rStyle w:val="CharSectNo"/>
        </w:rPr>
        <w:t>5411</w:t>
      </w:r>
      <w:r>
        <w:rPr>
          <w:lang w:val="en-US"/>
        </w:rPr>
        <w:tab/>
      </w:r>
      <w:r>
        <w:t>Appeals to Court of Appeal—</w:t>
      </w:r>
      <w:r>
        <w:rPr>
          <w:lang w:val="en-US"/>
        </w:rPr>
        <w:t>respondent taken to be served by filing notice of intention to respond</w:t>
      </w:r>
      <w:bookmarkEnd w:id="1490"/>
    </w:p>
    <w:p w14:paraId="612D78FE" w14:textId="77777777" w:rsidR="00D94935" w:rsidRDefault="00D94935" w:rsidP="00D94935">
      <w:pPr>
        <w:pStyle w:val="Amain"/>
        <w:keepNext/>
        <w:rPr>
          <w:lang w:val="en-US"/>
        </w:rPr>
      </w:pPr>
      <w:r>
        <w:rPr>
          <w:lang w:val="en-US"/>
        </w:rPr>
        <w:tab/>
        <w:t>(1)</w:t>
      </w:r>
      <w:r>
        <w:rPr>
          <w:lang w:val="en-US"/>
        </w:rPr>
        <w:tab/>
        <w:t>This rule applies to a respondent to the appeal if—</w:t>
      </w:r>
    </w:p>
    <w:p w14:paraId="2887A0E9" w14:textId="77777777" w:rsidR="00D94935" w:rsidRDefault="00D94935" w:rsidP="00D94935">
      <w:pPr>
        <w:pStyle w:val="Apara"/>
        <w:keepNext/>
        <w:rPr>
          <w:lang w:val="en-US"/>
        </w:rPr>
      </w:pPr>
      <w:r>
        <w:rPr>
          <w:lang w:val="en-US"/>
        </w:rPr>
        <w:tab/>
        <w:t>(a)</w:t>
      </w:r>
      <w:r>
        <w:rPr>
          <w:lang w:val="en-US"/>
        </w:rPr>
        <w:tab/>
        <w:t>the respondent is represented by a solicitor; and</w:t>
      </w:r>
    </w:p>
    <w:p w14:paraId="7634CF0D"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62F81FB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63E53180" w14:textId="77777777" w:rsidR="00D94935" w:rsidRDefault="00D94935" w:rsidP="00D94935">
      <w:pPr>
        <w:pStyle w:val="AH5Sec"/>
      </w:pPr>
      <w:bookmarkStart w:id="1491" w:name="_Toc185515107"/>
      <w:r w:rsidRPr="00C8328B">
        <w:rPr>
          <w:rStyle w:val="CharSectNo"/>
        </w:rPr>
        <w:lastRenderedPageBreak/>
        <w:t>5412</w:t>
      </w:r>
      <w:r>
        <w:tab/>
        <w:t>Appeals to Court of Appeal—amending notice of appeal</w:t>
      </w:r>
      <w:bookmarkEnd w:id="1491"/>
    </w:p>
    <w:p w14:paraId="6AA8F807" w14:textId="77777777" w:rsidR="00D94935" w:rsidRDefault="00D94935" w:rsidP="00DC4303">
      <w:pPr>
        <w:pStyle w:val="Amain"/>
        <w:keepNext/>
      </w:pPr>
      <w:r>
        <w:tab/>
        <w:t>(1)</w:t>
      </w:r>
      <w:r>
        <w:tab/>
        <w:t>Before the appeal papers are settled, the appellant may amend the notice of appeal without the Court of Appeal’s leave.</w:t>
      </w:r>
    </w:p>
    <w:p w14:paraId="6F402066" w14:textId="77777777" w:rsidR="00D94935" w:rsidRDefault="00D94935" w:rsidP="00D94935">
      <w:pPr>
        <w:pStyle w:val="Amain"/>
        <w:keepNext/>
      </w:pPr>
      <w:r>
        <w:tab/>
        <w:t>(2)</w:t>
      </w:r>
      <w:r>
        <w:tab/>
        <w:t>After the appeal papers are settled, the appellant may amend the notice of appeal only with the Court of Appeal’s leave.</w:t>
      </w:r>
    </w:p>
    <w:p w14:paraId="0A27CC9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3DF6C2E" w14:textId="77777777" w:rsidR="00D94935" w:rsidRDefault="00D94935" w:rsidP="00D94935">
      <w:pPr>
        <w:pStyle w:val="Amain"/>
        <w:keepNext/>
      </w:pPr>
      <w:r>
        <w:tab/>
        <w:t>(3)</w:t>
      </w:r>
      <w:r>
        <w:tab/>
        <w:t>The provisions of part 2.7 (Amendment) mentioned in subrule (4) apply to an amendment of the notice of appeal as if—</w:t>
      </w:r>
    </w:p>
    <w:p w14:paraId="1D45FF93" w14:textId="77777777" w:rsidR="00D94935" w:rsidRDefault="00D94935" w:rsidP="00D94935">
      <w:pPr>
        <w:pStyle w:val="Apara"/>
      </w:pPr>
      <w:r>
        <w:tab/>
        <w:t>(a)</w:t>
      </w:r>
      <w:r>
        <w:tab/>
        <w:t>the notice of appeal were a pleading; and</w:t>
      </w:r>
    </w:p>
    <w:p w14:paraId="216A5C3B" w14:textId="77777777" w:rsidR="00D94935" w:rsidRDefault="00D94935" w:rsidP="00D94935">
      <w:pPr>
        <w:pStyle w:val="Apara"/>
      </w:pPr>
      <w:r>
        <w:tab/>
        <w:t>(b)</w:t>
      </w:r>
      <w:r>
        <w:tab/>
        <w:t>the respondent were a defendant; and</w:t>
      </w:r>
    </w:p>
    <w:p w14:paraId="08611542" w14:textId="77777777" w:rsidR="00D94935" w:rsidRDefault="00D94935" w:rsidP="00D94935">
      <w:pPr>
        <w:pStyle w:val="Apara"/>
      </w:pPr>
      <w:r>
        <w:tab/>
        <w:t>(c)</w:t>
      </w:r>
      <w:r>
        <w:tab/>
        <w:t>the appellant were the plaintiff; and</w:t>
      </w:r>
    </w:p>
    <w:p w14:paraId="0F7945F1" w14:textId="77777777" w:rsidR="00D94935" w:rsidRDefault="00D94935" w:rsidP="00D94935">
      <w:pPr>
        <w:pStyle w:val="Apara"/>
      </w:pPr>
      <w:r>
        <w:tab/>
        <w:t>(d)</w:t>
      </w:r>
      <w:r>
        <w:tab/>
        <w:t>any other necessary changes were made.</w:t>
      </w:r>
    </w:p>
    <w:p w14:paraId="3A7CF489" w14:textId="77777777" w:rsidR="00D94935" w:rsidRDefault="00D94935" w:rsidP="00D94935">
      <w:pPr>
        <w:pStyle w:val="Amain"/>
        <w:keepNext/>
      </w:pPr>
      <w:r>
        <w:tab/>
        <w:t>(4)</w:t>
      </w:r>
      <w:r>
        <w:tab/>
        <w:t>The provisions of part 2.7 applying to an amendment of the notice of appeal are the following:</w:t>
      </w:r>
    </w:p>
    <w:p w14:paraId="66BDF845"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14:paraId="20EA5A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14:paraId="59997FD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14:paraId="70C973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14:paraId="7B62E75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14:paraId="1C5331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14:paraId="3E9198EF" w14:textId="77777777" w:rsidR="00D94935" w:rsidRDefault="00D94935" w:rsidP="00D94935">
      <w:pPr>
        <w:pStyle w:val="AH5Sec"/>
      </w:pPr>
      <w:bookmarkStart w:id="1492" w:name="_Toc185515108"/>
      <w:r w:rsidRPr="00C8328B">
        <w:rPr>
          <w:rStyle w:val="CharSectNo"/>
        </w:rPr>
        <w:lastRenderedPageBreak/>
        <w:t>5413</w:t>
      </w:r>
      <w:r>
        <w:tab/>
        <w:t>Appeals to Court of Appeal—cross-appeal</w:t>
      </w:r>
      <w:bookmarkEnd w:id="1492"/>
    </w:p>
    <w:p w14:paraId="72A4D4A6" w14:textId="77777777"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14:paraId="387EDD9D" w14:textId="77777777" w:rsidR="00D94935" w:rsidRDefault="00D94935" w:rsidP="00D94935">
      <w:pPr>
        <w:pStyle w:val="Amain"/>
        <w:keepNext/>
      </w:pPr>
      <w:r>
        <w:tab/>
        <w:t>(2)</w:t>
      </w:r>
      <w:r>
        <w:tab/>
        <w:t>However, the respondent must—</w:t>
      </w:r>
    </w:p>
    <w:p w14:paraId="7608ACDE" w14:textId="77777777"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14:paraId="45DCC2E0"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14:paraId="412CD987" w14:textId="77777777" w:rsidR="00D94935" w:rsidRDefault="00D94935" w:rsidP="00D94935">
      <w:pPr>
        <w:pStyle w:val="Asubpara"/>
      </w:pPr>
      <w:r>
        <w:tab/>
        <w:t>(i)</w:t>
      </w:r>
      <w:r>
        <w:tab/>
        <w:t>each appellant and any other respondent;</w:t>
      </w:r>
    </w:p>
    <w:p w14:paraId="70A1D4D3" w14:textId="77777777"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14:paraId="0B6E991E" w14:textId="5D2D77EF"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94" w:history="1">
        <w:r>
          <w:rPr>
            <w:rStyle w:val="charCitHyperlinkAbbrev"/>
          </w:rPr>
          <w:t>AF2015-56</w:t>
        </w:r>
      </w:hyperlink>
      <w:r w:rsidRPr="00CC69F0">
        <w:rPr>
          <w:rStyle w:val="charCitHyperlinkAbbrev"/>
        </w:rPr>
        <w:t>.</w:t>
      </w:r>
    </w:p>
    <w:p w14:paraId="2CF4CE1F"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469433E8"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14:paraId="3E983169" w14:textId="77777777" w:rsidR="00D94935" w:rsidRDefault="00D94935" w:rsidP="00D94935">
      <w:pPr>
        <w:pStyle w:val="Amain"/>
        <w:keepNext/>
      </w:pPr>
      <w:r>
        <w:tab/>
        <w:t>(3)</w:t>
      </w:r>
      <w:r>
        <w:tab/>
        <w:t>The notice of cross-appeal must state—</w:t>
      </w:r>
    </w:p>
    <w:p w14:paraId="6FAC52B9" w14:textId="77777777" w:rsidR="00D94935" w:rsidRDefault="00D94935" w:rsidP="00D94935">
      <w:pPr>
        <w:pStyle w:val="Apara"/>
      </w:pPr>
      <w:r>
        <w:tab/>
        <w:t>(a)</w:t>
      </w:r>
      <w:r>
        <w:tab/>
        <w:t>whether the appeal is from all or part of the order or seeks an amendment of the order; and</w:t>
      </w:r>
    </w:p>
    <w:p w14:paraId="40EE6B48" w14:textId="77777777" w:rsidR="00D94935" w:rsidRDefault="00D94935" w:rsidP="00D94935">
      <w:pPr>
        <w:pStyle w:val="Apara"/>
      </w:pPr>
      <w:r>
        <w:tab/>
        <w:t>(b)</w:t>
      </w:r>
      <w:r>
        <w:tab/>
        <w:t>if the appeal is from part of the order or seeks an amendment of the order—the part the respondent cross-appeals from; and</w:t>
      </w:r>
    </w:p>
    <w:p w14:paraId="15968E8A" w14:textId="77777777" w:rsidR="00D94935" w:rsidRDefault="00D94935" w:rsidP="00D94935">
      <w:pPr>
        <w:pStyle w:val="Apara"/>
        <w:keepNext/>
      </w:pPr>
      <w:r>
        <w:lastRenderedPageBreak/>
        <w:tab/>
        <w:t>(c)</w:t>
      </w:r>
      <w:r>
        <w:tab/>
        <w:t>either—</w:t>
      </w:r>
    </w:p>
    <w:p w14:paraId="4BE6EE64" w14:textId="77777777" w:rsidR="00D94935" w:rsidRDefault="00D94935" w:rsidP="00D94935">
      <w:pPr>
        <w:pStyle w:val="Asubpara"/>
      </w:pPr>
      <w:r>
        <w:tab/>
        <w:t>(i)</w:t>
      </w:r>
      <w:r>
        <w:tab/>
        <w:t>the order that the respondent seeks instead of the order cross-appealed; or</w:t>
      </w:r>
    </w:p>
    <w:p w14:paraId="75545D3F" w14:textId="77777777" w:rsidR="00D94935" w:rsidRDefault="00D94935" w:rsidP="00D94935">
      <w:pPr>
        <w:pStyle w:val="Asubpara"/>
      </w:pPr>
      <w:r>
        <w:tab/>
        <w:t>(ii)</w:t>
      </w:r>
      <w:r>
        <w:tab/>
        <w:t>the amendment of the order that the respondent seeks; and</w:t>
      </w:r>
    </w:p>
    <w:p w14:paraId="408A41CF" w14:textId="77777777" w:rsidR="00D94935" w:rsidRDefault="00D94935" w:rsidP="00D94935">
      <w:pPr>
        <w:pStyle w:val="Apara"/>
      </w:pPr>
      <w:r>
        <w:tab/>
        <w:t>(d)</w:t>
      </w:r>
      <w:r>
        <w:tab/>
        <w:t>whether the respondent will seek to put further evidence before the Court of Appeal; and</w:t>
      </w:r>
    </w:p>
    <w:p w14:paraId="130B68DC" w14:textId="77777777" w:rsidR="00D94935" w:rsidRDefault="00D94935" w:rsidP="00D94935">
      <w:pPr>
        <w:pStyle w:val="Apara"/>
      </w:pPr>
      <w:r>
        <w:tab/>
        <w:t>(e)</w:t>
      </w:r>
      <w:r>
        <w:tab/>
        <w:t>if further evidence is to be put before the Court of Appeal—briefly the nature of the evidence and what is sought to be proved; and</w:t>
      </w:r>
    </w:p>
    <w:p w14:paraId="37C27E6A"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3B786EB7" w14:textId="77777777"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14:paraId="163C43E4" w14:textId="77777777" w:rsidR="00156D8E" w:rsidRPr="00061096" w:rsidRDefault="00156D8E" w:rsidP="00156D8E">
      <w:pPr>
        <w:pStyle w:val="Apara"/>
      </w:pPr>
      <w:r w:rsidRPr="00061096">
        <w:tab/>
        <w:t>(a)</w:t>
      </w:r>
      <w:r w:rsidRPr="00061096">
        <w:tab/>
        <w:t>the order appealed from; and</w:t>
      </w:r>
    </w:p>
    <w:p w14:paraId="21053A67" w14:textId="77777777" w:rsidR="00156D8E" w:rsidRPr="00061096" w:rsidRDefault="00156D8E" w:rsidP="00156D8E">
      <w:pPr>
        <w:pStyle w:val="Apara"/>
      </w:pPr>
      <w:r w:rsidRPr="00061096">
        <w:tab/>
        <w:t>(b)</w:t>
      </w:r>
      <w:r w:rsidRPr="00061096">
        <w:tab/>
        <w:t>the grounds relied on in support of the appeal.</w:t>
      </w:r>
    </w:p>
    <w:p w14:paraId="609E3A36" w14:textId="77777777"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14:paraId="312C1DAF" w14:textId="77777777" w:rsidR="00D94935" w:rsidRDefault="00D94935" w:rsidP="00D94935">
      <w:pPr>
        <w:pStyle w:val="Apara"/>
      </w:pPr>
      <w:r>
        <w:tab/>
        <w:t>(a)</w:t>
      </w:r>
      <w:r>
        <w:tab/>
        <w:t>raise any question that is not stated in the notice of cross</w:t>
      </w:r>
      <w:r>
        <w:noBreakHyphen/>
        <w:t>appeal; or</w:t>
      </w:r>
    </w:p>
    <w:p w14:paraId="047B83EA" w14:textId="77777777" w:rsidR="00D94935" w:rsidRDefault="00D94935" w:rsidP="00D94935">
      <w:pPr>
        <w:pStyle w:val="Apara"/>
      </w:pPr>
      <w:r>
        <w:tab/>
        <w:t>(b)</w:t>
      </w:r>
      <w:r>
        <w:tab/>
        <w:t>rely on any ground in support of—</w:t>
      </w:r>
    </w:p>
    <w:p w14:paraId="11806A79" w14:textId="77777777" w:rsidR="00D94935" w:rsidRDefault="00D94935" w:rsidP="00D94935">
      <w:pPr>
        <w:pStyle w:val="Asubpara"/>
      </w:pPr>
      <w:r>
        <w:tab/>
        <w:t>(i)</w:t>
      </w:r>
      <w:r>
        <w:tab/>
        <w:t>the order sought that is not stated in the notice of cross</w:t>
      </w:r>
      <w:r>
        <w:noBreakHyphen/>
        <w:t>appeal; or</w:t>
      </w:r>
    </w:p>
    <w:p w14:paraId="06815BDB" w14:textId="77777777" w:rsidR="00D94935" w:rsidRDefault="00D94935" w:rsidP="00D94935">
      <w:pPr>
        <w:pStyle w:val="Asubpara"/>
        <w:keepNext/>
      </w:pPr>
      <w:r>
        <w:tab/>
        <w:t>(ii)</w:t>
      </w:r>
      <w:r>
        <w:tab/>
        <w:t>the amendment of the order sought that is not stated in the notice of cross-appeal.</w:t>
      </w:r>
    </w:p>
    <w:p w14:paraId="2BADA75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FFA8D93" w14:textId="77777777" w:rsidR="00D94935" w:rsidRDefault="00D94935" w:rsidP="00D94935">
      <w:pPr>
        <w:pStyle w:val="AH5Sec"/>
      </w:pPr>
      <w:bookmarkStart w:id="1493" w:name="_Toc185515109"/>
      <w:r w:rsidRPr="00C8328B">
        <w:rPr>
          <w:rStyle w:val="CharSectNo"/>
        </w:rPr>
        <w:lastRenderedPageBreak/>
        <w:t>5414</w:t>
      </w:r>
      <w:r>
        <w:tab/>
        <w:t>Appeals to Court of Appeal—application of certain rules to cross-appeals</w:t>
      </w:r>
      <w:bookmarkEnd w:id="1493"/>
    </w:p>
    <w:p w14:paraId="0A1624BC" w14:textId="77777777" w:rsidR="00D94935" w:rsidRDefault="00D94935" w:rsidP="00D94935">
      <w:pPr>
        <w:pStyle w:val="Amain"/>
        <w:keepNext/>
      </w:pPr>
      <w:r>
        <w:tab/>
        <w:t>(1)</w:t>
      </w:r>
      <w:r>
        <w:tab/>
        <w:t>The provisions mentioned in subrule (2) apply to a cross-appeal as if—</w:t>
      </w:r>
    </w:p>
    <w:p w14:paraId="0E8BFC18" w14:textId="77777777" w:rsidR="00D94935" w:rsidRDefault="00D94935" w:rsidP="00D94935">
      <w:pPr>
        <w:pStyle w:val="Apara"/>
      </w:pPr>
      <w:r>
        <w:tab/>
        <w:t>(a)</w:t>
      </w:r>
      <w:r>
        <w:tab/>
        <w:t>a reference to an appeal were a reference to a cross-appeal; and</w:t>
      </w:r>
    </w:p>
    <w:p w14:paraId="2B52D63F" w14:textId="77777777" w:rsidR="00D94935" w:rsidRDefault="00D94935" w:rsidP="00D94935">
      <w:pPr>
        <w:pStyle w:val="Apara"/>
      </w:pPr>
      <w:r>
        <w:tab/>
        <w:t>(b)</w:t>
      </w:r>
      <w:r>
        <w:tab/>
        <w:t>a reference to the appellant were a reference to the respondent bringing the cross-appeal; and</w:t>
      </w:r>
    </w:p>
    <w:p w14:paraId="23F20B33" w14:textId="77777777" w:rsidR="00D94935" w:rsidRDefault="00D94935" w:rsidP="00D94935">
      <w:pPr>
        <w:pStyle w:val="Apara"/>
      </w:pPr>
      <w:r>
        <w:tab/>
        <w:t>(c)</w:t>
      </w:r>
      <w:r>
        <w:tab/>
        <w:t>a reference to the respondent were a reference to the appellant (or an appellant) on whom the cross-appeal is served; and</w:t>
      </w:r>
    </w:p>
    <w:p w14:paraId="17A474FA" w14:textId="77777777" w:rsidR="00D94935" w:rsidRDefault="00D94935" w:rsidP="00D94935">
      <w:pPr>
        <w:pStyle w:val="Apara"/>
      </w:pPr>
      <w:r>
        <w:tab/>
        <w:t>(d)</w:t>
      </w:r>
      <w:r>
        <w:tab/>
        <w:t>any other necessary changes were made.</w:t>
      </w:r>
    </w:p>
    <w:p w14:paraId="1B285F4F" w14:textId="77777777" w:rsidR="00D94935" w:rsidRDefault="00D94935" w:rsidP="00D94935">
      <w:pPr>
        <w:pStyle w:val="Amain"/>
        <w:keepNext/>
      </w:pPr>
      <w:r>
        <w:tab/>
        <w:t>(2)</w:t>
      </w:r>
      <w:r>
        <w:tab/>
        <w:t>The provisions applying to a cross-appeal are as follows:</w:t>
      </w:r>
    </w:p>
    <w:p w14:paraId="76DD0DE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14:paraId="196C07B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14:paraId="6071411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14:paraId="73DBC78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5181952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14:paraId="7342D0C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6551430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14:paraId="79865037" w14:textId="77777777" w:rsidR="00D94935" w:rsidRDefault="00D94935" w:rsidP="00D94935">
      <w:pPr>
        <w:pStyle w:val="AH5Sec"/>
      </w:pPr>
      <w:bookmarkStart w:id="1494" w:name="_Toc185515110"/>
      <w:r w:rsidRPr="00C8328B">
        <w:rPr>
          <w:rStyle w:val="CharSectNo"/>
        </w:rPr>
        <w:t>5415</w:t>
      </w:r>
      <w:r>
        <w:tab/>
        <w:t>Appeals to Court of Appeal—effect of failure to give notice of cross-appeal</w:t>
      </w:r>
      <w:bookmarkEnd w:id="1494"/>
    </w:p>
    <w:p w14:paraId="30C04FE8" w14:textId="77777777" w:rsidR="00D94935" w:rsidRDefault="00D94935" w:rsidP="00D94935">
      <w:pPr>
        <w:pStyle w:val="Amainreturn"/>
      </w:pPr>
      <w:r>
        <w:t>A failure to give a notice of cross-appeal does not affect the powers of the Court of Appeal on the hearing of the appeal, but the court may adjourn the hearing of the appeal.</w:t>
      </w:r>
    </w:p>
    <w:p w14:paraId="5CC64FEC" w14:textId="77777777" w:rsidR="00D94935" w:rsidRDefault="00D94935" w:rsidP="00D94935">
      <w:pPr>
        <w:pStyle w:val="AH5Sec"/>
      </w:pPr>
      <w:bookmarkStart w:id="1495" w:name="_Toc185515111"/>
      <w:r w:rsidRPr="00C8328B">
        <w:rPr>
          <w:rStyle w:val="CharSectNo"/>
        </w:rPr>
        <w:lastRenderedPageBreak/>
        <w:t>5416</w:t>
      </w:r>
      <w:r>
        <w:tab/>
        <w:t>Appeals to Court of Appeal—notice of contention</w:t>
      </w:r>
      <w:bookmarkEnd w:id="1495"/>
    </w:p>
    <w:p w14:paraId="3EF4E601" w14:textId="77777777" w:rsidR="00D94935" w:rsidRDefault="00D94935" w:rsidP="00D94935">
      <w:pPr>
        <w:pStyle w:val="Amain"/>
      </w:pPr>
      <w:r>
        <w:tab/>
        <w:t>(1)</w:t>
      </w:r>
      <w:r>
        <w:tab/>
        <w:t>A respondent need not file a notice of cross-appeal if the respondent—</w:t>
      </w:r>
    </w:p>
    <w:p w14:paraId="542882F6"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313505F6" w14:textId="77777777" w:rsidR="00D94935" w:rsidRDefault="00D94935" w:rsidP="00D94935">
      <w:pPr>
        <w:pStyle w:val="Apara"/>
      </w:pPr>
      <w:r>
        <w:tab/>
        <w:t>(b)</w:t>
      </w:r>
      <w:r>
        <w:tab/>
        <w:t>wants to contend that the order appealed from should be confirmed on a ground other than the ground relied on by the court.</w:t>
      </w:r>
    </w:p>
    <w:p w14:paraId="5A328C1A" w14:textId="77777777" w:rsidR="00D94935" w:rsidRDefault="00D94935" w:rsidP="00D94935">
      <w:pPr>
        <w:pStyle w:val="Amain"/>
        <w:keepNext/>
      </w:pPr>
      <w:r>
        <w:tab/>
        <w:t>(2)</w:t>
      </w:r>
      <w:r>
        <w:tab/>
        <w:t>However, the respondent must—</w:t>
      </w:r>
    </w:p>
    <w:p w14:paraId="6035A433" w14:textId="77777777"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14:paraId="04E921CE" w14:textId="38D9AE34"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95" w:history="1">
        <w:r>
          <w:rPr>
            <w:rStyle w:val="charCitHyperlinkAbbrev"/>
          </w:rPr>
          <w:t>AF2015-57</w:t>
        </w:r>
      </w:hyperlink>
      <w:r>
        <w:t>.</w:t>
      </w:r>
    </w:p>
    <w:p w14:paraId="7EC2972D"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0A2E9429"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14:paraId="37F69148" w14:textId="77777777" w:rsidR="00D94935" w:rsidRDefault="00D94935" w:rsidP="00D94935">
      <w:pPr>
        <w:pStyle w:val="Asubpara"/>
      </w:pPr>
      <w:r>
        <w:tab/>
        <w:t>(i)</w:t>
      </w:r>
      <w:r>
        <w:tab/>
        <w:t>each appellant and any other respondent;</w:t>
      </w:r>
    </w:p>
    <w:p w14:paraId="09304D54" w14:textId="77777777" w:rsidR="00D94935" w:rsidRDefault="00D94935" w:rsidP="00D94935">
      <w:pPr>
        <w:pStyle w:val="Asubpara"/>
      </w:pPr>
      <w:r>
        <w:tab/>
        <w:t>(ii)</w:t>
      </w:r>
      <w:r>
        <w:tab/>
        <w:t>any other party to the proceeding in which the order appealed from was made who would be directly affected by the order that the respondent seeks; and</w:t>
      </w:r>
    </w:p>
    <w:p w14:paraId="1D133EA6" w14:textId="77777777"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14:paraId="06572373" w14:textId="77777777" w:rsidR="00D94935" w:rsidRDefault="00D94935" w:rsidP="00D94935">
      <w:pPr>
        <w:pStyle w:val="Apara"/>
      </w:pPr>
      <w:r>
        <w:lastRenderedPageBreak/>
        <w:tab/>
        <w:t>(d)</w:t>
      </w:r>
      <w:r>
        <w:tab/>
        <w:t>when the appeal papers are being settled, ask the Court of Appeal to include the record of evidence or documents in the appeal papers.</w:t>
      </w:r>
    </w:p>
    <w:p w14:paraId="57F7AEA5" w14:textId="77777777" w:rsidR="00D94935" w:rsidRDefault="00D94935" w:rsidP="00D94935">
      <w:pPr>
        <w:pStyle w:val="Amain"/>
      </w:pPr>
      <w:r>
        <w:tab/>
        <w:t>(3)</w:t>
      </w:r>
      <w:r>
        <w:tab/>
        <w:t>The notice of contention must state—</w:t>
      </w:r>
    </w:p>
    <w:p w14:paraId="53F3CECD" w14:textId="77777777" w:rsidR="00D94935" w:rsidRDefault="00D94935" w:rsidP="00D94935">
      <w:pPr>
        <w:pStyle w:val="Apara"/>
      </w:pPr>
      <w:r>
        <w:tab/>
        <w:t>(a)</w:t>
      </w:r>
      <w:r>
        <w:tab/>
        <w:t>the contention; and</w:t>
      </w:r>
    </w:p>
    <w:p w14:paraId="4B5166AA" w14:textId="77777777" w:rsidR="00D94935" w:rsidRDefault="00D94935" w:rsidP="00D94935">
      <w:pPr>
        <w:pStyle w:val="Apara"/>
      </w:pPr>
      <w:r>
        <w:tab/>
        <w:t>(b)</w:t>
      </w:r>
      <w:r>
        <w:tab/>
        <w:t>briefly, but specifically, the grounds relied on in support of the contention.</w:t>
      </w:r>
    </w:p>
    <w:p w14:paraId="0CDC5995" w14:textId="77777777" w:rsidR="00D94935" w:rsidRDefault="00D94935" w:rsidP="00A4585D">
      <w:pPr>
        <w:pStyle w:val="Amain"/>
        <w:keepNext/>
      </w:pPr>
      <w:r>
        <w:tab/>
        <w:t>(4)</w:t>
      </w:r>
      <w:r>
        <w:tab/>
        <w:t>On the hearing of a contention, the respondent making the contention must not, without the Court of Appeal’s leave—</w:t>
      </w:r>
    </w:p>
    <w:p w14:paraId="7C656A17" w14:textId="77777777" w:rsidR="00D94935" w:rsidRDefault="00D94935" w:rsidP="00D94935">
      <w:pPr>
        <w:pStyle w:val="Apara"/>
      </w:pPr>
      <w:r>
        <w:tab/>
        <w:t>(a)</w:t>
      </w:r>
      <w:r>
        <w:tab/>
        <w:t>raise any question that is not stated in the notice of contention; or</w:t>
      </w:r>
    </w:p>
    <w:p w14:paraId="59A3E0B3" w14:textId="77777777" w:rsidR="00D94935" w:rsidRDefault="00D94935" w:rsidP="00D94935">
      <w:pPr>
        <w:pStyle w:val="Apara"/>
      </w:pPr>
      <w:r>
        <w:tab/>
        <w:t>(b)</w:t>
      </w:r>
      <w:r>
        <w:tab/>
        <w:t>rely on any ground in support of—</w:t>
      </w:r>
    </w:p>
    <w:p w14:paraId="7EF0260A" w14:textId="77777777" w:rsidR="00D94935" w:rsidRDefault="00D94935" w:rsidP="00D94935">
      <w:pPr>
        <w:pStyle w:val="Asubpara"/>
      </w:pPr>
      <w:r>
        <w:tab/>
        <w:t>(i)</w:t>
      </w:r>
      <w:r>
        <w:tab/>
        <w:t>the order sought that is not stated in the notice of contention; or</w:t>
      </w:r>
    </w:p>
    <w:p w14:paraId="5DF046DE" w14:textId="77777777" w:rsidR="00D94935" w:rsidRDefault="00D94935" w:rsidP="00D94935">
      <w:pPr>
        <w:pStyle w:val="Asubpara"/>
        <w:keepNext/>
      </w:pPr>
      <w:r>
        <w:tab/>
        <w:t>(ii)</w:t>
      </w:r>
      <w:r>
        <w:tab/>
        <w:t>the amendment of the order sought that is not stated in the notice of contention.</w:t>
      </w:r>
    </w:p>
    <w:p w14:paraId="65DB889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213EFCF" w14:textId="77777777" w:rsidR="00D94935" w:rsidRPr="00C8328B" w:rsidRDefault="00D94935" w:rsidP="00D94935">
      <w:pPr>
        <w:pStyle w:val="AH3Div"/>
      </w:pPr>
      <w:bookmarkStart w:id="1496" w:name="_Toc185515112"/>
      <w:r w:rsidRPr="00C8328B">
        <w:rPr>
          <w:rStyle w:val="CharDivNo"/>
        </w:rPr>
        <w:lastRenderedPageBreak/>
        <w:t>Division 5.4.5</w:t>
      </w:r>
      <w:r>
        <w:tab/>
      </w:r>
      <w:r w:rsidRPr="00C8328B">
        <w:rPr>
          <w:rStyle w:val="CharDivText"/>
        </w:rPr>
        <w:t>Appeals to Court of Appeal—appeal papers and hearing</w:t>
      </w:r>
      <w:bookmarkEnd w:id="1496"/>
    </w:p>
    <w:p w14:paraId="41E3A1B4" w14:textId="77777777" w:rsidR="00D41CA9" w:rsidRPr="00061096" w:rsidRDefault="00D41CA9" w:rsidP="00D41CA9">
      <w:pPr>
        <w:pStyle w:val="aNote"/>
        <w:keepNext/>
      </w:pPr>
      <w:r w:rsidRPr="00061096">
        <w:rPr>
          <w:rStyle w:val="charItals"/>
        </w:rPr>
        <w:t>Notes to div 5.4.5</w:t>
      </w:r>
    </w:p>
    <w:p w14:paraId="54BF577F" w14:textId="77777777"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14:paraId="4B8C8C8F" w14:textId="77777777"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14:paraId="69F93997" w14:textId="77777777" w:rsidR="00D94935" w:rsidRDefault="00D94935" w:rsidP="00D94935">
      <w:pPr>
        <w:pStyle w:val="AH5Sec"/>
      </w:pPr>
      <w:bookmarkStart w:id="1497" w:name="_Toc185515113"/>
      <w:r w:rsidRPr="00C8328B">
        <w:rPr>
          <w:rStyle w:val="CharSectNo"/>
        </w:rPr>
        <w:t>5432</w:t>
      </w:r>
      <w:r>
        <w:tab/>
        <w:t>Appeals to Court of Appeal—settlement of appeal papers</w:t>
      </w:r>
      <w:bookmarkEnd w:id="1497"/>
    </w:p>
    <w:p w14:paraId="1923486C" w14:textId="77777777" w:rsidR="00D94935" w:rsidRDefault="00D94935" w:rsidP="00DC4303">
      <w:pPr>
        <w:pStyle w:val="Amain"/>
        <w:keepNext/>
      </w:pPr>
      <w:r>
        <w:tab/>
        <w:t>(1)</w:t>
      </w:r>
      <w:r>
        <w:tab/>
        <w:t>When settling the appeal papers, the Court of Appeal may give directions about the conduct of the appeal that the court considers appropriate.</w:t>
      </w:r>
    </w:p>
    <w:p w14:paraId="799E26A8" w14:textId="77777777" w:rsidR="00D94935" w:rsidRDefault="00D94935" w:rsidP="00D94935">
      <w:pPr>
        <w:pStyle w:val="Amain"/>
        <w:keepNext/>
      </w:pPr>
      <w:r>
        <w:tab/>
        <w:t>(2)</w:t>
      </w:r>
      <w:r>
        <w:tab/>
        <w:t>Without limiting subrule (1), the Court of Appeal may do the following:</w:t>
      </w:r>
    </w:p>
    <w:p w14:paraId="433DE98D" w14:textId="77777777" w:rsidR="00D94935" w:rsidRDefault="00D94935" w:rsidP="00D94935">
      <w:pPr>
        <w:pStyle w:val="Apara"/>
      </w:pPr>
      <w:r>
        <w:tab/>
        <w:t>(a)</w:t>
      </w:r>
      <w:r>
        <w:tab/>
        <w:t>work out what documents were before the judicial officer of the court who gave the order appealed from;</w:t>
      </w:r>
    </w:p>
    <w:p w14:paraId="39359D11" w14:textId="77777777" w:rsidR="00D94935" w:rsidRDefault="00D94935" w:rsidP="00D94935">
      <w:pPr>
        <w:pStyle w:val="Apara"/>
      </w:pPr>
      <w:r>
        <w:tab/>
        <w:t>(b)</w:t>
      </w:r>
      <w:r>
        <w:tab/>
        <w:t>decide what documents are to be included in the appeal papers, and the order of inclusion;</w:t>
      </w:r>
    </w:p>
    <w:p w14:paraId="58D75CA8" w14:textId="77777777" w:rsidR="00D94935" w:rsidRDefault="00D94935" w:rsidP="00D94935">
      <w:pPr>
        <w:pStyle w:val="Apara"/>
      </w:pPr>
      <w:r>
        <w:tab/>
        <w:t>(c)</w:t>
      </w:r>
      <w:r>
        <w:tab/>
        <w:t>settle the index of the documents to be included in the appeal papers;</w:t>
      </w:r>
    </w:p>
    <w:p w14:paraId="590A7DCF" w14:textId="77777777" w:rsidR="00D94935" w:rsidRDefault="00D94935" w:rsidP="00D94935">
      <w:pPr>
        <w:pStyle w:val="Apara"/>
      </w:pPr>
      <w:r>
        <w:tab/>
        <w:t>(d)</w:t>
      </w:r>
      <w:r>
        <w:tab/>
        <w:t>decide the number of copies of the appeal papers required and when they should be served;</w:t>
      </w:r>
    </w:p>
    <w:p w14:paraId="028953CE" w14:textId="77777777" w:rsidR="00D94935" w:rsidRDefault="00D94935" w:rsidP="00D94935">
      <w:pPr>
        <w:pStyle w:val="Apara"/>
      </w:pPr>
      <w:r>
        <w:tab/>
        <w:t>(e)</w:t>
      </w:r>
      <w:r>
        <w:tab/>
        <w:t>direct the inclusion, substitution or removal of parties;</w:t>
      </w:r>
    </w:p>
    <w:p w14:paraId="6960C500" w14:textId="77777777" w:rsidR="00D94935" w:rsidRDefault="00D94935" w:rsidP="00D94935">
      <w:pPr>
        <w:pStyle w:val="Apara"/>
      </w:pPr>
      <w:r>
        <w:tab/>
        <w:t>(f)</w:t>
      </w:r>
      <w:r>
        <w:tab/>
        <w:t>get an estimate of the length of the hearing from the parties;</w:t>
      </w:r>
    </w:p>
    <w:p w14:paraId="40726F90" w14:textId="77777777" w:rsidR="00D94935" w:rsidRDefault="00D94935" w:rsidP="00D94935">
      <w:pPr>
        <w:pStyle w:val="Apara"/>
      </w:pPr>
      <w:r>
        <w:tab/>
        <w:t>(g)</w:t>
      </w:r>
      <w:r>
        <w:tab/>
        <w:t xml:space="preserve">direct the </w:t>
      </w:r>
      <w:r w:rsidR="004F64AB">
        <w:t>place, date and kind of hearing;</w:t>
      </w:r>
    </w:p>
    <w:p w14:paraId="012EBAA3" w14:textId="77777777" w:rsidR="00A8457E" w:rsidRPr="00061096" w:rsidRDefault="00A8457E" w:rsidP="00A8457E">
      <w:pPr>
        <w:pStyle w:val="Apara"/>
      </w:pPr>
      <w:r w:rsidRPr="00061096">
        <w:tab/>
        <w:t>(h)</w:t>
      </w:r>
      <w:r w:rsidRPr="00061096">
        <w:tab/>
        <w:t>direct that the appeal be referred to mediation.</w:t>
      </w:r>
    </w:p>
    <w:p w14:paraId="78BAB217" w14:textId="77777777" w:rsidR="00D94935" w:rsidRDefault="00D94935" w:rsidP="00D94935">
      <w:pPr>
        <w:pStyle w:val="AH5Sec"/>
      </w:pPr>
      <w:bookmarkStart w:id="1498" w:name="_Toc185515114"/>
      <w:r w:rsidRPr="00C8328B">
        <w:rPr>
          <w:rStyle w:val="CharSectNo"/>
        </w:rPr>
        <w:lastRenderedPageBreak/>
        <w:t>5436</w:t>
      </w:r>
      <w:r>
        <w:tab/>
        <w:t>Appeals to Court of Appeal—setting appeal for hearing</w:t>
      </w:r>
      <w:bookmarkEnd w:id="1498"/>
    </w:p>
    <w:p w14:paraId="2D4F0303" w14:textId="77777777"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14:paraId="4B334343" w14:textId="77777777" w:rsidR="00D94935" w:rsidRDefault="00D94935" w:rsidP="00D94935">
      <w:pPr>
        <w:pStyle w:val="Amain"/>
      </w:pPr>
      <w:r>
        <w:tab/>
        <w:t>(2)</w:t>
      </w:r>
      <w:r>
        <w:tab/>
        <w:t>The registrar may set a hearing date for the appeal when the registrar is satisfied that the appeal is ready for hearing.</w:t>
      </w:r>
    </w:p>
    <w:p w14:paraId="08A82B86" w14:textId="77777777" w:rsidR="00D94935" w:rsidRDefault="00D94935" w:rsidP="00D94935">
      <w:pPr>
        <w:pStyle w:val="Amain"/>
      </w:pPr>
      <w:r>
        <w:tab/>
        <w:t>(3)</w:t>
      </w:r>
      <w:r>
        <w:tab/>
        <w:t>The registrar may set the date on application by any party to the appeal or on the registrar’s own initiative.</w:t>
      </w:r>
    </w:p>
    <w:p w14:paraId="369A606A" w14:textId="77777777" w:rsidR="00D94935" w:rsidRDefault="00D94935" w:rsidP="00D94935">
      <w:pPr>
        <w:pStyle w:val="Amain"/>
      </w:pPr>
      <w:r>
        <w:tab/>
        <w:t>(4)</w:t>
      </w:r>
      <w:r>
        <w:tab/>
        <w:t>The registrar must tell the parties the hearing date set for the appeal.</w:t>
      </w:r>
    </w:p>
    <w:p w14:paraId="5B7186D7" w14:textId="77777777" w:rsidR="00D94935" w:rsidRDefault="00D94935" w:rsidP="00D94935">
      <w:pPr>
        <w:pStyle w:val="AH5Sec"/>
      </w:pPr>
      <w:bookmarkStart w:id="1499" w:name="_Toc185515115"/>
      <w:r w:rsidRPr="00C8328B">
        <w:rPr>
          <w:rStyle w:val="CharSectNo"/>
        </w:rPr>
        <w:t>5437</w:t>
      </w:r>
      <w:r>
        <w:tab/>
        <w:t>Appeals to Court of Appeal—changing appeal hearing date</w:t>
      </w:r>
      <w:bookmarkEnd w:id="1499"/>
    </w:p>
    <w:p w14:paraId="2D4ED91F" w14:textId="77777777"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14:paraId="44EC4D22" w14:textId="77777777" w:rsidR="00D94935" w:rsidRDefault="00D94935" w:rsidP="00D94935">
      <w:pPr>
        <w:pStyle w:val="Amain"/>
        <w:keepNext/>
      </w:pPr>
      <w:r>
        <w:tab/>
        <w:t>(2)</w:t>
      </w:r>
      <w:r>
        <w:tab/>
        <w:t>The Court of Appeal may make an order under subrule (1) on the application of a party to the appeal or on its own initiative.</w:t>
      </w:r>
    </w:p>
    <w:p w14:paraId="3857E7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4B4F75" w14:textId="77777777" w:rsidR="00D94935" w:rsidRDefault="00D94935" w:rsidP="00D94935">
      <w:pPr>
        <w:pStyle w:val="AH5Sec"/>
      </w:pPr>
      <w:bookmarkStart w:id="1500" w:name="_Toc185515116"/>
      <w:r w:rsidRPr="00C8328B">
        <w:rPr>
          <w:rStyle w:val="CharSectNo"/>
        </w:rPr>
        <w:t>5441</w:t>
      </w:r>
      <w:r>
        <w:tab/>
        <w:t>Appeals to Court of Appeal—absence of party</w:t>
      </w:r>
      <w:bookmarkEnd w:id="1500"/>
    </w:p>
    <w:p w14:paraId="27340D41" w14:textId="77777777" w:rsidR="00D94935" w:rsidRDefault="00D94935" w:rsidP="00D94935">
      <w:pPr>
        <w:pStyle w:val="Amain"/>
        <w:keepNext/>
      </w:pPr>
      <w:r>
        <w:tab/>
        <w:t>(1)</w:t>
      </w:r>
      <w:r>
        <w:tab/>
        <w:t>If a party is not present when the appeal is called on for hearing, the Court of Appeal may—</w:t>
      </w:r>
    </w:p>
    <w:p w14:paraId="12ED309C" w14:textId="77777777" w:rsidR="00D94935" w:rsidRDefault="00D94935" w:rsidP="00D94935">
      <w:pPr>
        <w:pStyle w:val="Apara"/>
      </w:pPr>
      <w:r>
        <w:tab/>
        <w:t>(a)</w:t>
      </w:r>
      <w:r>
        <w:tab/>
        <w:t>order that the hearing not proceed unless a hearing date is again set for the appeal or the other steps directed by the Court of Appeal are taken; or</w:t>
      </w:r>
    </w:p>
    <w:p w14:paraId="306E9AC7" w14:textId="77777777" w:rsidR="00D94935" w:rsidRDefault="00D94935" w:rsidP="00D94935">
      <w:pPr>
        <w:pStyle w:val="Apara"/>
      </w:pPr>
      <w:r>
        <w:tab/>
        <w:t>(b)</w:t>
      </w:r>
      <w:r>
        <w:tab/>
        <w:t xml:space="preserve">adjourn the hearing; or </w:t>
      </w:r>
    </w:p>
    <w:p w14:paraId="1E34906C" w14:textId="77777777" w:rsidR="00D94935" w:rsidRDefault="00D94935" w:rsidP="00D94935">
      <w:pPr>
        <w:pStyle w:val="Apara"/>
      </w:pPr>
      <w:r>
        <w:tab/>
        <w:t>(c)</w:t>
      </w:r>
      <w:r>
        <w:tab/>
        <w:t>if the absent party is an appellant or cross-appellant—dismiss the appeal or cross-appeal; or</w:t>
      </w:r>
    </w:p>
    <w:p w14:paraId="619547B0" w14:textId="77777777" w:rsidR="00D94935" w:rsidRDefault="00D94935" w:rsidP="00D94935">
      <w:pPr>
        <w:pStyle w:val="Apara"/>
      </w:pPr>
      <w:r>
        <w:lastRenderedPageBreak/>
        <w:tab/>
        <w:t>(d)</w:t>
      </w:r>
      <w:r>
        <w:tab/>
        <w:t>proceed with the hearing, either generally or in relation to the decision sought in the appeal; or</w:t>
      </w:r>
    </w:p>
    <w:p w14:paraId="36EC1D94" w14:textId="77777777"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14:paraId="1B378D29" w14:textId="77777777" w:rsidR="00D94935" w:rsidRDefault="00D94935" w:rsidP="00E87BCD">
      <w:pPr>
        <w:pStyle w:val="Amain"/>
        <w:keepNext/>
      </w:pPr>
      <w:r>
        <w:tab/>
        <w:t>(2)</w:t>
      </w:r>
      <w:r>
        <w:tab/>
        <w:t>The Court of Appeal may make an order, or do anything else, mentioned in subrule (1) on application by a party to the appeal or on its own initiative.</w:t>
      </w:r>
    </w:p>
    <w:p w14:paraId="3D2F21E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54357E9A" w14:textId="77777777"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14:paraId="2346BD4D" w14:textId="77777777" w:rsidR="00D94935" w:rsidRPr="006422A0" w:rsidRDefault="00D94935" w:rsidP="00D94935">
      <w:pPr>
        <w:pStyle w:val="Apara"/>
      </w:pPr>
      <w:r w:rsidRPr="006422A0">
        <w:tab/>
        <w:t>(a)</w:t>
      </w:r>
      <w:r w:rsidRPr="006422A0">
        <w:tab/>
        <w:t>set aside the dismissal; and</w:t>
      </w:r>
    </w:p>
    <w:p w14:paraId="6BD90744" w14:textId="77777777" w:rsidR="00D94935" w:rsidRPr="006422A0" w:rsidRDefault="00D94935" w:rsidP="00D94935">
      <w:pPr>
        <w:pStyle w:val="Apara"/>
      </w:pPr>
      <w:r w:rsidRPr="006422A0">
        <w:tab/>
        <w:t>(b)</w:t>
      </w:r>
      <w:r w:rsidRPr="006422A0">
        <w:tab/>
        <w:t>give directions for the further conduct of the appeal.</w:t>
      </w:r>
    </w:p>
    <w:p w14:paraId="7FF8A2CD" w14:textId="77777777"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14:paraId="008A9048" w14:textId="77777777" w:rsidR="00D94935" w:rsidRPr="006422A0" w:rsidRDefault="00D94935" w:rsidP="00D94935">
      <w:pPr>
        <w:pStyle w:val="Apara"/>
      </w:pPr>
      <w:r w:rsidRPr="006422A0">
        <w:tab/>
        <w:t>(a)</w:t>
      </w:r>
      <w:r w:rsidRPr="006422A0">
        <w:tab/>
        <w:t>amend or set aside the order; and</w:t>
      </w:r>
    </w:p>
    <w:p w14:paraId="5ECDCCBB" w14:textId="77777777" w:rsidR="00D94935" w:rsidRPr="006422A0" w:rsidRDefault="00D94935" w:rsidP="00D94935">
      <w:pPr>
        <w:pStyle w:val="Apara"/>
      </w:pPr>
      <w:r w:rsidRPr="006422A0">
        <w:tab/>
        <w:t>(b)</w:t>
      </w:r>
      <w:r w:rsidRPr="006422A0">
        <w:tab/>
        <w:t>give directions for the further conduct of the appeal.</w:t>
      </w:r>
    </w:p>
    <w:p w14:paraId="18341314" w14:textId="77777777" w:rsidR="00D94935" w:rsidRDefault="00D94935" w:rsidP="00D94935">
      <w:pPr>
        <w:pStyle w:val="AH5Sec"/>
      </w:pPr>
      <w:bookmarkStart w:id="1501" w:name="_Toc185515117"/>
      <w:r w:rsidRPr="00C8328B">
        <w:rPr>
          <w:rStyle w:val="CharSectNo"/>
        </w:rPr>
        <w:t>5442</w:t>
      </w:r>
      <w:r>
        <w:tab/>
        <w:t>Appeals to Court of Appeal—insufficient material</w:t>
      </w:r>
      <w:bookmarkEnd w:id="1501"/>
    </w:p>
    <w:p w14:paraId="20CCAFD9" w14:textId="77777777" w:rsidR="00D94935" w:rsidRDefault="00D94935" w:rsidP="00D94935">
      <w:pPr>
        <w:pStyle w:val="Amainreturn"/>
      </w:pPr>
      <w:r>
        <w:t>If the Court of Appeal considers that it has insufficient material before it to enable it to make a decision on the appeal, it may give all or any of the following directions:</w:t>
      </w:r>
    </w:p>
    <w:p w14:paraId="6782D98B" w14:textId="77777777" w:rsidR="00D94935" w:rsidRDefault="00D94935" w:rsidP="00D94935">
      <w:pPr>
        <w:pStyle w:val="Apara"/>
      </w:pPr>
      <w:r>
        <w:tab/>
        <w:t>(a)</w:t>
      </w:r>
      <w:r>
        <w:tab/>
        <w:t>that the appeal be adjourned for further consideration;</w:t>
      </w:r>
    </w:p>
    <w:p w14:paraId="21E08ECD" w14:textId="77777777" w:rsidR="00D94935" w:rsidRDefault="00D94935" w:rsidP="00D94935">
      <w:pPr>
        <w:pStyle w:val="Apara"/>
      </w:pPr>
      <w:r>
        <w:tab/>
        <w:t>(b)</w:t>
      </w:r>
      <w:r>
        <w:tab/>
        <w:t>a direction about the issues to be decided that it considers appropriate;</w:t>
      </w:r>
    </w:p>
    <w:p w14:paraId="3ED31821" w14:textId="77777777" w:rsidR="00D94935" w:rsidRDefault="00D94935" w:rsidP="00D94935">
      <w:pPr>
        <w:pStyle w:val="Apara"/>
      </w:pPr>
      <w:r>
        <w:lastRenderedPageBreak/>
        <w:tab/>
        <w:t>(c)</w:t>
      </w:r>
      <w:r>
        <w:tab/>
        <w:t>a direction about the accounts to be taken, or inquiries made, that it considers appropriate.</w:t>
      </w:r>
    </w:p>
    <w:p w14:paraId="435172AB" w14:textId="77777777" w:rsidR="00D94935" w:rsidRPr="00C8328B" w:rsidRDefault="00D94935" w:rsidP="00D94935">
      <w:pPr>
        <w:pStyle w:val="AH3Div"/>
      </w:pPr>
      <w:bookmarkStart w:id="1502" w:name="_Toc185515118"/>
      <w:r w:rsidRPr="00C8328B">
        <w:rPr>
          <w:rStyle w:val="CharDivNo"/>
        </w:rPr>
        <w:t>Division 5.4.6</w:t>
      </w:r>
      <w:r>
        <w:tab/>
      </w:r>
      <w:r w:rsidRPr="00C8328B">
        <w:rPr>
          <w:rStyle w:val="CharDivText"/>
        </w:rPr>
        <w:t>Appeals to Court of Appeal—ending all or part of appeal</w:t>
      </w:r>
      <w:bookmarkEnd w:id="1502"/>
    </w:p>
    <w:p w14:paraId="26A8EB4E" w14:textId="77777777" w:rsidR="00D94935" w:rsidRPr="006364FA" w:rsidRDefault="00D94935" w:rsidP="00E87BCD">
      <w:pPr>
        <w:pStyle w:val="aNote"/>
        <w:keepNext/>
      </w:pPr>
      <w:r>
        <w:rPr>
          <w:rStyle w:val="charItals"/>
        </w:rPr>
        <w:t>Note to div 5.4.6</w:t>
      </w:r>
    </w:p>
    <w:p w14:paraId="3957D95E" w14:textId="77777777"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14:paraId="7A3AB04E" w14:textId="77777777" w:rsidR="00D94935" w:rsidRDefault="00D94935" w:rsidP="00D94935">
      <w:pPr>
        <w:pStyle w:val="AH5Sec"/>
      </w:pPr>
      <w:bookmarkStart w:id="1503" w:name="_Toc185515119"/>
      <w:r w:rsidRPr="00C8328B">
        <w:rPr>
          <w:rStyle w:val="CharSectNo"/>
        </w:rPr>
        <w:t>5470</w:t>
      </w:r>
      <w:r>
        <w:tab/>
        <w:t>Appeals to Court of Appeal—abandonment of ground of appeal</w:t>
      </w:r>
      <w:bookmarkEnd w:id="1503"/>
    </w:p>
    <w:p w14:paraId="388A9347" w14:textId="77777777" w:rsidR="00D94935" w:rsidRDefault="00D94935" w:rsidP="00D94935">
      <w:pPr>
        <w:pStyle w:val="Amain"/>
      </w:pPr>
      <w:r>
        <w:tab/>
        <w:t>(1)</w:t>
      </w:r>
      <w:r>
        <w:tab/>
        <w:t>This rule applies if an appellant wants to abandon a ground of appeal.</w:t>
      </w:r>
    </w:p>
    <w:p w14:paraId="3740D6D9" w14:textId="77777777" w:rsidR="00D94935" w:rsidRDefault="00D94935" w:rsidP="00D94935">
      <w:pPr>
        <w:pStyle w:val="Amain"/>
      </w:pPr>
      <w:r>
        <w:tab/>
        <w:t>(2)</w:t>
      </w:r>
      <w:r>
        <w:tab/>
        <w:t>The appellant must give notice to each other party to the appeal that the ground of appeal will not be relied on.</w:t>
      </w:r>
    </w:p>
    <w:p w14:paraId="4D7F0452" w14:textId="77777777" w:rsidR="00D94935" w:rsidRDefault="00D94935" w:rsidP="00D94935">
      <w:pPr>
        <w:pStyle w:val="Amain"/>
      </w:pPr>
      <w:r>
        <w:tab/>
        <w:t>(3)</w:t>
      </w:r>
      <w:r>
        <w:tab/>
        <w:t>The notice must be given—</w:t>
      </w:r>
    </w:p>
    <w:p w14:paraId="1CD58E31" w14:textId="77777777" w:rsidR="00D94935" w:rsidRDefault="00D94935" w:rsidP="00D94935">
      <w:pPr>
        <w:pStyle w:val="Apara"/>
      </w:pPr>
      <w:r>
        <w:tab/>
        <w:t>(a)</w:t>
      </w:r>
      <w:r>
        <w:tab/>
        <w:t>as soon as possible; but</w:t>
      </w:r>
    </w:p>
    <w:p w14:paraId="47BC9D74" w14:textId="77777777" w:rsidR="00D94935" w:rsidRDefault="00D94935" w:rsidP="00D94935">
      <w:pPr>
        <w:pStyle w:val="Apara"/>
      </w:pPr>
      <w:r>
        <w:tab/>
        <w:t>(b)</w:t>
      </w:r>
      <w:r>
        <w:tab/>
        <w:t>if the appeal is not to be decided by written cases under part 5.8 (Written cases)—within a reasonable time before the day set for the start of the hearing.</w:t>
      </w:r>
    </w:p>
    <w:p w14:paraId="29F15910" w14:textId="77777777"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14:paraId="2AF28033" w14:textId="77777777" w:rsidR="00D94935" w:rsidRDefault="00D94935" w:rsidP="00D94935">
      <w:pPr>
        <w:pStyle w:val="AH5Sec"/>
      </w:pPr>
      <w:bookmarkStart w:id="1504" w:name="_Toc185515120"/>
      <w:r w:rsidRPr="00C8328B">
        <w:rPr>
          <w:rStyle w:val="CharSectNo"/>
        </w:rPr>
        <w:t>5471</w:t>
      </w:r>
      <w:r>
        <w:tab/>
        <w:t>Appeals to Court of Appeal—discontinuance of appeal</w:t>
      </w:r>
      <w:bookmarkEnd w:id="1504"/>
    </w:p>
    <w:p w14:paraId="342CDFA6" w14:textId="77777777" w:rsidR="00D94935" w:rsidRDefault="00D94935" w:rsidP="00D94935">
      <w:pPr>
        <w:pStyle w:val="Amain"/>
        <w:keepNext/>
      </w:pPr>
      <w:r>
        <w:tab/>
        <w:t>(1)</w:t>
      </w:r>
      <w:r>
        <w:tab/>
        <w:t>An appellant may discontinue the appeal or part of the appeal—</w:t>
      </w:r>
    </w:p>
    <w:p w14:paraId="388CA2D8" w14:textId="77777777" w:rsidR="00D94935" w:rsidRDefault="00D94935" w:rsidP="00D94935">
      <w:pPr>
        <w:pStyle w:val="Apara"/>
      </w:pPr>
      <w:r>
        <w:tab/>
        <w:t>(a)</w:t>
      </w:r>
      <w:r>
        <w:tab/>
        <w:t>without the Court of Appeal’s leave, at any time before the hearing of the appeal; or</w:t>
      </w:r>
    </w:p>
    <w:p w14:paraId="06501383" w14:textId="77777777" w:rsidR="00D94935" w:rsidRDefault="00D94935" w:rsidP="00D94935">
      <w:pPr>
        <w:pStyle w:val="Apara"/>
        <w:keepNext/>
      </w:pPr>
      <w:r>
        <w:lastRenderedPageBreak/>
        <w:tab/>
        <w:t>(b)</w:t>
      </w:r>
      <w:r>
        <w:tab/>
        <w:t>only with the Court of Appeal’s leave, at the hearing, or after the hearing and before judgment.</w:t>
      </w:r>
    </w:p>
    <w:p w14:paraId="4909304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008EDE28" w14:textId="77777777" w:rsidR="00D94935" w:rsidRDefault="00D94935" w:rsidP="00D94935">
      <w:pPr>
        <w:pStyle w:val="Amain"/>
      </w:pPr>
      <w:r>
        <w:tab/>
        <w:t>(2)</w:t>
      </w:r>
      <w:r>
        <w:tab/>
        <w:t>However, if the appeal is to be decided by written cases under part 5.8 (Written cases), an appellant may discontinue the appeal or a part of the appeal—</w:t>
      </w:r>
    </w:p>
    <w:p w14:paraId="03ED5264" w14:textId="77777777"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14:paraId="427E8019" w14:textId="77777777" w:rsidR="00D94935" w:rsidRDefault="00D94935" w:rsidP="00D94935">
      <w:pPr>
        <w:pStyle w:val="Apara"/>
      </w:pPr>
      <w:r>
        <w:tab/>
        <w:t>(b)</w:t>
      </w:r>
      <w:r>
        <w:tab/>
        <w:t>only with the Court of Appeal’s leave, at any time after the last day mentioned in paragraph (a), but before judgment.</w:t>
      </w:r>
    </w:p>
    <w:p w14:paraId="0A052625" w14:textId="77777777"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14:paraId="0295129E" w14:textId="2D5CFE3A"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96" w:history="1">
        <w:r>
          <w:rPr>
            <w:rStyle w:val="charCitHyperlinkAbbrev"/>
          </w:rPr>
          <w:t>AF2015-59</w:t>
        </w:r>
      </w:hyperlink>
      <w:r>
        <w:t>.</w:t>
      </w:r>
    </w:p>
    <w:p w14:paraId="2BF7DB37" w14:textId="77777777" w:rsidR="00D94935" w:rsidRDefault="00D94935" w:rsidP="00D94935">
      <w:pPr>
        <w:pStyle w:val="Amain"/>
        <w:keepNext/>
      </w:pPr>
      <w:r>
        <w:tab/>
        <w:t>(4)</w:t>
      </w:r>
      <w:r>
        <w:tab/>
        <w:t>If the appeal or a part of the appeal is discontinued—</w:t>
      </w:r>
    </w:p>
    <w:p w14:paraId="5EA1A014" w14:textId="77777777" w:rsidR="00D94935" w:rsidRDefault="00D94935" w:rsidP="00D94935">
      <w:pPr>
        <w:pStyle w:val="Apara"/>
      </w:pPr>
      <w:r>
        <w:tab/>
        <w:t>(a)</w:t>
      </w:r>
      <w:r>
        <w:tab/>
        <w:t>the appeal or part of the appeal is abandoned by the appellant; and</w:t>
      </w:r>
    </w:p>
    <w:p w14:paraId="7986FA9A" w14:textId="77777777" w:rsidR="00D94935" w:rsidRDefault="00D94935" w:rsidP="00D94935">
      <w:pPr>
        <w:pStyle w:val="Apara"/>
      </w:pPr>
      <w:r>
        <w:tab/>
        <w:t>(b)</w:t>
      </w:r>
      <w:r>
        <w:tab/>
        <w:t>the discontinuance does not affect any other appellant in the appeal.</w:t>
      </w:r>
    </w:p>
    <w:p w14:paraId="4A48CFE5" w14:textId="77777777"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14:paraId="665C5809" w14:textId="77777777" w:rsidR="00D94935" w:rsidRDefault="00D94935" w:rsidP="00D94935">
      <w:pPr>
        <w:pStyle w:val="Amain"/>
      </w:pPr>
      <w:r>
        <w:tab/>
        <w:t>(6)</w:t>
      </w:r>
      <w:r>
        <w:tab/>
        <w:t>The Court of Appeal may make an order under subrule (5) on application by a party to the appeal or on its own initiative.</w:t>
      </w:r>
    </w:p>
    <w:p w14:paraId="7FAA34EC" w14:textId="77777777" w:rsidR="00D94935" w:rsidRDefault="00D94935" w:rsidP="00D94935">
      <w:pPr>
        <w:pStyle w:val="AH5Sec"/>
      </w:pPr>
      <w:bookmarkStart w:id="1505" w:name="_Toc185515121"/>
      <w:r w:rsidRPr="00C8328B">
        <w:rPr>
          <w:rStyle w:val="CharSectNo"/>
        </w:rPr>
        <w:lastRenderedPageBreak/>
        <w:t>5472</w:t>
      </w:r>
      <w:r>
        <w:tab/>
        <w:t>Appeals to Court of Appeal—competency of appeal</w:t>
      </w:r>
      <w:bookmarkEnd w:id="1505"/>
    </w:p>
    <w:p w14:paraId="3FBD31E7" w14:textId="77777777" w:rsidR="00D94935" w:rsidRDefault="00D94935" w:rsidP="00D94935">
      <w:pPr>
        <w:pStyle w:val="Amain"/>
        <w:keepNext/>
      </w:pPr>
      <w:r>
        <w:tab/>
        <w:t>(1)</w:t>
      </w:r>
      <w:r>
        <w:tab/>
        <w:t>A respondent to the appeal may apply to the Court of Appeal at any time for an order striking out the appeal as incompetent.</w:t>
      </w:r>
    </w:p>
    <w:p w14:paraId="5830419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E51DD94" w14:textId="77777777" w:rsidR="00D94935" w:rsidRDefault="00D94935" w:rsidP="00D94935">
      <w:pPr>
        <w:pStyle w:val="Amain"/>
      </w:pPr>
      <w:r>
        <w:tab/>
        <w:t>(2)</w:t>
      </w:r>
      <w:r>
        <w:tab/>
        <w:t>The burden of establishing the competency of the appeal is on the appellant.</w:t>
      </w:r>
    </w:p>
    <w:p w14:paraId="35AE63CA" w14:textId="77777777" w:rsidR="00D94935" w:rsidRDefault="00D94935" w:rsidP="00D94935">
      <w:pPr>
        <w:pStyle w:val="AH5Sec"/>
      </w:pPr>
      <w:bookmarkStart w:id="1506" w:name="_Toc185515122"/>
      <w:r w:rsidRPr="00C8328B">
        <w:rPr>
          <w:rStyle w:val="CharSectNo"/>
        </w:rPr>
        <w:t>5473</w:t>
      </w:r>
      <w:r>
        <w:tab/>
        <w:t>Appeals to Court of Appeal—costs for failure to apply for appeal to be struck out as incompetent</w:t>
      </w:r>
      <w:bookmarkEnd w:id="1506"/>
    </w:p>
    <w:p w14:paraId="7E36FADF" w14:textId="77777777"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14:paraId="1E432996" w14:textId="77777777" w:rsidR="00D94935" w:rsidRDefault="00D94935" w:rsidP="00D94935">
      <w:pPr>
        <w:pStyle w:val="Amain"/>
      </w:pPr>
      <w:r>
        <w:tab/>
        <w:t>(2)</w:t>
      </w:r>
      <w:r>
        <w:tab/>
        <w:t>The respondent must not receive any costs of the appeal, unless the Court of Appeal otherwise orders.</w:t>
      </w:r>
    </w:p>
    <w:p w14:paraId="119F1A9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CCB894" w14:textId="77777777"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14:paraId="0BD1BA72" w14:textId="77777777" w:rsidR="00D94935" w:rsidRDefault="00D94935" w:rsidP="00D94935">
      <w:pPr>
        <w:pStyle w:val="Amain"/>
        <w:keepNext/>
      </w:pPr>
      <w:r>
        <w:tab/>
        <w:t>(4)</w:t>
      </w:r>
      <w:r>
        <w:tab/>
        <w:t>The Court of Appeal may make an order under this rule on application by a party to the appeal or on its own initiative.</w:t>
      </w:r>
    </w:p>
    <w:p w14:paraId="07EA4F21" w14:textId="77777777" w:rsidR="00D94935" w:rsidRDefault="00D94935" w:rsidP="00D94935">
      <w:pPr>
        <w:pStyle w:val="AH5Sec"/>
      </w:pPr>
      <w:bookmarkStart w:id="1507" w:name="_Toc185515123"/>
      <w:r w:rsidRPr="00C8328B">
        <w:rPr>
          <w:rStyle w:val="CharSectNo"/>
        </w:rPr>
        <w:t>5474</w:t>
      </w:r>
      <w:r>
        <w:tab/>
        <w:t>Appeals to Court of Appeal—dismissal by consent</w:t>
      </w:r>
      <w:bookmarkEnd w:id="1507"/>
    </w:p>
    <w:p w14:paraId="42EA62CE" w14:textId="77777777" w:rsidR="00D94935" w:rsidRDefault="00D94935" w:rsidP="00D94935">
      <w:pPr>
        <w:pStyle w:val="Amain"/>
      </w:pPr>
      <w:r>
        <w:tab/>
        <w:t>(1)</w:t>
      </w:r>
      <w:r>
        <w:tab/>
        <w:t>The parties to the appeal may agree that the appeal be dismissed by consent.</w:t>
      </w:r>
    </w:p>
    <w:p w14:paraId="34DD4D0E" w14:textId="77777777" w:rsidR="00D94935" w:rsidRDefault="00D94935" w:rsidP="00D94935">
      <w:pPr>
        <w:pStyle w:val="Amain"/>
      </w:pPr>
      <w:r>
        <w:tab/>
        <w:t>(2)</w:t>
      </w:r>
      <w:r>
        <w:tab/>
        <w:t>Rule 1612 (Orders—by consent in proceeding) applies, with any necessary changes, to an order for the dismissal of the appeal by consent.</w:t>
      </w:r>
    </w:p>
    <w:p w14:paraId="28E1F238" w14:textId="77777777" w:rsidR="00D94935" w:rsidRDefault="00D94935" w:rsidP="005E7DD1">
      <w:pPr>
        <w:pStyle w:val="Amain"/>
        <w:keepNext/>
      </w:pPr>
      <w:r>
        <w:lastRenderedPageBreak/>
        <w:tab/>
        <w:t>(3)</w:t>
      </w:r>
      <w:r>
        <w:tab/>
        <w:t>Without limiting subrule (2), the order may provide that—</w:t>
      </w:r>
    </w:p>
    <w:p w14:paraId="7F1629E7" w14:textId="77777777" w:rsidR="00D94935" w:rsidRDefault="00D94935" w:rsidP="00D94935">
      <w:pPr>
        <w:pStyle w:val="Apara"/>
      </w:pPr>
      <w:r>
        <w:tab/>
        <w:t>(a)</w:t>
      </w:r>
      <w:r>
        <w:tab/>
        <w:t>an amount secured for the costs of the appeal be paid to a party stated in the order; or</w:t>
      </w:r>
    </w:p>
    <w:p w14:paraId="105281C6" w14:textId="77777777" w:rsidR="00D94935" w:rsidRDefault="00D94935" w:rsidP="00D94935">
      <w:pPr>
        <w:pStyle w:val="Apara"/>
      </w:pPr>
      <w:r>
        <w:tab/>
        <w:t>(b)</w:t>
      </w:r>
      <w:r>
        <w:tab/>
        <w:t>the appellant pay the respondent’s costs of the appeal to be assessed; or</w:t>
      </w:r>
    </w:p>
    <w:p w14:paraId="48495056" w14:textId="77777777" w:rsidR="00D94935" w:rsidRDefault="00D94935" w:rsidP="00D94935">
      <w:pPr>
        <w:pStyle w:val="Apara"/>
      </w:pPr>
      <w:r>
        <w:tab/>
        <w:t>(c)</w:t>
      </w:r>
      <w:r>
        <w:tab/>
        <w:t>the appellant pay the respondent’s costs of the appeal agreed as a stated amount; or</w:t>
      </w:r>
    </w:p>
    <w:p w14:paraId="3F9BD10E"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57AFC972" w14:textId="77777777" w:rsidR="00D94935" w:rsidRDefault="00D94935" w:rsidP="00D94935">
      <w:pPr>
        <w:pStyle w:val="Apara"/>
      </w:pPr>
      <w:r>
        <w:tab/>
        <w:t>(e)</w:t>
      </w:r>
      <w:r>
        <w:tab/>
        <w:t>there be no order for the costs of the appeal.</w:t>
      </w:r>
    </w:p>
    <w:p w14:paraId="0DCFFF92" w14:textId="77777777"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14:paraId="7F8C3FC1" w14:textId="77777777" w:rsidR="00D94935" w:rsidRDefault="00D94935" w:rsidP="00E34AA7">
      <w:pPr>
        <w:pStyle w:val="Amain"/>
        <w:keepNext/>
      </w:pPr>
      <w:r>
        <w:tab/>
        <w:t>(5)</w:t>
      </w:r>
      <w:r>
        <w:tab/>
        <w:t>The payment may be made to the solicitor on the record for the respondent.</w:t>
      </w:r>
    </w:p>
    <w:p w14:paraId="4276C66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1A6177C" w14:textId="77777777" w:rsidR="00D94935" w:rsidRDefault="00D94935" w:rsidP="00D94935">
      <w:pPr>
        <w:pStyle w:val="AH5Sec"/>
      </w:pPr>
      <w:bookmarkStart w:id="1508" w:name="_Toc185515124"/>
      <w:r w:rsidRPr="00C8328B">
        <w:rPr>
          <w:rStyle w:val="CharSectNo"/>
        </w:rPr>
        <w:t>5475</w:t>
      </w:r>
      <w:r>
        <w:tab/>
        <w:t>Appeals to Court of Appeal—consent orders</w:t>
      </w:r>
      <w:bookmarkEnd w:id="1508"/>
    </w:p>
    <w:p w14:paraId="3BDFE77C" w14:textId="77777777"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14:paraId="17C0480E" w14:textId="77777777" w:rsidR="00D94935" w:rsidRPr="00C8328B" w:rsidRDefault="00D94935" w:rsidP="00D94935">
      <w:pPr>
        <w:pStyle w:val="AH3Div"/>
      </w:pPr>
      <w:bookmarkStart w:id="1509" w:name="_Toc185515125"/>
      <w:r w:rsidRPr="00C8328B">
        <w:rPr>
          <w:rStyle w:val="CharDivNo"/>
        </w:rPr>
        <w:lastRenderedPageBreak/>
        <w:t>Division 5.4.7</w:t>
      </w:r>
      <w:r>
        <w:tab/>
      </w:r>
      <w:r w:rsidRPr="00C8328B">
        <w:rPr>
          <w:rStyle w:val="CharDivText"/>
        </w:rPr>
        <w:t>Appeals to Court of Appeal—convictions and sentences</w:t>
      </w:r>
      <w:bookmarkEnd w:id="1509"/>
    </w:p>
    <w:p w14:paraId="469909EB" w14:textId="77777777" w:rsidR="00D94935" w:rsidRDefault="00D94935" w:rsidP="00D94935">
      <w:pPr>
        <w:pStyle w:val="AH4SubDiv"/>
      </w:pPr>
      <w:bookmarkStart w:id="1510" w:name="_Toc185515126"/>
      <w:r>
        <w:t>Subdivision 5.4.7.1</w:t>
      </w:r>
      <w:r>
        <w:tab/>
        <w:t>Appeals to Court of Appeal—convictions and sentences preliminary</w:t>
      </w:r>
      <w:bookmarkEnd w:id="1510"/>
    </w:p>
    <w:p w14:paraId="781E4520" w14:textId="77777777" w:rsidR="00D94935" w:rsidRDefault="00D94935" w:rsidP="00D94935">
      <w:pPr>
        <w:pStyle w:val="AH5Sec"/>
      </w:pPr>
      <w:bookmarkStart w:id="1511" w:name="_Toc185515127"/>
      <w:r w:rsidRPr="00C8328B">
        <w:rPr>
          <w:rStyle w:val="CharSectNo"/>
        </w:rPr>
        <w:t>5500</w:t>
      </w:r>
      <w:r>
        <w:tab/>
        <w:t>Definitions—div 5.4.7</w:t>
      </w:r>
      <w:bookmarkEnd w:id="1511"/>
    </w:p>
    <w:p w14:paraId="3C4EC4C7" w14:textId="77777777" w:rsidR="00D94935" w:rsidRDefault="00D94935" w:rsidP="00D94935">
      <w:pPr>
        <w:pStyle w:val="Amainreturn"/>
        <w:keepNext/>
      </w:pPr>
      <w:r>
        <w:t>In this division:</w:t>
      </w:r>
    </w:p>
    <w:p w14:paraId="34DFCC5A" w14:textId="77777777"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14:paraId="08AF6C2B"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4CD56E6F" w14:textId="77777777" w:rsidR="00D94935" w:rsidRPr="006364FA" w:rsidRDefault="00D94935" w:rsidP="00D94935">
      <w:pPr>
        <w:pStyle w:val="aDef"/>
        <w:keepNext/>
      </w:pPr>
      <w:r w:rsidRPr="006364FA">
        <w:rPr>
          <w:rStyle w:val="charBoldItals"/>
        </w:rPr>
        <w:t>convicted person</w:t>
      </w:r>
      <w:r>
        <w:t xml:space="preserve"> means—</w:t>
      </w:r>
    </w:p>
    <w:p w14:paraId="32FA76BC" w14:textId="77777777" w:rsidR="00D94935" w:rsidRDefault="00D94935" w:rsidP="00D94935">
      <w:pPr>
        <w:pStyle w:val="aDefpara"/>
        <w:keepNext/>
      </w:pPr>
      <w:r>
        <w:tab/>
        <w:t>(a)</w:t>
      </w:r>
      <w:r>
        <w:tab/>
        <w:t>for a conviction—the person against whom the conviction was recorded; or</w:t>
      </w:r>
    </w:p>
    <w:p w14:paraId="4DA9DF0A" w14:textId="77777777" w:rsidR="00D94935" w:rsidRDefault="00D94935" w:rsidP="00D94935">
      <w:pPr>
        <w:pStyle w:val="aDefpara"/>
      </w:pPr>
      <w:r>
        <w:tab/>
        <w:t>(b)</w:t>
      </w:r>
      <w:r>
        <w:tab/>
        <w:t>for a sentence—the person on whom the sentence was imposed.</w:t>
      </w:r>
    </w:p>
    <w:p w14:paraId="08DE6D2F" w14:textId="77777777" w:rsidR="00D94935" w:rsidRDefault="00D94935" w:rsidP="00D94935">
      <w:pPr>
        <w:pStyle w:val="aDef"/>
      </w:pPr>
      <w:r>
        <w:rPr>
          <w:rStyle w:val="charBoldItals"/>
        </w:rPr>
        <w:t>out of time</w:t>
      </w:r>
      <w:r>
        <w:t>, for a conviction or sentence, means more than 28 days after the day the conviction was recorded or sentence was imposed.</w:t>
      </w:r>
    </w:p>
    <w:p w14:paraId="580F62CA" w14:textId="77777777" w:rsidR="00D94935" w:rsidRDefault="00D94935" w:rsidP="00D94935">
      <w:pPr>
        <w:pStyle w:val="AH4SubDiv"/>
      </w:pPr>
      <w:bookmarkStart w:id="1512" w:name="_Toc185515128"/>
      <w:r>
        <w:t>Subdivision 5.4.7.2</w:t>
      </w:r>
      <w:r>
        <w:tab/>
        <w:t>Appeals to Court of Appeal—leave to appeal out of time by convicted person</w:t>
      </w:r>
      <w:bookmarkEnd w:id="1512"/>
    </w:p>
    <w:p w14:paraId="614DBA7E" w14:textId="77777777" w:rsidR="00D94935" w:rsidRDefault="00D94935" w:rsidP="00D94935">
      <w:pPr>
        <w:pStyle w:val="AH5Sec"/>
      </w:pPr>
      <w:bookmarkStart w:id="1513" w:name="_Toc185515129"/>
      <w:r w:rsidRPr="00C8328B">
        <w:rPr>
          <w:rStyle w:val="CharSectNo"/>
        </w:rPr>
        <w:t>5505</w:t>
      </w:r>
      <w:r>
        <w:tab/>
        <w:t>Application—sdiv 5.4.7.2</w:t>
      </w:r>
      <w:bookmarkEnd w:id="1513"/>
    </w:p>
    <w:p w14:paraId="7DF86F2D" w14:textId="77777777"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14:paraId="3ECE17C5" w14:textId="77777777" w:rsidR="00D94935" w:rsidRDefault="00D94935" w:rsidP="00D94935">
      <w:pPr>
        <w:pStyle w:val="AH5Sec"/>
      </w:pPr>
      <w:bookmarkStart w:id="1514" w:name="_Toc185515130"/>
      <w:r w:rsidRPr="00C8328B">
        <w:rPr>
          <w:rStyle w:val="CharSectNo"/>
        </w:rPr>
        <w:lastRenderedPageBreak/>
        <w:t>5506</w:t>
      </w:r>
      <w:r>
        <w:tab/>
        <w:t>Appeals to Court of Appeal—application for leave to appeal out of time against conviction or sentence</w:t>
      </w:r>
      <w:bookmarkEnd w:id="1514"/>
    </w:p>
    <w:p w14:paraId="0372B550" w14:textId="77777777" w:rsidR="00D94935" w:rsidRDefault="00D94935" w:rsidP="005E7DD1">
      <w:pPr>
        <w:pStyle w:val="Amain"/>
        <w:keepNext/>
      </w:pPr>
      <w:r>
        <w:tab/>
        <w:t>(1)</w:t>
      </w:r>
      <w:r>
        <w:tab/>
        <w:t>The application must be made to the registrar in the first instance.</w:t>
      </w:r>
    </w:p>
    <w:p w14:paraId="62A2823F" w14:textId="695C2B18" w:rsidR="00D94935" w:rsidRDefault="00D94935" w:rsidP="00DC4303">
      <w:pPr>
        <w:pStyle w:val="aNote"/>
        <w:keepNext/>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97" w:history="1">
        <w:r w:rsidRPr="007B28C0">
          <w:rPr>
            <w:rStyle w:val="charCitHyperlinkAbbrev"/>
          </w:rPr>
          <w:t>AF2006-400</w:t>
        </w:r>
      </w:hyperlink>
      <w:r>
        <w:t>.</w:t>
      </w:r>
    </w:p>
    <w:p w14:paraId="0F6B8FF8" w14:textId="77777777" w:rsidR="00D94935" w:rsidRDefault="00D94935" w:rsidP="00D94935">
      <w:pPr>
        <w:pStyle w:val="Amain"/>
      </w:pPr>
      <w:r>
        <w:tab/>
        <w:t>(2)</w:t>
      </w:r>
      <w:r>
        <w:tab/>
        <w:t>Part 6.2 (Applications in proceedings) applies to the application as if—</w:t>
      </w:r>
    </w:p>
    <w:p w14:paraId="2C7ED1D8" w14:textId="77777777" w:rsidR="00D94935" w:rsidRDefault="00D94935" w:rsidP="00D94935">
      <w:pPr>
        <w:pStyle w:val="Apara"/>
      </w:pPr>
      <w:r>
        <w:tab/>
        <w:t>(a)</w:t>
      </w:r>
      <w:r>
        <w:tab/>
        <w:t>a reference to an application in a proceeding were a reference to the application; and</w:t>
      </w:r>
    </w:p>
    <w:p w14:paraId="18452084" w14:textId="77777777" w:rsidR="00D94935" w:rsidRDefault="00D94935" w:rsidP="00D94935">
      <w:pPr>
        <w:pStyle w:val="Apara"/>
      </w:pPr>
      <w:r>
        <w:tab/>
        <w:t>(b)</w:t>
      </w:r>
      <w:r>
        <w:tab/>
        <w:t>any other necessary changes were made.</w:t>
      </w:r>
    </w:p>
    <w:p w14:paraId="2EFD21A6" w14:textId="77777777" w:rsidR="00D94935" w:rsidRDefault="00D94935" w:rsidP="00D94935">
      <w:pPr>
        <w:pStyle w:val="Amain"/>
        <w:keepNext/>
      </w:pPr>
      <w:r>
        <w:tab/>
        <w:t>(3)</w:t>
      </w:r>
      <w:r>
        <w:tab/>
        <w:t>The application must be accompanied by—</w:t>
      </w:r>
    </w:p>
    <w:p w14:paraId="4000B1E6" w14:textId="77777777" w:rsidR="00D94935" w:rsidRDefault="00D94935" w:rsidP="00D94935">
      <w:pPr>
        <w:pStyle w:val="Apara"/>
        <w:keepNext/>
      </w:pPr>
      <w:r>
        <w:tab/>
        <w:t>(a)</w:t>
      </w:r>
      <w:r>
        <w:tab/>
        <w:t>an affidavit showing—</w:t>
      </w:r>
    </w:p>
    <w:p w14:paraId="75B5A12A" w14:textId="77777777" w:rsidR="00D94935" w:rsidRDefault="00D94935" w:rsidP="00D94935">
      <w:pPr>
        <w:pStyle w:val="Asubpara"/>
        <w:keepNext/>
      </w:pPr>
      <w:r>
        <w:tab/>
        <w:t>(i)</w:t>
      </w:r>
      <w:r>
        <w:tab/>
        <w:t>the nature of the case; and</w:t>
      </w:r>
    </w:p>
    <w:p w14:paraId="53F4B594" w14:textId="77777777" w:rsidR="00D94935" w:rsidRDefault="00D94935" w:rsidP="00D94935">
      <w:pPr>
        <w:pStyle w:val="Asubpara"/>
        <w:keepNext/>
      </w:pPr>
      <w:r>
        <w:tab/>
        <w:t>(ii)</w:t>
      </w:r>
      <w:r>
        <w:tab/>
        <w:t>the questions involved; and</w:t>
      </w:r>
    </w:p>
    <w:p w14:paraId="6DE6C934" w14:textId="77777777" w:rsidR="00D94935" w:rsidRDefault="00D94935" w:rsidP="00D94935">
      <w:pPr>
        <w:pStyle w:val="Asubpara"/>
      </w:pPr>
      <w:r>
        <w:tab/>
        <w:t>(iii)</w:t>
      </w:r>
      <w:r>
        <w:tab/>
        <w:t>the reasons why leave should be given; and</w:t>
      </w:r>
    </w:p>
    <w:p w14:paraId="49C1B2F2" w14:textId="77777777" w:rsidR="00D94935" w:rsidRDefault="00D94935" w:rsidP="00D94935">
      <w:pPr>
        <w:pStyle w:val="Apara"/>
      </w:pPr>
      <w:r>
        <w:tab/>
        <w:t>(b)</w:t>
      </w:r>
      <w:r>
        <w:tab/>
        <w:t>the draft notice of appeal.</w:t>
      </w:r>
    </w:p>
    <w:p w14:paraId="26FACCDA" w14:textId="77777777" w:rsidR="00D94935" w:rsidRDefault="00D94935" w:rsidP="00D94935">
      <w:pPr>
        <w:pStyle w:val="Amain"/>
      </w:pPr>
      <w:r>
        <w:tab/>
        <w:t>(4)</w:t>
      </w:r>
      <w:r>
        <w:tab/>
        <w:t>If the convicted person wants to present the person’s case in writing under part 5.8 (Written cases) the application must state that the person wants to do so.</w:t>
      </w:r>
    </w:p>
    <w:p w14:paraId="7E917FFD" w14:textId="77777777" w:rsidR="00D94935" w:rsidRDefault="00D94935" w:rsidP="00D94935">
      <w:pPr>
        <w:pStyle w:val="AH5Sec"/>
      </w:pPr>
      <w:bookmarkStart w:id="1515" w:name="_Toc185515131"/>
      <w:r w:rsidRPr="00C8328B">
        <w:rPr>
          <w:rStyle w:val="CharSectNo"/>
        </w:rPr>
        <w:t>5507</w:t>
      </w:r>
      <w:r>
        <w:tab/>
        <w:t>Appeals to Court of Appeal—application for leave to appeal out of time against conviction or sentence to be sealed</w:t>
      </w:r>
      <w:bookmarkEnd w:id="1515"/>
    </w:p>
    <w:p w14:paraId="2EE800FA" w14:textId="618EBB73" w:rsidR="00D94935" w:rsidRDefault="00D94935" w:rsidP="00D94935">
      <w:pPr>
        <w:pStyle w:val="Amainreturn"/>
        <w:keepNext/>
      </w:pPr>
      <w:r>
        <w:t xml:space="preserve">The registrar must seal </w:t>
      </w:r>
      <w:r w:rsidR="006002FA" w:rsidRPr="00C1177F">
        <w:t>the application and any</w:t>
      </w:r>
      <w:r>
        <w:t xml:space="preserve"> filed copies of the application.</w:t>
      </w:r>
    </w:p>
    <w:p w14:paraId="157A383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14:paraId="0CCC1F3B" w14:textId="77777777" w:rsidR="00D94935" w:rsidRDefault="00D94935" w:rsidP="00D94935">
      <w:pPr>
        <w:pStyle w:val="AH5Sec"/>
      </w:pPr>
      <w:bookmarkStart w:id="1516" w:name="_Toc185515132"/>
      <w:r w:rsidRPr="00C8328B">
        <w:rPr>
          <w:rStyle w:val="CharSectNo"/>
        </w:rPr>
        <w:lastRenderedPageBreak/>
        <w:t>5508</w:t>
      </w:r>
      <w:r>
        <w:tab/>
        <w:t>Appeals to Court of Appeal—serving application for leave to appeal out of time against conviction or sentence</w:t>
      </w:r>
      <w:bookmarkEnd w:id="1516"/>
    </w:p>
    <w:p w14:paraId="0DD6CE36" w14:textId="77777777" w:rsidR="00D94935" w:rsidRDefault="00D94935" w:rsidP="00D94935">
      <w:pPr>
        <w:pStyle w:val="Amainreturn"/>
        <w:keepNext/>
      </w:pPr>
      <w:r>
        <w:t>The convicted person must serve the following on the director of public prosecutions not later than 5 days after the day the application is filed:</w:t>
      </w:r>
    </w:p>
    <w:p w14:paraId="04B1B4CE" w14:textId="77777777" w:rsidR="00D94935" w:rsidRDefault="00D94935" w:rsidP="00D94935">
      <w:pPr>
        <w:pStyle w:val="Apara"/>
      </w:pPr>
      <w:r>
        <w:tab/>
        <w:t>(a)</w:t>
      </w:r>
      <w:r>
        <w:tab/>
        <w:t>a sealed copy of the application;</w:t>
      </w:r>
    </w:p>
    <w:p w14:paraId="3071E561" w14:textId="77777777" w:rsidR="00D94935" w:rsidRDefault="00D94935" w:rsidP="00D94935">
      <w:pPr>
        <w:pStyle w:val="Apara"/>
      </w:pPr>
      <w:r>
        <w:tab/>
        <w:t>(b)</w:t>
      </w:r>
      <w:r>
        <w:tab/>
        <w:t>a stamped copy of the accompanying affidavit;</w:t>
      </w:r>
    </w:p>
    <w:p w14:paraId="1C7989F7" w14:textId="77777777" w:rsidR="00D94935" w:rsidRDefault="00D94935" w:rsidP="00D94935">
      <w:pPr>
        <w:pStyle w:val="Apara"/>
        <w:keepNext/>
      </w:pPr>
      <w:r>
        <w:tab/>
        <w:t>(c)</w:t>
      </w:r>
      <w:r>
        <w:tab/>
        <w:t>a stamped copy of the draft notice of appeal.</w:t>
      </w:r>
    </w:p>
    <w:p w14:paraId="7DAE8665" w14:textId="77777777"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14:paraId="2B66BD57" w14:textId="77777777" w:rsidR="00D94935" w:rsidRDefault="00D94935" w:rsidP="00D94935">
      <w:pPr>
        <w:pStyle w:val="AH5Sec"/>
      </w:pPr>
      <w:bookmarkStart w:id="1517" w:name="_Toc185515133"/>
      <w:r w:rsidRPr="00C8328B">
        <w:rPr>
          <w:rStyle w:val="CharSectNo"/>
        </w:rPr>
        <w:t>5509</w:t>
      </w:r>
      <w:r>
        <w:tab/>
        <w:t>Appeals to Court of Appeal—response by DPP to application for leave to appeal out of time against conviction or sentence</w:t>
      </w:r>
      <w:bookmarkEnd w:id="1517"/>
    </w:p>
    <w:p w14:paraId="1F7A74C5" w14:textId="77777777" w:rsidR="00D94935" w:rsidRDefault="00D94935" w:rsidP="00D94935">
      <w:pPr>
        <w:pStyle w:val="Amain"/>
        <w:keepNext/>
      </w:pPr>
      <w:r>
        <w:tab/>
        <w:t>(1)</w:t>
      </w:r>
      <w:r>
        <w:tab/>
        <w:t>The director of public prosecutions must file a response to the application.</w:t>
      </w:r>
    </w:p>
    <w:p w14:paraId="37DE6BF4" w14:textId="3E54C7E5"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8" w:history="1">
        <w:r w:rsidRPr="007B28C0">
          <w:rPr>
            <w:rStyle w:val="charCitHyperlinkAbbrev"/>
          </w:rPr>
          <w:t>AF2006-401</w:t>
        </w:r>
      </w:hyperlink>
      <w:r>
        <w:t>.</w:t>
      </w:r>
    </w:p>
    <w:p w14:paraId="6AE046EE" w14:textId="77777777" w:rsidR="00D94935" w:rsidRDefault="00D94935" w:rsidP="00D94935">
      <w:pPr>
        <w:pStyle w:val="Amain"/>
        <w:keepNext/>
      </w:pPr>
      <w:r>
        <w:tab/>
        <w:t>(2)</w:t>
      </w:r>
      <w:r>
        <w:tab/>
        <w:t>The response must state—</w:t>
      </w:r>
    </w:p>
    <w:p w14:paraId="390E09C1" w14:textId="77777777" w:rsidR="00D94935" w:rsidRDefault="00D94935" w:rsidP="00D94935">
      <w:pPr>
        <w:pStyle w:val="Apara"/>
      </w:pPr>
      <w:r>
        <w:tab/>
        <w:t>(a)</w:t>
      </w:r>
      <w:r>
        <w:tab/>
        <w:t>whether the director opposes, consents to, or does not oppose, the application; and</w:t>
      </w:r>
    </w:p>
    <w:p w14:paraId="6A98FD2A" w14:textId="77777777" w:rsidR="00D94935" w:rsidRDefault="00D94935" w:rsidP="00D94935">
      <w:pPr>
        <w:pStyle w:val="Apara"/>
      </w:pPr>
      <w:r>
        <w:tab/>
        <w:t>(b)</w:t>
      </w:r>
      <w:r>
        <w:tab/>
        <w:t>whether the director proposes to file any affidavits in response to the application; and</w:t>
      </w:r>
    </w:p>
    <w:p w14:paraId="0A351C1D" w14:textId="77777777" w:rsidR="00D94935" w:rsidRDefault="00D94935" w:rsidP="00D94935">
      <w:pPr>
        <w:pStyle w:val="Apara"/>
      </w:pPr>
      <w:r>
        <w:tab/>
        <w:t>(c)</w:t>
      </w:r>
      <w:r>
        <w:tab/>
        <w:t>an address for service.</w:t>
      </w:r>
    </w:p>
    <w:p w14:paraId="32842E92"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3FB6D0F" w14:textId="77777777"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14:paraId="2F93A002" w14:textId="77777777" w:rsidR="00D94935" w:rsidRDefault="00D94935" w:rsidP="00D94935">
      <w:pPr>
        <w:pStyle w:val="Amain"/>
      </w:pPr>
      <w:r>
        <w:lastRenderedPageBreak/>
        <w:tab/>
        <w:t>(4)</w:t>
      </w:r>
      <w:r>
        <w:tab/>
        <w:t>If the director of public prosecutions wants to present evidence, the director must file the director’s affidavits, and serve them on the convicted person, not later than 14 days after the day the application is served on the director.</w:t>
      </w:r>
    </w:p>
    <w:p w14:paraId="4D6E321C" w14:textId="77777777" w:rsidR="00D94935" w:rsidRDefault="00D94935" w:rsidP="00D94935">
      <w:pPr>
        <w:pStyle w:val="AH5Sec"/>
      </w:pPr>
      <w:bookmarkStart w:id="1518" w:name="_Toc185515134"/>
      <w:r w:rsidRPr="00C8328B">
        <w:rPr>
          <w:rStyle w:val="CharSectNo"/>
        </w:rPr>
        <w:t>5510</w:t>
      </w:r>
      <w:r>
        <w:tab/>
        <w:t>Appeals to Court of Appeal—registrar’s decision on application for leave to appeal out of time against conviction or sentence</w:t>
      </w:r>
      <w:bookmarkEnd w:id="1518"/>
    </w:p>
    <w:p w14:paraId="17853DA8" w14:textId="77777777" w:rsidR="00D94935" w:rsidRDefault="00D94935" w:rsidP="00D94935">
      <w:pPr>
        <w:pStyle w:val="Amain"/>
      </w:pPr>
      <w:r>
        <w:tab/>
        <w:t>(1)</w:t>
      </w:r>
      <w:r>
        <w:tab/>
        <w:t>The registrar must tell the convicted person, and the director of public prosecutions, of the registrar’s decision to give or refuse leave to appeal out of time.</w:t>
      </w:r>
    </w:p>
    <w:p w14:paraId="6D9B1591" w14:textId="77777777"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14:paraId="71975D1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56DA966A" w14:textId="77777777" w:rsidR="00D94935" w:rsidRDefault="00D94935" w:rsidP="00D94935">
      <w:pPr>
        <w:pStyle w:val="Amain"/>
        <w:keepNext/>
      </w:pPr>
      <w:r>
        <w:tab/>
        <w:t>(3)</w:t>
      </w:r>
      <w:r>
        <w:tab/>
        <w:t>If the registrar refuses leave—</w:t>
      </w:r>
    </w:p>
    <w:p w14:paraId="1AC94BBC" w14:textId="77777777" w:rsidR="00D94935" w:rsidRDefault="00D94935" w:rsidP="00D94935">
      <w:pPr>
        <w:pStyle w:val="Apara"/>
      </w:pPr>
      <w:r>
        <w:tab/>
        <w:t>(a)</w:t>
      </w:r>
      <w:r>
        <w:tab/>
        <w:t>the registrar must give the convicted person a copy of the form to be used for applying to the Court of Appeal when telling the person about the refusal; and</w:t>
      </w:r>
    </w:p>
    <w:p w14:paraId="376B1C00" w14:textId="77777777" w:rsidR="00D94935" w:rsidRDefault="00D94935" w:rsidP="00D94935">
      <w:pPr>
        <w:pStyle w:val="Apara"/>
        <w:keepNext/>
      </w:pPr>
      <w:r>
        <w:tab/>
        <w:t>(b)</w:t>
      </w:r>
      <w:r>
        <w:tab/>
        <w:t>the convicted person may apply to the Court of Appeal to have the application mentioned in rule 5505 decided by the Court of Appeal.</w:t>
      </w:r>
    </w:p>
    <w:p w14:paraId="231E0864" w14:textId="77777777"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14:paraId="52349661" w14:textId="791144FA"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9" w:history="1">
        <w:r w:rsidRPr="007B28C0">
          <w:rPr>
            <w:rStyle w:val="charCitHyperlinkAbbrev"/>
          </w:rPr>
          <w:t>AF2006</w:t>
        </w:r>
        <w:r w:rsidRPr="007B28C0">
          <w:rPr>
            <w:rStyle w:val="charCitHyperlinkAbbrev"/>
          </w:rPr>
          <w:noBreakHyphen/>
          <w:t>402</w:t>
        </w:r>
      </w:hyperlink>
      <w:r>
        <w:t>.</w:t>
      </w:r>
    </w:p>
    <w:p w14:paraId="4679EDF7" w14:textId="77777777" w:rsidR="00D94935" w:rsidRDefault="00D94935" w:rsidP="00D94935">
      <w:pPr>
        <w:pStyle w:val="Amain"/>
      </w:pPr>
      <w:r>
        <w:tab/>
        <w:t>(4)</w:t>
      </w:r>
      <w:r>
        <w:tab/>
        <w:t>The application to the Court of Appeal must be filed not later than 14 days after the day the convicted person is told about the registrar’s decision.</w:t>
      </w:r>
    </w:p>
    <w:p w14:paraId="4EAAF7B1" w14:textId="77777777" w:rsidR="00D94935" w:rsidRDefault="00D94935" w:rsidP="00D94935">
      <w:pPr>
        <w:pStyle w:val="AH4SubDiv"/>
      </w:pPr>
      <w:bookmarkStart w:id="1519" w:name="_Toc185515135"/>
      <w:r>
        <w:lastRenderedPageBreak/>
        <w:t>Subdivision 5.4.7.3</w:t>
      </w:r>
      <w:r>
        <w:tab/>
        <w:t>Appeals to Court of Appeal—leave to appeal out of time by DPP</w:t>
      </w:r>
      <w:bookmarkEnd w:id="1519"/>
    </w:p>
    <w:p w14:paraId="0FED2EC6" w14:textId="77777777" w:rsidR="00D94935" w:rsidRDefault="00D94935" w:rsidP="00D94935">
      <w:pPr>
        <w:pStyle w:val="AH5Sec"/>
      </w:pPr>
      <w:bookmarkStart w:id="1520" w:name="_Toc185515136"/>
      <w:r w:rsidRPr="00C8328B">
        <w:rPr>
          <w:rStyle w:val="CharSectNo"/>
        </w:rPr>
        <w:t>5520</w:t>
      </w:r>
      <w:r>
        <w:tab/>
        <w:t>Application of div 5.4.3 to certain appeals by DPP</w:t>
      </w:r>
      <w:bookmarkEnd w:id="1520"/>
    </w:p>
    <w:p w14:paraId="192823DF" w14:textId="77777777"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14:paraId="33F4CF7F" w14:textId="77777777" w:rsidR="00D94935" w:rsidRDefault="00D94935" w:rsidP="00D94935">
      <w:pPr>
        <w:pStyle w:val="Apara"/>
      </w:pPr>
      <w:r>
        <w:tab/>
        <w:t>(a)</w:t>
      </w:r>
      <w:r>
        <w:tab/>
        <w:t>a reference to a final judgment were a reference to a sentence; and</w:t>
      </w:r>
    </w:p>
    <w:p w14:paraId="51C8F86D" w14:textId="77777777" w:rsidR="00D94935" w:rsidRDefault="00D94935" w:rsidP="00D94935">
      <w:pPr>
        <w:pStyle w:val="Apara"/>
      </w:pPr>
      <w:r>
        <w:tab/>
        <w:t>(b)</w:t>
      </w:r>
      <w:r>
        <w:tab/>
        <w:t>any other necessary changes were made.</w:t>
      </w:r>
    </w:p>
    <w:p w14:paraId="25EF5DC4" w14:textId="77777777" w:rsidR="00D94935" w:rsidRDefault="00D94935" w:rsidP="00D94935">
      <w:pPr>
        <w:pStyle w:val="AH4SubDiv"/>
      </w:pPr>
      <w:bookmarkStart w:id="1521" w:name="_Toc185515137"/>
      <w:r>
        <w:t>Subdivision 5.4.7.4</w:t>
      </w:r>
      <w:r>
        <w:tab/>
        <w:t>Appeals to Court of Appeal—convictions and sentences generally</w:t>
      </w:r>
      <w:bookmarkEnd w:id="1521"/>
    </w:p>
    <w:p w14:paraId="6AECFED1" w14:textId="77777777" w:rsidR="00D94935" w:rsidRDefault="00D94935" w:rsidP="00D94935">
      <w:pPr>
        <w:pStyle w:val="AH5Sec"/>
      </w:pPr>
      <w:bookmarkStart w:id="1522" w:name="_Toc185515138"/>
      <w:r w:rsidRPr="00C8328B">
        <w:rPr>
          <w:rStyle w:val="CharSectNo"/>
        </w:rPr>
        <w:t>5530</w:t>
      </w:r>
      <w:r>
        <w:tab/>
        <w:t>Appeals to Court of Appeal—treating application for leave to appeal out of time against conviction or sentence as appeal</w:t>
      </w:r>
      <w:bookmarkEnd w:id="1522"/>
    </w:p>
    <w:p w14:paraId="20F8973B" w14:textId="77777777"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14:paraId="7BCE7D49" w14:textId="77777777" w:rsidR="00D94935" w:rsidRDefault="00D94935" w:rsidP="00D94935">
      <w:pPr>
        <w:pStyle w:val="AH5Sec"/>
      </w:pPr>
      <w:bookmarkStart w:id="1523" w:name="_Toc185515139"/>
      <w:r w:rsidRPr="00C8328B">
        <w:rPr>
          <w:rStyle w:val="CharSectNo"/>
        </w:rPr>
        <w:t>5531</w:t>
      </w:r>
      <w:r>
        <w:tab/>
        <w:t>Appeals to Court of Appeal—grounds of appeal against conviction or sentence</w:t>
      </w:r>
      <w:bookmarkEnd w:id="1523"/>
    </w:p>
    <w:p w14:paraId="3BA944F8" w14:textId="77777777"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14:paraId="67C7A3DA" w14:textId="77777777" w:rsidR="00D94935" w:rsidRDefault="00D94935" w:rsidP="00D94935">
      <w:pPr>
        <w:pStyle w:val="Apara"/>
      </w:pPr>
      <w:r>
        <w:tab/>
        <w:t>(a)</w:t>
      </w:r>
      <w:r>
        <w:tab/>
        <w:t>a direction given by the trial judge;</w:t>
      </w:r>
    </w:p>
    <w:p w14:paraId="70E5C027" w14:textId="77777777" w:rsidR="00D94935" w:rsidRDefault="00D94935" w:rsidP="00D94935">
      <w:pPr>
        <w:pStyle w:val="Apara"/>
      </w:pPr>
      <w:r>
        <w:tab/>
        <w:t>(b)</w:t>
      </w:r>
      <w:r>
        <w:tab/>
        <w:t>the trial judge’s failure to give a direction;</w:t>
      </w:r>
    </w:p>
    <w:p w14:paraId="39098FD4" w14:textId="77777777" w:rsidR="00D94935" w:rsidRDefault="00D94935" w:rsidP="00D94935">
      <w:pPr>
        <w:pStyle w:val="Apara"/>
        <w:keepNext/>
      </w:pPr>
      <w:r>
        <w:lastRenderedPageBreak/>
        <w:tab/>
        <w:t>(c)</w:t>
      </w:r>
      <w:r>
        <w:tab/>
        <w:t>the trial judge’s decision about the admission or rejection of evidence.</w:t>
      </w:r>
    </w:p>
    <w:p w14:paraId="3EDF950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2640ACD" w14:textId="77777777" w:rsidR="00D94935" w:rsidRDefault="00D94935" w:rsidP="00D94935">
      <w:pPr>
        <w:pStyle w:val="AH5Sec"/>
      </w:pPr>
      <w:bookmarkStart w:id="1524" w:name="_Toc185515140"/>
      <w:r w:rsidRPr="00C8328B">
        <w:rPr>
          <w:rStyle w:val="CharSectNo"/>
        </w:rPr>
        <w:t>5532</w:t>
      </w:r>
      <w:r>
        <w:tab/>
        <w:t>Appeals to Court of Appeal—trial judge’s report for appeal against conviction or sentence</w:t>
      </w:r>
      <w:bookmarkEnd w:id="1524"/>
    </w:p>
    <w:p w14:paraId="72FF203A" w14:textId="77777777"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14:paraId="40845565" w14:textId="77777777"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14:paraId="2FCCD52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0198A90" w14:textId="77777777" w:rsidR="00D94935" w:rsidRDefault="00D94935" w:rsidP="00D94935">
      <w:pPr>
        <w:pStyle w:val="AH5Sec"/>
      </w:pPr>
      <w:bookmarkStart w:id="1525" w:name="_Toc185515141"/>
      <w:r w:rsidRPr="00C8328B">
        <w:rPr>
          <w:rStyle w:val="CharSectNo"/>
        </w:rPr>
        <w:t>5533</w:t>
      </w:r>
      <w:r>
        <w:tab/>
        <w:t>Appeals to Court of Appeal—service if convicted person in custody and unrepresented</w:t>
      </w:r>
      <w:bookmarkEnd w:id="1525"/>
    </w:p>
    <w:p w14:paraId="4EE590E6" w14:textId="77777777" w:rsidR="00D94935" w:rsidRDefault="00D94935" w:rsidP="00D94935">
      <w:pPr>
        <w:pStyle w:val="Amain"/>
      </w:pPr>
      <w:r>
        <w:tab/>
        <w:t>(1)</w:t>
      </w:r>
      <w:r>
        <w:tab/>
        <w:t>This rule applies to an application or appeal under this part in relation to a conviction or sentence if the convicted person—</w:t>
      </w:r>
    </w:p>
    <w:p w14:paraId="57F4B88C" w14:textId="77777777" w:rsidR="00D94935" w:rsidRDefault="00D94935" w:rsidP="00D94935">
      <w:pPr>
        <w:pStyle w:val="Apara"/>
      </w:pPr>
      <w:r>
        <w:tab/>
        <w:t>(a)</w:t>
      </w:r>
      <w:r>
        <w:tab/>
        <w:t>is in custody; and</w:t>
      </w:r>
    </w:p>
    <w:p w14:paraId="6258A966" w14:textId="77777777" w:rsidR="00D94935" w:rsidRDefault="00D94935" w:rsidP="00D94935">
      <w:pPr>
        <w:pStyle w:val="Apara"/>
      </w:pPr>
      <w:r>
        <w:tab/>
        <w:t>(b)</w:t>
      </w:r>
      <w:r>
        <w:tab/>
        <w:t>is not represented by a solicitor.</w:t>
      </w:r>
    </w:p>
    <w:p w14:paraId="7E67A663" w14:textId="77777777"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14:paraId="6967193A" w14:textId="77777777"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14:paraId="333FAA40" w14:textId="77777777" w:rsidR="00D94935" w:rsidRDefault="00D94935" w:rsidP="005E7DD1">
      <w:pPr>
        <w:pStyle w:val="Amain"/>
        <w:keepNext/>
      </w:pPr>
      <w:r>
        <w:lastRenderedPageBreak/>
        <w:tab/>
        <w:t>(4)</w:t>
      </w:r>
      <w:r>
        <w:tab/>
        <w:t>If a document mentioned in subrule (3) is served by the registrar, the document may be served—</w:t>
      </w:r>
    </w:p>
    <w:p w14:paraId="2C732D79" w14:textId="77777777" w:rsidR="00D94935" w:rsidRDefault="00D94935" w:rsidP="00D94935">
      <w:pPr>
        <w:pStyle w:val="Apara"/>
      </w:pPr>
      <w:r>
        <w:tab/>
        <w:t>(a)</w:t>
      </w:r>
      <w:r>
        <w:tab/>
        <w:t>by sending a copy by prepaid post to the place where the convicted person is in custody, addressed to the person in charge of the place; or</w:t>
      </w:r>
    </w:p>
    <w:p w14:paraId="59A434BA" w14:textId="77777777" w:rsidR="00D94935" w:rsidRDefault="00D94935" w:rsidP="00D94935">
      <w:pPr>
        <w:pStyle w:val="Apara"/>
      </w:pPr>
      <w:r>
        <w:tab/>
        <w:t>(b)</w:t>
      </w:r>
      <w:r>
        <w:tab/>
        <w:t>if the place has a postbox at a post office—by sending a copy by prepaid post to the postbox, addressed to the person in charge of the place; or</w:t>
      </w:r>
    </w:p>
    <w:p w14:paraId="0B879F23" w14:textId="77777777" w:rsidR="00D94935" w:rsidRDefault="00D94935" w:rsidP="00D94935">
      <w:pPr>
        <w:pStyle w:val="Apara"/>
      </w:pPr>
      <w:r>
        <w:tab/>
        <w:t>(c)</w:t>
      </w:r>
      <w:r>
        <w:tab/>
        <w:t>if the place has a fax machine—by sending a copy by fax to the place, addressed to the person in charge of the place; or</w:t>
      </w:r>
    </w:p>
    <w:p w14:paraId="6CF0B3D7" w14:textId="77777777"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14:paraId="69302CCC" w14:textId="77777777" w:rsidR="00D94935" w:rsidRDefault="00D94935" w:rsidP="00D94935">
      <w:pPr>
        <w:pStyle w:val="AH5Sec"/>
      </w:pPr>
      <w:bookmarkStart w:id="1526" w:name="_Toc185515142"/>
      <w:r w:rsidRPr="00C8328B">
        <w:rPr>
          <w:rStyle w:val="CharSectNo"/>
        </w:rPr>
        <w:t>5534</w:t>
      </w:r>
      <w:r>
        <w:tab/>
        <w:t>Appeals to Court of Appeal—written case and presence if convicted person appellant</w:t>
      </w:r>
      <w:bookmarkEnd w:id="1526"/>
    </w:p>
    <w:p w14:paraId="78338B50" w14:textId="77777777" w:rsidR="00D94935" w:rsidRDefault="00D94935" w:rsidP="00D94935">
      <w:pPr>
        <w:pStyle w:val="Amain"/>
      </w:pPr>
      <w:r>
        <w:tab/>
        <w:t>(1)</w:t>
      </w:r>
      <w:r>
        <w:tab/>
        <w:t>This rule applies to an application or appeal under this part in relation to a conviction or sentence if the convicted person is the applicant or appellant.</w:t>
      </w:r>
    </w:p>
    <w:p w14:paraId="6C7469E8" w14:textId="77777777"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14:paraId="490FCE36" w14:textId="77777777"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14:paraId="7E66BADD" w14:textId="77777777"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14:paraId="461BBAE7" w14:textId="77777777"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14:paraId="30DE0B42" w14:textId="77777777" w:rsidR="00D94935" w:rsidRDefault="00D94935" w:rsidP="00D94935">
      <w:pPr>
        <w:pStyle w:val="Amain"/>
        <w:keepNext/>
      </w:pPr>
      <w:r>
        <w:tab/>
        <w:t>(5)</w:t>
      </w:r>
      <w:r>
        <w:tab/>
        <w:t>The Court of Appeal may order that the convicted person be present—</w:t>
      </w:r>
    </w:p>
    <w:p w14:paraId="5162A690" w14:textId="77777777" w:rsidR="00D94935" w:rsidRDefault="00D94935" w:rsidP="00D94935">
      <w:pPr>
        <w:pStyle w:val="Apara"/>
      </w:pPr>
      <w:r>
        <w:tab/>
        <w:t>(a)</w:t>
      </w:r>
      <w:r>
        <w:tab/>
        <w:t>in person; or</w:t>
      </w:r>
    </w:p>
    <w:p w14:paraId="509CB602" w14:textId="77777777" w:rsidR="00D94935" w:rsidRDefault="00D94935" w:rsidP="00D94935">
      <w:pPr>
        <w:pStyle w:val="Apara"/>
      </w:pPr>
      <w:r>
        <w:tab/>
        <w:t>(b)</w:t>
      </w:r>
      <w:r>
        <w:tab/>
        <w:t>by audiovisual link or audio link.</w:t>
      </w:r>
    </w:p>
    <w:p w14:paraId="26FF4072" w14:textId="77777777" w:rsidR="00D94935" w:rsidRDefault="00D94935" w:rsidP="00D94935">
      <w:pPr>
        <w:pStyle w:val="Amain"/>
        <w:keepNext/>
      </w:pPr>
      <w:r>
        <w:tab/>
        <w:t>(6)</w:t>
      </w:r>
      <w:r>
        <w:tab/>
        <w:t>The Court of Appeal may make an order under this rule on application by a party to the application or appeal or on its own initiative.</w:t>
      </w:r>
    </w:p>
    <w:p w14:paraId="2958277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5EEAFBC" w14:textId="77777777" w:rsidR="00D94935" w:rsidRDefault="00D94935" w:rsidP="00D94935">
      <w:pPr>
        <w:pStyle w:val="AH5Sec"/>
      </w:pPr>
      <w:bookmarkStart w:id="1527" w:name="_Toc185515143"/>
      <w:r w:rsidRPr="00C8328B">
        <w:rPr>
          <w:rStyle w:val="CharSectNo"/>
        </w:rPr>
        <w:t>5535</w:t>
      </w:r>
      <w:r>
        <w:tab/>
        <w:t>Appeals to Court of Appeal—order for production of offender</w:t>
      </w:r>
      <w:bookmarkEnd w:id="1527"/>
    </w:p>
    <w:p w14:paraId="20D89F48" w14:textId="77777777"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14:paraId="31635AC8" w14:textId="77777777" w:rsidR="00D94935" w:rsidRDefault="00D94935" w:rsidP="00D94935">
      <w:pPr>
        <w:pStyle w:val="Apara"/>
      </w:pPr>
      <w:r>
        <w:tab/>
        <w:t>(a)</w:t>
      </w:r>
      <w:r>
        <w:tab/>
        <w:t>an order requiring the production of a person who is in custody;</w:t>
      </w:r>
    </w:p>
    <w:p w14:paraId="4B9E8B63" w14:textId="77777777" w:rsidR="00D94935" w:rsidRDefault="00D94935" w:rsidP="00D94935">
      <w:pPr>
        <w:pStyle w:val="Apara"/>
      </w:pPr>
      <w:r>
        <w:tab/>
        <w:t>(b)</w:t>
      </w:r>
      <w:r>
        <w:tab/>
        <w:t>an order about the continuing custody of a person who is in custody.</w:t>
      </w:r>
    </w:p>
    <w:p w14:paraId="1C5641EA" w14:textId="014B73E6"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700" w:history="1">
        <w:r w:rsidRPr="007B28C0">
          <w:rPr>
            <w:rStyle w:val="charCitHyperlinkAbbrev"/>
          </w:rPr>
          <w:t>AF2006-403</w:t>
        </w:r>
      </w:hyperlink>
      <w:r>
        <w:t>.</w:t>
      </w:r>
    </w:p>
    <w:p w14:paraId="342B6588" w14:textId="77777777" w:rsidR="00D94935" w:rsidRDefault="00D94935" w:rsidP="00D94935">
      <w:pPr>
        <w:pStyle w:val="Amain"/>
        <w:keepNext/>
      </w:pPr>
      <w:r>
        <w:tab/>
        <w:t>(2)</w:t>
      </w:r>
      <w:r>
        <w:tab/>
        <w:t>The Court of Appeal may order that the person in custody be produced—</w:t>
      </w:r>
    </w:p>
    <w:p w14:paraId="7FE2DCBB" w14:textId="77777777" w:rsidR="00D94935" w:rsidRDefault="00D94935" w:rsidP="00D94935">
      <w:pPr>
        <w:pStyle w:val="Apara"/>
      </w:pPr>
      <w:r>
        <w:tab/>
        <w:t>(a)</w:t>
      </w:r>
      <w:r>
        <w:tab/>
        <w:t>in person; or</w:t>
      </w:r>
    </w:p>
    <w:p w14:paraId="3D3AF954" w14:textId="77777777" w:rsidR="00D94935" w:rsidRDefault="00D94935" w:rsidP="00D94935">
      <w:pPr>
        <w:pStyle w:val="Apara"/>
      </w:pPr>
      <w:r>
        <w:tab/>
        <w:t>(b)</w:t>
      </w:r>
      <w:r>
        <w:tab/>
        <w:t>by audiovisual link or audio link.</w:t>
      </w:r>
    </w:p>
    <w:p w14:paraId="1A7BEE0D" w14:textId="77777777"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14:paraId="1F6816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73CCBA3" w14:textId="77777777" w:rsidR="00D94935" w:rsidRDefault="00D94935" w:rsidP="00D94935">
      <w:pPr>
        <w:pStyle w:val="AH5Sec"/>
      </w:pPr>
      <w:bookmarkStart w:id="1528" w:name="_Toc185515144"/>
      <w:r w:rsidRPr="00C8328B">
        <w:rPr>
          <w:rStyle w:val="CharSectNo"/>
        </w:rPr>
        <w:t>5536</w:t>
      </w:r>
      <w:r>
        <w:tab/>
        <w:t>Appeals to Court of Appeal—fine paid to be kept pending appeal</w:t>
      </w:r>
      <w:bookmarkEnd w:id="1528"/>
    </w:p>
    <w:p w14:paraId="725D25E5" w14:textId="77777777" w:rsidR="00D94935" w:rsidRDefault="00D94935" w:rsidP="00D94935">
      <w:pPr>
        <w:pStyle w:val="Amain"/>
      </w:pPr>
      <w:r>
        <w:tab/>
        <w:t>(1)</w:t>
      </w:r>
      <w:r>
        <w:tab/>
        <w:t>This rule applies if the convicted person for a conviction or sentence is sentenced to pay a fine.</w:t>
      </w:r>
    </w:p>
    <w:p w14:paraId="7A83C1CB" w14:textId="77777777"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14:paraId="2BAE6F79" w14:textId="77777777"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14:paraId="5DF74FF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73C4B7B6" w14:textId="77777777"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14:paraId="5CC8A54B" w14:textId="77777777" w:rsidR="00D94935" w:rsidRDefault="00D94935" w:rsidP="00D94935">
      <w:pPr>
        <w:pStyle w:val="Amain"/>
        <w:keepNext/>
      </w:pPr>
      <w:r>
        <w:tab/>
        <w:t>(5)</w:t>
      </w:r>
      <w:r>
        <w:tab/>
        <w:t>In this rule:</w:t>
      </w:r>
    </w:p>
    <w:p w14:paraId="187A28E8" w14:textId="77777777"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14:paraId="21800D05" w14:textId="77777777" w:rsidR="00D94935" w:rsidRDefault="00D94935" w:rsidP="005E7DD1">
      <w:pPr>
        <w:pStyle w:val="aExamHdgss"/>
      </w:pPr>
      <w:r>
        <w:t>Examples</w:t>
      </w:r>
    </w:p>
    <w:p w14:paraId="48805042" w14:textId="77777777" w:rsidR="00D94935" w:rsidRDefault="00D94935" w:rsidP="005E7DD1">
      <w:pPr>
        <w:pStyle w:val="aExamINumss"/>
        <w:keepNext/>
      </w:pPr>
      <w:r>
        <w:t>1</w:t>
      </w:r>
      <w:r>
        <w:tab/>
        <w:t>a financial penalty imposed by a court for an offence</w:t>
      </w:r>
    </w:p>
    <w:p w14:paraId="7D93CCD7" w14:textId="77777777" w:rsidR="00D94935" w:rsidRDefault="00D94935" w:rsidP="005E7DD1">
      <w:pPr>
        <w:pStyle w:val="aExamINumss"/>
        <w:keepNext/>
      </w:pPr>
      <w:r>
        <w:t>2</w:t>
      </w:r>
      <w:r>
        <w:tab/>
        <w:t>a fee or charge payable to the Territory that is imposed by a court in a proceeding for an offence</w:t>
      </w:r>
    </w:p>
    <w:p w14:paraId="2A263E48" w14:textId="77777777" w:rsidR="00D94935" w:rsidRDefault="00D94935" w:rsidP="00C35766">
      <w:pPr>
        <w:pStyle w:val="aExamINumss"/>
      </w:pPr>
      <w:r>
        <w:t>3</w:t>
      </w:r>
      <w:r>
        <w:tab/>
        <w:t>costs payable to the Territory under a court order in a proceeding for an offence</w:t>
      </w:r>
    </w:p>
    <w:p w14:paraId="09208454" w14:textId="020CFF32" w:rsidR="006D0511" w:rsidRPr="00255875" w:rsidRDefault="006D0511" w:rsidP="008F4C18">
      <w:pPr>
        <w:pStyle w:val="aExamINumss"/>
        <w:keepNext/>
        <w:rPr>
          <w:rStyle w:val="charItals"/>
        </w:rPr>
      </w:pPr>
      <w:r>
        <w:lastRenderedPageBreak/>
        <w:t>4</w:t>
      </w:r>
      <w:r>
        <w:tab/>
        <w:t xml:space="preserve">a levy imposed under the </w:t>
      </w:r>
      <w:hyperlink r:id="rId701" w:tooltip="A2016-12" w:history="1">
        <w:r w:rsidRPr="00255875">
          <w:rPr>
            <w:rStyle w:val="charCitHyperlinkItal"/>
          </w:rPr>
          <w:t>Victims of Crime (Financial Assistance) Act 2016</w:t>
        </w:r>
      </w:hyperlink>
    </w:p>
    <w:p w14:paraId="074155EC" w14:textId="635E4A19" w:rsidR="00D94935" w:rsidRDefault="00D94935" w:rsidP="00D94935">
      <w:pPr>
        <w:pStyle w:val="aExamINumss"/>
        <w:keepNext/>
      </w:pPr>
      <w:r>
        <w:t>5</w:t>
      </w:r>
      <w:r>
        <w:tab/>
        <w:t xml:space="preserve">an amount payable under a reparation order under the </w:t>
      </w:r>
      <w:hyperlink r:id="rId702"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14:paraId="7089E76B" w14:textId="77777777" w:rsidR="00D94935" w:rsidRDefault="00D94935" w:rsidP="00D94935">
      <w:pPr>
        <w:pStyle w:val="AH5Sec"/>
      </w:pPr>
      <w:bookmarkStart w:id="1529" w:name="_Toc185515145"/>
      <w:r w:rsidRPr="00C8328B">
        <w:rPr>
          <w:rStyle w:val="CharSectNo"/>
        </w:rPr>
        <w:t>5537</w:t>
      </w:r>
      <w:r>
        <w:tab/>
        <w:t>Appeals to Court of Appeal—solicitor’s instructions to act for convicted person ended</w:t>
      </w:r>
      <w:bookmarkEnd w:id="1529"/>
    </w:p>
    <w:p w14:paraId="757FE5E9" w14:textId="77777777" w:rsidR="00D94935" w:rsidRDefault="00D94935" w:rsidP="00D94935">
      <w:pPr>
        <w:pStyle w:val="Amain"/>
        <w:keepNext/>
      </w:pPr>
      <w:r>
        <w:tab/>
        <w:t>(1)</w:t>
      </w:r>
      <w:r>
        <w:tab/>
        <w:t>This rule applies to a solicitor if—</w:t>
      </w:r>
    </w:p>
    <w:p w14:paraId="4FBC39EB" w14:textId="6BF7147C" w:rsidR="006D0511" w:rsidRPr="00F51B1E" w:rsidRDefault="006D0511" w:rsidP="006D0511">
      <w:pPr>
        <w:pStyle w:val="Apara"/>
      </w:pPr>
      <w:r w:rsidRPr="00F51B1E">
        <w:tab/>
      </w:r>
      <w:r w:rsidRPr="00A90BEF">
        <w:t>(a)</w:t>
      </w:r>
      <w:r w:rsidRPr="00A90BEF">
        <w:tab/>
        <w:t>the solicitor for a convicted person is on the record in an application or appeal under this part in relation to a conviction or sentence; and</w:t>
      </w:r>
    </w:p>
    <w:p w14:paraId="1DB3C946" w14:textId="77777777" w:rsidR="00D94935" w:rsidRDefault="00D94935" w:rsidP="00D94935">
      <w:pPr>
        <w:pStyle w:val="Apara"/>
      </w:pPr>
      <w:r>
        <w:tab/>
        <w:t>(b)</w:t>
      </w:r>
      <w:r>
        <w:tab/>
        <w:t>the solicitor’s instructions to act for the convicted person are ended before—</w:t>
      </w:r>
    </w:p>
    <w:p w14:paraId="153D554E" w14:textId="77777777" w:rsidR="00D94935" w:rsidRDefault="00D94935" w:rsidP="00D94935">
      <w:pPr>
        <w:pStyle w:val="Asubpara"/>
      </w:pPr>
      <w:r>
        <w:tab/>
        <w:t>(i)</w:t>
      </w:r>
      <w:r>
        <w:tab/>
        <w:t>for an application—the application is decided; or</w:t>
      </w:r>
    </w:p>
    <w:p w14:paraId="6CFE40C3" w14:textId="77777777" w:rsidR="00D94935" w:rsidRDefault="00D94935" w:rsidP="00D94935">
      <w:pPr>
        <w:pStyle w:val="Asubpara"/>
      </w:pPr>
      <w:r>
        <w:tab/>
        <w:t>(ii)</w:t>
      </w:r>
      <w:r>
        <w:tab/>
        <w:t>for an appeal—judgment is given in the appeal.</w:t>
      </w:r>
    </w:p>
    <w:p w14:paraId="71077837" w14:textId="77777777" w:rsidR="00D94935" w:rsidRDefault="00D94935" w:rsidP="00D94935">
      <w:pPr>
        <w:pStyle w:val="Amain"/>
      </w:pPr>
      <w:r>
        <w:tab/>
        <w:t>(2)</w:t>
      </w:r>
      <w:r>
        <w:tab/>
        <w:t>The solicitor must—</w:t>
      </w:r>
    </w:p>
    <w:p w14:paraId="469BCE17" w14:textId="77777777" w:rsidR="00D94935" w:rsidRDefault="00D94935" w:rsidP="00D94935">
      <w:pPr>
        <w:pStyle w:val="Apara"/>
      </w:pPr>
      <w:r>
        <w:tab/>
        <w:t>(a)</w:t>
      </w:r>
      <w:r>
        <w:tab/>
        <w:t>file a notice stating that the solicitor is no longer acting for the convicted person; and</w:t>
      </w:r>
    </w:p>
    <w:p w14:paraId="623E28C9" w14:textId="77777777" w:rsidR="00D94935" w:rsidRDefault="00D94935" w:rsidP="005E7DD1">
      <w:pPr>
        <w:pStyle w:val="Apara"/>
        <w:keepNext/>
      </w:pPr>
      <w:r>
        <w:tab/>
        <w:t>(b)</w:t>
      </w:r>
      <w:r>
        <w:tab/>
        <w:t>serve a stamped copy of the notice on each party to the application or appeal (including the convicted person).</w:t>
      </w:r>
    </w:p>
    <w:p w14:paraId="05AF9E76" w14:textId="43766799" w:rsidR="00D94935" w:rsidRDefault="00D94935" w:rsidP="00D94935">
      <w:pPr>
        <w:pStyle w:val="aNote"/>
      </w:pPr>
      <w:r w:rsidRPr="006364FA">
        <w:rPr>
          <w:rStyle w:val="charItals"/>
        </w:rPr>
        <w:t>Note</w:t>
      </w:r>
      <w:r>
        <w:tab/>
        <w:t xml:space="preserve">See approved form 5.20 (Court of Appeal—notice of solicitor no longer acting) </w:t>
      </w:r>
      <w:hyperlink r:id="rId703" w:history="1">
        <w:r w:rsidRPr="007B28C0">
          <w:rPr>
            <w:rStyle w:val="charCitHyperlinkAbbrev"/>
          </w:rPr>
          <w:t>AF2006-404</w:t>
        </w:r>
      </w:hyperlink>
      <w:r>
        <w:t>.</w:t>
      </w:r>
    </w:p>
    <w:p w14:paraId="3D5EB683" w14:textId="77777777" w:rsidR="00D94935" w:rsidRDefault="00D94935" w:rsidP="00D94935">
      <w:pPr>
        <w:pStyle w:val="Amain"/>
      </w:pPr>
      <w:r>
        <w:tab/>
        <w:t>(3)</w:t>
      </w:r>
      <w:r>
        <w:tab/>
        <w:t>The solicitor must file and serve the notice as soon as practicable, but not later than 14 days after the day the solicitor’s instructions are ended.</w:t>
      </w:r>
    </w:p>
    <w:p w14:paraId="758C886B" w14:textId="77777777" w:rsidR="00D94935" w:rsidRDefault="00D94935" w:rsidP="00D94935">
      <w:pPr>
        <w:pStyle w:val="AH5Sec"/>
      </w:pPr>
      <w:bookmarkStart w:id="1530" w:name="_Toc185515146"/>
      <w:r w:rsidRPr="00C8328B">
        <w:rPr>
          <w:rStyle w:val="CharSectNo"/>
        </w:rPr>
        <w:lastRenderedPageBreak/>
        <w:t>5538</w:t>
      </w:r>
      <w:r>
        <w:tab/>
        <w:t>Appeals to Court of Appeal—solicitor wants to withdraw from acting for convicted person</w:t>
      </w:r>
      <w:bookmarkEnd w:id="1530"/>
    </w:p>
    <w:p w14:paraId="2B5A5FFE" w14:textId="77777777" w:rsidR="00D94935" w:rsidRDefault="00D94935" w:rsidP="00E87BCD">
      <w:pPr>
        <w:pStyle w:val="Amain"/>
        <w:keepNext/>
      </w:pPr>
      <w:r>
        <w:tab/>
        <w:t>(1)</w:t>
      </w:r>
      <w:r>
        <w:tab/>
        <w:t>This rule applies to a solicitor if—</w:t>
      </w:r>
    </w:p>
    <w:p w14:paraId="2551CE39" w14:textId="6D205549" w:rsidR="006D0511" w:rsidRPr="00F51B1E" w:rsidRDefault="006D0511" w:rsidP="006D0511">
      <w:pPr>
        <w:pStyle w:val="Apara"/>
      </w:pPr>
      <w:r w:rsidRPr="00F51B1E">
        <w:tab/>
      </w:r>
      <w:r w:rsidRPr="00A90BEF">
        <w:t>(a)</w:t>
      </w:r>
      <w:r w:rsidRPr="00A90BEF">
        <w:tab/>
        <w:t>the solicitor for a convicted person is on the record in an application or appeal under this part in relation to a conviction or sentence; and</w:t>
      </w:r>
    </w:p>
    <w:p w14:paraId="2ACBEC98" w14:textId="77777777" w:rsidR="00D94935" w:rsidRDefault="00D94935" w:rsidP="00D94935">
      <w:pPr>
        <w:pStyle w:val="Apara"/>
      </w:pPr>
      <w:r>
        <w:tab/>
        <w:t>(b)</w:t>
      </w:r>
      <w:r>
        <w:tab/>
        <w:t>the solicitor no longer wants to act for the convicted person in relation to the application or appeal.</w:t>
      </w:r>
    </w:p>
    <w:p w14:paraId="6C4044A1" w14:textId="77777777" w:rsidR="00D94935" w:rsidRDefault="00D94935" w:rsidP="00D94935">
      <w:pPr>
        <w:pStyle w:val="Amain"/>
      </w:pPr>
      <w:r>
        <w:tab/>
        <w:t>(2)</w:t>
      </w:r>
      <w:r>
        <w:tab/>
        <w:t>The solicitor must—</w:t>
      </w:r>
    </w:p>
    <w:p w14:paraId="7895C447" w14:textId="77777777" w:rsidR="00D94935" w:rsidRDefault="00D94935" w:rsidP="00D94935">
      <w:pPr>
        <w:pStyle w:val="Apara"/>
      </w:pPr>
      <w:r>
        <w:tab/>
        <w:t>(a)</w:t>
      </w:r>
      <w:r>
        <w:tab/>
        <w:t>file a notice stating that the solicitor intends to ask the Court of Appeal for leave to withdraw; and</w:t>
      </w:r>
    </w:p>
    <w:p w14:paraId="2497D84C" w14:textId="77777777" w:rsidR="00D94935" w:rsidRDefault="00D94935" w:rsidP="00D94935">
      <w:pPr>
        <w:pStyle w:val="Apara"/>
      </w:pPr>
      <w:r>
        <w:tab/>
        <w:t>(b)</w:t>
      </w:r>
      <w:r>
        <w:tab/>
        <w:t>serve a stamped copy of the notice on each party other than the convicted person; and</w:t>
      </w:r>
    </w:p>
    <w:p w14:paraId="7051A2DD" w14:textId="77777777" w:rsidR="00D94935" w:rsidRDefault="00D94935" w:rsidP="00D94935">
      <w:pPr>
        <w:pStyle w:val="Apara"/>
      </w:pPr>
      <w:r>
        <w:tab/>
        <w:t>(c)</w:t>
      </w:r>
      <w:r>
        <w:tab/>
        <w:t>serve a stamped copy of the notice on the convicted person personally, or by registered letter addressed to the person’s last-known address.</w:t>
      </w:r>
    </w:p>
    <w:p w14:paraId="06E1EE87" w14:textId="77777777" w:rsidR="00D94935" w:rsidRDefault="00D94935" w:rsidP="00D94935">
      <w:pPr>
        <w:pStyle w:val="Amain"/>
      </w:pPr>
      <w:r>
        <w:tab/>
        <w:t>(3)</w:t>
      </w:r>
      <w:r>
        <w:tab/>
        <w:t>The copies of the notice must be served as soon as possible after the notice is filed.</w:t>
      </w:r>
    </w:p>
    <w:p w14:paraId="2488566F" w14:textId="77777777" w:rsidR="00D94935" w:rsidRDefault="00D94935" w:rsidP="00D94935">
      <w:pPr>
        <w:pStyle w:val="Amain"/>
      </w:pPr>
      <w:r>
        <w:tab/>
        <w:t>(4)</w:t>
      </w:r>
      <w:r>
        <w:tab/>
        <w:t>The solicitor may withdraw from acting for the convicted person only with the Court of Appeal’s leave.</w:t>
      </w:r>
    </w:p>
    <w:p w14:paraId="1D68AC4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53A6E6DB" w14:textId="77777777" w:rsidR="00D94935" w:rsidRDefault="00D94935" w:rsidP="00D94935">
      <w:pPr>
        <w:pStyle w:val="Amain"/>
        <w:keepNext/>
      </w:pPr>
      <w:r>
        <w:tab/>
        <w:t>(5)</w:t>
      </w:r>
      <w:r>
        <w:tab/>
        <w:t>If the Court of Appeal gives the solicitor leave to withdraw, the solicitor must—</w:t>
      </w:r>
    </w:p>
    <w:p w14:paraId="44F33414" w14:textId="77777777" w:rsidR="00D94935" w:rsidRDefault="00D94935" w:rsidP="00D94935">
      <w:pPr>
        <w:pStyle w:val="Apara"/>
        <w:keepNext/>
      </w:pPr>
      <w:r>
        <w:tab/>
        <w:t>(a)</w:t>
      </w:r>
      <w:r>
        <w:tab/>
        <w:t>file a notice of withdrawal; and</w:t>
      </w:r>
    </w:p>
    <w:p w14:paraId="4121B8E9" w14:textId="017D0CDA"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704" w:history="1">
        <w:r w:rsidRPr="007B28C0">
          <w:rPr>
            <w:rStyle w:val="charCitHyperlinkAbbrev"/>
          </w:rPr>
          <w:t>AF2006-405</w:t>
        </w:r>
      </w:hyperlink>
      <w:r>
        <w:t>.</w:t>
      </w:r>
    </w:p>
    <w:p w14:paraId="45BF8DB9" w14:textId="77777777"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14:paraId="60ACCC32" w14:textId="77777777" w:rsidR="00D94935" w:rsidRDefault="00D94935" w:rsidP="00D94935">
      <w:pPr>
        <w:pStyle w:val="Apara"/>
      </w:pPr>
      <w:r>
        <w:tab/>
        <w:t>(c)</w:t>
      </w:r>
      <w:r>
        <w:tab/>
        <w:t>serve a stamped copy of the notice on the director of public prosecutions.</w:t>
      </w:r>
    </w:p>
    <w:p w14:paraId="602279C5" w14:textId="77777777" w:rsidR="00D94935" w:rsidRDefault="00D94935" w:rsidP="00D94935">
      <w:pPr>
        <w:pStyle w:val="AH5Sec"/>
      </w:pPr>
      <w:bookmarkStart w:id="1531" w:name="_Toc185515147"/>
      <w:r w:rsidRPr="00C8328B">
        <w:rPr>
          <w:rStyle w:val="CharSectNo"/>
        </w:rPr>
        <w:t>5539</w:t>
      </w:r>
      <w:r>
        <w:tab/>
        <w:t>Appeals to Court of Appeal—notification of result of appeal against conviction etc</w:t>
      </w:r>
      <w:bookmarkEnd w:id="1531"/>
    </w:p>
    <w:p w14:paraId="25A67214" w14:textId="77777777" w:rsidR="00D94935" w:rsidRDefault="00D94935" w:rsidP="00D94935">
      <w:pPr>
        <w:pStyle w:val="Amain"/>
        <w:keepNext/>
      </w:pPr>
      <w:r>
        <w:tab/>
        <w:t>(1)</w:t>
      </w:r>
      <w:r>
        <w:tab/>
        <w:t>For an application or appeal under this part in relation to a conviction or sentence, the registrar must give notice—</w:t>
      </w:r>
    </w:p>
    <w:p w14:paraId="7D73383D" w14:textId="77777777" w:rsidR="00D94935" w:rsidRDefault="00D94935" w:rsidP="00D94935">
      <w:pPr>
        <w:pStyle w:val="Apara"/>
      </w:pPr>
      <w:r>
        <w:tab/>
        <w:t>(a)</w:t>
      </w:r>
      <w:r>
        <w:tab/>
        <w:t>to each relevant person about the final decision made on the application or appeal; and</w:t>
      </w:r>
    </w:p>
    <w:p w14:paraId="4841673C" w14:textId="77777777" w:rsidR="00D94935" w:rsidRDefault="00D94935" w:rsidP="00D94935">
      <w:pPr>
        <w:pStyle w:val="Apara"/>
      </w:pPr>
      <w:r>
        <w:tab/>
        <w:t>(b)</w:t>
      </w:r>
      <w:r>
        <w:tab/>
        <w:t>to each party to the application or appeal, or anyone else the registrar considers appropriate, about an order made in relation to the application or appeal.</w:t>
      </w:r>
    </w:p>
    <w:p w14:paraId="10223201" w14:textId="77777777"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14:paraId="0AE5159A" w14:textId="77777777" w:rsidR="00D94935" w:rsidRDefault="00D94935" w:rsidP="00D94935">
      <w:pPr>
        <w:pStyle w:val="Amain"/>
      </w:pPr>
      <w:r>
        <w:tab/>
        <w:t>(3)</w:t>
      </w:r>
      <w:r>
        <w:tab/>
        <w:t>In this rule:</w:t>
      </w:r>
    </w:p>
    <w:p w14:paraId="117A6221" w14:textId="77777777" w:rsidR="00D94935" w:rsidRDefault="00D94935" w:rsidP="00D94935">
      <w:pPr>
        <w:pStyle w:val="aDef"/>
      </w:pPr>
      <w:r>
        <w:rPr>
          <w:rStyle w:val="charBoldItals"/>
        </w:rPr>
        <w:t>present</w:t>
      </w:r>
      <w:r>
        <w:t xml:space="preserve"> means—</w:t>
      </w:r>
    </w:p>
    <w:p w14:paraId="1F1353C6" w14:textId="77777777" w:rsidR="00D94935" w:rsidRDefault="00D94935" w:rsidP="00D94935">
      <w:pPr>
        <w:pStyle w:val="aDefpara"/>
      </w:pPr>
      <w:r>
        <w:tab/>
        <w:t>(a)</w:t>
      </w:r>
      <w:r>
        <w:tab/>
        <w:t>present in person; or</w:t>
      </w:r>
    </w:p>
    <w:p w14:paraId="438186DB" w14:textId="77777777" w:rsidR="00D94935" w:rsidRDefault="00D94935" w:rsidP="00D94935">
      <w:pPr>
        <w:pStyle w:val="aDefpara"/>
      </w:pPr>
      <w:r>
        <w:tab/>
        <w:t>(b)</w:t>
      </w:r>
      <w:r>
        <w:tab/>
        <w:t>present by audiovisual link or audio link.</w:t>
      </w:r>
    </w:p>
    <w:p w14:paraId="5B1F54AD" w14:textId="77777777" w:rsidR="00D94935" w:rsidRDefault="00D94935" w:rsidP="00D94935">
      <w:pPr>
        <w:pStyle w:val="aDef"/>
        <w:keepNext/>
      </w:pPr>
      <w:r>
        <w:rPr>
          <w:rStyle w:val="charBoldItals"/>
        </w:rPr>
        <w:t>relevant person</w:t>
      </w:r>
      <w:r>
        <w:t xml:space="preserve"> means—</w:t>
      </w:r>
    </w:p>
    <w:p w14:paraId="5C0057DF" w14:textId="77777777" w:rsidR="00D94935" w:rsidRPr="006364FA" w:rsidRDefault="00D94935" w:rsidP="00D94935">
      <w:pPr>
        <w:pStyle w:val="aDefpara"/>
        <w:keepNext/>
      </w:pPr>
      <w:r w:rsidRPr="006364FA">
        <w:tab/>
        <w:t>(a)</w:t>
      </w:r>
      <w:r w:rsidRPr="006364FA">
        <w:tab/>
      </w:r>
      <w:r>
        <w:t>a party to the application or appeal; or</w:t>
      </w:r>
    </w:p>
    <w:p w14:paraId="1437FCDA" w14:textId="77777777" w:rsidR="00D94935" w:rsidRDefault="00D94935" w:rsidP="00D94935">
      <w:pPr>
        <w:pStyle w:val="aDefpara"/>
      </w:pPr>
      <w:r>
        <w:tab/>
        <w:t>(b)</w:t>
      </w:r>
      <w:r>
        <w:tab/>
        <w:t>the judge who gave the order appealed from; or</w:t>
      </w:r>
    </w:p>
    <w:p w14:paraId="42EBEDD1" w14:textId="77777777" w:rsidR="00D94935" w:rsidRDefault="00D94935" w:rsidP="00D94935">
      <w:pPr>
        <w:pStyle w:val="aDefpara"/>
      </w:pPr>
      <w:r>
        <w:tab/>
        <w:t>(c)</w:t>
      </w:r>
      <w:r>
        <w:tab/>
        <w:t>anyone else the registrar considers appropriate.</w:t>
      </w:r>
    </w:p>
    <w:p w14:paraId="700F54B9" w14:textId="77777777" w:rsidR="00D94935" w:rsidRPr="00C8328B" w:rsidRDefault="00D94935" w:rsidP="00D94935">
      <w:pPr>
        <w:pStyle w:val="AH3Div"/>
      </w:pPr>
      <w:bookmarkStart w:id="1532" w:name="_Toc185515148"/>
      <w:r w:rsidRPr="00C8328B">
        <w:rPr>
          <w:rStyle w:val="CharDivNo"/>
        </w:rPr>
        <w:lastRenderedPageBreak/>
        <w:t>Division 5.4.8</w:t>
      </w:r>
      <w:r>
        <w:tab/>
      </w:r>
      <w:r w:rsidRPr="00C8328B">
        <w:rPr>
          <w:rStyle w:val="CharDivText"/>
        </w:rPr>
        <w:t>Appeals to Court of Appeal—miscellaneous</w:t>
      </w:r>
      <w:bookmarkEnd w:id="1532"/>
    </w:p>
    <w:p w14:paraId="17322955" w14:textId="77777777" w:rsidR="00D94935" w:rsidRDefault="00D94935" w:rsidP="00D94935">
      <w:pPr>
        <w:pStyle w:val="AH5Sec"/>
      </w:pPr>
      <w:bookmarkStart w:id="1533" w:name="_Toc185515149"/>
      <w:r w:rsidRPr="00C8328B">
        <w:rPr>
          <w:rStyle w:val="CharSectNo"/>
        </w:rPr>
        <w:t>5600</w:t>
      </w:r>
      <w:r>
        <w:tab/>
        <w:t>Appeals to Court of Appeal—power to amend proceedings in court below</w:t>
      </w:r>
      <w:bookmarkEnd w:id="1533"/>
    </w:p>
    <w:p w14:paraId="7A68598C" w14:textId="77777777" w:rsidR="00D94935" w:rsidRDefault="00D94935" w:rsidP="00D94935">
      <w:pPr>
        <w:pStyle w:val="Amainreturn"/>
      </w:pPr>
      <w:r>
        <w:t>The Court of Appeal may amend the proceeding in which the order appealed from under this part was made.</w:t>
      </w:r>
    </w:p>
    <w:p w14:paraId="10404E7E" w14:textId="77777777" w:rsidR="00D94935" w:rsidRDefault="00D94935" w:rsidP="00D94935">
      <w:pPr>
        <w:pStyle w:val="AH5Sec"/>
      </w:pPr>
      <w:bookmarkStart w:id="1534" w:name="_Toc185515150"/>
      <w:r w:rsidRPr="00C8328B">
        <w:rPr>
          <w:rStyle w:val="CharSectNo"/>
        </w:rPr>
        <w:t>5601</w:t>
      </w:r>
      <w:r>
        <w:tab/>
        <w:t>Appeals to Court of Appeal—expediting appeals etc</w:t>
      </w:r>
      <w:bookmarkEnd w:id="1534"/>
    </w:p>
    <w:p w14:paraId="0E0FEA5A" w14:textId="77777777" w:rsidR="00D94935" w:rsidRDefault="00D94935" w:rsidP="00D94935">
      <w:pPr>
        <w:pStyle w:val="Amain"/>
      </w:pPr>
      <w:r>
        <w:tab/>
        <w:t>(1)</w:t>
      </w:r>
      <w:r>
        <w:tab/>
        <w:t>The Court of Appeal may, at any time, make any order the Court of Appeal considers just to expedite an appeal or application under this part.</w:t>
      </w:r>
    </w:p>
    <w:p w14:paraId="139E497A" w14:textId="77777777"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14:paraId="3A758B7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4A73116B" w14:textId="77777777" w:rsidR="00D94935" w:rsidRDefault="00D94935" w:rsidP="00D94935">
      <w:pPr>
        <w:pStyle w:val="AH5Sec"/>
      </w:pPr>
      <w:bookmarkStart w:id="1535" w:name="_Toc185515151"/>
      <w:r w:rsidRPr="00C8328B">
        <w:rPr>
          <w:rStyle w:val="CharSectNo"/>
        </w:rPr>
        <w:t>5602</w:t>
      </w:r>
      <w:r>
        <w:tab/>
        <w:t>Appeals to Court of Appeal—directions about appeal etc</w:t>
      </w:r>
      <w:bookmarkEnd w:id="1535"/>
    </w:p>
    <w:p w14:paraId="3B700585" w14:textId="77777777"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14:paraId="53909C60" w14:textId="77777777" w:rsidR="00D94935" w:rsidRDefault="00D94935" w:rsidP="00D94935">
      <w:pPr>
        <w:pStyle w:val="Amain"/>
        <w:keepNext/>
      </w:pPr>
      <w:r>
        <w:tab/>
        <w:t>(2)</w:t>
      </w:r>
      <w:r>
        <w:tab/>
        <w:t>The Court of Appeal may give a direction under this rule on application by a party to the appeal or application or on its own initiative.</w:t>
      </w:r>
    </w:p>
    <w:p w14:paraId="6DCBFFA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461B1E94" w14:textId="77777777" w:rsidR="00D94935" w:rsidRDefault="00D94935" w:rsidP="00D94935">
      <w:pPr>
        <w:pStyle w:val="Amain"/>
      </w:pPr>
      <w:r>
        <w:tab/>
        <w:t>(3)</w:t>
      </w:r>
      <w:r>
        <w:tab/>
        <w:t>In deciding whether to give a direction under this rule, the interests of justice are paramount.</w:t>
      </w:r>
    </w:p>
    <w:p w14:paraId="1970F21A" w14:textId="77777777"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14:paraId="1D049D39" w14:textId="77777777" w:rsidR="00D94935" w:rsidRDefault="00D94935" w:rsidP="00D94935">
      <w:pPr>
        <w:pStyle w:val="Amain"/>
      </w:pPr>
      <w:r>
        <w:tab/>
        <w:t>(5)</w:t>
      </w:r>
      <w:r>
        <w:tab/>
        <w:t>The Court of Appeal may at any time amend or revoke a direction made under this rule on application by a party or on its own initiative.</w:t>
      </w:r>
    </w:p>
    <w:p w14:paraId="55105C03" w14:textId="77777777" w:rsidR="00D94935" w:rsidRDefault="00D94935" w:rsidP="00D94935">
      <w:pPr>
        <w:pStyle w:val="Amain"/>
        <w:keepNext/>
      </w:pPr>
      <w:r>
        <w:tab/>
        <w:t>(6)</w:t>
      </w:r>
      <w:r>
        <w:tab/>
        <w:t>The powers of the Court of Appeal under this rule are additional to any other powers of the Court of Appeal under a territory law.</w:t>
      </w:r>
    </w:p>
    <w:p w14:paraId="6FA6C3CA" w14:textId="2552E4AC"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05" w:tooltip="A2001-14" w:history="1">
        <w:r w:rsidRPr="006364FA">
          <w:rPr>
            <w:rStyle w:val="charCitHyperlinkAbbrev"/>
          </w:rPr>
          <w:t>Legislation Act</w:t>
        </w:r>
      </w:hyperlink>
      <w:r>
        <w:t>, s 98).</w:t>
      </w:r>
    </w:p>
    <w:p w14:paraId="6BB22161" w14:textId="77777777" w:rsidR="00D94935" w:rsidRDefault="00D94935" w:rsidP="00D94935">
      <w:pPr>
        <w:pStyle w:val="AH5Sec"/>
      </w:pPr>
      <w:bookmarkStart w:id="1536" w:name="_Toc185515152"/>
      <w:r w:rsidRPr="00C8328B">
        <w:rPr>
          <w:rStyle w:val="CharSectNo"/>
        </w:rPr>
        <w:t>5603</w:t>
      </w:r>
      <w:r>
        <w:tab/>
        <w:t>Appeals to Court of Appeal—want of prosecution of appeal</w:t>
      </w:r>
      <w:bookmarkEnd w:id="1536"/>
    </w:p>
    <w:p w14:paraId="2BB76FF7" w14:textId="77777777" w:rsidR="00D94935" w:rsidRDefault="00D94935" w:rsidP="00D94935">
      <w:pPr>
        <w:pStyle w:val="Amain"/>
        <w:keepNext/>
      </w:pPr>
      <w:r>
        <w:tab/>
        <w:t>(1)</w:t>
      </w:r>
      <w:r>
        <w:tab/>
        <w:t>In this rule:</w:t>
      </w:r>
    </w:p>
    <w:p w14:paraId="374F1599" w14:textId="77777777" w:rsidR="00D94935" w:rsidRDefault="00D94935" w:rsidP="00D94935">
      <w:pPr>
        <w:pStyle w:val="aDef"/>
        <w:keepNext/>
      </w:pPr>
      <w:r>
        <w:rPr>
          <w:rStyle w:val="charBoldItals"/>
        </w:rPr>
        <w:t>appeal</w:t>
      </w:r>
      <w:r>
        <w:t xml:space="preserve"> means—</w:t>
      </w:r>
    </w:p>
    <w:p w14:paraId="6FFC5144" w14:textId="77777777" w:rsidR="00D94935" w:rsidRDefault="00D94935" w:rsidP="00D94935">
      <w:pPr>
        <w:pStyle w:val="aDefpara"/>
      </w:pPr>
      <w:r>
        <w:tab/>
        <w:t>(a)</w:t>
      </w:r>
      <w:r>
        <w:tab/>
        <w:t>an application for further time to apply for leave to appeal under this part; or</w:t>
      </w:r>
    </w:p>
    <w:p w14:paraId="3DC690DE" w14:textId="77777777" w:rsidR="00D94935" w:rsidRDefault="00D94935" w:rsidP="00D94935">
      <w:pPr>
        <w:pStyle w:val="aDefpara"/>
      </w:pPr>
      <w:r>
        <w:tab/>
        <w:t>(b)</w:t>
      </w:r>
      <w:r>
        <w:tab/>
        <w:t>an appeal or application for leave to appeal (or leave to appeal out of time) under this part, and includes a convicted person’s application; or</w:t>
      </w:r>
    </w:p>
    <w:p w14:paraId="05B07589" w14:textId="77777777" w:rsidR="00D94935" w:rsidRDefault="00D94935" w:rsidP="00D94935">
      <w:pPr>
        <w:pStyle w:val="aDefpara"/>
      </w:pPr>
      <w:r>
        <w:tab/>
        <w:t>(c)</w:t>
      </w:r>
      <w:r>
        <w:tab/>
        <w:t>an application for leave to file a notice of appeal under rule 5405 (2) (Appeals to Court of Appeal—time for filing notice of appeal).</w:t>
      </w:r>
    </w:p>
    <w:p w14:paraId="5D99B6ED" w14:textId="77777777" w:rsidR="00D94935" w:rsidRDefault="00D94935" w:rsidP="00D94935">
      <w:pPr>
        <w:pStyle w:val="aDef"/>
        <w:keepNext/>
      </w:pPr>
      <w:r>
        <w:rPr>
          <w:rStyle w:val="charBoldItals"/>
        </w:rPr>
        <w:t>appellant</w:t>
      </w:r>
      <w:r>
        <w:t xml:space="preserve"> means—</w:t>
      </w:r>
    </w:p>
    <w:p w14:paraId="6D0B77BD" w14:textId="77777777" w:rsidR="00D94935" w:rsidRDefault="00D94935" w:rsidP="00D94935">
      <w:pPr>
        <w:pStyle w:val="aDefpara"/>
      </w:pPr>
      <w:r>
        <w:tab/>
        <w:t>(a)</w:t>
      </w:r>
      <w:r>
        <w:tab/>
        <w:t>a person applying for further time to apply for leave to appeal under this part; or</w:t>
      </w:r>
    </w:p>
    <w:p w14:paraId="6BFD7F19" w14:textId="77777777" w:rsidR="00D94935" w:rsidRDefault="00D94935" w:rsidP="00D94935">
      <w:pPr>
        <w:pStyle w:val="aDefpara"/>
      </w:pPr>
      <w:r>
        <w:tab/>
        <w:t>(b)</w:t>
      </w:r>
      <w:r>
        <w:tab/>
        <w:t>an applicant for leave to appeal (or leave to appeal out of time) under this part; or</w:t>
      </w:r>
    </w:p>
    <w:p w14:paraId="7701E295" w14:textId="77777777"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14:paraId="1E5E5BC0" w14:textId="77777777" w:rsidR="00D94935" w:rsidRDefault="00D94935" w:rsidP="00D94935">
      <w:pPr>
        <w:pStyle w:val="aDefpara"/>
      </w:pPr>
      <w:r>
        <w:lastRenderedPageBreak/>
        <w:tab/>
        <w:t>(d)</w:t>
      </w:r>
      <w:r>
        <w:tab/>
        <w:t>an applicant for leave to file a notice of appeal under rule 5405 (2); or</w:t>
      </w:r>
    </w:p>
    <w:p w14:paraId="24F2A4B3" w14:textId="77777777" w:rsidR="00D94935" w:rsidRDefault="00D94935" w:rsidP="00D94935">
      <w:pPr>
        <w:pStyle w:val="aDefpara"/>
      </w:pPr>
      <w:r>
        <w:tab/>
        <w:t>(e)</w:t>
      </w:r>
      <w:r>
        <w:tab/>
        <w:t>a person appealing under this part.</w:t>
      </w:r>
    </w:p>
    <w:p w14:paraId="0BA5399A" w14:textId="77777777"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5C9F82DD" w14:textId="77777777" w:rsidR="00D94935" w:rsidRDefault="00D94935" w:rsidP="00D94935">
      <w:pPr>
        <w:pStyle w:val="Amain"/>
      </w:pPr>
      <w:r>
        <w:tab/>
        <w:t>(2)</w:t>
      </w:r>
      <w:r>
        <w:tab/>
        <w:t>This rule applies if an appellant—</w:t>
      </w:r>
    </w:p>
    <w:p w14:paraId="6E6C41C8" w14:textId="77777777" w:rsidR="00D94935" w:rsidRDefault="00D94935" w:rsidP="00D94935">
      <w:pPr>
        <w:pStyle w:val="Apara"/>
      </w:pPr>
      <w:r>
        <w:tab/>
        <w:t>(a)</w:t>
      </w:r>
      <w:r>
        <w:tab/>
        <w:t>has not done anything required to be done under these rules during a period of 3 months after the day the requirement arises; or</w:t>
      </w:r>
    </w:p>
    <w:p w14:paraId="4A248C44"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7725FB38" w14:textId="77777777" w:rsidR="00D94935" w:rsidRDefault="00D94935" w:rsidP="00D94935">
      <w:pPr>
        <w:pStyle w:val="Amain"/>
      </w:pPr>
      <w:r>
        <w:tab/>
        <w:t>(3)</w:t>
      </w:r>
      <w:r>
        <w:tab/>
        <w:t>The Court of Appeal may—</w:t>
      </w:r>
    </w:p>
    <w:p w14:paraId="0723907A" w14:textId="77777777" w:rsidR="00D94935" w:rsidRDefault="00D94935" w:rsidP="00D94935">
      <w:pPr>
        <w:pStyle w:val="Apara"/>
      </w:pPr>
      <w:r>
        <w:tab/>
        <w:t>(a)</w:t>
      </w:r>
      <w:r>
        <w:tab/>
        <w:t>order that the appeal be dismissed for want of prosecution and confirm the order appealed from; or</w:t>
      </w:r>
    </w:p>
    <w:p w14:paraId="7A6A58FB" w14:textId="77777777" w:rsidR="00D94935" w:rsidRDefault="00D94935" w:rsidP="005E7DD1">
      <w:pPr>
        <w:pStyle w:val="Apara"/>
        <w:keepNext/>
      </w:pPr>
      <w:r>
        <w:tab/>
        <w:t>(b)</w:t>
      </w:r>
      <w:r>
        <w:tab/>
        <w:t>on its own initiative, set a time for the doing of a thing required to be done in relation to the appeal and—</w:t>
      </w:r>
    </w:p>
    <w:p w14:paraId="5CE48C05" w14:textId="77777777"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14:paraId="46DC78F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1318FA04" w14:textId="77777777" w:rsidR="00D94935" w:rsidRDefault="00D94935" w:rsidP="00D94935">
      <w:pPr>
        <w:pStyle w:val="Apara"/>
      </w:pPr>
      <w:r>
        <w:tab/>
        <w:t>(c)</w:t>
      </w:r>
      <w:r>
        <w:tab/>
        <w:t>make any other order the Court of Appeal considers just.</w:t>
      </w:r>
    </w:p>
    <w:p w14:paraId="403C28F8" w14:textId="77777777"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14:paraId="5EFC90CD"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1A4BF918" w14:textId="77777777" w:rsidR="00D94935" w:rsidRDefault="00D94935" w:rsidP="00D94935">
      <w:pPr>
        <w:pStyle w:val="Amain"/>
      </w:pPr>
      <w:r>
        <w:tab/>
        <w:t>(5)</w:t>
      </w:r>
      <w:r>
        <w:tab/>
        <w:t>On the hearing of the application, the Court of Appeal may make an order mentioned in subrule (3).</w:t>
      </w:r>
    </w:p>
    <w:p w14:paraId="6F9FC16B"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5ECC0C72" w14:textId="77777777" w:rsidR="00D94935" w:rsidRDefault="00D94935" w:rsidP="00D94935">
      <w:pPr>
        <w:pStyle w:val="AH5Sec"/>
      </w:pPr>
      <w:bookmarkStart w:id="1537" w:name="_Toc185515153"/>
      <w:r w:rsidRPr="00C8328B">
        <w:rPr>
          <w:rStyle w:val="CharSectNo"/>
        </w:rPr>
        <w:t>5604</w:t>
      </w:r>
      <w:r>
        <w:tab/>
        <w:t>When Court of Appeal may be constituted by single judge—</w:t>
      </w:r>
      <w:r w:rsidRPr="006364FA">
        <w:rPr>
          <w:rFonts w:cs="Arial"/>
        </w:rPr>
        <w:t>Supreme Court Act 1933</w:t>
      </w:r>
      <w:r>
        <w:t>, s 37J (1) (h)</w:t>
      </w:r>
      <w:bookmarkEnd w:id="1537"/>
    </w:p>
    <w:p w14:paraId="550664E1" w14:textId="77777777"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14:paraId="7158E20E" w14:textId="77777777" w:rsidR="00D94935" w:rsidRDefault="00D94935" w:rsidP="00D94935">
      <w:pPr>
        <w:pStyle w:val="Apara"/>
      </w:pPr>
      <w:r>
        <w:tab/>
        <w:t>(a)</w:t>
      </w:r>
      <w:r>
        <w:tab/>
        <w:t>the appeal is incompetent;</w:t>
      </w:r>
    </w:p>
    <w:p w14:paraId="79E51683" w14:textId="77777777" w:rsidR="00D94935" w:rsidRDefault="00D94935" w:rsidP="00D94935">
      <w:pPr>
        <w:pStyle w:val="Apara"/>
      </w:pPr>
      <w:r>
        <w:tab/>
        <w:t>(b)</w:t>
      </w:r>
      <w:r>
        <w:tab/>
        <w:t>the notice of appeal does not contain any coherent or arguable ground of appeal;</w:t>
      </w:r>
    </w:p>
    <w:p w14:paraId="649DA14A" w14:textId="77777777" w:rsidR="00D94935" w:rsidRDefault="00D94935" w:rsidP="00D94935">
      <w:pPr>
        <w:pStyle w:val="Apara"/>
      </w:pPr>
      <w:r>
        <w:tab/>
        <w:t>(c)</w:t>
      </w:r>
      <w:r>
        <w:tab/>
        <w:t>the appellant has failed to comply with any relevant rules of court or practice note;</w:t>
      </w:r>
    </w:p>
    <w:p w14:paraId="0E417DE9" w14:textId="77777777" w:rsidR="00D94935" w:rsidRDefault="00D94935" w:rsidP="00D94935">
      <w:pPr>
        <w:pStyle w:val="Apara"/>
      </w:pPr>
      <w:r>
        <w:tab/>
        <w:t>(d)</w:t>
      </w:r>
      <w:r>
        <w:tab/>
        <w:t>the appellant has failed to comply with a direction of the Court of Appeal;</w:t>
      </w:r>
    </w:p>
    <w:p w14:paraId="018807F3" w14:textId="77777777" w:rsidR="00D94935" w:rsidRDefault="00D94935" w:rsidP="00D94935">
      <w:pPr>
        <w:pStyle w:val="Apara"/>
      </w:pPr>
      <w:r>
        <w:tab/>
        <w:t>(e)</w:t>
      </w:r>
      <w:r>
        <w:tab/>
        <w:t>the appellant has failed to provide security for costs in accordance with an order of the Court of Appeal.</w:t>
      </w:r>
    </w:p>
    <w:p w14:paraId="5AA5A082" w14:textId="77777777" w:rsidR="00D94935" w:rsidRDefault="00D94935" w:rsidP="00D94935">
      <w:pPr>
        <w:pStyle w:val="AH5Sec"/>
      </w:pPr>
      <w:bookmarkStart w:id="1538" w:name="_Toc185515154"/>
      <w:r w:rsidRPr="00C8328B">
        <w:rPr>
          <w:rStyle w:val="CharSectNo"/>
        </w:rPr>
        <w:lastRenderedPageBreak/>
        <w:t>5605</w:t>
      </w:r>
      <w:r>
        <w:tab/>
        <w:t>Jurisdiction of Court of Appeal that may be exercised by single judge—Supreme Court Act 1933, s 37J (3)</w:t>
      </w:r>
      <w:bookmarkEnd w:id="1538"/>
    </w:p>
    <w:p w14:paraId="1F0B9404" w14:textId="77777777" w:rsidR="00D94935" w:rsidRDefault="00D94935" w:rsidP="00D94935">
      <w:pPr>
        <w:pStyle w:val="Amainreturn"/>
        <w:keepNext/>
      </w:pPr>
      <w:r>
        <w:t>The jurisdiction and powers of the Court of Appeal may be exercised by a single judge in the following proceedings:</w:t>
      </w:r>
    </w:p>
    <w:p w14:paraId="1A3A14E7" w14:textId="77777777"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14:paraId="4140A547" w14:textId="77777777" w:rsidR="00D94935" w:rsidRDefault="00D94935" w:rsidP="00D94935">
      <w:pPr>
        <w:pStyle w:val="Apara"/>
      </w:pPr>
      <w:r>
        <w:tab/>
        <w:t>(b)</w:t>
      </w:r>
      <w:r>
        <w:tab/>
        <w:t>an application by the applicant under rule 5510 (3) (b).</w:t>
      </w:r>
    </w:p>
    <w:p w14:paraId="681179F2" w14:textId="77777777" w:rsidR="00D94935" w:rsidRDefault="00D94935" w:rsidP="00D94935">
      <w:pPr>
        <w:pStyle w:val="AH5Sec"/>
      </w:pPr>
      <w:bookmarkStart w:id="1539" w:name="_Toc185515155"/>
      <w:r w:rsidRPr="00C8328B">
        <w:rPr>
          <w:rStyle w:val="CharSectNo"/>
        </w:rPr>
        <w:t>5606</w:t>
      </w:r>
      <w:r>
        <w:tab/>
        <w:t>Appeals to Court of Appeal—further evidence on appeal</w:t>
      </w:r>
      <w:bookmarkEnd w:id="1539"/>
    </w:p>
    <w:p w14:paraId="01801B00" w14:textId="77777777" w:rsidR="00D94935" w:rsidRDefault="00D94935" w:rsidP="00D94935">
      <w:pPr>
        <w:pStyle w:val="Amain"/>
        <w:keepNext/>
      </w:pPr>
      <w:r>
        <w:tab/>
        <w:t>(1)</w:t>
      </w:r>
      <w:r>
        <w:tab/>
        <w:t>This rule applies—</w:t>
      </w:r>
    </w:p>
    <w:p w14:paraId="2A987990" w14:textId="77777777"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14:paraId="367C4362" w14:textId="77777777" w:rsidR="00D94935" w:rsidRDefault="00D94935" w:rsidP="00D94935">
      <w:pPr>
        <w:pStyle w:val="Apara"/>
      </w:pPr>
      <w:r>
        <w:tab/>
        <w:t>(b)</w:t>
      </w:r>
      <w:r>
        <w:tab/>
        <w:t>unless the Court of Appeal otherwise orders.</w:t>
      </w:r>
    </w:p>
    <w:p w14:paraId="5831E32D" w14:textId="77777777" w:rsidR="00D94935" w:rsidRDefault="00D94935" w:rsidP="00D94935">
      <w:pPr>
        <w:pStyle w:val="Amain"/>
        <w:keepNext/>
      </w:pPr>
      <w:r>
        <w:tab/>
        <w:t>(2)</w:t>
      </w:r>
      <w:r>
        <w:tab/>
        <w:t>The application must be made on the hearing of the appeal.</w:t>
      </w:r>
    </w:p>
    <w:p w14:paraId="0CE50BF8"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A08DBAC" w14:textId="77777777" w:rsidR="00D94935" w:rsidRDefault="00D94935" w:rsidP="00D94935">
      <w:pPr>
        <w:pStyle w:val="Amain"/>
      </w:pPr>
      <w:r>
        <w:tab/>
        <w:t>(3)</w:t>
      </w:r>
      <w:r>
        <w:tab/>
        <w:t>Not later than 28 days before the day set for the start of the hearing of the appeal, the applicant must file 1 or more affidavits stating—</w:t>
      </w:r>
    </w:p>
    <w:p w14:paraId="50E02043" w14:textId="77777777" w:rsidR="00D94935" w:rsidRDefault="00D94935" w:rsidP="00D94935">
      <w:pPr>
        <w:pStyle w:val="Apara"/>
      </w:pPr>
      <w:r>
        <w:tab/>
        <w:t>(a)</w:t>
      </w:r>
      <w:r>
        <w:tab/>
        <w:t>the grounds of the application; and</w:t>
      </w:r>
    </w:p>
    <w:p w14:paraId="41428ED2" w14:textId="77777777" w:rsidR="00D94935" w:rsidRDefault="00D94935" w:rsidP="00D94935">
      <w:pPr>
        <w:pStyle w:val="Apara"/>
      </w:pPr>
      <w:r>
        <w:tab/>
        <w:t>(b)</w:t>
      </w:r>
      <w:r>
        <w:tab/>
        <w:t>any evidence necessary to establish the grounds of the application; and</w:t>
      </w:r>
    </w:p>
    <w:p w14:paraId="316DD805" w14:textId="77777777" w:rsidR="00D94935" w:rsidRDefault="00D94935" w:rsidP="00D94935">
      <w:pPr>
        <w:pStyle w:val="Apara"/>
      </w:pPr>
      <w:r>
        <w:tab/>
        <w:t>(c)</w:t>
      </w:r>
      <w:r>
        <w:tab/>
        <w:t>any evidence that the applicant wants the Court of Appeal to receive.</w:t>
      </w:r>
    </w:p>
    <w:p w14:paraId="5E050777" w14:textId="77777777"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14:paraId="01FC3D4C" w14:textId="77777777" w:rsidR="00D94935" w:rsidRDefault="00D94935" w:rsidP="00D94935">
      <w:pPr>
        <w:pStyle w:val="Amain"/>
      </w:pPr>
      <w:r>
        <w:lastRenderedPageBreak/>
        <w:tab/>
        <w:t>(5)</w:t>
      </w:r>
      <w:r>
        <w:tab/>
        <w:t>A party to the appeal must, not later than the time for the party to file an affidavit under this rule—</w:t>
      </w:r>
    </w:p>
    <w:p w14:paraId="44C830A6" w14:textId="77777777" w:rsidR="00D94935" w:rsidRDefault="00D94935" w:rsidP="00D94935">
      <w:pPr>
        <w:pStyle w:val="Apara"/>
      </w:pPr>
      <w:r>
        <w:tab/>
        <w:t>(a)</w:t>
      </w:r>
      <w:r>
        <w:tab/>
        <w:t>file the number of copies of the affidavit that the registrar directs; and</w:t>
      </w:r>
    </w:p>
    <w:p w14:paraId="4EFF384F" w14:textId="6ACB8D82" w:rsidR="00D94935" w:rsidRDefault="00D94935" w:rsidP="00D94935">
      <w:pPr>
        <w:pStyle w:val="Apara"/>
      </w:pPr>
      <w:r>
        <w:tab/>
        <w:t>(b)</w:t>
      </w:r>
      <w:r>
        <w:tab/>
        <w:t xml:space="preserve">serve </w:t>
      </w:r>
      <w:r w:rsidR="006002FA" w:rsidRPr="00C1177F">
        <w:t>a stamped copy</w:t>
      </w:r>
      <w:r>
        <w:t xml:space="preserve"> of the affidavit on each other party to the appeal.</w:t>
      </w:r>
    </w:p>
    <w:p w14:paraId="301FFDAD" w14:textId="77777777"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14:paraId="56539A8E" w14:textId="77777777"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14:paraId="605D2914"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0FDC8E4"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5310D0DB"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47294F7A"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16DAE712"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66DF58A8"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21590AF0" w14:textId="77777777" w:rsidR="00D94935" w:rsidRDefault="00D94935" w:rsidP="00D94935">
      <w:pPr>
        <w:pStyle w:val="AH5Sec"/>
      </w:pPr>
      <w:bookmarkStart w:id="1540" w:name="_Toc185515156"/>
      <w:r w:rsidRPr="00C8328B">
        <w:rPr>
          <w:rStyle w:val="CharSectNo"/>
        </w:rPr>
        <w:t>5607</w:t>
      </w:r>
      <w:r>
        <w:tab/>
        <w:t>Appeals to Court of Appeal—keeping exhibits</w:t>
      </w:r>
      <w:bookmarkEnd w:id="1540"/>
    </w:p>
    <w:p w14:paraId="70054DDC" w14:textId="77777777" w:rsidR="00D94935" w:rsidRDefault="00D94935" w:rsidP="005E7DD1">
      <w:pPr>
        <w:pStyle w:val="Amain"/>
        <w:keepNext/>
      </w:pPr>
      <w:r>
        <w:tab/>
        <w:t>(1)</w:t>
      </w:r>
      <w:r>
        <w:tab/>
        <w:t>This rule applies in relation to an appeal or application to the Court of Appeal under this part.</w:t>
      </w:r>
    </w:p>
    <w:p w14:paraId="1688E55D" w14:textId="77777777"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14:paraId="1CD3DEC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7154DE9" w14:textId="77777777" w:rsidR="00D94935" w:rsidRDefault="00D94935" w:rsidP="00D94935">
      <w:pPr>
        <w:pStyle w:val="Amain"/>
      </w:pPr>
      <w:r>
        <w:tab/>
        <w:t>(3)</w:t>
      </w:r>
      <w:r>
        <w:tab/>
        <w:t>However, the register may permit a document or thing to be removed from the registry in accordance with rule 6767 (Power to allow removal of exhibits etc).</w:t>
      </w:r>
    </w:p>
    <w:p w14:paraId="575A952C" w14:textId="77777777" w:rsidR="00D94935" w:rsidRDefault="00D94935" w:rsidP="00D94935">
      <w:pPr>
        <w:pStyle w:val="PageBreak"/>
      </w:pPr>
      <w:r>
        <w:br w:type="page"/>
      </w:r>
    </w:p>
    <w:p w14:paraId="4919954C" w14:textId="77777777" w:rsidR="00D94935" w:rsidRPr="00C8328B" w:rsidRDefault="00D94935" w:rsidP="00D94935">
      <w:pPr>
        <w:pStyle w:val="AH2Part"/>
      </w:pPr>
      <w:bookmarkStart w:id="1541" w:name="_Toc185515157"/>
      <w:r w:rsidRPr="00C8328B">
        <w:rPr>
          <w:rStyle w:val="CharPartNo"/>
        </w:rPr>
        <w:lastRenderedPageBreak/>
        <w:t>Part 5.5</w:t>
      </w:r>
      <w:r>
        <w:tab/>
      </w:r>
      <w:r w:rsidRPr="00C8328B">
        <w:rPr>
          <w:rStyle w:val="CharPartText"/>
        </w:rPr>
        <w:t>Orders to review Magistrates Court decisions</w:t>
      </w:r>
      <w:bookmarkEnd w:id="1541"/>
    </w:p>
    <w:p w14:paraId="7581560E" w14:textId="77777777" w:rsidR="00D94935" w:rsidRDefault="00D94935" w:rsidP="00D94935">
      <w:pPr>
        <w:pStyle w:val="Placeholder"/>
      </w:pPr>
      <w:r>
        <w:rPr>
          <w:rStyle w:val="CharDivNo"/>
        </w:rPr>
        <w:t xml:space="preserve">  </w:t>
      </w:r>
      <w:r>
        <w:rPr>
          <w:rStyle w:val="CharDivText"/>
        </w:rPr>
        <w:t xml:space="preserve">  </w:t>
      </w:r>
    </w:p>
    <w:p w14:paraId="7DCF41EE" w14:textId="77777777" w:rsidR="00D94935" w:rsidRDefault="00D94935" w:rsidP="00D94935">
      <w:pPr>
        <w:pStyle w:val="AH5Sec"/>
      </w:pPr>
      <w:bookmarkStart w:id="1542" w:name="_Toc185515158"/>
      <w:r w:rsidRPr="00C8328B">
        <w:rPr>
          <w:rStyle w:val="CharSectNo"/>
        </w:rPr>
        <w:t>5700</w:t>
      </w:r>
      <w:r>
        <w:tab/>
        <w:t xml:space="preserve">Meaning of </w:t>
      </w:r>
      <w:r w:rsidRPr="006364FA">
        <w:rPr>
          <w:rStyle w:val="charItals"/>
        </w:rPr>
        <w:t>review order</w:t>
      </w:r>
      <w:r>
        <w:t>—pt 5.5</w:t>
      </w:r>
      <w:bookmarkEnd w:id="1542"/>
    </w:p>
    <w:p w14:paraId="13214891" w14:textId="77777777" w:rsidR="00D94935" w:rsidRDefault="00D94935" w:rsidP="00D94935">
      <w:pPr>
        <w:pStyle w:val="Amainreturn"/>
        <w:keepNext/>
      </w:pPr>
      <w:r>
        <w:t>In this part:</w:t>
      </w:r>
    </w:p>
    <w:p w14:paraId="7EE994F3" w14:textId="4C50D39B"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706" w:tooltip="A1930-21" w:history="1">
        <w:r w:rsidRPr="006364FA">
          <w:rPr>
            <w:rStyle w:val="charCitHyperlinkItal"/>
          </w:rPr>
          <w:t>Magistrates Court Act 1930</w:t>
        </w:r>
      </w:hyperlink>
      <w:r>
        <w:t>, section 219B (Appeals by way of orders to review).</w:t>
      </w:r>
    </w:p>
    <w:p w14:paraId="620429E8" w14:textId="77777777" w:rsidR="00D94935" w:rsidRDefault="00D94935" w:rsidP="00D94935">
      <w:pPr>
        <w:pStyle w:val="AH5Sec"/>
      </w:pPr>
      <w:bookmarkStart w:id="1543" w:name="_Toc185515159"/>
      <w:r w:rsidRPr="00C8328B">
        <w:rPr>
          <w:rStyle w:val="CharSectNo"/>
        </w:rPr>
        <w:t>5701</w:t>
      </w:r>
      <w:r>
        <w:tab/>
        <w:t>Review orders—application for order</w:t>
      </w:r>
      <w:bookmarkEnd w:id="1543"/>
    </w:p>
    <w:p w14:paraId="54C89E65" w14:textId="77777777" w:rsidR="00D94935" w:rsidRDefault="00D94935" w:rsidP="00D94935">
      <w:pPr>
        <w:pStyle w:val="Amain"/>
      </w:pPr>
      <w:r>
        <w:tab/>
        <w:t>(1)</w:t>
      </w:r>
      <w:r>
        <w:tab/>
        <w:t>An application for a review order must be—</w:t>
      </w:r>
    </w:p>
    <w:p w14:paraId="2F715EDC" w14:textId="56797171" w:rsidR="00D94935" w:rsidRDefault="00D94935" w:rsidP="00D94935">
      <w:pPr>
        <w:pStyle w:val="Apara"/>
      </w:pPr>
      <w:r>
        <w:tab/>
        <w:t>(a)</w:t>
      </w:r>
      <w:r>
        <w:tab/>
        <w:t xml:space="preserve">made to the Supreme Court not later than the time mentioned in the </w:t>
      </w:r>
      <w:hyperlink r:id="rId707"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14:paraId="2B50F36B" w14:textId="77777777" w:rsidR="00D94935" w:rsidRDefault="00D94935" w:rsidP="00D94935">
      <w:pPr>
        <w:pStyle w:val="Apara"/>
      </w:pPr>
      <w:r>
        <w:tab/>
        <w:t>(b)</w:t>
      </w:r>
      <w:r>
        <w:tab/>
        <w:t>made without notice to another party; and</w:t>
      </w:r>
    </w:p>
    <w:p w14:paraId="5B970D03" w14:textId="77777777" w:rsidR="00D94935" w:rsidRDefault="00D94935" w:rsidP="00D94935">
      <w:pPr>
        <w:pStyle w:val="Apara"/>
      </w:pPr>
      <w:r>
        <w:rPr>
          <w:bCs/>
        </w:rPr>
        <w:tab/>
        <w:t>(c)</w:t>
      </w:r>
      <w:r>
        <w:rPr>
          <w:bCs/>
        </w:rPr>
        <w:tab/>
      </w:r>
      <w:r>
        <w:t>supported by an affidavit under rule 5702.</w:t>
      </w:r>
    </w:p>
    <w:p w14:paraId="4CDB0E52" w14:textId="77777777" w:rsidR="00D94935" w:rsidRDefault="00D94935" w:rsidP="00D94935">
      <w:pPr>
        <w:pStyle w:val="Amain"/>
      </w:pPr>
      <w:r>
        <w:tab/>
        <w:t>(2)</w:t>
      </w:r>
      <w:r>
        <w:tab/>
        <w:t>Part 6.2 (Applications in proceedings) applies to an application for a review order as if—</w:t>
      </w:r>
    </w:p>
    <w:p w14:paraId="0AC13EA7" w14:textId="77777777" w:rsidR="00D94935" w:rsidRDefault="00D94935" w:rsidP="00D94935">
      <w:pPr>
        <w:pStyle w:val="Apara"/>
      </w:pPr>
      <w:r>
        <w:tab/>
        <w:t>(a)</w:t>
      </w:r>
      <w:r>
        <w:tab/>
        <w:t>a reference to an application in a proceeding were a reference to an application for a review order; and</w:t>
      </w:r>
    </w:p>
    <w:p w14:paraId="328D3E7F" w14:textId="77777777" w:rsidR="00D94935" w:rsidRDefault="00D94935" w:rsidP="00D94935">
      <w:pPr>
        <w:pStyle w:val="Apara"/>
      </w:pPr>
      <w:r>
        <w:tab/>
        <w:t>(b)</w:t>
      </w:r>
      <w:r>
        <w:tab/>
        <w:t>any other necessary changes were made.</w:t>
      </w:r>
    </w:p>
    <w:p w14:paraId="6FA35FF5" w14:textId="77777777"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14:paraId="69A52154" w14:textId="77777777" w:rsidR="00D94935" w:rsidRDefault="00D94935" w:rsidP="00D94935">
      <w:pPr>
        <w:pStyle w:val="AH5Sec"/>
      </w:pPr>
      <w:bookmarkStart w:id="1544" w:name="_Toc185515160"/>
      <w:r w:rsidRPr="00C8328B">
        <w:rPr>
          <w:rStyle w:val="CharSectNo"/>
        </w:rPr>
        <w:lastRenderedPageBreak/>
        <w:t>5702</w:t>
      </w:r>
      <w:r>
        <w:tab/>
        <w:t>Review orders—affidavits</w:t>
      </w:r>
      <w:bookmarkEnd w:id="1544"/>
    </w:p>
    <w:p w14:paraId="7EFC7FEF" w14:textId="77777777" w:rsidR="00D94935" w:rsidRDefault="00D94935" w:rsidP="00D94935">
      <w:pPr>
        <w:pStyle w:val="Amainreturn"/>
        <w:keepNext/>
      </w:pPr>
      <w:r>
        <w:t>The affidavit must set out—</w:t>
      </w:r>
    </w:p>
    <w:p w14:paraId="37C4EDA9" w14:textId="77777777" w:rsidR="00D94935" w:rsidRDefault="00D94935" w:rsidP="00D94935">
      <w:pPr>
        <w:pStyle w:val="Apara"/>
      </w:pPr>
      <w:r>
        <w:tab/>
        <w:t>(a)</w:t>
      </w:r>
      <w:r>
        <w:tab/>
        <w:t>the material circumstances; and</w:t>
      </w:r>
    </w:p>
    <w:p w14:paraId="18DE2D5C" w14:textId="77777777" w:rsidR="00D94935" w:rsidRDefault="00D94935" w:rsidP="00D94935">
      <w:pPr>
        <w:pStyle w:val="Apara"/>
      </w:pPr>
      <w:r>
        <w:tab/>
        <w:t>(b)</w:t>
      </w:r>
      <w:r>
        <w:tab/>
        <w:t>each statutory ground relied on; and</w:t>
      </w:r>
    </w:p>
    <w:p w14:paraId="1E7EE868" w14:textId="77777777" w:rsidR="00D94935" w:rsidRDefault="00D94935" w:rsidP="00D94935">
      <w:pPr>
        <w:pStyle w:val="Apara"/>
      </w:pPr>
      <w:r>
        <w:tab/>
        <w:t>(c)</w:t>
      </w:r>
      <w:r>
        <w:tab/>
        <w:t>a brief statement of the matter relied on for each ground.</w:t>
      </w:r>
    </w:p>
    <w:p w14:paraId="05A6AA49" w14:textId="77777777" w:rsidR="00D94935" w:rsidRDefault="00D94935" w:rsidP="00D94935">
      <w:pPr>
        <w:pStyle w:val="AH5Sec"/>
      </w:pPr>
      <w:bookmarkStart w:id="1545" w:name="_Toc185515161"/>
      <w:r w:rsidRPr="00C8328B">
        <w:rPr>
          <w:rStyle w:val="CharSectNo"/>
        </w:rPr>
        <w:t>5703</w:t>
      </w:r>
      <w:r>
        <w:tab/>
        <w:t>Review orders—service of applications</w:t>
      </w:r>
      <w:bookmarkEnd w:id="1545"/>
    </w:p>
    <w:p w14:paraId="65DF7774" w14:textId="77777777"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14:paraId="48F67B2D" w14:textId="77777777" w:rsidR="00D94935" w:rsidRDefault="00D94935" w:rsidP="00D94935">
      <w:pPr>
        <w:pStyle w:val="AH5Sec"/>
      </w:pPr>
      <w:bookmarkStart w:id="1546" w:name="_Toc185515162"/>
      <w:r w:rsidRPr="00C8328B">
        <w:rPr>
          <w:rStyle w:val="CharSectNo"/>
        </w:rPr>
        <w:t>5704</w:t>
      </w:r>
      <w:r>
        <w:tab/>
        <w:t>Review orders—parties</w:t>
      </w:r>
      <w:bookmarkEnd w:id="1546"/>
    </w:p>
    <w:p w14:paraId="32E0459D" w14:textId="77777777" w:rsidR="00D94935" w:rsidRDefault="00D94935" w:rsidP="00D94935">
      <w:pPr>
        <w:pStyle w:val="Amainreturn"/>
      </w:pPr>
      <w:r>
        <w:t>A party served with an application for a review order is entitled to be heard on the application.</w:t>
      </w:r>
    </w:p>
    <w:p w14:paraId="60DB70D3" w14:textId="77777777" w:rsidR="00D94935" w:rsidRDefault="00D94935" w:rsidP="00D94935">
      <w:pPr>
        <w:pStyle w:val="AH5Sec"/>
      </w:pPr>
      <w:bookmarkStart w:id="1547" w:name="_Toc185515163"/>
      <w:r w:rsidRPr="00C8328B">
        <w:rPr>
          <w:rStyle w:val="CharSectNo"/>
        </w:rPr>
        <w:t>5705</w:t>
      </w:r>
      <w:r>
        <w:tab/>
        <w:t>Review orders—service of review order</w:t>
      </w:r>
      <w:bookmarkEnd w:id="1547"/>
    </w:p>
    <w:p w14:paraId="5D8431DB" w14:textId="77777777"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14:paraId="33798B48" w14:textId="77777777" w:rsidR="00D94935" w:rsidRDefault="00D94935" w:rsidP="00D94935">
      <w:pPr>
        <w:pStyle w:val="Apara"/>
      </w:pPr>
      <w:r>
        <w:tab/>
        <w:t>(a)</w:t>
      </w:r>
      <w:r>
        <w:tab/>
        <w:t>served on each person called on by the order to show cause; and</w:t>
      </w:r>
    </w:p>
    <w:p w14:paraId="58E11223" w14:textId="77777777" w:rsidR="00D94935" w:rsidRDefault="00D94935" w:rsidP="00D94935">
      <w:pPr>
        <w:pStyle w:val="Apara"/>
      </w:pPr>
      <w:r>
        <w:tab/>
        <w:t>(b)</w:t>
      </w:r>
      <w:r>
        <w:tab/>
        <w:t>if the court orders service under rule 5703 (Review orders—service of applications) on anyone else—served on the person; and</w:t>
      </w:r>
    </w:p>
    <w:p w14:paraId="4D819F68" w14:textId="77777777"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14:paraId="00CD38B2" w14:textId="77777777" w:rsidR="00D94935" w:rsidRDefault="00D94935" w:rsidP="00D94935">
      <w:pPr>
        <w:pStyle w:val="Amain"/>
      </w:pPr>
      <w:r>
        <w:tab/>
        <w:t>(2)</w:t>
      </w:r>
      <w:r>
        <w:tab/>
        <w:t>The Supreme Court may allow further time under subrule (1) on application by a party or on its own initiative.</w:t>
      </w:r>
    </w:p>
    <w:p w14:paraId="5C04A4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39392FDC" w14:textId="77777777" w:rsidR="00D94935" w:rsidRDefault="00D94935" w:rsidP="00D94935">
      <w:pPr>
        <w:pStyle w:val="AH5Sec"/>
      </w:pPr>
      <w:bookmarkStart w:id="1548" w:name="_Toc185515164"/>
      <w:r w:rsidRPr="00C8328B">
        <w:rPr>
          <w:rStyle w:val="CharSectNo"/>
        </w:rPr>
        <w:lastRenderedPageBreak/>
        <w:t>5706</w:t>
      </w:r>
      <w:r>
        <w:tab/>
        <w:t>Review orders—notice of intention to respond to review order</w:t>
      </w:r>
      <w:bookmarkEnd w:id="1548"/>
    </w:p>
    <w:p w14:paraId="61EDDC98" w14:textId="77777777" w:rsidR="00D94935" w:rsidRDefault="00D94935" w:rsidP="00D94935">
      <w:pPr>
        <w:pStyle w:val="Amain"/>
      </w:pPr>
      <w:r>
        <w:tab/>
        <w:t>(1)</w:t>
      </w:r>
      <w:r>
        <w:tab/>
        <w:t>This rule applies if a person served with a review order wants to oppose the making absolute of the order, or be heard in that proceeding.</w:t>
      </w:r>
    </w:p>
    <w:p w14:paraId="7D348C9B" w14:textId="77777777"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14:paraId="64030AE5" w14:textId="77777777" w:rsidR="00D94935" w:rsidRDefault="00D94935" w:rsidP="00D94935">
      <w:pPr>
        <w:pStyle w:val="Apara"/>
      </w:pPr>
      <w:r>
        <w:tab/>
        <w:t>(a)</w:t>
      </w:r>
      <w:r>
        <w:tab/>
        <w:t>the order were an originating application; and</w:t>
      </w:r>
    </w:p>
    <w:p w14:paraId="63C5E54E" w14:textId="77777777" w:rsidR="00D94935" w:rsidRDefault="00D94935" w:rsidP="00D94935">
      <w:pPr>
        <w:pStyle w:val="Apara"/>
      </w:pPr>
      <w:r>
        <w:tab/>
        <w:t>(b)</w:t>
      </w:r>
      <w:r>
        <w:tab/>
        <w:t>the person were a defendant; and</w:t>
      </w:r>
    </w:p>
    <w:p w14:paraId="39FAD3AD" w14:textId="77777777" w:rsidR="00D94935" w:rsidRDefault="00D94935" w:rsidP="00D94935">
      <w:pPr>
        <w:pStyle w:val="Apara"/>
      </w:pPr>
      <w:r>
        <w:tab/>
        <w:t>(c)</w:t>
      </w:r>
      <w:r>
        <w:tab/>
        <w:t>the applicant for the order were the plaintiff; and</w:t>
      </w:r>
    </w:p>
    <w:p w14:paraId="669774BA" w14:textId="77777777" w:rsidR="00D94935" w:rsidRDefault="00D94935" w:rsidP="00D94935">
      <w:pPr>
        <w:pStyle w:val="Apara"/>
      </w:pPr>
      <w:r>
        <w:tab/>
        <w:t>(d)</w:t>
      </w:r>
      <w:r>
        <w:tab/>
        <w:t>any other necessary changes were made.</w:t>
      </w:r>
    </w:p>
    <w:p w14:paraId="5B65FE74" w14:textId="77777777" w:rsidR="00D94935" w:rsidRDefault="00D94935" w:rsidP="00D94935">
      <w:pPr>
        <w:pStyle w:val="AH5Sec"/>
      </w:pPr>
      <w:bookmarkStart w:id="1549" w:name="_Toc185515165"/>
      <w:r w:rsidRPr="00C8328B">
        <w:rPr>
          <w:rStyle w:val="CharSectNo"/>
        </w:rPr>
        <w:t>5707</w:t>
      </w:r>
      <w:r>
        <w:tab/>
        <w:t>Review orders—security for costs</w:t>
      </w:r>
      <w:bookmarkEnd w:id="1549"/>
    </w:p>
    <w:p w14:paraId="72DF7DC8" w14:textId="3E3514F7" w:rsidR="00D94935" w:rsidRDefault="00D94935" w:rsidP="00D94935">
      <w:pPr>
        <w:pStyle w:val="Amain"/>
      </w:pPr>
      <w:r>
        <w:tab/>
        <w:t>(1)</w:t>
      </w:r>
      <w:r>
        <w:tab/>
        <w:t xml:space="preserve">This rule applies if the Supreme Court makes a review order under the </w:t>
      </w:r>
      <w:hyperlink r:id="rId708" w:tooltip="A1930-21" w:history="1">
        <w:r w:rsidRPr="006364FA">
          <w:rPr>
            <w:rStyle w:val="charCitHyperlinkItal"/>
          </w:rPr>
          <w:t>Magistrates Court Act 1930</w:t>
        </w:r>
      </w:hyperlink>
      <w:r>
        <w:t>, section 219C (2) (Grant of order</w:t>
      </w:r>
      <w:r w:rsidRPr="006364FA">
        <w:t xml:space="preserve"> </w:t>
      </w:r>
      <w:r>
        <w:t>nisi to review).</w:t>
      </w:r>
    </w:p>
    <w:p w14:paraId="02E9531A" w14:textId="77777777"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14:paraId="4C25C038" w14:textId="77777777" w:rsidR="00D94935" w:rsidRDefault="00D94935" w:rsidP="00D94935">
      <w:pPr>
        <w:pStyle w:val="Amain"/>
        <w:keepNext/>
      </w:pPr>
      <w:r>
        <w:tab/>
        <w:t>(3)</w:t>
      </w:r>
      <w:r>
        <w:tab/>
        <w:t>The security must be given not later than the time stated in the order or not later than any further time allowed by the Supreme Court.</w:t>
      </w:r>
    </w:p>
    <w:p w14:paraId="5F4C11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045737BE" w14:textId="77777777"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14:paraId="21021452" w14:textId="77777777"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14:paraId="67D24C47" w14:textId="77777777" w:rsidR="00D94935" w:rsidRDefault="00D94935" w:rsidP="00D94935">
      <w:pPr>
        <w:pStyle w:val="Apara"/>
      </w:pPr>
      <w:r>
        <w:tab/>
        <w:t>(a)</w:t>
      </w:r>
      <w:r>
        <w:tab/>
        <w:t>the applicant for the review order were the plaintiff; and</w:t>
      </w:r>
    </w:p>
    <w:p w14:paraId="09C52C5E" w14:textId="77777777" w:rsidR="00D94935" w:rsidRDefault="00D94935" w:rsidP="00D94935">
      <w:pPr>
        <w:pStyle w:val="Apara"/>
      </w:pPr>
      <w:r>
        <w:tab/>
        <w:t>(b)</w:t>
      </w:r>
      <w:r>
        <w:tab/>
        <w:t>the person called on to show cause by the review order were the defendant; and</w:t>
      </w:r>
    </w:p>
    <w:p w14:paraId="6C43CD31" w14:textId="77777777" w:rsidR="00D94935" w:rsidRDefault="00D94935" w:rsidP="00D94935">
      <w:pPr>
        <w:pStyle w:val="Apara"/>
      </w:pPr>
      <w:r>
        <w:tab/>
        <w:t>(c)</w:t>
      </w:r>
      <w:r>
        <w:tab/>
        <w:t>any other necessary changes were made.</w:t>
      </w:r>
    </w:p>
    <w:p w14:paraId="0023AFBD" w14:textId="77777777"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14:paraId="74199E87" w14:textId="77777777" w:rsidR="00D94935" w:rsidRDefault="00D94935" w:rsidP="00D94935">
      <w:pPr>
        <w:pStyle w:val="AH5Sec"/>
      </w:pPr>
      <w:bookmarkStart w:id="1550" w:name="_Toc185515166"/>
      <w:r w:rsidRPr="00C8328B">
        <w:rPr>
          <w:rStyle w:val="CharSectNo"/>
        </w:rPr>
        <w:t>5708</w:t>
      </w:r>
      <w:r>
        <w:tab/>
        <w:t>Review orders—stay</w:t>
      </w:r>
      <w:bookmarkEnd w:id="1550"/>
    </w:p>
    <w:p w14:paraId="15E39C14" w14:textId="55E9366F" w:rsidR="00D94935" w:rsidRDefault="00D94935" w:rsidP="00D94935">
      <w:pPr>
        <w:pStyle w:val="Amain"/>
      </w:pPr>
      <w:r>
        <w:tab/>
        <w:t>(1)</w:t>
      </w:r>
      <w:r>
        <w:tab/>
        <w:t xml:space="preserve">This rule applies if the Supreme Court makes a review order under the </w:t>
      </w:r>
      <w:hyperlink r:id="rId709" w:tooltip="A1930-21" w:history="1">
        <w:r w:rsidRPr="006364FA">
          <w:rPr>
            <w:rStyle w:val="charCitHyperlinkItal"/>
          </w:rPr>
          <w:t>Magistrates Court Act 1930</w:t>
        </w:r>
      </w:hyperlink>
      <w:r>
        <w:t>, section 219C (2) (Grant of order</w:t>
      </w:r>
      <w:r w:rsidRPr="006364FA">
        <w:t xml:space="preserve"> </w:t>
      </w:r>
      <w:r>
        <w:t>nisi to review).</w:t>
      </w:r>
    </w:p>
    <w:p w14:paraId="57E776DE" w14:textId="77777777" w:rsidR="00D94935" w:rsidRDefault="00D94935" w:rsidP="00D94935">
      <w:pPr>
        <w:pStyle w:val="Amain"/>
      </w:pPr>
      <w:r>
        <w:tab/>
        <w:t>(2)</w:t>
      </w:r>
      <w:r>
        <w:tab/>
        <w:t>The Supreme Court may—</w:t>
      </w:r>
    </w:p>
    <w:p w14:paraId="65C8070D" w14:textId="77777777" w:rsidR="00D94935" w:rsidRDefault="00D94935" w:rsidP="00D94935">
      <w:pPr>
        <w:pStyle w:val="Apara"/>
      </w:pPr>
      <w:r>
        <w:tab/>
        <w:t>(a)</w:t>
      </w:r>
      <w:r>
        <w:tab/>
        <w:t>order that the enforcement of the decision of the Magistrates Court be stayed pending the hearing of the review order; and</w:t>
      </w:r>
    </w:p>
    <w:p w14:paraId="45C366D9" w14:textId="4377A8E8" w:rsidR="00D94935" w:rsidRDefault="00D94935" w:rsidP="00D94935">
      <w:pPr>
        <w:pStyle w:val="Apara"/>
        <w:keepNext/>
      </w:pPr>
      <w:r>
        <w:tab/>
        <w:t>(b)</w:t>
      </w:r>
      <w:r>
        <w:tab/>
        <w:t xml:space="preserve">if the appellant is in custody and is not detained for any other reason—grant the appellant bail in accordance with the </w:t>
      </w:r>
      <w:hyperlink r:id="rId710" w:tooltip="A1992-8" w:history="1">
        <w:r w:rsidRPr="006364FA">
          <w:rPr>
            <w:rStyle w:val="charCitHyperlinkItal"/>
          </w:rPr>
          <w:t>Bail Act 1992</w:t>
        </w:r>
      </w:hyperlink>
      <w:r>
        <w:t>; and</w:t>
      </w:r>
    </w:p>
    <w:p w14:paraId="744D6699" w14:textId="4079DC62" w:rsidR="00D94935" w:rsidRDefault="00D94935" w:rsidP="00D94935">
      <w:pPr>
        <w:pStyle w:val="Apara"/>
      </w:pPr>
      <w:r>
        <w:tab/>
        <w:t>(c)</w:t>
      </w:r>
      <w:r>
        <w:tab/>
        <w:t xml:space="preserve">if the review order is made in relation to a decision of a kind mentioned in the </w:t>
      </w:r>
      <w:hyperlink r:id="rId711" w:tooltip="A1930-21" w:history="1">
        <w:r w:rsidRPr="006364FA">
          <w:rPr>
            <w:rStyle w:val="charCitHyperlinkItal"/>
          </w:rPr>
          <w:t>Magistrates Court Act 1930</w:t>
        </w:r>
      </w:hyperlink>
      <w:r>
        <w:t xml:space="preserve">, section 219B (1) (d) or (e) and, after making that decision, the Magistrates Court has, under the </w:t>
      </w:r>
      <w:hyperlink r:id="rId712"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14:paraId="5865FEA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14:paraId="5BE65ADA" w14:textId="42E7E03E"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13"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14:paraId="2F383A68" w14:textId="77777777" w:rsidR="00D94935" w:rsidRDefault="00D94935" w:rsidP="00D94935">
      <w:pPr>
        <w:pStyle w:val="AH5Sec"/>
      </w:pPr>
      <w:bookmarkStart w:id="1551" w:name="_Toc185515167"/>
      <w:r w:rsidRPr="00C8328B">
        <w:rPr>
          <w:rStyle w:val="CharSectNo"/>
        </w:rPr>
        <w:t>5709</w:t>
      </w:r>
      <w:r>
        <w:tab/>
        <w:t>Review orders—non-appearance of applicant</w:t>
      </w:r>
      <w:bookmarkEnd w:id="1551"/>
    </w:p>
    <w:p w14:paraId="1B258020" w14:textId="15E0DEF5" w:rsidR="00D94935" w:rsidRDefault="00D94935" w:rsidP="00D94935">
      <w:pPr>
        <w:pStyle w:val="Amainreturn"/>
      </w:pPr>
      <w:r>
        <w:t xml:space="preserve">If the person on whose application the review order has been made under the </w:t>
      </w:r>
      <w:hyperlink r:id="rId714"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14:paraId="08B10506" w14:textId="77777777" w:rsidR="00D94935" w:rsidRDefault="00D94935" w:rsidP="00D94935">
      <w:pPr>
        <w:pStyle w:val="AH5Sec"/>
      </w:pPr>
      <w:bookmarkStart w:id="1552" w:name="_Toc185515168"/>
      <w:r w:rsidRPr="00C8328B">
        <w:rPr>
          <w:rStyle w:val="CharSectNo"/>
        </w:rPr>
        <w:t>5710</w:t>
      </w:r>
      <w:r>
        <w:tab/>
        <w:t>Review orders—application to revoke review order</w:t>
      </w:r>
      <w:bookmarkEnd w:id="1552"/>
    </w:p>
    <w:p w14:paraId="0A1A6FE7" w14:textId="77777777" w:rsidR="00D94935" w:rsidRDefault="00D94935" w:rsidP="00D94935">
      <w:pPr>
        <w:pStyle w:val="Amain"/>
        <w:keepNext/>
      </w:pPr>
      <w:r>
        <w:tab/>
        <w:t>(1)</w:t>
      </w:r>
      <w:r>
        <w:tab/>
        <w:t>An application to revoke a review order must be supported by affidavit.</w:t>
      </w:r>
    </w:p>
    <w:p w14:paraId="3343B7A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7E94720" w14:textId="77777777" w:rsidR="00D94935" w:rsidRDefault="00D94935" w:rsidP="00D94935">
      <w:pPr>
        <w:pStyle w:val="Amain"/>
      </w:pPr>
      <w:r>
        <w:tab/>
        <w:t>(2)</w:t>
      </w:r>
      <w:r>
        <w:tab/>
        <w:t>An application to revoke a review order, together with any supporting affidavit, must be served on—</w:t>
      </w:r>
    </w:p>
    <w:p w14:paraId="5B5A7F13" w14:textId="77777777" w:rsidR="00D94935" w:rsidRDefault="00D94935" w:rsidP="00D94935">
      <w:pPr>
        <w:pStyle w:val="Apara"/>
      </w:pPr>
      <w:r>
        <w:tab/>
        <w:t>(a)</w:t>
      </w:r>
      <w:r>
        <w:tab/>
        <w:t>the applicant for the order; and</w:t>
      </w:r>
    </w:p>
    <w:p w14:paraId="39C9DDAF" w14:textId="77777777" w:rsidR="00D94935" w:rsidRDefault="00D94935" w:rsidP="00D94935">
      <w:pPr>
        <w:pStyle w:val="Apara"/>
      </w:pPr>
      <w:r>
        <w:tab/>
        <w:t>(b)</w:t>
      </w:r>
      <w:r>
        <w:tab/>
        <w:t>anyone the court orders to be served under rule 5703 (Review orders—service of applications).</w:t>
      </w:r>
    </w:p>
    <w:p w14:paraId="104A5DFD" w14:textId="77777777" w:rsidR="00D94935" w:rsidRDefault="00D94935" w:rsidP="00D94935">
      <w:pPr>
        <w:pStyle w:val="PageBreak"/>
      </w:pPr>
      <w:r>
        <w:br w:type="page"/>
      </w:r>
    </w:p>
    <w:p w14:paraId="10047D78" w14:textId="77777777" w:rsidR="00D94935" w:rsidRPr="00C8328B" w:rsidRDefault="00D94935" w:rsidP="00D94935">
      <w:pPr>
        <w:pStyle w:val="AH2Part"/>
      </w:pPr>
      <w:bookmarkStart w:id="1553" w:name="_Toc185515169"/>
      <w:r w:rsidRPr="00C8328B">
        <w:rPr>
          <w:rStyle w:val="CharPartNo"/>
        </w:rPr>
        <w:lastRenderedPageBreak/>
        <w:t>Part 5.6</w:t>
      </w:r>
      <w:r>
        <w:tab/>
      </w:r>
      <w:r w:rsidRPr="00C8328B">
        <w:rPr>
          <w:rStyle w:val="CharPartText"/>
        </w:rPr>
        <w:t>Reference appeals</w:t>
      </w:r>
      <w:bookmarkEnd w:id="1553"/>
    </w:p>
    <w:p w14:paraId="174E0DCF" w14:textId="77777777" w:rsidR="00D94935" w:rsidRPr="00C8328B" w:rsidRDefault="00D94935" w:rsidP="00D94935">
      <w:pPr>
        <w:pStyle w:val="AH3Div"/>
      </w:pPr>
      <w:bookmarkStart w:id="1554" w:name="_Toc185515170"/>
      <w:r w:rsidRPr="00C8328B">
        <w:rPr>
          <w:rStyle w:val="CharDivNo"/>
        </w:rPr>
        <w:t>Division 5.6.1</w:t>
      </w:r>
      <w:r>
        <w:tab/>
      </w:r>
      <w:r w:rsidRPr="00C8328B">
        <w:rPr>
          <w:rStyle w:val="CharDivText"/>
        </w:rPr>
        <w:t>Reference appeals—Supreme Court</w:t>
      </w:r>
      <w:bookmarkEnd w:id="1554"/>
    </w:p>
    <w:p w14:paraId="28746DEE" w14:textId="77777777" w:rsidR="00D94935" w:rsidRDefault="00D94935" w:rsidP="00D94935">
      <w:pPr>
        <w:pStyle w:val="AH5Sec"/>
      </w:pPr>
      <w:bookmarkStart w:id="1555" w:name="_Toc185515171"/>
      <w:r w:rsidRPr="00C8328B">
        <w:rPr>
          <w:rStyle w:val="CharSectNo"/>
        </w:rPr>
        <w:t>5750</w:t>
      </w:r>
      <w:r>
        <w:tab/>
        <w:t>Definitions—div 5.6.1</w:t>
      </w:r>
      <w:bookmarkEnd w:id="1555"/>
    </w:p>
    <w:p w14:paraId="15AA11FD" w14:textId="77777777" w:rsidR="00D94935" w:rsidRDefault="00D94935" w:rsidP="00D94935">
      <w:pPr>
        <w:pStyle w:val="Amainreturn"/>
        <w:keepNext/>
      </w:pPr>
      <w:r>
        <w:t>In this division:</w:t>
      </w:r>
    </w:p>
    <w:p w14:paraId="3880D82C" w14:textId="26F7FCB3" w:rsidR="00D94935" w:rsidRDefault="00D94935" w:rsidP="00D94935">
      <w:pPr>
        <w:pStyle w:val="aDef"/>
        <w:keepNext/>
      </w:pPr>
      <w:r>
        <w:rPr>
          <w:rStyle w:val="charBoldItals"/>
        </w:rPr>
        <w:t>applicant</w:t>
      </w:r>
      <w:r>
        <w:t xml:space="preserve">—see the </w:t>
      </w:r>
      <w:hyperlink r:id="rId715" w:tooltip="A1930-21" w:history="1">
        <w:r w:rsidRPr="006364FA">
          <w:rPr>
            <w:rStyle w:val="charCitHyperlinkItal"/>
          </w:rPr>
          <w:t>Magistrates Court Act 1930</w:t>
        </w:r>
      </w:hyperlink>
      <w:r>
        <w:t>, section 219AB (2) (Reference appeal following acquittal on indictment).</w:t>
      </w:r>
    </w:p>
    <w:p w14:paraId="41F1F1D7"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79D7A77C" w14:textId="0BF20491" w:rsidR="00D94935" w:rsidRDefault="00D94935" w:rsidP="00D94935">
      <w:pPr>
        <w:pStyle w:val="aDef"/>
        <w:keepNext/>
      </w:pPr>
      <w:r>
        <w:rPr>
          <w:rStyle w:val="charBoldItals"/>
        </w:rPr>
        <w:t>interested party</w:t>
      </w:r>
      <w:r>
        <w:t xml:space="preserve">—see the </w:t>
      </w:r>
      <w:hyperlink r:id="rId716" w:tooltip="A1930-21" w:history="1">
        <w:r w:rsidRPr="006364FA">
          <w:rPr>
            <w:rStyle w:val="charCitHyperlinkItal"/>
          </w:rPr>
          <w:t>Magistrates Court Act 1930</w:t>
        </w:r>
      </w:hyperlink>
      <w:r>
        <w:t>, section 219AC (1).</w:t>
      </w:r>
    </w:p>
    <w:p w14:paraId="61412CD7"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14:paraId="1C622A6B" w14:textId="1F8DE510" w:rsidR="00D94935" w:rsidRDefault="00D94935" w:rsidP="00D94935">
      <w:pPr>
        <w:pStyle w:val="aDef"/>
      </w:pPr>
      <w:r>
        <w:rPr>
          <w:rStyle w:val="charBoldItals"/>
        </w:rPr>
        <w:t>reference appeal</w:t>
      </w:r>
      <w:r>
        <w:t xml:space="preserve"> means an appeal under the </w:t>
      </w:r>
      <w:hyperlink r:id="rId717" w:tooltip="A1930-21" w:history="1">
        <w:r w:rsidRPr="006364FA">
          <w:rPr>
            <w:rStyle w:val="charCitHyperlinkItal"/>
          </w:rPr>
          <w:t>Magistrates Court Act 1930</w:t>
        </w:r>
      </w:hyperlink>
      <w:r>
        <w:t>, section 219AB (2).</w:t>
      </w:r>
    </w:p>
    <w:p w14:paraId="7D021D70" w14:textId="77777777" w:rsidR="00D94935" w:rsidRDefault="00D94935" w:rsidP="00D94935">
      <w:pPr>
        <w:pStyle w:val="AH5Sec"/>
      </w:pPr>
      <w:bookmarkStart w:id="1556" w:name="_Toc185515172"/>
      <w:r w:rsidRPr="00C8328B">
        <w:rPr>
          <w:rStyle w:val="CharSectNo"/>
        </w:rPr>
        <w:t>5751</w:t>
      </w:r>
      <w:r>
        <w:tab/>
        <w:t>Reference appeals to Supreme Court—application for reference appeal</w:t>
      </w:r>
      <w:bookmarkEnd w:id="1556"/>
    </w:p>
    <w:p w14:paraId="55305855" w14:textId="77777777" w:rsidR="00D94935" w:rsidRDefault="00D94935" w:rsidP="00D94935">
      <w:pPr>
        <w:pStyle w:val="Amain"/>
        <w:keepNext/>
      </w:pPr>
      <w:r>
        <w:tab/>
        <w:t>(1)</w:t>
      </w:r>
      <w:r>
        <w:tab/>
        <w:t>An application for a reference appeal must—</w:t>
      </w:r>
    </w:p>
    <w:p w14:paraId="3AB99E74" w14:textId="77777777" w:rsidR="00D94935" w:rsidRDefault="00D94935" w:rsidP="00D94935">
      <w:pPr>
        <w:pStyle w:val="Apara"/>
        <w:keepNext/>
      </w:pPr>
      <w:r>
        <w:tab/>
        <w:t>(a)</w:t>
      </w:r>
      <w:r>
        <w:tab/>
        <w:t>state the grounds of the application; and</w:t>
      </w:r>
    </w:p>
    <w:p w14:paraId="7E009F5B" w14:textId="77777777" w:rsidR="00D94935" w:rsidRDefault="00D94935" w:rsidP="00D94935">
      <w:pPr>
        <w:pStyle w:val="Apara"/>
        <w:keepNext/>
      </w:pPr>
      <w:r>
        <w:tab/>
        <w:t>(b)</w:t>
      </w:r>
      <w:r>
        <w:tab/>
        <w:t>state the question of law to be decided.</w:t>
      </w:r>
    </w:p>
    <w:p w14:paraId="78EE5061" w14:textId="1330AEA0" w:rsidR="00D94935" w:rsidRDefault="00D94935" w:rsidP="00D94935">
      <w:pPr>
        <w:pStyle w:val="aNote"/>
      </w:pPr>
      <w:r w:rsidRPr="006364FA">
        <w:rPr>
          <w:rStyle w:val="charItals"/>
        </w:rPr>
        <w:t>Note</w:t>
      </w:r>
      <w:r>
        <w:tab/>
        <w:t xml:space="preserve">See approved form 5.22 (Supreme Court—application for reference appeal) </w:t>
      </w:r>
      <w:hyperlink r:id="rId718" w:history="1">
        <w:r w:rsidRPr="00D25B65">
          <w:rPr>
            <w:rStyle w:val="charCitHyperlinkAbbrev"/>
          </w:rPr>
          <w:t>AF2006-406</w:t>
        </w:r>
      </w:hyperlink>
      <w:r>
        <w:t>.</w:t>
      </w:r>
    </w:p>
    <w:p w14:paraId="698E8FD9" w14:textId="77777777"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14:paraId="1D31665B" w14:textId="77777777" w:rsidR="00D94935" w:rsidRDefault="00D94935" w:rsidP="00D94935">
      <w:pPr>
        <w:pStyle w:val="Amain"/>
      </w:pPr>
      <w:r>
        <w:lastRenderedPageBreak/>
        <w:tab/>
        <w:t>(3)</w:t>
      </w:r>
      <w:r>
        <w:tab/>
        <w:t>Part 6.2 (Applications in proceedings) applies to an application for further time as if—</w:t>
      </w:r>
    </w:p>
    <w:p w14:paraId="0B306177" w14:textId="77777777" w:rsidR="00D94935" w:rsidRDefault="00D94935" w:rsidP="00D94935">
      <w:pPr>
        <w:pStyle w:val="Apara"/>
      </w:pPr>
      <w:r>
        <w:tab/>
        <w:t>(a)</w:t>
      </w:r>
      <w:r>
        <w:tab/>
        <w:t>a reference to an application in a proceeding were a reference to an application for further time; and</w:t>
      </w:r>
    </w:p>
    <w:p w14:paraId="5A17D2BE" w14:textId="77777777" w:rsidR="00D94935" w:rsidRDefault="00D94935" w:rsidP="00D94935">
      <w:pPr>
        <w:pStyle w:val="Apara"/>
      </w:pPr>
      <w:r>
        <w:tab/>
        <w:t>(b)</w:t>
      </w:r>
      <w:r>
        <w:tab/>
        <w:t>any other necessary changes were made.</w:t>
      </w:r>
    </w:p>
    <w:p w14:paraId="5EFCABEC"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1E5C61F7" w14:textId="77777777" w:rsidR="00D94935" w:rsidRDefault="00D94935" w:rsidP="00D94935">
      <w:pPr>
        <w:pStyle w:val="AH5Sec"/>
      </w:pPr>
      <w:bookmarkStart w:id="1557" w:name="_Toc185515173"/>
      <w:r w:rsidRPr="00C8328B">
        <w:rPr>
          <w:rStyle w:val="CharSectNo"/>
        </w:rPr>
        <w:t>5752</w:t>
      </w:r>
      <w:r>
        <w:tab/>
        <w:t>Reference appeals to Supreme Court—service of application etc for reference appeal</w:t>
      </w:r>
      <w:bookmarkEnd w:id="1557"/>
    </w:p>
    <w:p w14:paraId="5927036A" w14:textId="77777777" w:rsidR="00D94935" w:rsidRDefault="00D94935" w:rsidP="00D94935">
      <w:pPr>
        <w:pStyle w:val="Amainreturn"/>
      </w:pPr>
      <w:r>
        <w:t>A sealed copy of the application must be served on each interested party within 7 days after the day the application is filed in the Supreme Court.</w:t>
      </w:r>
    </w:p>
    <w:p w14:paraId="48BAECAC" w14:textId="77777777" w:rsidR="00D94935" w:rsidRDefault="00D94935" w:rsidP="00D94935">
      <w:pPr>
        <w:pStyle w:val="AH5Sec"/>
      </w:pPr>
      <w:bookmarkStart w:id="1558" w:name="_Toc185515174"/>
      <w:r w:rsidRPr="00C8328B">
        <w:rPr>
          <w:rStyle w:val="CharSectNo"/>
        </w:rPr>
        <w:t>5753</w:t>
      </w:r>
      <w:r>
        <w:tab/>
        <w:t>Reference appeals to Supreme Court—notice of intention to respond by interested party</w:t>
      </w:r>
      <w:bookmarkEnd w:id="1558"/>
    </w:p>
    <w:p w14:paraId="4616634B" w14:textId="77777777"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14:paraId="63EC01CC" w14:textId="77777777" w:rsidR="00D94935" w:rsidRDefault="00D94935" w:rsidP="00D94935">
      <w:pPr>
        <w:pStyle w:val="Apara"/>
      </w:pPr>
      <w:r>
        <w:tab/>
        <w:t>(a)</w:t>
      </w:r>
      <w:r>
        <w:tab/>
        <w:t>the application were an originating application; and</w:t>
      </w:r>
    </w:p>
    <w:p w14:paraId="700DC8DF" w14:textId="77777777" w:rsidR="00D94935" w:rsidRDefault="00D94935" w:rsidP="00D94935">
      <w:pPr>
        <w:pStyle w:val="Apara"/>
      </w:pPr>
      <w:r>
        <w:tab/>
        <w:t>(b)</w:t>
      </w:r>
      <w:r>
        <w:tab/>
        <w:t>the party were a defendant; and</w:t>
      </w:r>
    </w:p>
    <w:p w14:paraId="5BE00414" w14:textId="77777777" w:rsidR="00D94935" w:rsidRDefault="00D94935" w:rsidP="00D94935">
      <w:pPr>
        <w:pStyle w:val="Apara"/>
      </w:pPr>
      <w:r>
        <w:tab/>
        <w:t>(c)</w:t>
      </w:r>
      <w:r>
        <w:tab/>
        <w:t>the applicant were the plaintiff; and</w:t>
      </w:r>
    </w:p>
    <w:p w14:paraId="3C0950DA" w14:textId="77777777" w:rsidR="00D94935" w:rsidRDefault="00D94935" w:rsidP="00D94935">
      <w:pPr>
        <w:pStyle w:val="Apara"/>
      </w:pPr>
      <w:r>
        <w:tab/>
        <w:t>(d)</w:t>
      </w:r>
      <w:r>
        <w:tab/>
        <w:t>any other necessary changes were made.</w:t>
      </w:r>
    </w:p>
    <w:p w14:paraId="4C6F9004" w14:textId="77777777"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14:paraId="6EF4B49B" w14:textId="77777777" w:rsidR="00D94935" w:rsidRDefault="00D94935" w:rsidP="00D94935">
      <w:pPr>
        <w:pStyle w:val="AH5Sec"/>
      </w:pPr>
      <w:bookmarkStart w:id="1559" w:name="_Toc185515175"/>
      <w:r w:rsidRPr="00C8328B">
        <w:rPr>
          <w:rStyle w:val="CharSectNo"/>
        </w:rPr>
        <w:lastRenderedPageBreak/>
        <w:t>5754</w:t>
      </w:r>
      <w:r>
        <w:tab/>
        <w:t>Reference appeals to Supreme Court—discontinuance of reference appeal</w:t>
      </w:r>
      <w:bookmarkEnd w:id="1559"/>
    </w:p>
    <w:p w14:paraId="3CC17F44" w14:textId="77777777" w:rsidR="00D94935" w:rsidRDefault="00D94935" w:rsidP="00D94935">
      <w:pPr>
        <w:pStyle w:val="Amain"/>
      </w:pPr>
      <w:r>
        <w:tab/>
        <w:t>(1)</w:t>
      </w:r>
      <w:r>
        <w:tab/>
        <w:t>The applicant may discontinue the reference appeal or a part of the reference appeal—</w:t>
      </w:r>
    </w:p>
    <w:p w14:paraId="663C2F57" w14:textId="77777777" w:rsidR="00D94935" w:rsidRDefault="00D94935" w:rsidP="00D94935">
      <w:pPr>
        <w:pStyle w:val="Apara"/>
      </w:pPr>
      <w:r>
        <w:tab/>
        <w:t>(a)</w:t>
      </w:r>
      <w:r>
        <w:tab/>
        <w:t>without the Supreme Court’s leave, at any time before the hearing of the reference appeal; or</w:t>
      </w:r>
    </w:p>
    <w:p w14:paraId="2DF0FC11" w14:textId="77777777" w:rsidR="00D94935" w:rsidRDefault="00D94935" w:rsidP="00D94935">
      <w:pPr>
        <w:pStyle w:val="Apara"/>
        <w:keepNext/>
      </w:pPr>
      <w:r>
        <w:tab/>
        <w:t>(b)</w:t>
      </w:r>
      <w:r>
        <w:tab/>
        <w:t>only with the Supreme Court’s leave, at the hearing, or after the hearing and before the decision is made on the reference appeal.</w:t>
      </w:r>
    </w:p>
    <w:p w14:paraId="1102DB6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35A73C2F"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6BBC9B08" w14:textId="77777777"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14:paraId="3D947871" w14:textId="77777777" w:rsidR="00D94935" w:rsidRDefault="00D94935" w:rsidP="00D94935">
      <w:pPr>
        <w:pStyle w:val="Apara"/>
      </w:pPr>
      <w:r>
        <w:tab/>
        <w:t>(b)</w:t>
      </w:r>
      <w:r>
        <w:tab/>
        <w:t>only with the Supreme Court’s leave, at any time after the last day mentioned in paragraph (a), but before the decision is made on the reference appeal.</w:t>
      </w:r>
    </w:p>
    <w:p w14:paraId="03DD6EAE" w14:textId="77777777"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14:paraId="60EBC4B4"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4FE60FC5" w14:textId="77777777" w:rsidR="00D94935" w:rsidRDefault="00D94935" w:rsidP="00D94935">
      <w:pPr>
        <w:pStyle w:val="AH5Sec"/>
      </w:pPr>
      <w:bookmarkStart w:id="1560" w:name="_Toc185515176"/>
      <w:r w:rsidRPr="00C8328B">
        <w:rPr>
          <w:rStyle w:val="CharSectNo"/>
        </w:rPr>
        <w:lastRenderedPageBreak/>
        <w:t>5755</w:t>
      </w:r>
      <w:r>
        <w:tab/>
        <w:t>Reference appeals to Supreme Court—application of certain rules to reference appeals</w:t>
      </w:r>
      <w:bookmarkEnd w:id="1560"/>
    </w:p>
    <w:p w14:paraId="47F7E55D" w14:textId="77777777" w:rsidR="00D94935" w:rsidRDefault="00D94935" w:rsidP="00E87BCD">
      <w:pPr>
        <w:pStyle w:val="Amain"/>
        <w:keepNext/>
      </w:pPr>
      <w:r>
        <w:tab/>
        <w:t>(1)</w:t>
      </w:r>
      <w:r>
        <w:tab/>
        <w:t>The provisions mentioned in subrule (2) apply to a reference appeal as if—</w:t>
      </w:r>
    </w:p>
    <w:p w14:paraId="0C26F0BD" w14:textId="77777777" w:rsidR="00D94935" w:rsidRDefault="00D94935" w:rsidP="00D94935">
      <w:pPr>
        <w:pStyle w:val="Apara"/>
      </w:pPr>
      <w:r>
        <w:tab/>
        <w:t>(a)</w:t>
      </w:r>
      <w:r>
        <w:tab/>
        <w:t>a reference to an appeal were a reference to the reference appeal; and</w:t>
      </w:r>
    </w:p>
    <w:p w14:paraId="4CEE2EDE" w14:textId="77777777" w:rsidR="00D94935" w:rsidRDefault="00D94935" w:rsidP="00D94935">
      <w:pPr>
        <w:pStyle w:val="Apara"/>
      </w:pPr>
      <w:r>
        <w:tab/>
        <w:t>(b)</w:t>
      </w:r>
      <w:r>
        <w:tab/>
        <w:t>a reference to the appellant were a reference to the applicant; and</w:t>
      </w:r>
    </w:p>
    <w:p w14:paraId="6888DAEE" w14:textId="77777777" w:rsidR="00D94935" w:rsidRDefault="00D94935" w:rsidP="00D94935">
      <w:pPr>
        <w:pStyle w:val="Apara"/>
      </w:pPr>
      <w:r>
        <w:tab/>
        <w:t>(c)</w:t>
      </w:r>
      <w:r>
        <w:tab/>
        <w:t>a reference to the respondent were a reference to each interested party; and</w:t>
      </w:r>
    </w:p>
    <w:p w14:paraId="6543C5F5" w14:textId="77777777" w:rsidR="00D94935" w:rsidRDefault="00D94935" w:rsidP="00D94935">
      <w:pPr>
        <w:pStyle w:val="Apara"/>
      </w:pPr>
      <w:r>
        <w:tab/>
        <w:t>(d)</w:t>
      </w:r>
      <w:r>
        <w:tab/>
        <w:t>a reference to a notice of appeal were a reference to the application for a reference appeal; and</w:t>
      </w:r>
    </w:p>
    <w:p w14:paraId="740E3E9D" w14:textId="77777777" w:rsidR="00D94935" w:rsidRDefault="00D94935" w:rsidP="00D94935">
      <w:pPr>
        <w:pStyle w:val="Apara"/>
      </w:pPr>
      <w:r>
        <w:tab/>
        <w:t>(e)</w:t>
      </w:r>
      <w:r>
        <w:tab/>
        <w:t>any other necessary changes were made to those provisions or any other provisions of these rules.</w:t>
      </w:r>
    </w:p>
    <w:p w14:paraId="6184FB7A" w14:textId="77777777" w:rsidR="00D94935" w:rsidRDefault="00D94935" w:rsidP="00D94935">
      <w:pPr>
        <w:pStyle w:val="Amain"/>
        <w:keepNext/>
      </w:pPr>
      <w:r>
        <w:tab/>
        <w:t>(2)</w:t>
      </w:r>
      <w:r>
        <w:tab/>
        <w:t>The provisions applying to reference appeals are as follows:</w:t>
      </w:r>
    </w:p>
    <w:p w14:paraId="45B06DA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1C6AB26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14:paraId="444BB98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18E67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14:paraId="5E4DC0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14:paraId="67DA84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14:paraId="45167FF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14:paraId="0B372B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14:paraId="5E8E8262"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14:paraId="1C2CD25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14:paraId="7E8E9DF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14:paraId="404FBDD7"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14:paraId="4E32AD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14:paraId="0929BF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14:paraId="219FE30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14:paraId="0DD44D0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14:paraId="249B8060" w14:textId="77777777" w:rsidR="00D94935" w:rsidRPr="00C8328B" w:rsidRDefault="00D94935" w:rsidP="00D94935">
      <w:pPr>
        <w:pStyle w:val="AH3Div"/>
      </w:pPr>
      <w:bookmarkStart w:id="1561" w:name="_Toc185515177"/>
      <w:r w:rsidRPr="00C8328B">
        <w:rPr>
          <w:rStyle w:val="CharDivNo"/>
        </w:rPr>
        <w:t>Division 5.6.2</w:t>
      </w:r>
      <w:r>
        <w:tab/>
      </w:r>
      <w:r w:rsidRPr="00C8328B">
        <w:rPr>
          <w:rStyle w:val="CharDivText"/>
        </w:rPr>
        <w:t>Reference appeals—Court of Appeal</w:t>
      </w:r>
      <w:bookmarkEnd w:id="1561"/>
    </w:p>
    <w:p w14:paraId="7C98A841" w14:textId="77777777" w:rsidR="00D94935" w:rsidRDefault="00D94935" w:rsidP="00D94935">
      <w:pPr>
        <w:pStyle w:val="AH5Sec"/>
      </w:pPr>
      <w:bookmarkStart w:id="1562" w:name="_Toc185515178"/>
      <w:r w:rsidRPr="00C8328B">
        <w:rPr>
          <w:rStyle w:val="CharSectNo"/>
        </w:rPr>
        <w:t>5770</w:t>
      </w:r>
      <w:r>
        <w:tab/>
        <w:t>Definitions—div 5.6.2</w:t>
      </w:r>
      <w:bookmarkEnd w:id="1562"/>
    </w:p>
    <w:p w14:paraId="077BCD76" w14:textId="77777777" w:rsidR="00D94935" w:rsidRDefault="00D94935" w:rsidP="00D94935">
      <w:pPr>
        <w:pStyle w:val="Amainreturn"/>
        <w:keepNext/>
      </w:pPr>
      <w:r>
        <w:t>In this division:</w:t>
      </w:r>
    </w:p>
    <w:p w14:paraId="3385E77B" w14:textId="3B972AD8" w:rsidR="00D94935" w:rsidRDefault="00D94935" w:rsidP="00D94935">
      <w:pPr>
        <w:pStyle w:val="aDef"/>
        <w:keepNext/>
      </w:pPr>
      <w:r>
        <w:rPr>
          <w:rStyle w:val="charBoldItals"/>
        </w:rPr>
        <w:t>applicant</w:t>
      </w:r>
      <w:r>
        <w:t xml:space="preserve">—see the </w:t>
      </w:r>
      <w:hyperlink r:id="rId719" w:tooltip="A1933-34" w:history="1">
        <w:r w:rsidRPr="006364FA">
          <w:rPr>
            <w:rStyle w:val="charCitHyperlinkItal"/>
          </w:rPr>
          <w:t>Supreme Court Act 1933</w:t>
        </w:r>
      </w:hyperlink>
      <w:r>
        <w:t>, section 37S (2) (Reference appeal following acquittal on indictment).</w:t>
      </w:r>
    </w:p>
    <w:p w14:paraId="330E3BB1"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4414BF41" w14:textId="6968874D" w:rsidR="00D94935" w:rsidRDefault="00D94935" w:rsidP="00D94935">
      <w:pPr>
        <w:pStyle w:val="aDef"/>
        <w:keepNext/>
      </w:pPr>
      <w:r>
        <w:rPr>
          <w:rStyle w:val="charBoldItals"/>
        </w:rPr>
        <w:t>interested party</w:t>
      </w:r>
      <w:r>
        <w:t xml:space="preserve">—see the </w:t>
      </w:r>
      <w:hyperlink r:id="rId720" w:tooltip="A1933-34" w:history="1">
        <w:r w:rsidRPr="006364FA">
          <w:rPr>
            <w:rStyle w:val="charCitHyperlinkItal"/>
          </w:rPr>
          <w:t>Supreme Court Act 1933</w:t>
        </w:r>
      </w:hyperlink>
      <w:r>
        <w:t>, section 37S (4).</w:t>
      </w:r>
    </w:p>
    <w:p w14:paraId="6AFA052A"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14:paraId="14A51352" w14:textId="3DAA02DE" w:rsidR="00D94935" w:rsidRDefault="00D94935" w:rsidP="00D94935">
      <w:pPr>
        <w:pStyle w:val="aDef"/>
      </w:pPr>
      <w:r>
        <w:rPr>
          <w:rStyle w:val="charBoldItals"/>
        </w:rPr>
        <w:t>reference appeal</w:t>
      </w:r>
      <w:r>
        <w:t xml:space="preserve"> means an appeal under the </w:t>
      </w:r>
      <w:hyperlink r:id="rId721" w:tooltip="A1933-34" w:history="1">
        <w:r w:rsidRPr="006364FA">
          <w:rPr>
            <w:rStyle w:val="charCitHyperlinkItal"/>
          </w:rPr>
          <w:t>Supreme Court Act 1933</w:t>
        </w:r>
      </w:hyperlink>
      <w:r>
        <w:t>, section 37S.</w:t>
      </w:r>
    </w:p>
    <w:p w14:paraId="1BE2FC65" w14:textId="77777777" w:rsidR="00D94935" w:rsidRDefault="00D94935" w:rsidP="00D94935">
      <w:pPr>
        <w:pStyle w:val="AH5Sec"/>
      </w:pPr>
      <w:bookmarkStart w:id="1563" w:name="_Toc185515179"/>
      <w:r w:rsidRPr="00C8328B">
        <w:rPr>
          <w:rStyle w:val="CharSectNo"/>
        </w:rPr>
        <w:lastRenderedPageBreak/>
        <w:t>5771</w:t>
      </w:r>
      <w:r>
        <w:tab/>
        <w:t>Reference appeals to Court of Appeal—application for reference appeal</w:t>
      </w:r>
      <w:bookmarkEnd w:id="1563"/>
    </w:p>
    <w:p w14:paraId="6DF96CBB" w14:textId="77777777" w:rsidR="00D94935" w:rsidRDefault="00D94935" w:rsidP="00D94935">
      <w:pPr>
        <w:pStyle w:val="Amain"/>
        <w:keepNext/>
      </w:pPr>
      <w:r>
        <w:tab/>
        <w:t>(1)</w:t>
      </w:r>
      <w:r>
        <w:tab/>
        <w:t>An application for a reference appeal must—</w:t>
      </w:r>
    </w:p>
    <w:p w14:paraId="14CD2B10" w14:textId="77777777" w:rsidR="00D94935" w:rsidRDefault="00D94935" w:rsidP="00D94935">
      <w:pPr>
        <w:pStyle w:val="Apara"/>
        <w:keepNext/>
      </w:pPr>
      <w:r>
        <w:tab/>
        <w:t>(a)</w:t>
      </w:r>
      <w:r>
        <w:tab/>
        <w:t>state the grounds of the application; and</w:t>
      </w:r>
    </w:p>
    <w:p w14:paraId="1DF9B24C" w14:textId="77777777" w:rsidR="00D94935" w:rsidRDefault="00D94935" w:rsidP="00D94935">
      <w:pPr>
        <w:pStyle w:val="Apara"/>
        <w:keepNext/>
      </w:pPr>
      <w:r>
        <w:tab/>
        <w:t>(b)</w:t>
      </w:r>
      <w:r>
        <w:tab/>
        <w:t>state the question of law to be decided.</w:t>
      </w:r>
    </w:p>
    <w:p w14:paraId="0F39CAE7" w14:textId="3E36117F" w:rsidR="00D94935" w:rsidRDefault="00D94935" w:rsidP="00D94935">
      <w:pPr>
        <w:pStyle w:val="aNote"/>
      </w:pPr>
      <w:r w:rsidRPr="006364FA">
        <w:rPr>
          <w:rStyle w:val="charItals"/>
        </w:rPr>
        <w:t>Note</w:t>
      </w:r>
      <w:r>
        <w:tab/>
        <w:t xml:space="preserve">See approved form 5.23 (Court of Appeal—application for reference appeal) </w:t>
      </w:r>
      <w:hyperlink r:id="rId722" w:history="1">
        <w:r w:rsidRPr="00D25B65">
          <w:rPr>
            <w:rStyle w:val="charCitHyperlinkAbbrev"/>
          </w:rPr>
          <w:t>AF2006-407</w:t>
        </w:r>
      </w:hyperlink>
      <w:r>
        <w:t>.</w:t>
      </w:r>
    </w:p>
    <w:p w14:paraId="3729C9B9" w14:textId="77777777" w:rsidR="00D94935" w:rsidRDefault="00D94935" w:rsidP="00D94935">
      <w:pPr>
        <w:pStyle w:val="Amain"/>
      </w:pPr>
      <w:r>
        <w:tab/>
        <w:t>(2)</w:t>
      </w:r>
      <w:r>
        <w:tab/>
        <w:t>If the applicant wants to present the applicant’s case in writing under part 5.8 (Written cases), the application must state that the applicant wants to do so.</w:t>
      </w:r>
    </w:p>
    <w:p w14:paraId="592C94D3" w14:textId="77777777" w:rsidR="00D94935" w:rsidRDefault="00D94935" w:rsidP="00D94935">
      <w:pPr>
        <w:pStyle w:val="AH5Sec"/>
      </w:pPr>
      <w:bookmarkStart w:id="1564" w:name="_Toc185515180"/>
      <w:r w:rsidRPr="00C8328B">
        <w:rPr>
          <w:rStyle w:val="CharSectNo"/>
        </w:rPr>
        <w:t>5772</w:t>
      </w:r>
      <w:r>
        <w:tab/>
        <w:t>Reference appeals to Court of Appeal—service of application etc for reference appeal</w:t>
      </w:r>
      <w:bookmarkEnd w:id="1564"/>
    </w:p>
    <w:p w14:paraId="1E563B98" w14:textId="77777777" w:rsidR="00D94935" w:rsidRDefault="00D94935" w:rsidP="00D94935">
      <w:pPr>
        <w:pStyle w:val="Amainreturn"/>
      </w:pPr>
      <w:r>
        <w:t>A sealed copy of the application must be served on each interested party within 7 days after the day the application is filed in the court.</w:t>
      </w:r>
    </w:p>
    <w:p w14:paraId="6D3900FF" w14:textId="77777777" w:rsidR="00D94935" w:rsidRDefault="00D94935" w:rsidP="00D94935">
      <w:pPr>
        <w:pStyle w:val="AH5Sec"/>
      </w:pPr>
      <w:bookmarkStart w:id="1565" w:name="_Toc185515181"/>
      <w:r w:rsidRPr="00C8328B">
        <w:rPr>
          <w:rStyle w:val="CharSectNo"/>
        </w:rPr>
        <w:t>5773</w:t>
      </w:r>
      <w:r>
        <w:tab/>
        <w:t>Reference appeals to Court of Appeal—notice of intention to respond by interested party</w:t>
      </w:r>
      <w:bookmarkEnd w:id="1565"/>
    </w:p>
    <w:p w14:paraId="3EE81B1E" w14:textId="77777777"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14:paraId="696517B3" w14:textId="77777777" w:rsidR="00D94935" w:rsidRDefault="00D94935" w:rsidP="00D94935">
      <w:pPr>
        <w:pStyle w:val="Apara"/>
      </w:pPr>
      <w:r>
        <w:tab/>
        <w:t>(a)</w:t>
      </w:r>
      <w:r>
        <w:tab/>
        <w:t>the application were an originating application; and</w:t>
      </w:r>
    </w:p>
    <w:p w14:paraId="664B2B01" w14:textId="77777777" w:rsidR="00D94935" w:rsidRDefault="00D94935" w:rsidP="00D94935">
      <w:pPr>
        <w:pStyle w:val="Apara"/>
      </w:pPr>
      <w:r>
        <w:tab/>
        <w:t>(b)</w:t>
      </w:r>
      <w:r>
        <w:tab/>
        <w:t>the party were a defendant; and</w:t>
      </w:r>
    </w:p>
    <w:p w14:paraId="6CBDC4AA" w14:textId="77777777" w:rsidR="00D94935" w:rsidRDefault="00D94935" w:rsidP="00D94935">
      <w:pPr>
        <w:pStyle w:val="Apara"/>
      </w:pPr>
      <w:r>
        <w:tab/>
        <w:t>(c)</w:t>
      </w:r>
      <w:r>
        <w:tab/>
        <w:t>the applicant were the plaintiff; and</w:t>
      </w:r>
    </w:p>
    <w:p w14:paraId="472E9EE6" w14:textId="77777777" w:rsidR="00D94935" w:rsidRDefault="00D94935" w:rsidP="00D94935">
      <w:pPr>
        <w:pStyle w:val="Apara"/>
      </w:pPr>
      <w:r>
        <w:tab/>
        <w:t>(d)</w:t>
      </w:r>
      <w:r>
        <w:tab/>
        <w:t>any other necessary changes were made.</w:t>
      </w:r>
    </w:p>
    <w:p w14:paraId="6292C22E" w14:textId="24E80A94" w:rsidR="00D94935" w:rsidRDefault="00D94935" w:rsidP="00D94935">
      <w:pPr>
        <w:pStyle w:val="Amain"/>
      </w:pPr>
      <w:r>
        <w:tab/>
        <w:t>(2)</w:t>
      </w:r>
      <w:r>
        <w:tab/>
        <w:t xml:space="preserve">If an interested party is not represented in the appeal, counsel instructed by the applicant under the </w:t>
      </w:r>
      <w:hyperlink r:id="rId723"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14:paraId="33305CBE" w14:textId="77777777" w:rsidR="00D94935" w:rsidRDefault="00D94935" w:rsidP="00D94935">
      <w:pPr>
        <w:pStyle w:val="AH5Sec"/>
      </w:pPr>
      <w:bookmarkStart w:id="1566" w:name="_Toc185515182"/>
      <w:r w:rsidRPr="00C8328B">
        <w:rPr>
          <w:rStyle w:val="CharSectNo"/>
        </w:rPr>
        <w:lastRenderedPageBreak/>
        <w:t>5774</w:t>
      </w:r>
      <w:r>
        <w:tab/>
        <w:t>Reference appeals to Court of Appeal—discontinuance of reference appeal</w:t>
      </w:r>
      <w:bookmarkEnd w:id="1566"/>
    </w:p>
    <w:p w14:paraId="6162AC6E" w14:textId="77777777" w:rsidR="00D94935" w:rsidRDefault="00D94935" w:rsidP="00D94935">
      <w:pPr>
        <w:pStyle w:val="Amain"/>
      </w:pPr>
      <w:r>
        <w:tab/>
        <w:t>(1)</w:t>
      </w:r>
      <w:r>
        <w:tab/>
        <w:t>The applicant may discontinue the reference appeal or a part of the reference appeal—</w:t>
      </w:r>
    </w:p>
    <w:p w14:paraId="217DD5C6" w14:textId="77777777" w:rsidR="00D94935" w:rsidRDefault="00D94935" w:rsidP="00D94935">
      <w:pPr>
        <w:pStyle w:val="Apara"/>
      </w:pPr>
      <w:r>
        <w:tab/>
        <w:t>(a)</w:t>
      </w:r>
      <w:r>
        <w:tab/>
        <w:t>without the Court of Appeal’s leave, at any time before the hearing of the reference appeal; or</w:t>
      </w:r>
    </w:p>
    <w:p w14:paraId="737ED04A" w14:textId="77777777" w:rsidR="00D94935" w:rsidRDefault="00D94935" w:rsidP="00D94935">
      <w:pPr>
        <w:pStyle w:val="Apara"/>
        <w:keepNext/>
      </w:pPr>
      <w:r>
        <w:tab/>
        <w:t>(b)</w:t>
      </w:r>
      <w:r>
        <w:tab/>
        <w:t>only with the Court of Appeal’s leave, at the hearing, or after the hearing and before the decision is made on the reference appeal.</w:t>
      </w:r>
    </w:p>
    <w:p w14:paraId="63098C0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004E1781"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4EE8685C" w14:textId="77777777"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14:paraId="44F8699D" w14:textId="77777777" w:rsidR="00D94935" w:rsidRDefault="00D94935" w:rsidP="00D94935">
      <w:pPr>
        <w:pStyle w:val="Apara"/>
      </w:pPr>
      <w:r>
        <w:tab/>
        <w:t>(b)</w:t>
      </w:r>
      <w:r>
        <w:tab/>
        <w:t>only with the Court of Appeal’s leave, at any time after the last day mentioned in paragraph (a), but before the decision is made on the reference appeal.</w:t>
      </w:r>
    </w:p>
    <w:p w14:paraId="08F88C3F" w14:textId="77777777"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14:paraId="4229090E"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3B4D3275" w14:textId="77777777" w:rsidR="00D94935" w:rsidRDefault="00D94935" w:rsidP="00D94935">
      <w:pPr>
        <w:pStyle w:val="AH5Sec"/>
      </w:pPr>
      <w:bookmarkStart w:id="1567" w:name="_Toc185515183"/>
      <w:r w:rsidRPr="00C8328B">
        <w:rPr>
          <w:rStyle w:val="CharSectNo"/>
        </w:rPr>
        <w:lastRenderedPageBreak/>
        <w:t>5775</w:t>
      </w:r>
      <w:r>
        <w:tab/>
        <w:t>Reference appeals to Court of Appeal—application of certain rules to reference appeals</w:t>
      </w:r>
      <w:bookmarkEnd w:id="1567"/>
    </w:p>
    <w:p w14:paraId="1B957A36" w14:textId="77777777" w:rsidR="00D94935" w:rsidRDefault="00D94935" w:rsidP="00E87BCD">
      <w:pPr>
        <w:pStyle w:val="Amain"/>
        <w:keepNext/>
      </w:pPr>
      <w:r>
        <w:tab/>
        <w:t>(1)</w:t>
      </w:r>
      <w:r>
        <w:tab/>
        <w:t>The rules mentioned in subrule (2) apply to a reference appeal as if—</w:t>
      </w:r>
    </w:p>
    <w:p w14:paraId="507E3CF0" w14:textId="77777777" w:rsidR="00D94935" w:rsidRDefault="00D94935" w:rsidP="00D94935">
      <w:pPr>
        <w:pStyle w:val="Apara"/>
      </w:pPr>
      <w:r>
        <w:tab/>
        <w:t>(a)</w:t>
      </w:r>
      <w:r>
        <w:tab/>
        <w:t>a reference to an appeal were a reference to the reference appeal; and</w:t>
      </w:r>
    </w:p>
    <w:p w14:paraId="15F49C6E" w14:textId="77777777" w:rsidR="00D94935" w:rsidRDefault="00D94935" w:rsidP="00D94935">
      <w:pPr>
        <w:pStyle w:val="Apara"/>
      </w:pPr>
      <w:r>
        <w:tab/>
        <w:t>(b)</w:t>
      </w:r>
      <w:r>
        <w:tab/>
        <w:t>a reference to the appellant were a reference to the applicant; and</w:t>
      </w:r>
    </w:p>
    <w:p w14:paraId="6421E83F" w14:textId="77777777" w:rsidR="00D94935" w:rsidRDefault="00D94935" w:rsidP="00D94935">
      <w:pPr>
        <w:pStyle w:val="Apara"/>
      </w:pPr>
      <w:r>
        <w:tab/>
        <w:t>(c)</w:t>
      </w:r>
      <w:r>
        <w:tab/>
        <w:t>a reference to the respondent were a reference to each interested party; and</w:t>
      </w:r>
    </w:p>
    <w:p w14:paraId="03D7B340" w14:textId="77777777" w:rsidR="00D94935" w:rsidRDefault="00D94935" w:rsidP="00D94935">
      <w:pPr>
        <w:pStyle w:val="Apara"/>
      </w:pPr>
      <w:r>
        <w:tab/>
        <w:t>(d)</w:t>
      </w:r>
      <w:r>
        <w:tab/>
        <w:t>a reference to a notice of appeal were a reference to the application for a reference appeal; and</w:t>
      </w:r>
    </w:p>
    <w:p w14:paraId="0504431E" w14:textId="77777777" w:rsidR="00D94935" w:rsidRDefault="00D94935" w:rsidP="00D94935">
      <w:pPr>
        <w:pStyle w:val="Apara"/>
      </w:pPr>
      <w:r>
        <w:tab/>
        <w:t>(e)</w:t>
      </w:r>
      <w:r>
        <w:tab/>
        <w:t>any other necessary changes were made to those provisions or any other provisions of these rules.</w:t>
      </w:r>
    </w:p>
    <w:p w14:paraId="0F8F9777" w14:textId="77777777" w:rsidR="00D94935" w:rsidRDefault="00D94935" w:rsidP="00D94935">
      <w:pPr>
        <w:pStyle w:val="Amain"/>
        <w:keepNext/>
      </w:pPr>
      <w:r>
        <w:tab/>
        <w:t>(2)</w:t>
      </w:r>
      <w:r>
        <w:tab/>
        <w:t>The rules applying to reference appeals are as follows:</w:t>
      </w:r>
    </w:p>
    <w:p w14:paraId="12B2613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60490CB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14:paraId="6D78D09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4EE73F7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14:paraId="1879C5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14:paraId="12956F8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14:paraId="09E479B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14:paraId="1D1E3BFF"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14:paraId="2BF0694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14:paraId="41046346" w14:textId="77777777" w:rsidR="00D94935" w:rsidRDefault="00D94935" w:rsidP="00D94935">
      <w:pPr>
        <w:pStyle w:val="PageBreak"/>
      </w:pPr>
      <w:r>
        <w:br w:type="page"/>
      </w:r>
    </w:p>
    <w:p w14:paraId="60614606" w14:textId="77777777" w:rsidR="00D94935" w:rsidRPr="00C8328B" w:rsidRDefault="00D94935" w:rsidP="00D94935">
      <w:pPr>
        <w:pStyle w:val="AH2Part"/>
      </w:pPr>
      <w:bookmarkStart w:id="1568" w:name="_Toc185515184"/>
      <w:r w:rsidRPr="00C8328B">
        <w:rPr>
          <w:rStyle w:val="CharPartNo"/>
        </w:rPr>
        <w:lastRenderedPageBreak/>
        <w:t>Part 5.7</w:t>
      </w:r>
      <w:r>
        <w:tab/>
      </w:r>
      <w:r w:rsidRPr="00C8328B">
        <w:rPr>
          <w:rStyle w:val="CharPartText"/>
        </w:rPr>
        <w:t>Special cases</w:t>
      </w:r>
      <w:bookmarkEnd w:id="1568"/>
    </w:p>
    <w:p w14:paraId="0EC84CF8" w14:textId="77777777" w:rsidR="00D94935" w:rsidRPr="00C8328B" w:rsidRDefault="00D94935" w:rsidP="00D94935">
      <w:pPr>
        <w:pStyle w:val="AH3Div"/>
      </w:pPr>
      <w:bookmarkStart w:id="1569" w:name="_Toc185515185"/>
      <w:r w:rsidRPr="00C8328B">
        <w:rPr>
          <w:rStyle w:val="CharDivNo"/>
        </w:rPr>
        <w:t>Division 5.7.1</w:t>
      </w:r>
      <w:r>
        <w:tab/>
      </w:r>
      <w:r w:rsidRPr="00C8328B">
        <w:rPr>
          <w:rStyle w:val="CharDivText"/>
        </w:rPr>
        <w:t>Questions referred—Supreme Court</w:t>
      </w:r>
      <w:bookmarkEnd w:id="1569"/>
    </w:p>
    <w:p w14:paraId="353D7214" w14:textId="77777777" w:rsidR="00D94935" w:rsidRDefault="00D94935" w:rsidP="00D94935">
      <w:pPr>
        <w:pStyle w:val="AH5Sec"/>
      </w:pPr>
      <w:bookmarkStart w:id="1570" w:name="_Toc185515186"/>
      <w:r w:rsidRPr="00C8328B">
        <w:rPr>
          <w:rStyle w:val="CharSectNo"/>
        </w:rPr>
        <w:t>5800</w:t>
      </w:r>
      <w:r>
        <w:tab/>
        <w:t>Application—div 5.7.1</w:t>
      </w:r>
      <w:bookmarkEnd w:id="1570"/>
    </w:p>
    <w:p w14:paraId="114E34A6" w14:textId="77777777"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14:paraId="00466D72" w14:textId="77777777"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14:paraId="28E1572D" w14:textId="77777777"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14:paraId="67DA2BFE" w14:textId="77777777" w:rsidR="00D94935" w:rsidRDefault="00D94935" w:rsidP="00D94935">
      <w:pPr>
        <w:pStyle w:val="aNote"/>
        <w:keepNext/>
      </w:pPr>
      <w:r>
        <w:rPr>
          <w:rStyle w:val="charItals"/>
        </w:rPr>
        <w:t>Note 3</w:t>
      </w:r>
      <w:r>
        <w:rPr>
          <w:rStyle w:val="charItals"/>
        </w:rPr>
        <w:tab/>
      </w:r>
      <w:r>
        <w:t>Referring courts and tribunals are mentioned in table 5800.</w:t>
      </w:r>
    </w:p>
    <w:p w14:paraId="37D6A4E9" w14:textId="77777777"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14:paraId="79D0D436" w14:textId="77777777" w:rsidTr="003A681D">
        <w:trPr>
          <w:cantSplit/>
          <w:tblHeader/>
        </w:trPr>
        <w:tc>
          <w:tcPr>
            <w:tcW w:w="750" w:type="pct"/>
            <w:tcBorders>
              <w:bottom w:val="single" w:sz="4" w:space="0" w:color="auto"/>
            </w:tcBorders>
          </w:tcPr>
          <w:p w14:paraId="40815F3A" w14:textId="77777777" w:rsidR="00D94935" w:rsidRPr="00403BD1" w:rsidRDefault="00D94935" w:rsidP="003A681D">
            <w:pPr>
              <w:pStyle w:val="TableColHd"/>
            </w:pPr>
            <w:r w:rsidRPr="00403BD1">
              <w:t>column 1</w:t>
            </w:r>
          </w:p>
          <w:p w14:paraId="3E2F1314" w14:textId="77777777" w:rsidR="00D94935" w:rsidRPr="00403BD1" w:rsidRDefault="00D94935" w:rsidP="003A681D">
            <w:pPr>
              <w:pStyle w:val="TableColHd"/>
            </w:pPr>
            <w:r w:rsidRPr="00403BD1">
              <w:t>item</w:t>
            </w:r>
          </w:p>
        </w:tc>
        <w:tc>
          <w:tcPr>
            <w:tcW w:w="1137" w:type="pct"/>
            <w:tcBorders>
              <w:bottom w:val="single" w:sz="4" w:space="0" w:color="auto"/>
            </w:tcBorders>
          </w:tcPr>
          <w:p w14:paraId="2EFBCC65"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0CDD0846" w14:textId="77777777"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14:paraId="16932725" w14:textId="77777777" w:rsidR="00D94935" w:rsidRPr="00403BD1" w:rsidRDefault="00D94935" w:rsidP="003A681D">
            <w:pPr>
              <w:pStyle w:val="TableColHd"/>
            </w:pPr>
            <w:r w:rsidRPr="00403BD1">
              <w:t>column 3</w:t>
            </w:r>
          </w:p>
          <w:p w14:paraId="26517562" w14:textId="77777777"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14:paraId="1E10FA42" w14:textId="77777777" w:rsidR="00D94935" w:rsidRPr="00403BD1" w:rsidRDefault="00D94935" w:rsidP="003A681D">
            <w:pPr>
              <w:pStyle w:val="TableColHd"/>
            </w:pPr>
            <w:r w:rsidRPr="00403BD1">
              <w:t>column 4</w:t>
            </w:r>
          </w:p>
          <w:p w14:paraId="0C5D7EA9" w14:textId="77777777" w:rsidR="00D94935" w:rsidRPr="00403BD1" w:rsidRDefault="00D94935" w:rsidP="003A681D">
            <w:pPr>
              <w:pStyle w:val="TableColHd"/>
            </w:pPr>
            <w:r w:rsidRPr="00403BD1">
              <w:t>law under which question referred</w:t>
            </w:r>
          </w:p>
        </w:tc>
      </w:tr>
      <w:tr w:rsidR="00D94935" w:rsidRPr="00403BD1" w14:paraId="0FD5004A" w14:textId="77777777" w:rsidTr="003A681D">
        <w:tblPrEx>
          <w:tblCellMar>
            <w:left w:w="150" w:type="dxa"/>
            <w:right w:w="150" w:type="dxa"/>
          </w:tblCellMar>
        </w:tblPrEx>
        <w:tc>
          <w:tcPr>
            <w:tcW w:w="750" w:type="pct"/>
            <w:tcBorders>
              <w:top w:val="single" w:sz="4" w:space="0" w:color="auto"/>
            </w:tcBorders>
          </w:tcPr>
          <w:p w14:paraId="5B6A0C02" w14:textId="77777777" w:rsidR="00D94935" w:rsidRPr="00403BD1" w:rsidRDefault="00D94935" w:rsidP="003A681D">
            <w:pPr>
              <w:pStyle w:val="TableText10"/>
            </w:pPr>
            <w:r w:rsidRPr="00403BD1">
              <w:t>1</w:t>
            </w:r>
          </w:p>
        </w:tc>
        <w:tc>
          <w:tcPr>
            <w:tcW w:w="1137" w:type="pct"/>
            <w:tcBorders>
              <w:top w:val="single" w:sz="4" w:space="0" w:color="auto"/>
            </w:tcBorders>
          </w:tcPr>
          <w:p w14:paraId="0E5B9441" w14:textId="77777777" w:rsidR="00D94935" w:rsidRPr="00403BD1" w:rsidRDefault="00D94935" w:rsidP="003A681D">
            <w:pPr>
              <w:pStyle w:val="TableText10"/>
            </w:pPr>
            <w:r w:rsidRPr="00403BD1">
              <w:t>ACT civil and administrative tribunal</w:t>
            </w:r>
          </w:p>
        </w:tc>
        <w:tc>
          <w:tcPr>
            <w:tcW w:w="1137" w:type="pct"/>
            <w:tcBorders>
              <w:top w:val="single" w:sz="4" w:space="0" w:color="auto"/>
            </w:tcBorders>
          </w:tcPr>
          <w:p w14:paraId="6A5327D3" w14:textId="05C3BE8D" w:rsidR="00D94935" w:rsidRPr="006364FA" w:rsidRDefault="00D94935" w:rsidP="003A681D">
            <w:pPr>
              <w:pStyle w:val="TableText10"/>
            </w:pPr>
            <w:r w:rsidRPr="006364FA">
              <w:t>judge</w:t>
            </w:r>
          </w:p>
        </w:tc>
        <w:tc>
          <w:tcPr>
            <w:tcW w:w="1976" w:type="pct"/>
            <w:tcBorders>
              <w:top w:val="single" w:sz="4" w:space="0" w:color="auto"/>
            </w:tcBorders>
          </w:tcPr>
          <w:p w14:paraId="132BBBEC" w14:textId="664915B5" w:rsidR="00D94935" w:rsidRPr="00403BD1" w:rsidRDefault="001542D1" w:rsidP="003A681D">
            <w:pPr>
              <w:pStyle w:val="TableText10"/>
            </w:pPr>
            <w:hyperlink r:id="rId724" w:tooltip="A2008-35" w:history="1">
              <w:r w:rsidR="00D94935" w:rsidRPr="006364FA">
                <w:rPr>
                  <w:rStyle w:val="charCitHyperlinkItal"/>
                </w:rPr>
                <w:t>ACT Civil and Administrative Tribunal Act 2008</w:t>
              </w:r>
            </w:hyperlink>
            <w:r w:rsidR="00D94935" w:rsidRPr="00403BD1">
              <w:t>, s 84</w:t>
            </w:r>
          </w:p>
        </w:tc>
      </w:tr>
      <w:tr w:rsidR="00D94935" w:rsidRPr="00403BD1" w14:paraId="715BE5AF" w14:textId="77777777" w:rsidTr="003A681D">
        <w:tblPrEx>
          <w:tblCellMar>
            <w:left w:w="150" w:type="dxa"/>
            <w:right w:w="150" w:type="dxa"/>
          </w:tblCellMar>
        </w:tblPrEx>
        <w:trPr>
          <w:cantSplit/>
        </w:trPr>
        <w:tc>
          <w:tcPr>
            <w:tcW w:w="750" w:type="pct"/>
          </w:tcPr>
          <w:p w14:paraId="7978C928" w14:textId="77777777" w:rsidR="00D94935" w:rsidRPr="00AD5834" w:rsidRDefault="00D94935" w:rsidP="003A681D">
            <w:pPr>
              <w:pStyle w:val="TableText10"/>
            </w:pPr>
            <w:r>
              <w:t>2</w:t>
            </w:r>
          </w:p>
        </w:tc>
        <w:tc>
          <w:tcPr>
            <w:tcW w:w="1137" w:type="pct"/>
          </w:tcPr>
          <w:p w14:paraId="29C9FF2A" w14:textId="77777777" w:rsidR="00D94935" w:rsidRPr="00AD5834" w:rsidRDefault="00D94935" w:rsidP="003A681D">
            <w:pPr>
              <w:pStyle w:val="TableText10"/>
            </w:pPr>
            <w:r w:rsidRPr="00AD5834">
              <w:t>adjudicator</w:t>
            </w:r>
          </w:p>
        </w:tc>
        <w:tc>
          <w:tcPr>
            <w:tcW w:w="1137" w:type="pct"/>
          </w:tcPr>
          <w:p w14:paraId="454EBD02" w14:textId="4171E411" w:rsidR="00D94935" w:rsidRPr="00AD5834" w:rsidRDefault="00D94935" w:rsidP="003A681D">
            <w:pPr>
              <w:pStyle w:val="TableText10"/>
            </w:pPr>
            <w:r w:rsidRPr="00AD5834">
              <w:t>judge</w:t>
            </w:r>
          </w:p>
        </w:tc>
        <w:tc>
          <w:tcPr>
            <w:tcW w:w="1976" w:type="pct"/>
          </w:tcPr>
          <w:p w14:paraId="78B5CBE4" w14:textId="596169C8" w:rsidR="00D94935" w:rsidRPr="00AD5834" w:rsidRDefault="001542D1" w:rsidP="003A681D">
            <w:pPr>
              <w:pStyle w:val="TableText10"/>
            </w:pPr>
            <w:hyperlink r:id="rId725"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79CCC72B" w14:textId="77777777" w:rsidTr="003A681D">
        <w:tblPrEx>
          <w:tblCellMar>
            <w:left w:w="150" w:type="dxa"/>
            <w:right w:w="150" w:type="dxa"/>
          </w:tblCellMar>
        </w:tblPrEx>
        <w:trPr>
          <w:cantSplit/>
        </w:trPr>
        <w:tc>
          <w:tcPr>
            <w:tcW w:w="750" w:type="pct"/>
          </w:tcPr>
          <w:p w14:paraId="6D874E27" w14:textId="77777777" w:rsidR="00D94935" w:rsidRPr="00403BD1" w:rsidRDefault="00D94935" w:rsidP="003A681D">
            <w:pPr>
              <w:pStyle w:val="TableText10"/>
            </w:pPr>
            <w:r>
              <w:t>3</w:t>
            </w:r>
          </w:p>
        </w:tc>
        <w:tc>
          <w:tcPr>
            <w:tcW w:w="1137" w:type="pct"/>
          </w:tcPr>
          <w:p w14:paraId="7ACE1770" w14:textId="77777777" w:rsidR="00D94935" w:rsidRPr="00403BD1" w:rsidRDefault="00D94935" w:rsidP="003A681D">
            <w:pPr>
              <w:pStyle w:val="TableText10"/>
            </w:pPr>
            <w:r w:rsidRPr="00403BD1">
              <w:t>Magistrates Court</w:t>
            </w:r>
          </w:p>
        </w:tc>
        <w:tc>
          <w:tcPr>
            <w:tcW w:w="1137" w:type="pct"/>
          </w:tcPr>
          <w:p w14:paraId="4F662BD5" w14:textId="49472689" w:rsidR="00D94935" w:rsidRPr="006364FA" w:rsidRDefault="00D94935" w:rsidP="003A681D">
            <w:pPr>
              <w:pStyle w:val="TableText10"/>
            </w:pPr>
            <w:r w:rsidRPr="006364FA">
              <w:t>judge</w:t>
            </w:r>
          </w:p>
        </w:tc>
        <w:tc>
          <w:tcPr>
            <w:tcW w:w="1976" w:type="pct"/>
          </w:tcPr>
          <w:p w14:paraId="1DAC65DE" w14:textId="46A9347A" w:rsidR="00D94935" w:rsidRPr="00403BD1" w:rsidRDefault="001542D1" w:rsidP="003A681D">
            <w:pPr>
              <w:pStyle w:val="TableText10"/>
            </w:pPr>
            <w:hyperlink r:id="rId726" w:tooltip="A1930-21" w:history="1">
              <w:r w:rsidR="00D94935" w:rsidRPr="006364FA">
                <w:rPr>
                  <w:rStyle w:val="charCitHyperlinkItal"/>
                </w:rPr>
                <w:t>Magistrates Court Act 1930</w:t>
              </w:r>
            </w:hyperlink>
            <w:r w:rsidR="00D94935" w:rsidRPr="00403BD1">
              <w:t>, s 267</w:t>
            </w:r>
          </w:p>
        </w:tc>
      </w:tr>
    </w:tbl>
    <w:p w14:paraId="4001AE70" w14:textId="77777777" w:rsidR="00D94935" w:rsidRPr="006364FA" w:rsidRDefault="00D94935" w:rsidP="00D94935">
      <w:pPr>
        <w:pStyle w:val="AH5Sec"/>
        <w:rPr>
          <w:rStyle w:val="charItals"/>
        </w:rPr>
      </w:pPr>
      <w:bookmarkStart w:id="1571" w:name="_Toc185515187"/>
      <w:r w:rsidRPr="00C8328B">
        <w:rPr>
          <w:rStyle w:val="CharSectNo"/>
        </w:rPr>
        <w:lastRenderedPageBreak/>
        <w:t>5801</w:t>
      </w:r>
      <w:r>
        <w:rPr>
          <w:iCs/>
        </w:rPr>
        <w:tab/>
      </w:r>
      <w:r>
        <w:t>Definitions—div 5.7.1</w:t>
      </w:r>
      <w:bookmarkEnd w:id="1571"/>
    </w:p>
    <w:p w14:paraId="1B8DD53B" w14:textId="77777777" w:rsidR="00D94935" w:rsidRDefault="00D94935" w:rsidP="00D94935">
      <w:pPr>
        <w:pStyle w:val="Amainreturn"/>
        <w:keepNext/>
      </w:pPr>
      <w:r>
        <w:t>In this division:</w:t>
      </w:r>
    </w:p>
    <w:p w14:paraId="2B3A0A68" w14:textId="77777777" w:rsidR="00D94935" w:rsidRDefault="00D94935" w:rsidP="00D94935">
      <w:pPr>
        <w:pStyle w:val="aDef"/>
        <w:keepNext/>
      </w:pPr>
      <w:r w:rsidRPr="006364FA">
        <w:rPr>
          <w:rStyle w:val="charBoldItals"/>
        </w:rPr>
        <w:t>initiating party</w:t>
      </w:r>
      <w:r>
        <w:t xml:space="preserve"> means—</w:t>
      </w:r>
    </w:p>
    <w:p w14:paraId="6CAE06AE" w14:textId="77777777" w:rsidR="00D94935" w:rsidRDefault="00D94935" w:rsidP="00E50C67">
      <w:pPr>
        <w:pStyle w:val="aDefpara"/>
        <w:keepNext/>
      </w:pPr>
      <w:r>
        <w:tab/>
        <w:t>(a)</w:t>
      </w:r>
      <w:r>
        <w:tab/>
        <w:t>the party who requested that the question be referred; or</w:t>
      </w:r>
    </w:p>
    <w:p w14:paraId="6B432550" w14:textId="77777777"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14:paraId="09FB61AE" w14:textId="77777777"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14:paraId="0BDF0E2E" w14:textId="77777777"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14:paraId="072FB682" w14:textId="77777777" w:rsidR="00D94935" w:rsidRDefault="00D94935" w:rsidP="00D94935">
      <w:pPr>
        <w:pStyle w:val="aDef"/>
        <w:keepNext/>
      </w:pPr>
      <w:r w:rsidRPr="006364FA">
        <w:rPr>
          <w:rStyle w:val="charBoldItals"/>
        </w:rPr>
        <w:t>referring court or tribunal</w:t>
      </w:r>
      <w:r>
        <w:t>—see rule 5800.</w:t>
      </w:r>
    </w:p>
    <w:p w14:paraId="4C794AC1" w14:textId="77777777" w:rsidR="00D94935" w:rsidRDefault="00D94935" w:rsidP="00D94935">
      <w:pPr>
        <w:pStyle w:val="aDef"/>
      </w:pPr>
      <w:r w:rsidRPr="006364FA">
        <w:rPr>
          <w:rStyle w:val="charBoldItals"/>
        </w:rPr>
        <w:t>Supreme Court</w:t>
      </w:r>
      <w:r>
        <w:t xml:space="preserve"> means the Supreme Court otherwise than when it is the Court of Appeal.</w:t>
      </w:r>
    </w:p>
    <w:p w14:paraId="6435AA6C" w14:textId="77777777" w:rsidR="00D94935" w:rsidRDefault="00D94935" w:rsidP="00D94935">
      <w:pPr>
        <w:pStyle w:val="aDef"/>
      </w:pPr>
      <w:r w:rsidRPr="006364FA">
        <w:rPr>
          <w:rStyle w:val="charBoldItals"/>
        </w:rPr>
        <w:t>tribunal</w:t>
      </w:r>
      <w:r>
        <w:t xml:space="preserve"> includes any entity (other than a court) that may refer a question to the Supreme Court.</w:t>
      </w:r>
    </w:p>
    <w:p w14:paraId="79D7E90B" w14:textId="77777777" w:rsidR="00D94935" w:rsidRDefault="00D94935" w:rsidP="00D94935">
      <w:pPr>
        <w:pStyle w:val="AH5Sec"/>
      </w:pPr>
      <w:bookmarkStart w:id="1572" w:name="_Toc185515188"/>
      <w:r w:rsidRPr="00C8328B">
        <w:rPr>
          <w:rStyle w:val="CharSectNo"/>
        </w:rPr>
        <w:t>5802</w:t>
      </w:r>
      <w:r>
        <w:tab/>
        <w:t>Question referred to Supreme Court—form</w:t>
      </w:r>
      <w:bookmarkEnd w:id="1572"/>
    </w:p>
    <w:p w14:paraId="6B1435D7" w14:textId="77777777" w:rsidR="00D94935" w:rsidRDefault="00D94935" w:rsidP="00D94935">
      <w:pPr>
        <w:pStyle w:val="Amain"/>
        <w:keepNext/>
      </w:pPr>
      <w:r>
        <w:tab/>
        <w:t>(1)</w:t>
      </w:r>
      <w:r>
        <w:tab/>
        <w:t>A question referred to the Supreme Court must be in the form of a special case.</w:t>
      </w:r>
    </w:p>
    <w:p w14:paraId="01627A36" w14:textId="476F9BC6" w:rsidR="00D94935" w:rsidRDefault="00D94935" w:rsidP="00D94935">
      <w:pPr>
        <w:pStyle w:val="aNote"/>
      </w:pPr>
      <w:r w:rsidRPr="006364FA">
        <w:rPr>
          <w:rStyle w:val="charItals"/>
        </w:rPr>
        <w:t>Note</w:t>
      </w:r>
      <w:r>
        <w:tab/>
        <w:t xml:space="preserve">See approved form 5.24 (Supreme Court—special case) </w:t>
      </w:r>
      <w:hyperlink r:id="rId727" w:history="1">
        <w:r w:rsidRPr="00AB2950">
          <w:rPr>
            <w:rStyle w:val="charCitHyperlinkAbbrev"/>
          </w:rPr>
          <w:t>AF2006-408</w:t>
        </w:r>
      </w:hyperlink>
      <w:r>
        <w:t>.</w:t>
      </w:r>
    </w:p>
    <w:p w14:paraId="39F71BE5" w14:textId="77777777" w:rsidR="00D94935" w:rsidRDefault="00D94935" w:rsidP="00D94935">
      <w:pPr>
        <w:pStyle w:val="Amain"/>
        <w:keepNext/>
      </w:pPr>
      <w:r>
        <w:tab/>
        <w:t>(2)</w:t>
      </w:r>
      <w:r>
        <w:tab/>
        <w:t>The special case must—</w:t>
      </w:r>
    </w:p>
    <w:p w14:paraId="57F5F576" w14:textId="77777777" w:rsidR="00D94935" w:rsidRDefault="00D94935" w:rsidP="00D94935">
      <w:pPr>
        <w:pStyle w:val="Apara"/>
      </w:pPr>
      <w:r>
        <w:tab/>
        <w:t>(a)</w:t>
      </w:r>
      <w:r>
        <w:tab/>
        <w:t>state the questions to be decided; and</w:t>
      </w:r>
    </w:p>
    <w:p w14:paraId="11D689EF" w14:textId="1E009C3B" w:rsidR="00D94935" w:rsidRDefault="00D94935" w:rsidP="00D94935">
      <w:pPr>
        <w:pStyle w:val="Apara"/>
      </w:pPr>
      <w:r>
        <w:lastRenderedPageBreak/>
        <w:tab/>
        <w:t>(b)</w:t>
      </w:r>
      <w:r>
        <w:tab/>
        <w:t xml:space="preserve">briefly state the facts, and </w:t>
      </w:r>
      <w:r w:rsidR="00C94D4D" w:rsidRPr="00C1177F">
        <w:t>be accompanied by</w:t>
      </w:r>
      <w:r>
        <w:t xml:space="preserve"> all documents, necessary to allow the Supreme Court to decide the questions raised by the special case; and</w:t>
      </w:r>
    </w:p>
    <w:p w14:paraId="6E765609" w14:textId="77777777" w:rsidR="00D94935" w:rsidRDefault="00D94935" w:rsidP="00D94935">
      <w:pPr>
        <w:pStyle w:val="Apara"/>
      </w:pPr>
      <w:r>
        <w:tab/>
        <w:t>(c)</w:t>
      </w:r>
      <w:r>
        <w:tab/>
        <w:t>be divided into paragraphs numbered consecutively.</w:t>
      </w:r>
    </w:p>
    <w:p w14:paraId="4CCF8AA9"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510744BE" w14:textId="77777777" w:rsidR="00D94935" w:rsidRDefault="00D94935" w:rsidP="00D94935">
      <w:pPr>
        <w:pStyle w:val="AH5Sec"/>
      </w:pPr>
      <w:bookmarkStart w:id="1573" w:name="_Toc185515189"/>
      <w:r w:rsidRPr="00C8328B">
        <w:rPr>
          <w:rStyle w:val="CharSectNo"/>
        </w:rPr>
        <w:t>5803</w:t>
      </w:r>
      <w:r>
        <w:tab/>
        <w:t>Special case to Supreme Court—preparation and settling</w:t>
      </w:r>
      <w:bookmarkEnd w:id="1573"/>
    </w:p>
    <w:p w14:paraId="1EE51494" w14:textId="77777777" w:rsidR="00D94935" w:rsidRDefault="00D94935" w:rsidP="00D94935">
      <w:pPr>
        <w:pStyle w:val="Amainreturn"/>
      </w:pPr>
      <w:r>
        <w:t>Unless the referring court or tribunal otherwise directs, the special case must—</w:t>
      </w:r>
    </w:p>
    <w:p w14:paraId="5553264A" w14:textId="77777777" w:rsidR="00D94935" w:rsidRDefault="00D94935" w:rsidP="00D94935">
      <w:pPr>
        <w:pStyle w:val="Apara"/>
      </w:pPr>
      <w:r>
        <w:tab/>
        <w:t>(a)</w:t>
      </w:r>
      <w:r>
        <w:tab/>
        <w:t>be prepared in draft by the initiating party after consultation with each other active party; and</w:t>
      </w:r>
    </w:p>
    <w:p w14:paraId="71F0CB62"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3DB75B06" w14:textId="77777777" w:rsidR="00D94935" w:rsidRDefault="00D94935" w:rsidP="00D94935">
      <w:pPr>
        <w:pStyle w:val="Apara"/>
      </w:pPr>
      <w:r>
        <w:tab/>
        <w:t>(b)</w:t>
      </w:r>
      <w:r>
        <w:tab/>
        <w:t>contain an address for service for each active party; and</w:t>
      </w:r>
    </w:p>
    <w:p w14:paraId="3E2BC8BA" w14:textId="77777777"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14:paraId="30C04F5A" w14:textId="77777777" w:rsidR="00D94935" w:rsidRDefault="00D94935" w:rsidP="00D94935">
      <w:pPr>
        <w:pStyle w:val="Apara"/>
        <w:keepNext/>
      </w:pPr>
      <w:r>
        <w:tab/>
        <w:t>(c)</w:t>
      </w:r>
      <w:r>
        <w:tab/>
        <w:t>be settled by the referring court or tribunal; and</w:t>
      </w:r>
    </w:p>
    <w:p w14:paraId="5CB109FC" w14:textId="77777777" w:rsidR="00D94935" w:rsidRDefault="00D94935" w:rsidP="00D94935">
      <w:pPr>
        <w:pStyle w:val="Apara"/>
      </w:pPr>
      <w:r>
        <w:tab/>
        <w:t>(d)</w:t>
      </w:r>
      <w:r>
        <w:tab/>
        <w:t xml:space="preserve">be served on each active party; and </w:t>
      </w:r>
    </w:p>
    <w:p w14:paraId="0ED8DDAB" w14:textId="77777777" w:rsidR="00D94935" w:rsidRDefault="00D94935" w:rsidP="00D94935">
      <w:pPr>
        <w:pStyle w:val="Apara"/>
      </w:pPr>
      <w:r>
        <w:tab/>
        <w:t>(e)</w:t>
      </w:r>
      <w:r>
        <w:tab/>
        <w:t>be filed in the Supreme Court by the initiating party on behalf of the referring court or tribunal.</w:t>
      </w:r>
    </w:p>
    <w:p w14:paraId="30BCA9C9" w14:textId="77777777" w:rsidR="00D94935" w:rsidRDefault="00D94935" w:rsidP="00D94935">
      <w:pPr>
        <w:pStyle w:val="AH5Sec"/>
      </w:pPr>
      <w:bookmarkStart w:id="1574" w:name="_Toc185515190"/>
      <w:r w:rsidRPr="00C8328B">
        <w:rPr>
          <w:rStyle w:val="CharSectNo"/>
        </w:rPr>
        <w:t>5804</w:t>
      </w:r>
      <w:r>
        <w:tab/>
        <w:t>Special case to Supreme Court—person with legal disability</w:t>
      </w:r>
      <w:bookmarkEnd w:id="1574"/>
    </w:p>
    <w:p w14:paraId="50CA547E" w14:textId="77777777"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14:paraId="7D1842C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26C5F647" w14:textId="77777777"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14:paraId="1385C78E" w14:textId="77777777" w:rsidR="00D94935" w:rsidRDefault="00D94935" w:rsidP="00D94935">
      <w:pPr>
        <w:pStyle w:val="AH5Sec"/>
      </w:pPr>
      <w:bookmarkStart w:id="1575" w:name="_Toc185515191"/>
      <w:r w:rsidRPr="00C8328B">
        <w:rPr>
          <w:rStyle w:val="CharSectNo"/>
        </w:rPr>
        <w:lastRenderedPageBreak/>
        <w:t>5805</w:t>
      </w:r>
      <w:r>
        <w:tab/>
        <w:t>Special case to Supreme Court—directions hearing</w:t>
      </w:r>
      <w:bookmarkEnd w:id="1575"/>
    </w:p>
    <w:p w14:paraId="0E454A30" w14:textId="77777777" w:rsidR="00D94935" w:rsidRDefault="00D94935" w:rsidP="00D94935">
      <w:pPr>
        <w:pStyle w:val="Amainreturn"/>
      </w:pPr>
      <w:r>
        <w:t>After the special case is filed under rule 5803, the registrar must—</w:t>
      </w:r>
    </w:p>
    <w:p w14:paraId="133BBE60" w14:textId="77777777" w:rsidR="00D94935" w:rsidRDefault="00D94935" w:rsidP="00D94935">
      <w:pPr>
        <w:pStyle w:val="Apara"/>
      </w:pPr>
      <w:r>
        <w:tab/>
        <w:t>(a)</w:t>
      </w:r>
      <w:r>
        <w:tab/>
        <w:t>set a date for a directions hearing; and</w:t>
      </w:r>
    </w:p>
    <w:p w14:paraId="76031F6B" w14:textId="77777777" w:rsidR="00D94935" w:rsidRDefault="00D94935" w:rsidP="00D94935">
      <w:pPr>
        <w:pStyle w:val="Apara"/>
      </w:pPr>
      <w:r>
        <w:tab/>
        <w:t>(b)</w:t>
      </w:r>
      <w:r>
        <w:tab/>
        <w:t>tell the parties the date set for the directions hearing.</w:t>
      </w:r>
    </w:p>
    <w:p w14:paraId="70D95510" w14:textId="77777777" w:rsidR="00D94935" w:rsidRDefault="00D94935" w:rsidP="00D94935">
      <w:pPr>
        <w:pStyle w:val="AH5Sec"/>
      </w:pPr>
      <w:bookmarkStart w:id="1576" w:name="_Toc185515192"/>
      <w:r w:rsidRPr="00C8328B">
        <w:rPr>
          <w:rStyle w:val="CharSectNo"/>
        </w:rPr>
        <w:t>5806</w:t>
      </w:r>
      <w:r>
        <w:tab/>
        <w:t>Special case to Supreme Court—setting down for hearing</w:t>
      </w:r>
      <w:bookmarkEnd w:id="1576"/>
    </w:p>
    <w:p w14:paraId="5CA13721" w14:textId="77777777" w:rsidR="00D94935" w:rsidRDefault="00D94935" w:rsidP="00D94935">
      <w:pPr>
        <w:pStyle w:val="Amainreturn"/>
      </w:pPr>
      <w:r>
        <w:t>At the directions hearing, the registrar must—</w:t>
      </w:r>
    </w:p>
    <w:p w14:paraId="2FCCD19E" w14:textId="77777777" w:rsidR="00D94935" w:rsidRDefault="00D94935" w:rsidP="00D94935">
      <w:pPr>
        <w:pStyle w:val="Apara"/>
      </w:pPr>
      <w:r>
        <w:tab/>
        <w:t>(a)</w:t>
      </w:r>
      <w:r>
        <w:tab/>
        <w:t>if satisfied that all the active parties have been served with the special case, and the special case is ready for hearing—</w:t>
      </w:r>
    </w:p>
    <w:p w14:paraId="5F927210" w14:textId="77777777" w:rsidR="00D94935" w:rsidRDefault="00D94935" w:rsidP="00D94935">
      <w:pPr>
        <w:pStyle w:val="Asubpara"/>
      </w:pPr>
      <w:r>
        <w:tab/>
        <w:t>(i)</w:t>
      </w:r>
      <w:r>
        <w:tab/>
        <w:t>set a date for the hearing of the special case; and</w:t>
      </w:r>
    </w:p>
    <w:p w14:paraId="102EBD96" w14:textId="77777777" w:rsidR="00D94935" w:rsidRDefault="00D94935" w:rsidP="00D94935">
      <w:pPr>
        <w:pStyle w:val="Asubpara"/>
      </w:pPr>
      <w:r>
        <w:tab/>
        <w:t>(ii)</w:t>
      </w:r>
      <w:r>
        <w:tab/>
        <w:t>tell the parties the date set for the hearing; or</w:t>
      </w:r>
    </w:p>
    <w:p w14:paraId="6C2BDAF0" w14:textId="77777777" w:rsidR="00D94935" w:rsidRDefault="00D94935" w:rsidP="00D94935">
      <w:pPr>
        <w:pStyle w:val="Apara"/>
      </w:pPr>
      <w:r>
        <w:tab/>
        <w:t>(b)</w:t>
      </w:r>
      <w:r>
        <w:tab/>
        <w:t>adjourn the directions hearing.</w:t>
      </w:r>
    </w:p>
    <w:p w14:paraId="697B12E9" w14:textId="77777777" w:rsidR="00D94935" w:rsidRDefault="00D94935" w:rsidP="00D94935">
      <w:pPr>
        <w:pStyle w:val="AH5Sec"/>
      </w:pPr>
      <w:bookmarkStart w:id="1577" w:name="_Toc185515193"/>
      <w:r w:rsidRPr="00C8328B">
        <w:rPr>
          <w:rStyle w:val="CharSectNo"/>
        </w:rPr>
        <w:t>5807</w:t>
      </w:r>
      <w:r>
        <w:tab/>
        <w:t>Special case to Supreme Court—insufficient statement of case</w:t>
      </w:r>
      <w:bookmarkEnd w:id="1577"/>
    </w:p>
    <w:p w14:paraId="319159E0" w14:textId="18763B68" w:rsidR="00D94935" w:rsidRDefault="00D94935" w:rsidP="00D94935">
      <w:pPr>
        <w:pStyle w:val="Amain"/>
      </w:pPr>
      <w:r>
        <w:tab/>
        <w:t>(1)</w:t>
      </w:r>
      <w:r>
        <w:tab/>
        <w:t xml:space="preserve">This rule applies if it appears to the Supreme Court that the special case does not state the facts, and </w:t>
      </w:r>
      <w:r w:rsidR="00C94D4D" w:rsidRPr="00C1177F">
        <w:t>be accompanied by</w:t>
      </w:r>
      <w:r>
        <w:t xml:space="preserve"> the documents, necessary to allow the Supreme Court to decide the questions raised by the special case or otherwise to hear and decide the proceeding on the special case.</w:t>
      </w:r>
    </w:p>
    <w:p w14:paraId="3031A910" w14:textId="77777777" w:rsidR="00D94935" w:rsidRDefault="00D94935" w:rsidP="00D94935">
      <w:pPr>
        <w:pStyle w:val="Amain"/>
      </w:pPr>
      <w:r>
        <w:tab/>
        <w:t>(2)</w:t>
      </w:r>
      <w:r>
        <w:tab/>
        <w:t>The Supreme Court may—</w:t>
      </w:r>
    </w:p>
    <w:p w14:paraId="7C2F979C" w14:textId="77777777" w:rsidR="00D94935" w:rsidRDefault="00D94935" w:rsidP="00D94935">
      <w:pPr>
        <w:pStyle w:val="Apara"/>
      </w:pPr>
      <w:r>
        <w:tab/>
        <w:t>(a)</w:t>
      </w:r>
      <w:r>
        <w:tab/>
        <w:t>with each active party’s agreement, amend the special case; or</w:t>
      </w:r>
    </w:p>
    <w:p w14:paraId="48D842D8" w14:textId="77777777" w:rsidR="00D94935" w:rsidRDefault="00D94935" w:rsidP="00D94935">
      <w:pPr>
        <w:pStyle w:val="Apara"/>
      </w:pPr>
      <w:r>
        <w:tab/>
        <w:t>(b)</w:t>
      </w:r>
      <w:r>
        <w:tab/>
        <w:t>send the special case back to the initiating party for the party to amend the special case in the way stated by the court; or</w:t>
      </w:r>
    </w:p>
    <w:p w14:paraId="2B892605" w14:textId="77777777" w:rsidR="00D94935" w:rsidRDefault="00D94935" w:rsidP="00D94935">
      <w:pPr>
        <w:pStyle w:val="Apara"/>
        <w:keepNext/>
      </w:pPr>
      <w:r>
        <w:tab/>
        <w:t>(c)</w:t>
      </w:r>
      <w:r>
        <w:tab/>
        <w:t>for a proceeding that is a civil proceeding—receive evidence, make findings of fact, and amend the special case accordingly.</w:t>
      </w:r>
    </w:p>
    <w:p w14:paraId="4784679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D8689D5" w14:textId="77777777" w:rsidR="00D94935" w:rsidRDefault="00D94935" w:rsidP="00D94935">
      <w:pPr>
        <w:pStyle w:val="AH5Sec"/>
      </w:pPr>
      <w:bookmarkStart w:id="1578" w:name="_Toc185515194"/>
      <w:r w:rsidRPr="00C8328B">
        <w:rPr>
          <w:rStyle w:val="CharSectNo"/>
        </w:rPr>
        <w:lastRenderedPageBreak/>
        <w:t>5808</w:t>
      </w:r>
      <w:r>
        <w:tab/>
        <w:t>Special case to Supreme Court—court can draw inferences</w:t>
      </w:r>
      <w:bookmarkEnd w:id="1578"/>
    </w:p>
    <w:p w14:paraId="6D628DE3" w14:textId="0AD1D28F" w:rsidR="00D94935" w:rsidRDefault="00D94935" w:rsidP="00D94935">
      <w:pPr>
        <w:pStyle w:val="Amainreturn"/>
      </w:pPr>
      <w:r>
        <w:t xml:space="preserve">For a special case under this division, the Supreme Court may draw from the facts stated in, and the documents </w:t>
      </w:r>
      <w:r w:rsidR="00C94D4D" w:rsidRPr="00C1177F">
        <w:t>accompanying</w:t>
      </w:r>
      <w:r>
        <w:t>, the special case any inference (of fact or law) that might have been drawn from them if proved at a trial.</w:t>
      </w:r>
    </w:p>
    <w:p w14:paraId="78EA31AD" w14:textId="77777777" w:rsidR="00D94935" w:rsidRDefault="00D94935" w:rsidP="00D94935">
      <w:pPr>
        <w:pStyle w:val="AH5Sec"/>
      </w:pPr>
      <w:bookmarkStart w:id="1579" w:name="_Toc185515195"/>
      <w:r w:rsidRPr="00C8328B">
        <w:rPr>
          <w:rStyle w:val="CharSectNo"/>
        </w:rPr>
        <w:t>5809</w:t>
      </w:r>
      <w:r>
        <w:tab/>
        <w:t>Special case to Supreme Court—agreement about damages and costs</w:t>
      </w:r>
      <w:bookmarkEnd w:id="1579"/>
    </w:p>
    <w:p w14:paraId="4B80AF8F" w14:textId="77777777"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14:paraId="22DBE894"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9763142" w14:textId="77777777" w:rsidR="00D94935" w:rsidRDefault="00D94935" w:rsidP="00D94935">
      <w:pPr>
        <w:pStyle w:val="Amain"/>
      </w:pPr>
      <w:r>
        <w:tab/>
        <w:t>(3)</w:t>
      </w:r>
      <w:r>
        <w:tab/>
        <w:t>In this rule:</w:t>
      </w:r>
    </w:p>
    <w:p w14:paraId="764C935B" w14:textId="77777777" w:rsidR="00D94935" w:rsidRDefault="00D94935" w:rsidP="00D94935">
      <w:pPr>
        <w:pStyle w:val="aDef"/>
      </w:pPr>
      <w:r w:rsidRPr="006364FA">
        <w:rPr>
          <w:rStyle w:val="charBoldItals"/>
        </w:rPr>
        <w:t xml:space="preserve">stated amount </w:t>
      </w:r>
      <w:r>
        <w:t>means—</w:t>
      </w:r>
    </w:p>
    <w:p w14:paraId="72BDF6DA" w14:textId="77777777" w:rsidR="00D94935" w:rsidRDefault="00D94935" w:rsidP="00D94935">
      <w:pPr>
        <w:pStyle w:val="aDefpara"/>
      </w:pPr>
      <w:r>
        <w:tab/>
        <w:t>(a)</w:t>
      </w:r>
      <w:r>
        <w:tab/>
        <w:t>an amount agreed by the parties; or</w:t>
      </w:r>
    </w:p>
    <w:p w14:paraId="7CB3FF81" w14:textId="77777777" w:rsidR="00D94935" w:rsidRDefault="00D94935" w:rsidP="00D94935">
      <w:pPr>
        <w:pStyle w:val="aDefpara"/>
      </w:pPr>
      <w:r>
        <w:tab/>
        <w:t>(b)</w:t>
      </w:r>
      <w:r>
        <w:tab/>
        <w:t>an amount set by the Supreme Court; or</w:t>
      </w:r>
    </w:p>
    <w:p w14:paraId="205DF0E0" w14:textId="77777777" w:rsidR="00D94935" w:rsidRDefault="00D94935" w:rsidP="00D94935">
      <w:pPr>
        <w:pStyle w:val="aDefpara"/>
      </w:pPr>
      <w:r>
        <w:tab/>
        <w:t>(c)</w:t>
      </w:r>
      <w:r>
        <w:tab/>
        <w:t>an amount set in the way agreed by the parties or as the Supreme Court orders.</w:t>
      </w:r>
    </w:p>
    <w:p w14:paraId="4EEE8256" w14:textId="77777777" w:rsidR="00D94935" w:rsidRPr="00C8328B" w:rsidRDefault="00D94935" w:rsidP="00D94935">
      <w:pPr>
        <w:pStyle w:val="AH3Div"/>
      </w:pPr>
      <w:bookmarkStart w:id="1580" w:name="_Toc185515196"/>
      <w:r w:rsidRPr="00C8328B">
        <w:rPr>
          <w:rStyle w:val="CharDivNo"/>
        </w:rPr>
        <w:t>Division 5.7.2</w:t>
      </w:r>
      <w:r>
        <w:tab/>
      </w:r>
      <w:r w:rsidRPr="00C8328B">
        <w:rPr>
          <w:rStyle w:val="CharDivText"/>
        </w:rPr>
        <w:t>Questions referred—Court of Appeal</w:t>
      </w:r>
      <w:bookmarkEnd w:id="1580"/>
    </w:p>
    <w:p w14:paraId="2F0B0997" w14:textId="77777777" w:rsidR="00D94935" w:rsidRDefault="00D94935" w:rsidP="00D94935">
      <w:pPr>
        <w:pStyle w:val="AH5Sec"/>
      </w:pPr>
      <w:bookmarkStart w:id="1581" w:name="_Toc185515197"/>
      <w:r w:rsidRPr="00C8328B">
        <w:rPr>
          <w:rStyle w:val="CharSectNo"/>
        </w:rPr>
        <w:t>5830</w:t>
      </w:r>
      <w:r>
        <w:tab/>
        <w:t>Application—div 5.7.2</w:t>
      </w:r>
      <w:bookmarkEnd w:id="1581"/>
    </w:p>
    <w:p w14:paraId="557BB25B" w14:textId="77777777"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14:paraId="0576385C" w14:textId="77777777" w:rsidR="00D94935" w:rsidRDefault="00D94935" w:rsidP="00D94935">
      <w:pPr>
        <w:pStyle w:val="AH5Sec"/>
      </w:pPr>
      <w:bookmarkStart w:id="1582" w:name="_Toc185515198"/>
      <w:r w:rsidRPr="00C8328B">
        <w:rPr>
          <w:rStyle w:val="CharSectNo"/>
        </w:rPr>
        <w:lastRenderedPageBreak/>
        <w:t>5831</w:t>
      </w:r>
      <w:r>
        <w:tab/>
        <w:t>Definitions—div 5.7.2</w:t>
      </w:r>
      <w:bookmarkEnd w:id="1582"/>
    </w:p>
    <w:p w14:paraId="235CD918" w14:textId="77777777" w:rsidR="00D94935" w:rsidRDefault="00D94935" w:rsidP="00D94935">
      <w:pPr>
        <w:pStyle w:val="Amainreturn"/>
        <w:keepNext/>
      </w:pPr>
      <w:r>
        <w:t>In this division:</w:t>
      </w:r>
    </w:p>
    <w:p w14:paraId="3C0145FC" w14:textId="77777777"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14:paraId="17E6AD57" w14:textId="77777777" w:rsidR="00D94935" w:rsidRDefault="00D94935" w:rsidP="00D94935">
      <w:pPr>
        <w:pStyle w:val="aDef"/>
        <w:keepNext/>
      </w:pPr>
      <w:r w:rsidRPr="006364FA">
        <w:rPr>
          <w:rStyle w:val="charBoldItals"/>
        </w:rPr>
        <w:t>Supreme Court</w:t>
      </w:r>
      <w:r>
        <w:t>—</w:t>
      </w:r>
    </w:p>
    <w:p w14:paraId="07949F73" w14:textId="77777777" w:rsidR="00D94935" w:rsidRDefault="00D94935" w:rsidP="00D94935">
      <w:pPr>
        <w:pStyle w:val="aDefpara"/>
      </w:pPr>
      <w:r>
        <w:tab/>
        <w:t>(a)</w:t>
      </w:r>
      <w:r>
        <w:tab/>
        <w:t>means the Supreme Court otherwise than when it is the Court of Appeal; but</w:t>
      </w:r>
    </w:p>
    <w:p w14:paraId="6BB5C522" w14:textId="77777777" w:rsidR="00D94935" w:rsidRDefault="00D94935" w:rsidP="00D94935">
      <w:pPr>
        <w:pStyle w:val="aDefpara"/>
      </w:pPr>
      <w:r>
        <w:tab/>
        <w:t>(b)</w:t>
      </w:r>
      <w:r>
        <w:tab/>
        <w:t>does not include—</w:t>
      </w:r>
    </w:p>
    <w:p w14:paraId="375898B2" w14:textId="77777777"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14:paraId="5CE6BB81" w14:textId="77777777" w:rsidR="00D94935" w:rsidRDefault="00D94935" w:rsidP="00D94935">
      <w:pPr>
        <w:pStyle w:val="aDefsubpara"/>
      </w:pPr>
      <w:r>
        <w:tab/>
        <w:t>(ii)</w:t>
      </w:r>
      <w:r>
        <w:tab/>
        <w:t>the registrar.</w:t>
      </w:r>
    </w:p>
    <w:p w14:paraId="1AB431B6" w14:textId="77777777" w:rsidR="00D94935" w:rsidRDefault="00D94935" w:rsidP="00D94935">
      <w:pPr>
        <w:pStyle w:val="AH5Sec"/>
      </w:pPr>
      <w:bookmarkStart w:id="1583" w:name="_Toc185515199"/>
      <w:r w:rsidRPr="00C8328B">
        <w:rPr>
          <w:rStyle w:val="CharSectNo"/>
        </w:rPr>
        <w:t>5832</w:t>
      </w:r>
      <w:r>
        <w:tab/>
        <w:t>Question referred to Court of Appeal—form</w:t>
      </w:r>
      <w:bookmarkEnd w:id="1583"/>
    </w:p>
    <w:p w14:paraId="0DE3D189" w14:textId="77777777" w:rsidR="00D94935" w:rsidRDefault="00D94935" w:rsidP="00D94935">
      <w:pPr>
        <w:pStyle w:val="Amain"/>
        <w:keepNext/>
      </w:pPr>
      <w:r>
        <w:tab/>
        <w:t>(1)</w:t>
      </w:r>
      <w:r>
        <w:tab/>
        <w:t>A question referred to the Court of Appeal must be in the form of a special case.</w:t>
      </w:r>
    </w:p>
    <w:p w14:paraId="77EA3402" w14:textId="6898B030"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8" w:history="1">
        <w:r>
          <w:rPr>
            <w:rStyle w:val="charCitHyperlinkAbbrev"/>
          </w:rPr>
          <w:t>AF2015-60</w:t>
        </w:r>
      </w:hyperlink>
      <w:r>
        <w:t>.</w:t>
      </w:r>
    </w:p>
    <w:p w14:paraId="6EDA1640" w14:textId="77777777" w:rsidR="00D94935" w:rsidRDefault="00D94935" w:rsidP="00D94935">
      <w:pPr>
        <w:pStyle w:val="Amain"/>
      </w:pPr>
      <w:r>
        <w:tab/>
        <w:t>(2)</w:t>
      </w:r>
      <w:r>
        <w:tab/>
        <w:t>The special case must—</w:t>
      </w:r>
    </w:p>
    <w:p w14:paraId="3F949A40" w14:textId="77777777" w:rsidR="00D94935" w:rsidRDefault="00D94935" w:rsidP="00D94935">
      <w:pPr>
        <w:pStyle w:val="Apara"/>
      </w:pPr>
      <w:r>
        <w:tab/>
        <w:t>(a)</w:t>
      </w:r>
      <w:r>
        <w:tab/>
        <w:t>state the questions to be decided; and</w:t>
      </w:r>
    </w:p>
    <w:p w14:paraId="42EE4C9C" w14:textId="2E878042" w:rsidR="00D94935" w:rsidRDefault="00D94935" w:rsidP="00D94935">
      <w:pPr>
        <w:pStyle w:val="Apara"/>
      </w:pPr>
      <w:r>
        <w:tab/>
        <w:t>(b)</w:t>
      </w:r>
      <w:r>
        <w:tab/>
        <w:t xml:space="preserve">briefly state the facts, and </w:t>
      </w:r>
      <w:r w:rsidR="00C94D4D" w:rsidRPr="00C1177F">
        <w:t>be accompanied by</w:t>
      </w:r>
      <w:r>
        <w:t xml:space="preserve"> all documents, necessary to allow the Court of Appeal to decide the questions raised by the special case; and</w:t>
      </w:r>
    </w:p>
    <w:p w14:paraId="4AFDE1D3" w14:textId="77777777" w:rsidR="00D94935" w:rsidRDefault="00D94935" w:rsidP="00D94935">
      <w:pPr>
        <w:pStyle w:val="Apara"/>
      </w:pPr>
      <w:r>
        <w:tab/>
        <w:t>(c)</w:t>
      </w:r>
      <w:r>
        <w:tab/>
        <w:t>be divided into paragraphs numbered consecutively.</w:t>
      </w:r>
    </w:p>
    <w:p w14:paraId="08CD3DBD"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44C62638" w14:textId="77777777" w:rsidR="00D94935" w:rsidRDefault="00D94935" w:rsidP="00D94935">
      <w:pPr>
        <w:pStyle w:val="AH5Sec"/>
      </w:pPr>
      <w:bookmarkStart w:id="1584" w:name="_Toc185515200"/>
      <w:r w:rsidRPr="00C8328B">
        <w:rPr>
          <w:rStyle w:val="CharSectNo"/>
        </w:rPr>
        <w:lastRenderedPageBreak/>
        <w:t>5833</w:t>
      </w:r>
      <w:r>
        <w:tab/>
        <w:t>Special case to Court of Appeal—preparation and settling</w:t>
      </w:r>
      <w:bookmarkEnd w:id="1584"/>
    </w:p>
    <w:p w14:paraId="00B512C8" w14:textId="77777777" w:rsidR="00D94935" w:rsidRDefault="00D94935" w:rsidP="00E87BCD">
      <w:pPr>
        <w:pStyle w:val="Amainreturn"/>
        <w:keepNext/>
      </w:pPr>
      <w:r>
        <w:t>Unless the Supreme Court otherwise orders, the special case must be—</w:t>
      </w:r>
    </w:p>
    <w:p w14:paraId="3D9E2D5E" w14:textId="77777777" w:rsidR="00D94935" w:rsidRDefault="00D94935" w:rsidP="00D94935">
      <w:pPr>
        <w:pStyle w:val="Apara"/>
      </w:pPr>
      <w:r>
        <w:tab/>
        <w:t>(a)</w:t>
      </w:r>
      <w:r>
        <w:tab/>
        <w:t>prepared in draft by the party having conduct of the special case after consultation with each other active party; and</w:t>
      </w:r>
    </w:p>
    <w:p w14:paraId="783F3727"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2C33CDD4" w14:textId="77777777" w:rsidR="00D94935" w:rsidRDefault="00D94935" w:rsidP="00D94935">
      <w:pPr>
        <w:pStyle w:val="Apara"/>
      </w:pPr>
      <w:r>
        <w:tab/>
        <w:t>(b)</w:t>
      </w:r>
      <w:r>
        <w:tab/>
        <w:t>settled by the Supreme Court; and</w:t>
      </w:r>
    </w:p>
    <w:p w14:paraId="5A6BFED4" w14:textId="77777777" w:rsidR="00D94935" w:rsidRDefault="00D94935" w:rsidP="00D94935">
      <w:pPr>
        <w:pStyle w:val="Apara"/>
      </w:pPr>
      <w:r>
        <w:tab/>
        <w:t>(c)</w:t>
      </w:r>
      <w:r>
        <w:tab/>
        <w:t>served on each active party; and</w:t>
      </w:r>
    </w:p>
    <w:p w14:paraId="7C1BE96C" w14:textId="77777777" w:rsidR="00D94935" w:rsidRDefault="00D94935" w:rsidP="00D94935">
      <w:pPr>
        <w:pStyle w:val="Apara"/>
        <w:keepNext/>
      </w:pPr>
      <w:r>
        <w:tab/>
        <w:t>(d)</w:t>
      </w:r>
      <w:r>
        <w:tab/>
        <w:t>filed in the Supreme Court.</w:t>
      </w:r>
    </w:p>
    <w:p w14:paraId="55D6CF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CDD273B" w14:textId="77777777" w:rsidR="00D94935" w:rsidRDefault="00D94935" w:rsidP="00D94935">
      <w:pPr>
        <w:pStyle w:val="AH5Sec"/>
      </w:pPr>
      <w:bookmarkStart w:id="1585" w:name="_Toc185515201"/>
      <w:r w:rsidRPr="00C8328B">
        <w:rPr>
          <w:rStyle w:val="CharSectNo"/>
        </w:rPr>
        <w:t>5834</w:t>
      </w:r>
      <w:r>
        <w:tab/>
        <w:t>Special case to Court of Appeal—setting down for hearing</w:t>
      </w:r>
      <w:bookmarkEnd w:id="1585"/>
    </w:p>
    <w:p w14:paraId="3B36C81E" w14:textId="77777777" w:rsidR="00D94935" w:rsidRDefault="00D94935" w:rsidP="00D94935">
      <w:pPr>
        <w:pStyle w:val="Amainreturn"/>
      </w:pPr>
      <w:r>
        <w:t>On filing of the special case in the Supreme Court, the registrar, if satisfied that all the active parties have been served with the special case, must—</w:t>
      </w:r>
    </w:p>
    <w:p w14:paraId="3FA7FDE4" w14:textId="77777777" w:rsidR="00D94935" w:rsidRDefault="00D94935" w:rsidP="00D94935">
      <w:pPr>
        <w:pStyle w:val="Apara"/>
      </w:pPr>
      <w:r>
        <w:tab/>
        <w:t>(a)</w:t>
      </w:r>
      <w:r>
        <w:tab/>
        <w:t>set a date for the hearing of the special case; and</w:t>
      </w:r>
    </w:p>
    <w:p w14:paraId="2AC3E93F" w14:textId="77777777" w:rsidR="00D94935" w:rsidRDefault="00D94935" w:rsidP="00D94935">
      <w:pPr>
        <w:pStyle w:val="Apara"/>
      </w:pPr>
      <w:r>
        <w:tab/>
        <w:t>(b)</w:t>
      </w:r>
      <w:r>
        <w:tab/>
        <w:t>tell the parties the date set for the hearing.</w:t>
      </w:r>
    </w:p>
    <w:p w14:paraId="38D7F26D" w14:textId="77777777" w:rsidR="00D94935" w:rsidRDefault="00D94935" w:rsidP="00D94935">
      <w:pPr>
        <w:pStyle w:val="AH5Sec"/>
      </w:pPr>
      <w:bookmarkStart w:id="1586" w:name="_Toc185515202"/>
      <w:r w:rsidRPr="00C8328B">
        <w:rPr>
          <w:rStyle w:val="CharSectNo"/>
        </w:rPr>
        <w:t>5835</w:t>
      </w:r>
      <w:r>
        <w:tab/>
        <w:t>Special case to Court of Appeal—court can draw inferences</w:t>
      </w:r>
      <w:bookmarkEnd w:id="1586"/>
    </w:p>
    <w:p w14:paraId="4F7BFF96" w14:textId="1F502252" w:rsidR="00D94935" w:rsidRDefault="00D94935" w:rsidP="00D94935">
      <w:pPr>
        <w:pStyle w:val="Amainreturn"/>
      </w:pPr>
      <w:r>
        <w:t xml:space="preserve">For a special case under this division, the Court of Appeal may draw from the facts stated in, and the documents </w:t>
      </w:r>
      <w:r w:rsidR="00C94D4D" w:rsidRPr="00C1177F">
        <w:t>accompanying</w:t>
      </w:r>
      <w:r>
        <w:t>, the special case any inference (of fact or law) that might have been drawn from them if proved at trial.</w:t>
      </w:r>
    </w:p>
    <w:p w14:paraId="6308FBFA" w14:textId="77777777" w:rsidR="00D94935" w:rsidRDefault="00D94935" w:rsidP="00D94935">
      <w:pPr>
        <w:pStyle w:val="AH5Sec"/>
      </w:pPr>
      <w:bookmarkStart w:id="1587" w:name="_Toc185515203"/>
      <w:r w:rsidRPr="00C8328B">
        <w:rPr>
          <w:rStyle w:val="CharSectNo"/>
        </w:rPr>
        <w:lastRenderedPageBreak/>
        <w:t>5836</w:t>
      </w:r>
      <w:r>
        <w:tab/>
        <w:t>Special case to Court of Appeal—agreement about damages and costs</w:t>
      </w:r>
      <w:bookmarkEnd w:id="1587"/>
    </w:p>
    <w:p w14:paraId="6AB78188" w14:textId="77777777"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14:paraId="1CF124D6"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A1EE4D4" w14:textId="77777777" w:rsidR="00D94935" w:rsidRDefault="00D94935" w:rsidP="00D94935">
      <w:pPr>
        <w:pStyle w:val="Amain"/>
        <w:keepNext/>
      </w:pPr>
      <w:r>
        <w:tab/>
        <w:t>(3)</w:t>
      </w:r>
      <w:r>
        <w:tab/>
        <w:t>In this rule:</w:t>
      </w:r>
    </w:p>
    <w:p w14:paraId="3E3D96F8" w14:textId="77777777" w:rsidR="00D94935" w:rsidRDefault="00D94935" w:rsidP="00D94935">
      <w:pPr>
        <w:pStyle w:val="aDef"/>
      </w:pPr>
      <w:r w:rsidRPr="006364FA">
        <w:rPr>
          <w:rStyle w:val="charBoldItals"/>
        </w:rPr>
        <w:t xml:space="preserve">stated amount </w:t>
      </w:r>
      <w:r>
        <w:t>means—</w:t>
      </w:r>
    </w:p>
    <w:p w14:paraId="5BD58EE5" w14:textId="77777777" w:rsidR="00D94935" w:rsidRDefault="00D94935" w:rsidP="00D94935">
      <w:pPr>
        <w:pStyle w:val="aDefpara"/>
      </w:pPr>
      <w:r>
        <w:tab/>
        <w:t>(a)</w:t>
      </w:r>
      <w:r>
        <w:tab/>
        <w:t>an amount agreed by the parties; or</w:t>
      </w:r>
    </w:p>
    <w:p w14:paraId="2AD7C920" w14:textId="77777777" w:rsidR="00D94935" w:rsidRDefault="00D94935" w:rsidP="00D94935">
      <w:pPr>
        <w:pStyle w:val="aDefpara"/>
      </w:pPr>
      <w:r>
        <w:tab/>
        <w:t>(b)</w:t>
      </w:r>
      <w:r>
        <w:tab/>
        <w:t>an amount set by the Court of Appeal; or</w:t>
      </w:r>
    </w:p>
    <w:p w14:paraId="334B939D" w14:textId="77777777" w:rsidR="00D94935" w:rsidRDefault="00D94935" w:rsidP="00D94935">
      <w:pPr>
        <w:pStyle w:val="aDefpara"/>
      </w:pPr>
      <w:r>
        <w:tab/>
        <w:t>(c)</w:t>
      </w:r>
      <w:r>
        <w:tab/>
        <w:t>an amount set in the way agreed by the parties or as the Court of Appeal orders.</w:t>
      </w:r>
    </w:p>
    <w:p w14:paraId="756AB058" w14:textId="77777777" w:rsidR="00D94935" w:rsidRDefault="00D94935" w:rsidP="00D94935">
      <w:pPr>
        <w:pStyle w:val="PageBreak"/>
      </w:pPr>
      <w:r>
        <w:br w:type="page"/>
      </w:r>
    </w:p>
    <w:p w14:paraId="18FC16A8" w14:textId="77777777" w:rsidR="00D94935" w:rsidRPr="00C8328B" w:rsidRDefault="00D94935" w:rsidP="00D94935">
      <w:pPr>
        <w:pStyle w:val="AH2Part"/>
      </w:pPr>
      <w:bookmarkStart w:id="1588" w:name="_Toc185515204"/>
      <w:r w:rsidRPr="00C8328B">
        <w:rPr>
          <w:rStyle w:val="CharPartNo"/>
        </w:rPr>
        <w:lastRenderedPageBreak/>
        <w:t>Part 5.8</w:t>
      </w:r>
      <w:r>
        <w:tab/>
      </w:r>
      <w:r w:rsidRPr="00C8328B">
        <w:rPr>
          <w:rStyle w:val="CharPartText"/>
        </w:rPr>
        <w:t>Written cases</w:t>
      </w:r>
      <w:bookmarkEnd w:id="1588"/>
    </w:p>
    <w:p w14:paraId="19FDFA15" w14:textId="77777777" w:rsidR="00D94935" w:rsidRDefault="00D94935" w:rsidP="00D94935">
      <w:pPr>
        <w:pStyle w:val="Placeholder"/>
      </w:pPr>
      <w:r>
        <w:rPr>
          <w:rStyle w:val="CharDivNo"/>
        </w:rPr>
        <w:t xml:space="preserve">  </w:t>
      </w:r>
      <w:r>
        <w:rPr>
          <w:rStyle w:val="CharDivText"/>
        </w:rPr>
        <w:t xml:space="preserve">  </w:t>
      </w:r>
    </w:p>
    <w:p w14:paraId="3F6FC34F" w14:textId="77777777" w:rsidR="00D94935" w:rsidRDefault="00D94935" w:rsidP="00D94935">
      <w:pPr>
        <w:pStyle w:val="AH5Sec"/>
      </w:pPr>
      <w:bookmarkStart w:id="1589" w:name="_Toc185515205"/>
      <w:r w:rsidRPr="00C8328B">
        <w:rPr>
          <w:rStyle w:val="CharSectNo"/>
        </w:rPr>
        <w:t>5850</w:t>
      </w:r>
      <w:r>
        <w:tab/>
        <w:t>Definitions—pt 5.8</w:t>
      </w:r>
      <w:bookmarkEnd w:id="1589"/>
    </w:p>
    <w:p w14:paraId="3DA472B5" w14:textId="77777777" w:rsidR="00D94935" w:rsidRDefault="00D94935" w:rsidP="00D94935">
      <w:pPr>
        <w:pStyle w:val="Amainreturn"/>
        <w:keepNext/>
      </w:pPr>
      <w:r>
        <w:t>In this part:</w:t>
      </w:r>
    </w:p>
    <w:p w14:paraId="68D16EC1" w14:textId="77777777" w:rsidR="00D94935" w:rsidRDefault="00D94935" w:rsidP="00D94935">
      <w:pPr>
        <w:pStyle w:val="aDef"/>
      </w:pPr>
      <w:r>
        <w:rPr>
          <w:rStyle w:val="charBoldItals"/>
        </w:rPr>
        <w:t>appeal</w:t>
      </w:r>
      <w:r>
        <w:t xml:space="preserve"> means—</w:t>
      </w:r>
    </w:p>
    <w:p w14:paraId="4592DC9F" w14:textId="77777777" w:rsidR="00D94935" w:rsidRDefault="00D94935" w:rsidP="00D94935">
      <w:pPr>
        <w:pStyle w:val="aDefpara"/>
      </w:pPr>
      <w:r>
        <w:tab/>
        <w:t>(a)</w:t>
      </w:r>
      <w:r>
        <w:tab/>
        <w:t>an application for further time to apply for leave to appeal under part 5.3 (Appeals to Supreme Court) or part 5.4 (Appeals to Court of Appeal); or</w:t>
      </w:r>
    </w:p>
    <w:p w14:paraId="2E2698EE" w14:textId="77777777" w:rsidR="00D94935" w:rsidRDefault="00D94935" w:rsidP="00D94935">
      <w:pPr>
        <w:pStyle w:val="aDefpara"/>
      </w:pPr>
      <w:r>
        <w:tab/>
        <w:t>(b)</w:t>
      </w:r>
      <w:r>
        <w:tab/>
        <w:t>an appeal or application for leave to appeal (or leave to appeal out of time) to the Supreme Court under part 5.3; or</w:t>
      </w:r>
    </w:p>
    <w:p w14:paraId="19C59BC9" w14:textId="77777777"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14:paraId="4CF61FC5" w14:textId="77777777"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14:paraId="192DB9C9" w14:textId="77777777"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14:paraId="0A3D191B" w14:textId="77777777" w:rsidR="00D94935" w:rsidRPr="006364FA" w:rsidRDefault="00D94935" w:rsidP="00D94935">
      <w:pPr>
        <w:pStyle w:val="aDef"/>
        <w:keepNext/>
      </w:pPr>
      <w:r>
        <w:rPr>
          <w:rStyle w:val="charBoldItals"/>
        </w:rPr>
        <w:t>appellant</w:t>
      </w:r>
      <w:r w:rsidRPr="006364FA">
        <w:t xml:space="preserve"> means—</w:t>
      </w:r>
    </w:p>
    <w:p w14:paraId="64F8E66A" w14:textId="77777777" w:rsidR="00D94935" w:rsidRDefault="00D94935" w:rsidP="00D94935">
      <w:pPr>
        <w:pStyle w:val="aDefpara"/>
      </w:pPr>
      <w:r>
        <w:tab/>
        <w:t>(a)</w:t>
      </w:r>
      <w:r>
        <w:tab/>
        <w:t>for an appeal to the Supreme Court—</w:t>
      </w:r>
    </w:p>
    <w:p w14:paraId="3BAC66E5" w14:textId="77777777" w:rsidR="00D94935" w:rsidRDefault="00D94935" w:rsidP="00D94935">
      <w:pPr>
        <w:pStyle w:val="aDefsubpara"/>
      </w:pPr>
      <w:r>
        <w:tab/>
        <w:t>(i)</w:t>
      </w:r>
      <w:r>
        <w:tab/>
        <w:t>a person applying for further time to apply for leave to appeal under part 5.3; or</w:t>
      </w:r>
    </w:p>
    <w:p w14:paraId="5FF438BB" w14:textId="77777777"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14:paraId="37313A19" w14:textId="77777777" w:rsidR="00D94935" w:rsidRDefault="00D94935" w:rsidP="00D94935">
      <w:pPr>
        <w:pStyle w:val="aDefsubpara"/>
      </w:pPr>
      <w:r>
        <w:tab/>
        <w:t>(iii)</w:t>
      </w:r>
      <w:r>
        <w:tab/>
        <w:t>a person appealing under part 5.3; and</w:t>
      </w:r>
    </w:p>
    <w:p w14:paraId="768E9497" w14:textId="77777777" w:rsidR="00D94935" w:rsidRDefault="00D94935" w:rsidP="00E34AA7">
      <w:pPr>
        <w:pStyle w:val="aDefpara"/>
        <w:keepNext/>
      </w:pPr>
      <w:r w:rsidRPr="006364FA">
        <w:lastRenderedPageBreak/>
        <w:tab/>
        <w:t>(b)</w:t>
      </w:r>
      <w:r w:rsidRPr="006364FA">
        <w:tab/>
        <w:t>for an appeal to the Court of Appeal</w:t>
      </w:r>
      <w:r>
        <w:t>—</w:t>
      </w:r>
    </w:p>
    <w:p w14:paraId="56E757F2" w14:textId="77777777" w:rsidR="00D94935" w:rsidRDefault="00D94935" w:rsidP="00D94935">
      <w:pPr>
        <w:pStyle w:val="aDefsubpara"/>
      </w:pPr>
      <w:r>
        <w:tab/>
        <w:t>(i)</w:t>
      </w:r>
      <w:r>
        <w:tab/>
        <w:t>a person applying for further time to apply for leave to appeal under part 5.4; or</w:t>
      </w:r>
    </w:p>
    <w:p w14:paraId="0425B8C2" w14:textId="77777777"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14:paraId="362D95C9" w14:textId="77777777"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14:paraId="0DD8196A" w14:textId="77777777" w:rsidR="00D94935" w:rsidRDefault="00D94935" w:rsidP="00D94935">
      <w:pPr>
        <w:pStyle w:val="aDefsubpara"/>
      </w:pPr>
      <w:r>
        <w:tab/>
        <w:t>(iv)</w:t>
      </w:r>
      <w:r>
        <w:tab/>
        <w:t>an applicant for leave to file a notice of appeal under rule 5405 (2); or</w:t>
      </w:r>
    </w:p>
    <w:p w14:paraId="36539F5F" w14:textId="77777777" w:rsidR="00D94935" w:rsidRDefault="00D94935" w:rsidP="00D94935">
      <w:pPr>
        <w:pStyle w:val="aDefsubpara"/>
      </w:pPr>
      <w:r>
        <w:tab/>
        <w:t>(v)</w:t>
      </w:r>
      <w:r>
        <w:tab/>
        <w:t>a person appealing under part 5.4.</w:t>
      </w:r>
    </w:p>
    <w:p w14:paraId="4115CB44" w14:textId="77777777"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7C23BBAD" w14:textId="77777777" w:rsidR="00D94935" w:rsidRDefault="00D94935" w:rsidP="00D94935">
      <w:pPr>
        <w:pStyle w:val="AH5Sec"/>
      </w:pPr>
      <w:bookmarkStart w:id="1590" w:name="_Toc185515206"/>
      <w:r w:rsidRPr="00C8328B">
        <w:rPr>
          <w:rStyle w:val="CharSectNo"/>
        </w:rPr>
        <w:t>5851</w:t>
      </w:r>
      <w:r>
        <w:tab/>
        <w:t>Application of pt 5.8 to div 5.6.1 etc</w:t>
      </w:r>
      <w:bookmarkEnd w:id="1590"/>
    </w:p>
    <w:p w14:paraId="01E3E319" w14:textId="77777777" w:rsidR="00D94935" w:rsidRDefault="00D94935" w:rsidP="00D94935">
      <w:pPr>
        <w:pStyle w:val="Amainreturn"/>
      </w:pPr>
      <w:r>
        <w:t>This part applies, with necessary changes, to—</w:t>
      </w:r>
    </w:p>
    <w:p w14:paraId="1E8BE451" w14:textId="77777777" w:rsidR="00D94935" w:rsidRDefault="00D94935" w:rsidP="00D94935">
      <w:pPr>
        <w:pStyle w:val="Apara"/>
      </w:pPr>
      <w:r>
        <w:tab/>
        <w:t>(a)</w:t>
      </w:r>
      <w:r>
        <w:tab/>
        <w:t>division 5.6.1 (Reference appeals—Supreme Court); and</w:t>
      </w:r>
    </w:p>
    <w:p w14:paraId="77C2ADAC" w14:textId="77777777" w:rsidR="00D94935" w:rsidRDefault="00D94935" w:rsidP="00D94935">
      <w:pPr>
        <w:pStyle w:val="Apara"/>
      </w:pPr>
      <w:r>
        <w:tab/>
        <w:t>(b)</w:t>
      </w:r>
      <w:r>
        <w:tab/>
        <w:t>division 5.6.2 (Reference appeals—Court of Appeal); and</w:t>
      </w:r>
    </w:p>
    <w:p w14:paraId="028DA3D0" w14:textId="77777777" w:rsidR="00D94935" w:rsidRDefault="00D94935" w:rsidP="00D94935">
      <w:pPr>
        <w:pStyle w:val="Apara"/>
      </w:pPr>
      <w:r>
        <w:tab/>
        <w:t>(c)</w:t>
      </w:r>
      <w:r>
        <w:tab/>
        <w:t>division 5.7.1 (Questions referred—Supreme Court); and</w:t>
      </w:r>
    </w:p>
    <w:p w14:paraId="0ED20DA6" w14:textId="77777777" w:rsidR="00D94935" w:rsidRDefault="00D94935" w:rsidP="00D94935">
      <w:pPr>
        <w:pStyle w:val="Apara"/>
      </w:pPr>
      <w:r>
        <w:tab/>
        <w:t>(d)</w:t>
      </w:r>
      <w:r>
        <w:tab/>
        <w:t>division 5.7.2 (Questions referred—Court of Appeal).</w:t>
      </w:r>
    </w:p>
    <w:p w14:paraId="2B625DCB" w14:textId="77777777" w:rsidR="00D94935" w:rsidRDefault="00D94935" w:rsidP="00D94935">
      <w:pPr>
        <w:pStyle w:val="AH5Sec"/>
      </w:pPr>
      <w:bookmarkStart w:id="1591" w:name="_Toc185515207"/>
      <w:r w:rsidRPr="00C8328B">
        <w:rPr>
          <w:rStyle w:val="CharSectNo"/>
        </w:rPr>
        <w:lastRenderedPageBreak/>
        <w:t>5852</w:t>
      </w:r>
      <w:r>
        <w:tab/>
        <w:t>Written cases—when used</w:t>
      </w:r>
      <w:bookmarkEnd w:id="1591"/>
    </w:p>
    <w:p w14:paraId="77B4FFF9" w14:textId="77777777"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14:paraId="75CCDB61" w14:textId="77777777"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14:paraId="4F09160B" w14:textId="77777777" w:rsidR="00D94935" w:rsidRDefault="00D94935" w:rsidP="00D94935">
      <w:pPr>
        <w:pStyle w:val="Amain"/>
      </w:pPr>
      <w:r>
        <w:tab/>
        <w:t>(3)</w:t>
      </w:r>
      <w:r>
        <w:tab/>
        <w:t>Subrule (2) is subject to rule 5534 (2) (Appeals to Court of Appeal—written case and presence if convicted person appellant).</w:t>
      </w:r>
    </w:p>
    <w:p w14:paraId="2A9F7CF0" w14:textId="77777777"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14:paraId="4388CDF7" w14:textId="77777777" w:rsidR="00D94935" w:rsidRDefault="00D94935" w:rsidP="00D94935">
      <w:pPr>
        <w:pStyle w:val="Amain"/>
      </w:pPr>
      <w:r>
        <w:tab/>
        <w:t>(4)</w:t>
      </w:r>
      <w:r>
        <w:tab/>
        <w:t>This rule does not prevent the Court of Appeal or Supreme Court requiring the parties or a party to present oral argument.</w:t>
      </w:r>
    </w:p>
    <w:p w14:paraId="72526135" w14:textId="77777777" w:rsidR="00D94935" w:rsidRDefault="00D94935" w:rsidP="00D94935">
      <w:pPr>
        <w:pStyle w:val="AH5Sec"/>
      </w:pPr>
      <w:bookmarkStart w:id="1592" w:name="_Toc185515208"/>
      <w:r w:rsidRPr="00C8328B">
        <w:rPr>
          <w:rStyle w:val="CharSectNo"/>
        </w:rPr>
        <w:t>5853</w:t>
      </w:r>
      <w:r>
        <w:tab/>
        <w:t>Written cases—appellant wants written case</w:t>
      </w:r>
      <w:bookmarkEnd w:id="1592"/>
    </w:p>
    <w:p w14:paraId="5D681E58" w14:textId="77777777" w:rsidR="00D94935" w:rsidRDefault="00D94935" w:rsidP="00D94935">
      <w:pPr>
        <w:pStyle w:val="Amainreturn"/>
        <w:keepNext/>
      </w:pPr>
      <w:r>
        <w:t>An appellant may indicate, in accordance with this chapter, that the appellant wants to present his or her case in writing.</w:t>
      </w:r>
    </w:p>
    <w:p w14:paraId="7E610BFA" w14:textId="77777777" w:rsidR="00D94935" w:rsidRDefault="00D94935" w:rsidP="00D94935">
      <w:pPr>
        <w:pStyle w:val="aNote"/>
        <w:keepNext/>
      </w:pPr>
      <w:r>
        <w:rPr>
          <w:rStyle w:val="charItals"/>
        </w:rPr>
        <w:t>Note</w:t>
      </w:r>
      <w:r>
        <w:rPr>
          <w:rStyle w:val="charItals"/>
        </w:rPr>
        <w:tab/>
      </w:r>
      <w:r>
        <w:t>See the following provisions:</w:t>
      </w:r>
    </w:p>
    <w:p w14:paraId="6C15793E" w14:textId="77777777"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14:paraId="0ED93072" w14:textId="77777777"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14:paraId="3D242EB3" w14:textId="77777777"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14:paraId="30206617" w14:textId="77777777"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14:paraId="65F94AC2" w14:textId="77777777"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14:paraId="27B5DC7B" w14:textId="77777777"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14:paraId="06D812A9"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14:paraId="2A5084CF" w14:textId="77777777"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14:paraId="6E03C181" w14:textId="77777777"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14:paraId="21235692" w14:textId="77777777"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14:paraId="63BCD74F" w14:textId="77777777"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14:paraId="5E9CDB59" w14:textId="77777777" w:rsidR="00D94935" w:rsidRDefault="00D94935" w:rsidP="00D94935">
      <w:pPr>
        <w:pStyle w:val="AH5Sec"/>
      </w:pPr>
      <w:bookmarkStart w:id="1593" w:name="_Toc185515209"/>
      <w:r w:rsidRPr="00C8328B">
        <w:rPr>
          <w:rStyle w:val="CharSectNo"/>
        </w:rPr>
        <w:t>5854</w:t>
      </w:r>
      <w:r>
        <w:tab/>
        <w:t>Written cases—respondent wants written case</w:t>
      </w:r>
      <w:bookmarkEnd w:id="1593"/>
    </w:p>
    <w:p w14:paraId="4297C384" w14:textId="77777777" w:rsidR="00D94935" w:rsidRDefault="00D94935" w:rsidP="00D94935">
      <w:pPr>
        <w:pStyle w:val="Amain"/>
      </w:pPr>
      <w:r>
        <w:tab/>
        <w:t>(1)</w:t>
      </w:r>
      <w:r>
        <w:tab/>
        <w:t>This rule applies if—</w:t>
      </w:r>
    </w:p>
    <w:p w14:paraId="53348528" w14:textId="77777777" w:rsidR="00D94935" w:rsidRDefault="00D94935" w:rsidP="00D94935">
      <w:pPr>
        <w:pStyle w:val="Apara"/>
      </w:pPr>
      <w:r>
        <w:tab/>
        <w:t>(a)</w:t>
      </w:r>
      <w:r>
        <w:tab/>
        <w:t>an appellant indicates, in accordance with this chapter, that the appellant wants to present the appellant’s case in writing; and</w:t>
      </w:r>
    </w:p>
    <w:p w14:paraId="20E52015" w14:textId="77777777" w:rsidR="00D94935" w:rsidRDefault="00D94935" w:rsidP="00D94935">
      <w:pPr>
        <w:pStyle w:val="Apara"/>
      </w:pPr>
      <w:r>
        <w:tab/>
        <w:t>(b)</w:t>
      </w:r>
      <w:r>
        <w:tab/>
        <w:t>a respondent also wants to present his or her case in writing.</w:t>
      </w:r>
    </w:p>
    <w:p w14:paraId="110C8339" w14:textId="77777777" w:rsidR="00D94935" w:rsidRDefault="00D94935" w:rsidP="00D94935">
      <w:pPr>
        <w:pStyle w:val="Amain"/>
      </w:pPr>
      <w:r>
        <w:tab/>
        <w:t>(2)</w:t>
      </w:r>
      <w:r>
        <w:tab/>
        <w:t>The respondent must file a notice stating that the respondent wants to present the respondent’s case in writing.</w:t>
      </w:r>
    </w:p>
    <w:p w14:paraId="2812E106" w14:textId="77777777"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14:paraId="774F694F" w14:textId="77777777"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14:paraId="3C87FC80" w14:textId="77777777" w:rsidR="00D94935" w:rsidRDefault="00D94935" w:rsidP="00D94935">
      <w:pPr>
        <w:pStyle w:val="AH5Sec"/>
      </w:pPr>
      <w:bookmarkStart w:id="1594" w:name="_Toc185515210"/>
      <w:r w:rsidRPr="00C8328B">
        <w:rPr>
          <w:rStyle w:val="CharSectNo"/>
        </w:rPr>
        <w:lastRenderedPageBreak/>
        <w:t>5855</w:t>
      </w:r>
      <w:r>
        <w:tab/>
        <w:t>Written cases—filing etc written case for application</w:t>
      </w:r>
      <w:bookmarkEnd w:id="1594"/>
    </w:p>
    <w:p w14:paraId="47EE9DA1" w14:textId="77777777" w:rsidR="00D94935" w:rsidRDefault="00D94935" w:rsidP="00D94935">
      <w:pPr>
        <w:pStyle w:val="Amain"/>
        <w:keepNext/>
      </w:pPr>
      <w:r>
        <w:tab/>
        <w:t>(1)</w:t>
      </w:r>
      <w:r>
        <w:tab/>
        <w:t>This rule applies if an application is to be dealt with by written case.</w:t>
      </w:r>
    </w:p>
    <w:p w14:paraId="28220F3E" w14:textId="77777777" w:rsidR="00D94935" w:rsidRDefault="00D94935" w:rsidP="00E34AA7">
      <w:pPr>
        <w:pStyle w:val="Amain"/>
        <w:keepNext/>
      </w:pPr>
      <w:r>
        <w:tab/>
        <w:t>(2)</w:t>
      </w:r>
      <w:r>
        <w:tab/>
        <w:t>The appellant (or each appellant) must—</w:t>
      </w:r>
    </w:p>
    <w:p w14:paraId="3DAF8AA0" w14:textId="77777777"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14:paraId="1265F272" w14:textId="77777777"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14:paraId="6C12BC7A" w14:textId="77777777"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14:paraId="25D595F3" w14:textId="77777777"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14:paraId="0DE6480C" w14:textId="77777777" w:rsidR="00D94935" w:rsidRDefault="00D94935" w:rsidP="00D94935">
      <w:pPr>
        <w:pStyle w:val="Amain"/>
      </w:pPr>
      <w:r>
        <w:tab/>
        <w:t>(5)</w:t>
      </w:r>
      <w:r>
        <w:tab/>
        <w:t>In this rule:</w:t>
      </w:r>
    </w:p>
    <w:p w14:paraId="5666B3BF" w14:textId="77777777"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14:paraId="3D0A99DA" w14:textId="77777777"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14:paraId="08B98538" w14:textId="77777777" w:rsidR="00C94D4D" w:rsidRPr="00C1177F" w:rsidRDefault="00C94D4D" w:rsidP="00C94D4D">
      <w:pPr>
        <w:pStyle w:val="aDef"/>
      </w:pPr>
      <w:r w:rsidRPr="00402888">
        <w:rPr>
          <w:rStyle w:val="charBoldItals"/>
        </w:rPr>
        <w:t>required number</w:t>
      </w:r>
      <w:r w:rsidRPr="00C1177F">
        <w:rPr>
          <w:bCs/>
          <w:iCs/>
        </w:rPr>
        <w:t xml:space="preserve"> means—</w:t>
      </w:r>
    </w:p>
    <w:p w14:paraId="503862D3" w14:textId="77777777" w:rsidR="00C94D4D" w:rsidRPr="00C1177F" w:rsidRDefault="00C94D4D" w:rsidP="00C94D4D">
      <w:pPr>
        <w:pStyle w:val="aDefpara"/>
      </w:pPr>
      <w:r w:rsidRPr="00C1177F">
        <w:tab/>
        <w:t>(a)</w:t>
      </w:r>
      <w:r w:rsidRPr="00C1177F">
        <w:tab/>
        <w:t>if the application is filed in electronic form—1; or</w:t>
      </w:r>
    </w:p>
    <w:p w14:paraId="1E341C4F" w14:textId="77777777" w:rsidR="00C94D4D" w:rsidRPr="00C1177F" w:rsidRDefault="00C94D4D" w:rsidP="00C94D4D">
      <w:pPr>
        <w:pStyle w:val="aDefpara"/>
      </w:pPr>
      <w:r w:rsidRPr="00C1177F">
        <w:lastRenderedPageBreak/>
        <w:tab/>
        <w:t>(b)</w:t>
      </w:r>
      <w:r w:rsidRPr="00C1177F">
        <w:tab/>
        <w:t>if the application is filed in paper form—</w:t>
      </w:r>
    </w:p>
    <w:p w14:paraId="502ECC81" w14:textId="77777777" w:rsidR="00C94D4D" w:rsidRPr="00C1177F" w:rsidRDefault="00C94D4D" w:rsidP="00C94D4D">
      <w:pPr>
        <w:pStyle w:val="aDefsubpara"/>
      </w:pPr>
      <w:r>
        <w:tab/>
      </w:r>
      <w:r w:rsidRPr="00C1177F">
        <w:t>(i)</w:t>
      </w:r>
      <w:r w:rsidRPr="00C1177F">
        <w:tab/>
        <w:t>for an application to the Court of Appeal—4; or</w:t>
      </w:r>
    </w:p>
    <w:p w14:paraId="2E68477B" w14:textId="60415C0F" w:rsidR="00C94D4D" w:rsidRPr="00C1177F" w:rsidRDefault="00C94D4D" w:rsidP="00C94D4D">
      <w:pPr>
        <w:pStyle w:val="aDefsubpara"/>
      </w:pPr>
      <w:r w:rsidRPr="00C1177F">
        <w:tab/>
        <w:t>(ii)</w:t>
      </w:r>
      <w:r w:rsidRPr="00C1177F">
        <w:tab/>
        <w:t>for an application to the Supreme Court—1.</w:t>
      </w:r>
    </w:p>
    <w:p w14:paraId="1E9E0C40" w14:textId="77777777" w:rsidR="00D94935" w:rsidRDefault="00D94935" w:rsidP="00D94935">
      <w:pPr>
        <w:pStyle w:val="AH5Sec"/>
      </w:pPr>
      <w:bookmarkStart w:id="1595" w:name="_Toc185515211"/>
      <w:r w:rsidRPr="00C8328B">
        <w:rPr>
          <w:rStyle w:val="CharSectNo"/>
        </w:rPr>
        <w:t>5856</w:t>
      </w:r>
      <w:r>
        <w:tab/>
        <w:t>Written cases—filing etc written case for appeal</w:t>
      </w:r>
      <w:bookmarkEnd w:id="1595"/>
    </w:p>
    <w:p w14:paraId="3048A4B4" w14:textId="77777777" w:rsidR="00D94935" w:rsidRDefault="00D94935" w:rsidP="00D94935">
      <w:pPr>
        <w:pStyle w:val="Amain"/>
        <w:rPr>
          <w:rFonts w:ascii="Arial" w:hAnsi="Arial" w:cs="Arial"/>
          <w:sz w:val="18"/>
        </w:rPr>
      </w:pPr>
      <w:r>
        <w:tab/>
        <w:t>(1)</w:t>
      </w:r>
      <w:r>
        <w:tab/>
        <w:t>This rule applies if an appeal is to be dealt with by written case.</w:t>
      </w:r>
    </w:p>
    <w:p w14:paraId="6DE362BB" w14:textId="77777777"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14:paraId="474F9BDD" w14:textId="77777777"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14:paraId="541B57E8" w14:textId="77777777"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14:paraId="38084B54" w14:textId="77777777" w:rsidR="00D94935" w:rsidRDefault="00D94935" w:rsidP="00D94935">
      <w:pPr>
        <w:pStyle w:val="Amain"/>
      </w:pPr>
      <w:r>
        <w:tab/>
        <w:t>(5)</w:t>
      </w:r>
      <w:r>
        <w:tab/>
        <w:t>In this rule:</w:t>
      </w:r>
    </w:p>
    <w:p w14:paraId="313EAC82" w14:textId="77777777" w:rsidR="00D94935" w:rsidRDefault="00D94935" w:rsidP="00D94935">
      <w:pPr>
        <w:pStyle w:val="aDef"/>
      </w:pPr>
      <w:r w:rsidRPr="006364FA">
        <w:rPr>
          <w:rStyle w:val="charBoldItals"/>
        </w:rPr>
        <w:t>appeal</w:t>
      </w:r>
      <w:r>
        <w:t xml:space="preserve"> means—</w:t>
      </w:r>
    </w:p>
    <w:p w14:paraId="4C6CCCA5" w14:textId="77777777" w:rsidR="00D94935" w:rsidRDefault="00D94935" w:rsidP="00D94935">
      <w:pPr>
        <w:pStyle w:val="aDefpara"/>
      </w:pPr>
      <w:r>
        <w:tab/>
        <w:t>(a)</w:t>
      </w:r>
      <w:r>
        <w:tab/>
        <w:t>an appeal to the Supreme Court under part 5.3 (Appeals to Supreme Court); or</w:t>
      </w:r>
    </w:p>
    <w:p w14:paraId="04F3B27B" w14:textId="77777777" w:rsidR="00D94935" w:rsidRDefault="00D94935" w:rsidP="00D94935">
      <w:pPr>
        <w:pStyle w:val="aDefpara"/>
      </w:pPr>
      <w:r>
        <w:tab/>
        <w:t>(b)</w:t>
      </w:r>
      <w:r>
        <w:tab/>
        <w:t>an appeal to the Court of Appeal under part 5.4 (Appeals to Court of Appeal).</w:t>
      </w:r>
    </w:p>
    <w:p w14:paraId="1412D8AD" w14:textId="77777777" w:rsidR="00D94935" w:rsidRDefault="00D94935" w:rsidP="00D94935">
      <w:pPr>
        <w:pStyle w:val="aDef"/>
      </w:pPr>
      <w:r w:rsidRPr="006364FA">
        <w:rPr>
          <w:rStyle w:val="charBoldItals"/>
        </w:rPr>
        <w:t>appellant</w:t>
      </w:r>
      <w:r>
        <w:t xml:space="preserve"> means a person appealing under part 5.3 or part 5.4.</w:t>
      </w:r>
    </w:p>
    <w:p w14:paraId="4CF42F4C" w14:textId="46759519" w:rsidR="00B4256E" w:rsidRPr="00C1177F" w:rsidRDefault="00B4256E" w:rsidP="00B4256E">
      <w:pPr>
        <w:pStyle w:val="aDef"/>
      </w:pPr>
      <w:r w:rsidRPr="00402888">
        <w:rPr>
          <w:rStyle w:val="charBoldItals"/>
        </w:rPr>
        <w:t>required number</w:t>
      </w:r>
      <w:r w:rsidRPr="00C1177F">
        <w:rPr>
          <w:bCs/>
          <w:iCs/>
        </w:rPr>
        <w:t>—see rule 5855 (5).</w:t>
      </w:r>
    </w:p>
    <w:p w14:paraId="585DF9CB" w14:textId="77777777" w:rsidR="00D94935" w:rsidRDefault="00D94935" w:rsidP="00D94935">
      <w:pPr>
        <w:pStyle w:val="AH5Sec"/>
      </w:pPr>
      <w:bookmarkStart w:id="1596" w:name="_Toc185515212"/>
      <w:r w:rsidRPr="00C8328B">
        <w:rPr>
          <w:rStyle w:val="CharSectNo"/>
        </w:rPr>
        <w:lastRenderedPageBreak/>
        <w:t>5857</w:t>
      </w:r>
      <w:r>
        <w:tab/>
        <w:t>Written cases—form</w:t>
      </w:r>
      <w:bookmarkEnd w:id="1596"/>
    </w:p>
    <w:p w14:paraId="2844B857" w14:textId="77777777" w:rsidR="00D94935" w:rsidRDefault="00D94935" w:rsidP="00D94935">
      <w:pPr>
        <w:pStyle w:val="Amain"/>
      </w:pPr>
      <w:r>
        <w:tab/>
        <w:t>(1)</w:t>
      </w:r>
      <w:r>
        <w:tab/>
        <w:t>The written case of a party must—</w:t>
      </w:r>
    </w:p>
    <w:p w14:paraId="6F60A20B" w14:textId="77777777" w:rsidR="00D94935" w:rsidRDefault="00D94935" w:rsidP="00D94935">
      <w:pPr>
        <w:pStyle w:val="Apara"/>
      </w:pPr>
      <w:r>
        <w:tab/>
        <w:t>(a)</w:t>
      </w:r>
      <w:r>
        <w:tab/>
        <w:t>have a title that includes the title of the proceeding; and</w:t>
      </w:r>
    </w:p>
    <w:p w14:paraId="693561ED" w14:textId="77777777" w:rsidR="00D94935" w:rsidRDefault="00D94935" w:rsidP="00D94935">
      <w:pPr>
        <w:pStyle w:val="Apara"/>
      </w:pPr>
      <w:r>
        <w:tab/>
        <w:t>(b)</w:t>
      </w:r>
      <w:r>
        <w:tab/>
        <w:t>identify the party; and</w:t>
      </w:r>
    </w:p>
    <w:p w14:paraId="3FFAAA86" w14:textId="77777777" w:rsidR="00D94935" w:rsidRDefault="00D94935" w:rsidP="00D94935">
      <w:pPr>
        <w:pStyle w:val="Apara"/>
      </w:pPr>
      <w:r>
        <w:tab/>
        <w:t>(c)</w:t>
      </w:r>
      <w:r>
        <w:tab/>
        <w:t>have consecutively numbered paragraphs; and</w:t>
      </w:r>
    </w:p>
    <w:p w14:paraId="0E6C9FF7" w14:textId="77777777" w:rsidR="00D94935" w:rsidRDefault="00D94935" w:rsidP="00D94935">
      <w:pPr>
        <w:pStyle w:val="Apara"/>
      </w:pPr>
      <w:r>
        <w:tab/>
        <w:t>(d)</w:t>
      </w:r>
      <w:r>
        <w:tab/>
        <w:t>state the issues; and</w:t>
      </w:r>
    </w:p>
    <w:p w14:paraId="78416C91" w14:textId="77777777"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14:paraId="00EEEC78" w14:textId="77777777" w:rsidR="00D94935" w:rsidRDefault="00D94935" w:rsidP="00D94935">
      <w:pPr>
        <w:pStyle w:val="Apara"/>
      </w:pPr>
      <w:r>
        <w:tab/>
        <w:t>(f)</w:t>
      </w:r>
      <w:r>
        <w:tab/>
        <w:t>if there is to be a challenge to any of the findings of fact of the entity appealed from, state—</w:t>
      </w:r>
    </w:p>
    <w:p w14:paraId="68F25962" w14:textId="77777777" w:rsidR="00D94935" w:rsidRDefault="00D94935" w:rsidP="00D94935">
      <w:pPr>
        <w:pStyle w:val="Asubpara"/>
      </w:pPr>
      <w:r>
        <w:tab/>
        <w:t>(i)</w:t>
      </w:r>
      <w:r>
        <w:tab/>
        <w:t>the claimed error (including any failure to make a finding of fact); and</w:t>
      </w:r>
    </w:p>
    <w:p w14:paraId="345C01BC" w14:textId="77777777" w:rsidR="00D94935" w:rsidRDefault="00D94935" w:rsidP="00D94935">
      <w:pPr>
        <w:pStyle w:val="Asubpara"/>
      </w:pPr>
      <w:r>
        <w:tab/>
        <w:t>(ii)</w:t>
      </w:r>
      <w:r>
        <w:tab/>
        <w:t>the reasons why the party considers the finding was an error; and</w:t>
      </w:r>
    </w:p>
    <w:p w14:paraId="48BB5546" w14:textId="77777777" w:rsidR="00D94935" w:rsidRDefault="00D94935" w:rsidP="00D94935">
      <w:pPr>
        <w:pStyle w:val="Asubpara"/>
      </w:pPr>
      <w:r>
        <w:tab/>
        <w:t>(iii)</w:t>
      </w:r>
      <w:r>
        <w:tab/>
        <w:t>the finding that the party considers should have been made; and</w:t>
      </w:r>
    </w:p>
    <w:p w14:paraId="55C33F50" w14:textId="77777777" w:rsidR="00D94935" w:rsidRDefault="00D94935" w:rsidP="00D94935">
      <w:pPr>
        <w:pStyle w:val="Apara"/>
      </w:pPr>
      <w:r>
        <w:tab/>
        <w:t>(g)</w:t>
      </w:r>
      <w:r>
        <w:tab/>
        <w:t>include a chronology of the facts; and</w:t>
      </w:r>
    </w:p>
    <w:p w14:paraId="3E60B495" w14:textId="77777777"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14:paraId="1EFC8DC6" w14:textId="4570571D" w:rsidR="00D94935" w:rsidRDefault="00D94935" w:rsidP="00D94935">
      <w:pPr>
        <w:pStyle w:val="Amain"/>
        <w:keepNext/>
      </w:pPr>
      <w:r>
        <w:tab/>
        <w:t>(2)</w:t>
      </w:r>
      <w:r>
        <w:tab/>
        <w:t xml:space="preserve">If the written case relies on a matter in another document, a copy of the document must </w:t>
      </w:r>
      <w:r w:rsidR="00AA575C">
        <w:t>accompany</w:t>
      </w:r>
      <w:r>
        <w:t xml:space="preserve"> the case and the case must—</w:t>
      </w:r>
    </w:p>
    <w:p w14:paraId="59D7B002" w14:textId="77777777" w:rsidR="00D94935" w:rsidRDefault="00D94935" w:rsidP="00D94935">
      <w:pPr>
        <w:pStyle w:val="Apara"/>
      </w:pPr>
      <w:r>
        <w:tab/>
        <w:t>(a)</w:t>
      </w:r>
      <w:r>
        <w:tab/>
        <w:t>for a document mentioned in subrule (1) (h)—identify the document as mentioned in that paragraph; and</w:t>
      </w:r>
    </w:p>
    <w:p w14:paraId="428816B7" w14:textId="77777777" w:rsidR="00D94935" w:rsidRDefault="00D94935" w:rsidP="00D94935">
      <w:pPr>
        <w:pStyle w:val="Apara"/>
      </w:pPr>
      <w:r>
        <w:tab/>
        <w:t>(b)</w:t>
      </w:r>
      <w:r>
        <w:tab/>
        <w:t>for a transcript—identify the relevant parts by page and line; and</w:t>
      </w:r>
    </w:p>
    <w:p w14:paraId="79DC4A16" w14:textId="77777777" w:rsidR="00D94935" w:rsidRDefault="00D94935" w:rsidP="00D94935">
      <w:pPr>
        <w:pStyle w:val="Apara"/>
      </w:pPr>
      <w:r>
        <w:lastRenderedPageBreak/>
        <w:tab/>
        <w:t>(c)</w:t>
      </w:r>
      <w:r>
        <w:tab/>
        <w:t>for other documents—if relevant, identify the page of the document relied on.</w:t>
      </w:r>
    </w:p>
    <w:p w14:paraId="07D8E891" w14:textId="33258D10" w:rsidR="00B4256E" w:rsidRPr="00C1177F" w:rsidRDefault="00B4256E" w:rsidP="00B4256E">
      <w:pPr>
        <w:pStyle w:val="Amain"/>
      </w:pPr>
      <w:r w:rsidRPr="00C1177F">
        <w:tab/>
        <w:t>(3)</w:t>
      </w:r>
      <w:r w:rsidRPr="00C1177F">
        <w:tab/>
        <w:t>A written case must be—</w:t>
      </w:r>
    </w:p>
    <w:p w14:paraId="275EB7CD" w14:textId="42A17940" w:rsidR="00B4256E" w:rsidRPr="00C1177F" w:rsidRDefault="00B4256E" w:rsidP="00B4256E">
      <w:pPr>
        <w:pStyle w:val="Apara"/>
      </w:pPr>
      <w:r w:rsidRPr="00C1177F">
        <w:tab/>
        <w:t>(a)</w:t>
      </w:r>
      <w:r w:rsidRPr="00C1177F">
        <w:tab/>
        <w:t>clear and legible; and</w:t>
      </w:r>
    </w:p>
    <w:p w14:paraId="77BE04FE" w14:textId="77777777" w:rsidR="00B4256E" w:rsidRPr="00C1177F" w:rsidRDefault="00B4256E" w:rsidP="00B4256E">
      <w:pPr>
        <w:pStyle w:val="Apara"/>
      </w:pPr>
      <w:r w:rsidRPr="00C1177F">
        <w:tab/>
        <w:t>(b)</w:t>
      </w:r>
      <w:r w:rsidRPr="00C1177F">
        <w:tab/>
        <w:t>if filed in paper form—securely fastened but need not be bound.</w:t>
      </w:r>
    </w:p>
    <w:p w14:paraId="609294E9" w14:textId="77777777" w:rsidR="00D94935" w:rsidRDefault="00D94935" w:rsidP="00D94935">
      <w:pPr>
        <w:pStyle w:val="AH5Sec"/>
        <w:rPr>
          <w:b w:val="0"/>
        </w:rPr>
      </w:pPr>
      <w:bookmarkStart w:id="1597" w:name="_Toc185515213"/>
      <w:r w:rsidRPr="00C8328B">
        <w:rPr>
          <w:rStyle w:val="CharSectNo"/>
        </w:rPr>
        <w:t>5858</w:t>
      </w:r>
      <w:r>
        <w:tab/>
        <w:t>Written cases—inspection</w:t>
      </w:r>
      <w:bookmarkEnd w:id="1597"/>
    </w:p>
    <w:p w14:paraId="7267A0AF" w14:textId="77777777" w:rsidR="00D94935" w:rsidRDefault="00D94935" w:rsidP="00D94935">
      <w:pPr>
        <w:pStyle w:val="Amainreturn"/>
      </w:pPr>
      <w:r>
        <w:t>A written case cannot be inspected at the registry unless—</w:t>
      </w:r>
    </w:p>
    <w:p w14:paraId="0C8C44F3" w14:textId="77777777" w:rsidR="00D94935" w:rsidRDefault="00D94935" w:rsidP="00D94935">
      <w:pPr>
        <w:pStyle w:val="Apara"/>
      </w:pPr>
      <w:r>
        <w:tab/>
        <w:t>(a)</w:t>
      </w:r>
      <w:r>
        <w:tab/>
        <w:t>all parties have filed their cases; or</w:t>
      </w:r>
    </w:p>
    <w:p w14:paraId="7C3DDCFD" w14:textId="77777777" w:rsidR="00D94935" w:rsidRDefault="00D94935" w:rsidP="00D94935">
      <w:pPr>
        <w:pStyle w:val="Apara"/>
      </w:pPr>
      <w:r>
        <w:tab/>
        <w:t>(b)</w:t>
      </w:r>
      <w:r>
        <w:tab/>
        <w:t>the appeal or application in which the written case is used has been decided.</w:t>
      </w:r>
    </w:p>
    <w:p w14:paraId="6C53D762" w14:textId="77777777" w:rsidR="00D94935" w:rsidRDefault="00D94935" w:rsidP="00D94935">
      <w:pPr>
        <w:pStyle w:val="PageBreak"/>
      </w:pPr>
      <w:r>
        <w:br w:type="page"/>
      </w:r>
    </w:p>
    <w:p w14:paraId="677AC602" w14:textId="77777777" w:rsidR="00D94935" w:rsidRPr="00C8328B" w:rsidRDefault="00D94935" w:rsidP="00D94935">
      <w:pPr>
        <w:pStyle w:val="AH1Chapter"/>
      </w:pPr>
      <w:bookmarkStart w:id="1598" w:name="_Toc185515214"/>
      <w:r w:rsidRPr="00C8328B">
        <w:rPr>
          <w:rStyle w:val="CharChapNo"/>
        </w:rPr>
        <w:lastRenderedPageBreak/>
        <w:t>Chapter 6</w:t>
      </w:r>
      <w:r>
        <w:tab/>
      </w:r>
      <w:r w:rsidRPr="00C8328B">
        <w:rPr>
          <w:rStyle w:val="CharChapText"/>
        </w:rPr>
        <w:t>General rules for all proceedings</w:t>
      </w:r>
      <w:bookmarkEnd w:id="1598"/>
    </w:p>
    <w:p w14:paraId="6C0B1ADB" w14:textId="77777777" w:rsidR="00D94935" w:rsidRPr="00C8328B" w:rsidRDefault="00D94935" w:rsidP="00D94935">
      <w:pPr>
        <w:pStyle w:val="AH2Part"/>
      </w:pPr>
      <w:bookmarkStart w:id="1599" w:name="_Toc185515215"/>
      <w:r w:rsidRPr="00C8328B">
        <w:rPr>
          <w:rStyle w:val="CharPartNo"/>
        </w:rPr>
        <w:t>Part 6.1</w:t>
      </w:r>
      <w:r>
        <w:tab/>
      </w:r>
      <w:r w:rsidRPr="00C8328B">
        <w:rPr>
          <w:rStyle w:val="CharPartText"/>
        </w:rPr>
        <w:t>Introductory provisions—ch 6</w:t>
      </w:r>
      <w:bookmarkEnd w:id="1599"/>
    </w:p>
    <w:p w14:paraId="0112457D" w14:textId="77777777" w:rsidR="00D94935" w:rsidRDefault="00D94935" w:rsidP="00D94935">
      <w:pPr>
        <w:pStyle w:val="Placeholder"/>
      </w:pPr>
      <w:r>
        <w:rPr>
          <w:rStyle w:val="CharDivNo"/>
        </w:rPr>
        <w:t xml:space="preserve">  </w:t>
      </w:r>
      <w:r>
        <w:rPr>
          <w:rStyle w:val="CharDivText"/>
        </w:rPr>
        <w:t xml:space="preserve">  </w:t>
      </w:r>
    </w:p>
    <w:p w14:paraId="35007EB0" w14:textId="77777777" w:rsidR="00D94935" w:rsidRDefault="00D94935" w:rsidP="00D94935">
      <w:pPr>
        <w:pStyle w:val="AH5Sec"/>
      </w:pPr>
      <w:bookmarkStart w:id="1600" w:name="_Toc185515216"/>
      <w:r w:rsidRPr="00C8328B">
        <w:rPr>
          <w:rStyle w:val="CharSectNo"/>
        </w:rPr>
        <w:t>6000</w:t>
      </w:r>
      <w:r>
        <w:tab/>
        <w:t>Application—ch 6</w:t>
      </w:r>
      <w:bookmarkEnd w:id="1600"/>
    </w:p>
    <w:p w14:paraId="6F08FB34" w14:textId="77777777"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14:paraId="4699FA5B" w14:textId="77777777"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14:paraId="1C264C0E" w14:textId="17128A9A"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9" w:tooltip="A1930-21" w:history="1">
        <w:r w:rsidRPr="006364FA">
          <w:rPr>
            <w:rStyle w:val="charCitHyperlinkItal"/>
          </w:rPr>
          <w:t>Magistrates Court Act 1930</w:t>
        </w:r>
      </w:hyperlink>
      <w:r w:rsidRPr="002B175D">
        <w:t>, s 287)</w:t>
      </w:r>
    </w:p>
    <w:p w14:paraId="04406425" w14:textId="77777777" w:rsidR="00D94935" w:rsidRDefault="00D94935" w:rsidP="00D94935">
      <w:pPr>
        <w:pStyle w:val="Amain"/>
      </w:pPr>
      <w:r>
        <w:tab/>
        <w:t>(2)</w:t>
      </w:r>
      <w:r>
        <w:tab/>
        <w:t>However, this chapter does not apply to a proceeding as far as—</w:t>
      </w:r>
    </w:p>
    <w:p w14:paraId="354E959E" w14:textId="77777777" w:rsidR="00D94935" w:rsidRDefault="00D94935" w:rsidP="00D94935">
      <w:pPr>
        <w:pStyle w:val="Apara"/>
      </w:pPr>
      <w:r>
        <w:tab/>
        <w:t>(a)</w:t>
      </w:r>
      <w:r>
        <w:tab/>
        <w:t>this chapter provides that it does not apply to the proceeding; or</w:t>
      </w:r>
    </w:p>
    <w:p w14:paraId="22CE8E64" w14:textId="77777777" w:rsidR="00D94935" w:rsidRDefault="00D94935" w:rsidP="00D94935">
      <w:pPr>
        <w:pStyle w:val="Apara"/>
      </w:pPr>
      <w:r>
        <w:tab/>
        <w:t>(b)</w:t>
      </w:r>
      <w:r>
        <w:tab/>
        <w:t>another chapter makes provision for the proceeding or provides that this chapter does not apply to the proceeding; or</w:t>
      </w:r>
    </w:p>
    <w:p w14:paraId="69394A72" w14:textId="77777777" w:rsidR="00D94935" w:rsidRDefault="00D94935" w:rsidP="00D94935">
      <w:pPr>
        <w:pStyle w:val="Apara"/>
      </w:pPr>
      <w:r>
        <w:tab/>
        <w:t>(c)</w:t>
      </w:r>
      <w:r>
        <w:tab/>
        <w:t>another territory law provides that this chapter does not apply to the proceeding.</w:t>
      </w:r>
    </w:p>
    <w:p w14:paraId="55E9F97D" w14:textId="77777777" w:rsidR="00D94935" w:rsidRDefault="00D94935" w:rsidP="00D94935">
      <w:pPr>
        <w:pStyle w:val="PageBreak"/>
      </w:pPr>
      <w:r>
        <w:br w:type="page"/>
      </w:r>
    </w:p>
    <w:p w14:paraId="0C1516D7" w14:textId="77777777" w:rsidR="00D94935" w:rsidRPr="00C8328B" w:rsidRDefault="00D94935" w:rsidP="00D94935">
      <w:pPr>
        <w:pStyle w:val="AH2Part"/>
      </w:pPr>
      <w:bookmarkStart w:id="1601" w:name="_Toc185515217"/>
      <w:r w:rsidRPr="00C8328B">
        <w:rPr>
          <w:rStyle w:val="CharPartNo"/>
        </w:rPr>
        <w:lastRenderedPageBreak/>
        <w:t>Part 6.2</w:t>
      </w:r>
      <w:r>
        <w:tab/>
      </w:r>
      <w:r w:rsidRPr="00C8328B">
        <w:rPr>
          <w:rStyle w:val="CharPartText"/>
        </w:rPr>
        <w:t>Applications in proceedings</w:t>
      </w:r>
      <w:bookmarkEnd w:id="1601"/>
    </w:p>
    <w:p w14:paraId="2019F533" w14:textId="77777777" w:rsidR="00D94935" w:rsidRDefault="00D94935" w:rsidP="00D94935">
      <w:pPr>
        <w:pStyle w:val="AH5Sec"/>
      </w:pPr>
      <w:bookmarkStart w:id="1602" w:name="_Toc185515218"/>
      <w:r w:rsidRPr="00C8328B">
        <w:rPr>
          <w:rStyle w:val="CharSectNo"/>
        </w:rPr>
        <w:t>6005</w:t>
      </w:r>
      <w:r>
        <w:tab/>
        <w:t>Definitions</w:t>
      </w:r>
      <w:r>
        <w:rPr>
          <w:b w:val="0"/>
          <w:bCs/>
        </w:rPr>
        <w:t>—</w:t>
      </w:r>
      <w:r>
        <w:t>pt 6.2</w:t>
      </w:r>
      <w:bookmarkEnd w:id="1602"/>
    </w:p>
    <w:p w14:paraId="1EE056C2" w14:textId="77777777" w:rsidR="00D94935" w:rsidRDefault="00D94935" w:rsidP="00D94935">
      <w:pPr>
        <w:pStyle w:val="Amainreturn"/>
        <w:keepNext/>
      </w:pPr>
      <w:r>
        <w:t>In this part:</w:t>
      </w:r>
    </w:p>
    <w:p w14:paraId="1F6D10EB" w14:textId="77777777" w:rsidR="00D94935" w:rsidRDefault="00D94935" w:rsidP="00D94935">
      <w:pPr>
        <w:pStyle w:val="Amainreturn"/>
        <w:keepNext/>
      </w:pPr>
      <w:r w:rsidRPr="006364FA">
        <w:rPr>
          <w:rStyle w:val="charBoldItals"/>
        </w:rPr>
        <w:t>application</w:t>
      </w:r>
      <w:r>
        <w:t xml:space="preserve"> in a proceeding—see rule 6006.</w:t>
      </w:r>
    </w:p>
    <w:p w14:paraId="362EC2F1" w14:textId="77777777"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14:paraId="3AF95A8A" w14:textId="77777777" w:rsidR="00D94935" w:rsidRDefault="00D94935" w:rsidP="00D94935">
      <w:pPr>
        <w:pStyle w:val="aDefpara"/>
      </w:pPr>
      <w:r>
        <w:tab/>
        <w:t>(a)</w:t>
      </w:r>
      <w:r>
        <w:tab/>
        <w:t>an email;</w:t>
      </w:r>
    </w:p>
    <w:p w14:paraId="0B132273" w14:textId="77777777" w:rsidR="00D94935" w:rsidRDefault="00D94935" w:rsidP="00D94935">
      <w:pPr>
        <w:pStyle w:val="aDefpara"/>
      </w:pPr>
      <w:r>
        <w:tab/>
        <w:t>(b)</w:t>
      </w:r>
      <w:r>
        <w:tab/>
        <w:t>a fax;</w:t>
      </w:r>
    </w:p>
    <w:p w14:paraId="781D3FBC" w14:textId="77777777" w:rsidR="00D94935" w:rsidRDefault="00D94935" w:rsidP="00D94935">
      <w:pPr>
        <w:pStyle w:val="aDefpara"/>
      </w:pPr>
      <w:r>
        <w:tab/>
        <w:t>(c)</w:t>
      </w:r>
      <w:r>
        <w:tab/>
        <w:t>a legible, contemporaneous diary or file note of a conversation.</w:t>
      </w:r>
    </w:p>
    <w:p w14:paraId="152304B6" w14:textId="77777777"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14:paraId="7B7885DE" w14:textId="77777777" w:rsidR="00D94935" w:rsidRDefault="00D94935" w:rsidP="00D94935">
      <w:pPr>
        <w:pStyle w:val="AH5Sec"/>
      </w:pPr>
      <w:bookmarkStart w:id="1603" w:name="_Toc185515219"/>
      <w:r w:rsidRPr="00C8328B">
        <w:rPr>
          <w:rStyle w:val="CharSectNo"/>
        </w:rPr>
        <w:t>6006</w:t>
      </w:r>
      <w:r>
        <w:tab/>
        <w:t>Application—pt 6.2</w:t>
      </w:r>
      <w:bookmarkEnd w:id="1603"/>
    </w:p>
    <w:p w14:paraId="59B487FD" w14:textId="77777777" w:rsidR="00D94935" w:rsidRDefault="00D94935" w:rsidP="00D94935">
      <w:pPr>
        <w:pStyle w:val="Amain"/>
      </w:pPr>
      <w:r>
        <w:tab/>
        <w:t>(1)</w:t>
      </w:r>
      <w:r>
        <w:tab/>
        <w:t>This part applies to an application in a proceeding in the court.</w:t>
      </w:r>
    </w:p>
    <w:p w14:paraId="7DD1D5F0" w14:textId="77777777" w:rsidR="00D94935" w:rsidRDefault="00D94935" w:rsidP="00D94935">
      <w:pPr>
        <w:pStyle w:val="Amain"/>
      </w:pPr>
      <w:r>
        <w:tab/>
        <w:t>(2)</w:t>
      </w:r>
      <w:r>
        <w:tab/>
        <w:t xml:space="preserve">An </w:t>
      </w:r>
      <w:r w:rsidRPr="006364FA">
        <w:rPr>
          <w:rStyle w:val="charBoldItals"/>
        </w:rPr>
        <w:t>application</w:t>
      </w:r>
      <w:r>
        <w:t xml:space="preserve"> in a proceeding includes—</w:t>
      </w:r>
    </w:p>
    <w:p w14:paraId="76096101" w14:textId="77777777" w:rsidR="00D94935" w:rsidRDefault="00D94935" w:rsidP="00D94935">
      <w:pPr>
        <w:pStyle w:val="Apara"/>
      </w:pPr>
      <w:r>
        <w:tab/>
        <w:t>(a)</w:t>
      </w:r>
      <w:r>
        <w:tab/>
        <w:t>an application to the court about the proceeding, whether made during the proceeding or after judgment is given in the proceeding; or</w:t>
      </w:r>
    </w:p>
    <w:p w14:paraId="60DB5747" w14:textId="77777777" w:rsidR="00D94935" w:rsidRDefault="00D94935" w:rsidP="00D94935">
      <w:pPr>
        <w:pStyle w:val="Apara"/>
      </w:pPr>
      <w:r>
        <w:tab/>
        <w:t>(b)</w:t>
      </w:r>
      <w:r>
        <w:tab/>
        <w:t>an application that a territory law requires be made in accordance wit</w:t>
      </w:r>
      <w:r w:rsidR="00E439D1">
        <w:t>h this part (however expressed); or</w:t>
      </w:r>
    </w:p>
    <w:p w14:paraId="59B018A1" w14:textId="0CFC448B"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30"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14:paraId="53ADD086" w14:textId="77777777" w:rsidR="00D94935" w:rsidRDefault="00D94935" w:rsidP="00D94935">
      <w:pPr>
        <w:pStyle w:val="aExamHdgss"/>
      </w:pPr>
      <w:r>
        <w:t>Examples for par (a)</w:t>
      </w:r>
    </w:p>
    <w:p w14:paraId="4E257E12" w14:textId="77777777" w:rsidR="00D94935" w:rsidRDefault="00D94935" w:rsidP="00D94935">
      <w:pPr>
        <w:pStyle w:val="aExamINumss"/>
      </w:pPr>
      <w:r>
        <w:t>1</w:t>
      </w:r>
      <w:r>
        <w:tab/>
        <w:t>an application under part 2.18 (Enforcement) for an order appointing a receiver, or an order for seizure and detention of property</w:t>
      </w:r>
    </w:p>
    <w:p w14:paraId="0F6246C4" w14:textId="77777777"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14:paraId="484198F5" w14:textId="77777777" w:rsidR="00D94935" w:rsidRDefault="00D94935" w:rsidP="00D94935">
      <w:pPr>
        <w:pStyle w:val="aExamINumss"/>
      </w:pPr>
      <w:r>
        <w:t>3</w:t>
      </w:r>
      <w:r>
        <w:tab/>
        <w:t>an application for leave to appeal to the Court of Appeal under rule 5311 (Appeals to Court of Appeal—application for leave to appeal)</w:t>
      </w:r>
    </w:p>
    <w:p w14:paraId="1795BAFC" w14:textId="77777777" w:rsidR="00D94935" w:rsidRDefault="00D94935" w:rsidP="00D94935">
      <w:pPr>
        <w:pStyle w:val="aExamINumss"/>
        <w:keepNext/>
      </w:pPr>
      <w:r>
        <w:t>4</w:t>
      </w:r>
      <w:r>
        <w:tab/>
        <w:t>an application for leave to appeal to the Court of Appeal under rule 5332 (Appeals to Court of Appeal—application for leave to appeal out of time)</w:t>
      </w:r>
    </w:p>
    <w:p w14:paraId="66331010" w14:textId="77777777" w:rsidR="00D94935" w:rsidRDefault="00D94935" w:rsidP="00D94935">
      <w:pPr>
        <w:pStyle w:val="aExamHdgss"/>
      </w:pPr>
      <w:r>
        <w:t>Example for par (b)</w:t>
      </w:r>
    </w:p>
    <w:p w14:paraId="4FFC30B2" w14:textId="77777777" w:rsidR="00D94935" w:rsidRDefault="00D94935" w:rsidP="00D94935">
      <w:pPr>
        <w:pStyle w:val="aExamss"/>
      </w:pPr>
      <w:r>
        <w:t>an application for leave to start a proceeding in the Supreme Court by oral originating application under rule 37 (When oral originating application may be made in Supreme Court)</w:t>
      </w:r>
    </w:p>
    <w:p w14:paraId="18E4F24F" w14:textId="77777777"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14:paraId="22308BC8" w14:textId="1E41FF07"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31" w:tooltip="A2001-14" w:history="1">
        <w:r w:rsidRPr="006364FA">
          <w:rPr>
            <w:rStyle w:val="charCitHyperlinkAbbrev"/>
          </w:rPr>
          <w:t>Legislation Act</w:t>
        </w:r>
      </w:hyperlink>
      <w:r>
        <w:rPr>
          <w:iCs/>
        </w:rPr>
        <w:t>, s 98).</w:t>
      </w:r>
    </w:p>
    <w:p w14:paraId="3B6F2B48" w14:textId="77777777"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14:paraId="32DC48C4" w14:textId="77777777" w:rsidR="00D94935" w:rsidRDefault="00D94935" w:rsidP="00D94935">
      <w:pPr>
        <w:pStyle w:val="Apara"/>
      </w:pPr>
      <w:r>
        <w:tab/>
        <w:t>(a)</w:t>
      </w:r>
      <w:r>
        <w:tab/>
        <w:t>an application that is required under a territory law to be made to the registrar unless a territory law provides that this part applies to the application; or</w:t>
      </w:r>
    </w:p>
    <w:p w14:paraId="47E0585A" w14:textId="77777777" w:rsidR="00D94935" w:rsidRDefault="00D94935" w:rsidP="00D94935">
      <w:pPr>
        <w:pStyle w:val="Apara"/>
      </w:pPr>
      <w:r>
        <w:tab/>
        <w:t>(b)</w:t>
      </w:r>
      <w:r>
        <w:tab/>
        <w:t>an application if these rules provide that this part does not apply to the application.</w:t>
      </w:r>
    </w:p>
    <w:p w14:paraId="04AA43AC" w14:textId="77777777" w:rsidR="00D94935" w:rsidRDefault="00D94935" w:rsidP="00D94935">
      <w:pPr>
        <w:pStyle w:val="AH5Sec"/>
        <w:rPr>
          <w:lang w:val="en-US"/>
        </w:rPr>
      </w:pPr>
      <w:bookmarkStart w:id="1604" w:name="_Toc185515220"/>
      <w:r w:rsidRPr="00C8328B">
        <w:rPr>
          <w:rStyle w:val="CharSectNo"/>
        </w:rPr>
        <w:t>6007</w:t>
      </w:r>
      <w:r>
        <w:rPr>
          <w:lang w:val="en-US"/>
        </w:rPr>
        <w:tab/>
      </w:r>
      <w:r>
        <w:t>Application in proceeding</w:t>
      </w:r>
      <w:r>
        <w:rPr>
          <w:lang w:val="en-US"/>
        </w:rPr>
        <w:t>—contents</w:t>
      </w:r>
      <w:bookmarkEnd w:id="1604"/>
    </w:p>
    <w:p w14:paraId="12F2E232" w14:textId="77777777"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14:paraId="0ADC614C"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438D5EE0" w14:textId="77777777"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14:paraId="217D8F0B" w14:textId="3555CBDA"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32" w:history="1">
        <w:r w:rsidRPr="00951DEA">
          <w:rPr>
            <w:rStyle w:val="charCitHyperlinkAbbrev"/>
          </w:rPr>
          <w:t>AF2010-103</w:t>
        </w:r>
      </w:hyperlink>
      <w:r>
        <w:t>.</w:t>
      </w:r>
    </w:p>
    <w:p w14:paraId="68E56067" w14:textId="77777777"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14:paraId="42B02D3A" w14:textId="77777777"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14:paraId="7BC3F3CA"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276C97E7" w14:textId="77777777" w:rsidR="00D94935" w:rsidRDefault="00D94935" w:rsidP="00D94935">
      <w:pPr>
        <w:pStyle w:val="Apara"/>
        <w:rPr>
          <w:lang w:val="en-US"/>
        </w:rPr>
      </w:pPr>
      <w:r>
        <w:rPr>
          <w:lang w:val="en-US"/>
        </w:rPr>
        <w:tab/>
        <w:t>(b)</w:t>
      </w:r>
      <w:r>
        <w:rPr>
          <w:lang w:val="en-US"/>
        </w:rPr>
        <w:tab/>
        <w:t>if the person is not yet a party to the proceeding—as the respondent.</w:t>
      </w:r>
    </w:p>
    <w:p w14:paraId="0C0C34CA" w14:textId="77777777"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14:paraId="4B51E1E1"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F534CEE" w14:textId="77777777" w:rsidR="00D94935" w:rsidRDefault="00D94935" w:rsidP="00D94935">
      <w:pPr>
        <w:pStyle w:val="Amain"/>
      </w:pPr>
      <w:r>
        <w:tab/>
        <w:t>(5)</w:t>
      </w:r>
      <w:r>
        <w:tab/>
        <w:t>The application—</w:t>
      </w:r>
    </w:p>
    <w:p w14:paraId="59BB1848" w14:textId="77777777" w:rsidR="00D94935" w:rsidRDefault="00D94935" w:rsidP="00D94935">
      <w:pPr>
        <w:pStyle w:val="Apara"/>
      </w:pPr>
      <w:r>
        <w:tab/>
        <w:t>(a)</w:t>
      </w:r>
      <w:r>
        <w:tab/>
        <w:t>may be supported by—</w:t>
      </w:r>
    </w:p>
    <w:p w14:paraId="799F697B" w14:textId="77777777" w:rsidR="00D94935" w:rsidRDefault="00D94935" w:rsidP="00D94935">
      <w:pPr>
        <w:pStyle w:val="Asubpara"/>
      </w:pPr>
      <w:r>
        <w:tab/>
        <w:t>(i)</w:t>
      </w:r>
      <w:r>
        <w:tab/>
        <w:t>an affidavit setting out the facts relied on; or</w:t>
      </w:r>
    </w:p>
    <w:p w14:paraId="739E8007" w14:textId="77777777" w:rsidR="00D94935" w:rsidRDefault="00D94935" w:rsidP="00D94935">
      <w:pPr>
        <w:pStyle w:val="Asubpara"/>
      </w:pPr>
      <w:r>
        <w:tab/>
        <w:t>(ii)</w:t>
      </w:r>
      <w:r>
        <w:tab/>
        <w:t>a schedule of correspondence; or</w:t>
      </w:r>
    </w:p>
    <w:p w14:paraId="22A27F8F" w14:textId="77777777" w:rsidR="00D94935" w:rsidRDefault="00D94935" w:rsidP="00D94935">
      <w:pPr>
        <w:pStyle w:val="Asubpara"/>
      </w:pPr>
      <w:r>
        <w:tab/>
        <w:t>(iii)</w:t>
      </w:r>
      <w:r>
        <w:tab/>
        <w:t>anything else properly filed in support of the application; and</w:t>
      </w:r>
    </w:p>
    <w:p w14:paraId="4F0463E5" w14:textId="77777777" w:rsidR="00D94935" w:rsidRDefault="00D94935" w:rsidP="00D94935">
      <w:pPr>
        <w:pStyle w:val="Apara"/>
      </w:pPr>
      <w:r>
        <w:tab/>
        <w:t>(b)</w:t>
      </w:r>
      <w:r>
        <w:tab/>
        <w:t>must be supported by anything required by these rules to be filed in the court in support of the application; and</w:t>
      </w:r>
    </w:p>
    <w:p w14:paraId="767924F3" w14:textId="77777777" w:rsidR="00D94935" w:rsidRDefault="00D94935" w:rsidP="00E50C67">
      <w:pPr>
        <w:pStyle w:val="Apara"/>
      </w:pPr>
      <w:r>
        <w:tab/>
        <w:t>(c)</w:t>
      </w:r>
      <w:r>
        <w:tab/>
        <w:t>must be accompanied by anything required by these rules to accompany the application.</w:t>
      </w:r>
    </w:p>
    <w:p w14:paraId="208B7989" w14:textId="77777777" w:rsidR="00D94935" w:rsidRDefault="00D94935" w:rsidP="00D94935">
      <w:pPr>
        <w:pStyle w:val="Amain"/>
        <w:keepNext/>
      </w:pPr>
      <w:r>
        <w:lastRenderedPageBreak/>
        <w:tab/>
        <w:t>(6)</w:t>
      </w:r>
      <w:r>
        <w:tab/>
        <w:t>If the court considers that the supporting material (if any) is insufficient to support the application, it may—</w:t>
      </w:r>
    </w:p>
    <w:p w14:paraId="21C24EF8" w14:textId="77777777" w:rsidR="00D94935" w:rsidRDefault="00D94935" w:rsidP="00D94935">
      <w:pPr>
        <w:pStyle w:val="Apara"/>
      </w:pPr>
      <w:r>
        <w:tab/>
        <w:t>(a)</w:t>
      </w:r>
      <w:r>
        <w:tab/>
        <w:t>adjourn the hearing of the application; and</w:t>
      </w:r>
    </w:p>
    <w:p w14:paraId="365C3D89" w14:textId="77777777" w:rsidR="00D94935" w:rsidRDefault="00D94935" w:rsidP="00D94935">
      <w:pPr>
        <w:pStyle w:val="Apara"/>
      </w:pPr>
      <w:r>
        <w:tab/>
        <w:t>(b)</w:t>
      </w:r>
      <w:r>
        <w:tab/>
        <w:t>make any other orders it considers appropriate, including an order that supporting material or further supporting material be prepared.</w:t>
      </w:r>
    </w:p>
    <w:p w14:paraId="0BB18884" w14:textId="77777777"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14:paraId="34CED7F7" w14:textId="77777777" w:rsidR="00D94935" w:rsidRDefault="00D94935" w:rsidP="00D94935">
      <w:pPr>
        <w:pStyle w:val="aNote"/>
      </w:pPr>
      <w:r w:rsidRPr="006364FA">
        <w:rPr>
          <w:rStyle w:val="charItals"/>
        </w:rPr>
        <w:t>Note</w:t>
      </w:r>
      <w:r w:rsidRPr="006364FA">
        <w:rPr>
          <w:rStyle w:val="charItals"/>
        </w:rPr>
        <w:tab/>
      </w:r>
      <w:r>
        <w:t>See example to r 6008 (1).</w:t>
      </w:r>
    </w:p>
    <w:p w14:paraId="7E3FF86B" w14:textId="77777777" w:rsidR="00D94935" w:rsidRDefault="00D94935" w:rsidP="00D94935">
      <w:pPr>
        <w:pStyle w:val="AH5Sec"/>
        <w:rPr>
          <w:lang w:val="en-US"/>
        </w:rPr>
      </w:pPr>
      <w:bookmarkStart w:id="1605" w:name="_Toc185515221"/>
      <w:r w:rsidRPr="00C8328B">
        <w:rPr>
          <w:rStyle w:val="CharSectNo"/>
        </w:rPr>
        <w:t>6008</w:t>
      </w:r>
      <w:r>
        <w:rPr>
          <w:lang w:val="en-US"/>
        </w:rPr>
        <w:tab/>
      </w:r>
      <w:r>
        <w:t>Application in proceeding</w:t>
      </w:r>
      <w:r>
        <w:rPr>
          <w:lang w:val="en-US"/>
        </w:rPr>
        <w:t>—filing and service</w:t>
      </w:r>
      <w:bookmarkEnd w:id="1605"/>
    </w:p>
    <w:p w14:paraId="772A0AF7" w14:textId="77777777"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14:paraId="22F3ADBA" w14:textId="77777777" w:rsidR="00D94935" w:rsidRDefault="00D94935" w:rsidP="00D94935">
      <w:pPr>
        <w:pStyle w:val="aExamHdgss"/>
      </w:pPr>
      <w:r>
        <w:t>Example</w:t>
      </w:r>
    </w:p>
    <w:p w14:paraId="795C861E" w14:textId="77777777"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14:paraId="6D922D06" w14:textId="77777777"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14:paraId="1BD63066" w14:textId="674EED6C" w:rsidR="00D94935" w:rsidRDefault="00D94935" w:rsidP="00D94935">
      <w:pPr>
        <w:pStyle w:val="aNote"/>
      </w:pPr>
      <w:r w:rsidRPr="006364FA">
        <w:rPr>
          <w:rStyle w:val="charItals"/>
        </w:rPr>
        <w:t>Note 2</w:t>
      </w:r>
      <w:r w:rsidRPr="006364FA">
        <w:rPr>
          <w:rStyle w:val="charItals"/>
        </w:rPr>
        <w:tab/>
      </w:r>
      <w:r>
        <w:t xml:space="preserve">See the </w:t>
      </w:r>
      <w:hyperlink r:id="rId733" w:tooltip="A2001-14" w:history="1">
        <w:r w:rsidRPr="006364FA">
          <w:rPr>
            <w:rStyle w:val="charCitHyperlinkAbbrev"/>
          </w:rPr>
          <w:t>Legislation Act</w:t>
        </w:r>
      </w:hyperlink>
      <w:r>
        <w:t>, s 151 (Working out periods of time generally) and these rules, pt 6.7 (Time).</w:t>
      </w:r>
    </w:p>
    <w:p w14:paraId="030B7E38" w14:textId="77777777"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14:paraId="6AF5D08E" w14:textId="77777777"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14:paraId="734EC9DA" w14:textId="77777777" w:rsidR="00D94935" w:rsidRDefault="00D94935" w:rsidP="00D94935">
      <w:pPr>
        <w:pStyle w:val="Apara"/>
      </w:pPr>
      <w:r>
        <w:tab/>
        <w:t>(a)</w:t>
      </w:r>
      <w:r>
        <w:tab/>
        <w:t>personally unless the court otherwise orders; and</w:t>
      </w:r>
    </w:p>
    <w:p w14:paraId="30A2A11D" w14:textId="77777777"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14:paraId="6A0BA52F" w14:textId="77777777"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14:paraId="5BCCD922" w14:textId="77777777"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14:paraId="5CB2DE1E"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14:paraId="55000CE6" w14:textId="77777777" w:rsidR="00D94935" w:rsidRDefault="00D94935" w:rsidP="00D94935">
      <w:pPr>
        <w:pStyle w:val="AH5Sec"/>
      </w:pPr>
      <w:bookmarkStart w:id="1606" w:name="_Toc185515222"/>
      <w:r w:rsidRPr="00C8328B">
        <w:rPr>
          <w:rStyle w:val="CharSectNo"/>
        </w:rPr>
        <w:t>6009</w:t>
      </w:r>
      <w:r>
        <w:tab/>
        <w:t>Application in proceeding—filing and service of supporting material</w:t>
      </w:r>
      <w:bookmarkEnd w:id="1606"/>
    </w:p>
    <w:p w14:paraId="7DFBB1E3" w14:textId="77777777"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14:paraId="3BE4459B" w14:textId="77777777"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14:paraId="3F4F13C4" w14:textId="77777777" w:rsidR="00D94935" w:rsidRDefault="00D94935" w:rsidP="00D94935">
      <w:pPr>
        <w:pStyle w:val="AH5Sec"/>
      </w:pPr>
      <w:bookmarkStart w:id="1607" w:name="_Toc185515223"/>
      <w:r w:rsidRPr="00C8328B">
        <w:rPr>
          <w:rStyle w:val="CharSectNo"/>
        </w:rPr>
        <w:t>6010</w:t>
      </w:r>
      <w:r>
        <w:tab/>
        <w:t>Application in proceeding—absence of party</w:t>
      </w:r>
      <w:bookmarkEnd w:id="1607"/>
    </w:p>
    <w:p w14:paraId="57B6127B" w14:textId="77777777"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14:paraId="7EEFCF13" w14:textId="77777777"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14:paraId="50E7F64D" w14:textId="77777777"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14:paraId="6DE0BF1D" w14:textId="77777777" w:rsidR="00D94935" w:rsidRDefault="00D94935" w:rsidP="00D94935">
      <w:pPr>
        <w:pStyle w:val="Apara"/>
      </w:pPr>
      <w:r>
        <w:tab/>
        <w:t>(c)</w:t>
      </w:r>
      <w:r>
        <w:tab/>
        <w:t>these rules provide that the application may be heard in the absence of the party.</w:t>
      </w:r>
    </w:p>
    <w:p w14:paraId="62109EE3" w14:textId="77777777" w:rsidR="00D94935" w:rsidRDefault="00D94935" w:rsidP="00D94935">
      <w:pPr>
        <w:pStyle w:val="AH5Sec"/>
      </w:pPr>
      <w:bookmarkStart w:id="1608" w:name="_Toc185515224"/>
      <w:r w:rsidRPr="00C8328B">
        <w:rPr>
          <w:rStyle w:val="CharSectNo"/>
        </w:rPr>
        <w:t>6011</w:t>
      </w:r>
      <w:r>
        <w:tab/>
        <w:t>Application in proceeding—dismissal or adjournment if application not served etc</w:t>
      </w:r>
      <w:bookmarkEnd w:id="1608"/>
    </w:p>
    <w:p w14:paraId="32AC6546" w14:textId="77777777" w:rsidR="00D94935" w:rsidRDefault="00D94935" w:rsidP="00D94935">
      <w:pPr>
        <w:pStyle w:val="Amain"/>
      </w:pPr>
      <w:r>
        <w:tab/>
        <w:t>(1)</w:t>
      </w:r>
      <w:r>
        <w:tab/>
        <w:t>This rule applies if—</w:t>
      </w:r>
    </w:p>
    <w:p w14:paraId="1AB5FD1B" w14:textId="77777777"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14:paraId="52BBC402" w14:textId="77777777"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14:paraId="085B5A58" w14:textId="77777777" w:rsidR="00D94935" w:rsidRDefault="00D94935" w:rsidP="00D94935">
      <w:pPr>
        <w:pStyle w:val="Amain"/>
      </w:pPr>
      <w:r>
        <w:lastRenderedPageBreak/>
        <w:tab/>
        <w:t>(2)</w:t>
      </w:r>
      <w:r>
        <w:tab/>
        <w:t>The court may—</w:t>
      </w:r>
    </w:p>
    <w:p w14:paraId="33A59EBD" w14:textId="77777777" w:rsidR="00D94935" w:rsidRDefault="00D94935" w:rsidP="00D94935">
      <w:pPr>
        <w:pStyle w:val="Apara"/>
      </w:pPr>
      <w:r>
        <w:tab/>
        <w:t>(a)</w:t>
      </w:r>
      <w:r>
        <w:tab/>
        <w:t xml:space="preserve">dismiss the </w:t>
      </w:r>
      <w:r>
        <w:rPr>
          <w:szCs w:val="24"/>
          <w:lang w:val="en-US"/>
        </w:rPr>
        <w:t>application</w:t>
      </w:r>
      <w:r>
        <w:t>; or</w:t>
      </w:r>
    </w:p>
    <w:p w14:paraId="73C7780C" w14:textId="77777777"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14:paraId="465557D3" w14:textId="77777777" w:rsidR="00D94935" w:rsidRDefault="00D94935" w:rsidP="00D94935">
      <w:pPr>
        <w:pStyle w:val="AH5Sec"/>
      </w:pPr>
      <w:bookmarkStart w:id="1609" w:name="_Toc185515225"/>
      <w:r w:rsidRPr="00C8328B">
        <w:rPr>
          <w:rStyle w:val="CharSectNo"/>
        </w:rPr>
        <w:t>6012</w:t>
      </w:r>
      <w:r>
        <w:tab/>
        <w:t>Application in proceeding—adjournment generally</w:t>
      </w:r>
      <w:bookmarkEnd w:id="1609"/>
    </w:p>
    <w:p w14:paraId="5317100B" w14:textId="77777777"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14:paraId="36CF6065"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4CB1D9D5" w14:textId="77777777"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14:paraId="5DFEA3BB" w14:textId="77777777"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14:paraId="0CDC3798" w14:textId="77777777"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14:paraId="774D82F4" w14:textId="77777777" w:rsidR="00D94935" w:rsidRPr="001C0D2B" w:rsidRDefault="00D94935" w:rsidP="00D94935">
      <w:pPr>
        <w:pStyle w:val="AH5Sec"/>
      </w:pPr>
      <w:bookmarkStart w:id="1610" w:name="_Toc185515226"/>
      <w:r w:rsidRPr="00C8328B">
        <w:rPr>
          <w:rStyle w:val="CharSectNo"/>
        </w:rPr>
        <w:t>6013</w:t>
      </w:r>
      <w:r w:rsidRPr="001C0D2B">
        <w:tab/>
        <w:t>Application in proceeding—orders by consent without attendance</w:t>
      </w:r>
      <w:bookmarkEnd w:id="1610"/>
    </w:p>
    <w:p w14:paraId="73A5C871" w14:textId="77777777"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14:paraId="3A07965B" w14:textId="77777777" w:rsidR="00D94935" w:rsidRPr="001C0D2B" w:rsidRDefault="00D94935" w:rsidP="00D94935">
      <w:pPr>
        <w:pStyle w:val="Apara"/>
      </w:pPr>
      <w:r w:rsidRPr="001C0D2B">
        <w:tab/>
        <w:t>(a)</w:t>
      </w:r>
      <w:r w:rsidRPr="001C0D2B">
        <w:tab/>
        <w:t>states that each party to the application—</w:t>
      </w:r>
    </w:p>
    <w:p w14:paraId="501FEBE9" w14:textId="77777777" w:rsidR="00D94935" w:rsidRPr="001C0D2B" w:rsidRDefault="00D94935" w:rsidP="00D94935">
      <w:pPr>
        <w:pStyle w:val="Asubpara"/>
      </w:pPr>
      <w:r w:rsidRPr="001C0D2B">
        <w:tab/>
        <w:t>(i)</w:t>
      </w:r>
      <w:r w:rsidRPr="001C0D2B">
        <w:tab/>
        <w:t>agrees to the adjournment of the application; or</w:t>
      </w:r>
    </w:p>
    <w:p w14:paraId="73AA3517" w14:textId="7EBF8110"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34" w:history="1">
        <w:r w:rsidRPr="00313D68">
          <w:rPr>
            <w:rStyle w:val="charCitHyperlinkAbbrev"/>
          </w:rPr>
          <w:t>AF2006-411</w:t>
        </w:r>
      </w:hyperlink>
      <w:r>
        <w:t>.</w:t>
      </w:r>
    </w:p>
    <w:p w14:paraId="63C39F53" w14:textId="77777777" w:rsidR="00D94935" w:rsidRPr="001C0D2B" w:rsidRDefault="00D94935" w:rsidP="00D94935">
      <w:pPr>
        <w:pStyle w:val="Asubpara"/>
      </w:pPr>
      <w:r w:rsidRPr="001C0D2B">
        <w:tab/>
        <w:t>(ii)</w:t>
      </w:r>
      <w:r w:rsidRPr="001C0D2B">
        <w:tab/>
        <w:t>consents to the orders sought in the application; or</w:t>
      </w:r>
    </w:p>
    <w:p w14:paraId="62C4299D" w14:textId="77777777"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14:paraId="1A7D4C8C" w14:textId="77777777" w:rsidR="00D94935" w:rsidRPr="001C0D2B" w:rsidRDefault="00D94935" w:rsidP="00D94935">
      <w:pPr>
        <w:pStyle w:val="Apara"/>
      </w:pPr>
      <w:r w:rsidRPr="001C0D2B">
        <w:tab/>
        <w:t>(b)</w:t>
      </w:r>
      <w:r w:rsidRPr="001C0D2B">
        <w:tab/>
        <w:t>is signed by each party’s solicitor.</w:t>
      </w:r>
    </w:p>
    <w:p w14:paraId="53EE4889" w14:textId="77777777"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14:paraId="77619A04" w14:textId="77777777" w:rsidR="00D94935" w:rsidRPr="001C0D2B" w:rsidRDefault="00D94935" w:rsidP="00D94935">
      <w:pPr>
        <w:pStyle w:val="Amain"/>
      </w:pPr>
      <w:r w:rsidRPr="001C0D2B">
        <w:tab/>
        <w:t>(3)</w:t>
      </w:r>
      <w:r w:rsidRPr="001C0D2B">
        <w:tab/>
        <w:t>The court may, without any of the parties attending before the court—</w:t>
      </w:r>
    </w:p>
    <w:p w14:paraId="765E7B05" w14:textId="77777777" w:rsidR="00D94935" w:rsidRPr="001C0D2B" w:rsidRDefault="00D94935" w:rsidP="00D94935">
      <w:pPr>
        <w:pStyle w:val="Apara"/>
      </w:pPr>
      <w:r w:rsidRPr="001C0D2B">
        <w:tab/>
        <w:t>(a)</w:t>
      </w:r>
      <w:r w:rsidRPr="001C0D2B">
        <w:tab/>
        <w:t>if the parties agree to an adjournment—adjourn the hearing to—</w:t>
      </w:r>
    </w:p>
    <w:p w14:paraId="21A25A7E" w14:textId="77777777" w:rsidR="00D94935" w:rsidRPr="001C0D2B" w:rsidRDefault="00D94935" w:rsidP="00D94935">
      <w:pPr>
        <w:pStyle w:val="Asubpara"/>
      </w:pPr>
      <w:r w:rsidRPr="001C0D2B">
        <w:tab/>
        <w:t>(i)</w:t>
      </w:r>
      <w:r w:rsidRPr="001C0D2B">
        <w:tab/>
        <w:t>the date agreed by the parties; or</w:t>
      </w:r>
    </w:p>
    <w:p w14:paraId="6C7647FF" w14:textId="77777777" w:rsidR="00D94935" w:rsidRPr="001C0D2B" w:rsidRDefault="00D94935" w:rsidP="00D94935">
      <w:pPr>
        <w:pStyle w:val="Asubpara"/>
      </w:pPr>
      <w:r w:rsidRPr="001C0D2B">
        <w:tab/>
        <w:t>(ii)</w:t>
      </w:r>
      <w:r w:rsidRPr="001C0D2B">
        <w:tab/>
        <w:t>a date decided by the court; or</w:t>
      </w:r>
    </w:p>
    <w:p w14:paraId="10B4F2A2" w14:textId="77777777" w:rsidR="00D94935" w:rsidRPr="001C0D2B" w:rsidRDefault="00D94935" w:rsidP="00D94935">
      <w:pPr>
        <w:pStyle w:val="Apara"/>
      </w:pPr>
      <w:r w:rsidRPr="001C0D2B">
        <w:tab/>
        <w:t>(b)</w:t>
      </w:r>
      <w:r w:rsidRPr="001C0D2B">
        <w:tab/>
        <w:t>if the parties consent to the orders sought in the application—make the orders sought by consent; or</w:t>
      </w:r>
    </w:p>
    <w:p w14:paraId="08CCE109" w14:textId="77777777"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14:paraId="36E1C1E1" w14:textId="77777777" w:rsidR="00D94935" w:rsidRPr="001C0D2B" w:rsidRDefault="00D94935" w:rsidP="00D94935">
      <w:pPr>
        <w:pStyle w:val="Apara"/>
      </w:pPr>
      <w:r w:rsidRPr="001C0D2B">
        <w:tab/>
        <w:t>(d)</w:t>
      </w:r>
      <w:r w:rsidRPr="001C0D2B">
        <w:tab/>
        <w:t>direct the parties to attend before the court on a stated date.</w:t>
      </w:r>
    </w:p>
    <w:p w14:paraId="0DD7A3A4" w14:textId="77777777"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14:paraId="24AD8852" w14:textId="77777777"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14:paraId="30537F0B" w14:textId="77777777" w:rsidR="00D94935" w:rsidRDefault="00D94935" w:rsidP="00D94935">
      <w:pPr>
        <w:pStyle w:val="AH5Sec"/>
      </w:pPr>
      <w:bookmarkStart w:id="1611" w:name="_Toc185515227"/>
      <w:r w:rsidRPr="00C8328B">
        <w:rPr>
          <w:rStyle w:val="CharSectNo"/>
        </w:rPr>
        <w:t>6014</w:t>
      </w:r>
      <w:r>
        <w:tab/>
        <w:t>Application in proceeding—further hearing</w:t>
      </w:r>
      <w:bookmarkEnd w:id="1611"/>
    </w:p>
    <w:p w14:paraId="0E3D86E4" w14:textId="77777777" w:rsidR="00D94935" w:rsidRDefault="00D94935" w:rsidP="00D94935">
      <w:pPr>
        <w:pStyle w:val="Amain"/>
      </w:pPr>
      <w:r>
        <w:tab/>
        <w:t>(1)</w:t>
      </w:r>
      <w:r>
        <w:tab/>
        <w:t>This rule applies if—</w:t>
      </w:r>
    </w:p>
    <w:p w14:paraId="696C8DA6" w14:textId="77777777"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14:paraId="04831BAF" w14:textId="77777777"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14:paraId="34C9BE26" w14:textId="77777777" w:rsidR="00D94935" w:rsidRDefault="00D94935" w:rsidP="00D94935">
      <w:pPr>
        <w:pStyle w:val="Amain"/>
      </w:pPr>
      <w:r>
        <w:tab/>
        <w:t>(2)</w:t>
      </w:r>
      <w:r>
        <w:tab/>
        <w:t xml:space="preserve">The court may adjourn the </w:t>
      </w:r>
      <w:r>
        <w:rPr>
          <w:szCs w:val="24"/>
          <w:lang w:val="en-US"/>
        </w:rPr>
        <w:t>application</w:t>
      </w:r>
      <w:r>
        <w:t>.</w:t>
      </w:r>
    </w:p>
    <w:p w14:paraId="3A908CC6" w14:textId="77777777"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14:paraId="56756105"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14:paraId="7017D587" w14:textId="77777777" w:rsidR="00D94935" w:rsidRDefault="00D94935" w:rsidP="00D94935">
      <w:pPr>
        <w:pStyle w:val="Amain"/>
      </w:pPr>
      <w:r>
        <w:tab/>
        <w:t>(4)</w:t>
      </w:r>
      <w:r>
        <w:tab/>
        <w:t xml:space="preserve">The further </w:t>
      </w:r>
      <w:r>
        <w:rPr>
          <w:szCs w:val="24"/>
          <w:lang w:val="en-US"/>
        </w:rPr>
        <w:t>application</w:t>
      </w:r>
      <w:r>
        <w:t xml:space="preserve"> must be served on a party if—</w:t>
      </w:r>
    </w:p>
    <w:p w14:paraId="5D679EA4" w14:textId="77777777" w:rsidR="00D94935" w:rsidRDefault="00D94935" w:rsidP="00D94935">
      <w:pPr>
        <w:pStyle w:val="Apara"/>
      </w:pPr>
      <w:r>
        <w:tab/>
        <w:t>(a)</w:t>
      </w:r>
      <w:r>
        <w:tab/>
        <w:t>the court orders service on the party; or</w:t>
      </w:r>
    </w:p>
    <w:p w14:paraId="6B3DEA7E" w14:textId="77777777"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14:paraId="4159D9B6" w14:textId="77777777" w:rsidR="00D94935" w:rsidRDefault="00D94935" w:rsidP="00D94935">
      <w:pPr>
        <w:pStyle w:val="AH5Sec"/>
        <w:rPr>
          <w:lang w:val="en-US"/>
        </w:rPr>
      </w:pPr>
      <w:bookmarkStart w:id="1612" w:name="_Toc185515228"/>
      <w:r w:rsidRPr="00C8328B">
        <w:rPr>
          <w:rStyle w:val="CharSectNo"/>
        </w:rPr>
        <w:t>6015</w:t>
      </w:r>
      <w:r>
        <w:rPr>
          <w:lang w:val="en-US"/>
        </w:rPr>
        <w:tab/>
      </w:r>
      <w:r>
        <w:t>Application in proceeding—</w:t>
      </w:r>
      <w:r>
        <w:rPr>
          <w:lang w:val="en-US"/>
        </w:rPr>
        <w:t>application under r 40</w:t>
      </w:r>
      <w:bookmarkEnd w:id="1612"/>
    </w:p>
    <w:p w14:paraId="2F01F15C" w14:textId="77777777"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14:paraId="789532E1" w14:textId="77777777" w:rsidR="00D94935" w:rsidRDefault="00D94935" w:rsidP="00D94935">
      <w:pPr>
        <w:pStyle w:val="AH5Sec"/>
        <w:rPr>
          <w:lang w:val="en-US"/>
        </w:rPr>
      </w:pPr>
      <w:bookmarkStart w:id="1613" w:name="_Toc185515229"/>
      <w:r w:rsidRPr="00C8328B">
        <w:rPr>
          <w:rStyle w:val="CharSectNo"/>
        </w:rPr>
        <w:t>6016</w:t>
      </w:r>
      <w:r>
        <w:rPr>
          <w:lang w:val="en-US"/>
        </w:rPr>
        <w:tab/>
      </w:r>
      <w:r>
        <w:t>Application in proceeding—</w:t>
      </w:r>
      <w:r>
        <w:rPr>
          <w:lang w:val="en-US"/>
        </w:rPr>
        <w:t>oral application</w:t>
      </w:r>
      <w:bookmarkEnd w:id="1613"/>
    </w:p>
    <w:p w14:paraId="0ECDE77D" w14:textId="77777777"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14:paraId="0C3662BB" w14:textId="77777777"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14:paraId="1D765BE1" w14:textId="77777777"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14:paraId="60AF8633" w14:textId="77777777"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14:paraId="48BC4CF6" w14:textId="77777777"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14:paraId="7AE14B8F" w14:textId="77777777" w:rsidR="00D94935" w:rsidRDefault="00D94935" w:rsidP="00D94935">
      <w:pPr>
        <w:pStyle w:val="Apara"/>
      </w:pPr>
      <w:r>
        <w:tab/>
        <w:t>(e)</w:t>
      </w:r>
      <w:r>
        <w:tab/>
        <w:t>these rules otherwise allow the application to be made orally.</w:t>
      </w:r>
    </w:p>
    <w:p w14:paraId="301CB71E" w14:textId="77777777" w:rsidR="00451017" w:rsidRPr="00451017" w:rsidRDefault="00451017" w:rsidP="00451017">
      <w:pPr>
        <w:pStyle w:val="PageBreak"/>
      </w:pPr>
      <w:r w:rsidRPr="00451017">
        <w:br w:type="page"/>
      </w:r>
    </w:p>
    <w:p w14:paraId="58A9D1A3" w14:textId="77777777" w:rsidR="00D94935" w:rsidRPr="00C8328B" w:rsidRDefault="00D94935" w:rsidP="00D94935">
      <w:pPr>
        <w:pStyle w:val="AH2Part"/>
      </w:pPr>
      <w:bookmarkStart w:id="1614" w:name="_Toc185515230"/>
      <w:r w:rsidRPr="00C8328B">
        <w:rPr>
          <w:rStyle w:val="CharPartNo"/>
        </w:rPr>
        <w:lastRenderedPageBreak/>
        <w:t>Part 6.2A</w:t>
      </w:r>
      <w:r w:rsidRPr="00C754DF">
        <w:tab/>
      </w:r>
      <w:r w:rsidRPr="00C8328B">
        <w:rPr>
          <w:rStyle w:val="CharPartText"/>
        </w:rPr>
        <w:t>Human rights proceedings</w:t>
      </w:r>
      <w:bookmarkEnd w:id="1614"/>
    </w:p>
    <w:p w14:paraId="05DC4EF5" w14:textId="77777777" w:rsidR="00D94935" w:rsidRPr="00C8328B" w:rsidRDefault="00D94935" w:rsidP="00D94935">
      <w:pPr>
        <w:pStyle w:val="AH3Div"/>
      </w:pPr>
      <w:bookmarkStart w:id="1615" w:name="_Toc185515231"/>
      <w:r w:rsidRPr="00C8328B">
        <w:rPr>
          <w:rStyle w:val="CharDivNo"/>
        </w:rPr>
        <w:t>Division 6.2A.1</w:t>
      </w:r>
      <w:r w:rsidRPr="00C754DF">
        <w:tab/>
      </w:r>
      <w:r w:rsidRPr="00C8328B">
        <w:rPr>
          <w:rStyle w:val="CharDivText"/>
        </w:rPr>
        <w:t>Preliminary</w:t>
      </w:r>
      <w:bookmarkEnd w:id="1615"/>
    </w:p>
    <w:p w14:paraId="6FCDC054" w14:textId="77777777" w:rsidR="00D94935" w:rsidRPr="00C754DF" w:rsidRDefault="00D94935" w:rsidP="00D94935">
      <w:pPr>
        <w:pStyle w:val="AH5Sec"/>
        <w:rPr>
          <w:lang w:eastAsia="en-AU"/>
        </w:rPr>
      </w:pPr>
      <w:bookmarkStart w:id="1616" w:name="_Toc185515232"/>
      <w:r w:rsidRPr="00C8328B">
        <w:rPr>
          <w:rStyle w:val="CharSectNo"/>
        </w:rPr>
        <w:t>6020</w:t>
      </w:r>
      <w:r w:rsidRPr="00C754DF">
        <w:rPr>
          <w:lang w:eastAsia="en-AU"/>
        </w:rPr>
        <w:tab/>
        <w:t>Terms used in Human Rights Act 2004</w:t>
      </w:r>
      <w:bookmarkEnd w:id="1616"/>
    </w:p>
    <w:p w14:paraId="4358409D" w14:textId="5DE447E4" w:rsidR="00D94935" w:rsidRPr="00C754DF" w:rsidRDefault="00D94935" w:rsidP="00D94935">
      <w:pPr>
        <w:pStyle w:val="Amainreturn"/>
        <w:keepNext/>
        <w:rPr>
          <w:szCs w:val="24"/>
          <w:lang w:eastAsia="en-AU"/>
        </w:rPr>
      </w:pPr>
      <w:r w:rsidRPr="00C754DF">
        <w:rPr>
          <w:lang w:eastAsia="en-AU"/>
        </w:rPr>
        <w:t xml:space="preserve">A term used in the </w:t>
      </w:r>
      <w:hyperlink r:id="rId735"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14:paraId="2BB3A8AB" w14:textId="2EE14BA6"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36" w:tooltip="A2004-5" w:history="1">
        <w:r w:rsidRPr="006364FA">
          <w:rPr>
            <w:rStyle w:val="charCitHyperlinkItal"/>
          </w:rPr>
          <w:t>Human Rights Act 2004</w:t>
        </w:r>
      </w:hyperlink>
      <w:r w:rsidRPr="00C754DF">
        <w:rPr>
          <w:lang w:eastAsia="en-AU"/>
        </w:rPr>
        <w:t>, dictionary:</w:t>
      </w:r>
    </w:p>
    <w:p w14:paraId="265A759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14:paraId="775E4160"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14:paraId="75FEF50F"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14:paraId="510C43F3"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14:paraId="5E9792B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14:paraId="77E4AE0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14:paraId="1AF629A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14:paraId="70A99C8C"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14:paraId="35E7AABC" w14:textId="77777777" w:rsidR="00D94935" w:rsidRPr="00C754DF" w:rsidRDefault="00D94935" w:rsidP="00D94935">
      <w:pPr>
        <w:pStyle w:val="AH5Sec"/>
        <w:rPr>
          <w:lang w:eastAsia="en-AU"/>
        </w:rPr>
      </w:pPr>
      <w:bookmarkStart w:id="1617" w:name="_Toc185515233"/>
      <w:r w:rsidRPr="00C8328B">
        <w:rPr>
          <w:rStyle w:val="CharSectNo"/>
        </w:rPr>
        <w:t>6021</w:t>
      </w:r>
      <w:r w:rsidRPr="00C754DF">
        <w:rPr>
          <w:lang w:eastAsia="en-AU"/>
        </w:rPr>
        <w:tab/>
        <w:t>Application—pt 6.2A</w:t>
      </w:r>
      <w:bookmarkEnd w:id="1617"/>
    </w:p>
    <w:p w14:paraId="138DBC27" w14:textId="77777777" w:rsidR="00D94935" w:rsidRPr="00C754DF" w:rsidRDefault="00D94935" w:rsidP="00D94935">
      <w:pPr>
        <w:pStyle w:val="Amainreturn"/>
        <w:rPr>
          <w:lang w:eastAsia="en-AU"/>
        </w:rPr>
      </w:pPr>
      <w:r w:rsidRPr="00C754DF">
        <w:rPr>
          <w:lang w:eastAsia="en-AU"/>
        </w:rPr>
        <w:t>This part applies to a proceeding in the Supreme Court.</w:t>
      </w:r>
    </w:p>
    <w:p w14:paraId="70E36198" w14:textId="77777777" w:rsidR="00AE72B5" w:rsidRPr="00541115" w:rsidRDefault="00AE72B5" w:rsidP="00AE72B5">
      <w:pPr>
        <w:pStyle w:val="AH3Div"/>
      </w:pPr>
      <w:bookmarkStart w:id="1618" w:name="_Toc185515234"/>
      <w:r w:rsidRPr="00C03842">
        <w:rPr>
          <w:rStyle w:val="CharDivNo"/>
        </w:rPr>
        <w:t>Division 6.2A.1A</w:t>
      </w:r>
      <w:r w:rsidRPr="00541115">
        <w:tab/>
      </w:r>
      <w:r w:rsidRPr="00C03842">
        <w:rPr>
          <w:rStyle w:val="CharDivText"/>
        </w:rPr>
        <w:t>Pleadings and originating processes</w:t>
      </w:r>
      <w:bookmarkEnd w:id="1618"/>
    </w:p>
    <w:p w14:paraId="5E23FB6E" w14:textId="77777777" w:rsidR="00AE72B5" w:rsidRPr="00541115" w:rsidRDefault="00AE72B5" w:rsidP="00AE72B5">
      <w:pPr>
        <w:pStyle w:val="AH5Sec"/>
      </w:pPr>
      <w:bookmarkStart w:id="1619" w:name="_Toc185515235"/>
      <w:r w:rsidRPr="00C03842">
        <w:rPr>
          <w:rStyle w:val="CharSectNo"/>
        </w:rPr>
        <w:t>6022</w:t>
      </w:r>
      <w:r w:rsidRPr="00541115">
        <w:tab/>
        <w:t>Contents of pleadings or originating processes</w:t>
      </w:r>
      <w:bookmarkEnd w:id="1619"/>
    </w:p>
    <w:p w14:paraId="25718481" w14:textId="27D14732" w:rsidR="00AE72B5" w:rsidRPr="00541115" w:rsidRDefault="00AE72B5" w:rsidP="00AE72B5">
      <w:pPr>
        <w:pStyle w:val="Amain"/>
      </w:pPr>
      <w:r w:rsidRPr="00541115">
        <w:tab/>
        <w:t>(1)</w:t>
      </w:r>
      <w:r w:rsidRPr="00541115">
        <w:tab/>
        <w:t xml:space="preserve">This rule applies if a party to a proceeding relies on the </w:t>
      </w:r>
      <w:hyperlink r:id="rId737" w:tooltip="A2004-5" w:history="1">
        <w:r w:rsidRPr="00AD6F40">
          <w:rPr>
            <w:rStyle w:val="charCitHyperlinkItal"/>
          </w:rPr>
          <w:t>Human Rights Act 2004</w:t>
        </w:r>
      </w:hyperlink>
      <w:r w:rsidRPr="00541115">
        <w:t xml:space="preserve"> for relief.</w:t>
      </w:r>
    </w:p>
    <w:p w14:paraId="0EF4FEAA" w14:textId="77777777" w:rsidR="00AE72B5" w:rsidRPr="00541115" w:rsidRDefault="00AE72B5" w:rsidP="00AE72B5">
      <w:pPr>
        <w:pStyle w:val="Amain"/>
      </w:pPr>
      <w:r w:rsidRPr="00541115">
        <w:tab/>
        <w:t>(2)</w:t>
      </w:r>
      <w:r w:rsidRPr="00541115">
        <w:tab/>
        <w:t>The party’s pleading or originating application must state—</w:t>
      </w:r>
    </w:p>
    <w:p w14:paraId="67DA8344" w14:textId="77777777" w:rsidR="00AE72B5" w:rsidRPr="00541115" w:rsidRDefault="00AE72B5" w:rsidP="00AE72B5">
      <w:pPr>
        <w:pStyle w:val="Apara"/>
      </w:pPr>
      <w:r w:rsidRPr="00541115">
        <w:tab/>
        <w:t>(a)</w:t>
      </w:r>
      <w:r w:rsidRPr="00541115">
        <w:tab/>
        <w:t>the human right that the party relies on, including—</w:t>
      </w:r>
    </w:p>
    <w:p w14:paraId="44EABACB" w14:textId="77777777" w:rsidR="00AE72B5" w:rsidRPr="00541115" w:rsidRDefault="00AE72B5" w:rsidP="00AE72B5">
      <w:pPr>
        <w:pStyle w:val="Asubpara"/>
      </w:pPr>
      <w:r w:rsidRPr="00541115">
        <w:tab/>
        <w:t>(i)</w:t>
      </w:r>
      <w:r w:rsidRPr="00541115">
        <w:tab/>
        <w:t>the relevant content of the right; and</w:t>
      </w:r>
    </w:p>
    <w:p w14:paraId="7C0CD795" w14:textId="77777777" w:rsidR="00AE72B5" w:rsidRPr="00541115" w:rsidRDefault="00AE72B5" w:rsidP="00AE72B5">
      <w:pPr>
        <w:pStyle w:val="Asubpara"/>
      </w:pPr>
      <w:r w:rsidRPr="00541115">
        <w:tab/>
        <w:t>(ii)</w:t>
      </w:r>
      <w:r w:rsidRPr="00541115">
        <w:tab/>
        <w:t>any particular aspect of the right that the party relies on; and</w:t>
      </w:r>
    </w:p>
    <w:p w14:paraId="13B7672B" w14:textId="3159F046" w:rsidR="00AE72B5" w:rsidRPr="00541115" w:rsidRDefault="00AE72B5" w:rsidP="00AE72B5">
      <w:pPr>
        <w:pStyle w:val="Apara"/>
      </w:pPr>
      <w:r w:rsidRPr="00541115">
        <w:lastRenderedPageBreak/>
        <w:tab/>
        <w:t>(b)</w:t>
      </w:r>
      <w:r w:rsidRPr="00541115">
        <w:tab/>
      </w:r>
      <w:r w:rsidRPr="00541115">
        <w:rPr>
          <w:szCs w:val="24"/>
          <w:lang w:eastAsia="en-AU"/>
        </w:rPr>
        <w:t xml:space="preserve">the facts on which the party relies to assert that the </w:t>
      </w:r>
      <w:hyperlink r:id="rId738" w:tooltip="A2004-5" w:history="1">
        <w:r w:rsidRPr="00AD6F40">
          <w:rPr>
            <w:rStyle w:val="charCitHyperlinkItal"/>
          </w:rPr>
          <w:t>Human Rights Act 2004</w:t>
        </w:r>
      </w:hyperlink>
      <w:r w:rsidRPr="00541115">
        <w:rPr>
          <w:szCs w:val="24"/>
          <w:lang w:eastAsia="en-AU"/>
        </w:rPr>
        <w:t xml:space="preserve"> applies to the proceeding; and</w:t>
      </w:r>
    </w:p>
    <w:p w14:paraId="7DFD8FCB" w14:textId="1CF62E83" w:rsidR="00AE72B5" w:rsidRPr="00541115" w:rsidRDefault="00AE72B5" w:rsidP="00AE72B5">
      <w:pPr>
        <w:pStyle w:val="Apara"/>
      </w:pPr>
      <w:r w:rsidRPr="00541115">
        <w:tab/>
        <w:t>(c)</w:t>
      </w:r>
      <w:r w:rsidRPr="00541115">
        <w:tab/>
        <w:t xml:space="preserve">if </w:t>
      </w:r>
      <w:r w:rsidRPr="00541115">
        <w:rPr>
          <w:szCs w:val="24"/>
          <w:lang w:eastAsia="en-AU"/>
        </w:rPr>
        <w:t xml:space="preserve">the </w:t>
      </w:r>
      <w:hyperlink r:id="rId739" w:tooltip="A2004-5" w:history="1">
        <w:r w:rsidRPr="00AD6F40">
          <w:rPr>
            <w:rStyle w:val="charCitHyperlinkItal"/>
          </w:rPr>
          <w:t>Human Rights Act 2004</w:t>
        </w:r>
      </w:hyperlink>
      <w:r w:rsidRPr="00541115">
        <w:t>, section 40C applies in the proceeding—</w:t>
      </w:r>
    </w:p>
    <w:p w14:paraId="03826146" w14:textId="12F6EDFA" w:rsidR="00AE72B5" w:rsidRPr="00541115" w:rsidRDefault="00AE72B5" w:rsidP="00AE72B5">
      <w:pPr>
        <w:pStyle w:val="Asubpara"/>
      </w:pPr>
      <w:r w:rsidRPr="00541115">
        <w:tab/>
        <w:t>(i)</w:t>
      </w:r>
      <w:r w:rsidRPr="00541115">
        <w:tab/>
        <w:t xml:space="preserve">the human right the party alleges was breached in contravention of </w:t>
      </w:r>
      <w:r w:rsidRPr="00541115">
        <w:rPr>
          <w:szCs w:val="24"/>
          <w:lang w:eastAsia="en-AU"/>
        </w:rPr>
        <w:t xml:space="preserve">that </w:t>
      </w:r>
      <w:hyperlink r:id="rId740" w:tooltip="Human Rights Act 2004" w:history="1">
        <w:r w:rsidR="00597349" w:rsidRPr="00597349">
          <w:rPr>
            <w:rStyle w:val="charCitHyperlinkAbbrev"/>
          </w:rPr>
          <w:t>Act</w:t>
        </w:r>
      </w:hyperlink>
      <w:r w:rsidRPr="00541115">
        <w:t>, section 40B; and</w:t>
      </w:r>
    </w:p>
    <w:p w14:paraId="3BDA7E17" w14:textId="77777777" w:rsidR="00AE72B5" w:rsidRPr="00541115" w:rsidRDefault="00AE72B5" w:rsidP="00AE72B5">
      <w:pPr>
        <w:pStyle w:val="Asubpara"/>
      </w:pPr>
      <w:r w:rsidRPr="00541115">
        <w:tab/>
        <w:t>(ii)</w:t>
      </w:r>
      <w:r w:rsidRPr="00541115">
        <w:tab/>
        <w:t>the details of the alleged breach; and</w:t>
      </w:r>
    </w:p>
    <w:p w14:paraId="48241305" w14:textId="77777777" w:rsidR="00AE72B5" w:rsidRPr="00541115" w:rsidRDefault="00AE72B5" w:rsidP="00AE72B5">
      <w:pPr>
        <w:pStyle w:val="Apara"/>
      </w:pPr>
      <w:r w:rsidRPr="00541115">
        <w:tab/>
        <w:t>(d)</w:t>
      </w:r>
      <w:r w:rsidRPr="00541115">
        <w:tab/>
        <w:t>the relief sought.</w:t>
      </w:r>
    </w:p>
    <w:p w14:paraId="2AFA786A" w14:textId="77777777" w:rsidR="00AE72B5" w:rsidRPr="00541115" w:rsidRDefault="00AE72B5" w:rsidP="00AE72B5">
      <w:pPr>
        <w:pStyle w:val="Amain"/>
      </w:pPr>
      <w:r w:rsidRPr="00541115">
        <w:tab/>
        <w:t>(3)</w:t>
      </w:r>
      <w:r w:rsidRPr="00541115">
        <w:tab/>
        <w:t>The requirements of this rule are additional to the requirements of—</w:t>
      </w:r>
    </w:p>
    <w:p w14:paraId="65EA4CED" w14:textId="77777777" w:rsidR="00AE72B5" w:rsidRPr="00541115" w:rsidRDefault="00AE72B5" w:rsidP="00AE72B5">
      <w:pPr>
        <w:pStyle w:val="Apara"/>
      </w:pPr>
      <w:r w:rsidRPr="00541115">
        <w:tab/>
        <w:t>(a)</w:t>
      </w:r>
      <w:r w:rsidRPr="00541115">
        <w:tab/>
        <w:t xml:space="preserve">for a proceeding started, or ordered to be continued as if started, by an originating claim—division 2.2.2 (Originating claims); and </w:t>
      </w:r>
    </w:p>
    <w:p w14:paraId="689618CE" w14:textId="77777777" w:rsidR="00AE72B5" w:rsidRPr="00541115" w:rsidRDefault="00AE72B5" w:rsidP="00AE72B5">
      <w:pPr>
        <w:pStyle w:val="Apara"/>
      </w:pPr>
      <w:r w:rsidRPr="00541115">
        <w:tab/>
        <w:t>(b)</w:t>
      </w:r>
      <w:r w:rsidRPr="00541115">
        <w:tab/>
        <w:t>for a proceeding started, or ordered to be continued as if started, by an originating application—division 2.2.3 (Originating applications).</w:t>
      </w:r>
    </w:p>
    <w:p w14:paraId="3F77CD14" w14:textId="77777777" w:rsidR="00D94935" w:rsidRPr="00C8328B" w:rsidRDefault="00D94935" w:rsidP="00D94935">
      <w:pPr>
        <w:pStyle w:val="AH3Div"/>
      </w:pPr>
      <w:bookmarkStart w:id="1620" w:name="_Toc185515236"/>
      <w:r w:rsidRPr="00C8328B">
        <w:rPr>
          <w:rStyle w:val="CharDivNo"/>
        </w:rPr>
        <w:t>Division 6.2A.2</w:t>
      </w:r>
      <w:r w:rsidRPr="00C754DF">
        <w:tab/>
      </w:r>
      <w:r w:rsidRPr="00C8328B">
        <w:rPr>
          <w:rStyle w:val="CharDivText"/>
        </w:rPr>
        <w:t>Notice to Attorney-General and commission</w:t>
      </w:r>
      <w:bookmarkEnd w:id="1620"/>
    </w:p>
    <w:p w14:paraId="720358D8" w14:textId="77777777" w:rsidR="00D94935" w:rsidRPr="00C754DF" w:rsidRDefault="00D94935" w:rsidP="00D94935">
      <w:pPr>
        <w:pStyle w:val="AH5Sec"/>
      </w:pPr>
      <w:bookmarkStart w:id="1621" w:name="_Toc185515237"/>
      <w:r w:rsidRPr="00C8328B">
        <w:rPr>
          <w:rStyle w:val="CharSectNo"/>
        </w:rPr>
        <w:t>6030</w:t>
      </w:r>
      <w:r w:rsidRPr="00C754DF">
        <w:tab/>
        <w:t>Application—div 6.2A.2</w:t>
      </w:r>
      <w:bookmarkEnd w:id="1621"/>
    </w:p>
    <w:p w14:paraId="05745BD8" w14:textId="760CC23F" w:rsidR="00D94935" w:rsidRPr="00C754DF" w:rsidRDefault="00D94935" w:rsidP="00E50C67">
      <w:pPr>
        <w:pStyle w:val="Amainreturn"/>
        <w:keepNext/>
      </w:pPr>
      <w:r w:rsidRPr="00C754DF">
        <w:t xml:space="preserve">This division applies to a proceeding to which the </w:t>
      </w:r>
      <w:hyperlink r:id="rId741" w:tooltip="A2004-5" w:history="1">
        <w:r w:rsidRPr="006364FA">
          <w:rPr>
            <w:rStyle w:val="charCitHyperlinkItal"/>
          </w:rPr>
          <w:t>Human Rights Act 2004</w:t>
        </w:r>
      </w:hyperlink>
      <w:r w:rsidRPr="00C754DF">
        <w:t>, section 34 applies.</w:t>
      </w:r>
    </w:p>
    <w:p w14:paraId="520E8271" w14:textId="20ABBE23" w:rsidR="00DD771A" w:rsidRPr="00F13970" w:rsidRDefault="00DD771A" w:rsidP="00DD771A">
      <w:pPr>
        <w:pStyle w:val="aNote"/>
        <w:rPr>
          <w:color w:val="000000"/>
        </w:rPr>
      </w:pPr>
      <w:r w:rsidRPr="005E6481">
        <w:rPr>
          <w:rStyle w:val="charItals"/>
        </w:rPr>
        <w:t>Note</w:t>
      </w:r>
      <w:r w:rsidRPr="005E6481">
        <w:rPr>
          <w:rStyle w:val="charItals"/>
        </w:rPr>
        <w:tab/>
      </w:r>
      <w:r w:rsidRPr="00F13970">
        <w:t xml:space="preserve">The </w:t>
      </w:r>
      <w:hyperlink r:id="rId742" w:tooltip="A2004-5" w:history="1">
        <w:r w:rsidRPr="005E6481">
          <w:rPr>
            <w:rStyle w:val="charCitHyperlinkItal"/>
          </w:rPr>
          <w:t>Human Rights Act 2004</w:t>
        </w:r>
      </w:hyperlink>
      <w:r w:rsidRPr="00F13970">
        <w:t xml:space="preserve">, s 34 applies if </w:t>
      </w:r>
      <w:r w:rsidRPr="00F13970">
        <w:rPr>
          <w:color w:val="000000"/>
        </w:rPr>
        <w:t>a question arises in a proceeding in the Supreme Court that involves the application of that Act or the Supreme Court is considering making a declaration of incompatibility in a proceeding.</w:t>
      </w:r>
    </w:p>
    <w:p w14:paraId="7E8F09C5" w14:textId="77777777" w:rsidR="00D94935" w:rsidRPr="00C754DF" w:rsidRDefault="00D94935" w:rsidP="00D94935">
      <w:pPr>
        <w:pStyle w:val="AH5Sec"/>
      </w:pPr>
      <w:bookmarkStart w:id="1622" w:name="_Toc185515238"/>
      <w:r w:rsidRPr="00C8328B">
        <w:rPr>
          <w:rStyle w:val="CharSectNo"/>
        </w:rPr>
        <w:lastRenderedPageBreak/>
        <w:t>6031</w:t>
      </w:r>
      <w:r w:rsidRPr="00C754DF">
        <w:tab/>
        <w:t>Notice—human rights proceedings</w:t>
      </w:r>
      <w:bookmarkEnd w:id="1622"/>
    </w:p>
    <w:p w14:paraId="5076D927" w14:textId="77777777" w:rsidR="00D94935" w:rsidRPr="00C754DF" w:rsidRDefault="00D94935" w:rsidP="00717409">
      <w:pPr>
        <w:pStyle w:val="Amain"/>
        <w:keepNext/>
      </w:pPr>
      <w:r w:rsidRPr="00C754DF">
        <w:tab/>
        <w:t>(1)</w:t>
      </w:r>
      <w:r w:rsidRPr="00C754DF">
        <w:tab/>
        <w:t>This rule applies to a party to a proceeding if—</w:t>
      </w:r>
    </w:p>
    <w:p w14:paraId="7A75A07B" w14:textId="4F91D6BD" w:rsidR="00D94935" w:rsidRPr="00C754DF" w:rsidRDefault="00D94935" w:rsidP="00D94935">
      <w:pPr>
        <w:pStyle w:val="Apara"/>
      </w:pPr>
      <w:r w:rsidRPr="00C754DF">
        <w:tab/>
        <w:t>(a)</w:t>
      </w:r>
      <w:r w:rsidRPr="00C754DF">
        <w:tab/>
        <w:t xml:space="preserve">the party asserts that the </w:t>
      </w:r>
      <w:hyperlink r:id="rId743" w:tooltip="A2004-5" w:history="1">
        <w:r w:rsidRPr="006364FA">
          <w:rPr>
            <w:rStyle w:val="charCitHyperlinkItal"/>
          </w:rPr>
          <w:t>Human Rights Act 2004</w:t>
        </w:r>
      </w:hyperlink>
      <w:r w:rsidRPr="00C754DF">
        <w:t xml:space="preserve"> applies in the proceeding; or</w:t>
      </w:r>
    </w:p>
    <w:p w14:paraId="0D9A7D6E" w14:textId="77777777" w:rsidR="00D94935" w:rsidRPr="00C754DF" w:rsidRDefault="00D94935" w:rsidP="00D94935">
      <w:pPr>
        <w:pStyle w:val="Apara"/>
      </w:pPr>
      <w:r w:rsidRPr="00C754DF">
        <w:tab/>
        <w:t>(b)</w:t>
      </w:r>
      <w:r w:rsidRPr="00C754DF">
        <w:tab/>
        <w:t>the party is seeking a declaration of incompatibility in the proceeding.</w:t>
      </w:r>
    </w:p>
    <w:p w14:paraId="7ACAAA6B" w14:textId="77777777"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14:paraId="4BF8B352" w14:textId="64893D41"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4" w:history="1">
        <w:r w:rsidR="005C0691">
          <w:rPr>
            <w:rStyle w:val="charCitHyperlinkAbbrev"/>
          </w:rPr>
          <w:t>AF2024-51</w:t>
        </w:r>
      </w:hyperlink>
      <w:r w:rsidRPr="00C754DF">
        <w:rPr>
          <w:lang w:eastAsia="en-AU"/>
        </w:rPr>
        <w:t>.</w:t>
      </w:r>
    </w:p>
    <w:p w14:paraId="1F0432B9" w14:textId="77777777"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14:paraId="7F1AA630"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14:paraId="3C668E7A"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14:paraId="4574AEB8" w14:textId="77777777" w:rsidR="00D94935" w:rsidRPr="00C754DF" w:rsidRDefault="00D94935" w:rsidP="00D94935">
      <w:pPr>
        <w:pStyle w:val="Amain"/>
        <w:rPr>
          <w:lang w:eastAsia="en-AU"/>
        </w:rPr>
      </w:pPr>
      <w:r w:rsidRPr="00C754DF">
        <w:rPr>
          <w:lang w:eastAsia="en-AU"/>
        </w:rPr>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285F9EDD" w14:textId="77777777" w:rsidR="00D94935" w:rsidRPr="00C754DF" w:rsidRDefault="00D94935" w:rsidP="00D94935">
      <w:pPr>
        <w:pStyle w:val="AH5Sec"/>
        <w:rPr>
          <w:lang w:eastAsia="en-AU"/>
        </w:rPr>
      </w:pPr>
      <w:bookmarkStart w:id="1623" w:name="_Toc185515239"/>
      <w:r w:rsidRPr="00C8328B">
        <w:rPr>
          <w:rStyle w:val="CharSectNo"/>
        </w:rPr>
        <w:t>6032</w:t>
      </w:r>
      <w:r w:rsidRPr="00C754DF">
        <w:rPr>
          <w:lang w:eastAsia="en-AU"/>
        </w:rPr>
        <w:tab/>
        <w:t>Notice—direction by court</w:t>
      </w:r>
      <w:bookmarkEnd w:id="1623"/>
    </w:p>
    <w:p w14:paraId="775E4BD7" w14:textId="16BCB7CF"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45" w:tooltip="A2004-5" w:history="1">
        <w:r w:rsidRPr="006364FA">
          <w:rPr>
            <w:rStyle w:val="charCitHyperlinkItal"/>
          </w:rPr>
          <w:t>Human Rights Act 2004</w:t>
        </w:r>
      </w:hyperlink>
      <w:r w:rsidRPr="00C754DF">
        <w:rPr>
          <w:lang w:eastAsia="en-AU"/>
        </w:rPr>
        <w:t>—</w:t>
      </w:r>
    </w:p>
    <w:p w14:paraId="779062D9" w14:textId="77777777"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14:paraId="792D26D3" w14:textId="77777777"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14:paraId="54376091" w14:textId="2E79BBB1"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6" w:history="1">
        <w:r w:rsidR="005C0691">
          <w:rPr>
            <w:rStyle w:val="charCitHyperlinkAbbrev"/>
          </w:rPr>
          <w:t>AF2024-51</w:t>
        </w:r>
      </w:hyperlink>
      <w:r w:rsidRPr="00C754DF">
        <w:rPr>
          <w:lang w:eastAsia="en-AU"/>
        </w:rPr>
        <w:t>.</w:t>
      </w:r>
    </w:p>
    <w:p w14:paraId="6B807483" w14:textId="77777777"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3A02BDA0" w14:textId="77777777" w:rsidR="00D94935" w:rsidRPr="00C754DF" w:rsidRDefault="00D94935" w:rsidP="00D94935">
      <w:pPr>
        <w:pStyle w:val="AH5Sec"/>
      </w:pPr>
      <w:bookmarkStart w:id="1624" w:name="_Toc185515240"/>
      <w:r w:rsidRPr="00C8328B">
        <w:rPr>
          <w:rStyle w:val="CharSectNo"/>
        </w:rPr>
        <w:lastRenderedPageBreak/>
        <w:t>6033</w:t>
      </w:r>
      <w:r w:rsidRPr="00C754DF">
        <w:tab/>
        <w:t>Contents of notice of human rights matter</w:t>
      </w:r>
      <w:bookmarkEnd w:id="1624"/>
    </w:p>
    <w:p w14:paraId="16317CAB" w14:textId="77777777" w:rsidR="00D94935" w:rsidRPr="00C754DF" w:rsidRDefault="00D94935" w:rsidP="00D94935">
      <w:pPr>
        <w:pStyle w:val="Amainreturn"/>
      </w:pPr>
      <w:r w:rsidRPr="00C754DF">
        <w:t>A notice of a human rights matter must state—</w:t>
      </w:r>
    </w:p>
    <w:p w14:paraId="038861EC" w14:textId="31403564" w:rsidR="00D94935" w:rsidRPr="00C754DF" w:rsidRDefault="00D94935" w:rsidP="00D94935">
      <w:pPr>
        <w:pStyle w:val="Apara"/>
      </w:pPr>
      <w:r w:rsidRPr="00C754DF">
        <w:tab/>
        <w:t>(a)</w:t>
      </w:r>
      <w:r w:rsidRPr="00C754DF">
        <w:tab/>
        <w:t xml:space="preserve">the human right under the </w:t>
      </w:r>
      <w:hyperlink r:id="rId747" w:tooltip="A2004-5" w:history="1">
        <w:r w:rsidRPr="006364FA">
          <w:rPr>
            <w:rStyle w:val="charCitHyperlinkItal"/>
          </w:rPr>
          <w:t>Human Rights Act 2004</w:t>
        </w:r>
      </w:hyperlink>
      <w:r w:rsidRPr="00C754DF">
        <w:t xml:space="preserve"> which allegedly applies in the proceeding, including—</w:t>
      </w:r>
    </w:p>
    <w:p w14:paraId="22215E3F" w14:textId="77777777" w:rsidR="00D94935" w:rsidRPr="00C754DF" w:rsidRDefault="00D94935" w:rsidP="00D94935">
      <w:pPr>
        <w:pStyle w:val="Asubpara"/>
      </w:pPr>
      <w:r w:rsidRPr="00C754DF">
        <w:tab/>
        <w:t>(i)</w:t>
      </w:r>
      <w:r w:rsidRPr="00C754DF">
        <w:tab/>
        <w:t>the relevant content of the right; and</w:t>
      </w:r>
    </w:p>
    <w:p w14:paraId="7529639C" w14:textId="77777777" w:rsidR="00D94935" w:rsidRPr="00C754DF" w:rsidRDefault="00D94935" w:rsidP="00D94935">
      <w:pPr>
        <w:pStyle w:val="Asubpara"/>
      </w:pPr>
      <w:r w:rsidRPr="00C754DF">
        <w:tab/>
        <w:t>(ii)</w:t>
      </w:r>
      <w:r w:rsidRPr="00C754DF">
        <w:tab/>
        <w:t>any particular aspect of the right which allegedly applies; and</w:t>
      </w:r>
    </w:p>
    <w:p w14:paraId="4FDF57E0" w14:textId="3184B50E"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48" w:tooltip="A2004-5" w:history="1">
        <w:r w:rsidRPr="006364FA">
          <w:rPr>
            <w:rStyle w:val="charCitHyperlinkItal"/>
          </w:rPr>
          <w:t>Human Rights Act 2004</w:t>
        </w:r>
      </w:hyperlink>
      <w:r w:rsidRPr="00C754DF">
        <w:rPr>
          <w:szCs w:val="24"/>
          <w:lang w:eastAsia="en-AU"/>
        </w:rPr>
        <w:t xml:space="preserve"> applies to the proceeding; and</w:t>
      </w:r>
    </w:p>
    <w:p w14:paraId="463AFE1F" w14:textId="77777777" w:rsidR="00D94935" w:rsidRPr="00C754DF" w:rsidRDefault="00D94935" w:rsidP="00D94935">
      <w:pPr>
        <w:pStyle w:val="Apara"/>
      </w:pPr>
      <w:r w:rsidRPr="00C754DF">
        <w:tab/>
        <w:t>(c)</w:t>
      </w:r>
      <w:r w:rsidRPr="00C754DF">
        <w:tab/>
        <w:t>if the party is seeking a declaration of incompatibility in the proceeding—</w:t>
      </w:r>
    </w:p>
    <w:p w14:paraId="6033CB9E" w14:textId="77777777" w:rsidR="00D94935" w:rsidRPr="00C754DF" w:rsidRDefault="00D94935" w:rsidP="00D94935">
      <w:pPr>
        <w:pStyle w:val="Asubpara"/>
      </w:pPr>
      <w:r w:rsidRPr="00C754DF">
        <w:tab/>
        <w:t>(i)</w:t>
      </w:r>
      <w:r w:rsidRPr="00C754DF">
        <w:tab/>
        <w:t>that a declaration of incompatibility is being sought; and</w:t>
      </w:r>
    </w:p>
    <w:p w14:paraId="3E175CDE" w14:textId="77777777" w:rsidR="00D94935" w:rsidRPr="00C754DF" w:rsidRDefault="00D94935" w:rsidP="00D94935">
      <w:pPr>
        <w:pStyle w:val="Asubpara"/>
      </w:pPr>
      <w:r w:rsidRPr="00C754DF">
        <w:tab/>
        <w:t>(ii)</w:t>
      </w:r>
      <w:r w:rsidRPr="00C754DF">
        <w:tab/>
        <w:t>the territory law, or provision of the law, that is allegedly inconsistent with the human right; and</w:t>
      </w:r>
    </w:p>
    <w:p w14:paraId="21527CC7" w14:textId="77777777" w:rsidR="00D94935" w:rsidRPr="00C754DF" w:rsidRDefault="00D94935" w:rsidP="00D94935">
      <w:pPr>
        <w:pStyle w:val="Asubpara"/>
      </w:pPr>
      <w:r w:rsidRPr="00C754DF">
        <w:tab/>
        <w:t>(iii)</w:t>
      </w:r>
      <w:r w:rsidRPr="00C754DF">
        <w:tab/>
        <w:t>the way in which the law or provision is allegedly inconsistent with the human right.</w:t>
      </w:r>
    </w:p>
    <w:p w14:paraId="7489A6BF" w14:textId="77777777" w:rsidR="00D94935" w:rsidRPr="00C754DF" w:rsidRDefault="00D94935" w:rsidP="00D94935">
      <w:pPr>
        <w:pStyle w:val="AH5Sec"/>
      </w:pPr>
      <w:bookmarkStart w:id="1625" w:name="_Toc185515241"/>
      <w:r w:rsidRPr="00C8328B">
        <w:rPr>
          <w:rStyle w:val="CharSectNo"/>
        </w:rPr>
        <w:t>6034</w:t>
      </w:r>
      <w:r w:rsidRPr="00C754DF">
        <w:tab/>
        <w:t>Directions hearing—human rights proceedings</w:t>
      </w:r>
      <w:bookmarkEnd w:id="1625"/>
    </w:p>
    <w:p w14:paraId="5FCEE007" w14:textId="77777777" w:rsidR="00D94935" w:rsidRPr="00C754DF" w:rsidRDefault="00D94935" w:rsidP="00D94935">
      <w:pPr>
        <w:pStyle w:val="Amain"/>
      </w:pPr>
      <w:r w:rsidRPr="00C754DF">
        <w:tab/>
        <w:t>(1)</w:t>
      </w:r>
      <w:r w:rsidRPr="00C754DF">
        <w:tab/>
        <w:t>If a party files a notice under rule 6031—</w:t>
      </w:r>
    </w:p>
    <w:p w14:paraId="1E754316" w14:textId="77777777" w:rsidR="00D94935" w:rsidRPr="00C754DF" w:rsidRDefault="00D94935" w:rsidP="00D94935">
      <w:pPr>
        <w:pStyle w:val="Apara"/>
      </w:pPr>
      <w:r w:rsidRPr="00C754DF">
        <w:tab/>
        <w:t>(a)</w:t>
      </w:r>
      <w:r w:rsidRPr="00C754DF">
        <w:tab/>
        <w:t>the court must set a date for a directions hearing for the proceeding; and</w:t>
      </w:r>
    </w:p>
    <w:p w14:paraId="139B74F7" w14:textId="77777777"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14:paraId="4DE2F6A1" w14:textId="77777777"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14:paraId="171C6298" w14:textId="77777777"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14:paraId="36FF2E78" w14:textId="77777777" w:rsidR="00D94935" w:rsidRPr="00C8328B" w:rsidRDefault="00D94935" w:rsidP="00D94935">
      <w:pPr>
        <w:pStyle w:val="AH3Div"/>
      </w:pPr>
      <w:bookmarkStart w:id="1626" w:name="_Toc185515242"/>
      <w:r w:rsidRPr="00C8328B">
        <w:rPr>
          <w:rStyle w:val="CharDivNo"/>
        </w:rPr>
        <w:lastRenderedPageBreak/>
        <w:t>Division 6.2A.3</w:t>
      </w:r>
      <w:r w:rsidRPr="00C754DF">
        <w:tab/>
      </w:r>
      <w:r w:rsidRPr="00C8328B">
        <w:rPr>
          <w:rStyle w:val="CharDivText"/>
        </w:rPr>
        <w:t>Intervention of commission</w:t>
      </w:r>
      <w:bookmarkEnd w:id="1626"/>
    </w:p>
    <w:p w14:paraId="76A695D8" w14:textId="77777777" w:rsidR="00D94935" w:rsidRPr="00C754DF" w:rsidRDefault="00D94935" w:rsidP="00D94935">
      <w:pPr>
        <w:pStyle w:val="AH5Sec"/>
      </w:pPr>
      <w:bookmarkStart w:id="1627" w:name="_Toc185515243"/>
      <w:r w:rsidRPr="00C8328B">
        <w:rPr>
          <w:rStyle w:val="CharSectNo"/>
        </w:rPr>
        <w:t>6040</w:t>
      </w:r>
      <w:r w:rsidRPr="00C754DF">
        <w:tab/>
        <w:t>Human rights commissioner—application for leave to intervene</w:t>
      </w:r>
      <w:bookmarkEnd w:id="1627"/>
    </w:p>
    <w:p w14:paraId="6FCF8104" w14:textId="0CC223C2"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49" w:tooltip="A2004-5" w:history="1">
        <w:r w:rsidRPr="006364FA">
          <w:rPr>
            <w:rStyle w:val="charCitHyperlinkItal"/>
          </w:rPr>
          <w:t>Human Rights Act 2004</w:t>
        </w:r>
      </w:hyperlink>
      <w:r w:rsidRPr="00C754DF">
        <w:t>, section 36.</w:t>
      </w:r>
    </w:p>
    <w:p w14:paraId="069578E8" w14:textId="20A9FC48"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50"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14:paraId="2F4C18E6" w14:textId="77777777" w:rsidR="00D94935" w:rsidRPr="00C754DF" w:rsidRDefault="00D94935" w:rsidP="00D94935">
      <w:pPr>
        <w:pStyle w:val="Amain"/>
      </w:pPr>
      <w:r w:rsidRPr="00C754DF">
        <w:tab/>
        <w:t>(2)</w:t>
      </w:r>
      <w:r w:rsidRPr="00C754DF">
        <w:tab/>
        <w:t>The human rights commissioner must file in the court an application for leave to intervene.</w:t>
      </w:r>
    </w:p>
    <w:p w14:paraId="15640760" w14:textId="1B227678"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sidR="007603EC">
        <w:rPr>
          <w:lang w:eastAsia="en-AU"/>
        </w:rPr>
        <w:br/>
      </w:r>
      <w:hyperlink r:id="rId751" w:history="1">
        <w:r w:rsidR="007603EC">
          <w:rPr>
            <w:rStyle w:val="charCitHyperlinkAbbrev"/>
          </w:rPr>
          <w:t>AF2024-53</w:t>
        </w:r>
      </w:hyperlink>
      <w:r w:rsidRPr="00C754DF">
        <w:rPr>
          <w:lang w:eastAsia="en-AU"/>
        </w:rPr>
        <w:t>.</w:t>
      </w:r>
    </w:p>
    <w:p w14:paraId="397B9CDB" w14:textId="77777777"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14:paraId="563D5320" w14:textId="77777777" w:rsidR="00D94935" w:rsidRPr="00C754DF" w:rsidRDefault="00D94935" w:rsidP="00D94935">
      <w:pPr>
        <w:pStyle w:val="Amain"/>
        <w:rPr>
          <w:szCs w:val="24"/>
          <w:lang w:eastAsia="en-AU"/>
        </w:rPr>
      </w:pPr>
      <w:r w:rsidRPr="00C754DF">
        <w:rPr>
          <w:lang w:eastAsia="en-AU"/>
        </w:rPr>
        <w:tab/>
        <w:t>(4)</w:t>
      </w:r>
      <w:r w:rsidRPr="00C754DF">
        <w:rPr>
          <w:lang w:eastAsia="en-AU"/>
        </w:rPr>
        <w:tab/>
        <w:t>As soon as practicable after the application is filed, a copy of the application and the supporting affidavit must be served on—</w:t>
      </w:r>
    </w:p>
    <w:p w14:paraId="09AADD1A"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14:paraId="7AF0E630"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14:paraId="06BBC50A" w14:textId="77777777" w:rsidR="00D94935" w:rsidRPr="00C754DF" w:rsidRDefault="00D94935" w:rsidP="00D94935">
      <w:pPr>
        <w:pStyle w:val="Amain"/>
      </w:pPr>
      <w:r w:rsidRPr="00C754DF">
        <w:tab/>
        <w:t>(5)</w:t>
      </w:r>
      <w:r w:rsidRPr="00C754DF">
        <w:tab/>
        <w:t>If the court gives the commissioner leave to intervene, the commissioner must—</w:t>
      </w:r>
    </w:p>
    <w:p w14:paraId="6C82BF03" w14:textId="77777777" w:rsidR="00D94935" w:rsidRPr="00C754DF" w:rsidRDefault="00D94935" w:rsidP="00D94935">
      <w:pPr>
        <w:pStyle w:val="Apara"/>
      </w:pPr>
      <w:r w:rsidRPr="00C754DF">
        <w:tab/>
        <w:t>(a)</w:t>
      </w:r>
      <w:r w:rsidRPr="00C754DF">
        <w:tab/>
        <w:t>file a notice of intervention; and</w:t>
      </w:r>
    </w:p>
    <w:p w14:paraId="6EE6C0A3" w14:textId="4F809900"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52" w:history="1">
        <w:r w:rsidR="00087C4C">
          <w:rPr>
            <w:rStyle w:val="charCitHyperlinkAbbrev"/>
          </w:rPr>
          <w:t>AF2024-52</w:t>
        </w:r>
      </w:hyperlink>
      <w:r w:rsidRPr="00C754DF">
        <w:rPr>
          <w:lang w:eastAsia="en-AU"/>
        </w:rPr>
        <w:t>.</w:t>
      </w:r>
    </w:p>
    <w:p w14:paraId="25791272" w14:textId="77777777" w:rsidR="00D94935" w:rsidRPr="00C754DF" w:rsidRDefault="00D94935" w:rsidP="00D94935">
      <w:pPr>
        <w:pStyle w:val="Apara"/>
      </w:pPr>
      <w:r w:rsidRPr="00C754DF">
        <w:tab/>
        <w:t>(b)</w:t>
      </w:r>
      <w:r w:rsidRPr="00C754DF">
        <w:tab/>
        <w:t>serve a copy of the notice on—</w:t>
      </w:r>
    </w:p>
    <w:p w14:paraId="30C5622D" w14:textId="77777777" w:rsidR="00D94935" w:rsidRPr="00C754DF" w:rsidRDefault="00D94935" w:rsidP="00D94935">
      <w:pPr>
        <w:pStyle w:val="Asubpara"/>
      </w:pPr>
      <w:r w:rsidRPr="00C754DF">
        <w:tab/>
        <w:t>(i)</w:t>
      </w:r>
      <w:r w:rsidRPr="00C754DF">
        <w:tab/>
        <w:t>the Attorney-General; and</w:t>
      </w:r>
    </w:p>
    <w:p w14:paraId="1F542C1F" w14:textId="77777777" w:rsidR="00D94935" w:rsidRPr="00C754DF" w:rsidRDefault="00D94935" w:rsidP="00D94935">
      <w:pPr>
        <w:pStyle w:val="Asubpara"/>
      </w:pPr>
      <w:r w:rsidRPr="00C754DF">
        <w:tab/>
        <w:t>(ii)</w:t>
      </w:r>
      <w:r w:rsidRPr="00C754DF">
        <w:tab/>
        <w:t>each active party to the proceeding.</w:t>
      </w:r>
    </w:p>
    <w:p w14:paraId="7B2D5795" w14:textId="77777777" w:rsidR="00D94935" w:rsidRPr="0048461A" w:rsidRDefault="00D94935" w:rsidP="00D94935">
      <w:pPr>
        <w:pStyle w:val="PageBreak"/>
      </w:pPr>
      <w:r w:rsidRPr="0048461A">
        <w:br w:type="page"/>
      </w:r>
    </w:p>
    <w:p w14:paraId="1585E36C" w14:textId="77777777" w:rsidR="00D94935" w:rsidRPr="00C8328B" w:rsidRDefault="00D94935" w:rsidP="00D94935">
      <w:pPr>
        <w:pStyle w:val="AH2Part"/>
      </w:pPr>
      <w:bookmarkStart w:id="1628" w:name="_Toc185515244"/>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28"/>
    </w:p>
    <w:p w14:paraId="4C72561D" w14:textId="77777777" w:rsidR="00D94935" w:rsidRDefault="00D94935" w:rsidP="00D94935">
      <w:pPr>
        <w:pStyle w:val="Placeholder"/>
        <w:suppressLineNumbers/>
      </w:pPr>
      <w:r>
        <w:rPr>
          <w:rStyle w:val="CharDivNo"/>
        </w:rPr>
        <w:t xml:space="preserve">  </w:t>
      </w:r>
      <w:r>
        <w:rPr>
          <w:rStyle w:val="CharDivText"/>
        </w:rPr>
        <w:t xml:space="preserve">  </w:t>
      </w:r>
    </w:p>
    <w:p w14:paraId="595E72FF" w14:textId="77777777" w:rsidR="00D94935" w:rsidRPr="00C754DF" w:rsidRDefault="00D94935" w:rsidP="00D94935">
      <w:pPr>
        <w:pStyle w:val="AH5Sec"/>
      </w:pPr>
      <w:bookmarkStart w:id="1629" w:name="_Toc185515245"/>
      <w:r w:rsidRPr="00C8328B">
        <w:rPr>
          <w:rStyle w:val="CharSectNo"/>
        </w:rPr>
        <w:t>6045</w:t>
      </w:r>
      <w:r w:rsidRPr="00C754DF">
        <w:rPr>
          <w:lang w:eastAsia="en-AU"/>
        </w:rPr>
        <w:tab/>
      </w:r>
      <w:r w:rsidRPr="00C754DF">
        <w:t>Attorney-General—notice of intervention</w:t>
      </w:r>
      <w:bookmarkEnd w:id="1629"/>
    </w:p>
    <w:p w14:paraId="176E8006" w14:textId="77777777" w:rsidR="00D94935" w:rsidRPr="00C754DF" w:rsidRDefault="00D94935" w:rsidP="00D94935">
      <w:pPr>
        <w:pStyle w:val="Amain"/>
      </w:pPr>
      <w:r w:rsidRPr="00C754DF">
        <w:tab/>
        <w:t>(1)</w:t>
      </w:r>
      <w:r w:rsidRPr="00C754DF">
        <w:tab/>
        <w:t>This rule applies if the Attorney-General wishes to intervene in a proceeding under—</w:t>
      </w:r>
    </w:p>
    <w:p w14:paraId="0532226D" w14:textId="5A76C5BA" w:rsidR="00D94935" w:rsidRPr="00C754DF" w:rsidRDefault="00D94935" w:rsidP="00D94935">
      <w:pPr>
        <w:pStyle w:val="Apara"/>
      </w:pPr>
      <w:r w:rsidRPr="00C754DF">
        <w:tab/>
        <w:t>(a)</w:t>
      </w:r>
      <w:r w:rsidRPr="00C754DF">
        <w:tab/>
        <w:t xml:space="preserve">the </w:t>
      </w:r>
      <w:hyperlink r:id="rId753" w:tooltip="A1989-33" w:history="1">
        <w:r w:rsidRPr="006364FA">
          <w:rPr>
            <w:rStyle w:val="charCitHyperlinkItal"/>
          </w:rPr>
          <w:t>Administrative Decisions (Judicial Review) Act 1989</w:t>
        </w:r>
      </w:hyperlink>
      <w:r w:rsidRPr="00C754DF">
        <w:t>, section 19; or</w:t>
      </w:r>
    </w:p>
    <w:p w14:paraId="6F5F6492" w14:textId="35A7F479" w:rsidR="00D94935" w:rsidRPr="00C754DF" w:rsidRDefault="00D94935" w:rsidP="00D94935">
      <w:pPr>
        <w:pStyle w:val="Apara"/>
      </w:pPr>
      <w:r w:rsidRPr="00C754DF">
        <w:tab/>
        <w:t>(b)</w:t>
      </w:r>
      <w:r w:rsidRPr="00C754DF">
        <w:tab/>
        <w:t xml:space="preserve">the </w:t>
      </w:r>
      <w:hyperlink r:id="rId754" w:tooltip="A2004-59" w:history="1">
        <w:r w:rsidRPr="006364FA">
          <w:rPr>
            <w:rStyle w:val="charCitHyperlinkItal"/>
          </w:rPr>
          <w:t>Court Procedures Act 2004</w:t>
        </w:r>
      </w:hyperlink>
      <w:r w:rsidRPr="00C754DF">
        <w:t>, section 27; or</w:t>
      </w:r>
    </w:p>
    <w:p w14:paraId="39A21EFD" w14:textId="39DC705A" w:rsidR="00D94935" w:rsidRPr="00C754DF" w:rsidRDefault="00D94935" w:rsidP="00D94935">
      <w:pPr>
        <w:pStyle w:val="Apara"/>
      </w:pPr>
      <w:r w:rsidRPr="00C754DF">
        <w:tab/>
        <w:t>(c)</w:t>
      </w:r>
      <w:r w:rsidRPr="00C754DF">
        <w:tab/>
        <w:t xml:space="preserve">the </w:t>
      </w:r>
      <w:hyperlink r:id="rId755" w:tooltip="A2004-5" w:history="1">
        <w:r w:rsidRPr="006364FA">
          <w:rPr>
            <w:rStyle w:val="charCitHyperlinkItal"/>
          </w:rPr>
          <w:t>Human Rights Act 2004</w:t>
        </w:r>
      </w:hyperlink>
      <w:r w:rsidRPr="00C754DF">
        <w:t>, section 35.</w:t>
      </w:r>
    </w:p>
    <w:p w14:paraId="1B8BA3C2" w14:textId="77777777"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14:paraId="571606C4" w14:textId="18DE8B95"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56" w:history="1">
        <w:r w:rsidR="00087C4C">
          <w:rPr>
            <w:rStyle w:val="charCitHyperlinkAbbrev"/>
          </w:rPr>
          <w:t>AF2024-52</w:t>
        </w:r>
      </w:hyperlink>
      <w:r w:rsidRPr="00C754DF">
        <w:rPr>
          <w:lang w:eastAsia="en-AU"/>
        </w:rPr>
        <w:t>.</w:t>
      </w:r>
    </w:p>
    <w:p w14:paraId="030E7D60" w14:textId="77777777"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14:paraId="5DEC7C21" w14:textId="77777777" w:rsidR="00D94935" w:rsidRDefault="00D94935" w:rsidP="00D94935">
      <w:pPr>
        <w:pStyle w:val="PageBreak"/>
      </w:pPr>
      <w:r>
        <w:br w:type="page"/>
      </w:r>
    </w:p>
    <w:p w14:paraId="5462D6EE" w14:textId="77777777" w:rsidR="00D94935" w:rsidRPr="00C8328B" w:rsidRDefault="00D94935" w:rsidP="00D94935">
      <w:pPr>
        <w:pStyle w:val="AH2Part"/>
      </w:pPr>
      <w:bookmarkStart w:id="1630" w:name="_Toc185515246"/>
      <w:r w:rsidRPr="00C8328B">
        <w:rPr>
          <w:rStyle w:val="CharPartNo"/>
        </w:rPr>
        <w:lastRenderedPageBreak/>
        <w:t>Part 6.3</w:t>
      </w:r>
      <w:r>
        <w:tab/>
      </w:r>
      <w:r w:rsidRPr="00C8328B">
        <w:rPr>
          <w:rStyle w:val="CharPartText"/>
        </w:rPr>
        <w:t>Documents</w:t>
      </w:r>
      <w:bookmarkEnd w:id="1630"/>
    </w:p>
    <w:p w14:paraId="6EDC4A3D" w14:textId="77777777" w:rsidR="00D94935" w:rsidRPr="00C8328B" w:rsidRDefault="00D94935" w:rsidP="00D94935">
      <w:pPr>
        <w:pStyle w:val="AH3Div"/>
      </w:pPr>
      <w:bookmarkStart w:id="1631" w:name="_Toc185515247"/>
      <w:r w:rsidRPr="00C8328B">
        <w:rPr>
          <w:rStyle w:val="CharDivNo"/>
        </w:rPr>
        <w:t>Division 6.3.1</w:t>
      </w:r>
      <w:r>
        <w:tab/>
      </w:r>
      <w:r w:rsidRPr="00C8328B">
        <w:rPr>
          <w:rStyle w:val="CharDivText"/>
        </w:rPr>
        <w:t>General provisions about documents for filing</w:t>
      </w:r>
      <w:bookmarkEnd w:id="1631"/>
    </w:p>
    <w:p w14:paraId="141907F0" w14:textId="77777777" w:rsidR="00D94935" w:rsidRDefault="00D94935" w:rsidP="00D94935">
      <w:pPr>
        <w:pStyle w:val="AH5Sec"/>
      </w:pPr>
      <w:bookmarkStart w:id="1632" w:name="_Toc185515248"/>
      <w:r w:rsidRPr="00C8328B">
        <w:rPr>
          <w:rStyle w:val="CharSectNo"/>
        </w:rPr>
        <w:t>6100</w:t>
      </w:r>
      <w:r>
        <w:tab/>
        <w:t>Application—div 6.3.1</w:t>
      </w:r>
      <w:bookmarkEnd w:id="1632"/>
    </w:p>
    <w:p w14:paraId="1F524CBE" w14:textId="77777777"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14:paraId="3356E499" w14:textId="77777777" w:rsidR="00D94935" w:rsidRDefault="00D94935" w:rsidP="00D94935">
      <w:pPr>
        <w:pStyle w:val="Amain"/>
      </w:pPr>
      <w:r>
        <w:tab/>
        <w:t>(2)</w:t>
      </w:r>
      <w:r>
        <w:tab/>
        <w:t>However, this division does not apply to an annexure or exhibit except to the extent otherwise expressly provided.</w:t>
      </w:r>
    </w:p>
    <w:p w14:paraId="278C97AD" w14:textId="77777777" w:rsidR="00D94935" w:rsidRDefault="00D94935" w:rsidP="00D94935">
      <w:pPr>
        <w:pStyle w:val="AH5Sec"/>
      </w:pPr>
      <w:bookmarkStart w:id="1633" w:name="_Toc185515249"/>
      <w:r w:rsidRPr="00C8328B">
        <w:rPr>
          <w:rStyle w:val="CharSectNo"/>
        </w:rPr>
        <w:t>6101</w:t>
      </w:r>
      <w:r>
        <w:tab/>
        <w:t>Documents—compliance with approved form</w:t>
      </w:r>
      <w:bookmarkEnd w:id="1633"/>
    </w:p>
    <w:p w14:paraId="57A3965F" w14:textId="77777777"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14:paraId="39CCA223" w14:textId="4B2740D5"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57" w:tooltip="A2001-14" w:history="1">
        <w:r w:rsidRPr="006364FA">
          <w:rPr>
            <w:rStyle w:val="charCitHyperlinkAbbrev"/>
          </w:rPr>
          <w:t>Legislation Act</w:t>
        </w:r>
      </w:hyperlink>
      <w:r>
        <w:t xml:space="preserve">, s 255 (4)), unless the </w:t>
      </w:r>
      <w:hyperlink r:id="rId758" w:tooltip="A2001-14" w:history="1">
        <w:r w:rsidRPr="006364FA">
          <w:rPr>
            <w:rStyle w:val="charCitHyperlinkAbbrev"/>
          </w:rPr>
          <w:t>Legislation Act</w:t>
        </w:r>
      </w:hyperlink>
      <w:r>
        <w:t>, s 255 (5) applies (see note to r (3)).</w:t>
      </w:r>
    </w:p>
    <w:p w14:paraId="7A74FA91" w14:textId="77777777"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14:paraId="74BD956B" w14:textId="597A601B" w:rsidR="00D94935" w:rsidRDefault="00D94935" w:rsidP="00D94935">
      <w:pPr>
        <w:pStyle w:val="Amain"/>
      </w:pPr>
      <w:r>
        <w:tab/>
        <w:t>(2)</w:t>
      </w:r>
      <w:r>
        <w:tab/>
        <w:t xml:space="preserve">Subrule (1) has effect despite the </w:t>
      </w:r>
      <w:hyperlink r:id="rId759" w:tooltip="A2001-14" w:history="1">
        <w:r w:rsidRPr="006364FA">
          <w:rPr>
            <w:rStyle w:val="charCitHyperlinkAbbrev"/>
          </w:rPr>
          <w:t>Legislation Act</w:t>
        </w:r>
      </w:hyperlink>
      <w:r>
        <w:t>, section 255 (6).</w:t>
      </w:r>
    </w:p>
    <w:p w14:paraId="281A16BE" w14:textId="2B3F4E5C" w:rsidR="00D94935" w:rsidRDefault="00D94935" w:rsidP="00D94935">
      <w:pPr>
        <w:pStyle w:val="Amain"/>
        <w:keepNext/>
      </w:pPr>
      <w:r>
        <w:lastRenderedPageBreak/>
        <w:tab/>
        <w:t>(3)</w:t>
      </w:r>
      <w:r>
        <w:tab/>
        <w:t xml:space="preserve">To remove any doubt, this rule does not affect the </w:t>
      </w:r>
      <w:hyperlink r:id="rId760" w:tooltip="A2001-14" w:history="1">
        <w:r w:rsidRPr="006364FA">
          <w:rPr>
            <w:rStyle w:val="charCitHyperlinkAbbrev"/>
          </w:rPr>
          <w:t>Legislation Act</w:t>
        </w:r>
      </w:hyperlink>
      <w:r>
        <w:t>, section 255 (5).</w:t>
      </w:r>
    </w:p>
    <w:p w14:paraId="0BE74E05" w14:textId="480A3600" w:rsidR="00D94935" w:rsidRDefault="00D94935" w:rsidP="00D94935">
      <w:pPr>
        <w:pStyle w:val="aNote"/>
        <w:keepNext/>
      </w:pPr>
      <w:r w:rsidRPr="006364FA">
        <w:rPr>
          <w:rStyle w:val="charItals"/>
        </w:rPr>
        <w:t>Note</w:t>
      </w:r>
      <w:r w:rsidRPr="006364FA">
        <w:rPr>
          <w:rStyle w:val="charItals"/>
        </w:rPr>
        <w:tab/>
      </w:r>
      <w:r>
        <w:t xml:space="preserve">Under the </w:t>
      </w:r>
      <w:hyperlink r:id="rId761"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14:paraId="43A8C4DF" w14:textId="77777777" w:rsidR="00D94935" w:rsidRDefault="00D94935" w:rsidP="00D94935">
      <w:pPr>
        <w:pStyle w:val="aNotePara"/>
        <w:keepNext/>
      </w:pPr>
      <w:r>
        <w:tab/>
        <w:t>(a)</w:t>
      </w:r>
      <w:r>
        <w:tab/>
        <w:t>the form to be signed;</w:t>
      </w:r>
    </w:p>
    <w:p w14:paraId="3C957B8C" w14:textId="77777777"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14:paraId="4DB19036" w14:textId="77777777" w:rsidR="00D94935" w:rsidRDefault="00D94935" w:rsidP="00D94935">
      <w:pPr>
        <w:pStyle w:val="aNotePara"/>
      </w:pPr>
      <w:r>
        <w:tab/>
        <w:t>(c)</w:t>
      </w:r>
      <w:r>
        <w:tab/>
        <w:t>the form to be completed in a particular way;</w:t>
      </w:r>
    </w:p>
    <w:p w14:paraId="2FF6461A" w14:textId="77777777" w:rsidR="00D94935" w:rsidRDefault="00D94935" w:rsidP="00D94935">
      <w:pPr>
        <w:pStyle w:val="aNotePara"/>
        <w:ind w:left="2394" w:hanging="1294"/>
      </w:pPr>
      <w:r>
        <w:tab/>
        <w:t>(d)</w:t>
      </w:r>
      <w:r>
        <w:tab/>
        <w:t>particular information to be included in the form, or a particular document to be attached to or given with the form;</w:t>
      </w:r>
    </w:p>
    <w:p w14:paraId="15EC2F29" w14:textId="77777777"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14:paraId="20D9F7F6" w14:textId="77777777" w:rsidR="00D94935" w:rsidRDefault="00D94935" w:rsidP="00D94935">
      <w:pPr>
        <w:pStyle w:val="AH5Sec"/>
      </w:pPr>
      <w:bookmarkStart w:id="1634" w:name="_Toc185515250"/>
      <w:r w:rsidRPr="00C8328B">
        <w:rPr>
          <w:rStyle w:val="CharSectNo"/>
        </w:rPr>
        <w:t>6102</w:t>
      </w:r>
      <w:r>
        <w:tab/>
        <w:t>Documents—general heading style</w:t>
      </w:r>
      <w:bookmarkEnd w:id="1634"/>
    </w:p>
    <w:p w14:paraId="650A5774" w14:textId="77777777" w:rsidR="00D94935" w:rsidRDefault="00D94935" w:rsidP="00D94935">
      <w:pPr>
        <w:pStyle w:val="Amain"/>
      </w:pPr>
      <w:r>
        <w:tab/>
        <w:t>(1)</w:t>
      </w:r>
      <w:r>
        <w:tab/>
        <w:t>A document for use in relation to a proceeding, and for which there is an approved form, must be headed in the way set out in the form.</w:t>
      </w:r>
    </w:p>
    <w:p w14:paraId="58C9FB18" w14:textId="77777777" w:rsidR="00D94935" w:rsidRDefault="00D94935" w:rsidP="00D94935">
      <w:pPr>
        <w:pStyle w:val="Amain"/>
      </w:pPr>
      <w:r>
        <w:tab/>
        <w:t>(2)</w:t>
      </w:r>
      <w:r>
        <w:tab/>
        <w:t>However, a document in a civil proceeding may be headed using an abbreviation of title sufficient to identify the proceeding.</w:t>
      </w:r>
    </w:p>
    <w:p w14:paraId="57B2AE85" w14:textId="77777777" w:rsidR="00D94935" w:rsidRDefault="00D94935" w:rsidP="00D94935">
      <w:pPr>
        <w:pStyle w:val="aExamHdgss"/>
      </w:pPr>
      <w:r>
        <w:t>Example</w:t>
      </w:r>
    </w:p>
    <w:p w14:paraId="7CDE063F" w14:textId="77777777" w:rsidR="00D94935" w:rsidRDefault="00D94935" w:rsidP="00D94935">
      <w:pPr>
        <w:pStyle w:val="aExamss"/>
      </w:pPr>
      <w:r>
        <w:t>AB and others</w:t>
      </w:r>
    </w:p>
    <w:p w14:paraId="6CA2883C" w14:textId="77777777" w:rsidR="00D94935" w:rsidRDefault="00D94935" w:rsidP="00D94935">
      <w:pPr>
        <w:pStyle w:val="aExamss"/>
        <w:keepNext/>
      </w:pPr>
      <w:r>
        <w:t>Defendants</w:t>
      </w:r>
    </w:p>
    <w:p w14:paraId="32514E9F" w14:textId="77777777" w:rsidR="00D94935" w:rsidRDefault="00D94935" w:rsidP="00D94935">
      <w:pPr>
        <w:pStyle w:val="Amain"/>
      </w:pPr>
      <w:r>
        <w:tab/>
        <w:t>(3)</w:t>
      </w:r>
      <w:r>
        <w:tab/>
        <w:t>Subrule (2) does not apply to—</w:t>
      </w:r>
    </w:p>
    <w:p w14:paraId="74420818" w14:textId="77777777" w:rsidR="00D94935" w:rsidRDefault="00D94935" w:rsidP="00D94935">
      <w:pPr>
        <w:pStyle w:val="Apara"/>
      </w:pPr>
      <w:r>
        <w:tab/>
        <w:t>(a)</w:t>
      </w:r>
      <w:r>
        <w:tab/>
        <w:t>an originating process; or</w:t>
      </w:r>
    </w:p>
    <w:p w14:paraId="243D74DC" w14:textId="77777777" w:rsidR="00D94935" w:rsidRDefault="00D94935" w:rsidP="00D94935">
      <w:pPr>
        <w:pStyle w:val="Apara"/>
      </w:pPr>
      <w:r>
        <w:tab/>
        <w:t>(b)</w:t>
      </w:r>
      <w:r>
        <w:tab/>
        <w:t>a document to be served on a person not a party to the proceeding; or</w:t>
      </w:r>
    </w:p>
    <w:p w14:paraId="64B8E460" w14:textId="77777777" w:rsidR="00D94935" w:rsidRDefault="00D94935" w:rsidP="00D94935">
      <w:pPr>
        <w:pStyle w:val="Apara"/>
      </w:pPr>
      <w:r>
        <w:tab/>
        <w:t>(c)</w:t>
      </w:r>
      <w:r>
        <w:tab/>
        <w:t>an order.</w:t>
      </w:r>
    </w:p>
    <w:p w14:paraId="241E2984" w14:textId="77777777" w:rsidR="00D94935" w:rsidRDefault="00D94935" w:rsidP="00D94935">
      <w:pPr>
        <w:pStyle w:val="Amain"/>
      </w:pPr>
      <w:r>
        <w:tab/>
        <w:t>(4)</w:t>
      </w:r>
      <w:r>
        <w:tab/>
        <w:t>If the parties to a proceeding change, the names of the parties on each document filed after the change must reflect the state of the parties after the change.</w:t>
      </w:r>
    </w:p>
    <w:p w14:paraId="342B8359" w14:textId="77777777" w:rsidR="00D94935" w:rsidRDefault="00D94935" w:rsidP="00D94935">
      <w:pPr>
        <w:pStyle w:val="AH5Sec"/>
      </w:pPr>
      <w:bookmarkStart w:id="1635" w:name="_Toc185515251"/>
      <w:r w:rsidRPr="00C8328B">
        <w:rPr>
          <w:rStyle w:val="CharSectNo"/>
        </w:rPr>
        <w:lastRenderedPageBreak/>
        <w:t>6103</w:t>
      </w:r>
      <w:r>
        <w:tab/>
        <w:t>Documents—layout etc</w:t>
      </w:r>
      <w:bookmarkEnd w:id="1635"/>
    </w:p>
    <w:p w14:paraId="045AB15F" w14:textId="77777777" w:rsidR="00D94935" w:rsidRDefault="00D94935" w:rsidP="00D94935">
      <w:pPr>
        <w:pStyle w:val="Amain"/>
      </w:pPr>
      <w:r>
        <w:tab/>
        <w:t>(1)</w:t>
      </w:r>
      <w:r>
        <w:tab/>
        <w:t>A document—</w:t>
      </w:r>
    </w:p>
    <w:p w14:paraId="26533A4B" w14:textId="77777777" w:rsidR="00D94935" w:rsidRDefault="00D94935" w:rsidP="00D94935">
      <w:pPr>
        <w:pStyle w:val="Apara"/>
      </w:pPr>
      <w:r>
        <w:tab/>
        <w:t>(a)</w:t>
      </w:r>
      <w:r>
        <w:tab/>
        <w:t>must be on A4 size paper that—</w:t>
      </w:r>
    </w:p>
    <w:p w14:paraId="61F00C3C" w14:textId="77777777" w:rsidR="00D94935" w:rsidRDefault="00D94935" w:rsidP="00D94935">
      <w:pPr>
        <w:pStyle w:val="Asubpara"/>
      </w:pPr>
      <w:r>
        <w:tab/>
        <w:t>(i)</w:t>
      </w:r>
      <w:r>
        <w:tab/>
        <w:t>is white; and</w:t>
      </w:r>
    </w:p>
    <w:p w14:paraId="51125474" w14:textId="77777777" w:rsidR="00D94935" w:rsidRDefault="00D94935" w:rsidP="00D94935">
      <w:pPr>
        <w:pStyle w:val="Asubpara"/>
      </w:pPr>
      <w:r>
        <w:tab/>
        <w:t>(ii)</w:t>
      </w:r>
      <w:r>
        <w:tab/>
        <w:t>is durable; and</w:t>
      </w:r>
    </w:p>
    <w:p w14:paraId="473ECD3E" w14:textId="77777777" w:rsidR="00D94935" w:rsidRDefault="00D94935" w:rsidP="00D94935">
      <w:pPr>
        <w:pStyle w:val="Asubpara"/>
      </w:pPr>
      <w:r>
        <w:tab/>
        <w:t>(iii)</w:t>
      </w:r>
      <w:r>
        <w:tab/>
        <w:t>is free from discolouration or blemishes; and</w:t>
      </w:r>
    </w:p>
    <w:p w14:paraId="4F549AF7" w14:textId="77777777"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14:paraId="7BC9CE98" w14:textId="77777777"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14:paraId="08078765" w14:textId="77777777" w:rsidR="00D94935" w:rsidRDefault="00D94935" w:rsidP="00D94935">
      <w:pPr>
        <w:pStyle w:val="Apara"/>
      </w:pPr>
      <w:r>
        <w:tab/>
        <w:t>(c)</w:t>
      </w:r>
      <w:r>
        <w:tab/>
        <w:t>must have all its pages and all attachments securely bound together in a way satisfactory to the registrar; and</w:t>
      </w:r>
    </w:p>
    <w:p w14:paraId="23E1F001" w14:textId="77777777" w:rsidR="00D94935" w:rsidRDefault="00D94935" w:rsidP="00D94935">
      <w:pPr>
        <w:pStyle w:val="Apara"/>
      </w:pPr>
      <w:r>
        <w:tab/>
        <w:t>(d)</w:t>
      </w:r>
      <w:r>
        <w:tab/>
        <w:t>must have pages (that is, the sides of the sheets that have writing) that are numbered consecutively after the first page (if any); and</w:t>
      </w:r>
    </w:p>
    <w:p w14:paraId="2DC126B0" w14:textId="77777777" w:rsidR="00D94935" w:rsidRDefault="00D94935" w:rsidP="00D94935">
      <w:pPr>
        <w:pStyle w:val="Apara"/>
      </w:pPr>
      <w:r>
        <w:tab/>
        <w:t>(e)</w:t>
      </w:r>
      <w:r>
        <w:tab/>
        <w:t>must have clear margins no smaller than 20mm on the top, bottom and right sides; and</w:t>
      </w:r>
    </w:p>
    <w:p w14:paraId="65F5FCFC" w14:textId="77777777" w:rsidR="00D94935" w:rsidRDefault="00D94935" w:rsidP="00D94935">
      <w:pPr>
        <w:pStyle w:val="Apara"/>
      </w:pPr>
      <w:r>
        <w:tab/>
        <w:t>(f)</w:t>
      </w:r>
      <w:r>
        <w:tab/>
        <w:t>must have a clear margin on the left side no smaller than 25mm; and</w:t>
      </w:r>
    </w:p>
    <w:p w14:paraId="28F74197" w14:textId="77777777" w:rsidR="00D94935" w:rsidRDefault="00D94935" w:rsidP="00D94935">
      <w:pPr>
        <w:pStyle w:val="Apara"/>
      </w:pPr>
      <w:r>
        <w:tab/>
        <w:t>(g)</w:t>
      </w:r>
      <w:r>
        <w:tab/>
        <w:t>must be written—</w:t>
      </w:r>
    </w:p>
    <w:p w14:paraId="309C02DE" w14:textId="77777777" w:rsidR="00D94935" w:rsidRDefault="00D94935" w:rsidP="00D94935">
      <w:pPr>
        <w:pStyle w:val="Asubpara"/>
      </w:pPr>
      <w:r>
        <w:tab/>
        <w:t>(i)</w:t>
      </w:r>
      <w:r>
        <w:tab/>
        <w:t>if handwritten—in legible writing; and</w:t>
      </w:r>
    </w:p>
    <w:p w14:paraId="6C26BD49" w14:textId="77777777" w:rsidR="00D94935" w:rsidRDefault="00D94935" w:rsidP="00D94935">
      <w:pPr>
        <w:pStyle w:val="Asubpara"/>
      </w:pPr>
      <w:r>
        <w:tab/>
        <w:t>(ii)</w:t>
      </w:r>
      <w:r>
        <w:tab/>
        <w:t>if typewritten—with type no smaller than 1.8mm (10 point); and</w:t>
      </w:r>
    </w:p>
    <w:p w14:paraId="25389407" w14:textId="77777777" w:rsidR="00D94935" w:rsidRDefault="00D94935" w:rsidP="00D94935">
      <w:pPr>
        <w:pStyle w:val="Asubpara"/>
      </w:pPr>
      <w:r>
        <w:tab/>
        <w:t>(iii)</w:t>
      </w:r>
      <w:r>
        <w:tab/>
        <w:t>with each line of writing separated from any previous line of writing by a space no smaller than 3mm; and</w:t>
      </w:r>
    </w:p>
    <w:p w14:paraId="0693A9C9" w14:textId="77777777" w:rsidR="00D94935" w:rsidRDefault="00D94935" w:rsidP="00D94935">
      <w:pPr>
        <w:pStyle w:val="Asubpara"/>
      </w:pPr>
      <w:r>
        <w:tab/>
        <w:t>(iv)</w:t>
      </w:r>
      <w:r>
        <w:tab/>
        <w:t>in a way that is permanent and can be photocopied to produce a copy satisfactory to the registrar.</w:t>
      </w:r>
    </w:p>
    <w:p w14:paraId="69E5444E" w14:textId="77777777" w:rsidR="00D94935" w:rsidRDefault="00D94935" w:rsidP="00D94935">
      <w:pPr>
        <w:pStyle w:val="Amain"/>
      </w:pPr>
      <w:r>
        <w:lastRenderedPageBreak/>
        <w:tab/>
        <w:t>(2)</w:t>
      </w:r>
      <w:r>
        <w:tab/>
        <w:t>Subrule (1) (a) and (b) apply to an annexure or exhibit to a document if the annexure or exhibit is a copy of a document.</w:t>
      </w:r>
    </w:p>
    <w:p w14:paraId="1B7A5EB2" w14:textId="77777777" w:rsidR="00D94935" w:rsidRDefault="00D94935" w:rsidP="00D94935">
      <w:pPr>
        <w:pStyle w:val="Amain"/>
      </w:pPr>
      <w:r>
        <w:tab/>
        <w:t>(3)</w:t>
      </w:r>
      <w:r>
        <w:tab/>
        <w:t>Subrule (1) (c) and (d) apply to an annexure to a document as if the annexure formed part of the document.</w:t>
      </w:r>
    </w:p>
    <w:p w14:paraId="408F9DE4" w14:textId="77777777" w:rsidR="00D94935" w:rsidRDefault="00D94935" w:rsidP="00D94935">
      <w:pPr>
        <w:pStyle w:val="aExamHdgss"/>
      </w:pPr>
      <w:r>
        <w:t>Example</w:t>
      </w:r>
    </w:p>
    <w:p w14:paraId="60A91BC1" w14:textId="77777777" w:rsidR="00D94935" w:rsidRDefault="00D94935" w:rsidP="00D94935">
      <w:pPr>
        <w:pStyle w:val="aExamss"/>
        <w:keepNext/>
      </w:pPr>
      <w:r>
        <w:t>The pages of a document and its annexure must be numbered consecutively through the document and annexure (after the first page).</w:t>
      </w:r>
    </w:p>
    <w:p w14:paraId="529A927B" w14:textId="77777777" w:rsidR="00D94935" w:rsidRDefault="00D94935" w:rsidP="00D94935">
      <w:pPr>
        <w:pStyle w:val="Amain"/>
      </w:pPr>
      <w:r>
        <w:tab/>
        <w:t>(4)</w:t>
      </w:r>
      <w:r>
        <w:tab/>
        <w:t>Subrule (1) (c) and (d) apply to an exhibit to a document.</w:t>
      </w:r>
    </w:p>
    <w:p w14:paraId="0EF24A95" w14:textId="77777777"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14:paraId="0023FE10" w14:textId="77777777" w:rsidR="00D94935" w:rsidRDefault="00D94935" w:rsidP="00D94935">
      <w:pPr>
        <w:pStyle w:val="Amain"/>
      </w:pPr>
      <w:r>
        <w:tab/>
        <w:t>(</w:t>
      </w:r>
      <w:r w:rsidR="00F97C8C">
        <w:t>6</w:t>
      </w:r>
      <w:r>
        <w:t>)</w:t>
      </w:r>
      <w:r>
        <w:tab/>
        <w:t>This rule does not apply to a document to the extent to which the nature of the document makes compliance impracticable.</w:t>
      </w:r>
    </w:p>
    <w:p w14:paraId="7FD66DAC" w14:textId="77777777" w:rsidR="00D94935" w:rsidRDefault="00D94935" w:rsidP="00D94935">
      <w:pPr>
        <w:pStyle w:val="Amain"/>
      </w:pPr>
      <w:r>
        <w:tab/>
        <w:t>(</w:t>
      </w:r>
      <w:r w:rsidR="00F97C8C">
        <w:t>7</w:t>
      </w:r>
      <w:r>
        <w:t>)</w:t>
      </w:r>
      <w:r>
        <w:tab/>
        <w:t>The registrar may dispense with compliance with any requirement of this rule.</w:t>
      </w:r>
    </w:p>
    <w:p w14:paraId="603A52B9" w14:textId="77777777" w:rsidR="00D94935" w:rsidRDefault="00D94935" w:rsidP="00D94935">
      <w:pPr>
        <w:pStyle w:val="AH5Sec"/>
      </w:pPr>
      <w:bookmarkStart w:id="1636" w:name="_Toc185515252"/>
      <w:r w:rsidRPr="00C8328B">
        <w:rPr>
          <w:rStyle w:val="CharSectNo"/>
        </w:rPr>
        <w:t>6104</w:t>
      </w:r>
      <w:r>
        <w:tab/>
        <w:t>Documents—use of copies</w:t>
      </w:r>
      <w:bookmarkEnd w:id="1636"/>
    </w:p>
    <w:p w14:paraId="3884795F" w14:textId="47B56F4E" w:rsidR="00D94935" w:rsidRDefault="00D94935" w:rsidP="00D94935">
      <w:pPr>
        <w:pStyle w:val="Amainreturn"/>
        <w:keepNext/>
      </w:pPr>
      <w:r>
        <w:t>On application by a party to a proceeding or on its own initiative, the court may give leave for a copy of a document to be used.</w:t>
      </w:r>
    </w:p>
    <w:p w14:paraId="4D30F6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5FD1F7" w14:textId="77777777" w:rsidR="00D94935" w:rsidRDefault="00D94935" w:rsidP="00D94935">
      <w:pPr>
        <w:pStyle w:val="AH5Sec"/>
      </w:pPr>
      <w:bookmarkStart w:id="1637" w:name="_Toc185515253"/>
      <w:r w:rsidRPr="00C8328B">
        <w:rPr>
          <w:rStyle w:val="CharSectNo"/>
        </w:rPr>
        <w:t>6105</w:t>
      </w:r>
      <w:r>
        <w:tab/>
        <w:t>Documents—use of figures</w:t>
      </w:r>
      <w:bookmarkEnd w:id="1637"/>
    </w:p>
    <w:p w14:paraId="7906D97A" w14:textId="77777777" w:rsidR="00D94935" w:rsidRDefault="00D94935" w:rsidP="00D94935">
      <w:pPr>
        <w:pStyle w:val="Amainreturn"/>
      </w:pPr>
      <w:r>
        <w:t>Amounts, dates, mathematical expressions and numbers in a document must, as far as practicable, be expressed using figures and not words.</w:t>
      </w:r>
    </w:p>
    <w:p w14:paraId="16D21AFA" w14:textId="77777777" w:rsidR="00D94935" w:rsidRDefault="00D94935" w:rsidP="00D94935">
      <w:pPr>
        <w:pStyle w:val="AH5Sec"/>
      </w:pPr>
      <w:bookmarkStart w:id="1638" w:name="_Toc185515254"/>
      <w:r w:rsidRPr="00C8328B">
        <w:rPr>
          <w:rStyle w:val="CharSectNo"/>
        </w:rPr>
        <w:t>6106</w:t>
      </w:r>
      <w:r>
        <w:tab/>
        <w:t>Documents—signing</w:t>
      </w:r>
      <w:bookmarkEnd w:id="1638"/>
    </w:p>
    <w:p w14:paraId="1561B3D4" w14:textId="77777777" w:rsidR="00D94935" w:rsidRDefault="00D94935" w:rsidP="00D94935">
      <w:pPr>
        <w:pStyle w:val="Amain"/>
      </w:pPr>
      <w:r>
        <w:tab/>
        <w:t>(1)</w:t>
      </w:r>
      <w:r>
        <w:tab/>
        <w:t>If a party is represented by a solicitor in a proceeding, a document filed in the proceeding for the party that is required to be signed must be signed by—</w:t>
      </w:r>
    </w:p>
    <w:p w14:paraId="603C78AC" w14:textId="77777777" w:rsidR="00D94935" w:rsidRDefault="00D94935" w:rsidP="00D94935">
      <w:pPr>
        <w:pStyle w:val="Apara"/>
      </w:pPr>
      <w:r>
        <w:tab/>
        <w:t>(a)</w:t>
      </w:r>
      <w:r>
        <w:tab/>
        <w:t>the solicitor; or</w:t>
      </w:r>
    </w:p>
    <w:p w14:paraId="0AEE4238" w14:textId="77777777" w:rsidR="00D94935" w:rsidRDefault="00D94935" w:rsidP="00D94935">
      <w:pPr>
        <w:pStyle w:val="Apara"/>
      </w:pPr>
      <w:r>
        <w:lastRenderedPageBreak/>
        <w:tab/>
        <w:t>(b)</w:t>
      </w:r>
      <w:r>
        <w:tab/>
        <w:t>a solicitor who is the solicitor’s agent for the proceeding; or</w:t>
      </w:r>
    </w:p>
    <w:p w14:paraId="716F08C0" w14:textId="77777777" w:rsidR="00D94935" w:rsidRDefault="00D94935" w:rsidP="00D94935">
      <w:pPr>
        <w:pStyle w:val="Apara"/>
      </w:pPr>
      <w:r>
        <w:tab/>
        <w:t>(c)</w:t>
      </w:r>
      <w:r>
        <w:tab/>
        <w:t>another solicitor belonging to the same firm or other entity (whether as partner or employee) as the solicitor or agent.</w:t>
      </w:r>
    </w:p>
    <w:p w14:paraId="4BAFA69C" w14:textId="77777777" w:rsidR="00D94935" w:rsidRDefault="00D94935" w:rsidP="00D94935">
      <w:pPr>
        <w:pStyle w:val="Amain"/>
      </w:pPr>
      <w:r>
        <w:tab/>
        <w:t>(2)</w:t>
      </w:r>
      <w:r>
        <w:tab/>
        <w:t>If a party is not represented by a solicitor in a proceeding, a document filed in the proceeding for the party that is required to be signed must be signed by—</w:t>
      </w:r>
    </w:p>
    <w:p w14:paraId="2C978810" w14:textId="77777777" w:rsidR="00D94935" w:rsidRDefault="00D94935" w:rsidP="00D94935">
      <w:pPr>
        <w:pStyle w:val="Apara"/>
      </w:pPr>
      <w:r>
        <w:tab/>
        <w:t>(a)</w:t>
      </w:r>
      <w:r>
        <w:tab/>
        <w:t>the party; or</w:t>
      </w:r>
    </w:p>
    <w:p w14:paraId="4C4B9C0A" w14:textId="77777777" w:rsidR="00D94935" w:rsidRDefault="00D94935" w:rsidP="00D94935">
      <w:pPr>
        <w:pStyle w:val="Apara"/>
        <w:keepNext/>
      </w:pPr>
      <w:r>
        <w:tab/>
        <w:t>(b)</w:t>
      </w:r>
      <w:r>
        <w:tab/>
        <w:t>someone else allowed under these rules to start, defend or carry on the proceeding for the party.</w:t>
      </w:r>
    </w:p>
    <w:p w14:paraId="0BADF764" w14:textId="77777777"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14:paraId="2BF85CF2" w14:textId="77777777" w:rsidR="00D94935" w:rsidRDefault="00D94935" w:rsidP="00D94935">
      <w:pPr>
        <w:pStyle w:val="Amain"/>
      </w:pPr>
      <w:r>
        <w:tab/>
        <w:t>(3)</w:t>
      </w:r>
      <w:r>
        <w:tab/>
        <w:t>A person signing a document under subrule (1) or (2) (b) must state the capacity in which the person signs the document.</w:t>
      </w:r>
    </w:p>
    <w:p w14:paraId="7DCB40C0" w14:textId="534F97C2" w:rsidR="00F83F0B" w:rsidRPr="0066605F" w:rsidRDefault="00F83F0B" w:rsidP="00F83F0B">
      <w:pPr>
        <w:pStyle w:val="Amain"/>
      </w:pPr>
      <w:r w:rsidRPr="0066605F">
        <w:tab/>
        <w:t>(4)</w:t>
      </w:r>
      <w:r w:rsidRPr="0066605F">
        <w:tab/>
        <w:t>A signature affixed to a document by electronic means complies with subrule (1)</w:t>
      </w:r>
      <w:r w:rsidR="00B4256E">
        <w:t xml:space="preserve"> </w:t>
      </w:r>
      <w:r w:rsidR="00B4256E" w:rsidRPr="00C1177F">
        <w:t>and (2)</w:t>
      </w:r>
      <w:r w:rsidRPr="0066605F">
        <w:t>.</w:t>
      </w:r>
    </w:p>
    <w:p w14:paraId="798005E0" w14:textId="77777777" w:rsidR="00F83F0B" w:rsidRPr="0066605F" w:rsidRDefault="00F83F0B" w:rsidP="00F83F0B">
      <w:pPr>
        <w:pStyle w:val="Amain"/>
      </w:pPr>
      <w:r w:rsidRPr="0066605F">
        <w:tab/>
        <w:t>(5)</w:t>
      </w:r>
      <w:r w:rsidRPr="0066605F">
        <w:tab/>
        <w:t>However, subrule (4) does not apply to the following:</w:t>
      </w:r>
    </w:p>
    <w:p w14:paraId="3F6E5398" w14:textId="77777777" w:rsidR="00F83F0B" w:rsidRPr="0066605F" w:rsidRDefault="00F83F0B" w:rsidP="00F83F0B">
      <w:pPr>
        <w:pStyle w:val="Apara"/>
      </w:pPr>
      <w:r w:rsidRPr="0066605F">
        <w:tab/>
        <w:t>(a)</w:t>
      </w:r>
      <w:r w:rsidRPr="0066605F">
        <w:tab/>
        <w:t xml:space="preserve">an affidavit, including— </w:t>
      </w:r>
    </w:p>
    <w:p w14:paraId="0689B362" w14:textId="77777777" w:rsidR="00F83F0B" w:rsidRPr="0066605F" w:rsidRDefault="00F83F0B" w:rsidP="00F83F0B">
      <w:pPr>
        <w:pStyle w:val="Asubpara"/>
      </w:pPr>
      <w:r w:rsidRPr="0066605F">
        <w:tab/>
        <w:t>(i)</w:t>
      </w:r>
      <w:r w:rsidRPr="0066605F">
        <w:tab/>
        <w:t>a statement identifying an annexure to an affidavit; or</w:t>
      </w:r>
    </w:p>
    <w:p w14:paraId="6BB35CD0" w14:textId="77777777" w:rsidR="00F83F0B" w:rsidRPr="0066605F" w:rsidRDefault="00F83F0B" w:rsidP="00F83F0B">
      <w:pPr>
        <w:pStyle w:val="Asubpara"/>
      </w:pPr>
      <w:r w:rsidRPr="0066605F">
        <w:tab/>
        <w:t>(ii)</w:t>
      </w:r>
      <w:r w:rsidRPr="0066605F">
        <w:tab/>
        <w:t>a certificate identifying an exhibit to an affidavit;</w:t>
      </w:r>
    </w:p>
    <w:p w14:paraId="5AFC89D4" w14:textId="77777777" w:rsidR="00F83F0B" w:rsidRPr="0066605F" w:rsidRDefault="00F83F0B" w:rsidP="00F83F0B">
      <w:pPr>
        <w:pStyle w:val="Apara"/>
      </w:pPr>
      <w:r w:rsidRPr="0066605F">
        <w:tab/>
        <w:t>(b)</w:t>
      </w:r>
      <w:r w:rsidRPr="0066605F">
        <w:tab/>
        <w:t>a document that is required by these rules to be witnessed.</w:t>
      </w:r>
    </w:p>
    <w:p w14:paraId="72126A6E" w14:textId="77777777"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14:paraId="4789F8D8" w14:textId="77777777" w:rsidR="00D94935" w:rsidRDefault="00D94935" w:rsidP="00D94935">
      <w:pPr>
        <w:pStyle w:val="AH5Sec"/>
      </w:pPr>
      <w:bookmarkStart w:id="1639" w:name="_Toc185515255"/>
      <w:r w:rsidRPr="00C8328B">
        <w:rPr>
          <w:rStyle w:val="CharSectNo"/>
        </w:rPr>
        <w:lastRenderedPageBreak/>
        <w:t>6107</w:t>
      </w:r>
      <w:r>
        <w:tab/>
        <w:t>Documents—alterations</w:t>
      </w:r>
      <w:bookmarkEnd w:id="1639"/>
    </w:p>
    <w:p w14:paraId="131C4C1D" w14:textId="77777777" w:rsidR="00D94935" w:rsidRDefault="00D94935" w:rsidP="00E87BCD">
      <w:pPr>
        <w:pStyle w:val="Amain"/>
        <w:keepNext/>
      </w:pPr>
      <w:r>
        <w:tab/>
        <w:t>(1)</w:t>
      </w:r>
      <w:r>
        <w:tab/>
        <w:t>An alteration on a document must be made by—</w:t>
      </w:r>
    </w:p>
    <w:p w14:paraId="3FA0BF9D" w14:textId="77777777" w:rsidR="00D94935" w:rsidRDefault="00D94935" w:rsidP="00256150">
      <w:pPr>
        <w:pStyle w:val="Apara"/>
        <w:keepNext/>
      </w:pPr>
      <w:r>
        <w:tab/>
        <w:t>(a)</w:t>
      </w:r>
      <w:r>
        <w:tab/>
        <w:t>striking through the writing intended to be altered so that the original writing is still legible; and</w:t>
      </w:r>
    </w:p>
    <w:p w14:paraId="14E3C407" w14:textId="77777777" w:rsidR="00D94935" w:rsidRDefault="00D94935" w:rsidP="00D94935">
      <w:pPr>
        <w:pStyle w:val="Apara"/>
      </w:pPr>
      <w:r>
        <w:tab/>
        <w:t>(b)</w:t>
      </w:r>
      <w:r>
        <w:tab/>
        <w:t>having the alteration signed or initialled by—</w:t>
      </w:r>
    </w:p>
    <w:p w14:paraId="00E3F9CB" w14:textId="77777777" w:rsidR="00D94935" w:rsidRDefault="00D94935" w:rsidP="00D94935">
      <w:pPr>
        <w:pStyle w:val="Asubpara"/>
      </w:pPr>
      <w:r>
        <w:tab/>
        <w:t>(i)</w:t>
      </w:r>
      <w:r>
        <w:tab/>
        <w:t>if the document is signed—everyone who signed the document; or</w:t>
      </w:r>
    </w:p>
    <w:p w14:paraId="44F28B88" w14:textId="77777777" w:rsidR="00D94935" w:rsidRDefault="00D94935" w:rsidP="00D94935">
      <w:pPr>
        <w:pStyle w:val="Asubpara"/>
      </w:pPr>
      <w:r>
        <w:tab/>
        <w:t>(ii)</w:t>
      </w:r>
      <w:r>
        <w:tab/>
        <w:t>if the document is signed and witnessed—everyone who signed and witnessed the document; or</w:t>
      </w:r>
    </w:p>
    <w:p w14:paraId="27DFAF62" w14:textId="77777777" w:rsidR="00D94935" w:rsidRDefault="00D94935" w:rsidP="00D94935">
      <w:pPr>
        <w:pStyle w:val="Asubpara"/>
      </w:pPr>
      <w:r>
        <w:tab/>
        <w:t>(iii)</w:t>
      </w:r>
      <w:r>
        <w:tab/>
        <w:t>if the document is not signed, or signed and witnessed—the party filing the document.</w:t>
      </w:r>
    </w:p>
    <w:p w14:paraId="4B5812C6" w14:textId="77777777" w:rsidR="00D94935" w:rsidRDefault="00D94935" w:rsidP="00D94935">
      <w:pPr>
        <w:pStyle w:val="Amain"/>
      </w:pPr>
      <w:r>
        <w:tab/>
        <w:t>(2)</w:t>
      </w:r>
      <w:r>
        <w:tab/>
        <w:t>The alteration may be handwritten.</w:t>
      </w:r>
    </w:p>
    <w:p w14:paraId="0CD51D69" w14:textId="77777777" w:rsidR="00D94935" w:rsidRDefault="00D94935" w:rsidP="00D94935">
      <w:pPr>
        <w:pStyle w:val="Amain"/>
      </w:pPr>
      <w:r>
        <w:tab/>
        <w:t>(3)</w:t>
      </w:r>
      <w:r>
        <w:tab/>
        <w:t>However, if the alteration is handwritten, it must be—</w:t>
      </w:r>
    </w:p>
    <w:p w14:paraId="66D5F2B3" w14:textId="77777777" w:rsidR="00D94935" w:rsidRDefault="00D94935" w:rsidP="00D94935">
      <w:pPr>
        <w:pStyle w:val="Apara"/>
      </w:pPr>
      <w:r>
        <w:tab/>
        <w:t>(a)</w:t>
      </w:r>
      <w:r>
        <w:tab/>
        <w:t>legible; and</w:t>
      </w:r>
    </w:p>
    <w:p w14:paraId="38CCA7A7" w14:textId="77777777" w:rsidR="00D94935" w:rsidRDefault="00D94935" w:rsidP="00D94935">
      <w:pPr>
        <w:pStyle w:val="Apara"/>
      </w:pPr>
      <w:r>
        <w:tab/>
        <w:t>(b)</w:t>
      </w:r>
      <w:r>
        <w:tab/>
        <w:t>made in a way that is—</w:t>
      </w:r>
    </w:p>
    <w:p w14:paraId="1E48775B" w14:textId="77777777" w:rsidR="00D94935" w:rsidRDefault="00D94935" w:rsidP="00D94935">
      <w:pPr>
        <w:pStyle w:val="Asubpara"/>
      </w:pPr>
      <w:r>
        <w:tab/>
        <w:t>(i)</w:t>
      </w:r>
      <w:r>
        <w:tab/>
        <w:t>permanent; and</w:t>
      </w:r>
    </w:p>
    <w:p w14:paraId="5D178EB0" w14:textId="77777777" w:rsidR="00D94935" w:rsidRDefault="00D94935" w:rsidP="00D94935">
      <w:pPr>
        <w:pStyle w:val="Asubpara"/>
      </w:pPr>
      <w:r>
        <w:tab/>
        <w:t>(ii)</w:t>
      </w:r>
      <w:r>
        <w:tab/>
        <w:t>can be photocopied to produce a copy satisfactory to the registrar.</w:t>
      </w:r>
    </w:p>
    <w:p w14:paraId="6BC9CB5A" w14:textId="77777777" w:rsidR="00D94935" w:rsidRDefault="00D94935" w:rsidP="00D94935">
      <w:pPr>
        <w:pStyle w:val="Amain"/>
      </w:pPr>
      <w:r>
        <w:tab/>
        <w:t>(4)</w:t>
      </w:r>
      <w:r>
        <w:tab/>
        <w:t>A document cannot be filed if it contains an alteration that causes a material disfigurement.</w:t>
      </w:r>
    </w:p>
    <w:p w14:paraId="378B3E99" w14:textId="77777777" w:rsidR="00D94935" w:rsidRDefault="00D94935" w:rsidP="00D94935">
      <w:pPr>
        <w:pStyle w:val="Amain"/>
        <w:keepNext/>
      </w:pPr>
      <w:r>
        <w:tab/>
        <w:t>(5)</w:t>
      </w:r>
      <w:r>
        <w:tab/>
        <w:t>In this rule:</w:t>
      </w:r>
    </w:p>
    <w:p w14:paraId="73ED33A5" w14:textId="77777777" w:rsidR="00D94935" w:rsidRDefault="00D94935" w:rsidP="00D94935">
      <w:pPr>
        <w:pStyle w:val="aDef"/>
        <w:keepNext/>
      </w:pPr>
      <w:r w:rsidRPr="006364FA">
        <w:rPr>
          <w:rStyle w:val="charBoldItals"/>
        </w:rPr>
        <w:t>alteration</w:t>
      </w:r>
      <w:r>
        <w:t xml:space="preserve"> includes an alteration by omission, substitution or addition.</w:t>
      </w:r>
    </w:p>
    <w:p w14:paraId="6DE32664" w14:textId="77777777"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14:paraId="3E44C86F" w14:textId="77777777" w:rsidR="00D94935" w:rsidRPr="00C8328B" w:rsidRDefault="00D94935" w:rsidP="00D94935">
      <w:pPr>
        <w:pStyle w:val="AH3Div"/>
      </w:pPr>
      <w:bookmarkStart w:id="1640" w:name="_Toc185515256"/>
      <w:r w:rsidRPr="00C8328B">
        <w:rPr>
          <w:rStyle w:val="CharDivNo"/>
        </w:rPr>
        <w:lastRenderedPageBreak/>
        <w:t>Division 6.3.2</w:t>
      </w:r>
      <w:r>
        <w:tab/>
      </w:r>
      <w:r w:rsidRPr="00C8328B">
        <w:rPr>
          <w:rStyle w:val="CharDivText"/>
        </w:rPr>
        <w:t>Filing documents</w:t>
      </w:r>
      <w:bookmarkEnd w:id="1640"/>
    </w:p>
    <w:p w14:paraId="6FCA18C6" w14:textId="77777777" w:rsidR="00D94935" w:rsidRDefault="00D94935" w:rsidP="00D94935">
      <w:pPr>
        <w:pStyle w:val="AH5Sec"/>
      </w:pPr>
      <w:bookmarkStart w:id="1641" w:name="_Toc185515257"/>
      <w:r w:rsidRPr="00C8328B">
        <w:rPr>
          <w:rStyle w:val="CharSectNo"/>
        </w:rPr>
        <w:t>6120</w:t>
      </w:r>
      <w:r>
        <w:tab/>
        <w:t>Filing documents—number of copies</w:t>
      </w:r>
      <w:bookmarkEnd w:id="1641"/>
    </w:p>
    <w:p w14:paraId="37254497" w14:textId="77777777" w:rsidR="00D94935" w:rsidRDefault="006310C9" w:rsidP="00256150">
      <w:pPr>
        <w:pStyle w:val="Amain"/>
        <w:keepNext/>
      </w:pPr>
      <w:r>
        <w:tab/>
        <w:t>(1)</w:t>
      </w:r>
      <w:r>
        <w:tab/>
      </w:r>
      <w:r w:rsidR="00D94935">
        <w:t>When filing a document in the court, a person must file—</w:t>
      </w:r>
    </w:p>
    <w:p w14:paraId="2BC5149F" w14:textId="77777777" w:rsidR="00D94935" w:rsidRDefault="00D94935" w:rsidP="00256150">
      <w:pPr>
        <w:pStyle w:val="Apara"/>
        <w:keepNext/>
      </w:pPr>
      <w:r>
        <w:tab/>
        <w:t>(a)</w:t>
      </w:r>
      <w:r>
        <w:tab/>
        <w:t>the original; and</w:t>
      </w:r>
    </w:p>
    <w:p w14:paraId="42B4E157" w14:textId="02840D72" w:rsidR="00D94935" w:rsidRDefault="00D94935" w:rsidP="00D94935">
      <w:pPr>
        <w:pStyle w:val="Apara"/>
        <w:keepNext/>
      </w:pPr>
      <w:r>
        <w:tab/>
        <w:t>(b)</w:t>
      </w:r>
      <w:r>
        <w:tab/>
        <w:t xml:space="preserve">enough copies for service and proof of service, if </w:t>
      </w:r>
      <w:r w:rsidR="00B4256E" w:rsidRPr="00C1177F">
        <w:t>service is</w:t>
      </w:r>
      <w:r w:rsidR="00B4256E">
        <w:t xml:space="preserve"> </w:t>
      </w:r>
      <w:r>
        <w:t>required by a territory law or an order of the court.</w:t>
      </w:r>
    </w:p>
    <w:p w14:paraId="3035AEAF" w14:textId="4BC42CCA"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62" w:tooltip="A2016-42" w:history="1">
        <w:r w:rsidRPr="00906995">
          <w:rPr>
            <w:rStyle w:val="charCitHyperlinkItal"/>
          </w:rPr>
          <w:t>Family Violence Act 2016</w:t>
        </w:r>
      </w:hyperlink>
      <w:r w:rsidRPr="00510424">
        <w:t xml:space="preserve"> or </w:t>
      </w:r>
      <w:hyperlink r:id="rId763" w:tooltip="A2016-43" w:history="1">
        <w:r w:rsidRPr="00906995">
          <w:rPr>
            <w:rStyle w:val="charCitHyperlinkItal"/>
          </w:rPr>
          <w:t>Personal Violence Act 2016</w:t>
        </w:r>
      </w:hyperlink>
      <w:r w:rsidRPr="00510424">
        <w:t xml:space="preserve"> need only file 1 copy of the application for the order (see r 3803 (b)).</w:t>
      </w:r>
    </w:p>
    <w:p w14:paraId="167B2E84" w14:textId="071E1CE6"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64" w:tooltip="A2001-14" w:history="1">
        <w:r w:rsidRPr="006364FA">
          <w:rPr>
            <w:rStyle w:val="charCitHyperlinkAbbrev"/>
          </w:rPr>
          <w:t>Legislation Act</w:t>
        </w:r>
      </w:hyperlink>
      <w:r>
        <w:rPr>
          <w:iCs/>
        </w:rPr>
        <w:t>, s 98).</w:t>
      </w:r>
    </w:p>
    <w:p w14:paraId="0EB4479C" w14:textId="77777777" w:rsidR="00F97C8C" w:rsidRPr="00CE5D4D" w:rsidRDefault="00F97C8C" w:rsidP="00F97C8C">
      <w:pPr>
        <w:pStyle w:val="Amain"/>
      </w:pPr>
      <w:r w:rsidRPr="00CE5D4D">
        <w:tab/>
        <w:t>(2)</w:t>
      </w:r>
      <w:r w:rsidRPr="00CE5D4D">
        <w:tab/>
        <w:t>Subrule (1) does not apply to a document filed electronically in the court.</w:t>
      </w:r>
    </w:p>
    <w:p w14:paraId="3E56F46C" w14:textId="22796A1B" w:rsidR="00F83F0B" w:rsidRPr="0066605F" w:rsidRDefault="00F83F0B" w:rsidP="00F83F0B">
      <w:pPr>
        <w:pStyle w:val="Amain"/>
      </w:pPr>
      <w:r w:rsidRPr="0066605F">
        <w:tab/>
        <w:t>(3)</w:t>
      </w:r>
      <w:r w:rsidRPr="0066605F">
        <w:tab/>
        <w:t xml:space="preserve">For these rules, </w:t>
      </w:r>
      <w:r w:rsidRPr="0066605F">
        <w:rPr>
          <w:rStyle w:val="charBoldItals"/>
        </w:rPr>
        <w:t>original</w:t>
      </w:r>
      <w:r w:rsidRPr="0066605F">
        <w:t xml:space="preserve"> includes a document to which rule</w:t>
      </w:r>
      <w:r>
        <w:t> </w:t>
      </w:r>
      <w:r w:rsidRPr="0066605F">
        <w:t>6106</w:t>
      </w:r>
      <w:r>
        <w:t> </w:t>
      </w:r>
      <w:r w:rsidRPr="0066605F">
        <w:t>(4) applies.</w:t>
      </w:r>
    </w:p>
    <w:p w14:paraId="352BF45A" w14:textId="77777777" w:rsidR="00D94935" w:rsidRDefault="00D94935" w:rsidP="00D94935">
      <w:pPr>
        <w:pStyle w:val="AH5Sec"/>
      </w:pPr>
      <w:bookmarkStart w:id="1642" w:name="_Toc185515258"/>
      <w:r w:rsidRPr="00C8328B">
        <w:rPr>
          <w:rStyle w:val="CharSectNo"/>
        </w:rPr>
        <w:t>6121</w:t>
      </w:r>
      <w:r>
        <w:tab/>
        <w:t>How documents may be filed</w:t>
      </w:r>
      <w:bookmarkEnd w:id="1642"/>
    </w:p>
    <w:p w14:paraId="724A01E0" w14:textId="77777777" w:rsidR="00D94935" w:rsidRDefault="00D94935" w:rsidP="00E153F2">
      <w:pPr>
        <w:pStyle w:val="Amainreturn"/>
        <w:keepNext/>
      </w:pPr>
      <w:r>
        <w:t>A document may be filed in the court by—</w:t>
      </w:r>
    </w:p>
    <w:p w14:paraId="1C36DEC5" w14:textId="77777777" w:rsidR="00D94935" w:rsidRDefault="00D94935" w:rsidP="00D94935">
      <w:pPr>
        <w:pStyle w:val="Apara"/>
      </w:pPr>
      <w:r>
        <w:tab/>
        <w:t>(a)</w:t>
      </w:r>
      <w:r>
        <w:tab/>
        <w:t>delivering it to the registry personally; or</w:t>
      </w:r>
    </w:p>
    <w:p w14:paraId="000CF0BB" w14:textId="77777777" w:rsidR="00D94935" w:rsidRDefault="00D94935" w:rsidP="00D94935">
      <w:pPr>
        <w:pStyle w:val="Apara"/>
      </w:pPr>
      <w:r>
        <w:tab/>
        <w:t>(b)</w:t>
      </w:r>
      <w:r>
        <w:tab/>
        <w:t>sending it to the registry by post in accordance with rule 6123 (Filing documents by post); or</w:t>
      </w:r>
    </w:p>
    <w:p w14:paraId="0B7BDC27" w14:textId="77777777" w:rsidR="00D94935" w:rsidRDefault="00D94935" w:rsidP="00D94935">
      <w:pPr>
        <w:pStyle w:val="Apara"/>
      </w:pPr>
      <w:r>
        <w:tab/>
        <w:t>(c)</w:t>
      </w:r>
      <w:r>
        <w:tab/>
        <w:t>faxing it to the registry’s fax number for the filing of documents; or</w:t>
      </w:r>
    </w:p>
    <w:p w14:paraId="29B969B6" w14:textId="167BE220" w:rsidR="006310C9" w:rsidRPr="00CE5D4D" w:rsidRDefault="006310C9" w:rsidP="006310C9">
      <w:pPr>
        <w:pStyle w:val="Apara"/>
      </w:pPr>
      <w:r w:rsidRPr="00CE5D4D">
        <w:tab/>
        <w:t>(d)</w:t>
      </w:r>
      <w:r w:rsidRPr="00CE5D4D">
        <w:tab/>
        <w:t>filing the document electronically in the court in accordance with rule 6124 (Filing documents electronically); or</w:t>
      </w:r>
    </w:p>
    <w:p w14:paraId="49192C53" w14:textId="299E907C" w:rsidR="006310C9" w:rsidRPr="00CE5D4D" w:rsidRDefault="006310C9" w:rsidP="006310C9">
      <w:pPr>
        <w:pStyle w:val="A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emailing the document to the registry’s email address for the filing of documents.</w:t>
      </w:r>
    </w:p>
    <w:p w14:paraId="65C63F2C" w14:textId="77777777" w:rsidR="00D94935" w:rsidRDefault="00D94935" w:rsidP="00D94935">
      <w:pPr>
        <w:pStyle w:val="AH5Sec"/>
      </w:pPr>
      <w:bookmarkStart w:id="1643" w:name="_Toc185515259"/>
      <w:r w:rsidRPr="00C8328B">
        <w:rPr>
          <w:rStyle w:val="CharSectNo"/>
        </w:rPr>
        <w:lastRenderedPageBreak/>
        <w:t>6122</w:t>
      </w:r>
      <w:r>
        <w:tab/>
        <w:t>Filing documents personally</w:t>
      </w:r>
      <w:bookmarkEnd w:id="1643"/>
    </w:p>
    <w:p w14:paraId="01725EB8" w14:textId="77777777" w:rsidR="00D94935" w:rsidRDefault="00D94935" w:rsidP="00D94935">
      <w:pPr>
        <w:pStyle w:val="Amain"/>
        <w:keepNext/>
      </w:pPr>
      <w:r>
        <w:tab/>
        <w:t>(1)</w:t>
      </w:r>
      <w:r>
        <w:tab/>
        <w:t>This rule applies to a document filed in the court by personal delivery to the registry.</w:t>
      </w:r>
    </w:p>
    <w:p w14:paraId="1BA86341" w14:textId="77777777" w:rsidR="00D94935" w:rsidRDefault="00D94935" w:rsidP="00D94935">
      <w:pPr>
        <w:pStyle w:val="Amain"/>
      </w:pPr>
      <w:r>
        <w:tab/>
        <w:t>(2)</w:t>
      </w:r>
      <w:r>
        <w:tab/>
        <w:t>However, this rule does not apply to an exhibit or another document that does not require sealing or stamping.</w:t>
      </w:r>
    </w:p>
    <w:p w14:paraId="25F4871D" w14:textId="77777777" w:rsidR="00D94935" w:rsidRDefault="00D94935" w:rsidP="00D94935">
      <w:pPr>
        <w:pStyle w:val="Amain"/>
      </w:pPr>
      <w:r>
        <w:tab/>
        <w:t>(3)</w:t>
      </w:r>
      <w:r>
        <w:tab/>
        <w:t>The registrar may—</w:t>
      </w:r>
    </w:p>
    <w:p w14:paraId="30F021FD" w14:textId="77777777" w:rsidR="00D94935" w:rsidRDefault="00D94935" w:rsidP="00D94935">
      <w:pPr>
        <w:pStyle w:val="Apara"/>
      </w:pPr>
      <w:r>
        <w:tab/>
        <w:t>(a)</w:t>
      </w:r>
      <w:r>
        <w:tab/>
        <w:t>record the filing of the document and, if appropriate, seal or stamp the document; or</w:t>
      </w:r>
    </w:p>
    <w:p w14:paraId="0754BCD2" w14:textId="77777777" w:rsidR="00D94935" w:rsidRDefault="00D94935" w:rsidP="00D94935">
      <w:pPr>
        <w:pStyle w:val="Apara"/>
      </w:pPr>
      <w:r>
        <w:tab/>
        <w:t>(b)</w:t>
      </w:r>
      <w:r>
        <w:tab/>
        <w:t>reject the document under division 6.3.3 (Rejecting filed documents).</w:t>
      </w:r>
    </w:p>
    <w:p w14:paraId="58DC6E36" w14:textId="77777777" w:rsidR="00D94935" w:rsidRDefault="00D94935" w:rsidP="00D94935">
      <w:pPr>
        <w:pStyle w:val="Amain"/>
      </w:pPr>
      <w:r>
        <w:tab/>
        <w:t>(4)</w:t>
      </w:r>
      <w:r>
        <w:tab/>
        <w:t>If the registrar records the filing of the document, the registrar must return any copies of the document filed with the document for sealing or stamping.</w:t>
      </w:r>
    </w:p>
    <w:p w14:paraId="1B7CEC5E" w14:textId="77777777" w:rsidR="00D94935" w:rsidRDefault="00D94935" w:rsidP="00D94935">
      <w:pPr>
        <w:pStyle w:val="AH5Sec"/>
      </w:pPr>
      <w:bookmarkStart w:id="1644" w:name="_Toc185515260"/>
      <w:r w:rsidRPr="00C8328B">
        <w:rPr>
          <w:rStyle w:val="CharSectNo"/>
        </w:rPr>
        <w:t>6123</w:t>
      </w:r>
      <w:r>
        <w:tab/>
        <w:t>Filing documents by post</w:t>
      </w:r>
      <w:bookmarkEnd w:id="1644"/>
    </w:p>
    <w:p w14:paraId="22848CBF" w14:textId="77777777" w:rsidR="00D94935" w:rsidRDefault="00D94935" w:rsidP="00D94935">
      <w:pPr>
        <w:pStyle w:val="Amain"/>
      </w:pPr>
      <w:r>
        <w:tab/>
        <w:t>(1)</w:t>
      </w:r>
      <w:r>
        <w:tab/>
        <w:t>This rule applies to a document filed in the court by post.</w:t>
      </w:r>
    </w:p>
    <w:p w14:paraId="52183083" w14:textId="77777777"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14:paraId="0509E31E" w14:textId="77777777" w:rsidR="00D94935" w:rsidRDefault="00D94935" w:rsidP="00D94935">
      <w:pPr>
        <w:pStyle w:val="Amain"/>
        <w:keepNext/>
      </w:pPr>
      <w:r>
        <w:tab/>
        <w:t>(3)</w:t>
      </w:r>
      <w:r>
        <w:tab/>
        <w:t>The person filing the document must also ensure the document is accompanied by the following:</w:t>
      </w:r>
    </w:p>
    <w:p w14:paraId="675A9AFC" w14:textId="77777777" w:rsidR="00D94935" w:rsidRDefault="00D94935" w:rsidP="00D94935">
      <w:pPr>
        <w:pStyle w:val="Apara"/>
      </w:pPr>
      <w:r>
        <w:tab/>
        <w:t>(a)</w:t>
      </w:r>
      <w:r>
        <w:tab/>
        <w:t>any copies of the document for sealing or stamping;</w:t>
      </w:r>
    </w:p>
    <w:p w14:paraId="19F8B261" w14:textId="77777777" w:rsidR="00D94935" w:rsidRDefault="00D94935" w:rsidP="00D94935">
      <w:pPr>
        <w:pStyle w:val="Apara"/>
      </w:pPr>
      <w:r>
        <w:tab/>
        <w:t>(b)</w:t>
      </w:r>
      <w:r>
        <w:tab/>
        <w:t>a stamped envelope addressed to the person filing the document or the person’s solicitor;</w:t>
      </w:r>
    </w:p>
    <w:p w14:paraId="74DFFE3D" w14:textId="30A3626D" w:rsidR="00D94935" w:rsidRDefault="00D94935" w:rsidP="00E87BCD">
      <w:pPr>
        <w:pStyle w:val="Apara"/>
      </w:pPr>
      <w:r>
        <w:tab/>
        <w:t>(c)</w:t>
      </w:r>
      <w:r>
        <w:tab/>
        <w:t xml:space="preserve">if a fee is determined under the </w:t>
      </w:r>
      <w:hyperlink r:id="rId765" w:tooltip="A2004-59" w:history="1">
        <w:r w:rsidRPr="006364FA">
          <w:rPr>
            <w:rStyle w:val="charCitHyperlinkItal"/>
          </w:rPr>
          <w:t>Court Procedures Act 2004</w:t>
        </w:r>
      </w:hyperlink>
      <w:r>
        <w:t>, section 13 for filing the document—the fee in a form satisfactory to the registrar.</w:t>
      </w:r>
    </w:p>
    <w:p w14:paraId="5029638B" w14:textId="77777777" w:rsidR="00D94935" w:rsidRDefault="00D94935" w:rsidP="00E87BCD">
      <w:pPr>
        <w:pStyle w:val="Amain"/>
        <w:keepNext/>
      </w:pPr>
      <w:r>
        <w:lastRenderedPageBreak/>
        <w:tab/>
        <w:t>(4)</w:t>
      </w:r>
      <w:r>
        <w:tab/>
        <w:t>The registrar may—</w:t>
      </w:r>
    </w:p>
    <w:p w14:paraId="5EDCAF39" w14:textId="77777777" w:rsidR="00D94935" w:rsidRDefault="00D94935" w:rsidP="00D94935">
      <w:pPr>
        <w:pStyle w:val="Apara"/>
      </w:pPr>
      <w:r>
        <w:tab/>
        <w:t>(a)</w:t>
      </w:r>
      <w:r>
        <w:tab/>
        <w:t>record the filing of the document and, if appropriate, seal or stamp the document; or</w:t>
      </w:r>
    </w:p>
    <w:p w14:paraId="533B14D8" w14:textId="77777777" w:rsidR="00D94935" w:rsidRDefault="00D94935" w:rsidP="00D94935">
      <w:pPr>
        <w:pStyle w:val="Apara"/>
      </w:pPr>
      <w:r>
        <w:tab/>
        <w:t>(b)</w:t>
      </w:r>
      <w:r>
        <w:tab/>
        <w:t>reject the document under division 6.3.3 (Rejecting filed documents).</w:t>
      </w:r>
    </w:p>
    <w:p w14:paraId="1C9B74F8" w14:textId="77777777"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14:paraId="12E3010C" w14:textId="77777777"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14:paraId="29ABF09E" w14:textId="77777777" w:rsidR="00D94935" w:rsidRDefault="00D94935" w:rsidP="00D94935">
      <w:pPr>
        <w:pStyle w:val="Amain"/>
      </w:pPr>
      <w:r>
        <w:tab/>
        <w:t>(7)</w:t>
      </w:r>
      <w:r>
        <w:tab/>
        <w:t>A person files a document by post at the person’s risk.</w:t>
      </w:r>
    </w:p>
    <w:p w14:paraId="443AAD46" w14:textId="77777777" w:rsidR="006310C9" w:rsidRPr="00CE5D4D" w:rsidRDefault="006310C9" w:rsidP="000F50D5">
      <w:pPr>
        <w:pStyle w:val="AH5Sec"/>
      </w:pPr>
      <w:bookmarkStart w:id="1645" w:name="_Toc185515261"/>
      <w:r w:rsidRPr="00C8328B">
        <w:rPr>
          <w:rStyle w:val="CharSectNo"/>
        </w:rPr>
        <w:t>6124</w:t>
      </w:r>
      <w:r w:rsidRPr="00CE5D4D">
        <w:tab/>
        <w:t>Filing documents electronically</w:t>
      </w:r>
      <w:bookmarkEnd w:id="1645"/>
    </w:p>
    <w:p w14:paraId="1A162209" w14:textId="4319BAFD" w:rsidR="006310C9" w:rsidRPr="00CE5D4D" w:rsidRDefault="006310C9" w:rsidP="000F50D5">
      <w:pPr>
        <w:pStyle w:val="Amain"/>
      </w:pPr>
      <w:r w:rsidRPr="00CE5D4D">
        <w:tab/>
        <w:t>(1)</w:t>
      </w:r>
      <w:r w:rsidRPr="00CE5D4D">
        <w:tab/>
        <w:t xml:space="preserve">A person may file a document electronically in the court only if the person is a registered user of the </w:t>
      </w:r>
      <w:r w:rsidR="00B4256E" w:rsidRPr="00C1177F">
        <w:t>electronic lodgment facility</w:t>
      </w:r>
      <w:r w:rsidRPr="00CE5D4D">
        <w:t>.</w:t>
      </w:r>
    </w:p>
    <w:p w14:paraId="5E24714F" w14:textId="77777777"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14:paraId="371BCCD3" w14:textId="77777777"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14:paraId="408D8E6C" w14:textId="77777777" w:rsidR="006310C9" w:rsidRPr="00CE5D4D" w:rsidRDefault="006310C9" w:rsidP="00256150">
      <w:pPr>
        <w:pStyle w:val="Amain"/>
        <w:keepNext/>
      </w:pPr>
      <w:r w:rsidRPr="00CE5D4D">
        <w:tab/>
        <w:t>(4)</w:t>
      </w:r>
      <w:r w:rsidRPr="00CE5D4D">
        <w:tab/>
        <w:t>A person may file an affidavit electronically in the court—</w:t>
      </w:r>
    </w:p>
    <w:p w14:paraId="119DA1ED" w14:textId="77777777" w:rsidR="006310C9" w:rsidRPr="00CE5D4D" w:rsidRDefault="006310C9" w:rsidP="000F50D5">
      <w:pPr>
        <w:pStyle w:val="Apara"/>
      </w:pPr>
      <w:r w:rsidRPr="00CE5D4D">
        <w:tab/>
        <w:t>(a)</w:t>
      </w:r>
      <w:r w:rsidRPr="00CE5D4D">
        <w:tab/>
        <w:t>by filing an electronic version of the affidavit that includes the signatures on it; or</w:t>
      </w:r>
    </w:p>
    <w:p w14:paraId="6759A8A8" w14:textId="77777777" w:rsidR="006310C9" w:rsidRPr="00CE5D4D" w:rsidRDefault="006310C9" w:rsidP="00E87BCD">
      <w:pPr>
        <w:pStyle w:val="Apara"/>
        <w:keepNext/>
      </w:pPr>
      <w:r w:rsidRPr="00CE5D4D">
        <w:lastRenderedPageBreak/>
        <w:tab/>
        <w:t>(b)</w:t>
      </w:r>
      <w:r w:rsidRPr="00CE5D4D">
        <w:tab/>
        <w:t>by filing—</w:t>
      </w:r>
    </w:p>
    <w:p w14:paraId="75A831A2" w14:textId="77777777"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14:paraId="508516AD" w14:textId="77777777"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14:paraId="1E37DBC8" w14:textId="1068037E" w:rsidR="006310C9" w:rsidRPr="00CE5D4D" w:rsidRDefault="006310C9" w:rsidP="000F50D5">
      <w:pPr>
        <w:pStyle w:val="Amain"/>
      </w:pPr>
      <w:r w:rsidRPr="00CE5D4D">
        <w:tab/>
        <w:t>(</w:t>
      </w:r>
      <w:r w:rsidR="00B4256E">
        <w:t>5</w:t>
      </w:r>
      <w:r w:rsidRPr="00CE5D4D">
        <w:t>)</w:t>
      </w:r>
      <w:r w:rsidRPr="00CE5D4D">
        <w:tab/>
        <w:t>The address for service stated on a document filed electronically in the court must include—</w:t>
      </w:r>
    </w:p>
    <w:p w14:paraId="5FF75AC0" w14:textId="77777777"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14:paraId="2F616273" w14:textId="77777777" w:rsidR="006310C9" w:rsidRPr="00CE5D4D" w:rsidRDefault="006310C9" w:rsidP="000F50D5">
      <w:pPr>
        <w:pStyle w:val="Apara"/>
      </w:pPr>
      <w:r w:rsidRPr="00CE5D4D">
        <w:tab/>
        <w:t>(b)</w:t>
      </w:r>
      <w:r w:rsidRPr="00CE5D4D">
        <w:tab/>
        <w:t>in any other case—the registered user’s registered email address.</w:t>
      </w:r>
    </w:p>
    <w:p w14:paraId="460AA26E" w14:textId="33994A4C" w:rsidR="006310C9" w:rsidRPr="00CE5D4D" w:rsidRDefault="006310C9" w:rsidP="000F50D5">
      <w:pPr>
        <w:pStyle w:val="Amain"/>
      </w:pPr>
      <w:r w:rsidRPr="00CE5D4D">
        <w:tab/>
        <w:t>(</w:t>
      </w:r>
      <w:r w:rsidR="00B4256E">
        <w:t>6</w:t>
      </w:r>
      <w:r w:rsidRPr="00CE5D4D">
        <w:t>)</w:t>
      </w:r>
      <w:r w:rsidRPr="00CE5D4D">
        <w:tab/>
        <w:t xml:space="preserve">If a fee is determined under the </w:t>
      </w:r>
      <w:hyperlink r:id="rId766"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14:paraId="210628D5" w14:textId="10E4CA06" w:rsidR="006310C9" w:rsidRPr="00CE5D4D" w:rsidRDefault="006310C9" w:rsidP="000F50D5">
      <w:pPr>
        <w:pStyle w:val="Amain"/>
      </w:pPr>
      <w:r w:rsidRPr="00CE5D4D">
        <w:tab/>
        <w:t>(</w:t>
      </w:r>
      <w:r w:rsidR="00B4256E">
        <w:t>7</w:t>
      </w:r>
      <w:r w:rsidRPr="00CE5D4D">
        <w:t>)</w:t>
      </w:r>
      <w:r w:rsidRPr="00CE5D4D">
        <w:tab/>
        <w:t>The registrar may—</w:t>
      </w:r>
    </w:p>
    <w:p w14:paraId="0459492D" w14:textId="77777777"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14:paraId="7058F5FF" w14:textId="77777777" w:rsidR="006310C9" w:rsidRPr="00CE5D4D" w:rsidRDefault="006310C9" w:rsidP="006310C9">
      <w:pPr>
        <w:pStyle w:val="Apara"/>
      </w:pPr>
      <w:r>
        <w:tab/>
      </w:r>
      <w:r w:rsidRPr="00CE5D4D">
        <w:t>(b)</w:t>
      </w:r>
      <w:r w:rsidRPr="00CE5D4D">
        <w:tab/>
        <w:t>reject the document under division 6.3.3 (Rejecting filed documents).</w:t>
      </w:r>
    </w:p>
    <w:p w14:paraId="1FE22FC0" w14:textId="5A45CE87" w:rsidR="006310C9" w:rsidRPr="00CE5D4D" w:rsidRDefault="006310C9" w:rsidP="000F50D5">
      <w:pPr>
        <w:pStyle w:val="Amain"/>
      </w:pPr>
      <w:r w:rsidRPr="00CE5D4D">
        <w:tab/>
        <w:t>(</w:t>
      </w:r>
      <w:r w:rsidR="00B4256E">
        <w:t>8</w:t>
      </w:r>
      <w:r w:rsidRPr="00CE5D4D">
        <w:t>)</w:t>
      </w:r>
      <w:r w:rsidRPr="00CE5D4D">
        <w:tab/>
        <w:t xml:space="preserve">If the registrar records the filing of the document, the registrar must return a sealed or stamped copy of the document by advising the person by email that the document is available on the </w:t>
      </w:r>
      <w:r w:rsidR="00B4256E" w:rsidRPr="00C1177F">
        <w:t>electronic lodgment facility</w:t>
      </w:r>
      <w:r w:rsidRPr="00CE5D4D">
        <w:t xml:space="preserve"> in the file for the proceeding.</w:t>
      </w:r>
    </w:p>
    <w:p w14:paraId="434E92D2" w14:textId="77777777" w:rsidR="00D94935" w:rsidRDefault="00D94935" w:rsidP="00D94935">
      <w:pPr>
        <w:pStyle w:val="AH5Sec"/>
      </w:pPr>
      <w:bookmarkStart w:id="1646" w:name="_Toc185515262"/>
      <w:r w:rsidRPr="00C8328B">
        <w:rPr>
          <w:rStyle w:val="CharSectNo"/>
        </w:rPr>
        <w:lastRenderedPageBreak/>
        <w:t>6125</w:t>
      </w:r>
      <w:r>
        <w:tab/>
        <w:t>Practice notes about filing</w:t>
      </w:r>
      <w:bookmarkEnd w:id="1646"/>
    </w:p>
    <w:p w14:paraId="3863535D" w14:textId="77777777" w:rsidR="00D94935" w:rsidRDefault="00D94935" w:rsidP="00FD22C1">
      <w:pPr>
        <w:pStyle w:val="Amain"/>
        <w:keepNext/>
      </w:pPr>
      <w:r>
        <w:tab/>
        <w:t>(1)</w:t>
      </w:r>
      <w:r>
        <w:tab/>
        <w:t>A practice note may make provision in relation to—</w:t>
      </w:r>
    </w:p>
    <w:p w14:paraId="5581DECA" w14:textId="77777777" w:rsidR="00D94935" w:rsidRDefault="00D94935" w:rsidP="00D94935">
      <w:pPr>
        <w:pStyle w:val="Apara"/>
      </w:pPr>
      <w:r>
        <w:tab/>
        <w:t>(a)</w:t>
      </w:r>
      <w:r>
        <w:tab/>
        <w:t>the documents that must be filed in the court by being delivered to a registry personally; or</w:t>
      </w:r>
    </w:p>
    <w:p w14:paraId="724CDA93" w14:textId="77777777" w:rsidR="00D94935" w:rsidRDefault="00D94935" w:rsidP="00D94935">
      <w:pPr>
        <w:pStyle w:val="Apara"/>
      </w:pPr>
      <w:r>
        <w:tab/>
        <w:t>(b)</w:t>
      </w:r>
      <w:r>
        <w:tab/>
        <w:t>the documents that must not be filed in the court using a particular method of filing; or</w:t>
      </w:r>
    </w:p>
    <w:p w14:paraId="096A2886" w14:textId="77777777" w:rsidR="00D94935" w:rsidRDefault="00D94935" w:rsidP="00D94935">
      <w:pPr>
        <w:pStyle w:val="Apara"/>
      </w:pPr>
      <w:r>
        <w:tab/>
        <w:t>(c)</w:t>
      </w:r>
      <w:r>
        <w:tab/>
        <w:t>filing documents in the court by electronic communication.</w:t>
      </w:r>
    </w:p>
    <w:p w14:paraId="48A15E8B" w14:textId="77777777" w:rsidR="00D94935" w:rsidRDefault="00D94935" w:rsidP="00D94935">
      <w:pPr>
        <w:pStyle w:val="Amain"/>
      </w:pPr>
      <w:r>
        <w:tab/>
        <w:t>(2)</w:t>
      </w:r>
      <w:r>
        <w:tab/>
        <w:t>A practice note must be complied with despite anything in these rules.</w:t>
      </w:r>
    </w:p>
    <w:p w14:paraId="71B4C75F" w14:textId="77777777" w:rsidR="00D94935" w:rsidRDefault="00D94935" w:rsidP="00D94935">
      <w:pPr>
        <w:pStyle w:val="AH5Sec"/>
      </w:pPr>
      <w:bookmarkStart w:id="1647" w:name="_Toc185515263"/>
      <w:r w:rsidRPr="00C8328B">
        <w:rPr>
          <w:rStyle w:val="CharSectNo"/>
        </w:rPr>
        <w:t>6126</w:t>
      </w:r>
      <w:r>
        <w:tab/>
        <w:t>Date of filing</w:t>
      </w:r>
      <w:bookmarkEnd w:id="1647"/>
    </w:p>
    <w:p w14:paraId="3F516F4A" w14:textId="77777777" w:rsidR="00D94935" w:rsidRDefault="00D94935" w:rsidP="00D94935">
      <w:pPr>
        <w:pStyle w:val="Amain"/>
      </w:pPr>
      <w:r>
        <w:tab/>
        <w:t>(1)</w:t>
      </w:r>
      <w:r>
        <w:tab/>
        <w:t>The registrar must record the date of filing in the court of each filed document.</w:t>
      </w:r>
    </w:p>
    <w:p w14:paraId="32273363" w14:textId="77777777" w:rsidR="00D94935" w:rsidRDefault="00D94935" w:rsidP="00E153F2">
      <w:pPr>
        <w:pStyle w:val="Amain"/>
        <w:keepNext/>
      </w:pPr>
      <w:r>
        <w:tab/>
        <w:t>(2)</w:t>
      </w:r>
      <w:r>
        <w:tab/>
        <w:t xml:space="preserve">For these rules, the </w:t>
      </w:r>
      <w:r w:rsidRPr="006364FA">
        <w:rPr>
          <w:rStyle w:val="charBoldItals"/>
        </w:rPr>
        <w:t>date of filing</w:t>
      </w:r>
      <w:r>
        <w:t xml:space="preserve"> is the date of—</w:t>
      </w:r>
    </w:p>
    <w:p w14:paraId="24EB3E13" w14:textId="77777777" w:rsidR="00D94935" w:rsidRDefault="00D94935" w:rsidP="00D94935">
      <w:pPr>
        <w:pStyle w:val="Apara"/>
      </w:pPr>
      <w:r>
        <w:tab/>
        <w:t>(a)</w:t>
      </w:r>
      <w:r>
        <w:tab/>
        <w:t>for a document filed in the court by personal delivery to the registry—the day it is delivered to the registry; or</w:t>
      </w:r>
    </w:p>
    <w:p w14:paraId="6FB921F6" w14:textId="77777777" w:rsidR="00D94935" w:rsidRDefault="00D94935" w:rsidP="00D94935">
      <w:pPr>
        <w:pStyle w:val="Apara"/>
      </w:pPr>
      <w:r>
        <w:tab/>
        <w:t>(b)</w:t>
      </w:r>
      <w:r>
        <w:tab/>
        <w:t>for a document filed in the court by post—the day it is received at the registry; or</w:t>
      </w:r>
    </w:p>
    <w:p w14:paraId="2C58CA03" w14:textId="77777777" w:rsidR="00D94935" w:rsidRDefault="00D94935" w:rsidP="00D94935">
      <w:pPr>
        <w:pStyle w:val="Apara"/>
      </w:pPr>
      <w:r>
        <w:tab/>
        <w:t>(c)</w:t>
      </w:r>
      <w:r>
        <w:tab/>
        <w:t>for a document filed in the court by being faxed to the registry’s fax number before 4 pm on a day the registry is open—that day; or</w:t>
      </w:r>
    </w:p>
    <w:p w14:paraId="654AA171" w14:textId="77777777"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14:paraId="7B204968" w14:textId="77777777" w:rsidR="000F50D5" w:rsidRPr="00CE5D4D" w:rsidRDefault="000F50D5" w:rsidP="00256150">
      <w:pPr>
        <w:pStyle w:val="Apara"/>
        <w:keepNext/>
      </w:pPr>
      <w:r w:rsidRPr="00CE5D4D">
        <w:tab/>
        <w:t>(e)</w:t>
      </w:r>
      <w:r w:rsidRPr="00CE5D4D">
        <w:tab/>
        <w:t>for a document filed electronically in the court—</w:t>
      </w:r>
    </w:p>
    <w:p w14:paraId="20AD276D" w14:textId="77777777" w:rsidR="000F50D5" w:rsidRPr="00CE5D4D" w:rsidRDefault="000F50D5" w:rsidP="000F50D5">
      <w:pPr>
        <w:pStyle w:val="Asubpara"/>
      </w:pPr>
      <w:r>
        <w:tab/>
      </w:r>
      <w:r w:rsidRPr="00CE5D4D">
        <w:t>(i)</w:t>
      </w:r>
      <w:r w:rsidRPr="00CE5D4D">
        <w:tab/>
        <w:t>before 4 pm on a day the registry is open—that day; or</w:t>
      </w:r>
    </w:p>
    <w:p w14:paraId="2DCE31D4" w14:textId="77777777"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14:paraId="5A5A5274" w14:textId="77777777" w:rsidR="00D94935" w:rsidRDefault="00D94935" w:rsidP="00D94935">
      <w:pPr>
        <w:pStyle w:val="aNote"/>
      </w:pPr>
      <w:r w:rsidRPr="006364FA">
        <w:rPr>
          <w:rStyle w:val="charItals"/>
        </w:rPr>
        <w:t>Note</w:t>
      </w:r>
      <w:r w:rsidRPr="006364FA">
        <w:rPr>
          <w:rStyle w:val="charItals"/>
        </w:rPr>
        <w:tab/>
      </w:r>
      <w:r>
        <w:t>See also r 6145 (Filed documents initially rejected).</w:t>
      </w:r>
    </w:p>
    <w:p w14:paraId="561A0E12" w14:textId="77777777" w:rsidR="00A12464" w:rsidRPr="00A60754" w:rsidRDefault="00A12464" w:rsidP="00A12464">
      <w:pPr>
        <w:pStyle w:val="Amain"/>
        <w:rPr>
          <w:lang w:eastAsia="en-AU"/>
        </w:rPr>
      </w:pPr>
      <w:r w:rsidRPr="00A60754">
        <w:lastRenderedPageBreak/>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14:paraId="409AB1E3" w14:textId="77777777"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14:paraId="09A73A25" w14:textId="77777777"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14:paraId="6F6E4766" w14:textId="77777777" w:rsidR="00A12464" w:rsidRPr="00A60754" w:rsidRDefault="00A12464" w:rsidP="00A12464">
      <w:pPr>
        <w:pStyle w:val="Amain"/>
      </w:pPr>
      <w:r w:rsidRPr="00A60754">
        <w:tab/>
        <w:t>(4)</w:t>
      </w:r>
      <w:r w:rsidRPr="00A60754">
        <w:tab/>
        <w:t>For this rule, a document is taken to have been—</w:t>
      </w:r>
    </w:p>
    <w:p w14:paraId="74B60977" w14:textId="77777777" w:rsidR="00A12464" w:rsidRPr="00A60754" w:rsidRDefault="00A12464" w:rsidP="00A12464">
      <w:pPr>
        <w:pStyle w:val="Apara"/>
      </w:pPr>
      <w:r w:rsidRPr="00A60754">
        <w:tab/>
        <w:t>(a)</w:t>
      </w:r>
      <w:r w:rsidRPr="00A60754">
        <w:tab/>
        <w:t>faxed to the registry’s fax number only if it is received at that number; or</w:t>
      </w:r>
    </w:p>
    <w:p w14:paraId="06960C5A" w14:textId="6388A4ED" w:rsidR="000F50D5" w:rsidRPr="00CE5D4D" w:rsidRDefault="000F50D5" w:rsidP="000F50D5">
      <w:pPr>
        <w:pStyle w:val="Apara"/>
      </w:pPr>
      <w:r w:rsidRPr="00CE5D4D">
        <w:tab/>
        <w:t>(b)</w:t>
      </w:r>
      <w:r w:rsidRPr="00CE5D4D">
        <w:tab/>
        <w:t xml:space="preserve">filed electronically in the court only if the </w:t>
      </w:r>
      <w:r w:rsidR="00F87CEB" w:rsidRPr="00C1177F">
        <w:t>electronic lodgment facility</w:t>
      </w:r>
      <w:r w:rsidRPr="00CE5D4D">
        <w:t xml:space="preserve"> sends the user an acknowledgment of the filing.</w:t>
      </w:r>
    </w:p>
    <w:p w14:paraId="45647E62" w14:textId="77777777" w:rsidR="00D94935" w:rsidRDefault="00D94935" w:rsidP="00D94935">
      <w:pPr>
        <w:pStyle w:val="Amain"/>
      </w:pPr>
      <w:r>
        <w:tab/>
        <w:t>(5)</w:t>
      </w:r>
      <w:r>
        <w:tab/>
        <w:t>For this rule, it does not matter when the registrar records the date of filing.</w:t>
      </w:r>
    </w:p>
    <w:p w14:paraId="3B515D74" w14:textId="77777777" w:rsidR="00D94935" w:rsidRDefault="00D94935" w:rsidP="00D94935">
      <w:pPr>
        <w:pStyle w:val="Amain"/>
      </w:pPr>
      <w:r>
        <w:tab/>
        <w:t>(6)</w:t>
      </w:r>
      <w:r>
        <w:tab/>
        <w:t>The date of filing must be written on the filed document.</w:t>
      </w:r>
    </w:p>
    <w:p w14:paraId="7810B326" w14:textId="77777777" w:rsidR="000F50D5" w:rsidRPr="00CE5D4D" w:rsidRDefault="000F50D5" w:rsidP="000F50D5">
      <w:pPr>
        <w:pStyle w:val="AH5Sec"/>
      </w:pPr>
      <w:bookmarkStart w:id="1648" w:name="_Toc185515264"/>
      <w:r w:rsidRPr="00C8328B">
        <w:rPr>
          <w:rStyle w:val="CharSectNo"/>
        </w:rPr>
        <w:t>6130</w:t>
      </w:r>
      <w:r w:rsidRPr="00CE5D4D">
        <w:tab/>
        <w:t>Keeping original documents</w:t>
      </w:r>
      <w:bookmarkEnd w:id="1648"/>
    </w:p>
    <w:p w14:paraId="33B5A6BA" w14:textId="77777777" w:rsidR="000F50D5" w:rsidRPr="00CE5D4D" w:rsidRDefault="000F50D5" w:rsidP="00256150">
      <w:pPr>
        <w:pStyle w:val="Amain"/>
        <w:keepNext/>
      </w:pPr>
      <w:r w:rsidRPr="00CE5D4D">
        <w:tab/>
        <w:t>(1)</w:t>
      </w:r>
      <w:r w:rsidRPr="00CE5D4D">
        <w:tab/>
        <w:t>This rule applies to a document filed in the court in a proceeding by filing a scanned copy of the original document electronically.</w:t>
      </w:r>
    </w:p>
    <w:p w14:paraId="5AC9F307" w14:textId="77777777" w:rsidR="000F50D5" w:rsidRPr="00CE5D4D" w:rsidRDefault="000F50D5" w:rsidP="00256150">
      <w:pPr>
        <w:pStyle w:val="Amain"/>
        <w:keepNext/>
      </w:pPr>
      <w:r w:rsidRPr="00CE5D4D">
        <w:tab/>
        <w:t>(2)</w:t>
      </w:r>
      <w:r w:rsidRPr="00CE5D4D">
        <w:tab/>
        <w:t>The person filing the document must keep the original document until the later of the following:</w:t>
      </w:r>
    </w:p>
    <w:p w14:paraId="107D3BFF" w14:textId="77777777" w:rsidR="000F50D5" w:rsidRPr="00CE5D4D" w:rsidRDefault="000F50D5" w:rsidP="000F50D5">
      <w:pPr>
        <w:pStyle w:val="Apara"/>
      </w:pPr>
      <w:r w:rsidRPr="00CE5D4D">
        <w:tab/>
        <w:t>(a)</w:t>
      </w:r>
      <w:r w:rsidRPr="00CE5D4D">
        <w:tab/>
        <w:t xml:space="preserve">2 years after the date of judgment or final order in the proceeding; </w:t>
      </w:r>
    </w:p>
    <w:p w14:paraId="2F73610E" w14:textId="77777777" w:rsidR="000F50D5" w:rsidRPr="00CE5D4D" w:rsidRDefault="000F50D5" w:rsidP="000F50D5">
      <w:pPr>
        <w:pStyle w:val="Apara"/>
      </w:pPr>
      <w:r w:rsidRPr="00CE5D4D">
        <w:tab/>
        <w:t>(b)</w:t>
      </w:r>
      <w:r w:rsidRPr="00CE5D4D">
        <w:tab/>
        <w:t>2 years after a notice of discontinuance is filed in the proceeding;</w:t>
      </w:r>
    </w:p>
    <w:p w14:paraId="785F317F" w14:textId="77777777" w:rsidR="000F50D5" w:rsidRPr="00CE5D4D" w:rsidRDefault="000F50D5" w:rsidP="000F50D5">
      <w:pPr>
        <w:pStyle w:val="Apara"/>
      </w:pPr>
      <w:r w:rsidRPr="00CE5D4D">
        <w:tab/>
        <w:t>(c)</w:t>
      </w:r>
      <w:r w:rsidRPr="00CE5D4D">
        <w:tab/>
        <w:t xml:space="preserve">2 years after any appeal in the proceeding is determined; </w:t>
      </w:r>
    </w:p>
    <w:p w14:paraId="76FAC60D" w14:textId="77777777" w:rsidR="000F50D5" w:rsidRPr="00CE5D4D" w:rsidRDefault="000F50D5" w:rsidP="000F50D5">
      <w:pPr>
        <w:pStyle w:val="Apara"/>
      </w:pPr>
      <w:r w:rsidRPr="00CE5D4D">
        <w:tab/>
        <w:t>(d)</w:t>
      </w:r>
      <w:r w:rsidRPr="00CE5D4D">
        <w:tab/>
        <w:t>2 years after the date the document was filed.</w:t>
      </w:r>
    </w:p>
    <w:p w14:paraId="0D8CD6BD" w14:textId="77777777"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14:paraId="7FF8D752" w14:textId="6BD2AF11" w:rsidR="00861837" w:rsidRPr="00C1177F" w:rsidRDefault="00861837" w:rsidP="00861837">
      <w:pPr>
        <w:pStyle w:val="AH5Sec"/>
      </w:pPr>
      <w:bookmarkStart w:id="1649" w:name="_Toc185515265"/>
      <w:r w:rsidRPr="00F81955">
        <w:rPr>
          <w:rStyle w:val="CharSectNo"/>
        </w:rPr>
        <w:lastRenderedPageBreak/>
        <w:t>6133</w:t>
      </w:r>
      <w:r w:rsidRPr="00C1177F">
        <w:tab/>
        <w:t>Conversion of documents in paper form to electronic form</w:t>
      </w:r>
      <w:bookmarkEnd w:id="1649"/>
    </w:p>
    <w:p w14:paraId="086964C5" w14:textId="04506D69" w:rsidR="00861837" w:rsidRPr="00C1177F" w:rsidRDefault="00861837" w:rsidP="00861837">
      <w:pPr>
        <w:pStyle w:val="Amain"/>
      </w:pPr>
      <w:r w:rsidRPr="00C1177F">
        <w:tab/>
        <w:t>(1)</w:t>
      </w:r>
      <w:r w:rsidRPr="00C1177F">
        <w:tab/>
        <w:t>This rule applies to a document filed in the court in a proceeding by filing a paper form of the document.</w:t>
      </w:r>
    </w:p>
    <w:p w14:paraId="4E4B9655" w14:textId="1C820181" w:rsidR="00861837" w:rsidRPr="00C1177F" w:rsidRDefault="00861837" w:rsidP="00861837">
      <w:pPr>
        <w:pStyle w:val="Amain"/>
      </w:pPr>
      <w:r w:rsidRPr="00C1177F">
        <w:tab/>
        <w:t>(2)</w:t>
      </w:r>
      <w:r w:rsidRPr="00C1177F">
        <w:tab/>
        <w:t>The registrar may convert the document to an electronic form and record the document in the electronic lodgment facility as if it had been filed electronically.</w:t>
      </w:r>
    </w:p>
    <w:p w14:paraId="44D320A2" w14:textId="77777777" w:rsidR="00861837" w:rsidRPr="00C1177F" w:rsidRDefault="00861837" w:rsidP="00861837">
      <w:pPr>
        <w:pStyle w:val="Amain"/>
      </w:pPr>
      <w:r w:rsidRPr="00C1177F">
        <w:tab/>
        <w:t>(3)</w:t>
      </w:r>
      <w:r w:rsidRPr="00C1177F">
        <w:tab/>
        <w:t>If a document is recorded in the electronic lodgment facility under subrule (2), the court must keep the paper form of the document—</w:t>
      </w:r>
    </w:p>
    <w:p w14:paraId="7297B3F3" w14:textId="428079B8" w:rsidR="00861837" w:rsidRPr="00C1177F" w:rsidRDefault="00861837" w:rsidP="00861837">
      <w:pPr>
        <w:pStyle w:val="Apara"/>
      </w:pPr>
      <w:r w:rsidRPr="00C1177F">
        <w:tab/>
        <w:t>(a)</w:t>
      </w:r>
      <w:r w:rsidRPr="00C1177F">
        <w:tab/>
        <w:t>for 90 days after the day the document was filed; and</w:t>
      </w:r>
    </w:p>
    <w:p w14:paraId="40DF6DF5" w14:textId="55CA691A" w:rsidR="00861837" w:rsidRPr="00C1177F" w:rsidRDefault="00861837" w:rsidP="00861837">
      <w:pPr>
        <w:pStyle w:val="Apara"/>
      </w:pPr>
      <w:r w:rsidRPr="00C1177F">
        <w:tab/>
        <w:t>(b)</w:t>
      </w:r>
      <w:r w:rsidRPr="00C1177F">
        <w:tab/>
        <w:t>until the earlier of—</w:t>
      </w:r>
    </w:p>
    <w:p w14:paraId="568A336F" w14:textId="512EDB71" w:rsidR="00861837" w:rsidRPr="00C1177F" w:rsidRDefault="00861837" w:rsidP="00861837">
      <w:pPr>
        <w:pStyle w:val="Asubpara"/>
      </w:pPr>
      <w:r w:rsidRPr="00C1177F">
        <w:tab/>
        <w:t>(i)</w:t>
      </w:r>
      <w:r w:rsidRPr="00C1177F">
        <w:tab/>
        <w:t>the day the document is collected; and</w:t>
      </w:r>
    </w:p>
    <w:p w14:paraId="0EE40497" w14:textId="77777777" w:rsidR="00861837" w:rsidRPr="00C1177F" w:rsidRDefault="00861837" w:rsidP="00861837">
      <w:pPr>
        <w:pStyle w:val="Asubpara"/>
      </w:pPr>
      <w:r w:rsidRPr="00C1177F">
        <w:tab/>
        <w:t>(ii)</w:t>
      </w:r>
      <w:r w:rsidRPr="00C1177F">
        <w:tab/>
        <w:t>the period mentioned in subrule (4).</w:t>
      </w:r>
    </w:p>
    <w:p w14:paraId="5C90D179" w14:textId="77777777" w:rsidR="00861837" w:rsidRPr="00C1177F" w:rsidRDefault="00861837" w:rsidP="00861837">
      <w:pPr>
        <w:pStyle w:val="Amain"/>
      </w:pPr>
      <w:r w:rsidRPr="00C1177F">
        <w:tab/>
        <w:t>(4)</w:t>
      </w:r>
      <w:r w:rsidRPr="00C1177F">
        <w:tab/>
        <w:t>The person who filed the paper form of the document may collect it from the court within 30 days after the period mentioned in subrule (3) (a) ends.</w:t>
      </w:r>
    </w:p>
    <w:p w14:paraId="3AC0E6C6" w14:textId="77777777" w:rsidR="00861837" w:rsidRPr="00C1177F" w:rsidRDefault="00861837" w:rsidP="00861837">
      <w:pPr>
        <w:pStyle w:val="Amain"/>
      </w:pPr>
      <w:r w:rsidRPr="00C1177F">
        <w:tab/>
        <w:t>(5)</w:t>
      </w:r>
      <w:r w:rsidRPr="00C1177F">
        <w:tab/>
        <w:t>If the paper form of the document is not collected within the period mentioned in subrule (4), the registrar may destroy the document.</w:t>
      </w:r>
    </w:p>
    <w:p w14:paraId="15620F47" w14:textId="77777777" w:rsidR="00861837" w:rsidRPr="00C1177F" w:rsidRDefault="00861837" w:rsidP="00861837">
      <w:pPr>
        <w:pStyle w:val="Amain"/>
      </w:pPr>
      <w:r w:rsidRPr="00C1177F">
        <w:tab/>
        <w:t>(6)</w:t>
      </w:r>
      <w:r w:rsidRPr="00C1177F">
        <w:tab/>
        <w:t>If the paper form of the document is collected within the period mentioned in subrule (4), the person who filed it must, unless the registrar approves the destruction of the document, keep the document until the later of the following:</w:t>
      </w:r>
    </w:p>
    <w:p w14:paraId="6DF0C5FF" w14:textId="0DA56575" w:rsidR="00861837" w:rsidRPr="00C1177F" w:rsidRDefault="00861837" w:rsidP="00861837">
      <w:pPr>
        <w:pStyle w:val="Apara"/>
      </w:pPr>
      <w:r w:rsidRPr="00C1177F">
        <w:tab/>
        <w:t>(a)</w:t>
      </w:r>
      <w:r w:rsidRPr="00C1177F">
        <w:tab/>
        <w:t>2 years after the date of judgment or final order in the proceeding;</w:t>
      </w:r>
    </w:p>
    <w:p w14:paraId="48E8B21C" w14:textId="77777777" w:rsidR="00861837" w:rsidRPr="00C1177F" w:rsidRDefault="00861837" w:rsidP="00861837">
      <w:pPr>
        <w:pStyle w:val="Apara"/>
      </w:pPr>
      <w:r w:rsidRPr="00C1177F">
        <w:tab/>
        <w:t>(b)</w:t>
      </w:r>
      <w:r w:rsidRPr="00C1177F">
        <w:tab/>
        <w:t>2 years after a notice of discontinuance is filed in the proceeding;</w:t>
      </w:r>
    </w:p>
    <w:p w14:paraId="2205BA5C" w14:textId="77777777" w:rsidR="00861837" w:rsidRPr="00C1177F" w:rsidRDefault="00861837" w:rsidP="00861837">
      <w:pPr>
        <w:pStyle w:val="Apara"/>
      </w:pPr>
      <w:r w:rsidRPr="00C1177F">
        <w:tab/>
        <w:t>(c)</w:t>
      </w:r>
      <w:r w:rsidRPr="00C1177F">
        <w:tab/>
        <w:t>2 years after any appeal in the proceeding is determined;</w:t>
      </w:r>
    </w:p>
    <w:p w14:paraId="50CB1B43" w14:textId="77777777" w:rsidR="00861837" w:rsidRPr="00C1177F" w:rsidRDefault="00861837" w:rsidP="00861837">
      <w:pPr>
        <w:pStyle w:val="Apara"/>
      </w:pPr>
      <w:r w:rsidRPr="00C1177F">
        <w:tab/>
        <w:t>(d)</w:t>
      </w:r>
      <w:r w:rsidRPr="00C1177F">
        <w:tab/>
        <w:t>2 years after the date the document was filed.</w:t>
      </w:r>
    </w:p>
    <w:p w14:paraId="1AE1A9E4" w14:textId="77777777" w:rsidR="00861837" w:rsidRPr="00C1177F" w:rsidRDefault="00861837" w:rsidP="00861837">
      <w:pPr>
        <w:pStyle w:val="Amain"/>
      </w:pPr>
      <w:r w:rsidRPr="00C1177F">
        <w:lastRenderedPageBreak/>
        <w:tab/>
        <w:t>(7)</w:t>
      </w:r>
      <w:r w:rsidRPr="00C1177F">
        <w:tab/>
        <w:t>The court may direct the person to produce the paper form of the document during the time the document is required to be kept.</w:t>
      </w:r>
    </w:p>
    <w:p w14:paraId="5E3F4D6B" w14:textId="77777777" w:rsidR="00861837" w:rsidRPr="00C1177F" w:rsidRDefault="00861837" w:rsidP="00861837">
      <w:pPr>
        <w:pStyle w:val="AH5Sec"/>
      </w:pPr>
      <w:bookmarkStart w:id="1650" w:name="_Toc185515266"/>
      <w:r w:rsidRPr="00F81955">
        <w:rPr>
          <w:rStyle w:val="CharSectNo"/>
        </w:rPr>
        <w:t>6134</w:t>
      </w:r>
      <w:r w:rsidRPr="00C1177F">
        <w:tab/>
        <w:t>Official record of the court</w:t>
      </w:r>
      <w:bookmarkEnd w:id="1650"/>
    </w:p>
    <w:p w14:paraId="3D89E78D" w14:textId="77777777" w:rsidR="00861837" w:rsidRPr="00C1177F" w:rsidRDefault="00861837" w:rsidP="00861837">
      <w:pPr>
        <w:pStyle w:val="Amain"/>
      </w:pPr>
      <w:r w:rsidRPr="00C1177F">
        <w:tab/>
        <w:t>(1)</w:t>
      </w:r>
      <w:r w:rsidRPr="00C1177F">
        <w:tab/>
        <w:t>A document held by the court in electronic form is the official record if the document—</w:t>
      </w:r>
    </w:p>
    <w:p w14:paraId="6E84D25A" w14:textId="77777777" w:rsidR="00861837" w:rsidRPr="00C1177F" w:rsidRDefault="00861837" w:rsidP="00861837">
      <w:pPr>
        <w:pStyle w:val="Apara"/>
      </w:pPr>
      <w:r w:rsidRPr="00C1177F">
        <w:tab/>
        <w:t>(a)</w:t>
      </w:r>
      <w:r w:rsidRPr="00C1177F">
        <w:tab/>
        <w:t>is filed, or issued by the court, electronically, and kept by the court in electronic form; or</w:t>
      </w:r>
    </w:p>
    <w:p w14:paraId="7886C77E" w14:textId="77777777" w:rsidR="00861837" w:rsidRPr="00C1177F" w:rsidRDefault="00861837" w:rsidP="00861837">
      <w:pPr>
        <w:pStyle w:val="Apara"/>
      </w:pPr>
      <w:r w:rsidRPr="00C1177F">
        <w:tab/>
        <w:t>(b)</w:t>
      </w:r>
      <w:r w:rsidRPr="00C1177F">
        <w:tab/>
        <w:t>is filed in paper form and the registrar converts the document to an electronic form.</w:t>
      </w:r>
    </w:p>
    <w:p w14:paraId="65A03644" w14:textId="77777777" w:rsidR="00861837" w:rsidRPr="00C1177F" w:rsidRDefault="00861837" w:rsidP="00861837">
      <w:pPr>
        <w:pStyle w:val="Amain"/>
      </w:pPr>
      <w:r w:rsidRPr="00C1177F">
        <w:tab/>
        <w:t>(2)</w:t>
      </w:r>
      <w:r w:rsidRPr="00C1177F">
        <w:tab/>
        <w:t>If an electronic form of a document is not held by the court, the paper form of the document is the official record.</w:t>
      </w:r>
    </w:p>
    <w:p w14:paraId="05FBA7BC" w14:textId="77777777" w:rsidR="00D94935" w:rsidRPr="00C8328B" w:rsidRDefault="00D94935" w:rsidP="00D94935">
      <w:pPr>
        <w:pStyle w:val="AH3Div"/>
      </w:pPr>
      <w:bookmarkStart w:id="1651" w:name="_Toc185515267"/>
      <w:r w:rsidRPr="00C8328B">
        <w:rPr>
          <w:rStyle w:val="CharDivNo"/>
        </w:rPr>
        <w:t>Division 6.3.3</w:t>
      </w:r>
      <w:r>
        <w:tab/>
      </w:r>
      <w:r w:rsidRPr="00C8328B">
        <w:rPr>
          <w:rStyle w:val="CharDivText"/>
        </w:rPr>
        <w:t>Rejecting filed documents</w:t>
      </w:r>
      <w:bookmarkEnd w:id="1651"/>
    </w:p>
    <w:p w14:paraId="225E97E3" w14:textId="77777777" w:rsidR="00D94935" w:rsidRDefault="00D94935" w:rsidP="00D94935">
      <w:pPr>
        <w:pStyle w:val="AH5Sec"/>
      </w:pPr>
      <w:bookmarkStart w:id="1652" w:name="_Toc185515268"/>
      <w:r w:rsidRPr="00C8328B">
        <w:rPr>
          <w:rStyle w:val="CharSectNo"/>
        </w:rPr>
        <w:t>6140</w:t>
      </w:r>
      <w:r>
        <w:tab/>
        <w:t>Rejecting documents—noncompliance with rules etc</w:t>
      </w:r>
      <w:bookmarkEnd w:id="1652"/>
    </w:p>
    <w:p w14:paraId="21F5A8F9" w14:textId="77777777" w:rsidR="00D94935" w:rsidRDefault="00D94935" w:rsidP="00D94935">
      <w:pPr>
        <w:pStyle w:val="Amainreturn"/>
        <w:keepNext/>
      </w:pPr>
      <w:r>
        <w:t>The registrar may reject a document that is filed in the court if—</w:t>
      </w:r>
    </w:p>
    <w:p w14:paraId="68601333" w14:textId="77777777" w:rsidR="00D94935" w:rsidRDefault="00D94935" w:rsidP="00D94935">
      <w:pPr>
        <w:pStyle w:val="Apara"/>
      </w:pPr>
      <w:r>
        <w:tab/>
        <w:t>(a)</w:t>
      </w:r>
      <w:r>
        <w:tab/>
        <w:t>the document does not comply with division 6.3.1 (General provisions about documents for filing) as far as the document can comply; or</w:t>
      </w:r>
    </w:p>
    <w:p w14:paraId="48CD74F4" w14:textId="77777777" w:rsidR="00D94935" w:rsidRDefault="00D94935" w:rsidP="00D94935">
      <w:pPr>
        <w:pStyle w:val="Apara"/>
      </w:pPr>
      <w:r>
        <w:tab/>
        <w:t>(b)</w:t>
      </w:r>
      <w:r>
        <w:tab/>
        <w:t>there is an approved form for the document and the document is not properly completed; or</w:t>
      </w:r>
    </w:p>
    <w:p w14:paraId="0D0C7DED" w14:textId="77777777" w:rsidR="00D94935" w:rsidRDefault="00D94935" w:rsidP="00D94935">
      <w:pPr>
        <w:pStyle w:val="aNotepar"/>
      </w:pPr>
      <w:r w:rsidRPr="006364FA">
        <w:rPr>
          <w:rStyle w:val="charItals"/>
        </w:rPr>
        <w:t>Note</w:t>
      </w:r>
      <w:r w:rsidRPr="006364FA">
        <w:rPr>
          <w:rStyle w:val="charItals"/>
        </w:rPr>
        <w:tab/>
      </w:r>
      <w:r>
        <w:t>See r 6101 (Documents—compliance with approved form).</w:t>
      </w:r>
    </w:p>
    <w:p w14:paraId="334792F0" w14:textId="6EF7A777" w:rsidR="00D94935" w:rsidRDefault="00D94935" w:rsidP="00D94935">
      <w:pPr>
        <w:pStyle w:val="Apara"/>
      </w:pPr>
      <w:r>
        <w:tab/>
        <w:t>(c)</w:t>
      </w:r>
      <w:r>
        <w:tab/>
        <w:t xml:space="preserve">a fee determined under the </w:t>
      </w:r>
      <w:hyperlink r:id="rId767" w:tooltip="A2004-59" w:history="1">
        <w:r w:rsidRPr="006364FA">
          <w:rPr>
            <w:rStyle w:val="charCitHyperlinkItal"/>
          </w:rPr>
          <w:t>Court Procedures Act 2004</w:t>
        </w:r>
      </w:hyperlink>
      <w:r>
        <w:t>, section 13 is payable for filing the document and the fee has not been paid; or</w:t>
      </w:r>
    </w:p>
    <w:p w14:paraId="5BDCD09C" w14:textId="77777777" w:rsidR="00D94935" w:rsidRDefault="00D94935" w:rsidP="00D94935">
      <w:pPr>
        <w:pStyle w:val="Apara"/>
      </w:pPr>
      <w:r>
        <w:tab/>
        <w:t>(d)</w:t>
      </w:r>
      <w:r>
        <w:tab/>
        <w:t>the document does not otherwise comply with these rules.</w:t>
      </w:r>
    </w:p>
    <w:p w14:paraId="413BDF31" w14:textId="77777777" w:rsidR="00D94935" w:rsidRDefault="00D94935" w:rsidP="00D94935">
      <w:pPr>
        <w:pStyle w:val="AH5Sec"/>
        <w:rPr>
          <w:lang w:val="en-US"/>
        </w:rPr>
      </w:pPr>
      <w:bookmarkStart w:id="1653" w:name="_Toc185515269"/>
      <w:r w:rsidRPr="00C8328B">
        <w:rPr>
          <w:rStyle w:val="CharSectNo"/>
        </w:rPr>
        <w:lastRenderedPageBreak/>
        <w:t>6141</w:t>
      </w:r>
      <w:r>
        <w:rPr>
          <w:lang w:val="en-US"/>
        </w:rPr>
        <w:tab/>
        <w:t>Rejecting documents—inconvenient address for service</w:t>
      </w:r>
      <w:bookmarkEnd w:id="1653"/>
    </w:p>
    <w:p w14:paraId="30EE3192" w14:textId="77777777"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14:paraId="3CF06E8E"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6ECE001F" w14:textId="77777777" w:rsidR="00D94935" w:rsidRDefault="00D94935" w:rsidP="00D94935">
      <w:pPr>
        <w:pStyle w:val="AH5Sec"/>
      </w:pPr>
      <w:bookmarkStart w:id="1654" w:name="_Toc185515270"/>
      <w:r w:rsidRPr="00C8328B">
        <w:rPr>
          <w:rStyle w:val="CharSectNo"/>
        </w:rPr>
        <w:t>6142</w:t>
      </w:r>
      <w:r>
        <w:tab/>
        <w:t>Rejecting documents—abuse of process etc</w:t>
      </w:r>
      <w:bookmarkEnd w:id="1654"/>
    </w:p>
    <w:p w14:paraId="6FE78A7D" w14:textId="77777777"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14:paraId="20B8C689" w14:textId="77777777" w:rsidR="00D94935" w:rsidRDefault="00D94935" w:rsidP="00D94935">
      <w:pPr>
        <w:pStyle w:val="Amain"/>
      </w:pPr>
      <w:r>
        <w:tab/>
        <w:t>(2)</w:t>
      </w:r>
      <w:r>
        <w:tab/>
        <w:t>The registrar may—</w:t>
      </w:r>
    </w:p>
    <w:p w14:paraId="6BA5499D" w14:textId="77777777" w:rsidR="00D94935" w:rsidRDefault="00D94935" w:rsidP="00D94935">
      <w:pPr>
        <w:pStyle w:val="Apara"/>
      </w:pPr>
      <w:r>
        <w:tab/>
        <w:t>(a)</w:t>
      </w:r>
      <w:r>
        <w:tab/>
        <w:t>reject the document; or</w:t>
      </w:r>
    </w:p>
    <w:p w14:paraId="3F05EFB1" w14:textId="77777777" w:rsidR="00D94935" w:rsidRDefault="00D94935" w:rsidP="00D94935">
      <w:pPr>
        <w:pStyle w:val="Apara"/>
      </w:pPr>
      <w:r>
        <w:tab/>
        <w:t>(b)</w:t>
      </w:r>
      <w:r>
        <w:tab/>
        <w:t>refer the document to a judicial officer for directions about how to deal with it.</w:t>
      </w:r>
    </w:p>
    <w:p w14:paraId="61C92341" w14:textId="77777777" w:rsidR="00D94935" w:rsidRDefault="00D94935" w:rsidP="00D94935">
      <w:pPr>
        <w:pStyle w:val="Amain"/>
      </w:pPr>
      <w:r>
        <w:tab/>
        <w:t>(3)</w:t>
      </w:r>
      <w:r>
        <w:tab/>
        <w:t>If the registrar refers the document to a judicial officer, the judicial officer may direct the registrar—</w:t>
      </w:r>
    </w:p>
    <w:p w14:paraId="7C5A592A" w14:textId="77777777" w:rsidR="00D94935" w:rsidRDefault="00D94935" w:rsidP="00D94935">
      <w:pPr>
        <w:pStyle w:val="Apara"/>
      </w:pPr>
      <w:r>
        <w:tab/>
        <w:t>(a)</w:t>
      </w:r>
      <w:r>
        <w:tab/>
        <w:t>to accept the document; or</w:t>
      </w:r>
    </w:p>
    <w:p w14:paraId="311B9752" w14:textId="77777777" w:rsidR="00D94935" w:rsidRDefault="00D94935" w:rsidP="00D94935">
      <w:pPr>
        <w:pStyle w:val="Apara"/>
      </w:pPr>
      <w:r>
        <w:tab/>
        <w:t>(b)</w:t>
      </w:r>
      <w:r>
        <w:tab/>
        <w:t>to reject the document; or</w:t>
      </w:r>
    </w:p>
    <w:p w14:paraId="0A88F065" w14:textId="77777777" w:rsidR="00D94935" w:rsidRDefault="00D94935" w:rsidP="00D94935">
      <w:pPr>
        <w:pStyle w:val="Apara"/>
        <w:keepNext/>
      </w:pPr>
      <w:r>
        <w:tab/>
        <w:t>(c)</w:t>
      </w:r>
      <w:r>
        <w:tab/>
        <w:t>to reject the document unless the court gives leave to accept the document.</w:t>
      </w:r>
    </w:p>
    <w:p w14:paraId="427B10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063DBF10" w14:textId="77777777" w:rsidR="00D94935" w:rsidRDefault="00D94935" w:rsidP="00D94935">
      <w:pPr>
        <w:pStyle w:val="Amain"/>
      </w:pPr>
      <w:r>
        <w:tab/>
        <w:t>(4)</w:t>
      </w:r>
      <w:r>
        <w:tab/>
        <w:t>This rule applies to a written notification under rule 6613 (Documents and things in custody of court) as if it were a document filed in the court.</w:t>
      </w:r>
    </w:p>
    <w:p w14:paraId="09D77639" w14:textId="77777777" w:rsidR="00D94935" w:rsidRDefault="00D94935" w:rsidP="00D94935">
      <w:pPr>
        <w:pStyle w:val="Amain"/>
        <w:keepNext/>
      </w:pPr>
      <w:r>
        <w:tab/>
        <w:t>(5)</w:t>
      </w:r>
      <w:r>
        <w:tab/>
        <w:t>In this rule:</w:t>
      </w:r>
    </w:p>
    <w:p w14:paraId="29DF1F08" w14:textId="77777777" w:rsidR="00D94935" w:rsidRDefault="00D94935" w:rsidP="00D94935">
      <w:pPr>
        <w:pStyle w:val="aDef"/>
        <w:keepNext/>
      </w:pPr>
      <w:r w:rsidRPr="006364FA">
        <w:rPr>
          <w:rStyle w:val="charBoldItals"/>
        </w:rPr>
        <w:t>judicial officer</w:t>
      </w:r>
      <w:r>
        <w:t xml:space="preserve"> means—</w:t>
      </w:r>
    </w:p>
    <w:p w14:paraId="6FB643D4" w14:textId="5995065D" w:rsidR="00D94935" w:rsidRDefault="00D94935" w:rsidP="00D94935">
      <w:pPr>
        <w:pStyle w:val="aDefpara"/>
      </w:pPr>
      <w:r>
        <w:tab/>
        <w:t>(a)</w:t>
      </w:r>
      <w:r>
        <w:tab/>
        <w:t>for the Supreme Court—a judge; or</w:t>
      </w:r>
    </w:p>
    <w:p w14:paraId="3E55189F" w14:textId="77777777" w:rsidR="00D94935" w:rsidRDefault="00D94935" w:rsidP="00D94935">
      <w:pPr>
        <w:pStyle w:val="aDefpara"/>
      </w:pPr>
      <w:r>
        <w:tab/>
        <w:t>(b)</w:t>
      </w:r>
      <w:r>
        <w:tab/>
        <w:t>for the Magistrates Court—a magistrate.</w:t>
      </w:r>
    </w:p>
    <w:p w14:paraId="619E684C" w14:textId="77777777" w:rsidR="00D94935" w:rsidRDefault="00D94935" w:rsidP="00D94935">
      <w:pPr>
        <w:pStyle w:val="AH5Sec"/>
      </w:pPr>
      <w:bookmarkStart w:id="1655" w:name="_Toc185515271"/>
      <w:r w:rsidRPr="00C8328B">
        <w:rPr>
          <w:rStyle w:val="CharSectNo"/>
        </w:rPr>
        <w:lastRenderedPageBreak/>
        <w:t>6143</w:t>
      </w:r>
      <w:r>
        <w:tab/>
        <w:t>Rejecting document—registrar to give notice etc</w:t>
      </w:r>
      <w:bookmarkEnd w:id="1655"/>
    </w:p>
    <w:p w14:paraId="151411F7" w14:textId="77777777" w:rsidR="00D94935" w:rsidRDefault="00D94935" w:rsidP="00256150">
      <w:pPr>
        <w:pStyle w:val="Amain"/>
        <w:keepNext/>
      </w:pPr>
      <w:r>
        <w:tab/>
        <w:t>(1)</w:t>
      </w:r>
      <w:r>
        <w:tab/>
        <w:t>If the registrar rejects a document under this division—</w:t>
      </w:r>
    </w:p>
    <w:p w14:paraId="3E01E8DA" w14:textId="77777777" w:rsidR="00D94935" w:rsidRDefault="00D94935" w:rsidP="00D94935">
      <w:pPr>
        <w:pStyle w:val="Apara"/>
      </w:pPr>
      <w:r>
        <w:tab/>
        <w:t>(a)</w:t>
      </w:r>
      <w:r>
        <w:tab/>
        <w:t>the registrar must give notice of the rejection, and of the grounds of the rejection, to the person who filed the document in the court; and</w:t>
      </w:r>
    </w:p>
    <w:p w14:paraId="6A4ECEE8" w14:textId="48E611A0" w:rsidR="00D94935" w:rsidRDefault="00D94935" w:rsidP="00D94935">
      <w:pPr>
        <w:pStyle w:val="Apara"/>
      </w:pPr>
      <w:r>
        <w:tab/>
        <w:t>(b)</w:t>
      </w:r>
      <w:r>
        <w:tab/>
      </w:r>
      <w:r w:rsidR="00861837" w:rsidRPr="00C1177F">
        <w:t>if the document is filed in paper form—</w:t>
      </w:r>
      <w:r>
        <w:t xml:space="preserve">the registrar must return the document and </w:t>
      </w:r>
      <w:r w:rsidR="000F50D5" w:rsidRPr="00CE5D4D">
        <w:t>any</w:t>
      </w:r>
      <w:r w:rsidR="000F50D5">
        <w:t xml:space="preserve"> </w:t>
      </w:r>
      <w:r>
        <w:t>copies of the document filed with the document; and</w:t>
      </w:r>
    </w:p>
    <w:p w14:paraId="6C6480B5" w14:textId="77777777" w:rsidR="00D94935" w:rsidRDefault="00D94935" w:rsidP="00D94935">
      <w:pPr>
        <w:pStyle w:val="Apara"/>
      </w:pPr>
      <w:r>
        <w:tab/>
        <w:t>(c)</w:t>
      </w:r>
      <w:r>
        <w:tab/>
        <w:t>the document is taken not to have been filed.</w:t>
      </w:r>
    </w:p>
    <w:p w14:paraId="66AA8534" w14:textId="77777777" w:rsidR="00D94935" w:rsidRDefault="00D94935" w:rsidP="00D94935">
      <w:pPr>
        <w:pStyle w:val="Amain"/>
        <w:keepNext/>
      </w:pPr>
      <w:r>
        <w:tab/>
        <w:t>(2)</w:t>
      </w:r>
      <w:r>
        <w:tab/>
        <w:t>Subrule (1) (c) is subject to rule 6145 (Filed documents initially rejected).</w:t>
      </w:r>
    </w:p>
    <w:p w14:paraId="36C519FF" w14:textId="77777777"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14:paraId="42831A03" w14:textId="77777777" w:rsidR="00D94935" w:rsidRDefault="00D94935" w:rsidP="00D94935">
      <w:pPr>
        <w:pStyle w:val="AH5Sec"/>
      </w:pPr>
      <w:bookmarkStart w:id="1656" w:name="_Toc185515272"/>
      <w:r w:rsidRPr="00C8328B">
        <w:rPr>
          <w:rStyle w:val="CharSectNo"/>
        </w:rPr>
        <w:t>6144</w:t>
      </w:r>
      <w:r>
        <w:tab/>
        <w:t>Rejecting document—costs</w:t>
      </w:r>
      <w:bookmarkEnd w:id="1656"/>
    </w:p>
    <w:p w14:paraId="3A89BEC8" w14:textId="77777777" w:rsidR="00D94935" w:rsidRDefault="00D94935" w:rsidP="00D94935">
      <w:pPr>
        <w:pStyle w:val="Amainreturn"/>
      </w:pPr>
      <w:r>
        <w:t>Costs incurred by a party in relation to a document rejected under this division may be disallowed on assessment of the party’s costs.</w:t>
      </w:r>
    </w:p>
    <w:p w14:paraId="5168C264" w14:textId="77777777" w:rsidR="00D94935" w:rsidRDefault="00D94935" w:rsidP="00D94935">
      <w:pPr>
        <w:pStyle w:val="AH5Sec"/>
      </w:pPr>
      <w:bookmarkStart w:id="1657" w:name="_Toc185515273"/>
      <w:r w:rsidRPr="00C8328B">
        <w:rPr>
          <w:rStyle w:val="CharSectNo"/>
        </w:rPr>
        <w:t>6145</w:t>
      </w:r>
      <w:r>
        <w:tab/>
        <w:t>Filed documents initially rejected</w:t>
      </w:r>
      <w:bookmarkEnd w:id="1657"/>
    </w:p>
    <w:p w14:paraId="3AF657F6" w14:textId="77777777" w:rsidR="00D94935" w:rsidRDefault="00D94935" w:rsidP="00D94935">
      <w:pPr>
        <w:pStyle w:val="Amain"/>
        <w:keepNext/>
      </w:pPr>
      <w:r>
        <w:tab/>
        <w:t>(1)</w:t>
      </w:r>
      <w:r>
        <w:tab/>
        <w:t>This rule applies to a document if—</w:t>
      </w:r>
    </w:p>
    <w:p w14:paraId="179945D9" w14:textId="77777777" w:rsidR="00D94935" w:rsidRDefault="00D94935" w:rsidP="00D94935">
      <w:pPr>
        <w:pStyle w:val="Apara"/>
        <w:keepNext/>
      </w:pPr>
      <w:r>
        <w:tab/>
        <w:t>(a)</w:t>
      </w:r>
      <w:r>
        <w:tab/>
        <w:t>the registrar rejects the document under this division; but</w:t>
      </w:r>
    </w:p>
    <w:p w14:paraId="6E194243" w14:textId="77777777" w:rsidR="00D94935" w:rsidRDefault="00D94935" w:rsidP="00D94935">
      <w:pPr>
        <w:pStyle w:val="Apara"/>
        <w:keepNext/>
      </w:pPr>
      <w:r>
        <w:tab/>
        <w:t>(b)</w:t>
      </w:r>
      <w:r>
        <w:tab/>
        <w:t>either—</w:t>
      </w:r>
    </w:p>
    <w:p w14:paraId="5A0FF987" w14:textId="77777777" w:rsidR="00D94935" w:rsidRDefault="00D94935" w:rsidP="00D94935">
      <w:pPr>
        <w:pStyle w:val="Asubpara"/>
      </w:pPr>
      <w:r>
        <w:tab/>
        <w:t>(i)</w:t>
      </w:r>
      <w:r>
        <w:tab/>
        <w:t>the registrar subsequently accepts the document; or</w:t>
      </w:r>
    </w:p>
    <w:p w14:paraId="31E48D2E" w14:textId="77777777" w:rsidR="00D94935" w:rsidRDefault="00D94935" w:rsidP="00D94935">
      <w:pPr>
        <w:pStyle w:val="Asubpara"/>
      </w:pPr>
      <w:r>
        <w:tab/>
        <w:t>(ii)</w:t>
      </w:r>
      <w:r>
        <w:tab/>
        <w:t>the court or a judicial officer subsequently directs the registrar to accept the document.</w:t>
      </w:r>
    </w:p>
    <w:p w14:paraId="2808EF16" w14:textId="77777777" w:rsidR="00D94935" w:rsidRDefault="00D94935" w:rsidP="00D94935">
      <w:pPr>
        <w:pStyle w:val="Amain"/>
      </w:pPr>
      <w:r>
        <w:tab/>
        <w:t>(2)</w:t>
      </w:r>
      <w:r>
        <w:tab/>
        <w:t>The registrar must record the filing of the document in the court and, if appropriate, seal or stamp the document.</w:t>
      </w:r>
    </w:p>
    <w:p w14:paraId="1985136A" w14:textId="3D3F1126" w:rsidR="00861837" w:rsidRPr="00C1177F" w:rsidRDefault="00861837" w:rsidP="00F13D87">
      <w:pPr>
        <w:pStyle w:val="Amain"/>
        <w:keepNext/>
      </w:pPr>
      <w:r w:rsidRPr="00C1177F">
        <w:lastRenderedPageBreak/>
        <w:tab/>
        <w:t>(3)</w:t>
      </w:r>
      <w:r w:rsidRPr="00C1177F">
        <w:tab/>
        <w:t>If the registrar records the filing of the document, the registrar must—</w:t>
      </w:r>
    </w:p>
    <w:p w14:paraId="21467ABD" w14:textId="77777777" w:rsidR="00861837" w:rsidRPr="00C1177F" w:rsidRDefault="00861837" w:rsidP="00861837">
      <w:pPr>
        <w:pStyle w:val="Apara"/>
      </w:pPr>
      <w:r w:rsidRPr="00C1177F">
        <w:tab/>
        <w:t>(a)</w:t>
      </w:r>
      <w:r w:rsidRPr="00C1177F">
        <w:tab/>
        <w:t>if the document is filed in paper form—return any copies of the document filed with the document for sealing or stamping; or</w:t>
      </w:r>
    </w:p>
    <w:p w14:paraId="27DF651A" w14:textId="77777777" w:rsidR="00861837" w:rsidRPr="00C1177F" w:rsidRDefault="00861837" w:rsidP="00861837">
      <w:pPr>
        <w:pStyle w:val="Apara"/>
      </w:pPr>
      <w:r w:rsidRPr="00C1177F">
        <w:tab/>
        <w:t>(b)</w:t>
      </w:r>
      <w:r w:rsidRPr="00C1177F">
        <w:tab/>
        <w:t>if the document is filed in electronic form—give written notice of the acceptance of the document.</w:t>
      </w:r>
    </w:p>
    <w:p w14:paraId="29C045F0" w14:textId="77777777" w:rsidR="00D94935" w:rsidRDefault="00D94935" w:rsidP="00D94935">
      <w:pPr>
        <w:pStyle w:val="Amain"/>
        <w:keepNext/>
      </w:pPr>
      <w:r>
        <w:tab/>
        <w:t>(4)</w:t>
      </w:r>
      <w:r>
        <w:tab/>
        <w:t>The document is taken to have been filed in the court on the day it would have been filed if the registrar had not rejected the document.</w:t>
      </w:r>
    </w:p>
    <w:p w14:paraId="5047D271" w14:textId="77777777" w:rsidR="00D94935" w:rsidRDefault="00D94935" w:rsidP="00D94935">
      <w:pPr>
        <w:pStyle w:val="aNote"/>
      </w:pPr>
      <w:r w:rsidRPr="006364FA">
        <w:rPr>
          <w:rStyle w:val="charItals"/>
        </w:rPr>
        <w:t>Note</w:t>
      </w:r>
      <w:r w:rsidRPr="006364FA">
        <w:rPr>
          <w:rStyle w:val="charItals"/>
        </w:rPr>
        <w:tab/>
      </w:r>
      <w:r>
        <w:t>Rule 6126 (2) (Date of filing) deals with the date of filing.</w:t>
      </w:r>
    </w:p>
    <w:p w14:paraId="6E61131D" w14:textId="77777777" w:rsidR="00D94935" w:rsidRDefault="00D94935" w:rsidP="00D94935">
      <w:pPr>
        <w:pStyle w:val="Amain"/>
      </w:pPr>
      <w:r>
        <w:tab/>
        <w:t>(5)</w:t>
      </w:r>
      <w:r>
        <w:tab/>
        <w:t>If the document is rejected by the registrar (whether or not more than once), the document is taken to have been filed in the court on the day it was first filed.</w:t>
      </w:r>
    </w:p>
    <w:p w14:paraId="3AFDCC6A" w14:textId="77777777" w:rsidR="00D94935" w:rsidRDefault="00D94935" w:rsidP="00D94935">
      <w:pPr>
        <w:pStyle w:val="PageBreak"/>
      </w:pPr>
      <w:r>
        <w:br w:type="page"/>
      </w:r>
    </w:p>
    <w:p w14:paraId="3597D0A1" w14:textId="77777777" w:rsidR="00D94935" w:rsidRPr="00C8328B" w:rsidRDefault="00D94935" w:rsidP="00D94935">
      <w:pPr>
        <w:pStyle w:val="AH2Part"/>
      </w:pPr>
      <w:bookmarkStart w:id="1658" w:name="_Toc185515274"/>
      <w:r w:rsidRPr="00C8328B">
        <w:rPr>
          <w:rStyle w:val="CharPartNo"/>
        </w:rPr>
        <w:lastRenderedPageBreak/>
        <w:t>Part 6.5</w:t>
      </w:r>
      <w:r>
        <w:tab/>
      </w:r>
      <w:r w:rsidRPr="00C8328B">
        <w:rPr>
          <w:rStyle w:val="CharPartText"/>
        </w:rPr>
        <w:t>Registrar</w:t>
      </w:r>
      <w:bookmarkEnd w:id="1658"/>
    </w:p>
    <w:p w14:paraId="181485F9" w14:textId="77777777" w:rsidR="00353D2C" w:rsidRDefault="00353D2C" w:rsidP="00DB23AE">
      <w:pPr>
        <w:pStyle w:val="Placeholder"/>
        <w:suppressLineNumbers/>
      </w:pPr>
      <w:r>
        <w:rPr>
          <w:rStyle w:val="CharDivNo"/>
        </w:rPr>
        <w:t xml:space="preserve">  </w:t>
      </w:r>
      <w:r>
        <w:rPr>
          <w:rStyle w:val="CharDivText"/>
        </w:rPr>
        <w:t xml:space="preserve">  </w:t>
      </w:r>
    </w:p>
    <w:p w14:paraId="1C2B8D54" w14:textId="77777777" w:rsidR="00D94935" w:rsidRDefault="00D94935" w:rsidP="00D94935">
      <w:pPr>
        <w:pStyle w:val="AH5Sec"/>
      </w:pPr>
      <w:bookmarkStart w:id="1659" w:name="_Toc185515275"/>
      <w:r w:rsidRPr="00C8328B">
        <w:rPr>
          <w:rStyle w:val="CharSectNo"/>
        </w:rPr>
        <w:t>6250</w:t>
      </w:r>
      <w:r>
        <w:tab/>
        <w:t>Jurisdiction exercisable by registrar of Supreme Court</w:t>
      </w:r>
      <w:bookmarkEnd w:id="1659"/>
    </w:p>
    <w:p w14:paraId="4DD98504" w14:textId="77777777" w:rsidR="00D94935" w:rsidRDefault="00D94935" w:rsidP="00D94935">
      <w:pPr>
        <w:pStyle w:val="Amain"/>
      </w:pPr>
      <w:r>
        <w:tab/>
        <w:t>(1)</w:t>
      </w:r>
      <w:r>
        <w:tab/>
        <w:t>This rule applies only to the registrar of the Supreme Court.</w:t>
      </w:r>
    </w:p>
    <w:p w14:paraId="2CD0B874" w14:textId="77777777" w:rsidR="00D94935" w:rsidRDefault="00D94935" w:rsidP="00D94935">
      <w:pPr>
        <w:pStyle w:val="Amain"/>
        <w:keepNext/>
      </w:pPr>
      <w:r>
        <w:tab/>
        <w:t>(2)</w:t>
      </w:r>
      <w:r>
        <w:tab/>
        <w:t>The registrar may exercise the following jurisdiction of the court:</w:t>
      </w:r>
    </w:p>
    <w:p w14:paraId="5E41175A" w14:textId="77777777" w:rsidR="00E439D1" w:rsidRPr="00122C29" w:rsidRDefault="00E439D1" w:rsidP="00E439D1">
      <w:pPr>
        <w:pStyle w:val="Apara"/>
      </w:pPr>
      <w:r w:rsidRPr="00122C29">
        <w:tab/>
        <w:t>(a)</w:t>
      </w:r>
      <w:r w:rsidRPr="00122C29">
        <w:tab/>
        <w:t>to hear and decide an application in a proceeding, other than an application—</w:t>
      </w:r>
    </w:p>
    <w:p w14:paraId="0229B00A" w14:textId="77777777" w:rsidR="00E439D1" w:rsidRPr="00122C29" w:rsidRDefault="00E439D1" w:rsidP="00E439D1">
      <w:pPr>
        <w:pStyle w:val="Asubpara"/>
      </w:pPr>
      <w:r w:rsidRPr="00122C29">
        <w:tab/>
        <w:t>(i)</w:t>
      </w:r>
      <w:r w:rsidRPr="00122C29">
        <w:tab/>
        <w:t>under a provision of these rules mentioned in schedule 5, part 5.1; or</w:t>
      </w:r>
    </w:p>
    <w:p w14:paraId="14532908" w14:textId="77777777" w:rsidR="00E439D1" w:rsidRPr="00122C29" w:rsidRDefault="00E439D1" w:rsidP="00E439D1">
      <w:pPr>
        <w:pStyle w:val="Asubpara"/>
      </w:pPr>
      <w:r w:rsidRPr="00122C29">
        <w:tab/>
        <w:t>(ii)</w:t>
      </w:r>
      <w:r w:rsidRPr="00122C29">
        <w:tab/>
        <w:t>mentioned in rule 6006 (2) (c) (Application—pt 6.2) if the application is opposed;</w:t>
      </w:r>
    </w:p>
    <w:p w14:paraId="5559D0A1"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71A58E39" w14:textId="77777777" w:rsidR="00D94935" w:rsidRDefault="00D94935" w:rsidP="00D94935">
      <w:pPr>
        <w:pStyle w:val="Apara"/>
        <w:keepNext/>
      </w:pPr>
      <w:r>
        <w:tab/>
        <w:t>(b)</w:t>
      </w:r>
      <w:r>
        <w:tab/>
        <w:t>to hear and decide an originating application mentioned in any of the following provisions of these rules:</w:t>
      </w:r>
    </w:p>
    <w:p w14:paraId="774E037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14:paraId="06E7AF4C"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14:paraId="013C999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14:paraId="0CDD7C1F"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14:paraId="27EF5634"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14:paraId="23CADCE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14:paraId="388A2BA1"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7B8922C"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6ECC7980"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55E0356" w14:textId="77777777"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14:paraId="72B2BA01" w14:textId="77777777" w:rsidR="00D94935" w:rsidRDefault="00D94935" w:rsidP="00D94935">
      <w:pPr>
        <w:pStyle w:val="Apara"/>
      </w:pPr>
      <w:r>
        <w:tab/>
        <w:t>(g)</w:t>
      </w:r>
      <w:r>
        <w:tab/>
        <w:t>to hear and decide a proceeding on an application for directions under rule 1403 (Decision in proceeding);</w:t>
      </w:r>
    </w:p>
    <w:p w14:paraId="4D96A84E" w14:textId="77777777" w:rsidR="00D94935" w:rsidRDefault="00D94935" w:rsidP="00D94935">
      <w:pPr>
        <w:pStyle w:val="Apara"/>
      </w:pPr>
      <w:r>
        <w:tab/>
        <w:t>(h)</w:t>
      </w:r>
      <w:r>
        <w:tab/>
        <w:t>the setting of a date for a directions hearing under rule 1522 (Separate decisions on questions—directions);</w:t>
      </w:r>
    </w:p>
    <w:p w14:paraId="27C3A090" w14:textId="77777777" w:rsidR="00D94935" w:rsidRDefault="00D94935" w:rsidP="00D94935">
      <w:pPr>
        <w:pStyle w:val="Apara"/>
        <w:keepNext/>
      </w:pPr>
      <w:r>
        <w:tab/>
        <w:t>(i)</w:t>
      </w:r>
      <w:r>
        <w:tab/>
        <w:t>in relation to an application mentioned in any of the following rules:</w:t>
      </w:r>
    </w:p>
    <w:p w14:paraId="16F3813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14:paraId="16AFF637"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14:paraId="7785656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14:paraId="5390474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14:paraId="610B82C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14:paraId="11A4DC2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14:paraId="7C9F293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14:paraId="00FD541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14:paraId="11909F4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14:paraId="743BFA6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14:paraId="3C01436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14:paraId="1784894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14:paraId="52938372" w14:textId="77777777"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14:paraId="002682A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14:paraId="606F437E" w14:textId="77777777" w:rsidR="00D94935" w:rsidRDefault="00D94935" w:rsidP="00D94935">
      <w:pPr>
        <w:pStyle w:val="Apara"/>
      </w:pPr>
      <w:r>
        <w:tab/>
        <w:t>(j)</w:t>
      </w:r>
      <w:r>
        <w:tab/>
        <w:t>in relation to an enforcement hearing under division 2.18.3 (Enforcement of money orders—enforcement hearings);</w:t>
      </w:r>
    </w:p>
    <w:p w14:paraId="277D1829" w14:textId="77777777" w:rsidR="00D94935" w:rsidRDefault="00D94935" w:rsidP="00D94935">
      <w:pPr>
        <w:pStyle w:val="Apara"/>
      </w:pPr>
      <w:r>
        <w:tab/>
        <w:t>(k)</w:t>
      </w:r>
      <w:r>
        <w:tab/>
        <w:t>in relation to an instalment order agreement under rule 2157 (Instalment order—instalment order agreement);</w:t>
      </w:r>
    </w:p>
    <w:p w14:paraId="0514A787" w14:textId="77777777" w:rsidR="00D94935" w:rsidRDefault="00D94935" w:rsidP="00D94935">
      <w:pPr>
        <w:pStyle w:val="Apara"/>
      </w:pPr>
      <w:r>
        <w:tab/>
        <w:t>(l)</w:t>
      </w:r>
      <w:r>
        <w:tab/>
        <w:t>in relation to the giving of directions under rule 2307 (Debt redirection order—claim by someone else);</w:t>
      </w:r>
    </w:p>
    <w:p w14:paraId="046B963A" w14:textId="77777777" w:rsidR="00D94935" w:rsidRDefault="00D94935" w:rsidP="00D94935">
      <w:pPr>
        <w:pStyle w:val="Apara"/>
      </w:pPr>
      <w:r>
        <w:tab/>
        <w:t>(m)</w:t>
      </w:r>
      <w:r>
        <w:tab/>
        <w:t>in relation to a notice of objection under rule 2311 (Debt redirection order—third person disputes liability);</w:t>
      </w:r>
    </w:p>
    <w:p w14:paraId="2E6EDAAE" w14:textId="77777777" w:rsidR="00D94935" w:rsidRDefault="00D94935" w:rsidP="00D94935">
      <w:pPr>
        <w:pStyle w:val="Apara"/>
      </w:pPr>
      <w:r>
        <w:tab/>
        <w:t>(n)</w:t>
      </w:r>
      <w:r>
        <w:tab/>
        <w:t>under division 2.20.2 (Taking of accounts), division 2.20.3 (Making of inquiries) and division 2.20.4 (Executors, administrators and trustees—accounts and commission);</w:t>
      </w:r>
    </w:p>
    <w:p w14:paraId="6DC8141C" w14:textId="194CECD5"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8"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14:paraId="2FB85A47" w14:textId="77777777" w:rsidR="00D94935" w:rsidRDefault="00D94935" w:rsidP="00D94935">
      <w:pPr>
        <w:pStyle w:val="Apara"/>
      </w:pPr>
      <w:r>
        <w:tab/>
        <w:t>(p)</w:t>
      </w:r>
      <w:r>
        <w:tab/>
        <w:t>in relation to an application mentioned in rule 3080 (3) (Revocation of grant—urgent order before start of proceeding);</w:t>
      </w:r>
    </w:p>
    <w:p w14:paraId="4E6C230B" w14:textId="77777777" w:rsidR="00D94935" w:rsidRDefault="00D94935" w:rsidP="00D94935">
      <w:pPr>
        <w:pStyle w:val="Apara"/>
      </w:pPr>
      <w:r>
        <w:tab/>
        <w:t>(q)</w:t>
      </w:r>
      <w:r>
        <w:tab/>
        <w:t>in relation to an application under part 3.8 (Foreign judgments—reciprocal enforcement);</w:t>
      </w:r>
    </w:p>
    <w:p w14:paraId="25894141" w14:textId="77777777" w:rsidR="00D94935" w:rsidRDefault="00D94935" w:rsidP="00D94935">
      <w:pPr>
        <w:pStyle w:val="Apara"/>
      </w:pPr>
      <w:r>
        <w:tab/>
        <w:t>(r)</w:t>
      </w:r>
      <w:r>
        <w:tab/>
        <w:t>in relation to the giving of directions under rule 3565 (Judicial review—directions on return date);</w:t>
      </w:r>
    </w:p>
    <w:p w14:paraId="1D990F71"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13F217B4" w14:textId="77777777"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14:paraId="498409F7" w14:textId="77777777"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14:paraId="4CA3351E" w14:textId="5B6C0536" w:rsidR="00D94935" w:rsidRDefault="00FE430C" w:rsidP="00D94935">
      <w:pPr>
        <w:pStyle w:val="Apara"/>
      </w:pPr>
      <w:r>
        <w:tab/>
        <w:t>(</w:t>
      </w:r>
      <w:r w:rsidR="00AE72B5">
        <w:t>v</w:t>
      </w:r>
      <w:r>
        <w:t>)</w:t>
      </w:r>
      <w:r w:rsidR="00D94935">
        <w:tab/>
        <w:t>in relation to an application under rule 6439 (Service of originating application to recover unoccupied land);</w:t>
      </w:r>
    </w:p>
    <w:p w14:paraId="2C39989D" w14:textId="52F7B208" w:rsidR="00D94935" w:rsidRDefault="00D94935" w:rsidP="00D94935">
      <w:pPr>
        <w:pStyle w:val="Apara"/>
      </w:pPr>
      <w:r>
        <w:tab/>
        <w:t>(</w:t>
      </w:r>
      <w:r w:rsidR="00AE72B5">
        <w:t>w</w:t>
      </w:r>
      <w:r>
        <w:t>)</w:t>
      </w:r>
      <w:r>
        <w:tab/>
        <w:t xml:space="preserve">in relation to an application for leave under </w:t>
      </w:r>
      <w:r w:rsidRPr="002C194E">
        <w:t>rule 6482 (Subpoena—service on special witness)</w:t>
      </w:r>
      <w:r>
        <w:t>;</w:t>
      </w:r>
    </w:p>
    <w:p w14:paraId="38A09B46" w14:textId="598E256A" w:rsidR="00D94935" w:rsidRDefault="00D94935" w:rsidP="00D94935">
      <w:pPr>
        <w:pStyle w:val="Apara"/>
      </w:pPr>
      <w:r>
        <w:tab/>
        <w:t>(</w:t>
      </w:r>
      <w:r w:rsidR="00AE72B5">
        <w:t>x</w:t>
      </w:r>
      <w:r>
        <w:t>)</w:t>
      </w:r>
      <w:r>
        <w:tab/>
        <w:t>in relation to an application for leave under rule 6603 (Subpoena to produce—leave to serve late).</w:t>
      </w:r>
    </w:p>
    <w:p w14:paraId="047196EA" w14:textId="77777777" w:rsidR="00D94935" w:rsidRDefault="00D94935" w:rsidP="00D94935">
      <w:pPr>
        <w:pStyle w:val="Amain"/>
      </w:pPr>
      <w:r>
        <w:tab/>
        <w:t>(3)</w:t>
      </w:r>
      <w:r>
        <w:tab/>
        <w:t>The registrar may also exercise the following jurisdiction of the court:</w:t>
      </w:r>
    </w:p>
    <w:p w14:paraId="14B73141" w14:textId="565B6B03" w:rsidR="00D94935" w:rsidRDefault="00D94935" w:rsidP="00D94935">
      <w:pPr>
        <w:pStyle w:val="Apara"/>
      </w:pPr>
      <w:r>
        <w:tab/>
        <w:t>(a)</w:t>
      </w:r>
      <w:r>
        <w:tab/>
        <w:t xml:space="preserve">under a provision of the </w:t>
      </w:r>
      <w:hyperlink r:id="rId769" w:tooltip="Act 2001 No 51 (Cwlth)" w:history="1">
        <w:r w:rsidRPr="00313D68">
          <w:rPr>
            <w:rStyle w:val="charCitHyperlinkItal"/>
          </w:rPr>
          <w:t>Australian Securities and Investments Commission Act 2001</w:t>
        </w:r>
      </w:hyperlink>
      <w:r>
        <w:t xml:space="preserve"> (Cwlth) mentioned in column 2 of an item in schedule 5, part 5.3;</w:t>
      </w:r>
    </w:p>
    <w:p w14:paraId="52E93E76" w14:textId="0BF5D9E6"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70" w:tooltip="A1992-8" w:history="1">
        <w:r w:rsidRPr="006364FA">
          <w:rPr>
            <w:rStyle w:val="charCitHyperlinkItal"/>
          </w:rPr>
          <w:t>Bail Act 1992</w:t>
        </w:r>
      </w:hyperlink>
      <w:r w:rsidRPr="00C754DF">
        <w:rPr>
          <w:rFonts w:ascii="TimesNewRomanPSMT" w:hAnsi="TimesNewRomanPSMT" w:cs="TimesNewRomanPSMT"/>
          <w:szCs w:val="24"/>
          <w:lang w:eastAsia="en-AU"/>
        </w:rPr>
        <w:t>:</w:t>
      </w:r>
    </w:p>
    <w:p w14:paraId="590E2961" w14:textId="77777777"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14:paraId="0F565964" w14:textId="77777777"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14:paraId="7EAFFB0F" w14:textId="49FF8B5C" w:rsidR="00D94935" w:rsidRPr="00284A0B" w:rsidRDefault="00D94935" w:rsidP="00D94935">
      <w:pPr>
        <w:pStyle w:val="Apara"/>
      </w:pPr>
      <w:r w:rsidRPr="00284A0B">
        <w:tab/>
        <w:t>(</w:t>
      </w:r>
      <w:r>
        <w:t>c</w:t>
      </w:r>
      <w:r w:rsidRPr="00284A0B">
        <w:t>)</w:t>
      </w:r>
      <w:r w:rsidRPr="00284A0B">
        <w:tab/>
        <w:t xml:space="preserve">under the </w:t>
      </w:r>
      <w:hyperlink r:id="rId771" w:tooltip="A2008-19" w:history="1">
        <w:r w:rsidRPr="00284A0B">
          <w:rPr>
            <w:rStyle w:val="charCitHyperlinkItal"/>
          </w:rPr>
          <w:t>Children and Young People Act 2008</w:t>
        </w:r>
      </w:hyperlink>
      <w:r w:rsidRPr="00284A0B">
        <w:t>, section 876A (Power of court to bring young detainee before it—civil proceeding);</w:t>
      </w:r>
    </w:p>
    <w:p w14:paraId="5D84A2D4" w14:textId="6078732A" w:rsidR="00982F5F" w:rsidRPr="00A60754" w:rsidRDefault="00982F5F" w:rsidP="00982F5F">
      <w:pPr>
        <w:pStyle w:val="Apara"/>
      </w:pPr>
      <w:r w:rsidRPr="00A60754">
        <w:tab/>
        <w:t>(</w:t>
      </w:r>
      <w:r w:rsidR="00F83F0B">
        <w:t>d</w:t>
      </w:r>
      <w:r w:rsidRPr="00A60754">
        <w:t>)</w:t>
      </w:r>
      <w:r w:rsidRPr="00A60754">
        <w:tab/>
        <w:t xml:space="preserve">under the </w:t>
      </w:r>
      <w:hyperlink r:id="rId772" w:tooltip="A2017-7" w:history="1">
        <w:r w:rsidRPr="00A60754">
          <w:rPr>
            <w:rStyle w:val="charCitHyperlinkItal"/>
          </w:rPr>
          <w:t>Commercial Arbitration Act 2017</w:t>
        </w:r>
      </w:hyperlink>
      <w:r w:rsidRPr="00A60754">
        <w:t>, section 27A (Parties may obtain subpoenas);</w:t>
      </w:r>
    </w:p>
    <w:p w14:paraId="44678944" w14:textId="4494235F" w:rsidR="00D94935" w:rsidRPr="0023482E" w:rsidRDefault="00D94935" w:rsidP="00D94935">
      <w:pPr>
        <w:pStyle w:val="Apara"/>
      </w:pPr>
      <w:r w:rsidRPr="0023482E">
        <w:tab/>
        <w:t>(</w:t>
      </w:r>
      <w:r w:rsidR="00F83F0B">
        <w:t>e</w:t>
      </w:r>
      <w:r w:rsidRPr="0023482E">
        <w:t>)</w:t>
      </w:r>
      <w:r w:rsidRPr="0023482E">
        <w:tab/>
        <w:t xml:space="preserve">under the </w:t>
      </w:r>
      <w:hyperlink r:id="rId773" w:tooltip="A2007-15" w:history="1">
        <w:r w:rsidRPr="0023482E">
          <w:rPr>
            <w:rStyle w:val="charCitHyperlinkItal"/>
          </w:rPr>
          <w:t>Corrections Management Act 2007</w:t>
        </w:r>
      </w:hyperlink>
      <w:r w:rsidRPr="0023482E">
        <w:t>, section 217A (Power of court to bring detainee before it—civil proceeding);</w:t>
      </w:r>
    </w:p>
    <w:p w14:paraId="5309BEE8" w14:textId="4A22A0F9" w:rsidR="00D94935" w:rsidRDefault="00D94935" w:rsidP="00D94935">
      <w:pPr>
        <w:pStyle w:val="Apara"/>
      </w:pPr>
      <w:r>
        <w:lastRenderedPageBreak/>
        <w:tab/>
        <w:t>(</w:t>
      </w:r>
      <w:r w:rsidR="00F83F0B">
        <w:t>f</w:t>
      </w:r>
      <w:r>
        <w:t>)</w:t>
      </w:r>
      <w:r>
        <w:tab/>
        <w:t xml:space="preserve">under a provision of the </w:t>
      </w:r>
      <w:hyperlink r:id="rId774" w:tooltip="Act 2001 No 50 (Cwlth)" w:history="1">
        <w:r w:rsidRPr="00D74CAB">
          <w:rPr>
            <w:rStyle w:val="charCitHyperlinkAbbrev"/>
          </w:rPr>
          <w:t>Corporations Act</w:t>
        </w:r>
      </w:hyperlink>
      <w:r>
        <w:t xml:space="preserve"> mentioned in column</w:t>
      </w:r>
      <w:r w:rsidR="00671CF3">
        <w:t> </w:t>
      </w:r>
      <w:r>
        <w:t>2, or a provision of schedule 6 mentioned in column 3, of an item in schedule 5, part 5.2;</w:t>
      </w:r>
    </w:p>
    <w:p w14:paraId="37EDB5E1" w14:textId="15589D37" w:rsidR="00D94935" w:rsidRDefault="00D94935" w:rsidP="00D94935">
      <w:pPr>
        <w:pStyle w:val="Apara"/>
      </w:pPr>
      <w:r>
        <w:tab/>
        <w:t>(</w:t>
      </w:r>
      <w:r w:rsidR="00F83F0B">
        <w:t>g</w:t>
      </w:r>
      <w:r w:rsidRPr="00284A0B">
        <w:t>)</w:t>
      </w:r>
      <w:r w:rsidRPr="00284A0B">
        <w:tab/>
        <w:t xml:space="preserve">under the </w:t>
      </w:r>
      <w:hyperlink r:id="rId775" w:tooltip="A2004-59" w:history="1">
        <w:r w:rsidRPr="00284A0B">
          <w:rPr>
            <w:rStyle w:val="charCitHyperlinkItal"/>
          </w:rPr>
          <w:t>Court Procedures Act 2004</w:t>
        </w:r>
      </w:hyperlink>
      <w:r w:rsidRPr="00284A0B">
        <w:t>, section 79E (Court may waive requirements);</w:t>
      </w:r>
    </w:p>
    <w:p w14:paraId="35674C49" w14:textId="62466648" w:rsidR="00E439D1" w:rsidRPr="00122C29" w:rsidRDefault="00E439D1" w:rsidP="00E439D1">
      <w:pPr>
        <w:pStyle w:val="Apara"/>
      </w:pPr>
      <w:r>
        <w:tab/>
        <w:t>(</w:t>
      </w:r>
      <w:r w:rsidR="00F83F0B">
        <w:t>h</w:t>
      </w:r>
      <w:r w:rsidRPr="00122C29">
        <w:t>)</w:t>
      </w:r>
      <w:r w:rsidRPr="00122C29">
        <w:tab/>
      </w:r>
      <w:r w:rsidRPr="00122C29">
        <w:rPr>
          <w:rFonts w:ascii="TimesNewRomanPSMT" w:hAnsi="TimesNewRomanPSMT" w:cs="TimesNewRomanPSMT"/>
          <w:szCs w:val="24"/>
          <w:lang w:eastAsia="en-AU"/>
        </w:rPr>
        <w:t xml:space="preserve">under the </w:t>
      </w:r>
      <w:hyperlink r:id="rId776"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14:paraId="56E6544D" w14:textId="3483534C" w:rsidR="00D94935" w:rsidRPr="00C754DF" w:rsidRDefault="00D94935" w:rsidP="00D94935">
      <w:pPr>
        <w:pStyle w:val="Apara"/>
        <w:rPr>
          <w:lang w:eastAsia="en-AU"/>
        </w:rPr>
      </w:pPr>
      <w:r w:rsidRPr="00C754DF">
        <w:rPr>
          <w:lang w:eastAsia="en-AU"/>
        </w:rPr>
        <w:tab/>
        <w:t>(</w:t>
      </w:r>
      <w:r w:rsidR="00F83F0B">
        <w:rPr>
          <w:lang w:eastAsia="en-AU"/>
        </w:rPr>
        <w:t>i</w:t>
      </w:r>
      <w:r w:rsidRPr="00C754DF">
        <w:rPr>
          <w:lang w:eastAsia="en-AU"/>
        </w:rPr>
        <w:t>)</w:t>
      </w:r>
      <w:r w:rsidRPr="00C754DF">
        <w:rPr>
          <w:lang w:eastAsia="en-AU"/>
        </w:rPr>
        <w:tab/>
        <w:t xml:space="preserve">under the </w:t>
      </w:r>
      <w:hyperlink r:id="rId777"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14:paraId="5D3CE843" w14:textId="26D952E9" w:rsidR="00AD15D8" w:rsidRPr="00944207" w:rsidRDefault="00AD15D8" w:rsidP="00AD15D8">
      <w:pPr>
        <w:pStyle w:val="Apara"/>
      </w:pPr>
      <w:r w:rsidRPr="00944207">
        <w:tab/>
        <w:t>(</w:t>
      </w:r>
      <w:r w:rsidR="00F83F0B">
        <w:t>j</w:t>
      </w:r>
      <w:r w:rsidRPr="00944207">
        <w:t>)</w:t>
      </w:r>
      <w:r w:rsidRPr="00944207">
        <w:tab/>
        <w:t xml:space="preserve">under the following provisions of the </w:t>
      </w:r>
      <w:hyperlink r:id="rId778" w:tooltip="A1991-34" w:history="1">
        <w:r w:rsidRPr="00944207">
          <w:rPr>
            <w:rStyle w:val="charCitHyperlinkItal"/>
          </w:rPr>
          <w:t>Evidence (Miscellaneous Provisions) Act 1991</w:t>
        </w:r>
      </w:hyperlink>
      <w:r w:rsidRPr="00944207">
        <w:t>:</w:t>
      </w:r>
    </w:p>
    <w:p w14:paraId="04A72776" w14:textId="77777777" w:rsidR="00AD15D8" w:rsidRPr="00944207" w:rsidRDefault="00AD15D8" w:rsidP="00AD15D8">
      <w:pPr>
        <w:pStyle w:val="Aparabullet"/>
        <w:tabs>
          <w:tab w:val="left" w:pos="2000"/>
        </w:tabs>
        <w:rPr>
          <w:rFonts w:ascii="TimesNewRomanPSMT" w:hAnsi="TimesNewRomanPSMT" w:cs="TimesNewRomanPSMT"/>
          <w:lang w:eastAsia="en-AU"/>
        </w:rPr>
      </w:pPr>
      <w:r w:rsidRPr="00944207">
        <w:rPr>
          <w:rFonts w:ascii="Symbol" w:hAnsi="Symbol" w:cs="TimesNewRomanPSMT"/>
          <w:sz w:val="20"/>
          <w:lang w:eastAsia="en-AU"/>
        </w:rPr>
        <w:t></w:t>
      </w:r>
      <w:r w:rsidRPr="00944207">
        <w:rPr>
          <w:rFonts w:ascii="Symbol" w:hAnsi="Symbol" w:cs="TimesNewRomanPSMT"/>
          <w:sz w:val="20"/>
          <w:lang w:eastAsia="en-AU"/>
        </w:rPr>
        <w:tab/>
      </w:r>
      <w:r w:rsidRPr="00944207">
        <w:rPr>
          <w:rFonts w:ascii="TimesNewRomanPSMT" w:hAnsi="TimesNewRomanPSMT" w:cs="TimesNewRomanPSMT"/>
          <w:lang w:eastAsia="en-AU"/>
        </w:rPr>
        <w:t>section 4AB (Direction to hold ground rules hearing)</w:t>
      </w:r>
    </w:p>
    <w:p w14:paraId="1BA19A88"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4AC (Ground rules hearings—time limits)</w:t>
      </w:r>
    </w:p>
    <w:p w14:paraId="21B223E2"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4AD (Ground rules hearings—who must attend)</w:t>
      </w:r>
    </w:p>
    <w:p w14:paraId="4A174BB9"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4AE (Ground rules hearings—intermediary’s report)</w:t>
      </w:r>
    </w:p>
    <w:p w14:paraId="7AC0E201"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4AJ (Appointment of witness intermediary—generally)</w:t>
      </w:r>
    </w:p>
    <w:p w14:paraId="54AB2C7C"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4AK (Appointment of witness intermediary—prescribed witnesses);</w:t>
      </w:r>
    </w:p>
    <w:p w14:paraId="45D66F15" w14:textId="2FCEBE79" w:rsidR="00D94935" w:rsidRDefault="00E439D1" w:rsidP="00D94935">
      <w:pPr>
        <w:pStyle w:val="Apara"/>
      </w:pPr>
      <w:r>
        <w:tab/>
        <w:t>(</w:t>
      </w:r>
      <w:r w:rsidR="00F83F0B">
        <w:t>k</w:t>
      </w:r>
      <w:r w:rsidR="00D94935">
        <w:t>)</w:t>
      </w:r>
      <w:r w:rsidR="00D94935">
        <w:tab/>
        <w:t xml:space="preserve">under the </w:t>
      </w:r>
      <w:hyperlink r:id="rId779" w:tooltip="A2006-25" w:history="1">
        <w:r w:rsidR="00D94935" w:rsidRPr="006364FA">
          <w:rPr>
            <w:rStyle w:val="charCitHyperlinkItal"/>
          </w:rPr>
          <w:t>Legal Profession Act 2006</w:t>
        </w:r>
      </w:hyperlink>
      <w:r w:rsidR="00D94935">
        <w:t>, division 3.2.7 (Costs assessment);</w:t>
      </w:r>
    </w:p>
    <w:p w14:paraId="4E7050E5" w14:textId="7C6FFEF8" w:rsidR="00D94935" w:rsidRDefault="00E439D1" w:rsidP="00D94935">
      <w:pPr>
        <w:pStyle w:val="Apara"/>
        <w:keepNext/>
      </w:pPr>
      <w:r>
        <w:tab/>
        <w:t>(</w:t>
      </w:r>
      <w:r w:rsidR="00F83F0B">
        <w:t>l</w:t>
      </w:r>
      <w:r w:rsidR="00D94935">
        <w:t>)</w:t>
      </w:r>
      <w:r w:rsidR="00D94935">
        <w:tab/>
        <w:t xml:space="preserve">under the following provisions of the </w:t>
      </w:r>
      <w:hyperlink r:id="rId780" w:tooltip="Act 1992 No 172 (Cwlth)" w:history="1">
        <w:r w:rsidR="00D94935" w:rsidRPr="00AA6A10">
          <w:rPr>
            <w:rStyle w:val="charCitHyperlinkItal"/>
          </w:rPr>
          <w:t>Service and Execution of Process Act 1992</w:t>
        </w:r>
      </w:hyperlink>
      <w:r w:rsidR="00D94935">
        <w:t xml:space="preserve"> (Cwlth):</w:t>
      </w:r>
    </w:p>
    <w:p w14:paraId="45DC39FB"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11 (8) (Proof of service)</w:t>
      </w:r>
    </w:p>
    <w:p w14:paraId="2CA93564"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17 (1) (b) (Time for appearance)</w:t>
      </w:r>
    </w:p>
    <w:p w14:paraId="727203AF"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30 (1) (b) (Time for service)</w:t>
      </w:r>
    </w:p>
    <w:p w14:paraId="1B043FEC"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14:paraId="0D14F137"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14:paraId="77769276" w14:textId="77777777"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14:paraId="1ADD9DA6" w14:textId="500B077F" w:rsidR="00D94935" w:rsidRPr="002B175D" w:rsidRDefault="00D94935" w:rsidP="00451017">
      <w:pPr>
        <w:pStyle w:val="Apara"/>
        <w:keepNext/>
      </w:pPr>
      <w:r w:rsidRPr="002B175D">
        <w:lastRenderedPageBreak/>
        <w:tab/>
        <w:t>(</w:t>
      </w:r>
      <w:r w:rsidR="00F83F0B">
        <w:t>m</w:t>
      </w:r>
      <w:r w:rsidRPr="002B175D">
        <w:t>)</w:t>
      </w:r>
      <w:r w:rsidRPr="002B175D">
        <w:tab/>
        <w:t xml:space="preserve">under the </w:t>
      </w:r>
      <w:hyperlink r:id="rId781" w:tooltip="A1933-34" w:history="1">
        <w:r w:rsidRPr="006364FA">
          <w:rPr>
            <w:rStyle w:val="charCitHyperlinkItal"/>
          </w:rPr>
          <w:t>Supreme Court Act 1933</w:t>
        </w:r>
      </w:hyperlink>
      <w:r w:rsidRPr="002B175D">
        <w:t>, section 55A (Hearing of bail applications).</w:t>
      </w:r>
    </w:p>
    <w:p w14:paraId="42F5A89F" w14:textId="77777777"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14:paraId="6552A1E5" w14:textId="77777777" w:rsidR="00D94935" w:rsidRDefault="00D94935" w:rsidP="00235652">
      <w:pPr>
        <w:pStyle w:val="Amain"/>
        <w:keepNext/>
      </w:pPr>
      <w:r>
        <w:tab/>
        <w:t>(4)</w:t>
      </w:r>
      <w:r>
        <w:tab/>
        <w:t xml:space="preserve">The registrar may exercise the jurisdiction of the Court of Appeal </w:t>
      </w:r>
      <w:r w:rsidRPr="007741D3">
        <w:t>in relation to the conduct of a callover and</w:t>
      </w:r>
      <w:r>
        <w:t xml:space="preserve"> under the following provisions:</w:t>
      </w:r>
    </w:p>
    <w:p w14:paraId="2E19A8A2" w14:textId="77777777"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14:paraId="29670B8C" w14:textId="77777777"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14:paraId="7132B247" w14:textId="77777777"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14:paraId="40EE4561" w14:textId="77777777" w:rsidR="00D94935" w:rsidRDefault="00D94935" w:rsidP="00D94935">
      <w:pPr>
        <w:pStyle w:val="Amain"/>
        <w:keepLines/>
      </w:pPr>
      <w:r>
        <w:tab/>
        <w:t>(5)</w:t>
      </w:r>
      <w:r>
        <w:tab/>
        <w:t>If the registrar may exercise the jurisdiction of the court to hear and decide an application in a proceeding about a matter under subrule (2)</w:t>
      </w:r>
      <w:r w:rsidR="00671CF3">
        <w:t> </w:t>
      </w:r>
      <w:r>
        <w:t>(a), the registrar may, on the registrar’s own initiative, exercise the jurisdiction of the court in relation to the matter even if there is no application.</w:t>
      </w:r>
    </w:p>
    <w:p w14:paraId="0FE8702F" w14:textId="77777777" w:rsidR="00D94935" w:rsidRDefault="00D94935" w:rsidP="000D2B01">
      <w:pPr>
        <w:pStyle w:val="Amain"/>
        <w:keepLines/>
      </w:pPr>
      <w:r>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63247BA9" w14:textId="77777777" w:rsidR="00D94935" w:rsidRDefault="00D94935" w:rsidP="00D94935">
      <w:pPr>
        <w:pStyle w:val="aExamHdgss"/>
      </w:pPr>
      <w:r>
        <w:t>Example of thing court could do</w:t>
      </w:r>
    </w:p>
    <w:p w14:paraId="09A8F244" w14:textId="77777777" w:rsidR="00D94935" w:rsidRDefault="00D94935" w:rsidP="00D94935">
      <w:pPr>
        <w:pStyle w:val="aExamss"/>
      </w:pPr>
      <w:r>
        <w:t>issue warrant</w:t>
      </w:r>
    </w:p>
    <w:p w14:paraId="3162D573" w14:textId="77777777" w:rsidR="00D94935" w:rsidRDefault="00D94935" w:rsidP="00D94935">
      <w:pPr>
        <w:pStyle w:val="AH5Sec"/>
      </w:pPr>
      <w:bookmarkStart w:id="1660" w:name="_Toc185515276"/>
      <w:r w:rsidRPr="00C8328B">
        <w:rPr>
          <w:rStyle w:val="CharSectNo"/>
        </w:rPr>
        <w:lastRenderedPageBreak/>
        <w:t>6251</w:t>
      </w:r>
      <w:r>
        <w:tab/>
        <w:t>Jurisdiction exercisable by registrar of Magistrates Court</w:t>
      </w:r>
      <w:bookmarkEnd w:id="1660"/>
    </w:p>
    <w:p w14:paraId="37A35FD7" w14:textId="77777777" w:rsidR="00D94935" w:rsidRDefault="00D94935" w:rsidP="00F72701">
      <w:pPr>
        <w:pStyle w:val="Amain"/>
        <w:keepNext/>
      </w:pPr>
      <w:r>
        <w:tab/>
        <w:t>(1)</w:t>
      </w:r>
      <w:r>
        <w:tab/>
        <w:t>This rule applies only to the registrar of the Magistrates Court.</w:t>
      </w:r>
    </w:p>
    <w:p w14:paraId="11A08463" w14:textId="77777777" w:rsidR="00D94935" w:rsidRDefault="00D94935" w:rsidP="00F72701">
      <w:pPr>
        <w:pStyle w:val="Amain"/>
        <w:keepNext/>
      </w:pPr>
      <w:r>
        <w:tab/>
        <w:t>(2)</w:t>
      </w:r>
      <w:r>
        <w:tab/>
        <w:t>The registrar may exercise the following jurisdiction of the court:</w:t>
      </w:r>
    </w:p>
    <w:p w14:paraId="5603962A" w14:textId="77777777" w:rsidR="00E439D1" w:rsidRPr="00122C29" w:rsidRDefault="00E439D1" w:rsidP="00C20599">
      <w:pPr>
        <w:pStyle w:val="Apara"/>
        <w:keepNext/>
      </w:pPr>
      <w:r w:rsidRPr="00122C29">
        <w:tab/>
        <w:t>(a)</w:t>
      </w:r>
      <w:r w:rsidRPr="00122C29">
        <w:tab/>
        <w:t>to hear and decide an application in a proceeding, other than an application—</w:t>
      </w:r>
    </w:p>
    <w:p w14:paraId="62A4BF0B" w14:textId="77777777" w:rsidR="00E439D1" w:rsidRPr="00122C29" w:rsidRDefault="00E439D1" w:rsidP="00E439D1">
      <w:pPr>
        <w:pStyle w:val="Asubpara"/>
      </w:pPr>
      <w:r w:rsidRPr="00122C29">
        <w:tab/>
        <w:t>(i)</w:t>
      </w:r>
      <w:r w:rsidRPr="00122C29">
        <w:tab/>
        <w:t>under a provision of these rules mentioned in schedule 5, part 5.4; or</w:t>
      </w:r>
    </w:p>
    <w:p w14:paraId="6541F783" w14:textId="77777777" w:rsidR="00E439D1" w:rsidRPr="00122C29" w:rsidRDefault="00E439D1" w:rsidP="00E439D1">
      <w:pPr>
        <w:pStyle w:val="Asubpara"/>
      </w:pPr>
      <w:r w:rsidRPr="00122C29">
        <w:tab/>
        <w:t>(ii)</w:t>
      </w:r>
      <w:r w:rsidRPr="00122C29">
        <w:tab/>
        <w:t>mentioned in rule 6006 (2) (c) (Application—pt 6.2) if the application is opposed;</w:t>
      </w:r>
    </w:p>
    <w:p w14:paraId="2EC159B9"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4A9BCEB8" w14:textId="77777777" w:rsidR="00D94935" w:rsidRDefault="00D94935" w:rsidP="00D94935">
      <w:pPr>
        <w:pStyle w:val="Apara"/>
      </w:pPr>
      <w:r>
        <w:tab/>
        <w:t>(b)</w:t>
      </w:r>
      <w:r>
        <w:tab/>
        <w:t>to hear and decide an originating application mentioned in any of the following provisions of these rules:</w:t>
      </w:r>
    </w:p>
    <w:p w14:paraId="565651BE" w14:textId="77777777"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14:paraId="488ACB40" w14:textId="77777777"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r w:rsidR="00F415ED">
        <w:t>;</w:t>
      </w:r>
    </w:p>
    <w:p w14:paraId="0FA43F4E"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B1D39C7"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1B3E41BD"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E6CBD36" w14:textId="77777777" w:rsidR="00D94935" w:rsidRPr="007741D3" w:rsidRDefault="00D94935" w:rsidP="00D94935">
      <w:pPr>
        <w:pStyle w:val="Apara"/>
      </w:pPr>
      <w:r>
        <w:tab/>
        <w:t>(f</w:t>
      </w:r>
      <w:r w:rsidRPr="007741D3">
        <w:t>)</w:t>
      </w:r>
      <w:r w:rsidRPr="007741D3">
        <w:tab/>
        <w:t>in relation to the giving of directions under rule 1401 (Directions generally);</w:t>
      </w:r>
    </w:p>
    <w:p w14:paraId="6CA39A61" w14:textId="77777777" w:rsidR="00D94935" w:rsidRDefault="00D94935" w:rsidP="00D94935">
      <w:pPr>
        <w:pStyle w:val="Apara"/>
      </w:pPr>
      <w:r>
        <w:tab/>
        <w:t>(g)</w:t>
      </w:r>
      <w:r>
        <w:tab/>
        <w:t>to hear and decide a proceeding on an application for directions under rule 1403 (Decision in proceeding);</w:t>
      </w:r>
    </w:p>
    <w:p w14:paraId="5B666C4E" w14:textId="77777777" w:rsidR="00D94935" w:rsidRDefault="00D94935" w:rsidP="00D94935">
      <w:pPr>
        <w:pStyle w:val="Apara"/>
      </w:pPr>
      <w:r>
        <w:tab/>
        <w:t>(h)</w:t>
      </w:r>
      <w:r>
        <w:tab/>
        <w:t>the setting of a date for a directions hearing under rule 1522 (Separate decisions on questions—directions);</w:t>
      </w:r>
    </w:p>
    <w:p w14:paraId="0355C9ED" w14:textId="77777777" w:rsidR="00D94935" w:rsidRDefault="00D94935" w:rsidP="00235652">
      <w:pPr>
        <w:pStyle w:val="Apara"/>
        <w:keepNext/>
      </w:pPr>
      <w:r>
        <w:lastRenderedPageBreak/>
        <w:tab/>
        <w:t>(i)</w:t>
      </w:r>
      <w:r>
        <w:tab/>
        <w:t>in relation to an application mentioned in any of the following rules:</w:t>
      </w:r>
    </w:p>
    <w:p w14:paraId="0D30378E" w14:textId="77777777"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14:paraId="0DD00DBE" w14:textId="77777777"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14:paraId="01ABEC9F" w14:textId="77777777"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14:paraId="3BA144E3" w14:textId="77777777" w:rsidR="00D94935" w:rsidRDefault="00D94935" w:rsidP="00D94935">
      <w:pPr>
        <w:pStyle w:val="Aparabullet"/>
      </w:pPr>
      <w:r>
        <w:rPr>
          <w:rFonts w:ascii="Symbol" w:hAnsi="Symbol"/>
          <w:sz w:val="20"/>
        </w:rPr>
        <w:t></w:t>
      </w:r>
      <w:r>
        <w:rPr>
          <w:rFonts w:ascii="Symbol" w:hAnsi="Symbol"/>
          <w:sz w:val="20"/>
        </w:rPr>
        <w:tab/>
      </w:r>
      <w:r>
        <w:t>rule 2100 (Enforcement hearing—application by enforcement creditor)</w:t>
      </w:r>
    </w:p>
    <w:p w14:paraId="34DC89FD" w14:textId="77777777"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14:paraId="0BA6915F" w14:textId="77777777"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14:paraId="1023908D" w14:textId="77777777"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14:paraId="3F6D3D0D" w14:textId="77777777"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14:paraId="5CCBEEAB" w14:textId="77777777"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14:paraId="168FF2E3" w14:textId="77777777"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r w:rsidR="00F415ED">
        <w:t>;</w:t>
      </w:r>
    </w:p>
    <w:p w14:paraId="2B659CFF" w14:textId="77777777" w:rsidR="00D94935" w:rsidRDefault="00D94935" w:rsidP="00D94935">
      <w:pPr>
        <w:pStyle w:val="Apara"/>
      </w:pPr>
      <w:r>
        <w:tab/>
        <w:t>(j)</w:t>
      </w:r>
      <w:r>
        <w:tab/>
        <w:t>in relation to an enforcement hearing under division 2.18.3 (Enforcement of money orders—enforcement hearings);</w:t>
      </w:r>
    </w:p>
    <w:p w14:paraId="7444B4C1" w14:textId="77777777" w:rsidR="00D94935" w:rsidRDefault="00D94935" w:rsidP="00D94935">
      <w:pPr>
        <w:pStyle w:val="Apara"/>
      </w:pPr>
      <w:r>
        <w:tab/>
        <w:t>(k)</w:t>
      </w:r>
      <w:r>
        <w:tab/>
        <w:t>in relation to an instalment order agreement under rule 2157 (Instalment order—instalment order agreement);</w:t>
      </w:r>
    </w:p>
    <w:p w14:paraId="0AD75351" w14:textId="77777777" w:rsidR="00D94935" w:rsidRDefault="00D94935" w:rsidP="00D94935">
      <w:pPr>
        <w:pStyle w:val="Apara"/>
      </w:pPr>
      <w:r>
        <w:tab/>
        <w:t>(l)</w:t>
      </w:r>
      <w:r>
        <w:tab/>
        <w:t>in relation to the giving of directions under rule 2307 (Debt redirection order—claim by someone else);</w:t>
      </w:r>
    </w:p>
    <w:p w14:paraId="01A40001" w14:textId="77777777" w:rsidR="00D94935" w:rsidRDefault="00D94935" w:rsidP="00D94935">
      <w:pPr>
        <w:pStyle w:val="Apara"/>
      </w:pPr>
      <w:r>
        <w:tab/>
        <w:t>(m)</w:t>
      </w:r>
      <w:r>
        <w:tab/>
        <w:t>in relation to a notice of objection under rule 2311 (Debt redirection order—third person disputes liability);</w:t>
      </w:r>
    </w:p>
    <w:p w14:paraId="0BA0D4F9" w14:textId="77777777" w:rsidR="00D94935" w:rsidRDefault="00D94935" w:rsidP="00D94935">
      <w:pPr>
        <w:pStyle w:val="Apara"/>
      </w:pPr>
      <w:r>
        <w:tab/>
        <w:t>(n)</w:t>
      </w:r>
      <w:r>
        <w:tab/>
        <w:t>to make an order under rule 3920 (4) (Arbitration—including other parties);</w:t>
      </w:r>
    </w:p>
    <w:p w14:paraId="34170730" w14:textId="77777777" w:rsidR="00D94935" w:rsidRPr="00B06181" w:rsidRDefault="00D94935" w:rsidP="00D94935">
      <w:pPr>
        <w:pStyle w:val="Apara"/>
      </w:pPr>
      <w:r>
        <w:lastRenderedPageBreak/>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14:paraId="727B7A4A" w14:textId="77777777"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14:paraId="060F53C6" w14:textId="77777777" w:rsidR="00D94935" w:rsidRPr="00B06181" w:rsidRDefault="00D94935" w:rsidP="00D94935">
      <w:pPr>
        <w:pStyle w:val="Apara"/>
      </w:pPr>
      <w:r>
        <w:tab/>
        <w:t>(q</w:t>
      </w:r>
      <w:r w:rsidRPr="00B06181">
        <w:t>)</w:t>
      </w:r>
      <w:r w:rsidRPr="00B06181">
        <w:tab/>
        <w:t>in relation to making a direction for the conduct of an arbitration under rule 3948C (1) (b);</w:t>
      </w:r>
    </w:p>
    <w:p w14:paraId="150D7793" w14:textId="77777777" w:rsidR="00D94935" w:rsidRDefault="00D94935" w:rsidP="00D94935">
      <w:pPr>
        <w:pStyle w:val="Apara"/>
      </w:pPr>
      <w:r>
        <w:tab/>
        <w:t>(r)</w:t>
      </w:r>
      <w:r>
        <w:tab/>
        <w:t>to make directions under rule 3967 (2) (Registered agreement—application for amendment or cancellation);</w:t>
      </w:r>
    </w:p>
    <w:p w14:paraId="40B0EF0F"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5ECFF62D" w14:textId="77777777" w:rsidR="00D94935" w:rsidRDefault="00D94935" w:rsidP="00D94935">
      <w:pPr>
        <w:pStyle w:val="Apara"/>
      </w:pPr>
      <w:r>
        <w:tab/>
        <w:t>(</w:t>
      </w:r>
      <w:r w:rsidR="00FE430C">
        <w:t>t</w:t>
      </w:r>
      <w:r>
        <w:t>)</w:t>
      </w:r>
      <w:r>
        <w:tab/>
        <w:t>in relation to an application under rule 6439 (Service of originating application to recover unoccupied land);</w:t>
      </w:r>
    </w:p>
    <w:p w14:paraId="6B24137B" w14:textId="77777777"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14:paraId="620C4E8B" w14:textId="77777777" w:rsidR="00D94935" w:rsidRDefault="00D94935" w:rsidP="00D94935">
      <w:pPr>
        <w:pStyle w:val="Apara"/>
      </w:pPr>
      <w:r>
        <w:tab/>
        <w:t>(</w:t>
      </w:r>
      <w:r w:rsidR="00982F5F">
        <w:t>v</w:t>
      </w:r>
      <w:r>
        <w:t>)</w:t>
      </w:r>
      <w:r>
        <w:tab/>
        <w:t>in relation to an application for leave under rule 6603 (Subpoena to produce—leave to serve late).</w:t>
      </w:r>
    </w:p>
    <w:p w14:paraId="0D2E03E4" w14:textId="77777777" w:rsidR="00D94935" w:rsidRDefault="00D94935" w:rsidP="00D94935">
      <w:pPr>
        <w:pStyle w:val="Amain"/>
      </w:pPr>
      <w:r>
        <w:tab/>
        <w:t>(3)</w:t>
      </w:r>
      <w:r>
        <w:tab/>
        <w:t>The registrar may also exercise the following jurisdiction of the court:</w:t>
      </w:r>
    </w:p>
    <w:p w14:paraId="3957E9B1" w14:textId="6A0E6150" w:rsidR="00D94935" w:rsidRDefault="00D94935" w:rsidP="00D94935">
      <w:pPr>
        <w:pStyle w:val="Apara"/>
      </w:pPr>
      <w:r>
        <w:tab/>
        <w:t>(a)</w:t>
      </w:r>
      <w:r>
        <w:tab/>
        <w:t xml:space="preserve">under the </w:t>
      </w:r>
      <w:hyperlink r:id="rId782" w:tooltip="A1992-8" w:history="1">
        <w:r w:rsidRPr="006364FA">
          <w:rPr>
            <w:rStyle w:val="charCitHyperlinkItal"/>
          </w:rPr>
          <w:t>Bail Act 1992</w:t>
        </w:r>
      </w:hyperlink>
      <w:r>
        <w:t>, section 19;</w:t>
      </w:r>
    </w:p>
    <w:p w14:paraId="7CACF70D" w14:textId="694CE3A2" w:rsidR="00D94935" w:rsidRPr="00284A0B" w:rsidRDefault="00D94935" w:rsidP="00D94935">
      <w:pPr>
        <w:pStyle w:val="Apara"/>
      </w:pPr>
      <w:r>
        <w:tab/>
        <w:t>(b</w:t>
      </w:r>
      <w:r w:rsidRPr="00284A0B">
        <w:t>)</w:t>
      </w:r>
      <w:r w:rsidRPr="00284A0B">
        <w:tab/>
        <w:t xml:space="preserve">under the </w:t>
      </w:r>
      <w:hyperlink r:id="rId783" w:tooltip="A2008-19" w:history="1">
        <w:r w:rsidRPr="00284A0B">
          <w:rPr>
            <w:rStyle w:val="charCitHyperlinkItal"/>
          </w:rPr>
          <w:t>Children and Young People Act 2008</w:t>
        </w:r>
      </w:hyperlink>
      <w:r w:rsidRPr="00284A0B">
        <w:t>, section 876A (Power of court to bring young detainee before it—civil proceeding);</w:t>
      </w:r>
    </w:p>
    <w:p w14:paraId="049F66D9" w14:textId="4C2A8700" w:rsidR="00982F5F" w:rsidRPr="00A60754" w:rsidRDefault="00982F5F" w:rsidP="00982F5F">
      <w:pPr>
        <w:pStyle w:val="Apara"/>
      </w:pPr>
      <w:r w:rsidRPr="00A60754">
        <w:tab/>
        <w:t>(</w:t>
      </w:r>
      <w:r w:rsidR="00F83F0B">
        <w:t>c</w:t>
      </w:r>
      <w:r w:rsidRPr="00A60754">
        <w:t>)</w:t>
      </w:r>
      <w:r w:rsidRPr="00A60754">
        <w:tab/>
        <w:t xml:space="preserve">under the </w:t>
      </w:r>
      <w:hyperlink r:id="rId784" w:tooltip="A2017-7" w:history="1">
        <w:r w:rsidRPr="00A60754">
          <w:rPr>
            <w:rStyle w:val="charCitHyperlinkItal"/>
          </w:rPr>
          <w:t>Commercial Arbitration Act 2017</w:t>
        </w:r>
      </w:hyperlink>
      <w:r w:rsidRPr="00A60754">
        <w:t>, section 27A (Parties may obtain subpoenas);</w:t>
      </w:r>
    </w:p>
    <w:p w14:paraId="72394EEC" w14:textId="45C8FEFF" w:rsidR="00D94935" w:rsidRDefault="00D94935" w:rsidP="00D94935">
      <w:pPr>
        <w:pStyle w:val="Apara"/>
      </w:pPr>
      <w:r w:rsidRPr="0023482E">
        <w:tab/>
        <w:t>(</w:t>
      </w:r>
      <w:r w:rsidR="00F83F0B">
        <w:t>d</w:t>
      </w:r>
      <w:r w:rsidRPr="0023482E">
        <w:t>)</w:t>
      </w:r>
      <w:r w:rsidRPr="0023482E">
        <w:tab/>
        <w:t xml:space="preserve">under the </w:t>
      </w:r>
      <w:hyperlink r:id="rId785" w:tooltip="A2007-15" w:history="1">
        <w:r w:rsidRPr="0023482E">
          <w:rPr>
            <w:rStyle w:val="charCitHyperlinkItal"/>
          </w:rPr>
          <w:t>Corrections Management Act 2007</w:t>
        </w:r>
      </w:hyperlink>
      <w:r w:rsidRPr="0023482E">
        <w:t>, section 217A (Power of court to bring detainee before it—civil proceeding);</w:t>
      </w:r>
    </w:p>
    <w:p w14:paraId="1B95A780" w14:textId="43CE3C0F" w:rsidR="00AF4C69" w:rsidRPr="00061096" w:rsidRDefault="00AF4C69" w:rsidP="00AF4C69">
      <w:pPr>
        <w:pStyle w:val="Apara"/>
      </w:pPr>
      <w:r w:rsidRPr="00061096">
        <w:lastRenderedPageBreak/>
        <w:tab/>
        <w:t>(</w:t>
      </w:r>
      <w:r w:rsidR="00F83F0B">
        <w:t>e</w:t>
      </w:r>
      <w:r w:rsidRPr="00061096">
        <w:t>)</w:t>
      </w:r>
      <w:r w:rsidRPr="00061096">
        <w:tab/>
        <w:t xml:space="preserve">under the </w:t>
      </w:r>
      <w:hyperlink r:id="rId786" w:tooltip="A2004-59" w:history="1">
        <w:r w:rsidRPr="00061096">
          <w:rPr>
            <w:rStyle w:val="charCitHyperlinkItal"/>
          </w:rPr>
          <w:t>Court Procedures Act 2004</w:t>
        </w:r>
      </w:hyperlink>
      <w:r w:rsidRPr="00061096">
        <w:t>, section 72 (1) (l) (Court proceedings involving children or young people not open to public);</w:t>
      </w:r>
    </w:p>
    <w:p w14:paraId="5747A567" w14:textId="6F46E7C7" w:rsidR="00D94935" w:rsidRPr="00284A0B" w:rsidRDefault="00D94935" w:rsidP="00D94935">
      <w:pPr>
        <w:pStyle w:val="Apara"/>
      </w:pPr>
      <w:r>
        <w:tab/>
        <w:t>(</w:t>
      </w:r>
      <w:r w:rsidR="00F83F0B">
        <w:t>f</w:t>
      </w:r>
      <w:r w:rsidRPr="00284A0B">
        <w:t>)</w:t>
      </w:r>
      <w:r w:rsidRPr="00284A0B">
        <w:tab/>
        <w:t xml:space="preserve">under the following provisions of the </w:t>
      </w:r>
      <w:hyperlink r:id="rId787" w:tooltip="A2000-61" w:history="1">
        <w:r w:rsidRPr="00284A0B">
          <w:rPr>
            <w:rStyle w:val="charCitHyperlinkItal"/>
          </w:rPr>
          <w:t>Crimes (Forensic Procedures) Act 2000</w:t>
        </w:r>
      </w:hyperlink>
      <w:r w:rsidRPr="00284A0B">
        <w:t>:</w:t>
      </w:r>
    </w:p>
    <w:p w14:paraId="72A13A54" w14:textId="77777777"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14:paraId="2E47A785"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 xml:space="preserve">section 77A (2) (Securing the presence of serious offender </w:t>
      </w:r>
      <w:r>
        <w:t>at hearing—offender in custody)</w:t>
      </w:r>
    </w:p>
    <w:p w14:paraId="0DF26EAA"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14:paraId="288C1EF7" w14:textId="63F10FD0" w:rsidR="00D94935" w:rsidRPr="00284A0B" w:rsidRDefault="00D94935" w:rsidP="00D94935">
      <w:pPr>
        <w:pStyle w:val="Apara"/>
      </w:pPr>
      <w:r>
        <w:tab/>
        <w:t>(</w:t>
      </w:r>
      <w:r w:rsidR="00F83F0B">
        <w:t>g</w:t>
      </w:r>
      <w:r w:rsidRPr="00284A0B">
        <w:t>)</w:t>
      </w:r>
      <w:r w:rsidRPr="00284A0B">
        <w:tab/>
        <w:t>under the</w:t>
      </w:r>
      <w:r w:rsidRPr="00284A0B">
        <w:rPr>
          <w:rStyle w:val="charItals"/>
        </w:rPr>
        <w:t xml:space="preserve"> </w:t>
      </w:r>
      <w:hyperlink r:id="rId788" w:tooltip="A2005-59" w:history="1">
        <w:r w:rsidRPr="00284A0B">
          <w:rPr>
            <w:rStyle w:val="charCitHyperlinkItal"/>
          </w:rPr>
          <w:t>Crimes (Sentence Administration) Act 2005</w:t>
        </w:r>
      </w:hyperlink>
      <w:r w:rsidRPr="00284A0B">
        <w:t>, section 106 (Good behaviour—summons to attend court);</w:t>
      </w:r>
    </w:p>
    <w:p w14:paraId="228CADD8" w14:textId="296E3CB2" w:rsidR="004902AC" w:rsidRPr="00510424" w:rsidRDefault="004902AC" w:rsidP="004902AC">
      <w:pPr>
        <w:pStyle w:val="Apara"/>
      </w:pPr>
      <w:r w:rsidRPr="00510424">
        <w:tab/>
        <w:t>(</w:t>
      </w:r>
      <w:r w:rsidR="00F83F0B">
        <w:t>h</w:t>
      </w:r>
      <w:r w:rsidRPr="00510424">
        <w:t>)</w:t>
      </w:r>
      <w:r w:rsidRPr="00510424">
        <w:tab/>
        <w:t xml:space="preserve">under the following provisions of the </w:t>
      </w:r>
      <w:hyperlink r:id="rId789" w:tooltip="A2016-42" w:history="1">
        <w:r w:rsidRPr="00510424">
          <w:rPr>
            <w:rStyle w:val="charCitHyperlinkItal"/>
          </w:rPr>
          <w:t>Family Violence Act 2016</w:t>
        </w:r>
      </w:hyperlink>
      <w:r w:rsidRPr="00510424">
        <w:t>:</w:t>
      </w:r>
    </w:p>
    <w:p w14:paraId="09F5EF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14:paraId="3AE6F03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14:paraId="489A42A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14:paraId="60FBBDE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14:paraId="34B0704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14:paraId="6FD114B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60 (Closed hearings in special circumstances)</w:t>
      </w:r>
    </w:p>
    <w:p w14:paraId="431462A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14:paraId="001AA20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14:paraId="18C6A0D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14:paraId="171517B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14:paraId="1F3BDE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14:paraId="56C8D75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14:paraId="71FA6EE9"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75 (Child respondents)</w:t>
      </w:r>
    </w:p>
    <w:p w14:paraId="2F7DCAF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14:paraId="07E05C5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14:paraId="4543640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14:paraId="4562168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14:paraId="5F06D75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14:paraId="247F009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14:paraId="3746633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14:paraId="225A18D1"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14:paraId="7576D4DA" w14:textId="77777777"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14:paraId="6AD0A19C" w14:textId="77777777"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14:paraId="60D4C599" w14:textId="03335C4F" w:rsidR="004902AC" w:rsidRPr="00510424" w:rsidRDefault="004902AC" w:rsidP="000D2B01">
      <w:pPr>
        <w:pStyle w:val="Apara"/>
        <w:keepNext/>
      </w:pPr>
      <w:r w:rsidRPr="00510424">
        <w:tab/>
        <w:t>(</w:t>
      </w:r>
      <w:r w:rsidR="00F83F0B">
        <w:t>i</w:t>
      </w:r>
      <w:r w:rsidRPr="00510424">
        <w:t>)</w:t>
      </w:r>
      <w:r w:rsidRPr="00510424">
        <w:tab/>
        <w:t xml:space="preserve">under the following provisions of the </w:t>
      </w:r>
      <w:hyperlink r:id="rId790" w:tooltip="A2016-43" w:history="1">
        <w:r w:rsidRPr="00510424">
          <w:rPr>
            <w:rStyle w:val="charCitHyperlinkItal"/>
          </w:rPr>
          <w:t>Personal Violence Act 2016</w:t>
        </w:r>
      </w:hyperlink>
      <w:r w:rsidRPr="00510424">
        <w:t>:</w:t>
      </w:r>
    </w:p>
    <w:p w14:paraId="5DAD560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14:paraId="5DC9FD0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14:paraId="28FD792C"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14:paraId="1F1E4F3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14:paraId="68D2070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14:paraId="5C65C3F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14:paraId="471C65D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14:paraId="277C24BA"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64A (2) (Personal service of application on respondent)</w:t>
      </w:r>
    </w:p>
    <w:p w14:paraId="6099C6D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14:paraId="066D123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14:paraId="215FF2F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14:paraId="78F7B4C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65A (Request for further particulars)</w:t>
      </w:r>
    </w:p>
    <w:p w14:paraId="51E037F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14:paraId="21CF3B8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14:paraId="262B39C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14:paraId="635466A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14:paraId="37F3DD74"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14:paraId="2183867B" w14:textId="77777777" w:rsidR="004902AC" w:rsidRPr="00510424" w:rsidRDefault="004902AC" w:rsidP="000D2B01">
      <w:pPr>
        <w:pStyle w:val="Aparabullet"/>
        <w:keepLines/>
        <w:tabs>
          <w:tab w:val="left" w:pos="2000"/>
        </w:tabs>
      </w:pPr>
      <w:r w:rsidRPr="00510424">
        <w:rPr>
          <w:rFonts w:ascii="Symbol" w:hAnsi="Symbol"/>
          <w:sz w:val="20"/>
        </w:rPr>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14:paraId="4DCAE04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14:paraId="7B0A8AC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14:paraId="5E7A308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14:paraId="10A5B000" w14:textId="285D1DAC" w:rsidR="00D94935" w:rsidRDefault="00D94935" w:rsidP="00D94935">
      <w:pPr>
        <w:pStyle w:val="Apara"/>
        <w:keepNext/>
      </w:pPr>
      <w:r>
        <w:tab/>
        <w:t>(</w:t>
      </w:r>
      <w:r w:rsidR="00F83F0B">
        <w:t>j</w:t>
      </w:r>
      <w:r>
        <w:t>)</w:t>
      </w:r>
      <w:r>
        <w:tab/>
        <w:t xml:space="preserve">under the following provisions of the </w:t>
      </w:r>
      <w:hyperlink r:id="rId791" w:tooltip="A1930-21" w:history="1">
        <w:r w:rsidRPr="006364FA">
          <w:rPr>
            <w:rStyle w:val="charCitHyperlinkItal"/>
          </w:rPr>
          <w:t>Magistrates Court Act 1930</w:t>
        </w:r>
      </w:hyperlink>
      <w:r>
        <w:t>:</w:t>
      </w:r>
    </w:p>
    <w:p w14:paraId="3F5D9F81" w14:textId="77777777"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14:paraId="05BCF7DA" w14:textId="77777777"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14:paraId="3D7D0D75" w14:textId="77777777"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14:paraId="017A223E" w14:textId="77777777" w:rsidR="00D94935" w:rsidRDefault="00D94935" w:rsidP="00D94935">
      <w:pPr>
        <w:pStyle w:val="Aparabullet"/>
      </w:pPr>
      <w:r>
        <w:rPr>
          <w:rFonts w:ascii="Symbol" w:hAnsi="Symbol"/>
          <w:sz w:val="20"/>
        </w:rPr>
        <w:lastRenderedPageBreak/>
        <w:t></w:t>
      </w:r>
      <w:r>
        <w:rPr>
          <w:rFonts w:ascii="Symbol" w:hAnsi="Symbol"/>
          <w:sz w:val="20"/>
        </w:rPr>
        <w:tab/>
      </w:r>
      <w:r>
        <w:t>section 109 (Dismissal or adjournment in absence of informant)</w:t>
      </w:r>
    </w:p>
    <w:p w14:paraId="458044BE"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14:paraId="64DA0AE8" w14:textId="4404C23E" w:rsidR="00D94935" w:rsidRDefault="00D94935" w:rsidP="00D94935">
      <w:pPr>
        <w:pStyle w:val="Apara"/>
      </w:pPr>
      <w:r>
        <w:tab/>
        <w:t>(</w:t>
      </w:r>
      <w:r w:rsidR="00F83F0B">
        <w:t>k</w:t>
      </w:r>
      <w:r>
        <w:t>)</w:t>
      </w:r>
      <w:r>
        <w:tab/>
        <w:t xml:space="preserve">under the following provisions of the </w:t>
      </w:r>
      <w:hyperlink r:id="rId792" w:tooltip="Act 1992 No 172 (Cwlth)" w:history="1">
        <w:r w:rsidRPr="00AA6A10">
          <w:rPr>
            <w:rStyle w:val="charCitHyperlinkItal"/>
          </w:rPr>
          <w:t>Service and Execution of Process Act 1992</w:t>
        </w:r>
      </w:hyperlink>
      <w:r>
        <w:t xml:space="preserve"> (Cwlth):</w:t>
      </w:r>
    </w:p>
    <w:p w14:paraId="1BE16271" w14:textId="77777777" w:rsidR="00D94935" w:rsidRDefault="00D94935" w:rsidP="00D94935">
      <w:pPr>
        <w:pStyle w:val="Aparabullet"/>
      </w:pPr>
      <w:r>
        <w:rPr>
          <w:rFonts w:ascii="Symbol" w:hAnsi="Symbol"/>
          <w:sz w:val="20"/>
        </w:rPr>
        <w:t></w:t>
      </w:r>
      <w:r>
        <w:rPr>
          <w:rFonts w:ascii="Symbol" w:hAnsi="Symbol"/>
          <w:sz w:val="20"/>
        </w:rPr>
        <w:tab/>
      </w:r>
      <w:r>
        <w:t>section 11 (8) (Proof of service)</w:t>
      </w:r>
    </w:p>
    <w:p w14:paraId="308A3BB4" w14:textId="77777777" w:rsidR="00D94935" w:rsidRDefault="00D94935" w:rsidP="00D94935">
      <w:pPr>
        <w:pStyle w:val="Aparabullet"/>
      </w:pPr>
      <w:r>
        <w:rPr>
          <w:rFonts w:ascii="Symbol" w:hAnsi="Symbol"/>
          <w:sz w:val="20"/>
        </w:rPr>
        <w:t></w:t>
      </w:r>
      <w:r>
        <w:rPr>
          <w:rFonts w:ascii="Symbol" w:hAnsi="Symbol"/>
          <w:sz w:val="20"/>
        </w:rPr>
        <w:tab/>
      </w:r>
      <w:r>
        <w:t>section 17 (1) (b) (Time for appearance)</w:t>
      </w:r>
    </w:p>
    <w:p w14:paraId="42213A23" w14:textId="77777777" w:rsidR="00D94935" w:rsidRDefault="00D94935" w:rsidP="00D94935">
      <w:pPr>
        <w:pStyle w:val="Aparabullet"/>
      </w:pPr>
      <w:r>
        <w:rPr>
          <w:rFonts w:ascii="Symbol" w:hAnsi="Symbol"/>
          <w:sz w:val="20"/>
        </w:rPr>
        <w:t></w:t>
      </w:r>
      <w:r>
        <w:rPr>
          <w:rFonts w:ascii="Symbol" w:hAnsi="Symbol"/>
          <w:sz w:val="20"/>
        </w:rPr>
        <w:tab/>
      </w:r>
      <w:r>
        <w:t>section 30 (1) (b) (Time for service)</w:t>
      </w:r>
    </w:p>
    <w:p w14:paraId="0FC03113" w14:textId="77777777" w:rsidR="00D94935" w:rsidRDefault="00D94935" w:rsidP="00D94935">
      <w:pPr>
        <w:pStyle w:val="Aparabullet"/>
      </w:pPr>
      <w:r>
        <w:rPr>
          <w:rFonts w:ascii="Symbol" w:hAnsi="Symbol"/>
          <w:sz w:val="20"/>
        </w:rPr>
        <w:t></w:t>
      </w:r>
      <w:r>
        <w:rPr>
          <w:rFonts w:ascii="Symbol" w:hAnsi="Symbol"/>
          <w:sz w:val="20"/>
        </w:rPr>
        <w:tab/>
      </w:r>
      <w:r>
        <w:t>section 35 (3) (Entitlement to expenses)</w:t>
      </w:r>
    </w:p>
    <w:p w14:paraId="5B277001" w14:textId="77777777" w:rsidR="00D94935" w:rsidRDefault="00D94935" w:rsidP="00D94935">
      <w:pPr>
        <w:pStyle w:val="Aparabullet"/>
      </w:pPr>
      <w:r>
        <w:rPr>
          <w:rFonts w:ascii="Symbol" w:hAnsi="Symbol"/>
          <w:sz w:val="20"/>
        </w:rPr>
        <w:t></w:t>
      </w:r>
      <w:r>
        <w:rPr>
          <w:rFonts w:ascii="Symbol" w:hAnsi="Symbol"/>
          <w:sz w:val="20"/>
        </w:rPr>
        <w:tab/>
      </w:r>
      <w:r>
        <w:t>section 45 (3) (Entitlement to expenses)</w:t>
      </w:r>
    </w:p>
    <w:p w14:paraId="1300C8DB" w14:textId="77777777"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14:paraId="76BF5FBA" w14:textId="6315773C" w:rsidR="00D94935" w:rsidRPr="006422A0" w:rsidRDefault="00D94935" w:rsidP="000D2B01">
      <w:pPr>
        <w:pStyle w:val="Apara"/>
        <w:keepNext/>
      </w:pPr>
      <w:r w:rsidRPr="006422A0">
        <w:tab/>
        <w:t>(</w:t>
      </w:r>
      <w:r w:rsidR="006D0511">
        <w:t>l</w:t>
      </w:r>
      <w:r w:rsidRPr="006422A0">
        <w:t>)</w:t>
      </w:r>
      <w:r w:rsidRPr="006422A0">
        <w:tab/>
        <w:t xml:space="preserve">under the </w:t>
      </w:r>
      <w:hyperlink r:id="rId793" w:tooltip="A1951-2" w:history="1">
        <w:r w:rsidRPr="006422A0">
          <w:rPr>
            <w:rStyle w:val="charCitHyperlinkItal"/>
          </w:rPr>
          <w:t>Workers Compensation Act 1951</w:t>
        </w:r>
      </w:hyperlink>
      <w:r w:rsidRPr="006422A0">
        <w:t>, section 79.</w:t>
      </w:r>
    </w:p>
    <w:p w14:paraId="26C85F54" w14:textId="77777777"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14:paraId="6FFDDD9F" w14:textId="77777777"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14:paraId="792C213B" w14:textId="77777777" w:rsidR="00D94935" w:rsidRDefault="00D94935" w:rsidP="00235652">
      <w:pPr>
        <w:pStyle w:val="Amain"/>
        <w:keepNext/>
        <w:keepLines/>
      </w:pPr>
      <w:r>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2D03DA08" w14:textId="77777777" w:rsidR="00D94935" w:rsidRDefault="00D94935" w:rsidP="00D94935">
      <w:pPr>
        <w:pStyle w:val="aExamHdgss"/>
      </w:pPr>
      <w:r>
        <w:t>Example of thing court could do</w:t>
      </w:r>
    </w:p>
    <w:p w14:paraId="07D039A7" w14:textId="77777777" w:rsidR="00D94935" w:rsidRDefault="00D94935" w:rsidP="00D94935">
      <w:pPr>
        <w:pStyle w:val="aExamss"/>
        <w:keepNext/>
      </w:pPr>
      <w:r>
        <w:t>issue warrant</w:t>
      </w:r>
    </w:p>
    <w:p w14:paraId="5A407FDA" w14:textId="77777777"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14:paraId="7775B345" w14:textId="77777777" w:rsidR="00D94935" w:rsidRDefault="00D94935" w:rsidP="00353D2C">
      <w:pPr>
        <w:pStyle w:val="Amain"/>
        <w:keepNext/>
      </w:pPr>
      <w:r>
        <w:lastRenderedPageBreak/>
        <w:tab/>
        <w:t>(</w:t>
      </w:r>
      <w:r w:rsidR="00C9317D">
        <w:t>7</w:t>
      </w:r>
      <w:r>
        <w:t>)</w:t>
      </w:r>
      <w:r>
        <w:tab/>
        <w:t>An authorisation under subrule (</w:t>
      </w:r>
      <w:r w:rsidR="00C9317D">
        <w:t>6</w:t>
      </w:r>
      <w:r>
        <w:t>) is a notifiable instrument.</w:t>
      </w:r>
    </w:p>
    <w:p w14:paraId="796B5F8A" w14:textId="1E3DC2AE"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94" w:tooltip="A2001-14" w:history="1">
        <w:r w:rsidRPr="006364FA">
          <w:rPr>
            <w:rStyle w:val="charCitHyperlinkAbbrev"/>
          </w:rPr>
          <w:t>Legislation Act</w:t>
        </w:r>
      </w:hyperlink>
      <w:r>
        <w:t>.</w:t>
      </w:r>
    </w:p>
    <w:p w14:paraId="273D2C8B" w14:textId="77777777" w:rsidR="00D94935" w:rsidRDefault="00D94935" w:rsidP="00D94935">
      <w:pPr>
        <w:pStyle w:val="AH5Sec"/>
      </w:pPr>
      <w:bookmarkStart w:id="1661" w:name="_Toc185515277"/>
      <w:r w:rsidRPr="00C8328B">
        <w:rPr>
          <w:rStyle w:val="CharSectNo"/>
        </w:rPr>
        <w:t>6252</w:t>
      </w:r>
      <w:r>
        <w:tab/>
        <w:t>Registrar’s powers—postponement of hearing</w:t>
      </w:r>
      <w:bookmarkEnd w:id="1661"/>
    </w:p>
    <w:p w14:paraId="70E28A43" w14:textId="77777777" w:rsidR="00D94935" w:rsidRDefault="00D94935" w:rsidP="00D94935">
      <w:pPr>
        <w:pStyle w:val="Amain"/>
        <w:keepNext/>
      </w:pPr>
      <w:r>
        <w:tab/>
        <w:t>(1)</w:t>
      </w:r>
      <w:r>
        <w:tab/>
        <w:t>This rule applies if a judicial officer—</w:t>
      </w:r>
    </w:p>
    <w:p w14:paraId="3DDF2E44" w14:textId="77777777" w:rsidR="00D94935" w:rsidRDefault="00D94935" w:rsidP="00D94935">
      <w:pPr>
        <w:pStyle w:val="Apara"/>
      </w:pPr>
      <w:r>
        <w:tab/>
        <w:t>(a)</w:t>
      </w:r>
      <w:r>
        <w:tab/>
        <w:t>is not available to exercise the jurisdiction of the court at the time set for the hearing of a proceeding; and</w:t>
      </w:r>
    </w:p>
    <w:p w14:paraId="35FEBF58" w14:textId="77777777" w:rsidR="00D94935" w:rsidRDefault="00D94935" w:rsidP="00D94935">
      <w:pPr>
        <w:pStyle w:val="Apara"/>
      </w:pPr>
      <w:r>
        <w:tab/>
        <w:t>(b)</w:t>
      </w:r>
      <w:r>
        <w:tab/>
        <w:t>is unlikely to become available within a reasonable time.</w:t>
      </w:r>
    </w:p>
    <w:p w14:paraId="08FF683E" w14:textId="77777777" w:rsidR="00D94935" w:rsidRDefault="00D94935" w:rsidP="00D94935">
      <w:pPr>
        <w:pStyle w:val="Amain"/>
      </w:pPr>
      <w:r>
        <w:tab/>
        <w:t>(2)</w:t>
      </w:r>
      <w:r>
        <w:tab/>
        <w:t>The registrar may, if asked by a party to the proceeding, postpone the hearing to another date or time set by the registrar.</w:t>
      </w:r>
    </w:p>
    <w:p w14:paraId="494EBAC2" w14:textId="77777777" w:rsidR="00D94935" w:rsidRDefault="00D94935" w:rsidP="00D94935">
      <w:pPr>
        <w:pStyle w:val="Amain"/>
        <w:keepNext/>
      </w:pPr>
      <w:r>
        <w:tab/>
        <w:t>(3)</w:t>
      </w:r>
      <w:r>
        <w:tab/>
        <w:t>In this rule:</w:t>
      </w:r>
    </w:p>
    <w:p w14:paraId="6C5F9311" w14:textId="77777777" w:rsidR="00D94935" w:rsidRDefault="00D94935" w:rsidP="00D94935">
      <w:pPr>
        <w:pStyle w:val="aDef"/>
        <w:keepNext/>
      </w:pPr>
      <w:r w:rsidRPr="006364FA">
        <w:rPr>
          <w:rStyle w:val="charBoldItals"/>
        </w:rPr>
        <w:t xml:space="preserve">judicial officer </w:t>
      </w:r>
      <w:r>
        <w:t xml:space="preserve"> means—</w:t>
      </w:r>
    </w:p>
    <w:p w14:paraId="2999F747" w14:textId="28F07B17" w:rsidR="00D94935" w:rsidRDefault="00D94935" w:rsidP="00D94935">
      <w:pPr>
        <w:pStyle w:val="aDefpara"/>
      </w:pPr>
      <w:r>
        <w:tab/>
        <w:t>(a)</w:t>
      </w:r>
      <w:r>
        <w:tab/>
        <w:t>for the Supreme Court—a judge; or</w:t>
      </w:r>
    </w:p>
    <w:p w14:paraId="12B01B43" w14:textId="77777777" w:rsidR="00D94935" w:rsidRDefault="00D94935" w:rsidP="00D94935">
      <w:pPr>
        <w:pStyle w:val="aDefpara"/>
      </w:pPr>
      <w:r>
        <w:tab/>
        <w:t>(b)</w:t>
      </w:r>
      <w:r>
        <w:tab/>
        <w:t>for the Magistrates Court—a magistrate.</w:t>
      </w:r>
    </w:p>
    <w:p w14:paraId="0912A339" w14:textId="77777777" w:rsidR="00D94935" w:rsidRDefault="00D94935" w:rsidP="00D94935">
      <w:pPr>
        <w:pStyle w:val="AH5Sec"/>
      </w:pPr>
      <w:bookmarkStart w:id="1662" w:name="_Toc185515278"/>
      <w:r w:rsidRPr="00C8328B">
        <w:rPr>
          <w:rStyle w:val="CharSectNo"/>
        </w:rPr>
        <w:t>6253</w:t>
      </w:r>
      <w:r>
        <w:tab/>
        <w:t>Registrar’s powers—subpoenas</w:t>
      </w:r>
      <w:bookmarkEnd w:id="1662"/>
    </w:p>
    <w:p w14:paraId="2B0C78EE" w14:textId="77777777" w:rsidR="00D94935" w:rsidRDefault="00D94935" w:rsidP="00D94935">
      <w:pPr>
        <w:pStyle w:val="Amain"/>
      </w:pPr>
      <w:r>
        <w:tab/>
        <w:t>(1)</w:t>
      </w:r>
      <w:r>
        <w:tab/>
        <w:t>This rule applies to a subpoena issued in a proceeding if the jurisdiction of the court in the proceeding is to be, or is being exercised, by the registrar.</w:t>
      </w:r>
    </w:p>
    <w:p w14:paraId="18881748" w14:textId="77777777" w:rsidR="00D94935" w:rsidRDefault="00D94935" w:rsidP="00FD22C1">
      <w:pPr>
        <w:pStyle w:val="Amain"/>
        <w:keepLines/>
      </w:pPr>
      <w:r>
        <w:tab/>
        <w:t>(2)</w:t>
      </w:r>
      <w:r>
        <w:tab/>
        <w:t>The registrar may hear and decide an objection under rule 6609 (Inspection of, and dealing with, subpoenaed documents and things produced otherwise than on attendance) in relation to the subpoena instead of referring the objection to the court.</w:t>
      </w:r>
    </w:p>
    <w:p w14:paraId="37F1F04F" w14:textId="77777777" w:rsidR="00D94935" w:rsidRDefault="00D94935" w:rsidP="00D94935">
      <w:pPr>
        <w:pStyle w:val="AH5Sec"/>
      </w:pPr>
      <w:bookmarkStart w:id="1663" w:name="_Toc185515279"/>
      <w:r w:rsidRPr="00C8328B">
        <w:rPr>
          <w:rStyle w:val="CharSectNo"/>
        </w:rPr>
        <w:t>6254</w:t>
      </w:r>
      <w:r>
        <w:tab/>
        <w:t>Order that jurisdiction in proceeding be exercised by judicial officer other than registrar</w:t>
      </w:r>
      <w:bookmarkEnd w:id="1663"/>
    </w:p>
    <w:p w14:paraId="579CE7A8" w14:textId="77777777"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14:paraId="396FF385" w14:textId="77777777" w:rsidR="00D94935" w:rsidRDefault="00D94935" w:rsidP="00D94935">
      <w:pPr>
        <w:pStyle w:val="Amain"/>
      </w:pPr>
      <w:r>
        <w:lastRenderedPageBreak/>
        <w:tab/>
        <w:t>(2)</w:t>
      </w:r>
      <w:r>
        <w:tab/>
        <w:t>A judicial officer may make an order under this rule—</w:t>
      </w:r>
    </w:p>
    <w:p w14:paraId="16DE06D7" w14:textId="77777777" w:rsidR="00D94935" w:rsidRDefault="00D94935" w:rsidP="00D94935">
      <w:pPr>
        <w:pStyle w:val="Apara"/>
      </w:pPr>
      <w:r>
        <w:tab/>
        <w:t>(a)</w:t>
      </w:r>
      <w:r>
        <w:tab/>
        <w:t>on application by a party to the proceeding; and</w:t>
      </w:r>
    </w:p>
    <w:p w14:paraId="5EB9318F" w14:textId="77777777" w:rsidR="00D94935" w:rsidRDefault="00D94935" w:rsidP="00D94935">
      <w:pPr>
        <w:pStyle w:val="Apara"/>
        <w:keepNext/>
      </w:pPr>
      <w:r>
        <w:tab/>
        <w:t>(b)</w:t>
      </w:r>
      <w:r>
        <w:tab/>
        <w:t>at any time before the end of the proceeding before the registrar.</w:t>
      </w:r>
    </w:p>
    <w:p w14:paraId="01AF116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43C00E0" w14:textId="77777777" w:rsidR="00D94935" w:rsidRDefault="00D94935" w:rsidP="00D94935">
      <w:pPr>
        <w:pStyle w:val="Amain"/>
      </w:pPr>
      <w:r>
        <w:tab/>
        <w:t>(3)</w:t>
      </w:r>
      <w:r>
        <w:tab/>
        <w:t>If a judicial officer makes an order under this rule, the judicial officer exercising the jurisdiction of the court in the proceeding may—</w:t>
      </w:r>
    </w:p>
    <w:p w14:paraId="7CFA6465" w14:textId="77777777" w:rsidR="00D94935" w:rsidRDefault="00D94935" w:rsidP="00D94935">
      <w:pPr>
        <w:pStyle w:val="Apara"/>
      </w:pPr>
      <w:r>
        <w:tab/>
        <w:t>(a)</w:t>
      </w:r>
      <w:r>
        <w:tab/>
        <w:t>hear and decide the proceeding; or</w:t>
      </w:r>
    </w:p>
    <w:p w14:paraId="2CEA716D" w14:textId="77777777" w:rsidR="00D94935" w:rsidRDefault="00D94935" w:rsidP="00D94935">
      <w:pPr>
        <w:pStyle w:val="Apara"/>
      </w:pPr>
      <w:r>
        <w:tab/>
        <w:t>(b)</w:t>
      </w:r>
      <w:r>
        <w:tab/>
        <w:t>decide an issue in the proceeding and refer the proceeding back to the registrar and give the directions (if any) the judicial officer considers appropriate in relation to the proceeding.</w:t>
      </w:r>
    </w:p>
    <w:p w14:paraId="390E2A74" w14:textId="77777777" w:rsidR="00D94935" w:rsidRDefault="00D94935" w:rsidP="00D94935">
      <w:pPr>
        <w:pStyle w:val="Amain"/>
        <w:keepNext/>
      </w:pPr>
      <w:r>
        <w:tab/>
        <w:t>(4)</w:t>
      </w:r>
      <w:r>
        <w:tab/>
        <w:t>In this rule:</w:t>
      </w:r>
    </w:p>
    <w:p w14:paraId="6F7F8565" w14:textId="77777777" w:rsidR="00D94935" w:rsidRDefault="00D94935" w:rsidP="00D94935">
      <w:pPr>
        <w:pStyle w:val="aDef"/>
        <w:keepNext/>
      </w:pPr>
      <w:r w:rsidRPr="006364FA">
        <w:rPr>
          <w:rStyle w:val="charBoldItals"/>
        </w:rPr>
        <w:t xml:space="preserve">judicial officer </w:t>
      </w:r>
      <w:r>
        <w:t xml:space="preserve"> means—</w:t>
      </w:r>
    </w:p>
    <w:p w14:paraId="0A2D6B0E" w14:textId="2CAEEF82" w:rsidR="00D94935" w:rsidRDefault="00D94935" w:rsidP="00235652">
      <w:pPr>
        <w:pStyle w:val="aDefpara"/>
        <w:keepNext/>
      </w:pPr>
      <w:r>
        <w:tab/>
        <w:t>(a)</w:t>
      </w:r>
      <w:r>
        <w:tab/>
        <w:t>for the Supreme Court—a judge; or</w:t>
      </w:r>
    </w:p>
    <w:p w14:paraId="0B70B934" w14:textId="77777777" w:rsidR="00D94935" w:rsidRDefault="00D94935" w:rsidP="00D94935">
      <w:pPr>
        <w:pStyle w:val="aDefpara"/>
      </w:pPr>
      <w:r>
        <w:tab/>
        <w:t>(b)</w:t>
      </w:r>
      <w:r>
        <w:tab/>
        <w:t>for the Magistrates Court—a magistrate.</w:t>
      </w:r>
    </w:p>
    <w:p w14:paraId="7E7DAD72" w14:textId="77777777" w:rsidR="00D94935" w:rsidRDefault="00D94935" w:rsidP="00D94935">
      <w:pPr>
        <w:pStyle w:val="AH5Sec"/>
      </w:pPr>
      <w:bookmarkStart w:id="1664" w:name="_Toc185515280"/>
      <w:r w:rsidRPr="00C8328B">
        <w:rPr>
          <w:rStyle w:val="CharSectNo"/>
        </w:rPr>
        <w:t>6255</w:t>
      </w:r>
      <w:r>
        <w:tab/>
        <w:t>Registrar referring proceeding or issue to judicial officer</w:t>
      </w:r>
      <w:bookmarkEnd w:id="1664"/>
    </w:p>
    <w:p w14:paraId="3673D90A" w14:textId="77777777"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14:paraId="155A1A65" w14:textId="77777777" w:rsidR="00D94935" w:rsidRDefault="00D94935" w:rsidP="00D94935">
      <w:pPr>
        <w:pStyle w:val="Amain"/>
      </w:pPr>
      <w:r>
        <w:tab/>
        <w:t>(2)</w:t>
      </w:r>
      <w:r>
        <w:tab/>
        <w:t>If the registrar refers the proceeding to a judicial officer, the judicial officer may—</w:t>
      </w:r>
    </w:p>
    <w:p w14:paraId="3CB34C4A" w14:textId="77777777" w:rsidR="00D94935" w:rsidRDefault="00D94935" w:rsidP="00D94935">
      <w:pPr>
        <w:pStyle w:val="Apara"/>
      </w:pPr>
      <w:r>
        <w:tab/>
        <w:t>(a)</w:t>
      </w:r>
      <w:r>
        <w:tab/>
        <w:t>hear and decide the proceeding; or</w:t>
      </w:r>
    </w:p>
    <w:p w14:paraId="4582842E" w14:textId="77777777" w:rsidR="00D94935" w:rsidRDefault="00D94935" w:rsidP="00D94935">
      <w:pPr>
        <w:pStyle w:val="Apara"/>
      </w:pPr>
      <w:r>
        <w:tab/>
        <w:t>(b)</w:t>
      </w:r>
      <w:r>
        <w:tab/>
        <w:t>refer the proceeding back to the registrar and give the directions (if any) the judicial officer considers appropriate in relation to the proceeding.</w:t>
      </w:r>
    </w:p>
    <w:p w14:paraId="3B15B59F" w14:textId="77777777" w:rsidR="00D94935" w:rsidRDefault="00D94935" w:rsidP="00EE2219">
      <w:pPr>
        <w:pStyle w:val="Amain"/>
        <w:keepLines/>
      </w:pPr>
      <w:r>
        <w:lastRenderedPageBreak/>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14:paraId="4AE57797" w14:textId="77777777" w:rsidR="00D94935" w:rsidRDefault="00D94935" w:rsidP="00D94935">
      <w:pPr>
        <w:pStyle w:val="Amain"/>
        <w:keepNext/>
      </w:pPr>
      <w:r>
        <w:tab/>
        <w:t>(4)</w:t>
      </w:r>
      <w:r>
        <w:tab/>
        <w:t>In this rule:</w:t>
      </w:r>
    </w:p>
    <w:p w14:paraId="6029CC19" w14:textId="77777777" w:rsidR="00D94935" w:rsidRDefault="00D94935" w:rsidP="00D94935">
      <w:pPr>
        <w:pStyle w:val="aDef"/>
        <w:keepNext/>
      </w:pPr>
      <w:r w:rsidRPr="006364FA">
        <w:rPr>
          <w:rStyle w:val="charBoldItals"/>
        </w:rPr>
        <w:t xml:space="preserve">judicial officer </w:t>
      </w:r>
      <w:r>
        <w:t>means—</w:t>
      </w:r>
    </w:p>
    <w:p w14:paraId="3E87B8AB" w14:textId="4B834218" w:rsidR="00D94935" w:rsidRDefault="00D94935" w:rsidP="00D94935">
      <w:pPr>
        <w:pStyle w:val="aDefpara"/>
      </w:pPr>
      <w:r>
        <w:tab/>
        <w:t>(a)</w:t>
      </w:r>
      <w:r>
        <w:tab/>
        <w:t>for the Supreme Court—a judge; or</w:t>
      </w:r>
    </w:p>
    <w:p w14:paraId="77C44CF0" w14:textId="77777777" w:rsidR="00D94935" w:rsidRDefault="00D94935" w:rsidP="00D94935">
      <w:pPr>
        <w:pStyle w:val="aDefpara"/>
      </w:pPr>
      <w:r>
        <w:tab/>
        <w:t>(b)</w:t>
      </w:r>
      <w:r>
        <w:tab/>
        <w:t>for the Magistrates Court—a magistrate.</w:t>
      </w:r>
    </w:p>
    <w:p w14:paraId="40C884B4" w14:textId="77777777" w:rsidR="00D94935" w:rsidRDefault="00D94935" w:rsidP="00D94935">
      <w:pPr>
        <w:pStyle w:val="AH5Sec"/>
      </w:pPr>
      <w:bookmarkStart w:id="1665" w:name="_Toc185515281"/>
      <w:r w:rsidRPr="00C8328B">
        <w:rPr>
          <w:rStyle w:val="CharSectNo"/>
        </w:rPr>
        <w:t>6256</w:t>
      </w:r>
      <w:r>
        <w:tab/>
        <w:t>Appeals from registrar’s orders etc</w:t>
      </w:r>
      <w:bookmarkEnd w:id="1665"/>
    </w:p>
    <w:p w14:paraId="6797CE6C" w14:textId="77777777" w:rsidR="00D94935" w:rsidRDefault="00D94935" w:rsidP="00F72701">
      <w:pPr>
        <w:pStyle w:val="Amain"/>
        <w:keepNext/>
      </w:pPr>
      <w:r>
        <w:tab/>
        <w:t>(1)</w:t>
      </w:r>
      <w:r>
        <w:tab/>
        <w:t>This rule applies to the following orders:</w:t>
      </w:r>
    </w:p>
    <w:p w14:paraId="45D6E7B1" w14:textId="77777777"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14:paraId="60833EB3" w14:textId="77777777" w:rsidR="00D94935" w:rsidRDefault="00D94935" w:rsidP="00D94935">
      <w:pPr>
        <w:pStyle w:val="Apara"/>
      </w:pPr>
      <w:r>
        <w:tab/>
        <w:t>(b)</w:t>
      </w:r>
      <w:r>
        <w:tab/>
        <w:t>an order made by the registrar of the Magistrates Court in a civil proceeding;</w:t>
      </w:r>
    </w:p>
    <w:p w14:paraId="26094B38" w14:textId="77777777" w:rsidR="00D94935" w:rsidRDefault="00D94935" w:rsidP="00D94935">
      <w:pPr>
        <w:pStyle w:val="Apara"/>
      </w:pPr>
      <w:r>
        <w:tab/>
        <w:t>(c)</w:t>
      </w:r>
      <w:r>
        <w:tab/>
        <w:t>an order made by the registrar under rule 6253 (Registrar’s powers—subpoenas).</w:t>
      </w:r>
    </w:p>
    <w:p w14:paraId="4D97764A" w14:textId="77777777"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14:paraId="46A1D1A5" w14:textId="77777777"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14:paraId="48F47BD6" w14:textId="5108E9C0"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w:t>
      </w:r>
    </w:p>
    <w:p w14:paraId="663F92DD" w14:textId="5320FA84" w:rsidR="00D94935" w:rsidRDefault="00D94935" w:rsidP="00D94935">
      <w:pPr>
        <w:pStyle w:val="aNote"/>
      </w:pPr>
      <w:r w:rsidRPr="006364FA">
        <w:rPr>
          <w:rStyle w:val="charItals"/>
        </w:rPr>
        <w:t>Note</w:t>
      </w:r>
      <w:r>
        <w:tab/>
        <w:t xml:space="preserve">See the </w:t>
      </w:r>
      <w:hyperlink r:id="rId795" w:tooltip="A1933-34" w:history="1">
        <w:r w:rsidRPr="006364FA">
          <w:rPr>
            <w:rStyle w:val="charCitHyperlinkItal"/>
          </w:rPr>
          <w:t>Supreme Court Act 1933</w:t>
        </w:r>
      </w:hyperlink>
      <w:r>
        <w:t>, s 8 (Exercise of jurisdiction).</w:t>
      </w:r>
    </w:p>
    <w:p w14:paraId="2FF2051F" w14:textId="77777777" w:rsidR="00D94935" w:rsidRDefault="00D94935" w:rsidP="00EE2219">
      <w:pPr>
        <w:pStyle w:val="Amain"/>
        <w:keepLines/>
      </w:pPr>
      <w:r>
        <w:lastRenderedPageBreak/>
        <w:tab/>
        <w:t>(3)</w:t>
      </w:r>
      <w:r>
        <w:tab/>
        <w:t>If the order is made by the registrar of the Magistrates Court, and a party to the proceeding is dissatisfied with the order, the party may appeal, in accordance with these rules, to the Magistrates Court constituted by a magistrate.</w:t>
      </w:r>
    </w:p>
    <w:p w14:paraId="72BB521F" w14:textId="77777777" w:rsidR="00D94935" w:rsidRDefault="00D94935" w:rsidP="00D94935">
      <w:pPr>
        <w:pStyle w:val="Amain"/>
      </w:pPr>
      <w:r>
        <w:tab/>
        <w:t>(4)</w:t>
      </w:r>
      <w:r>
        <w:tab/>
        <w:t>The appeal is a rehearing of the matter anew.</w:t>
      </w:r>
    </w:p>
    <w:p w14:paraId="174A63A1" w14:textId="77777777"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14:paraId="1BDCCE6A" w14:textId="77777777" w:rsidR="00D94935" w:rsidRDefault="00D94935" w:rsidP="00161F41">
      <w:pPr>
        <w:pStyle w:val="Amain"/>
        <w:keepNext/>
        <w:keepLines/>
      </w:pPr>
      <w:r>
        <w:tab/>
        <w:t>(6)</w:t>
      </w:r>
      <w:r>
        <w:tab/>
        <w:t>If a party to the appeal requires the attendance of someone for examination at the hearing of the appeal, an affidavit made, or evidence given, by the person must not be used unless the person attends for examination or the court gives leave.</w:t>
      </w:r>
    </w:p>
    <w:p w14:paraId="00E7717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49F84AC7" w14:textId="77777777" w:rsidR="00D94935" w:rsidRDefault="00D94935" w:rsidP="00D94935">
      <w:pPr>
        <w:pStyle w:val="Amain"/>
        <w:keepNext/>
      </w:pPr>
      <w:r>
        <w:tab/>
        <w:t>(7)</w:t>
      </w:r>
      <w:r>
        <w:tab/>
        <w:t>The court may—</w:t>
      </w:r>
    </w:p>
    <w:p w14:paraId="555993C0" w14:textId="77777777" w:rsidR="00D94935" w:rsidRDefault="00D94935" w:rsidP="00D94935">
      <w:pPr>
        <w:pStyle w:val="Apara"/>
      </w:pPr>
      <w:r>
        <w:tab/>
        <w:t>(a)</w:t>
      </w:r>
      <w:r>
        <w:tab/>
        <w:t>confirm, amend or set aside the registrar’s order; and</w:t>
      </w:r>
    </w:p>
    <w:p w14:paraId="688621C9" w14:textId="77777777" w:rsidR="00D94935" w:rsidRDefault="00D94935" w:rsidP="00D94935">
      <w:pPr>
        <w:pStyle w:val="Apara"/>
      </w:pPr>
      <w:r>
        <w:tab/>
        <w:t>(b)</w:t>
      </w:r>
      <w:r>
        <w:tab/>
        <w:t>make any other order the court considers appropriate.</w:t>
      </w:r>
    </w:p>
    <w:p w14:paraId="7CCB1194" w14:textId="77777777"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14:paraId="156E5ABF" w14:textId="77777777" w:rsidR="00D94935" w:rsidRDefault="00D94935" w:rsidP="00D94935">
      <w:pPr>
        <w:pStyle w:val="PageBreak"/>
      </w:pPr>
      <w:r>
        <w:br w:type="page"/>
      </w:r>
    </w:p>
    <w:p w14:paraId="459C0E27" w14:textId="77777777" w:rsidR="00D94935" w:rsidRPr="00C8328B" w:rsidRDefault="00D94935" w:rsidP="00D94935">
      <w:pPr>
        <w:pStyle w:val="AH2Part"/>
      </w:pPr>
      <w:bookmarkStart w:id="1666" w:name="_Toc185515282"/>
      <w:r w:rsidRPr="00C8328B">
        <w:rPr>
          <w:rStyle w:val="CharPartNo"/>
        </w:rPr>
        <w:lastRenderedPageBreak/>
        <w:t>Part 6.6</w:t>
      </w:r>
      <w:r>
        <w:tab/>
      </w:r>
      <w:r w:rsidRPr="00C8328B">
        <w:rPr>
          <w:rStyle w:val="CharPartText"/>
        </w:rPr>
        <w:t>Registry</w:t>
      </w:r>
      <w:bookmarkEnd w:id="1666"/>
    </w:p>
    <w:p w14:paraId="0ED7D3ED" w14:textId="77777777" w:rsidR="005C024A" w:rsidRPr="00AB3DD5" w:rsidRDefault="005C024A" w:rsidP="005C024A">
      <w:pPr>
        <w:pStyle w:val="AH5Sec"/>
      </w:pPr>
      <w:bookmarkStart w:id="1667" w:name="_Toc185515283"/>
      <w:r w:rsidRPr="004B3701">
        <w:rPr>
          <w:rStyle w:val="CharSectNo"/>
        </w:rPr>
        <w:t>6300</w:t>
      </w:r>
      <w:r w:rsidRPr="00AB3DD5">
        <w:tab/>
        <w:t>Office hours</w:t>
      </w:r>
      <w:bookmarkEnd w:id="1667"/>
    </w:p>
    <w:p w14:paraId="08E9D1D7" w14:textId="77777777" w:rsidR="005C024A" w:rsidRPr="00AB3DD5" w:rsidRDefault="005C024A" w:rsidP="005C024A">
      <w:pPr>
        <w:pStyle w:val="Amain"/>
      </w:pPr>
      <w:r w:rsidRPr="00AB3DD5">
        <w:tab/>
        <w:t>(1)</w:t>
      </w:r>
      <w:r w:rsidRPr="00AB3DD5">
        <w:tab/>
        <w:t>The registry must be open between 9.15 am and 1 pm, and between 2 pm and 4.15 pm, each day other than—</w:t>
      </w:r>
    </w:p>
    <w:p w14:paraId="0D23D510" w14:textId="77777777" w:rsidR="005C024A" w:rsidRPr="00AB3DD5" w:rsidRDefault="005C024A" w:rsidP="005C024A">
      <w:pPr>
        <w:pStyle w:val="Apara"/>
      </w:pPr>
      <w:r w:rsidRPr="00AB3DD5">
        <w:tab/>
        <w:t>(a)</w:t>
      </w:r>
      <w:r w:rsidRPr="00AB3DD5">
        <w:tab/>
        <w:t>a Saturday, Sunday or public holiday; or</w:t>
      </w:r>
    </w:p>
    <w:p w14:paraId="32B183E1" w14:textId="77777777" w:rsidR="005C024A" w:rsidRPr="00AB3DD5" w:rsidRDefault="005C024A" w:rsidP="005C024A">
      <w:pPr>
        <w:pStyle w:val="Apara"/>
      </w:pPr>
      <w:r w:rsidRPr="00AB3DD5">
        <w:tab/>
        <w:t>(b)</w:t>
      </w:r>
      <w:r w:rsidRPr="00AB3DD5">
        <w:tab/>
        <w:t>a day that falls between 26 December in a year and 1 January the following year; or</w:t>
      </w:r>
    </w:p>
    <w:p w14:paraId="5F1D2A00" w14:textId="77777777" w:rsidR="005C024A" w:rsidRPr="00AB3DD5" w:rsidRDefault="005C024A" w:rsidP="005C024A">
      <w:pPr>
        <w:pStyle w:val="Apara"/>
      </w:pPr>
      <w:r w:rsidRPr="00AB3DD5">
        <w:tab/>
        <w:t>(c)</w:t>
      </w:r>
      <w:r w:rsidRPr="00AB3DD5">
        <w:tab/>
        <w:t>a day, or part of a day, when a registrar directs that the registry is to be closed.</w:t>
      </w:r>
    </w:p>
    <w:p w14:paraId="7CE124FA" w14:textId="77777777" w:rsidR="005C024A" w:rsidRPr="00AB3DD5" w:rsidRDefault="005C024A" w:rsidP="005C024A">
      <w:pPr>
        <w:pStyle w:val="Amain"/>
      </w:pPr>
      <w:r w:rsidRPr="00AB3DD5">
        <w:tab/>
        <w:t>(2)</w:t>
      </w:r>
      <w:r w:rsidRPr="00AB3DD5">
        <w:tab/>
        <w:t>Before making a direction under subrule (1) (c), the registrar must if practicable consult the Chief Justice, the Chief Magistrate and the registrar of the other court.</w:t>
      </w:r>
    </w:p>
    <w:p w14:paraId="645488FF" w14:textId="77777777" w:rsidR="005C024A" w:rsidRPr="00AB3DD5" w:rsidRDefault="005C024A" w:rsidP="005C024A">
      <w:pPr>
        <w:pStyle w:val="Amain"/>
      </w:pPr>
      <w:r w:rsidRPr="00AB3DD5">
        <w:tab/>
        <w:t>(3)</w:t>
      </w:r>
      <w:r w:rsidRPr="00AB3DD5">
        <w:tab/>
        <w:t>A registrar may open the registry at other times.</w:t>
      </w:r>
    </w:p>
    <w:p w14:paraId="1A189A59" w14:textId="77777777" w:rsidR="005C024A" w:rsidRPr="00AB3DD5" w:rsidRDefault="005C024A" w:rsidP="005C024A">
      <w:pPr>
        <w:pStyle w:val="Amain"/>
      </w:pPr>
      <w:r w:rsidRPr="00AB3DD5">
        <w:tab/>
        <w:t>(4)</w:t>
      </w:r>
      <w:r w:rsidRPr="00AB3DD5">
        <w:tab/>
        <w:t>In this rule:</w:t>
      </w:r>
    </w:p>
    <w:p w14:paraId="3CE5F78A" w14:textId="77777777" w:rsidR="005C024A" w:rsidRPr="00AB3DD5" w:rsidRDefault="005C024A" w:rsidP="005C024A">
      <w:pPr>
        <w:pStyle w:val="aDef"/>
      </w:pPr>
      <w:r w:rsidRPr="00AB3DD5">
        <w:rPr>
          <w:rStyle w:val="charBoldItals"/>
        </w:rPr>
        <w:t>registrar</w:t>
      </w:r>
      <w:r w:rsidRPr="00AB3DD5">
        <w:t xml:space="preserve"> does not include a deputy registrar.</w:t>
      </w:r>
    </w:p>
    <w:p w14:paraId="5D562D3E" w14:textId="77777777" w:rsidR="00D94935" w:rsidRDefault="00D94935" w:rsidP="00D94935">
      <w:pPr>
        <w:pStyle w:val="AH5Sec"/>
      </w:pPr>
      <w:bookmarkStart w:id="1668" w:name="_Toc185515284"/>
      <w:r w:rsidRPr="00C8328B">
        <w:rPr>
          <w:rStyle w:val="CharSectNo"/>
        </w:rPr>
        <w:t>6301</w:t>
      </w:r>
      <w:r>
        <w:tab/>
        <w:t>Registrar’s duties</w:t>
      </w:r>
      <w:bookmarkEnd w:id="1668"/>
    </w:p>
    <w:p w14:paraId="4E1281A2" w14:textId="77777777" w:rsidR="00D94935" w:rsidRDefault="00D94935" w:rsidP="00D94935">
      <w:pPr>
        <w:pStyle w:val="Amainreturn"/>
      </w:pPr>
      <w:r>
        <w:t>The registrar must—</w:t>
      </w:r>
    </w:p>
    <w:p w14:paraId="37040316" w14:textId="77777777" w:rsidR="00D94935" w:rsidRDefault="00D94935" w:rsidP="00D94935">
      <w:pPr>
        <w:pStyle w:val="Apara"/>
      </w:pPr>
      <w:r>
        <w:tab/>
        <w:t>(a)</w:t>
      </w:r>
      <w:r>
        <w:tab/>
        <w:t>register all records, orders and convictions of the court; and</w:t>
      </w:r>
    </w:p>
    <w:p w14:paraId="2FF737AA" w14:textId="77777777" w:rsidR="00D94935" w:rsidRDefault="00D94935" w:rsidP="00D94935">
      <w:pPr>
        <w:pStyle w:val="Apara"/>
      </w:pPr>
      <w:r>
        <w:tab/>
        <w:t>(b)</w:t>
      </w:r>
      <w:r>
        <w:tab/>
        <w:t>keep an account of all proceedings of the court; and</w:t>
      </w:r>
    </w:p>
    <w:p w14:paraId="3A1F31FA" w14:textId="77777777" w:rsidR="00D94935" w:rsidRDefault="00D94935" w:rsidP="00D94935">
      <w:pPr>
        <w:pStyle w:val="Apara"/>
      </w:pPr>
      <w:r>
        <w:tab/>
        <w:t>(c)</w:t>
      </w:r>
      <w:r>
        <w:tab/>
        <w:t>take charge, and keep an account, of all court fees, fines, penalties and costs and other amounts payable or paid into court, and of all amounts paid out of court.</w:t>
      </w:r>
    </w:p>
    <w:p w14:paraId="59CD06A8" w14:textId="77777777" w:rsidR="00D94935" w:rsidRDefault="00D94935" w:rsidP="00D94935">
      <w:pPr>
        <w:pStyle w:val="AH5Sec"/>
      </w:pPr>
      <w:bookmarkStart w:id="1669" w:name="_Toc185515285"/>
      <w:r w:rsidRPr="00C8328B">
        <w:rPr>
          <w:rStyle w:val="CharSectNo"/>
        </w:rPr>
        <w:lastRenderedPageBreak/>
        <w:t>6302</w:t>
      </w:r>
      <w:r>
        <w:tab/>
        <w:t>Cause book</w:t>
      </w:r>
      <w:bookmarkEnd w:id="1669"/>
    </w:p>
    <w:p w14:paraId="298535C5" w14:textId="77777777" w:rsidR="00D94935" w:rsidRDefault="00D94935" w:rsidP="00D20B46">
      <w:pPr>
        <w:pStyle w:val="Amain"/>
        <w:keepNext/>
      </w:pPr>
      <w:r>
        <w:tab/>
        <w:t>(1)</w:t>
      </w:r>
      <w:r>
        <w:tab/>
        <w:t>The registrar may keep a cause book.</w:t>
      </w:r>
    </w:p>
    <w:p w14:paraId="766C9F21" w14:textId="77777777" w:rsidR="00D94935" w:rsidRDefault="00D94935" w:rsidP="00D20B46">
      <w:pPr>
        <w:pStyle w:val="Amain"/>
        <w:keepNext/>
      </w:pPr>
      <w:r>
        <w:tab/>
        <w:t>(2)</w:t>
      </w:r>
      <w:r>
        <w:tab/>
        <w:t>The cause book—</w:t>
      </w:r>
    </w:p>
    <w:p w14:paraId="4021A9A7" w14:textId="77777777" w:rsidR="00D94935" w:rsidRDefault="00D94935" w:rsidP="00D94935">
      <w:pPr>
        <w:pStyle w:val="Apara"/>
      </w:pPr>
      <w:r>
        <w:tab/>
        <w:t>(a)</w:t>
      </w:r>
      <w:r>
        <w:tab/>
        <w:t>must be kept in accordance with the directions of the court; and</w:t>
      </w:r>
    </w:p>
    <w:p w14:paraId="66763E76" w14:textId="77777777" w:rsidR="00D94935" w:rsidRDefault="00D94935" w:rsidP="00D94935">
      <w:pPr>
        <w:pStyle w:val="Apara"/>
      </w:pPr>
      <w:r>
        <w:tab/>
        <w:t>(b)</w:t>
      </w:r>
      <w:r>
        <w:tab/>
        <w:t>may be kept in electronic form.</w:t>
      </w:r>
    </w:p>
    <w:p w14:paraId="61472A0E" w14:textId="77777777" w:rsidR="00D94935" w:rsidRDefault="00D94935" w:rsidP="00F72701">
      <w:pPr>
        <w:pStyle w:val="Amain"/>
        <w:keepNext/>
      </w:pPr>
      <w:r>
        <w:tab/>
        <w:t>(3)</w:t>
      </w:r>
      <w:r>
        <w:tab/>
        <w:t>The registrar must record in the cause book, for each originating process filed—</w:t>
      </w:r>
    </w:p>
    <w:p w14:paraId="0225383A" w14:textId="77777777" w:rsidR="00D94935" w:rsidRDefault="00D94935" w:rsidP="00D94935">
      <w:pPr>
        <w:pStyle w:val="Apara"/>
      </w:pPr>
      <w:r>
        <w:tab/>
        <w:t>(a)</w:t>
      </w:r>
      <w:r>
        <w:tab/>
        <w:t>the distinguishing number or other unique identifier given to the proceeding under rule 71 (Numbering etc of proceedings); and</w:t>
      </w:r>
    </w:p>
    <w:p w14:paraId="68EAB414" w14:textId="77777777" w:rsidR="00D94935" w:rsidRDefault="00D94935" w:rsidP="00D94935">
      <w:pPr>
        <w:pStyle w:val="Apara"/>
      </w:pPr>
      <w:r>
        <w:tab/>
        <w:t>(b)</w:t>
      </w:r>
      <w:r>
        <w:tab/>
        <w:t>the date when—</w:t>
      </w:r>
    </w:p>
    <w:p w14:paraId="0F0B4727" w14:textId="77777777" w:rsidR="00D94935" w:rsidRDefault="00D94935" w:rsidP="00D94935">
      <w:pPr>
        <w:pStyle w:val="Asubpara"/>
      </w:pPr>
      <w:r>
        <w:tab/>
        <w:t>(i)</w:t>
      </w:r>
      <w:r>
        <w:tab/>
        <w:t>the process was filed in the court; or</w:t>
      </w:r>
    </w:p>
    <w:p w14:paraId="3EB54C27" w14:textId="77777777" w:rsidR="00D94935" w:rsidRDefault="00D94935" w:rsidP="00D94935">
      <w:pPr>
        <w:pStyle w:val="Asubpara"/>
      </w:pPr>
      <w:r>
        <w:tab/>
        <w:t>(ii)</w:t>
      </w:r>
      <w:r>
        <w:tab/>
        <w:t>if the proceeding was started by oral originating application—the application was made; and</w:t>
      </w:r>
    </w:p>
    <w:p w14:paraId="4C375BB8" w14:textId="77777777" w:rsidR="00D94935" w:rsidRDefault="00D94935" w:rsidP="00D94935">
      <w:pPr>
        <w:pStyle w:val="Apara"/>
      </w:pPr>
      <w:r>
        <w:tab/>
        <w:t>(c)</w:t>
      </w:r>
      <w:r>
        <w:tab/>
        <w:t>the other information that the court directs; and</w:t>
      </w:r>
    </w:p>
    <w:p w14:paraId="02C67CBC" w14:textId="77777777" w:rsidR="00D94935" w:rsidRDefault="00D94935" w:rsidP="00D94935">
      <w:pPr>
        <w:pStyle w:val="Apara"/>
        <w:keepNext/>
      </w:pPr>
      <w:r>
        <w:tab/>
        <w:t>(d)</w:t>
      </w:r>
      <w:r>
        <w:tab/>
        <w:t>any other information required under a territory law.</w:t>
      </w:r>
    </w:p>
    <w:p w14:paraId="13ABF870" w14:textId="72AF756A"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6" w:tooltip="A2001-14" w:history="1">
        <w:r w:rsidRPr="006364FA">
          <w:rPr>
            <w:rStyle w:val="charCitHyperlinkAbbrev"/>
          </w:rPr>
          <w:t>Legislation Act</w:t>
        </w:r>
      </w:hyperlink>
      <w:r>
        <w:rPr>
          <w:iCs/>
        </w:rPr>
        <w:t>, s 98).</w:t>
      </w:r>
    </w:p>
    <w:p w14:paraId="4766A6BF" w14:textId="77777777" w:rsidR="00D94935" w:rsidRDefault="00D94935" w:rsidP="00D94935">
      <w:pPr>
        <w:pStyle w:val="Amain"/>
        <w:keepNext/>
      </w:pPr>
      <w:r>
        <w:tab/>
        <w:t>(4)</w:t>
      </w:r>
      <w:r>
        <w:tab/>
        <w:t>The registrar must also include in the cause book any other information required under a territory law.</w:t>
      </w:r>
    </w:p>
    <w:p w14:paraId="4817D7DC" w14:textId="77777777"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14:paraId="55C0F108" w14:textId="77777777" w:rsidR="00D94935" w:rsidRDefault="00D94935" w:rsidP="00D94935">
      <w:pPr>
        <w:pStyle w:val="Amain"/>
      </w:pPr>
      <w:r>
        <w:tab/>
        <w:t>(5)</w:t>
      </w:r>
      <w:r>
        <w:tab/>
        <w:t>The registrar may record any other information in the cause book.</w:t>
      </w:r>
    </w:p>
    <w:p w14:paraId="65EB9F23" w14:textId="77777777" w:rsidR="00D94935" w:rsidRDefault="00D94935" w:rsidP="00D94935">
      <w:pPr>
        <w:pStyle w:val="Amain"/>
      </w:pPr>
      <w:r>
        <w:tab/>
        <w:t>(6)</w:t>
      </w:r>
      <w:r>
        <w:tab/>
        <w:t>This rule applies only to the Supreme Court.</w:t>
      </w:r>
    </w:p>
    <w:p w14:paraId="1B44FCC0" w14:textId="77777777" w:rsidR="00D94935" w:rsidRDefault="00D94935" w:rsidP="00D94935">
      <w:pPr>
        <w:pStyle w:val="AH5Sec"/>
      </w:pPr>
      <w:bookmarkStart w:id="1670" w:name="_Toc185515286"/>
      <w:r w:rsidRPr="00C8328B">
        <w:rPr>
          <w:rStyle w:val="CharSectNo"/>
        </w:rPr>
        <w:t>6303</w:t>
      </w:r>
      <w:r>
        <w:tab/>
        <w:t>Registrar to keep seals</w:t>
      </w:r>
      <w:bookmarkEnd w:id="1670"/>
    </w:p>
    <w:p w14:paraId="40A10EF7" w14:textId="77777777" w:rsidR="00D94935" w:rsidRDefault="00D94935" w:rsidP="00D94935">
      <w:pPr>
        <w:pStyle w:val="Amain"/>
        <w:keepNext/>
      </w:pPr>
      <w:r>
        <w:tab/>
        <w:t>(1)</w:t>
      </w:r>
      <w:r>
        <w:tab/>
        <w:t>The registrar of the Supreme Court must keep the following seals:</w:t>
      </w:r>
    </w:p>
    <w:p w14:paraId="7DC802ED" w14:textId="77777777" w:rsidR="00D94935" w:rsidRDefault="00D94935" w:rsidP="00D94935">
      <w:pPr>
        <w:pStyle w:val="Apara"/>
      </w:pPr>
      <w:r>
        <w:tab/>
        <w:t>(a)</w:t>
      </w:r>
      <w:r>
        <w:tab/>
        <w:t>the seal of the Court of Appeal;</w:t>
      </w:r>
    </w:p>
    <w:p w14:paraId="7D253F32" w14:textId="77777777" w:rsidR="00D94935" w:rsidRDefault="00D94935" w:rsidP="00D94935">
      <w:pPr>
        <w:pStyle w:val="Apara"/>
      </w:pPr>
      <w:r>
        <w:lastRenderedPageBreak/>
        <w:tab/>
        <w:t>(b)</w:t>
      </w:r>
      <w:r>
        <w:tab/>
        <w:t>the seal of the Supreme Court.</w:t>
      </w:r>
    </w:p>
    <w:p w14:paraId="18F6602C" w14:textId="77777777" w:rsidR="00D94935" w:rsidRDefault="00D94935" w:rsidP="00D94935">
      <w:pPr>
        <w:pStyle w:val="Amain"/>
        <w:keepNext/>
      </w:pPr>
      <w:r>
        <w:tab/>
        <w:t>(2)</w:t>
      </w:r>
      <w:r>
        <w:tab/>
        <w:t>The registrar of the Magistrates Court must keep the following seals:</w:t>
      </w:r>
    </w:p>
    <w:p w14:paraId="3ED426F7" w14:textId="77777777" w:rsidR="00D94935" w:rsidRDefault="00D94935" w:rsidP="00F72701">
      <w:pPr>
        <w:pStyle w:val="Apara"/>
        <w:keepNext/>
      </w:pPr>
      <w:r>
        <w:tab/>
        <w:t>(a)</w:t>
      </w:r>
      <w:r>
        <w:tab/>
        <w:t>the seal of the Magistrates Court;</w:t>
      </w:r>
    </w:p>
    <w:p w14:paraId="6BE7A74C" w14:textId="77777777" w:rsidR="00D94935" w:rsidRDefault="00D94935" w:rsidP="00F72701">
      <w:pPr>
        <w:pStyle w:val="Apara"/>
        <w:keepNext/>
      </w:pPr>
      <w:r>
        <w:tab/>
        <w:t>(b)</w:t>
      </w:r>
      <w:r>
        <w:tab/>
        <w:t>the seal of the Coroner’s Court;</w:t>
      </w:r>
    </w:p>
    <w:p w14:paraId="3109F915" w14:textId="77777777" w:rsidR="00D94935" w:rsidRDefault="00D94935" w:rsidP="00D94935">
      <w:pPr>
        <w:pStyle w:val="Apara"/>
      </w:pPr>
      <w:r>
        <w:tab/>
        <w:t>(c)</w:t>
      </w:r>
      <w:r>
        <w:tab/>
      </w:r>
      <w:r w:rsidR="003A5044">
        <w:t>the seal of the Childrens Court;</w:t>
      </w:r>
    </w:p>
    <w:p w14:paraId="66A578D0" w14:textId="77777777" w:rsidR="003B3E48" w:rsidRPr="00266A34" w:rsidRDefault="003B3E48" w:rsidP="003B3E48">
      <w:pPr>
        <w:pStyle w:val="Apara"/>
      </w:pPr>
      <w:r w:rsidRPr="00266A34">
        <w:tab/>
        <w:t>(d)</w:t>
      </w:r>
      <w:r w:rsidRPr="00266A34">
        <w:tab/>
        <w:t>the seal of the Industrial Court;</w:t>
      </w:r>
    </w:p>
    <w:p w14:paraId="7518A9C3" w14:textId="77777777" w:rsidR="003B3E48" w:rsidRPr="00266A34" w:rsidRDefault="003B3E48" w:rsidP="003B3E48">
      <w:pPr>
        <w:pStyle w:val="Apara"/>
      </w:pPr>
      <w:r w:rsidRPr="00266A34">
        <w:tab/>
        <w:t>(e)</w:t>
      </w:r>
      <w:r w:rsidRPr="00266A34">
        <w:tab/>
        <w:t>the seal of the Family Violence Court;</w:t>
      </w:r>
    </w:p>
    <w:p w14:paraId="4E3594C0" w14:textId="77777777" w:rsidR="003B3E48" w:rsidRDefault="003B3E48" w:rsidP="003B3E48">
      <w:pPr>
        <w:pStyle w:val="Apara"/>
      </w:pPr>
      <w:r w:rsidRPr="00266A34">
        <w:tab/>
        <w:t>(f)</w:t>
      </w:r>
      <w:r w:rsidRPr="00266A34">
        <w:tab/>
        <w:t>the seal of the Galambany Court.</w:t>
      </w:r>
    </w:p>
    <w:p w14:paraId="78986DC7" w14:textId="77777777" w:rsidR="00D94935" w:rsidRDefault="00D94935" w:rsidP="00D94935">
      <w:pPr>
        <w:pStyle w:val="AH5Sec"/>
      </w:pPr>
      <w:bookmarkStart w:id="1671" w:name="_Toc185515287"/>
      <w:r w:rsidRPr="00C8328B">
        <w:rPr>
          <w:rStyle w:val="CharSectNo"/>
        </w:rPr>
        <w:t>6304</w:t>
      </w:r>
      <w:r>
        <w:tab/>
        <w:t>Documents—sealing and stamping</w:t>
      </w:r>
      <w:bookmarkEnd w:id="1671"/>
    </w:p>
    <w:p w14:paraId="0AB857F1" w14:textId="77777777" w:rsidR="00D94935" w:rsidRDefault="00D94935" w:rsidP="00D94935">
      <w:pPr>
        <w:pStyle w:val="Amain"/>
      </w:pPr>
      <w:r>
        <w:tab/>
        <w:t>(1)</w:t>
      </w:r>
      <w:r>
        <w:tab/>
        <w:t>A document must be sealed if the document is—</w:t>
      </w:r>
    </w:p>
    <w:p w14:paraId="5D127AB6" w14:textId="77777777" w:rsidR="00D94935" w:rsidRDefault="00D94935" w:rsidP="00D94935">
      <w:pPr>
        <w:pStyle w:val="Apara"/>
      </w:pPr>
      <w:r>
        <w:tab/>
        <w:t>(a)</w:t>
      </w:r>
      <w:r>
        <w:tab/>
        <w:t>issued by the court; and</w:t>
      </w:r>
    </w:p>
    <w:p w14:paraId="28FA80DE" w14:textId="77777777" w:rsidR="00D94935" w:rsidRDefault="00D94935" w:rsidP="00D94935">
      <w:pPr>
        <w:pStyle w:val="Apara"/>
      </w:pPr>
      <w:r>
        <w:tab/>
        <w:t>(b)</w:t>
      </w:r>
      <w:r>
        <w:tab/>
        <w:t>required to be sealed under these rules.</w:t>
      </w:r>
    </w:p>
    <w:p w14:paraId="6486519E" w14:textId="543D310D" w:rsidR="003D208D" w:rsidRPr="00C1177F" w:rsidRDefault="003D208D" w:rsidP="003D208D">
      <w:pPr>
        <w:pStyle w:val="Amain"/>
      </w:pPr>
      <w:r w:rsidRPr="00C1177F">
        <w:tab/>
        <w:t>(</w:t>
      </w:r>
      <w:r>
        <w:t>2</w:t>
      </w:r>
      <w:r w:rsidRPr="00C1177F">
        <w:t>)</w:t>
      </w:r>
      <w:r w:rsidRPr="00C1177F">
        <w:tab/>
        <w:t>The registrar may stamp a document filed electronically to indicate that it has been filed if—</w:t>
      </w:r>
    </w:p>
    <w:p w14:paraId="0FF5FDE8" w14:textId="77777777" w:rsidR="003D208D" w:rsidRPr="00C1177F" w:rsidRDefault="003D208D" w:rsidP="003D208D">
      <w:pPr>
        <w:pStyle w:val="Apara"/>
      </w:pPr>
      <w:r w:rsidRPr="00C1177F">
        <w:tab/>
        <w:t>(a)</w:t>
      </w:r>
      <w:r w:rsidRPr="00C1177F">
        <w:tab/>
        <w:t>the document has been filed by a party; and</w:t>
      </w:r>
    </w:p>
    <w:p w14:paraId="6B1A6926" w14:textId="4A8FB177" w:rsidR="003D208D" w:rsidRPr="00C1177F" w:rsidRDefault="003D208D" w:rsidP="003D208D">
      <w:pPr>
        <w:pStyle w:val="Apara"/>
      </w:pPr>
      <w:r w:rsidRPr="00C1177F">
        <w:tab/>
        <w:t>(b)</w:t>
      </w:r>
      <w:r w:rsidRPr="00C1177F">
        <w:tab/>
        <w:t>a copy of the document must or may be served on another party; but</w:t>
      </w:r>
    </w:p>
    <w:p w14:paraId="6F40B5A9" w14:textId="77777777" w:rsidR="003D208D" w:rsidRPr="00C1177F" w:rsidRDefault="003D208D" w:rsidP="003D208D">
      <w:pPr>
        <w:pStyle w:val="Apara"/>
      </w:pPr>
      <w:r w:rsidRPr="00C1177F">
        <w:tab/>
        <w:t>(c)</w:t>
      </w:r>
      <w:r w:rsidRPr="00C1177F">
        <w:tab/>
        <w:t>the document is not required to be sealed under these rules.</w:t>
      </w:r>
    </w:p>
    <w:p w14:paraId="2D2E9BF1" w14:textId="4A6E58A6" w:rsidR="00D94935" w:rsidRDefault="00D94935" w:rsidP="00D94935">
      <w:pPr>
        <w:pStyle w:val="Amain"/>
      </w:pPr>
      <w:r>
        <w:tab/>
        <w:t>(</w:t>
      </w:r>
      <w:r w:rsidR="003D208D">
        <w:t>3</w:t>
      </w:r>
      <w:r>
        <w:t>)</w:t>
      </w:r>
      <w:r>
        <w:tab/>
        <w:t>The registrar may stamp a copy of a document to indicate that it is a copy of a filed document if—</w:t>
      </w:r>
    </w:p>
    <w:p w14:paraId="7021377A" w14:textId="77777777" w:rsidR="00D94935" w:rsidRDefault="00D94935" w:rsidP="00D94935">
      <w:pPr>
        <w:pStyle w:val="Apara"/>
      </w:pPr>
      <w:r>
        <w:tab/>
        <w:t>(a)</w:t>
      </w:r>
      <w:r>
        <w:tab/>
        <w:t>the document has been filed by a party; and</w:t>
      </w:r>
    </w:p>
    <w:p w14:paraId="455A35BC" w14:textId="77777777" w:rsidR="00D94935" w:rsidRDefault="00D94935" w:rsidP="00D94935">
      <w:pPr>
        <w:pStyle w:val="Apara"/>
      </w:pPr>
      <w:r>
        <w:tab/>
        <w:t>(b)</w:t>
      </w:r>
      <w:r>
        <w:tab/>
        <w:t>a copy of the document must or may be served on another party.</w:t>
      </w:r>
    </w:p>
    <w:p w14:paraId="3B8BAE49" w14:textId="029B303F" w:rsidR="00F87CEB" w:rsidRPr="00CE5D4D" w:rsidRDefault="00F87CEB" w:rsidP="00F87CEB">
      <w:pPr>
        <w:pStyle w:val="AH5Sec"/>
      </w:pPr>
      <w:bookmarkStart w:id="1672" w:name="_Toc185515288"/>
      <w:r>
        <w:rPr>
          <w:rStyle w:val="CharSectNo"/>
        </w:rPr>
        <w:lastRenderedPageBreak/>
        <w:t>6304A</w:t>
      </w:r>
      <w:r w:rsidRPr="00CE5D4D">
        <w:tab/>
        <w:t>Signing, sealing and stamping documents filed electronically</w:t>
      </w:r>
      <w:bookmarkEnd w:id="1672"/>
    </w:p>
    <w:p w14:paraId="78AA0D3E" w14:textId="77777777" w:rsidR="00F87CEB" w:rsidRPr="00CE5D4D" w:rsidRDefault="00F87CEB" w:rsidP="00F87CEB">
      <w:pPr>
        <w:pStyle w:val="Amain"/>
      </w:pPr>
      <w:r w:rsidRPr="00CE5D4D">
        <w:tab/>
        <w:t>(1)</w:t>
      </w:r>
      <w:r w:rsidRPr="00CE5D4D">
        <w:tab/>
        <w:t>This rule applies if—</w:t>
      </w:r>
    </w:p>
    <w:p w14:paraId="2ECB04DA" w14:textId="77777777" w:rsidR="00F87CEB" w:rsidRPr="00CE5D4D" w:rsidRDefault="00F87CEB" w:rsidP="00F87CEB">
      <w:pPr>
        <w:pStyle w:val="Apara"/>
      </w:pPr>
      <w:r w:rsidRPr="00CE5D4D">
        <w:tab/>
        <w:t>(a)</w:t>
      </w:r>
      <w:r w:rsidRPr="00CE5D4D">
        <w:tab/>
        <w:t xml:space="preserve">these rules require a document to be signed by a </w:t>
      </w:r>
      <w:r w:rsidRPr="00DF4CDF">
        <w:rPr>
          <w:color w:val="000000"/>
        </w:rPr>
        <w:t>registrar</w:t>
      </w:r>
      <w:r w:rsidRPr="00CE5D4D">
        <w:t>, sealed or stamped; and</w:t>
      </w:r>
    </w:p>
    <w:p w14:paraId="3D85E674" w14:textId="77777777" w:rsidR="00F87CEB" w:rsidRPr="00CE5D4D" w:rsidRDefault="00F87CEB" w:rsidP="00F87CEB">
      <w:pPr>
        <w:pStyle w:val="Apara"/>
      </w:pPr>
      <w:r w:rsidRPr="00CE5D4D">
        <w:tab/>
        <w:t>(b)</w:t>
      </w:r>
      <w:r w:rsidRPr="00CE5D4D">
        <w:tab/>
        <w:t>the document is—</w:t>
      </w:r>
    </w:p>
    <w:p w14:paraId="54E6C003" w14:textId="77777777" w:rsidR="00F87CEB" w:rsidRPr="00CE5D4D" w:rsidRDefault="00F87CEB" w:rsidP="00F87CEB">
      <w:pPr>
        <w:pStyle w:val="Asubpara"/>
      </w:pPr>
      <w:r w:rsidRPr="00CE5D4D">
        <w:tab/>
        <w:t>(i)</w:t>
      </w:r>
      <w:r w:rsidRPr="00CE5D4D">
        <w:tab/>
        <w:t>filed electronically in the court; or</w:t>
      </w:r>
    </w:p>
    <w:p w14:paraId="3361250F" w14:textId="77777777" w:rsidR="00F87CEB" w:rsidRPr="00CE5D4D" w:rsidRDefault="00F87CEB" w:rsidP="00F87CEB">
      <w:pPr>
        <w:pStyle w:val="Asubpara"/>
      </w:pPr>
      <w:r w:rsidRPr="00CE5D4D">
        <w:tab/>
        <w:t>(ii)</w:t>
      </w:r>
      <w:r w:rsidRPr="00CE5D4D">
        <w:tab/>
        <w:t>issued electronically by the court.</w:t>
      </w:r>
    </w:p>
    <w:p w14:paraId="30D76E7E" w14:textId="77777777" w:rsidR="00F87CEB" w:rsidRPr="00C1177F" w:rsidRDefault="00F87CEB" w:rsidP="00F87CEB">
      <w:pPr>
        <w:pStyle w:val="Amain"/>
      </w:pPr>
      <w:r w:rsidRPr="00C1177F">
        <w:tab/>
        <w:t>(2)</w:t>
      </w:r>
      <w:r w:rsidRPr="00C1177F">
        <w:tab/>
        <w:t>The signature of the registrar, and the seal or stamp of the court, may be affixed to the document electronically.</w:t>
      </w:r>
    </w:p>
    <w:p w14:paraId="13208972" w14:textId="11AE46D8" w:rsidR="00F87CEB" w:rsidRPr="00CE5D4D" w:rsidRDefault="00F87CEB" w:rsidP="00F87CEB">
      <w:pPr>
        <w:pStyle w:val="AH5Sec"/>
      </w:pPr>
      <w:bookmarkStart w:id="1673" w:name="_Toc185515289"/>
      <w:r>
        <w:rPr>
          <w:rStyle w:val="CharSectNo"/>
        </w:rPr>
        <w:t>6304B</w:t>
      </w:r>
      <w:r w:rsidRPr="00CE5D4D">
        <w:tab/>
        <w:t>Issue of documents electronically by court</w:t>
      </w:r>
      <w:bookmarkEnd w:id="1673"/>
    </w:p>
    <w:p w14:paraId="6245947B" w14:textId="77777777" w:rsidR="00F87CEB" w:rsidRPr="00CE5D4D" w:rsidRDefault="00F87CEB" w:rsidP="00F87CEB">
      <w:pPr>
        <w:pStyle w:val="Amain"/>
      </w:pPr>
      <w:r w:rsidRPr="00CE5D4D">
        <w:tab/>
        <w:t>(1)</w:t>
      </w:r>
      <w:r w:rsidRPr="00CE5D4D">
        <w:tab/>
        <w:t>If these rules require the court to issue a document to a person in a proceeding, the court may issue the document by—</w:t>
      </w:r>
    </w:p>
    <w:p w14:paraId="225E2A1F" w14:textId="77777777" w:rsidR="00F87CEB" w:rsidRPr="00CE5D4D" w:rsidRDefault="00F87CEB" w:rsidP="00F87CEB">
      <w:pPr>
        <w:pStyle w:val="Apara"/>
      </w:pPr>
      <w:r w:rsidRPr="00CE5D4D">
        <w:tab/>
        <w:t>(a)</w:t>
      </w:r>
      <w:r w:rsidRPr="00CE5D4D">
        <w:tab/>
        <w:t xml:space="preserve">if the person is a registered user of the </w:t>
      </w:r>
      <w:r w:rsidRPr="00C1177F">
        <w:t>electronic lodgment facility</w:t>
      </w:r>
      <w:r w:rsidRPr="00CE5D4D">
        <w:t xml:space="preserve">—advising the person by email that the document is available on the </w:t>
      </w:r>
      <w:r w:rsidRPr="00C1177F">
        <w:t>electronic lodgment facility</w:t>
      </w:r>
      <w:r w:rsidRPr="00CE5D4D">
        <w:t xml:space="preserve"> in the file for the proceeding; or</w:t>
      </w:r>
    </w:p>
    <w:p w14:paraId="1182AF45" w14:textId="77777777" w:rsidR="00F87CEB" w:rsidRPr="00CE5D4D" w:rsidRDefault="00F87CEB" w:rsidP="00F87CEB">
      <w:pPr>
        <w:pStyle w:val="Apara"/>
      </w:pPr>
      <w:r w:rsidRPr="00CE5D4D">
        <w:tab/>
        <w:t>(b)</w:t>
      </w:r>
      <w:r w:rsidRPr="00CE5D4D">
        <w:tab/>
        <w:t>if the person has given an address for service that includes an email address—emailing the document to the email address.</w:t>
      </w:r>
    </w:p>
    <w:p w14:paraId="5D8AB2E5" w14:textId="77777777" w:rsidR="00F87CEB" w:rsidRPr="00CE5D4D" w:rsidRDefault="00F87CEB" w:rsidP="00F87CEB">
      <w:pPr>
        <w:pStyle w:val="Amain"/>
      </w:pPr>
      <w:r w:rsidRPr="00CE5D4D">
        <w:tab/>
        <w:t>(2)</w:t>
      </w:r>
      <w:r w:rsidRPr="00CE5D4D">
        <w:tab/>
        <w:t>A document issued under subrule (1) must state the date and time the document is issued.</w:t>
      </w:r>
    </w:p>
    <w:p w14:paraId="30CC5539" w14:textId="77777777" w:rsidR="00D94935" w:rsidRDefault="00D94935" w:rsidP="00D94935">
      <w:pPr>
        <w:pStyle w:val="AH5Sec"/>
      </w:pPr>
      <w:bookmarkStart w:id="1674" w:name="_Toc185515290"/>
      <w:r w:rsidRPr="00C8328B">
        <w:rPr>
          <w:rStyle w:val="CharSectNo"/>
        </w:rPr>
        <w:t>6305</w:t>
      </w:r>
      <w:r>
        <w:tab/>
        <w:t>Issue of commissions</w:t>
      </w:r>
      <w:bookmarkEnd w:id="1674"/>
    </w:p>
    <w:p w14:paraId="29EE4313" w14:textId="77777777" w:rsidR="00D94935" w:rsidRDefault="00D94935" w:rsidP="00D94935">
      <w:pPr>
        <w:pStyle w:val="Amainreturn"/>
        <w:keepNext/>
      </w:pPr>
      <w:r>
        <w:t>If a territory law requires the court to issue a commission, the registrar must issue the commission.</w:t>
      </w:r>
    </w:p>
    <w:p w14:paraId="349001CD" w14:textId="1B9E6E2A"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7" w:tooltip="A2001-14" w:history="1">
        <w:r w:rsidRPr="006364FA">
          <w:rPr>
            <w:rStyle w:val="charCitHyperlinkAbbrev"/>
          </w:rPr>
          <w:t>Legislation Act</w:t>
        </w:r>
      </w:hyperlink>
      <w:r>
        <w:rPr>
          <w:iCs/>
        </w:rPr>
        <w:t>, s 98).</w:t>
      </w:r>
    </w:p>
    <w:p w14:paraId="13A1DD68" w14:textId="77777777" w:rsidR="00D94935" w:rsidRDefault="00D94935" w:rsidP="00D94935">
      <w:pPr>
        <w:pStyle w:val="AH5Sec"/>
      </w:pPr>
      <w:bookmarkStart w:id="1675" w:name="_Toc185515291"/>
      <w:r w:rsidRPr="00C8328B">
        <w:rPr>
          <w:rStyle w:val="CharSectNo"/>
        </w:rPr>
        <w:lastRenderedPageBreak/>
        <w:t>6306</w:t>
      </w:r>
      <w:r>
        <w:tab/>
        <w:t>Duplicate sealed etc documents</w:t>
      </w:r>
      <w:bookmarkEnd w:id="1675"/>
    </w:p>
    <w:p w14:paraId="43B7A0A5" w14:textId="77777777" w:rsidR="00D94935" w:rsidRDefault="00D94935" w:rsidP="00D94935">
      <w:pPr>
        <w:pStyle w:val="Amain"/>
      </w:pPr>
      <w:r>
        <w:tab/>
        <w:t>(1)</w:t>
      </w:r>
      <w:r>
        <w:tab/>
        <w:t>This rule applies if the registrar is satisfied, by affidavit or otherwise, that a sealed or stamped document has been lost or destroyed.</w:t>
      </w:r>
    </w:p>
    <w:p w14:paraId="769AA6D1" w14:textId="77777777" w:rsidR="00D94935" w:rsidRDefault="00D94935" w:rsidP="00D94935">
      <w:pPr>
        <w:pStyle w:val="Amain"/>
      </w:pPr>
      <w:r>
        <w:tab/>
        <w:t>(2)</w:t>
      </w:r>
      <w:r>
        <w:tab/>
        <w:t>The registrar may issue a duplicate copy of the document.</w:t>
      </w:r>
    </w:p>
    <w:p w14:paraId="25FE87B4" w14:textId="77777777" w:rsidR="00D94935" w:rsidRDefault="00D94935" w:rsidP="00D94935">
      <w:pPr>
        <w:pStyle w:val="AH5Sec"/>
      </w:pPr>
      <w:bookmarkStart w:id="1676" w:name="_Toc185515292"/>
      <w:r w:rsidRPr="00C8328B">
        <w:rPr>
          <w:rStyle w:val="CharSectNo"/>
        </w:rPr>
        <w:t>6307</w:t>
      </w:r>
      <w:r>
        <w:tab/>
        <w:t>Delegation by registrar</w:t>
      </w:r>
      <w:bookmarkEnd w:id="1676"/>
    </w:p>
    <w:p w14:paraId="30A8CDE6" w14:textId="77777777" w:rsidR="00D94935" w:rsidRDefault="00D94935" w:rsidP="00235652">
      <w:pPr>
        <w:pStyle w:val="Amain"/>
        <w:keepNext/>
      </w:pPr>
      <w:r>
        <w:tab/>
        <w:t>(1)</w:t>
      </w:r>
      <w:r>
        <w:tab/>
        <w:t>The registrar of the court may delegate the registrar’s functions under a territory law to a public servant.</w:t>
      </w:r>
    </w:p>
    <w:p w14:paraId="56EFAB4C" w14:textId="77777777" w:rsidR="00D94935" w:rsidRDefault="00D94935" w:rsidP="00D94935">
      <w:pPr>
        <w:pStyle w:val="Amain"/>
        <w:keepNext/>
      </w:pPr>
      <w:r>
        <w:tab/>
        <w:t>(2)</w:t>
      </w:r>
      <w:r>
        <w:tab/>
        <w:t>This rule does not apply to functions in the exercise of the court’s jurisdiction.</w:t>
      </w:r>
    </w:p>
    <w:p w14:paraId="438B6C09" w14:textId="7C51F6F9"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8" w:tooltip="A2001-14" w:history="1">
        <w:r w:rsidRPr="006364FA">
          <w:rPr>
            <w:rStyle w:val="charCitHyperlinkAbbrev"/>
          </w:rPr>
          <w:t>Legislation Act</w:t>
        </w:r>
      </w:hyperlink>
      <w:r>
        <w:t>, pt 19.4.</w:t>
      </w:r>
    </w:p>
    <w:p w14:paraId="56BC5E8C" w14:textId="1C7384A9"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9" w:tooltip="A2001-14" w:history="1">
        <w:r w:rsidRPr="006364FA">
          <w:rPr>
            <w:rStyle w:val="charCitHyperlinkAbbrev"/>
          </w:rPr>
          <w:t>Legislation Act</w:t>
        </w:r>
      </w:hyperlink>
      <w:r>
        <w:rPr>
          <w:iCs/>
        </w:rPr>
        <w:t>, s 98).</w:t>
      </w:r>
    </w:p>
    <w:p w14:paraId="1384136E" w14:textId="77777777" w:rsidR="00D94935" w:rsidRDefault="00D94935" w:rsidP="00D94935">
      <w:pPr>
        <w:pStyle w:val="PageBreak"/>
      </w:pPr>
      <w:r>
        <w:br w:type="page"/>
      </w:r>
    </w:p>
    <w:p w14:paraId="4CEA0C05" w14:textId="77777777" w:rsidR="00D94935" w:rsidRPr="00C8328B" w:rsidRDefault="00D94935" w:rsidP="00D94935">
      <w:pPr>
        <w:pStyle w:val="AH2Part"/>
      </w:pPr>
      <w:bookmarkStart w:id="1677" w:name="_Toc185515293"/>
      <w:r w:rsidRPr="00C8328B">
        <w:rPr>
          <w:rStyle w:val="CharPartNo"/>
        </w:rPr>
        <w:lastRenderedPageBreak/>
        <w:t>Part 6.7</w:t>
      </w:r>
      <w:r>
        <w:tab/>
      </w:r>
      <w:r w:rsidRPr="00C8328B">
        <w:rPr>
          <w:rStyle w:val="CharPartText"/>
        </w:rPr>
        <w:t>Time</w:t>
      </w:r>
      <w:bookmarkEnd w:id="1677"/>
    </w:p>
    <w:p w14:paraId="49DC0A56" w14:textId="77777777" w:rsidR="00D94935" w:rsidRPr="006364FA" w:rsidRDefault="00D94935" w:rsidP="00D94935">
      <w:pPr>
        <w:pStyle w:val="aNote"/>
        <w:keepNext/>
        <w:rPr>
          <w:rStyle w:val="charItals"/>
        </w:rPr>
      </w:pPr>
      <w:r w:rsidRPr="006364FA">
        <w:rPr>
          <w:rStyle w:val="charItals"/>
        </w:rPr>
        <w:t>Note to pt 6.7</w:t>
      </w:r>
    </w:p>
    <w:p w14:paraId="19855C03" w14:textId="392881C0" w:rsidR="00D94935" w:rsidRDefault="00D94935" w:rsidP="00D94935">
      <w:pPr>
        <w:pStyle w:val="aNote"/>
        <w:ind w:left="1100" w:firstLine="0"/>
      </w:pPr>
      <w:r>
        <w:t xml:space="preserve">The </w:t>
      </w:r>
      <w:hyperlink r:id="rId800" w:tooltip="A2001-14" w:history="1">
        <w:r w:rsidRPr="006364FA">
          <w:rPr>
            <w:rStyle w:val="charCitHyperlinkAbbrev"/>
          </w:rPr>
          <w:t>Legislation Act</w:t>
        </w:r>
      </w:hyperlink>
      <w:r>
        <w:t xml:space="preserve"> contains provisions that apply in working out periods of time, including the following:</w:t>
      </w:r>
    </w:p>
    <w:p w14:paraId="2C279F9B"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14:paraId="0722BFD9"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14:paraId="5B26A6B2"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14:paraId="74D5E3B6" w14:textId="77777777" w:rsidR="00D94935" w:rsidRDefault="00D94935" w:rsidP="00D94935">
      <w:pPr>
        <w:pStyle w:val="AH5Sec"/>
      </w:pPr>
      <w:bookmarkStart w:id="1678" w:name="_Toc185515294"/>
      <w:r w:rsidRPr="00C8328B">
        <w:rPr>
          <w:rStyle w:val="CharSectNo"/>
        </w:rPr>
        <w:t>6350</w:t>
      </w:r>
      <w:r>
        <w:tab/>
        <w:t>Time—certain days excluded in working out</w:t>
      </w:r>
      <w:bookmarkEnd w:id="1678"/>
    </w:p>
    <w:p w14:paraId="4C8DB048" w14:textId="77777777" w:rsidR="00D94935" w:rsidRDefault="00D94935" w:rsidP="00D94935">
      <w:pPr>
        <w:pStyle w:val="Amain"/>
      </w:pPr>
      <w:r>
        <w:tab/>
        <w:t>(1)</w:t>
      </w:r>
      <w:r>
        <w:tab/>
        <w:t>This rule applies if, under these rules or an order of the court, something must or may be done within a particular period of time.</w:t>
      </w:r>
    </w:p>
    <w:p w14:paraId="72B09B09" w14:textId="77777777" w:rsidR="00D94935" w:rsidRDefault="00D94935" w:rsidP="00D94935">
      <w:pPr>
        <w:pStyle w:val="Amain"/>
      </w:pPr>
      <w:r>
        <w:tab/>
        <w:t>(2)</w:t>
      </w:r>
      <w:r>
        <w:tab/>
        <w:t>If the period is 5 days or less, any day when the registry is closed is excluded in working out when the thing must or may be done.</w:t>
      </w:r>
    </w:p>
    <w:p w14:paraId="7C38A326" w14:textId="77777777" w:rsidR="00D94935" w:rsidRDefault="00D94935" w:rsidP="00D94935">
      <w:pPr>
        <w:pStyle w:val="aExamHdgss"/>
      </w:pPr>
      <w:r>
        <w:t>Example</w:t>
      </w:r>
    </w:p>
    <w:p w14:paraId="23D7E4D0" w14:textId="77777777"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14:paraId="2C71CAB8" w14:textId="77777777" w:rsidR="00D94935" w:rsidRDefault="00D94935" w:rsidP="00D94935">
      <w:pPr>
        <w:pStyle w:val="Amain"/>
      </w:pPr>
      <w:r>
        <w:tab/>
        <w:t>(3)</w:t>
      </w:r>
      <w:r>
        <w:tab/>
        <w:t>Any day in the period beginning on 25 December and ending on 1 January is excluded in working out when the thing must or may be, or is, done.</w:t>
      </w:r>
    </w:p>
    <w:p w14:paraId="247AAF71" w14:textId="77777777" w:rsidR="00D94935" w:rsidRDefault="00D94935" w:rsidP="00D94935">
      <w:pPr>
        <w:pStyle w:val="AH5Sec"/>
      </w:pPr>
      <w:bookmarkStart w:id="1679" w:name="_Toc185515295"/>
      <w:r w:rsidRPr="00C8328B">
        <w:rPr>
          <w:rStyle w:val="CharSectNo"/>
        </w:rPr>
        <w:t>6351</w:t>
      </w:r>
      <w:r>
        <w:tab/>
        <w:t>Time—extending and shortening by court order</w:t>
      </w:r>
      <w:bookmarkEnd w:id="1679"/>
    </w:p>
    <w:p w14:paraId="11A9372E" w14:textId="77777777"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14:paraId="23B68ADF" w14:textId="77777777" w:rsidR="00D94935" w:rsidRDefault="00D94935" w:rsidP="00D94935">
      <w:pPr>
        <w:pStyle w:val="Amain"/>
        <w:keepNext/>
      </w:pPr>
      <w:r>
        <w:tab/>
        <w:t>(2)</w:t>
      </w:r>
      <w:r>
        <w:tab/>
        <w:t>On application by a party to the proceeding, the court may, by order, extend or shorten the period.</w:t>
      </w:r>
    </w:p>
    <w:p w14:paraId="2CFA5877" w14:textId="2F50AE3C" w:rsidR="00D94935" w:rsidRDefault="00D94935" w:rsidP="00D94935">
      <w:pPr>
        <w:pStyle w:val="aNote"/>
      </w:pPr>
      <w:r w:rsidRPr="006364FA">
        <w:rPr>
          <w:rStyle w:val="charItals"/>
        </w:rPr>
        <w:t>Note 1</w:t>
      </w:r>
      <w:r w:rsidRPr="006364FA">
        <w:rPr>
          <w:rStyle w:val="charItals"/>
        </w:rPr>
        <w:tab/>
      </w:r>
      <w:r>
        <w:t xml:space="preserve">The </w:t>
      </w:r>
      <w:hyperlink r:id="rId801" w:tooltip="A2001-14" w:history="1">
        <w:r w:rsidRPr="006364FA">
          <w:rPr>
            <w:rStyle w:val="charCitHyperlinkAbbrev"/>
          </w:rPr>
          <w:t>Legislation Act</w:t>
        </w:r>
      </w:hyperlink>
      <w:r>
        <w:t>, s 151C (Power to extend time) applies to this power.</w:t>
      </w:r>
    </w:p>
    <w:p w14:paraId="1B20A3B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14:paraId="4E34D508" w14:textId="77777777"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14:paraId="5BDD66ED" w14:textId="77777777" w:rsidR="00D94935" w:rsidRDefault="00D94935" w:rsidP="00D94935">
      <w:pPr>
        <w:pStyle w:val="AH5Sec"/>
      </w:pPr>
      <w:bookmarkStart w:id="1680" w:name="_Toc185515296"/>
      <w:r w:rsidRPr="00C8328B">
        <w:rPr>
          <w:rStyle w:val="CharSectNo"/>
        </w:rPr>
        <w:t>6352</w:t>
      </w:r>
      <w:r>
        <w:tab/>
        <w:t>Time—fixing by court order</w:t>
      </w:r>
      <w:bookmarkEnd w:id="1680"/>
    </w:p>
    <w:p w14:paraId="57C275D3" w14:textId="77777777" w:rsidR="00D94935" w:rsidRDefault="00D94935" w:rsidP="00D94935">
      <w:pPr>
        <w:pStyle w:val="Amain"/>
      </w:pPr>
      <w:r>
        <w:tab/>
        <w:t>(1)</w:t>
      </w:r>
      <w:r>
        <w:tab/>
        <w:t>This rule applies if—</w:t>
      </w:r>
    </w:p>
    <w:p w14:paraId="5A2F16C9" w14:textId="77777777" w:rsidR="00D94935" w:rsidRDefault="00D94935" w:rsidP="00D94935">
      <w:pPr>
        <w:pStyle w:val="Apara"/>
      </w:pPr>
      <w:r>
        <w:tab/>
        <w:t>(a)</w:t>
      </w:r>
      <w:r>
        <w:tab/>
        <w:t>under these rules or an order of the court, something must or may be done in or in relation to a proceeding; but</w:t>
      </w:r>
    </w:p>
    <w:p w14:paraId="5B8A15E1" w14:textId="77777777" w:rsidR="00D94935" w:rsidRDefault="00D94935" w:rsidP="00D94935">
      <w:pPr>
        <w:pStyle w:val="Apara"/>
      </w:pPr>
      <w:r>
        <w:tab/>
        <w:t>(b)</w:t>
      </w:r>
      <w:r>
        <w:tab/>
        <w:t>no time is provided for doing the thing.</w:t>
      </w:r>
    </w:p>
    <w:p w14:paraId="5B76320D" w14:textId="77777777" w:rsidR="00D94935" w:rsidRDefault="00D94935" w:rsidP="00D94935">
      <w:pPr>
        <w:pStyle w:val="Amain"/>
        <w:keepNext/>
      </w:pPr>
      <w:r>
        <w:tab/>
        <w:t>(2)</w:t>
      </w:r>
      <w:r>
        <w:tab/>
        <w:t>On application by a party to the proceeding, the court may, by order, fix the period within which the thing may or must be done.</w:t>
      </w:r>
    </w:p>
    <w:p w14:paraId="606B0A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578A1D9" w14:textId="77777777" w:rsidR="00D94935" w:rsidRDefault="00D94935" w:rsidP="00D94935">
      <w:pPr>
        <w:pStyle w:val="PageBreak"/>
      </w:pPr>
      <w:r>
        <w:br w:type="page"/>
      </w:r>
    </w:p>
    <w:p w14:paraId="7FE5A711" w14:textId="77777777" w:rsidR="00D94935" w:rsidRPr="00C8328B" w:rsidRDefault="00D94935" w:rsidP="00D94935">
      <w:pPr>
        <w:pStyle w:val="AH2Part"/>
      </w:pPr>
      <w:bookmarkStart w:id="1681" w:name="_Toc185515297"/>
      <w:r w:rsidRPr="00C8328B">
        <w:rPr>
          <w:rStyle w:val="CharPartNo"/>
        </w:rPr>
        <w:lastRenderedPageBreak/>
        <w:t>Part 6.8</w:t>
      </w:r>
      <w:r>
        <w:tab/>
      </w:r>
      <w:r w:rsidRPr="00C8328B">
        <w:rPr>
          <w:rStyle w:val="CharPartText"/>
        </w:rPr>
        <w:t>Service</w:t>
      </w:r>
      <w:bookmarkEnd w:id="1681"/>
    </w:p>
    <w:p w14:paraId="284741F2" w14:textId="77777777" w:rsidR="00D94935" w:rsidRPr="00C8328B" w:rsidRDefault="00D94935" w:rsidP="00D94935">
      <w:pPr>
        <w:pStyle w:val="AH3Div"/>
      </w:pPr>
      <w:bookmarkStart w:id="1682" w:name="_Toc185515298"/>
      <w:r w:rsidRPr="00C8328B">
        <w:rPr>
          <w:rStyle w:val="CharDivNo"/>
        </w:rPr>
        <w:t>Division 6.8.1</w:t>
      </w:r>
      <w:r>
        <w:rPr>
          <w:lang w:val="en-US"/>
        </w:rPr>
        <w:tab/>
      </w:r>
      <w:r w:rsidRPr="00C8328B">
        <w:rPr>
          <w:rStyle w:val="CharDivText"/>
          <w:lang w:val="en-US"/>
        </w:rPr>
        <w:t>Service—preliminary</w:t>
      </w:r>
      <w:bookmarkEnd w:id="1682"/>
    </w:p>
    <w:p w14:paraId="50B9A3AD" w14:textId="77777777" w:rsidR="00D94935" w:rsidRDefault="00D94935" w:rsidP="00D94935">
      <w:pPr>
        <w:pStyle w:val="AH5Sec"/>
        <w:rPr>
          <w:lang w:val="en-US"/>
        </w:rPr>
      </w:pPr>
      <w:bookmarkStart w:id="1683" w:name="_Toc185515299"/>
      <w:r w:rsidRPr="00C8328B">
        <w:rPr>
          <w:rStyle w:val="CharSectNo"/>
        </w:rPr>
        <w:t>6400</w:t>
      </w:r>
      <w:r>
        <w:rPr>
          <w:lang w:val="en-US"/>
        </w:rPr>
        <w:tab/>
        <w:t>Application—pt 6.8</w:t>
      </w:r>
      <w:bookmarkEnd w:id="1683"/>
    </w:p>
    <w:p w14:paraId="7CC8F79D" w14:textId="77777777"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14:paraId="44D04516" w14:textId="77777777"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14:paraId="04F72AF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14:paraId="19392F7D"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14:paraId="41DF8063"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14:paraId="364D35B9"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14:paraId="4B12D94A"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14:paraId="2D26D8FB"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14:paraId="465EDAA4"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14:paraId="3FF6AE07"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757F2452"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14:paraId="29A15F9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14:paraId="2EDC083B" w14:textId="77777777"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14:paraId="4A348F02" w14:textId="77777777"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14:paraId="5D5F15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14:paraId="23D4E7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14:paraId="39CDFE3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14:paraId="2E9D594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14:paraId="657774A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32C20AE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14:paraId="5929CFA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14:paraId="34113F25" w14:textId="77777777"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14:paraId="14B04EBA"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14:paraId="4AC8F8B5"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14:paraId="1AFA080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14:paraId="0511D673" w14:textId="77777777" w:rsidR="00D94935" w:rsidRDefault="00D94935" w:rsidP="00D94935">
      <w:pPr>
        <w:pStyle w:val="AH5Sec"/>
        <w:rPr>
          <w:lang w:val="en-US"/>
        </w:rPr>
      </w:pPr>
      <w:bookmarkStart w:id="1684" w:name="_Toc185515300"/>
      <w:r w:rsidRPr="00C8328B">
        <w:rPr>
          <w:rStyle w:val="CharSectNo"/>
        </w:rPr>
        <w:t>6401</w:t>
      </w:r>
      <w:r>
        <w:rPr>
          <w:lang w:val="en-US"/>
        </w:rPr>
        <w:tab/>
        <w:t>Service of filed documents</w:t>
      </w:r>
      <w:bookmarkEnd w:id="1684"/>
    </w:p>
    <w:p w14:paraId="185CA337" w14:textId="77777777"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14:paraId="34EE399E" w14:textId="77777777"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14:paraId="32252490" w14:textId="35A81C19"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02" w:tooltip="A2001-14" w:history="1">
        <w:r w:rsidRPr="006364FA">
          <w:rPr>
            <w:rStyle w:val="charCitHyperlinkAbbrev"/>
          </w:rPr>
          <w:t>Legislation Act</w:t>
        </w:r>
      </w:hyperlink>
      <w:r>
        <w:rPr>
          <w:iCs/>
        </w:rPr>
        <w:t>, s 98).</w:t>
      </w:r>
    </w:p>
    <w:p w14:paraId="55F86AB3" w14:textId="77777777" w:rsidR="00D94935" w:rsidRPr="00C8328B" w:rsidRDefault="00D94935" w:rsidP="00D94935">
      <w:pPr>
        <w:pStyle w:val="AH3Div"/>
      </w:pPr>
      <w:bookmarkStart w:id="1685" w:name="_Toc185515301"/>
      <w:r w:rsidRPr="00C8328B">
        <w:rPr>
          <w:rStyle w:val="CharDivNo"/>
        </w:rPr>
        <w:t>Division 6.8.2</w:t>
      </w:r>
      <w:r>
        <w:rPr>
          <w:lang w:val="en-US"/>
        </w:rPr>
        <w:tab/>
      </w:r>
      <w:r w:rsidRPr="00C8328B">
        <w:rPr>
          <w:rStyle w:val="CharDivText"/>
          <w:lang w:val="en-US"/>
        </w:rPr>
        <w:t>Personal service</w:t>
      </w:r>
      <w:bookmarkEnd w:id="1685"/>
    </w:p>
    <w:p w14:paraId="36222C52" w14:textId="77777777" w:rsidR="00D94935" w:rsidRDefault="00D94935" w:rsidP="00D94935">
      <w:pPr>
        <w:pStyle w:val="AH5Sec"/>
        <w:rPr>
          <w:lang w:val="en-US"/>
        </w:rPr>
      </w:pPr>
      <w:bookmarkStart w:id="1686" w:name="_Toc185515302"/>
      <w:r w:rsidRPr="00C8328B">
        <w:rPr>
          <w:rStyle w:val="CharSectNo"/>
        </w:rPr>
        <w:t>6405</w:t>
      </w:r>
      <w:r>
        <w:rPr>
          <w:lang w:val="en-US"/>
        </w:rPr>
        <w:tab/>
        <w:t>How document is personally served</w:t>
      </w:r>
      <w:bookmarkEnd w:id="1686"/>
    </w:p>
    <w:p w14:paraId="580B10B7" w14:textId="77777777"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14:paraId="3B8D2EE6" w14:textId="77777777" w:rsidR="00D94935" w:rsidRDefault="00D94935" w:rsidP="00D94935">
      <w:pPr>
        <w:pStyle w:val="Apara"/>
        <w:rPr>
          <w:lang w:val="en-US"/>
        </w:rPr>
      </w:pPr>
      <w:r>
        <w:rPr>
          <w:lang w:val="en-US"/>
        </w:rPr>
        <w:tab/>
        <w:t>(a)</w:t>
      </w:r>
      <w:r>
        <w:rPr>
          <w:lang w:val="en-US"/>
        </w:rPr>
        <w:tab/>
        <w:t>if the original of the document is sealed—a sealed copy of the document; or</w:t>
      </w:r>
    </w:p>
    <w:p w14:paraId="324CEF0B" w14:textId="77777777"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14:paraId="4C7B4965" w14:textId="77777777"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14:paraId="30BB7DB6" w14:textId="77777777"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14:paraId="23D276AD" w14:textId="77777777"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14:paraId="5C1F903B" w14:textId="77777777" w:rsidR="00D94935" w:rsidRPr="00C8328B" w:rsidRDefault="00D94935" w:rsidP="00D94935">
      <w:pPr>
        <w:pStyle w:val="AH3Div"/>
      </w:pPr>
      <w:bookmarkStart w:id="1687" w:name="_Toc185515303"/>
      <w:r w:rsidRPr="00C8328B">
        <w:rPr>
          <w:rStyle w:val="CharDivNo"/>
        </w:rPr>
        <w:lastRenderedPageBreak/>
        <w:t>Division 6.8.3</w:t>
      </w:r>
      <w:r>
        <w:rPr>
          <w:lang w:val="en-US"/>
        </w:rPr>
        <w:tab/>
      </w:r>
      <w:r w:rsidRPr="00C8328B">
        <w:rPr>
          <w:rStyle w:val="CharDivText"/>
          <w:lang w:val="en-US"/>
        </w:rPr>
        <w:t>Service—Magistrates Court</w:t>
      </w:r>
      <w:bookmarkEnd w:id="1687"/>
    </w:p>
    <w:p w14:paraId="41ED08EA" w14:textId="77777777" w:rsidR="00D94935" w:rsidRDefault="00D94935" w:rsidP="00D94935">
      <w:pPr>
        <w:pStyle w:val="AH5Sec"/>
        <w:rPr>
          <w:lang w:val="en-US"/>
        </w:rPr>
      </w:pPr>
      <w:bookmarkStart w:id="1688" w:name="_Toc185515304"/>
      <w:r w:rsidRPr="00C8328B">
        <w:rPr>
          <w:rStyle w:val="CharSectNo"/>
        </w:rPr>
        <w:t>6410</w:t>
      </w:r>
      <w:r>
        <w:rPr>
          <w:lang w:val="en-US"/>
        </w:rPr>
        <w:tab/>
        <w:t>Application—div 6.8.3</w:t>
      </w:r>
      <w:bookmarkEnd w:id="1688"/>
    </w:p>
    <w:p w14:paraId="3D7BDEE9" w14:textId="77777777"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14:paraId="54236BAE" w14:textId="08D31F03"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03" w:tooltip="A2001-14" w:history="1">
        <w:r w:rsidRPr="006364FA">
          <w:rPr>
            <w:rStyle w:val="charCitHyperlinkAbbrev"/>
          </w:rPr>
          <w:t>Legislation Act</w:t>
        </w:r>
      </w:hyperlink>
      <w:r>
        <w:t>, s 98).</w:t>
      </w:r>
    </w:p>
    <w:p w14:paraId="6DE6E6A6" w14:textId="77777777" w:rsidR="00D94935" w:rsidRDefault="00D94935" w:rsidP="00D94935">
      <w:pPr>
        <w:pStyle w:val="AH5Sec"/>
        <w:rPr>
          <w:lang w:val="en-US"/>
        </w:rPr>
      </w:pPr>
      <w:bookmarkStart w:id="1689" w:name="_Toc185515305"/>
      <w:r w:rsidRPr="00C8328B">
        <w:rPr>
          <w:rStyle w:val="CharSectNo"/>
        </w:rPr>
        <w:t>6411</w:t>
      </w:r>
      <w:r>
        <w:rPr>
          <w:lang w:val="en-US"/>
        </w:rPr>
        <w:tab/>
        <w:t>Service on individuals generally—Magistrates Court</w:t>
      </w:r>
      <w:bookmarkEnd w:id="1689"/>
    </w:p>
    <w:p w14:paraId="4E2B527C" w14:textId="77777777" w:rsidR="00D94935" w:rsidRDefault="00D94935" w:rsidP="00D94935">
      <w:pPr>
        <w:pStyle w:val="Amain"/>
      </w:pPr>
      <w:r>
        <w:tab/>
        <w:t>(1)</w:t>
      </w:r>
      <w:r>
        <w:tab/>
        <w:t>A document in a proceeding, other than a subpoena, may be served on an individual—</w:t>
      </w:r>
    </w:p>
    <w:p w14:paraId="6F083357" w14:textId="77777777" w:rsidR="00D94935" w:rsidRDefault="00D94935" w:rsidP="00D94935">
      <w:pPr>
        <w:pStyle w:val="Apara"/>
      </w:pPr>
      <w:r>
        <w:tab/>
        <w:t>(a)</w:t>
      </w:r>
      <w:r>
        <w:tab/>
        <w:t>by serving the document personally on the individual; or</w:t>
      </w:r>
    </w:p>
    <w:p w14:paraId="28A677B5" w14:textId="77777777" w:rsidR="00D94935" w:rsidRDefault="00D94935" w:rsidP="00D94935">
      <w:pPr>
        <w:pStyle w:val="Apara"/>
      </w:pPr>
      <w:r>
        <w:tab/>
        <w:t>(b)</w:t>
      </w:r>
      <w:r>
        <w:tab/>
        <w:t>by serving the document on the individual in accordance with rule 6420 (Ordinary service—address for service); or</w:t>
      </w:r>
    </w:p>
    <w:p w14:paraId="154B3233" w14:textId="77777777"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14:paraId="00D18108" w14:textId="77777777"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14:paraId="004FD3B8" w14:textId="77777777"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14:paraId="1179FC16" w14:textId="77777777"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14:paraId="0FC8867D" w14:textId="77777777" w:rsidR="00D94935" w:rsidRDefault="00D94935" w:rsidP="00D94935">
      <w:pPr>
        <w:pStyle w:val="AH5Sec"/>
      </w:pPr>
      <w:bookmarkStart w:id="1690" w:name="_Toc185515306"/>
      <w:r w:rsidRPr="00C8328B">
        <w:rPr>
          <w:rStyle w:val="CharSectNo"/>
        </w:rPr>
        <w:lastRenderedPageBreak/>
        <w:t>6412</w:t>
      </w:r>
      <w:r>
        <w:tab/>
        <w:t>Service of originating process by post—Magistrates Court</w:t>
      </w:r>
      <w:bookmarkEnd w:id="1690"/>
    </w:p>
    <w:p w14:paraId="1ADC10C0" w14:textId="77777777"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14:paraId="077B5717"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21C8CFD2" w14:textId="77777777" w:rsidR="00D94935" w:rsidRDefault="00D94935" w:rsidP="00D94935">
      <w:pPr>
        <w:pStyle w:val="Amain"/>
      </w:pPr>
      <w:r>
        <w:tab/>
        <w:t>(2)</w:t>
      </w:r>
      <w:r>
        <w:tab/>
        <w:t>The copy must be sent in an envelope—</w:t>
      </w:r>
    </w:p>
    <w:p w14:paraId="2FD96330" w14:textId="77777777" w:rsidR="00D94935" w:rsidRDefault="00D94935" w:rsidP="00D94935">
      <w:pPr>
        <w:pStyle w:val="Apara"/>
      </w:pPr>
      <w:r>
        <w:tab/>
        <w:t>(a)</w:t>
      </w:r>
      <w:r>
        <w:tab/>
        <w:t>addressed to the defendant at the defendant’s address stated in the originating process; and</w:t>
      </w:r>
    </w:p>
    <w:p w14:paraId="41BEEF3F" w14:textId="77777777" w:rsidR="00D94935" w:rsidRDefault="00D94935" w:rsidP="00D94935">
      <w:pPr>
        <w:pStyle w:val="Apara"/>
      </w:pPr>
      <w:r>
        <w:tab/>
        <w:t>(b)</w:t>
      </w:r>
      <w:r>
        <w:tab/>
        <w:t>marked with a return address.</w:t>
      </w:r>
    </w:p>
    <w:p w14:paraId="54ED1050" w14:textId="77777777" w:rsidR="00D94935" w:rsidRDefault="00D94935" w:rsidP="00D94935">
      <w:pPr>
        <w:pStyle w:val="Amain"/>
      </w:pPr>
      <w:r>
        <w:tab/>
        <w:t>(3)</w:t>
      </w:r>
      <w:r>
        <w:tab/>
        <w:t>The return address must be the registry’s address, but must not be identified as such.</w:t>
      </w:r>
    </w:p>
    <w:p w14:paraId="2597B165" w14:textId="77777777" w:rsidR="00D94935" w:rsidRDefault="00D94935" w:rsidP="00D94935">
      <w:pPr>
        <w:pStyle w:val="Amain"/>
        <w:keepNext/>
      </w:pPr>
      <w:r>
        <w:tab/>
        <w:t>(4)</w:t>
      </w:r>
      <w:r>
        <w:tab/>
        <w:t>If the plaintiff serves an originating process under this rule, the plaintiff must complete and file a certificate of postal service for the process.</w:t>
      </w:r>
    </w:p>
    <w:p w14:paraId="477D2B7C" w14:textId="51221B1A"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804" w:history="1">
        <w:r w:rsidR="0001301D">
          <w:rPr>
            <w:rStyle w:val="charCitHyperlinkAbbrev"/>
          </w:rPr>
          <w:t>AF2019-29</w:t>
        </w:r>
      </w:hyperlink>
      <w:r>
        <w:t>.</w:t>
      </w:r>
    </w:p>
    <w:p w14:paraId="27FA0BF1" w14:textId="77777777"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14:paraId="3EA8D280" w14:textId="77777777" w:rsidR="00D94935" w:rsidRDefault="00D94935" w:rsidP="00D94935">
      <w:pPr>
        <w:pStyle w:val="Amain"/>
      </w:pPr>
      <w:r>
        <w:tab/>
        <w:t>(6)</w:t>
      </w:r>
      <w:r>
        <w:tab/>
        <w:t>However, if the envelope containing the originating process is returned to the registry by the postal authority as not having been delivered to the defendant—</w:t>
      </w:r>
    </w:p>
    <w:p w14:paraId="6DA049F2" w14:textId="77777777" w:rsidR="00D94935" w:rsidRDefault="00D94935" w:rsidP="00D94935">
      <w:pPr>
        <w:pStyle w:val="Apara"/>
      </w:pPr>
      <w:r>
        <w:tab/>
        <w:t>(a)</w:t>
      </w:r>
      <w:r>
        <w:tab/>
        <w:t>the plaintiff is not taken to have served the process on the defendant; and</w:t>
      </w:r>
    </w:p>
    <w:p w14:paraId="3941B3C3" w14:textId="77777777" w:rsidR="00D94935" w:rsidRDefault="00D94935" w:rsidP="00D94935">
      <w:pPr>
        <w:pStyle w:val="Apara"/>
        <w:keepNext/>
      </w:pPr>
      <w:r>
        <w:tab/>
        <w:t>(b)</w:t>
      </w:r>
      <w:r>
        <w:tab/>
        <w:t>the registrar must—</w:t>
      </w:r>
    </w:p>
    <w:p w14:paraId="289A1A94" w14:textId="77777777" w:rsidR="00D94935" w:rsidRDefault="00D94935" w:rsidP="00D94935">
      <w:pPr>
        <w:pStyle w:val="Asubpara"/>
      </w:pPr>
      <w:r>
        <w:tab/>
        <w:t>(i)</w:t>
      </w:r>
      <w:r>
        <w:tab/>
        <w:t>if judgment has been entered on the basis of the postal service—</w:t>
      </w:r>
    </w:p>
    <w:p w14:paraId="3AFA7855" w14:textId="77777777" w:rsidR="00D94935" w:rsidRDefault="00D94935" w:rsidP="00D94935">
      <w:pPr>
        <w:pStyle w:val="Asubsubpara"/>
      </w:pPr>
      <w:r>
        <w:tab/>
        <w:t>(A)</w:t>
      </w:r>
      <w:r>
        <w:tab/>
        <w:t>set aside the judgment; and</w:t>
      </w:r>
    </w:p>
    <w:p w14:paraId="35E7232E" w14:textId="77777777" w:rsidR="00D94935" w:rsidRDefault="00D94935" w:rsidP="00D94935">
      <w:pPr>
        <w:pStyle w:val="Asubsubpara"/>
      </w:pPr>
      <w:r>
        <w:lastRenderedPageBreak/>
        <w:tab/>
        <w:t>(B)</w:t>
      </w:r>
      <w:r>
        <w:tab/>
        <w:t>if an enforcement proceeding has been issued—withdraw the proceeding; and</w:t>
      </w:r>
    </w:p>
    <w:p w14:paraId="7F3D6E6E" w14:textId="77777777" w:rsidR="00D94935" w:rsidRDefault="00D94935" w:rsidP="00D94935">
      <w:pPr>
        <w:pStyle w:val="Asubpara"/>
      </w:pPr>
      <w:r>
        <w:tab/>
        <w:t>(ii)</w:t>
      </w:r>
      <w:r>
        <w:tab/>
        <w:t>tell the plaintiff—</w:t>
      </w:r>
    </w:p>
    <w:p w14:paraId="72C2602D" w14:textId="77777777" w:rsidR="00D94935" w:rsidRDefault="00D94935" w:rsidP="00D94935">
      <w:pPr>
        <w:pStyle w:val="Asubsubpara"/>
      </w:pPr>
      <w:r>
        <w:tab/>
        <w:t>(A)</w:t>
      </w:r>
      <w:r>
        <w:tab/>
        <w:t>that the process has not been served; and</w:t>
      </w:r>
    </w:p>
    <w:p w14:paraId="25F0A60B" w14:textId="77777777" w:rsidR="00D94935" w:rsidRDefault="00D94935" w:rsidP="00D94935">
      <w:pPr>
        <w:pStyle w:val="Asubsubpara"/>
      </w:pPr>
      <w:r>
        <w:tab/>
        <w:t>(B)</w:t>
      </w:r>
      <w:r>
        <w:tab/>
        <w:t>if judgment has been set aside—that judgment has been set aside.</w:t>
      </w:r>
    </w:p>
    <w:p w14:paraId="1C1ECC0A" w14:textId="77777777" w:rsidR="00D94935" w:rsidRDefault="00D94935" w:rsidP="00D94935">
      <w:pPr>
        <w:pStyle w:val="AH5Sec"/>
      </w:pPr>
      <w:bookmarkStart w:id="1691" w:name="_Toc185515307"/>
      <w:r w:rsidRPr="00C8328B">
        <w:rPr>
          <w:rStyle w:val="CharSectNo"/>
        </w:rPr>
        <w:t>6413</w:t>
      </w:r>
      <w:r>
        <w:tab/>
        <w:t>Doubtful service—Magistrates Court</w:t>
      </w:r>
      <w:bookmarkEnd w:id="1691"/>
    </w:p>
    <w:p w14:paraId="64865F84" w14:textId="77777777" w:rsidR="00D94935" w:rsidRDefault="00D94935" w:rsidP="00D94935">
      <w:pPr>
        <w:pStyle w:val="Amain"/>
        <w:keepNext/>
      </w:pPr>
      <w:r>
        <w:tab/>
        <w:t>(1)</w:t>
      </w:r>
      <w:r>
        <w:tab/>
        <w:t>This rule applies if—</w:t>
      </w:r>
    </w:p>
    <w:p w14:paraId="120B3A86" w14:textId="77777777"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14:paraId="53D0EBEA" w14:textId="77777777" w:rsidR="00D94935" w:rsidRDefault="00D94935" w:rsidP="00D94935">
      <w:pPr>
        <w:pStyle w:val="Apara"/>
      </w:pPr>
      <w:r>
        <w:tab/>
        <w:t>(b)</w:t>
      </w:r>
      <w:r>
        <w:tab/>
        <w:t>the court is satisfied that—</w:t>
      </w:r>
    </w:p>
    <w:p w14:paraId="10F7438E" w14:textId="77777777" w:rsidR="00D94935" w:rsidRDefault="00D94935" w:rsidP="00D94935">
      <w:pPr>
        <w:pStyle w:val="Asubpara"/>
      </w:pPr>
      <w:r>
        <w:tab/>
        <w:t>(i)</w:t>
      </w:r>
      <w:r>
        <w:tab/>
        <w:t>the document did not come to the knowledge of the person within a reasonable time; or</w:t>
      </w:r>
    </w:p>
    <w:p w14:paraId="78E7665D" w14:textId="77777777" w:rsidR="00D94935" w:rsidRDefault="00D94935" w:rsidP="00D94935">
      <w:pPr>
        <w:pStyle w:val="Asubpara"/>
      </w:pPr>
      <w:r>
        <w:tab/>
        <w:t>(ii)</w:t>
      </w:r>
      <w:r>
        <w:tab/>
        <w:t>there is doubt about whether the document came to the knowledge of the person within a reasonable time.</w:t>
      </w:r>
    </w:p>
    <w:p w14:paraId="604EFE6F"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183E3E1" w14:textId="77777777" w:rsidR="00D94935" w:rsidRDefault="00D94935" w:rsidP="00D94935">
      <w:pPr>
        <w:pStyle w:val="Amain"/>
      </w:pPr>
      <w:r>
        <w:tab/>
        <w:t>(2)</w:t>
      </w:r>
      <w:r>
        <w:tab/>
        <w:t>The court must not allow any further step in the proceeding to be taken against the person.</w:t>
      </w:r>
    </w:p>
    <w:p w14:paraId="4BCA1CBC" w14:textId="77777777" w:rsidR="00D94935" w:rsidRDefault="00D94935" w:rsidP="00D94935">
      <w:pPr>
        <w:pStyle w:val="Amain"/>
        <w:keepNext/>
      </w:pPr>
      <w:r>
        <w:tab/>
        <w:t>(3)</w:t>
      </w:r>
      <w:r>
        <w:tab/>
        <w:t>On application by the person or a party to the proceeding, or on its own initiative, the court must—</w:t>
      </w:r>
    </w:p>
    <w:p w14:paraId="23BD24A7" w14:textId="77777777" w:rsidR="00D94935" w:rsidRDefault="00D94935" w:rsidP="00D94935">
      <w:pPr>
        <w:pStyle w:val="Apara"/>
      </w:pPr>
      <w:r>
        <w:tab/>
        <w:t>(a)</w:t>
      </w:r>
      <w:r>
        <w:tab/>
        <w:t>strike out or adjourn the proceeding; or</w:t>
      </w:r>
    </w:p>
    <w:p w14:paraId="2A33D1AB" w14:textId="77777777" w:rsidR="00D94935" w:rsidRDefault="00D94935" w:rsidP="00D94935">
      <w:pPr>
        <w:pStyle w:val="Apara"/>
      </w:pPr>
      <w:r>
        <w:tab/>
        <w:t>(b)</w:t>
      </w:r>
      <w:r>
        <w:tab/>
        <w:t>order that the document be re-served on the person in the way (if any) stated in the order; or</w:t>
      </w:r>
    </w:p>
    <w:p w14:paraId="20FF4D0A" w14:textId="77777777" w:rsidR="00D94935" w:rsidRDefault="00D94935" w:rsidP="00D94935">
      <w:pPr>
        <w:pStyle w:val="Apara"/>
      </w:pPr>
      <w:r>
        <w:tab/>
        <w:t>(c)</w:t>
      </w:r>
      <w:r>
        <w:tab/>
        <w:t>if judgment has been entered because the document was taken to be served—set aside the judgment; or</w:t>
      </w:r>
    </w:p>
    <w:p w14:paraId="7D3B29C8" w14:textId="77777777" w:rsidR="00D94935" w:rsidRDefault="00D94935" w:rsidP="00D94935">
      <w:pPr>
        <w:pStyle w:val="Apara"/>
        <w:keepNext/>
      </w:pPr>
      <w:r>
        <w:lastRenderedPageBreak/>
        <w:tab/>
        <w:t>(d)</w:t>
      </w:r>
      <w:r>
        <w:tab/>
        <w:t>make any other order it considers appropriate.</w:t>
      </w:r>
    </w:p>
    <w:p w14:paraId="61BEE3D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3380852" w14:textId="77777777" w:rsidR="00D94935" w:rsidRPr="00C8328B" w:rsidRDefault="00D94935" w:rsidP="00D94935">
      <w:pPr>
        <w:pStyle w:val="AH3Div"/>
      </w:pPr>
      <w:bookmarkStart w:id="1692" w:name="_Toc185515308"/>
      <w:r w:rsidRPr="00C8328B">
        <w:rPr>
          <w:rStyle w:val="CharDivNo"/>
        </w:rPr>
        <w:t>Division 6.8.4</w:t>
      </w:r>
      <w:r>
        <w:rPr>
          <w:lang w:val="en-US"/>
        </w:rPr>
        <w:tab/>
      </w:r>
      <w:r w:rsidRPr="00C8328B">
        <w:rPr>
          <w:rStyle w:val="CharDivText"/>
          <w:lang w:val="en-US"/>
        </w:rPr>
        <w:t>Ordinary service</w:t>
      </w:r>
      <w:bookmarkEnd w:id="1692"/>
    </w:p>
    <w:p w14:paraId="47A421BB" w14:textId="77777777" w:rsidR="00D94935" w:rsidRDefault="00D94935" w:rsidP="00D94935">
      <w:pPr>
        <w:pStyle w:val="AH5Sec"/>
        <w:rPr>
          <w:lang w:val="en-US"/>
        </w:rPr>
      </w:pPr>
      <w:bookmarkStart w:id="1693" w:name="_Toc185515309"/>
      <w:r w:rsidRPr="00C8328B">
        <w:rPr>
          <w:rStyle w:val="CharSectNo"/>
        </w:rPr>
        <w:t>6420</w:t>
      </w:r>
      <w:r>
        <w:rPr>
          <w:lang w:val="en-US"/>
        </w:rPr>
        <w:tab/>
        <w:t>Ordinary service—address for service</w:t>
      </w:r>
      <w:bookmarkEnd w:id="1693"/>
    </w:p>
    <w:p w14:paraId="7EAEEB28" w14:textId="77777777" w:rsidR="00D94935" w:rsidRDefault="00D94935" w:rsidP="00D94935">
      <w:pPr>
        <w:pStyle w:val="Amainreturn"/>
        <w:rPr>
          <w:lang w:val="en-US"/>
        </w:rPr>
      </w:pPr>
      <w:r>
        <w:rPr>
          <w:lang w:val="en-US"/>
        </w:rPr>
        <w:t>If a document is not required by these rules to be served personally on a person, the document may be served on the person—</w:t>
      </w:r>
    </w:p>
    <w:p w14:paraId="178050C6" w14:textId="77777777" w:rsidR="00D94935" w:rsidRDefault="00D94935" w:rsidP="00D94935">
      <w:pPr>
        <w:pStyle w:val="Apara"/>
        <w:rPr>
          <w:lang w:val="en-US"/>
        </w:rPr>
      </w:pPr>
      <w:r>
        <w:rPr>
          <w:lang w:val="en-US"/>
        </w:rPr>
        <w:tab/>
        <w:t>(a)</w:t>
      </w:r>
      <w:r>
        <w:rPr>
          <w:lang w:val="en-US"/>
        </w:rPr>
        <w:tab/>
        <w:t>by serving it personally on the person; or</w:t>
      </w:r>
    </w:p>
    <w:p w14:paraId="30A77D7E" w14:textId="77777777" w:rsidR="00D94935" w:rsidRDefault="00D94935" w:rsidP="00D94935">
      <w:pPr>
        <w:pStyle w:val="Apara"/>
        <w:rPr>
          <w:lang w:val="en-US"/>
        </w:rPr>
      </w:pPr>
      <w:r>
        <w:rPr>
          <w:lang w:val="en-US"/>
        </w:rPr>
        <w:tab/>
        <w:t>(b)</w:t>
      </w:r>
      <w:r>
        <w:rPr>
          <w:lang w:val="en-US"/>
        </w:rPr>
        <w:tab/>
        <w:t>by leaving a sealed or stamped copy at the person’s address for service; or</w:t>
      </w:r>
    </w:p>
    <w:p w14:paraId="24862224" w14:textId="77777777"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14:paraId="48D890F9" w14:textId="77777777"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14:paraId="373E8EC1" w14:textId="77777777"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14:paraId="75F743F9" w14:textId="77777777"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14:paraId="29F79AB3" w14:textId="77777777"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14:paraId="1AF68698" w14:textId="77777777"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14:paraId="7E962638" w14:textId="77777777" w:rsidR="00D94935" w:rsidRDefault="00D94935" w:rsidP="00D94935">
      <w:pPr>
        <w:pStyle w:val="AH5Sec"/>
      </w:pPr>
      <w:bookmarkStart w:id="1694" w:name="_Toc185515310"/>
      <w:r w:rsidRPr="00C8328B">
        <w:rPr>
          <w:rStyle w:val="CharSectNo"/>
        </w:rPr>
        <w:lastRenderedPageBreak/>
        <w:t>6421</w:t>
      </w:r>
      <w:r>
        <w:tab/>
        <w:t>Service by filing</w:t>
      </w:r>
      <w:bookmarkEnd w:id="1694"/>
    </w:p>
    <w:p w14:paraId="61452A9A" w14:textId="77777777" w:rsidR="00D94935" w:rsidRDefault="00D94935" w:rsidP="00D94935">
      <w:pPr>
        <w:pStyle w:val="Amain"/>
      </w:pPr>
      <w:r>
        <w:tab/>
        <w:t>(1)</w:t>
      </w:r>
      <w:r>
        <w:tab/>
        <w:t>This rule—</w:t>
      </w:r>
    </w:p>
    <w:p w14:paraId="35804451" w14:textId="77777777" w:rsidR="00D94935" w:rsidRDefault="00D94935" w:rsidP="00D94935">
      <w:pPr>
        <w:pStyle w:val="Apara"/>
      </w:pPr>
      <w:r>
        <w:tab/>
        <w:t>(a)</w:t>
      </w:r>
      <w:r>
        <w:tab/>
        <w:t>applies if a defendant—</w:t>
      </w:r>
    </w:p>
    <w:p w14:paraId="14C9A042" w14:textId="77777777" w:rsidR="00D94935" w:rsidRDefault="00D94935" w:rsidP="00D94935">
      <w:pPr>
        <w:pStyle w:val="Asubpara"/>
      </w:pPr>
      <w:r>
        <w:tab/>
        <w:t>(i)</w:t>
      </w:r>
      <w:r>
        <w:tab/>
        <w:t xml:space="preserve">has not filed in the court a notice of intention to respond or defence; or </w:t>
      </w:r>
    </w:p>
    <w:p w14:paraId="1615CCBC" w14:textId="77777777" w:rsidR="00D94935" w:rsidRDefault="00D94935" w:rsidP="00D94935">
      <w:pPr>
        <w:pStyle w:val="Asubpara"/>
      </w:pPr>
      <w:r>
        <w:tab/>
        <w:t>(ii)</w:t>
      </w:r>
      <w:r>
        <w:tab/>
        <w:t>has not given an address for service; and</w:t>
      </w:r>
    </w:p>
    <w:p w14:paraId="5D5C0A15" w14:textId="77777777" w:rsidR="00D94935" w:rsidRDefault="00D94935" w:rsidP="00D94935">
      <w:pPr>
        <w:pStyle w:val="Apara"/>
        <w:keepNext/>
      </w:pPr>
      <w:r>
        <w:tab/>
        <w:t>(b)</w:t>
      </w:r>
      <w:r>
        <w:tab/>
        <w:t>does not apply to a document that must be served personally.</w:t>
      </w:r>
    </w:p>
    <w:p w14:paraId="2EFBB3E7" w14:textId="77777777"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14:paraId="09316A75" w14:textId="77777777" w:rsidR="00D94935" w:rsidRDefault="00D94935" w:rsidP="00D94935">
      <w:pPr>
        <w:pStyle w:val="Amain"/>
        <w:keepNext/>
      </w:pPr>
      <w:r>
        <w:tab/>
        <w:t>(2)</w:t>
      </w:r>
      <w:r>
        <w:tab/>
        <w:t>A document may be served on the defendant by—</w:t>
      </w:r>
    </w:p>
    <w:p w14:paraId="47CDAD32" w14:textId="77777777" w:rsidR="00D94935" w:rsidRDefault="00D94935" w:rsidP="00D94935">
      <w:pPr>
        <w:pStyle w:val="Apara"/>
      </w:pPr>
      <w:r>
        <w:tab/>
        <w:t>(a)</w:t>
      </w:r>
      <w:r>
        <w:tab/>
        <w:t>filing it in the court; and</w:t>
      </w:r>
    </w:p>
    <w:p w14:paraId="387A34D3" w14:textId="77777777" w:rsidR="00D94935" w:rsidRDefault="00D94935" w:rsidP="00D94935">
      <w:pPr>
        <w:pStyle w:val="Apara"/>
      </w:pPr>
      <w:r>
        <w:tab/>
        <w:t>(b)</w:t>
      </w:r>
      <w:r>
        <w:tab/>
        <w:t>sending a sealed or stamped copy by prepaid post, addressed to the defendant, at the defendant’s last-known address.</w:t>
      </w:r>
    </w:p>
    <w:p w14:paraId="43495E71" w14:textId="77777777"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14:paraId="70B8DC15" w14:textId="77777777" w:rsidR="00D94935" w:rsidRPr="00C8328B" w:rsidRDefault="00D94935" w:rsidP="00D94935">
      <w:pPr>
        <w:pStyle w:val="AH3Div"/>
      </w:pPr>
      <w:bookmarkStart w:id="1695" w:name="_Toc185515311"/>
      <w:r w:rsidRPr="00C8328B">
        <w:rPr>
          <w:rStyle w:val="CharDivNo"/>
        </w:rPr>
        <w:t>Division 6.8.5</w:t>
      </w:r>
      <w:r>
        <w:rPr>
          <w:lang w:val="en-US"/>
        </w:rPr>
        <w:tab/>
      </w:r>
      <w:r w:rsidRPr="00C8328B">
        <w:rPr>
          <w:rStyle w:val="CharDivText"/>
          <w:lang w:val="en-US"/>
        </w:rPr>
        <w:t>Service—particular cases</w:t>
      </w:r>
      <w:bookmarkEnd w:id="1695"/>
    </w:p>
    <w:p w14:paraId="7EDFF2F5" w14:textId="77777777" w:rsidR="00D94935" w:rsidRPr="006364FA" w:rsidRDefault="00D94935" w:rsidP="001D2643">
      <w:pPr>
        <w:pStyle w:val="aNote"/>
        <w:keepNext/>
        <w:rPr>
          <w:rStyle w:val="charItals"/>
        </w:rPr>
      </w:pPr>
      <w:r w:rsidRPr="006364FA">
        <w:rPr>
          <w:rStyle w:val="charItals"/>
        </w:rPr>
        <w:t>Note to div 6.8.5</w:t>
      </w:r>
    </w:p>
    <w:p w14:paraId="70789F68" w14:textId="77777777"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14:paraId="5E88431A" w14:textId="77777777" w:rsidR="00D94935" w:rsidRDefault="00D94935" w:rsidP="00D94935">
      <w:pPr>
        <w:pStyle w:val="AH5Sec"/>
      </w:pPr>
      <w:bookmarkStart w:id="1696" w:name="_Toc185515312"/>
      <w:r w:rsidRPr="00C8328B">
        <w:rPr>
          <w:rStyle w:val="CharSectNo"/>
        </w:rPr>
        <w:t>6430</w:t>
      </w:r>
      <w:r>
        <w:tab/>
        <w:t>Service in Australia but outside ACT</w:t>
      </w:r>
      <w:bookmarkEnd w:id="1696"/>
    </w:p>
    <w:p w14:paraId="2C83330F" w14:textId="77777777" w:rsidR="00D94935" w:rsidRDefault="00D94935" w:rsidP="00D94935">
      <w:pPr>
        <w:pStyle w:val="Amain"/>
      </w:pPr>
      <w:r>
        <w:tab/>
        <w:t>(1)</w:t>
      </w:r>
      <w:r>
        <w:tab/>
        <w:t>This rule applies only to service of an originating process outside the ACT but in Australia.</w:t>
      </w:r>
    </w:p>
    <w:p w14:paraId="404A8E88" w14:textId="762E764E" w:rsidR="00D94935" w:rsidRDefault="00D94935" w:rsidP="00D94935">
      <w:pPr>
        <w:pStyle w:val="Amain"/>
      </w:pPr>
      <w:r>
        <w:tab/>
        <w:t>(2)</w:t>
      </w:r>
      <w:r>
        <w:tab/>
        <w:t xml:space="preserve">The originating process must be served in accordance with the </w:t>
      </w:r>
      <w:hyperlink r:id="rId805" w:tooltip="Act 1992 No 172 (Cwlth)" w:history="1">
        <w:r w:rsidRPr="004F32F5">
          <w:rPr>
            <w:rStyle w:val="charCitHyperlinkItal"/>
          </w:rPr>
          <w:t>Service and Execution of Process Act 1992</w:t>
        </w:r>
      </w:hyperlink>
      <w:r>
        <w:t xml:space="preserve"> (Cwlth).</w:t>
      </w:r>
    </w:p>
    <w:p w14:paraId="074AC735" w14:textId="77777777" w:rsidR="00D94935" w:rsidRDefault="00D94935" w:rsidP="00D94935">
      <w:pPr>
        <w:pStyle w:val="Amain"/>
        <w:keepNext/>
      </w:pPr>
      <w:r>
        <w:lastRenderedPageBreak/>
        <w:tab/>
        <w:t>(3)</w:t>
      </w:r>
      <w:r>
        <w:tab/>
        <w:t>In this rule:</w:t>
      </w:r>
    </w:p>
    <w:p w14:paraId="5AC900E3" w14:textId="77777777" w:rsidR="00D94935" w:rsidRDefault="00D94935" w:rsidP="00D94935">
      <w:pPr>
        <w:pStyle w:val="aDef"/>
      </w:pPr>
      <w:r w:rsidRPr="006364FA">
        <w:rPr>
          <w:rStyle w:val="charBoldItals"/>
        </w:rPr>
        <w:t>Australia</w:t>
      </w:r>
      <w:r>
        <w:t xml:space="preserve"> includes the external territories.</w:t>
      </w:r>
    </w:p>
    <w:p w14:paraId="6C33ECFD" w14:textId="77777777" w:rsidR="00D94935" w:rsidRDefault="00D94935" w:rsidP="00D94935">
      <w:pPr>
        <w:pStyle w:val="AH5Sec"/>
        <w:rPr>
          <w:lang w:val="en-US"/>
        </w:rPr>
      </w:pPr>
      <w:bookmarkStart w:id="1697" w:name="_Toc185515313"/>
      <w:r w:rsidRPr="00C8328B">
        <w:rPr>
          <w:rStyle w:val="CharSectNo"/>
        </w:rPr>
        <w:t>6431</w:t>
      </w:r>
      <w:r>
        <w:rPr>
          <w:lang w:val="en-US"/>
        </w:rPr>
        <w:tab/>
        <w:t>Service on corporations—generally</w:t>
      </w:r>
      <w:bookmarkEnd w:id="1697"/>
    </w:p>
    <w:p w14:paraId="1F178EAA" w14:textId="77777777"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14:paraId="65C8C0D5" w14:textId="77777777"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14:paraId="619AAA9B" w14:textId="77777777" w:rsidR="00D94935" w:rsidRDefault="00D94935" w:rsidP="00D94935">
      <w:pPr>
        <w:pStyle w:val="Apara"/>
        <w:rPr>
          <w:lang w:val="en-US"/>
        </w:rPr>
      </w:pPr>
      <w:r>
        <w:rPr>
          <w:lang w:val="en-US"/>
        </w:rPr>
        <w:tab/>
        <w:t>(b)</w:t>
      </w:r>
      <w:r>
        <w:rPr>
          <w:lang w:val="en-US"/>
        </w:rPr>
        <w:tab/>
        <w:t>by rule 6432 (Service on corporations—additional ways for all corporations).</w:t>
      </w:r>
    </w:p>
    <w:p w14:paraId="058FE67C" w14:textId="77777777"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14:paraId="7C89E548" w14:textId="3DEC203A"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6" w:tooltip="A2001-14" w:history="1">
        <w:r w:rsidRPr="006364FA">
          <w:rPr>
            <w:rStyle w:val="charCitHyperlinkAbbrev"/>
          </w:rPr>
          <w:t>Legislation Act</w:t>
        </w:r>
      </w:hyperlink>
      <w:r>
        <w:rPr>
          <w:lang w:val="en-US"/>
        </w:rPr>
        <w:t>, dict, pt 1).</w:t>
      </w:r>
    </w:p>
    <w:p w14:paraId="512DEAE0" w14:textId="77777777"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14:paraId="6998669E" w14:textId="1F0A81E5"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7"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8"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14:paraId="16A5B409" w14:textId="5A14D7D4"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9"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14:paraId="6DF881AD" w14:textId="77777777"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14:paraId="7193C3D4" w14:textId="77777777"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14:paraId="4CCC9121" w14:textId="77777777"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14:paraId="5EE8753B" w14:textId="21DD41FD" w:rsidR="00D94935" w:rsidRDefault="00D94935" w:rsidP="00D94935">
      <w:pPr>
        <w:pStyle w:val="aNoteTextss"/>
        <w:rPr>
          <w:lang w:val="en-US"/>
        </w:rPr>
      </w:pPr>
      <w:r>
        <w:rPr>
          <w:lang w:val="en-US"/>
        </w:rPr>
        <w:t xml:space="preserve">The </w:t>
      </w:r>
      <w:hyperlink r:id="rId810"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14:paraId="16E634E6" w14:textId="77777777"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14:paraId="18881494" w14:textId="7178977E"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11"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14:paraId="378A2E02" w14:textId="77346D23"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2"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14:paraId="4B13DE10" w14:textId="433D1FD9"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3" w:tooltip="A2002-45" w:history="1">
        <w:r w:rsidRPr="006364FA">
          <w:rPr>
            <w:rStyle w:val="charCitHyperlinkItal"/>
          </w:rPr>
          <w:t>Cooperatives Act 2002</w:t>
        </w:r>
      </w:hyperlink>
      <w:r>
        <w:rPr>
          <w:lang w:val="en-US"/>
        </w:rPr>
        <w:t>, s 461 provides non-exhaustively for the service of documents on a foreign cooperative by post</w:t>
      </w:r>
    </w:p>
    <w:p w14:paraId="543AF5C3" w14:textId="42F1AF98"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14" w:tooltip="A2001-16" w:history="1">
        <w:r w:rsidRPr="006364FA">
          <w:rPr>
            <w:rStyle w:val="charCitHyperlinkItal"/>
          </w:rPr>
          <w:t>Unit Titles Act 2001</w:t>
        </w:r>
      </w:hyperlink>
      <w:r>
        <w:rPr>
          <w:lang w:val="en-US"/>
        </w:rPr>
        <w:t>, s 79 provides non-exhaustively for the service of documents on an owners corporation under that Act.</w:t>
      </w:r>
    </w:p>
    <w:p w14:paraId="74F30D88" w14:textId="77777777"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14:paraId="2B5B167D" w14:textId="5B202E37" w:rsidR="00D94935" w:rsidRDefault="00D94935" w:rsidP="00D94935">
      <w:pPr>
        <w:pStyle w:val="aNoteTextss"/>
        <w:rPr>
          <w:lang w:val="en-US"/>
        </w:rPr>
      </w:pPr>
      <w:r>
        <w:rPr>
          <w:lang w:val="en-US"/>
        </w:rPr>
        <w:t xml:space="preserve">The </w:t>
      </w:r>
      <w:hyperlink r:id="rId815"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6" w:tooltip="A2004-59" w:history="1">
        <w:r w:rsidRPr="006364FA">
          <w:rPr>
            <w:rStyle w:val="charCitHyperlinkItal"/>
          </w:rPr>
          <w:t>Court Procedures Act 2004</w:t>
        </w:r>
      </w:hyperlink>
      <w:r>
        <w:rPr>
          <w:lang w:val="en-US"/>
        </w:rPr>
        <w:t>, s 33 and s 34 provide for service on the Territory and its Ministers.</w:t>
      </w:r>
    </w:p>
    <w:p w14:paraId="607A8B74" w14:textId="77777777"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14:paraId="5844DD5F" w14:textId="77777777" w:rsidR="00D94935" w:rsidRDefault="00D94935" w:rsidP="00D94935">
      <w:pPr>
        <w:pStyle w:val="AH5Sec"/>
        <w:rPr>
          <w:lang w:val="en-US"/>
        </w:rPr>
      </w:pPr>
      <w:bookmarkStart w:id="1698" w:name="_Toc185515314"/>
      <w:r w:rsidRPr="00C8328B">
        <w:rPr>
          <w:rStyle w:val="CharSectNo"/>
        </w:rPr>
        <w:t>6432</w:t>
      </w:r>
      <w:r>
        <w:rPr>
          <w:lang w:val="en-US"/>
        </w:rPr>
        <w:tab/>
        <w:t>Service on corporations—additional ways for all corporations</w:t>
      </w:r>
      <w:bookmarkEnd w:id="1698"/>
    </w:p>
    <w:p w14:paraId="64ED657E" w14:textId="77777777"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14:paraId="025B86C4" w14:textId="77777777"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14:paraId="0C4DC793"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14:paraId="1EEE18FD" w14:textId="77777777" w:rsidR="00D94935" w:rsidRDefault="00D94935" w:rsidP="00D94935">
      <w:pPr>
        <w:pStyle w:val="Amain"/>
        <w:keepNext/>
        <w:rPr>
          <w:lang w:val="en-US"/>
        </w:rPr>
      </w:pPr>
      <w:r>
        <w:rPr>
          <w:lang w:val="en-US"/>
        </w:rPr>
        <w:tab/>
        <w:t>(3)</w:t>
      </w:r>
      <w:r>
        <w:rPr>
          <w:lang w:val="en-US"/>
        </w:rPr>
        <w:tab/>
        <w:t>In this rule:</w:t>
      </w:r>
    </w:p>
    <w:p w14:paraId="2F41706D" w14:textId="77777777" w:rsidR="00D94935" w:rsidRDefault="00D94935" w:rsidP="00D94935">
      <w:pPr>
        <w:pStyle w:val="aDef"/>
        <w:keepNext/>
        <w:rPr>
          <w:lang w:val="en-US"/>
        </w:rPr>
      </w:pPr>
      <w:r w:rsidRPr="006364FA">
        <w:rPr>
          <w:rStyle w:val="charBoldItals"/>
        </w:rPr>
        <w:t>registered office</w:t>
      </w:r>
      <w:r>
        <w:rPr>
          <w:lang w:val="en-US"/>
        </w:rPr>
        <w:t>, for a corporation, includes—</w:t>
      </w:r>
    </w:p>
    <w:p w14:paraId="7C82DDF9" w14:textId="351A9036"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7" w:tooltip="Act 2001 No 50 (Cwlth)" w:history="1">
        <w:r w:rsidRPr="00D74CAB">
          <w:rPr>
            <w:rStyle w:val="charCitHyperlinkAbbrev"/>
          </w:rPr>
          <w:t>Corporations Act</w:t>
        </w:r>
      </w:hyperlink>
      <w:r>
        <w:rPr>
          <w:lang w:val="en-US"/>
        </w:rPr>
        <w:t>—that office; and</w:t>
      </w:r>
    </w:p>
    <w:p w14:paraId="438A8FE2" w14:textId="77777777"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14:paraId="35BE9B0F" w14:textId="77777777"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14:paraId="6C4F4CA3" w14:textId="77777777" w:rsidR="00D94935" w:rsidRDefault="00D94935" w:rsidP="00D94935">
      <w:pPr>
        <w:pStyle w:val="AH5Sec"/>
        <w:rPr>
          <w:lang w:val="en-US"/>
        </w:rPr>
      </w:pPr>
      <w:bookmarkStart w:id="1699" w:name="_Toc185515315"/>
      <w:r w:rsidRPr="00C8328B">
        <w:rPr>
          <w:rStyle w:val="CharSectNo"/>
        </w:rPr>
        <w:t>6433</w:t>
      </w:r>
      <w:r>
        <w:rPr>
          <w:lang w:val="en-US"/>
        </w:rPr>
        <w:tab/>
        <w:t>Service of originating process on partnership</w:t>
      </w:r>
      <w:bookmarkEnd w:id="1699"/>
    </w:p>
    <w:p w14:paraId="393C0047" w14:textId="77777777" w:rsidR="00D94935" w:rsidRDefault="00D94935" w:rsidP="00D94935">
      <w:pPr>
        <w:pStyle w:val="Amain"/>
      </w:pPr>
      <w:r>
        <w:tab/>
        <w:t>(1)</w:t>
      </w:r>
      <w:r>
        <w:tab/>
        <w:t>An originating process against a partnership must be served in accordance with these rules—</w:t>
      </w:r>
    </w:p>
    <w:p w14:paraId="4DE36F65" w14:textId="77777777" w:rsidR="00D94935" w:rsidRDefault="00D94935" w:rsidP="00D94935">
      <w:pPr>
        <w:pStyle w:val="Apara"/>
      </w:pPr>
      <w:r>
        <w:tab/>
        <w:t>(a)</w:t>
      </w:r>
      <w:r>
        <w:tab/>
        <w:t>on at least 1 of the partners; or</w:t>
      </w:r>
    </w:p>
    <w:p w14:paraId="29355A19" w14:textId="77777777" w:rsidR="00D94935" w:rsidRDefault="00D94935" w:rsidP="00D94935">
      <w:pPr>
        <w:pStyle w:val="Apara"/>
      </w:pPr>
      <w:r>
        <w:tab/>
        <w:t>(b)</w:t>
      </w:r>
      <w:r>
        <w:tab/>
        <w:t>on someone at the partnership’s main place of business in the ACT who appears to have control or management of the partnership’s business at the place; or</w:t>
      </w:r>
    </w:p>
    <w:p w14:paraId="7ECE33D7" w14:textId="77777777" w:rsidR="00D94935" w:rsidRDefault="00D94935" w:rsidP="00D94935">
      <w:pPr>
        <w:pStyle w:val="Apara"/>
      </w:pPr>
      <w:r>
        <w:tab/>
        <w:t>(c)</w:t>
      </w:r>
      <w:r>
        <w:tab/>
        <w:t>for an incorporated limited partnership—at the partnership’s registered office.</w:t>
      </w:r>
    </w:p>
    <w:p w14:paraId="47A7B93D"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14:paraId="087A3600" w14:textId="77777777"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14:paraId="5376537F" w14:textId="77777777"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14:paraId="7D6E237F" w14:textId="77777777"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14:paraId="0554C2B7" w14:textId="77777777" w:rsidR="00D94935" w:rsidRDefault="00D94935" w:rsidP="00D94935">
      <w:pPr>
        <w:pStyle w:val="Amain"/>
        <w:keepNext/>
      </w:pPr>
      <w:r>
        <w:lastRenderedPageBreak/>
        <w:tab/>
        <w:t>(6)</w:t>
      </w:r>
      <w:r>
        <w:tab/>
        <w:t>In this rule:</w:t>
      </w:r>
    </w:p>
    <w:p w14:paraId="1FBE9876" w14:textId="484C9DF9"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8" w:tooltip="A1963-5" w:history="1">
        <w:r w:rsidRPr="006364FA">
          <w:rPr>
            <w:rStyle w:val="charCitHyperlinkItal"/>
          </w:rPr>
          <w:t>Partnership Act 1963</w:t>
        </w:r>
      </w:hyperlink>
      <w:r>
        <w:t>, section 90.</w:t>
      </w:r>
    </w:p>
    <w:p w14:paraId="6DEBA043" w14:textId="77777777" w:rsidR="00D94935" w:rsidRDefault="00D94935" w:rsidP="00D94935">
      <w:pPr>
        <w:pStyle w:val="AH5Sec"/>
        <w:rPr>
          <w:lang w:val="en-US"/>
        </w:rPr>
      </w:pPr>
      <w:bookmarkStart w:id="1700" w:name="_Toc185515316"/>
      <w:r w:rsidRPr="00C8328B">
        <w:rPr>
          <w:rStyle w:val="CharSectNo"/>
        </w:rPr>
        <w:t>6434</w:t>
      </w:r>
      <w:r>
        <w:rPr>
          <w:lang w:val="en-US"/>
        </w:rPr>
        <w:tab/>
      </w:r>
      <w:r w:rsidRPr="00AD5834">
        <w:t>Service on defendant operating under business name</w:t>
      </w:r>
      <w:bookmarkEnd w:id="1700"/>
    </w:p>
    <w:p w14:paraId="0370096E" w14:textId="77777777" w:rsidR="00D94935" w:rsidRPr="00AD5834" w:rsidRDefault="00D94935" w:rsidP="00D94935">
      <w:pPr>
        <w:pStyle w:val="Amain"/>
      </w:pPr>
      <w:r w:rsidRPr="00AD5834">
        <w:tab/>
        <w:t>(1)</w:t>
      </w:r>
      <w:r w:rsidRPr="00AD5834">
        <w:tab/>
        <w:t>This rule applies in relation to a person if—</w:t>
      </w:r>
    </w:p>
    <w:p w14:paraId="7C266167" w14:textId="77777777"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14:paraId="67739F35" w14:textId="77777777" w:rsidR="00D94935" w:rsidRPr="00AD5834" w:rsidRDefault="00D94935" w:rsidP="00D94935">
      <w:pPr>
        <w:pStyle w:val="Apara"/>
      </w:pPr>
      <w:r w:rsidRPr="00AD5834">
        <w:tab/>
        <w:t>(b)</w:t>
      </w:r>
      <w:r w:rsidRPr="00AD5834">
        <w:tab/>
        <w:t>a proceeding is started against the defendant under the business name.</w:t>
      </w:r>
    </w:p>
    <w:p w14:paraId="59AF9895" w14:textId="77777777" w:rsidR="00D94935" w:rsidRPr="00AD5834" w:rsidRDefault="00D94935" w:rsidP="001D2643">
      <w:pPr>
        <w:pStyle w:val="Amain"/>
        <w:keepNext/>
      </w:pPr>
      <w:r w:rsidRPr="00AD5834">
        <w:tab/>
        <w:t>(2)</w:t>
      </w:r>
      <w:r w:rsidRPr="00AD5834">
        <w:tab/>
        <w:t>The originating process for the proceeding may be served on the defendant—</w:t>
      </w:r>
    </w:p>
    <w:p w14:paraId="407D6E49" w14:textId="66D9EE0E" w:rsidR="00D94935" w:rsidRPr="00AD5834" w:rsidRDefault="00D94935" w:rsidP="001D2643">
      <w:pPr>
        <w:pStyle w:val="Apara"/>
        <w:keepNext/>
      </w:pPr>
      <w:r w:rsidRPr="00AD5834">
        <w:tab/>
        <w:t>(a)</w:t>
      </w:r>
      <w:r w:rsidRPr="00AD5834">
        <w:tab/>
        <w:t xml:space="preserve">if the business name is registered under the </w:t>
      </w:r>
      <w:hyperlink r:id="rId819" w:tooltip="Act 2011 No 126 (Cwlth)" w:history="1">
        <w:r w:rsidRPr="00374CAC">
          <w:rPr>
            <w:rStyle w:val="charCitHyperlinkItal"/>
          </w:rPr>
          <w:t>Business Names Registration Act 2011</w:t>
        </w:r>
      </w:hyperlink>
      <w:r w:rsidRPr="00AD5834">
        <w:t xml:space="preserve"> (Cwlth)—</w:t>
      </w:r>
    </w:p>
    <w:p w14:paraId="26FCBE6A" w14:textId="77777777"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14:paraId="49219E75" w14:textId="77777777"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14:paraId="29C8BFF4" w14:textId="60591263" w:rsidR="00D94935" w:rsidRPr="00AD5834" w:rsidRDefault="00D94935" w:rsidP="00D94935">
      <w:pPr>
        <w:pStyle w:val="Apara"/>
      </w:pPr>
      <w:r w:rsidRPr="00AD5834">
        <w:tab/>
        <w:t>(b)</w:t>
      </w:r>
      <w:r w:rsidRPr="00AD5834">
        <w:tab/>
        <w:t xml:space="preserve">if the business name is not registered under the </w:t>
      </w:r>
      <w:hyperlink r:id="rId820"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14:paraId="1578B821" w14:textId="77777777" w:rsidR="00D94935" w:rsidRPr="00AD5834" w:rsidRDefault="00D94935" w:rsidP="00D94935">
      <w:pPr>
        <w:pStyle w:val="Asubpara"/>
      </w:pPr>
      <w:r w:rsidRPr="00AD5834">
        <w:tab/>
        <w:t>(i)</w:t>
      </w:r>
      <w:r w:rsidRPr="00AD5834">
        <w:tab/>
        <w:t>to have control or management of the business at the place; and</w:t>
      </w:r>
    </w:p>
    <w:p w14:paraId="533C7E36" w14:textId="77777777" w:rsidR="00D94935" w:rsidRPr="00AD5834" w:rsidRDefault="00D94935" w:rsidP="00D94935">
      <w:pPr>
        <w:pStyle w:val="Asubpara"/>
      </w:pPr>
      <w:r w:rsidRPr="00AD5834">
        <w:tab/>
        <w:t>(ii)</w:t>
      </w:r>
      <w:r w:rsidRPr="00AD5834">
        <w:tab/>
        <w:t>to be at least 16 years old.</w:t>
      </w:r>
    </w:p>
    <w:p w14:paraId="52C2CE9C" w14:textId="77777777"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14:paraId="167D0D38" w14:textId="77777777" w:rsidR="00D94935" w:rsidRDefault="00D94935" w:rsidP="00D94935">
      <w:pPr>
        <w:pStyle w:val="Apara"/>
        <w:rPr>
          <w:lang w:val="en-US"/>
        </w:rPr>
      </w:pPr>
      <w:r>
        <w:rPr>
          <w:lang w:val="en-US"/>
        </w:rPr>
        <w:tab/>
        <w:t>(a)</w:t>
      </w:r>
      <w:r>
        <w:rPr>
          <w:lang w:val="en-US"/>
        </w:rPr>
        <w:tab/>
        <w:t>as mentioned in subrule (2); or</w:t>
      </w:r>
    </w:p>
    <w:p w14:paraId="5670C8F3" w14:textId="77777777"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14:paraId="3FDA078A" w14:textId="77777777"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14:paraId="2A601D3D" w14:textId="77777777" w:rsidR="00D94935" w:rsidRPr="00AD5834" w:rsidRDefault="00D94935" w:rsidP="001D2643">
      <w:pPr>
        <w:pStyle w:val="Amain"/>
        <w:keepNext/>
      </w:pPr>
      <w:r w:rsidRPr="00AD5834">
        <w:tab/>
        <w:t>(5)</w:t>
      </w:r>
      <w:r w:rsidRPr="00AD5834">
        <w:tab/>
        <w:t>In this rule:</w:t>
      </w:r>
    </w:p>
    <w:p w14:paraId="444E7A69" w14:textId="69810212"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21" w:tooltip="Act 2011 No 126 (Cwlth)" w:history="1">
        <w:r w:rsidRPr="00374CAC">
          <w:rPr>
            <w:rStyle w:val="charCitHyperlinkItal"/>
          </w:rPr>
          <w:t>Business Names Registration Act 2011</w:t>
        </w:r>
      </w:hyperlink>
      <w:r w:rsidRPr="00AD5834">
        <w:t xml:space="preserve"> (Cwlth), section 22.</w:t>
      </w:r>
    </w:p>
    <w:p w14:paraId="11BAF267" w14:textId="77777777" w:rsidR="00D94935" w:rsidRDefault="00D94935" w:rsidP="00D94935">
      <w:pPr>
        <w:pStyle w:val="AH5Sec"/>
        <w:rPr>
          <w:lang w:val="en-US"/>
        </w:rPr>
      </w:pPr>
      <w:bookmarkStart w:id="1701" w:name="_Toc185515317"/>
      <w:r w:rsidRPr="00C8328B">
        <w:rPr>
          <w:rStyle w:val="CharSectNo"/>
        </w:rPr>
        <w:t>6435</w:t>
      </w:r>
      <w:r>
        <w:rPr>
          <w:lang w:val="en-US"/>
        </w:rPr>
        <w:tab/>
        <w:t>Service on children</w:t>
      </w:r>
      <w:bookmarkEnd w:id="1701"/>
    </w:p>
    <w:p w14:paraId="4BF20E3E"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14:paraId="20193C8A" w14:textId="547E242E"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22"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14:paraId="03342FB6" w14:textId="77777777"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14:paraId="041707BA" w14:textId="77777777" w:rsidR="00D94935" w:rsidRDefault="00D94935" w:rsidP="00D94935">
      <w:pPr>
        <w:pStyle w:val="Apara"/>
        <w:rPr>
          <w:lang w:val="en-US"/>
        </w:rPr>
      </w:pPr>
      <w:r>
        <w:rPr>
          <w:lang w:val="en-US"/>
        </w:rPr>
        <w:tab/>
        <w:t>(a)</w:t>
      </w:r>
      <w:r>
        <w:rPr>
          <w:lang w:val="en-US"/>
        </w:rPr>
        <w:tab/>
        <w:t>if the child is at least 16 years old—the child; or</w:t>
      </w:r>
    </w:p>
    <w:p w14:paraId="02901D4E" w14:textId="77777777" w:rsidR="00D94935" w:rsidRDefault="00D94935" w:rsidP="00D94935">
      <w:pPr>
        <w:pStyle w:val="Apara"/>
        <w:rPr>
          <w:lang w:val="en-US"/>
        </w:rPr>
      </w:pPr>
      <w:r>
        <w:rPr>
          <w:lang w:val="en-US"/>
        </w:rPr>
        <w:tab/>
        <w:t>(b)</w:t>
      </w:r>
      <w:r>
        <w:rPr>
          <w:lang w:val="en-US"/>
        </w:rPr>
        <w:tab/>
        <w:t>the child’s parent or guardian; or</w:t>
      </w:r>
    </w:p>
    <w:p w14:paraId="6DC0DC51" w14:textId="77777777" w:rsidR="00D94935" w:rsidRDefault="00D94935" w:rsidP="00D94935">
      <w:pPr>
        <w:pStyle w:val="Apara"/>
        <w:rPr>
          <w:lang w:val="en-US"/>
        </w:rPr>
      </w:pPr>
      <w:r>
        <w:rPr>
          <w:lang w:val="en-US"/>
        </w:rPr>
        <w:tab/>
        <w:t>(c)</w:t>
      </w:r>
      <w:r>
        <w:rPr>
          <w:lang w:val="en-US"/>
        </w:rPr>
        <w:tab/>
        <w:t>if there is no parent or guardian—</w:t>
      </w:r>
    </w:p>
    <w:p w14:paraId="1AD0F9B5" w14:textId="35E35D15"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23" w:tooltip="A2008-19" w:history="1">
        <w:r w:rsidRPr="006364FA">
          <w:rPr>
            <w:rStyle w:val="charCitHyperlinkItal"/>
          </w:rPr>
          <w:t>Children and Young People Act 2008</w:t>
        </w:r>
      </w:hyperlink>
      <w:r>
        <w:rPr>
          <w:lang w:val="en-US"/>
        </w:rPr>
        <w:t>; or</w:t>
      </w:r>
    </w:p>
    <w:p w14:paraId="5E085604" w14:textId="77777777"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14:paraId="00D8B950" w14:textId="77777777"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14:paraId="1549EE15" w14:textId="77777777" w:rsidR="00D94935" w:rsidRDefault="00D94935" w:rsidP="00D94935">
      <w:pPr>
        <w:pStyle w:val="AH5Sec"/>
        <w:rPr>
          <w:lang w:val="en-US"/>
        </w:rPr>
      </w:pPr>
      <w:bookmarkStart w:id="1702" w:name="_Toc185515318"/>
      <w:r w:rsidRPr="00C8328B">
        <w:rPr>
          <w:rStyle w:val="CharSectNo"/>
        </w:rPr>
        <w:t>6436</w:t>
      </w:r>
      <w:r>
        <w:rPr>
          <w:lang w:val="en-US"/>
        </w:rPr>
        <w:tab/>
        <w:t>Service on people with mental disabilities</w:t>
      </w:r>
      <w:bookmarkEnd w:id="1702"/>
    </w:p>
    <w:p w14:paraId="503F6210" w14:textId="77777777"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14:paraId="2AA1DB44" w14:textId="77777777" w:rsidR="00D94935" w:rsidRDefault="00D94935" w:rsidP="00D94935">
      <w:pPr>
        <w:pStyle w:val="Apara"/>
        <w:rPr>
          <w:lang w:val="en-US"/>
        </w:rPr>
      </w:pPr>
      <w:r>
        <w:rPr>
          <w:lang w:val="en-US"/>
        </w:rPr>
        <w:tab/>
        <w:t>(a)</w:t>
      </w:r>
      <w:r>
        <w:rPr>
          <w:lang w:val="en-US"/>
        </w:rPr>
        <w:tab/>
        <w:t>the person who is the relevant person’s litigation guardian for the proceeding; or</w:t>
      </w:r>
    </w:p>
    <w:p w14:paraId="1E657A99" w14:textId="77777777"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14:paraId="361D1095" w14:textId="77777777"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14:paraId="1411E52B" w14:textId="77777777" w:rsidR="00D94935" w:rsidRDefault="00D94935" w:rsidP="00D94935">
      <w:pPr>
        <w:pStyle w:val="Asubpara"/>
        <w:rPr>
          <w:lang w:val="en-US"/>
        </w:rPr>
      </w:pPr>
      <w:r>
        <w:rPr>
          <w:lang w:val="en-US"/>
        </w:rPr>
        <w:tab/>
        <w:t>(i)</w:t>
      </w:r>
      <w:r>
        <w:rPr>
          <w:lang w:val="en-US"/>
        </w:rPr>
        <w:tab/>
        <w:t>an adult who has the care of the relevant person; or</w:t>
      </w:r>
    </w:p>
    <w:p w14:paraId="0D916F93" w14:textId="77777777" w:rsidR="00D94935" w:rsidRDefault="00D94935" w:rsidP="00D94935">
      <w:pPr>
        <w:pStyle w:val="Asubpara"/>
        <w:rPr>
          <w:lang w:val="en-US"/>
        </w:rPr>
      </w:pPr>
      <w:r>
        <w:rPr>
          <w:lang w:val="en-US"/>
        </w:rPr>
        <w:tab/>
        <w:t>(ii)</w:t>
      </w:r>
      <w:r>
        <w:rPr>
          <w:lang w:val="en-US"/>
        </w:rPr>
        <w:tab/>
        <w:t>an adult with whom the relevant person lives.</w:t>
      </w:r>
    </w:p>
    <w:p w14:paraId="1F7222C9" w14:textId="77777777"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14:paraId="78AD3E53" w14:textId="77777777"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14:paraId="293CF708" w14:textId="77777777" w:rsidR="00D94935" w:rsidRDefault="00D94935" w:rsidP="00D94935">
      <w:pPr>
        <w:pStyle w:val="AH5Sec"/>
        <w:rPr>
          <w:lang w:val="en-US"/>
        </w:rPr>
      </w:pPr>
      <w:bookmarkStart w:id="1703" w:name="_Toc185515319"/>
      <w:r w:rsidRPr="00C8328B">
        <w:rPr>
          <w:rStyle w:val="CharSectNo"/>
        </w:rPr>
        <w:t>6437</w:t>
      </w:r>
      <w:r>
        <w:rPr>
          <w:lang w:val="en-US"/>
        </w:rPr>
        <w:tab/>
        <w:t>Service on detainees</w:t>
      </w:r>
      <w:bookmarkEnd w:id="1703"/>
    </w:p>
    <w:p w14:paraId="22DDB192" w14:textId="77777777"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14:paraId="2DF1E257" w14:textId="77777777"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14:paraId="3384F534" w14:textId="77777777" w:rsidR="00D94935" w:rsidRDefault="00D94935" w:rsidP="00D94935">
      <w:pPr>
        <w:pStyle w:val="Amain"/>
        <w:keepNext/>
        <w:rPr>
          <w:lang w:val="en-US"/>
        </w:rPr>
      </w:pPr>
      <w:r>
        <w:rPr>
          <w:lang w:val="en-US"/>
        </w:rPr>
        <w:tab/>
        <w:t>(3)</w:t>
      </w:r>
      <w:r>
        <w:rPr>
          <w:lang w:val="en-US"/>
        </w:rPr>
        <w:tab/>
        <w:t>In this rule:</w:t>
      </w:r>
    </w:p>
    <w:p w14:paraId="0EBF9E51" w14:textId="5B71923C"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24" w:tooltip="A2005-59" w:history="1">
        <w:r w:rsidRPr="006364FA">
          <w:rPr>
            <w:rStyle w:val="charCitHyperlinkItal"/>
          </w:rPr>
          <w:t>Crimes (Sentence Administration) Act 2005</w:t>
        </w:r>
      </w:hyperlink>
      <w:r>
        <w:rPr>
          <w:szCs w:val="24"/>
          <w:lang w:val="en-US"/>
        </w:rPr>
        <w:t>.</w:t>
      </w:r>
    </w:p>
    <w:p w14:paraId="68293568" w14:textId="77777777"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14:paraId="0FF2C887" w14:textId="77777777" w:rsidR="00D94935" w:rsidRDefault="00D94935" w:rsidP="00D94935">
      <w:pPr>
        <w:pStyle w:val="AH5Sec"/>
        <w:rPr>
          <w:lang w:val="en-US"/>
        </w:rPr>
      </w:pPr>
      <w:bookmarkStart w:id="1704" w:name="_Toc185515320"/>
      <w:r w:rsidRPr="00C8328B">
        <w:rPr>
          <w:rStyle w:val="CharSectNo"/>
        </w:rPr>
        <w:t>6438</w:t>
      </w:r>
      <w:r>
        <w:rPr>
          <w:lang w:val="en-US"/>
        </w:rPr>
        <w:tab/>
        <w:t>Service if no-one found at party’s address for service</w:t>
      </w:r>
      <w:bookmarkEnd w:id="1704"/>
    </w:p>
    <w:p w14:paraId="70038C2D" w14:textId="77777777"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14:paraId="53258FD6"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14:paraId="630BD763" w14:textId="77777777"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14:paraId="5852D837" w14:textId="77777777"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14:paraId="7D3D9B5B" w14:textId="43447844"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5" w:tooltip="A2001-14" w:history="1">
        <w:r w:rsidRPr="006364FA">
          <w:rPr>
            <w:rStyle w:val="charCitHyperlinkAbbrev"/>
          </w:rPr>
          <w:t>Legislation Act</w:t>
        </w:r>
      </w:hyperlink>
      <w:r>
        <w:rPr>
          <w:iCs/>
        </w:rPr>
        <w:t>, s 98).</w:t>
      </w:r>
    </w:p>
    <w:p w14:paraId="3F7DE90C" w14:textId="77777777" w:rsidR="00D94935" w:rsidRDefault="00D94935" w:rsidP="00D94935">
      <w:pPr>
        <w:pStyle w:val="AH5Sec"/>
        <w:rPr>
          <w:lang w:val="en-US"/>
        </w:rPr>
      </w:pPr>
      <w:bookmarkStart w:id="1705" w:name="_Toc185515321"/>
      <w:r w:rsidRPr="00C8328B">
        <w:rPr>
          <w:rStyle w:val="CharSectNo"/>
        </w:rPr>
        <w:lastRenderedPageBreak/>
        <w:t>6439</w:t>
      </w:r>
      <w:r>
        <w:rPr>
          <w:lang w:val="en-US"/>
        </w:rPr>
        <w:tab/>
        <w:t>Service of originating application to recover unoccupied land</w:t>
      </w:r>
      <w:bookmarkEnd w:id="1705"/>
    </w:p>
    <w:p w14:paraId="5C6235EB" w14:textId="77777777" w:rsidR="00D94935" w:rsidRDefault="00D94935" w:rsidP="00DC4303">
      <w:pPr>
        <w:pStyle w:val="Amain"/>
        <w:keepNext/>
      </w:pPr>
      <w:r>
        <w:tab/>
        <w:t>(1)</w:t>
      </w:r>
      <w:r>
        <w:tab/>
        <w:t>This rule applies if an originating application in a proceeding to recover unoccupied land cannot be served on the defendant without unreasonable delay or expense.</w:t>
      </w:r>
    </w:p>
    <w:p w14:paraId="3EBB59EE" w14:textId="77777777" w:rsidR="00D94935" w:rsidRDefault="00D94935" w:rsidP="00D94935">
      <w:pPr>
        <w:pStyle w:val="Amain"/>
      </w:pPr>
      <w:r>
        <w:tab/>
        <w:t>(2)</w:t>
      </w:r>
      <w:r>
        <w:tab/>
        <w:t>The court may order that the application may be served by attaching a stamped copy of the application to a door of a house, or to something else at another conspicuous place, on the land.</w:t>
      </w:r>
    </w:p>
    <w:p w14:paraId="3475C5F8" w14:textId="77777777" w:rsidR="00D94935" w:rsidRDefault="00D94935" w:rsidP="00D94935">
      <w:pPr>
        <w:pStyle w:val="Amain"/>
      </w:pPr>
      <w:r>
        <w:tab/>
        <w:t>(3)</w:t>
      </w:r>
      <w:r>
        <w:tab/>
        <w:t>An order under subrule (2) may direct that the application be taken to be served on the defendant at the end of a stated time.</w:t>
      </w:r>
    </w:p>
    <w:p w14:paraId="25389203" w14:textId="77777777"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14:paraId="06464B8B" w14:textId="77777777" w:rsidR="00D94935" w:rsidRDefault="00D94935" w:rsidP="00D94935">
      <w:pPr>
        <w:pStyle w:val="Amain"/>
      </w:pPr>
      <w:r>
        <w:tab/>
        <w:t>(5)</w:t>
      </w:r>
      <w:r>
        <w:tab/>
        <w:t>Service under this rule is taken to be personal service.</w:t>
      </w:r>
    </w:p>
    <w:p w14:paraId="51CCCDCA" w14:textId="77777777" w:rsidR="00D94935" w:rsidRDefault="00D94935" w:rsidP="00D94935">
      <w:pPr>
        <w:pStyle w:val="Amain"/>
      </w:pPr>
      <w:r>
        <w:tab/>
        <w:t>(6)</w:t>
      </w:r>
      <w:r>
        <w:tab/>
        <w:t>Part 6.2 (Applications in proceedings) does not apply to an application under this rule.</w:t>
      </w:r>
    </w:p>
    <w:p w14:paraId="38FFA45C" w14:textId="77777777" w:rsidR="00D94935" w:rsidRDefault="00D94935" w:rsidP="00D94935">
      <w:pPr>
        <w:pStyle w:val="Amain"/>
      </w:pPr>
      <w:r>
        <w:tab/>
        <w:t>(7)</w:t>
      </w:r>
      <w:r>
        <w:tab/>
        <w:t>An application under this rule is made by filing in the court—</w:t>
      </w:r>
    </w:p>
    <w:p w14:paraId="42513F6E" w14:textId="77777777" w:rsidR="00D94935" w:rsidRDefault="00D94935" w:rsidP="00D94935">
      <w:pPr>
        <w:pStyle w:val="Apara"/>
      </w:pPr>
      <w:r>
        <w:tab/>
        <w:t>(a)</w:t>
      </w:r>
      <w:r>
        <w:tab/>
        <w:t>a draft of the order sought; and</w:t>
      </w:r>
    </w:p>
    <w:p w14:paraId="41FB28EA" w14:textId="77777777" w:rsidR="00D94935" w:rsidRDefault="00D94935" w:rsidP="00D94935">
      <w:pPr>
        <w:pStyle w:val="Apara"/>
      </w:pPr>
      <w:r>
        <w:tab/>
        <w:t>(b)</w:t>
      </w:r>
      <w:r>
        <w:tab/>
        <w:t>an affidavit in support of the order.</w:t>
      </w:r>
    </w:p>
    <w:p w14:paraId="5B5D7D8F" w14:textId="77777777" w:rsidR="00D94935" w:rsidRDefault="00D94935" w:rsidP="00D94935">
      <w:pPr>
        <w:pStyle w:val="Amain"/>
      </w:pPr>
      <w:r>
        <w:tab/>
        <w:t>(8)</w:t>
      </w:r>
      <w:r>
        <w:tab/>
        <w:t>The draft order and supporting affidavit need not be served on anyone unless the court otherwise orders on its own initiative.</w:t>
      </w:r>
    </w:p>
    <w:p w14:paraId="2CA6CE03" w14:textId="77777777"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14:paraId="163A149F" w14:textId="4339C176"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6" w:tooltip="A1930-21" w:history="1">
        <w:r w:rsidRPr="006364FA">
          <w:rPr>
            <w:rStyle w:val="charCitHyperlinkItal"/>
          </w:rPr>
          <w:t>Magistrates Court Act 1930</w:t>
        </w:r>
      </w:hyperlink>
      <w:r>
        <w:rPr>
          <w:iCs/>
        </w:rPr>
        <w:t>, s 264 (Proceedings affecting title to land).</w:t>
      </w:r>
    </w:p>
    <w:p w14:paraId="4D35CED5" w14:textId="77777777" w:rsidR="00D94935" w:rsidRPr="00C8328B" w:rsidRDefault="00D94935" w:rsidP="00D94935">
      <w:pPr>
        <w:pStyle w:val="AH3Div"/>
      </w:pPr>
      <w:bookmarkStart w:id="1706" w:name="_Toc185515322"/>
      <w:r w:rsidRPr="00C8328B">
        <w:rPr>
          <w:rStyle w:val="CharDivNo"/>
        </w:rPr>
        <w:lastRenderedPageBreak/>
        <w:t>Division 6.8.6</w:t>
      </w:r>
      <w:r>
        <w:rPr>
          <w:lang w:val="en-US"/>
        </w:rPr>
        <w:tab/>
      </w:r>
      <w:r w:rsidRPr="00C8328B">
        <w:rPr>
          <w:rStyle w:val="CharDivText"/>
          <w:lang w:val="en-US"/>
        </w:rPr>
        <w:t>Time of service</w:t>
      </w:r>
      <w:bookmarkEnd w:id="1706"/>
    </w:p>
    <w:p w14:paraId="244CAEA0" w14:textId="77777777" w:rsidR="00D94935" w:rsidRDefault="00D94935" w:rsidP="00D94935">
      <w:pPr>
        <w:pStyle w:val="AH5Sec"/>
        <w:rPr>
          <w:lang w:val="en-US"/>
        </w:rPr>
      </w:pPr>
      <w:bookmarkStart w:id="1707" w:name="_Toc185515323"/>
      <w:r w:rsidRPr="00C8328B">
        <w:rPr>
          <w:rStyle w:val="CharSectNo"/>
        </w:rPr>
        <w:t>6450</w:t>
      </w:r>
      <w:r>
        <w:rPr>
          <w:lang w:val="en-US"/>
        </w:rPr>
        <w:tab/>
        <w:t>Time of service at address for service</w:t>
      </w:r>
      <w:bookmarkEnd w:id="1707"/>
    </w:p>
    <w:p w14:paraId="2CD40386" w14:textId="77777777" w:rsidR="00D94935" w:rsidRDefault="00D94935" w:rsidP="001D2643">
      <w:pPr>
        <w:pStyle w:val="Amainreturn"/>
        <w:keepNext/>
        <w:rPr>
          <w:lang w:val="en-US"/>
        </w:rPr>
      </w:pPr>
      <w:r>
        <w:rPr>
          <w:lang w:val="en-US"/>
        </w:rPr>
        <w:t>Service of a document at an address for service is taken to have been made—</w:t>
      </w:r>
    </w:p>
    <w:p w14:paraId="5C97E586" w14:textId="77777777"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14:paraId="4A4D2836" w14:textId="77777777" w:rsidR="00D94935" w:rsidRDefault="00D94935" w:rsidP="00D94935">
      <w:pPr>
        <w:pStyle w:val="Asubpara"/>
        <w:rPr>
          <w:lang w:val="en-US"/>
        </w:rPr>
      </w:pPr>
      <w:r>
        <w:rPr>
          <w:lang w:val="en-US"/>
        </w:rPr>
        <w:tab/>
        <w:t>(i)</w:t>
      </w:r>
      <w:r>
        <w:rPr>
          <w:lang w:val="en-US"/>
        </w:rPr>
        <w:tab/>
        <w:t>if the document is left before 4 pm on a day—on that day; or</w:t>
      </w:r>
    </w:p>
    <w:p w14:paraId="0D0C73FD" w14:textId="77777777" w:rsidR="00D94935" w:rsidRDefault="00D94935" w:rsidP="00D94935">
      <w:pPr>
        <w:pStyle w:val="Asubpara"/>
        <w:rPr>
          <w:lang w:val="en-US"/>
        </w:rPr>
      </w:pPr>
      <w:r>
        <w:rPr>
          <w:lang w:val="en-US"/>
        </w:rPr>
        <w:tab/>
        <w:t>(ii)</w:t>
      </w:r>
      <w:r>
        <w:rPr>
          <w:lang w:val="en-US"/>
        </w:rPr>
        <w:tab/>
        <w:t>if the document is left at or after 4 pm on a day—on the next day; or</w:t>
      </w:r>
    </w:p>
    <w:p w14:paraId="31CA789E" w14:textId="77777777"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14:paraId="3F8218B8" w14:textId="77777777"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14:paraId="7CFB2414" w14:textId="77777777"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14:paraId="49A42048" w14:textId="77777777"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14:paraId="38773E4D" w14:textId="77777777" w:rsidR="00D94935" w:rsidRDefault="00D94935" w:rsidP="00D94935">
      <w:pPr>
        <w:pStyle w:val="Asubpara"/>
        <w:rPr>
          <w:lang w:val="en-US"/>
        </w:rPr>
      </w:pPr>
      <w:r>
        <w:rPr>
          <w:lang w:val="en-US"/>
        </w:rPr>
        <w:tab/>
        <w:t>(i)</w:t>
      </w:r>
      <w:r>
        <w:rPr>
          <w:lang w:val="en-US"/>
        </w:rPr>
        <w:tab/>
        <w:t>if the document is sent before 4 pm on a day—on that day; or</w:t>
      </w:r>
    </w:p>
    <w:p w14:paraId="519DE923" w14:textId="77777777" w:rsidR="00D94935" w:rsidRDefault="00D94935" w:rsidP="00D94935">
      <w:pPr>
        <w:pStyle w:val="Asubpara"/>
        <w:rPr>
          <w:lang w:val="en-US"/>
        </w:rPr>
      </w:pPr>
      <w:r>
        <w:rPr>
          <w:lang w:val="en-US"/>
        </w:rPr>
        <w:tab/>
        <w:t>(ii)</w:t>
      </w:r>
      <w:r>
        <w:rPr>
          <w:lang w:val="en-US"/>
        </w:rPr>
        <w:tab/>
        <w:t>if the document is sent at or after 4 pm on a day—on the next day.</w:t>
      </w:r>
    </w:p>
    <w:p w14:paraId="3205C366" w14:textId="77777777" w:rsidR="00D94935" w:rsidRPr="00C8328B" w:rsidRDefault="00D94935" w:rsidP="00D94935">
      <w:pPr>
        <w:pStyle w:val="AH3Div"/>
      </w:pPr>
      <w:bookmarkStart w:id="1708" w:name="_Toc185515324"/>
      <w:r w:rsidRPr="00C8328B">
        <w:rPr>
          <w:rStyle w:val="CharDivNo"/>
        </w:rPr>
        <w:lastRenderedPageBreak/>
        <w:t>Division 6.8.7</w:t>
      </w:r>
      <w:r>
        <w:rPr>
          <w:lang w:val="en-US"/>
        </w:rPr>
        <w:tab/>
      </w:r>
      <w:r w:rsidRPr="00C8328B">
        <w:rPr>
          <w:rStyle w:val="CharDivText"/>
          <w:lang w:val="en-US"/>
        </w:rPr>
        <w:t>Service—other</w:t>
      </w:r>
      <w:bookmarkEnd w:id="1708"/>
    </w:p>
    <w:p w14:paraId="2225F82C" w14:textId="77777777" w:rsidR="00D94935" w:rsidRDefault="00D94935" w:rsidP="00D94935">
      <w:pPr>
        <w:pStyle w:val="AH5Sec"/>
        <w:rPr>
          <w:lang w:val="en-US"/>
        </w:rPr>
      </w:pPr>
      <w:bookmarkStart w:id="1709" w:name="_Toc185515325"/>
      <w:r w:rsidRPr="00C8328B">
        <w:rPr>
          <w:rStyle w:val="CharSectNo"/>
        </w:rPr>
        <w:t>6460</w:t>
      </w:r>
      <w:r>
        <w:rPr>
          <w:lang w:val="en-US"/>
        </w:rPr>
        <w:tab/>
        <w:t>Substituted service</w:t>
      </w:r>
      <w:bookmarkEnd w:id="1709"/>
    </w:p>
    <w:p w14:paraId="25AE7AD7" w14:textId="77777777"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14:paraId="31AB4F31"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409D06A" w14:textId="77777777"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14:paraId="578D1C2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B7E7729" w14:textId="77777777" w:rsidR="00D94935" w:rsidRDefault="00D94935" w:rsidP="00D94935">
      <w:pPr>
        <w:pStyle w:val="Amain"/>
        <w:rPr>
          <w:lang w:val="en-US"/>
        </w:rPr>
      </w:pPr>
      <w:r>
        <w:rPr>
          <w:lang w:val="en-US"/>
        </w:rPr>
        <w:tab/>
        <w:t>(3)</w:t>
      </w:r>
      <w:r>
        <w:rPr>
          <w:lang w:val="en-US"/>
        </w:rPr>
        <w:tab/>
        <w:t>The court may make the order if satisfied that—</w:t>
      </w:r>
    </w:p>
    <w:p w14:paraId="1DAE3C0F" w14:textId="77777777"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14:paraId="4042CEF6" w14:textId="77777777"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14:paraId="5E0A8018" w14:textId="77777777"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14:paraId="53E0F28F" w14:textId="77777777"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14:paraId="77C6299E" w14:textId="77777777"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14:paraId="08379228" w14:textId="77777777" w:rsidR="00D94935" w:rsidRDefault="00D94935" w:rsidP="00D94935">
      <w:pPr>
        <w:pStyle w:val="AH5Sec"/>
        <w:rPr>
          <w:lang w:val="en-US"/>
        </w:rPr>
      </w:pPr>
      <w:bookmarkStart w:id="1710" w:name="_Toc185515326"/>
      <w:r w:rsidRPr="00C8328B">
        <w:rPr>
          <w:rStyle w:val="CharSectNo"/>
        </w:rPr>
        <w:lastRenderedPageBreak/>
        <w:t>6461</w:t>
      </w:r>
      <w:r>
        <w:rPr>
          <w:lang w:val="en-US"/>
        </w:rPr>
        <w:tab/>
        <w:t>Informal service</w:t>
      </w:r>
      <w:bookmarkEnd w:id="1710"/>
    </w:p>
    <w:p w14:paraId="56EEB078" w14:textId="77777777" w:rsidR="00D94935" w:rsidRDefault="00D94935" w:rsidP="00D94935">
      <w:pPr>
        <w:pStyle w:val="Amain"/>
        <w:keepNext/>
        <w:rPr>
          <w:lang w:val="en-US"/>
        </w:rPr>
      </w:pPr>
      <w:r>
        <w:rPr>
          <w:lang w:val="en-US"/>
        </w:rPr>
        <w:tab/>
        <w:t>(1)</w:t>
      </w:r>
      <w:r>
        <w:rPr>
          <w:lang w:val="en-US"/>
        </w:rPr>
        <w:tab/>
        <w:t>This rule applies if—</w:t>
      </w:r>
    </w:p>
    <w:p w14:paraId="1DF4BE51" w14:textId="77777777"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14:paraId="5135F148" w14:textId="77777777"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14:paraId="1D76386A"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B5F0B81" w14:textId="77777777"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14:paraId="68493B4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C736CA7" w14:textId="77777777"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14:paraId="531C3169" w14:textId="77777777" w:rsidR="00D94935" w:rsidRDefault="00D94935" w:rsidP="00D94935">
      <w:pPr>
        <w:pStyle w:val="AH5Sec"/>
        <w:rPr>
          <w:lang w:val="en-US"/>
        </w:rPr>
      </w:pPr>
      <w:bookmarkStart w:id="1711" w:name="_Toc185515327"/>
      <w:r w:rsidRPr="00C8328B">
        <w:rPr>
          <w:rStyle w:val="CharSectNo"/>
        </w:rPr>
        <w:t>6462</w:t>
      </w:r>
      <w:r>
        <w:rPr>
          <w:lang w:val="en-US"/>
        </w:rPr>
        <w:tab/>
        <w:t>Service on agent</w:t>
      </w:r>
      <w:bookmarkEnd w:id="1711"/>
    </w:p>
    <w:p w14:paraId="7BA074D0" w14:textId="77777777"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14:paraId="55AE5070"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B50C2B7" w14:textId="77777777"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14:paraId="044A9AC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D20BC41" w14:textId="77777777"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14:paraId="2BE2DC09" w14:textId="577AF8CC"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w:t>
      </w:r>
      <w:r w:rsidR="00A320B1" w:rsidRPr="00C1177F">
        <w:t>, or by email,</w:t>
      </w:r>
      <w:r>
        <w:rPr>
          <w:lang w:val="en-US"/>
        </w:rPr>
        <w:t xml:space="preserve"> a copy—</w:t>
      </w:r>
    </w:p>
    <w:p w14:paraId="3920179E" w14:textId="77777777" w:rsidR="00D94935" w:rsidRDefault="00D94935" w:rsidP="00D94935">
      <w:pPr>
        <w:pStyle w:val="Apara"/>
        <w:rPr>
          <w:lang w:val="en-US"/>
        </w:rPr>
      </w:pPr>
      <w:r>
        <w:rPr>
          <w:lang w:val="en-US"/>
        </w:rPr>
        <w:tab/>
        <w:t>(a)</w:t>
      </w:r>
      <w:r>
        <w:rPr>
          <w:lang w:val="en-US"/>
        </w:rPr>
        <w:tab/>
        <w:t>of the originating process or notice of appeal; and</w:t>
      </w:r>
    </w:p>
    <w:p w14:paraId="1F36D3C7" w14:textId="77777777" w:rsidR="00D94935" w:rsidRDefault="00D94935" w:rsidP="00D94935">
      <w:pPr>
        <w:pStyle w:val="Apara"/>
        <w:rPr>
          <w:lang w:val="en-US"/>
        </w:rPr>
      </w:pPr>
      <w:r>
        <w:rPr>
          <w:lang w:val="en-US"/>
        </w:rPr>
        <w:tab/>
        <w:t>(b)</w:t>
      </w:r>
      <w:r>
        <w:rPr>
          <w:lang w:val="en-US"/>
        </w:rPr>
        <w:tab/>
        <w:t>of the order giving leave under subrule (2).</w:t>
      </w:r>
    </w:p>
    <w:p w14:paraId="156748CB" w14:textId="77777777" w:rsidR="00D94935" w:rsidRDefault="00D94935" w:rsidP="00D94935">
      <w:pPr>
        <w:pStyle w:val="AH5Sec"/>
        <w:rPr>
          <w:lang w:val="en-US"/>
        </w:rPr>
      </w:pPr>
      <w:bookmarkStart w:id="1712" w:name="_Toc185515328"/>
      <w:r w:rsidRPr="00C8328B">
        <w:rPr>
          <w:rStyle w:val="CharSectNo"/>
        </w:rPr>
        <w:t>6463</w:t>
      </w:r>
      <w:r>
        <w:rPr>
          <w:lang w:val="en-US"/>
        </w:rPr>
        <w:tab/>
        <w:t>Service under contract</w:t>
      </w:r>
      <w:bookmarkEnd w:id="1712"/>
    </w:p>
    <w:p w14:paraId="366062DF" w14:textId="77777777"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14:paraId="2ABDD7A9"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0072F48" w14:textId="77777777" w:rsidR="00D94935" w:rsidRDefault="00D94935" w:rsidP="00D94935">
      <w:pPr>
        <w:pStyle w:val="Amain"/>
        <w:rPr>
          <w:lang w:val="en-US"/>
        </w:rPr>
      </w:pPr>
      <w:r>
        <w:rPr>
          <w:lang w:val="en-US"/>
        </w:rPr>
        <w:tab/>
        <w:t>(2)</w:t>
      </w:r>
      <w:r>
        <w:rPr>
          <w:lang w:val="en-US"/>
        </w:rPr>
        <w:tab/>
        <w:t>The document may be served in accordance with the agreement.</w:t>
      </w:r>
    </w:p>
    <w:p w14:paraId="3EADC289" w14:textId="77777777"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14:paraId="2B0CD265" w14:textId="77777777" w:rsidR="00D94935" w:rsidRDefault="00D94935" w:rsidP="00D94935">
      <w:pPr>
        <w:pStyle w:val="AH5Sec"/>
        <w:rPr>
          <w:lang w:val="en-US"/>
        </w:rPr>
      </w:pPr>
      <w:bookmarkStart w:id="1713" w:name="_Toc185515329"/>
      <w:r w:rsidRPr="00C8328B">
        <w:rPr>
          <w:rStyle w:val="CharSectNo"/>
        </w:rPr>
        <w:t>6464</w:t>
      </w:r>
      <w:r>
        <w:rPr>
          <w:lang w:val="en-US"/>
        </w:rPr>
        <w:tab/>
        <w:t>Acceptance of service by solicitor</w:t>
      </w:r>
      <w:bookmarkEnd w:id="1713"/>
    </w:p>
    <w:p w14:paraId="25F03141" w14:textId="77777777"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14:paraId="0A9E45CF" w14:textId="77777777"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14:paraId="74E8DCB4" w14:textId="77777777"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14:paraId="2467E2AC" w14:textId="77777777" w:rsidR="00D94935" w:rsidRDefault="00D94935" w:rsidP="00D94935">
      <w:pPr>
        <w:pStyle w:val="Apara"/>
        <w:rPr>
          <w:lang w:val="en-US"/>
        </w:rPr>
      </w:pPr>
      <w:r>
        <w:rPr>
          <w:lang w:val="en-US"/>
        </w:rPr>
        <w:lastRenderedPageBreak/>
        <w:tab/>
        <w:t>(b)</w:t>
      </w:r>
      <w:r>
        <w:rPr>
          <w:lang w:val="en-US"/>
        </w:rPr>
        <w:tab/>
        <w:t>give the copy to the person serving the document.</w:t>
      </w:r>
    </w:p>
    <w:p w14:paraId="406FAEEF" w14:textId="77777777"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14:paraId="1796E77C" w14:textId="77777777"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14:paraId="133B3FAA" w14:textId="77777777" w:rsidR="00D94935" w:rsidRDefault="00D94935" w:rsidP="00D94935">
      <w:pPr>
        <w:pStyle w:val="AH5Sec"/>
        <w:rPr>
          <w:lang w:val="en-US"/>
        </w:rPr>
      </w:pPr>
      <w:bookmarkStart w:id="1714" w:name="_Toc185515330"/>
      <w:r w:rsidRPr="00C8328B">
        <w:rPr>
          <w:rStyle w:val="CharSectNo"/>
        </w:rPr>
        <w:t>6465</w:t>
      </w:r>
      <w:r>
        <w:rPr>
          <w:lang w:val="en-US"/>
        </w:rPr>
        <w:tab/>
        <w:t>Special requirements for service by fax</w:t>
      </w:r>
      <w:bookmarkEnd w:id="1714"/>
    </w:p>
    <w:p w14:paraId="63061866"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14:paraId="7BE2F15E" w14:textId="77777777" w:rsidR="00D94935" w:rsidRDefault="00D94935" w:rsidP="00D94935">
      <w:pPr>
        <w:pStyle w:val="Apara"/>
        <w:rPr>
          <w:lang w:val="en-US"/>
        </w:rPr>
      </w:pPr>
      <w:r>
        <w:rPr>
          <w:lang w:val="en-US"/>
        </w:rPr>
        <w:tab/>
        <w:t>(a)</w:t>
      </w:r>
      <w:r>
        <w:rPr>
          <w:lang w:val="en-US"/>
        </w:rPr>
        <w:tab/>
        <w:t>the sender’s name and address;</w:t>
      </w:r>
    </w:p>
    <w:p w14:paraId="4C52AE11" w14:textId="77777777" w:rsidR="00D94935" w:rsidRDefault="00D94935" w:rsidP="00D94935">
      <w:pPr>
        <w:pStyle w:val="Apara"/>
        <w:rPr>
          <w:lang w:val="en-US"/>
        </w:rPr>
      </w:pPr>
      <w:r>
        <w:rPr>
          <w:lang w:val="en-US"/>
        </w:rPr>
        <w:tab/>
        <w:t>(b)</w:t>
      </w:r>
      <w:r>
        <w:rPr>
          <w:lang w:val="en-US"/>
        </w:rPr>
        <w:tab/>
        <w:t>the name of the person to be served;</w:t>
      </w:r>
    </w:p>
    <w:p w14:paraId="1AEC9307" w14:textId="77777777" w:rsidR="00D94935" w:rsidRDefault="00D94935" w:rsidP="00D94935">
      <w:pPr>
        <w:pStyle w:val="Apara"/>
        <w:rPr>
          <w:lang w:val="en-US"/>
        </w:rPr>
      </w:pPr>
      <w:r>
        <w:rPr>
          <w:lang w:val="en-US"/>
        </w:rPr>
        <w:tab/>
        <w:t>(c)</w:t>
      </w:r>
      <w:r>
        <w:rPr>
          <w:lang w:val="en-US"/>
        </w:rPr>
        <w:tab/>
        <w:t>the date and time of transmission;</w:t>
      </w:r>
    </w:p>
    <w:p w14:paraId="00D126A6" w14:textId="77777777"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14:paraId="72C45D22" w14:textId="77777777"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14:paraId="7235CF58" w14:textId="77777777"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14:paraId="1560613A" w14:textId="77777777" w:rsidR="00D94935" w:rsidRDefault="00D94935" w:rsidP="00D94935">
      <w:pPr>
        <w:pStyle w:val="Apara"/>
        <w:rPr>
          <w:lang w:val="en-US"/>
        </w:rPr>
      </w:pPr>
      <w:r>
        <w:rPr>
          <w:lang w:val="en-US"/>
        </w:rPr>
        <w:tab/>
        <w:t>(g)</w:t>
      </w:r>
      <w:r>
        <w:rPr>
          <w:lang w:val="en-US"/>
        </w:rPr>
        <w:tab/>
        <w:t>that the transmission is for service under these rules.</w:t>
      </w:r>
    </w:p>
    <w:p w14:paraId="2D7EA418"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14:paraId="6E6A0522" w14:textId="77777777" w:rsidR="00D94935" w:rsidRDefault="00D94935" w:rsidP="00D94935">
      <w:pPr>
        <w:pStyle w:val="AH5Sec"/>
        <w:rPr>
          <w:lang w:val="en-US"/>
        </w:rPr>
      </w:pPr>
      <w:bookmarkStart w:id="1715" w:name="_Toc185515331"/>
      <w:r w:rsidRPr="00C8328B">
        <w:rPr>
          <w:rStyle w:val="CharSectNo"/>
        </w:rPr>
        <w:t>6466</w:t>
      </w:r>
      <w:r>
        <w:rPr>
          <w:lang w:val="en-US"/>
        </w:rPr>
        <w:tab/>
        <w:t>Email service—other matters</w:t>
      </w:r>
      <w:bookmarkEnd w:id="1715"/>
    </w:p>
    <w:p w14:paraId="7453D013" w14:textId="77777777"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14:paraId="4E626A4E" w14:textId="77777777"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14:paraId="3095007D" w14:textId="77777777"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14:paraId="5F408031" w14:textId="77777777"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14:paraId="4882CE43" w14:textId="77777777"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14:paraId="5D2FC0D9" w14:textId="77777777"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14:paraId="0C061CE0" w14:textId="77777777"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14:paraId="618E8142" w14:textId="77777777"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14:paraId="3301B08C" w14:textId="77777777"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14:paraId="62DEB017" w14:textId="77777777"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14:paraId="14165C44" w14:textId="77777777"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14:paraId="38DE647C" w14:textId="77777777" w:rsidR="002743C3" w:rsidRPr="00CE5D4D" w:rsidRDefault="002743C3" w:rsidP="002743C3">
      <w:pPr>
        <w:pStyle w:val="Apara"/>
        <w:rPr>
          <w:lang w:val="en-US"/>
        </w:rPr>
      </w:pPr>
      <w:r w:rsidRPr="00CE5D4D">
        <w:rPr>
          <w:lang w:val="en-US"/>
        </w:rPr>
        <w:tab/>
        <w:t>(b)</w:t>
      </w:r>
      <w:r w:rsidRPr="00CE5D4D">
        <w:rPr>
          <w:lang w:val="en-US"/>
        </w:rPr>
        <w:tab/>
        <w:t>in any other case—</w:t>
      </w:r>
    </w:p>
    <w:p w14:paraId="46C1C356" w14:textId="77777777"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14:paraId="126F8F5D" w14:textId="77777777"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14:paraId="5CDBA372" w14:textId="77777777"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14:paraId="711A433F" w14:textId="77777777" w:rsidR="00D94935" w:rsidRDefault="00D94935" w:rsidP="002C5E67">
      <w:pPr>
        <w:pStyle w:val="Apara"/>
        <w:keepNext/>
        <w:rPr>
          <w:lang w:val="en-US"/>
        </w:rPr>
      </w:pPr>
      <w:r>
        <w:rPr>
          <w:lang w:val="en-US"/>
        </w:rPr>
        <w:tab/>
        <w:t>(a)</w:t>
      </w:r>
      <w:r>
        <w:rPr>
          <w:lang w:val="en-US"/>
        </w:rPr>
        <w:tab/>
        <w:t>the original affidavit was properly sworn; and</w:t>
      </w:r>
    </w:p>
    <w:p w14:paraId="1792CB3D" w14:textId="77777777"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14:paraId="758BA6AB" w14:textId="77777777" w:rsidR="00D94935" w:rsidRDefault="00D94935" w:rsidP="00D94935">
      <w:pPr>
        <w:pStyle w:val="AH5Sec"/>
        <w:rPr>
          <w:lang w:val="en-US"/>
        </w:rPr>
      </w:pPr>
      <w:bookmarkStart w:id="1716" w:name="_Toc185515332"/>
      <w:r w:rsidRPr="00C8328B">
        <w:rPr>
          <w:rStyle w:val="CharSectNo"/>
        </w:rPr>
        <w:t>6467</w:t>
      </w:r>
      <w:r>
        <w:rPr>
          <w:lang w:val="en-US"/>
        </w:rPr>
        <w:tab/>
        <w:t>Proof of service</w:t>
      </w:r>
      <w:bookmarkEnd w:id="1716"/>
    </w:p>
    <w:p w14:paraId="0985E137" w14:textId="77777777" w:rsidR="00D94935" w:rsidRDefault="00D94935" w:rsidP="00D94935">
      <w:pPr>
        <w:pStyle w:val="Amain"/>
        <w:rPr>
          <w:lang w:val="en-US"/>
        </w:rPr>
      </w:pPr>
      <w:r>
        <w:rPr>
          <w:lang w:val="en-US"/>
        </w:rPr>
        <w:tab/>
        <w:t>(1)</w:t>
      </w:r>
      <w:r>
        <w:rPr>
          <w:lang w:val="en-US"/>
        </w:rPr>
        <w:tab/>
        <w:t>Service of a document may be proved—</w:t>
      </w:r>
    </w:p>
    <w:p w14:paraId="701DAE74" w14:textId="77777777" w:rsidR="00D94935" w:rsidRDefault="00D94935" w:rsidP="00D94935">
      <w:pPr>
        <w:pStyle w:val="Apara"/>
        <w:rPr>
          <w:lang w:val="en-US"/>
        </w:rPr>
      </w:pPr>
      <w:r>
        <w:rPr>
          <w:lang w:val="en-US"/>
        </w:rPr>
        <w:tab/>
        <w:t>(a)</w:t>
      </w:r>
      <w:r>
        <w:rPr>
          <w:lang w:val="en-US"/>
        </w:rPr>
        <w:tab/>
        <w:t>by affidavit of service made by the person who served the document; or</w:t>
      </w:r>
    </w:p>
    <w:p w14:paraId="3DBA902D" w14:textId="77777777" w:rsidR="00D94935" w:rsidRDefault="00D94935" w:rsidP="00D94935">
      <w:pPr>
        <w:pStyle w:val="Apara"/>
        <w:rPr>
          <w:lang w:val="en-US"/>
        </w:rPr>
      </w:pPr>
      <w:r>
        <w:rPr>
          <w:lang w:val="en-US"/>
        </w:rPr>
        <w:tab/>
        <w:t>(b)</w:t>
      </w:r>
      <w:r>
        <w:rPr>
          <w:lang w:val="en-US"/>
        </w:rPr>
        <w:tab/>
        <w:t>by the person who served the document giving sworn evidence about the service; or</w:t>
      </w:r>
    </w:p>
    <w:p w14:paraId="3939E7E3" w14:textId="77777777"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14:paraId="7D81CBA0" w14:textId="77777777" w:rsidR="00D94935" w:rsidRDefault="00D94935" w:rsidP="00D94935">
      <w:pPr>
        <w:pStyle w:val="Apara"/>
        <w:keepNext/>
        <w:rPr>
          <w:lang w:val="en-US"/>
        </w:rPr>
      </w:pPr>
      <w:r>
        <w:rPr>
          <w:lang w:val="en-US"/>
        </w:rPr>
        <w:tab/>
        <w:t>(d)</w:t>
      </w:r>
      <w:r>
        <w:rPr>
          <w:lang w:val="en-US"/>
        </w:rPr>
        <w:tab/>
        <w:t>in another way that the court directs is to be treated as appropriate.</w:t>
      </w:r>
    </w:p>
    <w:p w14:paraId="776DA2F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14:paraId="441303CD" w14:textId="77777777"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14:paraId="2885B05B" w14:textId="77777777"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14:paraId="2BCB6794" w14:textId="77777777" w:rsidR="00D94935" w:rsidRDefault="00D94935" w:rsidP="00D94935">
      <w:pPr>
        <w:pStyle w:val="Asubpara"/>
        <w:rPr>
          <w:lang w:val="en-US"/>
        </w:rPr>
      </w:pPr>
      <w:r>
        <w:rPr>
          <w:lang w:val="en-US"/>
        </w:rPr>
        <w:tab/>
        <w:t>(i)</w:t>
      </w:r>
      <w:r>
        <w:rPr>
          <w:lang w:val="en-US"/>
        </w:rPr>
        <w:tab/>
        <w:t>the person’s full name;</w:t>
      </w:r>
    </w:p>
    <w:p w14:paraId="35516E69" w14:textId="77777777" w:rsidR="00D94935" w:rsidRDefault="00D94935" w:rsidP="00D94935">
      <w:pPr>
        <w:pStyle w:val="Asubpara"/>
        <w:rPr>
          <w:lang w:val="en-US"/>
        </w:rPr>
      </w:pPr>
      <w:r>
        <w:rPr>
          <w:lang w:val="en-US"/>
        </w:rPr>
        <w:tab/>
        <w:t>(ii)</w:t>
      </w:r>
      <w:r>
        <w:rPr>
          <w:lang w:val="en-US"/>
        </w:rPr>
        <w:tab/>
        <w:t>the time, day and date the document was served;</w:t>
      </w:r>
    </w:p>
    <w:p w14:paraId="10057D3A" w14:textId="77777777" w:rsidR="00D94935" w:rsidRDefault="00D94935" w:rsidP="00D94935">
      <w:pPr>
        <w:pStyle w:val="Asubpara"/>
        <w:rPr>
          <w:lang w:val="en-US"/>
        </w:rPr>
      </w:pPr>
      <w:r>
        <w:rPr>
          <w:lang w:val="en-US"/>
        </w:rPr>
        <w:tab/>
        <w:t>(iii)</w:t>
      </w:r>
      <w:r>
        <w:rPr>
          <w:lang w:val="en-US"/>
        </w:rPr>
        <w:tab/>
        <w:t>the place of service;</w:t>
      </w:r>
    </w:p>
    <w:p w14:paraId="3DA1CDB2"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14:paraId="035D0547" w14:textId="77777777" w:rsidR="00D94935" w:rsidRDefault="00D94935" w:rsidP="002C5E67">
      <w:pPr>
        <w:pStyle w:val="Apara"/>
        <w:keepNext/>
        <w:rPr>
          <w:lang w:val="en-US"/>
        </w:rPr>
      </w:pPr>
      <w:r>
        <w:rPr>
          <w:lang w:val="en-US"/>
        </w:rPr>
        <w:lastRenderedPageBreak/>
        <w:tab/>
        <w:t>(b)</w:t>
      </w:r>
      <w:r>
        <w:rPr>
          <w:lang w:val="en-US"/>
        </w:rPr>
        <w:tab/>
        <w:t>for any other kind of service—</w:t>
      </w:r>
    </w:p>
    <w:p w14:paraId="22A01F94" w14:textId="77777777" w:rsidR="00D94935" w:rsidRDefault="00D94935" w:rsidP="00D94935">
      <w:pPr>
        <w:pStyle w:val="Asubpara"/>
        <w:rPr>
          <w:lang w:val="en-US"/>
        </w:rPr>
      </w:pPr>
      <w:r>
        <w:rPr>
          <w:lang w:val="en-US"/>
        </w:rPr>
        <w:tab/>
        <w:t>(i)</w:t>
      </w:r>
      <w:r>
        <w:rPr>
          <w:lang w:val="en-US"/>
        </w:rPr>
        <w:tab/>
        <w:t>must state how the document was served; and</w:t>
      </w:r>
    </w:p>
    <w:p w14:paraId="73E83FBD" w14:textId="77777777"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14:paraId="2FE220BC" w14:textId="77777777"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14:paraId="110E9581"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14:paraId="778A3B18" w14:textId="77777777"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14:paraId="0D0A01A1" w14:textId="68A0DE49"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7" w:tooltip="A2001-14" w:history="1">
        <w:r w:rsidRPr="006364FA">
          <w:rPr>
            <w:rStyle w:val="charCitHyperlinkAbbrev"/>
          </w:rPr>
          <w:t>Legislation Act</w:t>
        </w:r>
      </w:hyperlink>
      <w:r>
        <w:rPr>
          <w:iCs/>
        </w:rPr>
        <w:t>, s 98).</w:t>
      </w:r>
    </w:p>
    <w:p w14:paraId="53ED4558" w14:textId="77777777" w:rsidR="00D94935" w:rsidRDefault="00D94935" w:rsidP="00D94935">
      <w:pPr>
        <w:pStyle w:val="Amain"/>
        <w:keepNext/>
      </w:pPr>
      <w:r>
        <w:tab/>
        <w:t>(3)</w:t>
      </w:r>
      <w:r>
        <w:tab/>
        <w:t>For subrule (2) (b) (ii), if the document was served by post, the affidavit must state the following:</w:t>
      </w:r>
    </w:p>
    <w:p w14:paraId="508A223A" w14:textId="77777777" w:rsidR="00D94935" w:rsidRDefault="00D94935" w:rsidP="00D94935">
      <w:pPr>
        <w:pStyle w:val="Apara"/>
      </w:pPr>
      <w:r>
        <w:tab/>
        <w:t>(a)</w:t>
      </w:r>
      <w:r>
        <w:tab/>
        <w:t>that it was sent by prepaid post to a stated address;</w:t>
      </w:r>
    </w:p>
    <w:p w14:paraId="5E4FDC11" w14:textId="77777777" w:rsidR="00D94935" w:rsidRDefault="00D94935" w:rsidP="00D94935">
      <w:pPr>
        <w:pStyle w:val="Apara"/>
      </w:pPr>
      <w:r>
        <w:tab/>
        <w:t>(b)</w:t>
      </w:r>
      <w:r>
        <w:tab/>
        <w:t>that it was addressed to the person or, if it was sent to an address for service that is the office of a solicitor, to that solicitor;</w:t>
      </w:r>
    </w:p>
    <w:p w14:paraId="38BA5F94" w14:textId="77777777" w:rsidR="00D94935" w:rsidRDefault="00D94935" w:rsidP="00D94935">
      <w:pPr>
        <w:pStyle w:val="Apara"/>
        <w:rPr>
          <w:lang w:val="en-US"/>
        </w:rPr>
      </w:pPr>
      <w:r>
        <w:rPr>
          <w:lang w:val="en-US"/>
        </w:rPr>
        <w:tab/>
        <w:t>(c)</w:t>
      </w:r>
      <w:r>
        <w:rPr>
          <w:lang w:val="en-US"/>
        </w:rPr>
        <w:tab/>
      </w:r>
      <w:r>
        <w:t>the date the document was posted.</w:t>
      </w:r>
    </w:p>
    <w:p w14:paraId="60F17DB7" w14:textId="77777777" w:rsidR="00D94935" w:rsidRDefault="00D94935" w:rsidP="00D94935">
      <w:pPr>
        <w:pStyle w:val="Amain"/>
        <w:rPr>
          <w:lang w:val="en-US"/>
        </w:rPr>
      </w:pPr>
      <w:r>
        <w:rPr>
          <w:lang w:val="en-US"/>
        </w:rPr>
        <w:tab/>
        <w:t>(4)</w:t>
      </w:r>
      <w:r>
        <w:rPr>
          <w:lang w:val="en-US"/>
        </w:rPr>
        <w:tab/>
        <w:t>Subrules (2) and (3) do not limit the matters to be stated in the affidavit.</w:t>
      </w:r>
    </w:p>
    <w:p w14:paraId="2B70C43A" w14:textId="77777777" w:rsidR="00D94935" w:rsidRDefault="00D94935" w:rsidP="00D94935">
      <w:pPr>
        <w:pStyle w:val="Amain"/>
        <w:rPr>
          <w:lang w:val="en-US"/>
        </w:rPr>
      </w:pPr>
      <w:r>
        <w:rPr>
          <w:lang w:val="en-US"/>
        </w:rPr>
        <w:tab/>
        <w:t>(5)</w:t>
      </w:r>
      <w:r>
        <w:rPr>
          <w:lang w:val="en-US"/>
        </w:rPr>
        <w:tab/>
        <w:t>If the court gives leave to serve a document—</w:t>
      </w:r>
    </w:p>
    <w:p w14:paraId="2024AA62" w14:textId="77777777" w:rsidR="00D94935" w:rsidRDefault="00D94935" w:rsidP="00D94935">
      <w:pPr>
        <w:pStyle w:val="Apara"/>
        <w:rPr>
          <w:lang w:val="en-US"/>
        </w:rPr>
      </w:pPr>
      <w:r>
        <w:rPr>
          <w:lang w:val="en-US"/>
        </w:rPr>
        <w:tab/>
        <w:t>(a)</w:t>
      </w:r>
      <w:r>
        <w:rPr>
          <w:lang w:val="en-US"/>
        </w:rPr>
        <w:tab/>
        <w:t>a sealed copy of the order giving leave must be served with the document; and</w:t>
      </w:r>
    </w:p>
    <w:p w14:paraId="39A925C1" w14:textId="77777777"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14:paraId="291A20C6" w14:textId="77777777" w:rsidR="00D94935" w:rsidRDefault="00D94935" w:rsidP="00451017">
      <w:pPr>
        <w:pStyle w:val="Amain"/>
        <w:keepNext/>
        <w:rPr>
          <w:lang w:val="en-US"/>
        </w:rPr>
      </w:pPr>
      <w:r>
        <w:rPr>
          <w:lang w:val="en-US"/>
        </w:rPr>
        <w:lastRenderedPageBreak/>
        <w:tab/>
        <w:t>(6)</w:t>
      </w:r>
      <w:r>
        <w:rPr>
          <w:lang w:val="en-US"/>
        </w:rPr>
        <w:tab/>
        <w:t>An affidavit of service of a document must—</w:t>
      </w:r>
    </w:p>
    <w:p w14:paraId="6A682697" w14:textId="77777777"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14:paraId="389D66D1" w14:textId="77777777"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14:paraId="097E325A" w14:textId="77777777" w:rsidR="00D94935" w:rsidRDefault="00D94935" w:rsidP="00D94935">
      <w:pPr>
        <w:pStyle w:val="AH5Sec"/>
        <w:rPr>
          <w:lang w:val="en-US"/>
        </w:rPr>
      </w:pPr>
      <w:bookmarkStart w:id="1717" w:name="_Toc185515333"/>
      <w:r w:rsidRPr="00C8328B">
        <w:rPr>
          <w:rStyle w:val="CharSectNo"/>
        </w:rPr>
        <w:t>6468</w:t>
      </w:r>
      <w:r>
        <w:rPr>
          <w:lang w:val="en-US"/>
        </w:rPr>
        <w:tab/>
        <w:t>Identity of person served</w:t>
      </w:r>
      <w:bookmarkEnd w:id="1717"/>
    </w:p>
    <w:p w14:paraId="495E52AE" w14:textId="77777777"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14:paraId="4296A897" w14:textId="77777777" w:rsidR="00D94935" w:rsidRDefault="00D94935" w:rsidP="00D94935">
      <w:pPr>
        <w:pStyle w:val="AH5Sec"/>
        <w:rPr>
          <w:lang w:val="en-US"/>
        </w:rPr>
      </w:pPr>
      <w:bookmarkStart w:id="1718" w:name="_Toc185515334"/>
      <w:r w:rsidRPr="00C8328B">
        <w:rPr>
          <w:rStyle w:val="CharSectNo"/>
        </w:rPr>
        <w:t>6469</w:t>
      </w:r>
      <w:r>
        <w:rPr>
          <w:lang w:val="en-US"/>
        </w:rPr>
        <w:tab/>
        <w:t>Change of address for service</w:t>
      </w:r>
      <w:bookmarkEnd w:id="1718"/>
    </w:p>
    <w:p w14:paraId="28CE785B" w14:textId="77777777"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14:paraId="13EC0A30" w14:textId="77777777" w:rsidR="00D94935" w:rsidRDefault="00D94935" w:rsidP="00D94935">
      <w:pPr>
        <w:pStyle w:val="Amain"/>
      </w:pPr>
      <w:r>
        <w:tab/>
        <w:t>(2)</w:t>
      </w:r>
      <w:r>
        <w:tab/>
        <w:t>The person must—</w:t>
      </w:r>
    </w:p>
    <w:p w14:paraId="614F7FB8" w14:textId="77777777"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14:paraId="41E39D18" w14:textId="77777777" w:rsidR="00D94935" w:rsidRDefault="00D94935" w:rsidP="00D94935">
      <w:pPr>
        <w:pStyle w:val="Apara"/>
      </w:pPr>
      <w:r>
        <w:tab/>
        <w:t>(b)</w:t>
      </w:r>
      <w:r>
        <w:tab/>
        <w:t>serve a sealed or stamped copy of the new address notice on every other active party to the proceeding.</w:t>
      </w:r>
    </w:p>
    <w:p w14:paraId="540E8719" w14:textId="0A19E6A1" w:rsidR="00D94935" w:rsidRDefault="00D94935" w:rsidP="00D94935">
      <w:pPr>
        <w:pStyle w:val="aNote"/>
      </w:pPr>
      <w:r w:rsidRPr="006364FA">
        <w:rPr>
          <w:rStyle w:val="charItals"/>
        </w:rPr>
        <w:t>Note</w:t>
      </w:r>
      <w:r>
        <w:tab/>
        <w:t xml:space="preserve">See approved form 6.15 (Notice of change of address for service) </w:t>
      </w:r>
      <w:hyperlink r:id="rId828" w:history="1">
        <w:r w:rsidRPr="00C42FC0">
          <w:rPr>
            <w:rStyle w:val="charCitHyperlinkAbbrev"/>
          </w:rPr>
          <w:t>AF2006-423</w:t>
        </w:r>
      </w:hyperlink>
      <w:r>
        <w:t>.</w:t>
      </w:r>
    </w:p>
    <w:p w14:paraId="4C619AB4" w14:textId="77777777" w:rsidR="00D94935" w:rsidRPr="00C8328B" w:rsidRDefault="00D94935" w:rsidP="00D94935">
      <w:pPr>
        <w:pStyle w:val="AH3Div"/>
      </w:pPr>
      <w:bookmarkStart w:id="1719" w:name="_Toc185515335"/>
      <w:r w:rsidRPr="00C8328B">
        <w:rPr>
          <w:rStyle w:val="CharDivNo"/>
        </w:rPr>
        <w:lastRenderedPageBreak/>
        <w:t>Division 6.8.8</w:t>
      </w:r>
      <w:r w:rsidRPr="00CA527A">
        <w:tab/>
      </w:r>
      <w:r w:rsidRPr="00C8328B">
        <w:rPr>
          <w:rStyle w:val="CharDivText"/>
        </w:rPr>
        <w:t>Service of subpoenas and notices instead of subpoenas—general</w:t>
      </w:r>
      <w:bookmarkEnd w:id="1719"/>
    </w:p>
    <w:p w14:paraId="5778D650" w14:textId="77777777" w:rsidR="00D94935" w:rsidRPr="00BB65FC" w:rsidRDefault="00D94935" w:rsidP="00D94935">
      <w:pPr>
        <w:pStyle w:val="AH5Sec"/>
        <w:rPr>
          <w:lang w:val="en-US"/>
        </w:rPr>
      </w:pPr>
      <w:bookmarkStart w:id="1720" w:name="_Toc185515336"/>
      <w:r w:rsidRPr="00C8328B">
        <w:rPr>
          <w:rStyle w:val="CharSectNo"/>
        </w:rPr>
        <w:t>6480</w:t>
      </w:r>
      <w:r w:rsidRPr="00BB65FC">
        <w:rPr>
          <w:lang w:val="en-US"/>
        </w:rPr>
        <w:tab/>
        <w:t>Definitions—div 6.8.8</w:t>
      </w:r>
      <w:bookmarkEnd w:id="1720"/>
    </w:p>
    <w:p w14:paraId="51C29C9E" w14:textId="77777777" w:rsidR="00D94935" w:rsidRPr="00BB65FC" w:rsidRDefault="00D94935" w:rsidP="00D94935">
      <w:pPr>
        <w:pStyle w:val="Amainreturn"/>
        <w:keepNext/>
        <w:rPr>
          <w:lang w:val="en-US"/>
        </w:rPr>
      </w:pPr>
      <w:r w:rsidRPr="00BB65FC">
        <w:rPr>
          <w:lang w:val="en-US"/>
        </w:rPr>
        <w:t>In this division:</w:t>
      </w:r>
    </w:p>
    <w:p w14:paraId="31FF4645" w14:textId="1447A695"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9" w:tooltip="A2004-28" w:history="1">
        <w:r w:rsidRPr="006364FA">
          <w:rPr>
            <w:rStyle w:val="charCitHyperlinkItal"/>
          </w:rPr>
          <w:t>Emergencies Act 2004</w:t>
        </w:r>
      </w:hyperlink>
      <w:r w:rsidRPr="00BB65FC">
        <w:t>, section 40.</w:t>
      </w:r>
    </w:p>
    <w:p w14:paraId="29379BFC" w14:textId="54413DCB"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30" w:tooltip="A2010-10" w:history="1">
        <w:r w:rsidRPr="006364FA">
          <w:rPr>
            <w:rStyle w:val="charCitHyperlinkItal"/>
          </w:rPr>
          <w:t>Health Practitioner Regulation National Law (ACT) Act 2010</w:t>
        </w:r>
      </w:hyperlink>
      <w:r w:rsidRPr="00C754DF">
        <w:t>.</w:t>
      </w:r>
    </w:p>
    <w:p w14:paraId="5567E0FF" w14:textId="77777777"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14:paraId="0D2F774C" w14:textId="77777777" w:rsidR="00D94935" w:rsidRPr="00BB65FC" w:rsidRDefault="00D94935" w:rsidP="00D94935">
      <w:pPr>
        <w:pStyle w:val="aDefpara"/>
        <w:rPr>
          <w:lang w:val="en-US"/>
        </w:rPr>
      </w:pPr>
      <w:r w:rsidRPr="00BB65FC">
        <w:rPr>
          <w:lang w:val="en-US"/>
        </w:rPr>
        <w:tab/>
        <w:t>(a)</w:t>
      </w:r>
      <w:r w:rsidRPr="00BB65FC">
        <w:rPr>
          <w:lang w:val="en-US"/>
        </w:rPr>
        <w:tab/>
        <w:t>a medical expert; or</w:t>
      </w:r>
    </w:p>
    <w:p w14:paraId="71005E39" w14:textId="77777777"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14:paraId="362B92B7" w14:textId="77777777" w:rsidR="00D94935" w:rsidRPr="00BB65FC" w:rsidRDefault="00D94935" w:rsidP="00D94935">
      <w:pPr>
        <w:pStyle w:val="AH5Sec"/>
        <w:rPr>
          <w:lang w:val="en-US"/>
        </w:rPr>
      </w:pPr>
      <w:bookmarkStart w:id="1721" w:name="_Toc185515337"/>
      <w:r w:rsidRPr="00C8328B">
        <w:rPr>
          <w:rStyle w:val="CharSectNo"/>
        </w:rPr>
        <w:t>6481</w:t>
      </w:r>
      <w:r w:rsidRPr="00CA527A">
        <w:tab/>
      </w:r>
      <w:r w:rsidRPr="00BB65FC">
        <w:rPr>
          <w:lang w:val="en-US"/>
        </w:rPr>
        <w:t>Subpoena—service on solicitor</w:t>
      </w:r>
      <w:bookmarkEnd w:id="1721"/>
    </w:p>
    <w:p w14:paraId="40A8406F" w14:textId="77777777"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14:paraId="11BCC6E2" w14:textId="77777777" w:rsidR="00D94935" w:rsidRPr="00BB65FC" w:rsidRDefault="00D94935" w:rsidP="00D94935">
      <w:pPr>
        <w:pStyle w:val="AH5Sec"/>
        <w:rPr>
          <w:lang w:val="en-US"/>
        </w:rPr>
      </w:pPr>
      <w:bookmarkStart w:id="1722" w:name="_Toc185515338"/>
      <w:r w:rsidRPr="00C8328B">
        <w:rPr>
          <w:rStyle w:val="CharSectNo"/>
        </w:rPr>
        <w:t>6482</w:t>
      </w:r>
      <w:r w:rsidRPr="00CA527A">
        <w:tab/>
      </w:r>
      <w:r w:rsidRPr="00BB65FC">
        <w:rPr>
          <w:lang w:val="en-US"/>
        </w:rPr>
        <w:t>Subpoena—service on special witness</w:t>
      </w:r>
      <w:bookmarkEnd w:id="1722"/>
    </w:p>
    <w:p w14:paraId="12267670" w14:textId="77777777"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14:paraId="689A7237" w14:textId="77777777"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14:paraId="081C856B" w14:textId="77777777"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14:paraId="493720C1" w14:textId="77777777"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14:paraId="62F05F82" w14:textId="77777777"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14:paraId="3A8CDE6F" w14:textId="77777777" w:rsidR="00D94935" w:rsidRPr="00BB65FC" w:rsidRDefault="00D94935" w:rsidP="00451017">
      <w:pPr>
        <w:pStyle w:val="Amain"/>
        <w:keepNext/>
      </w:pPr>
      <w:r w:rsidRPr="00BB65FC">
        <w:tab/>
        <w:t>(4)</w:t>
      </w:r>
      <w:r w:rsidRPr="00BB65FC">
        <w:tab/>
        <w:t>An application for leave under subrule (3) is made by filing—</w:t>
      </w:r>
    </w:p>
    <w:p w14:paraId="493E2ADB" w14:textId="77777777"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14:paraId="70FEE7ED" w14:textId="77777777" w:rsidR="00D94935" w:rsidRPr="00BB65FC" w:rsidRDefault="00D94935" w:rsidP="00D94935">
      <w:pPr>
        <w:pStyle w:val="Apara"/>
      </w:pPr>
      <w:r w:rsidRPr="00BB65FC">
        <w:tab/>
        <w:t>(b)</w:t>
      </w:r>
      <w:r w:rsidRPr="00BB65FC">
        <w:tab/>
        <w:t>an affidavit in support of the application.</w:t>
      </w:r>
    </w:p>
    <w:p w14:paraId="7E145D2A" w14:textId="77777777" w:rsidR="00D94935" w:rsidRPr="00BB65FC" w:rsidRDefault="00D94935" w:rsidP="00D94935">
      <w:pPr>
        <w:pStyle w:val="Amain"/>
        <w:keepNext/>
      </w:pPr>
      <w:r w:rsidRPr="00BB65FC">
        <w:tab/>
        <w:t>(5)</w:t>
      </w:r>
      <w:r w:rsidRPr="00BB65FC">
        <w:tab/>
        <w:t>The affidavit in support of the application must state—</w:t>
      </w:r>
    </w:p>
    <w:p w14:paraId="6E470E04" w14:textId="77777777"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14:paraId="36F18FBD" w14:textId="77777777"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14:paraId="6C2408DE" w14:textId="77777777"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14:paraId="3D752A3B" w14:textId="77777777" w:rsidR="00D94935" w:rsidRPr="00BB65FC" w:rsidRDefault="00D94935" w:rsidP="00D94935">
      <w:pPr>
        <w:pStyle w:val="Apara"/>
      </w:pPr>
      <w:r w:rsidRPr="00BB65FC">
        <w:tab/>
        <w:t>(d)</w:t>
      </w:r>
      <w:r w:rsidRPr="00BB65FC">
        <w:tab/>
        <w:t>the earliest date when the subpoena can be served.</w:t>
      </w:r>
    </w:p>
    <w:p w14:paraId="52E1DD65" w14:textId="77777777" w:rsidR="00D94935" w:rsidRPr="00BB65FC" w:rsidRDefault="00D94935" w:rsidP="00D94935">
      <w:pPr>
        <w:pStyle w:val="Amain"/>
      </w:pPr>
      <w:r w:rsidRPr="00BB65FC">
        <w:tab/>
        <w:t>(6)</w:t>
      </w:r>
      <w:r w:rsidRPr="00BB65FC">
        <w:tab/>
        <w:t>Part 6.2 (Applications in proceedings) does not apply to an application for leave under subrule (3).</w:t>
      </w:r>
    </w:p>
    <w:p w14:paraId="3DF73BDD" w14:textId="77777777" w:rsidR="00D94935" w:rsidRPr="00BB65FC" w:rsidRDefault="00D94935" w:rsidP="00D94935">
      <w:pPr>
        <w:pStyle w:val="Amain"/>
      </w:pPr>
      <w:r w:rsidRPr="00BB65FC">
        <w:tab/>
        <w:t>(7)</w:t>
      </w:r>
      <w:r w:rsidRPr="00BB65FC">
        <w:tab/>
        <w:t>If the court gives leave under subrule (3), it must set a date for the last date of service for the subpoena.</w:t>
      </w:r>
    </w:p>
    <w:p w14:paraId="50C074C3" w14:textId="77777777"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14:paraId="024C30C3" w14:textId="77777777"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14:paraId="3FF76D1A" w14:textId="77777777" w:rsidR="00D94935" w:rsidRPr="00BB65FC" w:rsidRDefault="00D94935" w:rsidP="00D94935">
      <w:pPr>
        <w:pStyle w:val="AH5Sec"/>
        <w:rPr>
          <w:lang w:val="en-US"/>
        </w:rPr>
      </w:pPr>
      <w:bookmarkStart w:id="1723" w:name="_Toc185515339"/>
      <w:r w:rsidRPr="00C8328B">
        <w:rPr>
          <w:rStyle w:val="CharSectNo"/>
        </w:rPr>
        <w:t>6483</w:t>
      </w:r>
      <w:r w:rsidRPr="00CA527A">
        <w:tab/>
      </w:r>
      <w:r w:rsidRPr="00BB65FC">
        <w:rPr>
          <w:lang w:val="en-US"/>
        </w:rPr>
        <w:t>Special witness—notice instead of subpoena</w:t>
      </w:r>
      <w:bookmarkEnd w:id="1723"/>
    </w:p>
    <w:p w14:paraId="12214422" w14:textId="77777777"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14:paraId="213F93FC" w14:textId="77777777"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14:paraId="1F1CF6E7" w14:textId="77777777"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14:paraId="3538B2EB" w14:textId="77777777" w:rsidR="00D94935" w:rsidRPr="00BB65FC" w:rsidRDefault="00D94935" w:rsidP="00D94935">
      <w:pPr>
        <w:pStyle w:val="AH5Sec"/>
        <w:rPr>
          <w:lang w:val="en-US"/>
        </w:rPr>
      </w:pPr>
      <w:bookmarkStart w:id="1724" w:name="_Toc185515340"/>
      <w:r w:rsidRPr="00C8328B">
        <w:rPr>
          <w:rStyle w:val="CharSectNo"/>
        </w:rPr>
        <w:t>6484</w:t>
      </w:r>
      <w:r w:rsidRPr="00CA527A">
        <w:tab/>
      </w:r>
      <w:r w:rsidRPr="00BB65FC">
        <w:rPr>
          <w:lang w:val="en-US"/>
        </w:rPr>
        <w:t>Special witness—no shortening of time for service</w:t>
      </w:r>
      <w:bookmarkEnd w:id="1724"/>
    </w:p>
    <w:p w14:paraId="5B34A149" w14:textId="77777777"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14:paraId="0D1C450A" w14:textId="77777777" w:rsidR="002A489B" w:rsidRPr="00C8328B" w:rsidRDefault="002A489B" w:rsidP="002A489B">
      <w:pPr>
        <w:pStyle w:val="AH3Div"/>
      </w:pPr>
      <w:bookmarkStart w:id="1725" w:name="_Toc185515341"/>
      <w:r w:rsidRPr="00C8328B">
        <w:rPr>
          <w:rStyle w:val="CharDivNo"/>
        </w:rPr>
        <w:lastRenderedPageBreak/>
        <w:t>Division 6.8.9</w:t>
      </w:r>
      <w:r w:rsidRPr="00A60754">
        <w:tab/>
      </w:r>
      <w:r w:rsidRPr="00C8328B">
        <w:rPr>
          <w:rStyle w:val="CharDivText"/>
        </w:rPr>
        <w:t>Service out of Australia</w:t>
      </w:r>
      <w:bookmarkEnd w:id="1725"/>
    </w:p>
    <w:p w14:paraId="10914A1B" w14:textId="77777777"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14:paraId="30D4AD80" w14:textId="77777777"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14:paraId="6A10CA1C" w14:textId="3A164545"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31" w:tooltip="Trans-Tasman Proceedings Act 2010" w:history="1">
        <w:r w:rsidRPr="00A60754">
          <w:rPr>
            <w:rStyle w:val="charCitHyperlinkAbbrev"/>
          </w:rPr>
          <w:t>Trans-Tasman Proceedings Act</w:t>
        </w:r>
      </w:hyperlink>
      <w:r w:rsidRPr="00A60754">
        <w:t>, pt 2.  See also these rules, pt 6.10A (Trans-Tasman proceedings).</w:t>
      </w:r>
    </w:p>
    <w:p w14:paraId="2126805F" w14:textId="77777777" w:rsidR="002A489B" w:rsidRPr="00A60754" w:rsidRDefault="002A489B" w:rsidP="002A489B">
      <w:pPr>
        <w:pStyle w:val="AH5Sec"/>
      </w:pPr>
      <w:bookmarkStart w:id="1726" w:name="_Toc185515342"/>
      <w:r w:rsidRPr="00C8328B">
        <w:rPr>
          <w:rStyle w:val="CharSectNo"/>
        </w:rPr>
        <w:t>6500</w:t>
      </w:r>
      <w:r w:rsidRPr="00A60754">
        <w:tab/>
        <w:t xml:space="preserve">Meaning of </w:t>
      </w:r>
      <w:r w:rsidRPr="00A60754">
        <w:rPr>
          <w:rStyle w:val="charItals"/>
        </w:rPr>
        <w:t>Australia</w:t>
      </w:r>
      <w:r w:rsidRPr="00A60754">
        <w:t>—div 6.8.9</w:t>
      </w:r>
      <w:bookmarkEnd w:id="1726"/>
    </w:p>
    <w:p w14:paraId="5D177B13" w14:textId="77777777" w:rsidR="002A489B" w:rsidRPr="00A60754" w:rsidRDefault="002A489B" w:rsidP="002A489B">
      <w:pPr>
        <w:pStyle w:val="Amainreturn"/>
        <w:keepNext/>
      </w:pPr>
      <w:r w:rsidRPr="00A60754">
        <w:t>In this division:</w:t>
      </w:r>
    </w:p>
    <w:p w14:paraId="68D97B71" w14:textId="77777777" w:rsidR="002A489B" w:rsidRPr="00A60754" w:rsidRDefault="002A489B" w:rsidP="002A489B">
      <w:pPr>
        <w:pStyle w:val="aDef"/>
      </w:pPr>
      <w:r w:rsidRPr="00A60754">
        <w:rPr>
          <w:rStyle w:val="charBoldItals"/>
        </w:rPr>
        <w:t>Australia</w:t>
      </w:r>
      <w:r w:rsidRPr="00A60754">
        <w:t xml:space="preserve"> includes the external territories.</w:t>
      </w:r>
    </w:p>
    <w:p w14:paraId="7A617B55" w14:textId="3B737D1F" w:rsidR="002A489B" w:rsidRPr="00D75A67" w:rsidRDefault="002A489B" w:rsidP="002A489B">
      <w:pPr>
        <w:pStyle w:val="AH5Sec"/>
        <w:rPr>
          <w:rStyle w:val="CharSectNo"/>
        </w:rPr>
      </w:pPr>
      <w:bookmarkStart w:id="1727" w:name="_Toc185515343"/>
      <w:r w:rsidRPr="00C8328B">
        <w:rPr>
          <w:rStyle w:val="CharSectNo"/>
        </w:rPr>
        <w:t>6501</w:t>
      </w:r>
      <w:bookmarkEnd w:id="1727"/>
      <w:r w:rsidRPr="00D75A67">
        <w:rPr>
          <w:rStyle w:val="CharSectNo"/>
        </w:rPr>
        <w:tab/>
        <w:t xml:space="preserve">  </w:t>
      </w:r>
    </w:p>
    <w:p w14:paraId="08C5718E" w14:textId="77777777"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14:paraId="19A209DD" w14:textId="77777777"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14:paraId="78611C61" w14:textId="77777777" w:rsidR="002A489B" w:rsidRPr="00A60754" w:rsidRDefault="002A489B" w:rsidP="002A489B">
      <w:pPr>
        <w:pStyle w:val="AH5Sec"/>
      </w:pPr>
      <w:bookmarkStart w:id="1728" w:name="_Toc185515344"/>
      <w:r w:rsidRPr="00C8328B">
        <w:rPr>
          <w:rStyle w:val="CharSectNo"/>
        </w:rPr>
        <w:t>6502</w:t>
      </w:r>
      <w:r w:rsidRPr="00A60754">
        <w:tab/>
        <w:t>Service of originating process without leave</w:t>
      </w:r>
      <w:bookmarkEnd w:id="1728"/>
    </w:p>
    <w:p w14:paraId="408A9ED0" w14:textId="77777777" w:rsidR="002A489B" w:rsidRPr="00A60754" w:rsidRDefault="002A489B" w:rsidP="002A489B">
      <w:pPr>
        <w:pStyle w:val="Amainreturn"/>
      </w:pPr>
      <w:r w:rsidRPr="00A60754">
        <w:t>An originating process may be served out of Australia on a person without the court’s leave in the following circumstances:</w:t>
      </w:r>
    </w:p>
    <w:p w14:paraId="20FB68DB" w14:textId="77777777" w:rsidR="002A489B" w:rsidRPr="00A60754" w:rsidRDefault="002A489B" w:rsidP="002A489B">
      <w:pPr>
        <w:pStyle w:val="Apara"/>
      </w:pPr>
      <w:r w:rsidRPr="00A60754">
        <w:tab/>
        <w:t>(a)</w:t>
      </w:r>
      <w:r w:rsidRPr="00A60754">
        <w:tab/>
        <w:t>if the proceeding is based on a tortious act or omission—</w:t>
      </w:r>
    </w:p>
    <w:p w14:paraId="67F2647C" w14:textId="77777777" w:rsidR="002A489B" w:rsidRPr="00A60754" w:rsidRDefault="002A489B" w:rsidP="002A489B">
      <w:pPr>
        <w:pStyle w:val="Asubpara"/>
      </w:pPr>
      <w:r w:rsidRPr="00A60754">
        <w:tab/>
        <w:t>(i)</w:t>
      </w:r>
      <w:r w:rsidRPr="00A60754">
        <w:tab/>
        <w:t>which was done or which happened wholly or partly in the ACT; or</w:t>
      </w:r>
    </w:p>
    <w:p w14:paraId="5905DB76" w14:textId="77777777" w:rsidR="002A489B" w:rsidRPr="00A60754" w:rsidRDefault="002A489B" w:rsidP="002A489B">
      <w:pPr>
        <w:pStyle w:val="Asubpara"/>
      </w:pPr>
      <w:r w:rsidRPr="00A60754">
        <w:tab/>
        <w:t>(ii)</w:t>
      </w:r>
      <w:r w:rsidRPr="00A60754">
        <w:tab/>
        <w:t>in relation to which the damage was sustained wholly or partly in the ACT;</w:t>
      </w:r>
    </w:p>
    <w:p w14:paraId="50C125B8" w14:textId="77777777"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14:paraId="1CD0D43F" w14:textId="77777777" w:rsidR="002A489B" w:rsidRPr="00A60754" w:rsidRDefault="002A489B" w:rsidP="002A489B">
      <w:pPr>
        <w:pStyle w:val="Asubpara"/>
      </w:pPr>
      <w:r w:rsidRPr="00A60754">
        <w:tab/>
        <w:t>(i)</w:t>
      </w:r>
      <w:r w:rsidRPr="00A60754">
        <w:tab/>
        <w:t>was made or entered into in the ACT; or</w:t>
      </w:r>
    </w:p>
    <w:p w14:paraId="126B248B" w14:textId="77777777" w:rsidR="002A489B" w:rsidRPr="00A60754" w:rsidRDefault="002A489B" w:rsidP="002A489B">
      <w:pPr>
        <w:pStyle w:val="Asubpara"/>
      </w:pPr>
      <w:r w:rsidRPr="00A60754">
        <w:tab/>
        <w:t>(ii)</w:t>
      </w:r>
      <w:r w:rsidRPr="00A60754">
        <w:tab/>
        <w:t>was made by or through an agent trading or residing in the ACT; or</w:t>
      </w:r>
    </w:p>
    <w:p w14:paraId="3365B00E" w14:textId="77777777" w:rsidR="002A489B" w:rsidRPr="00A60754" w:rsidRDefault="002A489B" w:rsidP="002A489B">
      <w:pPr>
        <w:pStyle w:val="Asubpara"/>
      </w:pPr>
      <w:r w:rsidRPr="00A60754">
        <w:tab/>
        <w:t>(iii)</w:t>
      </w:r>
      <w:r w:rsidRPr="00A60754">
        <w:tab/>
        <w:t>was to be wholly or in part performed in the ACT; or</w:t>
      </w:r>
    </w:p>
    <w:p w14:paraId="5F1FCE78" w14:textId="77777777"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14:paraId="6240B313" w14:textId="77777777"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14:paraId="6722C5CE" w14:textId="77777777" w:rsidR="002A489B" w:rsidRPr="00A60754" w:rsidRDefault="002A489B" w:rsidP="002A489B">
      <w:pPr>
        <w:pStyle w:val="Apara"/>
      </w:pPr>
      <w:r w:rsidRPr="00A60754">
        <w:tab/>
        <w:t>(d)</w:t>
      </w:r>
      <w:r w:rsidRPr="00A60754">
        <w:tab/>
        <w:t>if the proceeding—</w:t>
      </w:r>
    </w:p>
    <w:p w14:paraId="3C0B4AE0" w14:textId="77777777" w:rsidR="002A489B" w:rsidRPr="00A60754" w:rsidRDefault="002A489B" w:rsidP="002A489B">
      <w:pPr>
        <w:pStyle w:val="Asubpara"/>
      </w:pPr>
      <w:r w:rsidRPr="00A60754">
        <w:tab/>
        <w:t>(i)</w:t>
      </w:r>
      <w:r w:rsidRPr="00A60754">
        <w:tab/>
        <w:t>is for an injunction to compel or restrain the performance of any act in the ACT; or</w:t>
      </w:r>
    </w:p>
    <w:p w14:paraId="18444174" w14:textId="50D2381E"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32" w:tooltip="Act 1974 No 136 (Cwlth)" w:history="1">
        <w:r w:rsidRPr="00A60754">
          <w:rPr>
            <w:rStyle w:val="charCitHyperlinkItal"/>
          </w:rPr>
          <w:t>International Arbitration Act 1974</w:t>
        </w:r>
      </w:hyperlink>
      <w:r w:rsidRPr="00A60754">
        <w:t xml:space="preserve"> (Cwlth) or the </w:t>
      </w:r>
      <w:hyperlink r:id="rId833" w:tooltip="A2017-7" w:history="1">
        <w:r w:rsidRPr="00A60754">
          <w:rPr>
            <w:rStyle w:val="charCitHyperlinkItal"/>
          </w:rPr>
          <w:t>Commercial Arbitration Act 2017</w:t>
        </w:r>
      </w:hyperlink>
      <w:r w:rsidRPr="00A60754">
        <w:t>); or</w:t>
      </w:r>
    </w:p>
    <w:p w14:paraId="0D8FBCF6" w14:textId="77777777"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14:paraId="5E50D739" w14:textId="77777777"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14:paraId="5E5D85D7" w14:textId="77777777"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14:paraId="44E464AB" w14:textId="77777777"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14:paraId="08F6CC9D" w14:textId="77777777" w:rsidR="002A489B" w:rsidRPr="00A60754" w:rsidRDefault="002A489B" w:rsidP="002A489B">
      <w:pPr>
        <w:pStyle w:val="Apara"/>
      </w:pPr>
      <w:r w:rsidRPr="00A60754">
        <w:tab/>
        <w:t>(h)</w:t>
      </w:r>
      <w:r w:rsidRPr="00A60754">
        <w:tab/>
        <w:t>if any person out of the ACT is—</w:t>
      </w:r>
    </w:p>
    <w:p w14:paraId="7F146A5D" w14:textId="77777777"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14:paraId="4D416EFD" w14:textId="77777777"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14:paraId="624BCDD4" w14:textId="77777777" w:rsidR="002A489B" w:rsidRPr="00A60754" w:rsidRDefault="002A489B" w:rsidP="002A489B">
      <w:pPr>
        <w:pStyle w:val="Apara"/>
      </w:pPr>
      <w:r w:rsidRPr="00A60754">
        <w:tab/>
        <w:t>(i)</w:t>
      </w:r>
      <w:r w:rsidRPr="00A60754">
        <w:tab/>
        <w:t>if the proceeding is for—</w:t>
      </w:r>
    </w:p>
    <w:p w14:paraId="112429C4" w14:textId="77777777" w:rsidR="002A489B" w:rsidRPr="00A60754" w:rsidRDefault="002A489B" w:rsidP="002A489B">
      <w:pPr>
        <w:pStyle w:val="Asubpara"/>
      </w:pPr>
      <w:r w:rsidRPr="00A60754">
        <w:tab/>
        <w:t>(i)</w:t>
      </w:r>
      <w:r w:rsidRPr="00A60754">
        <w:tab/>
        <w:t xml:space="preserve">the administration of the estate of a person who died domiciled in the ACT; or </w:t>
      </w:r>
    </w:p>
    <w:p w14:paraId="3362FF53" w14:textId="77777777"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14:paraId="77E9D2B0" w14:textId="77777777" w:rsidR="002A489B" w:rsidRPr="00A60754" w:rsidRDefault="002A489B" w:rsidP="002A489B">
      <w:pPr>
        <w:pStyle w:val="Apara"/>
      </w:pPr>
      <w:r w:rsidRPr="00A60754">
        <w:tab/>
        <w:t>(j)</w:t>
      </w:r>
      <w:r w:rsidRPr="00A60754">
        <w:tab/>
        <w:t>if the proceeding arises under a territory law and—</w:t>
      </w:r>
    </w:p>
    <w:p w14:paraId="6044AB56" w14:textId="77777777" w:rsidR="002A489B" w:rsidRPr="00A60754" w:rsidRDefault="002A489B" w:rsidP="002A489B">
      <w:pPr>
        <w:pStyle w:val="Asubpara"/>
      </w:pPr>
      <w:r w:rsidRPr="00A60754">
        <w:tab/>
        <w:t>(i)</w:t>
      </w:r>
      <w:r w:rsidRPr="00A60754">
        <w:tab/>
        <w:t>any act or omission to which the proceeding relates was done or occurred in the ACT; or</w:t>
      </w:r>
    </w:p>
    <w:p w14:paraId="456DF6C1" w14:textId="77777777" w:rsidR="002A489B" w:rsidRPr="00A60754" w:rsidRDefault="002A489B" w:rsidP="002A489B">
      <w:pPr>
        <w:pStyle w:val="Asubpara"/>
      </w:pPr>
      <w:r w:rsidRPr="00A60754">
        <w:tab/>
        <w:t>(ii)</w:t>
      </w:r>
      <w:r w:rsidRPr="00A60754">
        <w:tab/>
        <w:t>any loss or damage to which the proceeding relates was sustained in the ACT; or</w:t>
      </w:r>
    </w:p>
    <w:p w14:paraId="26A03543" w14:textId="77777777"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14:paraId="6B281B70" w14:textId="77777777"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14:paraId="7CB17831" w14:textId="77777777" w:rsidR="002A489B" w:rsidRPr="00A60754" w:rsidRDefault="002A489B" w:rsidP="002A489B">
      <w:pPr>
        <w:pStyle w:val="Apara"/>
      </w:pPr>
      <w:r w:rsidRPr="00A60754">
        <w:tab/>
        <w:t>(k)</w:t>
      </w:r>
      <w:r w:rsidRPr="00A60754">
        <w:tab/>
        <w:t>if the person to be served has submitted to the jurisdiction of the court;</w:t>
      </w:r>
    </w:p>
    <w:p w14:paraId="3F5CEE35" w14:textId="77777777"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14:paraId="6B2B2B36" w14:textId="77777777" w:rsidR="002A489B" w:rsidRPr="00A60754" w:rsidRDefault="002A489B" w:rsidP="002A489B">
      <w:pPr>
        <w:pStyle w:val="Apara"/>
      </w:pPr>
      <w:r w:rsidRPr="00A60754">
        <w:tab/>
        <w:t>(m)</w:t>
      </w:r>
      <w:r w:rsidRPr="00A60754">
        <w:tab/>
        <w:t>if it is sought to recognise or enforce any judgment;</w:t>
      </w:r>
    </w:p>
    <w:p w14:paraId="7225AD27" w14:textId="77777777" w:rsidR="002A489B" w:rsidRPr="00A60754" w:rsidRDefault="002A489B" w:rsidP="002A489B">
      <w:pPr>
        <w:pStyle w:val="Apara"/>
      </w:pPr>
      <w:r w:rsidRPr="00A60754">
        <w:tab/>
        <w:t>(n)</w:t>
      </w:r>
      <w:r w:rsidRPr="00A60754">
        <w:tab/>
        <w:t>if the proceeding is founded on a cause of action arising in the ACT;</w:t>
      </w:r>
    </w:p>
    <w:p w14:paraId="2A7098CC" w14:textId="77777777"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14:paraId="3CA285AE" w14:textId="77777777" w:rsidR="002A489B" w:rsidRPr="00A60754" w:rsidRDefault="002A489B" w:rsidP="002A489B">
      <w:pPr>
        <w:pStyle w:val="Apara"/>
      </w:pPr>
      <w:r w:rsidRPr="00A60754">
        <w:tab/>
        <w:t>(p)</w:t>
      </w:r>
      <w:r w:rsidRPr="00A60754">
        <w:tab/>
        <w:t>if the proceeding is about the construction, effect or enforcement of—</w:t>
      </w:r>
    </w:p>
    <w:p w14:paraId="41EF2732" w14:textId="77777777" w:rsidR="002A489B" w:rsidRPr="00A60754" w:rsidRDefault="002A489B" w:rsidP="002A489B">
      <w:pPr>
        <w:pStyle w:val="Asubpara"/>
      </w:pPr>
      <w:r w:rsidRPr="00A60754">
        <w:tab/>
        <w:t>(i)</w:t>
      </w:r>
      <w:r w:rsidRPr="00A60754">
        <w:tab/>
        <w:t>an ACT law; or</w:t>
      </w:r>
    </w:p>
    <w:p w14:paraId="0EBF91D8" w14:textId="77777777"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14:paraId="664AB56D" w14:textId="77777777" w:rsidR="002A489B" w:rsidRPr="00A60754" w:rsidRDefault="002A489B" w:rsidP="002A489B">
      <w:pPr>
        <w:pStyle w:val="Apara"/>
      </w:pPr>
      <w:r w:rsidRPr="00A60754">
        <w:tab/>
        <w:t>(q)</w:t>
      </w:r>
      <w:r w:rsidRPr="00A60754">
        <w:tab/>
        <w:t>if the proceeding—</w:t>
      </w:r>
    </w:p>
    <w:p w14:paraId="5B1F0C02" w14:textId="77777777" w:rsidR="002A489B" w:rsidRPr="00A60754" w:rsidRDefault="002A489B" w:rsidP="002A489B">
      <w:pPr>
        <w:pStyle w:val="Asubpara"/>
      </w:pPr>
      <w:r w:rsidRPr="00A60754">
        <w:tab/>
        <w:t>(i)</w:t>
      </w:r>
      <w:r w:rsidRPr="00A60754">
        <w:tab/>
        <w:t>relates to an arbitration held in the ACT or governed by territory law; or</w:t>
      </w:r>
    </w:p>
    <w:p w14:paraId="511C9AC4" w14:textId="77777777" w:rsidR="002A489B" w:rsidRPr="00A60754" w:rsidRDefault="002A489B" w:rsidP="002A489B">
      <w:pPr>
        <w:pStyle w:val="Asubpara"/>
      </w:pPr>
      <w:r w:rsidRPr="00A60754">
        <w:lastRenderedPageBreak/>
        <w:tab/>
        <w:t>(ii)</w:t>
      </w:r>
      <w:r w:rsidRPr="00A60754">
        <w:tab/>
        <w:t>is to enforce in the ACT an arbitral award wherever made; or</w:t>
      </w:r>
    </w:p>
    <w:p w14:paraId="516A3C93" w14:textId="77777777"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14:paraId="73A2B867" w14:textId="77777777"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14:paraId="448941ED" w14:textId="77777777"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14:paraId="60B2FA56" w14:textId="77777777"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14:paraId="4D3A9BE5" w14:textId="73FD538E"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34"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14:paraId="5C7B742F" w14:textId="77777777" w:rsidR="002A489B" w:rsidRPr="00A60754" w:rsidRDefault="002A489B" w:rsidP="002A489B">
      <w:pPr>
        <w:pStyle w:val="AH5Sec"/>
      </w:pPr>
      <w:bookmarkStart w:id="1729" w:name="_Toc185515345"/>
      <w:r w:rsidRPr="00C8328B">
        <w:rPr>
          <w:rStyle w:val="CharSectNo"/>
        </w:rPr>
        <w:t>6503</w:t>
      </w:r>
      <w:r w:rsidRPr="00A60754">
        <w:tab/>
        <w:t>Service of originating process with leave</w:t>
      </w:r>
      <w:bookmarkEnd w:id="1729"/>
    </w:p>
    <w:p w14:paraId="072520AB" w14:textId="77777777"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14:paraId="366301AF" w14:textId="77777777"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14:paraId="0F446DF2" w14:textId="77777777"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14:paraId="4F3A8872" w14:textId="77777777"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14:paraId="13916BB6" w14:textId="77777777"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14:paraId="4CDDE6FB" w14:textId="77777777"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14:paraId="77F2F80F" w14:textId="77777777"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14:paraId="3F233F3A" w14:textId="77777777"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14:paraId="463D5D93" w14:textId="77777777" w:rsidR="002A489B" w:rsidRPr="00A60754" w:rsidRDefault="002A489B" w:rsidP="002A489B">
      <w:pPr>
        <w:pStyle w:val="AH5Sec"/>
      </w:pPr>
      <w:bookmarkStart w:id="1730" w:name="_Toc185515346"/>
      <w:r w:rsidRPr="00C8328B">
        <w:rPr>
          <w:rStyle w:val="CharSectNo"/>
        </w:rPr>
        <w:t>6504</w:t>
      </w:r>
      <w:r w:rsidRPr="00A60754">
        <w:tab/>
        <w:t>Court’s discretion whether to assume jurisdiction</w:t>
      </w:r>
      <w:bookmarkEnd w:id="1730"/>
    </w:p>
    <w:p w14:paraId="3B3BB183" w14:textId="77777777"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14:paraId="7C15B1A6" w14:textId="77777777" w:rsidR="002A489B" w:rsidRPr="00A60754" w:rsidRDefault="002A489B" w:rsidP="002A489B">
      <w:pPr>
        <w:pStyle w:val="Amain"/>
      </w:pPr>
      <w:r w:rsidRPr="00A60754">
        <w:tab/>
        <w:t>(2)</w:t>
      </w:r>
      <w:r w:rsidRPr="00A60754">
        <w:tab/>
        <w:t>Without limiting subrule (1), the court may make an order under this rule if satisfied that—</w:t>
      </w:r>
    </w:p>
    <w:p w14:paraId="674D1CF2" w14:textId="77777777" w:rsidR="002A489B" w:rsidRPr="00A60754" w:rsidRDefault="002A489B" w:rsidP="002A489B">
      <w:pPr>
        <w:pStyle w:val="Apara"/>
      </w:pPr>
      <w:r w:rsidRPr="00A60754">
        <w:tab/>
        <w:t>(a)</w:t>
      </w:r>
      <w:r w:rsidRPr="00A60754">
        <w:tab/>
        <w:t>service of the originating process is not authorised by these rules; or</w:t>
      </w:r>
    </w:p>
    <w:p w14:paraId="145C62A2" w14:textId="77777777" w:rsidR="002A489B" w:rsidRPr="00A60754" w:rsidRDefault="002A489B" w:rsidP="002A489B">
      <w:pPr>
        <w:pStyle w:val="Apara"/>
      </w:pPr>
      <w:r w:rsidRPr="00A60754">
        <w:tab/>
        <w:t>(b)</w:t>
      </w:r>
      <w:r w:rsidRPr="00A60754">
        <w:tab/>
        <w:t>the court is an inappropriate forum for the trial of the proceeding; or</w:t>
      </w:r>
    </w:p>
    <w:p w14:paraId="374097DA" w14:textId="77777777"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14:paraId="440E461C" w14:textId="77777777" w:rsidR="002A489B" w:rsidRPr="00A60754" w:rsidRDefault="002A489B" w:rsidP="002A489B">
      <w:pPr>
        <w:pStyle w:val="AH5Sec"/>
      </w:pPr>
      <w:bookmarkStart w:id="1731" w:name="_Toc185515347"/>
      <w:r w:rsidRPr="00C8328B">
        <w:rPr>
          <w:rStyle w:val="CharSectNo"/>
        </w:rPr>
        <w:lastRenderedPageBreak/>
        <w:t>6505</w:t>
      </w:r>
      <w:r w:rsidRPr="00A60754">
        <w:tab/>
        <w:t>Notice to person served outside Australia</w:t>
      </w:r>
      <w:bookmarkEnd w:id="1731"/>
    </w:p>
    <w:p w14:paraId="72A477AF" w14:textId="77777777"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14:paraId="2A907AC6" w14:textId="77777777"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14:paraId="03C2BDB3" w14:textId="77777777" w:rsidR="002A489B" w:rsidRPr="00A60754" w:rsidRDefault="002A489B" w:rsidP="002A489B">
      <w:pPr>
        <w:pStyle w:val="Apara"/>
      </w:pPr>
      <w:r w:rsidRPr="00A60754">
        <w:tab/>
        <w:t>(b)</w:t>
      </w:r>
      <w:r w:rsidRPr="00A60754">
        <w:tab/>
        <w:t>the grounds alleged by the plaintiff to establish jurisdiction; and</w:t>
      </w:r>
    </w:p>
    <w:p w14:paraId="60F41F3E" w14:textId="77777777"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14:paraId="105F759A" w14:textId="0E903896"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35" w:history="1">
        <w:r w:rsidR="006E5336">
          <w:rPr>
            <w:rStyle w:val="charCitHyperlinkAbbrev"/>
          </w:rPr>
          <w:t>AF2017-151</w:t>
        </w:r>
      </w:hyperlink>
      <w:r w:rsidRPr="00A60754">
        <w:t>.</w:t>
      </w:r>
    </w:p>
    <w:p w14:paraId="392F53E3" w14:textId="77777777" w:rsidR="002A489B" w:rsidRPr="00A60754" w:rsidRDefault="002A489B" w:rsidP="002A489B">
      <w:pPr>
        <w:pStyle w:val="AH5Sec"/>
      </w:pPr>
      <w:bookmarkStart w:id="1732" w:name="_Toc185515348"/>
      <w:r w:rsidRPr="00C8328B">
        <w:rPr>
          <w:rStyle w:val="CharSectNo"/>
        </w:rPr>
        <w:t>6506</w:t>
      </w:r>
      <w:r w:rsidRPr="00A60754">
        <w:tab/>
        <w:t>Time for filing notice of intention to respond</w:t>
      </w:r>
      <w:bookmarkEnd w:id="1732"/>
    </w:p>
    <w:p w14:paraId="67B1F51E" w14:textId="77777777"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14:paraId="31156EF2" w14:textId="77777777" w:rsidR="002A489B" w:rsidRPr="00A60754" w:rsidRDefault="002A489B" w:rsidP="002A489B">
      <w:pPr>
        <w:pStyle w:val="AH5Sec"/>
      </w:pPr>
      <w:bookmarkStart w:id="1733" w:name="_Toc185515349"/>
      <w:r w:rsidRPr="00C8328B">
        <w:rPr>
          <w:rStyle w:val="CharSectNo"/>
        </w:rPr>
        <w:t>6507</w:t>
      </w:r>
      <w:r w:rsidRPr="00A60754">
        <w:tab/>
        <w:t>Leave to proceed if notice of intention to respond not filed</w:t>
      </w:r>
      <w:bookmarkEnd w:id="1733"/>
    </w:p>
    <w:p w14:paraId="1E4DF4BC" w14:textId="77777777"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14:paraId="2FB29A54" w14:textId="77777777"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14:paraId="71D74DAC" w14:textId="77777777" w:rsidR="002A489B" w:rsidRPr="00A60754" w:rsidRDefault="002A489B" w:rsidP="002A489B">
      <w:pPr>
        <w:pStyle w:val="AH5Sec"/>
      </w:pPr>
      <w:bookmarkStart w:id="1734" w:name="_Toc185515350"/>
      <w:r w:rsidRPr="00C8328B">
        <w:rPr>
          <w:rStyle w:val="CharSectNo"/>
        </w:rPr>
        <w:lastRenderedPageBreak/>
        <w:t>6508</w:t>
      </w:r>
      <w:r w:rsidRPr="00A60754">
        <w:tab/>
        <w:t>Service of other documents outside Australia</w:t>
      </w:r>
      <w:bookmarkEnd w:id="1734"/>
    </w:p>
    <w:p w14:paraId="6BCBB26C" w14:textId="77777777"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14:paraId="0088CBA7" w14:textId="77777777" w:rsidR="002A489B" w:rsidRPr="00A60754" w:rsidRDefault="002A489B" w:rsidP="002A489B">
      <w:pPr>
        <w:pStyle w:val="AH5Sec"/>
      </w:pPr>
      <w:bookmarkStart w:id="1735" w:name="_Toc185515351"/>
      <w:r w:rsidRPr="00C8328B">
        <w:rPr>
          <w:rStyle w:val="CharSectNo"/>
        </w:rPr>
        <w:t>6509</w:t>
      </w:r>
      <w:r w:rsidRPr="00A60754">
        <w:tab/>
        <w:t>Mode of service</w:t>
      </w:r>
      <w:bookmarkEnd w:id="1735"/>
    </w:p>
    <w:p w14:paraId="1AF9873C" w14:textId="77777777"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14:paraId="71C5B9CC" w14:textId="77777777" w:rsidR="00D94935" w:rsidRPr="00C8328B" w:rsidRDefault="00D94935" w:rsidP="00D94935">
      <w:pPr>
        <w:pStyle w:val="AH3Div"/>
      </w:pPr>
      <w:bookmarkStart w:id="1736" w:name="_Toc185515352"/>
      <w:r w:rsidRPr="00C8328B">
        <w:rPr>
          <w:rStyle w:val="CharDivNo"/>
        </w:rPr>
        <w:t>Division 6.8.11</w:t>
      </w:r>
      <w:r>
        <w:tab/>
      </w:r>
      <w:r w:rsidRPr="00C8328B">
        <w:rPr>
          <w:rStyle w:val="CharDivText"/>
        </w:rPr>
        <w:t>Service of foreign legal process in the ACT</w:t>
      </w:r>
      <w:bookmarkEnd w:id="1736"/>
    </w:p>
    <w:p w14:paraId="4975CADF" w14:textId="77777777" w:rsidR="00D94935" w:rsidRPr="006364FA" w:rsidRDefault="00D94935" w:rsidP="00D94935">
      <w:pPr>
        <w:pStyle w:val="aNote"/>
        <w:keepNext/>
        <w:rPr>
          <w:rStyle w:val="charItals"/>
        </w:rPr>
      </w:pPr>
      <w:r w:rsidRPr="006364FA">
        <w:rPr>
          <w:rStyle w:val="charItals"/>
        </w:rPr>
        <w:t>Note to div 6.8.11</w:t>
      </w:r>
    </w:p>
    <w:p w14:paraId="46F4A3B4" w14:textId="77777777"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14:paraId="3239104D" w14:textId="77777777" w:rsidR="00D94935" w:rsidRDefault="00D94935" w:rsidP="00D94935">
      <w:pPr>
        <w:pStyle w:val="AH5Sec"/>
      </w:pPr>
      <w:bookmarkStart w:id="1737" w:name="_Toc185515353"/>
      <w:r w:rsidRPr="00C8328B">
        <w:rPr>
          <w:rStyle w:val="CharSectNo"/>
        </w:rPr>
        <w:t>6540</w:t>
      </w:r>
      <w:r>
        <w:tab/>
        <w:t>Letter of request from foreign tribunal—procedure</w:t>
      </w:r>
      <w:bookmarkEnd w:id="1737"/>
    </w:p>
    <w:p w14:paraId="523320A1" w14:textId="77777777"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14:paraId="0E77A558" w14:textId="77777777"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14:paraId="1F0EE72E" w14:textId="77777777" w:rsidR="00D94935" w:rsidRDefault="00D94935" w:rsidP="00D94935">
      <w:pPr>
        <w:pStyle w:val="Apara"/>
      </w:pPr>
      <w:r>
        <w:tab/>
        <w:t>(b)</w:t>
      </w:r>
      <w:r>
        <w:tab/>
        <w:t>the Attorney-General files the request in the court and indicates that the process should be served.</w:t>
      </w:r>
    </w:p>
    <w:p w14:paraId="19C78AC2" w14:textId="77777777" w:rsidR="00D94935" w:rsidRDefault="00D94935" w:rsidP="00D94935">
      <w:pPr>
        <w:pStyle w:val="Amain"/>
        <w:keepNext/>
      </w:pPr>
      <w:r>
        <w:tab/>
        <w:t>(2)</w:t>
      </w:r>
      <w:r>
        <w:tab/>
        <w:t>The following procedures apply:</w:t>
      </w:r>
    </w:p>
    <w:p w14:paraId="1722ED0D" w14:textId="77777777" w:rsidR="00D94935" w:rsidRDefault="00D94935" w:rsidP="00D94935">
      <w:pPr>
        <w:pStyle w:val="Apara"/>
        <w:keepNext/>
      </w:pPr>
      <w:r>
        <w:tab/>
        <w:t>(a)</w:t>
      </w:r>
      <w:r>
        <w:tab/>
        <w:t>the letter of request must be accompanied by the following:</w:t>
      </w:r>
    </w:p>
    <w:p w14:paraId="31ECC485" w14:textId="77777777" w:rsidR="00D94935" w:rsidRDefault="00D94935" w:rsidP="00D94935">
      <w:pPr>
        <w:pStyle w:val="Asubpara"/>
      </w:pPr>
      <w:r>
        <w:tab/>
        <w:t>(i)</w:t>
      </w:r>
      <w:r>
        <w:tab/>
        <w:t>if the letter is not in English—a translation of the letter in English;</w:t>
      </w:r>
    </w:p>
    <w:p w14:paraId="633BF004" w14:textId="77777777" w:rsidR="00D94935" w:rsidRDefault="00D94935" w:rsidP="00D94935">
      <w:pPr>
        <w:pStyle w:val="Asubpara"/>
      </w:pPr>
      <w:r>
        <w:tab/>
        <w:t>(ii)</w:t>
      </w:r>
      <w:r>
        <w:tab/>
        <w:t>2 copies of the process to be served;</w:t>
      </w:r>
    </w:p>
    <w:p w14:paraId="0D73B128" w14:textId="77777777" w:rsidR="00D94935" w:rsidRDefault="00D94935" w:rsidP="007B42FE">
      <w:pPr>
        <w:pStyle w:val="Asubpara"/>
        <w:keepNext/>
      </w:pPr>
      <w:r>
        <w:lastRenderedPageBreak/>
        <w:tab/>
        <w:t>(iii)</w:t>
      </w:r>
      <w:r>
        <w:tab/>
        <w:t>either—</w:t>
      </w:r>
    </w:p>
    <w:p w14:paraId="2A600DFF" w14:textId="77777777" w:rsidR="00D94935" w:rsidRDefault="00D94935" w:rsidP="00D94935">
      <w:pPr>
        <w:pStyle w:val="Asubsubpara"/>
      </w:pPr>
      <w:r>
        <w:tab/>
        <w:t>(A)</w:t>
      </w:r>
      <w:r>
        <w:tab/>
        <w:t>2 copies of the process in English; or</w:t>
      </w:r>
    </w:p>
    <w:p w14:paraId="4205A789" w14:textId="77777777"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14:paraId="6DF8F993" w14:textId="77777777" w:rsidR="00D94935" w:rsidRDefault="00D94935" w:rsidP="00D94935">
      <w:pPr>
        <w:pStyle w:val="Apara"/>
      </w:pPr>
      <w:r>
        <w:tab/>
        <w:t>(b)</w:t>
      </w:r>
      <w:r>
        <w:tab/>
        <w:t>if paragraph (a) (iii) (B) is complied with, it is not necessary to give the person served a translated copy of the process;</w:t>
      </w:r>
    </w:p>
    <w:p w14:paraId="038B6F32" w14:textId="77777777" w:rsidR="00D94935" w:rsidRDefault="00D94935" w:rsidP="00D94935">
      <w:pPr>
        <w:pStyle w:val="Apara"/>
      </w:pPr>
      <w:r>
        <w:tab/>
        <w:t>(c)</w:t>
      </w:r>
      <w:r>
        <w:tab/>
        <w:t>an enforcement officer must serve the process personally under these rules;</w:t>
      </w:r>
    </w:p>
    <w:p w14:paraId="17358F22" w14:textId="77777777"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14:paraId="7CC0C724" w14:textId="77777777" w:rsidR="00D94935" w:rsidRDefault="00D94935" w:rsidP="00D94935">
      <w:pPr>
        <w:pStyle w:val="Apara"/>
      </w:pPr>
      <w:r>
        <w:tab/>
        <w:t>(e)</w:t>
      </w:r>
      <w:r>
        <w:tab/>
        <w:t>the registrar must certify the charges, or another amount properly payable for service of the process;</w:t>
      </w:r>
    </w:p>
    <w:p w14:paraId="0AA4AE56" w14:textId="77777777" w:rsidR="00D94935" w:rsidRDefault="00D94935" w:rsidP="00D94935">
      <w:pPr>
        <w:pStyle w:val="Apara"/>
        <w:keepNext/>
      </w:pPr>
      <w:r>
        <w:tab/>
        <w:t>(f)</w:t>
      </w:r>
      <w:r>
        <w:tab/>
        <w:t>the registrar must send the following to the Attorney-General:</w:t>
      </w:r>
    </w:p>
    <w:p w14:paraId="6AC0CF43" w14:textId="77777777" w:rsidR="00D94935" w:rsidRDefault="00D94935" w:rsidP="00D94935">
      <w:pPr>
        <w:pStyle w:val="Asubpara"/>
      </w:pPr>
      <w:r>
        <w:tab/>
        <w:t>(i)</w:t>
      </w:r>
      <w:r>
        <w:tab/>
        <w:t>the letter of request for service received from the foreign court;</w:t>
      </w:r>
    </w:p>
    <w:p w14:paraId="01DC3C1F" w14:textId="77777777" w:rsidR="00D94935" w:rsidRDefault="00D94935" w:rsidP="00D94935">
      <w:pPr>
        <w:pStyle w:val="Asubpara"/>
      </w:pPr>
      <w:r>
        <w:tab/>
        <w:t>(ii)</w:t>
      </w:r>
      <w:r>
        <w:tab/>
        <w:t>the affidavit of service of the process, with a sealed certificate on it;</w:t>
      </w:r>
    </w:p>
    <w:p w14:paraId="78FB319F" w14:textId="77777777" w:rsidR="00D94935" w:rsidRDefault="00D94935" w:rsidP="00D94935">
      <w:pPr>
        <w:pStyle w:val="Asubpara"/>
      </w:pPr>
      <w:r>
        <w:tab/>
        <w:t>(iii)</w:t>
      </w:r>
      <w:r>
        <w:tab/>
        <w:t>a certificate establishing the fact and the date of service or indicating why it has not been possible to serve the process;</w:t>
      </w:r>
    </w:p>
    <w:p w14:paraId="57ABA217" w14:textId="77777777" w:rsidR="00D94935" w:rsidRDefault="00D94935" w:rsidP="00D94935">
      <w:pPr>
        <w:pStyle w:val="Asubpara"/>
      </w:pPr>
      <w:r>
        <w:tab/>
        <w:t>(iv)</w:t>
      </w:r>
      <w:r>
        <w:tab/>
        <w:t>a certificate stating the amount of the charges properly payable for the cost of serving the process.</w:t>
      </w:r>
    </w:p>
    <w:p w14:paraId="6E762A8A" w14:textId="77777777" w:rsidR="00D94935" w:rsidRDefault="00D94935" w:rsidP="00D94935">
      <w:pPr>
        <w:pStyle w:val="AH5Sec"/>
      </w:pPr>
      <w:bookmarkStart w:id="1738" w:name="_Toc185515354"/>
      <w:r w:rsidRPr="00C8328B">
        <w:rPr>
          <w:rStyle w:val="CharSectNo"/>
        </w:rPr>
        <w:lastRenderedPageBreak/>
        <w:t>6541</w:t>
      </w:r>
      <w:r>
        <w:tab/>
        <w:t>Orders for substituted service etc for div 6.8.11</w:t>
      </w:r>
      <w:bookmarkEnd w:id="1738"/>
    </w:p>
    <w:p w14:paraId="464AD656" w14:textId="77777777"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14:paraId="400D71C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ED33656" w14:textId="77777777" w:rsidR="00D94935" w:rsidRDefault="00D94935" w:rsidP="00D94935">
      <w:pPr>
        <w:pStyle w:val="AH5Sec"/>
      </w:pPr>
      <w:bookmarkStart w:id="1739" w:name="_Toc185515355"/>
      <w:r w:rsidRPr="00C8328B">
        <w:rPr>
          <w:rStyle w:val="CharSectNo"/>
        </w:rPr>
        <w:t>6542</w:t>
      </w:r>
      <w:r>
        <w:tab/>
        <w:t>Noncompliance with div 6.8.11</w:t>
      </w:r>
      <w:bookmarkEnd w:id="1739"/>
    </w:p>
    <w:p w14:paraId="67D866EB" w14:textId="77777777"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14:paraId="73F131D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712EC17" w14:textId="77777777" w:rsidR="00C02EBD" w:rsidRPr="00C02EBD" w:rsidRDefault="00C02EBD" w:rsidP="00C02EBD">
      <w:pPr>
        <w:pStyle w:val="PageBreak"/>
      </w:pPr>
      <w:r w:rsidRPr="00C02EBD">
        <w:br w:type="page"/>
      </w:r>
    </w:p>
    <w:p w14:paraId="7BF7EB1E" w14:textId="77777777" w:rsidR="00D94935" w:rsidRPr="00C8328B" w:rsidRDefault="00D94935" w:rsidP="00D94935">
      <w:pPr>
        <w:pStyle w:val="AH3Div"/>
      </w:pPr>
      <w:bookmarkStart w:id="1740" w:name="_Toc185515356"/>
      <w:r w:rsidRPr="00C8328B">
        <w:rPr>
          <w:rStyle w:val="CharDivNo"/>
        </w:rPr>
        <w:lastRenderedPageBreak/>
        <w:t>Division 6.8.12</w:t>
      </w:r>
      <w:r w:rsidRPr="00403BD1">
        <w:tab/>
      </w:r>
      <w:r w:rsidRPr="00C8328B">
        <w:rPr>
          <w:rStyle w:val="CharDivText"/>
        </w:rPr>
        <w:t>Service under the Hague Convention</w:t>
      </w:r>
      <w:bookmarkEnd w:id="1740"/>
    </w:p>
    <w:p w14:paraId="7103EA03" w14:textId="77777777" w:rsidR="00F80ED4" w:rsidRPr="00751254" w:rsidRDefault="00F80ED4" w:rsidP="00F80ED4">
      <w:pPr>
        <w:pStyle w:val="aNote"/>
        <w:keepNext/>
        <w:rPr>
          <w:iCs/>
        </w:rPr>
      </w:pPr>
      <w:r w:rsidRPr="00751254">
        <w:rPr>
          <w:rStyle w:val="charItals"/>
        </w:rPr>
        <w:t>Note 1</w:t>
      </w:r>
      <w:r w:rsidRPr="00751254">
        <w:rPr>
          <w:rStyle w:val="charItals"/>
        </w:rPr>
        <w:tab/>
      </w:r>
      <w:r w:rsidRPr="00751254">
        <w:rPr>
          <w:iCs/>
        </w:rPr>
        <w:t>This division forms part of a scheme to implement Australia’s obligations under the Hague Convention on the Service Abroad of Judicial and Extrajudicial Documents in Civil or Commercial Matters. Under the Convention, the Commonwealth Attorney</w:t>
      </w:r>
      <w:r w:rsidRPr="00751254">
        <w:rPr>
          <w:iCs/>
        </w:rPr>
        <w:noBreakHyphen/>
        <w:t>General’s Department is designated as the central authority (under the Convention, article 2) and certain courts and government departments are, for certain purposes, designated as ‘other’ or ‘additional’ authorities (under the Convention, article 18).</w:t>
      </w:r>
    </w:p>
    <w:p w14:paraId="3E3568B4" w14:textId="77777777" w:rsidR="00F80ED4" w:rsidRPr="00751254" w:rsidRDefault="00F80ED4" w:rsidP="00C02EBD">
      <w:pPr>
        <w:pStyle w:val="aNote"/>
      </w:pPr>
      <w:r w:rsidRPr="00751254">
        <w:rPr>
          <w:rStyle w:val="charItals"/>
        </w:rPr>
        <w:t>Note 2</w:t>
      </w:r>
      <w:r w:rsidRPr="00751254">
        <w:rPr>
          <w:rStyle w:val="charItals"/>
        </w:rPr>
        <w:tab/>
      </w:r>
      <w:r w:rsidRPr="00751254">
        <w:rPr>
          <w:iCs/>
        </w:rPr>
        <w:t>This division provides (in sdiv 6.8.12.2) for service in overseas Convention countries of local judicial documents (documents that relate to proceedings in the court) and (in sdiv 6.8.12.3) for default judgment in proceedings in the court after service overseas of such a document. Subdivision 6.8.12.4, on the other hand, deals with service by the court or arranged by the court, in its role as an other or additional authority, of judicial documents emanating from overseas Convention countries.</w:t>
      </w:r>
    </w:p>
    <w:p w14:paraId="21FEA5B9" w14:textId="77777777" w:rsidR="00F80ED4" w:rsidRPr="00751254" w:rsidRDefault="00F80ED4" w:rsidP="00C02EBD">
      <w:pPr>
        <w:pStyle w:val="aNote"/>
        <w:keepLines/>
        <w:rPr>
          <w:iCs/>
        </w:rPr>
      </w:pPr>
      <w:r w:rsidRPr="00751254">
        <w:rPr>
          <w:rStyle w:val="charItals"/>
        </w:rPr>
        <w:t>Note 3</w:t>
      </w:r>
      <w:r w:rsidRPr="00751254">
        <w:rPr>
          <w:rStyle w:val="charItals"/>
        </w:rPr>
        <w:tab/>
      </w:r>
      <w:r w:rsidRPr="00751254">
        <w:rPr>
          <w:iCs/>
        </w:rPr>
        <w:t>Information about the Hague Convention, including a copy of the Hague Convention, a list of all Contracting States, details of declarations and reservations made under the Hague Convention by each of those States and the names and addresses of the central and other authorities of each of those States, can be found at the website of the Hague Conference on Private International Law.</w:t>
      </w:r>
    </w:p>
    <w:p w14:paraId="41286600" w14:textId="77777777" w:rsidR="00D94935" w:rsidRPr="006364FA" w:rsidRDefault="00D94935" w:rsidP="00D94935">
      <w:pPr>
        <w:pStyle w:val="aNote"/>
        <w:keepNext/>
      </w:pPr>
      <w:r w:rsidRPr="000F5994">
        <w:rPr>
          <w:rStyle w:val="charItals"/>
        </w:rPr>
        <w:t>Note</w:t>
      </w:r>
      <w:r w:rsidR="00F80ED4">
        <w:rPr>
          <w:rStyle w:val="charItals"/>
        </w:rPr>
        <w:t xml:space="preserve"> 4</w:t>
      </w:r>
      <w:r>
        <w:rPr>
          <w:lang w:val="en-US"/>
        </w:rPr>
        <w:tab/>
      </w:r>
      <w:r w:rsidRPr="00403BD1">
        <w:rPr>
          <w:lang w:val="en-US"/>
        </w:rPr>
        <w:t>This division does not apply to a criminal proceeding (see r 4006 (Criminal proceedings—application of pt 6.8)).</w:t>
      </w:r>
    </w:p>
    <w:p w14:paraId="45DDE5E4" w14:textId="77777777" w:rsidR="00D94935" w:rsidRPr="00403BD1" w:rsidRDefault="00D94935" w:rsidP="00D94935">
      <w:pPr>
        <w:pStyle w:val="AH4SubDiv"/>
      </w:pPr>
      <w:bookmarkStart w:id="1741" w:name="_Toc185515357"/>
      <w:r w:rsidRPr="00403BD1">
        <w:t>Subdivision 6.8.12.1</w:t>
      </w:r>
      <w:r w:rsidRPr="00403BD1">
        <w:tab/>
        <w:t>Preliminary</w:t>
      </w:r>
      <w:bookmarkEnd w:id="1741"/>
    </w:p>
    <w:p w14:paraId="6CC93823" w14:textId="77777777" w:rsidR="00D94935" w:rsidRPr="00403BD1" w:rsidRDefault="00D94935" w:rsidP="00D94935">
      <w:pPr>
        <w:pStyle w:val="AH5Sec"/>
      </w:pPr>
      <w:bookmarkStart w:id="1742" w:name="_Toc185515358"/>
      <w:r w:rsidRPr="00C8328B">
        <w:rPr>
          <w:rStyle w:val="CharSectNo"/>
        </w:rPr>
        <w:t>6550</w:t>
      </w:r>
      <w:r w:rsidRPr="00403BD1">
        <w:tab/>
        <w:t>Definitions—div 6.8.12</w:t>
      </w:r>
      <w:bookmarkEnd w:id="1742"/>
    </w:p>
    <w:p w14:paraId="7E7B8E86" w14:textId="77777777" w:rsidR="00D94935" w:rsidRPr="00403BD1" w:rsidRDefault="00D94935" w:rsidP="00D94935">
      <w:pPr>
        <w:pStyle w:val="Amainreturn"/>
        <w:keepNext/>
      </w:pPr>
      <w:r w:rsidRPr="00403BD1">
        <w:t>In this division:</w:t>
      </w:r>
    </w:p>
    <w:p w14:paraId="6517959A" w14:textId="77777777" w:rsidR="00D94935" w:rsidRPr="00403BD1" w:rsidRDefault="00D94935" w:rsidP="00D94935">
      <w:pPr>
        <w:pStyle w:val="aDef"/>
        <w:keepNext/>
      </w:pPr>
      <w:r w:rsidRPr="000F5994">
        <w:rPr>
          <w:rStyle w:val="charBoldItals"/>
        </w:rPr>
        <w:t>additional authority</w:t>
      </w:r>
      <w:r w:rsidRPr="00403BD1">
        <w:t>, for a convention country, means an authority that is—</w:t>
      </w:r>
    </w:p>
    <w:p w14:paraId="54D31693" w14:textId="77777777"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14:paraId="4115F93E" w14:textId="77777777" w:rsidR="00D94935" w:rsidRPr="00403BD1" w:rsidRDefault="00D94935" w:rsidP="00D94935">
      <w:pPr>
        <w:pStyle w:val="aDefpara"/>
      </w:pPr>
      <w:r w:rsidRPr="00403BD1">
        <w:lastRenderedPageBreak/>
        <w:tab/>
        <w:t>(b)</w:t>
      </w:r>
      <w:r w:rsidRPr="00403BD1">
        <w:tab/>
        <w:t>competent to receive requests for service abroad emanating from Australia.</w:t>
      </w:r>
    </w:p>
    <w:p w14:paraId="03079253" w14:textId="77777777" w:rsidR="00D94935" w:rsidRPr="00403BD1" w:rsidRDefault="00D94935" w:rsidP="00D94935">
      <w:pPr>
        <w:pStyle w:val="aDef"/>
      </w:pPr>
      <w:r w:rsidRPr="000F5994">
        <w:rPr>
          <w:rStyle w:val="charBoldItals"/>
        </w:rPr>
        <w:t>applicant</w:t>
      </w:r>
      <w:r w:rsidRPr="00403BD1">
        <w:t>, for a request for service abroad or a request for service in the ACT, means the person on whose behalf service is requested.</w:t>
      </w:r>
    </w:p>
    <w:p w14:paraId="5485229D" w14:textId="77777777"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14:paraId="128DBE2D" w14:textId="77777777"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14:paraId="62C5865C" w14:textId="77777777"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14:paraId="4EC0523C" w14:textId="77777777"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14:paraId="431FA755" w14:textId="77777777"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14:paraId="3063320F" w14:textId="77777777"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14:paraId="68843C8B" w14:textId="77777777" w:rsidR="00D94935" w:rsidRPr="00403BD1" w:rsidRDefault="00D94935" w:rsidP="00D94935">
      <w:pPr>
        <w:pStyle w:val="aDef"/>
      </w:pPr>
      <w:r w:rsidRPr="000F5994">
        <w:rPr>
          <w:rStyle w:val="charBoldItals"/>
        </w:rPr>
        <w:t>forwarding authority</w:t>
      </w:r>
      <w:r w:rsidRPr="00403BD1">
        <w:t xml:space="preserve"> means—</w:t>
      </w:r>
    </w:p>
    <w:p w14:paraId="34138B32" w14:textId="77777777"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14:paraId="6CCFC9D0" w14:textId="77777777" w:rsidR="00D94935" w:rsidRPr="00403BD1" w:rsidRDefault="00D94935" w:rsidP="00D94935">
      <w:pPr>
        <w:pStyle w:val="aDefsubpara"/>
      </w:pPr>
      <w:r w:rsidRPr="00403BD1">
        <w:tab/>
        <w:t>(i)</w:t>
      </w:r>
      <w:r w:rsidRPr="00403BD1">
        <w:tab/>
        <w:t>sends the request; and</w:t>
      </w:r>
    </w:p>
    <w:p w14:paraId="7A7E29CB" w14:textId="77777777"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14:paraId="55164D0D" w14:textId="77777777" w:rsidR="00D94935" w:rsidRPr="00403BD1" w:rsidRDefault="00D94935" w:rsidP="00D94935">
      <w:pPr>
        <w:pStyle w:val="aDefpara"/>
      </w:pPr>
      <w:r w:rsidRPr="00403BD1">
        <w:lastRenderedPageBreak/>
        <w:tab/>
        <w:t>(b)</w:t>
      </w:r>
      <w:r w:rsidRPr="00403BD1">
        <w:tab/>
        <w:t>for a request for service of a local judicial document in a convention country—the registrar.</w:t>
      </w:r>
    </w:p>
    <w:p w14:paraId="5396D2C0" w14:textId="77777777" w:rsidR="00D94935" w:rsidRPr="00403BD1" w:rsidRDefault="00D94935" w:rsidP="00D94935">
      <w:pPr>
        <w:pStyle w:val="aDef"/>
      </w:pPr>
      <w:r w:rsidRPr="000F5994">
        <w:rPr>
          <w:rStyle w:val="charBoldItals"/>
        </w:rPr>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14:paraId="5C1FE039" w14:textId="77777777"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14:paraId="4DE9C7B1" w14:textId="77777777"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14:paraId="1C9EBB1A" w14:textId="77777777"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14:paraId="107C9A35" w14:textId="77777777" w:rsidR="00D94935" w:rsidRPr="003904A8" w:rsidRDefault="00D94935" w:rsidP="00D94935">
      <w:pPr>
        <w:pStyle w:val="aDef"/>
      </w:pPr>
      <w:r w:rsidRPr="000F5994">
        <w:rPr>
          <w:rStyle w:val="charBoldItals"/>
        </w:rPr>
        <w:t>registrar</w:t>
      </w:r>
      <w:r w:rsidRPr="003904A8">
        <w:t xml:space="preserve"> means the registrar of the Supreme Court.</w:t>
      </w:r>
    </w:p>
    <w:p w14:paraId="17349ADB" w14:textId="77777777"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14:paraId="58256E7E" w14:textId="77777777"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14:paraId="2F0CB4B0" w14:textId="77777777" w:rsidR="00D94935" w:rsidRPr="00403BD1" w:rsidRDefault="00D94935" w:rsidP="00D94935">
      <w:pPr>
        <w:pStyle w:val="AH5Sec"/>
      </w:pPr>
      <w:bookmarkStart w:id="1743" w:name="_Toc185515359"/>
      <w:r w:rsidRPr="00C8328B">
        <w:rPr>
          <w:rStyle w:val="CharSectNo"/>
        </w:rPr>
        <w:t>6551</w:t>
      </w:r>
      <w:r w:rsidRPr="00403BD1">
        <w:tab/>
        <w:t>Rules under this division prevail</w:t>
      </w:r>
      <w:bookmarkEnd w:id="1743"/>
    </w:p>
    <w:p w14:paraId="157C8068" w14:textId="77777777" w:rsidR="00D94935" w:rsidRPr="00403BD1" w:rsidRDefault="00D94935" w:rsidP="00D94935">
      <w:pPr>
        <w:pStyle w:val="Amainreturn"/>
      </w:pPr>
      <w:r w:rsidRPr="00403BD1">
        <w:t>If a rule under this division is inconsistent with another provision of these rules, the rule prevails to the extent of the inconsistency.</w:t>
      </w:r>
    </w:p>
    <w:p w14:paraId="6456DFA9" w14:textId="77777777" w:rsidR="00D94935" w:rsidRPr="00403BD1" w:rsidRDefault="00D94935" w:rsidP="00D94935">
      <w:pPr>
        <w:pStyle w:val="AH4SubDiv"/>
      </w:pPr>
      <w:bookmarkStart w:id="1744" w:name="_Toc185515360"/>
      <w:r w:rsidRPr="00403BD1">
        <w:lastRenderedPageBreak/>
        <w:t>Subdivision 6.8.12.2</w:t>
      </w:r>
      <w:r w:rsidRPr="00403BD1">
        <w:tab/>
        <w:t>Service abroad of local judicial documents</w:t>
      </w:r>
      <w:bookmarkEnd w:id="1744"/>
    </w:p>
    <w:p w14:paraId="73CF33FA" w14:textId="77777777" w:rsidR="00D94935" w:rsidRPr="00403BD1" w:rsidRDefault="00D94935" w:rsidP="00D94935">
      <w:pPr>
        <w:pStyle w:val="AH5Sec"/>
      </w:pPr>
      <w:bookmarkStart w:id="1745" w:name="_Toc185515361"/>
      <w:r w:rsidRPr="00C8328B">
        <w:rPr>
          <w:rStyle w:val="CharSectNo"/>
        </w:rPr>
        <w:t>6552</w:t>
      </w:r>
      <w:r w:rsidRPr="00403BD1">
        <w:tab/>
        <w:t>Application—subdiv 6.8.12.2</w:t>
      </w:r>
      <w:bookmarkEnd w:id="1745"/>
    </w:p>
    <w:p w14:paraId="6F09F900" w14:textId="77777777" w:rsidR="00D94935" w:rsidRPr="00403BD1" w:rsidRDefault="00D94935" w:rsidP="00C02EBD">
      <w:pPr>
        <w:pStyle w:val="Amain"/>
        <w:keepNext/>
      </w:pPr>
      <w:r w:rsidRPr="00403BD1">
        <w:tab/>
        <w:t>(1)</w:t>
      </w:r>
      <w:r w:rsidRPr="00403BD1">
        <w:tab/>
        <w:t>This subdivision applies to service of a local judicial document in a Hague Convention country.</w:t>
      </w:r>
    </w:p>
    <w:p w14:paraId="6CA26684" w14:textId="77777777"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14:paraId="2D43B6FD" w14:textId="77777777" w:rsidR="00D94935" w:rsidRPr="00403BD1" w:rsidRDefault="00D94935" w:rsidP="00D94935">
      <w:pPr>
        <w:pStyle w:val="AH5Sec"/>
      </w:pPr>
      <w:bookmarkStart w:id="1746" w:name="_Toc185515362"/>
      <w:r w:rsidRPr="00C8328B">
        <w:rPr>
          <w:rStyle w:val="CharSectNo"/>
        </w:rPr>
        <w:t>6553</w:t>
      </w:r>
      <w:r w:rsidRPr="00403BD1">
        <w:tab/>
        <w:t>Application for request for service abroad</w:t>
      </w:r>
      <w:bookmarkEnd w:id="1746"/>
    </w:p>
    <w:p w14:paraId="19CFC415" w14:textId="77777777"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14:paraId="52A207A2" w14:textId="77777777" w:rsidR="00D94935" w:rsidRPr="00403BD1" w:rsidRDefault="00D94935" w:rsidP="00D94935">
      <w:pPr>
        <w:pStyle w:val="Amain"/>
      </w:pPr>
      <w:r w:rsidRPr="00403BD1">
        <w:tab/>
        <w:t>(2)</w:t>
      </w:r>
      <w:r w:rsidRPr="00403BD1">
        <w:tab/>
        <w:t>The application must be accompanied by 3 copies of the following documents:</w:t>
      </w:r>
    </w:p>
    <w:p w14:paraId="2D0BBFEC" w14:textId="77777777" w:rsidR="00D94935" w:rsidRPr="00403BD1" w:rsidRDefault="00D94935" w:rsidP="00D94935">
      <w:pPr>
        <w:pStyle w:val="Apara"/>
      </w:pPr>
      <w:r w:rsidRPr="00403BD1">
        <w:tab/>
        <w:t>(a)</w:t>
      </w:r>
      <w:r w:rsidRPr="00403BD1">
        <w:tab/>
        <w:t>a draft request for service abroad;</w:t>
      </w:r>
    </w:p>
    <w:p w14:paraId="36CE940E" w14:textId="61BF5B4E"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6" w:history="1">
        <w:r w:rsidRPr="007713B6">
          <w:rPr>
            <w:rStyle w:val="charCitHyperlinkAbbrev"/>
          </w:rPr>
          <w:t>AF2009-149</w:t>
        </w:r>
      </w:hyperlink>
      <w:r w:rsidRPr="00403BD1">
        <w:t>.</w:t>
      </w:r>
    </w:p>
    <w:p w14:paraId="2E12B654" w14:textId="77777777" w:rsidR="00D94935" w:rsidRPr="00403BD1" w:rsidRDefault="00D94935" w:rsidP="00D94935">
      <w:pPr>
        <w:pStyle w:val="Apara"/>
      </w:pPr>
      <w:r w:rsidRPr="00403BD1">
        <w:tab/>
        <w:t>(b)</w:t>
      </w:r>
      <w:r w:rsidRPr="00403BD1">
        <w:tab/>
        <w:t>the document to be served;</w:t>
      </w:r>
    </w:p>
    <w:p w14:paraId="1EE974CE" w14:textId="77777777" w:rsidR="00D94935" w:rsidRPr="00403BD1" w:rsidRDefault="00D94935" w:rsidP="00D94935">
      <w:pPr>
        <w:pStyle w:val="Apara"/>
      </w:pPr>
      <w:r w:rsidRPr="00403BD1">
        <w:tab/>
        <w:t>(c)</w:t>
      </w:r>
      <w:r w:rsidRPr="00403BD1">
        <w:tab/>
        <w:t>a summary of the document to be served;</w:t>
      </w:r>
    </w:p>
    <w:p w14:paraId="7D32D6D4" w14:textId="04B2E4D2"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7" w:history="1">
        <w:r w:rsidR="001F65ED">
          <w:rPr>
            <w:rStyle w:val="charCitHyperlinkAbbrev"/>
          </w:rPr>
          <w:t>AF2019-61</w:t>
        </w:r>
      </w:hyperlink>
      <w:r w:rsidRPr="00403BD1">
        <w:t>.</w:t>
      </w:r>
    </w:p>
    <w:p w14:paraId="2268749C" w14:textId="77777777"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14:paraId="1C4E463D" w14:textId="77777777" w:rsidR="00D94935" w:rsidRPr="00403BD1" w:rsidRDefault="00D94935" w:rsidP="00D94935">
      <w:pPr>
        <w:pStyle w:val="Amain"/>
      </w:pPr>
      <w:r w:rsidRPr="00403BD1">
        <w:lastRenderedPageBreak/>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14:paraId="01E9432B" w14:textId="77777777" w:rsidR="00D94935" w:rsidRPr="00403BD1" w:rsidRDefault="00D94935" w:rsidP="00D94935">
      <w:pPr>
        <w:pStyle w:val="Apara"/>
      </w:pPr>
      <w:r w:rsidRPr="00403BD1">
        <w:tab/>
        <w:t>(a)</w:t>
      </w:r>
      <w:r w:rsidRPr="00403BD1">
        <w:tab/>
        <w:t>to be personally liable for all costs that are incurred—</w:t>
      </w:r>
    </w:p>
    <w:p w14:paraId="6CC27427" w14:textId="77777777"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14:paraId="7AEEEA76" w14:textId="77777777" w:rsidR="00D94935" w:rsidRPr="00403BD1" w:rsidRDefault="00D94935" w:rsidP="00D94935">
      <w:pPr>
        <w:pStyle w:val="Asubpara"/>
      </w:pPr>
      <w:r w:rsidRPr="00403BD1">
        <w:tab/>
        <w:t>(ii)</w:t>
      </w:r>
      <w:r w:rsidRPr="00403BD1">
        <w:tab/>
        <w:t>by using any particular method of service that has been requested by the applicant for serving the documents to be served; and</w:t>
      </w:r>
    </w:p>
    <w:p w14:paraId="3AA5B02C" w14:textId="77777777"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14:paraId="016452D8" w14:textId="77777777" w:rsidR="00D94935" w:rsidRPr="00403BD1" w:rsidRDefault="00D94935" w:rsidP="00D94935">
      <w:pPr>
        <w:pStyle w:val="Apara"/>
      </w:pPr>
      <w:r w:rsidRPr="00403BD1">
        <w:tab/>
        <w:t>(c)</w:t>
      </w:r>
      <w:r w:rsidRPr="00403BD1">
        <w:tab/>
        <w:t>to give any security for the costs mentioned in paragraph (a) that the registrar may require.</w:t>
      </w:r>
    </w:p>
    <w:p w14:paraId="00CAC732" w14:textId="77777777" w:rsidR="00D94935" w:rsidRPr="00403BD1" w:rsidRDefault="00D94935" w:rsidP="00D94935">
      <w:pPr>
        <w:pStyle w:val="Amain"/>
      </w:pPr>
      <w:r w:rsidRPr="00403BD1">
        <w:tab/>
        <w:t>(4)</w:t>
      </w:r>
      <w:r w:rsidRPr="00403BD1">
        <w:tab/>
        <w:t>The draft request for service abroad—</w:t>
      </w:r>
    </w:p>
    <w:p w14:paraId="7E486868" w14:textId="77777777" w:rsidR="00D94935" w:rsidRPr="00403BD1" w:rsidRDefault="00D94935" w:rsidP="00D94935">
      <w:pPr>
        <w:pStyle w:val="Apara"/>
      </w:pPr>
      <w:r w:rsidRPr="00403BD1">
        <w:tab/>
        <w:t>(a)</w:t>
      </w:r>
      <w:r w:rsidRPr="00403BD1">
        <w:tab/>
        <w:t>must be completed (except for signature) by the applicant; and</w:t>
      </w:r>
    </w:p>
    <w:p w14:paraId="3ADA5FAB" w14:textId="77777777"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14:paraId="6694F46B" w14:textId="77777777"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14:paraId="7B7189C7" w14:textId="77777777"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14:paraId="4DBFA07C" w14:textId="77777777" w:rsidR="00D94935" w:rsidRPr="00403BD1" w:rsidRDefault="00D94935" w:rsidP="00D94935">
      <w:pPr>
        <w:pStyle w:val="Amain"/>
      </w:pPr>
      <w:r w:rsidRPr="00403BD1">
        <w:lastRenderedPageBreak/>
        <w:tab/>
        <w:t>(5)</w:t>
      </w:r>
      <w:r w:rsidRPr="00403BD1">
        <w:tab/>
        <w:t>A translation required under subrule (2) (d) must bear a certificate (in English and the language used in the translation) signed by the translator stating—</w:t>
      </w:r>
    </w:p>
    <w:p w14:paraId="4B7CA55D" w14:textId="77777777" w:rsidR="00D94935" w:rsidRPr="00403BD1" w:rsidRDefault="00D94935" w:rsidP="00D94935">
      <w:pPr>
        <w:pStyle w:val="Apara"/>
      </w:pPr>
      <w:r w:rsidRPr="00403BD1">
        <w:tab/>
        <w:t>(a)</w:t>
      </w:r>
      <w:r w:rsidRPr="00403BD1">
        <w:tab/>
        <w:t>that the translation is an accurate translation of the documents to be served; and</w:t>
      </w:r>
    </w:p>
    <w:p w14:paraId="07E0C558" w14:textId="77777777" w:rsidR="00D94935" w:rsidRPr="00403BD1" w:rsidRDefault="00D94935" w:rsidP="00D94935">
      <w:pPr>
        <w:pStyle w:val="Apara"/>
      </w:pPr>
      <w:r w:rsidRPr="00403BD1">
        <w:tab/>
        <w:t>(b)</w:t>
      </w:r>
      <w:r w:rsidRPr="00403BD1">
        <w:tab/>
        <w:t>the translator’s full name, address and qualifications for making the translation.</w:t>
      </w:r>
    </w:p>
    <w:p w14:paraId="54FF6B4D" w14:textId="77777777" w:rsidR="00D94935" w:rsidRPr="00403BD1" w:rsidRDefault="00D94935" w:rsidP="00D94935">
      <w:pPr>
        <w:pStyle w:val="AH5Sec"/>
      </w:pPr>
      <w:bookmarkStart w:id="1747" w:name="_Toc185515363"/>
      <w:r w:rsidRPr="00C8328B">
        <w:rPr>
          <w:rStyle w:val="CharSectNo"/>
        </w:rPr>
        <w:t>6554</w:t>
      </w:r>
      <w:r w:rsidRPr="00403BD1">
        <w:tab/>
        <w:t>How application to be dealt with</w:t>
      </w:r>
      <w:bookmarkEnd w:id="1747"/>
    </w:p>
    <w:p w14:paraId="65C45ADD" w14:textId="77777777" w:rsidR="00D94935" w:rsidRPr="00403BD1" w:rsidRDefault="00D94935" w:rsidP="00D94935">
      <w:pPr>
        <w:pStyle w:val="Amain"/>
      </w:pPr>
      <w:r w:rsidRPr="00403BD1">
        <w:tab/>
        <w:t>(1)</w:t>
      </w:r>
      <w:r w:rsidRPr="00403BD1">
        <w:tab/>
        <w:t>The registrar must, if satisfied that an application and its accompanying documents comply with rule 6553—</w:t>
      </w:r>
    </w:p>
    <w:p w14:paraId="38DEADB9" w14:textId="77777777" w:rsidR="00D94935" w:rsidRPr="00403BD1" w:rsidRDefault="00D94935" w:rsidP="00D94935">
      <w:pPr>
        <w:pStyle w:val="Apara"/>
      </w:pPr>
      <w:r w:rsidRPr="00403BD1">
        <w:tab/>
        <w:t>(a)</w:t>
      </w:r>
      <w:r w:rsidRPr="00403BD1">
        <w:tab/>
        <w:t>sign the request for service abroad; and</w:t>
      </w:r>
    </w:p>
    <w:p w14:paraId="51BB5917" w14:textId="77777777" w:rsidR="00D94935" w:rsidRPr="00403BD1" w:rsidRDefault="00D94935" w:rsidP="00D94935">
      <w:pPr>
        <w:pStyle w:val="Apara"/>
      </w:pPr>
      <w:r w:rsidRPr="00403BD1">
        <w:tab/>
        <w:t>(b)</w:t>
      </w:r>
      <w:r w:rsidRPr="00403BD1">
        <w:tab/>
        <w:t>send 2 copies of the relevant documents—</w:t>
      </w:r>
    </w:p>
    <w:p w14:paraId="1B559AC1" w14:textId="77777777"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14:paraId="3E1E97F5" w14:textId="77777777"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14:paraId="36B87489" w14:textId="77777777"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14:paraId="5D5B8023" w14:textId="77777777" w:rsidR="00D94935" w:rsidRPr="00403BD1" w:rsidRDefault="00D94935" w:rsidP="00D94935">
      <w:pPr>
        <w:pStyle w:val="Amain"/>
        <w:keepNext/>
      </w:pPr>
      <w:r w:rsidRPr="00403BD1">
        <w:tab/>
        <w:t>(3)</w:t>
      </w:r>
      <w:r w:rsidRPr="00403BD1">
        <w:tab/>
        <w:t>In this section:</w:t>
      </w:r>
    </w:p>
    <w:p w14:paraId="1A4FACCA" w14:textId="77777777" w:rsidR="00D94935" w:rsidRPr="00403BD1" w:rsidRDefault="00D94935" w:rsidP="00D94935">
      <w:pPr>
        <w:pStyle w:val="aDef"/>
        <w:keepNext/>
      </w:pPr>
      <w:r w:rsidRPr="000F5994">
        <w:rPr>
          <w:rStyle w:val="charBoldItals"/>
        </w:rPr>
        <w:t>relevant documents</w:t>
      </w:r>
      <w:r w:rsidRPr="00403BD1">
        <w:t xml:space="preserve"> means the following:</w:t>
      </w:r>
    </w:p>
    <w:p w14:paraId="7DA46E56" w14:textId="77777777" w:rsidR="00D94935" w:rsidRPr="00403BD1" w:rsidRDefault="00D94935" w:rsidP="00D94935">
      <w:pPr>
        <w:pStyle w:val="aDefpara"/>
      </w:pPr>
      <w:r w:rsidRPr="00403BD1">
        <w:tab/>
        <w:t>(a)</w:t>
      </w:r>
      <w:r w:rsidRPr="00403BD1">
        <w:tab/>
        <w:t>the signed request for service abroad;</w:t>
      </w:r>
    </w:p>
    <w:p w14:paraId="2829D8D9" w14:textId="77777777" w:rsidR="00D94935" w:rsidRPr="00403BD1" w:rsidRDefault="00D94935" w:rsidP="00D94935">
      <w:pPr>
        <w:pStyle w:val="aDefpara"/>
      </w:pPr>
      <w:r w:rsidRPr="00403BD1">
        <w:tab/>
        <w:t>(b)</w:t>
      </w:r>
      <w:r w:rsidRPr="00403BD1">
        <w:tab/>
        <w:t>the document to be served;</w:t>
      </w:r>
    </w:p>
    <w:p w14:paraId="6870BD31" w14:textId="77777777" w:rsidR="00D94935" w:rsidRPr="00403BD1" w:rsidRDefault="00D94935" w:rsidP="00D94935">
      <w:pPr>
        <w:pStyle w:val="aDefpara"/>
      </w:pPr>
      <w:r w:rsidRPr="00403BD1">
        <w:tab/>
        <w:t>(c)</w:t>
      </w:r>
      <w:r w:rsidRPr="00403BD1">
        <w:tab/>
        <w:t xml:space="preserve">the summary of the document to be served; </w:t>
      </w:r>
    </w:p>
    <w:p w14:paraId="48170220" w14:textId="77777777" w:rsidR="00D94935" w:rsidRPr="00403BD1" w:rsidRDefault="00D94935" w:rsidP="00D94935">
      <w:pPr>
        <w:pStyle w:val="aDefpara"/>
      </w:pPr>
      <w:r w:rsidRPr="00403BD1">
        <w:lastRenderedPageBreak/>
        <w:tab/>
        <w:t>(d)</w:t>
      </w:r>
      <w:r w:rsidRPr="00403BD1">
        <w:tab/>
        <w:t>if a translation is required under rule 6553 (2) (d), each translation of the documents mentioned in paragraphs (a) and (b).</w:t>
      </w:r>
    </w:p>
    <w:p w14:paraId="35B97319" w14:textId="77777777" w:rsidR="00D94935" w:rsidRPr="00403BD1" w:rsidRDefault="00D94935" w:rsidP="00D94935">
      <w:pPr>
        <w:pStyle w:val="AH5Sec"/>
      </w:pPr>
      <w:bookmarkStart w:id="1748" w:name="_Toc185515364"/>
      <w:r w:rsidRPr="00C8328B">
        <w:rPr>
          <w:rStyle w:val="CharSectNo"/>
        </w:rPr>
        <w:t>6555</w:t>
      </w:r>
      <w:r w:rsidRPr="00403BD1">
        <w:tab/>
        <w:t>Procedure on receipt of certificate of service</w:t>
      </w:r>
      <w:bookmarkEnd w:id="1748"/>
    </w:p>
    <w:p w14:paraId="26814805" w14:textId="77777777"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14:paraId="48B4BBA9" w14:textId="77777777" w:rsidR="00D94935" w:rsidRPr="00403BD1" w:rsidRDefault="00D94935" w:rsidP="00D94935">
      <w:pPr>
        <w:pStyle w:val="Apara"/>
      </w:pPr>
      <w:r w:rsidRPr="00403BD1">
        <w:tab/>
        <w:t>(a)</w:t>
      </w:r>
      <w:r w:rsidRPr="00403BD1">
        <w:tab/>
        <w:t>arrange for the original certificate to be filed in the proceeding to which the document relates; and</w:t>
      </w:r>
    </w:p>
    <w:p w14:paraId="5890260C" w14:textId="77777777" w:rsidR="00D94935" w:rsidRPr="00403BD1" w:rsidRDefault="00D94935" w:rsidP="00D94935">
      <w:pPr>
        <w:pStyle w:val="Apara"/>
      </w:pPr>
      <w:r w:rsidRPr="00403BD1">
        <w:tab/>
        <w:t>(b)</w:t>
      </w:r>
      <w:r w:rsidRPr="00403BD1">
        <w:tab/>
        <w:t>send a copy of the certificate to—</w:t>
      </w:r>
    </w:p>
    <w:p w14:paraId="2D108A87" w14:textId="77777777"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14:paraId="6E9F33A8" w14:textId="77777777" w:rsidR="00D94935" w:rsidRPr="00403BD1" w:rsidRDefault="00D94935" w:rsidP="00D94935">
      <w:pPr>
        <w:pStyle w:val="Asubpara"/>
      </w:pPr>
      <w:r w:rsidRPr="00403BD1">
        <w:tab/>
        <w:t>(ii)</w:t>
      </w:r>
      <w:r w:rsidRPr="00403BD1">
        <w:tab/>
        <w:t>if there is not a legal practitioner on the record for the applicant in the proceeding—the applicant.</w:t>
      </w:r>
    </w:p>
    <w:p w14:paraId="6C8DB355" w14:textId="77777777" w:rsidR="00D94935" w:rsidRPr="00403BD1" w:rsidRDefault="00D94935" w:rsidP="00D94935">
      <w:pPr>
        <w:pStyle w:val="Amain"/>
      </w:pPr>
      <w:r w:rsidRPr="00403BD1">
        <w:tab/>
        <w:t>(2)</w:t>
      </w:r>
      <w:r w:rsidRPr="00403BD1">
        <w:tab/>
        <w:t>For subrule (1), a certificate of service is in due form if—</w:t>
      </w:r>
    </w:p>
    <w:p w14:paraId="1325B519" w14:textId="77777777" w:rsidR="00D94935" w:rsidRDefault="00D94935" w:rsidP="00D94935">
      <w:pPr>
        <w:pStyle w:val="Apara"/>
      </w:pPr>
      <w:r w:rsidRPr="00403BD1">
        <w:tab/>
        <w:t>(a)</w:t>
      </w:r>
      <w:r w:rsidRPr="00403BD1">
        <w:tab/>
        <w:t>the certificate is in accordance with approved form 6.21, part 2; and</w:t>
      </w:r>
    </w:p>
    <w:p w14:paraId="28A1453E" w14:textId="68C263F7"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8" w:history="1">
        <w:r w:rsidRPr="007713B6">
          <w:rPr>
            <w:rStyle w:val="charCitHyperlinkAbbrev"/>
          </w:rPr>
          <w:t>AF2009-149</w:t>
        </w:r>
      </w:hyperlink>
      <w:r>
        <w:t>.</w:t>
      </w:r>
    </w:p>
    <w:p w14:paraId="4DEA281A" w14:textId="77777777"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14:paraId="2B113959" w14:textId="77777777"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14:paraId="4ED1E53F" w14:textId="77777777" w:rsidR="00D94935" w:rsidRPr="00403BD1" w:rsidRDefault="00D94935" w:rsidP="00C02EBD">
      <w:pPr>
        <w:pStyle w:val="Amain"/>
        <w:keepNext/>
        <w:keepLines/>
      </w:pPr>
      <w:r w:rsidRPr="00403BD1">
        <w:lastRenderedPageBreak/>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14:paraId="65547A86" w14:textId="77777777" w:rsidR="00D94935" w:rsidRPr="00403BD1" w:rsidRDefault="00D94935" w:rsidP="007B42FE">
      <w:pPr>
        <w:pStyle w:val="Amain"/>
        <w:keepNext/>
      </w:pPr>
      <w:r w:rsidRPr="00403BD1">
        <w:tab/>
        <w:t>(4)</w:t>
      </w:r>
      <w:r w:rsidRPr="00403BD1">
        <w:tab/>
        <w:t>For subrule (3), a statement of costs is in due form if it—</w:t>
      </w:r>
    </w:p>
    <w:p w14:paraId="74ED624F" w14:textId="77777777" w:rsidR="00D94935" w:rsidRPr="00403BD1" w:rsidRDefault="00D94935" w:rsidP="002C5E67">
      <w:pPr>
        <w:pStyle w:val="Apara"/>
        <w:keepNext/>
      </w:pPr>
      <w:r w:rsidRPr="00403BD1">
        <w:tab/>
        <w:t>(a)</w:t>
      </w:r>
      <w:r w:rsidRPr="00403BD1">
        <w:tab/>
        <w:t>relates only to costs of a kind mentioned in rule 6553 (3) (a); and</w:t>
      </w:r>
    </w:p>
    <w:p w14:paraId="51E165A9" w14:textId="77777777"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14:paraId="4F05F310" w14:textId="77777777" w:rsidR="00D94935" w:rsidRPr="00403BD1" w:rsidRDefault="00D94935" w:rsidP="00D94935">
      <w:pPr>
        <w:pStyle w:val="Amain"/>
      </w:pPr>
      <w:r w:rsidRPr="00403BD1">
        <w:tab/>
        <w:t>(5)</w:t>
      </w:r>
      <w:r w:rsidRPr="00403BD1">
        <w:tab/>
        <w:t>Subrule (1) does not apply unless—</w:t>
      </w:r>
    </w:p>
    <w:p w14:paraId="324A9184" w14:textId="77777777" w:rsidR="00D94935" w:rsidRPr="00403BD1" w:rsidRDefault="00D94935" w:rsidP="00D94935">
      <w:pPr>
        <w:pStyle w:val="Apara"/>
      </w:pPr>
      <w:r w:rsidRPr="00403BD1">
        <w:tab/>
        <w:t>(a)</w:t>
      </w:r>
      <w:r w:rsidRPr="00403BD1">
        <w:tab/>
        <w:t>adequate security to cover the costs mentioned in subrule (3) has been given under rule 6553 (3) (c); or</w:t>
      </w:r>
    </w:p>
    <w:p w14:paraId="71BD5396" w14:textId="77777777"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14:paraId="073C8B25" w14:textId="77777777" w:rsidR="00D94935" w:rsidRPr="00403BD1" w:rsidRDefault="00D94935" w:rsidP="00D94935">
      <w:pPr>
        <w:pStyle w:val="AH5Sec"/>
      </w:pPr>
      <w:bookmarkStart w:id="1749" w:name="_Toc185515365"/>
      <w:r w:rsidRPr="00C8328B">
        <w:rPr>
          <w:rStyle w:val="CharSectNo"/>
        </w:rPr>
        <w:t>6556</w:t>
      </w:r>
      <w:r w:rsidRPr="00403BD1">
        <w:tab/>
        <w:t>Payment of costs</w:t>
      </w:r>
      <w:bookmarkEnd w:id="1749"/>
    </w:p>
    <w:p w14:paraId="38B2C26A" w14:textId="77777777"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14:paraId="3CD92A49" w14:textId="77777777"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14:paraId="7237FAD3" w14:textId="77777777"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14:paraId="689E555B" w14:textId="77777777" w:rsidR="00D94935" w:rsidRPr="00403BD1" w:rsidRDefault="00D94935" w:rsidP="00D94935">
      <w:pPr>
        <w:pStyle w:val="Apara"/>
      </w:pPr>
      <w:r w:rsidRPr="00403BD1">
        <w:tab/>
        <w:t>(b)</w:t>
      </w:r>
      <w:r w:rsidRPr="00403BD1">
        <w:tab/>
        <w:t>the registrar may take appropriate steps to enforce the undertaking for payment of the costs.</w:t>
      </w:r>
    </w:p>
    <w:p w14:paraId="1D3D62B2" w14:textId="77777777" w:rsidR="00D94935" w:rsidRPr="00403BD1" w:rsidRDefault="00D94935" w:rsidP="00D94935">
      <w:pPr>
        <w:pStyle w:val="AH5Sec"/>
      </w:pPr>
      <w:bookmarkStart w:id="1750" w:name="_Toc185515366"/>
      <w:r w:rsidRPr="00C8328B">
        <w:rPr>
          <w:rStyle w:val="CharSectNo"/>
        </w:rPr>
        <w:lastRenderedPageBreak/>
        <w:t>6557</w:t>
      </w:r>
      <w:r w:rsidRPr="00403BD1">
        <w:tab/>
        <w:t>Evidence of service</w:t>
      </w:r>
      <w:bookmarkEnd w:id="1750"/>
    </w:p>
    <w:p w14:paraId="570009F3" w14:textId="77777777"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14:paraId="378A8D77" w14:textId="77777777"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14:paraId="5961CE11" w14:textId="77777777" w:rsidR="00D94935" w:rsidRPr="00403BD1" w:rsidRDefault="00D94935" w:rsidP="00D94935">
      <w:pPr>
        <w:pStyle w:val="Apara"/>
      </w:pPr>
      <w:r w:rsidRPr="00403BD1">
        <w:tab/>
        <w:t>(b)</w:t>
      </w:r>
      <w:r w:rsidRPr="00403BD1">
        <w:tab/>
        <w:t>if the method of service was requested by the applicant, the method is compatible with the law in force in the Hague Convention country in which the document was served.</w:t>
      </w:r>
    </w:p>
    <w:p w14:paraId="182B5917" w14:textId="77777777" w:rsidR="00D94935" w:rsidRPr="00403BD1" w:rsidRDefault="00D94935" w:rsidP="00D94935">
      <w:pPr>
        <w:pStyle w:val="AH4SubDiv"/>
      </w:pPr>
      <w:bookmarkStart w:id="1751" w:name="_Toc185515367"/>
      <w:r w:rsidRPr="00403BD1">
        <w:t>Subdivision 6.8.12.3</w:t>
      </w:r>
      <w:r w:rsidRPr="00403BD1">
        <w:tab/>
        <w:t>Default judgment following service abroad of initiating process</w:t>
      </w:r>
      <w:bookmarkEnd w:id="1751"/>
    </w:p>
    <w:p w14:paraId="520584F2" w14:textId="77777777" w:rsidR="00D94935" w:rsidRPr="00403BD1" w:rsidRDefault="00D94935" w:rsidP="00D94935">
      <w:pPr>
        <w:pStyle w:val="AH5Sec"/>
      </w:pPr>
      <w:bookmarkStart w:id="1752" w:name="_Toc185515368"/>
      <w:r w:rsidRPr="00C8328B">
        <w:rPr>
          <w:rStyle w:val="CharSectNo"/>
        </w:rPr>
        <w:t>6558</w:t>
      </w:r>
      <w:r w:rsidRPr="00403BD1">
        <w:tab/>
        <w:t>Application—subdiv 6.8.12.3</w:t>
      </w:r>
      <w:bookmarkEnd w:id="1752"/>
    </w:p>
    <w:p w14:paraId="38CA1D98" w14:textId="77777777"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14:paraId="3CDE165A" w14:textId="77777777" w:rsidR="00D94935" w:rsidRPr="00403BD1" w:rsidRDefault="00D94935" w:rsidP="00D94935">
      <w:pPr>
        <w:pStyle w:val="AH5Sec"/>
      </w:pPr>
      <w:bookmarkStart w:id="1753" w:name="_Toc185515369"/>
      <w:r w:rsidRPr="00C8328B">
        <w:rPr>
          <w:rStyle w:val="CharSectNo"/>
        </w:rPr>
        <w:t>6559</w:t>
      </w:r>
      <w:r w:rsidRPr="00403BD1">
        <w:tab/>
        <w:t>Restriction on power to enter default judgment if certificate of service filed</w:t>
      </w:r>
      <w:bookmarkEnd w:id="1753"/>
    </w:p>
    <w:p w14:paraId="2F0C5523" w14:textId="77777777" w:rsidR="00D94935" w:rsidRPr="00403BD1" w:rsidRDefault="00D94935" w:rsidP="00D94935">
      <w:pPr>
        <w:pStyle w:val="Amain"/>
      </w:pPr>
      <w:r w:rsidRPr="00403BD1">
        <w:tab/>
        <w:t>(1)</w:t>
      </w:r>
      <w:r w:rsidRPr="00403BD1">
        <w:tab/>
        <w:t>This rule applies if—</w:t>
      </w:r>
    </w:p>
    <w:p w14:paraId="072ADC69" w14:textId="77777777"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14:paraId="12566092" w14:textId="77777777" w:rsidR="00D94935" w:rsidRPr="00403BD1" w:rsidRDefault="00D94935" w:rsidP="00D94935">
      <w:pPr>
        <w:pStyle w:val="Apara"/>
      </w:pPr>
      <w:r w:rsidRPr="00403BD1">
        <w:tab/>
        <w:t>(b)</w:t>
      </w:r>
      <w:r w:rsidRPr="00403BD1">
        <w:tab/>
        <w:t>the defendant in the proceeding has not filed a notice of intention to respond or defence.</w:t>
      </w:r>
    </w:p>
    <w:p w14:paraId="16C36BE7" w14:textId="77777777" w:rsidR="00D94935" w:rsidRPr="00403BD1" w:rsidRDefault="00D94935" w:rsidP="007B42FE">
      <w:pPr>
        <w:pStyle w:val="Amain"/>
        <w:keepNext/>
      </w:pPr>
      <w:r w:rsidRPr="00403BD1">
        <w:lastRenderedPageBreak/>
        <w:tab/>
        <w:t>(2)</w:t>
      </w:r>
      <w:r w:rsidRPr="00403BD1">
        <w:tab/>
        <w:t>The court must not enter default judgment against the defendant unless satisfied that—</w:t>
      </w:r>
    </w:p>
    <w:p w14:paraId="620F2C7F" w14:textId="77777777" w:rsidR="00D94935" w:rsidRPr="00403BD1" w:rsidRDefault="00D94935" w:rsidP="007B42FE">
      <w:pPr>
        <w:pStyle w:val="Apara"/>
        <w:keepNext/>
      </w:pPr>
      <w:r w:rsidRPr="00403BD1">
        <w:tab/>
        <w:t>(a)</w:t>
      </w:r>
      <w:r w:rsidRPr="00403BD1">
        <w:tab/>
        <w:t>the initiating process was served on the defendant—</w:t>
      </w:r>
    </w:p>
    <w:p w14:paraId="7B2AEB16" w14:textId="77777777"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14:paraId="38899ADC" w14:textId="77777777" w:rsidR="00D94935" w:rsidRPr="00403BD1" w:rsidRDefault="00D94935" w:rsidP="00D94935">
      <w:pPr>
        <w:pStyle w:val="Asubpara"/>
      </w:pPr>
      <w:r w:rsidRPr="00403BD1">
        <w:tab/>
        <w:t>(ii)</w:t>
      </w:r>
      <w:r w:rsidRPr="00403BD1">
        <w:tab/>
        <w:t>by a particular method of service—</w:t>
      </w:r>
    </w:p>
    <w:p w14:paraId="1206CB1B" w14:textId="77777777" w:rsidR="00D94935" w:rsidRPr="00403BD1" w:rsidRDefault="00D94935" w:rsidP="00D94935">
      <w:pPr>
        <w:pStyle w:val="Asubsubpara"/>
      </w:pPr>
      <w:r w:rsidRPr="00403BD1">
        <w:tab/>
        <w:t>(A)</w:t>
      </w:r>
      <w:r w:rsidRPr="00403BD1">
        <w:tab/>
        <w:t>that the applicant requested; and</w:t>
      </w:r>
    </w:p>
    <w:p w14:paraId="29AA94D7" w14:textId="77777777" w:rsidR="00D94935" w:rsidRPr="00403BD1" w:rsidRDefault="00D94935" w:rsidP="00D94935">
      <w:pPr>
        <w:pStyle w:val="Asubsubpara"/>
      </w:pPr>
      <w:r w:rsidRPr="00403BD1">
        <w:tab/>
        <w:t>(B)</w:t>
      </w:r>
      <w:r w:rsidRPr="00403BD1">
        <w:tab/>
        <w:t>under which the document was delivered to the defendant or the defendant’s home; and</w:t>
      </w:r>
    </w:p>
    <w:p w14:paraId="101CC144" w14:textId="77777777"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14:paraId="3A2F1A48" w14:textId="77777777"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14:paraId="3C10080F" w14:textId="77777777"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14:paraId="4E12015D" w14:textId="77777777" w:rsidR="00D94935" w:rsidRPr="00403BD1" w:rsidRDefault="00D94935" w:rsidP="00D94935">
      <w:pPr>
        <w:pStyle w:val="Amain"/>
      </w:pPr>
      <w:r w:rsidRPr="00403BD1">
        <w:tab/>
        <w:t>(3)</w:t>
      </w:r>
      <w:r w:rsidRPr="00403BD1">
        <w:tab/>
        <w:t>In this rule:</w:t>
      </w:r>
    </w:p>
    <w:p w14:paraId="23CB256D" w14:textId="77777777" w:rsidR="00D94935" w:rsidRPr="00403BD1" w:rsidRDefault="00D94935" w:rsidP="00D94935">
      <w:pPr>
        <w:pStyle w:val="aDef"/>
      </w:pPr>
      <w:r w:rsidRPr="000F5994">
        <w:rPr>
          <w:rStyle w:val="charBoldItals"/>
        </w:rPr>
        <w:t>sufficient time</w:t>
      </w:r>
      <w:r w:rsidRPr="00403BD1">
        <w:t xml:space="preserve"> means—</w:t>
      </w:r>
    </w:p>
    <w:p w14:paraId="43679BDE" w14:textId="77777777"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14:paraId="78D3623F" w14:textId="77777777"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14:paraId="606CF97B" w14:textId="77777777" w:rsidR="00D94935" w:rsidRPr="00403BD1" w:rsidRDefault="00D94935" w:rsidP="00D94935">
      <w:pPr>
        <w:pStyle w:val="AH5Sec"/>
      </w:pPr>
      <w:bookmarkStart w:id="1754" w:name="_Toc185515370"/>
      <w:r w:rsidRPr="00C8328B">
        <w:rPr>
          <w:rStyle w:val="CharSectNo"/>
        </w:rPr>
        <w:lastRenderedPageBreak/>
        <w:t>6560</w:t>
      </w:r>
      <w:r w:rsidRPr="00403BD1">
        <w:tab/>
        <w:t>Restriction on power to enter default judgment if certificate of service not filed</w:t>
      </w:r>
      <w:bookmarkEnd w:id="1754"/>
    </w:p>
    <w:p w14:paraId="4FABC16B" w14:textId="77777777" w:rsidR="00D94935" w:rsidRPr="00403BD1" w:rsidRDefault="00D94935" w:rsidP="00D94935">
      <w:pPr>
        <w:pStyle w:val="Amain"/>
      </w:pPr>
      <w:r w:rsidRPr="00403BD1">
        <w:tab/>
        <w:t>(1)</w:t>
      </w:r>
      <w:r w:rsidRPr="00403BD1">
        <w:tab/>
        <w:t>This rule applies if—</w:t>
      </w:r>
    </w:p>
    <w:p w14:paraId="0B2808A1" w14:textId="77777777" w:rsidR="00D94935" w:rsidRPr="00403BD1" w:rsidRDefault="00D94935" w:rsidP="00D94935">
      <w:pPr>
        <w:pStyle w:val="Apara"/>
      </w:pPr>
      <w:r w:rsidRPr="00403BD1">
        <w:tab/>
        <w:t>(a)</w:t>
      </w:r>
      <w:r w:rsidRPr="00403BD1">
        <w:tab/>
        <w:t>a certificate of service of initiating process in due form under rule 6555 (2) is either—</w:t>
      </w:r>
    </w:p>
    <w:p w14:paraId="19DFCB67" w14:textId="77777777" w:rsidR="00D94935" w:rsidRPr="00403BD1" w:rsidRDefault="00D94935" w:rsidP="00D94935">
      <w:pPr>
        <w:pStyle w:val="Asubpara"/>
      </w:pPr>
      <w:r w:rsidRPr="00403BD1">
        <w:tab/>
        <w:t>(i)</w:t>
      </w:r>
      <w:r w:rsidRPr="00403BD1">
        <w:tab/>
        <w:t>not filed in a proceeding; or</w:t>
      </w:r>
    </w:p>
    <w:p w14:paraId="398AE9C3" w14:textId="77777777" w:rsidR="00D94935" w:rsidRPr="00403BD1" w:rsidRDefault="00D94935" w:rsidP="00D94935">
      <w:pPr>
        <w:pStyle w:val="Asubpara"/>
      </w:pPr>
      <w:r w:rsidRPr="00403BD1">
        <w:tab/>
        <w:t>(ii)</w:t>
      </w:r>
      <w:r w:rsidRPr="00403BD1">
        <w:tab/>
        <w:t>filed in a proceeding, but states that the initiating process has not been served; and</w:t>
      </w:r>
    </w:p>
    <w:p w14:paraId="2136B249" w14:textId="77777777" w:rsidR="00D94935" w:rsidRPr="00403BD1" w:rsidRDefault="00D94935" w:rsidP="00D94935">
      <w:pPr>
        <w:pStyle w:val="Apara"/>
      </w:pPr>
      <w:r w:rsidRPr="00403BD1">
        <w:tab/>
        <w:t>(b)</w:t>
      </w:r>
      <w:r w:rsidRPr="00403BD1">
        <w:tab/>
        <w:t>the defendant has not filed a notice of intention to respond or defence.</w:t>
      </w:r>
    </w:p>
    <w:p w14:paraId="4A626932" w14:textId="77777777" w:rsidR="00D94935" w:rsidRPr="00403BD1" w:rsidRDefault="00D94935" w:rsidP="00D94935">
      <w:pPr>
        <w:pStyle w:val="Amain"/>
      </w:pPr>
      <w:r w:rsidRPr="00403BD1">
        <w:tab/>
        <w:t>(2)</w:t>
      </w:r>
      <w:r w:rsidRPr="00403BD1">
        <w:tab/>
        <w:t>The court must not enter default judgment against the defendant unless satisfied that—</w:t>
      </w:r>
    </w:p>
    <w:p w14:paraId="3C6A725D" w14:textId="77777777"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14:paraId="5AB23366" w14:textId="77777777" w:rsidR="00D94935" w:rsidRPr="00403BD1" w:rsidRDefault="00D94935" w:rsidP="00D94935">
      <w:pPr>
        <w:pStyle w:val="Apara"/>
      </w:pPr>
      <w:r w:rsidRPr="00403BD1">
        <w:tab/>
        <w:t>(b)</w:t>
      </w:r>
      <w:r w:rsidRPr="00403BD1">
        <w:tab/>
        <w:t>a period has elapsed since the day the initiating process was sent that is—</w:t>
      </w:r>
    </w:p>
    <w:p w14:paraId="016AB330" w14:textId="77777777" w:rsidR="00D94935" w:rsidRPr="00403BD1" w:rsidRDefault="00D94935" w:rsidP="00D94935">
      <w:pPr>
        <w:pStyle w:val="Asubpara"/>
      </w:pPr>
      <w:r w:rsidRPr="00403BD1">
        <w:tab/>
        <w:t>(i)</w:t>
      </w:r>
      <w:r w:rsidRPr="00403BD1">
        <w:tab/>
        <w:t>adequate in the circumstances; and</w:t>
      </w:r>
    </w:p>
    <w:p w14:paraId="7568F7D3" w14:textId="77777777" w:rsidR="00D94935" w:rsidRPr="00403BD1" w:rsidRDefault="00D94935" w:rsidP="00D94935">
      <w:pPr>
        <w:pStyle w:val="Asubpara"/>
      </w:pPr>
      <w:r w:rsidRPr="00403BD1">
        <w:tab/>
        <w:t>(ii)</w:t>
      </w:r>
      <w:r w:rsidRPr="00403BD1">
        <w:tab/>
        <w:t>at least 6 months; and</w:t>
      </w:r>
    </w:p>
    <w:p w14:paraId="56F84D1E" w14:textId="77777777" w:rsidR="00D94935" w:rsidRPr="00403BD1" w:rsidRDefault="00D94935" w:rsidP="00D94935">
      <w:pPr>
        <w:pStyle w:val="Apara"/>
      </w:pPr>
      <w:r w:rsidRPr="00403BD1">
        <w:tab/>
        <w:t>(c)</w:t>
      </w:r>
      <w:r w:rsidRPr="00403BD1">
        <w:tab/>
        <w:t>all reasonable steps have been taken—</w:t>
      </w:r>
    </w:p>
    <w:p w14:paraId="0EB359D5" w14:textId="77777777" w:rsidR="00D94935" w:rsidRPr="00403BD1" w:rsidRDefault="00D94935" w:rsidP="00D94935">
      <w:pPr>
        <w:pStyle w:val="Asubpara"/>
      </w:pPr>
      <w:r w:rsidRPr="00403BD1">
        <w:tab/>
      </w:r>
      <w:r w:rsidRPr="003904A8">
        <w:t>(i)</w:t>
      </w:r>
      <w:r w:rsidRPr="003904A8">
        <w:tab/>
        <w:t>to serve the initiating process; or</w:t>
      </w:r>
      <w:r w:rsidRPr="00403BD1">
        <w:t xml:space="preserve"> </w:t>
      </w:r>
    </w:p>
    <w:p w14:paraId="118A035E" w14:textId="77777777"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14:paraId="76AFEF75" w14:textId="77777777" w:rsidR="00D94935" w:rsidRPr="00403BD1" w:rsidRDefault="00D94935" w:rsidP="00D94935">
      <w:pPr>
        <w:pStyle w:val="AH5Sec"/>
      </w:pPr>
      <w:bookmarkStart w:id="1755" w:name="_Toc185515371"/>
      <w:r w:rsidRPr="00C8328B">
        <w:rPr>
          <w:rStyle w:val="CharSectNo"/>
        </w:rPr>
        <w:lastRenderedPageBreak/>
        <w:t>6561</w:t>
      </w:r>
      <w:r w:rsidRPr="00403BD1">
        <w:tab/>
        <w:t>Setting aside default judgment</w:t>
      </w:r>
      <w:bookmarkEnd w:id="1755"/>
      <w:r w:rsidRPr="00403BD1">
        <w:t xml:space="preserve"> </w:t>
      </w:r>
    </w:p>
    <w:p w14:paraId="56825230" w14:textId="77777777"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14:paraId="6097F0D9" w14:textId="77777777"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14:paraId="3FFFA6E0" w14:textId="77777777"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14:paraId="4DB1A462" w14:textId="77777777" w:rsidR="00D94935" w:rsidRPr="00403BD1" w:rsidRDefault="00D94935" w:rsidP="00D94935">
      <w:pPr>
        <w:pStyle w:val="Apara"/>
      </w:pPr>
      <w:r w:rsidRPr="00403BD1">
        <w:tab/>
        <w:t>(b)</w:t>
      </w:r>
      <w:r w:rsidRPr="00403BD1">
        <w:tab/>
        <w:t>has a good defence to the proceeding on the merits.</w:t>
      </w:r>
    </w:p>
    <w:p w14:paraId="32FC289B" w14:textId="77777777"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14:paraId="0EAE9675" w14:textId="77777777" w:rsidR="00D94935" w:rsidRPr="00403BD1" w:rsidRDefault="00D94935" w:rsidP="00D94935">
      <w:pPr>
        <w:pStyle w:val="Amain"/>
      </w:pPr>
      <w:r w:rsidRPr="00403BD1">
        <w:tab/>
        <w:t>(3)</w:t>
      </w:r>
      <w:r w:rsidRPr="00403BD1">
        <w:tab/>
        <w:t>An application to set aside default judgment under this rule may be made—</w:t>
      </w:r>
    </w:p>
    <w:p w14:paraId="5ACEB94E" w14:textId="77777777" w:rsidR="00D94935" w:rsidRPr="00403BD1" w:rsidRDefault="00D94935" w:rsidP="00D94935">
      <w:pPr>
        <w:pStyle w:val="Apara"/>
      </w:pPr>
      <w:r w:rsidRPr="00403BD1">
        <w:tab/>
        <w:t>(a)</w:t>
      </w:r>
      <w:r w:rsidRPr="00403BD1">
        <w:tab/>
        <w:t>at any time within 1 year after the day the judgment was entered; or</w:t>
      </w:r>
    </w:p>
    <w:p w14:paraId="47A7C505" w14:textId="77777777"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14:paraId="0A3E28F0" w14:textId="77777777" w:rsidR="00D94935" w:rsidRPr="00403BD1" w:rsidRDefault="00D94935" w:rsidP="00D94935">
      <w:pPr>
        <w:pStyle w:val="Amain"/>
      </w:pPr>
      <w:r w:rsidRPr="00403BD1">
        <w:tab/>
        <w:t>(4)</w:t>
      </w:r>
      <w:r w:rsidRPr="00403BD1">
        <w:tab/>
        <w:t>The powers of the court under this rule are additional to any other powers of the court.</w:t>
      </w:r>
    </w:p>
    <w:p w14:paraId="0DB523AE" w14:textId="77777777" w:rsidR="00D94935" w:rsidRPr="00403BD1" w:rsidRDefault="00D94935" w:rsidP="00D94935">
      <w:pPr>
        <w:pStyle w:val="AH4SubDiv"/>
      </w:pPr>
      <w:bookmarkStart w:id="1756" w:name="_Toc185515372"/>
      <w:r w:rsidRPr="00403BD1">
        <w:t>Subdivision 6.8.12.4</w:t>
      </w:r>
      <w:r w:rsidRPr="00403BD1">
        <w:tab/>
        <w:t>Local service of foreign judicial documents</w:t>
      </w:r>
      <w:bookmarkEnd w:id="1756"/>
    </w:p>
    <w:p w14:paraId="79268F4B" w14:textId="77777777" w:rsidR="00D94935" w:rsidRPr="00403BD1" w:rsidRDefault="00D94935" w:rsidP="00D94935">
      <w:pPr>
        <w:pStyle w:val="AH5Sec"/>
      </w:pPr>
      <w:bookmarkStart w:id="1757" w:name="_Toc185515373"/>
      <w:r w:rsidRPr="00C8328B">
        <w:rPr>
          <w:rStyle w:val="CharSectNo"/>
        </w:rPr>
        <w:t>6562</w:t>
      </w:r>
      <w:r w:rsidRPr="00403BD1">
        <w:tab/>
        <w:t>Application—subdiv 6.8.12.4</w:t>
      </w:r>
      <w:bookmarkEnd w:id="1757"/>
    </w:p>
    <w:p w14:paraId="57541C37" w14:textId="77777777"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14:paraId="50CB6071" w14:textId="77777777"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14:paraId="253FAF8F" w14:textId="77777777" w:rsidR="00D94935" w:rsidRPr="00403BD1" w:rsidRDefault="00D94935" w:rsidP="00D94935">
      <w:pPr>
        <w:pStyle w:val="Apara"/>
      </w:pPr>
      <w:r w:rsidRPr="00403BD1">
        <w:lastRenderedPageBreak/>
        <w:tab/>
        <w:t>(b)</w:t>
      </w:r>
      <w:r w:rsidRPr="00403BD1">
        <w:tab/>
        <w:t>by a forwarding authority.</w:t>
      </w:r>
    </w:p>
    <w:p w14:paraId="173ED8FE" w14:textId="77777777"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14:paraId="61174C28" w14:textId="0839E35F"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9" w:history="1">
        <w:r w:rsidRPr="007713B6">
          <w:rPr>
            <w:rStyle w:val="charCitHyperlinkAbbrev"/>
          </w:rPr>
          <w:t>AF2009-149</w:t>
        </w:r>
      </w:hyperlink>
      <w:r>
        <w:t>.</w:t>
      </w:r>
    </w:p>
    <w:p w14:paraId="55D18A19" w14:textId="77777777" w:rsidR="00D94935" w:rsidRPr="00403BD1" w:rsidRDefault="00D94935" w:rsidP="00D94935">
      <w:pPr>
        <w:pStyle w:val="Apara"/>
      </w:pPr>
      <w:r w:rsidRPr="00403BD1">
        <w:tab/>
        <w:t>(a)</w:t>
      </w:r>
      <w:r w:rsidRPr="00403BD1">
        <w:tab/>
        <w:t>the document to be served;</w:t>
      </w:r>
    </w:p>
    <w:p w14:paraId="62ABCCAD" w14:textId="77777777" w:rsidR="00D94935" w:rsidRPr="00403BD1" w:rsidRDefault="00D94935" w:rsidP="00D94935">
      <w:pPr>
        <w:pStyle w:val="Apara"/>
      </w:pPr>
      <w:r w:rsidRPr="00403BD1">
        <w:tab/>
        <w:t>(b)</w:t>
      </w:r>
      <w:r w:rsidRPr="00403BD1">
        <w:tab/>
        <w:t>a summary of the document to be served;</w:t>
      </w:r>
    </w:p>
    <w:p w14:paraId="73D802C1" w14:textId="0476D2F4"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40" w:history="1">
        <w:r w:rsidR="001F65ED">
          <w:rPr>
            <w:rStyle w:val="charCitHyperlinkAbbrev"/>
          </w:rPr>
          <w:t>AF2019-61</w:t>
        </w:r>
      </w:hyperlink>
      <w:r>
        <w:t>.</w:t>
      </w:r>
    </w:p>
    <w:p w14:paraId="40EE9442" w14:textId="77777777" w:rsidR="00D94935" w:rsidRPr="00403BD1" w:rsidRDefault="00D94935" w:rsidP="00D94935">
      <w:pPr>
        <w:pStyle w:val="Apara"/>
      </w:pPr>
      <w:r w:rsidRPr="00403BD1">
        <w:tab/>
        <w:t>(c)</w:t>
      </w:r>
      <w:r w:rsidRPr="00403BD1">
        <w:tab/>
        <w:t>a copy of the request and each document mentioned in paragraphs (a) and (b);</w:t>
      </w:r>
    </w:p>
    <w:p w14:paraId="1BBA826B" w14:textId="77777777" w:rsidR="00D94935" w:rsidRPr="00403BD1" w:rsidRDefault="00D94935" w:rsidP="00D94935">
      <w:pPr>
        <w:pStyle w:val="Apara"/>
      </w:pPr>
      <w:r w:rsidRPr="00403BD1">
        <w:tab/>
        <w:t>(d)</w:t>
      </w:r>
      <w:r w:rsidRPr="00403BD1">
        <w:tab/>
        <w:t>if a document mentioned in paragraphs (a) and (b) is not in the English language, an English translation of the document.</w:t>
      </w:r>
    </w:p>
    <w:p w14:paraId="5D29FF90" w14:textId="77777777"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14:paraId="2F3E1619" w14:textId="77777777" w:rsidR="00D94935" w:rsidRPr="00403BD1" w:rsidRDefault="00D94935" w:rsidP="00D94935">
      <w:pPr>
        <w:pStyle w:val="Apara"/>
      </w:pPr>
      <w:r w:rsidRPr="00403BD1">
        <w:tab/>
        <w:t>(a)</w:t>
      </w:r>
      <w:r w:rsidRPr="00403BD1">
        <w:tab/>
        <w:t>that the translation is an accurate translation of the document; and</w:t>
      </w:r>
    </w:p>
    <w:p w14:paraId="7BE28E4D" w14:textId="77777777" w:rsidR="00D94935" w:rsidRPr="00403BD1" w:rsidRDefault="00D94935" w:rsidP="00D94935">
      <w:pPr>
        <w:pStyle w:val="Apara"/>
      </w:pPr>
      <w:r w:rsidRPr="00403BD1">
        <w:tab/>
        <w:t>(b)</w:t>
      </w:r>
      <w:r w:rsidRPr="00403BD1">
        <w:tab/>
        <w:t>the translator’s full name, address and qualifications for making the translation.</w:t>
      </w:r>
    </w:p>
    <w:p w14:paraId="3D7A1C47" w14:textId="77777777" w:rsidR="00D94935" w:rsidRPr="00403BD1" w:rsidRDefault="00D94935" w:rsidP="00D94935">
      <w:pPr>
        <w:pStyle w:val="AH5Sec"/>
      </w:pPr>
      <w:bookmarkStart w:id="1758" w:name="_Toc185515374"/>
      <w:r w:rsidRPr="00C8328B">
        <w:rPr>
          <w:rStyle w:val="CharSectNo"/>
        </w:rPr>
        <w:t>6563</w:t>
      </w:r>
      <w:r w:rsidRPr="00403BD1">
        <w:tab/>
        <w:t xml:space="preserve">Certain documents </w:t>
      </w:r>
      <w:r>
        <w:t>to be referred back to Attorney</w:t>
      </w:r>
      <w:r>
        <w:noBreakHyphen/>
      </w:r>
      <w:r w:rsidRPr="00403BD1">
        <w:t>General of the Commonwealth</w:t>
      </w:r>
      <w:bookmarkEnd w:id="1758"/>
    </w:p>
    <w:p w14:paraId="109BB6D3" w14:textId="77777777" w:rsidR="00D94935" w:rsidRPr="00403BD1" w:rsidRDefault="00D94935" w:rsidP="00D94935">
      <w:pPr>
        <w:pStyle w:val="Amain"/>
      </w:pPr>
      <w:r w:rsidRPr="00403BD1">
        <w:tab/>
        <w:t>(1)</w:t>
      </w:r>
      <w:r w:rsidRPr="00403BD1">
        <w:tab/>
        <w:t>This rule applies if the registrar reasonably believes that</w:t>
      </w:r>
      <w:r>
        <w:t>—</w:t>
      </w:r>
    </w:p>
    <w:p w14:paraId="40C166C3" w14:textId="77777777" w:rsidR="00D94935" w:rsidRPr="00403BD1" w:rsidRDefault="00D94935" w:rsidP="00D94935">
      <w:pPr>
        <w:pStyle w:val="Apara"/>
      </w:pPr>
      <w:r w:rsidRPr="00403BD1">
        <w:tab/>
        <w:t>(a)</w:t>
      </w:r>
      <w:r w:rsidRPr="00403BD1">
        <w:tab/>
        <w:t>a request for service in the ACT does not comply with rule</w:t>
      </w:r>
      <w:r>
        <w:t> </w:t>
      </w:r>
      <w:r w:rsidRPr="00403BD1">
        <w:t>6562; or</w:t>
      </w:r>
    </w:p>
    <w:p w14:paraId="569023D3" w14:textId="77777777" w:rsidR="00D94935" w:rsidRPr="00403BD1" w:rsidRDefault="00D94935" w:rsidP="00D94935">
      <w:pPr>
        <w:pStyle w:val="Apara"/>
      </w:pPr>
      <w:r w:rsidRPr="00403BD1">
        <w:tab/>
        <w:t>(b)</w:t>
      </w:r>
      <w:r w:rsidRPr="00403BD1">
        <w:tab/>
        <w:t>the document to which the request relates is not a foreign judicial document; or</w:t>
      </w:r>
    </w:p>
    <w:p w14:paraId="72BB3F73" w14:textId="77777777" w:rsidR="00D94935" w:rsidRPr="00403BD1" w:rsidRDefault="00D94935" w:rsidP="00D94935">
      <w:pPr>
        <w:pStyle w:val="Apara"/>
      </w:pPr>
      <w:r w:rsidRPr="00403BD1">
        <w:tab/>
        <w:t>(c)</w:t>
      </w:r>
      <w:r w:rsidRPr="00403BD1">
        <w:tab/>
        <w:t>compliance with the request may infringe Australia’s sovereignty or security.</w:t>
      </w:r>
    </w:p>
    <w:p w14:paraId="147E0AE7" w14:textId="77777777" w:rsidR="00D94935" w:rsidRPr="00403BD1" w:rsidRDefault="00D94935" w:rsidP="00D36DB6">
      <w:pPr>
        <w:pStyle w:val="Amain"/>
        <w:keepNext/>
      </w:pPr>
      <w:r w:rsidRPr="00403BD1">
        <w:lastRenderedPageBreak/>
        <w:tab/>
        <w:t>(2)</w:t>
      </w:r>
      <w:r w:rsidRPr="00403BD1">
        <w:tab/>
        <w:t>The registrar must refer the request for service in the ACT to the Attorney-General of the Commonwealth together with a statement of the registrar’s belief.</w:t>
      </w:r>
    </w:p>
    <w:p w14:paraId="4274F797" w14:textId="77777777"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14:paraId="1C4B3420" w14:textId="77777777" w:rsidR="00D94935" w:rsidRPr="00403BD1" w:rsidRDefault="00D94935" w:rsidP="00D94935">
      <w:pPr>
        <w:pStyle w:val="AH5Sec"/>
      </w:pPr>
      <w:bookmarkStart w:id="1759" w:name="_Toc185515375"/>
      <w:r w:rsidRPr="00C8328B">
        <w:rPr>
          <w:rStyle w:val="CharSectNo"/>
        </w:rPr>
        <w:t>6564</w:t>
      </w:r>
      <w:r w:rsidRPr="00403BD1">
        <w:tab/>
        <w:t>Service of foreign judicial documents etc</w:t>
      </w:r>
      <w:bookmarkEnd w:id="1759"/>
    </w:p>
    <w:p w14:paraId="0C1B620E" w14:textId="77777777"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14:paraId="118D6FEE" w14:textId="77777777" w:rsidR="00D94935" w:rsidRPr="00403BD1" w:rsidRDefault="00D94935" w:rsidP="00D94935">
      <w:pPr>
        <w:pStyle w:val="Amain"/>
      </w:pPr>
      <w:r w:rsidRPr="00403BD1">
        <w:tab/>
        <w:t>(2)</w:t>
      </w:r>
      <w:r w:rsidRPr="00403BD1">
        <w:tab/>
        <w:t>The relevant documents may be served by any of the following methods:</w:t>
      </w:r>
    </w:p>
    <w:p w14:paraId="7A0BC3D1" w14:textId="77777777"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14:paraId="30641845" w14:textId="77777777"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14:paraId="0B03E5E9" w14:textId="77777777"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14:paraId="2F97E321" w14:textId="77777777"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14:paraId="70F12767" w14:textId="77777777" w:rsidR="00D94935" w:rsidRPr="00403BD1" w:rsidRDefault="00D94935" w:rsidP="007B42FE">
      <w:pPr>
        <w:pStyle w:val="Amain"/>
        <w:keepNext/>
      </w:pPr>
      <w:r w:rsidRPr="00403BD1">
        <w:lastRenderedPageBreak/>
        <w:tab/>
        <w:t>(3)</w:t>
      </w:r>
      <w:r w:rsidRPr="00403BD1">
        <w:tab/>
        <w:t>In this rule:</w:t>
      </w:r>
    </w:p>
    <w:p w14:paraId="6E818005" w14:textId="77777777" w:rsidR="00D94935" w:rsidRPr="00403BD1" w:rsidRDefault="00D94935" w:rsidP="007B42FE">
      <w:pPr>
        <w:pStyle w:val="aDef"/>
        <w:keepNext/>
      </w:pPr>
      <w:r w:rsidRPr="000F5994">
        <w:rPr>
          <w:rStyle w:val="charBoldItals"/>
        </w:rPr>
        <w:t>relevant documents</w:t>
      </w:r>
      <w:r w:rsidRPr="00403BD1">
        <w:t xml:space="preserve"> means the following documents:</w:t>
      </w:r>
    </w:p>
    <w:p w14:paraId="79192557" w14:textId="77777777" w:rsidR="00D94935" w:rsidRPr="00403BD1" w:rsidRDefault="00D94935" w:rsidP="007B42FE">
      <w:pPr>
        <w:pStyle w:val="aDefpara"/>
        <w:keepNext/>
      </w:pPr>
      <w:r w:rsidRPr="00403BD1">
        <w:tab/>
        <w:t>(a)</w:t>
      </w:r>
      <w:r w:rsidRPr="00403BD1">
        <w:tab/>
        <w:t>the document to be served;</w:t>
      </w:r>
    </w:p>
    <w:p w14:paraId="54BA7F9A" w14:textId="77777777" w:rsidR="00D94935" w:rsidRPr="00403BD1" w:rsidRDefault="00D94935" w:rsidP="00D94935">
      <w:pPr>
        <w:pStyle w:val="aDefpara"/>
      </w:pPr>
      <w:r w:rsidRPr="00403BD1">
        <w:tab/>
        <w:t>(b)</w:t>
      </w:r>
      <w:r w:rsidRPr="00403BD1">
        <w:tab/>
        <w:t>a summary of the document to be served;</w:t>
      </w:r>
    </w:p>
    <w:p w14:paraId="11BE20AC" w14:textId="77777777" w:rsidR="00D94935" w:rsidRPr="00403BD1" w:rsidRDefault="00D94935" w:rsidP="00D94935">
      <w:pPr>
        <w:pStyle w:val="aDefpara"/>
      </w:pPr>
      <w:r w:rsidRPr="00403BD1">
        <w:tab/>
        <w:t>(c)</w:t>
      </w:r>
      <w:r w:rsidRPr="00403BD1">
        <w:tab/>
        <w:t>a copy of the request for service in the ACT;</w:t>
      </w:r>
    </w:p>
    <w:p w14:paraId="45F82546" w14:textId="77777777"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14:paraId="5BBAD082" w14:textId="77777777" w:rsidR="00D94935" w:rsidRPr="00403BD1" w:rsidRDefault="00D94935" w:rsidP="00D94935">
      <w:pPr>
        <w:pStyle w:val="AH5Sec"/>
      </w:pPr>
      <w:bookmarkStart w:id="1760" w:name="_Toc185515376"/>
      <w:r w:rsidRPr="00C8328B">
        <w:rPr>
          <w:rStyle w:val="CharSectNo"/>
        </w:rPr>
        <w:t>6565</w:t>
      </w:r>
      <w:r w:rsidRPr="00403BD1">
        <w:tab/>
        <w:t>Affidavit about service</w:t>
      </w:r>
      <w:bookmarkEnd w:id="1760"/>
    </w:p>
    <w:p w14:paraId="28DE0284" w14:textId="77777777"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14:paraId="68133C05" w14:textId="77777777" w:rsidR="00D94935" w:rsidRPr="00403BD1" w:rsidRDefault="00D94935" w:rsidP="00D94935">
      <w:pPr>
        <w:pStyle w:val="Apara"/>
      </w:pPr>
      <w:r w:rsidRPr="00403BD1">
        <w:tab/>
        <w:t>(a)</w:t>
      </w:r>
      <w:r w:rsidRPr="00403BD1">
        <w:tab/>
        <w:t>the time, day of the week and date on which the document was served; and</w:t>
      </w:r>
    </w:p>
    <w:p w14:paraId="44F28341" w14:textId="77777777" w:rsidR="00D94935" w:rsidRPr="00403BD1" w:rsidRDefault="00D94935" w:rsidP="00D94935">
      <w:pPr>
        <w:pStyle w:val="Apara"/>
      </w:pPr>
      <w:r w:rsidRPr="00403BD1">
        <w:tab/>
        <w:t>(b)</w:t>
      </w:r>
      <w:r w:rsidRPr="00403BD1">
        <w:tab/>
        <w:t>the place where the document was served; and</w:t>
      </w:r>
    </w:p>
    <w:p w14:paraId="26A21C9F" w14:textId="77777777" w:rsidR="00D94935" w:rsidRPr="00403BD1" w:rsidRDefault="00D94935" w:rsidP="00D94935">
      <w:pPr>
        <w:pStyle w:val="Apara"/>
      </w:pPr>
      <w:r w:rsidRPr="00403BD1">
        <w:tab/>
        <w:t>(c)</w:t>
      </w:r>
      <w:r w:rsidRPr="00403BD1">
        <w:tab/>
        <w:t>the method of service; and</w:t>
      </w:r>
    </w:p>
    <w:p w14:paraId="3430C898" w14:textId="77777777" w:rsidR="00D94935" w:rsidRPr="00403BD1" w:rsidRDefault="00D94935" w:rsidP="00D94935">
      <w:pPr>
        <w:pStyle w:val="Apara"/>
      </w:pPr>
      <w:r w:rsidRPr="00403BD1">
        <w:tab/>
        <w:t>(d)</w:t>
      </w:r>
      <w:r w:rsidRPr="00403BD1">
        <w:tab/>
        <w:t>the person on whom the document was served; and</w:t>
      </w:r>
    </w:p>
    <w:p w14:paraId="4E8C37F9" w14:textId="77777777" w:rsidR="00D94935" w:rsidRPr="00403BD1" w:rsidRDefault="00D94935" w:rsidP="00D94935">
      <w:pPr>
        <w:pStyle w:val="Apara"/>
      </w:pPr>
      <w:r w:rsidRPr="00403BD1">
        <w:tab/>
        <w:t>(e)</w:t>
      </w:r>
      <w:r w:rsidRPr="00403BD1">
        <w:tab/>
        <w:t>the way in which the person served was identified.</w:t>
      </w:r>
    </w:p>
    <w:p w14:paraId="744C339B" w14:textId="77777777"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14:paraId="2A64AD95" w14:textId="77777777" w:rsidR="00D94935" w:rsidRPr="00403BD1" w:rsidRDefault="00D94935" w:rsidP="00D94935">
      <w:pPr>
        <w:pStyle w:val="Apara"/>
      </w:pPr>
      <w:r w:rsidRPr="00403BD1">
        <w:tab/>
        <w:t>(a)</w:t>
      </w:r>
      <w:r w:rsidRPr="00403BD1">
        <w:tab/>
        <w:t>details of the attempts made to serve the document; and</w:t>
      </w:r>
    </w:p>
    <w:p w14:paraId="7363F2BC" w14:textId="77777777" w:rsidR="00D94935" w:rsidRPr="00403BD1" w:rsidRDefault="00D94935" w:rsidP="00D94935">
      <w:pPr>
        <w:pStyle w:val="Apara"/>
      </w:pPr>
      <w:r w:rsidRPr="00403BD1">
        <w:tab/>
        <w:t>(b)</w:t>
      </w:r>
      <w:r w:rsidRPr="00403BD1">
        <w:tab/>
        <w:t>the reasons why service was prevented.</w:t>
      </w:r>
    </w:p>
    <w:p w14:paraId="5C640CAF" w14:textId="77777777" w:rsidR="00D94935" w:rsidRPr="00403BD1" w:rsidRDefault="00D94935" w:rsidP="007B42FE">
      <w:pPr>
        <w:pStyle w:val="Amain"/>
        <w:keepNext/>
      </w:pPr>
      <w:r w:rsidRPr="00403BD1">
        <w:lastRenderedPageBreak/>
        <w:tab/>
        <w:t>(3)</w:t>
      </w:r>
      <w:r w:rsidRPr="00403BD1">
        <w:tab/>
        <w:t>On the filing of an affidavit about service under this rule, the registrar must—</w:t>
      </w:r>
    </w:p>
    <w:p w14:paraId="05476F1E" w14:textId="77777777"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14:paraId="207E87B3" w14:textId="357ABA07"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41" w:history="1">
        <w:r w:rsidRPr="007713B6">
          <w:rPr>
            <w:rStyle w:val="charCitHyperlinkAbbrev"/>
          </w:rPr>
          <w:t>AF2009</w:t>
        </w:r>
        <w:r w:rsidRPr="007713B6">
          <w:rPr>
            <w:rStyle w:val="charCitHyperlinkAbbrev"/>
          </w:rPr>
          <w:noBreakHyphen/>
          <w:t>149</w:t>
        </w:r>
      </w:hyperlink>
      <w:r w:rsidRPr="00403BD1">
        <w:t>.</w:t>
      </w:r>
    </w:p>
    <w:p w14:paraId="3128A18A" w14:textId="77777777"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14:paraId="7EC9F7DB" w14:textId="77777777" w:rsidR="00D94935" w:rsidRDefault="00D94935" w:rsidP="00D94935">
      <w:pPr>
        <w:pStyle w:val="PageBreak"/>
      </w:pPr>
      <w:r>
        <w:br w:type="page"/>
      </w:r>
    </w:p>
    <w:p w14:paraId="25368CC3" w14:textId="77777777" w:rsidR="00D94935" w:rsidRPr="00C8328B" w:rsidRDefault="00D94935" w:rsidP="00D94935">
      <w:pPr>
        <w:pStyle w:val="AH2Part"/>
      </w:pPr>
      <w:bookmarkStart w:id="1761" w:name="_Toc185515377"/>
      <w:r w:rsidRPr="00C8328B">
        <w:rPr>
          <w:rStyle w:val="CharPartNo"/>
        </w:rPr>
        <w:lastRenderedPageBreak/>
        <w:t>Part 6.9</w:t>
      </w:r>
      <w:r>
        <w:tab/>
      </w:r>
      <w:r w:rsidRPr="00C8328B">
        <w:rPr>
          <w:rStyle w:val="CharPartText"/>
        </w:rPr>
        <w:t>Subpoenas</w:t>
      </w:r>
      <w:bookmarkEnd w:id="1761"/>
    </w:p>
    <w:p w14:paraId="38C2E696" w14:textId="77777777" w:rsidR="00D94935" w:rsidRDefault="00D94935" w:rsidP="00D94935">
      <w:pPr>
        <w:pStyle w:val="Placeholder"/>
      </w:pPr>
      <w:r>
        <w:rPr>
          <w:rStyle w:val="CharDivNo"/>
        </w:rPr>
        <w:t xml:space="preserve">  </w:t>
      </w:r>
      <w:r>
        <w:rPr>
          <w:rStyle w:val="CharDivText"/>
        </w:rPr>
        <w:t xml:space="preserve">  </w:t>
      </w:r>
    </w:p>
    <w:p w14:paraId="2814E8DA" w14:textId="77777777" w:rsidR="00D94935" w:rsidRDefault="00D94935" w:rsidP="00D94935">
      <w:pPr>
        <w:pStyle w:val="AH5Sec"/>
      </w:pPr>
      <w:bookmarkStart w:id="1762" w:name="_Toc185515378"/>
      <w:r w:rsidRPr="00C8328B">
        <w:rPr>
          <w:rStyle w:val="CharSectNo"/>
        </w:rPr>
        <w:t>6600</w:t>
      </w:r>
      <w:r>
        <w:tab/>
        <w:t>Definitions—pt 6.9</w:t>
      </w:r>
      <w:bookmarkEnd w:id="1762"/>
    </w:p>
    <w:p w14:paraId="4535BD4D" w14:textId="77777777" w:rsidR="00D94935" w:rsidRDefault="00D94935" w:rsidP="00D94935">
      <w:pPr>
        <w:pStyle w:val="Amain"/>
        <w:keepNext/>
      </w:pPr>
      <w:r>
        <w:tab/>
        <w:t>(1)</w:t>
      </w:r>
      <w:r>
        <w:tab/>
        <w:t>In this part:</w:t>
      </w:r>
    </w:p>
    <w:p w14:paraId="39ABFF1A" w14:textId="77777777" w:rsidR="00D94935" w:rsidRDefault="00D94935" w:rsidP="00D94935">
      <w:pPr>
        <w:pStyle w:val="aDef"/>
      </w:pPr>
      <w:r>
        <w:rPr>
          <w:rStyle w:val="charBoldItals"/>
        </w:rPr>
        <w:t>issuing officer</w:t>
      </w:r>
      <w:r>
        <w:t xml:space="preserve"> means the registrar.</w:t>
      </w:r>
    </w:p>
    <w:p w14:paraId="166650E7" w14:textId="77777777" w:rsidR="00D94935" w:rsidRDefault="00D94935" w:rsidP="00D94935">
      <w:pPr>
        <w:pStyle w:val="aDef"/>
      </w:pPr>
      <w:r>
        <w:rPr>
          <w:rStyle w:val="charBoldItals"/>
        </w:rPr>
        <w:t>issuing party</w:t>
      </w:r>
      <w:r>
        <w:t>, for a subpoena, means the party at whose request the subpoena is issued.</w:t>
      </w:r>
    </w:p>
    <w:p w14:paraId="6E3A7A31" w14:textId="77777777"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14:paraId="546EA68E" w14:textId="77777777"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14:paraId="33F8800F" w14:textId="77777777" w:rsidR="00D94935" w:rsidRDefault="00D94935" w:rsidP="00D94935">
      <w:pPr>
        <w:pStyle w:val="AH5Sec"/>
      </w:pPr>
      <w:bookmarkStart w:id="1763" w:name="_Toc185515379"/>
      <w:r w:rsidRPr="00C8328B">
        <w:rPr>
          <w:rStyle w:val="CharSectNo"/>
        </w:rPr>
        <w:t>6601</w:t>
      </w:r>
      <w:r>
        <w:tab/>
        <w:t>Issuing subpoena</w:t>
      </w:r>
      <w:bookmarkEnd w:id="1763"/>
    </w:p>
    <w:p w14:paraId="5F559D8F" w14:textId="77777777" w:rsidR="00D94935" w:rsidRDefault="00D94935" w:rsidP="00D94935">
      <w:pPr>
        <w:pStyle w:val="Amain"/>
        <w:keepNext/>
      </w:pPr>
      <w:r>
        <w:tab/>
        <w:t>(1)</w:t>
      </w:r>
      <w:r>
        <w:tab/>
        <w:t>In any proceeding, the court may by subpoena order the addressee to do either or both of the following:</w:t>
      </w:r>
    </w:p>
    <w:p w14:paraId="728A562E" w14:textId="77777777" w:rsidR="00D94935" w:rsidRDefault="00D94935" w:rsidP="00D94935">
      <w:pPr>
        <w:pStyle w:val="Apara"/>
      </w:pPr>
      <w:r>
        <w:tab/>
        <w:t>(a)</w:t>
      </w:r>
      <w:r>
        <w:tab/>
        <w:t>to attend to give evidence as directed by the subpoena;</w:t>
      </w:r>
    </w:p>
    <w:p w14:paraId="40191DBE" w14:textId="77777777" w:rsidR="00D94935" w:rsidRDefault="00D94935" w:rsidP="00D94935">
      <w:pPr>
        <w:pStyle w:val="Apara"/>
      </w:pPr>
      <w:r>
        <w:tab/>
        <w:t>(b)</w:t>
      </w:r>
      <w:r>
        <w:tab/>
        <w:t>to produce the subpoena or a copy of it and any document or thing as directed by the subpoena.</w:t>
      </w:r>
    </w:p>
    <w:p w14:paraId="1E96E5C1" w14:textId="77777777" w:rsidR="00D94935" w:rsidRDefault="00D94935" w:rsidP="00D94935">
      <w:pPr>
        <w:pStyle w:val="Amain"/>
      </w:pPr>
      <w:r>
        <w:tab/>
        <w:t>(2)</w:t>
      </w:r>
      <w:r>
        <w:tab/>
        <w:t>An issuing officer must not issue a subpoena—</w:t>
      </w:r>
    </w:p>
    <w:p w14:paraId="1DF8EDE3" w14:textId="77777777" w:rsidR="00D94935" w:rsidRDefault="00D94935" w:rsidP="00D94935">
      <w:pPr>
        <w:pStyle w:val="Apara"/>
      </w:pPr>
      <w:r>
        <w:tab/>
        <w:t>(a)</w:t>
      </w:r>
      <w:r>
        <w:tab/>
        <w:t>without the court’s leave if it appears to the issuing officer that the subpoena—</w:t>
      </w:r>
    </w:p>
    <w:p w14:paraId="71CAEFF5" w14:textId="77777777" w:rsidR="00D94935" w:rsidRDefault="00D94935" w:rsidP="00D94935">
      <w:pPr>
        <w:pStyle w:val="Asubpara"/>
      </w:pPr>
      <w:r>
        <w:tab/>
        <w:t>(i)</w:t>
      </w:r>
      <w:r>
        <w:tab/>
        <w:t>is not substantially complete; or</w:t>
      </w:r>
    </w:p>
    <w:p w14:paraId="116489AF" w14:textId="77777777" w:rsidR="00D94935" w:rsidRDefault="00D94935" w:rsidP="00D94935">
      <w:pPr>
        <w:pStyle w:val="Asubpara"/>
        <w:keepNext/>
      </w:pPr>
      <w:r>
        <w:tab/>
        <w:t>(ii)</w:t>
      </w:r>
      <w:r>
        <w:tab/>
        <w:t>does not substantially comply in form with these rules; or</w:t>
      </w:r>
    </w:p>
    <w:p w14:paraId="5902C5D4" w14:textId="77777777"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14:paraId="5A6C4C40" w14:textId="77777777" w:rsidR="00D94935" w:rsidRDefault="00D94935" w:rsidP="00D94935">
      <w:pPr>
        <w:pStyle w:val="Apara"/>
      </w:pPr>
      <w:r>
        <w:lastRenderedPageBreak/>
        <w:tab/>
        <w:t>(b)</w:t>
      </w:r>
      <w:r>
        <w:tab/>
        <w:t>if the court has made an order, or there is a provision of these rules, having the effect of requiring that the proposed subpoena—</w:t>
      </w:r>
    </w:p>
    <w:p w14:paraId="07B62538" w14:textId="77777777" w:rsidR="00D94935" w:rsidRDefault="00D94935" w:rsidP="00D94935">
      <w:pPr>
        <w:pStyle w:val="Asubpara"/>
      </w:pPr>
      <w:r>
        <w:tab/>
        <w:t>(i)</w:t>
      </w:r>
      <w:r>
        <w:tab/>
        <w:t>not be issued; or</w:t>
      </w:r>
    </w:p>
    <w:p w14:paraId="71BE9362" w14:textId="77777777" w:rsidR="00D94935" w:rsidRDefault="00D94935" w:rsidP="00D94935">
      <w:pPr>
        <w:pStyle w:val="Asubpara"/>
      </w:pPr>
      <w:r>
        <w:tab/>
        <w:t>(ii)</w:t>
      </w:r>
      <w:r>
        <w:tab/>
        <w:t>not be issued without the court’s leave and the leave has not been given; or</w:t>
      </w:r>
    </w:p>
    <w:p w14:paraId="3728FFBA" w14:textId="545C20F7" w:rsidR="00D94935" w:rsidRDefault="00D94935" w:rsidP="00D94935">
      <w:pPr>
        <w:pStyle w:val="Apara"/>
        <w:keepNext/>
      </w:pPr>
      <w:r>
        <w:tab/>
        <w:t>(c)</w:t>
      </w:r>
      <w:r>
        <w:tab/>
        <w:t>requiring the production of a document or thing in the custody of the court or another court</w:t>
      </w:r>
      <w:r w:rsidR="003304DB">
        <w:t>; or</w:t>
      </w:r>
    </w:p>
    <w:p w14:paraId="4143D5A1" w14:textId="77777777" w:rsidR="00AC02F3" w:rsidRPr="00CF1FC6" w:rsidRDefault="00AC02F3" w:rsidP="00AC02F3">
      <w:pPr>
        <w:pStyle w:val="Apara"/>
        <w:rPr>
          <w:lang w:eastAsia="en-AU"/>
        </w:rPr>
      </w:pPr>
      <w:r w:rsidRPr="00CF1FC6">
        <w:tab/>
        <w:t>(d)</w:t>
      </w:r>
      <w:r w:rsidRPr="00CF1FC6">
        <w:tab/>
        <w:t>for an appellate proceeding—without the leave of the court.</w:t>
      </w:r>
    </w:p>
    <w:p w14:paraId="3AE7566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14:paraId="57EB0429" w14:textId="77777777" w:rsidR="00D94935" w:rsidRDefault="00D94935" w:rsidP="00D94935">
      <w:pPr>
        <w:pStyle w:val="Amain"/>
      </w:pPr>
      <w:r>
        <w:tab/>
        <w:t>(3)</w:t>
      </w:r>
      <w:r>
        <w:tab/>
        <w:t>The issuing officer must seal, or otherwise authenticate, a sufficient number of copies of the subpoena for service and proof of service.</w:t>
      </w:r>
    </w:p>
    <w:p w14:paraId="6E0B890F" w14:textId="77777777" w:rsidR="00D94935" w:rsidRDefault="00D94935" w:rsidP="00D94935">
      <w:pPr>
        <w:pStyle w:val="Amain"/>
      </w:pPr>
      <w:r>
        <w:tab/>
        <w:t>(4)</w:t>
      </w:r>
      <w:r>
        <w:tab/>
        <w:t>A subpoena is taken to be issued on its being sealed or otherwise authenticated under subrule (3).</w:t>
      </w:r>
    </w:p>
    <w:p w14:paraId="4B96016E" w14:textId="77777777" w:rsidR="00D94935" w:rsidRPr="009D5743" w:rsidRDefault="00D94935" w:rsidP="00D94935">
      <w:pPr>
        <w:pStyle w:val="AH5Sec"/>
      </w:pPr>
      <w:bookmarkStart w:id="1764" w:name="_Toc185515380"/>
      <w:r w:rsidRPr="00C8328B">
        <w:rPr>
          <w:rStyle w:val="CharSectNo"/>
        </w:rPr>
        <w:t>6601A</w:t>
      </w:r>
      <w:r w:rsidRPr="009D5743">
        <w:tab/>
        <w:t>Issuing subpoena to produce—originating claim</w:t>
      </w:r>
      <w:bookmarkEnd w:id="1764"/>
    </w:p>
    <w:p w14:paraId="54C1B1E6" w14:textId="77777777" w:rsidR="00D94935" w:rsidRPr="009D5743" w:rsidRDefault="00D94935" w:rsidP="00D94935">
      <w:pPr>
        <w:pStyle w:val="Amain"/>
      </w:pPr>
      <w:r w:rsidRPr="009D5743">
        <w:tab/>
        <w:t>(1)</w:t>
      </w:r>
      <w:r w:rsidRPr="009D5743">
        <w:tab/>
        <w:t>This rule applies to a proceeding started by—</w:t>
      </w:r>
    </w:p>
    <w:p w14:paraId="25D2B5B3" w14:textId="77777777" w:rsidR="00D94935" w:rsidRPr="009D5743" w:rsidRDefault="00D94935" w:rsidP="00D94935">
      <w:pPr>
        <w:pStyle w:val="Apara"/>
      </w:pPr>
      <w:r w:rsidRPr="009D5743">
        <w:tab/>
        <w:t>(a)</w:t>
      </w:r>
      <w:r w:rsidRPr="009D5743">
        <w:tab/>
        <w:t>originating claim; or</w:t>
      </w:r>
    </w:p>
    <w:p w14:paraId="1F915225" w14:textId="77777777"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14:paraId="25091F2C" w14:textId="77777777" w:rsidR="00D94935" w:rsidRDefault="00D94935" w:rsidP="00D94935">
      <w:pPr>
        <w:pStyle w:val="Apara"/>
      </w:pPr>
      <w:r w:rsidRPr="009D5743">
        <w:tab/>
        <w:t>(c)</w:t>
      </w:r>
      <w:r w:rsidRPr="009D5743">
        <w:tab/>
        <w:t>an application for arbitration under part 3.13 (Workers compensation)</w:t>
      </w:r>
      <w:r w:rsidR="002D2DC3">
        <w:t>; or</w:t>
      </w:r>
    </w:p>
    <w:p w14:paraId="69FDAAA2" w14:textId="77777777"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14:paraId="4387E5EA" w14:textId="05AE824F" w:rsidR="00D94935" w:rsidRPr="00284A0B" w:rsidRDefault="00D94935" w:rsidP="00D94935">
      <w:pPr>
        <w:pStyle w:val="Amain"/>
      </w:pPr>
      <w:r w:rsidRPr="00284A0B">
        <w:tab/>
        <w:t>(2)</w:t>
      </w:r>
      <w:r w:rsidRPr="00284A0B">
        <w:tab/>
        <w:t xml:space="preserve">An issuing officer must not issue a subpoena to produce in the proceeding without the court’s leave unless the court has set a date for </w:t>
      </w:r>
      <w:r w:rsidR="00DD771A" w:rsidRPr="00F13970">
        <w:t>the hearing of the originating claim</w:t>
      </w:r>
      <w:r w:rsidRPr="00284A0B">
        <w:t>.</w:t>
      </w:r>
    </w:p>
    <w:p w14:paraId="4F8C0C69" w14:textId="77777777"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14:paraId="4AC50025" w14:textId="77777777" w:rsidR="00D94935" w:rsidRPr="009D5743" w:rsidRDefault="00D94935" w:rsidP="00D94935">
      <w:pPr>
        <w:pStyle w:val="AH5Sec"/>
      </w:pPr>
      <w:bookmarkStart w:id="1765" w:name="_Toc185515381"/>
      <w:r w:rsidRPr="00C8328B">
        <w:rPr>
          <w:rStyle w:val="CharSectNo"/>
        </w:rPr>
        <w:t>6601B</w:t>
      </w:r>
      <w:r w:rsidRPr="009D5743">
        <w:tab/>
        <w:t>Issuing subpoena to produce—originating application</w:t>
      </w:r>
      <w:bookmarkEnd w:id="1765"/>
    </w:p>
    <w:p w14:paraId="02A369C8" w14:textId="77777777" w:rsidR="00D94935" w:rsidRPr="009D5743" w:rsidRDefault="00D94935" w:rsidP="00D94935">
      <w:pPr>
        <w:pStyle w:val="Amain"/>
      </w:pPr>
      <w:r w:rsidRPr="009D5743">
        <w:tab/>
        <w:t>(1)</w:t>
      </w:r>
      <w:r w:rsidRPr="009D5743">
        <w:tab/>
        <w:t>This rule applies to a proceeding—</w:t>
      </w:r>
    </w:p>
    <w:p w14:paraId="521DC511" w14:textId="77777777" w:rsidR="00D94935" w:rsidRPr="009D5743" w:rsidRDefault="00D94935" w:rsidP="00D94935">
      <w:pPr>
        <w:pStyle w:val="Apara"/>
      </w:pPr>
      <w:r w:rsidRPr="009D5743">
        <w:tab/>
        <w:t>(a)</w:t>
      </w:r>
      <w:r w:rsidRPr="009D5743">
        <w:tab/>
        <w:t>started by originating application; or</w:t>
      </w:r>
    </w:p>
    <w:p w14:paraId="5B1E0BD9" w14:textId="77777777"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14:paraId="2AB9592D" w14:textId="77777777"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14:paraId="239EE8EB" w14:textId="77777777" w:rsidR="00D94935" w:rsidRDefault="00D94935" w:rsidP="00D94935">
      <w:pPr>
        <w:pStyle w:val="AH5Sec"/>
      </w:pPr>
      <w:bookmarkStart w:id="1766" w:name="_Toc185515382"/>
      <w:r w:rsidRPr="00C8328B">
        <w:rPr>
          <w:rStyle w:val="CharSectNo"/>
        </w:rPr>
        <w:t>6602</w:t>
      </w:r>
      <w:r>
        <w:tab/>
        <w:t>Form of subpoena</w:t>
      </w:r>
      <w:bookmarkEnd w:id="1766"/>
    </w:p>
    <w:p w14:paraId="225A437C" w14:textId="77777777" w:rsidR="00D94935" w:rsidRDefault="00D94935" w:rsidP="00D94935">
      <w:pPr>
        <w:pStyle w:val="Amain"/>
        <w:keepNext/>
      </w:pPr>
      <w:r>
        <w:tab/>
        <w:t>(1)</w:t>
      </w:r>
      <w:r>
        <w:tab/>
        <w:t>A subpoena must not be addressed to more than 1 person.</w:t>
      </w:r>
    </w:p>
    <w:p w14:paraId="7BDBA3CA" w14:textId="77777777"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14:paraId="342781FB" w14:textId="5B7ED5DA"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42" w:tooltip="AF2017-150" w:history="1">
        <w:r w:rsidR="00F40A04">
          <w:rPr>
            <w:rStyle w:val="charCitHyperlinkAbbrev"/>
          </w:rPr>
          <w:t>AF2024-41</w:t>
        </w:r>
      </w:hyperlink>
      <w:r w:rsidRPr="00A60754">
        <w:t>;</w:t>
      </w:r>
    </w:p>
    <w:p w14:paraId="6AB24EED" w14:textId="255BE8B4"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43" w:tooltip="AF2017-152" w:history="1">
        <w:r w:rsidR="00141DB6">
          <w:rPr>
            <w:rStyle w:val="charCitHyperlinkAbbrev"/>
          </w:rPr>
          <w:t>AF2024-42</w:t>
        </w:r>
      </w:hyperlink>
      <w:r w:rsidRPr="00A60754">
        <w:t>;</w:t>
      </w:r>
    </w:p>
    <w:p w14:paraId="558AC4A5" w14:textId="28DA9D69"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44" w:tooltip="AF2017-153" w:history="1">
        <w:r w:rsidR="00141DB6">
          <w:rPr>
            <w:rStyle w:val="charCitHyperlinkAbbrev"/>
          </w:rPr>
          <w:t>AF2024-43</w:t>
        </w:r>
      </w:hyperlink>
      <w:r w:rsidRPr="00A60754">
        <w:t>.</w:t>
      </w:r>
    </w:p>
    <w:p w14:paraId="47A6D305" w14:textId="77777777" w:rsidR="00D94935" w:rsidRDefault="00D94935" w:rsidP="00D94935">
      <w:pPr>
        <w:pStyle w:val="Amain"/>
        <w:keepNext/>
      </w:pPr>
      <w:r>
        <w:tab/>
        <w:t>(2)</w:t>
      </w:r>
      <w:r>
        <w:tab/>
        <w:t>A subpoena must identify the addressee by name or by description of position.</w:t>
      </w:r>
    </w:p>
    <w:p w14:paraId="65FA41ED" w14:textId="4BC30370" w:rsidR="00D94935" w:rsidRDefault="00D94935" w:rsidP="00D94935">
      <w:pPr>
        <w:pStyle w:val="aNote"/>
      </w:pPr>
      <w:r>
        <w:rPr>
          <w:rStyle w:val="charItals"/>
        </w:rPr>
        <w:t>Note</w:t>
      </w:r>
      <w:r>
        <w:rPr>
          <w:rStyle w:val="charItals"/>
        </w:rPr>
        <w:tab/>
      </w:r>
      <w:r>
        <w:t xml:space="preserve">The </w:t>
      </w:r>
      <w:hyperlink r:id="rId845"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14:paraId="4CC01C81" w14:textId="77777777" w:rsidR="00D94935" w:rsidRDefault="00D94935" w:rsidP="00D94935">
      <w:pPr>
        <w:pStyle w:val="Amain"/>
      </w:pPr>
      <w:r>
        <w:tab/>
        <w:t>(3)</w:t>
      </w:r>
      <w:r>
        <w:tab/>
        <w:t>A subpoena to attend to give evidence must state the date, time and place for attendance.</w:t>
      </w:r>
    </w:p>
    <w:p w14:paraId="011260ED" w14:textId="77777777" w:rsidR="00D94935" w:rsidRDefault="00D94935" w:rsidP="00D94935">
      <w:pPr>
        <w:pStyle w:val="Amain"/>
        <w:keepNext/>
      </w:pPr>
      <w:r>
        <w:tab/>
        <w:t>(4)</w:t>
      </w:r>
      <w:r>
        <w:tab/>
        <w:t>A subpoena to produce must—</w:t>
      </w:r>
    </w:p>
    <w:p w14:paraId="391D1254" w14:textId="77777777" w:rsidR="00D94935" w:rsidRDefault="00D94935" w:rsidP="00D94935">
      <w:pPr>
        <w:pStyle w:val="Apara"/>
      </w:pPr>
      <w:r>
        <w:tab/>
        <w:t>(a)</w:t>
      </w:r>
      <w:r>
        <w:tab/>
        <w:t>identify the document or thing to be produced; and</w:t>
      </w:r>
    </w:p>
    <w:p w14:paraId="2B54FD21" w14:textId="77777777" w:rsidR="00D94935" w:rsidRDefault="00D94935" w:rsidP="00D94935">
      <w:pPr>
        <w:pStyle w:val="Apara"/>
      </w:pPr>
      <w:r>
        <w:tab/>
        <w:t>(b)</w:t>
      </w:r>
      <w:r>
        <w:tab/>
        <w:t>state the date, time and place for production.</w:t>
      </w:r>
    </w:p>
    <w:p w14:paraId="767FAD68" w14:textId="77777777" w:rsidR="00D94935" w:rsidRDefault="00D94935" w:rsidP="00D94935">
      <w:pPr>
        <w:pStyle w:val="Amain"/>
      </w:pPr>
      <w:r>
        <w:tab/>
        <w:t>(5)</w:t>
      </w:r>
      <w:r>
        <w:tab/>
        <w:t>The date stated in a subpoena must be the date of trial or any other date allowed by the court.</w:t>
      </w:r>
    </w:p>
    <w:p w14:paraId="1B2C677E" w14:textId="77777777" w:rsidR="00D94935" w:rsidRDefault="00D94935" w:rsidP="00D94935">
      <w:pPr>
        <w:pStyle w:val="Amain"/>
      </w:pPr>
      <w:r>
        <w:lastRenderedPageBreak/>
        <w:tab/>
        <w:t>(6)</w:t>
      </w:r>
      <w:r>
        <w:tab/>
        <w:t>The place stated for production may be the court or the address of anyone authorised to take evidence in the proceeding.</w:t>
      </w:r>
    </w:p>
    <w:p w14:paraId="118B183B" w14:textId="77777777" w:rsidR="00D94935" w:rsidRDefault="00D94935" w:rsidP="00D94935">
      <w:pPr>
        <w:pStyle w:val="Amain"/>
      </w:pPr>
      <w:r>
        <w:tab/>
        <w:t>(7)</w:t>
      </w:r>
      <w:r>
        <w:tab/>
        <w:t>A subpoena must state the last date for service of the subpoena.</w:t>
      </w:r>
    </w:p>
    <w:p w14:paraId="202D3F8A" w14:textId="77777777" w:rsidR="00D94935" w:rsidRDefault="00D94935" w:rsidP="00D94935">
      <w:pPr>
        <w:pStyle w:val="Amain"/>
        <w:keepNext/>
      </w:pPr>
      <w:r>
        <w:tab/>
        <w:t>(8)</w:t>
      </w:r>
      <w:r>
        <w:tab/>
        <w:t>The last date for service must be—</w:t>
      </w:r>
    </w:p>
    <w:p w14:paraId="02EB5C24" w14:textId="77777777" w:rsidR="00D94935" w:rsidRDefault="00D94935" w:rsidP="00D94935">
      <w:pPr>
        <w:pStyle w:val="Apara"/>
      </w:pPr>
      <w:r>
        <w:tab/>
        <w:t>(a)</w:t>
      </w:r>
      <w:r>
        <w:tab/>
        <w:t>5 days before the date stated in the subpoena for compliance with it; or</w:t>
      </w:r>
    </w:p>
    <w:p w14:paraId="1A3A7DBD" w14:textId="77777777" w:rsidR="00D94935" w:rsidRDefault="00D94935" w:rsidP="00D94935">
      <w:pPr>
        <w:pStyle w:val="Apara"/>
      </w:pPr>
      <w:r>
        <w:tab/>
        <w:t>(b)</w:t>
      </w:r>
      <w:r>
        <w:tab/>
        <w:t>if the court sets a different date under rule 6603 (Subpoena to produce—leave to serve late)—the date set.</w:t>
      </w:r>
    </w:p>
    <w:p w14:paraId="50F67907" w14:textId="77777777" w:rsidR="00D94935" w:rsidRPr="002C194E" w:rsidRDefault="00D94935" w:rsidP="00D94935">
      <w:pPr>
        <w:pStyle w:val="Amain"/>
      </w:pPr>
      <w:r w:rsidRPr="002C194E">
        <w:tab/>
        <w:t>(9)</w:t>
      </w:r>
      <w:r w:rsidRPr="002C194E">
        <w:tab/>
        <w:t>Subrule (8) is subject to rule 6482 (Subpoena—service on special witness).</w:t>
      </w:r>
    </w:p>
    <w:p w14:paraId="1A8DE952" w14:textId="77777777"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13CB838" w14:textId="77777777" w:rsidR="00D94935" w:rsidRDefault="00D94935" w:rsidP="00D94935">
      <w:pPr>
        <w:pStyle w:val="Amain"/>
      </w:pPr>
      <w:r>
        <w:tab/>
        <w:t>(10)</w:t>
      </w:r>
      <w:r>
        <w:tab/>
        <w:t>If the addressee is a corporation, the corporation must comply with the subpoena by its appropriate or proper officer.</w:t>
      </w:r>
    </w:p>
    <w:p w14:paraId="2174167C" w14:textId="77777777" w:rsidR="00D94935" w:rsidRDefault="00D94935" w:rsidP="00D94935">
      <w:pPr>
        <w:pStyle w:val="AH5Sec"/>
      </w:pPr>
      <w:bookmarkStart w:id="1767" w:name="_Toc185515383"/>
      <w:r w:rsidRPr="00C8328B">
        <w:rPr>
          <w:rStyle w:val="CharSectNo"/>
        </w:rPr>
        <w:t>6603</w:t>
      </w:r>
      <w:r>
        <w:tab/>
        <w:t>Subpoena—leave to serve late</w:t>
      </w:r>
      <w:bookmarkEnd w:id="1767"/>
    </w:p>
    <w:p w14:paraId="7D8F5A3A" w14:textId="77777777"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14:paraId="7F855256" w14:textId="77777777" w:rsidR="00D94935" w:rsidRDefault="00D94935" w:rsidP="00D94935">
      <w:pPr>
        <w:pStyle w:val="Amain"/>
      </w:pPr>
      <w:r>
        <w:tab/>
        <w:t>(2)</w:t>
      </w:r>
      <w:r>
        <w:tab/>
        <w:t>An application for leave is made by filing—</w:t>
      </w:r>
    </w:p>
    <w:p w14:paraId="38B4A368" w14:textId="77777777" w:rsidR="00D94935" w:rsidRDefault="00D94935" w:rsidP="00D94935">
      <w:pPr>
        <w:pStyle w:val="Apara"/>
      </w:pPr>
      <w:r>
        <w:tab/>
        <w:t>(a)</w:t>
      </w:r>
      <w:r>
        <w:tab/>
        <w:t>a draft of the subpoena with a statement on its first page that leave is granted to serve the subpoena later than 5 days before the compliance date; and</w:t>
      </w:r>
    </w:p>
    <w:p w14:paraId="04ED917F" w14:textId="77777777" w:rsidR="00D94935" w:rsidRDefault="00D94935" w:rsidP="00D94935">
      <w:pPr>
        <w:pStyle w:val="Apara"/>
      </w:pPr>
      <w:r>
        <w:tab/>
        <w:t>(b)</w:t>
      </w:r>
      <w:r>
        <w:tab/>
        <w:t>an affidavit in support of the application.</w:t>
      </w:r>
    </w:p>
    <w:p w14:paraId="28F357E8" w14:textId="77777777" w:rsidR="00D94935" w:rsidRDefault="00D94935" w:rsidP="004A3967">
      <w:pPr>
        <w:pStyle w:val="Amain"/>
        <w:keepNext/>
      </w:pPr>
      <w:r>
        <w:lastRenderedPageBreak/>
        <w:tab/>
        <w:t>(3)</w:t>
      </w:r>
      <w:r>
        <w:tab/>
        <w:t>The affidavit in support of the application must state—</w:t>
      </w:r>
    </w:p>
    <w:p w14:paraId="1A801D8D" w14:textId="77777777" w:rsidR="00D94935" w:rsidRDefault="00D94935" w:rsidP="004A3967">
      <w:pPr>
        <w:pStyle w:val="Apara"/>
        <w:keepNext/>
      </w:pPr>
      <w:r>
        <w:tab/>
        <w:t>(a)</w:t>
      </w:r>
      <w:r>
        <w:tab/>
        <w:t>for a subpoena to attend to give evidence—</w:t>
      </w:r>
    </w:p>
    <w:p w14:paraId="3FFA5B87" w14:textId="77777777" w:rsidR="00D94935" w:rsidRDefault="00D94935" w:rsidP="00D94935">
      <w:pPr>
        <w:pStyle w:val="Asubpara"/>
      </w:pPr>
      <w:r>
        <w:tab/>
        <w:t>(i)</w:t>
      </w:r>
      <w:r>
        <w:tab/>
        <w:t>the need for the addressee for the subpoena to give evidence in the proceeding; and</w:t>
      </w:r>
    </w:p>
    <w:p w14:paraId="02961174" w14:textId="77777777" w:rsidR="00D94935" w:rsidRDefault="00D94935" w:rsidP="00D94935">
      <w:pPr>
        <w:pStyle w:val="Asubpara"/>
      </w:pPr>
      <w:r>
        <w:tab/>
        <w:t>(ii)</w:t>
      </w:r>
      <w:r>
        <w:tab/>
        <w:t>the reason the subpoena was not issued in enough time to enable it to be served at least 5 days before the compliance date; and</w:t>
      </w:r>
    </w:p>
    <w:p w14:paraId="52284696" w14:textId="77777777" w:rsidR="00D94935" w:rsidRDefault="00D94935" w:rsidP="00D94935">
      <w:pPr>
        <w:pStyle w:val="Asubpara"/>
      </w:pPr>
      <w:r>
        <w:tab/>
        <w:t>(iii)</w:t>
      </w:r>
      <w:r>
        <w:tab/>
        <w:t>whether the addressee for the subpoena has been told about the hearing and, if so, whether the addressee is able to attend the hearing; and</w:t>
      </w:r>
    </w:p>
    <w:p w14:paraId="6E28D237" w14:textId="77777777" w:rsidR="00D94935" w:rsidRDefault="00D94935" w:rsidP="00D94935">
      <w:pPr>
        <w:pStyle w:val="Asubpara"/>
      </w:pPr>
      <w:r>
        <w:tab/>
        <w:t>(iv)</w:t>
      </w:r>
      <w:r>
        <w:tab/>
        <w:t>the earliest date when the subpoena can be served; and</w:t>
      </w:r>
    </w:p>
    <w:p w14:paraId="2F158423" w14:textId="77777777" w:rsidR="00D94935" w:rsidRDefault="00D94935" w:rsidP="00D94935">
      <w:pPr>
        <w:pStyle w:val="Apara"/>
      </w:pPr>
      <w:r>
        <w:tab/>
        <w:t>(b)</w:t>
      </w:r>
      <w:r>
        <w:tab/>
        <w:t>for a subpoena to produce—</w:t>
      </w:r>
    </w:p>
    <w:p w14:paraId="677B0BCD" w14:textId="77777777" w:rsidR="00D94935" w:rsidRDefault="00D94935" w:rsidP="00D94935">
      <w:pPr>
        <w:pStyle w:val="Asubpara"/>
      </w:pPr>
      <w:r>
        <w:tab/>
        <w:t>(i)</w:t>
      </w:r>
      <w:r>
        <w:tab/>
        <w:t>the need for production of the document or thing required to be produced by the subpoena; and</w:t>
      </w:r>
    </w:p>
    <w:p w14:paraId="7680B68C" w14:textId="77777777" w:rsidR="00D94935" w:rsidRDefault="00D94935" w:rsidP="00D94935">
      <w:pPr>
        <w:pStyle w:val="Asubpara"/>
      </w:pPr>
      <w:r>
        <w:tab/>
        <w:t>(ii)</w:t>
      </w:r>
      <w:r>
        <w:tab/>
        <w:t>the reason the subpoena was not issued in enough time to enable it to be served at least 5 days before the compliance date; and</w:t>
      </w:r>
    </w:p>
    <w:p w14:paraId="42E81B76" w14:textId="77777777"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14:paraId="5D72486B" w14:textId="77777777" w:rsidR="00D94935" w:rsidRDefault="00D94935" w:rsidP="00D94935">
      <w:pPr>
        <w:pStyle w:val="Asubpara"/>
      </w:pPr>
      <w:r>
        <w:tab/>
        <w:t>(iv)</w:t>
      </w:r>
      <w:r>
        <w:tab/>
        <w:t>the earliest date when the subpoena can be served.</w:t>
      </w:r>
    </w:p>
    <w:p w14:paraId="045126D0" w14:textId="77777777" w:rsidR="00D94935" w:rsidRDefault="00D94935" w:rsidP="00D94935">
      <w:pPr>
        <w:pStyle w:val="Amain"/>
      </w:pPr>
      <w:r>
        <w:tab/>
        <w:t>(4)</w:t>
      </w:r>
      <w:r>
        <w:tab/>
        <w:t>If the court gives leave, it must set a date for the last date of service for the subpoena.</w:t>
      </w:r>
    </w:p>
    <w:p w14:paraId="384AA94B" w14:textId="77777777" w:rsidR="00D94935" w:rsidRDefault="00D94935" w:rsidP="00D94935">
      <w:pPr>
        <w:pStyle w:val="Amain"/>
      </w:pPr>
      <w:r>
        <w:tab/>
        <w:t>(5)</w:t>
      </w:r>
      <w:r>
        <w:tab/>
        <w:t>Part 6.2 (Applications in proceedings) does not apply to an application under this rule.</w:t>
      </w:r>
    </w:p>
    <w:p w14:paraId="234D70C6" w14:textId="77777777" w:rsidR="00D94935" w:rsidRDefault="00D94935" w:rsidP="00D94935">
      <w:pPr>
        <w:pStyle w:val="Amain"/>
      </w:pPr>
      <w:r>
        <w:tab/>
        <w:t>(6)</w:t>
      </w:r>
      <w:r>
        <w:tab/>
        <w:t>The draft subpoena and supporting affidavit need not be served on anyone unless the court otherwise orders on its own initiative.</w:t>
      </w:r>
    </w:p>
    <w:p w14:paraId="6CEC1D31" w14:textId="77777777"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14:paraId="3928C2A8" w14:textId="77777777" w:rsidR="00D94935" w:rsidRPr="002C194E" w:rsidRDefault="00D94935" w:rsidP="00D94935">
      <w:pPr>
        <w:pStyle w:val="Amain"/>
        <w:keepNext/>
      </w:pPr>
      <w:r w:rsidRPr="002C194E">
        <w:tab/>
        <w:t>(8)</w:t>
      </w:r>
      <w:r w:rsidRPr="002C194E">
        <w:tab/>
        <w:t>This rule is subject to rule 6482 (Subpoena—service on special witness).</w:t>
      </w:r>
    </w:p>
    <w:p w14:paraId="6BC0898F" w14:textId="77777777"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46A2DAE" w14:textId="0F8CC777" w:rsidR="00D94935" w:rsidRDefault="00D94935" w:rsidP="00D94935">
      <w:pPr>
        <w:pStyle w:val="aNote"/>
      </w:pPr>
      <w:r w:rsidRPr="006364FA">
        <w:rPr>
          <w:rStyle w:val="charItals"/>
        </w:rPr>
        <w:t>Note 2</w:t>
      </w:r>
      <w:r w:rsidRPr="006364FA">
        <w:rPr>
          <w:rStyle w:val="charItals"/>
        </w:rPr>
        <w:tab/>
      </w:r>
      <w:r>
        <w:t xml:space="preserve">The </w:t>
      </w:r>
      <w:hyperlink r:id="rId846"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14:paraId="08675A6F" w14:textId="77777777" w:rsidR="00D94935" w:rsidRDefault="00D94935" w:rsidP="00D94935">
      <w:pPr>
        <w:pStyle w:val="AH5Sec"/>
      </w:pPr>
      <w:bookmarkStart w:id="1768" w:name="_Toc185515384"/>
      <w:r w:rsidRPr="00C8328B">
        <w:rPr>
          <w:rStyle w:val="CharSectNo"/>
        </w:rPr>
        <w:t>6603A</w:t>
      </w:r>
      <w:r>
        <w:tab/>
        <w:t>Subpoena—change of date for attendance of production</w:t>
      </w:r>
      <w:bookmarkEnd w:id="1768"/>
    </w:p>
    <w:p w14:paraId="00050F39" w14:textId="77777777"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14:paraId="5D25A857" w14:textId="77777777"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14:paraId="08B7F903" w14:textId="77777777" w:rsidR="00D94935" w:rsidRDefault="00D94935" w:rsidP="00D94935">
      <w:pPr>
        <w:pStyle w:val="AH5Sec"/>
      </w:pPr>
      <w:bookmarkStart w:id="1769" w:name="_Toc185515385"/>
      <w:r w:rsidRPr="00C8328B">
        <w:rPr>
          <w:rStyle w:val="CharSectNo"/>
        </w:rPr>
        <w:t>6604</w:t>
      </w:r>
      <w:r>
        <w:tab/>
        <w:t>Setting aside subpoena or other relief</w:t>
      </w:r>
      <w:bookmarkEnd w:id="1769"/>
    </w:p>
    <w:p w14:paraId="14D89C8B" w14:textId="77777777"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14:paraId="54FA39A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1E831F4D" w14:textId="77777777" w:rsidR="00D94935" w:rsidRDefault="00D94935" w:rsidP="00D94935">
      <w:pPr>
        <w:pStyle w:val="Amain"/>
      </w:pPr>
      <w:r>
        <w:tab/>
        <w:t>(2)</w:t>
      </w:r>
      <w:r>
        <w:tab/>
        <w:t>A copy of the application must be served on the issuing party.</w:t>
      </w:r>
    </w:p>
    <w:p w14:paraId="2754A012" w14:textId="77777777" w:rsidR="00D94935" w:rsidRDefault="00D94935" w:rsidP="00D94935">
      <w:pPr>
        <w:pStyle w:val="Amain"/>
      </w:pPr>
      <w:r>
        <w:tab/>
        <w:t>(3)</w:t>
      </w:r>
      <w:r>
        <w:tab/>
        <w:t>The court may order that the applicant give notice of the application to any other party or anyone else who has a sufficient interest.</w:t>
      </w:r>
    </w:p>
    <w:p w14:paraId="748D96DF" w14:textId="77777777" w:rsidR="00D94935" w:rsidRDefault="00D94935" w:rsidP="00D94935">
      <w:pPr>
        <w:pStyle w:val="AH5Sec"/>
      </w:pPr>
      <w:bookmarkStart w:id="1770" w:name="_Toc185515386"/>
      <w:r w:rsidRPr="00C8328B">
        <w:rPr>
          <w:rStyle w:val="CharSectNo"/>
        </w:rPr>
        <w:lastRenderedPageBreak/>
        <w:t>6605</w:t>
      </w:r>
      <w:r>
        <w:tab/>
        <w:t>Service of subpoena</w:t>
      </w:r>
      <w:bookmarkEnd w:id="1770"/>
    </w:p>
    <w:p w14:paraId="76E1DC06" w14:textId="77777777" w:rsidR="00D94935" w:rsidRDefault="00D94935" w:rsidP="007B42FE">
      <w:pPr>
        <w:pStyle w:val="Amain"/>
        <w:keepNext/>
      </w:pPr>
      <w:r>
        <w:tab/>
        <w:t>(1)</w:t>
      </w:r>
      <w:r>
        <w:tab/>
        <w:t>A subpoena must be served personally on the addressee.</w:t>
      </w:r>
    </w:p>
    <w:p w14:paraId="51C2CB7D" w14:textId="77777777"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14:paraId="3905573F" w14:textId="77777777"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14:paraId="1CF0E7C0" w14:textId="77777777"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14:paraId="60F77EC0" w14:textId="77777777" w:rsidR="00D94935" w:rsidRDefault="00D94935" w:rsidP="00D94935">
      <w:pPr>
        <w:pStyle w:val="AH5Sec"/>
      </w:pPr>
      <w:bookmarkStart w:id="1771" w:name="_Toc185515387"/>
      <w:r w:rsidRPr="00C8328B">
        <w:rPr>
          <w:rStyle w:val="CharSectNo"/>
        </w:rPr>
        <w:t>6606</w:t>
      </w:r>
      <w:r>
        <w:tab/>
        <w:t>Compliance with subpoena</w:t>
      </w:r>
      <w:bookmarkEnd w:id="1771"/>
    </w:p>
    <w:p w14:paraId="11C668F7" w14:textId="77777777"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14:paraId="03B57DB6" w14:textId="77777777"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14:paraId="64A46883" w14:textId="77777777"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14:paraId="124A48AD" w14:textId="77777777" w:rsidR="00D94935" w:rsidRDefault="00D94935" w:rsidP="00D94935">
      <w:pPr>
        <w:pStyle w:val="Amain"/>
      </w:pPr>
      <w:r>
        <w:tab/>
        <w:t>(4)</w:t>
      </w:r>
      <w:r>
        <w:tab/>
        <w:t>The addressee must comply with a subpoena to produce—</w:t>
      </w:r>
    </w:p>
    <w:p w14:paraId="46D2DB94" w14:textId="77777777"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14:paraId="223EA897" w14:textId="77777777"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14:paraId="58D66AF1" w14:textId="77777777"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14:paraId="34D18155" w14:textId="77777777"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14:paraId="4353FEA2" w14:textId="3955D3E7" w:rsidR="006D0511" w:rsidRPr="004D5231" w:rsidRDefault="006D0511" w:rsidP="006D0511">
      <w:pPr>
        <w:pStyle w:val="Amain"/>
        <w:rPr>
          <w:shd w:val="clear" w:color="auto" w:fill="FFFFFF"/>
        </w:rPr>
      </w:pPr>
      <w:r w:rsidRPr="004D5231">
        <w:tab/>
        <w:t>(7)</w:t>
      </w:r>
      <w:r w:rsidRPr="004D5231">
        <w:tab/>
        <w:t>A copy of a document may be</w:t>
      </w:r>
      <w:r w:rsidRPr="004D5231">
        <w:rPr>
          <w:color w:val="000000"/>
          <w:shd w:val="clear" w:color="auto" w:fill="FFFFFF"/>
        </w:rPr>
        <w:t>—</w:t>
      </w:r>
    </w:p>
    <w:p w14:paraId="085C681E" w14:textId="77777777" w:rsidR="006D0511" w:rsidRPr="004D5231" w:rsidRDefault="006D0511" w:rsidP="006D0511">
      <w:pPr>
        <w:pStyle w:val="Apara"/>
      </w:pPr>
      <w:r w:rsidRPr="004D5231">
        <w:tab/>
        <w:t>(a)</w:t>
      </w:r>
      <w:r w:rsidRPr="004D5231">
        <w:tab/>
        <w:t>a photocopy of the original; or</w:t>
      </w:r>
    </w:p>
    <w:p w14:paraId="5C130384" w14:textId="2CAF10D2" w:rsidR="006D0511" w:rsidRPr="004D5231" w:rsidRDefault="006D0511" w:rsidP="006D0511">
      <w:pPr>
        <w:pStyle w:val="Apara"/>
      </w:pPr>
      <w:r w:rsidRPr="004D5231">
        <w:tab/>
        <w:t>(b)</w:t>
      </w:r>
      <w:r w:rsidRPr="004D5231">
        <w:tab/>
        <w:t>in any of the following electronic formats:</w:t>
      </w:r>
    </w:p>
    <w:p w14:paraId="607AB6C4" w14:textId="77777777" w:rsidR="006D0511" w:rsidRPr="004D5231" w:rsidRDefault="006D0511" w:rsidP="006D0511">
      <w:pPr>
        <w:pStyle w:val="Asubpara"/>
      </w:pPr>
      <w:r w:rsidRPr="004D5231">
        <w:tab/>
        <w:t>(i)</w:t>
      </w:r>
      <w:r w:rsidRPr="004D5231">
        <w:tab/>
        <w:t>.doc;</w:t>
      </w:r>
    </w:p>
    <w:p w14:paraId="5EC278E8" w14:textId="77777777" w:rsidR="006D0511" w:rsidRPr="004D5231" w:rsidRDefault="006D0511" w:rsidP="006D0511">
      <w:pPr>
        <w:pStyle w:val="Asubpara"/>
      </w:pPr>
      <w:r w:rsidRPr="004D5231">
        <w:tab/>
        <w:t>(ii)</w:t>
      </w:r>
      <w:r w:rsidRPr="004D5231">
        <w:tab/>
        <w:t>.docx;</w:t>
      </w:r>
    </w:p>
    <w:p w14:paraId="65A55836" w14:textId="77777777" w:rsidR="006D0511" w:rsidRPr="004D5231" w:rsidRDefault="006D0511" w:rsidP="006D0511">
      <w:pPr>
        <w:pStyle w:val="Asubpara"/>
      </w:pPr>
      <w:r w:rsidRPr="004D5231">
        <w:tab/>
        <w:t>(iii)</w:t>
      </w:r>
      <w:r w:rsidRPr="004D5231">
        <w:tab/>
        <w:t>.pdf;</w:t>
      </w:r>
    </w:p>
    <w:p w14:paraId="1335FA18" w14:textId="77777777" w:rsidR="006D0511" w:rsidRPr="004D5231" w:rsidRDefault="006D0511" w:rsidP="006D0511">
      <w:pPr>
        <w:pStyle w:val="Asubpara"/>
      </w:pPr>
      <w:r w:rsidRPr="004D5231">
        <w:tab/>
        <w:t>(iv)</w:t>
      </w:r>
      <w:r w:rsidRPr="004D5231">
        <w:tab/>
        <w:t>.xls;</w:t>
      </w:r>
    </w:p>
    <w:p w14:paraId="18C82278" w14:textId="77777777" w:rsidR="006D0511" w:rsidRPr="004D5231" w:rsidRDefault="006D0511" w:rsidP="006D0511">
      <w:pPr>
        <w:pStyle w:val="Asubpara"/>
      </w:pPr>
      <w:r w:rsidRPr="004D5231">
        <w:tab/>
        <w:t>(v)</w:t>
      </w:r>
      <w:r w:rsidRPr="004D5231">
        <w:tab/>
        <w:t>.xlsx;</w:t>
      </w:r>
    </w:p>
    <w:p w14:paraId="50DF0E77" w14:textId="77777777" w:rsidR="006D0511" w:rsidRPr="004D5231" w:rsidRDefault="006D0511" w:rsidP="006D0511">
      <w:pPr>
        <w:pStyle w:val="Asubpara"/>
      </w:pPr>
      <w:r w:rsidRPr="004D5231">
        <w:tab/>
        <w:t>(vi)</w:t>
      </w:r>
      <w:r w:rsidRPr="004D5231">
        <w:tab/>
        <w:t>.jpg;</w:t>
      </w:r>
    </w:p>
    <w:p w14:paraId="183ABFE7" w14:textId="77777777" w:rsidR="006D0511" w:rsidRPr="004D5231" w:rsidRDefault="006D0511" w:rsidP="006D0511">
      <w:pPr>
        <w:pStyle w:val="Asubpara"/>
      </w:pPr>
      <w:r w:rsidRPr="004D5231">
        <w:tab/>
        <w:t>(vii)</w:t>
      </w:r>
      <w:r w:rsidRPr="004D5231">
        <w:tab/>
        <w:t>.rtf;</w:t>
      </w:r>
    </w:p>
    <w:p w14:paraId="20E0BE23" w14:textId="77777777" w:rsidR="006D0511" w:rsidRPr="004D5231" w:rsidRDefault="006D0511" w:rsidP="006D0511">
      <w:pPr>
        <w:pStyle w:val="Asubpara"/>
      </w:pPr>
      <w:r w:rsidRPr="004D5231">
        <w:tab/>
        <w:t>(viii)</w:t>
      </w:r>
      <w:r w:rsidRPr="004D5231">
        <w:tab/>
        <w:t>.gif;</w:t>
      </w:r>
    </w:p>
    <w:p w14:paraId="68EB078C" w14:textId="77777777" w:rsidR="006D0511" w:rsidRPr="004D5231" w:rsidRDefault="006D0511" w:rsidP="006D0511">
      <w:pPr>
        <w:pStyle w:val="Asubpara"/>
      </w:pPr>
      <w:r w:rsidRPr="004D5231">
        <w:tab/>
        <w:t>(ix)</w:t>
      </w:r>
      <w:r w:rsidRPr="004D5231">
        <w:tab/>
        <w:t>.tif;</w:t>
      </w:r>
    </w:p>
    <w:p w14:paraId="1B8D86F7" w14:textId="77777777" w:rsidR="006D0511" w:rsidRPr="004D5231" w:rsidRDefault="006D0511" w:rsidP="006D0511">
      <w:pPr>
        <w:pStyle w:val="Asubpara"/>
      </w:pPr>
      <w:r w:rsidRPr="004D5231">
        <w:tab/>
        <w:t>(x)</w:t>
      </w:r>
      <w:r w:rsidRPr="004D5231">
        <w:tab/>
        <w:t>.avi;</w:t>
      </w:r>
    </w:p>
    <w:p w14:paraId="1F7F63EF" w14:textId="77777777" w:rsidR="006D0511" w:rsidRPr="004D5231" w:rsidRDefault="006D0511" w:rsidP="006D0511">
      <w:pPr>
        <w:pStyle w:val="Asubpara"/>
      </w:pPr>
      <w:r w:rsidRPr="004D5231">
        <w:lastRenderedPageBreak/>
        <w:tab/>
        <w:t>(xi)</w:t>
      </w:r>
      <w:r w:rsidRPr="004D5231">
        <w:tab/>
        <w:t>.mov;</w:t>
      </w:r>
    </w:p>
    <w:p w14:paraId="7529961F" w14:textId="77777777" w:rsidR="006D0511" w:rsidRPr="004D5231" w:rsidRDefault="006D0511" w:rsidP="006D0511">
      <w:pPr>
        <w:pStyle w:val="Asubpara"/>
      </w:pPr>
      <w:r w:rsidRPr="004D5231">
        <w:tab/>
        <w:t>(xii)</w:t>
      </w:r>
      <w:r w:rsidRPr="004D5231">
        <w:tab/>
        <w:t>.mp3;</w:t>
      </w:r>
    </w:p>
    <w:p w14:paraId="57711C58" w14:textId="77777777" w:rsidR="006D0511" w:rsidRPr="004D5231" w:rsidRDefault="006D0511" w:rsidP="006D0511">
      <w:pPr>
        <w:pStyle w:val="Asubpara"/>
      </w:pPr>
      <w:r w:rsidRPr="004D5231">
        <w:tab/>
        <w:t>(xiii)</w:t>
      </w:r>
      <w:r w:rsidRPr="004D5231">
        <w:tab/>
        <w:t>.mp4; or</w:t>
      </w:r>
    </w:p>
    <w:p w14:paraId="29594A31" w14:textId="53252234" w:rsidR="006D0511" w:rsidRPr="004D5231" w:rsidRDefault="006D0511" w:rsidP="006D0511">
      <w:pPr>
        <w:pStyle w:val="Apara"/>
      </w:pPr>
      <w:r w:rsidRPr="004D5231">
        <w:tab/>
        <w:t>(c)</w:t>
      </w:r>
      <w:r w:rsidRPr="004D5231">
        <w:tab/>
        <w:t>in any other format the issuing party has indicated will be acceptable.</w:t>
      </w:r>
    </w:p>
    <w:p w14:paraId="78BE7AAA" w14:textId="77777777" w:rsidR="00D94935" w:rsidRDefault="00D94935" w:rsidP="00D94935">
      <w:pPr>
        <w:pStyle w:val="AH5Sec"/>
      </w:pPr>
      <w:bookmarkStart w:id="1772" w:name="_Toc185515388"/>
      <w:r w:rsidRPr="00C8328B">
        <w:rPr>
          <w:rStyle w:val="CharSectNo"/>
        </w:rPr>
        <w:t>6607</w:t>
      </w:r>
      <w:r>
        <w:tab/>
        <w:t>Production of subpoenaed document etc otherwise than on attendance</w:t>
      </w:r>
      <w:bookmarkEnd w:id="1772"/>
    </w:p>
    <w:p w14:paraId="3E74B362" w14:textId="77777777" w:rsidR="00D94935" w:rsidRDefault="00D94935" w:rsidP="00D94935">
      <w:pPr>
        <w:pStyle w:val="Amain"/>
      </w:pPr>
      <w:r>
        <w:tab/>
        <w:t>(1)</w:t>
      </w:r>
      <w:r>
        <w:tab/>
        <w:t>This rule applies if an addressee produces a document or thing under rule 6606 (4) (b).</w:t>
      </w:r>
    </w:p>
    <w:p w14:paraId="1E129889" w14:textId="77777777" w:rsidR="00D94935" w:rsidRDefault="00D94935" w:rsidP="00D94935">
      <w:pPr>
        <w:pStyle w:val="Amain"/>
      </w:pPr>
      <w:r>
        <w:tab/>
        <w:t>(2)</w:t>
      </w:r>
      <w:r>
        <w:tab/>
        <w:t>The registrar must, if asked by the addressee, give a receipt for the document or thing to the addressee.</w:t>
      </w:r>
    </w:p>
    <w:p w14:paraId="4A7282C1" w14:textId="77777777" w:rsidR="00D94935" w:rsidRDefault="00D94935" w:rsidP="00D94935">
      <w:pPr>
        <w:pStyle w:val="Amain"/>
      </w:pPr>
      <w:r>
        <w:tab/>
        <w:t>(3)</w:t>
      </w:r>
      <w:r>
        <w:tab/>
        <w:t>If the addressee produces more than 1 document or thing, the addressee must, if asked by the registrar, provide a list of the documents or things produced.</w:t>
      </w:r>
    </w:p>
    <w:p w14:paraId="5ED75475" w14:textId="12141FAE" w:rsidR="006D0511" w:rsidRPr="004D5231" w:rsidRDefault="006D0511" w:rsidP="006D0511">
      <w:pPr>
        <w:pStyle w:val="AH5Sec"/>
      </w:pPr>
      <w:bookmarkStart w:id="1773" w:name="_Toc185515389"/>
      <w:r w:rsidRPr="006D0511">
        <w:rPr>
          <w:rStyle w:val="CharSectNo"/>
        </w:rPr>
        <w:t>6607A</w:t>
      </w:r>
      <w:r w:rsidRPr="004D5231">
        <w:tab/>
        <w:t>Addressee declaration on production of subpoenaed document or thing</w:t>
      </w:r>
      <w:bookmarkEnd w:id="1773"/>
    </w:p>
    <w:p w14:paraId="05CFED51" w14:textId="77777777" w:rsidR="006D0511" w:rsidRPr="004D5231" w:rsidRDefault="006D0511" w:rsidP="006D0511">
      <w:pPr>
        <w:pStyle w:val="Amain"/>
      </w:pPr>
      <w:r>
        <w:tab/>
      </w:r>
      <w:r w:rsidRPr="004D5231">
        <w:t>(1)</w:t>
      </w:r>
      <w:r w:rsidRPr="004D5231">
        <w:tab/>
        <w:t>This rule applies if an addressee produces a document or thing under a subpoena.</w:t>
      </w:r>
    </w:p>
    <w:p w14:paraId="14CFE39E" w14:textId="4613D630" w:rsidR="006D0511" w:rsidRPr="004D5231" w:rsidRDefault="006D0511" w:rsidP="006D0511">
      <w:pPr>
        <w:pStyle w:val="Amain"/>
      </w:pPr>
      <w:r w:rsidRPr="004D5231">
        <w:tab/>
        <w:t>(2)</w:t>
      </w:r>
      <w:r w:rsidRPr="004D5231">
        <w:tab/>
        <w:t>The addressee must</w:t>
      </w:r>
      <w:r w:rsidRPr="004D5231">
        <w:rPr>
          <w:color w:val="000000"/>
          <w:shd w:val="clear" w:color="auto" w:fill="FFFFFF"/>
        </w:rPr>
        <w:t>—</w:t>
      </w:r>
    </w:p>
    <w:p w14:paraId="065BD7CE" w14:textId="2CEE00AE" w:rsidR="006D0511" w:rsidRPr="004D5231" w:rsidRDefault="006D0511" w:rsidP="006D0511">
      <w:pPr>
        <w:pStyle w:val="Apara"/>
      </w:pPr>
      <w:r w:rsidRPr="004D5231">
        <w:tab/>
        <w:t>(a)</w:t>
      </w:r>
      <w:r w:rsidRPr="004D5231">
        <w:tab/>
        <w:t>complete the declaration form in the subpoena to declare whether they want the document or thing being produced to be returned to them when the document or thing is no longer required by the court; and</w:t>
      </w:r>
    </w:p>
    <w:p w14:paraId="0C729E2E" w14:textId="77777777" w:rsidR="006D0511" w:rsidRPr="004D5231" w:rsidRDefault="006D0511" w:rsidP="006D0511">
      <w:pPr>
        <w:pStyle w:val="Apara"/>
      </w:pPr>
      <w:r w:rsidRPr="004D5231">
        <w:tab/>
        <w:t>(b)</w:t>
      </w:r>
      <w:r w:rsidRPr="004D5231">
        <w:tab/>
        <w:t>include the completed declaration in the subpoena or copy of the subpoena that accompanies the documents or things produced to the court in response to the subpoena.</w:t>
      </w:r>
    </w:p>
    <w:p w14:paraId="50148DCD" w14:textId="77777777" w:rsidR="00D94935" w:rsidRDefault="00D94935" w:rsidP="00D94935">
      <w:pPr>
        <w:pStyle w:val="AH5Sec"/>
      </w:pPr>
      <w:bookmarkStart w:id="1774" w:name="_Toc185515390"/>
      <w:r w:rsidRPr="00C8328B">
        <w:rPr>
          <w:rStyle w:val="CharSectNo"/>
        </w:rPr>
        <w:lastRenderedPageBreak/>
        <w:t>6608</w:t>
      </w:r>
      <w:r>
        <w:tab/>
        <w:t>Removal, return, inspection etc of subpoenaed documents and things</w:t>
      </w:r>
      <w:bookmarkEnd w:id="1774"/>
    </w:p>
    <w:p w14:paraId="3F90E384" w14:textId="77777777"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14:paraId="347503F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14:paraId="0825D960" w14:textId="77777777" w:rsidR="00D94935" w:rsidRDefault="00D94935" w:rsidP="00D94935">
      <w:pPr>
        <w:pStyle w:val="AH5Sec"/>
      </w:pPr>
      <w:bookmarkStart w:id="1775" w:name="_Toc185515391"/>
      <w:r w:rsidRPr="00C8328B">
        <w:rPr>
          <w:rStyle w:val="CharSectNo"/>
        </w:rPr>
        <w:t>6609</w:t>
      </w:r>
      <w:r>
        <w:tab/>
        <w:t>Inspection of, and dealing with, subpoenaed documents and things produced otherwise than on attendance</w:t>
      </w:r>
      <w:bookmarkEnd w:id="1775"/>
    </w:p>
    <w:p w14:paraId="2F10E5A8" w14:textId="77777777" w:rsidR="00D94935" w:rsidRDefault="00D94935" w:rsidP="00D94935">
      <w:pPr>
        <w:pStyle w:val="Amain"/>
      </w:pPr>
      <w:r>
        <w:tab/>
        <w:t>(1)</w:t>
      </w:r>
      <w:r>
        <w:tab/>
        <w:t>This rule applies if an addressee produces a document or thing under rule 6606 (4) (b).</w:t>
      </w:r>
    </w:p>
    <w:p w14:paraId="36473732" w14:textId="77777777"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14:paraId="651D58D8" w14:textId="77777777" w:rsidR="00D94935" w:rsidRDefault="00D94935" w:rsidP="00D94935">
      <w:pPr>
        <w:pStyle w:val="Amain"/>
      </w:pPr>
      <w:r>
        <w:tab/>
        <w:t>(3)</w:t>
      </w:r>
      <w:r>
        <w:tab/>
        <w:t>The request mentioned in subrule (2) must be made orally on the return date for the subpoena or in writing after the return date.</w:t>
      </w:r>
    </w:p>
    <w:p w14:paraId="31E654F3" w14:textId="77777777" w:rsidR="00D94935" w:rsidRDefault="00D94935" w:rsidP="00D94935">
      <w:pPr>
        <w:pStyle w:val="Amain"/>
      </w:pPr>
      <w:r>
        <w:tab/>
        <w:t>(4)</w:t>
      </w:r>
      <w:r>
        <w:tab/>
        <w:t>A person may inspect a document or thing produced in response to a subpoena only—</w:t>
      </w:r>
    </w:p>
    <w:p w14:paraId="6C55B921" w14:textId="77777777" w:rsidR="00D94935" w:rsidRDefault="00D94935" w:rsidP="00D94935">
      <w:pPr>
        <w:pStyle w:val="Apara"/>
      </w:pPr>
      <w:r>
        <w:tab/>
        <w:t>(a)</w:t>
      </w:r>
      <w:r>
        <w:tab/>
        <w:t>in accordance with the usual order or otherwise in accordance with this rule; or</w:t>
      </w:r>
    </w:p>
    <w:p w14:paraId="2FAC1270" w14:textId="77777777" w:rsidR="00D94935" w:rsidRDefault="00D94935" w:rsidP="00D94935">
      <w:pPr>
        <w:pStyle w:val="Apara"/>
        <w:keepNext/>
      </w:pPr>
      <w:r>
        <w:tab/>
        <w:t>(b)</w:t>
      </w:r>
      <w:r>
        <w:tab/>
        <w:t>if the court has given leave and the inspection is in accordance with the leave.</w:t>
      </w:r>
    </w:p>
    <w:p w14:paraId="774C187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6623C46B" w14:textId="375995C8" w:rsidR="006D0511" w:rsidRPr="004D5231" w:rsidRDefault="006D0511" w:rsidP="008F4C18">
      <w:pPr>
        <w:pStyle w:val="Amain"/>
        <w:keepNext/>
        <w:rPr>
          <w:shd w:val="clear" w:color="auto" w:fill="FFFFFF"/>
        </w:rPr>
      </w:pPr>
      <w:r w:rsidRPr="004D5231">
        <w:lastRenderedPageBreak/>
        <w:tab/>
        <w:t>(5)</w:t>
      </w:r>
      <w:r w:rsidRPr="004D5231">
        <w:tab/>
        <w:t>The registrar may allow the parties to inspect at the registry any document or thing produced unless</w:t>
      </w:r>
      <w:r w:rsidRPr="004D5231">
        <w:rPr>
          <w:color w:val="000000"/>
          <w:shd w:val="clear" w:color="auto" w:fill="FFFFFF"/>
        </w:rPr>
        <w:t>—</w:t>
      </w:r>
    </w:p>
    <w:p w14:paraId="05332BB2" w14:textId="172E6C73" w:rsidR="006D0511" w:rsidRPr="004D5231" w:rsidRDefault="006D0511" w:rsidP="000A222C">
      <w:pPr>
        <w:pStyle w:val="Apara"/>
        <w:rPr>
          <w:shd w:val="clear" w:color="auto" w:fill="FFFFFF"/>
        </w:rPr>
      </w:pPr>
      <w:r w:rsidRPr="004D5231">
        <w:tab/>
        <w:t>(a)</w:t>
      </w:r>
      <w:r w:rsidRPr="004D5231">
        <w:tab/>
        <w:t>an objection to inspection has been made under subrule</w:t>
      </w:r>
      <w:r>
        <w:t xml:space="preserve"> </w:t>
      </w:r>
      <w:r w:rsidRPr="004D5231">
        <w:t>(6) and the objection has not been decided by the court or withdrawn by the person who made the objection</w:t>
      </w:r>
      <w:r w:rsidRPr="004D5231">
        <w:rPr>
          <w:color w:val="000000"/>
          <w:shd w:val="clear" w:color="auto" w:fill="FFFFFF"/>
        </w:rPr>
        <w:t>; or</w:t>
      </w:r>
    </w:p>
    <w:p w14:paraId="171FF195" w14:textId="77777777" w:rsidR="006D0511" w:rsidRPr="004D5231" w:rsidRDefault="006D0511" w:rsidP="000A222C">
      <w:pPr>
        <w:pStyle w:val="Apara"/>
      </w:pPr>
      <w:r w:rsidRPr="004D5231">
        <w:tab/>
        <w:t>(b)</w:t>
      </w:r>
      <w:r w:rsidRPr="004D5231">
        <w:tab/>
        <w:t>the court otherwise orders.</w:t>
      </w:r>
    </w:p>
    <w:p w14:paraId="3F839129" w14:textId="776519D5" w:rsidR="006D0511" w:rsidRPr="004D5231" w:rsidRDefault="006D0511" w:rsidP="000A222C">
      <w:pPr>
        <w:pStyle w:val="Amain"/>
      </w:pPr>
      <w:r w:rsidRPr="004D5231">
        <w:tab/>
        <w:t>(6)</w:t>
      </w:r>
      <w:r w:rsidRPr="004D5231">
        <w:tab/>
        <w:t>If the addressee, a party or another person having a sufficient interest (the </w:t>
      </w:r>
      <w:r w:rsidRPr="00255875">
        <w:rPr>
          <w:rStyle w:val="charBoldItals"/>
        </w:rPr>
        <w:t>objector</w:t>
      </w:r>
      <w:r w:rsidRPr="004D5231">
        <w:t>) objects to a document or thing being inspected by any party to the proceeding, the objector must tell the court about the objection and the grounds of the objection</w:t>
      </w:r>
      <w:r w:rsidRPr="004D5231">
        <w:rPr>
          <w:color w:val="000000"/>
          <w:shd w:val="clear" w:color="auto" w:fill="FFFFFF"/>
        </w:rPr>
        <w:t>—</w:t>
      </w:r>
    </w:p>
    <w:p w14:paraId="356495EE" w14:textId="15D498CD" w:rsidR="006D0511" w:rsidRPr="004D5231" w:rsidRDefault="006D0511" w:rsidP="000A222C">
      <w:pPr>
        <w:pStyle w:val="Apara"/>
      </w:pPr>
      <w:r w:rsidRPr="004D5231">
        <w:tab/>
        <w:t>(a)</w:t>
      </w:r>
      <w:r w:rsidRPr="004D5231">
        <w:tab/>
        <w:t>in writing before, on or after the return date; or</w:t>
      </w:r>
    </w:p>
    <w:p w14:paraId="6ED8A29A" w14:textId="17F6A633" w:rsidR="006D0511" w:rsidRPr="004D5231" w:rsidRDefault="006D0511" w:rsidP="000A222C">
      <w:pPr>
        <w:pStyle w:val="Apara"/>
      </w:pPr>
      <w:r w:rsidRPr="004D5231">
        <w:tab/>
        <w:t>(b)</w:t>
      </w:r>
      <w:r w:rsidRPr="004D5231">
        <w:tab/>
        <w:t>orally on the return date.</w:t>
      </w:r>
    </w:p>
    <w:p w14:paraId="05E0E778" w14:textId="680C59E5" w:rsidR="00D94935" w:rsidRDefault="00D94935" w:rsidP="00D94935">
      <w:pPr>
        <w:pStyle w:val="Amain"/>
      </w:pPr>
      <w:r>
        <w:tab/>
        <w:t>(</w:t>
      </w:r>
      <w:r w:rsidR="006D0511">
        <w:t>7</w:t>
      </w:r>
      <w:r>
        <w:t>)</w:t>
      </w:r>
      <w:r>
        <w:tab/>
        <w:t>If the court receives an objection under this rule, the registrar—</w:t>
      </w:r>
    </w:p>
    <w:p w14:paraId="201C96C6" w14:textId="77777777" w:rsidR="00D94935" w:rsidRDefault="00D94935" w:rsidP="00D94935">
      <w:pPr>
        <w:pStyle w:val="Apara"/>
      </w:pPr>
      <w:r>
        <w:tab/>
        <w:t>(a)</w:t>
      </w:r>
      <w:r>
        <w:tab/>
        <w:t>must not allow any, or any further, inspection of the document or thing the subject of the objection; and</w:t>
      </w:r>
    </w:p>
    <w:p w14:paraId="03D0FBE8" w14:textId="77777777" w:rsidR="00D94935" w:rsidRDefault="00D94935" w:rsidP="00D94935">
      <w:pPr>
        <w:pStyle w:val="Apara"/>
      </w:pPr>
      <w:r>
        <w:tab/>
        <w:t>(b)</w:t>
      </w:r>
      <w:r>
        <w:tab/>
        <w:t>must refer the objection to the court for hearing and decision.</w:t>
      </w:r>
    </w:p>
    <w:p w14:paraId="035C9BD2" w14:textId="77777777"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14:paraId="12D28508" w14:textId="6C52AF11" w:rsidR="00D94935" w:rsidRDefault="00D94935" w:rsidP="00D94935">
      <w:pPr>
        <w:pStyle w:val="Amain"/>
        <w:keepNext/>
      </w:pPr>
      <w:r>
        <w:tab/>
        <w:t>(</w:t>
      </w:r>
      <w:r w:rsidR="006D0511">
        <w:t>8</w:t>
      </w:r>
      <w:r>
        <w:t>)</w:t>
      </w:r>
      <w:r>
        <w:tab/>
        <w:t>The registrar must tell the issuing party in writing about—</w:t>
      </w:r>
    </w:p>
    <w:p w14:paraId="31465129" w14:textId="77777777" w:rsidR="00D94935" w:rsidRDefault="00D94935" w:rsidP="00D94935">
      <w:pPr>
        <w:pStyle w:val="Apara"/>
        <w:keepNext/>
      </w:pPr>
      <w:r>
        <w:tab/>
        <w:t>(a)</w:t>
      </w:r>
      <w:r>
        <w:tab/>
        <w:t>the objection; and</w:t>
      </w:r>
    </w:p>
    <w:p w14:paraId="71A44FC8" w14:textId="77777777" w:rsidR="00D94935" w:rsidRDefault="00D94935" w:rsidP="00D94935">
      <w:pPr>
        <w:pStyle w:val="Apara"/>
      </w:pPr>
      <w:r>
        <w:tab/>
        <w:t>(b)</w:t>
      </w:r>
      <w:r>
        <w:tab/>
        <w:t>the date, time and place the objection will be heard.</w:t>
      </w:r>
    </w:p>
    <w:p w14:paraId="4795AD35" w14:textId="3B131663" w:rsidR="00D94935" w:rsidRDefault="00D94935" w:rsidP="00D94935">
      <w:pPr>
        <w:pStyle w:val="Amain"/>
      </w:pPr>
      <w:r>
        <w:tab/>
        <w:t>(</w:t>
      </w:r>
      <w:r w:rsidR="006D0511">
        <w:t>9</w:t>
      </w:r>
      <w:r>
        <w:t>)</w:t>
      </w:r>
      <w:r>
        <w:tab/>
        <w:t>The issuing party must, a reasonable time before the date the objection will be heard, tell the addressee, the objector and each other active party in writing about—</w:t>
      </w:r>
    </w:p>
    <w:p w14:paraId="5422A657" w14:textId="77777777" w:rsidR="00D94935" w:rsidRDefault="00D94935" w:rsidP="00D94935">
      <w:pPr>
        <w:pStyle w:val="Apara"/>
      </w:pPr>
      <w:r>
        <w:tab/>
        <w:t>(a)</w:t>
      </w:r>
      <w:r>
        <w:tab/>
        <w:t>the objection; and</w:t>
      </w:r>
    </w:p>
    <w:p w14:paraId="50543A83" w14:textId="77777777" w:rsidR="00D94935" w:rsidRDefault="00D94935" w:rsidP="00D36DB6">
      <w:pPr>
        <w:pStyle w:val="Apara"/>
      </w:pPr>
      <w:r>
        <w:tab/>
        <w:t>(b)</w:t>
      </w:r>
      <w:r>
        <w:tab/>
        <w:t>the date, time and place the objection will be heard.</w:t>
      </w:r>
    </w:p>
    <w:p w14:paraId="4A558470" w14:textId="664EAD81" w:rsidR="00D94935" w:rsidRDefault="00D94935" w:rsidP="00D36DB6">
      <w:pPr>
        <w:pStyle w:val="Amain"/>
        <w:keepNext/>
      </w:pPr>
      <w:r>
        <w:lastRenderedPageBreak/>
        <w:tab/>
        <w:t>(1</w:t>
      </w:r>
      <w:r w:rsidR="006D0511">
        <w:t>0</w:t>
      </w:r>
      <w:r>
        <w:t>)</w:t>
      </w:r>
      <w:r>
        <w:tab/>
        <w:t>In this rule:</w:t>
      </w:r>
    </w:p>
    <w:p w14:paraId="4DC69627" w14:textId="77777777"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14:paraId="567B2B5C" w14:textId="77777777"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14:paraId="03C74BE2" w14:textId="73630A06" w:rsidR="006D0511" w:rsidRPr="004D5231" w:rsidRDefault="006D0511" w:rsidP="006D0511">
      <w:pPr>
        <w:pStyle w:val="AH5Sec"/>
      </w:pPr>
      <w:bookmarkStart w:id="1776" w:name="_Toc185515392"/>
      <w:r w:rsidRPr="006D0511">
        <w:rPr>
          <w:rStyle w:val="CharSectNo"/>
        </w:rPr>
        <w:t>6610</w:t>
      </w:r>
      <w:r w:rsidRPr="004D5231">
        <w:tab/>
        <w:t>Return or disposal of subpoenaed documents and things produced</w:t>
      </w:r>
      <w:bookmarkEnd w:id="1776"/>
    </w:p>
    <w:p w14:paraId="0FB6DD3E" w14:textId="456924FB" w:rsidR="006D0511" w:rsidRPr="004D5231" w:rsidRDefault="006D0511" w:rsidP="006D0511">
      <w:pPr>
        <w:pStyle w:val="Amain"/>
      </w:pPr>
      <w:r w:rsidRPr="004D5231">
        <w:tab/>
        <w:t>(1)</w:t>
      </w:r>
      <w:r w:rsidRPr="004D5231">
        <w:tab/>
        <w:t>Unless the court orders otherwise, the registrar may decide to return to the addressee any document or thing produced in the proceeding in response to the subpoena to the addressee if</w:t>
      </w:r>
      <w:r w:rsidRPr="004D5231">
        <w:rPr>
          <w:color w:val="000000"/>
          <w:shd w:val="clear" w:color="auto" w:fill="FFFFFF"/>
        </w:rPr>
        <w:t>—</w:t>
      </w:r>
    </w:p>
    <w:p w14:paraId="75525994" w14:textId="77777777" w:rsidR="006D0511" w:rsidRPr="004D5231" w:rsidRDefault="006D0511" w:rsidP="006D0511">
      <w:pPr>
        <w:pStyle w:val="Apara"/>
      </w:pPr>
      <w:r w:rsidRPr="004D5231">
        <w:tab/>
        <w:t>(a)</w:t>
      </w:r>
      <w:r w:rsidRPr="004D5231">
        <w:tab/>
        <w:t>the addressee has declared that they want the document or thing returned to them; and</w:t>
      </w:r>
    </w:p>
    <w:p w14:paraId="73437C99" w14:textId="77777777" w:rsidR="006D0511" w:rsidRPr="004D5231" w:rsidRDefault="006D0511" w:rsidP="006D0511">
      <w:pPr>
        <w:pStyle w:val="Apara"/>
      </w:pPr>
      <w:r w:rsidRPr="004D5231">
        <w:tab/>
        <w:t>(b)</w:t>
      </w:r>
      <w:r w:rsidRPr="004D5231">
        <w:tab/>
        <w:t>either</w:t>
      </w:r>
      <w:r w:rsidRPr="004D5231">
        <w:rPr>
          <w:color w:val="000000"/>
          <w:shd w:val="clear" w:color="auto" w:fill="FFFFFF"/>
        </w:rPr>
        <w:t>—</w:t>
      </w:r>
    </w:p>
    <w:p w14:paraId="7F0FE0E8" w14:textId="77777777" w:rsidR="006D0511" w:rsidRPr="004D5231" w:rsidRDefault="006D0511" w:rsidP="006D0511">
      <w:pPr>
        <w:pStyle w:val="Asubpara"/>
      </w:pPr>
      <w:r w:rsidRPr="004D5231">
        <w:tab/>
        <w:t>(i)</w:t>
      </w:r>
      <w:r w:rsidRPr="004D5231">
        <w:tab/>
        <w:t>it is more than 28 days after the day the proceeding ended; or</w:t>
      </w:r>
    </w:p>
    <w:p w14:paraId="1F3410B4" w14:textId="77777777" w:rsidR="006D0511" w:rsidRPr="004D5231" w:rsidRDefault="006D0511" w:rsidP="006D0511">
      <w:pPr>
        <w:pStyle w:val="Asubpara"/>
        <w:rPr>
          <w:shd w:val="clear" w:color="auto" w:fill="FFFFFF"/>
        </w:rPr>
      </w:pPr>
      <w:r w:rsidRPr="004D5231">
        <w:tab/>
        <w:t>(ii)</w:t>
      </w:r>
      <w:r w:rsidRPr="004D5231">
        <w:tab/>
        <w:t>it is less than 28 days after the day the proceeding ended and</w:t>
      </w:r>
      <w:r w:rsidRPr="004D5231">
        <w:rPr>
          <w:shd w:val="clear" w:color="auto" w:fill="FFFFFF"/>
        </w:rPr>
        <w:t>—</w:t>
      </w:r>
    </w:p>
    <w:p w14:paraId="2B719CF0" w14:textId="77777777" w:rsidR="006D0511" w:rsidRPr="004D5231" w:rsidRDefault="006D0511" w:rsidP="006D0511">
      <w:pPr>
        <w:pStyle w:val="Asubsubpara"/>
        <w:rPr>
          <w:shd w:val="clear" w:color="auto" w:fill="FFFFFF"/>
        </w:rPr>
      </w:pPr>
      <w:r w:rsidRPr="004D5231">
        <w:rPr>
          <w:shd w:val="clear" w:color="auto" w:fill="FFFFFF"/>
        </w:rPr>
        <w:tab/>
        <w:t>(A)</w:t>
      </w:r>
      <w:r w:rsidRPr="004D5231">
        <w:rPr>
          <w:shd w:val="clear" w:color="auto" w:fill="FFFFFF"/>
        </w:rPr>
        <w:tab/>
        <w:t>the registrar has given the issuing party, in writing, at least 14</w:t>
      </w:r>
      <w:r>
        <w:rPr>
          <w:shd w:val="clear" w:color="auto" w:fill="FFFFFF"/>
        </w:rPr>
        <w:t xml:space="preserve"> </w:t>
      </w:r>
      <w:r w:rsidRPr="004D5231">
        <w:rPr>
          <w:shd w:val="clear" w:color="auto" w:fill="FFFFFF"/>
        </w:rPr>
        <w:t>days notice of the registrar’s intention to return the document or thing; and</w:t>
      </w:r>
    </w:p>
    <w:p w14:paraId="409E6AF8" w14:textId="77777777" w:rsidR="006D0511" w:rsidRPr="004D5231" w:rsidRDefault="006D0511" w:rsidP="006D0511">
      <w:pPr>
        <w:pStyle w:val="Asubsubpara"/>
      </w:pPr>
      <w:r w:rsidRPr="004D5231">
        <w:rPr>
          <w:shd w:val="clear" w:color="auto" w:fill="FFFFFF"/>
        </w:rPr>
        <w:tab/>
        <w:t>(B)</w:t>
      </w:r>
      <w:r w:rsidRPr="004D5231">
        <w:rPr>
          <w:shd w:val="clear" w:color="auto" w:fill="FFFFFF"/>
        </w:rPr>
        <w:tab/>
        <w:t>the 14-day period has ended.</w:t>
      </w:r>
    </w:p>
    <w:p w14:paraId="187A8663" w14:textId="77777777" w:rsidR="006D0511" w:rsidRPr="004D5231" w:rsidRDefault="006D0511" w:rsidP="006D0511">
      <w:pPr>
        <w:pStyle w:val="aNote"/>
      </w:pPr>
      <w:r w:rsidRPr="00255875">
        <w:rPr>
          <w:rStyle w:val="charItals"/>
        </w:rPr>
        <w:t>Note</w:t>
      </w:r>
      <w:r w:rsidRPr="00255875">
        <w:rPr>
          <w:rStyle w:val="charItals"/>
        </w:rPr>
        <w:tab/>
      </w:r>
      <w:r w:rsidRPr="004D5231">
        <w:rPr>
          <w:color w:val="000000"/>
        </w:rPr>
        <w:t>Pt 6.2 (Applications in proceedings) applies to an application for an order otherwise ordering under this rule.</w:t>
      </w:r>
    </w:p>
    <w:p w14:paraId="2F8232B9" w14:textId="3C3A9A12" w:rsidR="006D0511" w:rsidRPr="004D5231" w:rsidRDefault="006D0511" w:rsidP="00353D2C">
      <w:pPr>
        <w:pStyle w:val="Amain"/>
        <w:keepNext/>
      </w:pPr>
      <w:r w:rsidRPr="004D5231">
        <w:lastRenderedPageBreak/>
        <w:tab/>
        <w:t>(2)</w:t>
      </w:r>
      <w:r w:rsidRPr="004D5231">
        <w:tab/>
        <w:t>If the registrar decides to return a document or thing under subrule (1), the registrar must give the addressee written notice stating that</w:t>
      </w:r>
      <w:r w:rsidRPr="004D5231">
        <w:rPr>
          <w:color w:val="000000"/>
          <w:shd w:val="clear" w:color="auto" w:fill="FFFFFF"/>
        </w:rPr>
        <w:t>—</w:t>
      </w:r>
    </w:p>
    <w:p w14:paraId="30E0A3DF" w14:textId="2F356AF9" w:rsidR="006D0511" w:rsidRPr="004D5231" w:rsidRDefault="006D0511" w:rsidP="006D0511">
      <w:pPr>
        <w:pStyle w:val="Apara"/>
      </w:pPr>
      <w:r w:rsidRPr="004D5231">
        <w:tab/>
        <w:t>(a)</w:t>
      </w:r>
      <w:r w:rsidRPr="004D5231">
        <w:tab/>
        <w:t>the document or thing can be collected from the registry; and</w:t>
      </w:r>
    </w:p>
    <w:p w14:paraId="34FB727C" w14:textId="2F55A268" w:rsidR="006D0511" w:rsidRPr="004D5231" w:rsidRDefault="006D0511" w:rsidP="006D0511">
      <w:pPr>
        <w:pStyle w:val="Apara"/>
      </w:pPr>
      <w:r w:rsidRPr="004D5231">
        <w:tab/>
        <w:t>(b)</w:t>
      </w:r>
      <w:r w:rsidRPr="004D5231">
        <w:tab/>
        <w:t xml:space="preserve">the addressee may tell the registrar in writing that the addressee no longer </w:t>
      </w:r>
      <w:r w:rsidRPr="004D5231">
        <w:rPr>
          <w:color w:val="000000"/>
        </w:rPr>
        <w:t>wants the document or thing returned to them; and</w:t>
      </w:r>
    </w:p>
    <w:p w14:paraId="2D63DC09" w14:textId="77777777" w:rsidR="006D0511" w:rsidRPr="004D5231" w:rsidRDefault="006D0511" w:rsidP="006D0511">
      <w:pPr>
        <w:pStyle w:val="Apara"/>
      </w:pPr>
      <w:r w:rsidRPr="004D5231">
        <w:tab/>
        <w:t>(c)</w:t>
      </w:r>
      <w:r w:rsidRPr="004D5231">
        <w:tab/>
        <w:t>if the document or thing is not collected from the registry within 28 days after the day the notice is given to the addressee, the registrar may dispose of the document or thing.</w:t>
      </w:r>
    </w:p>
    <w:p w14:paraId="6AFD08B4" w14:textId="41DE183E" w:rsidR="006D0511" w:rsidRPr="004D5231" w:rsidRDefault="006D0511" w:rsidP="006D0511">
      <w:pPr>
        <w:pStyle w:val="Amain"/>
        <w:rPr>
          <w:shd w:val="clear" w:color="auto" w:fill="FFFFFF"/>
        </w:rPr>
      </w:pPr>
      <w:r w:rsidRPr="004D5231">
        <w:tab/>
        <w:t>(3)</w:t>
      </w:r>
      <w:r w:rsidRPr="004D5231">
        <w:tab/>
        <w:t>The registrar may dispose of the document or thing in a way the registrar considers appropriate if</w:t>
      </w:r>
      <w:r w:rsidRPr="004D5231">
        <w:rPr>
          <w:color w:val="000000"/>
          <w:shd w:val="clear" w:color="auto" w:fill="FFFFFF"/>
        </w:rPr>
        <w:t>—</w:t>
      </w:r>
    </w:p>
    <w:p w14:paraId="0843CD84" w14:textId="5956CB28" w:rsidR="006D0511" w:rsidRPr="004D5231" w:rsidRDefault="006D0511" w:rsidP="006D0511">
      <w:pPr>
        <w:pStyle w:val="Apara"/>
      </w:pPr>
      <w:r w:rsidRPr="004D5231">
        <w:tab/>
        <w:t>(a)</w:t>
      </w:r>
      <w:r w:rsidRPr="004D5231">
        <w:tab/>
        <w:t>the addressee declared that they do not want the document or thing returned to them; or</w:t>
      </w:r>
    </w:p>
    <w:p w14:paraId="2C2FF8A0" w14:textId="71BCA574" w:rsidR="006D0511" w:rsidRPr="004D5231" w:rsidRDefault="006D0511" w:rsidP="006D0511">
      <w:pPr>
        <w:pStyle w:val="Apara"/>
      </w:pPr>
      <w:r w:rsidRPr="004D5231">
        <w:tab/>
        <w:t>(b)</w:t>
      </w:r>
      <w:r w:rsidRPr="004D5231">
        <w:tab/>
        <w:t>the registrar has given the addressee a notice under subrule</w:t>
      </w:r>
      <w:r>
        <w:t xml:space="preserve"> </w:t>
      </w:r>
      <w:r w:rsidRPr="004D5231">
        <w:t>(2) and the addressee does not collect the document or thing within the 28</w:t>
      </w:r>
      <w:r w:rsidRPr="004D5231">
        <w:noBreakHyphen/>
        <w:t>day period.</w:t>
      </w:r>
    </w:p>
    <w:p w14:paraId="38994A51" w14:textId="24CE6775" w:rsidR="00D94935" w:rsidRDefault="00D94935" w:rsidP="00D94935">
      <w:pPr>
        <w:pStyle w:val="AH5Sec"/>
      </w:pPr>
      <w:bookmarkStart w:id="1777" w:name="_Toc185515393"/>
      <w:r w:rsidRPr="00C8328B">
        <w:rPr>
          <w:rStyle w:val="CharSectNo"/>
        </w:rPr>
        <w:t>6611</w:t>
      </w:r>
      <w:r>
        <w:tab/>
        <w:t>Costs and expenses of compliance with subpoena</w:t>
      </w:r>
      <w:bookmarkEnd w:id="1777"/>
    </w:p>
    <w:p w14:paraId="6BC4DE10" w14:textId="77777777" w:rsidR="00D94935" w:rsidRDefault="00D94935" w:rsidP="00D94935">
      <w:pPr>
        <w:pStyle w:val="Amain"/>
        <w:keepNext/>
      </w:pPr>
      <w:r>
        <w:tab/>
        <w:t>(1)</w:t>
      </w:r>
      <w:r>
        <w:tab/>
        <w:t>This rule applies if the addressee for a subpoena in a proceeding is not a party to the proceeding.</w:t>
      </w:r>
    </w:p>
    <w:p w14:paraId="7A880771" w14:textId="77777777" w:rsidR="00D94935" w:rsidRDefault="00D94935" w:rsidP="00D94935">
      <w:pPr>
        <w:pStyle w:val="Amain"/>
        <w:keepNext/>
      </w:pPr>
      <w:r>
        <w:tab/>
        <w:t>(2)</w:t>
      </w:r>
      <w:r>
        <w:tab/>
        <w:t>The court may order the issuing party to pay the amount of any reasonable loss or expense incurred in complying with the subpoena.</w:t>
      </w:r>
    </w:p>
    <w:p w14:paraId="4F926F2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FBF7480" w14:textId="77777777" w:rsidR="00D94935" w:rsidRDefault="00D94935" w:rsidP="00D94935">
      <w:pPr>
        <w:pStyle w:val="Amain"/>
      </w:pPr>
      <w:r>
        <w:tab/>
        <w:t>(3)</w:t>
      </w:r>
      <w:r>
        <w:tab/>
        <w:t>If an order is made under subrule (2), the court must fix the amount or direct that it be fixed according to the court’s usual procedure in relation to costs.</w:t>
      </w:r>
    </w:p>
    <w:p w14:paraId="2EE52EF6" w14:textId="77777777" w:rsidR="00D94935" w:rsidRDefault="00D94935" w:rsidP="00D94935">
      <w:pPr>
        <w:pStyle w:val="Amain"/>
      </w:pPr>
      <w:r>
        <w:tab/>
        <w:t>(4)</w:t>
      </w:r>
      <w:r>
        <w:tab/>
        <w:t>An amount fixed under this rule is separate from and additional to—</w:t>
      </w:r>
    </w:p>
    <w:p w14:paraId="294772C1" w14:textId="77777777" w:rsidR="00D94935" w:rsidRDefault="00D94935" w:rsidP="00D94935">
      <w:pPr>
        <w:pStyle w:val="Apara"/>
      </w:pPr>
      <w:r>
        <w:tab/>
        <w:t>(a)</w:t>
      </w:r>
      <w:r>
        <w:tab/>
        <w:t>any conduct money paid to the addressee; and</w:t>
      </w:r>
    </w:p>
    <w:p w14:paraId="350A125B" w14:textId="77777777" w:rsidR="00D94935" w:rsidRDefault="00D94935" w:rsidP="00D94935">
      <w:pPr>
        <w:pStyle w:val="Apara"/>
      </w:pPr>
      <w:r>
        <w:lastRenderedPageBreak/>
        <w:tab/>
        <w:t>(b)</w:t>
      </w:r>
      <w:r>
        <w:tab/>
        <w:t>any witness expenses payable to the addressee; and</w:t>
      </w:r>
    </w:p>
    <w:p w14:paraId="5E6F0865" w14:textId="77777777" w:rsidR="00D94935" w:rsidRDefault="00D94935" w:rsidP="00D94935">
      <w:pPr>
        <w:pStyle w:val="Apara"/>
      </w:pPr>
      <w:r>
        <w:tab/>
        <w:t>(c)</w:t>
      </w:r>
      <w:r>
        <w:tab/>
        <w:t>any amount that the addressee is entitled to under rule 1722 (Costs—solicitors’ costs generally).</w:t>
      </w:r>
    </w:p>
    <w:p w14:paraId="64A1F4A3" w14:textId="77777777" w:rsidR="00D94935" w:rsidRDefault="00D94935" w:rsidP="00D94935">
      <w:pPr>
        <w:pStyle w:val="AH5Sec"/>
      </w:pPr>
      <w:bookmarkStart w:id="1778" w:name="_Toc185515394"/>
      <w:r w:rsidRPr="00C8328B">
        <w:rPr>
          <w:rStyle w:val="CharSectNo"/>
        </w:rPr>
        <w:t>6612</w:t>
      </w:r>
      <w:r>
        <w:tab/>
        <w:t>Failure to comply with subpoena—contempt of court</w:t>
      </w:r>
      <w:bookmarkEnd w:id="1778"/>
    </w:p>
    <w:p w14:paraId="34330B46" w14:textId="77777777" w:rsidR="00D94935" w:rsidRDefault="00D94935" w:rsidP="00D94935">
      <w:pPr>
        <w:pStyle w:val="Amain"/>
        <w:keepNext/>
      </w:pPr>
      <w:r>
        <w:tab/>
        <w:t>(1)</w:t>
      </w:r>
      <w:r>
        <w:tab/>
        <w:t>Failure to comply with a subpoena without lawful excuse is a contempt of court and the addressee may be dealt with accordingly.</w:t>
      </w:r>
    </w:p>
    <w:p w14:paraId="25445226" w14:textId="77777777"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14:paraId="49104DDA" w14:textId="77777777"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14:paraId="11877A11" w14:textId="1BEDEC67"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7" w:tooltip="A2002-51" w:history="1">
        <w:r w:rsidRPr="006364FA">
          <w:rPr>
            <w:rStyle w:val="charCitHyperlinkAbbrev"/>
          </w:rPr>
          <w:t>Criminal Code</w:t>
        </w:r>
      </w:hyperlink>
      <w:r>
        <w:t>, s 719 (Failing to attend) and s 720 (Failing to produce document or other thing)).</w:t>
      </w:r>
    </w:p>
    <w:p w14:paraId="156297CC" w14:textId="77777777"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14:paraId="02663ABD" w14:textId="77777777" w:rsidR="00D94935" w:rsidRDefault="00D94935" w:rsidP="00D94935">
      <w:pPr>
        <w:pStyle w:val="AH5Sec"/>
      </w:pPr>
      <w:bookmarkStart w:id="1779" w:name="_Toc185515395"/>
      <w:r w:rsidRPr="00C8328B">
        <w:rPr>
          <w:rStyle w:val="CharSectNo"/>
        </w:rPr>
        <w:t>6613</w:t>
      </w:r>
      <w:r>
        <w:tab/>
        <w:t>Documents and things in custody of court</w:t>
      </w:r>
      <w:bookmarkEnd w:id="1779"/>
    </w:p>
    <w:p w14:paraId="26E81F08" w14:textId="77777777"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14:paraId="31FB3C7E" w14:textId="77777777" w:rsidR="00D94935" w:rsidRDefault="00D94935" w:rsidP="00D94935">
      <w:pPr>
        <w:pStyle w:val="Amain"/>
      </w:pPr>
      <w:r>
        <w:tab/>
        <w:t>(2)</w:t>
      </w:r>
      <w:r>
        <w:tab/>
        <w:t>If the document or thing is in the custody of the court, the registrar must produce the document or thing—</w:t>
      </w:r>
    </w:p>
    <w:p w14:paraId="0E4C7C4D" w14:textId="77777777" w:rsidR="00D94935" w:rsidRDefault="00D94935" w:rsidP="00D94935">
      <w:pPr>
        <w:pStyle w:val="Apara"/>
      </w:pPr>
      <w:r>
        <w:tab/>
        <w:t>(a)</w:t>
      </w:r>
      <w:r>
        <w:tab/>
        <w:t>in court or to anyone authorised to take evidence in the proceeding, as required by the party; or</w:t>
      </w:r>
    </w:p>
    <w:p w14:paraId="2749573D" w14:textId="77777777" w:rsidR="00D94935" w:rsidRDefault="00D94935" w:rsidP="00D94935">
      <w:pPr>
        <w:pStyle w:val="Apara"/>
        <w:keepNext/>
      </w:pPr>
      <w:r>
        <w:lastRenderedPageBreak/>
        <w:tab/>
        <w:t>(b)</w:t>
      </w:r>
      <w:r>
        <w:tab/>
        <w:t>as the court directs.</w:t>
      </w:r>
    </w:p>
    <w:p w14:paraId="43A47AA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14:paraId="18023B0D" w14:textId="77777777" w:rsidR="00D94935" w:rsidRDefault="00D94935" w:rsidP="00D94935">
      <w:pPr>
        <w:pStyle w:val="Amain"/>
        <w:keepNext/>
      </w:pPr>
      <w:r>
        <w:tab/>
        <w:t>(3)</w:t>
      </w:r>
      <w:r>
        <w:tab/>
        <w:t>If the document or thing is in the custody of another court, the registrar must, unless the court has otherwise ordered—</w:t>
      </w:r>
    </w:p>
    <w:p w14:paraId="28A02828" w14:textId="77777777" w:rsidR="00D94935" w:rsidRDefault="00D94935" w:rsidP="00D94935">
      <w:pPr>
        <w:pStyle w:val="Apara"/>
      </w:pPr>
      <w:r>
        <w:tab/>
        <w:t>(a)</w:t>
      </w:r>
      <w:r>
        <w:tab/>
        <w:t>ask the other court to send the document or thing to the registrar; and</w:t>
      </w:r>
    </w:p>
    <w:p w14:paraId="2331567B" w14:textId="77777777" w:rsidR="00D94935" w:rsidRDefault="00D94935" w:rsidP="00D94935">
      <w:pPr>
        <w:pStyle w:val="Apara"/>
      </w:pPr>
      <w:r>
        <w:tab/>
        <w:t>(b)</w:t>
      </w:r>
      <w:r>
        <w:tab/>
        <w:t>after receiving it, produce the document or thing—</w:t>
      </w:r>
    </w:p>
    <w:p w14:paraId="36CF7F41" w14:textId="77777777" w:rsidR="00D94935" w:rsidRDefault="00D94935" w:rsidP="00D94935">
      <w:pPr>
        <w:pStyle w:val="Asubpara"/>
      </w:pPr>
      <w:r>
        <w:tab/>
        <w:t>(i)</w:t>
      </w:r>
      <w:r>
        <w:tab/>
        <w:t xml:space="preserve">in court or to anyone authorised to take evidence in the proceeding, as required by the party; or </w:t>
      </w:r>
    </w:p>
    <w:p w14:paraId="5151C0E5" w14:textId="77777777" w:rsidR="00D94935" w:rsidRDefault="00D94935" w:rsidP="00D94935">
      <w:pPr>
        <w:pStyle w:val="Asubpara"/>
      </w:pPr>
      <w:r>
        <w:tab/>
        <w:t>(ii)</w:t>
      </w:r>
      <w:r>
        <w:tab/>
        <w:t>as the court directs.</w:t>
      </w:r>
    </w:p>
    <w:p w14:paraId="4861FAB1" w14:textId="77777777" w:rsidR="00D94935" w:rsidRDefault="00D94935" w:rsidP="00D94935">
      <w:pPr>
        <w:pStyle w:val="Amain"/>
      </w:pPr>
      <w:r>
        <w:tab/>
        <w:t>(4)</w:t>
      </w:r>
      <w:r>
        <w:tab/>
        <w:t>Subrules (2) and (3) do not apply if rule 6142 (Rejecting documents—abuse of process etc) applies.</w:t>
      </w:r>
    </w:p>
    <w:p w14:paraId="71DB288C" w14:textId="77777777" w:rsidR="00D94935" w:rsidRDefault="00D94935" w:rsidP="00D94935">
      <w:pPr>
        <w:pStyle w:val="AH5Sec"/>
      </w:pPr>
      <w:bookmarkStart w:id="1780" w:name="_Toc185515396"/>
      <w:r w:rsidRPr="00C8328B">
        <w:rPr>
          <w:rStyle w:val="CharSectNo"/>
        </w:rPr>
        <w:t>6614</w:t>
      </w:r>
      <w:r>
        <w:tab/>
        <w:t>Application of pt 6.9—subpoena under Commercial Arbitration Act</w:t>
      </w:r>
      <w:bookmarkEnd w:id="1780"/>
    </w:p>
    <w:p w14:paraId="7FAF714D" w14:textId="4A7AE8FE" w:rsidR="00D94935" w:rsidRDefault="00D94935" w:rsidP="00D94935">
      <w:pPr>
        <w:pStyle w:val="Amain"/>
      </w:pPr>
      <w:r>
        <w:tab/>
        <w:t>(1)</w:t>
      </w:r>
      <w:r>
        <w:tab/>
        <w:t xml:space="preserve">This part applies, with necessary changes, in relation to a subpoena issued under the </w:t>
      </w:r>
      <w:hyperlink r:id="rId848" w:tooltip="A1986-84" w:history="1">
        <w:r w:rsidRPr="008C20AE">
          <w:rPr>
            <w:rStyle w:val="charCitHyperlinkAbbrev"/>
          </w:rPr>
          <w:t>Commercial Arbitration Act</w:t>
        </w:r>
      </w:hyperlink>
      <w:r>
        <w:t xml:space="preserve"> for an arbitration as if—</w:t>
      </w:r>
    </w:p>
    <w:p w14:paraId="089A8D4A" w14:textId="5BA12DDE" w:rsidR="00D94935" w:rsidRDefault="00D94935" w:rsidP="00D94935">
      <w:pPr>
        <w:pStyle w:val="Apara"/>
      </w:pPr>
      <w:r>
        <w:tab/>
        <w:t>(a)</w:t>
      </w:r>
      <w:r>
        <w:tab/>
        <w:t xml:space="preserve">a reference to a subpoena were a reference to a subpoena issued under the </w:t>
      </w:r>
      <w:hyperlink r:id="rId849" w:tooltip="A1986-84" w:history="1">
        <w:r w:rsidRPr="008C20AE">
          <w:rPr>
            <w:rStyle w:val="charCitHyperlinkAbbrev"/>
          </w:rPr>
          <w:t>Commercial Arbitration Act</w:t>
        </w:r>
      </w:hyperlink>
      <w:r>
        <w:t>; and</w:t>
      </w:r>
    </w:p>
    <w:p w14:paraId="2C2AFC2B" w14:textId="77777777" w:rsidR="00D94935" w:rsidRDefault="00D94935" w:rsidP="00D94935">
      <w:pPr>
        <w:pStyle w:val="Apara"/>
      </w:pPr>
      <w:r>
        <w:tab/>
        <w:t>(b)</w:t>
      </w:r>
      <w:r>
        <w:tab/>
        <w:t>a reference to a proceeding were a reference to the arbitration; and</w:t>
      </w:r>
    </w:p>
    <w:p w14:paraId="0818BE83" w14:textId="77777777"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14:paraId="3851669B" w14:textId="091AC023" w:rsidR="00D94935" w:rsidRDefault="00D94935" w:rsidP="00D94935">
      <w:pPr>
        <w:pStyle w:val="Apara"/>
      </w:pPr>
      <w:r>
        <w:tab/>
        <w:t>(d)</w:t>
      </w:r>
      <w:r>
        <w:tab/>
        <w:t xml:space="preserve">a reference to the court in </w:t>
      </w:r>
      <w:r w:rsidR="006D0511" w:rsidRPr="004D5231">
        <w:t>rule 6607A,</w:t>
      </w:r>
      <w:r w:rsidR="006D0511">
        <w:t xml:space="preserve"> </w:t>
      </w:r>
      <w:r>
        <w:t>rule 6608, rule 6609, rule</w:t>
      </w:r>
      <w:r w:rsidR="008F4C18">
        <w:t> </w:t>
      </w:r>
      <w:r>
        <w:t xml:space="preserve">6610 and rule 6611 were a reference to the </w:t>
      </w:r>
      <w:r w:rsidR="00B12FBB" w:rsidRPr="00A60754">
        <w:t>arbitral tribunal</w:t>
      </w:r>
      <w:r>
        <w:t xml:space="preserve"> for the arbitration.</w:t>
      </w:r>
    </w:p>
    <w:p w14:paraId="25DA18EF" w14:textId="77777777" w:rsidR="00B12FBB" w:rsidRPr="00A60754" w:rsidRDefault="00B12FBB" w:rsidP="00353D2C">
      <w:pPr>
        <w:pStyle w:val="Amain"/>
        <w:keepNext/>
      </w:pPr>
      <w:r w:rsidRPr="00A60754">
        <w:lastRenderedPageBreak/>
        <w:tab/>
        <w:t>(2)</w:t>
      </w:r>
      <w:r w:rsidRPr="00A60754">
        <w:tab/>
        <w:t>In this rule:</w:t>
      </w:r>
    </w:p>
    <w:p w14:paraId="3AFB4D62" w14:textId="77777777"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14:paraId="55D48A28" w14:textId="5A44381A"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50" w:tooltip="A2017-7" w:history="1">
        <w:r w:rsidRPr="00A60754">
          <w:rPr>
            <w:rStyle w:val="charCitHyperlinkItal"/>
          </w:rPr>
          <w:t>Commercial Arbitration Act 2017</w:t>
        </w:r>
      </w:hyperlink>
      <w:r w:rsidRPr="00A60754">
        <w:t xml:space="preserve">. </w:t>
      </w:r>
    </w:p>
    <w:p w14:paraId="55C50D67" w14:textId="72357444"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51" w:tooltip="A2017-7" w:history="1">
        <w:r w:rsidRPr="00B12FBB">
          <w:rPr>
            <w:rStyle w:val="charCitHyperlinkAbbrev"/>
          </w:rPr>
          <w:t>Commercial Arbitration Act</w:t>
        </w:r>
      </w:hyperlink>
      <w:r w:rsidRPr="00B12FBB">
        <w:rPr>
          <w:rStyle w:val="charCitHyperlinkAbbrev"/>
        </w:rPr>
        <w:t xml:space="preserve"> </w:t>
      </w:r>
      <w:r w:rsidRPr="00A60754">
        <w:t>(see s 27A).</w:t>
      </w:r>
    </w:p>
    <w:p w14:paraId="039FFF57" w14:textId="77777777" w:rsidR="00D94935" w:rsidRPr="00BB65FC" w:rsidRDefault="00D94935" w:rsidP="00D94935">
      <w:pPr>
        <w:pStyle w:val="AH5Sec"/>
      </w:pPr>
      <w:bookmarkStart w:id="1781" w:name="_Toc185515397"/>
      <w:r w:rsidRPr="00C8328B">
        <w:rPr>
          <w:rStyle w:val="CharSectNo"/>
        </w:rPr>
        <w:t>6615</w:t>
      </w:r>
      <w:r w:rsidRPr="00BB65FC">
        <w:tab/>
        <w:t>Subpoena issued by ACAT—leave to serve outside ACT</w:t>
      </w:r>
      <w:bookmarkEnd w:id="1781"/>
    </w:p>
    <w:p w14:paraId="2C1354B2" w14:textId="0FE8562B" w:rsidR="00D94935" w:rsidRPr="00BB65FC" w:rsidRDefault="00D94935" w:rsidP="00D94935">
      <w:pPr>
        <w:pStyle w:val="Amain"/>
      </w:pPr>
      <w:r w:rsidRPr="00BB65FC">
        <w:tab/>
        <w:t>(1)</w:t>
      </w:r>
      <w:r w:rsidRPr="00BB65FC">
        <w:tab/>
        <w:t xml:space="preserve">This rule applies to an application for leave made under the </w:t>
      </w:r>
      <w:hyperlink r:id="rId852"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14:paraId="7CA4EAF4" w14:textId="77777777" w:rsidR="00D94935" w:rsidRPr="00BB65FC" w:rsidRDefault="00D94935" w:rsidP="00D94935">
      <w:pPr>
        <w:pStyle w:val="Amain"/>
      </w:pPr>
      <w:r w:rsidRPr="00BB65FC">
        <w:tab/>
        <w:t>(2)</w:t>
      </w:r>
      <w:r w:rsidRPr="00BB65FC">
        <w:tab/>
        <w:t>An application for leave is made by filing—</w:t>
      </w:r>
    </w:p>
    <w:p w14:paraId="5DD69EFB" w14:textId="77777777" w:rsidR="00D94935" w:rsidRPr="00BB65FC" w:rsidRDefault="00D94935" w:rsidP="00D94935">
      <w:pPr>
        <w:pStyle w:val="Apara"/>
      </w:pPr>
      <w:r w:rsidRPr="00BB65FC">
        <w:tab/>
        <w:t>(a)</w:t>
      </w:r>
      <w:r w:rsidRPr="00BB65FC">
        <w:tab/>
        <w:t xml:space="preserve">an affidavit in support of the application; and </w:t>
      </w:r>
    </w:p>
    <w:p w14:paraId="0D9DE545" w14:textId="7B3AFBE9"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53" w:history="1">
        <w:r w:rsidRPr="007713B6">
          <w:rPr>
            <w:rStyle w:val="charCitHyperlinkAbbrev"/>
          </w:rPr>
          <w:t>AF2009-287</w:t>
        </w:r>
      </w:hyperlink>
      <w:r w:rsidRPr="00BB65FC">
        <w:t>.</w:t>
      </w:r>
    </w:p>
    <w:p w14:paraId="7D71329F" w14:textId="77777777" w:rsidR="00D94935" w:rsidRPr="00BB65FC" w:rsidRDefault="00D94935" w:rsidP="00D94935">
      <w:pPr>
        <w:pStyle w:val="Apara"/>
      </w:pPr>
      <w:r w:rsidRPr="00BB65FC">
        <w:tab/>
        <w:t>(b)</w:t>
      </w:r>
      <w:r w:rsidRPr="00BB65FC">
        <w:tab/>
        <w:t>a copy of the subpoena, annexed to the affidavit; and</w:t>
      </w:r>
    </w:p>
    <w:p w14:paraId="7AB0048E" w14:textId="77777777" w:rsidR="00D94935" w:rsidRPr="00BB65FC" w:rsidRDefault="00D94935" w:rsidP="00D94935">
      <w:pPr>
        <w:pStyle w:val="Apara"/>
      </w:pPr>
      <w:r w:rsidRPr="00BB65FC">
        <w:tab/>
        <w:t>(c)</w:t>
      </w:r>
      <w:r w:rsidRPr="00BB65FC">
        <w:tab/>
        <w:t>a draft order.</w:t>
      </w:r>
    </w:p>
    <w:p w14:paraId="4DABB319" w14:textId="2779E7D4"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54" w:history="1">
        <w:r w:rsidRPr="007713B6">
          <w:rPr>
            <w:rStyle w:val="charCitHyperlinkAbbrev"/>
          </w:rPr>
          <w:t>AF2009-288</w:t>
        </w:r>
      </w:hyperlink>
      <w:r w:rsidRPr="00BB65FC">
        <w:t>.</w:t>
      </w:r>
    </w:p>
    <w:p w14:paraId="4F029521" w14:textId="77777777" w:rsidR="00D94935" w:rsidRPr="00BB65FC" w:rsidRDefault="00D94935" w:rsidP="00D94935">
      <w:pPr>
        <w:pStyle w:val="Amain"/>
        <w:keepNext/>
      </w:pPr>
      <w:r w:rsidRPr="00BB65FC">
        <w:tab/>
        <w:t>(3)</w:t>
      </w:r>
      <w:r w:rsidRPr="00BB65FC">
        <w:tab/>
        <w:t>The affidavit in support of the application must state—</w:t>
      </w:r>
    </w:p>
    <w:p w14:paraId="31200508" w14:textId="77777777" w:rsidR="00D94935" w:rsidRPr="00BB65FC" w:rsidRDefault="00D94935" w:rsidP="00D94935">
      <w:pPr>
        <w:pStyle w:val="Apara"/>
      </w:pPr>
      <w:r w:rsidRPr="00BB65FC">
        <w:tab/>
        <w:t>(a)</w:t>
      </w:r>
      <w:r w:rsidRPr="00BB65FC">
        <w:tab/>
        <w:t>for a subpoena to attend to give evidence—</w:t>
      </w:r>
    </w:p>
    <w:p w14:paraId="346DC8EB" w14:textId="77777777" w:rsidR="00D94935" w:rsidRPr="00BB65FC" w:rsidRDefault="00D94935" w:rsidP="00D94935">
      <w:pPr>
        <w:pStyle w:val="Asubpara"/>
      </w:pPr>
      <w:r w:rsidRPr="00BB65FC">
        <w:tab/>
        <w:t>(i)</w:t>
      </w:r>
      <w:r w:rsidRPr="00BB65FC">
        <w:tab/>
        <w:t>the evidence the addressee is expected to give in the proceeding; and</w:t>
      </w:r>
    </w:p>
    <w:p w14:paraId="72C19E02" w14:textId="77777777" w:rsidR="00D94935" w:rsidRPr="00BB65FC" w:rsidRDefault="00D94935" w:rsidP="00D94935">
      <w:pPr>
        <w:pStyle w:val="Asubpara"/>
      </w:pPr>
      <w:r w:rsidRPr="00BB65FC">
        <w:tab/>
        <w:t>(ii)</w:t>
      </w:r>
      <w:r w:rsidRPr="00BB65FC">
        <w:tab/>
        <w:t>why the addressee’s evidence is necessary; and</w:t>
      </w:r>
    </w:p>
    <w:p w14:paraId="08D7AD3D" w14:textId="77777777"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14:paraId="551DB009" w14:textId="77777777" w:rsidR="00D94935" w:rsidRPr="00BB65FC" w:rsidRDefault="00D94935" w:rsidP="00D94935">
      <w:pPr>
        <w:pStyle w:val="Asubpara"/>
      </w:pPr>
      <w:r w:rsidRPr="00BB65FC">
        <w:lastRenderedPageBreak/>
        <w:tab/>
        <w:t>(iv)</w:t>
      </w:r>
      <w:r w:rsidRPr="00BB65FC">
        <w:tab/>
        <w:t>the hearing date for the proceeding and the date the subpoena must be served before; and</w:t>
      </w:r>
    </w:p>
    <w:p w14:paraId="6EF72FEB" w14:textId="77777777" w:rsidR="00D94935" w:rsidRPr="00BB65FC" w:rsidRDefault="00D94935" w:rsidP="00D94935">
      <w:pPr>
        <w:pStyle w:val="Apara"/>
      </w:pPr>
      <w:r w:rsidRPr="00BB65FC">
        <w:tab/>
        <w:t>(b)</w:t>
      </w:r>
      <w:r w:rsidRPr="00BB65FC">
        <w:tab/>
        <w:t>for a subpoena to produce—</w:t>
      </w:r>
    </w:p>
    <w:p w14:paraId="1BF644BB" w14:textId="77777777" w:rsidR="00D94935" w:rsidRPr="00BB65FC" w:rsidRDefault="00D94935" w:rsidP="00D94935">
      <w:pPr>
        <w:pStyle w:val="Asubpara"/>
      </w:pPr>
      <w:r w:rsidRPr="00BB65FC">
        <w:tab/>
        <w:t>(i)</w:t>
      </w:r>
      <w:r w:rsidRPr="00BB65FC">
        <w:tab/>
        <w:t>why the document or thing required to be produced by the subpoena are necessary; and</w:t>
      </w:r>
    </w:p>
    <w:p w14:paraId="51B7853C" w14:textId="77777777"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14:paraId="087F3DB2" w14:textId="77777777" w:rsidR="00D94935" w:rsidRPr="00BB65FC" w:rsidRDefault="00D94935" w:rsidP="00D94935">
      <w:pPr>
        <w:pStyle w:val="Asubpara"/>
      </w:pPr>
      <w:r w:rsidRPr="00BB65FC">
        <w:tab/>
        <w:t>(iii)</w:t>
      </w:r>
      <w:r w:rsidRPr="00BB65FC">
        <w:tab/>
        <w:t>the hearing date for the proceeding and the date the subpoena must be served before.</w:t>
      </w:r>
    </w:p>
    <w:p w14:paraId="146E828D" w14:textId="77777777" w:rsidR="00D94935" w:rsidRPr="00BB65FC" w:rsidRDefault="00D94935" w:rsidP="00D94935">
      <w:pPr>
        <w:pStyle w:val="Amain"/>
      </w:pPr>
      <w:r w:rsidRPr="00BB65FC">
        <w:tab/>
        <w:t>(4)</w:t>
      </w:r>
      <w:r w:rsidRPr="00BB65FC">
        <w:tab/>
        <w:t>Part 6.2 (Applications in proceedings) does not apply to an application under this rule.</w:t>
      </w:r>
    </w:p>
    <w:p w14:paraId="6E930721" w14:textId="77777777" w:rsidR="00D94935" w:rsidRPr="00BB65FC" w:rsidRDefault="00D94935" w:rsidP="00D94935">
      <w:pPr>
        <w:pStyle w:val="Amain"/>
      </w:pPr>
      <w:r w:rsidRPr="00BB65FC">
        <w:tab/>
        <w:t>(5)</w:t>
      </w:r>
      <w:r w:rsidRPr="00BB65FC">
        <w:tab/>
        <w:t>The affidavit need not be served on anyone unless the court otherwise orders on its own initiative.</w:t>
      </w:r>
    </w:p>
    <w:p w14:paraId="198567C4" w14:textId="77777777"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14:paraId="4E0B4D19" w14:textId="77777777" w:rsidR="00D825E5" w:rsidRPr="00E41162" w:rsidRDefault="00D825E5" w:rsidP="00D825E5">
      <w:pPr>
        <w:pStyle w:val="AH5Sec"/>
      </w:pPr>
      <w:bookmarkStart w:id="1782" w:name="_Toc185515398"/>
      <w:r w:rsidRPr="00E41162">
        <w:rPr>
          <w:rStyle w:val="CharSectNo"/>
        </w:rPr>
        <w:t>6615A</w:t>
      </w:r>
      <w:r w:rsidRPr="00E41162">
        <w:tab/>
        <w:t>Examination summons issued by ACT Integrity Commission—leave to serve outside ACT</w:t>
      </w:r>
      <w:bookmarkEnd w:id="1782"/>
    </w:p>
    <w:p w14:paraId="2299943F" w14:textId="6E4CA86E" w:rsidR="00D825E5" w:rsidRPr="00E41162" w:rsidRDefault="00D825E5" w:rsidP="00D825E5">
      <w:pPr>
        <w:pStyle w:val="Amain"/>
      </w:pPr>
      <w:r w:rsidRPr="00E41162">
        <w:tab/>
        <w:t>(1)</w:t>
      </w:r>
      <w:r w:rsidRPr="00E41162">
        <w:tab/>
        <w:t xml:space="preserve">This rule applies to an application for leave made under the </w:t>
      </w:r>
      <w:hyperlink r:id="rId855" w:tooltip="Act No 172, 1992 (Cwlth)" w:history="1">
        <w:r w:rsidRPr="00E41162">
          <w:rPr>
            <w:rStyle w:val="charCitHyperlinkItal"/>
          </w:rPr>
          <w:t>Service and Execution of Process Act 1992</w:t>
        </w:r>
      </w:hyperlink>
      <w:r w:rsidRPr="00E41162">
        <w:t xml:space="preserve"> (Cwlth), section 76 to serve an examination summons issued by the ACT Integrity Commission outside the ACT.</w:t>
      </w:r>
    </w:p>
    <w:p w14:paraId="78D8F865" w14:textId="77777777" w:rsidR="00D825E5" w:rsidRPr="00E41162" w:rsidRDefault="00D825E5" w:rsidP="00D825E5">
      <w:pPr>
        <w:pStyle w:val="Amain"/>
      </w:pPr>
      <w:r w:rsidRPr="00E41162">
        <w:tab/>
        <w:t>(2)</w:t>
      </w:r>
      <w:r w:rsidRPr="00E41162">
        <w:tab/>
        <w:t>An application for leave is made by filing—</w:t>
      </w:r>
    </w:p>
    <w:p w14:paraId="36BE2DC8" w14:textId="77777777" w:rsidR="00D825E5" w:rsidRPr="00E41162" w:rsidRDefault="00D825E5" w:rsidP="00D825E5">
      <w:pPr>
        <w:pStyle w:val="Apara"/>
      </w:pPr>
      <w:r w:rsidRPr="00E41162">
        <w:tab/>
        <w:t>(a)</w:t>
      </w:r>
      <w:r w:rsidRPr="00E41162">
        <w:tab/>
        <w:t xml:space="preserve">an affidavit in support of the application; and </w:t>
      </w:r>
    </w:p>
    <w:p w14:paraId="38EF2B7F" w14:textId="5DE50263" w:rsidR="00D825E5" w:rsidRPr="00E41162" w:rsidRDefault="00D825E5" w:rsidP="00D825E5">
      <w:pPr>
        <w:pStyle w:val="aNotepar"/>
      </w:pPr>
      <w:r w:rsidRPr="00E41162">
        <w:rPr>
          <w:rStyle w:val="charItals"/>
        </w:rPr>
        <w:t>Note</w:t>
      </w:r>
      <w:r w:rsidRPr="00E41162">
        <w:rPr>
          <w:rStyle w:val="charItals"/>
        </w:rPr>
        <w:tab/>
      </w:r>
      <w:r w:rsidRPr="00E41162">
        <w:t xml:space="preserve">See approved form 6.11 (Affidavit—general) </w:t>
      </w:r>
      <w:hyperlink r:id="rId856" w:tooltip="AF2007-72" w:history="1">
        <w:r w:rsidRPr="00E41162">
          <w:rPr>
            <w:rStyle w:val="charCitHyperlinkAbbrev"/>
          </w:rPr>
          <w:t>AF2007-72</w:t>
        </w:r>
      </w:hyperlink>
      <w:r w:rsidRPr="00E41162">
        <w:t>.</w:t>
      </w:r>
    </w:p>
    <w:p w14:paraId="4A6478CF" w14:textId="77777777" w:rsidR="00D825E5" w:rsidRPr="00E41162" w:rsidRDefault="00D825E5" w:rsidP="00D825E5">
      <w:pPr>
        <w:pStyle w:val="Apara"/>
      </w:pPr>
      <w:r w:rsidRPr="00E41162">
        <w:tab/>
        <w:t>(b)</w:t>
      </w:r>
      <w:r w:rsidRPr="00E41162">
        <w:tab/>
        <w:t>a copy of the summons annexed to the affidavit; and</w:t>
      </w:r>
    </w:p>
    <w:p w14:paraId="0B7B7698" w14:textId="77777777" w:rsidR="00D825E5" w:rsidRPr="00E41162" w:rsidRDefault="00D825E5" w:rsidP="00D825E5">
      <w:pPr>
        <w:pStyle w:val="Apara"/>
      </w:pPr>
      <w:r w:rsidRPr="00E41162">
        <w:lastRenderedPageBreak/>
        <w:tab/>
        <w:t>(c)</w:t>
      </w:r>
      <w:r w:rsidRPr="00E41162">
        <w:tab/>
        <w:t>a draft order.</w:t>
      </w:r>
    </w:p>
    <w:p w14:paraId="1A814D15" w14:textId="5C4E550C" w:rsidR="00D825E5" w:rsidRPr="00E41162" w:rsidRDefault="00D825E5" w:rsidP="00D825E5">
      <w:pPr>
        <w:pStyle w:val="aNotepar"/>
      </w:pPr>
      <w:r w:rsidRPr="00E41162">
        <w:rPr>
          <w:rStyle w:val="charItals"/>
        </w:rPr>
        <w:t>Note</w:t>
      </w:r>
      <w:r w:rsidRPr="00E41162">
        <w:rPr>
          <w:rStyle w:val="charItals"/>
        </w:rPr>
        <w:tab/>
      </w:r>
      <w:r w:rsidRPr="00E41162">
        <w:t>See approved form 6.24A (Order to serve ACT Integrity Commission summons outside ACT)</w:t>
      </w:r>
      <w:r w:rsidR="00150290">
        <w:t xml:space="preserve"> </w:t>
      </w:r>
      <w:hyperlink r:id="rId857" w:tooltip="AF2020-101" w:history="1">
        <w:r w:rsidR="00150290">
          <w:rPr>
            <w:rStyle w:val="charCitHyperlinkAbbrev"/>
          </w:rPr>
          <w:t>AF2020-101</w:t>
        </w:r>
      </w:hyperlink>
      <w:r w:rsidRPr="00E41162">
        <w:t>.</w:t>
      </w:r>
    </w:p>
    <w:p w14:paraId="6D76EA61" w14:textId="77777777" w:rsidR="00D825E5" w:rsidRPr="00E41162" w:rsidRDefault="00D825E5" w:rsidP="00D825E5">
      <w:pPr>
        <w:pStyle w:val="Amain"/>
      </w:pPr>
      <w:r w:rsidRPr="00E41162">
        <w:tab/>
        <w:t>(3)</w:t>
      </w:r>
      <w:r w:rsidRPr="00E41162">
        <w:tab/>
        <w:t>The affidavit in support of the application must state—</w:t>
      </w:r>
    </w:p>
    <w:p w14:paraId="060A7D95" w14:textId="77777777" w:rsidR="00D825E5" w:rsidRPr="00E41162" w:rsidRDefault="00D825E5" w:rsidP="00D825E5">
      <w:pPr>
        <w:pStyle w:val="Apara"/>
      </w:pPr>
      <w:r w:rsidRPr="00E41162">
        <w:tab/>
        <w:t>(a)</w:t>
      </w:r>
      <w:r w:rsidRPr="00E41162">
        <w:tab/>
        <w:t>for a summons to attend to give evidence—</w:t>
      </w:r>
    </w:p>
    <w:p w14:paraId="5B8077CC" w14:textId="77777777" w:rsidR="00D825E5" w:rsidRPr="00E41162" w:rsidRDefault="00D825E5" w:rsidP="00D825E5">
      <w:pPr>
        <w:pStyle w:val="Asubpara"/>
      </w:pPr>
      <w:r w:rsidRPr="00E41162">
        <w:tab/>
        <w:t>(i)</w:t>
      </w:r>
      <w:r w:rsidRPr="00E41162">
        <w:tab/>
        <w:t>the evidence the addressee is expected to give at the examination; and</w:t>
      </w:r>
    </w:p>
    <w:p w14:paraId="6A80AF90" w14:textId="77777777" w:rsidR="00D825E5" w:rsidRPr="00E41162" w:rsidRDefault="00D825E5" w:rsidP="00D825E5">
      <w:pPr>
        <w:pStyle w:val="Asubpara"/>
      </w:pPr>
      <w:r w:rsidRPr="00E41162">
        <w:tab/>
        <w:t>(ii)</w:t>
      </w:r>
      <w:r w:rsidRPr="00E41162">
        <w:tab/>
        <w:t>why the addressee’s evidence is necessary; and</w:t>
      </w:r>
    </w:p>
    <w:p w14:paraId="65DC1B13" w14:textId="77777777" w:rsidR="00D825E5" w:rsidRPr="00E41162" w:rsidRDefault="00D825E5" w:rsidP="00D825E5">
      <w:pPr>
        <w:pStyle w:val="Asubpara"/>
      </w:pPr>
      <w:r w:rsidRPr="00E41162">
        <w:tab/>
        <w:t>(iii)</w:t>
      </w:r>
      <w:r w:rsidRPr="00E41162">
        <w:tab/>
        <w:t>whether the addressee has been told about the examination and, if so, whether the addressee is able to attend the examination; and</w:t>
      </w:r>
    </w:p>
    <w:p w14:paraId="48079A18" w14:textId="77777777" w:rsidR="00D825E5" w:rsidRPr="00E41162" w:rsidRDefault="00D825E5" w:rsidP="00D825E5">
      <w:pPr>
        <w:pStyle w:val="Asubpara"/>
      </w:pPr>
      <w:r w:rsidRPr="00E41162">
        <w:tab/>
        <w:t>(iv)</w:t>
      </w:r>
      <w:r w:rsidRPr="00E41162">
        <w:tab/>
        <w:t>the hearing date for the examination and the date the summons must be served before; and</w:t>
      </w:r>
    </w:p>
    <w:p w14:paraId="66AF5DAA" w14:textId="77777777" w:rsidR="00D825E5" w:rsidRPr="00E41162" w:rsidRDefault="00D825E5" w:rsidP="00D825E5">
      <w:pPr>
        <w:pStyle w:val="Apara"/>
      </w:pPr>
      <w:r w:rsidRPr="00E41162">
        <w:tab/>
        <w:t>(b)</w:t>
      </w:r>
      <w:r w:rsidRPr="00E41162">
        <w:tab/>
        <w:t>for a summons to produce—</w:t>
      </w:r>
    </w:p>
    <w:p w14:paraId="70A91F84" w14:textId="77777777" w:rsidR="00D825E5" w:rsidRPr="00E41162" w:rsidRDefault="00D825E5" w:rsidP="00D825E5">
      <w:pPr>
        <w:pStyle w:val="Asubpara"/>
      </w:pPr>
      <w:r w:rsidRPr="00E41162">
        <w:tab/>
        <w:t>(i)</w:t>
      </w:r>
      <w:r w:rsidRPr="00E41162">
        <w:tab/>
        <w:t>why the document or thing required to be produced by the summons is necessary; and</w:t>
      </w:r>
    </w:p>
    <w:p w14:paraId="232B0636" w14:textId="77777777" w:rsidR="00D825E5" w:rsidRPr="00E41162" w:rsidRDefault="00D825E5" w:rsidP="00D825E5">
      <w:pPr>
        <w:pStyle w:val="Asubpara"/>
      </w:pPr>
      <w:r w:rsidRPr="00E41162">
        <w:tab/>
        <w:t>(ii)</w:t>
      </w:r>
      <w:r w:rsidRPr="00E41162">
        <w:tab/>
        <w:t>whether the addressee has been told about the summons and, if so, whether the addressee is able to produce the document or thing before the compliance date; and</w:t>
      </w:r>
    </w:p>
    <w:p w14:paraId="449A17D0" w14:textId="77777777" w:rsidR="00D825E5" w:rsidRPr="00E41162" w:rsidRDefault="00D825E5" w:rsidP="00D825E5">
      <w:pPr>
        <w:pStyle w:val="Asubpara"/>
      </w:pPr>
      <w:r w:rsidRPr="00E41162">
        <w:tab/>
        <w:t>(iii)</w:t>
      </w:r>
      <w:r w:rsidRPr="00E41162">
        <w:tab/>
        <w:t>the date for the examination and the date the summons must be served before.</w:t>
      </w:r>
    </w:p>
    <w:p w14:paraId="66906A5D" w14:textId="77777777" w:rsidR="00D825E5" w:rsidRPr="00E41162" w:rsidRDefault="00D825E5" w:rsidP="00D825E5">
      <w:pPr>
        <w:pStyle w:val="Amain"/>
      </w:pPr>
      <w:r w:rsidRPr="00E41162">
        <w:tab/>
        <w:t>(4)</w:t>
      </w:r>
      <w:r w:rsidRPr="00E41162">
        <w:tab/>
        <w:t>Part 6.2 (Applications in proceedings) does not apply to an application under this rule.</w:t>
      </w:r>
    </w:p>
    <w:p w14:paraId="4D4D6FE4" w14:textId="77777777" w:rsidR="00D825E5" w:rsidRPr="00E41162" w:rsidRDefault="00D825E5" w:rsidP="00D825E5">
      <w:pPr>
        <w:pStyle w:val="Amain"/>
      </w:pPr>
      <w:r w:rsidRPr="00E41162">
        <w:tab/>
        <w:t>(5)</w:t>
      </w:r>
      <w:r w:rsidRPr="00E41162">
        <w:tab/>
        <w:t>The affidavit need not be served on anyone unless the court otherwise orders on its own initiative.</w:t>
      </w:r>
    </w:p>
    <w:p w14:paraId="2ECA4C34" w14:textId="77777777" w:rsidR="00D825E5" w:rsidRPr="00E41162" w:rsidRDefault="00D825E5" w:rsidP="00D825E5">
      <w:pPr>
        <w:pStyle w:val="Amain"/>
      </w:pPr>
      <w:r w:rsidRPr="00E41162">
        <w:tab/>
        <w:t>(6)</w:t>
      </w:r>
      <w:r w:rsidRPr="00E41162">
        <w:tab/>
        <w:t>Unless the court otherwise orders on its own initiative, an application under this rule may be dealt with without a hearing and in the absence of the parties.</w:t>
      </w:r>
    </w:p>
    <w:p w14:paraId="2DEA7789" w14:textId="77777777" w:rsidR="00D94935" w:rsidRDefault="00D94935" w:rsidP="00D94935">
      <w:pPr>
        <w:pStyle w:val="PageBreak"/>
      </w:pPr>
      <w:r>
        <w:br w:type="page"/>
      </w:r>
    </w:p>
    <w:p w14:paraId="16F8987E" w14:textId="77777777" w:rsidR="00D94935" w:rsidRPr="00C8328B" w:rsidRDefault="00D94935" w:rsidP="00D94935">
      <w:pPr>
        <w:pStyle w:val="AH2Part"/>
      </w:pPr>
      <w:bookmarkStart w:id="1783" w:name="_Toc185515399"/>
      <w:r w:rsidRPr="00C8328B">
        <w:rPr>
          <w:rStyle w:val="CharPartNo"/>
        </w:rPr>
        <w:lastRenderedPageBreak/>
        <w:t>Part 6.10</w:t>
      </w:r>
      <w:r>
        <w:tab/>
      </w:r>
      <w:r w:rsidRPr="00C8328B">
        <w:rPr>
          <w:rStyle w:val="CharPartText"/>
        </w:rPr>
        <w:t>Evidence</w:t>
      </w:r>
      <w:bookmarkEnd w:id="1783"/>
    </w:p>
    <w:p w14:paraId="59FEC575" w14:textId="77777777" w:rsidR="00D94935" w:rsidRPr="006364FA" w:rsidRDefault="00D94935" w:rsidP="00D94935">
      <w:pPr>
        <w:pStyle w:val="aNote"/>
        <w:rPr>
          <w:rStyle w:val="charItals"/>
        </w:rPr>
      </w:pPr>
      <w:r w:rsidRPr="006364FA">
        <w:rPr>
          <w:rStyle w:val="charItals"/>
        </w:rPr>
        <w:t>Note to pt 6.10</w:t>
      </w:r>
    </w:p>
    <w:p w14:paraId="1DE9EF60" w14:textId="77777777" w:rsidR="00D94935" w:rsidRDefault="00D94935" w:rsidP="00D94935">
      <w:pPr>
        <w:pStyle w:val="aNote"/>
      </w:pPr>
      <w:r>
        <w:t>Pt 2.12 contains provisions about expert evidence in civil proceedings.</w:t>
      </w:r>
    </w:p>
    <w:p w14:paraId="3290EF7F" w14:textId="77777777" w:rsidR="00D94935" w:rsidRPr="00C8328B" w:rsidRDefault="00D94935" w:rsidP="00D94935">
      <w:pPr>
        <w:pStyle w:val="AH3Div"/>
      </w:pPr>
      <w:bookmarkStart w:id="1784" w:name="_Toc185515400"/>
      <w:r w:rsidRPr="00C8328B">
        <w:rPr>
          <w:rStyle w:val="CharDivNo"/>
        </w:rPr>
        <w:t>Division 6.10.1</w:t>
      </w:r>
      <w:r>
        <w:tab/>
      </w:r>
      <w:r w:rsidRPr="00C8328B">
        <w:rPr>
          <w:rStyle w:val="CharDivText"/>
        </w:rPr>
        <w:t>General—pt 6.10</w:t>
      </w:r>
      <w:bookmarkEnd w:id="1784"/>
    </w:p>
    <w:p w14:paraId="7D40A8C2" w14:textId="77777777" w:rsidR="00D94935" w:rsidRDefault="00D94935" w:rsidP="00D94935">
      <w:pPr>
        <w:pStyle w:val="AH5Sec"/>
      </w:pPr>
      <w:bookmarkStart w:id="1785" w:name="_Toc185515401"/>
      <w:r w:rsidRPr="00C8328B">
        <w:rPr>
          <w:rStyle w:val="CharSectNo"/>
        </w:rPr>
        <w:t>6700</w:t>
      </w:r>
      <w:r>
        <w:tab/>
        <w:t>Way evidence given—civil proceedings</w:t>
      </w:r>
      <w:bookmarkEnd w:id="1785"/>
    </w:p>
    <w:p w14:paraId="34972193" w14:textId="77777777" w:rsidR="00D94935" w:rsidRDefault="00D94935" w:rsidP="00D94935">
      <w:pPr>
        <w:pStyle w:val="Amain"/>
        <w:keepNext/>
      </w:pPr>
      <w:r>
        <w:tab/>
        <w:t>(1)</w:t>
      </w:r>
      <w:r>
        <w:tab/>
        <w:t>Evidence at the trial of a proceeding started by originating claim must be given orally in open court.</w:t>
      </w:r>
    </w:p>
    <w:p w14:paraId="24EFCB10" w14:textId="77777777"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1E4DE34E" w14:textId="77777777" w:rsidR="00D94935" w:rsidRDefault="00D94935" w:rsidP="00D94935">
      <w:pPr>
        <w:pStyle w:val="Amain"/>
        <w:keepNext/>
      </w:pPr>
      <w:r>
        <w:tab/>
        <w:t>(2)</w:t>
      </w:r>
      <w:r>
        <w:tab/>
        <w:t>Evidence in a proceeding started by originating application must be given by affidavit.</w:t>
      </w:r>
    </w:p>
    <w:p w14:paraId="2D15ED8C" w14:textId="77777777"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14:paraId="3D46CEE7" w14:textId="77777777"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14:paraId="607C52DA" w14:textId="77777777" w:rsidR="00D94935" w:rsidRDefault="00D94935" w:rsidP="00D94935">
      <w:pPr>
        <w:pStyle w:val="Amain"/>
      </w:pPr>
      <w:r>
        <w:tab/>
        <w:t>(3)</w:t>
      </w:r>
      <w:r>
        <w:tab/>
        <w:t>This rule applies—</w:t>
      </w:r>
    </w:p>
    <w:p w14:paraId="1C83545B" w14:textId="77777777" w:rsidR="00D94935" w:rsidRDefault="00D94935" w:rsidP="00D94935">
      <w:pPr>
        <w:pStyle w:val="Apara"/>
      </w:pPr>
      <w:r>
        <w:tab/>
        <w:t>(a)</w:t>
      </w:r>
      <w:r>
        <w:tab/>
        <w:t>unless the court otherwise orders; or</w:t>
      </w:r>
    </w:p>
    <w:p w14:paraId="7547F4C2" w14:textId="5571DF84" w:rsidR="00D94935" w:rsidRDefault="00D94935" w:rsidP="00D94935">
      <w:pPr>
        <w:pStyle w:val="Apara"/>
        <w:keepNext/>
      </w:pPr>
      <w:r>
        <w:tab/>
        <w:t>(b)</w:t>
      </w:r>
      <w:r>
        <w:tab/>
        <w:t xml:space="preserve">subject to the </w:t>
      </w:r>
      <w:hyperlink r:id="rId858" w:tooltip="A2011-12" w:history="1">
        <w:r w:rsidRPr="00781093">
          <w:rPr>
            <w:rStyle w:val="charCitHyperlinkAbbrev"/>
          </w:rPr>
          <w:t>Evidence Act</w:t>
        </w:r>
      </w:hyperlink>
      <w:r>
        <w:t>, these rules or any other territory law.</w:t>
      </w:r>
    </w:p>
    <w:p w14:paraId="64859E2D"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75120D2B" w14:textId="77777777"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14:paraId="50902F3E" w14:textId="77777777" w:rsidR="00D94935" w:rsidRDefault="00D94935" w:rsidP="00D94935">
      <w:pPr>
        <w:pStyle w:val="aNoteBulletss"/>
        <w:tabs>
          <w:tab w:val="left" w:pos="2300"/>
        </w:tabs>
      </w:pPr>
      <w:r>
        <w:rPr>
          <w:rFonts w:ascii="Symbol" w:hAnsi="Symbol"/>
        </w:rPr>
        <w:t></w:t>
      </w:r>
      <w:r>
        <w:rPr>
          <w:rFonts w:ascii="Symbol" w:hAnsi="Symbol"/>
        </w:rPr>
        <w:tab/>
      </w:r>
      <w:r>
        <w:t>div 2.8.4 (Interrogatories)</w:t>
      </w:r>
    </w:p>
    <w:p w14:paraId="46714AD8" w14:textId="77777777" w:rsidR="00D94935" w:rsidRDefault="00D94935" w:rsidP="00D94935">
      <w:pPr>
        <w:pStyle w:val="aNoteBulletss"/>
        <w:tabs>
          <w:tab w:val="left" w:pos="2300"/>
        </w:tabs>
      </w:pPr>
      <w:r>
        <w:rPr>
          <w:rFonts w:ascii="Symbol" w:hAnsi="Symbol"/>
        </w:rPr>
        <w:t></w:t>
      </w:r>
      <w:r>
        <w:rPr>
          <w:rFonts w:ascii="Symbol" w:hAnsi="Symbol"/>
        </w:rPr>
        <w:tab/>
      </w:r>
      <w:r>
        <w:t>div 2.12.3 (Expert reports)</w:t>
      </w:r>
    </w:p>
    <w:p w14:paraId="03511AD6" w14:textId="77777777"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14:paraId="597F3977"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14:paraId="00CC6D24" w14:textId="77777777"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14:paraId="3D83BF91" w14:textId="77777777"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14:paraId="0258EE14" w14:textId="77777777"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14:paraId="28B23063" w14:textId="77777777"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14:paraId="56F70581" w14:textId="5A5DCA3B" w:rsidR="00D94935" w:rsidRPr="0028337B" w:rsidRDefault="00D94935" w:rsidP="00D94935">
      <w:pPr>
        <w:pStyle w:val="aNote"/>
      </w:pPr>
      <w:r w:rsidRPr="0028337B">
        <w:rPr>
          <w:i/>
        </w:rPr>
        <w:t>Note 3</w:t>
      </w:r>
      <w:r w:rsidRPr="0028337B">
        <w:rPr>
          <w:i/>
        </w:rPr>
        <w:tab/>
      </w:r>
      <w:r w:rsidRPr="0028337B">
        <w:t xml:space="preserve">See the </w:t>
      </w:r>
      <w:hyperlink r:id="rId859"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14:paraId="5D9B17E7" w14:textId="77777777" w:rsidR="00D94935" w:rsidRDefault="00D94935" w:rsidP="00D94935">
      <w:pPr>
        <w:pStyle w:val="AH5Sec"/>
      </w:pPr>
      <w:bookmarkStart w:id="1786" w:name="_Toc185515402"/>
      <w:r w:rsidRPr="00C8328B">
        <w:rPr>
          <w:rStyle w:val="CharSectNo"/>
        </w:rPr>
        <w:t>6701</w:t>
      </w:r>
      <w:r>
        <w:tab/>
        <w:t>Evidence on affidavit by agreement—civil proceedings</w:t>
      </w:r>
      <w:bookmarkEnd w:id="1786"/>
    </w:p>
    <w:p w14:paraId="21F0E44B" w14:textId="77777777"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14:paraId="3172CFE3"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1C9E0B9D" w14:textId="77777777"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763038D5" w14:textId="77777777" w:rsidR="00D94935" w:rsidRDefault="00D94935" w:rsidP="00D94935">
      <w:pPr>
        <w:pStyle w:val="Amain"/>
      </w:pPr>
      <w:r>
        <w:tab/>
        <w:t>(2)</w:t>
      </w:r>
      <w:r>
        <w:tab/>
        <w:t>The agreement must be made before the proceeding is set down for trial.</w:t>
      </w:r>
    </w:p>
    <w:p w14:paraId="3301496D" w14:textId="77777777" w:rsidR="00D94935" w:rsidRDefault="00D94935" w:rsidP="00D94935">
      <w:pPr>
        <w:pStyle w:val="Amain"/>
      </w:pPr>
      <w:r>
        <w:tab/>
        <w:t>(3)</w:t>
      </w:r>
      <w:r>
        <w:tab/>
        <w:t>The parties must tell the court about the agreement before the proceeding is set down for trial.</w:t>
      </w:r>
    </w:p>
    <w:p w14:paraId="536AB2CA" w14:textId="77777777" w:rsidR="00D94935" w:rsidRDefault="00D94935" w:rsidP="00D94935">
      <w:pPr>
        <w:pStyle w:val="AH5Sec"/>
      </w:pPr>
      <w:bookmarkStart w:id="1787" w:name="_Toc185515403"/>
      <w:r w:rsidRPr="00C8328B">
        <w:rPr>
          <w:rStyle w:val="CharSectNo"/>
        </w:rPr>
        <w:t>6702</w:t>
      </w:r>
      <w:r>
        <w:tab/>
        <w:t>Evidence in another civil proceeding etc</w:t>
      </w:r>
      <w:bookmarkEnd w:id="1787"/>
    </w:p>
    <w:p w14:paraId="3F59C134" w14:textId="77777777" w:rsidR="00D94935" w:rsidRDefault="00D94935" w:rsidP="00D94935">
      <w:pPr>
        <w:pStyle w:val="Amain"/>
      </w:pPr>
      <w:r>
        <w:tab/>
        <w:t>(1)</w:t>
      </w:r>
      <w:r>
        <w:tab/>
        <w:t>A party to a civil proceeding may rely on evidence given or an affidavit filed in another proceeding or in an earlier stage of the same proceeding.</w:t>
      </w:r>
    </w:p>
    <w:p w14:paraId="7155CF37" w14:textId="77777777" w:rsidR="00D94935" w:rsidRDefault="00D94935" w:rsidP="00D94935">
      <w:pPr>
        <w:pStyle w:val="Amain"/>
      </w:pPr>
      <w:r>
        <w:tab/>
        <w:t>(2)</w:t>
      </w:r>
      <w:r>
        <w:tab/>
        <w:t>The party must give all other active parties to the proceeding 2 days notice of the party’s intention to rely on the evidence.</w:t>
      </w:r>
    </w:p>
    <w:p w14:paraId="03FB5D55" w14:textId="77777777"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14:paraId="5D382C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4F03407E" w14:textId="77777777" w:rsidR="00D94935" w:rsidRDefault="00D94935" w:rsidP="00D94935">
      <w:pPr>
        <w:pStyle w:val="AH5Sec"/>
      </w:pPr>
      <w:bookmarkStart w:id="1788" w:name="_Toc185515404"/>
      <w:r w:rsidRPr="00C8328B">
        <w:rPr>
          <w:rStyle w:val="CharSectNo"/>
        </w:rPr>
        <w:t>6703</w:t>
      </w:r>
      <w:r>
        <w:tab/>
        <w:t>Evidence by telephone etc</w:t>
      </w:r>
      <w:bookmarkEnd w:id="1788"/>
    </w:p>
    <w:p w14:paraId="4ACDF791" w14:textId="77777777" w:rsidR="00D94935" w:rsidRDefault="00D94935" w:rsidP="00D94935">
      <w:pPr>
        <w:pStyle w:val="Amain"/>
      </w:pPr>
      <w:r>
        <w:tab/>
        <w:t>(1)</w:t>
      </w:r>
      <w:r>
        <w:tab/>
        <w:t>The court may receive evidence or submissions by telephone, video link or another form of communication in a proceeding.</w:t>
      </w:r>
    </w:p>
    <w:p w14:paraId="5A9F4EB0" w14:textId="77777777" w:rsidR="00D94935" w:rsidRDefault="00D94935" w:rsidP="00D94935">
      <w:pPr>
        <w:pStyle w:val="Amain"/>
        <w:keepNext/>
      </w:pPr>
      <w:r>
        <w:tab/>
        <w:t>(2)</w:t>
      </w:r>
      <w:r>
        <w:tab/>
        <w:t>The court may, by order, impose conditions for subrule (1).</w:t>
      </w:r>
    </w:p>
    <w:p w14:paraId="2C9AAE0D" w14:textId="77777777"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14:paraId="4513E2B8" w14:textId="148AF902"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60" w:tooltip="A1991-34" w:history="1">
        <w:r w:rsidRPr="006364FA">
          <w:rPr>
            <w:rStyle w:val="charCitHyperlinkItal"/>
          </w:rPr>
          <w:t>Evidence (Miscellaneous Provisions) Act 1991</w:t>
        </w:r>
      </w:hyperlink>
      <w:r>
        <w:t xml:space="preserve">, </w:t>
      </w:r>
      <w:r w:rsidR="00335466">
        <w:t>pt </w:t>
      </w:r>
      <w:r>
        <w:t>3.4</w:t>
      </w:r>
    </w:p>
    <w:p w14:paraId="26ED76F3" w14:textId="5DB4C997"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61"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14:paraId="7EF91467" w14:textId="3D5E02C2"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62"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14:paraId="3490A23D" w14:textId="47A237B8"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63"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14:paraId="2BACCA83" w14:textId="77777777"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14:paraId="1EE1E0F4" w14:textId="77777777" w:rsidR="00D94935" w:rsidRDefault="00D94935" w:rsidP="00D94935">
      <w:pPr>
        <w:pStyle w:val="AH5Sec"/>
      </w:pPr>
      <w:bookmarkStart w:id="1789" w:name="_Toc185515405"/>
      <w:r w:rsidRPr="00C8328B">
        <w:rPr>
          <w:rStyle w:val="CharSectNo"/>
        </w:rPr>
        <w:lastRenderedPageBreak/>
        <w:t>6704</w:t>
      </w:r>
      <w:r>
        <w:tab/>
        <w:t>Plans, photographs, video or audio recordings and models</w:t>
      </w:r>
      <w:bookmarkEnd w:id="1789"/>
    </w:p>
    <w:p w14:paraId="5A7FB08E" w14:textId="77777777" w:rsidR="00D94935" w:rsidRDefault="00D94935" w:rsidP="00A409D0">
      <w:pPr>
        <w:pStyle w:val="Amain"/>
        <w:keepNext/>
      </w:pPr>
      <w:r>
        <w:tab/>
        <w:t>(1)</w:t>
      </w:r>
      <w:r>
        <w:tab/>
        <w:t>This rule applies if a party intends to tender a plan, photograph, video or audio recording, or model at a trial.</w:t>
      </w:r>
    </w:p>
    <w:p w14:paraId="6FA50F19" w14:textId="77777777" w:rsidR="00D94935" w:rsidRDefault="00D94935" w:rsidP="00B57E97">
      <w:pPr>
        <w:pStyle w:val="Amain"/>
        <w:keepNext/>
      </w:pPr>
      <w:r>
        <w:tab/>
        <w:t>(2)</w:t>
      </w:r>
      <w:r>
        <w:tab/>
        <w:t>Unless the court otherwise orders, at least 7 days before the day the trial starts, the party must give all other parties an opportunity to—</w:t>
      </w:r>
    </w:p>
    <w:p w14:paraId="2A413848" w14:textId="77777777" w:rsidR="00D94935" w:rsidRDefault="00D94935" w:rsidP="00D94935">
      <w:pPr>
        <w:pStyle w:val="Apara"/>
      </w:pPr>
      <w:r>
        <w:tab/>
        <w:t>(a)</w:t>
      </w:r>
      <w:r>
        <w:tab/>
        <w:t>inspect anything mentioned in subrule (1) the party intends to tender; and</w:t>
      </w:r>
    </w:p>
    <w:p w14:paraId="2318E1EC" w14:textId="77777777" w:rsidR="00D94935" w:rsidRDefault="00D94935" w:rsidP="00D94935">
      <w:pPr>
        <w:pStyle w:val="Apara"/>
        <w:keepNext/>
      </w:pPr>
      <w:r>
        <w:tab/>
        <w:t>(b)</w:t>
      </w:r>
      <w:r>
        <w:tab/>
        <w:t>agree to its admission without proof.</w:t>
      </w:r>
    </w:p>
    <w:p w14:paraId="0C9FE451"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6D06B923" w14:textId="77777777"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14:paraId="35F95905" w14:textId="77777777" w:rsidR="00D94935" w:rsidRDefault="00D94935" w:rsidP="00D94935">
      <w:pPr>
        <w:pStyle w:val="Amain"/>
      </w:pPr>
      <w:r>
        <w:tab/>
        <w:t>(4)</w:t>
      </w:r>
      <w:r>
        <w:tab/>
        <w:t>The container may be opened only if the court orders it to be opened.</w:t>
      </w:r>
    </w:p>
    <w:p w14:paraId="39D8DE79" w14:textId="77777777" w:rsidR="00D94935" w:rsidRDefault="00D94935" w:rsidP="00D94935">
      <w:pPr>
        <w:pStyle w:val="Amain"/>
      </w:pPr>
      <w:r>
        <w:tab/>
        <w:t>(5)</w:t>
      </w:r>
      <w:r>
        <w:tab/>
        <w:t>Noncompliance with subrule (2) does not affect the admissibility of a plan, photograph, video or audio recording, or model.</w:t>
      </w:r>
    </w:p>
    <w:p w14:paraId="4FDB90A3" w14:textId="77777777" w:rsidR="00D94935" w:rsidRDefault="00D94935" w:rsidP="00D94935">
      <w:pPr>
        <w:pStyle w:val="Amain"/>
      </w:pPr>
      <w:r>
        <w:tab/>
        <w:t>(6)</w:t>
      </w:r>
      <w:r>
        <w:tab/>
      </w:r>
      <w:r>
        <w:rPr>
          <w:lang w:val="en-US"/>
        </w:rPr>
        <w:t>Compliance or noncompliance with subrule (2) may be taken into account on the question of costs.</w:t>
      </w:r>
    </w:p>
    <w:p w14:paraId="35489E66" w14:textId="77777777" w:rsidR="00D94935" w:rsidRDefault="00D94935" w:rsidP="00D94935">
      <w:pPr>
        <w:pStyle w:val="Amain"/>
        <w:keepNext/>
      </w:pPr>
      <w:r>
        <w:tab/>
        <w:t>(7)</w:t>
      </w:r>
      <w:r>
        <w:tab/>
      </w:r>
      <w:r>
        <w:rPr>
          <w:lang w:val="en-US"/>
        </w:rPr>
        <w:t>In this rule:</w:t>
      </w:r>
    </w:p>
    <w:p w14:paraId="3DF17916" w14:textId="77777777" w:rsidR="00D94935" w:rsidRDefault="00D94935" w:rsidP="00D94935">
      <w:pPr>
        <w:pStyle w:val="aDef"/>
      </w:pPr>
      <w:r w:rsidRPr="006364FA">
        <w:rPr>
          <w:rStyle w:val="charBoldItals"/>
        </w:rPr>
        <w:t>model</w:t>
      </w:r>
      <w:r>
        <w:t xml:space="preserve"> includes a model or image generated by a computer.</w:t>
      </w:r>
    </w:p>
    <w:p w14:paraId="73BF0626" w14:textId="77777777" w:rsidR="00D94935" w:rsidRPr="00C8328B" w:rsidRDefault="00D94935" w:rsidP="00D94935">
      <w:pPr>
        <w:pStyle w:val="AH3Div"/>
      </w:pPr>
      <w:bookmarkStart w:id="1790" w:name="_Toc185515406"/>
      <w:r w:rsidRPr="00C8328B">
        <w:rPr>
          <w:rStyle w:val="CharDivNo"/>
        </w:rPr>
        <w:t>Division 6.10.2</w:t>
      </w:r>
      <w:r>
        <w:tab/>
      </w:r>
      <w:r w:rsidRPr="00C8328B">
        <w:rPr>
          <w:rStyle w:val="CharDivText"/>
        </w:rPr>
        <w:t>Affidavits</w:t>
      </w:r>
      <w:bookmarkEnd w:id="1790"/>
    </w:p>
    <w:p w14:paraId="025BD2C0" w14:textId="77777777" w:rsidR="00D94935" w:rsidRDefault="00D94935" w:rsidP="00D94935">
      <w:pPr>
        <w:pStyle w:val="AH5Sec"/>
      </w:pPr>
      <w:bookmarkStart w:id="1791" w:name="_Toc185515407"/>
      <w:r w:rsidRPr="00C8328B">
        <w:rPr>
          <w:rStyle w:val="CharSectNo"/>
        </w:rPr>
        <w:t>6710</w:t>
      </w:r>
      <w:r>
        <w:tab/>
        <w:t>Affidavit—form</w:t>
      </w:r>
      <w:bookmarkEnd w:id="1791"/>
    </w:p>
    <w:p w14:paraId="17B0B571" w14:textId="77777777" w:rsidR="00D94935" w:rsidRDefault="00D94935" w:rsidP="00B57E97">
      <w:pPr>
        <w:pStyle w:val="Amain"/>
        <w:keepNext/>
      </w:pPr>
      <w:r>
        <w:tab/>
        <w:t>(1)</w:t>
      </w:r>
      <w:r>
        <w:tab/>
        <w:t>An affidavit must be—</w:t>
      </w:r>
    </w:p>
    <w:p w14:paraId="712D718A" w14:textId="77777777" w:rsidR="00D94935" w:rsidRDefault="00D94935" w:rsidP="00D94935">
      <w:pPr>
        <w:pStyle w:val="Apara"/>
      </w:pPr>
      <w:r>
        <w:tab/>
        <w:t>(a)</w:t>
      </w:r>
      <w:r>
        <w:tab/>
        <w:t>made in the first person; and</w:t>
      </w:r>
    </w:p>
    <w:p w14:paraId="7769A288" w14:textId="77777777" w:rsidR="00D94935" w:rsidRDefault="00D94935" w:rsidP="00D94935">
      <w:pPr>
        <w:pStyle w:val="Apara"/>
      </w:pPr>
      <w:r>
        <w:tab/>
        <w:t>(b)</w:t>
      </w:r>
      <w:r>
        <w:tab/>
        <w:t>divided into paragraphs numbered consecutively; and</w:t>
      </w:r>
    </w:p>
    <w:p w14:paraId="2A8D2EB9" w14:textId="77777777" w:rsidR="00D94935" w:rsidRDefault="00D94935" w:rsidP="00D94935">
      <w:pPr>
        <w:pStyle w:val="Apara"/>
        <w:keepNext/>
      </w:pPr>
      <w:r>
        <w:lastRenderedPageBreak/>
        <w:tab/>
        <w:t>(c)</w:t>
      </w:r>
      <w:r>
        <w:tab/>
        <w:t>limited, as far as possible, to 1 subject matter in each paragraph; and</w:t>
      </w:r>
    </w:p>
    <w:p w14:paraId="054637AB" w14:textId="77777777"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14:paraId="71D24108" w14:textId="002A5508"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64" w:history="1">
        <w:r w:rsidRPr="00961D19">
          <w:rPr>
            <w:rStyle w:val="charCitHyperlinkAbbrev"/>
          </w:rPr>
          <w:t>AF2007-72</w:t>
        </w:r>
      </w:hyperlink>
      <w:r>
        <w:t>.</w:t>
      </w:r>
    </w:p>
    <w:p w14:paraId="2A15CCAA" w14:textId="77777777"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14:paraId="215959DF" w14:textId="77777777" w:rsidR="00D94935" w:rsidRDefault="00D94935" w:rsidP="00D94935">
      <w:pPr>
        <w:pStyle w:val="Amain"/>
      </w:pPr>
      <w:r>
        <w:tab/>
        <w:t>(2)</w:t>
      </w:r>
      <w:r>
        <w:tab/>
        <w:t>If the person making an affidavit is, or is employed by, a party to the proceeding in which the affidavit is to be used, the affidavit must state that fact.</w:t>
      </w:r>
    </w:p>
    <w:p w14:paraId="7BD977C1" w14:textId="77777777" w:rsidR="00D94935" w:rsidRDefault="00D94935" w:rsidP="00D94935">
      <w:pPr>
        <w:pStyle w:val="AH5Sec"/>
      </w:pPr>
      <w:bookmarkStart w:id="1792" w:name="_Toc185515408"/>
      <w:r w:rsidRPr="00C8328B">
        <w:rPr>
          <w:rStyle w:val="CharSectNo"/>
        </w:rPr>
        <w:t>6711</w:t>
      </w:r>
      <w:r>
        <w:tab/>
        <w:t>Affidavit—contents</w:t>
      </w:r>
      <w:bookmarkEnd w:id="1792"/>
    </w:p>
    <w:p w14:paraId="60D42CB5" w14:textId="77777777" w:rsidR="00D94935" w:rsidRDefault="00D94935" w:rsidP="00A409D0">
      <w:pPr>
        <w:pStyle w:val="Amain"/>
        <w:keepNext/>
      </w:pPr>
      <w:r>
        <w:tab/>
        <w:t>(1)</w:t>
      </w:r>
      <w:r>
        <w:tab/>
        <w:t>An affidavit must be confined to facts within the knowledge of the person making the affidavit.</w:t>
      </w:r>
    </w:p>
    <w:p w14:paraId="46C416DC" w14:textId="77777777"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14:paraId="6BADE078" w14:textId="77777777"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14:paraId="088940AD" w14:textId="49BA69C3"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65" w:tooltip="A2011-12" w:history="1">
        <w:r w:rsidRPr="00781093">
          <w:rPr>
            <w:rStyle w:val="charCitHyperlinkAbbrev"/>
          </w:rPr>
          <w:t>Evidence Act</w:t>
        </w:r>
      </w:hyperlink>
      <w:r w:rsidRPr="00AD5834">
        <w:t>, s 75 (Exception—interlocutory proceedings)</w:t>
      </w:r>
      <w:r>
        <w:rPr>
          <w:iCs/>
        </w:rPr>
        <w:t xml:space="preserve">). </w:t>
      </w:r>
    </w:p>
    <w:p w14:paraId="1482E1AD" w14:textId="77777777" w:rsidR="00D94935" w:rsidRDefault="00D94935" w:rsidP="00D94935">
      <w:pPr>
        <w:pStyle w:val="Amain"/>
        <w:keepNext/>
      </w:pPr>
      <w:r>
        <w:tab/>
        <w:t>(3)</w:t>
      </w:r>
      <w:r>
        <w:tab/>
        <w:t>This rule does not apply to an affidavit made under division 2.11.3 (Default by defendant).</w:t>
      </w:r>
    </w:p>
    <w:p w14:paraId="7C185F7E" w14:textId="77777777"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14:paraId="4E146713" w14:textId="77777777" w:rsidR="00D94935" w:rsidRDefault="00D94935" w:rsidP="00D94935">
      <w:pPr>
        <w:pStyle w:val="AH5Sec"/>
      </w:pPr>
      <w:bookmarkStart w:id="1793" w:name="_Toc185515409"/>
      <w:r w:rsidRPr="00C8328B">
        <w:rPr>
          <w:rStyle w:val="CharSectNo"/>
        </w:rPr>
        <w:lastRenderedPageBreak/>
        <w:t>6712</w:t>
      </w:r>
      <w:r>
        <w:tab/>
        <w:t>Affidavit—annexures and exhibits</w:t>
      </w:r>
      <w:bookmarkEnd w:id="1793"/>
    </w:p>
    <w:p w14:paraId="1D0886EC" w14:textId="77777777" w:rsidR="00652EBE" w:rsidRPr="00E31D57" w:rsidRDefault="00652EBE" w:rsidP="00D61368">
      <w:pPr>
        <w:pStyle w:val="Amain"/>
        <w:keepNext/>
      </w:pPr>
      <w:r w:rsidRPr="00E31D57">
        <w:tab/>
        <w:t>(1)</w:t>
      </w:r>
      <w:r w:rsidRPr="00E31D57">
        <w:tab/>
        <w:t>A document to be used with an affidavit must be—</w:t>
      </w:r>
    </w:p>
    <w:p w14:paraId="6B2CBF48" w14:textId="77777777" w:rsidR="00652EBE" w:rsidRPr="00E31D57" w:rsidRDefault="00652EBE" w:rsidP="00D61368">
      <w:pPr>
        <w:pStyle w:val="Apara"/>
        <w:keepNext/>
      </w:pPr>
      <w:r w:rsidRPr="00E31D57">
        <w:tab/>
        <w:t>(a)</w:t>
      </w:r>
      <w:r w:rsidRPr="00E31D57">
        <w:tab/>
        <w:t>annexed to the affidavit; or</w:t>
      </w:r>
    </w:p>
    <w:p w14:paraId="2EB32C29" w14:textId="77777777" w:rsidR="00652EBE" w:rsidRPr="00E31D57" w:rsidRDefault="00652EBE" w:rsidP="00652EBE">
      <w:pPr>
        <w:pStyle w:val="Apara"/>
      </w:pPr>
      <w:r w:rsidRPr="00E31D57">
        <w:tab/>
        <w:t>(b)</w:t>
      </w:r>
      <w:r w:rsidRPr="00E31D57">
        <w:tab/>
        <w:t>an exhibit to the affidavit.</w:t>
      </w:r>
    </w:p>
    <w:p w14:paraId="2AB1F63D" w14:textId="77777777" w:rsidR="00652EBE" w:rsidRPr="00E31D57" w:rsidRDefault="00652EBE" w:rsidP="00652EBE">
      <w:pPr>
        <w:pStyle w:val="Amain"/>
      </w:pPr>
      <w:r w:rsidRPr="00E31D57">
        <w:tab/>
        <w:t>(2)</w:t>
      </w:r>
      <w:r w:rsidRPr="00E31D57">
        <w:tab/>
        <w:t>However—</w:t>
      </w:r>
    </w:p>
    <w:p w14:paraId="084057BB" w14:textId="77777777" w:rsidR="00652EBE" w:rsidRPr="00E31D57" w:rsidRDefault="00652EBE" w:rsidP="00652EBE">
      <w:pPr>
        <w:pStyle w:val="Apara"/>
      </w:pPr>
      <w:r w:rsidRPr="00E31D57">
        <w:tab/>
        <w:t>(a)</w:t>
      </w:r>
      <w:r w:rsidRPr="00E31D57">
        <w:tab/>
        <w:t>no more than 50 pages in total may be annexed to an affidavit; and</w:t>
      </w:r>
    </w:p>
    <w:p w14:paraId="2772650C" w14:textId="77777777" w:rsidR="00652EBE" w:rsidRPr="00E31D57" w:rsidRDefault="00652EBE" w:rsidP="00652EBE">
      <w:pPr>
        <w:pStyle w:val="Apara"/>
      </w:pPr>
      <w:r w:rsidRPr="00E31D57">
        <w:tab/>
        <w:t>(b)</w:t>
      </w:r>
      <w:r w:rsidRPr="00E31D57">
        <w:tab/>
        <w:t>an affidavit may not have both annexures and exhibits.</w:t>
      </w:r>
    </w:p>
    <w:p w14:paraId="0823B434" w14:textId="77777777" w:rsidR="00D94935" w:rsidRDefault="00D94935" w:rsidP="00D94935">
      <w:pPr>
        <w:pStyle w:val="Amain"/>
      </w:pPr>
      <w:r>
        <w:tab/>
        <w:t>(3)</w:t>
      </w:r>
      <w:r>
        <w:tab/>
        <w:t>Each annexure must be identified sequentially on its 1st page by a letter, starting at ‘A’ for the 1st annexure.</w:t>
      </w:r>
    </w:p>
    <w:p w14:paraId="5CC4F326" w14:textId="77777777" w:rsidR="00D94935" w:rsidRDefault="00D94935" w:rsidP="00D94935">
      <w:pPr>
        <w:pStyle w:val="Amain"/>
      </w:pPr>
      <w:r>
        <w:tab/>
        <w:t>(4)</w:t>
      </w:r>
      <w:r>
        <w:tab/>
        <w:t>Each annexure must include on its 1st page a statement—</w:t>
      </w:r>
    </w:p>
    <w:p w14:paraId="0AB0E4DB" w14:textId="77777777" w:rsidR="00D94935" w:rsidRDefault="00D94935" w:rsidP="00D94935">
      <w:pPr>
        <w:pStyle w:val="Apara"/>
      </w:pPr>
      <w:r>
        <w:tab/>
        <w:t>(a)</w:t>
      </w:r>
      <w:r>
        <w:tab/>
        <w:t>identifying the annexure as the annexure mentioned in the affidavit of the person making the affidavit, and</w:t>
      </w:r>
    </w:p>
    <w:p w14:paraId="3F485630" w14:textId="77777777" w:rsidR="00D94935" w:rsidRDefault="00D94935" w:rsidP="00D94935">
      <w:pPr>
        <w:pStyle w:val="Apara"/>
        <w:keepNext/>
      </w:pPr>
      <w:r>
        <w:tab/>
        <w:t>(b)</w:t>
      </w:r>
      <w:r>
        <w:tab/>
        <w:t>signed by the person before whom the affidavit is taken.</w:t>
      </w:r>
    </w:p>
    <w:p w14:paraId="551F44DB" w14:textId="11282975"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66" w:history="1">
        <w:r w:rsidRPr="00961D19">
          <w:rPr>
            <w:rStyle w:val="charCitHyperlinkAbbrev"/>
          </w:rPr>
          <w:t>AF2007-73</w:t>
        </w:r>
      </w:hyperlink>
      <w:r>
        <w:t>.</w:t>
      </w:r>
    </w:p>
    <w:p w14:paraId="2BA16219" w14:textId="77777777" w:rsidR="00D94935" w:rsidRDefault="00D94935" w:rsidP="00D94935">
      <w:pPr>
        <w:pStyle w:val="Amain"/>
      </w:pPr>
      <w:r>
        <w:tab/>
        <w:t>(5)</w:t>
      </w:r>
      <w:r>
        <w:tab/>
        <w:t>A group of different documents may form a single annexure.</w:t>
      </w:r>
    </w:p>
    <w:p w14:paraId="693D1912" w14:textId="77777777" w:rsidR="00D94935" w:rsidRDefault="00D94935" w:rsidP="00D94935">
      <w:pPr>
        <w:pStyle w:val="Amain"/>
      </w:pPr>
      <w:r>
        <w:tab/>
        <w:t>(6)</w:t>
      </w:r>
      <w:r>
        <w:tab/>
        <w:t>If it is not practicable to annex a document to be used with an affidavit, a copy of the document may be annexed to the affidavit.</w:t>
      </w:r>
    </w:p>
    <w:p w14:paraId="22A90FE5" w14:textId="702BD55D" w:rsidR="00D94935" w:rsidRDefault="00D94935" w:rsidP="00D94935">
      <w:pPr>
        <w:pStyle w:val="Amain"/>
      </w:pPr>
      <w:r>
        <w:tab/>
        <w:t>(</w:t>
      </w:r>
      <w:r w:rsidR="00652EBE">
        <w:t>7</w:t>
      </w:r>
      <w:r>
        <w:t>)</w:t>
      </w:r>
      <w:r>
        <w:tab/>
        <w:t>Each exhibit to the affidavit must be identified by a separate certificate.</w:t>
      </w:r>
    </w:p>
    <w:p w14:paraId="4AD38441" w14:textId="276112FF" w:rsidR="00D94935" w:rsidRDefault="00D94935" w:rsidP="00D94935">
      <w:pPr>
        <w:pStyle w:val="aNote"/>
      </w:pPr>
      <w:r w:rsidRPr="006364FA">
        <w:rPr>
          <w:rStyle w:val="charItals"/>
        </w:rPr>
        <w:t>Note</w:t>
      </w:r>
      <w:r>
        <w:tab/>
        <w:t xml:space="preserve">See approved form 6.13 (Certificate identifying exhibit) </w:t>
      </w:r>
      <w:hyperlink r:id="rId867" w:history="1">
        <w:r w:rsidRPr="00961D19">
          <w:rPr>
            <w:rStyle w:val="charCitHyperlinkAbbrev"/>
          </w:rPr>
          <w:t>AF2006-421</w:t>
        </w:r>
      </w:hyperlink>
      <w:r>
        <w:t>.</w:t>
      </w:r>
    </w:p>
    <w:p w14:paraId="2F859711" w14:textId="5CAF7B2C" w:rsidR="00D94935" w:rsidRDefault="00D94935" w:rsidP="00D94935">
      <w:pPr>
        <w:pStyle w:val="Amain"/>
      </w:pPr>
      <w:r>
        <w:tab/>
        <w:t>(</w:t>
      </w:r>
      <w:r w:rsidR="00652EBE">
        <w:t>8</w:t>
      </w:r>
      <w:r>
        <w:t>)</w:t>
      </w:r>
      <w:r>
        <w:tab/>
        <w:t>The certificate is the title page for the exhibit, and must be securely attached to the front of it.</w:t>
      </w:r>
    </w:p>
    <w:p w14:paraId="33013EC5" w14:textId="03A7FB00" w:rsidR="00D94935" w:rsidRDefault="00D94935" w:rsidP="00D94935">
      <w:pPr>
        <w:pStyle w:val="Amain"/>
      </w:pPr>
      <w:r>
        <w:tab/>
        <w:t>(</w:t>
      </w:r>
      <w:r w:rsidR="00652EBE">
        <w:t>9</w:t>
      </w:r>
      <w:r>
        <w:t>)</w:t>
      </w:r>
      <w:r>
        <w:tab/>
        <w:t>The certificate—</w:t>
      </w:r>
    </w:p>
    <w:p w14:paraId="51D1CC01" w14:textId="77777777" w:rsidR="00D94935" w:rsidRDefault="00D94935" w:rsidP="00D94935">
      <w:pPr>
        <w:pStyle w:val="Apara"/>
      </w:pPr>
      <w:r>
        <w:tab/>
        <w:t>(a)</w:t>
      </w:r>
      <w:r>
        <w:tab/>
        <w:t>must be signed by the person before whom the affidavit is taken; and</w:t>
      </w:r>
    </w:p>
    <w:p w14:paraId="788C244B" w14:textId="77777777"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14:paraId="33593A99" w14:textId="158C049D" w:rsidR="00D94935" w:rsidRDefault="00D94935" w:rsidP="00D94935">
      <w:pPr>
        <w:pStyle w:val="aExamHdgss"/>
      </w:pPr>
      <w:r>
        <w:t>Examples for r (</w:t>
      </w:r>
      <w:r w:rsidR="00652EBE">
        <w:t>9</w:t>
      </w:r>
      <w:r>
        <w:t>) (b)</w:t>
      </w:r>
    </w:p>
    <w:p w14:paraId="0129C20C" w14:textId="77777777" w:rsidR="00D94935" w:rsidRDefault="00D94935" w:rsidP="00D94935">
      <w:pPr>
        <w:pStyle w:val="aExamNum"/>
        <w:tabs>
          <w:tab w:val="left" w:pos="1500"/>
        </w:tabs>
      </w:pPr>
      <w:r>
        <w:t>1</w:t>
      </w:r>
      <w:r>
        <w:tab/>
        <w:t>for the 1st exhibit, the identifying number is 1</w:t>
      </w:r>
    </w:p>
    <w:p w14:paraId="3A05FE42" w14:textId="77777777" w:rsidR="00D94935" w:rsidRDefault="00D94935" w:rsidP="00D94935">
      <w:pPr>
        <w:pStyle w:val="aExamNum"/>
        <w:keepNext/>
        <w:tabs>
          <w:tab w:val="left" w:pos="1500"/>
        </w:tabs>
      </w:pPr>
      <w:r>
        <w:t>2</w:t>
      </w:r>
      <w:r>
        <w:tab/>
        <w:t>for the 4th exhibit, the identifying number is 4</w:t>
      </w:r>
    </w:p>
    <w:p w14:paraId="7B7575F2" w14:textId="17C4124B" w:rsidR="00652EBE" w:rsidRPr="00E31D57" w:rsidRDefault="00652EBE" w:rsidP="00652EBE">
      <w:pPr>
        <w:pStyle w:val="Amain"/>
      </w:pPr>
      <w:r w:rsidRPr="00E31D57">
        <w:tab/>
        <w:t>(1</w:t>
      </w:r>
      <w:r>
        <w:t>0</w:t>
      </w:r>
      <w:r w:rsidRPr="00E31D57">
        <w:t>)</w:t>
      </w:r>
      <w:r w:rsidRPr="00E31D57">
        <w:tab/>
        <w:t>An exhibit to an affidavit must—</w:t>
      </w:r>
    </w:p>
    <w:p w14:paraId="643AB993" w14:textId="77777777" w:rsidR="00652EBE" w:rsidRPr="00E31D57" w:rsidRDefault="00652EBE" w:rsidP="00652EBE">
      <w:pPr>
        <w:pStyle w:val="Apara"/>
      </w:pPr>
      <w:r w:rsidRPr="00E31D57">
        <w:tab/>
        <w:t>(a)</w:t>
      </w:r>
      <w:r w:rsidRPr="00E31D57">
        <w:tab/>
        <w:t>be served with the affidavit; but</w:t>
      </w:r>
    </w:p>
    <w:p w14:paraId="3BEE3590" w14:textId="77777777" w:rsidR="00652EBE" w:rsidRPr="00E31D57" w:rsidRDefault="00652EBE" w:rsidP="00652EBE">
      <w:pPr>
        <w:pStyle w:val="Apara"/>
      </w:pPr>
      <w:r w:rsidRPr="00E31D57">
        <w:tab/>
        <w:t>(b)</w:t>
      </w:r>
      <w:r w:rsidRPr="00E31D57">
        <w:tab/>
        <w:t>not be filed in the court unless the court otherwise orders.</w:t>
      </w:r>
    </w:p>
    <w:p w14:paraId="597D4EB6" w14:textId="7F3D5028" w:rsidR="00D94935" w:rsidRPr="00403BD1" w:rsidRDefault="00D94935" w:rsidP="00D94935">
      <w:pPr>
        <w:pStyle w:val="Amain"/>
      </w:pPr>
      <w:r w:rsidRPr="00403BD1">
        <w:tab/>
        <w:t>(1</w:t>
      </w:r>
      <w:r w:rsidR="00652EBE">
        <w:t>1</w:t>
      </w:r>
      <w:r w:rsidRPr="00403BD1">
        <w:t>)</w:t>
      </w:r>
      <w:r w:rsidRPr="00403BD1">
        <w:tab/>
        <w:t>If an exhibit to an affidavit contains a document, or group of documents, the document or documents must be—</w:t>
      </w:r>
    </w:p>
    <w:p w14:paraId="37418D1C" w14:textId="77777777" w:rsidR="00D94935" w:rsidRPr="00403BD1" w:rsidRDefault="00D94935" w:rsidP="00D94935">
      <w:pPr>
        <w:pStyle w:val="Apara"/>
      </w:pPr>
      <w:r w:rsidRPr="00403BD1">
        <w:tab/>
        <w:t>(a)</w:t>
      </w:r>
      <w:r w:rsidRPr="00403BD1">
        <w:tab/>
        <w:t>presented in a way that will facilitate the court’s efficient and quick reference to them; and</w:t>
      </w:r>
    </w:p>
    <w:p w14:paraId="68CF41B6" w14:textId="77777777" w:rsidR="00D94935" w:rsidRPr="00403BD1" w:rsidRDefault="00D94935" w:rsidP="00D94935">
      <w:pPr>
        <w:pStyle w:val="Apara"/>
      </w:pPr>
      <w:r w:rsidRPr="00403BD1">
        <w:tab/>
        <w:t>(b)</w:t>
      </w:r>
      <w:r w:rsidRPr="00403BD1">
        <w:tab/>
        <w:t>numbered on each page.</w:t>
      </w:r>
    </w:p>
    <w:p w14:paraId="7218DB73" w14:textId="4868326C" w:rsidR="00D94935" w:rsidRPr="00403BD1" w:rsidRDefault="00D94935" w:rsidP="00D94935">
      <w:pPr>
        <w:pStyle w:val="Amain"/>
      </w:pPr>
      <w:r w:rsidRPr="00403BD1">
        <w:tab/>
        <w:t>(1</w:t>
      </w:r>
      <w:r w:rsidR="00652EBE">
        <w:t>2</w:t>
      </w:r>
      <w:r w:rsidRPr="00403BD1">
        <w:t>)</w:t>
      </w:r>
      <w:r w:rsidRPr="00403BD1">
        <w:tab/>
        <w:t>Subrule (1</w:t>
      </w:r>
      <w:r w:rsidR="00C727A7">
        <w:t>3</w:t>
      </w:r>
      <w:r w:rsidRPr="00403BD1">
        <w:t>) applies if there is more than 1 documentary exhibit to an affidavit.</w:t>
      </w:r>
    </w:p>
    <w:p w14:paraId="3EA7C00A" w14:textId="22F6AB7F" w:rsidR="00D94935" w:rsidRDefault="00D94935" w:rsidP="00D94935">
      <w:pPr>
        <w:pStyle w:val="Amain"/>
      </w:pPr>
      <w:r>
        <w:tab/>
        <w:t>(1</w:t>
      </w:r>
      <w:r w:rsidR="00652EBE">
        <w:t>3</w:t>
      </w:r>
      <w:r>
        <w:t>)</w:t>
      </w:r>
      <w:r>
        <w:tab/>
        <w:t>As far as practicable—</w:t>
      </w:r>
    </w:p>
    <w:p w14:paraId="447F23D0" w14:textId="77777777" w:rsidR="00D94935" w:rsidRDefault="00D94935" w:rsidP="00D94935">
      <w:pPr>
        <w:pStyle w:val="Apara"/>
      </w:pPr>
      <w:r>
        <w:tab/>
        <w:t>(a)</w:t>
      </w:r>
      <w:r>
        <w:tab/>
        <w:t>the documents must be bound in 1 or more books, with the pages numbered; and</w:t>
      </w:r>
    </w:p>
    <w:p w14:paraId="5C8DB6C8" w14:textId="77777777" w:rsidR="00D94935" w:rsidRDefault="00D94935" w:rsidP="00D94935">
      <w:pPr>
        <w:pStyle w:val="Apara"/>
      </w:pPr>
      <w:r>
        <w:tab/>
        <w:t>(b)</w:t>
      </w:r>
      <w:r>
        <w:tab/>
        <w:t>a certificate must be bound—</w:t>
      </w:r>
    </w:p>
    <w:p w14:paraId="43A9F6CA" w14:textId="77777777" w:rsidR="00D94935" w:rsidRDefault="00D94935" w:rsidP="00D94935">
      <w:pPr>
        <w:pStyle w:val="Asubpara"/>
      </w:pPr>
      <w:r>
        <w:tab/>
        <w:t>(i)</w:t>
      </w:r>
      <w:r>
        <w:tab/>
        <w:t>if there is 1 book—at the front of the book; or</w:t>
      </w:r>
    </w:p>
    <w:p w14:paraId="6A6D7EF1" w14:textId="77777777" w:rsidR="00D94935" w:rsidRDefault="00D94935" w:rsidP="00D94935">
      <w:pPr>
        <w:pStyle w:val="Asubpara"/>
      </w:pPr>
      <w:r>
        <w:tab/>
        <w:t>(ii)</w:t>
      </w:r>
      <w:r>
        <w:tab/>
        <w:t>if there is more than 1 book—at the front of each book dealing with the exhibits in the book; and</w:t>
      </w:r>
    </w:p>
    <w:p w14:paraId="05ABE269" w14:textId="77777777" w:rsidR="00D94935" w:rsidRDefault="00D94935" w:rsidP="00D94935">
      <w:pPr>
        <w:pStyle w:val="Apara"/>
      </w:pPr>
      <w:r>
        <w:tab/>
        <w:t>(c)</w:t>
      </w:r>
      <w:r>
        <w:tab/>
        <w:t>an index to each book must be bound immediately after the certificate.</w:t>
      </w:r>
    </w:p>
    <w:p w14:paraId="2E19771D" w14:textId="0F627E96" w:rsidR="00D94935" w:rsidRDefault="00D94935" w:rsidP="00D61368">
      <w:pPr>
        <w:pStyle w:val="Amain"/>
        <w:keepNext/>
      </w:pPr>
      <w:r>
        <w:lastRenderedPageBreak/>
        <w:tab/>
        <w:t>(1</w:t>
      </w:r>
      <w:r w:rsidR="00652EBE">
        <w:t>4</w:t>
      </w:r>
      <w:r>
        <w:t>)</w:t>
      </w:r>
      <w:r>
        <w:tab/>
        <w:t>If a document or thing has been filed in a proceeding, whether or not as an annexure or exhibit to an affidavit, in a subsequent affidavit filed in the proceeding—</w:t>
      </w:r>
    </w:p>
    <w:p w14:paraId="21FB6A61" w14:textId="77777777" w:rsidR="00D94935" w:rsidRDefault="00D94935" w:rsidP="00D94935">
      <w:pPr>
        <w:pStyle w:val="Apara"/>
      </w:pPr>
      <w:r>
        <w:tab/>
        <w:t>(a)</w:t>
      </w:r>
      <w:r>
        <w:tab/>
        <w:t xml:space="preserve">the document or thing must not be made an annexure or exhibit to the affidavit; and </w:t>
      </w:r>
    </w:p>
    <w:p w14:paraId="452CD2B8" w14:textId="77777777" w:rsidR="00D94935" w:rsidRDefault="00D94935" w:rsidP="00D94935">
      <w:pPr>
        <w:pStyle w:val="Apara"/>
      </w:pPr>
      <w:r>
        <w:tab/>
        <w:t>(b)</w:t>
      </w:r>
      <w:r>
        <w:tab/>
        <w:t>the document or thing may be referred to in the affidavit in a way sufficient to enable the document or thing to be identified.</w:t>
      </w:r>
    </w:p>
    <w:p w14:paraId="639CC19F" w14:textId="77777777" w:rsidR="00D94935" w:rsidRDefault="00D94935" w:rsidP="00D94935">
      <w:pPr>
        <w:pStyle w:val="AH5Sec"/>
      </w:pPr>
      <w:bookmarkStart w:id="1794" w:name="_Toc185515410"/>
      <w:r w:rsidRPr="00C8328B">
        <w:rPr>
          <w:rStyle w:val="CharSectNo"/>
        </w:rPr>
        <w:t>6713</w:t>
      </w:r>
      <w:r>
        <w:tab/>
        <w:t>Affidavit—document included in</w:t>
      </w:r>
      <w:bookmarkEnd w:id="1794"/>
    </w:p>
    <w:p w14:paraId="0FBCD65E" w14:textId="77777777"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14:paraId="5A789350" w14:textId="77777777" w:rsidR="00D94935" w:rsidRDefault="00D94935" w:rsidP="00D94935">
      <w:pPr>
        <w:pStyle w:val="Amain"/>
      </w:pPr>
      <w:r>
        <w:tab/>
        <w:t>(2)</w:t>
      </w:r>
      <w:r>
        <w:tab/>
        <w:t>The party filing the affidavit must produce the document whenever the affidavit is used.</w:t>
      </w:r>
    </w:p>
    <w:p w14:paraId="5EB8429F" w14:textId="77777777" w:rsidR="00D94935" w:rsidRDefault="00D94935" w:rsidP="00D94935">
      <w:pPr>
        <w:pStyle w:val="AH5Sec"/>
      </w:pPr>
      <w:bookmarkStart w:id="1795" w:name="_Toc185515411"/>
      <w:r w:rsidRPr="00C8328B">
        <w:rPr>
          <w:rStyle w:val="CharSectNo"/>
        </w:rPr>
        <w:t>6714</w:t>
      </w:r>
      <w:r>
        <w:tab/>
        <w:t>Affidavit—when may be taken</w:t>
      </w:r>
      <w:bookmarkEnd w:id="1795"/>
    </w:p>
    <w:p w14:paraId="5DE0B071" w14:textId="77777777" w:rsidR="00D94935" w:rsidRDefault="00D94935" w:rsidP="00D94935">
      <w:pPr>
        <w:pStyle w:val="Amainreturn"/>
      </w:pPr>
      <w:r>
        <w:t>An affidavit to be used in a proceeding may be taken before or after the proceeding starts.</w:t>
      </w:r>
    </w:p>
    <w:p w14:paraId="0FDDC15C" w14:textId="77777777" w:rsidR="00D94935" w:rsidRDefault="00D94935" w:rsidP="00D94935">
      <w:pPr>
        <w:pStyle w:val="AH5Sec"/>
      </w:pPr>
      <w:bookmarkStart w:id="1796" w:name="_Toc185515412"/>
      <w:r w:rsidRPr="00C8328B">
        <w:rPr>
          <w:rStyle w:val="CharSectNo"/>
        </w:rPr>
        <w:t>6715</w:t>
      </w:r>
      <w:r>
        <w:tab/>
        <w:t>Affidavit—taking of</w:t>
      </w:r>
      <w:bookmarkEnd w:id="1796"/>
    </w:p>
    <w:p w14:paraId="494FA5E3" w14:textId="77777777" w:rsidR="00D94935" w:rsidRDefault="00D94935" w:rsidP="00D94935">
      <w:pPr>
        <w:pStyle w:val="Amain"/>
      </w:pPr>
      <w:r>
        <w:tab/>
        <w:t>(1)</w:t>
      </w:r>
      <w:r>
        <w:tab/>
        <w:t>The person (or each person) making an affidavit and the person taking the affidavit must sign or initial each page of the affidavit.</w:t>
      </w:r>
    </w:p>
    <w:p w14:paraId="0F9BC98A" w14:textId="77777777"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14:paraId="668F5EF7" w14:textId="77777777" w:rsidR="00D94935" w:rsidRDefault="00D94935" w:rsidP="00D94935">
      <w:pPr>
        <w:pStyle w:val="Apara"/>
      </w:pPr>
      <w:r>
        <w:tab/>
        <w:t>(a)</w:t>
      </w:r>
      <w:r>
        <w:tab/>
        <w:t>state whether the affidavit was sworn or affirmed; and</w:t>
      </w:r>
    </w:p>
    <w:p w14:paraId="253B0D89" w14:textId="77777777" w:rsidR="00D94935" w:rsidRDefault="00D94935" w:rsidP="00D94935">
      <w:pPr>
        <w:pStyle w:val="Apara"/>
      </w:pPr>
      <w:r>
        <w:tab/>
        <w:t>(b)</w:t>
      </w:r>
      <w:r>
        <w:tab/>
        <w:t>state the place the person made the affidavit; and</w:t>
      </w:r>
    </w:p>
    <w:p w14:paraId="65831882" w14:textId="77777777" w:rsidR="00D94935" w:rsidRDefault="00D94935" w:rsidP="00D94935">
      <w:pPr>
        <w:pStyle w:val="Apara"/>
      </w:pPr>
      <w:r>
        <w:tab/>
        <w:t>(c)</w:t>
      </w:r>
      <w:r>
        <w:tab/>
        <w:t>be signed by the person making the affidavit in the presence of the person taking the affidavit; and</w:t>
      </w:r>
    </w:p>
    <w:p w14:paraId="715027F6" w14:textId="77777777"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14:paraId="2B1A086C" w14:textId="77777777" w:rsidR="00D94935" w:rsidRDefault="00D94935" w:rsidP="00D94935">
      <w:pPr>
        <w:pStyle w:val="aExamHdgss"/>
      </w:pPr>
      <w:r>
        <w:t>Example of capacity for r (2) (d)</w:t>
      </w:r>
    </w:p>
    <w:p w14:paraId="20C1DB0C" w14:textId="77777777" w:rsidR="00D94935" w:rsidRDefault="00D94935" w:rsidP="00D94935">
      <w:pPr>
        <w:pStyle w:val="aExamss"/>
        <w:keepNext/>
      </w:pPr>
      <w:r>
        <w:t>solicitor</w:t>
      </w:r>
    </w:p>
    <w:p w14:paraId="47FD1D99" w14:textId="3A73745F" w:rsidR="00D94935" w:rsidRDefault="00D94935" w:rsidP="00D94935">
      <w:pPr>
        <w:pStyle w:val="aNote"/>
      </w:pPr>
      <w:r w:rsidRPr="006364FA">
        <w:rPr>
          <w:rStyle w:val="charItals"/>
        </w:rPr>
        <w:t>Note</w:t>
      </w:r>
      <w:r w:rsidRPr="006364FA">
        <w:rPr>
          <w:rStyle w:val="charItals"/>
        </w:rPr>
        <w:tab/>
      </w:r>
      <w:r>
        <w:t xml:space="preserve">See the </w:t>
      </w:r>
      <w:hyperlink r:id="rId868"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9" w:tooltip="A1984-79" w:history="1">
        <w:r w:rsidRPr="006364FA">
          <w:rPr>
            <w:rStyle w:val="charCitHyperlinkItal"/>
          </w:rPr>
          <w:t>Oaths and Affirmations Act 1984</w:t>
        </w:r>
      </w:hyperlink>
      <w:r>
        <w:t>, s 11 (Authority to administer oath etc).</w:t>
      </w:r>
    </w:p>
    <w:p w14:paraId="54653FF0" w14:textId="77777777" w:rsidR="00D94935" w:rsidRDefault="00D94935" w:rsidP="00D94935">
      <w:pPr>
        <w:pStyle w:val="Amain"/>
        <w:keepNext/>
      </w:pPr>
      <w:r>
        <w:tab/>
        <w:t>(3)</w:t>
      </w:r>
      <w:r>
        <w:tab/>
        <w:t>However, a single jurat may be used for 2 or more people making the affidavit if—</w:t>
      </w:r>
    </w:p>
    <w:p w14:paraId="4B52AD5C" w14:textId="77777777" w:rsidR="00D94935" w:rsidRDefault="00D94935" w:rsidP="00D94935">
      <w:pPr>
        <w:pStyle w:val="Apara"/>
      </w:pPr>
      <w:r>
        <w:tab/>
        <w:t>(a)</w:t>
      </w:r>
      <w:r>
        <w:tab/>
        <w:t>they all swear or affirm the affidavit at the same time before the same person; and</w:t>
      </w:r>
    </w:p>
    <w:p w14:paraId="3DD16DBA" w14:textId="77777777" w:rsidR="00D94935" w:rsidRDefault="00D94935" w:rsidP="00D94935">
      <w:pPr>
        <w:pStyle w:val="Apara"/>
      </w:pPr>
      <w:r>
        <w:tab/>
        <w:t>(b)</w:t>
      </w:r>
      <w:r>
        <w:tab/>
        <w:t>the jurat includes their names in addition to the details required for each of them under subrule (2).</w:t>
      </w:r>
    </w:p>
    <w:p w14:paraId="266B411A" w14:textId="77777777" w:rsidR="00D94935" w:rsidRDefault="00D94935" w:rsidP="00D94935">
      <w:pPr>
        <w:pStyle w:val="AH5Sec"/>
      </w:pPr>
      <w:bookmarkStart w:id="1797" w:name="_Toc185515413"/>
      <w:r w:rsidRPr="00C8328B">
        <w:rPr>
          <w:rStyle w:val="CharSectNo"/>
        </w:rPr>
        <w:t>6716</w:t>
      </w:r>
      <w:r>
        <w:tab/>
        <w:t>Affidavit—certificate of reading or signature for person making</w:t>
      </w:r>
      <w:bookmarkEnd w:id="1797"/>
    </w:p>
    <w:p w14:paraId="7BAD55B0" w14:textId="77777777"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14:paraId="43BD3992" w14:textId="77777777" w:rsidR="00D94935" w:rsidRDefault="00D94935" w:rsidP="00D94935">
      <w:pPr>
        <w:pStyle w:val="Apara"/>
      </w:pPr>
      <w:r>
        <w:tab/>
        <w:t>(a)</w:t>
      </w:r>
      <w:r>
        <w:tab/>
        <w:t>the affidavit was read or otherwise communicated in the person’s presence to the person making it; and</w:t>
      </w:r>
    </w:p>
    <w:p w14:paraId="4D5680F6" w14:textId="77777777" w:rsidR="00D94935" w:rsidRDefault="00D94935" w:rsidP="00D94935">
      <w:pPr>
        <w:pStyle w:val="Apara"/>
      </w:pPr>
      <w:r>
        <w:tab/>
        <w:t>(b)</w:t>
      </w:r>
      <w:r>
        <w:tab/>
        <w:t xml:space="preserve">the person making it seemed to understand the affidavit; and </w:t>
      </w:r>
    </w:p>
    <w:p w14:paraId="0A9E3EED" w14:textId="77777777" w:rsidR="00D94935" w:rsidRDefault="00D94935" w:rsidP="00D94935">
      <w:pPr>
        <w:pStyle w:val="Apara"/>
        <w:keepNext/>
      </w:pPr>
      <w:r>
        <w:tab/>
        <w:t>(c)</w:t>
      </w:r>
      <w:r>
        <w:tab/>
        <w:t>either—</w:t>
      </w:r>
    </w:p>
    <w:p w14:paraId="73E0D09A" w14:textId="77777777" w:rsidR="00D94935" w:rsidRDefault="00D94935" w:rsidP="00D94935">
      <w:pPr>
        <w:pStyle w:val="Asubpara"/>
      </w:pPr>
      <w:r>
        <w:tab/>
        <w:t>(i)</w:t>
      </w:r>
      <w:r>
        <w:tab/>
        <w:t xml:space="preserve">the person making the affidavit made his or her mark or signature in the presence of the person taking the affidavit; or </w:t>
      </w:r>
    </w:p>
    <w:p w14:paraId="12AFA13A" w14:textId="77777777"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14:paraId="76C8FC84" w14:textId="77777777"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14:paraId="178C5AFA" w14:textId="77777777" w:rsidR="00D94935" w:rsidRDefault="00D94935" w:rsidP="00D94935">
      <w:pPr>
        <w:pStyle w:val="Apara"/>
      </w:pPr>
      <w:r>
        <w:tab/>
        <w:t>(a)</w:t>
      </w:r>
      <w:r>
        <w:tab/>
        <w:t>the interpreter had, in the presence of the person taking the affidavit, interpreted the contents of the affidavit to the person making the affidavit; and</w:t>
      </w:r>
    </w:p>
    <w:p w14:paraId="7E8AE895" w14:textId="77777777" w:rsidR="00D94935" w:rsidRDefault="00D94935" w:rsidP="00D94935">
      <w:pPr>
        <w:pStyle w:val="Apara"/>
      </w:pPr>
      <w:r>
        <w:tab/>
        <w:t>(b)</w:t>
      </w:r>
      <w:r>
        <w:tab/>
        <w:t>the person making the affidavit seemed to understand it; and</w:t>
      </w:r>
    </w:p>
    <w:p w14:paraId="32098C13" w14:textId="77777777" w:rsidR="00D94935" w:rsidRDefault="00D94935" w:rsidP="00D94935">
      <w:pPr>
        <w:pStyle w:val="Apara"/>
      </w:pPr>
      <w:r>
        <w:tab/>
        <w:t>(c)</w:t>
      </w:r>
      <w:r>
        <w:tab/>
        <w:t xml:space="preserve">the interpreter had interpreted the oath to the person; and </w:t>
      </w:r>
    </w:p>
    <w:p w14:paraId="334F76C4" w14:textId="77777777" w:rsidR="00D94935" w:rsidRDefault="00D94935" w:rsidP="00D94935">
      <w:pPr>
        <w:pStyle w:val="Apara"/>
      </w:pPr>
      <w:r>
        <w:tab/>
        <w:t>(d)</w:t>
      </w:r>
      <w:r>
        <w:tab/>
        <w:t xml:space="preserve">the person swore that the contents of the affidavit interpreted to the person were true. </w:t>
      </w:r>
    </w:p>
    <w:p w14:paraId="0A8C0A15" w14:textId="77777777"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14:paraId="396B890B" w14:textId="77777777"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14:paraId="6D75346C" w14:textId="77777777" w:rsidR="00D94935" w:rsidRDefault="00D94935" w:rsidP="00D94935">
      <w:pPr>
        <w:pStyle w:val="Apara"/>
      </w:pPr>
      <w:r>
        <w:tab/>
        <w:t>(a)</w:t>
      </w:r>
      <w:r>
        <w:tab/>
        <w:t>the affidavit was read or otherwise communicated to the person making it; and</w:t>
      </w:r>
    </w:p>
    <w:p w14:paraId="446913BD" w14:textId="77777777" w:rsidR="00D94935" w:rsidRDefault="00D94935" w:rsidP="00D94935">
      <w:pPr>
        <w:pStyle w:val="Apara"/>
      </w:pPr>
      <w:r>
        <w:tab/>
        <w:t>(b)</w:t>
      </w:r>
      <w:r>
        <w:tab/>
        <w:t>the person seemed to understand it; and</w:t>
      </w:r>
    </w:p>
    <w:p w14:paraId="0E2700EC" w14:textId="77777777" w:rsidR="00D94935" w:rsidRDefault="00D94935" w:rsidP="00D94935">
      <w:pPr>
        <w:pStyle w:val="Apara"/>
      </w:pPr>
      <w:r>
        <w:tab/>
        <w:t>(c)</w:t>
      </w:r>
      <w:r>
        <w:tab/>
        <w:t>the person signified that the person made the affidavit.</w:t>
      </w:r>
    </w:p>
    <w:p w14:paraId="095B0740" w14:textId="77777777"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14:paraId="0431C77E" w14:textId="77777777" w:rsidR="00D94935" w:rsidRDefault="00D94935" w:rsidP="00D94935">
      <w:pPr>
        <w:pStyle w:val="Amain"/>
        <w:keepNext/>
      </w:pPr>
      <w:r>
        <w:tab/>
        <w:t>(6)</w:t>
      </w:r>
      <w:r>
        <w:tab/>
        <w:t>In this rule:</w:t>
      </w:r>
    </w:p>
    <w:p w14:paraId="04BEEAD1" w14:textId="77777777" w:rsidR="00D94935" w:rsidRDefault="00D94935" w:rsidP="00D94935">
      <w:pPr>
        <w:pStyle w:val="aDef"/>
      </w:pPr>
      <w:r w:rsidRPr="006364FA">
        <w:rPr>
          <w:rStyle w:val="charBoldItals"/>
        </w:rPr>
        <w:t>jurat</w:t>
      </w:r>
      <w:r>
        <w:rPr>
          <w:bCs/>
          <w:iCs/>
        </w:rPr>
        <w:t>—</w:t>
      </w:r>
      <w:r>
        <w:t>see rule 6715 (2) (Affidavit—taking of).</w:t>
      </w:r>
    </w:p>
    <w:p w14:paraId="2B4316B0" w14:textId="77777777" w:rsidR="00D94935" w:rsidRDefault="00D94935" w:rsidP="00D94935">
      <w:pPr>
        <w:pStyle w:val="AH5Sec"/>
      </w:pPr>
      <w:bookmarkStart w:id="1798" w:name="_Toc185515414"/>
      <w:r w:rsidRPr="00C8328B">
        <w:rPr>
          <w:rStyle w:val="CharSectNo"/>
        </w:rPr>
        <w:t>6717</w:t>
      </w:r>
      <w:r>
        <w:tab/>
        <w:t>Affidavit—alterations in</w:t>
      </w:r>
      <w:bookmarkEnd w:id="1798"/>
    </w:p>
    <w:p w14:paraId="47CA31B5" w14:textId="77777777" w:rsidR="00D94935" w:rsidRDefault="00D94935" w:rsidP="00D94935">
      <w:pPr>
        <w:pStyle w:val="Amain"/>
      </w:pPr>
      <w:r>
        <w:tab/>
        <w:t>(1)</w:t>
      </w:r>
      <w:r>
        <w:tab/>
        <w:t>This rule applies to an affidavit if—</w:t>
      </w:r>
    </w:p>
    <w:p w14:paraId="32E1C971" w14:textId="77777777" w:rsidR="00D94935" w:rsidRDefault="00D94935" w:rsidP="00D94935">
      <w:pPr>
        <w:pStyle w:val="Apara"/>
      </w:pPr>
      <w:r>
        <w:tab/>
        <w:t>(a)</w:t>
      </w:r>
      <w:r>
        <w:tab/>
        <w:t>the body or jurat of the affidavit has been altered; or</w:t>
      </w:r>
    </w:p>
    <w:p w14:paraId="1AF9C1FB" w14:textId="77777777" w:rsidR="00D94935" w:rsidRDefault="00D94935" w:rsidP="00D94935">
      <w:pPr>
        <w:pStyle w:val="Apara"/>
      </w:pPr>
      <w:r>
        <w:tab/>
        <w:t>(b)</w:t>
      </w:r>
      <w:r>
        <w:tab/>
        <w:t>the affidavit verifies an account or other document that has been altered.</w:t>
      </w:r>
    </w:p>
    <w:p w14:paraId="7A936A0F" w14:textId="77777777" w:rsidR="00D94935" w:rsidRDefault="00D94935" w:rsidP="00D94935">
      <w:pPr>
        <w:pStyle w:val="Amain"/>
        <w:keepNext/>
      </w:pPr>
      <w:r>
        <w:tab/>
        <w:t>(2)</w:t>
      </w:r>
      <w:r>
        <w:tab/>
        <w:t>Unless the court otherwise orders, the affidavit may be filed and served.</w:t>
      </w:r>
    </w:p>
    <w:p w14:paraId="0458C447"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14:paraId="5C6E90F6" w14:textId="77777777" w:rsidR="00D94935" w:rsidRDefault="00D94935" w:rsidP="00D94935">
      <w:pPr>
        <w:pStyle w:val="Amain"/>
        <w:keepNext/>
      </w:pPr>
      <w:r>
        <w:tab/>
        <w:t>(3)</w:t>
      </w:r>
      <w:r>
        <w:tab/>
        <w:t>However, the affidavit may only be used in a proceeding—</w:t>
      </w:r>
    </w:p>
    <w:p w14:paraId="18BC1DEA" w14:textId="77777777" w:rsidR="00D94935" w:rsidRDefault="00D94935" w:rsidP="00D94935">
      <w:pPr>
        <w:pStyle w:val="Apara"/>
      </w:pPr>
      <w:r>
        <w:tab/>
        <w:t>(a)</w:t>
      </w:r>
      <w:r>
        <w:tab/>
        <w:t>with the court’s leave; or</w:t>
      </w:r>
    </w:p>
    <w:p w14:paraId="03D446BE" w14:textId="77777777" w:rsidR="00D94935" w:rsidRDefault="00D94935" w:rsidP="00D94935">
      <w:pPr>
        <w:pStyle w:val="Apara"/>
      </w:pPr>
      <w:r>
        <w:tab/>
        <w:t>(b)</w:t>
      </w:r>
      <w:r>
        <w:tab/>
        <w:t>if the alteration was made in accordance with rule 6107 (Documents—alterations); or</w:t>
      </w:r>
    </w:p>
    <w:p w14:paraId="01AAAB5D" w14:textId="77777777" w:rsidR="00D94935" w:rsidRDefault="00D94935" w:rsidP="00D94935">
      <w:pPr>
        <w:pStyle w:val="Apara"/>
      </w:pPr>
      <w:r>
        <w:tab/>
        <w:t>(c)</w:t>
      </w:r>
      <w:r>
        <w:tab/>
        <w:t>if the affidavit is taken before the registrar or another officer of the court and the registrar or other officer signs, initials or seals the alteration.</w:t>
      </w:r>
    </w:p>
    <w:p w14:paraId="0B7CB514" w14:textId="77777777" w:rsidR="00D94935" w:rsidRDefault="00D94935" w:rsidP="00D94935">
      <w:pPr>
        <w:pStyle w:val="Amain"/>
      </w:pPr>
      <w:r>
        <w:tab/>
        <w:t>(4)</w:t>
      </w:r>
      <w:r>
        <w:tab/>
        <w:t>This rule applies to an account or document verified by affidavit as if the account or document were part of the affidavit.</w:t>
      </w:r>
    </w:p>
    <w:p w14:paraId="4A3B6CC6" w14:textId="77777777" w:rsidR="00D94935" w:rsidRDefault="00D94935" w:rsidP="00D94935">
      <w:pPr>
        <w:pStyle w:val="Amain"/>
        <w:keepNext/>
      </w:pPr>
      <w:r>
        <w:lastRenderedPageBreak/>
        <w:tab/>
        <w:t>(5)</w:t>
      </w:r>
      <w:r>
        <w:tab/>
        <w:t>In this rule:</w:t>
      </w:r>
    </w:p>
    <w:p w14:paraId="64C8D4B7" w14:textId="77777777" w:rsidR="00D94935" w:rsidRDefault="00D94935" w:rsidP="00D94935">
      <w:pPr>
        <w:pStyle w:val="aDef"/>
        <w:keepNext/>
      </w:pPr>
      <w:r w:rsidRPr="006364FA">
        <w:rPr>
          <w:rStyle w:val="charBoldItals"/>
        </w:rPr>
        <w:t>alter</w:t>
      </w:r>
      <w:r>
        <w:t xml:space="preserve"> includes alter by omission, substitution or addition.</w:t>
      </w:r>
    </w:p>
    <w:p w14:paraId="07955783" w14:textId="77777777" w:rsidR="00D94935" w:rsidRDefault="00D94935" w:rsidP="00D94935">
      <w:pPr>
        <w:pStyle w:val="aDef"/>
      </w:pPr>
      <w:r w:rsidRPr="006364FA">
        <w:rPr>
          <w:rStyle w:val="charBoldItals"/>
        </w:rPr>
        <w:t>jurat</w:t>
      </w:r>
      <w:r>
        <w:rPr>
          <w:bCs/>
          <w:iCs/>
        </w:rPr>
        <w:t>—</w:t>
      </w:r>
      <w:r>
        <w:t>see rule 6715 (2) (Affidavit—taking of).</w:t>
      </w:r>
    </w:p>
    <w:p w14:paraId="074AE6B4" w14:textId="77777777" w:rsidR="00D94935" w:rsidRDefault="00D94935" w:rsidP="00D94935">
      <w:pPr>
        <w:pStyle w:val="AH5Sec"/>
      </w:pPr>
      <w:bookmarkStart w:id="1799" w:name="_Toc185515415"/>
      <w:r w:rsidRPr="00C8328B">
        <w:rPr>
          <w:rStyle w:val="CharSectNo"/>
        </w:rPr>
        <w:t>6718</w:t>
      </w:r>
      <w:r>
        <w:tab/>
        <w:t>Affidavit—filing and service</w:t>
      </w:r>
      <w:bookmarkEnd w:id="1799"/>
    </w:p>
    <w:p w14:paraId="5F813E03" w14:textId="77777777" w:rsidR="00D94935" w:rsidRDefault="00D94935" w:rsidP="00D94935">
      <w:pPr>
        <w:pStyle w:val="Amain"/>
      </w:pPr>
      <w:r>
        <w:tab/>
        <w:t>(1)</w:t>
      </w:r>
      <w:r>
        <w:tab/>
        <w:t>An affidavit to be used in a proceeding must be filed.</w:t>
      </w:r>
    </w:p>
    <w:p w14:paraId="7C34E2E3" w14:textId="77777777" w:rsidR="00D94935" w:rsidRDefault="00D94935" w:rsidP="00D94935">
      <w:pPr>
        <w:pStyle w:val="Amain"/>
      </w:pPr>
      <w:r>
        <w:tab/>
        <w:t>(2)</w:t>
      </w:r>
      <w:r>
        <w:tab/>
        <w:t>A copy of an affidavit intended to be used by a party in a proceeding must be served on each other active party—</w:t>
      </w:r>
    </w:p>
    <w:p w14:paraId="13F10A97" w14:textId="77777777" w:rsidR="00D94935" w:rsidRDefault="00D94935" w:rsidP="00D94935">
      <w:pPr>
        <w:pStyle w:val="Apara"/>
      </w:pPr>
      <w:r>
        <w:tab/>
        <w:t>(a)</w:t>
      </w:r>
      <w:r>
        <w:tab/>
        <w:t>if these rules or the court sets a time for service—not later than that time; or</w:t>
      </w:r>
    </w:p>
    <w:p w14:paraId="212FFA88" w14:textId="77777777" w:rsidR="00D94935" w:rsidRDefault="00D94935" w:rsidP="00D94935">
      <w:pPr>
        <w:pStyle w:val="Apara"/>
      </w:pPr>
      <w:r>
        <w:tab/>
        <w:t>(b)</w:t>
      </w:r>
      <w:r>
        <w:tab/>
        <w:t>if these rules or the court does not set a time for service—within a reasonable time before the hearing of the proceeding.</w:t>
      </w:r>
    </w:p>
    <w:p w14:paraId="48AAE54F" w14:textId="77777777" w:rsidR="00D94935" w:rsidRDefault="00D94935" w:rsidP="00D94935">
      <w:pPr>
        <w:pStyle w:val="Amain"/>
      </w:pPr>
      <w:r>
        <w:tab/>
        <w:t>(3)</w:t>
      </w:r>
      <w:r>
        <w:tab/>
        <w:t>If an affidavit—</w:t>
      </w:r>
    </w:p>
    <w:p w14:paraId="5F2BE07D" w14:textId="77777777" w:rsidR="00D94935" w:rsidRDefault="00D94935" w:rsidP="00D94935">
      <w:pPr>
        <w:pStyle w:val="Apara"/>
      </w:pPr>
      <w:r>
        <w:tab/>
        <w:t>(a)</w:t>
      </w:r>
      <w:r>
        <w:tab/>
        <w:t>has not been filed; or</w:t>
      </w:r>
    </w:p>
    <w:p w14:paraId="314FFE9E" w14:textId="77777777" w:rsidR="00D94935" w:rsidRDefault="00D94935" w:rsidP="00D94935">
      <w:pPr>
        <w:pStyle w:val="Apara"/>
      </w:pPr>
      <w:r>
        <w:tab/>
        <w:t>(b)</w:t>
      </w:r>
      <w:r>
        <w:tab/>
        <w:t>has not been served in accordance with this rule;</w:t>
      </w:r>
    </w:p>
    <w:p w14:paraId="64E7B9C1" w14:textId="77777777" w:rsidR="00D94935" w:rsidRDefault="00D94935" w:rsidP="00D94935">
      <w:pPr>
        <w:pStyle w:val="Amainreturn"/>
      </w:pPr>
      <w:r>
        <w:t>the affidavit may only be used in a proceeding with the court’s leave.</w:t>
      </w:r>
    </w:p>
    <w:p w14:paraId="28CE107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045A2F33" w14:textId="77777777" w:rsidR="00D94935" w:rsidRDefault="00D94935" w:rsidP="00D94935">
      <w:pPr>
        <w:pStyle w:val="Amain"/>
      </w:pPr>
      <w:r>
        <w:tab/>
        <w:t>(4)</w:t>
      </w:r>
      <w:r>
        <w:tab/>
        <w:t>Subrule (2) and subrule (3) (b) do not apply to an application made without being served on another party.</w:t>
      </w:r>
    </w:p>
    <w:p w14:paraId="12D17113" w14:textId="77777777" w:rsidR="00D94935" w:rsidRDefault="00D94935" w:rsidP="00D94935">
      <w:pPr>
        <w:pStyle w:val="AH5Sec"/>
      </w:pPr>
      <w:bookmarkStart w:id="1800" w:name="_Toc185515416"/>
      <w:r w:rsidRPr="00C8328B">
        <w:rPr>
          <w:rStyle w:val="CharSectNo"/>
        </w:rPr>
        <w:t>6719</w:t>
      </w:r>
      <w:r>
        <w:tab/>
        <w:t>Affidavit—irregular in form</w:t>
      </w:r>
      <w:bookmarkEnd w:id="1800"/>
    </w:p>
    <w:p w14:paraId="07EBAC90" w14:textId="77777777" w:rsidR="00D94935" w:rsidRDefault="00D94935" w:rsidP="00D94935">
      <w:pPr>
        <w:pStyle w:val="Amain"/>
      </w:pPr>
      <w:r>
        <w:tab/>
        <w:t>(1)</w:t>
      </w:r>
      <w:r>
        <w:tab/>
        <w:t>An affidavit that is irregular in form (including an affidavit that does not comply with any approved form for the affidavit)—</w:t>
      </w:r>
    </w:p>
    <w:p w14:paraId="7747CECD" w14:textId="77777777" w:rsidR="00D94935" w:rsidRDefault="00D94935" w:rsidP="00D94935">
      <w:pPr>
        <w:pStyle w:val="Apara"/>
      </w:pPr>
      <w:r>
        <w:tab/>
        <w:t>(a)</w:t>
      </w:r>
      <w:r>
        <w:tab/>
        <w:t>may be filed and served; and</w:t>
      </w:r>
    </w:p>
    <w:p w14:paraId="18D57B0C" w14:textId="77777777" w:rsidR="00D94935" w:rsidRDefault="00D94935" w:rsidP="00D94935">
      <w:pPr>
        <w:pStyle w:val="Apara"/>
        <w:keepNext/>
      </w:pPr>
      <w:r>
        <w:tab/>
        <w:t>(b)</w:t>
      </w:r>
      <w:r>
        <w:tab/>
        <w:t>may be used in a proceeding only with the court’s leave.</w:t>
      </w:r>
    </w:p>
    <w:p w14:paraId="50DE367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77DCCC38" w14:textId="77777777" w:rsidR="00D94935" w:rsidRDefault="00D94935" w:rsidP="00D94935">
      <w:pPr>
        <w:pStyle w:val="Amain"/>
      </w:pPr>
      <w:r>
        <w:lastRenderedPageBreak/>
        <w:tab/>
        <w:t>(2)</w:t>
      </w:r>
      <w:r>
        <w:tab/>
        <w:t>If the court gives leave, the court must note on the affidavit that it was used by leave.</w:t>
      </w:r>
    </w:p>
    <w:p w14:paraId="6C9381BE" w14:textId="77777777" w:rsidR="00D94935" w:rsidRDefault="00D94935" w:rsidP="00D94935">
      <w:pPr>
        <w:pStyle w:val="Amain"/>
      </w:pPr>
      <w:r>
        <w:tab/>
        <w:t>(3)</w:t>
      </w:r>
      <w:r>
        <w:tab/>
        <w:t>An affidavit used under subrule (2) is afterwards taken to be a regular affidavit.</w:t>
      </w:r>
    </w:p>
    <w:p w14:paraId="71E54A89" w14:textId="77777777" w:rsidR="00D94935" w:rsidRDefault="00D94935" w:rsidP="00D94935">
      <w:pPr>
        <w:pStyle w:val="AH5Sec"/>
      </w:pPr>
      <w:bookmarkStart w:id="1801" w:name="_Toc185515417"/>
      <w:r w:rsidRPr="00C8328B">
        <w:rPr>
          <w:rStyle w:val="CharSectNo"/>
        </w:rPr>
        <w:t>6720</w:t>
      </w:r>
      <w:r>
        <w:tab/>
        <w:t>Affidavit—scandalous matter etc</w:t>
      </w:r>
      <w:bookmarkEnd w:id="1801"/>
    </w:p>
    <w:p w14:paraId="046954FF" w14:textId="77777777" w:rsidR="00D94935" w:rsidRDefault="00D94935" w:rsidP="00D94935">
      <w:pPr>
        <w:pStyle w:val="Amain"/>
      </w:pPr>
      <w:r>
        <w:tab/>
        <w:t>(1)</w:t>
      </w:r>
      <w:r>
        <w:tab/>
        <w:t>If an affidavit contains irrelevant, offensive, oppressive, scandalous, or vexatious matter, the court may order that—</w:t>
      </w:r>
    </w:p>
    <w:p w14:paraId="57EE6B6A" w14:textId="77777777" w:rsidR="00D94935" w:rsidRDefault="00D94935" w:rsidP="00D94935">
      <w:pPr>
        <w:pStyle w:val="Apara"/>
      </w:pPr>
      <w:r>
        <w:tab/>
        <w:t>(a)</w:t>
      </w:r>
      <w:r>
        <w:tab/>
        <w:t>the matter be struck out; or</w:t>
      </w:r>
    </w:p>
    <w:p w14:paraId="709BA4DC" w14:textId="77777777" w:rsidR="00D94935" w:rsidRDefault="00D94935" w:rsidP="00D94935">
      <w:pPr>
        <w:pStyle w:val="Apara"/>
      </w:pPr>
      <w:r>
        <w:tab/>
        <w:t>(b)</w:t>
      </w:r>
      <w:r>
        <w:tab/>
        <w:t>the affidavit be removed from the file; or</w:t>
      </w:r>
    </w:p>
    <w:p w14:paraId="1E108695" w14:textId="77777777" w:rsidR="00D94935" w:rsidRDefault="00D94935" w:rsidP="00D94935">
      <w:pPr>
        <w:pStyle w:val="Apara"/>
      </w:pPr>
      <w:r>
        <w:tab/>
        <w:t>(c)</w:t>
      </w:r>
      <w:r>
        <w:tab/>
        <w:t>the affidavit be removed from the file and destroyed.</w:t>
      </w:r>
    </w:p>
    <w:p w14:paraId="7B07C2F0" w14:textId="77777777" w:rsidR="00D94935" w:rsidRDefault="00D94935" w:rsidP="00D94935">
      <w:pPr>
        <w:pStyle w:val="Amain"/>
        <w:keepNext/>
      </w:pPr>
      <w:r>
        <w:tab/>
        <w:t>(2)</w:t>
      </w:r>
      <w:r>
        <w:tab/>
        <w:t>The court may make an order under this rule on the application of an interested party or on its own initiative.</w:t>
      </w:r>
    </w:p>
    <w:p w14:paraId="73CE75F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5290331C" w14:textId="77777777" w:rsidR="00D94935" w:rsidRDefault="00D94935" w:rsidP="00D94935">
      <w:pPr>
        <w:pStyle w:val="AH5Sec"/>
      </w:pPr>
      <w:bookmarkStart w:id="1802" w:name="_Toc185515418"/>
      <w:r w:rsidRPr="00C8328B">
        <w:rPr>
          <w:rStyle w:val="CharSectNo"/>
        </w:rPr>
        <w:t>6721</w:t>
      </w:r>
      <w:r>
        <w:tab/>
        <w:t>Affidavit—cross-examination of maker</w:t>
      </w:r>
      <w:bookmarkEnd w:id="1802"/>
    </w:p>
    <w:p w14:paraId="0105A3CD" w14:textId="77777777" w:rsidR="00D94935" w:rsidRDefault="00D94935" w:rsidP="00A409D0">
      <w:pPr>
        <w:pStyle w:val="Amain"/>
        <w:keepNext/>
      </w:pPr>
      <w:r>
        <w:tab/>
        <w:t>(1)</w:t>
      </w:r>
      <w:r>
        <w:tab/>
        <w:t>If an affidavit is to be relied on at a hearing, the court may, by order—</w:t>
      </w:r>
    </w:p>
    <w:p w14:paraId="50698ECB" w14:textId="77777777" w:rsidR="00D94935" w:rsidRDefault="00D94935" w:rsidP="00D94935">
      <w:pPr>
        <w:pStyle w:val="Apara"/>
      </w:pPr>
      <w:r>
        <w:tab/>
        <w:t>(a)</w:t>
      </w:r>
      <w:r>
        <w:tab/>
        <w:t>direct the person making it to be examined and cross-examined before the court and may order the person to attend the court for the purpose; or</w:t>
      </w:r>
    </w:p>
    <w:p w14:paraId="7C97D8BC" w14:textId="77777777"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14:paraId="6862AB8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14:paraId="2C5BC817" w14:textId="77777777"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14:paraId="5817F6F7" w14:textId="77777777" w:rsidR="00D94935" w:rsidRDefault="00D94935" w:rsidP="00D94935">
      <w:pPr>
        <w:pStyle w:val="Amain"/>
        <w:keepNext/>
      </w:pPr>
      <w:r>
        <w:tab/>
        <w:t>(3)</w:t>
      </w:r>
      <w:r>
        <w:tab/>
        <w:t>The notice must be served—</w:t>
      </w:r>
    </w:p>
    <w:p w14:paraId="2A6A4F0D" w14:textId="77777777" w:rsidR="00D94935" w:rsidRDefault="00D94935" w:rsidP="00D94935">
      <w:pPr>
        <w:pStyle w:val="Apara"/>
      </w:pPr>
      <w:r>
        <w:tab/>
        <w:t>(a)</w:t>
      </w:r>
      <w:r>
        <w:tab/>
        <w:t>if the court, by order, sets a time for service—within that time; or</w:t>
      </w:r>
    </w:p>
    <w:p w14:paraId="4B678016" w14:textId="77777777" w:rsidR="00D94935" w:rsidRDefault="00D94935" w:rsidP="00D94935">
      <w:pPr>
        <w:pStyle w:val="Apara"/>
      </w:pPr>
      <w:r>
        <w:tab/>
        <w:t>(b)</w:t>
      </w:r>
      <w:r>
        <w:tab/>
        <w:t>if the court does not set a time for service—not later than a reasonable time before the attendance is required.</w:t>
      </w:r>
    </w:p>
    <w:p w14:paraId="5CA9A814" w14:textId="77777777"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14:paraId="73A1EA2B" w14:textId="77777777"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14:paraId="25A16AD5" w14:textId="77777777" w:rsidR="00D94935" w:rsidRDefault="00D94935" w:rsidP="00D94935">
      <w:pPr>
        <w:pStyle w:val="Amain"/>
      </w:pPr>
      <w:r>
        <w:tab/>
        <w:t>(6)</w:t>
      </w:r>
      <w:r>
        <w:tab/>
        <w:t>If the person who made the affidavit is cross-examined, the party using the affidavit may re-examine the person.</w:t>
      </w:r>
    </w:p>
    <w:p w14:paraId="3C8C46EB" w14:textId="77777777"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14:paraId="6C898188" w14:textId="77777777" w:rsidR="00D94935" w:rsidRDefault="00D94935" w:rsidP="00D94935">
      <w:pPr>
        <w:pStyle w:val="AH5Sec"/>
      </w:pPr>
      <w:bookmarkStart w:id="1803" w:name="_Toc185515419"/>
      <w:r w:rsidRPr="00C8328B">
        <w:rPr>
          <w:rStyle w:val="CharSectNo"/>
        </w:rPr>
        <w:t>6722</w:t>
      </w:r>
      <w:r>
        <w:tab/>
        <w:t>Affidavit—taken before party</w:t>
      </w:r>
      <w:bookmarkEnd w:id="1803"/>
    </w:p>
    <w:p w14:paraId="723B2847" w14:textId="77777777" w:rsidR="00D94935" w:rsidRDefault="00D94935" w:rsidP="00D94935">
      <w:pPr>
        <w:pStyle w:val="Amainreturn"/>
      </w:pPr>
      <w:r>
        <w:t>The court may not receive, and a party may not file, an affidavit taken before a party personally.</w:t>
      </w:r>
    </w:p>
    <w:p w14:paraId="62851EF5" w14:textId="77777777" w:rsidR="00D94935" w:rsidRPr="00C8328B" w:rsidRDefault="00D94935" w:rsidP="00D94935">
      <w:pPr>
        <w:pStyle w:val="AH3Div"/>
      </w:pPr>
      <w:bookmarkStart w:id="1804" w:name="_Toc185515420"/>
      <w:r w:rsidRPr="00C8328B">
        <w:rPr>
          <w:rStyle w:val="CharDivNo"/>
        </w:rPr>
        <w:lastRenderedPageBreak/>
        <w:t>Division 6.10.3A</w:t>
      </w:r>
      <w:r>
        <w:tab/>
      </w:r>
      <w:r w:rsidRPr="00C8328B">
        <w:rPr>
          <w:rStyle w:val="CharDivText"/>
        </w:rPr>
        <w:t>Notice to produce</w:t>
      </w:r>
      <w:bookmarkEnd w:id="1804"/>
    </w:p>
    <w:p w14:paraId="28017DE3" w14:textId="77777777" w:rsidR="00D94935" w:rsidRDefault="00D94935" w:rsidP="00D94935">
      <w:pPr>
        <w:pStyle w:val="AH5Sec"/>
        <w:spacing w:before="140"/>
      </w:pPr>
      <w:bookmarkStart w:id="1805" w:name="_Toc185515421"/>
      <w:r w:rsidRPr="00C8328B">
        <w:rPr>
          <w:rStyle w:val="CharSectNo"/>
        </w:rPr>
        <w:t>6748</w:t>
      </w:r>
      <w:r>
        <w:tab/>
        <w:t>Notice to produce</w:t>
      </w:r>
      <w:bookmarkEnd w:id="1805"/>
    </w:p>
    <w:p w14:paraId="5C4741FC" w14:textId="77777777"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14:paraId="34BB3631" w14:textId="2451B975" w:rsidR="00D94935" w:rsidRDefault="00D94935" w:rsidP="00D94935">
      <w:pPr>
        <w:pStyle w:val="aNote"/>
        <w:spacing w:before="40"/>
      </w:pPr>
      <w:r>
        <w:rPr>
          <w:rStyle w:val="charItals"/>
        </w:rPr>
        <w:t>Note</w:t>
      </w:r>
      <w:r>
        <w:tab/>
        <w:t xml:space="preserve">See approved form 6.20 (Notice to produce) </w:t>
      </w:r>
      <w:hyperlink r:id="rId870" w:history="1">
        <w:r w:rsidRPr="007F10AC">
          <w:rPr>
            <w:rStyle w:val="charCitHyperlinkAbbrev"/>
          </w:rPr>
          <w:t>AF2008-121</w:t>
        </w:r>
      </w:hyperlink>
      <w:r>
        <w:t>.</w:t>
      </w:r>
    </w:p>
    <w:p w14:paraId="0D1AC0E2" w14:textId="77777777" w:rsidR="00D94935" w:rsidRDefault="00D94935" w:rsidP="00D94935">
      <w:pPr>
        <w:pStyle w:val="Amain"/>
      </w:pPr>
      <w:r>
        <w:tab/>
        <w:t>(2)</w:t>
      </w:r>
      <w:r>
        <w:tab/>
        <w:t>The notice must be served on the other party not later than 14 days before the date set for the hearing of the proceeding unless the court otherwise orders.</w:t>
      </w:r>
    </w:p>
    <w:p w14:paraId="566651BA" w14:textId="77777777" w:rsidR="00D94935" w:rsidRDefault="00D94935" w:rsidP="00D94935">
      <w:pPr>
        <w:pStyle w:val="Amain"/>
      </w:pPr>
      <w:r>
        <w:tab/>
        <w:t>(3)</w:t>
      </w:r>
      <w:r>
        <w:tab/>
        <w:t>The other party must produce the document or thing mentioned in the notice to the court at the hearing if––</w:t>
      </w:r>
    </w:p>
    <w:p w14:paraId="2E5A2C2E" w14:textId="77777777" w:rsidR="00D94935" w:rsidRDefault="00D94935" w:rsidP="00D94935">
      <w:pPr>
        <w:pStyle w:val="Apara"/>
      </w:pPr>
      <w:r>
        <w:tab/>
        <w:t>(a)</w:t>
      </w:r>
      <w:r>
        <w:tab/>
        <w:t>the notice is served on the party in accordance with subrule (2); and</w:t>
      </w:r>
    </w:p>
    <w:p w14:paraId="545DB1DB" w14:textId="77777777" w:rsidR="00D94935" w:rsidRDefault="00D94935" w:rsidP="00D94935">
      <w:pPr>
        <w:pStyle w:val="Apara"/>
      </w:pPr>
      <w:r>
        <w:tab/>
        <w:t>(b)</w:t>
      </w:r>
      <w:r>
        <w:tab/>
        <w:t>the document or thing is in the party’s possession.</w:t>
      </w:r>
    </w:p>
    <w:p w14:paraId="297D13E6" w14:textId="77777777"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14:paraId="3E712344" w14:textId="77777777" w:rsidR="00D94935" w:rsidRDefault="00D94935" w:rsidP="00D94935">
      <w:pPr>
        <w:pStyle w:val="Apara"/>
      </w:pPr>
      <w:r>
        <w:tab/>
        <w:t>(a)</w:t>
      </w:r>
      <w:r>
        <w:tab/>
        <w:t>give secondary evidence of the contents or nature of the document or thing; or</w:t>
      </w:r>
    </w:p>
    <w:p w14:paraId="1562B0D6" w14:textId="77777777" w:rsidR="00D94935" w:rsidRDefault="00D94935" w:rsidP="00D94935">
      <w:pPr>
        <w:pStyle w:val="Apara"/>
      </w:pPr>
      <w:r>
        <w:tab/>
        <w:t>(b)</w:t>
      </w:r>
      <w:r>
        <w:tab/>
        <w:t>apply to the court for an order—</w:t>
      </w:r>
    </w:p>
    <w:p w14:paraId="0626C003" w14:textId="77777777" w:rsidR="00D94935" w:rsidRDefault="00D94935" w:rsidP="00D94935">
      <w:pPr>
        <w:pStyle w:val="Asubpara"/>
      </w:pPr>
      <w:r>
        <w:tab/>
        <w:t>(i)</w:t>
      </w:r>
      <w:r>
        <w:tab/>
        <w:t>that the other party produce the document or thing; or</w:t>
      </w:r>
    </w:p>
    <w:p w14:paraId="17A0E465" w14:textId="77777777" w:rsidR="00D94935" w:rsidRDefault="00D94935" w:rsidP="00D94935">
      <w:pPr>
        <w:pStyle w:val="Asubpara"/>
      </w:pPr>
      <w:r>
        <w:tab/>
        <w:t>(ii)</w:t>
      </w:r>
      <w:r>
        <w:tab/>
        <w:t>adjourning the hearing.</w:t>
      </w:r>
    </w:p>
    <w:p w14:paraId="1266BE1A" w14:textId="77777777" w:rsidR="00D94935" w:rsidRDefault="00D94935" w:rsidP="00D94935">
      <w:pPr>
        <w:pStyle w:val="Amain"/>
      </w:pPr>
      <w:r>
        <w:tab/>
        <w:t>(5)</w:t>
      </w:r>
      <w:r>
        <w:tab/>
        <w:t>The court may order the other party to pay any costs caused by the party’s failure to comply with the notice.</w:t>
      </w:r>
    </w:p>
    <w:p w14:paraId="0A97A2E5" w14:textId="77777777"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14:paraId="7650EE8D" w14:textId="77777777" w:rsidR="00D94935" w:rsidRPr="00C8328B" w:rsidRDefault="00D94935" w:rsidP="00D94935">
      <w:pPr>
        <w:pStyle w:val="AH3Div"/>
      </w:pPr>
      <w:bookmarkStart w:id="1806" w:name="_Toc185515422"/>
      <w:r w:rsidRPr="00C8328B">
        <w:rPr>
          <w:rStyle w:val="CharDivNo"/>
        </w:rPr>
        <w:t>Division 6.10.4</w:t>
      </w:r>
      <w:r>
        <w:tab/>
      </w:r>
      <w:r w:rsidRPr="00C8328B">
        <w:rPr>
          <w:rStyle w:val="CharDivText"/>
        </w:rPr>
        <w:t>Notices under Evidence Act</w:t>
      </w:r>
      <w:bookmarkEnd w:id="1806"/>
    </w:p>
    <w:p w14:paraId="19DC7C61" w14:textId="77777777" w:rsidR="00D94935" w:rsidRDefault="00D94935" w:rsidP="00D94935">
      <w:pPr>
        <w:pStyle w:val="AH5Sec"/>
      </w:pPr>
      <w:bookmarkStart w:id="1807" w:name="_Toc185515423"/>
      <w:r w:rsidRPr="00C8328B">
        <w:rPr>
          <w:rStyle w:val="CharSectNo"/>
        </w:rPr>
        <w:t>6750</w:t>
      </w:r>
      <w:r>
        <w:tab/>
        <w:t>Evidence of previous representation notice</w:t>
      </w:r>
      <w:bookmarkEnd w:id="1807"/>
    </w:p>
    <w:p w14:paraId="3A9C511B" w14:textId="4F131E37" w:rsidR="00D94935" w:rsidRDefault="00D94935" w:rsidP="00D94935">
      <w:pPr>
        <w:pStyle w:val="Amain"/>
      </w:pPr>
      <w:r>
        <w:tab/>
        <w:t>(1)</w:t>
      </w:r>
      <w:r>
        <w:tab/>
        <w:t xml:space="preserve">A notice of intention to adduce evidence of a previous representation under the </w:t>
      </w:r>
      <w:hyperlink r:id="rId871" w:tooltip="A2011-12" w:history="1">
        <w:r w:rsidRPr="00781093">
          <w:rPr>
            <w:rStyle w:val="charCitHyperlinkAbbrev"/>
          </w:rPr>
          <w:t>Evidence Act</w:t>
        </w:r>
      </w:hyperlink>
      <w:r>
        <w:t xml:space="preserve">, section 67 (1) must be in accordance with the form approved under the </w:t>
      </w:r>
      <w:hyperlink r:id="rId872" w:tooltip="A2004-59" w:history="1">
        <w:r w:rsidRPr="006364FA">
          <w:rPr>
            <w:rStyle w:val="charCitHyperlinkItal"/>
          </w:rPr>
          <w:t>Court Procedures Act 2004</w:t>
        </w:r>
      </w:hyperlink>
      <w:r>
        <w:t>, section 8 for section 67.</w:t>
      </w:r>
    </w:p>
    <w:p w14:paraId="19E057AC" w14:textId="77777777" w:rsidR="00D94935" w:rsidRDefault="00D94935" w:rsidP="00D94935">
      <w:pPr>
        <w:pStyle w:val="Amain"/>
        <w:keepNext/>
      </w:pPr>
      <w:r>
        <w:tab/>
        <w:t>(2)</w:t>
      </w:r>
      <w:r>
        <w:tab/>
        <w:t>The notice may be accompanied by an affidavit setting out the evidence of the previous representation.</w:t>
      </w:r>
    </w:p>
    <w:p w14:paraId="4E901350" w14:textId="2B42521D" w:rsidR="00D94935" w:rsidRDefault="00D94935" w:rsidP="00D94935">
      <w:pPr>
        <w:pStyle w:val="aNote"/>
        <w:keepNext/>
      </w:pPr>
      <w:r>
        <w:rPr>
          <w:rStyle w:val="charItals"/>
        </w:rPr>
        <w:t>Note 1</w:t>
      </w:r>
      <w:r>
        <w:rPr>
          <w:rStyle w:val="charItals"/>
        </w:rPr>
        <w:tab/>
      </w:r>
      <w:r>
        <w:t xml:space="preserve">The </w:t>
      </w:r>
      <w:hyperlink r:id="rId873"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14:paraId="0841B5E3" w14:textId="77777777"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14:paraId="5BEB866D" w14:textId="77777777" w:rsidR="00D94935" w:rsidRDefault="00D94935" w:rsidP="00D94935">
      <w:pPr>
        <w:pStyle w:val="AH5Sec"/>
      </w:pPr>
      <w:bookmarkStart w:id="1808" w:name="_Toc185515424"/>
      <w:r w:rsidRPr="00C8328B">
        <w:rPr>
          <w:rStyle w:val="CharSectNo"/>
        </w:rPr>
        <w:t>6751</w:t>
      </w:r>
      <w:r>
        <w:tab/>
        <w:t>Objection to hearsay evidence notice—civil proceedings</w:t>
      </w:r>
      <w:bookmarkEnd w:id="1808"/>
    </w:p>
    <w:p w14:paraId="7590EFF1" w14:textId="1CD18AA8" w:rsidR="00D94935" w:rsidRDefault="00D94935" w:rsidP="00D94935">
      <w:pPr>
        <w:pStyle w:val="Amainreturn"/>
      </w:pPr>
      <w:r>
        <w:t xml:space="preserve">A notice of objection to the tender of hearsay evidence under the </w:t>
      </w:r>
      <w:hyperlink r:id="rId874" w:tooltip="A2011-12" w:history="1">
        <w:r w:rsidRPr="00781093">
          <w:rPr>
            <w:rStyle w:val="charCitHyperlinkAbbrev"/>
          </w:rPr>
          <w:t>Evidence Act</w:t>
        </w:r>
      </w:hyperlink>
      <w:r>
        <w:t xml:space="preserve">, section 68 (2) must be in accordance with the form approved under the </w:t>
      </w:r>
      <w:hyperlink r:id="rId875" w:tooltip="A2004-59" w:history="1">
        <w:r w:rsidRPr="006364FA">
          <w:rPr>
            <w:rStyle w:val="charCitHyperlinkItal"/>
          </w:rPr>
          <w:t>Court Procedures Act 2004</w:t>
        </w:r>
      </w:hyperlink>
      <w:r>
        <w:t>, section 8 for that subsection.</w:t>
      </w:r>
    </w:p>
    <w:p w14:paraId="5451E36A" w14:textId="77777777" w:rsidR="00D94935" w:rsidRDefault="00D94935" w:rsidP="00D94935">
      <w:pPr>
        <w:pStyle w:val="AH5Sec"/>
      </w:pPr>
      <w:bookmarkStart w:id="1809" w:name="_Toc185515425"/>
      <w:r w:rsidRPr="00C8328B">
        <w:rPr>
          <w:rStyle w:val="CharSectNo"/>
        </w:rPr>
        <w:t>6752</w:t>
      </w:r>
      <w:r>
        <w:tab/>
        <w:t>Tendency evidence notice</w:t>
      </w:r>
      <w:bookmarkEnd w:id="1809"/>
    </w:p>
    <w:p w14:paraId="648E44E1" w14:textId="49ECD167" w:rsidR="00D94935" w:rsidRDefault="00D94935" w:rsidP="00D94935">
      <w:pPr>
        <w:pStyle w:val="Amainreturn"/>
        <w:keepNext/>
      </w:pPr>
      <w:r>
        <w:t xml:space="preserve">A notice of intention to adduce tendency evidence under the </w:t>
      </w:r>
      <w:hyperlink r:id="rId876" w:tooltip="A2011-12" w:history="1">
        <w:r w:rsidRPr="00781093">
          <w:rPr>
            <w:rStyle w:val="charCitHyperlinkAbbrev"/>
          </w:rPr>
          <w:t>Evidence Act</w:t>
        </w:r>
      </w:hyperlink>
      <w:r>
        <w:t xml:space="preserve">, section 97 must be in accordance with the form approved under the </w:t>
      </w:r>
      <w:hyperlink r:id="rId877" w:tooltip="A2004-59" w:history="1">
        <w:r w:rsidRPr="006364FA">
          <w:rPr>
            <w:rStyle w:val="charCitHyperlinkItal"/>
          </w:rPr>
          <w:t>Court Procedures Act 2004</w:t>
        </w:r>
      </w:hyperlink>
      <w:r>
        <w:t>, section 8 for section 97.</w:t>
      </w:r>
    </w:p>
    <w:p w14:paraId="40F550BE" w14:textId="77F76D91" w:rsidR="00D94935" w:rsidRDefault="00D94935" w:rsidP="00D94935">
      <w:pPr>
        <w:pStyle w:val="aNote"/>
        <w:keepLines/>
      </w:pPr>
      <w:r>
        <w:rPr>
          <w:rStyle w:val="charItals"/>
        </w:rPr>
        <w:t>Note</w:t>
      </w:r>
      <w:r>
        <w:rPr>
          <w:rStyle w:val="charItals"/>
        </w:rPr>
        <w:tab/>
      </w:r>
      <w:r>
        <w:t xml:space="preserve">The </w:t>
      </w:r>
      <w:hyperlink r:id="rId878"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14:paraId="1E275D2C" w14:textId="77777777" w:rsidR="00D94935" w:rsidRDefault="00D94935" w:rsidP="00D94935">
      <w:pPr>
        <w:pStyle w:val="AH5Sec"/>
      </w:pPr>
      <w:bookmarkStart w:id="1810" w:name="_Toc185515426"/>
      <w:r w:rsidRPr="00C8328B">
        <w:rPr>
          <w:rStyle w:val="CharSectNo"/>
        </w:rPr>
        <w:lastRenderedPageBreak/>
        <w:t>6753</w:t>
      </w:r>
      <w:r>
        <w:tab/>
        <w:t>Coincidence evidence notice</w:t>
      </w:r>
      <w:bookmarkEnd w:id="1810"/>
    </w:p>
    <w:p w14:paraId="672E13C9" w14:textId="4AEAF0B5" w:rsidR="00D94935" w:rsidRDefault="00D94935" w:rsidP="00D94935">
      <w:pPr>
        <w:pStyle w:val="Amainreturn"/>
        <w:keepNext/>
      </w:pPr>
      <w:r>
        <w:t xml:space="preserve">A notice of intention to adduce coincidence evidence under the </w:t>
      </w:r>
      <w:hyperlink r:id="rId879" w:tooltip="A2011-12" w:history="1">
        <w:r w:rsidRPr="00781093">
          <w:rPr>
            <w:rStyle w:val="charCitHyperlinkAbbrev"/>
          </w:rPr>
          <w:t>Evidence Act</w:t>
        </w:r>
      </w:hyperlink>
      <w:r>
        <w:t xml:space="preserve">, section 98 must be in accordance with the form approved under the </w:t>
      </w:r>
      <w:hyperlink r:id="rId880" w:tooltip="A2004-59" w:history="1">
        <w:r w:rsidRPr="006364FA">
          <w:rPr>
            <w:rStyle w:val="charCitHyperlinkItal"/>
          </w:rPr>
          <w:t>Court Procedures Act 2004</w:t>
        </w:r>
      </w:hyperlink>
      <w:r>
        <w:t>, section 8 for section 98.</w:t>
      </w:r>
    </w:p>
    <w:p w14:paraId="6DB9E5B3" w14:textId="4005BE35" w:rsidR="00D94935" w:rsidRDefault="00D94935" w:rsidP="00D94935">
      <w:pPr>
        <w:pStyle w:val="aNote"/>
      </w:pPr>
      <w:r>
        <w:rPr>
          <w:rStyle w:val="charItals"/>
        </w:rPr>
        <w:t>Note</w:t>
      </w:r>
      <w:r>
        <w:rPr>
          <w:rStyle w:val="charItals"/>
        </w:rPr>
        <w:tab/>
      </w:r>
      <w:r>
        <w:t xml:space="preserve">The </w:t>
      </w:r>
      <w:hyperlink r:id="rId881"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14:paraId="0FAE0282" w14:textId="77777777" w:rsidR="00D94935" w:rsidRPr="00C8328B" w:rsidRDefault="00D94935" w:rsidP="00D94935">
      <w:pPr>
        <w:pStyle w:val="AH3Div"/>
      </w:pPr>
      <w:bookmarkStart w:id="1811" w:name="_Toc185515427"/>
      <w:r w:rsidRPr="00C8328B">
        <w:rPr>
          <w:rStyle w:val="CharDivNo"/>
        </w:rPr>
        <w:t>Division 6.10.5</w:t>
      </w:r>
      <w:r>
        <w:tab/>
      </w:r>
      <w:r w:rsidRPr="00C8328B">
        <w:rPr>
          <w:rStyle w:val="CharDivText"/>
        </w:rPr>
        <w:t>Exhibits, documents and things</w:t>
      </w:r>
      <w:bookmarkEnd w:id="1811"/>
    </w:p>
    <w:p w14:paraId="21A30015" w14:textId="77777777" w:rsidR="00D94935" w:rsidRDefault="00D94935" w:rsidP="00D94935">
      <w:pPr>
        <w:pStyle w:val="AH5Sec"/>
      </w:pPr>
      <w:bookmarkStart w:id="1812" w:name="_Toc185515428"/>
      <w:r w:rsidRPr="00C8328B">
        <w:rPr>
          <w:rStyle w:val="CharSectNo"/>
        </w:rPr>
        <w:t>6760</w:t>
      </w:r>
      <w:r>
        <w:tab/>
        <w:t xml:space="preserve">Meaning of </w:t>
      </w:r>
      <w:r w:rsidRPr="006364FA">
        <w:rPr>
          <w:rStyle w:val="charItals"/>
        </w:rPr>
        <w:t>subpoenaed document or thing</w:t>
      </w:r>
      <w:r>
        <w:t>—div 6.10.5</w:t>
      </w:r>
      <w:bookmarkEnd w:id="1812"/>
    </w:p>
    <w:p w14:paraId="0546EAB7" w14:textId="77777777" w:rsidR="00D94935" w:rsidRDefault="00D94935" w:rsidP="00D94935">
      <w:pPr>
        <w:pStyle w:val="Amainreturn"/>
        <w:keepNext/>
      </w:pPr>
      <w:r>
        <w:t>In this division:</w:t>
      </w:r>
    </w:p>
    <w:p w14:paraId="0CA73418" w14:textId="77777777"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14:paraId="05862662" w14:textId="77777777" w:rsidR="00D94935" w:rsidRDefault="00D94935" w:rsidP="00D94935">
      <w:pPr>
        <w:pStyle w:val="AH5Sec"/>
      </w:pPr>
      <w:bookmarkStart w:id="1813" w:name="_Toc185515429"/>
      <w:r w:rsidRPr="00C8328B">
        <w:rPr>
          <w:rStyle w:val="CharSectNo"/>
        </w:rPr>
        <w:t>6761</w:t>
      </w:r>
      <w:r>
        <w:tab/>
        <w:t>Registrar to keep record of proceeding</w:t>
      </w:r>
      <w:bookmarkEnd w:id="1813"/>
    </w:p>
    <w:p w14:paraId="067B30C8" w14:textId="77777777" w:rsidR="00D94935" w:rsidRDefault="00D94935" w:rsidP="00D94935">
      <w:pPr>
        <w:pStyle w:val="Amain"/>
        <w:keepNext/>
      </w:pPr>
      <w:r>
        <w:tab/>
        <w:t>(1)</w:t>
      </w:r>
      <w:r>
        <w:tab/>
        <w:t>The registrar must keep a record of each proceeding.</w:t>
      </w:r>
    </w:p>
    <w:p w14:paraId="3F0B1E75" w14:textId="77777777" w:rsidR="00D94935" w:rsidRDefault="00D94935" w:rsidP="00D94935">
      <w:pPr>
        <w:pStyle w:val="Amain"/>
        <w:keepNext/>
      </w:pPr>
      <w:r>
        <w:tab/>
        <w:t>(2)</w:t>
      </w:r>
      <w:r>
        <w:tab/>
        <w:t>The registrar must—</w:t>
      </w:r>
    </w:p>
    <w:p w14:paraId="289C3204" w14:textId="77777777" w:rsidR="00D94935" w:rsidRDefault="00D94935" w:rsidP="00D94935">
      <w:pPr>
        <w:pStyle w:val="Apara"/>
      </w:pPr>
      <w:r>
        <w:tab/>
        <w:t>(a)</w:t>
      </w:r>
      <w:r>
        <w:tab/>
        <w:t>take charge of a document or thing that is an exhibit in the proceeding; and</w:t>
      </w:r>
    </w:p>
    <w:p w14:paraId="0B37902F" w14:textId="77777777"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14:paraId="6DA30E8C" w14:textId="77777777" w:rsidR="00D94935" w:rsidRDefault="00D94935" w:rsidP="00D94935">
      <w:pPr>
        <w:pStyle w:val="Apara"/>
        <w:keepNext/>
      </w:pPr>
      <w:r>
        <w:tab/>
        <w:t>(c)</w:t>
      </w:r>
      <w:r>
        <w:tab/>
        <w:t>prepare a list of the exhibits for the proceeding that shows—</w:t>
      </w:r>
    </w:p>
    <w:p w14:paraId="237208E6" w14:textId="77777777" w:rsidR="00D94935" w:rsidRDefault="00D94935" w:rsidP="00D94935">
      <w:pPr>
        <w:pStyle w:val="Asubpara"/>
      </w:pPr>
      <w:r>
        <w:tab/>
        <w:t>(i)</w:t>
      </w:r>
      <w:r>
        <w:tab/>
        <w:t>the party that put the exhibit into evidence; and</w:t>
      </w:r>
    </w:p>
    <w:p w14:paraId="68CC12BB" w14:textId="77777777" w:rsidR="00D94935" w:rsidRDefault="00D94935" w:rsidP="00D94935">
      <w:pPr>
        <w:pStyle w:val="Asubpara"/>
      </w:pPr>
      <w:r>
        <w:tab/>
        <w:t>(ii)</w:t>
      </w:r>
      <w:r>
        <w:tab/>
        <w:t>if the exhibit was produced because of a subpoena—the name of the addressee for the subpoena.</w:t>
      </w:r>
    </w:p>
    <w:p w14:paraId="77F76C18" w14:textId="77777777" w:rsidR="00D94935" w:rsidRDefault="00D94935" w:rsidP="00D94935">
      <w:pPr>
        <w:pStyle w:val="Amain"/>
      </w:pPr>
      <w:r>
        <w:lastRenderedPageBreak/>
        <w:tab/>
        <w:t>(3)</w:t>
      </w:r>
      <w:r>
        <w:tab/>
        <w:t>The list of exhibits forms part of the record of the proceeding.</w:t>
      </w:r>
    </w:p>
    <w:p w14:paraId="69FABE97" w14:textId="77777777" w:rsidR="00D94935" w:rsidRDefault="00D94935" w:rsidP="00D94935">
      <w:pPr>
        <w:pStyle w:val="Amain"/>
      </w:pPr>
      <w:r>
        <w:tab/>
        <w:t>(4)</w:t>
      </w:r>
      <w:r>
        <w:tab/>
        <w:t>The registrar may treat 2 or more documents as a single exhibit.</w:t>
      </w:r>
    </w:p>
    <w:p w14:paraId="536E9A05" w14:textId="77777777" w:rsidR="00D94935" w:rsidRDefault="00D94935" w:rsidP="00D94935">
      <w:pPr>
        <w:pStyle w:val="AH5Sec"/>
      </w:pPr>
      <w:bookmarkStart w:id="1814" w:name="_Toc185515430"/>
      <w:r w:rsidRPr="00C8328B">
        <w:rPr>
          <w:rStyle w:val="CharSectNo"/>
        </w:rPr>
        <w:t>6762</w:t>
      </w:r>
      <w:r>
        <w:tab/>
        <w:t>Custody of exhibits after proceeding</w:t>
      </w:r>
      <w:bookmarkEnd w:id="1814"/>
    </w:p>
    <w:p w14:paraId="5517929F" w14:textId="77777777" w:rsidR="00D94935" w:rsidRDefault="00D94935" w:rsidP="00D94935">
      <w:pPr>
        <w:pStyle w:val="Amainreturn"/>
      </w:pPr>
      <w:r>
        <w:t>Unless the court otherwise orders, the registrar must keep exhibits in a proceeding in the court for at least—</w:t>
      </w:r>
    </w:p>
    <w:p w14:paraId="0460D1AE" w14:textId="77777777" w:rsidR="00D94935" w:rsidRDefault="00D94935" w:rsidP="00D94935">
      <w:pPr>
        <w:pStyle w:val="Apara"/>
      </w:pPr>
      <w:r>
        <w:tab/>
        <w:t>(a)</w:t>
      </w:r>
      <w:r>
        <w:tab/>
        <w:t>28 days after the day judgment is given in the proceeding; or</w:t>
      </w:r>
    </w:p>
    <w:p w14:paraId="1158B39D" w14:textId="77777777" w:rsidR="00D94935" w:rsidRDefault="00D94935" w:rsidP="00D94935">
      <w:pPr>
        <w:pStyle w:val="Apara"/>
        <w:keepNext/>
      </w:pPr>
      <w:r>
        <w:tab/>
        <w:t>(b)</w:t>
      </w:r>
      <w:r>
        <w:tab/>
        <w:t>if leave to appeal from the judgment is given within that time—28 days after the day leave is given.</w:t>
      </w:r>
    </w:p>
    <w:p w14:paraId="12EF58BE"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032C282D" w14:textId="77777777"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14:paraId="500DEDD6" w14:textId="77777777" w:rsidR="00D94935" w:rsidRDefault="00D94935" w:rsidP="00D94935">
      <w:pPr>
        <w:pStyle w:val="AH5Sec"/>
      </w:pPr>
      <w:bookmarkStart w:id="1815" w:name="_Toc185515431"/>
      <w:r w:rsidRPr="00C8328B">
        <w:rPr>
          <w:rStyle w:val="CharSectNo"/>
        </w:rPr>
        <w:t>6763</w:t>
      </w:r>
      <w:r>
        <w:tab/>
        <w:t>Duty of parties to claim exhibits</w:t>
      </w:r>
      <w:bookmarkEnd w:id="1815"/>
    </w:p>
    <w:p w14:paraId="4169FA05" w14:textId="77777777" w:rsidR="00D94935" w:rsidRDefault="00D94935" w:rsidP="00D94935">
      <w:pPr>
        <w:pStyle w:val="Amain"/>
      </w:pPr>
      <w:r>
        <w:tab/>
        <w:t>(1)</w:t>
      </w:r>
      <w:r>
        <w:tab/>
        <w:t>The party that put an exhibit into evidence in a proceeding must apply to the registrar for the return of the exhibit as soon as practicable after—</w:t>
      </w:r>
    </w:p>
    <w:p w14:paraId="19A9630B" w14:textId="77777777" w:rsidR="00D94935" w:rsidRDefault="00D94935" w:rsidP="00D94935">
      <w:pPr>
        <w:pStyle w:val="Apara"/>
      </w:pPr>
      <w:r>
        <w:tab/>
        <w:t>(a)</w:t>
      </w:r>
      <w:r>
        <w:tab/>
        <w:t>if an appeal is started in relation to the proceeding within the appeal period—the appeal is disposed of; or</w:t>
      </w:r>
    </w:p>
    <w:p w14:paraId="12494C94" w14:textId="77777777" w:rsidR="00D94935" w:rsidRDefault="00D94935" w:rsidP="00D94935">
      <w:pPr>
        <w:pStyle w:val="Apara"/>
      </w:pPr>
      <w:r>
        <w:tab/>
        <w:t>(b)</w:t>
      </w:r>
      <w:r>
        <w:tab/>
        <w:t>if an appeal is not started in relation to the proceeding within the appeal period—the appeal period ends.</w:t>
      </w:r>
    </w:p>
    <w:p w14:paraId="210B8A5B" w14:textId="77777777" w:rsidR="00D94935" w:rsidRDefault="00D94935" w:rsidP="00D94935">
      <w:pPr>
        <w:pStyle w:val="Amain"/>
      </w:pPr>
      <w:r>
        <w:tab/>
        <w:t>(2)</w:t>
      </w:r>
      <w:r>
        <w:tab/>
        <w:t>If the registrar has the exhibit, the registrar must give it to—</w:t>
      </w:r>
    </w:p>
    <w:p w14:paraId="52C78E90" w14:textId="77777777" w:rsidR="00D94935" w:rsidRDefault="00D94935" w:rsidP="00D94935">
      <w:pPr>
        <w:pStyle w:val="Apara"/>
      </w:pPr>
      <w:r>
        <w:tab/>
        <w:t>(a)</w:t>
      </w:r>
      <w:r>
        <w:tab/>
        <w:t>the applicant; or</w:t>
      </w:r>
    </w:p>
    <w:p w14:paraId="4CB50B6B" w14:textId="77777777" w:rsidR="00D94935" w:rsidRDefault="00D94935" w:rsidP="00D94935">
      <w:pPr>
        <w:pStyle w:val="Apara"/>
      </w:pPr>
      <w:r>
        <w:tab/>
        <w:t>(b)</w:t>
      </w:r>
      <w:r>
        <w:tab/>
        <w:t>if the exhibit belongs to someone who is not a party, and the application asks for it to be given to the person—the person.</w:t>
      </w:r>
    </w:p>
    <w:p w14:paraId="5883F14B" w14:textId="77777777" w:rsidR="00D94935" w:rsidRDefault="00D94935" w:rsidP="00D94935">
      <w:pPr>
        <w:pStyle w:val="Amain"/>
        <w:keepNext/>
      </w:pPr>
      <w:r>
        <w:lastRenderedPageBreak/>
        <w:tab/>
        <w:t>(3)</w:t>
      </w:r>
      <w:r>
        <w:tab/>
        <w:t>If the registrar does not have the exhibit, the registrar must get the exhibit and give it to—</w:t>
      </w:r>
    </w:p>
    <w:p w14:paraId="58CCB9E3" w14:textId="77777777" w:rsidR="00D94935" w:rsidRDefault="00D94935" w:rsidP="00D94935">
      <w:pPr>
        <w:pStyle w:val="Apara"/>
        <w:keepNext/>
      </w:pPr>
      <w:r>
        <w:tab/>
        <w:t>(a)</w:t>
      </w:r>
      <w:r>
        <w:tab/>
        <w:t>the applicant; or</w:t>
      </w:r>
    </w:p>
    <w:p w14:paraId="41042C08" w14:textId="77777777" w:rsidR="00D94935" w:rsidRDefault="00D94935" w:rsidP="00D94935">
      <w:pPr>
        <w:pStyle w:val="Apara"/>
      </w:pPr>
      <w:r>
        <w:tab/>
        <w:t>(b)</w:t>
      </w:r>
      <w:r>
        <w:tab/>
        <w:t>if the exhibit is a subpoenaed document or thing produced by someone who is not a party, and the application asks for it to be given to the person—the person.</w:t>
      </w:r>
    </w:p>
    <w:p w14:paraId="5819FE54" w14:textId="77777777" w:rsidR="00D94935" w:rsidRDefault="00D94935" w:rsidP="00D94935">
      <w:pPr>
        <w:pStyle w:val="Amain"/>
      </w:pPr>
      <w:r>
        <w:tab/>
        <w:t>(4)</w:t>
      </w:r>
      <w:r>
        <w:tab/>
        <w:t>If a party does not apply for the return of an exhibit put into evidence by the party, the registrar must—</w:t>
      </w:r>
    </w:p>
    <w:p w14:paraId="783ECB08" w14:textId="77777777"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14:paraId="1BFFEF0A" w14:textId="77777777"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14:paraId="4482134C" w14:textId="77777777" w:rsidR="00D94935" w:rsidRPr="00C53530" w:rsidRDefault="00D94935" w:rsidP="00D94935">
      <w:pPr>
        <w:pStyle w:val="Asubpara"/>
      </w:pPr>
      <w:r w:rsidRPr="00C53530">
        <w:tab/>
        <w:t>(i)</w:t>
      </w:r>
      <w:r w:rsidRPr="00C53530">
        <w:tab/>
        <w:t>collect the exhibit from the registry; or</w:t>
      </w:r>
    </w:p>
    <w:p w14:paraId="4D2B1B15" w14:textId="77777777" w:rsidR="00D94935" w:rsidRPr="00C53530" w:rsidRDefault="00D94935" w:rsidP="00D94935">
      <w:pPr>
        <w:pStyle w:val="Asubpara"/>
      </w:pPr>
      <w:r w:rsidRPr="00C53530">
        <w:tab/>
        <w:t>(ii)</w:t>
      </w:r>
      <w:r w:rsidRPr="00C53530">
        <w:tab/>
        <w:t>tell the registrar in writing that the person does not want the exhibit returned.</w:t>
      </w:r>
    </w:p>
    <w:p w14:paraId="09BAD19E" w14:textId="77777777" w:rsidR="00D94935" w:rsidRDefault="00D94935" w:rsidP="00D94935">
      <w:pPr>
        <w:pStyle w:val="Amain"/>
      </w:pPr>
      <w:r>
        <w:tab/>
        <w:t>(5)</w:t>
      </w:r>
      <w:r>
        <w:tab/>
        <w:t>If a party is given a subpoenaed document or thing, the party must return the document or thing to the addressee for the subpoena.</w:t>
      </w:r>
    </w:p>
    <w:p w14:paraId="5F085DD5" w14:textId="77777777" w:rsidR="00D94935" w:rsidRDefault="00D94935" w:rsidP="00D94935">
      <w:pPr>
        <w:pStyle w:val="Amain"/>
      </w:pPr>
      <w:r>
        <w:tab/>
        <w:t>(6)</w:t>
      </w:r>
      <w:r>
        <w:tab/>
        <w:t>This rule does not require a party to apply for the return of a subpoenaed document or thing.</w:t>
      </w:r>
    </w:p>
    <w:p w14:paraId="5F04A080" w14:textId="77777777" w:rsidR="00D94935" w:rsidRDefault="00D94935" w:rsidP="00082222">
      <w:pPr>
        <w:pStyle w:val="Amain"/>
      </w:pPr>
      <w:r>
        <w:tab/>
        <w:t>(7)</w:t>
      </w:r>
      <w:r>
        <w:tab/>
        <w:t>This rule applies subject to any direction of the court under rule 6608 (Removal, return, inspection etc of subpoenaed documents and things).</w:t>
      </w:r>
    </w:p>
    <w:p w14:paraId="4F8E2C76" w14:textId="77777777" w:rsidR="00D94935" w:rsidRDefault="00D94935" w:rsidP="00D94935">
      <w:pPr>
        <w:pStyle w:val="Amain"/>
        <w:keepNext/>
      </w:pPr>
      <w:r>
        <w:lastRenderedPageBreak/>
        <w:tab/>
        <w:t>(8)</w:t>
      </w:r>
      <w:r>
        <w:tab/>
        <w:t>In this rule:</w:t>
      </w:r>
    </w:p>
    <w:p w14:paraId="1C4C7C2B" w14:textId="77777777" w:rsidR="00D94935" w:rsidRDefault="00D94935" w:rsidP="00D94935">
      <w:pPr>
        <w:pStyle w:val="aDef"/>
      </w:pPr>
      <w:r w:rsidRPr="006364FA">
        <w:rPr>
          <w:rStyle w:val="charBoldItals"/>
        </w:rPr>
        <w:t>appeal period</w:t>
      </w:r>
      <w:r>
        <w:t>, in relation to a proceeding, means 28 days after the day judgment is given in the proceeding.</w:t>
      </w:r>
    </w:p>
    <w:p w14:paraId="3D44342B" w14:textId="77777777" w:rsidR="00D94935" w:rsidRDefault="00D94935" w:rsidP="00D94935">
      <w:pPr>
        <w:pStyle w:val="AH5Sec"/>
      </w:pPr>
      <w:bookmarkStart w:id="1816" w:name="_Toc185515432"/>
      <w:r w:rsidRPr="00C8328B">
        <w:rPr>
          <w:rStyle w:val="CharSectNo"/>
        </w:rPr>
        <w:t>6765</w:t>
      </w:r>
      <w:r>
        <w:tab/>
        <w:t>Requirement to give or send exhibit</w:t>
      </w:r>
      <w:bookmarkEnd w:id="1816"/>
    </w:p>
    <w:p w14:paraId="7C923873" w14:textId="77777777"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14:paraId="108C8406" w14:textId="77777777" w:rsidR="00D94935" w:rsidRDefault="00D94935" w:rsidP="00D94935">
      <w:pPr>
        <w:pStyle w:val="Amain"/>
      </w:pPr>
      <w:r>
        <w:tab/>
        <w:t>(2)</w:t>
      </w:r>
      <w:r>
        <w:tab/>
        <w:t>This rule applies subject to any direction of the court under rule 6608.</w:t>
      </w:r>
    </w:p>
    <w:p w14:paraId="79B1918C" w14:textId="77777777" w:rsidR="00D94935" w:rsidRDefault="00D94935" w:rsidP="00D94935">
      <w:pPr>
        <w:pStyle w:val="AH5Sec"/>
      </w:pPr>
      <w:bookmarkStart w:id="1817" w:name="_Toc185515433"/>
      <w:r w:rsidRPr="00C8328B">
        <w:rPr>
          <w:rStyle w:val="CharSectNo"/>
        </w:rPr>
        <w:t>6766</w:t>
      </w:r>
      <w:r>
        <w:tab/>
        <w:t>Disposal of exhibits</w:t>
      </w:r>
      <w:bookmarkEnd w:id="1817"/>
    </w:p>
    <w:p w14:paraId="2C29B0FB" w14:textId="77777777" w:rsidR="00D94935" w:rsidRDefault="00D94935" w:rsidP="00A409D0">
      <w:pPr>
        <w:pStyle w:val="Amain"/>
        <w:keepNext/>
      </w:pPr>
      <w:r>
        <w:tab/>
        <w:t>(1)</w:t>
      </w:r>
      <w:r>
        <w:tab/>
        <w:t>This rule applies if—</w:t>
      </w:r>
    </w:p>
    <w:p w14:paraId="5677503E" w14:textId="77777777" w:rsidR="00D94935" w:rsidRDefault="00D94935" w:rsidP="00D94935">
      <w:pPr>
        <w:pStyle w:val="Apara"/>
      </w:pPr>
      <w:r>
        <w:tab/>
        <w:t>(a)</w:t>
      </w:r>
      <w:r>
        <w:tab/>
        <w:t>the registrar has given notice to someone under rule 6763 (4) (b) in relation to an exhibit; and</w:t>
      </w:r>
    </w:p>
    <w:p w14:paraId="3A4E4A2B" w14:textId="77777777" w:rsidR="00D94935" w:rsidRDefault="00D94935" w:rsidP="00D94935">
      <w:pPr>
        <w:pStyle w:val="Apara"/>
        <w:keepNext/>
      </w:pPr>
      <w:r>
        <w:tab/>
        <w:t>(b)</w:t>
      </w:r>
      <w:r>
        <w:tab/>
        <w:t>at the end of 3 months after the day the notice is given, the exhibit has not been collected from the registry.</w:t>
      </w:r>
    </w:p>
    <w:p w14:paraId="68801FD2" w14:textId="77777777"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14:paraId="1651B114" w14:textId="77777777" w:rsidR="00D94935" w:rsidRDefault="00D94935" w:rsidP="00D94935">
      <w:pPr>
        <w:pStyle w:val="Amain"/>
        <w:keepNext/>
      </w:pPr>
      <w:r>
        <w:tab/>
        <w:t>(2)</w:t>
      </w:r>
      <w:r>
        <w:tab/>
        <w:t>The registrar may destroy or otherwise dispose of the exhibit in the way the registrar considers appropriate.</w:t>
      </w:r>
    </w:p>
    <w:p w14:paraId="5703146C" w14:textId="77777777" w:rsidR="00D94935" w:rsidRDefault="00D94935" w:rsidP="00B57E97">
      <w:pPr>
        <w:pStyle w:val="Amain"/>
      </w:pPr>
      <w:r>
        <w:tab/>
        <w:t>(3)</w:t>
      </w:r>
      <w:r>
        <w:tab/>
        <w:t>The registrar may apply to the court at any time for an order about the return, destruction or other disposal of an exhibit.</w:t>
      </w:r>
    </w:p>
    <w:p w14:paraId="2C334A01" w14:textId="77777777"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14:paraId="46AAC8E0" w14:textId="77777777" w:rsidR="00D94935" w:rsidRDefault="00D94935" w:rsidP="00D94935">
      <w:pPr>
        <w:pStyle w:val="Amain"/>
      </w:pPr>
      <w:r>
        <w:tab/>
        <w:t>(5)</w:t>
      </w:r>
      <w:r>
        <w:tab/>
        <w:t>This rule applies subject to any direction of the court under rule 6608.</w:t>
      </w:r>
    </w:p>
    <w:p w14:paraId="20E92247" w14:textId="77777777" w:rsidR="00D94935" w:rsidRDefault="00D94935" w:rsidP="00D94935">
      <w:pPr>
        <w:pStyle w:val="AH5Sec"/>
      </w:pPr>
      <w:bookmarkStart w:id="1818" w:name="_Toc185515434"/>
      <w:r w:rsidRPr="00C8328B">
        <w:rPr>
          <w:rStyle w:val="CharSectNo"/>
        </w:rPr>
        <w:lastRenderedPageBreak/>
        <w:t>6767</w:t>
      </w:r>
      <w:r>
        <w:tab/>
        <w:t>Power to allow removal of exhibits etc</w:t>
      </w:r>
      <w:bookmarkEnd w:id="1818"/>
    </w:p>
    <w:p w14:paraId="2AD4BCA9" w14:textId="77777777" w:rsidR="00D94935" w:rsidRDefault="00D94935" w:rsidP="00D94935">
      <w:pPr>
        <w:pStyle w:val="Amain"/>
        <w:keepLines/>
      </w:pPr>
      <w:r>
        <w:tab/>
        <w:t>(1)</w:t>
      </w:r>
      <w:r>
        <w:tab/>
        <w:t>This rule applies to a document or thing that the registrar has in relation to a proceeding, whether or not the document or thing—</w:t>
      </w:r>
    </w:p>
    <w:p w14:paraId="3E566215" w14:textId="77777777" w:rsidR="00D94935" w:rsidRDefault="00D94935" w:rsidP="00D94935">
      <w:pPr>
        <w:pStyle w:val="Apara"/>
      </w:pPr>
      <w:r>
        <w:tab/>
        <w:t>(a)</w:t>
      </w:r>
      <w:r>
        <w:tab/>
        <w:t>is an exhibit; or</w:t>
      </w:r>
    </w:p>
    <w:p w14:paraId="12FD8C6F" w14:textId="77777777" w:rsidR="00D94935" w:rsidRDefault="00D94935" w:rsidP="00D94935">
      <w:pPr>
        <w:pStyle w:val="Apara"/>
      </w:pPr>
      <w:r>
        <w:tab/>
        <w:t>(b)</w:t>
      </w:r>
      <w:r>
        <w:tab/>
        <w:t>was produced on subpoena.</w:t>
      </w:r>
    </w:p>
    <w:p w14:paraId="240138C5" w14:textId="77777777"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14:paraId="5DEBAB1E" w14:textId="77777777" w:rsidR="00D94935" w:rsidRDefault="00D94935" w:rsidP="00D94935">
      <w:pPr>
        <w:pStyle w:val="Amain"/>
        <w:keepNext/>
      </w:pPr>
      <w:r>
        <w:tab/>
        <w:t>(3)</w:t>
      </w:r>
      <w:r>
        <w:tab/>
        <w:t>The registrar may—</w:t>
      </w:r>
    </w:p>
    <w:p w14:paraId="351077AA" w14:textId="77777777" w:rsidR="00D94935" w:rsidRDefault="00D94935" w:rsidP="00D94935">
      <w:pPr>
        <w:pStyle w:val="Apara"/>
        <w:keepNext/>
      </w:pPr>
      <w:r>
        <w:tab/>
        <w:t>(a)</w:t>
      </w:r>
      <w:r>
        <w:tab/>
        <w:t>permit the document or thing to be removed from the registry on any conditions the registrar considers appropriate; or</w:t>
      </w:r>
    </w:p>
    <w:p w14:paraId="53CB7F76" w14:textId="77777777" w:rsidR="00D94935" w:rsidRDefault="00D94935" w:rsidP="00D94935">
      <w:pPr>
        <w:pStyle w:val="Apara"/>
      </w:pPr>
      <w:r>
        <w:tab/>
        <w:t>(b)</w:t>
      </w:r>
      <w:r>
        <w:tab/>
        <w:t>refuse to permit the document or thing to be removed.</w:t>
      </w:r>
    </w:p>
    <w:p w14:paraId="40E5AF61" w14:textId="77777777" w:rsidR="00D94935" w:rsidRDefault="00D94935" w:rsidP="00D94935">
      <w:pPr>
        <w:pStyle w:val="Amain"/>
        <w:keepNext/>
      </w:pPr>
      <w:r>
        <w:tab/>
        <w:t>(4)</w:t>
      </w:r>
      <w:r>
        <w:tab/>
        <w:t>If a solicitor removes the document or thing from the registry with the registrar’s permission, the solicitor is taken to undertake to the court that—</w:t>
      </w:r>
    </w:p>
    <w:p w14:paraId="4685EA17" w14:textId="77777777" w:rsidR="00D94935" w:rsidRDefault="00D94935" w:rsidP="00D94935">
      <w:pPr>
        <w:pStyle w:val="Apara"/>
      </w:pPr>
      <w:r>
        <w:tab/>
        <w:t>(a)</w:t>
      </w:r>
      <w:r>
        <w:tab/>
        <w:t>the document or thing will be kept in the personal custody of the solicitor or counsel briefed by the solicitor in the proceeding; and</w:t>
      </w:r>
    </w:p>
    <w:p w14:paraId="1A7243A2" w14:textId="77777777" w:rsidR="00D94935" w:rsidRDefault="00D94935" w:rsidP="00D94935">
      <w:pPr>
        <w:pStyle w:val="Apara"/>
      </w:pPr>
      <w:r>
        <w:tab/>
        <w:t>(b)</w:t>
      </w:r>
      <w:r>
        <w:tab/>
        <w:t>the document or thing will be returned to the registry in the same condition, order and packaging in which it was removed, when directed by the registrar; and</w:t>
      </w:r>
    </w:p>
    <w:p w14:paraId="2C995813" w14:textId="77777777" w:rsidR="00D94935" w:rsidRDefault="00D94935" w:rsidP="00D94935">
      <w:pPr>
        <w:pStyle w:val="Apara"/>
      </w:pPr>
      <w:r>
        <w:tab/>
        <w:t>(c)</w:t>
      </w:r>
      <w:r>
        <w:tab/>
        <w:t>the solicitor will comply with the conditions (if any) to which the permission is subject.</w:t>
      </w:r>
    </w:p>
    <w:p w14:paraId="11D4898D" w14:textId="77777777" w:rsidR="00D94935" w:rsidRDefault="00D94935" w:rsidP="00D94935">
      <w:pPr>
        <w:pStyle w:val="Amain"/>
      </w:pPr>
      <w:r>
        <w:tab/>
        <w:t>(5)</w:t>
      </w:r>
      <w:r>
        <w:tab/>
        <w:t>This rule applies subject to any direction of the court under rule 6608 (Removal, return, inspection etc of subpoenaed documents and things).</w:t>
      </w:r>
    </w:p>
    <w:p w14:paraId="3D84217B" w14:textId="77777777" w:rsidR="00DF5DB1" w:rsidRDefault="00DF5DB1">
      <w:pPr>
        <w:pStyle w:val="02Text"/>
        <w:sectPr w:rsidR="00DF5DB1" w:rsidSect="00CD3DF7">
          <w:headerReference w:type="even" r:id="rId882"/>
          <w:headerReference w:type="default" r:id="rId883"/>
          <w:footerReference w:type="even" r:id="rId884"/>
          <w:footerReference w:type="default" r:id="rId885"/>
          <w:footerReference w:type="first" r:id="rId886"/>
          <w:pgSz w:w="11907" w:h="16839" w:code="9"/>
          <w:pgMar w:top="3880" w:right="1900" w:bottom="3100" w:left="2300" w:header="1920" w:footer="1760" w:gutter="0"/>
          <w:cols w:space="720"/>
          <w:docGrid w:linePitch="254"/>
        </w:sectPr>
      </w:pPr>
    </w:p>
    <w:p w14:paraId="1DC5A47E" w14:textId="77777777" w:rsidR="00D94935" w:rsidRPr="00C8328B" w:rsidRDefault="00D94935" w:rsidP="00D94935">
      <w:pPr>
        <w:pStyle w:val="AH3Div"/>
      </w:pPr>
      <w:bookmarkStart w:id="1819" w:name="_Toc185515435"/>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19"/>
    </w:p>
    <w:p w14:paraId="4244377C" w14:textId="77777777" w:rsidR="00D94935" w:rsidRDefault="00D94935" w:rsidP="00D94935">
      <w:pPr>
        <w:pStyle w:val="AH5Sec"/>
        <w:spacing w:before="120"/>
      </w:pPr>
      <w:bookmarkStart w:id="1820" w:name="_Toc185515436"/>
      <w:r w:rsidRPr="00C8328B">
        <w:rPr>
          <w:rStyle w:val="CharSectNo"/>
        </w:rPr>
        <w:t>6800</w:t>
      </w:r>
      <w:r>
        <w:tab/>
        <w:t>Application for direction under Evidence (Miscellaneous Provisions) Act, s 20</w:t>
      </w:r>
      <w:bookmarkEnd w:id="1820"/>
    </w:p>
    <w:p w14:paraId="4E117559" w14:textId="49A28D3F" w:rsidR="00D94935" w:rsidRDefault="00D94935" w:rsidP="00D94935">
      <w:pPr>
        <w:pStyle w:val="Amain"/>
        <w:keepNext/>
      </w:pPr>
      <w:r>
        <w:tab/>
        <w:t>(1)</w:t>
      </w:r>
      <w:r>
        <w:tab/>
        <w:t xml:space="preserve">An application for a direction under the </w:t>
      </w:r>
      <w:hyperlink r:id="rId887"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14:paraId="0ECFC75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14:paraId="541F9060" w14:textId="77777777" w:rsidR="00D94935" w:rsidRDefault="00D94935" w:rsidP="00D94935">
      <w:pPr>
        <w:pStyle w:val="Amain"/>
      </w:pPr>
      <w:r>
        <w:tab/>
        <w:t>(2)</w:t>
      </w:r>
      <w:r>
        <w:tab/>
        <w:t>The application may be made orally.</w:t>
      </w:r>
    </w:p>
    <w:p w14:paraId="59F2940E" w14:textId="77777777" w:rsidR="00D94935" w:rsidRDefault="00D94935" w:rsidP="00D94935">
      <w:pPr>
        <w:pStyle w:val="Amain"/>
      </w:pPr>
      <w:r>
        <w:tab/>
        <w:t>(3)</w:t>
      </w:r>
      <w:r>
        <w:tab/>
        <w:t>The application must be supported by an affidavit stating—</w:t>
      </w:r>
    </w:p>
    <w:p w14:paraId="4A26CD7A" w14:textId="77777777" w:rsidR="00D94935" w:rsidRDefault="00D94935" w:rsidP="00D94935">
      <w:pPr>
        <w:pStyle w:val="Apara"/>
      </w:pPr>
      <w:r>
        <w:tab/>
        <w:t>(a)</w:t>
      </w:r>
      <w:r>
        <w:tab/>
        <w:t>why the evidence should be taken or submissions made by audiovisual link or audio link; and</w:t>
      </w:r>
    </w:p>
    <w:p w14:paraId="4DA5ACD8" w14:textId="77777777" w:rsidR="00D94935" w:rsidRDefault="00D94935" w:rsidP="00D94935">
      <w:pPr>
        <w:pStyle w:val="Apara"/>
      </w:pPr>
      <w:r>
        <w:tab/>
        <w:t>(b)</w:t>
      </w:r>
      <w:r>
        <w:tab/>
        <w:t>the nature of any evidence to be taken; and</w:t>
      </w:r>
    </w:p>
    <w:p w14:paraId="67E4A70B" w14:textId="77777777" w:rsidR="00D94935" w:rsidRDefault="00D94935" w:rsidP="00D94935">
      <w:pPr>
        <w:pStyle w:val="Apara"/>
      </w:pPr>
      <w:r>
        <w:tab/>
        <w:t>(c)</w:t>
      </w:r>
      <w:r>
        <w:tab/>
        <w:t>the number of witnesses to be examined; and</w:t>
      </w:r>
    </w:p>
    <w:p w14:paraId="49E94343" w14:textId="77777777" w:rsidR="00D94935" w:rsidRDefault="00D94935" w:rsidP="00D94935">
      <w:pPr>
        <w:pStyle w:val="Apara"/>
      </w:pPr>
      <w:r>
        <w:tab/>
        <w:t>(d)</w:t>
      </w:r>
      <w:r>
        <w:tab/>
        <w:t>whether issues of character are likely to be raised; and</w:t>
      </w:r>
    </w:p>
    <w:p w14:paraId="14C63B42" w14:textId="77777777" w:rsidR="00D94935" w:rsidRDefault="00D94935" w:rsidP="00D94935">
      <w:pPr>
        <w:pStyle w:val="Apara"/>
      </w:pPr>
      <w:r>
        <w:tab/>
        <w:t>(e)</w:t>
      </w:r>
      <w:r>
        <w:tab/>
        <w:t>the expected duration of the evidence or submissions; and</w:t>
      </w:r>
    </w:p>
    <w:p w14:paraId="13DC0542" w14:textId="77777777" w:rsidR="00D94935" w:rsidRDefault="00D94935" w:rsidP="00D94935">
      <w:pPr>
        <w:pStyle w:val="Apara"/>
      </w:pPr>
      <w:r>
        <w:tab/>
        <w:t>(f)</w:t>
      </w:r>
      <w:r>
        <w:tab/>
        <w:t>a description of the facilities that are available, or that can reasonably be made available, for the evidence to be taken or submissions to be made; and</w:t>
      </w:r>
    </w:p>
    <w:p w14:paraId="7AC263E1" w14:textId="47C91ECD" w:rsidR="00D94935" w:rsidRDefault="00D94935" w:rsidP="00D94935">
      <w:pPr>
        <w:pStyle w:val="Apara"/>
      </w:pPr>
      <w:r>
        <w:tab/>
        <w:t>(g)</w:t>
      </w:r>
      <w:r>
        <w:tab/>
        <w:t xml:space="preserve">that the requirements of the </w:t>
      </w:r>
      <w:hyperlink r:id="rId888" w:tooltip="A1991-34" w:history="1">
        <w:r w:rsidRPr="006364FA">
          <w:rPr>
            <w:rStyle w:val="charCitHyperlinkItal"/>
          </w:rPr>
          <w:t>Evidence (Miscellaneous Provisions) Act 1991</w:t>
        </w:r>
      </w:hyperlink>
      <w:r>
        <w:t>, section 20 (2) can be met.</w:t>
      </w:r>
    </w:p>
    <w:p w14:paraId="0E7EA3B4" w14:textId="77777777" w:rsidR="00D94935" w:rsidRDefault="00D94935" w:rsidP="00D94935">
      <w:pPr>
        <w:pStyle w:val="Amain"/>
        <w:keepNext/>
      </w:pPr>
      <w:r>
        <w:tab/>
        <w:t>(4)</w:t>
      </w:r>
      <w:r>
        <w:tab/>
        <w:t>In deciding whether to make the direction, the court may have regard to the following matters:</w:t>
      </w:r>
    </w:p>
    <w:p w14:paraId="2B5AF8B3" w14:textId="77777777" w:rsidR="00D94935" w:rsidRDefault="00D94935" w:rsidP="00D94935">
      <w:pPr>
        <w:pStyle w:val="Apara"/>
      </w:pPr>
      <w:r>
        <w:tab/>
        <w:t>(a)</w:t>
      </w:r>
      <w:r>
        <w:tab/>
        <w:t xml:space="preserve">the matters included in the applicant’s affidavit; </w:t>
      </w:r>
    </w:p>
    <w:p w14:paraId="5C03A95E" w14:textId="77777777" w:rsidR="00D94935" w:rsidRDefault="00D94935" w:rsidP="00D94935">
      <w:pPr>
        <w:pStyle w:val="Apara"/>
      </w:pPr>
      <w:r>
        <w:lastRenderedPageBreak/>
        <w:tab/>
        <w:t>(b)</w:t>
      </w:r>
      <w:r>
        <w:tab/>
        <w:t>the cost and convenience to the witnesses and parties.</w:t>
      </w:r>
    </w:p>
    <w:p w14:paraId="138559C9" w14:textId="77777777" w:rsidR="00D94935" w:rsidRDefault="00D94935" w:rsidP="00D94935">
      <w:pPr>
        <w:pStyle w:val="Amain"/>
      </w:pPr>
      <w:r>
        <w:tab/>
        <w:t>(5)</w:t>
      </w:r>
      <w:r>
        <w:tab/>
        <w:t>Subrule (4) does not limit the matters to which the court may have regard.</w:t>
      </w:r>
    </w:p>
    <w:p w14:paraId="7DD2374D" w14:textId="77777777" w:rsidR="00D94935" w:rsidRDefault="00D94935" w:rsidP="00D94935">
      <w:pPr>
        <w:pStyle w:val="AH5Sec"/>
      </w:pPr>
      <w:bookmarkStart w:id="1821" w:name="_Toc185515437"/>
      <w:r w:rsidRPr="00C8328B">
        <w:rPr>
          <w:rStyle w:val="CharSectNo"/>
        </w:rPr>
        <w:t>6801</w:t>
      </w:r>
      <w:r>
        <w:tab/>
        <w:t>Directions for Evidence (Miscellaneous Provisions) Act, s 20</w:t>
      </w:r>
      <w:bookmarkEnd w:id="1821"/>
    </w:p>
    <w:p w14:paraId="04A08986" w14:textId="2C81DCE8" w:rsidR="00D94935" w:rsidRDefault="00D94935" w:rsidP="00D94935">
      <w:pPr>
        <w:pStyle w:val="Amain"/>
      </w:pPr>
      <w:r>
        <w:tab/>
        <w:t>(1)</w:t>
      </w:r>
      <w:r>
        <w:tab/>
        <w:t xml:space="preserve">If the court gives a direction under the </w:t>
      </w:r>
      <w:hyperlink r:id="rId889"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14:paraId="1DC89999" w14:textId="77777777" w:rsidR="00D94935" w:rsidRDefault="00D94935" w:rsidP="00D94935">
      <w:pPr>
        <w:pStyle w:val="Amain"/>
      </w:pPr>
      <w:r>
        <w:tab/>
        <w:t>(2)</w:t>
      </w:r>
      <w:r>
        <w:tab/>
        <w:t>Without limiting subrule (1), the court may direct that—</w:t>
      </w:r>
    </w:p>
    <w:p w14:paraId="33B933BC" w14:textId="77777777"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14:paraId="63029321" w14:textId="77777777"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14:paraId="74D33F0A" w14:textId="77777777" w:rsidR="00D94935" w:rsidRDefault="00D94935" w:rsidP="00D94935">
      <w:pPr>
        <w:pStyle w:val="Asubpara"/>
      </w:pPr>
      <w:r>
        <w:tab/>
        <w:t>(i)</w:t>
      </w:r>
      <w:r>
        <w:tab/>
        <w:t>introduce witnesses and legal representatives; and</w:t>
      </w:r>
    </w:p>
    <w:p w14:paraId="67264B9B" w14:textId="77777777" w:rsidR="00D94935" w:rsidRDefault="00D94935" w:rsidP="00D94935">
      <w:pPr>
        <w:pStyle w:val="Asubpara"/>
      </w:pPr>
      <w:r>
        <w:tab/>
        <w:t>(ii)</w:t>
      </w:r>
      <w:r>
        <w:tab/>
        <w:t>assist with the administration of oaths, if necessary; and</w:t>
      </w:r>
    </w:p>
    <w:p w14:paraId="432F6595" w14:textId="77777777" w:rsidR="00D94935" w:rsidRDefault="00D94935" w:rsidP="00D94935">
      <w:pPr>
        <w:pStyle w:val="Asubpara"/>
      </w:pPr>
      <w:r>
        <w:tab/>
        <w:t>(iii)</w:t>
      </w:r>
      <w:r>
        <w:tab/>
        <w:t>assist in carrying out any direction given or request made by the judicial officer hearing the evidence or submissions.</w:t>
      </w:r>
    </w:p>
    <w:p w14:paraId="0C58CAAA" w14:textId="77777777" w:rsidR="00D94935" w:rsidRPr="00C8328B" w:rsidRDefault="00D94935" w:rsidP="00D94935">
      <w:pPr>
        <w:pStyle w:val="AH3Div"/>
      </w:pPr>
      <w:bookmarkStart w:id="1822" w:name="_Toc185515438"/>
      <w:r w:rsidRPr="00C8328B">
        <w:rPr>
          <w:rStyle w:val="CharDivNo"/>
        </w:rPr>
        <w:lastRenderedPageBreak/>
        <w:t>Division 6.10.8</w:t>
      </w:r>
      <w:r>
        <w:tab/>
      </w:r>
      <w:r w:rsidRPr="00C8328B">
        <w:rPr>
          <w:rStyle w:val="CharDivText"/>
        </w:rPr>
        <w:t>Taking evidence otherwise than at trial</w:t>
      </w:r>
      <w:bookmarkEnd w:id="1822"/>
    </w:p>
    <w:p w14:paraId="4563A4D0" w14:textId="77777777" w:rsidR="00D94935" w:rsidRDefault="00D94935" w:rsidP="00D94935">
      <w:pPr>
        <w:pStyle w:val="AH5Sec"/>
      </w:pPr>
      <w:bookmarkStart w:id="1823" w:name="_Toc185515439"/>
      <w:r w:rsidRPr="00C8328B">
        <w:rPr>
          <w:rStyle w:val="CharSectNo"/>
        </w:rPr>
        <w:t>6810</w:t>
      </w:r>
      <w:r>
        <w:tab/>
        <w:t>Definitions—div 6.10.8</w:t>
      </w:r>
      <w:bookmarkEnd w:id="1823"/>
    </w:p>
    <w:p w14:paraId="1AB69D3A" w14:textId="77777777" w:rsidR="00D94935" w:rsidRDefault="00D94935" w:rsidP="00D94935">
      <w:pPr>
        <w:pStyle w:val="Amainreturn"/>
        <w:keepNext/>
      </w:pPr>
      <w:r>
        <w:t>In this division:</w:t>
      </w:r>
    </w:p>
    <w:p w14:paraId="6ABA6F7E" w14:textId="77777777" w:rsidR="00D94935" w:rsidRDefault="00D94935" w:rsidP="00D94935">
      <w:pPr>
        <w:pStyle w:val="aDef"/>
        <w:keepNext/>
      </w:pPr>
      <w:r w:rsidRPr="006364FA">
        <w:rPr>
          <w:rStyle w:val="charBoldItals"/>
        </w:rPr>
        <w:t>examination</w:t>
      </w:r>
      <w:r>
        <w:t>—</w:t>
      </w:r>
    </w:p>
    <w:p w14:paraId="0D54222C" w14:textId="77777777" w:rsidR="00D94935" w:rsidRDefault="00D94935" w:rsidP="00D94935">
      <w:pPr>
        <w:pStyle w:val="aDefpara"/>
      </w:pPr>
      <w:r>
        <w:tab/>
        <w:t>(a)</w:t>
      </w:r>
      <w:r>
        <w:tab/>
        <w:t>means an examination of a person under an examination order; and</w:t>
      </w:r>
    </w:p>
    <w:p w14:paraId="6FAFACF3" w14:textId="77777777"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14:paraId="418AE49B" w14:textId="77777777" w:rsidR="00D94935" w:rsidRDefault="00D94935" w:rsidP="00D94935">
      <w:pPr>
        <w:pStyle w:val="aDef"/>
        <w:keepNext/>
      </w:pPr>
      <w:r w:rsidRPr="006364FA">
        <w:rPr>
          <w:rStyle w:val="charBoldItals"/>
        </w:rPr>
        <w:t xml:space="preserve">examination order </w:t>
      </w:r>
      <w:r>
        <w:rPr>
          <w:bCs/>
          <w:iCs/>
        </w:rPr>
        <w:t>means an order—</w:t>
      </w:r>
    </w:p>
    <w:p w14:paraId="0870F1BE" w14:textId="77777777"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14:paraId="6FF6BAEC" w14:textId="0130E494" w:rsidR="00D94935" w:rsidRDefault="00D94935" w:rsidP="00D94935">
      <w:pPr>
        <w:pStyle w:val="aDefpara"/>
      </w:pPr>
      <w:r>
        <w:tab/>
        <w:t>(b)</w:t>
      </w:r>
      <w:r>
        <w:tab/>
        <w:t xml:space="preserve">under the </w:t>
      </w:r>
      <w:hyperlink r:id="rId890"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14:paraId="676DD2B6" w14:textId="77777777"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14:paraId="7B398E5E" w14:textId="77777777" w:rsidR="00D94935" w:rsidRDefault="00D94935" w:rsidP="00D94935">
      <w:pPr>
        <w:pStyle w:val="AH5Sec"/>
      </w:pPr>
      <w:bookmarkStart w:id="1824" w:name="_Toc185515440"/>
      <w:r w:rsidRPr="00C8328B">
        <w:rPr>
          <w:rStyle w:val="CharSectNo"/>
        </w:rPr>
        <w:t>6811</w:t>
      </w:r>
      <w:r>
        <w:tab/>
        <w:t>Effect of court directions for examination order</w:t>
      </w:r>
      <w:bookmarkEnd w:id="1824"/>
    </w:p>
    <w:p w14:paraId="6A17AED2" w14:textId="77777777" w:rsidR="00D94935" w:rsidRDefault="00D94935" w:rsidP="00D94935">
      <w:pPr>
        <w:pStyle w:val="Amainreturn"/>
      </w:pPr>
      <w:r>
        <w:t>The provisions of this division about the examination of a person under an examination order apply subject to—</w:t>
      </w:r>
    </w:p>
    <w:p w14:paraId="299AA61A" w14:textId="77777777" w:rsidR="00D94935" w:rsidRDefault="00D94935" w:rsidP="00D94935">
      <w:pPr>
        <w:pStyle w:val="Apara"/>
      </w:pPr>
      <w:r>
        <w:tab/>
        <w:t>(a)</w:t>
      </w:r>
      <w:r>
        <w:tab/>
        <w:t>for an examination order under rule 6813—any directions of the court under rule 6813 (4); or</w:t>
      </w:r>
    </w:p>
    <w:p w14:paraId="2CE2F7EE" w14:textId="45E4F3F5" w:rsidR="00D94935" w:rsidRDefault="00D94935" w:rsidP="00D94935">
      <w:pPr>
        <w:pStyle w:val="Apara"/>
      </w:pPr>
      <w:r>
        <w:tab/>
        <w:t>(b)</w:t>
      </w:r>
      <w:r>
        <w:tab/>
        <w:t xml:space="preserve">for an examination order under the </w:t>
      </w:r>
      <w:hyperlink r:id="rId891"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14:paraId="1A4E400D" w14:textId="77777777" w:rsidR="00D94935" w:rsidRDefault="00D94935" w:rsidP="00D94935">
      <w:pPr>
        <w:pStyle w:val="AH5Sec"/>
      </w:pPr>
      <w:bookmarkStart w:id="1825" w:name="_Toc185515441"/>
      <w:r w:rsidRPr="00C8328B">
        <w:rPr>
          <w:rStyle w:val="CharSectNo"/>
        </w:rPr>
        <w:lastRenderedPageBreak/>
        <w:t>6812</w:t>
      </w:r>
      <w:r>
        <w:tab/>
        <w:t>Application of div 6.10.8 to letter of request</w:t>
      </w:r>
      <w:bookmarkEnd w:id="1825"/>
    </w:p>
    <w:p w14:paraId="46FBFD5A" w14:textId="77777777"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14:paraId="4C333C3D" w14:textId="77777777" w:rsidR="00D94935" w:rsidRDefault="00D94935" w:rsidP="00D94935">
      <w:pPr>
        <w:pStyle w:val="Apara"/>
      </w:pPr>
      <w:r>
        <w:tab/>
        <w:t>(a)</w:t>
      </w:r>
      <w:r>
        <w:tab/>
        <w:t>as if the court or tribunal taking the evidence were an examiner appointed under this division; but</w:t>
      </w:r>
    </w:p>
    <w:p w14:paraId="649AC221" w14:textId="77777777" w:rsidR="00D94935" w:rsidRDefault="00D94935" w:rsidP="00D94935">
      <w:pPr>
        <w:pStyle w:val="Apara"/>
      </w:pPr>
      <w:r>
        <w:tab/>
        <w:t>(b)</w:t>
      </w:r>
      <w:r>
        <w:tab/>
        <w:t>subject to—</w:t>
      </w:r>
    </w:p>
    <w:p w14:paraId="20166141" w14:textId="77777777" w:rsidR="00D94935" w:rsidRDefault="00D94935" w:rsidP="00D94935">
      <w:pPr>
        <w:pStyle w:val="Asubpara"/>
      </w:pPr>
      <w:r>
        <w:tab/>
        <w:t>(i)</w:t>
      </w:r>
      <w:r>
        <w:tab/>
        <w:t>the terms of the letter of request; and</w:t>
      </w:r>
    </w:p>
    <w:p w14:paraId="159DB85B" w14:textId="77777777"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14:paraId="5EB6484F" w14:textId="77777777" w:rsidR="00D94935" w:rsidRDefault="00D94935" w:rsidP="00D94935">
      <w:pPr>
        <w:pStyle w:val="AH5Sec"/>
      </w:pPr>
      <w:bookmarkStart w:id="1826" w:name="_Toc185515442"/>
      <w:r w:rsidRPr="00C8328B">
        <w:rPr>
          <w:rStyle w:val="CharSectNo"/>
        </w:rPr>
        <w:t>6813</w:t>
      </w:r>
      <w:r>
        <w:tab/>
        <w:t>Order for taking evidence otherwise than at trial</w:t>
      </w:r>
      <w:bookmarkEnd w:id="1826"/>
    </w:p>
    <w:p w14:paraId="1200E2F5" w14:textId="77777777" w:rsidR="00D94935" w:rsidRDefault="00D94935" w:rsidP="00D94935">
      <w:pPr>
        <w:pStyle w:val="Amain"/>
        <w:keepNext/>
      </w:pPr>
      <w:r>
        <w:tab/>
        <w:t>(1)</w:t>
      </w:r>
      <w:r>
        <w:tab/>
        <w:t>In any civil or criminal proceeding in the court, the court may, on the application of a party to the proceeding, make an order—</w:t>
      </w:r>
    </w:p>
    <w:p w14:paraId="470F85D4" w14:textId="77777777" w:rsidR="00D94935" w:rsidRDefault="00D94935" w:rsidP="00D94935">
      <w:pPr>
        <w:pStyle w:val="Apara"/>
        <w:keepNext/>
      </w:pPr>
      <w:r>
        <w:tab/>
        <w:t>(a)</w:t>
      </w:r>
      <w:r>
        <w:tab/>
        <w:t>for the examination of a person on oath at a place in or outside the ACT (including outside Australia) before a person appointed by the court; or</w:t>
      </w:r>
    </w:p>
    <w:p w14:paraId="398DF207" w14:textId="0DD4DE57"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92" w:tooltip="A2001-14" w:history="1">
        <w:r w:rsidRPr="006364FA">
          <w:rPr>
            <w:rStyle w:val="charCitHyperlinkAbbrev"/>
          </w:rPr>
          <w:t>Legislation Act</w:t>
        </w:r>
      </w:hyperlink>
      <w:r>
        <w:t>, dict, pt 1).</w:t>
      </w:r>
    </w:p>
    <w:p w14:paraId="158AD27C" w14:textId="77777777" w:rsidR="00D94935" w:rsidRDefault="00D94935" w:rsidP="00D94935">
      <w:pPr>
        <w:pStyle w:val="Apara"/>
      </w:pPr>
      <w:r>
        <w:tab/>
        <w:t>(b)</w:t>
      </w:r>
      <w:r>
        <w:tab/>
        <w:t>for the issue of a commission for the examination of a person on oath at a place in or outside the ACT (including outside Australia); or</w:t>
      </w:r>
    </w:p>
    <w:p w14:paraId="09B98DA8" w14:textId="77777777"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14:paraId="2E7C18C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14:paraId="69CEA330" w14:textId="77777777" w:rsidR="00D94935" w:rsidRDefault="00D94935" w:rsidP="00D94935">
      <w:pPr>
        <w:pStyle w:val="Amain"/>
      </w:pPr>
      <w:r>
        <w:lastRenderedPageBreak/>
        <w:tab/>
        <w:t>(2)</w:t>
      </w:r>
      <w:r>
        <w:tab/>
        <w:t>The court may make an order under subrule (1) only if it appears in the interests of justice to make the order.</w:t>
      </w:r>
    </w:p>
    <w:p w14:paraId="37576B0A" w14:textId="77777777" w:rsidR="00D94935" w:rsidRDefault="00D94935" w:rsidP="00D94935">
      <w:pPr>
        <w:pStyle w:val="Amain"/>
        <w:keepNext/>
      </w:pPr>
      <w:r>
        <w:tab/>
        <w:t>(3)</w:t>
      </w:r>
      <w:r>
        <w:tab/>
        <w:t>In deciding whether it is in the interests of justice to make the order, the court must have regard to—</w:t>
      </w:r>
    </w:p>
    <w:p w14:paraId="2FB2291D" w14:textId="77777777" w:rsidR="00D94935" w:rsidRDefault="00D94935" w:rsidP="00D94935">
      <w:pPr>
        <w:pStyle w:val="Apara"/>
      </w:pPr>
      <w:r>
        <w:tab/>
        <w:t>(a)</w:t>
      </w:r>
      <w:r>
        <w:tab/>
        <w:t>whether the person to be examined is willing or able to come to the ACT to give evidence in the proceeding; and</w:t>
      </w:r>
    </w:p>
    <w:p w14:paraId="60E00624" w14:textId="77777777" w:rsidR="00D94935" w:rsidRDefault="00D94935" w:rsidP="00D94935">
      <w:pPr>
        <w:pStyle w:val="Apara"/>
      </w:pPr>
      <w:r>
        <w:tab/>
        <w:t>(b)</w:t>
      </w:r>
      <w:r>
        <w:tab/>
        <w:t>whether the person will be able to give evidence material to any issue to be tried in the proceeding; and</w:t>
      </w:r>
    </w:p>
    <w:p w14:paraId="0D586D4C" w14:textId="77777777" w:rsidR="00D94935" w:rsidRDefault="00D94935" w:rsidP="00D94935">
      <w:pPr>
        <w:pStyle w:val="Apara"/>
      </w:pPr>
      <w:r>
        <w:tab/>
        <w:t>(c)</w:t>
      </w:r>
      <w:r>
        <w:tab/>
        <w:t>whether, having regard to the interests of the parties to the proceeding, justice will be better served by making or refusing to make the order.</w:t>
      </w:r>
    </w:p>
    <w:p w14:paraId="1465A466" w14:textId="77777777"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14:paraId="1A60A1D7" w14:textId="77777777"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14:paraId="082D8535" w14:textId="77777777" w:rsidR="00D94935" w:rsidRDefault="00D94935" w:rsidP="00D94935">
      <w:pPr>
        <w:pStyle w:val="Apara"/>
      </w:pPr>
      <w:r>
        <w:tab/>
        <w:t>(a)</w:t>
      </w:r>
      <w:r>
        <w:tab/>
        <w:t>the examination, cross-examination or re-examination of the person, whether the evidence is to be given orally, by affidavit or in another way; and</w:t>
      </w:r>
    </w:p>
    <w:p w14:paraId="555BFC66" w14:textId="77777777" w:rsidR="00D94935" w:rsidRDefault="00D94935" w:rsidP="00D94935">
      <w:pPr>
        <w:pStyle w:val="Apara"/>
        <w:keepNext/>
      </w:pPr>
      <w:r>
        <w:tab/>
        <w:t>(b)</w:t>
      </w:r>
      <w:r>
        <w:tab/>
        <w:t>the attendance of the legal representative of each party to the proceeding and the participation of the legal representatives in the examination.</w:t>
      </w:r>
    </w:p>
    <w:p w14:paraId="44EEAD18" w14:textId="77777777" w:rsidR="00D94935" w:rsidRDefault="00D94935" w:rsidP="00D94935">
      <w:pPr>
        <w:pStyle w:val="AH5Sec"/>
      </w:pPr>
      <w:bookmarkStart w:id="1827" w:name="_Toc185515443"/>
      <w:r w:rsidRPr="00C8328B">
        <w:rPr>
          <w:rStyle w:val="CharSectNo"/>
        </w:rPr>
        <w:t>6814</w:t>
      </w:r>
      <w:r>
        <w:tab/>
        <w:t>When examination order may be made</w:t>
      </w:r>
      <w:bookmarkEnd w:id="1827"/>
    </w:p>
    <w:p w14:paraId="13735BF8" w14:textId="77777777" w:rsidR="00D94935" w:rsidRDefault="00D94935" w:rsidP="00D94935">
      <w:pPr>
        <w:pStyle w:val="Amainreturn"/>
      </w:pPr>
      <w:r>
        <w:t>The court may make an examination order at any stage of the proceeding.</w:t>
      </w:r>
    </w:p>
    <w:p w14:paraId="4B9C024C" w14:textId="77777777" w:rsidR="00D94935" w:rsidRDefault="00D94935" w:rsidP="00D94935">
      <w:pPr>
        <w:pStyle w:val="AH5Sec"/>
      </w:pPr>
      <w:bookmarkStart w:id="1828" w:name="_Toc185515444"/>
      <w:r w:rsidRPr="00C8328B">
        <w:rPr>
          <w:rStyle w:val="CharSectNo"/>
        </w:rPr>
        <w:lastRenderedPageBreak/>
        <w:t>6815</w:t>
      </w:r>
      <w:r>
        <w:tab/>
        <w:t>Application for examination order</w:t>
      </w:r>
      <w:bookmarkEnd w:id="1828"/>
    </w:p>
    <w:p w14:paraId="3B110935" w14:textId="77777777" w:rsidR="00D94935" w:rsidRDefault="00D94935" w:rsidP="00D94935">
      <w:pPr>
        <w:pStyle w:val="Amain"/>
        <w:keepNext/>
      </w:pPr>
      <w:r>
        <w:tab/>
        <w:t>(1)</w:t>
      </w:r>
      <w:r>
        <w:tab/>
        <w:t>Any party to a proceeding may apply for an examination order.</w:t>
      </w:r>
    </w:p>
    <w:p w14:paraId="179B09CD" w14:textId="6D8B16C3"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93" w:tooltip="Act 1994 No 59 (Cwlth)" w:history="1">
        <w:r w:rsidRPr="007F10AC">
          <w:rPr>
            <w:rStyle w:val="charCitHyperlinkItal"/>
          </w:rPr>
          <w:t>Foreign Evidence Act 1994</w:t>
        </w:r>
      </w:hyperlink>
      <w:r>
        <w:t xml:space="preserve"> (Cwlth) can only be made to the Supreme Court (see that Act, s 7 and s 10).</w:t>
      </w:r>
    </w:p>
    <w:p w14:paraId="31D3C541" w14:textId="77777777"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14:paraId="244328E7" w14:textId="77777777" w:rsidR="00D94935" w:rsidRDefault="00D94935" w:rsidP="00D94935">
      <w:pPr>
        <w:pStyle w:val="Amain"/>
      </w:pPr>
      <w:r>
        <w:tab/>
        <w:t>(2)</w:t>
      </w:r>
      <w:r>
        <w:tab/>
        <w:t>The application must be supported by an affidavit.</w:t>
      </w:r>
    </w:p>
    <w:p w14:paraId="3F84FB09" w14:textId="77777777" w:rsidR="00D94935" w:rsidRDefault="00D94935" w:rsidP="00D94935">
      <w:pPr>
        <w:pStyle w:val="AH5Sec"/>
      </w:pPr>
      <w:bookmarkStart w:id="1829" w:name="_Toc185515445"/>
      <w:r w:rsidRPr="00C8328B">
        <w:rPr>
          <w:rStyle w:val="CharSectNo"/>
        </w:rPr>
        <w:t>6816</w:t>
      </w:r>
      <w:r>
        <w:tab/>
        <w:t>Appointment of examiner</w:t>
      </w:r>
      <w:bookmarkEnd w:id="1829"/>
    </w:p>
    <w:p w14:paraId="6B9F6F4B" w14:textId="77777777" w:rsidR="00D94935" w:rsidRDefault="00D94935" w:rsidP="00D94935">
      <w:pPr>
        <w:pStyle w:val="Amain"/>
        <w:keepNext/>
      </w:pPr>
      <w:r>
        <w:tab/>
        <w:t>(1)</w:t>
      </w:r>
      <w:r>
        <w:tab/>
        <w:t>The court may appoint any of the following as an examiner:</w:t>
      </w:r>
    </w:p>
    <w:p w14:paraId="5E7D8715" w14:textId="77777777" w:rsidR="00D94935" w:rsidRDefault="00D94935" w:rsidP="00D94935">
      <w:pPr>
        <w:pStyle w:val="Apara"/>
      </w:pPr>
      <w:r>
        <w:tab/>
        <w:t>(a)</w:t>
      </w:r>
      <w:r>
        <w:tab/>
        <w:t>a judicial officer or other officer of the court;</w:t>
      </w:r>
    </w:p>
    <w:p w14:paraId="10B40DC5" w14:textId="77777777" w:rsidR="00D94935" w:rsidRDefault="00D94935" w:rsidP="00D94935">
      <w:pPr>
        <w:pStyle w:val="Apara"/>
      </w:pPr>
      <w:r>
        <w:tab/>
        <w:t>(b)</w:t>
      </w:r>
      <w:r>
        <w:tab/>
        <w:t>anyone else it considers appropriate.</w:t>
      </w:r>
    </w:p>
    <w:p w14:paraId="6680E993" w14:textId="77777777" w:rsidR="00D94935" w:rsidRDefault="00D94935" w:rsidP="00D94935">
      <w:pPr>
        <w:pStyle w:val="Amain"/>
      </w:pPr>
      <w:r>
        <w:tab/>
        <w:t>(2)</w:t>
      </w:r>
      <w:r>
        <w:tab/>
        <w:t>A judicial officer or other officer of the Supreme Court may only be appointed with the agreement of the Chief Justice.</w:t>
      </w:r>
    </w:p>
    <w:p w14:paraId="7A8D9047" w14:textId="77777777" w:rsidR="00D94935" w:rsidRDefault="00D94935" w:rsidP="00D94935">
      <w:pPr>
        <w:pStyle w:val="Amain"/>
      </w:pPr>
      <w:r>
        <w:tab/>
        <w:t>(3)</w:t>
      </w:r>
      <w:r>
        <w:tab/>
        <w:t>A judicial officer or other officer of the Magistrates Court may only be appointed with the agreement of the Chief Magistrate.</w:t>
      </w:r>
    </w:p>
    <w:p w14:paraId="23E4F8DE" w14:textId="561197FD" w:rsidR="00D94935" w:rsidRDefault="00D94935" w:rsidP="00D94935">
      <w:pPr>
        <w:pStyle w:val="Amain"/>
      </w:pPr>
      <w:r>
        <w:tab/>
        <w:t>(4)</w:t>
      </w:r>
      <w:r>
        <w:tab/>
        <w:t xml:space="preserve">The </w:t>
      </w:r>
      <w:hyperlink r:id="rId894" w:tooltip="A2001-14" w:history="1">
        <w:r w:rsidRPr="006364FA">
          <w:rPr>
            <w:rStyle w:val="charCitHyperlinkAbbrev"/>
          </w:rPr>
          <w:t>Legislation Act</w:t>
        </w:r>
      </w:hyperlink>
      <w:r>
        <w:t>, part 19.3 (Appointments) does not apply to an appointment under this rule.</w:t>
      </w:r>
    </w:p>
    <w:p w14:paraId="222C26E8" w14:textId="77777777" w:rsidR="00D94935" w:rsidRDefault="00D94935" w:rsidP="00D94935">
      <w:pPr>
        <w:pStyle w:val="AH5Sec"/>
      </w:pPr>
      <w:bookmarkStart w:id="1830" w:name="_Toc185515446"/>
      <w:r w:rsidRPr="00C8328B">
        <w:rPr>
          <w:rStyle w:val="CharSectNo"/>
        </w:rPr>
        <w:t>6817</w:t>
      </w:r>
      <w:r>
        <w:tab/>
        <w:t>Documents for examiner</w:t>
      </w:r>
      <w:bookmarkEnd w:id="1830"/>
    </w:p>
    <w:p w14:paraId="12DD45FC" w14:textId="77777777"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14:paraId="4DD294C3" w14:textId="77777777"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14:paraId="22A1C9DE"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14:paraId="33CA1900" w14:textId="77777777" w:rsidR="00D94935" w:rsidRDefault="00D94935" w:rsidP="00D94935">
      <w:pPr>
        <w:pStyle w:val="Amain"/>
      </w:pPr>
      <w:r>
        <w:lastRenderedPageBreak/>
        <w:tab/>
        <w:t>(3)</w:t>
      </w:r>
      <w:r>
        <w:tab/>
        <w:t>Subrule (1) does not apply if the examiner is a judicial officer or other officer of the court.</w:t>
      </w:r>
    </w:p>
    <w:p w14:paraId="6B2DD62F" w14:textId="77777777" w:rsidR="00D94935" w:rsidRDefault="00D94935" w:rsidP="00D94935">
      <w:pPr>
        <w:pStyle w:val="AH5Sec"/>
      </w:pPr>
      <w:bookmarkStart w:id="1831" w:name="_Toc185515447"/>
      <w:r w:rsidRPr="00C8328B">
        <w:rPr>
          <w:rStyle w:val="CharSectNo"/>
        </w:rPr>
        <w:t>6818</w:t>
      </w:r>
      <w:r>
        <w:tab/>
        <w:t>Time and place of examination etc</w:t>
      </w:r>
      <w:bookmarkEnd w:id="1831"/>
    </w:p>
    <w:p w14:paraId="587ECA53" w14:textId="77777777" w:rsidR="00D94935" w:rsidRDefault="00D94935" w:rsidP="00D94935">
      <w:pPr>
        <w:pStyle w:val="Amain"/>
        <w:keepNext/>
      </w:pPr>
      <w:r>
        <w:tab/>
        <w:t>(1)</w:t>
      </w:r>
      <w:r>
        <w:tab/>
        <w:t>The examiner must set the time and place for the examination, unless the court otherwise orders.</w:t>
      </w:r>
    </w:p>
    <w:p w14:paraId="1324B8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2CFAAF7" w14:textId="77777777" w:rsidR="00D94935" w:rsidRDefault="00D94935" w:rsidP="00D94935">
      <w:pPr>
        <w:pStyle w:val="Amain"/>
      </w:pPr>
      <w:r>
        <w:tab/>
        <w:t>(2)</w:t>
      </w:r>
      <w:r>
        <w:tab/>
        <w:t>The time set must be as soon as practicable after the making of the examination order.</w:t>
      </w:r>
    </w:p>
    <w:p w14:paraId="73DE6EB7" w14:textId="77777777"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14:paraId="374A4A09" w14:textId="77777777"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14:paraId="380706DF" w14:textId="77777777"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14:paraId="009F7D6B" w14:textId="77777777" w:rsidR="00D94935" w:rsidRDefault="00D94935" w:rsidP="00D94935">
      <w:pPr>
        <w:pStyle w:val="AH5Sec"/>
      </w:pPr>
      <w:bookmarkStart w:id="1832" w:name="_Toc185515448"/>
      <w:r w:rsidRPr="00C8328B">
        <w:rPr>
          <w:rStyle w:val="CharSectNo"/>
        </w:rPr>
        <w:t>6819</w:t>
      </w:r>
      <w:r>
        <w:tab/>
        <w:t>Conduct of examination</w:t>
      </w:r>
      <w:bookmarkEnd w:id="1832"/>
    </w:p>
    <w:p w14:paraId="019B34A3" w14:textId="77777777" w:rsidR="00D94935" w:rsidRDefault="00D94935" w:rsidP="00D94935">
      <w:pPr>
        <w:pStyle w:val="Amain"/>
        <w:keepNext/>
      </w:pPr>
      <w:r>
        <w:tab/>
        <w:t>(1)</w:t>
      </w:r>
      <w:r>
        <w:tab/>
        <w:t>Subject to this division, an examination must be conducted in accordance with the procedure of the court.</w:t>
      </w:r>
    </w:p>
    <w:p w14:paraId="3A3EFEA0" w14:textId="77777777"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14:paraId="1DBB01F3" w14:textId="77777777" w:rsidR="00D94935" w:rsidRDefault="00D94935" w:rsidP="00D94935">
      <w:pPr>
        <w:pStyle w:val="Amain"/>
      </w:pPr>
      <w:r>
        <w:tab/>
        <w:t>(2)</w:t>
      </w:r>
      <w:r>
        <w:tab/>
        <w:t>Each party to the proceeding and each party’s counsel and solicitor may attend the examination.</w:t>
      </w:r>
    </w:p>
    <w:p w14:paraId="2A468CE3" w14:textId="77777777" w:rsidR="00D94935" w:rsidRDefault="00D94935" w:rsidP="00D94935">
      <w:pPr>
        <w:pStyle w:val="Amain"/>
      </w:pPr>
      <w:r>
        <w:tab/>
        <w:t>(3)</w:t>
      </w:r>
      <w:r>
        <w:tab/>
        <w:t>The person examined may be cross-examined and re-examined, unless the court otherwise orders.</w:t>
      </w:r>
    </w:p>
    <w:p w14:paraId="6F97B07C" w14:textId="77777777"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14:paraId="295A84F4"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10AB3A84" w14:textId="77777777" w:rsidR="00D94935" w:rsidRDefault="00D94935" w:rsidP="00D94935">
      <w:pPr>
        <w:pStyle w:val="Amain"/>
      </w:pPr>
      <w:r>
        <w:tab/>
        <w:t>(5)</w:t>
      </w:r>
      <w:r>
        <w:tab/>
        <w:t>The examiner may put any question to the person being examined about—</w:t>
      </w:r>
    </w:p>
    <w:p w14:paraId="13F0A46F" w14:textId="77777777" w:rsidR="00D94935" w:rsidRDefault="00D94935" w:rsidP="00D94935">
      <w:pPr>
        <w:pStyle w:val="Apara"/>
      </w:pPr>
      <w:r>
        <w:tab/>
        <w:t>(a)</w:t>
      </w:r>
      <w:r>
        <w:tab/>
        <w:t xml:space="preserve">the meaning of an answer given by the person; or </w:t>
      </w:r>
    </w:p>
    <w:p w14:paraId="11E0FEEF" w14:textId="77777777" w:rsidR="00D94935" w:rsidRDefault="00D94935" w:rsidP="00D94935">
      <w:pPr>
        <w:pStyle w:val="Apara"/>
      </w:pPr>
      <w:r>
        <w:tab/>
        <w:t>(b)</w:t>
      </w:r>
      <w:r>
        <w:tab/>
        <w:t xml:space="preserve">anything arising during the examination, cross-examination or re-examination. </w:t>
      </w:r>
    </w:p>
    <w:p w14:paraId="7FA0CAAC" w14:textId="77777777" w:rsidR="00D94935" w:rsidRDefault="00D94935" w:rsidP="00D94935">
      <w:pPr>
        <w:pStyle w:val="Amain"/>
      </w:pPr>
      <w:r>
        <w:tab/>
        <w:t>(6)</w:t>
      </w:r>
      <w:r>
        <w:tab/>
        <w:t>The examiner may adjourn the examination from time to time or from place to place.</w:t>
      </w:r>
    </w:p>
    <w:p w14:paraId="568C1CFF" w14:textId="77777777" w:rsidR="00D94935" w:rsidRDefault="00D94935" w:rsidP="00D94935">
      <w:pPr>
        <w:pStyle w:val="AH5Sec"/>
      </w:pPr>
      <w:bookmarkStart w:id="1833" w:name="_Toc185515449"/>
      <w:r w:rsidRPr="00C8328B">
        <w:rPr>
          <w:rStyle w:val="CharSectNo"/>
        </w:rPr>
        <w:t>6820</w:t>
      </w:r>
      <w:r>
        <w:tab/>
        <w:t>Examination of additional people</w:t>
      </w:r>
      <w:bookmarkEnd w:id="1833"/>
    </w:p>
    <w:p w14:paraId="58414DDC" w14:textId="77777777"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14:paraId="5C54C7F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14:paraId="3B89114C" w14:textId="77777777"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14:paraId="14696907" w14:textId="77777777"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14:paraId="2AEEF1E8" w14:textId="77777777" w:rsidR="00D94935" w:rsidRDefault="00D94935" w:rsidP="00D94935">
      <w:pPr>
        <w:pStyle w:val="AH5Sec"/>
      </w:pPr>
      <w:bookmarkStart w:id="1834" w:name="_Toc185515450"/>
      <w:r w:rsidRPr="00C8328B">
        <w:rPr>
          <w:rStyle w:val="CharSectNo"/>
        </w:rPr>
        <w:lastRenderedPageBreak/>
        <w:t>6821</w:t>
      </w:r>
      <w:r>
        <w:tab/>
        <w:t>Objections by party or person being examined</w:t>
      </w:r>
      <w:bookmarkEnd w:id="1834"/>
    </w:p>
    <w:p w14:paraId="2BC32C3F" w14:textId="77777777" w:rsidR="00D94935" w:rsidRDefault="00D94935" w:rsidP="00804D8A">
      <w:pPr>
        <w:pStyle w:val="Amain"/>
        <w:keepNext/>
      </w:pPr>
      <w:r>
        <w:tab/>
        <w:t>(1)</w:t>
      </w:r>
      <w:r>
        <w:tab/>
        <w:t>This rule applies if—</w:t>
      </w:r>
    </w:p>
    <w:p w14:paraId="798533FE" w14:textId="77777777" w:rsidR="00D94935" w:rsidRDefault="00D94935" w:rsidP="00804D8A">
      <w:pPr>
        <w:pStyle w:val="Apara"/>
        <w:keepNext/>
      </w:pPr>
      <w:r>
        <w:tab/>
        <w:t>(a)</w:t>
      </w:r>
      <w:r>
        <w:tab/>
        <w:t>the examiner is not a judicial officer of a court; and</w:t>
      </w:r>
    </w:p>
    <w:p w14:paraId="06287F94" w14:textId="77777777" w:rsidR="00D94935" w:rsidRDefault="00D94935" w:rsidP="00B57E97">
      <w:pPr>
        <w:pStyle w:val="Apara"/>
        <w:keepNext/>
      </w:pPr>
      <w:r>
        <w:tab/>
        <w:t>(b)</w:t>
      </w:r>
      <w:r>
        <w:tab/>
        <w:t>either—</w:t>
      </w:r>
    </w:p>
    <w:p w14:paraId="5AB2FE3F" w14:textId="77777777" w:rsidR="00D94935" w:rsidRDefault="00D94935" w:rsidP="00D94935">
      <w:pPr>
        <w:pStyle w:val="Asubpara"/>
      </w:pPr>
      <w:r>
        <w:tab/>
        <w:t>(i)</w:t>
      </w:r>
      <w:r>
        <w:tab/>
        <w:t>a party to the proceeding objects to a question put to a person being examined; or</w:t>
      </w:r>
    </w:p>
    <w:p w14:paraId="1FD09A8B" w14:textId="77777777" w:rsidR="00D94935" w:rsidRDefault="00D94935" w:rsidP="00D94935">
      <w:pPr>
        <w:pStyle w:val="Asubpara"/>
      </w:pPr>
      <w:r>
        <w:tab/>
        <w:t>(ii)</w:t>
      </w:r>
      <w:r>
        <w:tab/>
        <w:t>a person being examined objects to answering a question or producing a document or thing.</w:t>
      </w:r>
    </w:p>
    <w:p w14:paraId="20C5904D" w14:textId="77777777" w:rsidR="00D94935" w:rsidRDefault="00D94935" w:rsidP="00D94935">
      <w:pPr>
        <w:pStyle w:val="Amain"/>
      </w:pPr>
      <w:r>
        <w:tab/>
        <w:t>(2)</w:t>
      </w:r>
      <w:r>
        <w:tab/>
        <w:t xml:space="preserve">The examiner must state to the parties the examiner’s opinion, but must not decide, on the validity of the objection. </w:t>
      </w:r>
    </w:p>
    <w:p w14:paraId="563DB097" w14:textId="77777777"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14:paraId="17AC69CC" w14:textId="77777777" w:rsidR="00D94935" w:rsidRDefault="00D94935" w:rsidP="00D94935">
      <w:pPr>
        <w:pStyle w:val="Apara"/>
      </w:pPr>
      <w:r>
        <w:tab/>
        <w:t>(a)</w:t>
      </w:r>
      <w:r>
        <w:tab/>
        <w:t>the question;</w:t>
      </w:r>
    </w:p>
    <w:p w14:paraId="4C6381E3" w14:textId="77777777" w:rsidR="00D94935" w:rsidRDefault="00D94935" w:rsidP="00D94935">
      <w:pPr>
        <w:pStyle w:val="Apara"/>
      </w:pPr>
      <w:r>
        <w:tab/>
        <w:t>(b)</w:t>
      </w:r>
      <w:r>
        <w:tab/>
        <w:t>the ground for the objection;</w:t>
      </w:r>
    </w:p>
    <w:p w14:paraId="207AC5F2" w14:textId="77777777" w:rsidR="00D94935" w:rsidRDefault="00D94935" w:rsidP="00D94935">
      <w:pPr>
        <w:pStyle w:val="Apara"/>
      </w:pPr>
      <w:r>
        <w:tab/>
        <w:t>(c)</w:t>
      </w:r>
      <w:r>
        <w:tab/>
        <w:t>the examiner’s opinion;</w:t>
      </w:r>
    </w:p>
    <w:p w14:paraId="21089EA5" w14:textId="77777777" w:rsidR="00D94935" w:rsidRDefault="00D94935" w:rsidP="00D94935">
      <w:pPr>
        <w:pStyle w:val="Apara"/>
      </w:pPr>
      <w:r>
        <w:tab/>
        <w:t>(d)</w:t>
      </w:r>
      <w:r>
        <w:tab/>
        <w:t>except if the objection is based on privilege, the answer.</w:t>
      </w:r>
    </w:p>
    <w:p w14:paraId="62BAEF97" w14:textId="77777777" w:rsidR="00D94935" w:rsidRDefault="00D94935" w:rsidP="00D94935">
      <w:pPr>
        <w:pStyle w:val="Amain"/>
        <w:keepNext/>
      </w:pPr>
      <w:r>
        <w:tab/>
        <w:t>(4)</w:t>
      </w:r>
      <w:r>
        <w:tab/>
        <w:t>On application by a party, the court may decide the validity of the objection.</w:t>
      </w:r>
    </w:p>
    <w:p w14:paraId="388650E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14:paraId="13DB11C7" w14:textId="77777777" w:rsidR="00D94935" w:rsidRDefault="00D94935" w:rsidP="00D94935">
      <w:pPr>
        <w:pStyle w:val="Amain"/>
      </w:pPr>
      <w:r>
        <w:tab/>
        <w:t>(5)</w:t>
      </w:r>
      <w:r>
        <w:tab/>
        <w:t>If the court disallows the objection, it may—</w:t>
      </w:r>
    </w:p>
    <w:p w14:paraId="5645C0EE" w14:textId="77777777" w:rsidR="00D94935" w:rsidRDefault="00D94935" w:rsidP="00D94935">
      <w:pPr>
        <w:pStyle w:val="Apara"/>
      </w:pPr>
      <w:r>
        <w:tab/>
        <w:t>(a)</w:t>
      </w:r>
      <w:r>
        <w:tab/>
        <w:t>remit the examination back to the examiner with any necessary direction about the conduct of the examination; and</w:t>
      </w:r>
    </w:p>
    <w:p w14:paraId="4D0748CC" w14:textId="77777777" w:rsidR="00D94935" w:rsidRDefault="00D94935" w:rsidP="00D94935">
      <w:pPr>
        <w:pStyle w:val="Apara"/>
      </w:pPr>
      <w:r>
        <w:tab/>
        <w:t>(b)</w:t>
      </w:r>
      <w:r>
        <w:tab/>
        <w:t>make an order for the costs caused by the objection, including an order for costs against the person being examined.</w:t>
      </w:r>
    </w:p>
    <w:p w14:paraId="2B8087E3" w14:textId="77777777" w:rsidR="00D94935" w:rsidRDefault="00D94935" w:rsidP="00D94935">
      <w:pPr>
        <w:pStyle w:val="AH5Sec"/>
      </w:pPr>
      <w:bookmarkStart w:id="1835" w:name="_Toc185515451"/>
      <w:r w:rsidRPr="00C8328B">
        <w:rPr>
          <w:rStyle w:val="CharSectNo"/>
        </w:rPr>
        <w:lastRenderedPageBreak/>
        <w:t>6822</w:t>
      </w:r>
      <w:r>
        <w:tab/>
        <w:t>Recording evidence of examination</w:t>
      </w:r>
      <w:bookmarkEnd w:id="1835"/>
    </w:p>
    <w:p w14:paraId="7CE9D7C4" w14:textId="77777777" w:rsidR="00D94935" w:rsidRDefault="00D94935" w:rsidP="00D94935">
      <w:pPr>
        <w:pStyle w:val="Amain"/>
      </w:pPr>
      <w:r>
        <w:tab/>
        <w:t>(1)</w:t>
      </w:r>
      <w:r>
        <w:tab/>
        <w:t>The examiner must ensure evidence given at the examination is recorded, in writing or in another way, and authenticated by the examiner.</w:t>
      </w:r>
    </w:p>
    <w:p w14:paraId="32078545" w14:textId="77777777" w:rsidR="00D94935" w:rsidRDefault="00D94935" w:rsidP="00D94935">
      <w:pPr>
        <w:pStyle w:val="Amain"/>
      </w:pPr>
      <w:r>
        <w:tab/>
        <w:t>(2)</w:t>
      </w:r>
      <w:r>
        <w:tab/>
        <w:t>The court or the examiner may give directions for making an audiovisual recording of the evidence at the examination.</w:t>
      </w:r>
    </w:p>
    <w:p w14:paraId="659086B3" w14:textId="77777777" w:rsidR="00D94935" w:rsidRDefault="00D94935" w:rsidP="00D94935">
      <w:pPr>
        <w:pStyle w:val="Amain"/>
      </w:pPr>
      <w:r>
        <w:tab/>
        <w:t>(3)</w:t>
      </w:r>
      <w:r>
        <w:tab/>
        <w:t>If a transcript of the evidence is prepared, the person who prepares the transcript must certify that it is a correct transcript of the evidence recorded.</w:t>
      </w:r>
    </w:p>
    <w:p w14:paraId="748C6AAC" w14:textId="77777777" w:rsidR="00D94935" w:rsidRDefault="00D94935" w:rsidP="00D94935">
      <w:pPr>
        <w:pStyle w:val="Amain"/>
      </w:pPr>
      <w:r>
        <w:tab/>
        <w:t>(4)</w:t>
      </w:r>
      <w:r>
        <w:tab/>
        <w:t>The examiner must authenticate and sign any deposition or other recording.</w:t>
      </w:r>
    </w:p>
    <w:p w14:paraId="49E54D08" w14:textId="77777777" w:rsidR="00D94935" w:rsidRDefault="00D94935" w:rsidP="00D94935">
      <w:pPr>
        <w:pStyle w:val="Amain"/>
      </w:pPr>
      <w:r>
        <w:tab/>
        <w:t>(5)</w:t>
      </w:r>
      <w:r>
        <w:tab/>
        <w:t>If evidence given at an examination is recorded in a deposition, it must—</w:t>
      </w:r>
    </w:p>
    <w:p w14:paraId="7CC9122E" w14:textId="77777777" w:rsidR="00D94935" w:rsidRDefault="00D94935" w:rsidP="00D94935">
      <w:pPr>
        <w:pStyle w:val="Apara"/>
      </w:pPr>
      <w:r>
        <w:tab/>
        <w:t>(a)</w:t>
      </w:r>
      <w:r>
        <w:tab/>
        <w:t xml:space="preserve">contain, in question and answer form, the evidence of the person examined; and </w:t>
      </w:r>
    </w:p>
    <w:p w14:paraId="48CB6C97" w14:textId="77777777" w:rsidR="00D94935" w:rsidRDefault="00D94935" w:rsidP="00D94935">
      <w:pPr>
        <w:pStyle w:val="Apara"/>
      </w:pPr>
      <w:r>
        <w:tab/>
        <w:t>(b)</w:t>
      </w:r>
      <w:r>
        <w:tab/>
        <w:t>be transcribed and read over by or to the person examined in the examiner’s presence and in the presence of the parties wishing to attend; and</w:t>
      </w:r>
    </w:p>
    <w:p w14:paraId="3F11BCB0" w14:textId="77777777" w:rsidR="00D94935" w:rsidRDefault="00D94935" w:rsidP="00D94935">
      <w:pPr>
        <w:pStyle w:val="Apara"/>
      </w:pPr>
      <w:r>
        <w:tab/>
        <w:t>(c)</w:t>
      </w:r>
      <w:r>
        <w:tab/>
        <w:t>be signed by the person examined or, if the person refuses to sign the deposition, by the examiner for the person.</w:t>
      </w:r>
    </w:p>
    <w:p w14:paraId="268091FE" w14:textId="77777777" w:rsidR="00D94935" w:rsidRDefault="00D94935" w:rsidP="00D94935">
      <w:pPr>
        <w:pStyle w:val="AH5Sec"/>
      </w:pPr>
      <w:bookmarkStart w:id="1836" w:name="_Toc185515452"/>
      <w:r w:rsidRPr="00C8328B">
        <w:rPr>
          <w:rStyle w:val="CharSectNo"/>
        </w:rPr>
        <w:t>6823</w:t>
      </w:r>
      <w:r>
        <w:tab/>
        <w:t>Authentication and filing of deposition of examination etc</w:t>
      </w:r>
      <w:bookmarkEnd w:id="1836"/>
    </w:p>
    <w:p w14:paraId="2D6D7FE3" w14:textId="77777777" w:rsidR="00D94935" w:rsidRDefault="00D94935" w:rsidP="00D94935">
      <w:pPr>
        <w:pStyle w:val="Amain"/>
        <w:keepNext/>
      </w:pPr>
      <w:r>
        <w:tab/>
        <w:t>(1)</w:t>
      </w:r>
      <w:r>
        <w:tab/>
        <w:t>This rule applies if a deposition under rule 6822 (Recording evidence of examination) is produced.</w:t>
      </w:r>
    </w:p>
    <w:p w14:paraId="5CCFED4C" w14:textId="77777777"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14:paraId="2FCF618A" w14:textId="77777777" w:rsidR="00D94935" w:rsidRDefault="00D94935" w:rsidP="00D94935">
      <w:pPr>
        <w:pStyle w:val="Amain"/>
        <w:keepNext/>
      </w:pPr>
      <w:r>
        <w:tab/>
        <w:t>(3)</w:t>
      </w:r>
      <w:r>
        <w:tab/>
        <w:t>The examiner must send the following to the registrar:</w:t>
      </w:r>
    </w:p>
    <w:p w14:paraId="41DDB84F" w14:textId="77777777" w:rsidR="00D94935" w:rsidRDefault="00D94935" w:rsidP="00D94935">
      <w:pPr>
        <w:pStyle w:val="Apara"/>
      </w:pPr>
      <w:r>
        <w:tab/>
        <w:t>(a)</w:t>
      </w:r>
      <w:r>
        <w:tab/>
        <w:t>the original record of the deposition;</w:t>
      </w:r>
    </w:p>
    <w:p w14:paraId="71F48BFB" w14:textId="77777777" w:rsidR="00D94935" w:rsidRDefault="00D94935" w:rsidP="00D94935">
      <w:pPr>
        <w:pStyle w:val="Apara"/>
      </w:pPr>
      <w:r>
        <w:lastRenderedPageBreak/>
        <w:tab/>
        <w:t>(b)</w:t>
      </w:r>
      <w:r>
        <w:tab/>
        <w:t>any transcript of that record;</w:t>
      </w:r>
    </w:p>
    <w:p w14:paraId="4DAB21DB" w14:textId="77777777" w:rsidR="00D94935" w:rsidRDefault="00D94935" w:rsidP="00D94935">
      <w:pPr>
        <w:pStyle w:val="Apara"/>
      </w:pPr>
      <w:r>
        <w:tab/>
        <w:t>(c)</w:t>
      </w:r>
      <w:r>
        <w:tab/>
        <w:t>any audiovisual recording;</w:t>
      </w:r>
    </w:p>
    <w:p w14:paraId="393EAA32" w14:textId="77777777" w:rsidR="00D94935" w:rsidRDefault="00D94935" w:rsidP="00D94935">
      <w:pPr>
        <w:pStyle w:val="Apara"/>
      </w:pPr>
      <w:r>
        <w:tab/>
        <w:t>(d)</w:t>
      </w:r>
      <w:r>
        <w:tab/>
        <w:t>any exhibits obtained during the examination.</w:t>
      </w:r>
    </w:p>
    <w:p w14:paraId="34141FA0" w14:textId="77777777" w:rsidR="00D94935" w:rsidRDefault="00D94935" w:rsidP="00D94935">
      <w:pPr>
        <w:pStyle w:val="Amain"/>
      </w:pPr>
      <w:r>
        <w:tab/>
        <w:t>(4)</w:t>
      </w:r>
      <w:r>
        <w:tab/>
        <w:t>The registrar must file in the court the documents mentioned in subrule (3) (a) and (b).</w:t>
      </w:r>
    </w:p>
    <w:p w14:paraId="030E0057" w14:textId="77777777" w:rsidR="00D94935" w:rsidRDefault="00D94935" w:rsidP="00D94935">
      <w:pPr>
        <w:pStyle w:val="AH5Sec"/>
      </w:pPr>
      <w:bookmarkStart w:id="1837" w:name="_Toc185515453"/>
      <w:r w:rsidRPr="00C8328B">
        <w:rPr>
          <w:rStyle w:val="CharSectNo"/>
        </w:rPr>
        <w:t>6824</w:t>
      </w:r>
      <w:r>
        <w:tab/>
        <w:t>Special report on examination</w:t>
      </w:r>
      <w:bookmarkEnd w:id="1837"/>
    </w:p>
    <w:p w14:paraId="4B2FBA75" w14:textId="77777777" w:rsidR="00D94935" w:rsidRDefault="00D94935" w:rsidP="00D94935">
      <w:pPr>
        <w:pStyle w:val="Amainreturn"/>
      </w:pPr>
      <w:r>
        <w:t>An examiner may report to the court on—</w:t>
      </w:r>
    </w:p>
    <w:p w14:paraId="011104D5" w14:textId="77777777" w:rsidR="00D94935" w:rsidRDefault="00D94935" w:rsidP="00D94935">
      <w:pPr>
        <w:pStyle w:val="Apara"/>
      </w:pPr>
      <w:r>
        <w:tab/>
        <w:t>(a)</w:t>
      </w:r>
      <w:r>
        <w:tab/>
        <w:t>the examination; or</w:t>
      </w:r>
    </w:p>
    <w:p w14:paraId="04F32032" w14:textId="77777777" w:rsidR="00D94935" w:rsidRDefault="00D94935" w:rsidP="00D94935">
      <w:pPr>
        <w:pStyle w:val="Apara"/>
      </w:pPr>
      <w:r>
        <w:tab/>
        <w:t>(b)</w:t>
      </w:r>
      <w:r>
        <w:tab/>
        <w:t>the absence of a person from the examination; or</w:t>
      </w:r>
    </w:p>
    <w:p w14:paraId="7E26D635" w14:textId="77777777" w:rsidR="00D94935" w:rsidRDefault="00D94935" w:rsidP="00D94935">
      <w:pPr>
        <w:pStyle w:val="Apara"/>
      </w:pPr>
      <w:r>
        <w:tab/>
        <w:t>(c)</w:t>
      </w:r>
      <w:r>
        <w:tab/>
        <w:t>the conduct of a person at the examination.</w:t>
      </w:r>
    </w:p>
    <w:p w14:paraId="32F4B5DC" w14:textId="77777777" w:rsidR="00D94935" w:rsidRDefault="00D94935" w:rsidP="00D94935">
      <w:pPr>
        <w:pStyle w:val="AH5Sec"/>
      </w:pPr>
      <w:bookmarkStart w:id="1838" w:name="_Toc185515454"/>
      <w:r w:rsidRPr="00C8328B">
        <w:rPr>
          <w:rStyle w:val="CharSectNo"/>
        </w:rPr>
        <w:t>6825</w:t>
      </w:r>
      <w:r>
        <w:tab/>
        <w:t>Default of witness at examination</w:t>
      </w:r>
      <w:bookmarkEnd w:id="1838"/>
    </w:p>
    <w:p w14:paraId="70F18439" w14:textId="77777777" w:rsidR="00D94935" w:rsidRDefault="00D94935" w:rsidP="00D94935">
      <w:pPr>
        <w:pStyle w:val="Amain"/>
        <w:keepNext/>
      </w:pPr>
      <w:r>
        <w:tab/>
        <w:t>(1)</w:t>
      </w:r>
      <w:r>
        <w:tab/>
        <w:t>This rule applies if–</w:t>
      </w:r>
    </w:p>
    <w:p w14:paraId="7C6A6D99" w14:textId="77777777"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14:paraId="19FB8031" w14:textId="77777777" w:rsidR="00D94935" w:rsidRDefault="00D94935" w:rsidP="00D94935">
      <w:pPr>
        <w:pStyle w:val="Apara"/>
      </w:pPr>
      <w:r>
        <w:tab/>
        <w:t>(b)</w:t>
      </w:r>
      <w:r>
        <w:tab/>
        <w:t>the person does not attend or refuses to take an oath for the examination, answer a lawful question or produce a document or thing.</w:t>
      </w:r>
    </w:p>
    <w:p w14:paraId="6071AA25" w14:textId="77777777" w:rsidR="00D94935" w:rsidRDefault="00D94935" w:rsidP="00D94935">
      <w:pPr>
        <w:pStyle w:val="Amain"/>
      </w:pPr>
      <w:r>
        <w:tab/>
        <w:t>(2)</w:t>
      </w:r>
      <w:r>
        <w:tab/>
        <w:t>The examiner must, if asked by a party, give the party a certificate signed by the examiner of the facts mentioned in subrule (1).</w:t>
      </w:r>
    </w:p>
    <w:p w14:paraId="03993F30" w14:textId="77777777" w:rsidR="00D94935" w:rsidRDefault="00D94935" w:rsidP="00D94935">
      <w:pPr>
        <w:pStyle w:val="Amain"/>
      </w:pPr>
      <w:r>
        <w:tab/>
        <w:t>(3)</w:t>
      </w:r>
      <w:r>
        <w:tab/>
        <w:t>On the filing of the certificate, on application by any party, the court may order the person—</w:t>
      </w:r>
    </w:p>
    <w:p w14:paraId="2919BD93" w14:textId="77777777" w:rsidR="00D94935" w:rsidRDefault="00D94935" w:rsidP="00D94935">
      <w:pPr>
        <w:pStyle w:val="Apara"/>
      </w:pPr>
      <w:r>
        <w:tab/>
        <w:t>(a)</w:t>
      </w:r>
      <w:r>
        <w:tab/>
        <w:t>to attend before the examiner, be sworn, answer the question or to produce the document or thing; and</w:t>
      </w:r>
    </w:p>
    <w:p w14:paraId="5B8A7F86" w14:textId="77777777" w:rsidR="00D94935" w:rsidRDefault="00D94935" w:rsidP="00D94935">
      <w:pPr>
        <w:pStyle w:val="Apara"/>
        <w:keepNext/>
      </w:pPr>
      <w:r>
        <w:lastRenderedPageBreak/>
        <w:tab/>
        <w:t>(b)</w:t>
      </w:r>
      <w:r>
        <w:tab/>
        <w:t>to pay any costs caused by the person’s refusal.</w:t>
      </w:r>
    </w:p>
    <w:p w14:paraId="6B4B30B0"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E97B730" w14:textId="77777777" w:rsidR="00D94935" w:rsidRDefault="00D94935" w:rsidP="00D94935">
      <w:pPr>
        <w:pStyle w:val="AH5Sec"/>
      </w:pPr>
      <w:bookmarkStart w:id="1839" w:name="_Toc185515455"/>
      <w:r w:rsidRPr="00C8328B">
        <w:rPr>
          <w:rStyle w:val="CharSectNo"/>
        </w:rPr>
        <w:t>6826</w:t>
      </w:r>
      <w:r>
        <w:tab/>
        <w:t>Costs of examination</w:t>
      </w:r>
      <w:bookmarkEnd w:id="1839"/>
    </w:p>
    <w:p w14:paraId="5D5B91F7" w14:textId="77777777" w:rsidR="00D94935" w:rsidRDefault="00D94935" w:rsidP="00D94935">
      <w:pPr>
        <w:pStyle w:val="Amainreturn"/>
        <w:keepNext/>
      </w:pPr>
      <w:r>
        <w:t>The court may make an order about the costs of an examination under an examination order.</w:t>
      </w:r>
    </w:p>
    <w:p w14:paraId="1CFB8F4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9B4EC8F" w14:textId="77777777" w:rsidR="00D94935" w:rsidRDefault="00D94935" w:rsidP="00D94935">
      <w:pPr>
        <w:pStyle w:val="AH5Sec"/>
      </w:pPr>
      <w:bookmarkStart w:id="1840" w:name="_Toc185515456"/>
      <w:r w:rsidRPr="00C8328B">
        <w:rPr>
          <w:rStyle w:val="CharSectNo"/>
        </w:rPr>
        <w:t>6827</w:t>
      </w:r>
      <w:r>
        <w:tab/>
        <w:t>Witness expenses for witness at examination</w:t>
      </w:r>
      <w:bookmarkEnd w:id="1840"/>
    </w:p>
    <w:p w14:paraId="2CE4329F" w14:textId="77777777"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14:paraId="4976BD3A" w14:textId="77777777" w:rsidR="00D94935" w:rsidRDefault="00D94935" w:rsidP="00D94935">
      <w:pPr>
        <w:pStyle w:val="AH5Sec"/>
      </w:pPr>
      <w:bookmarkStart w:id="1841" w:name="_Toc185515457"/>
      <w:r w:rsidRPr="00C8328B">
        <w:rPr>
          <w:rStyle w:val="CharSectNo"/>
        </w:rPr>
        <w:t>6828</w:t>
      </w:r>
      <w:r>
        <w:tab/>
        <w:t>Admissibility of deposition of examination</w:t>
      </w:r>
      <w:bookmarkEnd w:id="1841"/>
    </w:p>
    <w:p w14:paraId="6B462E23" w14:textId="77777777" w:rsidR="00D94935" w:rsidRDefault="00D94935" w:rsidP="00D94935">
      <w:pPr>
        <w:pStyle w:val="Amain"/>
      </w:pPr>
      <w:r>
        <w:tab/>
        <w:t>(1)</w:t>
      </w:r>
      <w:r>
        <w:tab/>
        <w:t>A deposition under rule 6822 (Recording evidence of examination) is admissible in evidence at the trial of a proceeding only if—</w:t>
      </w:r>
    </w:p>
    <w:p w14:paraId="7E64ED45" w14:textId="77777777" w:rsidR="00D94935" w:rsidRDefault="00D94935" w:rsidP="00D94935">
      <w:pPr>
        <w:pStyle w:val="Apara"/>
      </w:pPr>
      <w:r>
        <w:tab/>
        <w:t>(a)</w:t>
      </w:r>
      <w:r>
        <w:tab/>
        <w:t>the deposition is made under an examination order; or</w:t>
      </w:r>
    </w:p>
    <w:p w14:paraId="00EF7A50" w14:textId="3F75164F" w:rsidR="00D94935" w:rsidRDefault="00D94935" w:rsidP="00D94935">
      <w:pPr>
        <w:pStyle w:val="Apara"/>
      </w:pPr>
      <w:r>
        <w:tab/>
        <w:t>(b)</w:t>
      </w:r>
      <w:r>
        <w:tab/>
        <w:t xml:space="preserve">the deposition is admissible under the </w:t>
      </w:r>
      <w:hyperlink r:id="rId895" w:tooltip="A2011-12" w:history="1">
        <w:r w:rsidRPr="00781093">
          <w:rPr>
            <w:rStyle w:val="charCitHyperlinkAbbrev"/>
          </w:rPr>
          <w:t>Evidence Act</w:t>
        </w:r>
      </w:hyperlink>
      <w:r>
        <w:t>; or</w:t>
      </w:r>
    </w:p>
    <w:p w14:paraId="7E34077B" w14:textId="77777777" w:rsidR="00D94935" w:rsidRDefault="00D94935" w:rsidP="00D94935">
      <w:pPr>
        <w:pStyle w:val="Apara"/>
        <w:keepNext/>
      </w:pPr>
      <w:r>
        <w:tab/>
        <w:t>(c)</w:t>
      </w:r>
      <w:r>
        <w:tab/>
        <w:t>a territory law provides for the deposition to be admissible.</w:t>
      </w:r>
    </w:p>
    <w:p w14:paraId="2D0FF146" w14:textId="4BDE705F"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96" w:tooltip="A2001-14" w:history="1">
        <w:r w:rsidRPr="006364FA">
          <w:rPr>
            <w:rStyle w:val="charCitHyperlinkAbbrev"/>
          </w:rPr>
          <w:t>Legislation Act</w:t>
        </w:r>
      </w:hyperlink>
      <w:r>
        <w:t>, s 98).</w:t>
      </w:r>
    </w:p>
    <w:p w14:paraId="57A7C58C" w14:textId="77777777" w:rsidR="00D94935" w:rsidRDefault="00D94935" w:rsidP="00D94935">
      <w:pPr>
        <w:pStyle w:val="Amain"/>
      </w:pPr>
      <w:r>
        <w:tab/>
        <w:t>(2)</w:t>
      </w:r>
      <w:r>
        <w:tab/>
        <w:t>A deposition purporting to be signed by the person before whom it was taken is receivable in evidence without proof of the signature of the person.</w:t>
      </w:r>
    </w:p>
    <w:p w14:paraId="5A5271C3" w14:textId="77777777" w:rsidR="00D94935" w:rsidRDefault="00D94935" w:rsidP="00D94935">
      <w:pPr>
        <w:pStyle w:val="AH5Sec"/>
      </w:pPr>
      <w:bookmarkStart w:id="1842" w:name="_Toc185515458"/>
      <w:r w:rsidRPr="00C8328B">
        <w:rPr>
          <w:rStyle w:val="CharSectNo"/>
        </w:rPr>
        <w:lastRenderedPageBreak/>
        <w:t>6829</w:t>
      </w:r>
      <w:r>
        <w:tab/>
        <w:t>Letter of request</w:t>
      </w:r>
      <w:bookmarkEnd w:id="1842"/>
    </w:p>
    <w:p w14:paraId="27E320E1" w14:textId="77777777" w:rsidR="00D94935" w:rsidRDefault="00D94935" w:rsidP="00804D8A">
      <w:pPr>
        <w:pStyle w:val="Amain"/>
        <w:keepNext/>
      </w:pPr>
      <w:r>
        <w:tab/>
        <w:t>(1)</w:t>
      </w:r>
      <w:r>
        <w:tab/>
        <w:t>This rule applies if an examination order is made for the issue of a letter of request to the judicial authority of a place outside the ACT.</w:t>
      </w:r>
    </w:p>
    <w:p w14:paraId="4F7125D0" w14:textId="77777777" w:rsidR="00D94935" w:rsidRDefault="00D94935" w:rsidP="00D94935">
      <w:pPr>
        <w:pStyle w:val="Amain"/>
      </w:pPr>
      <w:r>
        <w:tab/>
        <w:t>(2)</w:t>
      </w:r>
      <w:r>
        <w:tab/>
        <w:t>The party obtaining the order must give the registrar—</w:t>
      </w:r>
    </w:p>
    <w:p w14:paraId="42C480BE" w14:textId="77777777" w:rsidR="00D94935" w:rsidRDefault="00D94935" w:rsidP="00D94935">
      <w:pPr>
        <w:pStyle w:val="Apara"/>
      </w:pPr>
      <w:r>
        <w:tab/>
        <w:t>(a)</w:t>
      </w:r>
      <w:r>
        <w:tab/>
        <w:t>a draft of the letter of request; and</w:t>
      </w:r>
    </w:p>
    <w:p w14:paraId="078BCD3F" w14:textId="77777777" w:rsidR="00D94935" w:rsidRDefault="00D94935" w:rsidP="00D94935">
      <w:pPr>
        <w:pStyle w:val="Apara"/>
      </w:pPr>
      <w:r>
        <w:tab/>
        <w:t>(b)</w:t>
      </w:r>
      <w:r>
        <w:tab/>
        <w:t>any interrogatories and cross-interrogatories to accompany the letter of request; and</w:t>
      </w:r>
    </w:p>
    <w:p w14:paraId="194DA3A9" w14:textId="77777777"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14:paraId="528C3F98" w14:textId="77777777" w:rsidR="00D94935" w:rsidRDefault="00D94935" w:rsidP="00D94935">
      <w:pPr>
        <w:pStyle w:val="Apara"/>
      </w:pPr>
      <w:r>
        <w:tab/>
        <w:t>(d)</w:t>
      </w:r>
      <w:r>
        <w:tab/>
        <w:t>the further copies of each of the documents mentioned in paragraphs (a) and (b) that the registrar directs; and</w:t>
      </w:r>
    </w:p>
    <w:p w14:paraId="697082B5" w14:textId="77777777" w:rsidR="00D94935" w:rsidRDefault="00D94935" w:rsidP="00D94935">
      <w:pPr>
        <w:pStyle w:val="Apara"/>
      </w:pPr>
      <w:r>
        <w:tab/>
        <w:t>(e)</w:t>
      </w:r>
      <w:r>
        <w:tab/>
        <w:t>an undertaking in accordance with subrule (5).</w:t>
      </w:r>
    </w:p>
    <w:p w14:paraId="1C534774" w14:textId="77777777" w:rsidR="00D94935" w:rsidRDefault="00D94935" w:rsidP="00D94935">
      <w:pPr>
        <w:pStyle w:val="Amain"/>
      </w:pPr>
      <w:r>
        <w:tab/>
        <w:t>(3)</w:t>
      </w:r>
      <w:r>
        <w:tab/>
        <w:t>The translation mentioned in subrule (2) (c) must be certified, in writing, by the person making it to be a correct translation of the document.</w:t>
      </w:r>
    </w:p>
    <w:p w14:paraId="41E8DD9F" w14:textId="77777777" w:rsidR="00D94935" w:rsidRDefault="00D94935" w:rsidP="00D94935">
      <w:pPr>
        <w:pStyle w:val="Amain"/>
      </w:pPr>
      <w:r>
        <w:tab/>
        <w:t>(4)</w:t>
      </w:r>
      <w:r>
        <w:tab/>
        <w:t>The certificate of the person making the translation must also state the person’s full name and address and qualifications for making the translation.</w:t>
      </w:r>
    </w:p>
    <w:p w14:paraId="1D8AE43F" w14:textId="77777777" w:rsidR="00D94935" w:rsidRDefault="00D94935" w:rsidP="00D94935">
      <w:pPr>
        <w:pStyle w:val="Amain"/>
      </w:pPr>
      <w:r>
        <w:tab/>
        <w:t>(5)</w:t>
      </w:r>
      <w:r>
        <w:tab/>
        <w:t>The undertaking given to the registrar under subrule (2) must be an undertaking by the party obtaining the order, or the party’s solicitor—</w:t>
      </w:r>
    </w:p>
    <w:p w14:paraId="7463034D" w14:textId="77777777"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14:paraId="15828694" w14:textId="77777777" w:rsidR="00D94935" w:rsidRDefault="00D94935" w:rsidP="00D94935">
      <w:pPr>
        <w:pStyle w:val="Apara"/>
      </w:pPr>
      <w:r>
        <w:tab/>
        <w:t>(b)</w:t>
      </w:r>
      <w:r>
        <w:tab/>
        <w:t>to pay the registrar the amount of the incurred expenses on being given an account of them by the registrar.</w:t>
      </w:r>
    </w:p>
    <w:p w14:paraId="4B719AEE" w14:textId="77777777" w:rsidR="00D94935" w:rsidRDefault="00D94935" w:rsidP="00804D8A">
      <w:pPr>
        <w:pStyle w:val="Amain"/>
        <w:keepNext/>
      </w:pPr>
      <w:r>
        <w:lastRenderedPageBreak/>
        <w:tab/>
        <w:t>(6)</w:t>
      </w:r>
      <w:r>
        <w:tab/>
        <w:t>Despite the making of the order and subrules (2) (e), the registrar may—</w:t>
      </w:r>
    </w:p>
    <w:p w14:paraId="60517B05" w14:textId="77777777"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14:paraId="30E95180" w14:textId="77777777" w:rsidR="00D94935" w:rsidRDefault="00D94935" w:rsidP="00D94935">
      <w:pPr>
        <w:pStyle w:val="Apara"/>
      </w:pPr>
      <w:r>
        <w:tab/>
        <w:t>(b)</w:t>
      </w:r>
      <w:r>
        <w:tab/>
        <w:t>refuse to take action in relation to the letter of request until the security is provided.</w:t>
      </w:r>
    </w:p>
    <w:p w14:paraId="01E85772" w14:textId="77777777" w:rsidR="00D94935" w:rsidRDefault="00D94935" w:rsidP="00D94935">
      <w:pPr>
        <w:pStyle w:val="Amain"/>
      </w:pPr>
      <w:r>
        <w:tab/>
        <w:t>(7)</w:t>
      </w:r>
      <w:r>
        <w:tab/>
        <w:t>The person giving the undertaking must pay the amount of the incurred expenses to the registrar not later than 7 days after the day the person is given an account of them by the registrar.</w:t>
      </w:r>
    </w:p>
    <w:p w14:paraId="496F6FE1" w14:textId="77777777" w:rsidR="00D94935" w:rsidRDefault="00D94935" w:rsidP="00D94935">
      <w:pPr>
        <w:pStyle w:val="Amain"/>
      </w:pPr>
      <w:r>
        <w:tab/>
        <w:t>(8)</w:t>
      </w:r>
      <w:r>
        <w:tab/>
        <w:t>If the amount of the incurred expenses is not paid in accordance with subrule (7), the court may, on its own initiative—</w:t>
      </w:r>
    </w:p>
    <w:p w14:paraId="5323DECF" w14:textId="77777777" w:rsidR="00D94935" w:rsidRDefault="00D94935" w:rsidP="00D94935">
      <w:pPr>
        <w:pStyle w:val="Apara"/>
      </w:pPr>
      <w:r>
        <w:tab/>
        <w:t>(a)</w:t>
      </w:r>
      <w:r>
        <w:tab/>
        <w:t>order the party who obtained the order to pay the unpaid amount of the incurred expenses; and</w:t>
      </w:r>
    </w:p>
    <w:p w14:paraId="22279467" w14:textId="77777777"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14:paraId="6374E7CA" w14:textId="77777777"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14:paraId="16ED2F50" w14:textId="77777777" w:rsidR="00D94935" w:rsidRDefault="00D94935" w:rsidP="00D94935">
      <w:pPr>
        <w:pStyle w:val="AH5Sec"/>
      </w:pPr>
      <w:bookmarkStart w:id="1843" w:name="_Toc185515459"/>
      <w:r w:rsidRPr="00C8328B">
        <w:rPr>
          <w:rStyle w:val="CharSectNo"/>
        </w:rPr>
        <w:t>6830</w:t>
      </w:r>
      <w:r>
        <w:tab/>
        <w:t>Use of evidence taken in examination</w:t>
      </w:r>
      <w:bookmarkEnd w:id="1843"/>
    </w:p>
    <w:p w14:paraId="243CDE5D" w14:textId="77777777" w:rsidR="00D94935" w:rsidRDefault="00D94935" w:rsidP="00D94935">
      <w:pPr>
        <w:pStyle w:val="Amain"/>
      </w:pPr>
      <w:r>
        <w:tab/>
        <w:t>(1)</w:t>
      </w:r>
      <w:r>
        <w:tab/>
        <w:t>The court may, on the conditions (if any) it considers just, allow a party to a proceeding to tender as evidence in the proceeding—</w:t>
      </w:r>
    </w:p>
    <w:p w14:paraId="4E2B6881" w14:textId="77777777" w:rsidR="00D94935" w:rsidRDefault="00D94935" w:rsidP="00D94935">
      <w:pPr>
        <w:pStyle w:val="Apara"/>
      </w:pPr>
      <w:r>
        <w:tab/>
        <w:t>(a)</w:t>
      </w:r>
      <w:r>
        <w:tab/>
        <w:t>a person’s evidence taken in an examination held under an order made in the proceeding under rule 6813 (Order for taking evidence otherwise than at trial); or</w:t>
      </w:r>
    </w:p>
    <w:p w14:paraId="72550B14" w14:textId="77777777" w:rsidR="00D94935" w:rsidRDefault="00D94935" w:rsidP="00D94935">
      <w:pPr>
        <w:pStyle w:val="Apara"/>
        <w:keepNext/>
      </w:pPr>
      <w:r>
        <w:lastRenderedPageBreak/>
        <w:tab/>
        <w:t>(b)</w:t>
      </w:r>
      <w:r>
        <w:tab/>
        <w:t>a record of that evidence.</w:t>
      </w:r>
    </w:p>
    <w:p w14:paraId="439705E3" w14:textId="56489CD0" w:rsidR="00D94935" w:rsidRDefault="00D94935" w:rsidP="00D94935">
      <w:pPr>
        <w:pStyle w:val="aNote"/>
      </w:pPr>
      <w:r w:rsidRPr="006364FA">
        <w:rPr>
          <w:rStyle w:val="charItals"/>
        </w:rPr>
        <w:t>Note 1</w:t>
      </w:r>
      <w:r w:rsidRPr="006364FA">
        <w:rPr>
          <w:rStyle w:val="charItals"/>
        </w:rPr>
        <w:tab/>
      </w:r>
      <w:r>
        <w:t xml:space="preserve">The </w:t>
      </w:r>
      <w:hyperlink r:id="rId897" w:tooltip="Act 1994 No 59 (Cwlth)" w:history="1">
        <w:r w:rsidRPr="007F10AC">
          <w:rPr>
            <w:rStyle w:val="charCitHyperlinkItal"/>
          </w:rPr>
          <w:t>Foreign Evidence Act 1994</w:t>
        </w:r>
      </w:hyperlink>
      <w:r>
        <w:t xml:space="preserve"> (Cwlth), s 9, s 12, s 13, s 14 and s 15 deal with the use of evidence taken under that Act.</w:t>
      </w:r>
    </w:p>
    <w:p w14:paraId="13C9A69D"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14:paraId="3A09A403" w14:textId="77777777"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14:paraId="1EE5CBCD" w14:textId="77777777" w:rsidR="00D94935" w:rsidRDefault="00D94935" w:rsidP="00D94935">
      <w:pPr>
        <w:pStyle w:val="Amain"/>
      </w:pPr>
      <w:r>
        <w:tab/>
        <w:t>(3)</w:t>
      </w:r>
      <w:r>
        <w:tab/>
        <w:t>Also, the court may exclude from the proceeding evidence taken under an order under rule 6813 even if it is otherwise admissible, if it considers that it is in the interests of justice to exclude the evidence.</w:t>
      </w:r>
    </w:p>
    <w:p w14:paraId="70C8409A" w14:textId="77777777"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14:paraId="4D633893" w14:textId="77777777" w:rsidR="00D94935" w:rsidRDefault="00D94935" w:rsidP="00D94935">
      <w:pPr>
        <w:pStyle w:val="Amain"/>
        <w:keepNext/>
      </w:pPr>
      <w:r>
        <w:tab/>
        <w:t>(5)</w:t>
      </w:r>
      <w:r>
        <w:tab/>
        <w:t>In this rule:</w:t>
      </w:r>
    </w:p>
    <w:p w14:paraId="727E3724" w14:textId="77777777" w:rsidR="00D94935" w:rsidRDefault="00D94935" w:rsidP="00D94935">
      <w:pPr>
        <w:pStyle w:val="aDef"/>
        <w:keepNext/>
      </w:pPr>
      <w:r w:rsidRPr="006364FA">
        <w:rPr>
          <w:rStyle w:val="charBoldItals"/>
        </w:rPr>
        <w:t>evidence</w:t>
      </w:r>
      <w:r>
        <w:t>, in relation to an examination, includes—</w:t>
      </w:r>
    </w:p>
    <w:p w14:paraId="6F1654D0" w14:textId="77777777" w:rsidR="00D94935" w:rsidRDefault="00D94935" w:rsidP="00D94935">
      <w:pPr>
        <w:pStyle w:val="aDefpara"/>
      </w:pPr>
      <w:r>
        <w:tab/>
        <w:t>(a)</w:t>
      </w:r>
      <w:r>
        <w:tab/>
        <w:t>a document produced at the examination (including an exhibit); and</w:t>
      </w:r>
    </w:p>
    <w:p w14:paraId="46C0AFC4" w14:textId="77777777" w:rsidR="00D94935" w:rsidRDefault="00D94935" w:rsidP="00D94935">
      <w:pPr>
        <w:pStyle w:val="aDefpara"/>
      </w:pPr>
      <w:r>
        <w:tab/>
        <w:t>(b)</w:t>
      </w:r>
      <w:r>
        <w:tab/>
        <w:t>answers made, whether in writing, or orally and reduced to writing, to any interrogatories presented at the examination.</w:t>
      </w:r>
    </w:p>
    <w:p w14:paraId="6923C3F3" w14:textId="77777777" w:rsidR="00D94935" w:rsidRDefault="00D94935" w:rsidP="00D94935">
      <w:pPr>
        <w:pStyle w:val="AH5Sec"/>
      </w:pPr>
      <w:bookmarkStart w:id="1844" w:name="_Toc185515460"/>
      <w:r w:rsidRPr="00C8328B">
        <w:rPr>
          <w:rStyle w:val="CharSectNo"/>
        </w:rPr>
        <w:lastRenderedPageBreak/>
        <w:t>6831</w:t>
      </w:r>
      <w:r>
        <w:tab/>
        <w:t>Use of evidence taken in an examination—subsequent proceedings</w:t>
      </w:r>
      <w:bookmarkEnd w:id="1844"/>
    </w:p>
    <w:p w14:paraId="1C2121A3" w14:textId="77777777" w:rsidR="00D94935" w:rsidRDefault="00D94935" w:rsidP="00804D8A">
      <w:pPr>
        <w:pStyle w:val="Amain"/>
        <w:keepNext/>
        <w:keepLines/>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14:paraId="3E143452" w14:textId="77777777" w:rsidR="00D94935" w:rsidRDefault="00D94935" w:rsidP="00D94935">
      <w:pPr>
        <w:pStyle w:val="Apara"/>
      </w:pPr>
      <w:r>
        <w:tab/>
        <w:t>(a)</w:t>
      </w:r>
      <w:r>
        <w:tab/>
        <w:t>a criminal proceeding that results from the committal proceeding; or</w:t>
      </w:r>
    </w:p>
    <w:p w14:paraId="2827F9EB" w14:textId="77777777" w:rsidR="00D94935" w:rsidRDefault="00D94935" w:rsidP="00D94935">
      <w:pPr>
        <w:pStyle w:val="Apara"/>
      </w:pPr>
      <w:r>
        <w:tab/>
        <w:t>(b)</w:t>
      </w:r>
      <w:r>
        <w:tab/>
        <w:t>a related civil proceeding.</w:t>
      </w:r>
    </w:p>
    <w:p w14:paraId="20AB74D4" w14:textId="77777777"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14:paraId="6CADB54A" w14:textId="77777777" w:rsidR="00D94935" w:rsidRDefault="00D94935" w:rsidP="00D94935">
      <w:pPr>
        <w:pStyle w:val="Amain"/>
      </w:pPr>
      <w:r>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14:paraId="5F10D4A3" w14:textId="77777777" w:rsidR="00D94935" w:rsidRDefault="00D94935" w:rsidP="00D94935">
      <w:pPr>
        <w:pStyle w:val="Apara"/>
      </w:pPr>
      <w:r>
        <w:tab/>
        <w:t>(a)</w:t>
      </w:r>
      <w:r>
        <w:tab/>
        <w:t>a person’s evidence taken in an examination held under the primary order; or</w:t>
      </w:r>
    </w:p>
    <w:p w14:paraId="23BA5BB1" w14:textId="77777777" w:rsidR="00D94935" w:rsidRDefault="00D94935" w:rsidP="00D94935">
      <w:pPr>
        <w:pStyle w:val="Apara"/>
        <w:keepNext/>
      </w:pPr>
      <w:r>
        <w:tab/>
        <w:t>(b)</w:t>
      </w:r>
      <w:r>
        <w:tab/>
        <w:t>a record of that evidence.</w:t>
      </w:r>
    </w:p>
    <w:p w14:paraId="3F5C4D0C"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5304A498" w14:textId="77777777" w:rsidR="00D94935" w:rsidRDefault="00D94935" w:rsidP="00804D8A">
      <w:pPr>
        <w:pStyle w:val="Amain"/>
        <w:keepNext/>
      </w:pPr>
      <w:r>
        <w:lastRenderedPageBreak/>
        <w:tab/>
        <w:t>(4)</w:t>
      </w:r>
      <w:r>
        <w:tab/>
        <w:t>However, evidence of a person tendered under subrule (3) is not admissible if—</w:t>
      </w:r>
    </w:p>
    <w:p w14:paraId="742B2FE3" w14:textId="77777777" w:rsidR="00D94935" w:rsidRDefault="00D94935" w:rsidP="00D94935">
      <w:pPr>
        <w:pStyle w:val="Apara"/>
      </w:pPr>
      <w:r>
        <w:tab/>
        <w:t>(a)</w:t>
      </w:r>
      <w:r>
        <w:tab/>
        <w:t xml:space="preserve">at the hearing of the subsequent proceeding the court is satisfied that the person is in the ACT and is able to attend the hearing; or </w:t>
      </w:r>
    </w:p>
    <w:p w14:paraId="37D8FB0C" w14:textId="77777777" w:rsidR="00D94935" w:rsidRDefault="00D94935" w:rsidP="00D94935">
      <w:pPr>
        <w:pStyle w:val="Apara"/>
      </w:pPr>
      <w:r>
        <w:tab/>
        <w:t>(b)</w:t>
      </w:r>
      <w:r>
        <w:tab/>
        <w:t>the evidence would not have been admissible had it been given or produced at the hearing.</w:t>
      </w:r>
    </w:p>
    <w:p w14:paraId="1A23BE46" w14:textId="77777777"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14:paraId="68473EC5" w14:textId="77777777" w:rsidR="00D94935" w:rsidRDefault="00D94935" w:rsidP="00D94935">
      <w:pPr>
        <w:pStyle w:val="Amain"/>
        <w:keepNext/>
      </w:pPr>
      <w:r>
        <w:tab/>
        <w:t>(6)</w:t>
      </w:r>
      <w:r>
        <w:tab/>
        <w:t>In this rule:</w:t>
      </w:r>
    </w:p>
    <w:p w14:paraId="10400661" w14:textId="77777777"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14:paraId="03415F8E" w14:textId="3FBEDCD5" w:rsidR="00D94935" w:rsidRDefault="00D94935" w:rsidP="00D94935">
      <w:pPr>
        <w:pStyle w:val="aDefpara"/>
      </w:pPr>
      <w:r>
        <w:tab/>
        <w:t>(a)</w:t>
      </w:r>
      <w:r>
        <w:tab/>
        <w:t xml:space="preserve">a proceeding under the </w:t>
      </w:r>
      <w:hyperlink r:id="rId898" w:tooltip="A2003-8" w:history="1">
        <w:r w:rsidRPr="006364FA">
          <w:rPr>
            <w:rStyle w:val="charCitHyperlinkItal"/>
          </w:rPr>
          <w:t>Confiscation of Criminal Assets Act 2003</w:t>
        </w:r>
      </w:hyperlink>
      <w:r>
        <w:t>; and</w:t>
      </w:r>
    </w:p>
    <w:p w14:paraId="7DFB736B" w14:textId="77777777" w:rsidR="00D94935" w:rsidRDefault="00D94935" w:rsidP="00D94935">
      <w:pPr>
        <w:pStyle w:val="aDefpara"/>
      </w:pPr>
      <w:r>
        <w:tab/>
        <w:t>(b)</w:t>
      </w:r>
      <w:r>
        <w:tab/>
        <w:t>a proceeding for the recovery of tax, or any duty, levy or charge payable to the Territory.</w:t>
      </w:r>
    </w:p>
    <w:p w14:paraId="3287CFDA" w14:textId="77777777" w:rsidR="00D94935" w:rsidRDefault="00D94935" w:rsidP="00D94935">
      <w:pPr>
        <w:pStyle w:val="AH5Sec"/>
      </w:pPr>
      <w:bookmarkStart w:id="1845" w:name="_Toc185515461"/>
      <w:r w:rsidRPr="00C8328B">
        <w:rPr>
          <w:rStyle w:val="CharSectNo"/>
        </w:rPr>
        <w:t>6832</w:t>
      </w:r>
      <w:r>
        <w:tab/>
        <w:t>Amendment and revocation of examination orders</w:t>
      </w:r>
      <w:bookmarkEnd w:id="1845"/>
    </w:p>
    <w:p w14:paraId="1F3DB20B" w14:textId="77777777"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14:paraId="1CE40D4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3DE99AF" w14:textId="77777777" w:rsidR="00D94935" w:rsidRDefault="00D94935" w:rsidP="00D94935">
      <w:pPr>
        <w:pStyle w:val="Amain"/>
      </w:pPr>
      <w:r>
        <w:tab/>
        <w:t>(2)</w:t>
      </w:r>
      <w:r>
        <w:tab/>
        <w:t>The power given by subsection (1) includes the power to—</w:t>
      </w:r>
    </w:p>
    <w:p w14:paraId="3DBACB8E" w14:textId="77777777" w:rsidR="00D94935" w:rsidRDefault="00D94935" w:rsidP="00D94935">
      <w:pPr>
        <w:pStyle w:val="Apara"/>
      </w:pPr>
      <w:r>
        <w:tab/>
        <w:t>(a)</w:t>
      </w:r>
      <w:r>
        <w:tab/>
        <w:t>include in a primary order an order under rule 6831; or</w:t>
      </w:r>
    </w:p>
    <w:p w14:paraId="421FDF87" w14:textId="77777777" w:rsidR="00D94935" w:rsidRDefault="00D94935" w:rsidP="00D94935">
      <w:pPr>
        <w:pStyle w:val="Apara"/>
      </w:pPr>
      <w:r>
        <w:tab/>
        <w:t>(b)</w:t>
      </w:r>
      <w:r>
        <w:tab/>
        <w:t>amend or revoke an order under rule 6831 that is included in a primary order.</w:t>
      </w:r>
    </w:p>
    <w:p w14:paraId="5BCF08D2" w14:textId="77777777" w:rsidR="00D94935" w:rsidRDefault="00D94935" w:rsidP="00D94935">
      <w:pPr>
        <w:pStyle w:val="Amain"/>
      </w:pPr>
      <w:r>
        <w:lastRenderedPageBreak/>
        <w:tab/>
        <w:t>(3)</w:t>
      </w:r>
      <w:r>
        <w:tab/>
        <w:t>If a primary order that includes an order under rule 6831 is revoked, the order under rule 6831 is taken to have been revoked at the same time.</w:t>
      </w:r>
    </w:p>
    <w:p w14:paraId="309244C5" w14:textId="77777777" w:rsidR="00D94935" w:rsidRDefault="00D94935" w:rsidP="00D94935">
      <w:pPr>
        <w:pStyle w:val="AH5Sec"/>
      </w:pPr>
      <w:bookmarkStart w:id="1846" w:name="_Toc185515462"/>
      <w:r w:rsidRPr="00C8328B">
        <w:rPr>
          <w:rStyle w:val="CharSectNo"/>
        </w:rPr>
        <w:t>6833</w:t>
      </w:r>
      <w:r>
        <w:tab/>
        <w:t>Exclusion of evidence in criminal proceeding</w:t>
      </w:r>
      <w:bookmarkEnd w:id="1846"/>
    </w:p>
    <w:p w14:paraId="7665034B" w14:textId="77777777"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14:paraId="1C3C4A43" w14:textId="77777777" w:rsidR="00D94935" w:rsidRPr="00C8328B" w:rsidRDefault="00D94935" w:rsidP="00D94935">
      <w:pPr>
        <w:pStyle w:val="AH3Div"/>
      </w:pPr>
      <w:bookmarkStart w:id="1847" w:name="_Toc185515463"/>
      <w:r w:rsidRPr="00C8328B">
        <w:rPr>
          <w:rStyle w:val="CharDivNo"/>
        </w:rPr>
        <w:t>Division 6.10.9</w:t>
      </w:r>
      <w:r>
        <w:tab/>
      </w:r>
      <w:r w:rsidRPr="00C8328B">
        <w:rPr>
          <w:rStyle w:val="CharDivText"/>
        </w:rPr>
        <w:t>Taking evidence for Australian and foreign courts and tribunals</w:t>
      </w:r>
      <w:bookmarkEnd w:id="1847"/>
    </w:p>
    <w:p w14:paraId="4FF9A31D" w14:textId="77777777" w:rsidR="00D94935" w:rsidRDefault="00D94935" w:rsidP="00D94935">
      <w:pPr>
        <w:pStyle w:val="AH5Sec"/>
      </w:pPr>
      <w:bookmarkStart w:id="1848" w:name="_Toc185515464"/>
      <w:r w:rsidRPr="00C8328B">
        <w:rPr>
          <w:rStyle w:val="CharSectNo"/>
        </w:rPr>
        <w:t>6840</w:t>
      </w:r>
      <w:r>
        <w:tab/>
        <w:t>Definitions—div 6.10.9</w:t>
      </w:r>
      <w:bookmarkEnd w:id="1848"/>
    </w:p>
    <w:p w14:paraId="36F360E8" w14:textId="77777777" w:rsidR="00D94935" w:rsidRDefault="00D94935" w:rsidP="00D94935">
      <w:pPr>
        <w:pStyle w:val="Amainreturn"/>
        <w:keepNext/>
      </w:pPr>
      <w:r>
        <w:t>In this division:</w:t>
      </w:r>
    </w:p>
    <w:p w14:paraId="31D98829"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14:paraId="01496B9C" w14:textId="77777777" w:rsidR="00D94935" w:rsidRDefault="00D94935" w:rsidP="00D94935">
      <w:pPr>
        <w:pStyle w:val="aDef"/>
        <w:keepNext/>
      </w:pPr>
      <w:r w:rsidRPr="006364FA">
        <w:rPr>
          <w:rStyle w:val="charBoldItals"/>
        </w:rPr>
        <w:t>Australian court</w:t>
      </w:r>
      <w:r>
        <w:t xml:space="preserve"> means an entity authorised to exercise an adjudicative function—</w:t>
      </w:r>
    </w:p>
    <w:p w14:paraId="78B1E38F" w14:textId="77777777" w:rsidR="00D94935" w:rsidRDefault="00D94935" w:rsidP="00D94935">
      <w:pPr>
        <w:pStyle w:val="aDefpara"/>
      </w:pPr>
      <w:r>
        <w:tab/>
        <w:t>(a)</w:t>
      </w:r>
      <w:r>
        <w:tab/>
        <w:t>whether on behalf of a court or otherwise; and</w:t>
      </w:r>
    </w:p>
    <w:p w14:paraId="5B73E560" w14:textId="77777777" w:rsidR="00D94935" w:rsidRDefault="00D94935" w:rsidP="00D94935">
      <w:pPr>
        <w:pStyle w:val="aDefpara"/>
      </w:pPr>
      <w:r>
        <w:tab/>
        <w:t>(b)</w:t>
      </w:r>
      <w:r>
        <w:tab/>
        <w:t>whether or not the entity is authorised to require the answering of questions or the production of documents.</w:t>
      </w:r>
    </w:p>
    <w:p w14:paraId="083385FF" w14:textId="77777777" w:rsidR="00D94935" w:rsidRDefault="00D94935" w:rsidP="00D94935">
      <w:pPr>
        <w:pStyle w:val="aDef"/>
        <w:keepNext/>
      </w:pPr>
      <w:r w:rsidRPr="006364FA">
        <w:rPr>
          <w:rStyle w:val="charBoldItals"/>
        </w:rPr>
        <w:t>proceeding</w:t>
      </w:r>
      <w:r>
        <w:t xml:space="preserve"> means—</w:t>
      </w:r>
    </w:p>
    <w:p w14:paraId="3BA82D40" w14:textId="77777777" w:rsidR="00D94935" w:rsidRDefault="00D94935" w:rsidP="00E40F30">
      <w:pPr>
        <w:pStyle w:val="aDefpara"/>
        <w:keepNext/>
      </w:pPr>
      <w:r>
        <w:tab/>
        <w:t>(a)</w:t>
      </w:r>
      <w:r>
        <w:tab/>
        <w:t>a proceeding in any civil or commercial matter; or</w:t>
      </w:r>
    </w:p>
    <w:p w14:paraId="3DDCD122" w14:textId="77777777" w:rsidR="00D94935" w:rsidRDefault="00D94935" w:rsidP="00D94935">
      <w:pPr>
        <w:pStyle w:val="aDefpara"/>
      </w:pPr>
      <w:r>
        <w:tab/>
        <w:t>(b)</w:t>
      </w:r>
      <w:r>
        <w:tab/>
        <w:t>a proceeding in or before a court in relation to the commission of an offence or an alleged offence, or the confiscation of criminal assets.</w:t>
      </w:r>
    </w:p>
    <w:p w14:paraId="5B4FD9DF" w14:textId="77777777" w:rsidR="00D94935" w:rsidRDefault="00D94935" w:rsidP="00D94935">
      <w:pPr>
        <w:pStyle w:val="aDef"/>
      </w:pPr>
      <w:r w:rsidRPr="006364FA">
        <w:rPr>
          <w:rStyle w:val="charBoldItals"/>
        </w:rPr>
        <w:lastRenderedPageBreak/>
        <w:t>request</w:t>
      </w:r>
      <w:r>
        <w:t xml:space="preserve"> includes any commission, order or other process issued for the making of an application under rule 6843 (Order relating to taking evidence for Australian or foreign court or tribunal).</w:t>
      </w:r>
    </w:p>
    <w:p w14:paraId="216615A8" w14:textId="77777777"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14:paraId="6459991C" w14:textId="77777777" w:rsidR="00D94935" w:rsidRDefault="00D94935" w:rsidP="00D94935">
      <w:pPr>
        <w:pStyle w:val="AH5Sec"/>
      </w:pPr>
      <w:bookmarkStart w:id="1849" w:name="_Toc185515465"/>
      <w:r w:rsidRPr="00C8328B">
        <w:rPr>
          <w:rStyle w:val="CharSectNo"/>
        </w:rPr>
        <w:t>6841</w:t>
      </w:r>
      <w:r>
        <w:tab/>
        <w:t>Application—div 6.10.9</w:t>
      </w:r>
      <w:bookmarkEnd w:id="1849"/>
    </w:p>
    <w:p w14:paraId="5C53A129" w14:textId="77777777" w:rsidR="00D94935" w:rsidRDefault="00D94935" w:rsidP="00D94935">
      <w:pPr>
        <w:pStyle w:val="Amain"/>
      </w:pPr>
      <w:r>
        <w:tab/>
        <w:t>(1)</w:t>
      </w:r>
      <w:r>
        <w:tab/>
        <w:t>This division applies to—</w:t>
      </w:r>
    </w:p>
    <w:p w14:paraId="0F5A8182" w14:textId="77777777" w:rsidR="00D94935" w:rsidRDefault="00D94935" w:rsidP="00D94935">
      <w:pPr>
        <w:pStyle w:val="Apara"/>
      </w:pPr>
      <w:r>
        <w:tab/>
        <w:t>(a)</w:t>
      </w:r>
      <w:r>
        <w:tab/>
        <w:t xml:space="preserve">an order under rule 6843 (Order relating to taking evidence for Australian or foreign court or tribunal); and </w:t>
      </w:r>
    </w:p>
    <w:p w14:paraId="1E270303" w14:textId="77777777" w:rsidR="00D94935" w:rsidRDefault="00D94935" w:rsidP="00D94935">
      <w:pPr>
        <w:pStyle w:val="Apara"/>
      </w:pPr>
      <w:r>
        <w:tab/>
        <w:t>(b)</w:t>
      </w:r>
      <w:r>
        <w:tab/>
        <w:t>an examination under the order.</w:t>
      </w:r>
    </w:p>
    <w:p w14:paraId="59AB5910" w14:textId="77777777" w:rsidR="00D94935" w:rsidRDefault="00D94935" w:rsidP="00D94935">
      <w:pPr>
        <w:pStyle w:val="Amain"/>
      </w:pPr>
      <w:r>
        <w:tab/>
        <w:t>(2)</w:t>
      </w:r>
      <w:r>
        <w:tab/>
        <w:t>This division applies subject to—</w:t>
      </w:r>
    </w:p>
    <w:p w14:paraId="1D84A5E3" w14:textId="77777777" w:rsidR="00D94935" w:rsidRDefault="00D94935" w:rsidP="00D94935">
      <w:pPr>
        <w:pStyle w:val="Apara"/>
      </w:pPr>
      <w:r>
        <w:tab/>
        <w:t>(a)</w:t>
      </w:r>
      <w:r>
        <w:tab/>
        <w:t>the terms of the request for the order and any applicable convention; and</w:t>
      </w:r>
    </w:p>
    <w:p w14:paraId="04DCBE99" w14:textId="77777777" w:rsidR="00D94935" w:rsidRDefault="00D94935" w:rsidP="00D94935">
      <w:pPr>
        <w:pStyle w:val="Apara"/>
      </w:pPr>
      <w:r>
        <w:tab/>
        <w:t>(b)</w:t>
      </w:r>
      <w:r>
        <w:tab/>
        <w:t>in relation to the application of a relevant rule of this division—any direction by the court consistent with the request and any applicable convention.</w:t>
      </w:r>
    </w:p>
    <w:p w14:paraId="2388B1D9" w14:textId="77777777" w:rsidR="00D94935" w:rsidRDefault="00D94935" w:rsidP="00D94935">
      <w:pPr>
        <w:pStyle w:val="Amain"/>
        <w:keepNext/>
      </w:pPr>
      <w:r>
        <w:tab/>
        <w:t>(3)</w:t>
      </w:r>
      <w:r>
        <w:tab/>
        <w:t>In this rule:</w:t>
      </w:r>
    </w:p>
    <w:p w14:paraId="4E1BA97F" w14:textId="77777777" w:rsidR="00D94935" w:rsidRDefault="00D94935" w:rsidP="00D94935">
      <w:pPr>
        <w:pStyle w:val="aDef"/>
        <w:keepNext/>
      </w:pPr>
      <w:r w:rsidRPr="006364FA">
        <w:rPr>
          <w:rStyle w:val="charBoldItals"/>
        </w:rPr>
        <w:t>relevant rule</w:t>
      </w:r>
      <w:r>
        <w:t xml:space="preserve"> means any of the following rules:</w:t>
      </w:r>
    </w:p>
    <w:p w14:paraId="16425AE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14:paraId="0AA6541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14:paraId="29F4E01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14:paraId="3245446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14:paraId="265E9EF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14:paraId="1704C7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14:paraId="2D68BFBF" w14:textId="77777777" w:rsidR="00D94935" w:rsidRDefault="00D94935" w:rsidP="00D94935">
      <w:pPr>
        <w:pStyle w:val="AH5Sec"/>
      </w:pPr>
      <w:bookmarkStart w:id="1850" w:name="_Toc185515466"/>
      <w:r w:rsidRPr="00C8328B">
        <w:rPr>
          <w:rStyle w:val="CharSectNo"/>
        </w:rPr>
        <w:lastRenderedPageBreak/>
        <w:t>6842</w:t>
      </w:r>
      <w:r>
        <w:tab/>
        <w:t>Application for div 6.10.9 order</w:t>
      </w:r>
      <w:bookmarkEnd w:id="1850"/>
    </w:p>
    <w:p w14:paraId="2690D376" w14:textId="77777777" w:rsidR="00D94935" w:rsidRDefault="00D94935" w:rsidP="00D94935">
      <w:pPr>
        <w:pStyle w:val="Amain"/>
        <w:keepNext/>
      </w:pPr>
      <w:r>
        <w:tab/>
        <w:t>(1)</w:t>
      </w:r>
      <w:r>
        <w:tab/>
        <w:t>An application for an order under rule 6843 (Order relating to taking evidence for Australian or foreign court or tribunal) may only be made by—</w:t>
      </w:r>
    </w:p>
    <w:p w14:paraId="1D0D1DE0" w14:textId="77777777" w:rsidR="00D94935" w:rsidRDefault="00D94935" w:rsidP="00D94935">
      <w:pPr>
        <w:pStyle w:val="Apara"/>
      </w:pPr>
      <w:r>
        <w:tab/>
        <w:t>(a)</w:t>
      </w:r>
      <w:r>
        <w:tab/>
        <w:t>a person nominated by the requesting court; or</w:t>
      </w:r>
    </w:p>
    <w:p w14:paraId="1B3FE335" w14:textId="77777777" w:rsidR="00D94935" w:rsidRDefault="00D94935" w:rsidP="00D94935">
      <w:pPr>
        <w:pStyle w:val="Apara"/>
        <w:keepNext/>
      </w:pPr>
      <w:r>
        <w:tab/>
        <w:t>(b)</w:t>
      </w:r>
      <w:r>
        <w:tab/>
        <w:t>if no-one is nominated—the Attorney-General.</w:t>
      </w:r>
    </w:p>
    <w:p w14:paraId="7CFC310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14:paraId="71F101E0" w14:textId="77777777" w:rsidR="00D94935" w:rsidRDefault="00D94935" w:rsidP="00D94935">
      <w:pPr>
        <w:pStyle w:val="Amain"/>
      </w:pPr>
      <w:r>
        <w:tab/>
        <w:t>(2)</w:t>
      </w:r>
      <w:r>
        <w:tab/>
        <w:t>An application mentioned in subrule (1) or for any other order under this division must be filed, but need not be served on anyone.</w:t>
      </w:r>
    </w:p>
    <w:p w14:paraId="45E1DACC" w14:textId="77777777" w:rsidR="00D94935" w:rsidRDefault="00D94935" w:rsidP="00D94935">
      <w:pPr>
        <w:pStyle w:val="AH5Sec"/>
      </w:pPr>
      <w:bookmarkStart w:id="1851" w:name="_Toc185515467"/>
      <w:r w:rsidRPr="00C8328B">
        <w:rPr>
          <w:rStyle w:val="CharSectNo"/>
        </w:rPr>
        <w:t>6843</w:t>
      </w:r>
      <w:r>
        <w:tab/>
        <w:t>Order relating to taking evidence for Australian or foreign court or tribunal</w:t>
      </w:r>
      <w:bookmarkEnd w:id="1851"/>
    </w:p>
    <w:p w14:paraId="049397A9" w14:textId="77777777" w:rsidR="00D94935" w:rsidRDefault="00D94935" w:rsidP="00D94935">
      <w:pPr>
        <w:pStyle w:val="Amain"/>
      </w:pPr>
      <w:r>
        <w:tab/>
        <w:t>(1)</w:t>
      </w:r>
      <w:r>
        <w:tab/>
        <w:t>This rule applies if, on application to the court under rule 6842 for evidence to be taken in the ACT, the court is satisfied that—</w:t>
      </w:r>
    </w:p>
    <w:p w14:paraId="2D2DCFD0" w14:textId="77777777"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14:paraId="518A38DA" w14:textId="77777777" w:rsidR="00D94935" w:rsidRDefault="00D94935" w:rsidP="00D94935">
      <w:pPr>
        <w:pStyle w:val="Apara"/>
      </w:pPr>
      <w:r>
        <w:tab/>
        <w:t>(b)</w:t>
      </w:r>
      <w:r>
        <w:tab/>
        <w:t>the evidence to which the application relates is to be taken for a proceeding that has been, or may be brought, before the requesting court.</w:t>
      </w:r>
    </w:p>
    <w:p w14:paraId="3EB3D850" w14:textId="77777777"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14:paraId="147E5C18" w14:textId="77777777" w:rsidR="00D94935" w:rsidRDefault="00D94935" w:rsidP="00D94935">
      <w:pPr>
        <w:pStyle w:val="Amain"/>
        <w:keepNext/>
      </w:pPr>
      <w:r>
        <w:tab/>
        <w:t>(3)</w:t>
      </w:r>
      <w:r>
        <w:tab/>
        <w:t>Without limiting subrule (2), an order under this rule may provide for all or any of the following:</w:t>
      </w:r>
    </w:p>
    <w:p w14:paraId="4E9FAED4" w14:textId="77777777" w:rsidR="00D94935" w:rsidRDefault="00D94935" w:rsidP="00D94935">
      <w:pPr>
        <w:pStyle w:val="Apara"/>
      </w:pPr>
      <w:r>
        <w:tab/>
        <w:t>(a)</w:t>
      </w:r>
      <w:r>
        <w:tab/>
        <w:t>the examination of witnesses, orally or in writing;</w:t>
      </w:r>
    </w:p>
    <w:p w14:paraId="5F02D800" w14:textId="77777777" w:rsidR="00D94935" w:rsidRDefault="00D94935" w:rsidP="00D94935">
      <w:pPr>
        <w:pStyle w:val="Apara"/>
      </w:pPr>
      <w:r>
        <w:tab/>
        <w:t>(b)</w:t>
      </w:r>
      <w:r>
        <w:tab/>
        <w:t>the production of documents;</w:t>
      </w:r>
    </w:p>
    <w:p w14:paraId="0B2561CD" w14:textId="77777777" w:rsidR="00D94935" w:rsidRDefault="00D94935" w:rsidP="00D94935">
      <w:pPr>
        <w:pStyle w:val="Apara"/>
      </w:pPr>
      <w:r>
        <w:lastRenderedPageBreak/>
        <w:tab/>
        <w:t>(c)</w:t>
      </w:r>
      <w:r>
        <w:tab/>
        <w:t>the inspection, photographing, preservation, custody or detention of property;</w:t>
      </w:r>
    </w:p>
    <w:p w14:paraId="3425BB3B" w14:textId="77777777" w:rsidR="00D94935" w:rsidRDefault="00D94935" w:rsidP="00D94935">
      <w:pPr>
        <w:pStyle w:val="Apara"/>
      </w:pPr>
      <w:r>
        <w:tab/>
        <w:t>(d)</w:t>
      </w:r>
      <w:r>
        <w:tab/>
        <w:t>the taking of samples of property and the carrying out of any experiments on or with property;</w:t>
      </w:r>
    </w:p>
    <w:p w14:paraId="268CA465" w14:textId="77777777" w:rsidR="00D94935" w:rsidRDefault="00D94935" w:rsidP="00D94935">
      <w:pPr>
        <w:pStyle w:val="Apara"/>
      </w:pPr>
      <w:r>
        <w:tab/>
        <w:t>(e)</w:t>
      </w:r>
      <w:r>
        <w:tab/>
        <w:t>the medical examination of a person;</w:t>
      </w:r>
    </w:p>
    <w:p w14:paraId="7C8B87FC" w14:textId="77777777" w:rsidR="00D94935" w:rsidRDefault="00D94935" w:rsidP="00D94935">
      <w:pPr>
        <w:pStyle w:val="Apara"/>
      </w:pPr>
      <w:r>
        <w:tab/>
        <w:t>(f)</w:t>
      </w:r>
      <w:r>
        <w:tab/>
        <w:t>without limiting paragraph (e), the taking and testing of samples of blood from a person.</w:t>
      </w:r>
    </w:p>
    <w:p w14:paraId="0FECD1D3" w14:textId="77777777" w:rsidR="00D94935" w:rsidRDefault="00D94935" w:rsidP="00D94935">
      <w:pPr>
        <w:pStyle w:val="Amain"/>
      </w:pPr>
      <w:r>
        <w:tab/>
        <w:t>(4)</w:t>
      </w:r>
      <w:r>
        <w:tab/>
        <w:t>An order under this rule may require a stated person to take steps—</w:t>
      </w:r>
    </w:p>
    <w:p w14:paraId="0B3A481F" w14:textId="77777777" w:rsidR="00D94935" w:rsidRDefault="00D94935" w:rsidP="00D94935">
      <w:pPr>
        <w:pStyle w:val="Apara"/>
      </w:pPr>
      <w:r>
        <w:tab/>
        <w:t>(a)</w:t>
      </w:r>
      <w:r>
        <w:tab/>
        <w:t>that the court considers appropriate for the purpose of giving effect to the request; and</w:t>
      </w:r>
    </w:p>
    <w:p w14:paraId="55ED9724" w14:textId="77777777"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14:paraId="16CC1DAB" w14:textId="77777777"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14:paraId="2F9AD794" w14:textId="77777777" w:rsidR="00D94935" w:rsidRDefault="00D94935" w:rsidP="00D94935">
      <w:pPr>
        <w:pStyle w:val="Amain"/>
        <w:keepNext/>
      </w:pPr>
      <w:r>
        <w:tab/>
        <w:t>(6)</w:t>
      </w:r>
      <w:r>
        <w:tab/>
        <w:t>An order under this rule must not require a person to—</w:t>
      </w:r>
    </w:p>
    <w:p w14:paraId="624D13EB" w14:textId="77777777" w:rsidR="00D94935" w:rsidRDefault="00D94935" w:rsidP="00E40F30">
      <w:pPr>
        <w:pStyle w:val="Apara"/>
        <w:keepNext/>
      </w:pPr>
      <w:r>
        <w:tab/>
        <w:t>(a)</w:t>
      </w:r>
      <w:r>
        <w:tab/>
        <w:t>state what documents relevant to the proceeding to which the application for the order relates are or have been in the person’s possession; or</w:t>
      </w:r>
    </w:p>
    <w:p w14:paraId="4201FF54" w14:textId="77777777" w:rsidR="00D94935" w:rsidRDefault="00D94935" w:rsidP="00D94935">
      <w:pPr>
        <w:pStyle w:val="Apara"/>
      </w:pPr>
      <w:r>
        <w:tab/>
        <w:t>(b)</w:t>
      </w:r>
      <w:r>
        <w:tab/>
        <w:t>produce any documents other than stated documents.</w:t>
      </w:r>
    </w:p>
    <w:p w14:paraId="61AD1500" w14:textId="77777777" w:rsidR="00D94935" w:rsidRDefault="00D94935" w:rsidP="00D94935">
      <w:pPr>
        <w:pStyle w:val="AH5Sec"/>
      </w:pPr>
      <w:bookmarkStart w:id="1852" w:name="_Toc185515468"/>
      <w:r w:rsidRPr="00C8328B">
        <w:rPr>
          <w:rStyle w:val="CharSectNo"/>
        </w:rPr>
        <w:t>6844</w:t>
      </w:r>
      <w:r>
        <w:tab/>
        <w:t>Div 6.10.9 order for criminal proceeding</w:t>
      </w:r>
      <w:bookmarkEnd w:id="1852"/>
    </w:p>
    <w:p w14:paraId="480B98E3" w14:textId="77777777"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14:paraId="7FF507EA" w14:textId="77777777" w:rsidR="00D94935" w:rsidRDefault="00D94935" w:rsidP="00D94935">
      <w:pPr>
        <w:pStyle w:val="AH5Sec"/>
      </w:pPr>
      <w:bookmarkStart w:id="1853" w:name="_Toc185515469"/>
      <w:r w:rsidRPr="00C8328B">
        <w:rPr>
          <w:rStyle w:val="CharSectNo"/>
        </w:rPr>
        <w:lastRenderedPageBreak/>
        <w:t>6845</w:t>
      </w:r>
      <w:r>
        <w:tab/>
        <w:t>Appointment of examiner for div 6.10.9</w:t>
      </w:r>
      <w:bookmarkEnd w:id="1853"/>
    </w:p>
    <w:p w14:paraId="763D98D6" w14:textId="77777777" w:rsidR="00D94935" w:rsidRDefault="00D94935" w:rsidP="00D94935">
      <w:pPr>
        <w:pStyle w:val="Amain"/>
        <w:keepNext/>
      </w:pPr>
      <w:r>
        <w:tab/>
        <w:t>(1)</w:t>
      </w:r>
      <w:r>
        <w:tab/>
        <w:t>The court may appoint any of the following as an examiner:</w:t>
      </w:r>
    </w:p>
    <w:p w14:paraId="341D3B42" w14:textId="77777777" w:rsidR="00D94935" w:rsidRDefault="00D94935" w:rsidP="00D94935">
      <w:pPr>
        <w:pStyle w:val="Apara"/>
      </w:pPr>
      <w:r>
        <w:tab/>
        <w:t>(a)</w:t>
      </w:r>
      <w:r>
        <w:tab/>
        <w:t xml:space="preserve">a judicial officer or other officer of a court; </w:t>
      </w:r>
    </w:p>
    <w:p w14:paraId="60773402" w14:textId="77777777" w:rsidR="00D94935" w:rsidRDefault="00D94935" w:rsidP="00D94935">
      <w:pPr>
        <w:pStyle w:val="Apara"/>
      </w:pPr>
      <w:r>
        <w:tab/>
        <w:t>(b)</w:t>
      </w:r>
      <w:r>
        <w:tab/>
        <w:t>anyone else it considers suitable.</w:t>
      </w:r>
    </w:p>
    <w:p w14:paraId="5813132E" w14:textId="77777777" w:rsidR="00D94935" w:rsidRDefault="00D94935" w:rsidP="00D94935">
      <w:pPr>
        <w:pStyle w:val="Amain"/>
      </w:pPr>
      <w:r>
        <w:tab/>
        <w:t>(2)</w:t>
      </w:r>
      <w:r>
        <w:tab/>
        <w:t>A judicial officer or other officer of the Supreme Court may only be appointed with the agreement of the Chief Justice.</w:t>
      </w:r>
    </w:p>
    <w:p w14:paraId="6ED3BF79" w14:textId="77777777" w:rsidR="00D94935" w:rsidRDefault="00D94935" w:rsidP="00D94935">
      <w:pPr>
        <w:pStyle w:val="Amain"/>
      </w:pPr>
      <w:r>
        <w:tab/>
        <w:t>(3)</w:t>
      </w:r>
      <w:r>
        <w:tab/>
        <w:t>A judicial officer or other officer of the Magistrates Court may only be appointed with the agreement of the Chief Magistrate.</w:t>
      </w:r>
    </w:p>
    <w:p w14:paraId="4C657726" w14:textId="3A36737F" w:rsidR="00D94935" w:rsidRDefault="00D94935" w:rsidP="00D94935">
      <w:pPr>
        <w:pStyle w:val="Amain"/>
      </w:pPr>
      <w:r>
        <w:tab/>
        <w:t>(4)</w:t>
      </w:r>
      <w:r>
        <w:tab/>
        <w:t xml:space="preserve">The </w:t>
      </w:r>
      <w:hyperlink r:id="rId899" w:tooltip="A2001-14" w:history="1">
        <w:r w:rsidRPr="006364FA">
          <w:rPr>
            <w:rStyle w:val="charCitHyperlinkAbbrev"/>
          </w:rPr>
          <w:t>Legislation Act</w:t>
        </w:r>
      </w:hyperlink>
      <w:r>
        <w:t>, part 19.3 (Appointments) does not apply to an appointment under this rule.</w:t>
      </w:r>
    </w:p>
    <w:p w14:paraId="6B98BFBF" w14:textId="77777777" w:rsidR="00D94935" w:rsidRDefault="00D94935" w:rsidP="00D94935">
      <w:pPr>
        <w:pStyle w:val="AH5Sec"/>
      </w:pPr>
      <w:bookmarkStart w:id="1854" w:name="_Toc185515470"/>
      <w:r w:rsidRPr="00C8328B">
        <w:rPr>
          <w:rStyle w:val="CharSectNo"/>
        </w:rPr>
        <w:t>6846</w:t>
      </w:r>
      <w:r>
        <w:tab/>
        <w:t>Attendance by div 6.10.9 order applicant at examination</w:t>
      </w:r>
      <w:bookmarkEnd w:id="1854"/>
    </w:p>
    <w:p w14:paraId="5E010582" w14:textId="77777777"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14:paraId="683D47A2" w14:textId="77777777" w:rsidR="00D94935" w:rsidRDefault="00D94935" w:rsidP="00D94935">
      <w:pPr>
        <w:pStyle w:val="AH5Sec"/>
      </w:pPr>
      <w:bookmarkStart w:id="1855" w:name="_Toc185515471"/>
      <w:r w:rsidRPr="00C8328B">
        <w:rPr>
          <w:rStyle w:val="CharSectNo"/>
        </w:rPr>
        <w:t>6847</w:t>
      </w:r>
      <w:r>
        <w:tab/>
        <w:t>Procedure for taking evidence under div 6.10.9 order</w:t>
      </w:r>
      <w:bookmarkEnd w:id="1855"/>
    </w:p>
    <w:p w14:paraId="11F1F1EA" w14:textId="77777777"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14:paraId="09DA4C3E" w14:textId="77777777"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14:paraId="16AB9CC6"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14:paraId="50AA1EE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14:paraId="296FC4D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14:paraId="3FDED51A"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14:paraId="62A2295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14:paraId="0219328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14:paraId="1BB4D7F7"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6822 (Recording evidence of examination)</w:t>
      </w:r>
    </w:p>
    <w:p w14:paraId="03CDCD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14:paraId="0953EBF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14:paraId="738F8C8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14:paraId="65104E7F" w14:textId="77777777" w:rsidR="00D94935" w:rsidRDefault="00D94935" w:rsidP="00D94935">
      <w:pPr>
        <w:pStyle w:val="AH5Sec"/>
      </w:pPr>
      <w:bookmarkStart w:id="1856" w:name="_Toc185515472"/>
      <w:r w:rsidRPr="00C8328B">
        <w:rPr>
          <w:rStyle w:val="CharSectNo"/>
        </w:rPr>
        <w:t>6848</w:t>
      </w:r>
      <w:r>
        <w:tab/>
        <w:t>Keeping of exhibits at div 6.10.9 examination</w:t>
      </w:r>
      <w:bookmarkEnd w:id="1856"/>
    </w:p>
    <w:p w14:paraId="3DA0446A" w14:textId="77777777"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14:paraId="486D6E06" w14:textId="77777777" w:rsidR="00D94935" w:rsidRDefault="00D94935" w:rsidP="00D94935">
      <w:pPr>
        <w:pStyle w:val="AH5Sec"/>
      </w:pPr>
      <w:bookmarkStart w:id="1857" w:name="_Toc185515473"/>
      <w:r w:rsidRPr="00C8328B">
        <w:rPr>
          <w:rStyle w:val="CharSectNo"/>
        </w:rPr>
        <w:t>6849</w:t>
      </w:r>
      <w:r>
        <w:tab/>
        <w:t>Certificate of order and depositions—div 6.10.9 examination</w:t>
      </w:r>
      <w:bookmarkEnd w:id="1857"/>
    </w:p>
    <w:p w14:paraId="2922BC04" w14:textId="77777777" w:rsidR="00D94935" w:rsidRDefault="00D94935" w:rsidP="00D94935">
      <w:pPr>
        <w:pStyle w:val="Amainreturn"/>
      </w:pPr>
      <w:r>
        <w:t>On receiving the original record of the deposition, and any transcript of that record, taken in an examination, the registrar must—</w:t>
      </w:r>
    </w:p>
    <w:p w14:paraId="3493A525" w14:textId="77777777" w:rsidR="00D94935" w:rsidRDefault="00D94935" w:rsidP="00D94935">
      <w:pPr>
        <w:pStyle w:val="Apara"/>
      </w:pPr>
      <w:r>
        <w:tab/>
        <w:t>(a)</w:t>
      </w:r>
      <w:r>
        <w:tab/>
        <w:t>issue a sealed certificate for the examination; and</w:t>
      </w:r>
    </w:p>
    <w:p w14:paraId="1F333F0E" w14:textId="77777777" w:rsidR="00D94935" w:rsidRDefault="00D94935" w:rsidP="00D94935">
      <w:pPr>
        <w:pStyle w:val="Apara"/>
        <w:keepNext/>
      </w:pPr>
      <w:r>
        <w:tab/>
        <w:t>(b)</w:t>
      </w:r>
      <w:r>
        <w:tab/>
        <w:t>give the certificate, and the documents mentioned in the certificate, to the Attorney-General.</w:t>
      </w:r>
    </w:p>
    <w:p w14:paraId="0C06C1EC" w14:textId="66640A06"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900" w:history="1">
        <w:r w:rsidRPr="004F3AAC">
          <w:rPr>
            <w:rStyle w:val="charCitHyperlinkAbbrev"/>
          </w:rPr>
          <w:t>AF2006-422</w:t>
        </w:r>
      </w:hyperlink>
      <w:r>
        <w:t>.</w:t>
      </w:r>
    </w:p>
    <w:p w14:paraId="7A4A394C" w14:textId="77777777" w:rsidR="00D94935" w:rsidRDefault="00D94935" w:rsidP="00D94935">
      <w:pPr>
        <w:pStyle w:val="AH5Sec"/>
      </w:pPr>
      <w:bookmarkStart w:id="1858" w:name="_Toc185515474"/>
      <w:r w:rsidRPr="00C8328B">
        <w:rPr>
          <w:rStyle w:val="CharSectNo"/>
        </w:rPr>
        <w:t>6850</w:t>
      </w:r>
      <w:r>
        <w:tab/>
        <w:t>Privilege of witnesses—div 6.10.9 examination</w:t>
      </w:r>
      <w:bookmarkEnd w:id="1858"/>
    </w:p>
    <w:p w14:paraId="0C850C27" w14:textId="77777777"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14:paraId="672FEB3D" w14:textId="77777777" w:rsidR="00D94935" w:rsidRDefault="00D94935" w:rsidP="00D94935">
      <w:pPr>
        <w:pStyle w:val="Apara"/>
      </w:pPr>
      <w:r>
        <w:tab/>
        <w:t>(a)</w:t>
      </w:r>
      <w:r>
        <w:tab/>
        <w:t>the ACT; or</w:t>
      </w:r>
    </w:p>
    <w:p w14:paraId="34607068" w14:textId="77777777" w:rsidR="00D94935" w:rsidRDefault="00D94935" w:rsidP="00D94935">
      <w:pPr>
        <w:pStyle w:val="Apara"/>
      </w:pPr>
      <w:r>
        <w:tab/>
        <w:t>(b)</w:t>
      </w:r>
      <w:r>
        <w:tab/>
        <w:t>the place where the requesting court exercises jurisdiction.</w:t>
      </w:r>
    </w:p>
    <w:p w14:paraId="72C5192C" w14:textId="77777777" w:rsidR="00D94935" w:rsidRDefault="00D94935" w:rsidP="00D94935">
      <w:pPr>
        <w:pStyle w:val="Amain"/>
        <w:keepNext/>
      </w:pPr>
      <w:r>
        <w:lastRenderedPageBreak/>
        <w:tab/>
        <w:t>(2)</w:t>
      </w:r>
      <w:r>
        <w:tab/>
        <w:t>Subrule (1) (b) does not apply unless the person’s claim to be exempt from giving evidence is—</w:t>
      </w:r>
    </w:p>
    <w:p w14:paraId="0E63B38F" w14:textId="77777777" w:rsidR="00D94935" w:rsidRDefault="00D94935" w:rsidP="00D94935">
      <w:pPr>
        <w:pStyle w:val="Apara"/>
      </w:pPr>
      <w:r>
        <w:tab/>
        <w:t>(a)</w:t>
      </w:r>
      <w:r>
        <w:tab/>
        <w:t>supported by a statement contained in the request (whether it is supported unconditionally or subject to conditions that are fulfilled); or</w:t>
      </w:r>
    </w:p>
    <w:p w14:paraId="21EC311E" w14:textId="77777777" w:rsidR="00D94935" w:rsidRDefault="00D94935" w:rsidP="00D94935">
      <w:pPr>
        <w:pStyle w:val="Apara"/>
      </w:pPr>
      <w:r>
        <w:tab/>
        <w:t>(b)</w:t>
      </w:r>
      <w:r>
        <w:tab/>
        <w:t>conceded by the applicant for the order.</w:t>
      </w:r>
    </w:p>
    <w:p w14:paraId="7D252044" w14:textId="77777777"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14:paraId="1453BEC7" w14:textId="77777777" w:rsidR="00D94935" w:rsidRDefault="00D94935" w:rsidP="00D94935">
      <w:pPr>
        <w:pStyle w:val="Amain"/>
        <w:keepNext/>
      </w:pPr>
      <w:r>
        <w:tab/>
        <w:t>(4)</w:t>
      </w:r>
      <w:r>
        <w:tab/>
        <w:t>In this rule:</w:t>
      </w:r>
    </w:p>
    <w:p w14:paraId="6BCA8553" w14:textId="77777777" w:rsidR="00D94935" w:rsidRDefault="00D94935" w:rsidP="00D94935">
      <w:pPr>
        <w:pStyle w:val="aDef"/>
        <w:keepNext/>
      </w:pPr>
      <w:r w:rsidRPr="006364FA">
        <w:rPr>
          <w:rStyle w:val="charBoldItals"/>
        </w:rPr>
        <w:t>giving evidence</w:t>
      </w:r>
      <w:r>
        <w:t xml:space="preserve"> includes—</w:t>
      </w:r>
    </w:p>
    <w:p w14:paraId="5369A15C" w14:textId="77777777" w:rsidR="00D94935" w:rsidRDefault="00D94935" w:rsidP="00D94935">
      <w:pPr>
        <w:pStyle w:val="aDefpara"/>
      </w:pPr>
      <w:r>
        <w:tab/>
        <w:t>(a)</w:t>
      </w:r>
      <w:r>
        <w:tab/>
        <w:t>producing a document; and</w:t>
      </w:r>
    </w:p>
    <w:p w14:paraId="166028F5" w14:textId="77777777" w:rsidR="00D94935" w:rsidRDefault="00D94935" w:rsidP="00D94935">
      <w:pPr>
        <w:pStyle w:val="aDefpara"/>
      </w:pPr>
      <w:r>
        <w:tab/>
        <w:t>(b)</w:t>
      </w:r>
      <w:r>
        <w:tab/>
        <w:t>answering a question.</w:t>
      </w:r>
    </w:p>
    <w:p w14:paraId="020FED04" w14:textId="77777777" w:rsidR="00D94935" w:rsidRDefault="00D94935" w:rsidP="00D94935">
      <w:pPr>
        <w:pStyle w:val="AH5Sec"/>
      </w:pPr>
      <w:bookmarkStart w:id="1859" w:name="_Toc185515475"/>
      <w:r w:rsidRPr="00C8328B">
        <w:rPr>
          <w:rStyle w:val="CharSectNo"/>
        </w:rPr>
        <w:t>6851</w:t>
      </w:r>
      <w:r>
        <w:tab/>
        <w:t>Privilege of witnesses—unsupported claim etc for div 6.10.9 examination</w:t>
      </w:r>
      <w:bookmarkEnd w:id="1859"/>
    </w:p>
    <w:p w14:paraId="380453CC" w14:textId="77777777"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14:paraId="190F8C6F" w14:textId="77777777" w:rsidR="00D94935" w:rsidRDefault="00D94935" w:rsidP="00D94935">
      <w:pPr>
        <w:pStyle w:val="Amain"/>
      </w:pPr>
      <w:r>
        <w:tab/>
        <w:t>(2)</w:t>
      </w:r>
      <w:r>
        <w:tab/>
        <w:t>The deposition, and any transcript, recording the evidence must—</w:t>
      </w:r>
    </w:p>
    <w:p w14:paraId="048B4835" w14:textId="77777777" w:rsidR="00D94935" w:rsidRDefault="00D94935" w:rsidP="00D94935">
      <w:pPr>
        <w:pStyle w:val="Apara"/>
      </w:pPr>
      <w:r>
        <w:tab/>
        <w:t>(a)</w:t>
      </w:r>
      <w:r>
        <w:tab/>
        <w:t>be kept separate from any other deposition or transcript in the examination; and</w:t>
      </w:r>
    </w:p>
    <w:p w14:paraId="6E5DD079" w14:textId="77777777" w:rsidR="00D94935" w:rsidRDefault="00D94935" w:rsidP="00D94935">
      <w:pPr>
        <w:pStyle w:val="Apara"/>
      </w:pPr>
      <w:r>
        <w:tab/>
        <w:t>(b)</w:t>
      </w:r>
      <w:r>
        <w:tab/>
        <w:t>when given to the registrar, be accompanied by a statement signed by the examiner setting out the claim for privilege and the ground on which it was made.</w:t>
      </w:r>
    </w:p>
    <w:p w14:paraId="2013AD24" w14:textId="77777777" w:rsidR="00D94935" w:rsidRDefault="00D94935" w:rsidP="00D94935">
      <w:pPr>
        <w:pStyle w:val="Amain"/>
        <w:keepNext/>
      </w:pPr>
      <w:r>
        <w:lastRenderedPageBreak/>
        <w:tab/>
        <w:t>(3)</w:t>
      </w:r>
      <w:r>
        <w:tab/>
        <w:t>The registrar—</w:t>
      </w:r>
    </w:p>
    <w:p w14:paraId="2DE6093C" w14:textId="77777777" w:rsidR="00D94935" w:rsidRDefault="00D94935" w:rsidP="00804D8A">
      <w:pPr>
        <w:pStyle w:val="Apara"/>
        <w:keepLines/>
      </w:pPr>
      <w:r>
        <w:tab/>
        <w:t>(a)</w:t>
      </w:r>
      <w:r>
        <w:tab/>
        <w:t>must include the statement of the claim for privilege, and a request to decide the claim, with the documents sent to the Attorney-General under rule 6849 (Certificate of order and depositions—div 6.10.9 examination); and</w:t>
      </w:r>
    </w:p>
    <w:p w14:paraId="6CFCFD63" w14:textId="77777777" w:rsidR="00D94935" w:rsidRDefault="00D94935" w:rsidP="00D94935">
      <w:pPr>
        <w:pStyle w:val="Apara"/>
      </w:pPr>
      <w:r>
        <w:tab/>
        <w:t>(b)</w:t>
      </w:r>
      <w:r>
        <w:tab/>
        <w:t>must not include with those documents the deposition, or any transcript, recording the evidence that is the subject of the claim.</w:t>
      </w:r>
    </w:p>
    <w:p w14:paraId="4091C0D1" w14:textId="77777777" w:rsidR="00D94935" w:rsidRDefault="00D94935" w:rsidP="00D94935">
      <w:pPr>
        <w:pStyle w:val="Amain"/>
        <w:keepNext/>
      </w:pPr>
      <w:r>
        <w:tab/>
        <w:t>(4)</w:t>
      </w:r>
      <w:r>
        <w:tab/>
        <w:t>After the requesting court decides the claim for privilege, the registrar must—</w:t>
      </w:r>
    </w:p>
    <w:p w14:paraId="329EE386" w14:textId="77777777" w:rsidR="00D94935" w:rsidRDefault="00D94935" w:rsidP="00D94935">
      <w:pPr>
        <w:pStyle w:val="Apara"/>
      </w:pPr>
      <w:r>
        <w:tab/>
        <w:t>(a)</w:t>
      </w:r>
      <w:r>
        <w:tab/>
        <w:t>if the requesting court rejects the claim—send it the deposition, and any transcript, recording the evidence to which the claim relates; or</w:t>
      </w:r>
    </w:p>
    <w:p w14:paraId="148B5E1B" w14:textId="77777777" w:rsidR="00D94935" w:rsidRDefault="00D94935" w:rsidP="00D94935">
      <w:pPr>
        <w:pStyle w:val="Apara"/>
      </w:pPr>
      <w:r>
        <w:tab/>
        <w:t>(b)</w:t>
      </w:r>
      <w:r>
        <w:tab/>
        <w:t>if the requesting court upholds the claim—return the deposition and any transcript to the person claiming privilege.</w:t>
      </w:r>
    </w:p>
    <w:p w14:paraId="41A5DDCB" w14:textId="77777777" w:rsidR="00D94935" w:rsidRDefault="00D94935" w:rsidP="00D94935">
      <w:pPr>
        <w:pStyle w:val="Amain"/>
      </w:pPr>
      <w:r>
        <w:tab/>
        <w:t>(5)</w:t>
      </w:r>
      <w:r>
        <w:tab/>
        <w:t>The registrar must also tell the person claiming privilege, and the applicant for the order for examination, about the decision of the requesting court.</w:t>
      </w:r>
    </w:p>
    <w:p w14:paraId="133A8021" w14:textId="77777777" w:rsidR="00D94935" w:rsidRDefault="00D94935" w:rsidP="00D94935">
      <w:pPr>
        <w:pStyle w:val="PageBreak"/>
      </w:pPr>
      <w:r>
        <w:br w:type="page"/>
      </w:r>
    </w:p>
    <w:p w14:paraId="46521B20" w14:textId="77777777" w:rsidR="00D94935" w:rsidRPr="00C8328B" w:rsidRDefault="00D94935" w:rsidP="00D94935">
      <w:pPr>
        <w:pStyle w:val="AH2Part"/>
      </w:pPr>
      <w:bookmarkStart w:id="1860" w:name="_Toc185515476"/>
      <w:r w:rsidRPr="00C8328B">
        <w:rPr>
          <w:rStyle w:val="CharPartNo"/>
        </w:rPr>
        <w:lastRenderedPageBreak/>
        <w:t>Part 6.10A</w:t>
      </w:r>
      <w:r w:rsidRPr="0028337B">
        <w:tab/>
      </w:r>
      <w:r w:rsidRPr="00C8328B">
        <w:rPr>
          <w:rStyle w:val="CharPartText"/>
        </w:rPr>
        <w:t>Trans-Tasman proceedings</w:t>
      </w:r>
      <w:bookmarkEnd w:id="1860"/>
    </w:p>
    <w:p w14:paraId="56E769C0" w14:textId="77777777" w:rsidR="00D94935" w:rsidRPr="00C8328B" w:rsidRDefault="00D94935" w:rsidP="00D94935">
      <w:pPr>
        <w:pStyle w:val="AH3Div"/>
      </w:pPr>
      <w:bookmarkStart w:id="1861" w:name="_Toc185515477"/>
      <w:r w:rsidRPr="00C8328B">
        <w:rPr>
          <w:rStyle w:val="CharDivNo"/>
        </w:rPr>
        <w:t>Division 6.10A.1</w:t>
      </w:r>
      <w:r w:rsidRPr="0028337B">
        <w:tab/>
      </w:r>
      <w:r w:rsidRPr="00C8328B">
        <w:rPr>
          <w:rStyle w:val="CharDivText"/>
        </w:rPr>
        <w:t>Trans-Tasman proceedings—general</w:t>
      </w:r>
      <w:bookmarkEnd w:id="1861"/>
    </w:p>
    <w:p w14:paraId="06D0BD66" w14:textId="77777777" w:rsidR="00D94935" w:rsidRPr="0028337B" w:rsidRDefault="00D94935" w:rsidP="00D94935">
      <w:pPr>
        <w:pStyle w:val="AH5Sec"/>
      </w:pPr>
      <w:bookmarkStart w:id="1862" w:name="_Toc185515478"/>
      <w:r w:rsidRPr="00C8328B">
        <w:rPr>
          <w:rStyle w:val="CharSectNo"/>
        </w:rPr>
        <w:t>6860</w:t>
      </w:r>
      <w:r w:rsidRPr="0028337B">
        <w:tab/>
        <w:t>Terms in Trans-Tasman Proceedings Act</w:t>
      </w:r>
      <w:bookmarkEnd w:id="1862"/>
    </w:p>
    <w:p w14:paraId="10FEB2F2" w14:textId="3306829F" w:rsidR="00D94935" w:rsidRPr="0028337B" w:rsidRDefault="00D94935" w:rsidP="00D94935">
      <w:pPr>
        <w:pStyle w:val="Amainreturn"/>
        <w:keepNext/>
      </w:pPr>
      <w:r w:rsidRPr="0028337B">
        <w:t xml:space="preserve">A term used in the </w:t>
      </w:r>
      <w:hyperlink r:id="rId901" w:tooltip="Trans-Tasman Proceedings Act 2010" w:history="1">
        <w:r w:rsidRPr="000B4F3F">
          <w:rPr>
            <w:rStyle w:val="charCitHyperlinkAbbrev"/>
          </w:rPr>
          <w:t>Trans-Tasman Proceedings Act</w:t>
        </w:r>
      </w:hyperlink>
      <w:r w:rsidRPr="0028337B">
        <w:t xml:space="preserve"> has the same meaning in this chapter.</w:t>
      </w:r>
    </w:p>
    <w:p w14:paraId="1623ACEE" w14:textId="457A0DC6"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902" w:tooltip="Trans-Tasman Proceedings Act 2010" w:history="1">
        <w:r w:rsidRPr="000B4F3F">
          <w:rPr>
            <w:rStyle w:val="charCitHyperlinkAbbrev"/>
          </w:rPr>
          <w:t>Trans-Tasman Proceedings Act</w:t>
        </w:r>
      </w:hyperlink>
      <w:r w:rsidRPr="0028337B">
        <w:t>, s 4:</w:t>
      </w:r>
    </w:p>
    <w:p w14:paraId="71ADF715"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14:paraId="39ECCB8D"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14:paraId="4C49C1DB"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14:paraId="449EBC09"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14:paraId="18A07811"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14:paraId="5F2AF300"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14:paraId="0DB92424"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14:paraId="12AC241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14:paraId="70F143DE"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14:paraId="72C5A0B8"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14:paraId="22B3A37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14:paraId="6092C001" w14:textId="77777777" w:rsidR="00D94935" w:rsidRPr="00C8328B" w:rsidRDefault="00D94935" w:rsidP="00D94935">
      <w:pPr>
        <w:pStyle w:val="AH3Div"/>
      </w:pPr>
      <w:bookmarkStart w:id="1863" w:name="_Toc185515479"/>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63"/>
    </w:p>
    <w:p w14:paraId="78DCD3E8" w14:textId="77777777" w:rsidR="00D94935" w:rsidRPr="0028337B" w:rsidRDefault="00D94935" w:rsidP="00D94935">
      <w:pPr>
        <w:pStyle w:val="AH5Sec"/>
      </w:pPr>
      <w:bookmarkStart w:id="1864" w:name="_Toc185515480"/>
      <w:r w:rsidRPr="00C8328B">
        <w:rPr>
          <w:rStyle w:val="CharSectNo"/>
        </w:rPr>
        <w:t>6861</w:t>
      </w:r>
      <w:r w:rsidRPr="0028337B">
        <w:tab/>
        <w:t>Trans-Tasman proceedings—originating application</w:t>
      </w:r>
      <w:bookmarkEnd w:id="1864"/>
    </w:p>
    <w:p w14:paraId="4ABA5A8D" w14:textId="229FF612" w:rsidR="00D94935" w:rsidRPr="0028337B" w:rsidRDefault="00D94935" w:rsidP="00D94935">
      <w:pPr>
        <w:pStyle w:val="Amain"/>
      </w:pPr>
      <w:r w:rsidRPr="0028337B">
        <w:tab/>
        <w:t>(1)</w:t>
      </w:r>
      <w:r w:rsidRPr="0028337B">
        <w:tab/>
        <w:t xml:space="preserve">A proceeding for an order under the </w:t>
      </w:r>
      <w:hyperlink r:id="rId903" w:tooltip="Trans-Tasman Proceedings Act 2010" w:history="1">
        <w:r w:rsidRPr="000B4F3F">
          <w:rPr>
            <w:rStyle w:val="charCitHyperlinkAbbrev"/>
          </w:rPr>
          <w:t>Trans-Tasman Proceedings Act</w:t>
        </w:r>
      </w:hyperlink>
      <w:r w:rsidRPr="0028337B">
        <w:t xml:space="preserve"> must be started by an originating application. </w:t>
      </w:r>
    </w:p>
    <w:p w14:paraId="6A30A305" w14:textId="0E8BF643"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904" w:history="1">
        <w:r>
          <w:rPr>
            <w:rStyle w:val="charCitHyperlinkAbbrev"/>
          </w:rPr>
          <w:t>AF2006-252</w:t>
        </w:r>
      </w:hyperlink>
      <w:r w:rsidRPr="0028337B">
        <w:t>.</w:t>
      </w:r>
    </w:p>
    <w:p w14:paraId="66EAE1D0" w14:textId="77777777"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14:paraId="5BE5D116" w14:textId="77777777" w:rsidR="00D94935" w:rsidRPr="0028337B" w:rsidRDefault="00D94935" w:rsidP="00D94935">
      <w:pPr>
        <w:pStyle w:val="AH5Sec"/>
      </w:pPr>
      <w:bookmarkStart w:id="1865" w:name="_Toc185515481"/>
      <w:r w:rsidRPr="00C8328B">
        <w:rPr>
          <w:rStyle w:val="CharSectNo"/>
        </w:rPr>
        <w:lastRenderedPageBreak/>
        <w:t>6862</w:t>
      </w:r>
      <w:r w:rsidRPr="0028337B">
        <w:tab/>
        <w:t>Trans-Tasman proceedings—applications in proceedings</w:t>
      </w:r>
      <w:bookmarkEnd w:id="1865"/>
    </w:p>
    <w:p w14:paraId="1A9321BF" w14:textId="1D43EF7F" w:rsidR="00D94935" w:rsidRPr="0028337B" w:rsidRDefault="00D94935" w:rsidP="00804D8A">
      <w:pPr>
        <w:pStyle w:val="Amainreturn"/>
      </w:pPr>
      <w:r w:rsidRPr="0028337B">
        <w:t xml:space="preserve">An application in a proceeding for an order under the </w:t>
      </w:r>
      <w:hyperlink r:id="rId905"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14:paraId="19824D51" w14:textId="2092938D"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906" w:history="1">
        <w:r>
          <w:rPr>
            <w:rStyle w:val="charCitHyperlinkAbbrev"/>
          </w:rPr>
          <w:t>AF2010-103</w:t>
        </w:r>
      </w:hyperlink>
      <w:r w:rsidRPr="0028337B">
        <w:t>.</w:t>
      </w:r>
    </w:p>
    <w:p w14:paraId="36DCE75B" w14:textId="77777777" w:rsidR="00D94935" w:rsidRPr="0028337B" w:rsidRDefault="00D94935" w:rsidP="00D94935">
      <w:pPr>
        <w:pStyle w:val="AH5Sec"/>
      </w:pPr>
      <w:bookmarkStart w:id="1866" w:name="_Toc185515482"/>
      <w:r w:rsidRPr="00C8328B">
        <w:rPr>
          <w:rStyle w:val="CharSectNo"/>
        </w:rPr>
        <w:t>6863</w:t>
      </w:r>
      <w:r w:rsidRPr="0028337B">
        <w:tab/>
        <w:t>Trans-Tasman proceedings—application for interim relief</w:t>
      </w:r>
      <w:bookmarkEnd w:id="1866"/>
    </w:p>
    <w:p w14:paraId="53A45A1C" w14:textId="74FE773F" w:rsidR="00D94935" w:rsidRPr="0028337B" w:rsidRDefault="00D94935" w:rsidP="00D94935">
      <w:pPr>
        <w:pStyle w:val="Amain"/>
      </w:pPr>
      <w:r w:rsidRPr="0028337B">
        <w:tab/>
        <w:t>(1)</w:t>
      </w:r>
      <w:r w:rsidRPr="0028337B">
        <w:tab/>
        <w:t xml:space="preserve">An application for an order for interim relief under the </w:t>
      </w:r>
      <w:hyperlink r:id="rId907" w:tooltip="Trans-Tasman Proceedings Act 2010" w:history="1">
        <w:r w:rsidRPr="000B4F3F">
          <w:rPr>
            <w:rStyle w:val="charCitHyperlinkAbbrev"/>
          </w:rPr>
          <w:t>Trans-Tasman Proceedings Act</w:t>
        </w:r>
      </w:hyperlink>
      <w:r w:rsidRPr="0028337B">
        <w:t>, section 25 must be made by an originating application.</w:t>
      </w:r>
    </w:p>
    <w:p w14:paraId="6321CC05" w14:textId="45EF2AC8"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8" w:history="1">
        <w:r w:rsidR="00F10AE1">
          <w:rPr>
            <w:rStyle w:val="charCitHyperlinkAbbrev"/>
          </w:rPr>
          <w:t>AF2024-47</w:t>
        </w:r>
      </w:hyperlink>
      <w:r w:rsidRPr="0028337B">
        <w:t>.</w:t>
      </w:r>
    </w:p>
    <w:p w14:paraId="229CD294" w14:textId="77777777" w:rsidR="00D94935" w:rsidRPr="0028337B" w:rsidRDefault="00D94935" w:rsidP="00D94935">
      <w:pPr>
        <w:pStyle w:val="Amain"/>
      </w:pPr>
      <w:r w:rsidRPr="0028337B">
        <w:tab/>
        <w:t>(2)</w:t>
      </w:r>
      <w:r w:rsidRPr="0028337B">
        <w:tab/>
        <w:t>The application must be accompanied by an affidavit stating—</w:t>
      </w:r>
    </w:p>
    <w:p w14:paraId="75474DC8" w14:textId="77777777" w:rsidR="00D94935" w:rsidRPr="0028337B" w:rsidRDefault="00D94935" w:rsidP="00D94935">
      <w:pPr>
        <w:pStyle w:val="Apara"/>
      </w:pPr>
      <w:r w:rsidRPr="0028337B">
        <w:tab/>
        <w:t>(a)</w:t>
      </w:r>
      <w:r w:rsidRPr="0028337B">
        <w:tab/>
        <w:t>if the person has started a proceeding in a New Zealand court—</w:t>
      </w:r>
    </w:p>
    <w:p w14:paraId="4B7FDF93" w14:textId="77777777" w:rsidR="00D94935" w:rsidRPr="0028337B" w:rsidRDefault="00D94935" w:rsidP="00D94935">
      <w:pPr>
        <w:pStyle w:val="Asubpara"/>
      </w:pPr>
      <w:r w:rsidRPr="0028337B">
        <w:tab/>
        <w:t>(i)</w:t>
      </w:r>
      <w:r w:rsidRPr="0028337B">
        <w:tab/>
        <w:t>that the person has started a proceeding in a New Zealand court; and</w:t>
      </w:r>
    </w:p>
    <w:p w14:paraId="03B0F63A" w14:textId="77777777" w:rsidR="00D94935" w:rsidRPr="0028337B" w:rsidRDefault="00D94935" w:rsidP="00D94935">
      <w:pPr>
        <w:pStyle w:val="Asubpara"/>
      </w:pPr>
      <w:r w:rsidRPr="0028337B">
        <w:tab/>
        <w:t>(ii)</w:t>
      </w:r>
      <w:r w:rsidRPr="0028337B">
        <w:tab/>
        <w:t>the relief sought in the New Zealand proceeding; and</w:t>
      </w:r>
    </w:p>
    <w:p w14:paraId="36E2D128" w14:textId="77777777" w:rsidR="00D94935" w:rsidRPr="0028337B" w:rsidRDefault="00D94935" w:rsidP="00D94935">
      <w:pPr>
        <w:pStyle w:val="Asubpara"/>
      </w:pPr>
      <w:r w:rsidRPr="0028337B">
        <w:tab/>
        <w:t>(iii)</w:t>
      </w:r>
      <w:r w:rsidRPr="0028337B">
        <w:tab/>
        <w:t>the steps taken in the New Zealand proceeding; or</w:t>
      </w:r>
    </w:p>
    <w:p w14:paraId="367ECD50" w14:textId="77777777" w:rsidR="00D94935" w:rsidRPr="0028337B" w:rsidRDefault="00D94935" w:rsidP="00D94935">
      <w:pPr>
        <w:pStyle w:val="Apara"/>
      </w:pPr>
      <w:r w:rsidRPr="0028337B">
        <w:tab/>
        <w:t>(b)</w:t>
      </w:r>
      <w:r w:rsidRPr="0028337B">
        <w:tab/>
        <w:t>if the person intends to start a proceeding in a New Zealand court—</w:t>
      </w:r>
    </w:p>
    <w:p w14:paraId="3997517A" w14:textId="77777777" w:rsidR="00D94935" w:rsidRPr="0028337B" w:rsidRDefault="00D94935" w:rsidP="00D94935">
      <w:pPr>
        <w:pStyle w:val="Asubpara"/>
      </w:pPr>
      <w:r w:rsidRPr="0028337B">
        <w:tab/>
        <w:t>(i)</w:t>
      </w:r>
      <w:r w:rsidRPr="0028337B">
        <w:tab/>
        <w:t>when the intended proceeding will be started; and</w:t>
      </w:r>
    </w:p>
    <w:p w14:paraId="7D1D7FDF" w14:textId="77777777" w:rsidR="00D94935" w:rsidRPr="0028337B" w:rsidRDefault="00D94935" w:rsidP="00D94935">
      <w:pPr>
        <w:pStyle w:val="Asubpara"/>
      </w:pPr>
      <w:r w:rsidRPr="0028337B">
        <w:tab/>
        <w:t>(ii)</w:t>
      </w:r>
      <w:r w:rsidRPr="0028337B">
        <w:tab/>
        <w:t>the court in which the intended proceeding is to be started; and</w:t>
      </w:r>
    </w:p>
    <w:p w14:paraId="6FBF83F2" w14:textId="77777777" w:rsidR="00D94935" w:rsidRPr="0028337B" w:rsidRDefault="00D94935" w:rsidP="00D94935">
      <w:pPr>
        <w:pStyle w:val="Asubpara"/>
      </w:pPr>
      <w:r w:rsidRPr="0028337B">
        <w:tab/>
        <w:t>(iii)</w:t>
      </w:r>
      <w:r w:rsidRPr="0028337B">
        <w:tab/>
        <w:t>the relief to be sought in the intended proceeding; and</w:t>
      </w:r>
    </w:p>
    <w:p w14:paraId="2135D786" w14:textId="77777777" w:rsidR="00D94935" w:rsidRPr="0028337B" w:rsidRDefault="00D94935" w:rsidP="00D94935">
      <w:pPr>
        <w:pStyle w:val="Apara"/>
      </w:pPr>
      <w:r w:rsidRPr="0028337B">
        <w:tab/>
        <w:t>(c)</w:t>
      </w:r>
      <w:r w:rsidRPr="0028337B">
        <w:tab/>
        <w:t>the interim relief sought; and</w:t>
      </w:r>
    </w:p>
    <w:p w14:paraId="2999E5DB" w14:textId="77777777" w:rsidR="00D94935" w:rsidRPr="0028337B" w:rsidRDefault="00D94935" w:rsidP="00D94935">
      <w:pPr>
        <w:pStyle w:val="Apara"/>
      </w:pPr>
      <w:r w:rsidRPr="0028337B">
        <w:tab/>
        <w:t>(d)</w:t>
      </w:r>
      <w:r w:rsidRPr="0028337B">
        <w:tab/>
        <w:t>why the interim relief should be given.</w:t>
      </w:r>
    </w:p>
    <w:p w14:paraId="1013C28D" w14:textId="77777777" w:rsidR="00D94935" w:rsidRPr="00C8328B" w:rsidRDefault="00D94935" w:rsidP="00D94935">
      <w:pPr>
        <w:pStyle w:val="AH3Div"/>
      </w:pPr>
      <w:bookmarkStart w:id="1867" w:name="_Toc185515483"/>
      <w:r w:rsidRPr="00C8328B">
        <w:rPr>
          <w:rStyle w:val="CharDivNo"/>
        </w:rPr>
        <w:lastRenderedPageBreak/>
        <w:t>Division 6.10A.3</w:t>
      </w:r>
      <w:r w:rsidRPr="0028337B">
        <w:tab/>
      </w:r>
      <w:r w:rsidRPr="00C8328B">
        <w:rPr>
          <w:rStyle w:val="CharDivText"/>
        </w:rPr>
        <w:t>Trans-Tasman proceedings—service of subpoenas in New Zealand</w:t>
      </w:r>
      <w:bookmarkEnd w:id="1867"/>
    </w:p>
    <w:p w14:paraId="611B5358" w14:textId="77777777" w:rsidR="00D94935" w:rsidRPr="0028337B" w:rsidRDefault="00D94935" w:rsidP="00D94935">
      <w:pPr>
        <w:pStyle w:val="AH5Sec"/>
      </w:pPr>
      <w:bookmarkStart w:id="1868" w:name="_Toc185515484"/>
      <w:r w:rsidRPr="00C8328B">
        <w:rPr>
          <w:rStyle w:val="CharSectNo"/>
        </w:rPr>
        <w:t>6864</w:t>
      </w:r>
      <w:r w:rsidRPr="0028337B">
        <w:tab/>
        <w:t>Application—div 6.10A.3</w:t>
      </w:r>
      <w:bookmarkEnd w:id="1868"/>
    </w:p>
    <w:p w14:paraId="705932AE" w14:textId="23739707" w:rsidR="00D94935" w:rsidRPr="0028337B" w:rsidRDefault="00D94935" w:rsidP="004F369D">
      <w:pPr>
        <w:pStyle w:val="Amainreturn"/>
      </w:pPr>
      <w:r w:rsidRPr="0028337B">
        <w:t xml:space="preserve">This division applies to a proceeding to which the </w:t>
      </w:r>
      <w:hyperlink r:id="rId909" w:tooltip="Trans-Tasman Proceedings Act 2010" w:history="1">
        <w:r w:rsidRPr="000B4F3F">
          <w:rPr>
            <w:rStyle w:val="charCitHyperlinkAbbrev"/>
          </w:rPr>
          <w:t>Trans-Tasman Proceedings Act</w:t>
        </w:r>
      </w:hyperlink>
      <w:r w:rsidRPr="0028337B">
        <w:t>, part 5, division 2 applies.</w:t>
      </w:r>
    </w:p>
    <w:p w14:paraId="28FA23A4" w14:textId="5429D98B"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10"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14:paraId="1F3609BF" w14:textId="77777777" w:rsidR="00D94935" w:rsidRPr="0028337B" w:rsidRDefault="00D94935" w:rsidP="00D94935">
      <w:pPr>
        <w:pStyle w:val="AH5Sec"/>
      </w:pPr>
      <w:bookmarkStart w:id="1869" w:name="_Toc185515485"/>
      <w:r w:rsidRPr="00C8328B">
        <w:rPr>
          <w:rStyle w:val="CharSectNo"/>
        </w:rPr>
        <w:t>6865</w:t>
      </w:r>
      <w:r w:rsidRPr="0028337B">
        <w:tab/>
        <w:t>Trans-Tasman proceedings—application for leave to serve subpoena in New Zealand</w:t>
      </w:r>
      <w:bookmarkEnd w:id="1869"/>
    </w:p>
    <w:p w14:paraId="77209C94" w14:textId="77777777"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14:paraId="3923E2CF" w14:textId="58EF3841"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11" w:history="1">
        <w:r w:rsidR="009043E7">
          <w:rPr>
            <w:rStyle w:val="charCitHyperlinkAbbrev"/>
          </w:rPr>
          <w:t>AF2024-48</w:t>
        </w:r>
      </w:hyperlink>
      <w:r w:rsidRPr="0028337B">
        <w:t>.</w:t>
      </w:r>
    </w:p>
    <w:p w14:paraId="30C10195"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7766778F" w14:textId="77777777" w:rsidR="00D94935" w:rsidRPr="0028337B" w:rsidRDefault="00D94935" w:rsidP="00D94935">
      <w:pPr>
        <w:pStyle w:val="Amain"/>
      </w:pPr>
      <w:r w:rsidRPr="0028337B">
        <w:tab/>
        <w:t>(2)</w:t>
      </w:r>
      <w:r w:rsidRPr="0028337B">
        <w:tab/>
        <w:t>The application must be accompanied by—</w:t>
      </w:r>
    </w:p>
    <w:p w14:paraId="31059F43" w14:textId="77777777" w:rsidR="00D94935" w:rsidRPr="0028337B" w:rsidRDefault="00D94935" w:rsidP="00D94935">
      <w:pPr>
        <w:pStyle w:val="Apara"/>
      </w:pPr>
      <w:r w:rsidRPr="0028337B">
        <w:tab/>
        <w:t>(a)</w:t>
      </w:r>
      <w:r w:rsidRPr="0028337B">
        <w:tab/>
        <w:t>a copy of the subpoena in relation to which leave is sought; and</w:t>
      </w:r>
    </w:p>
    <w:p w14:paraId="3FBB9FFC" w14:textId="08B39B1B"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12" w:history="1">
        <w:r w:rsidR="009043E7">
          <w:rPr>
            <w:rStyle w:val="charCitHyperlinkAbbrev"/>
          </w:rPr>
          <w:t>AF2024-49</w:t>
        </w:r>
      </w:hyperlink>
      <w:r w:rsidRPr="0028337B">
        <w:t>.</w:t>
      </w:r>
    </w:p>
    <w:p w14:paraId="1BF56DCD" w14:textId="77777777" w:rsidR="00D94935" w:rsidRPr="0028337B" w:rsidRDefault="00D94935" w:rsidP="00D94935">
      <w:pPr>
        <w:pStyle w:val="aNotepar"/>
      </w:pPr>
      <w:r w:rsidRPr="0028337B">
        <w:rPr>
          <w:i/>
        </w:rPr>
        <w:t>Note 2</w:t>
      </w:r>
      <w:r w:rsidRPr="0028337B">
        <w:rPr>
          <w:i/>
        </w:rPr>
        <w:tab/>
      </w:r>
      <w:r w:rsidRPr="0028337B">
        <w:t>Pt 6.9 (Subpoenas) applies to the subpoena.</w:t>
      </w:r>
    </w:p>
    <w:p w14:paraId="3182107D" w14:textId="77777777" w:rsidR="00D94935" w:rsidRPr="0028337B" w:rsidRDefault="00D94935" w:rsidP="00D94935">
      <w:pPr>
        <w:pStyle w:val="Apara"/>
      </w:pPr>
      <w:r w:rsidRPr="0028337B">
        <w:tab/>
        <w:t>(b)</w:t>
      </w:r>
      <w:r w:rsidRPr="0028337B">
        <w:tab/>
        <w:t>an affidavit stating, briefly but specifically, the following:</w:t>
      </w:r>
    </w:p>
    <w:p w14:paraId="65BF5C08" w14:textId="77777777"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14:paraId="793A89D3" w14:textId="77777777" w:rsidR="00D94935" w:rsidRPr="0028337B" w:rsidRDefault="00D94935" w:rsidP="00D94935">
      <w:pPr>
        <w:pStyle w:val="Asubpara"/>
      </w:pPr>
      <w:r w:rsidRPr="0028337B">
        <w:tab/>
        <w:t>(ii)</w:t>
      </w:r>
      <w:r w:rsidRPr="0028337B">
        <w:tab/>
        <w:t>whether the addressee is at least 18 years old;</w:t>
      </w:r>
    </w:p>
    <w:p w14:paraId="55C66B92" w14:textId="77777777"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14:paraId="3819AD0F" w14:textId="77777777"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14:paraId="4C10FD4D" w14:textId="77777777" w:rsidR="00D94935" w:rsidRPr="0028337B" w:rsidRDefault="00D94935" w:rsidP="00D94935">
      <w:pPr>
        <w:pStyle w:val="Asubpara"/>
      </w:pPr>
      <w:r w:rsidRPr="0028337B">
        <w:tab/>
        <w:t>(v)</w:t>
      </w:r>
      <w:r w:rsidRPr="0028337B">
        <w:tab/>
        <w:t>the date by which it is intended to serve the subpoena in New Zealand;</w:t>
      </w:r>
    </w:p>
    <w:p w14:paraId="42D25F8B" w14:textId="77777777"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14:paraId="1BA838E8" w14:textId="7E236D66"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13" w:tooltip="Trans-Tasman Proceedings Act 2010" w:history="1">
        <w:r w:rsidRPr="000B4F3F">
          <w:rPr>
            <w:rStyle w:val="charCitHyperlinkAbbrev"/>
          </w:rPr>
          <w:t>Trans-Tasman Proceedings Act</w:t>
        </w:r>
      </w:hyperlink>
      <w:r w:rsidRPr="0028337B">
        <w:t>, s 37 (1)).</w:t>
      </w:r>
    </w:p>
    <w:p w14:paraId="1F9BD4DB" w14:textId="26CAF83A"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14"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15" w:tooltip="Trans-Tasman Proceedings Act 2010" w:history="1">
        <w:r w:rsidRPr="000B4F3F">
          <w:rPr>
            <w:rStyle w:val="charCitHyperlinkAbbrev"/>
          </w:rPr>
          <w:t>Trans-Tasman Proceedings Act</w:t>
        </w:r>
      </w:hyperlink>
      <w:r w:rsidRPr="0028337B">
        <w:t>, s 37 (4)).</w:t>
      </w:r>
    </w:p>
    <w:p w14:paraId="38418E5B" w14:textId="7AF6762F"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16" w:tooltip="Trans-Tasman Proceedings Act 2010" w:history="1">
        <w:r w:rsidRPr="000B4F3F">
          <w:rPr>
            <w:rStyle w:val="charCitHyperlinkAbbrev"/>
          </w:rPr>
          <w:t>Trans-Tasman Proceedings Act</w:t>
        </w:r>
      </w:hyperlink>
      <w:r w:rsidRPr="0028337B">
        <w:rPr>
          <w:iCs/>
        </w:rPr>
        <w:t>, s 4.</w:t>
      </w:r>
    </w:p>
    <w:p w14:paraId="45FF06C2" w14:textId="77777777"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14:paraId="63B3282D" w14:textId="77777777"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14:paraId="6B192F2C" w14:textId="74F2C280"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17" w:tooltip="Trans-Tasman Proceedings Act 2010" w:history="1">
        <w:r w:rsidRPr="000B4F3F">
          <w:rPr>
            <w:rStyle w:val="charCitHyperlinkAbbrev"/>
          </w:rPr>
          <w:t>Trans-Tasman Proceedings Act</w:t>
        </w:r>
      </w:hyperlink>
      <w:r w:rsidRPr="0028337B">
        <w:t>, section 36 (2) or (3) (Setting aside Australian subpoenas).</w:t>
      </w:r>
    </w:p>
    <w:p w14:paraId="4033893F" w14:textId="77777777" w:rsidR="00D94935" w:rsidRPr="0028337B" w:rsidRDefault="00D94935" w:rsidP="00D94935">
      <w:pPr>
        <w:pStyle w:val="AH5Sec"/>
      </w:pPr>
      <w:bookmarkStart w:id="1870" w:name="_Toc185515486"/>
      <w:r w:rsidRPr="00C8328B">
        <w:rPr>
          <w:rStyle w:val="CharSectNo"/>
        </w:rPr>
        <w:lastRenderedPageBreak/>
        <w:t>6866</w:t>
      </w:r>
      <w:r w:rsidRPr="0028337B">
        <w:tab/>
        <w:t>Trans-Tasman proceedings—application to set aside subpoena served in New Zealand</w:t>
      </w:r>
      <w:bookmarkEnd w:id="1870"/>
    </w:p>
    <w:p w14:paraId="1424FCD9" w14:textId="77777777"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14:paraId="6A04C4D4" w14:textId="77777777"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14:paraId="53FFFB77" w14:textId="77777777"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14:paraId="1E5EE723" w14:textId="77777777" w:rsidR="00D94935" w:rsidRPr="0028337B" w:rsidRDefault="00D94935" w:rsidP="00D94935">
      <w:pPr>
        <w:pStyle w:val="Amain"/>
      </w:pPr>
      <w:r w:rsidRPr="0028337B">
        <w:tab/>
        <w:t>(3)</w:t>
      </w:r>
      <w:r w:rsidRPr="0028337B">
        <w:tab/>
        <w:t>The application must be accompanied by—</w:t>
      </w:r>
    </w:p>
    <w:p w14:paraId="39D5FA90" w14:textId="77777777" w:rsidR="00D94935" w:rsidRPr="0028337B" w:rsidRDefault="00D94935" w:rsidP="00D94935">
      <w:pPr>
        <w:pStyle w:val="Apara"/>
      </w:pPr>
      <w:r w:rsidRPr="0028337B">
        <w:tab/>
        <w:t>(a)</w:t>
      </w:r>
      <w:r w:rsidRPr="0028337B">
        <w:tab/>
        <w:t>a copy of the subpoena; and</w:t>
      </w:r>
    </w:p>
    <w:p w14:paraId="60FA3FC6" w14:textId="77777777" w:rsidR="00D94935" w:rsidRPr="0028337B" w:rsidRDefault="00D94935" w:rsidP="00D94935">
      <w:pPr>
        <w:pStyle w:val="Apara"/>
      </w:pPr>
      <w:r w:rsidRPr="0028337B">
        <w:tab/>
        <w:t>(b)</w:t>
      </w:r>
      <w:r w:rsidRPr="0028337B">
        <w:tab/>
        <w:t>an affidavit stating—</w:t>
      </w:r>
    </w:p>
    <w:p w14:paraId="7B6D8A7C" w14:textId="77777777" w:rsidR="00D94935" w:rsidRPr="0028337B" w:rsidRDefault="00D94935" w:rsidP="00D94935">
      <w:pPr>
        <w:pStyle w:val="Asubpara"/>
      </w:pPr>
      <w:r w:rsidRPr="0028337B">
        <w:tab/>
        <w:t>(i)</w:t>
      </w:r>
      <w:r w:rsidRPr="0028337B">
        <w:tab/>
        <w:t>the material facts on which the application is based; and</w:t>
      </w:r>
    </w:p>
    <w:p w14:paraId="3466A50B" w14:textId="77777777"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14:paraId="60D66359" w14:textId="77777777" w:rsidR="00D94935" w:rsidRPr="0028337B" w:rsidRDefault="00D94935" w:rsidP="00D94935">
      <w:pPr>
        <w:pStyle w:val="AH5Sec"/>
      </w:pPr>
      <w:bookmarkStart w:id="1871" w:name="_Toc185515487"/>
      <w:r w:rsidRPr="00C8328B">
        <w:rPr>
          <w:rStyle w:val="CharSectNo"/>
        </w:rPr>
        <w:t>6867</w:t>
      </w:r>
      <w:r w:rsidRPr="0028337B">
        <w:tab/>
        <w:t>Trans-Tasman proceedings—noncompliance with subpoena served in New Zealand</w:t>
      </w:r>
      <w:bookmarkEnd w:id="1871"/>
    </w:p>
    <w:p w14:paraId="1BAE2AB2" w14:textId="05F3F98E"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8" w:tooltip="Trans-Tasman Proceedings Act 2010" w:history="1">
        <w:r w:rsidRPr="000B4F3F">
          <w:rPr>
            <w:rStyle w:val="charCitHyperlinkAbbrev"/>
          </w:rPr>
          <w:t>Trans-Tasman Proceedings Act</w:t>
        </w:r>
      </w:hyperlink>
      <w:r>
        <w:t>, section </w:t>
      </w:r>
      <w:r w:rsidRPr="0028337B">
        <w:t>31.</w:t>
      </w:r>
    </w:p>
    <w:p w14:paraId="03A8AE95" w14:textId="77777777" w:rsidR="00D94935" w:rsidRPr="0028337B" w:rsidRDefault="00D94935" w:rsidP="00D94935">
      <w:pPr>
        <w:pStyle w:val="Amain"/>
      </w:pPr>
      <w:r w:rsidRPr="0028337B">
        <w:tab/>
        <w:t>(2)</w:t>
      </w:r>
      <w:r w:rsidRPr="0028337B">
        <w:tab/>
        <w:t>A party may apply to the issuing court for the issue of a certificate of non-compliance with the subpoena.</w:t>
      </w:r>
    </w:p>
    <w:p w14:paraId="793E3B47" w14:textId="77777777" w:rsidR="00D94935" w:rsidRPr="0028337B" w:rsidRDefault="00D94935" w:rsidP="00D94935">
      <w:pPr>
        <w:pStyle w:val="Amain"/>
        <w:keepNext/>
      </w:pPr>
      <w:r w:rsidRPr="0028337B">
        <w:lastRenderedPageBreak/>
        <w:tab/>
        <w:t>(3)</w:t>
      </w:r>
      <w:r w:rsidRPr="0028337B">
        <w:tab/>
        <w:t>An application may be made—</w:t>
      </w:r>
    </w:p>
    <w:p w14:paraId="637518FD" w14:textId="77777777" w:rsidR="00D94935" w:rsidRPr="0028337B" w:rsidRDefault="00D94935" w:rsidP="00877971">
      <w:pPr>
        <w:pStyle w:val="Apara"/>
        <w:keepNext/>
      </w:pPr>
      <w:r w:rsidRPr="0028337B">
        <w:tab/>
        <w:t>(a)</w:t>
      </w:r>
      <w:r w:rsidRPr="0028337B">
        <w:tab/>
        <w:t>if the proceeding in which the subpoena was issued is before the court—orally to the court; or</w:t>
      </w:r>
    </w:p>
    <w:p w14:paraId="1E4C880A" w14:textId="77777777" w:rsidR="00D94935" w:rsidRPr="0028337B" w:rsidRDefault="00D94935" w:rsidP="00877971">
      <w:pPr>
        <w:pStyle w:val="Apara"/>
        <w:keepNext/>
      </w:pPr>
      <w:r w:rsidRPr="0028337B">
        <w:tab/>
        <w:t>(b)</w:t>
      </w:r>
      <w:r w:rsidRPr="0028337B">
        <w:tab/>
        <w:t>by application.</w:t>
      </w:r>
    </w:p>
    <w:p w14:paraId="790BB136" w14:textId="33D213D7"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9"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20" w:history="1">
        <w:r>
          <w:rPr>
            <w:rStyle w:val="charCitHyperlinkAbbrev"/>
          </w:rPr>
          <w:t>AF2011-145</w:t>
        </w:r>
      </w:hyperlink>
      <w:r w:rsidRPr="0028337B">
        <w:t>.</w:t>
      </w:r>
    </w:p>
    <w:p w14:paraId="509A4CB1"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4A7D07AE" w14:textId="77777777"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14:paraId="399C6ED6" w14:textId="77777777" w:rsidR="00D94935" w:rsidRPr="0028337B" w:rsidRDefault="00D94935" w:rsidP="00D94935">
      <w:pPr>
        <w:pStyle w:val="Amain"/>
      </w:pPr>
      <w:r w:rsidRPr="0028337B">
        <w:tab/>
        <w:t>(4)</w:t>
      </w:r>
      <w:r w:rsidRPr="0028337B">
        <w:tab/>
        <w:t>The application must be accompanied by—</w:t>
      </w:r>
    </w:p>
    <w:p w14:paraId="4154CC4D" w14:textId="77777777" w:rsidR="00D94935" w:rsidRPr="0028337B" w:rsidRDefault="00D94935" w:rsidP="00D94935">
      <w:pPr>
        <w:pStyle w:val="Apara"/>
      </w:pPr>
      <w:r w:rsidRPr="0028337B">
        <w:tab/>
        <w:t>(a)</w:t>
      </w:r>
      <w:r w:rsidRPr="0028337B">
        <w:tab/>
        <w:t>a draft of the certificate of noncompliance; and</w:t>
      </w:r>
    </w:p>
    <w:p w14:paraId="6D2E8787" w14:textId="77777777" w:rsidR="00D94935" w:rsidRPr="0028337B" w:rsidRDefault="00D94935" w:rsidP="00D94935">
      <w:pPr>
        <w:pStyle w:val="Apara"/>
      </w:pPr>
      <w:r w:rsidRPr="0028337B">
        <w:tab/>
        <w:t>(b)</w:t>
      </w:r>
      <w:r w:rsidRPr="0028337B">
        <w:tab/>
        <w:t>a copy of the subpoena; and</w:t>
      </w:r>
    </w:p>
    <w:p w14:paraId="2D1232EA" w14:textId="77777777" w:rsidR="00D94935" w:rsidRPr="0028337B" w:rsidRDefault="00D94935" w:rsidP="00D94935">
      <w:pPr>
        <w:pStyle w:val="Apara"/>
      </w:pPr>
      <w:r w:rsidRPr="0028337B">
        <w:tab/>
        <w:t>(c)</w:t>
      </w:r>
      <w:r w:rsidRPr="0028337B">
        <w:tab/>
        <w:t>a copy of the order giving leave to serve the subpoena; and</w:t>
      </w:r>
    </w:p>
    <w:p w14:paraId="2E381200" w14:textId="77777777" w:rsidR="00D94935" w:rsidRPr="0028337B" w:rsidRDefault="00D94935" w:rsidP="00D94935">
      <w:pPr>
        <w:pStyle w:val="Apara"/>
      </w:pPr>
      <w:r w:rsidRPr="0028337B">
        <w:tab/>
        <w:t>(d)</w:t>
      </w:r>
      <w:r w:rsidRPr="0028337B">
        <w:tab/>
        <w:t>an affidavit of service of the subpoena; and</w:t>
      </w:r>
    </w:p>
    <w:p w14:paraId="38175F6B" w14:textId="77777777" w:rsidR="00D94935" w:rsidRPr="0028337B" w:rsidRDefault="00D94935" w:rsidP="00D94935">
      <w:pPr>
        <w:pStyle w:val="Apara"/>
      </w:pPr>
      <w:r w:rsidRPr="0028337B">
        <w:tab/>
        <w:t>(e)</w:t>
      </w:r>
      <w:r w:rsidRPr="0028337B">
        <w:tab/>
        <w:t>a further affidavit stating the following:</w:t>
      </w:r>
    </w:p>
    <w:p w14:paraId="73B46868" w14:textId="77777777" w:rsidR="00D94935" w:rsidRPr="0028337B" w:rsidRDefault="00D94935" w:rsidP="00D94935">
      <w:pPr>
        <w:pStyle w:val="Asubpara"/>
      </w:pPr>
      <w:r w:rsidRPr="0028337B">
        <w:tab/>
        <w:t>(i)</w:t>
      </w:r>
      <w:r w:rsidRPr="0028337B">
        <w:tab/>
        <w:t>whether an application was made to set aside the subpoena;</w:t>
      </w:r>
    </w:p>
    <w:p w14:paraId="6B164422" w14:textId="77777777" w:rsidR="00D94935" w:rsidRPr="0028337B" w:rsidRDefault="00D94935" w:rsidP="00D94935">
      <w:pPr>
        <w:pStyle w:val="Asubpara"/>
      </w:pPr>
      <w:r w:rsidRPr="0028337B">
        <w:tab/>
        <w:t>(ii)</w:t>
      </w:r>
      <w:r w:rsidRPr="0028337B">
        <w:tab/>
        <w:t>the material in support of any application in subparagraph (i);</w:t>
      </w:r>
    </w:p>
    <w:p w14:paraId="5040AAFC" w14:textId="77777777" w:rsidR="00D94935" w:rsidRPr="0028337B" w:rsidRDefault="00D94935" w:rsidP="00D94935">
      <w:pPr>
        <w:pStyle w:val="Asubpara"/>
      </w:pPr>
      <w:r w:rsidRPr="0028337B">
        <w:tab/>
        <w:t>(iii)</w:t>
      </w:r>
      <w:r w:rsidRPr="0028337B">
        <w:tab/>
        <w:t>any order that disposed of the application in subparagraph (i);</w:t>
      </w:r>
    </w:p>
    <w:p w14:paraId="5BEC6F45" w14:textId="77777777" w:rsidR="00D94935" w:rsidRPr="0028337B" w:rsidRDefault="00D94935" w:rsidP="00D94935">
      <w:pPr>
        <w:pStyle w:val="Asubpara"/>
      </w:pPr>
      <w:r w:rsidRPr="0028337B">
        <w:tab/>
        <w:t>(iv)</w:t>
      </w:r>
      <w:r w:rsidRPr="0028337B">
        <w:tab/>
        <w:t>the material facts relied on for the issue of a certificate of non-compliance.</w:t>
      </w:r>
    </w:p>
    <w:p w14:paraId="18758F39" w14:textId="77777777" w:rsidR="00D94935" w:rsidRPr="00C8328B" w:rsidRDefault="00D94935" w:rsidP="00D94935">
      <w:pPr>
        <w:pStyle w:val="AH3Div"/>
      </w:pPr>
      <w:bookmarkStart w:id="1872" w:name="_Toc185515488"/>
      <w:r w:rsidRPr="00C8328B">
        <w:rPr>
          <w:rStyle w:val="CharDivNo"/>
        </w:rPr>
        <w:lastRenderedPageBreak/>
        <w:t>Division 6.10A.4</w:t>
      </w:r>
      <w:r w:rsidRPr="0028337B">
        <w:tab/>
      </w:r>
      <w:r w:rsidRPr="00C8328B">
        <w:rPr>
          <w:rStyle w:val="CharDivText"/>
        </w:rPr>
        <w:t>Trans-Tasman proceedings—remote appearances</w:t>
      </w:r>
      <w:bookmarkEnd w:id="1872"/>
    </w:p>
    <w:p w14:paraId="7104396C" w14:textId="77777777" w:rsidR="00D94935" w:rsidRPr="0028337B" w:rsidRDefault="00D94935" w:rsidP="00D94935">
      <w:pPr>
        <w:pStyle w:val="AH5Sec"/>
      </w:pPr>
      <w:bookmarkStart w:id="1873" w:name="_Toc185515489"/>
      <w:r w:rsidRPr="00C8328B">
        <w:rPr>
          <w:rStyle w:val="CharSectNo"/>
        </w:rPr>
        <w:t>6868</w:t>
      </w:r>
      <w:r w:rsidRPr="0028337B">
        <w:tab/>
        <w:t>Trans-Tasman proceedings—application for order for use of audio link or audiovisual link from New Zealand</w:t>
      </w:r>
      <w:bookmarkEnd w:id="1873"/>
    </w:p>
    <w:p w14:paraId="4A1BDB85" w14:textId="1DCF4774" w:rsidR="00D94935" w:rsidRPr="0028337B" w:rsidRDefault="00D94935" w:rsidP="00D94935">
      <w:pPr>
        <w:pStyle w:val="Amain"/>
      </w:pPr>
      <w:r w:rsidRPr="0028337B">
        <w:tab/>
        <w:t>(1)</w:t>
      </w:r>
      <w:r w:rsidRPr="0028337B">
        <w:tab/>
        <w:t xml:space="preserve">A party to a proceeding to which the </w:t>
      </w:r>
      <w:hyperlink r:id="rId921"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14:paraId="29C15DC0" w14:textId="57117FC6"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22" w:history="1">
        <w:r w:rsidR="005C0691">
          <w:rPr>
            <w:rStyle w:val="charCitHyperlinkAbbrev"/>
          </w:rPr>
          <w:t>AF2024-50</w:t>
        </w:r>
      </w:hyperlink>
      <w:r w:rsidRPr="0028337B">
        <w:t>.</w:t>
      </w:r>
    </w:p>
    <w:p w14:paraId="7A365FD2"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1306E9A9" w14:textId="77777777" w:rsidR="00D94935" w:rsidRPr="0028337B" w:rsidRDefault="00D94935" w:rsidP="00D94935">
      <w:pPr>
        <w:pStyle w:val="Amain"/>
      </w:pPr>
      <w:r w:rsidRPr="0028337B">
        <w:tab/>
        <w:t>(2)</w:t>
      </w:r>
      <w:r w:rsidRPr="0028337B">
        <w:tab/>
        <w:t>Subrule (1) does not apply to a request mentioned in rule 6866 (3) (b) (ii).</w:t>
      </w:r>
    </w:p>
    <w:p w14:paraId="0B3EC14E" w14:textId="77777777" w:rsidR="00D94935" w:rsidRPr="00C8328B" w:rsidRDefault="00D94935" w:rsidP="00D94935">
      <w:pPr>
        <w:pStyle w:val="AH3Div"/>
      </w:pPr>
      <w:bookmarkStart w:id="1874" w:name="_Toc185515490"/>
      <w:r w:rsidRPr="00C8328B">
        <w:rPr>
          <w:rStyle w:val="CharDivNo"/>
        </w:rPr>
        <w:t>Division 6.10A.5</w:t>
      </w:r>
      <w:r w:rsidRPr="0028337B">
        <w:tab/>
      </w:r>
      <w:r w:rsidRPr="00C8328B">
        <w:rPr>
          <w:rStyle w:val="CharDivText"/>
        </w:rPr>
        <w:t>Trans-Tasman proceedings—enforcement of NZ judgments</w:t>
      </w:r>
      <w:bookmarkEnd w:id="1874"/>
      <w:r w:rsidRPr="00C8328B">
        <w:rPr>
          <w:rStyle w:val="CharDivText"/>
        </w:rPr>
        <w:t xml:space="preserve"> </w:t>
      </w:r>
    </w:p>
    <w:p w14:paraId="018A76B3" w14:textId="77777777" w:rsidR="00D94935" w:rsidRPr="0028337B" w:rsidRDefault="00D94935" w:rsidP="00D94935">
      <w:pPr>
        <w:pStyle w:val="AH5Sec"/>
      </w:pPr>
      <w:bookmarkStart w:id="1875" w:name="_Toc185515491"/>
      <w:r w:rsidRPr="00C8328B">
        <w:rPr>
          <w:rStyle w:val="CharSectNo"/>
        </w:rPr>
        <w:t>6869</w:t>
      </w:r>
      <w:r w:rsidRPr="0028337B">
        <w:tab/>
        <w:t>Trans-Tasman proceedings—notice of registration of NZ judgment</w:t>
      </w:r>
      <w:bookmarkEnd w:id="1875"/>
    </w:p>
    <w:p w14:paraId="37F86EB2" w14:textId="06132EA4"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23"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24" w:tooltip="Trans-Tasman Proceedings Act 2010" w:history="1">
        <w:r w:rsidRPr="000B4F3F">
          <w:rPr>
            <w:rStyle w:val="charCitHyperlinkAbbrev"/>
          </w:rPr>
          <w:t>Trans-Tasman Proceedings Act</w:t>
        </w:r>
      </w:hyperlink>
      <w:r w:rsidRPr="0028337B">
        <w:t>, section 73 and any regulations made under that Act.</w:t>
      </w:r>
    </w:p>
    <w:p w14:paraId="50BB68F3" w14:textId="77777777"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14:paraId="40B5FFC1" w14:textId="77777777"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14:paraId="212161E9" w14:textId="77777777"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14:paraId="18B5F679" w14:textId="77777777" w:rsidR="00D94935" w:rsidRPr="0028337B" w:rsidRDefault="00D94935" w:rsidP="00D94935">
      <w:pPr>
        <w:pStyle w:val="AH5Sec"/>
      </w:pPr>
      <w:bookmarkStart w:id="1876" w:name="_Toc185515492"/>
      <w:r w:rsidRPr="00C8328B">
        <w:rPr>
          <w:rStyle w:val="CharSectNo"/>
        </w:rPr>
        <w:lastRenderedPageBreak/>
        <w:t>6870</w:t>
      </w:r>
      <w:r w:rsidRPr="0028337B">
        <w:tab/>
        <w:t>Trans-Tasman proceedings—application for extension of time to give notice of registration of NZ judgment</w:t>
      </w:r>
      <w:bookmarkEnd w:id="1876"/>
    </w:p>
    <w:p w14:paraId="17BD36BB" w14:textId="4028D3C2"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25" w:tooltip="Trans-Tasman Proceedings Act 2010" w:history="1">
        <w:r w:rsidRPr="000B4F3F">
          <w:rPr>
            <w:rStyle w:val="charCitHyperlinkAbbrev"/>
          </w:rPr>
          <w:t>Trans-Tasman Proceedings Act</w:t>
        </w:r>
      </w:hyperlink>
      <w:r w:rsidRPr="0028337B">
        <w:t>, section 73 (3) must be made by originating application.</w:t>
      </w:r>
    </w:p>
    <w:p w14:paraId="50E9754E" w14:textId="231F1CE0"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6" w:history="1">
        <w:r>
          <w:rPr>
            <w:rStyle w:val="charCitHyperlinkAbbrev"/>
          </w:rPr>
          <w:t>AF2011-147</w:t>
        </w:r>
      </w:hyperlink>
      <w:r w:rsidRPr="0028337B">
        <w:t>.</w:t>
      </w:r>
    </w:p>
    <w:p w14:paraId="27461538" w14:textId="4BD082F7"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27" w:tooltip="Trans-Tasman Proceedings Act 2010" w:history="1">
        <w:r w:rsidRPr="000B4F3F">
          <w:rPr>
            <w:rStyle w:val="charCitHyperlinkAbbrev"/>
          </w:rPr>
          <w:t>Trans-Tasman Proceedings Act</w:t>
        </w:r>
      </w:hyperlink>
      <w:r w:rsidRPr="0028337B">
        <w:t>, s 4.</w:t>
      </w:r>
    </w:p>
    <w:p w14:paraId="46A8BDB1" w14:textId="77777777" w:rsidR="00D94935" w:rsidRPr="0028337B" w:rsidRDefault="00D94935" w:rsidP="00D94935">
      <w:pPr>
        <w:pStyle w:val="Amain"/>
      </w:pPr>
      <w:r w:rsidRPr="0028337B">
        <w:tab/>
        <w:t>(2)</w:t>
      </w:r>
      <w:r w:rsidRPr="0028337B">
        <w:tab/>
        <w:t>An application under subrule (1) must be accompanied by an affidavit stating—</w:t>
      </w:r>
    </w:p>
    <w:p w14:paraId="5281F98E" w14:textId="77777777" w:rsidR="00D94935" w:rsidRPr="0028337B" w:rsidRDefault="00D94935" w:rsidP="00D94935">
      <w:pPr>
        <w:pStyle w:val="Apara"/>
      </w:pPr>
      <w:r w:rsidRPr="0028337B">
        <w:tab/>
        <w:t>(a)</w:t>
      </w:r>
      <w:r w:rsidRPr="0028337B">
        <w:tab/>
        <w:t>briefly but specifically, the grounds relied on in support of the application; and</w:t>
      </w:r>
    </w:p>
    <w:p w14:paraId="5F4F96A6" w14:textId="77777777" w:rsidR="00D94935" w:rsidRPr="0028337B" w:rsidRDefault="00D94935" w:rsidP="00D94935">
      <w:pPr>
        <w:pStyle w:val="Apara"/>
      </w:pPr>
      <w:r w:rsidRPr="0028337B">
        <w:tab/>
        <w:t>(b)</w:t>
      </w:r>
      <w:r w:rsidRPr="0028337B">
        <w:tab/>
        <w:t>the material facts relied on in support of the application; and</w:t>
      </w:r>
    </w:p>
    <w:p w14:paraId="0B5344E3" w14:textId="77777777" w:rsidR="00D94935" w:rsidRPr="0028337B" w:rsidRDefault="00D94935" w:rsidP="00D94935">
      <w:pPr>
        <w:pStyle w:val="Apara"/>
      </w:pPr>
      <w:r w:rsidRPr="0028337B">
        <w:tab/>
        <w:t>(c)</w:t>
      </w:r>
      <w:r w:rsidRPr="0028337B">
        <w:tab/>
        <w:t>why notice was not given within time.</w:t>
      </w:r>
    </w:p>
    <w:p w14:paraId="14865F21" w14:textId="77777777" w:rsidR="00D94935" w:rsidRPr="0028337B" w:rsidRDefault="00D94935" w:rsidP="00D94935">
      <w:pPr>
        <w:pStyle w:val="AH5Sec"/>
      </w:pPr>
      <w:bookmarkStart w:id="1877" w:name="_Toc185515493"/>
      <w:r w:rsidRPr="00C8328B">
        <w:rPr>
          <w:rStyle w:val="CharSectNo"/>
        </w:rPr>
        <w:t>6871</w:t>
      </w:r>
      <w:r w:rsidRPr="0028337B">
        <w:tab/>
        <w:t>Trans-Tasman proceedings—application to set aside registration of NZ judgment</w:t>
      </w:r>
      <w:bookmarkEnd w:id="1877"/>
    </w:p>
    <w:p w14:paraId="01FC4457" w14:textId="58D2014B"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8"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14:paraId="45D67ECB" w14:textId="10BCD4EC"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9" w:history="1">
        <w:r>
          <w:rPr>
            <w:rStyle w:val="charCitHyperlinkAbbrev"/>
          </w:rPr>
          <w:t>AF2011-147</w:t>
        </w:r>
      </w:hyperlink>
      <w:r w:rsidRPr="0028337B">
        <w:t>.</w:t>
      </w:r>
    </w:p>
    <w:p w14:paraId="50CB0CA3" w14:textId="55CF1630"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0" w:tooltip="Trans-Tasman Proceedings Act 2010" w:history="1">
        <w:r w:rsidRPr="000B4F3F">
          <w:rPr>
            <w:rStyle w:val="charCitHyperlinkAbbrev"/>
          </w:rPr>
          <w:t>Trans-Tasman Proceedings Act</w:t>
        </w:r>
      </w:hyperlink>
      <w:r w:rsidRPr="0028337B">
        <w:t>, s 4.</w:t>
      </w:r>
    </w:p>
    <w:p w14:paraId="18B0A05C" w14:textId="77777777" w:rsidR="00D94935" w:rsidRPr="0028337B" w:rsidRDefault="00D94935" w:rsidP="00D94935">
      <w:pPr>
        <w:pStyle w:val="Amain"/>
      </w:pPr>
      <w:r w:rsidRPr="0028337B">
        <w:tab/>
        <w:t>(2)</w:t>
      </w:r>
      <w:r w:rsidRPr="0028337B">
        <w:tab/>
        <w:t>An application under subrule (1) must be accompanied by an affidavit stating—</w:t>
      </w:r>
    </w:p>
    <w:p w14:paraId="4B04A66A" w14:textId="77777777" w:rsidR="00D94935" w:rsidRPr="0028337B" w:rsidRDefault="00D94935" w:rsidP="00D94935">
      <w:pPr>
        <w:pStyle w:val="Apara"/>
      </w:pPr>
      <w:r w:rsidRPr="0028337B">
        <w:tab/>
        <w:t>(a)</w:t>
      </w:r>
      <w:r w:rsidRPr="0028337B">
        <w:tab/>
        <w:t>briefly but specifically, the grounds on which the registration of the judgment should be set aside; and</w:t>
      </w:r>
    </w:p>
    <w:p w14:paraId="0C7104CE" w14:textId="77777777" w:rsidR="00D94935" w:rsidRPr="0028337B" w:rsidRDefault="00D94935" w:rsidP="00D94935">
      <w:pPr>
        <w:pStyle w:val="Apara"/>
      </w:pPr>
      <w:r w:rsidRPr="0028337B">
        <w:lastRenderedPageBreak/>
        <w:tab/>
        <w:t>(b)</w:t>
      </w:r>
      <w:r w:rsidRPr="0028337B">
        <w:tab/>
        <w:t>the material facts relied on in support of the application.</w:t>
      </w:r>
    </w:p>
    <w:p w14:paraId="66D21392" w14:textId="77777777" w:rsidR="00D94935" w:rsidRPr="0028337B" w:rsidRDefault="00D94935" w:rsidP="00D94935">
      <w:pPr>
        <w:pStyle w:val="AH5Sec"/>
      </w:pPr>
      <w:bookmarkStart w:id="1878" w:name="_Toc185515494"/>
      <w:r w:rsidRPr="00C8328B">
        <w:rPr>
          <w:rStyle w:val="CharSectNo"/>
        </w:rPr>
        <w:t>6872</w:t>
      </w:r>
      <w:r w:rsidRPr="0028337B">
        <w:tab/>
        <w:t>Trans-Tasman proceedings—application for stay of enforcement of registered NZ judgment</w:t>
      </w:r>
      <w:bookmarkEnd w:id="1878"/>
    </w:p>
    <w:p w14:paraId="2445C5D8" w14:textId="171A0301"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31" w:tooltip="Trans-Tasman Proceedings Act 2010" w:history="1">
        <w:r w:rsidRPr="000B4F3F">
          <w:rPr>
            <w:rStyle w:val="charCitHyperlinkAbbrev"/>
          </w:rPr>
          <w:t>Trans-Tasman Proceedings Act</w:t>
        </w:r>
      </w:hyperlink>
      <w:r w:rsidRPr="0028337B">
        <w:t>, section 76 (1) must be made by originating application.</w:t>
      </w:r>
    </w:p>
    <w:p w14:paraId="23C3C856" w14:textId="6C24349A"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32" w:history="1">
        <w:r>
          <w:rPr>
            <w:rStyle w:val="charCitHyperlinkAbbrev"/>
          </w:rPr>
          <w:t>AF2011-147</w:t>
        </w:r>
      </w:hyperlink>
      <w:r w:rsidRPr="0028337B">
        <w:t>.</w:t>
      </w:r>
    </w:p>
    <w:p w14:paraId="28E94F0E" w14:textId="3F306FFC"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3" w:tooltip="Trans-Tasman Proceedings Act 2010" w:history="1">
        <w:r w:rsidRPr="000B4F3F">
          <w:rPr>
            <w:rStyle w:val="charCitHyperlinkAbbrev"/>
          </w:rPr>
          <w:t>Trans-Tasman Proceedings Act</w:t>
        </w:r>
      </w:hyperlink>
      <w:r w:rsidRPr="0028337B">
        <w:t>, s 4.</w:t>
      </w:r>
    </w:p>
    <w:p w14:paraId="198A8E53" w14:textId="77777777" w:rsidR="00D94935" w:rsidRPr="0028337B" w:rsidRDefault="00D94935" w:rsidP="00D94935">
      <w:pPr>
        <w:pStyle w:val="Amain"/>
      </w:pPr>
      <w:r w:rsidRPr="0028337B">
        <w:tab/>
        <w:t>(2)</w:t>
      </w:r>
      <w:r w:rsidRPr="0028337B">
        <w:tab/>
        <w:t>An application under subrule (1) must be accompanied by an affidavit stating—</w:t>
      </w:r>
    </w:p>
    <w:p w14:paraId="7382CF81" w14:textId="77777777" w:rsidR="00D94935" w:rsidRPr="0028337B" w:rsidRDefault="00D94935" w:rsidP="00D94935">
      <w:pPr>
        <w:pStyle w:val="Apara"/>
      </w:pPr>
      <w:r w:rsidRPr="0028337B">
        <w:tab/>
        <w:t>(a)</w:t>
      </w:r>
      <w:r w:rsidRPr="0028337B">
        <w:tab/>
        <w:t>the order sought; and</w:t>
      </w:r>
    </w:p>
    <w:p w14:paraId="7C5F8165" w14:textId="77777777" w:rsidR="00D94935" w:rsidRPr="0028337B" w:rsidRDefault="00D94935" w:rsidP="00D94935">
      <w:pPr>
        <w:pStyle w:val="Apara"/>
      </w:pPr>
      <w:r w:rsidRPr="0028337B">
        <w:tab/>
        <w:t>(b)</w:t>
      </w:r>
      <w:r w:rsidRPr="0028337B">
        <w:tab/>
        <w:t>briefly but specifically, the grounds relied on in support of the order sought; and</w:t>
      </w:r>
    </w:p>
    <w:p w14:paraId="76F3F181" w14:textId="77777777" w:rsidR="00D94935" w:rsidRPr="0028337B" w:rsidRDefault="00D94935" w:rsidP="00D94935">
      <w:pPr>
        <w:pStyle w:val="Apara"/>
      </w:pPr>
      <w:r w:rsidRPr="0028337B">
        <w:tab/>
        <w:t>(c)</w:t>
      </w:r>
      <w:r w:rsidRPr="0028337B">
        <w:tab/>
        <w:t>the material facts relied on in support of the application.</w:t>
      </w:r>
    </w:p>
    <w:p w14:paraId="0784DEC6" w14:textId="77777777" w:rsidR="00D94935" w:rsidRPr="0028337B" w:rsidRDefault="00D94935" w:rsidP="00D94935">
      <w:pPr>
        <w:pStyle w:val="AH5Sec"/>
      </w:pPr>
      <w:bookmarkStart w:id="1879" w:name="_Toc185515495"/>
      <w:r w:rsidRPr="00C8328B">
        <w:rPr>
          <w:rStyle w:val="CharSectNo"/>
        </w:rPr>
        <w:t>6873</w:t>
      </w:r>
      <w:r w:rsidRPr="0028337B">
        <w:tab/>
        <w:t>Trans-Tasman proceedings—application for extension of time to apply for stay of enforcement of registered NZ judgment</w:t>
      </w:r>
      <w:bookmarkEnd w:id="1879"/>
    </w:p>
    <w:p w14:paraId="0F62FD9E" w14:textId="3098AE32"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34" w:tooltip="Trans-Tasman Proceedings Act 2010" w:history="1">
        <w:r w:rsidRPr="000B4F3F">
          <w:rPr>
            <w:rStyle w:val="charCitHyperlinkAbbrev"/>
          </w:rPr>
          <w:t>Trans-Tasman Proceedings Act</w:t>
        </w:r>
      </w:hyperlink>
      <w:r w:rsidRPr="0028337B">
        <w:t>, section 76 (3) must be made by originating application.</w:t>
      </w:r>
    </w:p>
    <w:p w14:paraId="63A845E7" w14:textId="29AF2456"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35" w:history="1">
        <w:r>
          <w:rPr>
            <w:rStyle w:val="charCitHyperlinkAbbrev"/>
          </w:rPr>
          <w:t>AF2011-147</w:t>
        </w:r>
      </w:hyperlink>
      <w:r w:rsidRPr="0028337B">
        <w:t>.</w:t>
      </w:r>
    </w:p>
    <w:p w14:paraId="498E8EE7" w14:textId="292D28B3"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6" w:tooltip="Trans-Tasman Proceedings Act 2010" w:history="1">
        <w:r w:rsidRPr="000B4F3F">
          <w:rPr>
            <w:rStyle w:val="charCitHyperlinkAbbrev"/>
          </w:rPr>
          <w:t>Trans-Tasman Proceedings Act</w:t>
        </w:r>
      </w:hyperlink>
      <w:r w:rsidRPr="0028337B">
        <w:t>, s 4.</w:t>
      </w:r>
    </w:p>
    <w:p w14:paraId="7D0D018A" w14:textId="77777777" w:rsidR="00D94935" w:rsidRPr="0028337B" w:rsidRDefault="00D94935" w:rsidP="00D94935">
      <w:pPr>
        <w:pStyle w:val="Amain"/>
      </w:pPr>
      <w:r w:rsidRPr="0028337B">
        <w:lastRenderedPageBreak/>
        <w:tab/>
        <w:t>(2)</w:t>
      </w:r>
      <w:r w:rsidRPr="0028337B">
        <w:tab/>
        <w:t>An application under subrule (1) must be accompanied by an affidavit stating—</w:t>
      </w:r>
    </w:p>
    <w:p w14:paraId="7701123A" w14:textId="77777777" w:rsidR="00D94935" w:rsidRPr="0028337B" w:rsidRDefault="00D94935" w:rsidP="00D94935">
      <w:pPr>
        <w:pStyle w:val="Apara"/>
      </w:pPr>
      <w:r w:rsidRPr="0028337B">
        <w:tab/>
        <w:t>(a)</w:t>
      </w:r>
      <w:r w:rsidRPr="0028337B">
        <w:tab/>
        <w:t>the order sought; and</w:t>
      </w:r>
    </w:p>
    <w:p w14:paraId="7F252816" w14:textId="77777777" w:rsidR="00D94935" w:rsidRPr="0028337B" w:rsidRDefault="00D94935" w:rsidP="00D94935">
      <w:pPr>
        <w:pStyle w:val="Apara"/>
      </w:pPr>
      <w:r w:rsidRPr="0028337B">
        <w:tab/>
        <w:t>(b)</w:t>
      </w:r>
      <w:r w:rsidRPr="0028337B">
        <w:tab/>
        <w:t>briefly but specifically, the grounds relied on in support of the application; and</w:t>
      </w:r>
    </w:p>
    <w:p w14:paraId="4F7FDF49" w14:textId="77777777" w:rsidR="00D94935" w:rsidRPr="0028337B" w:rsidRDefault="00D94935" w:rsidP="00D94935">
      <w:pPr>
        <w:pStyle w:val="Apara"/>
      </w:pPr>
      <w:r w:rsidRPr="0028337B">
        <w:tab/>
        <w:t>(c)</w:t>
      </w:r>
      <w:r w:rsidRPr="0028337B">
        <w:tab/>
        <w:t>the material facts relied on in support of the application; and</w:t>
      </w:r>
    </w:p>
    <w:p w14:paraId="77A5C0C4" w14:textId="77777777" w:rsidR="00D94935" w:rsidRPr="0028337B" w:rsidRDefault="00D94935" w:rsidP="00D94935">
      <w:pPr>
        <w:pStyle w:val="Apara"/>
      </w:pPr>
      <w:r w:rsidRPr="0028337B">
        <w:tab/>
        <w:t>(d)</w:t>
      </w:r>
      <w:r w:rsidRPr="0028337B">
        <w:tab/>
        <w:t>why the application was not made within time.</w:t>
      </w:r>
    </w:p>
    <w:p w14:paraId="2CE129D2" w14:textId="77777777" w:rsidR="00D94935" w:rsidRPr="00A74287" w:rsidRDefault="00D94935" w:rsidP="00D94935">
      <w:pPr>
        <w:pStyle w:val="PageBreak"/>
      </w:pPr>
      <w:r w:rsidRPr="00A74287">
        <w:br w:type="page"/>
      </w:r>
    </w:p>
    <w:p w14:paraId="550E38A0" w14:textId="77777777" w:rsidR="00D94935" w:rsidRPr="00C8328B" w:rsidRDefault="00D94935" w:rsidP="00D94935">
      <w:pPr>
        <w:pStyle w:val="AH2Part"/>
      </w:pPr>
      <w:bookmarkStart w:id="1880" w:name="_Toc185515496"/>
      <w:r w:rsidRPr="00C8328B">
        <w:rPr>
          <w:rStyle w:val="CharPartNo"/>
        </w:rPr>
        <w:lastRenderedPageBreak/>
        <w:t>Part 6.11</w:t>
      </w:r>
      <w:r>
        <w:tab/>
      </w:r>
      <w:r w:rsidRPr="00C8328B">
        <w:rPr>
          <w:rStyle w:val="CharPartText"/>
        </w:rPr>
        <w:t>Miscellaneous—ch 6</w:t>
      </w:r>
      <w:bookmarkEnd w:id="1880"/>
    </w:p>
    <w:p w14:paraId="1D9F3C13" w14:textId="77777777" w:rsidR="00D94935" w:rsidRDefault="00D94935" w:rsidP="00D94935">
      <w:pPr>
        <w:pStyle w:val="Placeholder"/>
      </w:pPr>
      <w:r>
        <w:rPr>
          <w:rStyle w:val="CharDivNo"/>
        </w:rPr>
        <w:t xml:space="preserve">  </w:t>
      </w:r>
      <w:r>
        <w:rPr>
          <w:rStyle w:val="CharDivText"/>
        </w:rPr>
        <w:t xml:space="preserve">  </w:t>
      </w:r>
    </w:p>
    <w:p w14:paraId="00D0789A" w14:textId="77777777" w:rsidR="00D94935" w:rsidRDefault="00D94935" w:rsidP="00D94935">
      <w:pPr>
        <w:pStyle w:val="AH5Sec"/>
      </w:pPr>
      <w:bookmarkStart w:id="1881" w:name="_Toc185515497"/>
      <w:r w:rsidRPr="00C8328B">
        <w:rPr>
          <w:rStyle w:val="CharSectNo"/>
        </w:rPr>
        <w:t>6900</w:t>
      </w:r>
      <w:r>
        <w:tab/>
        <w:t>Power to make orders</w:t>
      </w:r>
      <w:bookmarkEnd w:id="1881"/>
    </w:p>
    <w:p w14:paraId="58AF5B4C" w14:textId="77777777" w:rsidR="00D94935" w:rsidRDefault="00D94935" w:rsidP="00D94935">
      <w:pPr>
        <w:pStyle w:val="Amainreturn"/>
      </w:pPr>
      <w:r>
        <w:t>If a provision of these rules gives the court a power that can be exercised by making an order, the provision gives a power to make the order.</w:t>
      </w:r>
    </w:p>
    <w:p w14:paraId="5A4E6B05" w14:textId="77777777" w:rsidR="00D94935" w:rsidRDefault="00D94935" w:rsidP="00D94935">
      <w:pPr>
        <w:pStyle w:val="aExamHdgss"/>
      </w:pPr>
      <w:r>
        <w:t>Example</w:t>
      </w:r>
    </w:p>
    <w:p w14:paraId="0D6C8027" w14:textId="77777777"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14:paraId="167D09C6" w14:textId="77777777" w:rsidR="00D94935" w:rsidRDefault="00D94935" w:rsidP="00D94935">
      <w:pPr>
        <w:pStyle w:val="AH5Sec"/>
      </w:pPr>
      <w:bookmarkStart w:id="1882" w:name="_Toc185515498"/>
      <w:r w:rsidRPr="00C8328B">
        <w:rPr>
          <w:rStyle w:val="CharSectNo"/>
        </w:rPr>
        <w:t>6901</w:t>
      </w:r>
      <w:r>
        <w:tab/>
        <w:t>Orders may be made on conditions</w:t>
      </w:r>
      <w:bookmarkEnd w:id="1882"/>
    </w:p>
    <w:p w14:paraId="55ECADD8" w14:textId="77777777" w:rsidR="00D94935" w:rsidRDefault="00D94935" w:rsidP="00D94935">
      <w:pPr>
        <w:pStyle w:val="Amainreturn"/>
      </w:pPr>
      <w:r>
        <w:t>Subject to these rules, the court may make an order under these rules on any conditions it considers appropriate.</w:t>
      </w:r>
    </w:p>
    <w:p w14:paraId="73D62B28" w14:textId="77777777" w:rsidR="00D94935" w:rsidRDefault="00D94935" w:rsidP="00D94935">
      <w:pPr>
        <w:pStyle w:val="AH5Sec"/>
      </w:pPr>
      <w:bookmarkStart w:id="1883" w:name="_Toc185515499"/>
      <w:r w:rsidRPr="00C8328B">
        <w:rPr>
          <w:rStyle w:val="CharSectNo"/>
        </w:rPr>
        <w:t>6902</w:t>
      </w:r>
      <w:r>
        <w:tab/>
        <w:t>Leave may be given on conditions</w:t>
      </w:r>
      <w:bookmarkEnd w:id="1883"/>
    </w:p>
    <w:p w14:paraId="7A4288C0" w14:textId="77777777" w:rsidR="00D94935" w:rsidRDefault="00D94935" w:rsidP="00D94935">
      <w:pPr>
        <w:pStyle w:val="Amainreturn"/>
      </w:pPr>
      <w:r>
        <w:t>If the court gives leave under a provision of these rules, it may give the leave on the conditions it considers appropriate.</w:t>
      </w:r>
    </w:p>
    <w:p w14:paraId="65852B41" w14:textId="77777777" w:rsidR="00D94935" w:rsidRDefault="00D94935" w:rsidP="00D94935">
      <w:pPr>
        <w:pStyle w:val="AH5Sec"/>
      </w:pPr>
      <w:bookmarkStart w:id="1884" w:name="_Toc185515500"/>
      <w:r w:rsidRPr="00C8328B">
        <w:rPr>
          <w:rStyle w:val="CharSectNo"/>
        </w:rPr>
        <w:t>6903</w:t>
      </w:r>
      <w:r>
        <w:tab/>
        <w:t>References to court acting on its own initiative</w:t>
      </w:r>
      <w:bookmarkEnd w:id="1884"/>
    </w:p>
    <w:p w14:paraId="40D9400B" w14:textId="77777777"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14:paraId="697AC142" w14:textId="77777777" w:rsidR="00D94935" w:rsidRDefault="00D94935" w:rsidP="00D94935">
      <w:pPr>
        <w:pStyle w:val="AH5Sec"/>
      </w:pPr>
      <w:bookmarkStart w:id="1885" w:name="_Toc185515501"/>
      <w:r w:rsidRPr="00C8328B">
        <w:rPr>
          <w:rStyle w:val="CharSectNo"/>
        </w:rPr>
        <w:t>6904</w:t>
      </w:r>
      <w:r>
        <w:tab/>
        <w:t>Mandatory order to registrar etc</w:t>
      </w:r>
      <w:bookmarkEnd w:id="1885"/>
    </w:p>
    <w:p w14:paraId="2554E3F5" w14:textId="77777777"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14:paraId="44BA05D2" w14:textId="77777777"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14:paraId="2F7E1EA2" w14:textId="77777777"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14:paraId="146A026C" w14:textId="77777777" w:rsidR="00D94935" w:rsidRDefault="00D94935" w:rsidP="00D94935">
      <w:pPr>
        <w:pStyle w:val="AH5Sec"/>
      </w:pPr>
      <w:bookmarkStart w:id="1886" w:name="_Toc185515502"/>
      <w:r w:rsidRPr="00C8328B">
        <w:rPr>
          <w:rStyle w:val="CharSectNo"/>
        </w:rPr>
        <w:t>6905</w:t>
      </w:r>
      <w:r>
        <w:tab/>
        <w:t>Notices must be written</w:t>
      </w:r>
      <w:bookmarkEnd w:id="1886"/>
    </w:p>
    <w:p w14:paraId="41EBAD58" w14:textId="77777777" w:rsidR="00D94935" w:rsidRDefault="00D94935" w:rsidP="00D94935">
      <w:pPr>
        <w:pStyle w:val="Amainreturn"/>
      </w:pPr>
      <w:r>
        <w:t>A notice required or allowed to be given under these rules must be given in writing.</w:t>
      </w:r>
    </w:p>
    <w:p w14:paraId="0965E715" w14:textId="77777777" w:rsidR="00D94935" w:rsidRDefault="00D94935" w:rsidP="00D94935">
      <w:pPr>
        <w:pStyle w:val="AH5Sec"/>
      </w:pPr>
      <w:bookmarkStart w:id="1887" w:name="_Toc185515503"/>
      <w:r w:rsidRPr="00C8328B">
        <w:rPr>
          <w:rStyle w:val="CharSectNo"/>
        </w:rPr>
        <w:t>6906</w:t>
      </w:r>
      <w:r>
        <w:tab/>
        <w:t>Mistakes in orders or court certificates</w:t>
      </w:r>
      <w:bookmarkEnd w:id="1887"/>
    </w:p>
    <w:p w14:paraId="255EC980" w14:textId="77777777" w:rsidR="00D94935" w:rsidRDefault="00D94935" w:rsidP="00D94935">
      <w:pPr>
        <w:pStyle w:val="Amain"/>
      </w:pPr>
      <w:r>
        <w:tab/>
        <w:t>(1)</w:t>
      </w:r>
      <w:r>
        <w:tab/>
        <w:t>This rule applies if—</w:t>
      </w:r>
    </w:p>
    <w:p w14:paraId="4065082B" w14:textId="77777777" w:rsidR="00D94935" w:rsidRDefault="00D94935" w:rsidP="00D94935">
      <w:pPr>
        <w:pStyle w:val="Apara"/>
      </w:pPr>
      <w:r>
        <w:tab/>
        <w:t>(a)</w:t>
      </w:r>
      <w:r>
        <w:tab/>
        <w:t>there is a clerical mistake in an order or certificate of the court or an error in a record of an order or certificate of the court; and</w:t>
      </w:r>
    </w:p>
    <w:p w14:paraId="7EF73D33" w14:textId="77777777" w:rsidR="00D94935" w:rsidRDefault="00D94935" w:rsidP="00D94935">
      <w:pPr>
        <w:pStyle w:val="Apara"/>
      </w:pPr>
      <w:r>
        <w:tab/>
        <w:t>(b)</w:t>
      </w:r>
      <w:r>
        <w:tab/>
        <w:t>the mistake or error resulted from an accidental slip or omission.</w:t>
      </w:r>
    </w:p>
    <w:p w14:paraId="6DF3B6B9" w14:textId="77777777" w:rsidR="00D94935" w:rsidRDefault="00D94935" w:rsidP="00D94935">
      <w:pPr>
        <w:pStyle w:val="Amain"/>
        <w:keepNext/>
      </w:pPr>
      <w:r>
        <w:tab/>
        <w:t>(2)</w:t>
      </w:r>
      <w:r>
        <w:tab/>
        <w:t>On application by a party to the proceeding or on its own initiative, the court may at any time correct the mistake or error.</w:t>
      </w:r>
    </w:p>
    <w:p w14:paraId="39B5D84F" w14:textId="77777777"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14:paraId="10382758" w14:textId="77777777" w:rsidR="00D94935" w:rsidRDefault="00D94935" w:rsidP="00D94935">
      <w:pPr>
        <w:pStyle w:val="Amain"/>
      </w:pPr>
      <w:r>
        <w:tab/>
        <w:t>(3)</w:t>
      </w:r>
      <w:r>
        <w:tab/>
        <w:t>Part 2.7 (Amendment) does not apply to a correction made under this rule.</w:t>
      </w:r>
    </w:p>
    <w:p w14:paraId="554A09DF" w14:textId="77777777" w:rsidR="00D94935" w:rsidRDefault="00D94935" w:rsidP="00D94935">
      <w:pPr>
        <w:pStyle w:val="AH5Sec"/>
      </w:pPr>
      <w:bookmarkStart w:id="1888" w:name="_Toc185515504"/>
      <w:r w:rsidRPr="00C8328B">
        <w:rPr>
          <w:rStyle w:val="CharSectNo"/>
        </w:rPr>
        <w:t>6907</w:t>
      </w:r>
      <w:r>
        <w:tab/>
        <w:t>Power to make practice notes</w:t>
      </w:r>
      <w:bookmarkEnd w:id="1888"/>
    </w:p>
    <w:p w14:paraId="1469A4FA" w14:textId="77777777" w:rsidR="00D94935" w:rsidRDefault="00D94935" w:rsidP="00D94935">
      <w:pPr>
        <w:pStyle w:val="Amain"/>
        <w:keepNext/>
      </w:pPr>
      <w:r>
        <w:tab/>
        <w:t>(1)</w:t>
      </w:r>
      <w:r>
        <w:tab/>
        <w:t>The rule-making committee may make practice notes for these rules.</w:t>
      </w:r>
    </w:p>
    <w:p w14:paraId="33EAD30D" w14:textId="2A170EA1"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37" w:tooltip="A2004-59" w:history="1">
        <w:r w:rsidRPr="006364FA">
          <w:rPr>
            <w:rStyle w:val="charCitHyperlinkItal"/>
          </w:rPr>
          <w:t>Court Procedures Act 2004</w:t>
        </w:r>
      </w:hyperlink>
      <w:r w:rsidR="00B57E97">
        <w:t>, section 9 (2) </w:t>
      </w:r>
      <w:r>
        <w:t xml:space="preserve">(a) and another of whom must be the member mentioned in the </w:t>
      </w:r>
      <w:hyperlink r:id="rId938" w:tooltip="A2004-59" w:history="1">
        <w:r w:rsidRPr="00A25093">
          <w:rPr>
            <w:rStyle w:val="charCitHyperlinkAbbrev"/>
          </w:rPr>
          <w:t>Act</w:t>
        </w:r>
      </w:hyperlink>
      <w:r>
        <w:t>, section 9 (2) (d) or (e).</w:t>
      </w:r>
    </w:p>
    <w:p w14:paraId="52AF7775" w14:textId="7556D7BD"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9"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14:paraId="3086A643" w14:textId="77777777" w:rsidR="00D94935" w:rsidRDefault="00D94935" w:rsidP="00D94935">
      <w:pPr>
        <w:pStyle w:val="Amain"/>
        <w:keepNext/>
      </w:pPr>
      <w:r>
        <w:lastRenderedPageBreak/>
        <w:tab/>
        <w:t>(3)</w:t>
      </w:r>
      <w:r>
        <w:tab/>
        <w:t>A practice note may approve a document exchange for these rules.</w:t>
      </w:r>
    </w:p>
    <w:p w14:paraId="38A51B40" w14:textId="77777777" w:rsidR="00D94935" w:rsidRDefault="00D94935" w:rsidP="00D94935">
      <w:pPr>
        <w:pStyle w:val="Amain"/>
        <w:keepNext/>
      </w:pPr>
      <w:r>
        <w:tab/>
        <w:t>(4)</w:t>
      </w:r>
      <w:r>
        <w:tab/>
        <w:t>A practice note is a notifiable instrument.</w:t>
      </w:r>
    </w:p>
    <w:p w14:paraId="311347F5" w14:textId="436BBBD7"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40" w:tooltip="A2001-14" w:history="1">
        <w:r w:rsidRPr="006364FA">
          <w:rPr>
            <w:rStyle w:val="charCitHyperlinkAbbrev"/>
          </w:rPr>
          <w:t>Legislation Act</w:t>
        </w:r>
      </w:hyperlink>
      <w:r>
        <w:t>.</w:t>
      </w:r>
    </w:p>
    <w:p w14:paraId="4BBC5673" w14:textId="77777777" w:rsidR="001F0888" w:rsidRPr="00CE5D4D" w:rsidRDefault="001F0888" w:rsidP="001F0888">
      <w:pPr>
        <w:pStyle w:val="AH5Sec"/>
      </w:pPr>
      <w:bookmarkStart w:id="1889" w:name="_Toc185515505"/>
      <w:r w:rsidRPr="00C8328B">
        <w:rPr>
          <w:rStyle w:val="CharSectNo"/>
        </w:rPr>
        <w:t>6908</w:t>
      </w:r>
      <w:r w:rsidRPr="00CE5D4D">
        <w:tab/>
        <w:t>Use of electronic devices in courtrooms</w:t>
      </w:r>
      <w:bookmarkEnd w:id="1889"/>
    </w:p>
    <w:p w14:paraId="134D4875" w14:textId="77777777"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14:paraId="16E15958" w14:textId="77777777" w:rsidR="00964DA9" w:rsidRPr="008B7490" w:rsidRDefault="00964DA9" w:rsidP="00964DA9">
      <w:pPr>
        <w:pStyle w:val="Apara"/>
      </w:pPr>
      <w:r w:rsidRPr="008B7490">
        <w:rPr>
          <w:color w:val="000000"/>
        </w:rPr>
        <w:tab/>
        <w:t>(a)</w:t>
      </w:r>
      <w:r w:rsidRPr="008B7490">
        <w:rPr>
          <w:color w:val="000000"/>
        </w:rPr>
        <w:tab/>
        <w:t>the person is—</w:t>
      </w:r>
    </w:p>
    <w:p w14:paraId="5E2D3838" w14:textId="77777777" w:rsidR="00964DA9" w:rsidRPr="008B7490" w:rsidRDefault="00964DA9" w:rsidP="00964DA9">
      <w:pPr>
        <w:pStyle w:val="Asubpara"/>
      </w:pPr>
      <w:r w:rsidRPr="008B7490">
        <w:rPr>
          <w:color w:val="000000"/>
        </w:rPr>
        <w:tab/>
        <w:t>(i)</w:t>
      </w:r>
      <w:r w:rsidRPr="008B7490">
        <w:rPr>
          <w:color w:val="000000"/>
        </w:rPr>
        <w:tab/>
        <w:t>a party to a proceeding before the court; or</w:t>
      </w:r>
    </w:p>
    <w:p w14:paraId="07D29F7A" w14:textId="77777777" w:rsidR="00964DA9" w:rsidRPr="008B7490" w:rsidRDefault="00964DA9" w:rsidP="00964DA9">
      <w:pPr>
        <w:pStyle w:val="Asubpara"/>
      </w:pPr>
      <w:r w:rsidRPr="008B7490">
        <w:tab/>
        <w:t>(ii)</w:t>
      </w:r>
      <w:r w:rsidRPr="008B7490">
        <w:tab/>
        <w:t>a legal representative of a party to a proceeding before the court; or</w:t>
      </w:r>
    </w:p>
    <w:p w14:paraId="363CCAB6" w14:textId="77777777" w:rsidR="00964DA9" w:rsidRPr="008B7490" w:rsidRDefault="00964DA9" w:rsidP="00964DA9">
      <w:pPr>
        <w:pStyle w:val="Asubpara"/>
      </w:pPr>
      <w:r w:rsidRPr="008B7490">
        <w:tab/>
        <w:t>(iii)</w:t>
      </w:r>
      <w:r w:rsidRPr="008B7490">
        <w:tab/>
        <w:t>a media representative; or</w:t>
      </w:r>
    </w:p>
    <w:p w14:paraId="55397538" w14:textId="77777777"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14:paraId="1852BBAA" w14:textId="77777777"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14:paraId="38F625D3" w14:textId="77777777"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14:paraId="5615EAEA" w14:textId="77777777"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14:paraId="21E1F5FE" w14:textId="77777777" w:rsidR="00964DA9" w:rsidRPr="008B7490" w:rsidRDefault="00964DA9" w:rsidP="00964DA9">
      <w:pPr>
        <w:pStyle w:val="Apara"/>
      </w:pPr>
      <w:r w:rsidRPr="008B7490">
        <w:tab/>
        <w:t>(c)</w:t>
      </w:r>
      <w:r w:rsidRPr="008B7490">
        <w:tab/>
        <w:t>generates sound or requires speaking into the device; or</w:t>
      </w:r>
    </w:p>
    <w:p w14:paraId="74A6C2B9" w14:textId="77777777" w:rsidR="00964DA9" w:rsidRPr="008B7490" w:rsidRDefault="00964DA9" w:rsidP="00964DA9">
      <w:pPr>
        <w:pStyle w:val="Apara"/>
      </w:pPr>
      <w:r w:rsidRPr="008B7490">
        <w:tab/>
        <w:t>(d)</w:t>
      </w:r>
      <w:r w:rsidRPr="008B7490">
        <w:tab/>
        <w:t>records a photograph or video image; or</w:t>
      </w:r>
    </w:p>
    <w:p w14:paraId="3C892EEA" w14:textId="77777777" w:rsidR="00964DA9" w:rsidRPr="008B7490" w:rsidRDefault="00964DA9" w:rsidP="00964DA9">
      <w:pPr>
        <w:pStyle w:val="Apara"/>
      </w:pPr>
      <w:r w:rsidRPr="008B7490">
        <w:tab/>
        <w:t>(e)</w:t>
      </w:r>
      <w:r w:rsidRPr="008B7490">
        <w:tab/>
        <w:t>records or digitally transcribes the proceedings other than in accordance with this rule.</w:t>
      </w:r>
    </w:p>
    <w:p w14:paraId="75D99CA6" w14:textId="77777777"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14:paraId="385B7DBF" w14:textId="77777777" w:rsidR="00964DA9" w:rsidRPr="008B7490" w:rsidRDefault="00964DA9" w:rsidP="00964DA9">
      <w:pPr>
        <w:pStyle w:val="Apara"/>
      </w:pPr>
      <w:r w:rsidRPr="008B7490">
        <w:rPr>
          <w:color w:val="000000"/>
        </w:rPr>
        <w:tab/>
        <w:t>(a)</w:t>
      </w:r>
      <w:r w:rsidRPr="008B7490">
        <w:rPr>
          <w:color w:val="000000"/>
        </w:rPr>
        <w:tab/>
        <w:t>leave the courtroom; or</w:t>
      </w:r>
    </w:p>
    <w:p w14:paraId="28F3E287" w14:textId="77777777" w:rsidR="00964DA9" w:rsidRPr="008B7490" w:rsidRDefault="00964DA9" w:rsidP="00964DA9">
      <w:pPr>
        <w:pStyle w:val="Apara"/>
      </w:pPr>
      <w:r w:rsidRPr="008B7490">
        <w:tab/>
        <w:t>(b)</w:t>
      </w:r>
      <w:r w:rsidRPr="008B7490">
        <w:tab/>
        <w:t>give the electronic device to the officer until the person leaves the courtroom; or</w:t>
      </w:r>
    </w:p>
    <w:p w14:paraId="2F461C3A" w14:textId="77777777"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14:paraId="2FB5A5FA" w14:textId="77777777"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14:paraId="66AD378B" w14:textId="77777777"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14:paraId="1E38B387" w14:textId="77777777" w:rsidR="00D94935" w:rsidRDefault="00D94935" w:rsidP="00D94935">
      <w:pPr>
        <w:pStyle w:val="PageBreak"/>
      </w:pPr>
      <w:r>
        <w:br w:type="page"/>
      </w:r>
    </w:p>
    <w:p w14:paraId="004C0854" w14:textId="77777777" w:rsidR="00D94935" w:rsidRPr="00C8328B" w:rsidRDefault="00D94935" w:rsidP="00D94935">
      <w:pPr>
        <w:pStyle w:val="AH1Chapter"/>
      </w:pPr>
      <w:bookmarkStart w:id="1890" w:name="_Toc185515506"/>
      <w:r w:rsidRPr="00C8328B">
        <w:rPr>
          <w:rStyle w:val="CharChapNo"/>
        </w:rPr>
        <w:lastRenderedPageBreak/>
        <w:t>Chapter 7</w:t>
      </w:r>
      <w:r>
        <w:tab/>
      </w:r>
      <w:r w:rsidRPr="00C8328B">
        <w:rPr>
          <w:rStyle w:val="CharChapText"/>
        </w:rPr>
        <w:t>Transitional</w:t>
      </w:r>
      <w:bookmarkEnd w:id="1890"/>
    </w:p>
    <w:p w14:paraId="7FE84086" w14:textId="77777777" w:rsidR="00D94935" w:rsidRPr="00C8328B" w:rsidRDefault="00D94935" w:rsidP="00D94935">
      <w:pPr>
        <w:pStyle w:val="AH2Part"/>
      </w:pPr>
      <w:bookmarkStart w:id="1891" w:name="_Toc185515507"/>
      <w:r w:rsidRPr="00C8328B">
        <w:rPr>
          <w:rStyle w:val="CharPartNo"/>
        </w:rPr>
        <w:t>Part 7.1</w:t>
      </w:r>
      <w:r>
        <w:tab/>
      </w:r>
      <w:r w:rsidRPr="00C8328B">
        <w:rPr>
          <w:rStyle w:val="CharPartText"/>
        </w:rPr>
        <w:t>Transitional—Supreme Court</w:t>
      </w:r>
      <w:bookmarkEnd w:id="1891"/>
    </w:p>
    <w:p w14:paraId="0C0055DC" w14:textId="77777777" w:rsidR="00D94935" w:rsidRDefault="00D94935" w:rsidP="00D94935">
      <w:pPr>
        <w:pStyle w:val="AH5Sec"/>
      </w:pPr>
      <w:bookmarkStart w:id="1892" w:name="_Toc185515508"/>
      <w:r w:rsidRPr="00C8328B">
        <w:rPr>
          <w:rStyle w:val="CharSectNo"/>
        </w:rPr>
        <w:t>7000</w:t>
      </w:r>
      <w:r>
        <w:tab/>
        <w:t>Transitional—existing proceedings in Supreme Court on 1 July 2006</w:t>
      </w:r>
      <w:bookmarkEnd w:id="1892"/>
    </w:p>
    <w:p w14:paraId="03EAA07B" w14:textId="77777777" w:rsidR="00D94935" w:rsidRDefault="00D94935" w:rsidP="00D94935">
      <w:pPr>
        <w:pStyle w:val="Amain"/>
      </w:pPr>
      <w:r>
        <w:tab/>
        <w:t>(1)</w:t>
      </w:r>
      <w:r>
        <w:tab/>
        <w:t>Unless the Supreme Court otherwise orders, these rules apply to an existing proceeding.</w:t>
      </w:r>
    </w:p>
    <w:p w14:paraId="5B1B5411" w14:textId="77777777"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14:paraId="4274F1A8" w14:textId="77777777" w:rsidR="00D94935" w:rsidRDefault="00D94935" w:rsidP="00D94935">
      <w:pPr>
        <w:pStyle w:val="Amain"/>
        <w:keepNext/>
      </w:pPr>
      <w:r>
        <w:tab/>
        <w:t>(3)</w:t>
      </w:r>
      <w:r>
        <w:tab/>
        <w:t>The court may make an order under this rule on application by a party or on its own initiative.</w:t>
      </w:r>
    </w:p>
    <w:p w14:paraId="1B679F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16F6EDC" w14:textId="77777777" w:rsidR="00D94935" w:rsidRDefault="00D94935" w:rsidP="00D94935">
      <w:pPr>
        <w:pStyle w:val="Amain"/>
        <w:keepNext/>
      </w:pPr>
      <w:r>
        <w:tab/>
        <w:t>(4)</w:t>
      </w:r>
      <w:r>
        <w:tab/>
        <w:t>In this rule:</w:t>
      </w:r>
    </w:p>
    <w:p w14:paraId="5AFCE25C" w14:textId="77777777"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14:paraId="3284C7C1" w14:textId="77777777"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14:paraId="2AEFF2E8" w14:textId="77777777" w:rsidR="00D94935" w:rsidRDefault="00D94935" w:rsidP="00D94935">
      <w:pPr>
        <w:pStyle w:val="AH5Sec"/>
      </w:pPr>
      <w:bookmarkStart w:id="1893" w:name="_Toc185515509"/>
      <w:r w:rsidRPr="00C8328B">
        <w:rPr>
          <w:rStyle w:val="CharSectNo"/>
        </w:rPr>
        <w:t>7002</w:t>
      </w:r>
      <w:r>
        <w:tab/>
        <w:t>Transitional—construction of outdated references to Supreme Court rules etc</w:t>
      </w:r>
      <w:bookmarkEnd w:id="1893"/>
    </w:p>
    <w:p w14:paraId="5246862C" w14:textId="77777777" w:rsidR="00D94935" w:rsidRDefault="00D94935" w:rsidP="00D94935">
      <w:pPr>
        <w:pStyle w:val="Amainreturn"/>
      </w:pPr>
      <w:r>
        <w:t>These rules apply as if—</w:t>
      </w:r>
    </w:p>
    <w:p w14:paraId="7696224B" w14:textId="5BBF09D8" w:rsidR="00D94935" w:rsidRDefault="00D94935" w:rsidP="00D94935">
      <w:pPr>
        <w:pStyle w:val="Apara"/>
      </w:pPr>
      <w:r>
        <w:tab/>
        <w:t>(a)</w:t>
      </w:r>
      <w:r>
        <w:tab/>
        <w:t xml:space="preserve">a reference in an Act, statutory instrument or document, to the </w:t>
      </w:r>
      <w:hyperlink r:id="rId941" w:tooltip="SL1937-85" w:history="1">
        <w:r w:rsidRPr="006364FA">
          <w:rPr>
            <w:rStyle w:val="charCitHyperlinkItal"/>
          </w:rPr>
          <w:t>Supreme Court Rules 1937</w:t>
        </w:r>
      </w:hyperlink>
      <w:r>
        <w:t xml:space="preserve">, the </w:t>
      </w:r>
      <w:hyperlink r:id="rId942" w:tooltip="SL1998-15" w:history="1">
        <w:r w:rsidRPr="006364FA">
          <w:rPr>
            <w:rStyle w:val="charCitHyperlinkItal"/>
          </w:rPr>
          <w:t>Supreme Court (Admission of Legal Practitioners) Rules 1998</w:t>
        </w:r>
      </w:hyperlink>
      <w:r>
        <w:t xml:space="preserve"> or the </w:t>
      </w:r>
      <w:hyperlink r:id="rId943" w:tooltip="SL2003-40" w:history="1">
        <w:r w:rsidRPr="006364FA">
          <w:rPr>
            <w:rStyle w:val="charCitHyperlinkItal"/>
          </w:rPr>
          <w:t>Supreme Court (Corporations) Rules 2003</w:t>
        </w:r>
      </w:hyperlink>
      <w:r>
        <w:t xml:space="preserve"> were, in relation to anything to which these rules apply, a reference to these rules; and</w:t>
      </w:r>
    </w:p>
    <w:p w14:paraId="78AE8F0E" w14:textId="29B2ABE9" w:rsidR="00D94935" w:rsidRDefault="00D94935" w:rsidP="00D94935">
      <w:pPr>
        <w:pStyle w:val="Apara"/>
      </w:pPr>
      <w:r>
        <w:lastRenderedPageBreak/>
        <w:tab/>
        <w:t>(b)</w:t>
      </w:r>
      <w:r>
        <w:tab/>
        <w:t xml:space="preserve">a reference in an Act, statutory instrument or document, to a provision of the </w:t>
      </w:r>
      <w:hyperlink r:id="rId944" w:tooltip="SL1937-85" w:history="1">
        <w:r w:rsidRPr="006364FA">
          <w:rPr>
            <w:rStyle w:val="charCitHyperlinkItal"/>
          </w:rPr>
          <w:t>Supreme Court Rules 1937</w:t>
        </w:r>
      </w:hyperlink>
      <w:r>
        <w:t xml:space="preserve">, the </w:t>
      </w:r>
      <w:hyperlink r:id="rId945" w:tooltip="SL1998-15" w:history="1">
        <w:r w:rsidRPr="006364FA">
          <w:rPr>
            <w:rStyle w:val="charCitHyperlinkItal"/>
          </w:rPr>
          <w:t>Supreme Court (Admission of Legal Practitioners) Rules 1998</w:t>
        </w:r>
      </w:hyperlink>
      <w:r>
        <w:t xml:space="preserve"> or the </w:t>
      </w:r>
      <w:hyperlink r:id="rId946"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14:paraId="5BB2F702" w14:textId="77777777"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14:paraId="7BBAE95B" w14:textId="77777777" w:rsidR="00D94935" w:rsidRDefault="00D94935" w:rsidP="00D94935">
      <w:pPr>
        <w:pStyle w:val="aExamHdgpar"/>
      </w:pPr>
      <w:r>
        <w:t>Examples for par (c)</w:t>
      </w:r>
    </w:p>
    <w:p w14:paraId="4C973BE6" w14:textId="77777777" w:rsidR="00D94935" w:rsidRDefault="00D94935" w:rsidP="00D94935">
      <w:pPr>
        <w:pStyle w:val="aExamINumpar"/>
      </w:pPr>
      <w:r>
        <w:t>1</w:t>
      </w:r>
      <w:r>
        <w:tab/>
        <w:t>A ‘notice of motion’ is taken to be an ‘application’.</w:t>
      </w:r>
    </w:p>
    <w:p w14:paraId="60E1B980" w14:textId="77777777"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14:paraId="4E964043" w14:textId="77777777" w:rsidR="00D94935" w:rsidRDefault="00D94935" w:rsidP="00D94935">
      <w:pPr>
        <w:pStyle w:val="aExamINumpar"/>
      </w:pPr>
      <w:r>
        <w:t>3</w:t>
      </w:r>
      <w:r>
        <w:tab/>
        <w:t>A reference to taxation of costs is taken to be a reference to assessment of costs.</w:t>
      </w:r>
    </w:p>
    <w:p w14:paraId="752C1F3B" w14:textId="77777777" w:rsidR="00D94935" w:rsidRDefault="00D94935" w:rsidP="00D94935">
      <w:pPr>
        <w:pStyle w:val="PageBreak"/>
      </w:pPr>
      <w:r>
        <w:br w:type="page"/>
      </w:r>
    </w:p>
    <w:p w14:paraId="38B712EB" w14:textId="77777777" w:rsidR="00D94935" w:rsidRPr="00C8328B" w:rsidRDefault="00D94935" w:rsidP="00D94935">
      <w:pPr>
        <w:pStyle w:val="AH2Part"/>
      </w:pPr>
      <w:bookmarkStart w:id="1894" w:name="_Toc185515510"/>
      <w:r w:rsidRPr="00C8328B">
        <w:rPr>
          <w:rStyle w:val="CharPartNo"/>
        </w:rPr>
        <w:lastRenderedPageBreak/>
        <w:t>Part 7.2</w:t>
      </w:r>
      <w:r>
        <w:tab/>
      </w:r>
      <w:r w:rsidRPr="00C8328B">
        <w:rPr>
          <w:rStyle w:val="CharPartText"/>
        </w:rPr>
        <w:t>Transitional—Magistrates Court</w:t>
      </w:r>
      <w:bookmarkEnd w:id="1894"/>
    </w:p>
    <w:p w14:paraId="625D9E35" w14:textId="77777777" w:rsidR="00D94935" w:rsidRDefault="00D94935" w:rsidP="00D94935">
      <w:pPr>
        <w:pStyle w:val="AH5Sec"/>
      </w:pPr>
      <w:bookmarkStart w:id="1895" w:name="_Toc185515511"/>
      <w:r w:rsidRPr="00C8328B">
        <w:rPr>
          <w:rStyle w:val="CharSectNo"/>
        </w:rPr>
        <w:t>7011</w:t>
      </w:r>
      <w:r>
        <w:tab/>
        <w:t>Transitional—existing proceedings in Magistrates Court on 1 January 2007</w:t>
      </w:r>
      <w:bookmarkEnd w:id="1895"/>
    </w:p>
    <w:p w14:paraId="3C8B331E" w14:textId="77777777" w:rsidR="00D94935" w:rsidRDefault="00D94935" w:rsidP="00D94935">
      <w:pPr>
        <w:pStyle w:val="Amain"/>
      </w:pPr>
      <w:r>
        <w:tab/>
        <w:t>(1)</w:t>
      </w:r>
      <w:r>
        <w:tab/>
        <w:t>Unless the Magistrates Court otherwise orders, these rules apply to an existing proceeding.</w:t>
      </w:r>
    </w:p>
    <w:p w14:paraId="4334D3E6" w14:textId="77777777"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14:paraId="5CB1FBC4" w14:textId="77777777" w:rsidR="00D94935" w:rsidRDefault="00D94935" w:rsidP="00D94935">
      <w:pPr>
        <w:pStyle w:val="Amain"/>
        <w:keepNext/>
      </w:pPr>
      <w:r>
        <w:tab/>
        <w:t>(3)</w:t>
      </w:r>
      <w:r>
        <w:tab/>
        <w:t>The Magistrates Court may make an order under this rule on application by a party or on its own initiative.</w:t>
      </w:r>
    </w:p>
    <w:p w14:paraId="3314668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AEC241" w14:textId="77777777" w:rsidR="00D94935" w:rsidRDefault="00D94935" w:rsidP="00D94935">
      <w:pPr>
        <w:pStyle w:val="Amain"/>
        <w:keepNext/>
      </w:pPr>
      <w:r>
        <w:tab/>
        <w:t>(4)</w:t>
      </w:r>
      <w:r>
        <w:tab/>
        <w:t>In this rule:</w:t>
      </w:r>
    </w:p>
    <w:p w14:paraId="3B5F16B3" w14:textId="77777777"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14:paraId="06CE5342" w14:textId="77777777" w:rsidR="00AE72B5" w:rsidRPr="00AE72B5" w:rsidRDefault="00AE72B5" w:rsidP="00AE72B5">
      <w:pPr>
        <w:pStyle w:val="PageBreak"/>
      </w:pPr>
      <w:r w:rsidRPr="00AE72B5">
        <w:br w:type="page"/>
      </w:r>
    </w:p>
    <w:p w14:paraId="26126BBE" w14:textId="40EAB27E" w:rsidR="00AE72B5" w:rsidRPr="00541115" w:rsidRDefault="00AE72B5" w:rsidP="00AE72B5">
      <w:pPr>
        <w:pStyle w:val="AH2Part"/>
      </w:pPr>
      <w:bookmarkStart w:id="1896" w:name="_Toc185515512"/>
      <w:r w:rsidRPr="00AE72B5">
        <w:rPr>
          <w:rStyle w:val="CharPartNo"/>
        </w:rPr>
        <w:lastRenderedPageBreak/>
        <w:t>Part 7.3</w:t>
      </w:r>
      <w:r w:rsidRPr="00541115">
        <w:tab/>
      </w:r>
      <w:r w:rsidRPr="00AE72B5">
        <w:rPr>
          <w:rStyle w:val="CharPartText"/>
        </w:rPr>
        <w:t>Transitional—interrogatories</w:t>
      </w:r>
      <w:bookmarkEnd w:id="1896"/>
    </w:p>
    <w:p w14:paraId="2BBC0C53" w14:textId="77777777" w:rsidR="00AE72B5" w:rsidRPr="00541115" w:rsidRDefault="00AE72B5" w:rsidP="00AE72B5">
      <w:pPr>
        <w:pStyle w:val="AH5Sec"/>
      </w:pPr>
      <w:bookmarkStart w:id="1897" w:name="_Toc185515513"/>
      <w:r w:rsidRPr="00AE72B5">
        <w:rPr>
          <w:rStyle w:val="CharSectNo"/>
        </w:rPr>
        <w:t>7012</w:t>
      </w:r>
      <w:r w:rsidRPr="00541115">
        <w:tab/>
        <w:t>Transitional—interrogatories</w:t>
      </w:r>
      <w:bookmarkEnd w:id="1897"/>
    </w:p>
    <w:p w14:paraId="68319DBF" w14:textId="77777777" w:rsidR="00AE72B5" w:rsidRPr="00541115" w:rsidRDefault="00AE72B5" w:rsidP="00AE72B5">
      <w:pPr>
        <w:pStyle w:val="Amain"/>
      </w:pPr>
      <w:r w:rsidRPr="00541115">
        <w:tab/>
        <w:t>(1)</w:t>
      </w:r>
      <w:r w:rsidRPr="00541115">
        <w:tab/>
        <w:t xml:space="preserve">This rule applies if a party to a proceeding </w:t>
      </w:r>
      <w:r>
        <w:t xml:space="preserve">has </w:t>
      </w:r>
      <w:r w:rsidRPr="00541115">
        <w:t>serve</w:t>
      </w:r>
      <w:r>
        <w:t>d</w:t>
      </w:r>
      <w:r w:rsidRPr="00541115">
        <w:t xml:space="preserve"> interrogatories under previous rule 630.</w:t>
      </w:r>
    </w:p>
    <w:p w14:paraId="527DA12C" w14:textId="77777777" w:rsidR="00AE72B5" w:rsidRPr="00541115" w:rsidRDefault="00AE72B5" w:rsidP="00AE72B5">
      <w:pPr>
        <w:pStyle w:val="Amain"/>
      </w:pPr>
      <w:r w:rsidRPr="00541115">
        <w:tab/>
        <w:t>(2)</w:t>
      </w:r>
      <w:r w:rsidRPr="00541115">
        <w:tab/>
        <w:t>Rules 633, 636 and 672, as in force immediately before the commencement day, continue to apply in relation to the interrogatories.</w:t>
      </w:r>
    </w:p>
    <w:p w14:paraId="389CE755" w14:textId="77777777" w:rsidR="00AE72B5" w:rsidRPr="00541115" w:rsidRDefault="00AE72B5" w:rsidP="00AE72B5">
      <w:pPr>
        <w:pStyle w:val="Amain"/>
      </w:pPr>
      <w:r w:rsidRPr="00541115">
        <w:tab/>
        <w:t>(3)</w:t>
      </w:r>
      <w:r w:rsidRPr="00541115">
        <w:tab/>
        <w:t>This rule expires 2 years after the commencement day.</w:t>
      </w:r>
    </w:p>
    <w:p w14:paraId="76637341" w14:textId="4C1EC8F8" w:rsidR="00AE72B5" w:rsidRPr="00541115" w:rsidRDefault="00AE72B5" w:rsidP="00AE72B5">
      <w:pPr>
        <w:pStyle w:val="aNote"/>
      </w:pPr>
      <w:r w:rsidRPr="00AD6F40">
        <w:rPr>
          <w:rStyle w:val="charItals"/>
        </w:rPr>
        <w:t>Note</w:t>
      </w:r>
      <w:r w:rsidRPr="00541115">
        <w:tab/>
        <w:t xml:space="preserve">A transitional provision is repealed on its expiry but continues to have effect after its repeal (see </w:t>
      </w:r>
      <w:hyperlink r:id="rId947" w:tooltip="A2001-14" w:history="1">
        <w:r w:rsidRPr="00AD6F40">
          <w:rPr>
            <w:rStyle w:val="charCitHyperlinkAbbrev"/>
          </w:rPr>
          <w:t>Legislation Act</w:t>
        </w:r>
      </w:hyperlink>
      <w:r w:rsidRPr="00541115">
        <w:t>, s 88).</w:t>
      </w:r>
    </w:p>
    <w:p w14:paraId="60497A79" w14:textId="77777777" w:rsidR="00AE72B5" w:rsidRPr="00541115" w:rsidRDefault="00AE72B5" w:rsidP="00AE72B5">
      <w:pPr>
        <w:pStyle w:val="Amain"/>
      </w:pPr>
      <w:r w:rsidRPr="00541115">
        <w:tab/>
        <w:t>(4)</w:t>
      </w:r>
      <w:r w:rsidRPr="00541115">
        <w:tab/>
        <w:t>In this section:</w:t>
      </w:r>
    </w:p>
    <w:p w14:paraId="7DEC6984" w14:textId="208C4B62" w:rsidR="00AE72B5" w:rsidRPr="00541115" w:rsidRDefault="00AE72B5" w:rsidP="00AE72B5">
      <w:pPr>
        <w:pStyle w:val="aDef"/>
      </w:pPr>
      <w:r w:rsidRPr="00AD6F40">
        <w:rPr>
          <w:rStyle w:val="charBoldItals"/>
        </w:rPr>
        <w:t>commencement day</w:t>
      </w:r>
      <w:r w:rsidRPr="00541115">
        <w:t xml:space="preserve"> means the day the </w:t>
      </w:r>
      <w:hyperlink r:id="rId948" w:tooltip="SL2023-15" w:history="1">
        <w:r w:rsidR="00701B82" w:rsidRPr="00701B82">
          <w:rPr>
            <w:rStyle w:val="charCitHyperlinkItal"/>
          </w:rPr>
          <w:t>Court Procedures Amendment Rules 2023 (No 1)</w:t>
        </w:r>
      </w:hyperlink>
      <w:r w:rsidRPr="00541115">
        <w:t xml:space="preserve"> commences.</w:t>
      </w:r>
    </w:p>
    <w:p w14:paraId="7198ECEE" w14:textId="77777777" w:rsidR="00AE72B5" w:rsidRPr="00541115" w:rsidRDefault="00AE72B5" w:rsidP="00AE72B5">
      <w:pPr>
        <w:pStyle w:val="aDef"/>
      </w:pPr>
      <w:r w:rsidRPr="00AD6F40">
        <w:rPr>
          <w:rStyle w:val="charBoldItals"/>
        </w:rPr>
        <w:t>previous rule 630</w:t>
      </w:r>
      <w:r w:rsidRPr="00541115">
        <w:t xml:space="preserve"> means rule 630 as in force immediately before the commencement day.</w:t>
      </w:r>
    </w:p>
    <w:p w14:paraId="7DF5308D" w14:textId="77777777" w:rsidR="00DF5DB1" w:rsidRDefault="00DF5DB1">
      <w:pPr>
        <w:pStyle w:val="02Text"/>
        <w:sectPr w:rsidR="00DF5DB1" w:rsidSect="00CD3DF7">
          <w:headerReference w:type="even" r:id="rId949"/>
          <w:headerReference w:type="default" r:id="rId950"/>
          <w:footerReference w:type="even" r:id="rId951"/>
          <w:footerReference w:type="default" r:id="rId952"/>
          <w:footerReference w:type="first" r:id="rId953"/>
          <w:pgSz w:w="11907" w:h="16839" w:code="9"/>
          <w:pgMar w:top="3880" w:right="1900" w:bottom="3100" w:left="2300" w:header="1920" w:footer="1760" w:gutter="0"/>
          <w:cols w:space="720"/>
          <w:docGrid w:linePitch="254"/>
        </w:sectPr>
      </w:pPr>
    </w:p>
    <w:p w14:paraId="1428D94D" w14:textId="77777777" w:rsidR="00D94935" w:rsidRDefault="00D94935" w:rsidP="00D94935">
      <w:pPr>
        <w:pStyle w:val="PageBreak"/>
      </w:pPr>
      <w:r>
        <w:br w:type="page"/>
      </w:r>
    </w:p>
    <w:p w14:paraId="7E25210E" w14:textId="77777777" w:rsidR="00E439D1" w:rsidRPr="00C8328B" w:rsidRDefault="00E439D1" w:rsidP="00E439D1">
      <w:pPr>
        <w:pStyle w:val="Sched-heading"/>
      </w:pPr>
      <w:bookmarkStart w:id="1898" w:name="_Toc185515514"/>
      <w:r w:rsidRPr="00C8328B">
        <w:rPr>
          <w:rStyle w:val="CharChapNo"/>
        </w:rPr>
        <w:lastRenderedPageBreak/>
        <w:t>Schedule 1</w:t>
      </w:r>
      <w:r w:rsidRPr="00122C29">
        <w:tab/>
      </w:r>
      <w:r w:rsidRPr="00C8328B">
        <w:rPr>
          <w:rStyle w:val="CharChapText"/>
        </w:rPr>
        <w:t>Expert witness code of conduct</w:t>
      </w:r>
      <w:bookmarkEnd w:id="1898"/>
    </w:p>
    <w:p w14:paraId="3C101B93" w14:textId="77777777" w:rsidR="004E432A" w:rsidRDefault="004E432A" w:rsidP="004E432A">
      <w:pPr>
        <w:pStyle w:val="Placeholder"/>
        <w:suppressLineNumbers/>
      </w:pPr>
      <w:r>
        <w:rPr>
          <w:rStyle w:val="CharPartNo"/>
        </w:rPr>
        <w:t xml:space="preserve">  </w:t>
      </w:r>
      <w:r>
        <w:rPr>
          <w:rStyle w:val="CharPartText"/>
        </w:rPr>
        <w:t xml:space="preserve">  </w:t>
      </w:r>
    </w:p>
    <w:p w14:paraId="71721E3A" w14:textId="77777777" w:rsidR="00E439D1" w:rsidRPr="00122C29" w:rsidRDefault="00E439D1" w:rsidP="00E439D1">
      <w:pPr>
        <w:pStyle w:val="ref"/>
      </w:pPr>
      <w:r w:rsidRPr="00122C29">
        <w:t>(see r 1201)</w:t>
      </w:r>
    </w:p>
    <w:p w14:paraId="41FE98EC" w14:textId="77777777" w:rsidR="00E439D1" w:rsidRPr="00122C29" w:rsidRDefault="00E439D1" w:rsidP="00E439D1">
      <w:pPr>
        <w:pStyle w:val="Schclauseheading"/>
      </w:pPr>
      <w:bookmarkStart w:id="1899" w:name="_Toc185515515"/>
      <w:r w:rsidRPr="00C8328B">
        <w:rPr>
          <w:rStyle w:val="CharSectNo"/>
        </w:rPr>
        <w:t>1.1</w:t>
      </w:r>
      <w:r w:rsidRPr="00122C29">
        <w:tab/>
        <w:t>Application of code</w:t>
      </w:r>
      <w:bookmarkEnd w:id="1899"/>
    </w:p>
    <w:p w14:paraId="5F3D6754" w14:textId="77777777" w:rsidR="00E439D1" w:rsidRPr="00122C29" w:rsidRDefault="00E439D1" w:rsidP="00E439D1">
      <w:pPr>
        <w:pStyle w:val="Amainreturn"/>
      </w:pPr>
      <w:r w:rsidRPr="00122C29">
        <w:t>This code of conduct applies to any expert witness engaged or appointed—</w:t>
      </w:r>
    </w:p>
    <w:p w14:paraId="51B1FA4D" w14:textId="77777777" w:rsidR="00E439D1" w:rsidRPr="00122C29" w:rsidRDefault="00E439D1" w:rsidP="00E439D1">
      <w:pPr>
        <w:pStyle w:val="SchApara"/>
      </w:pPr>
      <w:r w:rsidRPr="00122C29">
        <w:tab/>
        <w:t>(a)</w:t>
      </w:r>
      <w:r w:rsidRPr="00122C29">
        <w:tab/>
        <w:t>to provide an expert’s report for use as evidence in a proceeding or proposed proceeding; or</w:t>
      </w:r>
    </w:p>
    <w:p w14:paraId="33DC2E52" w14:textId="77777777" w:rsidR="00E439D1" w:rsidRPr="00122C29" w:rsidRDefault="00E439D1" w:rsidP="00E439D1">
      <w:pPr>
        <w:pStyle w:val="SchApara"/>
      </w:pPr>
      <w:r w:rsidRPr="00122C29">
        <w:tab/>
        <w:t>(b)</w:t>
      </w:r>
      <w:r w:rsidRPr="00122C29">
        <w:tab/>
        <w:t>to give opinion evidence in a proceeding or proposed proceeding.</w:t>
      </w:r>
    </w:p>
    <w:p w14:paraId="20E9CB2B" w14:textId="77777777" w:rsidR="00E439D1" w:rsidRPr="00122C29" w:rsidRDefault="00E439D1" w:rsidP="00E439D1">
      <w:pPr>
        <w:pStyle w:val="Schclauseheading"/>
      </w:pPr>
      <w:bookmarkStart w:id="1900" w:name="_Toc185515516"/>
      <w:r w:rsidRPr="00C8328B">
        <w:rPr>
          <w:rStyle w:val="CharSectNo"/>
        </w:rPr>
        <w:t>1.2</w:t>
      </w:r>
      <w:r w:rsidRPr="00122C29">
        <w:tab/>
        <w:t>General duty to court</w:t>
      </w:r>
      <w:bookmarkEnd w:id="1900"/>
    </w:p>
    <w:p w14:paraId="4424001F" w14:textId="77777777"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14:paraId="34257463" w14:textId="77777777"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14:paraId="1BEECC9D" w14:textId="77777777" w:rsidR="00E439D1" w:rsidRPr="00122C29" w:rsidRDefault="00E439D1" w:rsidP="00E439D1">
      <w:pPr>
        <w:pStyle w:val="SchAmain"/>
      </w:pPr>
      <w:r w:rsidRPr="00122C29">
        <w:tab/>
        <w:t>(3)</w:t>
      </w:r>
      <w:r w:rsidRPr="00122C29">
        <w:tab/>
        <w:t>An expert witness is not an advocate for a party.</w:t>
      </w:r>
    </w:p>
    <w:p w14:paraId="332C63ED" w14:textId="77777777" w:rsidR="00E439D1" w:rsidRPr="00122C29" w:rsidRDefault="00E439D1" w:rsidP="00E439D1">
      <w:pPr>
        <w:pStyle w:val="Schclauseheading"/>
      </w:pPr>
      <w:bookmarkStart w:id="1901" w:name="_Toc185515517"/>
      <w:r w:rsidRPr="00C8328B">
        <w:rPr>
          <w:rStyle w:val="CharSectNo"/>
        </w:rPr>
        <w:t>1.3</w:t>
      </w:r>
      <w:r w:rsidRPr="00122C29">
        <w:tab/>
        <w:t>Content of report</w:t>
      </w:r>
      <w:bookmarkEnd w:id="1901"/>
    </w:p>
    <w:p w14:paraId="49023A1D" w14:textId="77777777"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14:paraId="757C3B28" w14:textId="77777777" w:rsidR="00E439D1" w:rsidRPr="00122C29" w:rsidRDefault="00E439D1" w:rsidP="00E439D1">
      <w:pPr>
        <w:pStyle w:val="SchApara"/>
      </w:pPr>
      <w:r w:rsidRPr="00122C29">
        <w:tab/>
        <w:t>(a)</w:t>
      </w:r>
      <w:r w:rsidRPr="00122C29">
        <w:tab/>
        <w:t>the expert’s name and address;</w:t>
      </w:r>
    </w:p>
    <w:p w14:paraId="39F65874" w14:textId="77777777" w:rsidR="00E439D1" w:rsidRPr="00122C29" w:rsidRDefault="00E439D1" w:rsidP="00E439D1">
      <w:pPr>
        <w:pStyle w:val="SchApara"/>
      </w:pPr>
      <w:r w:rsidRPr="00122C29">
        <w:tab/>
        <w:t>(b)</w:t>
      </w:r>
      <w:r w:rsidRPr="00122C29">
        <w:tab/>
        <w:t>an acknowledgment that the expert has read this code and agrees to be bound by it;</w:t>
      </w:r>
    </w:p>
    <w:p w14:paraId="3AAC3BC6" w14:textId="77777777" w:rsidR="00E439D1" w:rsidRPr="00122C29" w:rsidRDefault="00E439D1" w:rsidP="00E439D1">
      <w:pPr>
        <w:pStyle w:val="SchApara"/>
      </w:pPr>
      <w:r w:rsidRPr="00122C29">
        <w:tab/>
        <w:t>(c)</w:t>
      </w:r>
      <w:r w:rsidRPr="00122C29">
        <w:tab/>
        <w:t>the expert’s qualifications to prepare the report;</w:t>
      </w:r>
    </w:p>
    <w:p w14:paraId="7C7DE867" w14:textId="77777777"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14:paraId="0549B095" w14:textId="77777777"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14:paraId="7707ECA9" w14:textId="77777777" w:rsidR="00E439D1" w:rsidRPr="00122C29" w:rsidRDefault="00E439D1" w:rsidP="00E439D1">
      <w:pPr>
        <w:pStyle w:val="SchApara"/>
      </w:pPr>
      <w:r w:rsidRPr="00122C29">
        <w:tab/>
        <w:t>(f)</w:t>
      </w:r>
      <w:r w:rsidRPr="00122C29">
        <w:tab/>
        <w:t>if applicable, that a particular question, issue or matter falls outside the expert’s area of expertise;</w:t>
      </w:r>
    </w:p>
    <w:p w14:paraId="060F19DE" w14:textId="77777777"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14:paraId="0C60008A" w14:textId="77777777"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14:paraId="5A016C06" w14:textId="77777777" w:rsidR="00E439D1" w:rsidRPr="00122C29" w:rsidRDefault="00E439D1" w:rsidP="00E439D1">
      <w:pPr>
        <w:pStyle w:val="SchApara"/>
      </w:pPr>
      <w:r w:rsidRPr="00122C29">
        <w:tab/>
        <w:t>(i)</w:t>
      </w:r>
      <w:r w:rsidRPr="00122C29">
        <w:tab/>
        <w:t>a declaration that—</w:t>
      </w:r>
    </w:p>
    <w:p w14:paraId="0399FD5F" w14:textId="77777777"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14:paraId="4599DB29" w14:textId="77777777"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14:paraId="3A798FD5" w14:textId="77777777"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14:paraId="648FB358" w14:textId="77777777"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14:paraId="77E0366B" w14:textId="77777777" w:rsidR="00E439D1" w:rsidRPr="00122C29" w:rsidRDefault="00E439D1" w:rsidP="00E439D1">
      <w:pPr>
        <w:pStyle w:val="SchApara"/>
      </w:pPr>
      <w:r w:rsidRPr="00122C29">
        <w:tab/>
        <w:t>(l)</w:t>
      </w:r>
      <w:r w:rsidRPr="00122C29">
        <w:tab/>
        <w:t>if the report is lengthy or complex, a brief summary of the report at the beginning of the report.</w:t>
      </w:r>
    </w:p>
    <w:p w14:paraId="6F94A5F2" w14:textId="77777777" w:rsidR="00E439D1" w:rsidRPr="00122C29" w:rsidRDefault="00E439D1" w:rsidP="00E439D1">
      <w:pPr>
        <w:pStyle w:val="Schclauseheading"/>
      </w:pPr>
      <w:bookmarkStart w:id="1902" w:name="_Toc185515518"/>
      <w:r w:rsidRPr="00C8328B">
        <w:rPr>
          <w:rStyle w:val="CharSectNo"/>
        </w:rPr>
        <w:lastRenderedPageBreak/>
        <w:t>1.4</w:t>
      </w:r>
      <w:r w:rsidRPr="00122C29">
        <w:tab/>
        <w:t>Supplementary report following change of opinion</w:t>
      </w:r>
      <w:bookmarkEnd w:id="1902"/>
    </w:p>
    <w:p w14:paraId="34AF3784" w14:textId="77777777"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14:paraId="40F18D82" w14:textId="77777777"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14:paraId="0DCE83CE" w14:textId="77777777"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14:paraId="46A32591" w14:textId="77777777" w:rsidR="00E439D1" w:rsidRPr="00122C29" w:rsidRDefault="00E439D1" w:rsidP="00E439D1">
      <w:pPr>
        <w:pStyle w:val="Schclauseheading"/>
      </w:pPr>
      <w:bookmarkStart w:id="1903" w:name="_Toc185515519"/>
      <w:r w:rsidRPr="00C8328B">
        <w:rPr>
          <w:rStyle w:val="CharSectNo"/>
        </w:rPr>
        <w:t>1.5</w:t>
      </w:r>
      <w:r w:rsidRPr="00122C29">
        <w:tab/>
        <w:t>Duty to comply with court’s directions</w:t>
      </w:r>
      <w:bookmarkEnd w:id="1903"/>
    </w:p>
    <w:p w14:paraId="7BE4FA33" w14:textId="77777777" w:rsidR="00E439D1" w:rsidRPr="00122C29" w:rsidRDefault="00E439D1" w:rsidP="00E439D1">
      <w:pPr>
        <w:pStyle w:val="Amainreturn"/>
      </w:pPr>
      <w:r w:rsidRPr="00122C29">
        <w:t>If directed by the court, an expert witness must—</w:t>
      </w:r>
    </w:p>
    <w:p w14:paraId="1A5F5E28" w14:textId="77777777" w:rsidR="00E439D1" w:rsidRPr="00122C29" w:rsidRDefault="00E439D1" w:rsidP="00E439D1">
      <w:pPr>
        <w:pStyle w:val="SchApara"/>
      </w:pPr>
      <w:r w:rsidRPr="00122C29">
        <w:tab/>
        <w:t>(a)</w:t>
      </w:r>
      <w:r w:rsidRPr="00122C29">
        <w:tab/>
        <w:t>confer with any other expert witness; and</w:t>
      </w:r>
    </w:p>
    <w:p w14:paraId="57ABE019" w14:textId="77777777" w:rsidR="00E439D1" w:rsidRPr="00122C29" w:rsidRDefault="00E439D1" w:rsidP="00E439D1">
      <w:pPr>
        <w:pStyle w:val="SchApara"/>
      </w:pPr>
      <w:r w:rsidRPr="00122C29">
        <w:tab/>
        <w:t>(b)</w:t>
      </w:r>
      <w:r w:rsidRPr="00122C29">
        <w:tab/>
        <w:t>give the court a report identifying—</w:t>
      </w:r>
    </w:p>
    <w:p w14:paraId="77C1086E" w14:textId="77777777" w:rsidR="00E439D1" w:rsidRPr="00122C29" w:rsidRDefault="00E439D1" w:rsidP="00E439D1">
      <w:pPr>
        <w:pStyle w:val="SchAsubpara"/>
      </w:pPr>
      <w:r w:rsidRPr="00122C29">
        <w:tab/>
        <w:t>(i)</w:t>
      </w:r>
      <w:r w:rsidRPr="00122C29">
        <w:tab/>
        <w:t>the matters on which the experts agree; and</w:t>
      </w:r>
    </w:p>
    <w:p w14:paraId="436D4CA3" w14:textId="77777777" w:rsidR="00E439D1" w:rsidRPr="00122C29" w:rsidRDefault="00E439D1" w:rsidP="00E439D1">
      <w:pPr>
        <w:pStyle w:val="SchAsubpara"/>
      </w:pPr>
      <w:r w:rsidRPr="00122C29">
        <w:tab/>
        <w:t>(ii)</w:t>
      </w:r>
      <w:r w:rsidRPr="00122C29">
        <w:tab/>
        <w:t>the matters on which the experts disagree; and</w:t>
      </w:r>
    </w:p>
    <w:p w14:paraId="5321D99D" w14:textId="77777777" w:rsidR="00E439D1" w:rsidRPr="00122C29" w:rsidRDefault="00E439D1" w:rsidP="00E439D1">
      <w:pPr>
        <w:pStyle w:val="SchAsubpara"/>
      </w:pPr>
      <w:r w:rsidRPr="00122C29">
        <w:tab/>
        <w:t>(iii)</w:t>
      </w:r>
      <w:r w:rsidRPr="00122C29">
        <w:tab/>
        <w:t>the reasons for the experts not agreeing; and</w:t>
      </w:r>
    </w:p>
    <w:p w14:paraId="54A6320D" w14:textId="77777777" w:rsidR="00E439D1" w:rsidRPr="00122C29" w:rsidRDefault="00E439D1" w:rsidP="00E439D1">
      <w:pPr>
        <w:pStyle w:val="SchApara"/>
      </w:pPr>
      <w:r w:rsidRPr="00122C29">
        <w:tab/>
        <w:t>(c)</w:t>
      </w:r>
      <w:r w:rsidRPr="00122C29">
        <w:tab/>
        <w:t>comply with any direction of the court in a timely way.</w:t>
      </w:r>
    </w:p>
    <w:p w14:paraId="06DB0AA5" w14:textId="77777777" w:rsidR="00E439D1" w:rsidRPr="00122C29" w:rsidRDefault="00E439D1" w:rsidP="00E439D1">
      <w:pPr>
        <w:pStyle w:val="Schclauseheading"/>
      </w:pPr>
      <w:bookmarkStart w:id="1904" w:name="_Toc185515520"/>
      <w:r w:rsidRPr="00C8328B">
        <w:rPr>
          <w:rStyle w:val="CharSectNo"/>
        </w:rPr>
        <w:t>1.6</w:t>
      </w:r>
      <w:r w:rsidRPr="00122C29">
        <w:tab/>
        <w:t>Experts’ conference etc</w:t>
      </w:r>
      <w:bookmarkEnd w:id="1904"/>
    </w:p>
    <w:p w14:paraId="1C342154" w14:textId="77777777" w:rsidR="00E439D1" w:rsidRPr="00122C29" w:rsidRDefault="00E439D1" w:rsidP="00E439D1">
      <w:pPr>
        <w:pStyle w:val="Amainreturn"/>
        <w:keepNext/>
      </w:pPr>
      <w:r w:rsidRPr="00122C29">
        <w:t>An expert witness must—</w:t>
      </w:r>
    </w:p>
    <w:p w14:paraId="16EF4EA3" w14:textId="5E69B332" w:rsidR="00E439D1" w:rsidRPr="00122C29" w:rsidRDefault="00E439D1" w:rsidP="00E439D1">
      <w:pPr>
        <w:pStyle w:val="SchApara"/>
      </w:pPr>
      <w:r w:rsidRPr="00122C29">
        <w:tab/>
        <w:t>(a)</w:t>
      </w:r>
      <w:r w:rsidRPr="00122C29">
        <w:tab/>
        <w:t>exercise independent judgment in relation to every conference held, or report prepared, under the court’s direction under rule 1.5, and must not act on any instruction or request to withhold or avoid agreement; and</w:t>
      </w:r>
    </w:p>
    <w:p w14:paraId="75A882C0" w14:textId="77777777"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14:paraId="243FB282" w14:textId="77777777" w:rsidR="00135326" w:rsidRDefault="00135326">
      <w:pPr>
        <w:pStyle w:val="03Schedule"/>
        <w:sectPr w:rsidR="00135326" w:rsidSect="00CD3DF7">
          <w:headerReference w:type="even" r:id="rId954"/>
          <w:headerReference w:type="default" r:id="rId955"/>
          <w:footerReference w:type="even" r:id="rId956"/>
          <w:footerReference w:type="default" r:id="rId957"/>
          <w:type w:val="continuous"/>
          <w:pgSz w:w="11907" w:h="16839" w:code="9"/>
          <w:pgMar w:top="3880" w:right="1900" w:bottom="3100" w:left="2300" w:header="2280" w:footer="1760" w:gutter="0"/>
          <w:cols w:space="720"/>
        </w:sectPr>
      </w:pPr>
    </w:p>
    <w:p w14:paraId="048B88A3" w14:textId="77777777" w:rsidR="00EF08E1" w:rsidRPr="00EF08E1" w:rsidRDefault="00EF08E1" w:rsidP="00EF08E1">
      <w:pPr>
        <w:pStyle w:val="PageBreak"/>
      </w:pPr>
      <w:r w:rsidRPr="00EF08E1">
        <w:br w:type="page"/>
      </w:r>
    </w:p>
    <w:p w14:paraId="74120351" w14:textId="1D0C865E" w:rsidR="00D94935" w:rsidRPr="00C8328B" w:rsidRDefault="00D94935" w:rsidP="00D94935">
      <w:pPr>
        <w:pStyle w:val="Sched-heading"/>
      </w:pPr>
      <w:bookmarkStart w:id="1905" w:name="_Toc185515521"/>
      <w:r w:rsidRPr="00C8328B">
        <w:rPr>
          <w:rStyle w:val="CharChapNo"/>
        </w:rPr>
        <w:lastRenderedPageBreak/>
        <w:t>Schedule 2</w:t>
      </w:r>
      <w:r>
        <w:tab/>
      </w:r>
      <w:r w:rsidRPr="00C8328B">
        <w:rPr>
          <w:rStyle w:val="CharChapText"/>
        </w:rPr>
        <w:t>Interest rates</w:t>
      </w:r>
      <w:bookmarkEnd w:id="1905"/>
    </w:p>
    <w:p w14:paraId="72162592" w14:textId="77777777" w:rsidR="00D94935" w:rsidRPr="00C8328B" w:rsidRDefault="00D94935" w:rsidP="00D94935">
      <w:pPr>
        <w:pStyle w:val="Sched-Part"/>
      </w:pPr>
      <w:bookmarkStart w:id="1906" w:name="_Toc185515522"/>
      <w:r w:rsidRPr="00C8328B">
        <w:rPr>
          <w:rStyle w:val="CharPartNo"/>
        </w:rPr>
        <w:t>Part 2.1</w:t>
      </w:r>
      <w:r>
        <w:tab/>
      </w:r>
      <w:r w:rsidRPr="00C8328B">
        <w:rPr>
          <w:rStyle w:val="CharPartText"/>
        </w:rPr>
        <w:t>Interest up to judgment</w:t>
      </w:r>
      <w:bookmarkEnd w:id="1906"/>
    </w:p>
    <w:p w14:paraId="56AC48A6" w14:textId="77777777" w:rsidR="00D94935" w:rsidRDefault="00D94935" w:rsidP="00D94935">
      <w:pPr>
        <w:pStyle w:val="ref"/>
      </w:pPr>
      <w:r>
        <w:t>(see r 51, r 304, r 1104, r 1120 and r 1616)</w:t>
      </w:r>
    </w:p>
    <w:p w14:paraId="2A6BF6D3" w14:textId="77777777"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00B7F5E6" w14:textId="77777777" w:rsidTr="003A681D">
        <w:trPr>
          <w:cantSplit/>
          <w:tblHeader/>
        </w:trPr>
        <w:tc>
          <w:tcPr>
            <w:tcW w:w="1200" w:type="dxa"/>
          </w:tcPr>
          <w:p w14:paraId="0AE8D36C" w14:textId="77777777" w:rsidR="00D94935" w:rsidRDefault="00D94935" w:rsidP="003A681D">
            <w:pPr>
              <w:pStyle w:val="TableColHd"/>
            </w:pPr>
            <w:r>
              <w:t>column 1</w:t>
            </w:r>
          </w:p>
          <w:p w14:paraId="210396C0" w14:textId="77777777" w:rsidR="00D94935" w:rsidRDefault="00D94935" w:rsidP="003A681D">
            <w:pPr>
              <w:pStyle w:val="TableColHd"/>
            </w:pPr>
            <w:r>
              <w:t>item</w:t>
            </w:r>
          </w:p>
        </w:tc>
        <w:tc>
          <w:tcPr>
            <w:tcW w:w="4308" w:type="dxa"/>
          </w:tcPr>
          <w:p w14:paraId="21BB064A" w14:textId="77777777" w:rsidR="00D94935" w:rsidRDefault="00D94935" w:rsidP="003A681D">
            <w:pPr>
              <w:pStyle w:val="TableColHd"/>
            </w:pPr>
            <w:r>
              <w:t>column 2</w:t>
            </w:r>
          </w:p>
          <w:p w14:paraId="1EED03C0" w14:textId="77777777" w:rsidR="00D94935" w:rsidRDefault="00D94935" w:rsidP="003A681D">
            <w:pPr>
              <w:pStyle w:val="TableColHd"/>
            </w:pPr>
            <w:r>
              <w:t>period</w:t>
            </w:r>
          </w:p>
        </w:tc>
        <w:tc>
          <w:tcPr>
            <w:tcW w:w="2014" w:type="dxa"/>
          </w:tcPr>
          <w:p w14:paraId="05B59F71" w14:textId="77777777" w:rsidR="00D94935" w:rsidRDefault="00D94935" w:rsidP="003A681D">
            <w:pPr>
              <w:pStyle w:val="TableColHd"/>
            </w:pPr>
            <w:r>
              <w:t>column 3</w:t>
            </w:r>
          </w:p>
          <w:p w14:paraId="23B2587E" w14:textId="77777777" w:rsidR="00D94935" w:rsidRDefault="00D94935" w:rsidP="003A681D">
            <w:pPr>
              <w:pStyle w:val="TableColHd"/>
            </w:pPr>
            <w:r>
              <w:t>rate of interest</w:t>
            </w:r>
          </w:p>
          <w:p w14:paraId="0BF99439" w14:textId="77777777" w:rsidR="00D94935" w:rsidRDefault="00D94935" w:rsidP="003A681D">
            <w:pPr>
              <w:pStyle w:val="TableColHd"/>
            </w:pPr>
            <w:r>
              <w:t>% per year</w:t>
            </w:r>
          </w:p>
        </w:tc>
      </w:tr>
      <w:tr w:rsidR="00D94935" w14:paraId="477E43B4" w14:textId="77777777" w:rsidTr="003A681D">
        <w:trPr>
          <w:cantSplit/>
        </w:trPr>
        <w:tc>
          <w:tcPr>
            <w:tcW w:w="1200" w:type="dxa"/>
          </w:tcPr>
          <w:p w14:paraId="2C612BF5" w14:textId="77777777" w:rsidR="00D94935" w:rsidRDefault="00D94935" w:rsidP="003A681D">
            <w:pPr>
              <w:pStyle w:val="TableText"/>
            </w:pPr>
            <w:r>
              <w:t>1</w:t>
            </w:r>
          </w:p>
        </w:tc>
        <w:tc>
          <w:tcPr>
            <w:tcW w:w="4308" w:type="dxa"/>
          </w:tcPr>
          <w:p w14:paraId="26E020B6" w14:textId="77777777" w:rsidR="00D94935" w:rsidRDefault="00D94935" w:rsidP="003A681D">
            <w:pPr>
              <w:pStyle w:val="TableText"/>
            </w:pPr>
            <w:r>
              <w:t>1 January 1974 to 31 December 1980</w:t>
            </w:r>
          </w:p>
        </w:tc>
        <w:tc>
          <w:tcPr>
            <w:tcW w:w="2014" w:type="dxa"/>
          </w:tcPr>
          <w:p w14:paraId="7F53A8C3" w14:textId="77777777" w:rsidR="00D94935" w:rsidRDefault="00D94935" w:rsidP="003A681D">
            <w:pPr>
              <w:pStyle w:val="TableText"/>
            </w:pPr>
            <w:r>
              <w:t>10.00</w:t>
            </w:r>
          </w:p>
        </w:tc>
      </w:tr>
      <w:tr w:rsidR="00D94935" w14:paraId="29B32B95" w14:textId="77777777" w:rsidTr="003A681D">
        <w:trPr>
          <w:cantSplit/>
        </w:trPr>
        <w:tc>
          <w:tcPr>
            <w:tcW w:w="1200" w:type="dxa"/>
          </w:tcPr>
          <w:p w14:paraId="51F82030" w14:textId="77777777" w:rsidR="00D94935" w:rsidRDefault="00D94935" w:rsidP="003A681D">
            <w:pPr>
              <w:pStyle w:val="TableText"/>
            </w:pPr>
            <w:r>
              <w:t>2</w:t>
            </w:r>
          </w:p>
        </w:tc>
        <w:tc>
          <w:tcPr>
            <w:tcW w:w="4308" w:type="dxa"/>
          </w:tcPr>
          <w:p w14:paraId="36F7BC70" w14:textId="77777777" w:rsidR="00D94935" w:rsidRDefault="00D94935" w:rsidP="003A681D">
            <w:pPr>
              <w:pStyle w:val="TableText"/>
            </w:pPr>
            <w:r>
              <w:t>1 January 1981 to 31 December 1985</w:t>
            </w:r>
          </w:p>
        </w:tc>
        <w:tc>
          <w:tcPr>
            <w:tcW w:w="2014" w:type="dxa"/>
          </w:tcPr>
          <w:p w14:paraId="5904D6D9" w14:textId="77777777" w:rsidR="00D94935" w:rsidRDefault="00D94935" w:rsidP="003A681D">
            <w:pPr>
              <w:pStyle w:val="TableText"/>
            </w:pPr>
            <w:r>
              <w:t>14.00</w:t>
            </w:r>
          </w:p>
        </w:tc>
      </w:tr>
      <w:tr w:rsidR="00D94935" w14:paraId="6E9F558C" w14:textId="77777777" w:rsidTr="003A681D">
        <w:trPr>
          <w:cantSplit/>
        </w:trPr>
        <w:tc>
          <w:tcPr>
            <w:tcW w:w="1200" w:type="dxa"/>
          </w:tcPr>
          <w:p w14:paraId="599BCA6B" w14:textId="77777777" w:rsidR="00D94935" w:rsidRDefault="00D94935" w:rsidP="003A681D">
            <w:pPr>
              <w:pStyle w:val="TableText"/>
            </w:pPr>
            <w:r>
              <w:t>3</w:t>
            </w:r>
          </w:p>
        </w:tc>
        <w:tc>
          <w:tcPr>
            <w:tcW w:w="4308" w:type="dxa"/>
          </w:tcPr>
          <w:p w14:paraId="48B15C2A" w14:textId="77777777" w:rsidR="00D94935" w:rsidRDefault="00D94935" w:rsidP="003A681D">
            <w:pPr>
              <w:pStyle w:val="TableText"/>
            </w:pPr>
            <w:r>
              <w:t>1 January 1986 to 31 December 1987</w:t>
            </w:r>
          </w:p>
        </w:tc>
        <w:tc>
          <w:tcPr>
            <w:tcW w:w="2014" w:type="dxa"/>
          </w:tcPr>
          <w:p w14:paraId="5729834F" w14:textId="77777777" w:rsidR="00D94935" w:rsidRDefault="00D94935" w:rsidP="003A681D">
            <w:pPr>
              <w:pStyle w:val="TableText"/>
            </w:pPr>
            <w:r>
              <w:t>18.00</w:t>
            </w:r>
          </w:p>
        </w:tc>
      </w:tr>
      <w:tr w:rsidR="00D94935" w14:paraId="722CD81F" w14:textId="77777777" w:rsidTr="003A681D">
        <w:trPr>
          <w:cantSplit/>
        </w:trPr>
        <w:tc>
          <w:tcPr>
            <w:tcW w:w="1200" w:type="dxa"/>
          </w:tcPr>
          <w:p w14:paraId="71A1D29E" w14:textId="77777777" w:rsidR="00D94935" w:rsidRDefault="00D94935" w:rsidP="003A681D">
            <w:pPr>
              <w:pStyle w:val="TableText"/>
            </w:pPr>
            <w:r>
              <w:t>4</w:t>
            </w:r>
          </w:p>
        </w:tc>
        <w:tc>
          <w:tcPr>
            <w:tcW w:w="4308" w:type="dxa"/>
          </w:tcPr>
          <w:p w14:paraId="6819F3DA" w14:textId="77777777" w:rsidR="00D94935" w:rsidRDefault="00D94935" w:rsidP="003A681D">
            <w:pPr>
              <w:pStyle w:val="TableText"/>
            </w:pPr>
            <w:r>
              <w:t>1 January 1988 to 31 December 1989</w:t>
            </w:r>
          </w:p>
        </w:tc>
        <w:tc>
          <w:tcPr>
            <w:tcW w:w="2014" w:type="dxa"/>
          </w:tcPr>
          <w:p w14:paraId="46ACE729" w14:textId="77777777" w:rsidR="00D94935" w:rsidRDefault="00D94935" w:rsidP="003A681D">
            <w:pPr>
              <w:pStyle w:val="TableText"/>
            </w:pPr>
            <w:r>
              <w:t>16.00</w:t>
            </w:r>
          </w:p>
        </w:tc>
      </w:tr>
      <w:tr w:rsidR="00D94935" w14:paraId="772A7B81" w14:textId="77777777" w:rsidTr="003A681D">
        <w:trPr>
          <w:cantSplit/>
        </w:trPr>
        <w:tc>
          <w:tcPr>
            <w:tcW w:w="1200" w:type="dxa"/>
          </w:tcPr>
          <w:p w14:paraId="3D6C215C" w14:textId="77777777" w:rsidR="00D94935" w:rsidRDefault="00D94935" w:rsidP="003A681D">
            <w:pPr>
              <w:pStyle w:val="TableText"/>
            </w:pPr>
            <w:r>
              <w:t>5</w:t>
            </w:r>
          </w:p>
        </w:tc>
        <w:tc>
          <w:tcPr>
            <w:tcW w:w="4308" w:type="dxa"/>
          </w:tcPr>
          <w:p w14:paraId="7848A940" w14:textId="77777777" w:rsidR="00D94935" w:rsidRDefault="00D94935" w:rsidP="003A681D">
            <w:pPr>
              <w:pStyle w:val="TableText"/>
            </w:pPr>
            <w:r>
              <w:t>1 January 1990 to 30 June 1990</w:t>
            </w:r>
          </w:p>
        </w:tc>
        <w:tc>
          <w:tcPr>
            <w:tcW w:w="2014" w:type="dxa"/>
          </w:tcPr>
          <w:p w14:paraId="1691EC7F" w14:textId="77777777" w:rsidR="00D94935" w:rsidRDefault="00D94935" w:rsidP="003A681D">
            <w:pPr>
              <w:pStyle w:val="TableText"/>
            </w:pPr>
            <w:r>
              <w:t>21.00</w:t>
            </w:r>
          </w:p>
        </w:tc>
      </w:tr>
      <w:tr w:rsidR="00D94935" w14:paraId="2F78B3FE" w14:textId="77777777" w:rsidTr="003A681D">
        <w:trPr>
          <w:cantSplit/>
        </w:trPr>
        <w:tc>
          <w:tcPr>
            <w:tcW w:w="1200" w:type="dxa"/>
          </w:tcPr>
          <w:p w14:paraId="33D10CFC" w14:textId="77777777" w:rsidR="00D94935" w:rsidRDefault="00D94935" w:rsidP="003A681D">
            <w:pPr>
              <w:pStyle w:val="TableText"/>
            </w:pPr>
            <w:r>
              <w:t>6</w:t>
            </w:r>
          </w:p>
        </w:tc>
        <w:tc>
          <w:tcPr>
            <w:tcW w:w="4308" w:type="dxa"/>
          </w:tcPr>
          <w:p w14:paraId="75EBE29B" w14:textId="77777777" w:rsidR="00D94935" w:rsidRDefault="00D94935" w:rsidP="003A681D">
            <w:pPr>
              <w:pStyle w:val="TableText"/>
            </w:pPr>
            <w:r>
              <w:t>1 July 1990 to 31 December 1990</w:t>
            </w:r>
          </w:p>
        </w:tc>
        <w:tc>
          <w:tcPr>
            <w:tcW w:w="2014" w:type="dxa"/>
          </w:tcPr>
          <w:p w14:paraId="756143F3" w14:textId="77777777" w:rsidR="00D94935" w:rsidRDefault="00D94935" w:rsidP="003A681D">
            <w:pPr>
              <w:pStyle w:val="TableText"/>
            </w:pPr>
            <w:r>
              <w:t>18.00</w:t>
            </w:r>
          </w:p>
        </w:tc>
      </w:tr>
      <w:tr w:rsidR="00D94935" w14:paraId="46D7A2F9" w14:textId="77777777" w:rsidTr="003A681D">
        <w:trPr>
          <w:cantSplit/>
        </w:trPr>
        <w:tc>
          <w:tcPr>
            <w:tcW w:w="1200" w:type="dxa"/>
          </w:tcPr>
          <w:p w14:paraId="449DF4B6" w14:textId="77777777" w:rsidR="00D94935" w:rsidRDefault="00D94935" w:rsidP="003A681D">
            <w:pPr>
              <w:pStyle w:val="Amainreturn"/>
              <w:ind w:left="0"/>
            </w:pPr>
            <w:r>
              <w:t>7</w:t>
            </w:r>
          </w:p>
        </w:tc>
        <w:tc>
          <w:tcPr>
            <w:tcW w:w="4308" w:type="dxa"/>
          </w:tcPr>
          <w:p w14:paraId="7AC1B0FF" w14:textId="77777777" w:rsidR="00D94935" w:rsidRDefault="00D94935" w:rsidP="003A681D">
            <w:pPr>
              <w:pStyle w:val="Amainreturn"/>
              <w:ind w:left="0"/>
            </w:pPr>
            <w:r>
              <w:t>1 January 1991 to 30 June 1991</w:t>
            </w:r>
          </w:p>
        </w:tc>
        <w:tc>
          <w:tcPr>
            <w:tcW w:w="2014" w:type="dxa"/>
          </w:tcPr>
          <w:p w14:paraId="73B02064" w14:textId="77777777" w:rsidR="00D94935" w:rsidRDefault="00D94935" w:rsidP="003A681D">
            <w:pPr>
              <w:pStyle w:val="Amainreturn"/>
              <w:ind w:left="0"/>
            </w:pPr>
            <w:r>
              <w:t>16.00</w:t>
            </w:r>
          </w:p>
        </w:tc>
      </w:tr>
      <w:tr w:rsidR="00D94935" w14:paraId="08AA7BAB" w14:textId="77777777" w:rsidTr="003A681D">
        <w:trPr>
          <w:cantSplit/>
        </w:trPr>
        <w:tc>
          <w:tcPr>
            <w:tcW w:w="1200" w:type="dxa"/>
          </w:tcPr>
          <w:p w14:paraId="59941408" w14:textId="77777777" w:rsidR="00D94935" w:rsidRDefault="00D94935" w:rsidP="003A681D">
            <w:pPr>
              <w:pStyle w:val="Amainreturn"/>
              <w:ind w:left="0"/>
            </w:pPr>
            <w:r>
              <w:t>8</w:t>
            </w:r>
          </w:p>
        </w:tc>
        <w:tc>
          <w:tcPr>
            <w:tcW w:w="4308" w:type="dxa"/>
          </w:tcPr>
          <w:p w14:paraId="20D14E20" w14:textId="77777777" w:rsidR="00D94935" w:rsidRDefault="00D94935" w:rsidP="003A681D">
            <w:pPr>
              <w:pStyle w:val="Amainreturn"/>
              <w:ind w:left="0"/>
            </w:pPr>
            <w:r>
              <w:t>1 July 1991 to 30 June 1993</w:t>
            </w:r>
          </w:p>
        </w:tc>
        <w:tc>
          <w:tcPr>
            <w:tcW w:w="2014" w:type="dxa"/>
          </w:tcPr>
          <w:p w14:paraId="18AEE596" w14:textId="77777777" w:rsidR="00D94935" w:rsidRDefault="00D94935" w:rsidP="003A681D">
            <w:pPr>
              <w:pStyle w:val="Amainreturn"/>
              <w:ind w:left="0"/>
            </w:pPr>
            <w:r>
              <w:t>15.00</w:t>
            </w:r>
          </w:p>
        </w:tc>
      </w:tr>
      <w:tr w:rsidR="00D94935" w14:paraId="4543D57E" w14:textId="77777777" w:rsidTr="003A681D">
        <w:trPr>
          <w:cantSplit/>
        </w:trPr>
        <w:tc>
          <w:tcPr>
            <w:tcW w:w="1200" w:type="dxa"/>
          </w:tcPr>
          <w:p w14:paraId="0F57103D" w14:textId="77777777" w:rsidR="00D94935" w:rsidRDefault="00D94935" w:rsidP="003A681D">
            <w:pPr>
              <w:pStyle w:val="Amainreturn"/>
              <w:ind w:left="0"/>
            </w:pPr>
            <w:r>
              <w:t>9</w:t>
            </w:r>
          </w:p>
        </w:tc>
        <w:tc>
          <w:tcPr>
            <w:tcW w:w="4308" w:type="dxa"/>
          </w:tcPr>
          <w:p w14:paraId="1A16A1B8" w14:textId="77777777" w:rsidR="00D94935" w:rsidRDefault="00D94935" w:rsidP="003A681D">
            <w:pPr>
              <w:pStyle w:val="Amainreturn"/>
              <w:ind w:left="0"/>
            </w:pPr>
            <w:r>
              <w:t>1 July 1993 to 30 April 2001</w:t>
            </w:r>
          </w:p>
        </w:tc>
        <w:tc>
          <w:tcPr>
            <w:tcW w:w="2014" w:type="dxa"/>
          </w:tcPr>
          <w:p w14:paraId="7146D41A" w14:textId="77777777" w:rsidR="00D94935" w:rsidRDefault="00D94935" w:rsidP="003A681D">
            <w:pPr>
              <w:pStyle w:val="Amainreturn"/>
              <w:ind w:left="0"/>
            </w:pPr>
            <w:r>
              <w:t>10.00</w:t>
            </w:r>
          </w:p>
        </w:tc>
      </w:tr>
      <w:tr w:rsidR="00D94935" w14:paraId="271E2B5E" w14:textId="77777777" w:rsidTr="003A681D">
        <w:trPr>
          <w:cantSplit/>
        </w:trPr>
        <w:tc>
          <w:tcPr>
            <w:tcW w:w="1200" w:type="dxa"/>
          </w:tcPr>
          <w:p w14:paraId="566219EA" w14:textId="77777777" w:rsidR="00D94935" w:rsidRDefault="00D94935" w:rsidP="003A681D">
            <w:pPr>
              <w:pStyle w:val="Amainreturn"/>
              <w:ind w:left="0"/>
            </w:pPr>
            <w:r>
              <w:t>10</w:t>
            </w:r>
          </w:p>
        </w:tc>
        <w:tc>
          <w:tcPr>
            <w:tcW w:w="4308" w:type="dxa"/>
          </w:tcPr>
          <w:p w14:paraId="0C89095E" w14:textId="77777777" w:rsidR="00D94935" w:rsidRDefault="00D94935" w:rsidP="003A681D">
            <w:pPr>
              <w:pStyle w:val="Amainreturn"/>
              <w:ind w:left="0"/>
            </w:pPr>
            <w:r>
              <w:t>1 May 2001 to 9 January 2005</w:t>
            </w:r>
          </w:p>
        </w:tc>
        <w:tc>
          <w:tcPr>
            <w:tcW w:w="2014" w:type="dxa"/>
          </w:tcPr>
          <w:p w14:paraId="00390915" w14:textId="77777777" w:rsidR="00D94935" w:rsidRDefault="00D94935" w:rsidP="003A681D">
            <w:pPr>
              <w:pStyle w:val="Amainreturn"/>
              <w:ind w:left="0"/>
            </w:pPr>
            <w:r>
              <w:t>9.00</w:t>
            </w:r>
          </w:p>
        </w:tc>
      </w:tr>
      <w:tr w:rsidR="00D94935" w14:paraId="50EC130F" w14:textId="77777777" w:rsidTr="003A681D">
        <w:trPr>
          <w:cantSplit/>
        </w:trPr>
        <w:tc>
          <w:tcPr>
            <w:tcW w:w="1200" w:type="dxa"/>
          </w:tcPr>
          <w:p w14:paraId="4B728C97" w14:textId="77777777" w:rsidR="00D94935" w:rsidRDefault="00D94935" w:rsidP="003A681D">
            <w:pPr>
              <w:pStyle w:val="Amainreturn"/>
              <w:ind w:left="0"/>
            </w:pPr>
            <w:r>
              <w:t>11</w:t>
            </w:r>
          </w:p>
        </w:tc>
        <w:tc>
          <w:tcPr>
            <w:tcW w:w="4308" w:type="dxa"/>
          </w:tcPr>
          <w:p w14:paraId="0488641C" w14:textId="77777777" w:rsidR="00D94935" w:rsidRDefault="00D94935" w:rsidP="003A681D">
            <w:pPr>
              <w:pStyle w:val="Amainreturn"/>
              <w:ind w:left="0"/>
            </w:pPr>
            <w:r w:rsidRPr="00DC6DB8">
              <w:t>10 January 2005 to 30 June 2010</w:t>
            </w:r>
          </w:p>
        </w:tc>
        <w:tc>
          <w:tcPr>
            <w:tcW w:w="2014" w:type="dxa"/>
          </w:tcPr>
          <w:p w14:paraId="7F75452F" w14:textId="77777777" w:rsidR="00D94935" w:rsidRDefault="00D94935" w:rsidP="003A681D">
            <w:pPr>
              <w:pStyle w:val="Amainreturn"/>
              <w:ind w:left="0"/>
            </w:pPr>
            <w:r>
              <w:t>9.00</w:t>
            </w:r>
          </w:p>
        </w:tc>
      </w:tr>
    </w:tbl>
    <w:p w14:paraId="0BA41160" w14:textId="77777777" w:rsidR="00D94935" w:rsidRPr="00DC6DB8" w:rsidRDefault="00D94935" w:rsidP="00D94935">
      <w:pPr>
        <w:pStyle w:val="Schclauseheading"/>
      </w:pPr>
      <w:bookmarkStart w:id="1907" w:name="_Toc185515523"/>
      <w:r w:rsidRPr="00C8328B">
        <w:rPr>
          <w:rStyle w:val="CharSectNo"/>
        </w:rPr>
        <w:t>2.1</w:t>
      </w:r>
      <w:r w:rsidRPr="00DC6DB8">
        <w:tab/>
        <w:t>Interest up to judgment after 30 June 2010—Supreme Court</w:t>
      </w:r>
      <w:bookmarkEnd w:id="1907"/>
    </w:p>
    <w:p w14:paraId="303B4B12" w14:textId="77777777" w:rsidR="00D94935" w:rsidRPr="00DC6DB8" w:rsidRDefault="00D94935" w:rsidP="00D94935">
      <w:pPr>
        <w:pStyle w:val="Amainreturn"/>
        <w:keepNext/>
      </w:pPr>
      <w:r w:rsidRPr="00DC6DB8">
        <w:t>For the Supreme Court, the rate of interest up to judgment for a period after 30 June 2010 is—</w:t>
      </w:r>
    </w:p>
    <w:p w14:paraId="6DBBB80B"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55907B46" w14:textId="77777777" w:rsidR="00D94935" w:rsidRPr="00DC6DB8" w:rsidRDefault="00D94935" w:rsidP="00D94935">
      <w:pPr>
        <w:pStyle w:val="Apara"/>
      </w:pPr>
      <w:r w:rsidRPr="00DC6DB8">
        <w:lastRenderedPageBreak/>
        <w:tab/>
        <w:t>(b)</w:t>
      </w:r>
      <w:r w:rsidRPr="00DC6DB8">
        <w:tab/>
        <w:t>for the period from 1 January to 30 June in a year—the rate that is 4% above the cash rate last published by the Reserve Bank of Australia before the start of the period.</w:t>
      </w:r>
    </w:p>
    <w:p w14:paraId="22D6213F" w14:textId="77777777"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78F150A" w14:textId="77777777" w:rsidTr="003A681D">
        <w:trPr>
          <w:cantSplit/>
          <w:tblHeader/>
        </w:trPr>
        <w:tc>
          <w:tcPr>
            <w:tcW w:w="1200" w:type="dxa"/>
          </w:tcPr>
          <w:p w14:paraId="0BC6282F" w14:textId="77777777" w:rsidR="00D94935" w:rsidRDefault="00D94935" w:rsidP="003A681D">
            <w:pPr>
              <w:pStyle w:val="TableColHd"/>
            </w:pPr>
            <w:r>
              <w:t>column 1</w:t>
            </w:r>
          </w:p>
          <w:p w14:paraId="4C0052B0" w14:textId="77777777" w:rsidR="00D94935" w:rsidRDefault="00D94935" w:rsidP="003A681D">
            <w:pPr>
              <w:pStyle w:val="TableColHd"/>
            </w:pPr>
            <w:r>
              <w:t>item</w:t>
            </w:r>
          </w:p>
        </w:tc>
        <w:tc>
          <w:tcPr>
            <w:tcW w:w="4308" w:type="dxa"/>
          </w:tcPr>
          <w:p w14:paraId="43710BF2" w14:textId="77777777" w:rsidR="00D94935" w:rsidRDefault="00D94935" w:rsidP="003A681D">
            <w:pPr>
              <w:pStyle w:val="TableColHd"/>
            </w:pPr>
            <w:r>
              <w:t>column 2</w:t>
            </w:r>
          </w:p>
          <w:p w14:paraId="62E40CDE" w14:textId="77777777" w:rsidR="00D94935" w:rsidRDefault="00D94935" w:rsidP="003A681D">
            <w:pPr>
              <w:pStyle w:val="TableColHd"/>
            </w:pPr>
            <w:r>
              <w:t>period</w:t>
            </w:r>
          </w:p>
        </w:tc>
        <w:tc>
          <w:tcPr>
            <w:tcW w:w="2014" w:type="dxa"/>
          </w:tcPr>
          <w:p w14:paraId="61CE8533" w14:textId="77777777" w:rsidR="00D94935" w:rsidRDefault="00D94935" w:rsidP="003A681D">
            <w:pPr>
              <w:pStyle w:val="TableColHd"/>
            </w:pPr>
            <w:r>
              <w:t>column 3</w:t>
            </w:r>
          </w:p>
          <w:p w14:paraId="4AD8EC97" w14:textId="77777777" w:rsidR="00D94935" w:rsidRDefault="00D94935" w:rsidP="003A681D">
            <w:pPr>
              <w:pStyle w:val="TableColHd"/>
            </w:pPr>
            <w:r>
              <w:t>rate of interest</w:t>
            </w:r>
          </w:p>
          <w:p w14:paraId="7EF92861" w14:textId="77777777" w:rsidR="00D94935" w:rsidRDefault="00D94935" w:rsidP="003A681D">
            <w:pPr>
              <w:pStyle w:val="TableColHd"/>
            </w:pPr>
            <w:r>
              <w:t>% per year</w:t>
            </w:r>
          </w:p>
        </w:tc>
      </w:tr>
      <w:tr w:rsidR="00D94935" w14:paraId="4C3AB4F1" w14:textId="77777777" w:rsidTr="003A681D">
        <w:trPr>
          <w:cantSplit/>
        </w:trPr>
        <w:tc>
          <w:tcPr>
            <w:tcW w:w="1200" w:type="dxa"/>
          </w:tcPr>
          <w:p w14:paraId="0726E798" w14:textId="77777777" w:rsidR="00D94935" w:rsidRDefault="00D94935" w:rsidP="003A681D">
            <w:pPr>
              <w:pStyle w:val="TableText"/>
            </w:pPr>
            <w:r>
              <w:t>1</w:t>
            </w:r>
          </w:p>
        </w:tc>
        <w:tc>
          <w:tcPr>
            <w:tcW w:w="4308" w:type="dxa"/>
          </w:tcPr>
          <w:p w14:paraId="7A8F6637" w14:textId="77777777" w:rsidR="00D94935" w:rsidRDefault="00D94935" w:rsidP="003A681D">
            <w:pPr>
              <w:pStyle w:val="TableText"/>
            </w:pPr>
            <w:r>
              <w:t>any period before 1 July 1981</w:t>
            </w:r>
          </w:p>
        </w:tc>
        <w:tc>
          <w:tcPr>
            <w:tcW w:w="2014" w:type="dxa"/>
          </w:tcPr>
          <w:p w14:paraId="6A514E6E" w14:textId="77777777" w:rsidR="00D94935" w:rsidRDefault="00D94935" w:rsidP="003A681D">
            <w:pPr>
              <w:pStyle w:val="TableText"/>
            </w:pPr>
            <w:r>
              <w:t>13.375</w:t>
            </w:r>
          </w:p>
        </w:tc>
      </w:tr>
      <w:tr w:rsidR="00D94935" w14:paraId="3820C615" w14:textId="77777777" w:rsidTr="003A681D">
        <w:trPr>
          <w:cantSplit/>
        </w:trPr>
        <w:tc>
          <w:tcPr>
            <w:tcW w:w="1200" w:type="dxa"/>
          </w:tcPr>
          <w:p w14:paraId="033C595F" w14:textId="77777777" w:rsidR="00D94935" w:rsidRDefault="00D94935" w:rsidP="003A681D">
            <w:pPr>
              <w:pStyle w:val="TableText"/>
            </w:pPr>
            <w:r>
              <w:t>2</w:t>
            </w:r>
          </w:p>
        </w:tc>
        <w:tc>
          <w:tcPr>
            <w:tcW w:w="4308" w:type="dxa"/>
          </w:tcPr>
          <w:p w14:paraId="3D3D407E" w14:textId="77777777" w:rsidR="00D94935" w:rsidRDefault="00D94935" w:rsidP="003A681D">
            <w:pPr>
              <w:pStyle w:val="TableText"/>
            </w:pPr>
            <w:r>
              <w:t>1 July 1981 to 30 June 1982</w:t>
            </w:r>
          </w:p>
        </w:tc>
        <w:tc>
          <w:tcPr>
            <w:tcW w:w="2014" w:type="dxa"/>
          </w:tcPr>
          <w:p w14:paraId="71DFF757" w14:textId="77777777" w:rsidR="00D94935" w:rsidRDefault="00D94935" w:rsidP="003A681D">
            <w:pPr>
              <w:pStyle w:val="TableText"/>
            </w:pPr>
            <w:r>
              <w:t>15.00</w:t>
            </w:r>
          </w:p>
        </w:tc>
      </w:tr>
      <w:tr w:rsidR="00D94935" w14:paraId="7C5291F7" w14:textId="77777777" w:rsidTr="003A681D">
        <w:trPr>
          <w:cantSplit/>
        </w:trPr>
        <w:tc>
          <w:tcPr>
            <w:tcW w:w="1200" w:type="dxa"/>
          </w:tcPr>
          <w:p w14:paraId="5C5BE8AC" w14:textId="77777777" w:rsidR="00D94935" w:rsidRDefault="00D94935" w:rsidP="003A681D">
            <w:pPr>
              <w:pStyle w:val="TableText"/>
            </w:pPr>
            <w:r>
              <w:t>3</w:t>
            </w:r>
          </w:p>
        </w:tc>
        <w:tc>
          <w:tcPr>
            <w:tcW w:w="4308" w:type="dxa"/>
          </w:tcPr>
          <w:p w14:paraId="4CF9EE8B" w14:textId="77777777" w:rsidR="00D94935" w:rsidRDefault="00D94935" w:rsidP="003A681D">
            <w:pPr>
              <w:pStyle w:val="TableText"/>
            </w:pPr>
            <w:r>
              <w:t>1 July 1982 to 31 December 1982</w:t>
            </w:r>
          </w:p>
        </w:tc>
        <w:tc>
          <w:tcPr>
            <w:tcW w:w="2014" w:type="dxa"/>
          </w:tcPr>
          <w:p w14:paraId="2B411F17" w14:textId="77777777" w:rsidR="00D94935" w:rsidRDefault="00D94935" w:rsidP="003A681D">
            <w:pPr>
              <w:pStyle w:val="TableText"/>
            </w:pPr>
            <w:r>
              <w:t>17.50</w:t>
            </w:r>
          </w:p>
        </w:tc>
      </w:tr>
      <w:tr w:rsidR="00D94935" w14:paraId="6A1DDF0F" w14:textId="77777777" w:rsidTr="003A681D">
        <w:trPr>
          <w:cantSplit/>
        </w:trPr>
        <w:tc>
          <w:tcPr>
            <w:tcW w:w="1200" w:type="dxa"/>
          </w:tcPr>
          <w:p w14:paraId="06B69E0E" w14:textId="77777777" w:rsidR="00D94935" w:rsidRDefault="00D94935" w:rsidP="003A681D">
            <w:pPr>
              <w:pStyle w:val="TableText"/>
            </w:pPr>
            <w:r>
              <w:t>4</w:t>
            </w:r>
          </w:p>
        </w:tc>
        <w:tc>
          <w:tcPr>
            <w:tcW w:w="4308" w:type="dxa"/>
          </w:tcPr>
          <w:p w14:paraId="26DA332A" w14:textId="77777777" w:rsidR="00D94935" w:rsidRDefault="00D94935" w:rsidP="003A681D">
            <w:pPr>
              <w:pStyle w:val="TableText"/>
            </w:pPr>
            <w:r>
              <w:t>1 January 1983 to 31 December 1983</w:t>
            </w:r>
          </w:p>
        </w:tc>
        <w:tc>
          <w:tcPr>
            <w:tcW w:w="2014" w:type="dxa"/>
          </w:tcPr>
          <w:p w14:paraId="1BE98EF4" w14:textId="77777777" w:rsidR="00D94935" w:rsidRDefault="00D94935" w:rsidP="003A681D">
            <w:pPr>
              <w:pStyle w:val="TableText"/>
            </w:pPr>
            <w:r>
              <w:t>15.50</w:t>
            </w:r>
          </w:p>
        </w:tc>
      </w:tr>
      <w:tr w:rsidR="00D94935" w14:paraId="1DACF9B2" w14:textId="77777777" w:rsidTr="003A681D">
        <w:trPr>
          <w:cantSplit/>
        </w:trPr>
        <w:tc>
          <w:tcPr>
            <w:tcW w:w="1200" w:type="dxa"/>
          </w:tcPr>
          <w:p w14:paraId="17033A0A" w14:textId="77777777" w:rsidR="00D94935" w:rsidRDefault="00D94935" w:rsidP="003A681D">
            <w:pPr>
              <w:pStyle w:val="TableText"/>
            </w:pPr>
            <w:r>
              <w:t>5</w:t>
            </w:r>
          </w:p>
        </w:tc>
        <w:tc>
          <w:tcPr>
            <w:tcW w:w="4308" w:type="dxa"/>
          </w:tcPr>
          <w:p w14:paraId="71D64136" w14:textId="77777777" w:rsidR="00D94935" w:rsidRDefault="00D94935" w:rsidP="003A681D">
            <w:pPr>
              <w:pStyle w:val="TableText"/>
            </w:pPr>
            <w:r>
              <w:t>1 January 1984 to 30 June 1984</w:t>
            </w:r>
          </w:p>
        </w:tc>
        <w:tc>
          <w:tcPr>
            <w:tcW w:w="2014" w:type="dxa"/>
          </w:tcPr>
          <w:p w14:paraId="43909B92" w14:textId="77777777" w:rsidR="00D94935" w:rsidRDefault="00D94935" w:rsidP="003A681D">
            <w:pPr>
              <w:pStyle w:val="TableText"/>
            </w:pPr>
            <w:r>
              <w:t>12.375</w:t>
            </w:r>
          </w:p>
        </w:tc>
      </w:tr>
      <w:tr w:rsidR="00D94935" w14:paraId="267D2EB0" w14:textId="77777777" w:rsidTr="003A681D">
        <w:trPr>
          <w:cantSplit/>
        </w:trPr>
        <w:tc>
          <w:tcPr>
            <w:tcW w:w="1200" w:type="dxa"/>
          </w:tcPr>
          <w:p w14:paraId="0FF3EA59" w14:textId="77777777" w:rsidR="00D94935" w:rsidRDefault="00D94935" w:rsidP="003A681D">
            <w:pPr>
              <w:pStyle w:val="TableText"/>
            </w:pPr>
            <w:r>
              <w:t>6</w:t>
            </w:r>
          </w:p>
        </w:tc>
        <w:tc>
          <w:tcPr>
            <w:tcW w:w="4308" w:type="dxa"/>
          </w:tcPr>
          <w:p w14:paraId="1B721327" w14:textId="77777777" w:rsidR="00D94935" w:rsidRDefault="00D94935" w:rsidP="003A681D">
            <w:pPr>
              <w:pStyle w:val="TableText"/>
            </w:pPr>
            <w:r>
              <w:t>1 July 1984 to 31 December 1984</w:t>
            </w:r>
          </w:p>
        </w:tc>
        <w:tc>
          <w:tcPr>
            <w:tcW w:w="2014" w:type="dxa"/>
          </w:tcPr>
          <w:p w14:paraId="02558934" w14:textId="77777777" w:rsidR="00D94935" w:rsidRDefault="00D94935" w:rsidP="003A681D">
            <w:pPr>
              <w:pStyle w:val="TableText"/>
            </w:pPr>
            <w:r>
              <w:t>14.75</w:t>
            </w:r>
          </w:p>
        </w:tc>
      </w:tr>
      <w:tr w:rsidR="00D94935" w14:paraId="767BEB07" w14:textId="77777777" w:rsidTr="003A681D">
        <w:trPr>
          <w:cantSplit/>
        </w:trPr>
        <w:tc>
          <w:tcPr>
            <w:tcW w:w="1200" w:type="dxa"/>
          </w:tcPr>
          <w:p w14:paraId="2B74E285" w14:textId="77777777" w:rsidR="00D94935" w:rsidRDefault="00D94935" w:rsidP="003A681D">
            <w:pPr>
              <w:pStyle w:val="TableText"/>
            </w:pPr>
            <w:r>
              <w:t>7</w:t>
            </w:r>
          </w:p>
        </w:tc>
        <w:tc>
          <w:tcPr>
            <w:tcW w:w="4308" w:type="dxa"/>
          </w:tcPr>
          <w:p w14:paraId="3E22C4DC" w14:textId="77777777" w:rsidR="00D94935" w:rsidRDefault="00D94935" w:rsidP="003A681D">
            <w:pPr>
              <w:pStyle w:val="TableText"/>
            </w:pPr>
            <w:r>
              <w:t>1 January 1985 to 30 June 1985</w:t>
            </w:r>
          </w:p>
        </w:tc>
        <w:tc>
          <w:tcPr>
            <w:tcW w:w="2014" w:type="dxa"/>
          </w:tcPr>
          <w:p w14:paraId="56E6FCC5" w14:textId="77777777" w:rsidR="00D94935" w:rsidRDefault="00D94935" w:rsidP="003A681D">
            <w:pPr>
              <w:pStyle w:val="TableText"/>
            </w:pPr>
            <w:r>
              <w:t>13.75</w:t>
            </w:r>
          </w:p>
        </w:tc>
      </w:tr>
      <w:tr w:rsidR="00D94935" w14:paraId="65588BA6" w14:textId="77777777" w:rsidTr="003A681D">
        <w:trPr>
          <w:cantSplit/>
        </w:trPr>
        <w:tc>
          <w:tcPr>
            <w:tcW w:w="1200" w:type="dxa"/>
          </w:tcPr>
          <w:p w14:paraId="0AF4671A" w14:textId="77777777" w:rsidR="00D94935" w:rsidRDefault="00D94935" w:rsidP="003A681D">
            <w:pPr>
              <w:pStyle w:val="TableText"/>
            </w:pPr>
            <w:r>
              <w:t>8</w:t>
            </w:r>
          </w:p>
        </w:tc>
        <w:tc>
          <w:tcPr>
            <w:tcW w:w="4308" w:type="dxa"/>
          </w:tcPr>
          <w:p w14:paraId="5D241826" w14:textId="77777777" w:rsidR="00D94935" w:rsidRDefault="00D94935" w:rsidP="003A681D">
            <w:pPr>
              <w:pStyle w:val="TableText"/>
            </w:pPr>
            <w:r>
              <w:t>1 July 1985 to 31 December 1985</w:t>
            </w:r>
          </w:p>
        </w:tc>
        <w:tc>
          <w:tcPr>
            <w:tcW w:w="2014" w:type="dxa"/>
          </w:tcPr>
          <w:p w14:paraId="4CBF637D" w14:textId="77777777" w:rsidR="00D94935" w:rsidRDefault="00D94935" w:rsidP="003A681D">
            <w:pPr>
              <w:pStyle w:val="TableText"/>
            </w:pPr>
            <w:r>
              <w:t>17.25</w:t>
            </w:r>
          </w:p>
        </w:tc>
      </w:tr>
      <w:tr w:rsidR="00D94935" w14:paraId="7105D3FE" w14:textId="77777777" w:rsidTr="003A681D">
        <w:trPr>
          <w:cantSplit/>
        </w:trPr>
        <w:tc>
          <w:tcPr>
            <w:tcW w:w="1200" w:type="dxa"/>
          </w:tcPr>
          <w:p w14:paraId="10F245F6" w14:textId="77777777" w:rsidR="00D94935" w:rsidRDefault="00D94935" w:rsidP="003A681D">
            <w:pPr>
              <w:pStyle w:val="TableText"/>
            </w:pPr>
            <w:r>
              <w:t>9</w:t>
            </w:r>
          </w:p>
        </w:tc>
        <w:tc>
          <w:tcPr>
            <w:tcW w:w="4308" w:type="dxa"/>
          </w:tcPr>
          <w:p w14:paraId="39729C00" w14:textId="77777777" w:rsidR="00D94935" w:rsidRDefault="00D94935" w:rsidP="003A681D">
            <w:pPr>
              <w:pStyle w:val="TableText"/>
            </w:pPr>
            <w:r>
              <w:t>1 January 1986 to 30 June 1986</w:t>
            </w:r>
          </w:p>
        </w:tc>
        <w:tc>
          <w:tcPr>
            <w:tcW w:w="2014" w:type="dxa"/>
          </w:tcPr>
          <w:p w14:paraId="7CD7773A" w14:textId="77777777" w:rsidR="00D94935" w:rsidRDefault="00D94935" w:rsidP="003A681D">
            <w:pPr>
              <w:pStyle w:val="TableText"/>
            </w:pPr>
            <w:r>
              <w:t>20.625</w:t>
            </w:r>
          </w:p>
        </w:tc>
      </w:tr>
      <w:tr w:rsidR="00D94935" w14:paraId="11FC8463" w14:textId="77777777" w:rsidTr="003A681D">
        <w:trPr>
          <w:cantSplit/>
        </w:trPr>
        <w:tc>
          <w:tcPr>
            <w:tcW w:w="1200" w:type="dxa"/>
          </w:tcPr>
          <w:p w14:paraId="07A2B515" w14:textId="77777777" w:rsidR="00D94935" w:rsidRDefault="00D94935" w:rsidP="003A681D">
            <w:pPr>
              <w:pStyle w:val="TableText"/>
            </w:pPr>
            <w:r>
              <w:t>10</w:t>
            </w:r>
          </w:p>
        </w:tc>
        <w:tc>
          <w:tcPr>
            <w:tcW w:w="4308" w:type="dxa"/>
          </w:tcPr>
          <w:p w14:paraId="08099936" w14:textId="77777777" w:rsidR="00D94935" w:rsidRDefault="00D94935" w:rsidP="003A681D">
            <w:pPr>
              <w:pStyle w:val="TableText"/>
            </w:pPr>
            <w:r>
              <w:t>1 July 1986 to 31 December 1986</w:t>
            </w:r>
          </w:p>
        </w:tc>
        <w:tc>
          <w:tcPr>
            <w:tcW w:w="2014" w:type="dxa"/>
          </w:tcPr>
          <w:p w14:paraId="73475108" w14:textId="77777777" w:rsidR="00D94935" w:rsidRDefault="00D94935" w:rsidP="003A681D">
            <w:pPr>
              <w:pStyle w:val="TableText"/>
            </w:pPr>
            <w:r>
              <w:t>18.125</w:t>
            </w:r>
          </w:p>
        </w:tc>
      </w:tr>
      <w:tr w:rsidR="00D94935" w14:paraId="1453533C" w14:textId="77777777" w:rsidTr="003A681D">
        <w:trPr>
          <w:cantSplit/>
        </w:trPr>
        <w:tc>
          <w:tcPr>
            <w:tcW w:w="1200" w:type="dxa"/>
          </w:tcPr>
          <w:p w14:paraId="1F6F93C6" w14:textId="77777777" w:rsidR="00D94935" w:rsidRDefault="00D94935" w:rsidP="003A681D">
            <w:pPr>
              <w:pStyle w:val="TableText"/>
            </w:pPr>
            <w:r>
              <w:t>11</w:t>
            </w:r>
          </w:p>
        </w:tc>
        <w:tc>
          <w:tcPr>
            <w:tcW w:w="4308" w:type="dxa"/>
          </w:tcPr>
          <w:p w14:paraId="1684C330" w14:textId="77777777" w:rsidR="00D94935" w:rsidRDefault="00D94935" w:rsidP="003A681D">
            <w:pPr>
              <w:pStyle w:val="TableText"/>
            </w:pPr>
            <w:r>
              <w:t>1 January 1987 to 30 June 1987</w:t>
            </w:r>
          </w:p>
        </w:tc>
        <w:tc>
          <w:tcPr>
            <w:tcW w:w="2014" w:type="dxa"/>
          </w:tcPr>
          <w:p w14:paraId="7E40BB03" w14:textId="77777777" w:rsidR="00D94935" w:rsidRDefault="00D94935" w:rsidP="003A681D">
            <w:pPr>
              <w:pStyle w:val="TableText"/>
            </w:pPr>
            <w:r>
              <w:t>19.25</w:t>
            </w:r>
          </w:p>
        </w:tc>
      </w:tr>
      <w:tr w:rsidR="00D94935" w14:paraId="0E23422B" w14:textId="77777777" w:rsidTr="003A681D">
        <w:trPr>
          <w:cantSplit/>
        </w:trPr>
        <w:tc>
          <w:tcPr>
            <w:tcW w:w="1200" w:type="dxa"/>
          </w:tcPr>
          <w:p w14:paraId="5BACE310" w14:textId="77777777" w:rsidR="00D94935" w:rsidRDefault="00D94935" w:rsidP="003A681D">
            <w:pPr>
              <w:pStyle w:val="TableText"/>
            </w:pPr>
            <w:r>
              <w:t>12</w:t>
            </w:r>
          </w:p>
        </w:tc>
        <w:tc>
          <w:tcPr>
            <w:tcW w:w="4308" w:type="dxa"/>
          </w:tcPr>
          <w:p w14:paraId="128FB47B" w14:textId="77777777" w:rsidR="00D94935" w:rsidRDefault="00D94935" w:rsidP="003A681D">
            <w:pPr>
              <w:pStyle w:val="TableText"/>
            </w:pPr>
            <w:r>
              <w:t>1 July 1987 to 29 February 1988</w:t>
            </w:r>
          </w:p>
        </w:tc>
        <w:tc>
          <w:tcPr>
            <w:tcW w:w="2014" w:type="dxa"/>
          </w:tcPr>
          <w:p w14:paraId="2E0B9A17" w14:textId="77777777" w:rsidR="00D94935" w:rsidRDefault="00D94935" w:rsidP="003A681D">
            <w:pPr>
              <w:pStyle w:val="TableText"/>
            </w:pPr>
            <w:r>
              <w:t>18.75</w:t>
            </w:r>
          </w:p>
        </w:tc>
      </w:tr>
      <w:tr w:rsidR="00D94935" w14:paraId="47B289D1" w14:textId="77777777" w:rsidTr="003A681D">
        <w:trPr>
          <w:cantSplit/>
        </w:trPr>
        <w:tc>
          <w:tcPr>
            <w:tcW w:w="1200" w:type="dxa"/>
          </w:tcPr>
          <w:p w14:paraId="79AE2EFA" w14:textId="77777777" w:rsidR="00D94935" w:rsidRDefault="00D94935" w:rsidP="003A681D">
            <w:pPr>
              <w:pStyle w:val="TableText"/>
            </w:pPr>
            <w:r>
              <w:t>13</w:t>
            </w:r>
          </w:p>
        </w:tc>
        <w:tc>
          <w:tcPr>
            <w:tcW w:w="4308" w:type="dxa"/>
          </w:tcPr>
          <w:p w14:paraId="2A4D3857" w14:textId="77777777" w:rsidR="00D94935" w:rsidRDefault="00D94935" w:rsidP="003A681D">
            <w:pPr>
              <w:pStyle w:val="TableText"/>
            </w:pPr>
            <w:r>
              <w:t>1 March 1988 to 28 February 1989</w:t>
            </w:r>
          </w:p>
        </w:tc>
        <w:tc>
          <w:tcPr>
            <w:tcW w:w="2014" w:type="dxa"/>
          </w:tcPr>
          <w:p w14:paraId="6F771D78" w14:textId="77777777" w:rsidR="00D94935" w:rsidRDefault="00D94935" w:rsidP="003A681D">
            <w:pPr>
              <w:pStyle w:val="TableText"/>
            </w:pPr>
            <w:r>
              <w:t>16.125</w:t>
            </w:r>
          </w:p>
        </w:tc>
      </w:tr>
      <w:tr w:rsidR="00D94935" w14:paraId="5EB1CB5F" w14:textId="77777777" w:rsidTr="003A681D">
        <w:trPr>
          <w:cantSplit/>
        </w:trPr>
        <w:tc>
          <w:tcPr>
            <w:tcW w:w="1200" w:type="dxa"/>
          </w:tcPr>
          <w:p w14:paraId="275DEF45" w14:textId="77777777" w:rsidR="00D94935" w:rsidRDefault="00D94935" w:rsidP="003A681D">
            <w:pPr>
              <w:pStyle w:val="TableText"/>
            </w:pPr>
            <w:r>
              <w:t>14</w:t>
            </w:r>
          </w:p>
        </w:tc>
        <w:tc>
          <w:tcPr>
            <w:tcW w:w="4308" w:type="dxa"/>
          </w:tcPr>
          <w:p w14:paraId="59B0E376" w14:textId="77777777" w:rsidR="00D94935" w:rsidRDefault="00D94935" w:rsidP="003A681D">
            <w:pPr>
              <w:pStyle w:val="TableText"/>
            </w:pPr>
            <w:r>
              <w:t>1 March 1989 to 31 August 1989</w:t>
            </w:r>
          </w:p>
        </w:tc>
        <w:tc>
          <w:tcPr>
            <w:tcW w:w="2014" w:type="dxa"/>
          </w:tcPr>
          <w:p w14:paraId="721304F3" w14:textId="77777777" w:rsidR="00D94935" w:rsidRDefault="00D94935" w:rsidP="003A681D">
            <w:pPr>
              <w:pStyle w:val="TableText"/>
            </w:pPr>
            <w:r>
              <w:t>17.875</w:t>
            </w:r>
          </w:p>
        </w:tc>
      </w:tr>
      <w:tr w:rsidR="00D94935" w14:paraId="7AB7E705" w14:textId="77777777" w:rsidTr="003A681D">
        <w:trPr>
          <w:cantSplit/>
        </w:trPr>
        <w:tc>
          <w:tcPr>
            <w:tcW w:w="1200" w:type="dxa"/>
          </w:tcPr>
          <w:p w14:paraId="65D3E755" w14:textId="77777777" w:rsidR="00D94935" w:rsidRDefault="00D94935" w:rsidP="003A681D">
            <w:pPr>
              <w:pStyle w:val="TableText"/>
            </w:pPr>
            <w:r>
              <w:t>15</w:t>
            </w:r>
          </w:p>
        </w:tc>
        <w:tc>
          <w:tcPr>
            <w:tcW w:w="4308" w:type="dxa"/>
          </w:tcPr>
          <w:p w14:paraId="0D5E9055" w14:textId="77777777" w:rsidR="00D94935" w:rsidRDefault="00D94935" w:rsidP="003A681D">
            <w:pPr>
              <w:pStyle w:val="TableText"/>
            </w:pPr>
            <w:r>
              <w:t>1 September 1989 to 14 January 1991</w:t>
            </w:r>
          </w:p>
        </w:tc>
        <w:tc>
          <w:tcPr>
            <w:tcW w:w="2014" w:type="dxa"/>
          </w:tcPr>
          <w:p w14:paraId="7FD3C84B" w14:textId="77777777" w:rsidR="00D94935" w:rsidRDefault="00D94935" w:rsidP="003A681D">
            <w:pPr>
              <w:pStyle w:val="TableText"/>
            </w:pPr>
            <w:r>
              <w:t>20.75</w:t>
            </w:r>
          </w:p>
        </w:tc>
      </w:tr>
      <w:tr w:rsidR="00D94935" w14:paraId="7722DB2B" w14:textId="77777777" w:rsidTr="003A681D">
        <w:trPr>
          <w:cantSplit/>
        </w:trPr>
        <w:tc>
          <w:tcPr>
            <w:tcW w:w="1200" w:type="dxa"/>
          </w:tcPr>
          <w:p w14:paraId="7C269BBB" w14:textId="77777777" w:rsidR="00D94935" w:rsidRDefault="00D94935" w:rsidP="003A681D">
            <w:pPr>
              <w:pStyle w:val="Amainreturn"/>
              <w:ind w:left="0"/>
            </w:pPr>
            <w:r>
              <w:t>16</w:t>
            </w:r>
          </w:p>
        </w:tc>
        <w:tc>
          <w:tcPr>
            <w:tcW w:w="4308" w:type="dxa"/>
          </w:tcPr>
          <w:p w14:paraId="70314AF1" w14:textId="77777777" w:rsidR="00D94935" w:rsidRDefault="00D94935" w:rsidP="003A681D">
            <w:pPr>
              <w:pStyle w:val="Amainreturn"/>
              <w:ind w:left="0"/>
            </w:pPr>
            <w:r>
              <w:t>15 January 1991 to 14 July 1991</w:t>
            </w:r>
          </w:p>
        </w:tc>
        <w:tc>
          <w:tcPr>
            <w:tcW w:w="2014" w:type="dxa"/>
          </w:tcPr>
          <w:p w14:paraId="2E15030D" w14:textId="77777777" w:rsidR="00D94935" w:rsidRDefault="00D94935" w:rsidP="003A681D">
            <w:pPr>
              <w:pStyle w:val="Amainreturn"/>
              <w:ind w:left="0"/>
            </w:pPr>
            <w:r>
              <w:t>17.50</w:t>
            </w:r>
          </w:p>
        </w:tc>
      </w:tr>
      <w:tr w:rsidR="00D94935" w14:paraId="1D8DA1DE" w14:textId="77777777" w:rsidTr="003A681D">
        <w:trPr>
          <w:cantSplit/>
        </w:trPr>
        <w:tc>
          <w:tcPr>
            <w:tcW w:w="1200" w:type="dxa"/>
          </w:tcPr>
          <w:p w14:paraId="0F3EEB79" w14:textId="77777777" w:rsidR="00D94935" w:rsidRDefault="00D94935" w:rsidP="003A681D">
            <w:pPr>
              <w:pStyle w:val="Amainreturn"/>
              <w:ind w:left="0"/>
            </w:pPr>
            <w:r>
              <w:t>17</w:t>
            </w:r>
          </w:p>
        </w:tc>
        <w:tc>
          <w:tcPr>
            <w:tcW w:w="4308" w:type="dxa"/>
          </w:tcPr>
          <w:p w14:paraId="7BDC3554" w14:textId="77777777" w:rsidR="00D94935" w:rsidRDefault="00D94935" w:rsidP="003A681D">
            <w:pPr>
              <w:pStyle w:val="Amainreturn"/>
              <w:ind w:left="0"/>
            </w:pPr>
            <w:r>
              <w:t>15 July 1991 to 14 January 1992</w:t>
            </w:r>
          </w:p>
        </w:tc>
        <w:tc>
          <w:tcPr>
            <w:tcW w:w="2014" w:type="dxa"/>
          </w:tcPr>
          <w:p w14:paraId="49F6D672" w14:textId="77777777" w:rsidR="00D94935" w:rsidRDefault="00D94935" w:rsidP="003A681D">
            <w:pPr>
              <w:pStyle w:val="Amainreturn"/>
              <w:ind w:left="0"/>
            </w:pPr>
            <w:r>
              <w:t>15.75</w:t>
            </w:r>
          </w:p>
        </w:tc>
      </w:tr>
      <w:tr w:rsidR="00D94935" w14:paraId="32D407AE" w14:textId="77777777" w:rsidTr="003A681D">
        <w:trPr>
          <w:cantSplit/>
        </w:trPr>
        <w:tc>
          <w:tcPr>
            <w:tcW w:w="1200" w:type="dxa"/>
          </w:tcPr>
          <w:p w14:paraId="5D877BF1" w14:textId="77777777" w:rsidR="00D94935" w:rsidRDefault="00D94935" w:rsidP="003A681D">
            <w:pPr>
              <w:pStyle w:val="Amainreturn"/>
              <w:ind w:left="0"/>
            </w:pPr>
            <w:r>
              <w:t>18</w:t>
            </w:r>
          </w:p>
        </w:tc>
        <w:tc>
          <w:tcPr>
            <w:tcW w:w="4308" w:type="dxa"/>
          </w:tcPr>
          <w:p w14:paraId="31AAB288" w14:textId="77777777" w:rsidR="00D94935" w:rsidRDefault="00D94935" w:rsidP="003A681D">
            <w:pPr>
              <w:pStyle w:val="Amainreturn"/>
              <w:ind w:left="0"/>
            </w:pPr>
            <w:r>
              <w:t>15 January 1992 to 14 July 1992</w:t>
            </w:r>
          </w:p>
        </w:tc>
        <w:tc>
          <w:tcPr>
            <w:tcW w:w="2014" w:type="dxa"/>
          </w:tcPr>
          <w:p w14:paraId="7C8FC70C" w14:textId="77777777" w:rsidR="00D94935" w:rsidRDefault="00D94935" w:rsidP="003A681D">
            <w:pPr>
              <w:pStyle w:val="Amainreturn"/>
              <w:ind w:left="0"/>
            </w:pPr>
            <w:r>
              <w:t>13.75</w:t>
            </w:r>
          </w:p>
        </w:tc>
      </w:tr>
      <w:tr w:rsidR="00D94935" w14:paraId="3510713D" w14:textId="77777777" w:rsidTr="003A681D">
        <w:trPr>
          <w:cantSplit/>
        </w:trPr>
        <w:tc>
          <w:tcPr>
            <w:tcW w:w="1200" w:type="dxa"/>
          </w:tcPr>
          <w:p w14:paraId="0B375C7B" w14:textId="77777777" w:rsidR="00D94935" w:rsidRDefault="00D94935" w:rsidP="003A681D">
            <w:pPr>
              <w:pStyle w:val="Amainreturn"/>
              <w:ind w:left="0"/>
            </w:pPr>
            <w:r>
              <w:lastRenderedPageBreak/>
              <w:t>19</w:t>
            </w:r>
          </w:p>
        </w:tc>
        <w:tc>
          <w:tcPr>
            <w:tcW w:w="4308" w:type="dxa"/>
          </w:tcPr>
          <w:p w14:paraId="65E38BFC" w14:textId="77777777" w:rsidR="00D94935" w:rsidRDefault="00D94935" w:rsidP="003A681D">
            <w:pPr>
              <w:pStyle w:val="Amainreturn"/>
              <w:ind w:left="0"/>
            </w:pPr>
            <w:r>
              <w:t>15 July 1992 to 14 January 1993</w:t>
            </w:r>
          </w:p>
        </w:tc>
        <w:tc>
          <w:tcPr>
            <w:tcW w:w="2014" w:type="dxa"/>
          </w:tcPr>
          <w:p w14:paraId="657E3051" w14:textId="77777777" w:rsidR="00D94935" w:rsidRDefault="00D94935" w:rsidP="003A681D">
            <w:pPr>
              <w:pStyle w:val="Amainreturn"/>
              <w:ind w:left="0"/>
            </w:pPr>
            <w:r>
              <w:t>11.50</w:t>
            </w:r>
          </w:p>
        </w:tc>
      </w:tr>
      <w:tr w:rsidR="00D94935" w14:paraId="188075C6" w14:textId="77777777" w:rsidTr="003A681D">
        <w:trPr>
          <w:cantSplit/>
        </w:trPr>
        <w:tc>
          <w:tcPr>
            <w:tcW w:w="1200" w:type="dxa"/>
          </w:tcPr>
          <w:p w14:paraId="52D4F485" w14:textId="77777777" w:rsidR="00D94935" w:rsidRDefault="00D94935" w:rsidP="003A681D">
            <w:pPr>
              <w:pStyle w:val="Amainreturn"/>
              <w:ind w:left="0"/>
            </w:pPr>
            <w:r>
              <w:t>20</w:t>
            </w:r>
          </w:p>
        </w:tc>
        <w:tc>
          <w:tcPr>
            <w:tcW w:w="4308" w:type="dxa"/>
          </w:tcPr>
          <w:p w14:paraId="4EB57778" w14:textId="77777777" w:rsidR="00D94935" w:rsidRDefault="00D94935" w:rsidP="003A681D">
            <w:pPr>
              <w:pStyle w:val="Amainreturn"/>
              <w:ind w:left="0"/>
            </w:pPr>
            <w:r>
              <w:t>15 January 1993 to 31 January 1994</w:t>
            </w:r>
          </w:p>
        </w:tc>
        <w:tc>
          <w:tcPr>
            <w:tcW w:w="2014" w:type="dxa"/>
          </w:tcPr>
          <w:p w14:paraId="22B518AD" w14:textId="77777777" w:rsidR="00D94935" w:rsidRDefault="00D94935" w:rsidP="003A681D">
            <w:pPr>
              <w:pStyle w:val="Amainreturn"/>
              <w:ind w:left="0"/>
            </w:pPr>
            <w:r>
              <w:t>10.00</w:t>
            </w:r>
          </w:p>
        </w:tc>
      </w:tr>
      <w:tr w:rsidR="00D94935" w14:paraId="6D706F79" w14:textId="77777777" w:rsidTr="003A681D">
        <w:trPr>
          <w:cantSplit/>
        </w:trPr>
        <w:tc>
          <w:tcPr>
            <w:tcW w:w="1200" w:type="dxa"/>
          </w:tcPr>
          <w:p w14:paraId="1332E701" w14:textId="77777777" w:rsidR="00D94935" w:rsidRDefault="00D94935" w:rsidP="003A681D">
            <w:pPr>
              <w:pStyle w:val="Amainreturn"/>
              <w:ind w:left="0"/>
            </w:pPr>
            <w:r>
              <w:t>21</w:t>
            </w:r>
          </w:p>
        </w:tc>
        <w:tc>
          <w:tcPr>
            <w:tcW w:w="4308" w:type="dxa"/>
          </w:tcPr>
          <w:p w14:paraId="22D4BC13" w14:textId="77777777" w:rsidR="00D94935" w:rsidRDefault="00D94935" w:rsidP="003A681D">
            <w:pPr>
              <w:pStyle w:val="Amainreturn"/>
              <w:ind w:left="0"/>
            </w:pPr>
            <w:r>
              <w:t>1 February 1994 to 31 July 1995</w:t>
            </w:r>
          </w:p>
        </w:tc>
        <w:tc>
          <w:tcPr>
            <w:tcW w:w="2014" w:type="dxa"/>
          </w:tcPr>
          <w:p w14:paraId="563FECE8" w14:textId="77777777" w:rsidR="00D94935" w:rsidRDefault="00D94935" w:rsidP="003A681D">
            <w:pPr>
              <w:pStyle w:val="Amainreturn"/>
              <w:ind w:left="0"/>
            </w:pPr>
            <w:r>
              <w:t>9.00</w:t>
            </w:r>
          </w:p>
        </w:tc>
      </w:tr>
      <w:tr w:rsidR="00D94935" w14:paraId="38068910" w14:textId="77777777" w:rsidTr="003A681D">
        <w:trPr>
          <w:cantSplit/>
        </w:trPr>
        <w:tc>
          <w:tcPr>
            <w:tcW w:w="1200" w:type="dxa"/>
          </w:tcPr>
          <w:p w14:paraId="0D716414" w14:textId="77777777" w:rsidR="00D94935" w:rsidRDefault="00D94935" w:rsidP="003A681D">
            <w:pPr>
              <w:pStyle w:val="Amainreturn"/>
              <w:ind w:left="0"/>
            </w:pPr>
            <w:r>
              <w:t>22</w:t>
            </w:r>
          </w:p>
        </w:tc>
        <w:tc>
          <w:tcPr>
            <w:tcW w:w="4308" w:type="dxa"/>
          </w:tcPr>
          <w:p w14:paraId="52191520" w14:textId="77777777" w:rsidR="00D94935" w:rsidRDefault="00D94935" w:rsidP="003A681D">
            <w:pPr>
              <w:pStyle w:val="Amainreturn"/>
              <w:ind w:left="0"/>
            </w:pPr>
            <w:r>
              <w:t>1 August 1995 to 31 March 1997</w:t>
            </w:r>
          </w:p>
        </w:tc>
        <w:tc>
          <w:tcPr>
            <w:tcW w:w="2014" w:type="dxa"/>
          </w:tcPr>
          <w:p w14:paraId="274C5FDE" w14:textId="77777777" w:rsidR="00D94935" w:rsidRDefault="00D94935" w:rsidP="003A681D">
            <w:pPr>
              <w:pStyle w:val="Amainreturn"/>
              <w:ind w:left="0"/>
            </w:pPr>
            <w:r>
              <w:t>10.75</w:t>
            </w:r>
          </w:p>
        </w:tc>
      </w:tr>
      <w:tr w:rsidR="00D94935" w14:paraId="3E080E54" w14:textId="77777777" w:rsidTr="003A681D">
        <w:trPr>
          <w:cantSplit/>
        </w:trPr>
        <w:tc>
          <w:tcPr>
            <w:tcW w:w="1200" w:type="dxa"/>
          </w:tcPr>
          <w:p w14:paraId="6DC4F43D" w14:textId="77777777" w:rsidR="00D94935" w:rsidRDefault="00D94935" w:rsidP="003A681D">
            <w:pPr>
              <w:pStyle w:val="Amainreturn"/>
              <w:ind w:left="0"/>
            </w:pPr>
            <w:r>
              <w:t>23</w:t>
            </w:r>
          </w:p>
        </w:tc>
        <w:tc>
          <w:tcPr>
            <w:tcW w:w="4308" w:type="dxa"/>
          </w:tcPr>
          <w:p w14:paraId="37DAC8AA" w14:textId="77777777" w:rsidR="00D94935" w:rsidRDefault="00D94935" w:rsidP="003A681D">
            <w:pPr>
              <w:pStyle w:val="Amainreturn"/>
              <w:ind w:left="0"/>
            </w:pPr>
            <w:r>
              <w:t>1 April 1997 to 30 April 1998</w:t>
            </w:r>
          </w:p>
        </w:tc>
        <w:tc>
          <w:tcPr>
            <w:tcW w:w="2014" w:type="dxa"/>
          </w:tcPr>
          <w:p w14:paraId="5F50E903" w14:textId="77777777" w:rsidR="00D94935" w:rsidRDefault="00D94935" w:rsidP="003A681D">
            <w:pPr>
              <w:pStyle w:val="Amainreturn"/>
              <w:ind w:left="0"/>
            </w:pPr>
            <w:r>
              <w:t>9.55</w:t>
            </w:r>
          </w:p>
        </w:tc>
      </w:tr>
      <w:tr w:rsidR="00D94935" w14:paraId="4C066CDA" w14:textId="77777777" w:rsidTr="003A681D">
        <w:trPr>
          <w:cantSplit/>
        </w:trPr>
        <w:tc>
          <w:tcPr>
            <w:tcW w:w="1200" w:type="dxa"/>
          </w:tcPr>
          <w:p w14:paraId="561A781E" w14:textId="77777777" w:rsidR="00D94935" w:rsidRDefault="00D94935" w:rsidP="003A681D">
            <w:pPr>
              <w:pStyle w:val="Amainreturn"/>
              <w:ind w:left="0"/>
            </w:pPr>
            <w:r>
              <w:t>24</w:t>
            </w:r>
          </w:p>
        </w:tc>
        <w:tc>
          <w:tcPr>
            <w:tcW w:w="4308" w:type="dxa"/>
          </w:tcPr>
          <w:p w14:paraId="507EFB4D" w14:textId="77777777" w:rsidR="00D94935" w:rsidRDefault="00D94935" w:rsidP="003A681D">
            <w:pPr>
              <w:pStyle w:val="Amainreturn"/>
              <w:ind w:left="0"/>
            </w:pPr>
            <w:r>
              <w:t>1 May 1998 to 9 January 2005</w:t>
            </w:r>
          </w:p>
        </w:tc>
        <w:tc>
          <w:tcPr>
            <w:tcW w:w="2014" w:type="dxa"/>
          </w:tcPr>
          <w:p w14:paraId="327BA219" w14:textId="77777777" w:rsidR="00D94935" w:rsidRDefault="00D94935" w:rsidP="003A681D">
            <w:pPr>
              <w:pStyle w:val="Amainreturn"/>
              <w:ind w:left="0"/>
            </w:pPr>
            <w:r>
              <w:t>8.45</w:t>
            </w:r>
          </w:p>
        </w:tc>
      </w:tr>
      <w:tr w:rsidR="00D94935" w14:paraId="2470F07C" w14:textId="77777777" w:rsidTr="003A681D">
        <w:trPr>
          <w:cantSplit/>
        </w:trPr>
        <w:tc>
          <w:tcPr>
            <w:tcW w:w="1200" w:type="dxa"/>
          </w:tcPr>
          <w:p w14:paraId="2D8AC3E2" w14:textId="77777777" w:rsidR="00D94935" w:rsidRDefault="00D94935" w:rsidP="003A681D">
            <w:pPr>
              <w:pStyle w:val="Amainreturn"/>
              <w:ind w:left="0"/>
            </w:pPr>
            <w:r>
              <w:t>25</w:t>
            </w:r>
          </w:p>
        </w:tc>
        <w:tc>
          <w:tcPr>
            <w:tcW w:w="4308" w:type="dxa"/>
          </w:tcPr>
          <w:p w14:paraId="3F898307" w14:textId="77777777" w:rsidR="00D94935" w:rsidRDefault="00D94935" w:rsidP="003A681D">
            <w:pPr>
              <w:pStyle w:val="Amainreturn"/>
              <w:ind w:left="0"/>
            </w:pPr>
            <w:r w:rsidRPr="00DC6DB8">
              <w:t>10 January 2005 to 30 June 2010</w:t>
            </w:r>
          </w:p>
        </w:tc>
        <w:tc>
          <w:tcPr>
            <w:tcW w:w="2014" w:type="dxa"/>
          </w:tcPr>
          <w:p w14:paraId="197479CA" w14:textId="77777777" w:rsidR="00D94935" w:rsidRDefault="00D94935" w:rsidP="003A681D">
            <w:pPr>
              <w:pStyle w:val="Amainreturn"/>
              <w:ind w:left="0"/>
            </w:pPr>
            <w:r>
              <w:t>9.00</w:t>
            </w:r>
          </w:p>
        </w:tc>
      </w:tr>
    </w:tbl>
    <w:p w14:paraId="1BC67E12" w14:textId="77777777" w:rsidR="00D94935" w:rsidRPr="00DC6DB8" w:rsidRDefault="00D94935" w:rsidP="00D94935">
      <w:pPr>
        <w:pStyle w:val="Schclauseheading"/>
      </w:pPr>
      <w:bookmarkStart w:id="1908" w:name="_Toc185515524"/>
      <w:r w:rsidRPr="00C8328B">
        <w:rPr>
          <w:rStyle w:val="CharSectNo"/>
        </w:rPr>
        <w:t>2.2</w:t>
      </w:r>
      <w:r w:rsidRPr="00DC6DB8">
        <w:tab/>
        <w:t>Interest up to judgment after 30 June 2010—Magistrates Court</w:t>
      </w:r>
      <w:bookmarkEnd w:id="1908"/>
    </w:p>
    <w:p w14:paraId="28DF34C8" w14:textId="77777777" w:rsidR="00D94935" w:rsidRPr="00DC6DB8" w:rsidRDefault="00D94935" w:rsidP="00D94935">
      <w:pPr>
        <w:pStyle w:val="Amainreturn"/>
      </w:pPr>
      <w:r w:rsidRPr="00DC6DB8">
        <w:t>For the Magistrates Court, the rate of interest up to judgment for a period after 30 June 2010 is—</w:t>
      </w:r>
    </w:p>
    <w:p w14:paraId="15F8B7FF"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01B7753A" w14:textId="77777777"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14:paraId="7618DF66" w14:textId="77777777" w:rsidR="00D94935" w:rsidRDefault="00D94935" w:rsidP="00D94935">
      <w:pPr>
        <w:pStyle w:val="PageBreak"/>
      </w:pPr>
      <w:r>
        <w:br w:type="page"/>
      </w:r>
    </w:p>
    <w:p w14:paraId="333F4824" w14:textId="77777777" w:rsidR="00D94935" w:rsidRPr="00C8328B" w:rsidRDefault="00D94935" w:rsidP="00D94935">
      <w:pPr>
        <w:pStyle w:val="Sched-Part"/>
      </w:pPr>
      <w:bookmarkStart w:id="1909" w:name="_Toc185515525"/>
      <w:r w:rsidRPr="00C8328B">
        <w:rPr>
          <w:rStyle w:val="CharPartNo"/>
        </w:rPr>
        <w:lastRenderedPageBreak/>
        <w:t>Part 2.2</w:t>
      </w:r>
      <w:r>
        <w:tab/>
      </w:r>
      <w:r w:rsidRPr="00C8328B">
        <w:rPr>
          <w:rStyle w:val="CharPartText"/>
        </w:rPr>
        <w:t>Interest after judgment</w:t>
      </w:r>
      <w:bookmarkEnd w:id="1909"/>
    </w:p>
    <w:p w14:paraId="1DBF4FD7" w14:textId="77777777" w:rsidR="00D94935" w:rsidRPr="003C5FA4" w:rsidRDefault="00D94935" w:rsidP="00D94935">
      <w:pPr>
        <w:pStyle w:val="ref"/>
      </w:pPr>
      <w:r w:rsidRPr="003C5FA4">
        <w:t>(see r 1619 and r 1620)</w:t>
      </w:r>
    </w:p>
    <w:p w14:paraId="4F66BEE0" w14:textId="77777777"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12DC84E4" w14:textId="77777777" w:rsidTr="003A681D">
        <w:trPr>
          <w:cantSplit/>
          <w:tblHeader/>
        </w:trPr>
        <w:tc>
          <w:tcPr>
            <w:tcW w:w="1200" w:type="dxa"/>
          </w:tcPr>
          <w:p w14:paraId="33B57410" w14:textId="77777777" w:rsidR="00D94935" w:rsidRDefault="00D94935" w:rsidP="003A681D">
            <w:pPr>
              <w:pStyle w:val="TableColHd"/>
            </w:pPr>
            <w:r>
              <w:t>column 1</w:t>
            </w:r>
          </w:p>
          <w:p w14:paraId="533257BD" w14:textId="77777777" w:rsidR="00D94935" w:rsidRDefault="00D94935" w:rsidP="003A681D">
            <w:pPr>
              <w:pStyle w:val="TableColHd"/>
            </w:pPr>
            <w:r>
              <w:t>item</w:t>
            </w:r>
          </w:p>
        </w:tc>
        <w:tc>
          <w:tcPr>
            <w:tcW w:w="4308" w:type="dxa"/>
          </w:tcPr>
          <w:p w14:paraId="4D5CC3E7" w14:textId="77777777" w:rsidR="00D94935" w:rsidRDefault="00D94935" w:rsidP="003A681D">
            <w:pPr>
              <w:pStyle w:val="TableColHd"/>
            </w:pPr>
            <w:r>
              <w:t>column 2</w:t>
            </w:r>
          </w:p>
          <w:p w14:paraId="7AD45160" w14:textId="77777777" w:rsidR="00D94935" w:rsidRDefault="00D94935" w:rsidP="003A681D">
            <w:pPr>
              <w:pStyle w:val="TableColHd"/>
            </w:pPr>
            <w:r>
              <w:t>period and case (if any)</w:t>
            </w:r>
          </w:p>
        </w:tc>
        <w:tc>
          <w:tcPr>
            <w:tcW w:w="2014" w:type="dxa"/>
          </w:tcPr>
          <w:p w14:paraId="3E42D59F" w14:textId="77777777" w:rsidR="00D94935" w:rsidRDefault="00D94935" w:rsidP="003A681D">
            <w:pPr>
              <w:pStyle w:val="TableColHd"/>
            </w:pPr>
            <w:r>
              <w:t>column 3</w:t>
            </w:r>
          </w:p>
          <w:p w14:paraId="250A1772" w14:textId="77777777" w:rsidR="00D94935" w:rsidRDefault="00D94935" w:rsidP="003A681D">
            <w:pPr>
              <w:pStyle w:val="TableColHd"/>
            </w:pPr>
            <w:r>
              <w:t>rate of interest</w:t>
            </w:r>
          </w:p>
          <w:p w14:paraId="0F322C5C" w14:textId="77777777" w:rsidR="00D94935" w:rsidRDefault="00D94935" w:rsidP="003A681D">
            <w:pPr>
              <w:pStyle w:val="TableColHd"/>
            </w:pPr>
            <w:r>
              <w:t>% per year</w:t>
            </w:r>
          </w:p>
        </w:tc>
      </w:tr>
      <w:tr w:rsidR="00D94935" w14:paraId="5E4D36D1" w14:textId="77777777" w:rsidTr="003A681D">
        <w:trPr>
          <w:cantSplit/>
        </w:trPr>
        <w:tc>
          <w:tcPr>
            <w:tcW w:w="1200" w:type="dxa"/>
          </w:tcPr>
          <w:p w14:paraId="30E2CC89" w14:textId="77777777" w:rsidR="00D94935" w:rsidRDefault="00D94935" w:rsidP="003A681D">
            <w:pPr>
              <w:pStyle w:val="TableText"/>
            </w:pPr>
            <w:r>
              <w:t>1</w:t>
            </w:r>
          </w:p>
        </w:tc>
        <w:tc>
          <w:tcPr>
            <w:tcW w:w="4308" w:type="dxa"/>
          </w:tcPr>
          <w:p w14:paraId="07CD75F8" w14:textId="77777777" w:rsidR="00D94935" w:rsidRDefault="00D94935" w:rsidP="003A681D">
            <w:pPr>
              <w:pStyle w:val="TableText"/>
              <w:keepNext/>
            </w:pPr>
            <w:r>
              <w:t>any period ending before 1 May 1986:</w:t>
            </w:r>
          </w:p>
          <w:p w14:paraId="70336888"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F3E2782"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0E7E9B0B" w14:textId="77777777" w:rsidR="00D94935" w:rsidRDefault="00D94935" w:rsidP="003A681D">
            <w:pPr>
              <w:pStyle w:val="TableText"/>
            </w:pPr>
          </w:p>
          <w:p w14:paraId="2A0EAF5E" w14:textId="77777777" w:rsidR="00D94935" w:rsidRDefault="00D94935" w:rsidP="003A681D">
            <w:pPr>
              <w:pStyle w:val="TableText"/>
              <w:spacing w:before="80"/>
            </w:pPr>
            <w:r>
              <w:t>5.00</w:t>
            </w:r>
            <w:r>
              <w:br/>
            </w:r>
          </w:p>
          <w:p w14:paraId="106A6FBC" w14:textId="77777777" w:rsidR="00D94935" w:rsidRDefault="00D94935" w:rsidP="003A681D">
            <w:pPr>
              <w:pStyle w:val="TableText"/>
              <w:spacing w:before="80"/>
            </w:pPr>
            <w:r>
              <w:t>10.00</w:t>
            </w:r>
          </w:p>
        </w:tc>
      </w:tr>
      <w:tr w:rsidR="00D94935" w14:paraId="5E75DA45" w14:textId="77777777" w:rsidTr="003A681D">
        <w:trPr>
          <w:cantSplit/>
        </w:trPr>
        <w:tc>
          <w:tcPr>
            <w:tcW w:w="1200" w:type="dxa"/>
          </w:tcPr>
          <w:p w14:paraId="533CE09E" w14:textId="77777777" w:rsidR="00D94935" w:rsidRDefault="00D94935" w:rsidP="003A681D">
            <w:pPr>
              <w:pStyle w:val="TableText"/>
            </w:pPr>
            <w:r>
              <w:t>2</w:t>
            </w:r>
          </w:p>
        </w:tc>
        <w:tc>
          <w:tcPr>
            <w:tcW w:w="4308" w:type="dxa"/>
          </w:tcPr>
          <w:p w14:paraId="6181EE6E" w14:textId="77777777" w:rsidR="00D94935" w:rsidRDefault="00D94935" w:rsidP="003A681D">
            <w:pPr>
              <w:pStyle w:val="TableText"/>
            </w:pPr>
            <w:r>
              <w:t>1 May 1986 to 30 June 1990</w:t>
            </w:r>
          </w:p>
        </w:tc>
        <w:tc>
          <w:tcPr>
            <w:tcW w:w="2014" w:type="dxa"/>
          </w:tcPr>
          <w:p w14:paraId="50A4D46B" w14:textId="77777777" w:rsidR="00D94935" w:rsidRDefault="00D94935" w:rsidP="003A681D">
            <w:pPr>
              <w:pStyle w:val="TableText"/>
            </w:pPr>
            <w:r>
              <w:t>15.00</w:t>
            </w:r>
          </w:p>
        </w:tc>
      </w:tr>
      <w:tr w:rsidR="00D94935" w14:paraId="23DD3C08" w14:textId="77777777" w:rsidTr="003A681D">
        <w:trPr>
          <w:cantSplit/>
        </w:trPr>
        <w:tc>
          <w:tcPr>
            <w:tcW w:w="1200" w:type="dxa"/>
          </w:tcPr>
          <w:p w14:paraId="6A437B41" w14:textId="77777777" w:rsidR="00D94935" w:rsidRDefault="00D94935" w:rsidP="003A681D">
            <w:pPr>
              <w:pStyle w:val="TableText"/>
            </w:pPr>
            <w:r>
              <w:t>3</w:t>
            </w:r>
          </w:p>
        </w:tc>
        <w:tc>
          <w:tcPr>
            <w:tcW w:w="4308" w:type="dxa"/>
          </w:tcPr>
          <w:p w14:paraId="39DC65EC" w14:textId="77777777" w:rsidR="00D94935" w:rsidRDefault="00D94935" w:rsidP="003A681D">
            <w:pPr>
              <w:pStyle w:val="TableText"/>
            </w:pPr>
            <w:r>
              <w:t>1 July 1990 to 31 December 1991</w:t>
            </w:r>
          </w:p>
        </w:tc>
        <w:tc>
          <w:tcPr>
            <w:tcW w:w="2014" w:type="dxa"/>
          </w:tcPr>
          <w:p w14:paraId="573EEB7F" w14:textId="77777777" w:rsidR="00D94935" w:rsidRDefault="00D94935" w:rsidP="003A681D">
            <w:pPr>
              <w:pStyle w:val="TableText"/>
            </w:pPr>
            <w:r>
              <w:t>20.00</w:t>
            </w:r>
          </w:p>
        </w:tc>
      </w:tr>
      <w:tr w:rsidR="00D94935" w14:paraId="43E64A51" w14:textId="77777777" w:rsidTr="003A681D">
        <w:trPr>
          <w:cantSplit/>
        </w:trPr>
        <w:tc>
          <w:tcPr>
            <w:tcW w:w="1200" w:type="dxa"/>
          </w:tcPr>
          <w:p w14:paraId="7954D106" w14:textId="77777777" w:rsidR="00D94935" w:rsidRDefault="00D94935" w:rsidP="003A681D">
            <w:pPr>
              <w:pStyle w:val="TableText"/>
            </w:pPr>
            <w:r>
              <w:t>4</w:t>
            </w:r>
          </w:p>
        </w:tc>
        <w:tc>
          <w:tcPr>
            <w:tcW w:w="4308" w:type="dxa"/>
          </w:tcPr>
          <w:p w14:paraId="45E3D661" w14:textId="77777777" w:rsidR="00D94935" w:rsidRDefault="00D94935" w:rsidP="003A681D">
            <w:pPr>
              <w:pStyle w:val="TableText"/>
            </w:pPr>
            <w:r>
              <w:t>1 January 1992 to 30 June 1993</w:t>
            </w:r>
          </w:p>
        </w:tc>
        <w:tc>
          <w:tcPr>
            <w:tcW w:w="2014" w:type="dxa"/>
          </w:tcPr>
          <w:p w14:paraId="50A4232D" w14:textId="77777777" w:rsidR="00D94935" w:rsidRDefault="00D94935" w:rsidP="003A681D">
            <w:pPr>
              <w:pStyle w:val="TableText"/>
            </w:pPr>
            <w:r>
              <w:t>15.00</w:t>
            </w:r>
          </w:p>
        </w:tc>
      </w:tr>
      <w:tr w:rsidR="00D94935" w14:paraId="086095E8" w14:textId="77777777" w:rsidTr="003A681D">
        <w:trPr>
          <w:cantSplit/>
        </w:trPr>
        <w:tc>
          <w:tcPr>
            <w:tcW w:w="1200" w:type="dxa"/>
          </w:tcPr>
          <w:p w14:paraId="74BDDE83" w14:textId="77777777" w:rsidR="00D94935" w:rsidRDefault="00D94935" w:rsidP="003A681D">
            <w:pPr>
              <w:pStyle w:val="TableText"/>
            </w:pPr>
            <w:r>
              <w:t>5</w:t>
            </w:r>
          </w:p>
        </w:tc>
        <w:tc>
          <w:tcPr>
            <w:tcW w:w="4308" w:type="dxa"/>
          </w:tcPr>
          <w:p w14:paraId="330E46AB" w14:textId="77777777" w:rsidR="00D94935" w:rsidRDefault="00D94935" w:rsidP="003A681D">
            <w:pPr>
              <w:pStyle w:val="TableText"/>
            </w:pPr>
            <w:r>
              <w:t>1 July 1993 to 30 April 2001</w:t>
            </w:r>
          </w:p>
        </w:tc>
        <w:tc>
          <w:tcPr>
            <w:tcW w:w="2014" w:type="dxa"/>
          </w:tcPr>
          <w:p w14:paraId="45B9EA5C" w14:textId="77777777" w:rsidR="00D94935" w:rsidRDefault="00D94935" w:rsidP="003A681D">
            <w:pPr>
              <w:pStyle w:val="TableText"/>
            </w:pPr>
            <w:r>
              <w:t>12.00</w:t>
            </w:r>
          </w:p>
        </w:tc>
      </w:tr>
      <w:tr w:rsidR="00D94935" w14:paraId="1CCCB8C1" w14:textId="77777777" w:rsidTr="003A681D">
        <w:trPr>
          <w:cantSplit/>
        </w:trPr>
        <w:tc>
          <w:tcPr>
            <w:tcW w:w="1200" w:type="dxa"/>
          </w:tcPr>
          <w:p w14:paraId="7C638785" w14:textId="77777777" w:rsidR="00D94935" w:rsidRDefault="00D94935" w:rsidP="003A681D">
            <w:pPr>
              <w:pStyle w:val="Amainreturn"/>
              <w:ind w:left="0"/>
            </w:pPr>
            <w:r>
              <w:t>6</w:t>
            </w:r>
          </w:p>
        </w:tc>
        <w:tc>
          <w:tcPr>
            <w:tcW w:w="4308" w:type="dxa"/>
          </w:tcPr>
          <w:p w14:paraId="1152F9E6" w14:textId="77777777" w:rsidR="00D94935" w:rsidRDefault="00D94935" w:rsidP="003A681D">
            <w:pPr>
              <w:pStyle w:val="Amainreturn"/>
              <w:ind w:left="0"/>
            </w:pPr>
            <w:r>
              <w:t>1 May 2001 to 9 January 2005</w:t>
            </w:r>
          </w:p>
        </w:tc>
        <w:tc>
          <w:tcPr>
            <w:tcW w:w="2014" w:type="dxa"/>
          </w:tcPr>
          <w:p w14:paraId="37499458" w14:textId="77777777" w:rsidR="00D94935" w:rsidRDefault="00D94935" w:rsidP="003A681D">
            <w:pPr>
              <w:pStyle w:val="Amainreturn"/>
              <w:ind w:left="0"/>
            </w:pPr>
            <w:r>
              <w:t>11.00</w:t>
            </w:r>
          </w:p>
        </w:tc>
      </w:tr>
      <w:tr w:rsidR="00D94935" w14:paraId="4D2A3701" w14:textId="77777777" w:rsidTr="003A681D">
        <w:trPr>
          <w:cantSplit/>
        </w:trPr>
        <w:tc>
          <w:tcPr>
            <w:tcW w:w="1200" w:type="dxa"/>
          </w:tcPr>
          <w:p w14:paraId="74D89435" w14:textId="77777777" w:rsidR="00D94935" w:rsidRDefault="00D94935" w:rsidP="003A681D">
            <w:pPr>
              <w:pStyle w:val="Amainreturn"/>
              <w:ind w:left="0"/>
            </w:pPr>
            <w:r>
              <w:t>7</w:t>
            </w:r>
          </w:p>
        </w:tc>
        <w:tc>
          <w:tcPr>
            <w:tcW w:w="4308" w:type="dxa"/>
          </w:tcPr>
          <w:p w14:paraId="33BABC20" w14:textId="77777777" w:rsidR="00D94935" w:rsidRDefault="00D94935" w:rsidP="003A681D">
            <w:pPr>
              <w:pStyle w:val="Amainreturn"/>
              <w:ind w:left="0"/>
            </w:pPr>
            <w:r w:rsidRPr="00DC6DB8">
              <w:t>10 January 2005 to 30 June 2010</w:t>
            </w:r>
          </w:p>
        </w:tc>
        <w:tc>
          <w:tcPr>
            <w:tcW w:w="2014" w:type="dxa"/>
          </w:tcPr>
          <w:p w14:paraId="1DCFEFAB" w14:textId="77777777" w:rsidR="00D94935" w:rsidRDefault="00D94935" w:rsidP="003A681D">
            <w:pPr>
              <w:pStyle w:val="Amainreturn"/>
              <w:ind w:left="0"/>
            </w:pPr>
            <w:r>
              <w:t>11.00</w:t>
            </w:r>
          </w:p>
        </w:tc>
      </w:tr>
    </w:tbl>
    <w:p w14:paraId="678D10EE" w14:textId="77777777" w:rsidR="00D94935" w:rsidRPr="00DC6DB8" w:rsidRDefault="00D94935" w:rsidP="00D94935">
      <w:pPr>
        <w:pStyle w:val="Schclauseheading"/>
      </w:pPr>
      <w:bookmarkStart w:id="1910" w:name="_Toc185515526"/>
      <w:r w:rsidRPr="00C8328B">
        <w:rPr>
          <w:rStyle w:val="CharSectNo"/>
        </w:rPr>
        <w:t>2.3</w:t>
      </w:r>
      <w:r w:rsidRPr="00DC6DB8">
        <w:tab/>
        <w:t>Interest on judgment after 30 June 2010—Supreme Court</w:t>
      </w:r>
      <w:bookmarkEnd w:id="1910"/>
    </w:p>
    <w:p w14:paraId="29CF660F" w14:textId="77777777" w:rsidR="00D94935" w:rsidRPr="00DC6DB8" w:rsidRDefault="00D94935" w:rsidP="00D94935">
      <w:pPr>
        <w:pStyle w:val="Amainreturn"/>
      </w:pPr>
      <w:r w:rsidRPr="00DC6DB8">
        <w:t>For the Supreme Court, the rate of interest on judgment for a period after 30 June 2010 is—</w:t>
      </w:r>
    </w:p>
    <w:p w14:paraId="148B20FF"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387D9E6B" w14:textId="77777777"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14:paraId="46334929" w14:textId="77777777"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D1871AC" w14:textId="77777777" w:rsidTr="003A681D">
        <w:trPr>
          <w:cantSplit/>
          <w:tblHeader/>
        </w:trPr>
        <w:tc>
          <w:tcPr>
            <w:tcW w:w="1200" w:type="dxa"/>
          </w:tcPr>
          <w:p w14:paraId="388A7F04" w14:textId="77777777" w:rsidR="00D94935" w:rsidRDefault="00D94935" w:rsidP="003A681D">
            <w:pPr>
              <w:pStyle w:val="TableColHd"/>
            </w:pPr>
            <w:r>
              <w:t>column 1</w:t>
            </w:r>
          </w:p>
          <w:p w14:paraId="34377D1E" w14:textId="77777777" w:rsidR="00D94935" w:rsidRDefault="00D94935" w:rsidP="003A681D">
            <w:pPr>
              <w:pStyle w:val="TableColHd"/>
            </w:pPr>
            <w:r>
              <w:t>item</w:t>
            </w:r>
          </w:p>
        </w:tc>
        <w:tc>
          <w:tcPr>
            <w:tcW w:w="4308" w:type="dxa"/>
          </w:tcPr>
          <w:p w14:paraId="4FC7B85F" w14:textId="77777777" w:rsidR="00D94935" w:rsidRDefault="00D94935" w:rsidP="003A681D">
            <w:pPr>
              <w:pStyle w:val="TableColHd"/>
            </w:pPr>
            <w:r>
              <w:t>column 2</w:t>
            </w:r>
          </w:p>
          <w:p w14:paraId="3BF8F180" w14:textId="77777777" w:rsidR="00D94935" w:rsidRDefault="00D94935" w:rsidP="003A681D">
            <w:pPr>
              <w:pStyle w:val="TableColHd"/>
            </w:pPr>
            <w:r>
              <w:t>period and case (if any)</w:t>
            </w:r>
          </w:p>
        </w:tc>
        <w:tc>
          <w:tcPr>
            <w:tcW w:w="2014" w:type="dxa"/>
          </w:tcPr>
          <w:p w14:paraId="58557EEF" w14:textId="77777777" w:rsidR="00D94935" w:rsidRDefault="00D94935" w:rsidP="003A681D">
            <w:pPr>
              <w:pStyle w:val="TableColHd"/>
            </w:pPr>
            <w:r>
              <w:t>column 3</w:t>
            </w:r>
          </w:p>
          <w:p w14:paraId="62F382F2" w14:textId="77777777" w:rsidR="00D94935" w:rsidRDefault="00D94935" w:rsidP="003A681D">
            <w:pPr>
              <w:pStyle w:val="TableColHd"/>
            </w:pPr>
            <w:r>
              <w:t>rate of interest</w:t>
            </w:r>
          </w:p>
          <w:p w14:paraId="32F35BE0" w14:textId="77777777" w:rsidR="00D94935" w:rsidRDefault="00D94935" w:rsidP="003A681D">
            <w:pPr>
              <w:pStyle w:val="TableColHd"/>
            </w:pPr>
            <w:r>
              <w:t>% per year</w:t>
            </w:r>
          </w:p>
        </w:tc>
      </w:tr>
      <w:tr w:rsidR="00D94935" w14:paraId="0B940145" w14:textId="77777777" w:rsidTr="003A681D">
        <w:trPr>
          <w:cantSplit/>
        </w:trPr>
        <w:tc>
          <w:tcPr>
            <w:tcW w:w="1200" w:type="dxa"/>
          </w:tcPr>
          <w:p w14:paraId="6DCDB065" w14:textId="77777777" w:rsidR="00D94935" w:rsidRDefault="00D94935" w:rsidP="003A681D">
            <w:pPr>
              <w:pStyle w:val="TableText"/>
            </w:pPr>
            <w:r>
              <w:t>1</w:t>
            </w:r>
          </w:p>
        </w:tc>
        <w:tc>
          <w:tcPr>
            <w:tcW w:w="4308" w:type="dxa"/>
          </w:tcPr>
          <w:p w14:paraId="06F4F587" w14:textId="77777777" w:rsidR="00D94935" w:rsidRDefault="00D94935" w:rsidP="003A681D">
            <w:pPr>
              <w:pStyle w:val="TableText"/>
              <w:keepNext/>
            </w:pPr>
            <w:r>
              <w:t>any period ending before 1 May 1986:</w:t>
            </w:r>
          </w:p>
          <w:p w14:paraId="7E7BDFA1"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13F2E67"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1FE41CA2" w14:textId="77777777" w:rsidR="00D94935" w:rsidRDefault="00D94935" w:rsidP="003A681D">
            <w:pPr>
              <w:pStyle w:val="TableText"/>
            </w:pPr>
          </w:p>
          <w:p w14:paraId="0D2B2608" w14:textId="77777777" w:rsidR="00D94935" w:rsidRDefault="00D94935" w:rsidP="003A681D">
            <w:pPr>
              <w:pStyle w:val="TableText"/>
              <w:spacing w:before="80"/>
            </w:pPr>
            <w:r>
              <w:t>5.00</w:t>
            </w:r>
            <w:r>
              <w:br/>
            </w:r>
          </w:p>
          <w:p w14:paraId="4B5EB6B4" w14:textId="77777777" w:rsidR="00D94935" w:rsidRDefault="00D94935" w:rsidP="003A681D">
            <w:pPr>
              <w:pStyle w:val="TableText"/>
              <w:spacing w:before="80"/>
            </w:pPr>
            <w:r>
              <w:t>10.00</w:t>
            </w:r>
          </w:p>
        </w:tc>
      </w:tr>
      <w:tr w:rsidR="00D94935" w14:paraId="717F05FA" w14:textId="77777777" w:rsidTr="003A681D">
        <w:trPr>
          <w:cantSplit/>
        </w:trPr>
        <w:tc>
          <w:tcPr>
            <w:tcW w:w="1200" w:type="dxa"/>
          </w:tcPr>
          <w:p w14:paraId="48015A6E" w14:textId="77777777" w:rsidR="00D94935" w:rsidRDefault="00D94935" w:rsidP="003A681D">
            <w:pPr>
              <w:pStyle w:val="TableText"/>
            </w:pPr>
            <w:r>
              <w:t>2</w:t>
            </w:r>
          </w:p>
        </w:tc>
        <w:tc>
          <w:tcPr>
            <w:tcW w:w="4308" w:type="dxa"/>
          </w:tcPr>
          <w:p w14:paraId="76F707CC" w14:textId="77777777" w:rsidR="00D94935" w:rsidRDefault="00D94935" w:rsidP="003A681D">
            <w:pPr>
              <w:pStyle w:val="TableText"/>
            </w:pPr>
            <w:r>
              <w:t>1 May 1986 to 30 June 1990</w:t>
            </w:r>
          </w:p>
        </w:tc>
        <w:tc>
          <w:tcPr>
            <w:tcW w:w="2014" w:type="dxa"/>
          </w:tcPr>
          <w:p w14:paraId="7DF31524" w14:textId="77777777" w:rsidR="00D94935" w:rsidRDefault="00D94935" w:rsidP="003A681D">
            <w:pPr>
              <w:pStyle w:val="TableText"/>
            </w:pPr>
            <w:r>
              <w:t>15.00</w:t>
            </w:r>
          </w:p>
        </w:tc>
      </w:tr>
      <w:tr w:rsidR="00D94935" w14:paraId="689EC418" w14:textId="77777777" w:rsidTr="003A681D">
        <w:trPr>
          <w:cantSplit/>
        </w:trPr>
        <w:tc>
          <w:tcPr>
            <w:tcW w:w="1200" w:type="dxa"/>
          </w:tcPr>
          <w:p w14:paraId="31154A6C" w14:textId="77777777" w:rsidR="00D94935" w:rsidRDefault="00D94935" w:rsidP="003A681D">
            <w:pPr>
              <w:pStyle w:val="TableText"/>
            </w:pPr>
            <w:r>
              <w:t>3</w:t>
            </w:r>
          </w:p>
        </w:tc>
        <w:tc>
          <w:tcPr>
            <w:tcW w:w="4308" w:type="dxa"/>
          </w:tcPr>
          <w:p w14:paraId="18D4DBCA" w14:textId="77777777" w:rsidR="00D94935" w:rsidRDefault="00D94935" w:rsidP="003A681D">
            <w:pPr>
              <w:pStyle w:val="TableText"/>
            </w:pPr>
            <w:r>
              <w:t>1 July 1990 to 31 December 1991</w:t>
            </w:r>
          </w:p>
        </w:tc>
        <w:tc>
          <w:tcPr>
            <w:tcW w:w="2014" w:type="dxa"/>
          </w:tcPr>
          <w:p w14:paraId="3900A3F5" w14:textId="77777777" w:rsidR="00D94935" w:rsidRDefault="00D94935" w:rsidP="003A681D">
            <w:pPr>
              <w:pStyle w:val="TableText"/>
            </w:pPr>
            <w:r>
              <w:t>20.00</w:t>
            </w:r>
          </w:p>
        </w:tc>
      </w:tr>
      <w:tr w:rsidR="00D94935" w14:paraId="47F34DBE" w14:textId="77777777" w:rsidTr="003A681D">
        <w:trPr>
          <w:cantSplit/>
        </w:trPr>
        <w:tc>
          <w:tcPr>
            <w:tcW w:w="1200" w:type="dxa"/>
          </w:tcPr>
          <w:p w14:paraId="2DD5C19C" w14:textId="77777777" w:rsidR="00D94935" w:rsidRDefault="00D94935" w:rsidP="003A681D">
            <w:pPr>
              <w:pStyle w:val="TableText"/>
            </w:pPr>
            <w:r>
              <w:t>4</w:t>
            </w:r>
          </w:p>
        </w:tc>
        <w:tc>
          <w:tcPr>
            <w:tcW w:w="4308" w:type="dxa"/>
          </w:tcPr>
          <w:p w14:paraId="7C713EEE" w14:textId="77777777" w:rsidR="00D94935" w:rsidRDefault="00D94935" w:rsidP="003A681D">
            <w:pPr>
              <w:pStyle w:val="TableText"/>
            </w:pPr>
            <w:r>
              <w:t>1 January 1992 to 30 June 1993</w:t>
            </w:r>
          </w:p>
        </w:tc>
        <w:tc>
          <w:tcPr>
            <w:tcW w:w="2014" w:type="dxa"/>
          </w:tcPr>
          <w:p w14:paraId="1F8838AF" w14:textId="77777777" w:rsidR="00D94935" w:rsidRDefault="00D94935" w:rsidP="003A681D">
            <w:pPr>
              <w:pStyle w:val="TableText"/>
            </w:pPr>
            <w:r>
              <w:t>15.00</w:t>
            </w:r>
          </w:p>
        </w:tc>
      </w:tr>
      <w:tr w:rsidR="00D94935" w14:paraId="1FB9801E" w14:textId="77777777" w:rsidTr="003A681D">
        <w:trPr>
          <w:cantSplit/>
        </w:trPr>
        <w:tc>
          <w:tcPr>
            <w:tcW w:w="1200" w:type="dxa"/>
          </w:tcPr>
          <w:p w14:paraId="5BFA4664" w14:textId="77777777" w:rsidR="00D94935" w:rsidRDefault="00D94935" w:rsidP="003A681D">
            <w:pPr>
              <w:pStyle w:val="TableText"/>
            </w:pPr>
            <w:r>
              <w:t>5</w:t>
            </w:r>
          </w:p>
        </w:tc>
        <w:tc>
          <w:tcPr>
            <w:tcW w:w="4308" w:type="dxa"/>
          </w:tcPr>
          <w:p w14:paraId="2B6B5866" w14:textId="77777777" w:rsidR="00D94935" w:rsidRDefault="00D94935" w:rsidP="003A681D">
            <w:pPr>
              <w:pStyle w:val="TableText"/>
            </w:pPr>
            <w:r>
              <w:t>1 July 1993 to 9 April 1995</w:t>
            </w:r>
          </w:p>
        </w:tc>
        <w:tc>
          <w:tcPr>
            <w:tcW w:w="2014" w:type="dxa"/>
          </w:tcPr>
          <w:p w14:paraId="502B1460" w14:textId="77777777" w:rsidR="00D94935" w:rsidRDefault="00D94935" w:rsidP="003A681D">
            <w:pPr>
              <w:pStyle w:val="TableText"/>
            </w:pPr>
            <w:r>
              <w:t>12.00</w:t>
            </w:r>
          </w:p>
        </w:tc>
      </w:tr>
      <w:tr w:rsidR="00D94935" w14:paraId="0EE94A27" w14:textId="77777777" w:rsidTr="003A681D">
        <w:trPr>
          <w:cantSplit/>
        </w:trPr>
        <w:tc>
          <w:tcPr>
            <w:tcW w:w="1200" w:type="dxa"/>
          </w:tcPr>
          <w:p w14:paraId="2A74BF30" w14:textId="77777777" w:rsidR="00D94935" w:rsidRDefault="00D94935" w:rsidP="003A681D">
            <w:pPr>
              <w:pStyle w:val="Amainreturn"/>
              <w:ind w:left="0"/>
            </w:pPr>
            <w:r>
              <w:t>6</w:t>
            </w:r>
          </w:p>
        </w:tc>
        <w:tc>
          <w:tcPr>
            <w:tcW w:w="4308" w:type="dxa"/>
          </w:tcPr>
          <w:p w14:paraId="5BD7686E" w14:textId="77777777" w:rsidR="00D94935" w:rsidRDefault="00D94935" w:rsidP="003A681D">
            <w:pPr>
              <w:pStyle w:val="Amainreturn"/>
              <w:ind w:left="0"/>
            </w:pPr>
            <w:r>
              <w:t>10 April 1995 to 31 July 1995</w:t>
            </w:r>
          </w:p>
        </w:tc>
        <w:tc>
          <w:tcPr>
            <w:tcW w:w="2014" w:type="dxa"/>
          </w:tcPr>
          <w:p w14:paraId="71CE358D" w14:textId="77777777" w:rsidR="00D94935" w:rsidRDefault="00D94935" w:rsidP="003A681D">
            <w:pPr>
              <w:pStyle w:val="Amainreturn"/>
              <w:ind w:left="0"/>
            </w:pPr>
            <w:r>
              <w:t>9.00</w:t>
            </w:r>
          </w:p>
        </w:tc>
      </w:tr>
      <w:tr w:rsidR="00D94935" w14:paraId="0F534156" w14:textId="77777777" w:rsidTr="003A681D">
        <w:trPr>
          <w:cantSplit/>
        </w:trPr>
        <w:tc>
          <w:tcPr>
            <w:tcW w:w="1200" w:type="dxa"/>
          </w:tcPr>
          <w:p w14:paraId="26CE6B3F" w14:textId="77777777" w:rsidR="00D94935" w:rsidRDefault="00D94935" w:rsidP="003A681D">
            <w:pPr>
              <w:pStyle w:val="Amainreturn"/>
              <w:ind w:left="0"/>
            </w:pPr>
            <w:r>
              <w:t>7</w:t>
            </w:r>
          </w:p>
        </w:tc>
        <w:tc>
          <w:tcPr>
            <w:tcW w:w="4308" w:type="dxa"/>
          </w:tcPr>
          <w:p w14:paraId="57F528C0" w14:textId="77777777" w:rsidR="00D94935" w:rsidRDefault="00D94935" w:rsidP="003A681D">
            <w:pPr>
              <w:pStyle w:val="Amainreturn"/>
              <w:ind w:left="0"/>
            </w:pPr>
            <w:r>
              <w:t>1 August 1995 to 31 March 1997</w:t>
            </w:r>
          </w:p>
        </w:tc>
        <w:tc>
          <w:tcPr>
            <w:tcW w:w="2014" w:type="dxa"/>
          </w:tcPr>
          <w:p w14:paraId="732937EC" w14:textId="77777777" w:rsidR="00D94935" w:rsidRDefault="00D94935" w:rsidP="003A681D">
            <w:pPr>
              <w:pStyle w:val="Amainreturn"/>
              <w:ind w:left="0"/>
            </w:pPr>
            <w:r>
              <w:t>10.75</w:t>
            </w:r>
          </w:p>
        </w:tc>
      </w:tr>
      <w:tr w:rsidR="00D94935" w14:paraId="1A3F7968" w14:textId="77777777" w:rsidTr="003A681D">
        <w:trPr>
          <w:cantSplit/>
        </w:trPr>
        <w:tc>
          <w:tcPr>
            <w:tcW w:w="1200" w:type="dxa"/>
          </w:tcPr>
          <w:p w14:paraId="07FE499A" w14:textId="77777777" w:rsidR="00D94935" w:rsidRDefault="00D94935" w:rsidP="003A681D">
            <w:pPr>
              <w:pStyle w:val="Amainreturn"/>
              <w:ind w:left="0"/>
            </w:pPr>
            <w:r>
              <w:t>8</w:t>
            </w:r>
          </w:p>
        </w:tc>
        <w:tc>
          <w:tcPr>
            <w:tcW w:w="4308" w:type="dxa"/>
          </w:tcPr>
          <w:p w14:paraId="415A45C1" w14:textId="77777777" w:rsidR="00D94935" w:rsidRDefault="00D94935" w:rsidP="003A681D">
            <w:pPr>
              <w:pStyle w:val="Amainreturn"/>
              <w:ind w:left="0"/>
            </w:pPr>
            <w:r>
              <w:t>1 April 1997 to 30 April 1998</w:t>
            </w:r>
          </w:p>
        </w:tc>
        <w:tc>
          <w:tcPr>
            <w:tcW w:w="2014" w:type="dxa"/>
          </w:tcPr>
          <w:p w14:paraId="3F32C86B" w14:textId="77777777" w:rsidR="00D94935" w:rsidRDefault="00D94935" w:rsidP="003A681D">
            <w:pPr>
              <w:pStyle w:val="Amainreturn"/>
              <w:ind w:left="0"/>
            </w:pPr>
            <w:r>
              <w:t>9.55</w:t>
            </w:r>
          </w:p>
        </w:tc>
      </w:tr>
      <w:tr w:rsidR="00D94935" w14:paraId="65A1710B" w14:textId="77777777" w:rsidTr="003A681D">
        <w:trPr>
          <w:cantSplit/>
        </w:trPr>
        <w:tc>
          <w:tcPr>
            <w:tcW w:w="1200" w:type="dxa"/>
          </w:tcPr>
          <w:p w14:paraId="102137AB" w14:textId="77777777" w:rsidR="00D94935" w:rsidRDefault="00D94935" w:rsidP="003A681D">
            <w:pPr>
              <w:pStyle w:val="Amainreturn"/>
              <w:ind w:left="0"/>
            </w:pPr>
            <w:r>
              <w:t>9</w:t>
            </w:r>
          </w:p>
        </w:tc>
        <w:tc>
          <w:tcPr>
            <w:tcW w:w="4308" w:type="dxa"/>
          </w:tcPr>
          <w:p w14:paraId="65614707" w14:textId="77777777" w:rsidR="00D94935" w:rsidRDefault="00D94935" w:rsidP="003A681D">
            <w:pPr>
              <w:pStyle w:val="Amainreturn"/>
              <w:ind w:left="0"/>
            </w:pPr>
            <w:r>
              <w:t>1 May 1998 to 9 January 2005</w:t>
            </w:r>
          </w:p>
        </w:tc>
        <w:tc>
          <w:tcPr>
            <w:tcW w:w="2014" w:type="dxa"/>
          </w:tcPr>
          <w:p w14:paraId="5FEEC250" w14:textId="77777777" w:rsidR="00D94935" w:rsidRDefault="00D94935" w:rsidP="003A681D">
            <w:pPr>
              <w:pStyle w:val="Amainreturn"/>
              <w:ind w:left="0"/>
            </w:pPr>
            <w:r>
              <w:t>8.45</w:t>
            </w:r>
          </w:p>
        </w:tc>
      </w:tr>
      <w:tr w:rsidR="00D94935" w14:paraId="5482F554" w14:textId="77777777" w:rsidTr="003A681D">
        <w:trPr>
          <w:cantSplit/>
        </w:trPr>
        <w:tc>
          <w:tcPr>
            <w:tcW w:w="1200" w:type="dxa"/>
          </w:tcPr>
          <w:p w14:paraId="7D7AA81B" w14:textId="77777777" w:rsidR="00D94935" w:rsidRDefault="00D94935" w:rsidP="003A681D">
            <w:pPr>
              <w:pStyle w:val="Amainreturn"/>
              <w:ind w:left="0"/>
            </w:pPr>
            <w:r>
              <w:t>10</w:t>
            </w:r>
          </w:p>
        </w:tc>
        <w:tc>
          <w:tcPr>
            <w:tcW w:w="4308" w:type="dxa"/>
          </w:tcPr>
          <w:p w14:paraId="65901056" w14:textId="77777777" w:rsidR="00D94935" w:rsidRDefault="00D94935" w:rsidP="003A681D">
            <w:pPr>
              <w:pStyle w:val="Amainreturn"/>
              <w:ind w:left="0"/>
            </w:pPr>
            <w:r w:rsidRPr="00DC6DB8">
              <w:t>10 January 2005 to 30 June 2010</w:t>
            </w:r>
          </w:p>
        </w:tc>
        <w:tc>
          <w:tcPr>
            <w:tcW w:w="2014" w:type="dxa"/>
          </w:tcPr>
          <w:p w14:paraId="62CFAF3F" w14:textId="77777777" w:rsidR="00D94935" w:rsidRDefault="00D94935" w:rsidP="003A681D">
            <w:pPr>
              <w:pStyle w:val="Amainreturn"/>
              <w:ind w:left="0"/>
            </w:pPr>
            <w:r>
              <w:t>11.00</w:t>
            </w:r>
          </w:p>
        </w:tc>
      </w:tr>
    </w:tbl>
    <w:p w14:paraId="3F0A7181" w14:textId="77777777" w:rsidR="00D94935" w:rsidRPr="00DC6DB8" w:rsidRDefault="00D94935" w:rsidP="00D94935">
      <w:pPr>
        <w:pStyle w:val="Schclauseheading"/>
      </w:pPr>
      <w:bookmarkStart w:id="1911" w:name="_Toc185515527"/>
      <w:r w:rsidRPr="00C8328B">
        <w:rPr>
          <w:rStyle w:val="CharSectNo"/>
        </w:rPr>
        <w:t>2.4</w:t>
      </w:r>
      <w:r w:rsidRPr="00DC6DB8">
        <w:tab/>
        <w:t>Interest on judgment after 30 June 2010—Magistrates Court</w:t>
      </w:r>
      <w:bookmarkEnd w:id="1911"/>
    </w:p>
    <w:p w14:paraId="0EB1417A" w14:textId="77777777" w:rsidR="00D94935" w:rsidRPr="00DC6DB8" w:rsidRDefault="00D94935" w:rsidP="00D94935">
      <w:pPr>
        <w:pStyle w:val="Amainreturn"/>
      </w:pPr>
      <w:r w:rsidRPr="00DC6DB8">
        <w:t>For the Magistrates Court, the rate of interest on judgment for a period after 30 June 2010 is—</w:t>
      </w:r>
    </w:p>
    <w:p w14:paraId="4129901B"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728A2AC8" w14:textId="77777777"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14:paraId="1AA89D9F" w14:textId="77777777" w:rsidR="00135326" w:rsidRDefault="00135326">
      <w:pPr>
        <w:pStyle w:val="03Schedule"/>
        <w:sectPr w:rsidR="00135326" w:rsidSect="00CD3DF7">
          <w:headerReference w:type="even" r:id="rId958"/>
          <w:headerReference w:type="default" r:id="rId959"/>
          <w:footerReference w:type="even" r:id="rId960"/>
          <w:footerReference w:type="default" r:id="rId961"/>
          <w:type w:val="continuous"/>
          <w:pgSz w:w="11907" w:h="16839" w:code="9"/>
          <w:pgMar w:top="3880" w:right="1900" w:bottom="3100" w:left="2300" w:header="2280" w:footer="1760" w:gutter="0"/>
          <w:cols w:space="720"/>
        </w:sectPr>
      </w:pPr>
    </w:p>
    <w:p w14:paraId="62491A3C" w14:textId="77777777" w:rsidR="00EF08E1" w:rsidRPr="00EF08E1" w:rsidRDefault="00EF08E1" w:rsidP="00EF08E1">
      <w:pPr>
        <w:pStyle w:val="PageBreak"/>
      </w:pPr>
      <w:r w:rsidRPr="00EF08E1">
        <w:br w:type="page"/>
      </w:r>
    </w:p>
    <w:p w14:paraId="1CEC4024" w14:textId="0D5A750D" w:rsidR="00E322C7" w:rsidRPr="008D5ED0" w:rsidRDefault="00E322C7" w:rsidP="008B7FC6">
      <w:pPr>
        <w:pStyle w:val="Sched-heading"/>
      </w:pPr>
      <w:bookmarkStart w:id="1912" w:name="_Toc185515528"/>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12"/>
    </w:p>
    <w:p w14:paraId="2E656A50" w14:textId="77777777" w:rsidR="00E322C7" w:rsidRPr="008D5ED0" w:rsidRDefault="00E322C7" w:rsidP="008B7FC6">
      <w:pPr>
        <w:pStyle w:val="Sched-Part"/>
      </w:pPr>
      <w:bookmarkStart w:id="1913" w:name="_Toc185515529"/>
      <w:r w:rsidRPr="008D5ED0">
        <w:rPr>
          <w:rStyle w:val="CharPartNo"/>
        </w:rPr>
        <w:t>Part 3.1</w:t>
      </w:r>
      <w:r w:rsidRPr="008B7490">
        <w:rPr>
          <w:color w:val="000000"/>
        </w:rPr>
        <w:tab/>
      </w:r>
      <w:r w:rsidRPr="008D5ED0">
        <w:rPr>
          <w:rStyle w:val="CharPartText"/>
          <w:color w:val="000000"/>
        </w:rPr>
        <w:t>Claim for debt or liquidated demand</w:t>
      </w:r>
      <w:bookmarkEnd w:id="1913"/>
    </w:p>
    <w:p w14:paraId="03AC529D" w14:textId="77777777" w:rsidR="00E322C7" w:rsidRPr="008B7490" w:rsidRDefault="00E322C7" w:rsidP="00E322C7">
      <w:pPr>
        <w:pStyle w:val="ref"/>
        <w:rPr>
          <w:color w:val="000000"/>
        </w:rPr>
      </w:pPr>
      <w:r w:rsidRPr="008B7490">
        <w:rPr>
          <w:color w:val="000000"/>
        </w:rPr>
        <w:t>(see r 51, r 304 and r 1100)</w:t>
      </w:r>
    </w:p>
    <w:p w14:paraId="04E9F275" w14:textId="77777777"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B452EB0" w14:textId="77777777" w:rsidTr="00E322C7">
        <w:trPr>
          <w:cantSplit/>
          <w:tblHeader/>
        </w:trPr>
        <w:tc>
          <w:tcPr>
            <w:tcW w:w="1200" w:type="dxa"/>
            <w:tcBorders>
              <w:bottom w:val="single" w:sz="4" w:space="0" w:color="auto"/>
            </w:tcBorders>
          </w:tcPr>
          <w:p w14:paraId="1E07266E" w14:textId="77777777" w:rsidR="00E322C7" w:rsidRPr="008B7490" w:rsidRDefault="00E322C7" w:rsidP="00E322C7">
            <w:pPr>
              <w:pStyle w:val="TableColHd"/>
              <w:rPr>
                <w:color w:val="000000"/>
              </w:rPr>
            </w:pPr>
            <w:r w:rsidRPr="008B7490">
              <w:rPr>
                <w:color w:val="000000"/>
              </w:rPr>
              <w:t>column 1</w:t>
            </w:r>
          </w:p>
          <w:p w14:paraId="135A1F15"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367294C" w14:textId="77777777" w:rsidR="00E322C7" w:rsidRPr="008B7490" w:rsidRDefault="00E322C7" w:rsidP="00E322C7">
            <w:pPr>
              <w:pStyle w:val="TableColHd"/>
              <w:rPr>
                <w:color w:val="000000"/>
              </w:rPr>
            </w:pPr>
            <w:r w:rsidRPr="008B7490">
              <w:rPr>
                <w:color w:val="000000"/>
              </w:rPr>
              <w:t>column 2</w:t>
            </w:r>
          </w:p>
          <w:p w14:paraId="27A7F2B9"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11759D4" w14:textId="77777777" w:rsidR="00E322C7" w:rsidRPr="008B7490" w:rsidRDefault="00E322C7" w:rsidP="00E322C7">
            <w:pPr>
              <w:pStyle w:val="TableColHd"/>
              <w:rPr>
                <w:color w:val="000000"/>
              </w:rPr>
            </w:pPr>
            <w:r w:rsidRPr="008B7490">
              <w:rPr>
                <w:color w:val="000000"/>
              </w:rPr>
              <w:t>column 3</w:t>
            </w:r>
          </w:p>
          <w:p w14:paraId="27DE03D1" w14:textId="77777777" w:rsidR="00E322C7" w:rsidRPr="008B7490" w:rsidRDefault="00E322C7" w:rsidP="00E322C7">
            <w:pPr>
              <w:pStyle w:val="TableColHd"/>
              <w:rPr>
                <w:color w:val="000000"/>
              </w:rPr>
            </w:pPr>
            <w:r w:rsidRPr="008B7490">
              <w:rPr>
                <w:color w:val="000000"/>
              </w:rPr>
              <w:t>prescribed amount ($)</w:t>
            </w:r>
          </w:p>
        </w:tc>
      </w:tr>
      <w:tr w:rsidR="00E322C7" w:rsidRPr="008B7490" w14:paraId="5BDE15B1" w14:textId="77777777" w:rsidTr="00E322C7">
        <w:trPr>
          <w:cantSplit/>
        </w:trPr>
        <w:tc>
          <w:tcPr>
            <w:tcW w:w="1200" w:type="dxa"/>
            <w:tcBorders>
              <w:top w:val="single" w:sz="4" w:space="0" w:color="auto"/>
            </w:tcBorders>
          </w:tcPr>
          <w:p w14:paraId="781CCD88"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0405D212"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6E58B329" w14:textId="77777777"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14:paraId="2E3E9285" w14:textId="77777777" w:rsidTr="00E322C7">
        <w:trPr>
          <w:cantSplit/>
        </w:trPr>
        <w:tc>
          <w:tcPr>
            <w:tcW w:w="1200" w:type="dxa"/>
          </w:tcPr>
          <w:p w14:paraId="71F3136B" w14:textId="77777777" w:rsidR="00E322C7" w:rsidRPr="008B7490" w:rsidRDefault="00E322C7" w:rsidP="00E322C7">
            <w:pPr>
              <w:pStyle w:val="TableText10"/>
              <w:rPr>
                <w:color w:val="000000"/>
              </w:rPr>
            </w:pPr>
            <w:r w:rsidRPr="008B7490">
              <w:rPr>
                <w:color w:val="000000"/>
              </w:rPr>
              <w:t>2</w:t>
            </w:r>
          </w:p>
        </w:tc>
        <w:tc>
          <w:tcPr>
            <w:tcW w:w="4266" w:type="dxa"/>
          </w:tcPr>
          <w:p w14:paraId="153CF433"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5E70F39C" w14:textId="77777777"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14:paraId="21F6B869" w14:textId="77777777" w:rsidTr="00E322C7">
        <w:trPr>
          <w:cantSplit/>
        </w:trPr>
        <w:tc>
          <w:tcPr>
            <w:tcW w:w="1200" w:type="dxa"/>
          </w:tcPr>
          <w:p w14:paraId="3187D2E8" w14:textId="77777777" w:rsidR="00E322C7" w:rsidRPr="008B7490" w:rsidRDefault="00E322C7" w:rsidP="00E322C7">
            <w:pPr>
              <w:pStyle w:val="TableText10"/>
              <w:rPr>
                <w:color w:val="000000"/>
              </w:rPr>
            </w:pPr>
            <w:r w:rsidRPr="008B7490">
              <w:rPr>
                <w:color w:val="000000"/>
              </w:rPr>
              <w:t>3</w:t>
            </w:r>
          </w:p>
        </w:tc>
        <w:tc>
          <w:tcPr>
            <w:tcW w:w="4266" w:type="dxa"/>
          </w:tcPr>
          <w:p w14:paraId="42B2D8E9"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6238392F" w14:textId="77777777"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14:paraId="3E8B83EB" w14:textId="77777777" w:rsidTr="00E322C7">
        <w:trPr>
          <w:cantSplit/>
        </w:trPr>
        <w:tc>
          <w:tcPr>
            <w:tcW w:w="1200" w:type="dxa"/>
          </w:tcPr>
          <w:p w14:paraId="110D630C" w14:textId="77777777" w:rsidR="00E322C7" w:rsidRPr="008B7490" w:rsidRDefault="00E322C7" w:rsidP="00E322C7">
            <w:pPr>
              <w:pStyle w:val="TableText10"/>
              <w:rPr>
                <w:color w:val="000000"/>
              </w:rPr>
            </w:pPr>
            <w:r w:rsidRPr="008B7490">
              <w:rPr>
                <w:color w:val="000000"/>
              </w:rPr>
              <w:t>4</w:t>
            </w:r>
          </w:p>
        </w:tc>
        <w:tc>
          <w:tcPr>
            <w:tcW w:w="4266" w:type="dxa"/>
          </w:tcPr>
          <w:p w14:paraId="499D811A"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3A6E8FB2" w14:textId="77777777"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14:paraId="700A5860" w14:textId="77777777" w:rsidTr="00E322C7">
        <w:trPr>
          <w:cantSplit/>
        </w:trPr>
        <w:tc>
          <w:tcPr>
            <w:tcW w:w="1200" w:type="dxa"/>
          </w:tcPr>
          <w:p w14:paraId="0950A990" w14:textId="77777777" w:rsidR="00E322C7" w:rsidRPr="008B7490" w:rsidRDefault="00E322C7" w:rsidP="00E322C7">
            <w:pPr>
              <w:pStyle w:val="TableText10"/>
              <w:rPr>
                <w:color w:val="000000"/>
              </w:rPr>
            </w:pPr>
            <w:r w:rsidRPr="008B7490">
              <w:rPr>
                <w:color w:val="000000"/>
              </w:rPr>
              <w:t>5</w:t>
            </w:r>
          </w:p>
        </w:tc>
        <w:tc>
          <w:tcPr>
            <w:tcW w:w="4266" w:type="dxa"/>
          </w:tcPr>
          <w:p w14:paraId="7685AEF5"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195EF4F"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14:paraId="668D56FB" w14:textId="77777777" w:rsidTr="00E322C7">
        <w:trPr>
          <w:cantSplit/>
        </w:trPr>
        <w:tc>
          <w:tcPr>
            <w:tcW w:w="1200" w:type="dxa"/>
          </w:tcPr>
          <w:p w14:paraId="57ED614C" w14:textId="77777777" w:rsidR="00E322C7" w:rsidRPr="008B7490" w:rsidRDefault="00E322C7" w:rsidP="00E322C7">
            <w:pPr>
              <w:pStyle w:val="TableText10"/>
              <w:rPr>
                <w:color w:val="000000"/>
              </w:rPr>
            </w:pPr>
            <w:r w:rsidRPr="008B7490">
              <w:rPr>
                <w:color w:val="000000"/>
              </w:rPr>
              <w:t>6</w:t>
            </w:r>
          </w:p>
        </w:tc>
        <w:tc>
          <w:tcPr>
            <w:tcW w:w="4266" w:type="dxa"/>
          </w:tcPr>
          <w:p w14:paraId="48BA80BE"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5E9D496"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14:paraId="574EC8E1" w14:textId="77777777" w:rsidR="00E322C7" w:rsidRPr="005220F8" w:rsidRDefault="00E322C7" w:rsidP="008B7FC6">
      <w:pPr>
        <w:pStyle w:val="Sched-Part"/>
        <w:rPr>
          <w:rStyle w:val="CharPartText"/>
        </w:rPr>
      </w:pPr>
      <w:bookmarkStart w:id="1914" w:name="_Toc185515530"/>
      <w:r w:rsidRPr="005220F8">
        <w:rPr>
          <w:rStyle w:val="CharPartNo"/>
        </w:rPr>
        <w:t>Part 3.2</w:t>
      </w:r>
      <w:r w:rsidRPr="008B7490">
        <w:rPr>
          <w:color w:val="000000"/>
        </w:rPr>
        <w:tab/>
      </w:r>
      <w:r w:rsidRPr="005220F8">
        <w:rPr>
          <w:rStyle w:val="CharPartText"/>
        </w:rPr>
        <w:t>Default judgment</w:t>
      </w:r>
      <w:bookmarkEnd w:id="1914"/>
    </w:p>
    <w:p w14:paraId="047D3696" w14:textId="77777777" w:rsidR="00E322C7" w:rsidRPr="008B7490" w:rsidRDefault="00E322C7" w:rsidP="00E322C7">
      <w:pPr>
        <w:pStyle w:val="ref"/>
        <w:keepNext/>
        <w:rPr>
          <w:color w:val="000000"/>
        </w:rPr>
      </w:pPr>
      <w:r w:rsidRPr="008B7490">
        <w:rPr>
          <w:color w:val="000000"/>
        </w:rPr>
        <w:t>(see r 1121)</w:t>
      </w:r>
    </w:p>
    <w:p w14:paraId="52A3B99C" w14:textId="77777777"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D5C1B35" w14:textId="77777777" w:rsidTr="00E322C7">
        <w:trPr>
          <w:cantSplit/>
          <w:tblHeader/>
        </w:trPr>
        <w:tc>
          <w:tcPr>
            <w:tcW w:w="1200" w:type="dxa"/>
            <w:tcBorders>
              <w:bottom w:val="single" w:sz="4" w:space="0" w:color="auto"/>
            </w:tcBorders>
          </w:tcPr>
          <w:p w14:paraId="6E147A73" w14:textId="77777777" w:rsidR="00E322C7" w:rsidRPr="008B7490" w:rsidRDefault="00E322C7" w:rsidP="00E322C7">
            <w:pPr>
              <w:pStyle w:val="TableColHd"/>
              <w:rPr>
                <w:color w:val="000000"/>
              </w:rPr>
            </w:pPr>
            <w:r w:rsidRPr="008B7490">
              <w:rPr>
                <w:color w:val="000000"/>
              </w:rPr>
              <w:t>column 1</w:t>
            </w:r>
          </w:p>
          <w:p w14:paraId="22AA7362"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01935C5" w14:textId="77777777" w:rsidR="00E322C7" w:rsidRPr="008B7490" w:rsidRDefault="00E322C7" w:rsidP="00E322C7">
            <w:pPr>
              <w:pStyle w:val="TableColHd"/>
              <w:rPr>
                <w:color w:val="000000"/>
              </w:rPr>
            </w:pPr>
            <w:r w:rsidRPr="008B7490">
              <w:rPr>
                <w:color w:val="000000"/>
              </w:rPr>
              <w:t>column 2</w:t>
            </w:r>
          </w:p>
          <w:p w14:paraId="62307EC3"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97BE185" w14:textId="77777777" w:rsidR="00E322C7" w:rsidRPr="008B7490" w:rsidRDefault="00E322C7" w:rsidP="00E322C7">
            <w:pPr>
              <w:pStyle w:val="TableColHd"/>
              <w:rPr>
                <w:color w:val="000000"/>
              </w:rPr>
            </w:pPr>
            <w:r w:rsidRPr="008B7490">
              <w:rPr>
                <w:color w:val="000000"/>
              </w:rPr>
              <w:t>column 3</w:t>
            </w:r>
          </w:p>
          <w:p w14:paraId="20879B43" w14:textId="77777777" w:rsidR="00E322C7" w:rsidRPr="008B7490" w:rsidRDefault="00E322C7" w:rsidP="00E322C7">
            <w:pPr>
              <w:pStyle w:val="TableColHd"/>
              <w:rPr>
                <w:color w:val="000000"/>
              </w:rPr>
            </w:pPr>
            <w:r w:rsidRPr="008B7490">
              <w:rPr>
                <w:color w:val="000000"/>
              </w:rPr>
              <w:t>prescribed amount ($)</w:t>
            </w:r>
          </w:p>
        </w:tc>
      </w:tr>
      <w:tr w:rsidR="00E322C7" w:rsidRPr="008B7490" w14:paraId="24E4632D" w14:textId="77777777" w:rsidTr="00E322C7">
        <w:trPr>
          <w:cantSplit/>
        </w:trPr>
        <w:tc>
          <w:tcPr>
            <w:tcW w:w="1200" w:type="dxa"/>
            <w:tcBorders>
              <w:top w:val="single" w:sz="4" w:space="0" w:color="auto"/>
            </w:tcBorders>
          </w:tcPr>
          <w:p w14:paraId="218C66C5"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224F54FB"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587BEA9D" w14:textId="77777777" w:rsidR="00E322C7" w:rsidRPr="008B7490" w:rsidRDefault="00E322C7" w:rsidP="00E322C7">
            <w:pPr>
              <w:pStyle w:val="TableText10"/>
              <w:ind w:right="1446"/>
              <w:jc w:val="right"/>
              <w:rPr>
                <w:color w:val="000000"/>
              </w:rPr>
            </w:pPr>
            <w:r w:rsidRPr="008B7490">
              <w:rPr>
                <w:color w:val="000000"/>
              </w:rPr>
              <w:t>658.00</w:t>
            </w:r>
          </w:p>
        </w:tc>
      </w:tr>
      <w:tr w:rsidR="00E322C7" w:rsidRPr="008B7490" w14:paraId="0914850D" w14:textId="77777777" w:rsidTr="00E322C7">
        <w:trPr>
          <w:cantSplit/>
        </w:trPr>
        <w:tc>
          <w:tcPr>
            <w:tcW w:w="1200" w:type="dxa"/>
          </w:tcPr>
          <w:p w14:paraId="68BD7C87" w14:textId="77777777" w:rsidR="00E322C7" w:rsidRPr="008B7490" w:rsidRDefault="00E322C7" w:rsidP="00E322C7">
            <w:pPr>
              <w:pStyle w:val="TableText10"/>
              <w:rPr>
                <w:color w:val="000000"/>
              </w:rPr>
            </w:pPr>
            <w:r w:rsidRPr="008B7490">
              <w:rPr>
                <w:color w:val="000000"/>
              </w:rPr>
              <w:t>2</w:t>
            </w:r>
          </w:p>
        </w:tc>
        <w:tc>
          <w:tcPr>
            <w:tcW w:w="4266" w:type="dxa"/>
          </w:tcPr>
          <w:p w14:paraId="485F3650"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07B36ACA" w14:textId="77777777" w:rsidR="00E322C7" w:rsidRPr="008B7490" w:rsidRDefault="00E322C7" w:rsidP="00E322C7">
            <w:pPr>
              <w:pStyle w:val="TableText10"/>
              <w:ind w:right="1446"/>
              <w:jc w:val="right"/>
              <w:rPr>
                <w:color w:val="000000"/>
              </w:rPr>
            </w:pPr>
            <w:r w:rsidRPr="008B7490">
              <w:rPr>
                <w:color w:val="000000"/>
              </w:rPr>
              <w:t>1 316.00</w:t>
            </w:r>
          </w:p>
        </w:tc>
      </w:tr>
      <w:tr w:rsidR="00E322C7" w:rsidRPr="008B7490" w14:paraId="36706A5D" w14:textId="77777777" w:rsidTr="00E322C7">
        <w:trPr>
          <w:cantSplit/>
        </w:trPr>
        <w:tc>
          <w:tcPr>
            <w:tcW w:w="1200" w:type="dxa"/>
          </w:tcPr>
          <w:p w14:paraId="73410A01" w14:textId="77777777" w:rsidR="00E322C7" w:rsidRPr="008B7490" w:rsidRDefault="00E322C7" w:rsidP="00E322C7">
            <w:pPr>
              <w:pStyle w:val="TableText10"/>
              <w:rPr>
                <w:color w:val="000000"/>
              </w:rPr>
            </w:pPr>
            <w:r w:rsidRPr="008B7490">
              <w:rPr>
                <w:color w:val="000000"/>
              </w:rPr>
              <w:t>3</w:t>
            </w:r>
          </w:p>
        </w:tc>
        <w:tc>
          <w:tcPr>
            <w:tcW w:w="4266" w:type="dxa"/>
          </w:tcPr>
          <w:p w14:paraId="2129B0BE"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576E1D8C" w14:textId="77777777" w:rsidR="00E322C7" w:rsidRPr="008B7490" w:rsidRDefault="00E322C7" w:rsidP="00E322C7">
            <w:pPr>
              <w:pStyle w:val="TableText10"/>
              <w:ind w:right="1446"/>
              <w:jc w:val="right"/>
              <w:rPr>
                <w:color w:val="000000"/>
              </w:rPr>
            </w:pPr>
            <w:r w:rsidRPr="008B7490">
              <w:rPr>
                <w:color w:val="000000"/>
              </w:rPr>
              <w:t>1 580.00</w:t>
            </w:r>
          </w:p>
        </w:tc>
      </w:tr>
      <w:tr w:rsidR="00E322C7" w:rsidRPr="008B7490" w14:paraId="7FD20031" w14:textId="77777777" w:rsidTr="00E322C7">
        <w:trPr>
          <w:cantSplit/>
        </w:trPr>
        <w:tc>
          <w:tcPr>
            <w:tcW w:w="1200" w:type="dxa"/>
          </w:tcPr>
          <w:p w14:paraId="11AD37D9" w14:textId="77777777" w:rsidR="00E322C7" w:rsidRPr="008B7490" w:rsidRDefault="00E322C7" w:rsidP="00E322C7">
            <w:pPr>
              <w:pStyle w:val="TableText10"/>
              <w:rPr>
                <w:color w:val="000000"/>
              </w:rPr>
            </w:pPr>
            <w:r w:rsidRPr="008B7490">
              <w:rPr>
                <w:color w:val="000000"/>
              </w:rPr>
              <w:lastRenderedPageBreak/>
              <w:t>4</w:t>
            </w:r>
          </w:p>
        </w:tc>
        <w:tc>
          <w:tcPr>
            <w:tcW w:w="4266" w:type="dxa"/>
          </w:tcPr>
          <w:p w14:paraId="3D442CF0"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7B7CDA5C" w14:textId="77777777" w:rsidR="00E322C7" w:rsidRPr="008B7490" w:rsidRDefault="00E322C7" w:rsidP="00E322C7">
            <w:pPr>
              <w:pStyle w:val="TableText10"/>
              <w:ind w:right="1446"/>
              <w:jc w:val="right"/>
              <w:rPr>
                <w:color w:val="000000"/>
              </w:rPr>
            </w:pPr>
            <w:r w:rsidRPr="008B7490">
              <w:rPr>
                <w:color w:val="000000"/>
              </w:rPr>
              <w:t>1 779.00</w:t>
            </w:r>
          </w:p>
        </w:tc>
      </w:tr>
      <w:tr w:rsidR="00E322C7" w:rsidRPr="008B7490" w14:paraId="3D99D7B9" w14:textId="77777777" w:rsidTr="00E322C7">
        <w:trPr>
          <w:cantSplit/>
        </w:trPr>
        <w:tc>
          <w:tcPr>
            <w:tcW w:w="1200" w:type="dxa"/>
          </w:tcPr>
          <w:p w14:paraId="365E52E9" w14:textId="77777777" w:rsidR="00E322C7" w:rsidRPr="008B7490" w:rsidRDefault="00E322C7" w:rsidP="00E322C7">
            <w:pPr>
              <w:pStyle w:val="TableText10"/>
              <w:rPr>
                <w:color w:val="000000"/>
              </w:rPr>
            </w:pPr>
            <w:r w:rsidRPr="008B7490">
              <w:rPr>
                <w:color w:val="000000"/>
              </w:rPr>
              <w:t>5</w:t>
            </w:r>
          </w:p>
        </w:tc>
        <w:tc>
          <w:tcPr>
            <w:tcW w:w="4266" w:type="dxa"/>
          </w:tcPr>
          <w:p w14:paraId="5B9F78E7"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FEE21F8" w14:textId="77777777" w:rsidR="00E322C7" w:rsidRPr="008B7490" w:rsidRDefault="00E322C7" w:rsidP="00E322C7">
            <w:pPr>
              <w:pStyle w:val="TableText10"/>
              <w:ind w:right="1446"/>
              <w:jc w:val="right"/>
              <w:rPr>
                <w:color w:val="000000"/>
              </w:rPr>
            </w:pPr>
            <w:r w:rsidRPr="008B7490">
              <w:rPr>
                <w:color w:val="000000"/>
              </w:rPr>
              <w:t>1 975.00</w:t>
            </w:r>
          </w:p>
        </w:tc>
      </w:tr>
      <w:tr w:rsidR="00E322C7" w:rsidRPr="008B7490" w14:paraId="214085E0" w14:textId="77777777" w:rsidTr="00E322C7">
        <w:trPr>
          <w:cantSplit/>
        </w:trPr>
        <w:tc>
          <w:tcPr>
            <w:tcW w:w="1200" w:type="dxa"/>
          </w:tcPr>
          <w:p w14:paraId="51F5A9A0" w14:textId="77777777" w:rsidR="00E322C7" w:rsidRPr="008B7490" w:rsidRDefault="00E322C7" w:rsidP="00E322C7">
            <w:pPr>
              <w:pStyle w:val="TableText10"/>
              <w:rPr>
                <w:color w:val="000000"/>
              </w:rPr>
            </w:pPr>
            <w:r w:rsidRPr="008B7490">
              <w:rPr>
                <w:color w:val="000000"/>
              </w:rPr>
              <w:t>6</w:t>
            </w:r>
          </w:p>
        </w:tc>
        <w:tc>
          <w:tcPr>
            <w:tcW w:w="4266" w:type="dxa"/>
          </w:tcPr>
          <w:p w14:paraId="58793BA9"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DF2A8BF" w14:textId="77777777" w:rsidR="00E322C7" w:rsidRPr="008B7490" w:rsidRDefault="00E322C7" w:rsidP="00E322C7">
            <w:pPr>
              <w:pStyle w:val="TableText10"/>
              <w:ind w:right="1446"/>
              <w:jc w:val="right"/>
              <w:rPr>
                <w:color w:val="000000"/>
              </w:rPr>
            </w:pPr>
            <w:r w:rsidRPr="008B7490">
              <w:rPr>
                <w:color w:val="000000"/>
              </w:rPr>
              <w:t>1 975.00</w:t>
            </w:r>
          </w:p>
        </w:tc>
      </w:tr>
    </w:tbl>
    <w:p w14:paraId="435C97B9" w14:textId="77777777" w:rsidR="00E322C7" w:rsidRPr="005220F8" w:rsidRDefault="00E322C7" w:rsidP="008B7FC6">
      <w:pPr>
        <w:pStyle w:val="Sched-Part"/>
        <w:rPr>
          <w:rStyle w:val="CharPartText"/>
        </w:rPr>
      </w:pPr>
      <w:bookmarkStart w:id="1915" w:name="_Toc185515531"/>
      <w:r w:rsidRPr="005220F8">
        <w:rPr>
          <w:rStyle w:val="CharPartNo"/>
        </w:rPr>
        <w:t>Part 3.3</w:t>
      </w:r>
      <w:r w:rsidRPr="008B7490">
        <w:rPr>
          <w:color w:val="000000"/>
        </w:rPr>
        <w:tab/>
      </w:r>
      <w:r w:rsidRPr="005220F8">
        <w:rPr>
          <w:rStyle w:val="CharPartText"/>
        </w:rPr>
        <w:t>Company winding-up</w:t>
      </w:r>
      <w:bookmarkEnd w:id="1915"/>
    </w:p>
    <w:p w14:paraId="52357AA2" w14:textId="77777777" w:rsidR="00E322C7" w:rsidRPr="008B7490" w:rsidRDefault="00E322C7" w:rsidP="00E322C7">
      <w:pPr>
        <w:pStyle w:val="ref"/>
        <w:rPr>
          <w:color w:val="000000"/>
        </w:rPr>
      </w:pPr>
      <w:r w:rsidRPr="008B7490">
        <w:rPr>
          <w:color w:val="000000"/>
        </w:rPr>
        <w:t>(see r 1740)</w:t>
      </w:r>
    </w:p>
    <w:p w14:paraId="68AE7E4D" w14:textId="77777777"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14:paraId="1E4EA185" w14:textId="77777777" w:rsidTr="00E322C7">
        <w:trPr>
          <w:cantSplit/>
          <w:tblHeader/>
        </w:trPr>
        <w:tc>
          <w:tcPr>
            <w:tcW w:w="1791" w:type="dxa"/>
            <w:tcBorders>
              <w:bottom w:val="single" w:sz="4" w:space="0" w:color="auto"/>
            </w:tcBorders>
          </w:tcPr>
          <w:p w14:paraId="09304DEE" w14:textId="77777777" w:rsidR="00E322C7" w:rsidRPr="008B7490" w:rsidRDefault="00E322C7" w:rsidP="00E322C7">
            <w:pPr>
              <w:pStyle w:val="TableColHd"/>
              <w:rPr>
                <w:color w:val="000000"/>
              </w:rPr>
            </w:pPr>
            <w:r w:rsidRPr="008B7490">
              <w:rPr>
                <w:color w:val="000000"/>
              </w:rPr>
              <w:t>column 1</w:t>
            </w:r>
          </w:p>
          <w:p w14:paraId="1D2A63E7" w14:textId="77777777"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14:paraId="7E47507C" w14:textId="77777777" w:rsidR="00E322C7" w:rsidRPr="008B7490" w:rsidRDefault="00E322C7" w:rsidP="00E322C7">
            <w:pPr>
              <w:pStyle w:val="TableColHd"/>
              <w:rPr>
                <w:color w:val="000000"/>
              </w:rPr>
            </w:pPr>
            <w:r w:rsidRPr="008B7490">
              <w:rPr>
                <w:color w:val="000000"/>
              </w:rPr>
              <w:t>column 2</w:t>
            </w:r>
          </w:p>
          <w:p w14:paraId="10E78E66" w14:textId="77777777" w:rsidR="00E322C7" w:rsidRPr="008B7490" w:rsidRDefault="00E322C7" w:rsidP="00E322C7">
            <w:pPr>
              <w:pStyle w:val="TableColHd"/>
              <w:rPr>
                <w:color w:val="000000"/>
              </w:rPr>
            </w:pPr>
            <w:r w:rsidRPr="008B7490">
              <w:rPr>
                <w:color w:val="000000"/>
              </w:rPr>
              <w:t>claimed amount ($)</w:t>
            </w:r>
          </w:p>
        </w:tc>
      </w:tr>
      <w:tr w:rsidR="00E322C7" w:rsidRPr="008B7490" w14:paraId="09E700D0" w14:textId="77777777" w:rsidTr="00E322C7">
        <w:trPr>
          <w:cantSplit/>
        </w:trPr>
        <w:tc>
          <w:tcPr>
            <w:tcW w:w="1791" w:type="dxa"/>
            <w:tcBorders>
              <w:top w:val="single" w:sz="4" w:space="0" w:color="auto"/>
            </w:tcBorders>
          </w:tcPr>
          <w:p w14:paraId="49972336" w14:textId="77777777"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14:paraId="462EBBCA" w14:textId="77777777" w:rsidR="00E322C7" w:rsidRPr="008B7490" w:rsidRDefault="00E322C7" w:rsidP="00E322C7">
            <w:pPr>
              <w:pStyle w:val="TableText10"/>
              <w:ind w:right="5078"/>
              <w:jc w:val="right"/>
              <w:rPr>
                <w:color w:val="000000"/>
              </w:rPr>
            </w:pPr>
            <w:r w:rsidRPr="008B7490">
              <w:rPr>
                <w:color w:val="000000"/>
              </w:rPr>
              <w:t>4 477.00</w:t>
            </w:r>
          </w:p>
        </w:tc>
      </w:tr>
    </w:tbl>
    <w:p w14:paraId="7E16E986" w14:textId="77777777" w:rsidR="00E322C7" w:rsidRPr="008B7490" w:rsidRDefault="00E322C7" w:rsidP="008B7FC6">
      <w:pPr>
        <w:pStyle w:val="Sched-Part"/>
      </w:pPr>
      <w:bookmarkStart w:id="1916" w:name="_Toc185515532"/>
      <w:r w:rsidRPr="005220F8">
        <w:rPr>
          <w:rStyle w:val="CharPartNo"/>
        </w:rPr>
        <w:t>Part 3.4</w:t>
      </w:r>
      <w:r w:rsidRPr="008B7490">
        <w:rPr>
          <w:color w:val="000000"/>
        </w:rPr>
        <w:tab/>
        <w:t>Enforcement orders</w:t>
      </w:r>
      <w:bookmarkEnd w:id="1916"/>
    </w:p>
    <w:p w14:paraId="5009C233" w14:textId="77777777" w:rsidR="00E322C7" w:rsidRPr="008B7490" w:rsidRDefault="00E322C7" w:rsidP="00E322C7">
      <w:pPr>
        <w:pStyle w:val="ref"/>
        <w:keepNext/>
        <w:rPr>
          <w:color w:val="000000"/>
        </w:rPr>
      </w:pPr>
      <w:r w:rsidRPr="008B7490">
        <w:rPr>
          <w:color w:val="000000"/>
        </w:rPr>
        <w:t>(see r 1741)</w:t>
      </w:r>
    </w:p>
    <w:p w14:paraId="216BF692" w14:textId="77777777"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14:paraId="0D83A90F" w14:textId="77777777" w:rsidTr="00E322C7">
        <w:trPr>
          <w:cantSplit/>
          <w:tblHeader/>
        </w:trPr>
        <w:tc>
          <w:tcPr>
            <w:tcW w:w="1200" w:type="dxa"/>
            <w:tcBorders>
              <w:bottom w:val="single" w:sz="4" w:space="0" w:color="auto"/>
            </w:tcBorders>
          </w:tcPr>
          <w:p w14:paraId="45DF02ED" w14:textId="77777777" w:rsidR="00E322C7" w:rsidRPr="008B7490" w:rsidRDefault="00E322C7" w:rsidP="00E322C7">
            <w:pPr>
              <w:pStyle w:val="TableColHd"/>
              <w:rPr>
                <w:color w:val="000000"/>
              </w:rPr>
            </w:pPr>
            <w:r w:rsidRPr="008B7490">
              <w:rPr>
                <w:color w:val="000000"/>
              </w:rPr>
              <w:t>column 1</w:t>
            </w:r>
          </w:p>
          <w:p w14:paraId="1780074E" w14:textId="77777777"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14:paraId="25A50092" w14:textId="77777777" w:rsidR="00E322C7" w:rsidRPr="008B7490" w:rsidRDefault="00E322C7" w:rsidP="00E322C7">
            <w:pPr>
              <w:pStyle w:val="TableColHd"/>
              <w:rPr>
                <w:color w:val="000000"/>
              </w:rPr>
            </w:pPr>
            <w:r w:rsidRPr="008B7490">
              <w:rPr>
                <w:color w:val="000000"/>
              </w:rPr>
              <w:t>column 2</w:t>
            </w:r>
          </w:p>
          <w:p w14:paraId="4613B496" w14:textId="77777777"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14:paraId="7D03A645" w14:textId="77777777" w:rsidR="00E322C7" w:rsidRPr="008B7490" w:rsidRDefault="00E322C7" w:rsidP="00E322C7">
            <w:pPr>
              <w:pStyle w:val="TableColHd"/>
              <w:rPr>
                <w:color w:val="000000"/>
              </w:rPr>
            </w:pPr>
            <w:r w:rsidRPr="008B7490">
              <w:rPr>
                <w:color w:val="000000"/>
              </w:rPr>
              <w:t>column 3</w:t>
            </w:r>
          </w:p>
          <w:p w14:paraId="100EA5B9" w14:textId="77777777"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14:paraId="1CF8590A" w14:textId="77777777" w:rsidR="00E322C7" w:rsidRPr="008B7490" w:rsidRDefault="00E322C7" w:rsidP="00E322C7">
            <w:pPr>
              <w:pStyle w:val="TableColHd"/>
              <w:rPr>
                <w:color w:val="000000"/>
              </w:rPr>
            </w:pPr>
            <w:r w:rsidRPr="008B7490">
              <w:rPr>
                <w:color w:val="000000"/>
              </w:rPr>
              <w:t>column 4</w:t>
            </w:r>
          </w:p>
          <w:p w14:paraId="7E7C9C43" w14:textId="77777777" w:rsidR="00E322C7" w:rsidRPr="008B7490" w:rsidRDefault="00E322C7" w:rsidP="00E322C7">
            <w:pPr>
              <w:pStyle w:val="TableColHd"/>
              <w:rPr>
                <w:color w:val="000000"/>
              </w:rPr>
            </w:pPr>
            <w:r w:rsidRPr="008B7490">
              <w:rPr>
                <w:color w:val="000000"/>
              </w:rPr>
              <w:t>amount claimed—no agent ($)</w:t>
            </w:r>
          </w:p>
        </w:tc>
      </w:tr>
      <w:tr w:rsidR="00E322C7" w:rsidRPr="008B7490" w14:paraId="168DD3E7" w14:textId="77777777" w:rsidTr="00E322C7">
        <w:trPr>
          <w:cantSplit/>
        </w:trPr>
        <w:tc>
          <w:tcPr>
            <w:tcW w:w="1200" w:type="dxa"/>
            <w:tcBorders>
              <w:top w:val="single" w:sz="4" w:space="0" w:color="auto"/>
            </w:tcBorders>
          </w:tcPr>
          <w:p w14:paraId="0EF95B86" w14:textId="77777777"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14:paraId="0F38EA91" w14:textId="77777777"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14:paraId="158B69B6" w14:textId="77777777"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14:paraId="206324F7" w14:textId="77777777" w:rsidR="00E322C7" w:rsidRPr="008B7490" w:rsidRDefault="00E322C7" w:rsidP="00E322C7">
            <w:pPr>
              <w:pStyle w:val="TableText10"/>
              <w:ind w:right="141"/>
              <w:jc w:val="right"/>
              <w:rPr>
                <w:color w:val="000000"/>
              </w:rPr>
            </w:pPr>
            <w:r w:rsidRPr="008B7490">
              <w:rPr>
                <w:color w:val="000000"/>
              </w:rPr>
              <w:t>625.00</w:t>
            </w:r>
          </w:p>
        </w:tc>
      </w:tr>
      <w:tr w:rsidR="00E322C7" w:rsidRPr="008B7490" w14:paraId="41385238" w14:textId="77777777" w:rsidTr="00E322C7">
        <w:trPr>
          <w:cantSplit/>
        </w:trPr>
        <w:tc>
          <w:tcPr>
            <w:tcW w:w="1200" w:type="dxa"/>
          </w:tcPr>
          <w:p w14:paraId="5A06F2EC" w14:textId="77777777" w:rsidR="00E322C7" w:rsidRPr="008B7490" w:rsidRDefault="00E322C7" w:rsidP="00E322C7">
            <w:pPr>
              <w:pStyle w:val="TableText10"/>
              <w:rPr>
                <w:color w:val="000000"/>
              </w:rPr>
            </w:pPr>
            <w:r w:rsidRPr="008B7490">
              <w:rPr>
                <w:color w:val="000000"/>
              </w:rPr>
              <w:t>2</w:t>
            </w:r>
          </w:p>
        </w:tc>
        <w:tc>
          <w:tcPr>
            <w:tcW w:w="4270" w:type="dxa"/>
          </w:tcPr>
          <w:p w14:paraId="57A235CE" w14:textId="77777777" w:rsidR="00E322C7" w:rsidRPr="008B7490" w:rsidRDefault="00E322C7" w:rsidP="00E322C7">
            <w:pPr>
              <w:pStyle w:val="TableText10"/>
              <w:rPr>
                <w:color w:val="000000"/>
              </w:rPr>
            </w:pPr>
            <w:r w:rsidRPr="008B7490">
              <w:rPr>
                <w:color w:val="000000"/>
              </w:rPr>
              <w:t>Magistrates Court—≥ $10 000 but &lt; $25 000</w:t>
            </w:r>
          </w:p>
        </w:tc>
        <w:tc>
          <w:tcPr>
            <w:tcW w:w="1301" w:type="dxa"/>
          </w:tcPr>
          <w:p w14:paraId="04F6F329" w14:textId="77777777" w:rsidR="00E322C7" w:rsidRPr="008B7490" w:rsidRDefault="00E322C7" w:rsidP="00E322C7">
            <w:pPr>
              <w:pStyle w:val="TableText10"/>
              <w:ind w:right="265"/>
              <w:jc w:val="right"/>
              <w:rPr>
                <w:color w:val="000000"/>
              </w:rPr>
            </w:pPr>
            <w:r w:rsidRPr="008B7490">
              <w:rPr>
                <w:color w:val="000000"/>
              </w:rPr>
              <w:t>1 745.00</w:t>
            </w:r>
          </w:p>
        </w:tc>
        <w:tc>
          <w:tcPr>
            <w:tcW w:w="1177" w:type="dxa"/>
          </w:tcPr>
          <w:p w14:paraId="10DB1EC6" w14:textId="77777777" w:rsidR="00E322C7" w:rsidRPr="008B7490" w:rsidRDefault="00E322C7" w:rsidP="00E322C7">
            <w:pPr>
              <w:pStyle w:val="TableText10"/>
              <w:ind w:right="141"/>
              <w:jc w:val="right"/>
              <w:rPr>
                <w:color w:val="000000"/>
              </w:rPr>
            </w:pPr>
            <w:r w:rsidRPr="008B7490">
              <w:rPr>
                <w:color w:val="000000"/>
              </w:rPr>
              <w:t>1 269.00</w:t>
            </w:r>
          </w:p>
        </w:tc>
      </w:tr>
      <w:tr w:rsidR="00E322C7" w:rsidRPr="008B7490" w14:paraId="026B474B" w14:textId="77777777" w:rsidTr="00E322C7">
        <w:trPr>
          <w:cantSplit/>
        </w:trPr>
        <w:tc>
          <w:tcPr>
            <w:tcW w:w="1200" w:type="dxa"/>
          </w:tcPr>
          <w:p w14:paraId="28B70257" w14:textId="77777777" w:rsidR="00E322C7" w:rsidRPr="008B7490" w:rsidRDefault="00E322C7" w:rsidP="00E322C7">
            <w:pPr>
              <w:pStyle w:val="TableText10"/>
              <w:rPr>
                <w:color w:val="000000"/>
              </w:rPr>
            </w:pPr>
            <w:r w:rsidRPr="008B7490">
              <w:rPr>
                <w:color w:val="000000"/>
              </w:rPr>
              <w:t>3</w:t>
            </w:r>
          </w:p>
        </w:tc>
        <w:tc>
          <w:tcPr>
            <w:tcW w:w="4270" w:type="dxa"/>
          </w:tcPr>
          <w:p w14:paraId="0FE18ED6" w14:textId="77777777" w:rsidR="00E322C7" w:rsidRPr="008B7490" w:rsidRDefault="00E322C7" w:rsidP="00E322C7">
            <w:pPr>
              <w:pStyle w:val="TableText10"/>
              <w:rPr>
                <w:color w:val="000000"/>
              </w:rPr>
            </w:pPr>
            <w:r w:rsidRPr="008B7490">
              <w:rPr>
                <w:color w:val="000000"/>
              </w:rPr>
              <w:t>Magistrates Court—≥ $25 000 but &lt; $40 000</w:t>
            </w:r>
          </w:p>
        </w:tc>
        <w:tc>
          <w:tcPr>
            <w:tcW w:w="1301" w:type="dxa"/>
          </w:tcPr>
          <w:p w14:paraId="5B31694E" w14:textId="77777777" w:rsidR="00E322C7" w:rsidRPr="008B7490" w:rsidRDefault="00E322C7" w:rsidP="00E322C7">
            <w:pPr>
              <w:pStyle w:val="TableText10"/>
              <w:ind w:right="265"/>
              <w:jc w:val="right"/>
              <w:rPr>
                <w:color w:val="000000"/>
              </w:rPr>
            </w:pPr>
            <w:r w:rsidRPr="008B7490">
              <w:rPr>
                <w:color w:val="000000"/>
              </w:rPr>
              <w:t>2 082.00</w:t>
            </w:r>
          </w:p>
        </w:tc>
        <w:tc>
          <w:tcPr>
            <w:tcW w:w="1177" w:type="dxa"/>
          </w:tcPr>
          <w:p w14:paraId="11A1ACB5" w14:textId="77777777" w:rsidR="00E322C7" w:rsidRPr="008B7490" w:rsidRDefault="00E322C7" w:rsidP="00E322C7">
            <w:pPr>
              <w:pStyle w:val="TableText10"/>
              <w:ind w:right="141"/>
              <w:jc w:val="right"/>
              <w:rPr>
                <w:color w:val="000000"/>
              </w:rPr>
            </w:pPr>
            <w:r w:rsidRPr="008B7490">
              <w:rPr>
                <w:color w:val="000000"/>
              </w:rPr>
              <w:t>1 515.00</w:t>
            </w:r>
          </w:p>
        </w:tc>
      </w:tr>
      <w:tr w:rsidR="00E322C7" w:rsidRPr="008B7490" w14:paraId="0216EAFB" w14:textId="77777777" w:rsidTr="00E322C7">
        <w:trPr>
          <w:cantSplit/>
        </w:trPr>
        <w:tc>
          <w:tcPr>
            <w:tcW w:w="1200" w:type="dxa"/>
          </w:tcPr>
          <w:p w14:paraId="689AA9D0" w14:textId="77777777" w:rsidR="00E322C7" w:rsidRPr="008B7490" w:rsidRDefault="00E322C7" w:rsidP="00E322C7">
            <w:pPr>
              <w:pStyle w:val="TableText10"/>
              <w:rPr>
                <w:color w:val="000000"/>
              </w:rPr>
            </w:pPr>
            <w:r w:rsidRPr="008B7490">
              <w:rPr>
                <w:color w:val="000000"/>
              </w:rPr>
              <w:t>4</w:t>
            </w:r>
          </w:p>
        </w:tc>
        <w:tc>
          <w:tcPr>
            <w:tcW w:w="4270" w:type="dxa"/>
          </w:tcPr>
          <w:p w14:paraId="107178CB" w14:textId="77777777" w:rsidR="00E322C7" w:rsidRPr="008B7490" w:rsidRDefault="00E322C7" w:rsidP="00E322C7">
            <w:pPr>
              <w:pStyle w:val="TableText10"/>
              <w:rPr>
                <w:color w:val="000000"/>
              </w:rPr>
            </w:pPr>
            <w:r w:rsidRPr="008B7490">
              <w:rPr>
                <w:color w:val="000000"/>
              </w:rPr>
              <w:t>Magistrates Court—≥ $40 000 but &lt; $50 000</w:t>
            </w:r>
          </w:p>
        </w:tc>
        <w:tc>
          <w:tcPr>
            <w:tcW w:w="1301" w:type="dxa"/>
          </w:tcPr>
          <w:p w14:paraId="6C33C143" w14:textId="77777777" w:rsidR="00E322C7" w:rsidRPr="008B7490" w:rsidRDefault="00E322C7" w:rsidP="00E322C7">
            <w:pPr>
              <w:pStyle w:val="TableText10"/>
              <w:ind w:right="265"/>
              <w:jc w:val="right"/>
              <w:rPr>
                <w:color w:val="000000"/>
              </w:rPr>
            </w:pPr>
            <w:r w:rsidRPr="008B7490">
              <w:rPr>
                <w:color w:val="000000"/>
              </w:rPr>
              <w:t>2 345.00</w:t>
            </w:r>
          </w:p>
        </w:tc>
        <w:tc>
          <w:tcPr>
            <w:tcW w:w="1177" w:type="dxa"/>
          </w:tcPr>
          <w:p w14:paraId="188A060D" w14:textId="77777777" w:rsidR="00E322C7" w:rsidRPr="008B7490" w:rsidRDefault="00E322C7" w:rsidP="00E322C7">
            <w:pPr>
              <w:pStyle w:val="TableText10"/>
              <w:ind w:right="141"/>
              <w:jc w:val="right"/>
              <w:rPr>
                <w:color w:val="000000"/>
              </w:rPr>
            </w:pPr>
            <w:r w:rsidRPr="008B7490">
              <w:rPr>
                <w:color w:val="000000"/>
              </w:rPr>
              <w:t>1 704.00</w:t>
            </w:r>
          </w:p>
        </w:tc>
      </w:tr>
      <w:tr w:rsidR="00E322C7" w:rsidRPr="008B7490" w14:paraId="75DE4C5C" w14:textId="77777777" w:rsidTr="00E322C7">
        <w:trPr>
          <w:cantSplit/>
        </w:trPr>
        <w:tc>
          <w:tcPr>
            <w:tcW w:w="1200" w:type="dxa"/>
          </w:tcPr>
          <w:p w14:paraId="444152E2" w14:textId="77777777" w:rsidR="00E322C7" w:rsidRPr="008B7490" w:rsidRDefault="00E322C7" w:rsidP="00E322C7">
            <w:pPr>
              <w:pStyle w:val="TableText10"/>
              <w:rPr>
                <w:color w:val="000000"/>
              </w:rPr>
            </w:pPr>
            <w:r w:rsidRPr="008B7490">
              <w:rPr>
                <w:color w:val="000000"/>
              </w:rPr>
              <w:t>5</w:t>
            </w:r>
          </w:p>
        </w:tc>
        <w:tc>
          <w:tcPr>
            <w:tcW w:w="4270" w:type="dxa"/>
          </w:tcPr>
          <w:p w14:paraId="19158EAF" w14:textId="77777777" w:rsidR="00E322C7" w:rsidRPr="008B7490" w:rsidRDefault="00E322C7" w:rsidP="00E322C7">
            <w:pPr>
              <w:pStyle w:val="TableText10"/>
              <w:rPr>
                <w:color w:val="000000"/>
              </w:rPr>
            </w:pPr>
            <w:r w:rsidRPr="008B7490">
              <w:rPr>
                <w:color w:val="000000"/>
              </w:rPr>
              <w:t>Magistrates Court—≥ $50 000 but &lt; $250 000</w:t>
            </w:r>
          </w:p>
        </w:tc>
        <w:tc>
          <w:tcPr>
            <w:tcW w:w="1301" w:type="dxa"/>
          </w:tcPr>
          <w:p w14:paraId="6B0F8D3D"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4EAA49CE" w14:textId="77777777" w:rsidR="00E322C7" w:rsidRPr="008B7490" w:rsidRDefault="00E322C7" w:rsidP="00E322C7">
            <w:pPr>
              <w:pStyle w:val="TableText10"/>
              <w:ind w:right="141"/>
              <w:jc w:val="right"/>
              <w:rPr>
                <w:color w:val="000000"/>
              </w:rPr>
            </w:pPr>
            <w:r w:rsidRPr="008B7490">
              <w:rPr>
                <w:color w:val="000000"/>
              </w:rPr>
              <w:t>1 894.00</w:t>
            </w:r>
          </w:p>
        </w:tc>
      </w:tr>
      <w:tr w:rsidR="00E322C7" w:rsidRPr="008B7490" w14:paraId="6D265E1F" w14:textId="77777777" w:rsidTr="00E322C7">
        <w:trPr>
          <w:cantSplit/>
        </w:trPr>
        <w:tc>
          <w:tcPr>
            <w:tcW w:w="1200" w:type="dxa"/>
          </w:tcPr>
          <w:p w14:paraId="6C244E2B" w14:textId="77777777" w:rsidR="00E322C7" w:rsidRPr="008B7490" w:rsidRDefault="00E322C7" w:rsidP="00E322C7">
            <w:pPr>
              <w:pStyle w:val="TableText10"/>
              <w:rPr>
                <w:color w:val="000000"/>
              </w:rPr>
            </w:pPr>
            <w:r w:rsidRPr="008B7490">
              <w:rPr>
                <w:color w:val="000000"/>
              </w:rPr>
              <w:t>6</w:t>
            </w:r>
          </w:p>
        </w:tc>
        <w:tc>
          <w:tcPr>
            <w:tcW w:w="4270" w:type="dxa"/>
          </w:tcPr>
          <w:p w14:paraId="47D7C56D" w14:textId="77777777" w:rsidR="00E322C7" w:rsidRPr="008B7490" w:rsidRDefault="00E322C7" w:rsidP="00E322C7">
            <w:pPr>
              <w:pStyle w:val="TableText10"/>
              <w:rPr>
                <w:color w:val="000000"/>
              </w:rPr>
            </w:pPr>
            <w:r w:rsidRPr="008B7490">
              <w:rPr>
                <w:color w:val="000000"/>
              </w:rPr>
              <w:t>Supreme Court—any amount</w:t>
            </w:r>
          </w:p>
        </w:tc>
        <w:tc>
          <w:tcPr>
            <w:tcW w:w="1301" w:type="dxa"/>
          </w:tcPr>
          <w:p w14:paraId="3BBDBF8A"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7969DBE8" w14:textId="77777777" w:rsidR="00E322C7" w:rsidRPr="008B7490" w:rsidRDefault="00E322C7" w:rsidP="00E322C7">
            <w:pPr>
              <w:pStyle w:val="TableText10"/>
              <w:ind w:right="141"/>
              <w:jc w:val="right"/>
              <w:rPr>
                <w:color w:val="000000"/>
              </w:rPr>
            </w:pPr>
            <w:r w:rsidRPr="008B7490">
              <w:rPr>
                <w:color w:val="000000"/>
              </w:rPr>
              <w:t>1 894.00</w:t>
            </w:r>
          </w:p>
        </w:tc>
      </w:tr>
    </w:tbl>
    <w:p w14:paraId="73F5BB6D" w14:textId="77777777" w:rsidR="00E322C7" w:rsidRPr="005220F8" w:rsidRDefault="00E322C7" w:rsidP="008B7FC6">
      <w:pPr>
        <w:pStyle w:val="Sched-Part"/>
        <w:rPr>
          <w:rStyle w:val="CharPartText"/>
        </w:rPr>
      </w:pPr>
      <w:bookmarkStart w:id="1917" w:name="_Toc185515533"/>
      <w:r w:rsidRPr="005220F8">
        <w:rPr>
          <w:rStyle w:val="CharPartNo"/>
        </w:rPr>
        <w:lastRenderedPageBreak/>
        <w:t>Part 3.5</w:t>
      </w:r>
      <w:r w:rsidRPr="008B7490">
        <w:rPr>
          <w:color w:val="000000"/>
        </w:rPr>
        <w:tab/>
      </w:r>
      <w:r w:rsidRPr="005220F8">
        <w:rPr>
          <w:rStyle w:val="CharPartText"/>
        </w:rPr>
        <w:t>Certificate of registration</w:t>
      </w:r>
      <w:bookmarkEnd w:id="1917"/>
    </w:p>
    <w:p w14:paraId="352441A7" w14:textId="77777777" w:rsidR="00E322C7" w:rsidRPr="008B7490" w:rsidRDefault="00E322C7" w:rsidP="00E322C7">
      <w:pPr>
        <w:pStyle w:val="ref"/>
        <w:rPr>
          <w:color w:val="000000"/>
        </w:rPr>
      </w:pPr>
      <w:r w:rsidRPr="008B7490">
        <w:rPr>
          <w:color w:val="000000"/>
        </w:rPr>
        <w:t>(see r 2010B)</w:t>
      </w:r>
    </w:p>
    <w:p w14:paraId="4AF783A7" w14:textId="77777777"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14:paraId="7DFDFAC3" w14:textId="77777777" w:rsidTr="00E322C7">
        <w:trPr>
          <w:cantSplit/>
          <w:tblHeader/>
        </w:trPr>
        <w:tc>
          <w:tcPr>
            <w:tcW w:w="1200" w:type="dxa"/>
            <w:tcBorders>
              <w:bottom w:val="single" w:sz="4" w:space="0" w:color="auto"/>
            </w:tcBorders>
          </w:tcPr>
          <w:p w14:paraId="14826B4C" w14:textId="77777777" w:rsidR="00E322C7" w:rsidRPr="008B7490" w:rsidRDefault="00E322C7" w:rsidP="00E322C7">
            <w:pPr>
              <w:pStyle w:val="TableColHd"/>
              <w:rPr>
                <w:color w:val="000000"/>
              </w:rPr>
            </w:pPr>
            <w:r w:rsidRPr="008B7490">
              <w:rPr>
                <w:color w:val="000000"/>
              </w:rPr>
              <w:t>column 1</w:t>
            </w:r>
          </w:p>
          <w:p w14:paraId="6A5AFCFA" w14:textId="77777777"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14:paraId="3FA7EFC4" w14:textId="77777777" w:rsidR="00E322C7" w:rsidRPr="008B7490" w:rsidRDefault="00E322C7" w:rsidP="00E322C7">
            <w:pPr>
              <w:pStyle w:val="TableColHd"/>
              <w:rPr>
                <w:color w:val="000000"/>
              </w:rPr>
            </w:pPr>
            <w:r w:rsidRPr="008B7490">
              <w:rPr>
                <w:color w:val="000000"/>
              </w:rPr>
              <w:t>column 2</w:t>
            </w:r>
          </w:p>
          <w:p w14:paraId="28A61017" w14:textId="77777777"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14:paraId="05C40CB0" w14:textId="77777777" w:rsidR="00E322C7" w:rsidRPr="008B7490" w:rsidRDefault="00E322C7" w:rsidP="00E322C7">
            <w:pPr>
              <w:pStyle w:val="TableColHd"/>
              <w:rPr>
                <w:color w:val="000000"/>
              </w:rPr>
            </w:pPr>
            <w:r w:rsidRPr="008B7490">
              <w:rPr>
                <w:color w:val="000000"/>
              </w:rPr>
              <w:t>column 3</w:t>
            </w:r>
          </w:p>
          <w:p w14:paraId="4D27769B" w14:textId="77777777" w:rsidR="00E322C7" w:rsidRPr="008B7490" w:rsidRDefault="00E322C7" w:rsidP="00E322C7">
            <w:pPr>
              <w:pStyle w:val="TableColHd"/>
              <w:rPr>
                <w:color w:val="000000"/>
              </w:rPr>
            </w:pPr>
            <w:r w:rsidRPr="008B7490">
              <w:rPr>
                <w:color w:val="000000"/>
              </w:rPr>
              <w:t>claimed amount ($)</w:t>
            </w:r>
          </w:p>
        </w:tc>
      </w:tr>
      <w:tr w:rsidR="00E322C7" w:rsidRPr="008B7490" w14:paraId="795B730B" w14:textId="77777777" w:rsidTr="00E322C7">
        <w:trPr>
          <w:cantSplit/>
        </w:trPr>
        <w:tc>
          <w:tcPr>
            <w:tcW w:w="1200" w:type="dxa"/>
            <w:tcBorders>
              <w:top w:val="single" w:sz="4" w:space="0" w:color="auto"/>
            </w:tcBorders>
          </w:tcPr>
          <w:p w14:paraId="1389FE9B" w14:textId="77777777"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14:paraId="2FF94C36" w14:textId="77777777"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14:paraId="09ED8D89" w14:textId="77777777" w:rsidR="00E322C7" w:rsidRPr="008B7490" w:rsidRDefault="00E322C7" w:rsidP="00E322C7">
            <w:pPr>
              <w:pStyle w:val="TableText10"/>
              <w:ind w:right="1484"/>
              <w:jc w:val="right"/>
              <w:rPr>
                <w:color w:val="000000"/>
              </w:rPr>
            </w:pPr>
            <w:r w:rsidRPr="008B7490">
              <w:rPr>
                <w:color w:val="000000"/>
              </w:rPr>
              <w:t>90.00</w:t>
            </w:r>
          </w:p>
        </w:tc>
      </w:tr>
      <w:tr w:rsidR="00E322C7" w:rsidRPr="008B7490" w14:paraId="01A2ED03" w14:textId="77777777" w:rsidTr="00E322C7">
        <w:trPr>
          <w:cantSplit/>
        </w:trPr>
        <w:tc>
          <w:tcPr>
            <w:tcW w:w="1200" w:type="dxa"/>
          </w:tcPr>
          <w:p w14:paraId="445968A1" w14:textId="77777777" w:rsidR="00E322C7" w:rsidRPr="008B7490" w:rsidRDefault="00E322C7" w:rsidP="00E322C7">
            <w:pPr>
              <w:pStyle w:val="TableText10"/>
              <w:rPr>
                <w:color w:val="000000"/>
              </w:rPr>
            </w:pPr>
            <w:r w:rsidRPr="008B7490">
              <w:rPr>
                <w:color w:val="000000"/>
              </w:rPr>
              <w:t>2</w:t>
            </w:r>
          </w:p>
        </w:tc>
        <w:tc>
          <w:tcPr>
            <w:tcW w:w="4228" w:type="dxa"/>
          </w:tcPr>
          <w:p w14:paraId="350FB73D" w14:textId="77777777" w:rsidR="00E322C7" w:rsidRPr="008B7490" w:rsidRDefault="00E322C7" w:rsidP="00E322C7">
            <w:pPr>
              <w:pStyle w:val="TableText10"/>
              <w:rPr>
                <w:color w:val="000000"/>
              </w:rPr>
            </w:pPr>
            <w:r w:rsidRPr="008B7490">
              <w:rPr>
                <w:color w:val="000000"/>
              </w:rPr>
              <w:t>Magistrates Court—≥ $10 000 but &lt; $25 000</w:t>
            </w:r>
          </w:p>
        </w:tc>
        <w:tc>
          <w:tcPr>
            <w:tcW w:w="2520" w:type="dxa"/>
          </w:tcPr>
          <w:p w14:paraId="36F57554" w14:textId="77777777" w:rsidR="00E322C7" w:rsidRPr="008B7490" w:rsidRDefault="00E322C7" w:rsidP="00E322C7">
            <w:pPr>
              <w:pStyle w:val="TableText10"/>
              <w:ind w:right="1484"/>
              <w:jc w:val="right"/>
              <w:rPr>
                <w:color w:val="000000"/>
              </w:rPr>
            </w:pPr>
            <w:r w:rsidRPr="008B7490">
              <w:rPr>
                <w:color w:val="000000"/>
              </w:rPr>
              <w:t>182.00</w:t>
            </w:r>
          </w:p>
        </w:tc>
      </w:tr>
      <w:tr w:rsidR="00E322C7" w:rsidRPr="008B7490" w14:paraId="679DF7CD" w14:textId="77777777" w:rsidTr="00E322C7">
        <w:trPr>
          <w:cantSplit/>
        </w:trPr>
        <w:tc>
          <w:tcPr>
            <w:tcW w:w="1200" w:type="dxa"/>
          </w:tcPr>
          <w:p w14:paraId="626B493B" w14:textId="77777777" w:rsidR="00E322C7" w:rsidRPr="008B7490" w:rsidRDefault="00E322C7" w:rsidP="00E322C7">
            <w:pPr>
              <w:pStyle w:val="TableText10"/>
              <w:rPr>
                <w:color w:val="000000"/>
              </w:rPr>
            </w:pPr>
            <w:r w:rsidRPr="008B7490">
              <w:rPr>
                <w:color w:val="000000"/>
              </w:rPr>
              <w:t>3</w:t>
            </w:r>
          </w:p>
        </w:tc>
        <w:tc>
          <w:tcPr>
            <w:tcW w:w="4228" w:type="dxa"/>
          </w:tcPr>
          <w:p w14:paraId="48E53EAA" w14:textId="77777777" w:rsidR="00E322C7" w:rsidRPr="008B7490" w:rsidRDefault="00E322C7" w:rsidP="00E322C7">
            <w:pPr>
              <w:pStyle w:val="TableText10"/>
              <w:rPr>
                <w:color w:val="000000"/>
              </w:rPr>
            </w:pPr>
            <w:r w:rsidRPr="008B7490">
              <w:rPr>
                <w:color w:val="000000"/>
              </w:rPr>
              <w:t>Magistrates Court—≥ $25 000 but &lt; $40 000</w:t>
            </w:r>
          </w:p>
        </w:tc>
        <w:tc>
          <w:tcPr>
            <w:tcW w:w="2520" w:type="dxa"/>
          </w:tcPr>
          <w:p w14:paraId="1DA1EA15" w14:textId="77777777" w:rsidR="00E322C7" w:rsidRPr="008B7490" w:rsidRDefault="00E322C7" w:rsidP="00E322C7">
            <w:pPr>
              <w:pStyle w:val="TableText10"/>
              <w:ind w:right="1484"/>
              <w:jc w:val="right"/>
              <w:rPr>
                <w:color w:val="000000"/>
              </w:rPr>
            </w:pPr>
            <w:r w:rsidRPr="008B7490">
              <w:rPr>
                <w:color w:val="000000"/>
              </w:rPr>
              <w:t>218.00</w:t>
            </w:r>
          </w:p>
        </w:tc>
      </w:tr>
      <w:tr w:rsidR="00E322C7" w:rsidRPr="008B7490" w14:paraId="1EDE4312" w14:textId="77777777" w:rsidTr="00E322C7">
        <w:trPr>
          <w:cantSplit/>
        </w:trPr>
        <w:tc>
          <w:tcPr>
            <w:tcW w:w="1200" w:type="dxa"/>
          </w:tcPr>
          <w:p w14:paraId="32385AF3" w14:textId="77777777" w:rsidR="00E322C7" w:rsidRPr="008B7490" w:rsidRDefault="00E322C7" w:rsidP="00E322C7">
            <w:pPr>
              <w:pStyle w:val="TableText10"/>
              <w:rPr>
                <w:color w:val="000000"/>
              </w:rPr>
            </w:pPr>
            <w:r w:rsidRPr="008B7490">
              <w:rPr>
                <w:color w:val="000000"/>
              </w:rPr>
              <w:t>4</w:t>
            </w:r>
          </w:p>
        </w:tc>
        <w:tc>
          <w:tcPr>
            <w:tcW w:w="4228" w:type="dxa"/>
          </w:tcPr>
          <w:p w14:paraId="3705F033" w14:textId="77777777" w:rsidR="00E322C7" w:rsidRPr="008B7490" w:rsidRDefault="00E322C7" w:rsidP="00E322C7">
            <w:pPr>
              <w:pStyle w:val="TableText10"/>
              <w:rPr>
                <w:color w:val="000000"/>
              </w:rPr>
            </w:pPr>
            <w:r w:rsidRPr="008B7490">
              <w:rPr>
                <w:color w:val="000000"/>
              </w:rPr>
              <w:t>Magistrates Court—≥ $40 000 but &lt; $50 000</w:t>
            </w:r>
          </w:p>
        </w:tc>
        <w:tc>
          <w:tcPr>
            <w:tcW w:w="2520" w:type="dxa"/>
          </w:tcPr>
          <w:p w14:paraId="79DC98C9" w14:textId="77777777" w:rsidR="00E322C7" w:rsidRPr="008B7490" w:rsidRDefault="00E322C7" w:rsidP="00E322C7">
            <w:pPr>
              <w:pStyle w:val="TableText10"/>
              <w:ind w:right="1484"/>
              <w:jc w:val="right"/>
              <w:rPr>
                <w:color w:val="000000"/>
              </w:rPr>
            </w:pPr>
            <w:r w:rsidRPr="008B7490">
              <w:rPr>
                <w:color w:val="000000"/>
              </w:rPr>
              <w:t>245.00</w:t>
            </w:r>
          </w:p>
        </w:tc>
      </w:tr>
      <w:tr w:rsidR="00E322C7" w:rsidRPr="008B7490" w14:paraId="3427C561" w14:textId="77777777" w:rsidTr="00E322C7">
        <w:trPr>
          <w:cantSplit/>
        </w:trPr>
        <w:tc>
          <w:tcPr>
            <w:tcW w:w="1200" w:type="dxa"/>
          </w:tcPr>
          <w:p w14:paraId="4FBFBA51" w14:textId="77777777" w:rsidR="00E322C7" w:rsidRPr="008B7490" w:rsidRDefault="00E322C7" w:rsidP="00E322C7">
            <w:pPr>
              <w:pStyle w:val="TableText10"/>
              <w:rPr>
                <w:color w:val="000000"/>
              </w:rPr>
            </w:pPr>
            <w:r w:rsidRPr="008B7490">
              <w:rPr>
                <w:color w:val="000000"/>
              </w:rPr>
              <w:t>5</w:t>
            </w:r>
          </w:p>
        </w:tc>
        <w:tc>
          <w:tcPr>
            <w:tcW w:w="4228" w:type="dxa"/>
          </w:tcPr>
          <w:p w14:paraId="095B98C9" w14:textId="77777777" w:rsidR="00E322C7" w:rsidRPr="008B7490" w:rsidRDefault="00E322C7" w:rsidP="00E322C7">
            <w:pPr>
              <w:pStyle w:val="TableText10"/>
              <w:rPr>
                <w:color w:val="000000"/>
              </w:rPr>
            </w:pPr>
            <w:r w:rsidRPr="008B7490">
              <w:rPr>
                <w:color w:val="000000"/>
              </w:rPr>
              <w:t>Magistrates Court—≥ $50 000 but &lt; $250 000</w:t>
            </w:r>
          </w:p>
        </w:tc>
        <w:tc>
          <w:tcPr>
            <w:tcW w:w="2520" w:type="dxa"/>
          </w:tcPr>
          <w:p w14:paraId="1A0104F4" w14:textId="77777777" w:rsidR="00E322C7" w:rsidRPr="008B7490" w:rsidRDefault="00E322C7" w:rsidP="00E322C7">
            <w:pPr>
              <w:pStyle w:val="TableText10"/>
              <w:ind w:right="1484"/>
              <w:jc w:val="right"/>
              <w:rPr>
                <w:color w:val="000000"/>
              </w:rPr>
            </w:pPr>
            <w:r w:rsidRPr="008B7490">
              <w:rPr>
                <w:color w:val="000000"/>
              </w:rPr>
              <w:t>273.00</w:t>
            </w:r>
          </w:p>
        </w:tc>
      </w:tr>
      <w:tr w:rsidR="00E322C7" w:rsidRPr="008B7490" w14:paraId="27D0593F" w14:textId="77777777" w:rsidTr="00E322C7">
        <w:trPr>
          <w:cantSplit/>
        </w:trPr>
        <w:tc>
          <w:tcPr>
            <w:tcW w:w="1200" w:type="dxa"/>
          </w:tcPr>
          <w:p w14:paraId="74CBF1AD" w14:textId="77777777" w:rsidR="00E322C7" w:rsidRPr="008B7490" w:rsidRDefault="00E322C7" w:rsidP="00E322C7">
            <w:pPr>
              <w:pStyle w:val="TableText10"/>
              <w:rPr>
                <w:color w:val="000000"/>
              </w:rPr>
            </w:pPr>
            <w:r w:rsidRPr="008B7490">
              <w:rPr>
                <w:color w:val="000000"/>
              </w:rPr>
              <w:t>6</w:t>
            </w:r>
          </w:p>
        </w:tc>
        <w:tc>
          <w:tcPr>
            <w:tcW w:w="4228" w:type="dxa"/>
          </w:tcPr>
          <w:p w14:paraId="4F037913" w14:textId="77777777" w:rsidR="00E322C7" w:rsidRPr="008B7490" w:rsidRDefault="00E322C7" w:rsidP="00E322C7">
            <w:pPr>
              <w:pStyle w:val="TableText10"/>
              <w:rPr>
                <w:color w:val="000000"/>
              </w:rPr>
            </w:pPr>
            <w:r w:rsidRPr="008B7490">
              <w:rPr>
                <w:color w:val="000000"/>
              </w:rPr>
              <w:t>Supreme Court—any amount</w:t>
            </w:r>
          </w:p>
        </w:tc>
        <w:tc>
          <w:tcPr>
            <w:tcW w:w="2520" w:type="dxa"/>
          </w:tcPr>
          <w:p w14:paraId="5348B83A" w14:textId="77777777" w:rsidR="00E322C7" w:rsidRPr="008B7490" w:rsidRDefault="00E322C7" w:rsidP="00E322C7">
            <w:pPr>
              <w:pStyle w:val="TableText10"/>
              <w:ind w:right="1484"/>
              <w:jc w:val="right"/>
              <w:rPr>
                <w:color w:val="000000"/>
              </w:rPr>
            </w:pPr>
            <w:r w:rsidRPr="008B7490">
              <w:rPr>
                <w:color w:val="000000"/>
              </w:rPr>
              <w:t>273.00</w:t>
            </w:r>
          </w:p>
        </w:tc>
      </w:tr>
    </w:tbl>
    <w:p w14:paraId="71AB85D7" w14:textId="77777777" w:rsidR="009C3A13" w:rsidRDefault="009C3A13">
      <w:pPr>
        <w:pStyle w:val="03Schedule"/>
        <w:sectPr w:rsidR="009C3A13" w:rsidSect="00CD3DF7">
          <w:headerReference w:type="even" r:id="rId962"/>
          <w:headerReference w:type="default" r:id="rId963"/>
          <w:footerReference w:type="even" r:id="rId964"/>
          <w:footerReference w:type="default" r:id="rId965"/>
          <w:type w:val="continuous"/>
          <w:pgSz w:w="11907" w:h="16839" w:code="9"/>
          <w:pgMar w:top="3880" w:right="1900" w:bottom="3100" w:left="2300" w:header="2280" w:footer="1760" w:gutter="0"/>
          <w:cols w:space="720"/>
        </w:sectPr>
      </w:pPr>
    </w:p>
    <w:p w14:paraId="38D3DEEC" w14:textId="77777777" w:rsidR="00D94935" w:rsidRDefault="00D94935" w:rsidP="00D94935">
      <w:pPr>
        <w:pStyle w:val="PageBreak"/>
      </w:pPr>
      <w:r>
        <w:br w:type="page"/>
      </w:r>
    </w:p>
    <w:p w14:paraId="331BC7FF" w14:textId="77777777" w:rsidR="00D94935" w:rsidRPr="00C8328B" w:rsidRDefault="00D94935" w:rsidP="00D94935">
      <w:pPr>
        <w:pStyle w:val="Sched-heading"/>
      </w:pPr>
      <w:bookmarkStart w:id="1918" w:name="_Toc185515534"/>
      <w:r w:rsidRPr="00C8328B">
        <w:rPr>
          <w:rStyle w:val="CharChapNo"/>
        </w:rPr>
        <w:lastRenderedPageBreak/>
        <w:t>Schedule 4</w:t>
      </w:r>
      <w:r>
        <w:tab/>
      </w:r>
      <w:r w:rsidRPr="00C8328B">
        <w:rPr>
          <w:rStyle w:val="CharChapText"/>
        </w:rPr>
        <w:t>Scale of costs</w:t>
      </w:r>
      <w:bookmarkEnd w:id="1918"/>
    </w:p>
    <w:p w14:paraId="4BD44752" w14:textId="77777777" w:rsidR="00D94935" w:rsidRDefault="00D94935" w:rsidP="00D94935">
      <w:pPr>
        <w:pStyle w:val="ref"/>
        <w:keepNext/>
        <w:keepLines/>
      </w:pPr>
      <w:r>
        <w:t>(see r 1700)</w:t>
      </w:r>
    </w:p>
    <w:p w14:paraId="29C0EBC8" w14:textId="77777777" w:rsidR="00D94935" w:rsidRPr="00C8328B" w:rsidRDefault="00D94935" w:rsidP="00D94935">
      <w:pPr>
        <w:pStyle w:val="Sched-Part"/>
      </w:pPr>
      <w:bookmarkStart w:id="1919" w:name="_Toc185515535"/>
      <w:r w:rsidRPr="00C8328B">
        <w:rPr>
          <w:rStyle w:val="CharPartNo"/>
        </w:rPr>
        <w:t>Part 4.1</w:t>
      </w:r>
      <w:r>
        <w:tab/>
      </w:r>
      <w:r w:rsidRPr="00C8328B">
        <w:rPr>
          <w:rStyle w:val="CharPartText"/>
        </w:rPr>
        <w:t>Scale of costs—general</w:t>
      </w:r>
      <w:bookmarkEnd w:id="1919"/>
    </w:p>
    <w:p w14:paraId="69222D13" w14:textId="77777777" w:rsidR="00D94935" w:rsidRPr="006364FA" w:rsidRDefault="00D94935" w:rsidP="00D94935">
      <w:pPr>
        <w:pStyle w:val="aNote"/>
        <w:keepNext/>
        <w:rPr>
          <w:rStyle w:val="charItals"/>
        </w:rPr>
      </w:pPr>
      <w:r w:rsidRPr="006364FA">
        <w:rPr>
          <w:rStyle w:val="charItals"/>
        </w:rPr>
        <w:t>Note to pt 4.1</w:t>
      </w:r>
    </w:p>
    <w:p w14:paraId="5F280E70" w14:textId="77777777" w:rsidR="00D94935" w:rsidRDefault="00D94935" w:rsidP="00D94935">
      <w:pPr>
        <w:pStyle w:val="aNote"/>
        <w:keepNext/>
        <w:ind w:left="1100" w:firstLine="0"/>
      </w:pPr>
      <w:r>
        <w:t>Div 2.17.2 (Entitlement to costs) includes the following rules which relate to the assessment of costs under this schedule:</w:t>
      </w:r>
    </w:p>
    <w:p w14:paraId="1EBEC50B"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14:paraId="1799EF1F"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14:paraId="07772D9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14:paraId="021DA01A"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14:paraId="4593C489"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14:paraId="50E7935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14:paraId="5F0D2E3A" w14:textId="77777777" w:rsidR="00D94935" w:rsidRDefault="00D94935" w:rsidP="00D94935">
      <w:pPr>
        <w:pStyle w:val="Schclauseheading"/>
      </w:pPr>
      <w:bookmarkStart w:id="1920" w:name="_Toc185515536"/>
      <w:r w:rsidRPr="00C8328B">
        <w:rPr>
          <w:rStyle w:val="CharSectNo"/>
        </w:rPr>
        <w:t>4.1</w:t>
      </w:r>
      <w:r>
        <w:tab/>
        <w:t>Costs—general care and conduct</w:t>
      </w:r>
      <w:bookmarkEnd w:id="1920"/>
    </w:p>
    <w:p w14:paraId="17B33FF0" w14:textId="77777777"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14:paraId="52A89DFF" w14:textId="77777777" w:rsidR="00D94935" w:rsidRDefault="00D94935" w:rsidP="00D94935">
      <w:pPr>
        <w:pStyle w:val="SchApara"/>
      </w:pPr>
      <w:r>
        <w:tab/>
        <w:t>(a)</w:t>
      </w:r>
      <w:r>
        <w:tab/>
        <w:t>the complexity of the proceeding;</w:t>
      </w:r>
    </w:p>
    <w:p w14:paraId="29C2283D" w14:textId="77777777" w:rsidR="00D94935" w:rsidRDefault="00D94935" w:rsidP="00D94935">
      <w:pPr>
        <w:pStyle w:val="SchApara"/>
      </w:pPr>
      <w:r>
        <w:tab/>
        <w:t>(b)</w:t>
      </w:r>
      <w:r>
        <w:tab/>
        <w:t>the difficulty and novelty of any question raised in the proceeding;</w:t>
      </w:r>
    </w:p>
    <w:p w14:paraId="188E7585" w14:textId="77777777" w:rsidR="00D94935" w:rsidRDefault="00D94935" w:rsidP="00D94935">
      <w:pPr>
        <w:pStyle w:val="SchApara"/>
      </w:pPr>
      <w:r>
        <w:tab/>
        <w:t>(c)</w:t>
      </w:r>
      <w:r>
        <w:tab/>
        <w:t>the importance of the proceeding, including to the party;</w:t>
      </w:r>
    </w:p>
    <w:p w14:paraId="2C3F1C20" w14:textId="77777777" w:rsidR="00D94935" w:rsidRDefault="00D94935" w:rsidP="00D94935">
      <w:pPr>
        <w:pStyle w:val="SchApara"/>
      </w:pPr>
      <w:r>
        <w:tab/>
        <w:t>(d)</w:t>
      </w:r>
      <w:r>
        <w:tab/>
        <w:t>the amount involved;</w:t>
      </w:r>
    </w:p>
    <w:p w14:paraId="0C26C2EE" w14:textId="77777777" w:rsidR="00D94935" w:rsidRDefault="00D94935" w:rsidP="00D94935">
      <w:pPr>
        <w:pStyle w:val="SchApara"/>
      </w:pPr>
      <w:r>
        <w:tab/>
        <w:t>(e)</w:t>
      </w:r>
      <w:r>
        <w:tab/>
        <w:t>the skill, labour, specialised knowledge and responsibility involved in the proceeding on the part of the solicitor;</w:t>
      </w:r>
    </w:p>
    <w:p w14:paraId="4610ECFE" w14:textId="77777777" w:rsidR="00D94935" w:rsidRDefault="00D94935" w:rsidP="00D94935">
      <w:pPr>
        <w:pStyle w:val="SchApara"/>
      </w:pPr>
      <w:r>
        <w:tab/>
        <w:t>(f)</w:t>
      </w:r>
      <w:r>
        <w:tab/>
        <w:t>the number and importance of the documents prepared or perused, without regard to the length of the documents;</w:t>
      </w:r>
    </w:p>
    <w:p w14:paraId="12609F86" w14:textId="77777777" w:rsidR="00D94935" w:rsidRDefault="00D94935" w:rsidP="00D94935">
      <w:pPr>
        <w:pStyle w:val="SchApara"/>
      </w:pPr>
      <w:r>
        <w:lastRenderedPageBreak/>
        <w:tab/>
        <w:t>(g)</w:t>
      </w:r>
      <w:r>
        <w:tab/>
        <w:t>the time spent by the solicitor;</w:t>
      </w:r>
    </w:p>
    <w:p w14:paraId="1FD48397" w14:textId="77777777" w:rsidR="00D94935" w:rsidRDefault="00D94935" w:rsidP="00D94935">
      <w:pPr>
        <w:pStyle w:val="SchApara"/>
        <w:keepNext/>
      </w:pPr>
      <w:r>
        <w:tab/>
        <w:t>(h)</w:t>
      </w:r>
      <w:r>
        <w:tab/>
        <w:t>research and consideration of questions of law and fact.</w:t>
      </w:r>
    </w:p>
    <w:p w14:paraId="36C8FC44" w14:textId="77777777" w:rsidR="00D94935" w:rsidRDefault="00D94935" w:rsidP="00D94935">
      <w:pPr>
        <w:pStyle w:val="Schclauseheading"/>
      </w:pPr>
      <w:bookmarkStart w:id="1921" w:name="_Toc185515537"/>
      <w:r w:rsidRPr="00C8328B">
        <w:rPr>
          <w:rStyle w:val="CharSectNo"/>
        </w:rPr>
        <w:t>4.2</w:t>
      </w:r>
      <w:r>
        <w:tab/>
        <w:t>Costs—registrar’s discretion</w:t>
      </w:r>
      <w:bookmarkEnd w:id="1921"/>
    </w:p>
    <w:p w14:paraId="57829052" w14:textId="77777777"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14:paraId="46E78EE7" w14:textId="77777777" w:rsidR="00D94935" w:rsidRDefault="00D94935" w:rsidP="00D94935">
      <w:pPr>
        <w:pStyle w:val="SchAmain"/>
      </w:pPr>
      <w:r>
        <w:tab/>
        <w:t>(2)</w:t>
      </w:r>
      <w:r>
        <w:tab/>
        <w:t>For a matter for which a cost is not provided for in part 4.2, the amount to be allowed is the cost the registrar considers reasonable.</w:t>
      </w:r>
    </w:p>
    <w:p w14:paraId="3C620A16" w14:textId="77777777"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14:paraId="1829C37D" w14:textId="77777777" w:rsidR="00D94935" w:rsidRDefault="00D94935" w:rsidP="00D94935">
      <w:pPr>
        <w:pStyle w:val="Schclauseheading"/>
      </w:pPr>
      <w:bookmarkStart w:id="1922" w:name="_Toc185515538"/>
      <w:r w:rsidRPr="00C8328B">
        <w:rPr>
          <w:rStyle w:val="CharSectNo"/>
        </w:rPr>
        <w:t>4.3</w:t>
      </w:r>
      <w:r>
        <w:tab/>
        <w:t>Costs—letters sent by email</w:t>
      </w:r>
      <w:bookmarkEnd w:id="1922"/>
    </w:p>
    <w:p w14:paraId="153D4F8E" w14:textId="77777777" w:rsidR="00D94935" w:rsidRDefault="00D94935" w:rsidP="00D94935">
      <w:pPr>
        <w:pStyle w:val="Amainreturn"/>
      </w:pPr>
      <w:r>
        <w:t>The amount to be allowed for a letter sent as an email, or as an attachment to an email, is the amount that would be allowed if the letter were sent by post or another way.</w:t>
      </w:r>
    </w:p>
    <w:p w14:paraId="6C21B674" w14:textId="77777777" w:rsidR="00D94935" w:rsidRDefault="00D94935" w:rsidP="00D94935">
      <w:pPr>
        <w:pStyle w:val="Schclauseheading"/>
      </w:pPr>
      <w:bookmarkStart w:id="1923" w:name="_Toc185515539"/>
      <w:r w:rsidRPr="00C8328B">
        <w:rPr>
          <w:rStyle w:val="CharSectNo"/>
        </w:rPr>
        <w:t>4.4</w:t>
      </w:r>
      <w:r>
        <w:tab/>
        <w:t>Costs—allowance on affidavits to include attendances</w:t>
      </w:r>
      <w:bookmarkEnd w:id="1923"/>
    </w:p>
    <w:p w14:paraId="64615EFF" w14:textId="77777777"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14:paraId="06865B58" w14:textId="77777777" w:rsidR="00D94935" w:rsidRDefault="00D94935" w:rsidP="00D94935">
      <w:pPr>
        <w:pStyle w:val="Schclauseheading"/>
      </w:pPr>
      <w:bookmarkStart w:id="1924" w:name="_Toc185515540"/>
      <w:r w:rsidRPr="00C8328B">
        <w:rPr>
          <w:rStyle w:val="CharSectNo"/>
        </w:rPr>
        <w:t>4.5</w:t>
      </w:r>
      <w:r>
        <w:tab/>
        <w:t>Costs—affidavit made by 2 or more people etc</w:t>
      </w:r>
      <w:bookmarkEnd w:id="1924"/>
    </w:p>
    <w:p w14:paraId="6B6AF85D" w14:textId="77777777" w:rsidR="00D94935" w:rsidRDefault="00D94935" w:rsidP="00D94935">
      <w:pPr>
        <w:pStyle w:val="Amainreturn"/>
      </w:pPr>
      <w:r>
        <w:t>The registrar may make any further allowance the registrar considers reasonable in relation to an affidavit if—</w:t>
      </w:r>
    </w:p>
    <w:p w14:paraId="01C6E6E0" w14:textId="77777777" w:rsidR="00D94935" w:rsidRDefault="00D94935" w:rsidP="00D94935">
      <w:pPr>
        <w:pStyle w:val="Apara"/>
      </w:pPr>
      <w:r>
        <w:tab/>
        <w:t>(a)</w:t>
      </w:r>
      <w:r>
        <w:tab/>
        <w:t>the affidavit is sworn by 2 or more people; or</w:t>
      </w:r>
    </w:p>
    <w:p w14:paraId="4693BFD2" w14:textId="77777777" w:rsidR="00D94935" w:rsidRDefault="00D94935" w:rsidP="00D94935">
      <w:pPr>
        <w:pStyle w:val="Apara"/>
      </w:pPr>
      <w:r>
        <w:lastRenderedPageBreak/>
        <w:tab/>
        <w:t>(b)</w:t>
      </w:r>
      <w:r>
        <w:tab/>
        <w:t>the affidavit must be sent somewhere else, or an agent has to be employed, for the affidavit to be sworn.</w:t>
      </w:r>
    </w:p>
    <w:p w14:paraId="2D32A7B8" w14:textId="77777777" w:rsidR="00D94935" w:rsidRDefault="00D94935" w:rsidP="00D94935">
      <w:pPr>
        <w:pStyle w:val="Schclauseheading"/>
      </w:pPr>
      <w:bookmarkStart w:id="1925" w:name="_Toc185515541"/>
      <w:r w:rsidRPr="00C8328B">
        <w:rPr>
          <w:rStyle w:val="CharSectNo"/>
        </w:rPr>
        <w:t>4.6</w:t>
      </w:r>
      <w:r>
        <w:tab/>
        <w:t>Costs—documents to be served together</w:t>
      </w:r>
      <w:bookmarkEnd w:id="1925"/>
    </w:p>
    <w:p w14:paraId="0B5912D1" w14:textId="77777777" w:rsidR="00D94935" w:rsidRDefault="00D94935" w:rsidP="00D94935">
      <w:pPr>
        <w:pStyle w:val="SchAmain"/>
      </w:pPr>
      <w:r>
        <w:tab/>
        <w:t>(1)</w:t>
      </w:r>
      <w:r>
        <w:tab/>
        <w:t>If 2 or more documents can be served at the same time on a party to a proceeding, the documents must be served together.</w:t>
      </w:r>
    </w:p>
    <w:p w14:paraId="73338EA6" w14:textId="77777777" w:rsidR="00D94935" w:rsidRDefault="00D94935" w:rsidP="00D94935">
      <w:pPr>
        <w:pStyle w:val="SchAmain"/>
      </w:pPr>
      <w:r>
        <w:tab/>
        <w:t>(2)</w:t>
      </w:r>
      <w:r>
        <w:tab/>
        <w:t>The registrar must not allow any further amount for service if more than 1 document is served at the same time.</w:t>
      </w:r>
    </w:p>
    <w:p w14:paraId="1BF47563" w14:textId="77777777" w:rsidR="00D94935" w:rsidRDefault="00D94935" w:rsidP="00D94935">
      <w:pPr>
        <w:pStyle w:val="Schclauseheading"/>
      </w:pPr>
      <w:bookmarkStart w:id="1926" w:name="_Toc185515542"/>
      <w:r w:rsidRPr="00C8328B">
        <w:rPr>
          <w:rStyle w:val="CharSectNo"/>
        </w:rPr>
        <w:t>4.7</w:t>
      </w:r>
      <w:r>
        <w:tab/>
        <w:t>Costs—agency correspondence</w:t>
      </w:r>
      <w:bookmarkEnd w:id="1926"/>
    </w:p>
    <w:p w14:paraId="0C480CD7" w14:textId="77777777"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14:paraId="43215E96" w14:textId="77777777" w:rsidR="00D94935" w:rsidRDefault="00D94935" w:rsidP="00D94935">
      <w:pPr>
        <w:pStyle w:val="Schclauseheading"/>
      </w:pPr>
      <w:bookmarkStart w:id="1927" w:name="_Toc185515543"/>
      <w:r w:rsidRPr="00C8328B">
        <w:rPr>
          <w:rStyle w:val="CharSectNo"/>
        </w:rPr>
        <w:t>4.8</w:t>
      </w:r>
      <w:r>
        <w:tab/>
        <w:t>Costs—attendance to instruct counsel</w:t>
      </w:r>
      <w:bookmarkEnd w:id="1927"/>
    </w:p>
    <w:p w14:paraId="72366918" w14:textId="77777777"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14:paraId="2C6ABE4C" w14:textId="77777777"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14:paraId="161337C3" w14:textId="77777777"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14:paraId="7A4EF89F" w14:textId="77777777" w:rsidR="00D94935" w:rsidRDefault="00D94935" w:rsidP="00D94935">
      <w:pPr>
        <w:pStyle w:val="SchApara"/>
      </w:pPr>
      <w:r>
        <w:tab/>
        <w:t>(c)</w:t>
      </w:r>
      <w:r>
        <w:tab/>
        <w:t>the amount set by the prescribed scale of costs for a clerk to attend to instruct counsel, if satisfied that the attendance of a clerk only was justified.</w:t>
      </w:r>
    </w:p>
    <w:p w14:paraId="42A4E239" w14:textId="77777777"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14:paraId="4A87854A" w14:textId="77777777"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14:paraId="4C1146E4" w14:textId="77777777" w:rsidR="00D94935" w:rsidRDefault="00D94935" w:rsidP="00D94935">
      <w:pPr>
        <w:pStyle w:val="SchApara"/>
      </w:pPr>
      <w:r>
        <w:tab/>
        <w:t>(b)</w:t>
      </w:r>
      <w:r>
        <w:tab/>
        <w:t>the amount set by the prescribed scale of costs for a clerk to attend to instruct counsel, if satisfied that the attendance of a clerk only was justified.</w:t>
      </w:r>
    </w:p>
    <w:p w14:paraId="4DD97EF4" w14:textId="77777777"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14:paraId="2BE84696" w14:textId="77777777" w:rsidR="00D94935" w:rsidRDefault="00D94935" w:rsidP="00D94935">
      <w:pPr>
        <w:pStyle w:val="Schclauseheading"/>
      </w:pPr>
      <w:bookmarkStart w:id="1928" w:name="_Toc185515544"/>
      <w:r w:rsidRPr="00C8328B">
        <w:rPr>
          <w:rStyle w:val="CharSectNo"/>
        </w:rPr>
        <w:t>4.9</w:t>
      </w:r>
      <w:r>
        <w:tab/>
        <w:t>Costs—parties with same solicitor</w:t>
      </w:r>
      <w:bookmarkEnd w:id="1928"/>
    </w:p>
    <w:p w14:paraId="08E8AA35" w14:textId="77777777"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14:paraId="60D67231" w14:textId="77777777" w:rsidR="00D94935" w:rsidRDefault="00D94935" w:rsidP="00D94935">
      <w:pPr>
        <w:pStyle w:val="Schclauseheading"/>
      </w:pPr>
      <w:bookmarkStart w:id="1929" w:name="_Toc185515545"/>
      <w:r w:rsidRPr="00C8328B">
        <w:rPr>
          <w:rStyle w:val="CharSectNo"/>
        </w:rPr>
        <w:t>4.10</w:t>
      </w:r>
      <w:r>
        <w:tab/>
        <w:t>Costs—counsel drawing and settling documents</w:t>
      </w:r>
      <w:bookmarkEnd w:id="1929"/>
    </w:p>
    <w:p w14:paraId="1DE7B1D2" w14:textId="77777777"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14:paraId="5C9D8DF8" w14:textId="77777777" w:rsidR="00D94935" w:rsidRDefault="00D94935" w:rsidP="00D94935">
      <w:pPr>
        <w:pStyle w:val="Schclauseheading"/>
      </w:pPr>
      <w:bookmarkStart w:id="1930" w:name="_Toc185515546"/>
      <w:r w:rsidRPr="00C8328B">
        <w:rPr>
          <w:rStyle w:val="CharSectNo"/>
        </w:rPr>
        <w:t>4.11</w:t>
      </w:r>
      <w:r>
        <w:tab/>
        <w:t>Costs—premature brief</w:t>
      </w:r>
      <w:bookmarkEnd w:id="1930"/>
    </w:p>
    <w:p w14:paraId="235C4447" w14:textId="77777777" w:rsidR="00D94935" w:rsidRDefault="00D94935" w:rsidP="00D94935">
      <w:pPr>
        <w:pStyle w:val="Amainreturn"/>
      </w:pPr>
      <w:r>
        <w:t>The registrar must not allow costs for the preparation and delivery of a brief to counsel on a trial that did not take place if the costs were incurred prematurely.</w:t>
      </w:r>
    </w:p>
    <w:p w14:paraId="5CB1FF06" w14:textId="77777777" w:rsidR="00E05159" w:rsidRPr="0066605F" w:rsidRDefault="00E05159" w:rsidP="00E05159">
      <w:pPr>
        <w:pStyle w:val="AH5Sec"/>
        <w:rPr>
          <w:lang w:eastAsia="en-AU"/>
        </w:rPr>
      </w:pPr>
      <w:bookmarkStart w:id="1931" w:name="_Toc185515547"/>
      <w:r w:rsidRPr="00E05159">
        <w:rPr>
          <w:rStyle w:val="CharSectNo"/>
        </w:rPr>
        <w:lastRenderedPageBreak/>
        <w:t>4.12</w:t>
      </w:r>
      <w:r w:rsidRPr="0066605F">
        <w:tab/>
        <w:t>Costs—transitional</w:t>
      </w:r>
      <w:bookmarkEnd w:id="1931"/>
    </w:p>
    <w:p w14:paraId="339170CE" w14:textId="77777777" w:rsidR="00E05159" w:rsidRPr="0066605F" w:rsidRDefault="00E05159" w:rsidP="00E05159">
      <w:pPr>
        <w:pStyle w:val="Amain"/>
      </w:pPr>
      <w:r w:rsidRPr="0066605F">
        <w:tab/>
        <w:t>(1)</w:t>
      </w:r>
      <w:r w:rsidRPr="0066605F">
        <w:tab/>
        <w:t>A solicitor is entitled to charge and be allowed the costs set out in this schedule for work done or services performed on or after the commencement day.</w:t>
      </w:r>
    </w:p>
    <w:p w14:paraId="6DA170B1" w14:textId="77777777" w:rsidR="00E05159" w:rsidRPr="0066605F" w:rsidRDefault="00E05159" w:rsidP="00E05159">
      <w:pPr>
        <w:pStyle w:val="Amain"/>
      </w:pPr>
      <w:r w:rsidRPr="0066605F">
        <w:tab/>
        <w:t>(2)</w:t>
      </w:r>
      <w:r w:rsidRPr="0066605F">
        <w:tab/>
        <w:t>However, if work done or services performed by a solicitor after the commencement day was assessed before the commencement day, this rule as in effect immediately before the commencement day continues to apply to the work and services.</w:t>
      </w:r>
    </w:p>
    <w:p w14:paraId="656D18AE" w14:textId="77777777" w:rsidR="00E05159" w:rsidRPr="0066605F" w:rsidRDefault="00E05159" w:rsidP="00E05159">
      <w:pPr>
        <w:pStyle w:val="Amain"/>
      </w:pPr>
      <w:r w:rsidRPr="0066605F">
        <w:tab/>
        <w:t>(3)</w:t>
      </w:r>
      <w:r w:rsidRPr="0066605F">
        <w:tab/>
        <w:t>Rule 4.12 as in effect immediately before the commencement day continues to apply to work done or services performed by a solicitor before the commencement day.</w:t>
      </w:r>
    </w:p>
    <w:p w14:paraId="2558B815" w14:textId="77777777" w:rsidR="00E05159" w:rsidRPr="0066605F" w:rsidRDefault="00E05159" w:rsidP="00E05159">
      <w:pPr>
        <w:pStyle w:val="Amain"/>
      </w:pPr>
      <w:r w:rsidRPr="0066605F">
        <w:tab/>
        <w:t>(4)</w:t>
      </w:r>
      <w:r w:rsidRPr="0066605F">
        <w:tab/>
        <w:t>In this rule:</w:t>
      </w:r>
    </w:p>
    <w:p w14:paraId="579AD48B" w14:textId="1EC9E1F2" w:rsidR="00E05159" w:rsidRPr="0066605F" w:rsidRDefault="00E05159" w:rsidP="00E05159">
      <w:pPr>
        <w:pStyle w:val="aDef"/>
      </w:pPr>
      <w:r w:rsidRPr="0066605F">
        <w:rPr>
          <w:rStyle w:val="charBoldItals"/>
        </w:rPr>
        <w:t>commencement day</w:t>
      </w:r>
      <w:r w:rsidRPr="0066605F">
        <w:rPr>
          <w:iCs/>
        </w:rPr>
        <w:t xml:space="preserve"> means the day the</w:t>
      </w:r>
      <w:r w:rsidRPr="0066605F">
        <w:rPr>
          <w:rStyle w:val="charItals"/>
        </w:rPr>
        <w:t xml:space="preserve"> </w:t>
      </w:r>
      <w:hyperlink r:id="rId966" w:tooltip="SL2022-19" w:history="1">
        <w:r w:rsidR="00672030" w:rsidRPr="00672030">
          <w:rPr>
            <w:rStyle w:val="charCitHyperlinkItal"/>
          </w:rPr>
          <w:t>Court Procedures Amendment Rules 2022 (No 3)</w:t>
        </w:r>
      </w:hyperlink>
      <w:r w:rsidRPr="0066605F">
        <w:rPr>
          <w:iCs/>
        </w:rPr>
        <w:t>,</w:t>
      </w:r>
      <w:r w:rsidRPr="0066605F">
        <w:t xml:space="preserve"> rule </w:t>
      </w:r>
      <w:r>
        <w:t>8</w:t>
      </w:r>
      <w:r w:rsidRPr="0066605F">
        <w:t xml:space="preserve"> commences.</w:t>
      </w:r>
    </w:p>
    <w:p w14:paraId="462E1C49" w14:textId="77777777" w:rsidR="004E54FA" w:rsidRDefault="004E54FA">
      <w:pPr>
        <w:pStyle w:val="03Schedule"/>
        <w:sectPr w:rsidR="004E54FA" w:rsidSect="00CD3DF7">
          <w:headerReference w:type="even" r:id="rId967"/>
          <w:headerReference w:type="default" r:id="rId968"/>
          <w:footerReference w:type="even" r:id="rId969"/>
          <w:footerReference w:type="default" r:id="rId970"/>
          <w:type w:val="continuous"/>
          <w:pgSz w:w="11907" w:h="16839" w:code="9"/>
          <w:pgMar w:top="3880" w:right="1900" w:bottom="3100" w:left="2300" w:header="2280" w:footer="1760" w:gutter="0"/>
          <w:cols w:space="720"/>
        </w:sectPr>
      </w:pPr>
    </w:p>
    <w:p w14:paraId="721DB6EB" w14:textId="77777777" w:rsidR="00D94935" w:rsidRDefault="00D94935" w:rsidP="00D94935">
      <w:pPr>
        <w:pStyle w:val="PageBreak"/>
      </w:pPr>
      <w:r>
        <w:br w:type="page"/>
      </w:r>
    </w:p>
    <w:p w14:paraId="1692BA22" w14:textId="62C15719" w:rsidR="00E05159" w:rsidRDefault="00E05159" w:rsidP="00E05159">
      <w:pPr>
        <w:pStyle w:val="AH2Part"/>
      </w:pPr>
      <w:bookmarkStart w:id="1932" w:name="_Toc185515548"/>
      <w:r w:rsidRPr="00E05159">
        <w:rPr>
          <w:rStyle w:val="CharPartNo"/>
        </w:rPr>
        <w:lastRenderedPageBreak/>
        <w:t>Part 4.2</w:t>
      </w:r>
      <w:r w:rsidRPr="0066605F">
        <w:rPr>
          <w:rStyle w:val="CharPartNo"/>
        </w:rPr>
        <w:tab/>
      </w:r>
      <w:r w:rsidRPr="00E05159">
        <w:rPr>
          <w:rStyle w:val="CharPartText"/>
        </w:rPr>
        <w:t>Scale of costs—items</w:t>
      </w:r>
      <w:bookmarkEnd w:id="1932"/>
    </w:p>
    <w:p w14:paraId="2E37381E" w14:textId="77777777" w:rsidR="00E05159" w:rsidRPr="00E05159" w:rsidRDefault="00E05159" w:rsidP="00E0515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E05159" w:rsidRPr="0066605F" w14:paraId="63C6E4AA" w14:textId="77777777" w:rsidTr="00F50B66">
        <w:trPr>
          <w:cantSplit/>
          <w:tblHeader/>
        </w:trPr>
        <w:tc>
          <w:tcPr>
            <w:tcW w:w="1200" w:type="dxa"/>
            <w:tcBorders>
              <w:bottom w:val="single" w:sz="4" w:space="0" w:color="auto"/>
            </w:tcBorders>
          </w:tcPr>
          <w:p w14:paraId="15FB5763" w14:textId="77777777" w:rsidR="00E05159" w:rsidRPr="0066605F" w:rsidRDefault="00E05159" w:rsidP="00F50B66">
            <w:pPr>
              <w:pStyle w:val="TableColHd"/>
              <w:rPr>
                <w:color w:val="000000"/>
              </w:rPr>
            </w:pPr>
            <w:r w:rsidRPr="0066605F">
              <w:rPr>
                <w:color w:val="000000"/>
              </w:rPr>
              <w:t>column 1</w:t>
            </w:r>
          </w:p>
          <w:p w14:paraId="66542ACF" w14:textId="77777777" w:rsidR="00E05159" w:rsidRPr="0066605F" w:rsidRDefault="00E05159" w:rsidP="00F50B66">
            <w:pPr>
              <w:pStyle w:val="TableColHd"/>
              <w:rPr>
                <w:color w:val="000000"/>
              </w:rPr>
            </w:pPr>
            <w:r w:rsidRPr="0066605F">
              <w:rPr>
                <w:color w:val="000000"/>
              </w:rPr>
              <w:t>item</w:t>
            </w:r>
          </w:p>
        </w:tc>
        <w:tc>
          <w:tcPr>
            <w:tcW w:w="3161" w:type="dxa"/>
            <w:tcBorders>
              <w:bottom w:val="single" w:sz="4" w:space="0" w:color="auto"/>
            </w:tcBorders>
          </w:tcPr>
          <w:p w14:paraId="45FB29BB" w14:textId="77777777" w:rsidR="00E05159" w:rsidRPr="0066605F" w:rsidRDefault="00E05159" w:rsidP="00F50B66">
            <w:pPr>
              <w:pStyle w:val="TableColHd"/>
              <w:rPr>
                <w:color w:val="000000"/>
              </w:rPr>
            </w:pPr>
            <w:r w:rsidRPr="0066605F">
              <w:rPr>
                <w:color w:val="000000"/>
              </w:rPr>
              <w:t>column 2</w:t>
            </w:r>
          </w:p>
          <w:p w14:paraId="4F7CBF4D" w14:textId="77777777" w:rsidR="00E05159" w:rsidRPr="0066605F" w:rsidRDefault="00E05159" w:rsidP="00F50B66">
            <w:pPr>
              <w:pStyle w:val="TableColHd"/>
              <w:rPr>
                <w:color w:val="000000"/>
              </w:rPr>
            </w:pPr>
            <w:r w:rsidRPr="0066605F">
              <w:rPr>
                <w:color w:val="000000"/>
              </w:rPr>
              <w:t>matter in relation to which charge is made</w:t>
            </w:r>
          </w:p>
        </w:tc>
        <w:tc>
          <w:tcPr>
            <w:tcW w:w="3587" w:type="dxa"/>
            <w:gridSpan w:val="2"/>
            <w:tcBorders>
              <w:bottom w:val="single" w:sz="4" w:space="0" w:color="auto"/>
            </w:tcBorders>
          </w:tcPr>
          <w:p w14:paraId="7FC3DB0A" w14:textId="77777777" w:rsidR="00E05159" w:rsidRPr="0066605F" w:rsidRDefault="00E05159" w:rsidP="00F50B66">
            <w:pPr>
              <w:pStyle w:val="TableColHd"/>
              <w:rPr>
                <w:color w:val="000000"/>
              </w:rPr>
            </w:pPr>
            <w:r w:rsidRPr="0066605F">
              <w:rPr>
                <w:color w:val="000000"/>
              </w:rPr>
              <w:t>column 3</w:t>
            </w:r>
          </w:p>
          <w:p w14:paraId="17B70852" w14:textId="77777777" w:rsidR="00E05159" w:rsidRPr="0066605F" w:rsidRDefault="00E05159" w:rsidP="00F50B66">
            <w:pPr>
              <w:pStyle w:val="TableColHd"/>
              <w:rPr>
                <w:color w:val="000000"/>
              </w:rPr>
            </w:pPr>
            <w:r w:rsidRPr="0066605F">
              <w:rPr>
                <w:color w:val="000000"/>
              </w:rPr>
              <w:t>charge ($)</w:t>
            </w:r>
          </w:p>
        </w:tc>
      </w:tr>
      <w:tr w:rsidR="00E05159" w:rsidRPr="0066605F" w14:paraId="73CA7423" w14:textId="77777777" w:rsidTr="00F50B66">
        <w:trPr>
          <w:cantSplit/>
        </w:trPr>
        <w:tc>
          <w:tcPr>
            <w:tcW w:w="7948" w:type="dxa"/>
            <w:gridSpan w:val="4"/>
            <w:tcBorders>
              <w:top w:val="single" w:sz="4" w:space="0" w:color="auto"/>
            </w:tcBorders>
          </w:tcPr>
          <w:p w14:paraId="603F3468" w14:textId="77777777" w:rsidR="00E05159" w:rsidRPr="0066605F" w:rsidRDefault="00E05159" w:rsidP="00E05159">
            <w:pPr>
              <w:pStyle w:val="AH3Div"/>
            </w:pPr>
            <w:bookmarkStart w:id="1933" w:name="_Toc185515549"/>
            <w:r w:rsidRPr="00E05159">
              <w:rPr>
                <w:rStyle w:val="CharDivNo"/>
              </w:rPr>
              <w:t>Division 4.2.1</w:t>
            </w:r>
            <w:r w:rsidRPr="0066605F">
              <w:rPr>
                <w:color w:val="000000"/>
              </w:rPr>
              <w:tab/>
            </w:r>
            <w:r w:rsidRPr="00E05159">
              <w:rPr>
                <w:rStyle w:val="CharDivText"/>
              </w:rPr>
              <w:t>Instructions</w:t>
            </w:r>
            <w:bookmarkEnd w:id="1933"/>
          </w:p>
        </w:tc>
      </w:tr>
      <w:tr w:rsidR="00E05159" w:rsidRPr="0066605F" w14:paraId="7834AAA6" w14:textId="77777777" w:rsidTr="00F50B66">
        <w:trPr>
          <w:cantSplit/>
        </w:trPr>
        <w:tc>
          <w:tcPr>
            <w:tcW w:w="1200" w:type="dxa"/>
          </w:tcPr>
          <w:p w14:paraId="38D6544F" w14:textId="77777777" w:rsidR="00E05159" w:rsidRPr="0066605F" w:rsidRDefault="00E05159" w:rsidP="00F50B66">
            <w:pPr>
              <w:pStyle w:val="TableText10"/>
            </w:pPr>
            <w:r w:rsidRPr="0066605F">
              <w:t>1</w:t>
            </w:r>
          </w:p>
        </w:tc>
        <w:tc>
          <w:tcPr>
            <w:tcW w:w="3161" w:type="dxa"/>
          </w:tcPr>
          <w:p w14:paraId="116D1C44" w14:textId="77777777" w:rsidR="00E05159" w:rsidRPr="0066605F" w:rsidRDefault="00E05159" w:rsidP="00F50B66">
            <w:pPr>
              <w:pStyle w:val="TableText10"/>
            </w:pPr>
            <w:r w:rsidRPr="0066605F">
              <w:t>to sue or defend, to appeal or oppose an appeal</w:t>
            </w:r>
          </w:p>
        </w:tc>
        <w:tc>
          <w:tcPr>
            <w:tcW w:w="3587" w:type="dxa"/>
            <w:gridSpan w:val="2"/>
          </w:tcPr>
          <w:p w14:paraId="21E20DB5" w14:textId="77777777" w:rsidR="00E05159" w:rsidRPr="0066605F" w:rsidRDefault="00E05159" w:rsidP="00F50B66">
            <w:pPr>
              <w:pStyle w:val="TableText10"/>
              <w:rPr>
                <w:color w:val="000000"/>
              </w:rPr>
            </w:pPr>
            <w:r w:rsidRPr="0066605F">
              <w:rPr>
                <w:color w:val="000000"/>
              </w:rPr>
              <w:t>201.30</w:t>
            </w:r>
          </w:p>
        </w:tc>
      </w:tr>
      <w:tr w:rsidR="00E05159" w:rsidRPr="0066605F" w14:paraId="179C17AE" w14:textId="77777777" w:rsidTr="00F50B66">
        <w:trPr>
          <w:cantSplit/>
        </w:trPr>
        <w:tc>
          <w:tcPr>
            <w:tcW w:w="1200" w:type="dxa"/>
          </w:tcPr>
          <w:p w14:paraId="1783909A" w14:textId="77777777" w:rsidR="00E05159" w:rsidRPr="0066605F" w:rsidRDefault="00E05159" w:rsidP="00F50B66">
            <w:pPr>
              <w:pStyle w:val="TableText10"/>
            </w:pPr>
            <w:r w:rsidRPr="0066605F">
              <w:t>2</w:t>
            </w:r>
          </w:p>
        </w:tc>
        <w:tc>
          <w:tcPr>
            <w:tcW w:w="3161" w:type="dxa"/>
          </w:tcPr>
          <w:p w14:paraId="2D4F25CF" w14:textId="77777777" w:rsidR="00E05159" w:rsidRPr="0066605F" w:rsidRDefault="00E05159" w:rsidP="00F50B66">
            <w:pPr>
              <w:pStyle w:val="TableText10"/>
            </w:pPr>
            <w:r w:rsidRPr="0066605F">
              <w:t>for statement of claim, petition, special case or counterclaim</w:t>
            </w:r>
          </w:p>
        </w:tc>
        <w:tc>
          <w:tcPr>
            <w:tcW w:w="3587" w:type="dxa"/>
            <w:gridSpan w:val="2"/>
          </w:tcPr>
          <w:p w14:paraId="506A4313" w14:textId="77777777" w:rsidR="00E05159" w:rsidRPr="0066605F" w:rsidRDefault="00E05159" w:rsidP="00F50B66">
            <w:pPr>
              <w:pStyle w:val="TableText10"/>
              <w:rPr>
                <w:color w:val="000000"/>
              </w:rPr>
            </w:pPr>
            <w:r w:rsidRPr="0066605F">
              <w:rPr>
                <w:color w:val="000000"/>
              </w:rPr>
              <w:t>201.30</w:t>
            </w:r>
          </w:p>
        </w:tc>
      </w:tr>
      <w:tr w:rsidR="00E05159" w:rsidRPr="0066605F" w14:paraId="66402F72" w14:textId="77777777" w:rsidTr="00F50B66">
        <w:trPr>
          <w:cantSplit/>
        </w:trPr>
        <w:tc>
          <w:tcPr>
            <w:tcW w:w="1200" w:type="dxa"/>
          </w:tcPr>
          <w:p w14:paraId="5A4537A4" w14:textId="77777777" w:rsidR="00E05159" w:rsidRPr="0066605F" w:rsidRDefault="00E05159" w:rsidP="00F50B66">
            <w:pPr>
              <w:pStyle w:val="TableText10"/>
            </w:pPr>
            <w:r w:rsidRPr="0066605F">
              <w:t>3</w:t>
            </w:r>
          </w:p>
        </w:tc>
        <w:tc>
          <w:tcPr>
            <w:tcW w:w="3161" w:type="dxa"/>
          </w:tcPr>
          <w:p w14:paraId="2C7468B8" w14:textId="77777777" w:rsidR="00E05159" w:rsidRPr="0066605F" w:rsidRDefault="00E05159" w:rsidP="00F50B66">
            <w:pPr>
              <w:pStyle w:val="TableText10"/>
            </w:pPr>
            <w:r w:rsidRPr="0066605F">
              <w:t>for defence</w:t>
            </w:r>
          </w:p>
        </w:tc>
        <w:tc>
          <w:tcPr>
            <w:tcW w:w="3587" w:type="dxa"/>
            <w:gridSpan w:val="2"/>
          </w:tcPr>
          <w:p w14:paraId="08E22208" w14:textId="77777777" w:rsidR="00E05159" w:rsidRPr="0066605F" w:rsidRDefault="00E05159" w:rsidP="00F50B66">
            <w:pPr>
              <w:pStyle w:val="TableText10"/>
              <w:rPr>
                <w:color w:val="000000"/>
              </w:rPr>
            </w:pPr>
            <w:r w:rsidRPr="0066605F">
              <w:rPr>
                <w:color w:val="000000"/>
              </w:rPr>
              <w:t>172.30</w:t>
            </w:r>
          </w:p>
        </w:tc>
      </w:tr>
      <w:tr w:rsidR="00E05159" w:rsidRPr="0066605F" w14:paraId="62AFD52E" w14:textId="77777777" w:rsidTr="00F50B66">
        <w:trPr>
          <w:cantSplit/>
        </w:trPr>
        <w:tc>
          <w:tcPr>
            <w:tcW w:w="1200" w:type="dxa"/>
          </w:tcPr>
          <w:p w14:paraId="47691E80" w14:textId="77777777" w:rsidR="00E05159" w:rsidRPr="0066605F" w:rsidRDefault="00E05159" w:rsidP="00F50B66">
            <w:pPr>
              <w:pStyle w:val="TableText10"/>
            </w:pPr>
            <w:r w:rsidRPr="0066605F">
              <w:t>4</w:t>
            </w:r>
          </w:p>
        </w:tc>
        <w:tc>
          <w:tcPr>
            <w:tcW w:w="3161" w:type="dxa"/>
          </w:tcPr>
          <w:p w14:paraId="26C3F888" w14:textId="77777777" w:rsidR="00E05159" w:rsidRPr="0066605F" w:rsidRDefault="00E05159" w:rsidP="00F50B66">
            <w:pPr>
              <w:pStyle w:val="TableText10"/>
              <w:ind w:left="704" w:hanging="704"/>
            </w:pPr>
            <w:r w:rsidRPr="0066605F">
              <w:t>for—</w:t>
            </w:r>
          </w:p>
          <w:p w14:paraId="47223FB0" w14:textId="77777777" w:rsidR="00E05159" w:rsidRPr="0066605F" w:rsidRDefault="00E05159" w:rsidP="00F50B66">
            <w:pPr>
              <w:pStyle w:val="TablePara10"/>
            </w:pPr>
            <w:r w:rsidRPr="0066605F">
              <w:tab/>
              <w:t>(a)</w:t>
            </w:r>
            <w:r w:rsidRPr="0066605F">
              <w:tab/>
              <w:t>a reply; or</w:t>
            </w:r>
          </w:p>
          <w:p w14:paraId="07F22B51" w14:textId="77777777" w:rsidR="00E05159" w:rsidRPr="0066605F" w:rsidRDefault="00E05159" w:rsidP="00F50B66">
            <w:pPr>
              <w:pStyle w:val="TablePara10"/>
            </w:pPr>
            <w:r w:rsidRPr="0066605F">
              <w:tab/>
              <w:t>(b)</w:t>
            </w:r>
            <w:r w:rsidRPr="0066605F">
              <w:tab/>
              <w:t>amending a pleading; or</w:t>
            </w:r>
          </w:p>
          <w:p w14:paraId="707476DF" w14:textId="77777777" w:rsidR="00E05159" w:rsidRPr="0066605F" w:rsidRDefault="00E05159" w:rsidP="00F50B66">
            <w:pPr>
              <w:pStyle w:val="TablePara10"/>
            </w:pPr>
            <w:r w:rsidRPr="0066605F">
              <w:tab/>
              <w:t>(c)</w:t>
            </w:r>
            <w:r w:rsidRPr="0066605F">
              <w:tab/>
              <w:t>a notice claiming contribution or indemnity; or</w:t>
            </w:r>
          </w:p>
          <w:p w14:paraId="3F014EE9" w14:textId="77777777" w:rsidR="00E05159" w:rsidRPr="0066605F" w:rsidRDefault="00E05159" w:rsidP="00F50B66">
            <w:pPr>
              <w:pStyle w:val="TablePara10"/>
            </w:pPr>
            <w:r w:rsidRPr="0066605F">
              <w:tab/>
              <w:t>(d)</w:t>
            </w:r>
            <w:r w:rsidRPr="0066605F">
              <w:tab/>
              <w:t>a document to be brought into the registrar’s office (for example, an account or deed); or</w:t>
            </w:r>
          </w:p>
          <w:p w14:paraId="303D0AE6" w14:textId="77777777" w:rsidR="00E05159" w:rsidRPr="0066605F" w:rsidRDefault="00E05159" w:rsidP="00F50B66">
            <w:pPr>
              <w:pStyle w:val="TablePara10"/>
            </w:pPr>
            <w:r w:rsidRPr="0066605F">
              <w:tab/>
              <w:t>(e)</w:t>
            </w:r>
            <w:r w:rsidRPr="0066605F">
              <w:tab/>
              <w:t>adding parties by order; or</w:t>
            </w:r>
          </w:p>
          <w:p w14:paraId="30D7F39F" w14:textId="77777777" w:rsidR="00E05159" w:rsidRPr="0066605F" w:rsidRDefault="00E05159" w:rsidP="00F50B66">
            <w:pPr>
              <w:pStyle w:val="TablePara10"/>
            </w:pPr>
            <w:r w:rsidRPr="0066605F">
              <w:tab/>
              <w:t>(f)</w:t>
            </w:r>
            <w:r w:rsidRPr="0066605F">
              <w:tab/>
              <w:t>a bond or other deed; or</w:t>
            </w:r>
          </w:p>
          <w:p w14:paraId="67A9DAF9" w14:textId="77777777" w:rsidR="00E05159" w:rsidRPr="0066605F" w:rsidRDefault="00E05159" w:rsidP="00F50B66">
            <w:pPr>
              <w:pStyle w:val="TablePara10"/>
              <w:rPr>
                <w:color w:val="000000"/>
              </w:rPr>
            </w:pPr>
            <w:r w:rsidRPr="0066605F">
              <w:tab/>
              <w:t>(g)</w:t>
            </w:r>
            <w:r w:rsidRPr="0066605F">
              <w:tab/>
              <w:t>retaining counsel, including preparing retainer</w:t>
            </w:r>
          </w:p>
        </w:tc>
        <w:tc>
          <w:tcPr>
            <w:tcW w:w="3587" w:type="dxa"/>
            <w:gridSpan w:val="2"/>
          </w:tcPr>
          <w:p w14:paraId="7A4275D8" w14:textId="77777777" w:rsidR="00E05159" w:rsidRPr="0066605F" w:rsidRDefault="00E05159" w:rsidP="00F50B66">
            <w:pPr>
              <w:pStyle w:val="TableText10"/>
            </w:pPr>
            <w:r w:rsidRPr="0066605F">
              <w:t>71.90</w:t>
            </w:r>
          </w:p>
        </w:tc>
      </w:tr>
      <w:tr w:rsidR="00E05159" w:rsidRPr="0066605F" w14:paraId="2C43D5E4" w14:textId="77777777" w:rsidTr="00F50B66">
        <w:tc>
          <w:tcPr>
            <w:tcW w:w="1200" w:type="dxa"/>
          </w:tcPr>
          <w:p w14:paraId="0E922D57" w14:textId="77777777" w:rsidR="00E05159" w:rsidRPr="0066605F" w:rsidRDefault="00E05159" w:rsidP="00F50B66">
            <w:pPr>
              <w:pStyle w:val="TableText10"/>
            </w:pPr>
            <w:r w:rsidRPr="0066605F">
              <w:lastRenderedPageBreak/>
              <w:t>5</w:t>
            </w:r>
          </w:p>
        </w:tc>
        <w:tc>
          <w:tcPr>
            <w:tcW w:w="3161" w:type="dxa"/>
          </w:tcPr>
          <w:p w14:paraId="18E21E1A" w14:textId="77777777" w:rsidR="00E05159" w:rsidRPr="0066605F" w:rsidRDefault="00E05159" w:rsidP="00F50B66">
            <w:pPr>
              <w:pStyle w:val="TableText10"/>
              <w:keepNext/>
              <w:ind w:left="704" w:hanging="704"/>
              <w:rPr>
                <w:color w:val="000000"/>
              </w:rPr>
            </w:pPr>
            <w:r w:rsidRPr="0066605F">
              <w:rPr>
                <w:color w:val="000000"/>
              </w:rPr>
              <w:t>for—</w:t>
            </w:r>
          </w:p>
          <w:p w14:paraId="35A98777" w14:textId="77777777" w:rsidR="00E05159" w:rsidRPr="0066605F" w:rsidRDefault="00E05159" w:rsidP="00F50B66">
            <w:pPr>
              <w:pStyle w:val="TablePara10"/>
              <w:keepNext/>
              <w:rPr>
                <w:color w:val="000000"/>
              </w:rPr>
            </w:pPr>
            <w:r w:rsidRPr="0066605F">
              <w:rPr>
                <w:color w:val="000000"/>
              </w:rPr>
              <w:tab/>
              <w:t>(a)</w:t>
            </w:r>
            <w:r w:rsidRPr="0066605F">
              <w:rPr>
                <w:color w:val="000000"/>
              </w:rPr>
              <w:tab/>
              <w:t>a pleading not otherwise provided for; or</w:t>
            </w:r>
          </w:p>
          <w:p w14:paraId="43BEA6AA" w14:textId="77777777" w:rsidR="00E05159" w:rsidRPr="0066605F" w:rsidRDefault="00E05159" w:rsidP="00F50B66">
            <w:pPr>
              <w:pStyle w:val="TablePara10"/>
              <w:keepNext/>
              <w:rPr>
                <w:color w:val="000000"/>
              </w:rPr>
            </w:pPr>
            <w:r w:rsidRPr="0066605F">
              <w:rPr>
                <w:color w:val="000000"/>
              </w:rPr>
              <w:tab/>
              <w:t>(b)</w:t>
            </w:r>
            <w:r w:rsidRPr="0066605F">
              <w:rPr>
                <w:color w:val="000000"/>
              </w:rPr>
              <w:tab/>
              <w:t>interrogatories for the examination of a party or witness; or</w:t>
            </w:r>
          </w:p>
          <w:p w14:paraId="040C97B6" w14:textId="77777777" w:rsidR="00E05159" w:rsidRPr="0066605F" w:rsidRDefault="00E05159" w:rsidP="00F50B66">
            <w:pPr>
              <w:pStyle w:val="TablePara10"/>
              <w:keepNext/>
              <w:rPr>
                <w:color w:val="000000"/>
              </w:rPr>
            </w:pPr>
            <w:r w:rsidRPr="0066605F">
              <w:rPr>
                <w:color w:val="000000"/>
              </w:rPr>
              <w:tab/>
              <w:t>(c)</w:t>
            </w:r>
            <w:r w:rsidRPr="0066605F">
              <w:rPr>
                <w:color w:val="000000"/>
              </w:rPr>
              <w:tab/>
              <w:t>an affidavit in answer to interrogatories or other special affidavit; or</w:t>
            </w:r>
          </w:p>
          <w:p w14:paraId="7224CD52" w14:textId="77777777" w:rsidR="00E05159" w:rsidRPr="0066605F" w:rsidRDefault="00E05159" w:rsidP="00F50B66">
            <w:pPr>
              <w:pStyle w:val="TablePara10"/>
              <w:keepNext/>
              <w:rPr>
                <w:color w:val="000000"/>
              </w:rPr>
            </w:pPr>
            <w:r w:rsidRPr="0066605F">
              <w:rPr>
                <w:color w:val="000000"/>
              </w:rPr>
              <w:tab/>
              <w:t>(d)</w:t>
            </w:r>
            <w:r w:rsidRPr="0066605F">
              <w:rPr>
                <w:color w:val="000000"/>
              </w:rPr>
              <w:tab/>
              <w:t>disclosure or a list of documents; or</w:t>
            </w:r>
          </w:p>
          <w:p w14:paraId="08E5C970" w14:textId="77777777" w:rsidR="00E05159" w:rsidRPr="0066605F" w:rsidRDefault="00E05159" w:rsidP="00F50B66">
            <w:pPr>
              <w:pStyle w:val="TablePara10"/>
              <w:keepNext/>
              <w:rPr>
                <w:color w:val="000000"/>
              </w:rPr>
            </w:pPr>
            <w:r w:rsidRPr="0066605F">
              <w:rPr>
                <w:color w:val="000000"/>
              </w:rPr>
              <w:tab/>
              <w:t>(e)</w:t>
            </w:r>
            <w:r w:rsidRPr="0066605F">
              <w:rPr>
                <w:color w:val="000000"/>
              </w:rPr>
              <w:tab/>
              <w:t>an application for an order that a matter be heard before the Full Court; or</w:t>
            </w:r>
          </w:p>
          <w:p w14:paraId="726D90E5" w14:textId="77777777" w:rsidR="00E05159" w:rsidRPr="0066605F" w:rsidRDefault="00E05159" w:rsidP="00F50B66">
            <w:pPr>
              <w:pStyle w:val="TablePara10"/>
              <w:keepNext/>
              <w:rPr>
                <w:color w:val="000000"/>
              </w:rPr>
            </w:pPr>
            <w:r w:rsidRPr="0066605F">
              <w:rPr>
                <w:color w:val="000000"/>
              </w:rPr>
              <w:tab/>
              <w:t>(f)</w:t>
            </w:r>
            <w:r w:rsidRPr="0066605F">
              <w:rPr>
                <w:color w:val="000000"/>
              </w:rPr>
              <w:tab/>
              <w:t>a brief on application in chambers</w:t>
            </w:r>
          </w:p>
        </w:tc>
        <w:tc>
          <w:tcPr>
            <w:tcW w:w="3587" w:type="dxa"/>
            <w:gridSpan w:val="2"/>
          </w:tcPr>
          <w:p w14:paraId="705C9EC5" w14:textId="77777777" w:rsidR="00E05159" w:rsidRPr="0066605F" w:rsidRDefault="00E05159" w:rsidP="00F50B66">
            <w:pPr>
              <w:pStyle w:val="TableText10"/>
              <w:keepNext/>
              <w:rPr>
                <w:color w:val="000000"/>
              </w:rPr>
            </w:pPr>
            <w:r w:rsidRPr="0066605F">
              <w:rPr>
                <w:color w:val="000000"/>
              </w:rPr>
              <w:t>143.70</w:t>
            </w:r>
          </w:p>
        </w:tc>
      </w:tr>
      <w:tr w:rsidR="00E05159" w:rsidRPr="0066605F" w14:paraId="3DF7D253" w14:textId="77777777" w:rsidTr="00F50B66">
        <w:trPr>
          <w:cantSplit/>
        </w:trPr>
        <w:tc>
          <w:tcPr>
            <w:tcW w:w="1200" w:type="dxa"/>
          </w:tcPr>
          <w:p w14:paraId="41715C14" w14:textId="77777777" w:rsidR="00E05159" w:rsidRPr="0066605F" w:rsidRDefault="00E05159" w:rsidP="00F50B66">
            <w:pPr>
              <w:pStyle w:val="TableText10"/>
            </w:pPr>
            <w:r w:rsidRPr="0066605F">
              <w:t>6</w:t>
            </w:r>
          </w:p>
        </w:tc>
        <w:tc>
          <w:tcPr>
            <w:tcW w:w="3161" w:type="dxa"/>
          </w:tcPr>
          <w:p w14:paraId="34E63359" w14:textId="77777777" w:rsidR="00E05159" w:rsidRPr="0066605F" w:rsidRDefault="00E05159" w:rsidP="00F50B66">
            <w:pPr>
              <w:pStyle w:val="TableText10"/>
              <w:ind w:left="704" w:hanging="704"/>
              <w:rPr>
                <w:color w:val="000000"/>
              </w:rPr>
            </w:pPr>
            <w:r w:rsidRPr="0066605F">
              <w:rPr>
                <w:color w:val="000000"/>
              </w:rPr>
              <w:t>for—</w:t>
            </w:r>
          </w:p>
          <w:p w14:paraId="7E4CAD21" w14:textId="77777777" w:rsidR="00E05159" w:rsidRPr="0066605F" w:rsidRDefault="00E05159" w:rsidP="00F50B66">
            <w:pPr>
              <w:pStyle w:val="TablePara10"/>
              <w:rPr>
                <w:color w:val="000000"/>
              </w:rPr>
            </w:pPr>
            <w:r w:rsidRPr="0066605F">
              <w:rPr>
                <w:color w:val="000000"/>
              </w:rPr>
              <w:tab/>
              <w:t>(a)</w:t>
            </w:r>
            <w:r w:rsidRPr="0066605F">
              <w:rPr>
                <w:color w:val="000000"/>
              </w:rPr>
              <w:tab/>
              <w:t>an application whether in court, before the registrar or in chambers; or</w:t>
            </w:r>
          </w:p>
          <w:p w14:paraId="5E9AB5FC" w14:textId="77777777" w:rsidR="00E05159" w:rsidRPr="0066605F" w:rsidRDefault="00E05159" w:rsidP="00F50B66">
            <w:pPr>
              <w:pStyle w:val="TablePara10"/>
              <w:rPr>
                <w:color w:val="000000"/>
              </w:rPr>
            </w:pPr>
            <w:r w:rsidRPr="0066605F">
              <w:rPr>
                <w:color w:val="000000"/>
              </w:rPr>
              <w:tab/>
              <w:t>(b)</w:t>
            </w:r>
            <w:r w:rsidRPr="0066605F">
              <w:rPr>
                <w:color w:val="000000"/>
              </w:rPr>
              <w:tab/>
              <w:t>opposition to an application; or</w:t>
            </w:r>
          </w:p>
          <w:p w14:paraId="70446D12" w14:textId="77777777" w:rsidR="00E05159" w:rsidRPr="0066605F" w:rsidRDefault="00E05159" w:rsidP="00F50B66">
            <w:pPr>
              <w:pStyle w:val="TablePara10"/>
              <w:rPr>
                <w:color w:val="000000"/>
              </w:rPr>
            </w:pPr>
            <w:r w:rsidRPr="0066605F">
              <w:rPr>
                <w:color w:val="000000"/>
              </w:rPr>
              <w:tab/>
              <w:t>(c)</w:t>
            </w:r>
            <w:r w:rsidRPr="0066605F">
              <w:rPr>
                <w:color w:val="000000"/>
              </w:rPr>
              <w:tab/>
              <w:t>the assessment of a bill of costs</w:t>
            </w:r>
          </w:p>
        </w:tc>
        <w:tc>
          <w:tcPr>
            <w:tcW w:w="3587" w:type="dxa"/>
            <w:gridSpan w:val="2"/>
          </w:tcPr>
          <w:p w14:paraId="0C19344B" w14:textId="77777777" w:rsidR="00E05159" w:rsidRPr="0066605F" w:rsidRDefault="00E05159" w:rsidP="00F50B66">
            <w:pPr>
              <w:pStyle w:val="TableText10"/>
              <w:rPr>
                <w:color w:val="000000"/>
              </w:rPr>
            </w:pPr>
            <w:r w:rsidRPr="0066605F">
              <w:rPr>
                <w:color w:val="000000"/>
              </w:rPr>
              <w:t>143.70</w:t>
            </w:r>
          </w:p>
        </w:tc>
      </w:tr>
      <w:tr w:rsidR="00E05159" w:rsidRPr="0066605F" w14:paraId="65C47CEC" w14:textId="77777777" w:rsidTr="00F50B66">
        <w:trPr>
          <w:cantSplit/>
        </w:trPr>
        <w:tc>
          <w:tcPr>
            <w:tcW w:w="1200" w:type="dxa"/>
          </w:tcPr>
          <w:p w14:paraId="674C9304" w14:textId="77777777" w:rsidR="00E05159" w:rsidRPr="0066605F" w:rsidRDefault="00E05159" w:rsidP="00F50B66">
            <w:pPr>
              <w:pStyle w:val="TableText10"/>
            </w:pPr>
            <w:r w:rsidRPr="0066605F">
              <w:t>7</w:t>
            </w:r>
          </w:p>
        </w:tc>
        <w:tc>
          <w:tcPr>
            <w:tcW w:w="3161" w:type="dxa"/>
          </w:tcPr>
          <w:p w14:paraId="7FB0EA9F" w14:textId="77777777" w:rsidR="00E05159" w:rsidRPr="0066605F" w:rsidRDefault="00E05159" w:rsidP="00F50B66">
            <w:pPr>
              <w:pStyle w:val="TableText10"/>
              <w:rPr>
                <w:color w:val="000000"/>
              </w:rPr>
            </w:pPr>
            <w:r w:rsidRPr="0066605F">
              <w:rPr>
                <w:color w:val="000000"/>
              </w:rPr>
              <w:t>for brief to advise on evidence</w:t>
            </w:r>
          </w:p>
        </w:tc>
        <w:tc>
          <w:tcPr>
            <w:tcW w:w="3587" w:type="dxa"/>
            <w:gridSpan w:val="2"/>
          </w:tcPr>
          <w:p w14:paraId="4125E4BA" w14:textId="77777777" w:rsidR="00E05159" w:rsidRPr="0066605F" w:rsidRDefault="00E05159" w:rsidP="00F50B66">
            <w:pPr>
              <w:pStyle w:val="TableText10"/>
              <w:rPr>
                <w:color w:val="000000"/>
              </w:rPr>
            </w:pPr>
            <w:r w:rsidRPr="0066605F">
              <w:rPr>
                <w:color w:val="000000"/>
              </w:rPr>
              <w:t>129.40</w:t>
            </w:r>
          </w:p>
        </w:tc>
      </w:tr>
      <w:tr w:rsidR="00E05159" w:rsidRPr="0066605F" w14:paraId="5EBA9302" w14:textId="77777777" w:rsidTr="00F50B66">
        <w:trPr>
          <w:cantSplit/>
        </w:trPr>
        <w:tc>
          <w:tcPr>
            <w:tcW w:w="1200" w:type="dxa"/>
          </w:tcPr>
          <w:p w14:paraId="3DF96345" w14:textId="77777777" w:rsidR="00E05159" w:rsidRPr="0066605F" w:rsidRDefault="00E05159" w:rsidP="00F50B66">
            <w:pPr>
              <w:pStyle w:val="TableText10"/>
            </w:pPr>
            <w:r w:rsidRPr="0066605F">
              <w:t>8</w:t>
            </w:r>
          </w:p>
        </w:tc>
        <w:tc>
          <w:tcPr>
            <w:tcW w:w="3161" w:type="dxa"/>
          </w:tcPr>
          <w:p w14:paraId="2362195F" w14:textId="77777777" w:rsidR="00E05159" w:rsidRPr="0066605F" w:rsidRDefault="00E05159" w:rsidP="00F50B66">
            <w:pPr>
              <w:pStyle w:val="TableText10"/>
              <w:ind w:left="704" w:hanging="704"/>
              <w:rPr>
                <w:color w:val="000000"/>
              </w:rPr>
            </w:pPr>
            <w:r w:rsidRPr="0066605F">
              <w:rPr>
                <w:color w:val="000000"/>
              </w:rPr>
              <w:t>for—</w:t>
            </w:r>
          </w:p>
          <w:p w14:paraId="05741A0C" w14:textId="77777777" w:rsidR="00E05159" w:rsidRPr="0066605F" w:rsidRDefault="00E05159" w:rsidP="00F50B66">
            <w:pPr>
              <w:pStyle w:val="TablePara10"/>
              <w:rPr>
                <w:color w:val="000000"/>
              </w:rPr>
            </w:pPr>
            <w:r w:rsidRPr="0066605F">
              <w:rPr>
                <w:color w:val="000000"/>
              </w:rPr>
              <w:tab/>
              <w:t>(a)</w:t>
            </w:r>
            <w:r w:rsidRPr="0066605F">
              <w:rPr>
                <w:color w:val="000000"/>
              </w:rPr>
              <w:tab/>
              <w:t>a statement of facts in an action; or</w:t>
            </w:r>
          </w:p>
          <w:p w14:paraId="5217EB3E" w14:textId="77777777" w:rsidR="00E05159" w:rsidRPr="0066605F" w:rsidRDefault="00E05159" w:rsidP="00F50B66">
            <w:pPr>
              <w:pStyle w:val="TablePara10"/>
              <w:rPr>
                <w:color w:val="000000"/>
              </w:rPr>
            </w:pPr>
            <w:r w:rsidRPr="0066605F">
              <w:rPr>
                <w:color w:val="000000"/>
              </w:rPr>
              <w:tab/>
              <w:t>(b)</w:t>
            </w:r>
            <w:r w:rsidRPr="0066605F">
              <w:rPr>
                <w:color w:val="000000"/>
              </w:rPr>
              <w:tab/>
              <w:t>a request for particulars; or</w:t>
            </w:r>
          </w:p>
          <w:p w14:paraId="7AA87BCB" w14:textId="77777777" w:rsidR="00E05159" w:rsidRPr="0066605F" w:rsidRDefault="00E05159" w:rsidP="00F50B66">
            <w:pPr>
              <w:pStyle w:val="TablePara10"/>
              <w:rPr>
                <w:color w:val="000000"/>
              </w:rPr>
            </w:pPr>
            <w:r w:rsidRPr="0066605F">
              <w:rPr>
                <w:color w:val="000000"/>
              </w:rPr>
              <w:tab/>
              <w:t>(c)</w:t>
            </w:r>
            <w:r w:rsidRPr="0066605F">
              <w:rPr>
                <w:color w:val="000000"/>
              </w:rPr>
              <w:tab/>
              <w:t>particulars</w:t>
            </w:r>
          </w:p>
        </w:tc>
        <w:tc>
          <w:tcPr>
            <w:tcW w:w="3587" w:type="dxa"/>
            <w:gridSpan w:val="2"/>
          </w:tcPr>
          <w:p w14:paraId="2CA20585" w14:textId="77777777" w:rsidR="00E05159" w:rsidRPr="0066605F" w:rsidRDefault="00E05159" w:rsidP="00F50B66">
            <w:pPr>
              <w:pStyle w:val="TableText10"/>
              <w:rPr>
                <w:color w:val="000000"/>
              </w:rPr>
            </w:pPr>
            <w:r w:rsidRPr="0066605F">
              <w:rPr>
                <w:color w:val="000000"/>
              </w:rPr>
              <w:t>143.70</w:t>
            </w:r>
          </w:p>
        </w:tc>
      </w:tr>
      <w:tr w:rsidR="00E05159" w:rsidRPr="0066605F" w14:paraId="63C57418" w14:textId="77777777" w:rsidTr="00F50B66">
        <w:trPr>
          <w:cantSplit/>
        </w:trPr>
        <w:tc>
          <w:tcPr>
            <w:tcW w:w="1200" w:type="dxa"/>
          </w:tcPr>
          <w:p w14:paraId="36A6AFCF" w14:textId="77777777" w:rsidR="00E05159" w:rsidRPr="0066605F" w:rsidRDefault="00E05159" w:rsidP="00F50B66">
            <w:pPr>
              <w:pStyle w:val="TableText10"/>
            </w:pPr>
            <w:r w:rsidRPr="0066605F">
              <w:t>9</w:t>
            </w:r>
          </w:p>
        </w:tc>
        <w:tc>
          <w:tcPr>
            <w:tcW w:w="3161" w:type="dxa"/>
          </w:tcPr>
          <w:p w14:paraId="33B36A3F" w14:textId="77777777" w:rsidR="00E05159" w:rsidRPr="0066605F" w:rsidRDefault="00E05159" w:rsidP="00F50B66">
            <w:pPr>
              <w:pStyle w:val="TableText10"/>
              <w:rPr>
                <w:color w:val="000000"/>
              </w:rPr>
            </w:pPr>
            <w:r w:rsidRPr="0066605F">
              <w:rPr>
                <w:color w:val="000000"/>
              </w:rPr>
              <w:t>for brief in preparation for trial</w:t>
            </w:r>
          </w:p>
        </w:tc>
        <w:tc>
          <w:tcPr>
            <w:tcW w:w="3587" w:type="dxa"/>
            <w:gridSpan w:val="2"/>
          </w:tcPr>
          <w:p w14:paraId="04FFC8C2" w14:textId="77777777" w:rsidR="00E05159" w:rsidRPr="0066605F" w:rsidRDefault="00E05159" w:rsidP="00F50B66">
            <w:pPr>
              <w:pStyle w:val="TableText10"/>
              <w:rPr>
                <w:color w:val="000000"/>
              </w:rPr>
            </w:pPr>
            <w:r w:rsidRPr="0066605F">
              <w:rPr>
                <w:color w:val="000000"/>
              </w:rPr>
              <w:t>the amount the registrar considers appropriate</w:t>
            </w:r>
          </w:p>
        </w:tc>
      </w:tr>
      <w:tr w:rsidR="00E05159" w:rsidRPr="0066605F" w14:paraId="0D9EF07D" w14:textId="77777777" w:rsidTr="00F50B66">
        <w:trPr>
          <w:cantSplit/>
        </w:trPr>
        <w:tc>
          <w:tcPr>
            <w:tcW w:w="7948" w:type="dxa"/>
            <w:gridSpan w:val="4"/>
          </w:tcPr>
          <w:p w14:paraId="2903B0B6" w14:textId="77777777" w:rsidR="00E05159" w:rsidRPr="0066605F" w:rsidRDefault="00E05159" w:rsidP="00E05159">
            <w:pPr>
              <w:pStyle w:val="AH3Div"/>
            </w:pPr>
            <w:bookmarkStart w:id="1934" w:name="_Toc185515550"/>
            <w:r w:rsidRPr="00E05159">
              <w:rPr>
                <w:rStyle w:val="CharDivNo"/>
              </w:rPr>
              <w:lastRenderedPageBreak/>
              <w:t>Division 4.2.2</w:t>
            </w:r>
            <w:r w:rsidRPr="0066605F">
              <w:rPr>
                <w:color w:val="000000"/>
              </w:rPr>
              <w:tab/>
            </w:r>
            <w:r w:rsidRPr="00E05159">
              <w:rPr>
                <w:rStyle w:val="CharDivText"/>
              </w:rPr>
              <w:t>Drawing</w:t>
            </w:r>
            <w:bookmarkEnd w:id="1934"/>
          </w:p>
        </w:tc>
      </w:tr>
      <w:tr w:rsidR="00E05159" w:rsidRPr="0066605F" w14:paraId="0F15E21F" w14:textId="77777777" w:rsidTr="00F50B66">
        <w:trPr>
          <w:cantSplit/>
        </w:trPr>
        <w:tc>
          <w:tcPr>
            <w:tcW w:w="1200" w:type="dxa"/>
          </w:tcPr>
          <w:p w14:paraId="257CB1FF" w14:textId="77777777" w:rsidR="00E05159" w:rsidRPr="0066605F" w:rsidRDefault="00E05159" w:rsidP="00F50B66">
            <w:pPr>
              <w:pStyle w:val="TableText10"/>
            </w:pPr>
            <w:r w:rsidRPr="0066605F">
              <w:t>10</w:t>
            </w:r>
          </w:p>
        </w:tc>
        <w:tc>
          <w:tcPr>
            <w:tcW w:w="3161" w:type="dxa"/>
          </w:tcPr>
          <w:p w14:paraId="3BC53B29" w14:textId="77777777" w:rsidR="00E05159" w:rsidRPr="0066605F" w:rsidRDefault="00E05159" w:rsidP="00F50B66">
            <w:pPr>
              <w:pStyle w:val="TableText10"/>
              <w:rPr>
                <w:color w:val="000000"/>
              </w:rPr>
            </w:pPr>
            <w:r w:rsidRPr="0066605F">
              <w:rPr>
                <w:color w:val="000000"/>
              </w:rPr>
              <w:t>for an originating process or counterclaim</w:t>
            </w:r>
          </w:p>
        </w:tc>
        <w:tc>
          <w:tcPr>
            <w:tcW w:w="1134" w:type="dxa"/>
            <w:tcBorders>
              <w:right w:val="nil"/>
            </w:tcBorders>
          </w:tcPr>
          <w:p w14:paraId="187B5E3A" w14:textId="77777777" w:rsidR="00E05159" w:rsidRPr="0066605F" w:rsidRDefault="00E05159" w:rsidP="00F50B66">
            <w:pPr>
              <w:pStyle w:val="TableText10"/>
              <w:rPr>
                <w:color w:val="000000"/>
              </w:rPr>
            </w:pPr>
            <w:r w:rsidRPr="0066605F">
              <w:rPr>
                <w:color w:val="000000"/>
              </w:rPr>
              <w:t>150.20</w:t>
            </w:r>
          </w:p>
        </w:tc>
        <w:tc>
          <w:tcPr>
            <w:tcW w:w="2453" w:type="dxa"/>
            <w:tcBorders>
              <w:left w:val="nil"/>
            </w:tcBorders>
          </w:tcPr>
          <w:p w14:paraId="4FDA91BD" w14:textId="77777777" w:rsidR="00E05159" w:rsidRPr="0066605F" w:rsidRDefault="00E05159" w:rsidP="00F50B66">
            <w:pPr>
              <w:pStyle w:val="TableText10"/>
              <w:rPr>
                <w:color w:val="000000"/>
              </w:rPr>
            </w:pPr>
            <w:r w:rsidRPr="0066605F">
              <w:rPr>
                <w:color w:val="000000"/>
              </w:rPr>
              <w:t>or, if longer than 700 words, 21.30 per 100 words</w:t>
            </w:r>
          </w:p>
        </w:tc>
      </w:tr>
      <w:tr w:rsidR="00E05159" w:rsidRPr="0066605F" w14:paraId="3B405EE5" w14:textId="77777777" w:rsidTr="00F50B66">
        <w:trPr>
          <w:cantSplit/>
        </w:trPr>
        <w:tc>
          <w:tcPr>
            <w:tcW w:w="1200" w:type="dxa"/>
          </w:tcPr>
          <w:p w14:paraId="5590664C" w14:textId="77777777" w:rsidR="00E05159" w:rsidRPr="0066605F" w:rsidRDefault="00E05159" w:rsidP="00F50B66">
            <w:pPr>
              <w:pStyle w:val="TableText10"/>
            </w:pPr>
            <w:r w:rsidRPr="0066605F">
              <w:t>11</w:t>
            </w:r>
          </w:p>
        </w:tc>
        <w:tc>
          <w:tcPr>
            <w:tcW w:w="3161" w:type="dxa"/>
          </w:tcPr>
          <w:p w14:paraId="1FB163CD" w14:textId="77777777" w:rsidR="00E05159" w:rsidRPr="0066605F" w:rsidRDefault="00E05159" w:rsidP="00F50B66">
            <w:pPr>
              <w:pStyle w:val="TableText10"/>
              <w:rPr>
                <w:color w:val="000000"/>
              </w:rPr>
            </w:pPr>
            <w:r w:rsidRPr="0066605F">
              <w:rPr>
                <w:color w:val="000000"/>
              </w:rPr>
              <w:t>for any other pleading, a notice claiming contribution or indemnity, or an amendment of a pleading</w:t>
            </w:r>
          </w:p>
        </w:tc>
        <w:tc>
          <w:tcPr>
            <w:tcW w:w="1134" w:type="dxa"/>
            <w:tcBorders>
              <w:right w:val="nil"/>
            </w:tcBorders>
          </w:tcPr>
          <w:p w14:paraId="734E826A" w14:textId="77777777" w:rsidR="00E05159" w:rsidRPr="0066605F" w:rsidRDefault="00E05159" w:rsidP="00F50B66">
            <w:pPr>
              <w:pStyle w:val="TableText10"/>
            </w:pPr>
            <w:r w:rsidRPr="0066605F">
              <w:t>100.70</w:t>
            </w:r>
          </w:p>
        </w:tc>
        <w:tc>
          <w:tcPr>
            <w:tcW w:w="2453" w:type="dxa"/>
            <w:tcBorders>
              <w:left w:val="nil"/>
            </w:tcBorders>
          </w:tcPr>
          <w:p w14:paraId="25EE1FA2"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5C286BD6" w14:textId="77777777" w:rsidTr="00F50B66">
        <w:trPr>
          <w:cantSplit/>
        </w:trPr>
        <w:tc>
          <w:tcPr>
            <w:tcW w:w="1200" w:type="dxa"/>
          </w:tcPr>
          <w:p w14:paraId="2F855740" w14:textId="77777777" w:rsidR="00E05159" w:rsidRPr="0066605F" w:rsidRDefault="00E05159" w:rsidP="00F50B66">
            <w:pPr>
              <w:pStyle w:val="TableText10"/>
            </w:pPr>
            <w:r w:rsidRPr="0066605F">
              <w:t>12</w:t>
            </w:r>
          </w:p>
        </w:tc>
        <w:tc>
          <w:tcPr>
            <w:tcW w:w="3161" w:type="dxa"/>
          </w:tcPr>
          <w:p w14:paraId="297106D9" w14:textId="77777777" w:rsidR="00E05159" w:rsidRPr="0066605F" w:rsidRDefault="00E05159" w:rsidP="00F50B66">
            <w:pPr>
              <w:pStyle w:val="TableText10"/>
              <w:ind w:left="704" w:hanging="704"/>
              <w:rPr>
                <w:color w:val="000000"/>
              </w:rPr>
            </w:pPr>
            <w:r w:rsidRPr="0066605F">
              <w:rPr>
                <w:color w:val="000000"/>
              </w:rPr>
              <w:t>for—</w:t>
            </w:r>
          </w:p>
          <w:p w14:paraId="70206914" w14:textId="77777777" w:rsidR="00E05159" w:rsidRPr="0066605F" w:rsidRDefault="00E05159" w:rsidP="00F50B66">
            <w:pPr>
              <w:pStyle w:val="TablePara10"/>
              <w:rPr>
                <w:color w:val="000000"/>
              </w:rPr>
            </w:pPr>
            <w:r w:rsidRPr="0066605F">
              <w:rPr>
                <w:color w:val="000000"/>
              </w:rPr>
              <w:tab/>
              <w:t>(a)</w:t>
            </w:r>
            <w:r w:rsidRPr="0066605F">
              <w:rPr>
                <w:color w:val="000000"/>
              </w:rPr>
              <w:tab/>
              <w:t>a notice of an application in a proceeding; or</w:t>
            </w:r>
          </w:p>
          <w:p w14:paraId="266C1197" w14:textId="77777777" w:rsidR="00E05159" w:rsidRPr="0066605F" w:rsidRDefault="00E05159" w:rsidP="00F50B66">
            <w:pPr>
              <w:pStyle w:val="TablePara10"/>
              <w:rPr>
                <w:color w:val="000000"/>
              </w:rPr>
            </w:pPr>
            <w:r w:rsidRPr="0066605F">
              <w:rPr>
                <w:color w:val="000000"/>
              </w:rPr>
              <w:tab/>
              <w:t>(b)</w:t>
            </w:r>
            <w:r w:rsidRPr="0066605F">
              <w:rPr>
                <w:color w:val="000000"/>
              </w:rPr>
              <w:tab/>
              <w:t>a notice to produce documents; or</w:t>
            </w:r>
          </w:p>
          <w:p w14:paraId="1AEB81EF" w14:textId="77777777" w:rsidR="00E05159" w:rsidRPr="0066605F" w:rsidRDefault="00E05159" w:rsidP="00F50B66">
            <w:pPr>
              <w:pStyle w:val="TablePara10"/>
              <w:rPr>
                <w:color w:val="000000"/>
              </w:rPr>
            </w:pPr>
            <w:r w:rsidRPr="0066605F">
              <w:rPr>
                <w:color w:val="000000"/>
              </w:rPr>
              <w:tab/>
              <w:t>(c)</w:t>
            </w:r>
            <w:r w:rsidRPr="0066605F">
              <w:rPr>
                <w:color w:val="000000"/>
              </w:rPr>
              <w:tab/>
              <w:t>a notice to admit facts; or</w:t>
            </w:r>
          </w:p>
          <w:p w14:paraId="57E46A84" w14:textId="77777777" w:rsidR="00E05159" w:rsidRPr="0066605F" w:rsidRDefault="00E05159" w:rsidP="00F50B66">
            <w:pPr>
              <w:pStyle w:val="TablePara10"/>
              <w:rPr>
                <w:color w:val="000000"/>
              </w:rPr>
            </w:pPr>
            <w:r w:rsidRPr="0066605F">
              <w:rPr>
                <w:color w:val="000000"/>
              </w:rPr>
              <w:tab/>
              <w:t>(d)</w:t>
            </w:r>
            <w:r w:rsidRPr="0066605F">
              <w:rPr>
                <w:color w:val="000000"/>
              </w:rPr>
              <w:tab/>
              <w:t>a special case; or</w:t>
            </w:r>
          </w:p>
          <w:p w14:paraId="70D728BC" w14:textId="77777777" w:rsidR="00E05159" w:rsidRPr="0066605F" w:rsidRDefault="00E05159" w:rsidP="00F50B66">
            <w:pPr>
              <w:pStyle w:val="TablePara10"/>
              <w:rPr>
                <w:color w:val="000000"/>
              </w:rPr>
            </w:pPr>
            <w:r w:rsidRPr="0066605F">
              <w:rPr>
                <w:color w:val="000000"/>
              </w:rPr>
              <w:tab/>
              <w:t>(e)</w:t>
            </w:r>
            <w:r w:rsidRPr="0066605F">
              <w:rPr>
                <w:color w:val="000000"/>
              </w:rPr>
              <w:tab/>
              <w:t>interrogatories; or</w:t>
            </w:r>
          </w:p>
          <w:p w14:paraId="0942ABE3" w14:textId="77777777" w:rsidR="00E05159" w:rsidRPr="0066605F" w:rsidRDefault="00E05159" w:rsidP="00F50B66">
            <w:pPr>
              <w:pStyle w:val="TablePara10"/>
              <w:rPr>
                <w:color w:val="000000"/>
              </w:rPr>
            </w:pPr>
            <w:r w:rsidRPr="0066605F">
              <w:rPr>
                <w:color w:val="000000"/>
              </w:rPr>
              <w:tab/>
              <w:t>(f)</w:t>
            </w:r>
            <w:r w:rsidRPr="0066605F">
              <w:rPr>
                <w:color w:val="000000"/>
              </w:rPr>
              <w:tab/>
              <w:t>a special affidavit; or</w:t>
            </w:r>
          </w:p>
          <w:p w14:paraId="5DC8D30B" w14:textId="77777777" w:rsidR="00E05159" w:rsidRPr="0066605F" w:rsidRDefault="00E05159" w:rsidP="00F50B66">
            <w:pPr>
              <w:pStyle w:val="TablePara10"/>
              <w:rPr>
                <w:color w:val="000000"/>
              </w:rPr>
            </w:pPr>
            <w:r w:rsidRPr="0066605F">
              <w:rPr>
                <w:color w:val="000000"/>
              </w:rPr>
              <w:tab/>
              <w:t>(g)</w:t>
            </w:r>
            <w:r w:rsidRPr="0066605F">
              <w:rPr>
                <w:color w:val="000000"/>
              </w:rPr>
              <w:tab/>
              <w:t>a brief (including observations)</w:t>
            </w:r>
          </w:p>
        </w:tc>
        <w:tc>
          <w:tcPr>
            <w:tcW w:w="1134" w:type="dxa"/>
            <w:tcBorders>
              <w:right w:val="nil"/>
            </w:tcBorders>
          </w:tcPr>
          <w:p w14:paraId="7C5533F2" w14:textId="77777777" w:rsidR="00E05159" w:rsidRPr="0066605F" w:rsidRDefault="00E05159" w:rsidP="00F50B66">
            <w:pPr>
              <w:pStyle w:val="TableText10"/>
            </w:pPr>
            <w:r w:rsidRPr="0066605F">
              <w:t>92.10</w:t>
            </w:r>
          </w:p>
        </w:tc>
        <w:tc>
          <w:tcPr>
            <w:tcW w:w="2453" w:type="dxa"/>
            <w:tcBorders>
              <w:left w:val="nil"/>
            </w:tcBorders>
          </w:tcPr>
          <w:p w14:paraId="6BB6BAC8"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23A6B6C8" w14:textId="77777777" w:rsidTr="00F50B66">
        <w:trPr>
          <w:cantSplit/>
        </w:trPr>
        <w:tc>
          <w:tcPr>
            <w:tcW w:w="1200" w:type="dxa"/>
          </w:tcPr>
          <w:p w14:paraId="15BDE136" w14:textId="77777777" w:rsidR="00E05159" w:rsidRPr="0066605F" w:rsidRDefault="00E05159" w:rsidP="00F50B66">
            <w:pPr>
              <w:pStyle w:val="TableText10"/>
            </w:pPr>
            <w:r w:rsidRPr="0066605F">
              <w:t>13</w:t>
            </w:r>
          </w:p>
        </w:tc>
        <w:tc>
          <w:tcPr>
            <w:tcW w:w="3161" w:type="dxa"/>
          </w:tcPr>
          <w:p w14:paraId="3075A0BF" w14:textId="77777777" w:rsidR="00E05159" w:rsidRPr="0066605F" w:rsidRDefault="00E05159" w:rsidP="00F50B66">
            <w:pPr>
              <w:pStyle w:val="TableText10"/>
              <w:rPr>
                <w:color w:val="000000"/>
              </w:rPr>
            </w:pPr>
            <w:r w:rsidRPr="0066605F">
              <w:rPr>
                <w:color w:val="000000"/>
              </w:rPr>
              <w:t>a formal affidavit, including an affidavit of service</w:t>
            </w:r>
          </w:p>
        </w:tc>
        <w:tc>
          <w:tcPr>
            <w:tcW w:w="1134" w:type="dxa"/>
            <w:tcBorders>
              <w:right w:val="nil"/>
            </w:tcBorders>
          </w:tcPr>
          <w:p w14:paraId="2BA487D8" w14:textId="77777777" w:rsidR="00E05159" w:rsidRPr="0066605F" w:rsidRDefault="00E05159" w:rsidP="00F50B66">
            <w:pPr>
              <w:pStyle w:val="TableText10"/>
            </w:pPr>
            <w:r w:rsidRPr="0066605F">
              <w:t>50.50</w:t>
            </w:r>
          </w:p>
        </w:tc>
        <w:tc>
          <w:tcPr>
            <w:tcW w:w="2453" w:type="dxa"/>
            <w:tcBorders>
              <w:left w:val="nil"/>
            </w:tcBorders>
          </w:tcPr>
          <w:p w14:paraId="61FC35BE" w14:textId="77777777" w:rsidR="00E05159" w:rsidRPr="0066605F" w:rsidRDefault="00E05159" w:rsidP="00F50B66">
            <w:pPr>
              <w:pStyle w:val="TableText10"/>
              <w:rPr>
                <w:color w:val="000000"/>
              </w:rPr>
            </w:pPr>
          </w:p>
        </w:tc>
      </w:tr>
      <w:tr w:rsidR="00E05159" w:rsidRPr="0066605F" w14:paraId="1A84EF02" w14:textId="77777777" w:rsidTr="00F50B66">
        <w:trPr>
          <w:cantSplit/>
        </w:trPr>
        <w:tc>
          <w:tcPr>
            <w:tcW w:w="1200" w:type="dxa"/>
          </w:tcPr>
          <w:p w14:paraId="4DBEDAB1" w14:textId="77777777" w:rsidR="00E05159" w:rsidRPr="0066605F" w:rsidRDefault="00E05159" w:rsidP="00F50B66">
            <w:pPr>
              <w:pStyle w:val="TableText10"/>
            </w:pPr>
            <w:r w:rsidRPr="0066605F">
              <w:t>14</w:t>
            </w:r>
          </w:p>
        </w:tc>
        <w:tc>
          <w:tcPr>
            <w:tcW w:w="3161" w:type="dxa"/>
          </w:tcPr>
          <w:p w14:paraId="2DD88F72" w14:textId="77777777" w:rsidR="00E05159" w:rsidRPr="0066605F" w:rsidRDefault="00E05159" w:rsidP="00F50B66">
            <w:pPr>
              <w:pStyle w:val="TableText10"/>
              <w:rPr>
                <w:color w:val="000000"/>
              </w:rPr>
            </w:pPr>
            <w:r w:rsidRPr="0066605F">
              <w:rPr>
                <w:color w:val="000000"/>
              </w:rPr>
              <w:t>any other document</w:t>
            </w:r>
          </w:p>
        </w:tc>
        <w:tc>
          <w:tcPr>
            <w:tcW w:w="1134" w:type="dxa"/>
            <w:tcBorders>
              <w:right w:val="nil"/>
            </w:tcBorders>
          </w:tcPr>
          <w:p w14:paraId="6803C567" w14:textId="77777777" w:rsidR="00E05159" w:rsidRPr="0066605F" w:rsidRDefault="00E05159" w:rsidP="00F50B66">
            <w:pPr>
              <w:pStyle w:val="TableText10"/>
            </w:pPr>
            <w:r w:rsidRPr="0066605F">
              <w:t>39.90</w:t>
            </w:r>
          </w:p>
        </w:tc>
        <w:tc>
          <w:tcPr>
            <w:tcW w:w="2453" w:type="dxa"/>
            <w:tcBorders>
              <w:left w:val="nil"/>
            </w:tcBorders>
          </w:tcPr>
          <w:p w14:paraId="73B8FB13" w14:textId="77777777" w:rsidR="00E05159" w:rsidRPr="0066605F" w:rsidRDefault="00E05159" w:rsidP="00F50B66">
            <w:pPr>
              <w:pStyle w:val="TableText10"/>
              <w:rPr>
                <w:color w:val="000000"/>
              </w:rPr>
            </w:pPr>
            <w:r w:rsidRPr="0066605F">
              <w:rPr>
                <w:color w:val="000000"/>
              </w:rPr>
              <w:t>or, if longer than 100 words, 23.60 per 100 words</w:t>
            </w:r>
          </w:p>
        </w:tc>
      </w:tr>
      <w:tr w:rsidR="00E05159" w:rsidRPr="0066605F" w14:paraId="244447B4" w14:textId="77777777" w:rsidTr="00F50B66">
        <w:trPr>
          <w:cantSplit/>
        </w:trPr>
        <w:tc>
          <w:tcPr>
            <w:tcW w:w="7948" w:type="dxa"/>
            <w:gridSpan w:val="4"/>
          </w:tcPr>
          <w:p w14:paraId="78D1D0CD" w14:textId="77777777" w:rsidR="00E05159" w:rsidRPr="0066605F" w:rsidRDefault="00E05159" w:rsidP="00E05159">
            <w:pPr>
              <w:pStyle w:val="AH3Div"/>
            </w:pPr>
            <w:bookmarkStart w:id="1935" w:name="_Toc185515551"/>
            <w:r w:rsidRPr="00E05159">
              <w:rPr>
                <w:rStyle w:val="CharDivNo"/>
              </w:rPr>
              <w:t>Division 4.2.3</w:t>
            </w:r>
            <w:r w:rsidRPr="0066605F">
              <w:rPr>
                <w:color w:val="000000"/>
              </w:rPr>
              <w:tab/>
            </w:r>
            <w:r w:rsidRPr="00E05159">
              <w:rPr>
                <w:rStyle w:val="CharDivText"/>
              </w:rPr>
              <w:t>Engrossing</w:t>
            </w:r>
            <w:bookmarkEnd w:id="1935"/>
          </w:p>
        </w:tc>
      </w:tr>
      <w:tr w:rsidR="00E05159" w:rsidRPr="0066605F" w14:paraId="4898921E" w14:textId="77777777" w:rsidTr="00F50B66">
        <w:trPr>
          <w:cantSplit/>
        </w:trPr>
        <w:tc>
          <w:tcPr>
            <w:tcW w:w="1200" w:type="dxa"/>
          </w:tcPr>
          <w:p w14:paraId="6A7F8859" w14:textId="77777777" w:rsidR="00E05159" w:rsidRPr="0066605F" w:rsidRDefault="00E05159" w:rsidP="00F50B66">
            <w:pPr>
              <w:pStyle w:val="TableText10"/>
            </w:pPr>
            <w:r w:rsidRPr="0066605F">
              <w:t>15</w:t>
            </w:r>
          </w:p>
        </w:tc>
        <w:tc>
          <w:tcPr>
            <w:tcW w:w="3161" w:type="dxa"/>
          </w:tcPr>
          <w:p w14:paraId="399EB4DF" w14:textId="77777777" w:rsidR="00E05159" w:rsidRPr="0066605F" w:rsidRDefault="00E05159" w:rsidP="00F50B66">
            <w:pPr>
              <w:pStyle w:val="TableText10"/>
              <w:rPr>
                <w:color w:val="000000"/>
              </w:rPr>
            </w:pPr>
            <w:r w:rsidRPr="0066605F">
              <w:rPr>
                <w:color w:val="000000"/>
              </w:rPr>
              <w:t>of a document</w:t>
            </w:r>
          </w:p>
        </w:tc>
        <w:tc>
          <w:tcPr>
            <w:tcW w:w="1134" w:type="dxa"/>
            <w:tcBorders>
              <w:right w:val="nil"/>
            </w:tcBorders>
          </w:tcPr>
          <w:p w14:paraId="188D9021" w14:textId="77777777" w:rsidR="00E05159" w:rsidRPr="0066605F" w:rsidRDefault="00E05159" w:rsidP="00F50B66">
            <w:pPr>
              <w:pStyle w:val="TableText10"/>
            </w:pPr>
            <w:r w:rsidRPr="0066605F">
              <w:t>6.30</w:t>
            </w:r>
          </w:p>
        </w:tc>
        <w:tc>
          <w:tcPr>
            <w:tcW w:w="2453" w:type="dxa"/>
            <w:tcBorders>
              <w:left w:val="nil"/>
            </w:tcBorders>
          </w:tcPr>
          <w:p w14:paraId="09DEEF8C" w14:textId="77777777" w:rsidR="00E05159" w:rsidRPr="0066605F" w:rsidRDefault="00E05159" w:rsidP="00F50B66">
            <w:pPr>
              <w:pStyle w:val="TableText10"/>
              <w:rPr>
                <w:color w:val="000000"/>
              </w:rPr>
            </w:pPr>
            <w:r w:rsidRPr="0066605F">
              <w:rPr>
                <w:color w:val="000000"/>
              </w:rPr>
              <w:t>per 100 words</w:t>
            </w:r>
          </w:p>
        </w:tc>
      </w:tr>
      <w:tr w:rsidR="00E05159" w:rsidRPr="0066605F" w14:paraId="17D53EE9" w14:textId="77777777" w:rsidTr="00F50B66">
        <w:trPr>
          <w:cantSplit/>
        </w:trPr>
        <w:tc>
          <w:tcPr>
            <w:tcW w:w="7948" w:type="dxa"/>
            <w:gridSpan w:val="4"/>
          </w:tcPr>
          <w:p w14:paraId="202A74F3" w14:textId="77777777" w:rsidR="00E05159" w:rsidRPr="0066605F" w:rsidRDefault="00E05159" w:rsidP="00E05159">
            <w:pPr>
              <w:pStyle w:val="AH3Div"/>
            </w:pPr>
            <w:bookmarkStart w:id="1936" w:name="_Toc185515552"/>
            <w:r w:rsidRPr="00E05159">
              <w:rPr>
                <w:rStyle w:val="CharDivNo"/>
              </w:rPr>
              <w:lastRenderedPageBreak/>
              <w:t>Division 4.2.4</w:t>
            </w:r>
            <w:r w:rsidRPr="0066605F">
              <w:rPr>
                <w:color w:val="000000"/>
              </w:rPr>
              <w:tab/>
            </w:r>
            <w:r w:rsidRPr="00E05159">
              <w:rPr>
                <w:rStyle w:val="CharDivText"/>
              </w:rPr>
              <w:t>Copies</w:t>
            </w:r>
            <w:bookmarkEnd w:id="1936"/>
          </w:p>
        </w:tc>
      </w:tr>
      <w:tr w:rsidR="00E05159" w:rsidRPr="0066605F" w14:paraId="17B5A009" w14:textId="77777777" w:rsidTr="00F50B66">
        <w:trPr>
          <w:cantSplit/>
        </w:trPr>
        <w:tc>
          <w:tcPr>
            <w:tcW w:w="1200" w:type="dxa"/>
          </w:tcPr>
          <w:p w14:paraId="6ADB1FB2" w14:textId="77777777" w:rsidR="00E05159" w:rsidRPr="0066605F" w:rsidRDefault="00E05159" w:rsidP="00F50B66">
            <w:pPr>
              <w:pStyle w:val="TableText10"/>
            </w:pPr>
            <w:r w:rsidRPr="0066605F">
              <w:t>16</w:t>
            </w:r>
          </w:p>
        </w:tc>
        <w:tc>
          <w:tcPr>
            <w:tcW w:w="3161" w:type="dxa"/>
          </w:tcPr>
          <w:p w14:paraId="735BF290" w14:textId="77777777" w:rsidR="00E05159" w:rsidRPr="0066605F" w:rsidRDefault="00E05159" w:rsidP="00F50B66">
            <w:pPr>
              <w:pStyle w:val="TableText10"/>
              <w:rPr>
                <w:color w:val="000000"/>
              </w:rPr>
            </w:pPr>
            <w:r w:rsidRPr="0066605F">
              <w:rPr>
                <w:color w:val="000000"/>
              </w:rPr>
              <w:t>of any document, or of multiple documents copied at the same time—</w:t>
            </w:r>
          </w:p>
          <w:p w14:paraId="297564BE" w14:textId="77777777" w:rsidR="00E05159" w:rsidRPr="0066605F" w:rsidRDefault="00E05159" w:rsidP="00F50B66">
            <w:pPr>
              <w:pStyle w:val="TablePara10"/>
              <w:rPr>
                <w:color w:val="000000"/>
              </w:rPr>
            </w:pPr>
            <w:r w:rsidRPr="0066605F">
              <w:rPr>
                <w:color w:val="000000"/>
              </w:rPr>
              <w:tab/>
              <w:t>(a)</w:t>
            </w:r>
            <w:r w:rsidRPr="0066605F">
              <w:rPr>
                <w:color w:val="000000"/>
              </w:rPr>
              <w:tab/>
              <w:t>for each of the first 10 copies; or</w:t>
            </w:r>
          </w:p>
          <w:p w14:paraId="17A68C31"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copy up to 100 copies; or</w:t>
            </w:r>
          </w:p>
          <w:p w14:paraId="6B5CEBFF"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copy over 100 copies</w:t>
            </w:r>
          </w:p>
        </w:tc>
        <w:tc>
          <w:tcPr>
            <w:tcW w:w="1134" w:type="dxa"/>
            <w:tcBorders>
              <w:right w:val="nil"/>
            </w:tcBorders>
          </w:tcPr>
          <w:p w14:paraId="66D67851" w14:textId="77777777" w:rsidR="00E05159" w:rsidRPr="0066605F" w:rsidRDefault="00E05159" w:rsidP="00F50B66">
            <w:pPr>
              <w:pStyle w:val="TableText10"/>
              <w:spacing w:before="820"/>
            </w:pPr>
            <w:r w:rsidRPr="0066605F">
              <w:t>4.00</w:t>
            </w:r>
          </w:p>
          <w:p w14:paraId="4CD29DCE" w14:textId="77777777" w:rsidR="00E05159" w:rsidRPr="0066605F" w:rsidRDefault="00E05159" w:rsidP="00F50B66">
            <w:pPr>
              <w:pStyle w:val="TableText10"/>
              <w:spacing w:before="320"/>
            </w:pPr>
            <w:r w:rsidRPr="0066605F">
              <w:t>1.80</w:t>
            </w:r>
          </w:p>
          <w:p w14:paraId="46FCD4A2" w14:textId="77777777" w:rsidR="00E05159" w:rsidRPr="0066605F" w:rsidRDefault="00E05159" w:rsidP="00F50B66">
            <w:pPr>
              <w:pStyle w:val="TableText10"/>
              <w:spacing w:before="320"/>
            </w:pPr>
            <w:r w:rsidRPr="0066605F">
              <w:t>0.60</w:t>
            </w:r>
          </w:p>
        </w:tc>
        <w:tc>
          <w:tcPr>
            <w:tcW w:w="2453" w:type="dxa"/>
            <w:tcBorders>
              <w:left w:val="nil"/>
            </w:tcBorders>
          </w:tcPr>
          <w:p w14:paraId="6C761ACC" w14:textId="77777777" w:rsidR="00E05159" w:rsidRPr="0066605F" w:rsidRDefault="00E05159" w:rsidP="00F50B66">
            <w:pPr>
              <w:pStyle w:val="TableText10"/>
              <w:spacing w:before="820"/>
              <w:rPr>
                <w:color w:val="000000"/>
              </w:rPr>
            </w:pPr>
            <w:r w:rsidRPr="0066605F">
              <w:rPr>
                <w:color w:val="000000"/>
              </w:rPr>
              <w:t>per page</w:t>
            </w:r>
          </w:p>
          <w:p w14:paraId="09EEFD0C" w14:textId="77777777" w:rsidR="00E05159" w:rsidRPr="0066605F" w:rsidRDefault="00E05159" w:rsidP="00F50B66">
            <w:pPr>
              <w:pStyle w:val="TableText10"/>
              <w:spacing w:before="320"/>
              <w:rPr>
                <w:color w:val="000000"/>
              </w:rPr>
            </w:pPr>
            <w:r w:rsidRPr="0066605F">
              <w:rPr>
                <w:color w:val="000000"/>
              </w:rPr>
              <w:t>per page</w:t>
            </w:r>
          </w:p>
          <w:p w14:paraId="306E6F6E"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1CDA09A0" w14:textId="77777777" w:rsidTr="00F50B66">
        <w:trPr>
          <w:cantSplit/>
        </w:trPr>
        <w:tc>
          <w:tcPr>
            <w:tcW w:w="7948" w:type="dxa"/>
            <w:gridSpan w:val="4"/>
          </w:tcPr>
          <w:p w14:paraId="2DC94147" w14:textId="77777777" w:rsidR="00E05159" w:rsidRPr="0066605F" w:rsidRDefault="00E05159" w:rsidP="00E05159">
            <w:pPr>
              <w:pStyle w:val="AH3Div"/>
            </w:pPr>
            <w:bookmarkStart w:id="1937" w:name="_Toc185515553"/>
            <w:r w:rsidRPr="00E05159">
              <w:rPr>
                <w:rStyle w:val="CharDivNo"/>
              </w:rPr>
              <w:t>Division 4.2.5</w:t>
            </w:r>
            <w:r w:rsidRPr="0066605F">
              <w:rPr>
                <w:color w:val="000000"/>
              </w:rPr>
              <w:tab/>
            </w:r>
            <w:r w:rsidRPr="00E05159">
              <w:rPr>
                <w:rStyle w:val="CharDivText"/>
              </w:rPr>
              <w:t>Perusal</w:t>
            </w:r>
            <w:bookmarkEnd w:id="1937"/>
          </w:p>
        </w:tc>
      </w:tr>
      <w:tr w:rsidR="00E05159" w:rsidRPr="0066605F" w14:paraId="22396337" w14:textId="77777777" w:rsidTr="00F50B66">
        <w:trPr>
          <w:cantSplit/>
        </w:trPr>
        <w:tc>
          <w:tcPr>
            <w:tcW w:w="1200" w:type="dxa"/>
          </w:tcPr>
          <w:p w14:paraId="73B007E1" w14:textId="77777777" w:rsidR="00E05159" w:rsidRPr="0066605F" w:rsidRDefault="00E05159" w:rsidP="00F50B66">
            <w:pPr>
              <w:pStyle w:val="TableText10"/>
            </w:pPr>
            <w:r w:rsidRPr="0066605F">
              <w:t>17</w:t>
            </w:r>
          </w:p>
        </w:tc>
        <w:tc>
          <w:tcPr>
            <w:tcW w:w="3161" w:type="dxa"/>
          </w:tcPr>
          <w:p w14:paraId="432B2AE4" w14:textId="77777777" w:rsidR="00E05159" w:rsidRPr="0066605F" w:rsidRDefault="00E05159" w:rsidP="00F50B66">
            <w:pPr>
              <w:pStyle w:val="TableText10"/>
              <w:ind w:left="704" w:hanging="704"/>
              <w:rPr>
                <w:color w:val="000000"/>
              </w:rPr>
            </w:pPr>
            <w:r w:rsidRPr="0066605F">
              <w:rPr>
                <w:color w:val="000000"/>
              </w:rPr>
              <w:t>of—</w:t>
            </w:r>
          </w:p>
          <w:p w14:paraId="6A1932E2" w14:textId="77777777" w:rsidR="00E05159" w:rsidRPr="0066605F" w:rsidRDefault="00E05159" w:rsidP="00F50B66">
            <w:pPr>
              <w:pStyle w:val="TablePara10"/>
              <w:rPr>
                <w:color w:val="000000"/>
              </w:rPr>
            </w:pPr>
            <w:r w:rsidRPr="0066605F">
              <w:rPr>
                <w:color w:val="000000"/>
              </w:rPr>
              <w:tab/>
              <w:t>(a)</w:t>
            </w:r>
            <w:r w:rsidRPr="0066605F">
              <w:rPr>
                <w:color w:val="000000"/>
              </w:rPr>
              <w:tab/>
              <w:t>an originating process; or</w:t>
            </w:r>
          </w:p>
          <w:p w14:paraId="63C201EF" w14:textId="77777777" w:rsidR="00E05159" w:rsidRPr="0066605F" w:rsidRDefault="00E05159" w:rsidP="00F50B66">
            <w:pPr>
              <w:pStyle w:val="TablePara10"/>
              <w:rPr>
                <w:color w:val="000000"/>
              </w:rPr>
            </w:pPr>
            <w:r w:rsidRPr="0066605F">
              <w:rPr>
                <w:color w:val="000000"/>
              </w:rPr>
              <w:tab/>
              <w:t>(b)</w:t>
            </w:r>
            <w:r w:rsidRPr="0066605F">
              <w:rPr>
                <w:color w:val="000000"/>
              </w:rPr>
              <w:tab/>
              <w:t>a pleading; or</w:t>
            </w:r>
          </w:p>
          <w:p w14:paraId="24D11501" w14:textId="77777777" w:rsidR="00E05159" w:rsidRPr="0066605F" w:rsidRDefault="00E05159" w:rsidP="00F50B66">
            <w:pPr>
              <w:pStyle w:val="TablePara10"/>
              <w:rPr>
                <w:color w:val="000000"/>
              </w:rPr>
            </w:pPr>
            <w:r w:rsidRPr="0066605F">
              <w:rPr>
                <w:color w:val="000000"/>
              </w:rPr>
              <w:tab/>
              <w:t>(c)</w:t>
            </w:r>
            <w:r w:rsidRPr="0066605F">
              <w:rPr>
                <w:color w:val="000000"/>
              </w:rPr>
              <w:tab/>
              <w:t>an application in a proceeding; or</w:t>
            </w:r>
          </w:p>
          <w:p w14:paraId="041F7F6A" w14:textId="77777777" w:rsidR="00E05159" w:rsidRPr="0066605F" w:rsidRDefault="00E05159" w:rsidP="00F50B66">
            <w:pPr>
              <w:pStyle w:val="TablePara10"/>
              <w:rPr>
                <w:color w:val="000000"/>
              </w:rPr>
            </w:pPr>
            <w:r w:rsidRPr="0066605F">
              <w:rPr>
                <w:color w:val="000000"/>
              </w:rPr>
              <w:tab/>
              <w:t>(d)</w:t>
            </w:r>
            <w:r w:rsidRPr="0066605F">
              <w:rPr>
                <w:color w:val="000000"/>
              </w:rPr>
              <w:tab/>
              <w:t>interrogatories; or</w:t>
            </w:r>
          </w:p>
          <w:p w14:paraId="4767B3E3" w14:textId="77777777" w:rsidR="00E05159" w:rsidRPr="0066605F" w:rsidRDefault="00E05159" w:rsidP="00F50B66">
            <w:pPr>
              <w:pStyle w:val="TablePara10"/>
              <w:rPr>
                <w:color w:val="000000"/>
              </w:rPr>
            </w:pPr>
            <w:r w:rsidRPr="0066605F">
              <w:rPr>
                <w:color w:val="000000"/>
              </w:rPr>
              <w:tab/>
              <w:t>(e)</w:t>
            </w:r>
            <w:r w:rsidRPr="0066605F">
              <w:rPr>
                <w:color w:val="000000"/>
              </w:rPr>
              <w:tab/>
              <w:t>a special case; or</w:t>
            </w:r>
          </w:p>
          <w:p w14:paraId="706CF603" w14:textId="77777777" w:rsidR="00E05159" w:rsidRPr="0066605F" w:rsidRDefault="00E05159" w:rsidP="00F50B66">
            <w:pPr>
              <w:pStyle w:val="TablePara10"/>
              <w:rPr>
                <w:color w:val="000000"/>
              </w:rPr>
            </w:pPr>
            <w:r w:rsidRPr="0066605F">
              <w:rPr>
                <w:color w:val="000000"/>
              </w:rPr>
              <w:tab/>
              <w:t>(f)</w:t>
            </w:r>
            <w:r w:rsidRPr="0066605F">
              <w:rPr>
                <w:color w:val="000000"/>
              </w:rPr>
              <w:tab/>
              <w:t>a notice to admit</w:t>
            </w:r>
          </w:p>
        </w:tc>
        <w:tc>
          <w:tcPr>
            <w:tcW w:w="1134" w:type="dxa"/>
            <w:tcBorders>
              <w:right w:val="nil"/>
            </w:tcBorders>
          </w:tcPr>
          <w:p w14:paraId="1F26B62C" w14:textId="77777777" w:rsidR="00E05159" w:rsidRPr="0066605F" w:rsidRDefault="00E05159" w:rsidP="00F50B66">
            <w:pPr>
              <w:pStyle w:val="TableText10"/>
            </w:pPr>
            <w:r w:rsidRPr="0066605F">
              <w:t>70.90</w:t>
            </w:r>
          </w:p>
        </w:tc>
        <w:tc>
          <w:tcPr>
            <w:tcW w:w="2453" w:type="dxa"/>
            <w:tcBorders>
              <w:left w:val="nil"/>
            </w:tcBorders>
          </w:tcPr>
          <w:p w14:paraId="2B276ACF" w14:textId="77777777" w:rsidR="00E05159" w:rsidRPr="0066605F" w:rsidRDefault="00E05159" w:rsidP="00F50B66">
            <w:pPr>
              <w:pStyle w:val="TableText10"/>
              <w:rPr>
                <w:color w:val="000000"/>
              </w:rPr>
            </w:pPr>
            <w:r w:rsidRPr="0066605F">
              <w:rPr>
                <w:color w:val="000000"/>
              </w:rPr>
              <w:t>or, if longer than 800 words, 8.00 per 100 words</w:t>
            </w:r>
          </w:p>
        </w:tc>
      </w:tr>
      <w:tr w:rsidR="00E05159" w:rsidRPr="0066605F" w14:paraId="621FB78C" w14:textId="77777777" w:rsidTr="00F50B66">
        <w:trPr>
          <w:cantSplit/>
        </w:trPr>
        <w:tc>
          <w:tcPr>
            <w:tcW w:w="1200" w:type="dxa"/>
          </w:tcPr>
          <w:p w14:paraId="0E9FEA8F" w14:textId="77777777" w:rsidR="00E05159" w:rsidRPr="0066605F" w:rsidRDefault="00E05159" w:rsidP="00F50B66">
            <w:pPr>
              <w:pStyle w:val="TableText10"/>
            </w:pPr>
            <w:r w:rsidRPr="0066605F">
              <w:t>18</w:t>
            </w:r>
          </w:p>
        </w:tc>
        <w:tc>
          <w:tcPr>
            <w:tcW w:w="3161" w:type="dxa"/>
          </w:tcPr>
          <w:p w14:paraId="27F61E8E" w14:textId="77777777" w:rsidR="00E05159" w:rsidRPr="0066605F" w:rsidRDefault="00E05159" w:rsidP="00F50B66">
            <w:pPr>
              <w:pStyle w:val="TableText10"/>
              <w:rPr>
                <w:color w:val="000000"/>
              </w:rPr>
            </w:pPr>
            <w:r w:rsidRPr="0066605F">
              <w:rPr>
                <w:color w:val="000000"/>
              </w:rPr>
              <w:t>of any other document, if it is necessary to peruse</w:t>
            </w:r>
          </w:p>
        </w:tc>
        <w:tc>
          <w:tcPr>
            <w:tcW w:w="1134" w:type="dxa"/>
            <w:tcBorders>
              <w:right w:val="nil"/>
            </w:tcBorders>
          </w:tcPr>
          <w:p w14:paraId="27FF06AD" w14:textId="77777777" w:rsidR="00E05159" w:rsidRPr="0066605F" w:rsidRDefault="00E05159" w:rsidP="00F50B66">
            <w:pPr>
              <w:pStyle w:val="TableText10"/>
            </w:pPr>
            <w:r w:rsidRPr="0066605F">
              <w:t>8.00</w:t>
            </w:r>
          </w:p>
        </w:tc>
        <w:tc>
          <w:tcPr>
            <w:tcW w:w="2453" w:type="dxa"/>
            <w:tcBorders>
              <w:left w:val="nil"/>
            </w:tcBorders>
          </w:tcPr>
          <w:p w14:paraId="7DAFF38F" w14:textId="77777777" w:rsidR="00E05159" w:rsidRPr="0066605F" w:rsidRDefault="00E05159" w:rsidP="00F50B66">
            <w:pPr>
              <w:pStyle w:val="TableText10"/>
              <w:rPr>
                <w:color w:val="000000"/>
              </w:rPr>
            </w:pPr>
            <w:r w:rsidRPr="0066605F">
              <w:rPr>
                <w:color w:val="000000"/>
              </w:rPr>
              <w:t>per 100 words</w:t>
            </w:r>
          </w:p>
        </w:tc>
      </w:tr>
      <w:tr w:rsidR="00E05159" w:rsidRPr="0066605F" w14:paraId="753A3623" w14:textId="77777777" w:rsidTr="00F50B66">
        <w:trPr>
          <w:cantSplit/>
        </w:trPr>
        <w:tc>
          <w:tcPr>
            <w:tcW w:w="1200" w:type="dxa"/>
          </w:tcPr>
          <w:p w14:paraId="75D166C6" w14:textId="77777777" w:rsidR="00E05159" w:rsidRPr="0066605F" w:rsidRDefault="00E05159" w:rsidP="00F50B66">
            <w:pPr>
              <w:pStyle w:val="TableText10"/>
            </w:pPr>
            <w:r w:rsidRPr="0066605F">
              <w:t>19</w:t>
            </w:r>
          </w:p>
        </w:tc>
        <w:tc>
          <w:tcPr>
            <w:tcW w:w="3161" w:type="dxa"/>
          </w:tcPr>
          <w:p w14:paraId="7D60AFDD" w14:textId="77777777" w:rsidR="00E05159" w:rsidRPr="0066605F" w:rsidRDefault="00E05159" w:rsidP="00F50B66">
            <w:pPr>
              <w:pStyle w:val="TableText10"/>
              <w:rPr>
                <w:color w:val="000000"/>
              </w:rPr>
            </w:pPr>
            <w:r w:rsidRPr="0066605F">
              <w:rPr>
                <w:color w:val="000000"/>
              </w:rPr>
              <w:t>of a document by scanning it, if it is not necessary to peruse</w:t>
            </w:r>
          </w:p>
        </w:tc>
        <w:tc>
          <w:tcPr>
            <w:tcW w:w="1134" w:type="dxa"/>
            <w:tcBorders>
              <w:right w:val="nil"/>
            </w:tcBorders>
          </w:tcPr>
          <w:p w14:paraId="0147ADE5" w14:textId="77777777" w:rsidR="00E05159" w:rsidRPr="0066605F" w:rsidRDefault="00E05159" w:rsidP="00F50B66">
            <w:pPr>
              <w:pStyle w:val="TableText10"/>
            </w:pPr>
            <w:r w:rsidRPr="0066605F">
              <w:t>7.80</w:t>
            </w:r>
          </w:p>
        </w:tc>
        <w:tc>
          <w:tcPr>
            <w:tcW w:w="2453" w:type="dxa"/>
            <w:tcBorders>
              <w:left w:val="nil"/>
            </w:tcBorders>
          </w:tcPr>
          <w:p w14:paraId="35E6E05E" w14:textId="77777777" w:rsidR="00E05159" w:rsidRPr="0066605F" w:rsidRDefault="00E05159" w:rsidP="00F50B66">
            <w:pPr>
              <w:pStyle w:val="TableText10"/>
              <w:rPr>
                <w:color w:val="000000"/>
              </w:rPr>
            </w:pPr>
            <w:r w:rsidRPr="0066605F">
              <w:rPr>
                <w:color w:val="000000"/>
              </w:rPr>
              <w:t>or, if the document has more than 10 pages, the additional amount the registrar considers appropriate</w:t>
            </w:r>
          </w:p>
        </w:tc>
      </w:tr>
      <w:tr w:rsidR="00E05159" w:rsidRPr="0066605F" w14:paraId="71413B9A" w14:textId="77777777" w:rsidTr="00F50B66">
        <w:trPr>
          <w:cantSplit/>
        </w:trPr>
        <w:tc>
          <w:tcPr>
            <w:tcW w:w="7948" w:type="dxa"/>
            <w:gridSpan w:val="4"/>
          </w:tcPr>
          <w:p w14:paraId="553BC6AA" w14:textId="77777777" w:rsidR="00E05159" w:rsidRPr="0066605F" w:rsidRDefault="00E05159" w:rsidP="00E05159">
            <w:pPr>
              <w:pStyle w:val="AH3Div"/>
            </w:pPr>
            <w:bookmarkStart w:id="1938" w:name="_Toc185515554"/>
            <w:r w:rsidRPr="00E05159">
              <w:rPr>
                <w:rStyle w:val="CharDivNo"/>
              </w:rPr>
              <w:lastRenderedPageBreak/>
              <w:t>Division 4.2.6</w:t>
            </w:r>
            <w:r w:rsidRPr="0066605F">
              <w:rPr>
                <w:color w:val="000000"/>
              </w:rPr>
              <w:tab/>
            </w:r>
            <w:r w:rsidRPr="00E05159">
              <w:rPr>
                <w:rStyle w:val="CharDivText"/>
              </w:rPr>
              <w:t>Attendances</w:t>
            </w:r>
            <w:bookmarkEnd w:id="1938"/>
          </w:p>
        </w:tc>
      </w:tr>
      <w:tr w:rsidR="00E05159" w:rsidRPr="0066605F" w14:paraId="66DA2D6E" w14:textId="77777777" w:rsidTr="00F50B66">
        <w:trPr>
          <w:cantSplit/>
        </w:trPr>
        <w:tc>
          <w:tcPr>
            <w:tcW w:w="1200" w:type="dxa"/>
          </w:tcPr>
          <w:p w14:paraId="6E986699" w14:textId="77777777" w:rsidR="00E05159" w:rsidRPr="0066605F" w:rsidRDefault="00E05159" w:rsidP="00F50B66">
            <w:pPr>
              <w:pStyle w:val="TableText10"/>
            </w:pPr>
            <w:r w:rsidRPr="0066605F">
              <w:t>20</w:t>
            </w:r>
          </w:p>
        </w:tc>
        <w:tc>
          <w:tcPr>
            <w:tcW w:w="3161" w:type="dxa"/>
          </w:tcPr>
          <w:p w14:paraId="67A4EBE6" w14:textId="77777777" w:rsidR="00E05159" w:rsidRPr="0066605F" w:rsidRDefault="00E05159" w:rsidP="00F50B66">
            <w:pPr>
              <w:pStyle w:val="TableText10"/>
              <w:rPr>
                <w:color w:val="000000"/>
              </w:rPr>
            </w:pPr>
            <w:r w:rsidRPr="0066605F">
              <w:rPr>
                <w:color w:val="000000"/>
              </w:rPr>
              <w:t>for personal service, if necessary, of 1 or more documents at the same time</w:t>
            </w:r>
          </w:p>
        </w:tc>
        <w:tc>
          <w:tcPr>
            <w:tcW w:w="1134" w:type="dxa"/>
            <w:tcBorders>
              <w:right w:val="nil"/>
            </w:tcBorders>
          </w:tcPr>
          <w:p w14:paraId="3CFABB2F" w14:textId="77777777" w:rsidR="00E05159" w:rsidRPr="0066605F" w:rsidRDefault="00E05159" w:rsidP="00F50B66">
            <w:pPr>
              <w:pStyle w:val="TableText10"/>
            </w:pPr>
            <w:r w:rsidRPr="0066605F">
              <w:t>107.50</w:t>
            </w:r>
          </w:p>
        </w:tc>
        <w:tc>
          <w:tcPr>
            <w:tcW w:w="2453" w:type="dxa"/>
            <w:tcBorders>
              <w:left w:val="nil"/>
            </w:tcBorders>
          </w:tcPr>
          <w:p w14:paraId="79EBD1BD" w14:textId="77777777" w:rsidR="00E05159" w:rsidRPr="0066605F" w:rsidRDefault="00E05159" w:rsidP="00F50B66">
            <w:pPr>
              <w:pStyle w:val="TableText10"/>
              <w:rPr>
                <w:color w:val="000000"/>
              </w:rPr>
            </w:pPr>
          </w:p>
        </w:tc>
      </w:tr>
      <w:tr w:rsidR="00E05159" w:rsidRPr="0066605F" w14:paraId="1BCF4113" w14:textId="77777777" w:rsidTr="00F50B66">
        <w:trPr>
          <w:cantSplit/>
        </w:trPr>
        <w:tc>
          <w:tcPr>
            <w:tcW w:w="1200" w:type="dxa"/>
          </w:tcPr>
          <w:p w14:paraId="5B0DB2D8" w14:textId="77777777" w:rsidR="00E05159" w:rsidRPr="0066605F" w:rsidRDefault="00E05159" w:rsidP="00F50B66">
            <w:pPr>
              <w:pStyle w:val="TableText10"/>
            </w:pPr>
            <w:r w:rsidRPr="0066605F">
              <w:t>21</w:t>
            </w:r>
          </w:p>
        </w:tc>
        <w:tc>
          <w:tcPr>
            <w:tcW w:w="3161" w:type="dxa"/>
          </w:tcPr>
          <w:p w14:paraId="3792F929" w14:textId="77777777" w:rsidR="00E05159" w:rsidRPr="0066605F" w:rsidRDefault="00E05159" w:rsidP="00F50B66">
            <w:pPr>
              <w:pStyle w:val="TableText10"/>
              <w:rPr>
                <w:color w:val="000000"/>
              </w:rPr>
            </w:pPr>
            <w:r w:rsidRPr="0066605F">
              <w:rPr>
                <w:color w:val="000000"/>
              </w:rPr>
              <w:t>for service of 1 or more documents at the same time—</w:t>
            </w:r>
          </w:p>
          <w:p w14:paraId="1C6D7AEE" w14:textId="77777777" w:rsidR="00E05159" w:rsidRPr="0066605F" w:rsidRDefault="00E05159" w:rsidP="00F50B66">
            <w:pPr>
              <w:pStyle w:val="TablePara10"/>
              <w:rPr>
                <w:color w:val="000000"/>
              </w:rPr>
            </w:pPr>
            <w:r w:rsidRPr="0066605F">
              <w:rPr>
                <w:color w:val="000000"/>
              </w:rPr>
              <w:tab/>
              <w:t>(a)</w:t>
            </w:r>
            <w:r w:rsidRPr="0066605F">
              <w:rPr>
                <w:color w:val="000000"/>
              </w:rPr>
              <w:tab/>
              <w:t>at the office of a solicitor on the record or the address for service of a party; or</w:t>
            </w:r>
          </w:p>
          <w:p w14:paraId="2F11B88E" w14:textId="77777777" w:rsidR="00E05159" w:rsidRPr="0066605F" w:rsidRDefault="00E05159" w:rsidP="00F50B66">
            <w:pPr>
              <w:pStyle w:val="TablePara10"/>
              <w:rPr>
                <w:color w:val="000000"/>
              </w:rPr>
            </w:pPr>
            <w:r w:rsidRPr="0066605F">
              <w:rPr>
                <w:color w:val="000000"/>
              </w:rPr>
              <w:tab/>
              <w:t>(b)</w:t>
            </w:r>
            <w:r w:rsidRPr="0066605F">
              <w:rPr>
                <w:color w:val="000000"/>
              </w:rPr>
              <w:tab/>
              <w:t>by post; or</w:t>
            </w:r>
          </w:p>
          <w:p w14:paraId="55E1ECFC" w14:textId="77777777" w:rsidR="00E05159" w:rsidRPr="0066605F" w:rsidRDefault="00E05159" w:rsidP="00F50B66">
            <w:pPr>
              <w:pStyle w:val="TablePara10"/>
              <w:rPr>
                <w:color w:val="000000"/>
              </w:rPr>
            </w:pPr>
            <w:r w:rsidRPr="0066605F">
              <w:rPr>
                <w:color w:val="000000"/>
              </w:rPr>
              <w:tab/>
              <w:t>(c)</w:t>
            </w:r>
            <w:r w:rsidRPr="0066605F">
              <w:rPr>
                <w:color w:val="000000"/>
              </w:rPr>
              <w:tab/>
              <w:t>made through a document exchange</w:t>
            </w:r>
          </w:p>
        </w:tc>
        <w:tc>
          <w:tcPr>
            <w:tcW w:w="1134" w:type="dxa"/>
            <w:tcBorders>
              <w:right w:val="nil"/>
            </w:tcBorders>
          </w:tcPr>
          <w:p w14:paraId="574D71BD" w14:textId="77777777" w:rsidR="00E05159" w:rsidRPr="0066605F" w:rsidRDefault="00E05159" w:rsidP="00F50B66">
            <w:pPr>
              <w:pStyle w:val="TableText10"/>
            </w:pPr>
            <w:r w:rsidRPr="0066605F">
              <w:t>43.50</w:t>
            </w:r>
          </w:p>
        </w:tc>
        <w:tc>
          <w:tcPr>
            <w:tcW w:w="2453" w:type="dxa"/>
            <w:tcBorders>
              <w:left w:val="nil"/>
            </w:tcBorders>
          </w:tcPr>
          <w:p w14:paraId="5111329B" w14:textId="77777777" w:rsidR="00E05159" w:rsidRPr="0066605F" w:rsidRDefault="00E05159" w:rsidP="00F50B66">
            <w:pPr>
              <w:pStyle w:val="TableText10"/>
              <w:rPr>
                <w:color w:val="000000"/>
              </w:rPr>
            </w:pPr>
          </w:p>
        </w:tc>
      </w:tr>
      <w:tr w:rsidR="00E05159" w:rsidRPr="0066605F" w14:paraId="03D463C7" w14:textId="77777777" w:rsidTr="00F50B66">
        <w:tc>
          <w:tcPr>
            <w:tcW w:w="1200" w:type="dxa"/>
          </w:tcPr>
          <w:p w14:paraId="7900246E" w14:textId="77777777" w:rsidR="00E05159" w:rsidRPr="0066605F" w:rsidRDefault="00E05159" w:rsidP="00F50B66">
            <w:pPr>
              <w:pStyle w:val="TableText10"/>
            </w:pPr>
            <w:r w:rsidRPr="0066605F">
              <w:t>22</w:t>
            </w:r>
          </w:p>
        </w:tc>
        <w:tc>
          <w:tcPr>
            <w:tcW w:w="3161" w:type="dxa"/>
          </w:tcPr>
          <w:p w14:paraId="15828873" w14:textId="77777777" w:rsidR="00E05159" w:rsidRPr="0066605F" w:rsidRDefault="00E05159" w:rsidP="00F50B66">
            <w:pPr>
              <w:pStyle w:val="TableText10"/>
            </w:pPr>
            <w:r w:rsidRPr="0066605F">
              <w:rPr>
                <w:color w:val="000000"/>
              </w:rPr>
              <w:t>by attendance (including travel and waiting time)</w:t>
            </w:r>
            <w:r w:rsidRPr="0066605F">
              <w:t>—</w:t>
            </w:r>
          </w:p>
          <w:p w14:paraId="4BB95A40" w14:textId="77777777" w:rsidR="00E05159" w:rsidRPr="0066605F" w:rsidRDefault="00E05159" w:rsidP="00F50B66">
            <w:pPr>
              <w:pStyle w:val="TablePara10"/>
            </w:pPr>
            <w:r w:rsidRPr="0066605F">
              <w:tab/>
              <w:t>(a)</w:t>
            </w:r>
            <w:r w:rsidRPr="0066605F">
              <w:tab/>
              <w:t>by a solicitor; or</w:t>
            </w:r>
          </w:p>
          <w:p w14:paraId="20C8251D" w14:textId="77777777" w:rsidR="00E05159" w:rsidRPr="0066605F" w:rsidRDefault="00E05159" w:rsidP="00F50B66">
            <w:pPr>
              <w:pStyle w:val="TablePara10"/>
            </w:pPr>
            <w:r w:rsidRPr="0066605F">
              <w:tab/>
              <w:t>(b)</w:t>
            </w:r>
            <w:r w:rsidRPr="0066605F">
              <w:tab/>
              <w:t>by a clerk</w:t>
            </w:r>
          </w:p>
        </w:tc>
        <w:tc>
          <w:tcPr>
            <w:tcW w:w="1134" w:type="dxa"/>
            <w:tcBorders>
              <w:right w:val="nil"/>
            </w:tcBorders>
          </w:tcPr>
          <w:p w14:paraId="39449789" w14:textId="77777777" w:rsidR="00E05159" w:rsidRPr="0066605F" w:rsidRDefault="00E05159" w:rsidP="00F50B66">
            <w:pPr>
              <w:pStyle w:val="TableText10"/>
              <w:spacing w:before="600"/>
              <w:rPr>
                <w:color w:val="000000"/>
              </w:rPr>
            </w:pPr>
            <w:r w:rsidRPr="0066605F">
              <w:rPr>
                <w:color w:val="000000"/>
              </w:rPr>
              <w:t>38.70</w:t>
            </w:r>
          </w:p>
          <w:p w14:paraId="17763FFC" w14:textId="77777777" w:rsidR="00E05159" w:rsidRPr="0066605F" w:rsidRDefault="00E05159" w:rsidP="00F50B66">
            <w:pPr>
              <w:pStyle w:val="TableText10"/>
              <w:rPr>
                <w:color w:val="000000"/>
              </w:rPr>
            </w:pPr>
            <w:r w:rsidRPr="0066605F">
              <w:rPr>
                <w:color w:val="000000"/>
              </w:rPr>
              <w:t>16.10</w:t>
            </w:r>
          </w:p>
        </w:tc>
        <w:tc>
          <w:tcPr>
            <w:tcW w:w="2453" w:type="dxa"/>
            <w:tcBorders>
              <w:left w:val="nil"/>
            </w:tcBorders>
          </w:tcPr>
          <w:p w14:paraId="2E815887" w14:textId="77777777" w:rsidR="00E05159" w:rsidRPr="0066605F" w:rsidRDefault="00E05159" w:rsidP="00F50B66">
            <w:pPr>
              <w:pStyle w:val="TableText10"/>
              <w:spacing w:before="600"/>
              <w:rPr>
                <w:color w:val="000000"/>
              </w:rPr>
            </w:pPr>
            <w:r w:rsidRPr="0066605F">
              <w:rPr>
                <w:color w:val="000000"/>
              </w:rPr>
              <w:t>per 6 minutes</w:t>
            </w:r>
          </w:p>
          <w:p w14:paraId="332DEC70" w14:textId="77777777" w:rsidR="00E05159" w:rsidRPr="0066605F" w:rsidRDefault="00E05159" w:rsidP="00F50B66">
            <w:pPr>
              <w:pStyle w:val="TableText10"/>
              <w:rPr>
                <w:color w:val="000000"/>
              </w:rPr>
            </w:pPr>
            <w:r w:rsidRPr="0066605F">
              <w:rPr>
                <w:color w:val="000000"/>
              </w:rPr>
              <w:t>per 6 minutes</w:t>
            </w:r>
          </w:p>
        </w:tc>
      </w:tr>
      <w:tr w:rsidR="00E05159" w:rsidRPr="0066605F" w14:paraId="112FEA66" w14:textId="77777777" w:rsidTr="00F50B66">
        <w:trPr>
          <w:cantSplit/>
        </w:trPr>
        <w:tc>
          <w:tcPr>
            <w:tcW w:w="1200" w:type="dxa"/>
          </w:tcPr>
          <w:p w14:paraId="060469AA" w14:textId="77777777" w:rsidR="00E05159" w:rsidRPr="0066605F" w:rsidRDefault="00E05159" w:rsidP="00F50B66">
            <w:pPr>
              <w:pStyle w:val="TableText10"/>
            </w:pPr>
            <w:r w:rsidRPr="0066605F">
              <w:t>23</w:t>
            </w:r>
          </w:p>
        </w:tc>
        <w:tc>
          <w:tcPr>
            <w:tcW w:w="3161" w:type="dxa"/>
          </w:tcPr>
          <w:p w14:paraId="72566437" w14:textId="77777777" w:rsidR="00E05159" w:rsidRPr="0066605F" w:rsidRDefault="00E05159" w:rsidP="00F50B66">
            <w:pPr>
              <w:pStyle w:val="TableText10"/>
              <w:rPr>
                <w:color w:val="000000"/>
              </w:rPr>
            </w:pPr>
            <w:r w:rsidRPr="0066605F">
              <w:rPr>
                <w:color w:val="000000"/>
              </w:rPr>
              <w:t>at the registry or other office or place for—</w:t>
            </w:r>
          </w:p>
          <w:p w14:paraId="774F7A6D" w14:textId="77777777" w:rsidR="00E05159" w:rsidRPr="0066605F" w:rsidRDefault="00E05159" w:rsidP="00F50B66">
            <w:pPr>
              <w:pStyle w:val="TablePara10"/>
              <w:rPr>
                <w:color w:val="000000"/>
              </w:rPr>
            </w:pPr>
            <w:r w:rsidRPr="0066605F">
              <w:rPr>
                <w:color w:val="000000"/>
              </w:rPr>
              <w:tab/>
              <w:t>(a)</w:t>
            </w:r>
            <w:r w:rsidRPr="0066605F">
              <w:rPr>
                <w:color w:val="000000"/>
              </w:rPr>
              <w:tab/>
              <w:t>filing, delivering, or collecting a document; or</w:t>
            </w:r>
          </w:p>
          <w:p w14:paraId="3F18AFE5" w14:textId="77777777" w:rsidR="00E05159" w:rsidRPr="0066605F" w:rsidRDefault="00E05159" w:rsidP="00F50B66">
            <w:pPr>
              <w:pStyle w:val="TablePara10"/>
              <w:rPr>
                <w:color w:val="000000"/>
              </w:rPr>
            </w:pPr>
            <w:r w:rsidRPr="0066605F">
              <w:rPr>
                <w:color w:val="000000"/>
              </w:rPr>
              <w:tab/>
              <w:t>(b)</w:t>
            </w:r>
            <w:r w:rsidRPr="0066605F">
              <w:rPr>
                <w:color w:val="000000"/>
              </w:rPr>
              <w:tab/>
              <w:t>a purpose not involving the exercise of legal skill or knowledge</w:t>
            </w:r>
          </w:p>
        </w:tc>
        <w:tc>
          <w:tcPr>
            <w:tcW w:w="1134" w:type="dxa"/>
            <w:tcBorders>
              <w:right w:val="nil"/>
            </w:tcBorders>
          </w:tcPr>
          <w:p w14:paraId="3120A741" w14:textId="77777777" w:rsidR="00E05159" w:rsidRPr="0066605F" w:rsidRDefault="00E05159" w:rsidP="00F50B66">
            <w:pPr>
              <w:pStyle w:val="TableText10"/>
            </w:pPr>
            <w:r w:rsidRPr="0066605F">
              <w:t>35.80</w:t>
            </w:r>
          </w:p>
        </w:tc>
        <w:tc>
          <w:tcPr>
            <w:tcW w:w="2453" w:type="dxa"/>
            <w:tcBorders>
              <w:left w:val="nil"/>
            </w:tcBorders>
          </w:tcPr>
          <w:p w14:paraId="4CBD31E5" w14:textId="77777777" w:rsidR="00E05159" w:rsidRPr="0066605F" w:rsidRDefault="00E05159" w:rsidP="00F50B66">
            <w:pPr>
              <w:pStyle w:val="TableText10"/>
              <w:rPr>
                <w:color w:val="000000"/>
              </w:rPr>
            </w:pPr>
          </w:p>
        </w:tc>
      </w:tr>
      <w:tr w:rsidR="00E05159" w:rsidRPr="0066605F" w14:paraId="13ED4D55" w14:textId="77777777" w:rsidTr="00F50B66">
        <w:trPr>
          <w:cantSplit/>
        </w:trPr>
        <w:tc>
          <w:tcPr>
            <w:tcW w:w="1200" w:type="dxa"/>
          </w:tcPr>
          <w:p w14:paraId="763FF41D" w14:textId="77777777" w:rsidR="00E05159" w:rsidRPr="0066605F" w:rsidRDefault="00E05159" w:rsidP="00F50B66">
            <w:pPr>
              <w:pStyle w:val="TableText10"/>
            </w:pPr>
            <w:r w:rsidRPr="0066605F">
              <w:t>24</w:t>
            </w:r>
          </w:p>
        </w:tc>
        <w:tc>
          <w:tcPr>
            <w:tcW w:w="3161" w:type="dxa"/>
          </w:tcPr>
          <w:p w14:paraId="0E84EB0F" w14:textId="77777777" w:rsidR="00E05159" w:rsidRPr="0066605F" w:rsidRDefault="00E05159" w:rsidP="00F50B66">
            <w:pPr>
              <w:pStyle w:val="TableText10"/>
              <w:rPr>
                <w:color w:val="000000"/>
              </w:rPr>
            </w:pPr>
            <w:r w:rsidRPr="0066605F">
              <w:rPr>
                <w:color w:val="000000"/>
              </w:rPr>
              <w:t>formal telephone attendance</w:t>
            </w:r>
          </w:p>
        </w:tc>
        <w:tc>
          <w:tcPr>
            <w:tcW w:w="1134" w:type="dxa"/>
            <w:tcBorders>
              <w:right w:val="nil"/>
            </w:tcBorders>
          </w:tcPr>
          <w:p w14:paraId="1C3A4EEE" w14:textId="77777777" w:rsidR="00E05159" w:rsidRPr="0066605F" w:rsidRDefault="00E05159" w:rsidP="00F50B66">
            <w:pPr>
              <w:pStyle w:val="TableText10"/>
              <w:rPr>
                <w:color w:val="000000"/>
              </w:rPr>
            </w:pPr>
            <w:r w:rsidRPr="0066605F">
              <w:t>35.80</w:t>
            </w:r>
          </w:p>
        </w:tc>
        <w:tc>
          <w:tcPr>
            <w:tcW w:w="2453" w:type="dxa"/>
            <w:tcBorders>
              <w:left w:val="nil"/>
            </w:tcBorders>
          </w:tcPr>
          <w:p w14:paraId="03F2C7F2" w14:textId="77777777" w:rsidR="00E05159" w:rsidRPr="0066605F" w:rsidRDefault="00E05159" w:rsidP="00F50B66">
            <w:pPr>
              <w:pStyle w:val="TableText10"/>
              <w:rPr>
                <w:color w:val="000000"/>
              </w:rPr>
            </w:pPr>
          </w:p>
        </w:tc>
      </w:tr>
      <w:tr w:rsidR="00E05159" w:rsidRPr="0066605F" w14:paraId="5B0E03EC" w14:textId="77777777" w:rsidTr="00F50B66">
        <w:trPr>
          <w:cantSplit/>
        </w:trPr>
        <w:tc>
          <w:tcPr>
            <w:tcW w:w="1200" w:type="dxa"/>
          </w:tcPr>
          <w:p w14:paraId="11BC751F" w14:textId="77777777" w:rsidR="00E05159" w:rsidRPr="0066605F" w:rsidRDefault="00E05159" w:rsidP="00F50B66">
            <w:pPr>
              <w:pStyle w:val="TableText10"/>
            </w:pPr>
            <w:r w:rsidRPr="0066605F">
              <w:t>25</w:t>
            </w:r>
          </w:p>
        </w:tc>
        <w:tc>
          <w:tcPr>
            <w:tcW w:w="3161" w:type="dxa"/>
          </w:tcPr>
          <w:p w14:paraId="05E5E56E" w14:textId="77777777" w:rsidR="00E05159" w:rsidRPr="0066605F" w:rsidRDefault="00E05159" w:rsidP="00F50B66">
            <w:pPr>
              <w:pStyle w:val="TableText10"/>
              <w:rPr>
                <w:color w:val="000000"/>
              </w:rPr>
            </w:pPr>
            <w:r w:rsidRPr="0066605F">
              <w:rPr>
                <w:color w:val="000000"/>
              </w:rPr>
              <w:t>telephone attendance leaving message only</w:t>
            </w:r>
          </w:p>
        </w:tc>
        <w:tc>
          <w:tcPr>
            <w:tcW w:w="1134" w:type="dxa"/>
            <w:tcBorders>
              <w:right w:val="nil"/>
            </w:tcBorders>
          </w:tcPr>
          <w:p w14:paraId="5F9F6528" w14:textId="77777777" w:rsidR="00E05159" w:rsidRPr="0066605F" w:rsidRDefault="00E05159" w:rsidP="00F50B66">
            <w:pPr>
              <w:pStyle w:val="TableText10"/>
            </w:pPr>
            <w:r w:rsidRPr="0066605F">
              <w:t>17.80</w:t>
            </w:r>
          </w:p>
        </w:tc>
        <w:tc>
          <w:tcPr>
            <w:tcW w:w="2453" w:type="dxa"/>
            <w:tcBorders>
              <w:left w:val="nil"/>
            </w:tcBorders>
          </w:tcPr>
          <w:p w14:paraId="00F89237" w14:textId="77777777" w:rsidR="00E05159" w:rsidRPr="0066605F" w:rsidRDefault="00E05159" w:rsidP="00F50B66">
            <w:pPr>
              <w:pStyle w:val="TableText10"/>
              <w:rPr>
                <w:color w:val="000000"/>
              </w:rPr>
            </w:pPr>
          </w:p>
        </w:tc>
      </w:tr>
      <w:tr w:rsidR="00E05159" w:rsidRPr="0066605F" w14:paraId="01383A14" w14:textId="77777777" w:rsidTr="00F50B66">
        <w:trPr>
          <w:cantSplit/>
        </w:trPr>
        <w:tc>
          <w:tcPr>
            <w:tcW w:w="1200" w:type="dxa"/>
          </w:tcPr>
          <w:p w14:paraId="43B95A90" w14:textId="77777777" w:rsidR="00E05159" w:rsidRPr="0066605F" w:rsidRDefault="00E05159" w:rsidP="00F50B66">
            <w:pPr>
              <w:pStyle w:val="TableText10"/>
            </w:pPr>
            <w:r w:rsidRPr="0066605F">
              <w:lastRenderedPageBreak/>
              <w:t>26</w:t>
            </w:r>
          </w:p>
        </w:tc>
        <w:tc>
          <w:tcPr>
            <w:tcW w:w="3161" w:type="dxa"/>
          </w:tcPr>
          <w:p w14:paraId="38D425D9" w14:textId="77777777" w:rsidR="00E05159" w:rsidRPr="0066605F" w:rsidRDefault="00E05159" w:rsidP="00F50B66">
            <w:pPr>
              <w:pStyle w:val="TableText10"/>
              <w:rPr>
                <w:color w:val="000000"/>
              </w:rPr>
            </w:pPr>
            <w:r w:rsidRPr="0066605F">
              <w:rPr>
                <w:color w:val="000000"/>
              </w:rPr>
              <w:t>if the registrar is satisfied, in relation to travel, that the purpose of the journey could not have been satisfactorily accomplished by an agent and that—</w:t>
            </w:r>
          </w:p>
          <w:p w14:paraId="3DBCC003" w14:textId="77777777" w:rsidR="00E05159" w:rsidRPr="0066605F" w:rsidRDefault="00E05159" w:rsidP="00F50B66">
            <w:pPr>
              <w:pStyle w:val="TablePara10"/>
              <w:rPr>
                <w:color w:val="000000"/>
              </w:rPr>
            </w:pPr>
            <w:r w:rsidRPr="0066605F">
              <w:rPr>
                <w:color w:val="000000"/>
              </w:rPr>
              <w:tab/>
              <w:t>(a)</w:t>
            </w:r>
            <w:r w:rsidRPr="0066605F">
              <w:rPr>
                <w:color w:val="000000"/>
              </w:rPr>
              <w:tab/>
              <w:t>a solicitor has been necessarily absent from the place where the solicitor carries on practice; or</w:t>
            </w:r>
          </w:p>
          <w:p w14:paraId="0D1F0630" w14:textId="77777777" w:rsidR="00E05159" w:rsidRPr="0066605F" w:rsidRDefault="00E05159" w:rsidP="00F50B66">
            <w:pPr>
              <w:pStyle w:val="TablePara10"/>
              <w:spacing w:before="360"/>
              <w:rPr>
                <w:color w:val="000000"/>
              </w:rPr>
            </w:pPr>
            <w:r w:rsidRPr="0066605F">
              <w:rPr>
                <w:color w:val="000000"/>
              </w:rPr>
              <w:tab/>
              <w:t>(b)</w:t>
            </w:r>
            <w:r w:rsidRPr="0066605F">
              <w:rPr>
                <w:color w:val="000000"/>
              </w:rPr>
              <w:tab/>
              <w:t>a clerk has attended in place of the solicitor</w:t>
            </w:r>
          </w:p>
        </w:tc>
        <w:tc>
          <w:tcPr>
            <w:tcW w:w="3587" w:type="dxa"/>
            <w:gridSpan w:val="2"/>
          </w:tcPr>
          <w:p w14:paraId="7A3D23C5" w14:textId="77777777" w:rsidR="00E05159" w:rsidRPr="0066605F" w:rsidRDefault="00E05159" w:rsidP="00F50B66">
            <w:pPr>
              <w:pStyle w:val="TableText10"/>
              <w:spacing w:before="1220"/>
              <w:rPr>
                <w:color w:val="000000"/>
              </w:rPr>
            </w:pPr>
            <w:r w:rsidRPr="0066605F">
              <w:rPr>
                <w:color w:val="000000"/>
              </w:rPr>
              <w:t>an allowance (in addition to reasonable travelling expenses), for each day (other than Saturdays and Sundays) that the solicitor is absent, of not more than 1 676.90</w:t>
            </w:r>
          </w:p>
          <w:p w14:paraId="16922F96" w14:textId="77777777" w:rsidR="00E05159" w:rsidRPr="0066605F" w:rsidRDefault="00E05159" w:rsidP="00F50B66">
            <w:pPr>
              <w:pStyle w:val="TableText10"/>
              <w:spacing w:before="120"/>
              <w:rPr>
                <w:color w:val="000000"/>
              </w:rPr>
            </w:pPr>
            <w:r w:rsidRPr="0066605F">
              <w:rPr>
                <w:color w:val="000000"/>
              </w:rPr>
              <w:t>an allowance (in addition to reasonable travelling expenses), for each day (other than Saturdays and Sundays) that the clerk is absent, of not more than 430.70</w:t>
            </w:r>
          </w:p>
        </w:tc>
      </w:tr>
      <w:tr w:rsidR="00E05159" w:rsidRPr="0066605F" w14:paraId="02B099A8" w14:textId="77777777" w:rsidTr="00F50B66">
        <w:trPr>
          <w:cantSplit/>
        </w:trPr>
        <w:tc>
          <w:tcPr>
            <w:tcW w:w="7948" w:type="dxa"/>
            <w:gridSpan w:val="4"/>
          </w:tcPr>
          <w:p w14:paraId="6518C7A9" w14:textId="77777777" w:rsidR="00E05159" w:rsidRPr="0066605F" w:rsidRDefault="00E05159" w:rsidP="00E05159">
            <w:pPr>
              <w:pStyle w:val="AH3Div"/>
            </w:pPr>
            <w:bookmarkStart w:id="1939" w:name="_Toc185515555"/>
            <w:r w:rsidRPr="00E05159">
              <w:rPr>
                <w:rStyle w:val="CharDivNo"/>
              </w:rPr>
              <w:t>Division 4.2.7</w:t>
            </w:r>
            <w:r w:rsidRPr="0066605F">
              <w:rPr>
                <w:color w:val="000000"/>
              </w:rPr>
              <w:tab/>
            </w:r>
            <w:r w:rsidRPr="00E05159">
              <w:rPr>
                <w:rStyle w:val="CharDivText"/>
              </w:rPr>
              <w:t>Letters</w:t>
            </w:r>
            <w:bookmarkEnd w:id="1939"/>
          </w:p>
        </w:tc>
      </w:tr>
      <w:tr w:rsidR="00E05159" w:rsidRPr="0066605F" w14:paraId="3E8998B7" w14:textId="77777777" w:rsidTr="00F50B66">
        <w:trPr>
          <w:cantSplit/>
        </w:trPr>
        <w:tc>
          <w:tcPr>
            <w:tcW w:w="1200" w:type="dxa"/>
          </w:tcPr>
          <w:p w14:paraId="4C037941" w14:textId="77777777" w:rsidR="00E05159" w:rsidRPr="0066605F" w:rsidRDefault="00E05159" w:rsidP="00F50B66">
            <w:pPr>
              <w:pStyle w:val="TableText10"/>
            </w:pPr>
            <w:r w:rsidRPr="0066605F">
              <w:t>27</w:t>
            </w:r>
          </w:p>
        </w:tc>
        <w:tc>
          <w:tcPr>
            <w:tcW w:w="3161" w:type="dxa"/>
          </w:tcPr>
          <w:p w14:paraId="3C4F876F" w14:textId="77777777" w:rsidR="00E05159" w:rsidRPr="0066605F" w:rsidRDefault="00E05159" w:rsidP="00F50B66">
            <w:pPr>
              <w:pStyle w:val="TableText10"/>
              <w:rPr>
                <w:color w:val="000000"/>
              </w:rPr>
            </w:pPr>
            <w:r w:rsidRPr="0066605F">
              <w:rPr>
                <w:color w:val="000000"/>
              </w:rPr>
              <w:t>ordinary letter</w:t>
            </w:r>
          </w:p>
        </w:tc>
        <w:tc>
          <w:tcPr>
            <w:tcW w:w="1134" w:type="dxa"/>
            <w:tcBorders>
              <w:right w:val="nil"/>
            </w:tcBorders>
          </w:tcPr>
          <w:p w14:paraId="520B8F7B" w14:textId="77777777" w:rsidR="00E05159" w:rsidRPr="0066605F" w:rsidRDefault="00E05159" w:rsidP="00F50B66">
            <w:pPr>
              <w:pStyle w:val="TableText10"/>
            </w:pPr>
            <w:r w:rsidRPr="0066605F">
              <w:t>50.00</w:t>
            </w:r>
          </w:p>
        </w:tc>
        <w:tc>
          <w:tcPr>
            <w:tcW w:w="2453" w:type="dxa"/>
            <w:tcBorders>
              <w:left w:val="nil"/>
            </w:tcBorders>
          </w:tcPr>
          <w:p w14:paraId="208C3994"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7E643450" w14:textId="77777777" w:rsidTr="00F50B66">
        <w:trPr>
          <w:cantSplit/>
        </w:trPr>
        <w:tc>
          <w:tcPr>
            <w:tcW w:w="1200" w:type="dxa"/>
          </w:tcPr>
          <w:p w14:paraId="3FB475EE" w14:textId="77777777" w:rsidR="00E05159" w:rsidRPr="0066605F" w:rsidRDefault="00E05159" w:rsidP="00F50B66">
            <w:pPr>
              <w:pStyle w:val="TableText10"/>
            </w:pPr>
            <w:r w:rsidRPr="0066605F">
              <w:t>28</w:t>
            </w:r>
          </w:p>
        </w:tc>
        <w:tc>
          <w:tcPr>
            <w:tcW w:w="3161" w:type="dxa"/>
          </w:tcPr>
          <w:p w14:paraId="091CEFF3" w14:textId="77777777" w:rsidR="00E05159" w:rsidRPr="0066605F" w:rsidRDefault="00E05159" w:rsidP="00F50B66">
            <w:pPr>
              <w:pStyle w:val="TableText10"/>
              <w:rPr>
                <w:color w:val="000000"/>
              </w:rPr>
            </w:pPr>
            <w:r w:rsidRPr="0066605F">
              <w:rPr>
                <w:color w:val="000000"/>
              </w:rPr>
              <w:t>special letter</w:t>
            </w:r>
          </w:p>
        </w:tc>
        <w:tc>
          <w:tcPr>
            <w:tcW w:w="1134" w:type="dxa"/>
            <w:tcBorders>
              <w:right w:val="nil"/>
            </w:tcBorders>
          </w:tcPr>
          <w:p w14:paraId="362DF181" w14:textId="77777777" w:rsidR="00E05159" w:rsidRPr="0066605F" w:rsidRDefault="00E05159" w:rsidP="00F50B66">
            <w:pPr>
              <w:pStyle w:val="TableText10"/>
            </w:pPr>
            <w:r w:rsidRPr="0066605F">
              <w:t>83.00</w:t>
            </w:r>
          </w:p>
        </w:tc>
        <w:tc>
          <w:tcPr>
            <w:tcW w:w="2453" w:type="dxa"/>
            <w:tcBorders>
              <w:left w:val="nil"/>
            </w:tcBorders>
          </w:tcPr>
          <w:p w14:paraId="1B96AC7F"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37B5DDE0" w14:textId="77777777" w:rsidTr="00F50B66">
        <w:trPr>
          <w:cantSplit/>
        </w:trPr>
        <w:tc>
          <w:tcPr>
            <w:tcW w:w="1200" w:type="dxa"/>
          </w:tcPr>
          <w:p w14:paraId="6537D965" w14:textId="77777777" w:rsidR="00E05159" w:rsidRPr="0066605F" w:rsidRDefault="00E05159" w:rsidP="00F50B66">
            <w:pPr>
              <w:pStyle w:val="TableText10"/>
            </w:pPr>
            <w:r w:rsidRPr="0066605F">
              <w:t>29</w:t>
            </w:r>
          </w:p>
        </w:tc>
        <w:tc>
          <w:tcPr>
            <w:tcW w:w="3161" w:type="dxa"/>
          </w:tcPr>
          <w:p w14:paraId="2A9BED1B" w14:textId="77777777" w:rsidR="00E05159" w:rsidRPr="0066605F" w:rsidRDefault="00E05159" w:rsidP="00F50B66">
            <w:pPr>
              <w:pStyle w:val="TableText10"/>
              <w:rPr>
                <w:color w:val="000000"/>
              </w:rPr>
            </w:pPr>
            <w:r w:rsidRPr="0066605F">
              <w:rPr>
                <w:color w:val="000000"/>
              </w:rPr>
              <w:t>formal letter—short letter, without legal content</w:t>
            </w:r>
          </w:p>
        </w:tc>
        <w:tc>
          <w:tcPr>
            <w:tcW w:w="1134" w:type="dxa"/>
            <w:tcBorders>
              <w:right w:val="nil"/>
            </w:tcBorders>
          </w:tcPr>
          <w:p w14:paraId="3AE3F07D" w14:textId="77777777" w:rsidR="00E05159" w:rsidRPr="0066605F" w:rsidRDefault="00E05159" w:rsidP="00F50B66">
            <w:pPr>
              <w:pStyle w:val="TableText10"/>
            </w:pPr>
            <w:r w:rsidRPr="0066605F">
              <w:t>24.20</w:t>
            </w:r>
          </w:p>
        </w:tc>
        <w:tc>
          <w:tcPr>
            <w:tcW w:w="2453" w:type="dxa"/>
            <w:tcBorders>
              <w:left w:val="nil"/>
            </w:tcBorders>
          </w:tcPr>
          <w:p w14:paraId="558DB06B" w14:textId="77777777" w:rsidR="00E05159" w:rsidRPr="0066605F" w:rsidRDefault="00E05159" w:rsidP="00F50B66">
            <w:pPr>
              <w:pStyle w:val="TableText10"/>
              <w:rPr>
                <w:color w:val="000000"/>
              </w:rPr>
            </w:pPr>
          </w:p>
        </w:tc>
      </w:tr>
      <w:tr w:rsidR="00E05159" w:rsidRPr="0066605F" w14:paraId="08A6A08F" w14:textId="77777777" w:rsidTr="00F50B66">
        <w:trPr>
          <w:cantSplit/>
        </w:trPr>
        <w:tc>
          <w:tcPr>
            <w:tcW w:w="1200" w:type="dxa"/>
          </w:tcPr>
          <w:p w14:paraId="570DAE85" w14:textId="77777777" w:rsidR="00E05159" w:rsidRPr="0066605F" w:rsidRDefault="00E05159" w:rsidP="00F50B66">
            <w:pPr>
              <w:pStyle w:val="TableText10"/>
            </w:pPr>
            <w:r w:rsidRPr="0066605F">
              <w:t>30</w:t>
            </w:r>
          </w:p>
        </w:tc>
        <w:tc>
          <w:tcPr>
            <w:tcW w:w="3161" w:type="dxa"/>
          </w:tcPr>
          <w:p w14:paraId="42ECFD7B" w14:textId="77777777" w:rsidR="00E05159" w:rsidRPr="0066605F" w:rsidRDefault="00E05159" w:rsidP="00F50B66">
            <w:pPr>
              <w:pStyle w:val="TableText10"/>
              <w:rPr>
                <w:color w:val="000000"/>
              </w:rPr>
            </w:pPr>
            <w:r w:rsidRPr="0066605F">
              <w:rPr>
                <w:color w:val="000000"/>
              </w:rPr>
              <w:t>circular letters after the first</w:t>
            </w:r>
          </w:p>
        </w:tc>
        <w:tc>
          <w:tcPr>
            <w:tcW w:w="1134" w:type="dxa"/>
            <w:tcBorders>
              <w:right w:val="nil"/>
            </w:tcBorders>
          </w:tcPr>
          <w:p w14:paraId="18C5375F" w14:textId="77777777" w:rsidR="00E05159" w:rsidRPr="0066605F" w:rsidRDefault="00E05159" w:rsidP="00F50B66">
            <w:pPr>
              <w:pStyle w:val="TableText10"/>
            </w:pPr>
            <w:r w:rsidRPr="0066605F">
              <w:t>11.00</w:t>
            </w:r>
          </w:p>
        </w:tc>
        <w:tc>
          <w:tcPr>
            <w:tcW w:w="2453" w:type="dxa"/>
            <w:tcBorders>
              <w:left w:val="nil"/>
            </w:tcBorders>
          </w:tcPr>
          <w:p w14:paraId="60E9E943" w14:textId="77777777" w:rsidR="00E05159" w:rsidRPr="0066605F" w:rsidRDefault="00E05159" w:rsidP="00F50B66">
            <w:pPr>
              <w:pStyle w:val="TableText10"/>
              <w:rPr>
                <w:color w:val="000000"/>
              </w:rPr>
            </w:pPr>
          </w:p>
        </w:tc>
      </w:tr>
      <w:tr w:rsidR="00E05159" w:rsidRPr="0066605F" w14:paraId="4272B14A" w14:textId="77777777" w:rsidTr="00F50B66">
        <w:trPr>
          <w:cantSplit/>
        </w:trPr>
        <w:tc>
          <w:tcPr>
            <w:tcW w:w="1200" w:type="dxa"/>
          </w:tcPr>
          <w:p w14:paraId="7B6A5308" w14:textId="77777777" w:rsidR="00E05159" w:rsidRPr="0066605F" w:rsidRDefault="00E05159" w:rsidP="00F50B66">
            <w:pPr>
              <w:pStyle w:val="TableText10"/>
            </w:pPr>
            <w:r w:rsidRPr="0066605F">
              <w:t>31</w:t>
            </w:r>
          </w:p>
        </w:tc>
        <w:tc>
          <w:tcPr>
            <w:tcW w:w="3161" w:type="dxa"/>
          </w:tcPr>
          <w:p w14:paraId="390045E1" w14:textId="77777777" w:rsidR="00E05159" w:rsidRPr="0066605F" w:rsidRDefault="00E05159" w:rsidP="00F50B66">
            <w:pPr>
              <w:pStyle w:val="TableText10"/>
              <w:rPr>
                <w:color w:val="000000"/>
              </w:rPr>
            </w:pPr>
            <w:r w:rsidRPr="0066605F">
              <w:rPr>
                <w:color w:val="000000"/>
              </w:rPr>
              <w:t>fax copy or telex, including attendance to send</w:t>
            </w:r>
          </w:p>
        </w:tc>
        <w:tc>
          <w:tcPr>
            <w:tcW w:w="1134" w:type="dxa"/>
            <w:tcBorders>
              <w:right w:val="nil"/>
            </w:tcBorders>
          </w:tcPr>
          <w:p w14:paraId="5A8598D6" w14:textId="77777777" w:rsidR="00E05159" w:rsidRPr="0066605F" w:rsidRDefault="00E05159" w:rsidP="00F50B66">
            <w:pPr>
              <w:pStyle w:val="TableText10"/>
            </w:pPr>
            <w:r w:rsidRPr="0066605F">
              <w:t>56.60</w:t>
            </w:r>
          </w:p>
        </w:tc>
        <w:tc>
          <w:tcPr>
            <w:tcW w:w="2453" w:type="dxa"/>
            <w:tcBorders>
              <w:left w:val="nil"/>
            </w:tcBorders>
          </w:tcPr>
          <w:p w14:paraId="52452A40" w14:textId="77777777" w:rsidR="00E05159" w:rsidRPr="0066605F" w:rsidRDefault="00E05159" w:rsidP="00F50B66">
            <w:pPr>
              <w:pStyle w:val="TableText10"/>
              <w:rPr>
                <w:color w:val="000000"/>
              </w:rPr>
            </w:pPr>
          </w:p>
        </w:tc>
      </w:tr>
      <w:tr w:rsidR="00E05159" w:rsidRPr="0066605F" w14:paraId="641C5F8B" w14:textId="77777777" w:rsidTr="00F50B66">
        <w:trPr>
          <w:cantSplit/>
        </w:trPr>
        <w:tc>
          <w:tcPr>
            <w:tcW w:w="1200" w:type="dxa"/>
          </w:tcPr>
          <w:p w14:paraId="45084E22" w14:textId="77777777" w:rsidR="00E05159" w:rsidRPr="0066605F" w:rsidRDefault="00E05159" w:rsidP="00F50B66">
            <w:pPr>
              <w:pStyle w:val="TableText10"/>
            </w:pPr>
            <w:r w:rsidRPr="0066605F">
              <w:t>32</w:t>
            </w:r>
          </w:p>
        </w:tc>
        <w:tc>
          <w:tcPr>
            <w:tcW w:w="3161" w:type="dxa"/>
          </w:tcPr>
          <w:p w14:paraId="6AAA378E" w14:textId="77777777" w:rsidR="00E05159" w:rsidRPr="0066605F" w:rsidRDefault="00E05159" w:rsidP="00F50B66">
            <w:pPr>
              <w:pStyle w:val="TableText10"/>
              <w:rPr>
                <w:color w:val="000000"/>
              </w:rPr>
            </w:pPr>
            <w:r w:rsidRPr="0066605F">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14:paraId="1F222E2F" w14:textId="77777777" w:rsidR="00E05159" w:rsidRPr="0066605F" w:rsidRDefault="00E05159" w:rsidP="00F50B66">
            <w:pPr>
              <w:pStyle w:val="TableText10"/>
            </w:pPr>
            <w:r w:rsidRPr="0066605F">
              <w:t>14.90</w:t>
            </w:r>
          </w:p>
        </w:tc>
        <w:tc>
          <w:tcPr>
            <w:tcW w:w="2453" w:type="dxa"/>
            <w:tcBorders>
              <w:left w:val="nil"/>
            </w:tcBorders>
          </w:tcPr>
          <w:p w14:paraId="7D52949E" w14:textId="77777777" w:rsidR="00E05159" w:rsidRPr="0066605F" w:rsidRDefault="00E05159" w:rsidP="00F50B66">
            <w:pPr>
              <w:pStyle w:val="TableText10"/>
              <w:rPr>
                <w:color w:val="000000"/>
              </w:rPr>
            </w:pPr>
          </w:p>
        </w:tc>
      </w:tr>
      <w:tr w:rsidR="00E05159" w:rsidRPr="0066605F" w14:paraId="24C6EADD" w14:textId="77777777" w:rsidTr="00F50B66">
        <w:trPr>
          <w:cantSplit/>
        </w:trPr>
        <w:tc>
          <w:tcPr>
            <w:tcW w:w="1200" w:type="dxa"/>
          </w:tcPr>
          <w:p w14:paraId="2F8A31F0" w14:textId="77777777" w:rsidR="00E05159" w:rsidRPr="0066605F" w:rsidRDefault="00E05159" w:rsidP="00F50B66">
            <w:pPr>
              <w:pStyle w:val="TableText10"/>
            </w:pPr>
            <w:r w:rsidRPr="0066605F">
              <w:t>33</w:t>
            </w:r>
          </w:p>
        </w:tc>
        <w:tc>
          <w:tcPr>
            <w:tcW w:w="3161" w:type="dxa"/>
          </w:tcPr>
          <w:p w14:paraId="63AA80E1" w14:textId="77777777" w:rsidR="00E05159" w:rsidRPr="0066605F" w:rsidRDefault="00E05159" w:rsidP="00F50B66">
            <w:pPr>
              <w:pStyle w:val="TableText10"/>
              <w:rPr>
                <w:color w:val="000000"/>
              </w:rPr>
            </w:pPr>
            <w:r w:rsidRPr="0066605F">
              <w:rPr>
                <w:color w:val="000000"/>
              </w:rPr>
              <w:t>receiving, printing and filing incoming letter received by email</w:t>
            </w:r>
          </w:p>
        </w:tc>
        <w:tc>
          <w:tcPr>
            <w:tcW w:w="1134" w:type="dxa"/>
            <w:tcBorders>
              <w:right w:val="nil"/>
            </w:tcBorders>
          </w:tcPr>
          <w:p w14:paraId="1F1F1686" w14:textId="77777777" w:rsidR="00E05159" w:rsidRPr="0066605F" w:rsidRDefault="00E05159" w:rsidP="00F50B66">
            <w:pPr>
              <w:pStyle w:val="TableText10"/>
            </w:pPr>
            <w:r w:rsidRPr="0066605F">
              <w:t>16.30</w:t>
            </w:r>
          </w:p>
        </w:tc>
        <w:tc>
          <w:tcPr>
            <w:tcW w:w="2453" w:type="dxa"/>
            <w:tcBorders>
              <w:left w:val="nil"/>
            </w:tcBorders>
          </w:tcPr>
          <w:p w14:paraId="06AFE3E8" w14:textId="77777777" w:rsidR="00E05159" w:rsidRPr="0066605F" w:rsidRDefault="00E05159" w:rsidP="00F50B66">
            <w:pPr>
              <w:pStyle w:val="TableText10"/>
              <w:rPr>
                <w:color w:val="000000"/>
              </w:rPr>
            </w:pPr>
          </w:p>
        </w:tc>
      </w:tr>
      <w:tr w:rsidR="00E05159" w:rsidRPr="0066605F" w14:paraId="515E9A46" w14:textId="77777777" w:rsidTr="00F50B66">
        <w:trPr>
          <w:cantSplit/>
        </w:trPr>
        <w:tc>
          <w:tcPr>
            <w:tcW w:w="1200" w:type="dxa"/>
          </w:tcPr>
          <w:p w14:paraId="7E2CE0DF" w14:textId="77777777" w:rsidR="00E05159" w:rsidRPr="0066605F" w:rsidRDefault="00E05159" w:rsidP="00F50B66">
            <w:pPr>
              <w:pStyle w:val="TableText10"/>
            </w:pPr>
            <w:r w:rsidRPr="0066605F">
              <w:lastRenderedPageBreak/>
              <w:t>34</w:t>
            </w:r>
          </w:p>
        </w:tc>
        <w:tc>
          <w:tcPr>
            <w:tcW w:w="3161" w:type="dxa"/>
          </w:tcPr>
          <w:p w14:paraId="1ABBBAE2" w14:textId="77777777" w:rsidR="00E05159" w:rsidRPr="0066605F" w:rsidRDefault="00E05159" w:rsidP="00F50B66">
            <w:pPr>
              <w:pStyle w:val="TableText10"/>
            </w:pPr>
            <w:r w:rsidRPr="0066605F">
              <w:t>printing any attachment to an email, or multiple attachments to an email printed at the same time—</w:t>
            </w:r>
          </w:p>
          <w:p w14:paraId="2EFD2AEC" w14:textId="77777777" w:rsidR="00E05159" w:rsidRPr="0066605F" w:rsidRDefault="00E05159" w:rsidP="00F50B66">
            <w:pPr>
              <w:pStyle w:val="TablePara10"/>
            </w:pPr>
            <w:r w:rsidRPr="0066605F">
              <w:tab/>
              <w:t>(a)</w:t>
            </w:r>
            <w:r w:rsidRPr="0066605F">
              <w:tab/>
              <w:t>for each of the first 10 pages; or</w:t>
            </w:r>
          </w:p>
          <w:p w14:paraId="416469C4"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page up to 100 copies; or</w:t>
            </w:r>
          </w:p>
          <w:p w14:paraId="443A495D"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page over 100 copies</w:t>
            </w:r>
          </w:p>
        </w:tc>
        <w:tc>
          <w:tcPr>
            <w:tcW w:w="1134" w:type="dxa"/>
            <w:tcBorders>
              <w:right w:val="nil"/>
            </w:tcBorders>
          </w:tcPr>
          <w:p w14:paraId="0B1D415E" w14:textId="77777777" w:rsidR="00E05159" w:rsidRPr="0066605F" w:rsidRDefault="00E05159" w:rsidP="00F50B66">
            <w:pPr>
              <w:pStyle w:val="TableText10"/>
              <w:spacing w:before="820"/>
            </w:pPr>
            <w:r w:rsidRPr="0066605F">
              <w:t>4.00</w:t>
            </w:r>
          </w:p>
          <w:p w14:paraId="7C6158AF" w14:textId="77777777" w:rsidR="00E05159" w:rsidRPr="0066605F" w:rsidRDefault="00E05159" w:rsidP="00F50B66">
            <w:pPr>
              <w:pStyle w:val="TableText10"/>
              <w:spacing w:before="320"/>
            </w:pPr>
            <w:r w:rsidRPr="0066605F">
              <w:t>1.80</w:t>
            </w:r>
          </w:p>
          <w:p w14:paraId="3D9431DA" w14:textId="77777777" w:rsidR="00E05159" w:rsidRPr="0066605F" w:rsidRDefault="00E05159" w:rsidP="00F50B66">
            <w:pPr>
              <w:pStyle w:val="TableText10"/>
              <w:spacing w:before="320"/>
            </w:pPr>
            <w:r w:rsidRPr="0066605F">
              <w:t>0.60</w:t>
            </w:r>
          </w:p>
        </w:tc>
        <w:tc>
          <w:tcPr>
            <w:tcW w:w="2453" w:type="dxa"/>
            <w:tcBorders>
              <w:left w:val="nil"/>
            </w:tcBorders>
          </w:tcPr>
          <w:p w14:paraId="794950D5" w14:textId="77777777" w:rsidR="00E05159" w:rsidRPr="0066605F" w:rsidRDefault="00E05159" w:rsidP="00F50B66">
            <w:pPr>
              <w:pStyle w:val="TableText10"/>
              <w:spacing w:before="820"/>
              <w:rPr>
                <w:color w:val="000000"/>
              </w:rPr>
            </w:pPr>
            <w:r w:rsidRPr="0066605F">
              <w:rPr>
                <w:color w:val="000000"/>
              </w:rPr>
              <w:t>per page</w:t>
            </w:r>
          </w:p>
          <w:p w14:paraId="0CAEF704" w14:textId="77777777" w:rsidR="00E05159" w:rsidRPr="0066605F" w:rsidRDefault="00E05159" w:rsidP="00F50B66">
            <w:pPr>
              <w:pStyle w:val="TableText10"/>
              <w:spacing w:before="320"/>
              <w:rPr>
                <w:color w:val="000000"/>
              </w:rPr>
            </w:pPr>
            <w:r w:rsidRPr="0066605F">
              <w:rPr>
                <w:color w:val="000000"/>
              </w:rPr>
              <w:t>per page</w:t>
            </w:r>
          </w:p>
          <w:p w14:paraId="2F46FCD7"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09CDF53E" w14:textId="77777777" w:rsidTr="00F50B66">
        <w:trPr>
          <w:cantSplit/>
        </w:trPr>
        <w:tc>
          <w:tcPr>
            <w:tcW w:w="7948" w:type="dxa"/>
            <w:gridSpan w:val="4"/>
          </w:tcPr>
          <w:p w14:paraId="355144ED" w14:textId="77777777" w:rsidR="00E05159" w:rsidRPr="0066605F" w:rsidRDefault="00E05159" w:rsidP="00E05159">
            <w:pPr>
              <w:pStyle w:val="AH3Div"/>
            </w:pPr>
            <w:bookmarkStart w:id="1940" w:name="_Toc185515556"/>
            <w:r w:rsidRPr="00E05159">
              <w:rPr>
                <w:rStyle w:val="CharDivNo"/>
              </w:rPr>
              <w:t>Division 4.2.8</w:t>
            </w:r>
            <w:r w:rsidRPr="0066605F">
              <w:rPr>
                <w:color w:val="000000"/>
              </w:rPr>
              <w:tab/>
            </w:r>
            <w:r w:rsidRPr="00E05159">
              <w:rPr>
                <w:rStyle w:val="CharDivText"/>
              </w:rPr>
              <w:t>Witness expenses</w:t>
            </w:r>
            <w:bookmarkEnd w:id="1940"/>
          </w:p>
        </w:tc>
      </w:tr>
      <w:tr w:rsidR="00E05159" w:rsidRPr="0066605F" w14:paraId="1670B707" w14:textId="77777777" w:rsidTr="00F50B66">
        <w:trPr>
          <w:cantSplit/>
        </w:trPr>
        <w:tc>
          <w:tcPr>
            <w:tcW w:w="1200" w:type="dxa"/>
          </w:tcPr>
          <w:p w14:paraId="3D460764" w14:textId="77777777" w:rsidR="00E05159" w:rsidRPr="0066605F" w:rsidRDefault="00E05159" w:rsidP="00F50B66">
            <w:pPr>
              <w:pStyle w:val="TableText10"/>
            </w:pPr>
            <w:r w:rsidRPr="0066605F">
              <w:t>35</w:t>
            </w:r>
          </w:p>
        </w:tc>
        <w:tc>
          <w:tcPr>
            <w:tcW w:w="3161" w:type="dxa"/>
          </w:tcPr>
          <w:p w14:paraId="42966630" w14:textId="77777777" w:rsidR="00E05159" w:rsidRPr="0066605F" w:rsidRDefault="00E05159" w:rsidP="00F50B66">
            <w:pPr>
              <w:pStyle w:val="TableText10"/>
              <w:rPr>
                <w:color w:val="000000"/>
              </w:rPr>
            </w:pPr>
            <w:r w:rsidRPr="0066605F">
              <w:rPr>
                <w:color w:val="000000"/>
              </w:rPr>
              <w:t>a witness called because of the witness’s professional, scientific or other special skill or knowledge</w:t>
            </w:r>
          </w:p>
        </w:tc>
        <w:tc>
          <w:tcPr>
            <w:tcW w:w="1134" w:type="dxa"/>
            <w:tcBorders>
              <w:right w:val="nil"/>
            </w:tcBorders>
          </w:tcPr>
          <w:p w14:paraId="1EDB17A1" w14:textId="77777777" w:rsidR="00E05159" w:rsidRPr="0066605F" w:rsidRDefault="00E05159" w:rsidP="00F50B66">
            <w:pPr>
              <w:pStyle w:val="TableText10"/>
            </w:pPr>
            <w:r w:rsidRPr="0066605F">
              <w:t>1 408.80</w:t>
            </w:r>
          </w:p>
        </w:tc>
        <w:tc>
          <w:tcPr>
            <w:tcW w:w="2453" w:type="dxa"/>
            <w:tcBorders>
              <w:left w:val="nil"/>
            </w:tcBorders>
          </w:tcPr>
          <w:p w14:paraId="56264D4F" w14:textId="77777777" w:rsidR="00E05159" w:rsidRPr="0066605F" w:rsidRDefault="00E05159" w:rsidP="00F50B66">
            <w:pPr>
              <w:pStyle w:val="TableText10"/>
              <w:rPr>
                <w:color w:val="000000"/>
              </w:rPr>
            </w:pPr>
            <w:r w:rsidRPr="0066605F">
              <w:rPr>
                <w:color w:val="000000"/>
              </w:rPr>
              <w:t>per day</w:t>
            </w:r>
          </w:p>
        </w:tc>
      </w:tr>
      <w:tr w:rsidR="00E05159" w:rsidRPr="0066605F" w14:paraId="7C23B6CF" w14:textId="77777777" w:rsidTr="00F50B66">
        <w:trPr>
          <w:cantSplit/>
        </w:trPr>
        <w:tc>
          <w:tcPr>
            <w:tcW w:w="1200" w:type="dxa"/>
          </w:tcPr>
          <w:p w14:paraId="7D2A4D86" w14:textId="77777777" w:rsidR="00E05159" w:rsidRPr="0066605F" w:rsidRDefault="00E05159" w:rsidP="00F50B66">
            <w:pPr>
              <w:pStyle w:val="TableText10"/>
            </w:pPr>
            <w:r w:rsidRPr="0066605F">
              <w:t>36</w:t>
            </w:r>
          </w:p>
        </w:tc>
        <w:tc>
          <w:tcPr>
            <w:tcW w:w="3161" w:type="dxa"/>
          </w:tcPr>
          <w:p w14:paraId="5AED008B" w14:textId="77777777" w:rsidR="00E05159" w:rsidRPr="0066605F" w:rsidRDefault="00E05159" w:rsidP="00F50B66">
            <w:pPr>
              <w:pStyle w:val="TableText10"/>
              <w:rPr>
                <w:color w:val="000000"/>
              </w:rPr>
            </w:pPr>
            <w:r w:rsidRPr="0066605F">
              <w:rPr>
                <w:color w:val="000000"/>
              </w:rPr>
              <w:t>a witness called other than because of the witness’s professional, scientific or other special skill or knowledge</w:t>
            </w:r>
          </w:p>
        </w:tc>
        <w:tc>
          <w:tcPr>
            <w:tcW w:w="1134" w:type="dxa"/>
            <w:tcBorders>
              <w:right w:val="nil"/>
            </w:tcBorders>
          </w:tcPr>
          <w:p w14:paraId="513ABFDE" w14:textId="77777777" w:rsidR="00E05159" w:rsidRPr="0066605F" w:rsidRDefault="00E05159" w:rsidP="00F50B66">
            <w:pPr>
              <w:pStyle w:val="TableText10"/>
            </w:pPr>
            <w:r w:rsidRPr="0066605F">
              <w:t>148.30</w:t>
            </w:r>
          </w:p>
        </w:tc>
        <w:tc>
          <w:tcPr>
            <w:tcW w:w="2453" w:type="dxa"/>
            <w:tcBorders>
              <w:left w:val="nil"/>
            </w:tcBorders>
          </w:tcPr>
          <w:p w14:paraId="55DF8CA7" w14:textId="77777777" w:rsidR="00E05159" w:rsidRPr="0066605F" w:rsidRDefault="00E05159" w:rsidP="00F50B66">
            <w:pPr>
              <w:pStyle w:val="TableText10"/>
              <w:rPr>
                <w:color w:val="000000"/>
              </w:rPr>
            </w:pPr>
            <w:r w:rsidRPr="0066605F">
              <w:rPr>
                <w:color w:val="000000"/>
              </w:rPr>
              <w:t>per day</w:t>
            </w:r>
          </w:p>
        </w:tc>
      </w:tr>
      <w:tr w:rsidR="00E05159" w:rsidRPr="0066605F" w14:paraId="40667212" w14:textId="77777777" w:rsidTr="00F50B66">
        <w:trPr>
          <w:cantSplit/>
        </w:trPr>
        <w:tc>
          <w:tcPr>
            <w:tcW w:w="1200" w:type="dxa"/>
          </w:tcPr>
          <w:p w14:paraId="012922BB" w14:textId="77777777" w:rsidR="00E05159" w:rsidRPr="0066605F" w:rsidRDefault="00E05159" w:rsidP="00F50B66">
            <w:pPr>
              <w:pStyle w:val="TableText10"/>
            </w:pPr>
            <w:r w:rsidRPr="0066605F">
              <w:t>37</w:t>
            </w:r>
          </w:p>
        </w:tc>
        <w:tc>
          <w:tcPr>
            <w:tcW w:w="3161" w:type="dxa"/>
          </w:tcPr>
          <w:p w14:paraId="22261968" w14:textId="77777777" w:rsidR="00E05159" w:rsidRPr="0066605F" w:rsidRDefault="00E05159" w:rsidP="00F50B66">
            <w:pPr>
              <w:pStyle w:val="TableText10"/>
              <w:rPr>
                <w:color w:val="000000"/>
              </w:rPr>
            </w:pPr>
            <w:r w:rsidRPr="0066605F">
              <w:rPr>
                <w:color w:val="000000"/>
              </w:rPr>
              <w:t>a witness paid in the witness’s occupation by wages, salary or fees</w:t>
            </w:r>
          </w:p>
        </w:tc>
        <w:tc>
          <w:tcPr>
            <w:tcW w:w="3587" w:type="dxa"/>
            <w:gridSpan w:val="2"/>
          </w:tcPr>
          <w:p w14:paraId="2AA96A79" w14:textId="77777777" w:rsidR="00E05159" w:rsidRPr="0066605F" w:rsidRDefault="00E05159" w:rsidP="00F50B66">
            <w:pPr>
              <w:pStyle w:val="TableText10"/>
              <w:rPr>
                <w:color w:val="000000"/>
              </w:rPr>
            </w:pPr>
            <w:r w:rsidRPr="0066605F">
              <w:rPr>
                <w:color w:val="000000"/>
              </w:rPr>
              <w:t>the amount lost by attendance at court</w:t>
            </w:r>
          </w:p>
        </w:tc>
      </w:tr>
      <w:tr w:rsidR="00E05159" w:rsidRPr="0066605F" w14:paraId="6BA73820" w14:textId="77777777" w:rsidTr="00F50B66">
        <w:trPr>
          <w:cantSplit/>
        </w:trPr>
        <w:tc>
          <w:tcPr>
            <w:tcW w:w="1200" w:type="dxa"/>
          </w:tcPr>
          <w:p w14:paraId="3532F106" w14:textId="77777777" w:rsidR="00E05159" w:rsidRPr="0066605F" w:rsidRDefault="00E05159" w:rsidP="00F50B66">
            <w:pPr>
              <w:pStyle w:val="TableText10"/>
            </w:pPr>
            <w:r w:rsidRPr="0066605F">
              <w:t>38</w:t>
            </w:r>
          </w:p>
        </w:tc>
        <w:tc>
          <w:tcPr>
            <w:tcW w:w="3161" w:type="dxa"/>
          </w:tcPr>
          <w:p w14:paraId="7E55321E" w14:textId="77777777" w:rsidR="00E05159" w:rsidRPr="0066605F" w:rsidRDefault="00E05159" w:rsidP="00F50B66">
            <w:pPr>
              <w:pStyle w:val="TableText10"/>
              <w:rPr>
                <w:color w:val="000000"/>
              </w:rPr>
            </w:pPr>
            <w:r w:rsidRPr="0066605F">
              <w:rPr>
                <w:color w:val="000000"/>
              </w:rPr>
              <w:t>a witness qualifying to give skilled evidence</w:t>
            </w:r>
          </w:p>
        </w:tc>
        <w:tc>
          <w:tcPr>
            <w:tcW w:w="3587" w:type="dxa"/>
            <w:gridSpan w:val="2"/>
          </w:tcPr>
          <w:p w14:paraId="257098EB" w14:textId="77777777" w:rsidR="00E05159" w:rsidRPr="0066605F" w:rsidRDefault="00E05159" w:rsidP="00F50B66">
            <w:pPr>
              <w:pStyle w:val="TableText10"/>
              <w:rPr>
                <w:color w:val="000000"/>
              </w:rPr>
            </w:pPr>
            <w:r w:rsidRPr="0066605F">
              <w:rPr>
                <w:color w:val="000000"/>
              </w:rPr>
              <w:t>the additional amount the registrar considers reasonable and properly incurred and paid</w:t>
            </w:r>
          </w:p>
        </w:tc>
      </w:tr>
      <w:tr w:rsidR="00E05159" w:rsidRPr="0066605F" w14:paraId="1968D170" w14:textId="77777777" w:rsidTr="00F50B66">
        <w:trPr>
          <w:cantSplit/>
        </w:trPr>
        <w:tc>
          <w:tcPr>
            <w:tcW w:w="1200" w:type="dxa"/>
          </w:tcPr>
          <w:p w14:paraId="09210BC7" w14:textId="77777777" w:rsidR="00E05159" w:rsidRPr="0066605F" w:rsidRDefault="00E05159" w:rsidP="00F50B66">
            <w:pPr>
              <w:pStyle w:val="TableText10"/>
            </w:pPr>
            <w:r w:rsidRPr="0066605F">
              <w:t>39</w:t>
            </w:r>
          </w:p>
        </w:tc>
        <w:tc>
          <w:tcPr>
            <w:tcW w:w="3161" w:type="dxa"/>
          </w:tcPr>
          <w:p w14:paraId="53CD975A" w14:textId="77777777" w:rsidR="00E05159" w:rsidRPr="0066605F" w:rsidRDefault="00E05159" w:rsidP="00F50B66">
            <w:pPr>
              <w:pStyle w:val="TableText10"/>
              <w:rPr>
                <w:color w:val="000000"/>
              </w:rPr>
            </w:pPr>
            <w:r w:rsidRPr="0066605F">
              <w:rPr>
                <w:color w:val="000000"/>
              </w:rPr>
              <w:t>if the witness lives more than 50km from the court</w:t>
            </w:r>
          </w:p>
        </w:tc>
        <w:tc>
          <w:tcPr>
            <w:tcW w:w="3587" w:type="dxa"/>
            <w:gridSpan w:val="2"/>
          </w:tcPr>
          <w:p w14:paraId="11342B2B" w14:textId="77777777" w:rsidR="00E05159" w:rsidRPr="0066605F" w:rsidRDefault="00E05159" w:rsidP="00F50B66">
            <w:pPr>
              <w:pStyle w:val="TableText10"/>
              <w:rPr>
                <w:color w:val="000000"/>
              </w:rPr>
            </w:pPr>
            <w:r w:rsidRPr="0066605F">
              <w:rPr>
                <w:color w:val="000000"/>
              </w:rPr>
              <w:t>the additional amount the registrar considers reasonable for the actual cost of travel, and for accommodation and meals</w:t>
            </w:r>
          </w:p>
        </w:tc>
      </w:tr>
      <w:tr w:rsidR="00E05159" w:rsidRPr="0066605F" w14:paraId="093835CB" w14:textId="77777777" w:rsidTr="00F50B66">
        <w:trPr>
          <w:cantSplit/>
        </w:trPr>
        <w:tc>
          <w:tcPr>
            <w:tcW w:w="1200" w:type="dxa"/>
          </w:tcPr>
          <w:p w14:paraId="65376DBB" w14:textId="77777777" w:rsidR="00E05159" w:rsidRPr="0066605F" w:rsidRDefault="00E05159" w:rsidP="00F50B66">
            <w:pPr>
              <w:pStyle w:val="TableText10"/>
            </w:pPr>
            <w:r w:rsidRPr="0066605F">
              <w:t>40</w:t>
            </w:r>
          </w:p>
        </w:tc>
        <w:tc>
          <w:tcPr>
            <w:tcW w:w="3161" w:type="dxa"/>
          </w:tcPr>
          <w:p w14:paraId="1A799A0B" w14:textId="77777777" w:rsidR="00E05159" w:rsidRPr="0066605F" w:rsidRDefault="00E05159" w:rsidP="00F50B66">
            <w:pPr>
              <w:pStyle w:val="TableText10"/>
              <w:rPr>
                <w:color w:val="000000"/>
              </w:rPr>
            </w:pPr>
            <w:r w:rsidRPr="0066605F">
              <w:rPr>
                <w:color w:val="000000"/>
              </w:rPr>
              <w:t xml:space="preserve">attendance at court by a witness acting as an expert in assisting counsel or a solicitor for a period during the trial or hearing </w:t>
            </w:r>
          </w:p>
        </w:tc>
        <w:tc>
          <w:tcPr>
            <w:tcW w:w="3587" w:type="dxa"/>
            <w:gridSpan w:val="2"/>
          </w:tcPr>
          <w:p w14:paraId="46175C2E" w14:textId="77777777" w:rsidR="00E05159" w:rsidRPr="0066605F" w:rsidRDefault="00E05159" w:rsidP="00F50B66">
            <w:pPr>
              <w:pStyle w:val="TableText10"/>
              <w:rPr>
                <w:color w:val="000000"/>
              </w:rPr>
            </w:pPr>
            <w:r w:rsidRPr="0066605F">
              <w:rPr>
                <w:color w:val="000000"/>
              </w:rPr>
              <w:t>the amount the registrar considers appropriate (but not affecting the existing practice of allowing qualifying fees for witnesses)</w:t>
            </w:r>
          </w:p>
        </w:tc>
      </w:tr>
      <w:tr w:rsidR="00E05159" w:rsidRPr="0066605F" w14:paraId="027236C6" w14:textId="77777777" w:rsidTr="00F50B66">
        <w:trPr>
          <w:cantSplit/>
        </w:trPr>
        <w:tc>
          <w:tcPr>
            <w:tcW w:w="7948" w:type="dxa"/>
            <w:gridSpan w:val="4"/>
          </w:tcPr>
          <w:p w14:paraId="4C74617F" w14:textId="77777777" w:rsidR="00E05159" w:rsidRPr="0066605F" w:rsidRDefault="00E05159" w:rsidP="00E05159">
            <w:pPr>
              <w:pStyle w:val="AH3Div"/>
              <w:rPr>
                <w:rStyle w:val="CharDivText"/>
              </w:rPr>
            </w:pPr>
            <w:bookmarkStart w:id="1941" w:name="_Toc185515557"/>
            <w:r w:rsidRPr="00E05159">
              <w:rPr>
                <w:rStyle w:val="CharDivNo"/>
              </w:rPr>
              <w:lastRenderedPageBreak/>
              <w:t>Division 4.2.9</w:t>
            </w:r>
            <w:r w:rsidRPr="0066605F">
              <w:rPr>
                <w:color w:val="000000"/>
              </w:rPr>
              <w:tab/>
            </w:r>
            <w:r w:rsidRPr="00E05159">
              <w:rPr>
                <w:rStyle w:val="CharDivText"/>
              </w:rPr>
              <w:t>Disbursements</w:t>
            </w:r>
            <w:bookmarkEnd w:id="1941"/>
          </w:p>
          <w:p w14:paraId="27CD1A2F" w14:textId="77777777" w:rsidR="00E05159" w:rsidRPr="0066605F" w:rsidRDefault="00E05159" w:rsidP="00F50B66">
            <w:pPr>
              <w:rPr>
                <w:color w:val="000000"/>
                <w:sz w:val="4"/>
                <w:szCs w:val="4"/>
              </w:rPr>
            </w:pPr>
          </w:p>
        </w:tc>
      </w:tr>
      <w:tr w:rsidR="00E05159" w:rsidRPr="0066605F" w14:paraId="4AD1D89B" w14:textId="77777777" w:rsidTr="00F50B66">
        <w:trPr>
          <w:cantSplit/>
        </w:trPr>
        <w:tc>
          <w:tcPr>
            <w:tcW w:w="1200" w:type="dxa"/>
          </w:tcPr>
          <w:p w14:paraId="72ABF828" w14:textId="77777777" w:rsidR="00E05159" w:rsidRPr="0066605F" w:rsidRDefault="00E05159" w:rsidP="00F50B66">
            <w:pPr>
              <w:pStyle w:val="TableText10"/>
            </w:pPr>
            <w:r w:rsidRPr="0066605F">
              <w:t>41</w:t>
            </w:r>
          </w:p>
        </w:tc>
        <w:tc>
          <w:tcPr>
            <w:tcW w:w="3161" w:type="dxa"/>
          </w:tcPr>
          <w:p w14:paraId="4A5C1982" w14:textId="77777777" w:rsidR="00E05159" w:rsidRPr="0066605F" w:rsidRDefault="00E05159" w:rsidP="00F50B66">
            <w:pPr>
              <w:pStyle w:val="TableText10"/>
              <w:rPr>
                <w:color w:val="000000"/>
              </w:rPr>
            </w:pPr>
            <w:r w:rsidRPr="0066605F">
              <w:rPr>
                <w:color w:val="000000"/>
              </w:rPr>
              <w:t>all court fees, counsel’s fees and other fees and payments</w:t>
            </w:r>
          </w:p>
        </w:tc>
        <w:tc>
          <w:tcPr>
            <w:tcW w:w="3587" w:type="dxa"/>
            <w:gridSpan w:val="2"/>
          </w:tcPr>
          <w:p w14:paraId="4A4B6E43" w14:textId="77777777" w:rsidR="00E05159" w:rsidRPr="0066605F" w:rsidRDefault="00E05159" w:rsidP="00F50B66">
            <w:pPr>
              <w:pStyle w:val="TableText10"/>
              <w:rPr>
                <w:color w:val="000000"/>
              </w:rPr>
            </w:pPr>
            <w:r w:rsidRPr="0066605F">
              <w:rPr>
                <w:color w:val="000000"/>
              </w:rPr>
              <w:t>allowed to the extent that they have been properly and reasonably incurred and paid</w:t>
            </w:r>
          </w:p>
        </w:tc>
      </w:tr>
    </w:tbl>
    <w:p w14:paraId="668DFE66" w14:textId="77777777" w:rsidR="00A00712" w:rsidRDefault="00A00712">
      <w:pPr>
        <w:pStyle w:val="03Schedule"/>
        <w:sectPr w:rsidR="00A00712" w:rsidSect="00CD3DF7">
          <w:headerReference w:type="even" r:id="rId971"/>
          <w:headerReference w:type="default" r:id="rId972"/>
          <w:footerReference w:type="even" r:id="rId973"/>
          <w:footerReference w:type="default" r:id="rId974"/>
          <w:type w:val="continuous"/>
          <w:pgSz w:w="11907" w:h="16839" w:code="9"/>
          <w:pgMar w:top="3880" w:right="1900" w:bottom="3100" w:left="2300" w:header="1920" w:footer="1760" w:gutter="0"/>
          <w:cols w:space="720"/>
          <w:docGrid w:linePitch="254"/>
        </w:sectPr>
      </w:pPr>
    </w:p>
    <w:p w14:paraId="5414AC79" w14:textId="77777777" w:rsidR="00D94935" w:rsidRDefault="00D94935" w:rsidP="00D94935">
      <w:pPr>
        <w:pStyle w:val="PageBreak"/>
      </w:pPr>
      <w:r>
        <w:br w:type="page"/>
      </w:r>
    </w:p>
    <w:p w14:paraId="382992D9" w14:textId="77777777" w:rsidR="00D94935" w:rsidRPr="00C8328B" w:rsidRDefault="00D94935" w:rsidP="00D94935">
      <w:pPr>
        <w:pStyle w:val="Sched-heading"/>
      </w:pPr>
      <w:bookmarkStart w:id="1942" w:name="_Toc185515558"/>
      <w:r w:rsidRPr="00C8328B">
        <w:rPr>
          <w:rStyle w:val="CharChapNo"/>
        </w:rPr>
        <w:lastRenderedPageBreak/>
        <w:t>Schedule 5</w:t>
      </w:r>
      <w:r>
        <w:tab/>
      </w:r>
      <w:r w:rsidRPr="00C8328B">
        <w:rPr>
          <w:rStyle w:val="CharChapText"/>
        </w:rPr>
        <w:t>Jurisdiction of registrar</w:t>
      </w:r>
      <w:bookmarkEnd w:id="1942"/>
    </w:p>
    <w:p w14:paraId="2DF35019" w14:textId="77777777" w:rsidR="00D94935" w:rsidRDefault="00D94935" w:rsidP="00D94935">
      <w:pPr>
        <w:pStyle w:val="ref"/>
      </w:pPr>
      <w:r>
        <w:t>(see r 6250)</w:t>
      </w:r>
    </w:p>
    <w:p w14:paraId="6A548A93" w14:textId="77777777" w:rsidR="00D94935" w:rsidRPr="00C8328B" w:rsidRDefault="00D94935" w:rsidP="00D94935">
      <w:pPr>
        <w:pStyle w:val="Sched-Part"/>
      </w:pPr>
      <w:bookmarkStart w:id="1943" w:name="_Toc185515559"/>
      <w:r w:rsidRPr="00C8328B">
        <w:rPr>
          <w:rStyle w:val="CharPartNo"/>
        </w:rPr>
        <w:t>Part 5.1</w:t>
      </w:r>
      <w:r>
        <w:tab/>
      </w:r>
      <w:r w:rsidRPr="00C8328B">
        <w:rPr>
          <w:rStyle w:val="CharPartText"/>
        </w:rPr>
        <w:t>Jurisdiction under rules in relation to applications in proceedings not exercisable by registrar of Supreme Court</w:t>
      </w:r>
      <w:bookmarkEnd w:id="1943"/>
    </w:p>
    <w:p w14:paraId="48550BC8" w14:textId="77777777" w:rsidR="00D94935" w:rsidRDefault="00D94935" w:rsidP="00D94935">
      <w:pPr>
        <w:pStyle w:val="Placeholder"/>
      </w:pPr>
      <w:r>
        <w:rPr>
          <w:rStyle w:val="CharDivNo"/>
        </w:rPr>
        <w:t xml:space="preserve">  </w:t>
      </w:r>
      <w:r>
        <w:rPr>
          <w:rStyle w:val="CharDivText"/>
        </w:rPr>
        <w:t xml:space="preserve">  </w:t>
      </w:r>
    </w:p>
    <w:p w14:paraId="01B1E475"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14:paraId="15127978" w14:textId="77777777" w:rsidTr="00D825E5">
        <w:trPr>
          <w:tblHeader/>
        </w:trPr>
        <w:tc>
          <w:tcPr>
            <w:tcW w:w="1011" w:type="dxa"/>
          </w:tcPr>
          <w:p w14:paraId="20960617" w14:textId="77777777" w:rsidR="00D94935" w:rsidRDefault="00D94935" w:rsidP="003A681D">
            <w:pPr>
              <w:pStyle w:val="TableColHd"/>
            </w:pPr>
            <w:r>
              <w:t>column 1</w:t>
            </w:r>
          </w:p>
          <w:p w14:paraId="367472EE" w14:textId="77777777" w:rsidR="00D94935" w:rsidRDefault="00D94935" w:rsidP="003A681D">
            <w:pPr>
              <w:pStyle w:val="TableColHd"/>
            </w:pPr>
            <w:r>
              <w:t>item</w:t>
            </w:r>
          </w:p>
        </w:tc>
        <w:tc>
          <w:tcPr>
            <w:tcW w:w="1789" w:type="dxa"/>
          </w:tcPr>
          <w:p w14:paraId="2C69E563" w14:textId="77777777" w:rsidR="00D94935" w:rsidRDefault="00D94935" w:rsidP="003A681D">
            <w:pPr>
              <w:pStyle w:val="TableColHd"/>
              <w:rPr>
                <w:color w:val="000000"/>
              </w:rPr>
            </w:pPr>
            <w:r>
              <w:rPr>
                <w:color w:val="000000"/>
              </w:rPr>
              <w:t>column 2</w:t>
            </w:r>
          </w:p>
          <w:p w14:paraId="7591C108" w14:textId="77777777" w:rsidR="00D94935" w:rsidRDefault="00D94935" w:rsidP="003A681D">
            <w:pPr>
              <w:pStyle w:val="TableColHd"/>
            </w:pPr>
            <w:r>
              <w:t>provision , and if relevant, case</w:t>
            </w:r>
          </w:p>
        </w:tc>
        <w:tc>
          <w:tcPr>
            <w:tcW w:w="4897" w:type="dxa"/>
          </w:tcPr>
          <w:p w14:paraId="73A74757" w14:textId="77777777" w:rsidR="00D94935" w:rsidRDefault="00D94935" w:rsidP="003A681D">
            <w:pPr>
              <w:pStyle w:val="TableColHd"/>
              <w:rPr>
                <w:color w:val="000000"/>
              </w:rPr>
            </w:pPr>
            <w:r>
              <w:rPr>
                <w:color w:val="000000"/>
              </w:rPr>
              <w:t>column 3</w:t>
            </w:r>
          </w:p>
          <w:p w14:paraId="7368C31F" w14:textId="77777777"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14:paraId="310A81E9" w14:textId="77777777" w:rsidTr="00D825E5">
        <w:tc>
          <w:tcPr>
            <w:tcW w:w="1011" w:type="dxa"/>
          </w:tcPr>
          <w:p w14:paraId="00CAB828" w14:textId="77777777" w:rsidR="00D94935" w:rsidRDefault="00D94935" w:rsidP="003A681D">
            <w:pPr>
              <w:pStyle w:val="TableText"/>
              <w:spacing w:before="120" w:after="120"/>
            </w:pPr>
            <w:r>
              <w:t>1</w:t>
            </w:r>
          </w:p>
        </w:tc>
        <w:tc>
          <w:tcPr>
            <w:tcW w:w="1789" w:type="dxa"/>
          </w:tcPr>
          <w:p w14:paraId="7C07758C" w14:textId="77777777" w:rsidR="00D94935" w:rsidRDefault="00D94935" w:rsidP="003A681D">
            <w:pPr>
              <w:pStyle w:val="TableText"/>
              <w:spacing w:before="120" w:after="120"/>
            </w:pPr>
            <w:r>
              <w:t>282</w:t>
            </w:r>
          </w:p>
        </w:tc>
        <w:tc>
          <w:tcPr>
            <w:tcW w:w="4897" w:type="dxa"/>
          </w:tcPr>
          <w:p w14:paraId="453583B5" w14:textId="77777777" w:rsidR="00D94935" w:rsidRDefault="00D94935" w:rsidP="003A681D">
            <w:pPr>
              <w:pStyle w:val="TableText"/>
              <w:spacing w:before="120" w:after="120"/>
            </w:pPr>
            <w:r>
              <w:t>Person with legal disability—approval of settlement etc</w:t>
            </w:r>
          </w:p>
        </w:tc>
      </w:tr>
      <w:tr w:rsidR="00D94935" w14:paraId="75FF7E56" w14:textId="77777777" w:rsidTr="00D825E5">
        <w:tc>
          <w:tcPr>
            <w:tcW w:w="1011" w:type="dxa"/>
          </w:tcPr>
          <w:p w14:paraId="7B26823C" w14:textId="77777777" w:rsidR="00D94935" w:rsidRDefault="00D94935" w:rsidP="003A681D">
            <w:pPr>
              <w:pStyle w:val="TableText"/>
              <w:spacing w:before="120" w:after="120"/>
            </w:pPr>
            <w:r>
              <w:t>2</w:t>
            </w:r>
          </w:p>
        </w:tc>
        <w:tc>
          <w:tcPr>
            <w:tcW w:w="1789" w:type="dxa"/>
          </w:tcPr>
          <w:p w14:paraId="0F5F39A7" w14:textId="77777777" w:rsidR="00D94935" w:rsidRDefault="00D94935" w:rsidP="003A681D">
            <w:pPr>
              <w:pStyle w:val="TableText"/>
              <w:spacing w:before="120" w:after="120"/>
            </w:pPr>
            <w:r>
              <w:t>317</w:t>
            </w:r>
          </w:p>
        </w:tc>
        <w:tc>
          <w:tcPr>
            <w:tcW w:w="4897" w:type="dxa"/>
          </w:tcPr>
          <w:p w14:paraId="533366E7" w14:textId="77777777" w:rsidR="00D94935" w:rsidRDefault="00D94935" w:rsidP="003A681D">
            <w:pPr>
              <w:pStyle w:val="TableText"/>
              <w:spacing w:before="120" w:after="120"/>
            </w:pPr>
            <w:r>
              <w:t>Third party—extent bound by judgment between plaintiff and defendant</w:t>
            </w:r>
          </w:p>
        </w:tc>
      </w:tr>
      <w:tr w:rsidR="00D94935" w14:paraId="6C14B070" w14:textId="77777777" w:rsidTr="00D825E5">
        <w:tc>
          <w:tcPr>
            <w:tcW w:w="1011" w:type="dxa"/>
          </w:tcPr>
          <w:p w14:paraId="659EA1F3" w14:textId="77777777" w:rsidR="00D94935" w:rsidRDefault="00D94935" w:rsidP="003A681D">
            <w:pPr>
              <w:pStyle w:val="TableText"/>
              <w:spacing w:before="120" w:after="120"/>
            </w:pPr>
            <w:r>
              <w:t>3</w:t>
            </w:r>
          </w:p>
        </w:tc>
        <w:tc>
          <w:tcPr>
            <w:tcW w:w="1789" w:type="dxa"/>
          </w:tcPr>
          <w:p w14:paraId="11B7D919" w14:textId="77777777" w:rsidR="00D94935" w:rsidRDefault="00D94935" w:rsidP="003A681D">
            <w:pPr>
              <w:pStyle w:val="TableText"/>
              <w:spacing w:before="120" w:after="120"/>
            </w:pPr>
            <w:r>
              <w:t>706</w:t>
            </w:r>
          </w:p>
        </w:tc>
        <w:tc>
          <w:tcPr>
            <w:tcW w:w="4897" w:type="dxa"/>
          </w:tcPr>
          <w:p w14:paraId="5510442F" w14:textId="77777777" w:rsidR="00D94935" w:rsidRDefault="00D94935" w:rsidP="003A681D">
            <w:pPr>
              <w:pStyle w:val="TableText"/>
              <w:spacing w:before="120" w:after="120"/>
              <w:rPr>
                <w:sz w:val="16"/>
              </w:rPr>
            </w:pPr>
            <w:r>
              <w:t>Urgent orders before start of proceeding</w:t>
            </w:r>
          </w:p>
        </w:tc>
      </w:tr>
      <w:tr w:rsidR="00D94935" w14:paraId="4A365579" w14:textId="77777777" w:rsidTr="00D825E5">
        <w:tc>
          <w:tcPr>
            <w:tcW w:w="1011" w:type="dxa"/>
          </w:tcPr>
          <w:p w14:paraId="70C1B212" w14:textId="77777777" w:rsidR="00D94935" w:rsidRDefault="00D94935" w:rsidP="003A681D">
            <w:pPr>
              <w:pStyle w:val="TableText"/>
              <w:spacing w:before="120" w:after="120"/>
            </w:pPr>
            <w:r>
              <w:t>4</w:t>
            </w:r>
          </w:p>
        </w:tc>
        <w:tc>
          <w:tcPr>
            <w:tcW w:w="1789" w:type="dxa"/>
          </w:tcPr>
          <w:p w14:paraId="51D94045" w14:textId="77777777" w:rsidR="00D94935" w:rsidRDefault="00D94935" w:rsidP="003A681D">
            <w:pPr>
              <w:pStyle w:val="TableText"/>
              <w:spacing w:before="120" w:after="120"/>
            </w:pPr>
            <w:r>
              <w:t>707</w:t>
            </w:r>
          </w:p>
        </w:tc>
        <w:tc>
          <w:tcPr>
            <w:tcW w:w="4897" w:type="dxa"/>
          </w:tcPr>
          <w:p w14:paraId="168367EB" w14:textId="77777777" w:rsidR="00D94935" w:rsidRDefault="00D94935" w:rsidP="003A681D">
            <w:pPr>
              <w:pStyle w:val="TableText"/>
              <w:spacing w:before="120" w:after="120"/>
            </w:pPr>
            <w:r>
              <w:t>Interim distribution</w:t>
            </w:r>
          </w:p>
        </w:tc>
      </w:tr>
      <w:tr w:rsidR="00D94935" w14:paraId="71B67F03" w14:textId="77777777" w:rsidTr="00D825E5">
        <w:tc>
          <w:tcPr>
            <w:tcW w:w="1011" w:type="dxa"/>
          </w:tcPr>
          <w:p w14:paraId="2179D827" w14:textId="77777777" w:rsidR="00D94935" w:rsidRDefault="00D94935" w:rsidP="003A681D">
            <w:pPr>
              <w:pStyle w:val="TableText"/>
              <w:spacing w:before="120" w:after="120"/>
            </w:pPr>
            <w:r>
              <w:t>5</w:t>
            </w:r>
          </w:p>
        </w:tc>
        <w:tc>
          <w:tcPr>
            <w:tcW w:w="1789" w:type="dxa"/>
          </w:tcPr>
          <w:p w14:paraId="5A6617CC" w14:textId="77777777" w:rsidR="00D94935" w:rsidRDefault="00D94935" w:rsidP="003A681D">
            <w:pPr>
              <w:pStyle w:val="TableText"/>
              <w:spacing w:before="120" w:after="120"/>
            </w:pPr>
            <w:r>
              <w:t>708</w:t>
            </w:r>
          </w:p>
        </w:tc>
        <w:tc>
          <w:tcPr>
            <w:tcW w:w="4897" w:type="dxa"/>
          </w:tcPr>
          <w:p w14:paraId="19ABDFD4" w14:textId="77777777" w:rsidR="00D94935" w:rsidRDefault="00D94935" w:rsidP="003A681D">
            <w:pPr>
              <w:pStyle w:val="TableText"/>
              <w:spacing w:before="120" w:after="120"/>
            </w:pPr>
            <w:r>
              <w:t>Interim income</w:t>
            </w:r>
          </w:p>
        </w:tc>
      </w:tr>
      <w:tr w:rsidR="00D94935" w14:paraId="068CD24E" w14:textId="77777777" w:rsidTr="00D825E5">
        <w:tc>
          <w:tcPr>
            <w:tcW w:w="1011" w:type="dxa"/>
          </w:tcPr>
          <w:p w14:paraId="01337C5F" w14:textId="77777777" w:rsidR="00D94935" w:rsidRDefault="00D94935" w:rsidP="003A681D">
            <w:pPr>
              <w:pStyle w:val="TableText"/>
              <w:spacing w:before="120" w:after="120"/>
            </w:pPr>
            <w:r>
              <w:t>6</w:t>
            </w:r>
          </w:p>
        </w:tc>
        <w:tc>
          <w:tcPr>
            <w:tcW w:w="1789" w:type="dxa"/>
          </w:tcPr>
          <w:p w14:paraId="2F36F9BE" w14:textId="77777777" w:rsidR="00D94935" w:rsidRDefault="00D94935" w:rsidP="003A681D">
            <w:pPr>
              <w:pStyle w:val="TableText"/>
              <w:spacing w:before="120" w:after="120"/>
            </w:pPr>
            <w:r>
              <w:t>709</w:t>
            </w:r>
          </w:p>
        </w:tc>
        <w:tc>
          <w:tcPr>
            <w:tcW w:w="4897" w:type="dxa"/>
          </w:tcPr>
          <w:p w14:paraId="6B17AE76" w14:textId="77777777" w:rsidR="00D94935" w:rsidRDefault="00D94935" w:rsidP="003A681D">
            <w:pPr>
              <w:pStyle w:val="TableText"/>
              <w:spacing w:before="120" w:after="120"/>
            </w:pPr>
            <w:r>
              <w:t>Payment before finding out everyone interested</w:t>
            </w:r>
          </w:p>
        </w:tc>
      </w:tr>
      <w:tr w:rsidR="00D94935" w14:paraId="4D554AC3" w14:textId="77777777" w:rsidTr="00D825E5">
        <w:tc>
          <w:tcPr>
            <w:tcW w:w="1011" w:type="dxa"/>
          </w:tcPr>
          <w:p w14:paraId="636CA5B8" w14:textId="77777777" w:rsidR="00D94935" w:rsidRDefault="00D94935" w:rsidP="003A681D">
            <w:pPr>
              <w:pStyle w:val="TableText"/>
              <w:spacing w:before="120" w:after="120"/>
            </w:pPr>
            <w:r>
              <w:t>7</w:t>
            </w:r>
          </w:p>
        </w:tc>
        <w:tc>
          <w:tcPr>
            <w:tcW w:w="1789" w:type="dxa"/>
          </w:tcPr>
          <w:p w14:paraId="5A1E6433" w14:textId="77777777" w:rsidR="00D94935" w:rsidRDefault="00D94935" w:rsidP="003A681D">
            <w:pPr>
              <w:pStyle w:val="TableText"/>
              <w:spacing w:before="120" w:after="120"/>
            </w:pPr>
            <w:r>
              <w:t>716</w:t>
            </w:r>
          </w:p>
        </w:tc>
        <w:tc>
          <w:tcPr>
            <w:tcW w:w="4897" w:type="dxa"/>
          </w:tcPr>
          <w:p w14:paraId="5AF6E8FE" w14:textId="77777777" w:rsidR="00D94935" w:rsidRDefault="00D94935" w:rsidP="003A681D">
            <w:pPr>
              <w:pStyle w:val="TableText"/>
              <w:spacing w:before="120" w:after="120"/>
            </w:pPr>
            <w:r>
              <w:t>Disposal of property other than land</w:t>
            </w:r>
          </w:p>
        </w:tc>
      </w:tr>
      <w:tr w:rsidR="00D94935" w14:paraId="18E0ABC7" w14:textId="77777777" w:rsidTr="00D825E5">
        <w:tc>
          <w:tcPr>
            <w:tcW w:w="1011" w:type="dxa"/>
          </w:tcPr>
          <w:p w14:paraId="5C2209A8" w14:textId="77777777" w:rsidR="00D94935" w:rsidRDefault="00D94935" w:rsidP="003A681D">
            <w:pPr>
              <w:pStyle w:val="TableText"/>
              <w:spacing w:before="120" w:after="120"/>
            </w:pPr>
            <w:r>
              <w:t>8</w:t>
            </w:r>
          </w:p>
        </w:tc>
        <w:tc>
          <w:tcPr>
            <w:tcW w:w="1789" w:type="dxa"/>
          </w:tcPr>
          <w:p w14:paraId="20D964AC" w14:textId="77777777" w:rsidR="00D94935" w:rsidRDefault="00D94935" w:rsidP="003A681D">
            <w:pPr>
              <w:pStyle w:val="TableText"/>
              <w:spacing w:before="120" w:after="120"/>
            </w:pPr>
            <w:r>
              <w:t>729</w:t>
            </w:r>
          </w:p>
        </w:tc>
        <w:tc>
          <w:tcPr>
            <w:tcW w:w="4897" w:type="dxa"/>
          </w:tcPr>
          <w:p w14:paraId="4EF7F0E0" w14:textId="77777777" w:rsidR="00D94935" w:rsidRDefault="00D94935" w:rsidP="003A681D">
            <w:pPr>
              <w:pStyle w:val="TableText"/>
              <w:spacing w:before="120" w:after="120"/>
            </w:pPr>
            <w:r>
              <w:t>Division 2.9.4 order without notice etc</w:t>
            </w:r>
          </w:p>
        </w:tc>
      </w:tr>
      <w:tr w:rsidR="00D94935" w14:paraId="3165D3E4" w14:textId="77777777" w:rsidTr="00D825E5">
        <w:tc>
          <w:tcPr>
            <w:tcW w:w="1011" w:type="dxa"/>
          </w:tcPr>
          <w:p w14:paraId="7E2AA211" w14:textId="77777777" w:rsidR="00D94935" w:rsidRDefault="00D94935" w:rsidP="003A681D">
            <w:pPr>
              <w:pStyle w:val="TableText"/>
              <w:spacing w:before="120" w:after="120"/>
            </w:pPr>
            <w:r>
              <w:t>9</w:t>
            </w:r>
          </w:p>
        </w:tc>
        <w:tc>
          <w:tcPr>
            <w:tcW w:w="1789" w:type="dxa"/>
          </w:tcPr>
          <w:p w14:paraId="44986FE5" w14:textId="77777777" w:rsidR="00D94935" w:rsidRDefault="00D94935" w:rsidP="003A681D">
            <w:pPr>
              <w:pStyle w:val="TableText"/>
              <w:spacing w:before="120" w:after="120"/>
            </w:pPr>
            <w:r>
              <w:t>730</w:t>
            </w:r>
          </w:p>
        </w:tc>
        <w:tc>
          <w:tcPr>
            <w:tcW w:w="4897" w:type="dxa"/>
          </w:tcPr>
          <w:p w14:paraId="270978A3" w14:textId="77777777" w:rsidR="00D94935" w:rsidRDefault="00D94935" w:rsidP="003A681D">
            <w:pPr>
              <w:pStyle w:val="TableText"/>
              <w:spacing w:before="120" w:after="120"/>
            </w:pPr>
            <w:r>
              <w:t>Division 2.9.4 order without trial</w:t>
            </w:r>
          </w:p>
        </w:tc>
      </w:tr>
      <w:tr w:rsidR="00D94935" w14:paraId="4E60B126" w14:textId="77777777" w:rsidTr="00D825E5">
        <w:trPr>
          <w:cantSplit/>
        </w:trPr>
        <w:tc>
          <w:tcPr>
            <w:tcW w:w="1011" w:type="dxa"/>
          </w:tcPr>
          <w:p w14:paraId="2A7EA107" w14:textId="77777777" w:rsidR="00D94935" w:rsidRDefault="00D94935" w:rsidP="003A681D">
            <w:pPr>
              <w:pStyle w:val="TableText"/>
              <w:spacing w:before="120" w:after="120"/>
            </w:pPr>
            <w:r>
              <w:lastRenderedPageBreak/>
              <w:t>10</w:t>
            </w:r>
          </w:p>
        </w:tc>
        <w:tc>
          <w:tcPr>
            <w:tcW w:w="1789" w:type="dxa"/>
          </w:tcPr>
          <w:p w14:paraId="56F46328" w14:textId="77777777" w:rsidR="00D94935" w:rsidRDefault="00D94935" w:rsidP="003A681D">
            <w:pPr>
              <w:pStyle w:val="TableText"/>
              <w:spacing w:before="120" w:after="120"/>
            </w:pPr>
            <w:r>
              <w:t>sdiv 2.9.4.2 (other than r 745 (</w:t>
            </w:r>
            <w:r>
              <w:rPr>
                <w:lang w:val="en-US"/>
              </w:rPr>
              <w:t>Freezing orders—costs))</w:t>
            </w:r>
          </w:p>
        </w:tc>
        <w:tc>
          <w:tcPr>
            <w:tcW w:w="4897" w:type="dxa"/>
          </w:tcPr>
          <w:p w14:paraId="788CD8A9" w14:textId="77777777" w:rsidR="00D94935" w:rsidRDefault="00D94935" w:rsidP="003A681D">
            <w:pPr>
              <w:pStyle w:val="TableText"/>
              <w:spacing w:before="120" w:after="120"/>
            </w:pPr>
            <w:r>
              <w:t>Freezing orders</w:t>
            </w:r>
          </w:p>
        </w:tc>
      </w:tr>
      <w:tr w:rsidR="00D94935" w14:paraId="09BA7C81" w14:textId="77777777" w:rsidTr="00D825E5">
        <w:tc>
          <w:tcPr>
            <w:tcW w:w="1011" w:type="dxa"/>
          </w:tcPr>
          <w:p w14:paraId="6E78CC0E" w14:textId="77777777" w:rsidR="00D94935" w:rsidRDefault="00D94935" w:rsidP="003A681D">
            <w:pPr>
              <w:pStyle w:val="TableText"/>
              <w:spacing w:before="120" w:after="120"/>
            </w:pPr>
            <w:r>
              <w:t>11</w:t>
            </w:r>
          </w:p>
        </w:tc>
        <w:tc>
          <w:tcPr>
            <w:tcW w:w="1789" w:type="dxa"/>
          </w:tcPr>
          <w:p w14:paraId="2B391957" w14:textId="77777777" w:rsidR="00D94935" w:rsidRDefault="00D94935" w:rsidP="003A681D">
            <w:pPr>
              <w:pStyle w:val="TableText"/>
              <w:spacing w:before="120" w:after="120"/>
            </w:pPr>
            <w:r>
              <w:t xml:space="preserve">sdiv 2.9.4.3 (other than r 755 </w:t>
            </w:r>
            <w:r>
              <w:rPr>
                <w:lang w:val="en-US"/>
              </w:rPr>
              <w:t>(Search orders—costs))</w:t>
            </w:r>
          </w:p>
        </w:tc>
        <w:tc>
          <w:tcPr>
            <w:tcW w:w="4897" w:type="dxa"/>
          </w:tcPr>
          <w:p w14:paraId="488DF9F1" w14:textId="77777777" w:rsidR="00D94935" w:rsidRDefault="00D94935" w:rsidP="003A681D">
            <w:pPr>
              <w:pStyle w:val="TableText"/>
              <w:spacing w:before="120" w:after="120"/>
            </w:pPr>
            <w:r>
              <w:t>Search orders</w:t>
            </w:r>
          </w:p>
        </w:tc>
      </w:tr>
      <w:tr w:rsidR="00D94935" w14:paraId="42B7E8AC" w14:textId="77777777" w:rsidTr="00D825E5">
        <w:tc>
          <w:tcPr>
            <w:tcW w:w="1011" w:type="dxa"/>
          </w:tcPr>
          <w:p w14:paraId="52470E32" w14:textId="77777777" w:rsidR="00D94935" w:rsidRDefault="00D94935" w:rsidP="003A681D">
            <w:pPr>
              <w:pStyle w:val="TableText"/>
              <w:spacing w:before="120" w:after="120"/>
            </w:pPr>
            <w:r>
              <w:t>12</w:t>
            </w:r>
          </w:p>
        </w:tc>
        <w:tc>
          <w:tcPr>
            <w:tcW w:w="1789" w:type="dxa"/>
          </w:tcPr>
          <w:p w14:paraId="0AF869E3" w14:textId="77777777" w:rsidR="00D94935" w:rsidRDefault="00D94935" w:rsidP="003A681D">
            <w:pPr>
              <w:pStyle w:val="TableText"/>
              <w:spacing w:before="120" w:after="120"/>
            </w:pPr>
            <w:r>
              <w:t>766</w:t>
            </w:r>
          </w:p>
        </w:tc>
        <w:tc>
          <w:tcPr>
            <w:tcW w:w="4897" w:type="dxa"/>
          </w:tcPr>
          <w:p w14:paraId="7702D525" w14:textId="77777777" w:rsidR="00D94935" w:rsidRDefault="00D94935" w:rsidP="003A681D">
            <w:pPr>
              <w:pStyle w:val="TableText"/>
              <w:spacing w:before="120" w:after="120"/>
            </w:pPr>
            <w:r>
              <w:t>Receiver—agreement to act as etc</w:t>
            </w:r>
          </w:p>
        </w:tc>
      </w:tr>
      <w:tr w:rsidR="00D94935" w14:paraId="1F1EEE55" w14:textId="77777777" w:rsidTr="00D825E5">
        <w:tc>
          <w:tcPr>
            <w:tcW w:w="1011" w:type="dxa"/>
          </w:tcPr>
          <w:p w14:paraId="2465EE9F" w14:textId="77777777" w:rsidR="00D94935" w:rsidRDefault="00D94935" w:rsidP="003A681D">
            <w:pPr>
              <w:pStyle w:val="TableText"/>
              <w:spacing w:before="120" w:after="120"/>
            </w:pPr>
            <w:r>
              <w:t>13</w:t>
            </w:r>
          </w:p>
        </w:tc>
        <w:tc>
          <w:tcPr>
            <w:tcW w:w="1789" w:type="dxa"/>
          </w:tcPr>
          <w:p w14:paraId="757FFEF5" w14:textId="77777777" w:rsidR="00D94935" w:rsidRDefault="00D94935" w:rsidP="003A681D">
            <w:pPr>
              <w:pStyle w:val="TableText"/>
              <w:spacing w:before="120" w:after="120"/>
            </w:pPr>
            <w:r>
              <w:t>767</w:t>
            </w:r>
          </w:p>
        </w:tc>
        <w:tc>
          <w:tcPr>
            <w:tcW w:w="4897" w:type="dxa"/>
          </w:tcPr>
          <w:p w14:paraId="4A64FBDB" w14:textId="77777777" w:rsidR="00D94935" w:rsidRDefault="00D94935" w:rsidP="003A681D">
            <w:pPr>
              <w:pStyle w:val="TableText"/>
              <w:spacing w:before="120" w:after="120"/>
            </w:pPr>
            <w:r>
              <w:t>Receiver—application for order appointing</w:t>
            </w:r>
          </w:p>
        </w:tc>
      </w:tr>
      <w:tr w:rsidR="00D94935" w14:paraId="654379A0" w14:textId="77777777" w:rsidTr="00D825E5">
        <w:tc>
          <w:tcPr>
            <w:tcW w:w="1011" w:type="dxa"/>
          </w:tcPr>
          <w:p w14:paraId="00A9EA54" w14:textId="77777777" w:rsidR="00D94935" w:rsidRDefault="00D94935" w:rsidP="003A681D">
            <w:pPr>
              <w:pStyle w:val="TableText"/>
              <w:spacing w:before="120" w:after="120"/>
            </w:pPr>
            <w:r>
              <w:t>14</w:t>
            </w:r>
          </w:p>
        </w:tc>
        <w:tc>
          <w:tcPr>
            <w:tcW w:w="1789" w:type="dxa"/>
          </w:tcPr>
          <w:p w14:paraId="118F5BE1" w14:textId="77777777" w:rsidR="00D94935" w:rsidRDefault="00D94935" w:rsidP="003A681D">
            <w:pPr>
              <w:pStyle w:val="TableText"/>
              <w:spacing w:before="120" w:after="120"/>
            </w:pPr>
            <w:r>
              <w:t>772</w:t>
            </w:r>
          </w:p>
        </w:tc>
        <w:tc>
          <w:tcPr>
            <w:tcW w:w="4897" w:type="dxa"/>
          </w:tcPr>
          <w:p w14:paraId="43C48588" w14:textId="77777777" w:rsidR="00D94935" w:rsidRDefault="00D94935" w:rsidP="003A681D">
            <w:pPr>
              <w:pStyle w:val="TableText"/>
              <w:spacing w:before="120" w:after="120"/>
            </w:pPr>
            <w:r>
              <w:t>Receiver—default</w:t>
            </w:r>
          </w:p>
        </w:tc>
      </w:tr>
      <w:tr w:rsidR="00D94935" w14:paraId="5BCC4009" w14:textId="77777777" w:rsidTr="00D825E5">
        <w:tc>
          <w:tcPr>
            <w:tcW w:w="1011" w:type="dxa"/>
          </w:tcPr>
          <w:p w14:paraId="689DCEBB" w14:textId="77777777" w:rsidR="00D94935" w:rsidRDefault="00D94935" w:rsidP="003A681D">
            <w:pPr>
              <w:pStyle w:val="TableText"/>
              <w:spacing w:before="120" w:after="120"/>
            </w:pPr>
            <w:r>
              <w:t>15</w:t>
            </w:r>
          </w:p>
        </w:tc>
        <w:tc>
          <w:tcPr>
            <w:tcW w:w="1789" w:type="dxa"/>
          </w:tcPr>
          <w:p w14:paraId="0910D373" w14:textId="77777777" w:rsidR="00D94935" w:rsidRDefault="00D94935" w:rsidP="003A681D">
            <w:pPr>
              <w:pStyle w:val="TableText"/>
              <w:spacing w:before="120" w:after="120"/>
            </w:pPr>
            <w:r>
              <w:t>782</w:t>
            </w:r>
          </w:p>
        </w:tc>
        <w:tc>
          <w:tcPr>
            <w:tcW w:w="4897" w:type="dxa"/>
          </w:tcPr>
          <w:p w14:paraId="658C8B63" w14:textId="77777777" w:rsidR="00D94935" w:rsidRDefault="00D94935" w:rsidP="003A681D">
            <w:pPr>
              <w:pStyle w:val="TableText"/>
              <w:spacing w:before="120" w:after="120"/>
            </w:pPr>
            <w:r>
              <w:t>Sale of land—order</w:t>
            </w:r>
          </w:p>
        </w:tc>
      </w:tr>
      <w:tr w:rsidR="00D94935" w14:paraId="3E1CE5BF" w14:textId="77777777" w:rsidTr="00D825E5">
        <w:tc>
          <w:tcPr>
            <w:tcW w:w="1011" w:type="dxa"/>
          </w:tcPr>
          <w:p w14:paraId="45C188C3" w14:textId="77777777" w:rsidR="00D94935" w:rsidRDefault="00D94935" w:rsidP="003A681D">
            <w:pPr>
              <w:pStyle w:val="TableText"/>
              <w:spacing w:before="120" w:after="120"/>
            </w:pPr>
            <w:r>
              <w:t>16</w:t>
            </w:r>
          </w:p>
        </w:tc>
        <w:tc>
          <w:tcPr>
            <w:tcW w:w="1789" w:type="dxa"/>
          </w:tcPr>
          <w:p w14:paraId="2CA88578" w14:textId="77777777" w:rsidR="00D94935" w:rsidRDefault="00D94935" w:rsidP="003A681D">
            <w:pPr>
              <w:pStyle w:val="TableText"/>
              <w:spacing w:before="120" w:after="120"/>
            </w:pPr>
            <w:r>
              <w:t>783</w:t>
            </w:r>
          </w:p>
        </w:tc>
        <w:tc>
          <w:tcPr>
            <w:tcW w:w="4897" w:type="dxa"/>
          </w:tcPr>
          <w:p w14:paraId="58152442" w14:textId="77777777" w:rsidR="00D94935" w:rsidRDefault="00D94935" w:rsidP="003A681D">
            <w:pPr>
              <w:pStyle w:val="TableText"/>
              <w:spacing w:before="120" w:after="120"/>
            </w:pPr>
            <w:r>
              <w:t>Sale of land—conduct of sale</w:t>
            </w:r>
          </w:p>
        </w:tc>
      </w:tr>
      <w:tr w:rsidR="00D94935" w14:paraId="0C09595B" w14:textId="77777777" w:rsidTr="00D825E5">
        <w:tc>
          <w:tcPr>
            <w:tcW w:w="1011" w:type="dxa"/>
          </w:tcPr>
          <w:p w14:paraId="75A6AE32" w14:textId="77777777" w:rsidR="00D94935" w:rsidRDefault="00D94935" w:rsidP="003A681D">
            <w:pPr>
              <w:pStyle w:val="TableText"/>
              <w:spacing w:before="120" w:after="120"/>
            </w:pPr>
            <w:r>
              <w:t>17</w:t>
            </w:r>
          </w:p>
        </w:tc>
        <w:tc>
          <w:tcPr>
            <w:tcW w:w="1789" w:type="dxa"/>
          </w:tcPr>
          <w:p w14:paraId="16759DE4" w14:textId="77777777" w:rsidR="00D94935" w:rsidRDefault="00D94935" w:rsidP="003A681D">
            <w:pPr>
              <w:pStyle w:val="TableText"/>
              <w:spacing w:before="120" w:after="120"/>
            </w:pPr>
            <w:r>
              <w:t>784</w:t>
            </w:r>
          </w:p>
        </w:tc>
        <w:tc>
          <w:tcPr>
            <w:tcW w:w="4897" w:type="dxa"/>
          </w:tcPr>
          <w:p w14:paraId="3936F2B2" w14:textId="77777777" w:rsidR="00D94935" w:rsidRDefault="00D94935" w:rsidP="003A681D">
            <w:pPr>
              <w:pStyle w:val="TableText"/>
              <w:spacing w:before="120" w:after="120"/>
            </w:pPr>
            <w:r>
              <w:t>Sale of land—certificate of sale result</w:t>
            </w:r>
          </w:p>
        </w:tc>
      </w:tr>
      <w:tr w:rsidR="00D94935" w14:paraId="28C919FF" w14:textId="77777777" w:rsidTr="00D825E5">
        <w:tc>
          <w:tcPr>
            <w:tcW w:w="1011" w:type="dxa"/>
          </w:tcPr>
          <w:p w14:paraId="5DB59E7F" w14:textId="77777777" w:rsidR="00D94935" w:rsidRPr="001C0D2B" w:rsidRDefault="00D94935" w:rsidP="003A681D">
            <w:pPr>
              <w:pStyle w:val="TableText"/>
              <w:spacing w:before="120" w:after="120"/>
            </w:pPr>
            <w:r>
              <w:t>18</w:t>
            </w:r>
          </w:p>
        </w:tc>
        <w:tc>
          <w:tcPr>
            <w:tcW w:w="1789" w:type="dxa"/>
          </w:tcPr>
          <w:p w14:paraId="1B8E4EF2" w14:textId="77777777" w:rsidR="00D94935" w:rsidRPr="001C0D2B" w:rsidRDefault="00D94935" w:rsidP="003A681D">
            <w:pPr>
              <w:pStyle w:val="TableText"/>
              <w:spacing w:before="120" w:after="120"/>
            </w:pPr>
            <w:r w:rsidRPr="001C0D2B">
              <w:t>1240</w:t>
            </w:r>
          </w:p>
        </w:tc>
        <w:tc>
          <w:tcPr>
            <w:tcW w:w="4897" w:type="dxa"/>
          </w:tcPr>
          <w:p w14:paraId="3D776777" w14:textId="77777777" w:rsidR="00D94935" w:rsidRPr="001C0D2B" w:rsidRDefault="00D94935" w:rsidP="003A681D">
            <w:pPr>
              <w:pStyle w:val="TableText"/>
              <w:spacing w:before="120" w:after="120"/>
            </w:pPr>
            <w:r w:rsidRPr="001C0D2B">
              <w:t>Application—div 2.12.3</w:t>
            </w:r>
          </w:p>
        </w:tc>
      </w:tr>
      <w:tr w:rsidR="00D94935" w14:paraId="4A9EFE06" w14:textId="77777777" w:rsidTr="00D825E5">
        <w:tc>
          <w:tcPr>
            <w:tcW w:w="1011" w:type="dxa"/>
          </w:tcPr>
          <w:p w14:paraId="45F71657" w14:textId="77777777" w:rsidR="00D94935" w:rsidRDefault="00D94935" w:rsidP="003A681D">
            <w:pPr>
              <w:pStyle w:val="TableText"/>
              <w:spacing w:before="120" w:after="120"/>
            </w:pPr>
            <w:r>
              <w:t>19</w:t>
            </w:r>
          </w:p>
        </w:tc>
        <w:tc>
          <w:tcPr>
            <w:tcW w:w="1789" w:type="dxa"/>
          </w:tcPr>
          <w:p w14:paraId="3320E51E" w14:textId="77777777" w:rsidR="00D94935" w:rsidRDefault="00D94935" w:rsidP="003A681D">
            <w:pPr>
              <w:pStyle w:val="TableText"/>
              <w:spacing w:before="120" w:after="120"/>
            </w:pPr>
            <w:r>
              <w:t>1241</w:t>
            </w:r>
          </w:p>
        </w:tc>
        <w:tc>
          <w:tcPr>
            <w:tcW w:w="4897" w:type="dxa"/>
          </w:tcPr>
          <w:p w14:paraId="10027DC1" w14:textId="77777777" w:rsidR="00D94935" w:rsidRDefault="00D94935" w:rsidP="003A681D">
            <w:pPr>
              <w:pStyle w:val="TableText"/>
              <w:spacing w:before="120" w:after="120"/>
            </w:pPr>
            <w:r>
              <w:t>Service of expert reports</w:t>
            </w:r>
          </w:p>
        </w:tc>
      </w:tr>
      <w:tr w:rsidR="00D94935" w14:paraId="68687405" w14:textId="77777777" w:rsidTr="00D825E5">
        <w:tc>
          <w:tcPr>
            <w:tcW w:w="1011" w:type="dxa"/>
          </w:tcPr>
          <w:p w14:paraId="50840CC3" w14:textId="77777777" w:rsidR="00D94935" w:rsidRDefault="00D94935" w:rsidP="003A681D">
            <w:pPr>
              <w:pStyle w:val="TableText"/>
              <w:spacing w:before="120" w:after="120"/>
            </w:pPr>
            <w:r>
              <w:t>20</w:t>
            </w:r>
          </w:p>
        </w:tc>
        <w:tc>
          <w:tcPr>
            <w:tcW w:w="1789" w:type="dxa"/>
          </w:tcPr>
          <w:p w14:paraId="74EA73D9" w14:textId="77777777" w:rsidR="00D94935" w:rsidRDefault="00D94935" w:rsidP="003A681D">
            <w:pPr>
              <w:pStyle w:val="TableText"/>
              <w:spacing w:before="120" w:after="120"/>
            </w:pPr>
            <w:r>
              <w:t>1243</w:t>
            </w:r>
          </w:p>
        </w:tc>
        <w:tc>
          <w:tcPr>
            <w:tcW w:w="4897" w:type="dxa"/>
          </w:tcPr>
          <w:p w14:paraId="616B31F5" w14:textId="77777777" w:rsidR="00D94935" w:rsidRDefault="00D94935" w:rsidP="003A681D">
            <w:pPr>
              <w:pStyle w:val="TableText"/>
              <w:spacing w:before="120" w:after="120"/>
            </w:pPr>
            <w:r>
              <w:t>Expert evidence to be covered by expert report</w:t>
            </w:r>
          </w:p>
        </w:tc>
      </w:tr>
      <w:tr w:rsidR="00D94935" w14:paraId="6C43D943" w14:textId="77777777" w:rsidTr="00D825E5">
        <w:tc>
          <w:tcPr>
            <w:tcW w:w="1011" w:type="dxa"/>
          </w:tcPr>
          <w:p w14:paraId="0A37D2DD" w14:textId="77777777" w:rsidR="00D94935" w:rsidRDefault="00D94935" w:rsidP="003A681D">
            <w:pPr>
              <w:pStyle w:val="TableText"/>
              <w:spacing w:before="120" w:after="120"/>
            </w:pPr>
            <w:r>
              <w:t>21</w:t>
            </w:r>
          </w:p>
        </w:tc>
        <w:tc>
          <w:tcPr>
            <w:tcW w:w="1789" w:type="dxa"/>
          </w:tcPr>
          <w:p w14:paraId="1AA1231B" w14:textId="77777777" w:rsidR="00D94935" w:rsidRDefault="00D94935" w:rsidP="003A681D">
            <w:pPr>
              <w:pStyle w:val="TableText"/>
              <w:spacing w:before="120" w:after="120"/>
            </w:pPr>
            <w:r>
              <w:t>1246</w:t>
            </w:r>
          </w:p>
        </w:tc>
        <w:tc>
          <w:tcPr>
            <w:tcW w:w="4897" w:type="dxa"/>
          </w:tcPr>
          <w:p w14:paraId="32CC8CD7" w14:textId="77777777" w:rsidR="00D94935" w:rsidRDefault="00D94935" w:rsidP="003A681D">
            <w:pPr>
              <w:pStyle w:val="TableText"/>
              <w:spacing w:before="120" w:after="120"/>
            </w:pPr>
            <w:r>
              <w:t>Tender of expert report</w:t>
            </w:r>
          </w:p>
        </w:tc>
      </w:tr>
      <w:tr w:rsidR="00D94935" w14:paraId="76EAA835" w14:textId="77777777" w:rsidTr="00D825E5">
        <w:tc>
          <w:tcPr>
            <w:tcW w:w="1011" w:type="dxa"/>
          </w:tcPr>
          <w:p w14:paraId="01F2D249" w14:textId="77777777" w:rsidR="00D94935" w:rsidRDefault="00D94935" w:rsidP="003A681D">
            <w:pPr>
              <w:pStyle w:val="TableText"/>
              <w:spacing w:before="120" w:after="120"/>
            </w:pPr>
            <w:r>
              <w:t>22</w:t>
            </w:r>
          </w:p>
        </w:tc>
        <w:tc>
          <w:tcPr>
            <w:tcW w:w="1789" w:type="dxa"/>
          </w:tcPr>
          <w:p w14:paraId="5B79E035" w14:textId="77777777" w:rsidR="00D94935" w:rsidRDefault="00D94935" w:rsidP="003A681D">
            <w:pPr>
              <w:pStyle w:val="TableText"/>
              <w:spacing w:before="120" w:after="120"/>
            </w:pPr>
            <w:r>
              <w:t>1505</w:t>
            </w:r>
          </w:p>
        </w:tc>
        <w:tc>
          <w:tcPr>
            <w:tcW w:w="4897" w:type="dxa"/>
          </w:tcPr>
          <w:p w14:paraId="6D9B391B" w14:textId="77777777" w:rsidR="00D94935" w:rsidRDefault="00D94935" w:rsidP="003A681D">
            <w:pPr>
              <w:pStyle w:val="TableText"/>
              <w:spacing w:before="120" w:after="120"/>
            </w:pPr>
            <w:r>
              <w:t>Trial—defendant or plaintiff not appearing</w:t>
            </w:r>
          </w:p>
        </w:tc>
      </w:tr>
      <w:tr w:rsidR="00D94935" w14:paraId="6FD40A0C" w14:textId="77777777" w:rsidTr="00D825E5">
        <w:tc>
          <w:tcPr>
            <w:tcW w:w="1011" w:type="dxa"/>
          </w:tcPr>
          <w:p w14:paraId="2343EC92" w14:textId="77777777" w:rsidR="00D94935" w:rsidRDefault="00D94935" w:rsidP="003A681D">
            <w:pPr>
              <w:pStyle w:val="TableText"/>
              <w:spacing w:before="120" w:after="120"/>
            </w:pPr>
            <w:r>
              <w:t>23</w:t>
            </w:r>
          </w:p>
        </w:tc>
        <w:tc>
          <w:tcPr>
            <w:tcW w:w="1789" w:type="dxa"/>
          </w:tcPr>
          <w:p w14:paraId="7FD7657E" w14:textId="77777777" w:rsidR="00D94935" w:rsidRDefault="00D94935" w:rsidP="003A681D">
            <w:pPr>
              <w:pStyle w:val="TableText"/>
              <w:spacing w:before="120" w:after="120"/>
            </w:pPr>
            <w:r>
              <w:t>1521</w:t>
            </w:r>
          </w:p>
        </w:tc>
        <w:tc>
          <w:tcPr>
            <w:tcW w:w="4897" w:type="dxa"/>
          </w:tcPr>
          <w:p w14:paraId="055D856B" w14:textId="77777777" w:rsidR="00D94935" w:rsidRDefault="00D94935" w:rsidP="003A681D">
            <w:pPr>
              <w:pStyle w:val="TableText"/>
              <w:spacing w:before="120" w:after="120"/>
            </w:pPr>
            <w:r>
              <w:t>Separate decisions on questions—order</w:t>
            </w:r>
          </w:p>
        </w:tc>
      </w:tr>
      <w:tr w:rsidR="00D94935" w14:paraId="2659D30E" w14:textId="77777777" w:rsidTr="00D825E5">
        <w:tc>
          <w:tcPr>
            <w:tcW w:w="1011" w:type="dxa"/>
          </w:tcPr>
          <w:p w14:paraId="349266B2" w14:textId="77777777" w:rsidR="00D94935" w:rsidRDefault="00D94935" w:rsidP="003A681D">
            <w:pPr>
              <w:pStyle w:val="TableText"/>
              <w:spacing w:before="120" w:after="120"/>
            </w:pPr>
            <w:r>
              <w:lastRenderedPageBreak/>
              <w:t>24</w:t>
            </w:r>
          </w:p>
        </w:tc>
        <w:tc>
          <w:tcPr>
            <w:tcW w:w="1789" w:type="dxa"/>
          </w:tcPr>
          <w:p w14:paraId="6F7A89B6" w14:textId="77777777" w:rsidR="00D94935" w:rsidRDefault="00D94935" w:rsidP="003A681D">
            <w:pPr>
              <w:pStyle w:val="TableText"/>
              <w:spacing w:before="120" w:after="120"/>
            </w:pPr>
            <w:r>
              <w:t>1530</w:t>
            </w:r>
          </w:p>
        </w:tc>
        <w:tc>
          <w:tcPr>
            <w:tcW w:w="4897" w:type="dxa"/>
          </w:tcPr>
          <w:p w14:paraId="4B01FD28" w14:textId="77777777" w:rsidR="00D94935" w:rsidRDefault="00D94935" w:rsidP="003A681D">
            <w:pPr>
              <w:pStyle w:val="TableText"/>
              <w:spacing w:before="120" w:after="120"/>
            </w:pPr>
            <w:r>
              <w:t>Assessors</w:t>
            </w:r>
          </w:p>
        </w:tc>
      </w:tr>
      <w:tr w:rsidR="00D94935" w14:paraId="6C0EF156" w14:textId="77777777" w:rsidTr="00D825E5">
        <w:tc>
          <w:tcPr>
            <w:tcW w:w="1011" w:type="dxa"/>
          </w:tcPr>
          <w:p w14:paraId="5F028CA9" w14:textId="77777777" w:rsidR="00D94935" w:rsidRDefault="00D94935" w:rsidP="003A681D">
            <w:pPr>
              <w:pStyle w:val="TableText"/>
              <w:spacing w:before="120" w:after="120"/>
            </w:pPr>
            <w:r>
              <w:t>25</w:t>
            </w:r>
          </w:p>
        </w:tc>
        <w:tc>
          <w:tcPr>
            <w:tcW w:w="1789" w:type="dxa"/>
          </w:tcPr>
          <w:p w14:paraId="7FDB21A8" w14:textId="77777777" w:rsidR="00D94935" w:rsidRDefault="00D94935" w:rsidP="003A681D">
            <w:pPr>
              <w:pStyle w:val="TableText"/>
              <w:spacing w:before="120" w:after="120"/>
            </w:pPr>
            <w:r>
              <w:t>1531</w:t>
            </w:r>
          </w:p>
        </w:tc>
        <w:tc>
          <w:tcPr>
            <w:tcW w:w="4897" w:type="dxa"/>
          </w:tcPr>
          <w:p w14:paraId="14A72A50" w14:textId="77777777" w:rsidR="00D94935" w:rsidRDefault="00D94935" w:rsidP="003A681D">
            <w:pPr>
              <w:pStyle w:val="TableText"/>
              <w:spacing w:before="120" w:after="120"/>
            </w:pPr>
            <w:r>
              <w:t xml:space="preserve">Referee—referral of question etc to </w:t>
            </w:r>
          </w:p>
        </w:tc>
      </w:tr>
      <w:tr w:rsidR="00D94935" w14:paraId="54DD3563" w14:textId="77777777" w:rsidTr="00D825E5">
        <w:tc>
          <w:tcPr>
            <w:tcW w:w="1011" w:type="dxa"/>
          </w:tcPr>
          <w:p w14:paraId="144D6BE0" w14:textId="77777777" w:rsidR="00D94935" w:rsidRDefault="00D94935" w:rsidP="003A681D">
            <w:pPr>
              <w:pStyle w:val="TableText"/>
              <w:spacing w:before="120" w:after="120"/>
            </w:pPr>
            <w:r>
              <w:t>26</w:t>
            </w:r>
          </w:p>
        </w:tc>
        <w:tc>
          <w:tcPr>
            <w:tcW w:w="1789" w:type="dxa"/>
          </w:tcPr>
          <w:p w14:paraId="79303F1F" w14:textId="77777777" w:rsidR="00D94935" w:rsidRDefault="00D94935" w:rsidP="003A681D">
            <w:pPr>
              <w:pStyle w:val="TableText"/>
              <w:spacing w:before="120" w:after="120"/>
            </w:pPr>
            <w:r>
              <w:t>1532</w:t>
            </w:r>
          </w:p>
        </w:tc>
        <w:tc>
          <w:tcPr>
            <w:tcW w:w="4897" w:type="dxa"/>
          </w:tcPr>
          <w:p w14:paraId="4AF284CB" w14:textId="77777777" w:rsidR="00D94935" w:rsidRDefault="00D94935" w:rsidP="003A681D">
            <w:pPr>
              <w:pStyle w:val="TableText"/>
              <w:spacing w:before="120" w:after="120"/>
            </w:pPr>
            <w:r>
              <w:t xml:space="preserve">Referee—appointment </w:t>
            </w:r>
          </w:p>
        </w:tc>
      </w:tr>
      <w:tr w:rsidR="00D94935" w14:paraId="05AC8F80" w14:textId="77777777" w:rsidTr="00D825E5">
        <w:tc>
          <w:tcPr>
            <w:tcW w:w="1011" w:type="dxa"/>
          </w:tcPr>
          <w:p w14:paraId="45560868" w14:textId="77777777" w:rsidR="00D94935" w:rsidRDefault="00D94935" w:rsidP="003A681D">
            <w:pPr>
              <w:pStyle w:val="TableText"/>
              <w:spacing w:before="120" w:after="120"/>
            </w:pPr>
            <w:r>
              <w:t>27</w:t>
            </w:r>
          </w:p>
        </w:tc>
        <w:tc>
          <w:tcPr>
            <w:tcW w:w="1789" w:type="dxa"/>
          </w:tcPr>
          <w:p w14:paraId="108D57C6" w14:textId="77777777" w:rsidR="00D94935" w:rsidRDefault="00D94935" w:rsidP="003A681D">
            <w:pPr>
              <w:pStyle w:val="TableText"/>
              <w:spacing w:before="120" w:after="120"/>
            </w:pPr>
            <w:r>
              <w:t>1533</w:t>
            </w:r>
          </w:p>
        </w:tc>
        <w:tc>
          <w:tcPr>
            <w:tcW w:w="4897" w:type="dxa"/>
          </w:tcPr>
          <w:p w14:paraId="196D002D" w14:textId="77777777" w:rsidR="00D94935" w:rsidRDefault="00D94935" w:rsidP="003A681D">
            <w:pPr>
              <w:pStyle w:val="TableText"/>
              <w:spacing w:before="120" w:after="120"/>
            </w:pPr>
            <w:r>
              <w:t>Referee—amendment of order referring question etc</w:t>
            </w:r>
          </w:p>
        </w:tc>
      </w:tr>
      <w:tr w:rsidR="00D94935" w14:paraId="50964715" w14:textId="77777777" w:rsidTr="00D825E5">
        <w:tc>
          <w:tcPr>
            <w:tcW w:w="1011" w:type="dxa"/>
          </w:tcPr>
          <w:p w14:paraId="4809CA1C" w14:textId="77777777" w:rsidR="00D94935" w:rsidRDefault="00D94935" w:rsidP="003A681D">
            <w:pPr>
              <w:pStyle w:val="TableText"/>
              <w:spacing w:before="120" w:after="120"/>
            </w:pPr>
            <w:r>
              <w:t>28</w:t>
            </w:r>
          </w:p>
        </w:tc>
        <w:tc>
          <w:tcPr>
            <w:tcW w:w="1789" w:type="dxa"/>
          </w:tcPr>
          <w:p w14:paraId="3A9B7F3F" w14:textId="77777777" w:rsidR="00D94935" w:rsidRDefault="00D94935" w:rsidP="003A681D">
            <w:pPr>
              <w:pStyle w:val="TableText"/>
              <w:spacing w:before="120" w:after="120"/>
            </w:pPr>
            <w:r>
              <w:t>1536</w:t>
            </w:r>
          </w:p>
        </w:tc>
        <w:tc>
          <w:tcPr>
            <w:tcW w:w="4897" w:type="dxa"/>
          </w:tcPr>
          <w:p w14:paraId="7A6D5D03" w14:textId="77777777" w:rsidR="00D94935" w:rsidRDefault="00D94935" w:rsidP="003A681D">
            <w:pPr>
              <w:pStyle w:val="TableText"/>
              <w:spacing w:before="120" w:after="120"/>
            </w:pPr>
            <w:r>
              <w:t>Referee—report</w:t>
            </w:r>
          </w:p>
        </w:tc>
      </w:tr>
      <w:tr w:rsidR="00D94935" w14:paraId="51E32A44" w14:textId="77777777" w:rsidTr="00D825E5">
        <w:tc>
          <w:tcPr>
            <w:tcW w:w="1011" w:type="dxa"/>
          </w:tcPr>
          <w:p w14:paraId="3031C85F" w14:textId="77777777" w:rsidR="00D94935" w:rsidRDefault="00D94935" w:rsidP="003A681D">
            <w:pPr>
              <w:pStyle w:val="TableText"/>
              <w:spacing w:before="120" w:after="120"/>
            </w:pPr>
            <w:r>
              <w:t>29</w:t>
            </w:r>
          </w:p>
        </w:tc>
        <w:tc>
          <w:tcPr>
            <w:tcW w:w="1789" w:type="dxa"/>
          </w:tcPr>
          <w:p w14:paraId="00E0B2E4" w14:textId="77777777" w:rsidR="00D94935" w:rsidRDefault="00D94935" w:rsidP="003A681D">
            <w:pPr>
              <w:pStyle w:val="TableText"/>
              <w:spacing w:before="120" w:after="120"/>
            </w:pPr>
            <w:r>
              <w:t>1537</w:t>
            </w:r>
          </w:p>
        </w:tc>
        <w:tc>
          <w:tcPr>
            <w:tcW w:w="4897" w:type="dxa"/>
          </w:tcPr>
          <w:p w14:paraId="473B8827" w14:textId="77777777" w:rsidR="00D94935" w:rsidRDefault="00D94935" w:rsidP="003A681D">
            <w:pPr>
              <w:pStyle w:val="TableText"/>
              <w:spacing w:before="120" w:after="120"/>
            </w:pPr>
            <w:r>
              <w:t xml:space="preserve">Referee—proceeding on report </w:t>
            </w:r>
          </w:p>
        </w:tc>
      </w:tr>
      <w:tr w:rsidR="00D94935" w14:paraId="6265D66D" w14:textId="77777777" w:rsidTr="00D825E5">
        <w:tc>
          <w:tcPr>
            <w:tcW w:w="1011" w:type="dxa"/>
          </w:tcPr>
          <w:p w14:paraId="12D95FCD" w14:textId="77777777" w:rsidR="00D94935" w:rsidRDefault="00D94935" w:rsidP="003A681D">
            <w:pPr>
              <w:pStyle w:val="TableText"/>
              <w:spacing w:before="120" w:after="120"/>
            </w:pPr>
            <w:r>
              <w:t>30</w:t>
            </w:r>
          </w:p>
        </w:tc>
        <w:tc>
          <w:tcPr>
            <w:tcW w:w="1789" w:type="dxa"/>
          </w:tcPr>
          <w:p w14:paraId="383D00EF" w14:textId="77777777" w:rsidR="00D94935" w:rsidRDefault="00D94935" w:rsidP="003A681D">
            <w:pPr>
              <w:pStyle w:val="TableText"/>
              <w:spacing w:before="120" w:after="120"/>
            </w:pPr>
            <w:r>
              <w:t>1548</w:t>
            </w:r>
          </w:p>
        </w:tc>
        <w:tc>
          <w:tcPr>
            <w:tcW w:w="4897" w:type="dxa"/>
          </w:tcPr>
          <w:p w14:paraId="175992EA" w14:textId="77777777" w:rsidR="00D94935" w:rsidRDefault="00D94935" w:rsidP="003A681D">
            <w:pPr>
              <w:pStyle w:val="TableText"/>
              <w:spacing w:before="120" w:after="120"/>
            </w:pPr>
            <w:r>
              <w:t>Partial judgment for damages to be assessed</w:t>
            </w:r>
          </w:p>
        </w:tc>
      </w:tr>
      <w:tr w:rsidR="00D94935" w14:paraId="57A1D2EA" w14:textId="77777777" w:rsidTr="00D825E5">
        <w:tc>
          <w:tcPr>
            <w:tcW w:w="1011" w:type="dxa"/>
          </w:tcPr>
          <w:p w14:paraId="77DFEF02" w14:textId="77777777" w:rsidR="00D94935" w:rsidRDefault="00D94935" w:rsidP="003A681D">
            <w:pPr>
              <w:pStyle w:val="TableText"/>
              <w:spacing w:before="120" w:after="120"/>
            </w:pPr>
            <w:r>
              <w:t>31</w:t>
            </w:r>
          </w:p>
        </w:tc>
        <w:tc>
          <w:tcPr>
            <w:tcW w:w="1789" w:type="dxa"/>
          </w:tcPr>
          <w:p w14:paraId="64E110A4" w14:textId="77777777" w:rsidR="00D94935" w:rsidRDefault="00D94935" w:rsidP="003A681D">
            <w:pPr>
              <w:pStyle w:val="TableText"/>
              <w:spacing w:before="120" w:after="120"/>
            </w:pPr>
            <w:r>
              <w:t>1607</w:t>
            </w:r>
          </w:p>
        </w:tc>
        <w:tc>
          <w:tcPr>
            <w:tcW w:w="4897" w:type="dxa"/>
          </w:tcPr>
          <w:p w14:paraId="29485998" w14:textId="77777777" w:rsidR="00D94935" w:rsidRDefault="00D94935" w:rsidP="003A681D">
            <w:pPr>
              <w:pStyle w:val="TableText"/>
              <w:spacing w:before="120" w:after="120"/>
            </w:pPr>
            <w:r>
              <w:t>Orders—certified duplicate</w:t>
            </w:r>
          </w:p>
        </w:tc>
      </w:tr>
      <w:tr w:rsidR="00D94935" w14:paraId="6243A9E2" w14:textId="77777777" w:rsidTr="00D825E5">
        <w:tc>
          <w:tcPr>
            <w:tcW w:w="1011" w:type="dxa"/>
          </w:tcPr>
          <w:p w14:paraId="76254BC6" w14:textId="77777777" w:rsidR="00D94935" w:rsidRDefault="00D94935" w:rsidP="003A681D">
            <w:pPr>
              <w:pStyle w:val="TableText"/>
              <w:spacing w:before="120" w:after="120"/>
            </w:pPr>
            <w:r>
              <w:t>32</w:t>
            </w:r>
          </w:p>
        </w:tc>
        <w:tc>
          <w:tcPr>
            <w:tcW w:w="1789" w:type="dxa"/>
          </w:tcPr>
          <w:p w14:paraId="0FD8D2EF" w14:textId="77777777" w:rsidR="00D94935" w:rsidRDefault="00D94935" w:rsidP="003A681D">
            <w:pPr>
              <w:pStyle w:val="TableText"/>
              <w:spacing w:before="120" w:after="120"/>
            </w:pPr>
            <w:r w:rsidRPr="005D331F">
              <w:t>1617</w:t>
            </w:r>
          </w:p>
        </w:tc>
        <w:tc>
          <w:tcPr>
            <w:tcW w:w="4897" w:type="dxa"/>
          </w:tcPr>
          <w:p w14:paraId="0C20D2CD" w14:textId="77777777" w:rsidR="00D94935" w:rsidRDefault="00D94935" w:rsidP="003A681D">
            <w:pPr>
              <w:pStyle w:val="TableText"/>
              <w:spacing w:before="120" w:after="120"/>
            </w:pPr>
            <w:r>
              <w:t>Payment into court—amount recovered by person with legal disability</w:t>
            </w:r>
          </w:p>
        </w:tc>
      </w:tr>
      <w:tr w:rsidR="00D94935" w14:paraId="6C892CAD" w14:textId="77777777" w:rsidTr="00D825E5">
        <w:tc>
          <w:tcPr>
            <w:tcW w:w="1011" w:type="dxa"/>
          </w:tcPr>
          <w:p w14:paraId="58D931C5" w14:textId="77777777" w:rsidR="00D94935" w:rsidRDefault="00D94935" w:rsidP="003A681D">
            <w:pPr>
              <w:pStyle w:val="TableText"/>
              <w:spacing w:before="120" w:after="120"/>
            </w:pPr>
            <w:r>
              <w:t>33</w:t>
            </w:r>
          </w:p>
        </w:tc>
        <w:tc>
          <w:tcPr>
            <w:tcW w:w="1789" w:type="dxa"/>
          </w:tcPr>
          <w:p w14:paraId="1F573746" w14:textId="77777777" w:rsidR="00D94935" w:rsidRDefault="00D94935" w:rsidP="003A681D">
            <w:pPr>
              <w:pStyle w:val="TableText"/>
              <w:spacing w:before="120" w:after="120"/>
            </w:pPr>
            <w:r>
              <w:t>1855</w:t>
            </w:r>
          </w:p>
        </w:tc>
        <w:tc>
          <w:tcPr>
            <w:tcW w:w="4897" w:type="dxa"/>
          </w:tcPr>
          <w:p w14:paraId="6FF030B3" w14:textId="77777777" w:rsidR="00D94935" w:rsidRDefault="00D94935" w:rsidP="003A681D">
            <w:pPr>
              <w:pStyle w:val="TableText"/>
              <w:spacing w:before="120" w:after="120"/>
            </w:pPr>
            <w:r>
              <w:t>Costs—review by court</w:t>
            </w:r>
          </w:p>
        </w:tc>
      </w:tr>
      <w:tr w:rsidR="00D94935" w14:paraId="2D12BF19" w14:textId="77777777" w:rsidTr="00D825E5">
        <w:tc>
          <w:tcPr>
            <w:tcW w:w="1011" w:type="dxa"/>
          </w:tcPr>
          <w:p w14:paraId="6583C72E" w14:textId="77777777" w:rsidR="00D94935" w:rsidRDefault="00D94935" w:rsidP="003A681D">
            <w:pPr>
              <w:pStyle w:val="TableText"/>
              <w:spacing w:before="120" w:after="120"/>
            </w:pPr>
            <w:r>
              <w:t>34</w:t>
            </w:r>
          </w:p>
        </w:tc>
        <w:tc>
          <w:tcPr>
            <w:tcW w:w="1789" w:type="dxa"/>
          </w:tcPr>
          <w:p w14:paraId="0B7D23EE" w14:textId="77777777" w:rsidR="00D94935" w:rsidRDefault="00D94935" w:rsidP="003A681D">
            <w:pPr>
              <w:pStyle w:val="TableText"/>
              <w:spacing w:before="120" w:after="120"/>
            </w:pPr>
            <w:r>
              <w:t>2220</w:t>
            </w:r>
          </w:p>
        </w:tc>
        <w:tc>
          <w:tcPr>
            <w:tcW w:w="4897" w:type="dxa"/>
          </w:tcPr>
          <w:p w14:paraId="5AD80A5F" w14:textId="77777777" w:rsidR="00D94935" w:rsidRDefault="00D94935" w:rsidP="003A681D">
            <w:pPr>
              <w:pStyle w:val="TableText"/>
              <w:spacing w:before="120" w:after="120"/>
            </w:pPr>
            <w:r>
              <w:t>Seizure and sale order—sale at best price obtainable</w:t>
            </w:r>
          </w:p>
        </w:tc>
      </w:tr>
      <w:tr w:rsidR="00D94935" w14:paraId="7194BD62" w14:textId="77777777" w:rsidTr="00D825E5">
        <w:tc>
          <w:tcPr>
            <w:tcW w:w="1011" w:type="dxa"/>
          </w:tcPr>
          <w:p w14:paraId="4339DABA" w14:textId="77777777" w:rsidR="00D94935" w:rsidRDefault="00D94935" w:rsidP="003A681D">
            <w:pPr>
              <w:pStyle w:val="TableText"/>
              <w:spacing w:before="120" w:after="120"/>
            </w:pPr>
            <w:r>
              <w:t>35</w:t>
            </w:r>
          </w:p>
        </w:tc>
        <w:tc>
          <w:tcPr>
            <w:tcW w:w="1789" w:type="dxa"/>
          </w:tcPr>
          <w:p w14:paraId="1D88F7B3" w14:textId="77777777" w:rsidR="00D94935" w:rsidRDefault="00D94935" w:rsidP="003A681D">
            <w:pPr>
              <w:pStyle w:val="TableText"/>
              <w:spacing w:before="120" w:after="120"/>
            </w:pPr>
            <w:r>
              <w:t>2406</w:t>
            </w:r>
          </w:p>
        </w:tc>
        <w:tc>
          <w:tcPr>
            <w:tcW w:w="4897" w:type="dxa"/>
          </w:tcPr>
          <w:p w14:paraId="2A93579C" w14:textId="77777777" w:rsidR="00D94935" w:rsidRDefault="00D94935" w:rsidP="003A681D">
            <w:pPr>
              <w:pStyle w:val="TableText"/>
              <w:spacing w:before="120" w:after="120"/>
            </w:pPr>
            <w:r>
              <w:t>Charging order—application to enforce charge</w:t>
            </w:r>
          </w:p>
        </w:tc>
      </w:tr>
      <w:tr w:rsidR="00D94935" w14:paraId="20524EB4" w14:textId="77777777" w:rsidTr="00D825E5">
        <w:tc>
          <w:tcPr>
            <w:tcW w:w="1011" w:type="dxa"/>
          </w:tcPr>
          <w:p w14:paraId="72323DE7" w14:textId="77777777" w:rsidR="00D94935" w:rsidRDefault="00D94935" w:rsidP="003A681D">
            <w:pPr>
              <w:pStyle w:val="TableText"/>
              <w:spacing w:before="120" w:after="120"/>
            </w:pPr>
            <w:r>
              <w:t>36</w:t>
            </w:r>
          </w:p>
        </w:tc>
        <w:tc>
          <w:tcPr>
            <w:tcW w:w="1789" w:type="dxa"/>
          </w:tcPr>
          <w:p w14:paraId="0C7DB6F0" w14:textId="77777777" w:rsidR="00D94935" w:rsidRDefault="00D94935" w:rsidP="003A681D">
            <w:pPr>
              <w:pStyle w:val="TableText"/>
              <w:spacing w:before="120" w:after="120"/>
            </w:pPr>
            <w:r>
              <w:t>2407 (2) (b)</w:t>
            </w:r>
          </w:p>
        </w:tc>
        <w:tc>
          <w:tcPr>
            <w:tcW w:w="4897" w:type="dxa"/>
          </w:tcPr>
          <w:p w14:paraId="4DDFDDF1" w14:textId="77777777" w:rsidR="00D94935" w:rsidRDefault="00D94935" w:rsidP="003A681D">
            <w:pPr>
              <w:pStyle w:val="TableText"/>
              <w:spacing w:before="120" w:after="120"/>
            </w:pPr>
            <w:r>
              <w:t>Charging order—procedure against partnership property for partner’s separate order debt</w:t>
            </w:r>
          </w:p>
        </w:tc>
      </w:tr>
      <w:tr w:rsidR="00D94935" w14:paraId="2BE3CBD1" w14:textId="77777777" w:rsidTr="00D825E5">
        <w:tc>
          <w:tcPr>
            <w:tcW w:w="1011" w:type="dxa"/>
          </w:tcPr>
          <w:p w14:paraId="10A2154D" w14:textId="77777777" w:rsidR="00D94935" w:rsidRDefault="00D94935" w:rsidP="003A681D">
            <w:pPr>
              <w:pStyle w:val="TableText"/>
              <w:spacing w:before="120" w:after="120"/>
            </w:pPr>
            <w:r>
              <w:t>37</w:t>
            </w:r>
          </w:p>
        </w:tc>
        <w:tc>
          <w:tcPr>
            <w:tcW w:w="1789" w:type="dxa"/>
          </w:tcPr>
          <w:p w14:paraId="3517F082" w14:textId="77777777" w:rsidR="00D94935" w:rsidRDefault="00D94935" w:rsidP="003A681D">
            <w:pPr>
              <w:pStyle w:val="TableText"/>
              <w:spacing w:before="120" w:after="120"/>
            </w:pPr>
            <w:r>
              <w:t>2443</w:t>
            </w:r>
          </w:p>
        </w:tc>
        <w:tc>
          <w:tcPr>
            <w:tcW w:w="4897" w:type="dxa"/>
          </w:tcPr>
          <w:p w14:paraId="72727447" w14:textId="77777777" w:rsidR="00D94935" w:rsidRDefault="00D94935" w:rsidP="003A681D">
            <w:pPr>
              <w:pStyle w:val="TableText"/>
              <w:spacing w:before="120" w:after="120"/>
            </w:pPr>
            <w:r>
              <w:t>Enforcement—undertakings</w:t>
            </w:r>
          </w:p>
        </w:tc>
      </w:tr>
      <w:tr w:rsidR="00D94935" w14:paraId="5AC5B71B" w14:textId="77777777" w:rsidTr="00D825E5">
        <w:tc>
          <w:tcPr>
            <w:tcW w:w="1011" w:type="dxa"/>
          </w:tcPr>
          <w:p w14:paraId="5D0EECDD" w14:textId="77777777" w:rsidR="00D94935" w:rsidRDefault="00D94935" w:rsidP="003A681D">
            <w:pPr>
              <w:pStyle w:val="TableText"/>
              <w:spacing w:before="120" w:after="120"/>
            </w:pPr>
            <w:r>
              <w:t>38</w:t>
            </w:r>
          </w:p>
        </w:tc>
        <w:tc>
          <w:tcPr>
            <w:tcW w:w="1789" w:type="dxa"/>
          </w:tcPr>
          <w:p w14:paraId="20A1AF42" w14:textId="77777777" w:rsidR="00D94935" w:rsidRDefault="00D94935" w:rsidP="003A681D">
            <w:pPr>
              <w:pStyle w:val="TableText"/>
              <w:spacing w:before="120" w:after="120"/>
            </w:pPr>
            <w:r>
              <w:t>2501</w:t>
            </w:r>
          </w:p>
        </w:tc>
        <w:tc>
          <w:tcPr>
            <w:tcW w:w="4897" w:type="dxa"/>
          </w:tcPr>
          <w:p w14:paraId="75CD29B3" w14:textId="77777777" w:rsidR="00D94935" w:rsidRDefault="00D94935" w:rsidP="003A681D">
            <w:pPr>
              <w:pStyle w:val="TableText"/>
              <w:spacing w:before="120" w:after="120"/>
            </w:pPr>
            <w:r>
              <w:t>Contempt—applications generally</w:t>
            </w:r>
          </w:p>
        </w:tc>
      </w:tr>
      <w:tr w:rsidR="00D94935" w14:paraId="12589513" w14:textId="77777777" w:rsidTr="00D825E5">
        <w:tc>
          <w:tcPr>
            <w:tcW w:w="1011" w:type="dxa"/>
          </w:tcPr>
          <w:p w14:paraId="6E0E630B" w14:textId="77777777" w:rsidR="00D94935" w:rsidRDefault="00D94935" w:rsidP="003A681D">
            <w:pPr>
              <w:pStyle w:val="TableText"/>
              <w:spacing w:before="120" w:after="120"/>
            </w:pPr>
            <w:r>
              <w:lastRenderedPageBreak/>
              <w:t>39</w:t>
            </w:r>
          </w:p>
        </w:tc>
        <w:tc>
          <w:tcPr>
            <w:tcW w:w="1789" w:type="dxa"/>
          </w:tcPr>
          <w:p w14:paraId="38FA8DD7" w14:textId="77777777" w:rsidR="00D94935" w:rsidRDefault="00D94935" w:rsidP="003A681D">
            <w:pPr>
              <w:pStyle w:val="TableText"/>
              <w:spacing w:before="120" w:after="120"/>
            </w:pPr>
            <w:r>
              <w:t>div 2.18.17</w:t>
            </w:r>
          </w:p>
        </w:tc>
        <w:tc>
          <w:tcPr>
            <w:tcW w:w="4897" w:type="dxa"/>
          </w:tcPr>
          <w:p w14:paraId="7F2039DB" w14:textId="77777777" w:rsidR="00D94935" w:rsidRDefault="00D94935" w:rsidP="003A681D">
            <w:pPr>
              <w:pStyle w:val="TableText"/>
              <w:spacing w:before="120" w:after="120"/>
            </w:pPr>
            <w:r>
              <w:t>Enforcement—arrest warrants for absconding defendants</w:t>
            </w:r>
          </w:p>
        </w:tc>
      </w:tr>
      <w:tr w:rsidR="00D94935" w14:paraId="3351D886" w14:textId="77777777" w:rsidTr="00D825E5">
        <w:tc>
          <w:tcPr>
            <w:tcW w:w="1011" w:type="dxa"/>
          </w:tcPr>
          <w:p w14:paraId="6B5BBFF5" w14:textId="77777777" w:rsidR="00D94935" w:rsidRDefault="00D94935" w:rsidP="003A681D">
            <w:pPr>
              <w:pStyle w:val="TableText"/>
              <w:spacing w:before="120" w:after="120"/>
            </w:pPr>
            <w:r>
              <w:t>40</w:t>
            </w:r>
          </w:p>
        </w:tc>
        <w:tc>
          <w:tcPr>
            <w:tcW w:w="1789" w:type="dxa"/>
          </w:tcPr>
          <w:p w14:paraId="39E013D7" w14:textId="77777777" w:rsidR="00D94935" w:rsidRDefault="00D94935" w:rsidP="003A681D">
            <w:pPr>
              <w:pStyle w:val="TableText"/>
              <w:spacing w:before="120" w:after="120"/>
            </w:pPr>
            <w:r>
              <w:t>2600</w:t>
            </w:r>
          </w:p>
        </w:tc>
        <w:tc>
          <w:tcPr>
            <w:tcW w:w="4897" w:type="dxa"/>
          </w:tcPr>
          <w:p w14:paraId="6465E011" w14:textId="77777777" w:rsidR="00D94935" w:rsidRDefault="00D94935" w:rsidP="003A681D">
            <w:pPr>
              <w:pStyle w:val="TableText"/>
              <w:spacing w:before="120" w:after="120"/>
            </w:pPr>
            <w:r>
              <w:t>Interpleader—application by stakeholder</w:t>
            </w:r>
          </w:p>
        </w:tc>
      </w:tr>
      <w:tr w:rsidR="00D94935" w14:paraId="7472601A" w14:textId="77777777" w:rsidTr="00D825E5">
        <w:tc>
          <w:tcPr>
            <w:tcW w:w="1011" w:type="dxa"/>
          </w:tcPr>
          <w:p w14:paraId="65EC592E" w14:textId="77777777" w:rsidR="00D94935" w:rsidRDefault="00D94935" w:rsidP="003A681D">
            <w:pPr>
              <w:pStyle w:val="TableText"/>
              <w:spacing w:before="120" w:after="120"/>
            </w:pPr>
            <w:r>
              <w:t>41</w:t>
            </w:r>
          </w:p>
        </w:tc>
        <w:tc>
          <w:tcPr>
            <w:tcW w:w="1789" w:type="dxa"/>
          </w:tcPr>
          <w:p w14:paraId="37262502" w14:textId="77777777" w:rsidR="00D94935" w:rsidRDefault="00D94935" w:rsidP="003A681D">
            <w:pPr>
              <w:pStyle w:val="TableText"/>
              <w:spacing w:before="120" w:after="120"/>
            </w:pPr>
            <w:r>
              <w:t>2606</w:t>
            </w:r>
          </w:p>
        </w:tc>
        <w:tc>
          <w:tcPr>
            <w:tcW w:w="4897" w:type="dxa"/>
          </w:tcPr>
          <w:p w14:paraId="4D669BC3" w14:textId="77777777" w:rsidR="00D94935" w:rsidRDefault="00D94935" w:rsidP="003A681D">
            <w:pPr>
              <w:pStyle w:val="TableText"/>
              <w:spacing w:before="120" w:after="120"/>
            </w:pPr>
            <w:r>
              <w:t>Interpleader—failure to give notice of claim</w:t>
            </w:r>
          </w:p>
        </w:tc>
      </w:tr>
      <w:tr w:rsidR="00D94935" w14:paraId="76D7CEE4" w14:textId="77777777" w:rsidTr="00D825E5">
        <w:tc>
          <w:tcPr>
            <w:tcW w:w="1011" w:type="dxa"/>
          </w:tcPr>
          <w:p w14:paraId="62DDC499" w14:textId="77777777" w:rsidR="00D94935" w:rsidRDefault="00D94935" w:rsidP="003A681D">
            <w:pPr>
              <w:pStyle w:val="TableText"/>
              <w:spacing w:before="120" w:after="120"/>
            </w:pPr>
            <w:r>
              <w:t>42</w:t>
            </w:r>
          </w:p>
        </w:tc>
        <w:tc>
          <w:tcPr>
            <w:tcW w:w="1789" w:type="dxa"/>
          </w:tcPr>
          <w:p w14:paraId="70CC04DC" w14:textId="77777777" w:rsidR="00D94935" w:rsidRDefault="00D94935" w:rsidP="003A681D">
            <w:pPr>
              <w:pStyle w:val="TableText"/>
              <w:spacing w:before="120" w:after="120"/>
            </w:pPr>
            <w:r>
              <w:t>2608</w:t>
            </w:r>
          </w:p>
        </w:tc>
        <w:tc>
          <w:tcPr>
            <w:tcW w:w="4897" w:type="dxa"/>
          </w:tcPr>
          <w:p w14:paraId="5DE35F9C" w14:textId="77777777" w:rsidR="00D94935" w:rsidRDefault="00D94935" w:rsidP="003A681D">
            <w:pPr>
              <w:pStyle w:val="TableText"/>
              <w:spacing w:before="120" w:after="120"/>
            </w:pPr>
            <w:r>
              <w:t>Interpleader—admission of claim</w:t>
            </w:r>
          </w:p>
        </w:tc>
      </w:tr>
      <w:tr w:rsidR="00D94935" w14:paraId="0BE5BD0A" w14:textId="77777777" w:rsidTr="00D825E5">
        <w:tc>
          <w:tcPr>
            <w:tcW w:w="1011" w:type="dxa"/>
          </w:tcPr>
          <w:p w14:paraId="5028FE42" w14:textId="77777777" w:rsidR="00D94935" w:rsidRDefault="00D94935" w:rsidP="003A681D">
            <w:pPr>
              <w:pStyle w:val="TableText"/>
              <w:spacing w:before="120" w:after="120"/>
            </w:pPr>
            <w:r>
              <w:t>43</w:t>
            </w:r>
          </w:p>
        </w:tc>
        <w:tc>
          <w:tcPr>
            <w:tcW w:w="1789" w:type="dxa"/>
          </w:tcPr>
          <w:p w14:paraId="4FAF0683" w14:textId="77777777" w:rsidR="00D94935" w:rsidRDefault="00D94935" w:rsidP="003A681D">
            <w:pPr>
              <w:pStyle w:val="TableText"/>
              <w:spacing w:before="120" w:after="120"/>
            </w:pPr>
            <w:r>
              <w:t>2609</w:t>
            </w:r>
          </w:p>
        </w:tc>
        <w:tc>
          <w:tcPr>
            <w:tcW w:w="4897" w:type="dxa"/>
          </w:tcPr>
          <w:p w14:paraId="0899B5F2" w14:textId="77777777" w:rsidR="00D94935" w:rsidRDefault="00D94935" w:rsidP="003A681D">
            <w:pPr>
              <w:pStyle w:val="TableText"/>
              <w:spacing w:before="120" w:after="120"/>
            </w:pPr>
            <w:r>
              <w:t>Interpleader—enforcement officer’s interpleader application</w:t>
            </w:r>
          </w:p>
        </w:tc>
      </w:tr>
      <w:tr w:rsidR="00D94935" w14:paraId="7D843D37" w14:textId="77777777" w:rsidTr="00D825E5">
        <w:tc>
          <w:tcPr>
            <w:tcW w:w="1011" w:type="dxa"/>
          </w:tcPr>
          <w:p w14:paraId="0791DDFC" w14:textId="77777777" w:rsidR="00D94935" w:rsidRDefault="00D94935" w:rsidP="003A681D">
            <w:pPr>
              <w:pStyle w:val="TableText"/>
              <w:spacing w:before="120" w:after="120"/>
            </w:pPr>
            <w:r>
              <w:t>44</w:t>
            </w:r>
          </w:p>
        </w:tc>
        <w:tc>
          <w:tcPr>
            <w:tcW w:w="1789" w:type="dxa"/>
          </w:tcPr>
          <w:p w14:paraId="01FDCC9D" w14:textId="77777777" w:rsidR="00D94935" w:rsidRDefault="00D94935" w:rsidP="003A681D">
            <w:pPr>
              <w:pStyle w:val="TableText"/>
              <w:spacing w:before="120" w:after="120"/>
            </w:pPr>
            <w:r>
              <w:t>3049, if on the registrar’s report</w:t>
            </w:r>
          </w:p>
        </w:tc>
        <w:tc>
          <w:tcPr>
            <w:tcW w:w="4897" w:type="dxa"/>
          </w:tcPr>
          <w:p w14:paraId="009F6221" w14:textId="77777777" w:rsidR="00D94935" w:rsidRDefault="00D94935" w:rsidP="003A681D">
            <w:pPr>
              <w:pStyle w:val="TableText"/>
              <w:spacing w:before="120" w:after="120"/>
            </w:pPr>
            <w:r>
              <w:t>Administration bond—addition or reduction after required but before given</w:t>
            </w:r>
          </w:p>
        </w:tc>
      </w:tr>
      <w:tr w:rsidR="00D94935" w14:paraId="69E8AEE4" w14:textId="77777777" w:rsidTr="00D825E5">
        <w:tc>
          <w:tcPr>
            <w:tcW w:w="1011" w:type="dxa"/>
          </w:tcPr>
          <w:p w14:paraId="552D64C7" w14:textId="77777777" w:rsidR="00D94935" w:rsidRDefault="00D94935" w:rsidP="003A681D">
            <w:pPr>
              <w:pStyle w:val="TableText"/>
              <w:spacing w:before="120" w:after="120"/>
            </w:pPr>
            <w:r>
              <w:t>45</w:t>
            </w:r>
          </w:p>
        </w:tc>
        <w:tc>
          <w:tcPr>
            <w:tcW w:w="1789" w:type="dxa"/>
          </w:tcPr>
          <w:p w14:paraId="4980126A" w14:textId="77777777" w:rsidR="00D94935" w:rsidRDefault="00D94935" w:rsidP="003A681D">
            <w:pPr>
              <w:pStyle w:val="TableText"/>
              <w:spacing w:before="120" w:after="120"/>
            </w:pPr>
            <w:r>
              <w:t>3050, if on the registrar’s report</w:t>
            </w:r>
          </w:p>
        </w:tc>
        <w:tc>
          <w:tcPr>
            <w:tcW w:w="4897" w:type="dxa"/>
          </w:tcPr>
          <w:p w14:paraId="514F4A78" w14:textId="77777777" w:rsidR="00D94935" w:rsidRDefault="00D94935" w:rsidP="003A681D">
            <w:pPr>
              <w:pStyle w:val="TableText"/>
              <w:spacing w:before="120" w:after="120"/>
            </w:pPr>
            <w:r>
              <w:t>Administration bond—addition or reduction after given</w:t>
            </w:r>
          </w:p>
        </w:tc>
      </w:tr>
      <w:tr w:rsidR="00D94935" w14:paraId="52DFD141" w14:textId="77777777" w:rsidTr="00D825E5">
        <w:tc>
          <w:tcPr>
            <w:tcW w:w="1011" w:type="dxa"/>
          </w:tcPr>
          <w:p w14:paraId="1E8A3DBE" w14:textId="77777777" w:rsidR="00D94935" w:rsidRDefault="00D94935" w:rsidP="003A681D">
            <w:pPr>
              <w:pStyle w:val="TableText"/>
              <w:spacing w:before="120" w:after="120"/>
            </w:pPr>
            <w:r>
              <w:t>46</w:t>
            </w:r>
          </w:p>
        </w:tc>
        <w:tc>
          <w:tcPr>
            <w:tcW w:w="1789" w:type="dxa"/>
          </w:tcPr>
          <w:p w14:paraId="386F5E7E" w14:textId="77777777" w:rsidR="00D94935" w:rsidRDefault="00D94935" w:rsidP="003A681D">
            <w:pPr>
              <w:pStyle w:val="TableText"/>
              <w:spacing w:before="120" w:after="120"/>
            </w:pPr>
            <w:r>
              <w:t xml:space="preserve">3051 </w:t>
            </w:r>
          </w:p>
        </w:tc>
        <w:tc>
          <w:tcPr>
            <w:tcW w:w="4897" w:type="dxa"/>
          </w:tcPr>
          <w:p w14:paraId="2388D1A8" w14:textId="77777777" w:rsidR="00D94935" w:rsidRDefault="00D94935" w:rsidP="003A681D">
            <w:pPr>
              <w:pStyle w:val="TableText"/>
              <w:spacing w:before="120" w:after="120"/>
            </w:pPr>
            <w:r>
              <w:t>Administration bond—proceeding on bond</w:t>
            </w:r>
          </w:p>
        </w:tc>
      </w:tr>
      <w:tr w:rsidR="00D94935" w14:paraId="41675427" w14:textId="77777777" w:rsidTr="00D825E5">
        <w:tc>
          <w:tcPr>
            <w:tcW w:w="1011" w:type="dxa"/>
          </w:tcPr>
          <w:p w14:paraId="6F6B7F6E" w14:textId="77777777" w:rsidR="00D94935" w:rsidRDefault="00D94935" w:rsidP="003A681D">
            <w:pPr>
              <w:pStyle w:val="TableText"/>
              <w:spacing w:before="120" w:after="120"/>
            </w:pPr>
            <w:r>
              <w:t>47</w:t>
            </w:r>
          </w:p>
        </w:tc>
        <w:tc>
          <w:tcPr>
            <w:tcW w:w="1789" w:type="dxa"/>
          </w:tcPr>
          <w:p w14:paraId="0A04907B" w14:textId="77777777" w:rsidR="00D94935" w:rsidRDefault="00D94935" w:rsidP="003A681D">
            <w:pPr>
              <w:pStyle w:val="TableText"/>
              <w:spacing w:before="120" w:after="120"/>
            </w:pPr>
            <w:r>
              <w:t>3052</w:t>
            </w:r>
          </w:p>
        </w:tc>
        <w:tc>
          <w:tcPr>
            <w:tcW w:w="4897" w:type="dxa"/>
          </w:tcPr>
          <w:p w14:paraId="6C27795A" w14:textId="77777777" w:rsidR="00D94935" w:rsidRDefault="00D94935" w:rsidP="003A681D">
            <w:pPr>
              <w:pStyle w:val="TableText"/>
              <w:spacing w:before="120" w:after="120"/>
            </w:pPr>
            <w:r>
              <w:t>Administration bond—application by surety</w:t>
            </w:r>
          </w:p>
        </w:tc>
      </w:tr>
      <w:tr w:rsidR="00D94935" w14:paraId="23867863" w14:textId="77777777" w:rsidTr="00D825E5">
        <w:tc>
          <w:tcPr>
            <w:tcW w:w="1011" w:type="dxa"/>
          </w:tcPr>
          <w:p w14:paraId="341429B8" w14:textId="77777777" w:rsidR="00D94935" w:rsidRDefault="00D94935" w:rsidP="003A681D">
            <w:pPr>
              <w:pStyle w:val="TableText"/>
              <w:spacing w:before="120" w:after="120"/>
            </w:pPr>
            <w:r>
              <w:t>48</w:t>
            </w:r>
          </w:p>
        </w:tc>
        <w:tc>
          <w:tcPr>
            <w:tcW w:w="1789" w:type="dxa"/>
          </w:tcPr>
          <w:p w14:paraId="0491519D" w14:textId="77777777" w:rsidR="00D94935" w:rsidRDefault="00D94935" w:rsidP="003A681D">
            <w:pPr>
              <w:pStyle w:val="TableText"/>
              <w:spacing w:before="120" w:after="120"/>
            </w:pPr>
            <w:r>
              <w:t>3069 (1) to (5)</w:t>
            </w:r>
          </w:p>
        </w:tc>
        <w:tc>
          <w:tcPr>
            <w:tcW w:w="4897" w:type="dxa"/>
          </w:tcPr>
          <w:p w14:paraId="55F49860" w14:textId="77777777" w:rsidR="00D94935" w:rsidRDefault="00D94935" w:rsidP="003A681D">
            <w:pPr>
              <w:pStyle w:val="TableText"/>
              <w:spacing w:before="120" w:after="120"/>
            </w:pPr>
            <w:r>
              <w:t>Caveat—setting aside</w:t>
            </w:r>
          </w:p>
        </w:tc>
      </w:tr>
      <w:tr w:rsidR="00D94935" w14:paraId="193E31ED" w14:textId="77777777" w:rsidTr="00D825E5">
        <w:tc>
          <w:tcPr>
            <w:tcW w:w="1011" w:type="dxa"/>
          </w:tcPr>
          <w:p w14:paraId="78C53BD0" w14:textId="77777777" w:rsidR="00D94935" w:rsidRDefault="00D94935" w:rsidP="003A681D">
            <w:pPr>
              <w:pStyle w:val="TableText"/>
              <w:spacing w:before="120" w:after="120"/>
            </w:pPr>
            <w:r>
              <w:t>49</w:t>
            </w:r>
          </w:p>
        </w:tc>
        <w:tc>
          <w:tcPr>
            <w:tcW w:w="1789" w:type="dxa"/>
          </w:tcPr>
          <w:p w14:paraId="41949033" w14:textId="77777777" w:rsidR="00D94935" w:rsidRDefault="00D94935" w:rsidP="003A681D">
            <w:pPr>
              <w:pStyle w:val="TableText"/>
              <w:spacing w:before="120" w:after="120"/>
            </w:pPr>
            <w:r>
              <w:t>3071</w:t>
            </w:r>
          </w:p>
        </w:tc>
        <w:tc>
          <w:tcPr>
            <w:tcW w:w="4897" w:type="dxa"/>
          </w:tcPr>
          <w:p w14:paraId="7B6CD542" w14:textId="77777777" w:rsidR="00D94935" w:rsidRDefault="00D94935" w:rsidP="003A681D">
            <w:pPr>
              <w:pStyle w:val="TableText"/>
              <w:spacing w:before="120" w:after="120"/>
            </w:pPr>
            <w:r>
              <w:t>Caveat—leave to withdraw</w:t>
            </w:r>
          </w:p>
        </w:tc>
      </w:tr>
      <w:tr w:rsidR="00D94935" w14:paraId="35E0CCD4" w14:textId="77777777" w:rsidTr="00D825E5">
        <w:tc>
          <w:tcPr>
            <w:tcW w:w="1011" w:type="dxa"/>
          </w:tcPr>
          <w:p w14:paraId="020E08C6" w14:textId="77777777" w:rsidR="00D94935" w:rsidRDefault="00D94935" w:rsidP="003A681D">
            <w:pPr>
              <w:pStyle w:val="TableText"/>
              <w:spacing w:before="120" w:after="120"/>
            </w:pPr>
            <w:r>
              <w:t>50</w:t>
            </w:r>
          </w:p>
        </w:tc>
        <w:tc>
          <w:tcPr>
            <w:tcW w:w="1789" w:type="dxa"/>
          </w:tcPr>
          <w:p w14:paraId="6F7345D4" w14:textId="77777777" w:rsidR="00D94935" w:rsidRDefault="00D94935" w:rsidP="003A681D">
            <w:pPr>
              <w:pStyle w:val="TableText"/>
              <w:spacing w:before="120" w:after="120"/>
            </w:pPr>
            <w:r>
              <w:t>3081</w:t>
            </w:r>
          </w:p>
        </w:tc>
        <w:tc>
          <w:tcPr>
            <w:tcW w:w="4897" w:type="dxa"/>
          </w:tcPr>
          <w:p w14:paraId="344AD52C" w14:textId="77777777" w:rsidR="00D94935" w:rsidRDefault="00D94935" w:rsidP="003A681D">
            <w:pPr>
              <w:pStyle w:val="TableText"/>
              <w:spacing w:before="120" w:after="120"/>
            </w:pPr>
            <w:r>
              <w:t>Revocation of grant—application</w:t>
            </w:r>
          </w:p>
        </w:tc>
      </w:tr>
      <w:tr w:rsidR="00D94935" w14:paraId="0B500472" w14:textId="77777777" w:rsidTr="00D825E5">
        <w:tc>
          <w:tcPr>
            <w:tcW w:w="1011" w:type="dxa"/>
          </w:tcPr>
          <w:p w14:paraId="0C1EC4AC" w14:textId="77777777" w:rsidR="00D94935" w:rsidRDefault="00D94935" w:rsidP="003A681D">
            <w:pPr>
              <w:pStyle w:val="TableText"/>
              <w:spacing w:before="120" w:after="120"/>
            </w:pPr>
            <w:r>
              <w:t>51</w:t>
            </w:r>
          </w:p>
        </w:tc>
        <w:tc>
          <w:tcPr>
            <w:tcW w:w="1789" w:type="dxa"/>
          </w:tcPr>
          <w:p w14:paraId="136BC44B" w14:textId="77777777" w:rsidR="00D94935" w:rsidRDefault="00D94935" w:rsidP="003A681D">
            <w:pPr>
              <w:pStyle w:val="TableText"/>
              <w:spacing w:before="120" w:after="120"/>
            </w:pPr>
            <w:r>
              <w:t>3092 (2)</w:t>
            </w:r>
          </w:p>
        </w:tc>
        <w:tc>
          <w:tcPr>
            <w:tcW w:w="4897" w:type="dxa"/>
          </w:tcPr>
          <w:p w14:paraId="28562180" w14:textId="77777777" w:rsidR="00D94935" w:rsidRDefault="00D94935" w:rsidP="003A681D">
            <w:pPr>
              <w:pStyle w:val="TableText"/>
              <w:spacing w:before="120" w:after="120"/>
            </w:pPr>
            <w:r>
              <w:t>Division 3.1.9 proceeding—starting</w:t>
            </w:r>
          </w:p>
        </w:tc>
      </w:tr>
      <w:tr w:rsidR="00D94935" w14:paraId="3DA4934C" w14:textId="77777777" w:rsidTr="00D825E5">
        <w:trPr>
          <w:cantSplit/>
        </w:trPr>
        <w:tc>
          <w:tcPr>
            <w:tcW w:w="1011" w:type="dxa"/>
          </w:tcPr>
          <w:p w14:paraId="17C72DD5" w14:textId="77777777" w:rsidR="00D94935" w:rsidRDefault="00D94935" w:rsidP="003A681D">
            <w:pPr>
              <w:pStyle w:val="TableText"/>
              <w:spacing w:before="120" w:after="120"/>
            </w:pPr>
            <w:r>
              <w:lastRenderedPageBreak/>
              <w:t>52</w:t>
            </w:r>
          </w:p>
        </w:tc>
        <w:tc>
          <w:tcPr>
            <w:tcW w:w="1789" w:type="dxa"/>
          </w:tcPr>
          <w:p w14:paraId="4F36027E" w14:textId="77777777" w:rsidR="00D94935" w:rsidRDefault="00D94935" w:rsidP="003A681D">
            <w:pPr>
              <w:pStyle w:val="TableText"/>
              <w:spacing w:before="120" w:after="120"/>
            </w:pPr>
            <w:r>
              <w:t>3114</w:t>
            </w:r>
          </w:p>
        </w:tc>
        <w:tc>
          <w:tcPr>
            <w:tcW w:w="4897" w:type="dxa"/>
          </w:tcPr>
          <w:p w14:paraId="660A8BDD" w14:textId="56CF5644" w:rsidR="00D94935" w:rsidRDefault="00D94935" w:rsidP="003A681D">
            <w:pPr>
              <w:pStyle w:val="TableText"/>
              <w:spacing w:before="120" w:after="120"/>
            </w:pPr>
            <w:r>
              <w:t>Failure of executor to prove will—</w:t>
            </w:r>
            <w:hyperlink r:id="rId975" w:tooltip="A1929-18" w:history="1">
              <w:r w:rsidRPr="00742E09">
                <w:rPr>
                  <w:rStyle w:val="charCitHyperlinkAbbrev"/>
                </w:rPr>
                <w:t>Administration and Probate Act</w:t>
              </w:r>
            </w:hyperlink>
            <w:r>
              <w:t>, s 25</w:t>
            </w:r>
          </w:p>
        </w:tc>
      </w:tr>
      <w:tr w:rsidR="00D94935" w14:paraId="4FC6A26F" w14:textId="77777777" w:rsidTr="00D825E5">
        <w:tc>
          <w:tcPr>
            <w:tcW w:w="1011" w:type="dxa"/>
          </w:tcPr>
          <w:p w14:paraId="6DB3A7AB" w14:textId="77777777" w:rsidR="00D94935" w:rsidRDefault="00D94935" w:rsidP="003A681D">
            <w:pPr>
              <w:pStyle w:val="TableText"/>
              <w:spacing w:before="120" w:after="120"/>
            </w:pPr>
            <w:r>
              <w:t>53</w:t>
            </w:r>
          </w:p>
        </w:tc>
        <w:tc>
          <w:tcPr>
            <w:tcW w:w="1789" w:type="dxa"/>
          </w:tcPr>
          <w:p w14:paraId="20343BE4" w14:textId="77777777" w:rsidR="00D94935" w:rsidRDefault="00D94935" w:rsidP="003A681D">
            <w:pPr>
              <w:pStyle w:val="TableText"/>
              <w:spacing w:before="120" w:after="120"/>
            </w:pPr>
            <w:r>
              <w:t>3115</w:t>
            </w:r>
          </w:p>
        </w:tc>
        <w:tc>
          <w:tcPr>
            <w:tcW w:w="4897" w:type="dxa"/>
          </w:tcPr>
          <w:p w14:paraId="0EEA5B8B" w14:textId="77777777" w:rsidR="00D94935" w:rsidRDefault="00D94935" w:rsidP="003A681D">
            <w:pPr>
              <w:pStyle w:val="TableText"/>
              <w:spacing w:before="120" w:after="120"/>
            </w:pPr>
            <w:r>
              <w:t>Failure by executor, administrator or trustee to comply with beneficiary’s request etc</w:t>
            </w:r>
          </w:p>
        </w:tc>
      </w:tr>
      <w:tr w:rsidR="00D94935" w14:paraId="51F47683" w14:textId="77777777" w:rsidTr="00D825E5">
        <w:tc>
          <w:tcPr>
            <w:tcW w:w="1011" w:type="dxa"/>
          </w:tcPr>
          <w:p w14:paraId="12526C58" w14:textId="77777777" w:rsidR="00D94935" w:rsidRDefault="00D94935" w:rsidP="003A681D">
            <w:pPr>
              <w:pStyle w:val="TableText"/>
              <w:spacing w:before="120" w:after="120"/>
            </w:pPr>
            <w:r>
              <w:t>54</w:t>
            </w:r>
          </w:p>
        </w:tc>
        <w:tc>
          <w:tcPr>
            <w:tcW w:w="1789" w:type="dxa"/>
          </w:tcPr>
          <w:p w14:paraId="7F1334A5" w14:textId="77777777" w:rsidR="00D94935" w:rsidRDefault="00D94935" w:rsidP="003A681D">
            <w:pPr>
              <w:pStyle w:val="TableText"/>
              <w:spacing w:before="120" w:after="120"/>
            </w:pPr>
            <w:r>
              <w:t>3116</w:t>
            </w:r>
          </w:p>
        </w:tc>
        <w:tc>
          <w:tcPr>
            <w:tcW w:w="4897" w:type="dxa"/>
          </w:tcPr>
          <w:p w14:paraId="1ED7A57D" w14:textId="77777777" w:rsidR="00D94935" w:rsidRDefault="00D94935" w:rsidP="003A681D">
            <w:pPr>
              <w:pStyle w:val="TableText"/>
              <w:spacing w:before="120" w:after="120"/>
            </w:pPr>
            <w:r>
              <w:t>Grant of administration—grant to child</w:t>
            </w:r>
          </w:p>
        </w:tc>
      </w:tr>
      <w:tr w:rsidR="00D94935" w14:paraId="6308FD75" w14:textId="77777777" w:rsidTr="00D825E5">
        <w:tc>
          <w:tcPr>
            <w:tcW w:w="1011" w:type="dxa"/>
          </w:tcPr>
          <w:p w14:paraId="2A737215" w14:textId="77777777" w:rsidR="00D94935" w:rsidRDefault="00D94935" w:rsidP="003A681D">
            <w:pPr>
              <w:pStyle w:val="TableText"/>
              <w:spacing w:before="120" w:after="120"/>
            </w:pPr>
            <w:r>
              <w:t>55</w:t>
            </w:r>
          </w:p>
        </w:tc>
        <w:tc>
          <w:tcPr>
            <w:tcW w:w="1789" w:type="dxa"/>
          </w:tcPr>
          <w:p w14:paraId="29EC5816" w14:textId="77777777" w:rsidR="00D94935" w:rsidRDefault="00D94935" w:rsidP="003A681D">
            <w:pPr>
              <w:pStyle w:val="TableText"/>
              <w:spacing w:before="120" w:after="120"/>
            </w:pPr>
            <w:r>
              <w:t>pt 3.2</w:t>
            </w:r>
          </w:p>
        </w:tc>
        <w:tc>
          <w:tcPr>
            <w:tcW w:w="4897" w:type="dxa"/>
          </w:tcPr>
          <w:p w14:paraId="6AFC1044" w14:textId="77777777" w:rsidR="00D94935" w:rsidRDefault="00D94935" w:rsidP="003A681D">
            <w:pPr>
              <w:pStyle w:val="TableText"/>
              <w:spacing w:before="120" w:after="120"/>
            </w:pPr>
            <w:r>
              <w:t>Adoption</w:t>
            </w:r>
          </w:p>
        </w:tc>
      </w:tr>
      <w:tr w:rsidR="00D94935" w14:paraId="3D710155" w14:textId="77777777" w:rsidTr="00D825E5">
        <w:tc>
          <w:tcPr>
            <w:tcW w:w="1011" w:type="dxa"/>
          </w:tcPr>
          <w:p w14:paraId="6AF05BFA" w14:textId="77777777" w:rsidR="00D94935" w:rsidRDefault="00D94935" w:rsidP="003A681D">
            <w:pPr>
              <w:pStyle w:val="TableText"/>
              <w:spacing w:before="120" w:after="120"/>
            </w:pPr>
            <w:r>
              <w:t>56</w:t>
            </w:r>
          </w:p>
        </w:tc>
        <w:tc>
          <w:tcPr>
            <w:tcW w:w="1789" w:type="dxa"/>
          </w:tcPr>
          <w:p w14:paraId="220563EF" w14:textId="77777777" w:rsidR="00D94935" w:rsidRDefault="00D94935" w:rsidP="003A681D">
            <w:pPr>
              <w:pStyle w:val="TableText"/>
              <w:spacing w:before="120" w:after="120"/>
            </w:pPr>
            <w:r>
              <w:t>pt 3.5</w:t>
            </w:r>
          </w:p>
        </w:tc>
        <w:tc>
          <w:tcPr>
            <w:tcW w:w="4897" w:type="dxa"/>
          </w:tcPr>
          <w:p w14:paraId="43D780B2" w14:textId="77777777" w:rsidR="00D94935" w:rsidRDefault="00D94935" w:rsidP="003A681D">
            <w:pPr>
              <w:pStyle w:val="TableText"/>
              <w:spacing w:before="120" w:after="120"/>
            </w:pPr>
            <w:r>
              <w:t>Cross-vesting</w:t>
            </w:r>
          </w:p>
        </w:tc>
      </w:tr>
      <w:tr w:rsidR="00D94935" w14:paraId="227E788E" w14:textId="77777777" w:rsidTr="00D825E5">
        <w:tc>
          <w:tcPr>
            <w:tcW w:w="1011" w:type="dxa"/>
          </w:tcPr>
          <w:p w14:paraId="334CFD76" w14:textId="77777777" w:rsidR="00D94935" w:rsidRDefault="00D94935" w:rsidP="003A681D">
            <w:pPr>
              <w:pStyle w:val="TableText"/>
              <w:spacing w:before="120" w:after="120"/>
            </w:pPr>
            <w:r>
              <w:t>57</w:t>
            </w:r>
          </w:p>
        </w:tc>
        <w:tc>
          <w:tcPr>
            <w:tcW w:w="1789" w:type="dxa"/>
          </w:tcPr>
          <w:p w14:paraId="2BA45AB4" w14:textId="77777777" w:rsidR="00D94935" w:rsidRDefault="00D94935" w:rsidP="003A681D">
            <w:pPr>
              <w:pStyle w:val="TableText"/>
              <w:spacing w:before="120" w:after="120"/>
            </w:pPr>
            <w:r>
              <w:t>3359</w:t>
            </w:r>
          </w:p>
        </w:tc>
        <w:tc>
          <w:tcPr>
            <w:tcW w:w="4897" w:type="dxa"/>
          </w:tcPr>
          <w:p w14:paraId="5B388621" w14:textId="77777777" w:rsidR="00D94935" w:rsidRDefault="00D94935" w:rsidP="003A681D">
            <w:pPr>
              <w:pStyle w:val="TableText"/>
              <w:spacing w:before="120" w:after="120"/>
            </w:pPr>
            <w:r>
              <w:t>Disputed election—particulars of contested ballot papers</w:t>
            </w:r>
          </w:p>
        </w:tc>
      </w:tr>
      <w:tr w:rsidR="00D94935" w14:paraId="406BC381" w14:textId="77777777" w:rsidTr="00D825E5">
        <w:tc>
          <w:tcPr>
            <w:tcW w:w="1011" w:type="dxa"/>
          </w:tcPr>
          <w:p w14:paraId="68E3ADE2" w14:textId="77777777" w:rsidR="00D94935" w:rsidRDefault="00D94935" w:rsidP="003A681D">
            <w:pPr>
              <w:pStyle w:val="TableText"/>
              <w:spacing w:before="120" w:after="120"/>
            </w:pPr>
            <w:r>
              <w:t>58</w:t>
            </w:r>
          </w:p>
        </w:tc>
        <w:tc>
          <w:tcPr>
            <w:tcW w:w="1789" w:type="dxa"/>
          </w:tcPr>
          <w:p w14:paraId="0192B031" w14:textId="77777777" w:rsidR="00D94935" w:rsidRDefault="00D94935" w:rsidP="003A681D">
            <w:pPr>
              <w:pStyle w:val="TableText"/>
              <w:spacing w:before="120" w:after="120"/>
            </w:pPr>
            <w:r>
              <w:t>3362</w:t>
            </w:r>
          </w:p>
        </w:tc>
        <w:tc>
          <w:tcPr>
            <w:tcW w:w="4897" w:type="dxa"/>
          </w:tcPr>
          <w:p w14:paraId="737DE94A" w14:textId="77777777" w:rsidR="00D94935" w:rsidRDefault="00D94935" w:rsidP="003A681D">
            <w:pPr>
              <w:pStyle w:val="TableText"/>
              <w:spacing w:before="120" w:after="120"/>
            </w:pPr>
            <w:r>
              <w:t>Disputed election—substitution of plaintiff</w:t>
            </w:r>
          </w:p>
        </w:tc>
      </w:tr>
      <w:tr w:rsidR="00D94935" w14:paraId="3AD14AE1" w14:textId="77777777" w:rsidTr="00D825E5">
        <w:tc>
          <w:tcPr>
            <w:tcW w:w="1011" w:type="dxa"/>
          </w:tcPr>
          <w:p w14:paraId="01380867" w14:textId="77777777" w:rsidR="00D94935" w:rsidRDefault="00D94935" w:rsidP="003A681D">
            <w:pPr>
              <w:pStyle w:val="TableText"/>
              <w:spacing w:before="120" w:after="120"/>
            </w:pPr>
            <w:r>
              <w:t>59</w:t>
            </w:r>
          </w:p>
        </w:tc>
        <w:tc>
          <w:tcPr>
            <w:tcW w:w="1789" w:type="dxa"/>
          </w:tcPr>
          <w:p w14:paraId="5DA71768" w14:textId="77777777" w:rsidR="00D94935" w:rsidRDefault="00D94935" w:rsidP="003A681D">
            <w:pPr>
              <w:pStyle w:val="TableText"/>
              <w:spacing w:before="120" w:after="120"/>
              <w:rPr>
                <w:highlight w:val="yellow"/>
              </w:rPr>
            </w:pPr>
            <w:r>
              <w:t>3481</w:t>
            </w:r>
          </w:p>
        </w:tc>
        <w:tc>
          <w:tcPr>
            <w:tcW w:w="4897" w:type="dxa"/>
          </w:tcPr>
          <w:p w14:paraId="6E39CF44" w14:textId="77777777" w:rsidR="00D94935" w:rsidRDefault="00D94935" w:rsidP="003A681D">
            <w:pPr>
              <w:pStyle w:val="TableText"/>
              <w:spacing w:before="120" w:after="120"/>
            </w:pPr>
            <w:r>
              <w:t>Registration of judgment—application to set aside</w:t>
            </w:r>
          </w:p>
        </w:tc>
      </w:tr>
      <w:tr w:rsidR="00D94935" w14:paraId="72EC8A0F" w14:textId="77777777" w:rsidTr="00D825E5">
        <w:tc>
          <w:tcPr>
            <w:tcW w:w="1011" w:type="dxa"/>
          </w:tcPr>
          <w:p w14:paraId="0A32783A" w14:textId="77777777" w:rsidR="00D94935" w:rsidRDefault="00D94935" w:rsidP="003A681D">
            <w:pPr>
              <w:pStyle w:val="TableText"/>
              <w:spacing w:before="120" w:after="120"/>
            </w:pPr>
            <w:r>
              <w:t>60</w:t>
            </w:r>
          </w:p>
        </w:tc>
        <w:tc>
          <w:tcPr>
            <w:tcW w:w="1789" w:type="dxa"/>
          </w:tcPr>
          <w:p w14:paraId="4D3AFE6B" w14:textId="77777777" w:rsidR="00D94935" w:rsidRDefault="00D94935" w:rsidP="003A681D">
            <w:pPr>
              <w:pStyle w:val="TableText"/>
              <w:spacing w:before="120" w:after="120"/>
            </w:pPr>
            <w:r>
              <w:t>pt 3.9</w:t>
            </w:r>
          </w:p>
        </w:tc>
        <w:tc>
          <w:tcPr>
            <w:tcW w:w="4897" w:type="dxa"/>
          </w:tcPr>
          <w:p w14:paraId="6B3F354C" w14:textId="77777777" w:rsidR="00D94935" w:rsidRDefault="00D94935" w:rsidP="003A681D">
            <w:pPr>
              <w:pStyle w:val="TableText"/>
              <w:spacing w:before="120" w:after="120"/>
            </w:pPr>
            <w:r>
              <w:t>Habeas corpus</w:t>
            </w:r>
          </w:p>
        </w:tc>
      </w:tr>
      <w:tr w:rsidR="00D94935" w14:paraId="626C1FF2" w14:textId="77777777" w:rsidTr="00D825E5">
        <w:tc>
          <w:tcPr>
            <w:tcW w:w="1011" w:type="dxa"/>
          </w:tcPr>
          <w:p w14:paraId="77795F8D" w14:textId="77777777" w:rsidR="00D94935" w:rsidRDefault="00D94935" w:rsidP="003A681D">
            <w:pPr>
              <w:pStyle w:val="TableText"/>
              <w:spacing w:before="120" w:after="120"/>
            </w:pPr>
            <w:r>
              <w:t>61</w:t>
            </w:r>
          </w:p>
        </w:tc>
        <w:tc>
          <w:tcPr>
            <w:tcW w:w="1789" w:type="dxa"/>
          </w:tcPr>
          <w:p w14:paraId="0653990A" w14:textId="77777777" w:rsidR="00D94935" w:rsidRDefault="00D94935" w:rsidP="003A681D">
            <w:pPr>
              <w:pStyle w:val="TableText"/>
              <w:spacing w:before="120" w:after="120"/>
            </w:pPr>
            <w:r>
              <w:t>3564</w:t>
            </w:r>
          </w:p>
        </w:tc>
        <w:tc>
          <w:tcPr>
            <w:tcW w:w="4897" w:type="dxa"/>
          </w:tcPr>
          <w:p w14:paraId="5022CF00" w14:textId="77777777" w:rsidR="00D94935" w:rsidRDefault="00D94935" w:rsidP="003A681D">
            <w:pPr>
              <w:pStyle w:val="TableText"/>
              <w:spacing w:before="120" w:after="120"/>
            </w:pPr>
            <w:r>
              <w:t>Judicial review—stay or dismissal of application for statutory order of review on return date</w:t>
            </w:r>
          </w:p>
        </w:tc>
      </w:tr>
      <w:tr w:rsidR="00D94935" w14:paraId="3C4BD252" w14:textId="77777777" w:rsidTr="00D825E5">
        <w:tc>
          <w:tcPr>
            <w:tcW w:w="1011" w:type="dxa"/>
          </w:tcPr>
          <w:p w14:paraId="691264CC" w14:textId="77777777" w:rsidR="00D94935" w:rsidRDefault="00D94935" w:rsidP="003A681D">
            <w:pPr>
              <w:pStyle w:val="TableText"/>
              <w:spacing w:before="120" w:after="120"/>
            </w:pPr>
            <w:r>
              <w:t>62</w:t>
            </w:r>
          </w:p>
        </w:tc>
        <w:tc>
          <w:tcPr>
            <w:tcW w:w="1789" w:type="dxa"/>
          </w:tcPr>
          <w:p w14:paraId="01B1D6CE" w14:textId="77777777" w:rsidR="00D94935" w:rsidRDefault="00D94935" w:rsidP="003A681D">
            <w:pPr>
              <w:pStyle w:val="TableText"/>
              <w:spacing w:before="120" w:after="120"/>
            </w:pPr>
            <w:r>
              <w:t>3566</w:t>
            </w:r>
          </w:p>
        </w:tc>
        <w:tc>
          <w:tcPr>
            <w:tcW w:w="4897" w:type="dxa"/>
          </w:tcPr>
          <w:p w14:paraId="1E8A5782" w14:textId="77777777" w:rsidR="00D94935" w:rsidRDefault="00D94935" w:rsidP="003A681D">
            <w:pPr>
              <w:pStyle w:val="TableText"/>
              <w:spacing w:before="120" w:after="120"/>
            </w:pPr>
            <w:r>
              <w:t>Judicial review—power of the court to stay or dismiss applications in certain circumstances</w:t>
            </w:r>
          </w:p>
        </w:tc>
      </w:tr>
      <w:tr w:rsidR="00A359C0" w14:paraId="58426CB4" w14:textId="77777777" w:rsidTr="00D825E5">
        <w:tc>
          <w:tcPr>
            <w:tcW w:w="1011" w:type="dxa"/>
          </w:tcPr>
          <w:p w14:paraId="739689CA" w14:textId="793FA0FE" w:rsidR="00A359C0" w:rsidRDefault="001866B1" w:rsidP="00A359C0">
            <w:pPr>
              <w:pStyle w:val="TableText"/>
              <w:spacing w:before="120" w:after="120"/>
            </w:pPr>
            <w:r>
              <w:t>63</w:t>
            </w:r>
          </w:p>
        </w:tc>
        <w:tc>
          <w:tcPr>
            <w:tcW w:w="1789" w:type="dxa"/>
          </w:tcPr>
          <w:p w14:paraId="7130F334" w14:textId="664D212E" w:rsidR="00A359C0" w:rsidRDefault="00A359C0" w:rsidP="00A359C0">
            <w:pPr>
              <w:pStyle w:val="TableText"/>
              <w:spacing w:before="120" w:after="120"/>
            </w:pPr>
            <w:r w:rsidRPr="00F13970">
              <w:t>4000D</w:t>
            </w:r>
          </w:p>
        </w:tc>
        <w:tc>
          <w:tcPr>
            <w:tcW w:w="4897" w:type="dxa"/>
          </w:tcPr>
          <w:p w14:paraId="7DEF1696" w14:textId="37FED9AC" w:rsidR="00A359C0" w:rsidRDefault="00A359C0" w:rsidP="00A359C0">
            <w:pPr>
              <w:pStyle w:val="TableText"/>
              <w:spacing w:before="120" w:after="120"/>
            </w:pPr>
            <w:r w:rsidRPr="00F13970">
              <w:t>Criminal proceedings—withdrawal of solicitor</w:t>
            </w:r>
          </w:p>
        </w:tc>
      </w:tr>
      <w:tr w:rsidR="00A359C0" w14:paraId="06EE8E57" w14:textId="77777777" w:rsidTr="00D825E5">
        <w:tc>
          <w:tcPr>
            <w:tcW w:w="1011" w:type="dxa"/>
          </w:tcPr>
          <w:p w14:paraId="6B2E2B2E" w14:textId="2F88883F" w:rsidR="00A359C0" w:rsidRDefault="001866B1" w:rsidP="00A359C0">
            <w:pPr>
              <w:pStyle w:val="TableText"/>
              <w:spacing w:before="120" w:after="120"/>
            </w:pPr>
            <w:r>
              <w:t>64</w:t>
            </w:r>
          </w:p>
        </w:tc>
        <w:tc>
          <w:tcPr>
            <w:tcW w:w="1789" w:type="dxa"/>
          </w:tcPr>
          <w:p w14:paraId="653B7021" w14:textId="37122FA1" w:rsidR="00A359C0" w:rsidRDefault="00A359C0" w:rsidP="00A359C0">
            <w:pPr>
              <w:pStyle w:val="TableText"/>
              <w:spacing w:before="120" w:after="120"/>
            </w:pPr>
            <w:r w:rsidRPr="00F13970">
              <w:t>4000E</w:t>
            </w:r>
          </w:p>
        </w:tc>
        <w:tc>
          <w:tcPr>
            <w:tcW w:w="4897" w:type="dxa"/>
          </w:tcPr>
          <w:p w14:paraId="34499BE6" w14:textId="4FB9FEDE" w:rsidR="00A359C0" w:rsidRDefault="00A359C0" w:rsidP="00A359C0">
            <w:pPr>
              <w:pStyle w:val="TableText"/>
              <w:spacing w:before="120" w:after="120"/>
            </w:pPr>
            <w:r w:rsidRPr="00F13970">
              <w:t>Criminal proceedings—removal of solicitor by court</w:t>
            </w:r>
          </w:p>
        </w:tc>
      </w:tr>
      <w:tr w:rsidR="00D94935" w14:paraId="37A05456" w14:textId="77777777" w:rsidTr="00D825E5">
        <w:tc>
          <w:tcPr>
            <w:tcW w:w="1011" w:type="dxa"/>
          </w:tcPr>
          <w:p w14:paraId="43D07831" w14:textId="54ADBFB6" w:rsidR="00D94935" w:rsidRDefault="00D94935" w:rsidP="003A681D">
            <w:pPr>
              <w:pStyle w:val="TableText"/>
              <w:spacing w:before="120" w:after="120"/>
            </w:pPr>
            <w:r>
              <w:lastRenderedPageBreak/>
              <w:t>6</w:t>
            </w:r>
            <w:r w:rsidR="001866B1">
              <w:t>5</w:t>
            </w:r>
          </w:p>
        </w:tc>
        <w:tc>
          <w:tcPr>
            <w:tcW w:w="1789" w:type="dxa"/>
          </w:tcPr>
          <w:p w14:paraId="2F9FD8ED" w14:textId="77777777" w:rsidR="00D94935" w:rsidRDefault="00D94935" w:rsidP="003A681D">
            <w:pPr>
              <w:pStyle w:val="TableText"/>
              <w:spacing w:before="120" w:after="120"/>
            </w:pPr>
            <w:r>
              <w:t>4020</w:t>
            </w:r>
          </w:p>
        </w:tc>
        <w:tc>
          <w:tcPr>
            <w:tcW w:w="4897" w:type="dxa"/>
          </w:tcPr>
          <w:p w14:paraId="2251CFDF" w14:textId="77777777" w:rsidR="00D94935" w:rsidRDefault="00D94935" w:rsidP="003A681D">
            <w:pPr>
              <w:pStyle w:val="TableText"/>
              <w:spacing w:before="120" w:after="120"/>
            </w:pPr>
            <w:r>
              <w:t>Criminal proceedings—failure of individual to comply with subpoena etc</w:t>
            </w:r>
          </w:p>
        </w:tc>
      </w:tr>
      <w:tr w:rsidR="00D94935" w14:paraId="2D0018EC" w14:textId="77777777" w:rsidTr="00D825E5">
        <w:tc>
          <w:tcPr>
            <w:tcW w:w="1011" w:type="dxa"/>
          </w:tcPr>
          <w:p w14:paraId="1CD0352C" w14:textId="326AB00E" w:rsidR="00D94935" w:rsidRDefault="00D94935" w:rsidP="003A681D">
            <w:pPr>
              <w:pStyle w:val="TableText"/>
              <w:spacing w:before="120" w:after="120"/>
            </w:pPr>
            <w:r>
              <w:t>6</w:t>
            </w:r>
            <w:r w:rsidR="001866B1">
              <w:t>6</w:t>
            </w:r>
          </w:p>
        </w:tc>
        <w:tc>
          <w:tcPr>
            <w:tcW w:w="1789" w:type="dxa"/>
          </w:tcPr>
          <w:p w14:paraId="7A9488DC" w14:textId="77777777" w:rsidR="00D94935" w:rsidRDefault="00D94935" w:rsidP="003A681D">
            <w:pPr>
              <w:pStyle w:val="TableText"/>
              <w:spacing w:before="120" w:after="120"/>
            </w:pPr>
            <w:r>
              <w:t>4021</w:t>
            </w:r>
          </w:p>
        </w:tc>
        <w:tc>
          <w:tcPr>
            <w:tcW w:w="4897" w:type="dxa"/>
          </w:tcPr>
          <w:p w14:paraId="2F5362BF" w14:textId="77777777" w:rsidR="00D94935" w:rsidRDefault="00D94935" w:rsidP="003A681D">
            <w:pPr>
              <w:pStyle w:val="TableText"/>
              <w:spacing w:before="120" w:after="120"/>
            </w:pPr>
            <w:r>
              <w:t>Criminal proceedings—failure of corporation to comply with subpoena etc</w:t>
            </w:r>
          </w:p>
        </w:tc>
      </w:tr>
      <w:tr w:rsidR="00D94935" w14:paraId="5123270A" w14:textId="77777777" w:rsidTr="00D825E5">
        <w:tc>
          <w:tcPr>
            <w:tcW w:w="1011" w:type="dxa"/>
          </w:tcPr>
          <w:p w14:paraId="77C8DFE9" w14:textId="4E7B4F95" w:rsidR="00D94935" w:rsidRDefault="00D94935" w:rsidP="003A681D">
            <w:pPr>
              <w:pStyle w:val="TableText"/>
              <w:spacing w:before="120" w:after="120"/>
            </w:pPr>
            <w:r>
              <w:t>6</w:t>
            </w:r>
            <w:r w:rsidR="001866B1">
              <w:t>7</w:t>
            </w:r>
          </w:p>
        </w:tc>
        <w:tc>
          <w:tcPr>
            <w:tcW w:w="1789" w:type="dxa"/>
          </w:tcPr>
          <w:p w14:paraId="7042E71A" w14:textId="77777777" w:rsidR="00D94935" w:rsidRDefault="00FE430C" w:rsidP="003A681D">
            <w:pPr>
              <w:pStyle w:val="TableText"/>
              <w:spacing w:before="120" w:after="120"/>
            </w:pPr>
            <w:r w:rsidRPr="00892969">
              <w:t>4050 (1) (b)</w:t>
            </w:r>
          </w:p>
        </w:tc>
        <w:tc>
          <w:tcPr>
            <w:tcW w:w="4897" w:type="dxa"/>
          </w:tcPr>
          <w:p w14:paraId="51A8BB38" w14:textId="77777777" w:rsidR="00D94935" w:rsidRDefault="00D94935" w:rsidP="003A681D">
            <w:pPr>
              <w:pStyle w:val="TableText"/>
              <w:spacing w:before="120" w:after="120"/>
            </w:pPr>
            <w:r>
              <w:t>Criminal proceedings—production of person in custody</w:t>
            </w:r>
          </w:p>
        </w:tc>
      </w:tr>
      <w:tr w:rsidR="00D94935" w14:paraId="4CA07B97" w14:textId="77777777" w:rsidTr="00D825E5">
        <w:tc>
          <w:tcPr>
            <w:tcW w:w="1011" w:type="dxa"/>
          </w:tcPr>
          <w:p w14:paraId="7DFCCDB6" w14:textId="77777777" w:rsidR="00D94935" w:rsidRDefault="00D94935" w:rsidP="003A681D">
            <w:pPr>
              <w:pStyle w:val="TableText"/>
              <w:spacing w:before="120" w:after="120"/>
            </w:pPr>
            <w:r>
              <w:t>68</w:t>
            </w:r>
          </w:p>
        </w:tc>
        <w:tc>
          <w:tcPr>
            <w:tcW w:w="1789" w:type="dxa"/>
          </w:tcPr>
          <w:p w14:paraId="666CCD7B" w14:textId="77777777" w:rsidR="00D94935" w:rsidRDefault="00D94935" w:rsidP="003A681D">
            <w:pPr>
              <w:pStyle w:val="TableText"/>
              <w:spacing w:before="120" w:after="120"/>
            </w:pPr>
            <w:r>
              <w:t>4721</w:t>
            </w:r>
          </w:p>
        </w:tc>
        <w:tc>
          <w:tcPr>
            <w:tcW w:w="4897" w:type="dxa"/>
          </w:tcPr>
          <w:p w14:paraId="7713C604" w14:textId="77777777" w:rsidR="00D94935" w:rsidRDefault="00D94935" w:rsidP="003A681D">
            <w:pPr>
              <w:pStyle w:val="TableText"/>
              <w:spacing w:before="120" w:after="120"/>
            </w:pPr>
            <w:r>
              <w:t>Supreme Court bail application in relation to accused person</w:t>
            </w:r>
          </w:p>
        </w:tc>
      </w:tr>
      <w:tr w:rsidR="00D94935" w14:paraId="2A68D4DA" w14:textId="77777777" w:rsidTr="00D825E5">
        <w:tc>
          <w:tcPr>
            <w:tcW w:w="1011" w:type="dxa"/>
          </w:tcPr>
          <w:p w14:paraId="43B23EAD" w14:textId="77777777" w:rsidR="00D94935" w:rsidRDefault="00D94935" w:rsidP="003A681D">
            <w:pPr>
              <w:pStyle w:val="TableText"/>
              <w:spacing w:before="120" w:after="120"/>
            </w:pPr>
            <w:r>
              <w:t>69</w:t>
            </w:r>
          </w:p>
        </w:tc>
        <w:tc>
          <w:tcPr>
            <w:tcW w:w="1789" w:type="dxa"/>
          </w:tcPr>
          <w:p w14:paraId="281B3F20" w14:textId="77777777" w:rsidR="00D94935" w:rsidRDefault="00D94935" w:rsidP="003A681D">
            <w:pPr>
              <w:pStyle w:val="TableText"/>
              <w:spacing w:before="120" w:after="120"/>
            </w:pPr>
            <w:r>
              <w:t>4722</w:t>
            </w:r>
          </w:p>
        </w:tc>
        <w:tc>
          <w:tcPr>
            <w:tcW w:w="4897" w:type="dxa"/>
          </w:tcPr>
          <w:p w14:paraId="38518505" w14:textId="77777777" w:rsidR="00D94935" w:rsidRDefault="00D94935" w:rsidP="003A681D">
            <w:pPr>
              <w:pStyle w:val="TableText"/>
              <w:spacing w:before="120" w:after="120"/>
            </w:pPr>
            <w:r>
              <w:t>Supreme Court bail application by informant</w:t>
            </w:r>
          </w:p>
        </w:tc>
      </w:tr>
      <w:tr w:rsidR="00D94935" w14:paraId="5690A97A" w14:textId="77777777" w:rsidTr="00D825E5">
        <w:tc>
          <w:tcPr>
            <w:tcW w:w="1011" w:type="dxa"/>
          </w:tcPr>
          <w:p w14:paraId="12BA8657" w14:textId="77777777" w:rsidR="00D94935" w:rsidRPr="002B175D" w:rsidRDefault="00D94935" w:rsidP="003A681D">
            <w:pPr>
              <w:pStyle w:val="TableText"/>
              <w:keepNext/>
              <w:spacing w:before="120" w:after="120"/>
            </w:pPr>
            <w:r>
              <w:t>70</w:t>
            </w:r>
          </w:p>
        </w:tc>
        <w:tc>
          <w:tcPr>
            <w:tcW w:w="1789" w:type="dxa"/>
          </w:tcPr>
          <w:p w14:paraId="18C0749A" w14:textId="77777777" w:rsidR="00D94935" w:rsidRPr="002B175D" w:rsidRDefault="00D94935" w:rsidP="003A681D">
            <w:pPr>
              <w:pStyle w:val="TableText"/>
              <w:keepNext/>
              <w:spacing w:before="120" w:after="120"/>
            </w:pPr>
            <w:r w:rsidRPr="002B175D">
              <w:t>4723</w:t>
            </w:r>
          </w:p>
        </w:tc>
        <w:tc>
          <w:tcPr>
            <w:tcW w:w="4897" w:type="dxa"/>
          </w:tcPr>
          <w:p w14:paraId="2A45E5E1" w14:textId="77777777" w:rsidR="00D94935" w:rsidRPr="002B175D" w:rsidRDefault="00D94935" w:rsidP="003A681D">
            <w:pPr>
              <w:pStyle w:val="TableText"/>
              <w:keepNext/>
              <w:spacing w:before="120" w:after="120"/>
            </w:pPr>
            <w:r w:rsidRPr="002B175D">
              <w:t>Supreme Court application for review of bail by unrepresented accused person</w:t>
            </w:r>
          </w:p>
        </w:tc>
      </w:tr>
      <w:tr w:rsidR="00D94935" w14:paraId="5AD2E0FC" w14:textId="77777777" w:rsidTr="00D825E5">
        <w:tc>
          <w:tcPr>
            <w:tcW w:w="1011" w:type="dxa"/>
          </w:tcPr>
          <w:p w14:paraId="06C284C4" w14:textId="77777777" w:rsidR="00D94935" w:rsidRDefault="00D94935" w:rsidP="003A681D">
            <w:pPr>
              <w:pStyle w:val="TableText"/>
              <w:spacing w:before="120" w:after="120"/>
            </w:pPr>
            <w:r>
              <w:t>71</w:t>
            </w:r>
          </w:p>
        </w:tc>
        <w:tc>
          <w:tcPr>
            <w:tcW w:w="1789" w:type="dxa"/>
          </w:tcPr>
          <w:p w14:paraId="6F6C05B4" w14:textId="77777777" w:rsidR="00D94935" w:rsidRDefault="00D94935" w:rsidP="003A681D">
            <w:pPr>
              <w:pStyle w:val="TableText"/>
              <w:spacing w:before="120" w:after="120"/>
            </w:pPr>
            <w:r>
              <w:t>4750</w:t>
            </w:r>
          </w:p>
        </w:tc>
        <w:tc>
          <w:tcPr>
            <w:tcW w:w="4897" w:type="dxa"/>
          </w:tcPr>
          <w:p w14:paraId="1E23B491" w14:textId="77777777" w:rsidR="00D94935" w:rsidRDefault="00D94935" w:rsidP="003A681D">
            <w:pPr>
              <w:pStyle w:val="TableText"/>
              <w:spacing w:before="120" w:after="120"/>
            </w:pPr>
            <w:r>
              <w:t>Supreme Court criminal proceedings—application to set aside or stay proceeding</w:t>
            </w:r>
          </w:p>
        </w:tc>
      </w:tr>
      <w:tr w:rsidR="00D94935" w14:paraId="39C62499" w14:textId="77777777" w:rsidTr="00D825E5">
        <w:tc>
          <w:tcPr>
            <w:tcW w:w="1011" w:type="dxa"/>
          </w:tcPr>
          <w:p w14:paraId="670E1A3B" w14:textId="77777777" w:rsidR="00D94935" w:rsidRDefault="00D94935" w:rsidP="003A681D">
            <w:pPr>
              <w:pStyle w:val="TableText"/>
              <w:spacing w:before="120" w:after="120"/>
            </w:pPr>
            <w:r>
              <w:t>72</w:t>
            </w:r>
          </w:p>
        </w:tc>
        <w:tc>
          <w:tcPr>
            <w:tcW w:w="1789" w:type="dxa"/>
          </w:tcPr>
          <w:p w14:paraId="23113ED9" w14:textId="77777777" w:rsidR="00D94935" w:rsidRDefault="00D94935" w:rsidP="003A681D">
            <w:pPr>
              <w:pStyle w:val="TableText"/>
              <w:spacing w:before="120" w:after="120"/>
            </w:pPr>
            <w:r>
              <w:t>4751</w:t>
            </w:r>
          </w:p>
        </w:tc>
        <w:tc>
          <w:tcPr>
            <w:tcW w:w="4897" w:type="dxa"/>
          </w:tcPr>
          <w:p w14:paraId="67A4D682" w14:textId="77777777" w:rsidR="00D94935" w:rsidRDefault="00D94935" w:rsidP="003A681D">
            <w:pPr>
              <w:pStyle w:val="TableText"/>
              <w:spacing w:before="120" w:after="120"/>
            </w:pPr>
            <w:r>
              <w:t>Supreme Court criminal proceedings—application for separate trials</w:t>
            </w:r>
          </w:p>
        </w:tc>
      </w:tr>
      <w:tr w:rsidR="00D94935" w14:paraId="0E5A9E64" w14:textId="77777777" w:rsidTr="00D825E5">
        <w:tc>
          <w:tcPr>
            <w:tcW w:w="1011" w:type="dxa"/>
          </w:tcPr>
          <w:p w14:paraId="0176E697" w14:textId="77777777" w:rsidR="00D94935" w:rsidRDefault="00D94935" w:rsidP="003A681D">
            <w:pPr>
              <w:pStyle w:val="TableText"/>
              <w:spacing w:before="120" w:after="120"/>
            </w:pPr>
            <w:r>
              <w:t>73</w:t>
            </w:r>
          </w:p>
        </w:tc>
        <w:tc>
          <w:tcPr>
            <w:tcW w:w="1789" w:type="dxa"/>
          </w:tcPr>
          <w:p w14:paraId="4978DCA3" w14:textId="77777777" w:rsidR="00D94935" w:rsidRDefault="00D94935" w:rsidP="003A681D">
            <w:pPr>
              <w:pStyle w:val="TableText"/>
              <w:spacing w:before="120" w:after="120"/>
            </w:pPr>
            <w:r>
              <w:t>4752</w:t>
            </w:r>
          </w:p>
        </w:tc>
        <w:tc>
          <w:tcPr>
            <w:tcW w:w="4897" w:type="dxa"/>
          </w:tcPr>
          <w:p w14:paraId="3CB53262" w14:textId="77777777" w:rsidR="00D94935" w:rsidRDefault="00D94935" w:rsidP="003A681D">
            <w:pPr>
              <w:pStyle w:val="TableText"/>
              <w:spacing w:before="120" w:after="120"/>
            </w:pPr>
            <w:r>
              <w:t>Supreme Court criminal proceedings—other pre-trial applications</w:t>
            </w:r>
          </w:p>
        </w:tc>
      </w:tr>
      <w:tr w:rsidR="00D94935" w14:paraId="4EA6DE43" w14:textId="77777777" w:rsidTr="00D825E5">
        <w:tc>
          <w:tcPr>
            <w:tcW w:w="1011" w:type="dxa"/>
          </w:tcPr>
          <w:p w14:paraId="457B0C10" w14:textId="77777777" w:rsidR="00D94935" w:rsidRDefault="00D94935" w:rsidP="003A681D">
            <w:pPr>
              <w:pStyle w:val="TableText"/>
              <w:spacing w:before="120" w:after="120"/>
            </w:pPr>
            <w:r>
              <w:t>74</w:t>
            </w:r>
          </w:p>
        </w:tc>
        <w:tc>
          <w:tcPr>
            <w:tcW w:w="1789" w:type="dxa"/>
          </w:tcPr>
          <w:p w14:paraId="1C8AA253" w14:textId="77777777" w:rsidR="00D94935" w:rsidRDefault="00D94935" w:rsidP="003A681D">
            <w:pPr>
              <w:pStyle w:val="TableText"/>
              <w:spacing w:before="120" w:after="120"/>
            </w:pPr>
            <w:r>
              <w:t>part 5.2</w:t>
            </w:r>
          </w:p>
        </w:tc>
        <w:tc>
          <w:tcPr>
            <w:tcW w:w="4897" w:type="dxa"/>
          </w:tcPr>
          <w:p w14:paraId="0D81FBD5" w14:textId="77777777" w:rsidR="00D94935" w:rsidRDefault="00D94935" w:rsidP="003A681D">
            <w:pPr>
              <w:pStyle w:val="TableText"/>
              <w:spacing w:before="120" w:after="120"/>
            </w:pPr>
            <w:r>
              <w:t>Appeals from registrar</w:t>
            </w:r>
          </w:p>
        </w:tc>
      </w:tr>
      <w:tr w:rsidR="00D94935" w14:paraId="4FCDB960" w14:textId="77777777" w:rsidTr="00D825E5">
        <w:tc>
          <w:tcPr>
            <w:tcW w:w="1011" w:type="dxa"/>
          </w:tcPr>
          <w:p w14:paraId="72A99FE8" w14:textId="77777777" w:rsidR="00D94935" w:rsidRDefault="00D94935" w:rsidP="003A681D">
            <w:pPr>
              <w:pStyle w:val="TableText"/>
              <w:spacing w:before="120" w:after="120"/>
            </w:pPr>
            <w:r>
              <w:t>75</w:t>
            </w:r>
          </w:p>
        </w:tc>
        <w:tc>
          <w:tcPr>
            <w:tcW w:w="1789" w:type="dxa"/>
          </w:tcPr>
          <w:p w14:paraId="706872E0" w14:textId="77777777" w:rsidR="00D94935" w:rsidRDefault="00D94935" w:rsidP="003A681D">
            <w:pPr>
              <w:pStyle w:val="TableText"/>
              <w:spacing w:before="120" w:after="120"/>
            </w:pPr>
            <w:r>
              <w:t>5054</w:t>
            </w:r>
          </w:p>
        </w:tc>
        <w:tc>
          <w:tcPr>
            <w:tcW w:w="4897" w:type="dxa"/>
          </w:tcPr>
          <w:p w14:paraId="720BF548" w14:textId="77777777" w:rsidR="00D94935" w:rsidRDefault="00D94935" w:rsidP="003A681D">
            <w:pPr>
              <w:pStyle w:val="TableText"/>
              <w:spacing w:before="120" w:after="120"/>
            </w:pPr>
            <w:r>
              <w:t>Appeals to Supreme Court—stay and reinstatement</w:t>
            </w:r>
          </w:p>
        </w:tc>
      </w:tr>
      <w:tr w:rsidR="00D94935" w14:paraId="1A2BC074" w14:textId="77777777" w:rsidTr="00D825E5">
        <w:tc>
          <w:tcPr>
            <w:tcW w:w="1011" w:type="dxa"/>
          </w:tcPr>
          <w:p w14:paraId="224D7936" w14:textId="77777777" w:rsidR="00D94935" w:rsidRDefault="00D94935" w:rsidP="003A681D">
            <w:pPr>
              <w:pStyle w:val="TableText"/>
              <w:spacing w:before="120" w:after="120"/>
            </w:pPr>
            <w:r>
              <w:t>76</w:t>
            </w:r>
          </w:p>
        </w:tc>
        <w:tc>
          <w:tcPr>
            <w:tcW w:w="1789" w:type="dxa"/>
          </w:tcPr>
          <w:p w14:paraId="112FBE39" w14:textId="77777777" w:rsidR="00D94935" w:rsidRDefault="00D94935" w:rsidP="003A681D">
            <w:pPr>
              <w:pStyle w:val="TableText"/>
              <w:spacing w:before="120" w:after="120"/>
            </w:pPr>
            <w:r>
              <w:t>5055</w:t>
            </w:r>
          </w:p>
        </w:tc>
        <w:tc>
          <w:tcPr>
            <w:tcW w:w="4897" w:type="dxa"/>
          </w:tcPr>
          <w:p w14:paraId="6FA14D9F" w14:textId="77777777" w:rsidR="00D94935" w:rsidRDefault="00D94935" w:rsidP="003A681D">
            <w:pPr>
              <w:pStyle w:val="TableText"/>
              <w:spacing w:before="120" w:after="120"/>
            </w:pPr>
            <w:r>
              <w:t>Appeals to Supreme Court—security for costs</w:t>
            </w:r>
          </w:p>
        </w:tc>
      </w:tr>
      <w:tr w:rsidR="00D94935" w14:paraId="0D0186BB" w14:textId="77777777" w:rsidTr="00D825E5">
        <w:tc>
          <w:tcPr>
            <w:tcW w:w="1011" w:type="dxa"/>
          </w:tcPr>
          <w:p w14:paraId="1B82E701" w14:textId="77777777" w:rsidR="00D94935" w:rsidRDefault="00D94935" w:rsidP="003A681D">
            <w:pPr>
              <w:pStyle w:val="TableText"/>
              <w:spacing w:before="120" w:after="120"/>
            </w:pPr>
            <w:r>
              <w:lastRenderedPageBreak/>
              <w:t>77</w:t>
            </w:r>
          </w:p>
        </w:tc>
        <w:tc>
          <w:tcPr>
            <w:tcW w:w="1789" w:type="dxa"/>
          </w:tcPr>
          <w:p w14:paraId="07E4C212" w14:textId="77777777" w:rsidR="00D94935" w:rsidRDefault="00D94935" w:rsidP="003A681D">
            <w:pPr>
              <w:pStyle w:val="TableText"/>
              <w:spacing w:before="120" w:after="120"/>
            </w:pPr>
            <w:r>
              <w:t>div 5.3.2</w:t>
            </w:r>
          </w:p>
        </w:tc>
        <w:tc>
          <w:tcPr>
            <w:tcW w:w="4897" w:type="dxa"/>
          </w:tcPr>
          <w:p w14:paraId="6DF5E28F" w14:textId="77777777" w:rsidR="00D94935" w:rsidRDefault="00D94935" w:rsidP="003A681D">
            <w:pPr>
              <w:pStyle w:val="TableText"/>
              <w:spacing w:before="120" w:after="120"/>
            </w:pPr>
            <w:r>
              <w:t>Appeals to Supreme Court—leave to appeal</w:t>
            </w:r>
          </w:p>
        </w:tc>
      </w:tr>
      <w:tr w:rsidR="00D94935" w14:paraId="1ECC2B87" w14:textId="77777777" w:rsidTr="00D825E5">
        <w:tc>
          <w:tcPr>
            <w:tcW w:w="1011" w:type="dxa"/>
          </w:tcPr>
          <w:p w14:paraId="0E9A744D" w14:textId="77777777" w:rsidR="00D94935" w:rsidRDefault="00D94935" w:rsidP="003A681D">
            <w:pPr>
              <w:pStyle w:val="TableText"/>
              <w:spacing w:before="120" w:after="120"/>
            </w:pPr>
            <w:r>
              <w:t>78</w:t>
            </w:r>
          </w:p>
        </w:tc>
        <w:tc>
          <w:tcPr>
            <w:tcW w:w="1789" w:type="dxa"/>
          </w:tcPr>
          <w:p w14:paraId="566C6292" w14:textId="77777777" w:rsidR="00D94935" w:rsidRDefault="00D94935" w:rsidP="003A681D">
            <w:pPr>
              <w:pStyle w:val="TableText"/>
              <w:spacing w:before="120" w:after="120"/>
            </w:pPr>
            <w:r>
              <w:t>div 5.3.3</w:t>
            </w:r>
          </w:p>
        </w:tc>
        <w:tc>
          <w:tcPr>
            <w:tcW w:w="4897" w:type="dxa"/>
          </w:tcPr>
          <w:p w14:paraId="170E6883" w14:textId="77777777" w:rsidR="00D94935" w:rsidRDefault="00D94935" w:rsidP="003A681D">
            <w:pPr>
              <w:pStyle w:val="TableText"/>
              <w:spacing w:before="120" w:after="120"/>
            </w:pPr>
            <w:r>
              <w:t>Appeals to Supreme Court—leave to appeal out of time</w:t>
            </w:r>
          </w:p>
        </w:tc>
      </w:tr>
      <w:tr w:rsidR="00D94935" w14:paraId="268C3ECB" w14:textId="77777777" w:rsidTr="00D825E5">
        <w:tc>
          <w:tcPr>
            <w:tcW w:w="1011" w:type="dxa"/>
          </w:tcPr>
          <w:p w14:paraId="19AEADE4" w14:textId="77777777" w:rsidR="00D94935" w:rsidRDefault="00D94935" w:rsidP="003A681D">
            <w:pPr>
              <w:pStyle w:val="TableText"/>
              <w:spacing w:before="120" w:after="120"/>
            </w:pPr>
            <w:r>
              <w:t>79</w:t>
            </w:r>
          </w:p>
        </w:tc>
        <w:tc>
          <w:tcPr>
            <w:tcW w:w="1789" w:type="dxa"/>
          </w:tcPr>
          <w:p w14:paraId="5D51C11E" w14:textId="77777777" w:rsidR="00D94935" w:rsidRDefault="00D94935" w:rsidP="003A681D">
            <w:pPr>
              <w:pStyle w:val="TableText"/>
              <w:spacing w:before="120" w:after="120"/>
            </w:pPr>
            <w:r>
              <w:t>5101</w:t>
            </w:r>
          </w:p>
        </w:tc>
        <w:tc>
          <w:tcPr>
            <w:tcW w:w="4897" w:type="dxa"/>
          </w:tcPr>
          <w:p w14:paraId="246A8C11" w14:textId="77777777" w:rsidR="00D94935" w:rsidRDefault="00D94935" w:rsidP="003A681D">
            <w:pPr>
              <w:pStyle w:val="TableText"/>
              <w:spacing w:before="120" w:after="120"/>
            </w:pPr>
            <w:r>
              <w:t>Appeals to Supreme Court—requirements for notice of appeal etc</w:t>
            </w:r>
          </w:p>
        </w:tc>
      </w:tr>
      <w:tr w:rsidR="00D94935" w14:paraId="0CE762EB" w14:textId="77777777" w:rsidTr="00D825E5">
        <w:tc>
          <w:tcPr>
            <w:tcW w:w="1011" w:type="dxa"/>
          </w:tcPr>
          <w:p w14:paraId="6D51CAAF" w14:textId="77777777" w:rsidR="00D94935" w:rsidRDefault="00D94935" w:rsidP="003A681D">
            <w:pPr>
              <w:pStyle w:val="TableText"/>
              <w:spacing w:before="120" w:after="120"/>
            </w:pPr>
            <w:r>
              <w:t>80</w:t>
            </w:r>
          </w:p>
        </w:tc>
        <w:tc>
          <w:tcPr>
            <w:tcW w:w="1789" w:type="dxa"/>
          </w:tcPr>
          <w:p w14:paraId="75D98CB7" w14:textId="77777777" w:rsidR="00D94935" w:rsidRDefault="00D94935" w:rsidP="003A681D">
            <w:pPr>
              <w:pStyle w:val="TableText"/>
              <w:spacing w:before="120" w:after="120"/>
            </w:pPr>
            <w:r>
              <w:t>5112</w:t>
            </w:r>
          </w:p>
        </w:tc>
        <w:tc>
          <w:tcPr>
            <w:tcW w:w="4897" w:type="dxa"/>
          </w:tcPr>
          <w:p w14:paraId="35F82D1C" w14:textId="77777777" w:rsidR="00D94935" w:rsidRDefault="00D94935" w:rsidP="003A681D">
            <w:pPr>
              <w:pStyle w:val="TableText"/>
              <w:spacing w:before="120" w:after="120"/>
            </w:pPr>
            <w:r>
              <w:t>Appeals to Supreme Court—cross-appeal</w:t>
            </w:r>
          </w:p>
        </w:tc>
      </w:tr>
      <w:tr w:rsidR="00D94935" w14:paraId="732A6CD0" w14:textId="77777777" w:rsidTr="00D825E5">
        <w:tc>
          <w:tcPr>
            <w:tcW w:w="1011" w:type="dxa"/>
          </w:tcPr>
          <w:p w14:paraId="23CA7963" w14:textId="77777777" w:rsidR="00D94935" w:rsidRDefault="00D94935" w:rsidP="003A681D">
            <w:pPr>
              <w:pStyle w:val="TableText"/>
              <w:spacing w:before="120" w:after="120"/>
            </w:pPr>
            <w:r>
              <w:t>81</w:t>
            </w:r>
          </w:p>
        </w:tc>
        <w:tc>
          <w:tcPr>
            <w:tcW w:w="1789" w:type="dxa"/>
          </w:tcPr>
          <w:p w14:paraId="299F7E4B" w14:textId="77777777" w:rsidR="00D94935" w:rsidRDefault="00D94935" w:rsidP="003A681D">
            <w:pPr>
              <w:pStyle w:val="TableText"/>
              <w:spacing w:before="120" w:after="120"/>
            </w:pPr>
            <w:r>
              <w:t>5115</w:t>
            </w:r>
          </w:p>
        </w:tc>
        <w:tc>
          <w:tcPr>
            <w:tcW w:w="4897" w:type="dxa"/>
          </w:tcPr>
          <w:p w14:paraId="66BCC6FB" w14:textId="77777777" w:rsidR="00D94935" w:rsidRDefault="00D94935" w:rsidP="003A681D">
            <w:pPr>
              <w:pStyle w:val="TableText"/>
              <w:spacing w:before="120" w:after="120"/>
            </w:pPr>
            <w:r>
              <w:t>Appeals to Supreme Court—notice of contention</w:t>
            </w:r>
          </w:p>
        </w:tc>
      </w:tr>
      <w:tr w:rsidR="00D94935" w14:paraId="763A84C0" w14:textId="77777777" w:rsidTr="00D825E5">
        <w:tc>
          <w:tcPr>
            <w:tcW w:w="1011" w:type="dxa"/>
          </w:tcPr>
          <w:p w14:paraId="3D9D5B67" w14:textId="77777777" w:rsidR="00D94935" w:rsidRDefault="00D94935" w:rsidP="003A681D">
            <w:pPr>
              <w:pStyle w:val="TableText"/>
              <w:spacing w:before="120" w:after="120"/>
            </w:pPr>
            <w:r>
              <w:t>82</w:t>
            </w:r>
          </w:p>
        </w:tc>
        <w:tc>
          <w:tcPr>
            <w:tcW w:w="1789" w:type="dxa"/>
          </w:tcPr>
          <w:p w14:paraId="58C8515D" w14:textId="77777777" w:rsidR="00D94935" w:rsidRDefault="00D94935" w:rsidP="003A681D">
            <w:pPr>
              <w:pStyle w:val="TableText"/>
              <w:spacing w:before="120" w:after="120"/>
            </w:pPr>
            <w:r>
              <w:t>5140</w:t>
            </w:r>
          </w:p>
        </w:tc>
        <w:tc>
          <w:tcPr>
            <w:tcW w:w="4897" w:type="dxa"/>
          </w:tcPr>
          <w:p w14:paraId="17E6398D" w14:textId="77777777" w:rsidR="00D94935" w:rsidRDefault="00D94935" w:rsidP="003A681D">
            <w:pPr>
              <w:pStyle w:val="TableText"/>
              <w:spacing w:before="120" w:after="120"/>
            </w:pPr>
            <w:r>
              <w:t>Appeals to Supreme Court—absence of party</w:t>
            </w:r>
          </w:p>
        </w:tc>
      </w:tr>
      <w:tr w:rsidR="00D94935" w14:paraId="55EE387B" w14:textId="77777777" w:rsidTr="00D825E5">
        <w:tc>
          <w:tcPr>
            <w:tcW w:w="1011" w:type="dxa"/>
          </w:tcPr>
          <w:p w14:paraId="3E03B23C" w14:textId="77777777" w:rsidR="00D94935" w:rsidRDefault="00D94935" w:rsidP="003A681D">
            <w:pPr>
              <w:pStyle w:val="TableText"/>
              <w:spacing w:before="120" w:after="120"/>
            </w:pPr>
            <w:r>
              <w:t>83</w:t>
            </w:r>
          </w:p>
        </w:tc>
        <w:tc>
          <w:tcPr>
            <w:tcW w:w="1789" w:type="dxa"/>
          </w:tcPr>
          <w:p w14:paraId="2ED984A2" w14:textId="77777777" w:rsidR="00D94935" w:rsidRDefault="00D94935" w:rsidP="003A681D">
            <w:pPr>
              <w:pStyle w:val="TableText"/>
              <w:spacing w:before="120" w:after="120"/>
            </w:pPr>
            <w:r>
              <w:t>5171</w:t>
            </w:r>
          </w:p>
        </w:tc>
        <w:tc>
          <w:tcPr>
            <w:tcW w:w="4897" w:type="dxa"/>
          </w:tcPr>
          <w:p w14:paraId="69C216B6" w14:textId="77777777" w:rsidR="00D94935" w:rsidRDefault="00D94935" w:rsidP="003A681D">
            <w:pPr>
              <w:pStyle w:val="TableText"/>
              <w:spacing w:before="120" w:after="120"/>
            </w:pPr>
            <w:r>
              <w:t>Appeals to Supreme Court—discontinuance of appeal</w:t>
            </w:r>
          </w:p>
        </w:tc>
      </w:tr>
      <w:tr w:rsidR="00D94935" w14:paraId="71522757" w14:textId="77777777" w:rsidTr="00D825E5">
        <w:trPr>
          <w:cantSplit/>
        </w:trPr>
        <w:tc>
          <w:tcPr>
            <w:tcW w:w="1011" w:type="dxa"/>
          </w:tcPr>
          <w:p w14:paraId="2EF9A3E5" w14:textId="77777777" w:rsidR="00D94935" w:rsidRDefault="00D94935" w:rsidP="003A681D">
            <w:pPr>
              <w:pStyle w:val="TableText"/>
              <w:spacing w:before="120" w:after="120"/>
            </w:pPr>
            <w:r>
              <w:t>84</w:t>
            </w:r>
          </w:p>
        </w:tc>
        <w:tc>
          <w:tcPr>
            <w:tcW w:w="1789" w:type="dxa"/>
          </w:tcPr>
          <w:p w14:paraId="3A116088" w14:textId="77777777" w:rsidR="00D94935" w:rsidRDefault="00D94935" w:rsidP="003A681D">
            <w:pPr>
              <w:pStyle w:val="TableText"/>
              <w:spacing w:before="120" w:after="120"/>
            </w:pPr>
            <w:r>
              <w:t>5172</w:t>
            </w:r>
          </w:p>
        </w:tc>
        <w:tc>
          <w:tcPr>
            <w:tcW w:w="4897" w:type="dxa"/>
          </w:tcPr>
          <w:p w14:paraId="47B1212A" w14:textId="77777777" w:rsidR="00D94935" w:rsidRDefault="00D94935" w:rsidP="003A681D">
            <w:pPr>
              <w:pStyle w:val="TableText"/>
              <w:spacing w:before="120" w:after="120"/>
            </w:pPr>
            <w:r>
              <w:t>Appeals to Supreme Court—competency of appeal</w:t>
            </w:r>
          </w:p>
        </w:tc>
      </w:tr>
      <w:tr w:rsidR="00D94935" w14:paraId="27B7F7CF" w14:textId="77777777" w:rsidTr="00D825E5">
        <w:tc>
          <w:tcPr>
            <w:tcW w:w="1011" w:type="dxa"/>
          </w:tcPr>
          <w:p w14:paraId="77BC21B3" w14:textId="77777777" w:rsidR="00D94935" w:rsidRDefault="00D94935" w:rsidP="003A681D">
            <w:pPr>
              <w:pStyle w:val="TableText"/>
              <w:spacing w:before="120" w:after="120"/>
            </w:pPr>
            <w:r>
              <w:t>85</w:t>
            </w:r>
          </w:p>
        </w:tc>
        <w:tc>
          <w:tcPr>
            <w:tcW w:w="1789" w:type="dxa"/>
          </w:tcPr>
          <w:p w14:paraId="0765BBDA" w14:textId="77777777" w:rsidR="00D94935" w:rsidRDefault="00D94935" w:rsidP="003A681D">
            <w:pPr>
              <w:pStyle w:val="TableText"/>
              <w:spacing w:before="120" w:after="120"/>
            </w:pPr>
            <w:r>
              <w:t>5173</w:t>
            </w:r>
          </w:p>
        </w:tc>
        <w:tc>
          <w:tcPr>
            <w:tcW w:w="4897" w:type="dxa"/>
          </w:tcPr>
          <w:p w14:paraId="64E45C5B" w14:textId="77777777" w:rsidR="00D94935" w:rsidRDefault="00D94935" w:rsidP="003A681D">
            <w:pPr>
              <w:pStyle w:val="TableText"/>
              <w:spacing w:before="120" w:after="120"/>
            </w:pPr>
            <w:r>
              <w:t>Appeals to Supreme Court—costs for failure to apply for appeal to be struck out as incompetent</w:t>
            </w:r>
          </w:p>
        </w:tc>
      </w:tr>
      <w:tr w:rsidR="00D94935" w14:paraId="52F566E7" w14:textId="77777777" w:rsidTr="00D825E5">
        <w:tc>
          <w:tcPr>
            <w:tcW w:w="1011" w:type="dxa"/>
          </w:tcPr>
          <w:p w14:paraId="57AA977D" w14:textId="77777777" w:rsidR="00D94935" w:rsidRDefault="00D94935" w:rsidP="003A681D">
            <w:pPr>
              <w:pStyle w:val="TableText"/>
              <w:spacing w:before="120" w:after="120"/>
            </w:pPr>
            <w:r>
              <w:t>86</w:t>
            </w:r>
          </w:p>
        </w:tc>
        <w:tc>
          <w:tcPr>
            <w:tcW w:w="1789" w:type="dxa"/>
          </w:tcPr>
          <w:p w14:paraId="468287B4" w14:textId="77777777" w:rsidR="00D94935" w:rsidRDefault="00D94935" w:rsidP="003A681D">
            <w:pPr>
              <w:pStyle w:val="TableText"/>
              <w:spacing w:before="120" w:after="120"/>
            </w:pPr>
            <w:r>
              <w:t>5174 (4)</w:t>
            </w:r>
          </w:p>
        </w:tc>
        <w:tc>
          <w:tcPr>
            <w:tcW w:w="4897" w:type="dxa"/>
          </w:tcPr>
          <w:p w14:paraId="189CD072" w14:textId="77777777" w:rsidR="00D94935" w:rsidRDefault="00D94935" w:rsidP="003A681D">
            <w:pPr>
              <w:pStyle w:val="TableText"/>
              <w:spacing w:before="120" w:after="120"/>
            </w:pPr>
            <w:r>
              <w:t>Appeals to Supreme Court—dismissal by consent</w:t>
            </w:r>
          </w:p>
        </w:tc>
      </w:tr>
      <w:tr w:rsidR="00D94935" w14:paraId="5762EEEA" w14:textId="77777777" w:rsidTr="00D825E5">
        <w:tc>
          <w:tcPr>
            <w:tcW w:w="1011" w:type="dxa"/>
          </w:tcPr>
          <w:p w14:paraId="2B797C51" w14:textId="77777777" w:rsidR="00D94935" w:rsidRDefault="00D94935" w:rsidP="003A681D">
            <w:pPr>
              <w:pStyle w:val="TableText"/>
              <w:spacing w:before="120" w:after="120"/>
            </w:pPr>
            <w:r>
              <w:t>87</w:t>
            </w:r>
          </w:p>
        </w:tc>
        <w:tc>
          <w:tcPr>
            <w:tcW w:w="1789" w:type="dxa"/>
          </w:tcPr>
          <w:p w14:paraId="6EA30571" w14:textId="77777777" w:rsidR="00D94935" w:rsidRDefault="00D94935" w:rsidP="003A681D">
            <w:pPr>
              <w:pStyle w:val="TableText"/>
              <w:spacing w:before="120" w:after="120"/>
            </w:pPr>
            <w:r>
              <w:t>5191</w:t>
            </w:r>
          </w:p>
        </w:tc>
        <w:tc>
          <w:tcPr>
            <w:tcW w:w="4897" w:type="dxa"/>
          </w:tcPr>
          <w:p w14:paraId="7F14ADF8" w14:textId="77777777" w:rsidR="00D94935" w:rsidRDefault="00D94935" w:rsidP="003A681D">
            <w:pPr>
              <w:pStyle w:val="TableText"/>
              <w:spacing w:before="120" w:after="120"/>
            </w:pPr>
            <w:r>
              <w:t>Appeals to Supreme Court—want of prosecution of appeal</w:t>
            </w:r>
          </w:p>
        </w:tc>
      </w:tr>
      <w:tr w:rsidR="00D94935" w14:paraId="76650F94" w14:textId="77777777" w:rsidTr="00D825E5">
        <w:tc>
          <w:tcPr>
            <w:tcW w:w="1011" w:type="dxa"/>
          </w:tcPr>
          <w:p w14:paraId="09746F89" w14:textId="77777777" w:rsidR="00D94935" w:rsidRDefault="00D94935" w:rsidP="003A681D">
            <w:pPr>
              <w:pStyle w:val="TableText"/>
              <w:spacing w:before="120" w:after="120"/>
            </w:pPr>
            <w:r>
              <w:t>88</w:t>
            </w:r>
          </w:p>
        </w:tc>
        <w:tc>
          <w:tcPr>
            <w:tcW w:w="1789" w:type="dxa"/>
          </w:tcPr>
          <w:p w14:paraId="52E79D28" w14:textId="77777777" w:rsidR="00D94935" w:rsidRDefault="00D94935" w:rsidP="003A681D">
            <w:pPr>
              <w:pStyle w:val="TableText"/>
              <w:spacing w:before="120" w:after="120"/>
            </w:pPr>
            <w:r>
              <w:t>5193</w:t>
            </w:r>
          </w:p>
        </w:tc>
        <w:tc>
          <w:tcPr>
            <w:tcW w:w="4897" w:type="dxa"/>
          </w:tcPr>
          <w:p w14:paraId="1A84DED3" w14:textId="46558ADD" w:rsidR="00D94935" w:rsidRDefault="00D94935" w:rsidP="003A681D">
            <w:pPr>
              <w:pStyle w:val="TableText"/>
              <w:spacing w:before="120" w:after="120"/>
            </w:pPr>
            <w:r>
              <w:t>Further evidence on appeal to Supreme Court—</w:t>
            </w:r>
            <w:hyperlink r:id="rId976" w:tooltip="A1930-21" w:history="1">
              <w:r w:rsidRPr="006364FA">
                <w:rPr>
                  <w:rStyle w:val="charCitHyperlinkItal"/>
                </w:rPr>
                <w:t>Magistrates Court Act 1930</w:t>
              </w:r>
            </w:hyperlink>
            <w:r>
              <w:t>, s 214</w:t>
            </w:r>
          </w:p>
        </w:tc>
      </w:tr>
      <w:tr w:rsidR="00D94935" w14:paraId="1E25E52E" w14:textId="77777777" w:rsidTr="00D825E5">
        <w:tc>
          <w:tcPr>
            <w:tcW w:w="1011" w:type="dxa"/>
          </w:tcPr>
          <w:p w14:paraId="1E13932F" w14:textId="77777777" w:rsidR="00D94935" w:rsidRDefault="00D94935" w:rsidP="003A681D">
            <w:pPr>
              <w:pStyle w:val="TableText"/>
              <w:spacing w:before="120" w:after="120"/>
            </w:pPr>
            <w:r>
              <w:lastRenderedPageBreak/>
              <w:t>89</w:t>
            </w:r>
          </w:p>
        </w:tc>
        <w:tc>
          <w:tcPr>
            <w:tcW w:w="1789" w:type="dxa"/>
          </w:tcPr>
          <w:p w14:paraId="700233A2" w14:textId="77777777" w:rsidR="00D94935" w:rsidRDefault="00D94935" w:rsidP="003A681D">
            <w:pPr>
              <w:pStyle w:val="TableText"/>
              <w:spacing w:before="120" w:after="120"/>
            </w:pPr>
            <w:r>
              <w:t>5301</w:t>
            </w:r>
          </w:p>
        </w:tc>
        <w:tc>
          <w:tcPr>
            <w:tcW w:w="4897" w:type="dxa"/>
          </w:tcPr>
          <w:p w14:paraId="1F83CB95" w14:textId="77777777" w:rsidR="00D94935" w:rsidRDefault="00D94935" w:rsidP="003A681D">
            <w:pPr>
              <w:pStyle w:val="TableText"/>
              <w:spacing w:before="120" w:after="120"/>
            </w:pPr>
            <w:r>
              <w:t>Appeals to Court of Appeal—stay and reinstatement</w:t>
            </w:r>
          </w:p>
        </w:tc>
      </w:tr>
      <w:tr w:rsidR="00D94935" w14:paraId="294B0ECB" w14:textId="77777777" w:rsidTr="00D825E5">
        <w:tc>
          <w:tcPr>
            <w:tcW w:w="1011" w:type="dxa"/>
          </w:tcPr>
          <w:p w14:paraId="2ED5C538" w14:textId="77777777" w:rsidR="00D94935" w:rsidRDefault="00D94935" w:rsidP="003A681D">
            <w:pPr>
              <w:pStyle w:val="TableText"/>
              <w:spacing w:before="120" w:after="120"/>
            </w:pPr>
            <w:r>
              <w:t>90</w:t>
            </w:r>
          </w:p>
        </w:tc>
        <w:tc>
          <w:tcPr>
            <w:tcW w:w="1789" w:type="dxa"/>
          </w:tcPr>
          <w:p w14:paraId="59FBAEF6" w14:textId="77777777" w:rsidR="00D94935" w:rsidRDefault="00D94935" w:rsidP="003A681D">
            <w:pPr>
              <w:pStyle w:val="TableText"/>
              <w:spacing w:before="120" w:after="120"/>
            </w:pPr>
            <w:r>
              <w:t>5302</w:t>
            </w:r>
          </w:p>
        </w:tc>
        <w:tc>
          <w:tcPr>
            <w:tcW w:w="4897" w:type="dxa"/>
          </w:tcPr>
          <w:p w14:paraId="2774075C" w14:textId="77777777" w:rsidR="00D94935" w:rsidRDefault="00D94935" w:rsidP="003A681D">
            <w:pPr>
              <w:pStyle w:val="TableText"/>
              <w:spacing w:before="120" w:after="120"/>
            </w:pPr>
            <w:r>
              <w:t>Appeals to Court of Appeal—security for costs</w:t>
            </w:r>
          </w:p>
        </w:tc>
      </w:tr>
      <w:tr w:rsidR="00D94935" w14:paraId="6850B16B" w14:textId="77777777" w:rsidTr="00D825E5">
        <w:tc>
          <w:tcPr>
            <w:tcW w:w="1011" w:type="dxa"/>
          </w:tcPr>
          <w:p w14:paraId="3F834854" w14:textId="77777777" w:rsidR="00D94935" w:rsidRDefault="00D94935" w:rsidP="003A681D">
            <w:pPr>
              <w:pStyle w:val="TableText"/>
              <w:spacing w:before="120" w:after="120"/>
            </w:pPr>
            <w:r>
              <w:t>91</w:t>
            </w:r>
          </w:p>
        </w:tc>
        <w:tc>
          <w:tcPr>
            <w:tcW w:w="1789" w:type="dxa"/>
          </w:tcPr>
          <w:p w14:paraId="2A7A9C67" w14:textId="77777777" w:rsidR="00D94935" w:rsidRDefault="00D94935" w:rsidP="003A681D">
            <w:pPr>
              <w:pStyle w:val="TableText"/>
              <w:spacing w:before="120" w:after="120"/>
            </w:pPr>
            <w:r>
              <w:t>div 5.4.2</w:t>
            </w:r>
          </w:p>
        </w:tc>
        <w:tc>
          <w:tcPr>
            <w:tcW w:w="4897" w:type="dxa"/>
          </w:tcPr>
          <w:p w14:paraId="3CCEE5BF" w14:textId="77777777" w:rsidR="00D94935" w:rsidRDefault="00D94935" w:rsidP="003A681D">
            <w:pPr>
              <w:pStyle w:val="TableText"/>
              <w:spacing w:before="120" w:after="120"/>
            </w:pPr>
            <w:r>
              <w:t>Appeals to Court of Appeal—leave to appeal from interlocutory orders</w:t>
            </w:r>
          </w:p>
        </w:tc>
      </w:tr>
      <w:tr w:rsidR="00D94935" w14:paraId="0F404159" w14:textId="77777777" w:rsidTr="00D825E5">
        <w:tc>
          <w:tcPr>
            <w:tcW w:w="1011" w:type="dxa"/>
          </w:tcPr>
          <w:p w14:paraId="7AB33853" w14:textId="77777777" w:rsidR="00D94935" w:rsidRDefault="00D94935" w:rsidP="003A681D">
            <w:pPr>
              <w:pStyle w:val="TableText"/>
              <w:spacing w:before="120" w:after="120"/>
            </w:pPr>
            <w:r>
              <w:t>92</w:t>
            </w:r>
          </w:p>
        </w:tc>
        <w:tc>
          <w:tcPr>
            <w:tcW w:w="1789" w:type="dxa"/>
          </w:tcPr>
          <w:p w14:paraId="4884BBEB" w14:textId="77777777" w:rsidR="00D94935" w:rsidRDefault="00D94935" w:rsidP="003A681D">
            <w:pPr>
              <w:pStyle w:val="TableText"/>
              <w:spacing w:before="120" w:after="120"/>
            </w:pPr>
            <w:r>
              <w:t>div 5.4.3</w:t>
            </w:r>
          </w:p>
        </w:tc>
        <w:tc>
          <w:tcPr>
            <w:tcW w:w="4897" w:type="dxa"/>
          </w:tcPr>
          <w:p w14:paraId="2729F246" w14:textId="77777777" w:rsidR="00D94935" w:rsidRDefault="00D94935" w:rsidP="003A681D">
            <w:pPr>
              <w:pStyle w:val="TableText"/>
              <w:spacing w:before="120" w:after="120"/>
            </w:pPr>
            <w:r>
              <w:t>Appeals to Court of Appeal—leave to appeal out of time from final judgments</w:t>
            </w:r>
          </w:p>
        </w:tc>
      </w:tr>
      <w:tr w:rsidR="00D94935" w14:paraId="37CD3266" w14:textId="77777777" w:rsidTr="00D825E5">
        <w:tc>
          <w:tcPr>
            <w:tcW w:w="1011" w:type="dxa"/>
          </w:tcPr>
          <w:p w14:paraId="2F17A59C" w14:textId="77777777" w:rsidR="00D94935" w:rsidRDefault="00D94935" w:rsidP="003A681D">
            <w:pPr>
              <w:pStyle w:val="TableText"/>
              <w:spacing w:before="120" w:after="120"/>
            </w:pPr>
            <w:r>
              <w:t>93</w:t>
            </w:r>
          </w:p>
        </w:tc>
        <w:tc>
          <w:tcPr>
            <w:tcW w:w="1789" w:type="dxa"/>
          </w:tcPr>
          <w:p w14:paraId="393926F1" w14:textId="77777777" w:rsidR="00D94935" w:rsidRDefault="00D94935" w:rsidP="003A681D">
            <w:pPr>
              <w:pStyle w:val="TableText"/>
              <w:spacing w:before="120" w:after="120"/>
            </w:pPr>
            <w:r>
              <w:t>5403</w:t>
            </w:r>
          </w:p>
        </w:tc>
        <w:tc>
          <w:tcPr>
            <w:tcW w:w="4897" w:type="dxa"/>
          </w:tcPr>
          <w:p w14:paraId="6097BA26" w14:textId="77777777" w:rsidR="00D94935" w:rsidRDefault="00D94935" w:rsidP="003A681D">
            <w:pPr>
              <w:pStyle w:val="TableText"/>
              <w:spacing w:before="120" w:after="120"/>
            </w:pPr>
            <w:r>
              <w:t>Appeals to Court of Appeal—requirements for notice of appeal etc</w:t>
            </w:r>
          </w:p>
        </w:tc>
      </w:tr>
      <w:tr w:rsidR="00D94935" w14:paraId="60DFEE9D" w14:textId="77777777" w:rsidTr="00D825E5">
        <w:tc>
          <w:tcPr>
            <w:tcW w:w="1011" w:type="dxa"/>
          </w:tcPr>
          <w:p w14:paraId="561350CA" w14:textId="77777777" w:rsidR="00D94935" w:rsidRDefault="00D94935" w:rsidP="003A681D">
            <w:pPr>
              <w:pStyle w:val="TableText"/>
              <w:spacing w:before="120" w:after="120"/>
            </w:pPr>
            <w:r>
              <w:t>94</w:t>
            </w:r>
          </w:p>
        </w:tc>
        <w:tc>
          <w:tcPr>
            <w:tcW w:w="1789" w:type="dxa"/>
          </w:tcPr>
          <w:p w14:paraId="3E0F3824" w14:textId="77777777" w:rsidR="00D94935" w:rsidRDefault="00D94935" w:rsidP="003A681D">
            <w:pPr>
              <w:pStyle w:val="TableText"/>
              <w:spacing w:before="120" w:after="120"/>
            </w:pPr>
            <w:r>
              <w:t>5405</w:t>
            </w:r>
          </w:p>
        </w:tc>
        <w:tc>
          <w:tcPr>
            <w:tcW w:w="4897" w:type="dxa"/>
          </w:tcPr>
          <w:p w14:paraId="68E97FFD" w14:textId="77777777" w:rsidR="00D94935" w:rsidRDefault="00D94935" w:rsidP="003A681D">
            <w:pPr>
              <w:pStyle w:val="TableText"/>
              <w:spacing w:before="120" w:after="120"/>
            </w:pPr>
            <w:r>
              <w:t>Appeals to Court of Appeal—time for filing notice of appeal</w:t>
            </w:r>
          </w:p>
        </w:tc>
      </w:tr>
      <w:tr w:rsidR="00D94935" w14:paraId="3CEF4731" w14:textId="77777777" w:rsidTr="00D825E5">
        <w:tc>
          <w:tcPr>
            <w:tcW w:w="1011" w:type="dxa"/>
          </w:tcPr>
          <w:p w14:paraId="09D1F7D9" w14:textId="77777777" w:rsidR="00D94935" w:rsidRDefault="00D94935" w:rsidP="003A681D">
            <w:pPr>
              <w:pStyle w:val="TableText"/>
              <w:spacing w:before="120" w:after="120"/>
            </w:pPr>
            <w:r>
              <w:t>95</w:t>
            </w:r>
          </w:p>
        </w:tc>
        <w:tc>
          <w:tcPr>
            <w:tcW w:w="1789" w:type="dxa"/>
          </w:tcPr>
          <w:p w14:paraId="571DE824" w14:textId="77777777" w:rsidR="00D94935" w:rsidRDefault="00D94935" w:rsidP="003A681D">
            <w:pPr>
              <w:pStyle w:val="TableText"/>
              <w:spacing w:before="120" w:after="120"/>
            </w:pPr>
            <w:r>
              <w:t>5413</w:t>
            </w:r>
          </w:p>
        </w:tc>
        <w:tc>
          <w:tcPr>
            <w:tcW w:w="4897" w:type="dxa"/>
          </w:tcPr>
          <w:p w14:paraId="315FA2A4" w14:textId="77777777" w:rsidR="00D94935" w:rsidRDefault="00D94935" w:rsidP="003A681D">
            <w:pPr>
              <w:pStyle w:val="TableText"/>
              <w:spacing w:before="120" w:after="120"/>
            </w:pPr>
            <w:r>
              <w:t>Appeals to Court of Appeal—cross-appeal</w:t>
            </w:r>
          </w:p>
        </w:tc>
      </w:tr>
      <w:tr w:rsidR="00D94935" w14:paraId="3C6723F2" w14:textId="77777777" w:rsidTr="00D825E5">
        <w:tc>
          <w:tcPr>
            <w:tcW w:w="1011" w:type="dxa"/>
          </w:tcPr>
          <w:p w14:paraId="428B05EE" w14:textId="77777777" w:rsidR="00D94935" w:rsidRDefault="00D94935" w:rsidP="003A681D">
            <w:pPr>
              <w:pStyle w:val="TableText"/>
              <w:spacing w:before="120" w:after="120"/>
            </w:pPr>
            <w:r>
              <w:t>96</w:t>
            </w:r>
          </w:p>
        </w:tc>
        <w:tc>
          <w:tcPr>
            <w:tcW w:w="1789" w:type="dxa"/>
          </w:tcPr>
          <w:p w14:paraId="6A6F6136" w14:textId="77777777" w:rsidR="00D94935" w:rsidRDefault="00D94935" w:rsidP="003A681D">
            <w:pPr>
              <w:pStyle w:val="TableText"/>
              <w:spacing w:before="120" w:after="120"/>
            </w:pPr>
            <w:r>
              <w:t>5416</w:t>
            </w:r>
          </w:p>
        </w:tc>
        <w:tc>
          <w:tcPr>
            <w:tcW w:w="4897" w:type="dxa"/>
          </w:tcPr>
          <w:p w14:paraId="4DF14815" w14:textId="77777777" w:rsidR="00D94935" w:rsidRDefault="00D94935" w:rsidP="003A681D">
            <w:pPr>
              <w:pStyle w:val="TableText"/>
              <w:spacing w:before="120" w:after="120"/>
            </w:pPr>
            <w:r>
              <w:t>Appeals to Court of Appeal—notice of contention</w:t>
            </w:r>
          </w:p>
        </w:tc>
      </w:tr>
      <w:tr w:rsidR="00D94935" w14:paraId="24E54567" w14:textId="77777777" w:rsidTr="00D825E5">
        <w:tc>
          <w:tcPr>
            <w:tcW w:w="1011" w:type="dxa"/>
          </w:tcPr>
          <w:p w14:paraId="5BDADE58" w14:textId="77777777" w:rsidR="00D94935" w:rsidRDefault="00D94935" w:rsidP="003A681D">
            <w:pPr>
              <w:pStyle w:val="TableText"/>
              <w:spacing w:before="120" w:after="120"/>
            </w:pPr>
            <w:r>
              <w:t>97</w:t>
            </w:r>
          </w:p>
        </w:tc>
        <w:tc>
          <w:tcPr>
            <w:tcW w:w="1789" w:type="dxa"/>
          </w:tcPr>
          <w:p w14:paraId="7690B13A" w14:textId="77777777" w:rsidR="00D94935" w:rsidRDefault="00D94935" w:rsidP="003A681D">
            <w:pPr>
              <w:pStyle w:val="TableText"/>
              <w:spacing w:before="120" w:after="120"/>
            </w:pPr>
            <w:r>
              <w:t>5441</w:t>
            </w:r>
          </w:p>
        </w:tc>
        <w:tc>
          <w:tcPr>
            <w:tcW w:w="4897" w:type="dxa"/>
          </w:tcPr>
          <w:p w14:paraId="27EC076A" w14:textId="77777777" w:rsidR="00D94935" w:rsidRDefault="00D94935" w:rsidP="003A681D">
            <w:pPr>
              <w:pStyle w:val="TableText"/>
              <w:spacing w:before="120" w:after="120"/>
            </w:pPr>
            <w:r>
              <w:t>Appeals to Court of Appeal—absence of party</w:t>
            </w:r>
          </w:p>
        </w:tc>
      </w:tr>
      <w:tr w:rsidR="00D94935" w14:paraId="42827DC4" w14:textId="77777777" w:rsidTr="00D825E5">
        <w:trPr>
          <w:cantSplit/>
        </w:trPr>
        <w:tc>
          <w:tcPr>
            <w:tcW w:w="1011" w:type="dxa"/>
          </w:tcPr>
          <w:p w14:paraId="0AA4365F" w14:textId="77777777" w:rsidR="00D94935" w:rsidRDefault="00D94935" w:rsidP="003A681D">
            <w:pPr>
              <w:pStyle w:val="TableText"/>
              <w:spacing w:before="120" w:after="120"/>
            </w:pPr>
            <w:r>
              <w:t>98</w:t>
            </w:r>
          </w:p>
        </w:tc>
        <w:tc>
          <w:tcPr>
            <w:tcW w:w="1789" w:type="dxa"/>
          </w:tcPr>
          <w:p w14:paraId="58C68598" w14:textId="77777777" w:rsidR="00D94935" w:rsidRDefault="00D94935" w:rsidP="003A681D">
            <w:pPr>
              <w:pStyle w:val="TableText"/>
              <w:spacing w:before="120" w:after="120"/>
            </w:pPr>
            <w:r>
              <w:t>5471</w:t>
            </w:r>
          </w:p>
        </w:tc>
        <w:tc>
          <w:tcPr>
            <w:tcW w:w="4897" w:type="dxa"/>
          </w:tcPr>
          <w:p w14:paraId="53000311" w14:textId="77777777" w:rsidR="00D94935" w:rsidRDefault="00D94935" w:rsidP="003A681D">
            <w:pPr>
              <w:pStyle w:val="TableText"/>
              <w:spacing w:before="120" w:after="120"/>
            </w:pPr>
            <w:r>
              <w:t>Appeals to Court of Appeal—discontinuance of appeal</w:t>
            </w:r>
          </w:p>
        </w:tc>
      </w:tr>
      <w:tr w:rsidR="00D94935" w14:paraId="31F164A8" w14:textId="77777777" w:rsidTr="00D825E5">
        <w:tc>
          <w:tcPr>
            <w:tcW w:w="1011" w:type="dxa"/>
          </w:tcPr>
          <w:p w14:paraId="231F92D5" w14:textId="77777777" w:rsidR="00D94935" w:rsidRDefault="00D94935" w:rsidP="003A681D">
            <w:pPr>
              <w:pStyle w:val="TableText"/>
              <w:spacing w:before="120" w:after="120"/>
            </w:pPr>
            <w:r>
              <w:t>99</w:t>
            </w:r>
          </w:p>
        </w:tc>
        <w:tc>
          <w:tcPr>
            <w:tcW w:w="1789" w:type="dxa"/>
          </w:tcPr>
          <w:p w14:paraId="0D50CBED" w14:textId="77777777" w:rsidR="00D94935" w:rsidRDefault="00D94935" w:rsidP="003A681D">
            <w:pPr>
              <w:pStyle w:val="TableText"/>
              <w:spacing w:before="120" w:after="120"/>
            </w:pPr>
            <w:r>
              <w:t>5472</w:t>
            </w:r>
          </w:p>
        </w:tc>
        <w:tc>
          <w:tcPr>
            <w:tcW w:w="4897" w:type="dxa"/>
          </w:tcPr>
          <w:p w14:paraId="6FABEEB4" w14:textId="77777777" w:rsidR="00D94935" w:rsidRDefault="00D94935" w:rsidP="003A681D">
            <w:pPr>
              <w:pStyle w:val="TableText"/>
              <w:spacing w:before="120" w:after="120"/>
            </w:pPr>
            <w:r>
              <w:t>Appeals to Court of Appeal—competency of appeal</w:t>
            </w:r>
          </w:p>
        </w:tc>
      </w:tr>
      <w:tr w:rsidR="00D94935" w14:paraId="44E80E1F" w14:textId="77777777" w:rsidTr="00D825E5">
        <w:tc>
          <w:tcPr>
            <w:tcW w:w="1011" w:type="dxa"/>
          </w:tcPr>
          <w:p w14:paraId="14AF3EDA" w14:textId="77777777" w:rsidR="00D94935" w:rsidRDefault="00D94935" w:rsidP="003A681D">
            <w:pPr>
              <w:pStyle w:val="TableText"/>
              <w:spacing w:before="120" w:after="120"/>
            </w:pPr>
            <w:r>
              <w:t>100</w:t>
            </w:r>
          </w:p>
        </w:tc>
        <w:tc>
          <w:tcPr>
            <w:tcW w:w="1789" w:type="dxa"/>
          </w:tcPr>
          <w:p w14:paraId="220ADF0E" w14:textId="77777777" w:rsidR="00D94935" w:rsidRDefault="00D94935" w:rsidP="003A681D">
            <w:pPr>
              <w:pStyle w:val="TableText"/>
              <w:spacing w:before="120" w:after="120"/>
            </w:pPr>
            <w:r>
              <w:t>5473</w:t>
            </w:r>
          </w:p>
        </w:tc>
        <w:tc>
          <w:tcPr>
            <w:tcW w:w="4897" w:type="dxa"/>
          </w:tcPr>
          <w:p w14:paraId="161BD5DC" w14:textId="77777777" w:rsidR="00D94935" w:rsidRDefault="00D94935" w:rsidP="003A681D">
            <w:pPr>
              <w:pStyle w:val="TableText"/>
              <w:spacing w:before="120" w:after="120"/>
            </w:pPr>
            <w:r>
              <w:t>Appeals to Court of Appeal—costs for failure to apply for appeal to be struck out as incompetent</w:t>
            </w:r>
          </w:p>
        </w:tc>
      </w:tr>
      <w:tr w:rsidR="00D94935" w14:paraId="26F6D176" w14:textId="77777777" w:rsidTr="00D825E5">
        <w:tc>
          <w:tcPr>
            <w:tcW w:w="1011" w:type="dxa"/>
          </w:tcPr>
          <w:p w14:paraId="157293C1" w14:textId="77777777" w:rsidR="00D94935" w:rsidRDefault="00D94935" w:rsidP="003A681D">
            <w:pPr>
              <w:pStyle w:val="TableText"/>
              <w:spacing w:before="120" w:after="120"/>
            </w:pPr>
            <w:r>
              <w:lastRenderedPageBreak/>
              <w:t>101</w:t>
            </w:r>
          </w:p>
        </w:tc>
        <w:tc>
          <w:tcPr>
            <w:tcW w:w="1789" w:type="dxa"/>
          </w:tcPr>
          <w:p w14:paraId="679B1A71" w14:textId="77777777" w:rsidR="00D94935" w:rsidRDefault="00D94935" w:rsidP="003A681D">
            <w:pPr>
              <w:pStyle w:val="TableText"/>
              <w:spacing w:before="120" w:after="120"/>
            </w:pPr>
            <w:r>
              <w:t>5510 (2) and (3) (b)</w:t>
            </w:r>
          </w:p>
        </w:tc>
        <w:tc>
          <w:tcPr>
            <w:tcW w:w="4897" w:type="dxa"/>
          </w:tcPr>
          <w:p w14:paraId="44525E42" w14:textId="77777777"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14:paraId="683F45EC" w14:textId="77777777" w:rsidTr="00D825E5">
        <w:tc>
          <w:tcPr>
            <w:tcW w:w="1011" w:type="dxa"/>
          </w:tcPr>
          <w:p w14:paraId="65CE5A48" w14:textId="77777777" w:rsidR="00D94935" w:rsidRDefault="00D94935" w:rsidP="003A681D">
            <w:pPr>
              <w:pStyle w:val="TableText"/>
              <w:spacing w:before="120" w:after="120"/>
            </w:pPr>
            <w:r>
              <w:t>102</w:t>
            </w:r>
          </w:p>
        </w:tc>
        <w:tc>
          <w:tcPr>
            <w:tcW w:w="1789" w:type="dxa"/>
          </w:tcPr>
          <w:p w14:paraId="386A61C3" w14:textId="77777777" w:rsidR="00D94935" w:rsidRDefault="00D94935" w:rsidP="003A681D">
            <w:pPr>
              <w:pStyle w:val="TableText"/>
              <w:spacing w:before="120" w:after="120"/>
            </w:pPr>
            <w:r>
              <w:t>5531</w:t>
            </w:r>
          </w:p>
        </w:tc>
        <w:tc>
          <w:tcPr>
            <w:tcW w:w="4897" w:type="dxa"/>
          </w:tcPr>
          <w:p w14:paraId="64353501" w14:textId="77777777" w:rsidR="00D94935" w:rsidRDefault="00D94935" w:rsidP="003A681D">
            <w:pPr>
              <w:pStyle w:val="TableText"/>
              <w:spacing w:before="120" w:after="120"/>
            </w:pPr>
            <w:r>
              <w:t>Appeals to Court of Appeal—grounds of appeal against conviction or sentence</w:t>
            </w:r>
          </w:p>
        </w:tc>
      </w:tr>
      <w:tr w:rsidR="00D94935" w14:paraId="71497665" w14:textId="77777777" w:rsidTr="00D825E5">
        <w:tc>
          <w:tcPr>
            <w:tcW w:w="1011" w:type="dxa"/>
          </w:tcPr>
          <w:p w14:paraId="5E6A516A" w14:textId="77777777" w:rsidR="00D94935" w:rsidRDefault="00D94935" w:rsidP="003A681D">
            <w:pPr>
              <w:pStyle w:val="TableText"/>
              <w:spacing w:before="120" w:after="120"/>
            </w:pPr>
            <w:r>
              <w:t>103</w:t>
            </w:r>
          </w:p>
        </w:tc>
        <w:tc>
          <w:tcPr>
            <w:tcW w:w="1789" w:type="dxa"/>
          </w:tcPr>
          <w:p w14:paraId="2FC231D1" w14:textId="77777777" w:rsidR="00D94935" w:rsidRDefault="00D94935" w:rsidP="003A681D">
            <w:pPr>
              <w:pStyle w:val="TableText"/>
              <w:spacing w:before="120" w:after="120"/>
            </w:pPr>
            <w:r>
              <w:t>5532</w:t>
            </w:r>
          </w:p>
        </w:tc>
        <w:tc>
          <w:tcPr>
            <w:tcW w:w="4897" w:type="dxa"/>
          </w:tcPr>
          <w:p w14:paraId="47FDDE64" w14:textId="77777777" w:rsidR="00D94935" w:rsidRDefault="00D94935" w:rsidP="003A681D">
            <w:pPr>
              <w:pStyle w:val="TableText"/>
              <w:spacing w:before="120" w:after="120"/>
            </w:pPr>
            <w:r>
              <w:t>Appeals to Court of Appeal—trial judge’s report for appeal against conviction or sentence</w:t>
            </w:r>
          </w:p>
        </w:tc>
      </w:tr>
      <w:tr w:rsidR="00D94935" w14:paraId="410D9D48" w14:textId="77777777" w:rsidTr="00D825E5">
        <w:tc>
          <w:tcPr>
            <w:tcW w:w="1011" w:type="dxa"/>
          </w:tcPr>
          <w:p w14:paraId="2A4FF941" w14:textId="77777777" w:rsidR="00D94935" w:rsidRDefault="00D94935" w:rsidP="003A681D">
            <w:pPr>
              <w:pStyle w:val="TableText"/>
              <w:spacing w:before="120" w:after="120"/>
            </w:pPr>
            <w:r>
              <w:t>104</w:t>
            </w:r>
          </w:p>
        </w:tc>
        <w:tc>
          <w:tcPr>
            <w:tcW w:w="1789" w:type="dxa"/>
          </w:tcPr>
          <w:p w14:paraId="5919F021" w14:textId="77777777" w:rsidR="00D94935" w:rsidRDefault="00D94935" w:rsidP="003A681D">
            <w:pPr>
              <w:pStyle w:val="TableText"/>
              <w:spacing w:before="120" w:after="120"/>
            </w:pPr>
            <w:r>
              <w:t>5535 (1) (b)</w:t>
            </w:r>
          </w:p>
        </w:tc>
        <w:tc>
          <w:tcPr>
            <w:tcW w:w="4897" w:type="dxa"/>
          </w:tcPr>
          <w:p w14:paraId="531E00B2" w14:textId="77777777" w:rsidR="00D94935" w:rsidRDefault="00D94935" w:rsidP="003A681D">
            <w:pPr>
              <w:pStyle w:val="TableText"/>
              <w:spacing w:before="120" w:after="120"/>
            </w:pPr>
            <w:r>
              <w:t>Appeals to Court of Appeal—order for production of prisoner</w:t>
            </w:r>
          </w:p>
        </w:tc>
      </w:tr>
      <w:tr w:rsidR="00D94935" w14:paraId="351CC531" w14:textId="77777777" w:rsidTr="00D825E5">
        <w:tc>
          <w:tcPr>
            <w:tcW w:w="1011" w:type="dxa"/>
          </w:tcPr>
          <w:p w14:paraId="4257AD38" w14:textId="77777777" w:rsidR="00D94935" w:rsidRDefault="00D94935" w:rsidP="003A681D">
            <w:pPr>
              <w:pStyle w:val="TableText"/>
              <w:spacing w:before="120" w:after="120"/>
            </w:pPr>
            <w:r>
              <w:t>105</w:t>
            </w:r>
          </w:p>
        </w:tc>
        <w:tc>
          <w:tcPr>
            <w:tcW w:w="1789" w:type="dxa"/>
          </w:tcPr>
          <w:p w14:paraId="389D23EC" w14:textId="77777777" w:rsidR="00D94935" w:rsidRDefault="00D94935" w:rsidP="003A681D">
            <w:pPr>
              <w:pStyle w:val="TableText"/>
              <w:spacing w:before="120" w:after="120"/>
            </w:pPr>
            <w:r>
              <w:t>5536</w:t>
            </w:r>
          </w:p>
        </w:tc>
        <w:tc>
          <w:tcPr>
            <w:tcW w:w="4897" w:type="dxa"/>
          </w:tcPr>
          <w:p w14:paraId="7F77E1C2" w14:textId="77777777" w:rsidR="00D94935" w:rsidRDefault="00D94935" w:rsidP="003A681D">
            <w:pPr>
              <w:pStyle w:val="TableText"/>
              <w:spacing w:before="120" w:after="120"/>
            </w:pPr>
            <w:r>
              <w:t>Appeals to Court of Appeal—fine paid to be kept pending appeal</w:t>
            </w:r>
          </w:p>
        </w:tc>
      </w:tr>
      <w:tr w:rsidR="00D94935" w14:paraId="147F664D" w14:textId="77777777" w:rsidTr="00D825E5">
        <w:tc>
          <w:tcPr>
            <w:tcW w:w="1011" w:type="dxa"/>
          </w:tcPr>
          <w:p w14:paraId="2BC5AA11" w14:textId="77777777" w:rsidR="00D94935" w:rsidRDefault="00D94935" w:rsidP="003A681D">
            <w:pPr>
              <w:pStyle w:val="TableText"/>
              <w:spacing w:before="120" w:after="120"/>
            </w:pPr>
            <w:r>
              <w:t>106</w:t>
            </w:r>
          </w:p>
        </w:tc>
        <w:tc>
          <w:tcPr>
            <w:tcW w:w="1789" w:type="dxa"/>
          </w:tcPr>
          <w:p w14:paraId="591A09AB" w14:textId="77777777" w:rsidR="00D94935" w:rsidRDefault="00D94935" w:rsidP="003A681D">
            <w:pPr>
              <w:pStyle w:val="TableText"/>
              <w:spacing w:before="120" w:after="120"/>
            </w:pPr>
            <w:r>
              <w:t>5538</w:t>
            </w:r>
          </w:p>
        </w:tc>
        <w:tc>
          <w:tcPr>
            <w:tcW w:w="4897" w:type="dxa"/>
          </w:tcPr>
          <w:p w14:paraId="56F1C780" w14:textId="77777777" w:rsidR="00D94935" w:rsidRDefault="00D94935" w:rsidP="003A681D">
            <w:pPr>
              <w:pStyle w:val="TableText"/>
              <w:spacing w:before="120" w:after="120"/>
            </w:pPr>
            <w:r>
              <w:t>Appeals to Court of Appeal—solicitor wants to withdraw from acting for convicted person</w:t>
            </w:r>
          </w:p>
        </w:tc>
      </w:tr>
      <w:tr w:rsidR="00D94935" w14:paraId="6229F1D2" w14:textId="77777777" w:rsidTr="00D825E5">
        <w:tc>
          <w:tcPr>
            <w:tcW w:w="1011" w:type="dxa"/>
          </w:tcPr>
          <w:p w14:paraId="7684418E" w14:textId="77777777" w:rsidR="00D94935" w:rsidRDefault="00D94935" w:rsidP="003A681D">
            <w:pPr>
              <w:pStyle w:val="TableText"/>
              <w:spacing w:before="120" w:after="120"/>
            </w:pPr>
            <w:r>
              <w:t>107</w:t>
            </w:r>
          </w:p>
        </w:tc>
        <w:tc>
          <w:tcPr>
            <w:tcW w:w="1789" w:type="dxa"/>
          </w:tcPr>
          <w:p w14:paraId="4AD3DD85" w14:textId="77777777" w:rsidR="00D94935" w:rsidRDefault="00D94935" w:rsidP="003A681D">
            <w:pPr>
              <w:pStyle w:val="TableText"/>
              <w:spacing w:before="120" w:after="120"/>
            </w:pPr>
            <w:r>
              <w:t>5603</w:t>
            </w:r>
          </w:p>
        </w:tc>
        <w:tc>
          <w:tcPr>
            <w:tcW w:w="4897" w:type="dxa"/>
          </w:tcPr>
          <w:p w14:paraId="3CE617C0" w14:textId="77777777" w:rsidR="00D94935" w:rsidRDefault="00D94935" w:rsidP="003A681D">
            <w:pPr>
              <w:pStyle w:val="TableText"/>
              <w:spacing w:before="120" w:after="120"/>
            </w:pPr>
            <w:r>
              <w:t>Appeals to Court of Appeal—want of prosecution of appeal</w:t>
            </w:r>
          </w:p>
        </w:tc>
      </w:tr>
      <w:tr w:rsidR="00D94935" w14:paraId="674A36CD" w14:textId="77777777" w:rsidTr="00D825E5">
        <w:trPr>
          <w:cantSplit/>
        </w:trPr>
        <w:tc>
          <w:tcPr>
            <w:tcW w:w="1011" w:type="dxa"/>
          </w:tcPr>
          <w:p w14:paraId="7E2EF3A8" w14:textId="77777777" w:rsidR="00D94935" w:rsidRDefault="00D94935" w:rsidP="003A681D">
            <w:pPr>
              <w:pStyle w:val="TableText"/>
              <w:spacing w:before="120" w:after="120"/>
            </w:pPr>
            <w:r>
              <w:t>108</w:t>
            </w:r>
          </w:p>
        </w:tc>
        <w:tc>
          <w:tcPr>
            <w:tcW w:w="1789" w:type="dxa"/>
          </w:tcPr>
          <w:p w14:paraId="6A466339" w14:textId="77777777" w:rsidR="00D94935" w:rsidRDefault="00D94935" w:rsidP="003A681D">
            <w:pPr>
              <w:pStyle w:val="TableText"/>
              <w:spacing w:before="120" w:after="120"/>
            </w:pPr>
            <w:r>
              <w:t>5606</w:t>
            </w:r>
          </w:p>
        </w:tc>
        <w:tc>
          <w:tcPr>
            <w:tcW w:w="4897" w:type="dxa"/>
          </w:tcPr>
          <w:p w14:paraId="295970D4" w14:textId="77777777" w:rsidR="00D94935" w:rsidRDefault="00D94935" w:rsidP="003A681D">
            <w:pPr>
              <w:pStyle w:val="TableText"/>
              <w:spacing w:before="120" w:after="120"/>
            </w:pPr>
            <w:r>
              <w:t>Appeals to Court of Appeal—further evidence on appeal</w:t>
            </w:r>
          </w:p>
        </w:tc>
      </w:tr>
      <w:tr w:rsidR="00D94935" w14:paraId="5AEABF0B" w14:textId="77777777" w:rsidTr="00D825E5">
        <w:tc>
          <w:tcPr>
            <w:tcW w:w="1011" w:type="dxa"/>
          </w:tcPr>
          <w:p w14:paraId="252542BF" w14:textId="77777777" w:rsidR="00D94935" w:rsidRDefault="00D94935" w:rsidP="003A681D">
            <w:pPr>
              <w:pStyle w:val="TableText"/>
              <w:spacing w:before="120" w:after="120"/>
            </w:pPr>
            <w:r>
              <w:t>109</w:t>
            </w:r>
          </w:p>
        </w:tc>
        <w:tc>
          <w:tcPr>
            <w:tcW w:w="1789" w:type="dxa"/>
          </w:tcPr>
          <w:p w14:paraId="217E5EEC" w14:textId="77777777" w:rsidR="00D94935" w:rsidRDefault="00D94935" w:rsidP="003A681D">
            <w:pPr>
              <w:pStyle w:val="TableText"/>
              <w:spacing w:before="120" w:after="120"/>
              <w:rPr>
                <w:highlight w:val="yellow"/>
              </w:rPr>
            </w:pPr>
            <w:r>
              <w:t>pt 5.5</w:t>
            </w:r>
          </w:p>
        </w:tc>
        <w:tc>
          <w:tcPr>
            <w:tcW w:w="4897" w:type="dxa"/>
          </w:tcPr>
          <w:p w14:paraId="080C4CCB" w14:textId="77777777" w:rsidR="00D94935" w:rsidRDefault="00D94935" w:rsidP="003A681D">
            <w:pPr>
              <w:pStyle w:val="TableText"/>
              <w:spacing w:before="120" w:after="120"/>
            </w:pPr>
            <w:r>
              <w:t>Orders to review Magistrates Court decisions</w:t>
            </w:r>
          </w:p>
        </w:tc>
      </w:tr>
      <w:tr w:rsidR="00D94935" w14:paraId="78F5FF0C" w14:textId="77777777" w:rsidTr="00D825E5">
        <w:tc>
          <w:tcPr>
            <w:tcW w:w="1011" w:type="dxa"/>
          </w:tcPr>
          <w:p w14:paraId="7AAFE4C8" w14:textId="77777777" w:rsidR="00D94935" w:rsidRDefault="00D94935" w:rsidP="003A681D">
            <w:pPr>
              <w:pStyle w:val="TableText"/>
              <w:spacing w:before="120" w:after="120"/>
            </w:pPr>
            <w:r>
              <w:t>110</w:t>
            </w:r>
          </w:p>
        </w:tc>
        <w:tc>
          <w:tcPr>
            <w:tcW w:w="1789" w:type="dxa"/>
          </w:tcPr>
          <w:p w14:paraId="48E8BA0D" w14:textId="77777777" w:rsidR="00D94935" w:rsidRDefault="00D94935" w:rsidP="003A681D">
            <w:pPr>
              <w:pStyle w:val="TableText"/>
              <w:spacing w:before="120" w:after="120"/>
            </w:pPr>
            <w:r>
              <w:t>5751</w:t>
            </w:r>
          </w:p>
        </w:tc>
        <w:tc>
          <w:tcPr>
            <w:tcW w:w="4897" w:type="dxa"/>
          </w:tcPr>
          <w:p w14:paraId="2336660E" w14:textId="77777777" w:rsidR="00D94935" w:rsidRDefault="00D94935" w:rsidP="003A681D">
            <w:pPr>
              <w:pStyle w:val="TableText"/>
              <w:spacing w:before="120" w:after="120"/>
            </w:pPr>
            <w:r>
              <w:t>Reference appeals to Supreme Court—application for reference appeal</w:t>
            </w:r>
          </w:p>
        </w:tc>
      </w:tr>
      <w:tr w:rsidR="00D94935" w14:paraId="703BCCD9" w14:textId="77777777" w:rsidTr="00D825E5">
        <w:tc>
          <w:tcPr>
            <w:tcW w:w="1011" w:type="dxa"/>
          </w:tcPr>
          <w:p w14:paraId="10467902" w14:textId="77777777" w:rsidR="00D94935" w:rsidRDefault="00D94935" w:rsidP="003A681D">
            <w:pPr>
              <w:pStyle w:val="TableText"/>
              <w:spacing w:before="120" w:after="120"/>
            </w:pPr>
            <w:r>
              <w:t>111</w:t>
            </w:r>
          </w:p>
        </w:tc>
        <w:tc>
          <w:tcPr>
            <w:tcW w:w="1789" w:type="dxa"/>
          </w:tcPr>
          <w:p w14:paraId="7A9CE8C3" w14:textId="77777777" w:rsidR="00D94935" w:rsidRDefault="00D94935" w:rsidP="003A681D">
            <w:pPr>
              <w:pStyle w:val="TableText"/>
              <w:spacing w:before="120" w:after="120"/>
            </w:pPr>
            <w:r>
              <w:t>5754</w:t>
            </w:r>
          </w:p>
        </w:tc>
        <w:tc>
          <w:tcPr>
            <w:tcW w:w="4897" w:type="dxa"/>
          </w:tcPr>
          <w:p w14:paraId="709A7307" w14:textId="77777777" w:rsidR="00D94935" w:rsidRDefault="00D94935" w:rsidP="003A681D">
            <w:pPr>
              <w:pStyle w:val="TableText"/>
              <w:spacing w:before="120" w:after="120"/>
            </w:pPr>
            <w:r>
              <w:t>Reference appeals to Supreme Court—discontinuance of reference appeal</w:t>
            </w:r>
          </w:p>
        </w:tc>
      </w:tr>
      <w:tr w:rsidR="00D94935" w14:paraId="22835AC8" w14:textId="77777777" w:rsidTr="00D825E5">
        <w:tc>
          <w:tcPr>
            <w:tcW w:w="1011" w:type="dxa"/>
          </w:tcPr>
          <w:p w14:paraId="412EA408" w14:textId="77777777" w:rsidR="00D94935" w:rsidRDefault="00D94935" w:rsidP="003A681D">
            <w:pPr>
              <w:pStyle w:val="TableText"/>
              <w:spacing w:before="120" w:after="120"/>
            </w:pPr>
            <w:r>
              <w:lastRenderedPageBreak/>
              <w:t>112</w:t>
            </w:r>
          </w:p>
        </w:tc>
        <w:tc>
          <w:tcPr>
            <w:tcW w:w="1789" w:type="dxa"/>
          </w:tcPr>
          <w:p w14:paraId="3557A2D8" w14:textId="77777777" w:rsidR="00D94935" w:rsidRDefault="00D94935" w:rsidP="003A681D">
            <w:pPr>
              <w:pStyle w:val="TableText"/>
              <w:spacing w:before="120" w:after="120"/>
            </w:pPr>
            <w:r>
              <w:t>5774</w:t>
            </w:r>
          </w:p>
        </w:tc>
        <w:tc>
          <w:tcPr>
            <w:tcW w:w="4897" w:type="dxa"/>
          </w:tcPr>
          <w:p w14:paraId="7E0F0D6F" w14:textId="77777777" w:rsidR="00D94935" w:rsidRDefault="00D94935" w:rsidP="003A681D">
            <w:pPr>
              <w:pStyle w:val="TableText"/>
              <w:spacing w:before="120" w:after="120"/>
            </w:pPr>
            <w:r>
              <w:t>Reference appeals to Court of Appeal—discontinuance of reference appeal</w:t>
            </w:r>
          </w:p>
        </w:tc>
      </w:tr>
      <w:tr w:rsidR="00D94935" w14:paraId="44C93F6D" w14:textId="77777777" w:rsidTr="00D825E5">
        <w:trPr>
          <w:cantSplit/>
        </w:trPr>
        <w:tc>
          <w:tcPr>
            <w:tcW w:w="1011" w:type="dxa"/>
          </w:tcPr>
          <w:p w14:paraId="243E5D16" w14:textId="77777777" w:rsidR="00D94935" w:rsidRDefault="00D94935" w:rsidP="003A681D">
            <w:pPr>
              <w:pStyle w:val="TableText"/>
              <w:spacing w:before="120" w:after="120"/>
            </w:pPr>
            <w:r>
              <w:t>113</w:t>
            </w:r>
          </w:p>
        </w:tc>
        <w:tc>
          <w:tcPr>
            <w:tcW w:w="1789" w:type="dxa"/>
          </w:tcPr>
          <w:p w14:paraId="0785D1D6" w14:textId="77777777" w:rsidR="00D94935" w:rsidRDefault="00D94935" w:rsidP="003A681D">
            <w:pPr>
              <w:pStyle w:val="TableText"/>
              <w:spacing w:before="120" w:after="120"/>
            </w:pPr>
            <w:r>
              <w:t>5804</w:t>
            </w:r>
          </w:p>
        </w:tc>
        <w:tc>
          <w:tcPr>
            <w:tcW w:w="4897" w:type="dxa"/>
          </w:tcPr>
          <w:p w14:paraId="33CFC51A" w14:textId="77777777" w:rsidR="00D94935" w:rsidRDefault="00D94935" w:rsidP="003A681D">
            <w:pPr>
              <w:pStyle w:val="TableText"/>
              <w:spacing w:before="120" w:after="120"/>
            </w:pPr>
            <w:r>
              <w:t>Special case to Supreme Court—person with legal disability</w:t>
            </w:r>
          </w:p>
        </w:tc>
      </w:tr>
      <w:tr w:rsidR="00D94935" w14:paraId="7A3EEF45" w14:textId="77777777" w:rsidTr="00D825E5">
        <w:trPr>
          <w:cantSplit/>
        </w:trPr>
        <w:tc>
          <w:tcPr>
            <w:tcW w:w="1011" w:type="dxa"/>
          </w:tcPr>
          <w:p w14:paraId="77930F49" w14:textId="77777777" w:rsidR="00D94935" w:rsidRDefault="00D94935" w:rsidP="003A681D">
            <w:pPr>
              <w:pStyle w:val="TableText"/>
              <w:spacing w:before="120" w:after="120"/>
            </w:pPr>
            <w:r>
              <w:t>114</w:t>
            </w:r>
          </w:p>
        </w:tc>
        <w:tc>
          <w:tcPr>
            <w:tcW w:w="1789" w:type="dxa"/>
          </w:tcPr>
          <w:p w14:paraId="5FBE69CA" w14:textId="77777777" w:rsidR="00D94935" w:rsidRDefault="00D94935" w:rsidP="003A681D">
            <w:pPr>
              <w:pStyle w:val="TableText"/>
              <w:spacing w:before="120" w:after="120"/>
            </w:pPr>
            <w:r>
              <w:t>5807</w:t>
            </w:r>
          </w:p>
        </w:tc>
        <w:tc>
          <w:tcPr>
            <w:tcW w:w="4897" w:type="dxa"/>
          </w:tcPr>
          <w:p w14:paraId="26ED5768" w14:textId="77777777" w:rsidR="00D94935" w:rsidRDefault="00D94935" w:rsidP="00915E52">
            <w:pPr>
              <w:pStyle w:val="TableText"/>
              <w:keepLines/>
              <w:spacing w:before="120" w:after="120"/>
            </w:pPr>
            <w:r>
              <w:t>Special case to Supreme Court—insufficient statement of case</w:t>
            </w:r>
          </w:p>
        </w:tc>
      </w:tr>
      <w:tr w:rsidR="00D94935" w14:paraId="51654BB7" w14:textId="77777777" w:rsidTr="00D825E5">
        <w:tc>
          <w:tcPr>
            <w:tcW w:w="1011" w:type="dxa"/>
          </w:tcPr>
          <w:p w14:paraId="5B6E16A3" w14:textId="77777777" w:rsidR="00D94935" w:rsidRDefault="00D94935" w:rsidP="003A681D">
            <w:pPr>
              <w:pStyle w:val="TableText"/>
              <w:spacing w:before="120"/>
            </w:pPr>
            <w:r>
              <w:t>115</w:t>
            </w:r>
          </w:p>
        </w:tc>
        <w:tc>
          <w:tcPr>
            <w:tcW w:w="1789" w:type="dxa"/>
          </w:tcPr>
          <w:p w14:paraId="29674CB3" w14:textId="77777777" w:rsidR="00D94935" w:rsidRDefault="00D94935" w:rsidP="003A681D">
            <w:pPr>
              <w:pStyle w:val="TableText"/>
              <w:spacing w:before="120"/>
            </w:pPr>
            <w:r>
              <w:t>5833</w:t>
            </w:r>
          </w:p>
        </w:tc>
        <w:tc>
          <w:tcPr>
            <w:tcW w:w="4897" w:type="dxa"/>
          </w:tcPr>
          <w:p w14:paraId="7AF62E90" w14:textId="77777777" w:rsidR="00D94935" w:rsidRDefault="00D94935" w:rsidP="003A681D">
            <w:pPr>
              <w:pStyle w:val="TableText"/>
              <w:spacing w:before="120"/>
            </w:pPr>
            <w:r>
              <w:t>Special case to Court of Appeal—preparation and settling</w:t>
            </w:r>
          </w:p>
        </w:tc>
      </w:tr>
      <w:tr w:rsidR="00D94935" w14:paraId="34DB0692" w14:textId="77777777" w:rsidTr="00D825E5">
        <w:tc>
          <w:tcPr>
            <w:tcW w:w="1011" w:type="dxa"/>
          </w:tcPr>
          <w:p w14:paraId="361679A2" w14:textId="77777777" w:rsidR="00D94935" w:rsidRDefault="00D94935" w:rsidP="003A681D">
            <w:pPr>
              <w:pStyle w:val="TableText"/>
              <w:spacing w:before="120"/>
            </w:pPr>
            <w:r>
              <w:t>116</w:t>
            </w:r>
          </w:p>
        </w:tc>
        <w:tc>
          <w:tcPr>
            <w:tcW w:w="1789" w:type="dxa"/>
          </w:tcPr>
          <w:p w14:paraId="174500A3" w14:textId="77777777" w:rsidR="00D94935" w:rsidRDefault="00D94935" w:rsidP="003A681D">
            <w:pPr>
              <w:pStyle w:val="TableText"/>
              <w:spacing w:before="120"/>
            </w:pPr>
            <w:r>
              <w:t>6142 (3) (c)</w:t>
            </w:r>
          </w:p>
        </w:tc>
        <w:tc>
          <w:tcPr>
            <w:tcW w:w="4897" w:type="dxa"/>
          </w:tcPr>
          <w:p w14:paraId="4D363D50" w14:textId="77777777" w:rsidR="00D94935" w:rsidRDefault="00D94935" w:rsidP="003A681D">
            <w:pPr>
              <w:pStyle w:val="TableText"/>
              <w:spacing w:before="120"/>
            </w:pPr>
            <w:r>
              <w:t>Rejecting documents—abuse of process etc</w:t>
            </w:r>
          </w:p>
        </w:tc>
      </w:tr>
      <w:tr w:rsidR="00D94935" w14:paraId="5C4B80B5" w14:textId="77777777" w:rsidTr="00D825E5">
        <w:tc>
          <w:tcPr>
            <w:tcW w:w="1011" w:type="dxa"/>
          </w:tcPr>
          <w:p w14:paraId="6197C488" w14:textId="5E44BF33" w:rsidR="00D94935" w:rsidRDefault="00D94935" w:rsidP="003A681D">
            <w:pPr>
              <w:pStyle w:val="TableText"/>
              <w:spacing w:before="120"/>
            </w:pPr>
            <w:r>
              <w:t>11</w:t>
            </w:r>
            <w:r w:rsidR="00D825E5">
              <w:t>7</w:t>
            </w:r>
          </w:p>
        </w:tc>
        <w:tc>
          <w:tcPr>
            <w:tcW w:w="1789" w:type="dxa"/>
          </w:tcPr>
          <w:p w14:paraId="165B838E" w14:textId="77777777" w:rsidR="00D94935" w:rsidRDefault="00D94935" w:rsidP="003A681D">
            <w:pPr>
              <w:pStyle w:val="TableText"/>
              <w:spacing w:before="120"/>
            </w:pPr>
            <w:r>
              <w:t>6522</w:t>
            </w:r>
          </w:p>
        </w:tc>
        <w:tc>
          <w:tcPr>
            <w:tcW w:w="4897" w:type="dxa"/>
          </w:tcPr>
          <w:p w14:paraId="4FD29283" w14:textId="77777777" w:rsidR="00D94935" w:rsidRDefault="00D94935" w:rsidP="003A681D">
            <w:pPr>
              <w:pStyle w:val="TableText"/>
              <w:spacing w:before="120"/>
            </w:pPr>
            <w:r>
              <w:t>Application for leave to serve subpoena in New Zealand</w:t>
            </w:r>
          </w:p>
        </w:tc>
      </w:tr>
      <w:tr w:rsidR="00D94935" w14:paraId="6FD67F41" w14:textId="77777777" w:rsidTr="00D825E5">
        <w:tc>
          <w:tcPr>
            <w:tcW w:w="1011" w:type="dxa"/>
          </w:tcPr>
          <w:p w14:paraId="579586C7" w14:textId="7F3BBA6F" w:rsidR="00D94935" w:rsidRDefault="00D94935" w:rsidP="003A681D">
            <w:pPr>
              <w:pStyle w:val="TableText"/>
              <w:spacing w:before="120"/>
            </w:pPr>
            <w:r>
              <w:t>11</w:t>
            </w:r>
            <w:r w:rsidR="00D825E5">
              <w:t>8</w:t>
            </w:r>
          </w:p>
        </w:tc>
        <w:tc>
          <w:tcPr>
            <w:tcW w:w="1789" w:type="dxa"/>
          </w:tcPr>
          <w:p w14:paraId="1E607722" w14:textId="77777777" w:rsidR="00D94935" w:rsidRDefault="00D94935" w:rsidP="003A681D">
            <w:pPr>
              <w:pStyle w:val="TableText"/>
              <w:spacing w:before="120"/>
            </w:pPr>
            <w:r>
              <w:t>6524</w:t>
            </w:r>
          </w:p>
        </w:tc>
        <w:tc>
          <w:tcPr>
            <w:tcW w:w="4897" w:type="dxa"/>
          </w:tcPr>
          <w:p w14:paraId="75C709F9" w14:textId="77777777" w:rsidR="00D94935" w:rsidRDefault="00D94935" w:rsidP="003A681D">
            <w:pPr>
              <w:pStyle w:val="TableText"/>
              <w:spacing w:before="120"/>
            </w:pPr>
            <w:r>
              <w:t>Application for leave to serve subpoena in New Zealand need not be served etc</w:t>
            </w:r>
          </w:p>
        </w:tc>
      </w:tr>
      <w:tr w:rsidR="00D94935" w14:paraId="56C65B3B" w14:textId="77777777" w:rsidTr="00D825E5">
        <w:tc>
          <w:tcPr>
            <w:tcW w:w="1011" w:type="dxa"/>
          </w:tcPr>
          <w:p w14:paraId="12DCCCBD" w14:textId="16124EEF" w:rsidR="00D94935" w:rsidRDefault="00D94935" w:rsidP="003A681D">
            <w:pPr>
              <w:pStyle w:val="TableText"/>
              <w:spacing w:before="120"/>
            </w:pPr>
            <w:r>
              <w:t>1</w:t>
            </w:r>
            <w:r w:rsidR="00D825E5">
              <w:t>19</w:t>
            </w:r>
          </w:p>
        </w:tc>
        <w:tc>
          <w:tcPr>
            <w:tcW w:w="1789" w:type="dxa"/>
          </w:tcPr>
          <w:p w14:paraId="3BA72655" w14:textId="77777777" w:rsidR="00D94935" w:rsidRDefault="00D94935" w:rsidP="003A681D">
            <w:pPr>
              <w:pStyle w:val="TableText"/>
              <w:spacing w:before="120"/>
            </w:pPr>
            <w:r>
              <w:t>6762</w:t>
            </w:r>
          </w:p>
        </w:tc>
        <w:tc>
          <w:tcPr>
            <w:tcW w:w="4897" w:type="dxa"/>
          </w:tcPr>
          <w:p w14:paraId="16766326" w14:textId="77777777" w:rsidR="00D94935" w:rsidRDefault="00D94935" w:rsidP="003A681D">
            <w:pPr>
              <w:pStyle w:val="TableText"/>
              <w:spacing w:before="120"/>
            </w:pPr>
            <w:r>
              <w:t>Custody of exhibits after proceeding</w:t>
            </w:r>
          </w:p>
        </w:tc>
      </w:tr>
      <w:tr w:rsidR="00D94935" w14:paraId="579AD650" w14:textId="77777777" w:rsidTr="00D825E5">
        <w:tc>
          <w:tcPr>
            <w:tcW w:w="1011" w:type="dxa"/>
          </w:tcPr>
          <w:p w14:paraId="12A6C9A4" w14:textId="3BBC2E4E" w:rsidR="00D94935" w:rsidRDefault="00D94935" w:rsidP="003A681D">
            <w:pPr>
              <w:pStyle w:val="TableText"/>
              <w:spacing w:before="120"/>
            </w:pPr>
            <w:r>
              <w:t>12</w:t>
            </w:r>
            <w:r w:rsidR="00D825E5">
              <w:t>0</w:t>
            </w:r>
          </w:p>
        </w:tc>
        <w:tc>
          <w:tcPr>
            <w:tcW w:w="1789" w:type="dxa"/>
          </w:tcPr>
          <w:p w14:paraId="23925EF0" w14:textId="77777777" w:rsidR="00D94935" w:rsidRDefault="00D94935" w:rsidP="003A681D">
            <w:pPr>
              <w:pStyle w:val="TableText"/>
              <w:spacing w:before="120"/>
            </w:pPr>
            <w:r>
              <w:t>6816</w:t>
            </w:r>
          </w:p>
        </w:tc>
        <w:tc>
          <w:tcPr>
            <w:tcW w:w="4897" w:type="dxa"/>
          </w:tcPr>
          <w:p w14:paraId="4150E62B" w14:textId="77777777" w:rsidR="00D94935" w:rsidRDefault="00D94935" w:rsidP="003A681D">
            <w:pPr>
              <w:pStyle w:val="TableText"/>
              <w:spacing w:before="120"/>
            </w:pPr>
            <w:r>
              <w:t>Appointment of examiner</w:t>
            </w:r>
          </w:p>
        </w:tc>
      </w:tr>
      <w:tr w:rsidR="00D94935" w14:paraId="569AFC89" w14:textId="77777777" w:rsidTr="00D825E5">
        <w:tc>
          <w:tcPr>
            <w:tcW w:w="1011" w:type="dxa"/>
          </w:tcPr>
          <w:p w14:paraId="6A1C9AF8" w14:textId="66D6F1AE" w:rsidR="00D94935" w:rsidRDefault="00D94935" w:rsidP="003A681D">
            <w:pPr>
              <w:pStyle w:val="TableText"/>
              <w:spacing w:before="120"/>
            </w:pPr>
            <w:r>
              <w:t>12</w:t>
            </w:r>
            <w:r w:rsidR="00D825E5">
              <w:t>1</w:t>
            </w:r>
          </w:p>
        </w:tc>
        <w:tc>
          <w:tcPr>
            <w:tcW w:w="1789" w:type="dxa"/>
          </w:tcPr>
          <w:p w14:paraId="6672091D" w14:textId="77777777" w:rsidR="00D94935" w:rsidRDefault="00D94935" w:rsidP="003A681D">
            <w:pPr>
              <w:pStyle w:val="TableText"/>
              <w:spacing w:before="120"/>
            </w:pPr>
            <w:r>
              <w:t>6817</w:t>
            </w:r>
          </w:p>
        </w:tc>
        <w:tc>
          <w:tcPr>
            <w:tcW w:w="4897" w:type="dxa"/>
          </w:tcPr>
          <w:p w14:paraId="3FD48264" w14:textId="77777777" w:rsidR="00D94935" w:rsidRDefault="00D94935" w:rsidP="003A681D">
            <w:pPr>
              <w:pStyle w:val="TableText"/>
              <w:spacing w:before="120"/>
            </w:pPr>
            <w:r>
              <w:t>Documents for examiner</w:t>
            </w:r>
          </w:p>
        </w:tc>
      </w:tr>
      <w:tr w:rsidR="00D94935" w14:paraId="12B16421" w14:textId="77777777" w:rsidTr="00D825E5">
        <w:tc>
          <w:tcPr>
            <w:tcW w:w="1011" w:type="dxa"/>
          </w:tcPr>
          <w:p w14:paraId="12D6F52E" w14:textId="6E4284BB" w:rsidR="00D94935" w:rsidRDefault="00D94935" w:rsidP="003A681D">
            <w:pPr>
              <w:pStyle w:val="TableText"/>
              <w:spacing w:before="120"/>
            </w:pPr>
            <w:r>
              <w:t>12</w:t>
            </w:r>
            <w:r w:rsidR="00D825E5">
              <w:t>2</w:t>
            </w:r>
          </w:p>
        </w:tc>
        <w:tc>
          <w:tcPr>
            <w:tcW w:w="1789" w:type="dxa"/>
          </w:tcPr>
          <w:p w14:paraId="5B889E48" w14:textId="77777777" w:rsidR="00D94935" w:rsidRDefault="00D94935" w:rsidP="003A681D">
            <w:pPr>
              <w:pStyle w:val="TableText"/>
              <w:spacing w:before="120"/>
            </w:pPr>
            <w:r>
              <w:t>6904</w:t>
            </w:r>
          </w:p>
        </w:tc>
        <w:tc>
          <w:tcPr>
            <w:tcW w:w="4897" w:type="dxa"/>
          </w:tcPr>
          <w:p w14:paraId="232D0F51" w14:textId="77777777" w:rsidR="00D94935" w:rsidRDefault="00D94935" w:rsidP="003A681D">
            <w:pPr>
              <w:pStyle w:val="TableText"/>
              <w:spacing w:before="120"/>
            </w:pPr>
            <w:r>
              <w:t>Mandatory order to registrar etc</w:t>
            </w:r>
          </w:p>
        </w:tc>
      </w:tr>
      <w:tr w:rsidR="00D94935" w14:paraId="20140870" w14:textId="77777777" w:rsidTr="00D825E5">
        <w:trPr>
          <w:cantSplit/>
        </w:trPr>
        <w:tc>
          <w:tcPr>
            <w:tcW w:w="1011" w:type="dxa"/>
          </w:tcPr>
          <w:p w14:paraId="3A5B0754" w14:textId="2A02734A" w:rsidR="00D94935" w:rsidRDefault="00D94935" w:rsidP="003A681D">
            <w:pPr>
              <w:pStyle w:val="TableText"/>
              <w:spacing w:before="120"/>
            </w:pPr>
            <w:r>
              <w:t>12</w:t>
            </w:r>
            <w:r w:rsidR="00D825E5">
              <w:t>3</w:t>
            </w:r>
          </w:p>
        </w:tc>
        <w:tc>
          <w:tcPr>
            <w:tcW w:w="1789" w:type="dxa"/>
          </w:tcPr>
          <w:p w14:paraId="5134E3FA" w14:textId="77777777" w:rsidR="00D94935" w:rsidRDefault="00D94935" w:rsidP="003A681D">
            <w:pPr>
              <w:pStyle w:val="TableText"/>
              <w:spacing w:before="120"/>
            </w:pPr>
            <w:r>
              <w:t>6906, if order or certificate of judge</w:t>
            </w:r>
          </w:p>
        </w:tc>
        <w:tc>
          <w:tcPr>
            <w:tcW w:w="4897" w:type="dxa"/>
          </w:tcPr>
          <w:p w14:paraId="751ACC14" w14:textId="77777777" w:rsidR="00D94935" w:rsidRDefault="00D94935" w:rsidP="003A681D">
            <w:pPr>
              <w:pStyle w:val="TableText"/>
              <w:spacing w:before="120"/>
            </w:pPr>
            <w:r>
              <w:t>Mistakes in orders or court certificates</w:t>
            </w:r>
          </w:p>
        </w:tc>
      </w:tr>
      <w:tr w:rsidR="00D94935" w14:paraId="4282A425" w14:textId="77777777" w:rsidTr="00D825E5">
        <w:trPr>
          <w:cantSplit/>
        </w:trPr>
        <w:tc>
          <w:tcPr>
            <w:tcW w:w="1011" w:type="dxa"/>
          </w:tcPr>
          <w:p w14:paraId="3B947D31" w14:textId="49DB9B0A" w:rsidR="00D94935" w:rsidRPr="0028337B" w:rsidRDefault="00D94935" w:rsidP="003A681D">
            <w:pPr>
              <w:pStyle w:val="TableText"/>
              <w:spacing w:before="120"/>
            </w:pPr>
            <w:r w:rsidRPr="0028337B">
              <w:t>12</w:t>
            </w:r>
            <w:r w:rsidR="00D825E5">
              <w:t>4</w:t>
            </w:r>
          </w:p>
        </w:tc>
        <w:tc>
          <w:tcPr>
            <w:tcW w:w="1789" w:type="dxa"/>
          </w:tcPr>
          <w:p w14:paraId="4A9385BC" w14:textId="77777777" w:rsidR="00D94935" w:rsidRPr="0028337B" w:rsidRDefault="00D94935" w:rsidP="003A681D">
            <w:pPr>
              <w:pStyle w:val="TableText"/>
              <w:spacing w:before="120"/>
            </w:pPr>
            <w:r w:rsidRPr="0028337B">
              <w:t>pt 6.10A</w:t>
            </w:r>
          </w:p>
        </w:tc>
        <w:tc>
          <w:tcPr>
            <w:tcW w:w="4897" w:type="dxa"/>
          </w:tcPr>
          <w:p w14:paraId="187E5B56" w14:textId="77777777" w:rsidR="00D94935" w:rsidRPr="0028337B" w:rsidRDefault="00D94935" w:rsidP="003A681D">
            <w:pPr>
              <w:pStyle w:val="TableText"/>
              <w:spacing w:before="120"/>
            </w:pPr>
            <w:r w:rsidRPr="0028337B">
              <w:t>Trans-Tasman proceedings</w:t>
            </w:r>
          </w:p>
        </w:tc>
      </w:tr>
    </w:tbl>
    <w:p w14:paraId="2043FFA6" w14:textId="77777777" w:rsidR="00980678" w:rsidRDefault="00980678">
      <w:pPr>
        <w:pStyle w:val="03Schedule"/>
        <w:sectPr w:rsidR="00980678" w:rsidSect="00CD3DF7">
          <w:headerReference w:type="even" r:id="rId977"/>
          <w:headerReference w:type="default" r:id="rId978"/>
          <w:footerReference w:type="even" r:id="rId979"/>
          <w:footerReference w:type="default" r:id="rId980"/>
          <w:type w:val="continuous"/>
          <w:pgSz w:w="11907" w:h="16839" w:code="9"/>
          <w:pgMar w:top="3880" w:right="1900" w:bottom="3100" w:left="2300" w:header="2280" w:footer="1760" w:gutter="0"/>
          <w:cols w:space="720"/>
        </w:sectPr>
      </w:pPr>
    </w:p>
    <w:p w14:paraId="3342D2A4" w14:textId="77777777" w:rsidR="00D94935" w:rsidRDefault="00D94935" w:rsidP="00D94935">
      <w:pPr>
        <w:pStyle w:val="PageBreak"/>
      </w:pPr>
      <w:r>
        <w:br w:type="page"/>
      </w:r>
    </w:p>
    <w:p w14:paraId="2597A3F0" w14:textId="77777777" w:rsidR="00D94935" w:rsidRPr="00C8328B" w:rsidRDefault="00D94935" w:rsidP="00D94935">
      <w:pPr>
        <w:pStyle w:val="Sched-Part"/>
      </w:pPr>
      <w:bookmarkStart w:id="1944" w:name="_Toc185515560"/>
      <w:r w:rsidRPr="00C8328B">
        <w:rPr>
          <w:rStyle w:val="CharPartNo"/>
        </w:rPr>
        <w:lastRenderedPageBreak/>
        <w:t>Part 5.2</w:t>
      </w:r>
      <w:r>
        <w:tab/>
      </w:r>
      <w:r w:rsidRPr="00C8328B">
        <w:rPr>
          <w:rStyle w:val="CharPartText"/>
        </w:rPr>
        <w:t>Jurisdiction related to Corporations Act exercisable by registrar of Supreme Court</w:t>
      </w:r>
      <w:bookmarkEnd w:id="1944"/>
    </w:p>
    <w:p w14:paraId="4578F72B" w14:textId="77777777"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14:paraId="27BFF409" w14:textId="77777777" w:rsidTr="003A681D">
        <w:trPr>
          <w:cantSplit/>
          <w:tblHeader/>
        </w:trPr>
        <w:tc>
          <w:tcPr>
            <w:tcW w:w="1134" w:type="dxa"/>
          </w:tcPr>
          <w:p w14:paraId="4CAF0350" w14:textId="77777777" w:rsidR="00D94935" w:rsidRDefault="00D94935" w:rsidP="003A681D">
            <w:pPr>
              <w:pStyle w:val="TableColHd"/>
            </w:pPr>
            <w:r>
              <w:t>column 1</w:t>
            </w:r>
          </w:p>
          <w:p w14:paraId="711EF3F8" w14:textId="77777777" w:rsidR="00D94935" w:rsidRDefault="00D94935" w:rsidP="003A681D">
            <w:pPr>
              <w:pStyle w:val="TableColHd"/>
            </w:pPr>
            <w:r>
              <w:t>item</w:t>
            </w:r>
          </w:p>
        </w:tc>
        <w:tc>
          <w:tcPr>
            <w:tcW w:w="2167" w:type="dxa"/>
          </w:tcPr>
          <w:p w14:paraId="4B825E1D" w14:textId="77777777" w:rsidR="00D94935" w:rsidRDefault="00D94935" w:rsidP="003A681D">
            <w:pPr>
              <w:pStyle w:val="TableColHd"/>
            </w:pPr>
            <w:r>
              <w:t>column 2</w:t>
            </w:r>
          </w:p>
          <w:p w14:paraId="63616376" w14:textId="77777777" w:rsidR="00D94935" w:rsidRDefault="00D94935" w:rsidP="003A681D">
            <w:pPr>
              <w:pStyle w:val="TableColHd"/>
              <w:ind w:right="348"/>
            </w:pPr>
            <w:r>
              <w:t xml:space="preserve">provision of Corporations Act </w:t>
            </w:r>
          </w:p>
        </w:tc>
        <w:tc>
          <w:tcPr>
            <w:tcW w:w="1367" w:type="dxa"/>
          </w:tcPr>
          <w:p w14:paraId="2A319969" w14:textId="77777777" w:rsidR="00D94935" w:rsidRDefault="00D94935" w:rsidP="003A681D">
            <w:pPr>
              <w:pStyle w:val="TableColHd"/>
            </w:pPr>
            <w:r>
              <w:t>column 3</w:t>
            </w:r>
          </w:p>
          <w:p w14:paraId="4BD70811" w14:textId="77777777" w:rsidR="00D94935" w:rsidRDefault="00D94935" w:rsidP="003A681D">
            <w:pPr>
              <w:pStyle w:val="TableColHd"/>
            </w:pPr>
            <w:r>
              <w:t>rule in sch 6</w:t>
            </w:r>
          </w:p>
        </w:tc>
        <w:tc>
          <w:tcPr>
            <w:tcW w:w="3259" w:type="dxa"/>
          </w:tcPr>
          <w:p w14:paraId="135D537D" w14:textId="77777777" w:rsidR="00D94935" w:rsidRDefault="00D94935" w:rsidP="003A681D">
            <w:pPr>
              <w:pStyle w:val="TableColHd"/>
            </w:pPr>
            <w:r>
              <w:t>column 4</w:t>
            </w:r>
          </w:p>
          <w:p w14:paraId="7E5897AE" w14:textId="77777777" w:rsidR="00D94935" w:rsidRDefault="00D94935" w:rsidP="003A681D">
            <w:pPr>
              <w:pStyle w:val="TableColHd"/>
              <w:ind w:right="698"/>
            </w:pPr>
            <w:r>
              <w:t>description (for information only)</w:t>
            </w:r>
          </w:p>
        </w:tc>
      </w:tr>
      <w:tr w:rsidR="00D94935" w14:paraId="5664DC3E" w14:textId="77777777" w:rsidTr="003A681D">
        <w:trPr>
          <w:cantSplit/>
        </w:trPr>
        <w:tc>
          <w:tcPr>
            <w:tcW w:w="1134" w:type="dxa"/>
          </w:tcPr>
          <w:p w14:paraId="0A01C0A2" w14:textId="77777777" w:rsidR="00D94935" w:rsidRDefault="00D94935" w:rsidP="003A681D">
            <w:pPr>
              <w:pStyle w:val="TableText"/>
              <w:spacing w:before="120" w:after="120"/>
            </w:pPr>
            <w:r>
              <w:t>1</w:t>
            </w:r>
          </w:p>
        </w:tc>
        <w:tc>
          <w:tcPr>
            <w:tcW w:w="2167" w:type="dxa"/>
          </w:tcPr>
          <w:p w14:paraId="0047C5A5" w14:textId="77777777" w:rsidR="00D94935" w:rsidRDefault="00D94935" w:rsidP="003A681D">
            <w:pPr>
              <w:pStyle w:val="TableText"/>
              <w:spacing w:before="120" w:after="120"/>
            </w:pPr>
          </w:p>
        </w:tc>
        <w:tc>
          <w:tcPr>
            <w:tcW w:w="1367" w:type="dxa"/>
          </w:tcPr>
          <w:p w14:paraId="5C7606A8" w14:textId="77777777" w:rsidR="00D94935" w:rsidRDefault="00D94935" w:rsidP="003A681D">
            <w:pPr>
              <w:pStyle w:val="TableText"/>
              <w:spacing w:before="120" w:after="120"/>
            </w:pPr>
            <w:r>
              <w:t>1.8</w:t>
            </w:r>
          </w:p>
        </w:tc>
        <w:tc>
          <w:tcPr>
            <w:tcW w:w="3259" w:type="dxa"/>
          </w:tcPr>
          <w:p w14:paraId="36EA5252" w14:textId="77777777" w:rsidR="00D94935" w:rsidRDefault="00D94935" w:rsidP="003A681D">
            <w:pPr>
              <w:pStyle w:val="TableText"/>
              <w:spacing w:before="120" w:after="120"/>
            </w:pPr>
            <w:r>
              <w:t>power to give directions</w:t>
            </w:r>
          </w:p>
        </w:tc>
      </w:tr>
      <w:tr w:rsidR="00D94935" w14:paraId="2D55F6A7" w14:textId="77777777" w:rsidTr="003A681D">
        <w:trPr>
          <w:cantSplit/>
        </w:trPr>
        <w:tc>
          <w:tcPr>
            <w:tcW w:w="1134" w:type="dxa"/>
          </w:tcPr>
          <w:p w14:paraId="76622929" w14:textId="77777777" w:rsidR="00D94935" w:rsidRDefault="00D94935" w:rsidP="003A681D">
            <w:pPr>
              <w:pStyle w:val="TableText"/>
              <w:spacing w:before="120" w:after="120"/>
            </w:pPr>
            <w:r>
              <w:t>2</w:t>
            </w:r>
          </w:p>
        </w:tc>
        <w:tc>
          <w:tcPr>
            <w:tcW w:w="2167" w:type="dxa"/>
          </w:tcPr>
          <w:p w14:paraId="2ED206A7" w14:textId="77777777" w:rsidR="00D94935" w:rsidRDefault="00D94935" w:rsidP="003A681D">
            <w:pPr>
              <w:pStyle w:val="TableText"/>
              <w:spacing w:before="120" w:after="120"/>
            </w:pPr>
          </w:p>
        </w:tc>
        <w:tc>
          <w:tcPr>
            <w:tcW w:w="1367" w:type="dxa"/>
          </w:tcPr>
          <w:p w14:paraId="4A55F8C7" w14:textId="77777777" w:rsidR="00D94935" w:rsidRDefault="00D94935" w:rsidP="003A681D">
            <w:pPr>
              <w:pStyle w:val="TableText"/>
              <w:spacing w:before="120" w:after="120"/>
            </w:pPr>
            <w:r>
              <w:t>2.13</w:t>
            </w:r>
          </w:p>
        </w:tc>
        <w:tc>
          <w:tcPr>
            <w:tcW w:w="3259" w:type="dxa"/>
          </w:tcPr>
          <w:p w14:paraId="5F35C867" w14:textId="77777777" w:rsidR="00D94935" w:rsidRDefault="00D94935" w:rsidP="003A681D">
            <w:pPr>
              <w:pStyle w:val="TableText"/>
              <w:spacing w:before="120" w:after="120"/>
            </w:pPr>
            <w:r>
              <w:t>power to grant leave to creditor, contributory or officer to be heard in proceeding or be added as a defendant, etc</w:t>
            </w:r>
          </w:p>
        </w:tc>
      </w:tr>
      <w:tr w:rsidR="00D94935" w14:paraId="0CB79860" w14:textId="77777777" w:rsidTr="003A681D">
        <w:trPr>
          <w:cantSplit/>
        </w:trPr>
        <w:tc>
          <w:tcPr>
            <w:tcW w:w="1134" w:type="dxa"/>
          </w:tcPr>
          <w:p w14:paraId="55E43956" w14:textId="77777777" w:rsidR="00D94935" w:rsidRDefault="00D94935" w:rsidP="003A681D">
            <w:pPr>
              <w:pStyle w:val="TableText"/>
              <w:spacing w:before="120" w:after="120"/>
            </w:pPr>
            <w:r>
              <w:t>3</w:t>
            </w:r>
          </w:p>
        </w:tc>
        <w:tc>
          <w:tcPr>
            <w:tcW w:w="2167" w:type="dxa"/>
          </w:tcPr>
          <w:p w14:paraId="2F787BD3" w14:textId="77777777" w:rsidR="00D94935" w:rsidRDefault="00D94935" w:rsidP="003A681D">
            <w:pPr>
              <w:pStyle w:val="TableText"/>
              <w:spacing w:before="120" w:after="120"/>
            </w:pPr>
          </w:p>
        </w:tc>
        <w:tc>
          <w:tcPr>
            <w:tcW w:w="1367" w:type="dxa"/>
          </w:tcPr>
          <w:p w14:paraId="3C33107D" w14:textId="77777777" w:rsidR="00D94935" w:rsidRDefault="00D94935" w:rsidP="003A681D">
            <w:pPr>
              <w:pStyle w:val="TableText"/>
              <w:spacing w:before="120" w:after="120"/>
            </w:pPr>
            <w:r>
              <w:t>2.14</w:t>
            </w:r>
          </w:p>
        </w:tc>
        <w:tc>
          <w:tcPr>
            <w:tcW w:w="3259" w:type="dxa"/>
          </w:tcPr>
          <w:p w14:paraId="0E0C6627" w14:textId="77777777" w:rsidR="00D94935" w:rsidRDefault="00D94935" w:rsidP="003A681D">
            <w:pPr>
              <w:pStyle w:val="TableText"/>
              <w:spacing w:before="120" w:after="120"/>
            </w:pPr>
            <w:r>
              <w:t>power to direct an inquiry in relation to a corporation’s debts, etc</w:t>
            </w:r>
          </w:p>
        </w:tc>
      </w:tr>
      <w:tr w:rsidR="00D94935" w14:paraId="7C85ED58" w14:textId="77777777" w:rsidTr="003A681D">
        <w:trPr>
          <w:cantSplit/>
        </w:trPr>
        <w:tc>
          <w:tcPr>
            <w:tcW w:w="1134" w:type="dxa"/>
          </w:tcPr>
          <w:p w14:paraId="7A5D42CF" w14:textId="77777777" w:rsidR="00D94935" w:rsidRDefault="00D94935" w:rsidP="003A681D">
            <w:pPr>
              <w:pStyle w:val="TableText"/>
              <w:spacing w:before="120" w:after="120"/>
            </w:pPr>
            <w:r>
              <w:t>4</w:t>
            </w:r>
          </w:p>
        </w:tc>
        <w:tc>
          <w:tcPr>
            <w:tcW w:w="2167" w:type="dxa"/>
          </w:tcPr>
          <w:p w14:paraId="66D8F848" w14:textId="77777777" w:rsidR="00D94935" w:rsidRDefault="00D94935" w:rsidP="003A681D">
            <w:pPr>
              <w:pStyle w:val="TableText"/>
              <w:spacing w:before="120" w:after="120"/>
            </w:pPr>
            <w:r>
              <w:t>section 227</w:t>
            </w:r>
          </w:p>
        </w:tc>
        <w:tc>
          <w:tcPr>
            <w:tcW w:w="1367" w:type="dxa"/>
          </w:tcPr>
          <w:p w14:paraId="2CB9D061" w14:textId="77777777" w:rsidR="00D94935" w:rsidRDefault="00D94935" w:rsidP="003A681D">
            <w:pPr>
              <w:pStyle w:val="TableText"/>
              <w:spacing w:before="120" w:after="120"/>
            </w:pPr>
          </w:p>
        </w:tc>
        <w:tc>
          <w:tcPr>
            <w:tcW w:w="3259" w:type="dxa"/>
          </w:tcPr>
          <w:p w14:paraId="6F7BD421" w14:textId="77777777" w:rsidR="00D94935" w:rsidRDefault="00D94935" w:rsidP="003A681D">
            <w:pPr>
              <w:pStyle w:val="TableText"/>
              <w:spacing w:before="120" w:after="120"/>
            </w:pPr>
            <w:r>
              <w:t>power to declare that conditions prescribed by division 3 of part 2E.1 have been satisfied</w:t>
            </w:r>
          </w:p>
        </w:tc>
      </w:tr>
      <w:tr w:rsidR="00D94935" w14:paraId="77452CFA" w14:textId="77777777" w:rsidTr="003A681D">
        <w:trPr>
          <w:cantSplit/>
        </w:trPr>
        <w:tc>
          <w:tcPr>
            <w:tcW w:w="1134" w:type="dxa"/>
          </w:tcPr>
          <w:p w14:paraId="38EF56CF" w14:textId="77777777" w:rsidR="00D94935" w:rsidRDefault="00D94935" w:rsidP="003A681D">
            <w:pPr>
              <w:pStyle w:val="TableText"/>
              <w:spacing w:before="120" w:after="120"/>
            </w:pPr>
            <w:r>
              <w:t>5</w:t>
            </w:r>
          </w:p>
        </w:tc>
        <w:tc>
          <w:tcPr>
            <w:tcW w:w="2167" w:type="dxa"/>
          </w:tcPr>
          <w:p w14:paraId="50E21731" w14:textId="77777777" w:rsidR="00D94935" w:rsidRDefault="00D94935" w:rsidP="003A681D">
            <w:pPr>
              <w:pStyle w:val="TableText"/>
              <w:spacing w:before="120" w:after="120"/>
            </w:pPr>
            <w:r>
              <w:t>sections 247A and 247B</w:t>
            </w:r>
          </w:p>
        </w:tc>
        <w:tc>
          <w:tcPr>
            <w:tcW w:w="1367" w:type="dxa"/>
          </w:tcPr>
          <w:p w14:paraId="0CA0A465" w14:textId="77777777" w:rsidR="00D94935" w:rsidRDefault="00D94935" w:rsidP="003A681D">
            <w:pPr>
              <w:pStyle w:val="TableText"/>
              <w:spacing w:before="120" w:after="120"/>
            </w:pPr>
          </w:p>
        </w:tc>
        <w:tc>
          <w:tcPr>
            <w:tcW w:w="3259" w:type="dxa"/>
          </w:tcPr>
          <w:p w14:paraId="09CF7842" w14:textId="77777777" w:rsidR="00D94935" w:rsidRDefault="00D94935" w:rsidP="003A681D">
            <w:pPr>
              <w:pStyle w:val="TableText"/>
              <w:spacing w:before="120" w:after="120"/>
            </w:pPr>
            <w:r>
              <w:t>power to order inspection of books and to authorise use and copying of information</w:t>
            </w:r>
          </w:p>
        </w:tc>
      </w:tr>
      <w:tr w:rsidR="00D94935" w14:paraId="7A37C3AF" w14:textId="77777777" w:rsidTr="003A681D">
        <w:trPr>
          <w:cantSplit/>
        </w:trPr>
        <w:tc>
          <w:tcPr>
            <w:tcW w:w="1134" w:type="dxa"/>
          </w:tcPr>
          <w:p w14:paraId="33DB6B15" w14:textId="77777777" w:rsidR="00D94935" w:rsidRDefault="00D94935" w:rsidP="003A681D">
            <w:pPr>
              <w:pStyle w:val="TableText"/>
              <w:spacing w:before="120" w:after="120"/>
            </w:pPr>
            <w:r>
              <w:t>6</w:t>
            </w:r>
          </w:p>
        </w:tc>
        <w:tc>
          <w:tcPr>
            <w:tcW w:w="2167" w:type="dxa"/>
          </w:tcPr>
          <w:p w14:paraId="03A7CCA4" w14:textId="77777777" w:rsidR="00D94935" w:rsidRDefault="00D94935" w:rsidP="003A681D">
            <w:pPr>
              <w:pStyle w:val="TableText"/>
              <w:spacing w:before="120" w:after="120"/>
            </w:pPr>
            <w:r>
              <w:t>section 252E</w:t>
            </w:r>
          </w:p>
        </w:tc>
        <w:tc>
          <w:tcPr>
            <w:tcW w:w="1367" w:type="dxa"/>
          </w:tcPr>
          <w:p w14:paraId="5762520B" w14:textId="77777777" w:rsidR="00D94935" w:rsidRDefault="00D94935" w:rsidP="003A681D">
            <w:pPr>
              <w:pStyle w:val="TableText"/>
              <w:spacing w:before="120" w:after="120"/>
            </w:pPr>
          </w:p>
        </w:tc>
        <w:tc>
          <w:tcPr>
            <w:tcW w:w="3259" w:type="dxa"/>
          </w:tcPr>
          <w:p w14:paraId="71F25F1D" w14:textId="77777777" w:rsidR="00D94935" w:rsidRDefault="00D94935" w:rsidP="003A681D">
            <w:pPr>
              <w:pStyle w:val="TableText"/>
              <w:spacing w:before="120" w:after="120"/>
            </w:pPr>
            <w:r>
              <w:t>power to order meeting of members of registered scheme</w:t>
            </w:r>
          </w:p>
        </w:tc>
      </w:tr>
      <w:tr w:rsidR="00D94935" w14:paraId="283B48F4" w14:textId="77777777" w:rsidTr="003A681D">
        <w:trPr>
          <w:cantSplit/>
        </w:trPr>
        <w:tc>
          <w:tcPr>
            <w:tcW w:w="1134" w:type="dxa"/>
          </w:tcPr>
          <w:p w14:paraId="485AFCFF" w14:textId="77777777" w:rsidR="00D94935" w:rsidRDefault="00D94935" w:rsidP="003A681D">
            <w:pPr>
              <w:pStyle w:val="TableText"/>
              <w:spacing w:before="120" w:after="120"/>
            </w:pPr>
            <w:r>
              <w:t>7</w:t>
            </w:r>
          </w:p>
        </w:tc>
        <w:tc>
          <w:tcPr>
            <w:tcW w:w="2167" w:type="dxa"/>
          </w:tcPr>
          <w:p w14:paraId="65A8962E" w14:textId="77777777" w:rsidR="00D94935" w:rsidRDefault="00D94935" w:rsidP="003A681D">
            <w:pPr>
              <w:pStyle w:val="TableText"/>
              <w:spacing w:before="120" w:after="120"/>
            </w:pPr>
            <w:r>
              <w:t xml:space="preserve">section 266 (4) </w:t>
            </w:r>
          </w:p>
        </w:tc>
        <w:tc>
          <w:tcPr>
            <w:tcW w:w="1367" w:type="dxa"/>
          </w:tcPr>
          <w:p w14:paraId="0F9650DC" w14:textId="77777777" w:rsidR="00D94935" w:rsidRDefault="00D94935" w:rsidP="003A681D">
            <w:pPr>
              <w:pStyle w:val="TableText"/>
              <w:spacing w:before="120" w:after="120"/>
            </w:pPr>
          </w:p>
        </w:tc>
        <w:tc>
          <w:tcPr>
            <w:tcW w:w="3259" w:type="dxa"/>
          </w:tcPr>
          <w:p w14:paraId="14A8BBDA" w14:textId="77777777" w:rsidR="00D94935" w:rsidRDefault="00D94935" w:rsidP="003A681D">
            <w:pPr>
              <w:pStyle w:val="TableText"/>
              <w:spacing w:before="120" w:after="120"/>
            </w:pPr>
            <w:r>
              <w:t xml:space="preserve">power to extend period for lodgment of notice in relation to charge </w:t>
            </w:r>
          </w:p>
        </w:tc>
      </w:tr>
      <w:tr w:rsidR="00D94935" w14:paraId="4F0AB622" w14:textId="77777777" w:rsidTr="003A681D">
        <w:trPr>
          <w:cantSplit/>
        </w:trPr>
        <w:tc>
          <w:tcPr>
            <w:tcW w:w="1134" w:type="dxa"/>
          </w:tcPr>
          <w:p w14:paraId="056A794F" w14:textId="77777777" w:rsidR="00D94935" w:rsidRDefault="00D94935" w:rsidP="003A681D">
            <w:pPr>
              <w:pStyle w:val="TableText"/>
              <w:spacing w:before="120" w:after="120"/>
            </w:pPr>
            <w:r>
              <w:lastRenderedPageBreak/>
              <w:t>8</w:t>
            </w:r>
          </w:p>
        </w:tc>
        <w:tc>
          <w:tcPr>
            <w:tcW w:w="2167" w:type="dxa"/>
          </w:tcPr>
          <w:p w14:paraId="60BC75CF" w14:textId="77777777" w:rsidR="00D94935" w:rsidRDefault="00D94935" w:rsidP="003A681D">
            <w:pPr>
              <w:pStyle w:val="TableText"/>
              <w:spacing w:before="120" w:after="120"/>
            </w:pPr>
            <w:r>
              <w:t xml:space="preserve">section 267 (3) </w:t>
            </w:r>
          </w:p>
        </w:tc>
        <w:tc>
          <w:tcPr>
            <w:tcW w:w="1367" w:type="dxa"/>
          </w:tcPr>
          <w:p w14:paraId="39006330" w14:textId="77777777" w:rsidR="00D94935" w:rsidRDefault="00D94935" w:rsidP="003A681D">
            <w:pPr>
              <w:pStyle w:val="TableText"/>
              <w:spacing w:before="120" w:after="120"/>
            </w:pPr>
          </w:p>
        </w:tc>
        <w:tc>
          <w:tcPr>
            <w:tcW w:w="3259" w:type="dxa"/>
          </w:tcPr>
          <w:p w14:paraId="5EE9EBDF" w14:textId="77777777" w:rsidR="00D94935" w:rsidRDefault="00D94935" w:rsidP="003A681D">
            <w:pPr>
              <w:pStyle w:val="TableText"/>
              <w:spacing w:before="120" w:after="120"/>
            </w:pPr>
            <w:r>
              <w:t xml:space="preserve">power to give leave to enforce charge </w:t>
            </w:r>
          </w:p>
        </w:tc>
      </w:tr>
      <w:tr w:rsidR="00D94935" w14:paraId="142D8300" w14:textId="77777777" w:rsidTr="003A681D">
        <w:trPr>
          <w:cantSplit/>
        </w:trPr>
        <w:tc>
          <w:tcPr>
            <w:tcW w:w="1134" w:type="dxa"/>
          </w:tcPr>
          <w:p w14:paraId="68FA144F" w14:textId="77777777" w:rsidR="00D94935" w:rsidRDefault="00D94935" w:rsidP="003A681D">
            <w:pPr>
              <w:pStyle w:val="TableText"/>
              <w:spacing w:before="120" w:after="120"/>
            </w:pPr>
            <w:r>
              <w:t>9</w:t>
            </w:r>
          </w:p>
        </w:tc>
        <w:tc>
          <w:tcPr>
            <w:tcW w:w="2167" w:type="dxa"/>
          </w:tcPr>
          <w:p w14:paraId="5CEA125C" w14:textId="77777777" w:rsidR="00D94935" w:rsidRDefault="00D94935" w:rsidP="003A681D">
            <w:pPr>
              <w:pStyle w:val="TableText"/>
              <w:spacing w:before="120" w:after="120"/>
            </w:pPr>
            <w:r>
              <w:t xml:space="preserve">section 274 </w:t>
            </w:r>
          </w:p>
        </w:tc>
        <w:tc>
          <w:tcPr>
            <w:tcW w:w="1367" w:type="dxa"/>
          </w:tcPr>
          <w:p w14:paraId="1ACF3056" w14:textId="77777777" w:rsidR="00D94935" w:rsidRDefault="00D94935" w:rsidP="003A681D">
            <w:pPr>
              <w:pStyle w:val="TableText"/>
              <w:spacing w:before="120" w:after="120"/>
            </w:pPr>
          </w:p>
        </w:tc>
        <w:tc>
          <w:tcPr>
            <w:tcW w:w="3259" w:type="dxa"/>
          </w:tcPr>
          <w:p w14:paraId="197E0FB6" w14:textId="77777777" w:rsidR="00D94935" w:rsidRDefault="00D94935" w:rsidP="003A681D">
            <w:pPr>
              <w:pStyle w:val="TableText"/>
              <w:spacing w:before="120" w:after="120"/>
            </w:pPr>
            <w:r>
              <w:t xml:space="preserve">power to rectify register of charges </w:t>
            </w:r>
          </w:p>
        </w:tc>
      </w:tr>
      <w:tr w:rsidR="00D94935" w14:paraId="5DE95122" w14:textId="77777777" w:rsidTr="003A681D">
        <w:trPr>
          <w:cantSplit/>
        </w:trPr>
        <w:tc>
          <w:tcPr>
            <w:tcW w:w="1134" w:type="dxa"/>
          </w:tcPr>
          <w:p w14:paraId="31074E39" w14:textId="77777777" w:rsidR="00D94935" w:rsidRDefault="00D94935" w:rsidP="003A681D">
            <w:pPr>
              <w:pStyle w:val="TableText"/>
              <w:spacing w:before="120" w:after="120"/>
            </w:pPr>
            <w:r>
              <w:t>10</w:t>
            </w:r>
          </w:p>
        </w:tc>
        <w:tc>
          <w:tcPr>
            <w:tcW w:w="2167" w:type="dxa"/>
          </w:tcPr>
          <w:p w14:paraId="0050B588" w14:textId="77777777" w:rsidR="00D94935" w:rsidRDefault="00D94935" w:rsidP="003A681D">
            <w:pPr>
              <w:pStyle w:val="TableText"/>
              <w:spacing w:before="120" w:after="120"/>
            </w:pPr>
            <w:r>
              <w:t xml:space="preserve">section 283AE (2) (a) </w:t>
            </w:r>
          </w:p>
        </w:tc>
        <w:tc>
          <w:tcPr>
            <w:tcW w:w="1367" w:type="dxa"/>
          </w:tcPr>
          <w:p w14:paraId="3350C732" w14:textId="77777777" w:rsidR="00D94935" w:rsidRDefault="00D94935" w:rsidP="003A681D">
            <w:pPr>
              <w:pStyle w:val="TableText"/>
              <w:spacing w:before="120" w:after="120"/>
            </w:pPr>
          </w:p>
        </w:tc>
        <w:tc>
          <w:tcPr>
            <w:tcW w:w="3259" w:type="dxa"/>
          </w:tcPr>
          <w:p w14:paraId="3CF6AA20" w14:textId="77777777" w:rsidR="00D94935" w:rsidRDefault="00D94935" w:rsidP="003A681D">
            <w:pPr>
              <w:pStyle w:val="TableText"/>
              <w:spacing w:before="120" w:after="120"/>
            </w:pPr>
            <w:r>
              <w:t xml:space="preserve">power to appoint body corporate as trustee for debenture holders </w:t>
            </w:r>
          </w:p>
        </w:tc>
      </w:tr>
      <w:tr w:rsidR="00D94935" w14:paraId="7944400D" w14:textId="77777777" w:rsidTr="003A681D">
        <w:trPr>
          <w:cantSplit/>
        </w:trPr>
        <w:tc>
          <w:tcPr>
            <w:tcW w:w="1134" w:type="dxa"/>
          </w:tcPr>
          <w:p w14:paraId="5ADA7871" w14:textId="77777777" w:rsidR="00D94935" w:rsidRDefault="00D94935" w:rsidP="003A681D">
            <w:pPr>
              <w:pStyle w:val="TableText"/>
              <w:spacing w:before="120" w:after="120"/>
            </w:pPr>
            <w:r>
              <w:t>11</w:t>
            </w:r>
          </w:p>
        </w:tc>
        <w:tc>
          <w:tcPr>
            <w:tcW w:w="2167" w:type="dxa"/>
          </w:tcPr>
          <w:p w14:paraId="0A4B60E5" w14:textId="77777777" w:rsidR="00D94935" w:rsidRDefault="00D94935" w:rsidP="003A681D">
            <w:pPr>
              <w:pStyle w:val="TableText"/>
              <w:spacing w:before="120" w:after="120"/>
            </w:pPr>
            <w:r>
              <w:t>section 283EC</w:t>
            </w:r>
          </w:p>
        </w:tc>
        <w:tc>
          <w:tcPr>
            <w:tcW w:w="1367" w:type="dxa"/>
          </w:tcPr>
          <w:p w14:paraId="08D0DC81" w14:textId="77777777" w:rsidR="00D94935" w:rsidRDefault="00D94935" w:rsidP="003A681D">
            <w:pPr>
              <w:pStyle w:val="TableText"/>
              <w:spacing w:before="120" w:after="120"/>
            </w:pPr>
          </w:p>
        </w:tc>
        <w:tc>
          <w:tcPr>
            <w:tcW w:w="3259" w:type="dxa"/>
          </w:tcPr>
          <w:p w14:paraId="4FA7F3E4" w14:textId="77777777" w:rsidR="00D94935" w:rsidRDefault="00D94935" w:rsidP="003A681D">
            <w:pPr>
              <w:pStyle w:val="TableText"/>
              <w:spacing w:before="120" w:after="120"/>
            </w:pPr>
            <w:r>
              <w:t>power to make an order for meeting of debenture holders to direct trustee</w:t>
            </w:r>
          </w:p>
        </w:tc>
      </w:tr>
      <w:tr w:rsidR="00D94935" w14:paraId="4FC923D5" w14:textId="77777777" w:rsidTr="003A681D">
        <w:trPr>
          <w:cantSplit/>
        </w:trPr>
        <w:tc>
          <w:tcPr>
            <w:tcW w:w="1134" w:type="dxa"/>
          </w:tcPr>
          <w:p w14:paraId="4A5A24D7" w14:textId="77777777" w:rsidR="00D94935" w:rsidRDefault="00D94935" w:rsidP="003A681D">
            <w:pPr>
              <w:pStyle w:val="TableText"/>
              <w:spacing w:before="120" w:after="120"/>
            </w:pPr>
            <w:r>
              <w:t>12</w:t>
            </w:r>
          </w:p>
        </w:tc>
        <w:tc>
          <w:tcPr>
            <w:tcW w:w="2167" w:type="dxa"/>
          </w:tcPr>
          <w:p w14:paraId="7F441827" w14:textId="77777777" w:rsidR="00D94935" w:rsidRDefault="00D94935" w:rsidP="003A681D">
            <w:pPr>
              <w:pStyle w:val="TableText"/>
              <w:spacing w:before="120" w:after="120"/>
            </w:pPr>
            <w:r>
              <w:t>section 283HA</w:t>
            </w:r>
          </w:p>
        </w:tc>
        <w:tc>
          <w:tcPr>
            <w:tcW w:w="1367" w:type="dxa"/>
          </w:tcPr>
          <w:p w14:paraId="725F9E61" w14:textId="77777777" w:rsidR="00D94935" w:rsidRDefault="00D94935" w:rsidP="003A681D">
            <w:pPr>
              <w:pStyle w:val="TableText"/>
              <w:spacing w:before="120" w:after="120"/>
            </w:pPr>
          </w:p>
        </w:tc>
        <w:tc>
          <w:tcPr>
            <w:tcW w:w="3259" w:type="dxa"/>
          </w:tcPr>
          <w:p w14:paraId="594BE626" w14:textId="77777777" w:rsidR="00D94935" w:rsidRDefault="00D94935" w:rsidP="003A681D">
            <w:pPr>
              <w:pStyle w:val="TableText"/>
              <w:spacing w:before="120" w:after="120"/>
            </w:pPr>
            <w:r>
              <w:t>power to give directions or determine any questions of application of trustee for debenture holders</w:t>
            </w:r>
          </w:p>
        </w:tc>
      </w:tr>
      <w:tr w:rsidR="00D94935" w14:paraId="211DD3ED" w14:textId="77777777" w:rsidTr="003A681D">
        <w:trPr>
          <w:cantSplit/>
        </w:trPr>
        <w:tc>
          <w:tcPr>
            <w:tcW w:w="1134" w:type="dxa"/>
          </w:tcPr>
          <w:p w14:paraId="72708F06" w14:textId="77777777" w:rsidR="00D94935" w:rsidRDefault="00D94935" w:rsidP="003A681D">
            <w:pPr>
              <w:pStyle w:val="TableText"/>
              <w:spacing w:before="120" w:after="120"/>
            </w:pPr>
            <w:r>
              <w:t>13</w:t>
            </w:r>
          </w:p>
        </w:tc>
        <w:tc>
          <w:tcPr>
            <w:tcW w:w="2167" w:type="dxa"/>
          </w:tcPr>
          <w:p w14:paraId="632BC18E" w14:textId="77777777" w:rsidR="00D94935" w:rsidRDefault="00D94935" w:rsidP="003A681D">
            <w:pPr>
              <w:pStyle w:val="TableText"/>
              <w:spacing w:before="120" w:after="120"/>
            </w:pPr>
            <w:r>
              <w:t>section 283HB (1)</w:t>
            </w:r>
          </w:p>
        </w:tc>
        <w:tc>
          <w:tcPr>
            <w:tcW w:w="1367" w:type="dxa"/>
          </w:tcPr>
          <w:p w14:paraId="20AD3F7A" w14:textId="77777777" w:rsidR="00D94935" w:rsidRDefault="00D94935" w:rsidP="003A681D">
            <w:pPr>
              <w:pStyle w:val="TableText"/>
              <w:spacing w:before="120" w:after="120"/>
            </w:pPr>
          </w:p>
        </w:tc>
        <w:tc>
          <w:tcPr>
            <w:tcW w:w="3259" w:type="dxa"/>
          </w:tcPr>
          <w:p w14:paraId="3168EB76" w14:textId="77777777" w:rsidR="00D94935" w:rsidRDefault="00D94935" w:rsidP="003A681D">
            <w:pPr>
              <w:pStyle w:val="TableText"/>
              <w:spacing w:before="120" w:after="120"/>
            </w:pPr>
            <w:r>
              <w:t>power to make an order in relation to borrowing corporations</w:t>
            </w:r>
          </w:p>
        </w:tc>
      </w:tr>
      <w:tr w:rsidR="00D94935" w14:paraId="44C56445" w14:textId="77777777" w:rsidTr="003A681D">
        <w:trPr>
          <w:cantSplit/>
        </w:trPr>
        <w:tc>
          <w:tcPr>
            <w:tcW w:w="1134" w:type="dxa"/>
          </w:tcPr>
          <w:p w14:paraId="1057FE92" w14:textId="77777777" w:rsidR="00D94935" w:rsidRDefault="00D94935" w:rsidP="003A681D">
            <w:pPr>
              <w:pStyle w:val="TableText"/>
              <w:spacing w:before="120" w:after="120"/>
            </w:pPr>
            <w:r>
              <w:t>14</w:t>
            </w:r>
          </w:p>
        </w:tc>
        <w:tc>
          <w:tcPr>
            <w:tcW w:w="2167" w:type="dxa"/>
          </w:tcPr>
          <w:p w14:paraId="1ACDE7DB" w14:textId="77777777" w:rsidR="00D94935" w:rsidRDefault="00D94935" w:rsidP="003A681D">
            <w:pPr>
              <w:pStyle w:val="TableText"/>
              <w:spacing w:before="120" w:after="120"/>
            </w:pPr>
            <w:r>
              <w:t>section 283HB (1) (c)</w:t>
            </w:r>
          </w:p>
        </w:tc>
        <w:tc>
          <w:tcPr>
            <w:tcW w:w="1367" w:type="dxa"/>
          </w:tcPr>
          <w:p w14:paraId="6844749A" w14:textId="77777777" w:rsidR="00D94935" w:rsidRDefault="00D94935" w:rsidP="003A681D">
            <w:pPr>
              <w:pStyle w:val="TableText"/>
              <w:spacing w:before="120" w:after="120"/>
            </w:pPr>
          </w:p>
        </w:tc>
        <w:tc>
          <w:tcPr>
            <w:tcW w:w="3259" w:type="dxa"/>
          </w:tcPr>
          <w:p w14:paraId="253A330E" w14:textId="77777777" w:rsidR="00D94935" w:rsidRDefault="00D94935" w:rsidP="003A681D">
            <w:pPr>
              <w:pStyle w:val="TableText"/>
              <w:spacing w:before="120" w:after="120"/>
            </w:pPr>
            <w:r>
              <w:t>power to order security for debentures to be enforceable</w:t>
            </w:r>
          </w:p>
        </w:tc>
      </w:tr>
      <w:tr w:rsidR="00D94935" w14:paraId="5E5C5974" w14:textId="77777777" w:rsidTr="003A681D">
        <w:trPr>
          <w:cantSplit/>
        </w:trPr>
        <w:tc>
          <w:tcPr>
            <w:tcW w:w="1134" w:type="dxa"/>
          </w:tcPr>
          <w:p w14:paraId="63A49025" w14:textId="77777777" w:rsidR="00D94935" w:rsidRDefault="00D94935" w:rsidP="003A681D">
            <w:pPr>
              <w:pStyle w:val="TableText"/>
              <w:spacing w:before="120" w:after="120"/>
            </w:pPr>
            <w:r>
              <w:t>15</w:t>
            </w:r>
          </w:p>
        </w:tc>
        <w:tc>
          <w:tcPr>
            <w:tcW w:w="2167" w:type="dxa"/>
          </w:tcPr>
          <w:p w14:paraId="3B3AB68E" w14:textId="77777777" w:rsidR="00D94935" w:rsidRDefault="00D94935" w:rsidP="003A681D">
            <w:pPr>
              <w:pStyle w:val="TableText"/>
              <w:spacing w:before="120" w:after="120"/>
            </w:pPr>
            <w:r>
              <w:t>section 411</w:t>
            </w:r>
          </w:p>
        </w:tc>
        <w:tc>
          <w:tcPr>
            <w:tcW w:w="1367" w:type="dxa"/>
          </w:tcPr>
          <w:p w14:paraId="567A3AA1" w14:textId="77777777" w:rsidR="00D94935" w:rsidRDefault="00D94935" w:rsidP="003A681D">
            <w:pPr>
              <w:pStyle w:val="TableText"/>
              <w:spacing w:before="120" w:after="120"/>
            </w:pPr>
            <w:r>
              <w:t>3.3</w:t>
            </w:r>
            <w:r>
              <w:br/>
              <w:t>3.4</w:t>
            </w:r>
            <w:r>
              <w:br/>
              <w:t>3.5</w:t>
            </w:r>
          </w:p>
        </w:tc>
        <w:tc>
          <w:tcPr>
            <w:tcW w:w="3259" w:type="dxa"/>
          </w:tcPr>
          <w:p w14:paraId="2A28128C" w14:textId="77777777" w:rsidR="00D94935" w:rsidRDefault="00D94935" w:rsidP="003A681D">
            <w:pPr>
              <w:pStyle w:val="TableText"/>
              <w:spacing w:before="120" w:after="120"/>
            </w:pPr>
            <w:r>
              <w:t>power to make order in relation to administration of compromise or arrangement etc</w:t>
            </w:r>
          </w:p>
        </w:tc>
      </w:tr>
      <w:tr w:rsidR="00D94935" w14:paraId="131EC946" w14:textId="77777777" w:rsidTr="003A681D">
        <w:trPr>
          <w:cantSplit/>
        </w:trPr>
        <w:tc>
          <w:tcPr>
            <w:tcW w:w="1134" w:type="dxa"/>
          </w:tcPr>
          <w:p w14:paraId="17E093C1" w14:textId="77777777" w:rsidR="00D94935" w:rsidRDefault="00D94935" w:rsidP="003A681D">
            <w:pPr>
              <w:pStyle w:val="TableText"/>
              <w:spacing w:before="120" w:after="120"/>
            </w:pPr>
            <w:r>
              <w:lastRenderedPageBreak/>
              <w:t>16</w:t>
            </w:r>
          </w:p>
        </w:tc>
        <w:tc>
          <w:tcPr>
            <w:tcW w:w="2167" w:type="dxa"/>
          </w:tcPr>
          <w:p w14:paraId="1D911A13" w14:textId="77777777" w:rsidR="00D94935" w:rsidRDefault="00D94935" w:rsidP="003A681D">
            <w:pPr>
              <w:pStyle w:val="TableText"/>
              <w:spacing w:before="120" w:after="120"/>
            </w:pPr>
            <w:r>
              <w:t>section 418A</w:t>
            </w:r>
          </w:p>
        </w:tc>
        <w:tc>
          <w:tcPr>
            <w:tcW w:w="1367" w:type="dxa"/>
          </w:tcPr>
          <w:p w14:paraId="62A1FEE7" w14:textId="77777777" w:rsidR="00D94935" w:rsidRDefault="00D94935" w:rsidP="003A681D">
            <w:pPr>
              <w:pStyle w:val="TableText"/>
              <w:spacing w:before="120" w:after="120"/>
            </w:pPr>
          </w:p>
        </w:tc>
        <w:tc>
          <w:tcPr>
            <w:tcW w:w="3259" w:type="dxa"/>
          </w:tcPr>
          <w:p w14:paraId="7BBCC000" w14:textId="77777777" w:rsidR="00D94935" w:rsidRDefault="00D94935" w:rsidP="003A681D">
            <w:pPr>
              <w:pStyle w:val="TableText"/>
              <w:spacing w:before="120" w:after="120"/>
            </w:pPr>
            <w:r>
              <w:t>power to make declaration about validity of controller’s appointment and in relation to control of property</w:t>
            </w:r>
          </w:p>
        </w:tc>
      </w:tr>
      <w:tr w:rsidR="00D94935" w14:paraId="35A7B4D3" w14:textId="77777777" w:rsidTr="003A681D">
        <w:trPr>
          <w:cantSplit/>
        </w:trPr>
        <w:tc>
          <w:tcPr>
            <w:tcW w:w="1134" w:type="dxa"/>
          </w:tcPr>
          <w:p w14:paraId="1F1C2CEB" w14:textId="77777777" w:rsidR="00D94935" w:rsidRDefault="00D94935" w:rsidP="003A681D">
            <w:pPr>
              <w:pStyle w:val="TableText"/>
              <w:spacing w:before="120" w:after="120"/>
            </w:pPr>
            <w:r>
              <w:t>17</w:t>
            </w:r>
          </w:p>
        </w:tc>
        <w:tc>
          <w:tcPr>
            <w:tcW w:w="2167" w:type="dxa"/>
          </w:tcPr>
          <w:p w14:paraId="16F3E67A" w14:textId="77777777" w:rsidR="00D94935" w:rsidRDefault="00D94935" w:rsidP="003A681D">
            <w:pPr>
              <w:pStyle w:val="TableText"/>
              <w:spacing w:before="120" w:after="120"/>
            </w:pPr>
            <w:r>
              <w:t>section 419</w:t>
            </w:r>
          </w:p>
        </w:tc>
        <w:tc>
          <w:tcPr>
            <w:tcW w:w="1367" w:type="dxa"/>
          </w:tcPr>
          <w:p w14:paraId="25DD8527" w14:textId="77777777" w:rsidR="00D94935" w:rsidRDefault="00D94935" w:rsidP="003A681D">
            <w:pPr>
              <w:pStyle w:val="TableText"/>
              <w:spacing w:before="120" w:after="120"/>
            </w:pPr>
          </w:p>
        </w:tc>
        <w:tc>
          <w:tcPr>
            <w:tcW w:w="3259" w:type="dxa"/>
          </w:tcPr>
          <w:p w14:paraId="3E49F0CD" w14:textId="77777777"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14:paraId="251CF7CD" w14:textId="77777777" w:rsidTr="003A681D">
        <w:trPr>
          <w:cantSplit/>
        </w:trPr>
        <w:tc>
          <w:tcPr>
            <w:tcW w:w="1134" w:type="dxa"/>
          </w:tcPr>
          <w:p w14:paraId="7DD0E002" w14:textId="77777777" w:rsidR="00D94935" w:rsidRDefault="00D94935" w:rsidP="003A681D">
            <w:pPr>
              <w:pStyle w:val="TableText"/>
              <w:spacing w:before="120" w:after="120"/>
            </w:pPr>
            <w:r>
              <w:t>18</w:t>
            </w:r>
          </w:p>
        </w:tc>
        <w:tc>
          <w:tcPr>
            <w:tcW w:w="2167" w:type="dxa"/>
          </w:tcPr>
          <w:p w14:paraId="512EB95E" w14:textId="77777777" w:rsidR="00D94935" w:rsidRDefault="00D94935" w:rsidP="003A681D">
            <w:pPr>
              <w:pStyle w:val="TableText"/>
              <w:spacing w:before="120" w:after="120"/>
            </w:pPr>
            <w:r>
              <w:t>section 419A</w:t>
            </w:r>
          </w:p>
        </w:tc>
        <w:tc>
          <w:tcPr>
            <w:tcW w:w="1367" w:type="dxa"/>
          </w:tcPr>
          <w:p w14:paraId="088A22BE" w14:textId="77777777" w:rsidR="00D94935" w:rsidRDefault="00D94935" w:rsidP="003A681D">
            <w:pPr>
              <w:pStyle w:val="TableText"/>
              <w:spacing w:before="120" w:after="120"/>
            </w:pPr>
          </w:p>
        </w:tc>
        <w:tc>
          <w:tcPr>
            <w:tcW w:w="3259" w:type="dxa"/>
          </w:tcPr>
          <w:p w14:paraId="36639376" w14:textId="77777777" w:rsidR="00D94935" w:rsidRDefault="00D94935" w:rsidP="003A681D">
            <w:pPr>
              <w:pStyle w:val="TableText"/>
              <w:spacing w:before="120" w:after="120"/>
            </w:pPr>
            <w:r>
              <w:t xml:space="preserve">power to relieve controller from liability </w:t>
            </w:r>
          </w:p>
        </w:tc>
      </w:tr>
      <w:tr w:rsidR="00D94935" w14:paraId="66590577" w14:textId="77777777" w:rsidTr="003A681D">
        <w:trPr>
          <w:cantSplit/>
        </w:trPr>
        <w:tc>
          <w:tcPr>
            <w:tcW w:w="1134" w:type="dxa"/>
          </w:tcPr>
          <w:p w14:paraId="635B3675" w14:textId="77777777" w:rsidR="00D94935" w:rsidRDefault="00D94935" w:rsidP="003A681D">
            <w:pPr>
              <w:pStyle w:val="TableText"/>
              <w:spacing w:before="120" w:after="120"/>
            </w:pPr>
            <w:r>
              <w:t>19</w:t>
            </w:r>
          </w:p>
        </w:tc>
        <w:tc>
          <w:tcPr>
            <w:tcW w:w="2167" w:type="dxa"/>
          </w:tcPr>
          <w:p w14:paraId="3D450F2E" w14:textId="77777777" w:rsidR="00D94935" w:rsidRDefault="00D94935" w:rsidP="003A681D">
            <w:pPr>
              <w:pStyle w:val="TableText"/>
              <w:spacing w:before="120" w:after="120"/>
            </w:pPr>
            <w:r>
              <w:t>section 420B</w:t>
            </w:r>
          </w:p>
        </w:tc>
        <w:tc>
          <w:tcPr>
            <w:tcW w:w="1367" w:type="dxa"/>
          </w:tcPr>
          <w:p w14:paraId="1D642809" w14:textId="77777777" w:rsidR="00D94935" w:rsidRDefault="00D94935" w:rsidP="003A681D">
            <w:pPr>
              <w:pStyle w:val="TableText"/>
              <w:spacing w:before="120" w:after="120"/>
            </w:pPr>
          </w:p>
        </w:tc>
        <w:tc>
          <w:tcPr>
            <w:tcW w:w="3259" w:type="dxa"/>
          </w:tcPr>
          <w:p w14:paraId="2660B052" w14:textId="77777777" w:rsidR="00D94935" w:rsidRDefault="00D94935" w:rsidP="003A681D">
            <w:pPr>
              <w:pStyle w:val="TableText"/>
              <w:spacing w:before="120" w:after="120"/>
            </w:pPr>
            <w:r>
              <w:t xml:space="preserve">power to authorise managing controller to dispose of property despite prior charge </w:t>
            </w:r>
          </w:p>
        </w:tc>
      </w:tr>
      <w:tr w:rsidR="00D94935" w14:paraId="4F53DEE8" w14:textId="77777777" w:rsidTr="003A681D">
        <w:trPr>
          <w:cantSplit/>
        </w:trPr>
        <w:tc>
          <w:tcPr>
            <w:tcW w:w="1134" w:type="dxa"/>
          </w:tcPr>
          <w:p w14:paraId="0033919B" w14:textId="77777777" w:rsidR="00D94935" w:rsidRDefault="00D94935" w:rsidP="003A681D">
            <w:pPr>
              <w:pStyle w:val="TableText"/>
              <w:spacing w:before="120" w:after="120"/>
            </w:pPr>
            <w:r>
              <w:t>20</w:t>
            </w:r>
          </w:p>
        </w:tc>
        <w:tc>
          <w:tcPr>
            <w:tcW w:w="2167" w:type="dxa"/>
          </w:tcPr>
          <w:p w14:paraId="5565A5F3" w14:textId="77777777" w:rsidR="00D94935" w:rsidRDefault="00D94935" w:rsidP="003A681D">
            <w:pPr>
              <w:pStyle w:val="TableText"/>
              <w:spacing w:before="120" w:after="120"/>
            </w:pPr>
            <w:r>
              <w:t>section 420C</w:t>
            </w:r>
          </w:p>
        </w:tc>
        <w:tc>
          <w:tcPr>
            <w:tcW w:w="1367" w:type="dxa"/>
          </w:tcPr>
          <w:p w14:paraId="379C2F6D" w14:textId="77777777" w:rsidR="00D94935" w:rsidRDefault="00D94935" w:rsidP="003A681D">
            <w:pPr>
              <w:pStyle w:val="TableText"/>
              <w:spacing w:before="120" w:after="120"/>
            </w:pPr>
          </w:p>
        </w:tc>
        <w:tc>
          <w:tcPr>
            <w:tcW w:w="3259" w:type="dxa"/>
          </w:tcPr>
          <w:p w14:paraId="7DD429C8" w14:textId="77777777" w:rsidR="00D94935" w:rsidRDefault="00D94935" w:rsidP="003A681D">
            <w:pPr>
              <w:pStyle w:val="TableText"/>
              <w:spacing w:before="120" w:after="120"/>
            </w:pPr>
            <w:r>
              <w:t xml:space="preserve">power to authorise receiver to carry on corporation’s business during the winding-up </w:t>
            </w:r>
          </w:p>
        </w:tc>
      </w:tr>
      <w:tr w:rsidR="00D94935" w14:paraId="08AE69BD" w14:textId="77777777" w:rsidTr="003A681D">
        <w:trPr>
          <w:cantSplit/>
        </w:trPr>
        <w:tc>
          <w:tcPr>
            <w:tcW w:w="1134" w:type="dxa"/>
          </w:tcPr>
          <w:p w14:paraId="5F9B50DB" w14:textId="77777777" w:rsidR="00D94935" w:rsidRDefault="00D94935" w:rsidP="003A681D">
            <w:pPr>
              <w:pStyle w:val="TableText"/>
              <w:spacing w:before="120" w:after="120"/>
            </w:pPr>
            <w:r>
              <w:t>21</w:t>
            </w:r>
          </w:p>
        </w:tc>
        <w:tc>
          <w:tcPr>
            <w:tcW w:w="2167" w:type="dxa"/>
          </w:tcPr>
          <w:p w14:paraId="6479D4F2" w14:textId="77777777" w:rsidR="00D94935" w:rsidRDefault="00D94935" w:rsidP="003A681D">
            <w:pPr>
              <w:pStyle w:val="TableText"/>
              <w:spacing w:before="120" w:after="120"/>
            </w:pPr>
            <w:r>
              <w:t>section 423</w:t>
            </w:r>
          </w:p>
        </w:tc>
        <w:tc>
          <w:tcPr>
            <w:tcW w:w="1367" w:type="dxa"/>
          </w:tcPr>
          <w:p w14:paraId="30EB3DA1" w14:textId="77777777" w:rsidR="00D94935" w:rsidRDefault="00D94935" w:rsidP="003A681D">
            <w:pPr>
              <w:pStyle w:val="TableText"/>
              <w:spacing w:before="120" w:after="120"/>
            </w:pPr>
            <w:r>
              <w:t>4.1</w:t>
            </w:r>
          </w:p>
        </w:tc>
        <w:tc>
          <w:tcPr>
            <w:tcW w:w="3259" w:type="dxa"/>
          </w:tcPr>
          <w:p w14:paraId="4BA80AAD" w14:textId="77777777" w:rsidR="00D94935" w:rsidRDefault="00D94935" w:rsidP="003A681D">
            <w:pPr>
              <w:pStyle w:val="TableText"/>
              <w:spacing w:before="120" w:after="120"/>
            </w:pPr>
            <w:r>
              <w:t>power to inquire into conduct of controller</w:t>
            </w:r>
          </w:p>
        </w:tc>
      </w:tr>
      <w:tr w:rsidR="00D94935" w14:paraId="48F18873" w14:textId="77777777" w:rsidTr="003A681D">
        <w:trPr>
          <w:cantSplit/>
        </w:trPr>
        <w:tc>
          <w:tcPr>
            <w:tcW w:w="1134" w:type="dxa"/>
          </w:tcPr>
          <w:p w14:paraId="261B37CD" w14:textId="77777777" w:rsidR="00D94935" w:rsidRDefault="00D94935" w:rsidP="003A681D">
            <w:pPr>
              <w:pStyle w:val="TableText"/>
              <w:spacing w:before="120" w:after="120"/>
            </w:pPr>
            <w:r>
              <w:t>22</w:t>
            </w:r>
          </w:p>
        </w:tc>
        <w:tc>
          <w:tcPr>
            <w:tcW w:w="2167" w:type="dxa"/>
          </w:tcPr>
          <w:p w14:paraId="7D387987" w14:textId="77777777" w:rsidR="00D94935" w:rsidRDefault="00D94935" w:rsidP="003A681D">
            <w:pPr>
              <w:pStyle w:val="TableText"/>
              <w:spacing w:before="120" w:after="120"/>
            </w:pPr>
            <w:r>
              <w:t>section 424</w:t>
            </w:r>
          </w:p>
        </w:tc>
        <w:tc>
          <w:tcPr>
            <w:tcW w:w="1367" w:type="dxa"/>
          </w:tcPr>
          <w:p w14:paraId="7A9B29E0" w14:textId="77777777" w:rsidR="00D94935" w:rsidRDefault="00D94935" w:rsidP="003A681D">
            <w:pPr>
              <w:pStyle w:val="TableText"/>
              <w:spacing w:before="120" w:after="120"/>
            </w:pPr>
          </w:p>
        </w:tc>
        <w:tc>
          <w:tcPr>
            <w:tcW w:w="3259" w:type="dxa"/>
          </w:tcPr>
          <w:p w14:paraId="2DA25DB4" w14:textId="77777777" w:rsidR="00D94935" w:rsidRDefault="00D94935" w:rsidP="003A681D">
            <w:pPr>
              <w:pStyle w:val="TableText"/>
              <w:spacing w:before="120" w:after="120"/>
            </w:pPr>
            <w:r>
              <w:t>power to give directions in relation to controller’s functions and powers</w:t>
            </w:r>
          </w:p>
        </w:tc>
      </w:tr>
      <w:tr w:rsidR="00D94935" w14:paraId="43B33616" w14:textId="77777777" w:rsidTr="003A681D">
        <w:trPr>
          <w:cantSplit/>
        </w:trPr>
        <w:tc>
          <w:tcPr>
            <w:tcW w:w="1134" w:type="dxa"/>
          </w:tcPr>
          <w:p w14:paraId="750C773F" w14:textId="77777777" w:rsidR="00D94935" w:rsidRDefault="00D94935" w:rsidP="003A681D">
            <w:pPr>
              <w:pStyle w:val="TableText"/>
              <w:spacing w:before="120" w:after="120"/>
            </w:pPr>
            <w:r>
              <w:t>23</w:t>
            </w:r>
          </w:p>
        </w:tc>
        <w:tc>
          <w:tcPr>
            <w:tcW w:w="2167" w:type="dxa"/>
          </w:tcPr>
          <w:p w14:paraId="7A47930F" w14:textId="77777777" w:rsidR="00D94935" w:rsidRDefault="00D94935" w:rsidP="003A681D">
            <w:pPr>
              <w:pStyle w:val="TableText"/>
              <w:spacing w:before="120" w:after="120"/>
            </w:pPr>
            <w:r>
              <w:t>section 425</w:t>
            </w:r>
          </w:p>
        </w:tc>
        <w:tc>
          <w:tcPr>
            <w:tcW w:w="1367" w:type="dxa"/>
          </w:tcPr>
          <w:p w14:paraId="26E1AB4D" w14:textId="77777777" w:rsidR="00D94935" w:rsidRDefault="00D94935" w:rsidP="003A681D">
            <w:pPr>
              <w:pStyle w:val="TableText"/>
              <w:spacing w:before="120" w:after="120"/>
            </w:pPr>
            <w:r>
              <w:t>9.1</w:t>
            </w:r>
          </w:p>
        </w:tc>
        <w:tc>
          <w:tcPr>
            <w:tcW w:w="3259" w:type="dxa"/>
          </w:tcPr>
          <w:p w14:paraId="3A755E66" w14:textId="77777777" w:rsidR="00D94935" w:rsidRDefault="00D94935" w:rsidP="003A681D">
            <w:pPr>
              <w:pStyle w:val="TableText"/>
              <w:spacing w:before="120" w:after="120"/>
            </w:pPr>
            <w:r>
              <w:t xml:space="preserve">power to fix amount of remuneration of a receiver </w:t>
            </w:r>
          </w:p>
        </w:tc>
      </w:tr>
      <w:tr w:rsidR="00D94935" w14:paraId="6841037D" w14:textId="77777777" w:rsidTr="003A681D">
        <w:trPr>
          <w:cantSplit/>
        </w:trPr>
        <w:tc>
          <w:tcPr>
            <w:tcW w:w="1134" w:type="dxa"/>
          </w:tcPr>
          <w:p w14:paraId="4D2ECB53" w14:textId="77777777" w:rsidR="00D94935" w:rsidRDefault="00D94935" w:rsidP="003A681D">
            <w:pPr>
              <w:pStyle w:val="TableText"/>
              <w:spacing w:before="120" w:after="120"/>
            </w:pPr>
            <w:r>
              <w:t>24</w:t>
            </w:r>
          </w:p>
        </w:tc>
        <w:tc>
          <w:tcPr>
            <w:tcW w:w="2167" w:type="dxa"/>
          </w:tcPr>
          <w:p w14:paraId="173B071F" w14:textId="77777777" w:rsidR="00D94935" w:rsidRDefault="00D94935" w:rsidP="003A681D">
            <w:pPr>
              <w:pStyle w:val="TableText"/>
              <w:spacing w:before="120" w:after="120"/>
            </w:pPr>
            <w:r>
              <w:t>section 429 (3)</w:t>
            </w:r>
          </w:p>
        </w:tc>
        <w:tc>
          <w:tcPr>
            <w:tcW w:w="1367" w:type="dxa"/>
          </w:tcPr>
          <w:p w14:paraId="4E8CED2E" w14:textId="77777777" w:rsidR="00D94935" w:rsidRDefault="00D94935" w:rsidP="003A681D">
            <w:pPr>
              <w:pStyle w:val="TableText"/>
              <w:spacing w:before="120" w:after="120"/>
            </w:pPr>
          </w:p>
        </w:tc>
        <w:tc>
          <w:tcPr>
            <w:tcW w:w="3259" w:type="dxa"/>
          </w:tcPr>
          <w:p w14:paraId="0F73CB0A" w14:textId="77777777" w:rsidR="00D94935" w:rsidRDefault="00D94935" w:rsidP="003A681D">
            <w:pPr>
              <w:pStyle w:val="TableText"/>
              <w:spacing w:before="120" w:after="120"/>
            </w:pPr>
            <w:r>
              <w:t xml:space="preserve">power to extend time for report </w:t>
            </w:r>
          </w:p>
        </w:tc>
      </w:tr>
      <w:tr w:rsidR="00D94935" w14:paraId="5AFD4B4B" w14:textId="77777777" w:rsidTr="003A681D">
        <w:trPr>
          <w:cantSplit/>
        </w:trPr>
        <w:tc>
          <w:tcPr>
            <w:tcW w:w="1134" w:type="dxa"/>
          </w:tcPr>
          <w:p w14:paraId="212FCFD8" w14:textId="77777777" w:rsidR="00D94935" w:rsidRDefault="00D94935" w:rsidP="003A681D">
            <w:pPr>
              <w:pStyle w:val="TableText"/>
              <w:spacing w:before="120" w:after="120"/>
            </w:pPr>
            <w:r>
              <w:lastRenderedPageBreak/>
              <w:t>25</w:t>
            </w:r>
          </w:p>
        </w:tc>
        <w:tc>
          <w:tcPr>
            <w:tcW w:w="2167" w:type="dxa"/>
          </w:tcPr>
          <w:p w14:paraId="4245477E" w14:textId="77777777" w:rsidR="00D94935" w:rsidRDefault="00D94935" w:rsidP="003A681D">
            <w:pPr>
              <w:pStyle w:val="TableText"/>
              <w:spacing w:before="120" w:after="120"/>
            </w:pPr>
            <w:r>
              <w:t>section 434B</w:t>
            </w:r>
          </w:p>
        </w:tc>
        <w:tc>
          <w:tcPr>
            <w:tcW w:w="1367" w:type="dxa"/>
          </w:tcPr>
          <w:p w14:paraId="76D48530" w14:textId="77777777" w:rsidR="00D94935" w:rsidRDefault="00D94935" w:rsidP="003A681D">
            <w:pPr>
              <w:pStyle w:val="TableText"/>
              <w:spacing w:before="120" w:after="120"/>
            </w:pPr>
          </w:p>
        </w:tc>
        <w:tc>
          <w:tcPr>
            <w:tcW w:w="3259" w:type="dxa"/>
          </w:tcPr>
          <w:p w14:paraId="5206692A" w14:textId="77777777" w:rsidR="00D94935" w:rsidRDefault="00D94935" w:rsidP="003A681D">
            <w:pPr>
              <w:pStyle w:val="TableText"/>
              <w:spacing w:before="120" w:after="120"/>
            </w:pPr>
            <w:r>
              <w:t xml:space="preserve">power to remove redundant controller </w:t>
            </w:r>
          </w:p>
        </w:tc>
      </w:tr>
      <w:tr w:rsidR="00D94935" w14:paraId="58A618BA" w14:textId="77777777" w:rsidTr="003A681D">
        <w:trPr>
          <w:cantSplit/>
        </w:trPr>
        <w:tc>
          <w:tcPr>
            <w:tcW w:w="1134" w:type="dxa"/>
          </w:tcPr>
          <w:p w14:paraId="423E70AF" w14:textId="77777777" w:rsidR="00D94935" w:rsidRDefault="00D94935" w:rsidP="003A681D">
            <w:pPr>
              <w:pStyle w:val="TableText"/>
              <w:spacing w:before="120" w:after="120"/>
            </w:pPr>
            <w:r>
              <w:t>26</w:t>
            </w:r>
          </w:p>
        </w:tc>
        <w:tc>
          <w:tcPr>
            <w:tcW w:w="2167" w:type="dxa"/>
          </w:tcPr>
          <w:p w14:paraId="7075CDC0" w14:textId="77777777" w:rsidR="00D94935" w:rsidRDefault="00D94935" w:rsidP="003A681D">
            <w:pPr>
              <w:pStyle w:val="TableText"/>
              <w:spacing w:before="120" w:after="120"/>
            </w:pPr>
            <w:r>
              <w:t>section 438D</w:t>
            </w:r>
          </w:p>
        </w:tc>
        <w:tc>
          <w:tcPr>
            <w:tcW w:w="1367" w:type="dxa"/>
          </w:tcPr>
          <w:p w14:paraId="72633954" w14:textId="77777777" w:rsidR="00D94935" w:rsidRDefault="00D94935" w:rsidP="003A681D">
            <w:pPr>
              <w:pStyle w:val="TableText"/>
              <w:spacing w:before="120" w:after="120"/>
            </w:pPr>
          </w:p>
        </w:tc>
        <w:tc>
          <w:tcPr>
            <w:tcW w:w="3259" w:type="dxa"/>
          </w:tcPr>
          <w:p w14:paraId="639B5203" w14:textId="77777777" w:rsidR="00D94935" w:rsidRDefault="00D94935" w:rsidP="003A681D">
            <w:pPr>
              <w:pStyle w:val="TableText"/>
              <w:spacing w:before="120" w:after="120"/>
            </w:pPr>
            <w:r>
              <w:t xml:space="preserve">power to direct administrator to give a report </w:t>
            </w:r>
          </w:p>
        </w:tc>
      </w:tr>
      <w:tr w:rsidR="00D94935" w14:paraId="2396A6FD" w14:textId="77777777" w:rsidTr="003A681D">
        <w:trPr>
          <w:cantSplit/>
        </w:trPr>
        <w:tc>
          <w:tcPr>
            <w:tcW w:w="1134" w:type="dxa"/>
          </w:tcPr>
          <w:p w14:paraId="770F7707" w14:textId="77777777" w:rsidR="00D94935" w:rsidRDefault="00D94935" w:rsidP="003A681D">
            <w:pPr>
              <w:pStyle w:val="TableText"/>
              <w:spacing w:before="120" w:after="120"/>
            </w:pPr>
            <w:r>
              <w:t>27</w:t>
            </w:r>
          </w:p>
        </w:tc>
        <w:tc>
          <w:tcPr>
            <w:tcW w:w="2167" w:type="dxa"/>
          </w:tcPr>
          <w:p w14:paraId="2756311E" w14:textId="77777777" w:rsidR="00D94935" w:rsidRDefault="00D94935" w:rsidP="003A681D">
            <w:pPr>
              <w:pStyle w:val="TableText"/>
              <w:spacing w:before="120" w:after="120"/>
            </w:pPr>
            <w:r>
              <w:t>section 439A (6)</w:t>
            </w:r>
          </w:p>
        </w:tc>
        <w:tc>
          <w:tcPr>
            <w:tcW w:w="1367" w:type="dxa"/>
          </w:tcPr>
          <w:p w14:paraId="30A72331" w14:textId="77777777" w:rsidR="00D94935" w:rsidRDefault="00D94935" w:rsidP="003A681D">
            <w:pPr>
              <w:pStyle w:val="TableText"/>
              <w:spacing w:before="120" w:after="120"/>
            </w:pPr>
          </w:p>
        </w:tc>
        <w:tc>
          <w:tcPr>
            <w:tcW w:w="3259" w:type="dxa"/>
          </w:tcPr>
          <w:p w14:paraId="16FDD9BB" w14:textId="77777777" w:rsidR="00D94935" w:rsidRDefault="00D94935" w:rsidP="003A681D">
            <w:pPr>
              <w:pStyle w:val="TableText"/>
              <w:spacing w:before="120" w:after="120"/>
            </w:pPr>
            <w:r>
              <w:t>power to extend the convening period fixed by subsection 439A (5)</w:t>
            </w:r>
          </w:p>
        </w:tc>
      </w:tr>
      <w:tr w:rsidR="00D94935" w14:paraId="17B6A187" w14:textId="77777777" w:rsidTr="003A681D">
        <w:trPr>
          <w:cantSplit/>
        </w:trPr>
        <w:tc>
          <w:tcPr>
            <w:tcW w:w="1134" w:type="dxa"/>
          </w:tcPr>
          <w:p w14:paraId="6590F965" w14:textId="77777777" w:rsidR="00D94935" w:rsidRDefault="00D94935" w:rsidP="003A681D">
            <w:pPr>
              <w:pStyle w:val="TableText"/>
              <w:spacing w:before="120" w:after="120"/>
            </w:pPr>
            <w:r>
              <w:t>28</w:t>
            </w:r>
          </w:p>
        </w:tc>
        <w:tc>
          <w:tcPr>
            <w:tcW w:w="2167" w:type="dxa"/>
          </w:tcPr>
          <w:p w14:paraId="05BC8E75" w14:textId="77777777" w:rsidR="00D94935" w:rsidRDefault="00D94935" w:rsidP="003A681D">
            <w:pPr>
              <w:pStyle w:val="TableText"/>
              <w:spacing w:before="120" w:after="120"/>
            </w:pPr>
            <w:r>
              <w:t>section 440B</w:t>
            </w:r>
          </w:p>
        </w:tc>
        <w:tc>
          <w:tcPr>
            <w:tcW w:w="1367" w:type="dxa"/>
          </w:tcPr>
          <w:p w14:paraId="2DB1CE29" w14:textId="77777777" w:rsidR="00D94935" w:rsidRDefault="00D94935" w:rsidP="003A681D">
            <w:pPr>
              <w:pStyle w:val="TableText"/>
              <w:spacing w:before="120" w:after="120"/>
            </w:pPr>
          </w:p>
        </w:tc>
        <w:tc>
          <w:tcPr>
            <w:tcW w:w="3259" w:type="dxa"/>
          </w:tcPr>
          <w:p w14:paraId="193EC274" w14:textId="77777777" w:rsidR="00D94935" w:rsidRDefault="00D94935" w:rsidP="003A681D">
            <w:pPr>
              <w:pStyle w:val="TableText"/>
              <w:spacing w:before="120" w:after="120"/>
            </w:pPr>
            <w:r>
              <w:t>power to grant leave to enforce a charge if an administrator has been appointed</w:t>
            </w:r>
          </w:p>
        </w:tc>
      </w:tr>
      <w:tr w:rsidR="00D94935" w14:paraId="35B648CA" w14:textId="77777777" w:rsidTr="003A681D">
        <w:trPr>
          <w:cantSplit/>
        </w:trPr>
        <w:tc>
          <w:tcPr>
            <w:tcW w:w="1134" w:type="dxa"/>
          </w:tcPr>
          <w:p w14:paraId="545F7329" w14:textId="77777777" w:rsidR="00D94935" w:rsidRDefault="00D94935" w:rsidP="003A681D">
            <w:pPr>
              <w:pStyle w:val="TableText"/>
              <w:spacing w:before="120" w:after="120"/>
            </w:pPr>
            <w:r>
              <w:t>29</w:t>
            </w:r>
          </w:p>
        </w:tc>
        <w:tc>
          <w:tcPr>
            <w:tcW w:w="2167" w:type="dxa"/>
          </w:tcPr>
          <w:p w14:paraId="6CD1D1CB" w14:textId="77777777" w:rsidR="00D94935" w:rsidRDefault="00D94935" w:rsidP="003A681D">
            <w:pPr>
              <w:pStyle w:val="TableText"/>
              <w:spacing w:before="120" w:after="120"/>
            </w:pPr>
            <w:r>
              <w:t>section 440C</w:t>
            </w:r>
          </w:p>
        </w:tc>
        <w:tc>
          <w:tcPr>
            <w:tcW w:w="1367" w:type="dxa"/>
          </w:tcPr>
          <w:p w14:paraId="486A5A26" w14:textId="77777777" w:rsidR="00D94935" w:rsidRDefault="00D94935" w:rsidP="003A681D">
            <w:pPr>
              <w:pStyle w:val="TableText"/>
              <w:spacing w:before="120" w:after="120"/>
            </w:pPr>
          </w:p>
        </w:tc>
        <w:tc>
          <w:tcPr>
            <w:tcW w:w="3259" w:type="dxa"/>
          </w:tcPr>
          <w:p w14:paraId="331131F5" w14:textId="77777777" w:rsidR="00D94935" w:rsidRDefault="00D94935" w:rsidP="003A681D">
            <w:pPr>
              <w:pStyle w:val="TableText"/>
              <w:spacing w:before="120" w:after="120"/>
            </w:pPr>
            <w:r>
              <w:t xml:space="preserve">power to grant leave to take possession of property </w:t>
            </w:r>
          </w:p>
        </w:tc>
      </w:tr>
      <w:tr w:rsidR="00D94935" w14:paraId="2CAC0544" w14:textId="77777777" w:rsidTr="003A681D">
        <w:trPr>
          <w:cantSplit/>
        </w:trPr>
        <w:tc>
          <w:tcPr>
            <w:tcW w:w="1134" w:type="dxa"/>
          </w:tcPr>
          <w:p w14:paraId="2D133D7C" w14:textId="77777777" w:rsidR="00D94935" w:rsidRDefault="00D94935" w:rsidP="003A681D">
            <w:pPr>
              <w:pStyle w:val="TableText"/>
              <w:spacing w:before="120" w:after="120"/>
            </w:pPr>
            <w:r>
              <w:t>30</w:t>
            </w:r>
          </w:p>
        </w:tc>
        <w:tc>
          <w:tcPr>
            <w:tcW w:w="2167" w:type="dxa"/>
          </w:tcPr>
          <w:p w14:paraId="562A7831" w14:textId="77777777" w:rsidR="00D94935" w:rsidRDefault="00D94935" w:rsidP="003A681D">
            <w:pPr>
              <w:pStyle w:val="TableText"/>
              <w:spacing w:before="120" w:after="120"/>
            </w:pPr>
            <w:r>
              <w:t>section 440D</w:t>
            </w:r>
          </w:p>
        </w:tc>
        <w:tc>
          <w:tcPr>
            <w:tcW w:w="1367" w:type="dxa"/>
          </w:tcPr>
          <w:p w14:paraId="3651C7D8" w14:textId="77777777" w:rsidR="00D94935" w:rsidRDefault="00D94935" w:rsidP="003A681D">
            <w:pPr>
              <w:pStyle w:val="TableText"/>
              <w:spacing w:before="120" w:after="120"/>
            </w:pPr>
          </w:p>
        </w:tc>
        <w:tc>
          <w:tcPr>
            <w:tcW w:w="3259" w:type="dxa"/>
          </w:tcPr>
          <w:p w14:paraId="7A6C6D5A" w14:textId="77777777"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14:paraId="1F07F513" w14:textId="77777777" w:rsidTr="003A681D">
        <w:trPr>
          <w:cantSplit/>
        </w:trPr>
        <w:tc>
          <w:tcPr>
            <w:tcW w:w="1134" w:type="dxa"/>
          </w:tcPr>
          <w:p w14:paraId="5E52C703" w14:textId="77777777" w:rsidR="00D94935" w:rsidRDefault="00D94935" w:rsidP="003A681D">
            <w:pPr>
              <w:pStyle w:val="TableText"/>
              <w:spacing w:before="120" w:after="120"/>
            </w:pPr>
            <w:r>
              <w:t>31</w:t>
            </w:r>
          </w:p>
        </w:tc>
        <w:tc>
          <w:tcPr>
            <w:tcW w:w="2167" w:type="dxa"/>
          </w:tcPr>
          <w:p w14:paraId="28A9989B" w14:textId="77777777" w:rsidR="00D94935" w:rsidRDefault="00D94935" w:rsidP="003A681D">
            <w:pPr>
              <w:pStyle w:val="TableText"/>
              <w:spacing w:before="120" w:after="120"/>
            </w:pPr>
            <w:r>
              <w:t>section 440F</w:t>
            </w:r>
          </w:p>
        </w:tc>
        <w:tc>
          <w:tcPr>
            <w:tcW w:w="1367" w:type="dxa"/>
          </w:tcPr>
          <w:p w14:paraId="0D5035F9" w14:textId="77777777" w:rsidR="00D94935" w:rsidRDefault="00D94935" w:rsidP="003A681D">
            <w:pPr>
              <w:pStyle w:val="TableText"/>
              <w:spacing w:before="120" w:after="120"/>
            </w:pPr>
          </w:p>
        </w:tc>
        <w:tc>
          <w:tcPr>
            <w:tcW w:w="3259" w:type="dxa"/>
          </w:tcPr>
          <w:p w14:paraId="593345C1" w14:textId="77777777"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14:paraId="17E6354A" w14:textId="77777777" w:rsidTr="003A681D">
        <w:trPr>
          <w:cantSplit/>
        </w:trPr>
        <w:tc>
          <w:tcPr>
            <w:tcW w:w="1134" w:type="dxa"/>
          </w:tcPr>
          <w:p w14:paraId="0F51AC54" w14:textId="77777777" w:rsidR="00D94935" w:rsidRDefault="00D94935" w:rsidP="003A681D">
            <w:pPr>
              <w:pStyle w:val="TableText"/>
              <w:spacing w:before="120" w:after="120"/>
            </w:pPr>
            <w:r>
              <w:t>32</w:t>
            </w:r>
          </w:p>
        </w:tc>
        <w:tc>
          <w:tcPr>
            <w:tcW w:w="2167" w:type="dxa"/>
          </w:tcPr>
          <w:p w14:paraId="4B4CBE80" w14:textId="77777777" w:rsidR="00D94935" w:rsidRDefault="00D94935" w:rsidP="003A681D">
            <w:pPr>
              <w:pStyle w:val="TableText"/>
              <w:spacing w:before="120" w:after="120"/>
            </w:pPr>
            <w:r>
              <w:t>section 440G (7)</w:t>
            </w:r>
          </w:p>
        </w:tc>
        <w:tc>
          <w:tcPr>
            <w:tcW w:w="1367" w:type="dxa"/>
          </w:tcPr>
          <w:p w14:paraId="5A34FFE0" w14:textId="77777777" w:rsidR="00D94935" w:rsidRDefault="00D94935" w:rsidP="003A681D">
            <w:pPr>
              <w:pStyle w:val="TableText"/>
              <w:spacing w:before="120" w:after="120"/>
            </w:pPr>
          </w:p>
        </w:tc>
        <w:tc>
          <w:tcPr>
            <w:tcW w:w="3259" w:type="dxa"/>
          </w:tcPr>
          <w:p w14:paraId="3E492A3D" w14:textId="77777777" w:rsidR="00D94935" w:rsidRDefault="00D94935" w:rsidP="003A681D">
            <w:pPr>
              <w:pStyle w:val="TableText"/>
              <w:spacing w:before="120" w:after="120"/>
            </w:pPr>
            <w:r>
              <w:t xml:space="preserve">power to authorise a court officer to take action or to make a payment that would be prohibited </w:t>
            </w:r>
          </w:p>
        </w:tc>
      </w:tr>
      <w:tr w:rsidR="00D94935" w14:paraId="7FF2A929" w14:textId="77777777" w:rsidTr="003A681D">
        <w:trPr>
          <w:cantSplit/>
        </w:trPr>
        <w:tc>
          <w:tcPr>
            <w:tcW w:w="1134" w:type="dxa"/>
          </w:tcPr>
          <w:p w14:paraId="7597042A" w14:textId="77777777" w:rsidR="00D94935" w:rsidRDefault="00D94935" w:rsidP="003A681D">
            <w:pPr>
              <w:pStyle w:val="TableText"/>
              <w:spacing w:before="120" w:after="120"/>
            </w:pPr>
            <w:r>
              <w:lastRenderedPageBreak/>
              <w:t>33</w:t>
            </w:r>
          </w:p>
        </w:tc>
        <w:tc>
          <w:tcPr>
            <w:tcW w:w="2167" w:type="dxa"/>
          </w:tcPr>
          <w:p w14:paraId="3D87A682" w14:textId="77777777" w:rsidR="00D94935" w:rsidRDefault="00D94935" w:rsidP="003A681D">
            <w:pPr>
              <w:pStyle w:val="TableText"/>
              <w:spacing w:before="120" w:after="120"/>
            </w:pPr>
            <w:r>
              <w:t>section 440J</w:t>
            </w:r>
          </w:p>
        </w:tc>
        <w:tc>
          <w:tcPr>
            <w:tcW w:w="1367" w:type="dxa"/>
          </w:tcPr>
          <w:p w14:paraId="180BAEC2" w14:textId="77777777" w:rsidR="00D94935" w:rsidRDefault="00D94935" w:rsidP="003A681D">
            <w:pPr>
              <w:pStyle w:val="TableText"/>
              <w:spacing w:before="120" w:after="120"/>
            </w:pPr>
          </w:p>
        </w:tc>
        <w:tc>
          <w:tcPr>
            <w:tcW w:w="3259" w:type="dxa"/>
          </w:tcPr>
          <w:p w14:paraId="133C00AD" w14:textId="77777777" w:rsidR="00D94935" w:rsidRDefault="00D94935" w:rsidP="003A681D">
            <w:pPr>
              <w:pStyle w:val="TableText"/>
              <w:spacing w:before="120" w:after="120"/>
            </w:pPr>
            <w:r>
              <w:t xml:space="preserve">power to grant leave to take enforcement action under a guarantee </w:t>
            </w:r>
          </w:p>
        </w:tc>
      </w:tr>
      <w:tr w:rsidR="00D94935" w14:paraId="6949EC9E" w14:textId="77777777" w:rsidTr="003A681D">
        <w:trPr>
          <w:cantSplit/>
        </w:trPr>
        <w:tc>
          <w:tcPr>
            <w:tcW w:w="1134" w:type="dxa"/>
          </w:tcPr>
          <w:p w14:paraId="1B509291" w14:textId="77777777" w:rsidR="00D94935" w:rsidRDefault="00D94935" w:rsidP="003A681D">
            <w:pPr>
              <w:pStyle w:val="TableText"/>
              <w:spacing w:before="120" w:after="120"/>
            </w:pPr>
            <w:r>
              <w:t>34</w:t>
            </w:r>
          </w:p>
        </w:tc>
        <w:tc>
          <w:tcPr>
            <w:tcW w:w="2167" w:type="dxa"/>
          </w:tcPr>
          <w:p w14:paraId="7D138423" w14:textId="77777777" w:rsidR="00D94935" w:rsidRDefault="00D94935" w:rsidP="003A681D">
            <w:pPr>
              <w:pStyle w:val="TableText"/>
              <w:spacing w:before="120" w:after="120"/>
            </w:pPr>
            <w:r>
              <w:t>section 441D</w:t>
            </w:r>
          </w:p>
        </w:tc>
        <w:tc>
          <w:tcPr>
            <w:tcW w:w="1367" w:type="dxa"/>
          </w:tcPr>
          <w:p w14:paraId="70C12D25" w14:textId="77777777" w:rsidR="00D94935" w:rsidRDefault="00D94935" w:rsidP="003A681D">
            <w:pPr>
              <w:pStyle w:val="TableText"/>
              <w:spacing w:before="120" w:after="120"/>
            </w:pPr>
          </w:p>
        </w:tc>
        <w:tc>
          <w:tcPr>
            <w:tcW w:w="3259" w:type="dxa"/>
          </w:tcPr>
          <w:p w14:paraId="3DEDDD27" w14:textId="77777777" w:rsidR="00D94935" w:rsidRDefault="00D94935" w:rsidP="003A681D">
            <w:pPr>
              <w:pStyle w:val="TableText"/>
              <w:spacing w:before="120" w:after="120"/>
            </w:pPr>
            <w:r>
              <w:t xml:space="preserve">power to limit powers of chargee in relation to charged property </w:t>
            </w:r>
          </w:p>
        </w:tc>
      </w:tr>
      <w:tr w:rsidR="00D94935" w14:paraId="7BD89FD1" w14:textId="77777777" w:rsidTr="003A681D">
        <w:trPr>
          <w:cantSplit/>
        </w:trPr>
        <w:tc>
          <w:tcPr>
            <w:tcW w:w="1134" w:type="dxa"/>
          </w:tcPr>
          <w:p w14:paraId="5407663A" w14:textId="77777777" w:rsidR="00D94935" w:rsidRDefault="00D94935" w:rsidP="003A681D">
            <w:pPr>
              <w:pStyle w:val="TableText"/>
              <w:spacing w:before="120" w:after="120"/>
            </w:pPr>
            <w:r>
              <w:t>35</w:t>
            </w:r>
          </w:p>
        </w:tc>
        <w:tc>
          <w:tcPr>
            <w:tcW w:w="2167" w:type="dxa"/>
          </w:tcPr>
          <w:p w14:paraId="3AE9B070" w14:textId="77777777" w:rsidR="00D94935" w:rsidRDefault="00D94935" w:rsidP="003A681D">
            <w:pPr>
              <w:pStyle w:val="TableText"/>
              <w:spacing w:before="120" w:after="120"/>
            </w:pPr>
            <w:r>
              <w:t>section 441H</w:t>
            </w:r>
          </w:p>
        </w:tc>
        <w:tc>
          <w:tcPr>
            <w:tcW w:w="1367" w:type="dxa"/>
          </w:tcPr>
          <w:p w14:paraId="32228BB6" w14:textId="77777777" w:rsidR="00D94935" w:rsidRDefault="00D94935" w:rsidP="003A681D">
            <w:pPr>
              <w:pStyle w:val="TableText"/>
              <w:spacing w:before="120" w:after="120"/>
            </w:pPr>
          </w:p>
        </w:tc>
        <w:tc>
          <w:tcPr>
            <w:tcW w:w="3259" w:type="dxa"/>
          </w:tcPr>
          <w:p w14:paraId="7256827B" w14:textId="77777777" w:rsidR="00D94935" w:rsidRDefault="00D94935" w:rsidP="003A681D">
            <w:pPr>
              <w:pStyle w:val="TableText"/>
              <w:spacing w:before="120" w:after="120"/>
            </w:pPr>
            <w:r>
              <w:t xml:space="preserve">power to limit powers of receiver etc in relation to property used by company </w:t>
            </w:r>
          </w:p>
        </w:tc>
      </w:tr>
      <w:tr w:rsidR="00D94935" w14:paraId="6679626B" w14:textId="77777777" w:rsidTr="003A681D">
        <w:trPr>
          <w:cantSplit/>
        </w:trPr>
        <w:tc>
          <w:tcPr>
            <w:tcW w:w="1134" w:type="dxa"/>
          </w:tcPr>
          <w:p w14:paraId="40780DEF" w14:textId="77777777" w:rsidR="00D94935" w:rsidRDefault="00D94935" w:rsidP="003A681D">
            <w:pPr>
              <w:pStyle w:val="TableText"/>
              <w:spacing w:before="120" w:after="120"/>
            </w:pPr>
            <w:r>
              <w:t>36</w:t>
            </w:r>
          </w:p>
        </w:tc>
        <w:tc>
          <w:tcPr>
            <w:tcW w:w="2167" w:type="dxa"/>
          </w:tcPr>
          <w:p w14:paraId="58BB7126" w14:textId="77777777" w:rsidR="00D94935" w:rsidRDefault="00D94935" w:rsidP="003A681D">
            <w:pPr>
              <w:pStyle w:val="TableText"/>
              <w:spacing w:before="120" w:after="120"/>
            </w:pPr>
            <w:r>
              <w:t>section 442C</w:t>
            </w:r>
          </w:p>
        </w:tc>
        <w:tc>
          <w:tcPr>
            <w:tcW w:w="1367" w:type="dxa"/>
          </w:tcPr>
          <w:p w14:paraId="29F0AB27" w14:textId="77777777" w:rsidR="00D94935" w:rsidRDefault="00D94935" w:rsidP="003A681D">
            <w:pPr>
              <w:pStyle w:val="TableText"/>
              <w:spacing w:before="120" w:after="120"/>
            </w:pPr>
          </w:p>
        </w:tc>
        <w:tc>
          <w:tcPr>
            <w:tcW w:w="3259" w:type="dxa"/>
          </w:tcPr>
          <w:p w14:paraId="10E2C3AC" w14:textId="77777777" w:rsidR="00D94935" w:rsidRDefault="00D94935" w:rsidP="003A681D">
            <w:pPr>
              <w:pStyle w:val="TableText"/>
              <w:spacing w:before="120" w:after="120"/>
            </w:pPr>
            <w:r>
              <w:t>power to grant leave to administrator to dispose of encumbered property</w:t>
            </w:r>
          </w:p>
        </w:tc>
      </w:tr>
      <w:tr w:rsidR="00D94935" w14:paraId="356A55D2" w14:textId="77777777" w:rsidTr="003A681D">
        <w:trPr>
          <w:cantSplit/>
        </w:trPr>
        <w:tc>
          <w:tcPr>
            <w:tcW w:w="1134" w:type="dxa"/>
          </w:tcPr>
          <w:p w14:paraId="59C180E8" w14:textId="77777777" w:rsidR="00D94935" w:rsidRDefault="00D94935" w:rsidP="003A681D">
            <w:pPr>
              <w:pStyle w:val="TableText"/>
              <w:spacing w:before="120" w:after="120"/>
            </w:pPr>
            <w:r>
              <w:t>37</w:t>
            </w:r>
          </w:p>
        </w:tc>
        <w:tc>
          <w:tcPr>
            <w:tcW w:w="2167" w:type="dxa"/>
          </w:tcPr>
          <w:p w14:paraId="6F7B1C8B" w14:textId="77777777" w:rsidR="00D94935" w:rsidRDefault="00D94935" w:rsidP="003A681D">
            <w:pPr>
              <w:pStyle w:val="TableText"/>
              <w:spacing w:before="120" w:after="120"/>
            </w:pPr>
            <w:r>
              <w:t>section 443B (8)</w:t>
            </w:r>
          </w:p>
        </w:tc>
        <w:tc>
          <w:tcPr>
            <w:tcW w:w="1367" w:type="dxa"/>
          </w:tcPr>
          <w:p w14:paraId="6102FFA6" w14:textId="77777777" w:rsidR="00D94935" w:rsidRDefault="00D94935" w:rsidP="003A681D">
            <w:pPr>
              <w:pStyle w:val="TableText"/>
              <w:spacing w:before="120" w:after="120"/>
            </w:pPr>
          </w:p>
        </w:tc>
        <w:tc>
          <w:tcPr>
            <w:tcW w:w="3259" w:type="dxa"/>
          </w:tcPr>
          <w:p w14:paraId="4B166696" w14:textId="77777777" w:rsidR="00D94935" w:rsidRDefault="00D94935" w:rsidP="003A681D">
            <w:pPr>
              <w:pStyle w:val="TableText"/>
              <w:spacing w:before="120" w:after="120"/>
            </w:pPr>
            <w:r>
              <w:t xml:space="preserve">power to grant relief of administrator from personal liability for rent </w:t>
            </w:r>
          </w:p>
        </w:tc>
      </w:tr>
      <w:tr w:rsidR="00D94935" w14:paraId="211FC453" w14:textId="77777777" w:rsidTr="003A681D">
        <w:trPr>
          <w:cantSplit/>
        </w:trPr>
        <w:tc>
          <w:tcPr>
            <w:tcW w:w="1134" w:type="dxa"/>
          </w:tcPr>
          <w:p w14:paraId="4B6B1E26" w14:textId="77777777" w:rsidR="00D94935" w:rsidRDefault="00D94935" w:rsidP="003A681D">
            <w:pPr>
              <w:pStyle w:val="TableText"/>
              <w:spacing w:before="120" w:after="120"/>
            </w:pPr>
            <w:r>
              <w:t>38</w:t>
            </w:r>
          </w:p>
        </w:tc>
        <w:tc>
          <w:tcPr>
            <w:tcW w:w="2167" w:type="dxa"/>
          </w:tcPr>
          <w:p w14:paraId="67706EDF" w14:textId="77777777" w:rsidR="00D94935" w:rsidRDefault="00D94935" w:rsidP="003A681D">
            <w:pPr>
              <w:pStyle w:val="TableText"/>
              <w:spacing w:before="120" w:after="120"/>
            </w:pPr>
            <w:r>
              <w:t>section 444B (2)</w:t>
            </w:r>
          </w:p>
        </w:tc>
        <w:tc>
          <w:tcPr>
            <w:tcW w:w="1367" w:type="dxa"/>
          </w:tcPr>
          <w:p w14:paraId="5F5A3D66" w14:textId="77777777" w:rsidR="00D94935" w:rsidRDefault="00D94935" w:rsidP="003A681D">
            <w:pPr>
              <w:pStyle w:val="TableText"/>
              <w:spacing w:before="120" w:after="120"/>
            </w:pPr>
          </w:p>
        </w:tc>
        <w:tc>
          <w:tcPr>
            <w:tcW w:w="3259" w:type="dxa"/>
          </w:tcPr>
          <w:p w14:paraId="23F24A79" w14:textId="77777777" w:rsidR="00D94935" w:rsidRDefault="00D94935" w:rsidP="003A681D">
            <w:pPr>
              <w:pStyle w:val="TableText"/>
              <w:spacing w:before="120" w:after="120"/>
            </w:pPr>
            <w:r>
              <w:t xml:space="preserve">power to extend time for execution of deed of company arrangement </w:t>
            </w:r>
          </w:p>
        </w:tc>
      </w:tr>
      <w:tr w:rsidR="00D94935" w14:paraId="53953EAC" w14:textId="77777777" w:rsidTr="003A681D">
        <w:trPr>
          <w:cantSplit/>
        </w:trPr>
        <w:tc>
          <w:tcPr>
            <w:tcW w:w="1134" w:type="dxa"/>
          </w:tcPr>
          <w:p w14:paraId="5ABB58C0" w14:textId="77777777" w:rsidR="00D94935" w:rsidRDefault="00D94935" w:rsidP="003A681D">
            <w:pPr>
              <w:pStyle w:val="TableText"/>
              <w:spacing w:before="120" w:after="120"/>
            </w:pPr>
            <w:r>
              <w:t>39</w:t>
            </w:r>
          </w:p>
        </w:tc>
        <w:tc>
          <w:tcPr>
            <w:tcW w:w="2167" w:type="dxa"/>
          </w:tcPr>
          <w:p w14:paraId="6048AB38" w14:textId="77777777" w:rsidR="00D94935" w:rsidRDefault="00D94935" w:rsidP="003A681D">
            <w:pPr>
              <w:pStyle w:val="TableText"/>
              <w:spacing w:before="120" w:after="120"/>
            </w:pPr>
            <w:r>
              <w:t>section 444C (2)</w:t>
            </w:r>
          </w:p>
        </w:tc>
        <w:tc>
          <w:tcPr>
            <w:tcW w:w="1367" w:type="dxa"/>
          </w:tcPr>
          <w:p w14:paraId="5EDD6BA4" w14:textId="77777777" w:rsidR="00D94935" w:rsidRDefault="00D94935" w:rsidP="003A681D">
            <w:pPr>
              <w:pStyle w:val="TableText"/>
              <w:spacing w:before="120" w:after="120"/>
            </w:pPr>
          </w:p>
        </w:tc>
        <w:tc>
          <w:tcPr>
            <w:tcW w:w="3259" w:type="dxa"/>
          </w:tcPr>
          <w:p w14:paraId="6F776CC9" w14:textId="77777777" w:rsidR="00D94935" w:rsidRDefault="00D94935" w:rsidP="003A681D">
            <w:pPr>
              <w:pStyle w:val="TableText"/>
              <w:spacing w:before="120" w:after="120"/>
            </w:pPr>
            <w:r>
              <w:t xml:space="preserve">power to grant leave to act inconsistently with deed of company arrangement </w:t>
            </w:r>
          </w:p>
        </w:tc>
      </w:tr>
      <w:tr w:rsidR="00D94935" w14:paraId="346D6029" w14:textId="77777777" w:rsidTr="003A681D">
        <w:trPr>
          <w:cantSplit/>
        </w:trPr>
        <w:tc>
          <w:tcPr>
            <w:tcW w:w="1134" w:type="dxa"/>
          </w:tcPr>
          <w:p w14:paraId="1F923CCE" w14:textId="77777777" w:rsidR="00D94935" w:rsidRDefault="00D94935" w:rsidP="003A681D">
            <w:pPr>
              <w:pStyle w:val="TableText"/>
              <w:spacing w:before="120" w:after="120"/>
            </w:pPr>
            <w:r>
              <w:lastRenderedPageBreak/>
              <w:t>40</w:t>
            </w:r>
          </w:p>
        </w:tc>
        <w:tc>
          <w:tcPr>
            <w:tcW w:w="2167" w:type="dxa"/>
          </w:tcPr>
          <w:p w14:paraId="48336907" w14:textId="77777777" w:rsidR="00D94935" w:rsidRDefault="00D94935" w:rsidP="003A681D">
            <w:pPr>
              <w:pStyle w:val="TableText"/>
              <w:spacing w:before="120" w:after="120"/>
            </w:pPr>
            <w:r>
              <w:t>section 444E (3)</w:t>
            </w:r>
          </w:p>
        </w:tc>
        <w:tc>
          <w:tcPr>
            <w:tcW w:w="1367" w:type="dxa"/>
          </w:tcPr>
          <w:p w14:paraId="7751023D" w14:textId="77777777" w:rsidR="00D94935" w:rsidRDefault="00D94935" w:rsidP="003A681D">
            <w:pPr>
              <w:pStyle w:val="TableText"/>
              <w:spacing w:before="120" w:after="120"/>
            </w:pPr>
          </w:p>
        </w:tc>
        <w:tc>
          <w:tcPr>
            <w:tcW w:w="3259" w:type="dxa"/>
          </w:tcPr>
          <w:p w14:paraId="79CFD00C" w14:textId="77777777"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14:paraId="4A41C932" w14:textId="77777777" w:rsidTr="003A681D">
        <w:trPr>
          <w:cantSplit/>
        </w:trPr>
        <w:tc>
          <w:tcPr>
            <w:tcW w:w="1134" w:type="dxa"/>
          </w:tcPr>
          <w:p w14:paraId="630ECBDA" w14:textId="77777777" w:rsidR="00D94935" w:rsidRDefault="00D94935" w:rsidP="003A681D">
            <w:pPr>
              <w:pStyle w:val="TableText"/>
              <w:spacing w:before="120" w:after="120"/>
            </w:pPr>
            <w:r>
              <w:t>41</w:t>
            </w:r>
          </w:p>
        </w:tc>
        <w:tc>
          <w:tcPr>
            <w:tcW w:w="2167" w:type="dxa"/>
          </w:tcPr>
          <w:p w14:paraId="49AF448F" w14:textId="77777777" w:rsidR="00D94935" w:rsidRDefault="00D94935" w:rsidP="003A681D">
            <w:pPr>
              <w:pStyle w:val="TableText"/>
              <w:spacing w:before="120" w:after="120"/>
            </w:pPr>
            <w:r>
              <w:t>section 444F</w:t>
            </w:r>
          </w:p>
        </w:tc>
        <w:tc>
          <w:tcPr>
            <w:tcW w:w="1367" w:type="dxa"/>
          </w:tcPr>
          <w:p w14:paraId="63E5FE09" w14:textId="77777777" w:rsidR="00D94935" w:rsidRDefault="00D94935" w:rsidP="003A681D">
            <w:pPr>
              <w:pStyle w:val="TableText"/>
              <w:spacing w:before="120" w:after="120"/>
            </w:pPr>
          </w:p>
        </w:tc>
        <w:tc>
          <w:tcPr>
            <w:tcW w:w="3259" w:type="dxa"/>
          </w:tcPr>
          <w:p w14:paraId="094F822E" w14:textId="77777777" w:rsidR="00D94935" w:rsidRDefault="00D94935" w:rsidP="003A681D">
            <w:pPr>
              <w:pStyle w:val="TableText"/>
              <w:spacing w:before="120" w:after="120"/>
            </w:pPr>
            <w:r>
              <w:t xml:space="preserve">power to order secured creditor or owner or lessor of property not to take certain actions </w:t>
            </w:r>
          </w:p>
        </w:tc>
      </w:tr>
      <w:tr w:rsidR="00D94935" w14:paraId="0F576EAC" w14:textId="77777777" w:rsidTr="003A681D">
        <w:trPr>
          <w:cantSplit/>
        </w:trPr>
        <w:tc>
          <w:tcPr>
            <w:tcW w:w="1134" w:type="dxa"/>
          </w:tcPr>
          <w:p w14:paraId="58D05CA1" w14:textId="77777777" w:rsidR="00D94935" w:rsidRDefault="00D94935" w:rsidP="003A681D">
            <w:pPr>
              <w:pStyle w:val="TableText"/>
              <w:spacing w:before="120" w:after="120"/>
            </w:pPr>
            <w:r>
              <w:t>42</w:t>
            </w:r>
          </w:p>
        </w:tc>
        <w:tc>
          <w:tcPr>
            <w:tcW w:w="2167" w:type="dxa"/>
          </w:tcPr>
          <w:p w14:paraId="4C7E61AE" w14:textId="77777777" w:rsidR="00D94935" w:rsidRDefault="00D94935" w:rsidP="003A681D">
            <w:pPr>
              <w:pStyle w:val="TableText"/>
              <w:spacing w:before="120" w:after="120"/>
            </w:pPr>
            <w:r>
              <w:t>section 445B</w:t>
            </w:r>
          </w:p>
        </w:tc>
        <w:tc>
          <w:tcPr>
            <w:tcW w:w="1367" w:type="dxa"/>
          </w:tcPr>
          <w:p w14:paraId="27763E35" w14:textId="77777777" w:rsidR="00D94935" w:rsidRDefault="00D94935" w:rsidP="003A681D">
            <w:pPr>
              <w:pStyle w:val="TableText"/>
              <w:spacing w:before="120" w:after="120"/>
            </w:pPr>
          </w:p>
        </w:tc>
        <w:tc>
          <w:tcPr>
            <w:tcW w:w="3259" w:type="dxa"/>
          </w:tcPr>
          <w:p w14:paraId="7E3D439A" w14:textId="77777777" w:rsidR="00D94935" w:rsidRDefault="00D94935" w:rsidP="003A681D">
            <w:pPr>
              <w:pStyle w:val="TableText"/>
              <w:spacing w:before="120" w:after="120"/>
            </w:pPr>
            <w:r>
              <w:t xml:space="preserve">power to make an order cancelling a variation of a deed of company arrangement </w:t>
            </w:r>
          </w:p>
        </w:tc>
      </w:tr>
      <w:tr w:rsidR="00D94935" w14:paraId="15D60687" w14:textId="77777777" w:rsidTr="003A681D">
        <w:trPr>
          <w:cantSplit/>
        </w:trPr>
        <w:tc>
          <w:tcPr>
            <w:tcW w:w="1134" w:type="dxa"/>
          </w:tcPr>
          <w:p w14:paraId="283D7C8D" w14:textId="77777777" w:rsidR="00D94935" w:rsidRDefault="00D94935" w:rsidP="003A681D">
            <w:pPr>
              <w:pStyle w:val="TableText"/>
              <w:spacing w:before="120" w:after="120"/>
            </w:pPr>
            <w:r>
              <w:t>43</w:t>
            </w:r>
          </w:p>
        </w:tc>
        <w:tc>
          <w:tcPr>
            <w:tcW w:w="2167" w:type="dxa"/>
          </w:tcPr>
          <w:p w14:paraId="59DFEC50" w14:textId="77777777" w:rsidR="00D94935" w:rsidRDefault="00D94935" w:rsidP="003A681D">
            <w:pPr>
              <w:pStyle w:val="TableText"/>
              <w:spacing w:before="120" w:after="120"/>
            </w:pPr>
            <w:r>
              <w:t>section 445D</w:t>
            </w:r>
          </w:p>
        </w:tc>
        <w:tc>
          <w:tcPr>
            <w:tcW w:w="1367" w:type="dxa"/>
          </w:tcPr>
          <w:p w14:paraId="7E7990A6" w14:textId="77777777" w:rsidR="00D94935" w:rsidRDefault="00D94935" w:rsidP="003A681D">
            <w:pPr>
              <w:pStyle w:val="TableText"/>
              <w:spacing w:before="120" w:after="120"/>
            </w:pPr>
          </w:p>
        </w:tc>
        <w:tc>
          <w:tcPr>
            <w:tcW w:w="3259" w:type="dxa"/>
          </w:tcPr>
          <w:p w14:paraId="18AF3D79" w14:textId="77777777" w:rsidR="00D94935" w:rsidRDefault="00D94935" w:rsidP="003A681D">
            <w:pPr>
              <w:pStyle w:val="TableText"/>
              <w:spacing w:before="120" w:after="120"/>
            </w:pPr>
            <w:r>
              <w:t>power to make order terminating a deed of company arrangement</w:t>
            </w:r>
          </w:p>
        </w:tc>
      </w:tr>
      <w:tr w:rsidR="00D94935" w14:paraId="64E83FA9" w14:textId="77777777" w:rsidTr="003A681D">
        <w:trPr>
          <w:cantSplit/>
        </w:trPr>
        <w:tc>
          <w:tcPr>
            <w:tcW w:w="1134" w:type="dxa"/>
          </w:tcPr>
          <w:p w14:paraId="4EC52C07" w14:textId="77777777" w:rsidR="00D94935" w:rsidRDefault="00D94935" w:rsidP="003A681D">
            <w:pPr>
              <w:pStyle w:val="TableText"/>
              <w:spacing w:before="120" w:after="120"/>
            </w:pPr>
            <w:r>
              <w:t>44</w:t>
            </w:r>
          </w:p>
        </w:tc>
        <w:tc>
          <w:tcPr>
            <w:tcW w:w="2167" w:type="dxa"/>
          </w:tcPr>
          <w:p w14:paraId="7D36F137" w14:textId="77777777" w:rsidR="00D94935" w:rsidRDefault="00D94935" w:rsidP="003A681D">
            <w:pPr>
              <w:pStyle w:val="TableText"/>
              <w:spacing w:before="120" w:after="120"/>
            </w:pPr>
            <w:r>
              <w:t>section 445G</w:t>
            </w:r>
          </w:p>
        </w:tc>
        <w:tc>
          <w:tcPr>
            <w:tcW w:w="1367" w:type="dxa"/>
          </w:tcPr>
          <w:p w14:paraId="3FD0C1AB" w14:textId="77777777" w:rsidR="00D94935" w:rsidRDefault="00D94935" w:rsidP="003A681D">
            <w:pPr>
              <w:pStyle w:val="TableText"/>
              <w:spacing w:before="120" w:after="120"/>
            </w:pPr>
          </w:p>
        </w:tc>
        <w:tc>
          <w:tcPr>
            <w:tcW w:w="3259" w:type="dxa"/>
          </w:tcPr>
          <w:p w14:paraId="46A28C2C" w14:textId="77777777" w:rsidR="00D94935" w:rsidRDefault="00D94935" w:rsidP="003A681D">
            <w:pPr>
              <w:pStyle w:val="TableText"/>
              <w:spacing w:before="120" w:after="120"/>
            </w:pPr>
            <w:r>
              <w:t xml:space="preserve">power to avoid or validate deed of company arrangement </w:t>
            </w:r>
          </w:p>
        </w:tc>
      </w:tr>
      <w:tr w:rsidR="00D94935" w14:paraId="667D9006" w14:textId="77777777" w:rsidTr="003A681D">
        <w:trPr>
          <w:cantSplit/>
        </w:trPr>
        <w:tc>
          <w:tcPr>
            <w:tcW w:w="1134" w:type="dxa"/>
          </w:tcPr>
          <w:p w14:paraId="3CDF21C4" w14:textId="77777777" w:rsidR="00D94935" w:rsidRDefault="00D94935" w:rsidP="003A681D">
            <w:pPr>
              <w:pStyle w:val="TableText"/>
              <w:spacing w:before="120" w:after="120"/>
            </w:pPr>
            <w:r>
              <w:t>45</w:t>
            </w:r>
          </w:p>
        </w:tc>
        <w:tc>
          <w:tcPr>
            <w:tcW w:w="2167" w:type="dxa"/>
          </w:tcPr>
          <w:p w14:paraId="571F4135" w14:textId="77777777" w:rsidR="00D94935" w:rsidRDefault="00D94935" w:rsidP="003A681D">
            <w:pPr>
              <w:pStyle w:val="TableText"/>
              <w:spacing w:before="120" w:after="120"/>
            </w:pPr>
            <w:r>
              <w:t>section 447A</w:t>
            </w:r>
          </w:p>
        </w:tc>
        <w:tc>
          <w:tcPr>
            <w:tcW w:w="1367" w:type="dxa"/>
          </w:tcPr>
          <w:p w14:paraId="65156265" w14:textId="77777777" w:rsidR="00D94935" w:rsidRDefault="00D94935" w:rsidP="003A681D">
            <w:pPr>
              <w:pStyle w:val="TableText"/>
              <w:spacing w:before="120" w:after="120"/>
            </w:pPr>
          </w:p>
        </w:tc>
        <w:tc>
          <w:tcPr>
            <w:tcW w:w="3259" w:type="dxa"/>
          </w:tcPr>
          <w:p w14:paraId="006CBC39" w14:textId="77777777" w:rsidR="00D94935" w:rsidRDefault="00D94935" w:rsidP="003A681D">
            <w:pPr>
              <w:pStyle w:val="TableText"/>
              <w:spacing w:before="120" w:after="120"/>
            </w:pPr>
            <w:r>
              <w:t xml:space="preserve">power to make order to bring administration to an end </w:t>
            </w:r>
          </w:p>
        </w:tc>
      </w:tr>
      <w:tr w:rsidR="00D94935" w14:paraId="53C5B83E" w14:textId="77777777" w:rsidTr="003A681D">
        <w:trPr>
          <w:cantSplit/>
        </w:trPr>
        <w:tc>
          <w:tcPr>
            <w:tcW w:w="1134" w:type="dxa"/>
          </w:tcPr>
          <w:p w14:paraId="7A0B34A8" w14:textId="77777777" w:rsidR="00D94935" w:rsidRDefault="00D94935" w:rsidP="003A681D">
            <w:pPr>
              <w:pStyle w:val="TableText"/>
              <w:spacing w:before="120" w:after="120"/>
            </w:pPr>
            <w:r>
              <w:t>46</w:t>
            </w:r>
          </w:p>
        </w:tc>
        <w:tc>
          <w:tcPr>
            <w:tcW w:w="2167" w:type="dxa"/>
          </w:tcPr>
          <w:p w14:paraId="1AF00DB7" w14:textId="77777777" w:rsidR="00D94935" w:rsidRDefault="00D94935" w:rsidP="003A681D">
            <w:pPr>
              <w:pStyle w:val="TableText"/>
              <w:spacing w:before="120" w:after="120"/>
            </w:pPr>
            <w:r>
              <w:t>section 447B</w:t>
            </w:r>
          </w:p>
        </w:tc>
        <w:tc>
          <w:tcPr>
            <w:tcW w:w="1367" w:type="dxa"/>
          </w:tcPr>
          <w:p w14:paraId="064AE28D" w14:textId="77777777" w:rsidR="00D94935" w:rsidRDefault="00D94935" w:rsidP="003A681D">
            <w:pPr>
              <w:pStyle w:val="TableText"/>
              <w:spacing w:before="120" w:after="120"/>
            </w:pPr>
          </w:p>
        </w:tc>
        <w:tc>
          <w:tcPr>
            <w:tcW w:w="3259" w:type="dxa"/>
          </w:tcPr>
          <w:p w14:paraId="01E1F020" w14:textId="77777777" w:rsidR="00D94935" w:rsidRDefault="00D94935" w:rsidP="003A681D">
            <w:pPr>
              <w:pStyle w:val="TableText"/>
              <w:spacing w:before="120" w:after="120"/>
            </w:pPr>
            <w:r>
              <w:t xml:space="preserve">power to make order to protect interests of company’s creditors during an administration </w:t>
            </w:r>
          </w:p>
        </w:tc>
      </w:tr>
      <w:tr w:rsidR="00D94935" w14:paraId="2AE238E9" w14:textId="77777777" w:rsidTr="003A681D">
        <w:trPr>
          <w:cantSplit/>
        </w:trPr>
        <w:tc>
          <w:tcPr>
            <w:tcW w:w="1134" w:type="dxa"/>
          </w:tcPr>
          <w:p w14:paraId="6339FA57" w14:textId="77777777" w:rsidR="00D94935" w:rsidRDefault="00D94935" w:rsidP="003A681D">
            <w:pPr>
              <w:pStyle w:val="TableText"/>
              <w:spacing w:before="120" w:after="120"/>
            </w:pPr>
            <w:r>
              <w:lastRenderedPageBreak/>
              <w:t>47</w:t>
            </w:r>
          </w:p>
        </w:tc>
        <w:tc>
          <w:tcPr>
            <w:tcW w:w="2167" w:type="dxa"/>
          </w:tcPr>
          <w:p w14:paraId="4245C7F4" w14:textId="77777777" w:rsidR="00D94935" w:rsidRDefault="00D94935" w:rsidP="003A681D">
            <w:pPr>
              <w:pStyle w:val="TableText"/>
              <w:spacing w:before="120" w:after="120"/>
            </w:pPr>
            <w:r>
              <w:t>section 447C</w:t>
            </w:r>
          </w:p>
        </w:tc>
        <w:tc>
          <w:tcPr>
            <w:tcW w:w="1367" w:type="dxa"/>
          </w:tcPr>
          <w:p w14:paraId="0A14A825" w14:textId="77777777" w:rsidR="00D94935" w:rsidRDefault="00D94935" w:rsidP="003A681D">
            <w:pPr>
              <w:pStyle w:val="TableText"/>
              <w:spacing w:before="120" w:after="120"/>
            </w:pPr>
          </w:p>
        </w:tc>
        <w:tc>
          <w:tcPr>
            <w:tcW w:w="3259" w:type="dxa"/>
          </w:tcPr>
          <w:p w14:paraId="55835860" w14:textId="77777777" w:rsidR="00D94935" w:rsidRDefault="00D94935" w:rsidP="003A681D">
            <w:pPr>
              <w:pStyle w:val="TableText"/>
              <w:spacing w:before="120" w:after="120"/>
            </w:pPr>
            <w:r>
              <w:t xml:space="preserve">power to declare whether administrator is validly appointed </w:t>
            </w:r>
          </w:p>
        </w:tc>
      </w:tr>
      <w:tr w:rsidR="00D94935" w14:paraId="513DC92F" w14:textId="77777777" w:rsidTr="003A681D">
        <w:trPr>
          <w:cantSplit/>
        </w:trPr>
        <w:tc>
          <w:tcPr>
            <w:tcW w:w="1134" w:type="dxa"/>
          </w:tcPr>
          <w:p w14:paraId="43AE1AE9" w14:textId="77777777" w:rsidR="00D94935" w:rsidRDefault="00D94935" w:rsidP="003A681D">
            <w:pPr>
              <w:pStyle w:val="TableText"/>
              <w:spacing w:before="120" w:after="120"/>
            </w:pPr>
            <w:r>
              <w:t>48</w:t>
            </w:r>
          </w:p>
        </w:tc>
        <w:tc>
          <w:tcPr>
            <w:tcW w:w="2167" w:type="dxa"/>
          </w:tcPr>
          <w:p w14:paraId="094B3570" w14:textId="77777777" w:rsidR="00D94935" w:rsidRDefault="00D94935" w:rsidP="003A681D">
            <w:pPr>
              <w:pStyle w:val="TableText"/>
              <w:spacing w:before="120" w:after="120"/>
            </w:pPr>
            <w:r>
              <w:t>section 447D</w:t>
            </w:r>
          </w:p>
        </w:tc>
        <w:tc>
          <w:tcPr>
            <w:tcW w:w="1367" w:type="dxa"/>
          </w:tcPr>
          <w:p w14:paraId="254DC688" w14:textId="77777777" w:rsidR="00D94935" w:rsidRDefault="00D94935" w:rsidP="003A681D">
            <w:pPr>
              <w:pStyle w:val="TableText"/>
              <w:spacing w:before="120" w:after="120"/>
            </w:pPr>
          </w:p>
        </w:tc>
        <w:tc>
          <w:tcPr>
            <w:tcW w:w="3259" w:type="dxa"/>
          </w:tcPr>
          <w:p w14:paraId="33C615C4" w14:textId="77777777" w:rsidR="00D94935" w:rsidRDefault="00D94935" w:rsidP="003A681D">
            <w:pPr>
              <w:pStyle w:val="TableText"/>
              <w:spacing w:before="120" w:after="120"/>
            </w:pPr>
            <w:r>
              <w:t xml:space="preserve">power to give directions to administrator </w:t>
            </w:r>
          </w:p>
        </w:tc>
      </w:tr>
      <w:tr w:rsidR="00D94935" w14:paraId="5C58173D" w14:textId="77777777" w:rsidTr="003A681D">
        <w:trPr>
          <w:cantSplit/>
        </w:trPr>
        <w:tc>
          <w:tcPr>
            <w:tcW w:w="1134" w:type="dxa"/>
          </w:tcPr>
          <w:p w14:paraId="4A5BE6C4" w14:textId="77777777" w:rsidR="00D94935" w:rsidRDefault="00D94935" w:rsidP="003A681D">
            <w:pPr>
              <w:pStyle w:val="TableText"/>
              <w:spacing w:before="120" w:after="120"/>
            </w:pPr>
            <w:r>
              <w:t>49</w:t>
            </w:r>
          </w:p>
        </w:tc>
        <w:tc>
          <w:tcPr>
            <w:tcW w:w="2167" w:type="dxa"/>
          </w:tcPr>
          <w:p w14:paraId="42B0CD1D" w14:textId="77777777" w:rsidR="00D94935" w:rsidRDefault="00D94935" w:rsidP="003A681D">
            <w:pPr>
              <w:pStyle w:val="TableText"/>
              <w:spacing w:before="120" w:after="120"/>
            </w:pPr>
            <w:r>
              <w:t>section 447E</w:t>
            </w:r>
          </w:p>
        </w:tc>
        <w:tc>
          <w:tcPr>
            <w:tcW w:w="1367" w:type="dxa"/>
          </w:tcPr>
          <w:p w14:paraId="13B99832" w14:textId="77777777" w:rsidR="00D94935" w:rsidRDefault="00D94935" w:rsidP="003A681D">
            <w:pPr>
              <w:pStyle w:val="TableText"/>
              <w:spacing w:before="120" w:after="120"/>
            </w:pPr>
          </w:p>
        </w:tc>
        <w:tc>
          <w:tcPr>
            <w:tcW w:w="3259" w:type="dxa"/>
          </w:tcPr>
          <w:p w14:paraId="521074A7" w14:textId="77777777" w:rsidR="00D94935" w:rsidRDefault="00D94935" w:rsidP="003A681D">
            <w:pPr>
              <w:pStyle w:val="TableText"/>
              <w:spacing w:before="120" w:after="120"/>
            </w:pPr>
            <w:r>
              <w:t xml:space="preserve">power to make order about supervision of administrator of company or deed of company arrangement </w:t>
            </w:r>
          </w:p>
        </w:tc>
      </w:tr>
      <w:tr w:rsidR="00D94935" w14:paraId="4460F00B" w14:textId="77777777" w:rsidTr="003A681D">
        <w:trPr>
          <w:cantSplit/>
        </w:trPr>
        <w:tc>
          <w:tcPr>
            <w:tcW w:w="1134" w:type="dxa"/>
          </w:tcPr>
          <w:p w14:paraId="3A806091" w14:textId="77777777" w:rsidR="00D94935" w:rsidRDefault="00D94935" w:rsidP="003A681D">
            <w:pPr>
              <w:pStyle w:val="TableText"/>
              <w:spacing w:before="120" w:after="120"/>
            </w:pPr>
            <w:r>
              <w:t>50</w:t>
            </w:r>
          </w:p>
        </w:tc>
        <w:tc>
          <w:tcPr>
            <w:tcW w:w="2167" w:type="dxa"/>
          </w:tcPr>
          <w:p w14:paraId="6A05799C" w14:textId="77777777" w:rsidR="00D94935" w:rsidRDefault="00D94935" w:rsidP="003A681D">
            <w:pPr>
              <w:pStyle w:val="TableText"/>
              <w:spacing w:before="120" w:after="120"/>
            </w:pPr>
            <w:r>
              <w:t>section 449B</w:t>
            </w:r>
          </w:p>
        </w:tc>
        <w:tc>
          <w:tcPr>
            <w:tcW w:w="1367" w:type="dxa"/>
          </w:tcPr>
          <w:p w14:paraId="6F1734D4" w14:textId="77777777" w:rsidR="00D94935" w:rsidRDefault="00D94935" w:rsidP="003A681D">
            <w:pPr>
              <w:pStyle w:val="TableText"/>
              <w:spacing w:before="120" w:after="120"/>
            </w:pPr>
          </w:p>
        </w:tc>
        <w:tc>
          <w:tcPr>
            <w:tcW w:w="3259" w:type="dxa"/>
          </w:tcPr>
          <w:p w14:paraId="68529D14" w14:textId="77777777" w:rsidR="00D94935" w:rsidRDefault="00D94935" w:rsidP="003A681D">
            <w:pPr>
              <w:pStyle w:val="TableText"/>
              <w:spacing w:before="120" w:after="120"/>
            </w:pPr>
            <w:r>
              <w:t xml:space="preserve">power to make order about removal and appointment of administrator </w:t>
            </w:r>
          </w:p>
        </w:tc>
      </w:tr>
      <w:tr w:rsidR="00D94935" w14:paraId="74BFB899" w14:textId="77777777" w:rsidTr="003A681D">
        <w:trPr>
          <w:cantSplit/>
        </w:trPr>
        <w:tc>
          <w:tcPr>
            <w:tcW w:w="1134" w:type="dxa"/>
          </w:tcPr>
          <w:p w14:paraId="55E59F6D" w14:textId="77777777" w:rsidR="00D94935" w:rsidRDefault="00D94935" w:rsidP="003A681D">
            <w:pPr>
              <w:pStyle w:val="TableText"/>
              <w:spacing w:before="120" w:after="120"/>
            </w:pPr>
            <w:r>
              <w:t>51</w:t>
            </w:r>
          </w:p>
        </w:tc>
        <w:tc>
          <w:tcPr>
            <w:tcW w:w="2167" w:type="dxa"/>
          </w:tcPr>
          <w:p w14:paraId="6521F2BC" w14:textId="77777777" w:rsidR="00D94935" w:rsidRDefault="00D94935" w:rsidP="003A681D">
            <w:pPr>
              <w:pStyle w:val="TableText"/>
              <w:spacing w:before="120" w:after="120"/>
            </w:pPr>
            <w:r>
              <w:t>sections 449C and 449D</w:t>
            </w:r>
          </w:p>
        </w:tc>
        <w:tc>
          <w:tcPr>
            <w:tcW w:w="1367" w:type="dxa"/>
          </w:tcPr>
          <w:p w14:paraId="626A03D7" w14:textId="77777777" w:rsidR="00D94935" w:rsidRDefault="00D94935" w:rsidP="003A681D">
            <w:pPr>
              <w:pStyle w:val="TableText"/>
              <w:spacing w:before="120" w:after="120"/>
            </w:pPr>
          </w:p>
        </w:tc>
        <w:tc>
          <w:tcPr>
            <w:tcW w:w="3259" w:type="dxa"/>
          </w:tcPr>
          <w:p w14:paraId="18223E60" w14:textId="77777777"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14:paraId="58E90E25" w14:textId="77777777" w:rsidTr="003A681D">
        <w:trPr>
          <w:cantSplit/>
        </w:trPr>
        <w:tc>
          <w:tcPr>
            <w:tcW w:w="1134" w:type="dxa"/>
          </w:tcPr>
          <w:p w14:paraId="7A19A99C" w14:textId="77777777" w:rsidR="00D94935" w:rsidRDefault="00D94935" w:rsidP="003A681D">
            <w:pPr>
              <w:pStyle w:val="TableText"/>
              <w:spacing w:before="120" w:after="120"/>
            </w:pPr>
            <w:r>
              <w:t>52</w:t>
            </w:r>
          </w:p>
        </w:tc>
        <w:tc>
          <w:tcPr>
            <w:tcW w:w="2167" w:type="dxa"/>
          </w:tcPr>
          <w:p w14:paraId="458CB265" w14:textId="77777777" w:rsidR="00D94935" w:rsidRDefault="00D94935" w:rsidP="003A681D">
            <w:pPr>
              <w:pStyle w:val="TableText"/>
              <w:spacing w:before="120" w:after="120"/>
            </w:pPr>
            <w:r>
              <w:t>section 449E (1) (c) and (1A) (c)</w:t>
            </w:r>
          </w:p>
        </w:tc>
        <w:tc>
          <w:tcPr>
            <w:tcW w:w="1367" w:type="dxa"/>
          </w:tcPr>
          <w:p w14:paraId="41A495BF" w14:textId="77777777" w:rsidR="00D94935" w:rsidRDefault="00D94935" w:rsidP="003A681D">
            <w:pPr>
              <w:pStyle w:val="TableText"/>
              <w:spacing w:before="120" w:after="120"/>
            </w:pPr>
            <w:r>
              <w:t>9.2</w:t>
            </w:r>
          </w:p>
        </w:tc>
        <w:tc>
          <w:tcPr>
            <w:tcW w:w="3259" w:type="dxa"/>
          </w:tcPr>
          <w:p w14:paraId="62119E0C" w14:textId="77777777" w:rsidR="00D94935" w:rsidRDefault="00D94935" w:rsidP="003A681D">
            <w:pPr>
              <w:pStyle w:val="TableText"/>
              <w:spacing w:before="120" w:after="120"/>
            </w:pPr>
            <w:r>
              <w:t xml:space="preserve">power to determine administrator’s remuneration </w:t>
            </w:r>
          </w:p>
        </w:tc>
      </w:tr>
      <w:tr w:rsidR="00D94935" w14:paraId="5867C99F" w14:textId="77777777" w:rsidTr="003A681D">
        <w:trPr>
          <w:cantSplit/>
        </w:trPr>
        <w:tc>
          <w:tcPr>
            <w:tcW w:w="1134" w:type="dxa"/>
          </w:tcPr>
          <w:p w14:paraId="7FD08ED5" w14:textId="77777777" w:rsidR="00D94935" w:rsidRDefault="00D94935" w:rsidP="003A681D">
            <w:pPr>
              <w:pStyle w:val="TableText"/>
              <w:spacing w:before="120" w:after="120"/>
            </w:pPr>
            <w:r>
              <w:t>53</w:t>
            </w:r>
          </w:p>
        </w:tc>
        <w:tc>
          <w:tcPr>
            <w:tcW w:w="2167" w:type="dxa"/>
          </w:tcPr>
          <w:p w14:paraId="7F048912" w14:textId="77777777" w:rsidR="00D94935" w:rsidRDefault="00D94935" w:rsidP="003A681D">
            <w:pPr>
              <w:pStyle w:val="TableText"/>
              <w:spacing w:before="120" w:after="120"/>
            </w:pPr>
            <w:r>
              <w:t>section 449E (2)</w:t>
            </w:r>
          </w:p>
        </w:tc>
        <w:tc>
          <w:tcPr>
            <w:tcW w:w="1367" w:type="dxa"/>
          </w:tcPr>
          <w:p w14:paraId="6C0B75F1" w14:textId="77777777" w:rsidR="00D94935" w:rsidRDefault="00D94935" w:rsidP="003A681D">
            <w:pPr>
              <w:pStyle w:val="TableText"/>
              <w:spacing w:before="120" w:after="120"/>
            </w:pPr>
            <w:r>
              <w:t>9.2A</w:t>
            </w:r>
          </w:p>
        </w:tc>
        <w:tc>
          <w:tcPr>
            <w:tcW w:w="3259" w:type="dxa"/>
          </w:tcPr>
          <w:p w14:paraId="0EB888E1" w14:textId="77777777" w:rsidR="00D94935" w:rsidRDefault="00D94935" w:rsidP="003A681D">
            <w:pPr>
              <w:pStyle w:val="TableText"/>
              <w:spacing w:before="120" w:after="120"/>
            </w:pPr>
            <w:r>
              <w:t xml:space="preserve">power to review administrator’s remuneration </w:t>
            </w:r>
          </w:p>
        </w:tc>
      </w:tr>
      <w:tr w:rsidR="00D94935" w14:paraId="47D76EE6" w14:textId="77777777" w:rsidTr="003A681D">
        <w:trPr>
          <w:cantSplit/>
        </w:trPr>
        <w:tc>
          <w:tcPr>
            <w:tcW w:w="1134" w:type="dxa"/>
          </w:tcPr>
          <w:p w14:paraId="20AEC735" w14:textId="77777777" w:rsidR="00D94935" w:rsidRDefault="00D94935" w:rsidP="003A681D">
            <w:pPr>
              <w:pStyle w:val="TableText"/>
              <w:spacing w:before="120" w:after="120"/>
            </w:pPr>
            <w:r>
              <w:t>54</w:t>
            </w:r>
          </w:p>
        </w:tc>
        <w:tc>
          <w:tcPr>
            <w:tcW w:w="2167" w:type="dxa"/>
          </w:tcPr>
          <w:p w14:paraId="6C1D0C0D" w14:textId="77777777" w:rsidR="00D94935" w:rsidRDefault="00D94935" w:rsidP="003A681D">
            <w:pPr>
              <w:pStyle w:val="TableText"/>
              <w:spacing w:before="120" w:after="120"/>
            </w:pPr>
            <w:r>
              <w:t>sections 459F, 459H, 459J, 459L, 459M and 459N</w:t>
            </w:r>
          </w:p>
        </w:tc>
        <w:tc>
          <w:tcPr>
            <w:tcW w:w="1367" w:type="dxa"/>
          </w:tcPr>
          <w:p w14:paraId="316439B9" w14:textId="77777777" w:rsidR="00D94935" w:rsidRDefault="00D94935" w:rsidP="003A681D">
            <w:pPr>
              <w:pStyle w:val="TableText"/>
              <w:spacing w:before="120" w:after="120"/>
            </w:pPr>
          </w:p>
        </w:tc>
        <w:tc>
          <w:tcPr>
            <w:tcW w:w="3259" w:type="dxa"/>
          </w:tcPr>
          <w:p w14:paraId="6D07305E" w14:textId="77777777" w:rsidR="00D94935" w:rsidRDefault="00D94935" w:rsidP="003A681D">
            <w:pPr>
              <w:pStyle w:val="TableText"/>
              <w:spacing w:before="120" w:after="120"/>
            </w:pPr>
            <w:r>
              <w:t xml:space="preserve">power to make order in relation to statutory demands </w:t>
            </w:r>
          </w:p>
        </w:tc>
      </w:tr>
      <w:tr w:rsidR="00D94935" w14:paraId="59F34F59" w14:textId="77777777" w:rsidTr="003A681D">
        <w:trPr>
          <w:cantSplit/>
        </w:trPr>
        <w:tc>
          <w:tcPr>
            <w:tcW w:w="1134" w:type="dxa"/>
          </w:tcPr>
          <w:p w14:paraId="2EC644FF" w14:textId="77777777" w:rsidR="00D94935" w:rsidRDefault="00D94935" w:rsidP="003A681D">
            <w:pPr>
              <w:pStyle w:val="TableText"/>
              <w:spacing w:before="120" w:after="120"/>
            </w:pPr>
            <w:r>
              <w:lastRenderedPageBreak/>
              <w:t>55</w:t>
            </w:r>
          </w:p>
        </w:tc>
        <w:tc>
          <w:tcPr>
            <w:tcW w:w="2167" w:type="dxa"/>
          </w:tcPr>
          <w:p w14:paraId="0751C381" w14:textId="77777777"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14:paraId="66C5EFAC" w14:textId="77777777" w:rsidR="00D94935" w:rsidRDefault="00D94935" w:rsidP="003A681D">
            <w:pPr>
              <w:pStyle w:val="TableText"/>
              <w:spacing w:before="120" w:after="120"/>
            </w:pPr>
            <w:r>
              <w:t>pt 6.5</w:t>
            </w:r>
          </w:p>
        </w:tc>
        <w:tc>
          <w:tcPr>
            <w:tcW w:w="3259" w:type="dxa"/>
          </w:tcPr>
          <w:p w14:paraId="52888215" w14:textId="77777777" w:rsidR="00D94935" w:rsidRDefault="00D94935" w:rsidP="003A681D">
            <w:pPr>
              <w:pStyle w:val="TableText"/>
              <w:spacing w:before="120" w:after="120"/>
            </w:pPr>
            <w:r>
              <w:t xml:space="preserve">power to make orders in relation to winding-up applications </w:t>
            </w:r>
          </w:p>
        </w:tc>
      </w:tr>
      <w:tr w:rsidR="00D94935" w14:paraId="5DF099C7" w14:textId="77777777" w:rsidTr="003A681D">
        <w:trPr>
          <w:cantSplit/>
        </w:trPr>
        <w:tc>
          <w:tcPr>
            <w:tcW w:w="1134" w:type="dxa"/>
          </w:tcPr>
          <w:p w14:paraId="6637DC80" w14:textId="77777777" w:rsidR="00D94935" w:rsidRDefault="00D94935" w:rsidP="003A681D">
            <w:pPr>
              <w:pStyle w:val="TableText"/>
              <w:spacing w:before="120" w:after="120"/>
              <w:rPr>
                <w:rStyle w:val="charItals"/>
              </w:rPr>
            </w:pPr>
            <w:r>
              <w:t>56</w:t>
            </w:r>
          </w:p>
        </w:tc>
        <w:tc>
          <w:tcPr>
            <w:tcW w:w="2167" w:type="dxa"/>
          </w:tcPr>
          <w:p w14:paraId="08130C2C" w14:textId="77777777" w:rsidR="00D94935" w:rsidRDefault="00D94935" w:rsidP="003A681D">
            <w:pPr>
              <w:pStyle w:val="TableText"/>
              <w:spacing w:before="120" w:after="120"/>
            </w:pPr>
            <w:r>
              <w:t>section 468</w:t>
            </w:r>
          </w:p>
        </w:tc>
        <w:tc>
          <w:tcPr>
            <w:tcW w:w="1367" w:type="dxa"/>
          </w:tcPr>
          <w:p w14:paraId="5DC69626" w14:textId="77777777" w:rsidR="00D94935" w:rsidRDefault="00D94935" w:rsidP="003A681D">
            <w:pPr>
              <w:pStyle w:val="TableText"/>
              <w:spacing w:before="120" w:after="120"/>
            </w:pPr>
          </w:p>
        </w:tc>
        <w:tc>
          <w:tcPr>
            <w:tcW w:w="3259" w:type="dxa"/>
          </w:tcPr>
          <w:p w14:paraId="267B296A" w14:textId="77777777" w:rsidR="00D94935" w:rsidRDefault="00D94935" w:rsidP="003A681D">
            <w:pPr>
              <w:pStyle w:val="TableText"/>
              <w:spacing w:before="120" w:after="120"/>
            </w:pPr>
            <w:r>
              <w:t xml:space="preserve">power in relation to validation of disposition of property </w:t>
            </w:r>
          </w:p>
        </w:tc>
      </w:tr>
      <w:tr w:rsidR="00D94935" w14:paraId="3EC44AD9" w14:textId="77777777" w:rsidTr="003A681D">
        <w:trPr>
          <w:cantSplit/>
        </w:trPr>
        <w:tc>
          <w:tcPr>
            <w:tcW w:w="1134" w:type="dxa"/>
          </w:tcPr>
          <w:p w14:paraId="72485210" w14:textId="77777777" w:rsidR="00D94935" w:rsidRDefault="00D94935" w:rsidP="003A681D">
            <w:pPr>
              <w:pStyle w:val="TableText"/>
              <w:spacing w:before="120" w:after="120"/>
              <w:rPr>
                <w:rStyle w:val="charItals"/>
              </w:rPr>
            </w:pPr>
            <w:r>
              <w:t>57</w:t>
            </w:r>
          </w:p>
        </w:tc>
        <w:tc>
          <w:tcPr>
            <w:tcW w:w="2167" w:type="dxa"/>
          </w:tcPr>
          <w:p w14:paraId="5B8129CB" w14:textId="77777777" w:rsidR="00D94935" w:rsidRDefault="00D94935" w:rsidP="003A681D">
            <w:pPr>
              <w:pStyle w:val="TableText"/>
              <w:spacing w:before="120" w:after="120"/>
            </w:pPr>
            <w:r>
              <w:t>section 468A</w:t>
            </w:r>
          </w:p>
        </w:tc>
        <w:tc>
          <w:tcPr>
            <w:tcW w:w="1367" w:type="dxa"/>
          </w:tcPr>
          <w:p w14:paraId="052D45DD" w14:textId="77777777" w:rsidR="00D94935" w:rsidRDefault="00D94935" w:rsidP="003A681D">
            <w:pPr>
              <w:pStyle w:val="TableText"/>
              <w:spacing w:before="120" w:after="120"/>
            </w:pPr>
          </w:p>
        </w:tc>
        <w:tc>
          <w:tcPr>
            <w:tcW w:w="3259" w:type="dxa"/>
          </w:tcPr>
          <w:p w14:paraId="34DDDF17" w14:textId="77777777" w:rsidR="00D94935" w:rsidRDefault="00D94935" w:rsidP="003A681D">
            <w:pPr>
              <w:pStyle w:val="TableText"/>
              <w:spacing w:before="120" w:after="120"/>
            </w:pPr>
            <w:r>
              <w:t>power in relation to authorisation of transfer of shares</w:t>
            </w:r>
          </w:p>
        </w:tc>
      </w:tr>
      <w:tr w:rsidR="00D94935" w14:paraId="4212D5B8" w14:textId="77777777" w:rsidTr="003A681D">
        <w:trPr>
          <w:cantSplit/>
        </w:trPr>
        <w:tc>
          <w:tcPr>
            <w:tcW w:w="1134" w:type="dxa"/>
          </w:tcPr>
          <w:p w14:paraId="0B784A57" w14:textId="77777777" w:rsidR="00D94935" w:rsidRDefault="00D94935" w:rsidP="003A681D">
            <w:pPr>
              <w:pStyle w:val="TableText"/>
              <w:spacing w:before="120" w:after="120"/>
            </w:pPr>
            <w:r>
              <w:t>58</w:t>
            </w:r>
          </w:p>
        </w:tc>
        <w:tc>
          <w:tcPr>
            <w:tcW w:w="2167" w:type="dxa"/>
          </w:tcPr>
          <w:p w14:paraId="20C8A77A" w14:textId="77777777" w:rsidR="00D94935" w:rsidRDefault="00D94935" w:rsidP="003A681D">
            <w:pPr>
              <w:pStyle w:val="TableText"/>
              <w:spacing w:before="120" w:after="120"/>
            </w:pPr>
            <w:r>
              <w:t>section 470 (2) (b)</w:t>
            </w:r>
          </w:p>
        </w:tc>
        <w:tc>
          <w:tcPr>
            <w:tcW w:w="1367" w:type="dxa"/>
          </w:tcPr>
          <w:p w14:paraId="4CCDABD1" w14:textId="77777777" w:rsidR="00D94935" w:rsidRDefault="00D94935" w:rsidP="003A681D">
            <w:pPr>
              <w:pStyle w:val="TableText"/>
              <w:spacing w:before="120" w:after="120"/>
            </w:pPr>
          </w:p>
        </w:tc>
        <w:tc>
          <w:tcPr>
            <w:tcW w:w="3259" w:type="dxa"/>
          </w:tcPr>
          <w:p w14:paraId="0945491F" w14:textId="77777777" w:rsidR="00D94935" w:rsidRDefault="00D94935" w:rsidP="003A681D">
            <w:pPr>
              <w:pStyle w:val="TableText"/>
              <w:spacing w:before="120" w:after="120"/>
            </w:pPr>
            <w:r>
              <w:t xml:space="preserve">power to direct service of copy of order on another person </w:t>
            </w:r>
          </w:p>
        </w:tc>
      </w:tr>
      <w:tr w:rsidR="00D94935" w14:paraId="546211FD" w14:textId="77777777" w:rsidTr="003A681D">
        <w:trPr>
          <w:cantSplit/>
        </w:trPr>
        <w:tc>
          <w:tcPr>
            <w:tcW w:w="1134" w:type="dxa"/>
          </w:tcPr>
          <w:p w14:paraId="679DDB2B" w14:textId="77777777" w:rsidR="00D94935" w:rsidRDefault="00D94935" w:rsidP="003A681D">
            <w:pPr>
              <w:pStyle w:val="TableText"/>
              <w:spacing w:before="120" w:after="120"/>
            </w:pPr>
            <w:r>
              <w:t>59</w:t>
            </w:r>
          </w:p>
        </w:tc>
        <w:tc>
          <w:tcPr>
            <w:tcW w:w="2167" w:type="dxa"/>
          </w:tcPr>
          <w:p w14:paraId="2DEDECF8" w14:textId="77777777" w:rsidR="00D94935" w:rsidRDefault="00D94935" w:rsidP="003A681D">
            <w:pPr>
              <w:pStyle w:val="TableText"/>
              <w:spacing w:before="120" w:after="120"/>
            </w:pPr>
            <w:r>
              <w:t>section 471B</w:t>
            </w:r>
          </w:p>
        </w:tc>
        <w:tc>
          <w:tcPr>
            <w:tcW w:w="1367" w:type="dxa"/>
          </w:tcPr>
          <w:p w14:paraId="1BA8B299" w14:textId="77777777" w:rsidR="00D94935" w:rsidRDefault="00D94935" w:rsidP="003A681D">
            <w:pPr>
              <w:pStyle w:val="TableText"/>
              <w:spacing w:before="120" w:after="120"/>
            </w:pPr>
          </w:p>
        </w:tc>
        <w:tc>
          <w:tcPr>
            <w:tcW w:w="3259" w:type="dxa"/>
          </w:tcPr>
          <w:p w14:paraId="31D85C84" w14:textId="77777777" w:rsidR="00D94935" w:rsidRDefault="00D94935" w:rsidP="003A681D">
            <w:pPr>
              <w:pStyle w:val="TableText"/>
              <w:spacing w:before="120" w:after="120"/>
            </w:pPr>
            <w:r>
              <w:t>power to give leave to begin or proceed with proceeding or enforcement process</w:t>
            </w:r>
          </w:p>
        </w:tc>
      </w:tr>
      <w:tr w:rsidR="00D94935" w14:paraId="3F9C70B3" w14:textId="77777777" w:rsidTr="003A681D">
        <w:trPr>
          <w:cantSplit/>
        </w:trPr>
        <w:tc>
          <w:tcPr>
            <w:tcW w:w="1134" w:type="dxa"/>
          </w:tcPr>
          <w:p w14:paraId="5158EF2D" w14:textId="77777777" w:rsidR="00D94935" w:rsidRDefault="00D94935" w:rsidP="003A681D">
            <w:pPr>
              <w:pStyle w:val="TableText"/>
              <w:spacing w:before="120" w:after="120"/>
            </w:pPr>
            <w:r>
              <w:t>60</w:t>
            </w:r>
          </w:p>
        </w:tc>
        <w:tc>
          <w:tcPr>
            <w:tcW w:w="2167" w:type="dxa"/>
          </w:tcPr>
          <w:p w14:paraId="5BDC6A23" w14:textId="77777777" w:rsidR="00D94935" w:rsidRDefault="00D94935" w:rsidP="003A681D">
            <w:pPr>
              <w:pStyle w:val="TableText"/>
              <w:spacing w:before="120" w:after="120"/>
            </w:pPr>
            <w:r>
              <w:t>section 472</w:t>
            </w:r>
          </w:p>
        </w:tc>
        <w:tc>
          <w:tcPr>
            <w:tcW w:w="1367" w:type="dxa"/>
          </w:tcPr>
          <w:p w14:paraId="31E0A3EC" w14:textId="77777777" w:rsidR="00D94935" w:rsidRDefault="00D94935" w:rsidP="003A681D">
            <w:pPr>
              <w:pStyle w:val="TableText"/>
              <w:spacing w:before="120" w:after="120"/>
            </w:pPr>
            <w:r>
              <w:t>5.5</w:t>
            </w:r>
            <w:r>
              <w:br/>
              <w:t>6.1</w:t>
            </w:r>
          </w:p>
        </w:tc>
        <w:tc>
          <w:tcPr>
            <w:tcW w:w="3259" w:type="dxa"/>
          </w:tcPr>
          <w:p w14:paraId="11FD5B18" w14:textId="77777777" w:rsidR="00D94935" w:rsidRDefault="00D94935" w:rsidP="003A681D">
            <w:pPr>
              <w:pStyle w:val="TableText"/>
              <w:spacing w:before="120" w:after="120"/>
            </w:pPr>
            <w:r>
              <w:t>power to appoint official liquidator (provisionally or otherwise)</w:t>
            </w:r>
          </w:p>
        </w:tc>
      </w:tr>
      <w:tr w:rsidR="00D94935" w14:paraId="6CB61C97" w14:textId="77777777" w:rsidTr="003A681D">
        <w:trPr>
          <w:cantSplit/>
        </w:trPr>
        <w:tc>
          <w:tcPr>
            <w:tcW w:w="1134" w:type="dxa"/>
          </w:tcPr>
          <w:p w14:paraId="6F9C59B8" w14:textId="77777777" w:rsidR="00D94935" w:rsidRDefault="00D94935" w:rsidP="003A681D">
            <w:pPr>
              <w:pStyle w:val="TableText"/>
              <w:spacing w:before="120" w:after="120"/>
            </w:pPr>
            <w:r>
              <w:lastRenderedPageBreak/>
              <w:t>61</w:t>
            </w:r>
          </w:p>
        </w:tc>
        <w:tc>
          <w:tcPr>
            <w:tcW w:w="2167" w:type="dxa"/>
          </w:tcPr>
          <w:p w14:paraId="5C2AC7C0" w14:textId="77777777" w:rsidR="00D94935" w:rsidRDefault="00D94935" w:rsidP="003A681D">
            <w:pPr>
              <w:pStyle w:val="TableText"/>
              <w:spacing w:before="120" w:after="120"/>
            </w:pPr>
            <w:r>
              <w:t>section 473 (1)</w:t>
            </w:r>
          </w:p>
        </w:tc>
        <w:tc>
          <w:tcPr>
            <w:tcW w:w="1367" w:type="dxa"/>
          </w:tcPr>
          <w:p w14:paraId="703DFDC5" w14:textId="77777777" w:rsidR="00D94935" w:rsidRDefault="00D94935" w:rsidP="003A681D">
            <w:pPr>
              <w:pStyle w:val="TableText"/>
              <w:spacing w:before="120" w:after="120"/>
            </w:pPr>
            <w:r>
              <w:t>7.1</w:t>
            </w:r>
          </w:p>
        </w:tc>
        <w:tc>
          <w:tcPr>
            <w:tcW w:w="3259" w:type="dxa"/>
          </w:tcPr>
          <w:p w14:paraId="153D536C" w14:textId="77777777" w:rsidR="00D94935" w:rsidRDefault="00D94935" w:rsidP="003A681D">
            <w:pPr>
              <w:pStyle w:val="TableText"/>
              <w:spacing w:before="120" w:after="120"/>
            </w:pPr>
            <w:r>
              <w:t>power to remove liquidator</w:t>
            </w:r>
          </w:p>
        </w:tc>
      </w:tr>
      <w:tr w:rsidR="00D94935" w14:paraId="4C00D724" w14:textId="77777777" w:rsidTr="003A681D">
        <w:trPr>
          <w:cantSplit/>
        </w:trPr>
        <w:tc>
          <w:tcPr>
            <w:tcW w:w="1134" w:type="dxa"/>
          </w:tcPr>
          <w:p w14:paraId="2173BC33" w14:textId="77777777" w:rsidR="00D94935" w:rsidRDefault="00D94935" w:rsidP="003A681D">
            <w:pPr>
              <w:pStyle w:val="TableText"/>
              <w:spacing w:before="120" w:after="120"/>
            </w:pPr>
            <w:r>
              <w:t>62</w:t>
            </w:r>
          </w:p>
        </w:tc>
        <w:tc>
          <w:tcPr>
            <w:tcW w:w="2167" w:type="dxa"/>
          </w:tcPr>
          <w:p w14:paraId="7007C75E" w14:textId="77777777" w:rsidR="00D94935" w:rsidRDefault="00D94935" w:rsidP="003A681D">
            <w:pPr>
              <w:pStyle w:val="TableText"/>
              <w:spacing w:before="120" w:after="120"/>
            </w:pPr>
            <w:r>
              <w:t>section 473 (2)</w:t>
            </w:r>
          </w:p>
        </w:tc>
        <w:tc>
          <w:tcPr>
            <w:tcW w:w="1367" w:type="dxa"/>
          </w:tcPr>
          <w:p w14:paraId="75784EFE" w14:textId="77777777" w:rsidR="00D94935" w:rsidRDefault="00D94935" w:rsidP="003A681D">
            <w:pPr>
              <w:pStyle w:val="TableText"/>
              <w:spacing w:before="120" w:after="120"/>
            </w:pPr>
            <w:r>
              <w:t>9.3</w:t>
            </w:r>
          </w:p>
        </w:tc>
        <w:tc>
          <w:tcPr>
            <w:tcW w:w="3259" w:type="dxa"/>
          </w:tcPr>
          <w:p w14:paraId="237B4B34" w14:textId="77777777" w:rsidR="00D94935" w:rsidRDefault="00D94935" w:rsidP="003A681D">
            <w:pPr>
              <w:pStyle w:val="TableText"/>
              <w:spacing w:before="120" w:after="120"/>
            </w:pPr>
            <w:r>
              <w:t xml:space="preserve">power to determine provisional liquidator’s remuneration </w:t>
            </w:r>
          </w:p>
        </w:tc>
      </w:tr>
      <w:tr w:rsidR="00D94935" w14:paraId="226A34D9" w14:textId="77777777" w:rsidTr="003A681D">
        <w:trPr>
          <w:cantSplit/>
        </w:trPr>
        <w:tc>
          <w:tcPr>
            <w:tcW w:w="1134" w:type="dxa"/>
          </w:tcPr>
          <w:p w14:paraId="574A6455" w14:textId="77777777" w:rsidR="00D94935" w:rsidRDefault="00D94935" w:rsidP="003A681D">
            <w:pPr>
              <w:pStyle w:val="TableText"/>
              <w:spacing w:before="120" w:after="120"/>
            </w:pPr>
            <w:r>
              <w:t>63</w:t>
            </w:r>
          </w:p>
        </w:tc>
        <w:tc>
          <w:tcPr>
            <w:tcW w:w="2167" w:type="dxa"/>
          </w:tcPr>
          <w:p w14:paraId="5BF7EC11" w14:textId="77777777" w:rsidR="00D94935" w:rsidRDefault="00D94935" w:rsidP="003A681D">
            <w:pPr>
              <w:pStyle w:val="TableText"/>
              <w:spacing w:before="120" w:after="120"/>
            </w:pPr>
            <w:r>
              <w:t>sections 473 (3)</w:t>
            </w:r>
          </w:p>
        </w:tc>
        <w:tc>
          <w:tcPr>
            <w:tcW w:w="1367" w:type="dxa"/>
          </w:tcPr>
          <w:p w14:paraId="51282430" w14:textId="77777777" w:rsidR="00D94935" w:rsidRDefault="00D94935" w:rsidP="003A681D">
            <w:pPr>
              <w:pStyle w:val="TableText"/>
              <w:spacing w:before="120" w:after="120"/>
            </w:pPr>
            <w:r>
              <w:t>9.4</w:t>
            </w:r>
          </w:p>
        </w:tc>
        <w:tc>
          <w:tcPr>
            <w:tcW w:w="3259" w:type="dxa"/>
          </w:tcPr>
          <w:p w14:paraId="0C012161" w14:textId="77777777" w:rsidR="00D94935" w:rsidRDefault="00D94935" w:rsidP="003A681D">
            <w:pPr>
              <w:pStyle w:val="TableText"/>
              <w:spacing w:before="120" w:after="120"/>
            </w:pPr>
            <w:r>
              <w:t xml:space="preserve">power to determine liquidator’s remuneration </w:t>
            </w:r>
          </w:p>
        </w:tc>
      </w:tr>
      <w:tr w:rsidR="00D94935" w14:paraId="0B80CA82" w14:textId="77777777" w:rsidTr="003A681D">
        <w:trPr>
          <w:cantSplit/>
        </w:trPr>
        <w:tc>
          <w:tcPr>
            <w:tcW w:w="1134" w:type="dxa"/>
          </w:tcPr>
          <w:p w14:paraId="5F7A1B8F" w14:textId="77777777" w:rsidR="00D94935" w:rsidRDefault="00D94935" w:rsidP="003A681D">
            <w:pPr>
              <w:pStyle w:val="TableText"/>
              <w:spacing w:before="120" w:after="120"/>
            </w:pPr>
            <w:r>
              <w:t>64</w:t>
            </w:r>
          </w:p>
        </w:tc>
        <w:tc>
          <w:tcPr>
            <w:tcW w:w="2167" w:type="dxa"/>
          </w:tcPr>
          <w:p w14:paraId="6A8015A9" w14:textId="77777777" w:rsidR="00D94935" w:rsidRDefault="00D94935" w:rsidP="003A681D">
            <w:pPr>
              <w:pStyle w:val="TableText"/>
              <w:spacing w:before="120" w:after="120"/>
            </w:pPr>
            <w:r>
              <w:t>sections 473 (5) and (6)</w:t>
            </w:r>
          </w:p>
        </w:tc>
        <w:tc>
          <w:tcPr>
            <w:tcW w:w="1367" w:type="dxa"/>
          </w:tcPr>
          <w:p w14:paraId="4ECBF6FE" w14:textId="77777777" w:rsidR="00D94935" w:rsidRDefault="00D94935" w:rsidP="003A681D">
            <w:pPr>
              <w:pStyle w:val="TableText"/>
              <w:spacing w:before="120" w:after="120"/>
            </w:pPr>
            <w:r>
              <w:t>9.4A</w:t>
            </w:r>
          </w:p>
        </w:tc>
        <w:tc>
          <w:tcPr>
            <w:tcW w:w="3259" w:type="dxa"/>
          </w:tcPr>
          <w:p w14:paraId="01CF5F1F" w14:textId="77777777" w:rsidR="00D94935" w:rsidRDefault="00D94935" w:rsidP="003A681D">
            <w:pPr>
              <w:pStyle w:val="TableText"/>
              <w:spacing w:before="120" w:after="120"/>
            </w:pPr>
            <w:r>
              <w:t xml:space="preserve">power to review liquidator’s remuneration </w:t>
            </w:r>
          </w:p>
        </w:tc>
      </w:tr>
      <w:tr w:rsidR="00D94935" w14:paraId="6B5C4F02" w14:textId="77777777" w:rsidTr="003A681D">
        <w:trPr>
          <w:cantSplit/>
        </w:trPr>
        <w:tc>
          <w:tcPr>
            <w:tcW w:w="1134" w:type="dxa"/>
          </w:tcPr>
          <w:p w14:paraId="66E59114" w14:textId="77777777" w:rsidR="00D94935" w:rsidRDefault="00D94935" w:rsidP="003A681D">
            <w:pPr>
              <w:pStyle w:val="TableText"/>
              <w:spacing w:before="120" w:after="120"/>
            </w:pPr>
            <w:r>
              <w:t>65</w:t>
            </w:r>
          </w:p>
        </w:tc>
        <w:tc>
          <w:tcPr>
            <w:tcW w:w="2167" w:type="dxa"/>
          </w:tcPr>
          <w:p w14:paraId="0FFB916A" w14:textId="77777777" w:rsidR="00D94935" w:rsidRDefault="00D94935" w:rsidP="003A681D">
            <w:pPr>
              <w:pStyle w:val="TableText"/>
              <w:spacing w:before="120" w:after="120"/>
            </w:pPr>
            <w:r>
              <w:t>section 473 (7)</w:t>
            </w:r>
          </w:p>
        </w:tc>
        <w:tc>
          <w:tcPr>
            <w:tcW w:w="1367" w:type="dxa"/>
          </w:tcPr>
          <w:p w14:paraId="41063BF1" w14:textId="77777777" w:rsidR="00D94935" w:rsidRDefault="00D94935" w:rsidP="003A681D">
            <w:pPr>
              <w:pStyle w:val="TableText"/>
              <w:spacing w:before="120" w:after="120"/>
            </w:pPr>
            <w:r>
              <w:t>7.2</w:t>
            </w:r>
          </w:p>
        </w:tc>
        <w:tc>
          <w:tcPr>
            <w:tcW w:w="3259" w:type="dxa"/>
          </w:tcPr>
          <w:p w14:paraId="27365B61" w14:textId="77777777" w:rsidR="00D94935" w:rsidRDefault="00D94935" w:rsidP="003A681D">
            <w:pPr>
              <w:pStyle w:val="TableText"/>
              <w:spacing w:before="120" w:after="120"/>
            </w:pPr>
            <w:r>
              <w:t xml:space="preserve">power to fill vacancy in office of official liquidator </w:t>
            </w:r>
          </w:p>
        </w:tc>
      </w:tr>
      <w:tr w:rsidR="00D94935" w14:paraId="6EF691B6" w14:textId="77777777" w:rsidTr="003A681D">
        <w:trPr>
          <w:cantSplit/>
        </w:trPr>
        <w:tc>
          <w:tcPr>
            <w:tcW w:w="1134" w:type="dxa"/>
          </w:tcPr>
          <w:p w14:paraId="4F4FF776" w14:textId="77777777" w:rsidR="00D94935" w:rsidRDefault="00D94935" w:rsidP="003A681D">
            <w:pPr>
              <w:pStyle w:val="TableText"/>
              <w:spacing w:before="120" w:after="120"/>
            </w:pPr>
            <w:r>
              <w:t>66</w:t>
            </w:r>
          </w:p>
        </w:tc>
        <w:tc>
          <w:tcPr>
            <w:tcW w:w="2167" w:type="dxa"/>
          </w:tcPr>
          <w:p w14:paraId="49D54DE5" w14:textId="77777777" w:rsidR="00D94935" w:rsidRDefault="00D94935" w:rsidP="003A681D">
            <w:pPr>
              <w:pStyle w:val="TableText"/>
              <w:spacing w:before="120" w:after="120"/>
            </w:pPr>
            <w:r>
              <w:t>section 473 (8)</w:t>
            </w:r>
          </w:p>
        </w:tc>
        <w:tc>
          <w:tcPr>
            <w:tcW w:w="1367" w:type="dxa"/>
          </w:tcPr>
          <w:p w14:paraId="171A36D7" w14:textId="77777777" w:rsidR="00D94935" w:rsidRDefault="00D94935" w:rsidP="003A681D">
            <w:pPr>
              <w:pStyle w:val="TableText"/>
              <w:spacing w:before="120" w:after="120"/>
            </w:pPr>
          </w:p>
        </w:tc>
        <w:tc>
          <w:tcPr>
            <w:tcW w:w="3259" w:type="dxa"/>
          </w:tcPr>
          <w:p w14:paraId="63B6981E" w14:textId="77777777" w:rsidR="00D94935" w:rsidRDefault="00D94935" w:rsidP="003A681D">
            <w:pPr>
              <w:pStyle w:val="TableText"/>
              <w:spacing w:before="120" w:after="120"/>
            </w:pPr>
            <w:r>
              <w:t xml:space="preserve">power to declare what may be done by liquidator, if more than 1 liquidator is appointed by the court </w:t>
            </w:r>
          </w:p>
        </w:tc>
      </w:tr>
      <w:tr w:rsidR="00D94935" w14:paraId="37DE760A" w14:textId="77777777" w:rsidTr="003A681D">
        <w:trPr>
          <w:cantSplit/>
        </w:trPr>
        <w:tc>
          <w:tcPr>
            <w:tcW w:w="1134" w:type="dxa"/>
          </w:tcPr>
          <w:p w14:paraId="0440D2A8" w14:textId="77777777" w:rsidR="00D94935" w:rsidRDefault="00D94935" w:rsidP="003A681D">
            <w:pPr>
              <w:pStyle w:val="TableText"/>
              <w:spacing w:before="120" w:after="120"/>
            </w:pPr>
            <w:r>
              <w:t>67</w:t>
            </w:r>
          </w:p>
        </w:tc>
        <w:tc>
          <w:tcPr>
            <w:tcW w:w="2167" w:type="dxa"/>
          </w:tcPr>
          <w:p w14:paraId="45DE1AEC" w14:textId="77777777" w:rsidR="00D94935" w:rsidRDefault="00D94935" w:rsidP="003A681D">
            <w:pPr>
              <w:pStyle w:val="TableText"/>
              <w:spacing w:before="120" w:after="120"/>
            </w:pPr>
            <w:r>
              <w:t>section 474 (2)</w:t>
            </w:r>
          </w:p>
        </w:tc>
        <w:tc>
          <w:tcPr>
            <w:tcW w:w="1367" w:type="dxa"/>
          </w:tcPr>
          <w:p w14:paraId="74BBA9CC" w14:textId="77777777" w:rsidR="00D94935" w:rsidRDefault="00D94935" w:rsidP="003A681D">
            <w:pPr>
              <w:pStyle w:val="TableText"/>
              <w:spacing w:before="120" w:after="120"/>
            </w:pPr>
          </w:p>
        </w:tc>
        <w:tc>
          <w:tcPr>
            <w:tcW w:w="3259" w:type="dxa"/>
          </w:tcPr>
          <w:p w14:paraId="5E6DDDAF" w14:textId="77777777" w:rsidR="00D94935" w:rsidRDefault="00D94935" w:rsidP="003A681D">
            <w:pPr>
              <w:pStyle w:val="TableText"/>
              <w:spacing w:before="120" w:after="120"/>
            </w:pPr>
            <w:r>
              <w:t xml:space="preserve">power to order that property vest in liquidator </w:t>
            </w:r>
          </w:p>
        </w:tc>
      </w:tr>
      <w:tr w:rsidR="00D94935" w14:paraId="43052708" w14:textId="77777777" w:rsidTr="003A681D">
        <w:trPr>
          <w:cantSplit/>
        </w:trPr>
        <w:tc>
          <w:tcPr>
            <w:tcW w:w="1134" w:type="dxa"/>
          </w:tcPr>
          <w:p w14:paraId="6C6333F3" w14:textId="77777777" w:rsidR="00D94935" w:rsidRDefault="00D94935" w:rsidP="003A681D">
            <w:pPr>
              <w:pStyle w:val="TableText"/>
              <w:spacing w:before="120" w:after="120"/>
            </w:pPr>
            <w:r>
              <w:t>68</w:t>
            </w:r>
          </w:p>
        </w:tc>
        <w:tc>
          <w:tcPr>
            <w:tcW w:w="2167" w:type="dxa"/>
          </w:tcPr>
          <w:p w14:paraId="34CCD4B5" w14:textId="77777777" w:rsidR="00D94935" w:rsidRDefault="00D94935" w:rsidP="003A681D">
            <w:pPr>
              <w:pStyle w:val="TableText"/>
              <w:spacing w:before="120" w:after="120"/>
            </w:pPr>
            <w:r>
              <w:t>section 475 (8)</w:t>
            </w:r>
          </w:p>
        </w:tc>
        <w:tc>
          <w:tcPr>
            <w:tcW w:w="1367" w:type="dxa"/>
          </w:tcPr>
          <w:p w14:paraId="3108FF18" w14:textId="77777777" w:rsidR="00D94935" w:rsidRDefault="00D94935" w:rsidP="003A681D">
            <w:pPr>
              <w:pStyle w:val="TableText"/>
              <w:spacing w:before="120" w:after="120"/>
            </w:pPr>
            <w:r>
              <w:t>7.3</w:t>
            </w:r>
          </w:p>
        </w:tc>
        <w:tc>
          <w:tcPr>
            <w:tcW w:w="3259" w:type="dxa"/>
          </w:tcPr>
          <w:p w14:paraId="412EFF4E" w14:textId="77777777" w:rsidR="00D94935" w:rsidRDefault="00D94935" w:rsidP="003A681D">
            <w:pPr>
              <w:pStyle w:val="TableText"/>
              <w:spacing w:before="120" w:after="120"/>
            </w:pPr>
            <w:r>
              <w:t xml:space="preserve">power to grant leave for payment of costs and expenses incurred in preparing report under section 475 </w:t>
            </w:r>
          </w:p>
        </w:tc>
      </w:tr>
      <w:tr w:rsidR="00D94935" w14:paraId="2728656A" w14:textId="77777777" w:rsidTr="003A681D">
        <w:trPr>
          <w:cantSplit/>
        </w:trPr>
        <w:tc>
          <w:tcPr>
            <w:tcW w:w="1134" w:type="dxa"/>
          </w:tcPr>
          <w:p w14:paraId="37B733A0" w14:textId="77777777" w:rsidR="00D94935" w:rsidRDefault="00D94935" w:rsidP="003A681D">
            <w:pPr>
              <w:pStyle w:val="TableText"/>
              <w:spacing w:before="120" w:after="120"/>
            </w:pPr>
            <w:r>
              <w:t>69</w:t>
            </w:r>
          </w:p>
        </w:tc>
        <w:tc>
          <w:tcPr>
            <w:tcW w:w="2167" w:type="dxa"/>
          </w:tcPr>
          <w:p w14:paraId="0A44532D" w14:textId="77777777" w:rsidR="00D94935" w:rsidRDefault="00D94935" w:rsidP="003A681D">
            <w:pPr>
              <w:pStyle w:val="TableText"/>
              <w:spacing w:before="120" w:after="120"/>
            </w:pPr>
            <w:r>
              <w:t>section 479</w:t>
            </w:r>
          </w:p>
        </w:tc>
        <w:tc>
          <w:tcPr>
            <w:tcW w:w="1367" w:type="dxa"/>
          </w:tcPr>
          <w:p w14:paraId="7A3794D9" w14:textId="77777777" w:rsidR="00D94935" w:rsidRDefault="00D94935" w:rsidP="003A681D">
            <w:pPr>
              <w:pStyle w:val="TableText"/>
              <w:spacing w:before="120" w:after="120"/>
            </w:pPr>
          </w:p>
        </w:tc>
        <w:tc>
          <w:tcPr>
            <w:tcW w:w="3259" w:type="dxa"/>
          </w:tcPr>
          <w:p w14:paraId="41564F2E" w14:textId="77777777" w:rsidR="00D94935" w:rsidRDefault="00D94935" w:rsidP="003A681D">
            <w:pPr>
              <w:pStyle w:val="TableText"/>
              <w:spacing w:before="120" w:after="120"/>
            </w:pPr>
            <w:r>
              <w:t>power to give directions in matters arising in winding-up</w:t>
            </w:r>
          </w:p>
        </w:tc>
      </w:tr>
      <w:tr w:rsidR="00D94935" w14:paraId="7B5049B1" w14:textId="77777777" w:rsidTr="003A681D">
        <w:trPr>
          <w:cantSplit/>
        </w:trPr>
        <w:tc>
          <w:tcPr>
            <w:tcW w:w="1134" w:type="dxa"/>
          </w:tcPr>
          <w:p w14:paraId="53C754D8" w14:textId="77777777" w:rsidR="00D94935" w:rsidRDefault="00D94935" w:rsidP="003A681D">
            <w:pPr>
              <w:pStyle w:val="TableText"/>
              <w:spacing w:before="120" w:after="120"/>
            </w:pPr>
            <w:r>
              <w:t>70</w:t>
            </w:r>
          </w:p>
        </w:tc>
        <w:tc>
          <w:tcPr>
            <w:tcW w:w="2167" w:type="dxa"/>
          </w:tcPr>
          <w:p w14:paraId="210ECB4C" w14:textId="77777777" w:rsidR="00D94935" w:rsidRDefault="00D94935" w:rsidP="003A681D">
            <w:pPr>
              <w:pStyle w:val="TableText"/>
              <w:spacing w:before="120" w:after="120"/>
            </w:pPr>
            <w:r>
              <w:t>section 480</w:t>
            </w:r>
          </w:p>
        </w:tc>
        <w:tc>
          <w:tcPr>
            <w:tcW w:w="1367" w:type="dxa"/>
          </w:tcPr>
          <w:p w14:paraId="4F99DA81" w14:textId="77777777" w:rsidR="00D94935" w:rsidRDefault="00D94935" w:rsidP="003A681D">
            <w:pPr>
              <w:pStyle w:val="TableText"/>
              <w:spacing w:before="120" w:after="120"/>
            </w:pPr>
            <w:r>
              <w:t>7.5</w:t>
            </w:r>
          </w:p>
        </w:tc>
        <w:tc>
          <w:tcPr>
            <w:tcW w:w="3259" w:type="dxa"/>
          </w:tcPr>
          <w:p w14:paraId="5C607408" w14:textId="77777777" w:rsidR="00D94935" w:rsidRDefault="00D94935" w:rsidP="003A681D">
            <w:pPr>
              <w:pStyle w:val="TableText"/>
              <w:spacing w:before="120" w:after="120"/>
            </w:pPr>
            <w:r>
              <w:t>power to release liquidator and deregister company</w:t>
            </w:r>
          </w:p>
        </w:tc>
      </w:tr>
      <w:tr w:rsidR="00D94935" w14:paraId="3B88B1E1" w14:textId="77777777" w:rsidTr="003A681D">
        <w:trPr>
          <w:cantSplit/>
        </w:trPr>
        <w:tc>
          <w:tcPr>
            <w:tcW w:w="1134" w:type="dxa"/>
          </w:tcPr>
          <w:p w14:paraId="522815FE" w14:textId="77777777" w:rsidR="00D94935" w:rsidRDefault="00D94935" w:rsidP="003A681D">
            <w:pPr>
              <w:pStyle w:val="TableText"/>
              <w:spacing w:before="120" w:after="120"/>
            </w:pPr>
            <w:r>
              <w:lastRenderedPageBreak/>
              <w:t>71</w:t>
            </w:r>
          </w:p>
        </w:tc>
        <w:tc>
          <w:tcPr>
            <w:tcW w:w="2167" w:type="dxa"/>
          </w:tcPr>
          <w:p w14:paraId="66E09381" w14:textId="77777777" w:rsidR="00D94935" w:rsidRDefault="00D94935" w:rsidP="003A681D">
            <w:pPr>
              <w:pStyle w:val="TableText"/>
              <w:spacing w:before="120" w:after="120"/>
            </w:pPr>
            <w:r>
              <w:t>section 481</w:t>
            </w:r>
          </w:p>
        </w:tc>
        <w:tc>
          <w:tcPr>
            <w:tcW w:w="1367" w:type="dxa"/>
          </w:tcPr>
          <w:p w14:paraId="50879AB9" w14:textId="77777777" w:rsidR="00D94935" w:rsidRDefault="00D94935" w:rsidP="003A681D">
            <w:pPr>
              <w:pStyle w:val="TableText"/>
              <w:spacing w:before="120" w:after="120"/>
            </w:pPr>
            <w:r>
              <w:t>7.7</w:t>
            </w:r>
          </w:p>
        </w:tc>
        <w:tc>
          <w:tcPr>
            <w:tcW w:w="3259" w:type="dxa"/>
          </w:tcPr>
          <w:p w14:paraId="7D478365" w14:textId="77777777" w:rsidR="00D94935" w:rsidRDefault="00D94935" w:rsidP="003A681D">
            <w:pPr>
              <w:pStyle w:val="TableText"/>
              <w:spacing w:before="120" w:after="120"/>
            </w:pPr>
            <w:r>
              <w:t xml:space="preserve">power to order preparation of report on accounts of liquidator </w:t>
            </w:r>
          </w:p>
        </w:tc>
      </w:tr>
      <w:tr w:rsidR="00D94935" w14:paraId="2D77D16C" w14:textId="77777777" w:rsidTr="003A681D">
        <w:trPr>
          <w:cantSplit/>
        </w:trPr>
        <w:tc>
          <w:tcPr>
            <w:tcW w:w="1134" w:type="dxa"/>
          </w:tcPr>
          <w:p w14:paraId="061CC5B4" w14:textId="77777777" w:rsidR="00D94935" w:rsidRDefault="00D94935" w:rsidP="003A681D">
            <w:pPr>
              <w:pStyle w:val="TableText"/>
              <w:spacing w:before="120" w:after="120"/>
            </w:pPr>
            <w:r>
              <w:t>72</w:t>
            </w:r>
          </w:p>
        </w:tc>
        <w:tc>
          <w:tcPr>
            <w:tcW w:w="2167" w:type="dxa"/>
          </w:tcPr>
          <w:p w14:paraId="18D95060" w14:textId="77777777" w:rsidR="00D94935" w:rsidRDefault="00D94935" w:rsidP="003A681D">
            <w:pPr>
              <w:pStyle w:val="TableText"/>
              <w:spacing w:before="120" w:after="120"/>
            </w:pPr>
            <w:r>
              <w:t>section 482</w:t>
            </w:r>
          </w:p>
        </w:tc>
        <w:tc>
          <w:tcPr>
            <w:tcW w:w="1367" w:type="dxa"/>
          </w:tcPr>
          <w:p w14:paraId="63ED3F60" w14:textId="77777777" w:rsidR="00D94935" w:rsidRDefault="00D94935" w:rsidP="003A681D">
            <w:pPr>
              <w:pStyle w:val="TableText"/>
              <w:spacing w:before="120" w:after="120"/>
            </w:pPr>
          </w:p>
        </w:tc>
        <w:tc>
          <w:tcPr>
            <w:tcW w:w="3259" w:type="dxa"/>
          </w:tcPr>
          <w:p w14:paraId="1FA5312D" w14:textId="77777777" w:rsidR="00D94935" w:rsidRDefault="00D94935" w:rsidP="003A681D">
            <w:pPr>
              <w:pStyle w:val="TableText"/>
              <w:spacing w:before="120" w:after="120"/>
            </w:pPr>
            <w:r>
              <w:t>power to make an order—</w:t>
            </w:r>
          </w:p>
          <w:p w14:paraId="1F5C4306" w14:textId="77777777"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14:paraId="3183EF15" w14:textId="77777777"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14:paraId="03D2456A" w14:textId="77777777" w:rsidTr="003A681D">
        <w:trPr>
          <w:cantSplit/>
        </w:trPr>
        <w:tc>
          <w:tcPr>
            <w:tcW w:w="1134" w:type="dxa"/>
          </w:tcPr>
          <w:p w14:paraId="68A9D913" w14:textId="77777777" w:rsidR="00D94935" w:rsidRDefault="00D94935" w:rsidP="003A681D">
            <w:pPr>
              <w:pStyle w:val="TableText"/>
              <w:spacing w:before="120" w:after="120"/>
            </w:pPr>
            <w:r>
              <w:t>73</w:t>
            </w:r>
          </w:p>
        </w:tc>
        <w:tc>
          <w:tcPr>
            <w:tcW w:w="2167" w:type="dxa"/>
          </w:tcPr>
          <w:p w14:paraId="56F99A9F" w14:textId="77777777" w:rsidR="00D94935" w:rsidRDefault="00D94935" w:rsidP="003A681D">
            <w:pPr>
              <w:pStyle w:val="TableText"/>
              <w:spacing w:before="120" w:after="120"/>
            </w:pPr>
            <w:r>
              <w:t>section 483 (1)</w:t>
            </w:r>
          </w:p>
        </w:tc>
        <w:tc>
          <w:tcPr>
            <w:tcW w:w="1367" w:type="dxa"/>
          </w:tcPr>
          <w:p w14:paraId="40ADB51B" w14:textId="77777777" w:rsidR="00D94935" w:rsidRDefault="00D94935" w:rsidP="003A681D">
            <w:pPr>
              <w:pStyle w:val="TableText"/>
              <w:spacing w:before="120" w:after="120"/>
            </w:pPr>
          </w:p>
        </w:tc>
        <w:tc>
          <w:tcPr>
            <w:tcW w:w="3259" w:type="dxa"/>
          </w:tcPr>
          <w:p w14:paraId="6309A380" w14:textId="77777777" w:rsidR="00D94935" w:rsidRDefault="00D94935" w:rsidP="003A681D">
            <w:pPr>
              <w:pStyle w:val="TableText"/>
              <w:spacing w:before="120" w:after="120"/>
            </w:pPr>
            <w:r>
              <w:t>power to require payment of money or transfer of property</w:t>
            </w:r>
          </w:p>
        </w:tc>
      </w:tr>
      <w:tr w:rsidR="00D94935" w14:paraId="5A01A7F8" w14:textId="77777777" w:rsidTr="003A681D">
        <w:trPr>
          <w:cantSplit/>
        </w:trPr>
        <w:tc>
          <w:tcPr>
            <w:tcW w:w="1134" w:type="dxa"/>
          </w:tcPr>
          <w:p w14:paraId="34BD93CE" w14:textId="77777777" w:rsidR="00D94935" w:rsidRDefault="00D94935" w:rsidP="003A681D">
            <w:pPr>
              <w:pStyle w:val="TableText"/>
              <w:spacing w:before="120" w:after="120"/>
              <w:rPr>
                <w:rStyle w:val="charItals"/>
              </w:rPr>
            </w:pPr>
            <w:r>
              <w:t>74</w:t>
            </w:r>
          </w:p>
        </w:tc>
        <w:tc>
          <w:tcPr>
            <w:tcW w:w="2167" w:type="dxa"/>
          </w:tcPr>
          <w:p w14:paraId="67DC0453" w14:textId="77777777" w:rsidR="00D94935" w:rsidRDefault="00D94935" w:rsidP="003A681D">
            <w:pPr>
              <w:pStyle w:val="TableText"/>
              <w:spacing w:before="120" w:after="120"/>
            </w:pPr>
            <w:r>
              <w:t>section 483 (2)</w:t>
            </w:r>
          </w:p>
        </w:tc>
        <w:tc>
          <w:tcPr>
            <w:tcW w:w="1367" w:type="dxa"/>
          </w:tcPr>
          <w:p w14:paraId="7E9ED0B8" w14:textId="77777777" w:rsidR="00D94935" w:rsidRDefault="00D94935" w:rsidP="003A681D">
            <w:pPr>
              <w:pStyle w:val="TableText"/>
              <w:spacing w:before="120" w:after="120"/>
            </w:pPr>
          </w:p>
        </w:tc>
        <w:tc>
          <w:tcPr>
            <w:tcW w:w="3259" w:type="dxa"/>
          </w:tcPr>
          <w:p w14:paraId="2DBA2A9E" w14:textId="77777777" w:rsidR="00D94935" w:rsidRDefault="00D94935" w:rsidP="003A681D">
            <w:pPr>
              <w:pStyle w:val="TableText"/>
              <w:spacing w:before="120" w:after="120"/>
            </w:pPr>
            <w:r>
              <w:t>power to order payment of money</w:t>
            </w:r>
          </w:p>
        </w:tc>
      </w:tr>
      <w:tr w:rsidR="00D94935" w14:paraId="33E60418" w14:textId="77777777" w:rsidTr="003A681D">
        <w:trPr>
          <w:cantSplit/>
        </w:trPr>
        <w:tc>
          <w:tcPr>
            <w:tcW w:w="1134" w:type="dxa"/>
          </w:tcPr>
          <w:p w14:paraId="0C95B442" w14:textId="77777777" w:rsidR="00D94935" w:rsidRDefault="00D94935" w:rsidP="003A681D">
            <w:pPr>
              <w:pStyle w:val="TableText"/>
              <w:spacing w:before="120" w:after="120"/>
            </w:pPr>
            <w:r>
              <w:t>75</w:t>
            </w:r>
          </w:p>
        </w:tc>
        <w:tc>
          <w:tcPr>
            <w:tcW w:w="2167" w:type="dxa"/>
          </w:tcPr>
          <w:p w14:paraId="6630EF50" w14:textId="77777777" w:rsidR="00D94935" w:rsidRDefault="00D94935" w:rsidP="003A681D">
            <w:pPr>
              <w:pStyle w:val="TableText"/>
              <w:spacing w:before="120" w:after="120"/>
            </w:pPr>
            <w:r>
              <w:t>section 483 (3)</w:t>
            </w:r>
          </w:p>
        </w:tc>
        <w:tc>
          <w:tcPr>
            <w:tcW w:w="1367" w:type="dxa"/>
          </w:tcPr>
          <w:p w14:paraId="7E59B7C3" w14:textId="77777777" w:rsidR="00D94935" w:rsidRDefault="00D94935" w:rsidP="003A681D">
            <w:pPr>
              <w:pStyle w:val="TableText"/>
              <w:spacing w:before="120" w:after="120"/>
            </w:pPr>
            <w:r>
              <w:t>7.8</w:t>
            </w:r>
          </w:p>
        </w:tc>
        <w:tc>
          <w:tcPr>
            <w:tcW w:w="3259" w:type="dxa"/>
          </w:tcPr>
          <w:p w14:paraId="52EB9CAA" w14:textId="77777777" w:rsidR="00D94935" w:rsidRDefault="00D94935" w:rsidP="003A681D">
            <w:pPr>
              <w:pStyle w:val="TableText"/>
              <w:spacing w:before="120" w:after="120"/>
            </w:pPr>
            <w:r>
              <w:t xml:space="preserve">power to order payment of a call </w:t>
            </w:r>
          </w:p>
        </w:tc>
      </w:tr>
      <w:tr w:rsidR="00D94935" w14:paraId="5BF3A009" w14:textId="77777777" w:rsidTr="003A681D">
        <w:trPr>
          <w:cantSplit/>
        </w:trPr>
        <w:tc>
          <w:tcPr>
            <w:tcW w:w="1134" w:type="dxa"/>
          </w:tcPr>
          <w:p w14:paraId="1A37DA7F" w14:textId="77777777" w:rsidR="00D94935" w:rsidRDefault="00D94935" w:rsidP="003A681D">
            <w:pPr>
              <w:pStyle w:val="TableText"/>
              <w:spacing w:before="120" w:after="120"/>
              <w:rPr>
                <w:rStyle w:val="charItals"/>
              </w:rPr>
            </w:pPr>
            <w:r>
              <w:t>76</w:t>
            </w:r>
          </w:p>
        </w:tc>
        <w:tc>
          <w:tcPr>
            <w:tcW w:w="2167" w:type="dxa"/>
          </w:tcPr>
          <w:p w14:paraId="6BC60271" w14:textId="77777777" w:rsidR="00D94935" w:rsidRDefault="00D94935" w:rsidP="003A681D">
            <w:pPr>
              <w:pStyle w:val="TableText"/>
              <w:spacing w:before="120" w:after="120"/>
            </w:pPr>
            <w:r>
              <w:t>section 483 (4)</w:t>
            </w:r>
          </w:p>
        </w:tc>
        <w:tc>
          <w:tcPr>
            <w:tcW w:w="1367" w:type="dxa"/>
          </w:tcPr>
          <w:p w14:paraId="26588DC2" w14:textId="77777777" w:rsidR="00D94935" w:rsidRDefault="00D94935" w:rsidP="003A681D">
            <w:pPr>
              <w:pStyle w:val="TableText"/>
              <w:spacing w:before="120" w:after="120"/>
            </w:pPr>
          </w:p>
        </w:tc>
        <w:tc>
          <w:tcPr>
            <w:tcW w:w="3259" w:type="dxa"/>
          </w:tcPr>
          <w:p w14:paraId="2E4303C0" w14:textId="77777777" w:rsidR="00D94935" w:rsidRDefault="00D94935" w:rsidP="003A681D">
            <w:pPr>
              <w:pStyle w:val="TableText"/>
              <w:spacing w:before="120" w:after="120"/>
            </w:pPr>
            <w:r>
              <w:t>power to order payment of amount due into a bank named in the order</w:t>
            </w:r>
          </w:p>
        </w:tc>
      </w:tr>
      <w:tr w:rsidR="00D94935" w14:paraId="497B17D4" w14:textId="77777777" w:rsidTr="003A681D">
        <w:trPr>
          <w:cantSplit/>
        </w:trPr>
        <w:tc>
          <w:tcPr>
            <w:tcW w:w="1134" w:type="dxa"/>
          </w:tcPr>
          <w:p w14:paraId="2C4F5775" w14:textId="77777777" w:rsidR="00D94935" w:rsidRDefault="00D94935" w:rsidP="003A681D">
            <w:pPr>
              <w:pStyle w:val="TableText"/>
              <w:spacing w:before="120" w:after="120"/>
            </w:pPr>
            <w:r>
              <w:t>77</w:t>
            </w:r>
          </w:p>
        </w:tc>
        <w:tc>
          <w:tcPr>
            <w:tcW w:w="2167" w:type="dxa"/>
          </w:tcPr>
          <w:p w14:paraId="7ADAE357" w14:textId="77777777" w:rsidR="00D94935" w:rsidRDefault="00D94935" w:rsidP="003A681D">
            <w:pPr>
              <w:pStyle w:val="TableText"/>
              <w:spacing w:before="120" w:after="120"/>
            </w:pPr>
            <w:r>
              <w:t>section 484</w:t>
            </w:r>
          </w:p>
        </w:tc>
        <w:tc>
          <w:tcPr>
            <w:tcW w:w="1367" w:type="dxa"/>
          </w:tcPr>
          <w:p w14:paraId="3A507784" w14:textId="77777777" w:rsidR="00D94935" w:rsidRDefault="00D94935" w:rsidP="003A681D">
            <w:pPr>
              <w:pStyle w:val="TableText"/>
              <w:spacing w:before="120" w:after="120"/>
            </w:pPr>
            <w:r>
              <w:t>8.1</w:t>
            </w:r>
            <w:r>
              <w:br/>
              <w:t>8.2</w:t>
            </w:r>
            <w:r>
              <w:br/>
              <w:t>8.3</w:t>
            </w:r>
          </w:p>
        </w:tc>
        <w:tc>
          <w:tcPr>
            <w:tcW w:w="3259" w:type="dxa"/>
          </w:tcPr>
          <w:p w14:paraId="3C05E6FC" w14:textId="77777777" w:rsidR="00D94935" w:rsidRDefault="00D94935" w:rsidP="003A681D">
            <w:pPr>
              <w:pStyle w:val="TableText"/>
              <w:spacing w:before="120" w:after="120"/>
            </w:pPr>
            <w:r>
              <w:t>power to appoint special manager</w:t>
            </w:r>
          </w:p>
        </w:tc>
      </w:tr>
      <w:tr w:rsidR="00D94935" w14:paraId="28479D14" w14:textId="77777777" w:rsidTr="003A681D">
        <w:trPr>
          <w:cantSplit/>
        </w:trPr>
        <w:tc>
          <w:tcPr>
            <w:tcW w:w="1134" w:type="dxa"/>
          </w:tcPr>
          <w:p w14:paraId="124E0865" w14:textId="77777777" w:rsidR="00D94935" w:rsidRDefault="00D94935" w:rsidP="003A681D">
            <w:pPr>
              <w:pStyle w:val="TableText"/>
              <w:spacing w:before="120" w:after="120"/>
            </w:pPr>
            <w:r>
              <w:t>78</w:t>
            </w:r>
          </w:p>
        </w:tc>
        <w:tc>
          <w:tcPr>
            <w:tcW w:w="2167" w:type="dxa"/>
          </w:tcPr>
          <w:p w14:paraId="56A4BF24" w14:textId="77777777" w:rsidR="00D94935" w:rsidRDefault="00D94935" w:rsidP="003A681D">
            <w:pPr>
              <w:pStyle w:val="TableText"/>
              <w:spacing w:before="120" w:after="120"/>
            </w:pPr>
            <w:r>
              <w:t>section 486</w:t>
            </w:r>
          </w:p>
        </w:tc>
        <w:tc>
          <w:tcPr>
            <w:tcW w:w="1367" w:type="dxa"/>
          </w:tcPr>
          <w:p w14:paraId="0945A79E" w14:textId="77777777" w:rsidR="00D94935" w:rsidRDefault="00D94935" w:rsidP="003A681D">
            <w:pPr>
              <w:pStyle w:val="TableText"/>
              <w:spacing w:before="120" w:after="120"/>
            </w:pPr>
          </w:p>
        </w:tc>
        <w:tc>
          <w:tcPr>
            <w:tcW w:w="3259" w:type="dxa"/>
          </w:tcPr>
          <w:p w14:paraId="503BFC37" w14:textId="77777777" w:rsidR="00D94935" w:rsidRDefault="00D94935" w:rsidP="003A681D">
            <w:pPr>
              <w:pStyle w:val="TableText"/>
              <w:spacing w:before="120" w:after="120"/>
            </w:pPr>
            <w:r>
              <w:t xml:space="preserve">power to make order for inspection of books by creditors or contributories </w:t>
            </w:r>
          </w:p>
        </w:tc>
      </w:tr>
      <w:tr w:rsidR="00D94935" w14:paraId="7AC550D6" w14:textId="77777777" w:rsidTr="003A681D">
        <w:trPr>
          <w:cantSplit/>
        </w:trPr>
        <w:tc>
          <w:tcPr>
            <w:tcW w:w="1134" w:type="dxa"/>
          </w:tcPr>
          <w:p w14:paraId="5E61CC99" w14:textId="77777777" w:rsidR="00D94935" w:rsidRDefault="00D94935" w:rsidP="003A681D">
            <w:pPr>
              <w:pStyle w:val="TableText"/>
              <w:spacing w:before="120" w:after="120"/>
            </w:pPr>
            <w:r>
              <w:lastRenderedPageBreak/>
              <w:t>79</w:t>
            </w:r>
          </w:p>
        </w:tc>
        <w:tc>
          <w:tcPr>
            <w:tcW w:w="2167" w:type="dxa"/>
          </w:tcPr>
          <w:p w14:paraId="68F2FC98" w14:textId="77777777" w:rsidR="00D94935" w:rsidRDefault="00D94935" w:rsidP="003A681D">
            <w:pPr>
              <w:pStyle w:val="TableText"/>
              <w:spacing w:before="120" w:after="120"/>
            </w:pPr>
            <w:r>
              <w:t>section 488 (2)</w:t>
            </w:r>
          </w:p>
        </w:tc>
        <w:tc>
          <w:tcPr>
            <w:tcW w:w="1367" w:type="dxa"/>
          </w:tcPr>
          <w:p w14:paraId="4CD14C74" w14:textId="77777777" w:rsidR="00D94935" w:rsidRDefault="00D94935" w:rsidP="003A681D">
            <w:pPr>
              <w:pStyle w:val="TableText"/>
              <w:spacing w:before="120" w:after="120"/>
            </w:pPr>
            <w:r>
              <w:t>7.9</w:t>
            </w:r>
          </w:p>
        </w:tc>
        <w:tc>
          <w:tcPr>
            <w:tcW w:w="3259" w:type="dxa"/>
          </w:tcPr>
          <w:p w14:paraId="146ED3F0" w14:textId="77777777" w:rsidR="00D94935" w:rsidRDefault="00D94935" w:rsidP="003A681D">
            <w:pPr>
              <w:pStyle w:val="TableText"/>
              <w:spacing w:before="120" w:after="120"/>
            </w:pPr>
            <w:r>
              <w:t xml:space="preserve">power to grant leave to distribute a surplus </w:t>
            </w:r>
          </w:p>
        </w:tc>
      </w:tr>
      <w:tr w:rsidR="00D94935" w14:paraId="6EBE2161" w14:textId="77777777" w:rsidTr="003A681D">
        <w:trPr>
          <w:cantSplit/>
        </w:trPr>
        <w:tc>
          <w:tcPr>
            <w:tcW w:w="1134" w:type="dxa"/>
          </w:tcPr>
          <w:p w14:paraId="7EBB19D9" w14:textId="77777777" w:rsidR="00D94935" w:rsidRDefault="00D94935" w:rsidP="003A681D">
            <w:pPr>
              <w:pStyle w:val="TableText"/>
              <w:spacing w:before="120" w:after="120"/>
            </w:pPr>
            <w:r>
              <w:t>80</w:t>
            </w:r>
          </w:p>
        </w:tc>
        <w:tc>
          <w:tcPr>
            <w:tcW w:w="2167" w:type="dxa"/>
          </w:tcPr>
          <w:p w14:paraId="6ADBA0A0" w14:textId="77777777" w:rsidR="00D94935" w:rsidRDefault="00D94935" w:rsidP="003A681D">
            <w:pPr>
              <w:pStyle w:val="TableText"/>
              <w:spacing w:before="120" w:after="120"/>
            </w:pPr>
            <w:r>
              <w:t>section 490</w:t>
            </w:r>
          </w:p>
        </w:tc>
        <w:tc>
          <w:tcPr>
            <w:tcW w:w="1367" w:type="dxa"/>
          </w:tcPr>
          <w:p w14:paraId="06AE11A4" w14:textId="77777777" w:rsidR="00D94935" w:rsidRDefault="00D94935" w:rsidP="003A681D">
            <w:pPr>
              <w:pStyle w:val="TableText"/>
              <w:spacing w:before="120" w:after="120"/>
            </w:pPr>
          </w:p>
        </w:tc>
        <w:tc>
          <w:tcPr>
            <w:tcW w:w="3259" w:type="dxa"/>
          </w:tcPr>
          <w:p w14:paraId="5EE76943" w14:textId="77777777" w:rsidR="00D94935" w:rsidRDefault="00D94935" w:rsidP="003A681D">
            <w:pPr>
              <w:pStyle w:val="TableText"/>
              <w:spacing w:before="120" w:after="120"/>
            </w:pPr>
            <w:r>
              <w:t>power to grant leave to company to wind up voluntarily</w:t>
            </w:r>
          </w:p>
        </w:tc>
      </w:tr>
      <w:tr w:rsidR="00D94935" w14:paraId="399EF793" w14:textId="77777777" w:rsidTr="003A681D">
        <w:trPr>
          <w:cantSplit/>
        </w:trPr>
        <w:tc>
          <w:tcPr>
            <w:tcW w:w="1134" w:type="dxa"/>
          </w:tcPr>
          <w:p w14:paraId="0F13719D" w14:textId="77777777" w:rsidR="00D94935" w:rsidRDefault="00D94935" w:rsidP="003A681D">
            <w:pPr>
              <w:pStyle w:val="TableText"/>
              <w:spacing w:before="120" w:after="120"/>
            </w:pPr>
            <w:r>
              <w:t>81</w:t>
            </w:r>
          </w:p>
        </w:tc>
        <w:tc>
          <w:tcPr>
            <w:tcW w:w="2167" w:type="dxa"/>
          </w:tcPr>
          <w:p w14:paraId="77FA52BF" w14:textId="77777777" w:rsidR="00D94935" w:rsidRDefault="00D94935" w:rsidP="003A681D">
            <w:pPr>
              <w:pStyle w:val="TableText"/>
              <w:spacing w:before="120" w:after="120"/>
            </w:pPr>
            <w:r>
              <w:t>section 495 (4)</w:t>
            </w:r>
          </w:p>
        </w:tc>
        <w:tc>
          <w:tcPr>
            <w:tcW w:w="1367" w:type="dxa"/>
          </w:tcPr>
          <w:p w14:paraId="59456ADD" w14:textId="77777777" w:rsidR="00D94935" w:rsidRDefault="00D94935" w:rsidP="003A681D">
            <w:pPr>
              <w:pStyle w:val="TableText"/>
              <w:spacing w:before="120" w:after="120"/>
            </w:pPr>
          </w:p>
        </w:tc>
        <w:tc>
          <w:tcPr>
            <w:tcW w:w="3259" w:type="dxa"/>
          </w:tcPr>
          <w:p w14:paraId="57217554" w14:textId="77777777" w:rsidR="00D94935" w:rsidRDefault="00D94935" w:rsidP="003A681D">
            <w:pPr>
              <w:pStyle w:val="TableText"/>
              <w:spacing w:before="120" w:after="120"/>
            </w:pPr>
            <w:r>
              <w:t>power to make order in relation to conduct of meeting in course of members’ voluntary winding-up</w:t>
            </w:r>
          </w:p>
        </w:tc>
      </w:tr>
      <w:tr w:rsidR="00D94935" w14:paraId="0EC1EB7D" w14:textId="77777777" w:rsidTr="003A681D">
        <w:trPr>
          <w:cantSplit/>
        </w:trPr>
        <w:tc>
          <w:tcPr>
            <w:tcW w:w="1134" w:type="dxa"/>
          </w:tcPr>
          <w:p w14:paraId="228C9700" w14:textId="77777777" w:rsidR="00D94935" w:rsidRDefault="00D94935" w:rsidP="003A681D">
            <w:pPr>
              <w:pStyle w:val="TableText"/>
              <w:spacing w:before="120" w:after="120"/>
            </w:pPr>
            <w:r>
              <w:t>82</w:t>
            </w:r>
          </w:p>
        </w:tc>
        <w:tc>
          <w:tcPr>
            <w:tcW w:w="2167" w:type="dxa"/>
          </w:tcPr>
          <w:p w14:paraId="06899140" w14:textId="77777777" w:rsidR="00D94935" w:rsidRDefault="00D94935" w:rsidP="003A681D">
            <w:pPr>
              <w:pStyle w:val="TableText"/>
              <w:spacing w:before="120" w:after="120"/>
            </w:pPr>
            <w:r>
              <w:t>section 496 (3)</w:t>
            </w:r>
          </w:p>
        </w:tc>
        <w:tc>
          <w:tcPr>
            <w:tcW w:w="1367" w:type="dxa"/>
          </w:tcPr>
          <w:p w14:paraId="66960B34" w14:textId="77777777" w:rsidR="00D94935" w:rsidRDefault="00D94935" w:rsidP="003A681D">
            <w:pPr>
              <w:pStyle w:val="TableText"/>
              <w:spacing w:before="120" w:after="120"/>
            </w:pPr>
          </w:p>
        </w:tc>
        <w:tc>
          <w:tcPr>
            <w:tcW w:w="3259" w:type="dxa"/>
          </w:tcPr>
          <w:p w14:paraId="2538CA9F" w14:textId="77777777" w:rsidR="00D94935" w:rsidRDefault="00D94935" w:rsidP="003A681D">
            <w:pPr>
              <w:pStyle w:val="TableText"/>
              <w:spacing w:before="120" w:after="120"/>
            </w:pPr>
            <w:r>
              <w:t xml:space="preserve">power to order that list of creditors be sent to creditors in members’ voluntary winding-up </w:t>
            </w:r>
          </w:p>
        </w:tc>
      </w:tr>
      <w:tr w:rsidR="00D94935" w14:paraId="6E9B85AB" w14:textId="77777777" w:rsidTr="003A681D">
        <w:trPr>
          <w:cantSplit/>
        </w:trPr>
        <w:tc>
          <w:tcPr>
            <w:tcW w:w="1134" w:type="dxa"/>
          </w:tcPr>
          <w:p w14:paraId="4073D6F4" w14:textId="77777777" w:rsidR="00D94935" w:rsidRDefault="00D94935" w:rsidP="003A681D">
            <w:pPr>
              <w:pStyle w:val="TableText"/>
              <w:spacing w:before="120" w:after="120"/>
            </w:pPr>
            <w:r>
              <w:t>83</w:t>
            </w:r>
          </w:p>
        </w:tc>
        <w:tc>
          <w:tcPr>
            <w:tcW w:w="2167" w:type="dxa"/>
          </w:tcPr>
          <w:p w14:paraId="370A1F7D" w14:textId="77777777" w:rsidR="00D94935" w:rsidRDefault="00D94935" w:rsidP="003A681D">
            <w:pPr>
              <w:pStyle w:val="TableText"/>
              <w:spacing w:before="120" w:after="120"/>
            </w:pPr>
            <w:r>
              <w:t>section 497 (3)</w:t>
            </w:r>
          </w:p>
        </w:tc>
        <w:tc>
          <w:tcPr>
            <w:tcW w:w="1367" w:type="dxa"/>
          </w:tcPr>
          <w:p w14:paraId="1A66D7E1" w14:textId="77777777" w:rsidR="00D94935" w:rsidRDefault="00D94935" w:rsidP="003A681D">
            <w:pPr>
              <w:pStyle w:val="TableText"/>
              <w:spacing w:before="120" w:after="120"/>
            </w:pPr>
          </w:p>
        </w:tc>
        <w:tc>
          <w:tcPr>
            <w:tcW w:w="3259" w:type="dxa"/>
          </w:tcPr>
          <w:p w14:paraId="76748191" w14:textId="77777777" w:rsidR="00D94935" w:rsidRDefault="00D94935" w:rsidP="003A681D">
            <w:pPr>
              <w:pStyle w:val="TableText"/>
              <w:spacing w:before="120" w:after="120"/>
            </w:pPr>
            <w:r>
              <w:t xml:space="preserve">power to order that list of creditors be sent to creditors in creditors’ voluntary winding-up </w:t>
            </w:r>
          </w:p>
        </w:tc>
      </w:tr>
      <w:tr w:rsidR="00D94935" w14:paraId="2D199A3F" w14:textId="77777777" w:rsidTr="003A681D">
        <w:trPr>
          <w:cantSplit/>
        </w:trPr>
        <w:tc>
          <w:tcPr>
            <w:tcW w:w="1134" w:type="dxa"/>
          </w:tcPr>
          <w:p w14:paraId="5F63E3D6" w14:textId="77777777" w:rsidR="00D94935" w:rsidRDefault="00D94935" w:rsidP="003A681D">
            <w:pPr>
              <w:pStyle w:val="TableText"/>
              <w:spacing w:before="120" w:after="120"/>
            </w:pPr>
            <w:r>
              <w:t>84</w:t>
            </w:r>
          </w:p>
        </w:tc>
        <w:tc>
          <w:tcPr>
            <w:tcW w:w="2167" w:type="dxa"/>
          </w:tcPr>
          <w:p w14:paraId="1628662E" w14:textId="77777777" w:rsidR="00D94935" w:rsidRDefault="00D94935" w:rsidP="003A681D">
            <w:pPr>
              <w:pStyle w:val="TableText"/>
              <w:spacing w:before="120" w:after="120"/>
            </w:pPr>
            <w:r>
              <w:t>section 500</w:t>
            </w:r>
          </w:p>
        </w:tc>
        <w:tc>
          <w:tcPr>
            <w:tcW w:w="1367" w:type="dxa"/>
          </w:tcPr>
          <w:p w14:paraId="26E4B998" w14:textId="77777777" w:rsidR="00D94935" w:rsidRDefault="00D94935" w:rsidP="003A681D">
            <w:pPr>
              <w:pStyle w:val="TableText"/>
              <w:spacing w:before="120" w:after="120"/>
            </w:pPr>
          </w:p>
        </w:tc>
        <w:tc>
          <w:tcPr>
            <w:tcW w:w="3259" w:type="dxa"/>
          </w:tcPr>
          <w:p w14:paraId="2FB0CF9E" w14:textId="77777777" w:rsidR="00D94935" w:rsidRDefault="00D94935" w:rsidP="003A681D">
            <w:pPr>
              <w:pStyle w:val="TableText"/>
              <w:spacing w:before="120" w:after="120"/>
            </w:pPr>
            <w:r>
              <w:t xml:space="preserve">power to make order about execution and civil proceedings </w:t>
            </w:r>
          </w:p>
        </w:tc>
      </w:tr>
      <w:tr w:rsidR="00D94935" w14:paraId="52D9724C" w14:textId="77777777" w:rsidTr="003A681D">
        <w:trPr>
          <w:cantSplit/>
        </w:trPr>
        <w:tc>
          <w:tcPr>
            <w:tcW w:w="1134" w:type="dxa"/>
          </w:tcPr>
          <w:p w14:paraId="4A3F1F0E" w14:textId="77777777" w:rsidR="00D94935" w:rsidRDefault="00D94935" w:rsidP="003A681D">
            <w:pPr>
              <w:pStyle w:val="TableText"/>
              <w:spacing w:before="120" w:after="120"/>
            </w:pPr>
            <w:r>
              <w:t>85</w:t>
            </w:r>
          </w:p>
        </w:tc>
        <w:tc>
          <w:tcPr>
            <w:tcW w:w="2167" w:type="dxa"/>
          </w:tcPr>
          <w:p w14:paraId="72973074" w14:textId="77777777" w:rsidR="00D94935" w:rsidRDefault="00D94935" w:rsidP="003A681D">
            <w:pPr>
              <w:pStyle w:val="TableText"/>
              <w:spacing w:before="120" w:after="120"/>
            </w:pPr>
            <w:r>
              <w:t>section 502</w:t>
            </w:r>
          </w:p>
        </w:tc>
        <w:tc>
          <w:tcPr>
            <w:tcW w:w="1367" w:type="dxa"/>
          </w:tcPr>
          <w:p w14:paraId="2D2AC036" w14:textId="77777777" w:rsidR="00D94935" w:rsidRDefault="00D94935" w:rsidP="003A681D">
            <w:pPr>
              <w:pStyle w:val="TableText"/>
              <w:spacing w:before="120" w:after="120"/>
            </w:pPr>
            <w:r>
              <w:t>7.2</w:t>
            </w:r>
          </w:p>
        </w:tc>
        <w:tc>
          <w:tcPr>
            <w:tcW w:w="3259" w:type="dxa"/>
          </w:tcPr>
          <w:p w14:paraId="5C1CAB03" w14:textId="77777777" w:rsidR="00D94935" w:rsidRDefault="00D94935" w:rsidP="003A681D">
            <w:pPr>
              <w:pStyle w:val="TableText"/>
              <w:spacing w:before="120" w:after="120"/>
            </w:pPr>
            <w:r>
              <w:t>power to appoint liquidator</w:t>
            </w:r>
          </w:p>
        </w:tc>
      </w:tr>
      <w:tr w:rsidR="00D94935" w14:paraId="6C2CB32B" w14:textId="77777777" w:rsidTr="003A681D">
        <w:trPr>
          <w:cantSplit/>
        </w:trPr>
        <w:tc>
          <w:tcPr>
            <w:tcW w:w="1134" w:type="dxa"/>
          </w:tcPr>
          <w:p w14:paraId="7B02B023" w14:textId="77777777" w:rsidR="00D94935" w:rsidRDefault="00D94935" w:rsidP="003A681D">
            <w:pPr>
              <w:pStyle w:val="TableText"/>
              <w:spacing w:before="120" w:after="120"/>
            </w:pPr>
            <w:r>
              <w:t>86</w:t>
            </w:r>
          </w:p>
        </w:tc>
        <w:tc>
          <w:tcPr>
            <w:tcW w:w="2167" w:type="dxa"/>
          </w:tcPr>
          <w:p w14:paraId="312C2973" w14:textId="77777777" w:rsidR="00D94935" w:rsidRDefault="00D94935" w:rsidP="003A681D">
            <w:pPr>
              <w:pStyle w:val="TableText"/>
              <w:spacing w:before="120" w:after="120"/>
            </w:pPr>
            <w:r>
              <w:t>section 503</w:t>
            </w:r>
          </w:p>
        </w:tc>
        <w:tc>
          <w:tcPr>
            <w:tcW w:w="1367" w:type="dxa"/>
          </w:tcPr>
          <w:p w14:paraId="063EE8A3" w14:textId="77777777" w:rsidR="00D94935" w:rsidRDefault="00D94935" w:rsidP="003A681D">
            <w:pPr>
              <w:pStyle w:val="TableText"/>
              <w:spacing w:before="120" w:after="120"/>
            </w:pPr>
          </w:p>
        </w:tc>
        <w:tc>
          <w:tcPr>
            <w:tcW w:w="3259" w:type="dxa"/>
          </w:tcPr>
          <w:p w14:paraId="366F701C" w14:textId="77777777" w:rsidR="00D94935" w:rsidRDefault="00D94935" w:rsidP="003A681D">
            <w:pPr>
              <w:pStyle w:val="TableText"/>
              <w:spacing w:before="120" w:after="120"/>
            </w:pPr>
            <w:r>
              <w:t>power to remove liquidator</w:t>
            </w:r>
          </w:p>
        </w:tc>
      </w:tr>
      <w:tr w:rsidR="00D94935" w14:paraId="0ABF60E7" w14:textId="77777777" w:rsidTr="003A681D">
        <w:trPr>
          <w:cantSplit/>
        </w:trPr>
        <w:tc>
          <w:tcPr>
            <w:tcW w:w="1134" w:type="dxa"/>
          </w:tcPr>
          <w:p w14:paraId="09E26007" w14:textId="77777777" w:rsidR="00D94935" w:rsidRDefault="00D94935" w:rsidP="003A681D">
            <w:pPr>
              <w:pStyle w:val="TableText"/>
              <w:spacing w:before="120" w:after="120"/>
            </w:pPr>
            <w:r>
              <w:lastRenderedPageBreak/>
              <w:t>87</w:t>
            </w:r>
          </w:p>
        </w:tc>
        <w:tc>
          <w:tcPr>
            <w:tcW w:w="2167" w:type="dxa"/>
          </w:tcPr>
          <w:p w14:paraId="4C8A9321" w14:textId="77777777" w:rsidR="00D94935" w:rsidRDefault="00D94935" w:rsidP="003A681D">
            <w:pPr>
              <w:pStyle w:val="TableText"/>
              <w:spacing w:before="120" w:after="120"/>
            </w:pPr>
            <w:r>
              <w:t>section 504</w:t>
            </w:r>
          </w:p>
        </w:tc>
        <w:tc>
          <w:tcPr>
            <w:tcW w:w="1367" w:type="dxa"/>
          </w:tcPr>
          <w:p w14:paraId="7B3B47BB" w14:textId="77777777" w:rsidR="00D94935" w:rsidRDefault="00D94935" w:rsidP="003A681D">
            <w:pPr>
              <w:pStyle w:val="TableText"/>
              <w:spacing w:before="120" w:after="120"/>
            </w:pPr>
            <w:r>
              <w:t>9.4A</w:t>
            </w:r>
          </w:p>
        </w:tc>
        <w:tc>
          <w:tcPr>
            <w:tcW w:w="3259" w:type="dxa"/>
          </w:tcPr>
          <w:p w14:paraId="2C3BBC9B" w14:textId="77777777" w:rsidR="00D94935" w:rsidRDefault="00D94935" w:rsidP="003A681D">
            <w:pPr>
              <w:pStyle w:val="TableText"/>
              <w:spacing w:before="120" w:after="120"/>
            </w:pPr>
            <w:r>
              <w:t xml:space="preserve">power to review liquidator’s remuneration in voluntary winding-up </w:t>
            </w:r>
          </w:p>
        </w:tc>
      </w:tr>
      <w:tr w:rsidR="00D94935" w14:paraId="1D3CE724" w14:textId="77777777" w:rsidTr="003A681D">
        <w:trPr>
          <w:cantSplit/>
        </w:trPr>
        <w:tc>
          <w:tcPr>
            <w:tcW w:w="1134" w:type="dxa"/>
          </w:tcPr>
          <w:p w14:paraId="6AF5222E" w14:textId="77777777" w:rsidR="00D94935" w:rsidRDefault="00D94935" w:rsidP="003A681D">
            <w:pPr>
              <w:pStyle w:val="TableText"/>
              <w:spacing w:before="120" w:after="120"/>
            </w:pPr>
            <w:r>
              <w:t>88</w:t>
            </w:r>
          </w:p>
        </w:tc>
        <w:tc>
          <w:tcPr>
            <w:tcW w:w="2167" w:type="dxa"/>
          </w:tcPr>
          <w:p w14:paraId="592D3B9D" w14:textId="77777777" w:rsidR="00D94935" w:rsidRDefault="00D94935" w:rsidP="003A681D">
            <w:pPr>
              <w:pStyle w:val="TableText"/>
              <w:spacing w:before="120" w:after="120"/>
            </w:pPr>
            <w:r>
              <w:t>section 507 (6)</w:t>
            </w:r>
          </w:p>
        </w:tc>
        <w:tc>
          <w:tcPr>
            <w:tcW w:w="1367" w:type="dxa"/>
          </w:tcPr>
          <w:p w14:paraId="3754EE72" w14:textId="77777777" w:rsidR="00D94935" w:rsidRDefault="00D94935" w:rsidP="003A681D">
            <w:pPr>
              <w:pStyle w:val="TableText"/>
              <w:spacing w:before="120" w:after="120"/>
            </w:pPr>
          </w:p>
        </w:tc>
        <w:tc>
          <w:tcPr>
            <w:tcW w:w="3259" w:type="dxa"/>
          </w:tcPr>
          <w:p w14:paraId="504C6148" w14:textId="77777777" w:rsidR="00D94935" w:rsidRDefault="00D94935" w:rsidP="003A681D">
            <w:pPr>
              <w:pStyle w:val="TableText"/>
              <w:spacing w:before="120" w:after="120"/>
            </w:pPr>
            <w:r>
              <w:t xml:space="preserve">power to sanction resolution to accept shares as consideration for sale of property of company </w:t>
            </w:r>
          </w:p>
        </w:tc>
      </w:tr>
      <w:tr w:rsidR="00D94935" w14:paraId="0106F37C" w14:textId="77777777" w:rsidTr="003A681D">
        <w:trPr>
          <w:cantSplit/>
        </w:trPr>
        <w:tc>
          <w:tcPr>
            <w:tcW w:w="1134" w:type="dxa"/>
          </w:tcPr>
          <w:p w14:paraId="447C1DB4" w14:textId="77777777" w:rsidR="00D94935" w:rsidRDefault="00D94935" w:rsidP="003A681D">
            <w:pPr>
              <w:pStyle w:val="TableText"/>
              <w:spacing w:before="120" w:after="120"/>
            </w:pPr>
            <w:r>
              <w:t>89</w:t>
            </w:r>
          </w:p>
        </w:tc>
        <w:tc>
          <w:tcPr>
            <w:tcW w:w="2167" w:type="dxa"/>
          </w:tcPr>
          <w:p w14:paraId="688C631F" w14:textId="77777777" w:rsidR="00D94935" w:rsidRDefault="00D94935" w:rsidP="003A681D">
            <w:pPr>
              <w:pStyle w:val="TableText"/>
              <w:spacing w:before="120" w:after="120"/>
            </w:pPr>
            <w:r>
              <w:t>section 507 (9)</w:t>
            </w:r>
          </w:p>
        </w:tc>
        <w:tc>
          <w:tcPr>
            <w:tcW w:w="1367" w:type="dxa"/>
          </w:tcPr>
          <w:p w14:paraId="6CC38934" w14:textId="77777777" w:rsidR="00D94935" w:rsidRDefault="00D94935" w:rsidP="003A681D">
            <w:pPr>
              <w:pStyle w:val="TableText"/>
              <w:spacing w:before="120" w:after="120"/>
            </w:pPr>
          </w:p>
        </w:tc>
        <w:tc>
          <w:tcPr>
            <w:tcW w:w="3259" w:type="dxa"/>
          </w:tcPr>
          <w:p w14:paraId="24739424" w14:textId="77777777" w:rsidR="00D94935" w:rsidRDefault="00D94935" w:rsidP="003A681D">
            <w:pPr>
              <w:pStyle w:val="TableText"/>
              <w:spacing w:before="120" w:after="120"/>
            </w:pPr>
            <w:r>
              <w:t xml:space="preserve">power to give directions necessary for arbitration </w:t>
            </w:r>
          </w:p>
        </w:tc>
      </w:tr>
      <w:tr w:rsidR="00D94935" w14:paraId="7735DBB0" w14:textId="77777777" w:rsidTr="003A681D">
        <w:trPr>
          <w:cantSplit/>
        </w:trPr>
        <w:tc>
          <w:tcPr>
            <w:tcW w:w="1134" w:type="dxa"/>
          </w:tcPr>
          <w:p w14:paraId="02B79DB0" w14:textId="77777777" w:rsidR="00D94935" w:rsidRDefault="00D94935" w:rsidP="003A681D">
            <w:pPr>
              <w:pStyle w:val="TableText"/>
              <w:spacing w:before="120" w:after="120"/>
            </w:pPr>
            <w:r>
              <w:t>90</w:t>
            </w:r>
          </w:p>
        </w:tc>
        <w:tc>
          <w:tcPr>
            <w:tcW w:w="2167" w:type="dxa"/>
          </w:tcPr>
          <w:p w14:paraId="592920E9" w14:textId="77777777" w:rsidR="00D94935" w:rsidRDefault="00D94935" w:rsidP="003A681D">
            <w:pPr>
              <w:pStyle w:val="TableText"/>
              <w:spacing w:before="120" w:after="120"/>
            </w:pPr>
            <w:r>
              <w:t>section 507 (10)</w:t>
            </w:r>
          </w:p>
        </w:tc>
        <w:tc>
          <w:tcPr>
            <w:tcW w:w="1367" w:type="dxa"/>
          </w:tcPr>
          <w:p w14:paraId="19E063EC" w14:textId="77777777" w:rsidR="00D94935" w:rsidRDefault="00D94935" w:rsidP="003A681D">
            <w:pPr>
              <w:pStyle w:val="TableText"/>
              <w:spacing w:before="120" w:after="120"/>
            </w:pPr>
          </w:p>
        </w:tc>
        <w:tc>
          <w:tcPr>
            <w:tcW w:w="3259" w:type="dxa"/>
          </w:tcPr>
          <w:p w14:paraId="506614B9" w14:textId="77777777" w:rsidR="00D94935" w:rsidRDefault="00D94935" w:rsidP="003A681D">
            <w:pPr>
              <w:pStyle w:val="TableText"/>
              <w:spacing w:before="120" w:after="120"/>
            </w:pPr>
            <w:r>
              <w:t xml:space="preserve">power to approve liquidator’s exercise of powers in creditors’ voluntary winding-up </w:t>
            </w:r>
          </w:p>
        </w:tc>
      </w:tr>
      <w:tr w:rsidR="00D94935" w14:paraId="030D0F51" w14:textId="77777777" w:rsidTr="003A681D">
        <w:trPr>
          <w:cantSplit/>
        </w:trPr>
        <w:tc>
          <w:tcPr>
            <w:tcW w:w="1134" w:type="dxa"/>
          </w:tcPr>
          <w:p w14:paraId="6839F103" w14:textId="77777777" w:rsidR="00D94935" w:rsidRDefault="00D94935" w:rsidP="003A681D">
            <w:pPr>
              <w:pStyle w:val="TableText"/>
              <w:spacing w:before="120" w:after="120"/>
            </w:pPr>
            <w:r>
              <w:t>91</w:t>
            </w:r>
          </w:p>
        </w:tc>
        <w:tc>
          <w:tcPr>
            <w:tcW w:w="2167" w:type="dxa"/>
          </w:tcPr>
          <w:p w14:paraId="11DFE685" w14:textId="77777777" w:rsidR="00D94935" w:rsidRDefault="00D94935" w:rsidP="003A681D">
            <w:pPr>
              <w:pStyle w:val="TableText"/>
              <w:spacing w:before="120" w:after="120"/>
            </w:pPr>
            <w:r>
              <w:t>section 509 (6)</w:t>
            </w:r>
          </w:p>
        </w:tc>
        <w:tc>
          <w:tcPr>
            <w:tcW w:w="1367" w:type="dxa"/>
          </w:tcPr>
          <w:p w14:paraId="559B3B68" w14:textId="77777777" w:rsidR="00D94935" w:rsidRDefault="00D94935" w:rsidP="003A681D">
            <w:pPr>
              <w:pStyle w:val="TableText"/>
              <w:spacing w:before="120" w:after="120"/>
            </w:pPr>
          </w:p>
        </w:tc>
        <w:tc>
          <w:tcPr>
            <w:tcW w:w="3259" w:type="dxa"/>
          </w:tcPr>
          <w:p w14:paraId="3F42DC5F" w14:textId="77777777" w:rsidR="00D94935" w:rsidRDefault="00D94935" w:rsidP="003A681D">
            <w:pPr>
              <w:pStyle w:val="TableText"/>
              <w:spacing w:before="120" w:after="120"/>
            </w:pPr>
            <w:r>
              <w:t>power to order ASIC to deregister company on specified day</w:t>
            </w:r>
          </w:p>
        </w:tc>
      </w:tr>
      <w:tr w:rsidR="00D94935" w14:paraId="5CD96DA5" w14:textId="77777777" w:rsidTr="003A681D">
        <w:trPr>
          <w:cantSplit/>
        </w:trPr>
        <w:tc>
          <w:tcPr>
            <w:tcW w:w="1134" w:type="dxa"/>
          </w:tcPr>
          <w:p w14:paraId="271151FF" w14:textId="77777777" w:rsidR="00D94935" w:rsidRDefault="00D94935" w:rsidP="003A681D">
            <w:pPr>
              <w:pStyle w:val="TableText"/>
              <w:spacing w:before="120" w:after="120"/>
            </w:pPr>
            <w:r>
              <w:t>92</w:t>
            </w:r>
          </w:p>
        </w:tc>
        <w:tc>
          <w:tcPr>
            <w:tcW w:w="2167" w:type="dxa"/>
          </w:tcPr>
          <w:p w14:paraId="5E8366A0" w14:textId="77777777" w:rsidR="00D94935" w:rsidRDefault="00D94935" w:rsidP="003A681D">
            <w:pPr>
              <w:pStyle w:val="TableText"/>
              <w:spacing w:before="120" w:after="120"/>
            </w:pPr>
            <w:r>
              <w:t>section 510 (3)</w:t>
            </w:r>
          </w:p>
        </w:tc>
        <w:tc>
          <w:tcPr>
            <w:tcW w:w="1367" w:type="dxa"/>
          </w:tcPr>
          <w:p w14:paraId="7204E170" w14:textId="77777777" w:rsidR="00D94935" w:rsidRDefault="00D94935" w:rsidP="003A681D">
            <w:pPr>
              <w:pStyle w:val="TableText"/>
              <w:spacing w:before="120" w:after="120"/>
            </w:pPr>
          </w:p>
        </w:tc>
        <w:tc>
          <w:tcPr>
            <w:tcW w:w="3259" w:type="dxa"/>
          </w:tcPr>
          <w:p w14:paraId="4049734F" w14:textId="77777777" w:rsidR="00D94935" w:rsidRDefault="00D94935" w:rsidP="003A681D">
            <w:pPr>
              <w:pStyle w:val="TableText"/>
              <w:spacing w:before="120" w:after="120"/>
            </w:pPr>
            <w:r>
              <w:t xml:space="preserve">power to settle dispute about value of security or lien or amount of debt or set-off </w:t>
            </w:r>
          </w:p>
        </w:tc>
      </w:tr>
      <w:tr w:rsidR="00D94935" w14:paraId="7B8A781C" w14:textId="77777777" w:rsidTr="003A681D">
        <w:trPr>
          <w:cantSplit/>
        </w:trPr>
        <w:tc>
          <w:tcPr>
            <w:tcW w:w="1134" w:type="dxa"/>
          </w:tcPr>
          <w:p w14:paraId="1C504BE1" w14:textId="77777777" w:rsidR="00D94935" w:rsidRDefault="00D94935" w:rsidP="003A681D">
            <w:pPr>
              <w:pStyle w:val="TableText"/>
              <w:spacing w:before="120" w:after="120"/>
            </w:pPr>
            <w:r>
              <w:t>93</w:t>
            </w:r>
          </w:p>
        </w:tc>
        <w:tc>
          <w:tcPr>
            <w:tcW w:w="2167" w:type="dxa"/>
          </w:tcPr>
          <w:p w14:paraId="4F7BB0A8" w14:textId="77777777" w:rsidR="00D94935" w:rsidRDefault="00D94935" w:rsidP="003A681D">
            <w:pPr>
              <w:pStyle w:val="TableText"/>
              <w:spacing w:before="120" w:after="120"/>
            </w:pPr>
            <w:r>
              <w:t>section 511 (1) (a)</w:t>
            </w:r>
          </w:p>
        </w:tc>
        <w:tc>
          <w:tcPr>
            <w:tcW w:w="1367" w:type="dxa"/>
          </w:tcPr>
          <w:p w14:paraId="57350687" w14:textId="77777777" w:rsidR="00D94935" w:rsidRDefault="00D94935" w:rsidP="003A681D">
            <w:pPr>
              <w:pStyle w:val="TableText"/>
              <w:spacing w:before="120" w:after="120"/>
            </w:pPr>
          </w:p>
        </w:tc>
        <w:tc>
          <w:tcPr>
            <w:tcW w:w="3259" w:type="dxa"/>
          </w:tcPr>
          <w:p w14:paraId="28485FA8" w14:textId="77777777" w:rsidR="00D94935" w:rsidRDefault="00D94935" w:rsidP="003A681D">
            <w:pPr>
              <w:pStyle w:val="TableText"/>
              <w:spacing w:before="120" w:after="120"/>
            </w:pPr>
            <w:r>
              <w:t xml:space="preserve">power to decide question in winding-up of company </w:t>
            </w:r>
          </w:p>
        </w:tc>
      </w:tr>
      <w:tr w:rsidR="00D94935" w14:paraId="4B0FBBD4" w14:textId="77777777" w:rsidTr="003A681D">
        <w:trPr>
          <w:cantSplit/>
        </w:trPr>
        <w:tc>
          <w:tcPr>
            <w:tcW w:w="1134" w:type="dxa"/>
          </w:tcPr>
          <w:p w14:paraId="0A2EC056" w14:textId="77777777" w:rsidR="00D94935" w:rsidRDefault="00D94935" w:rsidP="003A681D">
            <w:pPr>
              <w:pStyle w:val="TableText"/>
              <w:spacing w:before="120" w:after="120"/>
            </w:pPr>
            <w:r>
              <w:t>94</w:t>
            </w:r>
          </w:p>
        </w:tc>
        <w:tc>
          <w:tcPr>
            <w:tcW w:w="2167" w:type="dxa"/>
          </w:tcPr>
          <w:p w14:paraId="3E9567F4" w14:textId="77777777" w:rsidR="00D94935" w:rsidRDefault="00D94935" w:rsidP="003A681D">
            <w:pPr>
              <w:pStyle w:val="TableText"/>
              <w:spacing w:before="120" w:after="120"/>
            </w:pPr>
            <w:r>
              <w:t>section 511 (1) (b)</w:t>
            </w:r>
          </w:p>
        </w:tc>
        <w:tc>
          <w:tcPr>
            <w:tcW w:w="1367" w:type="dxa"/>
          </w:tcPr>
          <w:p w14:paraId="04C1C4C6" w14:textId="77777777" w:rsidR="00D94935" w:rsidRDefault="00D94935" w:rsidP="003A681D">
            <w:pPr>
              <w:pStyle w:val="TableText"/>
              <w:spacing w:before="120" w:after="120"/>
            </w:pPr>
          </w:p>
        </w:tc>
        <w:tc>
          <w:tcPr>
            <w:tcW w:w="3259" w:type="dxa"/>
          </w:tcPr>
          <w:p w14:paraId="18A69E33" w14:textId="77777777"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14:paraId="1C9003A5" w14:textId="77777777" w:rsidTr="003A681D">
        <w:trPr>
          <w:cantSplit/>
        </w:trPr>
        <w:tc>
          <w:tcPr>
            <w:tcW w:w="1134" w:type="dxa"/>
          </w:tcPr>
          <w:p w14:paraId="35A5A1C9" w14:textId="77777777" w:rsidR="00D94935" w:rsidRDefault="00D94935" w:rsidP="003A681D">
            <w:pPr>
              <w:pStyle w:val="TableText"/>
              <w:spacing w:before="120" w:after="120"/>
            </w:pPr>
            <w:r>
              <w:lastRenderedPageBreak/>
              <w:t>95</w:t>
            </w:r>
          </w:p>
        </w:tc>
        <w:tc>
          <w:tcPr>
            <w:tcW w:w="2167" w:type="dxa"/>
          </w:tcPr>
          <w:p w14:paraId="2E3C79D5" w14:textId="77777777" w:rsidR="00D94935" w:rsidRDefault="00D94935" w:rsidP="003A681D">
            <w:pPr>
              <w:pStyle w:val="TableText"/>
              <w:spacing w:before="120" w:after="120"/>
            </w:pPr>
            <w:r>
              <w:t>section 532 (2)</w:t>
            </w:r>
          </w:p>
        </w:tc>
        <w:tc>
          <w:tcPr>
            <w:tcW w:w="1367" w:type="dxa"/>
          </w:tcPr>
          <w:p w14:paraId="611AA3BD" w14:textId="77777777" w:rsidR="00D94935" w:rsidRDefault="00D94935" w:rsidP="003A681D">
            <w:pPr>
              <w:pStyle w:val="TableText"/>
              <w:spacing w:before="120" w:after="120"/>
            </w:pPr>
          </w:p>
        </w:tc>
        <w:tc>
          <w:tcPr>
            <w:tcW w:w="3259" w:type="dxa"/>
          </w:tcPr>
          <w:p w14:paraId="56086ED0" w14:textId="77777777" w:rsidR="00D94935" w:rsidRDefault="00D94935" w:rsidP="003A681D">
            <w:pPr>
              <w:pStyle w:val="TableText"/>
              <w:spacing w:before="120" w:after="120"/>
            </w:pPr>
            <w:r>
              <w:t xml:space="preserve">power to grant leave for person to be appointed as liquidator </w:t>
            </w:r>
          </w:p>
        </w:tc>
      </w:tr>
      <w:tr w:rsidR="00D94935" w14:paraId="2E3A1712" w14:textId="77777777" w:rsidTr="003A681D">
        <w:trPr>
          <w:cantSplit/>
        </w:trPr>
        <w:tc>
          <w:tcPr>
            <w:tcW w:w="1134" w:type="dxa"/>
          </w:tcPr>
          <w:p w14:paraId="5BE8A1DD" w14:textId="77777777" w:rsidR="00D94935" w:rsidRDefault="00D94935" w:rsidP="003A681D">
            <w:pPr>
              <w:pStyle w:val="TableText"/>
              <w:spacing w:before="120" w:after="120"/>
            </w:pPr>
            <w:r>
              <w:t>96</w:t>
            </w:r>
          </w:p>
        </w:tc>
        <w:tc>
          <w:tcPr>
            <w:tcW w:w="2167" w:type="dxa"/>
          </w:tcPr>
          <w:p w14:paraId="06967BB9" w14:textId="77777777" w:rsidR="00D94935" w:rsidRDefault="00D94935" w:rsidP="003A681D">
            <w:pPr>
              <w:pStyle w:val="TableText"/>
              <w:spacing w:before="120" w:after="120"/>
            </w:pPr>
            <w:r>
              <w:t>section 536</w:t>
            </w:r>
          </w:p>
        </w:tc>
        <w:tc>
          <w:tcPr>
            <w:tcW w:w="1367" w:type="dxa"/>
          </w:tcPr>
          <w:p w14:paraId="561512EA" w14:textId="77777777" w:rsidR="00D94935" w:rsidRDefault="00D94935" w:rsidP="003A681D">
            <w:pPr>
              <w:pStyle w:val="TableText"/>
              <w:spacing w:before="120" w:after="120"/>
            </w:pPr>
            <w:r>
              <w:t>7.11</w:t>
            </w:r>
            <w:r>
              <w:br/>
              <w:t>11.2</w:t>
            </w:r>
            <w:r>
              <w:br/>
              <w:t>11.8</w:t>
            </w:r>
          </w:p>
        </w:tc>
        <w:tc>
          <w:tcPr>
            <w:tcW w:w="3259" w:type="dxa"/>
          </w:tcPr>
          <w:p w14:paraId="01838962" w14:textId="77777777" w:rsidR="00D94935" w:rsidRDefault="00D94935" w:rsidP="003A681D">
            <w:pPr>
              <w:pStyle w:val="TableText"/>
              <w:spacing w:before="120" w:after="120"/>
            </w:pPr>
            <w:r>
              <w:t xml:space="preserve">power to make order in relation to supervision of liquidators </w:t>
            </w:r>
          </w:p>
        </w:tc>
      </w:tr>
      <w:tr w:rsidR="00D94935" w14:paraId="37CE82D9" w14:textId="77777777" w:rsidTr="003A681D">
        <w:trPr>
          <w:cantSplit/>
        </w:trPr>
        <w:tc>
          <w:tcPr>
            <w:tcW w:w="1134" w:type="dxa"/>
          </w:tcPr>
          <w:p w14:paraId="0593D64D" w14:textId="77777777" w:rsidR="00D94935" w:rsidRDefault="00D94935" w:rsidP="003A681D">
            <w:pPr>
              <w:pStyle w:val="TableText"/>
              <w:spacing w:before="120" w:after="120"/>
            </w:pPr>
            <w:r>
              <w:t>97</w:t>
            </w:r>
          </w:p>
        </w:tc>
        <w:tc>
          <w:tcPr>
            <w:tcW w:w="2167" w:type="dxa"/>
          </w:tcPr>
          <w:p w14:paraId="1390EEE7" w14:textId="77777777" w:rsidR="00D94935" w:rsidRDefault="00D94935" w:rsidP="003A681D">
            <w:pPr>
              <w:pStyle w:val="TableText"/>
              <w:spacing w:before="120" w:after="120"/>
            </w:pPr>
            <w:r>
              <w:t>section 542 (3) (a)</w:t>
            </w:r>
          </w:p>
        </w:tc>
        <w:tc>
          <w:tcPr>
            <w:tcW w:w="1367" w:type="dxa"/>
          </w:tcPr>
          <w:p w14:paraId="3A29C21D" w14:textId="77777777" w:rsidR="00D94935" w:rsidRDefault="00D94935" w:rsidP="003A681D">
            <w:pPr>
              <w:pStyle w:val="TableText"/>
              <w:spacing w:before="120" w:after="120"/>
            </w:pPr>
          </w:p>
        </w:tc>
        <w:tc>
          <w:tcPr>
            <w:tcW w:w="3259" w:type="dxa"/>
          </w:tcPr>
          <w:p w14:paraId="6F08987A" w14:textId="77777777" w:rsidR="00D94935" w:rsidRDefault="00D94935" w:rsidP="003A681D">
            <w:pPr>
              <w:pStyle w:val="TableText"/>
              <w:spacing w:before="120" w:after="120"/>
            </w:pPr>
            <w:r>
              <w:t>power to give directions in relation to destruction of books of company</w:t>
            </w:r>
          </w:p>
        </w:tc>
      </w:tr>
      <w:tr w:rsidR="00D94935" w14:paraId="60A601C4" w14:textId="77777777" w:rsidTr="003A681D">
        <w:trPr>
          <w:cantSplit/>
        </w:trPr>
        <w:tc>
          <w:tcPr>
            <w:tcW w:w="1134" w:type="dxa"/>
          </w:tcPr>
          <w:p w14:paraId="087E827F" w14:textId="77777777" w:rsidR="00D94935" w:rsidRDefault="00D94935" w:rsidP="003A681D">
            <w:pPr>
              <w:pStyle w:val="TableText"/>
              <w:spacing w:before="120" w:after="120"/>
            </w:pPr>
            <w:r>
              <w:t>98</w:t>
            </w:r>
          </w:p>
        </w:tc>
        <w:tc>
          <w:tcPr>
            <w:tcW w:w="2167" w:type="dxa"/>
          </w:tcPr>
          <w:p w14:paraId="7860F66F" w14:textId="77777777" w:rsidR="00D94935" w:rsidRDefault="00D94935" w:rsidP="003A681D">
            <w:pPr>
              <w:pStyle w:val="TableText"/>
              <w:spacing w:before="120" w:after="120"/>
            </w:pPr>
            <w:r>
              <w:t>section 543 (1)</w:t>
            </w:r>
          </w:p>
        </w:tc>
        <w:tc>
          <w:tcPr>
            <w:tcW w:w="1367" w:type="dxa"/>
          </w:tcPr>
          <w:p w14:paraId="3ADAF849" w14:textId="77777777" w:rsidR="00D94935" w:rsidRDefault="00D94935" w:rsidP="003A681D">
            <w:pPr>
              <w:pStyle w:val="TableText"/>
              <w:spacing w:before="120" w:after="120"/>
            </w:pPr>
          </w:p>
        </w:tc>
        <w:tc>
          <w:tcPr>
            <w:tcW w:w="3259" w:type="dxa"/>
          </w:tcPr>
          <w:p w14:paraId="7D73DB03" w14:textId="77777777" w:rsidR="00D94935" w:rsidRDefault="00D94935" w:rsidP="003A681D">
            <w:pPr>
              <w:pStyle w:val="TableText"/>
              <w:spacing w:before="120" w:after="120"/>
            </w:pPr>
            <w:r>
              <w:t xml:space="preserve">power to make order about the investment of surplus funds </w:t>
            </w:r>
          </w:p>
        </w:tc>
      </w:tr>
      <w:tr w:rsidR="00D94935" w14:paraId="5FEC33F6" w14:textId="77777777" w:rsidTr="003A681D">
        <w:trPr>
          <w:cantSplit/>
        </w:trPr>
        <w:tc>
          <w:tcPr>
            <w:tcW w:w="1134" w:type="dxa"/>
          </w:tcPr>
          <w:p w14:paraId="5B9EA9D2" w14:textId="77777777" w:rsidR="00D94935" w:rsidRDefault="00D94935" w:rsidP="003A681D">
            <w:pPr>
              <w:pStyle w:val="TableText"/>
              <w:spacing w:before="120" w:after="120"/>
            </w:pPr>
            <w:r>
              <w:t>99</w:t>
            </w:r>
          </w:p>
        </w:tc>
        <w:tc>
          <w:tcPr>
            <w:tcW w:w="2167" w:type="dxa"/>
          </w:tcPr>
          <w:p w14:paraId="70E5D386" w14:textId="77777777" w:rsidR="00D94935" w:rsidRDefault="00D94935" w:rsidP="003A681D">
            <w:pPr>
              <w:pStyle w:val="TableText"/>
              <w:spacing w:before="120" w:after="120"/>
            </w:pPr>
            <w:r>
              <w:t>section 544 (2)</w:t>
            </w:r>
          </w:p>
        </w:tc>
        <w:tc>
          <w:tcPr>
            <w:tcW w:w="1367" w:type="dxa"/>
          </w:tcPr>
          <w:p w14:paraId="3BF0ADA5" w14:textId="77777777" w:rsidR="00D94935" w:rsidRDefault="00D94935" w:rsidP="003A681D">
            <w:pPr>
              <w:pStyle w:val="TableText"/>
              <w:spacing w:before="120" w:after="120"/>
            </w:pPr>
          </w:p>
        </w:tc>
        <w:tc>
          <w:tcPr>
            <w:tcW w:w="3259" w:type="dxa"/>
          </w:tcPr>
          <w:p w14:paraId="1B42776C" w14:textId="77777777" w:rsidR="00D94935" w:rsidRDefault="00D94935" w:rsidP="003A681D">
            <w:pPr>
              <w:pStyle w:val="TableText"/>
              <w:spacing w:before="120" w:after="120"/>
            </w:pPr>
            <w:r>
              <w:t xml:space="preserve">power to order account of funds in hands of liquidator, audit or payment of money by liquidator </w:t>
            </w:r>
          </w:p>
        </w:tc>
      </w:tr>
      <w:tr w:rsidR="00D94935" w14:paraId="771CBDB5" w14:textId="77777777" w:rsidTr="003A681D">
        <w:trPr>
          <w:cantSplit/>
        </w:trPr>
        <w:tc>
          <w:tcPr>
            <w:tcW w:w="1134" w:type="dxa"/>
          </w:tcPr>
          <w:p w14:paraId="03925A62" w14:textId="77777777" w:rsidR="00D94935" w:rsidRDefault="00D94935" w:rsidP="003A681D">
            <w:pPr>
              <w:pStyle w:val="TableText"/>
              <w:spacing w:before="120" w:after="120"/>
            </w:pPr>
            <w:r>
              <w:t>100</w:t>
            </w:r>
          </w:p>
        </w:tc>
        <w:tc>
          <w:tcPr>
            <w:tcW w:w="2167" w:type="dxa"/>
          </w:tcPr>
          <w:p w14:paraId="20A2184D" w14:textId="77777777" w:rsidR="00D94935" w:rsidRDefault="00D94935" w:rsidP="003A681D">
            <w:pPr>
              <w:pStyle w:val="TableText"/>
              <w:spacing w:before="120" w:after="120"/>
            </w:pPr>
            <w:r>
              <w:t>section 545</w:t>
            </w:r>
          </w:p>
        </w:tc>
        <w:tc>
          <w:tcPr>
            <w:tcW w:w="1367" w:type="dxa"/>
          </w:tcPr>
          <w:p w14:paraId="058B0C61" w14:textId="77777777" w:rsidR="00D94935" w:rsidRDefault="00D94935" w:rsidP="003A681D">
            <w:pPr>
              <w:pStyle w:val="TableText"/>
              <w:spacing w:before="120" w:after="120"/>
            </w:pPr>
          </w:p>
        </w:tc>
        <w:tc>
          <w:tcPr>
            <w:tcW w:w="3259" w:type="dxa"/>
          </w:tcPr>
          <w:p w14:paraId="4266A6E0" w14:textId="77777777" w:rsidR="00D94935" w:rsidRDefault="00D94935" w:rsidP="003A681D">
            <w:pPr>
              <w:pStyle w:val="TableText"/>
              <w:spacing w:before="120" w:after="120"/>
            </w:pPr>
            <w:r>
              <w:t xml:space="preserve">power to direct liquidator to incur particular expense </w:t>
            </w:r>
          </w:p>
        </w:tc>
      </w:tr>
      <w:tr w:rsidR="00D94935" w14:paraId="13EA1FB8" w14:textId="77777777" w:rsidTr="003A681D">
        <w:trPr>
          <w:cantSplit/>
        </w:trPr>
        <w:tc>
          <w:tcPr>
            <w:tcW w:w="1134" w:type="dxa"/>
          </w:tcPr>
          <w:p w14:paraId="24A6BCE5" w14:textId="77777777" w:rsidR="00D94935" w:rsidRDefault="00D94935" w:rsidP="003A681D">
            <w:pPr>
              <w:pStyle w:val="TableText"/>
              <w:spacing w:before="120" w:after="120"/>
            </w:pPr>
            <w:r>
              <w:t>101</w:t>
            </w:r>
          </w:p>
        </w:tc>
        <w:tc>
          <w:tcPr>
            <w:tcW w:w="2167" w:type="dxa"/>
          </w:tcPr>
          <w:p w14:paraId="2BA965A6" w14:textId="77777777" w:rsidR="00D94935" w:rsidRDefault="00D94935" w:rsidP="003A681D">
            <w:pPr>
              <w:pStyle w:val="TableText"/>
              <w:spacing w:before="120" w:after="120"/>
            </w:pPr>
            <w:r>
              <w:t>section 551</w:t>
            </w:r>
          </w:p>
        </w:tc>
        <w:tc>
          <w:tcPr>
            <w:tcW w:w="1367" w:type="dxa"/>
          </w:tcPr>
          <w:p w14:paraId="1CAD5D96" w14:textId="77777777" w:rsidR="00D94935" w:rsidRDefault="00D94935" w:rsidP="003A681D">
            <w:pPr>
              <w:pStyle w:val="TableText"/>
              <w:spacing w:before="120" w:after="120"/>
            </w:pPr>
          </w:p>
        </w:tc>
        <w:tc>
          <w:tcPr>
            <w:tcW w:w="3259" w:type="dxa"/>
          </w:tcPr>
          <w:p w14:paraId="41EBF385" w14:textId="77777777" w:rsidR="00D94935" w:rsidRDefault="00D94935" w:rsidP="003A681D">
            <w:pPr>
              <w:pStyle w:val="TableText"/>
              <w:spacing w:before="120" w:after="120"/>
            </w:pPr>
            <w:r>
              <w:t>power to give leave for member of committee of inspection to accept extra benefit etc</w:t>
            </w:r>
          </w:p>
        </w:tc>
      </w:tr>
      <w:tr w:rsidR="00D94935" w14:paraId="25A51F5C" w14:textId="77777777" w:rsidTr="003A681D">
        <w:trPr>
          <w:cantSplit/>
        </w:trPr>
        <w:tc>
          <w:tcPr>
            <w:tcW w:w="1134" w:type="dxa"/>
          </w:tcPr>
          <w:p w14:paraId="17CF86A0" w14:textId="77777777" w:rsidR="00D94935" w:rsidRDefault="00D94935" w:rsidP="003A681D">
            <w:pPr>
              <w:pStyle w:val="TableText"/>
              <w:spacing w:before="120" w:after="120"/>
            </w:pPr>
            <w:r>
              <w:t>102</w:t>
            </w:r>
          </w:p>
        </w:tc>
        <w:tc>
          <w:tcPr>
            <w:tcW w:w="2167" w:type="dxa"/>
          </w:tcPr>
          <w:p w14:paraId="0F6C651F" w14:textId="77777777" w:rsidR="00D94935" w:rsidRDefault="00D94935" w:rsidP="003A681D">
            <w:pPr>
              <w:pStyle w:val="TableText"/>
              <w:spacing w:before="120" w:after="120"/>
            </w:pPr>
            <w:r>
              <w:t>section 552</w:t>
            </w:r>
          </w:p>
        </w:tc>
        <w:tc>
          <w:tcPr>
            <w:tcW w:w="1367" w:type="dxa"/>
          </w:tcPr>
          <w:p w14:paraId="4C700431" w14:textId="77777777" w:rsidR="00D94935" w:rsidRDefault="00D94935" w:rsidP="003A681D">
            <w:pPr>
              <w:pStyle w:val="TableText"/>
              <w:spacing w:before="120" w:after="120"/>
            </w:pPr>
          </w:p>
        </w:tc>
        <w:tc>
          <w:tcPr>
            <w:tcW w:w="3259" w:type="dxa"/>
          </w:tcPr>
          <w:p w14:paraId="005DB2E8" w14:textId="77777777" w:rsidR="00D94935" w:rsidRDefault="00D94935" w:rsidP="003A681D">
            <w:pPr>
              <w:pStyle w:val="TableText"/>
              <w:spacing w:before="120" w:after="120"/>
            </w:pPr>
            <w:r>
              <w:t xml:space="preserve">power to give direction or permission if no committee of inspection is appointed </w:t>
            </w:r>
          </w:p>
        </w:tc>
      </w:tr>
      <w:tr w:rsidR="00D94935" w14:paraId="1C567789" w14:textId="77777777" w:rsidTr="003A681D">
        <w:trPr>
          <w:cantSplit/>
        </w:trPr>
        <w:tc>
          <w:tcPr>
            <w:tcW w:w="1134" w:type="dxa"/>
          </w:tcPr>
          <w:p w14:paraId="4AB0E54A" w14:textId="77777777" w:rsidR="00D94935" w:rsidRDefault="00D94935" w:rsidP="003A681D">
            <w:pPr>
              <w:pStyle w:val="TableText"/>
              <w:spacing w:before="120" w:after="120"/>
            </w:pPr>
            <w:r>
              <w:lastRenderedPageBreak/>
              <w:t>103</w:t>
            </w:r>
          </w:p>
        </w:tc>
        <w:tc>
          <w:tcPr>
            <w:tcW w:w="2167" w:type="dxa"/>
          </w:tcPr>
          <w:p w14:paraId="7F591A13" w14:textId="77777777" w:rsidR="00D94935" w:rsidRDefault="00D94935" w:rsidP="003A681D">
            <w:pPr>
              <w:pStyle w:val="TableText"/>
              <w:spacing w:before="120" w:after="120"/>
            </w:pPr>
            <w:r>
              <w:t>section 554A</w:t>
            </w:r>
          </w:p>
        </w:tc>
        <w:tc>
          <w:tcPr>
            <w:tcW w:w="1367" w:type="dxa"/>
          </w:tcPr>
          <w:p w14:paraId="184A5513" w14:textId="77777777" w:rsidR="00D94935" w:rsidRDefault="00D94935" w:rsidP="003A681D">
            <w:pPr>
              <w:pStyle w:val="TableText"/>
              <w:spacing w:before="120" w:after="120"/>
            </w:pPr>
            <w:r>
              <w:t>14.1</w:t>
            </w:r>
          </w:p>
        </w:tc>
        <w:tc>
          <w:tcPr>
            <w:tcW w:w="3259" w:type="dxa"/>
          </w:tcPr>
          <w:p w14:paraId="76AE6B47" w14:textId="77777777" w:rsidR="00D94935" w:rsidRDefault="00D94935" w:rsidP="003A681D">
            <w:pPr>
              <w:pStyle w:val="TableText"/>
              <w:spacing w:before="120" w:after="120"/>
            </w:pPr>
            <w:r>
              <w:t>power to estimate or determine value of debts and claims of uncertain value in liquidation</w:t>
            </w:r>
          </w:p>
        </w:tc>
      </w:tr>
      <w:tr w:rsidR="00D94935" w14:paraId="321C3122" w14:textId="77777777" w:rsidTr="003A681D">
        <w:trPr>
          <w:cantSplit/>
        </w:trPr>
        <w:tc>
          <w:tcPr>
            <w:tcW w:w="1134" w:type="dxa"/>
          </w:tcPr>
          <w:p w14:paraId="3C34763F" w14:textId="77777777" w:rsidR="00D94935" w:rsidRDefault="00D94935" w:rsidP="003A681D">
            <w:pPr>
              <w:pStyle w:val="TableText"/>
              <w:spacing w:before="120" w:after="120"/>
            </w:pPr>
            <w:r>
              <w:t>104</w:t>
            </w:r>
          </w:p>
        </w:tc>
        <w:tc>
          <w:tcPr>
            <w:tcW w:w="2167" w:type="dxa"/>
          </w:tcPr>
          <w:p w14:paraId="43A9208F" w14:textId="77777777" w:rsidR="00D94935" w:rsidRDefault="00D94935" w:rsidP="003A681D">
            <w:pPr>
              <w:pStyle w:val="TableText"/>
              <w:spacing w:before="120" w:after="120"/>
            </w:pPr>
            <w:r>
              <w:t>section 554G</w:t>
            </w:r>
          </w:p>
        </w:tc>
        <w:tc>
          <w:tcPr>
            <w:tcW w:w="1367" w:type="dxa"/>
          </w:tcPr>
          <w:p w14:paraId="4A52E757" w14:textId="77777777" w:rsidR="00D94935" w:rsidRDefault="00D94935" w:rsidP="003A681D">
            <w:pPr>
              <w:pStyle w:val="TableText"/>
              <w:spacing w:before="120" w:after="120"/>
            </w:pPr>
          </w:p>
        </w:tc>
        <w:tc>
          <w:tcPr>
            <w:tcW w:w="3259" w:type="dxa"/>
          </w:tcPr>
          <w:p w14:paraId="6981C2D4" w14:textId="77777777" w:rsidR="00D94935" w:rsidRDefault="00D94935" w:rsidP="003A681D">
            <w:pPr>
              <w:pStyle w:val="TableText"/>
              <w:spacing w:before="120" w:after="120"/>
            </w:pPr>
            <w:r>
              <w:t xml:space="preserve">power to grant leave to secured creditor to amend valuation of security in proof of debt </w:t>
            </w:r>
          </w:p>
        </w:tc>
      </w:tr>
      <w:tr w:rsidR="00D94935" w14:paraId="732CE353" w14:textId="77777777" w:rsidTr="003A681D">
        <w:trPr>
          <w:cantSplit/>
        </w:trPr>
        <w:tc>
          <w:tcPr>
            <w:tcW w:w="1134" w:type="dxa"/>
          </w:tcPr>
          <w:p w14:paraId="7E95B153" w14:textId="77777777" w:rsidR="00D94935" w:rsidRDefault="00D94935" w:rsidP="003A681D">
            <w:pPr>
              <w:pStyle w:val="TableText"/>
              <w:spacing w:before="120" w:after="120"/>
            </w:pPr>
            <w:r>
              <w:t>105</w:t>
            </w:r>
          </w:p>
        </w:tc>
        <w:tc>
          <w:tcPr>
            <w:tcW w:w="2167" w:type="dxa"/>
          </w:tcPr>
          <w:p w14:paraId="4FC0C466" w14:textId="77777777" w:rsidR="00D94935" w:rsidRDefault="00D94935" w:rsidP="003A681D">
            <w:pPr>
              <w:pStyle w:val="TableText"/>
              <w:spacing w:before="120" w:after="120"/>
            </w:pPr>
            <w:r>
              <w:t>section 564</w:t>
            </w:r>
          </w:p>
        </w:tc>
        <w:tc>
          <w:tcPr>
            <w:tcW w:w="1367" w:type="dxa"/>
          </w:tcPr>
          <w:p w14:paraId="313B51A6" w14:textId="77777777" w:rsidR="00D94935" w:rsidRDefault="00D94935" w:rsidP="003A681D">
            <w:pPr>
              <w:pStyle w:val="TableText"/>
              <w:spacing w:before="120" w:after="120"/>
            </w:pPr>
          </w:p>
        </w:tc>
        <w:tc>
          <w:tcPr>
            <w:tcW w:w="3259" w:type="dxa"/>
          </w:tcPr>
          <w:p w14:paraId="4BB829EA" w14:textId="77777777" w:rsidR="00D94935" w:rsidRDefault="00D94935" w:rsidP="003A681D">
            <w:pPr>
              <w:pStyle w:val="TableText"/>
              <w:spacing w:before="120" w:after="120"/>
            </w:pPr>
            <w:r>
              <w:t xml:space="preserve">power to make order in favour of creditors who give company indemnity for costs of litigation </w:t>
            </w:r>
          </w:p>
        </w:tc>
      </w:tr>
      <w:tr w:rsidR="00D94935" w14:paraId="536E510E" w14:textId="77777777" w:rsidTr="003A681D">
        <w:trPr>
          <w:cantSplit/>
        </w:trPr>
        <w:tc>
          <w:tcPr>
            <w:tcW w:w="1134" w:type="dxa"/>
          </w:tcPr>
          <w:p w14:paraId="1C19E7E2" w14:textId="77777777" w:rsidR="00D94935" w:rsidRDefault="00D94935" w:rsidP="003A681D">
            <w:pPr>
              <w:pStyle w:val="TableText"/>
              <w:spacing w:before="120" w:after="120"/>
            </w:pPr>
            <w:r>
              <w:t>106</w:t>
            </w:r>
          </w:p>
        </w:tc>
        <w:tc>
          <w:tcPr>
            <w:tcW w:w="2167" w:type="dxa"/>
          </w:tcPr>
          <w:p w14:paraId="28E17EFA" w14:textId="77777777" w:rsidR="00D94935" w:rsidRDefault="00D94935" w:rsidP="003A681D">
            <w:pPr>
              <w:pStyle w:val="TableText"/>
              <w:spacing w:before="120" w:after="120"/>
            </w:pPr>
            <w:r>
              <w:t>sections 568, 568B, 568E and 568F</w:t>
            </w:r>
          </w:p>
        </w:tc>
        <w:tc>
          <w:tcPr>
            <w:tcW w:w="1367" w:type="dxa"/>
          </w:tcPr>
          <w:p w14:paraId="6DD1074C" w14:textId="77777777" w:rsidR="00D94935" w:rsidRDefault="00D94935" w:rsidP="003A681D">
            <w:pPr>
              <w:pStyle w:val="TableText"/>
              <w:spacing w:before="120" w:after="120"/>
            </w:pPr>
            <w:r>
              <w:t>10.2</w:t>
            </w:r>
          </w:p>
        </w:tc>
        <w:tc>
          <w:tcPr>
            <w:tcW w:w="3259" w:type="dxa"/>
          </w:tcPr>
          <w:p w14:paraId="0711DD95" w14:textId="77777777" w:rsidR="00D94935" w:rsidRDefault="00D94935" w:rsidP="003A681D">
            <w:pPr>
              <w:pStyle w:val="TableText"/>
              <w:spacing w:before="120" w:after="120"/>
            </w:pPr>
            <w:r>
              <w:t>power to make order in relation to disclaimer of onerous property</w:t>
            </w:r>
          </w:p>
        </w:tc>
      </w:tr>
      <w:tr w:rsidR="00D94935" w14:paraId="746DFA03" w14:textId="77777777" w:rsidTr="003A681D">
        <w:trPr>
          <w:cantSplit/>
        </w:trPr>
        <w:tc>
          <w:tcPr>
            <w:tcW w:w="1134" w:type="dxa"/>
          </w:tcPr>
          <w:p w14:paraId="4A285B34" w14:textId="77777777" w:rsidR="00D94935" w:rsidRDefault="00D94935" w:rsidP="003A681D">
            <w:pPr>
              <w:pStyle w:val="TableText"/>
              <w:spacing w:before="120" w:after="120"/>
            </w:pPr>
            <w:r>
              <w:t>107</w:t>
            </w:r>
          </w:p>
        </w:tc>
        <w:tc>
          <w:tcPr>
            <w:tcW w:w="2167" w:type="dxa"/>
          </w:tcPr>
          <w:p w14:paraId="093FC0EC" w14:textId="77777777" w:rsidR="00D94935" w:rsidRDefault="00D94935" w:rsidP="003A681D">
            <w:pPr>
              <w:pStyle w:val="TableText"/>
              <w:spacing w:before="120" w:after="120"/>
            </w:pPr>
            <w:r>
              <w:t>sections 583 and 585</w:t>
            </w:r>
          </w:p>
        </w:tc>
        <w:tc>
          <w:tcPr>
            <w:tcW w:w="1367" w:type="dxa"/>
          </w:tcPr>
          <w:p w14:paraId="6DD8C7D7" w14:textId="77777777" w:rsidR="00D94935" w:rsidRDefault="00D94935" w:rsidP="003A681D">
            <w:pPr>
              <w:pStyle w:val="TableText"/>
              <w:spacing w:before="120" w:after="120"/>
            </w:pPr>
            <w:r>
              <w:t>10.3</w:t>
            </w:r>
          </w:p>
        </w:tc>
        <w:tc>
          <w:tcPr>
            <w:tcW w:w="3259" w:type="dxa"/>
          </w:tcPr>
          <w:p w14:paraId="30778675" w14:textId="77777777" w:rsidR="00D94935" w:rsidRDefault="00D94935" w:rsidP="003A681D">
            <w:pPr>
              <w:pStyle w:val="TableText"/>
              <w:spacing w:before="120" w:after="120"/>
            </w:pPr>
            <w:r>
              <w:t>power in relation to winding up Part 5.7 bodies</w:t>
            </w:r>
          </w:p>
        </w:tc>
      </w:tr>
      <w:tr w:rsidR="00D94935" w14:paraId="2807D45B" w14:textId="77777777" w:rsidTr="003A681D">
        <w:trPr>
          <w:cantSplit/>
        </w:trPr>
        <w:tc>
          <w:tcPr>
            <w:tcW w:w="1134" w:type="dxa"/>
          </w:tcPr>
          <w:p w14:paraId="3A1D382E" w14:textId="77777777" w:rsidR="00D94935" w:rsidRDefault="00D94935" w:rsidP="003A681D">
            <w:pPr>
              <w:pStyle w:val="TableText"/>
              <w:spacing w:before="120" w:after="120"/>
            </w:pPr>
            <w:r>
              <w:t>108</w:t>
            </w:r>
          </w:p>
        </w:tc>
        <w:tc>
          <w:tcPr>
            <w:tcW w:w="2167" w:type="dxa"/>
          </w:tcPr>
          <w:p w14:paraId="0E01168E" w14:textId="77777777" w:rsidR="00D94935" w:rsidRDefault="00D94935" w:rsidP="003A681D">
            <w:pPr>
              <w:pStyle w:val="TableText"/>
              <w:spacing w:before="120" w:after="120"/>
            </w:pPr>
            <w:r>
              <w:t>sections 596A, 596B, 596F, 597, 597A and 597B</w:t>
            </w:r>
          </w:p>
        </w:tc>
        <w:tc>
          <w:tcPr>
            <w:tcW w:w="1367" w:type="dxa"/>
          </w:tcPr>
          <w:p w14:paraId="5ACAF0E5" w14:textId="77777777" w:rsidR="00D94935" w:rsidRDefault="00D94935" w:rsidP="003A681D">
            <w:pPr>
              <w:pStyle w:val="TableText"/>
              <w:spacing w:before="120" w:after="120"/>
            </w:pPr>
            <w:r>
              <w:t>11.3</w:t>
            </w:r>
            <w:r>
              <w:br/>
              <w:t>11.6</w:t>
            </w:r>
            <w:r>
              <w:br/>
              <w:t>11.7</w:t>
            </w:r>
            <w:r>
              <w:br/>
              <w:t>11.9</w:t>
            </w:r>
          </w:p>
        </w:tc>
        <w:tc>
          <w:tcPr>
            <w:tcW w:w="3259" w:type="dxa"/>
          </w:tcPr>
          <w:p w14:paraId="36885A95" w14:textId="77777777" w:rsidR="00D94935" w:rsidRDefault="00D94935" w:rsidP="003A681D">
            <w:pPr>
              <w:pStyle w:val="TableText"/>
              <w:spacing w:before="120" w:after="120"/>
            </w:pPr>
            <w:r>
              <w:t xml:space="preserve">power to make order in relation to examinations </w:t>
            </w:r>
          </w:p>
        </w:tc>
      </w:tr>
      <w:tr w:rsidR="00D94935" w14:paraId="11C5EB1A" w14:textId="77777777" w:rsidTr="003A681D">
        <w:trPr>
          <w:cantSplit/>
        </w:trPr>
        <w:tc>
          <w:tcPr>
            <w:tcW w:w="1134" w:type="dxa"/>
          </w:tcPr>
          <w:p w14:paraId="4F6A72CF" w14:textId="77777777" w:rsidR="00D94935" w:rsidRDefault="00D94935" w:rsidP="003A681D">
            <w:pPr>
              <w:pStyle w:val="TableText"/>
              <w:spacing w:before="120" w:after="120"/>
            </w:pPr>
            <w:r>
              <w:t>109</w:t>
            </w:r>
          </w:p>
        </w:tc>
        <w:tc>
          <w:tcPr>
            <w:tcW w:w="2167" w:type="dxa"/>
          </w:tcPr>
          <w:p w14:paraId="41C3618A" w14:textId="77777777" w:rsidR="00D94935" w:rsidRDefault="00D94935" w:rsidP="003A681D">
            <w:pPr>
              <w:pStyle w:val="TableText"/>
              <w:spacing w:before="120" w:after="120"/>
            </w:pPr>
            <w:r>
              <w:t>sections 600A to 600D</w:t>
            </w:r>
          </w:p>
        </w:tc>
        <w:tc>
          <w:tcPr>
            <w:tcW w:w="1367" w:type="dxa"/>
          </w:tcPr>
          <w:p w14:paraId="7F81CC03" w14:textId="77777777" w:rsidR="00D94935" w:rsidRDefault="00D94935" w:rsidP="003A681D">
            <w:pPr>
              <w:pStyle w:val="TableText"/>
              <w:spacing w:before="120" w:after="120"/>
            </w:pPr>
          </w:p>
        </w:tc>
        <w:tc>
          <w:tcPr>
            <w:tcW w:w="3259" w:type="dxa"/>
          </w:tcPr>
          <w:p w14:paraId="317C89F9" w14:textId="77777777" w:rsidR="00D94935" w:rsidRDefault="00D94935" w:rsidP="003A681D">
            <w:pPr>
              <w:pStyle w:val="TableText"/>
              <w:spacing w:before="120" w:after="120"/>
            </w:pPr>
            <w:r>
              <w:t xml:space="preserve">power to make order in relation to creditor’s resolutions </w:t>
            </w:r>
          </w:p>
        </w:tc>
      </w:tr>
      <w:tr w:rsidR="00D94935" w14:paraId="36E6157F" w14:textId="77777777" w:rsidTr="003A681D">
        <w:trPr>
          <w:cantSplit/>
        </w:trPr>
        <w:tc>
          <w:tcPr>
            <w:tcW w:w="1134" w:type="dxa"/>
          </w:tcPr>
          <w:p w14:paraId="70D90F85" w14:textId="77777777" w:rsidR="00D94935" w:rsidRDefault="00D94935" w:rsidP="003A681D">
            <w:pPr>
              <w:pStyle w:val="TableText"/>
              <w:spacing w:before="120" w:after="120"/>
            </w:pPr>
            <w:r>
              <w:t>110</w:t>
            </w:r>
          </w:p>
        </w:tc>
        <w:tc>
          <w:tcPr>
            <w:tcW w:w="2167" w:type="dxa"/>
          </w:tcPr>
          <w:p w14:paraId="523561AB" w14:textId="77777777" w:rsidR="00D94935" w:rsidRDefault="00D94935" w:rsidP="003A681D">
            <w:pPr>
              <w:pStyle w:val="TableText"/>
              <w:spacing w:before="120" w:after="120"/>
            </w:pPr>
            <w:r>
              <w:t>section 601AH (2)</w:t>
            </w:r>
          </w:p>
        </w:tc>
        <w:tc>
          <w:tcPr>
            <w:tcW w:w="1367" w:type="dxa"/>
          </w:tcPr>
          <w:p w14:paraId="64F0BCCD" w14:textId="77777777" w:rsidR="00D94935" w:rsidRDefault="00D94935" w:rsidP="003A681D">
            <w:pPr>
              <w:pStyle w:val="TableText"/>
              <w:spacing w:before="120" w:after="120"/>
            </w:pPr>
          </w:p>
        </w:tc>
        <w:tc>
          <w:tcPr>
            <w:tcW w:w="3259" w:type="dxa"/>
          </w:tcPr>
          <w:p w14:paraId="028802F5" w14:textId="77777777" w:rsidR="00D94935" w:rsidRDefault="00D94935" w:rsidP="003A681D">
            <w:pPr>
              <w:pStyle w:val="TableText"/>
              <w:spacing w:before="120" w:after="120"/>
            </w:pPr>
            <w:r>
              <w:t>power to order reinstatement of registration of company</w:t>
            </w:r>
          </w:p>
        </w:tc>
      </w:tr>
      <w:tr w:rsidR="00D94935" w14:paraId="3D806FEE" w14:textId="77777777" w:rsidTr="003A681D">
        <w:trPr>
          <w:cantSplit/>
        </w:trPr>
        <w:tc>
          <w:tcPr>
            <w:tcW w:w="1134" w:type="dxa"/>
          </w:tcPr>
          <w:p w14:paraId="33D36E39" w14:textId="77777777" w:rsidR="00D94935" w:rsidRDefault="00D94935" w:rsidP="003A681D">
            <w:pPr>
              <w:pStyle w:val="TableText"/>
              <w:spacing w:before="120" w:after="120"/>
            </w:pPr>
            <w:r>
              <w:lastRenderedPageBreak/>
              <w:t>111</w:t>
            </w:r>
          </w:p>
        </w:tc>
        <w:tc>
          <w:tcPr>
            <w:tcW w:w="2167" w:type="dxa"/>
          </w:tcPr>
          <w:p w14:paraId="51385D51" w14:textId="77777777" w:rsidR="00D94935" w:rsidRDefault="00D94935" w:rsidP="003A681D">
            <w:pPr>
              <w:pStyle w:val="TableText"/>
              <w:spacing w:before="120" w:after="120"/>
            </w:pPr>
            <w:r>
              <w:t>section 601AH (3)</w:t>
            </w:r>
          </w:p>
        </w:tc>
        <w:tc>
          <w:tcPr>
            <w:tcW w:w="1367" w:type="dxa"/>
          </w:tcPr>
          <w:p w14:paraId="7A60D9BE" w14:textId="77777777" w:rsidR="00D94935" w:rsidRDefault="00D94935" w:rsidP="003A681D">
            <w:pPr>
              <w:pStyle w:val="TableText"/>
              <w:spacing w:before="120" w:after="120"/>
            </w:pPr>
          </w:p>
        </w:tc>
        <w:tc>
          <w:tcPr>
            <w:tcW w:w="3259" w:type="dxa"/>
          </w:tcPr>
          <w:p w14:paraId="708E4EBF" w14:textId="77777777" w:rsidR="00D94935" w:rsidRDefault="00D94935" w:rsidP="003A681D">
            <w:pPr>
              <w:pStyle w:val="TableText"/>
            </w:pPr>
            <w:r>
              <w:t>power to—</w:t>
            </w:r>
          </w:p>
          <w:p w14:paraId="1E6FF7FD" w14:textId="77777777"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14:paraId="48896F77" w14:textId="77777777" w:rsidR="00D94935" w:rsidRDefault="00D94935" w:rsidP="003A681D">
            <w:pPr>
              <w:pStyle w:val="tablepara"/>
              <w:tabs>
                <w:tab w:val="clear" w:pos="1100"/>
                <w:tab w:val="left" w:pos="462"/>
              </w:tabs>
              <w:spacing w:after="0"/>
              <w:ind w:left="462" w:hanging="462"/>
            </w:pPr>
            <w:r>
              <w:t>(b)</w:t>
            </w:r>
            <w:r>
              <w:tab/>
              <w:t>make any other order the court considers appropriate</w:t>
            </w:r>
          </w:p>
          <w:p w14:paraId="5B85F7CE" w14:textId="77777777" w:rsidR="00D94935" w:rsidRDefault="00D94935" w:rsidP="003A681D">
            <w:pPr>
              <w:pStyle w:val="tablepara"/>
              <w:spacing w:before="0" w:after="0"/>
            </w:pPr>
          </w:p>
        </w:tc>
      </w:tr>
      <w:tr w:rsidR="00D94935" w14:paraId="0E497F25" w14:textId="77777777" w:rsidTr="003A681D">
        <w:trPr>
          <w:cantSplit/>
        </w:trPr>
        <w:tc>
          <w:tcPr>
            <w:tcW w:w="1134" w:type="dxa"/>
          </w:tcPr>
          <w:p w14:paraId="0352CBFD" w14:textId="77777777" w:rsidR="00D94935" w:rsidRDefault="00D94935" w:rsidP="003A681D">
            <w:pPr>
              <w:pStyle w:val="TableText"/>
              <w:spacing w:before="120" w:after="120"/>
            </w:pPr>
            <w:r>
              <w:t>112</w:t>
            </w:r>
          </w:p>
        </w:tc>
        <w:tc>
          <w:tcPr>
            <w:tcW w:w="2167" w:type="dxa"/>
          </w:tcPr>
          <w:p w14:paraId="1A686A2D" w14:textId="77777777" w:rsidR="00D94935" w:rsidRDefault="00D94935" w:rsidP="003A681D">
            <w:pPr>
              <w:pStyle w:val="TableText"/>
              <w:spacing w:before="120" w:after="120"/>
            </w:pPr>
            <w:r>
              <w:t>section 601BJ (2)</w:t>
            </w:r>
          </w:p>
        </w:tc>
        <w:tc>
          <w:tcPr>
            <w:tcW w:w="1367" w:type="dxa"/>
          </w:tcPr>
          <w:p w14:paraId="32BDFBD8" w14:textId="77777777" w:rsidR="00D94935" w:rsidRDefault="00D94935" w:rsidP="003A681D">
            <w:pPr>
              <w:pStyle w:val="TableText"/>
              <w:spacing w:before="120" w:after="120"/>
            </w:pPr>
          </w:p>
        </w:tc>
        <w:tc>
          <w:tcPr>
            <w:tcW w:w="3259" w:type="dxa"/>
          </w:tcPr>
          <w:p w14:paraId="3D73607D" w14:textId="77777777" w:rsidR="00D94935" w:rsidRDefault="00D94935" w:rsidP="003A681D">
            <w:pPr>
              <w:pStyle w:val="TableText"/>
              <w:spacing w:before="120" w:after="120"/>
            </w:pPr>
            <w:r>
              <w:t xml:space="preserve">power to approve modification in constituent documents of registered company </w:t>
            </w:r>
          </w:p>
        </w:tc>
      </w:tr>
      <w:tr w:rsidR="00D94935" w14:paraId="4FB300E7" w14:textId="77777777" w:rsidTr="003A681D">
        <w:trPr>
          <w:cantSplit/>
        </w:trPr>
        <w:tc>
          <w:tcPr>
            <w:tcW w:w="1134" w:type="dxa"/>
          </w:tcPr>
          <w:p w14:paraId="349F58DA" w14:textId="77777777" w:rsidR="00D94935" w:rsidRDefault="00D94935" w:rsidP="003A681D">
            <w:pPr>
              <w:pStyle w:val="TableText"/>
              <w:spacing w:before="120" w:after="120"/>
            </w:pPr>
            <w:r>
              <w:t>113</w:t>
            </w:r>
          </w:p>
        </w:tc>
        <w:tc>
          <w:tcPr>
            <w:tcW w:w="2167" w:type="dxa"/>
          </w:tcPr>
          <w:p w14:paraId="602075B1" w14:textId="77777777" w:rsidR="00D94935" w:rsidRDefault="00D94935" w:rsidP="003A681D">
            <w:pPr>
              <w:pStyle w:val="TableText"/>
              <w:spacing w:before="120" w:after="120"/>
            </w:pPr>
            <w:r>
              <w:t>section 601CC (9)</w:t>
            </w:r>
          </w:p>
        </w:tc>
        <w:tc>
          <w:tcPr>
            <w:tcW w:w="1367" w:type="dxa"/>
          </w:tcPr>
          <w:p w14:paraId="584FE09D" w14:textId="77777777" w:rsidR="00D94935" w:rsidRDefault="00D94935" w:rsidP="003A681D">
            <w:pPr>
              <w:pStyle w:val="TableText"/>
              <w:spacing w:before="120" w:after="120"/>
            </w:pPr>
          </w:p>
        </w:tc>
        <w:tc>
          <w:tcPr>
            <w:tcW w:w="3259" w:type="dxa"/>
          </w:tcPr>
          <w:p w14:paraId="0B68D4A9" w14:textId="77777777" w:rsidR="00D94935" w:rsidRDefault="00D94935" w:rsidP="003A681D">
            <w:pPr>
              <w:pStyle w:val="TableText"/>
              <w:spacing w:before="120" w:after="120"/>
            </w:pPr>
            <w:r>
              <w:t xml:space="preserve">power to order restoration of name of registered Australian body to the Register </w:t>
            </w:r>
          </w:p>
        </w:tc>
      </w:tr>
      <w:tr w:rsidR="00D94935" w14:paraId="078A070D" w14:textId="77777777" w:rsidTr="003A681D">
        <w:trPr>
          <w:cantSplit/>
        </w:trPr>
        <w:tc>
          <w:tcPr>
            <w:tcW w:w="1134" w:type="dxa"/>
          </w:tcPr>
          <w:p w14:paraId="21368FE3" w14:textId="77777777" w:rsidR="00D94935" w:rsidRDefault="00D94935" w:rsidP="003A681D">
            <w:pPr>
              <w:pStyle w:val="TableText"/>
              <w:spacing w:before="120" w:after="120"/>
            </w:pPr>
            <w:r>
              <w:t>114</w:t>
            </w:r>
          </w:p>
        </w:tc>
        <w:tc>
          <w:tcPr>
            <w:tcW w:w="2167" w:type="dxa"/>
          </w:tcPr>
          <w:p w14:paraId="453AB581" w14:textId="77777777" w:rsidR="00D94935" w:rsidRDefault="00D94935" w:rsidP="003A681D">
            <w:pPr>
              <w:pStyle w:val="TableText"/>
              <w:spacing w:before="120" w:after="120"/>
            </w:pPr>
            <w:r>
              <w:t>section 601CL (10)</w:t>
            </w:r>
          </w:p>
        </w:tc>
        <w:tc>
          <w:tcPr>
            <w:tcW w:w="1367" w:type="dxa"/>
          </w:tcPr>
          <w:p w14:paraId="7851FEFC" w14:textId="77777777" w:rsidR="00D94935" w:rsidRDefault="00D94935" w:rsidP="003A681D">
            <w:pPr>
              <w:pStyle w:val="TableText"/>
              <w:spacing w:before="120" w:after="120"/>
            </w:pPr>
          </w:p>
        </w:tc>
        <w:tc>
          <w:tcPr>
            <w:tcW w:w="3259" w:type="dxa"/>
          </w:tcPr>
          <w:p w14:paraId="7CB003AD" w14:textId="77777777" w:rsidR="00D94935" w:rsidRDefault="00D94935" w:rsidP="003A681D">
            <w:pPr>
              <w:pStyle w:val="TableText"/>
              <w:spacing w:before="120" w:after="120"/>
            </w:pPr>
            <w:r>
              <w:t>power to order restoration of name of registered foreign company to the Register</w:t>
            </w:r>
          </w:p>
        </w:tc>
      </w:tr>
      <w:tr w:rsidR="00D94935" w14:paraId="178C8CAB" w14:textId="77777777" w:rsidTr="003A681D">
        <w:trPr>
          <w:cantSplit/>
        </w:trPr>
        <w:tc>
          <w:tcPr>
            <w:tcW w:w="1134" w:type="dxa"/>
          </w:tcPr>
          <w:p w14:paraId="553D334C" w14:textId="77777777" w:rsidR="00D94935" w:rsidRDefault="00D94935" w:rsidP="003A681D">
            <w:pPr>
              <w:pStyle w:val="TableText"/>
              <w:spacing w:before="120" w:after="120"/>
            </w:pPr>
            <w:r>
              <w:t>115</w:t>
            </w:r>
          </w:p>
        </w:tc>
        <w:tc>
          <w:tcPr>
            <w:tcW w:w="2167" w:type="dxa"/>
          </w:tcPr>
          <w:p w14:paraId="27E5BF94" w14:textId="77777777" w:rsidR="00D94935" w:rsidRDefault="00D94935" w:rsidP="003A681D">
            <w:pPr>
              <w:pStyle w:val="TableText"/>
              <w:spacing w:before="120" w:after="120"/>
            </w:pPr>
            <w:r>
              <w:t>section 1071D (4)</w:t>
            </w:r>
          </w:p>
        </w:tc>
        <w:tc>
          <w:tcPr>
            <w:tcW w:w="1367" w:type="dxa"/>
          </w:tcPr>
          <w:p w14:paraId="33F369DB" w14:textId="77777777" w:rsidR="00D94935" w:rsidRDefault="00D94935" w:rsidP="003A681D">
            <w:pPr>
              <w:pStyle w:val="TableText"/>
              <w:spacing w:before="120" w:after="120"/>
            </w:pPr>
            <w:r>
              <w:t>12.2</w:t>
            </w:r>
          </w:p>
        </w:tc>
        <w:tc>
          <w:tcPr>
            <w:tcW w:w="3259" w:type="dxa"/>
          </w:tcPr>
          <w:p w14:paraId="1C30CF47" w14:textId="77777777" w:rsidR="00D94935" w:rsidRDefault="00D94935" w:rsidP="003A681D">
            <w:pPr>
              <w:pStyle w:val="TableText"/>
              <w:spacing w:before="120" w:after="120"/>
            </w:pPr>
            <w:r>
              <w:t>power to make order in relation to a person summoned</w:t>
            </w:r>
          </w:p>
        </w:tc>
      </w:tr>
      <w:tr w:rsidR="00D94935" w14:paraId="6CB0FFE3" w14:textId="77777777" w:rsidTr="003A681D">
        <w:trPr>
          <w:cantSplit/>
        </w:trPr>
        <w:tc>
          <w:tcPr>
            <w:tcW w:w="1134" w:type="dxa"/>
          </w:tcPr>
          <w:p w14:paraId="05FD469B" w14:textId="77777777" w:rsidR="00D94935" w:rsidRDefault="00D94935" w:rsidP="003A681D">
            <w:pPr>
              <w:pStyle w:val="TableText"/>
              <w:spacing w:before="120" w:after="120"/>
            </w:pPr>
            <w:r>
              <w:t>116</w:t>
            </w:r>
          </w:p>
        </w:tc>
        <w:tc>
          <w:tcPr>
            <w:tcW w:w="2167" w:type="dxa"/>
          </w:tcPr>
          <w:p w14:paraId="608A4A8D" w14:textId="77777777" w:rsidR="00D94935" w:rsidRDefault="00D94935" w:rsidP="003A681D">
            <w:pPr>
              <w:pStyle w:val="TableText"/>
              <w:spacing w:before="120" w:after="120"/>
            </w:pPr>
            <w:r>
              <w:t>section 1071F</w:t>
            </w:r>
          </w:p>
        </w:tc>
        <w:tc>
          <w:tcPr>
            <w:tcW w:w="1367" w:type="dxa"/>
          </w:tcPr>
          <w:p w14:paraId="345ADD70" w14:textId="77777777" w:rsidR="00D94935" w:rsidRDefault="00D94935" w:rsidP="003A681D">
            <w:pPr>
              <w:pStyle w:val="TableText"/>
              <w:spacing w:before="120" w:after="120"/>
            </w:pPr>
          </w:p>
        </w:tc>
        <w:tc>
          <w:tcPr>
            <w:tcW w:w="3259" w:type="dxa"/>
          </w:tcPr>
          <w:p w14:paraId="1CEDDFD7" w14:textId="77777777" w:rsidR="00D94935" w:rsidRDefault="00D94935" w:rsidP="003A681D">
            <w:pPr>
              <w:pStyle w:val="TableText"/>
              <w:spacing w:before="120" w:after="120"/>
            </w:pPr>
            <w:r>
              <w:t>power to make an order in relation to a company’s refusal to register a share transfer</w:t>
            </w:r>
          </w:p>
        </w:tc>
      </w:tr>
      <w:tr w:rsidR="00D94935" w14:paraId="4236F089" w14:textId="77777777" w:rsidTr="003A681D">
        <w:trPr>
          <w:cantSplit/>
        </w:trPr>
        <w:tc>
          <w:tcPr>
            <w:tcW w:w="1134" w:type="dxa"/>
          </w:tcPr>
          <w:p w14:paraId="5D559DED" w14:textId="77777777" w:rsidR="00D94935" w:rsidRDefault="00D94935" w:rsidP="003A681D">
            <w:pPr>
              <w:pStyle w:val="TableText"/>
              <w:spacing w:before="120" w:after="120"/>
            </w:pPr>
            <w:r>
              <w:t>117</w:t>
            </w:r>
          </w:p>
        </w:tc>
        <w:tc>
          <w:tcPr>
            <w:tcW w:w="2167" w:type="dxa"/>
          </w:tcPr>
          <w:p w14:paraId="38986DAE" w14:textId="77777777" w:rsidR="00D94935" w:rsidRDefault="00D94935" w:rsidP="003A681D">
            <w:pPr>
              <w:pStyle w:val="TableText"/>
              <w:spacing w:before="120" w:after="120"/>
            </w:pPr>
            <w:r>
              <w:t>section 1071H (6)</w:t>
            </w:r>
          </w:p>
        </w:tc>
        <w:tc>
          <w:tcPr>
            <w:tcW w:w="1367" w:type="dxa"/>
          </w:tcPr>
          <w:p w14:paraId="4AB48B38" w14:textId="77777777" w:rsidR="00D94935" w:rsidRDefault="00D94935" w:rsidP="003A681D">
            <w:pPr>
              <w:pStyle w:val="TableText"/>
              <w:spacing w:before="120" w:after="120"/>
            </w:pPr>
          </w:p>
        </w:tc>
        <w:tc>
          <w:tcPr>
            <w:tcW w:w="3259" w:type="dxa"/>
          </w:tcPr>
          <w:p w14:paraId="0B4DC979" w14:textId="77777777" w:rsidR="00D94935" w:rsidRDefault="00D94935" w:rsidP="003A681D">
            <w:pPr>
              <w:pStyle w:val="TableText"/>
              <w:spacing w:before="120" w:after="120"/>
            </w:pPr>
            <w:r>
              <w:t>power to make an order to remedy default in issuing certificate etc</w:t>
            </w:r>
          </w:p>
        </w:tc>
      </w:tr>
      <w:tr w:rsidR="00D94935" w14:paraId="06D6CB2C" w14:textId="77777777" w:rsidTr="003A681D">
        <w:trPr>
          <w:cantSplit/>
        </w:trPr>
        <w:tc>
          <w:tcPr>
            <w:tcW w:w="1134" w:type="dxa"/>
          </w:tcPr>
          <w:p w14:paraId="50B69FD8" w14:textId="77777777" w:rsidR="00D94935" w:rsidRDefault="00D94935" w:rsidP="003A681D">
            <w:pPr>
              <w:pStyle w:val="TableText"/>
              <w:spacing w:before="120" w:after="120"/>
            </w:pPr>
            <w:r>
              <w:lastRenderedPageBreak/>
              <w:t>118</w:t>
            </w:r>
          </w:p>
        </w:tc>
        <w:tc>
          <w:tcPr>
            <w:tcW w:w="2167" w:type="dxa"/>
          </w:tcPr>
          <w:p w14:paraId="091F06C7" w14:textId="77777777" w:rsidR="00D94935" w:rsidRDefault="00D94935" w:rsidP="003A681D">
            <w:pPr>
              <w:pStyle w:val="TableText"/>
              <w:spacing w:before="120" w:after="120"/>
            </w:pPr>
            <w:r>
              <w:t>section 1274</w:t>
            </w:r>
          </w:p>
        </w:tc>
        <w:tc>
          <w:tcPr>
            <w:tcW w:w="1367" w:type="dxa"/>
          </w:tcPr>
          <w:p w14:paraId="0653A397" w14:textId="77777777" w:rsidR="00D94935" w:rsidRDefault="00D94935" w:rsidP="003A681D">
            <w:pPr>
              <w:pStyle w:val="TableText"/>
              <w:spacing w:before="120" w:after="120"/>
            </w:pPr>
          </w:p>
        </w:tc>
        <w:tc>
          <w:tcPr>
            <w:tcW w:w="3259" w:type="dxa"/>
          </w:tcPr>
          <w:p w14:paraId="51B77A2C" w14:textId="77777777" w:rsidR="00D94935" w:rsidRDefault="00D94935" w:rsidP="003A681D">
            <w:pPr>
              <w:pStyle w:val="TableText"/>
              <w:spacing w:before="120" w:after="120"/>
            </w:pPr>
            <w:r>
              <w:t>power to make order if failure to give, amend etc document</w:t>
            </w:r>
          </w:p>
        </w:tc>
      </w:tr>
      <w:tr w:rsidR="00D94935" w14:paraId="3BD43A11" w14:textId="77777777" w:rsidTr="003A681D">
        <w:trPr>
          <w:cantSplit/>
        </w:trPr>
        <w:tc>
          <w:tcPr>
            <w:tcW w:w="1134" w:type="dxa"/>
          </w:tcPr>
          <w:p w14:paraId="793CFAA6" w14:textId="77777777" w:rsidR="00D94935" w:rsidRDefault="00D94935" w:rsidP="003A681D">
            <w:pPr>
              <w:pStyle w:val="TableText"/>
              <w:spacing w:before="120" w:after="120"/>
            </w:pPr>
            <w:r>
              <w:t>119</w:t>
            </w:r>
          </w:p>
        </w:tc>
        <w:tc>
          <w:tcPr>
            <w:tcW w:w="2167" w:type="dxa"/>
          </w:tcPr>
          <w:p w14:paraId="33689DD4" w14:textId="77777777" w:rsidR="00D94935" w:rsidRDefault="00D94935" w:rsidP="003A681D">
            <w:pPr>
              <w:pStyle w:val="TableText"/>
              <w:spacing w:before="120" w:after="120"/>
            </w:pPr>
            <w:r>
              <w:t>section 1303</w:t>
            </w:r>
          </w:p>
        </w:tc>
        <w:tc>
          <w:tcPr>
            <w:tcW w:w="1367" w:type="dxa"/>
          </w:tcPr>
          <w:p w14:paraId="4F7B9AAB" w14:textId="77777777" w:rsidR="00D94935" w:rsidRDefault="00D94935" w:rsidP="003A681D">
            <w:pPr>
              <w:pStyle w:val="TableText"/>
              <w:spacing w:before="120" w:after="120"/>
            </w:pPr>
          </w:p>
        </w:tc>
        <w:tc>
          <w:tcPr>
            <w:tcW w:w="3259" w:type="dxa"/>
          </w:tcPr>
          <w:p w14:paraId="53E964FE" w14:textId="77777777" w:rsidR="00D94935" w:rsidRDefault="00D94935" w:rsidP="003A681D">
            <w:pPr>
              <w:pStyle w:val="TableText"/>
              <w:spacing w:before="120" w:after="120"/>
            </w:pPr>
            <w:r>
              <w:t xml:space="preserve">power to order that books be available for inspection </w:t>
            </w:r>
          </w:p>
        </w:tc>
      </w:tr>
      <w:tr w:rsidR="00D94935" w14:paraId="6D9AA4E7" w14:textId="77777777" w:rsidTr="003A681D">
        <w:trPr>
          <w:cantSplit/>
        </w:trPr>
        <w:tc>
          <w:tcPr>
            <w:tcW w:w="1134" w:type="dxa"/>
          </w:tcPr>
          <w:p w14:paraId="57C47731" w14:textId="77777777" w:rsidR="00D94935" w:rsidRDefault="00D94935" w:rsidP="003A681D">
            <w:pPr>
              <w:pStyle w:val="TableText"/>
              <w:spacing w:before="120" w:after="120"/>
            </w:pPr>
            <w:r>
              <w:t>120</w:t>
            </w:r>
          </w:p>
        </w:tc>
        <w:tc>
          <w:tcPr>
            <w:tcW w:w="2167" w:type="dxa"/>
          </w:tcPr>
          <w:p w14:paraId="271D648D" w14:textId="77777777" w:rsidR="00D94935" w:rsidRDefault="00D94935" w:rsidP="003A681D">
            <w:pPr>
              <w:pStyle w:val="TableText"/>
              <w:spacing w:before="120" w:after="120"/>
            </w:pPr>
            <w:r>
              <w:t>section 1319</w:t>
            </w:r>
          </w:p>
        </w:tc>
        <w:tc>
          <w:tcPr>
            <w:tcW w:w="1367" w:type="dxa"/>
          </w:tcPr>
          <w:p w14:paraId="2DA72F38" w14:textId="77777777" w:rsidR="00D94935" w:rsidRDefault="00D94935" w:rsidP="003A681D">
            <w:pPr>
              <w:pStyle w:val="TableText"/>
              <w:spacing w:before="120" w:after="120"/>
            </w:pPr>
          </w:p>
        </w:tc>
        <w:tc>
          <w:tcPr>
            <w:tcW w:w="3259" w:type="dxa"/>
          </w:tcPr>
          <w:p w14:paraId="01CB4174" w14:textId="77777777" w:rsidR="00D94935" w:rsidRDefault="00D94935" w:rsidP="003A681D">
            <w:pPr>
              <w:pStyle w:val="TableText"/>
              <w:spacing w:before="120" w:after="120"/>
            </w:pPr>
            <w:r>
              <w:t xml:space="preserve">power to give directions in relation to meetings </w:t>
            </w:r>
          </w:p>
        </w:tc>
      </w:tr>
      <w:tr w:rsidR="00D94935" w14:paraId="298DB3A7" w14:textId="77777777" w:rsidTr="003A681D">
        <w:trPr>
          <w:cantSplit/>
        </w:trPr>
        <w:tc>
          <w:tcPr>
            <w:tcW w:w="1134" w:type="dxa"/>
          </w:tcPr>
          <w:p w14:paraId="60B520BD" w14:textId="77777777" w:rsidR="00D94935" w:rsidRDefault="00D94935" w:rsidP="003A681D">
            <w:pPr>
              <w:pStyle w:val="TableText"/>
              <w:spacing w:before="120" w:after="120"/>
            </w:pPr>
            <w:r>
              <w:t>121</w:t>
            </w:r>
          </w:p>
        </w:tc>
        <w:tc>
          <w:tcPr>
            <w:tcW w:w="2167" w:type="dxa"/>
          </w:tcPr>
          <w:p w14:paraId="1FB5D5F1" w14:textId="77777777" w:rsidR="00D94935" w:rsidRDefault="00D94935" w:rsidP="003A681D">
            <w:pPr>
              <w:pStyle w:val="TableText"/>
              <w:spacing w:before="120" w:after="120"/>
            </w:pPr>
            <w:r>
              <w:t>section 1321</w:t>
            </w:r>
          </w:p>
        </w:tc>
        <w:tc>
          <w:tcPr>
            <w:tcW w:w="1367" w:type="dxa"/>
          </w:tcPr>
          <w:p w14:paraId="1DDD4BE1" w14:textId="77777777" w:rsidR="00D94935" w:rsidRDefault="00D94935" w:rsidP="003A681D">
            <w:pPr>
              <w:pStyle w:val="TableText"/>
              <w:spacing w:before="120" w:after="120"/>
            </w:pPr>
            <w:r>
              <w:t>14.1</w:t>
            </w:r>
          </w:p>
        </w:tc>
        <w:tc>
          <w:tcPr>
            <w:tcW w:w="3259" w:type="dxa"/>
          </w:tcPr>
          <w:p w14:paraId="4DB4BB99" w14:textId="77777777" w:rsidR="00D94935" w:rsidRDefault="00D94935" w:rsidP="003A681D">
            <w:pPr>
              <w:pStyle w:val="TableText"/>
              <w:spacing w:before="120" w:after="120"/>
            </w:pPr>
            <w:r>
              <w:t>power to make order in appeal from decision of administrator, receiver or liquidator</w:t>
            </w:r>
          </w:p>
        </w:tc>
      </w:tr>
      <w:tr w:rsidR="00D94935" w14:paraId="5A257B73" w14:textId="77777777" w:rsidTr="003A681D">
        <w:trPr>
          <w:cantSplit/>
        </w:trPr>
        <w:tc>
          <w:tcPr>
            <w:tcW w:w="1134" w:type="dxa"/>
          </w:tcPr>
          <w:p w14:paraId="3C31C3B1" w14:textId="77777777" w:rsidR="00D94935" w:rsidRDefault="00D94935" w:rsidP="003A681D">
            <w:pPr>
              <w:pStyle w:val="TableText"/>
              <w:spacing w:before="120" w:after="120"/>
            </w:pPr>
            <w:r>
              <w:t>122</w:t>
            </w:r>
          </w:p>
        </w:tc>
        <w:tc>
          <w:tcPr>
            <w:tcW w:w="2167" w:type="dxa"/>
          </w:tcPr>
          <w:p w14:paraId="5C2D35B7" w14:textId="77777777" w:rsidR="00D94935" w:rsidRDefault="00D94935" w:rsidP="003A681D">
            <w:pPr>
              <w:pStyle w:val="TableText"/>
              <w:spacing w:before="120" w:after="120"/>
            </w:pPr>
            <w:r>
              <w:t>section 1322</w:t>
            </w:r>
          </w:p>
        </w:tc>
        <w:tc>
          <w:tcPr>
            <w:tcW w:w="1367" w:type="dxa"/>
          </w:tcPr>
          <w:p w14:paraId="4D729435" w14:textId="77777777" w:rsidR="00D94935" w:rsidRDefault="00D94935" w:rsidP="003A681D">
            <w:pPr>
              <w:pStyle w:val="TableText"/>
              <w:spacing w:before="120" w:after="120"/>
            </w:pPr>
          </w:p>
        </w:tc>
        <w:tc>
          <w:tcPr>
            <w:tcW w:w="3259" w:type="dxa"/>
          </w:tcPr>
          <w:p w14:paraId="3FAC9038" w14:textId="77777777" w:rsidR="00D94935" w:rsidRDefault="00D94935" w:rsidP="003A681D">
            <w:pPr>
              <w:pStyle w:val="TableText"/>
              <w:spacing w:before="120" w:after="120"/>
            </w:pPr>
            <w:r>
              <w:t xml:space="preserve">power to make order in relation to irregularities </w:t>
            </w:r>
          </w:p>
        </w:tc>
      </w:tr>
      <w:tr w:rsidR="00D94935" w14:paraId="33E62DCC" w14:textId="77777777" w:rsidTr="003A681D">
        <w:trPr>
          <w:cantSplit/>
        </w:trPr>
        <w:tc>
          <w:tcPr>
            <w:tcW w:w="1134" w:type="dxa"/>
          </w:tcPr>
          <w:p w14:paraId="6AFDD313" w14:textId="77777777" w:rsidR="00D94935" w:rsidRDefault="00D94935" w:rsidP="003A681D">
            <w:pPr>
              <w:pStyle w:val="TableText"/>
              <w:spacing w:before="120" w:after="120"/>
            </w:pPr>
            <w:r>
              <w:t>123</w:t>
            </w:r>
          </w:p>
        </w:tc>
        <w:tc>
          <w:tcPr>
            <w:tcW w:w="2167" w:type="dxa"/>
          </w:tcPr>
          <w:p w14:paraId="26977A1D" w14:textId="77777777" w:rsidR="00D94935" w:rsidRDefault="00D94935" w:rsidP="003A681D">
            <w:pPr>
              <w:pStyle w:val="TableText"/>
              <w:spacing w:before="120" w:after="120"/>
            </w:pPr>
            <w:r>
              <w:t>section 1325D</w:t>
            </w:r>
          </w:p>
        </w:tc>
        <w:tc>
          <w:tcPr>
            <w:tcW w:w="1367" w:type="dxa"/>
          </w:tcPr>
          <w:p w14:paraId="1C3467E7" w14:textId="77777777" w:rsidR="00D94935" w:rsidRDefault="00D94935" w:rsidP="003A681D">
            <w:pPr>
              <w:pStyle w:val="TableText"/>
              <w:spacing w:before="120" w:after="120"/>
            </w:pPr>
          </w:p>
        </w:tc>
        <w:tc>
          <w:tcPr>
            <w:tcW w:w="3259" w:type="dxa"/>
          </w:tcPr>
          <w:p w14:paraId="2182D9B1" w14:textId="77777777" w:rsidR="00D94935" w:rsidRDefault="00D94935" w:rsidP="003A681D">
            <w:pPr>
              <w:pStyle w:val="TableText"/>
              <w:spacing w:before="120" w:after="120"/>
            </w:pPr>
            <w:r>
              <w:t>power to make order where contravention of a provision of chapter 6 due to inadvertence</w:t>
            </w:r>
          </w:p>
        </w:tc>
      </w:tr>
      <w:tr w:rsidR="00D94935" w14:paraId="03D3FA95" w14:textId="77777777" w:rsidTr="003A681D">
        <w:trPr>
          <w:cantSplit/>
        </w:trPr>
        <w:tc>
          <w:tcPr>
            <w:tcW w:w="1134" w:type="dxa"/>
          </w:tcPr>
          <w:p w14:paraId="2077C46D" w14:textId="77777777" w:rsidR="00D94935" w:rsidRDefault="00D94935" w:rsidP="003A681D">
            <w:pPr>
              <w:pStyle w:val="TableText"/>
              <w:spacing w:before="120" w:after="120"/>
            </w:pPr>
            <w:r>
              <w:t>124</w:t>
            </w:r>
          </w:p>
        </w:tc>
        <w:tc>
          <w:tcPr>
            <w:tcW w:w="2167" w:type="dxa"/>
          </w:tcPr>
          <w:p w14:paraId="2DB750DB" w14:textId="77777777" w:rsidR="00D94935" w:rsidRDefault="00D94935" w:rsidP="003A681D">
            <w:pPr>
              <w:pStyle w:val="TableText"/>
              <w:spacing w:before="120" w:after="120"/>
            </w:pPr>
            <w:r>
              <w:t>section 1335</w:t>
            </w:r>
          </w:p>
        </w:tc>
        <w:tc>
          <w:tcPr>
            <w:tcW w:w="1367" w:type="dxa"/>
          </w:tcPr>
          <w:p w14:paraId="6CA5B16E" w14:textId="77777777" w:rsidR="00D94935" w:rsidRDefault="00D94935" w:rsidP="003A681D">
            <w:pPr>
              <w:pStyle w:val="TableText"/>
              <w:spacing w:before="120" w:after="120"/>
            </w:pPr>
          </w:p>
        </w:tc>
        <w:tc>
          <w:tcPr>
            <w:tcW w:w="3259" w:type="dxa"/>
          </w:tcPr>
          <w:p w14:paraId="2B94BAEE" w14:textId="77777777" w:rsidR="00D94935" w:rsidRDefault="00D94935" w:rsidP="003A681D">
            <w:pPr>
              <w:pStyle w:val="TableText"/>
              <w:spacing w:before="120" w:after="120"/>
            </w:pPr>
            <w:r>
              <w:t>power to make order about costs</w:t>
            </w:r>
          </w:p>
        </w:tc>
      </w:tr>
    </w:tbl>
    <w:p w14:paraId="7640C97E" w14:textId="77777777" w:rsidR="00D94935" w:rsidRDefault="00D94935" w:rsidP="00D94935"/>
    <w:p w14:paraId="2E7EDCC9" w14:textId="77777777" w:rsidR="00D94935" w:rsidRDefault="00D94935" w:rsidP="00D94935">
      <w:pPr>
        <w:pStyle w:val="PageBreak"/>
      </w:pPr>
      <w:r>
        <w:br w:type="page"/>
      </w:r>
    </w:p>
    <w:p w14:paraId="53E8E828" w14:textId="77777777" w:rsidR="00D94935" w:rsidRPr="00C8328B" w:rsidRDefault="00D94935" w:rsidP="00D94935">
      <w:pPr>
        <w:pStyle w:val="Sched-Part"/>
      </w:pPr>
      <w:bookmarkStart w:id="1945" w:name="_Toc185515561"/>
      <w:r w:rsidRPr="00C8328B">
        <w:rPr>
          <w:rStyle w:val="CharPartNo"/>
        </w:rPr>
        <w:lastRenderedPageBreak/>
        <w:t>Part 5.3</w:t>
      </w:r>
      <w:r>
        <w:tab/>
      </w:r>
      <w:r w:rsidRPr="00C8328B">
        <w:rPr>
          <w:rStyle w:val="CharPartText"/>
        </w:rPr>
        <w:t>Jurisdiction related to ASIC Act exercisable by registrar of Supreme Court</w:t>
      </w:r>
      <w:bookmarkEnd w:id="1945"/>
    </w:p>
    <w:p w14:paraId="291F17E8"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14:paraId="791E968A" w14:textId="77777777" w:rsidTr="003A681D">
        <w:trPr>
          <w:cantSplit/>
          <w:tblHeader/>
        </w:trPr>
        <w:tc>
          <w:tcPr>
            <w:tcW w:w="1242" w:type="dxa"/>
          </w:tcPr>
          <w:p w14:paraId="28E4DCCD" w14:textId="77777777" w:rsidR="00D94935" w:rsidRDefault="00D94935" w:rsidP="003A681D">
            <w:pPr>
              <w:pStyle w:val="TableColHd"/>
            </w:pPr>
            <w:r>
              <w:t>column 1</w:t>
            </w:r>
          </w:p>
          <w:p w14:paraId="6EF75CD1" w14:textId="77777777" w:rsidR="00D94935" w:rsidRDefault="00D94935" w:rsidP="003A681D">
            <w:pPr>
              <w:pStyle w:val="TableColHd"/>
            </w:pPr>
            <w:r>
              <w:t>item</w:t>
            </w:r>
          </w:p>
        </w:tc>
        <w:tc>
          <w:tcPr>
            <w:tcW w:w="1746" w:type="dxa"/>
          </w:tcPr>
          <w:p w14:paraId="22B0AE8C" w14:textId="77777777" w:rsidR="00D94935" w:rsidRDefault="00D94935" w:rsidP="003A681D">
            <w:pPr>
              <w:pStyle w:val="TableColHd"/>
            </w:pPr>
            <w:r>
              <w:t>column 2</w:t>
            </w:r>
          </w:p>
          <w:p w14:paraId="6F24E4A2" w14:textId="77777777" w:rsidR="00D94935" w:rsidRDefault="00D94935" w:rsidP="003A681D">
            <w:pPr>
              <w:pStyle w:val="TableColHd"/>
            </w:pPr>
            <w:r>
              <w:t xml:space="preserve">provision of the ASIC Act </w:t>
            </w:r>
          </w:p>
        </w:tc>
        <w:tc>
          <w:tcPr>
            <w:tcW w:w="1560" w:type="dxa"/>
          </w:tcPr>
          <w:p w14:paraId="75640865" w14:textId="77777777" w:rsidR="00D94935" w:rsidRDefault="00D94935" w:rsidP="003A681D">
            <w:pPr>
              <w:pStyle w:val="TableColHd"/>
            </w:pPr>
            <w:r>
              <w:t>column 3</w:t>
            </w:r>
          </w:p>
          <w:p w14:paraId="19A2FA1D" w14:textId="77777777" w:rsidR="00D94935" w:rsidRDefault="00D94935" w:rsidP="003A681D">
            <w:pPr>
              <w:pStyle w:val="TableColHd"/>
            </w:pPr>
            <w:r>
              <w:t>rule</w:t>
            </w:r>
          </w:p>
        </w:tc>
        <w:tc>
          <w:tcPr>
            <w:tcW w:w="3369" w:type="dxa"/>
          </w:tcPr>
          <w:p w14:paraId="1C61E1E9" w14:textId="77777777" w:rsidR="00D94935" w:rsidRDefault="00D94935" w:rsidP="003A681D">
            <w:pPr>
              <w:pStyle w:val="TableColHd"/>
            </w:pPr>
            <w:r>
              <w:t>column 4</w:t>
            </w:r>
          </w:p>
          <w:p w14:paraId="72246409" w14:textId="77777777" w:rsidR="00D94935" w:rsidRDefault="00D94935" w:rsidP="003A681D">
            <w:pPr>
              <w:pStyle w:val="TableColHd"/>
            </w:pPr>
            <w:r>
              <w:t>description (for information only)</w:t>
            </w:r>
          </w:p>
        </w:tc>
      </w:tr>
      <w:tr w:rsidR="00D94935" w14:paraId="2716983A" w14:textId="77777777" w:rsidTr="003A681D">
        <w:tc>
          <w:tcPr>
            <w:tcW w:w="1242" w:type="dxa"/>
          </w:tcPr>
          <w:p w14:paraId="25823448" w14:textId="77777777" w:rsidR="00D94935" w:rsidRDefault="00D94935" w:rsidP="003A681D">
            <w:pPr>
              <w:spacing w:before="120" w:after="120"/>
            </w:pPr>
            <w:r>
              <w:t>1</w:t>
            </w:r>
          </w:p>
        </w:tc>
        <w:tc>
          <w:tcPr>
            <w:tcW w:w="1746" w:type="dxa"/>
          </w:tcPr>
          <w:p w14:paraId="0F1C6349" w14:textId="77777777" w:rsidR="00D94935" w:rsidRDefault="00D94935" w:rsidP="003A681D">
            <w:pPr>
              <w:spacing w:before="120" w:after="120"/>
            </w:pPr>
            <w:r>
              <w:t>section 79 (4)</w:t>
            </w:r>
          </w:p>
        </w:tc>
        <w:tc>
          <w:tcPr>
            <w:tcW w:w="1560" w:type="dxa"/>
          </w:tcPr>
          <w:p w14:paraId="4F1992AD" w14:textId="77777777" w:rsidR="00D94935" w:rsidRDefault="00D94935" w:rsidP="003A681D">
            <w:pPr>
              <w:spacing w:before="120" w:after="120"/>
            </w:pPr>
          </w:p>
        </w:tc>
        <w:tc>
          <w:tcPr>
            <w:tcW w:w="3369" w:type="dxa"/>
          </w:tcPr>
          <w:p w14:paraId="231CE8AA" w14:textId="77777777" w:rsidR="00D94935" w:rsidRDefault="00D94935" w:rsidP="003A681D">
            <w:pPr>
              <w:spacing w:before="120" w:after="120"/>
            </w:pPr>
            <w:r>
              <w:t>power to extend period to give notice of intention to have statements made at examination admitted</w:t>
            </w:r>
          </w:p>
        </w:tc>
      </w:tr>
    </w:tbl>
    <w:p w14:paraId="375072B5" w14:textId="77777777" w:rsidR="00980678" w:rsidRDefault="00980678">
      <w:pPr>
        <w:pStyle w:val="03Schedule"/>
        <w:sectPr w:rsidR="00980678" w:rsidSect="00CD3DF7">
          <w:headerReference w:type="even" r:id="rId981"/>
          <w:headerReference w:type="default" r:id="rId982"/>
          <w:footerReference w:type="even" r:id="rId983"/>
          <w:footerReference w:type="default" r:id="rId984"/>
          <w:type w:val="continuous"/>
          <w:pgSz w:w="11907" w:h="16839" w:code="9"/>
          <w:pgMar w:top="3880" w:right="1900" w:bottom="3100" w:left="2300" w:header="2280" w:footer="1760" w:gutter="0"/>
          <w:cols w:space="720"/>
        </w:sectPr>
      </w:pPr>
    </w:p>
    <w:p w14:paraId="7615D2CC" w14:textId="77777777" w:rsidR="008D4D04" w:rsidRPr="008D4D04" w:rsidRDefault="008D4D04" w:rsidP="008D4D04">
      <w:pPr>
        <w:pStyle w:val="PageBreak"/>
      </w:pPr>
      <w:r w:rsidRPr="008D4D04">
        <w:br w:type="page"/>
      </w:r>
    </w:p>
    <w:p w14:paraId="693B0FEC" w14:textId="6583385A" w:rsidR="00D94935" w:rsidRPr="00C8328B" w:rsidRDefault="00D94935" w:rsidP="00D94935">
      <w:pPr>
        <w:pStyle w:val="Sched-Part"/>
      </w:pPr>
      <w:bookmarkStart w:id="1946" w:name="_Toc185515562"/>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46"/>
    </w:p>
    <w:p w14:paraId="19DEB477" w14:textId="77777777" w:rsidR="00D94935" w:rsidRDefault="00D94935" w:rsidP="00D94935">
      <w:pPr>
        <w:pStyle w:val="ref"/>
      </w:pPr>
      <w:r>
        <w:t>(see r 6251)</w:t>
      </w:r>
    </w:p>
    <w:p w14:paraId="0FBE0A02"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14:paraId="4053A022" w14:textId="77777777" w:rsidTr="00C016FF">
        <w:trPr>
          <w:tblHeader/>
        </w:trPr>
        <w:tc>
          <w:tcPr>
            <w:tcW w:w="1120" w:type="dxa"/>
            <w:tcBorders>
              <w:top w:val="single" w:sz="4" w:space="0" w:color="auto"/>
              <w:left w:val="single" w:sz="4" w:space="0" w:color="auto"/>
              <w:bottom w:val="single" w:sz="4" w:space="0" w:color="auto"/>
              <w:right w:val="single" w:sz="4" w:space="0" w:color="auto"/>
            </w:tcBorders>
          </w:tcPr>
          <w:p w14:paraId="08929ADD" w14:textId="77777777" w:rsidR="00D94935" w:rsidRDefault="00D94935" w:rsidP="003A681D">
            <w:pPr>
              <w:pStyle w:val="TableColHd"/>
            </w:pPr>
            <w:r>
              <w:t>column 1</w:t>
            </w:r>
          </w:p>
          <w:p w14:paraId="7B4BC33C" w14:textId="77777777" w:rsidR="00D94935" w:rsidRDefault="00D94935" w:rsidP="003A681D">
            <w:pPr>
              <w:pStyle w:val="TableColHd"/>
            </w:pPr>
            <w:r>
              <w:t>item</w:t>
            </w:r>
          </w:p>
        </w:tc>
        <w:tc>
          <w:tcPr>
            <w:tcW w:w="1792" w:type="dxa"/>
            <w:tcBorders>
              <w:top w:val="single" w:sz="4" w:space="0" w:color="auto"/>
              <w:left w:val="single" w:sz="4" w:space="0" w:color="auto"/>
              <w:bottom w:val="single" w:sz="4" w:space="0" w:color="auto"/>
              <w:right w:val="single" w:sz="4" w:space="0" w:color="auto"/>
            </w:tcBorders>
          </w:tcPr>
          <w:p w14:paraId="248DC26B" w14:textId="77777777" w:rsidR="00D94935" w:rsidRDefault="00D94935" w:rsidP="003A681D">
            <w:pPr>
              <w:pStyle w:val="TableColHd"/>
              <w:rPr>
                <w:color w:val="000000"/>
              </w:rPr>
            </w:pPr>
            <w:r>
              <w:rPr>
                <w:color w:val="000000"/>
              </w:rPr>
              <w:t>column 2</w:t>
            </w:r>
          </w:p>
          <w:p w14:paraId="6D6852D1" w14:textId="77777777" w:rsidR="00D94935" w:rsidRDefault="00D94935" w:rsidP="003A681D">
            <w:pPr>
              <w:pStyle w:val="TableColHd"/>
            </w:pPr>
            <w:r>
              <w:t>provision, and if relevant, case</w:t>
            </w:r>
          </w:p>
        </w:tc>
        <w:tc>
          <w:tcPr>
            <w:tcW w:w="4785" w:type="dxa"/>
            <w:tcBorders>
              <w:top w:val="single" w:sz="4" w:space="0" w:color="auto"/>
              <w:left w:val="single" w:sz="4" w:space="0" w:color="auto"/>
              <w:bottom w:val="single" w:sz="4" w:space="0" w:color="auto"/>
              <w:right w:val="single" w:sz="4" w:space="0" w:color="auto"/>
            </w:tcBorders>
          </w:tcPr>
          <w:p w14:paraId="563E14DC" w14:textId="77777777" w:rsidR="00D94935" w:rsidRDefault="00D94935" w:rsidP="003A681D">
            <w:pPr>
              <w:pStyle w:val="TableColHd"/>
            </w:pPr>
            <w:r>
              <w:t>column 3</w:t>
            </w:r>
          </w:p>
          <w:p w14:paraId="26B31C5B" w14:textId="77777777" w:rsidR="00D94935" w:rsidRDefault="00D94935" w:rsidP="003A681D">
            <w:pPr>
              <w:pStyle w:val="TableColHd"/>
              <w:rPr>
                <w:rFonts w:cs="Arial"/>
                <w:szCs w:val="18"/>
              </w:rPr>
            </w:pPr>
            <w:r>
              <w:rPr>
                <w:rFonts w:cs="Arial"/>
                <w:szCs w:val="18"/>
              </w:rPr>
              <w:t>provision heading</w:t>
            </w:r>
          </w:p>
        </w:tc>
      </w:tr>
      <w:tr w:rsidR="00D94935" w14:paraId="65D34E4C" w14:textId="77777777" w:rsidTr="00C016FF">
        <w:tc>
          <w:tcPr>
            <w:tcW w:w="1120" w:type="dxa"/>
            <w:tcBorders>
              <w:top w:val="single" w:sz="4" w:space="0" w:color="auto"/>
              <w:left w:val="single" w:sz="4" w:space="0" w:color="auto"/>
              <w:bottom w:val="single" w:sz="4" w:space="0" w:color="auto"/>
              <w:right w:val="single" w:sz="4" w:space="0" w:color="auto"/>
            </w:tcBorders>
          </w:tcPr>
          <w:p w14:paraId="6333005B" w14:textId="77777777" w:rsidR="00D94935" w:rsidRDefault="00D94935" w:rsidP="003A681D">
            <w:pPr>
              <w:pStyle w:val="TableText"/>
              <w:spacing w:before="120" w:after="120"/>
            </w:pPr>
            <w:r>
              <w:t>1</w:t>
            </w:r>
          </w:p>
        </w:tc>
        <w:tc>
          <w:tcPr>
            <w:tcW w:w="1792" w:type="dxa"/>
            <w:tcBorders>
              <w:top w:val="single" w:sz="4" w:space="0" w:color="auto"/>
              <w:left w:val="single" w:sz="4" w:space="0" w:color="auto"/>
              <w:bottom w:val="single" w:sz="4" w:space="0" w:color="auto"/>
              <w:right w:val="single" w:sz="4" w:space="0" w:color="auto"/>
            </w:tcBorders>
          </w:tcPr>
          <w:p w14:paraId="36A19241" w14:textId="77777777" w:rsidR="00D94935" w:rsidRDefault="00D94935" w:rsidP="003A681D">
            <w:pPr>
              <w:pStyle w:val="TableText"/>
              <w:spacing w:before="120" w:after="120"/>
            </w:pPr>
            <w:r>
              <w:t>282</w:t>
            </w:r>
          </w:p>
        </w:tc>
        <w:tc>
          <w:tcPr>
            <w:tcW w:w="4785" w:type="dxa"/>
            <w:tcBorders>
              <w:top w:val="single" w:sz="4" w:space="0" w:color="auto"/>
              <w:left w:val="single" w:sz="4" w:space="0" w:color="auto"/>
              <w:bottom w:val="single" w:sz="4" w:space="0" w:color="auto"/>
              <w:right w:val="single" w:sz="4" w:space="0" w:color="auto"/>
            </w:tcBorders>
          </w:tcPr>
          <w:p w14:paraId="6F74905E" w14:textId="77777777" w:rsidR="00D94935" w:rsidRDefault="00D94935" w:rsidP="003A681D">
            <w:pPr>
              <w:pStyle w:val="TableText"/>
              <w:spacing w:before="120" w:after="120"/>
            </w:pPr>
            <w:r>
              <w:t>Person with legal disability—approval of settlement etc</w:t>
            </w:r>
          </w:p>
        </w:tc>
      </w:tr>
      <w:tr w:rsidR="00D94935" w14:paraId="6F4966DF" w14:textId="77777777" w:rsidTr="00C016FF">
        <w:tc>
          <w:tcPr>
            <w:tcW w:w="1120" w:type="dxa"/>
            <w:tcBorders>
              <w:top w:val="single" w:sz="4" w:space="0" w:color="auto"/>
              <w:left w:val="single" w:sz="4" w:space="0" w:color="auto"/>
              <w:bottom w:val="single" w:sz="4" w:space="0" w:color="auto"/>
              <w:right w:val="single" w:sz="4" w:space="0" w:color="auto"/>
            </w:tcBorders>
          </w:tcPr>
          <w:p w14:paraId="766FA607" w14:textId="77777777" w:rsidR="00D94935" w:rsidRDefault="00D94935" w:rsidP="003A681D">
            <w:pPr>
              <w:pStyle w:val="TableText"/>
              <w:spacing w:before="120" w:after="120"/>
            </w:pPr>
            <w:r>
              <w:t>2</w:t>
            </w:r>
          </w:p>
        </w:tc>
        <w:tc>
          <w:tcPr>
            <w:tcW w:w="1792" w:type="dxa"/>
            <w:tcBorders>
              <w:top w:val="single" w:sz="4" w:space="0" w:color="auto"/>
              <w:left w:val="single" w:sz="4" w:space="0" w:color="auto"/>
              <w:bottom w:val="single" w:sz="4" w:space="0" w:color="auto"/>
              <w:right w:val="single" w:sz="4" w:space="0" w:color="auto"/>
            </w:tcBorders>
          </w:tcPr>
          <w:p w14:paraId="34415461" w14:textId="77777777" w:rsidR="00D94935" w:rsidRDefault="00D94935" w:rsidP="003A681D">
            <w:pPr>
              <w:pStyle w:val="TableText"/>
              <w:spacing w:before="120" w:after="120"/>
            </w:pPr>
            <w:r>
              <w:t>317</w:t>
            </w:r>
          </w:p>
        </w:tc>
        <w:tc>
          <w:tcPr>
            <w:tcW w:w="4785" w:type="dxa"/>
            <w:tcBorders>
              <w:top w:val="single" w:sz="4" w:space="0" w:color="auto"/>
              <w:left w:val="single" w:sz="4" w:space="0" w:color="auto"/>
              <w:bottom w:val="single" w:sz="4" w:space="0" w:color="auto"/>
              <w:right w:val="single" w:sz="4" w:space="0" w:color="auto"/>
            </w:tcBorders>
          </w:tcPr>
          <w:p w14:paraId="494ECE33" w14:textId="77777777" w:rsidR="00D94935" w:rsidRDefault="00D94935" w:rsidP="003A681D">
            <w:pPr>
              <w:pStyle w:val="TableText"/>
              <w:spacing w:before="120" w:after="120"/>
            </w:pPr>
            <w:r>
              <w:t>Third party—extent bound by judgment between plaintiff and defendant</w:t>
            </w:r>
          </w:p>
        </w:tc>
      </w:tr>
      <w:tr w:rsidR="00D94935" w14:paraId="5A5D1758" w14:textId="77777777" w:rsidTr="00C016FF">
        <w:tc>
          <w:tcPr>
            <w:tcW w:w="1120" w:type="dxa"/>
            <w:tcBorders>
              <w:top w:val="single" w:sz="4" w:space="0" w:color="auto"/>
              <w:left w:val="single" w:sz="4" w:space="0" w:color="auto"/>
              <w:bottom w:val="single" w:sz="4" w:space="0" w:color="auto"/>
              <w:right w:val="single" w:sz="4" w:space="0" w:color="auto"/>
            </w:tcBorders>
          </w:tcPr>
          <w:p w14:paraId="6DFC6BE0" w14:textId="77777777" w:rsidR="00D94935" w:rsidRDefault="00D94935" w:rsidP="003A681D">
            <w:pPr>
              <w:pStyle w:val="TableText"/>
              <w:spacing w:before="120" w:after="120"/>
            </w:pPr>
            <w:r>
              <w:t>3</w:t>
            </w:r>
          </w:p>
        </w:tc>
        <w:tc>
          <w:tcPr>
            <w:tcW w:w="1792" w:type="dxa"/>
            <w:tcBorders>
              <w:top w:val="single" w:sz="4" w:space="0" w:color="auto"/>
              <w:left w:val="single" w:sz="4" w:space="0" w:color="auto"/>
              <w:bottom w:val="single" w:sz="4" w:space="0" w:color="auto"/>
              <w:right w:val="single" w:sz="4" w:space="0" w:color="auto"/>
            </w:tcBorders>
          </w:tcPr>
          <w:p w14:paraId="07C35BC0" w14:textId="77777777" w:rsidR="00D94935" w:rsidRDefault="00D94935" w:rsidP="003A681D">
            <w:pPr>
              <w:pStyle w:val="TableText"/>
              <w:spacing w:before="120" w:after="120"/>
            </w:pPr>
            <w:r>
              <w:t>716</w:t>
            </w:r>
          </w:p>
        </w:tc>
        <w:tc>
          <w:tcPr>
            <w:tcW w:w="4785" w:type="dxa"/>
            <w:tcBorders>
              <w:top w:val="single" w:sz="4" w:space="0" w:color="auto"/>
              <w:left w:val="single" w:sz="4" w:space="0" w:color="auto"/>
              <w:bottom w:val="single" w:sz="4" w:space="0" w:color="auto"/>
              <w:right w:val="single" w:sz="4" w:space="0" w:color="auto"/>
            </w:tcBorders>
          </w:tcPr>
          <w:p w14:paraId="6CA39376" w14:textId="77777777" w:rsidR="00D94935" w:rsidRDefault="00D94935" w:rsidP="003A681D">
            <w:pPr>
              <w:pStyle w:val="TableText"/>
              <w:spacing w:before="120" w:after="120"/>
            </w:pPr>
            <w:r>
              <w:t>Disposal of property other than land</w:t>
            </w:r>
          </w:p>
        </w:tc>
      </w:tr>
      <w:tr w:rsidR="00D94935" w14:paraId="4622DEAA" w14:textId="77777777" w:rsidTr="00C016FF">
        <w:tc>
          <w:tcPr>
            <w:tcW w:w="1120" w:type="dxa"/>
            <w:tcBorders>
              <w:top w:val="single" w:sz="4" w:space="0" w:color="auto"/>
              <w:left w:val="single" w:sz="4" w:space="0" w:color="auto"/>
              <w:bottom w:val="single" w:sz="4" w:space="0" w:color="auto"/>
              <w:right w:val="single" w:sz="4" w:space="0" w:color="auto"/>
            </w:tcBorders>
          </w:tcPr>
          <w:p w14:paraId="40556003" w14:textId="77777777" w:rsidR="00D94935" w:rsidRDefault="00D94935" w:rsidP="003A681D">
            <w:pPr>
              <w:pStyle w:val="TableText"/>
              <w:spacing w:before="120" w:after="120"/>
            </w:pPr>
            <w:r>
              <w:t>4</w:t>
            </w:r>
          </w:p>
        </w:tc>
        <w:tc>
          <w:tcPr>
            <w:tcW w:w="1792" w:type="dxa"/>
            <w:tcBorders>
              <w:top w:val="single" w:sz="4" w:space="0" w:color="auto"/>
              <w:left w:val="single" w:sz="4" w:space="0" w:color="auto"/>
              <w:bottom w:val="single" w:sz="4" w:space="0" w:color="auto"/>
              <w:right w:val="single" w:sz="4" w:space="0" w:color="auto"/>
            </w:tcBorders>
          </w:tcPr>
          <w:p w14:paraId="26513326" w14:textId="77777777" w:rsidR="00D94935" w:rsidRDefault="00D94935" w:rsidP="003A681D">
            <w:pPr>
              <w:pStyle w:val="TableText"/>
              <w:spacing w:before="120" w:after="120"/>
            </w:pPr>
            <w:r>
              <w:t>729</w:t>
            </w:r>
          </w:p>
        </w:tc>
        <w:tc>
          <w:tcPr>
            <w:tcW w:w="4785" w:type="dxa"/>
            <w:tcBorders>
              <w:top w:val="single" w:sz="4" w:space="0" w:color="auto"/>
              <w:left w:val="single" w:sz="4" w:space="0" w:color="auto"/>
              <w:bottom w:val="single" w:sz="4" w:space="0" w:color="auto"/>
              <w:right w:val="single" w:sz="4" w:space="0" w:color="auto"/>
            </w:tcBorders>
          </w:tcPr>
          <w:p w14:paraId="14240D67" w14:textId="77777777" w:rsidR="00D94935" w:rsidRDefault="00D94935" w:rsidP="003A681D">
            <w:pPr>
              <w:pStyle w:val="TableText"/>
              <w:spacing w:before="120" w:after="120"/>
            </w:pPr>
            <w:r>
              <w:t>Division 2.9.4 order without notice etc</w:t>
            </w:r>
          </w:p>
        </w:tc>
      </w:tr>
      <w:tr w:rsidR="00D94935" w14:paraId="45A2184F" w14:textId="77777777" w:rsidTr="00C016FF">
        <w:tc>
          <w:tcPr>
            <w:tcW w:w="1120" w:type="dxa"/>
            <w:tcBorders>
              <w:top w:val="single" w:sz="4" w:space="0" w:color="auto"/>
              <w:left w:val="single" w:sz="4" w:space="0" w:color="auto"/>
              <w:bottom w:val="single" w:sz="4" w:space="0" w:color="auto"/>
              <w:right w:val="single" w:sz="4" w:space="0" w:color="auto"/>
            </w:tcBorders>
          </w:tcPr>
          <w:p w14:paraId="42C50D14" w14:textId="77777777" w:rsidR="00D94935" w:rsidRDefault="00D94935" w:rsidP="003A681D">
            <w:pPr>
              <w:pStyle w:val="TableText"/>
              <w:spacing w:before="120" w:after="120"/>
            </w:pPr>
            <w:r>
              <w:t>5</w:t>
            </w:r>
          </w:p>
        </w:tc>
        <w:tc>
          <w:tcPr>
            <w:tcW w:w="1792" w:type="dxa"/>
            <w:tcBorders>
              <w:top w:val="single" w:sz="4" w:space="0" w:color="auto"/>
              <w:left w:val="single" w:sz="4" w:space="0" w:color="auto"/>
              <w:bottom w:val="single" w:sz="4" w:space="0" w:color="auto"/>
              <w:right w:val="single" w:sz="4" w:space="0" w:color="auto"/>
            </w:tcBorders>
          </w:tcPr>
          <w:p w14:paraId="1C9392A2" w14:textId="77777777" w:rsidR="00D94935" w:rsidRDefault="00D94935" w:rsidP="003A681D">
            <w:pPr>
              <w:pStyle w:val="TableText"/>
              <w:spacing w:before="120" w:after="120"/>
            </w:pPr>
            <w:r>
              <w:t>730</w:t>
            </w:r>
          </w:p>
        </w:tc>
        <w:tc>
          <w:tcPr>
            <w:tcW w:w="4785" w:type="dxa"/>
            <w:tcBorders>
              <w:top w:val="single" w:sz="4" w:space="0" w:color="auto"/>
              <w:left w:val="single" w:sz="4" w:space="0" w:color="auto"/>
              <w:bottom w:val="single" w:sz="4" w:space="0" w:color="auto"/>
              <w:right w:val="single" w:sz="4" w:space="0" w:color="auto"/>
            </w:tcBorders>
          </w:tcPr>
          <w:p w14:paraId="646D0693" w14:textId="77777777" w:rsidR="00D94935" w:rsidRDefault="00D94935" w:rsidP="003A681D">
            <w:pPr>
              <w:pStyle w:val="TableText"/>
              <w:spacing w:before="120" w:after="120"/>
            </w:pPr>
            <w:r>
              <w:t>Division 2.9.4 order without trial</w:t>
            </w:r>
          </w:p>
        </w:tc>
      </w:tr>
      <w:tr w:rsidR="00D94935" w14:paraId="26903DB5" w14:textId="77777777" w:rsidTr="00C016FF">
        <w:trPr>
          <w:cantSplit/>
        </w:trPr>
        <w:tc>
          <w:tcPr>
            <w:tcW w:w="1120" w:type="dxa"/>
            <w:tcBorders>
              <w:top w:val="single" w:sz="4" w:space="0" w:color="auto"/>
              <w:left w:val="single" w:sz="4" w:space="0" w:color="auto"/>
              <w:bottom w:val="single" w:sz="4" w:space="0" w:color="auto"/>
              <w:right w:val="single" w:sz="4" w:space="0" w:color="auto"/>
            </w:tcBorders>
          </w:tcPr>
          <w:p w14:paraId="768B5F8B" w14:textId="77777777" w:rsidR="00D94935" w:rsidRDefault="00D94935" w:rsidP="003A681D">
            <w:pPr>
              <w:pStyle w:val="TableText"/>
              <w:spacing w:before="120" w:after="120"/>
            </w:pPr>
            <w:r>
              <w:t>6</w:t>
            </w:r>
          </w:p>
        </w:tc>
        <w:tc>
          <w:tcPr>
            <w:tcW w:w="1792" w:type="dxa"/>
            <w:tcBorders>
              <w:top w:val="single" w:sz="4" w:space="0" w:color="auto"/>
              <w:left w:val="single" w:sz="4" w:space="0" w:color="auto"/>
              <w:bottom w:val="single" w:sz="4" w:space="0" w:color="auto"/>
              <w:right w:val="single" w:sz="4" w:space="0" w:color="auto"/>
            </w:tcBorders>
          </w:tcPr>
          <w:p w14:paraId="5BDD5753" w14:textId="77777777" w:rsidR="00D94935" w:rsidRDefault="00D94935" w:rsidP="003A681D">
            <w:pPr>
              <w:pStyle w:val="TableText"/>
              <w:spacing w:before="120" w:after="120"/>
            </w:pPr>
            <w:r>
              <w:t>sdiv 2.9.4.2 (other than r 745 (</w:t>
            </w:r>
            <w:r>
              <w:rPr>
                <w:lang w:val="en-US"/>
              </w:rPr>
              <w:t>Freezing orders—costs))</w:t>
            </w:r>
          </w:p>
        </w:tc>
        <w:tc>
          <w:tcPr>
            <w:tcW w:w="4785" w:type="dxa"/>
            <w:tcBorders>
              <w:top w:val="single" w:sz="4" w:space="0" w:color="auto"/>
              <w:left w:val="single" w:sz="4" w:space="0" w:color="auto"/>
              <w:bottom w:val="single" w:sz="4" w:space="0" w:color="auto"/>
              <w:right w:val="single" w:sz="4" w:space="0" w:color="auto"/>
            </w:tcBorders>
          </w:tcPr>
          <w:p w14:paraId="556BE07F" w14:textId="77777777" w:rsidR="00D94935" w:rsidRDefault="00D94935" w:rsidP="003A681D">
            <w:pPr>
              <w:pStyle w:val="TableText"/>
              <w:spacing w:before="120" w:after="120"/>
            </w:pPr>
            <w:r>
              <w:t>Freezing orders</w:t>
            </w:r>
          </w:p>
        </w:tc>
      </w:tr>
      <w:tr w:rsidR="00D94935" w14:paraId="5915CDC4" w14:textId="77777777" w:rsidTr="00C016FF">
        <w:tc>
          <w:tcPr>
            <w:tcW w:w="1120" w:type="dxa"/>
            <w:tcBorders>
              <w:top w:val="single" w:sz="4" w:space="0" w:color="auto"/>
              <w:left w:val="single" w:sz="4" w:space="0" w:color="auto"/>
              <w:bottom w:val="single" w:sz="4" w:space="0" w:color="auto"/>
              <w:right w:val="single" w:sz="4" w:space="0" w:color="auto"/>
            </w:tcBorders>
          </w:tcPr>
          <w:p w14:paraId="069C0CDE" w14:textId="77777777" w:rsidR="00D94935" w:rsidRDefault="00D94935" w:rsidP="003A681D">
            <w:pPr>
              <w:pStyle w:val="TableText"/>
              <w:spacing w:before="120" w:after="120"/>
            </w:pPr>
            <w:r>
              <w:t>7</w:t>
            </w:r>
          </w:p>
        </w:tc>
        <w:tc>
          <w:tcPr>
            <w:tcW w:w="1792" w:type="dxa"/>
            <w:tcBorders>
              <w:top w:val="single" w:sz="4" w:space="0" w:color="auto"/>
              <w:left w:val="single" w:sz="4" w:space="0" w:color="auto"/>
              <w:bottom w:val="single" w:sz="4" w:space="0" w:color="auto"/>
              <w:right w:val="single" w:sz="4" w:space="0" w:color="auto"/>
            </w:tcBorders>
          </w:tcPr>
          <w:p w14:paraId="2BA65866" w14:textId="77777777" w:rsidR="00D94935" w:rsidRDefault="00D94935" w:rsidP="003A681D">
            <w:pPr>
              <w:pStyle w:val="TableText"/>
              <w:spacing w:before="120" w:after="120"/>
            </w:pPr>
            <w:r>
              <w:t xml:space="preserve">sdiv 2.9.4.3 (other than r 755 </w:t>
            </w:r>
            <w:r>
              <w:rPr>
                <w:lang w:val="en-US"/>
              </w:rPr>
              <w:t>(Search orders—costs))</w:t>
            </w:r>
          </w:p>
        </w:tc>
        <w:tc>
          <w:tcPr>
            <w:tcW w:w="4785" w:type="dxa"/>
            <w:tcBorders>
              <w:top w:val="single" w:sz="4" w:space="0" w:color="auto"/>
              <w:left w:val="single" w:sz="4" w:space="0" w:color="auto"/>
              <w:bottom w:val="single" w:sz="4" w:space="0" w:color="auto"/>
              <w:right w:val="single" w:sz="4" w:space="0" w:color="auto"/>
            </w:tcBorders>
          </w:tcPr>
          <w:p w14:paraId="2799F9ED" w14:textId="77777777" w:rsidR="00D94935" w:rsidRDefault="00D94935" w:rsidP="003A681D">
            <w:pPr>
              <w:pStyle w:val="TableText"/>
              <w:spacing w:before="120" w:after="120"/>
            </w:pPr>
            <w:r>
              <w:t>Search orders</w:t>
            </w:r>
          </w:p>
        </w:tc>
      </w:tr>
      <w:tr w:rsidR="00D94935" w14:paraId="2FAA082D" w14:textId="77777777" w:rsidTr="00C016FF">
        <w:tc>
          <w:tcPr>
            <w:tcW w:w="1120" w:type="dxa"/>
            <w:tcBorders>
              <w:top w:val="single" w:sz="4" w:space="0" w:color="auto"/>
              <w:left w:val="single" w:sz="4" w:space="0" w:color="auto"/>
              <w:bottom w:val="single" w:sz="4" w:space="0" w:color="auto"/>
              <w:right w:val="single" w:sz="4" w:space="0" w:color="auto"/>
            </w:tcBorders>
          </w:tcPr>
          <w:p w14:paraId="3483BBC9" w14:textId="77777777" w:rsidR="00D94935" w:rsidRPr="001C0D2B" w:rsidRDefault="00D94935" w:rsidP="003A681D">
            <w:pPr>
              <w:pStyle w:val="TableText"/>
              <w:spacing w:before="120" w:after="120"/>
            </w:pPr>
            <w:r>
              <w:t>8</w:t>
            </w:r>
          </w:p>
        </w:tc>
        <w:tc>
          <w:tcPr>
            <w:tcW w:w="1792" w:type="dxa"/>
            <w:tcBorders>
              <w:top w:val="single" w:sz="4" w:space="0" w:color="auto"/>
              <w:left w:val="single" w:sz="4" w:space="0" w:color="auto"/>
              <w:bottom w:val="single" w:sz="4" w:space="0" w:color="auto"/>
              <w:right w:val="single" w:sz="4" w:space="0" w:color="auto"/>
            </w:tcBorders>
          </w:tcPr>
          <w:p w14:paraId="3CC7D0DB" w14:textId="77777777" w:rsidR="00D94935" w:rsidRPr="001C0D2B" w:rsidRDefault="00D94935" w:rsidP="003A681D">
            <w:pPr>
              <w:pStyle w:val="TableText"/>
              <w:spacing w:before="120" w:after="120"/>
            </w:pPr>
            <w:r w:rsidRPr="001C0D2B">
              <w:t>1240</w:t>
            </w:r>
          </w:p>
        </w:tc>
        <w:tc>
          <w:tcPr>
            <w:tcW w:w="4785" w:type="dxa"/>
            <w:tcBorders>
              <w:top w:val="single" w:sz="4" w:space="0" w:color="auto"/>
              <w:left w:val="single" w:sz="4" w:space="0" w:color="auto"/>
              <w:bottom w:val="single" w:sz="4" w:space="0" w:color="auto"/>
              <w:right w:val="single" w:sz="4" w:space="0" w:color="auto"/>
            </w:tcBorders>
          </w:tcPr>
          <w:p w14:paraId="58A43C4C" w14:textId="77777777" w:rsidR="00D94935" w:rsidRPr="001C0D2B" w:rsidRDefault="00D94935" w:rsidP="003A681D">
            <w:pPr>
              <w:pStyle w:val="TableText"/>
              <w:spacing w:before="120" w:after="120"/>
            </w:pPr>
            <w:r w:rsidRPr="001C0D2B">
              <w:t>Application—div 2.12.3</w:t>
            </w:r>
          </w:p>
        </w:tc>
      </w:tr>
      <w:tr w:rsidR="00D94935" w14:paraId="3324FD50" w14:textId="77777777" w:rsidTr="00C016FF">
        <w:tc>
          <w:tcPr>
            <w:tcW w:w="1120" w:type="dxa"/>
            <w:tcBorders>
              <w:top w:val="single" w:sz="4" w:space="0" w:color="auto"/>
              <w:left w:val="single" w:sz="4" w:space="0" w:color="auto"/>
              <w:bottom w:val="single" w:sz="4" w:space="0" w:color="auto"/>
              <w:right w:val="single" w:sz="4" w:space="0" w:color="auto"/>
            </w:tcBorders>
          </w:tcPr>
          <w:p w14:paraId="290874A6" w14:textId="77777777" w:rsidR="00D94935" w:rsidRDefault="00D94935" w:rsidP="003A681D">
            <w:pPr>
              <w:pStyle w:val="TableText"/>
              <w:spacing w:before="120" w:after="120"/>
            </w:pPr>
            <w:r>
              <w:t>9</w:t>
            </w:r>
          </w:p>
        </w:tc>
        <w:tc>
          <w:tcPr>
            <w:tcW w:w="1792" w:type="dxa"/>
            <w:tcBorders>
              <w:top w:val="single" w:sz="4" w:space="0" w:color="auto"/>
              <w:left w:val="single" w:sz="4" w:space="0" w:color="auto"/>
              <w:bottom w:val="single" w:sz="4" w:space="0" w:color="auto"/>
              <w:right w:val="single" w:sz="4" w:space="0" w:color="auto"/>
            </w:tcBorders>
          </w:tcPr>
          <w:p w14:paraId="446FD707" w14:textId="77777777" w:rsidR="00D94935" w:rsidRDefault="00D94935" w:rsidP="003A681D">
            <w:pPr>
              <w:pStyle w:val="TableText"/>
              <w:spacing w:before="120" w:after="120"/>
            </w:pPr>
            <w:r>
              <w:t>1241</w:t>
            </w:r>
          </w:p>
        </w:tc>
        <w:tc>
          <w:tcPr>
            <w:tcW w:w="4785" w:type="dxa"/>
            <w:tcBorders>
              <w:top w:val="single" w:sz="4" w:space="0" w:color="auto"/>
              <w:left w:val="single" w:sz="4" w:space="0" w:color="auto"/>
              <w:bottom w:val="single" w:sz="4" w:space="0" w:color="auto"/>
              <w:right w:val="single" w:sz="4" w:space="0" w:color="auto"/>
            </w:tcBorders>
          </w:tcPr>
          <w:p w14:paraId="1198EF67" w14:textId="77777777" w:rsidR="00D94935" w:rsidRDefault="00D94935" w:rsidP="003A681D">
            <w:pPr>
              <w:pStyle w:val="TableText"/>
              <w:spacing w:before="120" w:after="120"/>
            </w:pPr>
            <w:r>
              <w:t>Service of expert reports</w:t>
            </w:r>
          </w:p>
        </w:tc>
      </w:tr>
      <w:tr w:rsidR="00D94935" w14:paraId="77C37B2F" w14:textId="77777777" w:rsidTr="00C016FF">
        <w:tc>
          <w:tcPr>
            <w:tcW w:w="1120" w:type="dxa"/>
            <w:tcBorders>
              <w:top w:val="single" w:sz="4" w:space="0" w:color="auto"/>
              <w:left w:val="single" w:sz="4" w:space="0" w:color="auto"/>
              <w:bottom w:val="single" w:sz="4" w:space="0" w:color="auto"/>
              <w:right w:val="single" w:sz="4" w:space="0" w:color="auto"/>
            </w:tcBorders>
          </w:tcPr>
          <w:p w14:paraId="2D16B710" w14:textId="77777777" w:rsidR="00D94935" w:rsidRDefault="00D94935" w:rsidP="003A681D">
            <w:pPr>
              <w:pStyle w:val="TableText"/>
              <w:spacing w:before="120" w:after="120"/>
            </w:pPr>
            <w:r>
              <w:lastRenderedPageBreak/>
              <w:t>10</w:t>
            </w:r>
          </w:p>
        </w:tc>
        <w:tc>
          <w:tcPr>
            <w:tcW w:w="1792" w:type="dxa"/>
            <w:tcBorders>
              <w:top w:val="single" w:sz="4" w:space="0" w:color="auto"/>
              <w:left w:val="single" w:sz="4" w:space="0" w:color="auto"/>
              <w:bottom w:val="single" w:sz="4" w:space="0" w:color="auto"/>
              <w:right w:val="single" w:sz="4" w:space="0" w:color="auto"/>
            </w:tcBorders>
          </w:tcPr>
          <w:p w14:paraId="5B79A1D9" w14:textId="77777777" w:rsidR="00D94935" w:rsidRDefault="00D94935" w:rsidP="003A681D">
            <w:pPr>
              <w:pStyle w:val="TableText"/>
              <w:spacing w:before="120" w:after="120"/>
            </w:pPr>
            <w:r>
              <w:t>1243</w:t>
            </w:r>
          </w:p>
        </w:tc>
        <w:tc>
          <w:tcPr>
            <w:tcW w:w="4785" w:type="dxa"/>
            <w:tcBorders>
              <w:top w:val="single" w:sz="4" w:space="0" w:color="auto"/>
              <w:left w:val="single" w:sz="4" w:space="0" w:color="auto"/>
              <w:bottom w:val="single" w:sz="4" w:space="0" w:color="auto"/>
              <w:right w:val="single" w:sz="4" w:space="0" w:color="auto"/>
            </w:tcBorders>
          </w:tcPr>
          <w:p w14:paraId="6442F525" w14:textId="77777777" w:rsidR="00D94935" w:rsidRDefault="00D94935" w:rsidP="003A681D">
            <w:pPr>
              <w:pStyle w:val="TableText"/>
              <w:spacing w:before="120" w:after="120"/>
            </w:pPr>
            <w:r>
              <w:t>Expert evidence to be covered by expert report</w:t>
            </w:r>
          </w:p>
        </w:tc>
      </w:tr>
      <w:tr w:rsidR="00D94935" w14:paraId="5992E951" w14:textId="77777777" w:rsidTr="00C016FF">
        <w:tc>
          <w:tcPr>
            <w:tcW w:w="1120" w:type="dxa"/>
            <w:tcBorders>
              <w:top w:val="single" w:sz="4" w:space="0" w:color="auto"/>
              <w:left w:val="single" w:sz="4" w:space="0" w:color="auto"/>
              <w:bottom w:val="single" w:sz="4" w:space="0" w:color="auto"/>
              <w:right w:val="single" w:sz="4" w:space="0" w:color="auto"/>
            </w:tcBorders>
          </w:tcPr>
          <w:p w14:paraId="2159A5C0" w14:textId="77777777" w:rsidR="00D94935" w:rsidRDefault="00D94935" w:rsidP="003A681D">
            <w:pPr>
              <w:pStyle w:val="TableText"/>
              <w:spacing w:before="120" w:after="120"/>
            </w:pPr>
            <w:r>
              <w:t>11</w:t>
            </w:r>
          </w:p>
        </w:tc>
        <w:tc>
          <w:tcPr>
            <w:tcW w:w="1792" w:type="dxa"/>
            <w:tcBorders>
              <w:top w:val="single" w:sz="4" w:space="0" w:color="auto"/>
              <w:left w:val="single" w:sz="4" w:space="0" w:color="auto"/>
              <w:bottom w:val="single" w:sz="4" w:space="0" w:color="auto"/>
              <w:right w:val="single" w:sz="4" w:space="0" w:color="auto"/>
            </w:tcBorders>
          </w:tcPr>
          <w:p w14:paraId="07386AFB" w14:textId="77777777" w:rsidR="00D94935" w:rsidRDefault="00D94935" w:rsidP="003A681D">
            <w:pPr>
              <w:pStyle w:val="TableText"/>
              <w:spacing w:before="120" w:after="120"/>
            </w:pPr>
            <w:r>
              <w:t>1246</w:t>
            </w:r>
          </w:p>
        </w:tc>
        <w:tc>
          <w:tcPr>
            <w:tcW w:w="4785" w:type="dxa"/>
            <w:tcBorders>
              <w:top w:val="single" w:sz="4" w:space="0" w:color="auto"/>
              <w:left w:val="single" w:sz="4" w:space="0" w:color="auto"/>
              <w:bottom w:val="single" w:sz="4" w:space="0" w:color="auto"/>
              <w:right w:val="single" w:sz="4" w:space="0" w:color="auto"/>
            </w:tcBorders>
          </w:tcPr>
          <w:p w14:paraId="1A6CC374" w14:textId="77777777" w:rsidR="00D94935" w:rsidRDefault="00D94935" w:rsidP="003A681D">
            <w:pPr>
              <w:pStyle w:val="TableText"/>
              <w:spacing w:before="120" w:after="120"/>
            </w:pPr>
            <w:r>
              <w:t>Tender of expert report</w:t>
            </w:r>
          </w:p>
        </w:tc>
      </w:tr>
      <w:tr w:rsidR="00D94935" w14:paraId="6D98E953" w14:textId="77777777" w:rsidTr="00C016FF">
        <w:tc>
          <w:tcPr>
            <w:tcW w:w="1120" w:type="dxa"/>
            <w:tcBorders>
              <w:top w:val="single" w:sz="4" w:space="0" w:color="auto"/>
              <w:left w:val="single" w:sz="4" w:space="0" w:color="auto"/>
              <w:bottom w:val="single" w:sz="4" w:space="0" w:color="auto"/>
              <w:right w:val="single" w:sz="4" w:space="0" w:color="auto"/>
            </w:tcBorders>
          </w:tcPr>
          <w:p w14:paraId="740DC0C2" w14:textId="77777777" w:rsidR="00D94935" w:rsidRDefault="00D94935" w:rsidP="003A681D">
            <w:pPr>
              <w:pStyle w:val="TableText"/>
              <w:spacing w:before="120" w:after="120"/>
            </w:pPr>
            <w:r>
              <w:t>12</w:t>
            </w:r>
          </w:p>
        </w:tc>
        <w:tc>
          <w:tcPr>
            <w:tcW w:w="1792" w:type="dxa"/>
            <w:tcBorders>
              <w:top w:val="single" w:sz="4" w:space="0" w:color="auto"/>
              <w:left w:val="single" w:sz="4" w:space="0" w:color="auto"/>
              <w:bottom w:val="single" w:sz="4" w:space="0" w:color="auto"/>
              <w:right w:val="single" w:sz="4" w:space="0" w:color="auto"/>
            </w:tcBorders>
          </w:tcPr>
          <w:p w14:paraId="4EA8C7BD" w14:textId="77777777" w:rsidR="00D94935" w:rsidRDefault="00D94935" w:rsidP="003A681D">
            <w:pPr>
              <w:pStyle w:val="TableText"/>
              <w:spacing w:before="120" w:after="120"/>
            </w:pPr>
            <w:r>
              <w:t>1505</w:t>
            </w:r>
          </w:p>
        </w:tc>
        <w:tc>
          <w:tcPr>
            <w:tcW w:w="4785" w:type="dxa"/>
            <w:tcBorders>
              <w:top w:val="single" w:sz="4" w:space="0" w:color="auto"/>
              <w:left w:val="single" w:sz="4" w:space="0" w:color="auto"/>
              <w:bottom w:val="single" w:sz="4" w:space="0" w:color="auto"/>
              <w:right w:val="single" w:sz="4" w:space="0" w:color="auto"/>
            </w:tcBorders>
          </w:tcPr>
          <w:p w14:paraId="3C0381D7" w14:textId="77777777" w:rsidR="00D94935" w:rsidRDefault="00D94935" w:rsidP="003A681D">
            <w:pPr>
              <w:pStyle w:val="TableText"/>
              <w:spacing w:before="120" w:after="120"/>
            </w:pPr>
            <w:r>
              <w:t>Trial—defendant or plaintiff not appearing</w:t>
            </w:r>
          </w:p>
        </w:tc>
      </w:tr>
      <w:tr w:rsidR="00D94935" w14:paraId="26BA11A3" w14:textId="77777777" w:rsidTr="00C016FF">
        <w:tc>
          <w:tcPr>
            <w:tcW w:w="1120" w:type="dxa"/>
            <w:tcBorders>
              <w:top w:val="single" w:sz="4" w:space="0" w:color="auto"/>
              <w:left w:val="single" w:sz="4" w:space="0" w:color="auto"/>
              <w:bottom w:val="single" w:sz="4" w:space="0" w:color="auto"/>
              <w:right w:val="single" w:sz="4" w:space="0" w:color="auto"/>
            </w:tcBorders>
          </w:tcPr>
          <w:p w14:paraId="1E3BF54A" w14:textId="77777777" w:rsidR="00D94935" w:rsidRDefault="00D94935" w:rsidP="003A681D">
            <w:pPr>
              <w:pStyle w:val="TableText"/>
              <w:spacing w:before="120" w:after="120"/>
            </w:pPr>
            <w:r>
              <w:t>13</w:t>
            </w:r>
          </w:p>
        </w:tc>
        <w:tc>
          <w:tcPr>
            <w:tcW w:w="1792" w:type="dxa"/>
            <w:tcBorders>
              <w:top w:val="single" w:sz="4" w:space="0" w:color="auto"/>
              <w:left w:val="single" w:sz="4" w:space="0" w:color="auto"/>
              <w:bottom w:val="single" w:sz="4" w:space="0" w:color="auto"/>
              <w:right w:val="single" w:sz="4" w:space="0" w:color="auto"/>
            </w:tcBorders>
          </w:tcPr>
          <w:p w14:paraId="7D3DCD27" w14:textId="77777777" w:rsidR="00D94935" w:rsidRDefault="00D94935" w:rsidP="003A681D">
            <w:pPr>
              <w:pStyle w:val="TableText"/>
              <w:spacing w:before="120" w:after="120"/>
            </w:pPr>
            <w:r>
              <w:t>1521</w:t>
            </w:r>
          </w:p>
        </w:tc>
        <w:tc>
          <w:tcPr>
            <w:tcW w:w="4785" w:type="dxa"/>
            <w:tcBorders>
              <w:top w:val="single" w:sz="4" w:space="0" w:color="auto"/>
              <w:left w:val="single" w:sz="4" w:space="0" w:color="auto"/>
              <w:bottom w:val="single" w:sz="4" w:space="0" w:color="auto"/>
              <w:right w:val="single" w:sz="4" w:space="0" w:color="auto"/>
            </w:tcBorders>
          </w:tcPr>
          <w:p w14:paraId="46F456FD" w14:textId="77777777" w:rsidR="00D94935" w:rsidRDefault="00D94935" w:rsidP="003A681D">
            <w:pPr>
              <w:pStyle w:val="TableText"/>
              <w:spacing w:before="120" w:after="120"/>
            </w:pPr>
            <w:r>
              <w:t>Separate decisions on questions—order</w:t>
            </w:r>
          </w:p>
        </w:tc>
      </w:tr>
      <w:tr w:rsidR="00D94935" w14:paraId="2A1656AD" w14:textId="77777777" w:rsidTr="00C016FF">
        <w:tc>
          <w:tcPr>
            <w:tcW w:w="1120" w:type="dxa"/>
            <w:tcBorders>
              <w:top w:val="single" w:sz="4" w:space="0" w:color="auto"/>
              <w:left w:val="single" w:sz="4" w:space="0" w:color="auto"/>
              <w:bottom w:val="single" w:sz="4" w:space="0" w:color="auto"/>
              <w:right w:val="single" w:sz="4" w:space="0" w:color="auto"/>
            </w:tcBorders>
          </w:tcPr>
          <w:p w14:paraId="4B435901" w14:textId="77777777" w:rsidR="00D94935" w:rsidRDefault="00D94935" w:rsidP="003A681D">
            <w:pPr>
              <w:pStyle w:val="TableText"/>
              <w:spacing w:before="120" w:after="120"/>
            </w:pPr>
            <w:r>
              <w:t>14</w:t>
            </w:r>
          </w:p>
        </w:tc>
        <w:tc>
          <w:tcPr>
            <w:tcW w:w="1792" w:type="dxa"/>
            <w:tcBorders>
              <w:top w:val="single" w:sz="4" w:space="0" w:color="auto"/>
              <w:left w:val="single" w:sz="4" w:space="0" w:color="auto"/>
              <w:bottom w:val="single" w:sz="4" w:space="0" w:color="auto"/>
              <w:right w:val="single" w:sz="4" w:space="0" w:color="auto"/>
            </w:tcBorders>
          </w:tcPr>
          <w:p w14:paraId="71BA5D71" w14:textId="77777777" w:rsidR="00D94935" w:rsidRDefault="00D94935" w:rsidP="003A681D">
            <w:pPr>
              <w:pStyle w:val="TableText"/>
              <w:spacing w:before="120" w:after="120"/>
            </w:pPr>
            <w:r>
              <w:t>1530</w:t>
            </w:r>
          </w:p>
        </w:tc>
        <w:tc>
          <w:tcPr>
            <w:tcW w:w="4785" w:type="dxa"/>
            <w:tcBorders>
              <w:top w:val="single" w:sz="4" w:space="0" w:color="auto"/>
              <w:left w:val="single" w:sz="4" w:space="0" w:color="auto"/>
              <w:bottom w:val="single" w:sz="4" w:space="0" w:color="auto"/>
              <w:right w:val="single" w:sz="4" w:space="0" w:color="auto"/>
            </w:tcBorders>
          </w:tcPr>
          <w:p w14:paraId="159FAF57" w14:textId="77777777" w:rsidR="00D94935" w:rsidRDefault="00D94935" w:rsidP="003A681D">
            <w:pPr>
              <w:pStyle w:val="TableText"/>
              <w:spacing w:before="120" w:after="120"/>
            </w:pPr>
            <w:r>
              <w:t>Assessors</w:t>
            </w:r>
          </w:p>
        </w:tc>
      </w:tr>
      <w:tr w:rsidR="00D94935" w14:paraId="432E2B50" w14:textId="77777777" w:rsidTr="00C016FF">
        <w:tc>
          <w:tcPr>
            <w:tcW w:w="1120" w:type="dxa"/>
            <w:tcBorders>
              <w:top w:val="single" w:sz="4" w:space="0" w:color="auto"/>
              <w:left w:val="single" w:sz="4" w:space="0" w:color="auto"/>
              <w:bottom w:val="single" w:sz="4" w:space="0" w:color="auto"/>
              <w:right w:val="single" w:sz="4" w:space="0" w:color="auto"/>
            </w:tcBorders>
          </w:tcPr>
          <w:p w14:paraId="3607FBEC" w14:textId="77777777" w:rsidR="00D94935" w:rsidRDefault="00D94935" w:rsidP="003A681D">
            <w:pPr>
              <w:pStyle w:val="TableText"/>
              <w:spacing w:before="120" w:after="120"/>
            </w:pPr>
            <w:r>
              <w:t>15</w:t>
            </w:r>
          </w:p>
        </w:tc>
        <w:tc>
          <w:tcPr>
            <w:tcW w:w="1792" w:type="dxa"/>
            <w:tcBorders>
              <w:top w:val="single" w:sz="4" w:space="0" w:color="auto"/>
              <w:left w:val="single" w:sz="4" w:space="0" w:color="auto"/>
              <w:bottom w:val="single" w:sz="4" w:space="0" w:color="auto"/>
              <w:right w:val="single" w:sz="4" w:space="0" w:color="auto"/>
            </w:tcBorders>
          </w:tcPr>
          <w:p w14:paraId="6B5854BD" w14:textId="77777777" w:rsidR="00D94935" w:rsidRDefault="00D94935" w:rsidP="003A681D">
            <w:pPr>
              <w:pStyle w:val="TableText"/>
              <w:spacing w:before="120" w:after="120"/>
            </w:pPr>
            <w:r>
              <w:t>1531</w:t>
            </w:r>
          </w:p>
        </w:tc>
        <w:tc>
          <w:tcPr>
            <w:tcW w:w="4785" w:type="dxa"/>
            <w:tcBorders>
              <w:top w:val="single" w:sz="4" w:space="0" w:color="auto"/>
              <w:left w:val="single" w:sz="4" w:space="0" w:color="auto"/>
              <w:bottom w:val="single" w:sz="4" w:space="0" w:color="auto"/>
              <w:right w:val="single" w:sz="4" w:space="0" w:color="auto"/>
            </w:tcBorders>
          </w:tcPr>
          <w:p w14:paraId="36B7C5DB" w14:textId="77777777" w:rsidR="00D94935" w:rsidRDefault="00D94935" w:rsidP="003A681D">
            <w:pPr>
              <w:pStyle w:val="TableText"/>
              <w:spacing w:before="120" w:after="120"/>
            </w:pPr>
            <w:r>
              <w:t xml:space="preserve">Referee—referral of question etc to </w:t>
            </w:r>
          </w:p>
        </w:tc>
      </w:tr>
      <w:tr w:rsidR="00D94935" w14:paraId="7BE0D7D6" w14:textId="77777777" w:rsidTr="00C016FF">
        <w:tc>
          <w:tcPr>
            <w:tcW w:w="1120" w:type="dxa"/>
            <w:tcBorders>
              <w:top w:val="single" w:sz="4" w:space="0" w:color="auto"/>
              <w:left w:val="single" w:sz="4" w:space="0" w:color="auto"/>
              <w:bottom w:val="single" w:sz="4" w:space="0" w:color="auto"/>
              <w:right w:val="single" w:sz="4" w:space="0" w:color="auto"/>
            </w:tcBorders>
          </w:tcPr>
          <w:p w14:paraId="5D408436" w14:textId="77777777" w:rsidR="00D94935" w:rsidRDefault="00D94935" w:rsidP="003A681D">
            <w:pPr>
              <w:pStyle w:val="TableText"/>
              <w:spacing w:before="120" w:after="120"/>
            </w:pPr>
            <w:r>
              <w:t>16</w:t>
            </w:r>
          </w:p>
        </w:tc>
        <w:tc>
          <w:tcPr>
            <w:tcW w:w="1792" w:type="dxa"/>
            <w:tcBorders>
              <w:top w:val="single" w:sz="4" w:space="0" w:color="auto"/>
              <w:left w:val="single" w:sz="4" w:space="0" w:color="auto"/>
              <w:bottom w:val="single" w:sz="4" w:space="0" w:color="auto"/>
              <w:right w:val="single" w:sz="4" w:space="0" w:color="auto"/>
            </w:tcBorders>
          </w:tcPr>
          <w:p w14:paraId="0F1CF7E4" w14:textId="77777777" w:rsidR="00D94935" w:rsidRDefault="00D94935" w:rsidP="003A681D">
            <w:pPr>
              <w:pStyle w:val="TableText"/>
              <w:spacing w:before="120" w:after="120"/>
            </w:pPr>
            <w:r>
              <w:t>1532</w:t>
            </w:r>
          </w:p>
        </w:tc>
        <w:tc>
          <w:tcPr>
            <w:tcW w:w="4785" w:type="dxa"/>
            <w:tcBorders>
              <w:top w:val="single" w:sz="4" w:space="0" w:color="auto"/>
              <w:left w:val="single" w:sz="4" w:space="0" w:color="auto"/>
              <w:bottom w:val="single" w:sz="4" w:space="0" w:color="auto"/>
              <w:right w:val="single" w:sz="4" w:space="0" w:color="auto"/>
            </w:tcBorders>
          </w:tcPr>
          <w:p w14:paraId="655EAB5C" w14:textId="77777777" w:rsidR="00D94935" w:rsidRDefault="00D94935" w:rsidP="003A681D">
            <w:pPr>
              <w:pStyle w:val="TableText"/>
              <w:spacing w:before="120" w:after="120"/>
            </w:pPr>
            <w:r>
              <w:t xml:space="preserve">Referee—appointment </w:t>
            </w:r>
          </w:p>
        </w:tc>
      </w:tr>
      <w:tr w:rsidR="00D94935" w14:paraId="345DDA52" w14:textId="77777777" w:rsidTr="00C016FF">
        <w:tc>
          <w:tcPr>
            <w:tcW w:w="1120" w:type="dxa"/>
            <w:tcBorders>
              <w:top w:val="single" w:sz="4" w:space="0" w:color="auto"/>
              <w:left w:val="single" w:sz="4" w:space="0" w:color="auto"/>
              <w:bottom w:val="single" w:sz="4" w:space="0" w:color="auto"/>
              <w:right w:val="single" w:sz="4" w:space="0" w:color="auto"/>
            </w:tcBorders>
          </w:tcPr>
          <w:p w14:paraId="7BC530C3" w14:textId="77777777" w:rsidR="00D94935" w:rsidRDefault="00D94935" w:rsidP="003A681D">
            <w:pPr>
              <w:pStyle w:val="TableText"/>
              <w:spacing w:before="120" w:after="120"/>
            </w:pPr>
            <w:r>
              <w:t>17</w:t>
            </w:r>
          </w:p>
        </w:tc>
        <w:tc>
          <w:tcPr>
            <w:tcW w:w="1792" w:type="dxa"/>
            <w:tcBorders>
              <w:top w:val="single" w:sz="4" w:space="0" w:color="auto"/>
              <w:left w:val="single" w:sz="4" w:space="0" w:color="auto"/>
              <w:bottom w:val="single" w:sz="4" w:space="0" w:color="auto"/>
              <w:right w:val="single" w:sz="4" w:space="0" w:color="auto"/>
            </w:tcBorders>
          </w:tcPr>
          <w:p w14:paraId="56ECAB24" w14:textId="77777777" w:rsidR="00D94935" w:rsidRDefault="00D94935" w:rsidP="003A681D">
            <w:pPr>
              <w:pStyle w:val="TableText"/>
              <w:spacing w:before="120" w:after="120"/>
            </w:pPr>
            <w:r>
              <w:t>1533</w:t>
            </w:r>
          </w:p>
        </w:tc>
        <w:tc>
          <w:tcPr>
            <w:tcW w:w="4785" w:type="dxa"/>
            <w:tcBorders>
              <w:top w:val="single" w:sz="4" w:space="0" w:color="auto"/>
              <w:left w:val="single" w:sz="4" w:space="0" w:color="auto"/>
              <w:bottom w:val="single" w:sz="4" w:space="0" w:color="auto"/>
              <w:right w:val="single" w:sz="4" w:space="0" w:color="auto"/>
            </w:tcBorders>
          </w:tcPr>
          <w:p w14:paraId="506E591F" w14:textId="77777777" w:rsidR="00D94935" w:rsidRDefault="00D94935" w:rsidP="003A681D">
            <w:pPr>
              <w:pStyle w:val="TableText"/>
              <w:spacing w:before="120" w:after="120"/>
            </w:pPr>
            <w:r>
              <w:t>Referee—amendment of order referring question etc</w:t>
            </w:r>
          </w:p>
        </w:tc>
      </w:tr>
      <w:tr w:rsidR="00D94935" w14:paraId="47AAC18D" w14:textId="77777777" w:rsidTr="00C016FF">
        <w:tc>
          <w:tcPr>
            <w:tcW w:w="1120" w:type="dxa"/>
            <w:tcBorders>
              <w:top w:val="single" w:sz="4" w:space="0" w:color="auto"/>
              <w:left w:val="single" w:sz="4" w:space="0" w:color="auto"/>
              <w:bottom w:val="single" w:sz="4" w:space="0" w:color="auto"/>
              <w:right w:val="single" w:sz="4" w:space="0" w:color="auto"/>
            </w:tcBorders>
          </w:tcPr>
          <w:p w14:paraId="0F8D5063" w14:textId="77777777" w:rsidR="00D94935" w:rsidRDefault="00D94935" w:rsidP="003A681D">
            <w:pPr>
              <w:pStyle w:val="TableText"/>
              <w:spacing w:before="120" w:after="120"/>
            </w:pPr>
            <w:r>
              <w:t>18</w:t>
            </w:r>
          </w:p>
        </w:tc>
        <w:tc>
          <w:tcPr>
            <w:tcW w:w="1792" w:type="dxa"/>
            <w:tcBorders>
              <w:top w:val="single" w:sz="4" w:space="0" w:color="auto"/>
              <w:left w:val="single" w:sz="4" w:space="0" w:color="auto"/>
              <w:bottom w:val="single" w:sz="4" w:space="0" w:color="auto"/>
              <w:right w:val="single" w:sz="4" w:space="0" w:color="auto"/>
            </w:tcBorders>
          </w:tcPr>
          <w:p w14:paraId="3B519C37" w14:textId="77777777" w:rsidR="00D94935" w:rsidRDefault="00D94935" w:rsidP="003A681D">
            <w:pPr>
              <w:pStyle w:val="TableText"/>
              <w:spacing w:before="120" w:after="120"/>
            </w:pPr>
            <w:r>
              <w:t>1536</w:t>
            </w:r>
          </w:p>
        </w:tc>
        <w:tc>
          <w:tcPr>
            <w:tcW w:w="4785" w:type="dxa"/>
            <w:tcBorders>
              <w:top w:val="single" w:sz="4" w:space="0" w:color="auto"/>
              <w:left w:val="single" w:sz="4" w:space="0" w:color="auto"/>
              <w:bottom w:val="single" w:sz="4" w:space="0" w:color="auto"/>
              <w:right w:val="single" w:sz="4" w:space="0" w:color="auto"/>
            </w:tcBorders>
          </w:tcPr>
          <w:p w14:paraId="44E2B0F0" w14:textId="77777777" w:rsidR="00D94935" w:rsidRDefault="00D94935" w:rsidP="003A681D">
            <w:pPr>
              <w:pStyle w:val="TableText"/>
              <w:spacing w:before="120" w:after="120"/>
            </w:pPr>
            <w:r>
              <w:t>Referee—report</w:t>
            </w:r>
          </w:p>
        </w:tc>
      </w:tr>
      <w:tr w:rsidR="00D94935" w14:paraId="512B99FF" w14:textId="77777777" w:rsidTr="00C016FF">
        <w:tc>
          <w:tcPr>
            <w:tcW w:w="1120" w:type="dxa"/>
            <w:tcBorders>
              <w:top w:val="single" w:sz="4" w:space="0" w:color="auto"/>
              <w:left w:val="single" w:sz="4" w:space="0" w:color="auto"/>
              <w:bottom w:val="single" w:sz="4" w:space="0" w:color="auto"/>
              <w:right w:val="single" w:sz="4" w:space="0" w:color="auto"/>
            </w:tcBorders>
          </w:tcPr>
          <w:p w14:paraId="7CD01A4E" w14:textId="77777777" w:rsidR="00D94935" w:rsidRDefault="00D94935" w:rsidP="003A681D">
            <w:pPr>
              <w:pStyle w:val="TableText"/>
              <w:spacing w:before="120" w:after="120"/>
            </w:pPr>
            <w:r>
              <w:t>19</w:t>
            </w:r>
          </w:p>
        </w:tc>
        <w:tc>
          <w:tcPr>
            <w:tcW w:w="1792" w:type="dxa"/>
            <w:tcBorders>
              <w:top w:val="single" w:sz="4" w:space="0" w:color="auto"/>
              <w:left w:val="single" w:sz="4" w:space="0" w:color="auto"/>
              <w:bottom w:val="single" w:sz="4" w:space="0" w:color="auto"/>
              <w:right w:val="single" w:sz="4" w:space="0" w:color="auto"/>
            </w:tcBorders>
          </w:tcPr>
          <w:p w14:paraId="568E2B9A" w14:textId="77777777" w:rsidR="00D94935" w:rsidRDefault="00D94935" w:rsidP="003A681D">
            <w:pPr>
              <w:pStyle w:val="TableText"/>
              <w:spacing w:before="120" w:after="120"/>
            </w:pPr>
            <w:r>
              <w:t>1537</w:t>
            </w:r>
          </w:p>
        </w:tc>
        <w:tc>
          <w:tcPr>
            <w:tcW w:w="4785" w:type="dxa"/>
            <w:tcBorders>
              <w:top w:val="single" w:sz="4" w:space="0" w:color="auto"/>
              <w:left w:val="single" w:sz="4" w:space="0" w:color="auto"/>
              <w:bottom w:val="single" w:sz="4" w:space="0" w:color="auto"/>
              <w:right w:val="single" w:sz="4" w:space="0" w:color="auto"/>
            </w:tcBorders>
          </w:tcPr>
          <w:p w14:paraId="272BAA28" w14:textId="77777777" w:rsidR="00D94935" w:rsidRDefault="00D94935" w:rsidP="003A681D">
            <w:pPr>
              <w:pStyle w:val="TableText"/>
              <w:spacing w:before="120" w:after="120"/>
            </w:pPr>
            <w:r>
              <w:t xml:space="preserve">Referee—proceeding on report </w:t>
            </w:r>
          </w:p>
        </w:tc>
      </w:tr>
      <w:tr w:rsidR="00D94935" w14:paraId="32455A6A" w14:textId="77777777" w:rsidTr="00C016FF">
        <w:tc>
          <w:tcPr>
            <w:tcW w:w="1120" w:type="dxa"/>
            <w:tcBorders>
              <w:top w:val="single" w:sz="4" w:space="0" w:color="auto"/>
              <w:left w:val="single" w:sz="4" w:space="0" w:color="auto"/>
              <w:bottom w:val="single" w:sz="4" w:space="0" w:color="auto"/>
              <w:right w:val="single" w:sz="4" w:space="0" w:color="auto"/>
            </w:tcBorders>
          </w:tcPr>
          <w:p w14:paraId="10BFA0D5" w14:textId="77777777" w:rsidR="00D94935" w:rsidRDefault="00D94935" w:rsidP="003A681D">
            <w:pPr>
              <w:pStyle w:val="TableText"/>
              <w:spacing w:before="120" w:after="120"/>
            </w:pPr>
            <w:r>
              <w:t>20</w:t>
            </w:r>
          </w:p>
        </w:tc>
        <w:tc>
          <w:tcPr>
            <w:tcW w:w="1792" w:type="dxa"/>
            <w:tcBorders>
              <w:top w:val="single" w:sz="4" w:space="0" w:color="auto"/>
              <w:left w:val="single" w:sz="4" w:space="0" w:color="auto"/>
              <w:bottom w:val="single" w:sz="4" w:space="0" w:color="auto"/>
              <w:right w:val="single" w:sz="4" w:space="0" w:color="auto"/>
            </w:tcBorders>
          </w:tcPr>
          <w:p w14:paraId="2289D303" w14:textId="77777777" w:rsidR="00D94935" w:rsidRDefault="00D94935" w:rsidP="003A681D">
            <w:pPr>
              <w:pStyle w:val="TableText"/>
              <w:spacing w:before="120" w:after="120"/>
            </w:pPr>
            <w:r>
              <w:t>1548</w:t>
            </w:r>
          </w:p>
        </w:tc>
        <w:tc>
          <w:tcPr>
            <w:tcW w:w="4785" w:type="dxa"/>
            <w:tcBorders>
              <w:top w:val="single" w:sz="4" w:space="0" w:color="auto"/>
              <w:left w:val="single" w:sz="4" w:space="0" w:color="auto"/>
              <w:bottom w:val="single" w:sz="4" w:space="0" w:color="auto"/>
              <w:right w:val="single" w:sz="4" w:space="0" w:color="auto"/>
            </w:tcBorders>
          </w:tcPr>
          <w:p w14:paraId="1C70E672" w14:textId="77777777" w:rsidR="00D94935" w:rsidRDefault="00D94935" w:rsidP="003A681D">
            <w:pPr>
              <w:pStyle w:val="TableText"/>
              <w:spacing w:before="120" w:after="120"/>
            </w:pPr>
            <w:r>
              <w:t>Partial judgment for damages to be assessed</w:t>
            </w:r>
          </w:p>
        </w:tc>
      </w:tr>
      <w:tr w:rsidR="00D94935" w14:paraId="76ED852E" w14:textId="77777777" w:rsidTr="00C016FF">
        <w:tc>
          <w:tcPr>
            <w:tcW w:w="1120" w:type="dxa"/>
            <w:tcBorders>
              <w:top w:val="single" w:sz="4" w:space="0" w:color="auto"/>
              <w:left w:val="single" w:sz="4" w:space="0" w:color="auto"/>
              <w:bottom w:val="single" w:sz="4" w:space="0" w:color="auto"/>
              <w:right w:val="single" w:sz="4" w:space="0" w:color="auto"/>
            </w:tcBorders>
          </w:tcPr>
          <w:p w14:paraId="29AA546C" w14:textId="77777777" w:rsidR="00D94935" w:rsidRDefault="00D94935" w:rsidP="003A681D">
            <w:pPr>
              <w:pStyle w:val="TableText"/>
              <w:spacing w:before="120" w:after="120"/>
            </w:pPr>
            <w:r>
              <w:t>21</w:t>
            </w:r>
          </w:p>
        </w:tc>
        <w:tc>
          <w:tcPr>
            <w:tcW w:w="1792" w:type="dxa"/>
            <w:tcBorders>
              <w:top w:val="single" w:sz="4" w:space="0" w:color="auto"/>
              <w:left w:val="single" w:sz="4" w:space="0" w:color="auto"/>
              <w:bottom w:val="single" w:sz="4" w:space="0" w:color="auto"/>
              <w:right w:val="single" w:sz="4" w:space="0" w:color="auto"/>
            </w:tcBorders>
          </w:tcPr>
          <w:p w14:paraId="06758AC1" w14:textId="77777777" w:rsidR="00D94935" w:rsidRDefault="00D94935" w:rsidP="003A681D">
            <w:pPr>
              <w:pStyle w:val="TableText"/>
              <w:spacing w:before="120" w:after="120"/>
            </w:pPr>
            <w:r>
              <w:t>1607</w:t>
            </w:r>
          </w:p>
        </w:tc>
        <w:tc>
          <w:tcPr>
            <w:tcW w:w="4785" w:type="dxa"/>
            <w:tcBorders>
              <w:top w:val="single" w:sz="4" w:space="0" w:color="auto"/>
              <w:left w:val="single" w:sz="4" w:space="0" w:color="auto"/>
              <w:bottom w:val="single" w:sz="4" w:space="0" w:color="auto"/>
              <w:right w:val="single" w:sz="4" w:space="0" w:color="auto"/>
            </w:tcBorders>
          </w:tcPr>
          <w:p w14:paraId="6658C795" w14:textId="77777777" w:rsidR="00D94935" w:rsidRDefault="00D94935" w:rsidP="003A681D">
            <w:pPr>
              <w:pStyle w:val="TableText"/>
              <w:spacing w:before="120" w:after="120"/>
            </w:pPr>
            <w:r>
              <w:t>Orders—certified duplicate</w:t>
            </w:r>
          </w:p>
        </w:tc>
      </w:tr>
      <w:tr w:rsidR="00D94935" w14:paraId="458F6434" w14:textId="77777777" w:rsidTr="00C016FF">
        <w:trPr>
          <w:cantSplit/>
        </w:trPr>
        <w:tc>
          <w:tcPr>
            <w:tcW w:w="1120" w:type="dxa"/>
            <w:tcBorders>
              <w:top w:val="single" w:sz="4" w:space="0" w:color="auto"/>
              <w:left w:val="single" w:sz="4" w:space="0" w:color="auto"/>
              <w:bottom w:val="single" w:sz="4" w:space="0" w:color="auto"/>
              <w:right w:val="single" w:sz="4" w:space="0" w:color="auto"/>
            </w:tcBorders>
          </w:tcPr>
          <w:p w14:paraId="111B1EB0" w14:textId="77777777" w:rsidR="00D94935" w:rsidRDefault="00D94935" w:rsidP="003A681D">
            <w:pPr>
              <w:pStyle w:val="TableText"/>
              <w:spacing w:before="120" w:after="120"/>
            </w:pPr>
            <w:r>
              <w:t>22</w:t>
            </w:r>
          </w:p>
        </w:tc>
        <w:tc>
          <w:tcPr>
            <w:tcW w:w="1792" w:type="dxa"/>
            <w:tcBorders>
              <w:top w:val="single" w:sz="4" w:space="0" w:color="auto"/>
              <w:left w:val="single" w:sz="4" w:space="0" w:color="auto"/>
              <w:bottom w:val="single" w:sz="4" w:space="0" w:color="auto"/>
              <w:right w:val="single" w:sz="4" w:space="0" w:color="auto"/>
            </w:tcBorders>
          </w:tcPr>
          <w:p w14:paraId="58750BD8" w14:textId="77777777" w:rsidR="00D94935" w:rsidRDefault="00D94935" w:rsidP="003A681D">
            <w:pPr>
              <w:pStyle w:val="TableText"/>
              <w:spacing w:before="120" w:after="120"/>
            </w:pPr>
            <w:r>
              <w:t>1617</w:t>
            </w:r>
          </w:p>
        </w:tc>
        <w:tc>
          <w:tcPr>
            <w:tcW w:w="4785" w:type="dxa"/>
            <w:tcBorders>
              <w:top w:val="single" w:sz="4" w:space="0" w:color="auto"/>
              <w:left w:val="single" w:sz="4" w:space="0" w:color="auto"/>
              <w:bottom w:val="single" w:sz="4" w:space="0" w:color="auto"/>
              <w:right w:val="single" w:sz="4" w:space="0" w:color="auto"/>
            </w:tcBorders>
          </w:tcPr>
          <w:p w14:paraId="1D54495E" w14:textId="77777777" w:rsidR="00D94935" w:rsidRDefault="00D94935" w:rsidP="003A681D">
            <w:pPr>
              <w:pStyle w:val="TableText"/>
              <w:spacing w:before="120" w:after="120"/>
            </w:pPr>
            <w:r>
              <w:t>Payment into court—amount recovered by person with legal disability</w:t>
            </w:r>
          </w:p>
        </w:tc>
      </w:tr>
      <w:tr w:rsidR="00D94935" w14:paraId="2BE82998" w14:textId="77777777" w:rsidTr="00C016FF">
        <w:tc>
          <w:tcPr>
            <w:tcW w:w="1120" w:type="dxa"/>
            <w:tcBorders>
              <w:top w:val="single" w:sz="4" w:space="0" w:color="auto"/>
              <w:left w:val="single" w:sz="4" w:space="0" w:color="auto"/>
              <w:bottom w:val="single" w:sz="4" w:space="0" w:color="auto"/>
              <w:right w:val="single" w:sz="4" w:space="0" w:color="auto"/>
            </w:tcBorders>
          </w:tcPr>
          <w:p w14:paraId="2903FC8D" w14:textId="77777777" w:rsidR="00D94935" w:rsidRDefault="00D94935" w:rsidP="003A681D">
            <w:pPr>
              <w:pStyle w:val="TableText"/>
              <w:spacing w:before="120" w:after="120"/>
            </w:pPr>
            <w:r>
              <w:t>23</w:t>
            </w:r>
          </w:p>
        </w:tc>
        <w:tc>
          <w:tcPr>
            <w:tcW w:w="1792" w:type="dxa"/>
            <w:tcBorders>
              <w:top w:val="single" w:sz="4" w:space="0" w:color="auto"/>
              <w:left w:val="single" w:sz="4" w:space="0" w:color="auto"/>
              <w:bottom w:val="single" w:sz="4" w:space="0" w:color="auto"/>
              <w:right w:val="single" w:sz="4" w:space="0" w:color="auto"/>
            </w:tcBorders>
          </w:tcPr>
          <w:p w14:paraId="18FC8903" w14:textId="77777777" w:rsidR="00D94935" w:rsidRDefault="00D94935" w:rsidP="003A681D">
            <w:pPr>
              <w:pStyle w:val="TableText"/>
              <w:spacing w:before="120" w:after="120"/>
            </w:pPr>
            <w:r>
              <w:t>1855</w:t>
            </w:r>
          </w:p>
        </w:tc>
        <w:tc>
          <w:tcPr>
            <w:tcW w:w="4785" w:type="dxa"/>
            <w:tcBorders>
              <w:top w:val="single" w:sz="4" w:space="0" w:color="auto"/>
              <w:left w:val="single" w:sz="4" w:space="0" w:color="auto"/>
              <w:bottom w:val="single" w:sz="4" w:space="0" w:color="auto"/>
              <w:right w:val="single" w:sz="4" w:space="0" w:color="auto"/>
            </w:tcBorders>
          </w:tcPr>
          <w:p w14:paraId="2B20FF20" w14:textId="77777777" w:rsidR="00D94935" w:rsidRDefault="00D94935" w:rsidP="003A681D">
            <w:pPr>
              <w:pStyle w:val="TableText"/>
              <w:spacing w:before="120" w:after="120"/>
            </w:pPr>
            <w:r>
              <w:t>Costs—review by court</w:t>
            </w:r>
          </w:p>
        </w:tc>
      </w:tr>
      <w:tr w:rsidR="00D94935" w14:paraId="35A4BCD3" w14:textId="77777777" w:rsidTr="00C016FF">
        <w:tc>
          <w:tcPr>
            <w:tcW w:w="1120" w:type="dxa"/>
            <w:tcBorders>
              <w:top w:val="single" w:sz="4" w:space="0" w:color="auto"/>
              <w:left w:val="single" w:sz="4" w:space="0" w:color="auto"/>
              <w:bottom w:val="single" w:sz="4" w:space="0" w:color="auto"/>
              <w:right w:val="single" w:sz="4" w:space="0" w:color="auto"/>
            </w:tcBorders>
          </w:tcPr>
          <w:p w14:paraId="04908430" w14:textId="77777777" w:rsidR="00D94935" w:rsidRDefault="00D94935" w:rsidP="003A681D">
            <w:pPr>
              <w:pStyle w:val="TableText"/>
              <w:spacing w:before="120" w:after="120"/>
            </w:pPr>
            <w:r>
              <w:t>24</w:t>
            </w:r>
          </w:p>
        </w:tc>
        <w:tc>
          <w:tcPr>
            <w:tcW w:w="1792" w:type="dxa"/>
            <w:tcBorders>
              <w:top w:val="single" w:sz="4" w:space="0" w:color="auto"/>
              <w:left w:val="single" w:sz="4" w:space="0" w:color="auto"/>
              <w:bottom w:val="single" w:sz="4" w:space="0" w:color="auto"/>
              <w:right w:val="single" w:sz="4" w:space="0" w:color="auto"/>
            </w:tcBorders>
          </w:tcPr>
          <w:p w14:paraId="372BE25B" w14:textId="77777777" w:rsidR="00D94935" w:rsidRDefault="00D94935" w:rsidP="003A681D">
            <w:pPr>
              <w:pStyle w:val="TableText"/>
              <w:spacing w:before="120" w:after="120"/>
            </w:pPr>
            <w:r>
              <w:t>2220</w:t>
            </w:r>
          </w:p>
        </w:tc>
        <w:tc>
          <w:tcPr>
            <w:tcW w:w="4785" w:type="dxa"/>
            <w:tcBorders>
              <w:top w:val="single" w:sz="4" w:space="0" w:color="auto"/>
              <w:left w:val="single" w:sz="4" w:space="0" w:color="auto"/>
              <w:bottom w:val="single" w:sz="4" w:space="0" w:color="auto"/>
              <w:right w:val="single" w:sz="4" w:space="0" w:color="auto"/>
            </w:tcBorders>
          </w:tcPr>
          <w:p w14:paraId="29978A63" w14:textId="77777777" w:rsidR="00D94935" w:rsidRDefault="00D94935" w:rsidP="003A681D">
            <w:pPr>
              <w:pStyle w:val="TableText"/>
              <w:spacing w:before="120" w:after="120"/>
            </w:pPr>
            <w:r>
              <w:t>Seizure and sale order—sale at best price obtainable</w:t>
            </w:r>
          </w:p>
        </w:tc>
      </w:tr>
      <w:tr w:rsidR="00D94935" w14:paraId="6D21EA8E" w14:textId="77777777" w:rsidTr="00C016FF">
        <w:tc>
          <w:tcPr>
            <w:tcW w:w="1120" w:type="dxa"/>
            <w:tcBorders>
              <w:top w:val="single" w:sz="4" w:space="0" w:color="auto"/>
              <w:left w:val="single" w:sz="4" w:space="0" w:color="auto"/>
              <w:bottom w:val="single" w:sz="4" w:space="0" w:color="auto"/>
              <w:right w:val="single" w:sz="4" w:space="0" w:color="auto"/>
            </w:tcBorders>
          </w:tcPr>
          <w:p w14:paraId="0BECC1B9" w14:textId="77777777" w:rsidR="00D94935" w:rsidRDefault="00D94935" w:rsidP="003A681D">
            <w:pPr>
              <w:pStyle w:val="TableText"/>
              <w:spacing w:before="120" w:after="120"/>
            </w:pPr>
            <w:r>
              <w:lastRenderedPageBreak/>
              <w:t>25</w:t>
            </w:r>
          </w:p>
        </w:tc>
        <w:tc>
          <w:tcPr>
            <w:tcW w:w="1792" w:type="dxa"/>
            <w:tcBorders>
              <w:top w:val="single" w:sz="4" w:space="0" w:color="auto"/>
              <w:left w:val="single" w:sz="4" w:space="0" w:color="auto"/>
              <w:bottom w:val="single" w:sz="4" w:space="0" w:color="auto"/>
              <w:right w:val="single" w:sz="4" w:space="0" w:color="auto"/>
            </w:tcBorders>
          </w:tcPr>
          <w:p w14:paraId="14D08C3C" w14:textId="77777777" w:rsidR="00D94935" w:rsidRDefault="00D94935" w:rsidP="003A681D">
            <w:pPr>
              <w:pStyle w:val="TableText"/>
              <w:spacing w:before="120" w:after="120"/>
            </w:pPr>
            <w:r>
              <w:t>2443</w:t>
            </w:r>
          </w:p>
        </w:tc>
        <w:tc>
          <w:tcPr>
            <w:tcW w:w="4785" w:type="dxa"/>
            <w:tcBorders>
              <w:top w:val="single" w:sz="4" w:space="0" w:color="auto"/>
              <w:left w:val="single" w:sz="4" w:space="0" w:color="auto"/>
              <w:bottom w:val="single" w:sz="4" w:space="0" w:color="auto"/>
              <w:right w:val="single" w:sz="4" w:space="0" w:color="auto"/>
            </w:tcBorders>
          </w:tcPr>
          <w:p w14:paraId="1FA08BDA" w14:textId="77777777" w:rsidR="00D94935" w:rsidRDefault="00D94935" w:rsidP="003A681D">
            <w:pPr>
              <w:pStyle w:val="TableText"/>
              <w:spacing w:before="120" w:after="120"/>
            </w:pPr>
            <w:r>
              <w:t>Enforcement—undertakings</w:t>
            </w:r>
          </w:p>
        </w:tc>
      </w:tr>
      <w:tr w:rsidR="00D94935" w14:paraId="5548035E" w14:textId="77777777" w:rsidTr="00C016FF">
        <w:tc>
          <w:tcPr>
            <w:tcW w:w="1120" w:type="dxa"/>
            <w:tcBorders>
              <w:top w:val="single" w:sz="4" w:space="0" w:color="auto"/>
              <w:left w:val="single" w:sz="4" w:space="0" w:color="auto"/>
              <w:bottom w:val="single" w:sz="4" w:space="0" w:color="auto"/>
              <w:right w:val="single" w:sz="4" w:space="0" w:color="auto"/>
            </w:tcBorders>
          </w:tcPr>
          <w:p w14:paraId="49304AE9" w14:textId="77777777" w:rsidR="00D94935" w:rsidRDefault="00D94935" w:rsidP="003A681D">
            <w:pPr>
              <w:pStyle w:val="TableText"/>
              <w:spacing w:before="120" w:after="120"/>
            </w:pPr>
            <w:r>
              <w:t>26</w:t>
            </w:r>
          </w:p>
        </w:tc>
        <w:tc>
          <w:tcPr>
            <w:tcW w:w="1792" w:type="dxa"/>
            <w:tcBorders>
              <w:top w:val="single" w:sz="4" w:space="0" w:color="auto"/>
              <w:left w:val="single" w:sz="4" w:space="0" w:color="auto"/>
              <w:bottom w:val="single" w:sz="4" w:space="0" w:color="auto"/>
              <w:right w:val="single" w:sz="4" w:space="0" w:color="auto"/>
            </w:tcBorders>
          </w:tcPr>
          <w:p w14:paraId="5CB6BA43" w14:textId="77777777" w:rsidR="00D94935" w:rsidRDefault="00D94935" w:rsidP="003A681D">
            <w:pPr>
              <w:pStyle w:val="TableText"/>
              <w:spacing w:before="120" w:after="120"/>
            </w:pPr>
            <w:r>
              <w:t>2501</w:t>
            </w:r>
          </w:p>
        </w:tc>
        <w:tc>
          <w:tcPr>
            <w:tcW w:w="4785" w:type="dxa"/>
            <w:tcBorders>
              <w:top w:val="single" w:sz="4" w:space="0" w:color="auto"/>
              <w:left w:val="single" w:sz="4" w:space="0" w:color="auto"/>
              <w:bottom w:val="single" w:sz="4" w:space="0" w:color="auto"/>
              <w:right w:val="single" w:sz="4" w:space="0" w:color="auto"/>
            </w:tcBorders>
          </w:tcPr>
          <w:p w14:paraId="69149293" w14:textId="77777777" w:rsidR="00D94935" w:rsidRDefault="00D94935" w:rsidP="003A681D">
            <w:pPr>
              <w:pStyle w:val="TableText"/>
              <w:spacing w:before="120" w:after="120"/>
            </w:pPr>
            <w:r>
              <w:t>Contempt—applications generally</w:t>
            </w:r>
          </w:p>
        </w:tc>
      </w:tr>
      <w:tr w:rsidR="00D94935" w14:paraId="5CC03321" w14:textId="77777777" w:rsidTr="00C016FF">
        <w:tc>
          <w:tcPr>
            <w:tcW w:w="1120" w:type="dxa"/>
            <w:tcBorders>
              <w:top w:val="single" w:sz="4" w:space="0" w:color="auto"/>
              <w:left w:val="single" w:sz="4" w:space="0" w:color="auto"/>
              <w:bottom w:val="single" w:sz="4" w:space="0" w:color="auto"/>
              <w:right w:val="single" w:sz="4" w:space="0" w:color="auto"/>
            </w:tcBorders>
          </w:tcPr>
          <w:p w14:paraId="46B6118D" w14:textId="77777777" w:rsidR="00D94935" w:rsidRDefault="00D94935" w:rsidP="003A681D">
            <w:pPr>
              <w:pStyle w:val="TableText"/>
              <w:spacing w:before="120" w:after="120"/>
            </w:pPr>
            <w:r>
              <w:t>27</w:t>
            </w:r>
          </w:p>
        </w:tc>
        <w:tc>
          <w:tcPr>
            <w:tcW w:w="1792" w:type="dxa"/>
            <w:tcBorders>
              <w:top w:val="single" w:sz="4" w:space="0" w:color="auto"/>
              <w:left w:val="single" w:sz="4" w:space="0" w:color="auto"/>
              <w:bottom w:val="single" w:sz="4" w:space="0" w:color="auto"/>
              <w:right w:val="single" w:sz="4" w:space="0" w:color="auto"/>
            </w:tcBorders>
          </w:tcPr>
          <w:p w14:paraId="51CC3759" w14:textId="77777777" w:rsidR="00D94935" w:rsidRDefault="00D94935" w:rsidP="003A681D">
            <w:pPr>
              <w:pStyle w:val="TableText"/>
              <w:spacing w:before="120" w:after="120"/>
            </w:pPr>
            <w:r>
              <w:t>2600</w:t>
            </w:r>
          </w:p>
        </w:tc>
        <w:tc>
          <w:tcPr>
            <w:tcW w:w="4785" w:type="dxa"/>
            <w:tcBorders>
              <w:top w:val="single" w:sz="4" w:space="0" w:color="auto"/>
              <w:left w:val="single" w:sz="4" w:space="0" w:color="auto"/>
              <w:bottom w:val="single" w:sz="4" w:space="0" w:color="auto"/>
              <w:right w:val="single" w:sz="4" w:space="0" w:color="auto"/>
            </w:tcBorders>
          </w:tcPr>
          <w:p w14:paraId="2274251B" w14:textId="77777777" w:rsidR="00D94935" w:rsidRDefault="00D94935" w:rsidP="003A681D">
            <w:pPr>
              <w:pStyle w:val="TableText"/>
              <w:spacing w:before="120" w:after="120"/>
            </w:pPr>
            <w:r>
              <w:t>Interpleader—application by stakeholder</w:t>
            </w:r>
          </w:p>
        </w:tc>
      </w:tr>
      <w:tr w:rsidR="00D94935" w14:paraId="2E291152" w14:textId="77777777" w:rsidTr="00C016FF">
        <w:tc>
          <w:tcPr>
            <w:tcW w:w="1120" w:type="dxa"/>
            <w:tcBorders>
              <w:top w:val="single" w:sz="4" w:space="0" w:color="auto"/>
              <w:left w:val="single" w:sz="4" w:space="0" w:color="auto"/>
              <w:bottom w:val="single" w:sz="4" w:space="0" w:color="auto"/>
              <w:right w:val="single" w:sz="4" w:space="0" w:color="auto"/>
            </w:tcBorders>
          </w:tcPr>
          <w:p w14:paraId="54766D47" w14:textId="77777777" w:rsidR="00D94935" w:rsidRDefault="00D94935" w:rsidP="003A681D">
            <w:pPr>
              <w:pStyle w:val="TableText"/>
              <w:spacing w:before="120" w:after="120"/>
            </w:pPr>
            <w:r>
              <w:t>28</w:t>
            </w:r>
          </w:p>
        </w:tc>
        <w:tc>
          <w:tcPr>
            <w:tcW w:w="1792" w:type="dxa"/>
            <w:tcBorders>
              <w:top w:val="single" w:sz="4" w:space="0" w:color="auto"/>
              <w:left w:val="single" w:sz="4" w:space="0" w:color="auto"/>
              <w:bottom w:val="single" w:sz="4" w:space="0" w:color="auto"/>
              <w:right w:val="single" w:sz="4" w:space="0" w:color="auto"/>
            </w:tcBorders>
          </w:tcPr>
          <w:p w14:paraId="5E4B1309" w14:textId="77777777" w:rsidR="00D94935" w:rsidRDefault="00D94935" w:rsidP="003A681D">
            <w:pPr>
              <w:pStyle w:val="TableText"/>
              <w:spacing w:before="120" w:after="120"/>
            </w:pPr>
            <w:r>
              <w:t>2606</w:t>
            </w:r>
          </w:p>
        </w:tc>
        <w:tc>
          <w:tcPr>
            <w:tcW w:w="4785" w:type="dxa"/>
            <w:tcBorders>
              <w:top w:val="single" w:sz="4" w:space="0" w:color="auto"/>
              <w:left w:val="single" w:sz="4" w:space="0" w:color="auto"/>
              <w:bottom w:val="single" w:sz="4" w:space="0" w:color="auto"/>
              <w:right w:val="single" w:sz="4" w:space="0" w:color="auto"/>
            </w:tcBorders>
          </w:tcPr>
          <w:p w14:paraId="01261CBC" w14:textId="77777777" w:rsidR="00D94935" w:rsidRDefault="00D94935" w:rsidP="003A681D">
            <w:pPr>
              <w:pStyle w:val="TableText"/>
              <w:spacing w:before="120" w:after="120"/>
            </w:pPr>
            <w:r>
              <w:t>Interpleader—failure to give notice of claim</w:t>
            </w:r>
          </w:p>
        </w:tc>
      </w:tr>
      <w:tr w:rsidR="00D94935" w14:paraId="490EA4AD" w14:textId="77777777" w:rsidTr="00C016FF">
        <w:tc>
          <w:tcPr>
            <w:tcW w:w="1120" w:type="dxa"/>
            <w:tcBorders>
              <w:top w:val="single" w:sz="4" w:space="0" w:color="auto"/>
              <w:left w:val="single" w:sz="4" w:space="0" w:color="auto"/>
              <w:bottom w:val="single" w:sz="4" w:space="0" w:color="auto"/>
              <w:right w:val="single" w:sz="4" w:space="0" w:color="auto"/>
            </w:tcBorders>
          </w:tcPr>
          <w:p w14:paraId="788A3308" w14:textId="77777777" w:rsidR="00D94935" w:rsidRDefault="00D94935" w:rsidP="003A681D">
            <w:pPr>
              <w:pStyle w:val="TableText"/>
              <w:spacing w:before="120" w:after="120"/>
            </w:pPr>
            <w:r>
              <w:t>29</w:t>
            </w:r>
          </w:p>
        </w:tc>
        <w:tc>
          <w:tcPr>
            <w:tcW w:w="1792" w:type="dxa"/>
            <w:tcBorders>
              <w:top w:val="single" w:sz="4" w:space="0" w:color="auto"/>
              <w:left w:val="single" w:sz="4" w:space="0" w:color="auto"/>
              <w:bottom w:val="single" w:sz="4" w:space="0" w:color="auto"/>
              <w:right w:val="single" w:sz="4" w:space="0" w:color="auto"/>
            </w:tcBorders>
          </w:tcPr>
          <w:p w14:paraId="68D4A0BE" w14:textId="77777777" w:rsidR="00D94935" w:rsidRDefault="00D94935" w:rsidP="003A681D">
            <w:pPr>
              <w:pStyle w:val="TableText"/>
              <w:spacing w:before="120" w:after="120"/>
            </w:pPr>
            <w:r>
              <w:t>2608</w:t>
            </w:r>
          </w:p>
        </w:tc>
        <w:tc>
          <w:tcPr>
            <w:tcW w:w="4785" w:type="dxa"/>
            <w:tcBorders>
              <w:top w:val="single" w:sz="4" w:space="0" w:color="auto"/>
              <w:left w:val="single" w:sz="4" w:space="0" w:color="auto"/>
              <w:bottom w:val="single" w:sz="4" w:space="0" w:color="auto"/>
              <w:right w:val="single" w:sz="4" w:space="0" w:color="auto"/>
            </w:tcBorders>
          </w:tcPr>
          <w:p w14:paraId="402791BC" w14:textId="77777777" w:rsidR="00D94935" w:rsidRDefault="00D94935" w:rsidP="003A681D">
            <w:pPr>
              <w:pStyle w:val="TableText"/>
              <w:spacing w:before="120" w:after="120"/>
            </w:pPr>
            <w:r>
              <w:t>Interpleader—admission of claim</w:t>
            </w:r>
          </w:p>
        </w:tc>
      </w:tr>
      <w:tr w:rsidR="00D94935" w14:paraId="6E05450E" w14:textId="77777777" w:rsidTr="00C016FF">
        <w:tc>
          <w:tcPr>
            <w:tcW w:w="1120" w:type="dxa"/>
            <w:tcBorders>
              <w:top w:val="single" w:sz="4" w:space="0" w:color="auto"/>
              <w:left w:val="single" w:sz="4" w:space="0" w:color="auto"/>
              <w:bottom w:val="single" w:sz="4" w:space="0" w:color="auto"/>
              <w:right w:val="single" w:sz="4" w:space="0" w:color="auto"/>
            </w:tcBorders>
          </w:tcPr>
          <w:p w14:paraId="51D05059" w14:textId="77777777" w:rsidR="00D94935" w:rsidRDefault="00D94935" w:rsidP="003A681D">
            <w:pPr>
              <w:pStyle w:val="TableText"/>
              <w:spacing w:before="120" w:after="120"/>
            </w:pPr>
            <w:r>
              <w:t>30</w:t>
            </w:r>
          </w:p>
        </w:tc>
        <w:tc>
          <w:tcPr>
            <w:tcW w:w="1792" w:type="dxa"/>
            <w:tcBorders>
              <w:top w:val="single" w:sz="4" w:space="0" w:color="auto"/>
              <w:left w:val="single" w:sz="4" w:space="0" w:color="auto"/>
              <w:bottom w:val="single" w:sz="4" w:space="0" w:color="auto"/>
              <w:right w:val="single" w:sz="4" w:space="0" w:color="auto"/>
            </w:tcBorders>
          </w:tcPr>
          <w:p w14:paraId="3FA73575" w14:textId="77777777" w:rsidR="00D94935" w:rsidRDefault="00D94935" w:rsidP="003A681D">
            <w:pPr>
              <w:pStyle w:val="TableText"/>
              <w:spacing w:before="120" w:after="120"/>
            </w:pPr>
            <w:r>
              <w:t>2609</w:t>
            </w:r>
          </w:p>
        </w:tc>
        <w:tc>
          <w:tcPr>
            <w:tcW w:w="4785" w:type="dxa"/>
            <w:tcBorders>
              <w:top w:val="single" w:sz="4" w:space="0" w:color="auto"/>
              <w:left w:val="single" w:sz="4" w:space="0" w:color="auto"/>
              <w:bottom w:val="single" w:sz="4" w:space="0" w:color="auto"/>
              <w:right w:val="single" w:sz="4" w:space="0" w:color="auto"/>
            </w:tcBorders>
          </w:tcPr>
          <w:p w14:paraId="0CBA9C27" w14:textId="77777777" w:rsidR="00D94935" w:rsidRDefault="00D94935" w:rsidP="003A681D">
            <w:pPr>
              <w:pStyle w:val="TableText"/>
              <w:spacing w:before="120" w:after="120"/>
            </w:pPr>
            <w:r>
              <w:t>Interpleader—enforcement officer’s interpleader application</w:t>
            </w:r>
          </w:p>
        </w:tc>
      </w:tr>
      <w:tr w:rsidR="00D94935" w14:paraId="5BD72058" w14:textId="77777777" w:rsidTr="00C016FF">
        <w:tc>
          <w:tcPr>
            <w:tcW w:w="1120" w:type="dxa"/>
            <w:tcBorders>
              <w:top w:val="single" w:sz="4" w:space="0" w:color="auto"/>
              <w:left w:val="single" w:sz="4" w:space="0" w:color="auto"/>
              <w:bottom w:val="single" w:sz="4" w:space="0" w:color="auto"/>
              <w:right w:val="single" w:sz="4" w:space="0" w:color="auto"/>
            </w:tcBorders>
          </w:tcPr>
          <w:p w14:paraId="5B370F76" w14:textId="77777777" w:rsidR="00D94935" w:rsidRDefault="00D94935" w:rsidP="003A681D">
            <w:pPr>
              <w:pStyle w:val="TableText"/>
              <w:spacing w:before="120" w:after="120"/>
            </w:pPr>
            <w:r>
              <w:t>31</w:t>
            </w:r>
          </w:p>
        </w:tc>
        <w:tc>
          <w:tcPr>
            <w:tcW w:w="1792" w:type="dxa"/>
            <w:tcBorders>
              <w:top w:val="single" w:sz="4" w:space="0" w:color="auto"/>
              <w:left w:val="single" w:sz="4" w:space="0" w:color="auto"/>
              <w:bottom w:val="single" w:sz="4" w:space="0" w:color="auto"/>
              <w:right w:val="single" w:sz="4" w:space="0" w:color="auto"/>
            </w:tcBorders>
          </w:tcPr>
          <w:p w14:paraId="6A5918ED" w14:textId="77777777" w:rsidR="00D94935" w:rsidRDefault="00D94935" w:rsidP="003A681D">
            <w:pPr>
              <w:pStyle w:val="TableText"/>
              <w:spacing w:before="120" w:after="120"/>
            </w:pPr>
            <w:r>
              <w:t>3918 (4)</w:t>
            </w:r>
          </w:p>
        </w:tc>
        <w:tc>
          <w:tcPr>
            <w:tcW w:w="4785" w:type="dxa"/>
            <w:tcBorders>
              <w:top w:val="single" w:sz="4" w:space="0" w:color="auto"/>
              <w:left w:val="single" w:sz="4" w:space="0" w:color="auto"/>
              <w:bottom w:val="single" w:sz="4" w:space="0" w:color="auto"/>
              <w:right w:val="single" w:sz="4" w:space="0" w:color="auto"/>
            </w:tcBorders>
          </w:tcPr>
          <w:p w14:paraId="771E2DFC" w14:textId="77777777" w:rsidR="00D94935" w:rsidRDefault="00D94935" w:rsidP="003A681D">
            <w:pPr>
              <w:pStyle w:val="TableText"/>
              <w:spacing w:before="120" w:after="120"/>
            </w:pPr>
            <w:r>
              <w:t>Application for arbitration—discontinuance</w:t>
            </w:r>
          </w:p>
        </w:tc>
      </w:tr>
      <w:tr w:rsidR="00D94935" w14:paraId="60F8B95C" w14:textId="77777777" w:rsidTr="00C016FF">
        <w:tc>
          <w:tcPr>
            <w:tcW w:w="1120" w:type="dxa"/>
            <w:tcBorders>
              <w:top w:val="single" w:sz="4" w:space="0" w:color="auto"/>
              <w:left w:val="single" w:sz="4" w:space="0" w:color="auto"/>
              <w:bottom w:val="single" w:sz="4" w:space="0" w:color="auto"/>
              <w:right w:val="single" w:sz="4" w:space="0" w:color="auto"/>
            </w:tcBorders>
          </w:tcPr>
          <w:p w14:paraId="6700BD49" w14:textId="77777777" w:rsidR="00D94935" w:rsidRDefault="00D94935" w:rsidP="003A681D">
            <w:pPr>
              <w:pStyle w:val="TableText"/>
              <w:spacing w:before="120" w:after="120"/>
            </w:pPr>
            <w:r>
              <w:t>32</w:t>
            </w:r>
          </w:p>
        </w:tc>
        <w:tc>
          <w:tcPr>
            <w:tcW w:w="1792" w:type="dxa"/>
            <w:tcBorders>
              <w:top w:val="single" w:sz="4" w:space="0" w:color="auto"/>
              <w:left w:val="single" w:sz="4" w:space="0" w:color="auto"/>
              <w:bottom w:val="single" w:sz="4" w:space="0" w:color="auto"/>
              <w:right w:val="single" w:sz="4" w:space="0" w:color="auto"/>
            </w:tcBorders>
          </w:tcPr>
          <w:p w14:paraId="226A9A40" w14:textId="77777777" w:rsidR="00D94935" w:rsidRDefault="00D94935" w:rsidP="003A681D">
            <w:pPr>
              <w:pStyle w:val="TableText"/>
              <w:spacing w:before="120" w:after="120"/>
            </w:pPr>
            <w:r>
              <w:t>3924</w:t>
            </w:r>
          </w:p>
        </w:tc>
        <w:tc>
          <w:tcPr>
            <w:tcW w:w="4785" w:type="dxa"/>
            <w:tcBorders>
              <w:top w:val="single" w:sz="4" w:space="0" w:color="auto"/>
              <w:left w:val="single" w:sz="4" w:space="0" w:color="auto"/>
              <w:bottom w:val="single" w:sz="4" w:space="0" w:color="auto"/>
              <w:right w:val="single" w:sz="4" w:space="0" w:color="auto"/>
            </w:tcBorders>
          </w:tcPr>
          <w:p w14:paraId="6EAC3EF9" w14:textId="77777777" w:rsidR="00D94935" w:rsidRDefault="00D94935" w:rsidP="003A681D">
            <w:pPr>
              <w:pStyle w:val="TableText"/>
              <w:spacing w:before="120" w:after="120"/>
            </w:pPr>
            <w:r>
              <w:t>Arbitration—party may be represented</w:t>
            </w:r>
          </w:p>
        </w:tc>
      </w:tr>
      <w:tr w:rsidR="00D94935" w14:paraId="4BD09C65" w14:textId="77777777" w:rsidTr="00C016FF">
        <w:tc>
          <w:tcPr>
            <w:tcW w:w="1120" w:type="dxa"/>
            <w:tcBorders>
              <w:top w:val="single" w:sz="4" w:space="0" w:color="auto"/>
              <w:left w:val="single" w:sz="4" w:space="0" w:color="auto"/>
              <w:bottom w:val="single" w:sz="4" w:space="0" w:color="auto"/>
              <w:right w:val="single" w:sz="4" w:space="0" w:color="auto"/>
            </w:tcBorders>
          </w:tcPr>
          <w:p w14:paraId="40EBF5A2" w14:textId="77777777" w:rsidR="00D94935" w:rsidRDefault="00D94935" w:rsidP="003A681D">
            <w:pPr>
              <w:pStyle w:val="TableText"/>
              <w:spacing w:before="120" w:after="120"/>
            </w:pPr>
            <w:r>
              <w:t>33</w:t>
            </w:r>
          </w:p>
        </w:tc>
        <w:tc>
          <w:tcPr>
            <w:tcW w:w="1792" w:type="dxa"/>
            <w:tcBorders>
              <w:top w:val="single" w:sz="4" w:space="0" w:color="auto"/>
              <w:left w:val="single" w:sz="4" w:space="0" w:color="auto"/>
              <w:bottom w:val="single" w:sz="4" w:space="0" w:color="auto"/>
              <w:right w:val="single" w:sz="4" w:space="0" w:color="auto"/>
            </w:tcBorders>
          </w:tcPr>
          <w:p w14:paraId="373B2151" w14:textId="77777777" w:rsidR="00D94935" w:rsidRDefault="00D94935" w:rsidP="003A681D">
            <w:pPr>
              <w:pStyle w:val="TableText"/>
              <w:spacing w:before="120" w:after="120"/>
            </w:pPr>
            <w:r>
              <w:t xml:space="preserve">3928 (4) </w:t>
            </w:r>
          </w:p>
        </w:tc>
        <w:tc>
          <w:tcPr>
            <w:tcW w:w="4785" w:type="dxa"/>
            <w:tcBorders>
              <w:top w:val="single" w:sz="4" w:space="0" w:color="auto"/>
              <w:left w:val="single" w:sz="4" w:space="0" w:color="auto"/>
              <w:bottom w:val="single" w:sz="4" w:space="0" w:color="auto"/>
              <w:right w:val="single" w:sz="4" w:space="0" w:color="auto"/>
            </w:tcBorders>
          </w:tcPr>
          <w:p w14:paraId="7279F59E" w14:textId="77777777" w:rsidR="00D94935" w:rsidRDefault="00D94935" w:rsidP="003A681D">
            <w:pPr>
              <w:pStyle w:val="TableText"/>
              <w:spacing w:before="120" w:after="120"/>
            </w:pPr>
            <w:r>
              <w:t>Arbitration—service of medical reports</w:t>
            </w:r>
          </w:p>
        </w:tc>
      </w:tr>
      <w:tr w:rsidR="00D94935" w14:paraId="418661C2" w14:textId="77777777" w:rsidTr="00C016FF">
        <w:tc>
          <w:tcPr>
            <w:tcW w:w="1120" w:type="dxa"/>
            <w:tcBorders>
              <w:top w:val="single" w:sz="4" w:space="0" w:color="auto"/>
              <w:left w:val="single" w:sz="4" w:space="0" w:color="auto"/>
              <w:bottom w:val="single" w:sz="4" w:space="0" w:color="auto"/>
              <w:right w:val="single" w:sz="4" w:space="0" w:color="auto"/>
            </w:tcBorders>
          </w:tcPr>
          <w:p w14:paraId="1D0C9B0C" w14:textId="77777777" w:rsidR="00D94935" w:rsidRDefault="00D94935" w:rsidP="003A681D">
            <w:pPr>
              <w:pStyle w:val="TableText"/>
              <w:spacing w:before="120" w:after="120"/>
            </w:pPr>
            <w:r>
              <w:t>34</w:t>
            </w:r>
          </w:p>
        </w:tc>
        <w:tc>
          <w:tcPr>
            <w:tcW w:w="1792" w:type="dxa"/>
            <w:tcBorders>
              <w:top w:val="single" w:sz="4" w:space="0" w:color="auto"/>
              <w:left w:val="single" w:sz="4" w:space="0" w:color="auto"/>
              <w:bottom w:val="single" w:sz="4" w:space="0" w:color="auto"/>
              <w:right w:val="single" w:sz="4" w:space="0" w:color="auto"/>
            </w:tcBorders>
          </w:tcPr>
          <w:p w14:paraId="07A4D25C" w14:textId="77777777" w:rsidR="00D94935" w:rsidRDefault="00D94935" w:rsidP="003A681D">
            <w:pPr>
              <w:pStyle w:val="TableText"/>
              <w:spacing w:before="120" w:after="120"/>
            </w:pPr>
            <w:r>
              <w:t>3930</w:t>
            </w:r>
          </w:p>
        </w:tc>
        <w:tc>
          <w:tcPr>
            <w:tcW w:w="4785" w:type="dxa"/>
            <w:tcBorders>
              <w:top w:val="single" w:sz="4" w:space="0" w:color="auto"/>
              <w:left w:val="single" w:sz="4" w:space="0" w:color="auto"/>
              <w:bottom w:val="single" w:sz="4" w:space="0" w:color="auto"/>
              <w:right w:val="single" w:sz="4" w:space="0" w:color="auto"/>
            </w:tcBorders>
          </w:tcPr>
          <w:p w14:paraId="5926D356" w14:textId="77777777" w:rsidR="00D94935" w:rsidRDefault="00D94935" w:rsidP="003A681D">
            <w:pPr>
              <w:pStyle w:val="TableText"/>
              <w:spacing w:before="120" w:after="120"/>
            </w:pPr>
            <w:r>
              <w:t>Arbitration—doctor’s evidence to be covered by medical report</w:t>
            </w:r>
          </w:p>
        </w:tc>
      </w:tr>
      <w:tr w:rsidR="00D94935" w14:paraId="68F66267" w14:textId="77777777" w:rsidTr="00C016FF">
        <w:tc>
          <w:tcPr>
            <w:tcW w:w="1120" w:type="dxa"/>
            <w:tcBorders>
              <w:top w:val="single" w:sz="4" w:space="0" w:color="auto"/>
              <w:left w:val="single" w:sz="4" w:space="0" w:color="auto"/>
              <w:bottom w:val="single" w:sz="4" w:space="0" w:color="auto"/>
              <w:right w:val="single" w:sz="4" w:space="0" w:color="auto"/>
            </w:tcBorders>
          </w:tcPr>
          <w:p w14:paraId="5B612F4F" w14:textId="77777777" w:rsidR="00D94935" w:rsidRDefault="00D94935" w:rsidP="003A681D">
            <w:pPr>
              <w:pStyle w:val="TableText"/>
              <w:spacing w:before="120" w:after="120"/>
            </w:pPr>
            <w:r>
              <w:t>35</w:t>
            </w:r>
          </w:p>
        </w:tc>
        <w:tc>
          <w:tcPr>
            <w:tcW w:w="1792" w:type="dxa"/>
            <w:tcBorders>
              <w:top w:val="single" w:sz="4" w:space="0" w:color="auto"/>
              <w:left w:val="single" w:sz="4" w:space="0" w:color="auto"/>
              <w:bottom w:val="single" w:sz="4" w:space="0" w:color="auto"/>
              <w:right w:val="single" w:sz="4" w:space="0" w:color="auto"/>
            </w:tcBorders>
          </w:tcPr>
          <w:p w14:paraId="3A60CFC1" w14:textId="77777777" w:rsidR="00D94935" w:rsidRDefault="00D94935" w:rsidP="003A681D">
            <w:pPr>
              <w:pStyle w:val="TableText"/>
              <w:spacing w:before="120" w:after="120"/>
            </w:pPr>
            <w:r>
              <w:t>3933 (2)</w:t>
            </w:r>
          </w:p>
        </w:tc>
        <w:tc>
          <w:tcPr>
            <w:tcW w:w="4785" w:type="dxa"/>
            <w:tcBorders>
              <w:top w:val="single" w:sz="4" w:space="0" w:color="auto"/>
              <w:left w:val="single" w:sz="4" w:space="0" w:color="auto"/>
              <w:bottom w:val="single" w:sz="4" w:space="0" w:color="auto"/>
              <w:right w:val="single" w:sz="4" w:space="0" w:color="auto"/>
            </w:tcBorders>
          </w:tcPr>
          <w:p w14:paraId="2F0EE1BA" w14:textId="77777777" w:rsidR="00D94935" w:rsidRDefault="00D94935" w:rsidP="003A681D">
            <w:pPr>
              <w:pStyle w:val="TableText"/>
              <w:spacing w:before="120" w:after="120"/>
            </w:pPr>
            <w:r>
              <w:t>Arbitration—tender of medical report</w:t>
            </w:r>
          </w:p>
        </w:tc>
      </w:tr>
      <w:tr w:rsidR="00D94935" w14:paraId="6B0E99E5" w14:textId="77777777" w:rsidTr="00C016FF">
        <w:tc>
          <w:tcPr>
            <w:tcW w:w="1120" w:type="dxa"/>
            <w:tcBorders>
              <w:top w:val="single" w:sz="4" w:space="0" w:color="auto"/>
              <w:left w:val="single" w:sz="4" w:space="0" w:color="auto"/>
              <w:bottom w:val="single" w:sz="4" w:space="0" w:color="auto"/>
              <w:right w:val="single" w:sz="4" w:space="0" w:color="auto"/>
            </w:tcBorders>
          </w:tcPr>
          <w:p w14:paraId="4F29EE59" w14:textId="77777777" w:rsidR="00D94935" w:rsidRDefault="00D94935" w:rsidP="003A681D">
            <w:pPr>
              <w:pStyle w:val="TableText"/>
              <w:spacing w:before="120" w:after="120"/>
            </w:pPr>
            <w:r>
              <w:t>36</w:t>
            </w:r>
          </w:p>
        </w:tc>
        <w:tc>
          <w:tcPr>
            <w:tcW w:w="1792" w:type="dxa"/>
            <w:tcBorders>
              <w:top w:val="single" w:sz="4" w:space="0" w:color="auto"/>
              <w:left w:val="single" w:sz="4" w:space="0" w:color="auto"/>
              <w:bottom w:val="single" w:sz="4" w:space="0" w:color="auto"/>
              <w:right w:val="single" w:sz="4" w:space="0" w:color="auto"/>
            </w:tcBorders>
          </w:tcPr>
          <w:p w14:paraId="16A99983" w14:textId="77777777" w:rsidR="00D94935" w:rsidRDefault="00D94935" w:rsidP="003A681D">
            <w:pPr>
              <w:pStyle w:val="TableText"/>
              <w:spacing w:before="120" w:after="120"/>
            </w:pPr>
            <w:r>
              <w:t>3934</w:t>
            </w:r>
          </w:p>
        </w:tc>
        <w:tc>
          <w:tcPr>
            <w:tcW w:w="4785" w:type="dxa"/>
            <w:tcBorders>
              <w:top w:val="single" w:sz="4" w:space="0" w:color="auto"/>
              <w:left w:val="single" w:sz="4" w:space="0" w:color="auto"/>
              <w:bottom w:val="single" w:sz="4" w:space="0" w:color="auto"/>
              <w:right w:val="single" w:sz="4" w:space="0" w:color="auto"/>
            </w:tcBorders>
          </w:tcPr>
          <w:p w14:paraId="0372ED84" w14:textId="77777777" w:rsidR="00D94935" w:rsidRDefault="00D94935" w:rsidP="003A681D">
            <w:pPr>
              <w:pStyle w:val="TableText"/>
              <w:spacing w:before="120" w:after="120"/>
            </w:pPr>
            <w:r>
              <w:t>Arbitration—party may apply for medical referee etc</w:t>
            </w:r>
          </w:p>
        </w:tc>
      </w:tr>
      <w:tr w:rsidR="00D94935" w14:paraId="4BD7927B" w14:textId="77777777" w:rsidTr="00C016FF">
        <w:tc>
          <w:tcPr>
            <w:tcW w:w="1120" w:type="dxa"/>
            <w:tcBorders>
              <w:top w:val="single" w:sz="4" w:space="0" w:color="auto"/>
              <w:left w:val="single" w:sz="4" w:space="0" w:color="auto"/>
              <w:bottom w:val="single" w:sz="4" w:space="0" w:color="auto"/>
              <w:right w:val="single" w:sz="4" w:space="0" w:color="auto"/>
            </w:tcBorders>
          </w:tcPr>
          <w:p w14:paraId="2A32E832" w14:textId="77777777" w:rsidR="00D94935" w:rsidRDefault="00D94935" w:rsidP="003A681D">
            <w:pPr>
              <w:pStyle w:val="TableText"/>
              <w:spacing w:before="120" w:after="120"/>
            </w:pPr>
            <w:r>
              <w:t>37</w:t>
            </w:r>
          </w:p>
        </w:tc>
        <w:tc>
          <w:tcPr>
            <w:tcW w:w="1792" w:type="dxa"/>
            <w:tcBorders>
              <w:top w:val="single" w:sz="4" w:space="0" w:color="auto"/>
              <w:left w:val="single" w:sz="4" w:space="0" w:color="auto"/>
              <w:bottom w:val="single" w:sz="4" w:space="0" w:color="auto"/>
              <w:right w:val="single" w:sz="4" w:space="0" w:color="auto"/>
            </w:tcBorders>
          </w:tcPr>
          <w:p w14:paraId="7E027F55" w14:textId="77777777" w:rsidR="00D94935" w:rsidRDefault="00D94935" w:rsidP="003A681D">
            <w:pPr>
              <w:pStyle w:val="TableText"/>
              <w:spacing w:before="120" w:after="120"/>
            </w:pPr>
            <w:r>
              <w:t>3937</w:t>
            </w:r>
          </w:p>
        </w:tc>
        <w:tc>
          <w:tcPr>
            <w:tcW w:w="4785" w:type="dxa"/>
            <w:tcBorders>
              <w:top w:val="single" w:sz="4" w:space="0" w:color="auto"/>
              <w:left w:val="single" w:sz="4" w:space="0" w:color="auto"/>
              <w:bottom w:val="single" w:sz="4" w:space="0" w:color="auto"/>
              <w:right w:val="single" w:sz="4" w:space="0" w:color="auto"/>
            </w:tcBorders>
          </w:tcPr>
          <w:p w14:paraId="40DBD06C" w14:textId="77777777" w:rsidR="00D94935" w:rsidRDefault="00D94935" w:rsidP="003A681D">
            <w:pPr>
              <w:pStyle w:val="TableText"/>
              <w:spacing w:before="120" w:after="120"/>
            </w:pPr>
            <w:r>
              <w:t>Arbitration—assessment of worker by medical referee</w:t>
            </w:r>
          </w:p>
        </w:tc>
      </w:tr>
      <w:tr w:rsidR="00D94935" w14:paraId="7684E3BC" w14:textId="77777777" w:rsidTr="00C016FF">
        <w:tc>
          <w:tcPr>
            <w:tcW w:w="1120" w:type="dxa"/>
            <w:tcBorders>
              <w:top w:val="single" w:sz="4" w:space="0" w:color="auto"/>
              <w:left w:val="single" w:sz="4" w:space="0" w:color="auto"/>
              <w:bottom w:val="single" w:sz="4" w:space="0" w:color="auto"/>
              <w:right w:val="single" w:sz="4" w:space="0" w:color="auto"/>
            </w:tcBorders>
          </w:tcPr>
          <w:p w14:paraId="281B4AF5" w14:textId="77777777" w:rsidR="00D94935" w:rsidRDefault="00D94935" w:rsidP="003A681D">
            <w:pPr>
              <w:pStyle w:val="TableText"/>
              <w:spacing w:before="120" w:after="120"/>
            </w:pPr>
            <w:r>
              <w:t>38</w:t>
            </w:r>
          </w:p>
        </w:tc>
        <w:tc>
          <w:tcPr>
            <w:tcW w:w="1792" w:type="dxa"/>
            <w:tcBorders>
              <w:top w:val="single" w:sz="4" w:space="0" w:color="auto"/>
              <w:left w:val="single" w:sz="4" w:space="0" w:color="auto"/>
              <w:bottom w:val="single" w:sz="4" w:space="0" w:color="auto"/>
              <w:right w:val="single" w:sz="4" w:space="0" w:color="auto"/>
            </w:tcBorders>
          </w:tcPr>
          <w:p w14:paraId="3A175D6A" w14:textId="77777777" w:rsidR="00D94935" w:rsidRDefault="00D94935" w:rsidP="003A681D">
            <w:pPr>
              <w:pStyle w:val="TableText"/>
              <w:spacing w:before="120" w:after="120"/>
            </w:pPr>
            <w:r>
              <w:t>3952 (4)</w:t>
            </w:r>
          </w:p>
        </w:tc>
        <w:tc>
          <w:tcPr>
            <w:tcW w:w="4785" w:type="dxa"/>
            <w:tcBorders>
              <w:top w:val="single" w:sz="4" w:space="0" w:color="auto"/>
              <w:left w:val="single" w:sz="4" w:space="0" w:color="auto"/>
              <w:bottom w:val="single" w:sz="4" w:space="0" w:color="auto"/>
              <w:right w:val="single" w:sz="4" w:space="0" w:color="auto"/>
            </w:tcBorders>
          </w:tcPr>
          <w:p w14:paraId="2D677F21" w14:textId="77777777" w:rsidR="00D94935" w:rsidRDefault="00D94935" w:rsidP="003A681D">
            <w:pPr>
              <w:pStyle w:val="TableText"/>
              <w:spacing w:before="120" w:after="120"/>
            </w:pPr>
            <w:r>
              <w:t>Conduct of arbitration—directions and orders if remedy against employer and stranger</w:t>
            </w:r>
          </w:p>
        </w:tc>
      </w:tr>
      <w:tr w:rsidR="00D94935" w14:paraId="0B02E6F3" w14:textId="77777777" w:rsidTr="00C016FF">
        <w:tc>
          <w:tcPr>
            <w:tcW w:w="1120" w:type="dxa"/>
            <w:tcBorders>
              <w:top w:val="single" w:sz="4" w:space="0" w:color="auto"/>
              <w:left w:val="single" w:sz="4" w:space="0" w:color="auto"/>
              <w:bottom w:val="single" w:sz="4" w:space="0" w:color="auto"/>
              <w:right w:val="single" w:sz="4" w:space="0" w:color="auto"/>
            </w:tcBorders>
          </w:tcPr>
          <w:p w14:paraId="63219FD3" w14:textId="77777777" w:rsidR="00D94935" w:rsidRDefault="00D94935" w:rsidP="003A681D">
            <w:pPr>
              <w:pStyle w:val="TableText"/>
              <w:spacing w:before="120" w:after="120"/>
            </w:pPr>
            <w:r>
              <w:lastRenderedPageBreak/>
              <w:t>39</w:t>
            </w:r>
          </w:p>
        </w:tc>
        <w:tc>
          <w:tcPr>
            <w:tcW w:w="1792" w:type="dxa"/>
            <w:tcBorders>
              <w:top w:val="single" w:sz="4" w:space="0" w:color="auto"/>
              <w:left w:val="single" w:sz="4" w:space="0" w:color="auto"/>
              <w:bottom w:val="single" w:sz="4" w:space="0" w:color="auto"/>
              <w:right w:val="single" w:sz="4" w:space="0" w:color="auto"/>
            </w:tcBorders>
          </w:tcPr>
          <w:p w14:paraId="1BFD5DA9" w14:textId="77777777" w:rsidR="00D94935" w:rsidRDefault="00D94935" w:rsidP="003A681D">
            <w:pPr>
              <w:pStyle w:val="TableText"/>
              <w:spacing w:before="120" w:after="120"/>
            </w:pPr>
            <w:r>
              <w:t>3960 (2)</w:t>
            </w:r>
          </w:p>
        </w:tc>
        <w:tc>
          <w:tcPr>
            <w:tcW w:w="4785" w:type="dxa"/>
            <w:tcBorders>
              <w:top w:val="single" w:sz="4" w:space="0" w:color="auto"/>
              <w:left w:val="single" w:sz="4" w:space="0" w:color="auto"/>
              <w:bottom w:val="single" w:sz="4" w:space="0" w:color="auto"/>
              <w:right w:val="single" w:sz="4" w:space="0" w:color="auto"/>
            </w:tcBorders>
          </w:tcPr>
          <w:p w14:paraId="61FEE779" w14:textId="77777777" w:rsidR="00D94935" w:rsidRDefault="00D94935" w:rsidP="003A681D">
            <w:pPr>
              <w:pStyle w:val="TableText"/>
              <w:spacing w:before="120" w:after="120"/>
            </w:pPr>
            <w:r>
              <w:t>Arbitration—payment on worker’s acceptance</w:t>
            </w:r>
          </w:p>
        </w:tc>
      </w:tr>
      <w:tr w:rsidR="00D94935" w14:paraId="35507DFC" w14:textId="77777777" w:rsidTr="00C016FF">
        <w:tc>
          <w:tcPr>
            <w:tcW w:w="1120" w:type="dxa"/>
            <w:tcBorders>
              <w:top w:val="single" w:sz="4" w:space="0" w:color="auto"/>
              <w:left w:val="single" w:sz="4" w:space="0" w:color="auto"/>
              <w:bottom w:val="single" w:sz="4" w:space="0" w:color="auto"/>
              <w:right w:val="single" w:sz="4" w:space="0" w:color="auto"/>
            </w:tcBorders>
          </w:tcPr>
          <w:p w14:paraId="0962B187" w14:textId="77777777" w:rsidR="00D94935" w:rsidRDefault="00D94935" w:rsidP="003A681D">
            <w:pPr>
              <w:pStyle w:val="TableText"/>
              <w:spacing w:before="120" w:after="120"/>
            </w:pPr>
            <w:r>
              <w:t>40</w:t>
            </w:r>
          </w:p>
        </w:tc>
        <w:tc>
          <w:tcPr>
            <w:tcW w:w="1792" w:type="dxa"/>
            <w:tcBorders>
              <w:top w:val="single" w:sz="4" w:space="0" w:color="auto"/>
              <w:left w:val="single" w:sz="4" w:space="0" w:color="auto"/>
              <w:bottom w:val="single" w:sz="4" w:space="0" w:color="auto"/>
              <w:right w:val="single" w:sz="4" w:space="0" w:color="auto"/>
            </w:tcBorders>
          </w:tcPr>
          <w:p w14:paraId="2A4132D4" w14:textId="77777777" w:rsidR="00D94935" w:rsidRDefault="00D94935" w:rsidP="003A681D">
            <w:pPr>
              <w:pStyle w:val="TableText"/>
              <w:spacing w:before="120" w:after="120"/>
            </w:pPr>
            <w:r>
              <w:t>3961 (3)</w:t>
            </w:r>
          </w:p>
        </w:tc>
        <w:tc>
          <w:tcPr>
            <w:tcW w:w="4785" w:type="dxa"/>
            <w:tcBorders>
              <w:top w:val="single" w:sz="4" w:space="0" w:color="auto"/>
              <w:left w:val="single" w:sz="4" w:space="0" w:color="auto"/>
              <w:bottom w:val="single" w:sz="4" w:space="0" w:color="auto"/>
              <w:right w:val="single" w:sz="4" w:space="0" w:color="auto"/>
            </w:tcBorders>
          </w:tcPr>
          <w:p w14:paraId="2247BDFE" w14:textId="77777777" w:rsidR="00D94935" w:rsidRDefault="00D94935" w:rsidP="003A681D">
            <w:pPr>
              <w:pStyle w:val="TableText"/>
              <w:spacing w:before="120" w:after="120"/>
            </w:pPr>
            <w:r>
              <w:t>Arbitration—payment on dependant’s etc acceptance</w:t>
            </w:r>
          </w:p>
        </w:tc>
      </w:tr>
      <w:tr w:rsidR="00D94935" w14:paraId="6F42B62F" w14:textId="77777777" w:rsidTr="00C016FF">
        <w:tc>
          <w:tcPr>
            <w:tcW w:w="1120" w:type="dxa"/>
            <w:tcBorders>
              <w:top w:val="single" w:sz="4" w:space="0" w:color="auto"/>
              <w:left w:val="single" w:sz="4" w:space="0" w:color="auto"/>
              <w:bottom w:val="single" w:sz="4" w:space="0" w:color="auto"/>
              <w:right w:val="single" w:sz="4" w:space="0" w:color="auto"/>
            </w:tcBorders>
          </w:tcPr>
          <w:p w14:paraId="6BFDF5AD" w14:textId="77777777" w:rsidR="00D94935" w:rsidRDefault="00D94935" w:rsidP="003A681D">
            <w:pPr>
              <w:pStyle w:val="TableText"/>
              <w:spacing w:before="120" w:after="120"/>
            </w:pPr>
            <w:r>
              <w:t>41</w:t>
            </w:r>
          </w:p>
        </w:tc>
        <w:tc>
          <w:tcPr>
            <w:tcW w:w="1792" w:type="dxa"/>
            <w:tcBorders>
              <w:top w:val="single" w:sz="4" w:space="0" w:color="auto"/>
              <w:left w:val="single" w:sz="4" w:space="0" w:color="auto"/>
              <w:bottom w:val="single" w:sz="4" w:space="0" w:color="auto"/>
              <w:right w:val="single" w:sz="4" w:space="0" w:color="auto"/>
            </w:tcBorders>
          </w:tcPr>
          <w:p w14:paraId="08C6D27B" w14:textId="77777777" w:rsidR="00D94935" w:rsidRDefault="00D94935" w:rsidP="003A681D">
            <w:pPr>
              <w:pStyle w:val="TableText"/>
              <w:spacing w:before="120" w:after="120"/>
            </w:pPr>
            <w:r>
              <w:t>3962 (3)</w:t>
            </w:r>
          </w:p>
        </w:tc>
        <w:tc>
          <w:tcPr>
            <w:tcW w:w="4785" w:type="dxa"/>
            <w:tcBorders>
              <w:top w:val="single" w:sz="4" w:space="0" w:color="auto"/>
              <w:left w:val="single" w:sz="4" w:space="0" w:color="auto"/>
              <w:bottom w:val="single" w:sz="4" w:space="0" w:color="auto"/>
              <w:right w:val="single" w:sz="4" w:space="0" w:color="auto"/>
            </w:tcBorders>
          </w:tcPr>
          <w:p w14:paraId="4E856A10" w14:textId="77777777" w:rsidR="00D94935" w:rsidRDefault="00D94935" w:rsidP="003A681D">
            <w:pPr>
              <w:pStyle w:val="TableText"/>
              <w:spacing w:before="120" w:after="120"/>
            </w:pPr>
            <w:r>
              <w:t>Arbitration—no prompt acceptance of submission or payment</w:t>
            </w:r>
          </w:p>
        </w:tc>
      </w:tr>
      <w:tr w:rsidR="00D94935" w14:paraId="7A472B57" w14:textId="77777777" w:rsidTr="00C016FF">
        <w:tc>
          <w:tcPr>
            <w:tcW w:w="1120" w:type="dxa"/>
            <w:tcBorders>
              <w:top w:val="single" w:sz="4" w:space="0" w:color="auto"/>
              <w:left w:val="single" w:sz="4" w:space="0" w:color="auto"/>
              <w:bottom w:val="single" w:sz="4" w:space="0" w:color="auto"/>
              <w:right w:val="single" w:sz="4" w:space="0" w:color="auto"/>
            </w:tcBorders>
          </w:tcPr>
          <w:p w14:paraId="6D542920" w14:textId="77777777" w:rsidR="00D94935" w:rsidRDefault="00D94935" w:rsidP="003A681D">
            <w:pPr>
              <w:pStyle w:val="TableText"/>
              <w:spacing w:before="120" w:after="120"/>
            </w:pPr>
            <w:r>
              <w:t>42</w:t>
            </w:r>
          </w:p>
        </w:tc>
        <w:tc>
          <w:tcPr>
            <w:tcW w:w="1792" w:type="dxa"/>
            <w:tcBorders>
              <w:top w:val="single" w:sz="4" w:space="0" w:color="auto"/>
              <w:left w:val="single" w:sz="4" w:space="0" w:color="auto"/>
              <w:bottom w:val="single" w:sz="4" w:space="0" w:color="auto"/>
              <w:right w:val="single" w:sz="4" w:space="0" w:color="auto"/>
            </w:tcBorders>
          </w:tcPr>
          <w:p w14:paraId="50BA9ACC" w14:textId="77777777" w:rsidR="00D94935" w:rsidRDefault="00D94935" w:rsidP="003A681D">
            <w:pPr>
              <w:pStyle w:val="TableText"/>
              <w:spacing w:before="120" w:after="120"/>
            </w:pPr>
            <w:r>
              <w:t>3965 (1)</w:t>
            </w:r>
          </w:p>
        </w:tc>
        <w:tc>
          <w:tcPr>
            <w:tcW w:w="4785" w:type="dxa"/>
            <w:tcBorders>
              <w:top w:val="single" w:sz="4" w:space="0" w:color="auto"/>
              <w:left w:val="single" w:sz="4" w:space="0" w:color="auto"/>
              <w:bottom w:val="single" w:sz="4" w:space="0" w:color="auto"/>
              <w:right w:val="single" w:sz="4" w:space="0" w:color="auto"/>
            </w:tcBorders>
          </w:tcPr>
          <w:p w14:paraId="21D16CC9" w14:textId="77777777" w:rsidR="00D94935" w:rsidRDefault="00D94935" w:rsidP="003A681D">
            <w:pPr>
              <w:pStyle w:val="TableText"/>
              <w:spacing w:before="120" w:after="120"/>
            </w:pPr>
            <w:r>
              <w:t>Arbitration—setting aside or amending award</w:t>
            </w:r>
          </w:p>
        </w:tc>
      </w:tr>
      <w:tr w:rsidR="00D94935" w14:paraId="68B68C7C" w14:textId="77777777" w:rsidTr="00C016FF">
        <w:tc>
          <w:tcPr>
            <w:tcW w:w="1120" w:type="dxa"/>
            <w:tcBorders>
              <w:top w:val="single" w:sz="4" w:space="0" w:color="auto"/>
              <w:left w:val="single" w:sz="4" w:space="0" w:color="auto"/>
              <w:bottom w:val="single" w:sz="4" w:space="0" w:color="auto"/>
              <w:right w:val="single" w:sz="4" w:space="0" w:color="auto"/>
            </w:tcBorders>
          </w:tcPr>
          <w:p w14:paraId="17569E05" w14:textId="77777777" w:rsidR="00D94935" w:rsidRDefault="00D94935" w:rsidP="003A681D">
            <w:pPr>
              <w:pStyle w:val="TableText"/>
              <w:spacing w:before="120" w:after="120"/>
            </w:pPr>
            <w:r>
              <w:t>43</w:t>
            </w:r>
          </w:p>
        </w:tc>
        <w:tc>
          <w:tcPr>
            <w:tcW w:w="1792" w:type="dxa"/>
            <w:tcBorders>
              <w:top w:val="single" w:sz="4" w:space="0" w:color="auto"/>
              <w:left w:val="single" w:sz="4" w:space="0" w:color="auto"/>
              <w:bottom w:val="single" w:sz="4" w:space="0" w:color="auto"/>
              <w:right w:val="single" w:sz="4" w:space="0" w:color="auto"/>
            </w:tcBorders>
          </w:tcPr>
          <w:p w14:paraId="70F8F191" w14:textId="77777777" w:rsidR="00D94935" w:rsidRDefault="00D94935" w:rsidP="003A681D">
            <w:pPr>
              <w:pStyle w:val="TableText"/>
              <w:spacing w:before="120" w:after="120"/>
            </w:pPr>
            <w:r>
              <w:t>3967 (1)</w:t>
            </w:r>
          </w:p>
        </w:tc>
        <w:tc>
          <w:tcPr>
            <w:tcW w:w="4785" w:type="dxa"/>
            <w:tcBorders>
              <w:top w:val="single" w:sz="4" w:space="0" w:color="auto"/>
              <w:left w:val="single" w:sz="4" w:space="0" w:color="auto"/>
              <w:bottom w:val="single" w:sz="4" w:space="0" w:color="auto"/>
              <w:right w:val="single" w:sz="4" w:space="0" w:color="auto"/>
            </w:tcBorders>
          </w:tcPr>
          <w:p w14:paraId="19583A05" w14:textId="77777777" w:rsidR="00D94935" w:rsidRDefault="00D94935" w:rsidP="003A681D">
            <w:pPr>
              <w:pStyle w:val="TableText"/>
              <w:spacing w:before="120" w:after="120"/>
            </w:pPr>
            <w:r>
              <w:t>Registered agreement—application for amendment or cancellation</w:t>
            </w:r>
          </w:p>
        </w:tc>
      </w:tr>
      <w:tr w:rsidR="00D94935" w14:paraId="6029115A" w14:textId="77777777" w:rsidTr="00C016FF">
        <w:tc>
          <w:tcPr>
            <w:tcW w:w="1120" w:type="dxa"/>
            <w:tcBorders>
              <w:top w:val="single" w:sz="4" w:space="0" w:color="auto"/>
              <w:left w:val="single" w:sz="4" w:space="0" w:color="auto"/>
              <w:bottom w:val="single" w:sz="4" w:space="0" w:color="auto"/>
              <w:right w:val="single" w:sz="4" w:space="0" w:color="auto"/>
            </w:tcBorders>
          </w:tcPr>
          <w:p w14:paraId="3E385381" w14:textId="77777777" w:rsidR="00D94935" w:rsidRDefault="00D94935" w:rsidP="003A681D">
            <w:pPr>
              <w:pStyle w:val="TableText"/>
              <w:spacing w:before="120" w:after="120"/>
            </w:pPr>
            <w:r>
              <w:t>44</w:t>
            </w:r>
          </w:p>
        </w:tc>
        <w:tc>
          <w:tcPr>
            <w:tcW w:w="1792" w:type="dxa"/>
            <w:tcBorders>
              <w:top w:val="single" w:sz="4" w:space="0" w:color="auto"/>
              <w:left w:val="single" w:sz="4" w:space="0" w:color="auto"/>
              <w:bottom w:val="single" w:sz="4" w:space="0" w:color="auto"/>
              <w:right w:val="single" w:sz="4" w:space="0" w:color="auto"/>
            </w:tcBorders>
          </w:tcPr>
          <w:p w14:paraId="11E84944" w14:textId="77777777" w:rsidR="00D94935" w:rsidRDefault="00D94935" w:rsidP="003A681D">
            <w:pPr>
              <w:pStyle w:val="TableText"/>
              <w:spacing w:before="120" w:after="120"/>
            </w:pPr>
            <w:r>
              <w:t>4020</w:t>
            </w:r>
          </w:p>
        </w:tc>
        <w:tc>
          <w:tcPr>
            <w:tcW w:w="4785" w:type="dxa"/>
            <w:tcBorders>
              <w:top w:val="single" w:sz="4" w:space="0" w:color="auto"/>
              <w:left w:val="single" w:sz="4" w:space="0" w:color="auto"/>
              <w:bottom w:val="single" w:sz="4" w:space="0" w:color="auto"/>
              <w:right w:val="single" w:sz="4" w:space="0" w:color="auto"/>
            </w:tcBorders>
          </w:tcPr>
          <w:p w14:paraId="174F8189" w14:textId="77777777" w:rsidR="00D94935" w:rsidRDefault="00D94935" w:rsidP="003A681D">
            <w:pPr>
              <w:pStyle w:val="TableText"/>
              <w:spacing w:before="120" w:after="120"/>
            </w:pPr>
            <w:r>
              <w:t>Criminal proceedings—failure of individual to comply with subpoena etc</w:t>
            </w:r>
          </w:p>
        </w:tc>
      </w:tr>
      <w:tr w:rsidR="00D94935" w14:paraId="58350D2F" w14:textId="77777777" w:rsidTr="00C016FF">
        <w:tc>
          <w:tcPr>
            <w:tcW w:w="1120" w:type="dxa"/>
            <w:tcBorders>
              <w:top w:val="single" w:sz="4" w:space="0" w:color="auto"/>
              <w:left w:val="single" w:sz="4" w:space="0" w:color="auto"/>
              <w:bottom w:val="single" w:sz="4" w:space="0" w:color="auto"/>
              <w:right w:val="single" w:sz="4" w:space="0" w:color="auto"/>
            </w:tcBorders>
          </w:tcPr>
          <w:p w14:paraId="228B8675" w14:textId="77777777" w:rsidR="00D94935" w:rsidRDefault="00D94935" w:rsidP="003A681D">
            <w:pPr>
              <w:pStyle w:val="TableText"/>
              <w:spacing w:before="120" w:after="120"/>
            </w:pPr>
            <w:r>
              <w:t>45</w:t>
            </w:r>
          </w:p>
        </w:tc>
        <w:tc>
          <w:tcPr>
            <w:tcW w:w="1792" w:type="dxa"/>
            <w:tcBorders>
              <w:top w:val="single" w:sz="4" w:space="0" w:color="auto"/>
              <w:left w:val="single" w:sz="4" w:space="0" w:color="auto"/>
              <w:bottom w:val="single" w:sz="4" w:space="0" w:color="auto"/>
              <w:right w:val="single" w:sz="4" w:space="0" w:color="auto"/>
            </w:tcBorders>
          </w:tcPr>
          <w:p w14:paraId="5DB20B65" w14:textId="77777777" w:rsidR="00D94935" w:rsidRDefault="00D94935" w:rsidP="003A681D">
            <w:pPr>
              <w:pStyle w:val="TableText"/>
              <w:spacing w:before="120" w:after="120"/>
            </w:pPr>
            <w:r>
              <w:t>4021</w:t>
            </w:r>
          </w:p>
        </w:tc>
        <w:tc>
          <w:tcPr>
            <w:tcW w:w="4785" w:type="dxa"/>
            <w:tcBorders>
              <w:top w:val="single" w:sz="4" w:space="0" w:color="auto"/>
              <w:left w:val="single" w:sz="4" w:space="0" w:color="auto"/>
              <w:bottom w:val="single" w:sz="4" w:space="0" w:color="auto"/>
              <w:right w:val="single" w:sz="4" w:space="0" w:color="auto"/>
            </w:tcBorders>
          </w:tcPr>
          <w:p w14:paraId="126C1A2E" w14:textId="77777777" w:rsidR="00D94935" w:rsidRDefault="00D94935" w:rsidP="003A681D">
            <w:pPr>
              <w:pStyle w:val="TableText"/>
              <w:spacing w:before="120" w:after="120"/>
            </w:pPr>
            <w:r>
              <w:t>Criminal proceedings—failure of corporation to comply with subpoena etc</w:t>
            </w:r>
          </w:p>
        </w:tc>
      </w:tr>
      <w:tr w:rsidR="00D94935" w14:paraId="61DC96A5" w14:textId="77777777" w:rsidTr="00C016FF">
        <w:tc>
          <w:tcPr>
            <w:tcW w:w="1120" w:type="dxa"/>
            <w:tcBorders>
              <w:top w:val="single" w:sz="4" w:space="0" w:color="auto"/>
              <w:left w:val="single" w:sz="4" w:space="0" w:color="auto"/>
              <w:bottom w:val="single" w:sz="4" w:space="0" w:color="auto"/>
              <w:right w:val="single" w:sz="4" w:space="0" w:color="auto"/>
            </w:tcBorders>
          </w:tcPr>
          <w:p w14:paraId="06479FF1" w14:textId="77777777" w:rsidR="00D94935" w:rsidRDefault="00D94935" w:rsidP="003A681D">
            <w:pPr>
              <w:pStyle w:val="TableText"/>
              <w:spacing w:before="120" w:after="120"/>
            </w:pPr>
            <w:r>
              <w:t>46</w:t>
            </w:r>
          </w:p>
        </w:tc>
        <w:tc>
          <w:tcPr>
            <w:tcW w:w="1792" w:type="dxa"/>
            <w:tcBorders>
              <w:top w:val="single" w:sz="4" w:space="0" w:color="auto"/>
              <w:left w:val="single" w:sz="4" w:space="0" w:color="auto"/>
              <w:bottom w:val="single" w:sz="4" w:space="0" w:color="auto"/>
              <w:right w:val="single" w:sz="4" w:space="0" w:color="auto"/>
            </w:tcBorders>
          </w:tcPr>
          <w:p w14:paraId="04CF8831" w14:textId="77777777" w:rsidR="00D94935" w:rsidRDefault="00FE430C" w:rsidP="003A681D">
            <w:pPr>
              <w:pStyle w:val="TableText"/>
              <w:spacing w:before="120" w:after="120"/>
            </w:pPr>
            <w:r w:rsidRPr="00892969">
              <w:t>4050 (1) (b)</w:t>
            </w:r>
          </w:p>
        </w:tc>
        <w:tc>
          <w:tcPr>
            <w:tcW w:w="4785" w:type="dxa"/>
            <w:tcBorders>
              <w:top w:val="single" w:sz="4" w:space="0" w:color="auto"/>
              <w:left w:val="single" w:sz="4" w:space="0" w:color="auto"/>
              <w:bottom w:val="single" w:sz="4" w:space="0" w:color="auto"/>
              <w:right w:val="single" w:sz="4" w:space="0" w:color="auto"/>
            </w:tcBorders>
          </w:tcPr>
          <w:p w14:paraId="28A876A6" w14:textId="77777777" w:rsidR="00D94935" w:rsidRDefault="00D94935" w:rsidP="003A681D">
            <w:pPr>
              <w:pStyle w:val="TableText"/>
              <w:spacing w:before="120" w:after="120"/>
            </w:pPr>
            <w:r>
              <w:t>Criminal proceedings—production of person in custody</w:t>
            </w:r>
          </w:p>
        </w:tc>
      </w:tr>
      <w:tr w:rsidR="00D94935" w14:paraId="51329486" w14:textId="77777777" w:rsidTr="00C016FF">
        <w:tc>
          <w:tcPr>
            <w:tcW w:w="1120" w:type="dxa"/>
            <w:tcBorders>
              <w:top w:val="single" w:sz="4" w:space="0" w:color="auto"/>
              <w:left w:val="single" w:sz="4" w:space="0" w:color="auto"/>
              <w:bottom w:val="single" w:sz="4" w:space="0" w:color="auto"/>
              <w:right w:val="single" w:sz="4" w:space="0" w:color="auto"/>
            </w:tcBorders>
          </w:tcPr>
          <w:p w14:paraId="668C17B3" w14:textId="77777777" w:rsidR="00D94935" w:rsidRDefault="00D94935" w:rsidP="003A681D">
            <w:pPr>
              <w:pStyle w:val="TableText"/>
              <w:spacing w:before="120" w:after="120"/>
            </w:pPr>
            <w:r>
              <w:t>47</w:t>
            </w:r>
          </w:p>
        </w:tc>
        <w:tc>
          <w:tcPr>
            <w:tcW w:w="1792" w:type="dxa"/>
            <w:tcBorders>
              <w:top w:val="single" w:sz="4" w:space="0" w:color="auto"/>
              <w:left w:val="single" w:sz="4" w:space="0" w:color="auto"/>
              <w:bottom w:val="single" w:sz="4" w:space="0" w:color="auto"/>
              <w:right w:val="single" w:sz="4" w:space="0" w:color="auto"/>
            </w:tcBorders>
          </w:tcPr>
          <w:p w14:paraId="27760D1D" w14:textId="77777777" w:rsidR="00D94935" w:rsidRDefault="00D94935" w:rsidP="003A681D">
            <w:pPr>
              <w:pStyle w:val="TableText"/>
              <w:spacing w:before="120" w:after="120"/>
            </w:pPr>
            <w:r>
              <w:t>part 5.2</w:t>
            </w:r>
          </w:p>
        </w:tc>
        <w:tc>
          <w:tcPr>
            <w:tcW w:w="4785" w:type="dxa"/>
            <w:tcBorders>
              <w:top w:val="single" w:sz="4" w:space="0" w:color="auto"/>
              <w:left w:val="single" w:sz="4" w:space="0" w:color="auto"/>
              <w:bottom w:val="single" w:sz="4" w:space="0" w:color="auto"/>
              <w:right w:val="single" w:sz="4" w:space="0" w:color="auto"/>
            </w:tcBorders>
          </w:tcPr>
          <w:p w14:paraId="76E1D844" w14:textId="77777777" w:rsidR="00D94935" w:rsidRDefault="00D94935" w:rsidP="003A681D">
            <w:pPr>
              <w:pStyle w:val="TableText"/>
              <w:spacing w:before="120" w:after="120"/>
            </w:pPr>
            <w:r>
              <w:t>Appeals from registrar</w:t>
            </w:r>
          </w:p>
        </w:tc>
      </w:tr>
      <w:tr w:rsidR="00D94935" w14:paraId="160D07F1" w14:textId="77777777" w:rsidTr="00C016FF">
        <w:tc>
          <w:tcPr>
            <w:tcW w:w="1120" w:type="dxa"/>
            <w:tcBorders>
              <w:top w:val="single" w:sz="4" w:space="0" w:color="auto"/>
              <w:left w:val="single" w:sz="4" w:space="0" w:color="auto"/>
              <w:bottom w:val="single" w:sz="4" w:space="0" w:color="auto"/>
              <w:right w:val="single" w:sz="4" w:space="0" w:color="auto"/>
            </w:tcBorders>
          </w:tcPr>
          <w:p w14:paraId="1C78C135" w14:textId="77777777" w:rsidR="00D94935" w:rsidRDefault="00D94935" w:rsidP="003A681D">
            <w:pPr>
              <w:pStyle w:val="TableText"/>
              <w:spacing w:before="120"/>
            </w:pPr>
            <w:r>
              <w:t>48</w:t>
            </w:r>
          </w:p>
        </w:tc>
        <w:tc>
          <w:tcPr>
            <w:tcW w:w="1792" w:type="dxa"/>
            <w:tcBorders>
              <w:top w:val="single" w:sz="4" w:space="0" w:color="auto"/>
              <w:left w:val="single" w:sz="4" w:space="0" w:color="auto"/>
              <w:bottom w:val="single" w:sz="4" w:space="0" w:color="auto"/>
              <w:right w:val="single" w:sz="4" w:space="0" w:color="auto"/>
            </w:tcBorders>
          </w:tcPr>
          <w:p w14:paraId="5F98D0A4" w14:textId="77777777" w:rsidR="00D94935" w:rsidRDefault="00D94935" w:rsidP="003A681D">
            <w:pPr>
              <w:pStyle w:val="TableText"/>
              <w:spacing w:before="120"/>
            </w:pPr>
            <w:r>
              <w:t>6142 (3) (c)</w:t>
            </w:r>
          </w:p>
        </w:tc>
        <w:tc>
          <w:tcPr>
            <w:tcW w:w="4785" w:type="dxa"/>
            <w:tcBorders>
              <w:top w:val="single" w:sz="4" w:space="0" w:color="auto"/>
              <w:left w:val="single" w:sz="4" w:space="0" w:color="auto"/>
              <w:bottom w:val="single" w:sz="4" w:space="0" w:color="auto"/>
              <w:right w:val="single" w:sz="4" w:space="0" w:color="auto"/>
            </w:tcBorders>
          </w:tcPr>
          <w:p w14:paraId="0488FAE0" w14:textId="77777777" w:rsidR="00D94935" w:rsidRDefault="00D94935" w:rsidP="003A681D">
            <w:pPr>
              <w:pStyle w:val="TableText"/>
              <w:spacing w:before="120"/>
            </w:pPr>
            <w:r>
              <w:t>Rejecting documents—abuse of process etc</w:t>
            </w:r>
          </w:p>
        </w:tc>
      </w:tr>
      <w:tr w:rsidR="00D94935" w14:paraId="2D6ABB85" w14:textId="77777777" w:rsidTr="00C016FF">
        <w:tc>
          <w:tcPr>
            <w:tcW w:w="1120" w:type="dxa"/>
            <w:tcBorders>
              <w:top w:val="single" w:sz="4" w:space="0" w:color="auto"/>
              <w:left w:val="single" w:sz="4" w:space="0" w:color="auto"/>
              <w:bottom w:val="single" w:sz="4" w:space="0" w:color="auto"/>
              <w:right w:val="single" w:sz="4" w:space="0" w:color="auto"/>
            </w:tcBorders>
          </w:tcPr>
          <w:p w14:paraId="7EF03271" w14:textId="56447418" w:rsidR="00D94935" w:rsidRDefault="00C016FF" w:rsidP="003A681D">
            <w:pPr>
              <w:pStyle w:val="TableText"/>
              <w:spacing w:before="120" w:after="120"/>
            </w:pPr>
            <w:r>
              <w:t>49</w:t>
            </w:r>
          </w:p>
        </w:tc>
        <w:tc>
          <w:tcPr>
            <w:tcW w:w="1792" w:type="dxa"/>
            <w:tcBorders>
              <w:top w:val="single" w:sz="4" w:space="0" w:color="auto"/>
              <w:left w:val="single" w:sz="4" w:space="0" w:color="auto"/>
              <w:bottom w:val="single" w:sz="4" w:space="0" w:color="auto"/>
              <w:right w:val="single" w:sz="4" w:space="0" w:color="auto"/>
            </w:tcBorders>
          </w:tcPr>
          <w:p w14:paraId="5FCC04DF" w14:textId="77777777" w:rsidR="00D94935" w:rsidRDefault="00D94935" w:rsidP="003A681D">
            <w:pPr>
              <w:pStyle w:val="TableText"/>
              <w:spacing w:before="120" w:after="120"/>
            </w:pPr>
            <w:r>
              <w:t>6613</w:t>
            </w:r>
          </w:p>
        </w:tc>
        <w:tc>
          <w:tcPr>
            <w:tcW w:w="4785" w:type="dxa"/>
            <w:tcBorders>
              <w:top w:val="single" w:sz="4" w:space="0" w:color="auto"/>
              <w:left w:val="single" w:sz="4" w:space="0" w:color="auto"/>
              <w:bottom w:val="single" w:sz="4" w:space="0" w:color="auto"/>
              <w:right w:val="single" w:sz="4" w:space="0" w:color="auto"/>
            </w:tcBorders>
          </w:tcPr>
          <w:p w14:paraId="30E3C78A" w14:textId="77777777" w:rsidR="00D94935" w:rsidRDefault="00D94935" w:rsidP="003A681D">
            <w:pPr>
              <w:pStyle w:val="TableText"/>
              <w:spacing w:before="120" w:after="120"/>
            </w:pPr>
            <w:r>
              <w:t>Documents and things in custody of court</w:t>
            </w:r>
          </w:p>
        </w:tc>
      </w:tr>
      <w:tr w:rsidR="00D94935" w14:paraId="4865687D" w14:textId="77777777" w:rsidTr="00C016FF">
        <w:tc>
          <w:tcPr>
            <w:tcW w:w="1120" w:type="dxa"/>
            <w:tcBorders>
              <w:top w:val="single" w:sz="4" w:space="0" w:color="auto"/>
              <w:left w:val="single" w:sz="4" w:space="0" w:color="auto"/>
              <w:bottom w:val="single" w:sz="4" w:space="0" w:color="auto"/>
              <w:right w:val="single" w:sz="4" w:space="0" w:color="auto"/>
            </w:tcBorders>
          </w:tcPr>
          <w:p w14:paraId="72A8B49B" w14:textId="1B269D74" w:rsidR="00D94935" w:rsidRDefault="00D94935" w:rsidP="003A681D">
            <w:pPr>
              <w:pStyle w:val="TableText"/>
              <w:spacing w:before="120"/>
            </w:pPr>
            <w:r>
              <w:t>5</w:t>
            </w:r>
            <w:r w:rsidR="00C016FF">
              <w:t>0</w:t>
            </w:r>
          </w:p>
        </w:tc>
        <w:tc>
          <w:tcPr>
            <w:tcW w:w="1792" w:type="dxa"/>
            <w:tcBorders>
              <w:top w:val="single" w:sz="4" w:space="0" w:color="auto"/>
              <w:left w:val="single" w:sz="4" w:space="0" w:color="auto"/>
              <w:bottom w:val="single" w:sz="4" w:space="0" w:color="auto"/>
              <w:right w:val="single" w:sz="4" w:space="0" w:color="auto"/>
            </w:tcBorders>
          </w:tcPr>
          <w:p w14:paraId="4D258F9A" w14:textId="77777777" w:rsidR="00D94935" w:rsidRDefault="00D94935" w:rsidP="003A681D">
            <w:pPr>
              <w:pStyle w:val="TableText"/>
              <w:spacing w:before="120"/>
            </w:pPr>
            <w:r>
              <w:t>6762</w:t>
            </w:r>
          </w:p>
        </w:tc>
        <w:tc>
          <w:tcPr>
            <w:tcW w:w="4785" w:type="dxa"/>
            <w:tcBorders>
              <w:top w:val="single" w:sz="4" w:space="0" w:color="auto"/>
              <w:left w:val="single" w:sz="4" w:space="0" w:color="auto"/>
              <w:bottom w:val="single" w:sz="4" w:space="0" w:color="auto"/>
              <w:right w:val="single" w:sz="4" w:space="0" w:color="auto"/>
            </w:tcBorders>
          </w:tcPr>
          <w:p w14:paraId="3502D300" w14:textId="77777777" w:rsidR="00D94935" w:rsidRDefault="00D94935" w:rsidP="003A681D">
            <w:pPr>
              <w:pStyle w:val="TableText"/>
              <w:spacing w:before="120"/>
            </w:pPr>
            <w:r>
              <w:t>Custody of exhibits after proceeding</w:t>
            </w:r>
          </w:p>
        </w:tc>
      </w:tr>
      <w:tr w:rsidR="00D94935" w14:paraId="56379460" w14:textId="77777777" w:rsidTr="00C016FF">
        <w:tc>
          <w:tcPr>
            <w:tcW w:w="1120" w:type="dxa"/>
            <w:tcBorders>
              <w:top w:val="single" w:sz="4" w:space="0" w:color="auto"/>
              <w:left w:val="single" w:sz="4" w:space="0" w:color="auto"/>
              <w:bottom w:val="single" w:sz="4" w:space="0" w:color="auto"/>
              <w:right w:val="single" w:sz="4" w:space="0" w:color="auto"/>
            </w:tcBorders>
          </w:tcPr>
          <w:p w14:paraId="756653CE" w14:textId="337331B9" w:rsidR="00D94935" w:rsidRDefault="00D94935" w:rsidP="003A681D">
            <w:pPr>
              <w:pStyle w:val="TableText"/>
              <w:spacing w:before="120"/>
            </w:pPr>
            <w:r>
              <w:t>5</w:t>
            </w:r>
            <w:r w:rsidR="00C016FF">
              <w:t>1</w:t>
            </w:r>
          </w:p>
        </w:tc>
        <w:tc>
          <w:tcPr>
            <w:tcW w:w="1792" w:type="dxa"/>
            <w:tcBorders>
              <w:top w:val="single" w:sz="4" w:space="0" w:color="auto"/>
              <w:left w:val="single" w:sz="4" w:space="0" w:color="auto"/>
              <w:bottom w:val="single" w:sz="4" w:space="0" w:color="auto"/>
              <w:right w:val="single" w:sz="4" w:space="0" w:color="auto"/>
            </w:tcBorders>
          </w:tcPr>
          <w:p w14:paraId="71AA0237" w14:textId="77777777" w:rsidR="00D94935" w:rsidRDefault="00D94935" w:rsidP="003A681D">
            <w:pPr>
              <w:pStyle w:val="TableText"/>
              <w:spacing w:before="120"/>
            </w:pPr>
            <w:r>
              <w:t>6816</w:t>
            </w:r>
          </w:p>
        </w:tc>
        <w:tc>
          <w:tcPr>
            <w:tcW w:w="4785" w:type="dxa"/>
            <w:tcBorders>
              <w:top w:val="single" w:sz="4" w:space="0" w:color="auto"/>
              <w:left w:val="single" w:sz="4" w:space="0" w:color="auto"/>
              <w:bottom w:val="single" w:sz="4" w:space="0" w:color="auto"/>
              <w:right w:val="single" w:sz="4" w:space="0" w:color="auto"/>
            </w:tcBorders>
          </w:tcPr>
          <w:p w14:paraId="2223E5E7" w14:textId="77777777" w:rsidR="00D94935" w:rsidRDefault="00D94935" w:rsidP="003A681D">
            <w:pPr>
              <w:pStyle w:val="TableText"/>
              <w:spacing w:before="120"/>
            </w:pPr>
            <w:r>
              <w:t>Appointment of examiner</w:t>
            </w:r>
          </w:p>
        </w:tc>
      </w:tr>
      <w:tr w:rsidR="00D94935" w14:paraId="07064EB8" w14:textId="77777777" w:rsidTr="00C016FF">
        <w:tc>
          <w:tcPr>
            <w:tcW w:w="1120" w:type="dxa"/>
            <w:tcBorders>
              <w:top w:val="single" w:sz="4" w:space="0" w:color="auto"/>
              <w:left w:val="single" w:sz="4" w:space="0" w:color="auto"/>
              <w:bottom w:val="single" w:sz="4" w:space="0" w:color="auto"/>
              <w:right w:val="single" w:sz="4" w:space="0" w:color="auto"/>
            </w:tcBorders>
          </w:tcPr>
          <w:p w14:paraId="2D440F54" w14:textId="65476417" w:rsidR="00D94935" w:rsidRDefault="00D94935" w:rsidP="003A681D">
            <w:pPr>
              <w:pStyle w:val="TableText"/>
              <w:spacing w:before="120"/>
            </w:pPr>
            <w:r>
              <w:t>5</w:t>
            </w:r>
            <w:r w:rsidR="00C016FF">
              <w:t>2</w:t>
            </w:r>
          </w:p>
        </w:tc>
        <w:tc>
          <w:tcPr>
            <w:tcW w:w="1792" w:type="dxa"/>
            <w:tcBorders>
              <w:top w:val="single" w:sz="4" w:space="0" w:color="auto"/>
              <w:left w:val="single" w:sz="4" w:space="0" w:color="auto"/>
              <w:bottom w:val="single" w:sz="4" w:space="0" w:color="auto"/>
              <w:right w:val="single" w:sz="4" w:space="0" w:color="auto"/>
            </w:tcBorders>
          </w:tcPr>
          <w:p w14:paraId="270CC4F0" w14:textId="77777777" w:rsidR="00D94935" w:rsidRDefault="00D94935" w:rsidP="003A681D">
            <w:pPr>
              <w:pStyle w:val="TableText"/>
              <w:spacing w:before="120"/>
            </w:pPr>
            <w:r>
              <w:t>6817</w:t>
            </w:r>
          </w:p>
        </w:tc>
        <w:tc>
          <w:tcPr>
            <w:tcW w:w="4785" w:type="dxa"/>
            <w:tcBorders>
              <w:top w:val="single" w:sz="4" w:space="0" w:color="auto"/>
              <w:left w:val="single" w:sz="4" w:space="0" w:color="auto"/>
              <w:bottom w:val="single" w:sz="4" w:space="0" w:color="auto"/>
              <w:right w:val="single" w:sz="4" w:space="0" w:color="auto"/>
            </w:tcBorders>
          </w:tcPr>
          <w:p w14:paraId="2FEBE03D" w14:textId="77777777" w:rsidR="00D94935" w:rsidRDefault="00D94935" w:rsidP="003A681D">
            <w:pPr>
              <w:pStyle w:val="TableText"/>
              <w:spacing w:before="120"/>
            </w:pPr>
            <w:r>
              <w:t>Documents for examiner</w:t>
            </w:r>
          </w:p>
        </w:tc>
      </w:tr>
      <w:tr w:rsidR="00D94935" w14:paraId="642D6D6C" w14:textId="77777777" w:rsidTr="00C016FF">
        <w:tc>
          <w:tcPr>
            <w:tcW w:w="1120" w:type="dxa"/>
            <w:tcBorders>
              <w:top w:val="single" w:sz="4" w:space="0" w:color="auto"/>
              <w:left w:val="single" w:sz="4" w:space="0" w:color="auto"/>
              <w:bottom w:val="single" w:sz="4" w:space="0" w:color="auto"/>
              <w:right w:val="single" w:sz="4" w:space="0" w:color="auto"/>
            </w:tcBorders>
          </w:tcPr>
          <w:p w14:paraId="1806920F" w14:textId="7ED7B70B" w:rsidR="00D94935" w:rsidRDefault="00D94935" w:rsidP="003A681D">
            <w:pPr>
              <w:pStyle w:val="TableText"/>
              <w:spacing w:before="120"/>
            </w:pPr>
            <w:r>
              <w:lastRenderedPageBreak/>
              <w:t>5</w:t>
            </w:r>
            <w:r w:rsidR="00C016FF">
              <w:t>3</w:t>
            </w:r>
          </w:p>
        </w:tc>
        <w:tc>
          <w:tcPr>
            <w:tcW w:w="1792" w:type="dxa"/>
            <w:tcBorders>
              <w:top w:val="single" w:sz="4" w:space="0" w:color="auto"/>
              <w:left w:val="single" w:sz="4" w:space="0" w:color="auto"/>
              <w:bottom w:val="single" w:sz="4" w:space="0" w:color="auto"/>
              <w:right w:val="single" w:sz="4" w:space="0" w:color="auto"/>
            </w:tcBorders>
          </w:tcPr>
          <w:p w14:paraId="4F1DF92E" w14:textId="77777777" w:rsidR="00D94935" w:rsidRDefault="00D94935" w:rsidP="003A681D">
            <w:pPr>
              <w:pStyle w:val="TableText"/>
              <w:spacing w:before="120"/>
            </w:pPr>
            <w:r>
              <w:t>6904</w:t>
            </w:r>
          </w:p>
        </w:tc>
        <w:tc>
          <w:tcPr>
            <w:tcW w:w="4785" w:type="dxa"/>
            <w:tcBorders>
              <w:top w:val="single" w:sz="4" w:space="0" w:color="auto"/>
              <w:left w:val="single" w:sz="4" w:space="0" w:color="auto"/>
              <w:bottom w:val="single" w:sz="4" w:space="0" w:color="auto"/>
              <w:right w:val="single" w:sz="4" w:space="0" w:color="auto"/>
            </w:tcBorders>
          </w:tcPr>
          <w:p w14:paraId="4BED283C" w14:textId="77777777" w:rsidR="00D94935" w:rsidRDefault="00D94935" w:rsidP="003A681D">
            <w:pPr>
              <w:pStyle w:val="TableText"/>
              <w:spacing w:before="120"/>
            </w:pPr>
            <w:r>
              <w:t>Mandatory order to registrar etc</w:t>
            </w:r>
          </w:p>
        </w:tc>
      </w:tr>
      <w:tr w:rsidR="00D94935" w14:paraId="7C54C3AA" w14:textId="77777777" w:rsidTr="00C016FF">
        <w:tc>
          <w:tcPr>
            <w:tcW w:w="1120" w:type="dxa"/>
            <w:tcBorders>
              <w:top w:val="single" w:sz="4" w:space="0" w:color="auto"/>
              <w:left w:val="single" w:sz="4" w:space="0" w:color="auto"/>
              <w:bottom w:val="single" w:sz="4" w:space="0" w:color="auto"/>
              <w:right w:val="single" w:sz="4" w:space="0" w:color="auto"/>
            </w:tcBorders>
          </w:tcPr>
          <w:p w14:paraId="3DCBAA17" w14:textId="34962864" w:rsidR="00D94935" w:rsidRDefault="00D94935" w:rsidP="003A681D">
            <w:pPr>
              <w:pStyle w:val="TableText"/>
              <w:spacing w:before="120"/>
            </w:pPr>
            <w:r>
              <w:t>5</w:t>
            </w:r>
            <w:r w:rsidR="00C016FF">
              <w:t>4</w:t>
            </w:r>
          </w:p>
        </w:tc>
        <w:tc>
          <w:tcPr>
            <w:tcW w:w="1792" w:type="dxa"/>
            <w:tcBorders>
              <w:top w:val="single" w:sz="4" w:space="0" w:color="auto"/>
              <w:left w:val="single" w:sz="4" w:space="0" w:color="auto"/>
              <w:bottom w:val="single" w:sz="4" w:space="0" w:color="auto"/>
              <w:right w:val="single" w:sz="4" w:space="0" w:color="auto"/>
            </w:tcBorders>
          </w:tcPr>
          <w:p w14:paraId="494916BC" w14:textId="77777777" w:rsidR="00D94935" w:rsidRDefault="00D94935" w:rsidP="003A681D">
            <w:pPr>
              <w:pStyle w:val="TableText"/>
              <w:spacing w:before="120"/>
            </w:pPr>
            <w:r>
              <w:t>6906, if order or certificate of magistrate</w:t>
            </w:r>
          </w:p>
        </w:tc>
        <w:tc>
          <w:tcPr>
            <w:tcW w:w="4785" w:type="dxa"/>
            <w:tcBorders>
              <w:top w:val="single" w:sz="4" w:space="0" w:color="auto"/>
              <w:left w:val="single" w:sz="4" w:space="0" w:color="auto"/>
              <w:bottom w:val="single" w:sz="4" w:space="0" w:color="auto"/>
              <w:right w:val="single" w:sz="4" w:space="0" w:color="auto"/>
            </w:tcBorders>
          </w:tcPr>
          <w:p w14:paraId="13FA1719" w14:textId="77777777" w:rsidR="00D94935" w:rsidRDefault="00D94935" w:rsidP="003A681D">
            <w:pPr>
              <w:pStyle w:val="TableText"/>
              <w:spacing w:before="120"/>
            </w:pPr>
            <w:r>
              <w:t>Mistakes in orders or court certificates</w:t>
            </w:r>
          </w:p>
        </w:tc>
      </w:tr>
      <w:tr w:rsidR="00D94935" w14:paraId="13427085" w14:textId="77777777" w:rsidTr="00C016FF">
        <w:tc>
          <w:tcPr>
            <w:tcW w:w="1120" w:type="dxa"/>
            <w:tcBorders>
              <w:top w:val="single" w:sz="4" w:space="0" w:color="auto"/>
              <w:left w:val="single" w:sz="4" w:space="0" w:color="auto"/>
              <w:bottom w:val="single" w:sz="4" w:space="0" w:color="auto"/>
              <w:right w:val="single" w:sz="4" w:space="0" w:color="auto"/>
            </w:tcBorders>
          </w:tcPr>
          <w:p w14:paraId="5AE349B1" w14:textId="14AEDA4B" w:rsidR="00D94935" w:rsidRPr="0028337B" w:rsidRDefault="00D94935" w:rsidP="003A681D">
            <w:pPr>
              <w:pStyle w:val="TableText"/>
              <w:spacing w:before="120"/>
            </w:pPr>
            <w:r w:rsidRPr="0028337B">
              <w:t>5</w:t>
            </w:r>
            <w:r w:rsidR="00C016FF">
              <w:t>5</w:t>
            </w:r>
          </w:p>
        </w:tc>
        <w:tc>
          <w:tcPr>
            <w:tcW w:w="1792" w:type="dxa"/>
            <w:tcBorders>
              <w:top w:val="single" w:sz="4" w:space="0" w:color="auto"/>
              <w:left w:val="single" w:sz="4" w:space="0" w:color="auto"/>
              <w:bottom w:val="single" w:sz="4" w:space="0" w:color="auto"/>
              <w:right w:val="single" w:sz="4" w:space="0" w:color="auto"/>
            </w:tcBorders>
          </w:tcPr>
          <w:p w14:paraId="5C8EEBBB" w14:textId="77777777" w:rsidR="00D94935" w:rsidRPr="0028337B" w:rsidRDefault="00D94935" w:rsidP="003A681D">
            <w:pPr>
              <w:pStyle w:val="TableText"/>
              <w:spacing w:before="120"/>
            </w:pPr>
            <w:r w:rsidRPr="0028337B">
              <w:t>pt 6.10A</w:t>
            </w:r>
          </w:p>
        </w:tc>
        <w:tc>
          <w:tcPr>
            <w:tcW w:w="4785" w:type="dxa"/>
            <w:tcBorders>
              <w:top w:val="single" w:sz="4" w:space="0" w:color="auto"/>
              <w:left w:val="single" w:sz="4" w:space="0" w:color="auto"/>
              <w:bottom w:val="single" w:sz="4" w:space="0" w:color="auto"/>
              <w:right w:val="single" w:sz="4" w:space="0" w:color="auto"/>
            </w:tcBorders>
          </w:tcPr>
          <w:p w14:paraId="71F65C5E" w14:textId="77777777" w:rsidR="00D94935" w:rsidRPr="0028337B" w:rsidRDefault="00D94935" w:rsidP="003A681D">
            <w:pPr>
              <w:pStyle w:val="TableText"/>
              <w:spacing w:before="120"/>
            </w:pPr>
            <w:r w:rsidRPr="0028337B">
              <w:t>Trans-Tasman proceedings</w:t>
            </w:r>
          </w:p>
        </w:tc>
      </w:tr>
    </w:tbl>
    <w:p w14:paraId="68A5DEE9" w14:textId="77777777" w:rsidR="00432CA6" w:rsidRDefault="00432CA6">
      <w:pPr>
        <w:pStyle w:val="03Schedule"/>
        <w:sectPr w:rsidR="00432CA6" w:rsidSect="00CD3DF7">
          <w:headerReference w:type="even" r:id="rId985"/>
          <w:headerReference w:type="default" r:id="rId986"/>
          <w:footerReference w:type="even" r:id="rId987"/>
          <w:footerReference w:type="default" r:id="rId988"/>
          <w:type w:val="continuous"/>
          <w:pgSz w:w="11907" w:h="16839" w:code="9"/>
          <w:pgMar w:top="3880" w:right="1900" w:bottom="3100" w:left="2300" w:header="2280" w:footer="1760" w:gutter="0"/>
          <w:cols w:space="720"/>
        </w:sectPr>
      </w:pPr>
    </w:p>
    <w:p w14:paraId="0CFBC56F" w14:textId="77777777" w:rsidR="00D94935" w:rsidRDefault="00D94935" w:rsidP="00D94935">
      <w:pPr>
        <w:pStyle w:val="PageBreak"/>
      </w:pPr>
      <w:r>
        <w:br w:type="page"/>
      </w:r>
    </w:p>
    <w:p w14:paraId="31D1F0FE" w14:textId="77777777" w:rsidR="00D94935" w:rsidRPr="00C8328B" w:rsidRDefault="00D94935" w:rsidP="00D94935">
      <w:pPr>
        <w:pStyle w:val="Sched-heading"/>
      </w:pPr>
      <w:bookmarkStart w:id="1947" w:name="_Toc185515563"/>
      <w:r w:rsidRPr="00C8328B">
        <w:rPr>
          <w:rStyle w:val="CharChapNo"/>
        </w:rPr>
        <w:lastRenderedPageBreak/>
        <w:t>Schedule 6</w:t>
      </w:r>
      <w:r>
        <w:tab/>
      </w:r>
      <w:r w:rsidRPr="00C8328B">
        <w:rPr>
          <w:rStyle w:val="CharChapText"/>
        </w:rPr>
        <w:t>Corporations Rules</w:t>
      </w:r>
      <w:bookmarkEnd w:id="1947"/>
    </w:p>
    <w:p w14:paraId="5E17068E" w14:textId="77777777" w:rsidR="00D94935" w:rsidRDefault="00D94935" w:rsidP="00D94935">
      <w:pPr>
        <w:pStyle w:val="ref"/>
      </w:pPr>
      <w:r>
        <w:t>(see r 3270)</w:t>
      </w:r>
    </w:p>
    <w:p w14:paraId="34635DF6" w14:textId="77777777" w:rsidR="00D94935" w:rsidRPr="00C8328B" w:rsidRDefault="00D94935" w:rsidP="00D94935">
      <w:pPr>
        <w:pStyle w:val="Sched-Part"/>
      </w:pPr>
      <w:bookmarkStart w:id="1948" w:name="_Toc185515564"/>
      <w:r w:rsidRPr="00C8328B">
        <w:rPr>
          <w:rStyle w:val="CharPartNo"/>
        </w:rPr>
        <w:t>Part 6.1</w:t>
      </w:r>
      <w:r>
        <w:tab/>
      </w:r>
      <w:r w:rsidRPr="00C8328B">
        <w:rPr>
          <w:rStyle w:val="CharPartText"/>
        </w:rPr>
        <w:t>Corporations Rules—preliminary</w:t>
      </w:r>
      <w:bookmarkEnd w:id="1948"/>
    </w:p>
    <w:p w14:paraId="6318812E" w14:textId="77777777" w:rsidR="00D94935" w:rsidRDefault="00D94935" w:rsidP="00D94935">
      <w:pPr>
        <w:pStyle w:val="Schclauseheading"/>
      </w:pPr>
      <w:bookmarkStart w:id="1949" w:name="_Toc185515565"/>
      <w:r w:rsidRPr="00C8328B">
        <w:rPr>
          <w:rStyle w:val="CharSectNo"/>
        </w:rPr>
        <w:t>1.1</w:t>
      </w:r>
      <w:r>
        <w:tab/>
        <w:t>Name of rules</w:t>
      </w:r>
      <w:bookmarkEnd w:id="1949"/>
    </w:p>
    <w:p w14:paraId="3E20A13F" w14:textId="77777777" w:rsidR="00D94935" w:rsidRPr="006364FA" w:rsidRDefault="00D94935" w:rsidP="00D94935">
      <w:pPr>
        <w:pStyle w:val="Amainreturn"/>
      </w:pPr>
      <w:r>
        <w:t xml:space="preserve">The rules in this schedule are the </w:t>
      </w:r>
      <w:r>
        <w:rPr>
          <w:rStyle w:val="charItals"/>
        </w:rPr>
        <w:t>Corporations Rules</w:t>
      </w:r>
      <w:r w:rsidRPr="006364FA">
        <w:t>.</w:t>
      </w:r>
    </w:p>
    <w:p w14:paraId="04D6B812" w14:textId="4C99B9EA" w:rsidR="00D94935" w:rsidRPr="00D75A67" w:rsidRDefault="00D94935" w:rsidP="00D94935">
      <w:pPr>
        <w:pStyle w:val="Schclauseheading"/>
        <w:rPr>
          <w:rStyle w:val="CharSectNo"/>
        </w:rPr>
      </w:pPr>
      <w:bookmarkStart w:id="1950" w:name="_Toc185515566"/>
      <w:r w:rsidRPr="00C8328B">
        <w:rPr>
          <w:rStyle w:val="CharSectNo"/>
        </w:rPr>
        <w:t>1.2</w:t>
      </w:r>
      <w:bookmarkEnd w:id="1950"/>
      <w:r w:rsidRPr="00D75A67">
        <w:rPr>
          <w:rStyle w:val="CharSectNo"/>
        </w:rPr>
        <w:tab/>
      </w:r>
      <w:r w:rsidR="00F36718" w:rsidRPr="00D75A67">
        <w:rPr>
          <w:rStyle w:val="CharSectNo"/>
        </w:rPr>
        <w:t xml:space="preserve">  </w:t>
      </w:r>
    </w:p>
    <w:p w14:paraId="3C603746" w14:textId="77777777" w:rsidR="00D94935" w:rsidRDefault="00D94935" w:rsidP="00D94935">
      <w:pPr>
        <w:pStyle w:val="aNote"/>
      </w:pPr>
      <w:r w:rsidRPr="006364FA">
        <w:rPr>
          <w:rStyle w:val="charItals"/>
        </w:rPr>
        <w:t>Note</w:t>
      </w:r>
      <w:r>
        <w:tab/>
        <w:t>These rules do not include a r 1.2.</w:t>
      </w:r>
    </w:p>
    <w:p w14:paraId="52353CC3" w14:textId="77777777" w:rsidR="00D94935" w:rsidRDefault="00D94935" w:rsidP="00D94935">
      <w:pPr>
        <w:pStyle w:val="aNoteTextss"/>
      </w:pPr>
      <w:r>
        <w:t>The rule number has been kept to ensure that provision numbers in these rules are consistent with the uniform corporations rules.</w:t>
      </w:r>
    </w:p>
    <w:p w14:paraId="5F68F7DA" w14:textId="77777777" w:rsidR="00D94935" w:rsidRDefault="00D94935" w:rsidP="00D94935">
      <w:pPr>
        <w:pStyle w:val="Schclauseheading"/>
      </w:pPr>
      <w:bookmarkStart w:id="1951" w:name="_Toc185515567"/>
      <w:r w:rsidRPr="00C8328B">
        <w:rPr>
          <w:rStyle w:val="CharSectNo"/>
        </w:rPr>
        <w:t>1.3</w:t>
      </w:r>
      <w:r>
        <w:tab/>
        <w:t>Application of sch 6 and provisions of these rules</w:t>
      </w:r>
      <w:bookmarkEnd w:id="1951"/>
    </w:p>
    <w:p w14:paraId="58F95F6E" w14:textId="77777777" w:rsidR="00D94935" w:rsidRDefault="00D94935" w:rsidP="00D94935">
      <w:pPr>
        <w:pStyle w:val="Amain"/>
      </w:pPr>
      <w:r>
        <w:tab/>
        <w:t>(1)</w:t>
      </w:r>
      <w:r>
        <w:tab/>
        <w:t>Unless the Supreme Court otherwise orders—</w:t>
      </w:r>
    </w:p>
    <w:p w14:paraId="71CED4C0" w14:textId="2961DB5A" w:rsidR="00D94935" w:rsidRDefault="00D94935" w:rsidP="00D94935">
      <w:pPr>
        <w:pStyle w:val="Apara"/>
      </w:pPr>
      <w:r>
        <w:tab/>
        <w:t>(a)</w:t>
      </w:r>
      <w:r>
        <w:tab/>
        <w:t xml:space="preserve">this schedule applies to a proceeding in the court under the </w:t>
      </w:r>
      <w:hyperlink r:id="rId989" w:tooltip="Act 2001 No 50 (Cwlth)" w:history="1">
        <w:r w:rsidRPr="00D74CAB">
          <w:rPr>
            <w:rStyle w:val="charCitHyperlinkAbbrev"/>
          </w:rPr>
          <w:t>Corporations Act</w:t>
        </w:r>
      </w:hyperlink>
      <w:r>
        <w:t xml:space="preserve">, or the </w:t>
      </w:r>
      <w:hyperlink r:id="rId990" w:tooltip="Australian Securities and Investments Commission Act 2001 (Cwlth)" w:history="1">
        <w:r w:rsidRPr="0095525D">
          <w:rPr>
            <w:rStyle w:val="charCitHyperlinkAbbrev"/>
          </w:rPr>
          <w:t>ASIC Act</w:t>
        </w:r>
      </w:hyperlink>
      <w:r>
        <w:t>, that is started on or after 12 November 2003; and</w:t>
      </w:r>
    </w:p>
    <w:p w14:paraId="26C4C921" w14:textId="7AA7B0B8" w:rsidR="00D94935" w:rsidRDefault="00D94935" w:rsidP="00D94935">
      <w:pPr>
        <w:pStyle w:val="Apara"/>
      </w:pPr>
      <w:r>
        <w:tab/>
        <w:t>(b)</w:t>
      </w:r>
      <w:r>
        <w:tab/>
        <w:t xml:space="preserve">part 6.15A applies to a proceeding in the court under the </w:t>
      </w:r>
      <w:hyperlink r:id="rId991" w:tooltip="Act 2008 No 24 (Cwlth)" w:history="1">
        <w:r w:rsidRPr="009F24FA">
          <w:rPr>
            <w:rStyle w:val="charCitHyperlinkAbbrev"/>
          </w:rPr>
          <w:t>Cross-Border Insolvency Act</w:t>
        </w:r>
      </w:hyperlink>
      <w:r>
        <w:t>.</w:t>
      </w:r>
    </w:p>
    <w:p w14:paraId="6664C8BC" w14:textId="77777777" w:rsidR="00D94935" w:rsidRDefault="00D94935" w:rsidP="00D94935">
      <w:pPr>
        <w:pStyle w:val="Amain"/>
      </w:pPr>
      <w:r>
        <w:tab/>
        <w:t>(2)</w:t>
      </w:r>
      <w:r>
        <w:tab/>
        <w:t>The other provisions of these rules apply, as far as they are relevant and not inconsistent with this schedule—</w:t>
      </w:r>
    </w:p>
    <w:p w14:paraId="4375B4A8" w14:textId="71F01E6B" w:rsidR="00D94935" w:rsidRDefault="00D94935" w:rsidP="00D94935">
      <w:pPr>
        <w:pStyle w:val="Apara"/>
      </w:pPr>
      <w:r>
        <w:tab/>
        <w:t>(a)</w:t>
      </w:r>
      <w:r>
        <w:tab/>
        <w:t xml:space="preserve">to a proceeding in the Supreme Court under the </w:t>
      </w:r>
      <w:hyperlink r:id="rId992" w:tooltip="Act 2001 No 50 (Cwlth)" w:history="1">
        <w:r w:rsidRPr="00D74CAB">
          <w:rPr>
            <w:rStyle w:val="charCitHyperlinkAbbrev"/>
          </w:rPr>
          <w:t>Corporations Act</w:t>
        </w:r>
      </w:hyperlink>
      <w:r>
        <w:t xml:space="preserve">, or the </w:t>
      </w:r>
      <w:hyperlink r:id="rId993" w:tooltip="Australian Securities and Investments Commission Act 2001 (Cwlth)" w:history="1">
        <w:r w:rsidRPr="0095525D">
          <w:rPr>
            <w:rStyle w:val="charCitHyperlinkAbbrev"/>
          </w:rPr>
          <w:t>ASIC Act</w:t>
        </w:r>
      </w:hyperlink>
      <w:r>
        <w:t>, that is started on or after 12 November 2003; and</w:t>
      </w:r>
    </w:p>
    <w:p w14:paraId="15A05B23" w14:textId="60212EEC" w:rsidR="00D94935" w:rsidRDefault="00D94935" w:rsidP="00D94935">
      <w:pPr>
        <w:pStyle w:val="Apara"/>
      </w:pPr>
      <w:r>
        <w:tab/>
        <w:t>(b)</w:t>
      </w:r>
      <w:r>
        <w:tab/>
        <w:t xml:space="preserve">to a proceeding in the court under the </w:t>
      </w:r>
      <w:hyperlink r:id="rId994" w:tooltip="Act 2008 No 24 (Cwlth)" w:history="1">
        <w:r w:rsidRPr="009F24FA">
          <w:rPr>
            <w:rStyle w:val="charCitHyperlinkAbbrev"/>
          </w:rPr>
          <w:t>Cross-Border Insolvency Act</w:t>
        </w:r>
      </w:hyperlink>
      <w:r>
        <w:t xml:space="preserve"> that is started on or after the commencement of part 6.15A.</w:t>
      </w:r>
    </w:p>
    <w:p w14:paraId="43D519D8" w14:textId="6C460398"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95" w:tooltip="Act 2001 No 50 (Cwlth)" w:history="1">
        <w:r w:rsidRPr="00D74CAB">
          <w:rPr>
            <w:rStyle w:val="charCitHyperlinkAbbrev"/>
          </w:rPr>
          <w:t>Corporations Act</w:t>
        </w:r>
      </w:hyperlink>
      <w:r>
        <w:t xml:space="preserve">, or the </w:t>
      </w:r>
      <w:hyperlink r:id="rId996"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97" w:tooltip="Act 2001 No 50 (Cwlth)" w:history="1">
        <w:r w:rsidRPr="00D74CAB">
          <w:rPr>
            <w:rStyle w:val="charCitHyperlinkAbbrev"/>
          </w:rPr>
          <w:t>Corporations Act</w:t>
        </w:r>
      </w:hyperlink>
      <w:r>
        <w:t xml:space="preserve">, or the </w:t>
      </w:r>
      <w:hyperlink r:id="rId998" w:tooltip="Australian Securities and Investments Commission Act 2001 (Cwlth)" w:history="1">
        <w:r w:rsidRPr="0095525D">
          <w:rPr>
            <w:rStyle w:val="charCitHyperlinkAbbrev"/>
          </w:rPr>
          <w:t>ASIC Act</w:t>
        </w:r>
      </w:hyperlink>
      <w:r>
        <w:t>, that was started before that date.</w:t>
      </w:r>
    </w:p>
    <w:p w14:paraId="614D3BEC" w14:textId="09D3F2F3"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99" w:tooltip="Act 2001 No 50 (Cwlth)" w:history="1">
        <w:r w:rsidRPr="00D74CAB">
          <w:rPr>
            <w:rStyle w:val="charCitHyperlinkAbbrev"/>
          </w:rPr>
          <w:t>Corporations Act</w:t>
        </w:r>
      </w:hyperlink>
      <w:r w:rsidRPr="006364FA">
        <w:t xml:space="preserve">, s 9, </w:t>
      </w:r>
      <w:r>
        <w:t xml:space="preserve">a reference to the </w:t>
      </w:r>
      <w:hyperlink r:id="rId1000" w:tooltip="Act 2001 No 50 (Cwlth)" w:history="1">
        <w:r w:rsidRPr="00D74CAB">
          <w:rPr>
            <w:rStyle w:val="charCitHyperlinkAbbrev"/>
          </w:rPr>
          <w:t>Corporations Act</w:t>
        </w:r>
      </w:hyperlink>
      <w:r>
        <w:t xml:space="preserve"> includes a reference to the </w:t>
      </w:r>
      <w:hyperlink r:id="rId1001" w:tooltip="SR 1969 No 58 (Cwlth)" w:history="1">
        <w:r w:rsidRPr="00783A62">
          <w:rPr>
            <w:rStyle w:val="charCitHyperlinkAbbrev"/>
          </w:rPr>
          <w:t>Corporations Regulations</w:t>
        </w:r>
      </w:hyperlink>
      <w:r>
        <w:t>.</w:t>
      </w:r>
    </w:p>
    <w:p w14:paraId="6B00BF5F" w14:textId="77777777" w:rsidR="00D94935" w:rsidRDefault="00D94935" w:rsidP="00D94935">
      <w:pPr>
        <w:pStyle w:val="Schclauseheading"/>
      </w:pPr>
      <w:bookmarkStart w:id="1952" w:name="_Toc185515568"/>
      <w:r w:rsidRPr="00C8328B">
        <w:rPr>
          <w:rStyle w:val="CharSectNo"/>
        </w:rPr>
        <w:t>1.4</w:t>
      </w:r>
      <w:r>
        <w:tab/>
        <w:t>Terms used in Corporations Act</w:t>
      </w:r>
      <w:bookmarkEnd w:id="1952"/>
    </w:p>
    <w:p w14:paraId="16BA9C45" w14:textId="04C9EFA5" w:rsidR="00D94935" w:rsidRDefault="00D94935" w:rsidP="00D94935">
      <w:pPr>
        <w:pStyle w:val="Amainreturn"/>
        <w:keepNext/>
      </w:pPr>
      <w:r>
        <w:t xml:space="preserve">A term used in the </w:t>
      </w:r>
      <w:hyperlink r:id="rId1002" w:tooltip="Act 2001 No 50 (Cwlth)" w:history="1">
        <w:r w:rsidRPr="00D74CAB">
          <w:rPr>
            <w:rStyle w:val="charCitHyperlinkAbbrev"/>
          </w:rPr>
          <w:t>Corporations Act</w:t>
        </w:r>
      </w:hyperlink>
      <w:r>
        <w:t xml:space="preserve"> has the same meaning in this schedule.</w:t>
      </w:r>
    </w:p>
    <w:p w14:paraId="1009C72E" w14:textId="2D0E8FA0"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1003" w:tooltip="Act 2001 No 50 (Cwlth)" w:history="1">
        <w:r w:rsidRPr="00D74CAB">
          <w:rPr>
            <w:rStyle w:val="charCitHyperlinkAbbrev"/>
          </w:rPr>
          <w:t>Corporations Act</w:t>
        </w:r>
      </w:hyperlink>
      <w:r>
        <w:t xml:space="preserve"> include the following:</w:t>
      </w:r>
    </w:p>
    <w:p w14:paraId="622AE775" w14:textId="77777777"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14:paraId="22FE52B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14:paraId="11B8F155"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14:paraId="7F0F0718" w14:textId="77777777"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14:paraId="7E900CE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14:paraId="774C6E1B"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14:paraId="4A2900D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14:paraId="221100E8"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14:paraId="015C99D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14:paraId="5887044E"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14:paraId="4EBD0272" w14:textId="77777777"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14:paraId="4413BA1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14:paraId="43D7B73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14:paraId="459B7F4F"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14:paraId="796FCF7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14:paraId="5177EDC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14:paraId="00EA3022"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14:paraId="33454259"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14:paraId="030F1A71" w14:textId="77777777" w:rsidR="00D94935" w:rsidRDefault="00D94935" w:rsidP="00D94935">
      <w:pPr>
        <w:pStyle w:val="Schclauseheading"/>
      </w:pPr>
      <w:bookmarkStart w:id="1953" w:name="_Toc185515569"/>
      <w:r w:rsidRPr="00C8328B">
        <w:rPr>
          <w:rStyle w:val="CharSectNo"/>
        </w:rPr>
        <w:lastRenderedPageBreak/>
        <w:t>1.5</w:t>
      </w:r>
      <w:r>
        <w:tab/>
        <w:t>Definitions—sch 6</w:t>
      </w:r>
      <w:bookmarkEnd w:id="1953"/>
    </w:p>
    <w:p w14:paraId="75761250" w14:textId="77777777" w:rsidR="00D94935" w:rsidRDefault="00D94935" w:rsidP="00D94935">
      <w:pPr>
        <w:pStyle w:val="Amainreturn"/>
        <w:keepNext/>
      </w:pPr>
      <w:r>
        <w:t>In this schedule:</w:t>
      </w:r>
    </w:p>
    <w:p w14:paraId="4DA98488" w14:textId="77777777" w:rsidR="00D94935" w:rsidRDefault="00D94935" w:rsidP="00D94935">
      <w:pPr>
        <w:pStyle w:val="aDef"/>
      </w:pPr>
      <w:r>
        <w:rPr>
          <w:rStyle w:val="charBoldItals"/>
        </w:rPr>
        <w:t>applicant</w:t>
      </w:r>
      <w:r>
        <w:t xml:space="preserve"> means a person claiming interlocutory relief in a proceeding.</w:t>
      </w:r>
    </w:p>
    <w:p w14:paraId="7B4E3922" w14:textId="3D0304A4" w:rsidR="00D94935" w:rsidRPr="006364FA" w:rsidRDefault="00D94935" w:rsidP="00D94935">
      <w:pPr>
        <w:pStyle w:val="aDef"/>
      </w:pPr>
      <w:r>
        <w:rPr>
          <w:rStyle w:val="charBoldItals"/>
        </w:rPr>
        <w:t xml:space="preserve">ASIC Act </w:t>
      </w:r>
      <w:r w:rsidRPr="006364FA">
        <w:t xml:space="preserve">means the </w:t>
      </w:r>
      <w:hyperlink r:id="rId1004" w:tooltip="Act 2001 No 51 (Cwlth)" w:history="1">
        <w:r w:rsidRPr="009F24FA">
          <w:rPr>
            <w:rStyle w:val="charCitHyperlinkItal"/>
          </w:rPr>
          <w:t>Australian Securities and Investments Commission Act 2001</w:t>
        </w:r>
      </w:hyperlink>
      <w:r w:rsidRPr="006364FA">
        <w:t xml:space="preserve"> (Cwlth).</w:t>
      </w:r>
    </w:p>
    <w:p w14:paraId="02F2C47E" w14:textId="20E29251" w:rsidR="00D94935" w:rsidRPr="006364FA" w:rsidRDefault="00D94935" w:rsidP="00D94935">
      <w:pPr>
        <w:pStyle w:val="aDef"/>
      </w:pPr>
      <w:r>
        <w:rPr>
          <w:rStyle w:val="charBoldItals"/>
        </w:rPr>
        <w:t>Corporations Regulations</w:t>
      </w:r>
      <w:r w:rsidRPr="006364FA">
        <w:t xml:space="preserve"> means the </w:t>
      </w:r>
      <w:hyperlink r:id="rId1005" w:tooltip="SR 2001 No 193 (Cwlth)" w:history="1">
        <w:r w:rsidRPr="009F24FA">
          <w:rPr>
            <w:rStyle w:val="charCitHyperlinkItal"/>
          </w:rPr>
          <w:t>Corporations Regulations 2001</w:t>
        </w:r>
      </w:hyperlink>
      <w:r w:rsidRPr="006364FA">
        <w:t xml:space="preserve"> (Cwlth).</w:t>
      </w:r>
    </w:p>
    <w:p w14:paraId="3668C20F" w14:textId="29F260B8" w:rsidR="00D94935" w:rsidRDefault="00D94935" w:rsidP="00D94935">
      <w:pPr>
        <w:pStyle w:val="aDef"/>
      </w:pPr>
      <w:r w:rsidRPr="000036CC">
        <w:rPr>
          <w:rStyle w:val="charBoldItals"/>
        </w:rPr>
        <w:t>Cross-Border Insolvency Act</w:t>
      </w:r>
      <w:r>
        <w:t xml:space="preserve"> means the </w:t>
      </w:r>
      <w:hyperlink r:id="rId1006" w:tooltip="Act 2008 No 24 (Cwlth)" w:history="1">
        <w:r w:rsidRPr="009F24FA">
          <w:rPr>
            <w:rStyle w:val="charCitHyperlinkItal"/>
          </w:rPr>
          <w:t>Cross-Border Insolvency Act 2008</w:t>
        </w:r>
      </w:hyperlink>
      <w:r>
        <w:t xml:space="preserve"> (Cwlth) including, unless the contrary intention appears, the Model Law.</w:t>
      </w:r>
    </w:p>
    <w:p w14:paraId="6BE97A56" w14:textId="60106B4B"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1007" w:tooltip="Act 2001 No 50 (Cwlth)" w:history="1">
        <w:r w:rsidRPr="00D74CAB">
          <w:rPr>
            <w:rStyle w:val="charCitHyperlinkAbbrev"/>
          </w:rPr>
          <w:t>Corporations Act</w:t>
        </w:r>
      </w:hyperlink>
      <w:r>
        <w:t xml:space="preserve">, the </w:t>
      </w:r>
      <w:hyperlink r:id="rId1008" w:tooltip="Act 2001 No 51 (Cwlth)" w:history="1">
        <w:r w:rsidRPr="009F24FA">
          <w:rPr>
            <w:rStyle w:val="charCitHyperlinkAbbrev"/>
          </w:rPr>
          <w:t>ASIC Act</w:t>
        </w:r>
      </w:hyperlink>
      <w:r w:rsidRPr="009F24FA">
        <w:rPr>
          <w:rStyle w:val="charCitHyperlinkAbbrev"/>
        </w:rPr>
        <w:t xml:space="preserve"> </w:t>
      </w:r>
      <w:r>
        <w:t xml:space="preserve">or the </w:t>
      </w:r>
      <w:hyperlink r:id="rId1009" w:tooltip="Act 2008 No 24 (Cwlth)" w:history="1">
        <w:r w:rsidRPr="009F24FA">
          <w:rPr>
            <w:rStyle w:val="charCitHyperlinkAbbrev"/>
          </w:rPr>
          <w:t>Cross-Border Insolvency Act</w:t>
        </w:r>
      </w:hyperlink>
      <w:r>
        <w:t>, whether in the originating process or not.</w:t>
      </w:r>
    </w:p>
    <w:p w14:paraId="7707319F" w14:textId="77777777" w:rsidR="00D94935" w:rsidRDefault="00D94935" w:rsidP="00D94935">
      <w:pPr>
        <w:pStyle w:val="aDef"/>
      </w:pPr>
      <w:r>
        <w:rPr>
          <w:rStyle w:val="charBoldItals"/>
        </w:rPr>
        <w:t>interlocutory process</w:t>
      </w:r>
      <w:r>
        <w:t xml:space="preserve"> means an interlocutory process in a proceeding.</w:t>
      </w:r>
    </w:p>
    <w:p w14:paraId="6A078EAE" w14:textId="6787D6E0"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1010" w:tooltip="Act 2008 No 24 (Cwlth)" w:history="1">
        <w:r w:rsidRPr="009F24FA">
          <w:rPr>
            <w:rStyle w:val="charCitHyperlinkAbbrev"/>
          </w:rPr>
          <w:t>Cross-Border Insolvency Act</w:t>
        </w:r>
      </w:hyperlink>
      <w:r>
        <w:t>, schedule</w:t>
      </w:r>
      <w:r w:rsidR="0094093F">
        <w:t> </w:t>
      </w:r>
      <w:r>
        <w:t>1, with the modifications set out in that Act, part 2.</w:t>
      </w:r>
    </w:p>
    <w:p w14:paraId="3EF99508" w14:textId="77777777" w:rsidR="00D94935" w:rsidRDefault="00D94935" w:rsidP="00D94935">
      <w:pPr>
        <w:pStyle w:val="aDef"/>
      </w:pPr>
      <w:r>
        <w:rPr>
          <w:rStyle w:val="charBoldItals"/>
        </w:rPr>
        <w:t>originating process</w:t>
      </w:r>
      <w:r>
        <w:t xml:space="preserve"> means an originating process in a proceeding.</w:t>
      </w:r>
    </w:p>
    <w:p w14:paraId="07D73C5C" w14:textId="2C4F6846" w:rsidR="00D94935" w:rsidRDefault="00D94935" w:rsidP="00D94935">
      <w:pPr>
        <w:pStyle w:val="aDef"/>
      </w:pPr>
      <w:r w:rsidRPr="000036CC">
        <w:rPr>
          <w:rStyle w:val="charBoldItals"/>
        </w:rPr>
        <w:t>plaintiff</w:t>
      </w:r>
      <w:r>
        <w:t xml:space="preserve"> means a person claiming relief (except interlocutory relief) under the </w:t>
      </w:r>
      <w:hyperlink r:id="rId1011" w:tooltip="Act 2001 No 50 (Cwlth)" w:history="1">
        <w:r w:rsidRPr="00D74CAB">
          <w:rPr>
            <w:rStyle w:val="charCitHyperlinkAbbrev"/>
          </w:rPr>
          <w:t>Corporations Act</w:t>
        </w:r>
      </w:hyperlink>
      <w:r>
        <w:t xml:space="preserve">, the </w:t>
      </w:r>
      <w:hyperlink r:id="rId1012" w:tooltip="Act 2001 No 51 (Cwlth)" w:history="1">
        <w:r w:rsidRPr="009F24FA">
          <w:rPr>
            <w:rStyle w:val="charCitHyperlinkAbbrev"/>
          </w:rPr>
          <w:t>ASIC Act</w:t>
        </w:r>
      </w:hyperlink>
      <w:r>
        <w:t xml:space="preserve"> or the </w:t>
      </w:r>
      <w:hyperlink r:id="rId1013" w:tooltip="Act 2008 No 24 (Cwlth)" w:history="1">
        <w:r w:rsidRPr="009F24FA">
          <w:rPr>
            <w:rStyle w:val="charCitHyperlinkAbbrev"/>
          </w:rPr>
          <w:t>Cross-Border Insolvency Act</w:t>
        </w:r>
      </w:hyperlink>
      <w:r>
        <w:t>, whether in the originating process or not.</w:t>
      </w:r>
    </w:p>
    <w:p w14:paraId="673350D7" w14:textId="77777777" w:rsidR="00D94935" w:rsidRDefault="00D94935" w:rsidP="00D94935">
      <w:pPr>
        <w:pStyle w:val="aDef"/>
      </w:pPr>
      <w:r>
        <w:rPr>
          <w:rStyle w:val="charBoldItals"/>
        </w:rPr>
        <w:t>respondent</w:t>
      </w:r>
      <w:r>
        <w:t xml:space="preserve"> means a person against whom interlocutory relief is claimed in a proceeding.</w:t>
      </w:r>
    </w:p>
    <w:p w14:paraId="36B12385" w14:textId="77777777" w:rsidR="00D94935" w:rsidRDefault="00D94935" w:rsidP="00D94935">
      <w:pPr>
        <w:pStyle w:val="Schclauseheading"/>
      </w:pPr>
      <w:bookmarkStart w:id="1954" w:name="_Toc185515570"/>
      <w:r w:rsidRPr="00C8328B">
        <w:rPr>
          <w:rStyle w:val="CharSectNo"/>
        </w:rPr>
        <w:lastRenderedPageBreak/>
        <w:t>1.6</w:t>
      </w:r>
      <w:r>
        <w:tab/>
        <w:t>References to rules</w:t>
      </w:r>
      <w:bookmarkEnd w:id="1954"/>
    </w:p>
    <w:p w14:paraId="44AC6FDF" w14:textId="77777777" w:rsidR="00D94935" w:rsidRDefault="00D94935" w:rsidP="00D94935">
      <w:pPr>
        <w:pStyle w:val="Amainreturn"/>
      </w:pPr>
      <w:r>
        <w:t>A reference in this schedule to a rule is a reference to a rule in this schedule.</w:t>
      </w:r>
    </w:p>
    <w:p w14:paraId="264C8D96" w14:textId="77777777" w:rsidR="00D94935" w:rsidRDefault="00D94935" w:rsidP="00D94935">
      <w:pPr>
        <w:pStyle w:val="Schclauseheading"/>
      </w:pPr>
      <w:bookmarkStart w:id="1955" w:name="_Toc185515571"/>
      <w:r w:rsidRPr="00C8328B">
        <w:rPr>
          <w:rStyle w:val="CharSectNo"/>
        </w:rPr>
        <w:t>1.7</w:t>
      </w:r>
      <w:r>
        <w:tab/>
        <w:t>Substantial compliance with forms</w:t>
      </w:r>
      <w:bookmarkEnd w:id="1955"/>
    </w:p>
    <w:p w14:paraId="61E08995" w14:textId="77777777"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14:paraId="7E0B0E03" w14:textId="77777777"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14:paraId="09259715" w14:textId="77777777" w:rsidR="00D94935" w:rsidRDefault="00D94935" w:rsidP="00D94935">
      <w:pPr>
        <w:pStyle w:val="Schclauseheading"/>
      </w:pPr>
      <w:bookmarkStart w:id="1956" w:name="_Toc185515572"/>
      <w:r w:rsidRPr="00C8328B">
        <w:rPr>
          <w:rStyle w:val="CharSectNo"/>
        </w:rPr>
        <w:t>1.8</w:t>
      </w:r>
      <w:r>
        <w:tab/>
        <w:t>Court’s power to give directions</w:t>
      </w:r>
      <w:bookmarkEnd w:id="1956"/>
    </w:p>
    <w:p w14:paraId="0221BC33" w14:textId="77777777" w:rsidR="00D94935" w:rsidRDefault="00D94935" w:rsidP="00D94935">
      <w:pPr>
        <w:pStyle w:val="Amainreturn"/>
        <w:keepNext/>
      </w:pPr>
      <w:r>
        <w:t>The court may give directions in relation to the practice and procedure to be followed in a proceeding if satisfied, in the circumstances of the proceeding, that—</w:t>
      </w:r>
    </w:p>
    <w:p w14:paraId="633DB383" w14:textId="145E73BF" w:rsidR="00D94935" w:rsidRDefault="00D94935" w:rsidP="00D94935">
      <w:pPr>
        <w:pStyle w:val="Apara"/>
      </w:pPr>
      <w:r>
        <w:tab/>
        <w:t>(a)</w:t>
      </w:r>
      <w:r>
        <w:tab/>
        <w:t xml:space="preserve">the provisions of the </w:t>
      </w:r>
      <w:hyperlink r:id="rId1014" w:tooltip="Act 2001 No 50 (Cwlth)" w:history="1">
        <w:r w:rsidRPr="00D74CAB">
          <w:rPr>
            <w:rStyle w:val="charCitHyperlinkAbbrev"/>
          </w:rPr>
          <w:t>Corporations Act</w:t>
        </w:r>
      </w:hyperlink>
      <w:r>
        <w:t xml:space="preserve">, the </w:t>
      </w:r>
      <w:hyperlink r:id="rId1015" w:tooltip="Act 2001 No 51 (Cwlth)" w:history="1">
        <w:r w:rsidRPr="009F24FA">
          <w:rPr>
            <w:rStyle w:val="charCitHyperlinkAbbrev"/>
          </w:rPr>
          <w:t>ASIC Act</w:t>
        </w:r>
      </w:hyperlink>
      <w:r>
        <w:t>, or the rules of the court do not adequately provide for the practice and procedure to be followed in the proceeding; or</w:t>
      </w:r>
    </w:p>
    <w:p w14:paraId="511C9144" w14:textId="77777777" w:rsidR="00D94935" w:rsidRDefault="00D94935" w:rsidP="00D94935">
      <w:pPr>
        <w:pStyle w:val="Apara"/>
      </w:pPr>
      <w:r>
        <w:tab/>
        <w:t>(b)</w:t>
      </w:r>
      <w:r>
        <w:tab/>
        <w:t>a difficulty arises, or doubt exists, in relation to the practice and procedure to be followed in the proceeding.</w:t>
      </w:r>
    </w:p>
    <w:p w14:paraId="4FFDC507" w14:textId="77777777" w:rsidR="00D94935" w:rsidRDefault="00D94935" w:rsidP="00D94935">
      <w:pPr>
        <w:pStyle w:val="Schclauseheading"/>
      </w:pPr>
      <w:bookmarkStart w:id="1957" w:name="_Toc185515573"/>
      <w:r w:rsidRPr="00C8328B">
        <w:rPr>
          <w:rStyle w:val="CharSectNo"/>
        </w:rPr>
        <w:t>1.9</w:t>
      </w:r>
      <w:r>
        <w:tab/>
        <w:t>Calculation of time</w:t>
      </w:r>
      <w:bookmarkEnd w:id="1957"/>
    </w:p>
    <w:p w14:paraId="557C89E3" w14:textId="77777777" w:rsidR="00D94935" w:rsidRDefault="00D94935" w:rsidP="00D94935">
      <w:pPr>
        <w:pStyle w:val="Amain"/>
      </w:pPr>
      <w:r>
        <w:tab/>
        <w:t>(1)</w:t>
      </w:r>
      <w:r>
        <w:tab/>
        <w:t>If, for any purpose, this schedule—</w:t>
      </w:r>
    </w:p>
    <w:p w14:paraId="25C2BC55" w14:textId="77777777" w:rsidR="00D94935" w:rsidRDefault="00D94935" w:rsidP="00D94935">
      <w:pPr>
        <w:pStyle w:val="Apara"/>
      </w:pPr>
      <w:r>
        <w:tab/>
        <w:t>(a)</w:t>
      </w:r>
      <w:r>
        <w:tab/>
        <w:t>prohibits, permits or requires anything to be done within, by, or before the end of; or</w:t>
      </w:r>
    </w:p>
    <w:p w14:paraId="3ABFCDD0" w14:textId="77777777" w:rsidR="00D94935" w:rsidRDefault="00D94935" w:rsidP="00D94935">
      <w:pPr>
        <w:pStyle w:val="Apara"/>
      </w:pPr>
      <w:r>
        <w:tab/>
        <w:t>(b)</w:t>
      </w:r>
      <w:r>
        <w:tab/>
        <w:t>otherwise prescribes, allows or provides for;</w:t>
      </w:r>
    </w:p>
    <w:p w14:paraId="6B478298" w14:textId="77777777" w:rsidR="00D94935" w:rsidRDefault="00D94935" w:rsidP="00D94935">
      <w:pPr>
        <w:pStyle w:val="Amainreturn"/>
      </w:pPr>
      <w:r>
        <w:t>a period of time before or after a particular day, act or event, the period is to be calculated without counting that day, or the day of the act or event.</w:t>
      </w:r>
    </w:p>
    <w:p w14:paraId="3169FFD9" w14:textId="77777777"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14:paraId="4A8900C6" w14:textId="77777777"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14:paraId="04EF76B6" w14:textId="77777777"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14:paraId="71A9E23B" w14:textId="77777777" w:rsidR="00D94935" w:rsidRDefault="00D94935" w:rsidP="00D94935">
      <w:pPr>
        <w:pStyle w:val="Schclauseheading"/>
      </w:pPr>
      <w:bookmarkStart w:id="1958" w:name="_Toc185515574"/>
      <w:r w:rsidRPr="00C8328B">
        <w:rPr>
          <w:rStyle w:val="CharSectNo"/>
        </w:rPr>
        <w:t>1.10</w:t>
      </w:r>
      <w:r>
        <w:tab/>
        <w:t>Extending and shortening of time</w:t>
      </w:r>
      <w:bookmarkEnd w:id="1958"/>
    </w:p>
    <w:p w14:paraId="1D58E187" w14:textId="4F10C443" w:rsidR="00D94935" w:rsidRDefault="00D94935" w:rsidP="00D94935">
      <w:pPr>
        <w:pStyle w:val="Amainreturn"/>
      </w:pPr>
      <w:r>
        <w:t xml:space="preserve">Unless the </w:t>
      </w:r>
      <w:hyperlink r:id="rId1016" w:tooltip="Act 2001 No 50 (Cwlth)" w:history="1">
        <w:r w:rsidRPr="00D74CAB">
          <w:rPr>
            <w:rStyle w:val="charCitHyperlinkAbbrev"/>
          </w:rPr>
          <w:t>Corporations Act</w:t>
        </w:r>
      </w:hyperlink>
      <w:r>
        <w:t xml:space="preserve">, the </w:t>
      </w:r>
      <w:hyperlink r:id="rId1017"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14:paraId="75D0C7B0" w14:textId="77777777" w:rsidR="00D94935" w:rsidRDefault="00D94935" w:rsidP="00D94935">
      <w:pPr>
        <w:pStyle w:val="PageBreak"/>
      </w:pPr>
      <w:r>
        <w:br w:type="page"/>
      </w:r>
    </w:p>
    <w:p w14:paraId="6589AE5C" w14:textId="77777777" w:rsidR="00D94935" w:rsidRPr="00C8328B" w:rsidRDefault="00D94935" w:rsidP="00D94935">
      <w:pPr>
        <w:pStyle w:val="Sched-Part"/>
      </w:pPr>
      <w:bookmarkStart w:id="1959" w:name="_Toc185515575"/>
      <w:r w:rsidRPr="00C8328B">
        <w:rPr>
          <w:rStyle w:val="CharPartNo"/>
        </w:rPr>
        <w:lastRenderedPageBreak/>
        <w:t>Part 6.2</w:t>
      </w:r>
      <w:r>
        <w:tab/>
      </w:r>
      <w:r w:rsidRPr="00C8328B">
        <w:rPr>
          <w:rStyle w:val="CharPartText"/>
        </w:rPr>
        <w:t>Proceedings generally</w:t>
      </w:r>
      <w:bookmarkEnd w:id="1959"/>
    </w:p>
    <w:p w14:paraId="6DF2F056" w14:textId="77777777" w:rsidR="00D94935" w:rsidRDefault="00D94935" w:rsidP="00D94935">
      <w:pPr>
        <w:pStyle w:val="Schclauseheading"/>
      </w:pPr>
      <w:bookmarkStart w:id="1960" w:name="_Toc185515576"/>
      <w:r w:rsidRPr="00C8328B">
        <w:rPr>
          <w:rStyle w:val="CharSectNo"/>
        </w:rPr>
        <w:t>2.1</w:t>
      </w:r>
      <w:r>
        <w:tab/>
        <w:t>Title of documents in a proceeding</w:t>
      </w:r>
      <w:bookmarkEnd w:id="1960"/>
    </w:p>
    <w:p w14:paraId="1BFB092F" w14:textId="77777777" w:rsidR="00D94935" w:rsidRDefault="00D94935" w:rsidP="00D94935">
      <w:pPr>
        <w:pStyle w:val="Amainreturn"/>
      </w:pPr>
      <w:r>
        <w:t>A document for use in a proceeding, and for which there is an approved form, must be headed in the way set out in the form.</w:t>
      </w:r>
    </w:p>
    <w:p w14:paraId="089BFFF5" w14:textId="77777777" w:rsidR="00D94935" w:rsidRDefault="00D94935" w:rsidP="00D94935">
      <w:pPr>
        <w:pStyle w:val="Schclauseheading"/>
      </w:pPr>
      <w:bookmarkStart w:id="1961" w:name="_Toc185515577"/>
      <w:r w:rsidRPr="00C8328B">
        <w:rPr>
          <w:rStyle w:val="CharSectNo"/>
        </w:rPr>
        <w:t>2.2</w:t>
      </w:r>
      <w:r>
        <w:tab/>
        <w:t>Originating process and interlocutory process</w:t>
      </w:r>
      <w:bookmarkEnd w:id="1961"/>
    </w:p>
    <w:p w14:paraId="63B7101A" w14:textId="0B0E97E2" w:rsidR="00D94935" w:rsidRDefault="00D94935" w:rsidP="00D94935">
      <w:pPr>
        <w:pStyle w:val="Amain"/>
      </w:pPr>
      <w:r>
        <w:tab/>
        <w:t>(1)</w:t>
      </w:r>
      <w:r>
        <w:tab/>
        <w:t xml:space="preserve">Unless this schedule otherwise provides, a person must make an application required or permitted by the </w:t>
      </w:r>
      <w:hyperlink r:id="rId1018" w:tooltip="Act 2001 No 50 (Cwlth)" w:history="1">
        <w:r w:rsidRPr="00D74CAB">
          <w:rPr>
            <w:rStyle w:val="charCitHyperlinkAbbrev"/>
          </w:rPr>
          <w:t>Corporations Act</w:t>
        </w:r>
      </w:hyperlink>
      <w:r>
        <w:t xml:space="preserve"> to be made to the court—</w:t>
      </w:r>
    </w:p>
    <w:p w14:paraId="00F194D5" w14:textId="77777777" w:rsidR="00D94935" w:rsidRDefault="00D94935" w:rsidP="00D94935">
      <w:pPr>
        <w:pStyle w:val="Apara"/>
      </w:pPr>
      <w:r>
        <w:tab/>
        <w:t>(a)</w:t>
      </w:r>
      <w:r>
        <w:tab/>
        <w:t>if the application is not made in a proceeding already started in the court—by filing an originating process; and</w:t>
      </w:r>
    </w:p>
    <w:p w14:paraId="4EE76B9F" w14:textId="77777777" w:rsidR="00D94935" w:rsidRDefault="00D94935" w:rsidP="00D94935">
      <w:pPr>
        <w:pStyle w:val="Apara"/>
      </w:pPr>
      <w:r>
        <w:tab/>
        <w:t>(b)</w:t>
      </w:r>
      <w:r>
        <w:tab/>
        <w:t>in any other case, and whether interlocutory relief or final relief is claimed—by filing an interlocutory process.</w:t>
      </w:r>
    </w:p>
    <w:p w14:paraId="1F188E1A" w14:textId="77777777" w:rsidR="00D94935" w:rsidRDefault="00D94935" w:rsidP="00D94935">
      <w:pPr>
        <w:pStyle w:val="aNote"/>
      </w:pPr>
      <w:r w:rsidRPr="006364FA">
        <w:rPr>
          <w:rStyle w:val="charItals"/>
        </w:rPr>
        <w:t>Note</w:t>
      </w:r>
      <w:r>
        <w:tab/>
        <w:t>See</w:t>
      </w:r>
    </w:p>
    <w:p w14:paraId="0C104A80" w14:textId="033827C9"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19" w:history="1">
        <w:r w:rsidRPr="009F24FA">
          <w:rPr>
            <w:rStyle w:val="charCitHyperlinkAbbrev"/>
          </w:rPr>
          <w:t>AF2008-143</w:t>
        </w:r>
      </w:hyperlink>
    </w:p>
    <w:p w14:paraId="6806B5D0" w14:textId="67C79950"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20" w:history="1">
        <w:r w:rsidRPr="009F24FA">
          <w:rPr>
            <w:rStyle w:val="charCitHyperlinkAbbrev"/>
          </w:rPr>
          <w:t>AF2008-144</w:t>
        </w:r>
      </w:hyperlink>
      <w:r>
        <w:t>.</w:t>
      </w:r>
    </w:p>
    <w:p w14:paraId="6479D7EF" w14:textId="77777777"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14:paraId="315DD0D4" w14:textId="77777777" w:rsidR="00D94935" w:rsidRDefault="00D94935" w:rsidP="00D94935">
      <w:pPr>
        <w:pStyle w:val="Amain"/>
      </w:pPr>
      <w:r>
        <w:tab/>
        <w:t>(3)</w:t>
      </w:r>
      <w:r>
        <w:tab/>
        <w:t>An originating process must state—</w:t>
      </w:r>
    </w:p>
    <w:p w14:paraId="77212928" w14:textId="29682DB0" w:rsidR="00D94935" w:rsidRDefault="00D94935" w:rsidP="00D94935">
      <w:pPr>
        <w:pStyle w:val="Apara"/>
      </w:pPr>
      <w:r>
        <w:tab/>
        <w:t>(a)</w:t>
      </w:r>
      <w:r>
        <w:tab/>
        <w:t xml:space="preserve">each section of the </w:t>
      </w:r>
      <w:hyperlink r:id="rId1021" w:tooltip="Act 2001 No 50 (Cwlth)" w:history="1">
        <w:r w:rsidRPr="00D74CAB">
          <w:rPr>
            <w:rStyle w:val="charCitHyperlinkAbbrev"/>
          </w:rPr>
          <w:t>Corporations Act</w:t>
        </w:r>
      </w:hyperlink>
      <w:r>
        <w:t xml:space="preserve"> or the </w:t>
      </w:r>
      <w:hyperlink r:id="rId1022" w:tooltip="Act 2001 No 51 (Cwlth)" w:history="1">
        <w:r w:rsidRPr="009F24FA">
          <w:rPr>
            <w:rStyle w:val="charCitHyperlinkAbbrev"/>
          </w:rPr>
          <w:t>ASIC Act</w:t>
        </w:r>
      </w:hyperlink>
      <w:r>
        <w:t xml:space="preserve">, or each regulation of the </w:t>
      </w:r>
      <w:hyperlink r:id="rId1023" w:tooltip="SR 2001 No 193 (Cwlth)" w:history="1">
        <w:r w:rsidRPr="00783A62">
          <w:rPr>
            <w:rStyle w:val="charCitHyperlinkAbbrev"/>
          </w:rPr>
          <w:t>Corporations Regulations</w:t>
        </w:r>
      </w:hyperlink>
      <w:r>
        <w:t>, under which the proceeding is brought; and</w:t>
      </w:r>
    </w:p>
    <w:p w14:paraId="4E34E30F" w14:textId="77777777" w:rsidR="00D94935" w:rsidRDefault="00D94935" w:rsidP="00D94935">
      <w:pPr>
        <w:pStyle w:val="Apara"/>
      </w:pPr>
      <w:r>
        <w:tab/>
        <w:t>(b)</w:t>
      </w:r>
      <w:r>
        <w:tab/>
        <w:t>the relief sought.</w:t>
      </w:r>
    </w:p>
    <w:p w14:paraId="5DF79648" w14:textId="77777777" w:rsidR="00D94935" w:rsidRDefault="00D94935" w:rsidP="009B5E2A">
      <w:pPr>
        <w:pStyle w:val="Amain"/>
        <w:keepNext/>
      </w:pPr>
      <w:r>
        <w:lastRenderedPageBreak/>
        <w:tab/>
        <w:t>(4)</w:t>
      </w:r>
      <w:r>
        <w:tab/>
        <w:t>An interlocutory process must state—</w:t>
      </w:r>
    </w:p>
    <w:p w14:paraId="7E4D2E35" w14:textId="2F8D9F65" w:rsidR="00D94935" w:rsidRDefault="00D94935" w:rsidP="009B5E2A">
      <w:pPr>
        <w:pStyle w:val="Apara"/>
        <w:keepNext/>
      </w:pPr>
      <w:r>
        <w:tab/>
        <w:t>(a)</w:t>
      </w:r>
      <w:r>
        <w:tab/>
        <w:t xml:space="preserve">if appropriate, each section of the </w:t>
      </w:r>
      <w:hyperlink r:id="rId1024" w:tooltip="Act 2001 No 50 (Cwlth)" w:history="1">
        <w:r w:rsidRPr="00D74CAB">
          <w:rPr>
            <w:rStyle w:val="charCitHyperlinkAbbrev"/>
          </w:rPr>
          <w:t>Corporations Act</w:t>
        </w:r>
      </w:hyperlink>
      <w:r>
        <w:t xml:space="preserve"> or the </w:t>
      </w:r>
      <w:hyperlink r:id="rId1025" w:tooltip="Act 2001 No 51 (Cwlth)" w:history="1">
        <w:r w:rsidRPr="009F24FA">
          <w:rPr>
            <w:rStyle w:val="charCitHyperlinkAbbrev"/>
          </w:rPr>
          <w:t>ASIC Act</w:t>
        </w:r>
      </w:hyperlink>
      <w:r>
        <w:t xml:space="preserve">, or each regulation of the </w:t>
      </w:r>
      <w:hyperlink r:id="rId1026" w:tooltip="SR 2001 No 193 (Cwlth)" w:history="1">
        <w:r w:rsidR="00DC615B" w:rsidRPr="00783A62">
          <w:rPr>
            <w:rStyle w:val="charCitHyperlinkAbbrev"/>
          </w:rPr>
          <w:t>Corporations Regulations</w:t>
        </w:r>
      </w:hyperlink>
      <w:r>
        <w:t>, or each rule of court under which the application is made; and</w:t>
      </w:r>
    </w:p>
    <w:p w14:paraId="71F2903A" w14:textId="77777777" w:rsidR="00D94935" w:rsidRDefault="00D94935" w:rsidP="00D94935">
      <w:pPr>
        <w:pStyle w:val="Apara"/>
      </w:pPr>
      <w:r>
        <w:tab/>
        <w:t>(b)</w:t>
      </w:r>
      <w:r>
        <w:tab/>
        <w:t>the relief sought.</w:t>
      </w:r>
    </w:p>
    <w:p w14:paraId="0193ED59" w14:textId="77777777" w:rsidR="00D94935" w:rsidRDefault="00D94935" w:rsidP="00D94935">
      <w:pPr>
        <w:pStyle w:val="Schclauseheading"/>
      </w:pPr>
      <w:bookmarkStart w:id="1962" w:name="_Toc185515578"/>
      <w:r w:rsidRPr="00C8328B">
        <w:rPr>
          <w:rStyle w:val="CharSectNo"/>
        </w:rPr>
        <w:t>2.3</w:t>
      </w:r>
      <w:r>
        <w:tab/>
        <w:t>Setting of hearing</w:t>
      </w:r>
      <w:bookmarkEnd w:id="1962"/>
    </w:p>
    <w:p w14:paraId="23050E94" w14:textId="77777777" w:rsidR="00D94935" w:rsidRDefault="00D94935" w:rsidP="00D94935">
      <w:pPr>
        <w:pStyle w:val="Amainreturn"/>
      </w:pPr>
      <w:r>
        <w:t>On receiving an originating process or interlocutory process, the registrar—</w:t>
      </w:r>
    </w:p>
    <w:p w14:paraId="140D13CB" w14:textId="77777777" w:rsidR="00D94935" w:rsidRDefault="00D94935" w:rsidP="00D94935">
      <w:pPr>
        <w:pStyle w:val="Apara"/>
      </w:pPr>
      <w:r>
        <w:tab/>
        <w:t>(a)</w:t>
      </w:r>
      <w:r>
        <w:tab/>
        <w:t>must set a time, date and place for hearing and endorse those details on the originating process or interlocutory process; and</w:t>
      </w:r>
    </w:p>
    <w:p w14:paraId="54BD116C" w14:textId="77777777" w:rsidR="00D94935" w:rsidRDefault="00D94935" w:rsidP="00D94935">
      <w:pPr>
        <w:pStyle w:val="Apara"/>
      </w:pPr>
      <w:r>
        <w:tab/>
        <w:t>(b)</w:t>
      </w:r>
      <w:r>
        <w:tab/>
        <w:t xml:space="preserve">may seal a sufficient number of copies for service and proof of service. </w:t>
      </w:r>
    </w:p>
    <w:p w14:paraId="7452470B" w14:textId="77777777" w:rsidR="00D94935" w:rsidRDefault="00D94935" w:rsidP="00D94935">
      <w:pPr>
        <w:pStyle w:val="Schclauseheading"/>
      </w:pPr>
      <w:bookmarkStart w:id="1963" w:name="_Toc185515579"/>
      <w:r w:rsidRPr="00C8328B">
        <w:rPr>
          <w:rStyle w:val="CharSectNo"/>
        </w:rPr>
        <w:t>2.4</w:t>
      </w:r>
      <w:r>
        <w:tab/>
        <w:t>Supporting affidavits</w:t>
      </w:r>
      <w:bookmarkEnd w:id="1963"/>
    </w:p>
    <w:p w14:paraId="137C5B3F" w14:textId="77777777" w:rsidR="00D94935" w:rsidRDefault="00D94935" w:rsidP="00D94935">
      <w:pPr>
        <w:pStyle w:val="Amain"/>
      </w:pPr>
      <w:r>
        <w:tab/>
        <w:t>(1)</w:t>
      </w:r>
      <w:r>
        <w:tab/>
        <w:t>Unless the court otherwise directs, an originating or interlocutory process must be supported by an affidavit stating the facts in support of the process.</w:t>
      </w:r>
    </w:p>
    <w:p w14:paraId="24C5493E" w14:textId="77777777"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14:paraId="3F97A2B2" w14:textId="2211CD07" w:rsidR="00D94935" w:rsidRDefault="00D94935" w:rsidP="00D94935">
      <w:pPr>
        <w:pStyle w:val="Amain"/>
      </w:pPr>
      <w:r>
        <w:tab/>
        <w:t>(3)</w:t>
      </w:r>
      <w:r>
        <w:tab/>
        <w:t xml:space="preserve">This rule does not apply to an application by a company under the </w:t>
      </w:r>
      <w:hyperlink r:id="rId1027" w:tooltip="Act 2001 No 50 (Cwlth)" w:history="1">
        <w:r w:rsidRPr="00D74CAB">
          <w:rPr>
            <w:rStyle w:val="charCitHyperlinkAbbrev"/>
          </w:rPr>
          <w:t>Corporations Act</w:t>
        </w:r>
      </w:hyperlink>
      <w:r>
        <w:t>, section 459G for an order setting aside a statutory demand served on the company.</w:t>
      </w:r>
    </w:p>
    <w:p w14:paraId="374951F8" w14:textId="77777777" w:rsidR="00D94935" w:rsidRDefault="00D94935" w:rsidP="00D94935">
      <w:pPr>
        <w:pStyle w:val="Schclauseheading"/>
      </w:pPr>
      <w:bookmarkStart w:id="1964" w:name="_Toc185515580"/>
      <w:r w:rsidRPr="00C8328B">
        <w:rPr>
          <w:rStyle w:val="CharSectNo"/>
        </w:rPr>
        <w:lastRenderedPageBreak/>
        <w:t>2.4A</w:t>
      </w:r>
      <w:r>
        <w:tab/>
        <w:t>Application for order setting aside statutory demand (Corporations Act, s 459G)</w:t>
      </w:r>
      <w:bookmarkEnd w:id="1964"/>
    </w:p>
    <w:p w14:paraId="12DA5FA1" w14:textId="53912773" w:rsidR="00D94935" w:rsidRDefault="00D94935" w:rsidP="00D94935">
      <w:pPr>
        <w:pStyle w:val="Amain"/>
      </w:pPr>
      <w:r>
        <w:tab/>
        <w:t>(1)</w:t>
      </w:r>
      <w:r>
        <w:tab/>
        <w:t xml:space="preserve">This rule applies to an application by a company under the </w:t>
      </w:r>
      <w:hyperlink r:id="rId1028" w:tooltip="Act 2001 No 50 (Cwlth)" w:history="1">
        <w:r w:rsidRPr="00D74CAB">
          <w:rPr>
            <w:rStyle w:val="charCitHyperlinkAbbrev"/>
          </w:rPr>
          <w:t>Corporations Act</w:t>
        </w:r>
      </w:hyperlink>
      <w:r>
        <w:t>, section 459G for an order setting aside a statutory demand served on the company.</w:t>
      </w:r>
    </w:p>
    <w:p w14:paraId="5E93505E" w14:textId="77777777"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14:paraId="547F1EC8" w14:textId="77777777" w:rsidR="00D94935" w:rsidRDefault="00D94935" w:rsidP="00D94935">
      <w:pPr>
        <w:pStyle w:val="Amain"/>
      </w:pPr>
      <w:r>
        <w:tab/>
        <w:t>(3)</w:t>
      </w:r>
      <w:r>
        <w:tab/>
        <w:t>The plaintiff must—</w:t>
      </w:r>
    </w:p>
    <w:p w14:paraId="2BCCC96E" w14:textId="77777777"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14:paraId="6A585494" w14:textId="77777777" w:rsidR="00D94935" w:rsidRDefault="00D94935" w:rsidP="00D94935">
      <w:pPr>
        <w:pStyle w:val="Apara"/>
      </w:pPr>
      <w:r>
        <w:tab/>
        <w:t>(b)</w:t>
      </w:r>
      <w:r>
        <w:tab/>
        <w:t>either—</w:t>
      </w:r>
    </w:p>
    <w:p w14:paraId="59B1A6E1" w14:textId="77777777" w:rsidR="00D94935" w:rsidRDefault="00D94935" w:rsidP="00D94935">
      <w:pPr>
        <w:pStyle w:val="Asubpara"/>
      </w:pPr>
      <w:r>
        <w:tab/>
        <w:t>(i)</w:t>
      </w:r>
      <w:r>
        <w:tab/>
        <w:t>annex the record of the search to the affidavit in support of the originating process; or</w:t>
      </w:r>
    </w:p>
    <w:p w14:paraId="0F5BDBE9" w14:textId="77777777" w:rsidR="00D94935" w:rsidRDefault="00D94935" w:rsidP="00D94935">
      <w:pPr>
        <w:pStyle w:val="Asubpara"/>
      </w:pPr>
      <w:r>
        <w:tab/>
        <w:t>(ii)</w:t>
      </w:r>
      <w:r>
        <w:tab/>
        <w:t>file the record of the search before, or tender it on, the hearing of the application.</w:t>
      </w:r>
    </w:p>
    <w:p w14:paraId="521028C6" w14:textId="77777777" w:rsidR="00D94935" w:rsidRDefault="00D94935" w:rsidP="00D94935">
      <w:pPr>
        <w:pStyle w:val="Schclauseheading"/>
      </w:pPr>
      <w:bookmarkStart w:id="1965" w:name="_Toc185515581"/>
      <w:r w:rsidRPr="00C8328B">
        <w:rPr>
          <w:rStyle w:val="CharSectNo"/>
        </w:rPr>
        <w:t>2.5</w:t>
      </w:r>
      <w:r>
        <w:tab/>
        <w:t>Affidavits made by creditors</w:t>
      </w:r>
      <w:bookmarkEnd w:id="1965"/>
    </w:p>
    <w:p w14:paraId="50F9176F" w14:textId="77777777" w:rsidR="00D94935" w:rsidRDefault="00D94935" w:rsidP="00D94935">
      <w:pPr>
        <w:pStyle w:val="Amainreturn"/>
      </w:pPr>
      <w:r>
        <w:t>Subject to rule 5.4 (Affidavit in support of application for winding</w:t>
      </w:r>
      <w:r>
        <w:noBreakHyphen/>
        <w:t>up), an affidavit that is to be made by a creditor may be made—</w:t>
      </w:r>
    </w:p>
    <w:p w14:paraId="7F04DF8D" w14:textId="77777777"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14:paraId="79012971" w14:textId="77777777" w:rsidR="00D94935" w:rsidRDefault="00D94935" w:rsidP="00D94935">
      <w:pPr>
        <w:pStyle w:val="Apara"/>
      </w:pPr>
      <w:r>
        <w:tab/>
        <w:t>(b)</w:t>
      </w:r>
      <w:r>
        <w:tab/>
        <w:t>if the creditor is a company to which a liquidator, provisional liquidator, receiver, administrator or controller has been appointed—by that person; or</w:t>
      </w:r>
    </w:p>
    <w:p w14:paraId="3C9FD2C1" w14:textId="77777777" w:rsidR="00D94935" w:rsidRDefault="00D94935" w:rsidP="00D94935">
      <w:pPr>
        <w:pStyle w:val="Apara"/>
      </w:pPr>
      <w:r>
        <w:lastRenderedPageBreak/>
        <w:tab/>
        <w:t>(c)</w:t>
      </w:r>
      <w:r>
        <w:tab/>
        <w:t>in any other case—by the creditor or a person authorised by the creditor to make the affidavit on behalf of the creditor.</w:t>
      </w:r>
    </w:p>
    <w:p w14:paraId="5A6515F2" w14:textId="77777777" w:rsidR="00D94935" w:rsidRDefault="00D94935" w:rsidP="00D94935">
      <w:pPr>
        <w:pStyle w:val="Schclauseheading"/>
      </w:pPr>
      <w:bookmarkStart w:id="1966" w:name="_Toc185515582"/>
      <w:r w:rsidRPr="00C8328B">
        <w:rPr>
          <w:rStyle w:val="CharSectNo"/>
        </w:rPr>
        <w:t>2.6</w:t>
      </w:r>
      <w:r>
        <w:tab/>
        <w:t>Form of affidavits</w:t>
      </w:r>
      <w:bookmarkEnd w:id="1966"/>
    </w:p>
    <w:p w14:paraId="7307CAF7" w14:textId="77777777" w:rsidR="00D94935" w:rsidRDefault="00D94935" w:rsidP="00D94935">
      <w:pPr>
        <w:pStyle w:val="Amainreturn"/>
      </w:pPr>
      <w:r>
        <w:t>An affidavit must be in a form that complies with—</w:t>
      </w:r>
    </w:p>
    <w:p w14:paraId="0D024EB5" w14:textId="77777777" w:rsidR="00D94935" w:rsidRDefault="00D94935" w:rsidP="00D94935">
      <w:pPr>
        <w:pStyle w:val="Apara"/>
      </w:pPr>
      <w:r>
        <w:tab/>
        <w:t>(a)</w:t>
      </w:r>
      <w:r>
        <w:tab/>
        <w:t>the rules of the court; or</w:t>
      </w:r>
    </w:p>
    <w:p w14:paraId="2C923BAA" w14:textId="77777777" w:rsidR="00D94935" w:rsidRDefault="00D94935" w:rsidP="00D94935">
      <w:pPr>
        <w:pStyle w:val="Apara"/>
      </w:pPr>
      <w:r>
        <w:tab/>
        <w:t>(b)</w:t>
      </w:r>
      <w:r>
        <w:tab/>
        <w:t>the rules of the Supreme Court of the State or Territory (if any) where the affidavit was sworn or affirmed.</w:t>
      </w:r>
    </w:p>
    <w:p w14:paraId="0107AE4C" w14:textId="77777777" w:rsidR="00D94935" w:rsidRDefault="00D94935" w:rsidP="00D94935">
      <w:pPr>
        <w:pStyle w:val="Schclauseheading"/>
      </w:pPr>
      <w:bookmarkStart w:id="1967" w:name="_Toc185515583"/>
      <w:r w:rsidRPr="00C8328B">
        <w:rPr>
          <w:rStyle w:val="CharSectNo"/>
        </w:rPr>
        <w:t>2.7</w:t>
      </w:r>
      <w:r>
        <w:tab/>
        <w:t>Service of originating process or interlocutory process and supporting affidavit</w:t>
      </w:r>
      <w:bookmarkEnd w:id="1967"/>
    </w:p>
    <w:p w14:paraId="1EB63C4E" w14:textId="77777777"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14:paraId="503433A2" w14:textId="77777777" w:rsidR="00D94935" w:rsidRDefault="00D94935" w:rsidP="00D94935">
      <w:pPr>
        <w:pStyle w:val="Apara"/>
      </w:pPr>
      <w:r>
        <w:tab/>
        <w:t>(a)</w:t>
      </w:r>
      <w:r>
        <w:tab/>
        <w:t>each defendant (if any) to the proceeding; and</w:t>
      </w:r>
    </w:p>
    <w:p w14:paraId="7DADB523" w14:textId="77777777" w:rsidR="00D94935" w:rsidRDefault="00D94935" w:rsidP="00D94935">
      <w:pPr>
        <w:pStyle w:val="Apara"/>
      </w:pPr>
      <w:r>
        <w:tab/>
        <w:t>(b)</w:t>
      </w:r>
      <w:r>
        <w:tab/>
        <w:t>if the corporation to which the proceeding relates is not a party to the proceeding—the corporation.</w:t>
      </w:r>
    </w:p>
    <w:p w14:paraId="0C0AFBCD" w14:textId="77777777"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14:paraId="1C6A9329" w14:textId="77777777" w:rsidR="00D94935" w:rsidRDefault="00D94935" w:rsidP="00D94935">
      <w:pPr>
        <w:pStyle w:val="Apara"/>
      </w:pPr>
      <w:r>
        <w:tab/>
        <w:t>(a)</w:t>
      </w:r>
      <w:r>
        <w:tab/>
        <w:t>each respondent (if any) to the application in the interlocutory process; and</w:t>
      </w:r>
    </w:p>
    <w:p w14:paraId="3F9C3B66" w14:textId="77777777" w:rsidR="00D94935" w:rsidRDefault="00D94935" w:rsidP="00D94935">
      <w:pPr>
        <w:pStyle w:val="Apara"/>
      </w:pPr>
      <w:r>
        <w:tab/>
        <w:t>(b)</w:t>
      </w:r>
      <w:r>
        <w:tab/>
        <w:t>if the corporation to which the application in the interlocutory process relates is not a party to the application in the interlocutory process—the corporation.</w:t>
      </w:r>
    </w:p>
    <w:p w14:paraId="679F9809" w14:textId="77777777" w:rsidR="00D94935" w:rsidRDefault="00D94935" w:rsidP="00D94935">
      <w:pPr>
        <w:pStyle w:val="Schclauseheading"/>
      </w:pPr>
      <w:bookmarkStart w:id="1968" w:name="_Toc185515584"/>
      <w:r w:rsidRPr="00C8328B">
        <w:rPr>
          <w:rStyle w:val="CharSectNo"/>
        </w:rPr>
        <w:lastRenderedPageBreak/>
        <w:t>2.8</w:t>
      </w:r>
      <w:r>
        <w:tab/>
        <w:t>Notice of certain applications to be given to ASIC</w:t>
      </w:r>
      <w:bookmarkEnd w:id="1968"/>
    </w:p>
    <w:p w14:paraId="70988542" w14:textId="4D23715C" w:rsidR="00D94935" w:rsidRDefault="00D94935" w:rsidP="009B5E2A">
      <w:pPr>
        <w:pStyle w:val="Amain"/>
        <w:keepLines/>
      </w:pPr>
      <w:r>
        <w:tab/>
        <w:t>(1)</w:t>
      </w:r>
      <w:r>
        <w:tab/>
        <w:t xml:space="preserve">This rule has effect in addition to the requirements of the </w:t>
      </w:r>
      <w:hyperlink r:id="rId1029"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14:paraId="263D15B6" w14:textId="77777777" w:rsidR="00D94935" w:rsidRDefault="00D94935" w:rsidP="00D94935">
      <w:pPr>
        <w:pStyle w:val="Amain"/>
      </w:pPr>
      <w:r>
        <w:tab/>
        <w:t>(2)</w:t>
      </w:r>
      <w:r>
        <w:tab/>
        <w:t>This rule does not apply to a person making an application if the person is ASIC or a person authorised by ASIC.</w:t>
      </w:r>
    </w:p>
    <w:p w14:paraId="1076ADC7" w14:textId="75AC3B2E" w:rsidR="00D94935" w:rsidRDefault="00D94935" w:rsidP="00D94935">
      <w:pPr>
        <w:pStyle w:val="Amain"/>
        <w:keepLines/>
      </w:pPr>
      <w:r>
        <w:tab/>
        <w:t>(3)</w:t>
      </w:r>
      <w:r>
        <w:tab/>
        <w:t xml:space="preserve">Unless the court otherwise orders, if a person makes an application under a provision of the </w:t>
      </w:r>
      <w:hyperlink r:id="rId1030"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14:paraId="33F569C9" w14:textId="77777777"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14:paraId="5ED00A43" w14:textId="77777777" w:rsidTr="003A681D">
        <w:trPr>
          <w:cantSplit/>
          <w:tblHeader/>
          <w:jc w:val="right"/>
        </w:trPr>
        <w:tc>
          <w:tcPr>
            <w:tcW w:w="1026" w:type="dxa"/>
          </w:tcPr>
          <w:p w14:paraId="68E80A3A" w14:textId="77777777" w:rsidR="00D94935" w:rsidRDefault="00D94935" w:rsidP="003A681D">
            <w:pPr>
              <w:pStyle w:val="TableColHead"/>
              <w:keepNext/>
              <w:spacing w:before="120"/>
              <w:rPr>
                <w:color w:val="000000"/>
              </w:rPr>
            </w:pPr>
            <w:r>
              <w:rPr>
                <w:color w:val="000000"/>
              </w:rPr>
              <w:t>column 1</w:t>
            </w:r>
          </w:p>
          <w:p w14:paraId="28DD347B" w14:textId="77777777" w:rsidR="00D94935" w:rsidRDefault="00D94935" w:rsidP="003A681D">
            <w:pPr>
              <w:pStyle w:val="TableColHead"/>
              <w:keepNext/>
              <w:spacing w:before="60"/>
              <w:rPr>
                <w:color w:val="000000"/>
              </w:rPr>
            </w:pPr>
            <w:r>
              <w:rPr>
                <w:color w:val="000000"/>
              </w:rPr>
              <w:t>item</w:t>
            </w:r>
          </w:p>
        </w:tc>
        <w:tc>
          <w:tcPr>
            <w:tcW w:w="2280" w:type="dxa"/>
          </w:tcPr>
          <w:p w14:paraId="49330B41" w14:textId="77777777" w:rsidR="00D94935" w:rsidRDefault="00D94935" w:rsidP="003A681D">
            <w:pPr>
              <w:pStyle w:val="TableColHead"/>
              <w:keepNext/>
              <w:spacing w:before="120"/>
              <w:rPr>
                <w:color w:val="000000"/>
              </w:rPr>
            </w:pPr>
            <w:r>
              <w:rPr>
                <w:color w:val="000000"/>
              </w:rPr>
              <w:t>column 2</w:t>
            </w:r>
          </w:p>
          <w:p w14:paraId="46439BC6" w14:textId="77777777" w:rsidR="00D94935" w:rsidRDefault="00D94935" w:rsidP="003A681D">
            <w:pPr>
              <w:pStyle w:val="TableColHead"/>
              <w:keepNext/>
              <w:spacing w:before="60"/>
              <w:rPr>
                <w:color w:val="000000"/>
              </w:rPr>
            </w:pPr>
            <w:r>
              <w:rPr>
                <w:color w:val="000000"/>
              </w:rPr>
              <w:t>provision</w:t>
            </w:r>
          </w:p>
        </w:tc>
        <w:tc>
          <w:tcPr>
            <w:tcW w:w="4452" w:type="dxa"/>
          </w:tcPr>
          <w:p w14:paraId="2ABBC8A2" w14:textId="77777777" w:rsidR="00D94935" w:rsidRDefault="00D94935" w:rsidP="003A681D">
            <w:pPr>
              <w:pStyle w:val="TableColHead"/>
              <w:spacing w:before="120"/>
              <w:rPr>
                <w:color w:val="000000"/>
              </w:rPr>
            </w:pPr>
            <w:r>
              <w:rPr>
                <w:color w:val="000000"/>
              </w:rPr>
              <w:t>column 3</w:t>
            </w:r>
          </w:p>
          <w:p w14:paraId="010CB031" w14:textId="77777777" w:rsidR="00D94935" w:rsidRDefault="00D94935" w:rsidP="003A681D">
            <w:pPr>
              <w:pStyle w:val="TableColHead"/>
              <w:spacing w:before="60"/>
              <w:rPr>
                <w:color w:val="000000"/>
              </w:rPr>
            </w:pPr>
            <w:r>
              <w:rPr>
                <w:color w:val="000000"/>
              </w:rPr>
              <w:t>description of application</w:t>
            </w:r>
          </w:p>
        </w:tc>
      </w:tr>
      <w:tr w:rsidR="00D94935" w14:paraId="005D4F7B" w14:textId="77777777" w:rsidTr="003A681D">
        <w:trPr>
          <w:cantSplit/>
          <w:jc w:val="right"/>
        </w:trPr>
        <w:tc>
          <w:tcPr>
            <w:tcW w:w="1026" w:type="dxa"/>
          </w:tcPr>
          <w:p w14:paraId="6E268A99" w14:textId="77777777" w:rsidR="00D94935" w:rsidRDefault="00D94935" w:rsidP="003A681D">
            <w:pPr>
              <w:pStyle w:val="TableText"/>
              <w:spacing w:before="120" w:after="120"/>
            </w:pPr>
            <w:r>
              <w:t>1</w:t>
            </w:r>
          </w:p>
        </w:tc>
        <w:tc>
          <w:tcPr>
            <w:tcW w:w="2280" w:type="dxa"/>
          </w:tcPr>
          <w:p w14:paraId="57A00837" w14:textId="77777777" w:rsidR="00D94935" w:rsidRDefault="00D94935" w:rsidP="003A681D">
            <w:pPr>
              <w:pStyle w:val="TableText"/>
              <w:spacing w:before="120" w:after="120"/>
            </w:pPr>
            <w:r>
              <w:t>section 480</w:t>
            </w:r>
          </w:p>
        </w:tc>
        <w:tc>
          <w:tcPr>
            <w:tcW w:w="4452" w:type="dxa"/>
          </w:tcPr>
          <w:p w14:paraId="316810E8" w14:textId="77777777" w:rsidR="00D94935" w:rsidRDefault="00D94935" w:rsidP="003A681D">
            <w:pPr>
              <w:pStyle w:val="TableText"/>
              <w:spacing w:before="120" w:after="120"/>
            </w:pPr>
            <w:r>
              <w:t>for the release of a liquidator of a company and the deregistration of the company</w:t>
            </w:r>
          </w:p>
        </w:tc>
      </w:tr>
      <w:tr w:rsidR="00D94935" w14:paraId="2A78C84F" w14:textId="77777777" w:rsidTr="003A681D">
        <w:trPr>
          <w:cantSplit/>
          <w:jc w:val="right"/>
        </w:trPr>
        <w:tc>
          <w:tcPr>
            <w:tcW w:w="1026" w:type="dxa"/>
          </w:tcPr>
          <w:p w14:paraId="16BEC1D5" w14:textId="77777777" w:rsidR="00D94935" w:rsidRDefault="00D94935" w:rsidP="003A681D">
            <w:pPr>
              <w:pStyle w:val="TableText"/>
              <w:spacing w:before="120" w:after="120"/>
            </w:pPr>
            <w:r>
              <w:t>2</w:t>
            </w:r>
          </w:p>
        </w:tc>
        <w:tc>
          <w:tcPr>
            <w:tcW w:w="2280" w:type="dxa"/>
          </w:tcPr>
          <w:p w14:paraId="2F1EB8EF" w14:textId="77777777" w:rsidR="00D94935" w:rsidRDefault="00D94935" w:rsidP="003A681D">
            <w:pPr>
              <w:pStyle w:val="TableText"/>
              <w:spacing w:before="120" w:after="120"/>
            </w:pPr>
            <w:r>
              <w:t>section 482 (1)</w:t>
            </w:r>
          </w:p>
        </w:tc>
        <w:tc>
          <w:tcPr>
            <w:tcW w:w="4452" w:type="dxa"/>
          </w:tcPr>
          <w:p w14:paraId="48A985A4" w14:textId="77777777" w:rsidR="00D94935" w:rsidRDefault="00D94935" w:rsidP="003A681D">
            <w:pPr>
              <w:pStyle w:val="TableText"/>
              <w:spacing w:before="120" w:after="120"/>
            </w:pPr>
            <w:r>
              <w:t>for the stay or termination of a winding-up</w:t>
            </w:r>
          </w:p>
        </w:tc>
      </w:tr>
      <w:tr w:rsidR="00D94935" w14:paraId="5756BDA1" w14:textId="77777777" w:rsidTr="003A681D">
        <w:trPr>
          <w:cantSplit/>
          <w:jc w:val="right"/>
        </w:trPr>
        <w:tc>
          <w:tcPr>
            <w:tcW w:w="1026" w:type="dxa"/>
          </w:tcPr>
          <w:p w14:paraId="76A94F78" w14:textId="77777777" w:rsidR="00D94935" w:rsidRDefault="00D94935" w:rsidP="003A681D">
            <w:pPr>
              <w:pStyle w:val="TableText"/>
              <w:spacing w:before="120" w:after="120"/>
            </w:pPr>
            <w:r>
              <w:t>3</w:t>
            </w:r>
          </w:p>
        </w:tc>
        <w:tc>
          <w:tcPr>
            <w:tcW w:w="2280" w:type="dxa"/>
          </w:tcPr>
          <w:p w14:paraId="585AA774" w14:textId="77777777" w:rsidR="00D94935" w:rsidRDefault="00D94935" w:rsidP="003A681D">
            <w:pPr>
              <w:pStyle w:val="TableText"/>
              <w:spacing w:before="120" w:after="120"/>
            </w:pPr>
            <w:r>
              <w:t>section 509 (6)</w:t>
            </w:r>
          </w:p>
        </w:tc>
        <w:tc>
          <w:tcPr>
            <w:tcW w:w="4452" w:type="dxa"/>
          </w:tcPr>
          <w:p w14:paraId="28D6E688" w14:textId="77777777" w:rsidR="00D94935" w:rsidRDefault="00D94935" w:rsidP="003A681D">
            <w:pPr>
              <w:pStyle w:val="TableText"/>
              <w:spacing w:before="120" w:after="120"/>
            </w:pPr>
            <w:r>
              <w:t>for the deregistration of a company</w:t>
            </w:r>
          </w:p>
        </w:tc>
      </w:tr>
      <w:tr w:rsidR="00D94935" w14:paraId="05248DF1" w14:textId="77777777" w:rsidTr="003A681D">
        <w:trPr>
          <w:cantSplit/>
          <w:jc w:val="right"/>
        </w:trPr>
        <w:tc>
          <w:tcPr>
            <w:tcW w:w="1026" w:type="dxa"/>
          </w:tcPr>
          <w:p w14:paraId="35B5BB9B" w14:textId="77777777" w:rsidR="00D94935" w:rsidRDefault="00D94935" w:rsidP="003A681D">
            <w:pPr>
              <w:pStyle w:val="TableText"/>
              <w:spacing w:before="120" w:after="120"/>
            </w:pPr>
            <w:r>
              <w:t>4</w:t>
            </w:r>
          </w:p>
        </w:tc>
        <w:tc>
          <w:tcPr>
            <w:tcW w:w="2280" w:type="dxa"/>
          </w:tcPr>
          <w:p w14:paraId="17EAF54A" w14:textId="77777777" w:rsidR="00D94935" w:rsidRDefault="00D94935" w:rsidP="003A681D">
            <w:pPr>
              <w:pStyle w:val="TableText"/>
              <w:spacing w:before="120" w:after="120"/>
            </w:pPr>
            <w:r>
              <w:t>section 536 (1)</w:t>
            </w:r>
          </w:p>
        </w:tc>
        <w:tc>
          <w:tcPr>
            <w:tcW w:w="4452" w:type="dxa"/>
          </w:tcPr>
          <w:p w14:paraId="2BD0D267" w14:textId="77777777" w:rsidR="00D94935" w:rsidRDefault="00D94935" w:rsidP="003A681D">
            <w:pPr>
              <w:pStyle w:val="TableText"/>
              <w:spacing w:before="120" w:after="120"/>
            </w:pPr>
            <w:r>
              <w:t>for an inquiry into the conduct of a liquidator</w:t>
            </w:r>
          </w:p>
        </w:tc>
      </w:tr>
      <w:tr w:rsidR="00D94935" w14:paraId="6D145A74" w14:textId="77777777" w:rsidTr="003A681D">
        <w:trPr>
          <w:cantSplit/>
          <w:jc w:val="right"/>
        </w:trPr>
        <w:tc>
          <w:tcPr>
            <w:tcW w:w="1026" w:type="dxa"/>
          </w:tcPr>
          <w:p w14:paraId="666605D4" w14:textId="77777777" w:rsidR="00D94935" w:rsidRDefault="00D94935" w:rsidP="003A681D">
            <w:pPr>
              <w:pStyle w:val="TableText"/>
              <w:spacing w:before="120" w:after="120"/>
            </w:pPr>
            <w:r>
              <w:t>5</w:t>
            </w:r>
          </w:p>
        </w:tc>
        <w:tc>
          <w:tcPr>
            <w:tcW w:w="2280" w:type="dxa"/>
          </w:tcPr>
          <w:p w14:paraId="72FA8774" w14:textId="77777777" w:rsidR="00D94935" w:rsidRDefault="00D94935" w:rsidP="003A681D">
            <w:pPr>
              <w:pStyle w:val="TableText"/>
              <w:spacing w:before="120" w:after="120"/>
            </w:pPr>
            <w:r>
              <w:t>section 601AH (2)</w:t>
            </w:r>
          </w:p>
        </w:tc>
        <w:tc>
          <w:tcPr>
            <w:tcW w:w="4452" w:type="dxa"/>
          </w:tcPr>
          <w:p w14:paraId="102B6D7F" w14:textId="77777777" w:rsidR="00D94935" w:rsidRDefault="00D94935" w:rsidP="003A681D">
            <w:pPr>
              <w:pStyle w:val="TableText"/>
              <w:spacing w:before="120" w:after="120"/>
            </w:pPr>
            <w:r>
              <w:t>to reinstate the registration of a company</w:t>
            </w:r>
          </w:p>
        </w:tc>
      </w:tr>
      <w:tr w:rsidR="00D94935" w14:paraId="7B1A2CA7" w14:textId="77777777" w:rsidTr="003A681D">
        <w:trPr>
          <w:cantSplit/>
          <w:jc w:val="right"/>
        </w:trPr>
        <w:tc>
          <w:tcPr>
            <w:tcW w:w="1026" w:type="dxa"/>
          </w:tcPr>
          <w:p w14:paraId="40DF129F" w14:textId="77777777" w:rsidR="00D94935" w:rsidRDefault="00D94935" w:rsidP="003A681D">
            <w:pPr>
              <w:pStyle w:val="TableText"/>
              <w:spacing w:before="120" w:after="120"/>
            </w:pPr>
            <w:r>
              <w:t>6</w:t>
            </w:r>
          </w:p>
        </w:tc>
        <w:tc>
          <w:tcPr>
            <w:tcW w:w="2280" w:type="dxa"/>
          </w:tcPr>
          <w:p w14:paraId="48DA289D" w14:textId="77777777" w:rsidR="00D94935" w:rsidRDefault="00D94935" w:rsidP="003A681D">
            <w:pPr>
              <w:pStyle w:val="TableText"/>
              <w:spacing w:before="120" w:after="120"/>
            </w:pPr>
            <w:r>
              <w:t>section 601CC (8)</w:t>
            </w:r>
          </w:p>
        </w:tc>
        <w:tc>
          <w:tcPr>
            <w:tcW w:w="4452" w:type="dxa"/>
          </w:tcPr>
          <w:p w14:paraId="7454FA7B" w14:textId="77777777" w:rsidR="00D94935" w:rsidRDefault="00D94935" w:rsidP="003A681D">
            <w:pPr>
              <w:pStyle w:val="TableText"/>
              <w:spacing w:before="120" w:after="120"/>
            </w:pPr>
            <w:r>
              <w:t>to restore the name of an Australian body to the register</w:t>
            </w:r>
          </w:p>
        </w:tc>
      </w:tr>
      <w:tr w:rsidR="00D94935" w14:paraId="7AAE317C" w14:textId="77777777" w:rsidTr="003A681D">
        <w:trPr>
          <w:cantSplit/>
          <w:jc w:val="right"/>
        </w:trPr>
        <w:tc>
          <w:tcPr>
            <w:tcW w:w="1026" w:type="dxa"/>
          </w:tcPr>
          <w:p w14:paraId="362FF921" w14:textId="77777777" w:rsidR="00D94935" w:rsidRDefault="00D94935" w:rsidP="003A681D">
            <w:pPr>
              <w:pStyle w:val="TableText"/>
              <w:spacing w:before="120" w:after="120"/>
            </w:pPr>
            <w:r>
              <w:lastRenderedPageBreak/>
              <w:t>7</w:t>
            </w:r>
          </w:p>
        </w:tc>
        <w:tc>
          <w:tcPr>
            <w:tcW w:w="2280" w:type="dxa"/>
          </w:tcPr>
          <w:p w14:paraId="69754792" w14:textId="77777777" w:rsidR="00D94935" w:rsidRDefault="00D94935" w:rsidP="003A681D">
            <w:pPr>
              <w:pStyle w:val="TableText"/>
              <w:spacing w:before="120" w:after="120"/>
            </w:pPr>
            <w:r>
              <w:t>section 601CL (9)</w:t>
            </w:r>
          </w:p>
        </w:tc>
        <w:tc>
          <w:tcPr>
            <w:tcW w:w="4452" w:type="dxa"/>
          </w:tcPr>
          <w:p w14:paraId="53478B0C" w14:textId="77777777" w:rsidR="00D94935" w:rsidRDefault="00D94935" w:rsidP="003A681D">
            <w:pPr>
              <w:pStyle w:val="TableText"/>
              <w:spacing w:before="120" w:after="120"/>
            </w:pPr>
            <w:r>
              <w:t>to restore the name of a foreign company to the register</w:t>
            </w:r>
          </w:p>
        </w:tc>
      </w:tr>
      <w:tr w:rsidR="00D94935" w14:paraId="7CEEFEA1" w14:textId="77777777" w:rsidTr="003A681D">
        <w:trPr>
          <w:cantSplit/>
          <w:jc w:val="right"/>
        </w:trPr>
        <w:tc>
          <w:tcPr>
            <w:tcW w:w="1026" w:type="dxa"/>
          </w:tcPr>
          <w:p w14:paraId="07AD51FE" w14:textId="77777777" w:rsidR="00D94935" w:rsidRDefault="00D94935" w:rsidP="003A681D">
            <w:pPr>
              <w:pStyle w:val="TableText"/>
              <w:spacing w:before="120" w:after="120"/>
            </w:pPr>
            <w:r>
              <w:t>8</w:t>
            </w:r>
          </w:p>
        </w:tc>
        <w:tc>
          <w:tcPr>
            <w:tcW w:w="2280" w:type="dxa"/>
          </w:tcPr>
          <w:p w14:paraId="1F2F3F23" w14:textId="77777777" w:rsidR="00D94935" w:rsidRDefault="00D94935" w:rsidP="003A681D">
            <w:pPr>
              <w:pStyle w:val="TableText"/>
              <w:spacing w:before="120" w:after="120"/>
            </w:pPr>
            <w:r>
              <w:t>chapter 6, 6A, 6B, 6C, 6D or 7</w:t>
            </w:r>
          </w:p>
        </w:tc>
        <w:tc>
          <w:tcPr>
            <w:tcW w:w="4452" w:type="dxa"/>
          </w:tcPr>
          <w:p w14:paraId="7295EE97" w14:textId="77777777" w:rsidR="00D94935" w:rsidRDefault="00D94935" w:rsidP="003A681D">
            <w:pPr>
              <w:pStyle w:val="TableText"/>
              <w:spacing w:before="120" w:after="120"/>
            </w:pPr>
            <w:r>
              <w:t>any application under these chapters</w:t>
            </w:r>
          </w:p>
        </w:tc>
      </w:tr>
      <w:tr w:rsidR="00D94935" w14:paraId="23F0829F" w14:textId="77777777" w:rsidTr="003A681D">
        <w:trPr>
          <w:cantSplit/>
          <w:jc w:val="right"/>
        </w:trPr>
        <w:tc>
          <w:tcPr>
            <w:tcW w:w="1026" w:type="dxa"/>
          </w:tcPr>
          <w:p w14:paraId="77AB565A" w14:textId="77777777" w:rsidR="00D94935" w:rsidRDefault="00D94935" w:rsidP="003A681D">
            <w:pPr>
              <w:pStyle w:val="TableText"/>
              <w:spacing w:before="120" w:after="120"/>
            </w:pPr>
            <w:r>
              <w:t>9</w:t>
            </w:r>
          </w:p>
        </w:tc>
        <w:tc>
          <w:tcPr>
            <w:tcW w:w="2280" w:type="dxa"/>
          </w:tcPr>
          <w:p w14:paraId="031CC23F" w14:textId="77777777" w:rsidR="00D94935" w:rsidRDefault="00D94935" w:rsidP="003A681D">
            <w:pPr>
              <w:pStyle w:val="TableText"/>
              <w:spacing w:before="120" w:after="120"/>
            </w:pPr>
            <w:r>
              <w:t>section 1317S (2) and (4)</w:t>
            </w:r>
          </w:p>
        </w:tc>
        <w:tc>
          <w:tcPr>
            <w:tcW w:w="4452" w:type="dxa"/>
          </w:tcPr>
          <w:p w14:paraId="01548EA2" w14:textId="77777777" w:rsidR="00D94935" w:rsidRDefault="00D94935" w:rsidP="003A681D">
            <w:pPr>
              <w:pStyle w:val="TableText"/>
              <w:spacing w:before="120" w:after="120"/>
            </w:pPr>
            <w:r>
              <w:t>for relief from liability for contravention of a civil penalty provision</w:t>
            </w:r>
          </w:p>
        </w:tc>
      </w:tr>
    </w:tbl>
    <w:p w14:paraId="5CCFC6DA" w14:textId="77777777" w:rsidR="00D94935" w:rsidRDefault="00D94935" w:rsidP="00D94935"/>
    <w:p w14:paraId="2A0C6FA0" w14:textId="77777777" w:rsidR="00D94935" w:rsidRDefault="00D94935" w:rsidP="00D94935">
      <w:pPr>
        <w:pStyle w:val="Schclauseheading"/>
      </w:pPr>
      <w:bookmarkStart w:id="1969" w:name="_Toc185515585"/>
      <w:r w:rsidRPr="00C8328B">
        <w:rPr>
          <w:rStyle w:val="CharSectNo"/>
        </w:rPr>
        <w:t>2.9</w:t>
      </w:r>
      <w:r>
        <w:tab/>
        <w:t>Notice of appearance (Corporations Act, s 465C)</w:t>
      </w:r>
      <w:bookmarkEnd w:id="1969"/>
    </w:p>
    <w:p w14:paraId="3A2327CA" w14:textId="77777777" w:rsidR="00D94935" w:rsidRDefault="00D94935" w:rsidP="00D94935">
      <w:pPr>
        <w:pStyle w:val="Amain"/>
      </w:pPr>
      <w:r>
        <w:tab/>
        <w:t>(1)</w:t>
      </w:r>
      <w:r>
        <w:tab/>
        <w:t>A person who intends to appear before the court at the hearing of an application must, before appearing—</w:t>
      </w:r>
    </w:p>
    <w:p w14:paraId="71BA41FA" w14:textId="77777777" w:rsidR="00D94935" w:rsidRDefault="00D94935" w:rsidP="00D94935">
      <w:pPr>
        <w:pStyle w:val="Apara"/>
      </w:pPr>
      <w:r>
        <w:tab/>
        <w:t>(a)</w:t>
      </w:r>
      <w:r>
        <w:tab/>
        <w:t>file the following:</w:t>
      </w:r>
    </w:p>
    <w:p w14:paraId="11820C9C" w14:textId="77777777" w:rsidR="00D94935" w:rsidRDefault="00D94935" w:rsidP="00D94935">
      <w:pPr>
        <w:pStyle w:val="Asubpara"/>
      </w:pPr>
      <w:r>
        <w:tab/>
        <w:t>(i)</w:t>
      </w:r>
      <w:r>
        <w:tab/>
        <w:t xml:space="preserve">a notice of appearance; </w:t>
      </w:r>
    </w:p>
    <w:p w14:paraId="452A68A8" w14:textId="741F7FCB"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31" w:history="1">
        <w:r w:rsidRPr="00783A62">
          <w:rPr>
            <w:rStyle w:val="charCitHyperlinkAbbrev"/>
          </w:rPr>
          <w:t>AF2007-134</w:t>
        </w:r>
      </w:hyperlink>
      <w:r>
        <w:t>.</w:t>
      </w:r>
    </w:p>
    <w:p w14:paraId="06FDC06A" w14:textId="77777777" w:rsidR="00D94935" w:rsidRDefault="00D94935" w:rsidP="00D94935">
      <w:pPr>
        <w:pStyle w:val="Asubpara"/>
      </w:pPr>
      <w:r>
        <w:tab/>
        <w:t>(ii)</w:t>
      </w:r>
      <w:r>
        <w:tab/>
        <w:t>if appropriate, an affidavit stating any facts on which the person intends to rely; and</w:t>
      </w:r>
    </w:p>
    <w:p w14:paraId="4FCB4BA5" w14:textId="77777777" w:rsidR="00D94935" w:rsidRDefault="00D94935" w:rsidP="00D94935">
      <w:pPr>
        <w:pStyle w:val="Apara"/>
      </w:pPr>
      <w:r>
        <w:tab/>
        <w:t>(b)</w:t>
      </w:r>
      <w:r>
        <w:tab/>
        <w:t>serve on the plaintiff a copy of the notice of appearance and any affidavit not later than—</w:t>
      </w:r>
    </w:p>
    <w:p w14:paraId="4521C811" w14:textId="77777777" w:rsidR="00D94935" w:rsidRDefault="00D94935" w:rsidP="00D94935">
      <w:pPr>
        <w:pStyle w:val="Asubpara"/>
      </w:pPr>
      <w:r>
        <w:tab/>
        <w:t>(i)</w:t>
      </w:r>
      <w:r>
        <w:tab/>
        <w:t>if the person is named in an originating process—3 days before the date set for hearing; or</w:t>
      </w:r>
    </w:p>
    <w:p w14:paraId="3C0506D2" w14:textId="77777777" w:rsidR="00D94935" w:rsidRDefault="00D94935" w:rsidP="00D94935">
      <w:pPr>
        <w:pStyle w:val="Asubpara"/>
      </w:pPr>
      <w:r>
        <w:tab/>
        <w:t>(ii)</w:t>
      </w:r>
      <w:r>
        <w:tab/>
        <w:t>if the person is named in an interlocutory process—1 day before the date set for hearing.</w:t>
      </w:r>
    </w:p>
    <w:p w14:paraId="27E38D8B" w14:textId="16A7FC72"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32" w:tooltip="Act 2001 No 50 (Cwlth)" w:history="1">
        <w:r w:rsidRPr="00D74CAB">
          <w:rPr>
            <w:rStyle w:val="charCitHyperlinkAbbrev"/>
          </w:rPr>
          <w:t>Corporations Act</w:t>
        </w:r>
      </w:hyperlink>
      <w:r>
        <w:t>, section 465C.</w:t>
      </w:r>
    </w:p>
    <w:p w14:paraId="5FB9CC82" w14:textId="35F7659A" w:rsidR="00D94935" w:rsidRDefault="00D94935" w:rsidP="009B5E2A">
      <w:pPr>
        <w:pStyle w:val="Amain"/>
        <w:keepNext/>
      </w:pPr>
      <w:r>
        <w:lastRenderedPageBreak/>
        <w:tab/>
        <w:t>(3)</w:t>
      </w:r>
      <w:r>
        <w:tab/>
        <w:t xml:space="preserve">The period prescribed for filing and serving the notice and affidavit required by the </w:t>
      </w:r>
      <w:hyperlink r:id="rId1033" w:tooltip="Act 2001 No 50 (Cwlth)" w:history="1">
        <w:r w:rsidRPr="00D74CAB">
          <w:rPr>
            <w:rStyle w:val="charCitHyperlinkAbbrev"/>
          </w:rPr>
          <w:t>Corporations Act</w:t>
        </w:r>
      </w:hyperlink>
      <w:r>
        <w:t>, section 465C is the period mentioned in subrule (1) (b) (i).</w:t>
      </w:r>
    </w:p>
    <w:p w14:paraId="75E78E36" w14:textId="2A2A2E3B" w:rsidR="00D94935" w:rsidRDefault="00D94935" w:rsidP="00D94935">
      <w:pPr>
        <w:pStyle w:val="aNote"/>
        <w:rPr>
          <w:rStyle w:val="charItals"/>
        </w:rPr>
      </w:pPr>
      <w:r>
        <w:rPr>
          <w:rStyle w:val="charItals"/>
        </w:rPr>
        <w:t>Note</w:t>
      </w:r>
      <w:r>
        <w:rPr>
          <w:rStyle w:val="charItals"/>
        </w:rPr>
        <w:tab/>
      </w:r>
      <w:r>
        <w:t xml:space="preserve">Under the </w:t>
      </w:r>
      <w:hyperlink r:id="rId1034"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14:paraId="4F47988A" w14:textId="77777777" w:rsidR="00D94935" w:rsidRDefault="00D94935" w:rsidP="00D94935">
      <w:pPr>
        <w:pStyle w:val="Schclauseheading"/>
      </w:pPr>
      <w:bookmarkStart w:id="1970" w:name="_Toc185515586"/>
      <w:r w:rsidRPr="00C8328B">
        <w:rPr>
          <w:rStyle w:val="CharSectNo"/>
        </w:rPr>
        <w:t>2.10</w:t>
      </w:r>
      <w:r>
        <w:tab/>
        <w:t>Intervention in proceeding by ASIC (Corporations Act, s 1330)</w:t>
      </w:r>
      <w:bookmarkEnd w:id="1970"/>
    </w:p>
    <w:p w14:paraId="08B3C7C5" w14:textId="77777777" w:rsidR="00D94935" w:rsidRDefault="00D94935" w:rsidP="00D94935">
      <w:pPr>
        <w:pStyle w:val="Amain"/>
      </w:pPr>
      <w:r>
        <w:tab/>
        <w:t>(1)</w:t>
      </w:r>
      <w:r>
        <w:tab/>
        <w:t>If ASIC intends to intervene in a proceeding, ASIC must file a notice of intervention.</w:t>
      </w:r>
    </w:p>
    <w:p w14:paraId="740377AD" w14:textId="38AC58A0" w:rsidR="00D94935" w:rsidRDefault="00D94935" w:rsidP="00D94935">
      <w:pPr>
        <w:pStyle w:val="aNote"/>
      </w:pPr>
      <w:r w:rsidRPr="006364FA">
        <w:rPr>
          <w:rStyle w:val="charItals"/>
        </w:rPr>
        <w:t>Note</w:t>
      </w:r>
      <w:r>
        <w:tab/>
        <w:t xml:space="preserve">See approved form 5 (Notice of intervention by ASIC) </w:t>
      </w:r>
      <w:hyperlink r:id="rId1035" w:history="1">
        <w:r w:rsidRPr="00783A62">
          <w:rPr>
            <w:rStyle w:val="charCitHyperlinkAbbrev"/>
          </w:rPr>
          <w:t>AF2008-66</w:t>
        </w:r>
      </w:hyperlink>
      <w:r>
        <w:t>.</w:t>
      </w:r>
    </w:p>
    <w:p w14:paraId="44132102" w14:textId="77777777"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14:paraId="2CE618A1" w14:textId="77777777" w:rsidR="00D94935" w:rsidRDefault="00D94935" w:rsidP="00D94935">
      <w:pPr>
        <w:pStyle w:val="Schclauseheading"/>
      </w:pPr>
      <w:bookmarkStart w:id="1971" w:name="_Toc185515587"/>
      <w:r w:rsidRPr="00C8328B">
        <w:rPr>
          <w:rStyle w:val="CharSectNo"/>
        </w:rPr>
        <w:t>2.12</w:t>
      </w:r>
      <w:r>
        <w:tab/>
        <w:t>Proof of publication</w:t>
      </w:r>
      <w:bookmarkEnd w:id="1971"/>
    </w:p>
    <w:p w14:paraId="124B963B" w14:textId="77777777" w:rsidR="00D94935" w:rsidRDefault="00D94935" w:rsidP="00D94935">
      <w:pPr>
        <w:pStyle w:val="Amain"/>
      </w:pPr>
      <w:r>
        <w:tab/>
        <w:t>(1)</w:t>
      </w:r>
      <w:r>
        <w:tab/>
        <w:t>This rule applies in relation to any matter published in relation to a proceeding.</w:t>
      </w:r>
    </w:p>
    <w:p w14:paraId="78CF22AE" w14:textId="77777777"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14:paraId="3D7277D4" w14:textId="77777777"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14:paraId="6B6BDB5A" w14:textId="77777777"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14:paraId="23CAF5A5" w14:textId="77777777"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14:paraId="3C3E8EC9" w14:textId="77777777" w:rsidR="00D94935" w:rsidRDefault="00D94935" w:rsidP="00D94935">
      <w:pPr>
        <w:pStyle w:val="Schclauseheading"/>
      </w:pPr>
      <w:bookmarkStart w:id="1972" w:name="_Toc185515588"/>
      <w:r w:rsidRPr="00C8328B">
        <w:rPr>
          <w:rStyle w:val="CharSectNo"/>
        </w:rPr>
        <w:t>2.13</w:t>
      </w:r>
      <w:r>
        <w:tab/>
        <w:t>Leave to creditor, contributory or officer to be heard</w:t>
      </w:r>
      <w:bookmarkEnd w:id="1972"/>
    </w:p>
    <w:p w14:paraId="46F898AD" w14:textId="77777777" w:rsidR="00D94935" w:rsidRDefault="00D94935" w:rsidP="00D94935">
      <w:pPr>
        <w:pStyle w:val="Amain"/>
      </w:pPr>
      <w:r>
        <w:tab/>
        <w:t>(1)</w:t>
      </w:r>
      <w:r>
        <w:tab/>
        <w:t>The court may grant leave to any person who is, or claims to be—</w:t>
      </w:r>
    </w:p>
    <w:p w14:paraId="4A05EEA7" w14:textId="77777777" w:rsidR="00D94935" w:rsidRDefault="00D94935" w:rsidP="00D94935">
      <w:pPr>
        <w:pStyle w:val="Apara"/>
      </w:pPr>
      <w:r>
        <w:tab/>
        <w:t>(a)</w:t>
      </w:r>
      <w:r>
        <w:tab/>
        <w:t>a creditor, contributory or officer of a corporation; or</w:t>
      </w:r>
    </w:p>
    <w:p w14:paraId="60A15349" w14:textId="77777777" w:rsidR="00D94935" w:rsidRDefault="00D94935" w:rsidP="00D94935">
      <w:pPr>
        <w:pStyle w:val="Apara"/>
      </w:pPr>
      <w:r>
        <w:tab/>
        <w:t>(b)</w:t>
      </w:r>
      <w:r>
        <w:tab/>
        <w:t>an officer of a creditor, or contributory, of a corporation; or</w:t>
      </w:r>
    </w:p>
    <w:p w14:paraId="2804F076" w14:textId="77777777" w:rsidR="00D94935" w:rsidRDefault="00D94935" w:rsidP="00D94935">
      <w:pPr>
        <w:pStyle w:val="Apara"/>
        <w:rPr>
          <w:color w:val="000000"/>
        </w:rPr>
      </w:pPr>
      <w:r>
        <w:rPr>
          <w:color w:val="000000"/>
        </w:rPr>
        <w:tab/>
        <w:t>(c)</w:t>
      </w:r>
      <w:r>
        <w:rPr>
          <w:color w:val="000000"/>
        </w:rPr>
        <w:tab/>
      </w:r>
      <w:r>
        <w:t>any other interested person;</w:t>
      </w:r>
    </w:p>
    <w:p w14:paraId="6089A9A5" w14:textId="77777777" w:rsidR="00D94935" w:rsidRDefault="00D94935" w:rsidP="00D94935">
      <w:pPr>
        <w:pStyle w:val="Amainreturn"/>
      </w:pPr>
      <w:r>
        <w:t>to be heard in a proceeding without becoming a party to the proceeding.</w:t>
      </w:r>
    </w:p>
    <w:p w14:paraId="1C3E036C" w14:textId="77777777"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14:paraId="12160FF8" w14:textId="77777777" w:rsidR="00D94935" w:rsidRDefault="00D94935" w:rsidP="00D94935">
      <w:pPr>
        <w:pStyle w:val="Apara"/>
      </w:pPr>
      <w:r>
        <w:tab/>
        <w:t>(a)</w:t>
      </w:r>
      <w:r>
        <w:tab/>
        <w:t>direct that the person pay the costs; and</w:t>
      </w:r>
    </w:p>
    <w:p w14:paraId="736F4660" w14:textId="77777777" w:rsidR="00D94935" w:rsidRDefault="00D94935" w:rsidP="00D94935">
      <w:pPr>
        <w:pStyle w:val="Apara"/>
      </w:pPr>
      <w:r>
        <w:tab/>
        <w:t>(b)</w:t>
      </w:r>
      <w:r>
        <w:tab/>
        <w:t>order that the person not be heard further in the proceeding until the costs are paid or secured to the court’s satisfaction.</w:t>
      </w:r>
    </w:p>
    <w:p w14:paraId="0EEBD44D" w14:textId="77777777" w:rsidR="00D94935" w:rsidRDefault="00D94935" w:rsidP="00D94935">
      <w:pPr>
        <w:pStyle w:val="Amain"/>
      </w:pPr>
      <w:r>
        <w:tab/>
        <w:t>(3)</w:t>
      </w:r>
      <w:r>
        <w:tab/>
        <w:t>The court may order that a person who is, or claims to be, a creditor, contributory or officer of a corporation be added as a defendant to the proceeding.</w:t>
      </w:r>
    </w:p>
    <w:p w14:paraId="083C5888" w14:textId="77777777" w:rsidR="00D94935" w:rsidRDefault="00D94935" w:rsidP="00D94935">
      <w:pPr>
        <w:pStyle w:val="Amain"/>
      </w:pPr>
      <w:r>
        <w:tab/>
        <w:t>(4)</w:t>
      </w:r>
      <w:r>
        <w:tab/>
        <w:t>The court may grant leave to a person under subrule (1), or order that a person be added as a defendant to a proceeding under subrule (3)—</w:t>
      </w:r>
    </w:p>
    <w:p w14:paraId="0E1D029F" w14:textId="77777777" w:rsidR="00D94935" w:rsidRDefault="00D94935" w:rsidP="00D94935">
      <w:pPr>
        <w:pStyle w:val="Apara"/>
      </w:pPr>
      <w:r>
        <w:tab/>
        <w:t>(a)</w:t>
      </w:r>
      <w:r>
        <w:tab/>
        <w:t>on application by the person or a party to the proceeding; or</w:t>
      </w:r>
    </w:p>
    <w:p w14:paraId="09FA3D7F" w14:textId="77777777" w:rsidR="00D94935" w:rsidRDefault="00D94935" w:rsidP="00D94935">
      <w:pPr>
        <w:pStyle w:val="Apara"/>
      </w:pPr>
      <w:r>
        <w:tab/>
        <w:t>(b)</w:t>
      </w:r>
      <w:r>
        <w:tab/>
        <w:t>on the court’s own initiative.</w:t>
      </w:r>
    </w:p>
    <w:p w14:paraId="6015D94C" w14:textId="77777777" w:rsidR="00D94935" w:rsidRDefault="00D94935" w:rsidP="009B5E2A">
      <w:pPr>
        <w:pStyle w:val="Amain"/>
        <w:keepNext/>
      </w:pPr>
      <w:r>
        <w:lastRenderedPageBreak/>
        <w:tab/>
        <w:t>(5)</w:t>
      </w:r>
      <w:r>
        <w:tab/>
        <w:t>The court may—</w:t>
      </w:r>
    </w:p>
    <w:p w14:paraId="413E203C" w14:textId="77777777"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14:paraId="07677FA8" w14:textId="77777777" w:rsidR="00D94935" w:rsidRDefault="00D94935" w:rsidP="00D94935">
      <w:pPr>
        <w:pStyle w:val="Apara"/>
      </w:pPr>
      <w:r>
        <w:tab/>
        <w:t>(b)</w:t>
      </w:r>
      <w:r>
        <w:tab/>
        <w:t>remove any person so appointed.</w:t>
      </w:r>
    </w:p>
    <w:p w14:paraId="28990C0D" w14:textId="77777777" w:rsidR="00D94935" w:rsidRDefault="00D94935" w:rsidP="00D94935">
      <w:pPr>
        <w:pStyle w:val="Schclauseheading"/>
      </w:pPr>
      <w:bookmarkStart w:id="1973" w:name="_Toc185515589"/>
      <w:r w:rsidRPr="00C8328B">
        <w:rPr>
          <w:rStyle w:val="CharSectNo"/>
        </w:rPr>
        <w:t>2.14</w:t>
      </w:r>
      <w:r>
        <w:tab/>
        <w:t>Inquiry in relation to corporation’s debts etc</w:t>
      </w:r>
      <w:bookmarkEnd w:id="1973"/>
    </w:p>
    <w:p w14:paraId="12701529" w14:textId="77777777"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14:paraId="70E86F7A" w14:textId="77777777" w:rsidR="00D94935" w:rsidRDefault="00D94935" w:rsidP="00D94935">
      <w:pPr>
        <w:pStyle w:val="Schclauseheading"/>
      </w:pPr>
      <w:bookmarkStart w:id="1974" w:name="_Toc185515590"/>
      <w:r w:rsidRPr="00C8328B">
        <w:rPr>
          <w:rStyle w:val="CharSectNo"/>
        </w:rPr>
        <w:t>2.15</w:t>
      </w:r>
      <w:r>
        <w:tab/>
        <w:t>Meetings ordered by the court</w:t>
      </w:r>
      <w:bookmarkEnd w:id="1974"/>
    </w:p>
    <w:p w14:paraId="20099442" w14:textId="2D6D4AE4" w:rsidR="00D94935" w:rsidRDefault="00D94935" w:rsidP="00D94935">
      <w:pPr>
        <w:pStyle w:val="Amainreturn"/>
      </w:pPr>
      <w:r>
        <w:t xml:space="preserve">Subject to the </w:t>
      </w:r>
      <w:hyperlink r:id="rId1036" w:tooltip="Act 2001 No 50 (Cwlth)" w:history="1">
        <w:r w:rsidRPr="00D74CAB">
          <w:rPr>
            <w:rStyle w:val="charCitHyperlinkAbbrev"/>
          </w:rPr>
          <w:t>Corporations Act</w:t>
        </w:r>
      </w:hyperlink>
      <w:r>
        <w:t xml:space="preserve">, this schedule and any direction of the court to the contrary, the </w:t>
      </w:r>
      <w:hyperlink r:id="rId1037" w:tooltip="SR 2001 No 193 (Cwlth)" w:history="1">
        <w:r w:rsidR="00B45AAE" w:rsidRPr="00783A62">
          <w:rPr>
            <w:rStyle w:val="charCitHyperlinkAbbrev"/>
          </w:rPr>
          <w:t>Corporations Regulations</w:t>
        </w:r>
      </w:hyperlink>
      <w:r>
        <w:t>, regulations 5.6.11 to 5.6.36A apply to meetings ordered by the court.</w:t>
      </w:r>
    </w:p>
    <w:p w14:paraId="2A89620C" w14:textId="77777777" w:rsidR="00D94935" w:rsidRDefault="00D94935" w:rsidP="00D94935">
      <w:pPr>
        <w:pStyle w:val="PageBreak"/>
      </w:pPr>
      <w:r>
        <w:br w:type="page"/>
      </w:r>
    </w:p>
    <w:p w14:paraId="7383376E" w14:textId="77777777" w:rsidR="00D94935" w:rsidRPr="00C8328B" w:rsidRDefault="00D94935" w:rsidP="00D94935">
      <w:pPr>
        <w:pStyle w:val="Sched-Part"/>
      </w:pPr>
      <w:bookmarkStart w:id="1975" w:name="_Toc185515591"/>
      <w:r w:rsidRPr="00C8328B">
        <w:rPr>
          <w:rStyle w:val="CharPartNo"/>
        </w:rPr>
        <w:lastRenderedPageBreak/>
        <w:t>Part 6.3</w:t>
      </w:r>
      <w:r>
        <w:tab/>
      </w:r>
      <w:r w:rsidRPr="00C8328B">
        <w:rPr>
          <w:rStyle w:val="CharPartText"/>
        </w:rPr>
        <w:t>Compromises and arrangements in relation to Part 5.1 bodies</w:t>
      </w:r>
      <w:bookmarkEnd w:id="1975"/>
    </w:p>
    <w:p w14:paraId="0BF26555" w14:textId="77777777" w:rsidR="00D94935" w:rsidRDefault="00D94935" w:rsidP="00D94935">
      <w:pPr>
        <w:pStyle w:val="Schclauseheading"/>
      </w:pPr>
      <w:bookmarkStart w:id="1976" w:name="_Toc185515592"/>
      <w:r w:rsidRPr="00C8328B">
        <w:rPr>
          <w:rStyle w:val="CharSectNo"/>
        </w:rPr>
        <w:t>3.1</w:t>
      </w:r>
      <w:r>
        <w:tab/>
        <w:t>Application—pt 1.3</w:t>
      </w:r>
      <w:bookmarkEnd w:id="1976"/>
    </w:p>
    <w:p w14:paraId="6D2636C8" w14:textId="77777777"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14:paraId="6E108CBE" w14:textId="77777777" w:rsidR="00D94935" w:rsidRDefault="00D94935" w:rsidP="00D94935">
      <w:pPr>
        <w:pStyle w:val="Schclauseheading"/>
      </w:pPr>
      <w:bookmarkStart w:id="1977" w:name="_Toc185515593"/>
      <w:r w:rsidRPr="00C8328B">
        <w:rPr>
          <w:rStyle w:val="CharSectNo"/>
        </w:rPr>
        <w:t>3.2</w:t>
      </w:r>
      <w:r>
        <w:tab/>
        <w:t>Nomination of chairperson for meeting</w:t>
      </w:r>
      <w:bookmarkEnd w:id="1977"/>
    </w:p>
    <w:p w14:paraId="0BF4390E" w14:textId="0455960A" w:rsidR="00D94935" w:rsidRDefault="00D94935" w:rsidP="00D94935">
      <w:pPr>
        <w:pStyle w:val="Amainreturn"/>
      </w:pPr>
      <w:r>
        <w:t xml:space="preserve">Before the hearing of an application under the </w:t>
      </w:r>
      <w:hyperlink r:id="rId1038" w:tooltip="Act 2001 No 50 (Cwlth)" w:history="1">
        <w:r w:rsidRPr="00D74CAB">
          <w:rPr>
            <w:rStyle w:val="charCitHyperlinkAbbrev"/>
          </w:rPr>
          <w:t>Corporations Act</w:t>
        </w:r>
      </w:hyperlink>
      <w:r>
        <w:t>, section 411 (1), (1A) or (1B), the plaintiff must file an affidavit stating—</w:t>
      </w:r>
    </w:p>
    <w:p w14:paraId="333D9472" w14:textId="77777777" w:rsidR="00D94935" w:rsidRDefault="00D94935" w:rsidP="00D94935">
      <w:pPr>
        <w:pStyle w:val="Apara"/>
      </w:pPr>
      <w:r>
        <w:tab/>
        <w:t>(a)</w:t>
      </w:r>
      <w:r>
        <w:tab/>
        <w:t>the names of the people who have been nominated to be the chairperson and alternate chairperson of the meeting; and</w:t>
      </w:r>
    </w:p>
    <w:p w14:paraId="5C74A265" w14:textId="77777777" w:rsidR="00D94935" w:rsidRDefault="00D94935" w:rsidP="00D94935">
      <w:pPr>
        <w:pStyle w:val="Apara"/>
      </w:pPr>
      <w:r>
        <w:tab/>
        <w:t>(b)</w:t>
      </w:r>
      <w:r>
        <w:tab/>
        <w:t>that each person nominated—</w:t>
      </w:r>
    </w:p>
    <w:p w14:paraId="0186D363" w14:textId="77777777" w:rsidR="00D94935" w:rsidRDefault="00D94935" w:rsidP="00D94935">
      <w:pPr>
        <w:pStyle w:val="Asubpara"/>
      </w:pPr>
      <w:r>
        <w:tab/>
        <w:t>(i)</w:t>
      </w:r>
      <w:r>
        <w:tab/>
        <w:t>is willing to act as chairperson; and</w:t>
      </w:r>
    </w:p>
    <w:p w14:paraId="2C683683" w14:textId="77777777"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14:paraId="35000640" w14:textId="77777777"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14:paraId="5CFC8F3E" w14:textId="77777777" w:rsidR="00D94935" w:rsidRDefault="00D94935" w:rsidP="00D94935">
      <w:pPr>
        <w:pStyle w:val="Apara"/>
      </w:pPr>
      <w:r>
        <w:tab/>
        <w:t>(c)</w:t>
      </w:r>
      <w:r>
        <w:tab/>
        <w:t>the name of the person (if any) proposed to be appointed to administer the proposed compromise or arrangement; and</w:t>
      </w:r>
    </w:p>
    <w:p w14:paraId="60101261" w14:textId="0E687211" w:rsidR="00D94935" w:rsidRDefault="00D94935" w:rsidP="00D94935">
      <w:pPr>
        <w:pStyle w:val="Apara"/>
      </w:pPr>
      <w:r>
        <w:tab/>
        <w:t>(d)</w:t>
      </w:r>
      <w:r>
        <w:tab/>
        <w:t xml:space="preserve">that the person does not fall within the </w:t>
      </w:r>
      <w:hyperlink r:id="rId1039" w:tooltip="Act 2001 No 50 (Cwlth)" w:history="1">
        <w:r w:rsidRPr="00D74CAB">
          <w:rPr>
            <w:rStyle w:val="charCitHyperlinkAbbrev"/>
          </w:rPr>
          <w:t>Corporations Act</w:t>
        </w:r>
      </w:hyperlink>
      <w:r>
        <w:t>, section</w:t>
      </w:r>
      <w:r w:rsidR="00A54E0E">
        <w:t> </w:t>
      </w:r>
      <w:r>
        <w:t>411 (7) (a) to (f), except as disclosed in the affidavit.</w:t>
      </w:r>
    </w:p>
    <w:p w14:paraId="639DF518" w14:textId="77777777" w:rsidR="00D94935" w:rsidRDefault="00D94935" w:rsidP="00D94935">
      <w:pPr>
        <w:pStyle w:val="Schclauseheading"/>
      </w:pPr>
      <w:bookmarkStart w:id="1978" w:name="_Toc185515594"/>
      <w:r w:rsidRPr="00C8328B">
        <w:rPr>
          <w:rStyle w:val="CharSectNo"/>
        </w:rPr>
        <w:lastRenderedPageBreak/>
        <w:t>3.3</w:t>
      </w:r>
      <w:r>
        <w:tab/>
        <w:t>Order for meetings to identify proposed scheme</w:t>
      </w:r>
      <w:bookmarkEnd w:id="1978"/>
    </w:p>
    <w:p w14:paraId="3DD07C1A" w14:textId="2FA22168" w:rsidR="00D94935" w:rsidRDefault="00D94935" w:rsidP="00A54E0E">
      <w:pPr>
        <w:pStyle w:val="Amain"/>
        <w:keepLines/>
      </w:pPr>
      <w:r>
        <w:tab/>
        <w:t>(1)</w:t>
      </w:r>
      <w:r>
        <w:tab/>
        <w:t xml:space="preserve">An order under the </w:t>
      </w:r>
      <w:hyperlink r:id="rId1040"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14:paraId="0235B7E2" w14:textId="635FAFA8" w:rsidR="00D94935" w:rsidRDefault="00D94935" w:rsidP="00D94935">
      <w:pPr>
        <w:pStyle w:val="Amain"/>
      </w:pPr>
      <w:r>
        <w:tab/>
        <w:t>(2)</w:t>
      </w:r>
      <w:r>
        <w:tab/>
        <w:t xml:space="preserve">Unless the court otherwise orders, a meeting of members ordered under the </w:t>
      </w:r>
      <w:hyperlink r:id="rId1041" w:tooltip="Act 2001 No 50 (Cwlth)" w:history="1">
        <w:r w:rsidRPr="00D74CAB">
          <w:rPr>
            <w:rStyle w:val="charCitHyperlinkAbbrev"/>
          </w:rPr>
          <w:t>Corporations Act</w:t>
        </w:r>
      </w:hyperlink>
      <w:r>
        <w:t>, section 411 must be convened, held and conducted in accordance with—</w:t>
      </w:r>
    </w:p>
    <w:p w14:paraId="61DC02AF" w14:textId="5CD61C66" w:rsidR="00D94935" w:rsidRDefault="00D94935" w:rsidP="00D94935">
      <w:pPr>
        <w:pStyle w:val="Apara"/>
      </w:pPr>
      <w:r>
        <w:tab/>
        <w:t>(a)</w:t>
      </w:r>
      <w:r>
        <w:tab/>
        <w:t xml:space="preserve">the provisions of the </w:t>
      </w:r>
      <w:hyperlink r:id="rId1042" w:tooltip="Act 2001 No 50 (Cwlth)" w:history="1">
        <w:r w:rsidRPr="00D74CAB">
          <w:rPr>
            <w:rStyle w:val="charCitHyperlinkAbbrev"/>
          </w:rPr>
          <w:t>Corporations Act</w:t>
        </w:r>
      </w:hyperlink>
      <w:r>
        <w:t>, part 2G.2 that apply to the members of a company; and</w:t>
      </w:r>
    </w:p>
    <w:p w14:paraId="505FEC83" w14:textId="006E8880" w:rsidR="00D94935" w:rsidRDefault="00D94935" w:rsidP="00D94935">
      <w:pPr>
        <w:pStyle w:val="Apara"/>
      </w:pPr>
      <w:r>
        <w:tab/>
        <w:t>(b)</w:t>
      </w:r>
      <w:r>
        <w:tab/>
        <w:t xml:space="preserve">the provisions of the plaintiff’s constitution that apply in relation to meetings of members and are not inconsistent with the </w:t>
      </w:r>
      <w:hyperlink r:id="rId1043" w:tooltip="Act 2001 No 50 (Cwlth)" w:history="1">
        <w:r w:rsidRPr="00D74CAB">
          <w:rPr>
            <w:rStyle w:val="charCitHyperlinkAbbrev"/>
          </w:rPr>
          <w:t>Corporations Act</w:t>
        </w:r>
      </w:hyperlink>
      <w:r>
        <w:t>, part 2G.2.</w:t>
      </w:r>
    </w:p>
    <w:p w14:paraId="0B012E84" w14:textId="1949D9E9" w:rsidR="00D94935" w:rsidRDefault="00D94935" w:rsidP="00D94935">
      <w:pPr>
        <w:pStyle w:val="Amain"/>
      </w:pPr>
      <w:r>
        <w:tab/>
        <w:t>(3)</w:t>
      </w:r>
      <w:r>
        <w:tab/>
        <w:t xml:space="preserve">Unless the court otherwise orders, a meeting of a class of holders of convertible securities ordered under the </w:t>
      </w:r>
      <w:hyperlink r:id="rId1044" w:tooltip="Act 2001 No 50 (Cwlth)" w:history="1">
        <w:r w:rsidRPr="00D74CAB">
          <w:rPr>
            <w:rStyle w:val="charCitHyperlinkAbbrev"/>
          </w:rPr>
          <w:t>Corporations Act</w:t>
        </w:r>
      </w:hyperlink>
      <w:r>
        <w:t>, section 411 must be convened, held and conducted as if—</w:t>
      </w:r>
    </w:p>
    <w:p w14:paraId="47623806" w14:textId="77777777" w:rsidR="00D94935" w:rsidRDefault="00D94935" w:rsidP="00D94935">
      <w:pPr>
        <w:pStyle w:val="Apara"/>
      </w:pPr>
      <w:r>
        <w:tab/>
        <w:t>(a)</w:t>
      </w:r>
      <w:r>
        <w:tab/>
        <w:t>the holders were a separate class of members; and</w:t>
      </w:r>
    </w:p>
    <w:p w14:paraId="1E0C0F41" w14:textId="77777777" w:rsidR="00D94935" w:rsidRDefault="00D94935" w:rsidP="00D94935">
      <w:pPr>
        <w:pStyle w:val="Apara"/>
      </w:pPr>
      <w:r>
        <w:tab/>
        <w:t>(b)</w:t>
      </w:r>
      <w:r>
        <w:tab/>
        <w:t>the meeting were a meeting of members convened, held and conducted under subrule (2).</w:t>
      </w:r>
    </w:p>
    <w:p w14:paraId="4FB1F89E" w14:textId="77777777"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14:paraId="799BB497" w14:textId="77777777" w:rsidR="00D94935" w:rsidRDefault="00D94935" w:rsidP="00D94935">
      <w:pPr>
        <w:pStyle w:val="Schclauseheading"/>
      </w:pPr>
      <w:bookmarkStart w:id="1979" w:name="_Toc185515595"/>
      <w:r w:rsidRPr="00C8328B">
        <w:rPr>
          <w:rStyle w:val="CharSectNo"/>
        </w:rPr>
        <w:t>3.4</w:t>
      </w:r>
      <w:r>
        <w:tab/>
        <w:t>Notice of hearing (Corporations Act, s 411 (4) and s 413 (1))</w:t>
      </w:r>
      <w:bookmarkEnd w:id="1979"/>
    </w:p>
    <w:p w14:paraId="656BF3F9" w14:textId="77777777" w:rsidR="00D94935" w:rsidRDefault="00D94935" w:rsidP="00D94935">
      <w:pPr>
        <w:pStyle w:val="Amain"/>
      </w:pPr>
      <w:r>
        <w:tab/>
        <w:t>(1)</w:t>
      </w:r>
      <w:r>
        <w:tab/>
        <w:t>This rule applies to—</w:t>
      </w:r>
    </w:p>
    <w:p w14:paraId="797B7FAE" w14:textId="5776262A" w:rsidR="00D94935" w:rsidRDefault="00D94935" w:rsidP="00D94935">
      <w:pPr>
        <w:pStyle w:val="Apara"/>
      </w:pPr>
      <w:r>
        <w:tab/>
        <w:t>(a)</w:t>
      </w:r>
      <w:r>
        <w:tab/>
        <w:t xml:space="preserve">an application, under the </w:t>
      </w:r>
      <w:hyperlink r:id="rId1045" w:tooltip="Act 2001 No 50 (Cwlth)" w:history="1">
        <w:r w:rsidRPr="00D74CAB">
          <w:rPr>
            <w:rStyle w:val="charCitHyperlinkAbbrev"/>
          </w:rPr>
          <w:t>Corporations Act</w:t>
        </w:r>
      </w:hyperlink>
      <w:r>
        <w:t>, section 411 (4), for an order approving a proposed compromise or arrangement in relation to a Part 5.1 body; and</w:t>
      </w:r>
    </w:p>
    <w:p w14:paraId="11DE2974" w14:textId="0AF299A0" w:rsidR="00D94935" w:rsidRDefault="00D94935" w:rsidP="00D94935">
      <w:pPr>
        <w:pStyle w:val="Apara"/>
      </w:pPr>
      <w:r>
        <w:lastRenderedPageBreak/>
        <w:tab/>
        <w:t>(b)</w:t>
      </w:r>
      <w:r>
        <w:tab/>
        <w:t xml:space="preserve">an application, under the </w:t>
      </w:r>
      <w:hyperlink r:id="rId1046"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14:paraId="12E908B5" w14:textId="77777777" w:rsidR="008E5D74" w:rsidRPr="00A60754" w:rsidRDefault="008E5D74" w:rsidP="008E5D74">
      <w:pPr>
        <w:pStyle w:val="Amain"/>
      </w:pPr>
      <w:r w:rsidRPr="00A60754">
        <w:tab/>
        <w:t>(2)</w:t>
      </w:r>
      <w:r w:rsidRPr="00A60754">
        <w:tab/>
        <w:t>Unless the court otherwise orders, the plaintiff must publish a notice of the hearing of the application—</w:t>
      </w:r>
    </w:p>
    <w:p w14:paraId="10FFB8C3" w14:textId="77777777"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14:paraId="3D5FBC60" w14:textId="77777777"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14:paraId="1CCA76CF" w14:textId="43578255" w:rsidR="00D94935" w:rsidRDefault="00D94935" w:rsidP="00D94935">
      <w:pPr>
        <w:pStyle w:val="aNote"/>
      </w:pPr>
      <w:r w:rsidRPr="006364FA">
        <w:rPr>
          <w:rStyle w:val="charItals"/>
        </w:rPr>
        <w:t>Note</w:t>
      </w:r>
      <w:r>
        <w:tab/>
        <w:t xml:space="preserve">See approved form 6 (Notice of hearing to approve compromise or arrangement) </w:t>
      </w:r>
      <w:hyperlink r:id="rId1047" w:history="1">
        <w:r w:rsidRPr="002B0307">
          <w:rPr>
            <w:rStyle w:val="charCitHyperlinkAbbrev"/>
          </w:rPr>
          <w:t>AF2006-431</w:t>
        </w:r>
      </w:hyperlink>
      <w:r>
        <w:t>.</w:t>
      </w:r>
    </w:p>
    <w:p w14:paraId="1E3CA510" w14:textId="77777777" w:rsidR="00D94935" w:rsidRDefault="00D94935" w:rsidP="00D94935">
      <w:pPr>
        <w:pStyle w:val="Amain"/>
      </w:pPr>
      <w:r>
        <w:tab/>
        <w:t>(3)</w:t>
      </w:r>
      <w:r>
        <w:tab/>
        <w:t>The notice must be published at least 5 days before the date set for the hearing of the application.</w:t>
      </w:r>
    </w:p>
    <w:p w14:paraId="179523B1" w14:textId="77777777" w:rsidR="00D94935" w:rsidRDefault="00D94935" w:rsidP="00D94935">
      <w:pPr>
        <w:pStyle w:val="Schclauseheading"/>
      </w:pPr>
      <w:bookmarkStart w:id="1980" w:name="_Toc185515596"/>
      <w:r w:rsidRPr="00C8328B">
        <w:rPr>
          <w:rStyle w:val="CharSectNo"/>
        </w:rPr>
        <w:t>3.5</w:t>
      </w:r>
      <w:r>
        <w:tab/>
        <w:t>Copy of order approving compromise or arrangement to be lodged with ASIC</w:t>
      </w:r>
      <w:bookmarkEnd w:id="1980"/>
    </w:p>
    <w:p w14:paraId="4F86FEB6" w14:textId="39CE445A" w:rsidR="00D94935" w:rsidRDefault="00D94935" w:rsidP="00D94935">
      <w:pPr>
        <w:pStyle w:val="Amainreturn"/>
      </w:pPr>
      <w:r>
        <w:t xml:space="preserve">If the court makes an order under the </w:t>
      </w:r>
      <w:hyperlink r:id="rId1048" w:tooltip="Act 2001 No 50 (Cwlth)" w:history="1">
        <w:r w:rsidRPr="00D74CAB">
          <w:rPr>
            <w:rStyle w:val="charCitHyperlinkAbbrev"/>
          </w:rPr>
          <w:t>Corporations Act</w:t>
        </w:r>
      </w:hyperlink>
      <w:r>
        <w:t>, section 411 (1), (1A) or (4) or section 413 (1), the plaintiff must, as soon as practicable after the order is made—</w:t>
      </w:r>
    </w:p>
    <w:p w14:paraId="08E67BEA" w14:textId="77777777" w:rsidR="00D94935" w:rsidRDefault="00D94935" w:rsidP="00D94935">
      <w:pPr>
        <w:pStyle w:val="Apara"/>
      </w:pPr>
      <w:r>
        <w:tab/>
        <w:t>(a)</w:t>
      </w:r>
      <w:r>
        <w:tab/>
        <w:t>have the order sealed; and</w:t>
      </w:r>
    </w:p>
    <w:p w14:paraId="0D2C73C9" w14:textId="77777777" w:rsidR="00D94935" w:rsidRDefault="00D94935" w:rsidP="00D94935">
      <w:pPr>
        <w:pStyle w:val="Apara"/>
      </w:pPr>
      <w:r>
        <w:tab/>
        <w:t>(b)</w:t>
      </w:r>
      <w:r>
        <w:tab/>
        <w:t>lodge an office copy of the order with ASIC; and</w:t>
      </w:r>
    </w:p>
    <w:p w14:paraId="7D62AD33" w14:textId="77777777" w:rsidR="00D94935" w:rsidRDefault="00D94935" w:rsidP="00D94935">
      <w:pPr>
        <w:pStyle w:val="Apara"/>
      </w:pPr>
      <w:r>
        <w:tab/>
        <w:t>(c)</w:t>
      </w:r>
      <w:r>
        <w:tab/>
        <w:t>serve an office copy of the order on anyone appointed to administer the compromise or arrangement.</w:t>
      </w:r>
    </w:p>
    <w:p w14:paraId="071A2EA9" w14:textId="77777777" w:rsidR="00432CA6" w:rsidRDefault="00432CA6">
      <w:pPr>
        <w:pStyle w:val="03Schedule"/>
        <w:sectPr w:rsidR="00432CA6" w:rsidSect="00CD3DF7">
          <w:headerReference w:type="even" r:id="rId1049"/>
          <w:headerReference w:type="default" r:id="rId1050"/>
          <w:footerReference w:type="even" r:id="rId1051"/>
          <w:footerReference w:type="default" r:id="rId1052"/>
          <w:type w:val="continuous"/>
          <w:pgSz w:w="11907" w:h="16839" w:code="9"/>
          <w:pgMar w:top="3880" w:right="1900" w:bottom="3100" w:left="2300" w:header="2280" w:footer="1760" w:gutter="0"/>
          <w:cols w:space="720"/>
        </w:sectPr>
      </w:pPr>
    </w:p>
    <w:p w14:paraId="5EA99DE8" w14:textId="77777777" w:rsidR="00D94935" w:rsidRDefault="00D94935" w:rsidP="00D94935">
      <w:pPr>
        <w:pStyle w:val="PageBreak"/>
      </w:pPr>
      <w:r>
        <w:br w:type="page"/>
      </w:r>
    </w:p>
    <w:p w14:paraId="2C1BB848" w14:textId="77777777" w:rsidR="00D94935" w:rsidRPr="00C8328B" w:rsidRDefault="00D94935" w:rsidP="00D94935">
      <w:pPr>
        <w:pStyle w:val="Sched-Part"/>
      </w:pPr>
      <w:bookmarkStart w:id="1981" w:name="_Toc185515597"/>
      <w:r w:rsidRPr="00C8328B">
        <w:rPr>
          <w:rStyle w:val="CharPartNo"/>
        </w:rPr>
        <w:lastRenderedPageBreak/>
        <w:t>Part 6.4</w:t>
      </w:r>
      <w:r>
        <w:tab/>
      </w:r>
      <w:r w:rsidRPr="00C8328B">
        <w:rPr>
          <w:rStyle w:val="CharPartText"/>
        </w:rPr>
        <w:t>Receivers and other controllers of corporation property (Corporations Act, pt 5.2)</w:t>
      </w:r>
      <w:bookmarkEnd w:id="1981"/>
    </w:p>
    <w:p w14:paraId="3E796451" w14:textId="77777777" w:rsidR="00D94935" w:rsidRDefault="00D94935" w:rsidP="00D94935">
      <w:pPr>
        <w:pStyle w:val="Schclauseheading"/>
      </w:pPr>
      <w:bookmarkStart w:id="1982" w:name="_Toc185515598"/>
      <w:r w:rsidRPr="00C8328B">
        <w:rPr>
          <w:rStyle w:val="CharSectNo"/>
        </w:rPr>
        <w:t>4.1</w:t>
      </w:r>
      <w:r>
        <w:tab/>
        <w:t>Inquiry into conduct of controller (Corporations Act, s 423)</w:t>
      </w:r>
      <w:bookmarkEnd w:id="1982"/>
    </w:p>
    <w:p w14:paraId="520A602D" w14:textId="4117388A" w:rsidR="00D94935" w:rsidRDefault="00D94935" w:rsidP="00D94935">
      <w:pPr>
        <w:pStyle w:val="Amainreturn"/>
      </w:pPr>
      <w:r>
        <w:t xml:space="preserve">A complaint to the court under the </w:t>
      </w:r>
      <w:hyperlink r:id="rId1053"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14:paraId="6CC0CFB4" w14:textId="77777777" w:rsidR="00432CA6" w:rsidRDefault="00432CA6">
      <w:pPr>
        <w:pStyle w:val="03Schedule"/>
        <w:sectPr w:rsidR="00432CA6" w:rsidSect="00CD3DF7">
          <w:headerReference w:type="even" r:id="rId1054"/>
          <w:headerReference w:type="default" r:id="rId1055"/>
          <w:footerReference w:type="even" r:id="rId1056"/>
          <w:footerReference w:type="default" r:id="rId1057"/>
          <w:type w:val="continuous"/>
          <w:pgSz w:w="11907" w:h="16839" w:code="9"/>
          <w:pgMar w:top="3880" w:right="1900" w:bottom="3100" w:left="2300" w:header="2280" w:footer="1760" w:gutter="0"/>
          <w:cols w:space="720"/>
        </w:sectPr>
      </w:pPr>
    </w:p>
    <w:p w14:paraId="0C65DF83" w14:textId="77777777" w:rsidR="00D94935" w:rsidRDefault="00D94935" w:rsidP="00D94935">
      <w:pPr>
        <w:pStyle w:val="PageBreak"/>
      </w:pPr>
      <w:r>
        <w:br w:type="page"/>
      </w:r>
    </w:p>
    <w:p w14:paraId="3B3C4A48" w14:textId="77777777" w:rsidR="00D94935" w:rsidRPr="00C8328B" w:rsidRDefault="00D94935" w:rsidP="00D94935">
      <w:pPr>
        <w:pStyle w:val="Sched-Part"/>
      </w:pPr>
      <w:bookmarkStart w:id="1983" w:name="_Toc185515599"/>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83"/>
    </w:p>
    <w:p w14:paraId="12FA6DA6" w14:textId="77777777" w:rsidR="00D94935" w:rsidRDefault="00D94935" w:rsidP="00D94935">
      <w:pPr>
        <w:pStyle w:val="Schclauseheading"/>
      </w:pPr>
      <w:bookmarkStart w:id="1984" w:name="_Toc185515600"/>
      <w:r w:rsidRPr="00C8328B">
        <w:rPr>
          <w:rStyle w:val="CharSectNo"/>
        </w:rPr>
        <w:t>5.1</w:t>
      </w:r>
      <w:r>
        <w:tab/>
        <w:t>Application—pt 6.5</w:t>
      </w:r>
      <w:bookmarkEnd w:id="1984"/>
    </w:p>
    <w:p w14:paraId="2C4D2357" w14:textId="77777777" w:rsidR="00D94935" w:rsidRDefault="00D94935" w:rsidP="00D94935">
      <w:pPr>
        <w:pStyle w:val="Amainreturn"/>
        <w:keepNext/>
      </w:pPr>
      <w:r>
        <w:t>This part applies to the following applications for the winding-up of a company:</w:t>
      </w:r>
    </w:p>
    <w:p w14:paraId="265196A0" w14:textId="78E5FAA6" w:rsidR="00D94935" w:rsidRDefault="00D94935" w:rsidP="00D94935">
      <w:pPr>
        <w:pStyle w:val="Apara"/>
      </w:pPr>
      <w:r>
        <w:rPr>
          <w:color w:val="000000"/>
        </w:rPr>
        <w:tab/>
        <w:t>(a)</w:t>
      </w:r>
      <w:r>
        <w:rPr>
          <w:color w:val="000000"/>
        </w:rPr>
        <w:tab/>
      </w:r>
      <w:r>
        <w:t xml:space="preserve">an application for an order under the </w:t>
      </w:r>
      <w:hyperlink r:id="rId1058" w:tooltip="Act 2001 No 50 (Cwlth)" w:history="1">
        <w:r w:rsidRPr="00D74CAB">
          <w:rPr>
            <w:rStyle w:val="charCitHyperlinkAbbrev"/>
          </w:rPr>
          <w:t>Corporations Act</w:t>
        </w:r>
      </w:hyperlink>
      <w:r>
        <w:t>, part 2F.1;</w:t>
      </w:r>
    </w:p>
    <w:p w14:paraId="230C3FAF" w14:textId="54EC8409" w:rsidR="00D94935" w:rsidRDefault="00D94935" w:rsidP="00D94935">
      <w:pPr>
        <w:pStyle w:val="Apara"/>
      </w:pPr>
      <w:r>
        <w:tab/>
        <w:t>(b)</w:t>
      </w:r>
      <w:r>
        <w:tab/>
        <w:t xml:space="preserve">an application under the </w:t>
      </w:r>
      <w:hyperlink r:id="rId1059" w:tooltip="Act 2001 No 50 (Cwlth)" w:history="1">
        <w:r w:rsidRPr="00D74CAB">
          <w:rPr>
            <w:rStyle w:val="charCitHyperlinkAbbrev"/>
          </w:rPr>
          <w:t>Corporations Act</w:t>
        </w:r>
      </w:hyperlink>
      <w:r>
        <w:t>, part 5.4 or part 5.4A.</w:t>
      </w:r>
    </w:p>
    <w:p w14:paraId="27F3E1F6" w14:textId="77777777" w:rsidR="00D94935" w:rsidRDefault="00D94935" w:rsidP="00D94935">
      <w:pPr>
        <w:pStyle w:val="Schclauseheading"/>
      </w:pPr>
      <w:bookmarkStart w:id="1985" w:name="_Toc185515601"/>
      <w:r w:rsidRPr="00C8328B">
        <w:rPr>
          <w:rStyle w:val="CharSectNo"/>
        </w:rPr>
        <w:t>5.2</w:t>
      </w:r>
      <w:r>
        <w:tab/>
        <w:t>Affidavit accompanying statutory demand (Corporations Act, s 459E (3))</w:t>
      </w:r>
      <w:bookmarkEnd w:id="1985"/>
    </w:p>
    <w:p w14:paraId="5230557C" w14:textId="552C29BA" w:rsidR="00D94935" w:rsidRDefault="00D94935" w:rsidP="00D94935">
      <w:pPr>
        <w:pStyle w:val="Amainreturn"/>
      </w:pPr>
      <w:r>
        <w:t xml:space="preserve">For the </w:t>
      </w:r>
      <w:hyperlink r:id="rId1060" w:tooltip="Act 2001 No 50 (Cwlth)" w:history="1">
        <w:r w:rsidRPr="00D74CAB">
          <w:rPr>
            <w:rStyle w:val="charCitHyperlinkAbbrev"/>
          </w:rPr>
          <w:t>Corporations Act</w:t>
        </w:r>
      </w:hyperlink>
      <w:r>
        <w:t>, section 459E (3), the affidavit accompanying a statutory demand relating to a debt, or debts, owed by a company must—</w:t>
      </w:r>
    </w:p>
    <w:p w14:paraId="234C5BF4" w14:textId="77777777" w:rsidR="00D94935" w:rsidRDefault="00D94935" w:rsidP="00D94935">
      <w:pPr>
        <w:pStyle w:val="Apara"/>
      </w:pPr>
      <w:r>
        <w:tab/>
        <w:t>(a)</w:t>
      </w:r>
      <w:r>
        <w:tab/>
        <w:t>be made by the creditor or by a person with the authority of the creditor or creditors; and</w:t>
      </w:r>
    </w:p>
    <w:p w14:paraId="43705451" w14:textId="77777777" w:rsidR="00D94935" w:rsidRDefault="00D94935" w:rsidP="00D94935">
      <w:pPr>
        <w:pStyle w:val="Apara"/>
      </w:pPr>
      <w:r>
        <w:tab/>
        <w:t>(b)</w:t>
      </w:r>
      <w:r>
        <w:tab/>
        <w:t>not state a proceeding number, or refer to a court proceeding, in any heading or title to the affidavit.</w:t>
      </w:r>
    </w:p>
    <w:p w14:paraId="475F7580" w14:textId="1637C958" w:rsidR="00D94935" w:rsidRDefault="00D94935" w:rsidP="00D94935">
      <w:pPr>
        <w:pStyle w:val="aNote"/>
      </w:pPr>
      <w:r w:rsidRPr="006364FA">
        <w:rPr>
          <w:rStyle w:val="charItals"/>
        </w:rPr>
        <w:t>Note</w:t>
      </w:r>
      <w:r>
        <w:tab/>
        <w:t xml:space="preserve">See approved form 7 (Affidavit accompanying statutory demand) </w:t>
      </w:r>
      <w:hyperlink r:id="rId1061" w:history="1">
        <w:r w:rsidRPr="002B0307">
          <w:rPr>
            <w:rStyle w:val="charCitHyperlinkAbbrev"/>
          </w:rPr>
          <w:t>AF2006-432</w:t>
        </w:r>
      </w:hyperlink>
      <w:r>
        <w:t>.</w:t>
      </w:r>
    </w:p>
    <w:p w14:paraId="342B93AE" w14:textId="77777777" w:rsidR="00D94935" w:rsidRDefault="00D94935" w:rsidP="00D94935">
      <w:pPr>
        <w:pStyle w:val="Schclauseheading"/>
      </w:pPr>
      <w:bookmarkStart w:id="1986" w:name="_Toc185515602"/>
      <w:r w:rsidRPr="00C8328B">
        <w:rPr>
          <w:rStyle w:val="CharSectNo"/>
        </w:rPr>
        <w:t>5.3</w:t>
      </w:r>
      <w:r>
        <w:tab/>
        <w:t>Application for leave to apply for winding-up in insolvency (Corporations Act, s 459P (2))</w:t>
      </w:r>
      <w:bookmarkEnd w:id="1986"/>
    </w:p>
    <w:p w14:paraId="06CD4E6F" w14:textId="77777777"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14:paraId="0D46B219" w14:textId="77777777" w:rsidR="00D94935" w:rsidRDefault="00D94935" w:rsidP="00D94935">
      <w:pPr>
        <w:pStyle w:val="Schclauseheading"/>
      </w:pPr>
      <w:bookmarkStart w:id="1987" w:name="_Toc185515603"/>
      <w:r w:rsidRPr="00C8328B">
        <w:rPr>
          <w:rStyle w:val="CharSectNo"/>
        </w:rPr>
        <w:lastRenderedPageBreak/>
        <w:t>5.4</w:t>
      </w:r>
      <w:r>
        <w:tab/>
        <w:t>Affidavit in support of application for winding-up (Corporations Act, s 459P, s 462, s 464)</w:t>
      </w:r>
      <w:bookmarkEnd w:id="1987"/>
    </w:p>
    <w:p w14:paraId="6C2B1E47" w14:textId="77777777"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14:paraId="4D3588A5" w14:textId="77777777" w:rsidR="00D94935" w:rsidRDefault="00D94935" w:rsidP="00D94935">
      <w:pPr>
        <w:pStyle w:val="Amain"/>
      </w:pPr>
      <w:r>
        <w:tab/>
        <w:t>(2)</w:t>
      </w:r>
      <w:r>
        <w:tab/>
        <w:t>If the application is made in reliance on a failure by the company to comply with a statutory demand, the affidavit must—</w:t>
      </w:r>
    </w:p>
    <w:p w14:paraId="19C80FB7" w14:textId="77777777" w:rsidR="00D94935" w:rsidRDefault="00D94935" w:rsidP="00D94935">
      <w:pPr>
        <w:pStyle w:val="Apara"/>
      </w:pPr>
      <w:r>
        <w:tab/>
        <w:t>(a)</w:t>
      </w:r>
      <w:r>
        <w:tab/>
        <w:t>verify service of the demand on the company; and</w:t>
      </w:r>
    </w:p>
    <w:p w14:paraId="2B0F96EE" w14:textId="77777777" w:rsidR="00D94935" w:rsidRDefault="00D94935" w:rsidP="00D94935">
      <w:pPr>
        <w:pStyle w:val="Apara"/>
      </w:pPr>
      <w:r>
        <w:tab/>
        <w:t>(b)</w:t>
      </w:r>
      <w:r>
        <w:tab/>
        <w:t>verify the failure of the company to comply with the demand; and</w:t>
      </w:r>
    </w:p>
    <w:p w14:paraId="101DEBD3" w14:textId="77777777"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14:paraId="66ECBC71" w14:textId="650FBC13" w:rsidR="00D94935" w:rsidRDefault="00D94935" w:rsidP="00D94935">
      <w:pPr>
        <w:pStyle w:val="Amain"/>
      </w:pPr>
      <w:r>
        <w:tab/>
        <w:t>(3)</w:t>
      </w:r>
      <w:r>
        <w:tab/>
        <w:t xml:space="preserve">If the application is made in reliance on the ground mentioned in the </w:t>
      </w:r>
      <w:hyperlink r:id="rId1062" w:tooltip="Act 2001 No 50 (Cwlth)" w:history="1">
        <w:r w:rsidRPr="00D74CAB">
          <w:rPr>
            <w:rStyle w:val="charCitHyperlinkAbbrev"/>
          </w:rPr>
          <w:t>Corporations Act</w:t>
        </w:r>
      </w:hyperlink>
      <w:r>
        <w:t>, section 461 (1) (a), the affidavit must—</w:t>
      </w:r>
    </w:p>
    <w:p w14:paraId="23061D22" w14:textId="77777777" w:rsidR="00D94935" w:rsidRDefault="00D94935" w:rsidP="00D94935">
      <w:pPr>
        <w:pStyle w:val="Apara"/>
      </w:pPr>
      <w:r>
        <w:tab/>
        <w:t>(a)</w:t>
      </w:r>
      <w:r>
        <w:tab/>
        <w:t>state whether the company is able to pay all its debts as and when they become due and payable; and</w:t>
      </w:r>
    </w:p>
    <w:p w14:paraId="3C987246" w14:textId="77777777" w:rsidR="00D94935" w:rsidRDefault="00D94935" w:rsidP="00D94935">
      <w:pPr>
        <w:pStyle w:val="Apara"/>
      </w:pPr>
      <w:r>
        <w:tab/>
        <w:t>(b)</w:t>
      </w:r>
      <w:r>
        <w:tab/>
        <w:t>refer to the company’s most recent balance sheet and profit and loss statement as an annexure or exhibit to the affidavit, or explain their absence.</w:t>
      </w:r>
    </w:p>
    <w:p w14:paraId="3F64C7DD" w14:textId="77777777" w:rsidR="00D94935" w:rsidRDefault="00D94935" w:rsidP="00D94935">
      <w:pPr>
        <w:pStyle w:val="Amain"/>
      </w:pPr>
      <w:r>
        <w:tab/>
        <w:t>(4)</w:t>
      </w:r>
      <w:r>
        <w:tab/>
        <w:t>The affidavit must be made within 7 days before the originating process is filed.</w:t>
      </w:r>
    </w:p>
    <w:p w14:paraId="18543A5C" w14:textId="77777777" w:rsidR="00D94935" w:rsidRDefault="00D94935" w:rsidP="00D94935">
      <w:pPr>
        <w:pStyle w:val="Schclauseheading"/>
      </w:pPr>
      <w:bookmarkStart w:id="1988" w:name="_Toc185515604"/>
      <w:r w:rsidRPr="00C8328B">
        <w:rPr>
          <w:rStyle w:val="CharSectNo"/>
        </w:rPr>
        <w:t>5.5</w:t>
      </w:r>
      <w:r>
        <w:tab/>
        <w:t>Consent of liquidator (Corporations Act, s 532 (9))</w:t>
      </w:r>
      <w:bookmarkEnd w:id="1988"/>
    </w:p>
    <w:p w14:paraId="724FA36D" w14:textId="0094C382" w:rsidR="00D94935" w:rsidRDefault="00D94935" w:rsidP="00965A9F">
      <w:pPr>
        <w:pStyle w:val="Amain"/>
        <w:keepNext/>
      </w:pPr>
      <w:r>
        <w:tab/>
        <w:t>(1)</w:t>
      </w:r>
      <w:r>
        <w:tab/>
        <w:t xml:space="preserve">For the </w:t>
      </w:r>
      <w:hyperlink r:id="rId1063" w:tooltip="Act 2001 No 50 (Cwlth)" w:history="1">
        <w:r w:rsidRPr="00D74CAB">
          <w:rPr>
            <w:rStyle w:val="charCitHyperlinkAbbrev"/>
          </w:rPr>
          <w:t>Corporations Act</w:t>
        </w:r>
      </w:hyperlink>
      <w:r>
        <w:t>, section 532 (9), an official liquidator must consent to act as liquidator of a company.</w:t>
      </w:r>
    </w:p>
    <w:p w14:paraId="743D7BCA" w14:textId="029E9A00" w:rsidR="00D94935" w:rsidRDefault="00D94935" w:rsidP="00D94935">
      <w:pPr>
        <w:pStyle w:val="aNote"/>
      </w:pPr>
      <w:r w:rsidRPr="006364FA">
        <w:rPr>
          <w:rStyle w:val="charItals"/>
        </w:rPr>
        <w:t>Note</w:t>
      </w:r>
      <w:r>
        <w:tab/>
        <w:t xml:space="preserve">See approved form 8 (Consent of liquidator/provisional liquidator) </w:t>
      </w:r>
      <w:hyperlink r:id="rId1064" w:history="1">
        <w:r w:rsidRPr="002B0307">
          <w:rPr>
            <w:rStyle w:val="charCitHyperlinkAbbrev"/>
          </w:rPr>
          <w:t>AF2008-67</w:t>
        </w:r>
      </w:hyperlink>
      <w:r>
        <w:t>.</w:t>
      </w:r>
    </w:p>
    <w:p w14:paraId="75C2E380" w14:textId="77777777" w:rsidR="00D94935" w:rsidRDefault="00D94935" w:rsidP="00965A9F">
      <w:pPr>
        <w:pStyle w:val="Amain"/>
        <w:keepNext/>
      </w:pPr>
      <w:r>
        <w:lastRenderedPageBreak/>
        <w:tab/>
        <w:t>(2)</w:t>
      </w:r>
      <w:r>
        <w:tab/>
        <w:t>In an application for an order that a company be wound up, the plaintiff must—</w:t>
      </w:r>
    </w:p>
    <w:p w14:paraId="509E8DB9" w14:textId="77777777"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14:paraId="6DAFE585" w14:textId="77777777" w:rsidR="00D94935" w:rsidRDefault="00D94935" w:rsidP="00D94935">
      <w:pPr>
        <w:pStyle w:val="Apara"/>
      </w:pPr>
      <w:r>
        <w:tab/>
        <w:t>(b)</w:t>
      </w:r>
      <w:r>
        <w:tab/>
        <w:t>serve a copy of the consent on the company at least 1 day before the hearing.</w:t>
      </w:r>
    </w:p>
    <w:p w14:paraId="10050E10" w14:textId="77777777" w:rsidR="00D94935" w:rsidRDefault="00D94935" w:rsidP="00D94935">
      <w:pPr>
        <w:pStyle w:val="Amain"/>
      </w:pPr>
      <w:r>
        <w:tab/>
        <w:t>(3)</w:t>
      </w:r>
      <w:r>
        <w:tab/>
        <w:t>In this rule:</w:t>
      </w:r>
    </w:p>
    <w:p w14:paraId="2CF94146" w14:textId="77777777" w:rsidR="00D94935" w:rsidRDefault="00D94935" w:rsidP="00D94935">
      <w:pPr>
        <w:pStyle w:val="aDef"/>
      </w:pPr>
      <w:r>
        <w:rPr>
          <w:rStyle w:val="charBoldItals"/>
        </w:rPr>
        <w:t>liquidator</w:t>
      </w:r>
      <w:r>
        <w:t xml:space="preserve"> does not include a provisional liquidator.</w:t>
      </w:r>
    </w:p>
    <w:p w14:paraId="7149DC84" w14:textId="77777777" w:rsidR="00D94935" w:rsidRDefault="00D94935" w:rsidP="00D94935">
      <w:pPr>
        <w:pStyle w:val="Schclauseheading"/>
      </w:pPr>
      <w:bookmarkStart w:id="1989" w:name="_Toc185515605"/>
      <w:r w:rsidRPr="00C8328B">
        <w:rPr>
          <w:rStyle w:val="CharSectNo"/>
        </w:rPr>
        <w:t>5.6</w:t>
      </w:r>
      <w:r>
        <w:tab/>
        <w:t>Notice of application for winding-up</w:t>
      </w:r>
      <w:bookmarkEnd w:id="1989"/>
    </w:p>
    <w:p w14:paraId="399D95BC" w14:textId="77777777" w:rsidR="00D94935" w:rsidRDefault="00D94935" w:rsidP="00D94935">
      <w:pPr>
        <w:pStyle w:val="Amain"/>
      </w:pPr>
      <w:r>
        <w:tab/>
        <w:t>(1)</w:t>
      </w:r>
      <w:r>
        <w:tab/>
        <w:t>Unless the court otherwise orders, the plaintiff must publish a notice of the application for an order that a company be wound up.</w:t>
      </w:r>
    </w:p>
    <w:p w14:paraId="6D8628C8" w14:textId="5B0BC793" w:rsidR="00D94935" w:rsidRDefault="00D94935" w:rsidP="00D94935">
      <w:pPr>
        <w:pStyle w:val="aNote"/>
      </w:pPr>
      <w:r w:rsidRPr="006364FA">
        <w:rPr>
          <w:rStyle w:val="charItals"/>
        </w:rPr>
        <w:t>Note</w:t>
      </w:r>
      <w:r>
        <w:tab/>
        <w:t xml:space="preserve">See approved form 9 (Notice of application for winding-up order) </w:t>
      </w:r>
      <w:hyperlink r:id="rId1065" w:history="1">
        <w:r w:rsidRPr="002B0307">
          <w:rPr>
            <w:rStyle w:val="charCitHyperlinkAbbrev"/>
          </w:rPr>
          <w:t>AF2012-199</w:t>
        </w:r>
      </w:hyperlink>
      <w:r>
        <w:t>.</w:t>
      </w:r>
    </w:p>
    <w:p w14:paraId="4ED7788A" w14:textId="77777777" w:rsidR="00D94935" w:rsidRDefault="00D94935" w:rsidP="00D94935">
      <w:pPr>
        <w:pStyle w:val="Amain"/>
      </w:pPr>
      <w:r>
        <w:tab/>
        <w:t>(2)</w:t>
      </w:r>
      <w:r>
        <w:tab/>
        <w:t>The notice must be published—</w:t>
      </w:r>
    </w:p>
    <w:p w14:paraId="3B3837F3" w14:textId="77777777" w:rsidR="00D94935" w:rsidRDefault="00D94935" w:rsidP="00D94935">
      <w:pPr>
        <w:pStyle w:val="Apara"/>
      </w:pPr>
      <w:r>
        <w:tab/>
        <w:t>(a)</w:t>
      </w:r>
      <w:r>
        <w:tab/>
        <w:t>at least 3 days after the originating process is served on the company; and</w:t>
      </w:r>
    </w:p>
    <w:p w14:paraId="76C73BBE" w14:textId="77777777" w:rsidR="00D94935" w:rsidRDefault="00D94935" w:rsidP="00D94935">
      <w:pPr>
        <w:pStyle w:val="Apara"/>
      </w:pPr>
      <w:r>
        <w:tab/>
        <w:t>(b)</w:t>
      </w:r>
      <w:r>
        <w:tab/>
        <w:t>at least 7 days before the date set for hearing of the application.</w:t>
      </w:r>
    </w:p>
    <w:p w14:paraId="544BD964" w14:textId="4D350278" w:rsidR="00201C49" w:rsidRPr="00A60754" w:rsidRDefault="00201C49" w:rsidP="00201C49">
      <w:pPr>
        <w:pStyle w:val="Amain"/>
      </w:pPr>
      <w:r w:rsidRPr="00A60754">
        <w:tab/>
        <w:t>(3)</w:t>
      </w:r>
      <w:r w:rsidRPr="00A60754">
        <w:tab/>
        <w:t xml:space="preserve">If the notice is of an application for an order under the </w:t>
      </w:r>
      <w:hyperlink r:id="rId1066"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14:paraId="7CDFA46C" w14:textId="52BEFB17"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67" w:tooltip="Act 2001 No 50 (Cwlth)" w:history="1">
        <w:r w:rsidRPr="00A60754">
          <w:rPr>
            <w:rStyle w:val="charCitHyperlinkAbbrev"/>
          </w:rPr>
          <w:t>Corporations Act</w:t>
        </w:r>
      </w:hyperlink>
      <w:r w:rsidRPr="00A60754">
        <w:t xml:space="preserve">, pt 5.4 or pt 5.4A must be published in the prescribed manner—see the </w:t>
      </w:r>
      <w:hyperlink r:id="rId1068" w:tooltip="Act 2001 No 50 (Cwlth)" w:history="1">
        <w:r w:rsidRPr="00A60754">
          <w:rPr>
            <w:rStyle w:val="charCitHyperlinkAbbrev"/>
          </w:rPr>
          <w:t>Corporations Act</w:t>
        </w:r>
      </w:hyperlink>
      <w:r w:rsidRPr="00A60754">
        <w:t>, s 465A and s 1367A.</w:t>
      </w:r>
    </w:p>
    <w:p w14:paraId="2AB3ADEF" w14:textId="77777777" w:rsidR="00D94935" w:rsidRDefault="00D94935" w:rsidP="00D94935">
      <w:pPr>
        <w:pStyle w:val="Schclauseheading"/>
      </w:pPr>
      <w:bookmarkStart w:id="1990" w:name="_Toc185515606"/>
      <w:r w:rsidRPr="00C8328B">
        <w:rPr>
          <w:rStyle w:val="CharSectNo"/>
        </w:rPr>
        <w:lastRenderedPageBreak/>
        <w:t>5.7</w:t>
      </w:r>
      <w:r>
        <w:tab/>
        <w:t>Applicant to make copies of documents available</w:t>
      </w:r>
      <w:bookmarkEnd w:id="1990"/>
    </w:p>
    <w:p w14:paraId="4A24767A" w14:textId="77777777"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14:paraId="73E1F930" w14:textId="77777777" w:rsidR="00D94935" w:rsidRDefault="00D94935" w:rsidP="00D94935">
      <w:pPr>
        <w:pStyle w:val="Schclauseheading"/>
      </w:pPr>
      <w:bookmarkStart w:id="1991" w:name="_Toc185515607"/>
      <w:r w:rsidRPr="00C8328B">
        <w:rPr>
          <w:rStyle w:val="CharSectNo"/>
        </w:rPr>
        <w:t>5.8</w:t>
      </w:r>
      <w:r>
        <w:tab/>
        <w:t>Discontinuance of application for winding-up</w:t>
      </w:r>
      <w:bookmarkEnd w:id="1991"/>
    </w:p>
    <w:p w14:paraId="3F21A298" w14:textId="77777777" w:rsidR="00D94935" w:rsidRDefault="00D94935" w:rsidP="00D94935">
      <w:pPr>
        <w:pStyle w:val="Amainreturn"/>
      </w:pPr>
      <w:r>
        <w:t>An application for an order that a company be wound up may not be discontinued except with the leave of the court.</w:t>
      </w:r>
    </w:p>
    <w:p w14:paraId="08677A50" w14:textId="77777777" w:rsidR="00D94935" w:rsidRDefault="00D94935" w:rsidP="00D94935">
      <w:pPr>
        <w:pStyle w:val="Schclauseheading"/>
      </w:pPr>
      <w:bookmarkStart w:id="1992" w:name="_Toc185515608"/>
      <w:r w:rsidRPr="00C8328B">
        <w:rPr>
          <w:rStyle w:val="CharSectNo"/>
        </w:rPr>
        <w:t>5.9</w:t>
      </w:r>
      <w:r>
        <w:tab/>
        <w:t>Appearance before registrar</w:t>
      </w:r>
      <w:bookmarkEnd w:id="1992"/>
    </w:p>
    <w:p w14:paraId="04CC016B" w14:textId="77777777" w:rsidR="00D94935" w:rsidRDefault="00D94935" w:rsidP="00D94935">
      <w:pPr>
        <w:pStyle w:val="Amainreturn"/>
      </w:pPr>
      <w:r>
        <w:t>After filing an originating process seeking an order that a company be wound up, the plaintiff must, if required—</w:t>
      </w:r>
    </w:p>
    <w:p w14:paraId="215F1BBF" w14:textId="77777777" w:rsidR="00D94935" w:rsidRDefault="00D94935" w:rsidP="00D94935">
      <w:pPr>
        <w:pStyle w:val="Apara"/>
      </w:pPr>
      <w:r>
        <w:tab/>
        <w:t>(a)</w:t>
      </w:r>
      <w:r>
        <w:tab/>
        <w:t>appear before the registrar on a date to be appointed by the registrar; and</w:t>
      </w:r>
    </w:p>
    <w:p w14:paraId="58B838DD" w14:textId="18B4F164" w:rsidR="00D94935" w:rsidRDefault="00D94935" w:rsidP="00D94935">
      <w:pPr>
        <w:pStyle w:val="Apara"/>
      </w:pPr>
      <w:r>
        <w:tab/>
        <w:t>(b)</w:t>
      </w:r>
      <w:r>
        <w:tab/>
        <w:t xml:space="preserve">satisfy the registrar that the plaintiff has complied with the </w:t>
      </w:r>
      <w:hyperlink r:id="rId1069" w:tooltip="Act 2001 No 50 (Cwlth)" w:history="1">
        <w:r w:rsidRPr="00D74CAB">
          <w:rPr>
            <w:rStyle w:val="charCitHyperlinkAbbrev"/>
          </w:rPr>
          <w:t>Corporations Act</w:t>
        </w:r>
      </w:hyperlink>
      <w:r>
        <w:t xml:space="preserve"> and these rules in relation to applications for a winding-up order.</w:t>
      </w:r>
    </w:p>
    <w:p w14:paraId="2E6A6541" w14:textId="77777777" w:rsidR="00D94935" w:rsidRDefault="00D94935" w:rsidP="00D94935">
      <w:pPr>
        <w:pStyle w:val="Schclauseheading"/>
      </w:pPr>
      <w:bookmarkStart w:id="1993" w:name="_Toc185515609"/>
      <w:r w:rsidRPr="00C8328B">
        <w:rPr>
          <w:rStyle w:val="CharSectNo"/>
        </w:rPr>
        <w:t>5.10</w:t>
      </w:r>
      <w:r>
        <w:tab/>
        <w:t>Order substituting plaintiff in application for winding</w:t>
      </w:r>
      <w:r>
        <w:noBreakHyphen/>
        <w:t>up (Corporations Act, s 465B)</w:t>
      </w:r>
      <w:bookmarkEnd w:id="1993"/>
    </w:p>
    <w:p w14:paraId="42BB48D4" w14:textId="5A2448AA" w:rsidR="00D94935" w:rsidRDefault="00D94935" w:rsidP="00965A9F">
      <w:pPr>
        <w:pStyle w:val="Amain"/>
        <w:keepNext/>
      </w:pPr>
      <w:r>
        <w:tab/>
        <w:t>(1)</w:t>
      </w:r>
      <w:r>
        <w:tab/>
        <w:t xml:space="preserve">If the court makes an order under the </w:t>
      </w:r>
      <w:hyperlink r:id="rId1070"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14:paraId="25E5BB2B" w14:textId="7084E890"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71" w:history="1">
        <w:r w:rsidRPr="002B0307">
          <w:rPr>
            <w:rStyle w:val="charCitHyperlinkAbbrev"/>
          </w:rPr>
          <w:t>AF2007-138</w:t>
        </w:r>
      </w:hyperlink>
      <w:r>
        <w:t>.</w:t>
      </w:r>
    </w:p>
    <w:p w14:paraId="794A2567" w14:textId="77777777" w:rsidR="00201C49" w:rsidRPr="00A60754" w:rsidRDefault="00201C49" w:rsidP="00201C49">
      <w:pPr>
        <w:pStyle w:val="Amain"/>
      </w:pPr>
      <w:r w:rsidRPr="00A60754">
        <w:tab/>
        <w:t>(2)</w:t>
      </w:r>
      <w:r w:rsidRPr="00A60754">
        <w:tab/>
        <w:t>Unless the court otherwise directs, the notice must be published—</w:t>
      </w:r>
    </w:p>
    <w:p w14:paraId="2C89D6E2" w14:textId="77777777" w:rsidR="00201C49" w:rsidRPr="00A60754" w:rsidRDefault="00201C49" w:rsidP="00201C49">
      <w:pPr>
        <w:pStyle w:val="Apara"/>
      </w:pPr>
      <w:r w:rsidRPr="00A60754">
        <w:tab/>
        <w:t>(a)</w:t>
      </w:r>
      <w:r w:rsidRPr="00A60754">
        <w:tab/>
        <w:t>at least 7 days before the date fixed for the hearing of the application; and</w:t>
      </w:r>
    </w:p>
    <w:p w14:paraId="3F055652" w14:textId="77777777"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14:paraId="4ACD66CC" w14:textId="77777777" w:rsidR="00D94935" w:rsidRDefault="00D94935" w:rsidP="00D94935">
      <w:pPr>
        <w:pStyle w:val="Schclauseheading"/>
      </w:pPr>
      <w:bookmarkStart w:id="1994" w:name="_Toc185515610"/>
      <w:r w:rsidRPr="00C8328B">
        <w:rPr>
          <w:rStyle w:val="CharSectNo"/>
        </w:rPr>
        <w:t>5.11</w:t>
      </w:r>
      <w:r>
        <w:tab/>
        <w:t>Notice of winding-up order and appointment of liquidator</w:t>
      </w:r>
      <w:bookmarkEnd w:id="1994"/>
    </w:p>
    <w:p w14:paraId="44ED863D" w14:textId="77777777" w:rsidR="00D94935" w:rsidRDefault="00D94935" w:rsidP="00D94935">
      <w:pPr>
        <w:pStyle w:val="Amain"/>
      </w:pPr>
      <w:r>
        <w:tab/>
        <w:t>(1)</w:t>
      </w:r>
      <w:r>
        <w:tab/>
        <w:t>This rule applies if the court orders that a company be wound up and an official liquidator be appointed as liquidator of the company.</w:t>
      </w:r>
    </w:p>
    <w:p w14:paraId="67439BBD" w14:textId="77777777" w:rsidR="00D94935" w:rsidRDefault="00D94935" w:rsidP="00D94935">
      <w:pPr>
        <w:pStyle w:val="Amain"/>
      </w:pPr>
      <w:r>
        <w:tab/>
        <w:t>(2)</w:t>
      </w:r>
      <w:r>
        <w:tab/>
        <w:t>Not later than the day after the order is made, the plaintiff must inform the liquidator of the appointment.</w:t>
      </w:r>
    </w:p>
    <w:p w14:paraId="27BA89BD" w14:textId="77777777"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14:paraId="3A42D69A" w14:textId="240BF696" w:rsidR="00D94935" w:rsidRDefault="00D94935" w:rsidP="00D94935">
      <w:pPr>
        <w:pStyle w:val="aNote"/>
      </w:pPr>
      <w:r w:rsidRPr="006364FA">
        <w:rPr>
          <w:rStyle w:val="charItals"/>
        </w:rPr>
        <w:t>Note</w:t>
      </w:r>
      <w:r>
        <w:tab/>
        <w:t xml:space="preserve">See approved form 11 (Notice of winding-up order and of appointment of liquidator) </w:t>
      </w:r>
      <w:hyperlink r:id="rId1072" w:history="1">
        <w:r w:rsidRPr="002B0307">
          <w:rPr>
            <w:rStyle w:val="charCitHyperlinkAbbrev"/>
          </w:rPr>
          <w:t>AF2007-139</w:t>
        </w:r>
      </w:hyperlink>
      <w:r>
        <w:t>.</w:t>
      </w:r>
    </w:p>
    <w:p w14:paraId="312F9B9A" w14:textId="77777777" w:rsidR="00D94935" w:rsidRDefault="00D94935" w:rsidP="00D94935">
      <w:pPr>
        <w:pStyle w:val="Amain"/>
      </w:pPr>
      <w:r>
        <w:tab/>
        <w:t>(4)</w:t>
      </w:r>
      <w:r>
        <w:tab/>
        <w:t>In this rule:</w:t>
      </w:r>
    </w:p>
    <w:p w14:paraId="0A712BA1" w14:textId="77777777" w:rsidR="00D94935" w:rsidRDefault="00D94935" w:rsidP="00D94935">
      <w:pPr>
        <w:pStyle w:val="aDef"/>
      </w:pPr>
      <w:r>
        <w:rPr>
          <w:rStyle w:val="charBoldItals"/>
        </w:rPr>
        <w:t>liquidator</w:t>
      </w:r>
      <w:r>
        <w:t xml:space="preserve"> does not include a provisional liquidator.</w:t>
      </w:r>
    </w:p>
    <w:p w14:paraId="6357C721" w14:textId="77777777" w:rsidR="004426B3" w:rsidRDefault="004426B3">
      <w:pPr>
        <w:pStyle w:val="03Schedule"/>
        <w:sectPr w:rsidR="004426B3" w:rsidSect="00CD3DF7">
          <w:headerReference w:type="even" r:id="rId1073"/>
          <w:headerReference w:type="default" r:id="rId1074"/>
          <w:footerReference w:type="even" r:id="rId1075"/>
          <w:footerReference w:type="default" r:id="rId1076"/>
          <w:type w:val="continuous"/>
          <w:pgSz w:w="11907" w:h="16839" w:code="9"/>
          <w:pgMar w:top="3880" w:right="1900" w:bottom="3100" w:left="2300" w:header="2280" w:footer="1760" w:gutter="0"/>
          <w:cols w:space="720"/>
        </w:sectPr>
      </w:pPr>
    </w:p>
    <w:p w14:paraId="4497F2BA" w14:textId="77777777" w:rsidR="00D94935" w:rsidRDefault="00D94935" w:rsidP="00D94935">
      <w:pPr>
        <w:pStyle w:val="PageBreak"/>
      </w:pPr>
      <w:r>
        <w:br w:type="page"/>
      </w:r>
    </w:p>
    <w:p w14:paraId="1447B518" w14:textId="77777777" w:rsidR="00D94935" w:rsidRPr="00C8328B" w:rsidRDefault="00D94935" w:rsidP="00D94935">
      <w:pPr>
        <w:pStyle w:val="Sched-Part"/>
      </w:pPr>
      <w:bookmarkStart w:id="1995" w:name="_Toc185515611"/>
      <w:r w:rsidRPr="00C8328B">
        <w:rPr>
          <w:rStyle w:val="CharPartNo"/>
        </w:rPr>
        <w:lastRenderedPageBreak/>
        <w:t>Part 6.6</w:t>
      </w:r>
      <w:r>
        <w:tab/>
      </w:r>
      <w:r w:rsidRPr="00C8328B">
        <w:rPr>
          <w:rStyle w:val="CharPartText"/>
        </w:rPr>
        <w:t>Provisional liquidators (Corporations Act, pt 5.4B)</w:t>
      </w:r>
      <w:bookmarkEnd w:id="1995"/>
    </w:p>
    <w:p w14:paraId="1DFB264C" w14:textId="77777777" w:rsidR="00D94935" w:rsidRDefault="00D94935" w:rsidP="00D94935">
      <w:pPr>
        <w:pStyle w:val="Schclauseheading"/>
      </w:pPr>
      <w:bookmarkStart w:id="1996" w:name="_Toc185515612"/>
      <w:r w:rsidRPr="00C8328B">
        <w:rPr>
          <w:rStyle w:val="CharSectNo"/>
        </w:rPr>
        <w:t>6.1</w:t>
      </w:r>
      <w:r>
        <w:tab/>
        <w:t>Appointment of provisional liquidator (Corporations Act, s 472)</w:t>
      </w:r>
      <w:bookmarkEnd w:id="1996"/>
    </w:p>
    <w:p w14:paraId="46F8FD83" w14:textId="601EA76C" w:rsidR="00D94935" w:rsidRDefault="00D94935" w:rsidP="00D94935">
      <w:pPr>
        <w:pStyle w:val="Amain"/>
      </w:pPr>
      <w:r>
        <w:tab/>
        <w:t>(1)</w:t>
      </w:r>
      <w:r>
        <w:tab/>
        <w:t xml:space="preserve">An application for an official liquidator to be appointed, under the </w:t>
      </w:r>
      <w:hyperlink r:id="rId1077"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14:paraId="59226481" w14:textId="7847F7CF" w:rsidR="00D94935" w:rsidRDefault="00D94935" w:rsidP="00D94935">
      <w:pPr>
        <w:pStyle w:val="aNote"/>
      </w:pPr>
      <w:r w:rsidRPr="006364FA">
        <w:rPr>
          <w:rStyle w:val="charItals"/>
        </w:rPr>
        <w:t>Note</w:t>
      </w:r>
      <w:r>
        <w:tab/>
        <w:t xml:space="preserve">See approved form 8 (Consent of liquidator/provisional liquidator) </w:t>
      </w:r>
      <w:hyperlink r:id="rId1078" w:history="1">
        <w:r w:rsidRPr="002B0307">
          <w:rPr>
            <w:rStyle w:val="charCitHyperlinkAbbrev"/>
          </w:rPr>
          <w:t>AF2008-67</w:t>
        </w:r>
      </w:hyperlink>
      <w:r>
        <w:t>.</w:t>
      </w:r>
    </w:p>
    <w:p w14:paraId="17768182" w14:textId="77777777" w:rsidR="00D94935" w:rsidRDefault="00D94935" w:rsidP="00D94935">
      <w:pPr>
        <w:pStyle w:val="Amain"/>
      </w:pPr>
      <w:r>
        <w:tab/>
        <w:t>(2)</w:t>
      </w:r>
      <w:r>
        <w:tab/>
        <w:t>If—</w:t>
      </w:r>
    </w:p>
    <w:p w14:paraId="38530722" w14:textId="77777777" w:rsidR="00D94935" w:rsidRDefault="00D94935" w:rsidP="00D94935">
      <w:pPr>
        <w:pStyle w:val="Apara"/>
      </w:pPr>
      <w:r>
        <w:tab/>
        <w:t>(a)</w:t>
      </w:r>
      <w:r>
        <w:tab/>
        <w:t>an order is made appointing a provisional liquidator; and</w:t>
      </w:r>
    </w:p>
    <w:p w14:paraId="644571F3" w14:textId="77777777" w:rsidR="00D94935" w:rsidRDefault="00D94935" w:rsidP="00D94935">
      <w:pPr>
        <w:pStyle w:val="Apara"/>
      </w:pPr>
      <w:r>
        <w:tab/>
        <w:t>(b)</w:t>
      </w:r>
      <w:r>
        <w:tab/>
        <w:t>the order provides that the provisional liquidator may take into the provisional liquidator’s custody part only of the company’s property;</w:t>
      </w:r>
    </w:p>
    <w:p w14:paraId="573165DF" w14:textId="77777777" w:rsidR="00D94935" w:rsidRDefault="00D94935" w:rsidP="00D94935">
      <w:pPr>
        <w:pStyle w:val="Amainreturn"/>
        <w:rPr>
          <w:color w:val="000000"/>
        </w:rPr>
      </w:pPr>
      <w:r>
        <w:t>the order must include a short description of the part of the company’s property that the provisional liquidator may take into custody.</w:t>
      </w:r>
    </w:p>
    <w:p w14:paraId="1D1DF9C0" w14:textId="77777777" w:rsidR="00D94935" w:rsidRDefault="00D94935" w:rsidP="00D94935">
      <w:pPr>
        <w:pStyle w:val="Amain"/>
      </w:pPr>
      <w:r>
        <w:tab/>
        <w:t>(3)</w:t>
      </w:r>
      <w:r>
        <w:tab/>
        <w:t>The court may require the plaintiff to give an undertaking as to damages.</w:t>
      </w:r>
    </w:p>
    <w:p w14:paraId="2202F725" w14:textId="77777777" w:rsidR="00D94935" w:rsidRDefault="00D94935" w:rsidP="00D94935">
      <w:pPr>
        <w:pStyle w:val="Schclauseheading"/>
      </w:pPr>
      <w:bookmarkStart w:id="1997" w:name="_Toc185515613"/>
      <w:r w:rsidRPr="00C8328B">
        <w:rPr>
          <w:rStyle w:val="CharSectNo"/>
        </w:rPr>
        <w:t>6.2</w:t>
      </w:r>
      <w:r>
        <w:tab/>
        <w:t>Notice of appointment of provisional liquidator</w:t>
      </w:r>
      <w:bookmarkEnd w:id="1997"/>
    </w:p>
    <w:p w14:paraId="66D0095A" w14:textId="77777777" w:rsidR="00D94935" w:rsidRDefault="00D94935" w:rsidP="00D94935">
      <w:pPr>
        <w:pStyle w:val="Amain"/>
      </w:pPr>
      <w:r>
        <w:tab/>
        <w:t>(1)</w:t>
      </w:r>
      <w:r>
        <w:tab/>
        <w:t>This rule applies if the court orders that an official liquidator be appointed as a provisional liquidator of a company.</w:t>
      </w:r>
    </w:p>
    <w:p w14:paraId="5603A367" w14:textId="77777777" w:rsidR="00D94935" w:rsidRDefault="00D94935" w:rsidP="00D94935">
      <w:pPr>
        <w:pStyle w:val="Amain"/>
      </w:pPr>
      <w:r>
        <w:tab/>
        <w:t>(2)</w:t>
      </w:r>
      <w:r>
        <w:tab/>
        <w:t>Not later than the day after the order is made, the plaintiff must—</w:t>
      </w:r>
    </w:p>
    <w:p w14:paraId="64A07ADC" w14:textId="77777777" w:rsidR="00D94935" w:rsidRDefault="00D94935" w:rsidP="00D94935">
      <w:pPr>
        <w:pStyle w:val="Apara"/>
      </w:pPr>
      <w:r>
        <w:tab/>
        <w:t>(a)</w:t>
      </w:r>
      <w:r>
        <w:tab/>
        <w:t>except if the plaintiff is ASIC—lodge an office copy of the order with ASIC; and</w:t>
      </w:r>
    </w:p>
    <w:p w14:paraId="7B963EF5" w14:textId="77777777" w:rsidR="00D94935" w:rsidRDefault="00D94935" w:rsidP="00D94935">
      <w:pPr>
        <w:pStyle w:val="Apara"/>
      </w:pPr>
      <w:r>
        <w:tab/>
        <w:t>(b)</w:t>
      </w:r>
      <w:r>
        <w:tab/>
        <w:t>serve an office copy of the order on the company (except if the plaintiff is the company) and on anyone else as directed by the court; and</w:t>
      </w:r>
    </w:p>
    <w:p w14:paraId="4DFA3291" w14:textId="77777777"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14:paraId="1272BE5E" w14:textId="77777777"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14:paraId="56FDDFE2" w14:textId="5E2CBBBB" w:rsidR="00D94935" w:rsidRDefault="00D94935" w:rsidP="00D94935">
      <w:pPr>
        <w:pStyle w:val="aNote"/>
      </w:pPr>
      <w:r w:rsidRPr="006364FA">
        <w:rPr>
          <w:rStyle w:val="charItals"/>
        </w:rPr>
        <w:t>Note</w:t>
      </w:r>
      <w:r>
        <w:tab/>
        <w:t xml:space="preserve">See approved form 12 (Notice of appointment of provisional liquidator) </w:t>
      </w:r>
      <w:hyperlink r:id="rId1079" w:history="1">
        <w:r w:rsidRPr="002B0307">
          <w:rPr>
            <w:rStyle w:val="charCitHyperlinkAbbrev"/>
          </w:rPr>
          <w:t>AF2007-140</w:t>
        </w:r>
      </w:hyperlink>
      <w:r>
        <w:t>.</w:t>
      </w:r>
    </w:p>
    <w:p w14:paraId="6482C2BB" w14:textId="77777777" w:rsidR="00D94935" w:rsidRDefault="00D94935" w:rsidP="00D94935">
      <w:pPr>
        <w:pStyle w:val="PageBreak"/>
      </w:pPr>
      <w:r>
        <w:br w:type="page"/>
      </w:r>
    </w:p>
    <w:p w14:paraId="077573C7" w14:textId="77777777" w:rsidR="00D94935" w:rsidRPr="00C8328B" w:rsidRDefault="00D94935" w:rsidP="00D94935">
      <w:pPr>
        <w:pStyle w:val="Sched-Part"/>
      </w:pPr>
      <w:bookmarkStart w:id="1998" w:name="_Toc185515614"/>
      <w:r w:rsidRPr="00C8328B">
        <w:rPr>
          <w:rStyle w:val="CharPartNo"/>
        </w:rPr>
        <w:lastRenderedPageBreak/>
        <w:t>Part 6.7</w:t>
      </w:r>
      <w:r>
        <w:tab/>
      </w:r>
      <w:r w:rsidRPr="00C8328B">
        <w:rPr>
          <w:rStyle w:val="CharPartText"/>
        </w:rPr>
        <w:t>Liquidators</w:t>
      </w:r>
      <w:bookmarkEnd w:id="1998"/>
    </w:p>
    <w:p w14:paraId="3FE745BA" w14:textId="77777777" w:rsidR="00D94935" w:rsidRDefault="00D94935" w:rsidP="00D94935">
      <w:pPr>
        <w:pStyle w:val="Schclauseheading"/>
      </w:pPr>
      <w:bookmarkStart w:id="1999" w:name="_Toc185515615"/>
      <w:r w:rsidRPr="00C8328B">
        <w:rPr>
          <w:rStyle w:val="CharSectNo"/>
        </w:rPr>
        <w:t>7.1</w:t>
      </w:r>
      <w:r>
        <w:tab/>
        <w:t>Resignation of liquidator (Corporations Act, s 473 (1))</w:t>
      </w:r>
      <w:bookmarkEnd w:id="1999"/>
    </w:p>
    <w:p w14:paraId="266ABF66" w14:textId="77777777" w:rsidR="00D94935" w:rsidRDefault="00D94935" w:rsidP="00D94935">
      <w:pPr>
        <w:pStyle w:val="Amain"/>
      </w:pPr>
      <w:r>
        <w:tab/>
        <w:t>(1)</w:t>
      </w:r>
      <w:r>
        <w:tab/>
        <w:t>A liquidator appointed by the court who wishes to resign office must file with the registrar, and give to ASIC, a memorandum of resignation.</w:t>
      </w:r>
    </w:p>
    <w:p w14:paraId="683D62D3" w14:textId="77777777" w:rsidR="00D94935" w:rsidRDefault="00D94935" w:rsidP="00D94935">
      <w:pPr>
        <w:pStyle w:val="Amain"/>
      </w:pPr>
      <w:r>
        <w:tab/>
        <w:t>(2)</w:t>
      </w:r>
      <w:r>
        <w:tab/>
        <w:t>The resignation takes effect on the filing and giving of the memorandum.</w:t>
      </w:r>
    </w:p>
    <w:p w14:paraId="16053064" w14:textId="77777777" w:rsidR="00D94935" w:rsidRDefault="00D94935" w:rsidP="00D94935">
      <w:pPr>
        <w:pStyle w:val="Schclauseheading"/>
      </w:pPr>
      <w:bookmarkStart w:id="2000" w:name="_Toc185515616"/>
      <w:r w:rsidRPr="00C8328B">
        <w:rPr>
          <w:rStyle w:val="CharSectNo"/>
        </w:rPr>
        <w:t>7.2</w:t>
      </w:r>
      <w:r>
        <w:tab/>
        <w:t>Filling vacancy in office of liquidator (Corporations Act, s 473 (7), s 502)</w:t>
      </w:r>
      <w:bookmarkEnd w:id="2000"/>
    </w:p>
    <w:p w14:paraId="601E29D8" w14:textId="77777777" w:rsidR="00D94935" w:rsidRDefault="00D94935" w:rsidP="00D94935">
      <w:pPr>
        <w:pStyle w:val="Amain"/>
      </w:pPr>
      <w:r>
        <w:tab/>
        <w:t>(1)</w:t>
      </w:r>
      <w:r>
        <w:tab/>
        <w:t>If, for any reason, there is no liquidator acting in a winding-up, the court may—</w:t>
      </w:r>
    </w:p>
    <w:p w14:paraId="0038222F" w14:textId="77777777" w:rsidR="00D94935" w:rsidRDefault="00D94935" w:rsidP="00D94935">
      <w:pPr>
        <w:pStyle w:val="Apara"/>
      </w:pPr>
      <w:r>
        <w:tab/>
        <w:t>(a)</w:t>
      </w:r>
      <w:r>
        <w:tab/>
        <w:t>for a winding-up by the court—appoint another official liquidator whose written consent has been filed; and</w:t>
      </w:r>
    </w:p>
    <w:p w14:paraId="048408F8" w14:textId="77777777" w:rsidR="00D94935" w:rsidRDefault="00D94935" w:rsidP="00D94935">
      <w:pPr>
        <w:pStyle w:val="Apara"/>
      </w:pPr>
      <w:r>
        <w:tab/>
        <w:t>(b)</w:t>
      </w:r>
      <w:r>
        <w:tab/>
        <w:t>for a voluntary winding-up—appoint another registered liquidator whose written consent has been filed.</w:t>
      </w:r>
    </w:p>
    <w:p w14:paraId="5858C5CB" w14:textId="77777777" w:rsidR="00D94935" w:rsidRDefault="00D94935" w:rsidP="00D94935">
      <w:pPr>
        <w:pStyle w:val="Amain"/>
      </w:pPr>
      <w:r>
        <w:tab/>
        <w:t>(2)</w:t>
      </w:r>
      <w:r>
        <w:tab/>
        <w:t>The court may make the appointment—</w:t>
      </w:r>
    </w:p>
    <w:p w14:paraId="60A8F1B2" w14:textId="77777777" w:rsidR="00D94935" w:rsidRDefault="00D94935" w:rsidP="00D94935">
      <w:pPr>
        <w:pStyle w:val="Apara"/>
      </w:pPr>
      <w:r>
        <w:tab/>
        <w:t>(a)</w:t>
      </w:r>
      <w:r>
        <w:tab/>
        <w:t>in any case—on application by ASIC, a creditor or a contributory; or</w:t>
      </w:r>
    </w:p>
    <w:p w14:paraId="4C4D1168" w14:textId="77777777" w:rsidR="00D94935" w:rsidRDefault="00D94935" w:rsidP="00D94935">
      <w:pPr>
        <w:pStyle w:val="Apara"/>
      </w:pPr>
      <w:r>
        <w:tab/>
        <w:t>(b)</w:t>
      </w:r>
      <w:r>
        <w:tab/>
        <w:t>for a winding-up by the court—on its own initiative.</w:t>
      </w:r>
    </w:p>
    <w:p w14:paraId="43A19128" w14:textId="77777777" w:rsidR="00D94935" w:rsidRDefault="00D94935" w:rsidP="00D94935">
      <w:pPr>
        <w:pStyle w:val="Schclauseheading"/>
      </w:pPr>
      <w:bookmarkStart w:id="2001" w:name="_Toc185515617"/>
      <w:r w:rsidRPr="00C8328B">
        <w:rPr>
          <w:rStyle w:val="CharSectNo"/>
        </w:rPr>
        <w:t>7.3</w:t>
      </w:r>
      <w:r>
        <w:tab/>
        <w:t>Report to liquidator as to company’s affairs (Corporations Act, s 475)</w:t>
      </w:r>
      <w:bookmarkEnd w:id="2001"/>
    </w:p>
    <w:p w14:paraId="284A8539" w14:textId="0A16E7E5" w:rsidR="00D94935" w:rsidRDefault="00D94935" w:rsidP="00D94935">
      <w:pPr>
        <w:pStyle w:val="Amain"/>
      </w:pPr>
      <w:r>
        <w:tab/>
        <w:t>(1)</w:t>
      </w:r>
      <w:r>
        <w:tab/>
        <w:t xml:space="preserve">If a person is required under the </w:t>
      </w:r>
      <w:hyperlink r:id="rId1080"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14:paraId="4DE59F71" w14:textId="77777777"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14:paraId="7D2293AE" w14:textId="77777777" w:rsidR="00D94935" w:rsidRDefault="00D94935" w:rsidP="00D94935">
      <w:pPr>
        <w:pStyle w:val="Apara"/>
      </w:pPr>
      <w:r>
        <w:tab/>
        <w:t>(a)</w:t>
      </w:r>
      <w:r>
        <w:tab/>
        <w:t>sanctioned by the liquidator before being incurred; or</w:t>
      </w:r>
    </w:p>
    <w:p w14:paraId="32886E0D" w14:textId="77777777" w:rsidR="00D94935" w:rsidRDefault="00D94935" w:rsidP="00D94935">
      <w:pPr>
        <w:pStyle w:val="Apara"/>
      </w:pPr>
      <w:r>
        <w:tab/>
        <w:t>(b)</w:t>
      </w:r>
      <w:r>
        <w:tab/>
        <w:t>assessed.</w:t>
      </w:r>
    </w:p>
    <w:p w14:paraId="36F2BBAB" w14:textId="2181DA01" w:rsidR="00D94935" w:rsidRDefault="00D94935" w:rsidP="00D94935">
      <w:pPr>
        <w:pStyle w:val="Amain"/>
      </w:pPr>
      <w:r>
        <w:tab/>
        <w:t>(3)</w:t>
      </w:r>
      <w:r>
        <w:tab/>
        <w:t xml:space="preserve">The liquidator must report to the court any default in complying with the requirements of the </w:t>
      </w:r>
      <w:hyperlink r:id="rId1081" w:tooltip="Act 2001 No 50 (Cwlth)" w:history="1">
        <w:r w:rsidRPr="00D74CAB">
          <w:rPr>
            <w:rStyle w:val="charCitHyperlinkAbbrev"/>
          </w:rPr>
          <w:t>Corporations Act</w:t>
        </w:r>
      </w:hyperlink>
      <w:r>
        <w:t>, section 475.</w:t>
      </w:r>
    </w:p>
    <w:p w14:paraId="19166BE3" w14:textId="77777777" w:rsidR="00D94935" w:rsidRDefault="00D94935" w:rsidP="00D94935">
      <w:pPr>
        <w:pStyle w:val="Amain"/>
      </w:pPr>
      <w:r>
        <w:tab/>
        <w:t>(4)</w:t>
      </w:r>
      <w:r>
        <w:tab/>
        <w:t>In this rule:</w:t>
      </w:r>
    </w:p>
    <w:p w14:paraId="0C359200" w14:textId="77777777" w:rsidR="00D94935" w:rsidRDefault="00D94935" w:rsidP="00D94935">
      <w:pPr>
        <w:pStyle w:val="aDef"/>
      </w:pPr>
      <w:r>
        <w:rPr>
          <w:rStyle w:val="charBoldItals"/>
        </w:rPr>
        <w:t>liquidator</w:t>
      </w:r>
      <w:r>
        <w:t xml:space="preserve"> includes a provisional liquidator.</w:t>
      </w:r>
    </w:p>
    <w:p w14:paraId="7E2EB5C1" w14:textId="77777777" w:rsidR="00D94935" w:rsidRDefault="00D94935" w:rsidP="00D94935">
      <w:pPr>
        <w:pStyle w:val="Schclauseheading"/>
      </w:pPr>
      <w:bookmarkStart w:id="2002" w:name="_Toc185515618"/>
      <w:r w:rsidRPr="00C8328B">
        <w:rPr>
          <w:rStyle w:val="CharSectNo"/>
        </w:rPr>
        <w:t>7.4</w:t>
      </w:r>
      <w:r>
        <w:tab/>
        <w:t>Liquidator to file certificate and copy of settled list of contributories (Corporations Act, s 478)</w:t>
      </w:r>
      <w:bookmarkEnd w:id="2002"/>
    </w:p>
    <w:p w14:paraId="60FFB050" w14:textId="77777777"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14:paraId="4C1BC900" w14:textId="77777777" w:rsidR="00D94935" w:rsidRDefault="00D94935" w:rsidP="00D94935">
      <w:pPr>
        <w:pStyle w:val="Schclauseheading"/>
      </w:pPr>
      <w:bookmarkStart w:id="2003" w:name="_Toc185515619"/>
      <w:r w:rsidRPr="00C8328B">
        <w:rPr>
          <w:rStyle w:val="CharSectNo"/>
        </w:rPr>
        <w:t>7.5</w:t>
      </w:r>
      <w:r>
        <w:tab/>
        <w:t>Release of liquidator and deregistration of company (Corporations Act, s 480 (c) and (d))</w:t>
      </w:r>
      <w:bookmarkEnd w:id="2003"/>
    </w:p>
    <w:p w14:paraId="60FAD9F8" w14:textId="77777777" w:rsidR="00D94935" w:rsidRDefault="00D94935" w:rsidP="00D94935">
      <w:pPr>
        <w:pStyle w:val="Amain"/>
      </w:pPr>
      <w:r>
        <w:tab/>
        <w:t>(1)</w:t>
      </w:r>
      <w:r>
        <w:tab/>
        <w:t>This rule applies to an application by the liquidator of a company—</w:t>
      </w:r>
    </w:p>
    <w:p w14:paraId="1288D830" w14:textId="77777777" w:rsidR="00D94935" w:rsidRDefault="00D94935" w:rsidP="00D94935">
      <w:pPr>
        <w:pStyle w:val="Apara"/>
      </w:pPr>
      <w:r>
        <w:tab/>
        <w:t>(a)</w:t>
      </w:r>
      <w:r>
        <w:tab/>
        <w:t>for an order that the liquidator be released; or</w:t>
      </w:r>
    </w:p>
    <w:p w14:paraId="26DA5BCB" w14:textId="77777777" w:rsidR="00D94935" w:rsidRDefault="00D94935" w:rsidP="00D94935">
      <w:pPr>
        <w:pStyle w:val="Apara"/>
      </w:pPr>
      <w:r>
        <w:tab/>
        <w:t>(b)</w:t>
      </w:r>
      <w:r>
        <w:tab/>
        <w:t>for an order that the liquidator be released and that ASIC deregister the company.</w:t>
      </w:r>
    </w:p>
    <w:p w14:paraId="2200309F" w14:textId="77777777" w:rsidR="00D94935" w:rsidRDefault="00D94935" w:rsidP="00D94935">
      <w:pPr>
        <w:pStyle w:val="Amain"/>
      </w:pPr>
      <w:r>
        <w:tab/>
        <w:t>(2)</w:t>
      </w:r>
      <w:r>
        <w:tab/>
        <w:t>The interlocutory process seeking the order must include—</w:t>
      </w:r>
    </w:p>
    <w:p w14:paraId="7C560E3D" w14:textId="77777777"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14:paraId="0C6D2922" w14:textId="2D6F20B0" w:rsidR="00D94935" w:rsidRDefault="00D94935" w:rsidP="00965A9F">
      <w:pPr>
        <w:pStyle w:val="Apara"/>
        <w:keepNext/>
      </w:pPr>
      <w:r>
        <w:lastRenderedPageBreak/>
        <w:tab/>
        <w:t>(b)</w:t>
      </w:r>
      <w:r>
        <w:tab/>
        <w:t xml:space="preserve">a statement setting out the terms of the </w:t>
      </w:r>
      <w:hyperlink r:id="rId1082" w:tooltip="Act 2001 No 50 (Cwlth)" w:history="1">
        <w:r w:rsidRPr="00D74CAB">
          <w:rPr>
            <w:rStyle w:val="charCitHyperlinkAbbrev"/>
          </w:rPr>
          <w:t>Corporations Act</w:t>
        </w:r>
      </w:hyperlink>
      <w:r>
        <w:t>, section</w:t>
      </w:r>
      <w:r w:rsidR="00AD0DD5">
        <w:t> </w:t>
      </w:r>
      <w:r>
        <w:t>481 (3).</w:t>
      </w:r>
    </w:p>
    <w:p w14:paraId="52CFB147" w14:textId="5FF48DA8" w:rsidR="00D94935" w:rsidRDefault="00D94935" w:rsidP="00D94935">
      <w:pPr>
        <w:pStyle w:val="aNote"/>
      </w:pPr>
      <w:r>
        <w:rPr>
          <w:rStyle w:val="charItals"/>
        </w:rPr>
        <w:t>Note</w:t>
      </w:r>
      <w:r>
        <w:tab/>
        <w:t xml:space="preserve">The </w:t>
      </w:r>
      <w:hyperlink r:id="rId1083"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14:paraId="04D0C5EA" w14:textId="77777777" w:rsidR="00D94935" w:rsidRDefault="00D94935" w:rsidP="00D94935">
      <w:pPr>
        <w:pStyle w:val="Amain"/>
      </w:pPr>
      <w:r>
        <w:tab/>
        <w:t>(3)</w:t>
      </w:r>
      <w:r>
        <w:tab/>
        <w:t>The supporting affidavit must include details of the following matters:</w:t>
      </w:r>
    </w:p>
    <w:p w14:paraId="584562AB" w14:textId="77777777"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14:paraId="78E730F4" w14:textId="77777777" w:rsidR="00D94935" w:rsidRDefault="00D94935" w:rsidP="00D94935">
      <w:pPr>
        <w:pStyle w:val="Apara"/>
      </w:pPr>
      <w:r>
        <w:tab/>
        <w:t>(b)</w:t>
      </w:r>
      <w:r>
        <w:tab/>
        <w:t>any calls made on contributories in the course of the winding</w:t>
      </w:r>
      <w:r>
        <w:noBreakHyphen/>
        <w:t>up;</w:t>
      </w:r>
    </w:p>
    <w:p w14:paraId="584E03FD" w14:textId="77777777" w:rsidR="00D94935" w:rsidRDefault="00D94935" w:rsidP="00D94935">
      <w:pPr>
        <w:pStyle w:val="Apara"/>
      </w:pPr>
      <w:r>
        <w:tab/>
        <w:t>(c)</w:t>
      </w:r>
      <w:r>
        <w:tab/>
        <w:t>any dividends paid in the course of the winding-up;</w:t>
      </w:r>
    </w:p>
    <w:p w14:paraId="43FBEAC9" w14:textId="77777777" w:rsidR="00D94935" w:rsidRDefault="00D94935" w:rsidP="00D94935">
      <w:pPr>
        <w:pStyle w:val="Apara"/>
      </w:pPr>
      <w:r>
        <w:tab/>
        <w:t>(d)</w:t>
      </w:r>
      <w:r>
        <w:tab/>
        <w:t>whether the committee of inspection (if any) has passed a resolution approving the liquidator’s release;</w:t>
      </w:r>
    </w:p>
    <w:p w14:paraId="326AEDBF" w14:textId="3400D40C" w:rsidR="00D94935" w:rsidRDefault="00D94935" w:rsidP="00D94935">
      <w:pPr>
        <w:pStyle w:val="Apara"/>
      </w:pPr>
      <w:r>
        <w:tab/>
        <w:t>(e)</w:t>
      </w:r>
      <w:r>
        <w:tab/>
        <w:t xml:space="preserve">whether ASIC has appointed an auditor to report on an account or statement of the position in the winding-up under the </w:t>
      </w:r>
      <w:hyperlink r:id="rId1084" w:tooltip="Act 2001 No 50 (Cwlth)" w:history="1">
        <w:r w:rsidRPr="00D74CAB">
          <w:rPr>
            <w:rStyle w:val="charCitHyperlinkAbbrev"/>
          </w:rPr>
          <w:t>Corporations Act</w:t>
        </w:r>
      </w:hyperlink>
      <w:r>
        <w:t xml:space="preserve">, section 539 (2); </w:t>
      </w:r>
    </w:p>
    <w:p w14:paraId="4B2F923A" w14:textId="77777777" w:rsidR="00D94935" w:rsidRDefault="00D94935" w:rsidP="00D94935">
      <w:pPr>
        <w:pStyle w:val="Apara"/>
      </w:pPr>
      <w:r>
        <w:tab/>
        <w:t>(f)</w:t>
      </w:r>
      <w:r>
        <w:tab/>
        <w:t>whether the court has ordered a report on the accounts of the liquidator to be prepared;</w:t>
      </w:r>
    </w:p>
    <w:p w14:paraId="7B098CBD" w14:textId="77777777" w:rsidR="00D94935" w:rsidRDefault="00D94935" w:rsidP="00D94935">
      <w:pPr>
        <w:pStyle w:val="Apara"/>
      </w:pPr>
      <w:r>
        <w:tab/>
        <w:t>(g)</w:t>
      </w:r>
      <w:r>
        <w:tab/>
        <w:t>whether any objection to the release of the liquidator has been received by the liquidator from—</w:t>
      </w:r>
    </w:p>
    <w:p w14:paraId="38692E6A" w14:textId="77777777" w:rsidR="00D94935" w:rsidRDefault="00D94935" w:rsidP="00D94935">
      <w:pPr>
        <w:pStyle w:val="Asubpara"/>
      </w:pPr>
      <w:r>
        <w:tab/>
        <w:t>(i)</w:t>
      </w:r>
      <w:r>
        <w:tab/>
        <w:t>an auditor appointed by ASIC or by the court; or</w:t>
      </w:r>
    </w:p>
    <w:p w14:paraId="362666CF" w14:textId="77777777" w:rsidR="00D94935" w:rsidRDefault="00D94935" w:rsidP="00D94935">
      <w:pPr>
        <w:pStyle w:val="Asubpara"/>
      </w:pPr>
      <w:r>
        <w:tab/>
        <w:t>(ii)</w:t>
      </w:r>
      <w:r>
        <w:tab/>
        <w:t>any creditor, contributory or other interested person;</w:t>
      </w:r>
    </w:p>
    <w:p w14:paraId="7A42E5EB" w14:textId="354CE535" w:rsidR="00D94935" w:rsidRDefault="00D94935" w:rsidP="00D94935">
      <w:pPr>
        <w:pStyle w:val="Apara"/>
      </w:pPr>
      <w:r>
        <w:tab/>
        <w:t>(h)</w:t>
      </w:r>
      <w:r>
        <w:tab/>
        <w:t xml:space="preserve">whether any report has been submitted by the liquidator to ASIC under the </w:t>
      </w:r>
      <w:hyperlink r:id="rId1085" w:tooltip="Act 2001 No 50 (Cwlth)" w:history="1">
        <w:r w:rsidRPr="00D74CAB">
          <w:rPr>
            <w:rStyle w:val="charCitHyperlinkAbbrev"/>
          </w:rPr>
          <w:t>Corporations Act</w:t>
        </w:r>
      </w:hyperlink>
      <w:r>
        <w:t>, section 533;</w:t>
      </w:r>
    </w:p>
    <w:p w14:paraId="737B5696" w14:textId="77777777" w:rsidR="00D94935" w:rsidRDefault="00D94935" w:rsidP="00D94935">
      <w:pPr>
        <w:pStyle w:val="Apara"/>
      </w:pPr>
      <w:r>
        <w:lastRenderedPageBreak/>
        <w:tab/>
        <w:t>(i)</w:t>
      </w:r>
      <w:r>
        <w:tab/>
        <w:t>whether the liquidator considers it necessary to report on the affairs of the company or any of its officers;</w:t>
      </w:r>
    </w:p>
    <w:p w14:paraId="5DB5C030" w14:textId="77777777" w:rsidR="00D94935" w:rsidRDefault="00D94935" w:rsidP="00D94935">
      <w:pPr>
        <w:pStyle w:val="Apara"/>
      </w:pPr>
      <w:r>
        <w:tab/>
        <w:t>(j)</w:t>
      </w:r>
      <w:r>
        <w:tab/>
        <w:t>any property disclaimed in the course of the winding-up;</w:t>
      </w:r>
    </w:p>
    <w:p w14:paraId="209AC97B" w14:textId="77777777" w:rsidR="00D94935" w:rsidRDefault="00D94935" w:rsidP="00D94935">
      <w:pPr>
        <w:pStyle w:val="Apara"/>
      </w:pPr>
      <w:r>
        <w:tab/>
        <w:t>(k)</w:t>
      </w:r>
      <w:r>
        <w:tab/>
        <w:t>any remuneration paid or payable to the liquidator and how such remuneration was determined;</w:t>
      </w:r>
    </w:p>
    <w:p w14:paraId="6D303791" w14:textId="77777777" w:rsidR="00D94935" w:rsidRDefault="00D94935" w:rsidP="00D94935">
      <w:pPr>
        <w:pStyle w:val="Apara"/>
      </w:pPr>
      <w:r>
        <w:tab/>
        <w:t>(l)</w:t>
      </w:r>
      <w:r>
        <w:tab/>
        <w:t>any costs, charges or expenses payable by the liquidator if the court grants the liquidator’s release;</w:t>
      </w:r>
    </w:p>
    <w:p w14:paraId="6DD0A53E" w14:textId="7D936008" w:rsidR="00D94935" w:rsidRDefault="00D94935" w:rsidP="00D94935">
      <w:pPr>
        <w:pStyle w:val="Apara"/>
      </w:pPr>
      <w:r>
        <w:tab/>
        <w:t>(m)</w:t>
      </w:r>
      <w:r>
        <w:tab/>
        <w:t xml:space="preserve">if the application is made under the </w:t>
      </w:r>
      <w:hyperlink r:id="rId1086" w:tooltip="Act 2001 No 50 (Cwlth)" w:history="1">
        <w:r w:rsidRPr="00D74CAB">
          <w:rPr>
            <w:rStyle w:val="charCitHyperlinkAbbrev"/>
          </w:rPr>
          <w:t>Corporations Act</w:t>
        </w:r>
      </w:hyperlink>
      <w:r>
        <w:t>, section 480 (c)—the facts and circumstances because of which it is submitted that the company should not be deregistered.</w:t>
      </w:r>
    </w:p>
    <w:p w14:paraId="78602731" w14:textId="77777777" w:rsidR="00D94935" w:rsidRDefault="00D94935" w:rsidP="00D94935">
      <w:pPr>
        <w:pStyle w:val="Amain"/>
      </w:pPr>
      <w:r>
        <w:tab/>
        <w:t>(4)</w:t>
      </w:r>
      <w:r>
        <w:tab/>
        <w:t>The liquidator must include in the supporting affidavit the following statements, including, if appropriate, the words in brackets:</w:t>
      </w:r>
    </w:p>
    <w:p w14:paraId="1BCC83C1" w14:textId="77777777"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14:paraId="0FE74DD2" w14:textId="77777777" w:rsidR="00D94935" w:rsidRDefault="00D94935" w:rsidP="00D94935">
      <w:pPr>
        <w:pStyle w:val="Apara"/>
      </w:pPr>
      <w:r>
        <w:tab/>
        <w:t>(b)</w:t>
      </w:r>
      <w:r>
        <w:tab/>
        <w:t>‘I am not aware of any claim made by any person that there has been any such act or default [except as disclosed in this affidavit]’.</w:t>
      </w:r>
    </w:p>
    <w:p w14:paraId="37A12870" w14:textId="77777777" w:rsidR="00D94935" w:rsidRDefault="00D94935" w:rsidP="00D94935">
      <w:pPr>
        <w:pStyle w:val="Amain"/>
      </w:pPr>
      <w:r>
        <w:tab/>
        <w:t>(5)</w:t>
      </w:r>
      <w:r>
        <w:tab/>
        <w:t>The liquidator must file with, or annex to, the supporting affidavit—</w:t>
      </w:r>
    </w:p>
    <w:p w14:paraId="3C991E8A" w14:textId="77777777" w:rsidR="00D94935" w:rsidRDefault="00D94935" w:rsidP="00D94935">
      <w:pPr>
        <w:pStyle w:val="Apara"/>
      </w:pPr>
      <w:r>
        <w:tab/>
        <w:t>(a)</w:t>
      </w:r>
      <w:r>
        <w:tab/>
        <w:t>a statement of the financial position of the company at the date when the interlocutory process seeking release was filed; and</w:t>
      </w:r>
    </w:p>
    <w:p w14:paraId="59356368" w14:textId="77777777" w:rsidR="00D94935" w:rsidRDefault="00D94935" w:rsidP="00D94935">
      <w:pPr>
        <w:pStyle w:val="Apara"/>
      </w:pPr>
      <w:r>
        <w:tab/>
        <w:t>(b)</w:t>
      </w:r>
      <w:r>
        <w:tab/>
        <w:t>a summary of the liquidator’s receipts and payments in winding up the company.</w:t>
      </w:r>
    </w:p>
    <w:p w14:paraId="70336D5C" w14:textId="77777777"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14:paraId="7FF767CA" w14:textId="77777777" w:rsidR="00D94935" w:rsidRDefault="00D94935" w:rsidP="00D94935">
      <w:pPr>
        <w:pStyle w:val="Apara"/>
      </w:pPr>
      <w:r>
        <w:tab/>
        <w:t>(a)</w:t>
      </w:r>
      <w:r>
        <w:tab/>
        <w:t>a copy of the summary of the liquidator’s receipts and payments in winding up the company; and</w:t>
      </w:r>
    </w:p>
    <w:p w14:paraId="5155BCDF" w14:textId="77777777" w:rsidR="00D94935" w:rsidRDefault="00D94935" w:rsidP="00D94935">
      <w:pPr>
        <w:pStyle w:val="Apara"/>
      </w:pPr>
      <w:r>
        <w:tab/>
        <w:t>(b)</w:t>
      </w:r>
      <w:r>
        <w:tab/>
        <w:t>a copy of the statement of the financial position of the company at the date when the interlocutory process seeking release was filed.</w:t>
      </w:r>
    </w:p>
    <w:p w14:paraId="613BA707" w14:textId="77777777" w:rsidR="00D94935" w:rsidRDefault="00D94935" w:rsidP="00D94935">
      <w:pPr>
        <w:pStyle w:val="Schclauseheading"/>
      </w:pPr>
      <w:bookmarkStart w:id="2004" w:name="_Toc185515620"/>
      <w:r w:rsidRPr="00C8328B">
        <w:rPr>
          <w:rStyle w:val="CharSectNo"/>
        </w:rPr>
        <w:t>7.6</w:t>
      </w:r>
      <w:r>
        <w:tab/>
        <w:t>Objection to release of liquidator</w:t>
      </w:r>
      <w:bookmarkEnd w:id="2004"/>
    </w:p>
    <w:p w14:paraId="4883A696" w14:textId="77777777"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14:paraId="7D9AA9AC" w14:textId="77777777" w:rsidR="00D94935" w:rsidRDefault="00D94935" w:rsidP="00D94935">
      <w:pPr>
        <w:pStyle w:val="Apara"/>
      </w:pPr>
      <w:r>
        <w:tab/>
        <w:t>(a)</w:t>
      </w:r>
      <w:r>
        <w:tab/>
        <w:t>file—</w:t>
      </w:r>
    </w:p>
    <w:p w14:paraId="316C1BE1" w14:textId="77777777" w:rsidR="00D94935" w:rsidRDefault="00D94935" w:rsidP="00D94935">
      <w:pPr>
        <w:pStyle w:val="Asubpara"/>
      </w:pPr>
      <w:r>
        <w:tab/>
        <w:t>(i)</w:t>
      </w:r>
      <w:r>
        <w:tab/>
        <w:t>a notice of objection; and</w:t>
      </w:r>
    </w:p>
    <w:p w14:paraId="1B764BE6" w14:textId="0EF506DB"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87" w:history="1">
        <w:r w:rsidRPr="00606D0B">
          <w:rPr>
            <w:rStyle w:val="charCitHyperlinkAbbrev"/>
          </w:rPr>
          <w:t>AF2007-141</w:t>
        </w:r>
      </w:hyperlink>
      <w:r>
        <w:t>.</w:t>
      </w:r>
    </w:p>
    <w:p w14:paraId="244A8322" w14:textId="77777777" w:rsidR="00D94935" w:rsidRDefault="00D94935" w:rsidP="00D94935">
      <w:pPr>
        <w:pStyle w:val="Asubpara"/>
      </w:pPr>
      <w:r>
        <w:tab/>
        <w:t>(ii)</w:t>
      </w:r>
      <w:r>
        <w:tab/>
        <w:t>if appropriate, an affidavit stating any facts relied on; and</w:t>
      </w:r>
    </w:p>
    <w:p w14:paraId="59957B41" w14:textId="77777777" w:rsidR="00D94935" w:rsidRDefault="00D94935" w:rsidP="00D94935">
      <w:pPr>
        <w:pStyle w:val="Apara"/>
      </w:pPr>
      <w:r>
        <w:tab/>
        <w:t>(b)</w:t>
      </w:r>
      <w:r>
        <w:tab/>
        <w:t>serve a copy of the notice and the affidavit (if any) on the liquidator.</w:t>
      </w:r>
    </w:p>
    <w:p w14:paraId="56A64687" w14:textId="77777777"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14:paraId="43EC81AF" w14:textId="77777777" w:rsidR="00D94935" w:rsidRDefault="00D94935" w:rsidP="00D94935">
      <w:pPr>
        <w:pStyle w:val="Schclauseheading"/>
      </w:pPr>
      <w:bookmarkStart w:id="2005" w:name="_Toc185515621"/>
      <w:r w:rsidRPr="00C8328B">
        <w:rPr>
          <w:rStyle w:val="CharSectNo"/>
        </w:rPr>
        <w:lastRenderedPageBreak/>
        <w:t>7.7</w:t>
      </w:r>
      <w:r>
        <w:tab/>
        <w:t>Report on accounts of liquidator (Corporations Act, s 481)</w:t>
      </w:r>
      <w:bookmarkEnd w:id="2005"/>
    </w:p>
    <w:p w14:paraId="6337EBD7" w14:textId="5C4A393D" w:rsidR="00D94935" w:rsidRDefault="00D94935" w:rsidP="00965A9F">
      <w:pPr>
        <w:pStyle w:val="Amain"/>
        <w:keepLines/>
      </w:pPr>
      <w:r>
        <w:tab/>
        <w:t>(1)</w:t>
      </w:r>
      <w:r>
        <w:tab/>
        <w:t xml:space="preserve">If the court orders that a report on the accounts of a liquidator be prepared under the </w:t>
      </w:r>
      <w:hyperlink r:id="rId1088"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14:paraId="735F8C11" w14:textId="77777777" w:rsidR="00D94935" w:rsidRDefault="00D94935" w:rsidP="00D94935">
      <w:pPr>
        <w:pStyle w:val="Amain"/>
      </w:pPr>
      <w:r>
        <w:tab/>
        <w:t>(2)</w:t>
      </w:r>
      <w:r>
        <w:tab/>
        <w:t>On completing the report, the auditor must—</w:t>
      </w:r>
    </w:p>
    <w:p w14:paraId="338D56C5" w14:textId="77777777"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14:paraId="5046A14D" w14:textId="77777777" w:rsidR="00D94935" w:rsidRDefault="00D94935" w:rsidP="00D94935">
      <w:pPr>
        <w:pStyle w:val="Apara"/>
      </w:pPr>
      <w:r>
        <w:tab/>
        <w:t>(b)</w:t>
      </w:r>
      <w:r>
        <w:tab/>
        <w:t>serve a copy of the report on the liquidator; and</w:t>
      </w:r>
    </w:p>
    <w:p w14:paraId="40A6E9BA" w14:textId="77777777" w:rsidR="00D94935" w:rsidRDefault="00D94935" w:rsidP="00D94935">
      <w:pPr>
        <w:pStyle w:val="Apara"/>
      </w:pPr>
      <w:r>
        <w:tab/>
        <w:t>(c)</w:t>
      </w:r>
      <w:r>
        <w:tab/>
        <w:t>give a copy of the report to ASIC.</w:t>
      </w:r>
    </w:p>
    <w:p w14:paraId="5E616DD8" w14:textId="77777777" w:rsidR="00D94935" w:rsidRDefault="00D94935" w:rsidP="00D94935">
      <w:pPr>
        <w:pStyle w:val="Amain"/>
      </w:pPr>
      <w:r>
        <w:tab/>
        <w:t>(3)</w:t>
      </w:r>
      <w:r>
        <w:tab/>
        <w:t>Except with the leave of the court, a report is not available for inspection by any person except the liquidator or ASIC.</w:t>
      </w:r>
    </w:p>
    <w:p w14:paraId="5ABFD92D" w14:textId="77777777" w:rsidR="00D94935" w:rsidRDefault="00D94935" w:rsidP="00D94935">
      <w:pPr>
        <w:pStyle w:val="Schclauseheading"/>
      </w:pPr>
      <w:bookmarkStart w:id="2006" w:name="_Toc185515622"/>
      <w:r w:rsidRPr="00C8328B">
        <w:rPr>
          <w:rStyle w:val="CharSectNo"/>
        </w:rPr>
        <w:t>7.8</w:t>
      </w:r>
      <w:r>
        <w:tab/>
        <w:t>Application for payment of call (Corporations Act, s 483 (3) (b))</w:t>
      </w:r>
      <w:bookmarkEnd w:id="2006"/>
    </w:p>
    <w:p w14:paraId="0CFB67CC" w14:textId="566A3B78" w:rsidR="00D94935" w:rsidRDefault="00D94935" w:rsidP="00D94935">
      <w:pPr>
        <w:pStyle w:val="Amainreturn"/>
      </w:pPr>
      <w:r>
        <w:t xml:space="preserve">The affidavit in support of an application by the liquidator of a company, under the </w:t>
      </w:r>
      <w:hyperlink r:id="rId1089"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90" w:tooltip="A2004-59" w:history="1">
        <w:r w:rsidRPr="006364FA">
          <w:rPr>
            <w:rStyle w:val="charCitHyperlinkItal"/>
          </w:rPr>
          <w:t>Court Procedures Act 2004</w:t>
        </w:r>
      </w:hyperlink>
      <w:r>
        <w:t>, section 8 for this rule, be in accordance with the approved form.</w:t>
      </w:r>
    </w:p>
    <w:p w14:paraId="23C9A56C" w14:textId="558720C1"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91" w:history="1">
        <w:r w:rsidRPr="00606D0B">
          <w:rPr>
            <w:rStyle w:val="charCitHyperlinkAbbrev"/>
          </w:rPr>
          <w:t>AF2007-142</w:t>
        </w:r>
      </w:hyperlink>
      <w:r>
        <w:t>.</w:t>
      </w:r>
    </w:p>
    <w:p w14:paraId="09DBEF70" w14:textId="77777777" w:rsidR="00D94935" w:rsidRDefault="00D94935" w:rsidP="00D94935">
      <w:pPr>
        <w:pStyle w:val="Schclauseheading"/>
      </w:pPr>
      <w:bookmarkStart w:id="2007" w:name="_Toc185515623"/>
      <w:r w:rsidRPr="00C8328B">
        <w:rPr>
          <w:rStyle w:val="CharSectNo"/>
        </w:rPr>
        <w:lastRenderedPageBreak/>
        <w:t>7.9</w:t>
      </w:r>
      <w:r>
        <w:tab/>
        <w:t>Distribution of surplus by liquidator with special leave of the court (Corporations Act, s 488 (2))</w:t>
      </w:r>
      <w:bookmarkEnd w:id="2007"/>
    </w:p>
    <w:p w14:paraId="557D4EF0" w14:textId="77777777"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14:paraId="434A3051" w14:textId="77777777"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14:paraId="102C792F" w14:textId="762BD51F" w:rsidR="00D94935" w:rsidRDefault="00D94935" w:rsidP="00D94935">
      <w:pPr>
        <w:pStyle w:val="aNote"/>
      </w:pPr>
      <w:r w:rsidRPr="006364FA">
        <w:rPr>
          <w:rStyle w:val="charItals"/>
        </w:rPr>
        <w:t>Note</w:t>
      </w:r>
      <w:r>
        <w:tab/>
        <w:t xml:space="preserve">See approved form 15 (Notice of application for leave to distribute a surplus) </w:t>
      </w:r>
      <w:hyperlink r:id="rId1092" w:history="1">
        <w:r w:rsidRPr="00606D0B">
          <w:rPr>
            <w:rStyle w:val="charCitHyperlinkAbbrev"/>
          </w:rPr>
          <w:t>AF2007-143</w:t>
        </w:r>
      </w:hyperlink>
      <w:r>
        <w:t>.</w:t>
      </w:r>
    </w:p>
    <w:p w14:paraId="1531A6D1" w14:textId="77777777" w:rsidR="00D94935" w:rsidRDefault="00D94935" w:rsidP="00D94935">
      <w:pPr>
        <w:pStyle w:val="Schclauseheading"/>
      </w:pPr>
      <w:bookmarkStart w:id="2008" w:name="_Toc185515624"/>
      <w:r w:rsidRPr="00C8328B">
        <w:rPr>
          <w:rStyle w:val="CharSectNo"/>
        </w:rPr>
        <w:t>7.10</w:t>
      </w:r>
      <w:r>
        <w:tab/>
        <w:t>Powers delegated to liquidator by the court (Corporations Act, s 488)</w:t>
      </w:r>
      <w:bookmarkEnd w:id="2008"/>
    </w:p>
    <w:p w14:paraId="2CD94FE2" w14:textId="5F344468" w:rsidR="00D94935" w:rsidRDefault="00D94935" w:rsidP="00D94935">
      <w:pPr>
        <w:pStyle w:val="Amainreturn"/>
      </w:pPr>
      <w:r>
        <w:t xml:space="preserve">Subject to the </w:t>
      </w:r>
      <w:hyperlink r:id="rId1093" w:tooltip="Act 2001 No 50 (Cwlth)" w:history="1">
        <w:r w:rsidRPr="00D74CAB">
          <w:rPr>
            <w:rStyle w:val="charCitHyperlinkAbbrev"/>
          </w:rPr>
          <w:t>Corporations Act</w:t>
        </w:r>
      </w:hyperlink>
      <w:r>
        <w:t xml:space="preserve">, this schedule and any order of the court, the powers and duties given to the court by the </w:t>
      </w:r>
      <w:hyperlink r:id="rId1094" w:tooltip="Act 2001 No 50 (Cwlth)" w:history="1">
        <w:r w:rsidRPr="00D74CAB">
          <w:rPr>
            <w:rStyle w:val="charCitHyperlinkAbbrev"/>
          </w:rPr>
          <w:t>Corporations Act</w:t>
        </w:r>
      </w:hyperlink>
      <w:r>
        <w:t xml:space="preserve">, part 5.4B in relation to the matters mentioned in the </w:t>
      </w:r>
      <w:hyperlink r:id="rId1095"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14:paraId="27DA4E2C" w14:textId="77777777" w:rsidR="00D94935" w:rsidRDefault="00D94935" w:rsidP="00D94935">
      <w:pPr>
        <w:pStyle w:val="Schclauseheading"/>
        <w:rPr>
          <w:color w:val="000000"/>
        </w:rPr>
      </w:pPr>
      <w:bookmarkStart w:id="2009" w:name="_Toc185515625"/>
      <w:r w:rsidRPr="00C8328B">
        <w:rPr>
          <w:rStyle w:val="CharSectNo"/>
        </w:rPr>
        <w:t>7.11</w:t>
      </w:r>
      <w:r>
        <w:tab/>
        <w:t>Inquiry into conduct of liquidator (Corporations Act, s 536 (1) and (2))</w:t>
      </w:r>
      <w:bookmarkEnd w:id="2009"/>
    </w:p>
    <w:p w14:paraId="7CF5A2E1" w14:textId="3EC0417A" w:rsidR="00D94935" w:rsidRDefault="00D94935" w:rsidP="00D94935">
      <w:pPr>
        <w:pStyle w:val="Amain"/>
      </w:pPr>
      <w:r>
        <w:tab/>
        <w:t>(1)</w:t>
      </w:r>
      <w:r>
        <w:tab/>
        <w:t xml:space="preserve">A complaint to the court under the </w:t>
      </w:r>
      <w:hyperlink r:id="rId1096" w:tooltip="Act 2001 No 50 (Cwlth)" w:history="1">
        <w:r w:rsidRPr="00D74CAB">
          <w:rPr>
            <w:rStyle w:val="charCitHyperlinkAbbrev"/>
          </w:rPr>
          <w:t>Corporations Act</w:t>
        </w:r>
      </w:hyperlink>
      <w:r>
        <w:t>, section 536 (1) (b) must be made—</w:t>
      </w:r>
    </w:p>
    <w:p w14:paraId="76769B14" w14:textId="77777777" w:rsidR="00D94935" w:rsidRDefault="00D94935" w:rsidP="00D94935">
      <w:pPr>
        <w:pStyle w:val="Apara"/>
      </w:pPr>
      <w:r>
        <w:tab/>
        <w:t>(a)</w:t>
      </w:r>
      <w:r>
        <w:tab/>
        <w:t>for a winding-up by the court—by an interlocutory process seeking an inquiry; and</w:t>
      </w:r>
    </w:p>
    <w:p w14:paraId="3F284C85" w14:textId="77777777" w:rsidR="00D94935" w:rsidRDefault="00D94935" w:rsidP="00D94935">
      <w:pPr>
        <w:pStyle w:val="Apara"/>
      </w:pPr>
      <w:r>
        <w:tab/>
        <w:t>(b)</w:t>
      </w:r>
      <w:r>
        <w:tab/>
        <w:t>for a voluntary winding-up—by an originating process seeking an inquiry.</w:t>
      </w:r>
    </w:p>
    <w:p w14:paraId="080C66B5" w14:textId="4966CDAB" w:rsidR="00D94935" w:rsidRDefault="00D94935" w:rsidP="00965A9F">
      <w:pPr>
        <w:pStyle w:val="Amain"/>
        <w:keepNext/>
      </w:pPr>
      <w:r>
        <w:lastRenderedPageBreak/>
        <w:tab/>
        <w:t>(2)</w:t>
      </w:r>
      <w:r>
        <w:tab/>
        <w:t xml:space="preserve">A report to the court by ASIC under the </w:t>
      </w:r>
      <w:hyperlink r:id="rId1097" w:tooltip="Act 2001 No 50 (Cwlth)" w:history="1">
        <w:r w:rsidRPr="00D74CAB">
          <w:rPr>
            <w:rStyle w:val="charCitHyperlinkAbbrev"/>
          </w:rPr>
          <w:t>Corporations Act</w:t>
        </w:r>
      </w:hyperlink>
      <w:r>
        <w:t>, section</w:t>
      </w:r>
      <w:r w:rsidR="00965A9F">
        <w:t> </w:t>
      </w:r>
      <w:r>
        <w:t>536</w:t>
      </w:r>
      <w:r w:rsidR="005475ED">
        <w:t> </w:t>
      </w:r>
      <w:r>
        <w:t>(2) must be made—</w:t>
      </w:r>
    </w:p>
    <w:p w14:paraId="5ECCDFCE" w14:textId="77777777" w:rsidR="00D94935" w:rsidRDefault="00D94935" w:rsidP="00965A9F">
      <w:pPr>
        <w:pStyle w:val="Apara"/>
        <w:keepNext/>
      </w:pPr>
      <w:r>
        <w:tab/>
        <w:t>(a)</w:t>
      </w:r>
      <w:r>
        <w:tab/>
        <w:t>for a winding-up by the court—by filing—</w:t>
      </w:r>
    </w:p>
    <w:p w14:paraId="74B2C88F" w14:textId="77777777" w:rsidR="00D94935" w:rsidRDefault="00D94935" w:rsidP="00D94935">
      <w:pPr>
        <w:pStyle w:val="Asubpara"/>
      </w:pPr>
      <w:r>
        <w:tab/>
        <w:t>(i)</w:t>
      </w:r>
      <w:r>
        <w:tab/>
        <w:t>an interlocutory process seeking orders under the subsection; and</w:t>
      </w:r>
    </w:p>
    <w:p w14:paraId="09C51747" w14:textId="77777777" w:rsidR="00D94935" w:rsidRDefault="00D94935" w:rsidP="00D94935">
      <w:pPr>
        <w:pStyle w:val="Asubpara"/>
      </w:pPr>
      <w:r>
        <w:tab/>
        <w:t>(ii)</w:t>
      </w:r>
      <w:r>
        <w:tab/>
        <w:t>a written report in a sealed envelope that is marked with the title and number of the proceeding; and</w:t>
      </w:r>
    </w:p>
    <w:p w14:paraId="691AC60C" w14:textId="77777777" w:rsidR="00D94935" w:rsidRDefault="00D94935" w:rsidP="00D94935">
      <w:pPr>
        <w:pStyle w:val="Apara"/>
      </w:pPr>
      <w:r>
        <w:tab/>
        <w:t>(b)</w:t>
      </w:r>
      <w:r>
        <w:tab/>
        <w:t>for a voluntary winding-up—by filing—</w:t>
      </w:r>
    </w:p>
    <w:p w14:paraId="432CB099" w14:textId="77777777" w:rsidR="00D94935" w:rsidRDefault="00D94935" w:rsidP="00D94935">
      <w:pPr>
        <w:pStyle w:val="Asubpara"/>
      </w:pPr>
      <w:r>
        <w:tab/>
        <w:t>(i)</w:t>
      </w:r>
      <w:r>
        <w:tab/>
        <w:t>an originating process seeking orders under the subsection; and</w:t>
      </w:r>
    </w:p>
    <w:p w14:paraId="247FA930" w14:textId="77777777" w:rsidR="00D94935" w:rsidRDefault="00D94935" w:rsidP="00D94935">
      <w:pPr>
        <w:pStyle w:val="Asubpara"/>
      </w:pPr>
      <w:r>
        <w:tab/>
        <w:t>(ii)</w:t>
      </w:r>
      <w:r>
        <w:tab/>
        <w:t>a written report in a sealed envelope that is marked with the title of the proceeding and provision for its number.</w:t>
      </w:r>
    </w:p>
    <w:p w14:paraId="508A547A" w14:textId="77777777" w:rsidR="00D94935" w:rsidRDefault="00D94935" w:rsidP="00D94935">
      <w:pPr>
        <w:pStyle w:val="Amain"/>
      </w:pPr>
      <w:r>
        <w:tab/>
        <w:t>(3)</w:t>
      </w:r>
      <w:r>
        <w:tab/>
        <w:t>The contents of a report filed under subrule (2) need not, at the time of filing, be verified by an affidavit.</w:t>
      </w:r>
    </w:p>
    <w:p w14:paraId="65D7B571" w14:textId="28D291CC" w:rsidR="00D94935" w:rsidRDefault="00D94935" w:rsidP="00D94935">
      <w:pPr>
        <w:pStyle w:val="Amain"/>
      </w:pPr>
      <w:r>
        <w:tab/>
        <w:t>(4)</w:t>
      </w:r>
      <w:r>
        <w:tab/>
        <w:t xml:space="preserve">Except with the leave of the court, a report made under the </w:t>
      </w:r>
      <w:hyperlink r:id="rId1098" w:tooltip="Act 2001 No 50 (Cwlth)" w:history="1">
        <w:r w:rsidRPr="00D74CAB">
          <w:rPr>
            <w:rStyle w:val="charCitHyperlinkAbbrev"/>
          </w:rPr>
          <w:t>Corporations Act</w:t>
        </w:r>
      </w:hyperlink>
      <w:r>
        <w:t>, section 536 (2) is not available for inspection by anyone except the liquidator or ASIC.</w:t>
      </w:r>
    </w:p>
    <w:p w14:paraId="1F58AA30" w14:textId="77777777" w:rsidR="00D94935" w:rsidRDefault="00D94935" w:rsidP="00D94935">
      <w:pPr>
        <w:pStyle w:val="Amain"/>
      </w:pPr>
      <w:r>
        <w:tab/>
        <w:t>(5)</w:t>
      </w:r>
      <w:r>
        <w:tab/>
        <w:t>In this rule:</w:t>
      </w:r>
    </w:p>
    <w:p w14:paraId="2785A9C3" w14:textId="77777777" w:rsidR="00D94935" w:rsidRDefault="00D94935" w:rsidP="00D94935">
      <w:pPr>
        <w:pStyle w:val="aDef"/>
      </w:pPr>
      <w:r>
        <w:rPr>
          <w:rStyle w:val="charBoldItals"/>
        </w:rPr>
        <w:t>liquidator</w:t>
      </w:r>
      <w:r>
        <w:t xml:space="preserve"> includes a provisional liquidator.</w:t>
      </w:r>
    </w:p>
    <w:p w14:paraId="4DCE6BC4" w14:textId="77777777" w:rsidR="00D94935" w:rsidRDefault="00D94935" w:rsidP="00D94935">
      <w:pPr>
        <w:pStyle w:val="PageBreak"/>
      </w:pPr>
      <w:r>
        <w:br w:type="page"/>
      </w:r>
    </w:p>
    <w:p w14:paraId="03091473" w14:textId="77777777" w:rsidR="00D94935" w:rsidRPr="00C8328B" w:rsidRDefault="00D94935" w:rsidP="00D94935">
      <w:pPr>
        <w:pStyle w:val="Sched-Part"/>
      </w:pPr>
      <w:bookmarkStart w:id="2010" w:name="_Toc185515626"/>
      <w:r w:rsidRPr="00C8328B">
        <w:rPr>
          <w:rStyle w:val="CharPartNo"/>
        </w:rPr>
        <w:lastRenderedPageBreak/>
        <w:t>Part 6.8</w:t>
      </w:r>
      <w:r>
        <w:tab/>
      </w:r>
      <w:r w:rsidRPr="00C8328B">
        <w:rPr>
          <w:rStyle w:val="CharPartText"/>
        </w:rPr>
        <w:t>Special managers (Corporations Act, pt 5.4B)</w:t>
      </w:r>
      <w:bookmarkEnd w:id="2010"/>
    </w:p>
    <w:p w14:paraId="0E6235E1" w14:textId="77777777" w:rsidR="00D94935" w:rsidRDefault="00D94935" w:rsidP="00D94935">
      <w:pPr>
        <w:pStyle w:val="Schclauseheading"/>
      </w:pPr>
      <w:bookmarkStart w:id="2011" w:name="_Toc185515627"/>
      <w:r w:rsidRPr="00C8328B">
        <w:rPr>
          <w:rStyle w:val="CharSectNo"/>
        </w:rPr>
        <w:t>8.1</w:t>
      </w:r>
      <w:r>
        <w:tab/>
        <w:t>Application for appointment of special manager (Corporations Act, s 484)</w:t>
      </w:r>
      <w:bookmarkEnd w:id="2011"/>
    </w:p>
    <w:p w14:paraId="68B9B1C2" w14:textId="77777777"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14:paraId="36E55916" w14:textId="77777777" w:rsidR="00D94935" w:rsidRDefault="00D94935" w:rsidP="00D94935">
      <w:pPr>
        <w:pStyle w:val="Amain"/>
      </w:pPr>
      <w:r>
        <w:tab/>
        <w:t>(2)</w:t>
      </w:r>
      <w:r>
        <w:tab/>
        <w:t>The supporting affidavit must state—</w:t>
      </w:r>
    </w:p>
    <w:p w14:paraId="17977344" w14:textId="77777777" w:rsidR="00D94935" w:rsidRDefault="00D94935" w:rsidP="00D94935">
      <w:pPr>
        <w:pStyle w:val="Apara"/>
      </w:pPr>
      <w:r>
        <w:tab/>
        <w:t>(a)</w:t>
      </w:r>
      <w:r>
        <w:tab/>
        <w:t>the circumstances making it proper that a special manager be appointed; and</w:t>
      </w:r>
    </w:p>
    <w:p w14:paraId="282DBC1D" w14:textId="77777777" w:rsidR="00D94935" w:rsidRDefault="00D94935" w:rsidP="00D94935">
      <w:pPr>
        <w:pStyle w:val="Apara"/>
      </w:pPr>
      <w:r>
        <w:tab/>
        <w:t>(b)</w:t>
      </w:r>
      <w:r>
        <w:tab/>
        <w:t>details of the remuneration proposed to be paid to the special manager; and</w:t>
      </w:r>
    </w:p>
    <w:p w14:paraId="7D967827" w14:textId="77777777" w:rsidR="00D94935" w:rsidRDefault="00D94935" w:rsidP="00D94935">
      <w:pPr>
        <w:pStyle w:val="Apara"/>
      </w:pPr>
      <w:r>
        <w:tab/>
        <w:t>(c)</w:t>
      </w:r>
      <w:r>
        <w:tab/>
        <w:t>whether any committee of inspection in the winding-up, or a meeting of creditors, has approved the appointment of a special manager.</w:t>
      </w:r>
    </w:p>
    <w:p w14:paraId="108C6549" w14:textId="77777777" w:rsidR="00D94935" w:rsidRDefault="00D94935" w:rsidP="00D94935">
      <w:pPr>
        <w:pStyle w:val="Schclauseheading"/>
      </w:pPr>
      <w:bookmarkStart w:id="2012" w:name="_Toc185515628"/>
      <w:r w:rsidRPr="00C8328B">
        <w:rPr>
          <w:rStyle w:val="CharSectNo"/>
        </w:rPr>
        <w:t>8.2</w:t>
      </w:r>
      <w:r>
        <w:tab/>
        <w:t>Security given by special manager (Corporations Act, s 484)</w:t>
      </w:r>
      <w:bookmarkEnd w:id="2012"/>
    </w:p>
    <w:p w14:paraId="75165165" w14:textId="77777777" w:rsidR="00D94935" w:rsidRDefault="00D94935" w:rsidP="00D94935">
      <w:pPr>
        <w:pStyle w:val="Amain"/>
      </w:pPr>
      <w:r>
        <w:tab/>
        <w:t>(1)</w:t>
      </w:r>
      <w:r>
        <w:tab/>
        <w:t>The court may, from time to time, direct that the amount of security given by a special manager be varied.</w:t>
      </w:r>
    </w:p>
    <w:p w14:paraId="743D9283" w14:textId="77777777" w:rsidR="00D94935" w:rsidRDefault="00D94935" w:rsidP="00D94935">
      <w:pPr>
        <w:pStyle w:val="Amain"/>
      </w:pPr>
      <w:r>
        <w:tab/>
        <w:t>(2)</w:t>
      </w:r>
      <w:r>
        <w:tab/>
        <w:t>Unless the court otherwise directs, the costs of providing the security given by a special manager in relation to a particular winding-up—</w:t>
      </w:r>
    </w:p>
    <w:p w14:paraId="792AB17C" w14:textId="77777777" w:rsidR="00D94935" w:rsidRDefault="00D94935" w:rsidP="00D94935">
      <w:pPr>
        <w:pStyle w:val="Apara"/>
      </w:pPr>
      <w:r>
        <w:tab/>
        <w:t>(a)</w:t>
      </w:r>
      <w:r>
        <w:tab/>
        <w:t>are the personal expenses of the special manager; and</w:t>
      </w:r>
    </w:p>
    <w:p w14:paraId="75E7D2A9" w14:textId="77777777" w:rsidR="00D94935" w:rsidRDefault="00D94935" w:rsidP="00D94935">
      <w:pPr>
        <w:pStyle w:val="Apara"/>
      </w:pPr>
      <w:r>
        <w:tab/>
        <w:t>(b)</w:t>
      </w:r>
      <w:r>
        <w:tab/>
        <w:t>must not be charged against the property of the company as an expense incurred in the winding-up.</w:t>
      </w:r>
    </w:p>
    <w:p w14:paraId="59899DE5" w14:textId="77777777" w:rsidR="00D94935" w:rsidRDefault="00D94935" w:rsidP="00D94935">
      <w:pPr>
        <w:pStyle w:val="Schclauseheading"/>
      </w:pPr>
      <w:bookmarkStart w:id="2013" w:name="_Toc185515629"/>
      <w:r w:rsidRPr="00C8328B">
        <w:rPr>
          <w:rStyle w:val="CharSectNo"/>
        </w:rPr>
        <w:lastRenderedPageBreak/>
        <w:t>8.3</w:t>
      </w:r>
      <w:r>
        <w:tab/>
        <w:t>Special manager’s receipts and payments (Corporations Act, s 484)</w:t>
      </w:r>
      <w:bookmarkEnd w:id="2013"/>
    </w:p>
    <w:p w14:paraId="0F7B47D1" w14:textId="77777777" w:rsidR="00D94935" w:rsidRDefault="00D94935" w:rsidP="00D94935">
      <w:pPr>
        <w:pStyle w:val="Amain"/>
      </w:pPr>
      <w:r>
        <w:tab/>
        <w:t>(1)</w:t>
      </w:r>
      <w:r>
        <w:tab/>
        <w:t>A special manager must give to the liquidator—</w:t>
      </w:r>
    </w:p>
    <w:p w14:paraId="077EC671" w14:textId="77777777" w:rsidR="00D94935" w:rsidRDefault="00D94935" w:rsidP="00D94935">
      <w:pPr>
        <w:pStyle w:val="Apara"/>
      </w:pPr>
      <w:r>
        <w:tab/>
        <w:t>(a)</w:t>
      </w:r>
      <w:r>
        <w:tab/>
        <w:t>an account of the special manager’s receipts and payments; and</w:t>
      </w:r>
    </w:p>
    <w:p w14:paraId="258F824B" w14:textId="77777777" w:rsidR="00D94935" w:rsidRDefault="00D94935" w:rsidP="00D94935">
      <w:pPr>
        <w:pStyle w:val="Apara"/>
      </w:pPr>
      <w:r>
        <w:tab/>
        <w:t>(b)</w:t>
      </w:r>
      <w:r>
        <w:tab/>
        <w:t>a statutory declaration verifying the account.</w:t>
      </w:r>
    </w:p>
    <w:p w14:paraId="0D86354A" w14:textId="77777777" w:rsidR="00D94935" w:rsidRDefault="00D94935" w:rsidP="00D94935">
      <w:pPr>
        <w:pStyle w:val="Amain"/>
      </w:pPr>
      <w:r>
        <w:tab/>
        <w:t>(2)</w:t>
      </w:r>
      <w:r>
        <w:tab/>
        <w:t>If the liquidator approves the account, the liquidator must include the total amounts of the special manager’s receipts and payments in the liquidator’s accounts.</w:t>
      </w:r>
    </w:p>
    <w:p w14:paraId="70B71AA4" w14:textId="77777777" w:rsidR="00D94935" w:rsidRDefault="00D94935" w:rsidP="00D94935">
      <w:pPr>
        <w:pStyle w:val="PageBreak"/>
      </w:pPr>
      <w:r>
        <w:br w:type="page"/>
      </w:r>
    </w:p>
    <w:p w14:paraId="3B85FFB6" w14:textId="77777777" w:rsidR="00D94935" w:rsidRPr="00C8328B" w:rsidRDefault="00D94935" w:rsidP="00D94935">
      <w:pPr>
        <w:pStyle w:val="Sched-Part"/>
      </w:pPr>
      <w:bookmarkStart w:id="2014" w:name="_Toc185515630"/>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14"/>
    </w:p>
    <w:p w14:paraId="1EAFC5F5" w14:textId="77777777" w:rsidR="00D94935" w:rsidRDefault="00D94935" w:rsidP="00D94935">
      <w:pPr>
        <w:pStyle w:val="Schclauseheading"/>
      </w:pPr>
      <w:bookmarkStart w:id="2015" w:name="_Toc185515631"/>
      <w:r w:rsidRPr="00C8328B">
        <w:rPr>
          <w:rStyle w:val="CharSectNo"/>
        </w:rPr>
        <w:t>9.1</w:t>
      </w:r>
      <w:r>
        <w:tab/>
        <w:t>Remuneration of receiver (Corporations Act, s 425 (1))</w:t>
      </w:r>
      <w:bookmarkEnd w:id="2015"/>
    </w:p>
    <w:p w14:paraId="5849FD80" w14:textId="1D11B5C3" w:rsidR="00D94935" w:rsidRDefault="00D94935" w:rsidP="00D94935">
      <w:pPr>
        <w:pStyle w:val="Amain"/>
      </w:pPr>
      <w:r>
        <w:tab/>
        <w:t>(1)</w:t>
      </w:r>
      <w:r>
        <w:tab/>
        <w:t xml:space="preserve">This rule applies to an application by a receiver of property of a corporation for an order under the </w:t>
      </w:r>
      <w:hyperlink r:id="rId1099" w:tooltip="Act 2001 No 50 (Cwlth)" w:history="1">
        <w:r w:rsidRPr="00D74CAB">
          <w:rPr>
            <w:rStyle w:val="charCitHyperlinkAbbrev"/>
          </w:rPr>
          <w:t>Corporations Act</w:t>
        </w:r>
      </w:hyperlink>
      <w:r>
        <w:t>, section 425 (1) fixing the receiver’s remuneration.</w:t>
      </w:r>
    </w:p>
    <w:p w14:paraId="298F0BDE" w14:textId="25B82D82"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100"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14:paraId="6FC6FA7E" w14:textId="1D5FE670"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101" w:tooltip="Act 2001 No 50 (Cwlth)" w:history="1">
        <w:r w:rsidRPr="00D74CAB">
          <w:rPr>
            <w:rStyle w:val="charCitHyperlinkAbbrev"/>
          </w:rPr>
          <w:t>Corporations Act</w:t>
        </w:r>
      </w:hyperlink>
      <w:r>
        <w:t>,</w:t>
      </w:r>
      <w:r>
        <w:rPr>
          <w:iCs/>
        </w:rPr>
        <w:t xml:space="preserve"> s 425 made by the </w:t>
      </w:r>
      <w:hyperlink r:id="rId1102"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103" w:tooltip="Act 2001 No 50 (Cwlth)" w:history="1">
        <w:r w:rsidRPr="00D74CAB">
          <w:rPr>
            <w:rStyle w:val="charCitHyperlinkAbbrev"/>
          </w:rPr>
          <w:t>Corporations Act</w:t>
        </w:r>
      </w:hyperlink>
      <w:r>
        <w:rPr>
          <w:iCs/>
        </w:rPr>
        <w:t>, s 1480 (5).</w:t>
      </w:r>
    </w:p>
    <w:p w14:paraId="3F84B27A" w14:textId="77777777"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14:paraId="60BFD227" w14:textId="4C7E7C9A" w:rsidR="00D94935" w:rsidRDefault="00D94935" w:rsidP="00D94935">
      <w:pPr>
        <w:pStyle w:val="aNote"/>
      </w:pPr>
      <w:r w:rsidRPr="006364FA">
        <w:rPr>
          <w:rStyle w:val="charItals"/>
        </w:rPr>
        <w:t>Note</w:t>
      </w:r>
      <w:r>
        <w:tab/>
        <w:t xml:space="preserve">See approved form 16 (Notice of intention to apply for remuneration) </w:t>
      </w:r>
      <w:hyperlink r:id="rId1104" w:history="1">
        <w:r w:rsidRPr="00606D0B">
          <w:rPr>
            <w:rStyle w:val="charCitHyperlinkAbbrev"/>
          </w:rPr>
          <w:t>AF2007-144</w:t>
        </w:r>
      </w:hyperlink>
      <w:r>
        <w:t>.</w:t>
      </w:r>
    </w:p>
    <w:p w14:paraId="39EE0839" w14:textId="77777777" w:rsidR="00D94935" w:rsidRDefault="00D94935" w:rsidP="00D94935">
      <w:pPr>
        <w:pStyle w:val="Apara"/>
      </w:pPr>
      <w:r>
        <w:tab/>
        <w:t>(a)</w:t>
      </w:r>
      <w:r>
        <w:tab/>
        <w:t>the person who appointed the receiver;</w:t>
      </w:r>
    </w:p>
    <w:p w14:paraId="7BBE3551" w14:textId="77777777" w:rsidR="00D94935" w:rsidRDefault="00D94935" w:rsidP="00D94935">
      <w:pPr>
        <w:pStyle w:val="Apara"/>
      </w:pPr>
      <w:r>
        <w:tab/>
        <w:t>(b)</w:t>
      </w:r>
      <w:r>
        <w:tab/>
        <w:t>any creditor holding security over all or any of the same property of the corporation (except if the creditor is the person who appointed the receiver);</w:t>
      </w:r>
    </w:p>
    <w:p w14:paraId="4B10509F" w14:textId="77777777" w:rsidR="00D94935" w:rsidRDefault="00D94935" w:rsidP="00D94935">
      <w:pPr>
        <w:pStyle w:val="Apara"/>
      </w:pPr>
      <w:r>
        <w:tab/>
        <w:t>(c)</w:t>
      </w:r>
      <w:r>
        <w:tab/>
        <w:t>any administrator, liquidator or provisional liquidator of the corporation;</w:t>
      </w:r>
    </w:p>
    <w:p w14:paraId="4BF1C8B1" w14:textId="77777777" w:rsidR="00D94935" w:rsidRDefault="00D94935" w:rsidP="00D94935">
      <w:pPr>
        <w:pStyle w:val="Apara"/>
      </w:pPr>
      <w:r>
        <w:tab/>
        <w:t>(d)</w:t>
      </w:r>
      <w:r>
        <w:tab/>
        <w:t>any administrator of a deed of company arrangement executed by the corporation;</w:t>
      </w:r>
    </w:p>
    <w:p w14:paraId="15ACFB7B" w14:textId="77777777" w:rsidR="00D94935" w:rsidRDefault="00D94935" w:rsidP="0097775A">
      <w:pPr>
        <w:pStyle w:val="Apara"/>
        <w:keepNext/>
      </w:pPr>
      <w:r>
        <w:tab/>
        <w:t>(e)</w:t>
      </w:r>
      <w:r>
        <w:tab/>
        <w:t>if there is no-one of the kind mentioned in paragraph (c) or (d)—</w:t>
      </w:r>
    </w:p>
    <w:p w14:paraId="2838549C" w14:textId="77777777" w:rsidR="00D94935" w:rsidRDefault="00D94935" w:rsidP="00D94935">
      <w:pPr>
        <w:pStyle w:val="Asubpara"/>
      </w:pPr>
      <w:r>
        <w:tab/>
        <w:t>(i)</w:t>
      </w:r>
      <w:r>
        <w:tab/>
        <w:t>each of the 5 largest (measured by amount of debt) unsecured creditors of the corporation; and</w:t>
      </w:r>
    </w:p>
    <w:p w14:paraId="14129D9F" w14:textId="77777777" w:rsidR="00D94935" w:rsidRDefault="00D94935" w:rsidP="00D94935">
      <w:pPr>
        <w:pStyle w:val="Asubpara"/>
      </w:pPr>
      <w:r>
        <w:lastRenderedPageBreak/>
        <w:tab/>
        <w:t>(ii)</w:t>
      </w:r>
      <w:r>
        <w:tab/>
        <w:t>each member of the corporation whose shareholding represents at least 10% of the issued capital of the corporation.</w:t>
      </w:r>
    </w:p>
    <w:p w14:paraId="2935920A" w14:textId="77777777"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14:paraId="073042BB" w14:textId="77777777" w:rsidR="00D94935" w:rsidRDefault="00D94935" w:rsidP="00D94935">
      <w:pPr>
        <w:pStyle w:val="Amain"/>
      </w:pPr>
      <w:r>
        <w:tab/>
        <w:t>(4)</w:t>
      </w:r>
      <w:r>
        <w:tab/>
        <w:t>If the receiver does not receive a notice of objection within the period mentioned in subrule (3)—</w:t>
      </w:r>
    </w:p>
    <w:p w14:paraId="617CC324" w14:textId="77777777" w:rsidR="00D94935" w:rsidRDefault="00D94935" w:rsidP="00D94935">
      <w:pPr>
        <w:pStyle w:val="Apara"/>
      </w:pPr>
      <w:r>
        <w:tab/>
        <w:t>(a)</w:t>
      </w:r>
      <w:r>
        <w:tab/>
        <w:t>the receiver may file an affidavit, made after the end of that period, in support of the originating or interlocutory process seeking the order stating—</w:t>
      </w:r>
    </w:p>
    <w:p w14:paraId="0A5739A9" w14:textId="77777777" w:rsidR="00D94935" w:rsidRDefault="00D94935" w:rsidP="00D94935">
      <w:pPr>
        <w:pStyle w:val="Asubpara"/>
      </w:pPr>
      <w:r>
        <w:tab/>
        <w:t>(i)</w:t>
      </w:r>
      <w:r>
        <w:tab/>
        <w:t>the date, or dates, when the notice and affidavit required to be served under subrule (2) were served; and</w:t>
      </w:r>
    </w:p>
    <w:p w14:paraId="4F4BCC5B" w14:textId="77777777" w:rsidR="00D94935" w:rsidRDefault="00D94935" w:rsidP="00D94935">
      <w:pPr>
        <w:pStyle w:val="Asubpara"/>
      </w:pPr>
      <w:r>
        <w:tab/>
        <w:t>(ii)</w:t>
      </w:r>
      <w:r>
        <w:tab/>
        <w:t>that the receiver has not received any notice of objection to the remuneration claimed within the period mentioned in subrule (3); and</w:t>
      </w:r>
    </w:p>
    <w:p w14:paraId="29EB8F3C" w14:textId="77777777"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14:paraId="4CE2B1E9" w14:textId="77777777" w:rsidR="00D94935" w:rsidRDefault="00D94935" w:rsidP="00D94935">
      <w:pPr>
        <w:pStyle w:val="Apara"/>
      </w:pPr>
      <w:r>
        <w:tab/>
        <w:t>(c)</w:t>
      </w:r>
      <w:r>
        <w:tab/>
        <w:t>the application may be so dealt with.</w:t>
      </w:r>
    </w:p>
    <w:p w14:paraId="2FD00B91" w14:textId="77777777"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14:paraId="5B587DEF" w14:textId="77777777" w:rsidR="00D94935" w:rsidRDefault="00D94935" w:rsidP="007A6175">
      <w:pPr>
        <w:pStyle w:val="Amain"/>
        <w:keepNext/>
      </w:pPr>
      <w:r>
        <w:lastRenderedPageBreak/>
        <w:tab/>
        <w:t>(6)</w:t>
      </w:r>
      <w:r>
        <w:tab/>
        <w:t>An affidavit in support of the originating process, or interlocutory process, seeking the order must—</w:t>
      </w:r>
    </w:p>
    <w:p w14:paraId="6CE425DE" w14:textId="4191F913" w:rsidR="00D94935" w:rsidRDefault="00D94935" w:rsidP="00D94935">
      <w:pPr>
        <w:pStyle w:val="Apara"/>
      </w:pPr>
      <w:r>
        <w:tab/>
        <w:t>(a)</w:t>
      </w:r>
      <w:r>
        <w:tab/>
        <w:t xml:space="preserve">include evidence of the matters mentioned in the </w:t>
      </w:r>
      <w:hyperlink r:id="rId1105" w:tooltip="Act 2001 No 50 (Cwlth)" w:history="1">
        <w:r w:rsidRPr="00D74CAB">
          <w:rPr>
            <w:rStyle w:val="charCitHyperlinkAbbrev"/>
          </w:rPr>
          <w:t>Corporations Act</w:t>
        </w:r>
      </w:hyperlink>
      <w:r>
        <w:t xml:space="preserve">, section 425 (8); and </w:t>
      </w:r>
    </w:p>
    <w:p w14:paraId="078DB302" w14:textId="77777777" w:rsidR="00D94935" w:rsidRDefault="00D94935" w:rsidP="00D94935">
      <w:pPr>
        <w:pStyle w:val="Apara"/>
      </w:pPr>
      <w:r>
        <w:tab/>
        <w:t>(b)</w:t>
      </w:r>
      <w:r>
        <w:tab/>
        <w:t xml:space="preserve">state the nature of the work performed or likely to be performed by the receiver; and </w:t>
      </w:r>
    </w:p>
    <w:p w14:paraId="621902DB" w14:textId="77777777" w:rsidR="00D94935" w:rsidRDefault="00D94935" w:rsidP="00D94935">
      <w:pPr>
        <w:pStyle w:val="Apara"/>
      </w:pPr>
      <w:r>
        <w:tab/>
        <w:t>(c)</w:t>
      </w:r>
      <w:r>
        <w:tab/>
        <w:t xml:space="preserve">state the amount of remuneration claimed; and </w:t>
      </w:r>
    </w:p>
    <w:p w14:paraId="748F6F0F" w14:textId="77777777" w:rsidR="00D94935" w:rsidRDefault="00D94935" w:rsidP="00D94935">
      <w:pPr>
        <w:pStyle w:val="Apara"/>
      </w:pPr>
      <w:r>
        <w:tab/>
        <w:t>(d)</w:t>
      </w:r>
      <w:r>
        <w:tab/>
        <w:t xml:space="preserve">include a summary of the receipts taken and payments made by the receiver; and </w:t>
      </w:r>
    </w:p>
    <w:p w14:paraId="3DA49B0B" w14:textId="77777777" w:rsidR="00D94935" w:rsidRDefault="00D94935" w:rsidP="00D94935">
      <w:pPr>
        <w:pStyle w:val="Apara"/>
      </w:pPr>
      <w:r>
        <w:tab/>
        <w:t>(e)</w:t>
      </w:r>
      <w:r>
        <w:tab/>
        <w:t xml:space="preserve">state particulars of any objection of which the receiver has received notice; and </w:t>
      </w:r>
    </w:p>
    <w:p w14:paraId="6EDCD3ED" w14:textId="77777777" w:rsidR="00D94935" w:rsidRDefault="00D94935" w:rsidP="00D94935">
      <w:pPr>
        <w:pStyle w:val="Apara"/>
      </w:pPr>
      <w:r>
        <w:tab/>
        <w:t>(f)</w:t>
      </w:r>
      <w:r>
        <w:tab/>
        <w:t>if the receivership is continuing—give details of any matters delaying the completion of the receivership.</w:t>
      </w:r>
    </w:p>
    <w:p w14:paraId="28BB309F" w14:textId="77777777" w:rsidR="00D94935" w:rsidRDefault="00D94935" w:rsidP="00D94935">
      <w:pPr>
        <w:pStyle w:val="AH5Sec"/>
      </w:pPr>
      <w:bookmarkStart w:id="2016" w:name="_Toc185515632"/>
      <w:r w:rsidRPr="00C8328B">
        <w:rPr>
          <w:rStyle w:val="CharSectNo"/>
        </w:rPr>
        <w:t>9.2</w:t>
      </w:r>
      <w:r>
        <w:tab/>
        <w:t>Determination by court of remuneration of administrator (Corporations Act, s 449E (1) (c) and (1A) (c))</w:t>
      </w:r>
      <w:bookmarkEnd w:id="2016"/>
    </w:p>
    <w:p w14:paraId="3045119D" w14:textId="4A41E6A3"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106" w:tooltip="Act 2001 No 50 (Cwlth)" w:history="1">
        <w:r w:rsidRPr="00D74CAB">
          <w:rPr>
            <w:rStyle w:val="charCitHyperlinkAbbrev"/>
          </w:rPr>
          <w:t>Corporations Act</w:t>
        </w:r>
      </w:hyperlink>
      <w:r>
        <w:t>, section 449E (1) (c) or (1A) (c) determining the administrator’s remuneration.</w:t>
      </w:r>
    </w:p>
    <w:p w14:paraId="64C1834F" w14:textId="77777777"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14:paraId="6ED74E47" w14:textId="77777777" w:rsidR="00D94935" w:rsidRDefault="00D94935" w:rsidP="00D94935">
      <w:pPr>
        <w:pStyle w:val="Apara"/>
      </w:pPr>
      <w:r>
        <w:tab/>
        <w:t>(a)</w:t>
      </w:r>
      <w:r>
        <w:tab/>
        <w:t xml:space="preserve">each creditor who was present, in person or by proxy at any meeting of creditors; </w:t>
      </w:r>
    </w:p>
    <w:p w14:paraId="54E2FF2A" w14:textId="77777777" w:rsidR="00D94935" w:rsidRDefault="00D94935" w:rsidP="00D94935">
      <w:pPr>
        <w:pStyle w:val="Apara"/>
      </w:pPr>
      <w:r>
        <w:tab/>
        <w:t>(b)</w:t>
      </w:r>
      <w:r>
        <w:tab/>
        <w:t xml:space="preserve">each member of any committee of creditors or committee of inspection; </w:t>
      </w:r>
    </w:p>
    <w:p w14:paraId="2363D463" w14:textId="77777777"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14:paraId="47D7A38B" w14:textId="77777777" w:rsidR="00D94935" w:rsidRDefault="00D94935" w:rsidP="00D94935">
      <w:pPr>
        <w:pStyle w:val="Apara"/>
      </w:pPr>
      <w:r>
        <w:tab/>
        <w:t>(d)</w:t>
      </w:r>
      <w:r>
        <w:tab/>
        <w:t>each member of the company whose shareholding represents at least 10% of the issued capital of the company.</w:t>
      </w:r>
    </w:p>
    <w:p w14:paraId="36A9F393" w14:textId="0F0867C1" w:rsidR="00D94935" w:rsidRDefault="00D94935" w:rsidP="00D94935">
      <w:pPr>
        <w:pStyle w:val="aNote"/>
        <w:keepNext/>
      </w:pPr>
      <w:r>
        <w:rPr>
          <w:rStyle w:val="charItals"/>
        </w:rPr>
        <w:t>Note</w:t>
      </w:r>
      <w:r>
        <w:tab/>
        <w:t xml:space="preserve">See approved form 16 (Notice of intention to apply for remuneration) </w:t>
      </w:r>
      <w:hyperlink r:id="rId1107" w:history="1">
        <w:r w:rsidRPr="000D5DAD">
          <w:rPr>
            <w:rStyle w:val="charCitHyperlinkAbbrev"/>
          </w:rPr>
          <w:t>AF2007-144</w:t>
        </w:r>
      </w:hyperlink>
      <w:r>
        <w:t>.</w:t>
      </w:r>
    </w:p>
    <w:p w14:paraId="30F20D58" w14:textId="77777777"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14:paraId="50F6B29F" w14:textId="77777777" w:rsidR="00D94935" w:rsidRDefault="00D94935" w:rsidP="00D94935">
      <w:pPr>
        <w:pStyle w:val="Amain"/>
      </w:pPr>
      <w:r>
        <w:tab/>
        <w:t>(4)</w:t>
      </w:r>
      <w:r>
        <w:tab/>
        <w:t>If the administrator does not receive a notice of objection within the period mentioned in subrule (3)—</w:t>
      </w:r>
    </w:p>
    <w:p w14:paraId="232F6CCF" w14:textId="77777777"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14:paraId="6D6DFC04" w14:textId="77777777" w:rsidR="00D94935" w:rsidRDefault="00D94935" w:rsidP="00D94935">
      <w:pPr>
        <w:pStyle w:val="Asubpara"/>
      </w:pPr>
      <w:r>
        <w:tab/>
        <w:t>(i)</w:t>
      </w:r>
      <w:r>
        <w:tab/>
        <w:t xml:space="preserve">the date, or dates, when the notice and affidavit required to be served under subrule (2) were served; and </w:t>
      </w:r>
    </w:p>
    <w:p w14:paraId="2F6A15D9" w14:textId="77777777" w:rsidR="00D94935" w:rsidRDefault="00D94935" w:rsidP="00D94935">
      <w:pPr>
        <w:pStyle w:val="Asubpara"/>
      </w:pPr>
      <w:r>
        <w:tab/>
        <w:t>(ii)</w:t>
      </w:r>
      <w:r>
        <w:tab/>
        <w:t xml:space="preserve">that the administrator has not received any notice of objection to the remuneration claimed within the period mentioned in subrule (3); and </w:t>
      </w:r>
    </w:p>
    <w:p w14:paraId="13D4EAFE" w14:textId="77777777"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14:paraId="6A47DED9" w14:textId="77777777" w:rsidR="00D94935" w:rsidRDefault="00D94935" w:rsidP="00D94935">
      <w:pPr>
        <w:pStyle w:val="Apara"/>
      </w:pPr>
      <w:r>
        <w:tab/>
        <w:t>(c)</w:t>
      </w:r>
      <w:r>
        <w:tab/>
        <w:t xml:space="preserve">the application may be so dealt with. </w:t>
      </w:r>
    </w:p>
    <w:p w14:paraId="623D1D19" w14:textId="77777777"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14:paraId="5D9221FF" w14:textId="77777777" w:rsidR="00D94935" w:rsidRDefault="00D94935" w:rsidP="00D94935">
      <w:pPr>
        <w:pStyle w:val="Amain"/>
      </w:pPr>
      <w:r>
        <w:tab/>
        <w:t>(6)</w:t>
      </w:r>
      <w:r>
        <w:tab/>
        <w:t>An affidavit in support of the originating process, or interlocutory process, seeking the order must—</w:t>
      </w:r>
    </w:p>
    <w:p w14:paraId="4A2F0C47" w14:textId="7F890B28" w:rsidR="00D94935" w:rsidRDefault="00D94935" w:rsidP="00D94935">
      <w:pPr>
        <w:pStyle w:val="Apara"/>
      </w:pPr>
      <w:r>
        <w:tab/>
        <w:t>(a)</w:t>
      </w:r>
      <w:r>
        <w:tab/>
        <w:t xml:space="preserve">include evidence of the matters mentioned in the </w:t>
      </w:r>
      <w:hyperlink r:id="rId1108" w:tooltip="Act 2001 No 50 (Cwlth)" w:history="1">
        <w:r w:rsidRPr="00D74CAB">
          <w:rPr>
            <w:rStyle w:val="charCitHyperlinkAbbrev"/>
          </w:rPr>
          <w:t>Corporations Act</w:t>
        </w:r>
      </w:hyperlink>
      <w:r>
        <w:t xml:space="preserve">, section 449E (4); and </w:t>
      </w:r>
    </w:p>
    <w:p w14:paraId="09F6D511" w14:textId="77777777" w:rsidR="00D94935" w:rsidRDefault="00D94935" w:rsidP="00D94935">
      <w:pPr>
        <w:pStyle w:val="Apara"/>
      </w:pPr>
      <w:r>
        <w:tab/>
        <w:t>(b)</w:t>
      </w:r>
      <w:r>
        <w:tab/>
        <w:t xml:space="preserve">state the nature of the work performed or likely to be performed by the administrator; and </w:t>
      </w:r>
    </w:p>
    <w:p w14:paraId="5D589569" w14:textId="77777777" w:rsidR="00D94935" w:rsidRDefault="00D94935" w:rsidP="00D94935">
      <w:pPr>
        <w:pStyle w:val="Apara"/>
      </w:pPr>
      <w:r>
        <w:tab/>
        <w:t>(c)</w:t>
      </w:r>
      <w:r>
        <w:tab/>
        <w:t xml:space="preserve">state the amount of remuneration claimed; and </w:t>
      </w:r>
    </w:p>
    <w:p w14:paraId="2A68CBBE" w14:textId="77777777" w:rsidR="00D94935" w:rsidRDefault="00D94935" w:rsidP="00D94935">
      <w:pPr>
        <w:pStyle w:val="Apara"/>
      </w:pPr>
      <w:r>
        <w:tab/>
        <w:t>(d)</w:t>
      </w:r>
      <w:r>
        <w:tab/>
        <w:t xml:space="preserve">include a summary of the receipts taken and payments made by the administrator; and </w:t>
      </w:r>
    </w:p>
    <w:p w14:paraId="115CEF66" w14:textId="77777777" w:rsidR="00D94935" w:rsidRDefault="00D94935" w:rsidP="00D94935">
      <w:pPr>
        <w:pStyle w:val="Apara"/>
      </w:pPr>
      <w:r>
        <w:tab/>
        <w:t>(e)</w:t>
      </w:r>
      <w:r>
        <w:tab/>
        <w:t xml:space="preserve">state particulars of any objection of which the administrator has received notice; and </w:t>
      </w:r>
    </w:p>
    <w:p w14:paraId="3558D873" w14:textId="77777777" w:rsidR="00D94935" w:rsidRDefault="00D94935" w:rsidP="00D94935">
      <w:pPr>
        <w:pStyle w:val="Apara"/>
      </w:pPr>
      <w:r>
        <w:tab/>
        <w:t>(f)</w:t>
      </w:r>
      <w:r>
        <w:tab/>
        <w:t>if the administration is continuing—give details of any matters delaying the completion of the administration.</w:t>
      </w:r>
    </w:p>
    <w:p w14:paraId="2C7476B1" w14:textId="77777777" w:rsidR="00D94935" w:rsidRDefault="00D94935" w:rsidP="00D94935">
      <w:pPr>
        <w:pStyle w:val="AH5Sec"/>
      </w:pPr>
      <w:bookmarkStart w:id="2017" w:name="_Toc185515633"/>
      <w:r w:rsidRPr="00C8328B">
        <w:rPr>
          <w:rStyle w:val="CharSectNo"/>
        </w:rPr>
        <w:t>9.2A</w:t>
      </w:r>
      <w:r>
        <w:tab/>
        <w:t>Review of remuneration of administrator (Corporations Act, s 449E (2))</w:t>
      </w:r>
      <w:bookmarkEnd w:id="2017"/>
    </w:p>
    <w:p w14:paraId="0AFA1FA6" w14:textId="46429537" w:rsidR="00D94935" w:rsidRDefault="00D94935" w:rsidP="00D94935">
      <w:pPr>
        <w:pStyle w:val="Amain"/>
      </w:pPr>
      <w:r>
        <w:tab/>
        <w:t>(1)</w:t>
      </w:r>
      <w:r>
        <w:tab/>
        <w:t xml:space="preserve">This rule applies to an application for review of the amount of the remuneration of an administrator under the </w:t>
      </w:r>
      <w:hyperlink r:id="rId1109" w:tooltip="Act 2001 No 50 (Cwlth)" w:history="1">
        <w:r w:rsidRPr="00D74CAB">
          <w:rPr>
            <w:rStyle w:val="charCitHyperlinkAbbrev"/>
          </w:rPr>
          <w:t>Corporations Act</w:t>
        </w:r>
      </w:hyperlink>
      <w:r>
        <w:t>, section</w:t>
      </w:r>
      <w:r w:rsidR="00C97E34">
        <w:t> </w:t>
      </w:r>
      <w:r>
        <w:t xml:space="preserve">449E (2). </w:t>
      </w:r>
    </w:p>
    <w:p w14:paraId="389CD163" w14:textId="130FE1AC" w:rsidR="00D94935" w:rsidRDefault="00D94935" w:rsidP="00D94935">
      <w:pPr>
        <w:pStyle w:val="aNote"/>
      </w:pPr>
      <w:r>
        <w:rPr>
          <w:rStyle w:val="charItals"/>
        </w:rPr>
        <w:t>Note</w:t>
      </w:r>
      <w:r>
        <w:rPr>
          <w:rStyle w:val="charItals"/>
        </w:rPr>
        <w:tab/>
      </w:r>
      <w:r>
        <w:t xml:space="preserve">The amendment to the </w:t>
      </w:r>
      <w:hyperlink r:id="rId1110" w:tooltip="Act 2001 No 50 (Cwlth)" w:history="1">
        <w:r w:rsidRPr="00D74CAB">
          <w:rPr>
            <w:rStyle w:val="charCitHyperlinkAbbrev"/>
          </w:rPr>
          <w:t>Corporations Act</w:t>
        </w:r>
      </w:hyperlink>
      <w:r>
        <w:t xml:space="preserve">, section 449E made by the </w:t>
      </w:r>
      <w:hyperlink r:id="rId1111"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112" w:tooltip="Act 2001 No 50 (Cwlth)" w:history="1">
        <w:r w:rsidRPr="00D74CAB">
          <w:rPr>
            <w:rStyle w:val="charCitHyperlinkAbbrev"/>
          </w:rPr>
          <w:t>Corporations Act</w:t>
        </w:r>
      </w:hyperlink>
      <w:r>
        <w:t xml:space="preserve">, s 1480 (6). </w:t>
      </w:r>
    </w:p>
    <w:p w14:paraId="731991A3" w14:textId="3E0F6908" w:rsidR="00D94935" w:rsidRDefault="00D94935" w:rsidP="00D94935">
      <w:pPr>
        <w:pStyle w:val="Amain"/>
      </w:pPr>
      <w:r>
        <w:tab/>
        <w:t>(2)</w:t>
      </w:r>
      <w:r>
        <w:tab/>
        <w:t xml:space="preserve">The application may be made only after the remuneration has been determined under the </w:t>
      </w:r>
      <w:hyperlink r:id="rId1113" w:tooltip="Act 2001 No 50 (Cwlth)" w:history="1">
        <w:r w:rsidRPr="00D74CAB">
          <w:rPr>
            <w:rStyle w:val="charCitHyperlinkAbbrev"/>
          </w:rPr>
          <w:t>Corporations Act</w:t>
        </w:r>
      </w:hyperlink>
      <w:r>
        <w:t>, section 449E (1) (a) or (b) or</w:t>
      </w:r>
      <w:r w:rsidR="007A6175">
        <w:t> </w:t>
      </w:r>
      <w:r>
        <w:t xml:space="preserve">(1A) (a) or (b). </w:t>
      </w:r>
    </w:p>
    <w:p w14:paraId="36F50FC7" w14:textId="77777777"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726B1EFB" w14:textId="77777777" w:rsidR="00D94935" w:rsidRDefault="00D94935" w:rsidP="00D94935">
      <w:pPr>
        <w:pStyle w:val="Apara"/>
      </w:pPr>
      <w:r>
        <w:tab/>
        <w:t>(a)</w:t>
      </w:r>
      <w:r>
        <w:tab/>
        <w:t xml:space="preserve">if there is a committee of creditors or a committee of inspection—each member of the committee; </w:t>
      </w:r>
    </w:p>
    <w:p w14:paraId="12906D49" w14:textId="77777777"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14:paraId="49BD44CA" w14:textId="77777777" w:rsidR="00D94935" w:rsidRDefault="00D94935" w:rsidP="00D94935">
      <w:pPr>
        <w:pStyle w:val="Apara"/>
      </w:pPr>
      <w:r>
        <w:tab/>
        <w:t>(c)</w:t>
      </w:r>
      <w:r>
        <w:tab/>
        <w:t xml:space="preserve">each member of the company whose shareholding represents at least 10% of the issued capital of the company. </w:t>
      </w:r>
    </w:p>
    <w:p w14:paraId="7D04C6DB" w14:textId="74B334B0" w:rsidR="00D94935" w:rsidRDefault="00D94935" w:rsidP="00282217">
      <w:pPr>
        <w:pStyle w:val="aNote"/>
      </w:pPr>
      <w:r>
        <w:rPr>
          <w:rStyle w:val="charItals"/>
        </w:rPr>
        <w:t>Note</w:t>
      </w:r>
      <w:r>
        <w:tab/>
        <w:t xml:space="preserve">See approved form 16A (Notice of intention to apply for review of remuneration) </w:t>
      </w:r>
      <w:hyperlink r:id="rId1114" w:history="1">
        <w:r w:rsidRPr="000D5DAD">
          <w:rPr>
            <w:rStyle w:val="charCitHyperlinkAbbrev"/>
          </w:rPr>
          <w:t>AF2008-68</w:t>
        </w:r>
      </w:hyperlink>
      <w:r>
        <w:t>.</w:t>
      </w:r>
    </w:p>
    <w:p w14:paraId="3B4DB8B8" w14:textId="77777777"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14:paraId="2FB439BF" w14:textId="77777777" w:rsidR="00D94935" w:rsidRDefault="00D94935" w:rsidP="00D94935">
      <w:pPr>
        <w:pStyle w:val="Apara"/>
      </w:pPr>
      <w:r>
        <w:tab/>
        <w:t>(a)</w:t>
      </w:r>
      <w:r>
        <w:tab/>
        <w:t xml:space="preserve">stating the person’s intention to appear at the hearing of the application for review; and </w:t>
      </w:r>
    </w:p>
    <w:p w14:paraId="30181221" w14:textId="77777777" w:rsidR="00D94935" w:rsidRDefault="00D94935" w:rsidP="00D94935">
      <w:pPr>
        <w:pStyle w:val="Apara"/>
      </w:pPr>
      <w:r>
        <w:tab/>
        <w:t>(b)</w:t>
      </w:r>
      <w:r>
        <w:tab/>
        <w:t>setting out the issues that the person seeks to raise before the court.</w:t>
      </w:r>
    </w:p>
    <w:p w14:paraId="267C493E" w14:textId="77777777"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14:paraId="09128D6B"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27C7F6B3" w14:textId="77777777" w:rsidR="00D94935" w:rsidRDefault="00D94935" w:rsidP="00D94935">
      <w:pPr>
        <w:pStyle w:val="Amain"/>
      </w:pPr>
      <w:r>
        <w:lastRenderedPageBreak/>
        <w:tab/>
        <w:t>(7)</w:t>
      </w:r>
      <w:r>
        <w:tab/>
        <w:t>The administrator must file an affidavit stating the following matters:</w:t>
      </w:r>
    </w:p>
    <w:p w14:paraId="3D4FE6AD" w14:textId="098178CC" w:rsidR="00D94935" w:rsidRDefault="00D94935" w:rsidP="00D94935">
      <w:pPr>
        <w:pStyle w:val="Apara"/>
      </w:pPr>
      <w:r>
        <w:tab/>
        <w:t>(a)</w:t>
      </w:r>
      <w:r>
        <w:tab/>
        <w:t xml:space="preserve">the matters mentioned in the </w:t>
      </w:r>
      <w:hyperlink r:id="rId1115" w:tooltip="Act 2001 No 50 (Cwlth)" w:history="1">
        <w:r w:rsidRPr="00D74CAB">
          <w:rPr>
            <w:rStyle w:val="charCitHyperlinkAbbrev"/>
          </w:rPr>
          <w:t>Corporations Act</w:t>
        </w:r>
      </w:hyperlink>
      <w:r>
        <w:t xml:space="preserve">, section 449E (4); </w:t>
      </w:r>
    </w:p>
    <w:p w14:paraId="3D5156C9" w14:textId="77777777" w:rsidR="00D94935" w:rsidRDefault="00D94935" w:rsidP="00D94935">
      <w:pPr>
        <w:pStyle w:val="Apara"/>
      </w:pPr>
      <w:r>
        <w:tab/>
        <w:t>(b)</w:t>
      </w:r>
      <w:r>
        <w:tab/>
        <w:t xml:space="preserve">the nature of the work performed or likely to be performed by the administrator; </w:t>
      </w:r>
    </w:p>
    <w:p w14:paraId="747B31FC" w14:textId="77777777" w:rsidR="00D94935" w:rsidRDefault="00D94935" w:rsidP="00D94935">
      <w:pPr>
        <w:pStyle w:val="Apara"/>
      </w:pPr>
      <w:r>
        <w:tab/>
        <w:t>(c)</w:t>
      </w:r>
      <w:r>
        <w:tab/>
        <w:t xml:space="preserve">the amount of remuneration claimed by the administrator if that amount is different from the amount of remuneration that has been determined; </w:t>
      </w:r>
    </w:p>
    <w:p w14:paraId="35399000" w14:textId="77777777" w:rsidR="00D94935" w:rsidRDefault="00D94935" w:rsidP="00D94935">
      <w:pPr>
        <w:pStyle w:val="Apara"/>
      </w:pPr>
      <w:r>
        <w:tab/>
        <w:t>(d)</w:t>
      </w:r>
      <w:r>
        <w:tab/>
        <w:t xml:space="preserve">a summary of the receipts taken and payments made by the administrator; </w:t>
      </w:r>
    </w:p>
    <w:p w14:paraId="7C5628C9" w14:textId="77777777" w:rsidR="00D94935" w:rsidRDefault="00D94935" w:rsidP="00D94935">
      <w:pPr>
        <w:pStyle w:val="Apara"/>
      </w:pPr>
      <w:r>
        <w:tab/>
        <w:t>(e)</w:t>
      </w:r>
      <w:r>
        <w:tab/>
        <w:t xml:space="preserve">particulars of any objection to the remuneration as determined, of which the administrator has received notice; </w:t>
      </w:r>
    </w:p>
    <w:p w14:paraId="1067B097" w14:textId="77777777" w:rsidR="00D94935" w:rsidRDefault="00D94935" w:rsidP="00D94935">
      <w:pPr>
        <w:pStyle w:val="Apara"/>
      </w:pPr>
      <w:r>
        <w:tab/>
        <w:t>(f)</w:t>
      </w:r>
      <w:r>
        <w:tab/>
        <w:t xml:space="preserve">if the administration is continuing — details of any matters delaying the completion of the administration. </w:t>
      </w:r>
    </w:p>
    <w:p w14:paraId="74EE5736" w14:textId="77777777" w:rsidR="00D94935" w:rsidRDefault="00D94935" w:rsidP="00D94935">
      <w:pPr>
        <w:pStyle w:val="Amain"/>
      </w:pPr>
      <w:r>
        <w:tab/>
        <w:t>(8)</w:t>
      </w:r>
      <w:r>
        <w:tab/>
        <w:t>The affidavit mentioned in subrule (7) must annex a copy of the report that the administrator was required to prepare before remuneration was determined.</w:t>
      </w:r>
    </w:p>
    <w:p w14:paraId="7694A1F5" w14:textId="77777777" w:rsidR="00D94935" w:rsidRDefault="00D94935" w:rsidP="00D94935">
      <w:pPr>
        <w:pStyle w:val="Amain"/>
      </w:pPr>
      <w:r>
        <w:tab/>
        <w:t>(9)</w:t>
      </w:r>
      <w:r>
        <w:tab/>
        <w:t>The plaintiff or applicant must—</w:t>
      </w:r>
    </w:p>
    <w:p w14:paraId="3F163136" w14:textId="77777777" w:rsidR="00D94935" w:rsidRDefault="00D94935" w:rsidP="00D94935">
      <w:pPr>
        <w:pStyle w:val="Apara"/>
      </w:pPr>
      <w:r>
        <w:tab/>
        <w:t>(a)</w:t>
      </w:r>
      <w:r>
        <w:tab/>
        <w:t xml:space="preserve">file an affidavit stating whether any notice or notices under subrule (4) has or have been served; and </w:t>
      </w:r>
    </w:p>
    <w:p w14:paraId="516AAC2C" w14:textId="77777777" w:rsidR="00D94935" w:rsidRDefault="00D94935" w:rsidP="00D94935">
      <w:pPr>
        <w:pStyle w:val="Apara"/>
      </w:pPr>
      <w:r>
        <w:tab/>
        <w:t>(b)</w:t>
      </w:r>
      <w:r>
        <w:tab/>
        <w:t>annex or exhibit to the affidavit a copy of the notice or notices.</w:t>
      </w:r>
    </w:p>
    <w:p w14:paraId="045BFFBC" w14:textId="77777777" w:rsidR="00D94935" w:rsidRDefault="00D94935" w:rsidP="00D94935">
      <w:pPr>
        <w:pStyle w:val="Schclauseheading"/>
      </w:pPr>
      <w:bookmarkStart w:id="2018" w:name="_Toc185515634"/>
      <w:r w:rsidRPr="00C8328B">
        <w:rPr>
          <w:rStyle w:val="CharSectNo"/>
        </w:rPr>
        <w:t>9.3</w:t>
      </w:r>
      <w:r>
        <w:tab/>
        <w:t>Remuneration of provisional liquidator (Corporations Act, s 473 (2))</w:t>
      </w:r>
      <w:bookmarkEnd w:id="2018"/>
    </w:p>
    <w:p w14:paraId="586E8A6A" w14:textId="7908444B" w:rsidR="00D94935" w:rsidRDefault="00D94935" w:rsidP="00D94935">
      <w:pPr>
        <w:pStyle w:val="Amain"/>
      </w:pPr>
      <w:r>
        <w:tab/>
        <w:t>(1)</w:t>
      </w:r>
      <w:r>
        <w:tab/>
        <w:t xml:space="preserve">This rule applies to an application by a provisional liquidator of a company for an order under the </w:t>
      </w:r>
      <w:hyperlink r:id="rId1116" w:tooltip="Act 2001 No 50 (Cwlth)" w:history="1">
        <w:r w:rsidRPr="00D74CAB">
          <w:rPr>
            <w:rStyle w:val="charCitHyperlinkAbbrev"/>
          </w:rPr>
          <w:t>Corporations Act</w:t>
        </w:r>
      </w:hyperlink>
      <w:r>
        <w:t>, section 473 (2) determining the provisional liquidator’s remuneration.</w:t>
      </w:r>
    </w:p>
    <w:p w14:paraId="23C0EA6A" w14:textId="77777777" w:rsidR="00D94935" w:rsidRDefault="00D94935" w:rsidP="00D94935">
      <w:pPr>
        <w:pStyle w:val="Amain"/>
      </w:pPr>
      <w:r>
        <w:tab/>
        <w:t>(2)</w:t>
      </w:r>
      <w:r>
        <w:tab/>
        <w:t>The application must be made by interlocutory process in the winding-up proceeding.</w:t>
      </w:r>
    </w:p>
    <w:p w14:paraId="3AED992F" w14:textId="77777777"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14:paraId="481A6E26" w14:textId="671F17CE" w:rsidR="00D94935" w:rsidRDefault="00D94935" w:rsidP="00D94935">
      <w:pPr>
        <w:pStyle w:val="aNote"/>
      </w:pPr>
      <w:r w:rsidRPr="006364FA">
        <w:rPr>
          <w:rStyle w:val="charItals"/>
        </w:rPr>
        <w:t>Note</w:t>
      </w:r>
      <w:r>
        <w:tab/>
        <w:t xml:space="preserve">See approved form 16 (Notice of intention to apply for remuneration) </w:t>
      </w:r>
      <w:hyperlink r:id="rId1117" w:history="1">
        <w:r w:rsidRPr="000D5DAD">
          <w:rPr>
            <w:rStyle w:val="charCitHyperlinkAbbrev"/>
          </w:rPr>
          <w:t>AF2007-144</w:t>
        </w:r>
      </w:hyperlink>
      <w:r>
        <w:t>.</w:t>
      </w:r>
    </w:p>
    <w:p w14:paraId="39008BFC" w14:textId="77777777" w:rsidR="00D94935" w:rsidRDefault="00D94935" w:rsidP="00D94935">
      <w:pPr>
        <w:pStyle w:val="Apara"/>
      </w:pPr>
      <w:r>
        <w:tab/>
        <w:t>(a)</w:t>
      </w:r>
      <w:r>
        <w:tab/>
        <w:t>any liquidator (except the provisional liquidator) of the company;</w:t>
      </w:r>
    </w:p>
    <w:p w14:paraId="650716C4" w14:textId="77777777" w:rsidR="00D94935" w:rsidRDefault="00D94935" w:rsidP="00D94935">
      <w:pPr>
        <w:pStyle w:val="Apara"/>
      </w:pPr>
      <w:r>
        <w:tab/>
        <w:t>(b)</w:t>
      </w:r>
      <w:r>
        <w:tab/>
        <w:t>each member of any committee of inspection or, if there is no committee of inspection, each of the 5 largest (measured by amount of debt) creditors of the company;</w:t>
      </w:r>
    </w:p>
    <w:p w14:paraId="5C013D56" w14:textId="77777777" w:rsidR="00D94935" w:rsidRDefault="00D94935" w:rsidP="00D94935">
      <w:pPr>
        <w:pStyle w:val="Apara"/>
      </w:pPr>
      <w:r>
        <w:tab/>
        <w:t>(c)</w:t>
      </w:r>
      <w:r>
        <w:tab/>
        <w:t>each member of the company whose shareholding represents at least 10 % of the issued capital of the company.</w:t>
      </w:r>
    </w:p>
    <w:p w14:paraId="369AE7CE" w14:textId="77777777"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14:paraId="6FBBA253" w14:textId="77777777" w:rsidR="00D94935" w:rsidRDefault="00D94935" w:rsidP="00D94935">
      <w:pPr>
        <w:pStyle w:val="Amain"/>
      </w:pPr>
      <w:r>
        <w:tab/>
        <w:t>(5)</w:t>
      </w:r>
      <w:r>
        <w:tab/>
        <w:t>If the provisional liquidator does not receive a notice of objection within the period mentioned in subrule (4)—</w:t>
      </w:r>
    </w:p>
    <w:p w14:paraId="0C4F37DA" w14:textId="77777777" w:rsidR="00D94935" w:rsidRDefault="00D94935" w:rsidP="00D94935">
      <w:pPr>
        <w:pStyle w:val="Apara"/>
      </w:pPr>
      <w:r>
        <w:tab/>
        <w:t>(a)</w:t>
      </w:r>
      <w:r>
        <w:tab/>
        <w:t>the provisional liquidator may file an affidavit, made after the end of that period, in support of the interlocutory process seeking the order stating—</w:t>
      </w:r>
    </w:p>
    <w:p w14:paraId="561E56AC" w14:textId="77777777" w:rsidR="00D94935" w:rsidRDefault="00D94935" w:rsidP="00D94935">
      <w:pPr>
        <w:pStyle w:val="Asubpara"/>
      </w:pPr>
      <w:r>
        <w:tab/>
        <w:t>(i)</w:t>
      </w:r>
      <w:r>
        <w:tab/>
        <w:t>the date, or dates, when the notice and affidavit required to be served under subrule (3) were served; and</w:t>
      </w:r>
    </w:p>
    <w:p w14:paraId="64EFF254" w14:textId="77777777"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14:paraId="6430654B" w14:textId="77777777"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14:paraId="2FAAD3DA" w14:textId="77777777" w:rsidR="00D94935" w:rsidRDefault="00D94935" w:rsidP="00D94935">
      <w:pPr>
        <w:pStyle w:val="Apara"/>
      </w:pPr>
      <w:r>
        <w:tab/>
        <w:t>(c)</w:t>
      </w:r>
      <w:r>
        <w:tab/>
        <w:t>the application may be so dealt with.</w:t>
      </w:r>
    </w:p>
    <w:p w14:paraId="478E115C" w14:textId="77777777"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14:paraId="303CD4FC" w14:textId="77777777" w:rsidR="00D94935" w:rsidRDefault="00D94935" w:rsidP="00D94935">
      <w:pPr>
        <w:pStyle w:val="Apara"/>
      </w:pPr>
      <w:r>
        <w:tab/>
        <w:t>(a)</w:t>
      </w:r>
      <w:r>
        <w:tab/>
        <w:t>on each creditor or contributory who has given a notice of objection; and</w:t>
      </w:r>
    </w:p>
    <w:p w14:paraId="28C383DE" w14:textId="77777777" w:rsidR="00D94935" w:rsidRDefault="00D94935" w:rsidP="00D94935">
      <w:pPr>
        <w:pStyle w:val="Apara"/>
      </w:pPr>
      <w:r>
        <w:tab/>
        <w:t>(b)</w:t>
      </w:r>
      <w:r>
        <w:tab/>
        <w:t>on the liquidator (if any).</w:t>
      </w:r>
    </w:p>
    <w:p w14:paraId="6FA69797" w14:textId="77777777" w:rsidR="00D94935" w:rsidRDefault="00D94935" w:rsidP="00D94935">
      <w:pPr>
        <w:pStyle w:val="Amain"/>
      </w:pPr>
      <w:r>
        <w:tab/>
        <w:t>(7)</w:t>
      </w:r>
      <w:r>
        <w:tab/>
        <w:t>An affidavit in support of the interlocutory process seeking the order must—</w:t>
      </w:r>
    </w:p>
    <w:p w14:paraId="651261AE" w14:textId="77777777" w:rsidR="00D94935" w:rsidRDefault="00D94935" w:rsidP="00D94935">
      <w:pPr>
        <w:pStyle w:val="Apara"/>
      </w:pPr>
      <w:r>
        <w:tab/>
        <w:t>(a)</w:t>
      </w:r>
      <w:r>
        <w:tab/>
        <w:t>state the nature of the work performed or likely to be performed by the provisional liquidator; and</w:t>
      </w:r>
    </w:p>
    <w:p w14:paraId="0D3A4AB9" w14:textId="77777777" w:rsidR="00D94935" w:rsidRDefault="00D94935" w:rsidP="00D94935">
      <w:pPr>
        <w:pStyle w:val="Apara"/>
      </w:pPr>
      <w:r>
        <w:tab/>
        <w:t>(b)</w:t>
      </w:r>
      <w:r>
        <w:tab/>
        <w:t>state the amount of remuneration claimed; and</w:t>
      </w:r>
    </w:p>
    <w:p w14:paraId="10514E03" w14:textId="77777777" w:rsidR="00D94935" w:rsidRDefault="00D94935" w:rsidP="00D94935">
      <w:pPr>
        <w:pStyle w:val="Apara"/>
      </w:pPr>
      <w:r>
        <w:tab/>
        <w:t>(c)</w:t>
      </w:r>
      <w:r>
        <w:tab/>
        <w:t>include a summary of the receipts taken and payments made by the provisional liquidator; and</w:t>
      </w:r>
    </w:p>
    <w:p w14:paraId="1A2A826A" w14:textId="77777777"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14:paraId="6BD9CE42" w14:textId="77777777" w:rsidR="00D94935" w:rsidRDefault="00D94935" w:rsidP="00D94935">
      <w:pPr>
        <w:pStyle w:val="Apara"/>
      </w:pPr>
      <w:r>
        <w:tab/>
        <w:t>(e)</w:t>
      </w:r>
      <w:r>
        <w:tab/>
        <w:t>if the winding-up proceeding has not been completed—give details of—</w:t>
      </w:r>
    </w:p>
    <w:p w14:paraId="1DCAAB32" w14:textId="77777777" w:rsidR="00D94935" w:rsidRDefault="00D94935" w:rsidP="00D94935">
      <w:pPr>
        <w:pStyle w:val="Asubpara"/>
      </w:pPr>
      <w:r>
        <w:tab/>
        <w:t>(i)</w:t>
      </w:r>
      <w:r>
        <w:tab/>
        <w:t>any reasons known to the provisional liquidator why the winding-up proceeding has not been completed; and</w:t>
      </w:r>
    </w:p>
    <w:p w14:paraId="03166254" w14:textId="77777777" w:rsidR="00D94935" w:rsidRDefault="00D94935" w:rsidP="00D94935">
      <w:pPr>
        <w:pStyle w:val="Asubpara"/>
      </w:pPr>
      <w:r>
        <w:tab/>
        <w:t>(ii)</w:t>
      </w:r>
      <w:r>
        <w:tab/>
        <w:t>any reasons why the provisional liquidator’s remuneration should be determined before the completion of the winding-up proceeding.</w:t>
      </w:r>
    </w:p>
    <w:p w14:paraId="0CC6D6BC" w14:textId="0DE1ACD2" w:rsidR="00D94935" w:rsidRDefault="00D94935" w:rsidP="00B37628">
      <w:pPr>
        <w:pStyle w:val="Amain"/>
        <w:keepNext/>
      </w:pPr>
      <w:r>
        <w:lastRenderedPageBreak/>
        <w:tab/>
        <w:t>(8)</w:t>
      </w:r>
      <w:r>
        <w:tab/>
        <w:t xml:space="preserve">The affidavit must also provide evidence of the matters mentioned in the </w:t>
      </w:r>
      <w:hyperlink r:id="rId1118" w:tooltip="Act 2001 No 50 (Cwlth)" w:history="1">
        <w:r w:rsidRPr="00D74CAB">
          <w:rPr>
            <w:rStyle w:val="charCitHyperlinkAbbrev"/>
          </w:rPr>
          <w:t>Corporations Act</w:t>
        </w:r>
      </w:hyperlink>
      <w:r>
        <w:t>, section 473 (10)—</w:t>
      </w:r>
    </w:p>
    <w:p w14:paraId="43288FD7" w14:textId="77777777" w:rsidR="00D94935" w:rsidRDefault="00D94935" w:rsidP="00D94935">
      <w:pPr>
        <w:pStyle w:val="Apara"/>
      </w:pPr>
      <w:r>
        <w:tab/>
        <w:t>(a)</w:t>
      </w:r>
      <w:r>
        <w:tab/>
        <w:t xml:space="preserve">to the extent that they may be relevant to a provisional liquidator; and </w:t>
      </w:r>
    </w:p>
    <w:p w14:paraId="0622F5A7" w14:textId="77777777"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14:paraId="0636C7F6" w14:textId="77777777" w:rsidR="00D94935" w:rsidRDefault="00D94935" w:rsidP="00D94935">
      <w:pPr>
        <w:pStyle w:val="Schclauseheading"/>
      </w:pPr>
      <w:bookmarkStart w:id="2019" w:name="_Toc185515635"/>
      <w:r w:rsidRPr="00C8328B">
        <w:rPr>
          <w:rStyle w:val="CharSectNo"/>
        </w:rPr>
        <w:t>9.4</w:t>
      </w:r>
      <w:r>
        <w:tab/>
        <w:t>Determination by court of liquidator’s remuneration (Corporations Act, s 473 (3) (b) (ii))</w:t>
      </w:r>
      <w:bookmarkEnd w:id="2019"/>
    </w:p>
    <w:p w14:paraId="7EA1D5FF" w14:textId="61789CB5" w:rsidR="00D94935" w:rsidRDefault="00D94935" w:rsidP="00D94935">
      <w:pPr>
        <w:pStyle w:val="Amain"/>
      </w:pPr>
      <w:r>
        <w:tab/>
        <w:t>(1)</w:t>
      </w:r>
      <w:r>
        <w:tab/>
        <w:t xml:space="preserve">This rule applies to an application by a liquidator of a company for an order under the </w:t>
      </w:r>
      <w:hyperlink r:id="rId1119" w:tooltip="Act 2001 No 50 (Cwlth)" w:history="1">
        <w:r w:rsidRPr="00D74CAB">
          <w:rPr>
            <w:rStyle w:val="charCitHyperlinkAbbrev"/>
          </w:rPr>
          <w:t>Corporations Act</w:t>
        </w:r>
      </w:hyperlink>
      <w:r>
        <w:t>, section 473 (3) (b) (ii) determining the liquidator’s remuneration.</w:t>
      </w:r>
    </w:p>
    <w:p w14:paraId="219B893B" w14:textId="192C8728" w:rsidR="00D94935" w:rsidRDefault="00D94935" w:rsidP="00D94935">
      <w:pPr>
        <w:pStyle w:val="aNote"/>
        <w:rPr>
          <w:iCs/>
        </w:rPr>
      </w:pPr>
      <w:r>
        <w:rPr>
          <w:rStyle w:val="charItals"/>
        </w:rPr>
        <w:t>Note</w:t>
      </w:r>
      <w:r>
        <w:rPr>
          <w:rStyle w:val="charItals"/>
        </w:rPr>
        <w:tab/>
      </w:r>
      <w:r>
        <w:rPr>
          <w:iCs/>
        </w:rPr>
        <w:t xml:space="preserve">The amendment to the </w:t>
      </w:r>
      <w:hyperlink r:id="rId1120" w:tooltip="Act 2001 No 50 (Cwlth)" w:history="1">
        <w:r w:rsidRPr="00D74CAB">
          <w:rPr>
            <w:rStyle w:val="charCitHyperlinkAbbrev"/>
          </w:rPr>
          <w:t>Corporations Act</w:t>
        </w:r>
      </w:hyperlink>
      <w:r>
        <w:rPr>
          <w:iCs/>
        </w:rPr>
        <w:t xml:space="preserve">, s 473 made by the </w:t>
      </w:r>
      <w:hyperlink r:id="rId1121"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22" w:tooltip="Act 2001 No 50 (Cwlth)" w:history="1">
        <w:r w:rsidRPr="00D74CAB">
          <w:rPr>
            <w:rStyle w:val="charCitHyperlinkAbbrev"/>
          </w:rPr>
          <w:t>Corporations Act</w:t>
        </w:r>
      </w:hyperlink>
      <w:r>
        <w:rPr>
          <w:iCs/>
        </w:rPr>
        <w:t>, s 1480 (7).</w:t>
      </w:r>
    </w:p>
    <w:p w14:paraId="66EC5DFE" w14:textId="77777777" w:rsidR="00D94935" w:rsidRDefault="00D94935" w:rsidP="00282217">
      <w:pPr>
        <w:pStyle w:val="Amain"/>
        <w:keepNext/>
      </w:pPr>
      <w:r>
        <w:tab/>
        <w:t>(2)</w:t>
      </w:r>
      <w:r>
        <w:tab/>
        <w:t>The application—</w:t>
      </w:r>
    </w:p>
    <w:p w14:paraId="14DED702" w14:textId="77777777" w:rsidR="00D94935" w:rsidRDefault="00D94935" w:rsidP="00D94935">
      <w:pPr>
        <w:pStyle w:val="Apara"/>
      </w:pPr>
      <w:r>
        <w:tab/>
        <w:t>(a)</w:t>
      </w:r>
      <w:r>
        <w:tab/>
        <w:t>must be made by interlocutory process in the winding-up proceeding; and</w:t>
      </w:r>
    </w:p>
    <w:p w14:paraId="43EB1343" w14:textId="173D60DD" w:rsidR="00D94935" w:rsidRDefault="00D94935" w:rsidP="00D94935">
      <w:pPr>
        <w:pStyle w:val="Apara"/>
      </w:pPr>
      <w:r>
        <w:tab/>
        <w:t>(b)</w:t>
      </w:r>
      <w:r>
        <w:tab/>
        <w:t xml:space="preserve">must not be made until after the date of the meeting of creditors mentioned in the </w:t>
      </w:r>
      <w:hyperlink r:id="rId1123" w:tooltip="Act 2001 No 50 (Cwlth)" w:history="1">
        <w:r w:rsidRPr="00D74CAB">
          <w:rPr>
            <w:rStyle w:val="charCitHyperlinkAbbrev"/>
          </w:rPr>
          <w:t>Corporations Act</w:t>
        </w:r>
      </w:hyperlink>
      <w:r>
        <w:t>, section 473 (4).</w:t>
      </w:r>
    </w:p>
    <w:p w14:paraId="2C4EB946" w14:textId="77777777"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14:paraId="6326744A" w14:textId="76C2D910" w:rsidR="00D94935" w:rsidRDefault="00D94935" w:rsidP="00D94935">
      <w:pPr>
        <w:pStyle w:val="aNote"/>
      </w:pPr>
      <w:r w:rsidRPr="006364FA">
        <w:rPr>
          <w:rStyle w:val="charItals"/>
        </w:rPr>
        <w:t>Note</w:t>
      </w:r>
      <w:r>
        <w:tab/>
        <w:t xml:space="preserve">See approved form 16 (Notice of intention to apply for remuneration) </w:t>
      </w:r>
      <w:hyperlink r:id="rId1124" w:history="1">
        <w:r w:rsidRPr="000D5DAD">
          <w:rPr>
            <w:rStyle w:val="charCitHyperlinkAbbrev"/>
          </w:rPr>
          <w:t>AF2007-144</w:t>
        </w:r>
      </w:hyperlink>
      <w:r>
        <w:t>.</w:t>
      </w:r>
    </w:p>
    <w:p w14:paraId="55482E1F" w14:textId="77777777" w:rsidR="00D94935" w:rsidRDefault="00D94935" w:rsidP="00D94935">
      <w:pPr>
        <w:pStyle w:val="Apara"/>
      </w:pPr>
      <w:r>
        <w:tab/>
        <w:t>(a)</w:t>
      </w:r>
      <w:r>
        <w:tab/>
        <w:t>each creditor who was present, in person or by proxy, at any meeting of creditors at which the remuneration of the liquidator was considered;</w:t>
      </w:r>
    </w:p>
    <w:p w14:paraId="4D1E4309" w14:textId="77777777" w:rsidR="00D94935" w:rsidRDefault="00D94935" w:rsidP="00D94935">
      <w:pPr>
        <w:pStyle w:val="Apara"/>
      </w:pPr>
      <w:r>
        <w:tab/>
        <w:t>(b)</w:t>
      </w:r>
      <w:r>
        <w:tab/>
        <w:t>each member of any committee of inspection;</w:t>
      </w:r>
    </w:p>
    <w:p w14:paraId="1CFEA011" w14:textId="77777777"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14:paraId="6F4F5FF3" w14:textId="77777777" w:rsidR="00D94935" w:rsidRDefault="00D94935" w:rsidP="00D94935">
      <w:pPr>
        <w:pStyle w:val="Apara"/>
        <w:rPr>
          <w:iCs/>
        </w:rPr>
      </w:pPr>
      <w:r>
        <w:tab/>
        <w:t>(d)</w:t>
      </w:r>
      <w:r>
        <w:tab/>
        <w:t>each member of the company whose shareholding represents at least 10% of the issued capital of the company.</w:t>
      </w:r>
    </w:p>
    <w:p w14:paraId="5320DAD2" w14:textId="77777777"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14:paraId="2E7799B5" w14:textId="77777777" w:rsidR="00D94935" w:rsidRDefault="00D94935" w:rsidP="00282217">
      <w:pPr>
        <w:pStyle w:val="Amain"/>
        <w:keepNext/>
      </w:pPr>
      <w:r>
        <w:tab/>
        <w:t>(5)</w:t>
      </w:r>
      <w:r>
        <w:tab/>
        <w:t>If the liquidator does not receive a notice of objection within the period mentioned in subrule (4)—</w:t>
      </w:r>
    </w:p>
    <w:p w14:paraId="3D50926A" w14:textId="77777777" w:rsidR="00D94935" w:rsidRDefault="00D94935" w:rsidP="00282217">
      <w:pPr>
        <w:pStyle w:val="Apara"/>
        <w:keepNext/>
      </w:pPr>
      <w:r>
        <w:tab/>
        <w:t>(a)</w:t>
      </w:r>
      <w:r>
        <w:tab/>
        <w:t>the liquidator may file an affidavit, made after the end of that period, in support of the interlocutory process seeking the order stating—</w:t>
      </w:r>
    </w:p>
    <w:p w14:paraId="570DC84B" w14:textId="77777777" w:rsidR="00D94935" w:rsidRDefault="00D94935" w:rsidP="00D94935">
      <w:pPr>
        <w:pStyle w:val="Asubpara"/>
      </w:pPr>
      <w:r>
        <w:tab/>
        <w:t>(i)</w:t>
      </w:r>
      <w:r>
        <w:tab/>
        <w:t>the date, or dates, when the notice and affidavit required to be served under subrule (3) were served; and</w:t>
      </w:r>
    </w:p>
    <w:p w14:paraId="46C9D2A4" w14:textId="77777777" w:rsidR="00D94935" w:rsidRDefault="00D94935" w:rsidP="00D94935">
      <w:pPr>
        <w:pStyle w:val="Asubpara"/>
      </w:pPr>
      <w:r>
        <w:tab/>
        <w:t>(ii)</w:t>
      </w:r>
      <w:r>
        <w:tab/>
        <w:t>that the liquidator has not received any notice of objection to the remuneration claimed within the period mentioned in subrule (4); and</w:t>
      </w:r>
    </w:p>
    <w:p w14:paraId="47A2BEE9" w14:textId="77777777"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14:paraId="4982C89C" w14:textId="77777777" w:rsidR="00D94935" w:rsidRDefault="00D94935" w:rsidP="00D94935">
      <w:pPr>
        <w:pStyle w:val="Apara"/>
      </w:pPr>
      <w:r>
        <w:tab/>
        <w:t>(c)</w:t>
      </w:r>
      <w:r>
        <w:tab/>
        <w:t>the application may be so dealt with.</w:t>
      </w:r>
    </w:p>
    <w:p w14:paraId="3956EBF4" w14:textId="77777777"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14:paraId="56A6BCF7" w14:textId="77777777" w:rsidR="00D94935" w:rsidRDefault="00D94935" w:rsidP="00153D78">
      <w:pPr>
        <w:pStyle w:val="Amain"/>
        <w:keepNext/>
      </w:pPr>
      <w:r>
        <w:lastRenderedPageBreak/>
        <w:tab/>
        <w:t>(7)</w:t>
      </w:r>
      <w:r>
        <w:tab/>
        <w:t>An affidavit in support of the interlocutory process seeking the order must—</w:t>
      </w:r>
    </w:p>
    <w:p w14:paraId="55AC3AF4" w14:textId="34D34A0D" w:rsidR="00D94935" w:rsidRDefault="00D94935" w:rsidP="00D94935">
      <w:pPr>
        <w:pStyle w:val="Apara"/>
      </w:pPr>
      <w:r>
        <w:tab/>
        <w:t>(a)</w:t>
      </w:r>
      <w:r>
        <w:tab/>
        <w:t xml:space="preserve">include evidence of the matters mentioned in the </w:t>
      </w:r>
      <w:hyperlink r:id="rId1125" w:tooltip="Act 2001 No 50 (Cwlth)" w:history="1">
        <w:r w:rsidRPr="00D74CAB">
          <w:rPr>
            <w:rStyle w:val="charCitHyperlinkAbbrev"/>
          </w:rPr>
          <w:t>Corporations Act</w:t>
        </w:r>
      </w:hyperlink>
      <w:r>
        <w:t xml:space="preserve">, section 473 (10); and </w:t>
      </w:r>
    </w:p>
    <w:p w14:paraId="4B5E79B5" w14:textId="77777777" w:rsidR="00D94935" w:rsidRDefault="00D94935" w:rsidP="00D94935">
      <w:pPr>
        <w:pStyle w:val="Apara"/>
      </w:pPr>
      <w:r>
        <w:tab/>
        <w:t>(b)</w:t>
      </w:r>
      <w:r>
        <w:tab/>
        <w:t xml:space="preserve">state the nature of the work performed or likely to be performed by the liquidator; and </w:t>
      </w:r>
    </w:p>
    <w:p w14:paraId="026FF125" w14:textId="77777777" w:rsidR="00D94935" w:rsidRDefault="00D94935" w:rsidP="00D94935">
      <w:pPr>
        <w:pStyle w:val="Apara"/>
      </w:pPr>
      <w:r>
        <w:tab/>
        <w:t>(c)</w:t>
      </w:r>
      <w:r>
        <w:tab/>
        <w:t xml:space="preserve">state the amount of remuneration claimed; and </w:t>
      </w:r>
    </w:p>
    <w:p w14:paraId="1B82CA7F" w14:textId="77777777" w:rsidR="00D94935" w:rsidRDefault="00D94935" w:rsidP="00D94935">
      <w:pPr>
        <w:pStyle w:val="Apara"/>
      </w:pPr>
      <w:r>
        <w:tab/>
        <w:t>(d)</w:t>
      </w:r>
      <w:r>
        <w:tab/>
        <w:t xml:space="preserve">include a summary of the receipts taken and payments made by the liquidator; and </w:t>
      </w:r>
    </w:p>
    <w:p w14:paraId="039F2A82" w14:textId="77777777" w:rsidR="00D94935" w:rsidRDefault="00D94935" w:rsidP="00D94935">
      <w:pPr>
        <w:pStyle w:val="Apara"/>
      </w:pPr>
      <w:r>
        <w:tab/>
        <w:t>(e)</w:t>
      </w:r>
      <w:r>
        <w:tab/>
        <w:t xml:space="preserve">state particulars of any objection of which the liquidator has received notice; and </w:t>
      </w:r>
    </w:p>
    <w:p w14:paraId="0C2E6278" w14:textId="77777777" w:rsidR="00D94935" w:rsidRDefault="00D94935" w:rsidP="00D94935">
      <w:pPr>
        <w:pStyle w:val="Apara"/>
      </w:pPr>
      <w:r>
        <w:tab/>
        <w:t>(f)</w:t>
      </w:r>
      <w:r>
        <w:tab/>
        <w:t>if the winding up is continuing—give details of any matters delaying the completion of the winding up.</w:t>
      </w:r>
    </w:p>
    <w:p w14:paraId="6A8453A2" w14:textId="77777777" w:rsidR="00D94935" w:rsidRDefault="00D94935" w:rsidP="00D94935">
      <w:pPr>
        <w:pStyle w:val="Schclauseheading"/>
      </w:pPr>
      <w:bookmarkStart w:id="2020" w:name="_Toc185515636"/>
      <w:r w:rsidRPr="00C8328B">
        <w:rPr>
          <w:rStyle w:val="CharSectNo"/>
        </w:rPr>
        <w:t>9.4A</w:t>
      </w:r>
      <w:r>
        <w:tab/>
        <w:t>Review of remuneration of liquidator (Corporations Act, s 473 (5) and (6) and s 504 (1))</w:t>
      </w:r>
      <w:bookmarkEnd w:id="2020"/>
    </w:p>
    <w:p w14:paraId="718956F9" w14:textId="4ED6018B" w:rsidR="00D94935" w:rsidRDefault="00D94935" w:rsidP="00D94935">
      <w:pPr>
        <w:pStyle w:val="Amain"/>
      </w:pPr>
      <w:r>
        <w:tab/>
        <w:t>(1)</w:t>
      </w:r>
      <w:r>
        <w:tab/>
        <w:t xml:space="preserve">This rule applies to an application for review of the amount of the remuneration of a liquidator under the </w:t>
      </w:r>
      <w:hyperlink r:id="rId1126" w:tooltip="Act 2001 No 50 (Cwlth)" w:history="1">
        <w:r w:rsidRPr="00D74CAB">
          <w:rPr>
            <w:rStyle w:val="charCitHyperlinkAbbrev"/>
          </w:rPr>
          <w:t>Corporations Act</w:t>
        </w:r>
      </w:hyperlink>
      <w:r>
        <w:t>, section 473 (5) or (6) or section 504 (1).</w:t>
      </w:r>
    </w:p>
    <w:p w14:paraId="3CDA8897" w14:textId="5767E008" w:rsidR="00D94935" w:rsidRDefault="00D94935" w:rsidP="00D94935">
      <w:pPr>
        <w:pStyle w:val="aNote"/>
      </w:pPr>
      <w:r>
        <w:rPr>
          <w:rStyle w:val="charItals"/>
        </w:rPr>
        <w:t>Note</w:t>
      </w:r>
      <w:r>
        <w:rPr>
          <w:rStyle w:val="charItals"/>
        </w:rPr>
        <w:tab/>
      </w:r>
      <w:r>
        <w:t xml:space="preserve">The amendment to the </w:t>
      </w:r>
      <w:hyperlink r:id="rId1127" w:tooltip="Act 2001 No 50 (Cwlth)" w:history="1">
        <w:r w:rsidRPr="00D74CAB">
          <w:rPr>
            <w:rStyle w:val="charCitHyperlinkAbbrev"/>
          </w:rPr>
          <w:t>Corporations Act</w:t>
        </w:r>
      </w:hyperlink>
      <w:r>
        <w:t xml:space="preserve">, s 504 made by the </w:t>
      </w:r>
      <w:hyperlink r:id="rId1128"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29" w:tooltip="Act 2001 No 50 (Cwlth)" w:history="1">
        <w:r w:rsidRPr="00D74CAB">
          <w:rPr>
            <w:rStyle w:val="charCitHyperlinkAbbrev"/>
          </w:rPr>
          <w:t>Corporations Act</w:t>
        </w:r>
      </w:hyperlink>
      <w:r>
        <w:t xml:space="preserve">, s 1480 (7). </w:t>
      </w:r>
    </w:p>
    <w:p w14:paraId="26B6E5B2" w14:textId="792268B7" w:rsidR="00D94935" w:rsidRDefault="00D94935" w:rsidP="00D94935">
      <w:pPr>
        <w:pStyle w:val="Amain"/>
      </w:pPr>
      <w:r>
        <w:tab/>
        <w:t>(2)</w:t>
      </w:r>
      <w:r>
        <w:tab/>
        <w:t xml:space="preserve">The application may only be made after remuneration has been determined under the </w:t>
      </w:r>
      <w:hyperlink r:id="rId1130" w:tooltip="Act 2001 No 50 (Cwlth)" w:history="1">
        <w:r w:rsidRPr="00D74CAB">
          <w:rPr>
            <w:rStyle w:val="charCitHyperlinkAbbrev"/>
          </w:rPr>
          <w:t>Corporations Act</w:t>
        </w:r>
      </w:hyperlink>
      <w:r>
        <w:t>, section 473 (3) (a) or (b) (i), or fixed under section 495 (1) or section 499 (3).</w:t>
      </w:r>
    </w:p>
    <w:p w14:paraId="5196932A" w14:textId="77777777"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18988043" w14:textId="77777777" w:rsidR="00D94935" w:rsidRDefault="00D94935" w:rsidP="00D94935">
      <w:pPr>
        <w:pStyle w:val="Apara"/>
      </w:pPr>
      <w:r>
        <w:tab/>
        <w:t>(a)</w:t>
      </w:r>
      <w:r>
        <w:tab/>
        <w:t xml:space="preserve">if there is a committee of inspection—each member of the committee; </w:t>
      </w:r>
    </w:p>
    <w:p w14:paraId="2D7D4130" w14:textId="77777777"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14:paraId="393AA6C7" w14:textId="77777777" w:rsidR="00D94935" w:rsidRDefault="00D94935" w:rsidP="00282217">
      <w:pPr>
        <w:pStyle w:val="Apara"/>
        <w:keepNext/>
      </w:pPr>
      <w:r>
        <w:tab/>
        <w:t>(c)</w:t>
      </w:r>
      <w:r>
        <w:tab/>
        <w:t>each member of the company whose shareholding represents at least 10% of the issued capital of the company.</w:t>
      </w:r>
    </w:p>
    <w:p w14:paraId="1A1D000E" w14:textId="12879C76"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31" w:history="1">
        <w:r w:rsidRPr="00320A28">
          <w:rPr>
            <w:rStyle w:val="charCitHyperlinkAbbrev"/>
          </w:rPr>
          <w:t>AF2008-68</w:t>
        </w:r>
      </w:hyperlink>
      <w:r>
        <w:t>.</w:t>
      </w:r>
    </w:p>
    <w:p w14:paraId="6597D1CE" w14:textId="77777777"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14:paraId="0C58B8EF" w14:textId="77777777" w:rsidR="00D94935" w:rsidRDefault="00D94935" w:rsidP="00D94935">
      <w:pPr>
        <w:pStyle w:val="Apara"/>
      </w:pPr>
      <w:r>
        <w:tab/>
        <w:t>(a)</w:t>
      </w:r>
      <w:r>
        <w:tab/>
        <w:t xml:space="preserve">stating the person’s intention to appear at the hearing of the application for review; and </w:t>
      </w:r>
    </w:p>
    <w:p w14:paraId="42BB6E48" w14:textId="77777777" w:rsidR="00D94935" w:rsidRDefault="00D94935" w:rsidP="00D94935">
      <w:pPr>
        <w:pStyle w:val="Apara"/>
      </w:pPr>
      <w:r>
        <w:tab/>
        <w:t>(b)</w:t>
      </w:r>
      <w:r>
        <w:tab/>
        <w:t>setting out the issues that the person seeks to raise before the court.</w:t>
      </w:r>
    </w:p>
    <w:p w14:paraId="2B82A89C" w14:textId="77777777"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14:paraId="4E8B2417"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4AF461C5" w14:textId="77777777" w:rsidR="00D94935" w:rsidRDefault="00D94935" w:rsidP="00D94935">
      <w:pPr>
        <w:pStyle w:val="Amain"/>
      </w:pPr>
      <w:r>
        <w:lastRenderedPageBreak/>
        <w:tab/>
        <w:t>(7)</w:t>
      </w:r>
      <w:r>
        <w:tab/>
        <w:t>The liquidator must file an affidavit stating the following matters:</w:t>
      </w:r>
    </w:p>
    <w:p w14:paraId="1C578D1F" w14:textId="4D536813" w:rsidR="00D94935" w:rsidRDefault="00D94935" w:rsidP="00D94935">
      <w:pPr>
        <w:pStyle w:val="Apara"/>
      </w:pPr>
      <w:r>
        <w:tab/>
        <w:t>(a)</w:t>
      </w:r>
      <w:r>
        <w:tab/>
        <w:t xml:space="preserve">for an application under the </w:t>
      </w:r>
      <w:hyperlink r:id="rId1132" w:tooltip="Act 2001 No 50 (Cwlth)" w:history="1">
        <w:r w:rsidRPr="00D74CAB">
          <w:rPr>
            <w:rStyle w:val="charCitHyperlinkAbbrev"/>
          </w:rPr>
          <w:t>Corporations Act</w:t>
        </w:r>
      </w:hyperlink>
      <w:r>
        <w:t xml:space="preserve">, section 473 (5) or (6)—the matters mentioned in the </w:t>
      </w:r>
      <w:hyperlink r:id="rId1133" w:tooltip="Act 2001 No 50 (Cwlth)" w:history="1">
        <w:r w:rsidRPr="00D74CAB">
          <w:rPr>
            <w:rStyle w:val="charCitHyperlinkAbbrev"/>
          </w:rPr>
          <w:t>Corporations Act</w:t>
        </w:r>
      </w:hyperlink>
      <w:r>
        <w:t>, section 473</w:t>
      </w:r>
      <w:r w:rsidR="00153D78">
        <w:t> </w:t>
      </w:r>
      <w:r>
        <w:t>(10);</w:t>
      </w:r>
    </w:p>
    <w:p w14:paraId="65CDADD5" w14:textId="0265589D" w:rsidR="00D94935" w:rsidRDefault="00D94935" w:rsidP="00D94935">
      <w:pPr>
        <w:pStyle w:val="Apara"/>
      </w:pPr>
      <w:r>
        <w:tab/>
        <w:t>(b)</w:t>
      </w:r>
      <w:r>
        <w:tab/>
        <w:t xml:space="preserve">for an application under the </w:t>
      </w:r>
      <w:hyperlink r:id="rId1134" w:tooltip="Act 2001 No 50 (Cwlth)" w:history="1">
        <w:r w:rsidRPr="00D74CAB">
          <w:rPr>
            <w:rStyle w:val="charCitHyperlinkAbbrev"/>
          </w:rPr>
          <w:t>Corporations Act</w:t>
        </w:r>
      </w:hyperlink>
      <w:r>
        <w:t xml:space="preserve">, section 504 (1)—the matters mentioned in the </w:t>
      </w:r>
      <w:hyperlink r:id="rId1135" w:tooltip="Act 2001 No 50 (Cwlth)" w:history="1">
        <w:r w:rsidRPr="00D74CAB">
          <w:rPr>
            <w:rStyle w:val="charCitHyperlinkAbbrev"/>
          </w:rPr>
          <w:t>Corporations Act</w:t>
        </w:r>
      </w:hyperlink>
      <w:r>
        <w:t>, section 504 (2);</w:t>
      </w:r>
    </w:p>
    <w:p w14:paraId="1E92C0D6" w14:textId="77777777" w:rsidR="00D94935" w:rsidRDefault="00D94935" w:rsidP="00D94935">
      <w:pPr>
        <w:pStyle w:val="Apara"/>
      </w:pPr>
      <w:r>
        <w:tab/>
        <w:t>(c)</w:t>
      </w:r>
      <w:r>
        <w:tab/>
        <w:t xml:space="preserve">the nature of the work performed or likely to be performed by the liquidator; </w:t>
      </w:r>
    </w:p>
    <w:p w14:paraId="7EFCA043" w14:textId="77777777"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14:paraId="3C9D3854" w14:textId="77777777" w:rsidR="00D94935" w:rsidRDefault="00D94935" w:rsidP="00D94935">
      <w:pPr>
        <w:pStyle w:val="Apara"/>
      </w:pPr>
      <w:r>
        <w:tab/>
        <w:t>(e)</w:t>
      </w:r>
      <w:r>
        <w:tab/>
        <w:t xml:space="preserve">a summary of the receipts taken and payments made by the liquidator; </w:t>
      </w:r>
    </w:p>
    <w:p w14:paraId="7686D072" w14:textId="77777777" w:rsidR="00D94935" w:rsidRDefault="00D94935" w:rsidP="00D94935">
      <w:pPr>
        <w:pStyle w:val="Apara"/>
      </w:pPr>
      <w:r>
        <w:tab/>
        <w:t>(f)</w:t>
      </w:r>
      <w:r>
        <w:tab/>
        <w:t xml:space="preserve">particulars of any objection to the remuneration as determined or fixed of which the liquidator has received notice; </w:t>
      </w:r>
    </w:p>
    <w:p w14:paraId="2CF78EC4" w14:textId="77777777" w:rsidR="00D94935" w:rsidRDefault="00D94935" w:rsidP="00D94935">
      <w:pPr>
        <w:pStyle w:val="Apara"/>
      </w:pPr>
      <w:r>
        <w:tab/>
        <w:t>(g)</w:t>
      </w:r>
      <w:r>
        <w:tab/>
        <w:t xml:space="preserve">if the winding up is continuing—details of any matters delaying the completion of the winding up. </w:t>
      </w:r>
    </w:p>
    <w:p w14:paraId="302CB7AA" w14:textId="77777777"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14:paraId="3E8ED305" w14:textId="3552878A" w:rsidR="00D94935" w:rsidRDefault="00D94935" w:rsidP="00D94935">
      <w:pPr>
        <w:pStyle w:val="aNote"/>
      </w:pPr>
      <w:r>
        <w:rPr>
          <w:rStyle w:val="charItals"/>
        </w:rPr>
        <w:t>Note</w:t>
      </w:r>
      <w:r>
        <w:rPr>
          <w:rStyle w:val="charItals"/>
        </w:rPr>
        <w:tab/>
      </w:r>
      <w:r>
        <w:t xml:space="preserve">For the requirement to prepare a report, see the </w:t>
      </w:r>
      <w:hyperlink r:id="rId1136" w:tooltip="Act 2001 No 50 (Cwlth)" w:history="1">
        <w:r w:rsidRPr="00D74CAB">
          <w:rPr>
            <w:rStyle w:val="charCitHyperlinkAbbrev"/>
          </w:rPr>
          <w:t>Corporations Act</w:t>
        </w:r>
      </w:hyperlink>
      <w:r>
        <w:t>, s 473 (11) and (12), s 495 (5), s 499 (6) and (7).</w:t>
      </w:r>
    </w:p>
    <w:p w14:paraId="08422DA1" w14:textId="77777777" w:rsidR="00D94935" w:rsidRDefault="00D94935" w:rsidP="00D94935">
      <w:pPr>
        <w:pStyle w:val="Amain"/>
      </w:pPr>
      <w:r>
        <w:tab/>
        <w:t>(9)</w:t>
      </w:r>
      <w:r>
        <w:tab/>
        <w:t>The plaintiff or applicant must—</w:t>
      </w:r>
    </w:p>
    <w:p w14:paraId="6DDD1F8D" w14:textId="77777777" w:rsidR="00D94935" w:rsidRDefault="00D94935" w:rsidP="00D94935">
      <w:pPr>
        <w:pStyle w:val="Apara"/>
      </w:pPr>
      <w:r>
        <w:tab/>
        <w:t>(a)</w:t>
      </w:r>
      <w:r>
        <w:tab/>
        <w:t xml:space="preserve">file an affidavit stating whether any notice or notices under subrule (4) has or have been served; and </w:t>
      </w:r>
    </w:p>
    <w:p w14:paraId="5710488D" w14:textId="77777777" w:rsidR="00D94935" w:rsidRDefault="00D94935" w:rsidP="00D94935">
      <w:pPr>
        <w:pStyle w:val="Apara"/>
      </w:pPr>
      <w:r>
        <w:tab/>
        <w:t>(b)</w:t>
      </w:r>
      <w:r>
        <w:tab/>
        <w:t>annex or exhibit to the affidavit a copy of the notice or notices.</w:t>
      </w:r>
    </w:p>
    <w:p w14:paraId="26BC2B75" w14:textId="77777777" w:rsidR="00D94935" w:rsidRDefault="00D94935" w:rsidP="00D94935">
      <w:pPr>
        <w:pStyle w:val="Schclauseheading"/>
      </w:pPr>
      <w:bookmarkStart w:id="2021" w:name="_Toc185515637"/>
      <w:r w:rsidRPr="00C8328B">
        <w:rPr>
          <w:rStyle w:val="CharSectNo"/>
        </w:rPr>
        <w:lastRenderedPageBreak/>
        <w:t>9.5</w:t>
      </w:r>
      <w:r>
        <w:tab/>
        <w:t>Remuneration of special manager (Corporations Act, s 484 (2))</w:t>
      </w:r>
      <w:bookmarkEnd w:id="2021"/>
    </w:p>
    <w:p w14:paraId="1BDBE001" w14:textId="723D4E8B" w:rsidR="00D94935" w:rsidRDefault="00D94935" w:rsidP="00D94935">
      <w:pPr>
        <w:pStyle w:val="Amain"/>
      </w:pPr>
      <w:r>
        <w:tab/>
        <w:t>(1)</w:t>
      </w:r>
      <w:r>
        <w:tab/>
        <w:t xml:space="preserve">This rule applies to an application by a special manager of the property or business of a company for an order under the </w:t>
      </w:r>
      <w:hyperlink r:id="rId1137" w:tooltip="Act 2001 No 50 (Cwlth)" w:history="1">
        <w:r w:rsidRPr="00D74CAB">
          <w:rPr>
            <w:rStyle w:val="charCitHyperlinkAbbrev"/>
          </w:rPr>
          <w:t>Corporations Act</w:t>
        </w:r>
      </w:hyperlink>
      <w:r>
        <w:t>, section 484 (2) fixing the special manager’s remuneration.</w:t>
      </w:r>
    </w:p>
    <w:p w14:paraId="5D2D3830" w14:textId="77777777" w:rsidR="00D94935" w:rsidRDefault="00D94935" w:rsidP="00D94935">
      <w:pPr>
        <w:pStyle w:val="Amain"/>
      </w:pPr>
      <w:r>
        <w:tab/>
        <w:t>(2)</w:t>
      </w:r>
      <w:r>
        <w:tab/>
        <w:t>The application must be made by interlocutory process in the winding-up proceeding.</w:t>
      </w:r>
    </w:p>
    <w:p w14:paraId="2AD181A0" w14:textId="77777777"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14:paraId="42669817" w14:textId="214BD617" w:rsidR="00D94935" w:rsidRDefault="00D94935" w:rsidP="00D94935">
      <w:pPr>
        <w:pStyle w:val="aNote"/>
      </w:pPr>
      <w:r w:rsidRPr="006364FA">
        <w:rPr>
          <w:rStyle w:val="charItals"/>
        </w:rPr>
        <w:t>Note</w:t>
      </w:r>
      <w:r>
        <w:tab/>
        <w:t xml:space="preserve">See approved form 16 (Notice of intention to apply for remuneration) </w:t>
      </w:r>
      <w:hyperlink r:id="rId1138" w:history="1">
        <w:r w:rsidRPr="00320A28">
          <w:rPr>
            <w:rStyle w:val="charCitHyperlinkAbbrev"/>
          </w:rPr>
          <w:t>AF2007-144</w:t>
        </w:r>
      </w:hyperlink>
      <w:r>
        <w:t>.</w:t>
      </w:r>
    </w:p>
    <w:p w14:paraId="74E57056" w14:textId="77777777" w:rsidR="00D94935" w:rsidRDefault="00D94935" w:rsidP="00D94935">
      <w:pPr>
        <w:pStyle w:val="Apara"/>
      </w:pPr>
      <w:r>
        <w:tab/>
        <w:t>(a)</w:t>
      </w:r>
      <w:r>
        <w:tab/>
        <w:t>the liquidator of the company;</w:t>
      </w:r>
    </w:p>
    <w:p w14:paraId="2113861C" w14:textId="77777777"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14:paraId="050CA52F" w14:textId="77777777" w:rsidR="00D94935" w:rsidRDefault="00D94935" w:rsidP="00D94935">
      <w:pPr>
        <w:pStyle w:val="Apara"/>
      </w:pPr>
      <w:r>
        <w:tab/>
        <w:t>(c)</w:t>
      </w:r>
      <w:r>
        <w:tab/>
        <w:t>each member of the company whose shareholding represents at least 10% of the issued capital of the company.</w:t>
      </w:r>
    </w:p>
    <w:p w14:paraId="5129BAB7" w14:textId="77777777"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14:paraId="48ECD2A0" w14:textId="77777777" w:rsidR="00D94935" w:rsidRDefault="00D94935" w:rsidP="0044566A">
      <w:pPr>
        <w:pStyle w:val="Amain"/>
        <w:keepNext/>
      </w:pPr>
      <w:r>
        <w:lastRenderedPageBreak/>
        <w:tab/>
        <w:t>(5)</w:t>
      </w:r>
      <w:r>
        <w:tab/>
        <w:t>If the special manager does not receive a notice of objection within the period mentioned in subrule (4)—</w:t>
      </w:r>
    </w:p>
    <w:p w14:paraId="40591D4A" w14:textId="77777777" w:rsidR="00D94935" w:rsidRDefault="00D94935" w:rsidP="0044566A">
      <w:pPr>
        <w:pStyle w:val="Apara"/>
        <w:keepNext/>
      </w:pPr>
      <w:r>
        <w:tab/>
        <w:t>(a)</w:t>
      </w:r>
      <w:r>
        <w:tab/>
        <w:t>the special manager may file an affidavit, made after the end of that period, in support of the interlocutory process seeking the order stating—</w:t>
      </w:r>
    </w:p>
    <w:p w14:paraId="35C57F91" w14:textId="77777777" w:rsidR="00D94935" w:rsidRDefault="00D94935" w:rsidP="00D94935">
      <w:pPr>
        <w:pStyle w:val="Asubpara"/>
      </w:pPr>
      <w:r>
        <w:tab/>
        <w:t>(i)</w:t>
      </w:r>
      <w:r>
        <w:tab/>
        <w:t>the date, or dates, when the notice and affidavit required to be served under subrule (3) were served; and</w:t>
      </w:r>
    </w:p>
    <w:p w14:paraId="74BBB5CA" w14:textId="77777777" w:rsidR="00D94935" w:rsidRDefault="00D94935" w:rsidP="00D94935">
      <w:pPr>
        <w:pStyle w:val="Asubpara"/>
      </w:pPr>
      <w:r>
        <w:tab/>
        <w:t>(ii)</w:t>
      </w:r>
      <w:r>
        <w:tab/>
        <w:t>that the special manager has not received any notice of objection to the remuneration claimed within the period mentioned in subrule (4); and</w:t>
      </w:r>
    </w:p>
    <w:p w14:paraId="6039F799" w14:textId="77777777"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14:paraId="2ADC941B" w14:textId="77777777" w:rsidR="00D94935" w:rsidRDefault="00D94935" w:rsidP="00D94935">
      <w:pPr>
        <w:pStyle w:val="Apara"/>
      </w:pPr>
      <w:r>
        <w:tab/>
        <w:t>(c)</w:t>
      </w:r>
      <w:r>
        <w:tab/>
        <w:t>the application may be so dealt with.</w:t>
      </w:r>
    </w:p>
    <w:p w14:paraId="6B2A9C62" w14:textId="77777777"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14:paraId="5CBE4DDE" w14:textId="77777777" w:rsidR="00D94935" w:rsidRDefault="00D94935" w:rsidP="00D94935">
      <w:pPr>
        <w:pStyle w:val="Apara"/>
      </w:pPr>
      <w:r>
        <w:tab/>
        <w:t>(a)</w:t>
      </w:r>
      <w:r>
        <w:tab/>
        <w:t>on each creditor or contributory who has given a notice of objection; and</w:t>
      </w:r>
    </w:p>
    <w:p w14:paraId="0BBE17A4" w14:textId="77777777" w:rsidR="00D94935" w:rsidRDefault="00D94935" w:rsidP="00D94935">
      <w:pPr>
        <w:pStyle w:val="Apara"/>
      </w:pPr>
      <w:r>
        <w:tab/>
        <w:t>(b)</w:t>
      </w:r>
      <w:r>
        <w:tab/>
        <w:t>on the liquidator.</w:t>
      </w:r>
    </w:p>
    <w:p w14:paraId="169DA7D4" w14:textId="77777777" w:rsidR="00D94935" w:rsidRDefault="00D94935" w:rsidP="00D94935">
      <w:pPr>
        <w:pStyle w:val="Amain"/>
      </w:pPr>
      <w:r>
        <w:tab/>
        <w:t>(7)</w:t>
      </w:r>
      <w:r>
        <w:tab/>
        <w:t>The affidavit in support of the interlocutory process seeking the order must—</w:t>
      </w:r>
    </w:p>
    <w:p w14:paraId="393C1ACD" w14:textId="77777777" w:rsidR="00D94935" w:rsidRDefault="00D94935" w:rsidP="00D94935">
      <w:pPr>
        <w:pStyle w:val="Apara"/>
      </w:pPr>
      <w:r>
        <w:tab/>
        <w:t>(a)</w:t>
      </w:r>
      <w:r>
        <w:tab/>
        <w:t>state the nature of the work performed or likely to be performed by the special manager; and</w:t>
      </w:r>
    </w:p>
    <w:p w14:paraId="51DCF972" w14:textId="77777777" w:rsidR="00D94935" w:rsidRDefault="00D94935" w:rsidP="00D94935">
      <w:pPr>
        <w:pStyle w:val="Apara"/>
      </w:pPr>
      <w:r>
        <w:tab/>
        <w:t>(b)</w:t>
      </w:r>
      <w:r>
        <w:tab/>
        <w:t>state the amount of remuneration claimed; and</w:t>
      </w:r>
    </w:p>
    <w:p w14:paraId="255A757D" w14:textId="77777777" w:rsidR="00D94935" w:rsidRDefault="00D94935" w:rsidP="00D94935">
      <w:pPr>
        <w:pStyle w:val="Apara"/>
      </w:pPr>
      <w:r>
        <w:tab/>
        <w:t>(c)</w:t>
      </w:r>
      <w:r>
        <w:tab/>
        <w:t>include a summary of the receipts taken and payments made by the special manager; and</w:t>
      </w:r>
    </w:p>
    <w:p w14:paraId="1A5A058B" w14:textId="77777777"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14:paraId="0A9363C4" w14:textId="77777777" w:rsidR="00D94935" w:rsidRDefault="00D94935" w:rsidP="00D94935">
      <w:pPr>
        <w:pStyle w:val="Apara"/>
      </w:pPr>
      <w:r>
        <w:tab/>
        <w:t>(e)</w:t>
      </w:r>
      <w:r>
        <w:tab/>
        <w:t>if the special management is continuing—give details of any matters delaying the completion of the special management.</w:t>
      </w:r>
    </w:p>
    <w:p w14:paraId="53670781" w14:textId="77777777" w:rsidR="00D94935" w:rsidRDefault="00D94935" w:rsidP="00D94935">
      <w:pPr>
        <w:pStyle w:val="PageBreak"/>
      </w:pPr>
      <w:r>
        <w:br w:type="page"/>
      </w:r>
    </w:p>
    <w:p w14:paraId="3297CDA2" w14:textId="77777777" w:rsidR="00D94935" w:rsidRPr="00C8328B" w:rsidRDefault="00D94935" w:rsidP="00D94935">
      <w:pPr>
        <w:pStyle w:val="Sched-Part"/>
      </w:pPr>
      <w:bookmarkStart w:id="2022" w:name="_Toc185515638"/>
      <w:r w:rsidRPr="00C8328B">
        <w:rPr>
          <w:rStyle w:val="CharPartNo"/>
        </w:rPr>
        <w:lastRenderedPageBreak/>
        <w:t>Part 6.10</w:t>
      </w:r>
      <w:r>
        <w:tab/>
      </w:r>
      <w:r w:rsidRPr="00C8328B">
        <w:rPr>
          <w:rStyle w:val="CharPartText"/>
        </w:rPr>
        <w:t>Winding-up generally</w:t>
      </w:r>
      <w:bookmarkEnd w:id="2022"/>
    </w:p>
    <w:p w14:paraId="04B89DAA" w14:textId="77777777" w:rsidR="00D94935" w:rsidRDefault="00D94935" w:rsidP="00D94935">
      <w:pPr>
        <w:pStyle w:val="Schclauseheading"/>
      </w:pPr>
      <w:bookmarkStart w:id="2023" w:name="_Toc185515639"/>
      <w:r w:rsidRPr="00C8328B">
        <w:rPr>
          <w:rStyle w:val="CharSectNo"/>
        </w:rPr>
        <w:t>10.1</w:t>
      </w:r>
      <w:r>
        <w:tab/>
        <w:t>Determination of value of debts or claims (Corporations Act, s 554A (2))</w:t>
      </w:r>
      <w:bookmarkEnd w:id="2023"/>
    </w:p>
    <w:p w14:paraId="3985461E" w14:textId="2580A0F8" w:rsidR="00D94935" w:rsidRDefault="00D94935" w:rsidP="00D94935">
      <w:pPr>
        <w:pStyle w:val="Amainreturn"/>
      </w:pPr>
      <w:r>
        <w:t xml:space="preserve">A reference to the court by a liquidator of a company under the </w:t>
      </w:r>
      <w:hyperlink r:id="rId1139" w:tooltip="Act 2001 No 50 (Cwlth)" w:history="1">
        <w:r w:rsidRPr="00D74CAB">
          <w:rPr>
            <w:rStyle w:val="charCitHyperlinkAbbrev"/>
          </w:rPr>
          <w:t>Corporations Act</w:t>
        </w:r>
      </w:hyperlink>
      <w:r>
        <w:t>, section 554A (2) (b) must be made—</w:t>
      </w:r>
    </w:p>
    <w:p w14:paraId="48DFD20D" w14:textId="77777777"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14:paraId="4D8A1ECE" w14:textId="77777777" w:rsidR="00D94935" w:rsidRDefault="00D94935" w:rsidP="00D94935">
      <w:pPr>
        <w:pStyle w:val="Apara"/>
      </w:pPr>
      <w:r>
        <w:tab/>
        <w:t>(b)</w:t>
      </w:r>
      <w:r>
        <w:tab/>
        <w:t>for a voluntary winding-up—by filing an originating process seeking an order estimating, or determining a method for working out, the value of the debt or claim.</w:t>
      </w:r>
    </w:p>
    <w:p w14:paraId="46CC95C2" w14:textId="77777777" w:rsidR="00D94935" w:rsidRDefault="00D94935" w:rsidP="00D94935">
      <w:pPr>
        <w:pStyle w:val="Schclauseheading"/>
      </w:pPr>
      <w:bookmarkStart w:id="2024" w:name="_Toc185515640"/>
      <w:r w:rsidRPr="00C8328B">
        <w:rPr>
          <w:rStyle w:val="CharSectNo"/>
        </w:rPr>
        <w:t>10.2</w:t>
      </w:r>
      <w:r>
        <w:tab/>
        <w:t>Disclaimer of contract (Corporations Act, s 568 (1A))</w:t>
      </w:r>
      <w:bookmarkEnd w:id="2024"/>
    </w:p>
    <w:p w14:paraId="319A13E9" w14:textId="2E61B6BA" w:rsidR="00D94935" w:rsidRDefault="00D94935" w:rsidP="00D94935">
      <w:pPr>
        <w:pStyle w:val="Amain"/>
      </w:pPr>
      <w:r>
        <w:tab/>
        <w:t>(1)</w:t>
      </w:r>
      <w:r>
        <w:tab/>
        <w:t xml:space="preserve">The affidavit in support of an application by a liquidator, under the </w:t>
      </w:r>
      <w:hyperlink r:id="rId1140" w:tooltip="Act 2001 No 50 (Cwlth)" w:history="1">
        <w:r w:rsidRPr="00D74CAB">
          <w:rPr>
            <w:rStyle w:val="charCitHyperlinkAbbrev"/>
          </w:rPr>
          <w:t>Corporations Act</w:t>
        </w:r>
      </w:hyperlink>
      <w:r>
        <w:t>, section 568 (1A), for leave to disclaim a contract in relation to a company must—</w:t>
      </w:r>
    </w:p>
    <w:p w14:paraId="7EFAA2B7" w14:textId="77777777" w:rsidR="00D94935" w:rsidRDefault="00D94935" w:rsidP="00D94935">
      <w:pPr>
        <w:pStyle w:val="Apara"/>
      </w:pPr>
      <w:r>
        <w:tab/>
        <w:t>(a)</w:t>
      </w:r>
      <w:r>
        <w:tab/>
        <w:t>state the people interested, and their interests, under the contract; and</w:t>
      </w:r>
    </w:p>
    <w:p w14:paraId="704134D9" w14:textId="77777777" w:rsidR="00D94935" w:rsidRDefault="00D94935" w:rsidP="00D94935">
      <w:pPr>
        <w:pStyle w:val="Apara"/>
      </w:pPr>
      <w:r>
        <w:tab/>
        <w:t>(b)</w:t>
      </w:r>
      <w:r>
        <w:tab/>
        <w:t>state the facts on which it is submitted that the contract should be disclaimed.</w:t>
      </w:r>
    </w:p>
    <w:p w14:paraId="1095581B" w14:textId="77777777" w:rsidR="00D94935" w:rsidRDefault="00D94935" w:rsidP="00D94935">
      <w:pPr>
        <w:pStyle w:val="Amain"/>
      </w:pPr>
      <w:r>
        <w:tab/>
        <w:t>(2)</w:t>
      </w:r>
      <w:r>
        <w:tab/>
        <w:t>The liquidator must serve the affidavit on each party to the contract (except the company) and on anyone interested in the contract.</w:t>
      </w:r>
    </w:p>
    <w:p w14:paraId="4C61AD3E" w14:textId="77777777" w:rsidR="00D94935" w:rsidRDefault="00D94935" w:rsidP="00D94935">
      <w:pPr>
        <w:pStyle w:val="Schclauseheading"/>
      </w:pPr>
      <w:bookmarkStart w:id="2025" w:name="_Toc185515641"/>
      <w:r w:rsidRPr="00C8328B">
        <w:rPr>
          <w:rStyle w:val="CharSectNo"/>
        </w:rPr>
        <w:t>10.3</w:t>
      </w:r>
      <w:r>
        <w:tab/>
        <w:t>Winding-up Part 5.7 bodies (Corporations Act s 583, s 585) and registered schemes (Corporations Act, s 601ND)</w:t>
      </w:r>
      <w:bookmarkEnd w:id="2025"/>
    </w:p>
    <w:p w14:paraId="5A400E85" w14:textId="77777777" w:rsidR="00D94935" w:rsidRDefault="00D94935" w:rsidP="00D94935">
      <w:pPr>
        <w:pStyle w:val="Amainreturn"/>
      </w:pPr>
      <w:r>
        <w:t>These rules apply, with any necessary changes, and in the same way as they apply to a company, in relation to the winding-up of a Part 5.7 body or a registered scheme.</w:t>
      </w:r>
    </w:p>
    <w:p w14:paraId="6679ECD7" w14:textId="77777777" w:rsidR="00D94935" w:rsidRDefault="00D94935" w:rsidP="00D94935">
      <w:pPr>
        <w:pStyle w:val="PageBreak"/>
      </w:pPr>
      <w:r>
        <w:br w:type="page"/>
      </w:r>
    </w:p>
    <w:p w14:paraId="6E7FDCDA" w14:textId="77777777" w:rsidR="00D94935" w:rsidRPr="00C8328B" w:rsidRDefault="00D94935" w:rsidP="00D94935">
      <w:pPr>
        <w:pStyle w:val="Sched-Part"/>
      </w:pPr>
      <w:bookmarkStart w:id="2026" w:name="_Toc185515642"/>
      <w:r w:rsidRPr="00C8328B">
        <w:rPr>
          <w:rStyle w:val="CharPartNo"/>
        </w:rPr>
        <w:lastRenderedPageBreak/>
        <w:t>Part 6.11</w:t>
      </w:r>
      <w:r>
        <w:tab/>
      </w:r>
      <w:r w:rsidRPr="00C8328B">
        <w:rPr>
          <w:rStyle w:val="CharPartText"/>
        </w:rPr>
        <w:t>Examinations and orders (Corporations Act, pt 5.9, div 1 and div 2)</w:t>
      </w:r>
      <w:bookmarkEnd w:id="2026"/>
    </w:p>
    <w:p w14:paraId="3A4894DA" w14:textId="77777777" w:rsidR="00D94935" w:rsidRDefault="00D94935" w:rsidP="00D94935">
      <w:pPr>
        <w:pStyle w:val="Schclauseheading"/>
      </w:pPr>
      <w:bookmarkStart w:id="2027" w:name="_Toc185515643"/>
      <w:r w:rsidRPr="00C8328B">
        <w:rPr>
          <w:rStyle w:val="CharSectNo"/>
        </w:rPr>
        <w:t>11.1</w:t>
      </w:r>
      <w:r>
        <w:tab/>
        <w:t xml:space="preserve">Meaning of </w:t>
      </w:r>
      <w:r w:rsidRPr="006364FA">
        <w:rPr>
          <w:rStyle w:val="charItals"/>
        </w:rPr>
        <w:t xml:space="preserve">examination summons </w:t>
      </w:r>
      <w:r>
        <w:t>in pt 6.11</w:t>
      </w:r>
      <w:bookmarkEnd w:id="2027"/>
    </w:p>
    <w:p w14:paraId="0D833A34" w14:textId="77777777" w:rsidR="00D94935" w:rsidRDefault="00D94935" w:rsidP="00D94935">
      <w:pPr>
        <w:pStyle w:val="Amainreturn"/>
        <w:keepNext/>
      </w:pPr>
      <w:r>
        <w:t>In this part:</w:t>
      </w:r>
    </w:p>
    <w:p w14:paraId="7E5C898B" w14:textId="583AD971" w:rsidR="00D94935" w:rsidRDefault="00D94935" w:rsidP="00D94935">
      <w:pPr>
        <w:pStyle w:val="aDef"/>
      </w:pPr>
      <w:r>
        <w:rPr>
          <w:rStyle w:val="charBoldItals"/>
        </w:rPr>
        <w:t>examination summons</w:t>
      </w:r>
      <w:r>
        <w:t xml:space="preserve"> means a summons under the </w:t>
      </w:r>
      <w:hyperlink r:id="rId1141" w:tooltip="Act 2001 No 50 (Cwlth)" w:history="1">
        <w:r w:rsidRPr="00D74CAB">
          <w:rPr>
            <w:rStyle w:val="charCitHyperlinkAbbrev"/>
          </w:rPr>
          <w:t>Corporations Act</w:t>
        </w:r>
      </w:hyperlink>
      <w:r>
        <w:t>, section 596A or section 596B for the examination of a person about a corporation’s examinable affairs.</w:t>
      </w:r>
    </w:p>
    <w:p w14:paraId="3F15A397" w14:textId="77777777" w:rsidR="00D94935" w:rsidRDefault="00D94935" w:rsidP="00D94935">
      <w:pPr>
        <w:pStyle w:val="Schclauseheading"/>
        <w:rPr>
          <w:color w:val="000000"/>
        </w:rPr>
      </w:pPr>
      <w:bookmarkStart w:id="2028" w:name="_Toc185515644"/>
      <w:r w:rsidRPr="00C8328B">
        <w:rPr>
          <w:rStyle w:val="CharSectNo"/>
        </w:rPr>
        <w:t>11.2</w:t>
      </w:r>
      <w:r>
        <w:tab/>
        <w:t>Application for examination or investigation under Corporations Act, s 411 (9) (b), s 423 or s 536 (3)</w:t>
      </w:r>
      <w:bookmarkEnd w:id="2028"/>
    </w:p>
    <w:p w14:paraId="3C31A8B4" w14:textId="024D6C28" w:rsidR="00D94935" w:rsidRDefault="00D94935" w:rsidP="00D94935">
      <w:pPr>
        <w:pStyle w:val="Amain"/>
      </w:pPr>
      <w:r>
        <w:tab/>
        <w:t>(1)</w:t>
      </w:r>
      <w:r>
        <w:tab/>
        <w:t xml:space="preserve">An application for an order for the examination or investigation of a person under the </w:t>
      </w:r>
      <w:hyperlink r:id="rId1142" w:tooltip="Act 2001 No 50 (Cwlth)" w:history="1">
        <w:r w:rsidRPr="00D74CAB">
          <w:rPr>
            <w:rStyle w:val="charCitHyperlinkAbbrev"/>
          </w:rPr>
          <w:t>Corporations Act</w:t>
        </w:r>
      </w:hyperlink>
      <w:r>
        <w:t>, section 411 (9) (b), section 423 or section 536 (3) may be made by—</w:t>
      </w:r>
    </w:p>
    <w:p w14:paraId="5821DADB" w14:textId="77777777" w:rsidR="00D94935" w:rsidRDefault="00D94935" w:rsidP="00D94935">
      <w:pPr>
        <w:pStyle w:val="Apara"/>
      </w:pPr>
      <w:r>
        <w:tab/>
        <w:t>(a)</w:t>
      </w:r>
      <w:r>
        <w:tab/>
        <w:t>ASIC; or</w:t>
      </w:r>
    </w:p>
    <w:p w14:paraId="25D5D8C1" w14:textId="77777777" w:rsidR="00D94935" w:rsidRDefault="00D94935" w:rsidP="00D94935">
      <w:pPr>
        <w:pStyle w:val="Apara"/>
      </w:pPr>
      <w:r>
        <w:tab/>
        <w:t>(b)</w:t>
      </w:r>
      <w:r>
        <w:tab/>
        <w:t>a person authorised by ASIC; or</w:t>
      </w:r>
    </w:p>
    <w:p w14:paraId="17E92BBF" w14:textId="77777777" w:rsidR="00D94935" w:rsidRDefault="00D94935" w:rsidP="00D94935">
      <w:pPr>
        <w:pStyle w:val="Apara"/>
      </w:pPr>
      <w:r>
        <w:tab/>
        <w:t>(c)</w:t>
      </w:r>
      <w:r>
        <w:tab/>
        <w:t>a creditor or contributory; or</w:t>
      </w:r>
    </w:p>
    <w:p w14:paraId="67400ABD" w14:textId="77777777" w:rsidR="00D94935" w:rsidRDefault="00D94935" w:rsidP="00D94935">
      <w:pPr>
        <w:pStyle w:val="Apara"/>
      </w:pPr>
      <w:r>
        <w:tab/>
        <w:t>(d)</w:t>
      </w:r>
      <w:r>
        <w:tab/>
        <w:t>anyone else aggrieved by the conduct of—</w:t>
      </w:r>
    </w:p>
    <w:p w14:paraId="1EE8D206" w14:textId="77777777" w:rsidR="00D94935" w:rsidRDefault="00D94935" w:rsidP="00D94935">
      <w:pPr>
        <w:pStyle w:val="Asubpara"/>
      </w:pPr>
      <w:r>
        <w:tab/>
        <w:t>(i)</w:t>
      </w:r>
      <w:r>
        <w:tab/>
        <w:t>a person appointed to administer a compromise or arrangement; or</w:t>
      </w:r>
    </w:p>
    <w:p w14:paraId="64CDF017" w14:textId="77777777" w:rsidR="00D94935" w:rsidRDefault="00D94935" w:rsidP="00D94935">
      <w:pPr>
        <w:pStyle w:val="Asubpara"/>
      </w:pPr>
      <w:r>
        <w:tab/>
        <w:t>(ii)</w:t>
      </w:r>
      <w:r>
        <w:tab/>
        <w:t>a controller; or</w:t>
      </w:r>
    </w:p>
    <w:p w14:paraId="4B80A03C" w14:textId="77777777" w:rsidR="00D94935" w:rsidRDefault="00D94935" w:rsidP="00D94935">
      <w:pPr>
        <w:pStyle w:val="Asubpara"/>
      </w:pPr>
      <w:r>
        <w:tab/>
        <w:t>(iii)</w:t>
      </w:r>
      <w:r>
        <w:tab/>
        <w:t>a liquidator or provisional liquidator.</w:t>
      </w:r>
    </w:p>
    <w:p w14:paraId="208FFDA2" w14:textId="77777777" w:rsidR="00D94935" w:rsidRDefault="00D94935" w:rsidP="00D94935">
      <w:pPr>
        <w:pStyle w:val="Amain"/>
      </w:pPr>
      <w:r>
        <w:tab/>
        <w:t>(2)</w:t>
      </w:r>
      <w:r>
        <w:tab/>
        <w:t>The application may be made without notice to anyone.</w:t>
      </w:r>
    </w:p>
    <w:p w14:paraId="4F01EF8A" w14:textId="633E22E9" w:rsidR="00D94935" w:rsidRDefault="00D94935" w:rsidP="00D94935">
      <w:pPr>
        <w:pStyle w:val="Amain"/>
      </w:pPr>
      <w:r>
        <w:tab/>
        <w:t>(3)</w:t>
      </w:r>
      <w:r>
        <w:tab/>
        <w:t xml:space="preserve">The provisions of this part that apply to an examination under the </w:t>
      </w:r>
      <w:hyperlink r:id="rId1143"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44" w:tooltip="Act 2001 No 50 (Cwlth)" w:history="1">
        <w:r w:rsidRPr="00D74CAB">
          <w:rPr>
            <w:rStyle w:val="charCitHyperlinkAbbrev"/>
          </w:rPr>
          <w:t>Corporations Act</w:t>
        </w:r>
      </w:hyperlink>
      <w:r>
        <w:t>, section 411 (9) (b), section 423 or section 536 (3).</w:t>
      </w:r>
    </w:p>
    <w:p w14:paraId="184F6A1C" w14:textId="77777777" w:rsidR="00D94935" w:rsidRDefault="00D94935" w:rsidP="00D94935">
      <w:pPr>
        <w:pStyle w:val="Schclauseheading"/>
      </w:pPr>
      <w:bookmarkStart w:id="2029" w:name="_Toc185515645"/>
      <w:r w:rsidRPr="00C8328B">
        <w:rPr>
          <w:rStyle w:val="CharSectNo"/>
        </w:rPr>
        <w:lastRenderedPageBreak/>
        <w:t>11.3</w:t>
      </w:r>
      <w:r>
        <w:tab/>
        <w:t>Application for examination summons (Corporations Act, s 596A, s 596B)</w:t>
      </w:r>
      <w:bookmarkEnd w:id="2029"/>
    </w:p>
    <w:p w14:paraId="39A67A01" w14:textId="77777777" w:rsidR="00D94935" w:rsidRDefault="00D94935" w:rsidP="00D94935">
      <w:pPr>
        <w:pStyle w:val="Amain"/>
      </w:pPr>
      <w:r>
        <w:tab/>
        <w:t>(1)</w:t>
      </w:r>
      <w:r>
        <w:tab/>
        <w:t>An application for the issue of an examination summons must be made by filing an interlocutory or originating process.</w:t>
      </w:r>
    </w:p>
    <w:p w14:paraId="42A35D4B" w14:textId="77777777" w:rsidR="00D94935" w:rsidRDefault="00D94935" w:rsidP="00D94935">
      <w:pPr>
        <w:pStyle w:val="Amain"/>
      </w:pPr>
      <w:r>
        <w:tab/>
        <w:t>(2)</w:t>
      </w:r>
      <w:r>
        <w:tab/>
        <w:t>The application may be made without notice to anyone.</w:t>
      </w:r>
    </w:p>
    <w:p w14:paraId="103ED36D" w14:textId="77777777" w:rsidR="00D94935" w:rsidRDefault="00D94935" w:rsidP="00D94935">
      <w:pPr>
        <w:pStyle w:val="Amain"/>
      </w:pPr>
      <w:r>
        <w:tab/>
        <w:t>(3)</w:t>
      </w:r>
      <w:r>
        <w:tab/>
        <w:t>The originating or interlocutory process seeking the issue of the examination summons must be—</w:t>
      </w:r>
    </w:p>
    <w:p w14:paraId="5541B385" w14:textId="77777777" w:rsidR="00D94935" w:rsidRDefault="00D94935" w:rsidP="00D94935">
      <w:pPr>
        <w:pStyle w:val="Apara"/>
      </w:pPr>
      <w:r>
        <w:tab/>
        <w:t>(a)</w:t>
      </w:r>
      <w:r>
        <w:tab/>
        <w:t>supported by an affidavit stating the facts in support of the process; and</w:t>
      </w:r>
    </w:p>
    <w:p w14:paraId="5490D4A0" w14:textId="77777777" w:rsidR="00D94935" w:rsidRDefault="00D94935" w:rsidP="00D94935">
      <w:pPr>
        <w:pStyle w:val="Apara"/>
      </w:pPr>
      <w:r>
        <w:tab/>
        <w:t>(b)</w:t>
      </w:r>
      <w:r>
        <w:tab/>
        <w:t>accompanied by a draft examination summons.</w:t>
      </w:r>
    </w:p>
    <w:p w14:paraId="5339D9C3" w14:textId="3F4B607D"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45" w:history="1">
        <w:r w:rsidRPr="00320A28">
          <w:rPr>
            <w:rStyle w:val="charCitHyperlinkAbbrev"/>
          </w:rPr>
          <w:t>AF2007-145</w:t>
        </w:r>
      </w:hyperlink>
      <w:r>
        <w:t>.</w:t>
      </w:r>
    </w:p>
    <w:p w14:paraId="6D63ED4C" w14:textId="77777777" w:rsidR="00D94935" w:rsidRDefault="00D94935" w:rsidP="00D94935">
      <w:pPr>
        <w:pStyle w:val="Amain"/>
      </w:pPr>
      <w:r>
        <w:tab/>
        <w:t>(4)</w:t>
      </w:r>
      <w:r>
        <w:tab/>
        <w:t>The originating or interlocutory process and supporting affidavit must be filed in a sealed envelope marked, as appropriate—</w:t>
      </w:r>
    </w:p>
    <w:p w14:paraId="2D93662F" w14:textId="77777777"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14:paraId="0AC3F05F" w14:textId="77777777"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14:paraId="19E91114" w14:textId="77777777"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14:paraId="1D40F852" w14:textId="77777777"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14:paraId="60832346" w14:textId="77777777" w:rsidR="00D94935" w:rsidRDefault="00D94935" w:rsidP="00D94935">
      <w:pPr>
        <w:pStyle w:val="Amain"/>
      </w:pPr>
      <w:r>
        <w:tab/>
        <w:t>(7)</w:t>
      </w:r>
      <w:r>
        <w:tab/>
        <w:t>Unless the court otherwise orders, an affidavit in support of an application for an examination summons is not available for inspection by anyone.</w:t>
      </w:r>
    </w:p>
    <w:p w14:paraId="21ED2B31" w14:textId="77777777" w:rsidR="00D94935" w:rsidRDefault="00D94935" w:rsidP="00D94935">
      <w:pPr>
        <w:pStyle w:val="Schclauseheading"/>
      </w:pPr>
      <w:bookmarkStart w:id="2030" w:name="_Toc185515646"/>
      <w:r w:rsidRPr="00C8328B">
        <w:rPr>
          <w:rStyle w:val="CharSectNo"/>
        </w:rPr>
        <w:lastRenderedPageBreak/>
        <w:t>11.4</w:t>
      </w:r>
      <w:r>
        <w:tab/>
        <w:t>Service of examination summons</w:t>
      </w:r>
      <w:bookmarkEnd w:id="2030"/>
    </w:p>
    <w:p w14:paraId="229ECCD2" w14:textId="77777777"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14:paraId="41245BD9" w14:textId="77777777" w:rsidR="00D94935" w:rsidRDefault="00D94935" w:rsidP="00D94935">
      <w:pPr>
        <w:pStyle w:val="Schclauseheading"/>
      </w:pPr>
      <w:bookmarkStart w:id="2031" w:name="_Toc185515647"/>
      <w:r w:rsidRPr="00C8328B">
        <w:rPr>
          <w:rStyle w:val="CharSectNo"/>
        </w:rPr>
        <w:t>11.5</w:t>
      </w:r>
      <w:r>
        <w:tab/>
        <w:t>Discharge of examination summons</w:t>
      </w:r>
      <w:bookmarkEnd w:id="2031"/>
    </w:p>
    <w:p w14:paraId="2AE45938" w14:textId="77777777" w:rsidR="00D94935" w:rsidRDefault="00D94935" w:rsidP="00D94935">
      <w:pPr>
        <w:pStyle w:val="Amain"/>
      </w:pPr>
      <w:r>
        <w:tab/>
        <w:t>(1)</w:t>
      </w:r>
      <w:r>
        <w:tab/>
        <w:t>This rule applies if a person is served with an examination summons.</w:t>
      </w:r>
    </w:p>
    <w:p w14:paraId="153F7477" w14:textId="77777777" w:rsidR="00D94935" w:rsidRDefault="00D94935" w:rsidP="00D94935">
      <w:pPr>
        <w:pStyle w:val="Amain"/>
      </w:pPr>
      <w:r>
        <w:tab/>
        <w:t>(2)</w:t>
      </w:r>
      <w:r>
        <w:tab/>
        <w:t>Not later than 3 days after the person is served with the examination summons, the person may apply to the court for an order discharging the summons by filing—</w:t>
      </w:r>
    </w:p>
    <w:p w14:paraId="3E63B8C5" w14:textId="77777777" w:rsidR="00D94935" w:rsidRDefault="00D94935" w:rsidP="00D94935">
      <w:pPr>
        <w:pStyle w:val="Apara"/>
      </w:pPr>
      <w:r>
        <w:tab/>
        <w:t>(a)</w:t>
      </w:r>
      <w:r>
        <w:tab/>
        <w:t>an interlocutory process seeking an order discharging the summons; and</w:t>
      </w:r>
    </w:p>
    <w:p w14:paraId="12B4389B" w14:textId="77777777" w:rsidR="00D94935" w:rsidRDefault="00D94935" w:rsidP="00D94935">
      <w:pPr>
        <w:pStyle w:val="Apara"/>
      </w:pPr>
      <w:r>
        <w:tab/>
        <w:t>(b)</w:t>
      </w:r>
      <w:r>
        <w:tab/>
        <w:t>an affidavit stating the facts in support of the interlocutory process.</w:t>
      </w:r>
    </w:p>
    <w:p w14:paraId="26EC6063" w14:textId="77777777"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14:paraId="553A73C8" w14:textId="77777777" w:rsidR="00D94935" w:rsidRDefault="00D94935" w:rsidP="00D94935">
      <w:pPr>
        <w:pStyle w:val="Apara"/>
      </w:pPr>
      <w:r>
        <w:tab/>
        <w:t>(a)</w:t>
      </w:r>
      <w:r>
        <w:tab/>
        <w:t>the person who applied for the examination; and</w:t>
      </w:r>
    </w:p>
    <w:p w14:paraId="3E7893E0" w14:textId="77777777" w:rsidR="00D94935" w:rsidRDefault="00D94935" w:rsidP="00D94935">
      <w:pPr>
        <w:pStyle w:val="Apara"/>
      </w:pPr>
      <w:r>
        <w:tab/>
        <w:t>(b)</w:t>
      </w:r>
      <w:r>
        <w:tab/>
        <w:t>unless that person is ASIC or a person authorised by ASIC, ASIC.</w:t>
      </w:r>
    </w:p>
    <w:p w14:paraId="32CDD882" w14:textId="77777777" w:rsidR="00D94935" w:rsidRDefault="00D94935" w:rsidP="00D94935">
      <w:pPr>
        <w:pStyle w:val="Schclauseheading"/>
      </w:pPr>
      <w:bookmarkStart w:id="2032" w:name="_Toc185515648"/>
      <w:r w:rsidRPr="00C8328B">
        <w:rPr>
          <w:rStyle w:val="CharSectNo"/>
        </w:rPr>
        <w:t>11.6</w:t>
      </w:r>
      <w:r>
        <w:tab/>
        <w:t>Filing of record of examination (Corporations Act, s 597 (13))</w:t>
      </w:r>
      <w:bookmarkEnd w:id="2032"/>
    </w:p>
    <w:p w14:paraId="1DF7CECB" w14:textId="1F2BD95F" w:rsidR="00D94935" w:rsidRDefault="00D94935" w:rsidP="00D94935">
      <w:pPr>
        <w:pStyle w:val="Amainreturn"/>
      </w:pPr>
      <w:r>
        <w:t xml:space="preserve">If the court makes an order in relation to an examination under the </w:t>
      </w:r>
      <w:hyperlink r:id="rId1146" w:tooltip="Act 2001 No 50 (Cwlth)" w:history="1">
        <w:r w:rsidRPr="00D74CAB">
          <w:rPr>
            <w:rStyle w:val="charCitHyperlinkAbbrev"/>
          </w:rPr>
          <w:t>Corporations Act</w:t>
        </w:r>
      </w:hyperlink>
      <w:r>
        <w:t>, section 597 (13), the court may give directions for the filing of the written record of the examination.</w:t>
      </w:r>
    </w:p>
    <w:p w14:paraId="46C4F3DF" w14:textId="77777777" w:rsidR="00D94935" w:rsidRDefault="00D94935" w:rsidP="00D94935">
      <w:pPr>
        <w:pStyle w:val="Schclauseheading"/>
      </w:pPr>
      <w:bookmarkStart w:id="2033" w:name="_Toc185515649"/>
      <w:r w:rsidRPr="00C8328B">
        <w:rPr>
          <w:rStyle w:val="CharSectNo"/>
        </w:rPr>
        <w:lastRenderedPageBreak/>
        <w:t>11.7</w:t>
      </w:r>
      <w:r>
        <w:tab/>
        <w:t>Authentication of transcript of examination (Corporations Act, s 597 (14))</w:t>
      </w:r>
      <w:bookmarkEnd w:id="2033"/>
    </w:p>
    <w:p w14:paraId="0CCC9FB6" w14:textId="34769FCE" w:rsidR="00D94935" w:rsidRDefault="00D94935" w:rsidP="00D94935">
      <w:pPr>
        <w:pStyle w:val="Amainreturn"/>
      </w:pPr>
      <w:r>
        <w:t xml:space="preserve">For the </w:t>
      </w:r>
      <w:hyperlink r:id="rId1147" w:tooltip="Act 2001 No 50 (Cwlth)" w:history="1">
        <w:r w:rsidRPr="00D74CAB">
          <w:rPr>
            <w:rStyle w:val="charCitHyperlinkAbbrev"/>
          </w:rPr>
          <w:t>Corporations Act</w:t>
        </w:r>
      </w:hyperlink>
      <w:r>
        <w:t>, section 597 (14), a transcript of an examination may be authenticated—</w:t>
      </w:r>
    </w:p>
    <w:p w14:paraId="2117B999" w14:textId="77777777"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14:paraId="2637EA11" w14:textId="77777777"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14:paraId="4A1B4C97" w14:textId="77777777" w:rsidR="00D94935" w:rsidRDefault="00D94935" w:rsidP="00D94935">
      <w:pPr>
        <w:pStyle w:val="Schclauseheading"/>
      </w:pPr>
      <w:bookmarkStart w:id="2034" w:name="_Toc185515650"/>
      <w:r w:rsidRPr="00C8328B">
        <w:rPr>
          <w:rStyle w:val="CharSectNo"/>
        </w:rPr>
        <w:t>11.8</w:t>
      </w:r>
      <w:r>
        <w:tab/>
        <w:t>Inspection of record or transcript of examination or investigation under Corporations Act, s 411, s 423 or s 536</w:t>
      </w:r>
      <w:bookmarkEnd w:id="2034"/>
    </w:p>
    <w:p w14:paraId="14562276" w14:textId="5C31F547" w:rsidR="00D94935" w:rsidRDefault="00D94935" w:rsidP="00D94935">
      <w:pPr>
        <w:pStyle w:val="Amain"/>
      </w:pPr>
      <w:r>
        <w:tab/>
        <w:t>(1)</w:t>
      </w:r>
      <w:r>
        <w:tab/>
        <w:t xml:space="preserve">A written record or transcript of an examination or investigation under the </w:t>
      </w:r>
      <w:hyperlink r:id="rId1148" w:tooltip="Act 2001 No 50 (Cwlth)" w:history="1">
        <w:r w:rsidRPr="00D74CAB">
          <w:rPr>
            <w:rStyle w:val="charCitHyperlinkAbbrev"/>
          </w:rPr>
          <w:t>Corporations Act</w:t>
        </w:r>
      </w:hyperlink>
      <w:r>
        <w:t>, section 411, section 423 or section 536 is not available for inspection by anyone except—</w:t>
      </w:r>
    </w:p>
    <w:p w14:paraId="4774C808" w14:textId="77777777" w:rsidR="00D94935" w:rsidRDefault="00D94935" w:rsidP="00D94935">
      <w:pPr>
        <w:pStyle w:val="Apara"/>
      </w:pPr>
      <w:r>
        <w:tab/>
        <w:t>(a)</w:t>
      </w:r>
      <w:r>
        <w:tab/>
        <w:t>with the consent of the liquidator (if any) or ASIC; or</w:t>
      </w:r>
    </w:p>
    <w:p w14:paraId="662AB977" w14:textId="77777777" w:rsidR="00D94935" w:rsidRDefault="00D94935" w:rsidP="00D94935">
      <w:pPr>
        <w:pStyle w:val="Apara"/>
      </w:pPr>
      <w:r>
        <w:tab/>
        <w:t>(b)</w:t>
      </w:r>
      <w:r>
        <w:tab/>
        <w:t>by leave of the court.</w:t>
      </w:r>
    </w:p>
    <w:p w14:paraId="1019ECEA" w14:textId="77777777" w:rsidR="00D94935" w:rsidRDefault="00D94935" w:rsidP="00D94935">
      <w:pPr>
        <w:pStyle w:val="Amain"/>
      </w:pPr>
      <w:r>
        <w:tab/>
        <w:t>(2)</w:t>
      </w:r>
      <w:r>
        <w:tab/>
        <w:t>This rule does not apply to the liquidator, ASIC or anyone authorised by ASIC.</w:t>
      </w:r>
    </w:p>
    <w:p w14:paraId="4DA288F3" w14:textId="77777777" w:rsidR="00D94935" w:rsidRDefault="00D94935" w:rsidP="00D94935">
      <w:pPr>
        <w:pStyle w:val="Schclauseheading"/>
      </w:pPr>
      <w:bookmarkStart w:id="2035" w:name="_Toc185515651"/>
      <w:r w:rsidRPr="00C8328B">
        <w:rPr>
          <w:rStyle w:val="CharSectNo"/>
        </w:rPr>
        <w:t>11.9</w:t>
      </w:r>
      <w:r>
        <w:tab/>
        <w:t>Entitlement to record or transcript of examination held in public</w:t>
      </w:r>
      <w:bookmarkEnd w:id="2035"/>
    </w:p>
    <w:p w14:paraId="6F6CB81A" w14:textId="77777777" w:rsidR="00D94935" w:rsidRDefault="00D94935" w:rsidP="00D94935">
      <w:pPr>
        <w:pStyle w:val="Amain"/>
      </w:pPr>
      <w:r>
        <w:tab/>
        <w:t>(1)</w:t>
      </w:r>
      <w:r>
        <w:tab/>
        <w:t>This rule applies if—</w:t>
      </w:r>
    </w:p>
    <w:p w14:paraId="38DFB7E1" w14:textId="01D401D1" w:rsidR="00D94935" w:rsidRDefault="00D94935" w:rsidP="00D94935">
      <w:pPr>
        <w:pStyle w:val="Apara"/>
      </w:pPr>
      <w:r>
        <w:tab/>
        <w:t>(a)</w:t>
      </w:r>
      <w:r>
        <w:tab/>
        <w:t xml:space="preserve">an examination under the </w:t>
      </w:r>
      <w:hyperlink r:id="rId1149" w:tooltip="Act 2001 No 50 (Cwlth)" w:history="1">
        <w:r w:rsidRPr="00D74CAB">
          <w:rPr>
            <w:rStyle w:val="charCitHyperlinkAbbrev"/>
          </w:rPr>
          <w:t>Corporations Act</w:t>
        </w:r>
      </w:hyperlink>
      <w:r>
        <w:t>, section 597 is held completely or partly in public; and</w:t>
      </w:r>
    </w:p>
    <w:p w14:paraId="799E0515" w14:textId="77777777" w:rsidR="00D94935" w:rsidRDefault="00D94935" w:rsidP="00D94935">
      <w:pPr>
        <w:pStyle w:val="Apara"/>
      </w:pPr>
      <w:r>
        <w:lastRenderedPageBreak/>
        <w:tab/>
        <w:t>(b)</w:t>
      </w:r>
      <w:r>
        <w:tab/>
        <w:t>a written record or transcript of the examination is filed in the court.</w:t>
      </w:r>
    </w:p>
    <w:p w14:paraId="3E35E85F" w14:textId="77777777"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14:paraId="35205429" w14:textId="77777777" w:rsidR="00D94935" w:rsidRDefault="00D94935" w:rsidP="00D94935">
      <w:pPr>
        <w:pStyle w:val="Amain"/>
      </w:pPr>
      <w:r>
        <w:tab/>
        <w:t>(3)</w:t>
      </w:r>
      <w:r>
        <w:tab/>
        <w:t>On receiving an application from a person under subrule (2), and any applicable fee, the registrar must give a copy of the record or transcript to the person.</w:t>
      </w:r>
    </w:p>
    <w:p w14:paraId="344985F5" w14:textId="77777777" w:rsidR="00D94935" w:rsidRDefault="00D94935" w:rsidP="00D94935">
      <w:pPr>
        <w:pStyle w:val="Schclauseheading"/>
      </w:pPr>
      <w:bookmarkStart w:id="2036" w:name="_Toc185515652"/>
      <w:r w:rsidRPr="00C8328B">
        <w:rPr>
          <w:rStyle w:val="CharSectNo"/>
        </w:rPr>
        <w:t>11.10</w:t>
      </w:r>
      <w:r>
        <w:tab/>
        <w:t>Default in relation to examination</w:t>
      </w:r>
      <w:bookmarkEnd w:id="2036"/>
    </w:p>
    <w:p w14:paraId="03A4D269" w14:textId="77777777" w:rsidR="00D94935" w:rsidRDefault="00D94935" w:rsidP="00D94935">
      <w:pPr>
        <w:pStyle w:val="Amain"/>
      </w:pPr>
      <w:r>
        <w:tab/>
        <w:t>(1)</w:t>
      </w:r>
      <w:r>
        <w:tab/>
        <w:t>This rule applies if a person is summoned or ordered by the court to attend for examination, and—</w:t>
      </w:r>
    </w:p>
    <w:p w14:paraId="6528C7C8" w14:textId="77777777" w:rsidR="00D94935" w:rsidRDefault="00D94935" w:rsidP="00D94935">
      <w:pPr>
        <w:pStyle w:val="Apara"/>
      </w:pPr>
      <w:r>
        <w:tab/>
        <w:t>(a)</w:t>
      </w:r>
      <w:r>
        <w:tab/>
        <w:t>without reasonable cause, the person—</w:t>
      </w:r>
    </w:p>
    <w:p w14:paraId="688521FD" w14:textId="77777777" w:rsidR="00D94935" w:rsidRDefault="00D94935" w:rsidP="00D94935">
      <w:pPr>
        <w:pStyle w:val="Asubpara"/>
      </w:pPr>
      <w:r>
        <w:tab/>
        <w:t>(i)</w:t>
      </w:r>
      <w:r>
        <w:tab/>
        <w:t>fails to attend at the time and place appointed; or</w:t>
      </w:r>
    </w:p>
    <w:p w14:paraId="5675DB0C" w14:textId="77777777" w:rsidR="00D94935" w:rsidRDefault="00D94935" w:rsidP="00D94935">
      <w:pPr>
        <w:pStyle w:val="Asubpara"/>
      </w:pPr>
      <w:r>
        <w:tab/>
        <w:t>(ii)</w:t>
      </w:r>
      <w:r>
        <w:tab/>
        <w:t>fails to attend from day-to-day until the completion of the examination; or</w:t>
      </w:r>
    </w:p>
    <w:p w14:paraId="02614A08" w14:textId="77777777" w:rsidR="00D94935" w:rsidRDefault="00D94935" w:rsidP="00D94935">
      <w:pPr>
        <w:pStyle w:val="Asubpara"/>
      </w:pPr>
      <w:r>
        <w:tab/>
        <w:t>(iii)</w:t>
      </w:r>
      <w:r>
        <w:tab/>
        <w:t>fails to take an oath or make an affirmation; or</w:t>
      </w:r>
    </w:p>
    <w:p w14:paraId="6961D33F" w14:textId="77777777" w:rsidR="00D94935" w:rsidRDefault="00D94935" w:rsidP="00D94935">
      <w:pPr>
        <w:pStyle w:val="Asubpara"/>
      </w:pPr>
      <w:r>
        <w:tab/>
        <w:t>(iv)</w:t>
      </w:r>
      <w:r>
        <w:tab/>
        <w:t>fails to answer a question that the court directs the person to answer; or</w:t>
      </w:r>
    </w:p>
    <w:p w14:paraId="68F1F685" w14:textId="77777777" w:rsidR="00D94935" w:rsidRDefault="00D94935" w:rsidP="00D94935">
      <w:pPr>
        <w:pStyle w:val="Asubpara"/>
      </w:pPr>
      <w:r>
        <w:tab/>
        <w:t>(v)</w:t>
      </w:r>
      <w:r>
        <w:tab/>
        <w:t>fails to produce books that the summons requires the person to produce; or</w:t>
      </w:r>
    </w:p>
    <w:p w14:paraId="258B4CF8" w14:textId="77777777" w:rsidR="00D94935" w:rsidRDefault="00D94935" w:rsidP="00D94935">
      <w:pPr>
        <w:pStyle w:val="Asubpara"/>
      </w:pPr>
      <w:r>
        <w:tab/>
        <w:t>(vi)</w:t>
      </w:r>
      <w:r>
        <w:tab/>
        <w:t>fails to comply with a requirement by the court to sign a written record of the examination; or</w:t>
      </w:r>
    </w:p>
    <w:p w14:paraId="6C149B36" w14:textId="77777777"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14:paraId="6D934DA4" w14:textId="77777777" w:rsidR="00D94935" w:rsidRDefault="00D94935" w:rsidP="0097775A">
      <w:pPr>
        <w:pStyle w:val="Amain"/>
        <w:keepNext/>
      </w:pPr>
      <w:r>
        <w:lastRenderedPageBreak/>
        <w:tab/>
        <w:t>(2)</w:t>
      </w:r>
      <w:r>
        <w:tab/>
        <w:t>The court may—</w:t>
      </w:r>
    </w:p>
    <w:p w14:paraId="4716837D" w14:textId="77777777" w:rsidR="00D94935" w:rsidRDefault="00D94935" w:rsidP="00D94935">
      <w:pPr>
        <w:pStyle w:val="Apara"/>
      </w:pPr>
      <w:r>
        <w:tab/>
        <w:t>(a)</w:t>
      </w:r>
      <w:r>
        <w:tab/>
        <w:t>issue a warrant for the arrest of the person summoned or ordered to attend for examination; and</w:t>
      </w:r>
    </w:p>
    <w:p w14:paraId="45BF3670" w14:textId="77777777" w:rsidR="00D94935" w:rsidRDefault="00D94935" w:rsidP="00D94935">
      <w:pPr>
        <w:pStyle w:val="Apara"/>
      </w:pPr>
      <w:r>
        <w:tab/>
        <w:t>(b)</w:t>
      </w:r>
      <w:r>
        <w:tab/>
        <w:t>make any other orders that the court considers just or necessary.</w:t>
      </w:r>
    </w:p>
    <w:p w14:paraId="53985355" w14:textId="77777777" w:rsidR="00D94935" w:rsidRDefault="00D94935" w:rsidP="00D94935">
      <w:pPr>
        <w:pStyle w:val="Schclauseheading"/>
      </w:pPr>
      <w:bookmarkStart w:id="2037" w:name="_Toc185515653"/>
      <w:r w:rsidRPr="00C8328B">
        <w:rPr>
          <w:rStyle w:val="CharSectNo"/>
        </w:rPr>
        <w:t>11.11</w:t>
      </w:r>
      <w:r>
        <w:tab/>
        <w:t>Service of application for order in relation to breaches etc by person concerned with corporation (Corporations Act, s 598)</w:t>
      </w:r>
      <w:bookmarkEnd w:id="2037"/>
    </w:p>
    <w:p w14:paraId="15C1CC42" w14:textId="36D8D1C8" w:rsidR="00D94935" w:rsidRDefault="00D94935" w:rsidP="00D94935">
      <w:pPr>
        <w:pStyle w:val="Amain"/>
      </w:pPr>
      <w:r>
        <w:tab/>
        <w:t>(1)</w:t>
      </w:r>
      <w:r>
        <w:tab/>
        <w:t xml:space="preserve">This rule applies to a person applying for an order under the </w:t>
      </w:r>
      <w:hyperlink r:id="rId1150" w:tooltip="Act 2001 No 50 (Cwlth)" w:history="1">
        <w:r w:rsidRPr="00D74CAB">
          <w:rPr>
            <w:rStyle w:val="charCitHyperlinkAbbrev"/>
          </w:rPr>
          <w:t>Corporations Act</w:t>
        </w:r>
      </w:hyperlink>
      <w:r>
        <w:t>, section 598.</w:t>
      </w:r>
    </w:p>
    <w:p w14:paraId="46C5B46D" w14:textId="77777777"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14:paraId="29A79922" w14:textId="77777777"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14:paraId="1DAA7788" w14:textId="77777777" w:rsidR="00D94935" w:rsidRPr="00C8328B" w:rsidRDefault="00D94935" w:rsidP="00D94935">
      <w:pPr>
        <w:pStyle w:val="Sched-Part"/>
      </w:pPr>
      <w:bookmarkStart w:id="2038" w:name="_Toc185515654"/>
      <w:r w:rsidRPr="00C8328B">
        <w:rPr>
          <w:rStyle w:val="CharPartNo"/>
        </w:rPr>
        <w:lastRenderedPageBreak/>
        <w:t>Part 6.11A</w:t>
      </w:r>
      <w:r>
        <w:tab/>
      </w:r>
      <w:r w:rsidRPr="00C8328B">
        <w:rPr>
          <w:rStyle w:val="CharPartText"/>
        </w:rPr>
        <w:t>Warrants (Corporations Act, s 486B and pt 5.4B, div 3, subdiv B)</w:t>
      </w:r>
      <w:bookmarkEnd w:id="2038"/>
    </w:p>
    <w:p w14:paraId="2FB86F81" w14:textId="77777777" w:rsidR="00D94935" w:rsidRDefault="00D94935" w:rsidP="00D94935">
      <w:pPr>
        <w:pStyle w:val="Schclauseheading"/>
      </w:pPr>
      <w:bookmarkStart w:id="2039" w:name="_Toc185515655"/>
      <w:r w:rsidRPr="00C8328B">
        <w:rPr>
          <w:rStyle w:val="CharSectNo"/>
        </w:rPr>
        <w:t>11A.1</w:t>
      </w:r>
      <w:r>
        <w:tab/>
        <w:t>Arrest of person (Corporations Act, s 486B)</w:t>
      </w:r>
      <w:bookmarkEnd w:id="2039"/>
    </w:p>
    <w:p w14:paraId="519A6C32" w14:textId="658BA682" w:rsidR="00D94935" w:rsidRDefault="00D94935" w:rsidP="00D94935">
      <w:pPr>
        <w:pStyle w:val="Amain"/>
      </w:pPr>
      <w:r>
        <w:tab/>
        <w:t>(1)</w:t>
      </w:r>
      <w:r>
        <w:tab/>
        <w:t xml:space="preserve">An application for the issue of a warrant under the </w:t>
      </w:r>
      <w:hyperlink r:id="rId1151" w:tooltip="Act 2001 No 50 (Cwlth)" w:history="1">
        <w:r w:rsidRPr="00D74CAB">
          <w:rPr>
            <w:rStyle w:val="charCitHyperlinkAbbrev"/>
          </w:rPr>
          <w:t>Corporations Act</w:t>
        </w:r>
      </w:hyperlink>
      <w:r>
        <w:t xml:space="preserve">, section 486B (1) for the arrest of a person must state the grounds for the issue of the warrant. </w:t>
      </w:r>
    </w:p>
    <w:p w14:paraId="2C35AD2E" w14:textId="77777777" w:rsidR="00D94935" w:rsidRDefault="00D94935" w:rsidP="00D94935">
      <w:pPr>
        <w:pStyle w:val="Amain"/>
      </w:pPr>
      <w:r>
        <w:tab/>
        <w:t>(2)</w:t>
      </w:r>
      <w:r>
        <w:tab/>
        <w:t xml:space="preserve">The application must be accompanied by an affidavit stating the facts in support of the application. </w:t>
      </w:r>
    </w:p>
    <w:p w14:paraId="22419095" w14:textId="70E1B1DF" w:rsidR="00D94935" w:rsidRDefault="00D94935" w:rsidP="00D94935">
      <w:pPr>
        <w:pStyle w:val="aNote"/>
        <w:keepNext/>
      </w:pPr>
      <w:r>
        <w:rPr>
          <w:rStyle w:val="charItals"/>
        </w:rPr>
        <w:t>Note</w:t>
      </w:r>
      <w:r>
        <w:tab/>
        <w:t xml:space="preserve">See approved form 17A (Arrest warrant) </w:t>
      </w:r>
      <w:hyperlink r:id="rId1152" w:history="1">
        <w:r w:rsidRPr="00320A28">
          <w:rPr>
            <w:rStyle w:val="charCitHyperlinkAbbrev"/>
          </w:rPr>
          <w:t>AF2008-69</w:t>
        </w:r>
      </w:hyperlink>
      <w:r>
        <w:t>.</w:t>
      </w:r>
    </w:p>
    <w:p w14:paraId="485479EC" w14:textId="77777777"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14:paraId="6BD62BBF" w14:textId="74A35607" w:rsidR="00D94935" w:rsidRDefault="00D94935" w:rsidP="00D94935">
      <w:pPr>
        <w:pStyle w:val="aNote"/>
      </w:pPr>
      <w:r>
        <w:rPr>
          <w:rStyle w:val="charItals"/>
        </w:rPr>
        <w:t>Note</w:t>
      </w:r>
      <w:r>
        <w:rPr>
          <w:rStyle w:val="charItals"/>
        </w:rPr>
        <w:tab/>
      </w:r>
      <w:r>
        <w:t xml:space="preserve">The </w:t>
      </w:r>
      <w:hyperlink r:id="rId1153" w:tooltip="Act 2001 No 50 (Cwlth)" w:history="1">
        <w:r w:rsidRPr="00D74CAB">
          <w:rPr>
            <w:rStyle w:val="charCitHyperlinkAbbrev"/>
          </w:rPr>
          <w:t>Corporations Act</w:t>
        </w:r>
      </w:hyperlink>
      <w:r>
        <w:t xml:space="preserve">, ss 489A to 489E, inserted by the </w:t>
      </w:r>
      <w:hyperlink r:id="rId1154"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55" w:tooltip="Act 2001 No 50 (Cwlth)" w:history="1">
        <w:r w:rsidRPr="00D74CAB">
          <w:rPr>
            <w:rStyle w:val="charCitHyperlinkAbbrev"/>
          </w:rPr>
          <w:t>Corporations Act</w:t>
        </w:r>
      </w:hyperlink>
      <w:r>
        <w:t>, s 1481</w:t>
      </w:r>
      <w:r w:rsidR="0044566A">
        <w:t> </w:t>
      </w:r>
      <w:r>
        <w:t>(3).</w:t>
      </w:r>
    </w:p>
    <w:p w14:paraId="4807889C" w14:textId="77777777" w:rsidR="004426B3" w:rsidRDefault="004426B3">
      <w:pPr>
        <w:pStyle w:val="03Schedule"/>
        <w:sectPr w:rsidR="004426B3" w:rsidSect="00CD3DF7">
          <w:headerReference w:type="even" r:id="rId1156"/>
          <w:headerReference w:type="default" r:id="rId1157"/>
          <w:footerReference w:type="even" r:id="rId1158"/>
          <w:footerReference w:type="default" r:id="rId1159"/>
          <w:type w:val="continuous"/>
          <w:pgSz w:w="11907" w:h="16839" w:code="9"/>
          <w:pgMar w:top="3880" w:right="1900" w:bottom="3100" w:left="2300" w:header="2280" w:footer="1760" w:gutter="0"/>
          <w:cols w:space="720"/>
        </w:sectPr>
      </w:pPr>
    </w:p>
    <w:p w14:paraId="038C8693" w14:textId="77777777" w:rsidR="00D94935" w:rsidRDefault="00D94935" w:rsidP="00D94935">
      <w:pPr>
        <w:pStyle w:val="PageBreak"/>
      </w:pPr>
      <w:r>
        <w:br w:type="page"/>
      </w:r>
    </w:p>
    <w:p w14:paraId="4113601D" w14:textId="77777777" w:rsidR="00D94935" w:rsidRPr="00C8328B" w:rsidRDefault="00D94935" w:rsidP="00D94935">
      <w:pPr>
        <w:pStyle w:val="Sched-Part"/>
      </w:pPr>
      <w:bookmarkStart w:id="2040" w:name="_Toc185515656"/>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0"/>
    </w:p>
    <w:p w14:paraId="1F5B008B" w14:textId="77777777" w:rsidR="00D94935" w:rsidRDefault="00D94935" w:rsidP="00D94935">
      <w:pPr>
        <w:pStyle w:val="Schclauseheading"/>
      </w:pPr>
      <w:bookmarkStart w:id="2041" w:name="_Toc185515657"/>
      <w:r w:rsidRPr="00C8328B">
        <w:rPr>
          <w:rStyle w:val="CharSectNo"/>
        </w:rPr>
        <w:t>12.1</w:t>
      </w:r>
      <w:r>
        <w:tab/>
        <w:t>Service on ASIC in relation to proceedings under Corporations Act, ch 6, 6A, 6B, 6C, 6D or 7</w:t>
      </w:r>
      <w:bookmarkEnd w:id="2041"/>
    </w:p>
    <w:p w14:paraId="01309D55" w14:textId="5A7D6B0F" w:rsidR="00D94935" w:rsidRDefault="00D94935" w:rsidP="00D94935">
      <w:pPr>
        <w:pStyle w:val="Amainreturn"/>
      </w:pPr>
      <w:r>
        <w:t xml:space="preserve">If ASIC is not a party to an application made under the </w:t>
      </w:r>
      <w:hyperlink r:id="rId1160"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14:paraId="41106845" w14:textId="77777777" w:rsidR="00D94935" w:rsidRDefault="00D94935" w:rsidP="00D94935">
      <w:pPr>
        <w:pStyle w:val="Schclauseheading"/>
      </w:pPr>
      <w:bookmarkStart w:id="2042" w:name="_Toc185515658"/>
      <w:r w:rsidRPr="00C8328B">
        <w:rPr>
          <w:rStyle w:val="CharSectNo"/>
        </w:rPr>
        <w:t>12.1A</w:t>
      </w:r>
      <w:r>
        <w:tab/>
        <w:t>Reference to court of question of law arising in proceeding before Takeovers Panel (Corporations Act, s 659A)</w:t>
      </w:r>
      <w:bookmarkEnd w:id="2042"/>
    </w:p>
    <w:p w14:paraId="2D7D0738" w14:textId="09CB91AD" w:rsidR="00D94935" w:rsidRDefault="00D94935" w:rsidP="00D94935">
      <w:pPr>
        <w:pStyle w:val="Amainreturn"/>
      </w:pPr>
      <w:r>
        <w:t xml:space="preserve">The procedures in the </w:t>
      </w:r>
      <w:hyperlink r:id="rId1161"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62" w:tooltip="Act 2001 No 50 (Cwlth)" w:history="1">
        <w:r w:rsidRPr="00D74CAB">
          <w:rPr>
            <w:rStyle w:val="charCitHyperlinkAbbrev"/>
          </w:rPr>
          <w:t>Corporations Act</w:t>
        </w:r>
      </w:hyperlink>
      <w:r>
        <w:t>, section 659A.</w:t>
      </w:r>
    </w:p>
    <w:p w14:paraId="308AC0B8" w14:textId="77777777" w:rsidR="00D94935" w:rsidRDefault="00D94935" w:rsidP="00D94935">
      <w:pPr>
        <w:pStyle w:val="Schclauseheading"/>
        <w:rPr>
          <w:rStyle w:val="CharSectNo"/>
        </w:rPr>
      </w:pPr>
      <w:bookmarkStart w:id="2043" w:name="_Toc185515659"/>
      <w:r w:rsidRPr="00C8328B">
        <w:rPr>
          <w:rStyle w:val="CharSectNo"/>
        </w:rPr>
        <w:t>12.1B</w:t>
      </w:r>
      <w:r>
        <w:rPr>
          <w:rStyle w:val="CharSectNo"/>
        </w:rPr>
        <w:tab/>
        <w:t>Notification to court if proceeding started before end of takeover bid period (Corporations Act, s 659B)</w:t>
      </w:r>
      <w:bookmarkEnd w:id="2043"/>
    </w:p>
    <w:p w14:paraId="5610105C" w14:textId="77777777" w:rsidR="00D94935" w:rsidRDefault="00D94935" w:rsidP="00D94935">
      <w:pPr>
        <w:pStyle w:val="Amain"/>
      </w:pPr>
      <w:r>
        <w:tab/>
        <w:t>(1)</w:t>
      </w:r>
      <w:r>
        <w:tab/>
        <w:t>This rule applies to a party to a proceeding who suspects or becomes aware that—</w:t>
      </w:r>
    </w:p>
    <w:p w14:paraId="41507822" w14:textId="77777777" w:rsidR="00D94935" w:rsidRDefault="00D94935" w:rsidP="00D94935">
      <w:pPr>
        <w:pStyle w:val="Apara"/>
      </w:pPr>
      <w:r>
        <w:tab/>
        <w:t>(a)</w:t>
      </w:r>
      <w:r>
        <w:tab/>
        <w:t>the proceeding was started in relation to a takeover bid, or proposed takeover bid, before the end of the bid period; and</w:t>
      </w:r>
    </w:p>
    <w:p w14:paraId="471D7A9B" w14:textId="5ED44E89"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63" w:tooltip="Act 2001 No 50 (Cwlth)" w:history="1">
        <w:r w:rsidRPr="00D74CAB">
          <w:rPr>
            <w:rStyle w:val="charCitHyperlinkAbbrev"/>
          </w:rPr>
          <w:t>Corporations Act</w:t>
        </w:r>
      </w:hyperlink>
      <w:r>
        <w:t>, section 659B (4).</w:t>
      </w:r>
    </w:p>
    <w:p w14:paraId="50F5665F" w14:textId="77777777"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14:paraId="71653116" w14:textId="77777777" w:rsidR="00D94935" w:rsidRDefault="00D94935" w:rsidP="00D94935">
      <w:pPr>
        <w:pStyle w:val="Amain"/>
      </w:pPr>
      <w:r>
        <w:tab/>
        <w:t>(3)</w:t>
      </w:r>
      <w:r>
        <w:tab/>
        <w:t>The party must comply with subrule (2), unless any other party to the proceeding has given a notice under this rule to the party.</w:t>
      </w:r>
    </w:p>
    <w:p w14:paraId="52190C62" w14:textId="77777777" w:rsidR="00D94935" w:rsidRDefault="00D94935" w:rsidP="00D94935">
      <w:pPr>
        <w:pStyle w:val="Schclauseheading"/>
      </w:pPr>
      <w:bookmarkStart w:id="2044" w:name="_Toc185515660"/>
      <w:r w:rsidRPr="00C8328B">
        <w:rPr>
          <w:rStyle w:val="CharSectNo"/>
        </w:rPr>
        <w:t>12.2</w:t>
      </w:r>
      <w:r>
        <w:tab/>
        <w:t>Application for summons for appearance of person (Corporations Act, s 1071D (4))</w:t>
      </w:r>
      <w:bookmarkEnd w:id="2044"/>
    </w:p>
    <w:p w14:paraId="25FCDAF4" w14:textId="5372597C" w:rsidR="00D94935" w:rsidRDefault="00D94935" w:rsidP="00D94935">
      <w:pPr>
        <w:pStyle w:val="Amain"/>
      </w:pPr>
      <w:r>
        <w:tab/>
        <w:t>(1)</w:t>
      </w:r>
      <w:r>
        <w:tab/>
        <w:t xml:space="preserve">An application for the issue of a summons under the </w:t>
      </w:r>
      <w:hyperlink r:id="rId1164" w:tooltip="Act 2001 No 50 (Cwlth)" w:history="1">
        <w:r w:rsidRPr="00D74CAB">
          <w:rPr>
            <w:rStyle w:val="charCitHyperlinkAbbrev"/>
          </w:rPr>
          <w:t>Corporations Act</w:t>
        </w:r>
      </w:hyperlink>
      <w:r>
        <w:t>, section 1071D (4) must be made by filing an originating or interlocutory process.</w:t>
      </w:r>
    </w:p>
    <w:p w14:paraId="706883D3" w14:textId="77777777" w:rsidR="00D94935" w:rsidRDefault="00D94935" w:rsidP="00D94935">
      <w:pPr>
        <w:pStyle w:val="Amain"/>
      </w:pPr>
      <w:r>
        <w:tab/>
        <w:t>(2)</w:t>
      </w:r>
      <w:r>
        <w:tab/>
        <w:t>The applicant may be the only party to the application.</w:t>
      </w:r>
    </w:p>
    <w:p w14:paraId="749636E7" w14:textId="77777777" w:rsidR="00D94935" w:rsidRDefault="00D94935" w:rsidP="00D94935">
      <w:pPr>
        <w:pStyle w:val="Amain"/>
      </w:pPr>
      <w:r>
        <w:tab/>
        <w:t>(3)</w:t>
      </w:r>
      <w:r>
        <w:tab/>
        <w:t>The originating or interlocutory process seeking the issue of the summons must be—</w:t>
      </w:r>
    </w:p>
    <w:p w14:paraId="41C5227F" w14:textId="77777777" w:rsidR="00D94935" w:rsidRDefault="00D94935" w:rsidP="00D94935">
      <w:pPr>
        <w:pStyle w:val="Apara"/>
      </w:pPr>
      <w:r>
        <w:tab/>
        <w:t>(a)</w:t>
      </w:r>
      <w:r>
        <w:tab/>
        <w:t>supported by an affidavit stating the facts in support of the process; and</w:t>
      </w:r>
    </w:p>
    <w:p w14:paraId="42C92F3D" w14:textId="77777777" w:rsidR="00D94935" w:rsidRDefault="00D94935" w:rsidP="00D94935">
      <w:pPr>
        <w:pStyle w:val="Apara"/>
      </w:pPr>
      <w:r>
        <w:tab/>
        <w:t>(b)</w:t>
      </w:r>
      <w:r>
        <w:tab/>
        <w:t>accompanied by a draft summons.</w:t>
      </w:r>
    </w:p>
    <w:p w14:paraId="3B260D7A" w14:textId="76E952F4"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65" w:history="1">
        <w:r w:rsidRPr="007047FF">
          <w:rPr>
            <w:rStyle w:val="charCitHyperlinkAbbrev"/>
          </w:rPr>
          <w:t>AF2007-146</w:t>
        </w:r>
      </w:hyperlink>
      <w:r>
        <w:t>.</w:t>
      </w:r>
    </w:p>
    <w:p w14:paraId="3DDFE4C0" w14:textId="77777777" w:rsidR="00D94935" w:rsidRDefault="00D94935" w:rsidP="00D94935">
      <w:pPr>
        <w:pStyle w:val="Schclauseheading"/>
      </w:pPr>
      <w:bookmarkStart w:id="2045" w:name="_Toc185515661"/>
      <w:r w:rsidRPr="00C8328B">
        <w:rPr>
          <w:rStyle w:val="CharSectNo"/>
        </w:rPr>
        <w:t>12.3</w:t>
      </w:r>
      <w:r>
        <w:tab/>
        <w:t>Application for orders relating to refusal to register transfer or transmission of securities (Corporations Act, s 1071F)</w:t>
      </w:r>
      <w:bookmarkEnd w:id="2045"/>
    </w:p>
    <w:p w14:paraId="51577503" w14:textId="23444DE9" w:rsidR="00D94935" w:rsidRDefault="00D94935" w:rsidP="00D94935">
      <w:pPr>
        <w:pStyle w:val="Amainreturn"/>
      </w:pPr>
      <w:r>
        <w:t xml:space="preserve">As soon as practicable after filing an originating process under the </w:t>
      </w:r>
      <w:hyperlink r:id="rId1166" w:tooltip="Act 2001 No 50 (Cwlth)" w:history="1">
        <w:r w:rsidRPr="00D74CAB">
          <w:rPr>
            <w:rStyle w:val="charCitHyperlinkAbbrev"/>
          </w:rPr>
          <w:t>Corporations Act</w:t>
        </w:r>
      </w:hyperlink>
      <w:r>
        <w:t>, section 1071F, the plaintiff must serve a copy of the originating process and the supporting affidavit on—</w:t>
      </w:r>
    </w:p>
    <w:p w14:paraId="2330D712" w14:textId="77777777" w:rsidR="00D94935" w:rsidRDefault="00D94935" w:rsidP="00D94935">
      <w:pPr>
        <w:pStyle w:val="Apara"/>
      </w:pPr>
      <w:r>
        <w:tab/>
        <w:t>(a)</w:t>
      </w:r>
      <w:r>
        <w:tab/>
        <w:t>the company; and</w:t>
      </w:r>
    </w:p>
    <w:p w14:paraId="23B7A55B" w14:textId="77777777" w:rsidR="00D94935" w:rsidRDefault="00D94935" w:rsidP="00D94935">
      <w:pPr>
        <w:pStyle w:val="Apara"/>
      </w:pPr>
      <w:r>
        <w:tab/>
        <w:t>(b)</w:t>
      </w:r>
      <w:r>
        <w:tab/>
        <w:t>anyone against whom an order is sought.</w:t>
      </w:r>
    </w:p>
    <w:p w14:paraId="26808152" w14:textId="77777777" w:rsidR="004426B3" w:rsidRDefault="004426B3">
      <w:pPr>
        <w:pStyle w:val="03Schedule"/>
        <w:sectPr w:rsidR="004426B3" w:rsidSect="00CD3DF7">
          <w:headerReference w:type="even" r:id="rId1167"/>
          <w:headerReference w:type="default" r:id="rId1168"/>
          <w:footerReference w:type="even" r:id="rId1169"/>
          <w:footerReference w:type="default" r:id="rId1170"/>
          <w:type w:val="continuous"/>
          <w:pgSz w:w="11907" w:h="16839" w:code="9"/>
          <w:pgMar w:top="3880" w:right="1900" w:bottom="3100" w:left="2300" w:header="2280" w:footer="1760" w:gutter="0"/>
          <w:cols w:space="720"/>
        </w:sectPr>
      </w:pPr>
    </w:p>
    <w:p w14:paraId="1C8B69FD" w14:textId="77777777" w:rsidR="00D94935" w:rsidRDefault="00D94935" w:rsidP="00D94935">
      <w:pPr>
        <w:pStyle w:val="PageBreak"/>
      </w:pPr>
      <w:r>
        <w:br w:type="page"/>
      </w:r>
    </w:p>
    <w:p w14:paraId="2B6DD306" w14:textId="407E1129" w:rsidR="00D94935" w:rsidRPr="00C8328B" w:rsidRDefault="00D94935" w:rsidP="00D94935">
      <w:pPr>
        <w:pStyle w:val="Sched-Part"/>
      </w:pPr>
      <w:bookmarkStart w:id="2046" w:name="_Toc185515662"/>
      <w:r w:rsidRPr="00C8328B">
        <w:rPr>
          <w:rStyle w:val="CharPartNo"/>
        </w:rPr>
        <w:lastRenderedPageBreak/>
        <w:t>Part 6.13</w:t>
      </w:r>
      <w:bookmarkEnd w:id="2046"/>
      <w:r w:rsidRPr="00D75A67">
        <w:rPr>
          <w:rStyle w:val="CharPartNo"/>
        </w:rPr>
        <w:tab/>
      </w:r>
      <w:r w:rsidRPr="00C8328B">
        <w:rPr>
          <w:rStyle w:val="CharPartText"/>
        </w:rPr>
        <w:t xml:space="preserve">  </w:t>
      </w:r>
    </w:p>
    <w:p w14:paraId="2F4544ED" w14:textId="77777777" w:rsidR="00D94935" w:rsidRDefault="00D94935" w:rsidP="00D94935">
      <w:pPr>
        <w:pStyle w:val="Placeholder"/>
        <w:keepNext/>
      </w:pPr>
      <w:r>
        <w:rPr>
          <w:rStyle w:val="CharSectNo"/>
        </w:rPr>
        <w:t xml:space="preserve">  </w:t>
      </w:r>
    </w:p>
    <w:p w14:paraId="0F721756" w14:textId="77777777" w:rsidR="00D94935" w:rsidRDefault="00D94935" w:rsidP="00D94935">
      <w:pPr>
        <w:pStyle w:val="aNote"/>
      </w:pPr>
      <w:r w:rsidRPr="006364FA">
        <w:rPr>
          <w:rStyle w:val="charItals"/>
        </w:rPr>
        <w:t>Note</w:t>
      </w:r>
      <w:r>
        <w:tab/>
        <w:t>These rules do not include a pt 6.13.</w:t>
      </w:r>
    </w:p>
    <w:p w14:paraId="26F5EC8D" w14:textId="77777777" w:rsidR="00D94935" w:rsidRDefault="00D94935" w:rsidP="00D94935">
      <w:pPr>
        <w:pStyle w:val="aNoteTextss"/>
      </w:pPr>
      <w:r>
        <w:t>The division number has been kept to ensure that provision numbers in these rules are consistent with the uniform corporations rules.</w:t>
      </w:r>
    </w:p>
    <w:p w14:paraId="10940C0C" w14:textId="77777777" w:rsidR="004426B3" w:rsidRDefault="004426B3">
      <w:pPr>
        <w:pStyle w:val="03Schedule"/>
        <w:sectPr w:rsidR="004426B3" w:rsidSect="00CD3DF7">
          <w:headerReference w:type="even" r:id="rId1171"/>
          <w:headerReference w:type="default" r:id="rId1172"/>
          <w:footerReference w:type="even" r:id="rId1173"/>
          <w:footerReference w:type="default" r:id="rId1174"/>
          <w:type w:val="continuous"/>
          <w:pgSz w:w="11907" w:h="16839" w:code="9"/>
          <w:pgMar w:top="3880" w:right="1900" w:bottom="3100" w:left="2300" w:header="2280" w:footer="1760" w:gutter="0"/>
          <w:cols w:space="720"/>
        </w:sectPr>
      </w:pPr>
    </w:p>
    <w:p w14:paraId="37B1A3E3" w14:textId="77777777" w:rsidR="00D94935" w:rsidRDefault="00D94935" w:rsidP="00D94935">
      <w:pPr>
        <w:pStyle w:val="PageBreak"/>
      </w:pPr>
      <w:r>
        <w:br w:type="page"/>
      </w:r>
    </w:p>
    <w:p w14:paraId="34E91634" w14:textId="77777777" w:rsidR="00D94935" w:rsidRPr="00C8328B" w:rsidRDefault="00D94935" w:rsidP="00D94935">
      <w:pPr>
        <w:pStyle w:val="Sched-Part"/>
      </w:pPr>
      <w:bookmarkStart w:id="2047" w:name="_Toc185515663"/>
      <w:r w:rsidRPr="00C8328B">
        <w:rPr>
          <w:rStyle w:val="CharPartNo"/>
        </w:rPr>
        <w:lastRenderedPageBreak/>
        <w:t>Part 6.14</w:t>
      </w:r>
      <w:r>
        <w:tab/>
      </w:r>
      <w:r w:rsidRPr="00C8328B">
        <w:rPr>
          <w:rStyle w:val="CharPartText"/>
        </w:rPr>
        <w:t>Powers of courts (Corporations Act, pt 9.5)</w:t>
      </w:r>
      <w:bookmarkEnd w:id="2047"/>
    </w:p>
    <w:p w14:paraId="6D05A174" w14:textId="77777777" w:rsidR="00D94935" w:rsidRDefault="00D94935" w:rsidP="00D94935">
      <w:pPr>
        <w:pStyle w:val="Schclauseheading"/>
      </w:pPr>
      <w:bookmarkStart w:id="2048" w:name="_Toc185515664"/>
      <w:r w:rsidRPr="00C8328B">
        <w:rPr>
          <w:rStyle w:val="CharSectNo"/>
        </w:rPr>
        <w:t>14.1</w:t>
      </w:r>
      <w:r>
        <w:tab/>
        <w:t>Appeal from act, omission or decision of administrator, receiver or liquidator etc (Corporations Act, s 554A, s 1321)</w:t>
      </w:r>
      <w:bookmarkEnd w:id="2048"/>
    </w:p>
    <w:p w14:paraId="0C0FD3CF" w14:textId="21B21F3D" w:rsidR="00D94935" w:rsidRDefault="00D94935" w:rsidP="00D94935">
      <w:pPr>
        <w:pStyle w:val="Amain"/>
      </w:pPr>
      <w:r>
        <w:tab/>
        <w:t>(1)</w:t>
      </w:r>
      <w:r>
        <w:tab/>
        <w:t xml:space="preserve">All appeals to the court authorised by the </w:t>
      </w:r>
      <w:hyperlink r:id="rId1175" w:tooltip="Act 2001 No 50 (Cwlth)" w:history="1">
        <w:r w:rsidRPr="00D74CAB">
          <w:rPr>
            <w:rStyle w:val="charCitHyperlinkAbbrev"/>
          </w:rPr>
          <w:t>Corporations Act</w:t>
        </w:r>
      </w:hyperlink>
      <w:r>
        <w:t xml:space="preserve"> must be started by an originating or interlocutory process that states—</w:t>
      </w:r>
    </w:p>
    <w:p w14:paraId="563D58A1" w14:textId="77777777" w:rsidR="00D94935" w:rsidRDefault="00D94935" w:rsidP="00D94935">
      <w:pPr>
        <w:pStyle w:val="Apara"/>
      </w:pPr>
      <w:r>
        <w:tab/>
        <w:t>(a)</w:t>
      </w:r>
      <w:r>
        <w:tab/>
        <w:t>the act, omission or decision complained of; and</w:t>
      </w:r>
    </w:p>
    <w:p w14:paraId="0A7E0DAE" w14:textId="77777777" w:rsidR="00D94935" w:rsidRDefault="00D94935" w:rsidP="00D94935">
      <w:pPr>
        <w:pStyle w:val="Apara"/>
      </w:pPr>
      <w:r>
        <w:tab/>
        <w:t>(b)</w:t>
      </w:r>
      <w:r>
        <w:tab/>
        <w:t>for an appeal against a decision—whether all or part only of the decision is complained of and, if part only, which part of the decision is complained of; and</w:t>
      </w:r>
    </w:p>
    <w:p w14:paraId="20DF82FC" w14:textId="77777777" w:rsidR="00D94935" w:rsidRDefault="00D94935" w:rsidP="00D94935">
      <w:pPr>
        <w:pStyle w:val="Apara"/>
      </w:pPr>
      <w:r>
        <w:tab/>
        <w:t>(c)</w:t>
      </w:r>
      <w:r>
        <w:tab/>
        <w:t>the grounds on which the complaint is based.</w:t>
      </w:r>
    </w:p>
    <w:p w14:paraId="39B0CEEB" w14:textId="4BC936B1" w:rsidR="00D94935" w:rsidRDefault="00D94935" w:rsidP="00D94935">
      <w:pPr>
        <w:pStyle w:val="Amain"/>
      </w:pPr>
      <w:r>
        <w:tab/>
        <w:t>(2)</w:t>
      </w:r>
      <w:r>
        <w:tab/>
        <w:t xml:space="preserve">Unless the </w:t>
      </w:r>
      <w:hyperlink r:id="rId1176" w:tooltip="Act 2001 No 50 (Cwlth)" w:history="1">
        <w:r w:rsidRPr="00D74CAB">
          <w:rPr>
            <w:rStyle w:val="charCitHyperlinkAbbrev"/>
          </w:rPr>
          <w:t>Corporations Act</w:t>
        </w:r>
      </w:hyperlink>
      <w:r>
        <w:t xml:space="preserve"> otherwise provides, the originating or interlocutory process must be filed within—</w:t>
      </w:r>
    </w:p>
    <w:p w14:paraId="4EFEF140" w14:textId="77777777" w:rsidR="00D94935" w:rsidRDefault="00D94935" w:rsidP="00D94935">
      <w:pPr>
        <w:pStyle w:val="Apara"/>
      </w:pPr>
      <w:r>
        <w:tab/>
        <w:t>(a)</w:t>
      </w:r>
      <w:r>
        <w:tab/>
        <w:t>21 days after the date of the act, omission or decision appealed against; or</w:t>
      </w:r>
    </w:p>
    <w:p w14:paraId="257A02F6" w14:textId="77777777" w:rsidR="00D94935" w:rsidRDefault="00D94935" w:rsidP="00D94935">
      <w:pPr>
        <w:pStyle w:val="Apara"/>
      </w:pPr>
      <w:r>
        <w:tab/>
        <w:t>(b)</w:t>
      </w:r>
      <w:r>
        <w:tab/>
        <w:t>any further time allowed by the court.</w:t>
      </w:r>
    </w:p>
    <w:p w14:paraId="54D0619F" w14:textId="77777777"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14:paraId="593DEAD3" w14:textId="77777777"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14:paraId="3766873B" w14:textId="77777777"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14:paraId="735EAF75" w14:textId="77777777" w:rsidR="00D94935" w:rsidRDefault="00D94935" w:rsidP="00D94935">
      <w:pPr>
        <w:pStyle w:val="Apara"/>
      </w:pPr>
      <w:r>
        <w:tab/>
        <w:t>(a)</w:t>
      </w:r>
      <w:r>
        <w:tab/>
        <w:t>stating the basis on which the act, omission or decision was done or made; and</w:t>
      </w:r>
    </w:p>
    <w:p w14:paraId="127E1138" w14:textId="77777777" w:rsidR="00D94935" w:rsidRDefault="00D94935" w:rsidP="00D94935">
      <w:pPr>
        <w:pStyle w:val="Apara"/>
      </w:pPr>
      <w:r>
        <w:tab/>
        <w:t>(b)</w:t>
      </w:r>
      <w:r>
        <w:tab/>
        <w:t>annexing or exhibiting a copy of all relevant documents that have not been put in evidence by the appellant.</w:t>
      </w:r>
    </w:p>
    <w:p w14:paraId="0967529C" w14:textId="77777777" w:rsidR="00D94935" w:rsidRDefault="00D94935" w:rsidP="00D94935">
      <w:pPr>
        <w:pStyle w:val="PageBreak"/>
      </w:pPr>
      <w:r>
        <w:br w:type="page"/>
      </w:r>
    </w:p>
    <w:p w14:paraId="5BD8E62A" w14:textId="77777777" w:rsidR="00D94935" w:rsidRPr="00C8328B" w:rsidRDefault="00D94935" w:rsidP="00D94935">
      <w:pPr>
        <w:pStyle w:val="Sched-Part"/>
      </w:pPr>
      <w:bookmarkStart w:id="2049" w:name="_Toc185515665"/>
      <w:r w:rsidRPr="00C8328B">
        <w:rPr>
          <w:rStyle w:val="CharPartNo"/>
        </w:rPr>
        <w:lastRenderedPageBreak/>
        <w:t>Part 6.15</w:t>
      </w:r>
      <w:r>
        <w:tab/>
      </w:r>
      <w:r w:rsidRPr="00C8328B">
        <w:rPr>
          <w:rStyle w:val="CharPartText"/>
        </w:rPr>
        <w:t>Proceedings under ASIC Act</w:t>
      </w:r>
      <w:bookmarkEnd w:id="2049"/>
    </w:p>
    <w:p w14:paraId="2B02BBA4" w14:textId="77777777" w:rsidR="00D94935" w:rsidRDefault="00D94935" w:rsidP="00D94935">
      <w:pPr>
        <w:pStyle w:val="Schclauseheading"/>
      </w:pPr>
      <w:bookmarkStart w:id="2050" w:name="_Toc185515666"/>
      <w:r w:rsidRPr="00C8328B">
        <w:rPr>
          <w:rStyle w:val="CharSectNo"/>
        </w:rPr>
        <w:t>15.1</w:t>
      </w:r>
      <w:r>
        <w:tab/>
        <w:t>Reference to court of question of law arising at hearing of ASIC (ASIC Act, s 61)</w:t>
      </w:r>
      <w:bookmarkEnd w:id="2050"/>
    </w:p>
    <w:p w14:paraId="22E54903" w14:textId="5110F94E" w:rsidR="00D94935" w:rsidRDefault="00D94935" w:rsidP="00D94935">
      <w:pPr>
        <w:pStyle w:val="Amainreturn"/>
      </w:pPr>
      <w:r>
        <w:t xml:space="preserve">The procedures in the </w:t>
      </w:r>
      <w:hyperlink r:id="rId1177"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78" w:tooltip="Australian Securities and Investments Commission Act 2001 (Cwlth)" w:history="1">
        <w:r w:rsidRPr="0095525D">
          <w:rPr>
            <w:rStyle w:val="charCitHyperlinkAbbrev"/>
          </w:rPr>
          <w:t>ASIC Act</w:t>
        </w:r>
      </w:hyperlink>
      <w:r>
        <w:t>, section 61.</w:t>
      </w:r>
    </w:p>
    <w:p w14:paraId="512EC80A" w14:textId="3798B7F4" w:rsidR="00D94935" w:rsidRPr="00D75A67" w:rsidRDefault="00D94935" w:rsidP="00D94935">
      <w:pPr>
        <w:pStyle w:val="Schclauseheading"/>
        <w:rPr>
          <w:rStyle w:val="CharSectNo"/>
        </w:rPr>
      </w:pPr>
      <w:bookmarkStart w:id="2051" w:name="_Toc185515667"/>
      <w:r w:rsidRPr="00C8328B">
        <w:rPr>
          <w:rStyle w:val="CharSectNo"/>
        </w:rPr>
        <w:t>15.2</w:t>
      </w:r>
      <w:bookmarkEnd w:id="2051"/>
      <w:r w:rsidRPr="00D75A67">
        <w:rPr>
          <w:rStyle w:val="CharSectNo"/>
        </w:rPr>
        <w:tab/>
      </w:r>
      <w:r w:rsidR="00F36718" w:rsidRPr="00D75A67">
        <w:rPr>
          <w:rStyle w:val="CharSectNo"/>
        </w:rPr>
        <w:t xml:space="preserve">  </w:t>
      </w:r>
    </w:p>
    <w:p w14:paraId="0ABCFA35" w14:textId="77777777" w:rsidR="00D94935" w:rsidRDefault="00D94935" w:rsidP="00D94935">
      <w:pPr>
        <w:pStyle w:val="aNote"/>
      </w:pPr>
      <w:r w:rsidRPr="006364FA">
        <w:rPr>
          <w:rStyle w:val="charItals"/>
        </w:rPr>
        <w:t>Note</w:t>
      </w:r>
      <w:r>
        <w:tab/>
        <w:t>These rules do not include a r 15.2.</w:t>
      </w:r>
    </w:p>
    <w:p w14:paraId="0ED77D2D" w14:textId="77777777" w:rsidR="00D94935" w:rsidRDefault="00D94935" w:rsidP="00D94935">
      <w:pPr>
        <w:pStyle w:val="aNoteTextss"/>
      </w:pPr>
      <w:r>
        <w:t>The rule number has been kept to ensure that provision numbers in these rules are consistent with the uniform corporations rules.</w:t>
      </w:r>
    </w:p>
    <w:p w14:paraId="7BE9EA7B" w14:textId="77777777" w:rsidR="00D94935" w:rsidRDefault="00D94935" w:rsidP="00D94935">
      <w:pPr>
        <w:pStyle w:val="Schclauseheading"/>
      </w:pPr>
      <w:bookmarkStart w:id="2052" w:name="_Toc185515668"/>
      <w:r w:rsidRPr="00C8328B">
        <w:rPr>
          <w:rStyle w:val="CharSectNo"/>
        </w:rPr>
        <w:t>15.3</w:t>
      </w:r>
      <w:r>
        <w:tab/>
        <w:t>Application for inquiry (ASIC Act, s 70, s 201, s 219)</w:t>
      </w:r>
      <w:bookmarkEnd w:id="2052"/>
    </w:p>
    <w:p w14:paraId="57D5674B" w14:textId="0FB8AF75" w:rsidR="00D94935" w:rsidRDefault="00D94935" w:rsidP="00D94935">
      <w:pPr>
        <w:pStyle w:val="Amainreturn"/>
      </w:pPr>
      <w:r>
        <w:t xml:space="preserve">An application for an inquiry under the </w:t>
      </w:r>
      <w:hyperlink r:id="rId1179"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14:paraId="30E896C4" w14:textId="77777777" w:rsidR="00D94935" w:rsidRDefault="00D94935" w:rsidP="00D94935">
      <w:pPr>
        <w:pStyle w:val="PageBreak"/>
      </w:pPr>
      <w:r>
        <w:br w:type="page"/>
      </w:r>
    </w:p>
    <w:p w14:paraId="65ECB3F8" w14:textId="77777777" w:rsidR="00D94935" w:rsidRPr="00C8328B" w:rsidRDefault="00D94935" w:rsidP="00D94935">
      <w:pPr>
        <w:pStyle w:val="Sched-Part"/>
      </w:pPr>
      <w:bookmarkStart w:id="2053" w:name="_Toc185515669"/>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53"/>
    </w:p>
    <w:p w14:paraId="44C117F8" w14:textId="77777777" w:rsidR="00315C67" w:rsidRPr="00C8328B" w:rsidRDefault="00315C67" w:rsidP="00315C67">
      <w:pPr>
        <w:pStyle w:val="AH3Div"/>
      </w:pPr>
      <w:bookmarkStart w:id="2054" w:name="_Toc185515670"/>
      <w:r w:rsidRPr="00C8328B">
        <w:rPr>
          <w:rStyle w:val="CharDivNo"/>
        </w:rPr>
        <w:t>Division 6.15A.1</w:t>
      </w:r>
      <w:r w:rsidRPr="00A60754">
        <w:tab/>
      </w:r>
      <w:r w:rsidRPr="00C8328B">
        <w:rPr>
          <w:rStyle w:val="CharDivText"/>
        </w:rPr>
        <w:t>Introduction</w:t>
      </w:r>
      <w:bookmarkEnd w:id="2054"/>
    </w:p>
    <w:p w14:paraId="3EC16DFE" w14:textId="77777777" w:rsidR="00D94935" w:rsidRDefault="00D94935" w:rsidP="00D94935">
      <w:pPr>
        <w:pStyle w:val="AH5Sec"/>
      </w:pPr>
      <w:bookmarkStart w:id="2055" w:name="_Toc185515671"/>
      <w:r w:rsidRPr="00C8328B">
        <w:rPr>
          <w:rStyle w:val="CharSectNo"/>
        </w:rPr>
        <w:t>15A.1</w:t>
      </w:r>
      <w:r>
        <w:tab/>
        <w:t>Application—pt 6.15A and other rules</w:t>
      </w:r>
      <w:bookmarkEnd w:id="2055"/>
    </w:p>
    <w:p w14:paraId="1DA58E81" w14:textId="77777777" w:rsidR="00D94935" w:rsidRDefault="00D94935" w:rsidP="00D94935">
      <w:pPr>
        <w:pStyle w:val="Amainreturn"/>
      </w:pPr>
      <w:r>
        <w:t>Unless the court otherwise orders—</w:t>
      </w:r>
    </w:p>
    <w:p w14:paraId="7358AD8C" w14:textId="36B6873E" w:rsidR="00D94935" w:rsidRDefault="00D94935" w:rsidP="00D94935">
      <w:pPr>
        <w:pStyle w:val="Apara"/>
      </w:pPr>
      <w:r>
        <w:tab/>
        <w:t>(a)</w:t>
      </w:r>
      <w:r>
        <w:tab/>
        <w:t xml:space="preserve">this part applies to a proceeding in the court, under the </w:t>
      </w:r>
      <w:hyperlink r:id="rId1180" w:tooltip="Act 2008 No 24 (Cwlth)" w:history="1">
        <w:r w:rsidRPr="009F24FA">
          <w:rPr>
            <w:rStyle w:val="charCitHyperlinkAbbrev"/>
          </w:rPr>
          <w:t>Cross-Border Insolvency Act</w:t>
        </w:r>
      </w:hyperlink>
      <w:r>
        <w:t>, involving a debtor other than an individual; and</w:t>
      </w:r>
    </w:p>
    <w:p w14:paraId="2C06C707" w14:textId="27F51CF0" w:rsidR="00D94935" w:rsidRDefault="00D94935" w:rsidP="00D94935">
      <w:pPr>
        <w:pStyle w:val="Apara"/>
      </w:pPr>
      <w:r>
        <w:tab/>
        <w:t>(b)</w:t>
      </w:r>
      <w:r>
        <w:tab/>
        <w:t xml:space="preserve">the rules (other than this part) apply to a proceeding in the court under the </w:t>
      </w:r>
      <w:hyperlink r:id="rId1181" w:tooltip="Act 2008 No 24 (Cwlth)" w:history="1">
        <w:r w:rsidRPr="009F24FA">
          <w:rPr>
            <w:rStyle w:val="charCitHyperlinkAbbrev"/>
          </w:rPr>
          <w:t>Cross-Border Insolvency Act</w:t>
        </w:r>
      </w:hyperlink>
      <w:r>
        <w:t xml:space="preserve"> if they are relevant and not inconsistent with this part.</w:t>
      </w:r>
    </w:p>
    <w:p w14:paraId="1B0E1211" w14:textId="77777777"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14:paraId="05D7C456" w14:textId="77777777" w:rsidR="00D94935" w:rsidRDefault="00D94935" w:rsidP="00D94935">
      <w:pPr>
        <w:pStyle w:val="AH5Sec"/>
      </w:pPr>
      <w:bookmarkStart w:id="2056" w:name="_Toc185515672"/>
      <w:r w:rsidRPr="00C8328B">
        <w:rPr>
          <w:rStyle w:val="CharSectNo"/>
        </w:rPr>
        <w:t>15A.2</w:t>
      </w:r>
      <w:r>
        <w:tab/>
        <w:t>Terms used in Cross-Border Insolvency Act</w:t>
      </w:r>
      <w:bookmarkEnd w:id="2056"/>
    </w:p>
    <w:p w14:paraId="4193C686" w14:textId="6560E922" w:rsidR="00D94935" w:rsidRDefault="00D94935" w:rsidP="00D94935">
      <w:pPr>
        <w:pStyle w:val="Amain"/>
      </w:pPr>
      <w:r>
        <w:tab/>
        <w:t>(1)</w:t>
      </w:r>
      <w:r>
        <w:tab/>
        <w:t xml:space="preserve">Unless the contrary intention appears, a term that is used in this part and in the </w:t>
      </w:r>
      <w:hyperlink r:id="rId1182" w:tooltip="Act 2008 No 24 (Cwlth)" w:history="1">
        <w:r w:rsidRPr="009F24FA">
          <w:rPr>
            <w:rStyle w:val="charCitHyperlinkAbbrev"/>
          </w:rPr>
          <w:t>Cross-Border Insolvency Act</w:t>
        </w:r>
      </w:hyperlink>
      <w:r>
        <w:t xml:space="preserve">, whether or not a particular meaning is given to the term by the </w:t>
      </w:r>
      <w:hyperlink r:id="rId1183" w:tooltip="Act 2008 No 24 (Cwlth)" w:history="1">
        <w:r w:rsidRPr="009F24FA">
          <w:rPr>
            <w:rStyle w:val="charCitHyperlinkAbbrev"/>
          </w:rPr>
          <w:t>Cross-Border Insolvency Act</w:t>
        </w:r>
      </w:hyperlink>
      <w:r>
        <w:t xml:space="preserve">, has the same meaning in this part as it has in the </w:t>
      </w:r>
      <w:hyperlink r:id="rId1184" w:tooltip="Act 2008 No 24 (Cwlth)" w:history="1">
        <w:r w:rsidRPr="009F24FA">
          <w:rPr>
            <w:rStyle w:val="charCitHyperlinkAbbrev"/>
          </w:rPr>
          <w:t>Cross-Border Insolvency Act</w:t>
        </w:r>
      </w:hyperlink>
      <w:r>
        <w:t>.</w:t>
      </w:r>
    </w:p>
    <w:p w14:paraId="5D33CDC2" w14:textId="77777777"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14:paraId="27696578" w14:textId="77777777"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14:paraId="116665D8" w14:textId="77777777"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14:paraId="205DBA41" w14:textId="77777777"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14:paraId="46BF1E96" w14:textId="77777777"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14:paraId="2D054B91" w14:textId="77777777"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14:paraId="3F30C2CE" w14:textId="77777777"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14:paraId="4CAE3D77" w14:textId="77777777"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14:paraId="5378D5E5" w14:textId="1B978B50" w:rsidR="00D94935" w:rsidRDefault="00D94935" w:rsidP="00D94935">
      <w:pPr>
        <w:pStyle w:val="Amain"/>
      </w:pPr>
      <w:r>
        <w:tab/>
        <w:t>(2)</w:t>
      </w:r>
      <w:r>
        <w:tab/>
        <w:t xml:space="preserve">This part is to be interpreted in a way that gives effect to the </w:t>
      </w:r>
      <w:hyperlink r:id="rId1185" w:tooltip="Act 2008 No 24 (Cwlth)" w:history="1">
        <w:r w:rsidRPr="009F24FA">
          <w:rPr>
            <w:rStyle w:val="charCitHyperlinkAbbrev"/>
          </w:rPr>
          <w:t>Cross-Border Insolvency Act</w:t>
        </w:r>
      </w:hyperlink>
      <w:r>
        <w:t>.</w:t>
      </w:r>
    </w:p>
    <w:p w14:paraId="5DB29FF6" w14:textId="77777777" w:rsidR="00315C67" w:rsidRPr="00A60754" w:rsidRDefault="00315C67" w:rsidP="00315C67">
      <w:pPr>
        <w:pStyle w:val="Amain"/>
      </w:pPr>
      <w:r w:rsidRPr="00A60754">
        <w:tab/>
        <w:t>(3)</w:t>
      </w:r>
      <w:r w:rsidRPr="00A60754">
        <w:tab/>
        <w:t>In this part:</w:t>
      </w:r>
    </w:p>
    <w:p w14:paraId="28AF7E2E" w14:textId="77777777" w:rsidR="00315C67" w:rsidRPr="00A60754" w:rsidRDefault="00315C67" w:rsidP="00315C67">
      <w:pPr>
        <w:pStyle w:val="aDef"/>
      </w:pPr>
      <w:r w:rsidRPr="00A60754">
        <w:rPr>
          <w:rStyle w:val="charBoldItals"/>
        </w:rPr>
        <w:t>concurrent proceedings</w:t>
      </w:r>
      <w:r w:rsidRPr="00A60754">
        <w:t>—see rule 15A.10 (1) (a).</w:t>
      </w:r>
    </w:p>
    <w:p w14:paraId="6F886E12" w14:textId="77777777"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14:paraId="5FF38DB1" w14:textId="77777777"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14:paraId="1D8FA189" w14:textId="77777777"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14:paraId="2A34BD44" w14:textId="77777777"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14:paraId="444DB1E5" w14:textId="60BFF12E" w:rsidR="00315C67" w:rsidRPr="00A60754" w:rsidRDefault="00315C67" w:rsidP="00315C67">
      <w:pPr>
        <w:pStyle w:val="aDef"/>
      </w:pPr>
      <w:r w:rsidRPr="00A60754">
        <w:rPr>
          <w:rStyle w:val="charBoldItals"/>
        </w:rPr>
        <w:t>local proceeding</w:t>
      </w:r>
      <w:r w:rsidRPr="00A60754">
        <w:t xml:space="preserve"> means a proceeding under the </w:t>
      </w:r>
      <w:hyperlink r:id="rId1186" w:tooltip="Act 2001 No 50 (Cwlth)" w:history="1">
        <w:r w:rsidRPr="00A60754">
          <w:rPr>
            <w:rStyle w:val="charCitHyperlinkAbbrev"/>
          </w:rPr>
          <w:t>Corporations Act</w:t>
        </w:r>
      </w:hyperlink>
      <w:r w:rsidRPr="00A60754">
        <w:t>, chapter 5 (other than part 5.2 and part 5.4A) or section 601CL.</w:t>
      </w:r>
    </w:p>
    <w:p w14:paraId="73AE7003" w14:textId="77777777"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14:paraId="060C0A6B" w14:textId="5A796E03" w:rsidR="00315C67" w:rsidRPr="00A60754" w:rsidRDefault="00315C67" w:rsidP="00315C67">
      <w:pPr>
        <w:pStyle w:val="Amain"/>
      </w:pPr>
      <w:r w:rsidRPr="00A60754">
        <w:tab/>
        <w:t>(4)</w:t>
      </w:r>
      <w:r w:rsidRPr="00A60754">
        <w:tab/>
        <w:t xml:space="preserve">The </w:t>
      </w:r>
      <w:hyperlink r:id="rId1187" w:tooltip="A2001-14" w:history="1">
        <w:r w:rsidRPr="00A60754">
          <w:rPr>
            <w:rStyle w:val="charCitHyperlinkAbbrev"/>
          </w:rPr>
          <w:t>Legislation Act</w:t>
        </w:r>
      </w:hyperlink>
      <w:r w:rsidRPr="00A60754">
        <w:t>, section 47 (3) and (6) do not apply to the Global Guidelines and the Global Principles.</w:t>
      </w:r>
    </w:p>
    <w:p w14:paraId="16F870EF" w14:textId="56F90979"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88" w:tooltip="A2001-14" w:history="1">
        <w:r w:rsidRPr="00A60754">
          <w:rPr>
            <w:rStyle w:val="charCitHyperlinkAbbrev"/>
          </w:rPr>
          <w:t>Legislation Act</w:t>
        </w:r>
      </w:hyperlink>
      <w:r w:rsidRPr="00A60754">
        <w:t xml:space="preserve"> because s 47 (6) does not apply (see </w:t>
      </w:r>
      <w:hyperlink r:id="rId1189" w:tooltip="A2001-14" w:history="1">
        <w:r w:rsidRPr="00A60754">
          <w:rPr>
            <w:rStyle w:val="charCitHyperlinkAbbrev"/>
          </w:rPr>
          <w:t>Legislation Act</w:t>
        </w:r>
      </w:hyperlink>
      <w:r w:rsidRPr="00A60754">
        <w:t>, s 47 (7)).</w:t>
      </w:r>
    </w:p>
    <w:p w14:paraId="54112DEE" w14:textId="6D59C712"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90" w:history="1">
        <w:r w:rsidRPr="00A60754">
          <w:rPr>
            <w:rStyle w:val="Hyperlink"/>
          </w:rPr>
          <w:t>https://www.insol.org/</w:t>
        </w:r>
      </w:hyperlink>
      <w:r w:rsidRPr="00A60754">
        <w:t>.</w:t>
      </w:r>
    </w:p>
    <w:p w14:paraId="321BEAA3" w14:textId="5BC06CAC"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91" w:history="1">
        <w:r w:rsidRPr="00A60754">
          <w:rPr>
            <w:rStyle w:val="Hyperlink"/>
          </w:rPr>
          <w:t>https://www.iiiglobal.org/sites/default/files/alireportmarch_0.pdf</w:t>
        </w:r>
      </w:hyperlink>
      <w:r w:rsidRPr="00A60754">
        <w:t>.</w:t>
      </w:r>
    </w:p>
    <w:p w14:paraId="74054D9F" w14:textId="77777777" w:rsidR="00315C67" w:rsidRPr="00C8328B" w:rsidRDefault="00315C67" w:rsidP="00315C67">
      <w:pPr>
        <w:pStyle w:val="AH3Div"/>
      </w:pPr>
      <w:bookmarkStart w:id="2057" w:name="_Toc185515673"/>
      <w:r w:rsidRPr="00C8328B">
        <w:rPr>
          <w:rStyle w:val="CharDivNo"/>
        </w:rPr>
        <w:t>Division 6.15A.2</w:t>
      </w:r>
      <w:r w:rsidRPr="00A60754">
        <w:tab/>
      </w:r>
      <w:r w:rsidRPr="00C8328B">
        <w:rPr>
          <w:rStyle w:val="CharDivText"/>
        </w:rPr>
        <w:t>Recognition of a foreign proceeding</w:t>
      </w:r>
      <w:bookmarkEnd w:id="2057"/>
    </w:p>
    <w:p w14:paraId="0A7FC7DF" w14:textId="77777777" w:rsidR="00D94935" w:rsidRDefault="00D94935" w:rsidP="00D94935">
      <w:pPr>
        <w:pStyle w:val="AH5Sec"/>
      </w:pPr>
      <w:bookmarkStart w:id="2058" w:name="_Toc185515674"/>
      <w:r w:rsidRPr="00C8328B">
        <w:rPr>
          <w:rStyle w:val="CharSectNo"/>
        </w:rPr>
        <w:t>15A.3</w:t>
      </w:r>
      <w:r>
        <w:tab/>
        <w:t>Application for recognition</w:t>
      </w:r>
      <w:bookmarkEnd w:id="2058"/>
    </w:p>
    <w:p w14:paraId="63237A45" w14:textId="77777777"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14:paraId="6316951C" w14:textId="643330FC"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92" w:history="1">
        <w:r w:rsidRPr="007047FF">
          <w:rPr>
            <w:rStyle w:val="charCitHyperlinkAbbrev"/>
          </w:rPr>
          <w:t>AF2008-143</w:t>
        </w:r>
      </w:hyperlink>
      <w:r>
        <w:t>.</w:t>
      </w:r>
    </w:p>
    <w:p w14:paraId="74635086" w14:textId="77777777" w:rsidR="00D94935" w:rsidRDefault="00D94935" w:rsidP="00D94935">
      <w:pPr>
        <w:pStyle w:val="Amain"/>
      </w:pPr>
      <w:r>
        <w:tab/>
        <w:t>(2)</w:t>
      </w:r>
      <w:r>
        <w:tab/>
        <w:t>The originating process must—</w:t>
      </w:r>
    </w:p>
    <w:p w14:paraId="21152077" w14:textId="469E4C13" w:rsidR="00D94935" w:rsidRDefault="00D94935" w:rsidP="00D94935">
      <w:pPr>
        <w:pStyle w:val="Apara"/>
      </w:pPr>
      <w:r>
        <w:tab/>
        <w:t>(a)</w:t>
      </w:r>
      <w:r>
        <w:tab/>
        <w:t xml:space="preserve">be accompanied by the statements mentioned in the Model Law, article 15 and the </w:t>
      </w:r>
      <w:hyperlink r:id="rId1193" w:tooltip="Act 2008 No 24 (Cwlth)" w:history="1">
        <w:r w:rsidRPr="009F24FA">
          <w:rPr>
            <w:rStyle w:val="charCitHyperlinkAbbrev"/>
          </w:rPr>
          <w:t>Cross-Border Insolvency Act</w:t>
        </w:r>
      </w:hyperlink>
      <w:r>
        <w:t>, section 13; and</w:t>
      </w:r>
    </w:p>
    <w:p w14:paraId="428B2B67" w14:textId="77777777" w:rsidR="00D94935" w:rsidRDefault="00D94935" w:rsidP="00D94935">
      <w:pPr>
        <w:pStyle w:val="Apara"/>
      </w:pPr>
      <w:r>
        <w:tab/>
        <w:t>(b)</w:t>
      </w:r>
      <w:r>
        <w:tab/>
        <w:t>name the foreign representative as the plaintiff and the debtor as the defendant; and</w:t>
      </w:r>
    </w:p>
    <w:p w14:paraId="700CF4C4" w14:textId="49F37215" w:rsidR="00D94935" w:rsidRDefault="00D94935" w:rsidP="00D94935">
      <w:pPr>
        <w:pStyle w:val="Apara"/>
      </w:pPr>
      <w:r>
        <w:tab/>
        <w:t>(c)</w:t>
      </w:r>
      <w:r>
        <w:tab/>
        <w:t xml:space="preserve">be accompanied by an affidavit verifying the matters mentioned in the Model Law, article 15, paragraphs 2 and 3 and the </w:t>
      </w:r>
      <w:hyperlink r:id="rId1194" w:tooltip="Act 2008 No 24 (Cwlth)" w:history="1">
        <w:r w:rsidRPr="009F24FA">
          <w:rPr>
            <w:rStyle w:val="charCitHyperlinkAbbrev"/>
          </w:rPr>
          <w:t>Cross-Border Insolvency Act</w:t>
        </w:r>
      </w:hyperlink>
      <w:r>
        <w:t>, section 13.</w:t>
      </w:r>
    </w:p>
    <w:p w14:paraId="3C17080D" w14:textId="77777777"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14:paraId="5A9CB682" w14:textId="28399C3A" w:rsidR="00D94935" w:rsidRDefault="00D94935" w:rsidP="00D94935">
      <w:pPr>
        <w:pStyle w:val="aNote"/>
      </w:pPr>
      <w:r w:rsidRPr="000036CC">
        <w:rPr>
          <w:rStyle w:val="charItals"/>
        </w:rPr>
        <w:t>Note</w:t>
      </w:r>
      <w:r>
        <w:tab/>
        <w:t xml:space="preserve">See approved form 3 (Interlocutory process) </w:t>
      </w:r>
      <w:hyperlink r:id="rId1195" w:history="1">
        <w:r w:rsidRPr="007047FF">
          <w:rPr>
            <w:rStyle w:val="charCitHyperlinkAbbrev"/>
          </w:rPr>
          <w:t>AF2008-144</w:t>
        </w:r>
      </w:hyperlink>
      <w:r>
        <w:t>.</w:t>
      </w:r>
    </w:p>
    <w:p w14:paraId="4912869F" w14:textId="77777777" w:rsidR="00D94935" w:rsidRDefault="00D94935" w:rsidP="00D94935">
      <w:pPr>
        <w:pStyle w:val="Amain"/>
      </w:pPr>
      <w:r>
        <w:lastRenderedPageBreak/>
        <w:tab/>
        <w:t>(4)</w:t>
      </w:r>
      <w:r>
        <w:tab/>
        <w:t>The plaintiff must serve a copy of the originating process and the other documents mentioned in subrule (2)—</w:t>
      </w:r>
    </w:p>
    <w:p w14:paraId="66C36317" w14:textId="77777777" w:rsidR="00D94935" w:rsidRDefault="00D94935" w:rsidP="00D94935">
      <w:pPr>
        <w:pStyle w:val="Apara"/>
      </w:pPr>
      <w:r>
        <w:tab/>
        <w:t>(a)</w:t>
      </w:r>
      <w:r>
        <w:tab/>
        <w:t>unless the court otherwise orders, in accordance with subrule 2.7</w:t>
      </w:r>
      <w:r w:rsidR="00F6345A">
        <w:t> </w:t>
      </w:r>
      <w:r>
        <w:t>(1); and</w:t>
      </w:r>
    </w:p>
    <w:p w14:paraId="70BD67AF" w14:textId="77777777" w:rsidR="00D94935" w:rsidRDefault="00D94935" w:rsidP="00D94935">
      <w:pPr>
        <w:pStyle w:val="Apara"/>
      </w:pPr>
      <w:r>
        <w:tab/>
        <w:t>(b)</w:t>
      </w:r>
      <w:r>
        <w:tab/>
        <w:t>on any other people the court may direct at the hearing of the interlocutory process.</w:t>
      </w:r>
    </w:p>
    <w:p w14:paraId="2D3F87DB" w14:textId="77777777" w:rsidR="00D94935" w:rsidRDefault="00D94935" w:rsidP="00D94935">
      <w:pPr>
        <w:pStyle w:val="Amain"/>
      </w:pPr>
      <w:r>
        <w:tab/>
        <w:t>(5)</w:t>
      </w:r>
      <w:r>
        <w:tab/>
        <w:t>A person who intends to appear before the court at the hearing of an application for recognition must file and serve the documents mentioned in rule 2.9.</w:t>
      </w:r>
    </w:p>
    <w:p w14:paraId="794BA9F5" w14:textId="77777777" w:rsidR="00D94935" w:rsidRDefault="00D94935" w:rsidP="00D94935">
      <w:pPr>
        <w:pStyle w:val="AH5Sec"/>
      </w:pPr>
      <w:bookmarkStart w:id="2059" w:name="_Toc185515675"/>
      <w:r w:rsidRPr="00C8328B">
        <w:rPr>
          <w:rStyle w:val="CharSectNo"/>
        </w:rPr>
        <w:t>15A.4</w:t>
      </w:r>
      <w:r>
        <w:tab/>
        <w:t>Application for provisional relief under Model Law, art 19</w:t>
      </w:r>
      <w:bookmarkEnd w:id="2059"/>
    </w:p>
    <w:p w14:paraId="66C40E31" w14:textId="77777777" w:rsidR="00D94935" w:rsidRDefault="00D94935" w:rsidP="00D94935">
      <w:pPr>
        <w:pStyle w:val="Amain"/>
      </w:pPr>
      <w:r>
        <w:tab/>
        <w:t>(1)</w:t>
      </w:r>
      <w:r>
        <w:tab/>
        <w:t>Any application by the plaintiff for provisional relief under the Model Law, article 19 must be made by filing an interlocutory process.</w:t>
      </w:r>
    </w:p>
    <w:p w14:paraId="0A61671D" w14:textId="21A4EB55" w:rsidR="00D94935" w:rsidRDefault="00D94935" w:rsidP="00D94935">
      <w:pPr>
        <w:pStyle w:val="aNote"/>
      </w:pPr>
      <w:r w:rsidRPr="000036CC">
        <w:rPr>
          <w:rStyle w:val="charItals"/>
        </w:rPr>
        <w:t>Note</w:t>
      </w:r>
      <w:r>
        <w:tab/>
        <w:t xml:space="preserve">See approved form 3 (Interlocutory process) </w:t>
      </w:r>
      <w:hyperlink r:id="rId1196" w:history="1">
        <w:r w:rsidRPr="007047FF">
          <w:rPr>
            <w:rStyle w:val="charCitHyperlinkAbbrev"/>
          </w:rPr>
          <w:t>AF2008-144</w:t>
        </w:r>
      </w:hyperlink>
      <w:r>
        <w:t>.</w:t>
      </w:r>
    </w:p>
    <w:p w14:paraId="55BD79EF" w14:textId="77777777" w:rsidR="00D94935" w:rsidRDefault="00D94935" w:rsidP="00D94935">
      <w:pPr>
        <w:pStyle w:val="Amain"/>
      </w:pPr>
      <w:r>
        <w:tab/>
        <w:t>(2)</w:t>
      </w:r>
      <w:r>
        <w:tab/>
        <w:t>Unless the court otherwise orders, the interlocutory process and any supporting affidavit must be served in accordance with subrule 2.7 (2).</w:t>
      </w:r>
    </w:p>
    <w:p w14:paraId="60FB9AB7" w14:textId="77777777" w:rsidR="00B547E8" w:rsidRPr="00A60754" w:rsidRDefault="00B547E8" w:rsidP="00B547E8">
      <w:pPr>
        <w:pStyle w:val="AH5Sec"/>
      </w:pPr>
      <w:bookmarkStart w:id="2060" w:name="_Toc185515676"/>
      <w:r w:rsidRPr="00C8328B">
        <w:rPr>
          <w:rStyle w:val="CharSectNo"/>
        </w:rPr>
        <w:t>15A.5</w:t>
      </w:r>
      <w:r w:rsidRPr="00A60754">
        <w:tab/>
        <w:t>Liquidator’s consent to act</w:t>
      </w:r>
      <w:bookmarkEnd w:id="2060"/>
    </w:p>
    <w:p w14:paraId="2F6B56F7" w14:textId="77777777" w:rsidR="00D94935" w:rsidRPr="00DC6DB8" w:rsidRDefault="00D94935" w:rsidP="00D94935">
      <w:pPr>
        <w:pStyle w:val="Amainreturn"/>
      </w:pPr>
      <w:r w:rsidRPr="00DC6DB8">
        <w:t>If an application is made for an order—</w:t>
      </w:r>
    </w:p>
    <w:p w14:paraId="43F41E91" w14:textId="77777777"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14:paraId="07457C8B" w14:textId="77777777"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14:paraId="0FC78823" w14:textId="77777777" w:rsidR="00D94935" w:rsidRPr="00DC6DB8" w:rsidRDefault="00D94935" w:rsidP="00D94935">
      <w:pPr>
        <w:pStyle w:val="Amainreturn"/>
      </w:pPr>
      <w:r w:rsidRPr="00DC6DB8">
        <w:t>then, unless the Court otherwise orders, the person must—</w:t>
      </w:r>
    </w:p>
    <w:p w14:paraId="74BE5D8F" w14:textId="3EFB994E" w:rsidR="00B547E8" w:rsidRPr="00A60754" w:rsidRDefault="00B547E8" w:rsidP="00B547E8">
      <w:pPr>
        <w:pStyle w:val="Apara"/>
      </w:pPr>
      <w:r w:rsidRPr="00A60754">
        <w:tab/>
        <w:t>(c)</w:t>
      </w:r>
      <w:r w:rsidRPr="00A60754">
        <w:tab/>
        <w:t xml:space="preserve">be eligible to be appointed by the court as a liquidator under the </w:t>
      </w:r>
      <w:hyperlink r:id="rId1197" w:tooltip="Act 2001 No 50 (Cwlth)" w:history="1">
        <w:r w:rsidRPr="00A60754">
          <w:rPr>
            <w:rStyle w:val="charCitHyperlinkAbbrev"/>
          </w:rPr>
          <w:t>Corporations Act</w:t>
        </w:r>
      </w:hyperlink>
      <w:r w:rsidRPr="00A60754">
        <w:t>, section 472; and</w:t>
      </w:r>
    </w:p>
    <w:p w14:paraId="461835A7" w14:textId="77777777"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14:paraId="29CF2781" w14:textId="6EA9D92B" w:rsidR="00D94935" w:rsidRDefault="00D94935" w:rsidP="00D94935">
      <w:pPr>
        <w:pStyle w:val="aNote"/>
      </w:pPr>
      <w:r w:rsidRPr="000036CC">
        <w:rPr>
          <w:rStyle w:val="charItals"/>
        </w:rPr>
        <w:t>Note</w:t>
      </w:r>
      <w:r>
        <w:tab/>
        <w:t xml:space="preserve">See approved form 19 (Consent to act as designated person) </w:t>
      </w:r>
      <w:hyperlink r:id="rId1198" w:history="1">
        <w:r w:rsidRPr="007047FF">
          <w:rPr>
            <w:rStyle w:val="charCitHyperlinkAbbrev"/>
          </w:rPr>
          <w:t>AF2010</w:t>
        </w:r>
        <w:r w:rsidRPr="007047FF">
          <w:rPr>
            <w:rStyle w:val="charCitHyperlinkAbbrev"/>
          </w:rPr>
          <w:noBreakHyphen/>
          <w:t>149</w:t>
        </w:r>
      </w:hyperlink>
      <w:r>
        <w:t>.</w:t>
      </w:r>
    </w:p>
    <w:p w14:paraId="0B2B3F8E" w14:textId="77777777" w:rsidR="00D94935" w:rsidRDefault="00D94935" w:rsidP="00D94935">
      <w:pPr>
        <w:pStyle w:val="AH5Sec"/>
      </w:pPr>
      <w:bookmarkStart w:id="2061" w:name="_Toc185515677"/>
      <w:r w:rsidRPr="00C8328B">
        <w:rPr>
          <w:rStyle w:val="CharSectNo"/>
        </w:rPr>
        <w:t>15A.6</w:t>
      </w:r>
      <w:r>
        <w:tab/>
        <w:t>Notice of filing application for recognition</w:t>
      </w:r>
      <w:bookmarkEnd w:id="2061"/>
    </w:p>
    <w:p w14:paraId="1531ED33" w14:textId="77777777" w:rsidR="00D94935" w:rsidRDefault="00D94935" w:rsidP="00D94935">
      <w:pPr>
        <w:pStyle w:val="Amain"/>
      </w:pPr>
      <w:r>
        <w:tab/>
        <w:t>(1)</w:t>
      </w:r>
      <w:r>
        <w:tab/>
        <w:t>Unless the court otherwise orders, the plaintiff in a proceeding mentioned in rule 15A.3 must—</w:t>
      </w:r>
    </w:p>
    <w:p w14:paraId="3765835D" w14:textId="77777777" w:rsidR="00D94935" w:rsidRDefault="00D94935" w:rsidP="00D94935">
      <w:pPr>
        <w:pStyle w:val="Apara"/>
      </w:pPr>
      <w:r>
        <w:tab/>
        <w:t>(a)</w:t>
      </w:r>
      <w:r>
        <w:tab/>
        <w:t>send a notice of filing the application to each person whose claim to be a creditor of the defendant is known to the plaintiff; and</w:t>
      </w:r>
    </w:p>
    <w:p w14:paraId="4C6D455A" w14:textId="77777777"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14:paraId="170A5AE0" w14:textId="01B893D1"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99" w:history="1">
        <w:r w:rsidRPr="007047FF">
          <w:rPr>
            <w:rStyle w:val="charCitHyperlinkAbbrev"/>
          </w:rPr>
          <w:t>AF2008-149</w:t>
        </w:r>
      </w:hyperlink>
      <w:r>
        <w:t>.</w:t>
      </w:r>
    </w:p>
    <w:p w14:paraId="034CFA4D"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14:paraId="3B2B14EB" w14:textId="77777777" w:rsidR="00D94935" w:rsidRDefault="00D94935" w:rsidP="00D94935">
      <w:pPr>
        <w:pStyle w:val="AH5Sec"/>
      </w:pPr>
      <w:bookmarkStart w:id="2062" w:name="_Toc185515678"/>
      <w:r w:rsidRPr="00C8328B">
        <w:rPr>
          <w:rStyle w:val="CharSectNo"/>
        </w:rPr>
        <w:t>15A.7</w:t>
      </w:r>
      <w:r>
        <w:tab/>
        <w:t>Notice of order for recognition, withdrawal etc</w:t>
      </w:r>
      <w:bookmarkEnd w:id="2062"/>
    </w:p>
    <w:p w14:paraId="7ECE5702" w14:textId="77777777"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14:paraId="4CECDE30" w14:textId="77777777" w:rsidR="00D94935" w:rsidRDefault="00D94935" w:rsidP="00D94935">
      <w:pPr>
        <w:pStyle w:val="Apara"/>
      </w:pPr>
      <w:r>
        <w:tab/>
        <w:t>(a)</w:t>
      </w:r>
      <w:r>
        <w:tab/>
        <w:t>have the order entered;</w:t>
      </w:r>
    </w:p>
    <w:p w14:paraId="3614B805" w14:textId="77777777" w:rsidR="00D94935" w:rsidRDefault="00D94935" w:rsidP="00D94935">
      <w:pPr>
        <w:pStyle w:val="Apara"/>
      </w:pPr>
      <w:r>
        <w:tab/>
        <w:t>(b)</w:t>
      </w:r>
      <w:r>
        <w:tab/>
        <w:t>serve a copy of the entered order on the defendant;</w:t>
      </w:r>
    </w:p>
    <w:p w14:paraId="53E476D3" w14:textId="77777777" w:rsidR="00D94935" w:rsidRDefault="00D94935" w:rsidP="006C59CD">
      <w:pPr>
        <w:pStyle w:val="Apara"/>
        <w:keepNext/>
      </w:pPr>
      <w:r>
        <w:tab/>
        <w:t>(c)</w:t>
      </w:r>
      <w:r>
        <w:tab/>
        <w:t xml:space="preserve">send a notice of the making of the order to each person whose claim to be a creditor of the defendant is known to the plaintiff; </w:t>
      </w:r>
    </w:p>
    <w:p w14:paraId="7EAF62C7" w14:textId="190E81D2" w:rsidR="00D94935" w:rsidRDefault="00D94935" w:rsidP="00D94935">
      <w:pPr>
        <w:pStyle w:val="aNotepar"/>
      </w:pPr>
      <w:r w:rsidRPr="000036CC">
        <w:rPr>
          <w:rStyle w:val="charItals"/>
        </w:rPr>
        <w:t>Note</w:t>
      </w:r>
      <w:r>
        <w:tab/>
        <w:t xml:space="preserve">See approved form 21 (Notice of making of order under the </w:t>
      </w:r>
      <w:hyperlink r:id="rId1200" w:tooltip="Act 2008 No 24 (Cwlth)" w:history="1">
        <w:r>
          <w:rPr>
            <w:rStyle w:val="charCitHyperlinkAbbrev"/>
          </w:rPr>
          <w:t>Cross-Border Insolvency Act 2008</w:t>
        </w:r>
      </w:hyperlink>
      <w:r w:rsidRPr="008F2DE6">
        <w:t>)</w:t>
      </w:r>
      <w:r>
        <w:t xml:space="preserve"> </w:t>
      </w:r>
      <w:hyperlink r:id="rId1201" w:history="1">
        <w:r w:rsidRPr="00B64182">
          <w:rPr>
            <w:rStyle w:val="charCitHyperlinkAbbrev"/>
          </w:rPr>
          <w:t>AF2008-150</w:t>
        </w:r>
      </w:hyperlink>
      <w:r>
        <w:t>.</w:t>
      </w:r>
    </w:p>
    <w:p w14:paraId="296D5C3D" w14:textId="77777777"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14:paraId="63785205"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14:paraId="19EF7D0F" w14:textId="77777777" w:rsidR="00D94935" w:rsidRDefault="00D94935" w:rsidP="00D94935">
      <w:pPr>
        <w:pStyle w:val="Amain"/>
      </w:pPr>
      <w:r>
        <w:tab/>
        <w:t>(3)</w:t>
      </w:r>
      <w:r>
        <w:tab/>
        <w:t>If the application for recognition is dismissed or withdrawn, the plaintiff must, as soon as practicable, do all of the following:</w:t>
      </w:r>
    </w:p>
    <w:p w14:paraId="139D69DD" w14:textId="77777777" w:rsidR="00D94935" w:rsidRDefault="00D94935" w:rsidP="00D94935">
      <w:pPr>
        <w:pStyle w:val="Apara"/>
      </w:pPr>
      <w:r>
        <w:tab/>
        <w:t>(a)</w:t>
      </w:r>
      <w:r>
        <w:tab/>
        <w:t>for a dismissal—have the order of dismissal entered;</w:t>
      </w:r>
    </w:p>
    <w:p w14:paraId="18F30CB8" w14:textId="77777777" w:rsidR="00D94935" w:rsidRDefault="00D94935" w:rsidP="00D94935">
      <w:pPr>
        <w:pStyle w:val="Apara"/>
      </w:pPr>
      <w:r>
        <w:tab/>
        <w:t>(b)</w:t>
      </w:r>
      <w:r>
        <w:tab/>
        <w:t>serve a copy of the entered order of dismissal, or notice of the withdrawal, on the defendant;</w:t>
      </w:r>
    </w:p>
    <w:p w14:paraId="3F3BA29F" w14:textId="77777777" w:rsidR="00D94935" w:rsidRDefault="00D94935" w:rsidP="00D94935">
      <w:pPr>
        <w:pStyle w:val="Apara"/>
      </w:pPr>
      <w:r>
        <w:tab/>
        <w:t>(c)</w:t>
      </w:r>
      <w:r>
        <w:tab/>
        <w:t>send a notice of the dismissal or withdrawal to each person whose claim to be a creditor of the defendant is known to the plaintiff;</w:t>
      </w:r>
    </w:p>
    <w:p w14:paraId="6DDA74F1" w14:textId="29A553F6"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202" w:history="1">
        <w:r w:rsidRPr="00B64182">
          <w:rPr>
            <w:rStyle w:val="charCitHyperlinkAbbrev"/>
          </w:rPr>
          <w:t>AF2008-151</w:t>
        </w:r>
      </w:hyperlink>
      <w:r>
        <w:t>.</w:t>
      </w:r>
    </w:p>
    <w:p w14:paraId="70C530D1" w14:textId="77777777"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14:paraId="57EEB816" w14:textId="77777777"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14:paraId="7C190F10" w14:textId="77777777" w:rsidR="00D94935" w:rsidRDefault="00D94935" w:rsidP="00D94935">
      <w:pPr>
        <w:pStyle w:val="AH5Sec"/>
      </w:pPr>
      <w:bookmarkStart w:id="2063" w:name="_Toc185515679"/>
      <w:r w:rsidRPr="00C8328B">
        <w:rPr>
          <w:rStyle w:val="CharSectNo"/>
        </w:rPr>
        <w:t>15A.8</w:t>
      </w:r>
      <w:r>
        <w:tab/>
        <w:t>Relief after recognition</w:t>
      </w:r>
      <w:bookmarkEnd w:id="2063"/>
    </w:p>
    <w:p w14:paraId="6863C84E" w14:textId="77777777"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14:paraId="57083CF7" w14:textId="0AD96F23" w:rsidR="00D94935" w:rsidRDefault="00D94935" w:rsidP="00D94935">
      <w:pPr>
        <w:pStyle w:val="aNote"/>
      </w:pPr>
      <w:r w:rsidRPr="000036CC">
        <w:rPr>
          <w:rStyle w:val="charItals"/>
        </w:rPr>
        <w:t>Note</w:t>
      </w:r>
      <w:r>
        <w:tab/>
        <w:t xml:space="preserve">See approved form 3 (Interlocutory process) </w:t>
      </w:r>
      <w:hyperlink r:id="rId1203" w:history="1">
        <w:r w:rsidRPr="00B64182">
          <w:rPr>
            <w:rStyle w:val="charCitHyperlinkAbbrev"/>
          </w:rPr>
          <w:t>AF2008-144</w:t>
        </w:r>
      </w:hyperlink>
      <w:r>
        <w:t>.</w:t>
      </w:r>
    </w:p>
    <w:p w14:paraId="7217A765" w14:textId="77777777"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14:paraId="107DBB77" w14:textId="77777777" w:rsidR="00D94935" w:rsidRDefault="00D94935" w:rsidP="00D94935">
      <w:pPr>
        <w:pStyle w:val="Apara"/>
      </w:pPr>
      <w:r>
        <w:tab/>
        <w:t>(a)</w:t>
      </w:r>
      <w:r>
        <w:tab/>
        <w:t>the defendant;</w:t>
      </w:r>
    </w:p>
    <w:p w14:paraId="428D7BC1" w14:textId="77777777" w:rsidR="00D94935" w:rsidRDefault="00D94935" w:rsidP="00D94935">
      <w:pPr>
        <w:pStyle w:val="Apara"/>
      </w:pPr>
      <w:r>
        <w:tab/>
        <w:t>(b)</w:t>
      </w:r>
      <w:r>
        <w:tab/>
        <w:t>any person that the court directed be served with the originating process by which the application for recognition was made;</w:t>
      </w:r>
    </w:p>
    <w:p w14:paraId="48D16571" w14:textId="77777777" w:rsidR="00D94935" w:rsidRDefault="00D94935" w:rsidP="00D94935">
      <w:pPr>
        <w:pStyle w:val="Apara"/>
      </w:pPr>
      <w:r>
        <w:tab/>
        <w:t>(c)</w:t>
      </w:r>
      <w:r>
        <w:tab/>
        <w:t>any other person that the court directs.</w:t>
      </w:r>
    </w:p>
    <w:p w14:paraId="242D8116" w14:textId="77777777" w:rsidR="00D94935" w:rsidRDefault="00D94935" w:rsidP="00D94935">
      <w:pPr>
        <w:pStyle w:val="Amain"/>
      </w:pPr>
      <w:r>
        <w:tab/>
        <w:t>(3)</w:t>
      </w:r>
      <w:r>
        <w:tab/>
        <w:t>A person who intends to appear before the court at the hearing of an application under subrule (1) must file and serve the documents mentioned in rule 2.9.</w:t>
      </w:r>
    </w:p>
    <w:p w14:paraId="00BDE517" w14:textId="77777777" w:rsidR="00D94935" w:rsidRDefault="00D94935" w:rsidP="00D94935">
      <w:pPr>
        <w:pStyle w:val="AH5Sec"/>
      </w:pPr>
      <w:bookmarkStart w:id="2064" w:name="_Toc185515680"/>
      <w:r w:rsidRPr="00C8328B">
        <w:rPr>
          <w:rStyle w:val="CharSectNo"/>
        </w:rPr>
        <w:t>15A.9</w:t>
      </w:r>
      <w:r>
        <w:tab/>
        <w:t>Application to modify or terminate order for recognition or other relief</w:t>
      </w:r>
      <w:bookmarkEnd w:id="2064"/>
    </w:p>
    <w:p w14:paraId="100A4A65" w14:textId="77777777" w:rsidR="00D94935" w:rsidRDefault="00D94935" w:rsidP="00D94935">
      <w:pPr>
        <w:pStyle w:val="Amain"/>
      </w:pPr>
      <w:r>
        <w:tab/>
        <w:t>(1)</w:t>
      </w:r>
      <w:r>
        <w:tab/>
        <w:t>This rule applies to—</w:t>
      </w:r>
    </w:p>
    <w:p w14:paraId="75D4D084" w14:textId="77777777" w:rsidR="00D94935" w:rsidRDefault="00D94935" w:rsidP="00D94935">
      <w:pPr>
        <w:pStyle w:val="Apara"/>
      </w:pPr>
      <w:r>
        <w:tab/>
        <w:t>(a)</w:t>
      </w:r>
      <w:r>
        <w:tab/>
        <w:t>an application under the Model Law, article 17, paragraph 4 for an order modifying or terminating an order for recognition of a foreign proceeding; and</w:t>
      </w:r>
    </w:p>
    <w:p w14:paraId="00505CC5" w14:textId="77777777" w:rsidR="00D94935" w:rsidRDefault="00D94935" w:rsidP="00D94935">
      <w:pPr>
        <w:pStyle w:val="Apara"/>
      </w:pPr>
      <w:r>
        <w:tab/>
        <w:t>(b)</w:t>
      </w:r>
      <w:r>
        <w:tab/>
        <w:t>an application under the Model Law, article 22, paragraph 3 for an order modifying or terminating relief granted under the Model Law, article 19 or 21.</w:t>
      </w:r>
    </w:p>
    <w:p w14:paraId="2603905D" w14:textId="77777777" w:rsidR="00D94935" w:rsidRDefault="00D94935" w:rsidP="006C59CD">
      <w:pPr>
        <w:pStyle w:val="Amain"/>
        <w:keepNext/>
      </w:pPr>
      <w:r>
        <w:tab/>
        <w:t>(2)</w:t>
      </w:r>
      <w:r>
        <w:tab/>
        <w:t>An application mentioned in subrule (1) must be made by filing an interlocutory process.</w:t>
      </w:r>
    </w:p>
    <w:p w14:paraId="71C60C5C" w14:textId="7804F0E6" w:rsidR="00D94935" w:rsidRDefault="00D94935" w:rsidP="00D94935">
      <w:pPr>
        <w:pStyle w:val="aNote"/>
      </w:pPr>
      <w:r w:rsidRPr="000036CC">
        <w:rPr>
          <w:rStyle w:val="charItals"/>
        </w:rPr>
        <w:t>Note</w:t>
      </w:r>
      <w:r>
        <w:tab/>
        <w:t xml:space="preserve">See approved form 3 (Interlocutory process) </w:t>
      </w:r>
      <w:hyperlink r:id="rId1204" w:history="1">
        <w:r w:rsidRPr="00B64182">
          <w:rPr>
            <w:rStyle w:val="charCitHyperlinkAbbrev"/>
          </w:rPr>
          <w:t>AF2008-144</w:t>
        </w:r>
      </w:hyperlink>
      <w:r>
        <w:t>.</w:t>
      </w:r>
    </w:p>
    <w:p w14:paraId="55D52613" w14:textId="77777777" w:rsidR="00D94935" w:rsidRDefault="00D94935" w:rsidP="00D94935">
      <w:pPr>
        <w:pStyle w:val="Amain"/>
      </w:pPr>
      <w:r>
        <w:tab/>
        <w:t>(3)</w:t>
      </w:r>
      <w:r>
        <w:tab/>
        <w:t>An interlocutory process for an application under subrule (1) and any supporting affidavit must be served on—</w:t>
      </w:r>
    </w:p>
    <w:p w14:paraId="6D227C18" w14:textId="77777777"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14:paraId="5EFF92B6" w14:textId="77777777"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14:paraId="0DAC42D6" w14:textId="77777777" w:rsidR="00D94935" w:rsidRDefault="00D94935" w:rsidP="00D94935">
      <w:pPr>
        <w:pStyle w:val="Amain"/>
      </w:pPr>
      <w:r>
        <w:tab/>
        <w:t>(4)</w:t>
      </w:r>
      <w:r>
        <w:tab/>
        <w:t>Unless the court otherwise orders, a plaintiff who applies for an order under subrule (1) must—</w:t>
      </w:r>
    </w:p>
    <w:p w14:paraId="248CC2BE" w14:textId="77777777" w:rsidR="00D94935" w:rsidRDefault="00D94935" w:rsidP="00D94935">
      <w:pPr>
        <w:pStyle w:val="Apara"/>
        <w:keepNext/>
      </w:pPr>
      <w:r>
        <w:tab/>
        <w:t>(a)</w:t>
      </w:r>
      <w:r>
        <w:tab/>
        <w:t>send a notice of filing the application to each person whose claim to be a creditor of the defendant is known to the plaintiff; and</w:t>
      </w:r>
    </w:p>
    <w:p w14:paraId="4717B2F0" w14:textId="785C0CA2"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205" w:history="1">
        <w:r w:rsidRPr="00B64182">
          <w:rPr>
            <w:rStyle w:val="charCitHyperlinkAbbrev"/>
          </w:rPr>
          <w:t>AF2008-152</w:t>
        </w:r>
      </w:hyperlink>
      <w:r>
        <w:t>.</w:t>
      </w:r>
    </w:p>
    <w:p w14:paraId="733878B3" w14:textId="77777777"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14:paraId="587B7139" w14:textId="77777777"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14:paraId="12B37DD6" w14:textId="77777777" w:rsidR="00D94935" w:rsidRDefault="00D94935" w:rsidP="00D94935">
      <w:pPr>
        <w:pStyle w:val="Amain"/>
      </w:pPr>
      <w:r>
        <w:tab/>
        <w:t>(6)</w:t>
      </w:r>
      <w:r>
        <w:tab/>
        <w:t>A person who intends to appear before the court at the hearing of an application under subrule (1) must file and serve the documents mentioned in rule 2.9.</w:t>
      </w:r>
    </w:p>
    <w:p w14:paraId="0AEF4453" w14:textId="77777777" w:rsidR="00B547E8" w:rsidRPr="00C8328B" w:rsidRDefault="00B547E8" w:rsidP="00B547E8">
      <w:pPr>
        <w:pStyle w:val="AH3Div"/>
      </w:pPr>
      <w:bookmarkStart w:id="2065" w:name="_Toc185515681"/>
      <w:r w:rsidRPr="00C8328B">
        <w:rPr>
          <w:rStyle w:val="CharDivNo"/>
        </w:rPr>
        <w:t>Division 6.15A.3</w:t>
      </w:r>
      <w:r w:rsidRPr="00A60754">
        <w:tab/>
      </w:r>
      <w:r w:rsidRPr="00C8328B">
        <w:rPr>
          <w:rStyle w:val="CharDivText"/>
        </w:rPr>
        <w:t>Cooperation with foreign courts and representatives</w:t>
      </w:r>
      <w:bookmarkEnd w:id="2065"/>
    </w:p>
    <w:p w14:paraId="181CE5DE" w14:textId="77777777" w:rsidR="00B547E8" w:rsidRPr="00A60754" w:rsidRDefault="00B547E8" w:rsidP="00B547E8">
      <w:pPr>
        <w:pStyle w:val="AH5Sec"/>
      </w:pPr>
      <w:bookmarkStart w:id="2066" w:name="_Toc185515682"/>
      <w:r w:rsidRPr="00C8328B">
        <w:rPr>
          <w:rStyle w:val="CharSectNo"/>
        </w:rPr>
        <w:t>15A.10</w:t>
      </w:r>
      <w:r w:rsidRPr="00A60754">
        <w:tab/>
        <w:t>Cooperation involving court to be under coordination agreement</w:t>
      </w:r>
      <w:bookmarkEnd w:id="2066"/>
    </w:p>
    <w:p w14:paraId="27AB3497" w14:textId="77777777" w:rsidR="00B547E8" w:rsidRPr="00A60754" w:rsidRDefault="00B547E8" w:rsidP="00B547E8">
      <w:pPr>
        <w:pStyle w:val="Amain"/>
      </w:pPr>
      <w:r w:rsidRPr="00A60754">
        <w:tab/>
        <w:t>(1)</w:t>
      </w:r>
      <w:r w:rsidRPr="00A60754">
        <w:tab/>
        <w:t>This rule applies if—</w:t>
      </w:r>
    </w:p>
    <w:p w14:paraId="6E0D4E82" w14:textId="77777777"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14:paraId="0F89C046" w14:textId="77777777"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14:paraId="32A1F866" w14:textId="77777777"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14:paraId="0AC33906" w14:textId="77777777"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14:paraId="7E6F5818" w14:textId="77777777"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14:paraId="10938469" w14:textId="77777777"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14:paraId="064B7502" w14:textId="77777777"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14:paraId="17D47E6F" w14:textId="77777777" w:rsidR="00B547E8" w:rsidRPr="00A60754" w:rsidRDefault="00B547E8" w:rsidP="00B547E8">
      <w:pPr>
        <w:pStyle w:val="Amain"/>
      </w:pPr>
      <w:r w:rsidRPr="00A60754">
        <w:tab/>
        <w:t>(6)</w:t>
      </w:r>
      <w:r w:rsidRPr="00A60754">
        <w:tab/>
        <w:t>An application by a party under subrule (5)—</w:t>
      </w:r>
    </w:p>
    <w:p w14:paraId="4E031E59" w14:textId="77777777" w:rsidR="00B547E8" w:rsidRPr="00A60754" w:rsidRDefault="00B547E8" w:rsidP="00B547E8">
      <w:pPr>
        <w:pStyle w:val="Apara"/>
      </w:pPr>
      <w:r w:rsidRPr="00A60754">
        <w:tab/>
        <w:t>(a)</w:t>
      </w:r>
      <w:r w:rsidRPr="00A60754">
        <w:tab/>
        <w:t>subject to paragraph (b), must be made by originating process; and</w:t>
      </w:r>
    </w:p>
    <w:p w14:paraId="68B014BF" w14:textId="77777777"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14:paraId="4618CA1D" w14:textId="77777777"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14:paraId="400E9580" w14:textId="77777777"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14:paraId="0A8A169C" w14:textId="77777777" w:rsidR="00B547E8" w:rsidRPr="00A60754" w:rsidRDefault="00B547E8" w:rsidP="00B547E8">
      <w:pPr>
        <w:pStyle w:val="AH5Sec"/>
      </w:pPr>
      <w:bookmarkStart w:id="2067" w:name="_Toc185515683"/>
      <w:r w:rsidRPr="00C8328B">
        <w:rPr>
          <w:rStyle w:val="CharSectNo"/>
        </w:rPr>
        <w:t>15A.11</w:t>
      </w:r>
      <w:r w:rsidRPr="00A60754">
        <w:tab/>
        <w:t>Application for approval of coordination agreement</w:t>
      </w:r>
      <w:bookmarkEnd w:id="2067"/>
    </w:p>
    <w:p w14:paraId="6E92209B" w14:textId="77777777" w:rsidR="00B547E8" w:rsidRPr="00A60754" w:rsidRDefault="00B547E8" w:rsidP="00B547E8">
      <w:pPr>
        <w:pStyle w:val="Amain"/>
      </w:pPr>
      <w:r w:rsidRPr="00A60754">
        <w:tab/>
        <w:t>(1)</w:t>
      </w:r>
      <w:r w:rsidRPr="00A60754">
        <w:tab/>
        <w:t>A coordination agreement that involves the court is subject to the approval of the court.</w:t>
      </w:r>
    </w:p>
    <w:p w14:paraId="76F9D483" w14:textId="77777777" w:rsidR="00B547E8" w:rsidRPr="00A60754" w:rsidRDefault="00B547E8" w:rsidP="00B547E8">
      <w:pPr>
        <w:pStyle w:val="Amain"/>
      </w:pPr>
      <w:r w:rsidRPr="00A60754">
        <w:tab/>
        <w:t>(2)</w:t>
      </w:r>
      <w:r w:rsidRPr="00A60754">
        <w:tab/>
        <w:t>An application under subrule (1)—</w:t>
      </w:r>
    </w:p>
    <w:p w14:paraId="695AAFAE" w14:textId="77777777" w:rsidR="00B547E8" w:rsidRPr="00A60754" w:rsidRDefault="00B547E8" w:rsidP="00B547E8">
      <w:pPr>
        <w:pStyle w:val="Apara"/>
      </w:pPr>
      <w:r w:rsidRPr="00A60754">
        <w:tab/>
        <w:t>(a)</w:t>
      </w:r>
      <w:r w:rsidRPr="00A60754">
        <w:tab/>
        <w:t>subject to paragraph (b), must be made by originating process; and</w:t>
      </w:r>
    </w:p>
    <w:p w14:paraId="57129D6C" w14:textId="77777777"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14:paraId="002E11B4" w14:textId="77777777" w:rsidR="00B547E8" w:rsidRPr="00A60754" w:rsidRDefault="00B547E8" w:rsidP="00B547E8">
      <w:pPr>
        <w:pStyle w:val="Amain"/>
      </w:pPr>
      <w:r w:rsidRPr="00A60754">
        <w:tab/>
        <w:t>(3)</w:t>
      </w:r>
      <w:r w:rsidRPr="00A60754">
        <w:tab/>
        <w:t>An application under subrule (1) must be supported by an affidavit—</w:t>
      </w:r>
    </w:p>
    <w:p w14:paraId="0269D53A" w14:textId="77777777" w:rsidR="00B547E8" w:rsidRPr="00A60754" w:rsidRDefault="00B547E8" w:rsidP="00B547E8">
      <w:pPr>
        <w:pStyle w:val="Apara"/>
      </w:pPr>
      <w:r w:rsidRPr="00A60754">
        <w:tab/>
        <w:t>(a)</w:t>
      </w:r>
      <w:r w:rsidRPr="00A60754">
        <w:tab/>
        <w:t>exhibiting the coordination agreement; and</w:t>
      </w:r>
    </w:p>
    <w:p w14:paraId="3125B357" w14:textId="77777777" w:rsidR="00B547E8" w:rsidRPr="00A60754" w:rsidRDefault="00B547E8" w:rsidP="00B547E8">
      <w:pPr>
        <w:pStyle w:val="Apara"/>
      </w:pPr>
      <w:r w:rsidRPr="00A60754">
        <w:tab/>
        <w:t>(b)</w:t>
      </w:r>
      <w:r w:rsidRPr="00A60754">
        <w:tab/>
        <w:t>identifying the manner in which the agreement involves the court; and</w:t>
      </w:r>
    </w:p>
    <w:p w14:paraId="0E5DEB56" w14:textId="77777777" w:rsidR="00B547E8" w:rsidRPr="00A60754" w:rsidRDefault="00B547E8" w:rsidP="00B547E8">
      <w:pPr>
        <w:pStyle w:val="Apara"/>
      </w:pPr>
      <w:r w:rsidRPr="00A60754">
        <w:tab/>
        <w:t>(c)</w:t>
      </w:r>
      <w:r w:rsidRPr="00A60754">
        <w:tab/>
        <w:t>identifying all relevant foreign proceedings; and</w:t>
      </w:r>
    </w:p>
    <w:p w14:paraId="4419F48E" w14:textId="77777777" w:rsidR="00B547E8" w:rsidRPr="00A60754" w:rsidRDefault="00B547E8" w:rsidP="00B547E8">
      <w:pPr>
        <w:pStyle w:val="Apara"/>
      </w:pPr>
      <w:r w:rsidRPr="00A60754">
        <w:tab/>
        <w:t>(d)</w:t>
      </w:r>
      <w:r w:rsidRPr="00A60754">
        <w:tab/>
        <w:t>identifying and providing contact details for all relevant foreign courts; and</w:t>
      </w:r>
    </w:p>
    <w:p w14:paraId="32C7D785" w14:textId="77777777" w:rsidR="00B547E8" w:rsidRPr="00A60754" w:rsidRDefault="00B547E8" w:rsidP="00B547E8">
      <w:pPr>
        <w:pStyle w:val="Apara"/>
      </w:pPr>
      <w:r w:rsidRPr="00A60754">
        <w:tab/>
        <w:t>(e)</w:t>
      </w:r>
      <w:r w:rsidRPr="00A60754">
        <w:tab/>
        <w:t>identifying all relevant foreign representatives; and</w:t>
      </w:r>
    </w:p>
    <w:p w14:paraId="37A3E913" w14:textId="77777777" w:rsidR="00B547E8" w:rsidRPr="00A60754" w:rsidRDefault="00B547E8" w:rsidP="00B547E8">
      <w:pPr>
        <w:pStyle w:val="Apara"/>
      </w:pPr>
      <w:r w:rsidRPr="00A60754">
        <w:tab/>
        <w:t>(f)</w:t>
      </w:r>
      <w:r w:rsidRPr="00A60754">
        <w:tab/>
        <w:t>identifying any local liquidator or controller appointed in relation to the debtor’s local property.</w:t>
      </w:r>
    </w:p>
    <w:p w14:paraId="26315CFD" w14:textId="77777777"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14:paraId="4EC91CA4" w14:textId="77777777" w:rsidR="00B547E8" w:rsidRPr="00A60754" w:rsidRDefault="00B547E8" w:rsidP="00B547E8">
      <w:pPr>
        <w:pStyle w:val="Amain"/>
      </w:pPr>
      <w:r w:rsidRPr="00A60754">
        <w:tab/>
        <w:t>(5)</w:t>
      </w:r>
      <w:r w:rsidRPr="00A60754">
        <w:tab/>
        <w:t>The applicant must serve a copy of the application and supporting affidavit—</w:t>
      </w:r>
    </w:p>
    <w:p w14:paraId="145CAB67" w14:textId="77777777" w:rsidR="00B547E8" w:rsidRPr="00A60754" w:rsidRDefault="00B547E8" w:rsidP="00B547E8">
      <w:pPr>
        <w:pStyle w:val="Apara"/>
      </w:pPr>
      <w:r w:rsidRPr="00A60754">
        <w:tab/>
        <w:t>(a)</w:t>
      </w:r>
      <w:r w:rsidRPr="00A60754">
        <w:tab/>
        <w:t>unless the court otherwise orders, on the parties to the proceeding under rule 2.7 (1); and</w:t>
      </w:r>
    </w:p>
    <w:p w14:paraId="42285081" w14:textId="77777777" w:rsidR="00B547E8" w:rsidRPr="00A60754" w:rsidRDefault="00B547E8" w:rsidP="00B547E8">
      <w:pPr>
        <w:pStyle w:val="Apara"/>
      </w:pPr>
      <w:r w:rsidRPr="00A60754">
        <w:tab/>
        <w:t>(b)</w:t>
      </w:r>
      <w:r w:rsidRPr="00A60754">
        <w:tab/>
        <w:t>on any other people the court may direct at the hearing of the interlocutory process.</w:t>
      </w:r>
    </w:p>
    <w:p w14:paraId="1FA546A6" w14:textId="77777777"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14:paraId="2294035B" w14:textId="77777777" w:rsidR="00B547E8" w:rsidRPr="00A60754" w:rsidRDefault="00B547E8" w:rsidP="00B547E8">
      <w:pPr>
        <w:pStyle w:val="AH5Sec"/>
      </w:pPr>
      <w:bookmarkStart w:id="2068" w:name="_Toc185515684"/>
      <w:r w:rsidRPr="00C8328B">
        <w:rPr>
          <w:rStyle w:val="CharSectNo"/>
        </w:rPr>
        <w:t>15A.12</w:t>
      </w:r>
      <w:r w:rsidRPr="00A60754">
        <w:tab/>
        <w:t>Appointment of independent intermediary</w:t>
      </w:r>
      <w:bookmarkEnd w:id="2068"/>
    </w:p>
    <w:p w14:paraId="2351849D" w14:textId="77777777"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14:paraId="09594A9D" w14:textId="77777777"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14:paraId="419018C4" w14:textId="77777777"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14:paraId="5012E5BA" w14:textId="77777777" w:rsidR="00B547E8" w:rsidRPr="00A60754" w:rsidRDefault="00B547E8" w:rsidP="00B547E8">
      <w:pPr>
        <w:pStyle w:val="Apara"/>
      </w:pPr>
      <w:r w:rsidRPr="00A60754">
        <w:tab/>
        <w:t>(a)</w:t>
      </w:r>
      <w:r w:rsidRPr="00A60754">
        <w:tab/>
        <w:t>the proposed independent intermediary;</w:t>
      </w:r>
    </w:p>
    <w:p w14:paraId="0003F833" w14:textId="77777777" w:rsidR="00B547E8" w:rsidRPr="00A60754" w:rsidRDefault="00B547E8" w:rsidP="00B547E8">
      <w:pPr>
        <w:pStyle w:val="Apara"/>
      </w:pPr>
      <w:r w:rsidRPr="00A60754">
        <w:tab/>
        <w:t>(b)</w:t>
      </w:r>
      <w:r w:rsidRPr="00A60754">
        <w:tab/>
        <w:t>the qualifications of the intermediary by reference to Global Principle 23 (5);</w:t>
      </w:r>
    </w:p>
    <w:p w14:paraId="33557806" w14:textId="77777777" w:rsidR="00B547E8" w:rsidRPr="00A60754" w:rsidRDefault="00B547E8" w:rsidP="00B547E8">
      <w:pPr>
        <w:pStyle w:val="Apara"/>
      </w:pPr>
      <w:r w:rsidRPr="00A60754">
        <w:tab/>
        <w:t>(c)</w:t>
      </w:r>
      <w:r w:rsidRPr="00A60754">
        <w:tab/>
        <w:t>the grounds for appointment of the intermediary;</w:t>
      </w:r>
    </w:p>
    <w:p w14:paraId="70EA3A32" w14:textId="77777777" w:rsidR="00B547E8" w:rsidRPr="00A60754" w:rsidRDefault="00B547E8" w:rsidP="006416B6">
      <w:pPr>
        <w:pStyle w:val="Apara"/>
        <w:keepNext/>
      </w:pPr>
      <w:r w:rsidRPr="00A60754">
        <w:lastRenderedPageBreak/>
        <w:tab/>
        <w:t>(d)</w:t>
      </w:r>
      <w:r w:rsidRPr="00A60754">
        <w:tab/>
        <w:t>the tasks proposed to be performed by the intermediary;</w:t>
      </w:r>
    </w:p>
    <w:p w14:paraId="64C78AC8" w14:textId="77777777" w:rsidR="00B547E8" w:rsidRPr="00A60754" w:rsidRDefault="00B547E8" w:rsidP="00B547E8">
      <w:pPr>
        <w:pStyle w:val="Apara"/>
      </w:pPr>
      <w:r w:rsidRPr="00A60754">
        <w:tab/>
        <w:t>(e)</w:t>
      </w:r>
      <w:r w:rsidRPr="00A60754">
        <w:tab/>
        <w:t>the proposed remuneration of the intermediary.</w:t>
      </w:r>
    </w:p>
    <w:p w14:paraId="56241191" w14:textId="77777777" w:rsidR="00B547E8" w:rsidRPr="00C8328B" w:rsidRDefault="00B547E8" w:rsidP="00B547E8">
      <w:pPr>
        <w:pStyle w:val="AH3Div"/>
      </w:pPr>
      <w:bookmarkStart w:id="2069" w:name="_Toc185515685"/>
      <w:r w:rsidRPr="00C8328B">
        <w:rPr>
          <w:rStyle w:val="CharDivNo"/>
        </w:rPr>
        <w:t>Division 6.15A.4</w:t>
      </w:r>
      <w:r w:rsidRPr="00A60754">
        <w:tab/>
      </w:r>
      <w:r w:rsidRPr="00C8328B">
        <w:rPr>
          <w:rStyle w:val="CharDivText"/>
        </w:rPr>
        <w:t>Concurrent proceedings</w:t>
      </w:r>
      <w:bookmarkEnd w:id="2069"/>
    </w:p>
    <w:p w14:paraId="40C2CBA1" w14:textId="77777777" w:rsidR="00B547E8" w:rsidRPr="00A60754" w:rsidRDefault="00B547E8" w:rsidP="00B547E8">
      <w:pPr>
        <w:pStyle w:val="AH5Sec"/>
      </w:pPr>
      <w:bookmarkStart w:id="2070" w:name="_Toc185515686"/>
      <w:r w:rsidRPr="00C8328B">
        <w:rPr>
          <w:rStyle w:val="CharSectNo"/>
        </w:rPr>
        <w:t>15A.13</w:t>
      </w:r>
      <w:r w:rsidRPr="00A60754">
        <w:tab/>
        <w:t>Starting proceeding after recognition of a foreign main proceeding</w:t>
      </w:r>
      <w:bookmarkEnd w:id="2070"/>
    </w:p>
    <w:p w14:paraId="0C0AC52B" w14:textId="77777777"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14:paraId="143AC8C2" w14:textId="77777777"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14:paraId="2E346E8E" w14:textId="77777777" w:rsidR="00B547E8" w:rsidRPr="00A60754" w:rsidRDefault="00B547E8" w:rsidP="00B547E8">
      <w:pPr>
        <w:pStyle w:val="Apara"/>
      </w:pPr>
      <w:r w:rsidRPr="00A60754">
        <w:tab/>
        <w:t>(a)</w:t>
      </w:r>
      <w:r w:rsidRPr="00A60754">
        <w:tab/>
        <w:t>exhibiting the order recognising the foreign main proceeding; and</w:t>
      </w:r>
    </w:p>
    <w:p w14:paraId="2C81FA48" w14:textId="77777777" w:rsidR="00B547E8" w:rsidRPr="00A60754" w:rsidRDefault="00B547E8" w:rsidP="00B547E8">
      <w:pPr>
        <w:pStyle w:val="Apara"/>
      </w:pPr>
      <w:r w:rsidRPr="00A60754">
        <w:tab/>
        <w:t>(b)</w:t>
      </w:r>
      <w:r w:rsidRPr="00A60754">
        <w:tab/>
        <w:t>identifying the assets of the debtor in Australia; and</w:t>
      </w:r>
    </w:p>
    <w:p w14:paraId="116B5495" w14:textId="77777777"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14:paraId="5D9882FD" w14:textId="77777777" w:rsidR="00B547E8" w:rsidRPr="00C8328B" w:rsidRDefault="00B547E8" w:rsidP="00B547E8">
      <w:pPr>
        <w:pStyle w:val="AH3Div"/>
      </w:pPr>
      <w:bookmarkStart w:id="2071" w:name="_Toc185515687"/>
      <w:r w:rsidRPr="00C8328B">
        <w:rPr>
          <w:rStyle w:val="CharDivNo"/>
        </w:rPr>
        <w:t>Division 6.15A.5</w:t>
      </w:r>
      <w:r w:rsidRPr="00A60754">
        <w:tab/>
      </w:r>
      <w:r w:rsidRPr="00C8328B">
        <w:rPr>
          <w:rStyle w:val="CharDivText"/>
        </w:rPr>
        <w:t>General</w:t>
      </w:r>
      <w:bookmarkEnd w:id="2071"/>
    </w:p>
    <w:p w14:paraId="3EE5F9DA" w14:textId="77777777" w:rsidR="00B547E8" w:rsidRPr="00A60754" w:rsidRDefault="00B547E8" w:rsidP="00B547E8">
      <w:pPr>
        <w:pStyle w:val="AH5Sec"/>
      </w:pPr>
      <w:bookmarkStart w:id="2072" w:name="_Toc185515688"/>
      <w:r w:rsidRPr="00C8328B">
        <w:rPr>
          <w:rStyle w:val="CharSectNo"/>
        </w:rPr>
        <w:t>15A.14</w:t>
      </w:r>
      <w:r w:rsidRPr="00A60754">
        <w:tab/>
        <w:t>Proof of orders or documents of foreign courts</w:t>
      </w:r>
      <w:bookmarkEnd w:id="2072"/>
    </w:p>
    <w:p w14:paraId="17AF0726" w14:textId="77777777"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14:paraId="30B20650" w14:textId="77777777"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14:paraId="38A8E5CF" w14:textId="77777777"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14:paraId="4284F943" w14:textId="77777777"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14:paraId="025B48A0" w14:textId="77777777" w:rsidR="00B547E8" w:rsidRPr="00A60754" w:rsidRDefault="00B547E8" w:rsidP="00B547E8">
      <w:pPr>
        <w:pStyle w:val="AH5Sec"/>
      </w:pPr>
      <w:bookmarkStart w:id="2073" w:name="_Toc185515689"/>
      <w:r w:rsidRPr="00C8328B">
        <w:rPr>
          <w:rStyle w:val="CharSectNo"/>
        </w:rPr>
        <w:t>15A.15</w:t>
      </w:r>
      <w:r w:rsidRPr="00A60754">
        <w:tab/>
        <w:t>Service in accordance with service list</w:t>
      </w:r>
      <w:bookmarkEnd w:id="2073"/>
    </w:p>
    <w:p w14:paraId="02FDC7F8" w14:textId="77777777" w:rsidR="00B547E8" w:rsidRPr="00A60754" w:rsidRDefault="00B547E8" w:rsidP="00B547E8">
      <w:pPr>
        <w:pStyle w:val="Amain"/>
      </w:pPr>
      <w:r w:rsidRPr="00A60754">
        <w:tab/>
        <w:t>(1)</w:t>
      </w:r>
      <w:r w:rsidRPr="00A60754">
        <w:tab/>
        <w:t>This rule applies if—</w:t>
      </w:r>
    </w:p>
    <w:p w14:paraId="5CED1E28" w14:textId="77777777" w:rsidR="00B547E8" w:rsidRPr="00A60754" w:rsidRDefault="00B547E8" w:rsidP="00B547E8">
      <w:pPr>
        <w:pStyle w:val="Apara"/>
      </w:pPr>
      <w:r w:rsidRPr="00A60754">
        <w:tab/>
        <w:t>(a)</w:t>
      </w:r>
      <w:r w:rsidRPr="00A60754">
        <w:tab/>
        <w:t>a service list has been agreed under a coordination agreement approved by the court under rule 15A.11; or</w:t>
      </w:r>
    </w:p>
    <w:p w14:paraId="0FAAC3B0" w14:textId="77777777" w:rsidR="00B547E8" w:rsidRPr="00A60754" w:rsidRDefault="00B547E8" w:rsidP="00B547E8">
      <w:pPr>
        <w:pStyle w:val="Apara"/>
      </w:pPr>
      <w:r w:rsidRPr="00A60754">
        <w:tab/>
        <w:t>(b)</w:t>
      </w:r>
      <w:r w:rsidRPr="00A60754">
        <w:tab/>
        <w:t>a service list has been established under an order by the court under rule 15A.10.</w:t>
      </w:r>
    </w:p>
    <w:p w14:paraId="2521FCFF" w14:textId="77777777"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14:paraId="23F3961C" w14:textId="77777777" w:rsidR="00B547E8" w:rsidRPr="00A60754" w:rsidRDefault="00B547E8" w:rsidP="00B547E8">
      <w:pPr>
        <w:pStyle w:val="Apara"/>
      </w:pPr>
      <w:r w:rsidRPr="00A60754">
        <w:tab/>
        <w:t>(a)</w:t>
      </w:r>
      <w:r w:rsidRPr="00A60754">
        <w:tab/>
        <w:t>an application for recognition under rule 15A.3;</w:t>
      </w:r>
    </w:p>
    <w:p w14:paraId="52D270FC" w14:textId="77777777" w:rsidR="00B547E8" w:rsidRPr="00A60754" w:rsidRDefault="00B547E8" w:rsidP="00B547E8">
      <w:pPr>
        <w:pStyle w:val="Apara"/>
      </w:pPr>
      <w:r w:rsidRPr="00A60754">
        <w:tab/>
        <w:t>(b)</w:t>
      </w:r>
      <w:r w:rsidRPr="00A60754">
        <w:tab/>
        <w:t>an application to modify or terminate an order for recognition under rule 15A.9;</w:t>
      </w:r>
    </w:p>
    <w:p w14:paraId="6E4551F4" w14:textId="77777777" w:rsidR="00B547E8" w:rsidRPr="00A60754" w:rsidRDefault="00B547E8" w:rsidP="00B547E8">
      <w:pPr>
        <w:pStyle w:val="Apara"/>
      </w:pPr>
      <w:r w:rsidRPr="00A60754">
        <w:tab/>
        <w:t>(c)</w:t>
      </w:r>
      <w:r w:rsidRPr="00A60754">
        <w:tab/>
        <w:t>an application for relief after recognition under rule 15A.8.</w:t>
      </w:r>
    </w:p>
    <w:p w14:paraId="7465F8BF" w14:textId="77777777"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14:paraId="24AE92AB" w14:textId="77777777" w:rsidR="004E1D30" w:rsidRDefault="004E1D30">
      <w:pPr>
        <w:pStyle w:val="03Schedule"/>
        <w:sectPr w:rsidR="004E1D30" w:rsidSect="00CD3DF7">
          <w:headerReference w:type="even" r:id="rId1206"/>
          <w:headerReference w:type="default" r:id="rId1207"/>
          <w:footerReference w:type="even" r:id="rId1208"/>
          <w:footerReference w:type="default" r:id="rId1209"/>
          <w:type w:val="continuous"/>
          <w:pgSz w:w="11907" w:h="16839" w:code="9"/>
          <w:pgMar w:top="3880" w:right="1900" w:bottom="3100" w:left="2300" w:header="1920" w:footer="1760" w:gutter="0"/>
          <w:cols w:space="720"/>
        </w:sectPr>
      </w:pPr>
    </w:p>
    <w:p w14:paraId="57C812D9" w14:textId="77777777" w:rsidR="00D94935" w:rsidRDefault="00D94935" w:rsidP="00D94935">
      <w:pPr>
        <w:pStyle w:val="PageBreak"/>
      </w:pPr>
      <w:r>
        <w:br w:type="page"/>
      </w:r>
    </w:p>
    <w:p w14:paraId="3187ECCB" w14:textId="0A091433" w:rsidR="00D94935" w:rsidRPr="00C8328B" w:rsidRDefault="00D94935" w:rsidP="00D94935">
      <w:pPr>
        <w:pStyle w:val="Sched-Part"/>
      </w:pPr>
      <w:bookmarkStart w:id="2074" w:name="_Toc185515690"/>
      <w:r w:rsidRPr="00C8328B">
        <w:rPr>
          <w:rStyle w:val="CharPartNo"/>
        </w:rPr>
        <w:lastRenderedPageBreak/>
        <w:t>Part 6.16</w:t>
      </w:r>
      <w:bookmarkEnd w:id="2074"/>
      <w:r w:rsidRPr="00D75A67">
        <w:rPr>
          <w:rStyle w:val="CharPartNo"/>
        </w:rPr>
        <w:tab/>
      </w:r>
      <w:r w:rsidRPr="00C8328B">
        <w:rPr>
          <w:rStyle w:val="CharPartText"/>
        </w:rPr>
        <w:t xml:space="preserve">  </w:t>
      </w:r>
    </w:p>
    <w:p w14:paraId="4693F90B" w14:textId="77777777" w:rsidR="00D94935" w:rsidRDefault="00D94935" w:rsidP="00D94935">
      <w:pPr>
        <w:pStyle w:val="Placeholder"/>
        <w:keepNext/>
      </w:pPr>
      <w:r>
        <w:rPr>
          <w:rStyle w:val="CharDivNo"/>
        </w:rPr>
        <w:t xml:space="preserve">  </w:t>
      </w:r>
      <w:r>
        <w:rPr>
          <w:rStyle w:val="CharDivText"/>
        </w:rPr>
        <w:t xml:space="preserve">  </w:t>
      </w:r>
    </w:p>
    <w:p w14:paraId="35C5F7E8" w14:textId="77777777" w:rsidR="00D94935" w:rsidRPr="00284A0B" w:rsidRDefault="00D94935" w:rsidP="00D94935">
      <w:pPr>
        <w:pStyle w:val="aNote"/>
      </w:pPr>
      <w:r w:rsidRPr="00284A0B">
        <w:rPr>
          <w:rStyle w:val="charItals"/>
        </w:rPr>
        <w:t>Note</w:t>
      </w:r>
      <w:r w:rsidRPr="00284A0B">
        <w:tab/>
        <w:t>This part of the uniform corporations rules has not been included.</w:t>
      </w:r>
    </w:p>
    <w:p w14:paraId="06C4621E" w14:textId="504AB95E" w:rsidR="00D94935" w:rsidRPr="00284A0B" w:rsidRDefault="00D94935" w:rsidP="00D94935">
      <w:pPr>
        <w:pStyle w:val="aNoteTextss"/>
      </w:pPr>
      <w:r w:rsidRPr="00284A0B">
        <w:t xml:space="preserve">These rules deal with the powers of the court that may be exercised by the </w:t>
      </w:r>
      <w:r w:rsidR="00C3221D" w:rsidRPr="00F13970">
        <w:rPr>
          <w:color w:val="000000"/>
          <w:shd w:val="clear" w:color="auto" w:fill="FFFFFF"/>
        </w:rPr>
        <w:t>registrar of the court (see</w:t>
      </w:r>
      <w:r w:rsidRPr="00284A0B">
        <w:t xml:space="preserve"> pt 6.5 (Registrar) and sch 5 (Jurisdiction of registrar)).</w:t>
      </w:r>
    </w:p>
    <w:p w14:paraId="6132897D" w14:textId="77777777" w:rsidR="004E1D30" w:rsidRDefault="004E1D30">
      <w:pPr>
        <w:pStyle w:val="03Schedule"/>
        <w:sectPr w:rsidR="004E1D30" w:rsidSect="00CD3DF7">
          <w:headerReference w:type="even" r:id="rId1210"/>
          <w:headerReference w:type="default" r:id="rId1211"/>
          <w:footerReference w:type="even" r:id="rId1212"/>
          <w:footerReference w:type="default" r:id="rId1213"/>
          <w:type w:val="continuous"/>
          <w:pgSz w:w="11907" w:h="16839" w:code="9"/>
          <w:pgMar w:top="3880" w:right="1900" w:bottom="3100" w:left="2300" w:header="2280" w:footer="1760" w:gutter="0"/>
          <w:cols w:space="720"/>
        </w:sectPr>
      </w:pPr>
    </w:p>
    <w:p w14:paraId="65ED0C17" w14:textId="77777777" w:rsidR="00D94935" w:rsidRDefault="00D94935" w:rsidP="00D94935">
      <w:pPr>
        <w:pStyle w:val="PageBreak"/>
      </w:pPr>
      <w:r>
        <w:br w:type="page"/>
      </w:r>
    </w:p>
    <w:p w14:paraId="51F5C989" w14:textId="77777777" w:rsidR="00D94935" w:rsidRDefault="00D94935" w:rsidP="00D94935">
      <w:pPr>
        <w:pStyle w:val="Dict-Heading"/>
      </w:pPr>
      <w:bookmarkStart w:id="2075" w:name="_Toc185515691"/>
      <w:r>
        <w:lastRenderedPageBreak/>
        <w:t>Dictionary</w:t>
      </w:r>
      <w:bookmarkEnd w:id="2075"/>
    </w:p>
    <w:p w14:paraId="5D417E49" w14:textId="77777777" w:rsidR="00D94935" w:rsidRDefault="00D94935" w:rsidP="00D94935">
      <w:pPr>
        <w:pStyle w:val="ref"/>
        <w:keepNext/>
      </w:pPr>
      <w:r>
        <w:t>(see r 7)</w:t>
      </w:r>
    </w:p>
    <w:p w14:paraId="3496977A" w14:textId="6967A047" w:rsidR="00D94935" w:rsidRDefault="00D94935" w:rsidP="00D94935">
      <w:pPr>
        <w:pStyle w:val="aNote"/>
      </w:pPr>
      <w:r w:rsidRPr="006364FA">
        <w:rPr>
          <w:rStyle w:val="charItals"/>
        </w:rPr>
        <w:t>Note 1</w:t>
      </w:r>
      <w:r w:rsidRPr="006364FA">
        <w:rPr>
          <w:rStyle w:val="charItals"/>
        </w:rPr>
        <w:tab/>
      </w:r>
      <w:r>
        <w:t xml:space="preserve">The </w:t>
      </w:r>
      <w:hyperlink r:id="rId1214" w:tooltip="A2001-14" w:history="1">
        <w:r w:rsidRPr="006364FA">
          <w:rPr>
            <w:rStyle w:val="charCitHyperlinkAbbrev"/>
          </w:rPr>
          <w:t>Legislation Act</w:t>
        </w:r>
      </w:hyperlink>
      <w:r>
        <w:t xml:space="preserve"> contains definitions and other provisions relevant to these rules.</w:t>
      </w:r>
    </w:p>
    <w:p w14:paraId="103DFED0" w14:textId="17CB6712"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15" w:tooltip="A2001-14" w:history="1">
        <w:r w:rsidRPr="006364FA">
          <w:rPr>
            <w:rStyle w:val="charCitHyperlinkAbbrev"/>
          </w:rPr>
          <w:t>Legislation Act</w:t>
        </w:r>
      </w:hyperlink>
      <w:r>
        <w:t>, dict, pt 1, defines the following terms:</w:t>
      </w:r>
    </w:p>
    <w:p w14:paraId="35651CB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14:paraId="030BB0AA"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14:paraId="728519DC"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14:paraId="773DFE4A"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14:paraId="205146E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14:paraId="691A0D0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14:paraId="2772516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14:paraId="67A8EAE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14:paraId="564872A3"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14:paraId="27885EE1" w14:textId="77777777" w:rsidR="00281FDC" w:rsidRPr="00C1177F" w:rsidRDefault="00281FDC" w:rsidP="00281FDC">
      <w:pPr>
        <w:pStyle w:val="aParaNoteBullet"/>
        <w:tabs>
          <w:tab w:val="left" w:pos="2300"/>
        </w:tabs>
        <w:ind w:left="2300" w:hanging="300"/>
      </w:pPr>
      <w:r w:rsidRPr="00C1177F">
        <w:rPr>
          <w:rFonts w:ascii="Symbol" w:hAnsi="Symbol"/>
        </w:rPr>
        <w:t></w:t>
      </w:r>
      <w:r w:rsidRPr="00C1177F">
        <w:rPr>
          <w:rFonts w:ascii="Symbol" w:hAnsi="Symbol"/>
        </w:rPr>
        <w:tab/>
      </w:r>
      <w:r w:rsidRPr="00C1177F">
        <w:t>document</w:t>
      </w:r>
    </w:p>
    <w:p w14:paraId="3462C56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14:paraId="4C3D1495"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14:paraId="5E4B692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14:paraId="0E0CD808"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14:paraId="1DC8517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14:paraId="28EB3D85" w14:textId="77777777"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14:paraId="63A3DCA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14:paraId="2053C0A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14:paraId="4812173D"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14:paraId="791259D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14:paraId="500CC54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14:paraId="14F7FAC0"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14:paraId="085B4AB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14:paraId="314DA2A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14:paraId="0A658A2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14:paraId="7472D250" w14:textId="77777777"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14:paraId="73FB2B77" w14:textId="77777777"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14:paraId="05BF5D5C" w14:textId="77777777" w:rsidR="00D94935" w:rsidRDefault="00D94935" w:rsidP="00D94935">
      <w:pPr>
        <w:pStyle w:val="aDef"/>
        <w:keepNext/>
        <w:rPr>
          <w:lang w:val="en-US"/>
        </w:rPr>
      </w:pPr>
      <w:r w:rsidRPr="006364FA">
        <w:rPr>
          <w:rStyle w:val="charBoldItals"/>
        </w:rPr>
        <w:t>accused person</w:t>
      </w:r>
      <w:r>
        <w:rPr>
          <w:lang w:val="en-US"/>
        </w:rPr>
        <w:t>—</w:t>
      </w:r>
    </w:p>
    <w:p w14:paraId="2B87B33C" w14:textId="1A4A3AF1" w:rsidR="00C3221D" w:rsidRPr="00F13970" w:rsidRDefault="00C3221D" w:rsidP="00C3221D">
      <w:pPr>
        <w:pStyle w:val="aDefpara"/>
      </w:pPr>
      <w:r w:rsidRPr="00F13970">
        <w:tab/>
        <w:t>(a)</w:t>
      </w:r>
      <w:r w:rsidRPr="00F13970">
        <w:tab/>
        <w:t>for division</w:t>
      </w:r>
      <w:r>
        <w:t xml:space="preserve"> </w:t>
      </w:r>
      <w:r w:rsidRPr="00F13970">
        <w:t>4.1.1A (Criminal proceedings—representation)—see</w:t>
      </w:r>
      <w:r>
        <w:t xml:space="preserve"> </w:t>
      </w:r>
      <w:r w:rsidRPr="00F13970">
        <w:t>rule</w:t>
      </w:r>
      <w:r>
        <w:t xml:space="preserve"> </w:t>
      </w:r>
      <w:r w:rsidRPr="00F13970">
        <w:t>4000A</w:t>
      </w:r>
      <w:r w:rsidR="005A670F">
        <w:t>; and</w:t>
      </w:r>
    </w:p>
    <w:p w14:paraId="196D3FE8" w14:textId="752B06B6" w:rsidR="00D94935" w:rsidRDefault="00D94935" w:rsidP="00D94935">
      <w:pPr>
        <w:pStyle w:val="aDefpara"/>
        <w:rPr>
          <w:lang w:val="en-US"/>
        </w:rPr>
      </w:pPr>
      <w:r>
        <w:rPr>
          <w:lang w:val="en-US"/>
        </w:rPr>
        <w:tab/>
        <w:t>(</w:t>
      </w:r>
      <w:r w:rsidR="005A670F">
        <w:rPr>
          <w:lang w:val="en-US"/>
        </w:rPr>
        <w:t>b</w:t>
      </w:r>
      <w:r>
        <w:rPr>
          <w:lang w:val="en-US"/>
        </w:rPr>
        <w:t>)</w:t>
      </w:r>
      <w:r>
        <w:rPr>
          <w:lang w:val="en-US"/>
        </w:rPr>
        <w:tab/>
        <w:t>for division 4.1.2 (Criminal proceedings—service)—see rule 4005; and</w:t>
      </w:r>
    </w:p>
    <w:p w14:paraId="0F396493" w14:textId="2D06FA20" w:rsidR="00D94935" w:rsidRDefault="00D94935" w:rsidP="00D94935">
      <w:pPr>
        <w:pStyle w:val="aDefpara"/>
        <w:rPr>
          <w:lang w:val="en-US"/>
        </w:rPr>
      </w:pPr>
      <w:r>
        <w:rPr>
          <w:lang w:val="en-US"/>
        </w:rPr>
        <w:tab/>
        <w:t>(</w:t>
      </w:r>
      <w:r w:rsidR="005A670F">
        <w:rPr>
          <w:lang w:val="en-US"/>
        </w:rPr>
        <w:t>c</w:t>
      </w:r>
      <w:r>
        <w:rPr>
          <w:lang w:val="en-US"/>
        </w:rPr>
        <w:t>)</w:t>
      </w:r>
      <w:r>
        <w:rPr>
          <w:lang w:val="en-US"/>
        </w:rPr>
        <w:tab/>
        <w:t>for part 4.3 (Supreme Court criminal proceedings)—see rule 4700; and</w:t>
      </w:r>
    </w:p>
    <w:p w14:paraId="27D42535" w14:textId="12772B6B" w:rsidR="00D94935" w:rsidRDefault="00D94935" w:rsidP="00D94935">
      <w:pPr>
        <w:pStyle w:val="aDefpara"/>
        <w:rPr>
          <w:lang w:val="en-US"/>
        </w:rPr>
      </w:pPr>
      <w:r>
        <w:rPr>
          <w:lang w:val="en-US"/>
        </w:rPr>
        <w:tab/>
        <w:t>(</w:t>
      </w:r>
      <w:r w:rsidR="005A670F">
        <w:rPr>
          <w:lang w:val="en-US"/>
        </w:rPr>
        <w:t>d</w:t>
      </w:r>
      <w:r>
        <w:rPr>
          <w:lang w:val="en-US"/>
        </w:rPr>
        <w:t>)</w:t>
      </w:r>
      <w:r>
        <w:rPr>
          <w:lang w:val="en-US"/>
        </w:rPr>
        <w:tab/>
        <w:t>for division 4.3.3 (Supreme court criminal proceedings—bail)—see rule 4720.</w:t>
      </w:r>
    </w:p>
    <w:p w14:paraId="10A438E0" w14:textId="77777777"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14:paraId="07269BF5" w14:textId="77777777" w:rsidR="00D94935" w:rsidRDefault="00D94935" w:rsidP="00D94935">
      <w:pPr>
        <w:pStyle w:val="aDefpara"/>
      </w:pPr>
      <w:r>
        <w:tab/>
        <w:t>(a)</w:t>
      </w:r>
      <w:r>
        <w:tab/>
        <w:t>either—</w:t>
      </w:r>
    </w:p>
    <w:p w14:paraId="6F39AA6B" w14:textId="77777777" w:rsidR="00D94935" w:rsidRDefault="00D94935" w:rsidP="00D94935">
      <w:pPr>
        <w:pStyle w:val="aDefsubpara"/>
      </w:pPr>
      <w:r>
        <w:tab/>
        <w:t>(i)</w:t>
      </w:r>
      <w:r>
        <w:tab/>
        <w:t>against whom judgment has been entered in the proceeding; or</w:t>
      </w:r>
    </w:p>
    <w:p w14:paraId="124BAF5A" w14:textId="77777777" w:rsidR="00D94935" w:rsidRDefault="00D94935" w:rsidP="00D94935">
      <w:pPr>
        <w:pStyle w:val="aDefsubpara"/>
        <w:keepNext/>
      </w:pPr>
      <w:r>
        <w:tab/>
        <w:t>(ii)</w:t>
      </w:r>
      <w:r>
        <w:tab/>
        <w:t>in relation to whom the proceeding has been dismissed, withdrawn, discontinued or permanently stayed; and</w:t>
      </w:r>
    </w:p>
    <w:p w14:paraId="7C92D97F" w14:textId="77777777" w:rsidR="00D94935" w:rsidRDefault="00D94935" w:rsidP="00D94935">
      <w:pPr>
        <w:pStyle w:val="aDefpara"/>
      </w:pPr>
      <w:r>
        <w:tab/>
        <w:t>(b)</w:t>
      </w:r>
      <w:r>
        <w:tab/>
        <w:t>against whom there is no further claim in the proceeding.</w:t>
      </w:r>
    </w:p>
    <w:p w14:paraId="28AEDA1E" w14:textId="77777777"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14:paraId="56F289D6" w14:textId="77777777" w:rsidR="00D94935" w:rsidRDefault="00D94935" w:rsidP="00D94935">
      <w:pPr>
        <w:pStyle w:val="aDef"/>
      </w:pPr>
      <w:r>
        <w:rPr>
          <w:rStyle w:val="charBoldItals"/>
        </w:rPr>
        <w:t>addressee</w:t>
      </w:r>
      <w:r>
        <w:t>, for a subpoena, means the person who is the subject of the order expressed in the subpoena.</w:t>
      </w:r>
    </w:p>
    <w:p w14:paraId="319EC7E3" w14:textId="77777777"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14:paraId="64FD815F" w14:textId="77777777" w:rsidR="00B3613E" w:rsidRPr="00C1177F" w:rsidRDefault="00B3613E" w:rsidP="00B3613E">
      <w:pPr>
        <w:pStyle w:val="aDefpara"/>
      </w:pPr>
      <w:r w:rsidRPr="00C1177F">
        <w:tab/>
        <w:t>(a)</w:t>
      </w:r>
      <w:r w:rsidRPr="00C1177F">
        <w:tab/>
        <w:t>for a person represented by a solicitor in the proceeding—</w:t>
      </w:r>
    </w:p>
    <w:p w14:paraId="6C58FE4A" w14:textId="00603E7A" w:rsidR="00B3613E" w:rsidRPr="00C1177F" w:rsidRDefault="00B3613E" w:rsidP="00B3613E">
      <w:pPr>
        <w:pStyle w:val="aDefsubpara"/>
      </w:pPr>
      <w:r w:rsidRPr="00C1177F">
        <w:tab/>
        <w:t>(i)</w:t>
      </w:r>
      <w:r w:rsidRPr="00C1177F">
        <w:tab/>
        <w:t>if the solicitor has a place of business in the ACT—</w:t>
      </w:r>
    </w:p>
    <w:p w14:paraId="2D20427D" w14:textId="77777777" w:rsidR="00B3613E" w:rsidRPr="00C1177F" w:rsidRDefault="00B3613E" w:rsidP="00B3613E">
      <w:pPr>
        <w:pStyle w:val="Asubsubpara"/>
      </w:pPr>
      <w:r w:rsidRPr="00C1177F">
        <w:tab/>
        <w:t>(A)</w:t>
      </w:r>
      <w:r w:rsidRPr="00C1177F">
        <w:tab/>
        <w:t>the business address; and</w:t>
      </w:r>
    </w:p>
    <w:p w14:paraId="49A37493" w14:textId="77777777" w:rsidR="00B3613E" w:rsidRPr="00C1177F" w:rsidRDefault="00B3613E" w:rsidP="00B3613E">
      <w:pPr>
        <w:pStyle w:val="Asubsubpara"/>
      </w:pPr>
      <w:r w:rsidRPr="00C1177F">
        <w:lastRenderedPageBreak/>
        <w:tab/>
        <w:t>(B)</w:t>
      </w:r>
      <w:r w:rsidRPr="00C1177F">
        <w:tab/>
        <w:t>an email address; and</w:t>
      </w:r>
    </w:p>
    <w:p w14:paraId="1EBC09F7" w14:textId="07497896" w:rsidR="00B3613E" w:rsidRPr="00C1177F" w:rsidRDefault="00B3613E" w:rsidP="00B3613E">
      <w:pPr>
        <w:pStyle w:val="Asubsubpara"/>
      </w:pPr>
      <w:r w:rsidRPr="00C1177F">
        <w:tab/>
        <w:t>(C)</w:t>
      </w:r>
      <w:r w:rsidRPr="00C1177F">
        <w:tab/>
        <w:t>if the solicitor gives the court a postbox number at a post office in the ACT—the postbox number; or</w:t>
      </w:r>
    </w:p>
    <w:p w14:paraId="2ED7050D" w14:textId="77777777" w:rsidR="00B3613E" w:rsidRPr="00C1177F" w:rsidRDefault="00B3613E" w:rsidP="00B3613E">
      <w:pPr>
        <w:pStyle w:val="aDefsubpara"/>
      </w:pPr>
      <w:r w:rsidRPr="00C1177F">
        <w:tab/>
        <w:t>(ii)</w:t>
      </w:r>
      <w:r w:rsidRPr="00C1177F">
        <w:tab/>
        <w:t>in any other case—</w:t>
      </w:r>
    </w:p>
    <w:p w14:paraId="09E97FAB" w14:textId="2E30732E" w:rsidR="00B3613E" w:rsidRPr="00C1177F" w:rsidRDefault="00B3613E" w:rsidP="00B3613E">
      <w:pPr>
        <w:pStyle w:val="Asubsubpara"/>
      </w:pPr>
      <w:r w:rsidRPr="00C1177F">
        <w:tab/>
        <w:t>(A)</w:t>
      </w:r>
      <w:r w:rsidRPr="00C1177F">
        <w:tab/>
        <w:t>the solicitor’s business address in Australia; and</w:t>
      </w:r>
    </w:p>
    <w:p w14:paraId="5DD38295" w14:textId="13BF7255" w:rsidR="00B3613E" w:rsidRPr="00C1177F" w:rsidRDefault="00B3613E" w:rsidP="00B3613E">
      <w:pPr>
        <w:pStyle w:val="Asubsubpara"/>
      </w:pPr>
      <w:r w:rsidRPr="00C1177F">
        <w:tab/>
        <w:t>(B)</w:t>
      </w:r>
      <w:r w:rsidRPr="00C1177F">
        <w:tab/>
        <w:t>an email address; and</w:t>
      </w:r>
    </w:p>
    <w:p w14:paraId="16458891" w14:textId="5A6447AA" w:rsidR="00B3613E" w:rsidRPr="00C1177F" w:rsidRDefault="00B3613E" w:rsidP="00B3613E">
      <w:pPr>
        <w:pStyle w:val="Asubsubpara"/>
      </w:pPr>
      <w:r w:rsidRPr="00C1177F">
        <w:tab/>
        <w:t>(C)</w:t>
      </w:r>
      <w:r w:rsidRPr="00C1177F">
        <w:tab/>
        <w:t>if the solicitor gives the court a postbox number at a post office in Australia—the postbox number; or</w:t>
      </w:r>
    </w:p>
    <w:p w14:paraId="0F7DB556" w14:textId="77777777" w:rsidR="001F0888" w:rsidRPr="00CE5D4D" w:rsidRDefault="001F0888" w:rsidP="001F0888">
      <w:pPr>
        <w:pStyle w:val="Apara"/>
      </w:pPr>
      <w:r w:rsidRPr="00CE5D4D">
        <w:tab/>
        <w:t>(b)</w:t>
      </w:r>
      <w:r w:rsidRPr="00CE5D4D">
        <w:tab/>
        <w:t>for a plaintiff, defendant or anyone else acting in person in a civil proceeding—</w:t>
      </w:r>
    </w:p>
    <w:p w14:paraId="64A24D27" w14:textId="77777777"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14:paraId="4176B1C0" w14:textId="77777777" w:rsidR="001F0888" w:rsidRPr="00CE5D4D" w:rsidRDefault="001F0888" w:rsidP="001F0888">
      <w:pPr>
        <w:pStyle w:val="Asubsubpara"/>
      </w:pPr>
      <w:r w:rsidRPr="00CE5D4D">
        <w:tab/>
        <w:t>(A)</w:t>
      </w:r>
      <w:r w:rsidRPr="00CE5D4D">
        <w:tab/>
        <w:t>a postbox number at a post office in the ACT;</w:t>
      </w:r>
    </w:p>
    <w:p w14:paraId="018DF1C3" w14:textId="77777777" w:rsidR="001F0888" w:rsidRPr="00CE5D4D" w:rsidRDefault="001F0888" w:rsidP="001F0888">
      <w:pPr>
        <w:pStyle w:val="Asubsubpara"/>
      </w:pPr>
      <w:r w:rsidRPr="00CE5D4D">
        <w:tab/>
        <w:t>(B)</w:t>
      </w:r>
      <w:r w:rsidRPr="00CE5D4D">
        <w:tab/>
        <w:t>an email address; or</w:t>
      </w:r>
    </w:p>
    <w:p w14:paraId="3D80859B" w14:textId="77777777"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14:paraId="069254E5" w14:textId="77777777" w:rsidR="001F0888" w:rsidRPr="00CE5D4D" w:rsidRDefault="001F0888" w:rsidP="001F0888">
      <w:pPr>
        <w:pStyle w:val="Asubsubpara"/>
      </w:pPr>
      <w:r w:rsidRPr="00CE5D4D">
        <w:tab/>
        <w:t>(A)</w:t>
      </w:r>
      <w:r w:rsidRPr="00CE5D4D">
        <w:tab/>
        <w:t>a postbox number at a post office in Australia;</w:t>
      </w:r>
    </w:p>
    <w:p w14:paraId="36CF7C01" w14:textId="77777777" w:rsidR="001F0888" w:rsidRPr="00CE5D4D" w:rsidRDefault="001F0888" w:rsidP="001F0888">
      <w:pPr>
        <w:pStyle w:val="Asubsubpara"/>
      </w:pPr>
      <w:r w:rsidRPr="00CE5D4D">
        <w:tab/>
        <w:t>(B)</w:t>
      </w:r>
      <w:r w:rsidRPr="00CE5D4D">
        <w:tab/>
        <w:t>an email address; or</w:t>
      </w:r>
    </w:p>
    <w:p w14:paraId="50D50FA6" w14:textId="77777777" w:rsidR="001F0888" w:rsidRPr="00CE5D4D" w:rsidRDefault="001F0888" w:rsidP="001F0888">
      <w:pPr>
        <w:pStyle w:val="aDefpara"/>
      </w:pPr>
      <w:r w:rsidRPr="00CE5D4D">
        <w:tab/>
        <w:t>(c)</w:t>
      </w:r>
      <w:r w:rsidRPr="00CE5D4D">
        <w:tab/>
        <w:t>for an accused person or convicted person acting in person—</w:t>
      </w:r>
    </w:p>
    <w:p w14:paraId="18C6329E" w14:textId="77777777" w:rsidR="001F0888" w:rsidRPr="00CE5D4D" w:rsidRDefault="001F0888" w:rsidP="001F0888">
      <w:pPr>
        <w:pStyle w:val="aDefsubpara"/>
      </w:pPr>
      <w:r w:rsidRPr="00CE5D4D">
        <w:tab/>
        <w:t>(i)</w:t>
      </w:r>
      <w:r w:rsidRPr="00CE5D4D">
        <w:tab/>
        <w:t>if the person is in custody—the address of the place of custody, whether in or outside the ACT; or</w:t>
      </w:r>
    </w:p>
    <w:p w14:paraId="06908CAD" w14:textId="77777777"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14:paraId="727181F1" w14:textId="77777777" w:rsidR="001F0888" w:rsidRPr="00CE5D4D" w:rsidRDefault="001F0888" w:rsidP="001F0888">
      <w:pPr>
        <w:pStyle w:val="Asubsubpara"/>
      </w:pPr>
      <w:r w:rsidRPr="00CE5D4D">
        <w:tab/>
        <w:t>(A)</w:t>
      </w:r>
      <w:r w:rsidRPr="00CE5D4D">
        <w:tab/>
        <w:t>a postbox number at a post office in Australia;</w:t>
      </w:r>
    </w:p>
    <w:p w14:paraId="0792E421" w14:textId="77777777" w:rsidR="001F0888" w:rsidRPr="00CE5D4D" w:rsidRDefault="001F0888" w:rsidP="001F0888">
      <w:pPr>
        <w:pStyle w:val="Asubsubpara"/>
      </w:pPr>
      <w:r w:rsidRPr="00CE5D4D">
        <w:tab/>
        <w:t>(B)</w:t>
      </w:r>
      <w:r w:rsidRPr="00CE5D4D">
        <w:tab/>
        <w:t>an email address; or</w:t>
      </w:r>
    </w:p>
    <w:p w14:paraId="294676EB" w14:textId="77777777"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14:paraId="0F4CE04D" w14:textId="77777777" w:rsidR="001F0888" w:rsidRPr="00CE5D4D" w:rsidRDefault="001F0888" w:rsidP="001F0888">
      <w:pPr>
        <w:pStyle w:val="Asubsubpara"/>
      </w:pPr>
      <w:r w:rsidRPr="00CE5D4D">
        <w:tab/>
        <w:t>(A)</w:t>
      </w:r>
      <w:r w:rsidRPr="00CE5D4D">
        <w:tab/>
        <w:t>a postbox number at a post office in Australia;</w:t>
      </w:r>
    </w:p>
    <w:p w14:paraId="1345B607" w14:textId="77777777" w:rsidR="001F0888" w:rsidRPr="00CE5D4D" w:rsidRDefault="001F0888" w:rsidP="001F0888">
      <w:pPr>
        <w:pStyle w:val="Asubsubpara"/>
      </w:pPr>
      <w:r w:rsidRPr="00CE5D4D">
        <w:tab/>
        <w:t>(B)</w:t>
      </w:r>
      <w:r w:rsidRPr="00CE5D4D">
        <w:tab/>
        <w:t>an email address; or</w:t>
      </w:r>
    </w:p>
    <w:p w14:paraId="7464EC07" w14:textId="77777777"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14:paraId="5EBFBF4E" w14:textId="77777777" w:rsidR="001F0888" w:rsidRPr="00CE5D4D" w:rsidRDefault="001F0888" w:rsidP="001F0888">
      <w:pPr>
        <w:pStyle w:val="aDefsubpara"/>
      </w:pPr>
      <w:r w:rsidRPr="00CE5D4D">
        <w:tab/>
        <w:t>(i)</w:t>
      </w:r>
      <w:r w:rsidRPr="00CE5D4D">
        <w:tab/>
        <w:t>a postbox number at a post office in the ACT;</w:t>
      </w:r>
    </w:p>
    <w:p w14:paraId="7D1AE96D" w14:textId="77777777" w:rsidR="001F0888" w:rsidRPr="00CE5D4D" w:rsidRDefault="001F0888" w:rsidP="001F0888">
      <w:pPr>
        <w:pStyle w:val="aDefsubpara"/>
      </w:pPr>
      <w:r w:rsidRPr="00CE5D4D">
        <w:tab/>
        <w:t>(ii)</w:t>
      </w:r>
      <w:r w:rsidRPr="00CE5D4D">
        <w:tab/>
        <w:t>an email address.</w:t>
      </w:r>
    </w:p>
    <w:p w14:paraId="0C79EF7D" w14:textId="77777777" w:rsidR="00D94935" w:rsidRDefault="00D94935" w:rsidP="00D94935">
      <w:pPr>
        <w:pStyle w:val="aDef"/>
      </w:pPr>
      <w:r w:rsidRPr="006364FA">
        <w:rPr>
          <w:rStyle w:val="charBoldItals"/>
        </w:rPr>
        <w:t>Administration and Probate Act</w:t>
      </w:r>
      <w:r>
        <w:t>, for part 3.1 (Administration and probate)—see rule 3000.</w:t>
      </w:r>
    </w:p>
    <w:p w14:paraId="3CE54FAC" w14:textId="77777777" w:rsidR="00D94935" w:rsidRDefault="00D94935" w:rsidP="00D94935">
      <w:pPr>
        <w:pStyle w:val="aDef"/>
        <w:keepNext/>
      </w:pPr>
      <w:r w:rsidRPr="006364FA">
        <w:rPr>
          <w:rStyle w:val="charBoldItals"/>
        </w:rPr>
        <w:t>administration bond</w:t>
      </w:r>
      <w:r>
        <w:t>, for part 3.1 (Administration and probate)—see rule 3045.</w:t>
      </w:r>
    </w:p>
    <w:p w14:paraId="442E5B57" w14:textId="77777777" w:rsidR="00D94935" w:rsidRDefault="00D94935" w:rsidP="00D94935">
      <w:pPr>
        <w:pStyle w:val="aDef"/>
      </w:pPr>
      <w:r w:rsidRPr="006364FA">
        <w:rPr>
          <w:rStyle w:val="charBoldItals"/>
        </w:rPr>
        <w:t>admission</w:t>
      </w:r>
      <w:r>
        <w:t>, for part 3.11 (Legal profession)—see rule 3600.</w:t>
      </w:r>
    </w:p>
    <w:p w14:paraId="4172FAFD" w14:textId="77777777" w:rsidR="00D94935" w:rsidRDefault="00D94935" w:rsidP="00D94935">
      <w:pPr>
        <w:pStyle w:val="aDef"/>
      </w:pPr>
      <w:r w:rsidRPr="006364FA">
        <w:rPr>
          <w:rStyle w:val="charBoldItals"/>
        </w:rPr>
        <w:t>Adoption Act</w:t>
      </w:r>
      <w:r>
        <w:t>, for part 3.2 (Adoption)—see rule 3150.</w:t>
      </w:r>
    </w:p>
    <w:p w14:paraId="73138257" w14:textId="77777777" w:rsidR="00D94935" w:rsidRDefault="00D94935" w:rsidP="00D94935">
      <w:pPr>
        <w:pStyle w:val="aDef"/>
      </w:pPr>
      <w:r w:rsidRPr="006364FA">
        <w:rPr>
          <w:rStyle w:val="charBoldItals"/>
        </w:rPr>
        <w:t>adoption proceeding</w:t>
      </w:r>
      <w:r>
        <w:t>, for part 3.2 (Adoption)—see rule 3150.</w:t>
      </w:r>
    </w:p>
    <w:p w14:paraId="4E7C39EB" w14:textId="77777777" w:rsidR="00D94935" w:rsidRDefault="00D94935" w:rsidP="00D94935">
      <w:pPr>
        <w:pStyle w:val="aDef"/>
      </w:pPr>
      <w:r w:rsidRPr="006364FA">
        <w:rPr>
          <w:rStyle w:val="charBoldItals"/>
        </w:rPr>
        <w:t>affidavit in support</w:t>
      </w:r>
      <w:r>
        <w:t>, for division 2.11.3 (Default by defendant)—see rule 1119.</w:t>
      </w:r>
    </w:p>
    <w:p w14:paraId="0EC6BF05" w14:textId="77777777" w:rsidR="00D94935" w:rsidRDefault="00D94935" w:rsidP="00D94935">
      <w:pPr>
        <w:pStyle w:val="aDef"/>
      </w:pPr>
      <w:r w:rsidRPr="006364FA">
        <w:rPr>
          <w:rStyle w:val="charBoldItals"/>
        </w:rPr>
        <w:t>amendment order</w:t>
      </w:r>
      <w:r>
        <w:t>, for part 3.2 (Adoption)—see rule 3150.</w:t>
      </w:r>
    </w:p>
    <w:p w14:paraId="799AE3B3" w14:textId="77777777" w:rsidR="00D94935" w:rsidRDefault="00D94935" w:rsidP="00D94935">
      <w:pPr>
        <w:pStyle w:val="aDef"/>
      </w:pPr>
      <w:r w:rsidRPr="006364FA">
        <w:rPr>
          <w:rStyle w:val="charBoldItals"/>
        </w:rPr>
        <w:t>ancillary order</w:t>
      </w:r>
      <w:r>
        <w:t>, for division 2.9.4 (Injunctions and similar orders)—see rule 742.</w:t>
      </w:r>
    </w:p>
    <w:p w14:paraId="461E55C5" w14:textId="77777777" w:rsidR="00D94935" w:rsidRDefault="00D94935" w:rsidP="00D94935">
      <w:pPr>
        <w:pStyle w:val="aDef"/>
      </w:pPr>
      <w:r w:rsidRPr="006364FA">
        <w:rPr>
          <w:rStyle w:val="charBoldItals"/>
        </w:rPr>
        <w:t>another court</w:t>
      </w:r>
      <w:r>
        <w:t>, for subdivision 2.9.4.2 (Freezing orders)—see rule 740.</w:t>
      </w:r>
    </w:p>
    <w:p w14:paraId="14CD3744" w14:textId="77777777" w:rsidR="00D94935" w:rsidRPr="0023482E" w:rsidRDefault="00D94935" w:rsidP="00D94935">
      <w:pPr>
        <w:pStyle w:val="aDef"/>
      </w:pPr>
      <w:r w:rsidRPr="0023482E">
        <w:rPr>
          <w:rStyle w:val="charBoldItals"/>
        </w:rPr>
        <w:t>APLEC</w:t>
      </w:r>
      <w:r w:rsidRPr="0023482E">
        <w:t>, for part 3.11 (Legal profession)—see rule 3600.</w:t>
      </w:r>
    </w:p>
    <w:p w14:paraId="1FCDF73C" w14:textId="77777777" w:rsidR="00D94935" w:rsidRDefault="00D94935" w:rsidP="00D94935">
      <w:pPr>
        <w:pStyle w:val="aDef"/>
        <w:keepNext/>
      </w:pPr>
      <w:r w:rsidRPr="006364FA">
        <w:rPr>
          <w:rStyle w:val="charBoldItals"/>
        </w:rPr>
        <w:lastRenderedPageBreak/>
        <w:t>appeal</w:t>
      </w:r>
      <w:r>
        <w:t>—</w:t>
      </w:r>
    </w:p>
    <w:p w14:paraId="3B926FDF" w14:textId="77777777" w:rsidR="00D94935" w:rsidRPr="00284A0B" w:rsidRDefault="00D94935" w:rsidP="006416B6">
      <w:pPr>
        <w:pStyle w:val="Apara"/>
        <w:keepNext/>
      </w:pPr>
      <w:r w:rsidRPr="00284A0B">
        <w:tab/>
        <w:t>(a)</w:t>
      </w:r>
      <w:r w:rsidRPr="00284A0B">
        <w:tab/>
        <w:t>for part 5.2 (Appeals from registrar)—see rule 5010; and</w:t>
      </w:r>
    </w:p>
    <w:p w14:paraId="7BDA84E4" w14:textId="77777777" w:rsidR="00D94935" w:rsidRDefault="00D94935" w:rsidP="00D94935">
      <w:pPr>
        <w:pStyle w:val="aDefpara"/>
        <w:keepNext/>
      </w:pPr>
      <w:r>
        <w:tab/>
        <w:t>(b)</w:t>
      </w:r>
      <w:r>
        <w:tab/>
        <w:t>for part 5.3 (Appeals to Supreme Court)—see rule 5050; and</w:t>
      </w:r>
    </w:p>
    <w:p w14:paraId="09291897" w14:textId="77777777"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14:paraId="08A112C7" w14:textId="77777777" w:rsidR="00D94935" w:rsidRDefault="00D94935" w:rsidP="00D94935">
      <w:pPr>
        <w:pStyle w:val="aDefpara"/>
      </w:pPr>
      <w:r>
        <w:tab/>
        <w:t>(d)</w:t>
      </w:r>
      <w:r>
        <w:tab/>
        <w:t>for division 5.4.7 (</w:t>
      </w:r>
      <w:r>
        <w:rPr>
          <w:rStyle w:val="CharDivText"/>
        </w:rPr>
        <w:t>Appeals to Court of Appeal—convictions and sentences)—see rule 5500; and</w:t>
      </w:r>
    </w:p>
    <w:p w14:paraId="265A1F6E" w14:textId="77777777" w:rsidR="00D94935" w:rsidRDefault="00D94935" w:rsidP="00D94935">
      <w:pPr>
        <w:pStyle w:val="aDefpara"/>
      </w:pPr>
      <w:r>
        <w:tab/>
        <w:t>(e)</w:t>
      </w:r>
      <w:r>
        <w:tab/>
        <w:t>for part 5.8 (Written cases)—see rule 5850.</w:t>
      </w:r>
    </w:p>
    <w:p w14:paraId="6A748F35" w14:textId="77777777"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14:paraId="14A6D2B4" w14:textId="77777777" w:rsidR="00D94935" w:rsidRDefault="00D94935" w:rsidP="00D94935">
      <w:pPr>
        <w:pStyle w:val="aDef"/>
      </w:pPr>
      <w:r w:rsidRPr="006364FA">
        <w:rPr>
          <w:rStyle w:val="charBoldItals"/>
        </w:rPr>
        <w:t>appellant</w:t>
      </w:r>
      <w:r>
        <w:t>, for part 5.8 (Written cases)—see rule 5850.</w:t>
      </w:r>
    </w:p>
    <w:p w14:paraId="5EEDECD3" w14:textId="77777777" w:rsidR="00D94935" w:rsidRDefault="00D94935" w:rsidP="00D94935">
      <w:pPr>
        <w:pStyle w:val="aDef"/>
        <w:keepNext/>
      </w:pPr>
      <w:r w:rsidRPr="006364FA">
        <w:rPr>
          <w:rStyle w:val="charBoldItals"/>
        </w:rPr>
        <w:t>appellate proceeding</w:t>
      </w:r>
      <w:r>
        <w:rPr>
          <w:bCs/>
          <w:iCs/>
        </w:rPr>
        <w:t xml:space="preserve"> means a proceeding to which chapter 5 applies.</w:t>
      </w:r>
    </w:p>
    <w:p w14:paraId="68A345A6" w14:textId="77777777"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14:paraId="5AB3D9D4" w14:textId="77777777" w:rsidR="00D94935" w:rsidRDefault="00D94935" w:rsidP="00D94935">
      <w:pPr>
        <w:pStyle w:val="aNoteBulletss"/>
        <w:tabs>
          <w:tab w:val="left" w:pos="2300"/>
        </w:tabs>
      </w:pPr>
      <w:r>
        <w:rPr>
          <w:rFonts w:ascii="Symbol" w:hAnsi="Symbol"/>
        </w:rPr>
        <w:t></w:t>
      </w:r>
      <w:r>
        <w:rPr>
          <w:rFonts w:ascii="Symbol" w:hAnsi="Symbol"/>
        </w:rPr>
        <w:tab/>
      </w:r>
      <w:r>
        <w:t>r 5011 (Application—pt 5.2)</w:t>
      </w:r>
    </w:p>
    <w:p w14:paraId="40B882C4" w14:textId="77777777" w:rsidR="00D94935" w:rsidRDefault="00D94935" w:rsidP="00D94935">
      <w:pPr>
        <w:pStyle w:val="aNoteBulletss"/>
        <w:tabs>
          <w:tab w:val="left" w:pos="2300"/>
        </w:tabs>
      </w:pPr>
      <w:r>
        <w:rPr>
          <w:rFonts w:ascii="Symbol" w:hAnsi="Symbol"/>
        </w:rPr>
        <w:t></w:t>
      </w:r>
      <w:r>
        <w:rPr>
          <w:rFonts w:ascii="Symbol" w:hAnsi="Symbol"/>
        </w:rPr>
        <w:tab/>
      </w:r>
      <w:r>
        <w:t>r 5051 (Application—pt 5.3)</w:t>
      </w:r>
    </w:p>
    <w:p w14:paraId="017D7080" w14:textId="77777777" w:rsidR="00D94935" w:rsidRDefault="00D94935" w:rsidP="00D94935">
      <w:pPr>
        <w:pStyle w:val="aNoteBulletss"/>
        <w:tabs>
          <w:tab w:val="left" w:pos="2300"/>
        </w:tabs>
      </w:pPr>
      <w:r>
        <w:rPr>
          <w:rFonts w:ascii="Symbol" w:hAnsi="Symbol"/>
        </w:rPr>
        <w:t></w:t>
      </w:r>
      <w:r>
        <w:rPr>
          <w:rFonts w:ascii="Symbol" w:hAnsi="Symbol"/>
        </w:rPr>
        <w:tab/>
      </w:r>
      <w:r>
        <w:t>r 5070 (Application—div 5.3.2)</w:t>
      </w:r>
    </w:p>
    <w:p w14:paraId="44518311" w14:textId="77777777" w:rsidR="00D94935" w:rsidRDefault="00D94935" w:rsidP="00D94935">
      <w:pPr>
        <w:pStyle w:val="aNoteBulletss"/>
        <w:tabs>
          <w:tab w:val="left" w:pos="2300"/>
        </w:tabs>
      </w:pPr>
      <w:r>
        <w:rPr>
          <w:rFonts w:ascii="Symbol" w:hAnsi="Symbol"/>
        </w:rPr>
        <w:t></w:t>
      </w:r>
      <w:r>
        <w:rPr>
          <w:rFonts w:ascii="Symbol" w:hAnsi="Symbol"/>
        </w:rPr>
        <w:tab/>
      </w:r>
      <w:r>
        <w:t>r 5081 (Application—div 5.3.3)</w:t>
      </w:r>
    </w:p>
    <w:p w14:paraId="061DEF3C" w14:textId="77777777" w:rsidR="00D94935" w:rsidRDefault="00D94935" w:rsidP="00D94935">
      <w:pPr>
        <w:pStyle w:val="aNoteBulletss"/>
        <w:tabs>
          <w:tab w:val="left" w:pos="2300"/>
        </w:tabs>
      </w:pPr>
      <w:r>
        <w:rPr>
          <w:rFonts w:ascii="Symbol" w:hAnsi="Symbol"/>
        </w:rPr>
        <w:t></w:t>
      </w:r>
      <w:r>
        <w:rPr>
          <w:rFonts w:ascii="Symbol" w:hAnsi="Symbol"/>
        </w:rPr>
        <w:tab/>
      </w:r>
      <w:r>
        <w:t>r 5310 (Application—div 5.4.2)</w:t>
      </w:r>
    </w:p>
    <w:p w14:paraId="456F7763" w14:textId="77777777" w:rsidR="00D94935" w:rsidRDefault="00D94935" w:rsidP="00D94935">
      <w:pPr>
        <w:pStyle w:val="aNoteBulletss"/>
        <w:tabs>
          <w:tab w:val="left" w:pos="2300"/>
        </w:tabs>
      </w:pPr>
      <w:r>
        <w:rPr>
          <w:rFonts w:ascii="Symbol" w:hAnsi="Symbol"/>
        </w:rPr>
        <w:t></w:t>
      </w:r>
      <w:r>
        <w:rPr>
          <w:rFonts w:ascii="Symbol" w:hAnsi="Symbol"/>
        </w:rPr>
        <w:tab/>
      </w:r>
      <w:r>
        <w:t>r 5331 (Application—div 5.4.3)</w:t>
      </w:r>
    </w:p>
    <w:p w14:paraId="6043D958" w14:textId="77777777"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14:paraId="25F5F0A5" w14:textId="77777777" w:rsidR="00D94935" w:rsidRDefault="00D94935" w:rsidP="00D94935">
      <w:pPr>
        <w:pStyle w:val="aNoteBulletss"/>
        <w:tabs>
          <w:tab w:val="left" w:pos="2300"/>
        </w:tabs>
      </w:pPr>
      <w:r>
        <w:rPr>
          <w:rFonts w:ascii="Symbol" w:hAnsi="Symbol"/>
        </w:rPr>
        <w:t></w:t>
      </w:r>
      <w:r>
        <w:rPr>
          <w:rFonts w:ascii="Symbol" w:hAnsi="Symbol"/>
        </w:rPr>
        <w:tab/>
      </w:r>
      <w:r>
        <w:t>r 5505 (Application—sdiv 5.4.7.2)</w:t>
      </w:r>
    </w:p>
    <w:p w14:paraId="671D9E17" w14:textId="77777777"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14:paraId="7646C260" w14:textId="77777777" w:rsidR="00D94935" w:rsidRDefault="00D94935" w:rsidP="00D94935">
      <w:pPr>
        <w:pStyle w:val="aNoteBulletss"/>
        <w:tabs>
          <w:tab w:val="left" w:pos="2300"/>
        </w:tabs>
      </w:pPr>
      <w:r>
        <w:rPr>
          <w:rFonts w:ascii="Symbol" w:hAnsi="Symbol"/>
        </w:rPr>
        <w:t></w:t>
      </w:r>
      <w:r>
        <w:rPr>
          <w:rFonts w:ascii="Symbol" w:hAnsi="Symbol"/>
        </w:rPr>
        <w:tab/>
      </w:r>
      <w:r>
        <w:t>r 5800 (Application—div 5.7.1)</w:t>
      </w:r>
    </w:p>
    <w:p w14:paraId="139BDDE8" w14:textId="77777777"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14:paraId="5D9CB8AA"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14:paraId="6065321D" w14:textId="77777777" w:rsidR="00D94935" w:rsidRPr="00403BD1" w:rsidRDefault="00D94935" w:rsidP="00D94935">
      <w:pPr>
        <w:pStyle w:val="aDef"/>
        <w:keepNext/>
      </w:pPr>
      <w:r w:rsidRPr="000F5994">
        <w:rPr>
          <w:rStyle w:val="charBoldItals"/>
        </w:rPr>
        <w:lastRenderedPageBreak/>
        <w:t>applicant</w:t>
      </w:r>
      <w:r w:rsidRPr="00403BD1">
        <w:rPr>
          <w:bCs/>
          <w:iCs/>
        </w:rPr>
        <w:t>—</w:t>
      </w:r>
    </w:p>
    <w:p w14:paraId="25407301" w14:textId="77777777" w:rsidR="00D94935" w:rsidRPr="00403BD1" w:rsidRDefault="00D94935" w:rsidP="00D94935">
      <w:pPr>
        <w:pStyle w:val="aDefpara"/>
      </w:pPr>
      <w:r w:rsidRPr="00403BD1">
        <w:tab/>
        <w:t>(a)</w:t>
      </w:r>
      <w:r w:rsidRPr="00403BD1">
        <w:tab/>
        <w:t>for subdivision 2.9.4.2 (Freezing orders)—see rule 740; and</w:t>
      </w:r>
    </w:p>
    <w:p w14:paraId="3488B97E" w14:textId="77777777" w:rsidR="00D94935" w:rsidRPr="00403BD1" w:rsidRDefault="00D94935" w:rsidP="00D94935">
      <w:pPr>
        <w:pStyle w:val="aDefpara"/>
      </w:pPr>
      <w:r w:rsidRPr="00403BD1">
        <w:tab/>
        <w:t>(b)</w:t>
      </w:r>
      <w:r w:rsidRPr="00403BD1">
        <w:tab/>
        <w:t>for subdivision 2.9.4.3 (Search orders)—see rule 750; and</w:t>
      </w:r>
    </w:p>
    <w:p w14:paraId="7C40DF3A" w14:textId="77777777" w:rsidR="00D94935" w:rsidRPr="00403BD1" w:rsidRDefault="00D94935" w:rsidP="00D94935">
      <w:pPr>
        <w:pStyle w:val="aDefpara"/>
      </w:pPr>
      <w:r w:rsidRPr="00403BD1">
        <w:tab/>
        <w:t>(c)</w:t>
      </w:r>
      <w:r w:rsidRPr="00403BD1">
        <w:tab/>
        <w:t>for division 5.6.1 (Reference appeals—Supreme Court)—see rule 5750; and</w:t>
      </w:r>
    </w:p>
    <w:p w14:paraId="5FC0A6B6" w14:textId="77777777" w:rsidR="00D94935" w:rsidRPr="00403BD1" w:rsidRDefault="00D94935" w:rsidP="00D94935">
      <w:pPr>
        <w:pStyle w:val="aDefpara"/>
      </w:pPr>
      <w:r w:rsidRPr="00403BD1">
        <w:tab/>
        <w:t>(d)</w:t>
      </w:r>
      <w:r w:rsidRPr="00403BD1">
        <w:tab/>
        <w:t>for division 5.6.2 (Reference appeals—Court of Appeal)—see rule 5770; and</w:t>
      </w:r>
    </w:p>
    <w:p w14:paraId="7CC86AA8" w14:textId="77777777" w:rsidR="00D94935" w:rsidRPr="00403BD1" w:rsidRDefault="00D94935" w:rsidP="00D94935">
      <w:pPr>
        <w:pStyle w:val="aDefpara"/>
      </w:pPr>
      <w:r w:rsidRPr="00403BD1">
        <w:tab/>
        <w:t>(e)</w:t>
      </w:r>
      <w:r w:rsidRPr="00403BD1">
        <w:tab/>
        <w:t>for division 6.8.12 (Service under the Hague Convention)—see rule 6550; and</w:t>
      </w:r>
    </w:p>
    <w:p w14:paraId="2FB0A75E" w14:textId="77777777" w:rsidR="00D94935" w:rsidRPr="00403BD1" w:rsidRDefault="00D94935" w:rsidP="00D94935">
      <w:pPr>
        <w:pStyle w:val="aDefpara"/>
      </w:pPr>
      <w:r w:rsidRPr="00403BD1">
        <w:tab/>
        <w:t>(</w:t>
      </w:r>
      <w:r>
        <w:t>f</w:t>
      </w:r>
      <w:r w:rsidRPr="00403BD1">
        <w:t>)</w:t>
      </w:r>
      <w:r w:rsidRPr="00403BD1">
        <w:tab/>
        <w:t>for schedule 6 (Corporations Rules)—see schedule 6, rule 1.5.</w:t>
      </w:r>
    </w:p>
    <w:p w14:paraId="27119033" w14:textId="77777777" w:rsidR="00D94935" w:rsidRDefault="00D94935" w:rsidP="00D94935">
      <w:pPr>
        <w:pStyle w:val="aDef"/>
        <w:keepNext/>
      </w:pPr>
      <w:r w:rsidRPr="006364FA">
        <w:rPr>
          <w:rStyle w:val="charBoldItals"/>
        </w:rPr>
        <w:t>application</w:t>
      </w:r>
      <w:r>
        <w:t>, in a proceeding—see rule 6006 (Application—pt 6.2).</w:t>
      </w:r>
    </w:p>
    <w:p w14:paraId="67D5C034" w14:textId="77777777"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14:paraId="0E3B7644" w14:textId="77777777" w:rsidR="00D94935" w:rsidRDefault="00D94935" w:rsidP="00D94935">
      <w:pPr>
        <w:pStyle w:val="aDef"/>
      </w:pPr>
      <w:r w:rsidRPr="006364FA">
        <w:rPr>
          <w:rStyle w:val="charBoldItals"/>
        </w:rPr>
        <w:t>application for admission</w:t>
      </w:r>
      <w:r>
        <w:t>, for part 3.11 (Legal profession)—see rule 3600.</w:t>
      </w:r>
    </w:p>
    <w:p w14:paraId="1A34CD59" w14:textId="77777777" w:rsidR="00D94935" w:rsidRPr="0023482E" w:rsidRDefault="00D94935" w:rsidP="00D94935">
      <w:pPr>
        <w:pStyle w:val="aDef"/>
      </w:pPr>
      <w:r w:rsidRPr="0023482E">
        <w:rPr>
          <w:rStyle w:val="charBoldItals"/>
        </w:rPr>
        <w:t>approved academic institution</w:t>
      </w:r>
      <w:r w:rsidRPr="0023482E">
        <w:t>, for part 3.11 (Legal profession)—see rule 3600.</w:t>
      </w:r>
    </w:p>
    <w:p w14:paraId="76B67D1C" w14:textId="77777777" w:rsidR="00D94935" w:rsidRPr="0023482E" w:rsidRDefault="00D94935" w:rsidP="00D94935">
      <w:pPr>
        <w:pStyle w:val="aDef"/>
      </w:pPr>
      <w:r w:rsidRPr="0023482E">
        <w:rPr>
          <w:rStyle w:val="charBoldItals"/>
        </w:rPr>
        <w:t>approved course of study</w:t>
      </w:r>
      <w:r w:rsidRPr="0023482E">
        <w:t>, for part 3.11 (Legal profession)—see rule 3600.</w:t>
      </w:r>
    </w:p>
    <w:p w14:paraId="51EA9AB3" w14:textId="6E067B6A" w:rsidR="00D94935" w:rsidRDefault="00D94935" w:rsidP="00D94935">
      <w:pPr>
        <w:pStyle w:val="aDef"/>
      </w:pPr>
      <w:r w:rsidRPr="006364FA">
        <w:rPr>
          <w:rStyle w:val="charBoldItals"/>
        </w:rPr>
        <w:t>approved form</w:t>
      </w:r>
      <w:r>
        <w:t xml:space="preserve"> means a form approved under the </w:t>
      </w:r>
      <w:hyperlink r:id="rId1216" w:tooltip="A2004-59" w:history="1">
        <w:r w:rsidRPr="006364FA">
          <w:rPr>
            <w:rStyle w:val="charCitHyperlinkItal"/>
          </w:rPr>
          <w:t>Court Procedures Act 2004</w:t>
        </w:r>
      </w:hyperlink>
      <w:r>
        <w:t>, section 8 for these rules.</w:t>
      </w:r>
    </w:p>
    <w:p w14:paraId="303DA4DD" w14:textId="77777777" w:rsidR="00D94935" w:rsidRPr="0023482E" w:rsidRDefault="00D94935" w:rsidP="00D94935">
      <w:pPr>
        <w:pStyle w:val="aDef"/>
      </w:pPr>
      <w:r w:rsidRPr="0023482E">
        <w:rPr>
          <w:rStyle w:val="charBoldItals"/>
        </w:rPr>
        <w:t>approved PLT course</w:t>
      </w:r>
      <w:r w:rsidRPr="0023482E">
        <w:t>, for part 3.11 (Legal profession)—see rule 3600.</w:t>
      </w:r>
    </w:p>
    <w:p w14:paraId="47EA71F9" w14:textId="77777777" w:rsidR="00D94935" w:rsidRPr="0023482E" w:rsidRDefault="00D94935" w:rsidP="00D94935">
      <w:pPr>
        <w:pStyle w:val="aDef"/>
      </w:pPr>
      <w:r w:rsidRPr="0023482E">
        <w:rPr>
          <w:rStyle w:val="charBoldItals"/>
        </w:rPr>
        <w:t>approved PLT provider</w:t>
      </w:r>
      <w:r w:rsidRPr="0023482E">
        <w:t>, for part 3.11 (Legal profession)—see rule 3600.</w:t>
      </w:r>
    </w:p>
    <w:p w14:paraId="0823466F" w14:textId="77777777" w:rsidR="00D94935" w:rsidRPr="0023482E" w:rsidRDefault="00D94935" w:rsidP="00D94935">
      <w:pPr>
        <w:pStyle w:val="aDef"/>
      </w:pPr>
      <w:r w:rsidRPr="0023482E">
        <w:rPr>
          <w:rStyle w:val="charBoldItals"/>
        </w:rPr>
        <w:t>approved subject</w:t>
      </w:r>
      <w:r w:rsidRPr="0023482E">
        <w:t>, for part 3.11 (Legal profession)—see rule 3600.</w:t>
      </w:r>
    </w:p>
    <w:p w14:paraId="4C51D628" w14:textId="77777777" w:rsidR="00D94935" w:rsidRDefault="00D94935" w:rsidP="00D94935">
      <w:pPr>
        <w:pStyle w:val="aDef"/>
      </w:pPr>
      <w:r w:rsidRPr="006364FA">
        <w:rPr>
          <w:rStyle w:val="charBoldItals"/>
        </w:rPr>
        <w:t>arbitration</w:t>
      </w:r>
      <w:r>
        <w:t>, for part 3.13 (Workers compensation)—see rule 3900.</w:t>
      </w:r>
    </w:p>
    <w:p w14:paraId="7A91A175" w14:textId="77777777"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14:paraId="3FEBF90B" w14:textId="77777777" w:rsidR="00D94935" w:rsidRDefault="00D94935" w:rsidP="00D94935">
      <w:pPr>
        <w:pStyle w:val="aDef"/>
      </w:pPr>
      <w:r w:rsidRPr="006364FA">
        <w:rPr>
          <w:rStyle w:val="charBoldItals"/>
        </w:rPr>
        <w:t>assessed costs</w:t>
      </w:r>
      <w:r>
        <w:t xml:space="preserve"> means costs and disbursements assessed under part 2.17 (Costs).</w:t>
      </w:r>
    </w:p>
    <w:p w14:paraId="5ABDF86E" w14:textId="77777777" w:rsidR="00D94935" w:rsidRDefault="00D94935" w:rsidP="00D94935">
      <w:pPr>
        <w:pStyle w:val="aDef"/>
      </w:pPr>
      <w:r w:rsidRPr="006364FA">
        <w:rPr>
          <w:rStyle w:val="charBoldItals"/>
        </w:rPr>
        <w:t>attached</w:t>
      </w:r>
      <w:r>
        <w:t xml:space="preserve"> to a document includes incorporated into the document.</w:t>
      </w:r>
    </w:p>
    <w:p w14:paraId="44F08135" w14:textId="77777777" w:rsidR="00B547E8" w:rsidRPr="00A60754" w:rsidRDefault="00B547E8" w:rsidP="00B547E8">
      <w:pPr>
        <w:pStyle w:val="aDef"/>
      </w:pPr>
      <w:r w:rsidRPr="00A60754">
        <w:rPr>
          <w:rStyle w:val="charBoldItals"/>
        </w:rPr>
        <w:t>Australia</w:t>
      </w:r>
      <w:r w:rsidRPr="00A60754">
        <w:t>, for division 6.8.9 (Service out of Australia)—see rule 6500.</w:t>
      </w:r>
    </w:p>
    <w:p w14:paraId="5999A1A6" w14:textId="77777777" w:rsidR="00D94935" w:rsidRDefault="00D94935" w:rsidP="00D94935">
      <w:pPr>
        <w:pStyle w:val="aDef"/>
      </w:pPr>
      <w:r w:rsidRPr="006364FA">
        <w:rPr>
          <w:rStyle w:val="charBoldItals"/>
        </w:rPr>
        <w:t>Australian court</w:t>
      </w:r>
      <w:r>
        <w:t>, for division 6.10.9 (Taking evidence for Australian and foreign courts and tribunals)—see rule 6840.</w:t>
      </w:r>
    </w:p>
    <w:p w14:paraId="75DB3D82" w14:textId="77777777" w:rsidR="00D94935" w:rsidRDefault="00D94935" w:rsidP="00D94935">
      <w:pPr>
        <w:pStyle w:val="aDef"/>
      </w:pPr>
      <w:r w:rsidRPr="006364FA">
        <w:rPr>
          <w:rStyle w:val="charBoldItals"/>
        </w:rPr>
        <w:t>authorised DX system</w:t>
      </w:r>
      <w:r>
        <w:t xml:space="preserve"> means the document exchange approved by practice note.</w:t>
      </w:r>
    </w:p>
    <w:p w14:paraId="76D3AD1E" w14:textId="2A26FDC5" w:rsidR="00D94935" w:rsidRDefault="00D94935" w:rsidP="00D94935">
      <w:pPr>
        <w:pStyle w:val="aDef"/>
      </w:pPr>
      <w:r w:rsidRPr="006364FA">
        <w:rPr>
          <w:rStyle w:val="charBoldItals"/>
        </w:rPr>
        <w:t>bailiff</w:t>
      </w:r>
      <w:r>
        <w:t xml:space="preserve">—see the </w:t>
      </w:r>
      <w:hyperlink r:id="rId1217" w:tooltip="A1930-21" w:history="1">
        <w:r w:rsidRPr="006364FA">
          <w:rPr>
            <w:rStyle w:val="charCitHyperlinkItal"/>
          </w:rPr>
          <w:t>Magistrates Court Act 1930</w:t>
        </w:r>
      </w:hyperlink>
      <w:r>
        <w:t>, dictionary.</w:t>
      </w:r>
    </w:p>
    <w:p w14:paraId="31A552B5" w14:textId="77777777"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14:paraId="2E62B881" w14:textId="64C1D4D4" w:rsidR="00D94935" w:rsidRPr="00AD5834" w:rsidRDefault="00D94935" w:rsidP="00D94935">
      <w:pPr>
        <w:pStyle w:val="aDef"/>
      </w:pPr>
      <w:r w:rsidRPr="006364FA">
        <w:rPr>
          <w:rStyle w:val="charBoldItals"/>
        </w:rPr>
        <w:t>business</w:t>
      </w:r>
      <w:r w:rsidRPr="00AD5834">
        <w:t xml:space="preserve">—see the </w:t>
      </w:r>
      <w:hyperlink r:id="rId1218" w:tooltip="Act 2011 No 126 (Cwlth)" w:history="1">
        <w:r w:rsidRPr="00374CAC">
          <w:rPr>
            <w:rStyle w:val="charCitHyperlinkItal"/>
          </w:rPr>
          <w:t>Business Names Registration Act 2011</w:t>
        </w:r>
      </w:hyperlink>
      <w:r w:rsidRPr="00AD5834">
        <w:t xml:space="preserve"> (Cwlth), section 4.</w:t>
      </w:r>
    </w:p>
    <w:p w14:paraId="1C4D0309" w14:textId="7BBB5B07" w:rsidR="00D94935" w:rsidRPr="00AD5834" w:rsidRDefault="00D94935" w:rsidP="00D94935">
      <w:pPr>
        <w:pStyle w:val="aDef"/>
      </w:pPr>
      <w:r w:rsidRPr="006364FA">
        <w:rPr>
          <w:rStyle w:val="charBoldItals"/>
        </w:rPr>
        <w:t>business name</w:t>
      </w:r>
      <w:r w:rsidRPr="00AD5834">
        <w:t xml:space="preserve">—see the </w:t>
      </w:r>
      <w:hyperlink r:id="rId1219" w:tooltip="Act 2011 No 126 (Cwlth)" w:history="1">
        <w:r w:rsidRPr="00374CAC">
          <w:rPr>
            <w:rStyle w:val="charCitHyperlinkItal"/>
          </w:rPr>
          <w:t>Business Names Registration Act 2011</w:t>
        </w:r>
      </w:hyperlink>
      <w:r w:rsidRPr="00AD5834">
        <w:t xml:space="preserve"> (Cwlth), section 3.</w:t>
      </w:r>
    </w:p>
    <w:p w14:paraId="517A1F66" w14:textId="6346B545" w:rsidR="00D94935" w:rsidRPr="00AD5834" w:rsidRDefault="00D94935" w:rsidP="00D94935">
      <w:pPr>
        <w:pStyle w:val="aDef"/>
      </w:pPr>
      <w:r w:rsidRPr="006364FA">
        <w:rPr>
          <w:rStyle w:val="charBoldItals"/>
        </w:rPr>
        <w:t>carrying on</w:t>
      </w:r>
      <w:r w:rsidRPr="00AD5834">
        <w:t xml:space="preserve">, a business—see the </w:t>
      </w:r>
      <w:hyperlink r:id="rId1220"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14:paraId="55136F8F" w14:textId="77777777"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14:paraId="65ABA32E" w14:textId="77777777"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14:paraId="049FFA93" w14:textId="77777777" w:rsidR="00D94935" w:rsidRDefault="00D94935" w:rsidP="00D94935">
      <w:pPr>
        <w:pStyle w:val="aDef"/>
      </w:pPr>
      <w:r w:rsidRPr="006364FA">
        <w:rPr>
          <w:rStyle w:val="charBoldItals"/>
        </w:rPr>
        <w:t>caveator</w:t>
      </w:r>
      <w:r>
        <w:t>, for division 3.1.7 (Caveats)—see rule 3065.</w:t>
      </w:r>
    </w:p>
    <w:p w14:paraId="085C8B3C" w14:textId="77777777" w:rsidR="00D94935" w:rsidRPr="00403BD1" w:rsidRDefault="00D94935" w:rsidP="00D94935">
      <w:pPr>
        <w:pStyle w:val="aDef"/>
      </w:pPr>
      <w:r w:rsidRPr="000F5994">
        <w:rPr>
          <w:rStyle w:val="charBoldItals"/>
        </w:rPr>
        <w:t>central authority</w:t>
      </w:r>
      <w:r w:rsidRPr="00403BD1">
        <w:t>, for division 6.8.12 (Service under the Hague Convention)—see rule 6550.</w:t>
      </w:r>
    </w:p>
    <w:p w14:paraId="61562841" w14:textId="77777777"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14:paraId="41532CF1" w14:textId="77777777"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14:paraId="2EEFDF89" w14:textId="77777777" w:rsidR="00D94935" w:rsidRDefault="00D94935" w:rsidP="00D94935">
      <w:pPr>
        <w:pStyle w:val="aDef"/>
      </w:pPr>
      <w:r w:rsidRPr="006364FA">
        <w:rPr>
          <w:rStyle w:val="charBoldItals"/>
        </w:rPr>
        <w:t>certiorari order</w:t>
      </w:r>
      <w:r>
        <w:rPr>
          <w:bCs/>
          <w:iCs/>
        </w:rPr>
        <w:t>, for part 3.10 (Judicial review)—</w:t>
      </w:r>
      <w:r>
        <w:t>see rule 3550.</w:t>
      </w:r>
    </w:p>
    <w:p w14:paraId="435F5745" w14:textId="77777777" w:rsidR="00D94935" w:rsidRDefault="00D94935" w:rsidP="00D94935">
      <w:pPr>
        <w:pStyle w:val="aDef"/>
        <w:rPr>
          <w:color w:val="000000"/>
          <w:lang w:val="en-US"/>
        </w:rPr>
      </w:pPr>
      <w:r w:rsidRPr="006364FA">
        <w:rPr>
          <w:rStyle w:val="charBoldItals"/>
        </w:rPr>
        <w:t>charging order</w:t>
      </w:r>
      <w:r>
        <w:rPr>
          <w:color w:val="000000"/>
          <w:lang w:val="en-US"/>
        </w:rPr>
        <w:t>—see rule 2401.</w:t>
      </w:r>
    </w:p>
    <w:p w14:paraId="3BA3DD5D" w14:textId="77777777" w:rsidR="00D94935" w:rsidRPr="00C754DF" w:rsidRDefault="00D94935" w:rsidP="00D94935">
      <w:pPr>
        <w:pStyle w:val="aDef"/>
      </w:pPr>
      <w:r w:rsidRPr="006B227E">
        <w:rPr>
          <w:rStyle w:val="charBoldItals"/>
        </w:rPr>
        <w:t>civil proceeding</w:t>
      </w:r>
      <w:r w:rsidRPr="00C754DF">
        <w:t xml:space="preserve"> does not include—</w:t>
      </w:r>
    </w:p>
    <w:p w14:paraId="187016D3" w14:textId="77777777" w:rsidR="00D94935" w:rsidRPr="00C754DF" w:rsidRDefault="00D94935" w:rsidP="00D94935">
      <w:pPr>
        <w:pStyle w:val="aDefpara"/>
      </w:pPr>
      <w:r w:rsidRPr="00C754DF">
        <w:tab/>
        <w:t>(a)</w:t>
      </w:r>
      <w:r w:rsidRPr="00C754DF">
        <w:tab/>
        <w:t>a criminal proceeding; or</w:t>
      </w:r>
    </w:p>
    <w:p w14:paraId="1F284E8F" w14:textId="77777777" w:rsidR="00D94935" w:rsidRPr="00C754DF" w:rsidRDefault="00D94935" w:rsidP="00D94935">
      <w:pPr>
        <w:pStyle w:val="aDefpara"/>
      </w:pPr>
      <w:r w:rsidRPr="00C754DF">
        <w:tab/>
        <w:t>(b)</w:t>
      </w:r>
      <w:r w:rsidRPr="00C754DF">
        <w:tab/>
        <w:t>a forensic proceeding.</w:t>
      </w:r>
    </w:p>
    <w:p w14:paraId="685A7660" w14:textId="77777777" w:rsidR="00D94935" w:rsidRPr="006364FA" w:rsidRDefault="00D94935" w:rsidP="00D94935">
      <w:pPr>
        <w:pStyle w:val="aDef"/>
      </w:pPr>
      <w:r>
        <w:rPr>
          <w:rStyle w:val="charBoldItals"/>
        </w:rPr>
        <w:t>claim</w:t>
      </w:r>
      <w:r>
        <w:t>, for part 3.13 (Workers compensation)—see rule 3900.</w:t>
      </w:r>
    </w:p>
    <w:p w14:paraId="717C2414" w14:textId="77777777" w:rsidR="00D94935" w:rsidRDefault="00D94935" w:rsidP="00D94935">
      <w:pPr>
        <w:pStyle w:val="aDef"/>
        <w:keepNext/>
      </w:pPr>
      <w:r w:rsidRPr="006364FA">
        <w:rPr>
          <w:rStyle w:val="charBoldItals"/>
        </w:rPr>
        <w:t>claim for relief</w:t>
      </w:r>
      <w:r>
        <w:t xml:space="preserve"> includes—</w:t>
      </w:r>
    </w:p>
    <w:p w14:paraId="4280FFFD" w14:textId="77777777" w:rsidR="00D94935" w:rsidRDefault="00D94935" w:rsidP="00D94935">
      <w:pPr>
        <w:pStyle w:val="aDefpara"/>
        <w:keepNext/>
      </w:pPr>
      <w:r>
        <w:tab/>
        <w:t>(a)</w:t>
      </w:r>
      <w:r>
        <w:tab/>
        <w:t>a claim for possession of land; and</w:t>
      </w:r>
    </w:p>
    <w:p w14:paraId="69E955F7" w14:textId="77777777" w:rsidR="00D94935" w:rsidRDefault="00D94935" w:rsidP="00D94935">
      <w:pPr>
        <w:pStyle w:val="aDefpara"/>
      </w:pPr>
      <w:r>
        <w:tab/>
        <w:t>(b)</w:t>
      </w:r>
      <w:r>
        <w:tab/>
        <w:t>a claim for delivery of goods; and</w:t>
      </w:r>
    </w:p>
    <w:p w14:paraId="3793C264" w14:textId="77777777" w:rsidR="00D94935" w:rsidRDefault="00D94935" w:rsidP="00D94935">
      <w:pPr>
        <w:pStyle w:val="aDefpara"/>
      </w:pPr>
      <w:r>
        <w:tab/>
        <w:t>(c)</w:t>
      </w:r>
      <w:r>
        <w:tab/>
        <w:t>a claim for the recovery of damages or another amount; and</w:t>
      </w:r>
    </w:p>
    <w:p w14:paraId="3A95521E" w14:textId="77777777" w:rsidR="00D94935" w:rsidRDefault="00D94935" w:rsidP="00D94935">
      <w:pPr>
        <w:pStyle w:val="aDefpara"/>
      </w:pPr>
      <w:r>
        <w:tab/>
        <w:t>(d)</w:t>
      </w:r>
      <w:r>
        <w:tab/>
        <w:t>a claim for a declaration of right; and</w:t>
      </w:r>
    </w:p>
    <w:p w14:paraId="0D7C0FEF" w14:textId="77777777" w:rsidR="00D94935" w:rsidRDefault="00D94935" w:rsidP="00D94935">
      <w:pPr>
        <w:pStyle w:val="aDefpara"/>
      </w:pPr>
      <w:r>
        <w:tab/>
        <w:t>(e)</w:t>
      </w:r>
      <w:r>
        <w:tab/>
        <w:t>a claim for the decision of the court on any issue; and</w:t>
      </w:r>
    </w:p>
    <w:p w14:paraId="6B7BFECA" w14:textId="77777777" w:rsidR="00D94935" w:rsidRDefault="00D94935" w:rsidP="00D94935">
      <w:pPr>
        <w:pStyle w:val="aDefpara"/>
      </w:pPr>
      <w:r>
        <w:tab/>
        <w:t>(f)</w:t>
      </w:r>
      <w:r>
        <w:tab/>
        <w:t>any other claim (whether legal, equitable or otherwise) that is justiciable in the court.</w:t>
      </w:r>
    </w:p>
    <w:p w14:paraId="0EEA89B7" w14:textId="77777777" w:rsidR="00D94935" w:rsidRDefault="00D94935" w:rsidP="00D94935">
      <w:pPr>
        <w:pStyle w:val="aDef"/>
      </w:pPr>
      <w:r w:rsidRPr="006364FA">
        <w:rPr>
          <w:rStyle w:val="charBoldItals"/>
        </w:rPr>
        <w:t>code of conduct</w:t>
      </w:r>
      <w:r>
        <w:t>, for part 2.12 (Expert evidence)—see rule 1201.</w:t>
      </w:r>
    </w:p>
    <w:p w14:paraId="56B1EE8C" w14:textId="77777777" w:rsidR="00D94935" w:rsidRDefault="00D94935" w:rsidP="00D94935">
      <w:pPr>
        <w:pStyle w:val="aDef"/>
      </w:pPr>
      <w:r w:rsidRPr="006364FA">
        <w:rPr>
          <w:rStyle w:val="charBoldItals"/>
        </w:rPr>
        <w:t>Commercial Arbitration Act</w:t>
      </w:r>
      <w:r>
        <w:rPr>
          <w:bCs/>
          <w:iCs/>
        </w:rPr>
        <w:t>, for part 3.3 (Commercial arbitration)—</w:t>
      </w:r>
      <w:r>
        <w:t>see rule 3250.</w:t>
      </w:r>
    </w:p>
    <w:p w14:paraId="03194C20" w14:textId="77777777"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14:paraId="7C8A243D" w14:textId="77777777"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14:paraId="5A9D3657" w14:textId="77777777" w:rsidR="00D94935" w:rsidRDefault="00D94935" w:rsidP="00D94935">
      <w:pPr>
        <w:pStyle w:val="aDef"/>
      </w:pPr>
      <w:r w:rsidRPr="006364FA">
        <w:rPr>
          <w:rStyle w:val="charBoldItals"/>
        </w:rPr>
        <w:t>condition</w:t>
      </w:r>
      <w:r>
        <w:t xml:space="preserve"> includes term.</w:t>
      </w:r>
    </w:p>
    <w:p w14:paraId="5C3A9406" w14:textId="77777777"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14:paraId="4E4DA403" w14:textId="77777777" w:rsidR="00D94935" w:rsidRDefault="00D94935" w:rsidP="00D94935">
      <w:pPr>
        <w:pStyle w:val="aExamHdgss"/>
      </w:pPr>
      <w:r>
        <w:t>Example of equivalent of money</w:t>
      </w:r>
    </w:p>
    <w:p w14:paraId="1399EE45" w14:textId="77777777" w:rsidR="00D94935" w:rsidRDefault="00D94935" w:rsidP="00D94935">
      <w:pPr>
        <w:pStyle w:val="aExamss"/>
        <w:keepNext/>
      </w:pPr>
      <w:r>
        <w:t>prepaid travel</w:t>
      </w:r>
    </w:p>
    <w:p w14:paraId="1356851E" w14:textId="15B8B942" w:rsidR="00D94935" w:rsidRPr="006364FA" w:rsidRDefault="00D94935" w:rsidP="00D94935">
      <w:pPr>
        <w:pStyle w:val="aDef"/>
      </w:pPr>
      <w:r>
        <w:rPr>
          <w:rStyle w:val="charBoldItals"/>
        </w:rPr>
        <w:t>contractor</w:t>
      </w:r>
      <w:r>
        <w:t xml:space="preserve">, for part 3.13 (Workers compensation)—see the </w:t>
      </w:r>
      <w:hyperlink r:id="rId1221" w:tooltip="A1951-2" w:history="1">
        <w:r w:rsidRPr="00E95F50">
          <w:rPr>
            <w:rStyle w:val="charCitHyperlinkAbbrev"/>
          </w:rPr>
          <w:t>Workers Compensation Act</w:t>
        </w:r>
      </w:hyperlink>
      <w:r>
        <w:t>, section 13 (Subcontracting).</w:t>
      </w:r>
    </w:p>
    <w:p w14:paraId="793D7E47" w14:textId="77777777"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14:paraId="47225457" w14:textId="77777777" w:rsidR="00D94935" w:rsidRDefault="00D94935" w:rsidP="00D94935">
      <w:pPr>
        <w:pStyle w:val="aDef"/>
      </w:pPr>
      <w:r w:rsidRPr="006364FA">
        <w:rPr>
          <w:rStyle w:val="charBoldItals"/>
        </w:rPr>
        <w:t>convicted person’s application</w:t>
      </w:r>
      <w:r>
        <w:t>, for part 5.8 (Written cases)—see rule</w:t>
      </w:r>
      <w:r w:rsidR="00E07EF9">
        <w:t> </w:t>
      </w:r>
      <w:r>
        <w:t>5850.</w:t>
      </w:r>
    </w:p>
    <w:p w14:paraId="0B0A72D6" w14:textId="77777777" w:rsidR="00D94935" w:rsidRDefault="00D94935" w:rsidP="00D94935">
      <w:pPr>
        <w:pStyle w:val="aDef"/>
        <w:keepNext/>
      </w:pPr>
      <w:r w:rsidRPr="006364FA">
        <w:rPr>
          <w:rStyle w:val="charBoldItals"/>
        </w:rPr>
        <w:t>conviction</w:t>
      </w:r>
      <w:r>
        <w:t>—</w:t>
      </w:r>
    </w:p>
    <w:p w14:paraId="2AE43E6E" w14:textId="77777777" w:rsidR="00D94935" w:rsidRDefault="00D94935" w:rsidP="00D94935">
      <w:pPr>
        <w:pStyle w:val="aDefpara"/>
        <w:rPr>
          <w:lang w:val="en-US"/>
        </w:rPr>
      </w:pPr>
      <w:r>
        <w:rPr>
          <w:lang w:val="en-US"/>
        </w:rPr>
        <w:tab/>
        <w:t>(a)</w:t>
      </w:r>
      <w:r>
        <w:rPr>
          <w:lang w:val="en-US"/>
        </w:rPr>
        <w:tab/>
        <w:t>for part 4.2 (Magistrates Court criminal proceedings)—see rule 4300; and</w:t>
      </w:r>
    </w:p>
    <w:p w14:paraId="113BCEC4" w14:textId="77777777" w:rsidR="00D94935" w:rsidRDefault="00D94935" w:rsidP="00D94935">
      <w:pPr>
        <w:pStyle w:val="aDefpara"/>
      </w:pPr>
      <w:r>
        <w:tab/>
        <w:t>(b)</w:t>
      </w:r>
      <w:r>
        <w:tab/>
        <w:t>for chapter 5 (Appellate proceedings)—see rule 5000.</w:t>
      </w:r>
    </w:p>
    <w:p w14:paraId="3E77EFA6" w14:textId="77777777"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14:paraId="1A3180DC" w14:textId="77777777"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14:paraId="78292B52" w14:textId="77777777" w:rsidR="00D94935" w:rsidRDefault="00D94935" w:rsidP="00D94935">
      <w:pPr>
        <w:pStyle w:val="aDef"/>
      </w:pPr>
      <w:r w:rsidRPr="006364FA">
        <w:rPr>
          <w:rStyle w:val="charBoldItals"/>
        </w:rPr>
        <w:t>correctional institution</w:t>
      </w:r>
      <w:r>
        <w:t xml:space="preserve"> includes a NSW correctional institution.</w:t>
      </w:r>
    </w:p>
    <w:p w14:paraId="5E6FD9DB" w14:textId="77777777" w:rsidR="00D94935" w:rsidRDefault="00D94935" w:rsidP="00D94935">
      <w:pPr>
        <w:pStyle w:val="aDef"/>
      </w:pPr>
      <w:r w:rsidRPr="006364FA">
        <w:rPr>
          <w:rStyle w:val="charBoldItals"/>
        </w:rPr>
        <w:t>costs of the proceeding</w:t>
      </w:r>
      <w:r>
        <w:rPr>
          <w:bCs/>
          <w:iCs/>
        </w:rPr>
        <w:t>, for a proceeding</w:t>
      </w:r>
      <w:r>
        <w:t>—see rule 1700.</w:t>
      </w:r>
    </w:p>
    <w:p w14:paraId="04058426" w14:textId="77777777" w:rsidR="00D94935" w:rsidRDefault="00D94935" w:rsidP="00D94935">
      <w:pPr>
        <w:pStyle w:val="aDef"/>
        <w:keepNext/>
      </w:pPr>
      <w:r w:rsidRPr="006364FA">
        <w:rPr>
          <w:rStyle w:val="charBoldItals"/>
        </w:rPr>
        <w:t>court</w:t>
      </w:r>
      <w:r>
        <w:t>—</w:t>
      </w:r>
    </w:p>
    <w:p w14:paraId="62AB5442" w14:textId="77777777"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14:paraId="61CC597E" w14:textId="77777777" w:rsidR="00D94935" w:rsidRDefault="00D94935" w:rsidP="00D94935">
      <w:pPr>
        <w:pStyle w:val="aDefpara"/>
      </w:pPr>
      <w:r>
        <w:tab/>
        <w:t>(b)</w:t>
      </w:r>
      <w:r>
        <w:tab/>
        <w:t>for part 5.4 (Appeals to Court of Appeal)—see rule 5300.</w:t>
      </w:r>
    </w:p>
    <w:p w14:paraId="779217BA" w14:textId="77777777" w:rsidR="00D94935" w:rsidRDefault="00D94935" w:rsidP="00D94935">
      <w:pPr>
        <w:pStyle w:val="aDef"/>
      </w:pPr>
      <w:r w:rsidRPr="006364FA">
        <w:rPr>
          <w:rStyle w:val="charBoldItals"/>
        </w:rPr>
        <w:t>court or tribunal</w:t>
      </w:r>
      <w:r>
        <w:t>, for part 5.3 (Appeals to Supreme Court)—see rule 5050.</w:t>
      </w:r>
    </w:p>
    <w:p w14:paraId="3AA53C6C" w14:textId="77777777"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14:paraId="700BCCD4" w14:textId="77777777" w:rsidR="00D94935" w:rsidRDefault="00D94935" w:rsidP="00D94935">
      <w:pPr>
        <w:pStyle w:val="aDefpara"/>
      </w:pPr>
      <w:r>
        <w:tab/>
        <w:t>(a)</w:t>
      </w:r>
      <w:r>
        <w:tab/>
        <w:t>includes—</w:t>
      </w:r>
    </w:p>
    <w:p w14:paraId="0FBDD9CE" w14:textId="77777777" w:rsidR="00D94935" w:rsidRDefault="00D94935" w:rsidP="00D94935">
      <w:pPr>
        <w:pStyle w:val="aDefsubpara"/>
      </w:pPr>
      <w:r>
        <w:tab/>
        <w:t>(i)</w:t>
      </w:r>
      <w:r>
        <w:tab/>
        <w:t>a committal proceeding; and</w:t>
      </w:r>
    </w:p>
    <w:p w14:paraId="01595FD3" w14:textId="77777777" w:rsidR="00D94935" w:rsidRDefault="00D94935" w:rsidP="00D94935">
      <w:pPr>
        <w:pStyle w:val="aDefsubpara"/>
      </w:pPr>
      <w:r>
        <w:tab/>
        <w:t>(ii)</w:t>
      </w:r>
      <w:r>
        <w:tab/>
        <w:t>a proceeding in relation to bail; and</w:t>
      </w:r>
    </w:p>
    <w:p w14:paraId="5CBDC6AA" w14:textId="77777777" w:rsidR="00D94935" w:rsidRDefault="00D94935" w:rsidP="00D94935">
      <w:pPr>
        <w:pStyle w:val="aDefsubpara"/>
      </w:pPr>
      <w:r>
        <w:tab/>
        <w:t>(iii)</w:t>
      </w:r>
      <w:r>
        <w:tab/>
        <w:t>a proceeding in relation to sentence; but</w:t>
      </w:r>
    </w:p>
    <w:p w14:paraId="777B5D9E" w14:textId="77777777" w:rsidR="00D94935" w:rsidRDefault="00D94935" w:rsidP="00D94935">
      <w:pPr>
        <w:pStyle w:val="aDefpara"/>
        <w:keepNext/>
      </w:pPr>
      <w:r>
        <w:tab/>
        <w:t>(b)</w:t>
      </w:r>
      <w:r>
        <w:tab/>
        <w:t>does not include—</w:t>
      </w:r>
    </w:p>
    <w:p w14:paraId="52C37759" w14:textId="77777777" w:rsidR="00D94935" w:rsidRDefault="00D94935" w:rsidP="00D94935">
      <w:pPr>
        <w:pStyle w:val="aDefsubpara"/>
      </w:pPr>
      <w:r>
        <w:tab/>
        <w:t>(i)</w:t>
      </w:r>
      <w:r>
        <w:tab/>
        <w:t>an appellate proceeding; or</w:t>
      </w:r>
    </w:p>
    <w:p w14:paraId="211C1EC6" w14:textId="77777777" w:rsidR="005A670F" w:rsidRPr="00F13970" w:rsidRDefault="005A670F" w:rsidP="005A670F">
      <w:pPr>
        <w:pStyle w:val="Asubpara"/>
      </w:pPr>
      <w:r w:rsidRPr="00F13970">
        <w:tab/>
        <w:t>(ii)</w:t>
      </w:r>
      <w:r w:rsidRPr="00F13970">
        <w:tab/>
        <w:t>in relation to a proceeding in the Supreme Court, for division</w:t>
      </w:r>
      <w:r>
        <w:t> </w:t>
      </w:r>
      <w:r w:rsidRPr="00F13970">
        <w:t>4.1.1A (Criminal proceedings—representation)—an application in relation to bail.</w:t>
      </w:r>
    </w:p>
    <w:p w14:paraId="6D856090" w14:textId="77777777"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14:paraId="30D66887" w14:textId="77777777" w:rsidR="00D94935" w:rsidRDefault="00D94935" w:rsidP="00D94935">
      <w:pPr>
        <w:pStyle w:val="aDef"/>
      </w:pPr>
      <w:r w:rsidRPr="006364FA">
        <w:rPr>
          <w:rStyle w:val="charBoldItals"/>
        </w:rPr>
        <w:t>Cross-vesting Act</w:t>
      </w:r>
      <w:r>
        <w:rPr>
          <w:bCs/>
          <w:iCs/>
        </w:rPr>
        <w:t>, for part 3.5 (Cross-vesting)—see rule 3300.</w:t>
      </w:r>
    </w:p>
    <w:p w14:paraId="2C74D265" w14:textId="77777777" w:rsidR="00D94935" w:rsidRDefault="00D94935" w:rsidP="00D94935">
      <w:pPr>
        <w:pStyle w:val="aDef"/>
      </w:pPr>
      <w:r w:rsidRPr="006364FA">
        <w:rPr>
          <w:rStyle w:val="charBoldItals"/>
        </w:rPr>
        <w:t>cross-vesting law</w:t>
      </w:r>
      <w:r>
        <w:rPr>
          <w:bCs/>
          <w:iCs/>
        </w:rPr>
        <w:t>, for part 3.5 (Cross-vesting)—see rule 3300.</w:t>
      </w:r>
    </w:p>
    <w:p w14:paraId="18B82DE2" w14:textId="77777777" w:rsidR="00D94935" w:rsidRDefault="00D94935" w:rsidP="00D94935">
      <w:pPr>
        <w:pStyle w:val="aDef"/>
      </w:pPr>
      <w:r w:rsidRPr="006364FA">
        <w:rPr>
          <w:rStyle w:val="charBoldItals"/>
        </w:rPr>
        <w:t>custody</w:t>
      </w:r>
      <w:r>
        <w:t>, for part 3.9 (Habeas corpus)—see rule 3500.</w:t>
      </w:r>
    </w:p>
    <w:p w14:paraId="6CC4EBA0" w14:textId="77777777" w:rsidR="00D94935" w:rsidRPr="002B175D" w:rsidRDefault="00D94935" w:rsidP="00D94935">
      <w:pPr>
        <w:pStyle w:val="aDef"/>
      </w:pPr>
      <w:r w:rsidRPr="006364FA">
        <w:rPr>
          <w:rStyle w:val="charBoldItals"/>
        </w:rPr>
        <w:t>CYP director-general</w:t>
      </w:r>
      <w:r w:rsidRPr="002B175D">
        <w:t>, for part 3.2 (Adoption)—see rule 3150.</w:t>
      </w:r>
    </w:p>
    <w:p w14:paraId="59903FA0" w14:textId="77777777" w:rsidR="00D94935" w:rsidRDefault="00D94935" w:rsidP="00D94935">
      <w:pPr>
        <w:pStyle w:val="aDef"/>
      </w:pPr>
      <w:r w:rsidRPr="006364FA">
        <w:rPr>
          <w:rStyle w:val="charBoldItals"/>
        </w:rPr>
        <w:t>date of filing</w:t>
      </w:r>
      <w:r>
        <w:t>—see rule 6126 (2).</w:t>
      </w:r>
    </w:p>
    <w:p w14:paraId="0DE5C98D" w14:textId="77777777" w:rsidR="00D94935" w:rsidRDefault="00D94935" w:rsidP="00D94935">
      <w:pPr>
        <w:pStyle w:val="aDef"/>
      </w:pPr>
      <w:r w:rsidRPr="006364FA">
        <w:rPr>
          <w:rStyle w:val="charBoldItals"/>
        </w:rPr>
        <w:t>debt redirection order</w:t>
      </w:r>
      <w:r>
        <w:t>—see rule 2301 (1).</w:t>
      </w:r>
    </w:p>
    <w:p w14:paraId="4371D354" w14:textId="77777777" w:rsidR="00D94935" w:rsidRDefault="00D94935" w:rsidP="00D94935">
      <w:pPr>
        <w:pStyle w:val="aDef"/>
      </w:pPr>
      <w:r w:rsidRPr="006364FA">
        <w:rPr>
          <w:rStyle w:val="charBoldItals"/>
        </w:rPr>
        <w:t>decision</w:t>
      </w:r>
      <w:r>
        <w:t>, for part 5.2 (Appeals from registrar)—see rule 5010.</w:t>
      </w:r>
    </w:p>
    <w:p w14:paraId="00C524B2" w14:textId="77777777" w:rsidR="00D94935" w:rsidRDefault="00D94935" w:rsidP="00D94935">
      <w:pPr>
        <w:pStyle w:val="aDef"/>
      </w:pPr>
      <w:r w:rsidRPr="006364FA">
        <w:rPr>
          <w:rStyle w:val="charBoldItals"/>
        </w:rPr>
        <w:t>defence</w:t>
      </w:r>
      <w:r>
        <w:t>, for chapter 2 (Civil proceedings generally), includes an answer to a counterclaim.</w:t>
      </w:r>
    </w:p>
    <w:p w14:paraId="261D78B6" w14:textId="77777777" w:rsidR="00D94935" w:rsidRPr="00403BD1" w:rsidRDefault="00D94935" w:rsidP="00D94935">
      <w:pPr>
        <w:pStyle w:val="aDef"/>
        <w:keepNext/>
      </w:pPr>
      <w:r w:rsidRPr="000F5994">
        <w:rPr>
          <w:rStyle w:val="charBoldItals"/>
        </w:rPr>
        <w:t>defendant</w:t>
      </w:r>
      <w:r w:rsidRPr="00403BD1">
        <w:t>—</w:t>
      </w:r>
    </w:p>
    <w:p w14:paraId="53ACB2DD" w14:textId="77777777" w:rsidR="00D94935" w:rsidRPr="00403BD1" w:rsidRDefault="00D94935" w:rsidP="00D94935">
      <w:pPr>
        <w:pStyle w:val="aDefpara"/>
      </w:pPr>
      <w:r w:rsidRPr="00403BD1">
        <w:tab/>
        <w:t>(a)</w:t>
      </w:r>
      <w:r w:rsidRPr="00403BD1">
        <w:tab/>
        <w:t>for these rules generally—see rule 20; and</w:t>
      </w:r>
    </w:p>
    <w:p w14:paraId="235697F9" w14:textId="77777777" w:rsidR="00D94935" w:rsidRPr="00403BD1" w:rsidRDefault="00D94935" w:rsidP="00D94935">
      <w:pPr>
        <w:pStyle w:val="aDefpara"/>
      </w:pPr>
      <w:r w:rsidRPr="00403BD1">
        <w:tab/>
        <w:t>(b)</w:t>
      </w:r>
      <w:r w:rsidRPr="00403BD1">
        <w:tab/>
        <w:t>for division 2.18.17 (Enforcement—arrest warrant for absconding defendants)—see rule 2551; and</w:t>
      </w:r>
    </w:p>
    <w:p w14:paraId="4C10F8C8" w14:textId="77777777" w:rsidR="00D94935" w:rsidRPr="00403BD1" w:rsidRDefault="00D94935" w:rsidP="00D94935">
      <w:pPr>
        <w:pStyle w:val="aDefpara"/>
      </w:pPr>
      <w:r w:rsidRPr="00403BD1">
        <w:lastRenderedPageBreak/>
        <w:tab/>
        <w:t>(c)</w:t>
      </w:r>
      <w:r w:rsidRPr="00403BD1">
        <w:tab/>
        <w:t>for part 3.9 (Habeas corpus)—see rule 3500; and</w:t>
      </w:r>
    </w:p>
    <w:p w14:paraId="29D24A56" w14:textId="65794CB1" w:rsidR="005A670F" w:rsidRPr="00F13970" w:rsidRDefault="005A670F" w:rsidP="005A670F">
      <w:pPr>
        <w:pStyle w:val="aDefpara"/>
      </w:pPr>
      <w:r w:rsidRPr="00F13970">
        <w:tab/>
        <w:t>(</w:t>
      </w:r>
      <w:r w:rsidR="00FA7132">
        <w:t>d</w:t>
      </w:r>
      <w:r w:rsidRPr="00F13970">
        <w:t>)</w:t>
      </w:r>
      <w:r w:rsidRPr="00F13970">
        <w:tab/>
        <w:t>for division</w:t>
      </w:r>
      <w:r>
        <w:t xml:space="preserve"> </w:t>
      </w:r>
      <w:r w:rsidRPr="00F13970">
        <w:t>4.1.1A (Criminal proceedings—representation)—see</w:t>
      </w:r>
      <w:r>
        <w:t xml:space="preserve"> </w:t>
      </w:r>
      <w:r w:rsidRPr="00F13970">
        <w:t>rule</w:t>
      </w:r>
      <w:r>
        <w:t xml:space="preserve"> </w:t>
      </w:r>
      <w:r w:rsidRPr="00F13970">
        <w:t>4000A</w:t>
      </w:r>
      <w:r w:rsidR="00FA7132">
        <w:t>; and</w:t>
      </w:r>
    </w:p>
    <w:p w14:paraId="4224FBE1" w14:textId="107B5B3F" w:rsidR="00D94935" w:rsidRPr="00403BD1" w:rsidRDefault="00D94935" w:rsidP="00D94935">
      <w:pPr>
        <w:pStyle w:val="aDefpara"/>
        <w:rPr>
          <w:lang w:val="en-US"/>
        </w:rPr>
      </w:pPr>
      <w:r w:rsidRPr="00403BD1">
        <w:tab/>
        <w:t>(</w:t>
      </w:r>
      <w:r w:rsidR="00FA7132">
        <w:t>e</w:t>
      </w:r>
      <w:r w:rsidRPr="00403BD1">
        <w:t>)</w:t>
      </w:r>
      <w:r w:rsidRPr="00403BD1">
        <w:tab/>
      </w:r>
      <w:r w:rsidRPr="00403BD1">
        <w:rPr>
          <w:lang w:val="en-US"/>
        </w:rPr>
        <w:t>for part 4.2 (Magistrates Court criminal proceedings)—see rule 4300; and</w:t>
      </w:r>
    </w:p>
    <w:p w14:paraId="1FDFBDCF" w14:textId="2672A6D6" w:rsidR="00D94935" w:rsidRPr="00403BD1" w:rsidRDefault="00D94935" w:rsidP="00D94935">
      <w:pPr>
        <w:pStyle w:val="aDefpara"/>
      </w:pPr>
      <w:r w:rsidRPr="00403BD1">
        <w:tab/>
        <w:t>(</w:t>
      </w:r>
      <w:r w:rsidR="00FA7132">
        <w:t>f</w:t>
      </w:r>
      <w:r w:rsidRPr="00403BD1">
        <w:t>)</w:t>
      </w:r>
      <w:r w:rsidRPr="00403BD1">
        <w:tab/>
        <w:t>for division 6.8.12 (Service under the Hague Convention)—see rule 6550; and</w:t>
      </w:r>
    </w:p>
    <w:p w14:paraId="65816438" w14:textId="4E7F5923" w:rsidR="00D94935" w:rsidRPr="00403BD1" w:rsidRDefault="00D94935" w:rsidP="00D94935">
      <w:pPr>
        <w:pStyle w:val="aDefpara"/>
      </w:pPr>
      <w:r w:rsidRPr="00403BD1">
        <w:tab/>
        <w:t>(</w:t>
      </w:r>
      <w:r w:rsidR="00FA7132">
        <w:t>g</w:t>
      </w:r>
      <w:r w:rsidRPr="00403BD1">
        <w:t>)</w:t>
      </w:r>
      <w:r w:rsidRPr="00403BD1">
        <w:tab/>
        <w:t xml:space="preserve">for schedule 6 (Corporations </w:t>
      </w:r>
      <w:r>
        <w:t>Rules</w:t>
      </w:r>
      <w:r w:rsidRPr="00403BD1">
        <w:t>)—see schedule 6, rule 1.5.</w:t>
      </w:r>
    </w:p>
    <w:p w14:paraId="2FEEB720" w14:textId="77777777"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14:paraId="73F406FC" w14:textId="77777777" w:rsidR="00D94935" w:rsidRDefault="00D94935" w:rsidP="00D94935">
      <w:pPr>
        <w:pStyle w:val="aDef"/>
      </w:pPr>
      <w:r w:rsidRPr="006364FA">
        <w:rPr>
          <w:rStyle w:val="charBoldItals"/>
        </w:rPr>
        <w:t>described</w:t>
      </w:r>
      <w:r>
        <w:t>, for subdivision 2.9.4.3 (Search orders)—see rule 750.</w:t>
      </w:r>
    </w:p>
    <w:p w14:paraId="73BCF2DF" w14:textId="41F6B457" w:rsidR="00D94935" w:rsidRDefault="00D94935" w:rsidP="00D94935">
      <w:pPr>
        <w:pStyle w:val="aDef"/>
        <w:keepNext/>
      </w:pPr>
      <w:r>
        <w:rPr>
          <w:rStyle w:val="charBoldItals"/>
        </w:rPr>
        <w:t>director of public prosecutions</w:t>
      </w:r>
      <w:r>
        <w:t xml:space="preserve"> includes the Director of Public Prosecutions under the </w:t>
      </w:r>
      <w:hyperlink r:id="rId1222" w:tooltip="Act 1983 No 113 (Cwlth)" w:history="1">
        <w:r w:rsidRPr="00B64182">
          <w:rPr>
            <w:rStyle w:val="charCitHyperlinkItal"/>
          </w:rPr>
          <w:t>Director of Public Prosecutions Act 1983</w:t>
        </w:r>
      </w:hyperlink>
      <w:r>
        <w:t xml:space="preserve"> (Cwlth).</w:t>
      </w:r>
    </w:p>
    <w:p w14:paraId="32BE42A2" w14:textId="59B646AB"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23" w:tooltip="A2001-14" w:history="1">
        <w:r w:rsidRPr="006364FA">
          <w:rPr>
            <w:rStyle w:val="charCitHyperlinkAbbrev"/>
          </w:rPr>
          <w:t>Legislation Act</w:t>
        </w:r>
      </w:hyperlink>
      <w:r>
        <w:t>, dict, pt</w:t>
      </w:r>
      <w:r w:rsidR="000D1383">
        <w:t> </w:t>
      </w:r>
      <w:r>
        <w:t xml:space="preserve">1 as the Director of Public Prosecutions under the </w:t>
      </w:r>
      <w:hyperlink r:id="rId1224" w:tooltip="A1990-22" w:history="1">
        <w:r w:rsidRPr="006364FA">
          <w:rPr>
            <w:rStyle w:val="charCitHyperlinkItal"/>
          </w:rPr>
          <w:t>Director of Public Prosecutions Act 1990</w:t>
        </w:r>
      </w:hyperlink>
      <w:r>
        <w:t>.  This definition extends the definition to include the Cwlth director.</w:t>
      </w:r>
    </w:p>
    <w:p w14:paraId="480F10CD" w14:textId="77777777" w:rsidR="00D94935" w:rsidRDefault="00D94935" w:rsidP="00D94935">
      <w:pPr>
        <w:pStyle w:val="aDef"/>
      </w:pPr>
      <w:r w:rsidRPr="006364FA">
        <w:rPr>
          <w:rStyle w:val="charBoldItals"/>
        </w:rPr>
        <w:t>discharging order</w:t>
      </w:r>
      <w:r>
        <w:t>, for part 3.2 (Adoption)—see rule 3150.</w:t>
      </w:r>
    </w:p>
    <w:p w14:paraId="05045B0C" w14:textId="77777777" w:rsidR="00D94935" w:rsidRDefault="00D94935" w:rsidP="00D94935">
      <w:pPr>
        <w:pStyle w:val="aDef"/>
      </w:pPr>
      <w:r w:rsidRPr="006364FA">
        <w:rPr>
          <w:rStyle w:val="charBoldItals"/>
        </w:rPr>
        <w:t>discoverable document</w:t>
      </w:r>
      <w:r>
        <w:t>, for part 2.8 (Disclosure)—see rule 600.</w:t>
      </w:r>
    </w:p>
    <w:p w14:paraId="13259548" w14:textId="77777777" w:rsidR="00D94935" w:rsidRPr="006364FA" w:rsidRDefault="00D94935" w:rsidP="00D94935">
      <w:pPr>
        <w:pStyle w:val="aDef"/>
      </w:pPr>
      <w:r w:rsidRPr="006364FA">
        <w:rPr>
          <w:rStyle w:val="charBoldItals"/>
        </w:rPr>
        <w:t>dispensing order</w:t>
      </w:r>
      <w:r>
        <w:t>, for part 3.2 (Adoption)—see rule 3150.</w:t>
      </w:r>
    </w:p>
    <w:p w14:paraId="23DCAE4B" w14:textId="77777777"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14:paraId="6417437E" w14:textId="77777777" w:rsidR="00D94935" w:rsidRPr="006364FA" w:rsidRDefault="00D94935" w:rsidP="00D94935">
      <w:pPr>
        <w:pStyle w:val="aDef"/>
      </w:pPr>
      <w:r w:rsidRPr="006364FA">
        <w:rPr>
          <w:rStyle w:val="charBoldItals"/>
        </w:rPr>
        <w:t>division 2.9.4 order</w:t>
      </w:r>
      <w:r>
        <w:t>—see rule 725.</w:t>
      </w:r>
    </w:p>
    <w:p w14:paraId="6B852737" w14:textId="77777777"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14:paraId="69D4D326" w14:textId="77777777" w:rsidR="00D94935" w:rsidRDefault="00D94935" w:rsidP="00D94935">
      <w:pPr>
        <w:pStyle w:val="aDef"/>
      </w:pPr>
      <w:r w:rsidRPr="006364FA">
        <w:rPr>
          <w:rStyle w:val="charBoldItals"/>
        </w:rPr>
        <w:t>document</w:t>
      </w:r>
      <w:r>
        <w:t>, for part 2.8 (Disclosure)—see rule 600.</w:t>
      </w:r>
    </w:p>
    <w:p w14:paraId="24B54860" w14:textId="77777777"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14:paraId="59A6501C" w14:textId="77777777"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14:paraId="5C5C15B7" w14:textId="77777777" w:rsidR="00D94935" w:rsidRDefault="00D94935" w:rsidP="00D94935">
      <w:pPr>
        <w:pStyle w:val="aDef"/>
      </w:pPr>
      <w:r w:rsidRPr="006364FA">
        <w:rPr>
          <w:rStyle w:val="charBoldItals"/>
        </w:rPr>
        <w:t>earnings redirection order</w:t>
      </w:r>
      <w:r>
        <w:t>—see rule 2350.</w:t>
      </w:r>
    </w:p>
    <w:p w14:paraId="53B9FBA0" w14:textId="0739D725" w:rsidR="00D94935" w:rsidRDefault="00D94935" w:rsidP="00D94935">
      <w:pPr>
        <w:pStyle w:val="aDef"/>
        <w:rPr>
          <w:lang w:val="en-US"/>
        </w:rPr>
      </w:pPr>
      <w:r w:rsidRPr="006364FA">
        <w:rPr>
          <w:rStyle w:val="charBoldItals"/>
        </w:rPr>
        <w:t>election application</w:t>
      </w:r>
      <w:r>
        <w:t>, for part 3.6 (Electoral matters)—see rule</w:t>
      </w:r>
      <w:r w:rsidR="00D27746">
        <w:t> </w:t>
      </w:r>
      <w:r>
        <w:t>3350.</w:t>
      </w:r>
    </w:p>
    <w:p w14:paraId="20F7036A" w14:textId="77777777" w:rsidR="00D94935" w:rsidRDefault="00D94935" w:rsidP="00D94935">
      <w:pPr>
        <w:pStyle w:val="aDef"/>
        <w:rPr>
          <w:lang w:val="en-US"/>
        </w:rPr>
      </w:pPr>
      <w:r w:rsidRPr="006364FA">
        <w:rPr>
          <w:rStyle w:val="charBoldItals"/>
        </w:rPr>
        <w:t>Electoral Act</w:t>
      </w:r>
      <w:r>
        <w:t>, for part 3.6 (Electoral matters)—see rule 3350.</w:t>
      </w:r>
    </w:p>
    <w:p w14:paraId="5539F7F1" w14:textId="77777777" w:rsidR="00D27746" w:rsidRPr="00C1177F" w:rsidRDefault="00D27746" w:rsidP="00D27746">
      <w:pPr>
        <w:pStyle w:val="aDef"/>
      </w:pPr>
      <w:r w:rsidRPr="00402888">
        <w:rPr>
          <w:rStyle w:val="charBoldItals"/>
        </w:rPr>
        <w:t>electronic lodgment facility</w:t>
      </w:r>
      <w:r w:rsidRPr="00C1177F">
        <w:rPr>
          <w:bCs/>
          <w:iCs/>
        </w:rPr>
        <w:t xml:space="preserve"> means an electronic system managed by the court that allows for the electronic lodgment of documents with the court.</w:t>
      </w:r>
    </w:p>
    <w:p w14:paraId="3F4ACEA0" w14:textId="77777777"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14:paraId="33E5B727" w14:textId="77777777"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14:paraId="0EB023A5" w14:textId="77777777" w:rsidR="00D94935" w:rsidRDefault="00D94935" w:rsidP="00D94935">
      <w:pPr>
        <w:pStyle w:val="aDef"/>
      </w:pPr>
      <w:r w:rsidRPr="006364FA">
        <w:rPr>
          <w:rStyle w:val="charBoldItals"/>
        </w:rPr>
        <w:t>enforceable money order</w:t>
      </w:r>
      <w:r>
        <w:t>, of the court</w:t>
      </w:r>
      <w:r>
        <w:rPr>
          <w:color w:val="000000"/>
          <w:lang w:val="en-US"/>
        </w:rPr>
        <w:t>—see rule 2000.</w:t>
      </w:r>
    </w:p>
    <w:p w14:paraId="16542791" w14:textId="77777777"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14:paraId="357EA91D" w14:textId="77777777"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14:paraId="572A834B" w14:textId="77777777"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14:paraId="14FBB236" w14:textId="77777777" w:rsidR="00D94935" w:rsidRDefault="00D94935" w:rsidP="00D94935">
      <w:pPr>
        <w:pStyle w:val="aDef"/>
      </w:pPr>
      <w:r w:rsidRPr="006364FA">
        <w:rPr>
          <w:rStyle w:val="charBoldItals"/>
        </w:rPr>
        <w:t>enforcement hearing subpoena</w:t>
      </w:r>
      <w:r>
        <w:rPr>
          <w:bCs/>
          <w:iCs/>
        </w:rPr>
        <w:t xml:space="preserve">, </w:t>
      </w:r>
      <w:r>
        <w:t>for part 2.18 (Enforcement)—see rule 2000.</w:t>
      </w:r>
    </w:p>
    <w:p w14:paraId="16F06C8E" w14:textId="77777777"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14:paraId="20813A23" w14:textId="77777777" w:rsidR="00D94935" w:rsidRDefault="00D94935" w:rsidP="00D94935">
      <w:pPr>
        <w:pStyle w:val="aDef"/>
        <w:rPr>
          <w:lang w:val="en-US"/>
        </w:rPr>
      </w:pPr>
      <w:r w:rsidRPr="006364FA">
        <w:rPr>
          <w:rStyle w:val="charBoldItals"/>
        </w:rPr>
        <w:t>enforcement officer</w:t>
      </w:r>
      <w:r>
        <w:t>—see rule 2000.</w:t>
      </w:r>
    </w:p>
    <w:p w14:paraId="18A00D2F" w14:textId="77777777" w:rsidR="00D94935" w:rsidRDefault="00D94935" w:rsidP="00D94935">
      <w:pPr>
        <w:pStyle w:val="aDef"/>
      </w:pPr>
      <w:r w:rsidRPr="006364FA">
        <w:rPr>
          <w:rStyle w:val="charBoldItals"/>
        </w:rPr>
        <w:t>enforcement order</w:t>
      </w:r>
      <w:r>
        <w:t>, of the court</w:t>
      </w:r>
      <w:r>
        <w:rPr>
          <w:color w:val="000000"/>
          <w:lang w:val="en-US"/>
        </w:rPr>
        <w:t>—see rule 2000.</w:t>
      </w:r>
    </w:p>
    <w:p w14:paraId="4F268DF4" w14:textId="77777777" w:rsidR="00D94935" w:rsidRDefault="00D94935" w:rsidP="00D94935">
      <w:pPr>
        <w:pStyle w:val="aDef"/>
        <w:keepNext/>
        <w:rPr>
          <w:bCs/>
          <w:iCs/>
        </w:rPr>
      </w:pPr>
      <w:r w:rsidRPr="006364FA">
        <w:rPr>
          <w:rStyle w:val="charBoldItals"/>
        </w:rPr>
        <w:lastRenderedPageBreak/>
        <w:t>estate</w:t>
      </w:r>
      <w:r>
        <w:rPr>
          <w:bCs/>
          <w:iCs/>
        </w:rPr>
        <w:t>—</w:t>
      </w:r>
    </w:p>
    <w:p w14:paraId="1520A73B" w14:textId="77777777" w:rsidR="00D94935" w:rsidRDefault="00D94935" w:rsidP="0001712F">
      <w:pPr>
        <w:pStyle w:val="aDefpara"/>
        <w:keepNext/>
      </w:pPr>
      <w:r>
        <w:tab/>
        <w:t>(a)</w:t>
      </w:r>
      <w:r>
        <w:tab/>
        <w:t>for division 2.20.4 (Executors, administrators and trustees—accounts and commission)—see rule 2745; and</w:t>
      </w:r>
    </w:p>
    <w:p w14:paraId="20BC30E4" w14:textId="77777777" w:rsidR="00D94935" w:rsidRDefault="00D94935" w:rsidP="00D94935">
      <w:pPr>
        <w:pStyle w:val="aDefpara"/>
      </w:pPr>
      <w:r>
        <w:tab/>
        <w:t>(b)</w:t>
      </w:r>
      <w:r>
        <w:tab/>
        <w:t>for part 3.1 (Administration and probate)—see rule 3000.</w:t>
      </w:r>
    </w:p>
    <w:p w14:paraId="6EAC65FB" w14:textId="6CA9FA7B" w:rsidR="00D94935" w:rsidRPr="00AD5834" w:rsidRDefault="00D94935" w:rsidP="00D94935">
      <w:pPr>
        <w:pStyle w:val="aDef"/>
      </w:pPr>
      <w:r w:rsidRPr="00AD5834">
        <w:rPr>
          <w:rStyle w:val="charBoldItals"/>
        </w:rPr>
        <w:t>Evidence Act</w:t>
      </w:r>
      <w:r w:rsidRPr="00AD5834">
        <w:t xml:space="preserve"> means the </w:t>
      </w:r>
      <w:hyperlink r:id="rId1225" w:tooltip="A2011-12" w:history="1">
        <w:r w:rsidRPr="006364FA">
          <w:rPr>
            <w:rStyle w:val="charCitHyperlinkItal"/>
          </w:rPr>
          <w:t>Evidence Act 2011</w:t>
        </w:r>
      </w:hyperlink>
      <w:r w:rsidRPr="00AD5834">
        <w:t>.</w:t>
      </w:r>
    </w:p>
    <w:p w14:paraId="66D12F24" w14:textId="77777777"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14:paraId="020A53B8" w14:textId="77777777"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14:paraId="613A72F0" w14:textId="77777777" w:rsidR="00D94935" w:rsidRDefault="00D94935" w:rsidP="00D94935">
      <w:pPr>
        <w:pStyle w:val="aDef"/>
      </w:pPr>
      <w:r w:rsidRPr="006364FA">
        <w:rPr>
          <w:rStyle w:val="charBoldItals"/>
        </w:rPr>
        <w:t>examination summons</w:t>
      </w:r>
      <w:r>
        <w:t>, for schedule 6 (Corporations Rules), part 6.11—see schedule 6, rule 11.1.</w:t>
      </w:r>
    </w:p>
    <w:p w14:paraId="1A584AC4" w14:textId="77777777"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14:paraId="4839090F" w14:textId="77777777"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14:paraId="4F1D65B5" w14:textId="77777777"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14:paraId="35D3A1C1" w14:textId="77777777" w:rsidR="00D94935" w:rsidRDefault="00D94935" w:rsidP="00D94935">
      <w:pPr>
        <w:pStyle w:val="aDef"/>
      </w:pPr>
      <w:r w:rsidRPr="006364FA">
        <w:rPr>
          <w:rStyle w:val="charBoldItals"/>
        </w:rPr>
        <w:t>expert report</w:t>
      </w:r>
      <w:r>
        <w:t>, in relation to a proceeding—see rule 1202.</w:t>
      </w:r>
    </w:p>
    <w:p w14:paraId="12F12A27" w14:textId="77777777" w:rsidR="00D94935" w:rsidRDefault="00D94935" w:rsidP="00D94935">
      <w:pPr>
        <w:pStyle w:val="aDef"/>
      </w:pPr>
      <w:r w:rsidRPr="006364FA">
        <w:rPr>
          <w:rStyle w:val="charBoldItals"/>
        </w:rPr>
        <w:t>expert witness</w:t>
      </w:r>
      <w:r>
        <w:t>, in relation to a proceeding—see rule 1202.</w:t>
      </w:r>
    </w:p>
    <w:p w14:paraId="48EAE71E" w14:textId="73AD64F4"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26" w:tooltip="A2016-42" w:history="1">
        <w:r w:rsidRPr="00906995">
          <w:rPr>
            <w:rStyle w:val="charCitHyperlinkItal"/>
          </w:rPr>
          <w:t>Family Violence Act 2016</w:t>
        </w:r>
      </w:hyperlink>
      <w:r w:rsidRPr="00510424">
        <w:t>.</w:t>
      </w:r>
    </w:p>
    <w:p w14:paraId="76B158A4" w14:textId="77777777"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14:paraId="0CA27741" w14:textId="541E1B26"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 xml:space="preserve">in the court if the document is sent to the court electronically using the </w:t>
      </w:r>
      <w:r w:rsidR="00D27746" w:rsidRPr="00C1177F">
        <w:t>electronic lodgment facility</w:t>
      </w:r>
      <w:r w:rsidRPr="00CE5D4D">
        <w:t>.</w:t>
      </w:r>
    </w:p>
    <w:p w14:paraId="4FC5ACD6" w14:textId="77777777"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14:paraId="6D847EBB" w14:textId="77777777" w:rsidR="00D94935" w:rsidRDefault="00D94935" w:rsidP="00D94935">
      <w:pPr>
        <w:pStyle w:val="aDef"/>
      </w:pPr>
      <w:r w:rsidRPr="006364FA">
        <w:rPr>
          <w:rStyle w:val="charBoldItals"/>
        </w:rPr>
        <w:t>foreign confiscation order</w:t>
      </w:r>
      <w:r>
        <w:t>, for division 3.7.1 (Foreign confiscation orders—registration)—see rule 3450.</w:t>
      </w:r>
    </w:p>
    <w:p w14:paraId="0EFEC8D8" w14:textId="77777777" w:rsidR="00D94935" w:rsidRDefault="00D94935" w:rsidP="00D94935">
      <w:pPr>
        <w:pStyle w:val="aDef"/>
      </w:pPr>
      <w:r w:rsidRPr="006364FA">
        <w:rPr>
          <w:rStyle w:val="charBoldItals"/>
        </w:rPr>
        <w:lastRenderedPageBreak/>
        <w:t>Foreign Judgments Act</w:t>
      </w:r>
      <w:r>
        <w:t>, for part 3.8 (Foreign judgments—reciprocal enforcement)—see rule 3470.</w:t>
      </w:r>
    </w:p>
    <w:p w14:paraId="5F6BB226" w14:textId="77777777"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14:paraId="419E5809" w14:textId="77777777"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14:paraId="72A43140" w14:textId="77777777" w:rsidR="00D94935" w:rsidRPr="00C754DF" w:rsidRDefault="00D94935" w:rsidP="00D94935">
      <w:pPr>
        <w:pStyle w:val="aDef"/>
      </w:pPr>
      <w:r w:rsidRPr="006B227E">
        <w:rPr>
          <w:rStyle w:val="charBoldItals"/>
        </w:rPr>
        <w:t>forensic proceeding</w:t>
      </w:r>
      <w:r w:rsidRPr="00C754DF">
        <w:t>, for part 4.4 (Forensic proceedings)—see rule 4800.</w:t>
      </w:r>
    </w:p>
    <w:p w14:paraId="2002583E" w14:textId="77777777"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14:paraId="14FFFCE5" w14:textId="77777777"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14:paraId="3B95A3C6" w14:textId="77777777" w:rsidR="00D94935" w:rsidRDefault="00D94935" w:rsidP="00D94935">
      <w:pPr>
        <w:pStyle w:val="aDef"/>
      </w:pPr>
      <w:r w:rsidRPr="006364FA">
        <w:rPr>
          <w:rStyle w:val="charBoldItals"/>
        </w:rPr>
        <w:t>freezing order</w:t>
      </w:r>
      <w:r>
        <w:rPr>
          <w:bCs/>
          <w:iCs/>
        </w:rPr>
        <w:t>, for division 2.9.4 (Injunctions and similar orders)—</w:t>
      </w:r>
      <w:r>
        <w:t>see rule 741.</w:t>
      </w:r>
    </w:p>
    <w:p w14:paraId="76B8C0D0" w14:textId="77777777"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14:paraId="28C9DC42" w14:textId="77777777"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14:paraId="63138AA5" w14:textId="77777777" w:rsidR="00D94935" w:rsidRDefault="00D94935" w:rsidP="00D94935">
      <w:pPr>
        <w:pStyle w:val="aDef"/>
      </w:pPr>
      <w:r w:rsidRPr="006364FA">
        <w:rPr>
          <w:rStyle w:val="charBoldItals"/>
        </w:rPr>
        <w:t>government</w:t>
      </w:r>
      <w:r>
        <w:t>, for part 2.8 (Disclosure)—see rule 600.</w:t>
      </w:r>
    </w:p>
    <w:p w14:paraId="7FBABE65" w14:textId="77777777" w:rsidR="00D94935" w:rsidRDefault="00D94935" w:rsidP="00D94935">
      <w:pPr>
        <w:pStyle w:val="aDef"/>
      </w:pPr>
      <w:r w:rsidRPr="006364FA">
        <w:rPr>
          <w:rStyle w:val="charBoldItals"/>
        </w:rPr>
        <w:t>grant of representation</w:t>
      </w:r>
      <w:r>
        <w:t>, for an estate, for division 3.1.7 (Caveats)—see rule 3065.</w:t>
      </w:r>
    </w:p>
    <w:p w14:paraId="3A271C75" w14:textId="77777777" w:rsidR="00D94935" w:rsidRDefault="00D94935" w:rsidP="00D94935">
      <w:pPr>
        <w:pStyle w:val="aDef"/>
      </w:pPr>
      <w:r w:rsidRPr="006364FA">
        <w:rPr>
          <w:rStyle w:val="charBoldItals"/>
        </w:rPr>
        <w:t>habeas corpus order</w:t>
      </w:r>
      <w:r>
        <w:t>, for part 3.9 (Habeas corpus)—see rule 3500.</w:t>
      </w:r>
    </w:p>
    <w:p w14:paraId="097B8069" w14:textId="77777777" w:rsidR="00D94935" w:rsidRPr="00403BD1" w:rsidRDefault="00D94935" w:rsidP="00D94935">
      <w:pPr>
        <w:pStyle w:val="aDef"/>
      </w:pPr>
      <w:r w:rsidRPr="000F5994">
        <w:rPr>
          <w:rStyle w:val="charBoldItals"/>
        </w:rPr>
        <w:t>Hague Convention</w:t>
      </w:r>
      <w:r w:rsidRPr="00403BD1">
        <w:t>, for division 6.8.12 (Service under the Hague Convention)—see rule 6550.</w:t>
      </w:r>
    </w:p>
    <w:p w14:paraId="61F9EFB2" w14:textId="77777777"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14:paraId="4C6D584E" w14:textId="77777777" w:rsidR="00D94935" w:rsidRPr="00284A0B" w:rsidRDefault="00D94935" w:rsidP="00D94935">
      <w:pPr>
        <w:pStyle w:val="aDef"/>
        <w:keepNext/>
      </w:pPr>
      <w:r w:rsidRPr="00284A0B">
        <w:rPr>
          <w:rStyle w:val="charBoldItals"/>
        </w:rPr>
        <w:t>head of jurisdiction</w:t>
      </w:r>
      <w:r w:rsidRPr="00284A0B">
        <w:t xml:space="preserve"> means—</w:t>
      </w:r>
    </w:p>
    <w:p w14:paraId="19E17D9B" w14:textId="77777777" w:rsidR="00D94935" w:rsidRPr="00284A0B" w:rsidRDefault="00D94935" w:rsidP="00D94935">
      <w:pPr>
        <w:pStyle w:val="aDefpara"/>
      </w:pPr>
      <w:r w:rsidRPr="00284A0B">
        <w:tab/>
        <w:t>(a)</w:t>
      </w:r>
      <w:r w:rsidRPr="00284A0B">
        <w:tab/>
        <w:t>in relation to the Supreme Court—the Chief Justice; or</w:t>
      </w:r>
    </w:p>
    <w:p w14:paraId="7A9C71E8" w14:textId="77777777" w:rsidR="00D94935" w:rsidRPr="00284A0B" w:rsidRDefault="00D94935" w:rsidP="00D94935">
      <w:pPr>
        <w:pStyle w:val="aDefpara"/>
      </w:pPr>
      <w:r w:rsidRPr="00284A0B">
        <w:lastRenderedPageBreak/>
        <w:tab/>
        <w:t>(b)</w:t>
      </w:r>
      <w:r w:rsidRPr="00284A0B">
        <w:tab/>
        <w:t>in relation to the Magistrates Court—the Chief Magistrate.</w:t>
      </w:r>
    </w:p>
    <w:p w14:paraId="5ECABFE0" w14:textId="77777777" w:rsidR="00D94935" w:rsidRDefault="00D94935" w:rsidP="00D94935">
      <w:pPr>
        <w:pStyle w:val="aDef"/>
      </w:pPr>
      <w:r w:rsidRPr="006364FA">
        <w:rPr>
          <w:rStyle w:val="charBoldItals"/>
        </w:rPr>
        <w:t>hearing</w:t>
      </w:r>
      <w:r>
        <w:t xml:space="preserve"> includes trial.</w:t>
      </w:r>
    </w:p>
    <w:p w14:paraId="232FD21D" w14:textId="462A8ACF" w:rsidR="00D94935" w:rsidRDefault="00D94935" w:rsidP="00D94935">
      <w:pPr>
        <w:pStyle w:val="aDef"/>
      </w:pPr>
      <w:r w:rsidRPr="006364FA">
        <w:rPr>
          <w:rStyle w:val="charBoldItals"/>
        </w:rPr>
        <w:t>incorporated limited partnership</w:t>
      </w:r>
      <w:r>
        <w:rPr>
          <w:bCs/>
          <w:iCs/>
        </w:rPr>
        <w:t>—</w:t>
      </w:r>
      <w:r>
        <w:t xml:space="preserve">see the </w:t>
      </w:r>
      <w:hyperlink r:id="rId1227" w:tooltip="A1963-5" w:history="1">
        <w:r w:rsidRPr="006364FA">
          <w:rPr>
            <w:rStyle w:val="charCitHyperlinkItal"/>
          </w:rPr>
          <w:t>Partnership Act 1963</w:t>
        </w:r>
      </w:hyperlink>
      <w:r>
        <w:t>, section 51.</w:t>
      </w:r>
    </w:p>
    <w:p w14:paraId="7C9C5EED" w14:textId="77777777" w:rsidR="00D94935" w:rsidRDefault="00D94935" w:rsidP="00D94935">
      <w:pPr>
        <w:pStyle w:val="aDef"/>
        <w:keepNext/>
      </w:pPr>
      <w:r w:rsidRPr="006364FA">
        <w:rPr>
          <w:rStyle w:val="charBoldItals"/>
        </w:rPr>
        <w:t>in default</w:t>
      </w:r>
      <w:r>
        <w:t>, for a defendant—</w:t>
      </w:r>
    </w:p>
    <w:p w14:paraId="15F29360" w14:textId="77777777"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14:paraId="160C854C" w14:textId="77777777"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14:paraId="796269A8" w14:textId="77777777" w:rsidR="00D94935" w:rsidRDefault="00D94935" w:rsidP="00D94935">
      <w:pPr>
        <w:pStyle w:val="aDef"/>
      </w:pPr>
      <w:r w:rsidRPr="006364FA">
        <w:rPr>
          <w:rStyle w:val="charBoldItals"/>
        </w:rPr>
        <w:t>initiating party</w:t>
      </w:r>
      <w:r>
        <w:t>, for division 5.7.1 (Questions referred—Supreme Court)—see rule 5801.</w:t>
      </w:r>
    </w:p>
    <w:p w14:paraId="4F7C42F3" w14:textId="77777777"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14:paraId="6D2133EC" w14:textId="72FEC730" w:rsidR="00D94935" w:rsidRDefault="00D94935" w:rsidP="00D94935">
      <w:pPr>
        <w:pStyle w:val="aDef"/>
      </w:pPr>
      <w:r>
        <w:rPr>
          <w:rStyle w:val="charBoldItals"/>
        </w:rPr>
        <w:t>injury notice</w:t>
      </w:r>
      <w:r>
        <w:t xml:space="preserve">, for part 3.13 (Workers compensation)—see the </w:t>
      </w:r>
      <w:hyperlink r:id="rId1228" w:tooltip="A1951-2" w:history="1">
        <w:r w:rsidRPr="00E95F50">
          <w:rPr>
            <w:rStyle w:val="charCitHyperlinkAbbrev"/>
          </w:rPr>
          <w:t>Workers Compensation Act</w:t>
        </w:r>
      </w:hyperlink>
      <w:r>
        <w:t>, section 123 (The notice for an injury).</w:t>
      </w:r>
    </w:p>
    <w:p w14:paraId="2DD1E829" w14:textId="77777777" w:rsidR="00D94935" w:rsidRDefault="00D94935" w:rsidP="00D94935">
      <w:pPr>
        <w:pStyle w:val="aDef"/>
      </w:pPr>
      <w:r w:rsidRPr="006364FA">
        <w:rPr>
          <w:rStyle w:val="charBoldItals"/>
        </w:rPr>
        <w:t>instalment order</w:t>
      </w:r>
      <w:r>
        <w:t>—see rule 2150.</w:t>
      </w:r>
    </w:p>
    <w:p w14:paraId="68C43772" w14:textId="77777777" w:rsidR="00D94935" w:rsidRDefault="00D94935" w:rsidP="00D94935">
      <w:pPr>
        <w:pStyle w:val="aDef"/>
        <w:rPr>
          <w:lang w:val="en-US"/>
        </w:rPr>
      </w:pPr>
      <w:r w:rsidRPr="006364FA">
        <w:rPr>
          <w:rStyle w:val="charBoldItals"/>
        </w:rPr>
        <w:t>instalment order agreement</w:t>
      </w:r>
      <w:r>
        <w:rPr>
          <w:lang w:val="en-US"/>
        </w:rPr>
        <w:t>, for part 2.18 (Enforcement)—see rule 2157.</w:t>
      </w:r>
    </w:p>
    <w:p w14:paraId="4A90065A" w14:textId="77777777"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14:paraId="125080CB" w14:textId="77777777" w:rsidR="00D94935" w:rsidRDefault="00D94935" w:rsidP="00D94935">
      <w:pPr>
        <w:pStyle w:val="aDef"/>
      </w:pPr>
      <w:r w:rsidRPr="006364FA">
        <w:rPr>
          <w:rStyle w:val="charBoldItals"/>
        </w:rPr>
        <w:t>issuing officer</w:t>
      </w:r>
      <w:r>
        <w:t>, for part 6.9 (Subpoenas)—see rule 6600 (1).</w:t>
      </w:r>
    </w:p>
    <w:p w14:paraId="356993E9" w14:textId="77777777" w:rsidR="00D94935" w:rsidRDefault="00D94935" w:rsidP="00D94935">
      <w:pPr>
        <w:pStyle w:val="aDef"/>
      </w:pPr>
      <w:r w:rsidRPr="006364FA">
        <w:rPr>
          <w:rStyle w:val="charBoldItals"/>
        </w:rPr>
        <w:t>issuing party</w:t>
      </w:r>
      <w:r>
        <w:t>, for a subpoena, for part 6.9 (Subpoenas)—see rule 6600 (1).</w:t>
      </w:r>
    </w:p>
    <w:p w14:paraId="2E5C12E9" w14:textId="77777777" w:rsidR="00D94935" w:rsidRDefault="00D94935" w:rsidP="00220AA2">
      <w:pPr>
        <w:pStyle w:val="aDef"/>
        <w:keepNext/>
      </w:pPr>
      <w:r w:rsidRPr="006364FA">
        <w:rPr>
          <w:rStyle w:val="charBoldItals"/>
        </w:rPr>
        <w:t>interested party</w:t>
      </w:r>
      <w:r>
        <w:t>—</w:t>
      </w:r>
    </w:p>
    <w:p w14:paraId="1D4E3024" w14:textId="77777777" w:rsidR="00D94935" w:rsidRDefault="00D94935" w:rsidP="00220AA2">
      <w:pPr>
        <w:pStyle w:val="aDefpara"/>
        <w:keepNext/>
      </w:pPr>
      <w:r>
        <w:tab/>
        <w:t>(a)</w:t>
      </w:r>
      <w:r>
        <w:tab/>
        <w:t>for division 5.6.1 (Reference appeals—Supreme Court)—see rule 5750; and</w:t>
      </w:r>
    </w:p>
    <w:p w14:paraId="5B999118" w14:textId="77777777" w:rsidR="00D94935" w:rsidRDefault="00D94935" w:rsidP="00D94935">
      <w:pPr>
        <w:pStyle w:val="aDefpara"/>
      </w:pPr>
      <w:r>
        <w:tab/>
        <w:t>(b)</w:t>
      </w:r>
      <w:r>
        <w:tab/>
        <w:t>for division 5.6.2 (Reference appeals—Court of Appeal)—see rule 5770.</w:t>
      </w:r>
    </w:p>
    <w:p w14:paraId="2D603284" w14:textId="4D2C4BF2" w:rsidR="00D94935" w:rsidRDefault="00D94935" w:rsidP="00D94935">
      <w:pPr>
        <w:pStyle w:val="aDef"/>
      </w:pPr>
      <w:r w:rsidRPr="006364FA">
        <w:rPr>
          <w:rStyle w:val="charBoldItals"/>
        </w:rPr>
        <w:lastRenderedPageBreak/>
        <w:t>interest in a managed investment scheme</w:t>
      </w:r>
      <w:r>
        <w:t xml:space="preserve">—see the </w:t>
      </w:r>
      <w:hyperlink r:id="rId1229" w:tooltip="Act 2001 No 50 (Cwlth)" w:history="1">
        <w:r w:rsidRPr="00D74CAB">
          <w:rPr>
            <w:rStyle w:val="charCitHyperlinkAbbrev"/>
          </w:rPr>
          <w:t>Corporations Act</w:t>
        </w:r>
      </w:hyperlink>
      <w:r>
        <w:t>, section 9.</w:t>
      </w:r>
    </w:p>
    <w:p w14:paraId="5E7EC1E6" w14:textId="77777777" w:rsidR="00D94935" w:rsidRDefault="00D94935" w:rsidP="00D94935">
      <w:pPr>
        <w:pStyle w:val="aDef"/>
      </w:pPr>
      <w:r w:rsidRPr="006364FA">
        <w:rPr>
          <w:rStyle w:val="charBoldItals"/>
        </w:rPr>
        <w:t>interlocutory process</w:t>
      </w:r>
      <w:r>
        <w:t>, for schedule 6 (Corporations Rules)—see schedule 6, rule 1.5.</w:t>
      </w:r>
    </w:p>
    <w:p w14:paraId="3FE18D7D" w14:textId="77777777" w:rsidR="00D94935" w:rsidRDefault="00D94935" w:rsidP="00D94935">
      <w:pPr>
        <w:pStyle w:val="aDef"/>
      </w:pPr>
      <w:r w:rsidRPr="006364FA">
        <w:rPr>
          <w:rStyle w:val="charBoldItals"/>
        </w:rPr>
        <w:t>interstate confiscation order</w:t>
      </w:r>
      <w:r>
        <w:t>, for division 3.7.2 (Interstate confiscation orders—registration)—see rule 3460.</w:t>
      </w:r>
    </w:p>
    <w:p w14:paraId="4AFDD4B1" w14:textId="77777777" w:rsidR="00D94935" w:rsidRDefault="00D94935" w:rsidP="00D94935">
      <w:pPr>
        <w:pStyle w:val="aDef"/>
        <w:keepNext/>
      </w:pPr>
      <w:r w:rsidRPr="006364FA">
        <w:rPr>
          <w:rStyle w:val="charBoldItals"/>
        </w:rPr>
        <w:t>judgment</w:t>
      </w:r>
      <w:r>
        <w:t>, for part 3.8 (Foreign judgments—reciprocal enforcement)—see rule 3470.</w:t>
      </w:r>
    </w:p>
    <w:p w14:paraId="06D573CE" w14:textId="77777777" w:rsidR="00D94935" w:rsidRPr="005D331F" w:rsidRDefault="00D94935" w:rsidP="00D94935">
      <w:pPr>
        <w:pStyle w:val="aDef"/>
      </w:pPr>
      <w:r w:rsidRPr="005D331F">
        <w:rPr>
          <w:rStyle w:val="charBoldItals"/>
        </w:rPr>
        <w:t>judgment in favour of the defendant</w:t>
      </w:r>
      <w:r w:rsidRPr="005D331F">
        <w:t>, for part 2.10 (Offers of compromise)—see rule 1001.</w:t>
      </w:r>
    </w:p>
    <w:p w14:paraId="45C84FB9" w14:textId="77777777"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14:paraId="30A7344A" w14:textId="77777777" w:rsidR="00D94935" w:rsidRDefault="00D94935" w:rsidP="00D94935">
      <w:pPr>
        <w:pStyle w:val="aDef"/>
      </w:pPr>
      <w:r w:rsidRPr="006364FA">
        <w:rPr>
          <w:rStyle w:val="charBoldItals"/>
        </w:rPr>
        <w:t>Judicial Review Act</w:t>
      </w:r>
      <w:r>
        <w:rPr>
          <w:bCs/>
          <w:iCs/>
        </w:rPr>
        <w:t>, for part 3.10 (Judicial review)—</w:t>
      </w:r>
      <w:r>
        <w:t>see rule 3550.</w:t>
      </w:r>
    </w:p>
    <w:p w14:paraId="198DCAAF" w14:textId="77777777" w:rsidR="00D94935" w:rsidRDefault="00D94935" w:rsidP="00D94935">
      <w:pPr>
        <w:pStyle w:val="aDef"/>
      </w:pPr>
      <w:r w:rsidRPr="006364FA">
        <w:rPr>
          <w:rStyle w:val="charBoldItals"/>
        </w:rPr>
        <w:t>judicial review application</w:t>
      </w:r>
      <w:r>
        <w:rPr>
          <w:bCs/>
          <w:iCs/>
        </w:rPr>
        <w:t>, for part 3.10 (Judicial review)—</w:t>
      </w:r>
      <w:r>
        <w:t>see rule 3550.</w:t>
      </w:r>
    </w:p>
    <w:p w14:paraId="6FA56035" w14:textId="77777777" w:rsidR="00D94935" w:rsidRPr="0023482E" w:rsidRDefault="00D94935" w:rsidP="00D94935">
      <w:pPr>
        <w:pStyle w:val="aDef"/>
      </w:pPr>
      <w:r w:rsidRPr="0023482E">
        <w:rPr>
          <w:rStyle w:val="charBoldItals"/>
        </w:rPr>
        <w:t>LACC</w:t>
      </w:r>
      <w:r w:rsidRPr="0023482E">
        <w:t>, for part 3.11 (Legal profession)—see rule 3600.</w:t>
      </w:r>
    </w:p>
    <w:p w14:paraId="3668B9C8" w14:textId="77777777" w:rsidR="00D94935" w:rsidRDefault="00D94935" w:rsidP="00D94935">
      <w:pPr>
        <w:pStyle w:val="aDef"/>
      </w:pPr>
      <w:r w:rsidRPr="006364FA">
        <w:rPr>
          <w:rStyle w:val="charBoldItals"/>
        </w:rPr>
        <w:t>land</w:t>
      </w:r>
      <w:r>
        <w:t>, for division 2.9.6 (Sales of land by court order)—see rule 780.</w:t>
      </w:r>
    </w:p>
    <w:p w14:paraId="6AABF01E" w14:textId="77777777" w:rsidR="00D94935" w:rsidRDefault="00D94935" w:rsidP="00D94935">
      <w:pPr>
        <w:pStyle w:val="aDef"/>
      </w:pPr>
      <w:r w:rsidRPr="006364FA">
        <w:rPr>
          <w:rStyle w:val="charBoldItals"/>
        </w:rPr>
        <w:t>Legal Profession Act</w:t>
      </w:r>
      <w:r>
        <w:t>, for part 3.11 (Legal profession)—see rule 3600.</w:t>
      </w:r>
    </w:p>
    <w:p w14:paraId="61278D28" w14:textId="77777777"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14:paraId="455F24B4" w14:textId="77777777" w:rsidR="00D94935" w:rsidRPr="00284A0B" w:rsidRDefault="00D94935" w:rsidP="00D94935">
      <w:pPr>
        <w:pStyle w:val="aDef"/>
      </w:pPr>
      <w:r w:rsidRPr="00284A0B">
        <w:rPr>
          <w:rStyle w:val="charBoldItals"/>
        </w:rPr>
        <w:t>listing hearing</w:t>
      </w:r>
      <w:r w:rsidRPr="00284A0B">
        <w:t xml:space="preserve"> means a hearing for directions under rule 1325.</w:t>
      </w:r>
    </w:p>
    <w:p w14:paraId="6E0FD9D1" w14:textId="77777777" w:rsidR="00D94935" w:rsidRDefault="00D94935" w:rsidP="00D94935">
      <w:pPr>
        <w:pStyle w:val="aDef"/>
      </w:pPr>
      <w:r w:rsidRPr="006364FA">
        <w:rPr>
          <w:rStyle w:val="charBoldItals"/>
        </w:rPr>
        <w:t>list of documents</w:t>
      </w:r>
      <w:r>
        <w:t>, for part 2.8 (Disclosure)—see rule 600.</w:t>
      </w:r>
    </w:p>
    <w:p w14:paraId="71240B41" w14:textId="77777777" w:rsidR="00D94935" w:rsidRDefault="00D94935" w:rsidP="00D94935">
      <w:pPr>
        <w:pStyle w:val="aDef"/>
      </w:pPr>
      <w:r w:rsidRPr="000F5994">
        <w:rPr>
          <w:rStyle w:val="charBoldItals"/>
        </w:rPr>
        <w:t>local judicial document</w:t>
      </w:r>
      <w:r w:rsidRPr="00403BD1">
        <w:t>, for division 6.8.12 (Service under the Hague Convention)—see rule 6550.</w:t>
      </w:r>
    </w:p>
    <w:p w14:paraId="0ED09ED9" w14:textId="77777777"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14:paraId="746AA366" w14:textId="77777777" w:rsidR="00D94935" w:rsidRDefault="00D94935" w:rsidP="00D94935">
      <w:pPr>
        <w:pStyle w:val="aDef"/>
      </w:pPr>
      <w:r w:rsidRPr="006364FA">
        <w:rPr>
          <w:rStyle w:val="charBoldItals"/>
        </w:rPr>
        <w:lastRenderedPageBreak/>
        <w:t>made</w:t>
      </w:r>
      <w:r>
        <w:t>, for an order that is a judgment, means given.</w:t>
      </w:r>
    </w:p>
    <w:p w14:paraId="3A0B8594" w14:textId="77777777" w:rsidR="00D94935" w:rsidRDefault="00D94935" w:rsidP="00D94935">
      <w:pPr>
        <w:pStyle w:val="aDef"/>
      </w:pPr>
      <w:r w:rsidRPr="006364FA">
        <w:rPr>
          <w:rStyle w:val="charBoldItals"/>
        </w:rPr>
        <w:t>mediation</w:t>
      </w:r>
      <w:r>
        <w:t>, for division 2.11.7 (Mediation and neutral evaluation)—see rule 1176 (1).</w:t>
      </w:r>
    </w:p>
    <w:p w14:paraId="67104C9D" w14:textId="77777777" w:rsidR="00D94935" w:rsidRDefault="00D94935" w:rsidP="00D94935">
      <w:pPr>
        <w:pStyle w:val="aDef"/>
      </w:pPr>
      <w:r w:rsidRPr="006364FA">
        <w:rPr>
          <w:rStyle w:val="charBoldItals"/>
        </w:rPr>
        <w:t>mediation session</w:t>
      </w:r>
      <w:r>
        <w:t>, for division 2.11.7 (Mediation and neutral evaluation)—see rule 1176 (2).</w:t>
      </w:r>
    </w:p>
    <w:p w14:paraId="775818AB" w14:textId="77777777"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14:paraId="09B75F12" w14:textId="77777777" w:rsidR="00D94935" w:rsidRDefault="00D94935" w:rsidP="00D94935">
      <w:pPr>
        <w:pStyle w:val="aDef"/>
      </w:pPr>
      <w:r w:rsidRPr="006364FA">
        <w:rPr>
          <w:rStyle w:val="charBoldItals"/>
        </w:rPr>
        <w:t>money order</w:t>
      </w:r>
      <w:r>
        <w:rPr>
          <w:color w:val="000000"/>
          <w:lang w:val="en-US"/>
        </w:rPr>
        <w:t>—see rule 2000.</w:t>
      </w:r>
    </w:p>
    <w:p w14:paraId="5AC6EE42" w14:textId="09D0A31F"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30" w:tooltip="A1999-77" w:history="1">
        <w:r w:rsidRPr="006364FA">
          <w:rPr>
            <w:rStyle w:val="charCitHyperlinkItal"/>
          </w:rPr>
          <w:t>Road Transport (General) Act 1999</w:t>
        </w:r>
      </w:hyperlink>
      <w:r>
        <w:t>.</w:t>
      </w:r>
    </w:p>
    <w:p w14:paraId="1CAF4713" w14:textId="77777777" w:rsidR="00D94935" w:rsidRDefault="00D94935" w:rsidP="00D94935">
      <w:pPr>
        <w:pStyle w:val="aDef"/>
      </w:pPr>
      <w:r w:rsidRPr="006364FA">
        <w:rPr>
          <w:rStyle w:val="charBoldItals"/>
        </w:rPr>
        <w:t>neutral evaluation</w:t>
      </w:r>
      <w:r>
        <w:t>, for division 2.11.7 (Mediation and neutral evaluation)—see rule 1176 (3).</w:t>
      </w:r>
    </w:p>
    <w:p w14:paraId="0B46695D" w14:textId="77777777" w:rsidR="00D94935" w:rsidRDefault="00D94935" w:rsidP="00D94935">
      <w:pPr>
        <w:pStyle w:val="aDef"/>
      </w:pPr>
      <w:r w:rsidRPr="006364FA">
        <w:rPr>
          <w:rStyle w:val="charBoldItals"/>
        </w:rPr>
        <w:t>neutral evaluation session</w:t>
      </w:r>
      <w:r>
        <w:t>, for division 2.11.7 (Mediation and neutral evaluation)—see rule 1176 (5).</w:t>
      </w:r>
    </w:p>
    <w:p w14:paraId="2744D6E0" w14:textId="77777777" w:rsidR="00D94935" w:rsidRDefault="00D94935" w:rsidP="00D94935">
      <w:pPr>
        <w:pStyle w:val="aDef"/>
      </w:pPr>
      <w:r w:rsidRPr="006364FA">
        <w:rPr>
          <w:rStyle w:val="charBoldItals"/>
        </w:rPr>
        <w:t>non-money order</w:t>
      </w:r>
      <w:r>
        <w:rPr>
          <w:color w:val="000000"/>
          <w:lang w:val="en-US"/>
        </w:rPr>
        <w:t>—</w:t>
      </w:r>
      <w:r>
        <w:t>see rule 2000.</w:t>
      </w:r>
    </w:p>
    <w:p w14:paraId="16F40ACC" w14:textId="77777777" w:rsidR="00D94935" w:rsidRPr="006364FA" w:rsidRDefault="00D94935" w:rsidP="00D94935">
      <w:pPr>
        <w:pStyle w:val="aDef"/>
      </w:pPr>
      <w:r w:rsidRPr="006364FA">
        <w:rPr>
          <w:rStyle w:val="charBoldItals"/>
        </w:rPr>
        <w:t>notice claiming contribution or indemnity</w:t>
      </w:r>
      <w:r>
        <w:t>, for chapter 2 (Civil proceedings generally)—see rule 319 (1).</w:t>
      </w:r>
    </w:p>
    <w:p w14:paraId="2B4EE929" w14:textId="77777777" w:rsidR="00D94935" w:rsidRDefault="00D94935" w:rsidP="00D94935">
      <w:pPr>
        <w:pStyle w:val="aDef"/>
      </w:pPr>
      <w:r w:rsidRPr="006364FA">
        <w:rPr>
          <w:rStyle w:val="charBoldItals"/>
        </w:rPr>
        <w:t>notice for non-party production</w:t>
      </w:r>
      <w:r>
        <w:t>, for chapter 2 (Civil proceedings generally), means a notice under rule 660.</w:t>
      </w:r>
    </w:p>
    <w:p w14:paraId="0D539474" w14:textId="77777777"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14:paraId="5A72CF5A" w14:textId="77777777" w:rsidR="00D94935" w:rsidRPr="005D331F" w:rsidRDefault="00D94935" w:rsidP="00D94935">
      <w:pPr>
        <w:pStyle w:val="aDef"/>
        <w:keepNext/>
      </w:pPr>
      <w:r w:rsidRPr="005D331F">
        <w:rPr>
          <w:rStyle w:val="charBoldItals"/>
        </w:rPr>
        <w:t>offer</w:t>
      </w:r>
      <w:r w:rsidRPr="005D331F">
        <w:t>, for part 2.10 (Offers of compromise)—see rule 1001.</w:t>
      </w:r>
    </w:p>
    <w:p w14:paraId="018985CB" w14:textId="77777777"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14:paraId="13DE64E9" w14:textId="77777777" w:rsidR="00D94935" w:rsidRDefault="00D94935" w:rsidP="00D94935">
      <w:pPr>
        <w:pStyle w:val="aDef"/>
      </w:pPr>
      <w:r w:rsidRPr="006364FA">
        <w:rPr>
          <w:rStyle w:val="charBoldItals"/>
        </w:rPr>
        <w:t>opposite party</w:t>
      </w:r>
      <w:r>
        <w:t xml:space="preserve"> means defendant (in relation to a plaintiff) and plaintiff (in relation to a defendant).</w:t>
      </w:r>
    </w:p>
    <w:p w14:paraId="55D1FFE8" w14:textId="77777777" w:rsidR="00D94935" w:rsidRDefault="00D94935" w:rsidP="00D94935">
      <w:pPr>
        <w:pStyle w:val="aDef"/>
        <w:keepNext/>
        <w:rPr>
          <w:lang w:val="en-US"/>
        </w:rPr>
      </w:pPr>
      <w:r w:rsidRPr="006364FA">
        <w:rPr>
          <w:rStyle w:val="charBoldItals"/>
        </w:rPr>
        <w:lastRenderedPageBreak/>
        <w:t>order</w:t>
      </w:r>
      <w:r>
        <w:rPr>
          <w:lang w:val="en-US"/>
        </w:rPr>
        <w:t>—</w:t>
      </w:r>
    </w:p>
    <w:p w14:paraId="745354A3" w14:textId="77777777"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14:paraId="3BE2E235" w14:textId="77777777" w:rsidR="00D94935" w:rsidRDefault="00D94935" w:rsidP="00D94935">
      <w:pPr>
        <w:pStyle w:val="aDefpara"/>
      </w:pPr>
      <w:r>
        <w:tab/>
        <w:t>(b)</w:t>
      </w:r>
      <w:r>
        <w:tab/>
      </w:r>
      <w:r>
        <w:rPr>
          <w:lang w:val="en-US"/>
        </w:rPr>
        <w:t>for part 4.2 (Magistrates Court criminal proceedings)—see rule 4300</w:t>
      </w:r>
      <w:r>
        <w:t>; and</w:t>
      </w:r>
    </w:p>
    <w:p w14:paraId="0A0CE1CD" w14:textId="77777777" w:rsidR="00D94935" w:rsidRDefault="00D94935" w:rsidP="00D94935">
      <w:pPr>
        <w:pStyle w:val="aDefpara"/>
      </w:pPr>
      <w:r>
        <w:tab/>
        <w:t>(c)</w:t>
      </w:r>
      <w:r>
        <w:tab/>
        <w:t>of a court or tribunal, for part 5.3 (Appeals to Supreme Court)—see rule 5050; and</w:t>
      </w:r>
    </w:p>
    <w:p w14:paraId="2B3F2115" w14:textId="77777777"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14:paraId="2FE4F188" w14:textId="77777777"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14:paraId="7D12AC25" w14:textId="77777777" w:rsidR="00D94935" w:rsidRPr="006364FA" w:rsidRDefault="00D94935" w:rsidP="00D94935">
      <w:pPr>
        <w:pStyle w:val="aDef"/>
      </w:pPr>
      <w:r w:rsidRPr="006364FA">
        <w:rPr>
          <w:rStyle w:val="charBoldItals"/>
        </w:rPr>
        <w:t>order for access to identifying information</w:t>
      </w:r>
      <w:r>
        <w:t>, for part 3.2 (Adoption)—see rule 3150.</w:t>
      </w:r>
    </w:p>
    <w:p w14:paraId="5062FB0E" w14:textId="77777777" w:rsidR="00D94935" w:rsidRDefault="00D94935" w:rsidP="00D94935">
      <w:pPr>
        <w:pStyle w:val="aDef"/>
      </w:pPr>
      <w:r w:rsidRPr="006364FA">
        <w:rPr>
          <w:rStyle w:val="charBoldItals"/>
        </w:rPr>
        <w:t>order for delivery of possession of land</w:t>
      </w:r>
      <w:r>
        <w:t>—see rule 2451.</w:t>
      </w:r>
    </w:p>
    <w:p w14:paraId="00462C6B" w14:textId="77777777" w:rsidR="00D94935" w:rsidRDefault="00D94935" w:rsidP="00D94935">
      <w:pPr>
        <w:pStyle w:val="aDef"/>
      </w:pPr>
      <w:r w:rsidRPr="006364FA">
        <w:rPr>
          <w:rStyle w:val="charBoldItals"/>
        </w:rPr>
        <w:t>order for seizure and delivery of goods</w:t>
      </w:r>
      <w:r>
        <w:t>—see rule 2460.</w:t>
      </w:r>
    </w:p>
    <w:p w14:paraId="1F22C0AB" w14:textId="77777777" w:rsidR="00D94935" w:rsidRDefault="00D94935" w:rsidP="00D94935">
      <w:pPr>
        <w:pStyle w:val="aDef"/>
      </w:pPr>
      <w:r w:rsidRPr="006364FA">
        <w:rPr>
          <w:rStyle w:val="charBoldItals"/>
        </w:rPr>
        <w:t>order for seizure and detention of property</w:t>
      </w:r>
      <w:r>
        <w:t>—see rule 2470.</w:t>
      </w:r>
    </w:p>
    <w:p w14:paraId="134611A7" w14:textId="77777777" w:rsidR="00D94935" w:rsidRPr="006364FA" w:rsidRDefault="00D94935" w:rsidP="00D94935">
      <w:pPr>
        <w:pStyle w:val="aDef"/>
        <w:keepNext/>
      </w:pPr>
      <w:r w:rsidRPr="006364FA">
        <w:rPr>
          <w:rStyle w:val="charBoldItals"/>
        </w:rPr>
        <w:t>originating process</w:t>
      </w:r>
      <w:r>
        <w:t>—</w:t>
      </w:r>
    </w:p>
    <w:p w14:paraId="021FF802" w14:textId="77777777" w:rsidR="00D94935" w:rsidRDefault="00D94935" w:rsidP="00D94935">
      <w:pPr>
        <w:pStyle w:val="aDefpara"/>
      </w:pPr>
      <w:r>
        <w:tab/>
        <w:t>(a)</w:t>
      </w:r>
      <w:r>
        <w:tab/>
        <w:t>for these rules generally—means an originating claim, originating application or application for arbitration; and</w:t>
      </w:r>
    </w:p>
    <w:p w14:paraId="1F7A0B04" w14:textId="77777777" w:rsidR="00D94935" w:rsidRDefault="00D94935" w:rsidP="00D94935">
      <w:pPr>
        <w:pStyle w:val="aDefpara"/>
      </w:pPr>
      <w:r>
        <w:tab/>
        <w:t>(b)</w:t>
      </w:r>
      <w:r>
        <w:tab/>
        <w:t>for schedule 6 (Corporations Rules)—see schedule 6, rule 1.5.</w:t>
      </w:r>
    </w:p>
    <w:p w14:paraId="28056B54" w14:textId="77777777" w:rsidR="00D94935" w:rsidRDefault="00D94935" w:rsidP="00D94935">
      <w:pPr>
        <w:pStyle w:val="aDef"/>
        <w:keepNext/>
      </w:pPr>
      <w:r w:rsidRPr="006364FA">
        <w:rPr>
          <w:rStyle w:val="charBoldItals"/>
        </w:rPr>
        <w:t>out of time</w:t>
      </w:r>
      <w:r>
        <w:t>—</w:t>
      </w:r>
    </w:p>
    <w:p w14:paraId="72F33BF2" w14:textId="77777777" w:rsidR="00D94935" w:rsidRDefault="00D94935" w:rsidP="00D94935">
      <w:pPr>
        <w:pStyle w:val="aDefpara"/>
      </w:pPr>
      <w:r>
        <w:tab/>
        <w:t>(a)</w:t>
      </w:r>
      <w:r>
        <w:tab/>
        <w:t>for division 5.3.3 (Appeals to Supreme Court—leave to appeal out of time)—see rule 5080; and</w:t>
      </w:r>
    </w:p>
    <w:p w14:paraId="784FA939" w14:textId="77777777"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14:paraId="231BE8B8" w14:textId="77777777"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14:paraId="00BB9BD0" w14:textId="77777777"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14:paraId="38551A2F" w14:textId="5CEC7FFF" w:rsidR="00D94935" w:rsidRDefault="00D94935" w:rsidP="00D94935">
      <w:pPr>
        <w:pStyle w:val="aDef"/>
      </w:pPr>
      <w:r w:rsidRPr="006364FA">
        <w:rPr>
          <w:rStyle w:val="charBoldItals"/>
        </w:rPr>
        <w:t>partnership</w:t>
      </w:r>
      <w:r>
        <w:rPr>
          <w:bCs/>
          <w:iCs/>
        </w:rPr>
        <w:t>—</w:t>
      </w:r>
      <w:r>
        <w:t xml:space="preserve">see the </w:t>
      </w:r>
      <w:hyperlink r:id="rId1231" w:tooltip="A1963-5" w:history="1">
        <w:r w:rsidRPr="006364FA">
          <w:rPr>
            <w:rStyle w:val="charCitHyperlinkItal"/>
          </w:rPr>
          <w:t>Partnership Act 1963</w:t>
        </w:r>
      </w:hyperlink>
      <w:r>
        <w:t>, section 6.</w:t>
      </w:r>
    </w:p>
    <w:p w14:paraId="33DA4994" w14:textId="77777777" w:rsidR="00D94935" w:rsidRDefault="00D94935" w:rsidP="00D94935">
      <w:pPr>
        <w:pStyle w:val="aDef"/>
      </w:pPr>
      <w:r w:rsidRPr="006364FA">
        <w:rPr>
          <w:rStyle w:val="charBoldItals"/>
        </w:rPr>
        <w:t>partnership proceeding</w:t>
      </w:r>
      <w:r>
        <w:rPr>
          <w:bCs/>
          <w:iCs/>
        </w:rPr>
        <w:t>, for division 2.4.10 (Partnerships)—</w:t>
      </w:r>
      <w:r>
        <w:t>see rule 285.</w:t>
      </w:r>
    </w:p>
    <w:p w14:paraId="5845832A" w14:textId="77777777" w:rsidR="00D94935" w:rsidRDefault="00D94935" w:rsidP="00D94935">
      <w:pPr>
        <w:pStyle w:val="aDef"/>
        <w:keepNext/>
      </w:pPr>
      <w:r w:rsidRPr="006364FA">
        <w:rPr>
          <w:rStyle w:val="charBoldItals"/>
        </w:rPr>
        <w:t>party</w:t>
      </w:r>
      <w:r>
        <w:t>—</w:t>
      </w:r>
    </w:p>
    <w:p w14:paraId="7DC5B846" w14:textId="77777777" w:rsidR="00D94935" w:rsidRDefault="00D94935" w:rsidP="0001712F">
      <w:pPr>
        <w:pStyle w:val="aDefpara"/>
        <w:keepNext/>
      </w:pPr>
      <w:r>
        <w:tab/>
        <w:t>(a)</w:t>
      </w:r>
      <w:r>
        <w:tab/>
        <w:t>for part 2.17 (Costs)—see rule 1700; and</w:t>
      </w:r>
    </w:p>
    <w:p w14:paraId="253B435A" w14:textId="77777777" w:rsidR="00D94935" w:rsidRDefault="00D94935" w:rsidP="00D94935">
      <w:pPr>
        <w:pStyle w:val="aDefpara"/>
      </w:pPr>
      <w:r>
        <w:tab/>
        <w:t>(b)</w:t>
      </w:r>
      <w:r>
        <w:tab/>
        <w:t>for a criminal proceeding—includes an accused person and the director of public prosecutions.</w:t>
      </w:r>
    </w:p>
    <w:p w14:paraId="6D939927" w14:textId="77777777" w:rsidR="00D94935" w:rsidRPr="005D331F" w:rsidRDefault="00D94935" w:rsidP="00D94935">
      <w:pPr>
        <w:pStyle w:val="aDef"/>
      </w:pPr>
      <w:r w:rsidRPr="005D331F">
        <w:rPr>
          <w:rStyle w:val="charBoldItals"/>
        </w:rPr>
        <w:t>period of acceptance</w:t>
      </w:r>
      <w:r w:rsidRPr="005D331F">
        <w:t>, for an offer, for part 2.10 (Offers of compromise)—see rule 1001.</w:t>
      </w:r>
    </w:p>
    <w:p w14:paraId="5267559E" w14:textId="628FB4B4"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32" w:tooltip="A2016-43" w:history="1">
        <w:r w:rsidRPr="00906995">
          <w:rPr>
            <w:rStyle w:val="charCitHyperlinkItal"/>
          </w:rPr>
          <w:t>Personal Violence Act 2016</w:t>
        </w:r>
      </w:hyperlink>
      <w:r w:rsidRPr="00510424">
        <w:t>.</w:t>
      </w:r>
    </w:p>
    <w:p w14:paraId="614C7054" w14:textId="77777777" w:rsidR="00D94935" w:rsidRDefault="00D94935" w:rsidP="00D94935">
      <w:pPr>
        <w:pStyle w:val="aDef"/>
        <w:keepNext/>
      </w:pPr>
      <w:r w:rsidRPr="006364FA">
        <w:rPr>
          <w:rStyle w:val="charBoldItals"/>
        </w:rPr>
        <w:t>person with a legal disability</w:t>
      </w:r>
      <w:r>
        <w:rPr>
          <w:bCs/>
          <w:iCs/>
        </w:rPr>
        <w:t xml:space="preserve"> </w:t>
      </w:r>
      <w:r>
        <w:t>means—</w:t>
      </w:r>
    </w:p>
    <w:p w14:paraId="4C7E2FDD" w14:textId="77777777" w:rsidR="00D94935" w:rsidRDefault="00D94935" w:rsidP="00D94935">
      <w:pPr>
        <w:pStyle w:val="aDefpara"/>
        <w:keepNext/>
      </w:pPr>
      <w:r>
        <w:tab/>
        <w:t>(a)</w:t>
      </w:r>
      <w:r>
        <w:tab/>
        <w:t>a child; or</w:t>
      </w:r>
    </w:p>
    <w:p w14:paraId="1FFF19F6" w14:textId="77777777" w:rsidR="00D94935" w:rsidRDefault="00D94935" w:rsidP="00D94935">
      <w:pPr>
        <w:pStyle w:val="aDefpara"/>
      </w:pPr>
      <w:r>
        <w:tab/>
        <w:t>(b)</w:t>
      </w:r>
      <w:r>
        <w:tab/>
        <w:t>a person with a mental disability.</w:t>
      </w:r>
    </w:p>
    <w:p w14:paraId="1893C2B1" w14:textId="2D1B301E"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33" w:tooltip="A1991-62" w:history="1">
        <w:r w:rsidRPr="006364FA">
          <w:rPr>
            <w:rStyle w:val="charCitHyperlinkItal"/>
          </w:rPr>
          <w:t>Guardianship and Management of Property Act 1991</w:t>
        </w:r>
      </w:hyperlink>
      <w:r>
        <w:t>.</w:t>
      </w:r>
    </w:p>
    <w:p w14:paraId="77A0CF59" w14:textId="77777777" w:rsidR="00D94935" w:rsidRDefault="00D94935" w:rsidP="00D94935">
      <w:pPr>
        <w:pStyle w:val="aDef"/>
        <w:keepNext/>
      </w:pPr>
      <w:r w:rsidRPr="006364FA">
        <w:rPr>
          <w:rStyle w:val="charBoldItals"/>
        </w:rPr>
        <w:t>plaintiff</w:t>
      </w:r>
      <w:r>
        <w:t>—</w:t>
      </w:r>
    </w:p>
    <w:p w14:paraId="6F3F7B5F" w14:textId="77777777" w:rsidR="00D94935" w:rsidRDefault="00D94935" w:rsidP="00D94935">
      <w:pPr>
        <w:pStyle w:val="aDefpara"/>
      </w:pPr>
      <w:r>
        <w:tab/>
        <w:t>(a)</w:t>
      </w:r>
      <w:r>
        <w:tab/>
        <w:t>for these rules generally—see rule 20; and</w:t>
      </w:r>
    </w:p>
    <w:p w14:paraId="716CD708" w14:textId="77777777" w:rsidR="00D94935" w:rsidRDefault="00D94935" w:rsidP="00D94935">
      <w:pPr>
        <w:pStyle w:val="aDefpara"/>
      </w:pPr>
      <w:r>
        <w:tab/>
        <w:t>(b)</w:t>
      </w:r>
      <w:r>
        <w:tab/>
        <w:t>for division 2.18.17 (Enforcement—arrest warrants for absconding defendants)—see rule 2551; and</w:t>
      </w:r>
    </w:p>
    <w:p w14:paraId="778240EB" w14:textId="77777777" w:rsidR="00D94935" w:rsidRDefault="00D94935" w:rsidP="00D94935">
      <w:pPr>
        <w:pStyle w:val="aDefpara"/>
      </w:pPr>
      <w:r>
        <w:tab/>
        <w:t>(c)</w:t>
      </w:r>
      <w:r>
        <w:tab/>
        <w:t>for schedule 6 (Corporations Rules)—see schedule 6, rule 1.5.</w:t>
      </w:r>
    </w:p>
    <w:p w14:paraId="5B0170AE" w14:textId="77777777" w:rsidR="00D94935" w:rsidRDefault="00D94935" w:rsidP="00D94935">
      <w:pPr>
        <w:pStyle w:val="aDef"/>
        <w:keepNext/>
      </w:pPr>
      <w:r w:rsidRPr="006364FA">
        <w:rPr>
          <w:rStyle w:val="charBoldItals"/>
        </w:rPr>
        <w:lastRenderedPageBreak/>
        <w:t>pleading</w:t>
      </w:r>
      <w:r>
        <w:t>—</w:t>
      </w:r>
    </w:p>
    <w:p w14:paraId="614CA00C" w14:textId="77777777" w:rsidR="00D94935" w:rsidRDefault="00D94935" w:rsidP="00D94935">
      <w:pPr>
        <w:pStyle w:val="aDefpara"/>
      </w:pPr>
      <w:r>
        <w:tab/>
        <w:t>(a)</w:t>
      </w:r>
      <w:r>
        <w:tab/>
        <w:t>includes—</w:t>
      </w:r>
    </w:p>
    <w:p w14:paraId="53A4C838" w14:textId="77777777" w:rsidR="00D94935" w:rsidRDefault="00D94935" w:rsidP="00D94935">
      <w:pPr>
        <w:pStyle w:val="Asubpara"/>
      </w:pPr>
      <w:r>
        <w:tab/>
        <w:t>(i)</w:t>
      </w:r>
      <w:r>
        <w:tab/>
        <w:t>a statement of claim; and</w:t>
      </w:r>
    </w:p>
    <w:p w14:paraId="73A200B4" w14:textId="77777777" w:rsidR="00D94935" w:rsidRDefault="00D94935" w:rsidP="00D94935">
      <w:pPr>
        <w:pStyle w:val="Asubpara"/>
      </w:pPr>
      <w:r>
        <w:tab/>
        <w:t>(ii)</w:t>
      </w:r>
      <w:r>
        <w:tab/>
        <w:t>a defence; and</w:t>
      </w:r>
    </w:p>
    <w:p w14:paraId="2901FCF7" w14:textId="77777777" w:rsidR="00D94935" w:rsidRDefault="00D94935" w:rsidP="00D94935">
      <w:pPr>
        <w:pStyle w:val="Asubpara"/>
      </w:pPr>
      <w:r>
        <w:tab/>
        <w:t>(iii)</w:t>
      </w:r>
      <w:r>
        <w:tab/>
        <w:t>a reply; and</w:t>
      </w:r>
    </w:p>
    <w:p w14:paraId="4C526812" w14:textId="77777777" w:rsidR="00D94935" w:rsidRDefault="00D94935" w:rsidP="00D94935">
      <w:pPr>
        <w:pStyle w:val="Asubpara"/>
      </w:pPr>
      <w:r>
        <w:tab/>
        <w:t>(iv)</w:t>
      </w:r>
      <w:r>
        <w:tab/>
        <w:t>a counterclaim made in a proceeding started by originating claim or third-party notice; and</w:t>
      </w:r>
    </w:p>
    <w:p w14:paraId="106F5A4D" w14:textId="77777777" w:rsidR="00D94935" w:rsidRDefault="00D94935" w:rsidP="00D94935">
      <w:pPr>
        <w:pStyle w:val="Asubpara"/>
      </w:pPr>
      <w:r>
        <w:tab/>
        <w:t>(v)</w:t>
      </w:r>
      <w:r>
        <w:tab/>
        <w:t>an answer to a counterclaim; and</w:t>
      </w:r>
    </w:p>
    <w:p w14:paraId="1AE7F4B2" w14:textId="77777777" w:rsidR="00D94935" w:rsidRDefault="00D94935" w:rsidP="00D94935">
      <w:pPr>
        <w:pStyle w:val="Asubpara"/>
      </w:pPr>
      <w:r>
        <w:tab/>
        <w:t>(vi)</w:t>
      </w:r>
      <w:r>
        <w:tab/>
        <w:t>a response to an answer to a counterclaim; and</w:t>
      </w:r>
    </w:p>
    <w:p w14:paraId="4FA31765" w14:textId="77777777" w:rsidR="00D94935" w:rsidRDefault="00D94935" w:rsidP="00D94935">
      <w:pPr>
        <w:pStyle w:val="Asubpara"/>
      </w:pPr>
      <w:r>
        <w:tab/>
        <w:t>(vii)</w:t>
      </w:r>
      <w:r>
        <w:tab/>
        <w:t>an affidavit ordered to be treated as pleadings; and</w:t>
      </w:r>
    </w:p>
    <w:p w14:paraId="3EC56983" w14:textId="77777777" w:rsidR="00D94935" w:rsidRDefault="00D94935" w:rsidP="00D94935">
      <w:pPr>
        <w:pStyle w:val="Asubpara"/>
      </w:pPr>
      <w:r>
        <w:tab/>
        <w:t>(viii)</w:t>
      </w:r>
      <w:r>
        <w:tab/>
        <w:t>an application for arbitration; and</w:t>
      </w:r>
    </w:p>
    <w:p w14:paraId="366DAF0A" w14:textId="77777777" w:rsidR="00D94935" w:rsidRDefault="00D94935" w:rsidP="00D94935">
      <w:pPr>
        <w:pStyle w:val="Asubpara"/>
      </w:pPr>
      <w:r>
        <w:tab/>
        <w:t>(ix)</w:t>
      </w:r>
      <w:r>
        <w:tab/>
        <w:t>an answer to an application for arbitration; and</w:t>
      </w:r>
    </w:p>
    <w:p w14:paraId="28E0F46A" w14:textId="77777777" w:rsidR="00D94935" w:rsidRDefault="00D94935" w:rsidP="00D94935">
      <w:pPr>
        <w:pStyle w:val="Asubpara"/>
      </w:pPr>
      <w:r>
        <w:tab/>
        <w:t>(x)</w:t>
      </w:r>
      <w:r>
        <w:tab/>
        <w:t>a third-party notice for an arbitration; but</w:t>
      </w:r>
    </w:p>
    <w:p w14:paraId="590D61EB" w14:textId="77777777" w:rsidR="00D94935" w:rsidRDefault="00D94935" w:rsidP="00D94935">
      <w:pPr>
        <w:pStyle w:val="aDefpara"/>
      </w:pPr>
      <w:r>
        <w:tab/>
        <w:t>(b)</w:t>
      </w:r>
      <w:r>
        <w:tab/>
        <w:t>does not include—</w:t>
      </w:r>
    </w:p>
    <w:p w14:paraId="71726549" w14:textId="77777777" w:rsidR="00D94935" w:rsidRDefault="00D94935" w:rsidP="00D94935">
      <w:pPr>
        <w:pStyle w:val="Asubpara"/>
      </w:pPr>
      <w:r>
        <w:tab/>
        <w:t>(i)</w:t>
      </w:r>
      <w:r>
        <w:tab/>
        <w:t>an originating claim; or</w:t>
      </w:r>
    </w:p>
    <w:p w14:paraId="4CA49775" w14:textId="77777777" w:rsidR="00D94935" w:rsidRDefault="00D94935" w:rsidP="00D94935">
      <w:pPr>
        <w:pStyle w:val="Asubpara"/>
      </w:pPr>
      <w:r>
        <w:tab/>
        <w:t>(ii)</w:t>
      </w:r>
      <w:r>
        <w:tab/>
        <w:t>an originating application; or</w:t>
      </w:r>
    </w:p>
    <w:p w14:paraId="615339BF" w14:textId="77777777" w:rsidR="00D94935" w:rsidRDefault="00D94935" w:rsidP="00D94935">
      <w:pPr>
        <w:pStyle w:val="Asubpara"/>
      </w:pPr>
      <w:r>
        <w:tab/>
        <w:t>(iii)</w:t>
      </w:r>
      <w:r>
        <w:tab/>
        <w:t>a third-party notice other than a third-party notice for an arbitration; or</w:t>
      </w:r>
    </w:p>
    <w:p w14:paraId="50DB30D9" w14:textId="77777777" w:rsidR="00D94935" w:rsidRDefault="00D94935" w:rsidP="0001712F">
      <w:pPr>
        <w:pStyle w:val="Asubpara"/>
        <w:keepNext/>
      </w:pPr>
      <w:r>
        <w:tab/>
        <w:t>(iv)</w:t>
      </w:r>
      <w:r>
        <w:tab/>
        <w:t>an application in a proceeding.</w:t>
      </w:r>
    </w:p>
    <w:p w14:paraId="03EDD438" w14:textId="77777777" w:rsidR="00D94935" w:rsidRDefault="00D94935" w:rsidP="00D94935">
      <w:pPr>
        <w:pStyle w:val="aNote"/>
      </w:pPr>
      <w:r w:rsidRPr="006364FA">
        <w:rPr>
          <w:rStyle w:val="charItals"/>
        </w:rPr>
        <w:t>Note</w:t>
      </w:r>
      <w:r w:rsidRPr="006364FA">
        <w:rPr>
          <w:rStyle w:val="charItals"/>
        </w:rPr>
        <w:tab/>
      </w:r>
      <w:r>
        <w:t>A pleading must comply with pt 2.6 (Pleadings).</w:t>
      </w:r>
    </w:p>
    <w:p w14:paraId="55F32496" w14:textId="77777777"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14:paraId="6BCF69D4" w14:textId="77777777" w:rsidR="001200CB" w:rsidRPr="00061096" w:rsidRDefault="001200CB" w:rsidP="001200CB">
      <w:pPr>
        <w:pStyle w:val="aDef"/>
      </w:pPr>
      <w:r w:rsidRPr="00061096">
        <w:rPr>
          <w:rStyle w:val="charBoldItals"/>
        </w:rPr>
        <w:t>practice direction</w:t>
      </w:r>
      <w:r w:rsidRPr="00061096">
        <w:t>, for part 5.4 (Appeals to Court of Appeal)—see rule 5300A.</w:t>
      </w:r>
    </w:p>
    <w:p w14:paraId="0F1BD3F8" w14:textId="77777777" w:rsidR="00D94935" w:rsidRDefault="00D94935" w:rsidP="00D94935">
      <w:pPr>
        <w:pStyle w:val="aDef"/>
      </w:pPr>
      <w:r w:rsidRPr="006364FA">
        <w:rPr>
          <w:rStyle w:val="charBoldItals"/>
        </w:rPr>
        <w:t>practice note</w:t>
      </w:r>
      <w:r>
        <w:t xml:space="preserve"> means a practice note under rule 6907.</w:t>
      </w:r>
    </w:p>
    <w:p w14:paraId="399F7E93" w14:textId="77777777" w:rsidR="00D94935" w:rsidRDefault="00D94935" w:rsidP="00D94935">
      <w:pPr>
        <w:pStyle w:val="aDef"/>
      </w:pPr>
      <w:r w:rsidRPr="006364FA">
        <w:rPr>
          <w:rStyle w:val="charBoldItals"/>
        </w:rPr>
        <w:t>premises</w:t>
      </w:r>
      <w:r>
        <w:t>, for subdivision 2.9.4.3 (Search orders)—see rule 750.</w:t>
      </w:r>
    </w:p>
    <w:p w14:paraId="36C7B10F" w14:textId="77777777" w:rsidR="00D94935" w:rsidRDefault="00D94935" w:rsidP="00D94935">
      <w:pPr>
        <w:pStyle w:val="aDef"/>
        <w:keepNext/>
      </w:pPr>
      <w:r w:rsidRPr="006364FA">
        <w:rPr>
          <w:rStyle w:val="charBoldItals"/>
        </w:rPr>
        <w:lastRenderedPageBreak/>
        <w:t>prepaid post</w:t>
      </w:r>
      <w:r>
        <w:t xml:space="preserve"> includes post that is paid for after it is posted if—</w:t>
      </w:r>
    </w:p>
    <w:p w14:paraId="25E05641" w14:textId="77777777" w:rsidR="00D94935" w:rsidRDefault="00D94935" w:rsidP="00D94935">
      <w:pPr>
        <w:pStyle w:val="aDefpara"/>
      </w:pPr>
      <w:r>
        <w:tab/>
        <w:t>(a)</w:t>
      </w:r>
      <w:r>
        <w:tab/>
        <w:t>it is accepted for delivery by post; and</w:t>
      </w:r>
    </w:p>
    <w:p w14:paraId="2A59D23B" w14:textId="77777777" w:rsidR="00D94935" w:rsidRDefault="00D94935" w:rsidP="005309FF">
      <w:pPr>
        <w:pStyle w:val="aDefpara"/>
        <w:keepNext/>
      </w:pPr>
      <w:r>
        <w:tab/>
        <w:t>(b)</w:t>
      </w:r>
      <w:r>
        <w:tab/>
        <w:t>the postage is not paid (or to be paid) by the person to whom it is delivered (or to be delivered).</w:t>
      </w:r>
    </w:p>
    <w:p w14:paraId="52E2FA5F" w14:textId="77777777" w:rsidR="00D94935" w:rsidRDefault="00D94935" w:rsidP="00D94935">
      <w:pPr>
        <w:pStyle w:val="aExamHdgss"/>
      </w:pPr>
      <w:r>
        <w:t>Example</w:t>
      </w:r>
    </w:p>
    <w:p w14:paraId="68ABFFA7" w14:textId="77777777" w:rsidR="00D94935" w:rsidRDefault="00D94935" w:rsidP="00D94935">
      <w:pPr>
        <w:pStyle w:val="aExamss"/>
        <w:keepNext/>
      </w:pPr>
      <w:r>
        <w:t>A person has a contract with Australia Post under which Australia Post periodically bills the person for items given by the person to Australia Post for delivery.</w:t>
      </w:r>
    </w:p>
    <w:p w14:paraId="297B8E26" w14:textId="77777777" w:rsidR="00D94935" w:rsidRDefault="00D94935" w:rsidP="00D94935">
      <w:pPr>
        <w:pStyle w:val="aDef"/>
      </w:pPr>
      <w:r w:rsidRPr="006364FA">
        <w:rPr>
          <w:rStyle w:val="charBoldItals"/>
        </w:rPr>
        <w:t>prerogative injunction</w:t>
      </w:r>
      <w:r>
        <w:rPr>
          <w:bCs/>
          <w:iCs/>
        </w:rPr>
        <w:t>, for part 3.10 (Judicial review)—</w:t>
      </w:r>
      <w:r>
        <w:t>see rule 3550.</w:t>
      </w:r>
    </w:p>
    <w:p w14:paraId="0409118A" w14:textId="77777777" w:rsidR="00D94935" w:rsidRDefault="00D94935" w:rsidP="00D94935">
      <w:pPr>
        <w:pStyle w:val="aDef"/>
      </w:pPr>
      <w:r w:rsidRPr="006364FA">
        <w:rPr>
          <w:rStyle w:val="charBoldItals"/>
        </w:rPr>
        <w:t>prerogative order</w:t>
      </w:r>
      <w:r>
        <w:rPr>
          <w:bCs/>
          <w:iCs/>
        </w:rPr>
        <w:t>, for part 3.10 (Judicial review)—</w:t>
      </w:r>
      <w:r>
        <w:t>see rule 3550.</w:t>
      </w:r>
    </w:p>
    <w:p w14:paraId="6AF2846A" w14:textId="77777777" w:rsidR="00D94935" w:rsidRDefault="00D94935" w:rsidP="00D94935">
      <w:pPr>
        <w:pStyle w:val="aDef"/>
      </w:pPr>
      <w:r w:rsidRPr="006364FA">
        <w:rPr>
          <w:rStyle w:val="charBoldItals"/>
        </w:rPr>
        <w:t>prerogative relief</w:t>
      </w:r>
      <w:r>
        <w:rPr>
          <w:bCs/>
          <w:iCs/>
        </w:rPr>
        <w:t>, for part 3.10 (Judicial review)—</w:t>
      </w:r>
      <w:r>
        <w:t>see rule 3550.</w:t>
      </w:r>
    </w:p>
    <w:p w14:paraId="74CED9EE" w14:textId="77777777"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14:paraId="3E8B7061" w14:textId="77777777" w:rsidR="00D94935" w:rsidRPr="00C53530" w:rsidRDefault="00D94935" w:rsidP="00D94935">
      <w:pPr>
        <w:pStyle w:val="aDef"/>
      </w:pPr>
      <w:r w:rsidRPr="00C53530">
        <w:rPr>
          <w:rStyle w:val="charBoldItals"/>
        </w:rPr>
        <w:t>prescribed offender</w:t>
      </w:r>
      <w:r w:rsidRPr="00C53530">
        <w:t>, for part 4.4 (Forensic proceedings)—see rule 4800.</w:t>
      </w:r>
    </w:p>
    <w:p w14:paraId="066308E4" w14:textId="77777777" w:rsidR="00D94935" w:rsidRDefault="00D94935" w:rsidP="00D94935">
      <w:pPr>
        <w:pStyle w:val="aDef"/>
      </w:pPr>
      <w:r w:rsidRPr="006364FA">
        <w:rPr>
          <w:rStyle w:val="charBoldItals"/>
        </w:rPr>
        <w:t>prescribed scale of costs</w:t>
      </w:r>
      <w:r>
        <w:t>—</w:t>
      </w:r>
    </w:p>
    <w:p w14:paraId="2058C987" w14:textId="77777777" w:rsidR="00D94935" w:rsidRDefault="00D94935" w:rsidP="00D94935">
      <w:pPr>
        <w:pStyle w:val="aDefpara"/>
      </w:pPr>
      <w:r>
        <w:tab/>
        <w:t>(a)</w:t>
      </w:r>
      <w:r>
        <w:tab/>
        <w:t>for part 2.17 (Costs)—see rule 1700; and</w:t>
      </w:r>
    </w:p>
    <w:p w14:paraId="09380A73" w14:textId="77777777" w:rsidR="00D94935" w:rsidRDefault="00D94935" w:rsidP="00D94935">
      <w:pPr>
        <w:pStyle w:val="aDefpara"/>
      </w:pPr>
      <w:r>
        <w:tab/>
        <w:t>(b)</w:t>
      </w:r>
      <w:r>
        <w:tab/>
        <w:t>for part 3.13 (Workers compensation)—see rule 3900.</w:t>
      </w:r>
    </w:p>
    <w:p w14:paraId="45F59F6A" w14:textId="4F2F5944" w:rsidR="00D94935" w:rsidRPr="006364FA" w:rsidRDefault="00D94935" w:rsidP="00D94935">
      <w:pPr>
        <w:pStyle w:val="aDef"/>
      </w:pPr>
      <w:r>
        <w:rPr>
          <w:rStyle w:val="charBoldItals"/>
        </w:rPr>
        <w:t>principal</w:t>
      </w:r>
      <w:r>
        <w:t xml:space="preserve">, for part 3.13 (Workers compensation)—see the </w:t>
      </w:r>
      <w:hyperlink r:id="rId1234" w:tooltip="A1951-2" w:history="1">
        <w:r w:rsidRPr="00E95F50">
          <w:rPr>
            <w:rStyle w:val="charCitHyperlinkAbbrev"/>
          </w:rPr>
          <w:t>Workers Compensation Act</w:t>
        </w:r>
      </w:hyperlink>
      <w:r>
        <w:t>, section 13 (Subcontracting).</w:t>
      </w:r>
    </w:p>
    <w:p w14:paraId="7AF183D7" w14:textId="77777777"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14:paraId="1E5BC33F" w14:textId="77777777" w:rsidR="00D94935" w:rsidRDefault="00D94935" w:rsidP="00D94935">
      <w:pPr>
        <w:pStyle w:val="aDef"/>
      </w:pPr>
      <w:r w:rsidRPr="006364FA">
        <w:rPr>
          <w:rStyle w:val="charBoldItals"/>
        </w:rPr>
        <w:t>privileged from production</w:t>
      </w:r>
      <w:r>
        <w:t>, for part 2.8 (Disclosure)—see rule 601.</w:t>
      </w:r>
    </w:p>
    <w:p w14:paraId="415E1058" w14:textId="77777777" w:rsidR="00D94935" w:rsidRDefault="00D94935" w:rsidP="00D94935">
      <w:pPr>
        <w:pStyle w:val="aDef"/>
      </w:pPr>
      <w:r w:rsidRPr="006364FA">
        <w:rPr>
          <w:rStyle w:val="charBoldItals"/>
        </w:rPr>
        <w:t>proceeding</w:t>
      </w:r>
      <w:r>
        <w:t>, for division 6.10.9 (Taking evidence for Australian and foreign courts and tribunals)—see rule 6840.</w:t>
      </w:r>
    </w:p>
    <w:p w14:paraId="50A5CC3F" w14:textId="77777777" w:rsidR="00D94935" w:rsidRDefault="00D94935" w:rsidP="00D94935">
      <w:pPr>
        <w:pStyle w:val="aDef"/>
      </w:pPr>
      <w:r w:rsidRPr="006364FA">
        <w:rPr>
          <w:rStyle w:val="charBoldItals"/>
        </w:rPr>
        <w:t>prohibition order</w:t>
      </w:r>
      <w:r>
        <w:rPr>
          <w:bCs/>
          <w:iCs/>
        </w:rPr>
        <w:t>, for part 3.10 (Judicial review)—</w:t>
      </w:r>
      <w:r>
        <w:t>see rule 3550.</w:t>
      </w:r>
    </w:p>
    <w:p w14:paraId="03996348" w14:textId="77777777" w:rsidR="00D94935" w:rsidRDefault="00D94935" w:rsidP="00D94935">
      <w:pPr>
        <w:pStyle w:val="aDef"/>
      </w:pPr>
      <w:r w:rsidRPr="006364FA">
        <w:rPr>
          <w:rStyle w:val="charBoldItals"/>
        </w:rPr>
        <w:t>qualified person</w:t>
      </w:r>
      <w:r>
        <w:t>, for division 2.11.3 (Default by defendant)—see rule 1115.</w:t>
      </w:r>
    </w:p>
    <w:p w14:paraId="2E828531" w14:textId="77777777" w:rsidR="00D94935" w:rsidRDefault="00D94935" w:rsidP="00D94935">
      <w:pPr>
        <w:pStyle w:val="aDef"/>
      </w:pPr>
      <w:r w:rsidRPr="006364FA">
        <w:rPr>
          <w:rStyle w:val="charBoldItals"/>
        </w:rPr>
        <w:lastRenderedPageBreak/>
        <w:t>question</w:t>
      </w:r>
      <w:r>
        <w:t>, for part 2.15 (Trial)—see rule 1500.</w:t>
      </w:r>
    </w:p>
    <w:p w14:paraId="603C7FF1" w14:textId="77777777" w:rsidR="00D94935" w:rsidRDefault="00D94935" w:rsidP="00D94935">
      <w:pPr>
        <w:pStyle w:val="aDef"/>
        <w:rPr>
          <w:bCs/>
          <w:iCs/>
        </w:rPr>
      </w:pPr>
      <w:r w:rsidRPr="006364FA">
        <w:rPr>
          <w:rStyle w:val="charBoldItals"/>
        </w:rPr>
        <w:t>question referred</w:t>
      </w:r>
      <w:r>
        <w:rPr>
          <w:bCs/>
          <w:iCs/>
        </w:rPr>
        <w:t>—</w:t>
      </w:r>
    </w:p>
    <w:p w14:paraId="0C0523E9" w14:textId="77777777" w:rsidR="00D94935" w:rsidRDefault="00D94935" w:rsidP="00D94935">
      <w:pPr>
        <w:pStyle w:val="aDefpara"/>
      </w:pPr>
      <w:r>
        <w:tab/>
        <w:t>(a)</w:t>
      </w:r>
      <w:r>
        <w:tab/>
        <w:t>to the Supreme Court, for division 5.7.1 (Questions referred—Supreme Court)—see rule 5801; and</w:t>
      </w:r>
    </w:p>
    <w:p w14:paraId="3C3F4F93" w14:textId="77777777" w:rsidR="00D94935" w:rsidRDefault="00D94935" w:rsidP="00D94935">
      <w:pPr>
        <w:pStyle w:val="aDefpara"/>
      </w:pPr>
      <w:r>
        <w:tab/>
        <w:t>(b)</w:t>
      </w:r>
      <w:r>
        <w:tab/>
        <w:t>to the Court of Appeal, for division 5.7.2 (</w:t>
      </w:r>
      <w:r>
        <w:rPr>
          <w:rStyle w:val="CharDivText"/>
        </w:rPr>
        <w:t>Questions referred—Court of Appeal)—see rule 5831.</w:t>
      </w:r>
    </w:p>
    <w:p w14:paraId="63DCA180" w14:textId="77777777" w:rsidR="00D94935" w:rsidRDefault="00D94935" w:rsidP="00D94935">
      <w:pPr>
        <w:pStyle w:val="aDef"/>
        <w:keepNext/>
      </w:pPr>
      <w:r w:rsidRPr="006364FA">
        <w:rPr>
          <w:rStyle w:val="charBoldItals"/>
        </w:rPr>
        <w:t>quo warranto order</w:t>
      </w:r>
      <w:r>
        <w:t>, for part 3.10 (Judicial review)—see rule 3550.</w:t>
      </w:r>
    </w:p>
    <w:p w14:paraId="222CA94F" w14:textId="77777777" w:rsidR="00D94935" w:rsidRDefault="00D94935" w:rsidP="00D94935">
      <w:pPr>
        <w:pStyle w:val="aDef"/>
        <w:keepNext/>
      </w:pPr>
      <w:r w:rsidRPr="006364FA">
        <w:rPr>
          <w:rStyle w:val="charBoldItals"/>
        </w:rPr>
        <w:t>reference appeal</w:t>
      </w:r>
      <w:r>
        <w:t>—</w:t>
      </w:r>
    </w:p>
    <w:p w14:paraId="2667EE34" w14:textId="77777777" w:rsidR="00D94935" w:rsidRDefault="00D94935" w:rsidP="00D94935">
      <w:pPr>
        <w:pStyle w:val="aDefpara"/>
      </w:pPr>
      <w:r>
        <w:tab/>
        <w:t>(a)</w:t>
      </w:r>
      <w:r>
        <w:tab/>
        <w:t>for division 5.6.1 (Reference appeals—Supreme Court)—see rule 5750; and</w:t>
      </w:r>
    </w:p>
    <w:p w14:paraId="7C2A04B3" w14:textId="77777777" w:rsidR="00D94935" w:rsidRDefault="00D94935" w:rsidP="00D94935">
      <w:pPr>
        <w:pStyle w:val="aDefpara"/>
      </w:pPr>
      <w:r>
        <w:tab/>
        <w:t>(b)</w:t>
      </w:r>
      <w:r>
        <w:tab/>
        <w:t>for division 5.6.2 (Reference appeals—Court of Appeal)—see rule 5770.</w:t>
      </w:r>
    </w:p>
    <w:p w14:paraId="73032FA0" w14:textId="77777777" w:rsidR="00D94935" w:rsidRDefault="00D94935" w:rsidP="00D94935">
      <w:pPr>
        <w:pStyle w:val="aDef"/>
      </w:pPr>
      <w:r w:rsidRPr="006364FA">
        <w:rPr>
          <w:rStyle w:val="charBoldItals"/>
        </w:rPr>
        <w:t>referring court or tribunal</w:t>
      </w:r>
      <w:r>
        <w:t>, for division 5.7.1 (Questions referred—Supreme Court)—see rule 5800.</w:t>
      </w:r>
    </w:p>
    <w:p w14:paraId="5C46FCD7" w14:textId="77777777" w:rsidR="00D94935" w:rsidRDefault="00D94935" w:rsidP="00D94935">
      <w:pPr>
        <w:pStyle w:val="aDef"/>
      </w:pPr>
      <w:r w:rsidRPr="006364FA">
        <w:rPr>
          <w:rStyle w:val="charBoldItals"/>
        </w:rPr>
        <w:t>register</w:t>
      </w:r>
      <w:r>
        <w:t>—</w:t>
      </w:r>
    </w:p>
    <w:p w14:paraId="2A5EBDB7" w14:textId="77777777" w:rsidR="00D94935" w:rsidRDefault="00D94935" w:rsidP="00D94935">
      <w:pPr>
        <w:pStyle w:val="aDefpara"/>
      </w:pPr>
      <w:r>
        <w:tab/>
        <w:t>(a)</w:t>
      </w:r>
      <w:r>
        <w:tab/>
        <w:t>for division 3.7.1 (Foreign confiscation orders—registration)—see rule 3450; and</w:t>
      </w:r>
    </w:p>
    <w:p w14:paraId="0FA0E7C1" w14:textId="77777777" w:rsidR="00D94935" w:rsidRDefault="00D94935" w:rsidP="00D94935">
      <w:pPr>
        <w:pStyle w:val="aDefpara"/>
      </w:pPr>
      <w:r>
        <w:tab/>
        <w:t>(b)</w:t>
      </w:r>
      <w:r>
        <w:tab/>
        <w:t>for division 3.7.2 (Interstate confiscation orders—registration)—see rule 3460.</w:t>
      </w:r>
    </w:p>
    <w:p w14:paraId="2AE79B86" w14:textId="77777777"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14:paraId="1246374E" w14:textId="77777777"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14:paraId="2AC453B9" w14:textId="77777777" w:rsidR="00D94935" w:rsidRPr="003904A8" w:rsidRDefault="00D94935" w:rsidP="00D94935">
      <w:pPr>
        <w:pStyle w:val="aDef"/>
      </w:pPr>
      <w:r w:rsidRPr="000F5994">
        <w:rPr>
          <w:rStyle w:val="charBoldItals"/>
        </w:rPr>
        <w:t>registrar</w:t>
      </w:r>
      <w:r w:rsidRPr="003904A8">
        <w:t>—</w:t>
      </w:r>
    </w:p>
    <w:p w14:paraId="48CCB660" w14:textId="77777777"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14:paraId="707D565E" w14:textId="77777777" w:rsidR="00D94935" w:rsidRPr="003904A8" w:rsidRDefault="00D94935" w:rsidP="00D94935">
      <w:pPr>
        <w:pStyle w:val="aDefpara"/>
      </w:pPr>
      <w:r w:rsidRPr="003904A8">
        <w:tab/>
        <w:t>(b)</w:t>
      </w:r>
      <w:r w:rsidRPr="003904A8">
        <w:tab/>
        <w:t>of a court or tribunal, for part 5.3 (Appeals to Supreme Court)—see rule 5050; and</w:t>
      </w:r>
    </w:p>
    <w:p w14:paraId="136737A8" w14:textId="77777777" w:rsidR="00D94935" w:rsidRPr="003904A8" w:rsidRDefault="00D94935" w:rsidP="00D94935">
      <w:pPr>
        <w:pStyle w:val="aDefpara"/>
      </w:pPr>
      <w:r w:rsidRPr="003904A8">
        <w:lastRenderedPageBreak/>
        <w:tab/>
        <w:t>(c)</w:t>
      </w:r>
      <w:r w:rsidRPr="003904A8">
        <w:tab/>
        <w:t>for division 6.8.12 (Service under the Hague Convention)—see rule 6550.</w:t>
      </w:r>
    </w:p>
    <w:p w14:paraId="79CEE3E5" w14:textId="77777777"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14:paraId="1109CD6B" w14:textId="77777777" w:rsidR="00D94935" w:rsidRDefault="00D94935" w:rsidP="00D94935">
      <w:pPr>
        <w:pStyle w:val="aDef"/>
        <w:rPr>
          <w:bCs/>
          <w:iCs/>
        </w:rPr>
      </w:pPr>
      <w:r w:rsidRPr="006364FA">
        <w:rPr>
          <w:rStyle w:val="charBoldItals"/>
        </w:rPr>
        <w:t>regular debt</w:t>
      </w:r>
      <w:r>
        <w:rPr>
          <w:bCs/>
          <w:iCs/>
        </w:rPr>
        <w:t>, for part 2.18 (Enforcement)—see rule 2332.</w:t>
      </w:r>
    </w:p>
    <w:p w14:paraId="401A33D9" w14:textId="77777777"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14:paraId="4843EB97" w14:textId="77777777" w:rsidR="00D94935" w:rsidRDefault="00D94935" w:rsidP="00D94935">
      <w:pPr>
        <w:pStyle w:val="aDef"/>
      </w:pPr>
      <w:r w:rsidRPr="006364FA">
        <w:rPr>
          <w:rStyle w:val="charBoldItals"/>
        </w:rPr>
        <w:t>regular redirection order</w:t>
      </w:r>
      <w:r>
        <w:rPr>
          <w:bCs/>
          <w:iCs/>
        </w:rPr>
        <w:t>—see rule 2332.</w:t>
      </w:r>
    </w:p>
    <w:p w14:paraId="70B1DEF0" w14:textId="77777777" w:rsidR="00D94935" w:rsidRDefault="00D94935" w:rsidP="00D94935">
      <w:pPr>
        <w:pStyle w:val="aDef"/>
      </w:pPr>
      <w:r w:rsidRPr="006364FA">
        <w:rPr>
          <w:rStyle w:val="charBoldItals"/>
        </w:rPr>
        <w:t>relevant law</w:t>
      </w:r>
      <w:r>
        <w:t>, in relation to an appeal, for part 5.3 (Appeals to Supreme Court)—see rule 5050.</w:t>
      </w:r>
    </w:p>
    <w:p w14:paraId="72C28A48" w14:textId="77777777" w:rsidR="00D94935" w:rsidRDefault="00D94935" w:rsidP="00D94935">
      <w:pPr>
        <w:pStyle w:val="aDef"/>
      </w:pPr>
      <w:r w:rsidRPr="006364FA">
        <w:rPr>
          <w:rStyle w:val="charBoldItals"/>
        </w:rPr>
        <w:t>relief</w:t>
      </w:r>
      <w:r>
        <w:rPr>
          <w:bCs/>
          <w:iCs/>
        </w:rPr>
        <w:t xml:space="preserve"> includes remedy.</w:t>
      </w:r>
    </w:p>
    <w:p w14:paraId="2C3FD7FB" w14:textId="77777777" w:rsidR="00D94935" w:rsidRDefault="00D94935" w:rsidP="00D94935">
      <w:pPr>
        <w:pStyle w:val="aDef"/>
      </w:pPr>
      <w:r w:rsidRPr="006364FA">
        <w:rPr>
          <w:rStyle w:val="charBoldItals"/>
        </w:rPr>
        <w:t>reply</w:t>
      </w:r>
      <w:r>
        <w:rPr>
          <w:bCs/>
          <w:iCs/>
        </w:rPr>
        <w:t xml:space="preserve"> includes a response to an answer to a counterclaim.</w:t>
      </w:r>
    </w:p>
    <w:p w14:paraId="284D7A59" w14:textId="77777777" w:rsidR="00D94935" w:rsidRPr="006364FA" w:rsidRDefault="00D94935" w:rsidP="00D94935">
      <w:pPr>
        <w:pStyle w:val="aDef"/>
      </w:pPr>
      <w:r>
        <w:rPr>
          <w:rStyle w:val="charBoldItals"/>
        </w:rPr>
        <w:t>representative</w:t>
      </w:r>
      <w:r>
        <w:t>, for part 3.13 (Workers compensation)—see rule 3900.</w:t>
      </w:r>
    </w:p>
    <w:p w14:paraId="3F5B6AB8" w14:textId="77777777" w:rsidR="00D94935" w:rsidRDefault="00D94935" w:rsidP="00D94935">
      <w:pPr>
        <w:pStyle w:val="aDef"/>
      </w:pPr>
      <w:r w:rsidRPr="006364FA">
        <w:rPr>
          <w:rStyle w:val="charBoldItals"/>
        </w:rPr>
        <w:t>request</w:t>
      </w:r>
      <w:r>
        <w:t>, for division 6.10.9 (Taking evidence for Australian and foreign courts and tribunals)—see rule 6840.</w:t>
      </w:r>
    </w:p>
    <w:p w14:paraId="3119EC23" w14:textId="77777777"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14:paraId="4A84C5A5" w14:textId="77777777"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14:paraId="629F16FE" w14:textId="77777777"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14:paraId="0C41F621" w14:textId="77777777" w:rsidR="00D94935" w:rsidRDefault="00D94935" w:rsidP="00D94935">
      <w:pPr>
        <w:pStyle w:val="aDef"/>
        <w:keepNext/>
      </w:pPr>
      <w:r w:rsidRPr="006364FA">
        <w:rPr>
          <w:rStyle w:val="charBoldItals"/>
        </w:rPr>
        <w:t>respondent</w:t>
      </w:r>
      <w:r>
        <w:t>—</w:t>
      </w:r>
    </w:p>
    <w:p w14:paraId="598BFA06" w14:textId="77777777" w:rsidR="00D94935" w:rsidRDefault="00D94935" w:rsidP="00D94935">
      <w:pPr>
        <w:pStyle w:val="aDefpara"/>
      </w:pPr>
      <w:r>
        <w:tab/>
        <w:t>(a)</w:t>
      </w:r>
      <w:r>
        <w:tab/>
        <w:t>in relation to a notice for non</w:t>
      </w:r>
      <w:r>
        <w:noBreakHyphen/>
        <w:t>party production, for part 2.8 (Disclosure)—see rule 600; and</w:t>
      </w:r>
    </w:p>
    <w:p w14:paraId="6A038E32" w14:textId="77777777" w:rsidR="00D94935" w:rsidRDefault="00D94935" w:rsidP="00D94935">
      <w:pPr>
        <w:pStyle w:val="aDefpara"/>
      </w:pPr>
      <w:r>
        <w:tab/>
        <w:t>(b)</w:t>
      </w:r>
      <w:r>
        <w:tab/>
        <w:t>for subdivision 2.9.4.2 (Freezing orders)—see rule 740; and</w:t>
      </w:r>
    </w:p>
    <w:p w14:paraId="25730216" w14:textId="77777777" w:rsidR="00D94935" w:rsidRDefault="00D94935" w:rsidP="00D94935">
      <w:pPr>
        <w:pStyle w:val="aDefpara"/>
      </w:pPr>
      <w:r>
        <w:tab/>
        <w:t>(c)</w:t>
      </w:r>
      <w:r>
        <w:tab/>
        <w:t>for subdivision 2.9.4.3 (Search orders)—see rule 750; and</w:t>
      </w:r>
    </w:p>
    <w:p w14:paraId="4823CB60" w14:textId="77777777" w:rsidR="00D94935" w:rsidRDefault="00D94935" w:rsidP="00D94935">
      <w:pPr>
        <w:pStyle w:val="aDefpara"/>
      </w:pPr>
      <w:r>
        <w:tab/>
        <w:t>(d)</w:t>
      </w:r>
      <w:r>
        <w:tab/>
        <w:t>for schedule 6 (Corporations Rules)—see schedule 6, rule 1.5.</w:t>
      </w:r>
    </w:p>
    <w:p w14:paraId="203E035C" w14:textId="77777777" w:rsidR="00D94935" w:rsidRDefault="00D94935" w:rsidP="00D94935">
      <w:pPr>
        <w:pStyle w:val="aDef"/>
        <w:keepNext/>
      </w:pPr>
      <w:r w:rsidRPr="006364FA">
        <w:rPr>
          <w:rStyle w:val="charBoldItals"/>
        </w:rPr>
        <w:lastRenderedPageBreak/>
        <w:t>return date</w:t>
      </w:r>
      <w:r>
        <w:t xml:space="preserve"> means—</w:t>
      </w:r>
    </w:p>
    <w:p w14:paraId="06139FF7" w14:textId="77777777" w:rsidR="00D94935" w:rsidRDefault="00D94935" w:rsidP="00D94935">
      <w:pPr>
        <w:pStyle w:val="aDefpara"/>
      </w:pPr>
      <w:r>
        <w:tab/>
        <w:t>(a)</w:t>
      </w:r>
      <w:r>
        <w:tab/>
        <w:t>for an application—the date (if any) set by the court for the application to be next before the court; and</w:t>
      </w:r>
    </w:p>
    <w:p w14:paraId="39EC7B68" w14:textId="77777777" w:rsidR="00D94935" w:rsidRDefault="00D94935" w:rsidP="00D94935">
      <w:pPr>
        <w:pStyle w:val="aDefpara"/>
      </w:pPr>
      <w:r>
        <w:tab/>
        <w:t>(b)</w:t>
      </w:r>
      <w:r>
        <w:tab/>
        <w:t>for a subpoena—the date set by the court for the subpoena to be complied with.</w:t>
      </w:r>
    </w:p>
    <w:p w14:paraId="404712DB" w14:textId="77777777"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14:paraId="01AB3FBE" w14:textId="77777777"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14:paraId="21B909E2" w14:textId="77777777" w:rsidR="00D94935" w:rsidRDefault="00D94935" w:rsidP="00D94935">
      <w:pPr>
        <w:pStyle w:val="aDef"/>
      </w:pPr>
      <w:r w:rsidRPr="006364FA">
        <w:rPr>
          <w:rStyle w:val="charBoldItals"/>
        </w:rPr>
        <w:t>script</w:t>
      </w:r>
      <w:r>
        <w:rPr>
          <w:bCs/>
          <w:iCs/>
        </w:rPr>
        <w:t>, for division 3.1.9 (Other probate proceedings)—</w:t>
      </w:r>
      <w:r>
        <w:t>see rule 3090.</w:t>
      </w:r>
    </w:p>
    <w:p w14:paraId="52BCDCDF" w14:textId="77777777" w:rsidR="00D94935" w:rsidRDefault="00D94935" w:rsidP="00D94935">
      <w:pPr>
        <w:pStyle w:val="aDef"/>
      </w:pPr>
      <w:r w:rsidRPr="006364FA">
        <w:rPr>
          <w:rStyle w:val="charBoldItals"/>
        </w:rPr>
        <w:t>sealed</w:t>
      </w:r>
      <w:r>
        <w:rPr>
          <w:iCs/>
        </w:rPr>
        <w:t xml:space="preserve">, for a document, </w:t>
      </w:r>
      <w:r>
        <w:t>means stamped with the court’s seal.</w:t>
      </w:r>
    </w:p>
    <w:p w14:paraId="32724994" w14:textId="77777777" w:rsidR="00D94935" w:rsidRDefault="00D94935" w:rsidP="00D94935">
      <w:pPr>
        <w:pStyle w:val="aDef"/>
      </w:pPr>
      <w:r w:rsidRPr="006364FA">
        <w:rPr>
          <w:rStyle w:val="charBoldItals"/>
        </w:rPr>
        <w:t>search order</w:t>
      </w:r>
      <w:r>
        <w:rPr>
          <w:bCs/>
          <w:iCs/>
        </w:rPr>
        <w:t>, for division 2.9.4 (Injunctions and similar orders)—</w:t>
      </w:r>
      <w:r>
        <w:t>see rule 751.</w:t>
      </w:r>
    </w:p>
    <w:p w14:paraId="657D8230" w14:textId="77777777" w:rsidR="00D94935" w:rsidRDefault="00D94935" w:rsidP="00D94935">
      <w:pPr>
        <w:pStyle w:val="aDef"/>
        <w:keepNext/>
        <w:rPr>
          <w:bCs/>
          <w:iCs/>
        </w:rPr>
      </w:pPr>
      <w:r w:rsidRPr="006364FA">
        <w:rPr>
          <w:rStyle w:val="charBoldItals"/>
        </w:rPr>
        <w:t>security interest</w:t>
      </w:r>
      <w:r>
        <w:rPr>
          <w:bCs/>
          <w:iCs/>
        </w:rPr>
        <w:t>, for part 2.18 (Enforcement)—see rule 2401.</w:t>
      </w:r>
    </w:p>
    <w:p w14:paraId="1AF859F6" w14:textId="77777777" w:rsidR="00D94935" w:rsidRDefault="00D94935" w:rsidP="00D94935">
      <w:pPr>
        <w:pStyle w:val="aDef"/>
      </w:pPr>
      <w:r w:rsidRPr="006364FA">
        <w:rPr>
          <w:rStyle w:val="charBoldItals"/>
        </w:rPr>
        <w:t>seizure and sale order</w:t>
      </w:r>
      <w:r>
        <w:t>—see rule 2200.</w:t>
      </w:r>
    </w:p>
    <w:p w14:paraId="449FE2C5" w14:textId="77777777"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14:paraId="44CB8671" w14:textId="77777777" w:rsidR="00D94935" w:rsidRDefault="00D94935" w:rsidP="00D94935">
      <w:pPr>
        <w:pStyle w:val="aDef"/>
        <w:keepNext/>
      </w:pPr>
      <w:r w:rsidRPr="006364FA">
        <w:rPr>
          <w:rStyle w:val="charBoldItals"/>
        </w:rPr>
        <w:t>sentence</w:t>
      </w:r>
      <w:r>
        <w:t>—</w:t>
      </w:r>
    </w:p>
    <w:p w14:paraId="4EF185F3" w14:textId="77777777" w:rsidR="00D94935" w:rsidRDefault="00D94935" w:rsidP="00D94935">
      <w:pPr>
        <w:pStyle w:val="aDefpara"/>
      </w:pPr>
      <w:r>
        <w:tab/>
        <w:t>(a)</w:t>
      </w:r>
      <w:r>
        <w:tab/>
        <w:t>for part 4.3 (Supreme Court criminal proceedings)—</w:t>
      </w:r>
      <w:r>
        <w:rPr>
          <w:lang w:val="en-US"/>
        </w:rPr>
        <w:t>see rule 4700</w:t>
      </w:r>
      <w:r>
        <w:t>; and</w:t>
      </w:r>
    </w:p>
    <w:p w14:paraId="22ACA082" w14:textId="77777777" w:rsidR="00D94935" w:rsidRDefault="00D94935" w:rsidP="00D94935">
      <w:pPr>
        <w:pStyle w:val="aDefpara"/>
      </w:pPr>
      <w:r>
        <w:tab/>
        <w:t>(b)</w:t>
      </w:r>
      <w:r>
        <w:tab/>
        <w:t>for chapter 5 (Appellate proceedings)—see rule 5000.</w:t>
      </w:r>
    </w:p>
    <w:p w14:paraId="53965DE9" w14:textId="77777777" w:rsidR="00D94935" w:rsidRPr="00C53530" w:rsidRDefault="00D94935" w:rsidP="00D94935">
      <w:pPr>
        <w:pStyle w:val="Amainreturn"/>
      </w:pPr>
      <w:r w:rsidRPr="00C53530">
        <w:rPr>
          <w:rStyle w:val="charBoldItals"/>
        </w:rPr>
        <w:t>serious offender</w:t>
      </w:r>
      <w:r w:rsidRPr="00C53530">
        <w:t>, for part 4.4 (Forensic proceedings)—see rule 4800.</w:t>
      </w:r>
    </w:p>
    <w:p w14:paraId="4A9DA6CF" w14:textId="77777777"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14:paraId="1D153402" w14:textId="77777777" w:rsidR="00D94935" w:rsidRDefault="00D94935" w:rsidP="00D94935">
      <w:pPr>
        <w:pStyle w:val="aDef"/>
        <w:keepNext/>
      </w:pPr>
      <w:r w:rsidRPr="006364FA">
        <w:rPr>
          <w:rStyle w:val="charBoldItals"/>
        </w:rPr>
        <w:t>set aside</w:t>
      </w:r>
      <w:r>
        <w:t xml:space="preserve"> means—</w:t>
      </w:r>
    </w:p>
    <w:p w14:paraId="5178FE47" w14:textId="77777777" w:rsidR="00D94935" w:rsidRDefault="00D94935" w:rsidP="00D94935">
      <w:pPr>
        <w:pStyle w:val="aDefpara"/>
      </w:pPr>
      <w:r>
        <w:tab/>
        <w:t>(a)</w:t>
      </w:r>
      <w:r>
        <w:tab/>
        <w:t>for a document—the document cannot be relied on in a proceeding; or</w:t>
      </w:r>
    </w:p>
    <w:p w14:paraId="29BFC38F" w14:textId="77777777" w:rsidR="00D94935" w:rsidRDefault="00D94935" w:rsidP="00D94935">
      <w:pPr>
        <w:pStyle w:val="aDefpara"/>
      </w:pPr>
      <w:r>
        <w:lastRenderedPageBreak/>
        <w:tab/>
        <w:t>(b)</w:t>
      </w:r>
      <w:r>
        <w:tab/>
        <w:t>for anything else—the thing stops having effect.</w:t>
      </w:r>
    </w:p>
    <w:p w14:paraId="3CBE0FA7" w14:textId="64517B03" w:rsidR="00D94935" w:rsidRDefault="00D94935" w:rsidP="00D94935">
      <w:pPr>
        <w:pStyle w:val="aDef"/>
      </w:pPr>
      <w:r w:rsidRPr="006364FA">
        <w:rPr>
          <w:rStyle w:val="charBoldItals"/>
        </w:rPr>
        <w:t>sheriff</w:t>
      </w:r>
      <w:r>
        <w:t xml:space="preserve">—see the </w:t>
      </w:r>
      <w:hyperlink r:id="rId1235" w:tooltip="A2004-59" w:history="1">
        <w:r w:rsidRPr="006364FA">
          <w:rPr>
            <w:rStyle w:val="charCitHyperlinkItal"/>
          </w:rPr>
          <w:t>Court Procedures Act 2004</w:t>
        </w:r>
      </w:hyperlink>
      <w:r>
        <w:t>, section 40.</w:t>
      </w:r>
    </w:p>
    <w:p w14:paraId="626B572D" w14:textId="1DC17556" w:rsidR="00D94935" w:rsidRDefault="00D94935" w:rsidP="00D94935">
      <w:pPr>
        <w:pStyle w:val="aDef"/>
      </w:pPr>
      <w:r w:rsidRPr="006364FA">
        <w:rPr>
          <w:rStyle w:val="charBoldItals"/>
        </w:rPr>
        <w:t>sheriff’s officer</w:t>
      </w:r>
      <w:r>
        <w:t xml:space="preserve">—see the </w:t>
      </w:r>
      <w:hyperlink r:id="rId1236" w:tooltip="A2004-59" w:history="1">
        <w:r w:rsidRPr="006364FA">
          <w:rPr>
            <w:rStyle w:val="charCitHyperlinkItal"/>
          </w:rPr>
          <w:t>Court Procedures Act 2004</w:t>
        </w:r>
      </w:hyperlink>
      <w:r>
        <w:t>, section 40.</w:t>
      </w:r>
    </w:p>
    <w:p w14:paraId="4AFC4D90" w14:textId="77777777"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14:paraId="4C385C96" w14:textId="77777777" w:rsidR="00D94935" w:rsidRDefault="00D94935" w:rsidP="00D94935">
      <w:pPr>
        <w:pStyle w:val="aDef"/>
      </w:pPr>
      <w:r w:rsidRPr="006364FA">
        <w:rPr>
          <w:rStyle w:val="charBoldItals"/>
        </w:rPr>
        <w:t>special federal matter</w:t>
      </w:r>
      <w:r>
        <w:rPr>
          <w:bCs/>
          <w:iCs/>
        </w:rPr>
        <w:t>, for part 3.5 (Cross-vesting)—see rule 3300.</w:t>
      </w:r>
    </w:p>
    <w:p w14:paraId="2944C714" w14:textId="77777777" w:rsidR="00D94935" w:rsidRPr="006364FA" w:rsidRDefault="00D94935" w:rsidP="00D94935">
      <w:pPr>
        <w:pStyle w:val="aDef"/>
      </w:pPr>
      <w:r w:rsidRPr="006364FA">
        <w:rPr>
          <w:rStyle w:val="charBoldItals"/>
        </w:rPr>
        <w:t>stamped</w:t>
      </w:r>
      <w:r>
        <w:t>, for a document, means stamped under rule 6304.</w:t>
      </w:r>
    </w:p>
    <w:p w14:paraId="4E9602E9" w14:textId="77777777" w:rsidR="00D94935" w:rsidRPr="006364FA" w:rsidRDefault="00D94935" w:rsidP="00D94935">
      <w:pPr>
        <w:pStyle w:val="aDef"/>
      </w:pPr>
      <w:r w:rsidRPr="006364FA">
        <w:rPr>
          <w:rStyle w:val="charBoldItals"/>
        </w:rPr>
        <w:t>statutory order of review</w:t>
      </w:r>
      <w:r>
        <w:rPr>
          <w:bCs/>
          <w:iCs/>
        </w:rPr>
        <w:t>, for part 3.10 (Judicial review)—</w:t>
      </w:r>
      <w:r>
        <w:t>see rule 3550.</w:t>
      </w:r>
    </w:p>
    <w:p w14:paraId="6BFA8AC5" w14:textId="77777777" w:rsidR="00D94935" w:rsidRDefault="00D94935" w:rsidP="00D94935">
      <w:pPr>
        <w:pStyle w:val="aDef"/>
        <w:keepNext/>
      </w:pPr>
      <w:r>
        <w:rPr>
          <w:rStyle w:val="charBoldItals"/>
        </w:rPr>
        <w:t>subpoena</w:t>
      </w:r>
      <w:r>
        <w:t xml:space="preserve"> means an order in writing requiring the addressee—</w:t>
      </w:r>
    </w:p>
    <w:p w14:paraId="05AA9783" w14:textId="77777777" w:rsidR="00D94935" w:rsidRDefault="00D94935" w:rsidP="00D94935">
      <w:pPr>
        <w:pStyle w:val="aDefpara"/>
      </w:pPr>
      <w:r>
        <w:tab/>
        <w:t>(a)</w:t>
      </w:r>
      <w:r>
        <w:tab/>
        <w:t>to attend to give evidence; or</w:t>
      </w:r>
    </w:p>
    <w:p w14:paraId="7C833E73" w14:textId="77777777" w:rsidR="00D94935" w:rsidRDefault="00D94935" w:rsidP="00D94935">
      <w:pPr>
        <w:pStyle w:val="aDefpara"/>
      </w:pPr>
      <w:r>
        <w:tab/>
        <w:t>(b)</w:t>
      </w:r>
      <w:r>
        <w:tab/>
        <w:t>to produce the subpoena or a copy of it and a document or thing; or</w:t>
      </w:r>
    </w:p>
    <w:p w14:paraId="51FFB504" w14:textId="77777777" w:rsidR="00D94935" w:rsidRDefault="00D94935" w:rsidP="00D94935">
      <w:pPr>
        <w:pStyle w:val="aDefpara"/>
      </w:pPr>
      <w:r>
        <w:tab/>
        <w:t>(c)</w:t>
      </w:r>
      <w:r>
        <w:tab/>
        <w:t>to do both of those things.</w:t>
      </w:r>
    </w:p>
    <w:p w14:paraId="59D04261" w14:textId="77777777" w:rsidR="00D94935" w:rsidRDefault="00D94935" w:rsidP="00D94935">
      <w:pPr>
        <w:pStyle w:val="aDef"/>
      </w:pPr>
      <w:r w:rsidRPr="006364FA">
        <w:rPr>
          <w:rStyle w:val="charBoldItals"/>
        </w:rPr>
        <w:t>subpoenaed document or thing</w:t>
      </w:r>
      <w:r>
        <w:rPr>
          <w:bCs/>
          <w:iCs/>
        </w:rPr>
        <w:t>, for division 6.10.5 (Exhibits, documents and things)—see rule 6760.</w:t>
      </w:r>
    </w:p>
    <w:p w14:paraId="258F5A9B" w14:textId="77777777" w:rsidR="00D94935" w:rsidRDefault="00D94935" w:rsidP="00D94935">
      <w:pPr>
        <w:pStyle w:val="aDef"/>
      </w:pPr>
      <w:r w:rsidRPr="006364FA">
        <w:rPr>
          <w:rStyle w:val="charBoldItals"/>
        </w:rPr>
        <w:t>subpoena to attend to give evidence</w:t>
      </w:r>
      <w:r>
        <w:t>, for part 6.9 (Subpoenas)—see rule 6600 (2).</w:t>
      </w:r>
    </w:p>
    <w:p w14:paraId="0793BE36" w14:textId="77777777" w:rsidR="00D94935" w:rsidRDefault="00D94935" w:rsidP="00D94935">
      <w:pPr>
        <w:pStyle w:val="aDef"/>
      </w:pPr>
      <w:r w:rsidRPr="006364FA">
        <w:rPr>
          <w:rStyle w:val="charBoldItals"/>
        </w:rPr>
        <w:t>subpoena to produce</w:t>
      </w:r>
      <w:r>
        <w:t>, for part 6.9 (Subpoenas)—see rule 6600 (3).</w:t>
      </w:r>
    </w:p>
    <w:p w14:paraId="49F4BF2F" w14:textId="5080BA9A" w:rsidR="00D94935" w:rsidRDefault="00D94935" w:rsidP="00D94935">
      <w:pPr>
        <w:pStyle w:val="aDef"/>
      </w:pPr>
      <w:r w:rsidRPr="006364FA">
        <w:rPr>
          <w:rStyle w:val="charBoldItals"/>
        </w:rPr>
        <w:t>supporting affidavits</w:t>
      </w:r>
      <w:r>
        <w:rPr>
          <w:bCs/>
          <w:iCs/>
        </w:rPr>
        <w:t>, for an originating application—</w:t>
      </w:r>
      <w:r>
        <w:t>see rule 60</w:t>
      </w:r>
      <w:r w:rsidR="00355999">
        <w:t> </w:t>
      </w:r>
      <w:r>
        <w:t>(4) (</w:t>
      </w:r>
      <w:r>
        <w:rPr>
          <w:lang w:val="en-US"/>
        </w:rPr>
        <w:t>Content of originating application).</w:t>
      </w:r>
    </w:p>
    <w:p w14:paraId="4D57564D" w14:textId="77777777"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14:paraId="2A9694DA" w14:textId="77777777"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14:paraId="6DD9309B" w14:textId="77777777" w:rsidR="00D94935" w:rsidRDefault="00D94935" w:rsidP="00D94935">
      <w:pPr>
        <w:pStyle w:val="aDef"/>
        <w:keepNext/>
      </w:pPr>
      <w:r w:rsidRPr="006364FA">
        <w:rPr>
          <w:rStyle w:val="charBoldItals"/>
        </w:rPr>
        <w:t>Supreme Court</w:t>
      </w:r>
      <w:r>
        <w:t>—</w:t>
      </w:r>
    </w:p>
    <w:p w14:paraId="402A9A1A" w14:textId="77777777" w:rsidR="00D94935" w:rsidRDefault="00D94935" w:rsidP="00D94935">
      <w:pPr>
        <w:pStyle w:val="aDefpara"/>
      </w:pPr>
      <w:r>
        <w:tab/>
        <w:t>(a)</w:t>
      </w:r>
      <w:r>
        <w:tab/>
        <w:t>for division 5.7.1 (Questions referred—Supreme Court)—see rule 5801; and</w:t>
      </w:r>
    </w:p>
    <w:p w14:paraId="3D66B196" w14:textId="77777777" w:rsidR="00D94935" w:rsidRDefault="00D94935" w:rsidP="00D94935">
      <w:pPr>
        <w:pStyle w:val="aDefpara"/>
      </w:pPr>
      <w:r>
        <w:lastRenderedPageBreak/>
        <w:tab/>
        <w:t>(b)</w:t>
      </w:r>
      <w:r>
        <w:tab/>
        <w:t>for division 5.7.2 (Questions referred—Court of Appeal)—see rule 5831.</w:t>
      </w:r>
    </w:p>
    <w:p w14:paraId="27B78EAD" w14:textId="77777777" w:rsidR="00D94935" w:rsidRPr="00C754DF" w:rsidRDefault="00D94935" w:rsidP="00D94935">
      <w:pPr>
        <w:pStyle w:val="Amainreturn"/>
      </w:pPr>
      <w:r w:rsidRPr="006B227E">
        <w:rPr>
          <w:rStyle w:val="charBoldItals"/>
        </w:rPr>
        <w:t>the Act</w:t>
      </w:r>
      <w:r w:rsidRPr="00C754DF">
        <w:t>, for part 4.4 (Forensic proceedings)—see rule 4800.</w:t>
      </w:r>
    </w:p>
    <w:p w14:paraId="47E94BC1" w14:textId="77777777" w:rsidR="00D94935" w:rsidRPr="00C53530" w:rsidRDefault="00D94935" w:rsidP="00D94935">
      <w:pPr>
        <w:pStyle w:val="Amainreturn"/>
      </w:pPr>
      <w:r w:rsidRPr="00C53530">
        <w:rPr>
          <w:rStyle w:val="charBoldItals"/>
        </w:rPr>
        <w:t>the Crimes Act</w:t>
      </w:r>
      <w:r w:rsidRPr="00C53530">
        <w:t>, for part 4.4 (Forensic proceedings)—see rule 4800.</w:t>
      </w:r>
    </w:p>
    <w:p w14:paraId="5C0BFAD6" w14:textId="77777777" w:rsidR="00D94935" w:rsidRPr="006364FA" w:rsidRDefault="00D94935" w:rsidP="00D94935">
      <w:pPr>
        <w:pStyle w:val="aDef"/>
      </w:pPr>
      <w:r w:rsidRPr="006364FA">
        <w:rPr>
          <w:rStyle w:val="charBoldItals"/>
        </w:rPr>
        <w:t>these rules</w:t>
      </w:r>
      <w:r>
        <w:t xml:space="preserve"> include the practice notes and approved forms.</w:t>
      </w:r>
    </w:p>
    <w:p w14:paraId="52A2C7C5" w14:textId="77777777" w:rsidR="00D94935" w:rsidRDefault="00D94935" w:rsidP="00D94935">
      <w:pPr>
        <w:pStyle w:val="aDef"/>
      </w:pPr>
      <w:r w:rsidRPr="006364FA">
        <w:rPr>
          <w:rStyle w:val="charBoldItals"/>
        </w:rPr>
        <w:t>third party</w:t>
      </w:r>
      <w:r>
        <w:rPr>
          <w:bCs/>
          <w:iCs/>
        </w:rPr>
        <w:t>—</w:t>
      </w:r>
      <w:r>
        <w:t>see rule 322 (2) (b) (Third-party notice—fourth and subsequent parties).</w:t>
      </w:r>
    </w:p>
    <w:p w14:paraId="49D6BD36" w14:textId="77777777" w:rsidR="00D94935" w:rsidRDefault="00D94935" w:rsidP="00D94935">
      <w:pPr>
        <w:pStyle w:val="aDef"/>
      </w:pPr>
      <w:r w:rsidRPr="006364FA">
        <w:rPr>
          <w:rStyle w:val="charBoldItals"/>
        </w:rPr>
        <w:t>third-party notice</w:t>
      </w:r>
      <w:r>
        <w:rPr>
          <w:bCs/>
          <w:iCs/>
        </w:rPr>
        <w:t>—</w:t>
      </w:r>
      <w:r>
        <w:t>see rule 322 (2) (c) (Third-party notice—fourth and subsequent parties).</w:t>
      </w:r>
    </w:p>
    <w:p w14:paraId="4E25A8FE" w14:textId="77777777" w:rsidR="00D94935" w:rsidRDefault="00D94935" w:rsidP="00D94935">
      <w:pPr>
        <w:pStyle w:val="aDef"/>
      </w:pPr>
      <w:r>
        <w:rPr>
          <w:rStyle w:val="charBoldItals"/>
        </w:rPr>
        <w:t>third-party respondent</w:t>
      </w:r>
      <w:r w:rsidRPr="006364FA">
        <w:t>, for part 3.13 (Workers compensation)</w:t>
      </w:r>
      <w:r>
        <w:t>—see rule 3920 (Arbitration—including other parties).</w:t>
      </w:r>
    </w:p>
    <w:p w14:paraId="15D0F317" w14:textId="77777777"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14:paraId="0C0A7287" w14:textId="3CB86B9A" w:rsidR="00D94935" w:rsidRPr="0028337B" w:rsidRDefault="00D94935" w:rsidP="00D94935">
      <w:pPr>
        <w:pStyle w:val="aDef"/>
      </w:pPr>
      <w:r w:rsidRPr="0028337B">
        <w:rPr>
          <w:b/>
          <w:i/>
        </w:rPr>
        <w:t>Trans-Tasman Proceedings Act</w:t>
      </w:r>
      <w:r w:rsidRPr="0028337B">
        <w:t xml:space="preserve"> means the </w:t>
      </w:r>
      <w:hyperlink r:id="rId1237" w:tooltip="Act 2010 No 35" w:history="1">
        <w:r w:rsidRPr="009430B0">
          <w:rPr>
            <w:rStyle w:val="charCitHyperlinkItal"/>
          </w:rPr>
          <w:t>Trans-Tasman Proceedings Act 2010</w:t>
        </w:r>
      </w:hyperlink>
      <w:r w:rsidRPr="0028337B">
        <w:t xml:space="preserve"> (Cwlth).</w:t>
      </w:r>
    </w:p>
    <w:p w14:paraId="07D86F3A" w14:textId="77777777" w:rsidR="00D94935" w:rsidRDefault="00D94935" w:rsidP="00D94935">
      <w:pPr>
        <w:pStyle w:val="aDef"/>
        <w:keepNext/>
      </w:pPr>
      <w:r w:rsidRPr="006364FA">
        <w:rPr>
          <w:rStyle w:val="charBoldItals"/>
        </w:rPr>
        <w:t>tribunal</w:t>
      </w:r>
      <w:r>
        <w:t>—</w:t>
      </w:r>
    </w:p>
    <w:p w14:paraId="152FB0CE" w14:textId="77777777" w:rsidR="00D94935" w:rsidRDefault="00D94935" w:rsidP="00220AA2">
      <w:pPr>
        <w:pStyle w:val="aDefpara"/>
        <w:keepNext/>
      </w:pPr>
      <w:r>
        <w:tab/>
        <w:t>(a)</w:t>
      </w:r>
      <w:r>
        <w:tab/>
        <w:t>for part 5.3 (Appeals to Supreme Court)—see rule 5050; and</w:t>
      </w:r>
    </w:p>
    <w:p w14:paraId="619E932B" w14:textId="77777777" w:rsidR="00D94935" w:rsidRDefault="00D94935" w:rsidP="00D94935">
      <w:pPr>
        <w:pStyle w:val="aDefpara"/>
      </w:pPr>
      <w:r>
        <w:tab/>
        <w:t>(b)</w:t>
      </w:r>
      <w:r>
        <w:tab/>
        <w:t>for division 5.7.1 (Questions referred—Supreme Court)—see rule 5801.</w:t>
      </w:r>
    </w:p>
    <w:p w14:paraId="1B80CBA3" w14:textId="77777777" w:rsidR="00D94935" w:rsidRDefault="00D94935" w:rsidP="00D94935">
      <w:pPr>
        <w:pStyle w:val="aDef"/>
      </w:pPr>
      <w:r w:rsidRPr="006364FA">
        <w:rPr>
          <w:rStyle w:val="charBoldItals"/>
        </w:rPr>
        <w:t>trustee</w:t>
      </w:r>
      <w:r>
        <w:t>, for part 2.17 (Costs)—see rule 1700.</w:t>
      </w:r>
    </w:p>
    <w:p w14:paraId="3710FF16" w14:textId="77777777" w:rsidR="00D94935" w:rsidRDefault="00D94935" w:rsidP="00D94935">
      <w:pPr>
        <w:pStyle w:val="aDef"/>
      </w:pPr>
      <w:r w:rsidRPr="006364FA">
        <w:rPr>
          <w:rStyle w:val="charBoldItals"/>
        </w:rPr>
        <w:t>undefended part of the claim</w:t>
      </w:r>
      <w:r>
        <w:t>, for division 2.11.4 (Default by defendant—partial defence)—see rule 1137.</w:t>
      </w:r>
    </w:p>
    <w:p w14:paraId="2216C4CA" w14:textId="77777777"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14:paraId="5E882C08" w14:textId="77777777" w:rsidR="00D94935" w:rsidRPr="006364FA" w:rsidRDefault="00D94935" w:rsidP="00D94935">
      <w:pPr>
        <w:pStyle w:val="aDef"/>
      </w:pPr>
      <w:r>
        <w:rPr>
          <w:rStyle w:val="charBoldItals"/>
        </w:rPr>
        <w:t>Workers Compensation Act</w:t>
      </w:r>
      <w:r>
        <w:t>, for part 3.13 (Workers compensation)—see rule 3900.</w:t>
      </w:r>
    </w:p>
    <w:p w14:paraId="1424625F" w14:textId="77777777" w:rsidR="00745E18" w:rsidRDefault="00745E18">
      <w:pPr>
        <w:pStyle w:val="04Dictionary"/>
        <w:sectPr w:rsidR="00745E18" w:rsidSect="00CD3DF7">
          <w:headerReference w:type="even" r:id="rId1238"/>
          <w:headerReference w:type="default" r:id="rId1239"/>
          <w:footerReference w:type="even" r:id="rId1240"/>
          <w:footerReference w:type="default" r:id="rId1241"/>
          <w:type w:val="continuous"/>
          <w:pgSz w:w="11907" w:h="16839" w:code="9"/>
          <w:pgMar w:top="3000" w:right="1900" w:bottom="2500" w:left="2300" w:header="2480" w:footer="2100" w:gutter="0"/>
          <w:cols w:space="720"/>
          <w:docGrid w:linePitch="254"/>
        </w:sectPr>
      </w:pPr>
    </w:p>
    <w:p w14:paraId="1EFBA4D0" w14:textId="77777777" w:rsidR="00D94935" w:rsidRDefault="00D94935" w:rsidP="00D94935">
      <w:pPr>
        <w:pStyle w:val="Endnote1"/>
      </w:pPr>
      <w:bookmarkStart w:id="2076" w:name="_Toc185515692"/>
      <w:r>
        <w:lastRenderedPageBreak/>
        <w:t>Endnotes</w:t>
      </w:r>
      <w:bookmarkEnd w:id="2076"/>
    </w:p>
    <w:p w14:paraId="36EE89AB" w14:textId="77777777" w:rsidR="00D94935" w:rsidRPr="00C8328B" w:rsidRDefault="00D94935" w:rsidP="00D94935">
      <w:pPr>
        <w:pStyle w:val="Endnote2"/>
      </w:pPr>
      <w:bookmarkStart w:id="2077" w:name="_Toc185515693"/>
      <w:r w:rsidRPr="00C8328B">
        <w:rPr>
          <w:rStyle w:val="charTableNo"/>
        </w:rPr>
        <w:t>1</w:t>
      </w:r>
      <w:r>
        <w:tab/>
      </w:r>
      <w:r w:rsidRPr="00C8328B">
        <w:rPr>
          <w:rStyle w:val="charTableText"/>
        </w:rPr>
        <w:t>About the endnotes</w:t>
      </w:r>
      <w:bookmarkEnd w:id="2077"/>
    </w:p>
    <w:p w14:paraId="7824313F" w14:textId="77777777"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14:paraId="1F822CB5" w14:textId="7200B16B" w:rsidR="00D94935" w:rsidRDefault="00D94935" w:rsidP="00D94935">
      <w:pPr>
        <w:pStyle w:val="EndNoteTextPub"/>
      </w:pPr>
      <w:r>
        <w:t xml:space="preserve">Not all editorial amendments made under the </w:t>
      </w:r>
      <w:hyperlink r:id="rId1242"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14:paraId="5FF9E81B" w14:textId="77777777"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14A312C" w14:textId="77777777" w:rsidR="00D94935" w:rsidRDefault="00D94935" w:rsidP="00D94935">
      <w:pPr>
        <w:pStyle w:val="EndNoteTextPub"/>
      </w:pPr>
      <w:r>
        <w:t xml:space="preserve">If all the provisions of the law have been renumbered, a table of renumbered provisions gives details of previous and current numbering.  </w:t>
      </w:r>
    </w:p>
    <w:p w14:paraId="664D24E5" w14:textId="77777777" w:rsidR="00D94935" w:rsidRDefault="00D94935" w:rsidP="00D94935">
      <w:pPr>
        <w:pStyle w:val="EndNoteTextPub"/>
      </w:pPr>
      <w:r>
        <w:t>The endnotes also include a table of earlier republications.</w:t>
      </w:r>
    </w:p>
    <w:p w14:paraId="388D6312" w14:textId="77777777" w:rsidR="00D94935" w:rsidRPr="00C8328B" w:rsidRDefault="00D94935" w:rsidP="00D94935">
      <w:pPr>
        <w:pStyle w:val="Endnote2"/>
      </w:pPr>
      <w:bookmarkStart w:id="2078" w:name="_Toc185515694"/>
      <w:r w:rsidRPr="00C8328B">
        <w:rPr>
          <w:rStyle w:val="charTableNo"/>
        </w:rPr>
        <w:t>2</w:t>
      </w:r>
      <w:r>
        <w:tab/>
      </w:r>
      <w:r w:rsidRPr="00C8328B">
        <w:rPr>
          <w:rStyle w:val="charTableText"/>
        </w:rPr>
        <w:t>Abbreviation key</w:t>
      </w:r>
      <w:bookmarkEnd w:id="2078"/>
    </w:p>
    <w:p w14:paraId="231E8960" w14:textId="77777777"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14:paraId="3935A4B7" w14:textId="77777777" w:rsidTr="003A681D">
        <w:tc>
          <w:tcPr>
            <w:tcW w:w="3720" w:type="dxa"/>
          </w:tcPr>
          <w:p w14:paraId="6588E790" w14:textId="77777777" w:rsidR="00D94935" w:rsidRDefault="00D94935" w:rsidP="003A681D">
            <w:pPr>
              <w:pStyle w:val="EndnotesAbbrev"/>
            </w:pPr>
            <w:r>
              <w:t>A = Act</w:t>
            </w:r>
          </w:p>
        </w:tc>
        <w:tc>
          <w:tcPr>
            <w:tcW w:w="3652" w:type="dxa"/>
          </w:tcPr>
          <w:p w14:paraId="50286849" w14:textId="77777777" w:rsidR="00D94935" w:rsidRDefault="00D94935" w:rsidP="003A681D">
            <w:pPr>
              <w:pStyle w:val="EndnotesAbbrev"/>
            </w:pPr>
            <w:r>
              <w:t>NI = Notifiable instrument</w:t>
            </w:r>
          </w:p>
        </w:tc>
      </w:tr>
      <w:tr w:rsidR="00D94935" w14:paraId="686DB913" w14:textId="77777777" w:rsidTr="003A681D">
        <w:tc>
          <w:tcPr>
            <w:tcW w:w="3720" w:type="dxa"/>
          </w:tcPr>
          <w:p w14:paraId="59FCE568" w14:textId="77777777" w:rsidR="00D94935" w:rsidRDefault="00D94935" w:rsidP="003A681D">
            <w:pPr>
              <w:pStyle w:val="EndnotesAbbrev"/>
            </w:pPr>
            <w:r>
              <w:t>AF = Approved form</w:t>
            </w:r>
          </w:p>
        </w:tc>
        <w:tc>
          <w:tcPr>
            <w:tcW w:w="3652" w:type="dxa"/>
          </w:tcPr>
          <w:p w14:paraId="55F9BA52" w14:textId="77777777" w:rsidR="00D94935" w:rsidRDefault="00D94935" w:rsidP="003A681D">
            <w:pPr>
              <w:pStyle w:val="EndnotesAbbrev"/>
            </w:pPr>
            <w:r>
              <w:t>o = order</w:t>
            </w:r>
          </w:p>
        </w:tc>
      </w:tr>
      <w:tr w:rsidR="00D94935" w14:paraId="6DA0F912" w14:textId="77777777" w:rsidTr="003A681D">
        <w:tc>
          <w:tcPr>
            <w:tcW w:w="3720" w:type="dxa"/>
          </w:tcPr>
          <w:p w14:paraId="5461ED36" w14:textId="77777777" w:rsidR="00D94935" w:rsidRDefault="00D94935" w:rsidP="003A681D">
            <w:pPr>
              <w:pStyle w:val="EndnotesAbbrev"/>
            </w:pPr>
            <w:r>
              <w:t>am = amended</w:t>
            </w:r>
          </w:p>
        </w:tc>
        <w:tc>
          <w:tcPr>
            <w:tcW w:w="3652" w:type="dxa"/>
          </w:tcPr>
          <w:p w14:paraId="4BD60C41" w14:textId="77777777" w:rsidR="00D94935" w:rsidRDefault="00D94935" w:rsidP="003A681D">
            <w:pPr>
              <w:pStyle w:val="EndnotesAbbrev"/>
            </w:pPr>
            <w:r>
              <w:t>om = omitted/repealed</w:t>
            </w:r>
          </w:p>
        </w:tc>
      </w:tr>
      <w:tr w:rsidR="00D94935" w14:paraId="487EFBF2" w14:textId="77777777" w:rsidTr="003A681D">
        <w:tc>
          <w:tcPr>
            <w:tcW w:w="3720" w:type="dxa"/>
          </w:tcPr>
          <w:p w14:paraId="5380111D" w14:textId="77777777" w:rsidR="00D94935" w:rsidRDefault="00D94935" w:rsidP="003A681D">
            <w:pPr>
              <w:pStyle w:val="EndnotesAbbrev"/>
            </w:pPr>
            <w:r>
              <w:t>amdt = amendment</w:t>
            </w:r>
          </w:p>
        </w:tc>
        <w:tc>
          <w:tcPr>
            <w:tcW w:w="3652" w:type="dxa"/>
          </w:tcPr>
          <w:p w14:paraId="731D5CD3" w14:textId="77777777" w:rsidR="00D94935" w:rsidRDefault="00D94935" w:rsidP="003A681D">
            <w:pPr>
              <w:pStyle w:val="EndnotesAbbrev"/>
            </w:pPr>
            <w:r>
              <w:t>ord = ordinance</w:t>
            </w:r>
          </w:p>
        </w:tc>
      </w:tr>
      <w:tr w:rsidR="00D94935" w14:paraId="27523187" w14:textId="77777777" w:rsidTr="003A681D">
        <w:tc>
          <w:tcPr>
            <w:tcW w:w="3720" w:type="dxa"/>
          </w:tcPr>
          <w:p w14:paraId="4A943EF7" w14:textId="77777777" w:rsidR="00D94935" w:rsidRDefault="00D94935" w:rsidP="003A681D">
            <w:pPr>
              <w:pStyle w:val="EndnotesAbbrev"/>
            </w:pPr>
            <w:r>
              <w:t>AR = Assembly resolution</w:t>
            </w:r>
          </w:p>
        </w:tc>
        <w:tc>
          <w:tcPr>
            <w:tcW w:w="3652" w:type="dxa"/>
          </w:tcPr>
          <w:p w14:paraId="34407195" w14:textId="77777777" w:rsidR="00D94935" w:rsidRDefault="00D94935" w:rsidP="003A681D">
            <w:pPr>
              <w:pStyle w:val="EndnotesAbbrev"/>
            </w:pPr>
            <w:r>
              <w:t>orig = original</w:t>
            </w:r>
          </w:p>
        </w:tc>
      </w:tr>
      <w:tr w:rsidR="00D94935" w14:paraId="73B2A8E4" w14:textId="77777777" w:rsidTr="003A681D">
        <w:tc>
          <w:tcPr>
            <w:tcW w:w="3720" w:type="dxa"/>
          </w:tcPr>
          <w:p w14:paraId="1742DE10" w14:textId="77777777" w:rsidR="00D94935" w:rsidRDefault="00D94935" w:rsidP="003A681D">
            <w:pPr>
              <w:pStyle w:val="EndnotesAbbrev"/>
            </w:pPr>
            <w:r>
              <w:t>ch = chapter</w:t>
            </w:r>
          </w:p>
        </w:tc>
        <w:tc>
          <w:tcPr>
            <w:tcW w:w="3652" w:type="dxa"/>
          </w:tcPr>
          <w:p w14:paraId="7B4DD35E" w14:textId="77777777" w:rsidR="00D94935" w:rsidRDefault="00D94935" w:rsidP="003A681D">
            <w:pPr>
              <w:pStyle w:val="EndnotesAbbrev"/>
            </w:pPr>
            <w:r>
              <w:t>par = paragraph/subparagraph</w:t>
            </w:r>
          </w:p>
        </w:tc>
      </w:tr>
      <w:tr w:rsidR="00D94935" w14:paraId="5DF56AA7" w14:textId="77777777" w:rsidTr="003A681D">
        <w:tc>
          <w:tcPr>
            <w:tcW w:w="3720" w:type="dxa"/>
          </w:tcPr>
          <w:p w14:paraId="28063AD3" w14:textId="77777777" w:rsidR="00D94935" w:rsidRDefault="00D94935" w:rsidP="003A681D">
            <w:pPr>
              <w:pStyle w:val="EndnotesAbbrev"/>
            </w:pPr>
            <w:r>
              <w:t>CN = Commencement notice</w:t>
            </w:r>
          </w:p>
        </w:tc>
        <w:tc>
          <w:tcPr>
            <w:tcW w:w="3652" w:type="dxa"/>
          </w:tcPr>
          <w:p w14:paraId="120B7E35" w14:textId="77777777" w:rsidR="00D94935" w:rsidRDefault="00D94935" w:rsidP="003A681D">
            <w:pPr>
              <w:pStyle w:val="EndnotesAbbrev"/>
            </w:pPr>
            <w:r>
              <w:t>pres = present</w:t>
            </w:r>
          </w:p>
        </w:tc>
      </w:tr>
      <w:tr w:rsidR="00D94935" w14:paraId="202F190D" w14:textId="77777777" w:rsidTr="003A681D">
        <w:tc>
          <w:tcPr>
            <w:tcW w:w="3720" w:type="dxa"/>
          </w:tcPr>
          <w:p w14:paraId="2B0979BD" w14:textId="77777777" w:rsidR="00D94935" w:rsidRDefault="00D94935" w:rsidP="003A681D">
            <w:pPr>
              <w:pStyle w:val="EndnotesAbbrev"/>
            </w:pPr>
            <w:r>
              <w:t>def = definition</w:t>
            </w:r>
          </w:p>
        </w:tc>
        <w:tc>
          <w:tcPr>
            <w:tcW w:w="3652" w:type="dxa"/>
          </w:tcPr>
          <w:p w14:paraId="258FFECF" w14:textId="77777777" w:rsidR="00D94935" w:rsidRDefault="00D94935" w:rsidP="003A681D">
            <w:pPr>
              <w:pStyle w:val="EndnotesAbbrev"/>
            </w:pPr>
            <w:r>
              <w:t>prev = previous</w:t>
            </w:r>
          </w:p>
        </w:tc>
      </w:tr>
      <w:tr w:rsidR="00D94935" w14:paraId="3B94A45A" w14:textId="77777777" w:rsidTr="003A681D">
        <w:tc>
          <w:tcPr>
            <w:tcW w:w="3720" w:type="dxa"/>
          </w:tcPr>
          <w:p w14:paraId="49E0D6FF" w14:textId="77777777" w:rsidR="00D94935" w:rsidRDefault="00D94935" w:rsidP="003A681D">
            <w:pPr>
              <w:pStyle w:val="EndnotesAbbrev"/>
            </w:pPr>
            <w:r>
              <w:t>DI = Disallowable instrument</w:t>
            </w:r>
          </w:p>
        </w:tc>
        <w:tc>
          <w:tcPr>
            <w:tcW w:w="3652" w:type="dxa"/>
          </w:tcPr>
          <w:p w14:paraId="51A4D538" w14:textId="77777777" w:rsidR="00D94935" w:rsidRDefault="00D94935" w:rsidP="003A681D">
            <w:pPr>
              <w:pStyle w:val="EndnotesAbbrev"/>
            </w:pPr>
            <w:r>
              <w:t>(prev...) = previously</w:t>
            </w:r>
          </w:p>
        </w:tc>
      </w:tr>
      <w:tr w:rsidR="00D94935" w14:paraId="67BFAD82" w14:textId="77777777" w:rsidTr="003A681D">
        <w:tc>
          <w:tcPr>
            <w:tcW w:w="3720" w:type="dxa"/>
          </w:tcPr>
          <w:p w14:paraId="5071F6D2" w14:textId="77777777" w:rsidR="00D94935" w:rsidRDefault="00D94935" w:rsidP="003A681D">
            <w:pPr>
              <w:pStyle w:val="EndnotesAbbrev"/>
            </w:pPr>
            <w:r>
              <w:t>dict = dictionary</w:t>
            </w:r>
          </w:p>
        </w:tc>
        <w:tc>
          <w:tcPr>
            <w:tcW w:w="3652" w:type="dxa"/>
          </w:tcPr>
          <w:p w14:paraId="3F16C63B" w14:textId="77777777" w:rsidR="00D94935" w:rsidRDefault="00D94935" w:rsidP="003A681D">
            <w:pPr>
              <w:pStyle w:val="EndnotesAbbrev"/>
            </w:pPr>
            <w:r>
              <w:t>pt = part</w:t>
            </w:r>
          </w:p>
        </w:tc>
      </w:tr>
      <w:tr w:rsidR="00D94935" w14:paraId="12AF8E7F" w14:textId="77777777" w:rsidTr="003A681D">
        <w:tc>
          <w:tcPr>
            <w:tcW w:w="3720" w:type="dxa"/>
          </w:tcPr>
          <w:p w14:paraId="3F703988" w14:textId="77777777" w:rsidR="00D94935" w:rsidRDefault="00D94935" w:rsidP="003A681D">
            <w:pPr>
              <w:pStyle w:val="EndnotesAbbrev"/>
            </w:pPr>
            <w:r>
              <w:t xml:space="preserve">disallowed = disallowed by the Legislative </w:t>
            </w:r>
          </w:p>
        </w:tc>
        <w:tc>
          <w:tcPr>
            <w:tcW w:w="3652" w:type="dxa"/>
          </w:tcPr>
          <w:p w14:paraId="4F5BE00F" w14:textId="77777777" w:rsidR="00D94935" w:rsidRDefault="00D94935" w:rsidP="003A681D">
            <w:pPr>
              <w:pStyle w:val="EndnotesAbbrev"/>
            </w:pPr>
            <w:r>
              <w:t>r = rule/subrule</w:t>
            </w:r>
          </w:p>
        </w:tc>
      </w:tr>
      <w:tr w:rsidR="00D94935" w14:paraId="5FB7136D" w14:textId="77777777" w:rsidTr="003A681D">
        <w:tc>
          <w:tcPr>
            <w:tcW w:w="3720" w:type="dxa"/>
          </w:tcPr>
          <w:p w14:paraId="73FA58F4" w14:textId="77777777" w:rsidR="00D94935" w:rsidRDefault="00D94935" w:rsidP="003A681D">
            <w:pPr>
              <w:pStyle w:val="EndnotesAbbrev"/>
              <w:ind w:left="972"/>
            </w:pPr>
            <w:r>
              <w:t>Assembly</w:t>
            </w:r>
          </w:p>
        </w:tc>
        <w:tc>
          <w:tcPr>
            <w:tcW w:w="3652" w:type="dxa"/>
          </w:tcPr>
          <w:p w14:paraId="66337908" w14:textId="77777777" w:rsidR="00D94935" w:rsidRDefault="00D94935" w:rsidP="003A681D">
            <w:pPr>
              <w:pStyle w:val="EndnotesAbbrev"/>
            </w:pPr>
            <w:r>
              <w:t>reloc = relocated</w:t>
            </w:r>
          </w:p>
        </w:tc>
      </w:tr>
      <w:tr w:rsidR="00D94935" w14:paraId="1CE46C30" w14:textId="77777777" w:rsidTr="003A681D">
        <w:tc>
          <w:tcPr>
            <w:tcW w:w="3720" w:type="dxa"/>
          </w:tcPr>
          <w:p w14:paraId="0D712F8B" w14:textId="77777777" w:rsidR="00D94935" w:rsidRDefault="00D94935" w:rsidP="003A681D">
            <w:pPr>
              <w:pStyle w:val="EndnotesAbbrev"/>
            </w:pPr>
            <w:r>
              <w:t>div = division</w:t>
            </w:r>
          </w:p>
        </w:tc>
        <w:tc>
          <w:tcPr>
            <w:tcW w:w="3652" w:type="dxa"/>
          </w:tcPr>
          <w:p w14:paraId="4A398D09" w14:textId="77777777" w:rsidR="00D94935" w:rsidRDefault="00D94935" w:rsidP="003A681D">
            <w:pPr>
              <w:pStyle w:val="EndnotesAbbrev"/>
            </w:pPr>
            <w:r>
              <w:t>renum = renumbered</w:t>
            </w:r>
          </w:p>
        </w:tc>
      </w:tr>
      <w:tr w:rsidR="00D94935" w14:paraId="4979885A" w14:textId="77777777" w:rsidTr="003A681D">
        <w:tc>
          <w:tcPr>
            <w:tcW w:w="3720" w:type="dxa"/>
          </w:tcPr>
          <w:p w14:paraId="02171FB8" w14:textId="77777777" w:rsidR="00D94935" w:rsidRDefault="00D94935" w:rsidP="003A681D">
            <w:pPr>
              <w:pStyle w:val="EndnotesAbbrev"/>
            </w:pPr>
            <w:r>
              <w:t>exp = expires/expired</w:t>
            </w:r>
          </w:p>
        </w:tc>
        <w:tc>
          <w:tcPr>
            <w:tcW w:w="3652" w:type="dxa"/>
          </w:tcPr>
          <w:p w14:paraId="4C2884C0" w14:textId="77777777" w:rsidR="00D94935" w:rsidRDefault="00D94935" w:rsidP="003A681D">
            <w:pPr>
              <w:pStyle w:val="EndnotesAbbrev"/>
            </w:pPr>
            <w:r>
              <w:t>R[X] = Republication No</w:t>
            </w:r>
          </w:p>
        </w:tc>
      </w:tr>
      <w:tr w:rsidR="00D94935" w14:paraId="4A0A1391" w14:textId="77777777" w:rsidTr="003A681D">
        <w:tc>
          <w:tcPr>
            <w:tcW w:w="3720" w:type="dxa"/>
          </w:tcPr>
          <w:p w14:paraId="5670C3EE" w14:textId="77777777" w:rsidR="00D94935" w:rsidRDefault="00D94935" w:rsidP="003A681D">
            <w:pPr>
              <w:pStyle w:val="EndnotesAbbrev"/>
            </w:pPr>
            <w:r>
              <w:t>Gaz = gazette</w:t>
            </w:r>
          </w:p>
        </w:tc>
        <w:tc>
          <w:tcPr>
            <w:tcW w:w="3652" w:type="dxa"/>
          </w:tcPr>
          <w:p w14:paraId="3F195621" w14:textId="77777777" w:rsidR="00D94935" w:rsidRDefault="00D94935" w:rsidP="003A681D">
            <w:pPr>
              <w:pStyle w:val="EndnotesAbbrev"/>
            </w:pPr>
            <w:r>
              <w:t>RI = reissue</w:t>
            </w:r>
          </w:p>
        </w:tc>
      </w:tr>
      <w:tr w:rsidR="00D94935" w14:paraId="5689C72D" w14:textId="77777777" w:rsidTr="003A681D">
        <w:tc>
          <w:tcPr>
            <w:tcW w:w="3720" w:type="dxa"/>
          </w:tcPr>
          <w:p w14:paraId="7F9D8ADF" w14:textId="77777777" w:rsidR="00D94935" w:rsidRDefault="00D94935" w:rsidP="003A681D">
            <w:pPr>
              <w:pStyle w:val="EndnotesAbbrev"/>
            </w:pPr>
            <w:r>
              <w:t>hdg = heading</w:t>
            </w:r>
          </w:p>
        </w:tc>
        <w:tc>
          <w:tcPr>
            <w:tcW w:w="3652" w:type="dxa"/>
          </w:tcPr>
          <w:p w14:paraId="59E58E1D" w14:textId="77777777" w:rsidR="00D94935" w:rsidRDefault="00D94935" w:rsidP="003A681D">
            <w:pPr>
              <w:pStyle w:val="EndnotesAbbrev"/>
            </w:pPr>
            <w:r>
              <w:t>s = section/subsection</w:t>
            </w:r>
          </w:p>
        </w:tc>
      </w:tr>
      <w:tr w:rsidR="00D94935" w14:paraId="1DC4224F" w14:textId="77777777" w:rsidTr="003A681D">
        <w:tc>
          <w:tcPr>
            <w:tcW w:w="3720" w:type="dxa"/>
          </w:tcPr>
          <w:p w14:paraId="7EAADE9D" w14:textId="77777777" w:rsidR="00D94935" w:rsidRDefault="00D94935" w:rsidP="003A681D">
            <w:pPr>
              <w:pStyle w:val="EndnotesAbbrev"/>
            </w:pPr>
            <w:r>
              <w:t>IA = Interpretation Act 1967</w:t>
            </w:r>
          </w:p>
        </w:tc>
        <w:tc>
          <w:tcPr>
            <w:tcW w:w="3652" w:type="dxa"/>
          </w:tcPr>
          <w:p w14:paraId="7C2B21FF" w14:textId="77777777" w:rsidR="00D94935" w:rsidRDefault="00D94935" w:rsidP="003A681D">
            <w:pPr>
              <w:pStyle w:val="EndnotesAbbrev"/>
            </w:pPr>
            <w:r>
              <w:t>sch = schedule</w:t>
            </w:r>
          </w:p>
        </w:tc>
      </w:tr>
      <w:tr w:rsidR="00D94935" w14:paraId="6C3C513E" w14:textId="77777777" w:rsidTr="003A681D">
        <w:tc>
          <w:tcPr>
            <w:tcW w:w="3720" w:type="dxa"/>
          </w:tcPr>
          <w:p w14:paraId="0864EF1E" w14:textId="77777777" w:rsidR="00D94935" w:rsidRDefault="00D94935" w:rsidP="003A681D">
            <w:pPr>
              <w:pStyle w:val="EndnotesAbbrev"/>
            </w:pPr>
            <w:r>
              <w:t>ins = inserted/added</w:t>
            </w:r>
          </w:p>
        </w:tc>
        <w:tc>
          <w:tcPr>
            <w:tcW w:w="3652" w:type="dxa"/>
          </w:tcPr>
          <w:p w14:paraId="23361124" w14:textId="77777777" w:rsidR="00D94935" w:rsidRDefault="00D94935" w:rsidP="003A681D">
            <w:pPr>
              <w:pStyle w:val="EndnotesAbbrev"/>
            </w:pPr>
            <w:r>
              <w:t>sdiv = subdivision</w:t>
            </w:r>
          </w:p>
        </w:tc>
      </w:tr>
      <w:tr w:rsidR="00D94935" w14:paraId="084226C0" w14:textId="77777777" w:rsidTr="003A681D">
        <w:tc>
          <w:tcPr>
            <w:tcW w:w="3720" w:type="dxa"/>
          </w:tcPr>
          <w:p w14:paraId="61059615" w14:textId="77777777" w:rsidR="00D94935" w:rsidRDefault="00D94935" w:rsidP="003A681D">
            <w:pPr>
              <w:pStyle w:val="EndnotesAbbrev"/>
            </w:pPr>
            <w:r>
              <w:t>LA = Legislation Act 2001</w:t>
            </w:r>
          </w:p>
        </w:tc>
        <w:tc>
          <w:tcPr>
            <w:tcW w:w="3652" w:type="dxa"/>
          </w:tcPr>
          <w:p w14:paraId="2E5B8676" w14:textId="77777777" w:rsidR="00D94935" w:rsidRDefault="00D94935" w:rsidP="003A681D">
            <w:pPr>
              <w:pStyle w:val="EndnotesAbbrev"/>
            </w:pPr>
            <w:r>
              <w:t>SL = Subordinate law</w:t>
            </w:r>
          </w:p>
        </w:tc>
      </w:tr>
      <w:tr w:rsidR="00D94935" w14:paraId="0EE5F9F3" w14:textId="77777777" w:rsidTr="003A681D">
        <w:tc>
          <w:tcPr>
            <w:tcW w:w="3720" w:type="dxa"/>
          </w:tcPr>
          <w:p w14:paraId="6CD54AF8" w14:textId="77777777" w:rsidR="00D94935" w:rsidRDefault="00D94935" w:rsidP="003A681D">
            <w:pPr>
              <w:pStyle w:val="EndnotesAbbrev"/>
            </w:pPr>
            <w:r>
              <w:t>LR = legislation register</w:t>
            </w:r>
          </w:p>
        </w:tc>
        <w:tc>
          <w:tcPr>
            <w:tcW w:w="3652" w:type="dxa"/>
          </w:tcPr>
          <w:p w14:paraId="4DAA0746" w14:textId="77777777" w:rsidR="00D94935" w:rsidRDefault="00D94935" w:rsidP="003A681D">
            <w:pPr>
              <w:pStyle w:val="EndnotesAbbrev"/>
            </w:pPr>
            <w:r>
              <w:t>sub = substituted</w:t>
            </w:r>
          </w:p>
        </w:tc>
      </w:tr>
      <w:tr w:rsidR="00D94935" w14:paraId="06828F07" w14:textId="77777777" w:rsidTr="003A681D">
        <w:tc>
          <w:tcPr>
            <w:tcW w:w="3720" w:type="dxa"/>
          </w:tcPr>
          <w:p w14:paraId="27B299E0" w14:textId="77777777" w:rsidR="00D94935" w:rsidRDefault="00D94935" w:rsidP="003A681D">
            <w:pPr>
              <w:pStyle w:val="EndnotesAbbrev"/>
            </w:pPr>
            <w:r>
              <w:t>LRA = Legislation (Republication) Act 1996</w:t>
            </w:r>
          </w:p>
        </w:tc>
        <w:tc>
          <w:tcPr>
            <w:tcW w:w="3652" w:type="dxa"/>
          </w:tcPr>
          <w:p w14:paraId="09C5DB81" w14:textId="77777777" w:rsidR="00D94935" w:rsidRDefault="00D94935" w:rsidP="003A681D">
            <w:pPr>
              <w:pStyle w:val="EndnotesAbbrev"/>
            </w:pPr>
            <w:r w:rsidRPr="006364FA">
              <w:rPr>
                <w:rStyle w:val="charUnderline"/>
              </w:rPr>
              <w:t>underlining</w:t>
            </w:r>
            <w:r>
              <w:t xml:space="preserve"> = whole or part not commenced</w:t>
            </w:r>
          </w:p>
        </w:tc>
      </w:tr>
      <w:tr w:rsidR="00D94935" w14:paraId="5F9461CA" w14:textId="77777777" w:rsidTr="003A681D">
        <w:tc>
          <w:tcPr>
            <w:tcW w:w="3720" w:type="dxa"/>
          </w:tcPr>
          <w:p w14:paraId="59B5A4A2" w14:textId="77777777" w:rsidR="00D94935" w:rsidRDefault="00D94935" w:rsidP="003A681D">
            <w:pPr>
              <w:pStyle w:val="EndnotesAbbrev"/>
            </w:pPr>
            <w:r>
              <w:t>mod = modified/modification</w:t>
            </w:r>
          </w:p>
        </w:tc>
        <w:tc>
          <w:tcPr>
            <w:tcW w:w="3652" w:type="dxa"/>
          </w:tcPr>
          <w:p w14:paraId="2879B152" w14:textId="77777777" w:rsidR="00D94935" w:rsidRDefault="00D94935" w:rsidP="003A681D">
            <w:pPr>
              <w:pStyle w:val="EndnotesAbbrev"/>
              <w:ind w:left="1073"/>
            </w:pPr>
            <w:r>
              <w:t>or to be expired</w:t>
            </w:r>
          </w:p>
        </w:tc>
      </w:tr>
    </w:tbl>
    <w:p w14:paraId="5A787BC4" w14:textId="77777777" w:rsidR="00D94935" w:rsidRPr="00C8328B" w:rsidRDefault="00D94935" w:rsidP="00D94935">
      <w:pPr>
        <w:pStyle w:val="Endnote2"/>
      </w:pPr>
      <w:bookmarkStart w:id="2079" w:name="_Toc185515695"/>
      <w:r w:rsidRPr="00C8328B">
        <w:rPr>
          <w:rStyle w:val="charTableNo"/>
        </w:rPr>
        <w:lastRenderedPageBreak/>
        <w:t>3</w:t>
      </w:r>
      <w:r>
        <w:tab/>
      </w:r>
      <w:r w:rsidRPr="00C8328B">
        <w:rPr>
          <w:rStyle w:val="charTableText"/>
        </w:rPr>
        <w:t>Legislation history</w:t>
      </w:r>
      <w:bookmarkEnd w:id="2079"/>
    </w:p>
    <w:p w14:paraId="5B30F1EE" w14:textId="77777777" w:rsidR="00D94935" w:rsidRDefault="00D94935" w:rsidP="00D94935">
      <w:pPr>
        <w:pStyle w:val="NewReg"/>
      </w:pPr>
      <w:r>
        <w:t>Court Procedures Rules 2006 SL2006-29</w:t>
      </w:r>
    </w:p>
    <w:p w14:paraId="7FBE2E98" w14:textId="77777777" w:rsidR="00D94935" w:rsidRDefault="00D94935" w:rsidP="00D94935">
      <w:pPr>
        <w:pStyle w:val="Actdetails"/>
      </w:pPr>
      <w:r>
        <w:t>notified LR 16 June 2006</w:t>
      </w:r>
    </w:p>
    <w:p w14:paraId="3E0E7614" w14:textId="77777777" w:rsidR="00D94935" w:rsidRDefault="00D94935" w:rsidP="00D94935">
      <w:pPr>
        <w:pStyle w:val="Actdetails"/>
      </w:pPr>
      <w:r>
        <w:t>r 1, r 2 commenced 16 June 2006 (LA s 75 (1))</w:t>
      </w:r>
    </w:p>
    <w:p w14:paraId="4BD4B6A8" w14:textId="77777777" w:rsidR="00D94935" w:rsidRPr="006364FA" w:rsidRDefault="00D94935" w:rsidP="00D94935">
      <w:pPr>
        <w:pStyle w:val="Actdetails"/>
        <w:rPr>
          <w:rFonts w:cs="Arial"/>
        </w:rPr>
      </w:pPr>
      <w:r w:rsidRPr="006364FA">
        <w:rPr>
          <w:rFonts w:cs="Arial"/>
        </w:rPr>
        <w:t>remainder commenced 1 July 2006 (r 2)</w:t>
      </w:r>
    </w:p>
    <w:p w14:paraId="3A701942" w14:textId="77777777" w:rsidR="00D94935" w:rsidRDefault="00D94935" w:rsidP="00D94935">
      <w:pPr>
        <w:pStyle w:val="Asamby"/>
      </w:pPr>
      <w:r>
        <w:t>as amended by</w:t>
      </w:r>
    </w:p>
    <w:p w14:paraId="7985C4BA" w14:textId="55444A04" w:rsidR="00D94935" w:rsidRDefault="001542D1" w:rsidP="00D94935">
      <w:pPr>
        <w:pStyle w:val="NewReg"/>
      </w:pPr>
      <w:hyperlink r:id="rId1243" w:tooltip="SL2006-43" w:history="1">
        <w:r w:rsidR="00D94935" w:rsidRPr="006364FA">
          <w:rPr>
            <w:rStyle w:val="charCitHyperlinkAbbrev"/>
          </w:rPr>
          <w:t>Court Procedures Amendment Rules 2006 (No 1)</w:t>
        </w:r>
      </w:hyperlink>
      <w:r w:rsidR="00D94935">
        <w:t xml:space="preserve"> SL2006-43</w:t>
      </w:r>
    </w:p>
    <w:p w14:paraId="1BD905EA" w14:textId="77777777" w:rsidR="00D94935" w:rsidRDefault="00D94935" w:rsidP="00D94935">
      <w:pPr>
        <w:pStyle w:val="Actdetails"/>
      </w:pPr>
      <w:r>
        <w:t>notified LR 14 August 2006</w:t>
      </w:r>
    </w:p>
    <w:p w14:paraId="6FC49CAD" w14:textId="77777777" w:rsidR="00D94935" w:rsidRDefault="00D94935" w:rsidP="00D94935">
      <w:pPr>
        <w:pStyle w:val="Actdetails"/>
      </w:pPr>
      <w:r>
        <w:t>r 1, r 2 commenced 14 August 2006 (LA s 75 (1))</w:t>
      </w:r>
    </w:p>
    <w:p w14:paraId="64BB7B4D" w14:textId="77777777" w:rsidR="00D94935" w:rsidRPr="006364FA" w:rsidRDefault="00D94935" w:rsidP="00D94935">
      <w:pPr>
        <w:pStyle w:val="Actdetails"/>
        <w:rPr>
          <w:rFonts w:cs="Arial"/>
        </w:rPr>
      </w:pPr>
      <w:r w:rsidRPr="006364FA">
        <w:rPr>
          <w:rFonts w:cs="Arial"/>
        </w:rPr>
        <w:t>remainder commenced 15 August 2006 (r 2)</w:t>
      </w:r>
    </w:p>
    <w:p w14:paraId="07762CE4" w14:textId="00A3578D" w:rsidR="00D94935" w:rsidRDefault="001542D1" w:rsidP="00D94935">
      <w:pPr>
        <w:pStyle w:val="NewReg"/>
      </w:pPr>
      <w:hyperlink r:id="rId1244" w:tooltip="SL2006-58" w:history="1">
        <w:r w:rsidR="00D94935" w:rsidRPr="006364FA">
          <w:rPr>
            <w:rStyle w:val="charCitHyperlinkAbbrev"/>
          </w:rPr>
          <w:t>Court Procedures Amendment Rules 2006 (No 2)</w:t>
        </w:r>
      </w:hyperlink>
      <w:r w:rsidR="00D94935">
        <w:t xml:space="preserve"> SL2006-58</w:t>
      </w:r>
    </w:p>
    <w:p w14:paraId="5BA4DA3A" w14:textId="77777777" w:rsidR="00D94935" w:rsidRDefault="00D94935" w:rsidP="00D94935">
      <w:pPr>
        <w:pStyle w:val="Actdetails"/>
      </w:pPr>
      <w:r>
        <w:t>notified LR 18 December 2006</w:t>
      </w:r>
    </w:p>
    <w:p w14:paraId="5E54D423" w14:textId="77777777" w:rsidR="00D94935" w:rsidRDefault="00D94935" w:rsidP="00D94935">
      <w:pPr>
        <w:pStyle w:val="Actdetails"/>
      </w:pPr>
      <w:r>
        <w:t>r 1, r 2 commenced 18 December 2006 (LA s 75 (1))</w:t>
      </w:r>
    </w:p>
    <w:p w14:paraId="775B2039" w14:textId="77777777" w:rsidR="00D94935" w:rsidRPr="006364FA" w:rsidRDefault="00D94935" w:rsidP="00D94935">
      <w:pPr>
        <w:pStyle w:val="Actdetails"/>
        <w:rPr>
          <w:rFonts w:cs="Arial"/>
        </w:rPr>
      </w:pPr>
      <w:r w:rsidRPr="006364FA">
        <w:rPr>
          <w:rFonts w:cs="Arial"/>
        </w:rPr>
        <w:t>remainder commenced 1 January 2007 (r 2)</w:t>
      </w:r>
    </w:p>
    <w:p w14:paraId="7DF01EEB" w14:textId="7E440219" w:rsidR="00D94935" w:rsidRDefault="001542D1" w:rsidP="00D94935">
      <w:pPr>
        <w:pStyle w:val="NewAct"/>
      </w:pPr>
      <w:hyperlink r:id="rId1245" w:tooltip="A2007-3" w:history="1">
        <w:r w:rsidR="00D94935" w:rsidRPr="006364FA">
          <w:rPr>
            <w:rStyle w:val="charCitHyperlinkAbbrev"/>
          </w:rPr>
          <w:t>Statute Law Amendment Act 2007</w:t>
        </w:r>
      </w:hyperlink>
      <w:r w:rsidR="00D94935">
        <w:t xml:space="preserve"> A2007-3 sch 3 pt 3.24</w:t>
      </w:r>
    </w:p>
    <w:p w14:paraId="7FDF1314" w14:textId="77777777" w:rsidR="00D94935" w:rsidRDefault="00D94935" w:rsidP="00D94935">
      <w:pPr>
        <w:pStyle w:val="Actdetails"/>
        <w:keepNext/>
      </w:pPr>
      <w:r>
        <w:t>notified LR 22 March 2007</w:t>
      </w:r>
    </w:p>
    <w:p w14:paraId="2BEBF442" w14:textId="77777777" w:rsidR="00D94935" w:rsidRDefault="00D94935" w:rsidP="00D94935">
      <w:pPr>
        <w:pStyle w:val="Actdetails"/>
        <w:keepNext/>
      </w:pPr>
      <w:r>
        <w:t>s 1, s 2 taken to have commenced 1 July 2006 (LA s 75 (2))</w:t>
      </w:r>
    </w:p>
    <w:p w14:paraId="1606438C" w14:textId="77777777" w:rsidR="00D94935" w:rsidRDefault="00D94935" w:rsidP="00D94935">
      <w:pPr>
        <w:pStyle w:val="Actdetails"/>
      </w:pPr>
      <w:r>
        <w:t>sch 3 pt 3.24 commenced 12 April 2007 (s 2 (1))</w:t>
      </w:r>
    </w:p>
    <w:p w14:paraId="095A14D9" w14:textId="4567D025" w:rsidR="00D94935" w:rsidRDefault="001542D1" w:rsidP="00D94935">
      <w:pPr>
        <w:pStyle w:val="NewReg"/>
      </w:pPr>
      <w:hyperlink r:id="rId1246" w:tooltip="SL2007-16" w:history="1">
        <w:r w:rsidR="00D94935" w:rsidRPr="006364FA">
          <w:rPr>
            <w:rStyle w:val="charCitHyperlinkAbbrev"/>
          </w:rPr>
          <w:t>Court Procedures Amendment Rules 2007 (No 1)</w:t>
        </w:r>
      </w:hyperlink>
      <w:r w:rsidR="00D94935">
        <w:t xml:space="preserve"> SL2007-16</w:t>
      </w:r>
    </w:p>
    <w:p w14:paraId="5FDE8B24" w14:textId="77777777" w:rsidR="00D94935" w:rsidRDefault="00D94935" w:rsidP="00D94935">
      <w:pPr>
        <w:pStyle w:val="Actdetails"/>
      </w:pPr>
      <w:r>
        <w:t>notified LR 25 June 2007</w:t>
      </w:r>
    </w:p>
    <w:p w14:paraId="778CDAC3" w14:textId="77777777" w:rsidR="00D94935" w:rsidRDefault="00D94935" w:rsidP="00D94935">
      <w:pPr>
        <w:pStyle w:val="Actdetails"/>
      </w:pPr>
      <w:r>
        <w:t>r 1, r 2 commenced 25 June 2007 (LA s 75 (1))</w:t>
      </w:r>
    </w:p>
    <w:p w14:paraId="71B16040" w14:textId="77777777" w:rsidR="00D94935" w:rsidRPr="006364FA" w:rsidRDefault="00D94935" w:rsidP="00D94935">
      <w:pPr>
        <w:pStyle w:val="Actdetails"/>
        <w:rPr>
          <w:rFonts w:cs="Arial"/>
        </w:rPr>
      </w:pPr>
      <w:r w:rsidRPr="006364FA">
        <w:rPr>
          <w:rFonts w:cs="Arial"/>
        </w:rPr>
        <w:t>remainder commenced 1 July 2007 (r 2)</w:t>
      </w:r>
    </w:p>
    <w:p w14:paraId="3CC6695E" w14:textId="7E49C329" w:rsidR="00D94935" w:rsidRDefault="001542D1" w:rsidP="00D94935">
      <w:pPr>
        <w:pStyle w:val="NewAct"/>
      </w:pPr>
      <w:hyperlink r:id="rId1247" w:tooltip="A2007-28" w:history="1">
        <w:r w:rsidR="00D94935" w:rsidRPr="006364FA">
          <w:rPr>
            <w:rStyle w:val="charCitHyperlinkAbbrev"/>
          </w:rPr>
          <w:t>Legal Profession Amendment Act 2007</w:t>
        </w:r>
      </w:hyperlink>
      <w:r w:rsidR="00D94935">
        <w:t xml:space="preserve"> A2007-28 sch 1 pt 1.1</w:t>
      </w:r>
    </w:p>
    <w:p w14:paraId="22C50734" w14:textId="77777777" w:rsidR="00D94935" w:rsidRDefault="00D94935" w:rsidP="00D94935">
      <w:pPr>
        <w:pStyle w:val="Actdetails"/>
        <w:keepNext/>
      </w:pPr>
      <w:r>
        <w:t>notified LR 28 September 2007</w:t>
      </w:r>
    </w:p>
    <w:p w14:paraId="7BB21760" w14:textId="77777777" w:rsidR="00D94935" w:rsidRDefault="00D94935" w:rsidP="00D94935">
      <w:pPr>
        <w:pStyle w:val="Actdetails"/>
        <w:keepNext/>
      </w:pPr>
      <w:r>
        <w:t>s 1, s 2 commenced 28 September 2007 (LA s 75 (1))</w:t>
      </w:r>
    </w:p>
    <w:p w14:paraId="7A37B4A2" w14:textId="77777777" w:rsidR="00D94935" w:rsidRDefault="00D94935" w:rsidP="00D94935">
      <w:pPr>
        <w:pStyle w:val="Actdetails"/>
      </w:pPr>
      <w:r>
        <w:t>sch 1 pt 1.1 commenced 1 October 2007 (s 2)</w:t>
      </w:r>
    </w:p>
    <w:p w14:paraId="4619A74F" w14:textId="63D6EC12" w:rsidR="00D94935" w:rsidRDefault="001542D1" w:rsidP="00D94935">
      <w:pPr>
        <w:pStyle w:val="NewReg"/>
      </w:pPr>
      <w:hyperlink r:id="rId1248" w:tooltip="SL2007-37" w:history="1">
        <w:r w:rsidR="00D94935" w:rsidRPr="006364FA">
          <w:rPr>
            <w:rStyle w:val="charCitHyperlinkAbbrev"/>
          </w:rPr>
          <w:t>Court Procedures Amendment Rules 2007 (No 2)</w:t>
        </w:r>
      </w:hyperlink>
      <w:r w:rsidR="00D94935">
        <w:t xml:space="preserve"> SL2007-37</w:t>
      </w:r>
    </w:p>
    <w:p w14:paraId="6134504C" w14:textId="77777777" w:rsidR="00D94935" w:rsidRDefault="00D94935" w:rsidP="00D94935">
      <w:pPr>
        <w:pStyle w:val="Actdetails"/>
      </w:pPr>
      <w:r>
        <w:t>notified LR 20 December 2007</w:t>
      </w:r>
    </w:p>
    <w:p w14:paraId="2EF96234" w14:textId="77777777" w:rsidR="00D94935" w:rsidRDefault="00D94935" w:rsidP="00D94935">
      <w:pPr>
        <w:pStyle w:val="Actdetails"/>
      </w:pPr>
      <w:r>
        <w:t>r 1, r 2 commenced 20 December 2007 (LA s 75 (1))</w:t>
      </w:r>
    </w:p>
    <w:p w14:paraId="303942A1" w14:textId="77777777"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14:paraId="1FBDD6E2" w14:textId="6347FA1D" w:rsidR="00D94935" w:rsidRDefault="001542D1" w:rsidP="00D94935">
      <w:pPr>
        <w:pStyle w:val="NewReg"/>
      </w:pPr>
      <w:hyperlink r:id="rId1249" w:tooltip="SL2008-25" w:history="1">
        <w:r w:rsidR="00D94935" w:rsidRPr="006364FA">
          <w:rPr>
            <w:rStyle w:val="charCitHyperlinkAbbrev"/>
          </w:rPr>
          <w:t>Court Procedures Amendment Rules 2008 (No 1)</w:t>
        </w:r>
      </w:hyperlink>
      <w:r w:rsidR="00D94935">
        <w:t xml:space="preserve"> SL2008-25</w:t>
      </w:r>
    </w:p>
    <w:p w14:paraId="50E95F03" w14:textId="77777777" w:rsidR="00D94935" w:rsidRDefault="00D94935" w:rsidP="00D94935">
      <w:pPr>
        <w:pStyle w:val="Actdetails"/>
        <w:keepNext/>
      </w:pPr>
      <w:r>
        <w:t>notified LR 26 June 2008</w:t>
      </w:r>
    </w:p>
    <w:p w14:paraId="23EED7CC" w14:textId="77777777" w:rsidR="00D94935" w:rsidRDefault="00D94935" w:rsidP="00D94935">
      <w:pPr>
        <w:pStyle w:val="Actdetails"/>
        <w:keepNext/>
      </w:pPr>
      <w:r>
        <w:t>r 1, r 2 commenced 26 June 2008 (LA s 75 (1))</w:t>
      </w:r>
    </w:p>
    <w:p w14:paraId="1CD9818E" w14:textId="1EC9BB49" w:rsidR="00D94935" w:rsidRDefault="00D94935" w:rsidP="00D94935">
      <w:pPr>
        <w:pStyle w:val="Actdetails"/>
      </w:pPr>
      <w:r>
        <w:t xml:space="preserve">r 11, r 12, r 17 commenced 29 July 2008 (r 2 (2) and see </w:t>
      </w:r>
      <w:hyperlink r:id="rId1250" w:tooltip="A2008-22" w:history="1">
        <w:r w:rsidRPr="006364FA">
          <w:rPr>
            <w:rStyle w:val="charCitHyperlinkAbbrev"/>
          </w:rPr>
          <w:t>Justice and Community Safety Legislation Amendment Act 2008 (No 2)</w:t>
        </w:r>
      </w:hyperlink>
      <w:r>
        <w:t xml:space="preserve"> A2008-22 s 2)</w:t>
      </w:r>
    </w:p>
    <w:p w14:paraId="5F4BF342" w14:textId="77777777"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14:paraId="7FC02089" w14:textId="17ACF872" w:rsidR="00D94935" w:rsidRDefault="00D94935" w:rsidP="00D94935">
      <w:pPr>
        <w:pStyle w:val="LegHistNote"/>
      </w:pPr>
      <w:r w:rsidRPr="006364FA">
        <w:rPr>
          <w:rStyle w:val="charItals"/>
        </w:rPr>
        <w:t>Note</w:t>
      </w:r>
      <w:r>
        <w:tab/>
      </w:r>
      <w:hyperlink r:id="rId1251"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14:paraId="08AD27C0" w14:textId="357CFB23" w:rsidR="00D94935" w:rsidRDefault="001542D1" w:rsidP="00D94935">
      <w:pPr>
        <w:pStyle w:val="NewAct"/>
      </w:pPr>
      <w:hyperlink r:id="rId1252"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14:paraId="75DAAD84" w14:textId="77777777" w:rsidR="00D94935" w:rsidRDefault="00D94935" w:rsidP="00D94935">
      <w:pPr>
        <w:pStyle w:val="Actdetails"/>
        <w:keepNext/>
      </w:pPr>
      <w:r>
        <w:t>notified LR 17 July 2008</w:t>
      </w:r>
    </w:p>
    <w:p w14:paraId="613F86B4" w14:textId="77777777" w:rsidR="00D94935" w:rsidRDefault="00D94935" w:rsidP="00D94935">
      <w:pPr>
        <w:pStyle w:val="Actdetails"/>
        <w:keepNext/>
      </w:pPr>
      <w:r>
        <w:t>s 1, s 2 commenced 17 July 2008 (LA s 75 (1))</w:t>
      </w:r>
    </w:p>
    <w:p w14:paraId="5D1F9B01" w14:textId="77777777" w:rsidR="00D94935" w:rsidRDefault="00D94935" w:rsidP="00D94935">
      <w:pPr>
        <w:pStyle w:val="Actdetails"/>
        <w:keepNext/>
      </w:pPr>
      <w:r>
        <w:t>s 3 commenced 18 July 2008 (s 2 (1))</w:t>
      </w:r>
    </w:p>
    <w:p w14:paraId="208A599F" w14:textId="6EE205F1" w:rsidR="00D94935" w:rsidRPr="00CB518A" w:rsidRDefault="00D94935" w:rsidP="00D94935">
      <w:pPr>
        <w:pStyle w:val="Actdetails"/>
        <w:keepNext/>
      </w:pPr>
      <w:r>
        <w:t>sch 3 pt 3.6 commenced</w:t>
      </w:r>
      <w:r w:rsidRPr="00CB518A">
        <w:t xml:space="preserve"> 27 October 2008 (s 2 (4) and see </w:t>
      </w:r>
      <w:hyperlink r:id="rId1253" w:tooltip="A2008-19" w:history="1">
        <w:r w:rsidRPr="006364FA">
          <w:rPr>
            <w:rStyle w:val="charCitHyperlinkAbbrev"/>
          </w:rPr>
          <w:t>Children and Young People Act 2008</w:t>
        </w:r>
      </w:hyperlink>
      <w:r w:rsidRPr="00CB518A">
        <w:t xml:space="preserve"> A2008-19, s 2 and </w:t>
      </w:r>
      <w:hyperlink r:id="rId1254" w:tooltip="CN2008-13" w:history="1">
        <w:r w:rsidRPr="006364FA">
          <w:rPr>
            <w:rStyle w:val="charCitHyperlinkAbbrev"/>
          </w:rPr>
          <w:t>CN2008-13</w:t>
        </w:r>
      </w:hyperlink>
      <w:r w:rsidRPr="00CB518A">
        <w:t>)</w:t>
      </w:r>
    </w:p>
    <w:p w14:paraId="769CDD95" w14:textId="3275059F" w:rsidR="00D94935" w:rsidRPr="0034647F" w:rsidRDefault="00D94935" w:rsidP="00D94935">
      <w:pPr>
        <w:pStyle w:val="Actdetails"/>
      </w:pPr>
      <w:r w:rsidRPr="0034647F">
        <w:t xml:space="preserve">sch 4 pt 4.6 commenced 27 February 2009 (s 2 (5) and see </w:t>
      </w:r>
      <w:hyperlink r:id="rId1255" w:tooltip="A2008-19" w:history="1">
        <w:r w:rsidRPr="006364FA">
          <w:rPr>
            <w:rStyle w:val="charCitHyperlinkAbbrev"/>
          </w:rPr>
          <w:t>Children and Young People Act 2008</w:t>
        </w:r>
      </w:hyperlink>
      <w:r w:rsidRPr="0034647F">
        <w:t xml:space="preserve"> A2008-19, s 2 and </w:t>
      </w:r>
      <w:hyperlink r:id="rId1256" w:tooltip="CN2008-17" w:history="1">
        <w:r w:rsidRPr="006364FA">
          <w:rPr>
            <w:rStyle w:val="charCitHyperlinkAbbrev"/>
          </w:rPr>
          <w:t xml:space="preserve">CN2008-17 </w:t>
        </w:r>
      </w:hyperlink>
      <w:r w:rsidRPr="0034647F">
        <w:t xml:space="preserve">(and see </w:t>
      </w:r>
      <w:hyperlink r:id="rId1257" w:tooltip="CN2008-13" w:history="1">
        <w:r w:rsidRPr="006364FA">
          <w:rPr>
            <w:rStyle w:val="charCitHyperlinkAbbrev"/>
          </w:rPr>
          <w:t>CN2008-13</w:t>
        </w:r>
      </w:hyperlink>
      <w:r w:rsidRPr="0034647F">
        <w:t>))</w:t>
      </w:r>
    </w:p>
    <w:p w14:paraId="7AED9F80" w14:textId="27438548" w:rsidR="00D94935" w:rsidRDefault="001542D1" w:rsidP="00D94935">
      <w:pPr>
        <w:pStyle w:val="NewReg"/>
      </w:pPr>
      <w:hyperlink r:id="rId1258" w:tooltip="SL2008-44" w:history="1">
        <w:r w:rsidR="00D94935" w:rsidRPr="006364FA">
          <w:rPr>
            <w:rStyle w:val="charCitHyperlinkAbbrev"/>
          </w:rPr>
          <w:t>Court Procedures Amendment Rules 2008 (No 2)</w:t>
        </w:r>
      </w:hyperlink>
      <w:r w:rsidR="00D94935">
        <w:t xml:space="preserve"> SL2008-44</w:t>
      </w:r>
    </w:p>
    <w:p w14:paraId="090CF3CE" w14:textId="77777777" w:rsidR="00D94935" w:rsidRDefault="00D94935" w:rsidP="00D94935">
      <w:pPr>
        <w:pStyle w:val="Actdetails"/>
        <w:keepNext/>
      </w:pPr>
      <w:r>
        <w:t>notified LR 29 September 2008</w:t>
      </w:r>
    </w:p>
    <w:p w14:paraId="50F1D484" w14:textId="77777777" w:rsidR="00D94935" w:rsidRDefault="00D94935" w:rsidP="00D94935">
      <w:pPr>
        <w:pStyle w:val="Actdetails"/>
        <w:keepNext/>
      </w:pPr>
      <w:r>
        <w:t>r 1, r 2 commenced 29 September 2008 (LA s 75 (1))</w:t>
      </w:r>
    </w:p>
    <w:p w14:paraId="6872AC02" w14:textId="77777777"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14:paraId="123DC3B0" w14:textId="5B9A5E8B" w:rsidR="00D94935" w:rsidRDefault="001542D1" w:rsidP="00D94935">
      <w:pPr>
        <w:pStyle w:val="NewReg"/>
      </w:pPr>
      <w:hyperlink r:id="rId1259" w:tooltip="SL2008-50" w:history="1">
        <w:r w:rsidR="00D94935" w:rsidRPr="006364FA">
          <w:rPr>
            <w:rStyle w:val="charCitHyperlinkAbbrev"/>
          </w:rPr>
          <w:t>Court Procedures Amendment Rules 2008 (No 3)</w:t>
        </w:r>
      </w:hyperlink>
      <w:r w:rsidR="00D94935">
        <w:t xml:space="preserve"> SL2008-50</w:t>
      </w:r>
    </w:p>
    <w:p w14:paraId="6688ED2F" w14:textId="77777777" w:rsidR="00D94935" w:rsidRDefault="00D94935" w:rsidP="00D94935">
      <w:pPr>
        <w:pStyle w:val="Actdetails"/>
        <w:keepNext/>
      </w:pPr>
      <w:r>
        <w:t>notified LR 23 December 2008</w:t>
      </w:r>
    </w:p>
    <w:p w14:paraId="2E001165" w14:textId="77777777" w:rsidR="00D94935" w:rsidRDefault="00D94935" w:rsidP="00D94935">
      <w:pPr>
        <w:pStyle w:val="Actdetails"/>
        <w:keepNext/>
      </w:pPr>
      <w:r>
        <w:t>r 1, r 2 commenced 23 December 2008 (LA s 75 (1))</w:t>
      </w:r>
    </w:p>
    <w:p w14:paraId="53A82A0E" w14:textId="6F552F6B" w:rsidR="00D94935" w:rsidRPr="00A778FE" w:rsidRDefault="00D94935" w:rsidP="00D94935">
      <w:pPr>
        <w:pStyle w:val="Actdetails"/>
        <w:keepNext/>
      </w:pPr>
      <w:r w:rsidRPr="00A778FE">
        <w:t>r 6</w:t>
      </w:r>
      <w:r>
        <w:t xml:space="preserve"> commenced</w:t>
      </w:r>
      <w:r w:rsidRPr="00A778FE">
        <w:t xml:space="preserve"> 30 May 2009 (r 2 (2) and see </w:t>
      </w:r>
      <w:hyperlink r:id="rId1260" w:tooltip="A2008-44" w:history="1">
        <w:r w:rsidRPr="006364FA">
          <w:rPr>
            <w:rStyle w:val="charCitHyperlinkAbbrev"/>
          </w:rPr>
          <w:t>Crimes Legislation Amendment Act 2008</w:t>
        </w:r>
      </w:hyperlink>
      <w:r w:rsidRPr="00A778FE">
        <w:t xml:space="preserve"> A2008-44, s 2 and </w:t>
      </w:r>
      <w:hyperlink r:id="rId1261" w:tooltip="CN2009-4" w:history="1">
        <w:r w:rsidRPr="006364FA">
          <w:rPr>
            <w:rStyle w:val="charCitHyperlinkAbbrev"/>
          </w:rPr>
          <w:t>CN2009-4</w:t>
        </w:r>
      </w:hyperlink>
      <w:r w:rsidRPr="00A778FE">
        <w:t>)</w:t>
      </w:r>
    </w:p>
    <w:p w14:paraId="7562372B" w14:textId="77777777"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14:paraId="53EB75E4" w14:textId="20958D1A" w:rsidR="00D94935" w:rsidRDefault="001542D1" w:rsidP="00D94935">
      <w:pPr>
        <w:pStyle w:val="NewReg"/>
      </w:pPr>
      <w:hyperlink r:id="rId1262" w:tooltip="SL2009-11" w:history="1">
        <w:r w:rsidR="00D94935" w:rsidRPr="006364FA">
          <w:rPr>
            <w:rStyle w:val="charCitHyperlinkAbbrev"/>
          </w:rPr>
          <w:t>Court Procedures Amendment Rules 2009 (No 1)</w:t>
        </w:r>
      </w:hyperlink>
      <w:r w:rsidR="00D94935">
        <w:t xml:space="preserve"> SL2009-11</w:t>
      </w:r>
    </w:p>
    <w:p w14:paraId="0B167CAE" w14:textId="77777777" w:rsidR="00D94935" w:rsidRDefault="00D94935" w:rsidP="00D94935">
      <w:pPr>
        <w:pStyle w:val="Actdetails"/>
        <w:keepNext/>
      </w:pPr>
      <w:r>
        <w:t>notified LR 27 March 2009</w:t>
      </w:r>
    </w:p>
    <w:p w14:paraId="78B9D24F" w14:textId="77777777" w:rsidR="00D94935" w:rsidRDefault="00D94935" w:rsidP="00D94935">
      <w:pPr>
        <w:pStyle w:val="Actdetails"/>
        <w:keepNext/>
      </w:pPr>
      <w:r>
        <w:t>r 1, r 2 commenced 27 March 2009 (LA s 75 (1))</w:t>
      </w:r>
    </w:p>
    <w:p w14:paraId="0BC61C42" w14:textId="17ED40AD"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63" w:tooltip="A2008-46" w:history="1">
        <w:r w:rsidRPr="006364FA">
          <w:rPr>
            <w:rStyle w:val="charCitHyperlinkAbbrev"/>
          </w:rPr>
          <w:t>Domestic Violence and Protection Orders Act 2008</w:t>
        </w:r>
      </w:hyperlink>
      <w:r w:rsidRPr="006364FA">
        <w:rPr>
          <w:rFonts w:cs="Arial"/>
        </w:rPr>
        <w:t xml:space="preserve"> A2008-46 s 2)</w:t>
      </w:r>
    </w:p>
    <w:p w14:paraId="4A36D7AF" w14:textId="68795E84" w:rsidR="00D94935" w:rsidRDefault="001542D1" w:rsidP="00D94935">
      <w:pPr>
        <w:pStyle w:val="NewReg"/>
      </w:pPr>
      <w:hyperlink r:id="rId1264" w:tooltip="SL2009-32" w:history="1">
        <w:r w:rsidR="00D94935" w:rsidRPr="006364FA">
          <w:rPr>
            <w:rStyle w:val="charCitHyperlinkAbbrev"/>
          </w:rPr>
          <w:t>Court Procedures Amendment Rules 2009 (No 2)</w:t>
        </w:r>
      </w:hyperlink>
      <w:r w:rsidR="00D94935">
        <w:t xml:space="preserve"> SL2009-32</w:t>
      </w:r>
    </w:p>
    <w:p w14:paraId="34FD27E5" w14:textId="77777777" w:rsidR="00D94935" w:rsidRDefault="00D94935" w:rsidP="00D94935">
      <w:pPr>
        <w:pStyle w:val="Actdetails"/>
        <w:keepNext/>
      </w:pPr>
      <w:r>
        <w:t>notified LR 29 June 2009</w:t>
      </w:r>
    </w:p>
    <w:p w14:paraId="6EF0556E" w14:textId="77777777" w:rsidR="00D94935" w:rsidRDefault="00D94935" w:rsidP="00D94935">
      <w:pPr>
        <w:pStyle w:val="Actdetails"/>
        <w:keepNext/>
      </w:pPr>
      <w:r>
        <w:t>r 1, r 2 commenced 29 June 2009 (LA s 75 (1))</w:t>
      </w:r>
    </w:p>
    <w:p w14:paraId="150A439E" w14:textId="77777777"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14:paraId="45D0B22E" w14:textId="156AFC94" w:rsidR="00D94935" w:rsidRPr="00574BD0" w:rsidRDefault="001542D1" w:rsidP="00D94935">
      <w:pPr>
        <w:pStyle w:val="NewAct"/>
      </w:pPr>
      <w:hyperlink r:id="rId1265"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14:paraId="725067DF" w14:textId="77777777" w:rsidR="00D94935" w:rsidRPr="00DB3D5E" w:rsidRDefault="00D94935" w:rsidP="00D94935">
      <w:pPr>
        <w:pStyle w:val="Actdetails"/>
        <w:keepNext/>
      </w:pPr>
      <w:r>
        <w:t>notified LR 26</w:t>
      </w:r>
      <w:r w:rsidRPr="00DB3D5E">
        <w:t xml:space="preserve"> </w:t>
      </w:r>
      <w:r>
        <w:t>November</w:t>
      </w:r>
      <w:r w:rsidRPr="00DB3D5E">
        <w:t xml:space="preserve"> 2009</w:t>
      </w:r>
    </w:p>
    <w:p w14:paraId="11ADDC10" w14:textId="77777777" w:rsidR="00D94935" w:rsidRDefault="00D94935" w:rsidP="00D94935">
      <w:pPr>
        <w:pStyle w:val="Actdetails"/>
        <w:keepNext/>
      </w:pPr>
      <w:r>
        <w:t>s 1, s 2 commenced 26 November 2009 (LA s 75 (1))</w:t>
      </w:r>
    </w:p>
    <w:p w14:paraId="55E003A4" w14:textId="77777777" w:rsidR="00D94935" w:rsidRPr="00BF40E8" w:rsidRDefault="00D94935" w:rsidP="00D94935">
      <w:pPr>
        <w:pStyle w:val="Actdetails"/>
      </w:pPr>
      <w:r>
        <w:t>sch 3 pt 3.15 commenced 17</w:t>
      </w:r>
      <w:r w:rsidRPr="00BF40E8">
        <w:t xml:space="preserve"> </w:t>
      </w:r>
      <w:r>
        <w:t>December 2009 (s 2)</w:t>
      </w:r>
    </w:p>
    <w:p w14:paraId="0DF87C67" w14:textId="787DEF4D" w:rsidR="00D94935" w:rsidRDefault="001542D1" w:rsidP="00D94935">
      <w:pPr>
        <w:pStyle w:val="NewReg"/>
      </w:pPr>
      <w:hyperlink r:id="rId1266" w:tooltip="SL2009-56" w:history="1">
        <w:r w:rsidR="00D94935" w:rsidRPr="006364FA">
          <w:rPr>
            <w:rStyle w:val="charCitHyperlinkAbbrev"/>
          </w:rPr>
          <w:t>Court Procedures Amendment Rules 2009 (No 3)</w:t>
        </w:r>
      </w:hyperlink>
      <w:r w:rsidR="00D94935">
        <w:t xml:space="preserve"> SL2009-56</w:t>
      </w:r>
    </w:p>
    <w:p w14:paraId="10C93C62" w14:textId="77777777" w:rsidR="00D94935" w:rsidRDefault="00D94935" w:rsidP="00D94935">
      <w:pPr>
        <w:pStyle w:val="Actdetails"/>
        <w:keepNext/>
      </w:pPr>
      <w:r>
        <w:t>notified LR 17 December 2009</w:t>
      </w:r>
    </w:p>
    <w:p w14:paraId="131E4196" w14:textId="77777777" w:rsidR="00D94935" w:rsidRDefault="00D94935" w:rsidP="00D94935">
      <w:pPr>
        <w:pStyle w:val="Actdetails"/>
        <w:keepNext/>
      </w:pPr>
      <w:r>
        <w:t>r 1, r 2 commenced 17 December 2009 (LA s 75 (1))</w:t>
      </w:r>
    </w:p>
    <w:p w14:paraId="0AC6E3FF" w14:textId="77777777"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14:paraId="0B257293" w14:textId="7A01995E" w:rsidR="00D94935" w:rsidRPr="001F2D5F" w:rsidRDefault="001542D1" w:rsidP="00D94935">
      <w:pPr>
        <w:pStyle w:val="NewAct"/>
      </w:pPr>
      <w:hyperlink r:id="rId1267" w:tooltip="A2010-2" w:history="1">
        <w:r w:rsidR="00D94935" w:rsidRPr="006364FA">
          <w:rPr>
            <w:rStyle w:val="charCitHyperlinkAbbrev"/>
          </w:rPr>
          <w:t>Health Legislation Amendment Act 2010</w:t>
        </w:r>
      </w:hyperlink>
      <w:r w:rsidR="00D94935">
        <w:t xml:space="preserve"> A2010-2 sch 1 pt 1.2</w:t>
      </w:r>
    </w:p>
    <w:p w14:paraId="36A92913" w14:textId="77777777" w:rsidR="00D94935" w:rsidRDefault="00D94935" w:rsidP="00D94935">
      <w:pPr>
        <w:pStyle w:val="Actdetails"/>
      </w:pPr>
      <w:r>
        <w:t>notified LR 16 February 2010</w:t>
      </w:r>
    </w:p>
    <w:p w14:paraId="1299962C" w14:textId="77777777" w:rsidR="00D94935" w:rsidRDefault="00D94935" w:rsidP="00D94935">
      <w:pPr>
        <w:pStyle w:val="Actdetails"/>
      </w:pPr>
      <w:r>
        <w:t>s 1, s 2 commenced 16 February 2010 (LA s 75 (1))</w:t>
      </w:r>
    </w:p>
    <w:p w14:paraId="2922C86A" w14:textId="77777777"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14:paraId="366F475A" w14:textId="19FE06ED" w:rsidR="00D94935" w:rsidRDefault="001542D1" w:rsidP="00D94935">
      <w:pPr>
        <w:pStyle w:val="NewAct"/>
      </w:pPr>
      <w:hyperlink r:id="rId1268" w:tooltip="A2010-21" w:history="1">
        <w:r w:rsidR="00D94935" w:rsidRPr="006364FA">
          <w:rPr>
            <w:rStyle w:val="charCitHyperlinkAbbrev"/>
          </w:rPr>
          <w:t>Crimes (Sentence Administration) Amendment Act 2010</w:t>
        </w:r>
      </w:hyperlink>
      <w:r w:rsidR="00D94935">
        <w:t xml:space="preserve"> A2010-21 sch 1 pt 1.3</w:t>
      </w:r>
    </w:p>
    <w:p w14:paraId="66110E0D" w14:textId="77777777" w:rsidR="00D94935" w:rsidRDefault="00D94935" w:rsidP="00D94935">
      <w:pPr>
        <w:pStyle w:val="Actdetails"/>
      </w:pPr>
      <w:r>
        <w:t>notified LR 30 June 2010</w:t>
      </w:r>
    </w:p>
    <w:p w14:paraId="3754F811" w14:textId="77777777" w:rsidR="00D94935" w:rsidRDefault="00D94935" w:rsidP="00D94935">
      <w:pPr>
        <w:pStyle w:val="Actdetails"/>
      </w:pPr>
      <w:r>
        <w:t>s 1, s 2 commenced 30 June 2010 (LA s 75 (1))</w:t>
      </w:r>
    </w:p>
    <w:p w14:paraId="51BD7ADE" w14:textId="77777777" w:rsidR="00D94935" w:rsidRPr="00A37B53" w:rsidRDefault="00D94935" w:rsidP="00D94935">
      <w:pPr>
        <w:pStyle w:val="Actdetails"/>
      </w:pPr>
      <w:r>
        <w:t>sch 1 pt 1.3 commenced 1 July 2010 (s 2)</w:t>
      </w:r>
    </w:p>
    <w:p w14:paraId="6D1F768E" w14:textId="0FF6B27C" w:rsidR="00D94935" w:rsidRDefault="001542D1" w:rsidP="00D94935">
      <w:pPr>
        <w:pStyle w:val="NewReg"/>
      </w:pPr>
      <w:hyperlink r:id="rId1269" w:tooltip="SL2010-24" w:history="1">
        <w:r w:rsidR="00D94935" w:rsidRPr="006364FA">
          <w:rPr>
            <w:rStyle w:val="charCitHyperlinkAbbrev"/>
          </w:rPr>
          <w:t>Court Procedures Amendment Rules 2010 (No 1)</w:t>
        </w:r>
      </w:hyperlink>
      <w:r w:rsidR="00D94935">
        <w:t xml:space="preserve"> SL2010-24</w:t>
      </w:r>
    </w:p>
    <w:p w14:paraId="6B14129B" w14:textId="77777777" w:rsidR="00D94935" w:rsidRDefault="00D94935" w:rsidP="00D94935">
      <w:pPr>
        <w:pStyle w:val="Actdetails"/>
        <w:keepNext/>
      </w:pPr>
      <w:r>
        <w:t>notified LR 30 June 2010</w:t>
      </w:r>
    </w:p>
    <w:p w14:paraId="7C1AA93C" w14:textId="77777777" w:rsidR="00D94935" w:rsidRDefault="00D94935" w:rsidP="00D94935">
      <w:pPr>
        <w:pStyle w:val="Actdetails"/>
        <w:keepNext/>
      </w:pPr>
      <w:r>
        <w:t>r 1, r 2 commenced 30 June 2010 (LA s 75 (1))</w:t>
      </w:r>
    </w:p>
    <w:p w14:paraId="25DB566A" w14:textId="77777777"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14:paraId="6A8EDE79" w14:textId="121EB24B" w:rsidR="00D94935" w:rsidRDefault="001542D1" w:rsidP="00D94935">
      <w:pPr>
        <w:pStyle w:val="NewReg"/>
      </w:pPr>
      <w:hyperlink r:id="rId1270" w:tooltip="SL2010-51" w:history="1">
        <w:r w:rsidR="00D94935" w:rsidRPr="006364FA">
          <w:rPr>
            <w:rStyle w:val="charCitHyperlinkAbbrev"/>
          </w:rPr>
          <w:t>Court Procedures Amendment Rules 2010 (No 2)</w:t>
        </w:r>
      </w:hyperlink>
      <w:r w:rsidR="00D94935">
        <w:t xml:space="preserve"> SL2010-51</w:t>
      </w:r>
    </w:p>
    <w:p w14:paraId="05F9AA1E" w14:textId="77777777" w:rsidR="00D94935" w:rsidRDefault="00D94935" w:rsidP="00D94935">
      <w:pPr>
        <w:pStyle w:val="Actdetails"/>
        <w:keepNext/>
      </w:pPr>
      <w:r>
        <w:t>notified LR 16 December 2010</w:t>
      </w:r>
    </w:p>
    <w:p w14:paraId="55FFF26D" w14:textId="77777777" w:rsidR="00D94935" w:rsidRDefault="00D94935" w:rsidP="00D94935">
      <w:pPr>
        <w:pStyle w:val="Actdetails"/>
        <w:keepNext/>
      </w:pPr>
      <w:r>
        <w:t>r 1, r 2 commenced 16 December 2010 (LA s 75 (1))</w:t>
      </w:r>
    </w:p>
    <w:p w14:paraId="57041BE9" w14:textId="77777777"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14:paraId="53AF8B17" w14:textId="3570F52D" w:rsidR="00D94935" w:rsidRDefault="001542D1" w:rsidP="00D94935">
      <w:pPr>
        <w:pStyle w:val="NewReg"/>
      </w:pPr>
      <w:hyperlink r:id="rId1271" w:tooltip="SL2011-6" w:history="1">
        <w:r w:rsidR="00D94935" w:rsidRPr="006364FA">
          <w:rPr>
            <w:rStyle w:val="charCitHyperlinkAbbrev"/>
          </w:rPr>
          <w:t>Court Procedures Amendment Rules 2011 (No 1)</w:t>
        </w:r>
      </w:hyperlink>
      <w:r w:rsidR="00D94935">
        <w:t xml:space="preserve"> SL2011-6</w:t>
      </w:r>
    </w:p>
    <w:p w14:paraId="1077DC35" w14:textId="77777777" w:rsidR="00D94935" w:rsidRDefault="00D94935" w:rsidP="00D94935">
      <w:pPr>
        <w:pStyle w:val="Actdetails"/>
        <w:keepNext/>
      </w:pPr>
      <w:r>
        <w:t>notified LR 28 February 2011</w:t>
      </w:r>
    </w:p>
    <w:p w14:paraId="6147917A" w14:textId="77777777" w:rsidR="00D94935" w:rsidRDefault="00D94935" w:rsidP="00D94935">
      <w:pPr>
        <w:pStyle w:val="Actdetails"/>
        <w:keepNext/>
      </w:pPr>
      <w:r>
        <w:t>r 1, r 2 commenced 28 February 2011 (LA s 75 (1))</w:t>
      </w:r>
    </w:p>
    <w:p w14:paraId="11A4E651" w14:textId="77777777"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14:paraId="7E24619A" w14:textId="7F61F776" w:rsidR="00D94935" w:rsidRDefault="001542D1" w:rsidP="00D94935">
      <w:pPr>
        <w:pStyle w:val="NewReg"/>
      </w:pPr>
      <w:hyperlink r:id="rId1272" w:tooltip="SL2011-17" w:history="1">
        <w:r w:rsidR="00D94935" w:rsidRPr="006364FA">
          <w:rPr>
            <w:rStyle w:val="charCitHyperlinkAbbrev"/>
          </w:rPr>
          <w:t>Court Procedures Amendment Rules 2011 (No 2)</w:t>
        </w:r>
      </w:hyperlink>
      <w:r w:rsidR="00D94935">
        <w:t xml:space="preserve"> SL2011-17</w:t>
      </w:r>
    </w:p>
    <w:p w14:paraId="54C14947" w14:textId="77777777" w:rsidR="00D94935" w:rsidRDefault="00D94935" w:rsidP="00D94935">
      <w:pPr>
        <w:pStyle w:val="Actdetails"/>
        <w:keepNext/>
      </w:pPr>
      <w:r>
        <w:t>notified LR 30 June 2011</w:t>
      </w:r>
    </w:p>
    <w:p w14:paraId="16251E35" w14:textId="77777777" w:rsidR="00D94935" w:rsidRDefault="00D94935" w:rsidP="00D94935">
      <w:pPr>
        <w:pStyle w:val="Actdetails"/>
        <w:keepNext/>
      </w:pPr>
      <w:r>
        <w:t>r 1, r 2 commenced 30 June 2011 (LA s 75 (1))</w:t>
      </w:r>
    </w:p>
    <w:p w14:paraId="2904A2EF" w14:textId="204D4AB4" w:rsidR="00D94935" w:rsidRPr="00C6393D" w:rsidRDefault="00D94935" w:rsidP="00D94935">
      <w:pPr>
        <w:pStyle w:val="Actdetails"/>
        <w:keepNext/>
      </w:pPr>
      <w:r w:rsidRPr="00C6393D">
        <w:t>r 12, r 41, r 47 commenced 21 September 2011 (</w:t>
      </w:r>
      <w:r>
        <w:t>r</w:t>
      </w:r>
      <w:r w:rsidRPr="00C6393D">
        <w:t xml:space="preserve"> 2 (1) and see </w:t>
      </w:r>
      <w:hyperlink r:id="rId1273"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14:paraId="31EB6FD6" w14:textId="77777777"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14:paraId="302E2362" w14:textId="018A08A1" w:rsidR="00D94935" w:rsidRPr="00957C71" w:rsidRDefault="001542D1" w:rsidP="00D94935">
      <w:pPr>
        <w:pStyle w:val="NewAct"/>
      </w:pPr>
      <w:hyperlink r:id="rId1274" w:tooltip="A2011-20" w:history="1">
        <w:r w:rsidR="00D94935" w:rsidRPr="006364FA">
          <w:rPr>
            <w:rStyle w:val="charCitHyperlinkAbbrev"/>
          </w:rPr>
          <w:t>Criminal Proceedings Legislation Amendment Act 2011</w:t>
        </w:r>
      </w:hyperlink>
      <w:r w:rsidR="00D94935">
        <w:t xml:space="preserve"> A2011-20 sch 1 pt 1.1</w:t>
      </w:r>
    </w:p>
    <w:p w14:paraId="75103ABE" w14:textId="77777777" w:rsidR="00D94935" w:rsidRDefault="00D94935" w:rsidP="00D94935">
      <w:pPr>
        <w:pStyle w:val="Actdetails"/>
      </w:pPr>
      <w:r>
        <w:t>notified LR 6 July 2011</w:t>
      </w:r>
    </w:p>
    <w:p w14:paraId="0AAA8A8E" w14:textId="77777777" w:rsidR="00D94935" w:rsidRDefault="00D94935" w:rsidP="00D94935">
      <w:pPr>
        <w:pStyle w:val="Actdetails"/>
      </w:pPr>
      <w:r>
        <w:t>s 1, s 2 commenced 6 July 2011 (LA s 75 (1))</w:t>
      </w:r>
    </w:p>
    <w:p w14:paraId="4B92230E" w14:textId="77777777" w:rsidR="00D94935" w:rsidRPr="00A37B53" w:rsidRDefault="00D94935" w:rsidP="00D94935">
      <w:pPr>
        <w:pStyle w:val="Actdetails"/>
      </w:pPr>
      <w:r>
        <w:t>sch 1 pt 1.1 commenced 7 July 2011 (s 2)</w:t>
      </w:r>
    </w:p>
    <w:p w14:paraId="4057B623" w14:textId="0620EDE8" w:rsidR="00D94935" w:rsidRDefault="001542D1" w:rsidP="00D94935">
      <w:pPr>
        <w:pStyle w:val="NewReg"/>
      </w:pPr>
      <w:hyperlink r:id="rId1275" w:tooltip="SL2011-33" w:history="1">
        <w:r w:rsidR="00D94935" w:rsidRPr="006364FA">
          <w:rPr>
            <w:rStyle w:val="charCitHyperlinkAbbrev"/>
          </w:rPr>
          <w:t>Court Procedures Amendment Rules 2011 (No 3)</w:t>
        </w:r>
      </w:hyperlink>
      <w:r w:rsidR="00D94935">
        <w:t xml:space="preserve"> SL2011-33</w:t>
      </w:r>
    </w:p>
    <w:p w14:paraId="7FF345B0" w14:textId="77777777" w:rsidR="00D94935" w:rsidRDefault="00D94935" w:rsidP="00D94935">
      <w:pPr>
        <w:pStyle w:val="Actdetails"/>
        <w:keepNext/>
      </w:pPr>
      <w:r>
        <w:t>notified LR 24 November 2011</w:t>
      </w:r>
    </w:p>
    <w:p w14:paraId="32C55D23" w14:textId="77777777" w:rsidR="00D94935" w:rsidRDefault="00D94935" w:rsidP="00D94935">
      <w:pPr>
        <w:pStyle w:val="Actdetails"/>
        <w:keepNext/>
      </w:pPr>
      <w:r>
        <w:t>r 1, r 2 commenced 24 November 2011 (LA s 75 (1))</w:t>
      </w:r>
    </w:p>
    <w:p w14:paraId="5892C647" w14:textId="37BC7DBC"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76"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77" w:tooltip="Trans-Tasman Proceedings Commencement Proclamation 2013" w:history="1">
        <w:r w:rsidRPr="00652139">
          <w:rPr>
            <w:rStyle w:val="charCitHyperlinkAbbrev"/>
          </w:rPr>
          <w:t>F2013L0445</w:t>
        </w:r>
      </w:hyperlink>
      <w:r w:rsidRPr="00652139">
        <w:rPr>
          <w:rStyle w:val="charUnderline"/>
        </w:rPr>
        <w:t>)</w:t>
      </w:r>
    </w:p>
    <w:p w14:paraId="11CD8556" w14:textId="3B4D241B" w:rsidR="00D94935" w:rsidRDefault="001542D1" w:rsidP="00D94935">
      <w:pPr>
        <w:pStyle w:val="NewReg"/>
      </w:pPr>
      <w:hyperlink r:id="rId1278" w:tooltip="SL2011-34" w:history="1">
        <w:r w:rsidR="00D94935" w:rsidRPr="006364FA">
          <w:rPr>
            <w:rStyle w:val="charCitHyperlinkAbbrev"/>
          </w:rPr>
          <w:t>Court Procedures Amendment Rules 2011 (No 4)</w:t>
        </w:r>
      </w:hyperlink>
      <w:r w:rsidR="00D94935">
        <w:t xml:space="preserve"> SL2011-34</w:t>
      </w:r>
    </w:p>
    <w:p w14:paraId="1480EB2B" w14:textId="77777777" w:rsidR="00D94935" w:rsidRDefault="00D94935" w:rsidP="00D94935">
      <w:pPr>
        <w:pStyle w:val="Actdetails"/>
        <w:keepNext/>
      </w:pPr>
      <w:r>
        <w:t>notified LR 15 December 2011</w:t>
      </w:r>
    </w:p>
    <w:p w14:paraId="30CA8991" w14:textId="77777777" w:rsidR="00D94935" w:rsidRDefault="00D94935" w:rsidP="00D94935">
      <w:pPr>
        <w:pStyle w:val="Actdetails"/>
        <w:keepNext/>
      </w:pPr>
      <w:r>
        <w:t>r 1, r 2 commenced 15 December 2011 (LA s 75 (1))</w:t>
      </w:r>
    </w:p>
    <w:p w14:paraId="650C5B50" w14:textId="2C8A6D14"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79" w:tooltip="A2011-12" w:history="1">
        <w:r w:rsidRPr="006364FA">
          <w:rPr>
            <w:rStyle w:val="charCitHyperlinkAbbrev"/>
          </w:rPr>
          <w:t>Evidence Act 2011</w:t>
        </w:r>
      </w:hyperlink>
      <w:r w:rsidRPr="006364FA">
        <w:rPr>
          <w:rFonts w:cs="Arial"/>
        </w:rPr>
        <w:t xml:space="preserve"> A2011-12, s 2 and </w:t>
      </w:r>
      <w:hyperlink r:id="rId1280" w:tooltip="CN2012-4" w:history="1">
        <w:r w:rsidRPr="006364FA">
          <w:rPr>
            <w:rStyle w:val="charCitHyperlinkAbbrev"/>
          </w:rPr>
          <w:t>CN2012-4</w:t>
        </w:r>
      </w:hyperlink>
      <w:r w:rsidRPr="006364FA">
        <w:rPr>
          <w:rFonts w:cs="Arial"/>
        </w:rPr>
        <w:t>)</w:t>
      </w:r>
    </w:p>
    <w:p w14:paraId="2617EB86" w14:textId="473732BB" w:rsidR="00D94935" w:rsidRPr="00633B0D" w:rsidRDefault="00D94935" w:rsidP="00D94935">
      <w:pPr>
        <w:pStyle w:val="Actdetails"/>
      </w:pPr>
      <w:r w:rsidRPr="00633B0D">
        <w:t>rr 22-26, r 31, r 34 commence</w:t>
      </w:r>
      <w:r>
        <w:t>d 28 May 2012 (r 2 (2) and see</w:t>
      </w:r>
      <w:r w:rsidRPr="00633B0D">
        <w:t xml:space="preserve"> </w:t>
      </w:r>
      <w:hyperlink r:id="rId1281" w:tooltip="A2012-2" w:history="1">
        <w:r w:rsidRPr="00B74FF5">
          <w:rPr>
            <w:rStyle w:val="charCitHyperlinkAbbrev"/>
          </w:rPr>
          <w:t>Business Names Registration (Transition to Commonwealth) Act 2012</w:t>
        </w:r>
      </w:hyperlink>
      <w:r w:rsidRPr="00633B0D">
        <w:t xml:space="preserve"> A</w:t>
      </w:r>
      <w:r>
        <w:t>2012-2 (s</w:t>
      </w:r>
      <w:r w:rsidRPr="00633B0D">
        <w:t> 2 (2))</w:t>
      </w:r>
    </w:p>
    <w:p w14:paraId="7EB336E3" w14:textId="77777777"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14:paraId="3C4DA00C" w14:textId="04494C7E" w:rsidR="00D94935" w:rsidRDefault="001542D1" w:rsidP="00D94935">
      <w:pPr>
        <w:pStyle w:val="NewReg"/>
      </w:pPr>
      <w:hyperlink r:id="rId1282" w:tooltip="SL2012-24" w:history="1">
        <w:r w:rsidR="00D94935" w:rsidRPr="006364FA">
          <w:rPr>
            <w:rStyle w:val="charCitHyperlinkAbbrev"/>
          </w:rPr>
          <w:t>Court Procedures Amendment Rules 2012 (No 1)</w:t>
        </w:r>
      </w:hyperlink>
      <w:r w:rsidR="00D94935">
        <w:t xml:space="preserve"> SL2012--24</w:t>
      </w:r>
    </w:p>
    <w:p w14:paraId="0901B053" w14:textId="77777777" w:rsidR="00D94935" w:rsidRDefault="00D94935" w:rsidP="00D94935">
      <w:pPr>
        <w:pStyle w:val="Actdetails"/>
        <w:keepNext/>
      </w:pPr>
      <w:r>
        <w:t>notified LR 28 June 2012</w:t>
      </w:r>
    </w:p>
    <w:p w14:paraId="20D609F7" w14:textId="77777777" w:rsidR="00D94935" w:rsidRDefault="00D94935" w:rsidP="00D94935">
      <w:pPr>
        <w:pStyle w:val="Actdetails"/>
        <w:keepNext/>
      </w:pPr>
      <w:r>
        <w:t>r 1, r 2 commenced 28 June 2012 (LA s 75 (1))</w:t>
      </w:r>
    </w:p>
    <w:p w14:paraId="4E4909D8" w14:textId="77777777" w:rsidR="00D94935" w:rsidRPr="006364FA" w:rsidRDefault="00D94935" w:rsidP="00D94935">
      <w:pPr>
        <w:pStyle w:val="Actdetails"/>
        <w:rPr>
          <w:rFonts w:cs="Arial"/>
        </w:rPr>
      </w:pPr>
      <w:r w:rsidRPr="006364FA">
        <w:rPr>
          <w:rFonts w:cs="Arial"/>
        </w:rPr>
        <w:t>remainder commenced 1 July 2012 (r 2)</w:t>
      </w:r>
    </w:p>
    <w:p w14:paraId="630B7763" w14:textId="5225AF24" w:rsidR="00D94935" w:rsidRDefault="001542D1" w:rsidP="00D94935">
      <w:pPr>
        <w:pStyle w:val="NewReg"/>
      </w:pPr>
      <w:hyperlink r:id="rId1283" w:tooltip="SL2012-43" w:history="1">
        <w:r w:rsidR="00D94935" w:rsidRPr="006364FA">
          <w:rPr>
            <w:rStyle w:val="charCitHyperlinkAbbrev"/>
          </w:rPr>
          <w:t>Court Procedures Amendment Rules 2012 (No 2)</w:t>
        </w:r>
      </w:hyperlink>
      <w:r w:rsidR="00D94935">
        <w:t xml:space="preserve"> SL2012--43</w:t>
      </w:r>
    </w:p>
    <w:p w14:paraId="49EFFB96" w14:textId="77777777" w:rsidR="00D94935" w:rsidRDefault="00D94935" w:rsidP="00D94935">
      <w:pPr>
        <w:pStyle w:val="Actdetails"/>
        <w:keepNext/>
      </w:pPr>
      <w:r>
        <w:t>notified LR 21 December 2012</w:t>
      </w:r>
    </w:p>
    <w:p w14:paraId="1693958B" w14:textId="77777777" w:rsidR="00D94935" w:rsidRDefault="00D94935" w:rsidP="00D94935">
      <w:pPr>
        <w:pStyle w:val="Actdetails"/>
        <w:keepNext/>
      </w:pPr>
      <w:r>
        <w:t>r 1, r 2 commenced 21 December 2012 (LA s 75 (1))</w:t>
      </w:r>
    </w:p>
    <w:p w14:paraId="36DCA620" w14:textId="77777777" w:rsidR="00D94935" w:rsidRPr="006364FA" w:rsidRDefault="00D94935" w:rsidP="00D94935">
      <w:pPr>
        <w:pStyle w:val="Actdetails"/>
        <w:rPr>
          <w:rFonts w:cs="Arial"/>
        </w:rPr>
      </w:pPr>
      <w:r w:rsidRPr="006364FA">
        <w:rPr>
          <w:rFonts w:cs="Arial"/>
        </w:rPr>
        <w:t>remainder commenced 1 January 2013 (r 2)</w:t>
      </w:r>
    </w:p>
    <w:p w14:paraId="49DDEF0B" w14:textId="086F1A50" w:rsidR="00D94935" w:rsidRDefault="001542D1" w:rsidP="00D94935">
      <w:pPr>
        <w:pStyle w:val="NewReg"/>
      </w:pPr>
      <w:hyperlink r:id="rId1284" w:tooltip="SL2013-18" w:history="1">
        <w:r w:rsidR="00D94935">
          <w:rPr>
            <w:rStyle w:val="charCitHyperlinkAbbrev"/>
          </w:rPr>
          <w:t>Court Procedures Amendment Rules 2013 (No 1)</w:t>
        </w:r>
      </w:hyperlink>
      <w:r w:rsidR="00D94935">
        <w:t xml:space="preserve"> SL2013-18</w:t>
      </w:r>
    </w:p>
    <w:p w14:paraId="62285588" w14:textId="77777777" w:rsidR="00D94935" w:rsidRDefault="00D94935" w:rsidP="00D94935">
      <w:pPr>
        <w:pStyle w:val="Actdetails"/>
        <w:keepNext/>
      </w:pPr>
      <w:r>
        <w:t>notified LR 28 June 2013</w:t>
      </w:r>
    </w:p>
    <w:p w14:paraId="406628C2" w14:textId="77777777" w:rsidR="00D94935" w:rsidRDefault="00D94935" w:rsidP="00D94935">
      <w:pPr>
        <w:pStyle w:val="Actdetails"/>
        <w:keepNext/>
      </w:pPr>
      <w:r>
        <w:t>r 1, r 2 commenced 28 June 2013 (LA s 75 (1))</w:t>
      </w:r>
    </w:p>
    <w:p w14:paraId="2A3678F6" w14:textId="77777777"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14:paraId="06CB5115" w14:textId="2BB79680" w:rsidR="00D94935" w:rsidRDefault="001542D1" w:rsidP="00D94935">
      <w:pPr>
        <w:pStyle w:val="NewReg"/>
      </w:pPr>
      <w:hyperlink r:id="rId1285" w:tooltip="SL2013-32" w:history="1">
        <w:r w:rsidR="00D94935">
          <w:rPr>
            <w:rStyle w:val="charCitHyperlinkAbbrev"/>
          </w:rPr>
          <w:t>Court Procedures Amendment Rules 2013 (No 2)</w:t>
        </w:r>
      </w:hyperlink>
      <w:r w:rsidR="00D94935">
        <w:t xml:space="preserve"> SL2013-32</w:t>
      </w:r>
    </w:p>
    <w:p w14:paraId="40F252B1" w14:textId="77777777" w:rsidR="00D94935" w:rsidRDefault="00D94935" w:rsidP="00D94935">
      <w:pPr>
        <w:pStyle w:val="Actdetails"/>
        <w:keepNext/>
      </w:pPr>
      <w:r>
        <w:t>notified LR 19 December 2013</w:t>
      </w:r>
    </w:p>
    <w:p w14:paraId="2B5B35C1" w14:textId="77777777" w:rsidR="00D94935" w:rsidRDefault="00D94935" w:rsidP="00D94935">
      <w:pPr>
        <w:pStyle w:val="Actdetails"/>
        <w:keepNext/>
      </w:pPr>
      <w:r>
        <w:t>r 1, r 2 commenced 19 December 2013 (LA s 75 (1))</w:t>
      </w:r>
    </w:p>
    <w:p w14:paraId="652A04B4" w14:textId="77777777"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14:paraId="18035432" w14:textId="7BDE3FA6" w:rsidR="00D94935" w:rsidRDefault="001542D1" w:rsidP="00D94935">
      <w:pPr>
        <w:pStyle w:val="NewReg"/>
      </w:pPr>
      <w:hyperlink r:id="rId1286" w:tooltip="SL2014-4" w:history="1">
        <w:r w:rsidR="00D94935">
          <w:rPr>
            <w:rStyle w:val="charCitHyperlinkAbbrev"/>
          </w:rPr>
          <w:t>Court Procedures Amendment Rules 2014 (No 1)</w:t>
        </w:r>
      </w:hyperlink>
      <w:r w:rsidR="00D94935">
        <w:t xml:space="preserve"> SL2014-4</w:t>
      </w:r>
    </w:p>
    <w:p w14:paraId="52C1BDBB" w14:textId="77777777" w:rsidR="00D94935" w:rsidRDefault="00D94935" w:rsidP="00D94935">
      <w:pPr>
        <w:pStyle w:val="Actdetails"/>
        <w:keepNext/>
      </w:pPr>
      <w:r>
        <w:t>notified LR 14 March 2014</w:t>
      </w:r>
    </w:p>
    <w:p w14:paraId="6D989848" w14:textId="77777777" w:rsidR="00D94935" w:rsidRDefault="00D94935" w:rsidP="00D94935">
      <w:pPr>
        <w:pStyle w:val="Actdetails"/>
        <w:keepNext/>
      </w:pPr>
      <w:r>
        <w:t>r 1, r 2 commenced 14 March 2014 (LA s 75 (1))</w:t>
      </w:r>
    </w:p>
    <w:p w14:paraId="1216EAD6" w14:textId="77777777"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14:paraId="143BBDC8" w14:textId="6BAFA038" w:rsidR="00D94935" w:rsidRDefault="001542D1" w:rsidP="00D94935">
      <w:pPr>
        <w:pStyle w:val="NewReg"/>
      </w:pPr>
      <w:hyperlink r:id="rId1287" w:tooltip="SL2014-9" w:history="1">
        <w:r w:rsidR="00D94935">
          <w:rPr>
            <w:rStyle w:val="charCitHyperlinkAbbrev"/>
          </w:rPr>
          <w:t>Court Procedures Amendment Rules 2014 (No 2)</w:t>
        </w:r>
      </w:hyperlink>
      <w:r w:rsidR="00D94935">
        <w:t xml:space="preserve"> SL2014-9</w:t>
      </w:r>
    </w:p>
    <w:p w14:paraId="52EC514F" w14:textId="77777777" w:rsidR="00D94935" w:rsidRDefault="00D94935" w:rsidP="00D94935">
      <w:pPr>
        <w:pStyle w:val="Actdetails"/>
        <w:keepNext/>
      </w:pPr>
      <w:r>
        <w:t>notified LR 30 June 2014</w:t>
      </w:r>
    </w:p>
    <w:p w14:paraId="4EF8319E" w14:textId="77777777" w:rsidR="00D94935" w:rsidRDefault="00D94935" w:rsidP="00D94935">
      <w:pPr>
        <w:pStyle w:val="Actdetails"/>
        <w:keepNext/>
      </w:pPr>
      <w:r>
        <w:t>r 1, r 2 commenced 30 June 2014 (LA s 75 (1))</w:t>
      </w:r>
    </w:p>
    <w:p w14:paraId="22946626" w14:textId="77777777"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14:paraId="321F7AED" w14:textId="31F800E2" w:rsidR="00D94935" w:rsidRDefault="001542D1" w:rsidP="00D94935">
      <w:pPr>
        <w:pStyle w:val="NewReg"/>
      </w:pPr>
      <w:hyperlink r:id="rId1288" w:tooltip="SL2014-34" w:history="1">
        <w:r w:rsidR="00D94935">
          <w:rPr>
            <w:rStyle w:val="charCitHyperlinkAbbrev"/>
          </w:rPr>
          <w:t>Court Procedures Amendment Rules 2014 (No 3)</w:t>
        </w:r>
      </w:hyperlink>
      <w:r w:rsidR="00D94935">
        <w:t xml:space="preserve"> SL2014-34</w:t>
      </w:r>
    </w:p>
    <w:p w14:paraId="7CBB95A2" w14:textId="77777777" w:rsidR="00D94935" w:rsidRDefault="00D94935" w:rsidP="00D94935">
      <w:pPr>
        <w:pStyle w:val="Actdetails"/>
        <w:keepNext/>
      </w:pPr>
      <w:r>
        <w:t>notified LR 23 December 2014</w:t>
      </w:r>
    </w:p>
    <w:p w14:paraId="43686941" w14:textId="77777777" w:rsidR="00D94935" w:rsidRDefault="00D94935" w:rsidP="00D94935">
      <w:pPr>
        <w:pStyle w:val="Actdetails"/>
        <w:keepNext/>
      </w:pPr>
      <w:r>
        <w:t>r 1, r 2 commenced 23 December 2014 (LA s 75 (1))</w:t>
      </w:r>
    </w:p>
    <w:p w14:paraId="179AB0C4" w14:textId="77777777"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14:paraId="247C13FD" w14:textId="3E9E03A1" w:rsidR="00D94935" w:rsidRDefault="001542D1" w:rsidP="00D94935">
      <w:pPr>
        <w:pStyle w:val="NewReg"/>
      </w:pPr>
      <w:hyperlink r:id="rId1289" w:tooltip="SL2015-12" w:history="1">
        <w:r w:rsidR="00D94935">
          <w:rPr>
            <w:rStyle w:val="charCitHyperlinkAbbrev"/>
          </w:rPr>
          <w:t>Court Procedures Amendment Rules 2015 (No 1)</w:t>
        </w:r>
      </w:hyperlink>
      <w:r w:rsidR="00D94935">
        <w:t xml:space="preserve"> SL2015-12</w:t>
      </w:r>
    </w:p>
    <w:p w14:paraId="4717A102" w14:textId="77777777" w:rsidR="00D94935" w:rsidRDefault="00D94935" w:rsidP="00D94935">
      <w:pPr>
        <w:pStyle w:val="Actdetails"/>
        <w:keepNext/>
      </w:pPr>
      <w:r>
        <w:t>notified LR 28 April 2015</w:t>
      </w:r>
    </w:p>
    <w:p w14:paraId="7088AA3B" w14:textId="77777777" w:rsidR="00D94935" w:rsidRDefault="00D94935" w:rsidP="00D94935">
      <w:pPr>
        <w:pStyle w:val="Actdetails"/>
        <w:keepNext/>
      </w:pPr>
      <w:r>
        <w:t>r 1, r 2 commenced 28 April 2015 (LA s 75 (1))</w:t>
      </w:r>
    </w:p>
    <w:p w14:paraId="45F797D6" w14:textId="77777777"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14:paraId="4688D711" w14:textId="011A15A7" w:rsidR="00D94935" w:rsidRDefault="001542D1" w:rsidP="00D94935">
      <w:pPr>
        <w:pStyle w:val="NewReg"/>
      </w:pPr>
      <w:hyperlink r:id="rId1290" w:tooltip="SL2015-22" w:history="1">
        <w:r w:rsidR="00D94935">
          <w:rPr>
            <w:rStyle w:val="charCitHyperlinkAbbrev"/>
          </w:rPr>
          <w:t>Court Procedures Amendment Rules 2015 (No 2)</w:t>
        </w:r>
      </w:hyperlink>
      <w:r w:rsidR="00D94935">
        <w:t xml:space="preserve"> SL2015-22</w:t>
      </w:r>
    </w:p>
    <w:p w14:paraId="0AAF775A" w14:textId="77777777" w:rsidR="00D94935" w:rsidRDefault="00D94935" w:rsidP="00D94935">
      <w:pPr>
        <w:pStyle w:val="Actdetails"/>
        <w:keepNext/>
      </w:pPr>
      <w:r>
        <w:t>notified LR 29 June 2015</w:t>
      </w:r>
    </w:p>
    <w:p w14:paraId="088278D0" w14:textId="77777777" w:rsidR="00D94935" w:rsidRDefault="00D94935" w:rsidP="00D94935">
      <w:pPr>
        <w:pStyle w:val="Actdetails"/>
        <w:keepNext/>
      </w:pPr>
      <w:r>
        <w:t>r 1, r 2 commenced 29 June 2015 (LA s 75 (1))</w:t>
      </w:r>
    </w:p>
    <w:p w14:paraId="1061711F" w14:textId="77777777"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14:paraId="053D7686" w14:textId="5B168F59" w:rsidR="002C5117" w:rsidRDefault="001542D1" w:rsidP="002C5117">
      <w:pPr>
        <w:pStyle w:val="NewAct"/>
      </w:pPr>
      <w:hyperlink r:id="rId1291"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14:paraId="21F8B85D" w14:textId="77777777" w:rsidR="002C5117" w:rsidRDefault="002C5117" w:rsidP="00501A9D">
      <w:pPr>
        <w:pStyle w:val="Actdetails"/>
      </w:pPr>
      <w:r>
        <w:t>notified LR 4 November 2015</w:t>
      </w:r>
    </w:p>
    <w:p w14:paraId="5DC59EC7" w14:textId="77777777" w:rsidR="002C5117" w:rsidRDefault="002C5117" w:rsidP="00501A9D">
      <w:pPr>
        <w:pStyle w:val="Actdetails"/>
      </w:pPr>
      <w:r>
        <w:t>s 1, s 2 commenced 4 November 2015 (LA s 75 (1))</w:t>
      </w:r>
    </w:p>
    <w:p w14:paraId="01690DB7" w14:textId="77777777" w:rsidR="002C5117" w:rsidRPr="00335466" w:rsidRDefault="002C5117" w:rsidP="00501A9D">
      <w:pPr>
        <w:pStyle w:val="Actdetails"/>
      </w:pPr>
      <w:r w:rsidRPr="00335466">
        <w:t>sch 1 pt 1.4 commence</w:t>
      </w:r>
      <w:r w:rsidR="00335466">
        <w:t>d</w:t>
      </w:r>
      <w:r w:rsidRPr="00335466">
        <w:t xml:space="preserve"> 4 May 2016 (s 2 (2))</w:t>
      </w:r>
    </w:p>
    <w:p w14:paraId="363FDBA8" w14:textId="33D7E278" w:rsidR="005B012A" w:rsidRDefault="001542D1" w:rsidP="005B012A">
      <w:pPr>
        <w:pStyle w:val="NewAct"/>
      </w:pPr>
      <w:hyperlink r:id="rId1292" w:tooltip="A2015-52" w:history="1">
        <w:r w:rsidR="005B012A">
          <w:rPr>
            <w:rStyle w:val="charCitHyperlinkAbbrev"/>
          </w:rPr>
          <w:t>Courts Legislation Amendment Act 2015 (No 2)</w:t>
        </w:r>
      </w:hyperlink>
      <w:r w:rsidR="005B012A">
        <w:t xml:space="preserve"> A2015</w:t>
      </w:r>
      <w:r w:rsidR="005B012A">
        <w:noBreakHyphen/>
        <w:t>52 pt 6</w:t>
      </w:r>
    </w:p>
    <w:p w14:paraId="4ADA7C05" w14:textId="77777777" w:rsidR="005B012A" w:rsidRDefault="005B012A" w:rsidP="005B012A">
      <w:pPr>
        <w:pStyle w:val="Actdetails"/>
        <w:keepNext/>
      </w:pPr>
      <w:r>
        <w:t>notified LR 26 November 2015</w:t>
      </w:r>
    </w:p>
    <w:p w14:paraId="3AD4B5C4" w14:textId="77777777" w:rsidR="005B012A" w:rsidRDefault="005B012A" w:rsidP="005B012A">
      <w:pPr>
        <w:pStyle w:val="Actdetails"/>
        <w:keepNext/>
      </w:pPr>
      <w:r>
        <w:t>s 1, s 2 commenced 26 November 2015 (LA s 75 (1))</w:t>
      </w:r>
    </w:p>
    <w:p w14:paraId="0D4DF3E7" w14:textId="77777777"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14:paraId="02929447" w14:textId="3A5DE89F" w:rsidR="000843C2" w:rsidRDefault="001542D1" w:rsidP="000843C2">
      <w:pPr>
        <w:pStyle w:val="NewReg"/>
      </w:pPr>
      <w:hyperlink r:id="rId1293" w:tooltip="SL2015-42" w:history="1">
        <w:r w:rsidR="00CB3F92">
          <w:rPr>
            <w:rStyle w:val="charCitHyperlinkAbbrev"/>
          </w:rPr>
          <w:t>Court Procedures Amendment Rules 2015 (No 3)</w:t>
        </w:r>
      </w:hyperlink>
      <w:r w:rsidR="006D25B4">
        <w:t xml:space="preserve"> SL2015-4</w:t>
      </w:r>
      <w:r w:rsidR="000843C2">
        <w:t>2</w:t>
      </w:r>
    </w:p>
    <w:p w14:paraId="4C4F137A" w14:textId="77777777" w:rsidR="000843C2" w:rsidRDefault="000843C2" w:rsidP="000843C2">
      <w:pPr>
        <w:pStyle w:val="Actdetails"/>
        <w:keepNext/>
      </w:pPr>
      <w:r>
        <w:t>notified LR 17 December 2015</w:t>
      </w:r>
    </w:p>
    <w:p w14:paraId="10AB0532" w14:textId="77777777" w:rsidR="000843C2" w:rsidRDefault="000843C2" w:rsidP="000843C2">
      <w:pPr>
        <w:pStyle w:val="Actdetails"/>
        <w:keepNext/>
      </w:pPr>
      <w:r>
        <w:t>r 1, r 2 commenced 17 December 2015 (LA s 75 (1))</w:t>
      </w:r>
    </w:p>
    <w:p w14:paraId="0BF2F96D" w14:textId="28B4EBCB"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94"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14:paraId="03578F29" w14:textId="77777777"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14:paraId="511BD316" w14:textId="3E88CF7F" w:rsidR="00B427FF" w:rsidRDefault="001542D1" w:rsidP="00B427FF">
      <w:pPr>
        <w:pStyle w:val="NewAct"/>
      </w:pPr>
      <w:hyperlink r:id="rId1295" w:tooltip="SL2016-17" w:history="1">
        <w:r w:rsidR="00B427FF">
          <w:rPr>
            <w:rStyle w:val="charCitHyperlinkAbbrev"/>
          </w:rPr>
          <w:t>Court Procedures Amendment Rules 2016 (No 1)</w:t>
        </w:r>
      </w:hyperlink>
      <w:r w:rsidR="004F21DF">
        <w:t xml:space="preserve"> SL</w:t>
      </w:r>
      <w:r w:rsidR="00B427FF">
        <w:t>2016</w:t>
      </w:r>
      <w:r w:rsidR="00B427FF">
        <w:noBreakHyphen/>
        <w:t>17</w:t>
      </w:r>
    </w:p>
    <w:p w14:paraId="337DDFDD" w14:textId="77777777" w:rsidR="00B427FF" w:rsidRDefault="00B427FF" w:rsidP="00B427FF">
      <w:pPr>
        <w:pStyle w:val="Actdetails"/>
        <w:keepNext/>
      </w:pPr>
      <w:r>
        <w:t>notified LR 30 June 2016</w:t>
      </w:r>
    </w:p>
    <w:p w14:paraId="7F01F833" w14:textId="77777777" w:rsidR="00B427FF" w:rsidRDefault="004F21DF" w:rsidP="00B427FF">
      <w:pPr>
        <w:pStyle w:val="Actdetails"/>
        <w:keepNext/>
      </w:pPr>
      <w:r>
        <w:t>r</w:t>
      </w:r>
      <w:r w:rsidR="00B427FF">
        <w:t xml:space="preserve"> 1, </w:t>
      </w:r>
      <w:r>
        <w:t>r</w:t>
      </w:r>
      <w:r w:rsidR="00B427FF">
        <w:t xml:space="preserve"> 2 commenced 30 June 2016 (LA s 75 (1))</w:t>
      </w:r>
    </w:p>
    <w:p w14:paraId="099BB158" w14:textId="77777777"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14:paraId="34EF3757" w14:textId="3E2AF851" w:rsidR="00FE430C" w:rsidRDefault="001542D1" w:rsidP="00FE430C">
      <w:pPr>
        <w:pStyle w:val="NewAct"/>
      </w:pPr>
      <w:hyperlink r:id="rId1296" w:tooltip="SL2016-31" w:history="1">
        <w:r w:rsidR="00FE430C">
          <w:rPr>
            <w:rStyle w:val="charCitHyperlinkAbbrev"/>
          </w:rPr>
          <w:t>Court Procedures Amendment Rules 2016 (No 2)</w:t>
        </w:r>
      </w:hyperlink>
      <w:r w:rsidR="00FE430C">
        <w:t xml:space="preserve"> SL2016</w:t>
      </w:r>
      <w:r w:rsidR="00FE430C">
        <w:noBreakHyphen/>
        <w:t>31</w:t>
      </w:r>
    </w:p>
    <w:p w14:paraId="582ACB30" w14:textId="77777777" w:rsidR="00FE430C" w:rsidRDefault="00FE430C" w:rsidP="00FE430C">
      <w:pPr>
        <w:pStyle w:val="Actdetails"/>
        <w:keepNext/>
      </w:pPr>
      <w:r>
        <w:t>notified LR 3 November 2016</w:t>
      </w:r>
    </w:p>
    <w:p w14:paraId="7CC1CE52" w14:textId="77777777" w:rsidR="00FE430C" w:rsidRDefault="001D6109" w:rsidP="00FE430C">
      <w:pPr>
        <w:pStyle w:val="Actdetails"/>
        <w:keepNext/>
      </w:pPr>
      <w:r>
        <w:t>r 1, r 2 commenced 3</w:t>
      </w:r>
      <w:r w:rsidR="00FE430C">
        <w:t xml:space="preserve"> November 2016 (LA s 75 (1))</w:t>
      </w:r>
    </w:p>
    <w:p w14:paraId="3215107B" w14:textId="77777777" w:rsidR="00FE430C" w:rsidRDefault="00FE430C" w:rsidP="00FE430C">
      <w:pPr>
        <w:pStyle w:val="Actdetails"/>
      </w:pPr>
      <w:r>
        <w:t xml:space="preserve">remainder </w:t>
      </w:r>
      <w:r w:rsidRPr="00AE7C72">
        <w:t>commenced</w:t>
      </w:r>
      <w:r>
        <w:t xml:space="preserve"> 4 November 2016</w:t>
      </w:r>
      <w:r w:rsidRPr="00AE7C72">
        <w:t xml:space="preserve"> (</w:t>
      </w:r>
      <w:r>
        <w:t>r 2)</w:t>
      </w:r>
    </w:p>
    <w:p w14:paraId="6D261FB7" w14:textId="3AE0D41D" w:rsidR="008B17EF" w:rsidRDefault="001542D1" w:rsidP="008B17EF">
      <w:pPr>
        <w:pStyle w:val="NewAct"/>
      </w:pPr>
      <w:hyperlink r:id="rId1297" w:tooltip="SL2016-33" w:history="1">
        <w:r w:rsidR="008B17EF">
          <w:rPr>
            <w:rStyle w:val="charCitHyperlinkAbbrev"/>
          </w:rPr>
          <w:t>Court Procedures Amendment Rules 2016 (No 3)</w:t>
        </w:r>
      </w:hyperlink>
      <w:r w:rsidR="008B17EF">
        <w:t xml:space="preserve"> SL2016</w:t>
      </w:r>
      <w:r w:rsidR="008B17EF">
        <w:noBreakHyphen/>
        <w:t>33</w:t>
      </w:r>
    </w:p>
    <w:p w14:paraId="6A9B91EF" w14:textId="77777777" w:rsidR="008B17EF" w:rsidRDefault="008B17EF" w:rsidP="008B17EF">
      <w:pPr>
        <w:pStyle w:val="Actdetails"/>
        <w:keepNext/>
      </w:pPr>
      <w:r>
        <w:t>notified LR 15 December 2016</w:t>
      </w:r>
    </w:p>
    <w:p w14:paraId="6D3A71BC" w14:textId="77777777" w:rsidR="008B17EF" w:rsidRDefault="008B17EF" w:rsidP="008B17EF">
      <w:pPr>
        <w:pStyle w:val="Actdetails"/>
        <w:keepNext/>
      </w:pPr>
      <w:r>
        <w:t>r 1, r 2 commenced 15 December 2016 (LA s 75 (1))</w:t>
      </w:r>
    </w:p>
    <w:p w14:paraId="762A396C" w14:textId="77777777" w:rsidR="008B17EF" w:rsidRDefault="008B17EF" w:rsidP="008B17EF">
      <w:pPr>
        <w:pStyle w:val="Actdetails"/>
      </w:pPr>
      <w:r>
        <w:t xml:space="preserve">remainder </w:t>
      </w:r>
      <w:r w:rsidRPr="00AE7C72">
        <w:t>commenced</w:t>
      </w:r>
      <w:r>
        <w:t xml:space="preserve"> 1 January 2017</w:t>
      </w:r>
      <w:r w:rsidRPr="00AE7C72">
        <w:t xml:space="preserve"> (</w:t>
      </w:r>
      <w:r>
        <w:t>r 2)</w:t>
      </w:r>
    </w:p>
    <w:p w14:paraId="4CE9D573" w14:textId="629CBDDA" w:rsidR="0002398A" w:rsidRDefault="001542D1" w:rsidP="0002398A">
      <w:pPr>
        <w:pStyle w:val="NewAct"/>
      </w:pPr>
      <w:hyperlink r:id="rId1298" w:tooltip="SL2017-9" w:history="1">
        <w:r w:rsidR="0002398A">
          <w:rPr>
            <w:rStyle w:val="charCitHyperlinkAbbrev"/>
          </w:rPr>
          <w:t>Court Procedures Amendment Rules 2017 (No 1)</w:t>
        </w:r>
      </w:hyperlink>
      <w:r w:rsidR="0002398A">
        <w:t xml:space="preserve"> SL2017</w:t>
      </w:r>
      <w:r w:rsidR="0002398A">
        <w:noBreakHyphen/>
        <w:t>9</w:t>
      </w:r>
    </w:p>
    <w:p w14:paraId="41AE884D" w14:textId="77777777" w:rsidR="0002398A" w:rsidRDefault="0002398A" w:rsidP="0002398A">
      <w:pPr>
        <w:pStyle w:val="Actdetails"/>
        <w:keepNext/>
      </w:pPr>
      <w:r>
        <w:t>notified LR 28 April 2017</w:t>
      </w:r>
    </w:p>
    <w:p w14:paraId="5FAFBE8C" w14:textId="77777777" w:rsidR="0002398A" w:rsidRDefault="0002398A" w:rsidP="0002398A">
      <w:pPr>
        <w:pStyle w:val="Actdetails"/>
        <w:keepNext/>
      </w:pPr>
      <w:r>
        <w:t>r 1, r 2 commenced 28 April 2017 (LA s 75 (1))</w:t>
      </w:r>
    </w:p>
    <w:p w14:paraId="742DF31F" w14:textId="77777777" w:rsidR="0002398A" w:rsidRDefault="0002398A" w:rsidP="0002398A">
      <w:pPr>
        <w:pStyle w:val="Actdetails"/>
      </w:pPr>
      <w:r>
        <w:t xml:space="preserve">remainder </w:t>
      </w:r>
      <w:r w:rsidRPr="00AE7C72">
        <w:t>commenced</w:t>
      </w:r>
      <w:r>
        <w:t xml:space="preserve"> 1 May 2017</w:t>
      </w:r>
      <w:r w:rsidRPr="00AE7C72">
        <w:t xml:space="preserve"> (</w:t>
      </w:r>
      <w:r>
        <w:t>r 2)</w:t>
      </w:r>
    </w:p>
    <w:p w14:paraId="21D4EC8B" w14:textId="68896BEA" w:rsidR="0002398A" w:rsidRDefault="001542D1" w:rsidP="0002398A">
      <w:pPr>
        <w:pStyle w:val="NewAct"/>
      </w:pPr>
      <w:hyperlink r:id="rId1299" w:tooltip="SL2017-10" w:history="1">
        <w:r w:rsidR="0002398A">
          <w:rPr>
            <w:rStyle w:val="charCitHyperlinkAbbrev"/>
          </w:rPr>
          <w:t>Court Procedures Amendment Rules 2017 (No 2)</w:t>
        </w:r>
      </w:hyperlink>
      <w:r w:rsidR="000056BA">
        <w:t xml:space="preserve"> SL2017</w:t>
      </w:r>
      <w:r w:rsidR="000056BA">
        <w:noBreakHyphen/>
        <w:t>10</w:t>
      </w:r>
    </w:p>
    <w:p w14:paraId="008342C7" w14:textId="77777777" w:rsidR="0002398A" w:rsidRDefault="0002398A" w:rsidP="0002398A">
      <w:pPr>
        <w:pStyle w:val="Actdetails"/>
        <w:keepNext/>
      </w:pPr>
      <w:r>
        <w:t>notified LR 28 April 2017</w:t>
      </w:r>
    </w:p>
    <w:p w14:paraId="46A57B33" w14:textId="77777777" w:rsidR="0002398A" w:rsidRDefault="0002398A" w:rsidP="0002398A">
      <w:pPr>
        <w:pStyle w:val="Actdetails"/>
        <w:keepNext/>
      </w:pPr>
      <w:r>
        <w:t>r 1, r 2 commenced 28 April 2017 (LA s 75 (1))</w:t>
      </w:r>
    </w:p>
    <w:p w14:paraId="55742221" w14:textId="48FC16CB"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300" w:tooltip="Family Violence Act 2016" w:history="1">
        <w:r w:rsidRPr="0002398A">
          <w:rPr>
            <w:rStyle w:val="charCitHyperlinkAbbrev"/>
          </w:rPr>
          <w:t>A2016-42</w:t>
        </w:r>
      </w:hyperlink>
      <w:r>
        <w:t>, s 2</w:t>
      </w:r>
      <w:r w:rsidR="00185005">
        <w:t xml:space="preserve"> (2)</w:t>
      </w:r>
      <w:r>
        <w:t xml:space="preserve"> (as am by </w:t>
      </w:r>
      <w:hyperlink r:id="rId1301" w:tooltip="Family and Personal Violence Legislation Amendment Act 2017" w:history="1">
        <w:r w:rsidR="00F21AF7" w:rsidRPr="00F21AF7">
          <w:rPr>
            <w:rStyle w:val="charCitHyperlinkAbbrev"/>
          </w:rPr>
          <w:t>A2017-10</w:t>
        </w:r>
      </w:hyperlink>
      <w:r>
        <w:t xml:space="preserve"> s 7))</w:t>
      </w:r>
    </w:p>
    <w:p w14:paraId="634E1FAE" w14:textId="3B3EB7EA" w:rsidR="00294CAF" w:rsidRDefault="001542D1" w:rsidP="00294CAF">
      <w:pPr>
        <w:pStyle w:val="NewAct"/>
      </w:pPr>
      <w:hyperlink r:id="rId1302" w:tooltip="SL2017-17" w:history="1">
        <w:r w:rsidR="00294CAF">
          <w:rPr>
            <w:rStyle w:val="charCitHyperlinkAbbrev"/>
          </w:rPr>
          <w:t>Court Procedures Amendment Rules 2017 (No 3)</w:t>
        </w:r>
      </w:hyperlink>
      <w:r w:rsidR="00294CAF">
        <w:t xml:space="preserve"> SL2017</w:t>
      </w:r>
      <w:r w:rsidR="00294CAF">
        <w:noBreakHyphen/>
        <w:t>17</w:t>
      </w:r>
    </w:p>
    <w:p w14:paraId="4722524B" w14:textId="77777777" w:rsidR="00294CAF" w:rsidRDefault="00294CAF" w:rsidP="00294CAF">
      <w:pPr>
        <w:pStyle w:val="Actdetails"/>
        <w:keepNext/>
      </w:pPr>
      <w:r>
        <w:t xml:space="preserve">notified LR </w:t>
      </w:r>
      <w:r w:rsidR="000365F3">
        <w:t>7 July</w:t>
      </w:r>
      <w:r>
        <w:t xml:space="preserve"> 2017</w:t>
      </w:r>
    </w:p>
    <w:p w14:paraId="0ABBD94C" w14:textId="77777777" w:rsidR="00294CAF" w:rsidRDefault="007416B0" w:rsidP="00294CAF">
      <w:pPr>
        <w:pStyle w:val="Actdetails"/>
        <w:keepNext/>
      </w:pPr>
      <w:r>
        <w:t xml:space="preserve">r 1, r 2 commenced </w:t>
      </w:r>
      <w:r w:rsidR="000365F3">
        <w:t>7 July</w:t>
      </w:r>
      <w:r w:rsidR="00294CAF">
        <w:t xml:space="preserve"> 2017 (LA s 75 (1))</w:t>
      </w:r>
    </w:p>
    <w:p w14:paraId="638BE81D" w14:textId="77777777"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14:paraId="09548086" w14:textId="709BFF2B" w:rsidR="008E011A" w:rsidRDefault="001542D1" w:rsidP="008E011A">
      <w:pPr>
        <w:pStyle w:val="NewAct"/>
      </w:pPr>
      <w:hyperlink r:id="rId1303" w:tooltip="SL2017-40" w:history="1">
        <w:r w:rsidR="008E011A">
          <w:rPr>
            <w:rStyle w:val="charCitHyperlinkAbbrev"/>
          </w:rPr>
          <w:t>Court Procedures Amendment Rules 2017 (No 4)</w:t>
        </w:r>
      </w:hyperlink>
      <w:r w:rsidR="008E011A">
        <w:t xml:space="preserve"> SL2017</w:t>
      </w:r>
      <w:r w:rsidR="008E011A">
        <w:noBreakHyphen/>
        <w:t>40</w:t>
      </w:r>
    </w:p>
    <w:p w14:paraId="09D33BF2" w14:textId="77777777" w:rsidR="008E011A" w:rsidRDefault="009B57F9" w:rsidP="008E011A">
      <w:pPr>
        <w:pStyle w:val="Actdetails"/>
        <w:keepNext/>
      </w:pPr>
      <w:r>
        <w:t>notified LR 18</w:t>
      </w:r>
      <w:r w:rsidR="008E011A">
        <w:t xml:space="preserve"> </w:t>
      </w:r>
      <w:r>
        <w:t>December</w:t>
      </w:r>
      <w:r w:rsidR="008E011A">
        <w:t xml:space="preserve"> 2017</w:t>
      </w:r>
    </w:p>
    <w:p w14:paraId="07AF6D49" w14:textId="77777777"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14:paraId="70005019" w14:textId="77777777"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14:paraId="570DD354" w14:textId="28BB4BAE" w:rsidR="00971FD2" w:rsidRDefault="001542D1" w:rsidP="00971FD2">
      <w:pPr>
        <w:pStyle w:val="NewAct"/>
      </w:pPr>
      <w:hyperlink r:id="rId1304" w:tooltip="SL2018-25" w:history="1">
        <w:r w:rsidR="00971FD2">
          <w:rPr>
            <w:rStyle w:val="charCitHyperlinkAbbrev"/>
          </w:rPr>
          <w:t>Court Procedures Amendment Rules 2018 (No 1)</w:t>
        </w:r>
      </w:hyperlink>
      <w:r w:rsidR="00971FD2">
        <w:t xml:space="preserve"> SL2018-25</w:t>
      </w:r>
    </w:p>
    <w:p w14:paraId="48712E48" w14:textId="77777777" w:rsidR="00971FD2" w:rsidRDefault="00971FD2" w:rsidP="00971FD2">
      <w:pPr>
        <w:pStyle w:val="Actdetails"/>
        <w:keepNext/>
      </w:pPr>
      <w:r>
        <w:t>notified LR 17 December 2018</w:t>
      </w:r>
    </w:p>
    <w:p w14:paraId="39096828" w14:textId="77777777" w:rsidR="00971FD2" w:rsidRDefault="00971FD2" w:rsidP="00971FD2">
      <w:pPr>
        <w:pStyle w:val="Actdetails"/>
        <w:keepNext/>
      </w:pPr>
      <w:r>
        <w:t>r 1, r 2 commenced 17 December 2018 (LA s 75 (1))</w:t>
      </w:r>
    </w:p>
    <w:p w14:paraId="38EDA4DE" w14:textId="77777777" w:rsidR="00971FD2" w:rsidRDefault="00971FD2" w:rsidP="00971FD2">
      <w:pPr>
        <w:pStyle w:val="Actdetails"/>
      </w:pPr>
      <w:r>
        <w:t xml:space="preserve">remainder </w:t>
      </w:r>
      <w:r w:rsidRPr="00AE7C72">
        <w:t>commenced</w:t>
      </w:r>
      <w:r>
        <w:t xml:space="preserve"> 1 January 2019</w:t>
      </w:r>
      <w:r w:rsidRPr="00AE7C72">
        <w:t xml:space="preserve"> (</w:t>
      </w:r>
      <w:r>
        <w:t>r 2)</w:t>
      </w:r>
    </w:p>
    <w:p w14:paraId="0FDAA66D" w14:textId="72F6811C" w:rsidR="0032463E" w:rsidRDefault="001542D1" w:rsidP="0032463E">
      <w:pPr>
        <w:pStyle w:val="NewAct"/>
      </w:pPr>
      <w:hyperlink r:id="rId1305" w:tooltip="SL2019-11" w:history="1">
        <w:r w:rsidR="0032463E">
          <w:rPr>
            <w:rStyle w:val="charCitHyperlinkAbbrev"/>
          </w:rPr>
          <w:t>Court Procedures Amendment Rules 2019 (No 1)</w:t>
        </w:r>
      </w:hyperlink>
      <w:r w:rsidR="0032463E">
        <w:t xml:space="preserve"> SL2019-11</w:t>
      </w:r>
    </w:p>
    <w:p w14:paraId="522F6BE7" w14:textId="77777777" w:rsidR="0032463E" w:rsidRDefault="0032463E" w:rsidP="0032463E">
      <w:pPr>
        <w:pStyle w:val="Actdetails"/>
        <w:keepNext/>
      </w:pPr>
      <w:r>
        <w:t>notified LR</w:t>
      </w:r>
      <w:r w:rsidR="0052453C">
        <w:t xml:space="preserve"> </w:t>
      </w:r>
      <w:r w:rsidR="003455E7">
        <w:t>27 June 2019</w:t>
      </w:r>
    </w:p>
    <w:p w14:paraId="004B61A0" w14:textId="77777777" w:rsidR="0032463E" w:rsidRDefault="0032463E" w:rsidP="0032463E">
      <w:pPr>
        <w:pStyle w:val="Actdetails"/>
        <w:keepNext/>
      </w:pPr>
      <w:r>
        <w:t xml:space="preserve">r 1, r 2 commenced </w:t>
      </w:r>
      <w:r w:rsidR="003455E7">
        <w:t>27 June 2019</w:t>
      </w:r>
      <w:r>
        <w:t xml:space="preserve"> (LA s 75 (1))</w:t>
      </w:r>
    </w:p>
    <w:p w14:paraId="66ECEF65" w14:textId="77777777"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14:paraId="2AA8DF58" w14:textId="7E82FC8D" w:rsidR="007E540F" w:rsidRDefault="001542D1" w:rsidP="007E540F">
      <w:pPr>
        <w:pStyle w:val="NewAct"/>
      </w:pPr>
      <w:hyperlink r:id="rId1306" w:tooltip="SL2019-25" w:history="1">
        <w:r w:rsidR="007E540F">
          <w:rPr>
            <w:rStyle w:val="charCitHyperlinkAbbrev"/>
          </w:rPr>
          <w:t>Court Procedures Amendment Rules 2019 (No 2)</w:t>
        </w:r>
      </w:hyperlink>
      <w:r w:rsidR="007E540F">
        <w:t xml:space="preserve"> SL2019-25</w:t>
      </w:r>
    </w:p>
    <w:p w14:paraId="2B8CF92E" w14:textId="77777777" w:rsidR="007E540F" w:rsidRDefault="007E540F" w:rsidP="007E540F">
      <w:pPr>
        <w:pStyle w:val="Actdetails"/>
        <w:keepNext/>
      </w:pPr>
      <w:r>
        <w:t>notified LR 23 September 2019</w:t>
      </w:r>
    </w:p>
    <w:p w14:paraId="5A4014C1" w14:textId="77777777" w:rsidR="007E540F" w:rsidRDefault="007E540F" w:rsidP="007E540F">
      <w:pPr>
        <w:pStyle w:val="Actdetails"/>
        <w:keepNext/>
      </w:pPr>
      <w:r>
        <w:t>r 1, r 2 commenced 23 September 2019 (LA s 75 (1))</w:t>
      </w:r>
    </w:p>
    <w:p w14:paraId="67690F0C" w14:textId="77777777" w:rsidR="007E540F" w:rsidRDefault="007E540F" w:rsidP="007E540F">
      <w:pPr>
        <w:pStyle w:val="Actdetails"/>
      </w:pPr>
      <w:r>
        <w:t xml:space="preserve">remainder </w:t>
      </w:r>
      <w:r w:rsidRPr="00AE7C72">
        <w:t>commenced</w:t>
      </w:r>
      <w:r>
        <w:t xml:space="preserve"> 24 September 2019</w:t>
      </w:r>
      <w:r w:rsidRPr="00AE7C72">
        <w:t xml:space="preserve"> (</w:t>
      </w:r>
      <w:r>
        <w:t>r 2)</w:t>
      </w:r>
    </w:p>
    <w:p w14:paraId="44731E85" w14:textId="137E09A9" w:rsidR="00E06990" w:rsidRDefault="001542D1" w:rsidP="00E06990">
      <w:pPr>
        <w:pStyle w:val="NewAct"/>
      </w:pPr>
      <w:hyperlink r:id="rId1307" w:tooltip="SL2019-30" w:history="1">
        <w:r w:rsidR="00E06990">
          <w:rPr>
            <w:rStyle w:val="charCitHyperlinkAbbrev"/>
          </w:rPr>
          <w:t>Court Procedures Amendment Rules 2019 (No 3)</w:t>
        </w:r>
      </w:hyperlink>
      <w:r w:rsidR="00E06990">
        <w:t xml:space="preserve"> SL2019-30</w:t>
      </w:r>
    </w:p>
    <w:p w14:paraId="0F66A205" w14:textId="77777777" w:rsidR="00E06990" w:rsidRDefault="00E06990" w:rsidP="00E06990">
      <w:pPr>
        <w:pStyle w:val="Actdetails"/>
        <w:keepNext/>
      </w:pPr>
      <w:r>
        <w:t>notified LR 19 December 2019</w:t>
      </w:r>
    </w:p>
    <w:p w14:paraId="6F625B27" w14:textId="77777777" w:rsidR="00E06990" w:rsidRDefault="00E06990" w:rsidP="00E06990">
      <w:pPr>
        <w:pStyle w:val="Actdetails"/>
        <w:keepNext/>
      </w:pPr>
      <w:r>
        <w:t>r 1, r 2 commenced 19 December 2019 (LA s 75 (1))</w:t>
      </w:r>
    </w:p>
    <w:p w14:paraId="2B4FCFFF" w14:textId="77777777" w:rsidR="00E06990" w:rsidRDefault="00E06990" w:rsidP="00E06990">
      <w:pPr>
        <w:pStyle w:val="Actdetails"/>
      </w:pPr>
      <w:r>
        <w:t xml:space="preserve">remainder </w:t>
      </w:r>
      <w:r w:rsidRPr="00AE7C72">
        <w:t>commenced</w:t>
      </w:r>
      <w:r>
        <w:t xml:space="preserve"> 1 January 2020</w:t>
      </w:r>
      <w:r w:rsidRPr="00AE7C72">
        <w:t xml:space="preserve"> (</w:t>
      </w:r>
      <w:r>
        <w:t>r 2)</w:t>
      </w:r>
    </w:p>
    <w:p w14:paraId="2FEB219C" w14:textId="2DEFB906" w:rsidR="004079C8" w:rsidRDefault="001542D1" w:rsidP="004079C8">
      <w:pPr>
        <w:pStyle w:val="NewAct"/>
      </w:pPr>
      <w:hyperlink r:id="rId1308" w:tooltip="SL2020-6" w:history="1">
        <w:r w:rsidR="004079C8">
          <w:rPr>
            <w:rStyle w:val="charCitHyperlinkAbbrev"/>
          </w:rPr>
          <w:t>Court Procedures Amendment Rules 2020 (No 1)</w:t>
        </w:r>
      </w:hyperlink>
      <w:r w:rsidR="004079C8">
        <w:t xml:space="preserve"> SL2020-6</w:t>
      </w:r>
    </w:p>
    <w:p w14:paraId="6A752B72" w14:textId="77777777" w:rsidR="004079C8" w:rsidRDefault="004079C8" w:rsidP="004079C8">
      <w:pPr>
        <w:pStyle w:val="Actdetails"/>
        <w:keepNext/>
      </w:pPr>
      <w:r>
        <w:t>notified LR 24 February 2020</w:t>
      </w:r>
    </w:p>
    <w:p w14:paraId="2C10A316" w14:textId="77777777" w:rsidR="004079C8" w:rsidRDefault="004079C8" w:rsidP="004079C8">
      <w:pPr>
        <w:pStyle w:val="Actdetails"/>
        <w:keepNext/>
      </w:pPr>
      <w:r>
        <w:t>r 1, r 2 commenced 24 February 2020 (LA s 75 (1))</w:t>
      </w:r>
    </w:p>
    <w:p w14:paraId="154D4156" w14:textId="4A1C6E52" w:rsidR="004079C8" w:rsidRDefault="004079C8" w:rsidP="004079C8">
      <w:pPr>
        <w:pStyle w:val="Actdetails"/>
      </w:pPr>
      <w:r>
        <w:t xml:space="preserve">remainder </w:t>
      </w:r>
      <w:r w:rsidRPr="00AE7C72">
        <w:t>commenced</w:t>
      </w:r>
      <w:r>
        <w:t xml:space="preserve"> 9 March 2020</w:t>
      </w:r>
      <w:r w:rsidRPr="00AE7C72">
        <w:t xml:space="preserve"> (</w:t>
      </w:r>
      <w:r>
        <w:t>r 2</w:t>
      </w:r>
      <w:r w:rsidR="00184C16">
        <w:t xml:space="preserve"> and see </w:t>
      </w:r>
      <w:hyperlink r:id="rId1309" w:tooltip="A2019-41" w:history="1">
        <w:r w:rsidR="005C521F" w:rsidRPr="005C521F">
          <w:rPr>
            <w:rStyle w:val="charCitHyperlinkAbbrev"/>
          </w:rPr>
          <w:t>Evidence (Miscellaneous Provisions) Amendment Act 2019</w:t>
        </w:r>
      </w:hyperlink>
      <w:r w:rsidR="00184C16">
        <w:rPr>
          <w:rFonts w:ascii="Open Sans" w:hAnsi="Open Sans" w:cs="Arial"/>
          <w:color w:val="222222"/>
        </w:rPr>
        <w:t xml:space="preserve"> </w:t>
      </w:r>
      <w:r w:rsidR="00184C16" w:rsidRPr="005C521F">
        <w:t xml:space="preserve">A2019-41, s 2 and </w:t>
      </w:r>
      <w:hyperlink r:id="rId1310" w:tooltip="CN2020-4" w:history="1">
        <w:r w:rsidR="005C521F" w:rsidRPr="005C521F">
          <w:rPr>
            <w:rStyle w:val="charCitHyperlinkAbbrev"/>
          </w:rPr>
          <w:t>CN2020-4</w:t>
        </w:r>
      </w:hyperlink>
      <w:r>
        <w:t>)</w:t>
      </w:r>
    </w:p>
    <w:p w14:paraId="4FD03883" w14:textId="6D6B8DE2" w:rsidR="0059662E" w:rsidRDefault="001542D1" w:rsidP="0059662E">
      <w:pPr>
        <w:pStyle w:val="NewAct"/>
      </w:pPr>
      <w:hyperlink r:id="rId1311" w:tooltip="SL2020-9" w:history="1">
        <w:r w:rsidR="0059662E">
          <w:rPr>
            <w:rStyle w:val="charCitHyperlinkAbbrev"/>
          </w:rPr>
          <w:t>Court Procedures Amendment Rules 2020 (No 2)</w:t>
        </w:r>
      </w:hyperlink>
      <w:r w:rsidR="0059662E">
        <w:t xml:space="preserve"> SL2020-9</w:t>
      </w:r>
    </w:p>
    <w:p w14:paraId="0214E33E" w14:textId="77777777" w:rsidR="0059662E" w:rsidRDefault="0059662E" w:rsidP="0059662E">
      <w:pPr>
        <w:pStyle w:val="Actdetails"/>
        <w:keepNext/>
      </w:pPr>
      <w:r>
        <w:t>notified LR 20 March 2020</w:t>
      </w:r>
    </w:p>
    <w:p w14:paraId="765E7958" w14:textId="77777777" w:rsidR="0059662E" w:rsidRDefault="0059662E" w:rsidP="0059662E">
      <w:pPr>
        <w:pStyle w:val="Actdetails"/>
        <w:keepNext/>
      </w:pPr>
      <w:r>
        <w:t>r 1, r 2 commenced 20 March 2020 (LA s 75 (1))</w:t>
      </w:r>
    </w:p>
    <w:p w14:paraId="21620B2D" w14:textId="77777777" w:rsidR="0059662E" w:rsidRDefault="0059662E" w:rsidP="0059662E">
      <w:pPr>
        <w:pStyle w:val="Actdetails"/>
      </w:pPr>
      <w:r>
        <w:t xml:space="preserve">remainder </w:t>
      </w:r>
      <w:r w:rsidRPr="00AE7C72">
        <w:t>commenced</w:t>
      </w:r>
      <w:r>
        <w:t xml:space="preserve"> 21 March 2020</w:t>
      </w:r>
      <w:r w:rsidRPr="00AE7C72">
        <w:t xml:space="preserve"> (</w:t>
      </w:r>
      <w:r>
        <w:t>r 2)</w:t>
      </w:r>
    </w:p>
    <w:p w14:paraId="49537E9C" w14:textId="712B3946" w:rsidR="007074D3" w:rsidRDefault="001542D1" w:rsidP="007074D3">
      <w:pPr>
        <w:pStyle w:val="NewAct"/>
      </w:pPr>
      <w:hyperlink r:id="rId1312" w:tooltip="SL2020-20" w:history="1">
        <w:r w:rsidR="007074D3">
          <w:rPr>
            <w:rStyle w:val="charCitHyperlinkAbbrev"/>
          </w:rPr>
          <w:t>Court Procedures Amendment Rules 2020 (No 3)</w:t>
        </w:r>
      </w:hyperlink>
      <w:r w:rsidR="007074D3">
        <w:t xml:space="preserve"> SL2020-20</w:t>
      </w:r>
    </w:p>
    <w:p w14:paraId="232D0888" w14:textId="77777777" w:rsidR="007074D3" w:rsidRDefault="007074D3" w:rsidP="007074D3">
      <w:pPr>
        <w:pStyle w:val="Actdetails"/>
        <w:keepNext/>
      </w:pPr>
      <w:r>
        <w:t>notified LR 11 June 2020</w:t>
      </w:r>
    </w:p>
    <w:p w14:paraId="11AD056D" w14:textId="77777777" w:rsidR="007074D3" w:rsidRDefault="007074D3" w:rsidP="007074D3">
      <w:pPr>
        <w:pStyle w:val="Actdetails"/>
        <w:keepNext/>
      </w:pPr>
      <w:r>
        <w:t>r 1, r 2 commenced 11 June 2020 (LA s 75 (1))</w:t>
      </w:r>
    </w:p>
    <w:p w14:paraId="35B5ED08" w14:textId="77777777" w:rsidR="007074D3" w:rsidRDefault="007074D3" w:rsidP="007074D3">
      <w:pPr>
        <w:pStyle w:val="Actdetails"/>
      </w:pPr>
      <w:r>
        <w:t xml:space="preserve">remainder </w:t>
      </w:r>
      <w:r w:rsidRPr="00AE7C72">
        <w:t>commenced</w:t>
      </w:r>
      <w:r>
        <w:t xml:space="preserve"> 1 July 2020</w:t>
      </w:r>
      <w:r w:rsidRPr="00AE7C72">
        <w:t xml:space="preserve"> (</w:t>
      </w:r>
      <w:r>
        <w:t>r 2)</w:t>
      </w:r>
    </w:p>
    <w:p w14:paraId="1F531BDB" w14:textId="37E1BDD0" w:rsidR="0004289A" w:rsidRDefault="001542D1" w:rsidP="0004289A">
      <w:pPr>
        <w:pStyle w:val="NewAct"/>
      </w:pPr>
      <w:hyperlink r:id="rId1313" w:tooltip="SL2020-34" w:history="1">
        <w:r w:rsidR="0004289A">
          <w:rPr>
            <w:rStyle w:val="charCitHyperlinkAbbrev"/>
          </w:rPr>
          <w:t>Court Procedures Amendment Rules 2020 (No 4)</w:t>
        </w:r>
      </w:hyperlink>
      <w:r w:rsidR="0004289A">
        <w:t xml:space="preserve"> SL2020-34</w:t>
      </w:r>
    </w:p>
    <w:p w14:paraId="52607321" w14:textId="77777777" w:rsidR="0004289A" w:rsidRDefault="0004289A" w:rsidP="0004289A">
      <w:pPr>
        <w:pStyle w:val="Actdetails"/>
        <w:keepNext/>
      </w:pPr>
      <w:r>
        <w:t>notified LR 31 August 2020</w:t>
      </w:r>
    </w:p>
    <w:p w14:paraId="592D9945" w14:textId="77777777" w:rsidR="0004289A" w:rsidRDefault="0004289A" w:rsidP="0004289A">
      <w:pPr>
        <w:pStyle w:val="Actdetails"/>
        <w:keepNext/>
      </w:pPr>
      <w:r>
        <w:t>r 1, r 2 commenced 31 August 2020 (LA s 75 (1))</w:t>
      </w:r>
    </w:p>
    <w:p w14:paraId="455DD591" w14:textId="77777777" w:rsidR="0004289A" w:rsidRDefault="0004289A" w:rsidP="0004289A">
      <w:pPr>
        <w:pStyle w:val="Actdetails"/>
      </w:pPr>
      <w:r>
        <w:t xml:space="preserve">remainder </w:t>
      </w:r>
      <w:r w:rsidRPr="00AE7C72">
        <w:t>commenced</w:t>
      </w:r>
      <w:r>
        <w:t xml:space="preserve"> 1 September 2020</w:t>
      </w:r>
      <w:r w:rsidRPr="00AE7C72">
        <w:t xml:space="preserve"> (</w:t>
      </w:r>
      <w:r>
        <w:t>r 2)</w:t>
      </w:r>
    </w:p>
    <w:p w14:paraId="402D6443" w14:textId="0CA1ADFC" w:rsidR="00DC550E" w:rsidRDefault="001542D1" w:rsidP="00DC550E">
      <w:pPr>
        <w:pStyle w:val="NewAct"/>
      </w:pPr>
      <w:hyperlink r:id="rId1314" w:tooltip="SL2020-45" w:history="1">
        <w:r w:rsidR="00DC550E">
          <w:rPr>
            <w:rStyle w:val="charCitHyperlinkAbbrev"/>
          </w:rPr>
          <w:t>Court Procedures Amendment Rules 2020 (No 5)</w:t>
        </w:r>
      </w:hyperlink>
      <w:r w:rsidR="00DC550E">
        <w:t xml:space="preserve"> SL2020-45</w:t>
      </w:r>
    </w:p>
    <w:p w14:paraId="286C34F5" w14:textId="1E000844" w:rsidR="00DC550E" w:rsidRDefault="00DC550E" w:rsidP="00DC550E">
      <w:pPr>
        <w:pStyle w:val="Actdetails"/>
        <w:keepNext/>
      </w:pPr>
      <w:r>
        <w:t>notified LR 21 December 2020</w:t>
      </w:r>
    </w:p>
    <w:p w14:paraId="5A3873F1" w14:textId="195765AD" w:rsidR="00DC550E" w:rsidRDefault="00DC550E" w:rsidP="00DC550E">
      <w:pPr>
        <w:pStyle w:val="Actdetails"/>
        <w:keepNext/>
      </w:pPr>
      <w:r>
        <w:t>r 1, r 2 commenced 21 December 2020 (LA s 75 (1))</w:t>
      </w:r>
    </w:p>
    <w:p w14:paraId="42C4D5B1" w14:textId="53C2EFE0" w:rsidR="00DC550E" w:rsidRDefault="00DC550E" w:rsidP="00DC550E">
      <w:pPr>
        <w:pStyle w:val="Actdetails"/>
      </w:pPr>
      <w:r>
        <w:t xml:space="preserve">remainder </w:t>
      </w:r>
      <w:r w:rsidRPr="00AE7C72">
        <w:t>commenced</w:t>
      </w:r>
      <w:r>
        <w:t xml:space="preserve"> 1 January 2021</w:t>
      </w:r>
      <w:r w:rsidRPr="00AE7C72">
        <w:t xml:space="preserve"> (</w:t>
      </w:r>
      <w:r>
        <w:t>r 2)</w:t>
      </w:r>
    </w:p>
    <w:p w14:paraId="312B9114" w14:textId="54B9A7B9" w:rsidR="006175F4" w:rsidRDefault="001542D1" w:rsidP="006175F4">
      <w:pPr>
        <w:pStyle w:val="NewAct"/>
      </w:pPr>
      <w:hyperlink r:id="rId1315" w:tooltip="SL2021-15" w:history="1">
        <w:r w:rsidR="006175F4">
          <w:rPr>
            <w:rStyle w:val="charCitHyperlinkAbbrev"/>
          </w:rPr>
          <w:t>Court Procedures Amendment Rules 2021 (No 1)</w:t>
        </w:r>
      </w:hyperlink>
      <w:r w:rsidR="006175F4">
        <w:t xml:space="preserve"> SL202</w:t>
      </w:r>
      <w:r w:rsidR="00001CA7">
        <w:t>1</w:t>
      </w:r>
      <w:r w:rsidR="006175F4">
        <w:t>-</w:t>
      </w:r>
      <w:r w:rsidR="00001CA7">
        <w:t>1</w:t>
      </w:r>
      <w:r w:rsidR="006175F4">
        <w:t>5</w:t>
      </w:r>
    </w:p>
    <w:p w14:paraId="6F697AB7" w14:textId="7E3BD802" w:rsidR="006175F4" w:rsidRDefault="006175F4" w:rsidP="006175F4">
      <w:pPr>
        <w:pStyle w:val="Actdetails"/>
        <w:keepNext/>
      </w:pPr>
      <w:r>
        <w:t>notified LR 30 June 2021</w:t>
      </w:r>
    </w:p>
    <w:p w14:paraId="3C959F23" w14:textId="55115C1E" w:rsidR="006175F4" w:rsidRDefault="006175F4" w:rsidP="006175F4">
      <w:pPr>
        <w:pStyle w:val="Actdetails"/>
        <w:keepNext/>
      </w:pPr>
      <w:r>
        <w:t>r 1, r 2 commenced 30 June 2021 (LA s 75 (1))</w:t>
      </w:r>
    </w:p>
    <w:p w14:paraId="5306E7D7" w14:textId="5023C424" w:rsidR="006175F4" w:rsidRDefault="006175F4" w:rsidP="006175F4">
      <w:pPr>
        <w:pStyle w:val="Actdetails"/>
      </w:pPr>
      <w:r>
        <w:t xml:space="preserve">remainder </w:t>
      </w:r>
      <w:r w:rsidRPr="00AE7C72">
        <w:t>commenced</w:t>
      </w:r>
      <w:r>
        <w:t xml:space="preserve"> 1 July 2021</w:t>
      </w:r>
      <w:r w:rsidRPr="00AE7C72">
        <w:t xml:space="preserve"> (</w:t>
      </w:r>
      <w:r>
        <w:t>r 2)</w:t>
      </w:r>
    </w:p>
    <w:p w14:paraId="584247D3" w14:textId="2CFDCBEC" w:rsidR="00D93AC9" w:rsidRDefault="001542D1" w:rsidP="00D93AC9">
      <w:pPr>
        <w:pStyle w:val="NewAct"/>
      </w:pPr>
      <w:hyperlink r:id="rId1316" w:tooltip="SL2022-2" w:history="1">
        <w:r w:rsidR="00D93AC9">
          <w:rPr>
            <w:rStyle w:val="charCitHyperlinkAbbrev"/>
          </w:rPr>
          <w:t>Court Procedures Amendment Rules 2022 (No 1)</w:t>
        </w:r>
      </w:hyperlink>
      <w:r w:rsidR="00D93AC9">
        <w:t xml:space="preserve"> SL2022-2</w:t>
      </w:r>
    </w:p>
    <w:p w14:paraId="01CA5AF3" w14:textId="49AB9FE5" w:rsidR="00D93AC9" w:rsidRDefault="00D93AC9" w:rsidP="00D93AC9">
      <w:pPr>
        <w:pStyle w:val="Actdetails"/>
        <w:keepNext/>
      </w:pPr>
      <w:r>
        <w:t>notified LR 25 February 2022</w:t>
      </w:r>
    </w:p>
    <w:p w14:paraId="4B0FC1F7" w14:textId="25F27D3C" w:rsidR="00D93AC9" w:rsidRDefault="00D93AC9" w:rsidP="00D93AC9">
      <w:pPr>
        <w:pStyle w:val="Actdetails"/>
        <w:keepNext/>
      </w:pPr>
      <w:r>
        <w:t>r 1, r 2 commenced 25 February 2022 (LA s 75 (1))</w:t>
      </w:r>
    </w:p>
    <w:p w14:paraId="36910896" w14:textId="376E9B28" w:rsidR="00D93AC9" w:rsidRDefault="00D93AC9" w:rsidP="00D93AC9">
      <w:pPr>
        <w:pStyle w:val="Actdetails"/>
      </w:pPr>
      <w:r>
        <w:t xml:space="preserve">remainder </w:t>
      </w:r>
      <w:r w:rsidRPr="00AE7C72">
        <w:t>commenced</w:t>
      </w:r>
      <w:r>
        <w:t xml:space="preserve"> 1 March 2022</w:t>
      </w:r>
      <w:r w:rsidRPr="00AE7C72">
        <w:t xml:space="preserve"> (</w:t>
      </w:r>
      <w:r>
        <w:t>r 2)</w:t>
      </w:r>
    </w:p>
    <w:p w14:paraId="24351A17" w14:textId="48539556" w:rsidR="003304DB" w:rsidRDefault="001542D1" w:rsidP="003304DB">
      <w:pPr>
        <w:pStyle w:val="NewAct"/>
      </w:pPr>
      <w:hyperlink r:id="rId1317" w:tooltip="SL2022-6" w:history="1">
        <w:r w:rsidR="003304DB">
          <w:rPr>
            <w:rStyle w:val="charCitHyperlinkAbbrev"/>
          </w:rPr>
          <w:t>Court Procedures Amendment Rules 2022 (No 2)</w:t>
        </w:r>
      </w:hyperlink>
      <w:r w:rsidR="003304DB">
        <w:t xml:space="preserve"> SL2022-6</w:t>
      </w:r>
    </w:p>
    <w:p w14:paraId="24369E34" w14:textId="187DA09A" w:rsidR="003304DB" w:rsidRDefault="003304DB" w:rsidP="003304DB">
      <w:pPr>
        <w:pStyle w:val="Actdetails"/>
        <w:keepNext/>
      </w:pPr>
      <w:r>
        <w:t>notified LR 9 May 2022</w:t>
      </w:r>
    </w:p>
    <w:p w14:paraId="5E5FED0E" w14:textId="23C9A002" w:rsidR="003304DB" w:rsidRDefault="003304DB" w:rsidP="003304DB">
      <w:pPr>
        <w:pStyle w:val="Actdetails"/>
        <w:keepNext/>
      </w:pPr>
      <w:r>
        <w:t>r 1, r 2 commenced 9 May 2022 (LA s 75 (1))</w:t>
      </w:r>
    </w:p>
    <w:p w14:paraId="21162CD2" w14:textId="7F836E16" w:rsidR="003304DB" w:rsidRDefault="003304DB" w:rsidP="003304DB">
      <w:pPr>
        <w:pStyle w:val="Actdetails"/>
      </w:pPr>
      <w:r>
        <w:t xml:space="preserve">remainder </w:t>
      </w:r>
      <w:r w:rsidRPr="00AE7C72">
        <w:t>commenced</w:t>
      </w:r>
      <w:r>
        <w:t xml:space="preserve"> 10 May 2022</w:t>
      </w:r>
      <w:r w:rsidRPr="00AE7C72">
        <w:t xml:space="preserve"> (</w:t>
      </w:r>
      <w:r>
        <w:t>r 2)</w:t>
      </w:r>
    </w:p>
    <w:p w14:paraId="182240ED" w14:textId="6FD09505" w:rsidR="00355999" w:rsidRDefault="001542D1" w:rsidP="00355999">
      <w:pPr>
        <w:pStyle w:val="NewAct"/>
      </w:pPr>
      <w:hyperlink r:id="rId1318" w:tooltip="SL2022-19" w:history="1">
        <w:r w:rsidR="00355999">
          <w:rPr>
            <w:rStyle w:val="charCitHyperlinkAbbrev"/>
          </w:rPr>
          <w:t>Court Procedures Amendment Rules 2022 (No 3)</w:t>
        </w:r>
      </w:hyperlink>
      <w:r w:rsidR="00355999">
        <w:t xml:space="preserve"> SL2022-19</w:t>
      </w:r>
    </w:p>
    <w:p w14:paraId="75218DAD" w14:textId="62C0B2AE" w:rsidR="00355999" w:rsidRDefault="00355999" w:rsidP="00355999">
      <w:pPr>
        <w:pStyle w:val="Actdetails"/>
        <w:keepNext/>
      </w:pPr>
      <w:r>
        <w:t>notified LR 19 December 2022</w:t>
      </w:r>
    </w:p>
    <w:p w14:paraId="23450DED" w14:textId="5BCC6048" w:rsidR="00355999" w:rsidRDefault="00355999" w:rsidP="00355999">
      <w:pPr>
        <w:pStyle w:val="Actdetails"/>
        <w:keepNext/>
      </w:pPr>
      <w:r>
        <w:t>r 1, r 2 commenced 19 December 2022 (LA s 75 (1))</w:t>
      </w:r>
    </w:p>
    <w:p w14:paraId="2B33FC1D" w14:textId="3A856B88" w:rsidR="00355999" w:rsidRDefault="00355999" w:rsidP="00355999">
      <w:pPr>
        <w:pStyle w:val="Actdetails"/>
      </w:pPr>
      <w:r>
        <w:t xml:space="preserve">remainder </w:t>
      </w:r>
      <w:r w:rsidRPr="00AE7C72">
        <w:t>commenced</w:t>
      </w:r>
      <w:r>
        <w:t xml:space="preserve"> 1 January 2023</w:t>
      </w:r>
      <w:r w:rsidRPr="00AE7C72">
        <w:t xml:space="preserve"> (</w:t>
      </w:r>
      <w:r>
        <w:t>r 2)</w:t>
      </w:r>
    </w:p>
    <w:p w14:paraId="68B671CA" w14:textId="6DF9070F" w:rsidR="004A76DE" w:rsidRDefault="001542D1" w:rsidP="004A76DE">
      <w:pPr>
        <w:pStyle w:val="NewAct"/>
      </w:pPr>
      <w:hyperlink r:id="rId1319" w:tooltip="SL2023-15" w:history="1">
        <w:r w:rsidR="004A76DE">
          <w:rPr>
            <w:rStyle w:val="charCitHyperlinkAbbrev"/>
          </w:rPr>
          <w:t>Court Procedures Amendment Rules 2023 (No 1)</w:t>
        </w:r>
      </w:hyperlink>
      <w:r w:rsidR="004A76DE">
        <w:t xml:space="preserve"> SL2023-15</w:t>
      </w:r>
    </w:p>
    <w:p w14:paraId="3A38452C" w14:textId="4ACB8123" w:rsidR="004A76DE" w:rsidRDefault="004A76DE" w:rsidP="004A76DE">
      <w:pPr>
        <w:pStyle w:val="Actdetails"/>
        <w:keepNext/>
      </w:pPr>
      <w:r>
        <w:t>notified LR 29 June 2023</w:t>
      </w:r>
    </w:p>
    <w:p w14:paraId="1BC28D51" w14:textId="7756E6F4" w:rsidR="004A76DE" w:rsidRDefault="004A76DE" w:rsidP="004A76DE">
      <w:pPr>
        <w:pStyle w:val="Actdetails"/>
        <w:keepNext/>
      </w:pPr>
      <w:r>
        <w:t>r 1, r 2 commenced 29 June 2023 (LA s 75 (1))</w:t>
      </w:r>
    </w:p>
    <w:p w14:paraId="11B41839" w14:textId="3ED083E9" w:rsidR="004A76DE" w:rsidRDefault="004A76DE" w:rsidP="004A76DE">
      <w:pPr>
        <w:pStyle w:val="Actdetails"/>
      </w:pPr>
      <w:r>
        <w:t xml:space="preserve">remainder </w:t>
      </w:r>
      <w:r w:rsidRPr="00AE7C72">
        <w:t>commenced</w:t>
      </w:r>
      <w:r>
        <w:t xml:space="preserve"> 1 July 2023</w:t>
      </w:r>
      <w:r w:rsidRPr="00AE7C72">
        <w:t xml:space="preserve"> (</w:t>
      </w:r>
      <w:r>
        <w:t>r 2)</w:t>
      </w:r>
    </w:p>
    <w:p w14:paraId="0F6B2247" w14:textId="1E621E5A" w:rsidR="0075540E" w:rsidRDefault="001542D1" w:rsidP="0075540E">
      <w:pPr>
        <w:pStyle w:val="NewAct"/>
      </w:pPr>
      <w:hyperlink r:id="rId1320" w:tooltip="SL2023-36" w:history="1">
        <w:r w:rsidR="0075540E">
          <w:rPr>
            <w:rStyle w:val="charCitHyperlinkAbbrev"/>
          </w:rPr>
          <w:t>Court Procedures Amendment Rules 2023 (No 2)</w:t>
        </w:r>
      </w:hyperlink>
      <w:r w:rsidR="0075540E">
        <w:t xml:space="preserve"> SL2023-36</w:t>
      </w:r>
    </w:p>
    <w:p w14:paraId="1C0EB34B" w14:textId="0ECED58C" w:rsidR="0075540E" w:rsidRDefault="0075540E" w:rsidP="0075540E">
      <w:pPr>
        <w:pStyle w:val="Actdetails"/>
        <w:keepNext/>
      </w:pPr>
      <w:r>
        <w:t>notified LR 18 December 2023</w:t>
      </w:r>
    </w:p>
    <w:p w14:paraId="7B01123E" w14:textId="43F1FF6C" w:rsidR="0075540E" w:rsidRDefault="0075540E" w:rsidP="0075540E">
      <w:pPr>
        <w:pStyle w:val="Actdetails"/>
        <w:keepNext/>
      </w:pPr>
      <w:r>
        <w:t>r 1, r 2 commenced 18 December 2023 (LA s 75 (1))</w:t>
      </w:r>
    </w:p>
    <w:p w14:paraId="7325D818" w14:textId="35DD6C42" w:rsidR="0075540E" w:rsidRDefault="0075540E" w:rsidP="0075540E">
      <w:pPr>
        <w:pStyle w:val="Actdetails"/>
      </w:pPr>
      <w:r>
        <w:t xml:space="preserve">remainder </w:t>
      </w:r>
      <w:r w:rsidRPr="00AE7C72">
        <w:t>commenced</w:t>
      </w:r>
      <w:r>
        <w:t xml:space="preserve"> 1 January 202</w:t>
      </w:r>
      <w:r w:rsidR="00543BF6">
        <w:t>4</w:t>
      </w:r>
      <w:r w:rsidRPr="00AE7C72">
        <w:t xml:space="preserve"> (</w:t>
      </w:r>
      <w:r>
        <w:t>r 2)</w:t>
      </w:r>
    </w:p>
    <w:p w14:paraId="480FFCE0" w14:textId="05BAF294" w:rsidR="00773EC4" w:rsidRDefault="001542D1" w:rsidP="00773EC4">
      <w:pPr>
        <w:pStyle w:val="NewAct"/>
      </w:pPr>
      <w:hyperlink r:id="rId1321" w:tooltip="SL2024-9" w:history="1">
        <w:r w:rsidR="00FD5385">
          <w:rPr>
            <w:rStyle w:val="charCitHyperlinkAbbrev"/>
          </w:rPr>
          <w:t>Court Procedures Amendment Rules 2024 (No 1)</w:t>
        </w:r>
      </w:hyperlink>
      <w:r w:rsidR="00773EC4">
        <w:t xml:space="preserve"> SL202</w:t>
      </w:r>
      <w:r w:rsidR="00FD5385">
        <w:t>4-</w:t>
      </w:r>
      <w:r w:rsidR="008E1456">
        <w:t>9</w:t>
      </w:r>
    </w:p>
    <w:p w14:paraId="2864F69E" w14:textId="5CA16520" w:rsidR="00773EC4" w:rsidRDefault="00773EC4" w:rsidP="00773EC4">
      <w:pPr>
        <w:pStyle w:val="Actdetails"/>
        <w:keepNext/>
      </w:pPr>
      <w:r>
        <w:t xml:space="preserve">notified LR </w:t>
      </w:r>
      <w:r w:rsidR="003136CF">
        <w:t>28</w:t>
      </w:r>
      <w:r>
        <w:t xml:space="preserve"> </w:t>
      </w:r>
      <w:r w:rsidR="00FD5385">
        <w:t>June 2024</w:t>
      </w:r>
    </w:p>
    <w:p w14:paraId="4455CBB0" w14:textId="2E374A02" w:rsidR="00773EC4" w:rsidRDefault="00773EC4" w:rsidP="00773EC4">
      <w:pPr>
        <w:pStyle w:val="Actdetails"/>
        <w:keepNext/>
      </w:pPr>
      <w:r>
        <w:t xml:space="preserve">r 1, r 2 commenced </w:t>
      </w:r>
      <w:r w:rsidR="003136CF">
        <w:t>28</w:t>
      </w:r>
      <w:r w:rsidR="00FD5385">
        <w:t xml:space="preserve"> June 2024</w:t>
      </w:r>
      <w:r>
        <w:t xml:space="preserve"> (LA s 75 (1))</w:t>
      </w:r>
    </w:p>
    <w:p w14:paraId="687D36F2" w14:textId="0F6CC600" w:rsidR="00AC5901" w:rsidRPr="00AC5901" w:rsidRDefault="00AC5901" w:rsidP="00773EC4">
      <w:pPr>
        <w:pStyle w:val="Actdetails"/>
        <w:keepNext/>
        <w:rPr>
          <w:u w:val="single"/>
        </w:rPr>
      </w:pPr>
      <w:r w:rsidRPr="00590A20">
        <w:t xml:space="preserve">rr 9-11 </w:t>
      </w:r>
      <w:r w:rsidR="00590A20" w:rsidRPr="00AE7C72">
        <w:t>commenced</w:t>
      </w:r>
      <w:r w:rsidR="00590A20">
        <w:t xml:space="preserve"> 1 October 2024 (r 2 (2))</w:t>
      </w:r>
    </w:p>
    <w:p w14:paraId="2A73F2EF" w14:textId="48C9FDF5" w:rsidR="00773EC4" w:rsidRDefault="00773EC4" w:rsidP="00773EC4">
      <w:pPr>
        <w:pStyle w:val="Actdetails"/>
      </w:pPr>
      <w:r>
        <w:t xml:space="preserve">remainder </w:t>
      </w:r>
      <w:r w:rsidRPr="00AE7C72">
        <w:t>commenced</w:t>
      </w:r>
      <w:r>
        <w:t xml:space="preserve"> 1 </w:t>
      </w:r>
      <w:r w:rsidR="00FD5385">
        <w:t>July</w:t>
      </w:r>
      <w:r>
        <w:t xml:space="preserve"> 2024</w:t>
      </w:r>
      <w:r w:rsidRPr="00AE7C72">
        <w:t xml:space="preserve"> (</w:t>
      </w:r>
      <w:r>
        <w:t>r 2</w:t>
      </w:r>
      <w:r w:rsidR="00AC5901">
        <w:t xml:space="preserve"> (1)</w:t>
      </w:r>
      <w:r>
        <w:t>)</w:t>
      </w:r>
    </w:p>
    <w:p w14:paraId="258DEB52" w14:textId="395A1B83" w:rsidR="0092761B" w:rsidRDefault="001542D1" w:rsidP="0092761B">
      <w:pPr>
        <w:pStyle w:val="NewAct"/>
      </w:pPr>
      <w:hyperlink r:id="rId1322" w:tooltip="SL2024-37" w:history="1">
        <w:r w:rsidR="0092761B">
          <w:rPr>
            <w:rStyle w:val="charCitHyperlinkAbbrev"/>
          </w:rPr>
          <w:t>Court Procedures Amendment Rules 2024 (No 2)</w:t>
        </w:r>
      </w:hyperlink>
      <w:r w:rsidR="0092761B">
        <w:t xml:space="preserve"> SL2024-37</w:t>
      </w:r>
    </w:p>
    <w:p w14:paraId="50896DCC" w14:textId="3895CE73" w:rsidR="0092761B" w:rsidRDefault="0092761B" w:rsidP="0092761B">
      <w:pPr>
        <w:pStyle w:val="Actdetails"/>
        <w:keepNext/>
      </w:pPr>
      <w:r>
        <w:t xml:space="preserve">notified LR </w:t>
      </w:r>
      <w:r w:rsidR="00F33DCC">
        <w:t>19 December</w:t>
      </w:r>
      <w:r>
        <w:t xml:space="preserve"> 2024</w:t>
      </w:r>
    </w:p>
    <w:p w14:paraId="43461B9D" w14:textId="53918A3E" w:rsidR="0092761B" w:rsidRDefault="0092761B" w:rsidP="0092761B">
      <w:pPr>
        <w:pStyle w:val="Actdetails"/>
        <w:keepNext/>
      </w:pPr>
      <w:r>
        <w:t xml:space="preserve">r 1, r 2 commenced </w:t>
      </w:r>
      <w:r w:rsidR="00F33DCC">
        <w:t>19 December</w:t>
      </w:r>
      <w:r>
        <w:t xml:space="preserve"> 2024 (LA s 75 (1))</w:t>
      </w:r>
    </w:p>
    <w:p w14:paraId="17F586A9" w14:textId="09E3C135" w:rsidR="0092761B" w:rsidRDefault="0092761B" w:rsidP="0092761B">
      <w:pPr>
        <w:pStyle w:val="Actdetails"/>
      </w:pPr>
      <w:r>
        <w:t xml:space="preserve">remainder </w:t>
      </w:r>
      <w:r w:rsidRPr="00AE7C72">
        <w:t>commenced</w:t>
      </w:r>
      <w:r>
        <w:t xml:space="preserve"> 1 </w:t>
      </w:r>
      <w:r w:rsidR="00F33DCC">
        <w:t>January 2025</w:t>
      </w:r>
      <w:r w:rsidRPr="00AE7C72">
        <w:t xml:space="preserve"> (</w:t>
      </w:r>
      <w:r>
        <w:t>r 2)</w:t>
      </w:r>
    </w:p>
    <w:p w14:paraId="3BD6EBED" w14:textId="77777777" w:rsidR="00D94935" w:rsidRPr="00812749" w:rsidRDefault="00D94935" w:rsidP="00D94935">
      <w:pPr>
        <w:pStyle w:val="PageBreak"/>
      </w:pPr>
      <w:r w:rsidRPr="00812749">
        <w:br w:type="page"/>
      </w:r>
    </w:p>
    <w:p w14:paraId="3F25AB2E" w14:textId="77777777" w:rsidR="00D94935" w:rsidRPr="00C8328B" w:rsidRDefault="00D94935" w:rsidP="00D94935">
      <w:pPr>
        <w:pStyle w:val="Endnote2"/>
      </w:pPr>
      <w:bookmarkStart w:id="2080" w:name="_Toc185515696"/>
      <w:r w:rsidRPr="00C8328B">
        <w:rPr>
          <w:rStyle w:val="charTableNo"/>
        </w:rPr>
        <w:lastRenderedPageBreak/>
        <w:t>4</w:t>
      </w:r>
      <w:r>
        <w:tab/>
      </w:r>
      <w:r w:rsidRPr="00C8328B">
        <w:rPr>
          <w:rStyle w:val="charTableText"/>
        </w:rPr>
        <w:t>Amendment history</w:t>
      </w:r>
      <w:bookmarkEnd w:id="2080"/>
    </w:p>
    <w:p w14:paraId="2324D383" w14:textId="77777777" w:rsidR="00D94935" w:rsidRPr="00140BF9" w:rsidRDefault="00D94935" w:rsidP="00D94935">
      <w:pPr>
        <w:pStyle w:val="AmdtsEntryHd"/>
        <w:rPr>
          <w:rFonts w:cs="Arial"/>
        </w:rPr>
      </w:pPr>
      <w:r w:rsidRPr="00140BF9">
        <w:rPr>
          <w:rFonts w:cs="Arial"/>
        </w:rPr>
        <w:t>Commencement</w:t>
      </w:r>
    </w:p>
    <w:p w14:paraId="56D30D39" w14:textId="77777777" w:rsidR="00D94935" w:rsidRPr="00140BF9" w:rsidRDefault="00D94935" w:rsidP="00D94935">
      <w:pPr>
        <w:pStyle w:val="AmdtsEntries"/>
        <w:rPr>
          <w:rFonts w:cs="Arial"/>
        </w:rPr>
      </w:pPr>
      <w:r w:rsidRPr="00140BF9">
        <w:rPr>
          <w:rFonts w:cs="Arial"/>
        </w:rPr>
        <w:t>r 2</w:t>
      </w:r>
      <w:r w:rsidRPr="00140BF9">
        <w:rPr>
          <w:rFonts w:cs="Arial"/>
        </w:rPr>
        <w:tab/>
        <w:t>om LA 89 (4)</w:t>
      </w:r>
    </w:p>
    <w:p w14:paraId="79AF2C3B" w14:textId="77777777" w:rsidR="00D94935" w:rsidRPr="00140BF9" w:rsidRDefault="00D94935" w:rsidP="00D94935">
      <w:pPr>
        <w:pStyle w:val="AmdtsEntryHd"/>
        <w:rPr>
          <w:rFonts w:cs="Arial"/>
        </w:rPr>
      </w:pPr>
      <w:r w:rsidRPr="00140BF9">
        <w:rPr>
          <w:rFonts w:cs="Arial"/>
        </w:rPr>
        <w:t>Application of rules</w:t>
      </w:r>
    </w:p>
    <w:p w14:paraId="5040BC2F" w14:textId="77777777"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14:paraId="5E802E84" w14:textId="77777777"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14:paraId="768556D1" w14:textId="2E7B96B8" w:rsidR="00D94935" w:rsidRPr="00140BF9" w:rsidRDefault="00D94935" w:rsidP="00D94935">
      <w:pPr>
        <w:pStyle w:val="AmdtsEntries"/>
        <w:keepNext/>
        <w:rPr>
          <w:rFonts w:cs="Arial"/>
        </w:rPr>
      </w:pPr>
      <w:r w:rsidRPr="00140BF9">
        <w:rPr>
          <w:rFonts w:cs="Arial"/>
        </w:rPr>
        <w:tab/>
        <w:t xml:space="preserve">am </w:t>
      </w:r>
      <w:hyperlink r:id="rId1323"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32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32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326"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14:paraId="74607A19" w14:textId="77777777"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14:paraId="3438F9C2"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14:paraId="08D257E1" w14:textId="77777777"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14:paraId="08820265" w14:textId="05EC67C0"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32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564BEF">
        <w:t xml:space="preserve">; </w:t>
      </w:r>
      <w:hyperlink r:id="rId1328" w:tooltip="Court Procedures Amendment Rules 2024 (No 1)" w:history="1">
        <w:r w:rsidR="008E1456">
          <w:rPr>
            <w:rStyle w:val="charCitHyperlinkAbbrev"/>
          </w:rPr>
          <w:t>SL2024</w:t>
        </w:r>
        <w:r w:rsidR="008E1456">
          <w:rPr>
            <w:rStyle w:val="charCitHyperlinkAbbrev"/>
          </w:rPr>
          <w:noBreakHyphen/>
          <w:t>9</w:t>
        </w:r>
      </w:hyperlink>
      <w:r w:rsidR="00564BEF">
        <w:t xml:space="preserve"> r 4, r 5; pars renum R67 LA</w:t>
      </w:r>
    </w:p>
    <w:p w14:paraId="7EA2A43F" w14:textId="77777777" w:rsidR="00D94935" w:rsidRPr="00140BF9" w:rsidRDefault="00D94935" w:rsidP="00D94935">
      <w:pPr>
        <w:pStyle w:val="AmdtsEntryHd"/>
        <w:rPr>
          <w:rFonts w:cs="Arial"/>
        </w:rPr>
      </w:pPr>
      <w:r w:rsidRPr="00140BF9">
        <w:rPr>
          <w:rFonts w:cs="Arial"/>
        </w:rPr>
        <w:t>Dispensing with rules</w:t>
      </w:r>
    </w:p>
    <w:p w14:paraId="4083F0A2" w14:textId="77777777"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14:paraId="20B3587C" w14:textId="286E1AA0"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32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14:paraId="1B565A86" w14:textId="77777777" w:rsidR="00D94935" w:rsidRPr="00140BF9" w:rsidRDefault="00D94935" w:rsidP="00D94935">
      <w:pPr>
        <w:pStyle w:val="AmdtsEntryHd"/>
        <w:rPr>
          <w:rFonts w:cs="Arial"/>
        </w:rPr>
      </w:pPr>
      <w:r w:rsidRPr="00140BF9">
        <w:rPr>
          <w:rFonts w:cs="Arial"/>
        </w:rPr>
        <w:t>Notes</w:t>
      </w:r>
    </w:p>
    <w:p w14:paraId="5ADB9979" w14:textId="77777777"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14:paraId="359BAC25"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14:paraId="3027E494" w14:textId="77777777"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14:paraId="0578D324" w14:textId="77777777" w:rsidR="00D94935" w:rsidRPr="00140BF9" w:rsidRDefault="00D94935" w:rsidP="00D94935">
      <w:pPr>
        <w:pStyle w:val="AmdtsEntryHd"/>
        <w:rPr>
          <w:rFonts w:cs="Arial"/>
        </w:rPr>
      </w:pPr>
      <w:r w:rsidRPr="00140BF9">
        <w:rPr>
          <w:rFonts w:cs="Arial"/>
        </w:rPr>
        <w:t>Purpose of ch 2 etc</w:t>
      </w:r>
    </w:p>
    <w:p w14:paraId="0748C999" w14:textId="77777777"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14:paraId="0E6AAAEE" w14:textId="57FF9AA6"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30"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14:paraId="2D2C36B7" w14:textId="77777777" w:rsidR="00D94935" w:rsidRPr="00140BF9" w:rsidRDefault="00D94935" w:rsidP="00D94935">
      <w:pPr>
        <w:pStyle w:val="AmdtsEntryHd"/>
        <w:rPr>
          <w:rFonts w:cs="Arial"/>
        </w:rPr>
      </w:pPr>
      <w:r w:rsidRPr="00140BF9">
        <w:rPr>
          <w:rFonts w:cs="Arial"/>
        </w:rPr>
        <w:t>Application—ch 2</w:t>
      </w:r>
    </w:p>
    <w:p w14:paraId="143BE48C" w14:textId="77777777"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14:paraId="58BB8F12" w14:textId="400FE01B"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31"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3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3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34"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14:paraId="2E6C98EE" w14:textId="77777777" w:rsidR="00D94935" w:rsidRPr="00140BF9" w:rsidRDefault="00D94935" w:rsidP="00D94935">
      <w:pPr>
        <w:pStyle w:val="AmdtsEntryHd"/>
        <w:rPr>
          <w:rFonts w:cs="Arial"/>
        </w:rPr>
      </w:pPr>
      <w:r w:rsidRPr="00140BF9">
        <w:rPr>
          <w:rFonts w:cs="Arial"/>
        </w:rPr>
        <w:t>Who may start and carry on a proceeding</w:t>
      </w:r>
    </w:p>
    <w:p w14:paraId="1733B1D0" w14:textId="77777777"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14:paraId="353939C0" w14:textId="77777777" w:rsidR="00D94935" w:rsidRPr="00140BF9" w:rsidRDefault="00D94935" w:rsidP="00D94935">
      <w:pPr>
        <w:pStyle w:val="AmdtsEntryHd"/>
        <w:rPr>
          <w:rFonts w:cs="Arial"/>
        </w:rPr>
      </w:pPr>
      <w:r w:rsidRPr="00140BF9">
        <w:rPr>
          <w:rFonts w:cs="Arial"/>
        </w:rPr>
        <w:t>Kinds of originating processes</w:t>
      </w:r>
    </w:p>
    <w:p w14:paraId="6F6955A3" w14:textId="77777777"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14:paraId="370734B8" w14:textId="77777777" w:rsidR="00D94935" w:rsidRPr="00140BF9" w:rsidRDefault="00D94935" w:rsidP="00D94935">
      <w:pPr>
        <w:pStyle w:val="AmdtsEntryHd"/>
        <w:rPr>
          <w:rFonts w:cs="Arial"/>
        </w:rPr>
      </w:pPr>
      <w:r w:rsidRPr="00140BF9">
        <w:rPr>
          <w:rFonts w:cs="Arial"/>
        </w:rPr>
        <w:t>When civil proceeding starts</w:t>
      </w:r>
    </w:p>
    <w:p w14:paraId="2A7E3CE7" w14:textId="77777777"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14:paraId="47F33D63" w14:textId="180F381E"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3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14:paraId="5986E624" w14:textId="77777777" w:rsidR="00D94935" w:rsidRPr="00140BF9" w:rsidRDefault="00D94935" w:rsidP="00D94935">
      <w:pPr>
        <w:pStyle w:val="AmdtsEntryHd"/>
        <w:rPr>
          <w:rFonts w:cs="Arial"/>
        </w:rPr>
      </w:pPr>
      <w:r w:rsidRPr="00140BF9">
        <w:rPr>
          <w:rFonts w:cs="Arial"/>
        </w:rPr>
        <w:t>When originating claim must be used</w:t>
      </w:r>
    </w:p>
    <w:p w14:paraId="2737D17D" w14:textId="77777777"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14:paraId="236C7D28" w14:textId="77777777" w:rsidR="00D94935" w:rsidRPr="00140BF9" w:rsidRDefault="00D94935" w:rsidP="00D94935">
      <w:pPr>
        <w:pStyle w:val="AmdtsEntryHd"/>
        <w:rPr>
          <w:rFonts w:cs="Arial"/>
        </w:rPr>
      </w:pPr>
      <w:r w:rsidRPr="00140BF9">
        <w:rPr>
          <w:rFonts w:cs="Arial"/>
        </w:rPr>
        <w:t>When originating application must be used</w:t>
      </w:r>
    </w:p>
    <w:p w14:paraId="140A2BB8" w14:textId="77777777"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14:paraId="653BF08F" w14:textId="77777777" w:rsidR="00D94935" w:rsidRPr="00140BF9" w:rsidRDefault="00D94935" w:rsidP="00D94935">
      <w:pPr>
        <w:pStyle w:val="AmdtsEntryHd"/>
        <w:rPr>
          <w:rFonts w:cs="Arial"/>
        </w:rPr>
      </w:pPr>
      <w:r w:rsidRPr="00140BF9">
        <w:rPr>
          <w:rFonts w:cs="Arial"/>
        </w:rPr>
        <w:lastRenderedPageBreak/>
        <w:t>When originating application may be used</w:t>
      </w:r>
    </w:p>
    <w:p w14:paraId="47887910" w14:textId="77777777"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14:paraId="59992FDB" w14:textId="77777777" w:rsidR="00D94935" w:rsidRPr="00140BF9" w:rsidRDefault="00D94935" w:rsidP="00D94935">
      <w:pPr>
        <w:pStyle w:val="AmdtsEntryHd"/>
        <w:rPr>
          <w:rFonts w:cs="Arial"/>
        </w:rPr>
      </w:pPr>
      <w:r w:rsidRPr="00140BF9">
        <w:rPr>
          <w:rFonts w:cs="Arial"/>
        </w:rPr>
        <w:t>When oral originating application may be made in Supreme Court</w:t>
      </w:r>
    </w:p>
    <w:p w14:paraId="64CDC49D" w14:textId="77777777"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14:paraId="44FCB5FE" w14:textId="77777777" w:rsidR="00D94935" w:rsidRPr="00140BF9" w:rsidRDefault="00D94935" w:rsidP="00D94935">
      <w:pPr>
        <w:pStyle w:val="AmdtsEntryHd"/>
        <w:rPr>
          <w:rFonts w:cs="Arial"/>
        </w:rPr>
      </w:pPr>
      <w:r w:rsidRPr="00140BF9">
        <w:rPr>
          <w:rFonts w:cs="Arial"/>
        </w:rPr>
        <w:t>Proceeding incorrectly started by originating claim</w:t>
      </w:r>
    </w:p>
    <w:p w14:paraId="2DDEADE3" w14:textId="77777777"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14:paraId="52C1A46C" w14:textId="77777777" w:rsidR="00D94935" w:rsidRPr="00140BF9" w:rsidRDefault="00D94935" w:rsidP="00D94935">
      <w:pPr>
        <w:pStyle w:val="AmdtsEntryHd"/>
        <w:rPr>
          <w:rFonts w:cs="Arial"/>
        </w:rPr>
      </w:pPr>
      <w:r w:rsidRPr="00140BF9">
        <w:rPr>
          <w:rFonts w:cs="Arial"/>
        </w:rPr>
        <w:t>Proceeding incorrectly started by originating application</w:t>
      </w:r>
    </w:p>
    <w:p w14:paraId="69CD9D98" w14:textId="77777777"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14:paraId="1023D2AC" w14:textId="77777777" w:rsidR="00D94935" w:rsidRPr="00140BF9" w:rsidRDefault="00D94935" w:rsidP="00D94935">
      <w:pPr>
        <w:pStyle w:val="AmdtsEntryHd"/>
        <w:rPr>
          <w:rFonts w:cs="Arial"/>
        </w:rPr>
      </w:pPr>
      <w:r w:rsidRPr="00140BF9">
        <w:rPr>
          <w:rFonts w:cs="Arial"/>
        </w:rPr>
        <w:t>Setting aside originating process etc</w:t>
      </w:r>
    </w:p>
    <w:p w14:paraId="4955CD07" w14:textId="77777777"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14:paraId="7BA75663" w14:textId="65DD98DF"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3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14:paraId="5DAA13CB" w14:textId="77777777" w:rsidR="00D94935" w:rsidRPr="00140BF9" w:rsidRDefault="00D94935" w:rsidP="00D94935">
      <w:pPr>
        <w:pStyle w:val="AmdtsEntryHd"/>
        <w:rPr>
          <w:rFonts w:cs="Arial"/>
        </w:rPr>
      </w:pPr>
      <w:r w:rsidRPr="00140BF9">
        <w:rPr>
          <w:rFonts w:cs="Arial"/>
          <w:lang w:val="en-US"/>
        </w:rPr>
        <w:t>Originating claim—content etc</w:t>
      </w:r>
    </w:p>
    <w:p w14:paraId="60C62816" w14:textId="77777777" w:rsidR="00D94935" w:rsidRDefault="00D94935" w:rsidP="00D94935">
      <w:pPr>
        <w:pStyle w:val="AmdtsEntries"/>
        <w:rPr>
          <w:rFonts w:eastAsiaTheme="minorEastAsia" w:cs="Arial"/>
          <w:szCs w:val="22"/>
          <w:lang w:eastAsia="en-AU"/>
        </w:rPr>
      </w:pPr>
      <w:r w:rsidRPr="00140BF9">
        <w:rPr>
          <w:rFonts w:cs="Arial"/>
        </w:rPr>
        <w:t>r 50 hdg</w:t>
      </w:r>
      <w:r w:rsidRPr="00140BF9">
        <w:rPr>
          <w:rFonts w:eastAsiaTheme="minorEastAsia" w:cs="Arial"/>
          <w:szCs w:val="22"/>
          <w:lang w:eastAsia="en-AU"/>
        </w:rPr>
        <w:tab/>
        <w:t>bracketed note om R29 LA</w:t>
      </w:r>
    </w:p>
    <w:p w14:paraId="14398246" w14:textId="5A954BD3" w:rsidR="00626250" w:rsidRPr="00140BF9" w:rsidRDefault="00626250" w:rsidP="00D94935">
      <w:pPr>
        <w:pStyle w:val="AmdtsEntries"/>
        <w:rPr>
          <w:rFonts w:cs="Arial"/>
        </w:rPr>
      </w:pPr>
      <w:r>
        <w:rPr>
          <w:rFonts w:eastAsiaTheme="minorEastAsia" w:cs="Arial"/>
          <w:szCs w:val="22"/>
          <w:lang w:eastAsia="en-AU"/>
        </w:rPr>
        <w:t>r 50</w:t>
      </w:r>
      <w:r>
        <w:rPr>
          <w:rFonts w:eastAsiaTheme="minorEastAsia" w:cs="Arial"/>
          <w:szCs w:val="22"/>
          <w:lang w:eastAsia="en-AU"/>
        </w:rPr>
        <w:tab/>
        <w:t xml:space="preserve">am </w:t>
      </w:r>
      <w:hyperlink r:id="rId1337"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4-6</w:t>
      </w:r>
    </w:p>
    <w:p w14:paraId="2CFCCFED" w14:textId="77777777"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14:paraId="79C17B34" w14:textId="77777777"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14:paraId="0EA07E5E" w14:textId="77777777"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14:paraId="3E1C9505" w14:textId="77777777"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14:paraId="698DB57C" w14:textId="77777777"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14:paraId="7C7839A0" w14:textId="77777777"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14:paraId="2B479853" w14:textId="6251E707"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14:paraId="74AB82E3" w14:textId="77777777" w:rsidR="00D94935" w:rsidRPr="00140BF9" w:rsidRDefault="00D94935" w:rsidP="00D94935">
      <w:pPr>
        <w:pStyle w:val="AmdtsEntryHd"/>
        <w:rPr>
          <w:rFonts w:cs="Arial"/>
        </w:rPr>
      </w:pPr>
      <w:r w:rsidRPr="00140BF9">
        <w:rPr>
          <w:rFonts w:cs="Arial"/>
          <w:lang w:val="en-US"/>
        </w:rPr>
        <w:t>Originating claim—filing and service</w:t>
      </w:r>
    </w:p>
    <w:p w14:paraId="72C93D64" w14:textId="77777777"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14:paraId="3148ACD6" w14:textId="02B247F1" w:rsidR="00626250" w:rsidRPr="00140BF9" w:rsidRDefault="00626250" w:rsidP="00626250">
      <w:pPr>
        <w:pStyle w:val="AmdtsEntries"/>
        <w:rPr>
          <w:rFonts w:cs="Arial"/>
        </w:rPr>
      </w:pPr>
      <w:r>
        <w:rPr>
          <w:rFonts w:eastAsiaTheme="minorEastAsia" w:cs="Arial"/>
          <w:szCs w:val="22"/>
          <w:lang w:eastAsia="en-AU"/>
        </w:rPr>
        <w:t>r 54</w:t>
      </w:r>
      <w:r>
        <w:rPr>
          <w:rFonts w:eastAsiaTheme="minorEastAsia" w:cs="Arial"/>
          <w:szCs w:val="22"/>
          <w:lang w:eastAsia="en-AU"/>
        </w:rPr>
        <w:tab/>
        <w:t xml:space="preserve">am </w:t>
      </w:r>
      <w:hyperlink r:id="rId133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7</w:t>
      </w:r>
    </w:p>
    <w:p w14:paraId="2D451A25" w14:textId="77777777" w:rsidR="00D94935" w:rsidRPr="00140BF9" w:rsidRDefault="00D94935" w:rsidP="00D94935">
      <w:pPr>
        <w:pStyle w:val="AmdtsEntryHd"/>
        <w:rPr>
          <w:rFonts w:cs="Arial"/>
        </w:rPr>
      </w:pPr>
      <w:r w:rsidRPr="00140BF9">
        <w:rPr>
          <w:rFonts w:cs="Arial"/>
        </w:rPr>
        <w:t>Originating claim—abandonment of excess in Magistrates Court</w:t>
      </w:r>
    </w:p>
    <w:p w14:paraId="4F08B7CF" w14:textId="77777777"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14:paraId="1C806D26" w14:textId="6EA21C52"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14:paraId="05E80255" w14:textId="2206FFC9" w:rsidR="00D94935" w:rsidRPr="00140BF9" w:rsidRDefault="00D94935" w:rsidP="00D94935">
      <w:pPr>
        <w:pStyle w:val="AmdtsEntries"/>
        <w:rPr>
          <w:rFonts w:cs="Arial"/>
        </w:rPr>
      </w:pPr>
      <w:r w:rsidRPr="00140BF9">
        <w:rPr>
          <w:rFonts w:cs="Arial"/>
        </w:rPr>
        <w:tab/>
        <w:t xml:space="preserve">am </w:t>
      </w:r>
      <w:hyperlink r:id="rId1341" w:tooltip="Court Procedures Amendment Rules 2013 (No 1)" w:history="1">
        <w:r w:rsidRPr="00140BF9">
          <w:rPr>
            <w:rStyle w:val="charCitHyperlinkAbbrev"/>
            <w:rFonts w:cs="Arial"/>
          </w:rPr>
          <w:t>SL2013-18</w:t>
        </w:r>
      </w:hyperlink>
      <w:r w:rsidRPr="00140BF9">
        <w:rPr>
          <w:rFonts w:cs="Arial"/>
        </w:rPr>
        <w:t xml:space="preserve"> r 4</w:t>
      </w:r>
    </w:p>
    <w:p w14:paraId="30AE1AD9" w14:textId="77777777" w:rsidR="00D94935" w:rsidRPr="00140BF9" w:rsidRDefault="00D94935" w:rsidP="00D94935">
      <w:pPr>
        <w:pStyle w:val="AmdtsEntryHd"/>
        <w:rPr>
          <w:rFonts w:cs="Arial"/>
        </w:rPr>
      </w:pPr>
      <w:r w:rsidRPr="00140BF9">
        <w:rPr>
          <w:rFonts w:cs="Arial"/>
          <w:lang w:val="en-US"/>
        </w:rPr>
        <w:t>Originating application—content etc</w:t>
      </w:r>
    </w:p>
    <w:p w14:paraId="2248B181" w14:textId="77777777"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14:paraId="59CE5DF4" w14:textId="77777777" w:rsidR="00D94935" w:rsidRPr="00140BF9" w:rsidRDefault="00D94935" w:rsidP="00D94935">
      <w:pPr>
        <w:pStyle w:val="AmdtsEntryHd"/>
        <w:rPr>
          <w:rFonts w:cs="Arial"/>
        </w:rPr>
      </w:pPr>
      <w:r w:rsidRPr="00140BF9">
        <w:rPr>
          <w:rFonts w:cs="Arial"/>
          <w:lang w:val="en-US"/>
        </w:rPr>
        <w:t>Originating application—filing and service</w:t>
      </w:r>
    </w:p>
    <w:p w14:paraId="5CF74D67" w14:textId="77777777"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14:paraId="16615A9D" w14:textId="77777777"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14:paraId="2FDDE59E" w14:textId="77777777"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14:paraId="6EBEBB28" w14:textId="77777777" w:rsidR="00D94935" w:rsidRPr="00140BF9" w:rsidRDefault="00D94935" w:rsidP="00D94935">
      <w:pPr>
        <w:pStyle w:val="AmdtsEntryHd"/>
        <w:rPr>
          <w:rFonts w:cs="Arial"/>
        </w:rPr>
      </w:pPr>
      <w:r w:rsidRPr="00140BF9">
        <w:rPr>
          <w:rFonts w:cs="Arial"/>
          <w:lang w:val="en-US"/>
        </w:rPr>
        <w:t>What happens if originating application not served in time</w:t>
      </w:r>
    </w:p>
    <w:p w14:paraId="261EE8CA" w14:textId="77777777"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14:paraId="0AD55F95" w14:textId="77777777" w:rsidR="00D94935" w:rsidRPr="00140BF9" w:rsidRDefault="00D94935" w:rsidP="00D94935">
      <w:pPr>
        <w:pStyle w:val="AmdtsEntryHd"/>
        <w:rPr>
          <w:rFonts w:cs="Arial"/>
        </w:rPr>
      </w:pPr>
      <w:r w:rsidRPr="00140BF9">
        <w:rPr>
          <w:rFonts w:cs="Arial"/>
          <w:lang w:val="en-US"/>
        </w:rPr>
        <w:lastRenderedPageBreak/>
        <w:t>Originating application—filing and service of supporting affidavits</w:t>
      </w:r>
    </w:p>
    <w:p w14:paraId="36C09492" w14:textId="77777777"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14:paraId="15107CC8" w14:textId="77777777" w:rsidR="00D94935" w:rsidRPr="00140BF9" w:rsidRDefault="00D94935" w:rsidP="00D94935">
      <w:pPr>
        <w:pStyle w:val="AmdtsEntryHd"/>
        <w:rPr>
          <w:rFonts w:cs="Arial"/>
        </w:rPr>
      </w:pPr>
      <w:r w:rsidRPr="00140BF9">
        <w:rPr>
          <w:rFonts w:cs="Arial"/>
        </w:rPr>
        <w:t>Originating process to be sealed</w:t>
      </w:r>
    </w:p>
    <w:p w14:paraId="348FD308" w14:textId="77777777"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14:paraId="19F66DAF" w14:textId="7C4A04E0" w:rsidR="00626250" w:rsidRPr="00140BF9" w:rsidRDefault="00626250" w:rsidP="00626250">
      <w:pPr>
        <w:pStyle w:val="AmdtsEntries"/>
        <w:rPr>
          <w:rFonts w:cs="Arial"/>
        </w:rPr>
      </w:pPr>
      <w:r>
        <w:rPr>
          <w:rFonts w:eastAsiaTheme="minorEastAsia" w:cs="Arial"/>
          <w:szCs w:val="22"/>
          <w:lang w:eastAsia="en-AU"/>
        </w:rPr>
        <w:t>r 70</w:t>
      </w:r>
      <w:r>
        <w:rPr>
          <w:rFonts w:eastAsiaTheme="minorEastAsia" w:cs="Arial"/>
          <w:szCs w:val="22"/>
          <w:lang w:eastAsia="en-AU"/>
        </w:rPr>
        <w:tab/>
        <w:t xml:space="preserve">am </w:t>
      </w:r>
      <w:hyperlink r:id="rId1342"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8</w:t>
      </w:r>
    </w:p>
    <w:p w14:paraId="0C9FB399" w14:textId="77777777" w:rsidR="00D94935" w:rsidRPr="00140BF9" w:rsidRDefault="00D94935" w:rsidP="00D94935">
      <w:pPr>
        <w:pStyle w:val="AmdtsEntryHd"/>
        <w:rPr>
          <w:rFonts w:cs="Arial"/>
        </w:rPr>
      </w:pPr>
      <w:r w:rsidRPr="00140BF9">
        <w:rPr>
          <w:rFonts w:cs="Arial"/>
        </w:rPr>
        <w:t>Numbering etc of proceedings</w:t>
      </w:r>
    </w:p>
    <w:p w14:paraId="65B9B851" w14:textId="77777777"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14:paraId="16271824" w14:textId="1CC16F2D" w:rsidR="00626250" w:rsidRPr="00140BF9" w:rsidRDefault="00626250" w:rsidP="00626250">
      <w:pPr>
        <w:pStyle w:val="AmdtsEntries"/>
        <w:rPr>
          <w:rFonts w:cs="Arial"/>
        </w:rPr>
      </w:pPr>
      <w:r>
        <w:rPr>
          <w:rFonts w:eastAsiaTheme="minorEastAsia" w:cs="Arial"/>
          <w:szCs w:val="22"/>
          <w:lang w:eastAsia="en-AU"/>
        </w:rPr>
        <w:t>r 71</w:t>
      </w:r>
      <w:r>
        <w:rPr>
          <w:rFonts w:eastAsiaTheme="minorEastAsia" w:cs="Arial"/>
          <w:szCs w:val="22"/>
          <w:lang w:eastAsia="en-AU"/>
        </w:rPr>
        <w:tab/>
        <w:t xml:space="preserve">am </w:t>
      </w:r>
      <w:hyperlink r:id="rId134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w:t>
      </w:r>
      <w:r w:rsidR="00543BF6">
        <w:rPr>
          <w:rFonts w:eastAsiaTheme="minorEastAsia" w:cs="Arial"/>
          <w:szCs w:val="22"/>
          <w:lang w:eastAsia="en-AU"/>
        </w:rPr>
        <w:t>9</w:t>
      </w:r>
    </w:p>
    <w:p w14:paraId="20E0DD0F" w14:textId="77777777" w:rsidR="00D94935" w:rsidRPr="00140BF9" w:rsidRDefault="00D94935" w:rsidP="00D94935">
      <w:pPr>
        <w:pStyle w:val="AmdtsEntryHd"/>
        <w:rPr>
          <w:rFonts w:cs="Arial"/>
        </w:rPr>
      </w:pPr>
      <w:r w:rsidRPr="00140BF9">
        <w:rPr>
          <w:rFonts w:cs="Arial"/>
        </w:rPr>
        <w:t>Originating process—solicitor’s statement about filing</w:t>
      </w:r>
    </w:p>
    <w:p w14:paraId="6D8D55EC" w14:textId="77777777"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14:paraId="622637E4" w14:textId="77777777"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14:paraId="6F3B1B17" w14:textId="77777777"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14:paraId="498B2576" w14:textId="77777777"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14:paraId="7A28ED1D" w14:textId="77777777"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14:paraId="0F1D7C28" w14:textId="77777777" w:rsidR="00D94935" w:rsidRPr="00140BF9" w:rsidRDefault="00D94935" w:rsidP="00D94935">
      <w:pPr>
        <w:pStyle w:val="AmdtsEntryHd"/>
        <w:rPr>
          <w:rFonts w:cs="Arial"/>
        </w:rPr>
      </w:pPr>
      <w:r w:rsidRPr="00140BF9">
        <w:rPr>
          <w:rFonts w:cs="Arial"/>
          <w:lang w:val="en-US"/>
        </w:rPr>
        <w:t>When proceeding taken to be dismissed</w:t>
      </w:r>
    </w:p>
    <w:p w14:paraId="7930BF81" w14:textId="09B5AEBB"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4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14:paraId="5E2FA1CF"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645F7C68" w14:textId="20B41DBF"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4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4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r w:rsidR="004A76DE">
        <w:rPr>
          <w:rFonts w:cs="Arial"/>
          <w:lang w:val="en-US"/>
        </w:rPr>
        <w:t xml:space="preserve">; </w:t>
      </w:r>
      <w:hyperlink r:id="rId1347" w:tooltip="Court Procedures Amendment Rules 2023 (No 1)" w:history="1">
        <w:r w:rsidR="004A76DE">
          <w:rPr>
            <w:rStyle w:val="charCitHyperlinkAbbrev"/>
            <w:rFonts w:cs="Arial"/>
          </w:rPr>
          <w:t>SL2023</w:t>
        </w:r>
        <w:r w:rsidR="004A76DE">
          <w:rPr>
            <w:rStyle w:val="charCitHyperlinkAbbrev"/>
            <w:rFonts w:cs="Arial"/>
          </w:rPr>
          <w:noBreakHyphen/>
          <w:t>15</w:t>
        </w:r>
      </w:hyperlink>
      <w:r w:rsidR="004A76DE">
        <w:rPr>
          <w:rFonts w:cs="Arial"/>
          <w:lang w:val="en-US"/>
        </w:rPr>
        <w:t xml:space="preserve"> r 4</w:t>
      </w:r>
    </w:p>
    <w:p w14:paraId="3E348570" w14:textId="77777777" w:rsidR="00D94935" w:rsidRPr="00140BF9" w:rsidRDefault="00D94935" w:rsidP="00D94935">
      <w:pPr>
        <w:pStyle w:val="AmdtsEntryHd"/>
        <w:rPr>
          <w:rFonts w:cs="Arial"/>
        </w:rPr>
      </w:pPr>
      <w:r w:rsidRPr="00140BF9">
        <w:rPr>
          <w:rFonts w:cs="Arial"/>
        </w:rPr>
        <w:t>Reinstating dismissed proceeding</w:t>
      </w:r>
    </w:p>
    <w:p w14:paraId="7FEFE37D" w14:textId="66E56B4C"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4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14:paraId="30F72F64"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15E1E845" w14:textId="0EE5CDBE"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4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14:paraId="169869D9" w14:textId="77777777" w:rsidR="00D94935" w:rsidRPr="00140BF9" w:rsidRDefault="00D94935" w:rsidP="00D94935">
      <w:pPr>
        <w:pStyle w:val="AmdtsEntryHd"/>
        <w:rPr>
          <w:rFonts w:cs="Arial"/>
        </w:rPr>
      </w:pPr>
      <w:r w:rsidRPr="00140BF9">
        <w:rPr>
          <w:rFonts w:cs="Arial"/>
          <w:lang w:val="en-US"/>
        </w:rPr>
        <w:t>No step without notice of intention to respond or defence</w:t>
      </w:r>
    </w:p>
    <w:p w14:paraId="702167F2" w14:textId="77777777"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14:paraId="4C9D9F02" w14:textId="77777777" w:rsidR="00D94935" w:rsidRPr="00140BF9" w:rsidRDefault="00D94935" w:rsidP="00D94935">
      <w:pPr>
        <w:pStyle w:val="AmdtsEntryHd"/>
        <w:rPr>
          <w:rFonts w:cs="Arial"/>
        </w:rPr>
      </w:pPr>
      <w:r w:rsidRPr="00140BF9">
        <w:rPr>
          <w:rFonts w:cs="Arial"/>
        </w:rPr>
        <w:t>Notice of intention to respond or defence—details to be included</w:t>
      </w:r>
    </w:p>
    <w:p w14:paraId="55E9DF60" w14:textId="77777777"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14:paraId="082B42F1" w14:textId="77777777" w:rsidR="00D94935" w:rsidRPr="00140BF9" w:rsidRDefault="00D94935" w:rsidP="00D94935">
      <w:pPr>
        <w:pStyle w:val="AmdtsEntryHd"/>
        <w:rPr>
          <w:rFonts w:cs="Arial"/>
        </w:rPr>
      </w:pPr>
      <w:r w:rsidRPr="00140BF9">
        <w:rPr>
          <w:rFonts w:cs="Arial"/>
          <w:lang w:val="en-US"/>
        </w:rPr>
        <w:t>Notice of intention to respond or defence—filing and service</w:t>
      </w:r>
    </w:p>
    <w:p w14:paraId="7EB3BB96" w14:textId="77777777"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14:paraId="06D97875" w14:textId="618C8661" w:rsidR="00626250" w:rsidRPr="00140BF9" w:rsidRDefault="00626250" w:rsidP="00626250">
      <w:pPr>
        <w:pStyle w:val="AmdtsEntries"/>
        <w:rPr>
          <w:rFonts w:cs="Arial"/>
        </w:rPr>
      </w:pPr>
      <w:r>
        <w:rPr>
          <w:rFonts w:eastAsiaTheme="minorEastAsia" w:cs="Arial"/>
          <w:szCs w:val="22"/>
          <w:lang w:eastAsia="en-AU"/>
        </w:rPr>
        <w:t>r 102</w:t>
      </w:r>
      <w:r>
        <w:rPr>
          <w:rFonts w:eastAsiaTheme="minorEastAsia" w:cs="Arial"/>
          <w:szCs w:val="22"/>
          <w:lang w:eastAsia="en-AU"/>
        </w:rPr>
        <w:tab/>
        <w:t xml:space="preserve">am </w:t>
      </w:r>
      <w:hyperlink r:id="rId1350"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10</w:t>
      </w:r>
    </w:p>
    <w:p w14:paraId="503077DB" w14:textId="77777777" w:rsidR="00D94935" w:rsidRPr="00140BF9" w:rsidRDefault="00D94935" w:rsidP="00D94935">
      <w:pPr>
        <w:pStyle w:val="AmdtsEntryHd"/>
        <w:rPr>
          <w:rFonts w:cs="Arial"/>
        </w:rPr>
      </w:pPr>
      <w:r w:rsidRPr="00140BF9">
        <w:rPr>
          <w:rFonts w:cs="Arial"/>
          <w:lang w:val="en-US"/>
        </w:rPr>
        <w:t>Notice of intention to respond or defence—late filing or service</w:t>
      </w:r>
    </w:p>
    <w:p w14:paraId="6E72EAE4" w14:textId="77777777"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14:paraId="49AA20F7" w14:textId="77777777" w:rsidR="00D94935" w:rsidRPr="00140BF9" w:rsidRDefault="00D94935" w:rsidP="00D94935">
      <w:pPr>
        <w:pStyle w:val="AmdtsEntryHd"/>
        <w:rPr>
          <w:rFonts w:cs="Arial"/>
        </w:rPr>
      </w:pPr>
      <w:r w:rsidRPr="00140BF9">
        <w:rPr>
          <w:rFonts w:cs="Arial"/>
          <w:lang w:val="en-US"/>
        </w:rPr>
        <w:t>Ground of defence arising after defence filed etc</w:t>
      </w:r>
    </w:p>
    <w:p w14:paraId="1EBF928D" w14:textId="77777777"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14:paraId="773E5C0F" w14:textId="587315D8" w:rsidR="00626250" w:rsidRPr="00140BF9" w:rsidRDefault="00626250" w:rsidP="00626250">
      <w:pPr>
        <w:pStyle w:val="AmdtsEntries"/>
        <w:rPr>
          <w:rFonts w:cs="Arial"/>
        </w:rPr>
      </w:pPr>
      <w:r>
        <w:rPr>
          <w:rFonts w:eastAsiaTheme="minorEastAsia" w:cs="Arial"/>
          <w:szCs w:val="22"/>
          <w:lang w:eastAsia="en-AU"/>
        </w:rPr>
        <w:t>r 104</w:t>
      </w:r>
      <w:r>
        <w:rPr>
          <w:rFonts w:eastAsiaTheme="minorEastAsia" w:cs="Arial"/>
          <w:szCs w:val="22"/>
          <w:lang w:eastAsia="en-AU"/>
        </w:rPr>
        <w:tab/>
        <w:t xml:space="preserve">am </w:t>
      </w:r>
      <w:hyperlink r:id="rId1351"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11</w:t>
      </w:r>
    </w:p>
    <w:p w14:paraId="3665F780" w14:textId="77777777" w:rsidR="00D94935" w:rsidRPr="00140BF9" w:rsidRDefault="00D94935" w:rsidP="00D94935">
      <w:pPr>
        <w:pStyle w:val="AmdtsEntryHd"/>
        <w:rPr>
          <w:rFonts w:cs="Arial"/>
        </w:rPr>
      </w:pPr>
      <w:r w:rsidRPr="00140BF9">
        <w:rPr>
          <w:rFonts w:cs="Arial"/>
          <w:lang w:val="en-US"/>
        </w:rPr>
        <w:t>Defence—reliance on defence not disclosed</w:t>
      </w:r>
    </w:p>
    <w:p w14:paraId="00D4BFE6" w14:textId="77777777"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14:paraId="7CD27839" w14:textId="77777777" w:rsidR="00D94935" w:rsidRPr="00140BF9" w:rsidRDefault="00D94935" w:rsidP="00D94935">
      <w:pPr>
        <w:pStyle w:val="AmdtsEntryHd"/>
        <w:rPr>
          <w:rFonts w:cs="Arial"/>
        </w:rPr>
      </w:pPr>
      <w:r w:rsidRPr="00140BF9">
        <w:rPr>
          <w:rFonts w:cs="Arial"/>
          <w:lang w:val="en-US"/>
        </w:rPr>
        <w:lastRenderedPageBreak/>
        <w:t>Defendant may submit to judgment by notice of intention to respond</w:t>
      </w:r>
    </w:p>
    <w:p w14:paraId="315B2037" w14:textId="77777777"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14:paraId="0FEFA697" w14:textId="77777777"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14:paraId="77D6A2B4" w14:textId="77777777"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14:paraId="002CC7E9" w14:textId="77777777"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14:paraId="50FDD424" w14:textId="77777777"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14:paraId="34C04026" w14:textId="77777777" w:rsidR="00D94935" w:rsidRPr="00140BF9" w:rsidRDefault="00D94935" w:rsidP="00D94935">
      <w:pPr>
        <w:pStyle w:val="AmdtsEntryHd"/>
        <w:rPr>
          <w:rFonts w:cs="Arial"/>
        </w:rPr>
      </w:pPr>
      <w:r w:rsidRPr="00140BF9">
        <w:rPr>
          <w:rFonts w:cs="Arial"/>
          <w:lang w:val="en-US"/>
        </w:rPr>
        <w:t>Notice of intention to respond or defence—person incorrectly served as partner</w:t>
      </w:r>
    </w:p>
    <w:p w14:paraId="4E69B637" w14:textId="77777777"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14:paraId="48802F9A" w14:textId="77777777"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14:paraId="78AEF5B1" w14:textId="77777777"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14:paraId="6B1483D4" w14:textId="48A64FD9"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5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0D125806" w14:textId="77777777" w:rsidR="00D94935" w:rsidRPr="00140BF9" w:rsidRDefault="00D94935" w:rsidP="00D94935">
      <w:pPr>
        <w:pStyle w:val="AmdtsEntryHd"/>
        <w:rPr>
          <w:rFonts w:cs="Arial"/>
        </w:rPr>
      </w:pPr>
      <w:r w:rsidRPr="00140BF9">
        <w:rPr>
          <w:rFonts w:cs="Arial"/>
          <w:lang w:val="en-US"/>
        </w:rPr>
        <w:t>Conditional notice of intention to respond</w:t>
      </w:r>
    </w:p>
    <w:p w14:paraId="13C7A956" w14:textId="77777777"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14:paraId="6DB802D5" w14:textId="77777777" w:rsidR="00D94935" w:rsidRPr="00140BF9" w:rsidRDefault="00D94935" w:rsidP="00D94935">
      <w:pPr>
        <w:pStyle w:val="AmdtsEntryHd"/>
        <w:rPr>
          <w:rFonts w:cs="Arial"/>
        </w:rPr>
      </w:pPr>
      <w:r w:rsidRPr="00140BF9">
        <w:rPr>
          <w:rFonts w:cs="Arial"/>
        </w:rPr>
        <w:t>Application—div 2.3.2</w:t>
      </w:r>
    </w:p>
    <w:p w14:paraId="4751A73B" w14:textId="77777777"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14:paraId="22895408" w14:textId="77777777" w:rsidR="00D94935" w:rsidRPr="00140BF9" w:rsidRDefault="00D94935" w:rsidP="00D94935">
      <w:pPr>
        <w:pStyle w:val="AmdtsEntryHd"/>
        <w:rPr>
          <w:rFonts w:cs="Arial"/>
        </w:rPr>
      </w:pPr>
      <w:r w:rsidRPr="00140BF9">
        <w:rPr>
          <w:rFonts w:cs="Arial"/>
        </w:rPr>
        <w:t>Proceeding for possession of land—leave to file defence etc</w:t>
      </w:r>
    </w:p>
    <w:p w14:paraId="09698955" w14:textId="77777777"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14:paraId="30C62DDD" w14:textId="77777777" w:rsidR="00D94935" w:rsidRPr="00140BF9" w:rsidRDefault="00D94935" w:rsidP="00D94935">
      <w:pPr>
        <w:pStyle w:val="AmdtsEntryHd"/>
        <w:rPr>
          <w:rFonts w:cs="Arial"/>
        </w:rPr>
      </w:pPr>
      <w:r w:rsidRPr="00140BF9">
        <w:rPr>
          <w:rFonts w:cs="Arial"/>
        </w:rPr>
        <w:t>Proceeding for possession of land—filing defence etc</w:t>
      </w:r>
    </w:p>
    <w:p w14:paraId="3DDA42AA" w14:textId="77777777"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14:paraId="793C4341" w14:textId="77777777" w:rsidR="00D94935" w:rsidRPr="00140BF9" w:rsidRDefault="00D94935" w:rsidP="00D94935">
      <w:pPr>
        <w:pStyle w:val="AmdtsEntryHd"/>
        <w:rPr>
          <w:rFonts w:cs="Arial"/>
        </w:rPr>
      </w:pPr>
      <w:r w:rsidRPr="00140BF9">
        <w:rPr>
          <w:rFonts w:cs="Arial"/>
        </w:rPr>
        <w:t>Proceeding for possession of land—service of defence etc</w:t>
      </w:r>
    </w:p>
    <w:p w14:paraId="17ED0A1B" w14:textId="77777777"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14:paraId="7BA95A17" w14:textId="77777777" w:rsidR="00D94935" w:rsidRPr="00140BF9" w:rsidRDefault="00D94935" w:rsidP="00D94935">
      <w:pPr>
        <w:pStyle w:val="AmdtsEntryHd"/>
        <w:rPr>
          <w:rFonts w:cs="Arial"/>
        </w:rPr>
      </w:pPr>
      <w:r w:rsidRPr="00140BF9">
        <w:rPr>
          <w:rFonts w:cs="Arial"/>
        </w:rPr>
        <w:t>Including causes of action</w:t>
      </w:r>
    </w:p>
    <w:p w14:paraId="2AF20B9C" w14:textId="77777777"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14:paraId="22B41ED7" w14:textId="77777777" w:rsidR="00D94935" w:rsidRPr="00140BF9" w:rsidRDefault="00D94935" w:rsidP="00D94935">
      <w:pPr>
        <w:pStyle w:val="AmdtsEntryHd"/>
        <w:rPr>
          <w:rFonts w:cs="Arial"/>
        </w:rPr>
      </w:pPr>
      <w:r w:rsidRPr="00140BF9">
        <w:rPr>
          <w:rFonts w:cs="Arial"/>
        </w:rPr>
        <w:t>Joint and separate claims</w:t>
      </w:r>
    </w:p>
    <w:p w14:paraId="730FD64D" w14:textId="77777777"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14:paraId="419D2AA7" w14:textId="77777777" w:rsidR="00D94935" w:rsidRPr="00140BF9" w:rsidRDefault="00D94935" w:rsidP="00D94935">
      <w:pPr>
        <w:pStyle w:val="AmdtsEntryHd"/>
        <w:rPr>
          <w:rFonts w:cs="Arial"/>
        </w:rPr>
      </w:pPr>
      <w:r w:rsidRPr="00140BF9">
        <w:rPr>
          <w:rFonts w:cs="Arial"/>
        </w:rPr>
        <w:t>Including causes of action inconveniently etc</w:t>
      </w:r>
    </w:p>
    <w:p w14:paraId="457A2B0C" w14:textId="77777777"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14:paraId="7AD25827" w14:textId="77777777" w:rsidR="00D94935" w:rsidRPr="00140BF9" w:rsidRDefault="00D94935" w:rsidP="00D94935">
      <w:pPr>
        <w:pStyle w:val="AmdtsEntryHd"/>
        <w:rPr>
          <w:rFonts w:cs="Arial"/>
        </w:rPr>
      </w:pPr>
      <w:r w:rsidRPr="00140BF9">
        <w:rPr>
          <w:rFonts w:cs="Arial"/>
        </w:rPr>
        <w:t>Necessary parties</w:t>
      </w:r>
    </w:p>
    <w:p w14:paraId="728CC67A" w14:textId="77777777"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14:paraId="1DA72F55" w14:textId="77777777" w:rsidR="00D94935" w:rsidRPr="00140BF9" w:rsidRDefault="00D94935" w:rsidP="00D94935">
      <w:pPr>
        <w:pStyle w:val="AmdtsEntryHd"/>
        <w:rPr>
          <w:rFonts w:cs="Arial"/>
        </w:rPr>
      </w:pPr>
      <w:r w:rsidRPr="00140BF9">
        <w:rPr>
          <w:rFonts w:cs="Arial"/>
        </w:rPr>
        <w:t>Including parties—common issues of law or fact</w:t>
      </w:r>
    </w:p>
    <w:p w14:paraId="31CF90D8" w14:textId="77777777"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14:paraId="02F47475" w14:textId="77777777" w:rsidR="00D94935" w:rsidRPr="00140BF9" w:rsidRDefault="00D94935" w:rsidP="00D94935">
      <w:pPr>
        <w:pStyle w:val="AmdtsEntryHd"/>
        <w:rPr>
          <w:rFonts w:cs="Arial"/>
        </w:rPr>
      </w:pPr>
      <w:r w:rsidRPr="00140BF9">
        <w:rPr>
          <w:rFonts w:cs="Arial"/>
        </w:rPr>
        <w:t>Including parties—defendants may be sued jointly, severally, or in alternative</w:t>
      </w:r>
    </w:p>
    <w:p w14:paraId="772452A4" w14:textId="77777777"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14:paraId="478348E1" w14:textId="77777777" w:rsidR="00D94935" w:rsidRPr="00140BF9" w:rsidRDefault="00D94935" w:rsidP="00D94935">
      <w:pPr>
        <w:pStyle w:val="AmdtsEntryHd"/>
        <w:rPr>
          <w:rFonts w:cs="Arial"/>
        </w:rPr>
      </w:pPr>
      <w:r w:rsidRPr="00140BF9">
        <w:rPr>
          <w:rFonts w:cs="Arial"/>
        </w:rPr>
        <w:lastRenderedPageBreak/>
        <w:t>Including parties—joint entitlement</w:t>
      </w:r>
    </w:p>
    <w:p w14:paraId="128FAE7E" w14:textId="77777777"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14:paraId="2D25C794" w14:textId="77777777" w:rsidR="00D94935" w:rsidRPr="00140BF9" w:rsidRDefault="00D94935" w:rsidP="00D94935">
      <w:pPr>
        <w:pStyle w:val="AmdtsEntryHd"/>
        <w:rPr>
          <w:rFonts w:cs="Arial"/>
        </w:rPr>
      </w:pPr>
      <w:r w:rsidRPr="00140BF9">
        <w:rPr>
          <w:rFonts w:cs="Arial"/>
        </w:rPr>
        <w:t>Including parties—joint or several liability</w:t>
      </w:r>
    </w:p>
    <w:p w14:paraId="1D664E43" w14:textId="77777777"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14:paraId="78D51D7A" w14:textId="77777777" w:rsidR="00D94935" w:rsidRPr="00140BF9" w:rsidRDefault="00D94935" w:rsidP="00D94935">
      <w:pPr>
        <w:pStyle w:val="AmdtsEntryHd"/>
        <w:rPr>
          <w:rFonts w:cs="Arial"/>
        </w:rPr>
      </w:pPr>
      <w:r w:rsidRPr="00140BF9">
        <w:rPr>
          <w:rFonts w:cs="Arial"/>
        </w:rPr>
        <w:t>Including parties—plaintiff in doubt about defendant etc</w:t>
      </w:r>
    </w:p>
    <w:p w14:paraId="22D8D9EB" w14:textId="77777777"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14:paraId="742CC4F0" w14:textId="77777777" w:rsidR="00D94935" w:rsidRPr="00140BF9" w:rsidRDefault="00D94935" w:rsidP="00D94935">
      <w:pPr>
        <w:pStyle w:val="AmdtsEntryHd"/>
        <w:rPr>
          <w:rFonts w:cs="Arial"/>
        </w:rPr>
      </w:pPr>
      <w:r w:rsidRPr="00140BF9">
        <w:rPr>
          <w:rFonts w:cs="Arial"/>
        </w:rPr>
        <w:t>Including defendants—identical interest in relief unnecessary</w:t>
      </w:r>
    </w:p>
    <w:p w14:paraId="748C30B5" w14:textId="77777777"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14:paraId="413583F8" w14:textId="77777777" w:rsidR="00D94935" w:rsidRPr="00140BF9" w:rsidRDefault="00D94935" w:rsidP="00D94935">
      <w:pPr>
        <w:pStyle w:val="AmdtsEntryHd"/>
        <w:rPr>
          <w:rFonts w:cs="Arial"/>
        </w:rPr>
      </w:pPr>
      <w:r w:rsidRPr="00140BF9">
        <w:rPr>
          <w:rFonts w:cs="Arial"/>
        </w:rPr>
        <w:t>Including parties inconveniently etc</w:t>
      </w:r>
    </w:p>
    <w:p w14:paraId="3D149071" w14:textId="77777777"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14:paraId="58F6269A" w14:textId="77777777" w:rsidR="00D94935" w:rsidRPr="00140BF9" w:rsidRDefault="00D94935" w:rsidP="00D94935">
      <w:pPr>
        <w:pStyle w:val="AmdtsEntryHd"/>
        <w:rPr>
          <w:rFonts w:cs="Arial"/>
        </w:rPr>
      </w:pPr>
      <w:r w:rsidRPr="00140BF9">
        <w:rPr>
          <w:rFonts w:cs="Arial"/>
        </w:rPr>
        <w:t>Including parties—parties incorrectly included or not included</w:t>
      </w:r>
    </w:p>
    <w:p w14:paraId="7633BCD5" w14:textId="77777777"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14:paraId="39E01DE2" w14:textId="77777777" w:rsidR="00D94935" w:rsidRPr="00140BF9" w:rsidRDefault="00D94935" w:rsidP="00D94935">
      <w:pPr>
        <w:pStyle w:val="AmdtsEntryHd"/>
        <w:rPr>
          <w:rFonts w:cs="Arial"/>
        </w:rPr>
      </w:pPr>
      <w:r w:rsidRPr="00140BF9">
        <w:rPr>
          <w:rFonts w:cs="Arial"/>
        </w:rPr>
        <w:t>Counterclaim or set-off when co-plaintiff wrongly included</w:t>
      </w:r>
    </w:p>
    <w:p w14:paraId="65E72D28" w14:textId="77777777"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14:paraId="70BC515D" w14:textId="77777777" w:rsidR="00D94935" w:rsidRPr="00140BF9" w:rsidRDefault="00D94935" w:rsidP="00D94935">
      <w:pPr>
        <w:pStyle w:val="AmdtsEntryHd"/>
        <w:rPr>
          <w:rFonts w:cs="Arial"/>
        </w:rPr>
      </w:pPr>
      <w:r w:rsidRPr="00140BF9">
        <w:rPr>
          <w:rFonts w:cs="Arial"/>
        </w:rPr>
        <w:t>Court may include party if appropriate or necessary</w:t>
      </w:r>
    </w:p>
    <w:p w14:paraId="038A43F7" w14:textId="77777777"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14:paraId="6A5E12D9" w14:textId="77777777" w:rsidR="00D94935" w:rsidRPr="00140BF9" w:rsidRDefault="00D94935" w:rsidP="00D94935">
      <w:pPr>
        <w:pStyle w:val="AmdtsEntryHd"/>
        <w:rPr>
          <w:rFonts w:cs="Arial"/>
        </w:rPr>
      </w:pPr>
      <w:r w:rsidRPr="00140BF9">
        <w:rPr>
          <w:rFonts w:cs="Arial"/>
        </w:rPr>
        <w:t>Plaintiffs may be included or substituted</w:t>
      </w:r>
    </w:p>
    <w:p w14:paraId="360610E9" w14:textId="77777777"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14:paraId="21C37AB6" w14:textId="77777777" w:rsidR="00D94935" w:rsidRPr="00140BF9" w:rsidRDefault="00D94935" w:rsidP="00D94935">
      <w:pPr>
        <w:pStyle w:val="AmdtsEntryHd"/>
        <w:rPr>
          <w:rFonts w:cs="Arial"/>
        </w:rPr>
      </w:pPr>
      <w:r w:rsidRPr="00140BF9">
        <w:rPr>
          <w:rFonts w:cs="Arial"/>
        </w:rPr>
        <w:t>Inclusion or substitution as plaintiff requires agreement</w:t>
      </w:r>
    </w:p>
    <w:p w14:paraId="63475734" w14:textId="77777777"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14:paraId="42E963D8" w14:textId="77777777" w:rsidR="00D94935" w:rsidRPr="00140BF9" w:rsidRDefault="00D94935" w:rsidP="00D94935">
      <w:pPr>
        <w:pStyle w:val="AmdtsEntryHd"/>
        <w:rPr>
          <w:rFonts w:cs="Arial"/>
        </w:rPr>
      </w:pPr>
      <w:r w:rsidRPr="00140BF9">
        <w:rPr>
          <w:rFonts w:cs="Arial"/>
        </w:rPr>
        <w:t>Including parties—procedure</w:t>
      </w:r>
    </w:p>
    <w:p w14:paraId="0EA83C46" w14:textId="77777777"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14:paraId="671D04FF" w14:textId="77777777" w:rsidR="00D94935" w:rsidRPr="00140BF9" w:rsidRDefault="00D94935" w:rsidP="00D94935">
      <w:pPr>
        <w:pStyle w:val="AmdtsEntryHd"/>
        <w:rPr>
          <w:rFonts w:cs="Arial"/>
        </w:rPr>
      </w:pPr>
      <w:r w:rsidRPr="00140BF9">
        <w:rPr>
          <w:rFonts w:cs="Arial"/>
        </w:rPr>
        <w:t>Including parties—inclusion to recover costs</w:t>
      </w:r>
    </w:p>
    <w:p w14:paraId="5F5593FC" w14:textId="77777777"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14:paraId="711B1338" w14:textId="77777777" w:rsidR="00D94935" w:rsidRPr="00140BF9" w:rsidRDefault="00D94935" w:rsidP="00D94935">
      <w:pPr>
        <w:pStyle w:val="AmdtsEntryHd"/>
        <w:rPr>
          <w:rFonts w:cs="Arial"/>
        </w:rPr>
      </w:pPr>
      <w:r w:rsidRPr="00140BF9">
        <w:rPr>
          <w:rFonts w:cs="Arial"/>
        </w:rPr>
        <w:t>Removing parties</w:t>
      </w:r>
    </w:p>
    <w:p w14:paraId="36BD4208" w14:textId="77777777"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14:paraId="159AFBF5" w14:textId="77777777" w:rsidR="00D94935" w:rsidRPr="00140BF9" w:rsidRDefault="00D94935" w:rsidP="00D94935">
      <w:pPr>
        <w:pStyle w:val="AmdtsEntryHd"/>
        <w:rPr>
          <w:rFonts w:cs="Arial"/>
        </w:rPr>
      </w:pPr>
      <w:r w:rsidRPr="00140BF9">
        <w:rPr>
          <w:rFonts w:cs="Arial"/>
        </w:rPr>
        <w:t>Party becomes bankrupt, dies or becomes person with mental disability</w:t>
      </w:r>
    </w:p>
    <w:p w14:paraId="75C0B1AE" w14:textId="77777777"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14:paraId="7C6D4B94" w14:textId="77777777" w:rsidR="00D94935" w:rsidRPr="00140BF9" w:rsidRDefault="00D94935" w:rsidP="00D94935">
      <w:pPr>
        <w:pStyle w:val="AmdtsEntryHd"/>
        <w:rPr>
          <w:rFonts w:cs="Arial"/>
        </w:rPr>
      </w:pPr>
      <w:r w:rsidRPr="00140BF9">
        <w:rPr>
          <w:rFonts w:cs="Arial"/>
        </w:rPr>
        <w:t>Amending or setting aside order for new party made on death etc of party</w:t>
      </w:r>
    </w:p>
    <w:p w14:paraId="07F97836" w14:textId="77777777"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14:paraId="08856472" w14:textId="77777777" w:rsidR="00D94935" w:rsidRPr="00140BF9" w:rsidRDefault="00D94935" w:rsidP="00D94935">
      <w:pPr>
        <w:pStyle w:val="AmdtsEntryHd"/>
        <w:rPr>
          <w:rFonts w:cs="Arial"/>
        </w:rPr>
      </w:pPr>
      <w:r w:rsidRPr="00140BF9">
        <w:rPr>
          <w:rFonts w:cs="Arial"/>
        </w:rPr>
        <w:t>Failure to proceed after death of party</w:t>
      </w:r>
    </w:p>
    <w:p w14:paraId="006B1F11" w14:textId="77777777"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14:paraId="289384C0" w14:textId="77777777" w:rsidR="00D94935" w:rsidRPr="00140BF9" w:rsidRDefault="00D94935" w:rsidP="00D94935">
      <w:pPr>
        <w:pStyle w:val="AmdtsEntryHd"/>
        <w:rPr>
          <w:rFonts w:cs="Arial"/>
        </w:rPr>
      </w:pPr>
      <w:r w:rsidRPr="00140BF9">
        <w:rPr>
          <w:rFonts w:cs="Arial"/>
        </w:rPr>
        <w:t>Included or substituted defendant—filing and service of amended originating process</w:t>
      </w:r>
    </w:p>
    <w:p w14:paraId="3E588EB8" w14:textId="77777777"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14:paraId="66680D6F" w14:textId="77777777" w:rsidR="00D94935" w:rsidRPr="00140BF9" w:rsidRDefault="00D94935" w:rsidP="00D94935">
      <w:pPr>
        <w:pStyle w:val="AmdtsEntryHd"/>
        <w:rPr>
          <w:rFonts w:cs="Arial"/>
        </w:rPr>
      </w:pPr>
      <w:r w:rsidRPr="00140BF9">
        <w:rPr>
          <w:rFonts w:cs="Arial"/>
        </w:rPr>
        <w:t>Included or substituted parties—date proceeding taken to start</w:t>
      </w:r>
    </w:p>
    <w:p w14:paraId="40D842BA" w14:textId="77777777"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14:paraId="4384A686" w14:textId="7B7F7983"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5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14:paraId="52F52B0F" w14:textId="77777777" w:rsidR="00D94935" w:rsidRPr="00140BF9" w:rsidRDefault="00D94935" w:rsidP="00D94935">
      <w:pPr>
        <w:pStyle w:val="AmdtsEntryHd"/>
        <w:rPr>
          <w:rFonts w:cs="Arial"/>
        </w:rPr>
      </w:pPr>
      <w:r w:rsidRPr="00140BF9">
        <w:rPr>
          <w:rFonts w:cs="Arial"/>
        </w:rPr>
        <w:lastRenderedPageBreak/>
        <w:t>Included or substituted parties—effect of action previously taken in proceeding</w:t>
      </w:r>
    </w:p>
    <w:p w14:paraId="2281CA20" w14:textId="77777777"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14:paraId="6833E1C6" w14:textId="77777777" w:rsidR="00D94935" w:rsidRPr="00140BF9" w:rsidRDefault="00D94935" w:rsidP="00D94935">
      <w:pPr>
        <w:pStyle w:val="AmdtsEntryHd"/>
        <w:rPr>
          <w:rFonts w:cs="Arial"/>
        </w:rPr>
      </w:pPr>
      <w:r w:rsidRPr="00140BF9">
        <w:rPr>
          <w:rFonts w:cs="Arial"/>
        </w:rPr>
        <w:t>Included or changed parties—other orders about future conduct of proceeding</w:t>
      </w:r>
    </w:p>
    <w:p w14:paraId="296952F4" w14:textId="77777777"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14:paraId="48A0354E" w14:textId="77777777" w:rsidR="00D94935" w:rsidRPr="00140BF9" w:rsidRDefault="00D94935" w:rsidP="00D94935">
      <w:pPr>
        <w:pStyle w:val="AmdtsEntryHd"/>
        <w:rPr>
          <w:rFonts w:cs="Arial"/>
        </w:rPr>
      </w:pPr>
      <w:r w:rsidRPr="00140BF9">
        <w:rPr>
          <w:rFonts w:cs="Arial"/>
        </w:rPr>
        <w:t>Representation in proceedings for personal injuries</w:t>
      </w:r>
    </w:p>
    <w:p w14:paraId="4529C2EF" w14:textId="2A2E2649"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5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6E281D3E" w14:textId="77777777" w:rsidR="00D94935" w:rsidRPr="00140BF9" w:rsidRDefault="00D94935" w:rsidP="00D94935">
      <w:pPr>
        <w:pStyle w:val="AmdtsEntryHd"/>
        <w:rPr>
          <w:rFonts w:cs="Arial"/>
        </w:rPr>
      </w:pPr>
      <w:r w:rsidRPr="00140BF9">
        <w:rPr>
          <w:rFonts w:cs="Arial"/>
        </w:rPr>
        <w:t>Separate representation of defendant for insurer’s period on risk</w:t>
      </w:r>
    </w:p>
    <w:p w14:paraId="13F6CC3C" w14:textId="027290B7"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55"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7E05E53F" w14:textId="77777777" w:rsidR="00D94935" w:rsidRPr="00140BF9" w:rsidRDefault="00D94935" w:rsidP="00D94935">
      <w:pPr>
        <w:pStyle w:val="AmdtsEntryHd"/>
        <w:rPr>
          <w:rFonts w:cs="Arial"/>
        </w:rPr>
      </w:pPr>
      <w:r w:rsidRPr="00140BF9">
        <w:rPr>
          <w:rFonts w:cs="Arial"/>
        </w:rPr>
        <w:t>One proceeding for benefit of members of deceased person’s family</w:t>
      </w:r>
    </w:p>
    <w:p w14:paraId="43389EB8" w14:textId="77777777"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14:paraId="6E2DC3FF" w14:textId="77777777" w:rsidR="00D94935" w:rsidRPr="00140BF9" w:rsidRDefault="00D94935" w:rsidP="00D94935">
      <w:pPr>
        <w:pStyle w:val="AmdtsEntryHd"/>
        <w:rPr>
          <w:rFonts w:cs="Arial"/>
        </w:rPr>
      </w:pPr>
      <w:r w:rsidRPr="00140BF9">
        <w:rPr>
          <w:rFonts w:cs="Arial"/>
        </w:rPr>
        <w:t>Orders in proceedings for compensation to relatives in death claims</w:t>
      </w:r>
    </w:p>
    <w:p w14:paraId="6CC4EE97" w14:textId="77777777"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14:paraId="5A0218DB" w14:textId="77777777" w:rsidR="00D94935" w:rsidRPr="00140BF9" w:rsidRDefault="00D94935" w:rsidP="00D94935">
      <w:pPr>
        <w:pStyle w:val="AmdtsEntryHd"/>
        <w:rPr>
          <w:rFonts w:cs="Arial"/>
        </w:rPr>
      </w:pPr>
      <w:r w:rsidRPr="00140BF9">
        <w:rPr>
          <w:rFonts w:cs="Arial"/>
        </w:rPr>
        <w:t>Representation—by trustees and personal representatives</w:t>
      </w:r>
    </w:p>
    <w:p w14:paraId="1D806918" w14:textId="77777777"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14:paraId="624C87E5" w14:textId="77777777" w:rsidR="00D94935" w:rsidRPr="00140BF9" w:rsidRDefault="00D94935" w:rsidP="00D94935">
      <w:pPr>
        <w:pStyle w:val="AmdtsEntryHd"/>
        <w:rPr>
          <w:rFonts w:cs="Arial"/>
        </w:rPr>
      </w:pPr>
      <w:r w:rsidRPr="00140BF9">
        <w:rPr>
          <w:rFonts w:cs="Arial"/>
        </w:rPr>
        <w:t>Representation—trustees and personal representatives must be parties</w:t>
      </w:r>
    </w:p>
    <w:p w14:paraId="2D0655A7" w14:textId="77777777"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14:paraId="6710AC00" w14:textId="77777777" w:rsidR="00D94935" w:rsidRPr="00140BF9" w:rsidRDefault="00D94935" w:rsidP="00D94935">
      <w:pPr>
        <w:pStyle w:val="AmdtsEntryHd"/>
        <w:rPr>
          <w:rFonts w:cs="Arial"/>
        </w:rPr>
      </w:pPr>
      <w:r w:rsidRPr="00140BF9">
        <w:rPr>
          <w:rFonts w:cs="Arial"/>
        </w:rPr>
        <w:t>Representation—beneficiaries and claimants</w:t>
      </w:r>
    </w:p>
    <w:p w14:paraId="05A36F05" w14:textId="77777777"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14:paraId="69E6BF52" w14:textId="77777777"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14:paraId="5446A8F2" w14:textId="77777777"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14:paraId="35CC24EE" w14:textId="77777777" w:rsidR="00D94935" w:rsidRPr="00140BF9" w:rsidRDefault="00D94935" w:rsidP="00D94935">
      <w:pPr>
        <w:pStyle w:val="AmdtsEntryHd"/>
        <w:rPr>
          <w:rFonts w:cs="Arial"/>
        </w:rPr>
      </w:pPr>
      <w:r w:rsidRPr="00140BF9">
        <w:rPr>
          <w:rFonts w:cs="Arial"/>
        </w:rPr>
        <w:t>Representation—orders bind represented people in estate or trust proceeding</w:t>
      </w:r>
    </w:p>
    <w:p w14:paraId="73B19034" w14:textId="77777777"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14:paraId="7DF6219C" w14:textId="77777777" w:rsidR="00D94935" w:rsidRPr="00140BF9" w:rsidRDefault="00D94935" w:rsidP="00D94935">
      <w:pPr>
        <w:pStyle w:val="AmdtsEntryHd"/>
        <w:rPr>
          <w:rFonts w:cs="Arial"/>
        </w:rPr>
      </w:pPr>
      <w:r w:rsidRPr="00140BF9">
        <w:rPr>
          <w:rFonts w:cs="Arial"/>
        </w:rPr>
        <w:t>Representation—interests of deceased person’s estate</w:t>
      </w:r>
    </w:p>
    <w:p w14:paraId="66744E49" w14:textId="77777777"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14:paraId="16EC4706" w14:textId="77777777" w:rsidR="00D94935" w:rsidRPr="00140BF9" w:rsidRDefault="00D94935" w:rsidP="00D94935">
      <w:pPr>
        <w:pStyle w:val="AmdtsEntryHd"/>
        <w:rPr>
          <w:rFonts w:cs="Arial"/>
        </w:rPr>
      </w:pPr>
      <w:r w:rsidRPr="00140BF9">
        <w:rPr>
          <w:rFonts w:cs="Arial"/>
        </w:rPr>
        <w:t>Application—div 2.4.7</w:t>
      </w:r>
    </w:p>
    <w:p w14:paraId="016D785E" w14:textId="77777777"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14:paraId="5FAF50B0" w14:textId="77777777" w:rsidR="00D94935" w:rsidRPr="00140BF9" w:rsidRDefault="00D94935" w:rsidP="00D94935">
      <w:pPr>
        <w:pStyle w:val="AmdtsEntryHd"/>
        <w:rPr>
          <w:rFonts w:cs="Arial"/>
        </w:rPr>
      </w:pPr>
      <w:r w:rsidRPr="00140BF9">
        <w:rPr>
          <w:rFonts w:cs="Arial"/>
        </w:rPr>
        <w:t>Representation—numerous concurrent interests</w:t>
      </w:r>
    </w:p>
    <w:p w14:paraId="63B76606" w14:textId="77777777"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14:paraId="0DD1E3AD" w14:textId="77777777" w:rsidR="00D94935" w:rsidRPr="00140BF9" w:rsidRDefault="00D94935" w:rsidP="00D94935">
      <w:pPr>
        <w:pStyle w:val="AmdtsEntryHd"/>
        <w:rPr>
          <w:rFonts w:cs="Arial"/>
        </w:rPr>
      </w:pPr>
      <w:r w:rsidRPr="00140BF9">
        <w:rPr>
          <w:rFonts w:cs="Arial"/>
        </w:rPr>
        <w:t>Orders in div 2.4.7 proceeding bind represented people</w:t>
      </w:r>
    </w:p>
    <w:p w14:paraId="4818221D" w14:textId="77777777"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14:paraId="60E18A33" w14:textId="77777777" w:rsidR="00D94935" w:rsidRPr="00140BF9" w:rsidRDefault="00D94935" w:rsidP="00D94935">
      <w:pPr>
        <w:pStyle w:val="AmdtsEntryHd"/>
        <w:rPr>
          <w:rFonts w:cs="Arial"/>
        </w:rPr>
      </w:pPr>
      <w:r w:rsidRPr="00140BF9">
        <w:rPr>
          <w:rFonts w:cs="Arial"/>
        </w:rPr>
        <w:t>Consolidation etc of proceedings</w:t>
      </w:r>
    </w:p>
    <w:p w14:paraId="477FB44C" w14:textId="77777777"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14:paraId="0934A56C" w14:textId="77777777" w:rsidR="00D94935" w:rsidRPr="00140BF9" w:rsidRDefault="00D94935" w:rsidP="000D1383">
      <w:pPr>
        <w:pStyle w:val="AmdtsEntryHd"/>
        <w:rPr>
          <w:rFonts w:cs="Arial"/>
        </w:rPr>
      </w:pPr>
      <w:r w:rsidRPr="00140BF9">
        <w:rPr>
          <w:rFonts w:cs="Arial"/>
        </w:rPr>
        <w:lastRenderedPageBreak/>
        <w:t>Person with legal disability—litigation guardian to start proceeding etc</w:t>
      </w:r>
    </w:p>
    <w:p w14:paraId="43BAE398" w14:textId="77777777" w:rsidR="00D94935" w:rsidRPr="00140BF9" w:rsidRDefault="00D94935" w:rsidP="000D1383">
      <w:pPr>
        <w:pStyle w:val="AmdtsEntries"/>
        <w:keepNext/>
        <w:rPr>
          <w:rFonts w:cs="Arial"/>
        </w:rPr>
      </w:pPr>
      <w:r w:rsidRPr="00140BF9">
        <w:rPr>
          <w:rFonts w:cs="Arial"/>
        </w:rPr>
        <w:t>r 275 hdg</w:t>
      </w:r>
      <w:r w:rsidRPr="00140BF9">
        <w:rPr>
          <w:rFonts w:eastAsiaTheme="minorEastAsia" w:cs="Arial"/>
          <w:szCs w:val="22"/>
          <w:lang w:eastAsia="en-AU"/>
        </w:rPr>
        <w:tab/>
        <w:t>bracketed note om R29 LA</w:t>
      </w:r>
    </w:p>
    <w:p w14:paraId="73BA235E" w14:textId="5B4356F7"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56"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14:paraId="46EBD598" w14:textId="77777777" w:rsidR="00D94935" w:rsidRPr="00140BF9" w:rsidRDefault="00D94935" w:rsidP="00D94935">
      <w:pPr>
        <w:pStyle w:val="AmdtsEntryHd"/>
        <w:rPr>
          <w:rFonts w:cs="Arial"/>
        </w:rPr>
      </w:pPr>
      <w:r w:rsidRPr="00140BF9">
        <w:rPr>
          <w:rFonts w:cs="Arial"/>
        </w:rPr>
        <w:t>Who may be litigation guardian</w:t>
      </w:r>
    </w:p>
    <w:p w14:paraId="606DF937" w14:textId="77777777"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14:paraId="75FE9A61" w14:textId="626234CA" w:rsidR="00D94935" w:rsidRPr="00A95850" w:rsidRDefault="00D94935" w:rsidP="00D94935">
      <w:pPr>
        <w:pStyle w:val="AmdtsEntries"/>
      </w:pPr>
      <w:r w:rsidRPr="00140BF9">
        <w:rPr>
          <w:rFonts w:cs="Arial"/>
        </w:rPr>
        <w:t>r 276</w:t>
      </w:r>
      <w:r w:rsidRPr="00140BF9">
        <w:rPr>
          <w:rFonts w:cs="Arial"/>
        </w:rPr>
        <w:tab/>
        <w:t xml:space="preserve">am </w:t>
      </w:r>
      <w:hyperlink r:id="rId13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58"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59"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14:paraId="43756E8E" w14:textId="77777777" w:rsidR="00D94935" w:rsidRPr="00140BF9" w:rsidRDefault="00D94935" w:rsidP="00D94935">
      <w:pPr>
        <w:pStyle w:val="AmdtsEntryHd"/>
        <w:rPr>
          <w:rFonts w:cs="Arial"/>
        </w:rPr>
      </w:pPr>
      <w:r w:rsidRPr="00140BF9">
        <w:rPr>
          <w:rFonts w:cs="Arial"/>
        </w:rPr>
        <w:t>Litigation guardian—liability for costs</w:t>
      </w:r>
    </w:p>
    <w:p w14:paraId="0B1F060C" w14:textId="77777777"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14:paraId="4037A046" w14:textId="77777777" w:rsidR="00D94935" w:rsidRPr="00140BF9" w:rsidRDefault="00D94935" w:rsidP="00D94935">
      <w:pPr>
        <w:pStyle w:val="AmdtsEntryHd"/>
        <w:rPr>
          <w:rFonts w:cs="Arial"/>
        </w:rPr>
      </w:pPr>
      <w:r w:rsidRPr="00140BF9">
        <w:rPr>
          <w:rFonts w:cs="Arial"/>
        </w:rPr>
        <w:t>Becoming a litigation guardian</w:t>
      </w:r>
    </w:p>
    <w:p w14:paraId="310C73D3" w14:textId="77777777"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14:paraId="45C429B0" w14:textId="77777777" w:rsidR="00D94935" w:rsidRPr="00140BF9" w:rsidRDefault="00D94935" w:rsidP="00D94935">
      <w:pPr>
        <w:pStyle w:val="AmdtsEntryHd"/>
        <w:rPr>
          <w:rFonts w:cs="Arial"/>
        </w:rPr>
      </w:pPr>
      <w:r w:rsidRPr="00140BF9">
        <w:rPr>
          <w:rFonts w:cs="Arial"/>
        </w:rPr>
        <w:t>Person with legal disability—effect of no notice of intention to respond or defence</w:t>
      </w:r>
    </w:p>
    <w:p w14:paraId="11801C15" w14:textId="77777777"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14:paraId="7AC20E9E" w14:textId="77777777" w:rsidR="00D94935" w:rsidRPr="00140BF9" w:rsidRDefault="00D94935" w:rsidP="00D94935">
      <w:pPr>
        <w:pStyle w:val="AmdtsEntryHd"/>
        <w:rPr>
          <w:rFonts w:cs="Arial"/>
        </w:rPr>
      </w:pPr>
      <w:r w:rsidRPr="00140BF9">
        <w:rPr>
          <w:rFonts w:cs="Arial"/>
        </w:rPr>
        <w:t>Litigation guardian—appointment and removal by court</w:t>
      </w:r>
    </w:p>
    <w:p w14:paraId="01B7BE0F" w14:textId="77777777"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14:paraId="01030644" w14:textId="77777777" w:rsidR="00D94935" w:rsidRPr="00140BF9" w:rsidRDefault="00D94935" w:rsidP="00D94935">
      <w:pPr>
        <w:pStyle w:val="AmdtsEntryHd"/>
        <w:rPr>
          <w:rFonts w:cs="Arial"/>
        </w:rPr>
      </w:pPr>
      <w:r w:rsidRPr="00140BF9">
        <w:rPr>
          <w:rFonts w:cs="Arial"/>
        </w:rPr>
        <w:t>Litigation guardian—accounts</w:t>
      </w:r>
    </w:p>
    <w:p w14:paraId="6C1416C0" w14:textId="77777777"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14:paraId="59B9AF7D" w14:textId="77777777" w:rsidR="00D94935" w:rsidRPr="00140BF9" w:rsidRDefault="00D94935" w:rsidP="00D94935">
      <w:pPr>
        <w:pStyle w:val="AmdtsEntryHd"/>
        <w:rPr>
          <w:rFonts w:cs="Arial"/>
        </w:rPr>
      </w:pPr>
      <w:r w:rsidRPr="00140BF9">
        <w:rPr>
          <w:rFonts w:cs="Arial"/>
        </w:rPr>
        <w:t>Person with legal disability—approval of settlement etc</w:t>
      </w:r>
    </w:p>
    <w:p w14:paraId="438E4339" w14:textId="77777777"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14:paraId="43B5C25D" w14:textId="6C73AC65"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6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14:paraId="2EEE4FC4" w14:textId="7D95BEBC" w:rsidR="00D94935" w:rsidRPr="00140BF9" w:rsidRDefault="00D94935" w:rsidP="00D94935">
      <w:pPr>
        <w:pStyle w:val="AmdtsEntries"/>
        <w:rPr>
          <w:rFonts w:cs="Arial"/>
        </w:rPr>
      </w:pPr>
      <w:r w:rsidRPr="00140BF9">
        <w:rPr>
          <w:rFonts w:cs="Arial"/>
        </w:rPr>
        <w:tab/>
        <w:t xml:space="preserve">am </w:t>
      </w:r>
      <w:hyperlink r:id="rId136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14:paraId="0776CDD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14:paraId="73C3C7C9" w14:textId="77777777"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14:paraId="38D44E93" w14:textId="77777777" w:rsidR="00D94935" w:rsidRPr="00140BF9" w:rsidRDefault="00D94935" w:rsidP="00D94935">
      <w:pPr>
        <w:pStyle w:val="AmdtsEntryHd"/>
        <w:rPr>
          <w:rFonts w:cs="Arial"/>
        </w:rPr>
      </w:pPr>
      <w:r w:rsidRPr="00140BF9">
        <w:rPr>
          <w:rFonts w:cs="Arial"/>
        </w:rPr>
        <w:t>Proceeding in partnership name</w:t>
      </w:r>
    </w:p>
    <w:p w14:paraId="43D72E40" w14:textId="77777777"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14:paraId="311626B7" w14:textId="77777777" w:rsidR="00D94935" w:rsidRPr="00140BF9" w:rsidRDefault="00D94935" w:rsidP="00D94935">
      <w:pPr>
        <w:pStyle w:val="AmdtsEntryHd"/>
        <w:rPr>
          <w:rFonts w:cs="Arial"/>
        </w:rPr>
      </w:pPr>
      <w:r w:rsidRPr="00140BF9">
        <w:rPr>
          <w:rFonts w:cs="Arial"/>
        </w:rPr>
        <w:t>Disclosure of partners’ names</w:t>
      </w:r>
    </w:p>
    <w:p w14:paraId="39D80FAD" w14:textId="77777777"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14:paraId="30DE277B" w14:textId="77777777" w:rsidR="00D94935" w:rsidRPr="00140BF9" w:rsidRDefault="00D94935" w:rsidP="00D94935">
      <w:pPr>
        <w:pStyle w:val="AmdtsEntryHd"/>
        <w:rPr>
          <w:rFonts w:cs="Arial"/>
        </w:rPr>
      </w:pPr>
      <w:r w:rsidRPr="00140BF9">
        <w:rPr>
          <w:rFonts w:cs="Arial"/>
        </w:rPr>
        <w:t>Proceeding in registered business name</w:t>
      </w:r>
    </w:p>
    <w:p w14:paraId="559D6609" w14:textId="77777777"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14:paraId="126044A2" w14:textId="7EA353C2"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6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1235BAC5" w14:textId="77777777" w:rsidR="00D94935" w:rsidRPr="00140BF9" w:rsidRDefault="00D94935" w:rsidP="00D94935">
      <w:pPr>
        <w:pStyle w:val="AmdtsEntryHd"/>
        <w:rPr>
          <w:rFonts w:cs="Arial"/>
        </w:rPr>
      </w:pPr>
      <w:r w:rsidRPr="00140BF9">
        <w:rPr>
          <w:rFonts w:cs="Arial"/>
        </w:rPr>
        <w:t>Proceeding in business name if unregistered etc</w:t>
      </w:r>
    </w:p>
    <w:p w14:paraId="324AC8B8" w14:textId="77777777"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14:paraId="7A031AAC" w14:textId="28BE0D07"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6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642344E6" w14:textId="77777777" w:rsidR="00D94935" w:rsidRPr="00140BF9" w:rsidRDefault="00D94935" w:rsidP="00D94935">
      <w:pPr>
        <w:pStyle w:val="AmdtsEntryHd"/>
        <w:rPr>
          <w:rFonts w:cs="Arial"/>
        </w:rPr>
      </w:pPr>
      <w:r w:rsidRPr="00140BF9">
        <w:rPr>
          <w:rFonts w:cs="Arial"/>
        </w:rPr>
        <w:t>Business names—amendment about parties</w:t>
      </w:r>
    </w:p>
    <w:p w14:paraId="381714AE" w14:textId="77777777"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14:paraId="68812AFB" w14:textId="7BD30A2A"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6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3E5ABBDF" w14:textId="77777777" w:rsidR="00D94935" w:rsidRPr="00140BF9" w:rsidRDefault="00D94935" w:rsidP="00D94935">
      <w:pPr>
        <w:pStyle w:val="AmdtsEntryHd"/>
        <w:rPr>
          <w:rFonts w:cs="Arial"/>
        </w:rPr>
      </w:pPr>
      <w:r w:rsidRPr="00140BF9">
        <w:rPr>
          <w:rFonts w:cs="Arial"/>
        </w:rPr>
        <w:t>Purpose—pt 2.5</w:t>
      </w:r>
    </w:p>
    <w:p w14:paraId="39E627F0" w14:textId="77777777"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14:paraId="4D96F86E" w14:textId="77777777" w:rsidR="00D94935" w:rsidRPr="00140BF9" w:rsidRDefault="00D94935" w:rsidP="00D94935">
      <w:pPr>
        <w:pStyle w:val="AmdtsEntryHd"/>
        <w:rPr>
          <w:rFonts w:cs="Arial"/>
        </w:rPr>
      </w:pPr>
      <w:r w:rsidRPr="00140BF9">
        <w:rPr>
          <w:rFonts w:cs="Arial"/>
        </w:rPr>
        <w:lastRenderedPageBreak/>
        <w:t>When a third-party proceeding starts</w:t>
      </w:r>
    </w:p>
    <w:p w14:paraId="33C5706C" w14:textId="77777777"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14:paraId="3876BE9E" w14:textId="77777777" w:rsidR="00D94935" w:rsidRPr="00140BF9" w:rsidRDefault="00D94935" w:rsidP="00D94935">
      <w:pPr>
        <w:pStyle w:val="AmdtsEntryHd"/>
        <w:rPr>
          <w:rFonts w:cs="Arial"/>
        </w:rPr>
      </w:pPr>
      <w:r w:rsidRPr="00140BF9">
        <w:rPr>
          <w:rFonts w:cs="Arial"/>
        </w:rPr>
        <w:t>Third-party proceeding—when available</w:t>
      </w:r>
    </w:p>
    <w:p w14:paraId="3E7B9601" w14:textId="77777777"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14:paraId="26367FB4" w14:textId="77777777" w:rsidR="00D94935" w:rsidRPr="00140BF9" w:rsidRDefault="00D94935" w:rsidP="00D94935">
      <w:pPr>
        <w:pStyle w:val="AmdtsEntryHd"/>
        <w:rPr>
          <w:rFonts w:cs="Arial"/>
        </w:rPr>
      </w:pPr>
      <w:r w:rsidRPr="00140BF9">
        <w:rPr>
          <w:rFonts w:cs="Arial"/>
        </w:rPr>
        <w:t>Third-party notice—content etc</w:t>
      </w:r>
    </w:p>
    <w:p w14:paraId="13CDDFFB" w14:textId="77777777"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14:paraId="6B66828B" w14:textId="48411D1A" w:rsidR="00626250" w:rsidRPr="00140BF9" w:rsidRDefault="00626250" w:rsidP="00626250">
      <w:pPr>
        <w:pStyle w:val="AmdtsEntries"/>
        <w:rPr>
          <w:rFonts w:cs="Arial"/>
        </w:rPr>
      </w:pPr>
      <w:r>
        <w:rPr>
          <w:rFonts w:eastAsiaTheme="minorEastAsia" w:cs="Arial"/>
          <w:szCs w:val="22"/>
          <w:lang w:eastAsia="en-AU"/>
        </w:rPr>
        <w:t>r 303</w:t>
      </w:r>
      <w:r>
        <w:rPr>
          <w:rFonts w:eastAsiaTheme="minorEastAsia" w:cs="Arial"/>
          <w:szCs w:val="22"/>
          <w:lang w:eastAsia="en-AU"/>
        </w:rPr>
        <w:tab/>
        <w:t xml:space="preserve">am </w:t>
      </w:r>
      <w:hyperlink r:id="rId1365"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12-14</w:t>
      </w:r>
    </w:p>
    <w:p w14:paraId="5C164D84" w14:textId="77777777"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14:paraId="5EA896AB" w14:textId="77777777"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14:paraId="04A91689" w14:textId="77777777" w:rsidR="00D94935" w:rsidRPr="00140BF9" w:rsidRDefault="00D94935" w:rsidP="00D94935">
      <w:pPr>
        <w:pStyle w:val="AmdtsEntryHd"/>
        <w:rPr>
          <w:rFonts w:cs="Arial"/>
        </w:rPr>
      </w:pPr>
      <w:r w:rsidRPr="00140BF9">
        <w:rPr>
          <w:rFonts w:cs="Arial"/>
          <w:lang w:val="en-US"/>
        </w:rPr>
        <w:t>Third-party notice—statement of claim for certain personal injury claims</w:t>
      </w:r>
    </w:p>
    <w:p w14:paraId="65D23546" w14:textId="77777777"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14:paraId="4C529E6A" w14:textId="77777777" w:rsidR="00D94935" w:rsidRPr="00140BF9" w:rsidRDefault="00D94935" w:rsidP="00D94935">
      <w:pPr>
        <w:pStyle w:val="AmdtsEntryHd"/>
        <w:rPr>
          <w:rFonts w:cs="Arial"/>
        </w:rPr>
      </w:pPr>
      <w:r w:rsidRPr="00140BF9">
        <w:rPr>
          <w:rFonts w:cs="Arial"/>
        </w:rPr>
        <w:t>Third-party notice—filing</w:t>
      </w:r>
    </w:p>
    <w:p w14:paraId="18941623" w14:textId="77777777"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14:paraId="25AC62BA" w14:textId="22046B34" w:rsidR="00626250" w:rsidRDefault="00626250" w:rsidP="00D94935">
      <w:pPr>
        <w:pStyle w:val="AmdtsEntryHd"/>
      </w:pPr>
      <w:r>
        <w:t>Third-party notice—sealing</w:t>
      </w:r>
    </w:p>
    <w:p w14:paraId="6B3C39B9" w14:textId="601AE724" w:rsidR="00626250" w:rsidRPr="00626250" w:rsidRDefault="00626250" w:rsidP="00626250">
      <w:pPr>
        <w:pStyle w:val="AmdtsEntries"/>
      </w:pPr>
      <w:r>
        <w:t>r 307</w:t>
      </w:r>
      <w:r>
        <w:tab/>
      </w:r>
      <w:r>
        <w:rPr>
          <w:rFonts w:eastAsiaTheme="minorEastAsia" w:cs="Arial"/>
          <w:szCs w:val="22"/>
          <w:lang w:eastAsia="en-AU"/>
        </w:rPr>
        <w:t xml:space="preserve">am </w:t>
      </w:r>
      <w:hyperlink r:id="rId1366"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15</w:t>
      </w:r>
    </w:p>
    <w:p w14:paraId="0421F717" w14:textId="34AE818A" w:rsidR="00D94935" w:rsidRPr="00140BF9" w:rsidRDefault="00D94935" w:rsidP="00D94935">
      <w:pPr>
        <w:pStyle w:val="AmdtsEntryHd"/>
        <w:rPr>
          <w:rFonts w:cs="Arial"/>
        </w:rPr>
      </w:pPr>
      <w:r w:rsidRPr="00140BF9">
        <w:rPr>
          <w:rFonts w:cs="Arial"/>
        </w:rPr>
        <w:t>Third-party notice—service</w:t>
      </w:r>
    </w:p>
    <w:p w14:paraId="2610CD94" w14:textId="77777777"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14:paraId="51DC95E5" w14:textId="55B993FA" w:rsidR="00B94513" w:rsidRPr="00626250" w:rsidRDefault="00B94513" w:rsidP="00B94513">
      <w:pPr>
        <w:pStyle w:val="AmdtsEntries"/>
      </w:pPr>
      <w:r>
        <w:t>r 308</w:t>
      </w:r>
      <w:r>
        <w:tab/>
      </w:r>
      <w:r>
        <w:rPr>
          <w:rFonts w:eastAsiaTheme="minorEastAsia" w:cs="Arial"/>
          <w:szCs w:val="22"/>
          <w:lang w:eastAsia="en-AU"/>
        </w:rPr>
        <w:t xml:space="preserve">am </w:t>
      </w:r>
      <w:hyperlink r:id="rId1367"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16</w:t>
      </w:r>
    </w:p>
    <w:p w14:paraId="6DAB5E49" w14:textId="77777777" w:rsidR="00D94935" w:rsidRPr="00140BF9" w:rsidRDefault="00D94935" w:rsidP="00D94935">
      <w:pPr>
        <w:pStyle w:val="AmdtsEntryHd"/>
        <w:rPr>
          <w:rFonts w:cs="Arial"/>
        </w:rPr>
      </w:pPr>
      <w:r w:rsidRPr="00140BF9">
        <w:rPr>
          <w:rFonts w:cs="Arial"/>
        </w:rPr>
        <w:t>Third-party notice—effect of service on third party</w:t>
      </w:r>
    </w:p>
    <w:p w14:paraId="624D0736" w14:textId="77777777"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14:paraId="401A83A6" w14:textId="77777777" w:rsidR="00D94935" w:rsidRPr="00140BF9" w:rsidRDefault="00D94935" w:rsidP="00D94935">
      <w:pPr>
        <w:pStyle w:val="AmdtsEntryHd"/>
        <w:rPr>
          <w:rFonts w:cs="Arial"/>
        </w:rPr>
      </w:pPr>
      <w:r w:rsidRPr="00140BF9">
        <w:rPr>
          <w:rFonts w:cs="Arial"/>
        </w:rPr>
        <w:t>Third-party notice—setting aside</w:t>
      </w:r>
    </w:p>
    <w:p w14:paraId="543959C2" w14:textId="77777777"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14:paraId="37355B3E" w14:textId="77777777" w:rsidR="00D94935" w:rsidRPr="00140BF9" w:rsidRDefault="00D94935" w:rsidP="00D94935">
      <w:pPr>
        <w:pStyle w:val="AmdtsEntryHd"/>
        <w:rPr>
          <w:rFonts w:cs="Arial"/>
        </w:rPr>
      </w:pPr>
      <w:r w:rsidRPr="00140BF9">
        <w:rPr>
          <w:rFonts w:cs="Arial"/>
        </w:rPr>
        <w:t>Third-party notice—notice of intention to respond and defence</w:t>
      </w:r>
    </w:p>
    <w:p w14:paraId="14FA255B" w14:textId="77777777"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14:paraId="5B77C0A4" w14:textId="77777777" w:rsidR="00D94935" w:rsidRPr="00140BF9" w:rsidRDefault="00D94935" w:rsidP="00D94935">
      <w:pPr>
        <w:pStyle w:val="AmdtsEntryHd"/>
        <w:rPr>
          <w:rFonts w:cs="Arial"/>
        </w:rPr>
      </w:pPr>
      <w:r w:rsidRPr="00140BF9">
        <w:rPr>
          <w:rFonts w:cs="Arial"/>
        </w:rPr>
        <w:t>Service of pleadings after filing of third-party notice</w:t>
      </w:r>
    </w:p>
    <w:p w14:paraId="1C263058" w14:textId="77777777"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14:paraId="00194E81" w14:textId="77777777" w:rsidR="00D94935" w:rsidRPr="00140BF9" w:rsidRDefault="00D94935" w:rsidP="00D94935">
      <w:pPr>
        <w:pStyle w:val="AmdtsEntryHd"/>
        <w:rPr>
          <w:rFonts w:cs="Arial"/>
        </w:rPr>
      </w:pPr>
      <w:r w:rsidRPr="00140BF9">
        <w:rPr>
          <w:rFonts w:cs="Arial"/>
        </w:rPr>
        <w:t>Counterclaim by third party</w:t>
      </w:r>
    </w:p>
    <w:p w14:paraId="65E5569F" w14:textId="77777777"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14:paraId="2A38EE9A" w14:textId="77777777" w:rsidR="00D94935" w:rsidRPr="00140BF9" w:rsidRDefault="00D94935" w:rsidP="00D94935">
      <w:pPr>
        <w:pStyle w:val="AmdtsEntryHd"/>
        <w:rPr>
          <w:rFonts w:cs="Arial"/>
        </w:rPr>
      </w:pPr>
      <w:r w:rsidRPr="00140BF9">
        <w:rPr>
          <w:rFonts w:cs="Arial"/>
        </w:rPr>
        <w:t>Third-party notice—default by third party</w:t>
      </w:r>
    </w:p>
    <w:p w14:paraId="65264D14" w14:textId="77777777"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14:paraId="0967EEE1" w14:textId="77777777" w:rsidR="00D94935" w:rsidRPr="00140BF9" w:rsidRDefault="00D94935" w:rsidP="00D94935">
      <w:pPr>
        <w:pStyle w:val="AmdtsEntryHd"/>
        <w:rPr>
          <w:rFonts w:cs="Arial"/>
        </w:rPr>
      </w:pPr>
      <w:r w:rsidRPr="00140BF9">
        <w:rPr>
          <w:rFonts w:cs="Arial"/>
        </w:rPr>
        <w:t>Third parties—disclosure</w:t>
      </w:r>
    </w:p>
    <w:p w14:paraId="7343F5D1" w14:textId="77777777"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14:paraId="113A4917" w14:textId="77777777" w:rsidR="00D94935" w:rsidRPr="00140BF9" w:rsidRDefault="00D94935" w:rsidP="00D94935">
      <w:pPr>
        <w:pStyle w:val="AmdtsEntryHd"/>
        <w:rPr>
          <w:rFonts w:cs="Arial"/>
        </w:rPr>
      </w:pPr>
      <w:r w:rsidRPr="00140BF9">
        <w:rPr>
          <w:rFonts w:cs="Arial"/>
        </w:rPr>
        <w:t>Third-party notice—hearing</w:t>
      </w:r>
    </w:p>
    <w:p w14:paraId="0412BC12" w14:textId="77777777"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14:paraId="5DC5A14E" w14:textId="77777777" w:rsidR="00D94935" w:rsidRPr="00140BF9" w:rsidRDefault="00D94935" w:rsidP="00D94935">
      <w:pPr>
        <w:pStyle w:val="AmdtsEntryHd"/>
        <w:rPr>
          <w:rFonts w:cs="Arial"/>
        </w:rPr>
      </w:pPr>
      <w:r w:rsidRPr="00140BF9">
        <w:rPr>
          <w:rFonts w:cs="Arial"/>
        </w:rPr>
        <w:t>Third party—extent bound by judgment between plaintiff and defendant</w:t>
      </w:r>
    </w:p>
    <w:p w14:paraId="01CA11F8" w14:textId="77777777"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14:paraId="40200866" w14:textId="77777777" w:rsidR="00D94935" w:rsidRPr="00140BF9" w:rsidRDefault="00D94935" w:rsidP="00D94935">
      <w:pPr>
        <w:pStyle w:val="AmdtsEntryHd"/>
        <w:rPr>
          <w:rFonts w:cs="Arial"/>
        </w:rPr>
      </w:pPr>
      <w:r w:rsidRPr="00140BF9">
        <w:rPr>
          <w:rFonts w:cs="Arial"/>
        </w:rPr>
        <w:lastRenderedPageBreak/>
        <w:t>Third-party notice—judgment between defendant and third party</w:t>
      </w:r>
    </w:p>
    <w:p w14:paraId="27EEF877" w14:textId="77777777"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14:paraId="15BEBBAF" w14:textId="77777777" w:rsidR="00D94935" w:rsidRPr="00140BF9" w:rsidRDefault="00D94935" w:rsidP="00D94935">
      <w:pPr>
        <w:pStyle w:val="AmdtsEntryHd"/>
        <w:rPr>
          <w:rFonts w:cs="Arial"/>
        </w:rPr>
      </w:pPr>
      <w:r w:rsidRPr="00140BF9">
        <w:rPr>
          <w:rFonts w:cs="Arial"/>
        </w:rPr>
        <w:t>Notice claiming contribution or indemnity against another party</w:t>
      </w:r>
    </w:p>
    <w:p w14:paraId="5132E2DE" w14:textId="7021673C"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6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14:paraId="283644A1"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44F39022" w14:textId="3D4BAD10"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6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14:paraId="4EED324E" w14:textId="77777777" w:rsidR="00D94935" w:rsidRPr="00140BF9" w:rsidRDefault="00D94935" w:rsidP="00D94935">
      <w:pPr>
        <w:pStyle w:val="AmdtsEntryHd"/>
        <w:rPr>
          <w:rFonts w:cs="Arial"/>
        </w:rPr>
      </w:pPr>
      <w:r w:rsidRPr="00140BF9">
        <w:rPr>
          <w:rFonts w:cs="Arial"/>
        </w:rPr>
        <w:t>Notice claiming contribution or indemnity—filing and service etc</w:t>
      </w:r>
    </w:p>
    <w:p w14:paraId="7CAFBEE3" w14:textId="77777777"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14:paraId="7D3B0186" w14:textId="46D41D54"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7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14:paraId="5BB663A5" w14:textId="77777777" w:rsidR="00D94935" w:rsidRPr="00140BF9" w:rsidRDefault="00D94935" w:rsidP="00D94935">
      <w:pPr>
        <w:pStyle w:val="AmdtsEntryHd"/>
        <w:rPr>
          <w:rFonts w:cs="Arial"/>
        </w:rPr>
      </w:pPr>
      <w:r w:rsidRPr="00140BF9">
        <w:rPr>
          <w:rFonts w:cs="Arial"/>
        </w:rPr>
        <w:t>Contribution under Civil Law (Wrongs) Act, s 21</w:t>
      </w:r>
    </w:p>
    <w:p w14:paraId="7F19956B" w14:textId="77777777"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14:paraId="138619F8" w14:textId="140E3CAC"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7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14:paraId="1A9EE862" w14:textId="77777777" w:rsidR="00D94935" w:rsidRPr="00140BF9" w:rsidRDefault="00D94935" w:rsidP="00D94935">
      <w:pPr>
        <w:pStyle w:val="AmdtsEntryHd"/>
        <w:rPr>
          <w:rFonts w:cs="Arial"/>
        </w:rPr>
      </w:pPr>
      <w:r w:rsidRPr="00140BF9">
        <w:rPr>
          <w:rFonts w:cs="Arial"/>
        </w:rPr>
        <w:t>Third-party notice—fourth and subsequent parties</w:t>
      </w:r>
    </w:p>
    <w:p w14:paraId="5D45AE4C" w14:textId="77777777"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14:paraId="553C8A60" w14:textId="77777777" w:rsidR="00D94935" w:rsidRPr="00140BF9" w:rsidRDefault="00D94935" w:rsidP="00D94935">
      <w:pPr>
        <w:pStyle w:val="AmdtsEntryHd"/>
        <w:rPr>
          <w:rFonts w:cs="Arial"/>
        </w:rPr>
      </w:pPr>
      <w:r w:rsidRPr="00140BF9">
        <w:rPr>
          <w:rFonts w:cs="Arial"/>
        </w:rPr>
        <w:t>Application—pt 2.6</w:t>
      </w:r>
    </w:p>
    <w:p w14:paraId="0E956CE1" w14:textId="77777777"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14:paraId="157EABB6" w14:textId="77777777" w:rsidR="00D94935" w:rsidRPr="00140BF9" w:rsidRDefault="00D94935" w:rsidP="00D94935">
      <w:pPr>
        <w:pStyle w:val="AmdtsEntryHd"/>
        <w:rPr>
          <w:rFonts w:cs="Arial"/>
        </w:rPr>
      </w:pPr>
      <w:r w:rsidRPr="00140BF9">
        <w:rPr>
          <w:rFonts w:cs="Arial"/>
        </w:rPr>
        <w:t>Pleadings—formal requirements</w:t>
      </w:r>
    </w:p>
    <w:p w14:paraId="378E32E5" w14:textId="77777777"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14:paraId="6543437F" w14:textId="77777777" w:rsidR="00D94935" w:rsidRPr="00140BF9" w:rsidRDefault="00D94935" w:rsidP="00D94935">
      <w:pPr>
        <w:pStyle w:val="AmdtsEntryHd"/>
        <w:rPr>
          <w:rFonts w:cs="Arial"/>
        </w:rPr>
      </w:pPr>
      <w:r w:rsidRPr="00140BF9">
        <w:rPr>
          <w:rFonts w:cs="Arial"/>
        </w:rPr>
        <w:t>Pleadings—statements in</w:t>
      </w:r>
    </w:p>
    <w:p w14:paraId="608143D7" w14:textId="77777777"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14:paraId="5A146DBD" w14:textId="77777777" w:rsidR="00D94935" w:rsidRPr="00140BF9" w:rsidRDefault="00D94935" w:rsidP="00D94935">
      <w:pPr>
        <w:pStyle w:val="AmdtsEntryHd"/>
        <w:rPr>
          <w:rFonts w:cs="Arial"/>
        </w:rPr>
      </w:pPr>
      <w:r w:rsidRPr="00140BF9">
        <w:rPr>
          <w:rFonts w:cs="Arial"/>
        </w:rPr>
        <w:t>Pleadings—matters to be specifically pleaded</w:t>
      </w:r>
    </w:p>
    <w:p w14:paraId="5CC2D54F" w14:textId="77777777"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14:paraId="397E15E3" w14:textId="77777777" w:rsidR="00D94935" w:rsidRPr="00140BF9" w:rsidRDefault="00D94935" w:rsidP="00D94935">
      <w:pPr>
        <w:pStyle w:val="AmdtsEntryHd"/>
        <w:rPr>
          <w:rFonts w:cs="Arial"/>
        </w:rPr>
      </w:pPr>
      <w:r w:rsidRPr="00140BF9">
        <w:rPr>
          <w:rFonts w:cs="Arial"/>
        </w:rPr>
        <w:t>Pleadings in human rights proceedings—generally</w:t>
      </w:r>
    </w:p>
    <w:p w14:paraId="351A654E" w14:textId="3466D6DC" w:rsidR="00D94935" w:rsidRDefault="00D94935" w:rsidP="00D94935">
      <w:pPr>
        <w:pStyle w:val="AmdtsEntries"/>
        <w:rPr>
          <w:rFonts w:cs="Arial"/>
        </w:rPr>
      </w:pPr>
      <w:r w:rsidRPr="00140BF9">
        <w:rPr>
          <w:rFonts w:cs="Arial"/>
        </w:rPr>
        <w:t>r 407A</w:t>
      </w:r>
      <w:r w:rsidRPr="00140BF9">
        <w:rPr>
          <w:rFonts w:cs="Arial"/>
        </w:rPr>
        <w:tab/>
        <w:t xml:space="preserve">ins </w:t>
      </w:r>
      <w:hyperlink r:id="rId13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348D721D" w14:textId="7EE5134D" w:rsidR="004A76DE" w:rsidRPr="00140BF9" w:rsidRDefault="004A76DE" w:rsidP="00D94935">
      <w:pPr>
        <w:pStyle w:val="AmdtsEntries"/>
        <w:rPr>
          <w:rFonts w:cs="Arial"/>
        </w:rPr>
      </w:pPr>
      <w:r>
        <w:rPr>
          <w:rFonts w:cs="Arial"/>
        </w:rPr>
        <w:tab/>
        <w:t xml:space="preserve">om </w:t>
      </w:r>
      <w:hyperlink r:id="rId1373"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5</w:t>
      </w:r>
    </w:p>
    <w:p w14:paraId="50AD31E2" w14:textId="77777777" w:rsidR="00D94935" w:rsidRPr="00140BF9" w:rsidRDefault="00D94935" w:rsidP="00D94935">
      <w:pPr>
        <w:pStyle w:val="AmdtsEntryHd"/>
        <w:rPr>
          <w:rFonts w:cs="Arial"/>
        </w:rPr>
      </w:pPr>
      <w:r w:rsidRPr="00140BF9">
        <w:rPr>
          <w:rFonts w:cs="Arial"/>
        </w:rPr>
        <w:t>Pleadings in human rights proceedings—public authorities</w:t>
      </w:r>
    </w:p>
    <w:p w14:paraId="1F5F8F0F" w14:textId="0279DE69"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3B61A9EB" w14:textId="394BE927" w:rsidR="004A76DE" w:rsidRPr="00140BF9" w:rsidRDefault="004A76DE" w:rsidP="004A76DE">
      <w:pPr>
        <w:pStyle w:val="AmdtsEntries"/>
        <w:rPr>
          <w:rFonts w:cs="Arial"/>
        </w:rPr>
      </w:pPr>
      <w:r>
        <w:rPr>
          <w:rFonts w:cs="Arial"/>
        </w:rPr>
        <w:tab/>
        <w:t xml:space="preserve">om </w:t>
      </w:r>
      <w:hyperlink r:id="rId1375"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5</w:t>
      </w:r>
    </w:p>
    <w:p w14:paraId="2FFFF1C4" w14:textId="77777777" w:rsidR="00D94935" w:rsidRPr="00140BF9" w:rsidRDefault="00D94935" w:rsidP="00D94935">
      <w:pPr>
        <w:pStyle w:val="AmdtsEntryHd"/>
        <w:rPr>
          <w:rFonts w:cs="Arial"/>
        </w:rPr>
      </w:pPr>
      <w:r w:rsidRPr="00140BF9">
        <w:rPr>
          <w:rFonts w:cs="Arial"/>
        </w:rPr>
        <w:t>Pleadings—money claims short form</w:t>
      </w:r>
    </w:p>
    <w:p w14:paraId="08EAB257" w14:textId="77777777"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14:paraId="2EC867AF" w14:textId="77777777" w:rsidR="00D94935" w:rsidRPr="00140BF9" w:rsidRDefault="00D94935" w:rsidP="00D94935">
      <w:pPr>
        <w:pStyle w:val="AmdtsEntryHd"/>
        <w:rPr>
          <w:rFonts w:cs="Arial"/>
        </w:rPr>
      </w:pPr>
      <w:r w:rsidRPr="00140BF9">
        <w:rPr>
          <w:rFonts w:cs="Arial"/>
        </w:rPr>
        <w:t>Pleadings—certain facts need not be pleaded</w:t>
      </w:r>
    </w:p>
    <w:p w14:paraId="593E6144" w14:textId="77777777"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14:paraId="49264C7D" w14:textId="77777777" w:rsidR="00D94935" w:rsidRPr="00140BF9" w:rsidRDefault="00D94935" w:rsidP="00D94935">
      <w:pPr>
        <w:pStyle w:val="AmdtsEntryHd"/>
        <w:rPr>
          <w:rFonts w:cs="Arial"/>
        </w:rPr>
      </w:pPr>
      <w:r w:rsidRPr="00140BF9">
        <w:rPr>
          <w:rFonts w:cs="Arial"/>
        </w:rPr>
        <w:t>Pleadings—technical objections</w:t>
      </w:r>
    </w:p>
    <w:p w14:paraId="5D5128A2" w14:textId="77777777"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14:paraId="0D90A4CC" w14:textId="77777777" w:rsidR="00D94935" w:rsidRPr="00140BF9" w:rsidRDefault="00D94935" w:rsidP="00D94935">
      <w:pPr>
        <w:pStyle w:val="AmdtsEntryHd"/>
        <w:rPr>
          <w:rFonts w:cs="Arial"/>
        </w:rPr>
      </w:pPr>
      <w:r w:rsidRPr="00140BF9">
        <w:rPr>
          <w:rFonts w:cs="Arial"/>
        </w:rPr>
        <w:t>Pleadings—references to spoken words and documents</w:t>
      </w:r>
    </w:p>
    <w:p w14:paraId="010EE6B4" w14:textId="77777777"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14:paraId="33B52A88" w14:textId="77777777" w:rsidR="00D94935" w:rsidRPr="00140BF9" w:rsidRDefault="00D94935" w:rsidP="00D94935">
      <w:pPr>
        <w:pStyle w:val="AmdtsEntryHd"/>
        <w:rPr>
          <w:rFonts w:cs="Arial"/>
        </w:rPr>
      </w:pPr>
      <w:r w:rsidRPr="00140BF9">
        <w:rPr>
          <w:rFonts w:cs="Arial"/>
        </w:rPr>
        <w:t>Pleadings—conditions precedent</w:t>
      </w:r>
    </w:p>
    <w:p w14:paraId="482D8484" w14:textId="77777777"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14:paraId="15418A85" w14:textId="77777777" w:rsidR="00D94935" w:rsidRPr="00140BF9" w:rsidRDefault="00D94935" w:rsidP="00D94935">
      <w:pPr>
        <w:pStyle w:val="AmdtsEntryHd"/>
        <w:rPr>
          <w:rFonts w:cs="Arial"/>
        </w:rPr>
      </w:pPr>
      <w:r w:rsidRPr="00140BF9">
        <w:rPr>
          <w:rFonts w:cs="Arial"/>
        </w:rPr>
        <w:lastRenderedPageBreak/>
        <w:t>Pleadings—matters arising after start of proceeding</w:t>
      </w:r>
    </w:p>
    <w:p w14:paraId="0E6BC1EC" w14:textId="77777777"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14:paraId="56FB37A6" w14:textId="77777777" w:rsidR="00D94935" w:rsidRPr="00140BF9" w:rsidRDefault="00D94935" w:rsidP="00D94935">
      <w:pPr>
        <w:pStyle w:val="AmdtsEntryHd"/>
        <w:rPr>
          <w:rFonts w:cs="Arial"/>
        </w:rPr>
      </w:pPr>
      <w:r w:rsidRPr="00140BF9">
        <w:rPr>
          <w:rFonts w:cs="Arial"/>
        </w:rPr>
        <w:t>Pleadings—inconsistent allegations etc</w:t>
      </w:r>
    </w:p>
    <w:p w14:paraId="7E92CEFE" w14:textId="77777777"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14:paraId="611BD17E" w14:textId="77777777" w:rsidR="00D94935" w:rsidRPr="00140BF9" w:rsidRDefault="00D94935" w:rsidP="00D94935">
      <w:pPr>
        <w:pStyle w:val="AmdtsEntryHd"/>
        <w:rPr>
          <w:rFonts w:cs="Arial"/>
        </w:rPr>
      </w:pPr>
      <w:r w:rsidRPr="00140BF9">
        <w:rPr>
          <w:rFonts w:cs="Arial"/>
        </w:rPr>
        <w:t>Pleadings—notice pleaded as a fact</w:t>
      </w:r>
    </w:p>
    <w:p w14:paraId="0340CC48" w14:textId="77777777"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14:paraId="67E9A325" w14:textId="77777777" w:rsidR="00D94935" w:rsidRPr="00140BF9" w:rsidRDefault="00D94935" w:rsidP="00D94935">
      <w:pPr>
        <w:pStyle w:val="AmdtsEntryHd"/>
        <w:rPr>
          <w:rFonts w:cs="Arial"/>
        </w:rPr>
      </w:pPr>
      <w:r w:rsidRPr="00140BF9">
        <w:rPr>
          <w:rFonts w:cs="Arial"/>
        </w:rPr>
        <w:t>Pleadings—implied contracts or relations</w:t>
      </w:r>
    </w:p>
    <w:p w14:paraId="0924BD1B" w14:textId="77777777"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14:paraId="6177662F" w14:textId="77777777" w:rsidR="00D94935" w:rsidRPr="00140BF9" w:rsidRDefault="00D94935" w:rsidP="00D94935">
      <w:pPr>
        <w:pStyle w:val="AmdtsEntryHd"/>
        <w:rPr>
          <w:rFonts w:cs="Arial"/>
        </w:rPr>
      </w:pPr>
      <w:r w:rsidRPr="00140BF9">
        <w:rPr>
          <w:rFonts w:cs="Arial"/>
        </w:rPr>
        <w:t>Pleadings—kind of damages etc</w:t>
      </w:r>
    </w:p>
    <w:p w14:paraId="3C980DD0" w14:textId="77777777"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14:paraId="3056BE41" w14:textId="14FCC3BF"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76"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14:paraId="0ACD875A" w14:textId="77777777" w:rsidR="00D94935" w:rsidRPr="00140BF9" w:rsidRDefault="00D94935" w:rsidP="00D94935">
      <w:pPr>
        <w:pStyle w:val="AmdtsEntryHd"/>
        <w:rPr>
          <w:rFonts w:cs="Arial"/>
        </w:rPr>
      </w:pPr>
      <w:r w:rsidRPr="00140BF9">
        <w:rPr>
          <w:rFonts w:cs="Arial"/>
        </w:rPr>
        <w:t>Pleadings—amount of unliquidated damages</w:t>
      </w:r>
    </w:p>
    <w:p w14:paraId="09CE42F8" w14:textId="77777777"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14:paraId="48EBCB35" w14:textId="77777777" w:rsidR="00D94935" w:rsidRPr="00140BF9" w:rsidRDefault="00D94935" w:rsidP="00D94935">
      <w:pPr>
        <w:pStyle w:val="AmdtsEntryHd"/>
        <w:rPr>
          <w:rFonts w:cs="Arial"/>
        </w:rPr>
      </w:pPr>
      <w:r w:rsidRPr="00140BF9">
        <w:rPr>
          <w:rFonts w:cs="Arial"/>
        </w:rPr>
        <w:t>Pleadings—other relief</w:t>
      </w:r>
    </w:p>
    <w:p w14:paraId="18DF830D" w14:textId="77777777"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14:paraId="51B3588C" w14:textId="77777777" w:rsidR="00D94935" w:rsidRPr="00140BF9" w:rsidRDefault="00D94935" w:rsidP="00D94935">
      <w:pPr>
        <w:pStyle w:val="AmdtsEntryHd"/>
        <w:rPr>
          <w:rFonts w:cs="Arial"/>
        </w:rPr>
      </w:pPr>
      <w:r w:rsidRPr="00140BF9">
        <w:rPr>
          <w:rFonts w:cs="Arial"/>
        </w:rPr>
        <w:t>Pleadings—striking out</w:t>
      </w:r>
    </w:p>
    <w:p w14:paraId="6858CFFE" w14:textId="77777777"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14:paraId="32303B03" w14:textId="77777777" w:rsidR="00D94935" w:rsidRPr="00140BF9" w:rsidRDefault="00D94935" w:rsidP="00D94935">
      <w:pPr>
        <w:pStyle w:val="AmdtsEntryHd"/>
        <w:rPr>
          <w:rFonts w:cs="Arial"/>
        </w:rPr>
      </w:pPr>
      <w:r w:rsidRPr="00140BF9">
        <w:rPr>
          <w:rFonts w:cs="Arial"/>
        </w:rPr>
        <w:t>Pleadings—trial without</w:t>
      </w:r>
    </w:p>
    <w:p w14:paraId="7F549F9A" w14:textId="77777777"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14:paraId="6C7BDC04" w14:textId="77777777" w:rsidR="00D94935" w:rsidRPr="00140BF9" w:rsidRDefault="00D94935" w:rsidP="00D94935">
      <w:pPr>
        <w:pStyle w:val="AmdtsEntryHd"/>
        <w:rPr>
          <w:rFonts w:cs="Arial"/>
        </w:rPr>
      </w:pPr>
      <w:r w:rsidRPr="00140BF9">
        <w:rPr>
          <w:rFonts w:cs="Arial"/>
        </w:rPr>
        <w:t>Pleadings—all necessary particulars must be included</w:t>
      </w:r>
    </w:p>
    <w:p w14:paraId="66B47611" w14:textId="77777777"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14:paraId="34226AAE" w14:textId="77777777" w:rsidR="00D94935" w:rsidRPr="00140BF9" w:rsidRDefault="00D94935" w:rsidP="00D94935">
      <w:pPr>
        <w:pStyle w:val="AmdtsEntryHd"/>
        <w:rPr>
          <w:rFonts w:cs="Arial"/>
        </w:rPr>
      </w:pPr>
      <w:r w:rsidRPr="00140BF9">
        <w:rPr>
          <w:rFonts w:cs="Arial"/>
        </w:rPr>
        <w:t>Pleadings—use of ‘Scott schedule’</w:t>
      </w:r>
    </w:p>
    <w:p w14:paraId="27635C65" w14:textId="77777777"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14:paraId="29DC5799" w14:textId="77777777" w:rsidR="00D94935" w:rsidRPr="00140BF9" w:rsidRDefault="00D94935" w:rsidP="00D94935">
      <w:pPr>
        <w:pStyle w:val="AmdtsEntryHd"/>
        <w:rPr>
          <w:rFonts w:cs="Arial"/>
        </w:rPr>
      </w:pPr>
      <w:r w:rsidRPr="00140BF9">
        <w:rPr>
          <w:rFonts w:cs="Arial"/>
        </w:rPr>
        <w:t>Pleadings—negligence and breach of statutory duty</w:t>
      </w:r>
    </w:p>
    <w:p w14:paraId="0519584F" w14:textId="77777777"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14:paraId="385D8C5E" w14:textId="77777777" w:rsidR="00D94935" w:rsidRPr="00140BF9" w:rsidRDefault="00D94935" w:rsidP="00D94935">
      <w:pPr>
        <w:pStyle w:val="AmdtsEntryHd"/>
        <w:rPr>
          <w:rFonts w:cs="Arial"/>
        </w:rPr>
      </w:pPr>
      <w:r w:rsidRPr="00140BF9">
        <w:rPr>
          <w:rFonts w:cs="Arial"/>
        </w:rPr>
        <w:t>Pleadings—how particulars must be given</w:t>
      </w:r>
    </w:p>
    <w:p w14:paraId="77DEB86E" w14:textId="77777777"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14:paraId="36563C56" w14:textId="77777777" w:rsidR="00D94935" w:rsidRPr="00140BF9" w:rsidRDefault="00D94935" w:rsidP="00D94935">
      <w:pPr>
        <w:pStyle w:val="AmdtsEntryHd"/>
        <w:rPr>
          <w:rFonts w:cs="Arial"/>
        </w:rPr>
      </w:pPr>
      <w:r w:rsidRPr="00140BF9">
        <w:rPr>
          <w:rFonts w:cs="Arial"/>
        </w:rPr>
        <w:t>Pleadings—application for better particulars</w:t>
      </w:r>
    </w:p>
    <w:p w14:paraId="25558A22" w14:textId="77777777"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14:paraId="5DA0FA7D" w14:textId="32216E6B"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14:paraId="03B679D6" w14:textId="77777777" w:rsidR="00D94935" w:rsidRPr="00140BF9" w:rsidRDefault="00D94935" w:rsidP="00D94935">
      <w:pPr>
        <w:pStyle w:val="AmdtsEntryHd"/>
        <w:rPr>
          <w:rFonts w:cs="Arial"/>
        </w:rPr>
      </w:pPr>
      <w:r w:rsidRPr="00140BF9">
        <w:rPr>
          <w:rFonts w:cs="Arial"/>
        </w:rPr>
        <w:t>Pleadings—failure to comply with better particulars order</w:t>
      </w:r>
    </w:p>
    <w:p w14:paraId="0A6CB3DA" w14:textId="77777777"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14:paraId="073C7303" w14:textId="77777777" w:rsidR="00D94935" w:rsidRPr="00140BF9" w:rsidRDefault="00D94935" w:rsidP="00D94935">
      <w:pPr>
        <w:pStyle w:val="AmdtsEntryHd"/>
        <w:rPr>
          <w:rFonts w:cs="Arial"/>
        </w:rPr>
      </w:pPr>
      <w:r w:rsidRPr="00140BF9">
        <w:rPr>
          <w:rFonts w:cs="Arial"/>
        </w:rPr>
        <w:t>Pleadings—answering</w:t>
      </w:r>
    </w:p>
    <w:p w14:paraId="3514F223" w14:textId="77777777"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14:paraId="7F99FD75" w14:textId="77777777" w:rsidR="00D94935" w:rsidRPr="00140BF9" w:rsidRDefault="00D94935" w:rsidP="00D94935">
      <w:pPr>
        <w:pStyle w:val="AmdtsEntryHd"/>
        <w:rPr>
          <w:rFonts w:cs="Arial"/>
        </w:rPr>
      </w:pPr>
      <w:r w:rsidRPr="00140BF9">
        <w:rPr>
          <w:rFonts w:cs="Arial"/>
        </w:rPr>
        <w:t>Pleadings—denials and non-admissions</w:t>
      </w:r>
    </w:p>
    <w:p w14:paraId="519D5C0D" w14:textId="77777777"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14:paraId="1CE143F4" w14:textId="77777777" w:rsidR="00D94935" w:rsidRPr="00140BF9" w:rsidRDefault="00D94935" w:rsidP="00D94935">
      <w:pPr>
        <w:pStyle w:val="AmdtsEntryHd"/>
        <w:rPr>
          <w:rFonts w:cs="Arial"/>
        </w:rPr>
      </w:pPr>
      <w:r w:rsidRPr="00140BF9">
        <w:rPr>
          <w:rFonts w:cs="Arial"/>
        </w:rPr>
        <w:t>Pleadings—defence to debt and liquidated demand claims</w:t>
      </w:r>
    </w:p>
    <w:p w14:paraId="08F8AA55" w14:textId="77777777"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14:paraId="46AB2551" w14:textId="24DE9FC1" w:rsidR="00D94935" w:rsidRPr="00140BF9" w:rsidRDefault="00DB365E" w:rsidP="00D94935">
      <w:pPr>
        <w:pStyle w:val="AmdtsEntryHd"/>
        <w:rPr>
          <w:rFonts w:cs="Arial"/>
        </w:rPr>
      </w:pPr>
      <w:r w:rsidRPr="00E41162">
        <w:lastRenderedPageBreak/>
        <w:t>Pleadings—defence to personal injury claims</w:t>
      </w:r>
    </w:p>
    <w:p w14:paraId="2EC3753C" w14:textId="3035EBC7" w:rsidR="00D94935" w:rsidRDefault="00D94935" w:rsidP="00745DAF">
      <w:pPr>
        <w:pStyle w:val="AmdtsEntries"/>
        <w:keepNext/>
        <w:rPr>
          <w:rFonts w:eastAsiaTheme="minorEastAsia" w:cs="Arial"/>
        </w:rPr>
      </w:pPr>
      <w:r w:rsidRPr="00140BF9">
        <w:rPr>
          <w:rFonts w:cs="Arial"/>
        </w:rPr>
        <w:t>r 443 hdg</w:t>
      </w:r>
      <w:r w:rsidRPr="00140BF9">
        <w:rPr>
          <w:rFonts w:eastAsiaTheme="minorEastAsia" w:cs="Arial"/>
        </w:rPr>
        <w:tab/>
        <w:t>bracketed note om R29 LA</w:t>
      </w:r>
    </w:p>
    <w:p w14:paraId="1FA301C5" w14:textId="5A851157" w:rsidR="00DB365E" w:rsidRDefault="00DB365E" w:rsidP="00D94935">
      <w:pPr>
        <w:pStyle w:val="AmdtsEntries"/>
        <w:rPr>
          <w:rFonts w:eastAsiaTheme="minorEastAsia" w:cs="Arial"/>
        </w:rPr>
      </w:pPr>
      <w:r>
        <w:rPr>
          <w:rFonts w:eastAsiaTheme="minorEastAsia" w:cs="Arial"/>
        </w:rPr>
        <w:tab/>
        <w:t xml:space="preserve">sub </w:t>
      </w:r>
      <w:hyperlink r:id="rId1378"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4</w:t>
      </w:r>
    </w:p>
    <w:p w14:paraId="751E363D" w14:textId="4BD6E4B9" w:rsidR="00DB365E" w:rsidRPr="00140BF9" w:rsidRDefault="00DB365E" w:rsidP="00D94935">
      <w:pPr>
        <w:pStyle w:val="AmdtsEntries"/>
        <w:rPr>
          <w:rFonts w:cs="Arial"/>
        </w:rPr>
      </w:pPr>
      <w:r>
        <w:rPr>
          <w:rFonts w:eastAsiaTheme="minorEastAsia" w:cs="Arial"/>
        </w:rPr>
        <w:t>r 443</w:t>
      </w:r>
      <w:r>
        <w:rPr>
          <w:rFonts w:eastAsiaTheme="minorEastAsia" w:cs="Arial"/>
        </w:rPr>
        <w:tab/>
        <w:t xml:space="preserve">am </w:t>
      </w:r>
      <w:hyperlink r:id="rId1379"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5</w:t>
      </w:r>
    </w:p>
    <w:p w14:paraId="1B754C5A" w14:textId="77777777" w:rsidR="00D94935" w:rsidRPr="00140BF9" w:rsidRDefault="00D94935" w:rsidP="00D94935">
      <w:pPr>
        <w:pStyle w:val="AmdtsEntryHd"/>
        <w:rPr>
          <w:rFonts w:cs="Arial"/>
        </w:rPr>
      </w:pPr>
      <w:r w:rsidRPr="00140BF9">
        <w:rPr>
          <w:rFonts w:cs="Arial"/>
        </w:rPr>
        <w:t>Pleadings—defence to proceeding on bill of exchange etc</w:t>
      </w:r>
    </w:p>
    <w:p w14:paraId="7DFECC18" w14:textId="77777777"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14:paraId="32E8A5C9" w14:textId="77777777" w:rsidR="00D94935" w:rsidRPr="00140BF9" w:rsidRDefault="00D94935" w:rsidP="00D94935">
      <w:pPr>
        <w:pStyle w:val="AmdtsEntryHd"/>
        <w:rPr>
          <w:rFonts w:cs="Arial"/>
        </w:rPr>
      </w:pPr>
      <w:r w:rsidRPr="00140BF9">
        <w:rPr>
          <w:rFonts w:cs="Arial"/>
        </w:rPr>
        <w:t>Pleadings—denial of representative capacity or partnership constitution</w:t>
      </w:r>
    </w:p>
    <w:p w14:paraId="222CED9B" w14:textId="77777777"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14:paraId="30A42821" w14:textId="77777777" w:rsidR="00D94935" w:rsidRPr="00140BF9" w:rsidRDefault="00D94935" w:rsidP="00D94935">
      <w:pPr>
        <w:pStyle w:val="AmdtsEntryHd"/>
        <w:rPr>
          <w:rFonts w:cs="Arial"/>
        </w:rPr>
      </w:pPr>
      <w:r w:rsidRPr="00140BF9">
        <w:rPr>
          <w:rFonts w:cs="Arial"/>
        </w:rPr>
        <w:t>Pleadings—denial of contract</w:t>
      </w:r>
    </w:p>
    <w:p w14:paraId="24A44525" w14:textId="77777777"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14:paraId="4CFD5709" w14:textId="77777777" w:rsidR="00D94935" w:rsidRPr="00140BF9" w:rsidRDefault="00D94935" w:rsidP="00D94935">
      <w:pPr>
        <w:pStyle w:val="AmdtsEntryHd"/>
        <w:rPr>
          <w:rFonts w:cs="Arial"/>
        </w:rPr>
      </w:pPr>
      <w:r w:rsidRPr="00140BF9">
        <w:rPr>
          <w:rFonts w:cs="Arial"/>
        </w:rPr>
        <w:t>Pleadings—allegations admitted unless denied etc</w:t>
      </w:r>
    </w:p>
    <w:p w14:paraId="2E00CFC2" w14:textId="77777777"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14:paraId="702F16FF" w14:textId="77777777" w:rsidR="00D94935" w:rsidRPr="00140BF9" w:rsidRDefault="00D94935" w:rsidP="00D94935">
      <w:pPr>
        <w:pStyle w:val="AmdtsEntryHd"/>
        <w:rPr>
          <w:rFonts w:cs="Arial"/>
        </w:rPr>
      </w:pPr>
      <w:r w:rsidRPr="00140BF9">
        <w:rPr>
          <w:rFonts w:cs="Arial"/>
        </w:rPr>
        <w:t>Pleadings—unreasonable denials and non-admissions</w:t>
      </w:r>
    </w:p>
    <w:p w14:paraId="59922674" w14:textId="77777777"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14:paraId="56DA06AF" w14:textId="77777777" w:rsidR="00D94935" w:rsidRPr="00140BF9" w:rsidRDefault="00D94935" w:rsidP="00D94935">
      <w:pPr>
        <w:pStyle w:val="AmdtsEntryHd"/>
        <w:rPr>
          <w:rFonts w:cs="Arial"/>
        </w:rPr>
      </w:pPr>
      <w:r w:rsidRPr="00140BF9">
        <w:rPr>
          <w:rFonts w:cs="Arial"/>
        </w:rPr>
        <w:t>Pleadings—confession of defence</w:t>
      </w:r>
    </w:p>
    <w:p w14:paraId="053F398D" w14:textId="77777777"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14:paraId="658F7EC2" w14:textId="77777777" w:rsidR="00D94935" w:rsidRPr="00140BF9" w:rsidRDefault="00D94935" w:rsidP="00D94935">
      <w:pPr>
        <w:pStyle w:val="AmdtsEntryHd"/>
        <w:rPr>
          <w:rFonts w:cs="Arial"/>
        </w:rPr>
      </w:pPr>
      <w:r w:rsidRPr="00140BF9">
        <w:rPr>
          <w:rFonts w:cs="Arial"/>
        </w:rPr>
        <w:t>Pleadings—defence of tender</w:t>
      </w:r>
    </w:p>
    <w:p w14:paraId="4CFEBC95" w14:textId="77777777"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14:paraId="63956D61" w14:textId="4B241A9F"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14:paraId="7692067D" w14:textId="77777777" w:rsidR="00D94935" w:rsidRPr="00140BF9" w:rsidRDefault="00D94935" w:rsidP="00D94935">
      <w:pPr>
        <w:pStyle w:val="AmdtsEntryHd"/>
        <w:rPr>
          <w:rFonts w:cs="Arial"/>
        </w:rPr>
      </w:pPr>
      <w:r w:rsidRPr="00140BF9">
        <w:rPr>
          <w:rFonts w:cs="Arial"/>
        </w:rPr>
        <w:t>Pleadings—defence of set-off</w:t>
      </w:r>
    </w:p>
    <w:p w14:paraId="5B0FEAF6" w14:textId="77777777"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14:paraId="0CB5BB75" w14:textId="77777777" w:rsidR="00D94935" w:rsidRPr="00140BF9" w:rsidRDefault="00D94935" w:rsidP="00D94935">
      <w:pPr>
        <w:pStyle w:val="AmdtsEntryHd"/>
        <w:rPr>
          <w:rFonts w:cs="Arial"/>
        </w:rPr>
      </w:pPr>
      <w:r w:rsidRPr="00140BF9">
        <w:rPr>
          <w:rFonts w:cs="Arial"/>
        </w:rPr>
        <w:t>Counterclaim—cause of action arising after start of proceeding</w:t>
      </w:r>
    </w:p>
    <w:p w14:paraId="32E5340C" w14:textId="77777777"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14:paraId="1E0A8136" w14:textId="77777777" w:rsidR="00D94935" w:rsidRPr="00140BF9" w:rsidRDefault="00D94935" w:rsidP="00D94935">
      <w:pPr>
        <w:pStyle w:val="AmdtsEntryHd"/>
        <w:rPr>
          <w:rFonts w:cs="Arial"/>
        </w:rPr>
      </w:pPr>
      <w:r w:rsidRPr="00140BF9">
        <w:rPr>
          <w:rFonts w:cs="Arial"/>
        </w:rPr>
        <w:t>Counterclaim—against plaintiff</w:t>
      </w:r>
    </w:p>
    <w:p w14:paraId="140BA7B9" w14:textId="77777777"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14:paraId="1E2E130A" w14:textId="77777777" w:rsidR="00D94935" w:rsidRPr="00140BF9" w:rsidRDefault="00D94935" w:rsidP="00D94935">
      <w:pPr>
        <w:pStyle w:val="AmdtsEntryHd"/>
        <w:rPr>
          <w:rFonts w:cs="Arial"/>
        </w:rPr>
      </w:pPr>
      <w:r w:rsidRPr="00140BF9">
        <w:rPr>
          <w:rFonts w:cs="Arial"/>
        </w:rPr>
        <w:t>Counterclaim—against additional party</w:t>
      </w:r>
    </w:p>
    <w:p w14:paraId="689D2E43" w14:textId="77777777"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14:paraId="7104B30D" w14:textId="77777777" w:rsidR="00D94935" w:rsidRPr="00140BF9" w:rsidRDefault="00D94935" w:rsidP="00D94935">
      <w:pPr>
        <w:pStyle w:val="AmdtsEntryHd"/>
        <w:rPr>
          <w:rFonts w:cs="Arial"/>
        </w:rPr>
      </w:pPr>
      <w:r w:rsidRPr="00140BF9">
        <w:rPr>
          <w:rFonts w:cs="Arial"/>
        </w:rPr>
        <w:t>Counterclaim—abandonment of excess in Magistrates Court</w:t>
      </w:r>
    </w:p>
    <w:p w14:paraId="5C55FD72" w14:textId="77777777"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14:paraId="69E8E4D7" w14:textId="77777777" w:rsidR="00D94935" w:rsidRPr="00140BF9" w:rsidRDefault="00D94935" w:rsidP="00D94935">
      <w:pPr>
        <w:pStyle w:val="AmdtsEntryHd"/>
        <w:rPr>
          <w:rFonts w:cs="Arial"/>
        </w:rPr>
      </w:pPr>
      <w:r w:rsidRPr="00140BF9">
        <w:rPr>
          <w:rFonts w:cs="Arial"/>
        </w:rPr>
        <w:t>Counterclaim—pleading</w:t>
      </w:r>
    </w:p>
    <w:p w14:paraId="269FF18F" w14:textId="77777777"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14:paraId="6102D28A" w14:textId="77777777" w:rsidR="00D94935" w:rsidRPr="00140BF9" w:rsidRDefault="00D94935" w:rsidP="00D94935">
      <w:pPr>
        <w:pStyle w:val="AmdtsEntryHd"/>
        <w:rPr>
          <w:rFonts w:cs="Arial"/>
        </w:rPr>
      </w:pPr>
      <w:r w:rsidRPr="00140BF9">
        <w:rPr>
          <w:rFonts w:cs="Arial"/>
        </w:rPr>
        <w:t>Counterclaim—plaintiff may rely on previous pleadings</w:t>
      </w:r>
    </w:p>
    <w:p w14:paraId="4453DEEF" w14:textId="77777777"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14:paraId="609C58C1" w14:textId="77777777" w:rsidR="00D94935" w:rsidRPr="00140BF9" w:rsidRDefault="00D94935" w:rsidP="00D94935">
      <w:pPr>
        <w:pStyle w:val="AmdtsEntryHd"/>
        <w:rPr>
          <w:rFonts w:cs="Arial"/>
        </w:rPr>
      </w:pPr>
      <w:r w:rsidRPr="00140BF9">
        <w:rPr>
          <w:rFonts w:cs="Arial"/>
        </w:rPr>
        <w:t>Counterclaim—answer to</w:t>
      </w:r>
    </w:p>
    <w:p w14:paraId="6905CD76" w14:textId="77777777"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14:paraId="1EA8108B" w14:textId="77777777" w:rsidR="00D94935" w:rsidRPr="00140BF9" w:rsidRDefault="00D94935" w:rsidP="00D94935">
      <w:pPr>
        <w:pStyle w:val="AmdtsEntryHd"/>
        <w:rPr>
          <w:rFonts w:cs="Arial"/>
        </w:rPr>
      </w:pPr>
      <w:r w:rsidRPr="00140BF9">
        <w:rPr>
          <w:rFonts w:cs="Arial"/>
        </w:rPr>
        <w:t>Counterclaim—defence arising after answer</w:t>
      </w:r>
    </w:p>
    <w:p w14:paraId="308F74D2" w14:textId="77777777"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14:paraId="1A0F2451" w14:textId="735F0341" w:rsidR="00B94513" w:rsidRPr="00626250" w:rsidRDefault="00B94513" w:rsidP="00B94513">
      <w:pPr>
        <w:pStyle w:val="AmdtsEntries"/>
      </w:pPr>
      <w:r>
        <w:t>r 467</w:t>
      </w:r>
      <w:r>
        <w:tab/>
      </w:r>
      <w:r>
        <w:rPr>
          <w:rFonts w:eastAsiaTheme="minorEastAsia" w:cs="Arial"/>
          <w:szCs w:val="22"/>
          <w:lang w:eastAsia="en-AU"/>
        </w:rPr>
        <w:t xml:space="preserve">am </w:t>
      </w:r>
      <w:hyperlink r:id="rId1381"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17</w:t>
      </w:r>
    </w:p>
    <w:p w14:paraId="0A816B58" w14:textId="77777777" w:rsidR="00D94935" w:rsidRPr="00140BF9" w:rsidRDefault="00D94935" w:rsidP="00D94935">
      <w:pPr>
        <w:pStyle w:val="AmdtsEntryHd"/>
        <w:rPr>
          <w:rFonts w:cs="Arial"/>
        </w:rPr>
      </w:pPr>
      <w:r w:rsidRPr="00140BF9">
        <w:rPr>
          <w:rFonts w:cs="Arial"/>
        </w:rPr>
        <w:lastRenderedPageBreak/>
        <w:t>Counterclaim—effect of no answer</w:t>
      </w:r>
    </w:p>
    <w:p w14:paraId="21FFB449" w14:textId="77777777"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14:paraId="69B41987" w14:textId="77777777" w:rsidR="00D94935" w:rsidRPr="00140BF9" w:rsidRDefault="00D94935" w:rsidP="00D94935">
      <w:pPr>
        <w:pStyle w:val="AmdtsEntryHd"/>
        <w:rPr>
          <w:rFonts w:cs="Arial"/>
        </w:rPr>
      </w:pPr>
      <w:r w:rsidRPr="00140BF9">
        <w:rPr>
          <w:rFonts w:cs="Arial"/>
        </w:rPr>
        <w:t>Counterclaim—response to answer</w:t>
      </w:r>
    </w:p>
    <w:p w14:paraId="3D44350C" w14:textId="77777777"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14:paraId="7CB3E180" w14:textId="77777777" w:rsidR="00D94935" w:rsidRPr="00140BF9" w:rsidRDefault="00D94935" w:rsidP="00D94935">
      <w:pPr>
        <w:pStyle w:val="AmdtsEntryHd"/>
        <w:rPr>
          <w:rFonts w:cs="Arial"/>
        </w:rPr>
      </w:pPr>
      <w:r w:rsidRPr="00140BF9">
        <w:rPr>
          <w:rFonts w:cs="Arial"/>
        </w:rPr>
        <w:t>Counterclaim—conduct and pleading</w:t>
      </w:r>
    </w:p>
    <w:p w14:paraId="1BDEEB08" w14:textId="77777777"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14:paraId="51EB4B60" w14:textId="77777777" w:rsidR="00D94935" w:rsidRPr="00140BF9" w:rsidRDefault="00D94935" w:rsidP="00D94935">
      <w:pPr>
        <w:pStyle w:val="AmdtsEntryHd"/>
        <w:rPr>
          <w:rFonts w:cs="Arial"/>
        </w:rPr>
      </w:pPr>
      <w:r w:rsidRPr="00140BF9">
        <w:rPr>
          <w:rFonts w:cs="Arial"/>
        </w:rPr>
        <w:t>Counterclaim—order for separate hearing</w:t>
      </w:r>
    </w:p>
    <w:p w14:paraId="4AB787ED" w14:textId="77777777"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14:paraId="7DE67812" w14:textId="77777777" w:rsidR="00D94935" w:rsidRPr="00140BF9" w:rsidRDefault="00D94935" w:rsidP="00D94935">
      <w:pPr>
        <w:pStyle w:val="AmdtsEntryHd"/>
        <w:rPr>
          <w:rFonts w:cs="Arial"/>
        </w:rPr>
      </w:pPr>
      <w:r w:rsidRPr="00140BF9">
        <w:rPr>
          <w:rFonts w:cs="Arial"/>
        </w:rPr>
        <w:t>Counterclaim—after judgment etc in original proceeding</w:t>
      </w:r>
    </w:p>
    <w:p w14:paraId="0D9936BD" w14:textId="77777777"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14:paraId="49D5AF3A" w14:textId="77777777" w:rsidR="00D94935" w:rsidRPr="00140BF9" w:rsidRDefault="00D94935" w:rsidP="00D94935">
      <w:pPr>
        <w:pStyle w:val="AmdtsEntryHd"/>
        <w:rPr>
          <w:rFonts w:cs="Arial"/>
        </w:rPr>
      </w:pPr>
      <w:r w:rsidRPr="00140BF9">
        <w:rPr>
          <w:rFonts w:cs="Arial"/>
        </w:rPr>
        <w:t>Counterclaim—judgment for balance</w:t>
      </w:r>
    </w:p>
    <w:p w14:paraId="25B01140" w14:textId="77777777"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14:paraId="6E927B2C" w14:textId="77777777" w:rsidR="00D94935" w:rsidRPr="00140BF9" w:rsidRDefault="00D94935" w:rsidP="00D94935">
      <w:pPr>
        <w:pStyle w:val="AmdtsEntryHd"/>
        <w:rPr>
          <w:rFonts w:cs="Arial"/>
        </w:rPr>
      </w:pPr>
      <w:r w:rsidRPr="00140BF9">
        <w:rPr>
          <w:rFonts w:cs="Arial"/>
        </w:rPr>
        <w:t>Counterclaim—stay of claim</w:t>
      </w:r>
    </w:p>
    <w:p w14:paraId="048C264C" w14:textId="77777777"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14:paraId="0FA5E6E3" w14:textId="77777777" w:rsidR="00D94935" w:rsidRPr="00140BF9" w:rsidRDefault="00D94935" w:rsidP="00D94935">
      <w:pPr>
        <w:pStyle w:val="AmdtsEntryHd"/>
        <w:rPr>
          <w:rFonts w:cs="Arial"/>
        </w:rPr>
      </w:pPr>
      <w:r w:rsidRPr="00140BF9">
        <w:rPr>
          <w:rFonts w:cs="Arial"/>
        </w:rPr>
        <w:t>Pleadings—reply to defence</w:t>
      </w:r>
    </w:p>
    <w:p w14:paraId="6A974B8F" w14:textId="77777777"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14:paraId="4F4DE350" w14:textId="4AF99FEA" w:rsidR="00B94513" w:rsidRPr="00626250" w:rsidRDefault="00B94513" w:rsidP="00B94513">
      <w:pPr>
        <w:pStyle w:val="AmdtsEntries"/>
      </w:pPr>
      <w:r>
        <w:t>r 480</w:t>
      </w:r>
      <w:r>
        <w:tab/>
      </w:r>
      <w:r>
        <w:rPr>
          <w:rFonts w:eastAsiaTheme="minorEastAsia" w:cs="Arial"/>
          <w:szCs w:val="22"/>
          <w:lang w:eastAsia="en-AU"/>
        </w:rPr>
        <w:t xml:space="preserve">am </w:t>
      </w:r>
      <w:hyperlink r:id="rId1382"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18; </w:t>
      </w:r>
      <w:r w:rsidR="00543BF6">
        <w:rPr>
          <w:rFonts w:eastAsiaTheme="minorEastAsia" w:cs="Arial"/>
          <w:szCs w:val="22"/>
          <w:lang w:eastAsia="en-AU"/>
        </w:rPr>
        <w:t>rr</w:t>
      </w:r>
      <w:r>
        <w:rPr>
          <w:rFonts w:eastAsiaTheme="minorEastAsia" w:cs="Arial"/>
          <w:szCs w:val="22"/>
          <w:lang w:eastAsia="en-AU"/>
        </w:rPr>
        <w:t xml:space="preserve"> renum R66 LA</w:t>
      </w:r>
    </w:p>
    <w:p w14:paraId="493A9686" w14:textId="77777777" w:rsidR="00D94935" w:rsidRPr="00140BF9" w:rsidRDefault="00D94935" w:rsidP="00D94935">
      <w:pPr>
        <w:pStyle w:val="AmdtsEntryHd"/>
        <w:rPr>
          <w:rFonts w:cs="Arial"/>
        </w:rPr>
      </w:pPr>
      <w:r w:rsidRPr="00140BF9">
        <w:rPr>
          <w:rFonts w:cs="Arial"/>
        </w:rPr>
        <w:t>Pleadings—after reply</w:t>
      </w:r>
    </w:p>
    <w:p w14:paraId="67AD69E5" w14:textId="77777777"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14:paraId="62961B6D" w14:textId="601CE1BD" w:rsidR="00B94513" w:rsidRPr="00626250" w:rsidRDefault="00B94513" w:rsidP="00B94513">
      <w:pPr>
        <w:pStyle w:val="AmdtsEntries"/>
      </w:pPr>
      <w:r>
        <w:t>r 481</w:t>
      </w:r>
      <w:r>
        <w:tab/>
      </w:r>
      <w:r>
        <w:rPr>
          <w:rFonts w:eastAsiaTheme="minorEastAsia" w:cs="Arial"/>
          <w:szCs w:val="22"/>
          <w:lang w:eastAsia="en-AU"/>
        </w:rPr>
        <w:t xml:space="preserve">am </w:t>
      </w:r>
      <w:hyperlink r:id="rId138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19</w:t>
      </w:r>
    </w:p>
    <w:p w14:paraId="02C46085" w14:textId="77777777" w:rsidR="00D94935" w:rsidRPr="00140BF9" w:rsidRDefault="00D94935" w:rsidP="00D94935">
      <w:pPr>
        <w:pStyle w:val="AmdtsEntryHd"/>
        <w:rPr>
          <w:rFonts w:cs="Arial"/>
        </w:rPr>
      </w:pPr>
      <w:r w:rsidRPr="00140BF9">
        <w:rPr>
          <w:rFonts w:cs="Arial"/>
        </w:rPr>
        <w:t>Pleadings—joinder of issue</w:t>
      </w:r>
    </w:p>
    <w:p w14:paraId="42B77820" w14:textId="77777777"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14:paraId="13884B1B" w14:textId="77777777" w:rsidR="00D94935" w:rsidRPr="00140BF9" w:rsidRDefault="00D94935" w:rsidP="00D94935">
      <w:pPr>
        <w:pStyle w:val="AmdtsEntryHd"/>
        <w:rPr>
          <w:rFonts w:cs="Arial"/>
        </w:rPr>
      </w:pPr>
      <w:r w:rsidRPr="00140BF9">
        <w:rPr>
          <w:rFonts w:cs="Arial"/>
        </w:rPr>
        <w:t>Pleadings—close</w:t>
      </w:r>
    </w:p>
    <w:p w14:paraId="6EB60F5E" w14:textId="77777777"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14:paraId="59786AB4" w14:textId="77777777" w:rsidR="00D94935" w:rsidRPr="00140BF9" w:rsidRDefault="00D94935" w:rsidP="00D94935">
      <w:pPr>
        <w:pStyle w:val="AmdtsEntryHd"/>
        <w:rPr>
          <w:rFonts w:cs="Arial"/>
        </w:rPr>
      </w:pPr>
      <w:r w:rsidRPr="00140BF9">
        <w:rPr>
          <w:rFonts w:cs="Arial"/>
        </w:rPr>
        <w:t>Admissions—voluntary admission</w:t>
      </w:r>
    </w:p>
    <w:p w14:paraId="7BA26868" w14:textId="77777777"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14:paraId="208C6900" w14:textId="77777777" w:rsidR="00D94935" w:rsidRPr="00140BF9" w:rsidRDefault="00D94935" w:rsidP="00D94935">
      <w:pPr>
        <w:pStyle w:val="AmdtsEntryHd"/>
        <w:rPr>
          <w:rFonts w:cs="Arial"/>
        </w:rPr>
      </w:pPr>
      <w:r w:rsidRPr="00140BF9">
        <w:rPr>
          <w:rFonts w:cs="Arial"/>
        </w:rPr>
        <w:t>Admissions—notice to admit facts or documents</w:t>
      </w:r>
    </w:p>
    <w:p w14:paraId="45A4EB5C" w14:textId="77777777"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14:paraId="62E5F166" w14:textId="77777777" w:rsidR="00D94935" w:rsidRPr="00140BF9" w:rsidRDefault="00D94935" w:rsidP="00D94935">
      <w:pPr>
        <w:pStyle w:val="AmdtsEntryHd"/>
        <w:rPr>
          <w:rFonts w:cs="Arial"/>
        </w:rPr>
      </w:pPr>
      <w:r w:rsidRPr="00140BF9">
        <w:rPr>
          <w:rFonts w:cs="Arial"/>
        </w:rPr>
        <w:t>Admissions—withdrawal</w:t>
      </w:r>
    </w:p>
    <w:p w14:paraId="2A6AD31D" w14:textId="77777777"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14:paraId="5F31B914" w14:textId="77777777" w:rsidR="00D94935" w:rsidRPr="00140BF9" w:rsidRDefault="00D94935" w:rsidP="00D94935">
      <w:pPr>
        <w:pStyle w:val="AmdtsEntryHd"/>
        <w:rPr>
          <w:rFonts w:cs="Arial"/>
        </w:rPr>
      </w:pPr>
      <w:r w:rsidRPr="00140BF9">
        <w:rPr>
          <w:rFonts w:cs="Arial"/>
        </w:rPr>
        <w:t>Admissions—orders on</w:t>
      </w:r>
    </w:p>
    <w:p w14:paraId="1196214A" w14:textId="77777777"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14:paraId="4787D25F" w14:textId="77777777" w:rsidR="00D94935" w:rsidRPr="00140BF9" w:rsidRDefault="00D94935" w:rsidP="00D94935">
      <w:pPr>
        <w:pStyle w:val="AmdtsEntryHd"/>
        <w:rPr>
          <w:rFonts w:cs="Arial"/>
        </w:rPr>
      </w:pPr>
      <w:r w:rsidRPr="00140BF9">
        <w:rPr>
          <w:rFonts w:cs="Arial"/>
        </w:rPr>
        <w:t>Amendment—when must be made</w:t>
      </w:r>
    </w:p>
    <w:p w14:paraId="409E7315" w14:textId="77777777"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14:paraId="19B1CE0A" w14:textId="77777777" w:rsidR="00D94935" w:rsidRPr="00140BF9" w:rsidRDefault="00D94935" w:rsidP="00D94935">
      <w:pPr>
        <w:pStyle w:val="AmdtsEntryHd"/>
        <w:rPr>
          <w:rFonts w:cs="Arial"/>
        </w:rPr>
      </w:pPr>
      <w:r w:rsidRPr="00140BF9">
        <w:rPr>
          <w:rFonts w:cs="Arial"/>
        </w:rPr>
        <w:t>Amendment—of documents</w:t>
      </w:r>
    </w:p>
    <w:p w14:paraId="553A0E34" w14:textId="77777777"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14:paraId="2F3FC00D" w14:textId="77777777" w:rsidR="00D94935" w:rsidRPr="00140BF9" w:rsidRDefault="00D94935" w:rsidP="00D94935">
      <w:pPr>
        <w:pStyle w:val="AmdtsEntryHd"/>
        <w:rPr>
          <w:rFonts w:cs="Arial"/>
        </w:rPr>
      </w:pPr>
      <w:r w:rsidRPr="00140BF9">
        <w:rPr>
          <w:rFonts w:cs="Arial"/>
        </w:rPr>
        <w:t>Amendment—after limitation period</w:t>
      </w:r>
    </w:p>
    <w:p w14:paraId="3BB7806D" w14:textId="77777777"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14:paraId="09C696F0" w14:textId="77777777" w:rsidR="00D94935" w:rsidRPr="00140BF9" w:rsidRDefault="00D94935" w:rsidP="00D94935">
      <w:pPr>
        <w:pStyle w:val="AmdtsEntryHd"/>
        <w:rPr>
          <w:rFonts w:cs="Arial"/>
        </w:rPr>
      </w:pPr>
      <w:r w:rsidRPr="00140BF9">
        <w:rPr>
          <w:rFonts w:cs="Arial"/>
        </w:rPr>
        <w:lastRenderedPageBreak/>
        <w:t>Amendment—of originating process</w:t>
      </w:r>
    </w:p>
    <w:p w14:paraId="229937A7" w14:textId="77777777"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14:paraId="6AF8B990" w14:textId="3E2CFC40"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8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14:paraId="62F3B67B" w14:textId="77777777" w:rsidR="00D94935" w:rsidRPr="00140BF9" w:rsidRDefault="00D94935" w:rsidP="00D94935">
      <w:pPr>
        <w:pStyle w:val="AmdtsEntryHd"/>
        <w:rPr>
          <w:rFonts w:cs="Arial"/>
        </w:rPr>
      </w:pPr>
      <w:r w:rsidRPr="00140BF9">
        <w:rPr>
          <w:rFonts w:cs="Arial"/>
        </w:rPr>
        <w:t>Amendment—of pleadings before close of pleadings</w:t>
      </w:r>
    </w:p>
    <w:p w14:paraId="3AAC7F8D" w14:textId="77777777"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14:paraId="06A60929" w14:textId="77777777" w:rsidR="00D94935" w:rsidRPr="00140BF9" w:rsidRDefault="00D94935" w:rsidP="00D94935">
      <w:pPr>
        <w:pStyle w:val="AmdtsEntryHd"/>
        <w:rPr>
          <w:rFonts w:cs="Arial"/>
        </w:rPr>
      </w:pPr>
      <w:r w:rsidRPr="00140BF9">
        <w:rPr>
          <w:rFonts w:cs="Arial"/>
        </w:rPr>
        <w:t>Amendment—of pleadings disallowed</w:t>
      </w:r>
    </w:p>
    <w:p w14:paraId="2ABA2191" w14:textId="77777777"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14:paraId="41A68FF1" w14:textId="77777777" w:rsidR="00D94935" w:rsidRPr="00140BF9" w:rsidRDefault="00D94935" w:rsidP="00D94935">
      <w:pPr>
        <w:pStyle w:val="AmdtsEntryHd"/>
        <w:rPr>
          <w:rFonts w:cs="Arial"/>
        </w:rPr>
      </w:pPr>
      <w:r w:rsidRPr="00140BF9">
        <w:rPr>
          <w:rFonts w:cs="Arial"/>
        </w:rPr>
        <w:t>Amendment—of pleadings after close of pleadings</w:t>
      </w:r>
    </w:p>
    <w:p w14:paraId="2DECE958" w14:textId="77777777"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14:paraId="74C091CF" w14:textId="4FEB6917"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8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14:paraId="1AA69EEC" w14:textId="77777777" w:rsidR="00D94935" w:rsidRPr="00140BF9" w:rsidRDefault="00D94935" w:rsidP="00D94935">
      <w:pPr>
        <w:pStyle w:val="AmdtsEntryHd"/>
        <w:rPr>
          <w:rFonts w:cs="Arial"/>
        </w:rPr>
      </w:pPr>
      <w:r w:rsidRPr="00140BF9">
        <w:rPr>
          <w:rFonts w:cs="Arial"/>
        </w:rPr>
        <w:t>Amendment—when leave to amend ceases to have effect</w:t>
      </w:r>
    </w:p>
    <w:p w14:paraId="052B8CCB" w14:textId="77777777"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14:paraId="72C4FF0A" w14:textId="77777777" w:rsidR="00D94935" w:rsidRPr="00140BF9" w:rsidRDefault="00D94935" w:rsidP="00D94935">
      <w:pPr>
        <w:pStyle w:val="AmdtsEntryHd"/>
        <w:rPr>
          <w:rFonts w:cs="Arial"/>
        </w:rPr>
      </w:pPr>
      <w:r w:rsidRPr="00140BF9">
        <w:rPr>
          <w:rFonts w:cs="Arial"/>
        </w:rPr>
        <w:t>Amendment—procedure</w:t>
      </w:r>
    </w:p>
    <w:p w14:paraId="0A7924C9" w14:textId="77777777"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14:paraId="6484FA20" w14:textId="405A290D"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8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14:paraId="5C7C85EC" w14:textId="77777777" w:rsidR="00D94935" w:rsidRPr="00140BF9" w:rsidRDefault="00D94935" w:rsidP="00D94935">
      <w:pPr>
        <w:pStyle w:val="AmdtsEntryHd"/>
        <w:rPr>
          <w:rFonts w:cs="Arial"/>
        </w:rPr>
      </w:pPr>
      <w:r w:rsidRPr="00140BF9">
        <w:rPr>
          <w:rFonts w:cs="Arial"/>
        </w:rPr>
        <w:t>Amendment—person required to make</w:t>
      </w:r>
    </w:p>
    <w:p w14:paraId="302AA8F2" w14:textId="77777777"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14:paraId="6FA00934" w14:textId="77777777" w:rsidR="00D94935" w:rsidRPr="00140BF9" w:rsidRDefault="00D94935" w:rsidP="00D94935">
      <w:pPr>
        <w:pStyle w:val="AmdtsEntryHd"/>
        <w:rPr>
          <w:rFonts w:cs="Arial"/>
        </w:rPr>
      </w:pPr>
      <w:r w:rsidRPr="00140BF9">
        <w:rPr>
          <w:rFonts w:cs="Arial"/>
        </w:rPr>
        <w:t>Amendment—service of amended or revised document etc</w:t>
      </w:r>
    </w:p>
    <w:p w14:paraId="698E000E" w14:textId="77777777"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14:paraId="07A51625" w14:textId="77777777" w:rsidR="00D94935" w:rsidRPr="00140BF9" w:rsidRDefault="00D94935" w:rsidP="00D94935">
      <w:pPr>
        <w:pStyle w:val="AmdtsEntryHd"/>
        <w:rPr>
          <w:rFonts w:cs="Arial"/>
        </w:rPr>
      </w:pPr>
      <w:r w:rsidRPr="00140BF9">
        <w:rPr>
          <w:rFonts w:cs="Arial"/>
        </w:rPr>
        <w:t>Amendment—pleading to</w:t>
      </w:r>
    </w:p>
    <w:p w14:paraId="634F42FC" w14:textId="77777777"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14:paraId="72C9AA91" w14:textId="77777777" w:rsidR="00D94935" w:rsidRPr="00140BF9" w:rsidRDefault="00D94935" w:rsidP="00D94935">
      <w:pPr>
        <w:pStyle w:val="AmdtsEntryHd"/>
        <w:rPr>
          <w:rFonts w:cs="Arial"/>
        </w:rPr>
      </w:pPr>
      <w:r w:rsidRPr="00140BF9">
        <w:rPr>
          <w:rFonts w:cs="Arial"/>
        </w:rPr>
        <w:t>Amendment—costs</w:t>
      </w:r>
    </w:p>
    <w:p w14:paraId="3DA16188" w14:textId="77777777"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14:paraId="732764C3" w14:textId="4D477099"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8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14:paraId="49517C2F" w14:textId="77777777" w:rsidR="00D94935" w:rsidRPr="00140BF9" w:rsidRDefault="00D94935" w:rsidP="00D94935">
      <w:pPr>
        <w:pStyle w:val="AmdtsEntryHd"/>
        <w:rPr>
          <w:rFonts w:cs="Arial"/>
        </w:rPr>
      </w:pPr>
      <w:r w:rsidRPr="00140BF9">
        <w:rPr>
          <w:rFonts w:cs="Arial"/>
        </w:rPr>
        <w:t>Amendment—taking effect</w:t>
      </w:r>
    </w:p>
    <w:p w14:paraId="5615EDEA" w14:textId="77777777"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14:paraId="225517DB" w14:textId="77777777" w:rsidR="00D94935" w:rsidRPr="00140BF9" w:rsidRDefault="00D94935" w:rsidP="00D94935">
      <w:pPr>
        <w:pStyle w:val="AmdtsEntryHd"/>
        <w:rPr>
          <w:rFonts w:cs="Arial"/>
        </w:rPr>
      </w:pPr>
      <w:r w:rsidRPr="00140BF9">
        <w:rPr>
          <w:rFonts w:cs="Arial"/>
        </w:rPr>
        <w:t>Definitions—pt 2.8</w:t>
      </w:r>
    </w:p>
    <w:p w14:paraId="3580EAFA" w14:textId="77777777"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14:paraId="2DC33810" w14:textId="44CE74FB"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8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14:paraId="354A7CF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14:paraId="05A96162" w14:textId="77777777"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14:paraId="4E09A8EB" w14:textId="75CD3DBD"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8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14:paraId="63A221AD" w14:textId="77777777" w:rsidR="00D94935" w:rsidRPr="00140BF9" w:rsidRDefault="00D94935" w:rsidP="00D94935">
      <w:pPr>
        <w:pStyle w:val="AmdtsEntryHd"/>
        <w:rPr>
          <w:rFonts w:cs="Arial"/>
        </w:rPr>
      </w:pPr>
      <w:r w:rsidRPr="00140BF9">
        <w:rPr>
          <w:rFonts w:cs="Arial"/>
        </w:rPr>
        <w:t>Discoverable documents</w:t>
      </w:r>
    </w:p>
    <w:p w14:paraId="5DF2CFAC" w14:textId="77777777"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14:paraId="4715F3EB" w14:textId="32459F1F"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9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9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303B5092" w14:textId="77777777" w:rsidR="00D94935" w:rsidRPr="00140BF9" w:rsidRDefault="00D94935" w:rsidP="00D94935">
      <w:pPr>
        <w:pStyle w:val="AmdtsEntryHd"/>
        <w:rPr>
          <w:rFonts w:cs="Arial"/>
        </w:rPr>
      </w:pPr>
      <w:r w:rsidRPr="00140BF9">
        <w:rPr>
          <w:rFonts w:cs="Arial"/>
        </w:rPr>
        <w:t>Orders about disclosure</w:t>
      </w:r>
    </w:p>
    <w:p w14:paraId="6E8EAE7A" w14:textId="77777777"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14:paraId="72C87C6C" w14:textId="77777777" w:rsidR="00D94935" w:rsidRPr="00140BF9" w:rsidRDefault="00D94935" w:rsidP="00D94935">
      <w:pPr>
        <w:pStyle w:val="AmdtsEntryHd"/>
        <w:rPr>
          <w:rFonts w:cs="Arial"/>
        </w:rPr>
      </w:pPr>
      <w:r w:rsidRPr="00140BF9">
        <w:rPr>
          <w:rFonts w:cs="Arial"/>
        </w:rPr>
        <w:lastRenderedPageBreak/>
        <w:t>Notice to disclose discoverable documents</w:t>
      </w:r>
    </w:p>
    <w:p w14:paraId="105A300D" w14:textId="77777777" w:rsidR="00D94935" w:rsidRDefault="00D94935" w:rsidP="00745DAF">
      <w:pPr>
        <w:pStyle w:val="AmdtsEntries"/>
        <w:keepNext/>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14:paraId="6EF21D17" w14:textId="06AF2F83"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9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14:paraId="5952E84D" w14:textId="77777777" w:rsidR="00D94935" w:rsidRPr="00140BF9" w:rsidRDefault="00D94935" w:rsidP="00D94935">
      <w:pPr>
        <w:pStyle w:val="AmdtsEntryHd"/>
        <w:rPr>
          <w:rFonts w:cs="Arial"/>
        </w:rPr>
      </w:pPr>
      <w:r w:rsidRPr="00140BF9">
        <w:rPr>
          <w:rFonts w:cs="Arial"/>
        </w:rPr>
        <w:t>List of discoverable and privileged documents etc</w:t>
      </w:r>
    </w:p>
    <w:p w14:paraId="5CA6B002" w14:textId="77777777"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14:paraId="01BB14FF" w14:textId="6A013675"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9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14:paraId="01212D11" w14:textId="77777777" w:rsidR="00D94935" w:rsidRPr="00140BF9" w:rsidRDefault="00D94935" w:rsidP="00D94935">
      <w:pPr>
        <w:pStyle w:val="AmdtsEntryHd"/>
        <w:rPr>
          <w:rFonts w:cs="Arial"/>
        </w:rPr>
      </w:pPr>
      <w:r w:rsidRPr="00140BF9">
        <w:rPr>
          <w:rFonts w:cs="Arial"/>
        </w:rPr>
        <w:t>Claim for privilege—challenge etc</w:t>
      </w:r>
    </w:p>
    <w:p w14:paraId="70CAA204" w14:textId="77777777"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14:paraId="28B6772C" w14:textId="62AED40F"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9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7B06A63A" w14:textId="77777777" w:rsidR="00D94935" w:rsidRPr="00140BF9" w:rsidRDefault="00D94935" w:rsidP="00D94935">
      <w:pPr>
        <w:pStyle w:val="AmdtsEntryHd"/>
        <w:rPr>
          <w:rFonts w:cs="Arial"/>
        </w:rPr>
      </w:pPr>
      <w:r w:rsidRPr="00140BF9">
        <w:rPr>
          <w:rFonts w:cs="Arial"/>
        </w:rPr>
        <w:t>Claim for privilege—waiver</w:t>
      </w:r>
    </w:p>
    <w:p w14:paraId="4923F7B4" w14:textId="77777777"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14:paraId="03E29F51" w14:textId="77777777" w:rsidR="00D94935" w:rsidRPr="00140BF9" w:rsidRDefault="00D94935" w:rsidP="00D94935">
      <w:pPr>
        <w:pStyle w:val="AmdtsEntryHd"/>
        <w:rPr>
          <w:rFonts w:cs="Arial"/>
        </w:rPr>
      </w:pPr>
      <w:r w:rsidRPr="00140BF9">
        <w:rPr>
          <w:rFonts w:cs="Arial"/>
        </w:rPr>
        <w:t>Continuing disclosure</w:t>
      </w:r>
    </w:p>
    <w:p w14:paraId="2806A19F" w14:textId="77777777"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14:paraId="21731745" w14:textId="77777777" w:rsidR="00D94935" w:rsidRPr="00140BF9" w:rsidRDefault="00D94935" w:rsidP="00D94935">
      <w:pPr>
        <w:pStyle w:val="AmdtsEntryHd"/>
        <w:rPr>
          <w:rFonts w:cs="Arial"/>
        </w:rPr>
      </w:pPr>
      <w:r w:rsidRPr="00140BF9">
        <w:rPr>
          <w:rFonts w:cs="Arial"/>
        </w:rPr>
        <w:t>Production of documents for inspection</w:t>
      </w:r>
    </w:p>
    <w:p w14:paraId="575088FB" w14:textId="77777777"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14:paraId="47A3F9FF" w14:textId="77777777" w:rsidR="00D94935" w:rsidRPr="00140BF9" w:rsidRDefault="00D94935" w:rsidP="00D94935">
      <w:pPr>
        <w:pStyle w:val="AmdtsEntryHd"/>
        <w:rPr>
          <w:rFonts w:cs="Arial"/>
        </w:rPr>
      </w:pPr>
      <w:r w:rsidRPr="00140BF9">
        <w:rPr>
          <w:rFonts w:cs="Arial"/>
        </w:rPr>
        <w:t>Orders about production of documents for inspection</w:t>
      </w:r>
    </w:p>
    <w:p w14:paraId="78BA8C4B" w14:textId="77777777"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14:paraId="27A4FF3A" w14:textId="77777777" w:rsidR="00D94935" w:rsidRPr="00140BF9" w:rsidRDefault="00D94935" w:rsidP="00D94935">
      <w:pPr>
        <w:pStyle w:val="AmdtsEntryHd"/>
        <w:rPr>
          <w:rFonts w:cs="Arial"/>
        </w:rPr>
      </w:pPr>
      <w:r w:rsidRPr="00140BF9">
        <w:rPr>
          <w:rFonts w:cs="Arial"/>
        </w:rPr>
        <w:t>Effect of inspection of documents disclosed by another party</w:t>
      </w:r>
    </w:p>
    <w:p w14:paraId="7FE00FC9" w14:textId="77777777"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14:paraId="51CA894E" w14:textId="77777777" w:rsidR="00D94935" w:rsidRPr="00140BF9" w:rsidRDefault="00D94935" w:rsidP="00D94935">
      <w:pPr>
        <w:pStyle w:val="AmdtsEntryHd"/>
        <w:rPr>
          <w:rFonts w:cs="Arial"/>
        </w:rPr>
      </w:pPr>
      <w:r w:rsidRPr="00140BF9">
        <w:rPr>
          <w:rFonts w:cs="Arial"/>
        </w:rPr>
        <w:t>Production of documents at hearing of proceeding</w:t>
      </w:r>
    </w:p>
    <w:p w14:paraId="620255C4" w14:textId="77777777"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14:paraId="0EA137A4" w14:textId="12010468" w:rsidR="00D94935" w:rsidRPr="00140BF9" w:rsidRDefault="004A76DE" w:rsidP="00D94935">
      <w:pPr>
        <w:pStyle w:val="AmdtsEntryHd"/>
        <w:rPr>
          <w:rFonts w:cs="Arial"/>
        </w:rPr>
      </w:pPr>
      <w:r w:rsidRPr="00541115">
        <w:t>Order for party to answer interrogatories</w:t>
      </w:r>
    </w:p>
    <w:p w14:paraId="59E05695" w14:textId="77777777"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14:paraId="0E668153" w14:textId="6B25E29B"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9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14:paraId="7473C3DE" w14:textId="0E7557A7" w:rsidR="004A76DE" w:rsidRPr="00140BF9" w:rsidRDefault="004A76DE" w:rsidP="004A76DE">
      <w:pPr>
        <w:pStyle w:val="AmdtsEntries"/>
        <w:rPr>
          <w:rFonts w:cs="Arial"/>
        </w:rPr>
      </w:pPr>
      <w:r>
        <w:rPr>
          <w:rFonts w:cs="Arial"/>
        </w:rPr>
        <w:tab/>
        <w:t xml:space="preserve">sub </w:t>
      </w:r>
      <w:hyperlink r:id="rId1396"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6</w:t>
      </w:r>
    </w:p>
    <w:p w14:paraId="0D7C15E9" w14:textId="77777777" w:rsidR="00D94935" w:rsidRPr="00140BF9" w:rsidRDefault="00D94935" w:rsidP="00D94935">
      <w:pPr>
        <w:pStyle w:val="AmdtsEntryHd"/>
        <w:rPr>
          <w:rFonts w:cs="Arial"/>
        </w:rPr>
      </w:pPr>
      <w:r w:rsidRPr="00140BF9">
        <w:rPr>
          <w:rFonts w:cs="Arial"/>
        </w:rPr>
        <w:t>Objections to answer interrogatories</w:t>
      </w:r>
    </w:p>
    <w:p w14:paraId="6C614D6E" w14:textId="77777777"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14:paraId="6BE4613B" w14:textId="7788498C"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9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3730068" w14:textId="77777777" w:rsidR="00D94935" w:rsidRPr="00140BF9" w:rsidRDefault="00D94935" w:rsidP="00D94935">
      <w:pPr>
        <w:pStyle w:val="AmdtsEntryHd"/>
        <w:rPr>
          <w:rFonts w:cs="Arial"/>
        </w:rPr>
      </w:pPr>
      <w:r w:rsidRPr="00140BF9">
        <w:rPr>
          <w:rFonts w:cs="Arial"/>
        </w:rPr>
        <w:t>Orders about interrogatories</w:t>
      </w:r>
    </w:p>
    <w:p w14:paraId="5DE365E1" w14:textId="77777777"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14:paraId="77C8493E" w14:textId="77777777" w:rsidR="00D94935" w:rsidRPr="00140BF9" w:rsidRDefault="00D94935" w:rsidP="00D94935">
      <w:pPr>
        <w:pStyle w:val="AmdtsEntryHd"/>
        <w:rPr>
          <w:rFonts w:cs="Arial"/>
        </w:rPr>
      </w:pPr>
      <w:r w:rsidRPr="00140BF9">
        <w:rPr>
          <w:rFonts w:cs="Arial"/>
        </w:rPr>
        <w:t>Answers to interrogatories</w:t>
      </w:r>
    </w:p>
    <w:p w14:paraId="59AECDED" w14:textId="15B7B8B6" w:rsidR="00D94935" w:rsidRDefault="00D94935" w:rsidP="00D94935">
      <w:pPr>
        <w:pStyle w:val="AmdtsEntries"/>
        <w:rPr>
          <w:rFonts w:eastAsiaTheme="minorEastAsia" w:cs="Arial"/>
          <w:szCs w:val="22"/>
          <w:lang w:eastAsia="en-AU"/>
        </w:rPr>
      </w:pPr>
      <w:r w:rsidRPr="00140BF9">
        <w:rPr>
          <w:rFonts w:cs="Arial"/>
        </w:rPr>
        <w:t>r 633 hdg</w:t>
      </w:r>
      <w:r w:rsidRPr="00140BF9">
        <w:rPr>
          <w:rFonts w:eastAsiaTheme="minorEastAsia" w:cs="Arial"/>
          <w:szCs w:val="22"/>
          <w:lang w:eastAsia="en-AU"/>
        </w:rPr>
        <w:tab/>
        <w:t>bracketed note om R29 LA</w:t>
      </w:r>
    </w:p>
    <w:p w14:paraId="4435CAC6" w14:textId="70089D8F" w:rsidR="004A76DE" w:rsidRPr="00140BF9" w:rsidRDefault="004A76DE" w:rsidP="00D94935">
      <w:pPr>
        <w:pStyle w:val="AmdtsEntries"/>
        <w:rPr>
          <w:rFonts w:cs="Arial"/>
        </w:rPr>
      </w:pPr>
      <w:r>
        <w:rPr>
          <w:rFonts w:eastAsiaTheme="minorEastAsia" w:cs="Arial"/>
          <w:szCs w:val="22"/>
          <w:lang w:eastAsia="en-AU"/>
        </w:rPr>
        <w:t>r 633</w:t>
      </w:r>
      <w:r>
        <w:rPr>
          <w:rFonts w:eastAsiaTheme="minorEastAsia" w:cs="Arial"/>
          <w:szCs w:val="22"/>
          <w:lang w:eastAsia="en-AU"/>
        </w:rPr>
        <w:tab/>
        <w:t xml:space="preserve">am </w:t>
      </w:r>
      <w:hyperlink r:id="rId1398"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7</w:t>
      </w:r>
    </w:p>
    <w:p w14:paraId="221EE76C" w14:textId="77777777" w:rsidR="00D94935" w:rsidRPr="00140BF9" w:rsidRDefault="00D94935" w:rsidP="00D94935">
      <w:pPr>
        <w:pStyle w:val="AmdtsEntryHd"/>
        <w:rPr>
          <w:rFonts w:cs="Arial"/>
        </w:rPr>
      </w:pPr>
      <w:r w:rsidRPr="00140BF9">
        <w:rPr>
          <w:rFonts w:cs="Arial"/>
        </w:rPr>
        <w:t>Answers to interrogatories—belief</w:t>
      </w:r>
    </w:p>
    <w:p w14:paraId="16A0EA69" w14:textId="77777777"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14:paraId="364D7F42" w14:textId="08CB8289"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9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617DAE5" w14:textId="77777777" w:rsidR="00D94935" w:rsidRPr="00140BF9" w:rsidRDefault="00D94935" w:rsidP="00D94935">
      <w:pPr>
        <w:pStyle w:val="AmdtsEntryHd"/>
        <w:rPr>
          <w:rFonts w:cs="Arial"/>
        </w:rPr>
      </w:pPr>
      <w:r w:rsidRPr="00140BF9">
        <w:rPr>
          <w:rFonts w:cs="Arial"/>
        </w:rPr>
        <w:t>Answers to interrogatories to be verified</w:t>
      </w:r>
    </w:p>
    <w:p w14:paraId="6C356DD0" w14:textId="77777777"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14:paraId="58C2B09C" w14:textId="77777777" w:rsidR="00D94935" w:rsidRPr="00140BF9" w:rsidRDefault="00D94935" w:rsidP="00D94935">
      <w:pPr>
        <w:pStyle w:val="AmdtsEntryHd"/>
        <w:rPr>
          <w:rFonts w:cs="Arial"/>
        </w:rPr>
      </w:pPr>
      <w:r w:rsidRPr="00140BF9">
        <w:rPr>
          <w:rFonts w:cs="Arial"/>
        </w:rPr>
        <w:lastRenderedPageBreak/>
        <w:t>Tendering of answers to interrogatories in evidence</w:t>
      </w:r>
    </w:p>
    <w:p w14:paraId="3FFE27D0" w14:textId="77285120" w:rsidR="00D94935" w:rsidRDefault="00D94935" w:rsidP="00D94935">
      <w:pPr>
        <w:pStyle w:val="AmdtsEntries"/>
        <w:rPr>
          <w:rFonts w:eastAsiaTheme="minorEastAsia" w:cs="Arial"/>
          <w:szCs w:val="22"/>
          <w:lang w:eastAsia="en-AU"/>
        </w:rPr>
      </w:pPr>
      <w:r w:rsidRPr="00140BF9">
        <w:rPr>
          <w:rFonts w:cs="Arial"/>
        </w:rPr>
        <w:t>r 636 hdg</w:t>
      </w:r>
      <w:r w:rsidRPr="00140BF9">
        <w:rPr>
          <w:rFonts w:eastAsiaTheme="minorEastAsia" w:cs="Arial"/>
          <w:szCs w:val="22"/>
          <w:lang w:eastAsia="en-AU"/>
        </w:rPr>
        <w:tab/>
        <w:t>bracketed note om R29 LA</w:t>
      </w:r>
    </w:p>
    <w:p w14:paraId="60BD27F7" w14:textId="0B76CF00" w:rsidR="004A76DE" w:rsidRPr="00140BF9" w:rsidRDefault="004A76DE" w:rsidP="00D94935">
      <w:pPr>
        <w:pStyle w:val="AmdtsEntries"/>
        <w:rPr>
          <w:rFonts w:cs="Arial"/>
        </w:rPr>
      </w:pPr>
      <w:r>
        <w:rPr>
          <w:rFonts w:eastAsiaTheme="minorEastAsia" w:cs="Arial"/>
          <w:szCs w:val="22"/>
          <w:lang w:eastAsia="en-AU"/>
        </w:rPr>
        <w:t>r 636</w:t>
      </w:r>
      <w:r>
        <w:rPr>
          <w:rFonts w:eastAsiaTheme="minorEastAsia" w:cs="Arial"/>
          <w:szCs w:val="22"/>
          <w:lang w:eastAsia="en-AU"/>
        </w:rPr>
        <w:tab/>
        <w:t xml:space="preserve">am </w:t>
      </w:r>
      <w:hyperlink r:id="rId1400"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8</w:t>
      </w:r>
    </w:p>
    <w:p w14:paraId="144A39EC" w14:textId="77777777" w:rsidR="00D94935" w:rsidRPr="00140BF9" w:rsidRDefault="00D94935" w:rsidP="00D94935">
      <w:pPr>
        <w:pStyle w:val="AmdtsEntryHd"/>
        <w:rPr>
          <w:rFonts w:cs="Arial"/>
        </w:rPr>
      </w:pPr>
      <w:r w:rsidRPr="00140BF9">
        <w:rPr>
          <w:rFonts w:cs="Arial"/>
        </w:rPr>
        <w:t>Answers by governments, corporations etc</w:t>
      </w:r>
    </w:p>
    <w:p w14:paraId="7E9CC0A9" w14:textId="77777777"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14:paraId="5E9820DC" w14:textId="77777777" w:rsidR="00D94935" w:rsidRPr="00140BF9" w:rsidRDefault="00D94935" w:rsidP="00D94935">
      <w:pPr>
        <w:pStyle w:val="AmdtsEntryHd"/>
        <w:rPr>
          <w:rFonts w:cs="Arial"/>
        </w:rPr>
      </w:pPr>
      <w:r w:rsidRPr="00140BF9">
        <w:rPr>
          <w:rFonts w:cs="Arial"/>
        </w:rPr>
        <w:t>Party cannot swear affidavit personally</w:t>
      </w:r>
    </w:p>
    <w:p w14:paraId="0D316F5E" w14:textId="77777777"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14:paraId="3C8A1BA7" w14:textId="77777777" w:rsidR="00D94935" w:rsidRPr="00140BF9" w:rsidRDefault="00D94935" w:rsidP="00D94935">
      <w:pPr>
        <w:pStyle w:val="AmdtsEntryHd"/>
        <w:rPr>
          <w:rFonts w:cs="Arial"/>
        </w:rPr>
      </w:pPr>
      <w:r w:rsidRPr="00140BF9">
        <w:rPr>
          <w:rFonts w:cs="Arial"/>
        </w:rPr>
        <w:t>Discovery to identify potential defendant</w:t>
      </w:r>
    </w:p>
    <w:p w14:paraId="1953997B" w14:textId="77777777"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14:paraId="3733C5EC" w14:textId="78E2A510"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401"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14:paraId="583CB817" w14:textId="77777777" w:rsidR="00D94935" w:rsidRPr="00140BF9" w:rsidRDefault="00D94935" w:rsidP="00D94935">
      <w:pPr>
        <w:pStyle w:val="AmdtsEntryHd"/>
        <w:rPr>
          <w:rFonts w:cs="Arial"/>
        </w:rPr>
      </w:pPr>
      <w:r w:rsidRPr="00140BF9">
        <w:rPr>
          <w:rFonts w:cs="Arial"/>
        </w:rPr>
        <w:t>Discovery to identify right to claim relief</w:t>
      </w:r>
    </w:p>
    <w:p w14:paraId="2C6F1D87" w14:textId="77777777"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14:paraId="3DCC8F59" w14:textId="0E1E6DC7"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40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14:paraId="6BA411DC" w14:textId="77777777" w:rsidR="00D94935" w:rsidRPr="00140BF9" w:rsidRDefault="00D94935" w:rsidP="00D94935">
      <w:pPr>
        <w:pStyle w:val="AmdtsEntryHd"/>
        <w:rPr>
          <w:rFonts w:cs="Arial"/>
        </w:rPr>
      </w:pPr>
      <w:r w:rsidRPr="00140BF9">
        <w:rPr>
          <w:rFonts w:cs="Arial"/>
        </w:rPr>
        <w:t>Order under div 2.8.6—privilege</w:t>
      </w:r>
    </w:p>
    <w:p w14:paraId="104E1E89" w14:textId="77777777"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14:paraId="1FF619C1" w14:textId="77777777" w:rsidR="00D94935" w:rsidRPr="00140BF9" w:rsidRDefault="00D94935" w:rsidP="00D94935">
      <w:pPr>
        <w:pStyle w:val="AmdtsEntryHd"/>
        <w:rPr>
          <w:rFonts w:cs="Arial"/>
        </w:rPr>
      </w:pPr>
      <w:r w:rsidRPr="00140BF9">
        <w:rPr>
          <w:rFonts w:cs="Arial"/>
        </w:rPr>
        <w:t>Order under div 2.8.6—costs</w:t>
      </w:r>
    </w:p>
    <w:p w14:paraId="3F46CC7E" w14:textId="77777777"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14:paraId="1A1FCD46" w14:textId="77777777" w:rsidR="006520D2" w:rsidRDefault="006520D2" w:rsidP="00D94935">
      <w:pPr>
        <w:pStyle w:val="AmdtsEntryHd"/>
      </w:pPr>
      <w:r w:rsidRPr="00F7165D">
        <w:t>Application—div 2.8.7</w:t>
      </w:r>
    </w:p>
    <w:p w14:paraId="5112C58E" w14:textId="28F39A86" w:rsidR="006520D2" w:rsidRPr="006520D2" w:rsidRDefault="006520D2" w:rsidP="006520D2">
      <w:pPr>
        <w:pStyle w:val="AmdtsEntries"/>
      </w:pPr>
      <w:r>
        <w:t>r 659</w:t>
      </w:r>
      <w:r>
        <w:tab/>
        <w:t xml:space="preserve">ins </w:t>
      </w:r>
      <w:hyperlink r:id="rId1403" w:tooltip="Court Procedures Amendment Rules 2015 (No 3)" w:history="1">
        <w:r w:rsidRPr="006520D2">
          <w:rPr>
            <w:rStyle w:val="charCitHyperlinkAbbrev"/>
            <w:rFonts w:eastAsiaTheme="minorEastAsia"/>
          </w:rPr>
          <w:t>SL2015-42</w:t>
        </w:r>
      </w:hyperlink>
      <w:r>
        <w:t xml:space="preserve"> r 5</w:t>
      </w:r>
    </w:p>
    <w:p w14:paraId="5831AB3B" w14:textId="77777777" w:rsidR="00D94935" w:rsidRPr="00140BF9" w:rsidRDefault="00D94935" w:rsidP="00D94935">
      <w:pPr>
        <w:pStyle w:val="AmdtsEntryHd"/>
        <w:rPr>
          <w:rFonts w:cs="Arial"/>
        </w:rPr>
      </w:pPr>
      <w:r w:rsidRPr="00140BF9">
        <w:rPr>
          <w:rFonts w:cs="Arial"/>
        </w:rPr>
        <w:t>Notice for non-party production—issue</w:t>
      </w:r>
    </w:p>
    <w:p w14:paraId="0482DDB0" w14:textId="77777777"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14:paraId="2B7F67F4" w14:textId="77777777" w:rsidR="00D94935" w:rsidRPr="00140BF9" w:rsidRDefault="00D94935" w:rsidP="00D94935">
      <w:pPr>
        <w:pStyle w:val="AmdtsEntryHd"/>
        <w:rPr>
          <w:rFonts w:cs="Arial"/>
        </w:rPr>
      </w:pPr>
      <w:r w:rsidRPr="00140BF9">
        <w:rPr>
          <w:rFonts w:cs="Arial"/>
        </w:rPr>
        <w:t>Notice for non-party production—service</w:t>
      </w:r>
    </w:p>
    <w:p w14:paraId="51C3CC43" w14:textId="77777777"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14:paraId="5F801143" w14:textId="3DD751B5"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4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14:paraId="4F2318E5" w14:textId="77777777" w:rsidR="00D94935" w:rsidRPr="00140BF9" w:rsidRDefault="00D94935" w:rsidP="00D94935">
      <w:pPr>
        <w:pStyle w:val="AmdtsEntryHd"/>
        <w:rPr>
          <w:rFonts w:cs="Arial"/>
        </w:rPr>
      </w:pPr>
      <w:r w:rsidRPr="00140BF9">
        <w:rPr>
          <w:rFonts w:cs="Arial"/>
        </w:rPr>
        <w:t>Notice for non-party production—inspection by other parties</w:t>
      </w:r>
    </w:p>
    <w:p w14:paraId="107EF611" w14:textId="59C89A6B"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40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14:paraId="71B29ABA" w14:textId="77777777" w:rsidR="00D94935" w:rsidRPr="00140BF9" w:rsidRDefault="00D94935" w:rsidP="00D94935">
      <w:pPr>
        <w:pStyle w:val="AmdtsEntryHd"/>
        <w:rPr>
          <w:rFonts w:cs="Arial"/>
        </w:rPr>
      </w:pPr>
      <w:r w:rsidRPr="00140BF9">
        <w:rPr>
          <w:rFonts w:cs="Arial"/>
        </w:rPr>
        <w:t>Notice for non-party production—application to set aside</w:t>
      </w:r>
    </w:p>
    <w:p w14:paraId="6BE6C662" w14:textId="77777777"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14:paraId="0F557E56" w14:textId="77777777" w:rsidR="00D94935" w:rsidRPr="00140BF9" w:rsidRDefault="00D94935" w:rsidP="00D94935">
      <w:pPr>
        <w:pStyle w:val="AmdtsEntryHd"/>
        <w:rPr>
          <w:rFonts w:cs="Arial"/>
        </w:rPr>
      </w:pPr>
      <w:r w:rsidRPr="00140BF9">
        <w:rPr>
          <w:rFonts w:cs="Arial"/>
        </w:rPr>
        <w:t>Notice for non-party production—privilege or objection</w:t>
      </w:r>
    </w:p>
    <w:p w14:paraId="5DDC6FE6" w14:textId="77777777"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14:paraId="6CBDAF68" w14:textId="3D98ADF4"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40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14:paraId="43FF155A" w14:textId="77777777" w:rsidR="00D94935" w:rsidRPr="00140BF9" w:rsidRDefault="00D94935" w:rsidP="00D94935">
      <w:pPr>
        <w:pStyle w:val="AmdtsEntryHd"/>
        <w:rPr>
          <w:rFonts w:cs="Arial"/>
        </w:rPr>
      </w:pPr>
      <w:r w:rsidRPr="00140BF9">
        <w:rPr>
          <w:rFonts w:cs="Arial"/>
        </w:rPr>
        <w:t>Notice for non-party production—failure to produce documents</w:t>
      </w:r>
    </w:p>
    <w:p w14:paraId="2BE2FF2E" w14:textId="77777777"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14:paraId="3E644740" w14:textId="77777777" w:rsidR="00D94935" w:rsidRPr="00140BF9" w:rsidRDefault="00D94935" w:rsidP="00D94935">
      <w:pPr>
        <w:pStyle w:val="AmdtsEntryHd"/>
        <w:rPr>
          <w:rFonts w:cs="Arial"/>
        </w:rPr>
      </w:pPr>
      <w:r w:rsidRPr="00140BF9">
        <w:rPr>
          <w:rFonts w:cs="Arial"/>
        </w:rPr>
        <w:t>Notice for non-party production—copying produced documents</w:t>
      </w:r>
    </w:p>
    <w:p w14:paraId="280E3D4A" w14:textId="77777777"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14:paraId="45520DF5" w14:textId="77777777" w:rsidR="00D94935" w:rsidRPr="00140BF9" w:rsidRDefault="00D94935" w:rsidP="00D94935">
      <w:pPr>
        <w:pStyle w:val="AmdtsEntryHd"/>
        <w:rPr>
          <w:rFonts w:cs="Arial"/>
        </w:rPr>
      </w:pPr>
      <w:r w:rsidRPr="00140BF9">
        <w:rPr>
          <w:rFonts w:cs="Arial"/>
        </w:rPr>
        <w:t>Notice for non-party production—costs</w:t>
      </w:r>
    </w:p>
    <w:p w14:paraId="77EE542E" w14:textId="77777777"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14:paraId="0D20634C" w14:textId="77777777" w:rsidR="00D94935" w:rsidRPr="00140BF9" w:rsidRDefault="00D94935" w:rsidP="00D94935">
      <w:pPr>
        <w:pStyle w:val="AmdtsEntryHd"/>
        <w:rPr>
          <w:rFonts w:cs="Arial"/>
        </w:rPr>
      </w:pPr>
      <w:r w:rsidRPr="00140BF9">
        <w:rPr>
          <w:rFonts w:cs="Arial"/>
        </w:rPr>
        <w:lastRenderedPageBreak/>
        <w:t>Contravention of pt 2.8 order—contempt of court</w:t>
      </w:r>
    </w:p>
    <w:p w14:paraId="2E8E1461" w14:textId="77777777"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14:paraId="1BB0A8CE" w14:textId="7681F8B8"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40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14:paraId="634898F6" w14:textId="77777777" w:rsidR="00D94935" w:rsidRPr="00140BF9" w:rsidRDefault="00D94935" w:rsidP="00D94935">
      <w:pPr>
        <w:pStyle w:val="AmdtsEntryHd"/>
        <w:rPr>
          <w:rFonts w:cs="Arial"/>
        </w:rPr>
      </w:pPr>
      <w:r w:rsidRPr="00140BF9">
        <w:rPr>
          <w:rFonts w:cs="Arial"/>
        </w:rPr>
        <w:t>Contravention of pt 2.8 order—other action</w:t>
      </w:r>
    </w:p>
    <w:p w14:paraId="7321030F" w14:textId="77777777"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14:paraId="547F53A7" w14:textId="77777777" w:rsidR="00D94935" w:rsidRPr="00140BF9" w:rsidRDefault="00D94935" w:rsidP="00D94935">
      <w:pPr>
        <w:pStyle w:val="AmdtsEntryHd"/>
        <w:rPr>
          <w:rFonts w:cs="Arial"/>
        </w:rPr>
      </w:pPr>
      <w:r w:rsidRPr="00140BF9">
        <w:rPr>
          <w:rFonts w:cs="Arial"/>
        </w:rPr>
        <w:t>Solicitor to notify party of certain matters about pt 2.8</w:t>
      </w:r>
    </w:p>
    <w:p w14:paraId="33B91B97" w14:textId="518149E4" w:rsidR="00D94935" w:rsidRDefault="00D94935" w:rsidP="00D94935">
      <w:pPr>
        <w:pStyle w:val="AmdtsEntries"/>
        <w:rPr>
          <w:rFonts w:eastAsiaTheme="minorEastAsia" w:cs="Arial"/>
          <w:szCs w:val="22"/>
          <w:lang w:eastAsia="en-AU"/>
        </w:rPr>
      </w:pPr>
      <w:r w:rsidRPr="00140BF9">
        <w:rPr>
          <w:rFonts w:cs="Arial"/>
        </w:rPr>
        <w:t>r 672 hdg</w:t>
      </w:r>
      <w:r w:rsidRPr="00140BF9">
        <w:rPr>
          <w:rFonts w:eastAsiaTheme="minorEastAsia" w:cs="Arial"/>
          <w:szCs w:val="22"/>
          <w:lang w:eastAsia="en-AU"/>
        </w:rPr>
        <w:tab/>
        <w:t>bracketed note om R29 LA</w:t>
      </w:r>
    </w:p>
    <w:p w14:paraId="67FC8578" w14:textId="050CD0C5" w:rsidR="004A76DE" w:rsidRPr="00140BF9" w:rsidRDefault="004A76DE" w:rsidP="00D94935">
      <w:pPr>
        <w:pStyle w:val="AmdtsEntries"/>
        <w:rPr>
          <w:rFonts w:cs="Arial"/>
        </w:rPr>
      </w:pPr>
      <w:r>
        <w:rPr>
          <w:rFonts w:eastAsiaTheme="minorEastAsia" w:cs="Arial"/>
          <w:szCs w:val="22"/>
          <w:lang w:eastAsia="en-AU"/>
        </w:rPr>
        <w:t>r 672</w:t>
      </w:r>
      <w:r>
        <w:rPr>
          <w:rFonts w:eastAsiaTheme="minorEastAsia" w:cs="Arial"/>
          <w:szCs w:val="22"/>
          <w:lang w:eastAsia="en-AU"/>
        </w:rPr>
        <w:tab/>
        <w:t xml:space="preserve">am </w:t>
      </w:r>
      <w:hyperlink r:id="rId1408"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9, r 10</w:t>
      </w:r>
    </w:p>
    <w:p w14:paraId="5F64353D" w14:textId="77777777" w:rsidR="00D94935" w:rsidRPr="00140BF9" w:rsidRDefault="00D94935" w:rsidP="00D94935">
      <w:pPr>
        <w:pStyle w:val="AmdtsEntryHd"/>
        <w:rPr>
          <w:rFonts w:cs="Arial"/>
        </w:rPr>
      </w:pPr>
      <w:r w:rsidRPr="00140BF9">
        <w:rPr>
          <w:rFonts w:cs="Arial"/>
        </w:rPr>
        <w:t>Improper use of disclosed document</w:t>
      </w:r>
    </w:p>
    <w:p w14:paraId="225B46A5" w14:textId="77777777"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14:paraId="22B1E77C" w14:textId="579A9DC6"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40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14:paraId="1E0A34B9" w14:textId="77777777" w:rsidR="00D94935" w:rsidRPr="00140BF9" w:rsidRDefault="00D94935" w:rsidP="00D94935">
      <w:pPr>
        <w:pStyle w:val="AmdtsEntryHd"/>
        <w:rPr>
          <w:rFonts w:cs="Arial"/>
        </w:rPr>
      </w:pPr>
      <w:r w:rsidRPr="00140BF9">
        <w:rPr>
          <w:rFonts w:cs="Arial"/>
        </w:rPr>
        <w:t>Failure to disclose document</w:t>
      </w:r>
    </w:p>
    <w:p w14:paraId="08956B49" w14:textId="77777777"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14:paraId="67418D55" w14:textId="5D778CE8"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41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14:paraId="58D7F076" w14:textId="77777777" w:rsidR="00D94935" w:rsidRPr="00140BF9" w:rsidRDefault="00D94935" w:rsidP="00D94935">
      <w:pPr>
        <w:pStyle w:val="AmdtsEntryHd"/>
        <w:rPr>
          <w:rFonts w:cs="Arial"/>
        </w:rPr>
      </w:pPr>
      <w:r w:rsidRPr="00140BF9">
        <w:rPr>
          <w:rFonts w:cs="Arial"/>
        </w:rPr>
        <w:t>Discovery by electronic means—practice notes</w:t>
      </w:r>
    </w:p>
    <w:p w14:paraId="6F30BEFF" w14:textId="77777777"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14:paraId="3C1C3E9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14:paraId="2298F2F4" w14:textId="77777777"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14:paraId="60AD4FE8" w14:textId="26CE4024"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411"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14:paraId="73DF6C3E" w14:textId="77777777" w:rsidR="00D94935" w:rsidRPr="00140BF9" w:rsidRDefault="00D94935" w:rsidP="00D94935">
      <w:pPr>
        <w:pStyle w:val="AmdtsEntryHd"/>
        <w:rPr>
          <w:rFonts w:cs="Arial"/>
        </w:rPr>
      </w:pPr>
      <w:r w:rsidRPr="00140BF9">
        <w:rPr>
          <w:rFonts w:cs="Arial"/>
        </w:rPr>
        <w:t>Application—div 2.9.2</w:t>
      </w:r>
    </w:p>
    <w:p w14:paraId="5D48751E" w14:textId="77777777"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14:paraId="3FC1DDA2" w14:textId="77777777" w:rsidR="00D94935" w:rsidRPr="00140BF9" w:rsidRDefault="00D94935" w:rsidP="00D94935">
      <w:pPr>
        <w:pStyle w:val="AmdtsEntryHd"/>
        <w:rPr>
          <w:rFonts w:cs="Arial"/>
        </w:rPr>
      </w:pPr>
      <w:r w:rsidRPr="00140BF9">
        <w:rPr>
          <w:rFonts w:cs="Arial"/>
        </w:rPr>
        <w:t>Urgent orders before start of proceeding</w:t>
      </w:r>
    </w:p>
    <w:p w14:paraId="0B60729C" w14:textId="77777777"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14:paraId="0E198D96" w14:textId="77777777" w:rsidR="00D94935" w:rsidRPr="00140BF9" w:rsidRDefault="00D94935" w:rsidP="00D94935">
      <w:pPr>
        <w:pStyle w:val="AmdtsEntryHd"/>
        <w:rPr>
          <w:rFonts w:cs="Arial"/>
        </w:rPr>
      </w:pPr>
      <w:r w:rsidRPr="00140BF9">
        <w:rPr>
          <w:rFonts w:cs="Arial"/>
        </w:rPr>
        <w:t>Interim distribution</w:t>
      </w:r>
    </w:p>
    <w:p w14:paraId="05596ED7" w14:textId="77777777"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14:paraId="52FDDC2F" w14:textId="77777777" w:rsidR="00D94935" w:rsidRPr="00140BF9" w:rsidRDefault="00D94935" w:rsidP="00D94935">
      <w:pPr>
        <w:pStyle w:val="AmdtsEntryHd"/>
        <w:rPr>
          <w:rFonts w:cs="Arial"/>
        </w:rPr>
      </w:pPr>
      <w:r w:rsidRPr="00140BF9">
        <w:rPr>
          <w:rFonts w:cs="Arial"/>
        </w:rPr>
        <w:t>Interim income</w:t>
      </w:r>
    </w:p>
    <w:p w14:paraId="6FF4EC1C" w14:textId="77777777"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14:paraId="2212E3BD" w14:textId="77777777" w:rsidR="00D94935" w:rsidRPr="00140BF9" w:rsidRDefault="00D94935" w:rsidP="00D94935">
      <w:pPr>
        <w:pStyle w:val="AmdtsEntryHd"/>
        <w:rPr>
          <w:rFonts w:cs="Arial"/>
        </w:rPr>
      </w:pPr>
      <w:r w:rsidRPr="00140BF9">
        <w:rPr>
          <w:rFonts w:cs="Arial"/>
        </w:rPr>
        <w:t>Payment before finding out everyone interested</w:t>
      </w:r>
    </w:p>
    <w:p w14:paraId="49B77CFC" w14:textId="77777777"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14:paraId="1F42B9A6" w14:textId="77777777" w:rsidR="00D94935" w:rsidRPr="00140BF9" w:rsidRDefault="00D94935" w:rsidP="00D94935">
      <w:pPr>
        <w:pStyle w:val="AmdtsEntryHd"/>
        <w:rPr>
          <w:rFonts w:cs="Arial"/>
        </w:rPr>
      </w:pPr>
      <w:r w:rsidRPr="00140BF9">
        <w:rPr>
          <w:rFonts w:cs="Arial"/>
        </w:rPr>
        <w:t>Inspection, detention, custody and preservation of property—orders etc</w:t>
      </w:r>
    </w:p>
    <w:p w14:paraId="5DD8D092" w14:textId="77777777"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14:paraId="61C664E0" w14:textId="216323FF"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41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14:paraId="1318DE8A" w14:textId="77777777" w:rsidR="00D94935" w:rsidRPr="00140BF9" w:rsidRDefault="00D94935" w:rsidP="00D94935">
      <w:pPr>
        <w:pStyle w:val="AmdtsEntryHd"/>
        <w:rPr>
          <w:rFonts w:cs="Arial"/>
        </w:rPr>
      </w:pPr>
      <w:r w:rsidRPr="00140BF9">
        <w:rPr>
          <w:rFonts w:cs="Arial"/>
        </w:rPr>
        <w:t>Disposal of property other than land</w:t>
      </w:r>
    </w:p>
    <w:p w14:paraId="3C1DFC98" w14:textId="77777777"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14:paraId="6570305A" w14:textId="77777777" w:rsidR="00D94935" w:rsidRPr="00140BF9" w:rsidRDefault="00D94935" w:rsidP="00D94935">
      <w:pPr>
        <w:pStyle w:val="AmdtsEntryHd"/>
        <w:rPr>
          <w:rFonts w:cs="Arial"/>
        </w:rPr>
      </w:pPr>
      <w:r w:rsidRPr="00140BF9">
        <w:rPr>
          <w:rFonts w:cs="Arial"/>
        </w:rPr>
        <w:t>Order for inspection, detention, custody or preservation affecting non-party</w:t>
      </w:r>
    </w:p>
    <w:p w14:paraId="1BFBE46F" w14:textId="77777777"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14:paraId="297733D8" w14:textId="77777777" w:rsidR="00D94935" w:rsidRPr="00140BF9" w:rsidRDefault="00D94935" w:rsidP="00D94935">
      <w:pPr>
        <w:pStyle w:val="AmdtsEntryHd"/>
        <w:rPr>
          <w:rFonts w:cs="Arial"/>
        </w:rPr>
      </w:pPr>
      <w:r w:rsidRPr="00140BF9">
        <w:rPr>
          <w:rFonts w:cs="Arial"/>
        </w:rPr>
        <w:t>Application for order for inspection, detention, custody or preservation</w:t>
      </w:r>
    </w:p>
    <w:p w14:paraId="5D0C9DD0" w14:textId="77777777"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14:paraId="480F252E" w14:textId="77777777" w:rsidR="00D94935" w:rsidRPr="00140BF9" w:rsidRDefault="00D94935" w:rsidP="00D94935">
      <w:pPr>
        <w:pStyle w:val="AmdtsEntryHd"/>
        <w:rPr>
          <w:rFonts w:cs="Arial"/>
        </w:rPr>
      </w:pPr>
      <w:r w:rsidRPr="00140BF9">
        <w:rPr>
          <w:rFonts w:cs="Arial"/>
        </w:rPr>
        <w:lastRenderedPageBreak/>
        <w:t>Division 2.9.3—other jurisdiction of court not affected</w:t>
      </w:r>
    </w:p>
    <w:p w14:paraId="08122FC7" w14:textId="77777777"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14:paraId="3CBFA582" w14:textId="77777777" w:rsidR="00D94935" w:rsidRPr="00140BF9" w:rsidRDefault="00D94935" w:rsidP="00D94935">
      <w:pPr>
        <w:pStyle w:val="AmdtsEntryHd"/>
        <w:rPr>
          <w:rFonts w:cs="Arial"/>
        </w:rPr>
      </w:pPr>
      <w:r w:rsidRPr="00140BF9">
        <w:rPr>
          <w:rFonts w:cs="Arial"/>
        </w:rPr>
        <w:t>Definitions—div 2.9.4</w:t>
      </w:r>
    </w:p>
    <w:p w14:paraId="1F3D3941" w14:textId="77777777"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14:paraId="0ACA41F7" w14:textId="77777777"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14:paraId="0C5161EC" w14:textId="77777777"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14:paraId="29264F43" w14:textId="77777777"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14:paraId="3DBB7D7B" w14:textId="77777777"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14:paraId="5CC99DBD" w14:textId="77777777" w:rsidR="00D94935" w:rsidRPr="00140BF9" w:rsidRDefault="00D94935" w:rsidP="00D94935">
      <w:pPr>
        <w:pStyle w:val="AmdtsEntryHd"/>
        <w:rPr>
          <w:rFonts w:cs="Arial"/>
        </w:rPr>
      </w:pPr>
      <w:r w:rsidRPr="00140BF9">
        <w:rPr>
          <w:rFonts w:cs="Arial"/>
        </w:rPr>
        <w:t>Division 2.9.4 order without notice etc</w:t>
      </w:r>
    </w:p>
    <w:p w14:paraId="3DB5557E" w14:textId="77777777"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14:paraId="709DA9F2" w14:textId="77777777" w:rsidR="00D94935" w:rsidRPr="00140BF9" w:rsidRDefault="00D94935" w:rsidP="00D94935">
      <w:pPr>
        <w:pStyle w:val="AmdtsEntryHd"/>
        <w:rPr>
          <w:rFonts w:cs="Arial"/>
        </w:rPr>
      </w:pPr>
      <w:r w:rsidRPr="00140BF9">
        <w:rPr>
          <w:rFonts w:cs="Arial"/>
          <w:lang w:val="en-US"/>
        </w:rPr>
        <w:t>Division 2.9.4 order without trial</w:t>
      </w:r>
    </w:p>
    <w:p w14:paraId="6B8DADAF" w14:textId="77777777"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14:paraId="354D0DAF" w14:textId="77777777" w:rsidR="00D94935" w:rsidRPr="00140BF9" w:rsidRDefault="00D94935" w:rsidP="00D94935">
      <w:pPr>
        <w:pStyle w:val="AmdtsEntryHd"/>
        <w:rPr>
          <w:rFonts w:cs="Arial"/>
        </w:rPr>
      </w:pPr>
      <w:r w:rsidRPr="00140BF9">
        <w:rPr>
          <w:rFonts w:cs="Arial"/>
          <w:lang w:val="en-US"/>
        </w:rPr>
        <w:t>Division 2.9.4 order—expedited trial</w:t>
      </w:r>
    </w:p>
    <w:p w14:paraId="6812B6D5" w14:textId="77777777"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14:paraId="30FCF56D" w14:textId="77777777" w:rsidR="00D94935" w:rsidRPr="00140BF9" w:rsidRDefault="00D94935" w:rsidP="00D94935">
      <w:pPr>
        <w:pStyle w:val="AmdtsEntryHd"/>
        <w:rPr>
          <w:rFonts w:cs="Arial"/>
        </w:rPr>
      </w:pPr>
      <w:r w:rsidRPr="00140BF9">
        <w:rPr>
          <w:rFonts w:cs="Arial"/>
          <w:lang w:val="en-US"/>
        </w:rPr>
        <w:t>Division 2.9.4 order—damages and undertaking as to damages</w:t>
      </w:r>
    </w:p>
    <w:p w14:paraId="73602D96" w14:textId="77777777"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14:paraId="4BC1CF46" w14:textId="77777777"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14:paraId="65398CF7" w14:textId="77777777"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14:paraId="6BE1C615" w14:textId="77777777" w:rsidR="00294CAF" w:rsidRDefault="00294CAF" w:rsidP="00D94935">
      <w:pPr>
        <w:pStyle w:val="AmdtsEntryHd"/>
      </w:pPr>
      <w:r>
        <w:t>Freezing orders</w:t>
      </w:r>
    </w:p>
    <w:p w14:paraId="4F78F21D" w14:textId="12388D58" w:rsidR="00294CAF" w:rsidRPr="00294CAF" w:rsidRDefault="00294CAF" w:rsidP="00294CAF">
      <w:pPr>
        <w:pStyle w:val="AmdtsEntries"/>
      </w:pPr>
      <w:r>
        <w:t>sdiv 2.9.4.2 hdg note</w:t>
      </w:r>
      <w:r>
        <w:tab/>
        <w:t xml:space="preserve">ins </w:t>
      </w:r>
      <w:hyperlink r:id="rId1413"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14:paraId="6DED1E52" w14:textId="77777777" w:rsidR="00D94935" w:rsidRPr="00140BF9" w:rsidRDefault="00D94935" w:rsidP="00D94935">
      <w:pPr>
        <w:pStyle w:val="AmdtsEntryHd"/>
        <w:rPr>
          <w:rFonts w:cs="Arial"/>
        </w:rPr>
      </w:pPr>
      <w:r w:rsidRPr="00140BF9">
        <w:rPr>
          <w:rFonts w:cs="Arial"/>
        </w:rPr>
        <w:t>Definitions—sdiv 2.9.4.2</w:t>
      </w:r>
    </w:p>
    <w:p w14:paraId="3CB11D2F" w14:textId="77777777"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14:paraId="71B97567" w14:textId="77777777" w:rsidR="00D94935" w:rsidRPr="00140BF9" w:rsidRDefault="00D94935" w:rsidP="00D94935">
      <w:pPr>
        <w:pStyle w:val="AmdtsEntryHd"/>
        <w:rPr>
          <w:rFonts w:cs="Arial"/>
        </w:rPr>
      </w:pPr>
      <w:r w:rsidRPr="00140BF9">
        <w:rPr>
          <w:rFonts w:cs="Arial"/>
        </w:rPr>
        <w:t>Freezing orders—general</w:t>
      </w:r>
    </w:p>
    <w:p w14:paraId="72D9EEBF" w14:textId="77777777"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14:paraId="2DA8F8D1" w14:textId="77777777" w:rsidR="00D94935" w:rsidRPr="00140BF9" w:rsidRDefault="00D94935" w:rsidP="00D94935">
      <w:pPr>
        <w:pStyle w:val="AmdtsEntryHd"/>
        <w:rPr>
          <w:rFonts w:cs="Arial"/>
        </w:rPr>
      </w:pPr>
      <w:r w:rsidRPr="00140BF9">
        <w:rPr>
          <w:rFonts w:cs="Arial"/>
          <w:lang w:val="en-US"/>
        </w:rPr>
        <w:t>Ancillary orders</w:t>
      </w:r>
    </w:p>
    <w:p w14:paraId="465E4543" w14:textId="77777777"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14:paraId="2994054A" w14:textId="77777777"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14:paraId="2E9BBB94" w14:textId="77777777"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14:paraId="2777F27C" w14:textId="77777777"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14:paraId="3F9E5118" w14:textId="77777777"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14:paraId="3799DB96" w14:textId="0FA27177" w:rsidR="00294CAF" w:rsidRPr="00140BF9" w:rsidRDefault="00294CAF" w:rsidP="00D94935">
      <w:pPr>
        <w:pStyle w:val="AmdtsEntries"/>
        <w:rPr>
          <w:rFonts w:cs="Arial"/>
        </w:rPr>
      </w:pPr>
      <w:r>
        <w:rPr>
          <w:rFonts w:eastAsiaTheme="minorEastAsia" w:cs="Arial"/>
          <w:szCs w:val="22"/>
          <w:lang w:eastAsia="en-AU"/>
        </w:rPr>
        <w:tab/>
        <w:t xml:space="preserve">om </w:t>
      </w:r>
      <w:hyperlink r:id="rId141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14:paraId="2489E97A" w14:textId="77777777" w:rsidR="00D94935" w:rsidRPr="00140BF9" w:rsidRDefault="00D94935" w:rsidP="00D94935">
      <w:pPr>
        <w:pStyle w:val="AmdtsEntryHd"/>
        <w:rPr>
          <w:rFonts w:cs="Arial"/>
        </w:rPr>
      </w:pPr>
      <w:r w:rsidRPr="00140BF9">
        <w:rPr>
          <w:rFonts w:cs="Arial"/>
          <w:lang w:val="en-US"/>
        </w:rPr>
        <w:t>Freezing orders—costs</w:t>
      </w:r>
    </w:p>
    <w:p w14:paraId="59CEBAF2" w14:textId="77777777"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14:paraId="6AE6B6A5" w14:textId="77777777" w:rsidR="00D94935" w:rsidRPr="00140BF9" w:rsidRDefault="00D94935" w:rsidP="00D94935">
      <w:pPr>
        <w:pStyle w:val="AmdtsEntryHd"/>
        <w:rPr>
          <w:rFonts w:cs="Arial"/>
        </w:rPr>
      </w:pPr>
      <w:r w:rsidRPr="00140BF9">
        <w:rPr>
          <w:rFonts w:cs="Arial"/>
          <w:lang w:val="en-US"/>
        </w:rPr>
        <w:t>Definitions—sdiv 2.9.4.3</w:t>
      </w:r>
    </w:p>
    <w:p w14:paraId="2FF9C4E3" w14:textId="77777777"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14:paraId="1C031681" w14:textId="77777777" w:rsidR="00D94935" w:rsidRPr="00140BF9" w:rsidRDefault="00D94935" w:rsidP="00D94935">
      <w:pPr>
        <w:pStyle w:val="AmdtsEntryHd"/>
        <w:rPr>
          <w:rFonts w:cs="Arial"/>
        </w:rPr>
      </w:pPr>
      <w:r w:rsidRPr="00140BF9">
        <w:rPr>
          <w:rFonts w:cs="Arial"/>
          <w:lang w:val="en-US"/>
        </w:rPr>
        <w:lastRenderedPageBreak/>
        <w:t>Search orders—general</w:t>
      </w:r>
    </w:p>
    <w:p w14:paraId="3D8304C4" w14:textId="77777777"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14:paraId="665AABFE" w14:textId="77777777" w:rsidR="00D94935" w:rsidRPr="00140BF9" w:rsidRDefault="00D94935" w:rsidP="00D94935">
      <w:pPr>
        <w:pStyle w:val="AmdtsEntryHd"/>
        <w:rPr>
          <w:rFonts w:cs="Arial"/>
        </w:rPr>
      </w:pPr>
      <w:r w:rsidRPr="00140BF9">
        <w:rPr>
          <w:rFonts w:cs="Arial"/>
          <w:lang w:val="en-US"/>
        </w:rPr>
        <w:t>Search orders—requirements for making order</w:t>
      </w:r>
    </w:p>
    <w:p w14:paraId="3F85127B" w14:textId="77777777"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14:paraId="6F22BF0A" w14:textId="77777777" w:rsidR="00D94935" w:rsidRPr="00140BF9" w:rsidRDefault="00D94935" w:rsidP="00D94935">
      <w:pPr>
        <w:pStyle w:val="AmdtsEntryHd"/>
        <w:rPr>
          <w:rFonts w:cs="Arial"/>
        </w:rPr>
      </w:pPr>
      <w:r w:rsidRPr="00140BF9">
        <w:rPr>
          <w:rFonts w:cs="Arial"/>
          <w:lang w:val="en-US"/>
        </w:rPr>
        <w:t>Search orders—terms of order</w:t>
      </w:r>
    </w:p>
    <w:p w14:paraId="2307D1FA" w14:textId="77777777"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14:paraId="7E0F3AA9" w14:textId="77777777" w:rsidR="00D94935" w:rsidRPr="00140BF9" w:rsidRDefault="00D94935" w:rsidP="00D94935">
      <w:pPr>
        <w:pStyle w:val="AmdtsEntryHd"/>
        <w:rPr>
          <w:rFonts w:cs="Arial"/>
        </w:rPr>
      </w:pPr>
      <w:r w:rsidRPr="00140BF9">
        <w:rPr>
          <w:rFonts w:cs="Arial"/>
          <w:lang w:val="en-US"/>
        </w:rPr>
        <w:t>Search orders—independent solicitors</w:t>
      </w:r>
    </w:p>
    <w:p w14:paraId="294A533E" w14:textId="77777777"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14:paraId="23683017" w14:textId="77777777" w:rsidR="00D94935" w:rsidRPr="00140BF9" w:rsidRDefault="00D94935" w:rsidP="00D94935">
      <w:pPr>
        <w:pStyle w:val="AmdtsEntryHd"/>
        <w:rPr>
          <w:rFonts w:cs="Arial"/>
        </w:rPr>
      </w:pPr>
      <w:r w:rsidRPr="00140BF9">
        <w:rPr>
          <w:rFonts w:cs="Arial"/>
          <w:lang w:val="en-US"/>
        </w:rPr>
        <w:t>Search orders—costs</w:t>
      </w:r>
    </w:p>
    <w:p w14:paraId="6F09AF87" w14:textId="77777777"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14:paraId="619FD1B1" w14:textId="77777777" w:rsidR="00D94935" w:rsidRPr="00140BF9" w:rsidRDefault="00D94935" w:rsidP="00D94935">
      <w:pPr>
        <w:pStyle w:val="AmdtsEntryHd"/>
        <w:rPr>
          <w:rFonts w:cs="Arial"/>
        </w:rPr>
      </w:pPr>
      <w:r w:rsidRPr="00140BF9">
        <w:rPr>
          <w:rFonts w:cs="Arial"/>
        </w:rPr>
        <w:t>Application—div 2.9.5</w:t>
      </w:r>
    </w:p>
    <w:p w14:paraId="4B3C52AF" w14:textId="77777777"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14:paraId="643CE62E" w14:textId="77777777" w:rsidR="00D94935" w:rsidRPr="00140BF9" w:rsidRDefault="00D94935" w:rsidP="00D94935">
      <w:pPr>
        <w:pStyle w:val="AmdtsEntryHd"/>
        <w:rPr>
          <w:rFonts w:cs="Arial"/>
        </w:rPr>
      </w:pPr>
      <w:r w:rsidRPr="00140BF9">
        <w:rPr>
          <w:rFonts w:cs="Arial"/>
        </w:rPr>
        <w:t>Receiver—agreement to act as etc</w:t>
      </w:r>
    </w:p>
    <w:p w14:paraId="0F574E0D" w14:textId="77777777"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14:paraId="235A0C4F" w14:textId="77777777" w:rsidR="00D94935" w:rsidRPr="00140BF9" w:rsidRDefault="00D94935" w:rsidP="00D94935">
      <w:pPr>
        <w:pStyle w:val="AmdtsEntryHd"/>
        <w:rPr>
          <w:rFonts w:cs="Arial"/>
        </w:rPr>
      </w:pPr>
      <w:r w:rsidRPr="00140BF9">
        <w:rPr>
          <w:rFonts w:cs="Arial"/>
        </w:rPr>
        <w:t>Receiver—application for order appointing etc</w:t>
      </w:r>
    </w:p>
    <w:p w14:paraId="50970665" w14:textId="77777777"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14:paraId="4CDD2669" w14:textId="77777777" w:rsidR="00D94935" w:rsidRPr="00140BF9" w:rsidRDefault="00D94935" w:rsidP="00D94935">
      <w:pPr>
        <w:pStyle w:val="AmdtsEntryHd"/>
        <w:rPr>
          <w:rFonts w:cs="Arial"/>
        </w:rPr>
      </w:pPr>
      <w:r w:rsidRPr="00140BF9">
        <w:rPr>
          <w:rFonts w:cs="Arial"/>
        </w:rPr>
        <w:t>Receiver—address for service</w:t>
      </w:r>
    </w:p>
    <w:p w14:paraId="5B175C31" w14:textId="77777777"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14:paraId="05A0A3A9" w14:textId="00BD4E8D" w:rsidR="00B94513" w:rsidRPr="00626250" w:rsidRDefault="00B94513" w:rsidP="00B94513">
      <w:pPr>
        <w:pStyle w:val="AmdtsEntries"/>
      </w:pPr>
      <w:r>
        <w:t>r 768</w:t>
      </w:r>
      <w:r>
        <w:tab/>
      </w:r>
      <w:r>
        <w:rPr>
          <w:rFonts w:eastAsiaTheme="minorEastAsia" w:cs="Arial"/>
          <w:szCs w:val="22"/>
          <w:lang w:eastAsia="en-AU"/>
        </w:rPr>
        <w:t xml:space="preserve">am </w:t>
      </w:r>
      <w:hyperlink r:id="rId1415"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w:t>
      </w:r>
      <w:r w:rsidR="00DF18AD">
        <w:rPr>
          <w:rFonts w:eastAsiaTheme="minorEastAsia" w:cs="Arial"/>
          <w:szCs w:val="22"/>
          <w:lang w:eastAsia="en-AU"/>
        </w:rPr>
        <w:t>20</w:t>
      </w:r>
    </w:p>
    <w:p w14:paraId="2A3899AC" w14:textId="77777777" w:rsidR="00D94935" w:rsidRPr="00140BF9" w:rsidRDefault="00D94935" w:rsidP="00D94935">
      <w:pPr>
        <w:pStyle w:val="AmdtsEntryHd"/>
        <w:rPr>
          <w:rFonts w:cs="Arial"/>
        </w:rPr>
      </w:pPr>
      <w:r w:rsidRPr="00140BF9">
        <w:rPr>
          <w:rFonts w:cs="Arial"/>
        </w:rPr>
        <w:t>Receiver—security</w:t>
      </w:r>
    </w:p>
    <w:p w14:paraId="586C151A" w14:textId="77777777"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14:paraId="45727A6F" w14:textId="77777777" w:rsidR="00D94935" w:rsidRPr="00140BF9" w:rsidRDefault="00D94935" w:rsidP="00D94935">
      <w:pPr>
        <w:pStyle w:val="AmdtsEntryHd"/>
        <w:rPr>
          <w:rFonts w:cs="Arial"/>
        </w:rPr>
      </w:pPr>
      <w:r w:rsidRPr="00140BF9">
        <w:rPr>
          <w:rFonts w:cs="Arial"/>
        </w:rPr>
        <w:t>Receiver—remuneration</w:t>
      </w:r>
    </w:p>
    <w:p w14:paraId="53CFD50E" w14:textId="77777777"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14:paraId="672D6708" w14:textId="77777777" w:rsidR="00D94935" w:rsidRPr="00140BF9" w:rsidRDefault="00D94935" w:rsidP="00D94935">
      <w:pPr>
        <w:pStyle w:val="AmdtsEntryHd"/>
        <w:rPr>
          <w:rFonts w:cs="Arial"/>
        </w:rPr>
      </w:pPr>
      <w:r w:rsidRPr="00140BF9">
        <w:rPr>
          <w:rFonts w:cs="Arial"/>
        </w:rPr>
        <w:t>Receiver—accounts</w:t>
      </w:r>
    </w:p>
    <w:p w14:paraId="53D67BCA" w14:textId="77777777"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14:paraId="6657E513" w14:textId="03C8F639"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4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14:paraId="54FBEAEF" w14:textId="77777777" w:rsidR="00D94935" w:rsidRPr="00140BF9" w:rsidRDefault="00D94935" w:rsidP="00D94935">
      <w:pPr>
        <w:pStyle w:val="AmdtsEntryHd"/>
        <w:rPr>
          <w:rFonts w:cs="Arial"/>
        </w:rPr>
      </w:pPr>
      <w:r w:rsidRPr="00140BF9">
        <w:rPr>
          <w:rFonts w:cs="Arial"/>
        </w:rPr>
        <w:t>Receiver—default</w:t>
      </w:r>
    </w:p>
    <w:p w14:paraId="5F70B547" w14:textId="77777777"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14:paraId="01E75890" w14:textId="77777777" w:rsidR="00D94935" w:rsidRPr="00140BF9" w:rsidRDefault="00D94935" w:rsidP="00D94935">
      <w:pPr>
        <w:pStyle w:val="AmdtsEntryHd"/>
        <w:rPr>
          <w:rFonts w:cs="Arial"/>
        </w:rPr>
      </w:pPr>
      <w:r w:rsidRPr="00140BF9">
        <w:rPr>
          <w:rFonts w:cs="Arial"/>
        </w:rPr>
        <w:t>Receiver—powers</w:t>
      </w:r>
    </w:p>
    <w:p w14:paraId="233D31C7" w14:textId="77777777"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14:paraId="7DAB723D" w14:textId="77777777" w:rsidR="00D94935" w:rsidRPr="00140BF9" w:rsidRDefault="00D94935" w:rsidP="00D94935">
      <w:pPr>
        <w:pStyle w:val="AmdtsEntryHd"/>
        <w:rPr>
          <w:rFonts w:cs="Arial"/>
        </w:rPr>
      </w:pPr>
      <w:r w:rsidRPr="00140BF9">
        <w:rPr>
          <w:rFonts w:cs="Arial"/>
        </w:rPr>
        <w:t>Receiver—duty in relation to property</w:t>
      </w:r>
    </w:p>
    <w:p w14:paraId="354A81ED" w14:textId="77777777"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14:paraId="06672D01" w14:textId="77777777" w:rsidR="00D94935" w:rsidRPr="00140BF9" w:rsidRDefault="00D94935" w:rsidP="00D94935">
      <w:pPr>
        <w:pStyle w:val="AmdtsEntryHd"/>
        <w:rPr>
          <w:rFonts w:cs="Arial"/>
        </w:rPr>
      </w:pPr>
      <w:r w:rsidRPr="00140BF9">
        <w:rPr>
          <w:rFonts w:cs="Arial"/>
        </w:rPr>
        <w:t>Receiver—liability</w:t>
      </w:r>
    </w:p>
    <w:p w14:paraId="3F3632EA" w14:textId="77777777"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14:paraId="1D4C13A7" w14:textId="77777777" w:rsidR="00D94935" w:rsidRPr="00140BF9" w:rsidRDefault="00D94935" w:rsidP="00D94935">
      <w:pPr>
        <w:pStyle w:val="AmdtsEntryHd"/>
        <w:rPr>
          <w:rFonts w:cs="Arial"/>
        </w:rPr>
      </w:pPr>
      <w:r w:rsidRPr="00140BF9">
        <w:rPr>
          <w:rFonts w:cs="Arial"/>
        </w:rPr>
        <w:t>Receiver—death of</w:t>
      </w:r>
    </w:p>
    <w:p w14:paraId="0A9A9C94" w14:textId="77777777"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14:paraId="6875820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14:paraId="7F092897" w14:textId="77777777"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14:paraId="1D672CF5" w14:textId="77777777" w:rsidR="00D94935" w:rsidRPr="00140BF9" w:rsidRDefault="00D94935" w:rsidP="00D94935">
      <w:pPr>
        <w:pStyle w:val="AmdtsEntryHd"/>
        <w:rPr>
          <w:rFonts w:cs="Arial"/>
        </w:rPr>
      </w:pPr>
      <w:r w:rsidRPr="00140BF9">
        <w:rPr>
          <w:rFonts w:cs="Arial"/>
        </w:rPr>
        <w:lastRenderedPageBreak/>
        <w:t>Application—div 2.9.6</w:t>
      </w:r>
    </w:p>
    <w:p w14:paraId="1A346F79" w14:textId="77777777"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14:paraId="68A53ED6" w14:textId="77777777" w:rsidR="00D94935" w:rsidRPr="00140BF9" w:rsidRDefault="00D94935" w:rsidP="00D94935">
      <w:pPr>
        <w:pStyle w:val="AmdtsEntryHd"/>
        <w:rPr>
          <w:rFonts w:cs="Arial"/>
        </w:rPr>
      </w:pPr>
      <w:r w:rsidRPr="00140BF9">
        <w:rPr>
          <w:rFonts w:cs="Arial"/>
        </w:rPr>
        <w:t>Sale of land—order</w:t>
      </w:r>
    </w:p>
    <w:p w14:paraId="26687554" w14:textId="77777777"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14:paraId="1069EC56" w14:textId="77777777" w:rsidR="00D94935" w:rsidRPr="00140BF9" w:rsidRDefault="00D94935" w:rsidP="00D94935">
      <w:pPr>
        <w:pStyle w:val="AmdtsEntryHd"/>
        <w:rPr>
          <w:rFonts w:cs="Arial"/>
        </w:rPr>
      </w:pPr>
      <w:r w:rsidRPr="00140BF9">
        <w:rPr>
          <w:rFonts w:cs="Arial"/>
        </w:rPr>
        <w:t>Sale of land—conduct of sale</w:t>
      </w:r>
    </w:p>
    <w:p w14:paraId="4A9C6A65" w14:textId="77777777"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14:paraId="6DAA85A5" w14:textId="77777777" w:rsidR="00D94935" w:rsidRPr="00140BF9" w:rsidRDefault="00D94935" w:rsidP="00D94935">
      <w:pPr>
        <w:pStyle w:val="AmdtsEntryHd"/>
        <w:rPr>
          <w:rFonts w:cs="Arial"/>
        </w:rPr>
      </w:pPr>
      <w:r w:rsidRPr="00140BF9">
        <w:rPr>
          <w:rFonts w:cs="Arial"/>
        </w:rPr>
        <w:t>Sale of land—certificate of sale result</w:t>
      </w:r>
    </w:p>
    <w:p w14:paraId="41D60CCB" w14:textId="77777777"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14:paraId="4BB59958" w14:textId="77777777" w:rsidR="00D94935" w:rsidRPr="00140BF9" w:rsidRDefault="00D94935" w:rsidP="00D94935">
      <w:pPr>
        <w:pStyle w:val="AmdtsEntryHd"/>
        <w:rPr>
          <w:rFonts w:cs="Arial"/>
        </w:rPr>
      </w:pPr>
      <w:r w:rsidRPr="00140BF9">
        <w:rPr>
          <w:rFonts w:cs="Arial"/>
        </w:rPr>
        <w:t>Mortgage, exchange or partition</w:t>
      </w:r>
    </w:p>
    <w:p w14:paraId="10C89765" w14:textId="77777777"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14:paraId="7A64A9AC" w14:textId="77777777" w:rsidR="00D94935" w:rsidRPr="00140BF9" w:rsidRDefault="00D94935" w:rsidP="00D94935">
      <w:pPr>
        <w:pStyle w:val="AmdtsEntryHd"/>
        <w:rPr>
          <w:rFonts w:cs="Arial"/>
        </w:rPr>
      </w:pPr>
      <w:r w:rsidRPr="00140BF9">
        <w:rPr>
          <w:rFonts w:cs="Arial"/>
        </w:rPr>
        <w:t>Offers of compromise</w:t>
      </w:r>
    </w:p>
    <w:p w14:paraId="02CE1D3B" w14:textId="7A6EFCD8"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41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84409B8" w14:textId="77777777" w:rsidR="00D94935" w:rsidRPr="00140BF9" w:rsidRDefault="00D94935" w:rsidP="00D94935">
      <w:pPr>
        <w:pStyle w:val="AmdtsEntryHd"/>
        <w:rPr>
          <w:rFonts w:cs="Arial"/>
        </w:rPr>
      </w:pPr>
      <w:r w:rsidRPr="00140BF9">
        <w:rPr>
          <w:rFonts w:cs="Arial"/>
        </w:rPr>
        <w:t>Application—pt 2.10</w:t>
      </w:r>
    </w:p>
    <w:p w14:paraId="2535B4E9" w14:textId="77777777"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14:paraId="186A09B1" w14:textId="4C60D33F"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4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0283DF" w14:textId="77777777" w:rsidR="00D94935" w:rsidRPr="00140BF9" w:rsidRDefault="00D94935" w:rsidP="00D94935">
      <w:pPr>
        <w:pStyle w:val="AmdtsEntryHd"/>
        <w:rPr>
          <w:rFonts w:cs="Arial"/>
        </w:rPr>
      </w:pPr>
      <w:r w:rsidRPr="00140BF9">
        <w:rPr>
          <w:rFonts w:cs="Arial"/>
        </w:rPr>
        <w:t>Definitions—pt 2.10</w:t>
      </w:r>
    </w:p>
    <w:p w14:paraId="7689E12B" w14:textId="242985CD"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41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29022B0" w14:textId="36947A8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4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8F7B5A" w14:textId="07AFBB8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42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17BF520" w14:textId="1B55F20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42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7B77A6C3" w14:textId="77777777" w:rsidR="00D94935" w:rsidRPr="00140BF9" w:rsidRDefault="00D94935" w:rsidP="00D94935">
      <w:pPr>
        <w:pStyle w:val="AmdtsEntryHd"/>
        <w:rPr>
          <w:rFonts w:cs="Arial"/>
        </w:rPr>
      </w:pPr>
      <w:r w:rsidRPr="00140BF9">
        <w:rPr>
          <w:rFonts w:cs="Arial"/>
        </w:rPr>
        <w:t>Making offer</w:t>
      </w:r>
    </w:p>
    <w:p w14:paraId="38457463" w14:textId="77777777"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14:paraId="5B8EC305" w14:textId="5074D24B"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42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DC747B" w14:textId="77777777" w:rsidR="00D94935" w:rsidRPr="00140BF9" w:rsidRDefault="00D94935" w:rsidP="00D94935">
      <w:pPr>
        <w:pStyle w:val="AmdtsEntryHd"/>
        <w:rPr>
          <w:rFonts w:cs="Arial"/>
        </w:rPr>
      </w:pPr>
      <w:r w:rsidRPr="00140BF9">
        <w:rPr>
          <w:rFonts w:cs="Arial"/>
        </w:rPr>
        <w:t>Acceptance of offer</w:t>
      </w:r>
    </w:p>
    <w:p w14:paraId="3A6D481C" w14:textId="77777777"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14:paraId="0D742135" w14:textId="1EBE1D83"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42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B2AA939" w14:textId="77777777" w:rsidR="00D94935" w:rsidRPr="00140BF9" w:rsidRDefault="00D94935" w:rsidP="00D94935">
      <w:pPr>
        <w:pStyle w:val="AmdtsEntryHd"/>
        <w:rPr>
          <w:rFonts w:cs="Arial"/>
        </w:rPr>
      </w:pPr>
      <w:r w:rsidRPr="00140BF9">
        <w:rPr>
          <w:rFonts w:cs="Arial"/>
        </w:rPr>
        <w:t>Withdrawal of acceptance</w:t>
      </w:r>
    </w:p>
    <w:p w14:paraId="6EAAC7AC" w14:textId="77777777"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14:paraId="28BAF4C4" w14:textId="661F6C91"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4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74CD09B" w14:textId="77777777" w:rsidR="00D94935" w:rsidRPr="00140BF9" w:rsidRDefault="00D94935" w:rsidP="00D94935">
      <w:pPr>
        <w:pStyle w:val="AmdtsEntryHd"/>
        <w:rPr>
          <w:rFonts w:cs="Arial"/>
        </w:rPr>
      </w:pPr>
      <w:r w:rsidRPr="00140BF9">
        <w:rPr>
          <w:rFonts w:cs="Arial"/>
        </w:rPr>
        <w:t>Failure to comply with accepted offer</w:t>
      </w:r>
    </w:p>
    <w:p w14:paraId="48EB9623" w14:textId="77777777"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14:paraId="10EB8FAA" w14:textId="11D5FE2D"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42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F32328" w14:textId="77777777" w:rsidR="00D94935" w:rsidRPr="00140BF9" w:rsidRDefault="00D94935" w:rsidP="00D94935">
      <w:pPr>
        <w:pStyle w:val="AmdtsEntryHd"/>
        <w:rPr>
          <w:rFonts w:cs="Arial"/>
        </w:rPr>
      </w:pPr>
      <w:r w:rsidRPr="00140BF9">
        <w:rPr>
          <w:rFonts w:cs="Arial"/>
        </w:rPr>
        <w:t>Disclosure of offer to court</w:t>
      </w:r>
    </w:p>
    <w:p w14:paraId="05988A6E" w14:textId="77777777"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14:paraId="480349B8" w14:textId="52F1B24F"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4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14:paraId="412FF4AE" w14:textId="7A31BFC5" w:rsidR="00D94935" w:rsidRPr="00140BF9" w:rsidRDefault="00D94935" w:rsidP="00D94935">
      <w:pPr>
        <w:pStyle w:val="AmdtsEntries"/>
        <w:rPr>
          <w:rFonts w:cs="Arial"/>
        </w:rPr>
      </w:pPr>
      <w:r w:rsidRPr="00140BF9">
        <w:rPr>
          <w:rFonts w:cs="Arial"/>
        </w:rPr>
        <w:tab/>
        <w:t xml:space="preserve">sub </w:t>
      </w:r>
      <w:hyperlink r:id="rId142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7CA9312" w14:textId="77777777" w:rsidR="00D94935" w:rsidRPr="00140BF9" w:rsidRDefault="00D94935" w:rsidP="00D94935">
      <w:pPr>
        <w:pStyle w:val="AmdtsEntryHd"/>
        <w:rPr>
          <w:rFonts w:cs="Arial"/>
        </w:rPr>
      </w:pPr>
      <w:r w:rsidRPr="00140BF9">
        <w:rPr>
          <w:rFonts w:cs="Arial"/>
        </w:rPr>
        <w:t>Compromises in certain Supreme Court proceedings</w:t>
      </w:r>
    </w:p>
    <w:p w14:paraId="61790DE7" w14:textId="77777777"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14:paraId="7C173420" w14:textId="7310FA78"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42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137AE55" w14:textId="77777777" w:rsidR="00D94935" w:rsidRPr="00140BF9" w:rsidRDefault="00D94935" w:rsidP="00D94935">
      <w:pPr>
        <w:pStyle w:val="AmdtsEntryHd"/>
        <w:rPr>
          <w:rFonts w:cs="Arial"/>
        </w:rPr>
      </w:pPr>
      <w:r w:rsidRPr="00140BF9">
        <w:rPr>
          <w:rFonts w:cs="Arial"/>
        </w:rPr>
        <w:lastRenderedPageBreak/>
        <w:t>Offer to contribute</w:t>
      </w:r>
    </w:p>
    <w:p w14:paraId="7027AC59" w14:textId="77777777"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14:paraId="3D0BB863" w14:textId="74054EC1"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43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5AD70BB" w14:textId="77777777" w:rsidR="00D94935" w:rsidRPr="00140BF9" w:rsidRDefault="00D94935" w:rsidP="00D94935">
      <w:pPr>
        <w:pStyle w:val="AmdtsEntryHd"/>
        <w:rPr>
          <w:rFonts w:cs="Arial"/>
        </w:rPr>
      </w:pPr>
      <w:r w:rsidRPr="00140BF9">
        <w:rPr>
          <w:rFonts w:cs="Arial"/>
        </w:rPr>
        <w:t>Offer accepted and no provision for costs</w:t>
      </w:r>
    </w:p>
    <w:p w14:paraId="69CA6357" w14:textId="77777777"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14:paraId="1451DD4B" w14:textId="66A8F458"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43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3A3542C" w14:textId="77777777" w:rsidR="00D94935" w:rsidRPr="00140BF9" w:rsidRDefault="00D94935" w:rsidP="00D94935">
      <w:pPr>
        <w:pStyle w:val="AmdtsEntryHd"/>
        <w:rPr>
          <w:rFonts w:cs="Arial"/>
        </w:rPr>
      </w:pPr>
      <w:r w:rsidRPr="00140BF9">
        <w:rPr>
          <w:rFonts w:cs="Arial"/>
        </w:rPr>
        <w:t>Offer not accepted and judgment no less favourable to plaintiff</w:t>
      </w:r>
    </w:p>
    <w:p w14:paraId="4BE0F23A" w14:textId="77777777"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14:paraId="0FB97789" w14:textId="3671B0F7"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43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92B7BCA" w14:textId="77777777" w:rsidR="00D94935" w:rsidRPr="00140BF9" w:rsidRDefault="00D94935" w:rsidP="00D94935">
      <w:pPr>
        <w:pStyle w:val="AmdtsEntryHd"/>
        <w:rPr>
          <w:rFonts w:cs="Arial"/>
        </w:rPr>
      </w:pPr>
      <w:r w:rsidRPr="00140BF9">
        <w:rPr>
          <w:rFonts w:cs="Arial"/>
        </w:rPr>
        <w:t>Offer not accepted and judgment no more favourable to plaintiff</w:t>
      </w:r>
    </w:p>
    <w:p w14:paraId="7438D6FC" w14:textId="77777777"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14:paraId="439C833F" w14:textId="5D5318F9"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43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663F1E9" w14:textId="77777777" w:rsidR="00D94935" w:rsidRPr="00140BF9" w:rsidRDefault="00D94935" w:rsidP="00D94935">
      <w:pPr>
        <w:pStyle w:val="AmdtsEntryHd"/>
        <w:rPr>
          <w:rFonts w:cs="Arial"/>
        </w:rPr>
      </w:pPr>
      <w:r w:rsidRPr="00140BF9">
        <w:rPr>
          <w:rFonts w:cs="Arial"/>
        </w:rPr>
        <w:t>Offer not accepted and judgment no less favourable to defendant</w:t>
      </w:r>
    </w:p>
    <w:p w14:paraId="2344524F" w14:textId="77777777"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14:paraId="0F16724D" w14:textId="78E1A87B"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43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B2BA007" w14:textId="77777777" w:rsidR="00D94935" w:rsidRPr="00140BF9" w:rsidRDefault="00D94935" w:rsidP="00D94935">
      <w:pPr>
        <w:pStyle w:val="AmdtsEntryHd"/>
        <w:rPr>
          <w:rFonts w:cs="Arial"/>
        </w:rPr>
      </w:pPr>
      <w:r w:rsidRPr="00140BF9">
        <w:rPr>
          <w:rFonts w:cs="Arial"/>
        </w:rPr>
        <w:t>Costs in relation to interest</w:t>
      </w:r>
    </w:p>
    <w:p w14:paraId="03A72542" w14:textId="77777777"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14:paraId="3E4CFA11" w14:textId="78C403FC"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43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2234A5" w14:textId="77777777" w:rsidR="00D94935" w:rsidRPr="00140BF9" w:rsidRDefault="00D94935" w:rsidP="00D94935">
      <w:pPr>
        <w:pStyle w:val="AmdtsEntryHd"/>
        <w:rPr>
          <w:rFonts w:cs="Arial"/>
        </w:rPr>
      </w:pPr>
      <w:r w:rsidRPr="00140BF9">
        <w:rPr>
          <w:rFonts w:cs="Arial"/>
        </w:rPr>
        <w:t>Miscellaneous</w:t>
      </w:r>
    </w:p>
    <w:p w14:paraId="7D4A68F1" w14:textId="4C3F1730"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43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A8DEF0" w14:textId="77777777" w:rsidR="00D94935" w:rsidRPr="00140BF9" w:rsidRDefault="00D94935" w:rsidP="00D94935">
      <w:pPr>
        <w:pStyle w:val="AmdtsEntryHd"/>
        <w:rPr>
          <w:rFonts w:cs="Arial"/>
        </w:rPr>
      </w:pPr>
      <w:r w:rsidRPr="00140BF9">
        <w:rPr>
          <w:rFonts w:cs="Arial"/>
        </w:rPr>
        <w:t>Payment into court—amount recovered by person with legal disability</w:t>
      </w:r>
    </w:p>
    <w:p w14:paraId="2B7D5A8E" w14:textId="77777777"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14:paraId="0307CA5D" w14:textId="049CADF2"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43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CEAFDEB" w14:textId="77777777" w:rsidR="00D94935" w:rsidRPr="00140BF9" w:rsidRDefault="00D94935" w:rsidP="00D94935">
      <w:pPr>
        <w:pStyle w:val="AmdtsEntryHd"/>
        <w:rPr>
          <w:rFonts w:cs="Arial"/>
        </w:rPr>
      </w:pPr>
      <w:r w:rsidRPr="00140BF9">
        <w:rPr>
          <w:rFonts w:cs="Arial"/>
        </w:rPr>
        <w:t>Person with legal disability—approval of settlement etc</w:t>
      </w:r>
    </w:p>
    <w:p w14:paraId="3E1BF9B0" w14:textId="77777777"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14:paraId="5246B33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7D557255" w14:textId="77777777"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14:paraId="521019AB" w14:textId="1C835291"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43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4EB59973" w14:textId="77777777"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14:paraId="27CCB2EF" w14:textId="17F29D51"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43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14:paraId="72F952B6" w14:textId="77777777" w:rsidR="00D94935" w:rsidRPr="00140BF9" w:rsidRDefault="00D94935" w:rsidP="00D94935">
      <w:pPr>
        <w:pStyle w:val="AmdtsEntryHd"/>
        <w:rPr>
          <w:rFonts w:cs="Arial"/>
        </w:rPr>
      </w:pPr>
      <w:r w:rsidRPr="00140BF9">
        <w:rPr>
          <w:rFonts w:cs="Arial"/>
        </w:rPr>
        <w:t>Stay of debt etc proceeding on payment of amount sought</w:t>
      </w:r>
    </w:p>
    <w:p w14:paraId="61E712CA" w14:textId="77777777"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14:paraId="78C8C731" w14:textId="77777777" w:rsidR="00D94935" w:rsidRPr="00140BF9" w:rsidRDefault="00D94935" w:rsidP="00D94935">
      <w:pPr>
        <w:pStyle w:val="AmdtsEntryHd"/>
        <w:rPr>
          <w:rFonts w:cs="Arial"/>
        </w:rPr>
      </w:pPr>
      <w:r w:rsidRPr="00140BF9">
        <w:rPr>
          <w:rFonts w:cs="Arial"/>
        </w:rPr>
        <w:t>Assessment of costs for stayed debt etc proceeding</w:t>
      </w:r>
    </w:p>
    <w:p w14:paraId="498E8DA6" w14:textId="77777777"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14:paraId="7CDCF40A" w14:textId="77777777" w:rsidR="00D94935" w:rsidRPr="00140BF9" w:rsidRDefault="00D94935" w:rsidP="00D94935">
      <w:pPr>
        <w:pStyle w:val="AmdtsEntryHd"/>
        <w:rPr>
          <w:rFonts w:cs="Arial"/>
        </w:rPr>
      </w:pPr>
      <w:r w:rsidRPr="00140BF9">
        <w:rPr>
          <w:rFonts w:cs="Arial"/>
        </w:rPr>
        <w:t>Judgment on acknowledgment of debt or liquidated demand</w:t>
      </w:r>
    </w:p>
    <w:p w14:paraId="438B2290" w14:textId="77777777"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14:paraId="4BB9BCC3" w14:textId="77777777" w:rsidR="00D94935" w:rsidRPr="00140BF9" w:rsidRDefault="00D94935" w:rsidP="00D94935">
      <w:pPr>
        <w:pStyle w:val="AmdtsEntryHd"/>
        <w:rPr>
          <w:rFonts w:cs="Arial"/>
        </w:rPr>
      </w:pPr>
      <w:r w:rsidRPr="00140BF9">
        <w:rPr>
          <w:rFonts w:cs="Arial"/>
        </w:rPr>
        <w:t>Default by plaintiff—dismissal of proceeding</w:t>
      </w:r>
    </w:p>
    <w:p w14:paraId="2F8B6580" w14:textId="77777777"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14:paraId="11C19F1E" w14:textId="77777777" w:rsidR="00D94935" w:rsidRPr="00140BF9" w:rsidRDefault="00D94935" w:rsidP="00D94935">
      <w:pPr>
        <w:pStyle w:val="AmdtsEntryHd"/>
        <w:rPr>
          <w:rFonts w:cs="Arial"/>
        </w:rPr>
      </w:pPr>
      <w:r w:rsidRPr="00140BF9">
        <w:rPr>
          <w:rFonts w:cs="Arial"/>
        </w:rPr>
        <w:lastRenderedPageBreak/>
        <w:t>Application—div 2.11.3</w:t>
      </w:r>
    </w:p>
    <w:p w14:paraId="4C01FD8A" w14:textId="77777777"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14:paraId="03688774"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14:paraId="5C212B54" w14:textId="77777777"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14:paraId="7F882C93" w14:textId="77777777" w:rsidR="00D94935" w:rsidRPr="00140BF9" w:rsidRDefault="00D94935" w:rsidP="00D94935">
      <w:pPr>
        <w:pStyle w:val="AmdtsEntryHd"/>
        <w:rPr>
          <w:rFonts w:cs="Arial"/>
        </w:rPr>
      </w:pPr>
      <w:r w:rsidRPr="00140BF9">
        <w:rPr>
          <w:rFonts w:cs="Arial"/>
        </w:rPr>
        <w:t>Default judgment—generally</w:t>
      </w:r>
    </w:p>
    <w:p w14:paraId="2622F54C" w14:textId="77777777"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14:paraId="26291BAF" w14:textId="77777777" w:rsidR="00D94935" w:rsidRPr="00140BF9" w:rsidRDefault="00D94935" w:rsidP="00D94935">
      <w:pPr>
        <w:pStyle w:val="AmdtsEntryHd"/>
        <w:rPr>
          <w:rFonts w:cs="Arial"/>
        </w:rPr>
      </w:pPr>
      <w:r w:rsidRPr="00140BF9">
        <w:rPr>
          <w:rFonts w:cs="Arial"/>
        </w:rPr>
        <w:t>Default judgment—relevant affidavits</w:t>
      </w:r>
    </w:p>
    <w:p w14:paraId="1217CF76" w14:textId="77777777"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14:paraId="367E8EE6" w14:textId="32B2A355"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4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14:paraId="303CEDC4" w14:textId="77777777" w:rsidR="00D94935" w:rsidRPr="00140BF9" w:rsidRDefault="00D94935" w:rsidP="00D94935">
      <w:pPr>
        <w:pStyle w:val="AmdtsEntryHd"/>
        <w:rPr>
          <w:rFonts w:cs="Arial"/>
        </w:rPr>
      </w:pPr>
      <w:r w:rsidRPr="00140BF9">
        <w:rPr>
          <w:rFonts w:cs="Arial"/>
        </w:rPr>
        <w:t>Default judgment—debt or liquidated demand</w:t>
      </w:r>
    </w:p>
    <w:p w14:paraId="2C7A345F" w14:textId="77777777"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14:paraId="6737F4E1" w14:textId="4F92B8D2" w:rsidR="008B17EF" w:rsidRPr="00140BF9" w:rsidRDefault="008B17EF" w:rsidP="00D94935">
      <w:pPr>
        <w:pStyle w:val="AmdtsEntries"/>
        <w:rPr>
          <w:rFonts w:cs="Arial"/>
        </w:rPr>
      </w:pPr>
      <w:r>
        <w:rPr>
          <w:rFonts w:eastAsiaTheme="minorEastAsia" w:cs="Arial"/>
          <w:szCs w:val="22"/>
          <w:lang w:eastAsia="en-AU"/>
        </w:rPr>
        <w:tab/>
        <w:t xml:space="preserve">am </w:t>
      </w:r>
      <w:hyperlink r:id="rId144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442"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14:paraId="68BA49CE" w14:textId="77777777" w:rsidR="00D94935" w:rsidRPr="00140BF9" w:rsidRDefault="00D94935" w:rsidP="00D94935">
      <w:pPr>
        <w:pStyle w:val="AmdtsEntryHd"/>
        <w:rPr>
          <w:rFonts w:cs="Arial"/>
        </w:rPr>
      </w:pPr>
      <w:r w:rsidRPr="00140BF9">
        <w:rPr>
          <w:rFonts w:cs="Arial"/>
        </w:rPr>
        <w:t>Default judgment for debt or liquidated demand—assessment of costs</w:t>
      </w:r>
    </w:p>
    <w:p w14:paraId="4DAE5D85" w14:textId="77777777"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14:paraId="3546908F" w14:textId="77777777" w:rsidR="00D94935" w:rsidRPr="00140BF9" w:rsidRDefault="00D94935" w:rsidP="00D94935">
      <w:pPr>
        <w:pStyle w:val="AmdtsEntryHd"/>
        <w:rPr>
          <w:rFonts w:cs="Arial"/>
        </w:rPr>
      </w:pPr>
      <w:r w:rsidRPr="00140BF9">
        <w:rPr>
          <w:rFonts w:cs="Arial"/>
        </w:rPr>
        <w:t>Default judgment—unliquidated damages</w:t>
      </w:r>
    </w:p>
    <w:p w14:paraId="6F247E3C" w14:textId="77777777"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14:paraId="660BBE27" w14:textId="22118949"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4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14:paraId="6B8ACFD5" w14:textId="77777777" w:rsidR="00D94935" w:rsidRPr="00140BF9" w:rsidRDefault="00D94935" w:rsidP="00D94935">
      <w:pPr>
        <w:pStyle w:val="AmdtsEntryHd"/>
        <w:rPr>
          <w:rFonts w:cs="Arial"/>
        </w:rPr>
      </w:pPr>
      <w:r w:rsidRPr="00140BF9">
        <w:rPr>
          <w:rFonts w:cs="Arial"/>
        </w:rPr>
        <w:t>Default judgment—detention of goods</w:t>
      </w:r>
    </w:p>
    <w:p w14:paraId="47540D46" w14:textId="77777777"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14:paraId="7E8E09AC" w14:textId="77777777" w:rsidR="00D94935" w:rsidRPr="00140BF9" w:rsidRDefault="00D94935" w:rsidP="00D94935">
      <w:pPr>
        <w:pStyle w:val="AmdtsEntryHd"/>
        <w:rPr>
          <w:rFonts w:cs="Arial"/>
        </w:rPr>
      </w:pPr>
      <w:r w:rsidRPr="00140BF9">
        <w:rPr>
          <w:rFonts w:cs="Arial"/>
        </w:rPr>
        <w:t>Default judgment—recovery of possession of land</w:t>
      </w:r>
    </w:p>
    <w:p w14:paraId="2A16041F" w14:textId="77777777"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14:paraId="29A8DDD3" w14:textId="77777777" w:rsidR="00D94935" w:rsidRPr="00140BF9" w:rsidRDefault="00D94935" w:rsidP="00D94935">
      <w:pPr>
        <w:pStyle w:val="AmdtsEntryHd"/>
        <w:rPr>
          <w:rFonts w:cs="Arial"/>
        </w:rPr>
      </w:pPr>
      <w:r w:rsidRPr="00140BF9">
        <w:rPr>
          <w:rFonts w:cs="Arial"/>
        </w:rPr>
        <w:t>Default judgment—mixed claims</w:t>
      </w:r>
    </w:p>
    <w:p w14:paraId="4E52A2D8" w14:textId="77777777"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14:paraId="533E2557" w14:textId="77777777" w:rsidR="00D94935" w:rsidRPr="00140BF9" w:rsidRDefault="00D94935" w:rsidP="00D94935">
      <w:pPr>
        <w:pStyle w:val="AmdtsEntryHd"/>
        <w:rPr>
          <w:rFonts w:cs="Arial"/>
        </w:rPr>
      </w:pPr>
      <w:r w:rsidRPr="00140BF9">
        <w:rPr>
          <w:rFonts w:cs="Arial"/>
        </w:rPr>
        <w:t>Default judgment—other claims</w:t>
      </w:r>
    </w:p>
    <w:p w14:paraId="122B5187" w14:textId="77777777"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14:paraId="22E35022" w14:textId="77777777" w:rsidR="00D94935" w:rsidRPr="00140BF9" w:rsidRDefault="00D94935" w:rsidP="00D94935">
      <w:pPr>
        <w:pStyle w:val="AmdtsEntryHd"/>
        <w:rPr>
          <w:rFonts w:cs="Arial"/>
        </w:rPr>
      </w:pPr>
      <w:r w:rsidRPr="00140BF9">
        <w:rPr>
          <w:rFonts w:cs="Arial"/>
        </w:rPr>
        <w:t>Default judgment—costs only</w:t>
      </w:r>
    </w:p>
    <w:p w14:paraId="0585E2A6" w14:textId="77777777"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14:paraId="7C54B9EA" w14:textId="77777777" w:rsidR="00D94935" w:rsidRPr="00140BF9" w:rsidRDefault="00D94935" w:rsidP="00D94935">
      <w:pPr>
        <w:pStyle w:val="AmdtsEntryHd"/>
        <w:rPr>
          <w:rFonts w:cs="Arial"/>
        </w:rPr>
      </w:pPr>
      <w:r w:rsidRPr="00140BF9">
        <w:rPr>
          <w:rFonts w:cs="Arial"/>
        </w:rPr>
        <w:t>Default judgment—setting aside etc</w:t>
      </w:r>
    </w:p>
    <w:p w14:paraId="596D4E60" w14:textId="77777777"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14:paraId="5164A931"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14:paraId="1DBBA15B" w14:textId="77777777"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14:paraId="4229F0C2" w14:textId="77777777" w:rsidR="00D94935" w:rsidRPr="00140BF9" w:rsidRDefault="00D94935" w:rsidP="00D94935">
      <w:pPr>
        <w:pStyle w:val="AmdtsEntryHd"/>
        <w:rPr>
          <w:rFonts w:cs="Arial"/>
        </w:rPr>
      </w:pPr>
      <w:r w:rsidRPr="00140BF9">
        <w:rPr>
          <w:rFonts w:cs="Arial"/>
        </w:rPr>
        <w:t>Default judgment—partial defence</w:t>
      </w:r>
    </w:p>
    <w:p w14:paraId="5E060E01" w14:textId="77777777"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14:paraId="295419CD" w14:textId="77777777" w:rsidR="00D94935" w:rsidRPr="00140BF9" w:rsidRDefault="00D94935" w:rsidP="00D94935">
      <w:pPr>
        <w:pStyle w:val="AmdtsEntryHd"/>
        <w:rPr>
          <w:rFonts w:cs="Arial"/>
        </w:rPr>
      </w:pPr>
      <w:r w:rsidRPr="00140BF9">
        <w:rPr>
          <w:rFonts w:cs="Arial"/>
        </w:rPr>
        <w:t>Application—div 2.11.5</w:t>
      </w:r>
    </w:p>
    <w:p w14:paraId="1A6E945C" w14:textId="77777777"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14:paraId="1F3E3A75" w14:textId="77777777" w:rsidR="00D94935" w:rsidRPr="00140BF9" w:rsidRDefault="00D94935" w:rsidP="00D94935">
      <w:pPr>
        <w:pStyle w:val="AmdtsEntryHd"/>
        <w:rPr>
          <w:rFonts w:cs="Arial"/>
        </w:rPr>
      </w:pPr>
      <w:r w:rsidRPr="00140BF9">
        <w:rPr>
          <w:rFonts w:cs="Arial"/>
        </w:rPr>
        <w:t>Summary judgment—for plaintiff</w:t>
      </w:r>
    </w:p>
    <w:p w14:paraId="3155545A" w14:textId="77777777"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14:paraId="3191BCDD" w14:textId="77777777" w:rsidR="00D94935" w:rsidRPr="00140BF9" w:rsidRDefault="00D94935" w:rsidP="00D94935">
      <w:pPr>
        <w:pStyle w:val="AmdtsEntryHd"/>
        <w:rPr>
          <w:rFonts w:cs="Arial"/>
        </w:rPr>
      </w:pPr>
      <w:r w:rsidRPr="00140BF9">
        <w:rPr>
          <w:rFonts w:cs="Arial"/>
        </w:rPr>
        <w:lastRenderedPageBreak/>
        <w:t>Summary judgment—for defendant</w:t>
      </w:r>
    </w:p>
    <w:p w14:paraId="3F073EA8" w14:textId="77777777"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14:paraId="13FB7ABE" w14:textId="77777777" w:rsidR="00D94935" w:rsidRPr="00140BF9" w:rsidRDefault="00D94935" w:rsidP="00D94935">
      <w:pPr>
        <w:pStyle w:val="AmdtsEntryHd"/>
        <w:rPr>
          <w:rFonts w:cs="Arial"/>
        </w:rPr>
      </w:pPr>
      <w:r w:rsidRPr="00140BF9">
        <w:rPr>
          <w:rFonts w:cs="Arial"/>
        </w:rPr>
        <w:t>Claims not disposed of by summary disposal</w:t>
      </w:r>
    </w:p>
    <w:p w14:paraId="31A077FB" w14:textId="77777777"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14:paraId="7427B16C" w14:textId="77777777" w:rsidR="00D94935" w:rsidRPr="00140BF9" w:rsidRDefault="00D94935" w:rsidP="00D94935">
      <w:pPr>
        <w:pStyle w:val="AmdtsEntryHd"/>
        <w:rPr>
          <w:rFonts w:cs="Arial"/>
        </w:rPr>
      </w:pPr>
      <w:r w:rsidRPr="00140BF9">
        <w:rPr>
          <w:rFonts w:cs="Arial"/>
        </w:rPr>
        <w:t>Evidence in summary judgment proceedings</w:t>
      </w:r>
    </w:p>
    <w:p w14:paraId="31CE62E3" w14:textId="77777777"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14:paraId="55B4729C" w14:textId="77777777" w:rsidR="00D94935" w:rsidRPr="00140BF9" w:rsidRDefault="00D94935" w:rsidP="00D94935">
      <w:pPr>
        <w:pStyle w:val="AmdtsEntryHd"/>
        <w:rPr>
          <w:rFonts w:cs="Arial"/>
        </w:rPr>
      </w:pPr>
      <w:r w:rsidRPr="00140BF9">
        <w:rPr>
          <w:rFonts w:cs="Arial"/>
        </w:rPr>
        <w:t>Summary judgment applications—filing and service</w:t>
      </w:r>
    </w:p>
    <w:p w14:paraId="069DA3D7" w14:textId="77777777"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14:paraId="68A3286C" w14:textId="77777777" w:rsidR="00D94935" w:rsidRPr="00140BF9" w:rsidRDefault="00D94935" w:rsidP="00D94935">
      <w:pPr>
        <w:pStyle w:val="AmdtsEntryHd"/>
        <w:rPr>
          <w:rFonts w:cs="Arial"/>
        </w:rPr>
      </w:pPr>
      <w:r w:rsidRPr="00140BF9">
        <w:rPr>
          <w:rFonts w:cs="Arial"/>
        </w:rPr>
        <w:t>Summary judgment applications—directions etc</w:t>
      </w:r>
    </w:p>
    <w:p w14:paraId="5652B5B6" w14:textId="77777777"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14:paraId="3E11F856" w14:textId="77777777" w:rsidR="00D94935" w:rsidRPr="00140BF9" w:rsidRDefault="00D94935" w:rsidP="00D94935">
      <w:pPr>
        <w:pStyle w:val="AmdtsEntryHd"/>
        <w:rPr>
          <w:rFonts w:cs="Arial"/>
        </w:rPr>
      </w:pPr>
      <w:r w:rsidRPr="00140BF9">
        <w:rPr>
          <w:rFonts w:cs="Arial"/>
        </w:rPr>
        <w:t>Summary judgment applications—costs</w:t>
      </w:r>
    </w:p>
    <w:p w14:paraId="5270C053" w14:textId="77777777"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14:paraId="4A8F1C20" w14:textId="77777777" w:rsidR="00D94935" w:rsidRPr="00140BF9" w:rsidRDefault="00D94935" w:rsidP="00D94935">
      <w:pPr>
        <w:pStyle w:val="AmdtsEntryHd"/>
        <w:rPr>
          <w:rFonts w:cs="Arial"/>
        </w:rPr>
      </w:pPr>
      <w:r w:rsidRPr="00140BF9">
        <w:rPr>
          <w:rFonts w:cs="Arial"/>
        </w:rPr>
        <w:t>Summary judgment—stay of enforcement</w:t>
      </w:r>
    </w:p>
    <w:p w14:paraId="6F36C7A5" w14:textId="77777777"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14:paraId="239604D9" w14:textId="77777777" w:rsidR="00D94935" w:rsidRPr="00140BF9" w:rsidRDefault="00D94935" w:rsidP="00D94935">
      <w:pPr>
        <w:pStyle w:val="AmdtsEntryHd"/>
        <w:rPr>
          <w:rFonts w:cs="Arial"/>
        </w:rPr>
      </w:pPr>
      <w:r w:rsidRPr="00140BF9">
        <w:rPr>
          <w:rFonts w:cs="Arial"/>
        </w:rPr>
        <w:t>Summary judgment—relief from forfeiture</w:t>
      </w:r>
    </w:p>
    <w:p w14:paraId="4D44AEB4" w14:textId="77777777"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14:paraId="5EEF203B" w14:textId="77777777" w:rsidR="00D94935" w:rsidRPr="00140BF9" w:rsidRDefault="00D94935" w:rsidP="00D94935">
      <w:pPr>
        <w:pStyle w:val="AmdtsEntryHd"/>
        <w:rPr>
          <w:rFonts w:cs="Arial"/>
        </w:rPr>
      </w:pPr>
      <w:r w:rsidRPr="00140BF9">
        <w:rPr>
          <w:rFonts w:cs="Arial"/>
        </w:rPr>
        <w:t>Summary judgment—setting aside</w:t>
      </w:r>
    </w:p>
    <w:p w14:paraId="16B46668" w14:textId="77777777"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14:paraId="21C957A2" w14:textId="77777777" w:rsidR="00D94935" w:rsidRPr="00140BF9" w:rsidRDefault="00D94935" w:rsidP="00D94935">
      <w:pPr>
        <w:pStyle w:val="AmdtsEntryHd"/>
        <w:rPr>
          <w:rFonts w:cs="Arial"/>
        </w:rPr>
      </w:pPr>
      <w:r w:rsidRPr="00140BF9">
        <w:rPr>
          <w:rFonts w:cs="Arial"/>
        </w:rPr>
        <w:t>Discontinuance or withdrawal by plaintiff</w:t>
      </w:r>
    </w:p>
    <w:p w14:paraId="4433B000" w14:textId="77777777"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14:paraId="0DF3DB27" w14:textId="6CC6E02C"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4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r w:rsidR="00564BEF">
        <w:rPr>
          <w:rFonts w:cs="Arial"/>
        </w:rPr>
        <w:t xml:space="preserve">; </w:t>
      </w:r>
      <w:hyperlink r:id="rId1445" w:tooltip="Court Procedures Amendment Rules 2024 (No 1)" w:history="1">
        <w:r w:rsidR="008E1456">
          <w:rPr>
            <w:rStyle w:val="charCitHyperlinkAbbrev"/>
          </w:rPr>
          <w:t>SL2024</w:t>
        </w:r>
        <w:r w:rsidR="008E1456">
          <w:rPr>
            <w:rStyle w:val="charCitHyperlinkAbbrev"/>
          </w:rPr>
          <w:noBreakHyphen/>
          <w:t>9</w:t>
        </w:r>
      </w:hyperlink>
      <w:r w:rsidR="00564BEF">
        <w:rPr>
          <w:rFonts w:cs="Arial"/>
        </w:rPr>
        <w:t xml:space="preserve"> r 6</w:t>
      </w:r>
    </w:p>
    <w:p w14:paraId="5F2B10E7" w14:textId="77777777" w:rsidR="00D94935" w:rsidRPr="00140BF9" w:rsidRDefault="00D94935" w:rsidP="00D94935">
      <w:pPr>
        <w:pStyle w:val="AmdtsEntryHd"/>
        <w:rPr>
          <w:rFonts w:cs="Arial"/>
        </w:rPr>
      </w:pPr>
      <w:r w:rsidRPr="00140BF9">
        <w:rPr>
          <w:rFonts w:cs="Arial"/>
        </w:rPr>
        <w:t>Discontinuance or withdrawal of counterclaim by defendant</w:t>
      </w:r>
    </w:p>
    <w:p w14:paraId="12344E6E" w14:textId="77777777"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14:paraId="7BB183A3" w14:textId="77777777" w:rsidR="00D94935" w:rsidRPr="00140BF9" w:rsidRDefault="00D94935" w:rsidP="00D94935">
      <w:pPr>
        <w:pStyle w:val="AmdtsEntryHd"/>
        <w:rPr>
          <w:rFonts w:cs="Arial"/>
        </w:rPr>
      </w:pPr>
      <w:r w:rsidRPr="00140BF9">
        <w:rPr>
          <w:rFonts w:cs="Arial"/>
        </w:rPr>
        <w:t>Withdrawal of notice of intention to respond</w:t>
      </w:r>
    </w:p>
    <w:p w14:paraId="6413EE76" w14:textId="77777777"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14:paraId="6BB01495" w14:textId="77777777" w:rsidR="00D94935" w:rsidRPr="00140BF9" w:rsidRDefault="00D94935" w:rsidP="00D94935">
      <w:pPr>
        <w:pStyle w:val="AmdtsEntryHd"/>
        <w:rPr>
          <w:rFonts w:cs="Arial"/>
        </w:rPr>
      </w:pPr>
      <w:r w:rsidRPr="00140BF9">
        <w:rPr>
          <w:rFonts w:cs="Arial"/>
        </w:rPr>
        <w:t>Costs of discontinuance or withdrawal</w:t>
      </w:r>
    </w:p>
    <w:p w14:paraId="5D1291A9" w14:textId="77777777"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14:paraId="2C6AF236" w14:textId="77777777" w:rsidR="00D94935" w:rsidRPr="00140BF9" w:rsidRDefault="00D94935" w:rsidP="00D94935">
      <w:pPr>
        <w:pStyle w:val="AmdtsEntryHd"/>
        <w:rPr>
          <w:rFonts w:cs="Arial"/>
        </w:rPr>
      </w:pPr>
      <w:r w:rsidRPr="00140BF9">
        <w:rPr>
          <w:rFonts w:cs="Arial"/>
        </w:rPr>
        <w:t>Withdrawal of defence or further pleading</w:t>
      </w:r>
    </w:p>
    <w:p w14:paraId="1DDAD816" w14:textId="77777777"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14:paraId="6FA08EFE" w14:textId="77777777" w:rsidR="00D94935" w:rsidRPr="00140BF9" w:rsidRDefault="00D94935" w:rsidP="00D94935">
      <w:pPr>
        <w:pStyle w:val="AmdtsEntryHd"/>
        <w:rPr>
          <w:rFonts w:cs="Arial"/>
        </w:rPr>
      </w:pPr>
      <w:r w:rsidRPr="00140BF9">
        <w:rPr>
          <w:rFonts w:cs="Arial"/>
        </w:rPr>
        <w:t>Notice of discontinuance or withdrawal</w:t>
      </w:r>
    </w:p>
    <w:p w14:paraId="7D9A9FA7" w14:textId="77777777"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14:paraId="2FEBD3C3" w14:textId="77777777" w:rsidR="00D94935" w:rsidRPr="00140BF9" w:rsidRDefault="00D94935" w:rsidP="00D94935">
      <w:pPr>
        <w:pStyle w:val="AmdtsEntryHd"/>
        <w:rPr>
          <w:rFonts w:cs="Arial"/>
        </w:rPr>
      </w:pPr>
      <w:r w:rsidRPr="00140BF9">
        <w:rPr>
          <w:rFonts w:cs="Arial"/>
        </w:rPr>
        <w:t>Discontinuance or withdrawal by party representing someone else etc</w:t>
      </w:r>
    </w:p>
    <w:p w14:paraId="0527B0B1" w14:textId="77777777"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14:paraId="5EB22966" w14:textId="77777777" w:rsidR="00D94935" w:rsidRPr="00140BF9" w:rsidRDefault="00D94935" w:rsidP="00D94935">
      <w:pPr>
        <w:pStyle w:val="AmdtsEntryHd"/>
        <w:rPr>
          <w:rFonts w:cs="Arial"/>
        </w:rPr>
      </w:pPr>
      <w:r w:rsidRPr="00140BF9">
        <w:rPr>
          <w:rFonts w:cs="Arial"/>
        </w:rPr>
        <w:t>Discontinuance or withdrawal—subsequent proceeding</w:t>
      </w:r>
    </w:p>
    <w:p w14:paraId="73EB299C" w14:textId="77777777"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14:paraId="1FA833AB" w14:textId="77777777" w:rsidR="00D94935" w:rsidRPr="00140BF9" w:rsidRDefault="00D94935" w:rsidP="00D94935">
      <w:pPr>
        <w:pStyle w:val="AmdtsEntryHd"/>
        <w:rPr>
          <w:rFonts w:cs="Arial"/>
        </w:rPr>
      </w:pPr>
      <w:r w:rsidRPr="00140BF9">
        <w:rPr>
          <w:rFonts w:cs="Arial"/>
        </w:rPr>
        <w:t>Consolidated proceedings and counterclaims</w:t>
      </w:r>
    </w:p>
    <w:p w14:paraId="12D2F37A" w14:textId="77777777"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14:paraId="41D34651" w14:textId="77777777" w:rsidR="00D94935" w:rsidRPr="00140BF9" w:rsidRDefault="00D94935" w:rsidP="00D94935">
      <w:pPr>
        <w:pStyle w:val="AmdtsEntryHd"/>
        <w:rPr>
          <w:rFonts w:cs="Arial"/>
        </w:rPr>
      </w:pPr>
      <w:r w:rsidRPr="00140BF9">
        <w:rPr>
          <w:rFonts w:cs="Arial"/>
        </w:rPr>
        <w:lastRenderedPageBreak/>
        <w:t>Stay pending payment of costs</w:t>
      </w:r>
    </w:p>
    <w:p w14:paraId="613D77B4" w14:textId="77777777"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14:paraId="0E260BE9" w14:textId="77777777" w:rsidR="00D94935" w:rsidRPr="00140BF9" w:rsidRDefault="00D94935" w:rsidP="00D94935">
      <w:pPr>
        <w:pStyle w:val="AmdtsEntryHd"/>
        <w:rPr>
          <w:rFonts w:cs="Arial"/>
        </w:rPr>
      </w:pPr>
      <w:r w:rsidRPr="00140BF9">
        <w:rPr>
          <w:rFonts w:cs="Arial"/>
        </w:rPr>
        <w:t>Purpose—div 2.11.7</w:t>
      </w:r>
    </w:p>
    <w:p w14:paraId="64A3A31D" w14:textId="77777777"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14:paraId="74B57596" w14:textId="77777777" w:rsidR="00D94935" w:rsidRPr="00140BF9" w:rsidRDefault="00D94935" w:rsidP="00D94935">
      <w:pPr>
        <w:pStyle w:val="AmdtsEntryHd"/>
        <w:rPr>
          <w:rFonts w:cs="Arial"/>
        </w:rPr>
      </w:pPr>
      <w:r w:rsidRPr="00140BF9">
        <w:rPr>
          <w:rFonts w:cs="Arial"/>
        </w:rPr>
        <w:t>Definitions—div 2.11.7</w:t>
      </w:r>
    </w:p>
    <w:p w14:paraId="706CE477" w14:textId="77777777"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14:paraId="1C859581" w14:textId="77777777" w:rsidR="00D94935" w:rsidRPr="00140BF9" w:rsidRDefault="00D94935" w:rsidP="00D94935">
      <w:pPr>
        <w:pStyle w:val="AmdtsEntryHd"/>
        <w:rPr>
          <w:rFonts w:cs="Arial"/>
        </w:rPr>
      </w:pPr>
      <w:r w:rsidRPr="00140BF9">
        <w:rPr>
          <w:rFonts w:cs="Arial"/>
        </w:rPr>
        <w:t>Mediation—appointment of mediator</w:t>
      </w:r>
    </w:p>
    <w:p w14:paraId="4BC53B79" w14:textId="77777777"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14:paraId="688760FA" w14:textId="3439E758"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446" w:tooltip="Court Procedures Amendment Rules 2015 (No 3)" w:history="1">
        <w:r w:rsidRPr="006520D2">
          <w:rPr>
            <w:rStyle w:val="charCitHyperlinkAbbrev"/>
            <w:rFonts w:eastAsiaTheme="minorEastAsia"/>
          </w:rPr>
          <w:t>SL2015-42</w:t>
        </w:r>
      </w:hyperlink>
      <w:r>
        <w:t xml:space="preserve"> r </w:t>
      </w:r>
      <w:r w:rsidR="00D2579F">
        <w:t>6, r 7</w:t>
      </w:r>
    </w:p>
    <w:p w14:paraId="2CA056B9" w14:textId="77777777" w:rsidR="00D94935" w:rsidRPr="00140BF9" w:rsidRDefault="00D94935" w:rsidP="00D94935">
      <w:pPr>
        <w:pStyle w:val="AmdtsEntryHd"/>
        <w:rPr>
          <w:rFonts w:cs="Arial"/>
        </w:rPr>
      </w:pPr>
      <w:r w:rsidRPr="00140BF9">
        <w:rPr>
          <w:rFonts w:cs="Arial"/>
        </w:rPr>
        <w:t>Neutral evaluation—appointment of evaluator</w:t>
      </w:r>
    </w:p>
    <w:p w14:paraId="1E2BD35F" w14:textId="77777777"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14:paraId="1258A706" w14:textId="77777777" w:rsidR="00D94935" w:rsidRPr="00140BF9" w:rsidRDefault="00D94935" w:rsidP="00D94935">
      <w:pPr>
        <w:pStyle w:val="AmdtsEntryHd"/>
        <w:rPr>
          <w:rFonts w:cs="Arial"/>
        </w:rPr>
      </w:pPr>
      <w:r w:rsidRPr="00140BF9">
        <w:rPr>
          <w:rFonts w:cs="Arial"/>
        </w:rPr>
        <w:t>Mediation or neutral evaluation—referral by court</w:t>
      </w:r>
    </w:p>
    <w:p w14:paraId="6E0C5DE7" w14:textId="77777777"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14:paraId="6B7B671E" w14:textId="77777777" w:rsidR="00D94935" w:rsidRPr="00140BF9" w:rsidRDefault="00D94935" w:rsidP="00D94935">
      <w:pPr>
        <w:pStyle w:val="AmdtsEntryHd"/>
        <w:rPr>
          <w:rFonts w:cs="Arial"/>
        </w:rPr>
      </w:pPr>
      <w:r w:rsidRPr="00140BF9">
        <w:rPr>
          <w:rFonts w:cs="Arial"/>
        </w:rPr>
        <w:t>Mediation or neutral evaluation—duty of parties to take part</w:t>
      </w:r>
    </w:p>
    <w:p w14:paraId="782FE201" w14:textId="77777777"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14:paraId="5FFE4728" w14:textId="77777777" w:rsidR="00D94935" w:rsidRPr="00140BF9" w:rsidRDefault="00D94935" w:rsidP="00D94935">
      <w:pPr>
        <w:pStyle w:val="AmdtsEntryHd"/>
        <w:rPr>
          <w:rFonts w:cs="Arial"/>
        </w:rPr>
      </w:pPr>
      <w:r w:rsidRPr="00140BF9">
        <w:rPr>
          <w:rFonts w:cs="Arial"/>
        </w:rPr>
        <w:t>Mediation or neutral evaluation—costs</w:t>
      </w:r>
    </w:p>
    <w:p w14:paraId="38FCC10B" w14:textId="77777777"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14:paraId="538691F8" w14:textId="66C28B5E"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447"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14:paraId="6C9AC22A" w14:textId="77777777" w:rsidR="00D94935" w:rsidRPr="00140BF9" w:rsidRDefault="00D94935" w:rsidP="00D94935">
      <w:pPr>
        <w:pStyle w:val="AmdtsEntryHd"/>
        <w:rPr>
          <w:rFonts w:cs="Arial"/>
        </w:rPr>
      </w:pPr>
      <w:r w:rsidRPr="00140BF9">
        <w:rPr>
          <w:rFonts w:cs="Arial"/>
        </w:rPr>
        <w:t>Mediation or neutral evaluation—agreements and arrangements arising from sessions</w:t>
      </w:r>
    </w:p>
    <w:p w14:paraId="0817B4C1" w14:textId="77777777"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14:paraId="107E0E62" w14:textId="79633F9A"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448" w:tooltip="Court Procedures Amendment Rules 2015 (No 3)" w:history="1">
        <w:r w:rsidRPr="006520D2">
          <w:rPr>
            <w:rStyle w:val="charCitHyperlinkAbbrev"/>
            <w:rFonts w:eastAsiaTheme="minorEastAsia"/>
          </w:rPr>
          <w:t>SL2015-42</w:t>
        </w:r>
      </w:hyperlink>
      <w:r>
        <w:t xml:space="preserve"> r 8</w:t>
      </w:r>
    </w:p>
    <w:p w14:paraId="4EFA76E7" w14:textId="77777777" w:rsidR="00D94935" w:rsidRPr="00140BF9" w:rsidRDefault="00D94935" w:rsidP="00D94935">
      <w:pPr>
        <w:pStyle w:val="AmdtsEntryHd"/>
        <w:rPr>
          <w:rFonts w:cs="Arial"/>
        </w:rPr>
      </w:pPr>
      <w:r w:rsidRPr="00140BF9">
        <w:rPr>
          <w:rFonts w:cs="Arial"/>
        </w:rPr>
        <w:t>Neutral evaluation—privilege</w:t>
      </w:r>
    </w:p>
    <w:p w14:paraId="79B069AF" w14:textId="77777777"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14:paraId="7FD362BF" w14:textId="77777777" w:rsidR="00D94935" w:rsidRPr="00140BF9" w:rsidRDefault="00D94935" w:rsidP="00D94935">
      <w:pPr>
        <w:pStyle w:val="AmdtsEntryHd"/>
        <w:rPr>
          <w:rFonts w:cs="Arial"/>
        </w:rPr>
      </w:pPr>
      <w:r w:rsidRPr="00140BF9">
        <w:rPr>
          <w:rFonts w:cs="Arial"/>
        </w:rPr>
        <w:t>Evaluators—secrecy</w:t>
      </w:r>
    </w:p>
    <w:p w14:paraId="6B80231C" w14:textId="77777777"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14:paraId="2DCFCE67" w14:textId="77777777" w:rsidR="00D94935" w:rsidRPr="00140BF9" w:rsidRDefault="00D94935" w:rsidP="00D94935">
      <w:pPr>
        <w:pStyle w:val="AmdtsEntryHd"/>
        <w:rPr>
          <w:rFonts w:cs="Arial"/>
        </w:rPr>
      </w:pPr>
      <w:r w:rsidRPr="00140BF9">
        <w:rPr>
          <w:rFonts w:cs="Arial"/>
        </w:rPr>
        <w:t>Evaluators—protection from liability</w:t>
      </w:r>
    </w:p>
    <w:p w14:paraId="182E082F" w14:textId="77777777"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14:paraId="38FCA07B" w14:textId="77777777" w:rsidR="00D94935" w:rsidRPr="00140BF9" w:rsidRDefault="00D94935" w:rsidP="00D94935">
      <w:pPr>
        <w:pStyle w:val="AmdtsEntryHd"/>
        <w:rPr>
          <w:rFonts w:cs="Arial"/>
        </w:rPr>
      </w:pPr>
      <w:r w:rsidRPr="00140BF9">
        <w:rPr>
          <w:rFonts w:cs="Arial"/>
        </w:rPr>
        <w:t>Purposes—pt 2.12</w:t>
      </w:r>
    </w:p>
    <w:p w14:paraId="4EA56B5F" w14:textId="77777777" w:rsidR="00D94935" w:rsidRPr="00140BF9" w:rsidRDefault="00D94935" w:rsidP="00D94935">
      <w:pPr>
        <w:pStyle w:val="AmdtsEntries"/>
        <w:rPr>
          <w:rFonts w:cs="Arial"/>
        </w:rPr>
      </w:pPr>
      <w:r w:rsidRPr="00140BF9">
        <w:rPr>
          <w:rFonts w:cs="Arial"/>
        </w:rPr>
        <w:t>r 1200A</w:t>
      </w:r>
      <w:r w:rsidRPr="00140BF9">
        <w:rPr>
          <w:rFonts w:cs="Arial"/>
        </w:rPr>
        <w:tab/>
        <w:t>renum as r 1200</w:t>
      </w:r>
    </w:p>
    <w:p w14:paraId="3B14E970" w14:textId="77777777" w:rsidR="00D94935" w:rsidRPr="00140BF9" w:rsidRDefault="00D94935" w:rsidP="00D94935">
      <w:pPr>
        <w:pStyle w:val="AmdtsEntryHd"/>
        <w:rPr>
          <w:rFonts w:cs="Arial"/>
        </w:rPr>
      </w:pPr>
      <w:r w:rsidRPr="00140BF9">
        <w:rPr>
          <w:rFonts w:cs="Arial"/>
        </w:rPr>
        <w:t>Purposes—pt 2.12</w:t>
      </w:r>
    </w:p>
    <w:p w14:paraId="2C4C43EE" w14:textId="77777777"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14:paraId="04D6DDED" w14:textId="77777777" w:rsidR="00D94935" w:rsidRPr="00140BF9" w:rsidRDefault="00D94935" w:rsidP="00D94935">
      <w:pPr>
        <w:pStyle w:val="AmdtsEntries"/>
        <w:keepNext/>
        <w:rPr>
          <w:rFonts w:cs="Arial"/>
        </w:rPr>
      </w:pPr>
      <w:r w:rsidRPr="00140BF9">
        <w:rPr>
          <w:rFonts w:cs="Arial"/>
          <w:b/>
        </w:rPr>
        <w:tab/>
      </w:r>
      <w:r w:rsidRPr="00140BF9">
        <w:rPr>
          <w:rFonts w:cs="Arial"/>
        </w:rPr>
        <w:t>renum as r 1201</w:t>
      </w:r>
    </w:p>
    <w:p w14:paraId="420C861E"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1200</w:t>
      </w:r>
    </w:p>
    <w:p w14:paraId="75820F80" w14:textId="67E89AB9"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44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14:paraId="1999A334" w14:textId="38F8B518" w:rsidR="00D94935" w:rsidRPr="00140BF9" w:rsidRDefault="00D94935" w:rsidP="00D94935">
      <w:pPr>
        <w:pStyle w:val="AmdtsEntries"/>
        <w:rPr>
          <w:rFonts w:cs="Arial"/>
        </w:rPr>
      </w:pPr>
      <w:r w:rsidRPr="00140BF9">
        <w:rPr>
          <w:rFonts w:cs="Arial"/>
        </w:rPr>
        <w:tab/>
        <w:t xml:space="preserve">renum as r 1200 </w:t>
      </w:r>
      <w:hyperlink r:id="rId145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616C58D" w14:textId="77777777"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code of conduct</w:t>
      </w:r>
      <w:r w:rsidRPr="00140BF9">
        <w:rPr>
          <w:rFonts w:cs="Arial"/>
        </w:rPr>
        <w:t>—pt 2.12</w:t>
      </w:r>
    </w:p>
    <w:p w14:paraId="22A58CE3" w14:textId="77777777" w:rsidR="00D94935" w:rsidRPr="00140BF9" w:rsidRDefault="00D94935" w:rsidP="00745DAF">
      <w:pPr>
        <w:pStyle w:val="AmdtsEntries"/>
        <w:keepNext/>
        <w:rPr>
          <w:rFonts w:cs="Arial"/>
          <w:b/>
        </w:rPr>
      </w:pPr>
      <w:r w:rsidRPr="00140BF9">
        <w:rPr>
          <w:rFonts w:cs="Arial"/>
        </w:rPr>
        <w:t>r 1201</w:t>
      </w:r>
      <w:r w:rsidRPr="00140BF9">
        <w:rPr>
          <w:rFonts w:cs="Arial"/>
        </w:rPr>
        <w:tab/>
      </w:r>
      <w:r w:rsidRPr="00140BF9">
        <w:rPr>
          <w:rFonts w:cs="Arial"/>
          <w:b/>
        </w:rPr>
        <w:t>orig r 1201</w:t>
      </w:r>
    </w:p>
    <w:p w14:paraId="441AB210" w14:textId="77777777" w:rsidR="00D94935" w:rsidRPr="00140BF9" w:rsidRDefault="00D94935" w:rsidP="00745DAF">
      <w:pPr>
        <w:pStyle w:val="AmdtsEntries"/>
        <w:keepNext/>
        <w:rPr>
          <w:rFonts w:cs="Arial"/>
        </w:rPr>
      </w:pPr>
      <w:r w:rsidRPr="00140BF9">
        <w:rPr>
          <w:rFonts w:cs="Arial"/>
          <w:b/>
        </w:rPr>
        <w:tab/>
      </w:r>
      <w:r w:rsidRPr="00140BF9">
        <w:rPr>
          <w:rFonts w:cs="Arial"/>
        </w:rPr>
        <w:t>renum as r 1202</w:t>
      </w:r>
    </w:p>
    <w:p w14:paraId="4F2DE23C" w14:textId="77777777" w:rsidR="00D94935" w:rsidRPr="00140BF9" w:rsidRDefault="00D94935" w:rsidP="00D94935">
      <w:pPr>
        <w:pStyle w:val="AmdtsEntries"/>
        <w:rPr>
          <w:rFonts w:cs="Arial"/>
          <w:b/>
        </w:rPr>
      </w:pPr>
      <w:r w:rsidRPr="00140BF9">
        <w:rPr>
          <w:rFonts w:cs="Arial"/>
        </w:rPr>
        <w:tab/>
      </w:r>
      <w:r w:rsidRPr="00140BF9">
        <w:rPr>
          <w:rFonts w:cs="Arial"/>
          <w:b/>
        </w:rPr>
        <w:t>pres r 1201</w:t>
      </w:r>
    </w:p>
    <w:p w14:paraId="2E4CEA25" w14:textId="44258FAD" w:rsidR="00D94935" w:rsidRPr="00140BF9" w:rsidRDefault="00D94935" w:rsidP="00D94935">
      <w:pPr>
        <w:pStyle w:val="AmdtsEntries"/>
        <w:rPr>
          <w:rFonts w:cs="Arial"/>
        </w:rPr>
      </w:pPr>
      <w:r w:rsidRPr="00140BF9">
        <w:rPr>
          <w:rFonts w:cs="Arial"/>
        </w:rPr>
        <w:tab/>
        <w:t xml:space="preserve">(prev r 1200) renum as r 1201 </w:t>
      </w:r>
      <w:hyperlink r:id="rId145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57BF58D1"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14:paraId="62BF3FC9" w14:textId="77777777"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14:paraId="5DFEF781" w14:textId="77777777"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14:paraId="196A08E0" w14:textId="77777777" w:rsidR="00D94935" w:rsidRPr="00140BF9" w:rsidRDefault="00D94935" w:rsidP="00D94935">
      <w:pPr>
        <w:pStyle w:val="AmdtsEntries"/>
        <w:rPr>
          <w:rFonts w:cs="Arial"/>
        </w:rPr>
      </w:pPr>
      <w:r w:rsidRPr="00140BF9">
        <w:rPr>
          <w:rFonts w:cs="Arial"/>
          <w:b/>
        </w:rPr>
        <w:tab/>
      </w:r>
      <w:r w:rsidRPr="00140BF9">
        <w:rPr>
          <w:rFonts w:cs="Arial"/>
        </w:rPr>
        <w:t>renum as r 1203</w:t>
      </w:r>
    </w:p>
    <w:p w14:paraId="13E33A44"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1202</w:t>
      </w:r>
    </w:p>
    <w:p w14:paraId="0F3F01B9" w14:textId="23DD0734"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45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7F31C077" w14:textId="77777777" w:rsidR="00D94935" w:rsidRPr="00140BF9" w:rsidRDefault="00D94935" w:rsidP="00D94935">
      <w:pPr>
        <w:pStyle w:val="AmdtsEntryHd"/>
        <w:rPr>
          <w:rFonts w:cs="Arial"/>
        </w:rPr>
      </w:pPr>
      <w:r w:rsidRPr="00140BF9">
        <w:rPr>
          <w:rFonts w:cs="Arial"/>
        </w:rPr>
        <w:t>Expert witnesses to agree to be bound by code of conduct</w:t>
      </w:r>
    </w:p>
    <w:p w14:paraId="32B18027" w14:textId="77777777"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14:paraId="5E8E39CC" w14:textId="77777777"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14:paraId="114C3AF4" w14:textId="77777777" w:rsidR="00D94935" w:rsidRPr="00140BF9" w:rsidRDefault="00D94935" w:rsidP="00D94935">
      <w:pPr>
        <w:pStyle w:val="AmdtsEntries"/>
        <w:rPr>
          <w:rFonts w:cs="Arial"/>
        </w:rPr>
      </w:pPr>
      <w:r w:rsidRPr="00140BF9">
        <w:rPr>
          <w:rFonts w:cs="Arial"/>
          <w:b/>
        </w:rPr>
        <w:tab/>
      </w:r>
      <w:r w:rsidRPr="00140BF9">
        <w:rPr>
          <w:rFonts w:cs="Arial"/>
        </w:rPr>
        <w:t>renum as r 1204</w:t>
      </w:r>
    </w:p>
    <w:p w14:paraId="347E4F13" w14:textId="77777777" w:rsidR="00D94935" w:rsidRPr="00140BF9" w:rsidRDefault="00D94935" w:rsidP="00D94935">
      <w:pPr>
        <w:pStyle w:val="AmdtsEntries"/>
        <w:rPr>
          <w:rFonts w:cs="Arial"/>
          <w:b/>
        </w:rPr>
      </w:pPr>
      <w:r w:rsidRPr="00140BF9">
        <w:rPr>
          <w:rFonts w:cs="Arial"/>
        </w:rPr>
        <w:tab/>
      </w:r>
      <w:r w:rsidRPr="00140BF9">
        <w:rPr>
          <w:rFonts w:cs="Arial"/>
          <w:b/>
        </w:rPr>
        <w:t>pres r 1203</w:t>
      </w:r>
    </w:p>
    <w:p w14:paraId="6CAC5AB9" w14:textId="0C5228AF" w:rsidR="00D94935" w:rsidRPr="00140BF9" w:rsidRDefault="00D94935" w:rsidP="00D94935">
      <w:pPr>
        <w:pStyle w:val="AmdtsEntries"/>
        <w:rPr>
          <w:rFonts w:cs="Arial"/>
        </w:rPr>
      </w:pPr>
      <w:r w:rsidRPr="00140BF9">
        <w:rPr>
          <w:rFonts w:cs="Arial"/>
        </w:rPr>
        <w:tab/>
        <w:t xml:space="preserve">(prev r 1202) am </w:t>
      </w:r>
      <w:hyperlink r:id="rId145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14:paraId="2B216EB5" w14:textId="6E9AA0AA" w:rsidR="00D94935" w:rsidRPr="00140BF9" w:rsidRDefault="00D94935" w:rsidP="00D94935">
      <w:pPr>
        <w:pStyle w:val="AmdtsEntries"/>
        <w:rPr>
          <w:rFonts w:cs="Arial"/>
        </w:rPr>
      </w:pPr>
      <w:r w:rsidRPr="00140BF9">
        <w:rPr>
          <w:rFonts w:cs="Arial"/>
        </w:rPr>
        <w:tab/>
        <w:t xml:space="preserve">renum as r 1203 </w:t>
      </w:r>
      <w:hyperlink r:id="rId145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CA0E734" w14:textId="77777777" w:rsidR="00D94935" w:rsidRPr="00140BF9" w:rsidRDefault="00D94935" w:rsidP="00D94935">
      <w:pPr>
        <w:pStyle w:val="AmdtsEntryHd"/>
        <w:rPr>
          <w:rFonts w:cs="Arial"/>
        </w:rPr>
      </w:pPr>
      <w:r w:rsidRPr="00140BF9">
        <w:rPr>
          <w:rFonts w:cs="Arial"/>
        </w:rPr>
        <w:t>Expert witness—immunity</w:t>
      </w:r>
    </w:p>
    <w:p w14:paraId="03D27A61" w14:textId="77777777"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14:paraId="3CAD8F77" w14:textId="0AACA685"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5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696592DB" w14:textId="77777777" w:rsidR="00D94935" w:rsidRPr="00140BF9" w:rsidRDefault="00D94935" w:rsidP="00D94935">
      <w:pPr>
        <w:pStyle w:val="AmdtsEntryHd"/>
        <w:rPr>
          <w:rFonts w:cs="Arial"/>
        </w:rPr>
      </w:pPr>
      <w:r w:rsidRPr="00140BF9">
        <w:rPr>
          <w:rFonts w:cs="Arial"/>
        </w:rPr>
        <w:t>Court may give directions in relation to expert evidence</w:t>
      </w:r>
    </w:p>
    <w:p w14:paraId="78BFD876" w14:textId="7E8F815B"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5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14:paraId="72E01F33" w14:textId="78387826" w:rsidR="00D94935" w:rsidRPr="00140BF9" w:rsidRDefault="00D94935" w:rsidP="00D94935">
      <w:pPr>
        <w:pStyle w:val="AmdtsEntries"/>
        <w:rPr>
          <w:rFonts w:cs="Arial"/>
        </w:rPr>
      </w:pPr>
      <w:r w:rsidRPr="00140BF9">
        <w:rPr>
          <w:rFonts w:cs="Arial"/>
        </w:rPr>
        <w:tab/>
        <w:t xml:space="preserve">am </w:t>
      </w:r>
      <w:hyperlink r:id="rId14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14:paraId="1B19DCF1" w14:textId="77777777" w:rsidR="00D94935" w:rsidRPr="00140BF9" w:rsidRDefault="00D94935" w:rsidP="00D94935">
      <w:pPr>
        <w:pStyle w:val="AmdtsEntryHd"/>
        <w:rPr>
          <w:rFonts w:cs="Arial"/>
        </w:rPr>
      </w:pPr>
      <w:r w:rsidRPr="00140BF9">
        <w:rPr>
          <w:rFonts w:cs="Arial"/>
        </w:rPr>
        <w:t>Application—div 2.12.2</w:t>
      </w:r>
    </w:p>
    <w:p w14:paraId="4A3DD54E" w14:textId="77777777"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14:paraId="412CDD50" w14:textId="77777777" w:rsidR="00D94935" w:rsidRPr="00140BF9" w:rsidRDefault="00D94935" w:rsidP="00D94935">
      <w:pPr>
        <w:pStyle w:val="AmdtsEntryHd"/>
        <w:rPr>
          <w:rFonts w:cs="Arial"/>
        </w:rPr>
      </w:pPr>
      <w:r w:rsidRPr="00140BF9">
        <w:rPr>
          <w:rFonts w:cs="Arial"/>
        </w:rPr>
        <w:t>Court may direct experts to meet etc</w:t>
      </w:r>
    </w:p>
    <w:p w14:paraId="713326F1" w14:textId="77777777"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14:paraId="5269E66F"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43BA05F8" w14:textId="77777777"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14:paraId="5283C62C" w14:textId="54519F20"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5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14:paraId="24565FFA" w14:textId="77777777"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14:paraId="20ACB311" w14:textId="277883A7"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5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14:paraId="1C5E6453" w14:textId="77777777" w:rsidR="00D94935" w:rsidRPr="00140BF9" w:rsidRDefault="00D94935" w:rsidP="00D94935">
      <w:pPr>
        <w:pStyle w:val="AmdtsEntryHd"/>
        <w:rPr>
          <w:rFonts w:cs="Arial"/>
        </w:rPr>
      </w:pPr>
      <w:r w:rsidRPr="00140BF9">
        <w:rPr>
          <w:rFonts w:cs="Arial"/>
        </w:rPr>
        <w:t>Definitions—div 2.12.3</w:t>
      </w:r>
    </w:p>
    <w:p w14:paraId="6C3B9320" w14:textId="77777777"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14:paraId="44881DB3" w14:textId="486A7F91"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6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4E8253C" w14:textId="5300CC08"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6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48E93408" w14:textId="7DC33C79"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6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57DEA74" w14:textId="3B717C4B"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6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A982BEC" w14:textId="7D3487EE"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6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D9D705" w14:textId="03F06CD2"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6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21AD64D" w14:textId="77777777" w:rsidR="00D94935" w:rsidRPr="00140BF9" w:rsidRDefault="00D94935" w:rsidP="00D94935">
      <w:pPr>
        <w:pStyle w:val="AmdtsEntryHd"/>
        <w:rPr>
          <w:rFonts w:cs="Arial"/>
        </w:rPr>
      </w:pPr>
      <w:r w:rsidRPr="00140BF9">
        <w:rPr>
          <w:rFonts w:cs="Arial"/>
        </w:rPr>
        <w:lastRenderedPageBreak/>
        <w:t>Application for appointment of expert—Wrongs Act, s 86</w:t>
      </w:r>
    </w:p>
    <w:p w14:paraId="2A9C08A3" w14:textId="77777777"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14:paraId="3F0425B0" w14:textId="35E1A750"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6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D26ADED" w14:textId="77777777" w:rsidR="00D94935" w:rsidRPr="00140BF9" w:rsidRDefault="00D94935" w:rsidP="00D94935">
      <w:pPr>
        <w:pStyle w:val="AmdtsEntryHd"/>
        <w:rPr>
          <w:rFonts w:cs="Arial"/>
        </w:rPr>
      </w:pPr>
      <w:r w:rsidRPr="00140BF9">
        <w:rPr>
          <w:rFonts w:cs="Arial"/>
        </w:rPr>
        <w:t>Accompanying affidavit for appointment of expert—Wrongs Act, s 86 application</w:t>
      </w:r>
    </w:p>
    <w:p w14:paraId="6FEB2088" w14:textId="77777777"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14:paraId="2A4BED88" w14:textId="21E932AC"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6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DE43214" w14:textId="77777777" w:rsidR="00D94935" w:rsidRPr="00140BF9" w:rsidRDefault="00D94935" w:rsidP="00D94935">
      <w:pPr>
        <w:pStyle w:val="AmdtsEntryHd"/>
        <w:rPr>
          <w:rFonts w:cs="Arial"/>
        </w:rPr>
      </w:pPr>
      <w:r w:rsidRPr="00140BF9">
        <w:rPr>
          <w:rFonts w:cs="Arial"/>
        </w:rPr>
        <w:t>Response by other parties—Wrongs Act, s 86 application</w:t>
      </w:r>
    </w:p>
    <w:p w14:paraId="76620187" w14:textId="77777777"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14:paraId="28E19733" w14:textId="465A8395"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6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1723C71" w14:textId="77777777" w:rsidR="00D94935" w:rsidRPr="00140BF9" w:rsidRDefault="00D94935" w:rsidP="00D94935">
      <w:pPr>
        <w:pStyle w:val="AmdtsEntryHd"/>
        <w:rPr>
          <w:rFonts w:cs="Arial"/>
        </w:rPr>
      </w:pPr>
      <w:r w:rsidRPr="00140BF9">
        <w:rPr>
          <w:rFonts w:cs="Arial"/>
        </w:rPr>
        <w:t>Selection of expert etc by court—Wrongs Act, s 86 application</w:t>
      </w:r>
    </w:p>
    <w:p w14:paraId="4685AEBD" w14:textId="77777777"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14:paraId="118D73E3" w14:textId="7C219341"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6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A37C2A" w14:textId="77777777" w:rsidR="00D94935" w:rsidRPr="00140BF9" w:rsidRDefault="00D94935" w:rsidP="00D94935">
      <w:pPr>
        <w:pStyle w:val="AmdtsEntryHd"/>
        <w:rPr>
          <w:rFonts w:cs="Arial"/>
        </w:rPr>
      </w:pPr>
      <w:r w:rsidRPr="00140BF9">
        <w:rPr>
          <w:rFonts w:cs="Arial"/>
        </w:rPr>
        <w:t>Appointed experts to be briefed etc</w:t>
      </w:r>
    </w:p>
    <w:p w14:paraId="6CDF5A01" w14:textId="77777777"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14:paraId="4F8CD737" w14:textId="3EBC5F1F"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7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692946C0" w14:textId="77777777" w:rsidR="00D94935" w:rsidRPr="00140BF9" w:rsidRDefault="00D94935" w:rsidP="00D94935">
      <w:pPr>
        <w:pStyle w:val="AmdtsEntryHd"/>
        <w:rPr>
          <w:rFonts w:cs="Arial"/>
        </w:rPr>
      </w:pPr>
      <w:r w:rsidRPr="00140BF9">
        <w:rPr>
          <w:rFonts w:cs="Arial"/>
        </w:rPr>
        <w:t>Request by appointed expert for directions</w:t>
      </w:r>
    </w:p>
    <w:p w14:paraId="6F8C118F" w14:textId="77777777"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14:paraId="6B8A84AC" w14:textId="3B4A33E8"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7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C109FB7" w14:textId="77777777" w:rsidR="00D94935" w:rsidRPr="00140BF9" w:rsidRDefault="00D94935" w:rsidP="00D94935">
      <w:pPr>
        <w:pStyle w:val="AmdtsEntryHd"/>
        <w:rPr>
          <w:rFonts w:cs="Arial"/>
        </w:rPr>
      </w:pPr>
      <w:r w:rsidRPr="00140BF9">
        <w:rPr>
          <w:rFonts w:cs="Arial"/>
        </w:rPr>
        <w:t>Appointed expert to report</w:t>
      </w:r>
    </w:p>
    <w:p w14:paraId="64CBF23D" w14:textId="77777777"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14:paraId="7F19084A" w14:textId="6E114F90"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7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E6001EE" w14:textId="77777777" w:rsidR="00D94935" w:rsidRPr="00140BF9" w:rsidRDefault="00D94935" w:rsidP="00D94935">
      <w:pPr>
        <w:pStyle w:val="AmdtsEntryHd"/>
        <w:rPr>
          <w:rFonts w:cs="Arial"/>
        </w:rPr>
      </w:pPr>
      <w:r w:rsidRPr="00140BF9">
        <w:rPr>
          <w:rFonts w:cs="Arial"/>
        </w:rPr>
        <w:t>Expert report to be admitted in evidence</w:t>
      </w:r>
    </w:p>
    <w:p w14:paraId="4436FBD3" w14:textId="77777777" w:rsidR="00D94935" w:rsidRPr="00140BF9" w:rsidRDefault="00D94935" w:rsidP="00AC3C69">
      <w:pPr>
        <w:pStyle w:val="AmdtsEntries"/>
        <w:keepNext/>
        <w:rPr>
          <w:rFonts w:cs="Arial"/>
        </w:rPr>
      </w:pPr>
      <w:r w:rsidRPr="00140BF9">
        <w:rPr>
          <w:rFonts w:cs="Arial"/>
        </w:rPr>
        <w:t>r 1228 hdg</w:t>
      </w:r>
      <w:r w:rsidRPr="00140BF9">
        <w:rPr>
          <w:rFonts w:eastAsiaTheme="minorEastAsia" w:cs="Arial"/>
          <w:szCs w:val="22"/>
          <w:lang w:eastAsia="en-AU"/>
        </w:rPr>
        <w:tab/>
        <w:t>bracketed note om R29 LA</w:t>
      </w:r>
    </w:p>
    <w:p w14:paraId="0C67AAF1" w14:textId="38B2B165"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7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00159880" w14:textId="77777777" w:rsidR="00D94935" w:rsidRPr="00140BF9" w:rsidRDefault="00D94935" w:rsidP="00D94935">
      <w:pPr>
        <w:pStyle w:val="AmdtsEntryHd"/>
        <w:rPr>
          <w:rFonts w:cs="Arial"/>
        </w:rPr>
      </w:pPr>
      <w:r w:rsidRPr="00140BF9">
        <w:rPr>
          <w:rFonts w:cs="Arial"/>
        </w:rPr>
        <w:t>Attendance of appointed expert</w:t>
      </w:r>
    </w:p>
    <w:p w14:paraId="57881BC6" w14:textId="77777777"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14:paraId="1B9E5A64" w14:textId="184C7F02"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7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24FE7F2D"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5261BAD0" w14:textId="77777777"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14:paraId="0A4892C2" w14:textId="77777777" w:rsidR="00D94935" w:rsidRPr="00140BF9" w:rsidRDefault="00D94935" w:rsidP="00D94935">
      <w:pPr>
        <w:pStyle w:val="AmdtsEntryHd"/>
        <w:rPr>
          <w:rFonts w:cs="Arial"/>
        </w:rPr>
      </w:pPr>
      <w:r w:rsidRPr="00140BF9">
        <w:rPr>
          <w:rFonts w:cs="Arial"/>
        </w:rPr>
        <w:t>Application—div 2.12.3</w:t>
      </w:r>
    </w:p>
    <w:p w14:paraId="1D32E41C" w14:textId="77777777"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14:paraId="4465D286" w14:textId="2D7A9E3A"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7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14:paraId="114A3C0B" w14:textId="77777777" w:rsidR="00D94935" w:rsidRPr="00140BF9" w:rsidRDefault="00D94935" w:rsidP="00D94935">
      <w:pPr>
        <w:pStyle w:val="AmdtsEntryHd"/>
        <w:rPr>
          <w:rFonts w:cs="Arial"/>
        </w:rPr>
      </w:pPr>
      <w:r w:rsidRPr="00140BF9">
        <w:rPr>
          <w:rFonts w:cs="Arial"/>
        </w:rPr>
        <w:t>Service of expert reports</w:t>
      </w:r>
    </w:p>
    <w:p w14:paraId="67EE31E8" w14:textId="77777777"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14:paraId="37FD8F29" w14:textId="7774DBB4"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7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14:paraId="1569F7BB" w14:textId="77777777" w:rsidR="00D94935" w:rsidRPr="00140BF9" w:rsidRDefault="00D94935" w:rsidP="00D94935">
      <w:pPr>
        <w:pStyle w:val="AmdtsEntryHd"/>
        <w:rPr>
          <w:rFonts w:cs="Arial"/>
        </w:rPr>
      </w:pPr>
      <w:r w:rsidRPr="00140BF9">
        <w:rPr>
          <w:rFonts w:cs="Arial"/>
        </w:rPr>
        <w:t>Supplementary expert reports</w:t>
      </w:r>
    </w:p>
    <w:p w14:paraId="1D5180A0" w14:textId="77777777"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14:paraId="5AC03CBC" w14:textId="77777777" w:rsidR="00D94935" w:rsidRPr="00140BF9" w:rsidRDefault="00D94935" w:rsidP="00D94935">
      <w:pPr>
        <w:pStyle w:val="AmdtsEntryHd"/>
        <w:rPr>
          <w:rFonts w:cs="Arial"/>
        </w:rPr>
      </w:pPr>
      <w:r w:rsidRPr="00140BF9">
        <w:rPr>
          <w:rFonts w:cs="Arial"/>
        </w:rPr>
        <w:t>Expert evidence to be covered by expert report</w:t>
      </w:r>
    </w:p>
    <w:p w14:paraId="1BE6E47F" w14:textId="77777777"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14:paraId="03D89AB5" w14:textId="77777777" w:rsidR="00D94935" w:rsidRPr="00140BF9" w:rsidRDefault="00D94935" w:rsidP="00D94935">
      <w:pPr>
        <w:pStyle w:val="AmdtsEntryHd"/>
        <w:rPr>
          <w:rFonts w:cs="Arial"/>
        </w:rPr>
      </w:pPr>
      <w:r w:rsidRPr="00140BF9">
        <w:rPr>
          <w:rFonts w:cs="Arial"/>
        </w:rPr>
        <w:lastRenderedPageBreak/>
        <w:t>Expert reports admissible as evidence of opinion etc</w:t>
      </w:r>
    </w:p>
    <w:p w14:paraId="27B3B892" w14:textId="77777777"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14:paraId="34BC6FF6" w14:textId="77777777" w:rsidR="00D94935" w:rsidRPr="00140BF9" w:rsidRDefault="00D94935" w:rsidP="00D94935">
      <w:pPr>
        <w:pStyle w:val="AmdtsEntryHd"/>
        <w:rPr>
          <w:rFonts w:cs="Arial"/>
        </w:rPr>
      </w:pPr>
      <w:r w:rsidRPr="00140BF9">
        <w:rPr>
          <w:rFonts w:cs="Arial"/>
        </w:rPr>
        <w:t>Requiring attendance of expert for cross-examination etc</w:t>
      </w:r>
    </w:p>
    <w:p w14:paraId="3C200FAD" w14:textId="77777777"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14:paraId="35063B7C" w14:textId="77777777" w:rsidR="00D94935" w:rsidRPr="00140BF9" w:rsidRDefault="00D94935" w:rsidP="00D94935">
      <w:pPr>
        <w:pStyle w:val="AmdtsEntryHd"/>
        <w:rPr>
          <w:rFonts w:cs="Arial"/>
        </w:rPr>
      </w:pPr>
      <w:r w:rsidRPr="00140BF9">
        <w:rPr>
          <w:rFonts w:cs="Arial"/>
        </w:rPr>
        <w:t>Tender of expert report</w:t>
      </w:r>
    </w:p>
    <w:p w14:paraId="4B24E381" w14:textId="77777777"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14:paraId="6138B56F" w14:textId="77777777" w:rsidR="00D94935" w:rsidRPr="00140BF9" w:rsidRDefault="00D94935" w:rsidP="00D94935">
      <w:pPr>
        <w:pStyle w:val="AmdtsEntryHd"/>
        <w:rPr>
          <w:rFonts w:cs="Arial"/>
        </w:rPr>
      </w:pPr>
      <w:r w:rsidRPr="00140BF9">
        <w:rPr>
          <w:rFonts w:cs="Arial"/>
        </w:rPr>
        <w:t>Pre-trial procedures—general</w:t>
      </w:r>
    </w:p>
    <w:p w14:paraId="579560E7" w14:textId="5E6F9122"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14:paraId="18B3683E" w14:textId="4DF7034A" w:rsidR="00D94935" w:rsidRPr="00140BF9" w:rsidRDefault="00D94935" w:rsidP="00D94935">
      <w:pPr>
        <w:pStyle w:val="AmdtsEntries"/>
        <w:rPr>
          <w:rFonts w:cs="Arial"/>
        </w:rPr>
      </w:pPr>
      <w:r>
        <w:rPr>
          <w:rFonts w:cs="Arial"/>
        </w:rPr>
        <w:tab/>
        <w:t xml:space="preserve">om </w:t>
      </w:r>
      <w:hyperlink r:id="rId14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14:paraId="35B2E2B3" w14:textId="77777777" w:rsidR="00D94935" w:rsidRPr="00140BF9" w:rsidRDefault="00D94935" w:rsidP="00D94935">
      <w:pPr>
        <w:pStyle w:val="AmdtsEntryHd"/>
        <w:rPr>
          <w:rFonts w:cs="Arial"/>
        </w:rPr>
      </w:pPr>
      <w:r w:rsidRPr="00140BF9">
        <w:rPr>
          <w:rFonts w:cs="Arial"/>
        </w:rPr>
        <w:t>Definitions—div 2.13.1</w:t>
      </w:r>
    </w:p>
    <w:p w14:paraId="2AAFAE24" w14:textId="77777777"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14:paraId="30B86F00" w14:textId="77777777" w:rsidR="00D94935" w:rsidRPr="00140BF9" w:rsidRDefault="00D94935" w:rsidP="00D94935">
      <w:pPr>
        <w:pStyle w:val="AmdtsEntryHd"/>
        <w:rPr>
          <w:rFonts w:cs="Arial"/>
        </w:rPr>
      </w:pPr>
      <w:r w:rsidRPr="00140BF9">
        <w:rPr>
          <w:rFonts w:cs="Arial"/>
        </w:rPr>
        <w:t>Pre-trial procedures—classification of proceeding</w:t>
      </w:r>
    </w:p>
    <w:p w14:paraId="2E871743" w14:textId="77777777"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14:paraId="0F942B07" w14:textId="77777777" w:rsidR="00D94935" w:rsidRPr="00140BF9" w:rsidRDefault="00D94935" w:rsidP="00D94935">
      <w:pPr>
        <w:pStyle w:val="AmdtsEntryHd"/>
        <w:rPr>
          <w:rFonts w:cs="Arial"/>
        </w:rPr>
      </w:pPr>
      <w:r w:rsidRPr="00140BF9">
        <w:rPr>
          <w:rFonts w:cs="Arial"/>
        </w:rPr>
        <w:t>Directions hearing—category C proceedings</w:t>
      </w:r>
    </w:p>
    <w:p w14:paraId="42435C2C" w14:textId="77777777"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14:paraId="2D33D967" w14:textId="77777777" w:rsidR="00D94935" w:rsidRPr="00140BF9" w:rsidRDefault="00D94935" w:rsidP="00D94935">
      <w:pPr>
        <w:pStyle w:val="AmdtsEntryHd"/>
        <w:rPr>
          <w:rFonts w:cs="Arial"/>
        </w:rPr>
      </w:pPr>
      <w:r w:rsidRPr="00140BF9">
        <w:rPr>
          <w:rFonts w:cs="Arial"/>
        </w:rPr>
        <w:t>Statement of particulars before trial—personal injury claims</w:t>
      </w:r>
    </w:p>
    <w:p w14:paraId="392820F5" w14:textId="77777777"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14:paraId="538516FE" w14:textId="74812FED"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8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14:paraId="33CFECC2" w14:textId="77777777" w:rsidR="00D94935" w:rsidRPr="00140BF9" w:rsidRDefault="00D94935" w:rsidP="00D94935">
      <w:pPr>
        <w:pStyle w:val="AmdtsEntryHd"/>
        <w:rPr>
          <w:rFonts w:cs="Arial"/>
        </w:rPr>
      </w:pPr>
      <w:r w:rsidRPr="00140BF9">
        <w:rPr>
          <w:rFonts w:cs="Arial"/>
        </w:rPr>
        <w:t>Statement of particulars before trial—compensation to relatives in death claims</w:t>
      </w:r>
    </w:p>
    <w:p w14:paraId="4ABAAA30" w14:textId="77777777" w:rsidR="00D94935" w:rsidRPr="00140BF9" w:rsidRDefault="00D94935" w:rsidP="00AC3C69">
      <w:pPr>
        <w:pStyle w:val="AmdtsEntries"/>
        <w:keepNext/>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14:paraId="761FD9DD" w14:textId="693AF42B"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8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14:paraId="3EF5D8BD" w14:textId="77777777" w:rsidR="00D94935" w:rsidRPr="00140BF9" w:rsidRDefault="00D94935" w:rsidP="00D94935">
      <w:pPr>
        <w:pStyle w:val="AmdtsEntryHd"/>
        <w:rPr>
          <w:rFonts w:cs="Arial"/>
        </w:rPr>
      </w:pPr>
      <w:r w:rsidRPr="00140BF9">
        <w:rPr>
          <w:rFonts w:cs="Arial"/>
        </w:rPr>
        <w:t>Certificate of readiness for trial—generally</w:t>
      </w:r>
    </w:p>
    <w:p w14:paraId="7888A266" w14:textId="77777777"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14:paraId="2CCB17CB" w14:textId="5C637142"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8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85" w:tooltip="Court Procedures Amendment Rules 2013 (No 1)" w:history="1">
        <w:r w:rsidRPr="00140BF9">
          <w:rPr>
            <w:rStyle w:val="charCitHyperlinkAbbrev"/>
            <w:rFonts w:cs="Arial"/>
          </w:rPr>
          <w:t>SL2013-18</w:t>
        </w:r>
      </w:hyperlink>
      <w:r w:rsidRPr="00140BF9">
        <w:rPr>
          <w:rFonts w:cs="Arial"/>
        </w:rPr>
        <w:t xml:space="preserve"> r 5, r 6</w:t>
      </w:r>
    </w:p>
    <w:p w14:paraId="065CA097" w14:textId="15C9C7EE" w:rsidR="00D94935" w:rsidRPr="00140BF9" w:rsidRDefault="00D94935" w:rsidP="00D94935">
      <w:pPr>
        <w:pStyle w:val="AmdtsEntries"/>
        <w:rPr>
          <w:rFonts w:cs="Arial"/>
        </w:rPr>
      </w:pPr>
      <w:r>
        <w:rPr>
          <w:rFonts w:cs="Arial"/>
        </w:rPr>
        <w:tab/>
        <w:t xml:space="preserve">om </w:t>
      </w:r>
      <w:hyperlink r:id="rId14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2A896C2A" w14:textId="77777777" w:rsidR="00D94935" w:rsidRPr="00140BF9" w:rsidRDefault="00D94935" w:rsidP="00D94935">
      <w:pPr>
        <w:pStyle w:val="AmdtsEntryHd"/>
        <w:rPr>
          <w:rFonts w:cs="Arial"/>
        </w:rPr>
      </w:pPr>
      <w:r w:rsidRPr="00140BF9">
        <w:rPr>
          <w:rFonts w:cs="Arial"/>
        </w:rPr>
        <w:t>Certificate of readiness for trial—default judgment</w:t>
      </w:r>
    </w:p>
    <w:p w14:paraId="750760A5" w14:textId="3575D609"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8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14:paraId="37138E88" w14:textId="29383FEC" w:rsidR="00D94935" w:rsidRPr="00140BF9" w:rsidRDefault="00D94935" w:rsidP="00D94935">
      <w:pPr>
        <w:pStyle w:val="AmdtsEntries"/>
        <w:rPr>
          <w:rFonts w:cs="Arial"/>
        </w:rPr>
      </w:pPr>
      <w:r>
        <w:rPr>
          <w:rFonts w:eastAsiaTheme="minorEastAsia" w:cs="Arial"/>
          <w:szCs w:val="22"/>
          <w:lang w:eastAsia="en-AU"/>
        </w:rPr>
        <w:tab/>
        <w:t xml:space="preserve">om </w:t>
      </w:r>
      <w:hyperlink r:id="rId148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044FC32A" w14:textId="77777777" w:rsidR="00D94935" w:rsidRPr="00140BF9" w:rsidRDefault="00D94935" w:rsidP="00D94935">
      <w:pPr>
        <w:pStyle w:val="AmdtsEntryHd"/>
        <w:rPr>
          <w:rFonts w:cs="Arial"/>
        </w:rPr>
      </w:pPr>
      <w:r w:rsidRPr="00140BF9">
        <w:rPr>
          <w:rFonts w:cs="Arial"/>
        </w:rPr>
        <w:t>Application for directions hearing—Supreme Court</w:t>
      </w:r>
    </w:p>
    <w:p w14:paraId="02FEC7E0" w14:textId="0341C758" w:rsidR="00D94935" w:rsidRDefault="00D94935" w:rsidP="00D94935">
      <w:pPr>
        <w:pStyle w:val="AmdtsEntries"/>
        <w:rPr>
          <w:rFonts w:cs="Arial"/>
        </w:rPr>
      </w:pPr>
      <w:r w:rsidRPr="00140BF9">
        <w:rPr>
          <w:rFonts w:cs="Arial"/>
        </w:rPr>
        <w:t>r 1307A</w:t>
      </w:r>
      <w:r w:rsidRPr="00140BF9">
        <w:rPr>
          <w:rFonts w:cs="Arial"/>
        </w:rPr>
        <w:tab/>
        <w:t xml:space="preserve">ins </w:t>
      </w:r>
      <w:hyperlink r:id="rId148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14:paraId="034696E6" w14:textId="630C99FC" w:rsidR="00D94935" w:rsidRPr="00140BF9" w:rsidRDefault="00D94935" w:rsidP="00D94935">
      <w:pPr>
        <w:pStyle w:val="AmdtsEntries"/>
        <w:rPr>
          <w:rFonts w:cs="Arial"/>
        </w:rPr>
      </w:pPr>
      <w:r>
        <w:rPr>
          <w:rFonts w:cs="Arial"/>
        </w:rPr>
        <w:tab/>
        <w:t xml:space="preserve">om </w:t>
      </w:r>
      <w:hyperlink r:id="rId14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4617A3B6"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13F069C3" w14:textId="77777777"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14:paraId="09161836" w14:textId="77777777" w:rsidR="00D94935" w:rsidRPr="00140BF9" w:rsidRDefault="00D94935" w:rsidP="00D94935">
      <w:pPr>
        <w:pStyle w:val="AmdtsEntryHd"/>
        <w:rPr>
          <w:rFonts w:cs="Arial"/>
        </w:rPr>
      </w:pPr>
      <w:r w:rsidRPr="00140BF9">
        <w:rPr>
          <w:rFonts w:cs="Arial"/>
        </w:rPr>
        <w:t>Listing hearing</w:t>
      </w:r>
    </w:p>
    <w:p w14:paraId="2FAB9633" w14:textId="77777777"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14:paraId="64AE0069" w14:textId="77777777" w:rsidR="00D94935" w:rsidRPr="00140BF9" w:rsidRDefault="00D94935" w:rsidP="00D94935">
      <w:pPr>
        <w:pStyle w:val="AmdtsEntryHd"/>
        <w:rPr>
          <w:rFonts w:cs="Arial"/>
        </w:rPr>
      </w:pPr>
      <w:r w:rsidRPr="00140BF9">
        <w:rPr>
          <w:rFonts w:cs="Arial"/>
        </w:rPr>
        <w:t>Special fixture</w:t>
      </w:r>
    </w:p>
    <w:p w14:paraId="0252ACD7" w14:textId="77777777"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14:paraId="38BD6EC6" w14:textId="77777777" w:rsidR="00D94935" w:rsidRPr="00140BF9" w:rsidRDefault="00D94935" w:rsidP="00D94935">
      <w:pPr>
        <w:pStyle w:val="AmdtsEntryHd"/>
        <w:rPr>
          <w:rFonts w:cs="Arial"/>
        </w:rPr>
      </w:pPr>
      <w:r w:rsidRPr="00140BF9">
        <w:rPr>
          <w:rFonts w:cs="Arial"/>
        </w:rPr>
        <w:lastRenderedPageBreak/>
        <w:t>Expedited trial</w:t>
      </w:r>
    </w:p>
    <w:p w14:paraId="564F8463" w14:textId="77777777"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14:paraId="4396AE5E" w14:textId="77777777" w:rsidR="00D94935" w:rsidRPr="00140BF9" w:rsidRDefault="00D94935" w:rsidP="00D94935">
      <w:pPr>
        <w:pStyle w:val="AmdtsEntryHd"/>
        <w:rPr>
          <w:rFonts w:cs="Arial"/>
        </w:rPr>
      </w:pPr>
      <w:r w:rsidRPr="00140BF9">
        <w:rPr>
          <w:rFonts w:cs="Arial"/>
        </w:rPr>
        <w:t>Court book</w:t>
      </w:r>
    </w:p>
    <w:p w14:paraId="06AC3547" w14:textId="77777777"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14:paraId="17849234" w14:textId="6511006B"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r w:rsidR="004745AC">
        <w:rPr>
          <w:rFonts w:cs="Arial"/>
        </w:rPr>
        <w:t xml:space="preserve">; </w:t>
      </w:r>
      <w:hyperlink r:id="rId1492" w:tooltip="Court Procedures Amendment Rules 2023 (No 2)" w:history="1">
        <w:r w:rsidR="004745AC">
          <w:rPr>
            <w:rStyle w:val="charCitHyperlinkAbbrev"/>
          </w:rPr>
          <w:t>SL2023</w:t>
        </w:r>
        <w:r w:rsidR="004745AC">
          <w:rPr>
            <w:rStyle w:val="charCitHyperlinkAbbrev"/>
          </w:rPr>
          <w:noBreakHyphen/>
          <w:t>36</w:t>
        </w:r>
      </w:hyperlink>
      <w:r w:rsidR="004745AC">
        <w:rPr>
          <w:rFonts w:cs="Arial"/>
        </w:rPr>
        <w:t xml:space="preserve"> r 21, r 22; </w:t>
      </w:r>
      <w:r w:rsidR="00543BF6">
        <w:rPr>
          <w:rFonts w:cs="Arial"/>
        </w:rPr>
        <w:t>rr</w:t>
      </w:r>
      <w:r w:rsidR="004745AC">
        <w:rPr>
          <w:rFonts w:cs="Arial"/>
        </w:rPr>
        <w:t xml:space="preserve"> renum R66 LA</w:t>
      </w:r>
    </w:p>
    <w:p w14:paraId="53E98B36" w14:textId="77777777" w:rsidR="00D94935" w:rsidRPr="00140BF9" w:rsidRDefault="00D94935" w:rsidP="00D94935">
      <w:pPr>
        <w:pStyle w:val="AmdtsEntryHd"/>
        <w:rPr>
          <w:rFonts w:cs="Arial"/>
        </w:rPr>
      </w:pPr>
      <w:r w:rsidRPr="00140BF9">
        <w:rPr>
          <w:rFonts w:cs="Arial"/>
        </w:rPr>
        <w:t>Directions hearings and listing hearings—costs</w:t>
      </w:r>
    </w:p>
    <w:p w14:paraId="418E8AE8" w14:textId="77777777"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14:paraId="1473BC87" w14:textId="77777777" w:rsidR="00D94935" w:rsidRPr="00140BF9" w:rsidRDefault="00D94935" w:rsidP="00D94935">
      <w:pPr>
        <w:pStyle w:val="AmdtsEntryHd"/>
        <w:rPr>
          <w:rFonts w:cs="Arial"/>
        </w:rPr>
      </w:pPr>
      <w:r w:rsidRPr="00140BF9">
        <w:rPr>
          <w:rFonts w:cs="Arial"/>
        </w:rPr>
        <w:t>Pre-trial procedures—Magistrates Court</w:t>
      </w:r>
    </w:p>
    <w:p w14:paraId="37143D24" w14:textId="25F2AD23"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9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1E7A6D77" w14:textId="237A2075" w:rsidR="00D94935" w:rsidRPr="00140BF9" w:rsidRDefault="00D94935" w:rsidP="00D94935">
      <w:pPr>
        <w:pStyle w:val="AmdtsEntries"/>
        <w:rPr>
          <w:rFonts w:cs="Arial"/>
        </w:rPr>
      </w:pPr>
      <w:r>
        <w:rPr>
          <w:rFonts w:cs="Arial"/>
        </w:rPr>
        <w:tab/>
        <w:t xml:space="preserve">om </w:t>
      </w:r>
      <w:hyperlink r:id="rId149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14:paraId="59C62A79" w14:textId="77777777" w:rsidR="00D94935" w:rsidRPr="00140BF9" w:rsidRDefault="00D94935" w:rsidP="00D94935">
      <w:pPr>
        <w:pStyle w:val="AmdtsEntryHd"/>
        <w:rPr>
          <w:rFonts w:cs="Arial"/>
        </w:rPr>
      </w:pPr>
      <w:r w:rsidRPr="00140BF9">
        <w:rPr>
          <w:rFonts w:cs="Arial"/>
        </w:rPr>
        <w:t>Application—div 2.13.2</w:t>
      </w:r>
    </w:p>
    <w:p w14:paraId="22583F4C" w14:textId="5855E821" w:rsidR="00D94935" w:rsidRDefault="00D94935" w:rsidP="00D94935">
      <w:pPr>
        <w:pStyle w:val="AmdtsEntries"/>
        <w:rPr>
          <w:rFonts w:cs="Arial"/>
        </w:rPr>
      </w:pPr>
      <w:r w:rsidRPr="00140BF9">
        <w:rPr>
          <w:rFonts w:cs="Arial"/>
        </w:rPr>
        <w:t>r 1320</w:t>
      </w:r>
      <w:r w:rsidRPr="00140BF9">
        <w:rPr>
          <w:rFonts w:cs="Arial"/>
        </w:rPr>
        <w:tab/>
        <w:t xml:space="preserve">ins </w:t>
      </w:r>
      <w:hyperlink r:id="rId149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2E810A32" w14:textId="742A4190" w:rsidR="00D94935" w:rsidRPr="00140BF9" w:rsidRDefault="00D94935" w:rsidP="00D94935">
      <w:pPr>
        <w:pStyle w:val="AmdtsEntries"/>
        <w:rPr>
          <w:rFonts w:cs="Arial"/>
        </w:rPr>
      </w:pPr>
      <w:r>
        <w:rPr>
          <w:rFonts w:cs="Arial"/>
        </w:rPr>
        <w:tab/>
        <w:t xml:space="preserve">om </w:t>
      </w:r>
      <w:hyperlink r:id="rId14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2770F3DC" w14:textId="77777777" w:rsidR="00D94935" w:rsidRPr="00140BF9" w:rsidRDefault="00D94935" w:rsidP="00D94935">
      <w:pPr>
        <w:pStyle w:val="AmdtsEntryHd"/>
        <w:rPr>
          <w:rFonts w:cs="Arial"/>
        </w:rPr>
      </w:pPr>
      <w:r w:rsidRPr="00140BF9">
        <w:rPr>
          <w:rFonts w:cs="Arial"/>
        </w:rPr>
        <w:t>Definitions—div 2.13.1</w:t>
      </w:r>
    </w:p>
    <w:p w14:paraId="334814A4" w14:textId="0008D8BD"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9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14:paraId="6F4CA99F" w14:textId="43CB92F8"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9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14:paraId="6B1434FE" w14:textId="5CEBD5CE" w:rsidR="00D94935" w:rsidRDefault="00D94935" w:rsidP="00D94935">
      <w:pPr>
        <w:pStyle w:val="AmdtsEntries"/>
        <w:rPr>
          <w:rFonts w:cs="Arial"/>
        </w:rPr>
      </w:pPr>
      <w:r w:rsidRPr="00140BF9">
        <w:rPr>
          <w:rFonts w:cs="Arial"/>
        </w:rPr>
        <w:tab/>
        <w:t xml:space="preserve">reloc and renum as r 1321 </w:t>
      </w:r>
      <w:hyperlink r:id="rId149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14:paraId="0141D469" w14:textId="754AC1EE" w:rsidR="00D94935" w:rsidRPr="00140BF9" w:rsidRDefault="00D94935" w:rsidP="00D94935">
      <w:pPr>
        <w:pStyle w:val="AmdtsEntries"/>
        <w:rPr>
          <w:rFonts w:cs="Arial"/>
        </w:rPr>
      </w:pPr>
      <w:r>
        <w:rPr>
          <w:rFonts w:cs="Arial"/>
        </w:rPr>
        <w:tab/>
        <w:t xml:space="preserve">om </w:t>
      </w:r>
      <w:hyperlink r:id="rId150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557E756B" w14:textId="77777777" w:rsidR="00D94935" w:rsidRPr="00140BF9" w:rsidRDefault="00D94935" w:rsidP="00D94935">
      <w:pPr>
        <w:pStyle w:val="AmdtsEntryHd"/>
        <w:rPr>
          <w:rFonts w:cs="Arial"/>
        </w:rPr>
      </w:pPr>
      <w:r w:rsidRPr="00140BF9">
        <w:rPr>
          <w:rFonts w:cs="Arial"/>
        </w:rPr>
        <w:t>Pre-trial procedures—classification of proceeding</w:t>
      </w:r>
    </w:p>
    <w:p w14:paraId="6F6B6954" w14:textId="77777777" w:rsidR="00D94935" w:rsidRPr="00140BF9" w:rsidRDefault="00D94935" w:rsidP="00AC3C69">
      <w:pPr>
        <w:pStyle w:val="AmdtsEntries"/>
        <w:keepNext/>
        <w:rPr>
          <w:rFonts w:cs="Arial"/>
        </w:rPr>
      </w:pPr>
      <w:r w:rsidRPr="00140BF9">
        <w:rPr>
          <w:rFonts w:cs="Arial"/>
        </w:rPr>
        <w:t>r 1322 hdg</w:t>
      </w:r>
      <w:r w:rsidRPr="00140BF9">
        <w:rPr>
          <w:rFonts w:eastAsiaTheme="minorEastAsia" w:cs="Arial"/>
          <w:szCs w:val="22"/>
          <w:lang w:eastAsia="en-AU"/>
        </w:rPr>
        <w:tab/>
        <w:t>(prev r 1302 hdg) bracketed note om R29 LA</w:t>
      </w:r>
    </w:p>
    <w:p w14:paraId="06B4B08F" w14:textId="78AC7FA1"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50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5CE606EF" w14:textId="50BCBB55" w:rsidR="00D94935" w:rsidRPr="00140BF9" w:rsidRDefault="00D94935" w:rsidP="00D94935">
      <w:pPr>
        <w:pStyle w:val="AmdtsEntries"/>
        <w:rPr>
          <w:rFonts w:cs="Arial"/>
        </w:rPr>
      </w:pPr>
      <w:r>
        <w:rPr>
          <w:rFonts w:cs="Arial"/>
        </w:rPr>
        <w:tab/>
        <w:t xml:space="preserve">om </w:t>
      </w:r>
      <w:hyperlink r:id="rId15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7FA4E65F" w14:textId="77777777" w:rsidR="00D94935" w:rsidRPr="00140BF9" w:rsidRDefault="00D94935" w:rsidP="00D94935">
      <w:pPr>
        <w:pStyle w:val="AmdtsEntryHd"/>
        <w:rPr>
          <w:rFonts w:cs="Arial"/>
        </w:rPr>
      </w:pPr>
      <w:r w:rsidRPr="00140BF9">
        <w:rPr>
          <w:rFonts w:cs="Arial"/>
        </w:rPr>
        <w:t>Directions hearing—category C proceedings</w:t>
      </w:r>
    </w:p>
    <w:p w14:paraId="7426CBC3" w14:textId="77777777"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14:paraId="0F63DE6C" w14:textId="7E016081"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50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05587BFA" w14:textId="5612D6E7" w:rsidR="00D94935" w:rsidRDefault="00D94935" w:rsidP="00D94935">
      <w:pPr>
        <w:pStyle w:val="AmdtsEntries"/>
        <w:rPr>
          <w:rFonts w:cs="Arial"/>
        </w:rPr>
      </w:pPr>
      <w:r w:rsidRPr="00140BF9">
        <w:rPr>
          <w:rFonts w:cs="Arial"/>
        </w:rPr>
        <w:tab/>
        <w:t xml:space="preserve">am </w:t>
      </w:r>
      <w:hyperlink r:id="rId1504" w:tooltip="Court Procedures Amendment Rules 2013 (No 1)" w:history="1">
        <w:r w:rsidRPr="00140BF9">
          <w:rPr>
            <w:rStyle w:val="charCitHyperlinkAbbrev"/>
            <w:rFonts w:cs="Arial"/>
          </w:rPr>
          <w:t>SL2013-18</w:t>
        </w:r>
      </w:hyperlink>
      <w:r w:rsidRPr="00140BF9">
        <w:rPr>
          <w:rFonts w:cs="Arial"/>
        </w:rPr>
        <w:t xml:space="preserve"> r 7</w:t>
      </w:r>
    </w:p>
    <w:p w14:paraId="2E98D5C7" w14:textId="30C86365" w:rsidR="00D94935" w:rsidRPr="00140BF9" w:rsidRDefault="00D94935" w:rsidP="00D94935">
      <w:pPr>
        <w:pStyle w:val="AmdtsEntries"/>
        <w:rPr>
          <w:rFonts w:cs="Arial"/>
        </w:rPr>
      </w:pPr>
      <w:r>
        <w:rPr>
          <w:rFonts w:cs="Arial"/>
        </w:rPr>
        <w:tab/>
        <w:t xml:space="preserve">om </w:t>
      </w:r>
      <w:hyperlink r:id="rId15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384DF05C"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210AD4B0" w14:textId="77777777"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14:paraId="378E208E" w14:textId="36D89D50"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50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14:paraId="6283BF66" w14:textId="40156830"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50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14:paraId="7352A7C2" w14:textId="212DC141" w:rsidR="00D94935" w:rsidRPr="00140BF9" w:rsidRDefault="00D94935" w:rsidP="00D94935">
      <w:pPr>
        <w:pStyle w:val="AmdtsEntries"/>
        <w:rPr>
          <w:rFonts w:cs="Arial"/>
        </w:rPr>
      </w:pPr>
      <w:r>
        <w:rPr>
          <w:rFonts w:eastAsiaTheme="minorEastAsia" w:cs="Arial"/>
          <w:szCs w:val="22"/>
          <w:lang w:eastAsia="en-AU"/>
        </w:rPr>
        <w:tab/>
        <w:t xml:space="preserve">om </w:t>
      </w:r>
      <w:hyperlink r:id="rId15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44FAB968" w14:textId="77777777" w:rsidR="00D94935" w:rsidRPr="00140BF9" w:rsidRDefault="00D94935" w:rsidP="00D94935">
      <w:pPr>
        <w:pStyle w:val="AmdtsEntryHd"/>
        <w:rPr>
          <w:rFonts w:cs="Arial"/>
        </w:rPr>
      </w:pPr>
      <w:r w:rsidRPr="00140BF9">
        <w:rPr>
          <w:rFonts w:cs="Arial"/>
        </w:rPr>
        <w:t>Listing hearing</w:t>
      </w:r>
    </w:p>
    <w:p w14:paraId="61A7B567" w14:textId="77777777"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14:paraId="79E71C76" w14:textId="1A303C7D"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50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323BD839" w14:textId="1046E612" w:rsidR="00D94935" w:rsidRPr="00140BF9" w:rsidRDefault="00D94935" w:rsidP="00D94935">
      <w:pPr>
        <w:pStyle w:val="AmdtsEntries"/>
        <w:rPr>
          <w:rFonts w:cs="Arial"/>
        </w:rPr>
      </w:pPr>
      <w:r>
        <w:rPr>
          <w:rFonts w:cs="Arial"/>
        </w:rPr>
        <w:tab/>
        <w:t xml:space="preserve">am </w:t>
      </w:r>
      <w:hyperlink r:id="rId15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14:paraId="3CE2D833" w14:textId="77777777" w:rsidR="00D94935" w:rsidRPr="00140BF9" w:rsidRDefault="00D94935" w:rsidP="00D94935">
      <w:pPr>
        <w:pStyle w:val="AmdtsEntryHd"/>
        <w:rPr>
          <w:rFonts w:cs="Arial"/>
        </w:rPr>
      </w:pPr>
      <w:r w:rsidRPr="00140BF9">
        <w:rPr>
          <w:rFonts w:cs="Arial"/>
        </w:rPr>
        <w:t>Special fixture</w:t>
      </w:r>
    </w:p>
    <w:p w14:paraId="658D0008" w14:textId="73CEBD46"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51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6D471523" w14:textId="397347B1" w:rsidR="00D94935" w:rsidRPr="00140BF9" w:rsidRDefault="00D94935" w:rsidP="00D94935">
      <w:pPr>
        <w:pStyle w:val="AmdtsEntries"/>
        <w:rPr>
          <w:rFonts w:cs="Arial"/>
        </w:rPr>
      </w:pPr>
      <w:r>
        <w:rPr>
          <w:rFonts w:cs="Arial"/>
        </w:rPr>
        <w:tab/>
        <w:t xml:space="preserve">am </w:t>
      </w:r>
      <w:hyperlink r:id="rId151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A855C7">
        <w:t xml:space="preserve">; </w:t>
      </w:r>
      <w:hyperlink r:id="rId1513" w:tooltip="Court Procedures Amendment Rules 2024 (No 1)" w:history="1">
        <w:r w:rsidR="008E1456">
          <w:rPr>
            <w:rStyle w:val="charCitHyperlinkAbbrev"/>
          </w:rPr>
          <w:t>SL2024</w:t>
        </w:r>
        <w:r w:rsidR="008E1456">
          <w:rPr>
            <w:rStyle w:val="charCitHyperlinkAbbrev"/>
          </w:rPr>
          <w:noBreakHyphen/>
          <w:t>9</w:t>
        </w:r>
      </w:hyperlink>
      <w:r w:rsidR="00A855C7">
        <w:t xml:space="preserve"> r 7</w:t>
      </w:r>
    </w:p>
    <w:p w14:paraId="5B02BE93" w14:textId="77777777" w:rsidR="00D94935" w:rsidRPr="00140BF9" w:rsidRDefault="00D94935" w:rsidP="00D94935">
      <w:pPr>
        <w:pStyle w:val="AmdtsEntryHd"/>
        <w:rPr>
          <w:rFonts w:cs="Arial"/>
        </w:rPr>
      </w:pPr>
      <w:r w:rsidRPr="00140BF9">
        <w:rPr>
          <w:rFonts w:cs="Arial"/>
        </w:rPr>
        <w:lastRenderedPageBreak/>
        <w:t>Directions hearings and listing hearings—costs</w:t>
      </w:r>
    </w:p>
    <w:p w14:paraId="1355E5BF" w14:textId="77777777" w:rsidR="00D94935" w:rsidRPr="00140BF9" w:rsidRDefault="00D94935" w:rsidP="00745DAF">
      <w:pPr>
        <w:pStyle w:val="AmdtsEntries"/>
        <w:keepNext/>
        <w:rPr>
          <w:rFonts w:cs="Arial"/>
        </w:rPr>
      </w:pPr>
      <w:r w:rsidRPr="00140BF9">
        <w:rPr>
          <w:rFonts w:cs="Arial"/>
        </w:rPr>
        <w:t>r 1327 hdg</w:t>
      </w:r>
      <w:r w:rsidRPr="00140BF9">
        <w:rPr>
          <w:rFonts w:eastAsiaTheme="minorEastAsia" w:cs="Arial"/>
          <w:szCs w:val="22"/>
          <w:lang w:eastAsia="en-AU"/>
        </w:rPr>
        <w:tab/>
        <w:t>(prev r 1313 hdg) bracketed note om R29 LA</w:t>
      </w:r>
    </w:p>
    <w:p w14:paraId="615B89C8" w14:textId="7DDBF4C9"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51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0FC19CBE" w14:textId="77777777" w:rsidR="00D94935" w:rsidRPr="00140BF9" w:rsidRDefault="00D94935" w:rsidP="00D94935">
      <w:pPr>
        <w:pStyle w:val="AmdtsEntryHd"/>
        <w:rPr>
          <w:rFonts w:cs="Arial"/>
        </w:rPr>
      </w:pPr>
      <w:r w:rsidRPr="00140BF9">
        <w:rPr>
          <w:rFonts w:cs="Arial"/>
        </w:rPr>
        <w:t>Directions—application</w:t>
      </w:r>
    </w:p>
    <w:p w14:paraId="11A6EBC2" w14:textId="77777777"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14:paraId="4BAF36EF" w14:textId="1FDD02B7"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5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14:paraId="1BDB5747" w14:textId="77777777" w:rsidR="00D94935" w:rsidRPr="00140BF9" w:rsidRDefault="00D94935" w:rsidP="00D94935">
      <w:pPr>
        <w:pStyle w:val="AmdtsEntryHd"/>
        <w:rPr>
          <w:rFonts w:cs="Arial"/>
        </w:rPr>
      </w:pPr>
      <w:r w:rsidRPr="00140BF9">
        <w:rPr>
          <w:rFonts w:cs="Arial"/>
        </w:rPr>
        <w:t>Directions generally</w:t>
      </w:r>
    </w:p>
    <w:p w14:paraId="48AFFA36" w14:textId="77777777"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14:paraId="221EC508" w14:textId="77777777" w:rsidR="00D94935" w:rsidRPr="00140BF9" w:rsidRDefault="00D94935" w:rsidP="00D94935">
      <w:pPr>
        <w:pStyle w:val="AmdtsEntryHd"/>
        <w:rPr>
          <w:rFonts w:cs="Arial"/>
        </w:rPr>
      </w:pPr>
      <w:r w:rsidRPr="00140BF9">
        <w:rPr>
          <w:rFonts w:cs="Arial"/>
        </w:rPr>
        <w:t>Proceeding already being managed by court</w:t>
      </w:r>
    </w:p>
    <w:p w14:paraId="11798E77" w14:textId="77777777"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14:paraId="7F5B1470" w14:textId="5C121637"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51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5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A855C7">
        <w:t xml:space="preserve">; </w:t>
      </w:r>
      <w:hyperlink r:id="rId1518" w:tooltip="Court Procedures Amendment Rules 2024 (No 1)" w:history="1">
        <w:r w:rsidR="008E1456">
          <w:rPr>
            <w:rStyle w:val="charCitHyperlinkAbbrev"/>
          </w:rPr>
          <w:t>SL2024</w:t>
        </w:r>
        <w:r w:rsidR="008E1456">
          <w:rPr>
            <w:rStyle w:val="charCitHyperlinkAbbrev"/>
          </w:rPr>
          <w:noBreakHyphen/>
          <w:t>9</w:t>
        </w:r>
      </w:hyperlink>
      <w:r w:rsidR="00A855C7">
        <w:t xml:space="preserve"> r 8</w:t>
      </w:r>
    </w:p>
    <w:p w14:paraId="642C0924" w14:textId="77777777" w:rsidR="00D94935" w:rsidRPr="00140BF9" w:rsidRDefault="00D94935" w:rsidP="00D94935">
      <w:pPr>
        <w:pStyle w:val="AmdtsEntryHd"/>
        <w:rPr>
          <w:rFonts w:cs="Arial"/>
        </w:rPr>
      </w:pPr>
      <w:r w:rsidRPr="00140BF9">
        <w:rPr>
          <w:rFonts w:cs="Arial"/>
        </w:rPr>
        <w:t>Decision in proceeding</w:t>
      </w:r>
    </w:p>
    <w:p w14:paraId="08679F0B" w14:textId="77777777"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14:paraId="0A4D313B" w14:textId="77777777" w:rsidR="00D94935" w:rsidRPr="00140BF9" w:rsidRDefault="00D94935" w:rsidP="00D94935">
      <w:pPr>
        <w:pStyle w:val="AmdtsEntryHd"/>
        <w:rPr>
          <w:rFonts w:cs="Arial"/>
        </w:rPr>
      </w:pPr>
      <w:r w:rsidRPr="00140BF9">
        <w:rPr>
          <w:rFonts w:cs="Arial"/>
        </w:rPr>
        <w:t>Failure to comply with direction etc</w:t>
      </w:r>
    </w:p>
    <w:p w14:paraId="4E665BCE" w14:textId="77777777"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14:paraId="47DCD097" w14:textId="23D8D222"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51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14:paraId="7D3B1A20" w14:textId="77777777" w:rsidR="00D94935" w:rsidRPr="00140BF9" w:rsidRDefault="00D94935" w:rsidP="00D94935">
      <w:pPr>
        <w:pStyle w:val="AmdtsEntryHd"/>
        <w:rPr>
          <w:rFonts w:cs="Arial"/>
        </w:rPr>
      </w:pPr>
      <w:r w:rsidRPr="00140BF9">
        <w:rPr>
          <w:rFonts w:cs="Arial"/>
        </w:rPr>
        <w:t>Transfer of proceedings between courts</w:t>
      </w:r>
    </w:p>
    <w:p w14:paraId="5F6645B1" w14:textId="7D22DFA1"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52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718C921B" w14:textId="77777777" w:rsidR="00D94935" w:rsidRPr="00140BF9" w:rsidRDefault="00D94935" w:rsidP="00D94935">
      <w:pPr>
        <w:pStyle w:val="AmdtsEntryHd"/>
        <w:rPr>
          <w:rFonts w:cs="Arial"/>
        </w:rPr>
      </w:pPr>
      <w:r w:rsidRPr="00140BF9">
        <w:rPr>
          <w:rFonts w:cs="Arial"/>
        </w:rPr>
        <w:t>Transfer of proceeding from Supreme Court to Magistrates Court—application</w:t>
      </w:r>
    </w:p>
    <w:p w14:paraId="38CE0AD9" w14:textId="5A738E87"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52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382F62E" w14:textId="77777777" w:rsidR="00D94935" w:rsidRPr="00140BF9" w:rsidRDefault="00D94935" w:rsidP="00D94935">
      <w:pPr>
        <w:pStyle w:val="AmdtsEntryHd"/>
        <w:rPr>
          <w:rFonts w:cs="Arial"/>
        </w:rPr>
      </w:pPr>
      <w:r w:rsidRPr="00140BF9">
        <w:rPr>
          <w:rFonts w:cs="Arial"/>
        </w:rPr>
        <w:t>Transfer of proceeding from Supreme Court to Magistrates Court—procedure</w:t>
      </w:r>
    </w:p>
    <w:p w14:paraId="622B2A43" w14:textId="29FCE0C3"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52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2D01273B" w14:textId="77777777" w:rsidR="00D94935" w:rsidRPr="00140BF9" w:rsidRDefault="00D94935" w:rsidP="00D94935">
      <w:pPr>
        <w:pStyle w:val="AmdtsEntryHd"/>
        <w:rPr>
          <w:rFonts w:cs="Arial"/>
        </w:rPr>
      </w:pPr>
      <w:r w:rsidRPr="00140BF9">
        <w:rPr>
          <w:rFonts w:cs="Arial"/>
        </w:rPr>
        <w:t>Transfer of proceeding from Magistrates Court to Supreme Court—application</w:t>
      </w:r>
    </w:p>
    <w:p w14:paraId="204AC293" w14:textId="7CDCDEDC"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52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6F174775" w14:textId="77777777" w:rsidR="00D94935" w:rsidRPr="00140BF9" w:rsidRDefault="00D94935" w:rsidP="00D94935">
      <w:pPr>
        <w:pStyle w:val="AmdtsEntryHd"/>
        <w:rPr>
          <w:rFonts w:cs="Arial"/>
        </w:rPr>
      </w:pPr>
      <w:r w:rsidRPr="00140BF9">
        <w:rPr>
          <w:rFonts w:cs="Arial"/>
        </w:rPr>
        <w:t>Transfer of proceeding from Magistrates Court to Supreme Court—stay of proceeding</w:t>
      </w:r>
    </w:p>
    <w:p w14:paraId="6B1D4D56" w14:textId="07FC2DED"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52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E2CC391" w14:textId="77777777" w:rsidR="00D94935" w:rsidRPr="00140BF9" w:rsidRDefault="00D94935" w:rsidP="00D94935">
      <w:pPr>
        <w:pStyle w:val="AmdtsEntryHd"/>
        <w:rPr>
          <w:rFonts w:cs="Arial"/>
        </w:rPr>
      </w:pPr>
      <w:r w:rsidRPr="00140BF9">
        <w:rPr>
          <w:rFonts w:cs="Arial"/>
        </w:rPr>
        <w:t>Removal of applications from ACAT to Supreme Court</w:t>
      </w:r>
    </w:p>
    <w:p w14:paraId="76577E18" w14:textId="2956C596"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52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158D588E" w14:textId="77777777" w:rsidR="00D94935" w:rsidRPr="00140BF9" w:rsidRDefault="00D94935" w:rsidP="00D94935">
      <w:pPr>
        <w:pStyle w:val="AmdtsEntryHd"/>
        <w:rPr>
          <w:rFonts w:cs="Arial"/>
        </w:rPr>
      </w:pPr>
      <w:r w:rsidRPr="00140BF9">
        <w:rPr>
          <w:rFonts w:cs="Arial"/>
        </w:rPr>
        <w:t>Removal of applications from ACAT to Supreme Court—application</w:t>
      </w:r>
    </w:p>
    <w:p w14:paraId="6A8B008C" w14:textId="2FBD3BD1"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5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71A0E734" w14:textId="77777777" w:rsidR="00D94935" w:rsidRPr="00140BF9" w:rsidRDefault="00D94935" w:rsidP="00D94935">
      <w:pPr>
        <w:pStyle w:val="AmdtsEntryHd"/>
        <w:rPr>
          <w:rFonts w:cs="Arial"/>
        </w:rPr>
      </w:pPr>
      <w:r w:rsidRPr="00140BF9">
        <w:rPr>
          <w:rFonts w:cs="Arial"/>
        </w:rPr>
        <w:t>Removal of applications from ACAT to Supreme Court—procedure</w:t>
      </w:r>
    </w:p>
    <w:p w14:paraId="44D2A8C1" w14:textId="3DFF2B46"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52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60A0DF7C" w14:textId="77777777" w:rsidR="00D94935" w:rsidRPr="00140BF9" w:rsidRDefault="00D94935" w:rsidP="00D94935">
      <w:pPr>
        <w:pStyle w:val="AmdtsEntryHd"/>
        <w:rPr>
          <w:rFonts w:cs="Arial"/>
        </w:rPr>
      </w:pPr>
      <w:r w:rsidRPr="00140BF9">
        <w:rPr>
          <w:rFonts w:cs="Arial"/>
        </w:rPr>
        <w:t>Effect of failure to comply with rules</w:t>
      </w:r>
    </w:p>
    <w:p w14:paraId="16AA7D0E" w14:textId="77777777"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14:paraId="258C2FDE" w14:textId="0D61648D"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5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14:paraId="0E1530D1" w14:textId="77777777" w:rsidR="00D94935" w:rsidRPr="00140BF9" w:rsidRDefault="00D94935" w:rsidP="00D94935">
      <w:pPr>
        <w:pStyle w:val="AmdtsEntryHd"/>
        <w:rPr>
          <w:rFonts w:cs="Arial"/>
        </w:rPr>
      </w:pPr>
      <w:r w:rsidRPr="00140BF9">
        <w:rPr>
          <w:rFonts w:cs="Arial"/>
        </w:rPr>
        <w:lastRenderedPageBreak/>
        <w:t>Application because of failure to comply with rules</w:t>
      </w:r>
    </w:p>
    <w:p w14:paraId="5DFE7B3F" w14:textId="77777777"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14:paraId="06CAF802" w14:textId="77777777" w:rsidR="00D94935" w:rsidRPr="00140BF9" w:rsidRDefault="00D94935" w:rsidP="00D94935">
      <w:pPr>
        <w:pStyle w:val="AmdtsEntryHd"/>
        <w:rPr>
          <w:rFonts w:cs="Arial"/>
        </w:rPr>
      </w:pPr>
      <w:r w:rsidRPr="00140BF9">
        <w:rPr>
          <w:rFonts w:cs="Arial"/>
        </w:rPr>
        <w:t>Failure to comply with order to take step</w:t>
      </w:r>
    </w:p>
    <w:p w14:paraId="33990938" w14:textId="77777777"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14:paraId="11036E6E" w14:textId="0331D5CE"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5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14:paraId="4BB0379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14:paraId="4250AC10" w14:textId="77777777"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14:paraId="2BE5BB5A" w14:textId="77777777" w:rsidR="00D94935" w:rsidRPr="00140BF9" w:rsidRDefault="00D94935" w:rsidP="00D94935">
      <w:pPr>
        <w:pStyle w:val="AmdtsEntryHd"/>
        <w:rPr>
          <w:rFonts w:cs="Arial"/>
        </w:rPr>
      </w:pPr>
      <w:r w:rsidRPr="00140BF9">
        <w:rPr>
          <w:rFonts w:cs="Arial"/>
        </w:rPr>
        <w:t>Trial—defendant or plaintiff not appearing</w:t>
      </w:r>
    </w:p>
    <w:p w14:paraId="275147DC" w14:textId="77777777"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14:paraId="743E866E" w14:textId="27CF2330"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53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14:paraId="1DB81D0E" w14:textId="77777777" w:rsidR="00D94935" w:rsidRPr="00140BF9" w:rsidRDefault="00D94935" w:rsidP="00D94935">
      <w:pPr>
        <w:pStyle w:val="AmdtsEntryHd"/>
        <w:rPr>
          <w:rFonts w:cs="Arial"/>
        </w:rPr>
      </w:pPr>
      <w:r w:rsidRPr="00140BF9">
        <w:rPr>
          <w:rFonts w:cs="Arial"/>
        </w:rPr>
        <w:t>Trial—adjournment etc</w:t>
      </w:r>
    </w:p>
    <w:p w14:paraId="3B3F5590" w14:textId="77777777"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14:paraId="07C246FD" w14:textId="77777777" w:rsidR="00D94935" w:rsidRPr="00140BF9" w:rsidRDefault="00D94935" w:rsidP="00D94935">
      <w:pPr>
        <w:pStyle w:val="AmdtsEntryHd"/>
        <w:rPr>
          <w:rFonts w:cs="Arial"/>
        </w:rPr>
      </w:pPr>
      <w:r w:rsidRPr="00140BF9">
        <w:rPr>
          <w:rFonts w:cs="Arial"/>
        </w:rPr>
        <w:t>Trial—third-party proceeding</w:t>
      </w:r>
    </w:p>
    <w:p w14:paraId="432A0AF0" w14:textId="77777777"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14:paraId="3EF2676A" w14:textId="77777777" w:rsidR="00D94935" w:rsidRPr="00140BF9" w:rsidRDefault="00D94935" w:rsidP="00D94935">
      <w:pPr>
        <w:pStyle w:val="AmdtsEntryHd"/>
        <w:rPr>
          <w:rFonts w:cs="Arial"/>
        </w:rPr>
      </w:pPr>
      <w:r w:rsidRPr="00140BF9">
        <w:rPr>
          <w:rFonts w:cs="Arial"/>
        </w:rPr>
        <w:t>Order of evidence and addresses</w:t>
      </w:r>
    </w:p>
    <w:p w14:paraId="74761942" w14:textId="77777777"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14:paraId="71B3EB50" w14:textId="77777777" w:rsidR="00D94935" w:rsidRPr="00140BF9" w:rsidRDefault="00D94935" w:rsidP="00D94935">
      <w:pPr>
        <w:pStyle w:val="AmdtsEntryHd"/>
        <w:rPr>
          <w:rFonts w:cs="Arial"/>
        </w:rPr>
      </w:pPr>
      <w:r w:rsidRPr="00140BF9">
        <w:rPr>
          <w:rFonts w:cs="Arial"/>
        </w:rPr>
        <w:t>View by court</w:t>
      </w:r>
    </w:p>
    <w:p w14:paraId="1E576376" w14:textId="77777777"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14:paraId="198F620A" w14:textId="77777777" w:rsidR="00D94935" w:rsidRPr="00140BF9" w:rsidRDefault="00D94935" w:rsidP="00D94935">
      <w:pPr>
        <w:pStyle w:val="AmdtsEntryHd"/>
        <w:rPr>
          <w:rFonts w:cs="Arial"/>
        </w:rPr>
      </w:pPr>
      <w:r w:rsidRPr="00140BF9">
        <w:rPr>
          <w:rFonts w:cs="Arial"/>
        </w:rPr>
        <w:t>Associate etc to record hearing times</w:t>
      </w:r>
    </w:p>
    <w:p w14:paraId="2CB0C7A4" w14:textId="77777777"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14:paraId="14E7A64A" w14:textId="77777777" w:rsidR="00D94935" w:rsidRPr="00140BF9" w:rsidRDefault="00D94935" w:rsidP="00D94935">
      <w:pPr>
        <w:pStyle w:val="AmdtsEntryHd"/>
        <w:rPr>
          <w:rFonts w:cs="Arial"/>
        </w:rPr>
      </w:pPr>
      <w:r w:rsidRPr="00140BF9">
        <w:rPr>
          <w:rFonts w:cs="Arial"/>
        </w:rPr>
        <w:t>Associate to enter findings etc</w:t>
      </w:r>
    </w:p>
    <w:p w14:paraId="15E311D8" w14:textId="77777777"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14:paraId="43303E58" w14:textId="77777777" w:rsidR="00D94935" w:rsidRPr="00140BF9" w:rsidRDefault="00D94935" w:rsidP="00D94935">
      <w:pPr>
        <w:pStyle w:val="AmdtsEntryHd"/>
        <w:rPr>
          <w:rFonts w:cs="Arial"/>
        </w:rPr>
      </w:pPr>
      <w:r w:rsidRPr="00140BF9">
        <w:rPr>
          <w:rFonts w:cs="Arial"/>
        </w:rPr>
        <w:t>Separate decisions on questions—order</w:t>
      </w:r>
    </w:p>
    <w:p w14:paraId="2CD49C9F" w14:textId="77777777"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14:paraId="738953C1" w14:textId="77777777" w:rsidR="00D94935" w:rsidRPr="00140BF9" w:rsidRDefault="00D94935" w:rsidP="00D94935">
      <w:pPr>
        <w:pStyle w:val="AmdtsEntryHd"/>
        <w:rPr>
          <w:rFonts w:cs="Arial"/>
        </w:rPr>
      </w:pPr>
      <w:r w:rsidRPr="00140BF9">
        <w:rPr>
          <w:rFonts w:cs="Arial"/>
        </w:rPr>
        <w:t>Separate decisions on questions—directions</w:t>
      </w:r>
    </w:p>
    <w:p w14:paraId="765F04B4" w14:textId="77777777"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14:paraId="36445551" w14:textId="77777777" w:rsidR="00D94935" w:rsidRPr="00140BF9" w:rsidRDefault="00D94935" w:rsidP="00D94935">
      <w:pPr>
        <w:pStyle w:val="AmdtsEntryHd"/>
        <w:rPr>
          <w:rFonts w:cs="Arial"/>
        </w:rPr>
      </w:pPr>
      <w:r w:rsidRPr="00140BF9">
        <w:rPr>
          <w:rFonts w:cs="Arial"/>
        </w:rPr>
        <w:t>Separate decisions on questions—decision</w:t>
      </w:r>
    </w:p>
    <w:p w14:paraId="7689DBDD" w14:textId="77777777"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14:paraId="21C4AC84" w14:textId="77777777" w:rsidR="00D94935" w:rsidRPr="00140BF9" w:rsidRDefault="00D94935" w:rsidP="00D94935">
      <w:pPr>
        <w:pStyle w:val="AmdtsEntryHd"/>
        <w:rPr>
          <w:rFonts w:cs="Arial"/>
        </w:rPr>
      </w:pPr>
      <w:r w:rsidRPr="00140BF9">
        <w:rPr>
          <w:rFonts w:cs="Arial"/>
        </w:rPr>
        <w:t>Assessors</w:t>
      </w:r>
    </w:p>
    <w:p w14:paraId="111B07EB" w14:textId="77777777"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14:paraId="550B6C2E" w14:textId="77777777" w:rsidR="00D94935" w:rsidRPr="00140BF9" w:rsidRDefault="00D94935" w:rsidP="00D94935">
      <w:pPr>
        <w:pStyle w:val="AmdtsEntryHd"/>
        <w:rPr>
          <w:rFonts w:cs="Arial"/>
        </w:rPr>
      </w:pPr>
      <w:r w:rsidRPr="00140BF9">
        <w:rPr>
          <w:rFonts w:cs="Arial"/>
        </w:rPr>
        <w:t>Referee—referral of question etc</w:t>
      </w:r>
    </w:p>
    <w:p w14:paraId="32420830" w14:textId="77777777"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14:paraId="2A40ED5C" w14:textId="77777777" w:rsidR="00D94935" w:rsidRPr="00140BF9" w:rsidRDefault="00D94935" w:rsidP="00D94935">
      <w:pPr>
        <w:pStyle w:val="AmdtsEntryHd"/>
        <w:rPr>
          <w:rFonts w:cs="Arial"/>
        </w:rPr>
      </w:pPr>
      <w:r w:rsidRPr="00140BF9">
        <w:rPr>
          <w:rFonts w:cs="Arial"/>
        </w:rPr>
        <w:t>Referee—appointment</w:t>
      </w:r>
    </w:p>
    <w:p w14:paraId="17DEA6AF" w14:textId="77777777"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14:paraId="53AD4D42" w14:textId="77777777" w:rsidR="00D94935" w:rsidRPr="00140BF9" w:rsidRDefault="00D94935" w:rsidP="00D94935">
      <w:pPr>
        <w:pStyle w:val="AmdtsEntryHd"/>
        <w:rPr>
          <w:rFonts w:cs="Arial"/>
        </w:rPr>
      </w:pPr>
      <w:r w:rsidRPr="00140BF9">
        <w:rPr>
          <w:rFonts w:cs="Arial"/>
        </w:rPr>
        <w:t>Referee—amendment of order referring question etc</w:t>
      </w:r>
    </w:p>
    <w:p w14:paraId="3A79B3F8" w14:textId="77777777"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14:paraId="69FA0683" w14:textId="77777777" w:rsidR="00D94935" w:rsidRPr="00140BF9" w:rsidRDefault="00D94935" w:rsidP="00D94935">
      <w:pPr>
        <w:pStyle w:val="AmdtsEntryHd"/>
        <w:rPr>
          <w:rFonts w:cs="Arial"/>
        </w:rPr>
      </w:pPr>
      <w:r w:rsidRPr="00140BF9">
        <w:rPr>
          <w:rFonts w:cs="Arial"/>
        </w:rPr>
        <w:lastRenderedPageBreak/>
        <w:t>Referee—conduct under reference</w:t>
      </w:r>
    </w:p>
    <w:p w14:paraId="37D8AC21" w14:textId="77777777" w:rsidR="00D94935" w:rsidRDefault="00D94935" w:rsidP="00745DAF">
      <w:pPr>
        <w:pStyle w:val="AmdtsEntries"/>
        <w:keepNext/>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14:paraId="0E502DFB" w14:textId="35195F5F"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531"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14:paraId="3500AE4E" w14:textId="77777777" w:rsidR="00D94935" w:rsidRPr="00140BF9" w:rsidRDefault="00D94935" w:rsidP="00D94935">
      <w:pPr>
        <w:pStyle w:val="AmdtsEntryHd"/>
        <w:rPr>
          <w:rFonts w:cs="Arial"/>
        </w:rPr>
      </w:pPr>
      <w:r w:rsidRPr="00140BF9">
        <w:rPr>
          <w:rFonts w:cs="Arial"/>
        </w:rPr>
        <w:t>Referee—submission of question to court</w:t>
      </w:r>
    </w:p>
    <w:p w14:paraId="762BC20C" w14:textId="77777777"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14:paraId="07C02CCA" w14:textId="77777777" w:rsidR="00D94935" w:rsidRPr="00140BF9" w:rsidRDefault="00D94935" w:rsidP="00D94935">
      <w:pPr>
        <w:pStyle w:val="AmdtsEntryHd"/>
        <w:rPr>
          <w:rFonts w:cs="Arial"/>
        </w:rPr>
      </w:pPr>
      <w:r w:rsidRPr="00140BF9">
        <w:rPr>
          <w:rFonts w:cs="Arial"/>
        </w:rPr>
        <w:t>Referee—report</w:t>
      </w:r>
    </w:p>
    <w:p w14:paraId="7283008B" w14:textId="77777777"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14:paraId="26B8D96C" w14:textId="77777777" w:rsidR="00D94935" w:rsidRPr="00140BF9" w:rsidRDefault="00D94935" w:rsidP="00D94935">
      <w:pPr>
        <w:pStyle w:val="AmdtsEntryHd"/>
        <w:rPr>
          <w:rFonts w:cs="Arial"/>
        </w:rPr>
      </w:pPr>
      <w:r w:rsidRPr="00140BF9">
        <w:rPr>
          <w:rFonts w:cs="Arial"/>
        </w:rPr>
        <w:t>Referee—proceeding on report</w:t>
      </w:r>
    </w:p>
    <w:p w14:paraId="1C79C0B4" w14:textId="77777777"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14:paraId="05E28346" w14:textId="77777777" w:rsidR="00D94935" w:rsidRPr="00140BF9" w:rsidRDefault="00D94935" w:rsidP="00D94935">
      <w:pPr>
        <w:pStyle w:val="AmdtsEntryHd"/>
        <w:rPr>
          <w:rFonts w:cs="Arial"/>
        </w:rPr>
      </w:pPr>
      <w:r w:rsidRPr="00140BF9">
        <w:rPr>
          <w:rFonts w:cs="Arial"/>
        </w:rPr>
        <w:t>Assessor and referee—remuneration</w:t>
      </w:r>
    </w:p>
    <w:p w14:paraId="5DD2CBA6" w14:textId="77777777"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14:paraId="7ADB9A7C" w14:textId="77777777" w:rsidR="00D94935" w:rsidRPr="00140BF9" w:rsidRDefault="00D94935" w:rsidP="00D94935">
      <w:pPr>
        <w:pStyle w:val="AmdtsEntryHd"/>
        <w:rPr>
          <w:rFonts w:cs="Arial"/>
        </w:rPr>
      </w:pPr>
      <w:r w:rsidRPr="00140BF9">
        <w:rPr>
          <w:rFonts w:cs="Arial"/>
        </w:rPr>
        <w:t>Assessment of damages</w:t>
      </w:r>
    </w:p>
    <w:p w14:paraId="55C27890" w14:textId="77777777"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14:paraId="20980D59" w14:textId="77777777" w:rsidR="00D94935" w:rsidRPr="00140BF9" w:rsidRDefault="00D94935" w:rsidP="00D94935">
      <w:pPr>
        <w:pStyle w:val="AmdtsEntryHd"/>
        <w:rPr>
          <w:rFonts w:cs="Arial"/>
        </w:rPr>
      </w:pPr>
      <w:r w:rsidRPr="00140BF9">
        <w:rPr>
          <w:rFonts w:cs="Arial"/>
        </w:rPr>
        <w:t>Assessment of damages—use of affidavit evidence</w:t>
      </w:r>
    </w:p>
    <w:p w14:paraId="0444CB6E" w14:textId="77777777"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14:paraId="5E3CE1FF" w14:textId="77777777" w:rsidR="00D94935" w:rsidRPr="00140BF9" w:rsidRDefault="00D94935" w:rsidP="00D94935">
      <w:pPr>
        <w:pStyle w:val="AmdtsEntryHd"/>
        <w:rPr>
          <w:rFonts w:cs="Arial"/>
        </w:rPr>
      </w:pPr>
      <w:r w:rsidRPr="00140BF9">
        <w:rPr>
          <w:rFonts w:cs="Arial"/>
        </w:rPr>
        <w:t>Partial judgment for damages to be assessed</w:t>
      </w:r>
    </w:p>
    <w:p w14:paraId="60B6E5D3" w14:textId="77777777"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14:paraId="639BC8F6" w14:textId="77777777" w:rsidR="00D94935" w:rsidRPr="00140BF9" w:rsidRDefault="00D94935" w:rsidP="00D94935">
      <w:pPr>
        <w:pStyle w:val="AmdtsEntryHd"/>
        <w:rPr>
          <w:rFonts w:cs="Arial"/>
        </w:rPr>
      </w:pPr>
      <w:r w:rsidRPr="00140BF9">
        <w:rPr>
          <w:rFonts w:cs="Arial"/>
        </w:rPr>
        <w:t>Damages to time of assessment</w:t>
      </w:r>
    </w:p>
    <w:p w14:paraId="6A796220" w14:textId="77777777"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14:paraId="4DB660E2" w14:textId="77777777" w:rsidR="00D94935" w:rsidRPr="00140BF9" w:rsidRDefault="00D94935" w:rsidP="00D94935">
      <w:pPr>
        <w:pStyle w:val="AmdtsEntryHd"/>
        <w:rPr>
          <w:rFonts w:cs="Arial"/>
        </w:rPr>
      </w:pPr>
      <w:r w:rsidRPr="00140BF9">
        <w:rPr>
          <w:rFonts w:cs="Arial"/>
        </w:rPr>
        <w:t>Orders—required by nature of case</w:t>
      </w:r>
    </w:p>
    <w:p w14:paraId="68AF9039" w14:textId="77777777"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14:paraId="323CB78B" w14:textId="77777777" w:rsidR="00D94935" w:rsidRPr="00140BF9" w:rsidRDefault="00D94935" w:rsidP="00D94935">
      <w:pPr>
        <w:pStyle w:val="AmdtsEntryHd"/>
        <w:rPr>
          <w:rFonts w:cs="Arial"/>
        </w:rPr>
      </w:pPr>
      <w:r w:rsidRPr="00140BF9">
        <w:rPr>
          <w:rFonts w:cs="Arial"/>
        </w:rPr>
        <w:t>Judgment book</w:t>
      </w:r>
    </w:p>
    <w:p w14:paraId="5E5A2B5B" w14:textId="77777777"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14:paraId="443E366C" w14:textId="77777777" w:rsidR="00D94935" w:rsidRPr="00140BF9" w:rsidRDefault="00D94935" w:rsidP="00D94935">
      <w:pPr>
        <w:pStyle w:val="AmdtsEntryHd"/>
        <w:rPr>
          <w:rFonts w:cs="Arial"/>
        </w:rPr>
      </w:pPr>
      <w:r w:rsidRPr="00140BF9">
        <w:rPr>
          <w:rFonts w:cs="Arial"/>
        </w:rPr>
        <w:t>Judgments—several claims</w:t>
      </w:r>
    </w:p>
    <w:p w14:paraId="21BAAA73" w14:textId="77777777"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14:paraId="1129AFC2" w14:textId="77777777" w:rsidR="00D94935" w:rsidRPr="00140BF9" w:rsidRDefault="00D94935" w:rsidP="00D94935">
      <w:pPr>
        <w:pStyle w:val="AmdtsEntryHd"/>
        <w:rPr>
          <w:rFonts w:cs="Arial"/>
        </w:rPr>
      </w:pPr>
      <w:r w:rsidRPr="00140BF9">
        <w:rPr>
          <w:rFonts w:cs="Arial"/>
        </w:rPr>
        <w:t>Orders—set off between enforceable money orders</w:t>
      </w:r>
    </w:p>
    <w:p w14:paraId="07485EE0" w14:textId="77777777"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14:paraId="7E6C7018" w14:textId="77777777" w:rsidR="00D94935" w:rsidRPr="00140BF9" w:rsidRDefault="00D94935" w:rsidP="00D94935">
      <w:pPr>
        <w:pStyle w:val="AmdtsEntryHd"/>
        <w:rPr>
          <w:rFonts w:cs="Arial"/>
        </w:rPr>
      </w:pPr>
      <w:r w:rsidRPr="00140BF9">
        <w:rPr>
          <w:rFonts w:cs="Arial"/>
        </w:rPr>
        <w:t>Judgments—detention of goods</w:t>
      </w:r>
    </w:p>
    <w:p w14:paraId="211535D1" w14:textId="77777777"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14:paraId="45BE5862" w14:textId="77777777" w:rsidR="00D94935" w:rsidRPr="00140BF9" w:rsidRDefault="00D94935" w:rsidP="00D94935">
      <w:pPr>
        <w:pStyle w:val="AmdtsEntryHd"/>
        <w:rPr>
          <w:rFonts w:cs="Arial"/>
        </w:rPr>
      </w:pPr>
      <w:r w:rsidRPr="00140BF9">
        <w:rPr>
          <w:rFonts w:cs="Arial"/>
        </w:rPr>
        <w:t>Orders—making and effect</w:t>
      </w:r>
    </w:p>
    <w:p w14:paraId="3251900E" w14:textId="77777777"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14:paraId="7E102480" w14:textId="77777777" w:rsidR="00D94935" w:rsidRPr="00140BF9" w:rsidRDefault="00D94935" w:rsidP="00D94935">
      <w:pPr>
        <w:pStyle w:val="AmdtsEntryHd"/>
        <w:rPr>
          <w:rFonts w:cs="Arial"/>
        </w:rPr>
      </w:pPr>
      <w:r>
        <w:rPr>
          <w:rFonts w:cs="Arial"/>
        </w:rPr>
        <w:t>Orders—shortened form</w:t>
      </w:r>
    </w:p>
    <w:p w14:paraId="4C554446" w14:textId="476BF60C" w:rsidR="00D94935" w:rsidRPr="00EC1ECB" w:rsidRDefault="00D94935" w:rsidP="00D94935">
      <w:pPr>
        <w:pStyle w:val="AmdtsEntries"/>
        <w:rPr>
          <w:rFonts w:cs="Arial"/>
        </w:rPr>
      </w:pPr>
      <w:r w:rsidRPr="00EC1ECB">
        <w:rPr>
          <w:rFonts w:eastAsiaTheme="minorEastAsia" w:cs="Arial"/>
          <w:szCs w:val="22"/>
          <w:lang w:eastAsia="en-AU"/>
        </w:rPr>
        <w:t>r 1605A</w:t>
      </w:r>
      <w:r w:rsidRPr="00EC1ECB">
        <w:rPr>
          <w:rFonts w:eastAsiaTheme="minorEastAsia" w:cs="Arial"/>
          <w:szCs w:val="22"/>
          <w:lang w:eastAsia="en-AU"/>
        </w:rPr>
        <w:tab/>
        <w:t xml:space="preserve">ins </w:t>
      </w:r>
      <w:hyperlink r:id="rId1532" w:tooltip="Court Procedures Amendment Rules 2015 (No 2)" w:history="1">
        <w:r w:rsidRPr="00EC1ECB">
          <w:rPr>
            <w:rStyle w:val="charCitHyperlinkAbbrev"/>
            <w:rFonts w:cs="Arial"/>
          </w:rPr>
          <w:t>SL2015</w:t>
        </w:r>
        <w:r w:rsidRPr="00EC1ECB">
          <w:rPr>
            <w:rStyle w:val="charCitHyperlinkAbbrev"/>
            <w:rFonts w:cs="Arial"/>
          </w:rPr>
          <w:noBreakHyphen/>
          <w:t>22</w:t>
        </w:r>
      </w:hyperlink>
      <w:r w:rsidRPr="00EC1ECB">
        <w:rPr>
          <w:rFonts w:cs="Arial"/>
        </w:rPr>
        <w:t xml:space="preserve"> r 24</w:t>
      </w:r>
    </w:p>
    <w:p w14:paraId="2793BD84" w14:textId="6DFCCF3E" w:rsidR="007C6FA7" w:rsidRPr="00140BF9" w:rsidRDefault="007C6FA7" w:rsidP="00D94935">
      <w:pPr>
        <w:pStyle w:val="AmdtsEntries"/>
        <w:rPr>
          <w:rFonts w:cs="Arial"/>
        </w:rPr>
      </w:pPr>
      <w:r w:rsidRPr="00EC1ECB">
        <w:rPr>
          <w:rFonts w:cs="Arial"/>
        </w:rPr>
        <w:tab/>
        <w:t xml:space="preserve">om </w:t>
      </w:r>
      <w:hyperlink r:id="rId1533" w:tooltip="Court Procedures Amendment Rules 2024 (No 1)" w:history="1">
        <w:r w:rsidR="005B63D9" w:rsidRPr="00EC1ECB">
          <w:rPr>
            <w:rStyle w:val="charCitHyperlinkAbbrev"/>
          </w:rPr>
          <w:t>SL2024</w:t>
        </w:r>
        <w:r w:rsidR="005B63D9" w:rsidRPr="00EC1ECB">
          <w:rPr>
            <w:rStyle w:val="charCitHyperlinkAbbrev"/>
          </w:rPr>
          <w:noBreakHyphen/>
          <w:t>9</w:t>
        </w:r>
      </w:hyperlink>
      <w:r w:rsidRPr="00EC1ECB">
        <w:rPr>
          <w:rFonts w:cs="Arial"/>
        </w:rPr>
        <w:t xml:space="preserve"> r 9</w:t>
      </w:r>
    </w:p>
    <w:p w14:paraId="7E292258" w14:textId="435BFBF5" w:rsidR="00D94935" w:rsidRPr="00140BF9" w:rsidRDefault="00BC008F" w:rsidP="00D94935">
      <w:pPr>
        <w:pStyle w:val="AmdtsEntryHd"/>
        <w:rPr>
          <w:rFonts w:cs="Arial"/>
        </w:rPr>
      </w:pPr>
      <w:r w:rsidRPr="00EC1ECB">
        <w:t>Orders—entry</w:t>
      </w:r>
    </w:p>
    <w:p w14:paraId="0B177FE9" w14:textId="77777777" w:rsidR="00D94935" w:rsidRDefault="00D94935" w:rsidP="00D94935">
      <w:pPr>
        <w:pStyle w:val="AmdtsEntries"/>
        <w:rPr>
          <w:rFonts w:eastAsiaTheme="minorEastAsia" w:cs="Arial"/>
          <w:szCs w:val="22"/>
          <w:lang w:eastAsia="en-AU"/>
        </w:rPr>
      </w:pPr>
      <w:r w:rsidRPr="00140BF9">
        <w:rPr>
          <w:rFonts w:cs="Arial"/>
        </w:rPr>
        <w:t>r 1606 hdg</w:t>
      </w:r>
      <w:r w:rsidRPr="00140BF9">
        <w:rPr>
          <w:rFonts w:eastAsiaTheme="minorEastAsia" w:cs="Arial"/>
          <w:szCs w:val="22"/>
          <w:lang w:eastAsia="en-AU"/>
        </w:rPr>
        <w:tab/>
        <w:t>bracketed note om R29 LA</w:t>
      </w:r>
    </w:p>
    <w:p w14:paraId="663CEDA0" w14:textId="2DD4F0D7" w:rsidR="00BC008F" w:rsidRPr="00140BF9" w:rsidRDefault="00D54085" w:rsidP="00D94935">
      <w:pPr>
        <w:pStyle w:val="AmdtsEntries"/>
        <w:rPr>
          <w:rFonts w:cs="Arial"/>
        </w:rPr>
      </w:pPr>
      <w:r>
        <w:rPr>
          <w:rFonts w:eastAsiaTheme="minorEastAsia" w:cs="Arial"/>
          <w:szCs w:val="22"/>
          <w:lang w:eastAsia="en-AU"/>
        </w:rPr>
        <w:t>r 1606</w:t>
      </w:r>
      <w:r w:rsidR="00BC008F">
        <w:rPr>
          <w:rFonts w:eastAsiaTheme="minorEastAsia" w:cs="Arial"/>
          <w:szCs w:val="22"/>
          <w:lang w:eastAsia="en-AU"/>
        </w:rPr>
        <w:tab/>
      </w:r>
      <w:r w:rsidR="00BC008F" w:rsidRPr="00EC1ECB">
        <w:rPr>
          <w:rFonts w:eastAsiaTheme="minorEastAsia" w:cs="Arial"/>
          <w:szCs w:val="22"/>
          <w:lang w:eastAsia="en-AU"/>
        </w:rPr>
        <w:t xml:space="preserve">sub </w:t>
      </w:r>
      <w:hyperlink r:id="rId1534" w:tooltip="Court Procedures Amendment Rules 2024 (No 1)" w:history="1">
        <w:r w:rsidR="005B63D9" w:rsidRPr="00EC1ECB">
          <w:rPr>
            <w:rStyle w:val="charCitHyperlinkAbbrev"/>
          </w:rPr>
          <w:t>SL2024</w:t>
        </w:r>
        <w:r w:rsidR="005B63D9" w:rsidRPr="00EC1ECB">
          <w:rPr>
            <w:rStyle w:val="charCitHyperlinkAbbrev"/>
          </w:rPr>
          <w:noBreakHyphen/>
          <w:t>9</w:t>
        </w:r>
      </w:hyperlink>
      <w:r w:rsidR="00BC008F" w:rsidRPr="00EC1ECB">
        <w:rPr>
          <w:rFonts w:eastAsiaTheme="minorEastAsia" w:cs="Arial"/>
          <w:szCs w:val="22"/>
          <w:lang w:eastAsia="en-AU"/>
        </w:rPr>
        <w:t xml:space="preserve"> r 9</w:t>
      </w:r>
    </w:p>
    <w:p w14:paraId="1F92BD87" w14:textId="77777777" w:rsidR="00D94935" w:rsidRPr="00140BF9" w:rsidRDefault="00D94935" w:rsidP="00D94935">
      <w:pPr>
        <w:pStyle w:val="AmdtsEntryHd"/>
        <w:rPr>
          <w:rFonts w:cs="Arial"/>
        </w:rPr>
      </w:pPr>
      <w:r w:rsidRPr="00140BF9">
        <w:rPr>
          <w:rFonts w:cs="Arial"/>
        </w:rPr>
        <w:lastRenderedPageBreak/>
        <w:t>Orders—certified duplicate</w:t>
      </w:r>
    </w:p>
    <w:p w14:paraId="5B7D9A24" w14:textId="77777777"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14:paraId="7C8F3675" w14:textId="77777777" w:rsidR="00D94935" w:rsidRPr="00140BF9" w:rsidRDefault="00D94935" w:rsidP="00D94935">
      <w:pPr>
        <w:pStyle w:val="AmdtsEntryHd"/>
        <w:rPr>
          <w:rFonts w:cs="Arial"/>
        </w:rPr>
      </w:pPr>
      <w:r w:rsidRPr="00140BF9">
        <w:rPr>
          <w:rFonts w:cs="Arial"/>
        </w:rPr>
        <w:t>Orders—reasons</w:t>
      </w:r>
    </w:p>
    <w:p w14:paraId="1D292F7A" w14:textId="77777777"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14:paraId="500F104B" w14:textId="6A06EEA6"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535"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14:paraId="6CF0F731" w14:textId="77777777" w:rsidR="00D94935" w:rsidRPr="00140BF9" w:rsidRDefault="00D94935" w:rsidP="00D94935">
      <w:pPr>
        <w:pStyle w:val="AmdtsEntryHd"/>
        <w:rPr>
          <w:rFonts w:cs="Arial"/>
        </w:rPr>
      </w:pPr>
      <w:r w:rsidRPr="00140BF9">
        <w:rPr>
          <w:rFonts w:cs="Arial"/>
        </w:rPr>
        <w:t>Orders—reservation of decision</w:t>
      </w:r>
    </w:p>
    <w:p w14:paraId="73480CDB" w14:textId="77777777"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14:paraId="2E2229B7" w14:textId="77777777" w:rsidR="00D94935" w:rsidRPr="00140BF9" w:rsidRDefault="00D94935" w:rsidP="00D94935">
      <w:pPr>
        <w:pStyle w:val="AmdtsEntryHd"/>
        <w:rPr>
          <w:rFonts w:cs="Arial"/>
        </w:rPr>
      </w:pPr>
      <w:r w:rsidRPr="00140BF9">
        <w:rPr>
          <w:rFonts w:cs="Arial"/>
        </w:rPr>
        <w:t>Orders—time for compliance</w:t>
      </w:r>
    </w:p>
    <w:p w14:paraId="6FA72A91" w14:textId="77777777"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14:paraId="7B18FBC0" w14:textId="77777777" w:rsidR="00D94935" w:rsidRPr="00140BF9" w:rsidRDefault="00D94935" w:rsidP="00D94935">
      <w:pPr>
        <w:pStyle w:val="AmdtsEntryHd"/>
        <w:rPr>
          <w:rFonts w:cs="Arial"/>
        </w:rPr>
      </w:pPr>
      <w:r w:rsidRPr="00140BF9">
        <w:rPr>
          <w:rFonts w:cs="Arial"/>
        </w:rPr>
        <w:t>Orders—by consent</w:t>
      </w:r>
    </w:p>
    <w:p w14:paraId="087EF75B" w14:textId="77777777" w:rsidR="00D94935" w:rsidRDefault="00D94935" w:rsidP="00D94935">
      <w:pPr>
        <w:pStyle w:val="AmdtsEntries"/>
        <w:rPr>
          <w:rFonts w:eastAsiaTheme="minorEastAsia" w:cs="Arial"/>
          <w:szCs w:val="22"/>
          <w:lang w:eastAsia="en-AU"/>
        </w:rPr>
      </w:pPr>
      <w:r w:rsidRPr="00D07869">
        <w:rPr>
          <w:rFonts w:cs="Arial"/>
        </w:rPr>
        <w:t>r 1611</w:t>
      </w:r>
      <w:r w:rsidRPr="00140BF9">
        <w:rPr>
          <w:rFonts w:cs="Arial"/>
        </w:rPr>
        <w:t xml:space="preserve"> hdg</w:t>
      </w:r>
      <w:r w:rsidRPr="00140BF9">
        <w:rPr>
          <w:rFonts w:eastAsiaTheme="minorEastAsia" w:cs="Arial"/>
          <w:szCs w:val="22"/>
          <w:lang w:eastAsia="en-AU"/>
        </w:rPr>
        <w:tab/>
        <w:t>bracketed note om R29 LA</w:t>
      </w:r>
    </w:p>
    <w:p w14:paraId="3A18FA51" w14:textId="02419955" w:rsidR="00CA3A84" w:rsidRPr="00140BF9" w:rsidRDefault="00D54085" w:rsidP="00D94935">
      <w:pPr>
        <w:pStyle w:val="AmdtsEntries"/>
        <w:rPr>
          <w:rFonts w:cs="Arial"/>
        </w:rPr>
      </w:pPr>
      <w:r>
        <w:rPr>
          <w:rFonts w:eastAsiaTheme="minorEastAsia" w:cs="Arial"/>
          <w:szCs w:val="22"/>
          <w:lang w:eastAsia="en-AU"/>
        </w:rPr>
        <w:t>r 1611</w:t>
      </w:r>
      <w:r w:rsidR="00CA3A84">
        <w:rPr>
          <w:rFonts w:eastAsiaTheme="minorEastAsia" w:cs="Arial"/>
          <w:szCs w:val="22"/>
          <w:lang w:eastAsia="en-AU"/>
        </w:rPr>
        <w:tab/>
      </w:r>
      <w:r w:rsidR="00CA3A84" w:rsidRPr="00D07869">
        <w:rPr>
          <w:rFonts w:eastAsiaTheme="minorEastAsia" w:cs="Arial"/>
          <w:szCs w:val="22"/>
          <w:lang w:eastAsia="en-AU"/>
        </w:rPr>
        <w:t xml:space="preserve">am </w:t>
      </w:r>
      <w:hyperlink r:id="rId1536" w:tooltip="Court Procedures Amendment Rules 2024 (No 1)" w:history="1">
        <w:r w:rsidR="00CA3A84" w:rsidRPr="00D07869">
          <w:rPr>
            <w:rStyle w:val="charCitHyperlinkAbbrev"/>
          </w:rPr>
          <w:t>SL2024</w:t>
        </w:r>
        <w:r w:rsidR="00CA3A84" w:rsidRPr="00D07869">
          <w:rPr>
            <w:rStyle w:val="charCitHyperlinkAbbrev"/>
          </w:rPr>
          <w:noBreakHyphen/>
          <w:t>9</w:t>
        </w:r>
      </w:hyperlink>
      <w:r w:rsidR="00CA3A84" w:rsidRPr="00D07869">
        <w:rPr>
          <w:rFonts w:eastAsiaTheme="minorEastAsia" w:cs="Arial"/>
          <w:szCs w:val="22"/>
          <w:lang w:eastAsia="en-AU"/>
        </w:rPr>
        <w:t xml:space="preserve"> r 10</w:t>
      </w:r>
    </w:p>
    <w:p w14:paraId="09E40241" w14:textId="77777777" w:rsidR="00D94935" w:rsidRPr="00140BF9" w:rsidRDefault="00D94935" w:rsidP="00D94935">
      <w:pPr>
        <w:pStyle w:val="AmdtsEntryHd"/>
        <w:rPr>
          <w:rFonts w:cs="Arial"/>
        </w:rPr>
      </w:pPr>
      <w:r w:rsidRPr="00140BF9">
        <w:rPr>
          <w:rFonts w:cs="Arial"/>
        </w:rPr>
        <w:t>Orders—by consent in proceeding</w:t>
      </w:r>
    </w:p>
    <w:p w14:paraId="0B3720D4" w14:textId="77777777"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14:paraId="5CF314BE" w14:textId="2C1E6D61" w:rsidR="00D94935" w:rsidRPr="00140BF9" w:rsidRDefault="005A28DE" w:rsidP="00D94935">
      <w:pPr>
        <w:pStyle w:val="AmdtsEntryHd"/>
        <w:rPr>
          <w:rFonts w:cs="Arial"/>
        </w:rPr>
      </w:pPr>
      <w:r w:rsidRPr="00D07869">
        <w:t>Orders—setting aside etc</w:t>
      </w:r>
    </w:p>
    <w:p w14:paraId="746FB1E9" w14:textId="77777777" w:rsidR="00D94935" w:rsidRDefault="00D94935" w:rsidP="00D94935">
      <w:pPr>
        <w:pStyle w:val="AmdtsEntries"/>
        <w:rPr>
          <w:rFonts w:eastAsiaTheme="minorEastAsia" w:cs="Arial"/>
          <w:szCs w:val="22"/>
          <w:lang w:eastAsia="en-AU"/>
        </w:rPr>
      </w:pPr>
      <w:r w:rsidRPr="00D07869">
        <w:rPr>
          <w:rFonts w:cs="Arial"/>
        </w:rPr>
        <w:t>r 1613</w:t>
      </w:r>
      <w:r w:rsidRPr="00140BF9">
        <w:rPr>
          <w:rFonts w:cs="Arial"/>
        </w:rPr>
        <w:t xml:space="preserve"> hdg</w:t>
      </w:r>
      <w:r w:rsidRPr="00140BF9">
        <w:rPr>
          <w:rFonts w:eastAsiaTheme="minorEastAsia" w:cs="Arial"/>
          <w:szCs w:val="22"/>
          <w:lang w:eastAsia="en-AU"/>
        </w:rPr>
        <w:tab/>
        <w:t>bracketed note om R29 LA</w:t>
      </w:r>
    </w:p>
    <w:p w14:paraId="5BAF4769" w14:textId="11DC035A" w:rsidR="005A28DE" w:rsidRPr="00140BF9" w:rsidRDefault="00D54085" w:rsidP="00D94935">
      <w:pPr>
        <w:pStyle w:val="AmdtsEntries"/>
        <w:rPr>
          <w:rFonts w:cs="Arial"/>
        </w:rPr>
      </w:pPr>
      <w:r>
        <w:rPr>
          <w:rFonts w:eastAsiaTheme="minorEastAsia" w:cs="Arial"/>
          <w:szCs w:val="22"/>
          <w:lang w:eastAsia="en-AU"/>
        </w:rPr>
        <w:t>r 1613</w:t>
      </w:r>
      <w:r w:rsidR="005A28DE">
        <w:rPr>
          <w:rFonts w:eastAsiaTheme="minorEastAsia" w:cs="Arial"/>
          <w:szCs w:val="22"/>
          <w:lang w:eastAsia="en-AU"/>
        </w:rPr>
        <w:tab/>
      </w:r>
      <w:r w:rsidR="005A28DE" w:rsidRPr="00D07869">
        <w:rPr>
          <w:rFonts w:eastAsiaTheme="minorEastAsia" w:cs="Arial"/>
          <w:szCs w:val="22"/>
          <w:lang w:eastAsia="en-AU"/>
        </w:rPr>
        <w:t xml:space="preserve">sub </w:t>
      </w:r>
      <w:hyperlink r:id="rId1537" w:tooltip="Court Procedures Amendment Rules 2024 (No 1)" w:history="1">
        <w:r w:rsidR="005A28DE" w:rsidRPr="00D07869">
          <w:rPr>
            <w:rStyle w:val="charCitHyperlinkAbbrev"/>
          </w:rPr>
          <w:t>SL2024</w:t>
        </w:r>
        <w:r w:rsidR="005A28DE" w:rsidRPr="00D07869">
          <w:rPr>
            <w:rStyle w:val="charCitHyperlinkAbbrev"/>
          </w:rPr>
          <w:noBreakHyphen/>
          <w:t>9</w:t>
        </w:r>
      </w:hyperlink>
      <w:r w:rsidR="005A28DE" w:rsidRPr="00D07869">
        <w:rPr>
          <w:rFonts w:eastAsiaTheme="minorEastAsia" w:cs="Arial"/>
          <w:szCs w:val="22"/>
          <w:lang w:eastAsia="en-AU"/>
        </w:rPr>
        <w:t xml:space="preserve"> r 11</w:t>
      </w:r>
    </w:p>
    <w:p w14:paraId="7C091F44" w14:textId="77777777" w:rsidR="00D94935" w:rsidRPr="00140BF9" w:rsidRDefault="00D94935" w:rsidP="00D94935">
      <w:pPr>
        <w:pStyle w:val="AmdtsEntryHd"/>
        <w:rPr>
          <w:rFonts w:cs="Arial"/>
        </w:rPr>
      </w:pPr>
      <w:r w:rsidRPr="00140BF9">
        <w:rPr>
          <w:rFonts w:cs="Arial"/>
        </w:rPr>
        <w:t>Order dismissing proceeding—effect</w:t>
      </w:r>
    </w:p>
    <w:p w14:paraId="05017C00" w14:textId="77777777"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14:paraId="24FECF10" w14:textId="77777777" w:rsidR="00D94935" w:rsidRPr="00140BF9" w:rsidRDefault="00D94935" w:rsidP="00D94935">
      <w:pPr>
        <w:pStyle w:val="AmdtsEntryHd"/>
        <w:rPr>
          <w:rFonts w:cs="Arial"/>
        </w:rPr>
      </w:pPr>
      <w:r w:rsidRPr="00140BF9">
        <w:rPr>
          <w:rFonts w:cs="Arial"/>
        </w:rPr>
        <w:t>Orders—joint liability</w:t>
      </w:r>
    </w:p>
    <w:p w14:paraId="5E5A6217" w14:textId="77777777"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14:paraId="4C71FEEC" w14:textId="77777777" w:rsidR="00D94935" w:rsidRPr="00140BF9" w:rsidRDefault="00D94935" w:rsidP="00D94935">
      <w:pPr>
        <w:pStyle w:val="AmdtsEntryHd"/>
        <w:rPr>
          <w:rFonts w:cs="Arial"/>
        </w:rPr>
      </w:pPr>
      <w:r w:rsidRPr="00140BF9">
        <w:rPr>
          <w:rFonts w:cs="Arial"/>
        </w:rPr>
        <w:t>Payment into court—payment of amount paid into court under order</w:t>
      </w:r>
    </w:p>
    <w:p w14:paraId="4C4D7328" w14:textId="77777777"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14:paraId="5247B40D" w14:textId="08C0283F"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53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14:paraId="23D32D7E" w14:textId="77777777" w:rsidR="00D94935" w:rsidRPr="00140BF9" w:rsidRDefault="00D94935" w:rsidP="00D94935">
      <w:pPr>
        <w:pStyle w:val="AmdtsEntryHd"/>
        <w:rPr>
          <w:rFonts w:cs="Arial"/>
        </w:rPr>
      </w:pPr>
      <w:r w:rsidRPr="00140BF9">
        <w:rPr>
          <w:rFonts w:cs="Arial"/>
        </w:rPr>
        <w:t>Payment into court—amount recovered by person with legal disability</w:t>
      </w:r>
    </w:p>
    <w:p w14:paraId="7784FB49" w14:textId="77777777"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14:paraId="43A9086B" w14:textId="4E0812ED"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53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14:paraId="46B4D619" w14:textId="50283FC2"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54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14:paraId="2286662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1908F328" w14:textId="77777777"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14:paraId="0764FFFB" w14:textId="58BA70A2"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54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BCE75F" w14:textId="59E8E2CC" w:rsidR="008F7996" w:rsidRPr="008F7996" w:rsidRDefault="008F7996" w:rsidP="00D94935">
      <w:pPr>
        <w:pStyle w:val="AmdtsEntries"/>
      </w:pPr>
      <w:r>
        <w:rPr>
          <w:rFonts w:eastAsiaTheme="minorEastAsia" w:cs="Arial"/>
          <w:szCs w:val="22"/>
          <w:lang w:eastAsia="en-AU"/>
        </w:rPr>
        <w:tab/>
        <w:t xml:space="preserve">am </w:t>
      </w:r>
      <w:hyperlink r:id="rId1542" w:tooltip="Court Procedures Amendment Rules 2016 (No 1)" w:history="1">
        <w:r>
          <w:rPr>
            <w:rStyle w:val="charCitHyperlinkAbbrev"/>
          </w:rPr>
          <w:t>SL2016</w:t>
        </w:r>
        <w:r>
          <w:rPr>
            <w:rStyle w:val="charCitHyperlinkAbbrev"/>
          </w:rPr>
          <w:noBreakHyphen/>
          <w:t>17</w:t>
        </w:r>
      </w:hyperlink>
      <w:r>
        <w:t xml:space="preserve"> r 4</w:t>
      </w:r>
    </w:p>
    <w:p w14:paraId="12050147" w14:textId="77777777" w:rsidR="008F7996" w:rsidRDefault="008F7996" w:rsidP="00D94935">
      <w:pPr>
        <w:pStyle w:val="AmdtsEntryHd"/>
        <w:rPr>
          <w:rFonts w:cs="Arial"/>
        </w:rPr>
      </w:pPr>
      <w:r w:rsidRPr="00122C29">
        <w:t>Person with mental disability—payment out to public trustee and guardian</w:t>
      </w:r>
    </w:p>
    <w:p w14:paraId="650ECB7F" w14:textId="14861F2C" w:rsidR="008F7996" w:rsidRPr="008F7996" w:rsidRDefault="008F7996" w:rsidP="008F7996">
      <w:pPr>
        <w:pStyle w:val="AmdtsEntries"/>
      </w:pPr>
      <w:r>
        <w:t>r 1618A</w:t>
      </w:r>
      <w:r>
        <w:tab/>
        <w:t xml:space="preserve">ins </w:t>
      </w:r>
      <w:hyperlink r:id="rId1543" w:tooltip="Court Procedures Amendment Rules 2016 (No 1)" w:history="1">
        <w:r>
          <w:rPr>
            <w:rStyle w:val="charCitHyperlinkAbbrev"/>
          </w:rPr>
          <w:t>SL2016</w:t>
        </w:r>
        <w:r>
          <w:rPr>
            <w:rStyle w:val="charCitHyperlinkAbbrev"/>
          </w:rPr>
          <w:noBreakHyphen/>
          <w:t>17</w:t>
        </w:r>
      </w:hyperlink>
      <w:r>
        <w:t xml:space="preserve"> r 5</w:t>
      </w:r>
    </w:p>
    <w:p w14:paraId="03A1A4A7" w14:textId="77777777" w:rsidR="00D94935" w:rsidRPr="00140BF9" w:rsidRDefault="00D94935" w:rsidP="00D94935">
      <w:pPr>
        <w:pStyle w:val="AmdtsEntryHd"/>
        <w:rPr>
          <w:rFonts w:cs="Arial"/>
        </w:rPr>
      </w:pPr>
      <w:r w:rsidRPr="00140BF9">
        <w:rPr>
          <w:rFonts w:cs="Arial"/>
        </w:rPr>
        <w:t>Interest up to judgment</w:t>
      </w:r>
    </w:p>
    <w:p w14:paraId="6B364227" w14:textId="113A9921"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54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14:paraId="1B94C7CF" w14:textId="00CBAF98"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54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35C20A92" w14:textId="77777777" w:rsidR="00D94935" w:rsidRPr="00140BF9" w:rsidRDefault="00D94935" w:rsidP="00A47A62">
      <w:pPr>
        <w:pStyle w:val="AmdtsEntryHd"/>
        <w:rPr>
          <w:rFonts w:cs="Arial"/>
        </w:rPr>
      </w:pPr>
      <w:r w:rsidRPr="00140BF9">
        <w:rPr>
          <w:rFonts w:cs="Arial"/>
        </w:rPr>
        <w:lastRenderedPageBreak/>
        <w:t>Interest after judgment</w:t>
      </w:r>
    </w:p>
    <w:p w14:paraId="701C499E" w14:textId="4DBBE686" w:rsidR="00D94935" w:rsidRPr="00140BF9" w:rsidRDefault="00D94935" w:rsidP="00A47A62">
      <w:pPr>
        <w:pStyle w:val="AmdtsEntries"/>
        <w:keepNext/>
        <w:rPr>
          <w:rFonts w:cs="Arial"/>
        </w:rPr>
      </w:pPr>
      <w:r w:rsidRPr="00140BF9">
        <w:rPr>
          <w:rFonts w:cs="Arial"/>
        </w:rPr>
        <w:t>r 1620</w:t>
      </w:r>
      <w:r w:rsidRPr="00140BF9">
        <w:rPr>
          <w:rFonts w:cs="Arial"/>
        </w:rPr>
        <w:tab/>
        <w:t xml:space="preserve">ins </w:t>
      </w:r>
      <w:hyperlink r:id="rId154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14:paraId="084136A7" w14:textId="369C86A0" w:rsidR="00D94935" w:rsidRDefault="00D94935" w:rsidP="00A47A62">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154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DA48B5" w14:textId="1F0E94D6" w:rsidR="0057401D" w:rsidRPr="00140BF9" w:rsidRDefault="0057401D" w:rsidP="00A47A62">
      <w:pPr>
        <w:pStyle w:val="AmdtsEntries"/>
        <w:keepNext/>
        <w:rPr>
          <w:rFonts w:cs="Arial"/>
        </w:rPr>
      </w:pPr>
      <w:r>
        <w:rPr>
          <w:rFonts w:eastAsiaTheme="minorEastAsia" w:cs="Arial"/>
          <w:szCs w:val="22"/>
          <w:lang w:eastAsia="en-AU"/>
        </w:rPr>
        <w:tab/>
        <w:t xml:space="preserve">am </w:t>
      </w:r>
      <w:hyperlink r:id="rId1548"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549"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14:paraId="79242FC0" w14:textId="77777777" w:rsidR="00D94935" w:rsidRPr="00140BF9" w:rsidRDefault="00D94935" w:rsidP="00D94935">
      <w:pPr>
        <w:pStyle w:val="AmdtsEntryHd"/>
        <w:rPr>
          <w:rFonts w:cs="Arial"/>
        </w:rPr>
      </w:pPr>
      <w:r w:rsidRPr="00140BF9">
        <w:rPr>
          <w:rFonts w:cs="Arial"/>
        </w:rPr>
        <w:t>Judgment for interest only</w:t>
      </w:r>
    </w:p>
    <w:p w14:paraId="7C48DD72" w14:textId="34271A2B"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55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126452A2" w14:textId="77777777" w:rsidR="00D94935" w:rsidRPr="00140BF9" w:rsidRDefault="00D94935" w:rsidP="00D94935">
      <w:pPr>
        <w:pStyle w:val="AmdtsEntryHd"/>
        <w:rPr>
          <w:rFonts w:cs="Arial"/>
        </w:rPr>
      </w:pPr>
      <w:r w:rsidRPr="00140BF9">
        <w:rPr>
          <w:rFonts w:cs="Arial"/>
        </w:rPr>
        <w:t>Interest after judgment—usual order as to interest</w:t>
      </w:r>
    </w:p>
    <w:p w14:paraId="2DC2B9D7" w14:textId="03733D33"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55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22602E4C" w14:textId="77777777" w:rsidR="00D94935" w:rsidRPr="00140BF9" w:rsidRDefault="00D94935" w:rsidP="00D94935">
      <w:pPr>
        <w:pStyle w:val="AmdtsEntryHd"/>
        <w:rPr>
          <w:rFonts w:cs="Arial"/>
        </w:rPr>
      </w:pPr>
      <w:r w:rsidRPr="00140BF9">
        <w:rPr>
          <w:rFonts w:cs="Arial"/>
        </w:rPr>
        <w:t>Change in interest rates up to and after judgment</w:t>
      </w:r>
    </w:p>
    <w:p w14:paraId="5EDCCE22" w14:textId="44D68016"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55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57DCD4DA" w14:textId="77777777" w:rsidR="00D94935" w:rsidRPr="00140BF9" w:rsidRDefault="00D94935" w:rsidP="00D94935">
      <w:pPr>
        <w:pStyle w:val="AmdtsEntryHd"/>
        <w:rPr>
          <w:rFonts w:cs="Arial"/>
        </w:rPr>
      </w:pPr>
      <w:r w:rsidRPr="00140BF9">
        <w:rPr>
          <w:rFonts w:cs="Arial"/>
        </w:rPr>
        <w:t>Definitions—pt 2.17</w:t>
      </w:r>
    </w:p>
    <w:p w14:paraId="4DDE9B9E" w14:textId="77777777"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14:paraId="7004CFDE" w14:textId="3C114978"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5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14:paraId="03A75ED4" w14:textId="77777777" w:rsidR="00D94935" w:rsidRPr="00140BF9" w:rsidRDefault="00D94935" w:rsidP="00D94935">
      <w:pPr>
        <w:pStyle w:val="AmdtsEntryHd"/>
        <w:rPr>
          <w:rFonts w:cs="Arial"/>
        </w:rPr>
      </w:pPr>
      <w:r w:rsidRPr="00140BF9">
        <w:rPr>
          <w:rFonts w:cs="Arial"/>
        </w:rPr>
        <w:t>Costs—general provisions</w:t>
      </w:r>
    </w:p>
    <w:p w14:paraId="46EDA323" w14:textId="77777777"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14:paraId="2598516E" w14:textId="6B0D3583"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55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14:paraId="5F78A906" w14:textId="77777777" w:rsidR="00D94935" w:rsidRPr="00140BF9" w:rsidRDefault="00D94935" w:rsidP="00D94935">
      <w:pPr>
        <w:pStyle w:val="AmdtsEntryHd"/>
        <w:rPr>
          <w:rFonts w:cs="Arial"/>
        </w:rPr>
      </w:pPr>
      <w:r w:rsidRPr="00140BF9">
        <w:rPr>
          <w:rFonts w:cs="Arial"/>
        </w:rPr>
        <w:t>Costs—agreement about costs</w:t>
      </w:r>
    </w:p>
    <w:p w14:paraId="32F930A2" w14:textId="77777777"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14:paraId="1CCB8E72" w14:textId="77777777" w:rsidR="00D94935" w:rsidRPr="00140BF9" w:rsidRDefault="00D94935" w:rsidP="00D94935">
      <w:pPr>
        <w:pStyle w:val="AmdtsEntryHd"/>
        <w:rPr>
          <w:rFonts w:cs="Arial"/>
        </w:rPr>
      </w:pPr>
      <w:r w:rsidRPr="00140BF9">
        <w:rPr>
          <w:rFonts w:cs="Arial"/>
        </w:rPr>
        <w:t>Costs—order against non-party</w:t>
      </w:r>
    </w:p>
    <w:p w14:paraId="48246BDA" w14:textId="77777777"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14:paraId="384A6C21" w14:textId="77777777" w:rsidR="00D94935" w:rsidRPr="00140BF9" w:rsidRDefault="00D94935" w:rsidP="00D94935">
      <w:pPr>
        <w:pStyle w:val="AmdtsEntryHd"/>
        <w:rPr>
          <w:rFonts w:cs="Arial"/>
        </w:rPr>
      </w:pPr>
      <w:r w:rsidRPr="00140BF9">
        <w:rPr>
          <w:rFonts w:cs="Arial"/>
        </w:rPr>
        <w:t>Costs—failure to comply with subpoena etc</w:t>
      </w:r>
    </w:p>
    <w:p w14:paraId="1A22F0FA" w14:textId="77777777"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14:paraId="49836922" w14:textId="77777777" w:rsidR="00D94935" w:rsidRPr="00140BF9" w:rsidRDefault="00D94935" w:rsidP="00D94935">
      <w:pPr>
        <w:pStyle w:val="AmdtsEntryHd"/>
        <w:rPr>
          <w:rFonts w:cs="Arial"/>
        </w:rPr>
      </w:pPr>
      <w:r w:rsidRPr="00140BF9">
        <w:rPr>
          <w:rFonts w:cs="Arial"/>
        </w:rPr>
        <w:t>Costs—for issue or part of proceeding</w:t>
      </w:r>
    </w:p>
    <w:p w14:paraId="51650DAD" w14:textId="77777777"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14:paraId="2CCA74E6" w14:textId="77777777" w:rsidR="00D94935" w:rsidRPr="00140BF9" w:rsidRDefault="00D94935" w:rsidP="00D94935">
      <w:pPr>
        <w:pStyle w:val="AmdtsEntryHd"/>
        <w:rPr>
          <w:rFonts w:cs="Arial"/>
        </w:rPr>
      </w:pPr>
      <w:r w:rsidRPr="00140BF9">
        <w:rPr>
          <w:rFonts w:cs="Arial"/>
        </w:rPr>
        <w:t>Costs—if unnecessary to continue proceeding</w:t>
      </w:r>
    </w:p>
    <w:p w14:paraId="6DF3673B" w14:textId="77777777"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14:paraId="2DCC2DCF" w14:textId="77777777" w:rsidR="00D94935" w:rsidRPr="00140BF9" w:rsidRDefault="00D94935" w:rsidP="00D94935">
      <w:pPr>
        <w:pStyle w:val="AmdtsEntryHd"/>
        <w:rPr>
          <w:rFonts w:cs="Arial"/>
        </w:rPr>
      </w:pPr>
      <w:r w:rsidRPr="00140BF9">
        <w:rPr>
          <w:rFonts w:cs="Arial"/>
        </w:rPr>
        <w:t>Costs—proceeding removed to another court</w:t>
      </w:r>
    </w:p>
    <w:p w14:paraId="0D061CEB" w14:textId="77777777"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14:paraId="3E90181F" w14:textId="77777777" w:rsidR="00D94935" w:rsidRPr="00140BF9" w:rsidRDefault="00D94935" w:rsidP="00D94935">
      <w:pPr>
        <w:pStyle w:val="AmdtsEntryHd"/>
        <w:rPr>
          <w:rFonts w:cs="Arial"/>
        </w:rPr>
      </w:pPr>
      <w:r w:rsidRPr="00140BF9">
        <w:rPr>
          <w:rFonts w:cs="Arial"/>
        </w:rPr>
        <w:t>Costs—in account</w:t>
      </w:r>
    </w:p>
    <w:p w14:paraId="38FA324E" w14:textId="77777777"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14:paraId="7168BA64" w14:textId="77777777" w:rsidR="00D94935" w:rsidRPr="00140BF9" w:rsidRDefault="00D94935" w:rsidP="00D94935">
      <w:pPr>
        <w:pStyle w:val="AmdtsEntryHd"/>
        <w:rPr>
          <w:rFonts w:cs="Arial"/>
        </w:rPr>
      </w:pPr>
      <w:r w:rsidRPr="00140BF9">
        <w:rPr>
          <w:rFonts w:cs="Arial"/>
        </w:rPr>
        <w:t>Costs—entitlement to recover</w:t>
      </w:r>
    </w:p>
    <w:p w14:paraId="59C38949" w14:textId="77777777"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14:paraId="3D769235" w14:textId="77777777" w:rsidR="00D94935" w:rsidRPr="00140BF9" w:rsidRDefault="00D94935" w:rsidP="00D94935">
      <w:pPr>
        <w:pStyle w:val="AmdtsEntryHd"/>
        <w:rPr>
          <w:rFonts w:cs="Arial"/>
        </w:rPr>
      </w:pPr>
      <w:r w:rsidRPr="00140BF9">
        <w:rPr>
          <w:rFonts w:cs="Arial"/>
        </w:rPr>
        <w:t>Costs—general rule</w:t>
      </w:r>
    </w:p>
    <w:p w14:paraId="08D3C92F" w14:textId="77777777"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14:paraId="3FD9BFF4" w14:textId="25BEDF41"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55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14:paraId="1FA5D01B" w14:textId="77777777" w:rsidR="00D94935" w:rsidRPr="00140BF9" w:rsidRDefault="00D94935" w:rsidP="00D94935">
      <w:pPr>
        <w:pStyle w:val="AmdtsEntryHd"/>
        <w:rPr>
          <w:rFonts w:cs="Arial"/>
        </w:rPr>
      </w:pPr>
      <w:r w:rsidRPr="00140BF9">
        <w:rPr>
          <w:rFonts w:cs="Arial"/>
        </w:rPr>
        <w:t>Costs—solicitors’ costs generally</w:t>
      </w:r>
    </w:p>
    <w:p w14:paraId="372D54D4" w14:textId="77777777"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14:paraId="611C2B9F" w14:textId="3EAC7820"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55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55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14:paraId="10C24E1A" w14:textId="77777777" w:rsidR="00D94935" w:rsidRPr="00140BF9" w:rsidRDefault="00D94935" w:rsidP="00D94935">
      <w:pPr>
        <w:pStyle w:val="AmdtsEntryHd"/>
        <w:rPr>
          <w:rFonts w:cs="Arial"/>
        </w:rPr>
      </w:pPr>
      <w:r w:rsidRPr="00140BF9">
        <w:rPr>
          <w:rFonts w:cs="Arial"/>
        </w:rPr>
        <w:lastRenderedPageBreak/>
        <w:t>Costs—</w:t>
      </w:r>
      <w:r w:rsidRPr="00140BF9">
        <w:rPr>
          <w:rStyle w:val="charItals"/>
          <w:rFonts w:cs="Arial"/>
        </w:rPr>
        <w:t>relevant amount</w:t>
      </w:r>
      <w:r w:rsidRPr="00140BF9">
        <w:rPr>
          <w:rFonts w:cs="Arial"/>
        </w:rPr>
        <w:t xml:space="preserve"> for Magistrates Court proceedings</w:t>
      </w:r>
    </w:p>
    <w:p w14:paraId="093AFF09" w14:textId="77777777"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14:paraId="3756A99A" w14:textId="77777777" w:rsidR="00D94935" w:rsidRPr="00140BF9" w:rsidRDefault="00D94935" w:rsidP="00D94935">
      <w:pPr>
        <w:pStyle w:val="AmdtsEntryHd"/>
        <w:rPr>
          <w:rFonts w:cs="Arial"/>
        </w:rPr>
      </w:pPr>
      <w:r w:rsidRPr="00140BF9">
        <w:rPr>
          <w:rFonts w:cs="Arial"/>
        </w:rPr>
        <w:t>Solicitors’ costs—separate judgments against defendants in Magistrates Court</w:t>
      </w:r>
    </w:p>
    <w:p w14:paraId="12B54EAB" w14:textId="77777777"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14:paraId="5097A1CE" w14:textId="77777777"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14:paraId="642731B4" w14:textId="1EDFE8BC"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55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14:paraId="4EAAA660" w14:textId="77777777" w:rsidR="00D94935" w:rsidRPr="00140BF9" w:rsidRDefault="00D94935" w:rsidP="00D94935">
      <w:pPr>
        <w:pStyle w:val="AmdtsEntryHd"/>
        <w:rPr>
          <w:rFonts w:cs="Arial"/>
        </w:rPr>
      </w:pPr>
      <w:r w:rsidRPr="00140BF9">
        <w:rPr>
          <w:rFonts w:cs="Arial"/>
        </w:rPr>
        <w:t>Costs—amendment of documents</w:t>
      </w:r>
    </w:p>
    <w:p w14:paraId="03BD7E81" w14:textId="77777777"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14:paraId="17AAD53C" w14:textId="77777777" w:rsidR="00D94935" w:rsidRPr="00140BF9" w:rsidRDefault="00D94935" w:rsidP="00D94935">
      <w:pPr>
        <w:pStyle w:val="AmdtsEntryHd"/>
        <w:rPr>
          <w:rFonts w:cs="Arial"/>
        </w:rPr>
      </w:pPr>
      <w:r w:rsidRPr="00140BF9">
        <w:rPr>
          <w:rFonts w:cs="Arial"/>
        </w:rPr>
        <w:t>Costs—party not interested in application</w:t>
      </w:r>
    </w:p>
    <w:p w14:paraId="0FC32562" w14:textId="77777777"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14:paraId="4C7DD81F" w14:textId="77777777" w:rsidR="00D94935" w:rsidRPr="00140BF9" w:rsidRDefault="00D94935" w:rsidP="00D94935">
      <w:pPr>
        <w:pStyle w:val="AmdtsEntryHd"/>
        <w:rPr>
          <w:rFonts w:cs="Arial"/>
        </w:rPr>
      </w:pPr>
      <w:r w:rsidRPr="00140BF9">
        <w:rPr>
          <w:rFonts w:cs="Arial"/>
        </w:rPr>
        <w:t>Costs—for application reserved</w:t>
      </w:r>
    </w:p>
    <w:p w14:paraId="12D90DF5" w14:textId="77777777"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14:paraId="2BF92AAD" w14:textId="77777777" w:rsidR="00D94935" w:rsidRPr="00140BF9" w:rsidRDefault="00D94935" w:rsidP="00D94935">
      <w:pPr>
        <w:pStyle w:val="AmdtsEntryHd"/>
        <w:rPr>
          <w:rFonts w:cs="Arial"/>
        </w:rPr>
      </w:pPr>
      <w:r w:rsidRPr="00140BF9">
        <w:rPr>
          <w:rFonts w:cs="Arial"/>
        </w:rPr>
        <w:t>Costs—extending or shortening time</w:t>
      </w:r>
    </w:p>
    <w:p w14:paraId="10E6EAF1" w14:textId="77777777"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14:paraId="05CFECF5" w14:textId="77777777" w:rsidR="00D94935" w:rsidRPr="00140BF9" w:rsidRDefault="00D94935" w:rsidP="00D94935">
      <w:pPr>
        <w:pStyle w:val="AmdtsEntryHd"/>
        <w:rPr>
          <w:rFonts w:cs="Arial"/>
        </w:rPr>
      </w:pPr>
      <w:r w:rsidRPr="00140BF9">
        <w:rPr>
          <w:rFonts w:cs="Arial"/>
        </w:rPr>
        <w:t>Costs—inquiry to find person entitled to property</w:t>
      </w:r>
    </w:p>
    <w:p w14:paraId="14C21879" w14:textId="77777777"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14:paraId="75318689" w14:textId="77777777" w:rsidR="00D94935" w:rsidRPr="00140BF9" w:rsidRDefault="00D94935" w:rsidP="00D94935">
      <w:pPr>
        <w:pStyle w:val="AmdtsEntryHd"/>
        <w:rPr>
          <w:rFonts w:cs="Arial"/>
        </w:rPr>
      </w:pPr>
      <w:r w:rsidRPr="00140BF9">
        <w:rPr>
          <w:rFonts w:cs="Arial"/>
        </w:rPr>
        <w:t>Costs—assessment of receiver’s costs</w:t>
      </w:r>
    </w:p>
    <w:p w14:paraId="080338E6" w14:textId="77777777"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14:paraId="7EAA7E3B" w14:textId="77777777" w:rsidR="00D94935" w:rsidRPr="00140BF9" w:rsidRDefault="00D94935" w:rsidP="00D94935">
      <w:pPr>
        <w:pStyle w:val="AmdtsEntryHd"/>
        <w:rPr>
          <w:rFonts w:cs="Arial"/>
        </w:rPr>
      </w:pPr>
      <w:r w:rsidRPr="00140BF9">
        <w:rPr>
          <w:rFonts w:cs="Arial"/>
        </w:rPr>
        <w:t>Costs—trustee</w:t>
      </w:r>
    </w:p>
    <w:p w14:paraId="6DB9A3DA" w14:textId="77777777"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14:paraId="05CFDD4E" w14:textId="77777777" w:rsidR="00D94935" w:rsidRPr="00140BF9" w:rsidRDefault="00D94935" w:rsidP="00D94935">
      <w:pPr>
        <w:pStyle w:val="AmdtsEntryHd"/>
        <w:rPr>
          <w:rFonts w:cs="Arial"/>
        </w:rPr>
      </w:pPr>
      <w:r w:rsidRPr="00140BF9">
        <w:rPr>
          <w:rFonts w:cs="Arial"/>
        </w:rPr>
        <w:t>Costs—solicitor appointed litigation guardian</w:t>
      </w:r>
    </w:p>
    <w:p w14:paraId="1269BD99" w14:textId="77777777"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14:paraId="7D9B5C43" w14:textId="77777777" w:rsidR="00D94935" w:rsidRPr="00140BF9" w:rsidRDefault="00D94935" w:rsidP="00D94935">
      <w:pPr>
        <w:pStyle w:val="AmdtsEntryHd"/>
        <w:rPr>
          <w:rFonts w:cs="Arial"/>
        </w:rPr>
      </w:pPr>
      <w:r w:rsidRPr="00140BF9">
        <w:rPr>
          <w:rFonts w:cs="Arial"/>
        </w:rPr>
        <w:t>Costs—assessment costs</w:t>
      </w:r>
    </w:p>
    <w:p w14:paraId="4C2F73B2" w14:textId="77777777"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14:paraId="53764928" w14:textId="77777777" w:rsidR="00D94935" w:rsidRPr="00140BF9" w:rsidRDefault="00D94935" w:rsidP="00D94935">
      <w:pPr>
        <w:pStyle w:val="AmdtsEntryHd"/>
        <w:rPr>
          <w:rFonts w:cs="Arial"/>
        </w:rPr>
      </w:pPr>
      <w:r w:rsidRPr="00140BF9">
        <w:rPr>
          <w:rFonts w:cs="Arial"/>
        </w:rPr>
        <w:t>Costs—counsel’s advice and settling documents</w:t>
      </w:r>
    </w:p>
    <w:p w14:paraId="7BE16708" w14:textId="77777777"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14:paraId="113AA681" w14:textId="77777777" w:rsidR="00D94935" w:rsidRPr="00140BF9" w:rsidRDefault="00D94935" w:rsidP="00D94935">
      <w:pPr>
        <w:pStyle w:val="AmdtsEntryHd"/>
        <w:rPr>
          <w:rFonts w:cs="Arial"/>
        </w:rPr>
      </w:pPr>
      <w:r w:rsidRPr="00140BF9">
        <w:rPr>
          <w:rFonts w:cs="Arial"/>
        </w:rPr>
        <w:t>Costs—evidence</w:t>
      </w:r>
    </w:p>
    <w:p w14:paraId="12125B70" w14:textId="77777777"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14:paraId="654A907B" w14:textId="77777777" w:rsidR="00D94935" w:rsidRPr="00140BF9" w:rsidRDefault="00D94935" w:rsidP="00D94935">
      <w:pPr>
        <w:pStyle w:val="AmdtsEntryHd"/>
        <w:rPr>
          <w:rFonts w:cs="Arial"/>
        </w:rPr>
      </w:pPr>
      <w:r w:rsidRPr="00140BF9">
        <w:rPr>
          <w:rFonts w:cs="Arial"/>
        </w:rPr>
        <w:t>Costs—solicitor advocate</w:t>
      </w:r>
    </w:p>
    <w:p w14:paraId="7895B2BF" w14:textId="77777777"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14:paraId="21F73117" w14:textId="77777777" w:rsidR="00D94935" w:rsidRPr="00140BF9" w:rsidRDefault="00D94935" w:rsidP="00D94935">
      <w:pPr>
        <w:pStyle w:val="AmdtsEntryHd"/>
        <w:rPr>
          <w:rFonts w:cs="Arial"/>
        </w:rPr>
      </w:pPr>
      <w:r w:rsidRPr="00140BF9">
        <w:rPr>
          <w:rFonts w:cs="Arial"/>
        </w:rPr>
        <w:t>Costs—retainer for counsel</w:t>
      </w:r>
    </w:p>
    <w:p w14:paraId="232301D2" w14:textId="77777777"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14:paraId="11098D30" w14:textId="77777777" w:rsidR="00D94935" w:rsidRPr="00140BF9" w:rsidRDefault="00D94935" w:rsidP="00D94935">
      <w:pPr>
        <w:pStyle w:val="AmdtsEntryHd"/>
        <w:rPr>
          <w:rFonts w:cs="Arial"/>
        </w:rPr>
      </w:pPr>
      <w:r w:rsidRPr="00140BF9">
        <w:rPr>
          <w:rFonts w:cs="Arial"/>
        </w:rPr>
        <w:t>Costs—counsel’s fees for applications</w:t>
      </w:r>
    </w:p>
    <w:p w14:paraId="367A313F" w14:textId="77777777"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14:paraId="08C00A51" w14:textId="77777777" w:rsidR="00D94935" w:rsidRPr="00140BF9" w:rsidRDefault="00D94935" w:rsidP="00D94935">
      <w:pPr>
        <w:pStyle w:val="AmdtsEntryHd"/>
        <w:rPr>
          <w:rFonts w:cs="Arial"/>
        </w:rPr>
      </w:pPr>
      <w:r w:rsidRPr="00140BF9">
        <w:rPr>
          <w:rFonts w:cs="Arial"/>
        </w:rPr>
        <w:t>Costs—fixed costs for winding-up application</w:t>
      </w:r>
    </w:p>
    <w:p w14:paraId="4A588364" w14:textId="31BEFFBC"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55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14:paraId="40B5757C" w14:textId="77777777" w:rsidR="00D94935" w:rsidRPr="00140BF9" w:rsidRDefault="00D94935" w:rsidP="00D94935">
      <w:pPr>
        <w:pStyle w:val="AmdtsEntryHd"/>
        <w:rPr>
          <w:rFonts w:cs="Arial"/>
        </w:rPr>
      </w:pPr>
      <w:r w:rsidRPr="00140BF9">
        <w:rPr>
          <w:rFonts w:cs="Arial"/>
        </w:rPr>
        <w:lastRenderedPageBreak/>
        <w:t>Costs—fixed costs for enforcement order</w:t>
      </w:r>
    </w:p>
    <w:p w14:paraId="0C68EDF1" w14:textId="6255B28A"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6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14:paraId="307CEC80" w14:textId="77777777" w:rsidR="00D94935" w:rsidRPr="00140BF9" w:rsidRDefault="00D94935" w:rsidP="00D94935">
      <w:pPr>
        <w:pStyle w:val="AmdtsEntryHd"/>
        <w:rPr>
          <w:rFonts w:cs="Arial"/>
        </w:rPr>
      </w:pPr>
      <w:r w:rsidRPr="00140BF9">
        <w:rPr>
          <w:rFonts w:cs="Arial"/>
        </w:rPr>
        <w:t>Application—div 2.17.3</w:t>
      </w:r>
    </w:p>
    <w:p w14:paraId="4389BBF2" w14:textId="77777777"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14:paraId="15FC1DC4" w14:textId="77777777" w:rsidR="00D94935" w:rsidRPr="00140BF9" w:rsidRDefault="00D94935" w:rsidP="00D94935">
      <w:pPr>
        <w:pStyle w:val="AmdtsEntryHd"/>
        <w:rPr>
          <w:rFonts w:cs="Arial"/>
        </w:rPr>
      </w:pPr>
      <w:r w:rsidRPr="00140BF9">
        <w:rPr>
          <w:rFonts w:cs="Arial"/>
        </w:rPr>
        <w:t>Costs—assessed on party and party basis</w:t>
      </w:r>
    </w:p>
    <w:p w14:paraId="040E9C6F" w14:textId="77777777"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14:paraId="3F93F297" w14:textId="77777777" w:rsidR="00D94935" w:rsidRPr="00140BF9" w:rsidRDefault="00D94935" w:rsidP="00D94935">
      <w:pPr>
        <w:pStyle w:val="AmdtsEntryHd"/>
        <w:rPr>
          <w:rFonts w:cs="Arial"/>
        </w:rPr>
      </w:pPr>
      <w:r w:rsidRPr="00140BF9">
        <w:rPr>
          <w:rFonts w:cs="Arial"/>
        </w:rPr>
        <w:t>Costs—assessed on solicitor and client etc basis</w:t>
      </w:r>
    </w:p>
    <w:p w14:paraId="29CE6166" w14:textId="77777777"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14:paraId="6D7B5806" w14:textId="77777777" w:rsidR="00D94935" w:rsidRPr="00140BF9" w:rsidRDefault="00D94935" w:rsidP="00D94935">
      <w:pPr>
        <w:pStyle w:val="AmdtsEntryHd"/>
        <w:rPr>
          <w:rFonts w:cs="Arial"/>
        </w:rPr>
      </w:pPr>
      <w:r w:rsidRPr="00140BF9">
        <w:rPr>
          <w:rFonts w:cs="Arial"/>
        </w:rPr>
        <w:t>Costs—legal practitioner’s delay etc</w:t>
      </w:r>
    </w:p>
    <w:p w14:paraId="2FECD372" w14:textId="77777777"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14:paraId="2B787A3B" w14:textId="77777777" w:rsidR="00D94935" w:rsidRPr="00140BF9" w:rsidRDefault="00D94935" w:rsidP="00D94935">
      <w:pPr>
        <w:pStyle w:val="AmdtsEntryHd"/>
        <w:rPr>
          <w:rFonts w:cs="Arial"/>
        </w:rPr>
      </w:pPr>
      <w:r w:rsidRPr="00140BF9">
        <w:rPr>
          <w:rFonts w:cs="Arial"/>
        </w:rPr>
        <w:t>Costs—disallowance of costs for vexatious document etc</w:t>
      </w:r>
    </w:p>
    <w:p w14:paraId="47F5FDA7" w14:textId="77777777"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14:paraId="4310CFCD" w14:textId="77777777" w:rsidR="00D94935" w:rsidRPr="00140BF9" w:rsidRDefault="00D94935" w:rsidP="00D94935">
      <w:pPr>
        <w:pStyle w:val="AmdtsEntryHd"/>
        <w:rPr>
          <w:rFonts w:cs="Arial"/>
        </w:rPr>
      </w:pPr>
      <w:r w:rsidRPr="00140BF9">
        <w:rPr>
          <w:rFonts w:cs="Arial"/>
        </w:rPr>
        <w:t>Costs—registrar’s general powers</w:t>
      </w:r>
    </w:p>
    <w:p w14:paraId="7700C708" w14:textId="77777777"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14:paraId="73E07CC2" w14:textId="77777777" w:rsidR="00D94935" w:rsidRPr="00140BF9" w:rsidRDefault="00D94935" w:rsidP="00D94935">
      <w:pPr>
        <w:pStyle w:val="AmdtsEntryHd"/>
        <w:rPr>
          <w:rFonts w:cs="Arial"/>
        </w:rPr>
      </w:pPr>
      <w:r w:rsidRPr="00140BF9">
        <w:rPr>
          <w:rFonts w:cs="Arial"/>
        </w:rPr>
        <w:t>Costs—registrar’s discretion in assessing</w:t>
      </w:r>
    </w:p>
    <w:p w14:paraId="061F0C40" w14:textId="77777777"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14:paraId="7025AAC5" w14:textId="77777777" w:rsidR="00D94935" w:rsidRPr="00140BF9" w:rsidRDefault="00D94935" w:rsidP="00D94935">
      <w:pPr>
        <w:pStyle w:val="AmdtsEntryHd"/>
        <w:rPr>
          <w:rFonts w:cs="Arial"/>
        </w:rPr>
      </w:pPr>
      <w:r w:rsidRPr="00140BF9">
        <w:rPr>
          <w:rFonts w:cs="Arial"/>
        </w:rPr>
        <w:t>Costs—when bill of costs to be filed etc</w:t>
      </w:r>
    </w:p>
    <w:p w14:paraId="70153842" w14:textId="77777777"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14:paraId="791C1D01" w14:textId="77777777" w:rsidR="00D94935" w:rsidRPr="00140BF9" w:rsidRDefault="00D94935" w:rsidP="00D94935">
      <w:pPr>
        <w:pStyle w:val="AmdtsEntryHd"/>
        <w:rPr>
          <w:rFonts w:cs="Arial"/>
        </w:rPr>
      </w:pPr>
      <w:r w:rsidRPr="00140BF9">
        <w:rPr>
          <w:rFonts w:cs="Arial"/>
        </w:rPr>
        <w:t>Costs—if costs out of fund bill to be sent to clients</w:t>
      </w:r>
    </w:p>
    <w:p w14:paraId="4691B842" w14:textId="77777777"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14:paraId="5F56906B" w14:textId="77777777" w:rsidR="00D94935" w:rsidRPr="00140BF9" w:rsidRDefault="00D94935" w:rsidP="00D94935">
      <w:pPr>
        <w:pStyle w:val="AmdtsEntryHd"/>
        <w:rPr>
          <w:rFonts w:cs="Arial"/>
        </w:rPr>
      </w:pPr>
      <w:r w:rsidRPr="00140BF9">
        <w:rPr>
          <w:rFonts w:cs="Arial"/>
        </w:rPr>
        <w:t>Costs—content of bill of costs</w:t>
      </w:r>
    </w:p>
    <w:p w14:paraId="16EF4DE9" w14:textId="77777777"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14:paraId="758CB2D7" w14:textId="77777777" w:rsidR="00D94935" w:rsidRPr="00140BF9" w:rsidRDefault="00D94935" w:rsidP="00D94935">
      <w:pPr>
        <w:pStyle w:val="AmdtsEntryHd"/>
        <w:rPr>
          <w:rFonts w:cs="Arial"/>
        </w:rPr>
      </w:pPr>
      <w:r w:rsidRPr="00140BF9">
        <w:rPr>
          <w:rFonts w:cs="Arial"/>
        </w:rPr>
        <w:t>Costs—failure to file and serve bill of costs</w:t>
      </w:r>
    </w:p>
    <w:p w14:paraId="31B5E216" w14:textId="77777777"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14:paraId="29AF22C3" w14:textId="77777777" w:rsidR="00D94935" w:rsidRPr="00140BF9" w:rsidRDefault="00D94935" w:rsidP="00D94935">
      <w:pPr>
        <w:pStyle w:val="AmdtsEntryHd"/>
        <w:rPr>
          <w:rFonts w:cs="Arial"/>
        </w:rPr>
      </w:pPr>
      <w:r w:rsidRPr="00140BF9">
        <w:rPr>
          <w:rFonts w:cs="Arial"/>
        </w:rPr>
        <w:t>Costs—payment of disbursements</w:t>
      </w:r>
    </w:p>
    <w:p w14:paraId="3ED5523B" w14:textId="77777777"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14:paraId="18C06E8A" w14:textId="77777777" w:rsidR="00D94935" w:rsidRPr="00140BF9" w:rsidRDefault="00D94935" w:rsidP="00D94935">
      <w:pPr>
        <w:pStyle w:val="AmdtsEntryHd"/>
        <w:rPr>
          <w:rFonts w:cs="Arial"/>
        </w:rPr>
      </w:pPr>
      <w:r w:rsidRPr="00140BF9">
        <w:rPr>
          <w:rFonts w:cs="Arial"/>
        </w:rPr>
        <w:t>Costs—professional charges and disbursements</w:t>
      </w:r>
    </w:p>
    <w:p w14:paraId="295D5417" w14:textId="77777777"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14:paraId="7C6FB36B" w14:textId="77777777" w:rsidR="00D94935" w:rsidRPr="00140BF9" w:rsidRDefault="00D94935" w:rsidP="00D94935">
      <w:pPr>
        <w:pStyle w:val="AmdtsEntryHd"/>
        <w:rPr>
          <w:rFonts w:cs="Arial"/>
        </w:rPr>
      </w:pPr>
      <w:r w:rsidRPr="00140BF9">
        <w:rPr>
          <w:rFonts w:cs="Arial"/>
        </w:rPr>
        <w:t>Costs—amendment and withdrawal of bill of costs</w:t>
      </w:r>
    </w:p>
    <w:p w14:paraId="6443117F" w14:textId="77777777"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14:paraId="7C031843" w14:textId="77777777" w:rsidR="00D94935" w:rsidRPr="00140BF9" w:rsidRDefault="00D94935" w:rsidP="00D94935">
      <w:pPr>
        <w:pStyle w:val="AmdtsEntryHd"/>
        <w:rPr>
          <w:rFonts w:cs="Arial"/>
        </w:rPr>
      </w:pPr>
      <w:r w:rsidRPr="00140BF9">
        <w:rPr>
          <w:rFonts w:cs="Arial"/>
        </w:rPr>
        <w:t>Costs—notice of objection to bill of costs</w:t>
      </w:r>
    </w:p>
    <w:p w14:paraId="1DC6CE75" w14:textId="77777777"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14:paraId="6EEB2BC1" w14:textId="77777777" w:rsidR="00D94935" w:rsidRPr="00140BF9" w:rsidRDefault="00D94935" w:rsidP="00D94935">
      <w:pPr>
        <w:pStyle w:val="AmdtsEntryHd"/>
        <w:rPr>
          <w:rFonts w:cs="Arial"/>
        </w:rPr>
      </w:pPr>
      <w:r w:rsidRPr="00140BF9">
        <w:rPr>
          <w:rFonts w:cs="Arial"/>
        </w:rPr>
        <w:t>Costs—assessment must be limited</w:t>
      </w:r>
    </w:p>
    <w:p w14:paraId="4EFA6F5E" w14:textId="77777777"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14:paraId="788F447C" w14:textId="77777777" w:rsidR="00D94935" w:rsidRPr="00140BF9" w:rsidRDefault="00D94935" w:rsidP="00D94935">
      <w:pPr>
        <w:pStyle w:val="AmdtsEntryHd"/>
        <w:rPr>
          <w:rFonts w:cs="Arial"/>
        </w:rPr>
      </w:pPr>
      <w:r w:rsidRPr="00140BF9">
        <w:rPr>
          <w:rFonts w:cs="Arial"/>
        </w:rPr>
        <w:t>Costs—default assessment if no objection to bill of costs</w:t>
      </w:r>
    </w:p>
    <w:p w14:paraId="2B4332FF" w14:textId="77777777"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14:paraId="4C08347B" w14:textId="77777777" w:rsidR="00D94935" w:rsidRPr="00140BF9" w:rsidRDefault="00D94935" w:rsidP="00D94935">
      <w:pPr>
        <w:pStyle w:val="AmdtsEntryHd"/>
        <w:rPr>
          <w:rFonts w:cs="Arial"/>
        </w:rPr>
      </w:pPr>
      <w:r w:rsidRPr="00140BF9">
        <w:rPr>
          <w:rFonts w:cs="Arial"/>
        </w:rPr>
        <w:lastRenderedPageBreak/>
        <w:t>Costs—setting aside default assessment</w:t>
      </w:r>
    </w:p>
    <w:p w14:paraId="71D23656" w14:textId="77777777"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14:paraId="287B7169" w14:textId="77777777" w:rsidR="00D94935" w:rsidRPr="00140BF9" w:rsidRDefault="00D94935" w:rsidP="00D94935">
      <w:pPr>
        <w:pStyle w:val="AmdtsEntryHd"/>
        <w:rPr>
          <w:rFonts w:cs="Arial"/>
        </w:rPr>
      </w:pPr>
      <w:r w:rsidRPr="00140BF9">
        <w:rPr>
          <w:rFonts w:cs="Arial"/>
        </w:rPr>
        <w:t>Costs—offer to settle</w:t>
      </w:r>
    </w:p>
    <w:p w14:paraId="22BA9FD7" w14:textId="77777777"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14:paraId="6C92B4A6" w14:textId="77777777" w:rsidR="00D94935" w:rsidRPr="00140BF9" w:rsidRDefault="00D94935" w:rsidP="00D94935">
      <w:pPr>
        <w:pStyle w:val="AmdtsEntryHd"/>
        <w:rPr>
          <w:rFonts w:cs="Arial"/>
        </w:rPr>
      </w:pPr>
      <w:r w:rsidRPr="00140BF9">
        <w:rPr>
          <w:rFonts w:cs="Arial"/>
        </w:rPr>
        <w:t>Costs—acceptance of offer to settle</w:t>
      </w:r>
    </w:p>
    <w:p w14:paraId="53293153" w14:textId="77777777"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14:paraId="6E562214" w14:textId="77777777" w:rsidR="00D94935" w:rsidRPr="00140BF9" w:rsidRDefault="00D94935" w:rsidP="00D94935">
      <w:pPr>
        <w:pStyle w:val="AmdtsEntryHd"/>
        <w:rPr>
          <w:rFonts w:cs="Arial"/>
        </w:rPr>
      </w:pPr>
      <w:r w:rsidRPr="00140BF9">
        <w:rPr>
          <w:rFonts w:cs="Arial"/>
        </w:rPr>
        <w:t>Costs—rejection of offer to settle</w:t>
      </w:r>
    </w:p>
    <w:p w14:paraId="79664CCD" w14:textId="77777777"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14:paraId="649D5845" w14:textId="77777777" w:rsidR="00D94935" w:rsidRPr="00140BF9" w:rsidRDefault="00D94935" w:rsidP="00D94935">
      <w:pPr>
        <w:pStyle w:val="AmdtsEntryHd"/>
        <w:rPr>
          <w:rFonts w:cs="Arial"/>
        </w:rPr>
      </w:pPr>
      <w:r w:rsidRPr="00140BF9">
        <w:rPr>
          <w:rFonts w:cs="Arial"/>
        </w:rPr>
        <w:t>Costs—Calderbank offer to settle</w:t>
      </w:r>
    </w:p>
    <w:p w14:paraId="03503C64" w14:textId="3BB4C5BF"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6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14:paraId="38297C54" w14:textId="77777777" w:rsidR="00D94935" w:rsidRPr="00140BF9" w:rsidRDefault="00D94935" w:rsidP="00D94935">
      <w:pPr>
        <w:pStyle w:val="AmdtsEntryHd"/>
        <w:rPr>
          <w:rFonts w:cs="Arial"/>
        </w:rPr>
      </w:pPr>
      <w:r w:rsidRPr="00140BF9">
        <w:rPr>
          <w:rFonts w:cs="Arial"/>
        </w:rPr>
        <w:t>Costs—attendance of parties at assessment</w:t>
      </w:r>
    </w:p>
    <w:p w14:paraId="2A937E9B" w14:textId="77777777"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14:paraId="776CD3DA" w14:textId="77777777" w:rsidR="00D94935" w:rsidRPr="00140BF9" w:rsidRDefault="00D94935" w:rsidP="00D94935">
      <w:pPr>
        <w:pStyle w:val="AmdtsEntryHd"/>
        <w:rPr>
          <w:rFonts w:cs="Arial"/>
        </w:rPr>
      </w:pPr>
      <w:r w:rsidRPr="00140BF9">
        <w:rPr>
          <w:rFonts w:cs="Arial"/>
        </w:rPr>
        <w:t>Costs—notice of adjournment of assessment</w:t>
      </w:r>
    </w:p>
    <w:p w14:paraId="25084058" w14:textId="77777777"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14:paraId="4899240B" w14:textId="77777777" w:rsidR="00D94935" w:rsidRPr="00140BF9" w:rsidRDefault="00D94935" w:rsidP="00D94935">
      <w:pPr>
        <w:pStyle w:val="AmdtsEntryHd"/>
        <w:rPr>
          <w:rFonts w:cs="Arial"/>
        </w:rPr>
      </w:pPr>
      <w:r w:rsidRPr="00140BF9">
        <w:rPr>
          <w:rFonts w:cs="Arial"/>
        </w:rPr>
        <w:t>Costs—delay before registrar etc</w:t>
      </w:r>
    </w:p>
    <w:p w14:paraId="36089D0D" w14:textId="77777777"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14:paraId="037DDA83" w14:textId="77777777" w:rsidR="00D94935" w:rsidRPr="00140BF9" w:rsidRDefault="00D94935" w:rsidP="00D94935">
      <w:pPr>
        <w:pStyle w:val="AmdtsEntryHd"/>
        <w:rPr>
          <w:rFonts w:cs="Arial"/>
        </w:rPr>
      </w:pPr>
      <w:r w:rsidRPr="00140BF9">
        <w:rPr>
          <w:rFonts w:cs="Arial"/>
        </w:rPr>
        <w:t>Costs—set off of costs</w:t>
      </w:r>
    </w:p>
    <w:p w14:paraId="0E347E74" w14:textId="77777777"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14:paraId="0EE3D7B9" w14:textId="77777777" w:rsidR="00D94935" w:rsidRPr="00140BF9" w:rsidRDefault="00D94935" w:rsidP="00D94935">
      <w:pPr>
        <w:pStyle w:val="AmdtsEntryHd"/>
        <w:rPr>
          <w:rFonts w:cs="Arial"/>
        </w:rPr>
      </w:pPr>
      <w:r w:rsidRPr="00140BF9">
        <w:rPr>
          <w:rFonts w:cs="Arial"/>
        </w:rPr>
        <w:t>Costs—bill of costs reduced by 15% or more</w:t>
      </w:r>
    </w:p>
    <w:p w14:paraId="55D794CB" w14:textId="77777777"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14:paraId="4A741F9D" w14:textId="77777777" w:rsidR="00D94935" w:rsidRPr="00140BF9" w:rsidRDefault="00D94935" w:rsidP="00D94935">
      <w:pPr>
        <w:pStyle w:val="AmdtsEntryHd"/>
        <w:rPr>
          <w:rFonts w:cs="Arial"/>
        </w:rPr>
      </w:pPr>
      <w:r w:rsidRPr="00140BF9">
        <w:rPr>
          <w:rFonts w:cs="Arial"/>
        </w:rPr>
        <w:t>Costs—registrar’s certificate of assessment</w:t>
      </w:r>
    </w:p>
    <w:p w14:paraId="63EDAB24" w14:textId="77777777"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14:paraId="2FCB6D81" w14:textId="77777777" w:rsidR="00D94935" w:rsidRPr="00140BF9" w:rsidRDefault="00D94935" w:rsidP="00D94935">
      <w:pPr>
        <w:pStyle w:val="AmdtsEntryHd"/>
        <w:rPr>
          <w:rFonts w:cs="Arial"/>
        </w:rPr>
      </w:pPr>
      <w:r w:rsidRPr="00140BF9">
        <w:rPr>
          <w:rFonts w:cs="Arial"/>
        </w:rPr>
        <w:t>Costs—interim certificates of assessment</w:t>
      </w:r>
    </w:p>
    <w:p w14:paraId="2A34B725" w14:textId="77777777"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14:paraId="4362D2A5" w14:textId="77777777" w:rsidR="00D94935" w:rsidRPr="00140BF9" w:rsidRDefault="00D94935" w:rsidP="00D94935">
      <w:pPr>
        <w:pStyle w:val="AmdtsEntryHd"/>
        <w:rPr>
          <w:rFonts w:cs="Arial"/>
        </w:rPr>
      </w:pPr>
      <w:r w:rsidRPr="00140BF9">
        <w:rPr>
          <w:rFonts w:cs="Arial"/>
        </w:rPr>
        <w:t>Application—div 2.17.7</w:t>
      </w:r>
    </w:p>
    <w:p w14:paraId="4137D35E" w14:textId="77777777"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14:paraId="15B4854F" w14:textId="77777777" w:rsidR="00D94935" w:rsidRPr="00140BF9" w:rsidRDefault="00D94935" w:rsidP="00D94935">
      <w:pPr>
        <w:pStyle w:val="AmdtsEntryHd"/>
        <w:rPr>
          <w:rFonts w:cs="Arial"/>
        </w:rPr>
      </w:pPr>
      <w:r w:rsidRPr="00140BF9">
        <w:rPr>
          <w:rFonts w:cs="Arial"/>
        </w:rPr>
        <w:t>Costs—application for reconsideration</w:t>
      </w:r>
    </w:p>
    <w:p w14:paraId="496AD81A" w14:textId="77777777"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14:paraId="22F14453" w14:textId="77777777" w:rsidR="00D94935" w:rsidRPr="00140BF9" w:rsidRDefault="00D94935" w:rsidP="00D94935">
      <w:pPr>
        <w:pStyle w:val="AmdtsEntryHd"/>
        <w:rPr>
          <w:rFonts w:cs="Arial"/>
        </w:rPr>
      </w:pPr>
      <w:r w:rsidRPr="00140BF9">
        <w:rPr>
          <w:rFonts w:cs="Arial"/>
        </w:rPr>
        <w:t>Costs—procedure for reconsideration</w:t>
      </w:r>
    </w:p>
    <w:p w14:paraId="1CD6E6B1" w14:textId="77777777"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14:paraId="7B5CD32A" w14:textId="77777777" w:rsidR="00D94935" w:rsidRPr="00140BF9" w:rsidRDefault="00D94935" w:rsidP="00D94935">
      <w:pPr>
        <w:pStyle w:val="AmdtsEntryHd"/>
        <w:rPr>
          <w:rFonts w:cs="Arial"/>
        </w:rPr>
      </w:pPr>
      <w:r w:rsidRPr="00140BF9">
        <w:rPr>
          <w:rFonts w:cs="Arial"/>
        </w:rPr>
        <w:t>Costs—reply to objection on reconsideration</w:t>
      </w:r>
    </w:p>
    <w:p w14:paraId="331DDB4F" w14:textId="77777777"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14:paraId="1B7332A7" w14:textId="77777777" w:rsidR="00D94935" w:rsidRPr="00140BF9" w:rsidRDefault="00D94935" w:rsidP="00D94935">
      <w:pPr>
        <w:pStyle w:val="AmdtsEntryHd"/>
        <w:rPr>
          <w:rFonts w:cs="Arial"/>
        </w:rPr>
      </w:pPr>
      <w:r w:rsidRPr="00140BF9">
        <w:rPr>
          <w:rFonts w:cs="Arial"/>
        </w:rPr>
        <w:t>Costs—reconsideration of registrar’s assessment</w:t>
      </w:r>
    </w:p>
    <w:p w14:paraId="2D6AF90D" w14:textId="77777777"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14:paraId="7BE12D07" w14:textId="77777777" w:rsidR="00D94935" w:rsidRPr="00140BF9" w:rsidRDefault="00D94935" w:rsidP="00D94935">
      <w:pPr>
        <w:pStyle w:val="AmdtsEntryHd"/>
        <w:rPr>
          <w:rFonts w:cs="Arial"/>
        </w:rPr>
      </w:pPr>
      <w:r w:rsidRPr="00140BF9">
        <w:rPr>
          <w:rFonts w:cs="Arial"/>
        </w:rPr>
        <w:t>Costs—review by court</w:t>
      </w:r>
    </w:p>
    <w:p w14:paraId="0889666C" w14:textId="77777777"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14:paraId="1A2B00E6" w14:textId="77777777" w:rsidR="00D94935" w:rsidRPr="00140BF9" w:rsidRDefault="00D94935" w:rsidP="00D94935">
      <w:pPr>
        <w:pStyle w:val="AmdtsEntryHd"/>
        <w:rPr>
          <w:rFonts w:cs="Arial"/>
        </w:rPr>
      </w:pPr>
      <w:r w:rsidRPr="00140BF9">
        <w:rPr>
          <w:rFonts w:cs="Arial"/>
        </w:rPr>
        <w:lastRenderedPageBreak/>
        <w:t>Security for costs—application and order</w:t>
      </w:r>
    </w:p>
    <w:p w14:paraId="7ECE2BDA" w14:textId="77777777"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14:paraId="46754228" w14:textId="77777777" w:rsidR="00D94935" w:rsidRPr="00140BF9" w:rsidRDefault="00D94935" w:rsidP="00D94935">
      <w:pPr>
        <w:pStyle w:val="AmdtsEntryHd"/>
        <w:rPr>
          <w:rFonts w:cs="Arial"/>
        </w:rPr>
      </w:pPr>
      <w:r w:rsidRPr="00140BF9">
        <w:rPr>
          <w:rFonts w:cs="Arial"/>
        </w:rPr>
        <w:t>Security for costs—when court may make order</w:t>
      </w:r>
    </w:p>
    <w:p w14:paraId="1B77CB08" w14:textId="77777777"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14:paraId="5DB4A4DB" w14:textId="77777777" w:rsidR="00D94935" w:rsidRPr="00140BF9" w:rsidRDefault="00D94935" w:rsidP="00D94935">
      <w:pPr>
        <w:pStyle w:val="AmdtsEntryHd"/>
        <w:rPr>
          <w:rFonts w:cs="Arial"/>
        </w:rPr>
      </w:pPr>
      <w:r w:rsidRPr="00140BF9">
        <w:rPr>
          <w:rFonts w:cs="Arial"/>
        </w:rPr>
        <w:t>Security for costs—discretionary factors</w:t>
      </w:r>
    </w:p>
    <w:p w14:paraId="7625532D" w14:textId="77777777"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14:paraId="10F4DB96" w14:textId="77777777" w:rsidR="00D94935" w:rsidRPr="00140BF9" w:rsidRDefault="00D94935" w:rsidP="00D94935">
      <w:pPr>
        <w:pStyle w:val="AmdtsEntryHd"/>
        <w:rPr>
          <w:rFonts w:cs="Arial"/>
        </w:rPr>
      </w:pPr>
      <w:r w:rsidRPr="00140BF9">
        <w:rPr>
          <w:rFonts w:cs="Arial"/>
        </w:rPr>
        <w:t>Security for costs—way security given</w:t>
      </w:r>
    </w:p>
    <w:p w14:paraId="1C98D53F" w14:textId="77777777"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14:paraId="2E399DDE" w14:textId="77777777" w:rsidR="00D94935" w:rsidRPr="00140BF9" w:rsidRDefault="00D94935" w:rsidP="00D94935">
      <w:pPr>
        <w:pStyle w:val="AmdtsEntryHd"/>
        <w:rPr>
          <w:rFonts w:cs="Arial"/>
        </w:rPr>
      </w:pPr>
      <w:r w:rsidRPr="00140BF9">
        <w:rPr>
          <w:rFonts w:cs="Arial"/>
        </w:rPr>
        <w:t>Security for costs—effect of order</w:t>
      </w:r>
    </w:p>
    <w:p w14:paraId="736A082A" w14:textId="77777777"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14:paraId="45C82E24" w14:textId="77777777" w:rsidR="00D94935" w:rsidRPr="00140BF9" w:rsidRDefault="00D94935" w:rsidP="00D94935">
      <w:pPr>
        <w:pStyle w:val="AmdtsEntryHd"/>
        <w:rPr>
          <w:rFonts w:cs="Arial"/>
        </w:rPr>
      </w:pPr>
      <w:r w:rsidRPr="00140BF9">
        <w:rPr>
          <w:rFonts w:cs="Arial"/>
        </w:rPr>
        <w:t>Security for costs—setting aside or amending order</w:t>
      </w:r>
    </w:p>
    <w:p w14:paraId="2B9EF0B9" w14:textId="77777777"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14:paraId="0B85B44A" w14:textId="77777777" w:rsidR="00D94935" w:rsidRPr="00140BF9" w:rsidRDefault="00D94935" w:rsidP="00D94935">
      <w:pPr>
        <w:pStyle w:val="AmdtsEntryHd"/>
        <w:rPr>
          <w:rFonts w:cs="Arial"/>
        </w:rPr>
      </w:pPr>
      <w:r w:rsidRPr="00140BF9">
        <w:rPr>
          <w:rFonts w:cs="Arial"/>
        </w:rPr>
        <w:t>Security for costs—finalising security</w:t>
      </w:r>
    </w:p>
    <w:p w14:paraId="23622E83" w14:textId="77777777"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14:paraId="089F10D7" w14:textId="77777777" w:rsidR="00D94935" w:rsidRPr="00140BF9" w:rsidRDefault="00D94935" w:rsidP="00D94935">
      <w:pPr>
        <w:pStyle w:val="AmdtsEntryHd"/>
        <w:rPr>
          <w:rFonts w:cs="Arial"/>
        </w:rPr>
      </w:pPr>
      <w:r w:rsidRPr="00140BF9">
        <w:rPr>
          <w:rFonts w:cs="Arial"/>
        </w:rPr>
        <w:t>Liquidator, guardian or manager—accounts</w:t>
      </w:r>
    </w:p>
    <w:p w14:paraId="5955B2E3" w14:textId="77777777"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14:paraId="47BCA3CD" w14:textId="77777777" w:rsidR="00D94935" w:rsidRPr="00140BF9" w:rsidRDefault="00D94935" w:rsidP="00D94935">
      <w:pPr>
        <w:pStyle w:val="AmdtsEntryHd"/>
        <w:rPr>
          <w:rFonts w:cs="Arial"/>
        </w:rPr>
      </w:pPr>
      <w:r w:rsidRPr="00140BF9">
        <w:rPr>
          <w:rFonts w:cs="Arial"/>
        </w:rPr>
        <w:t>Definitions—pt 2.18</w:t>
      </w:r>
    </w:p>
    <w:p w14:paraId="2AE4DA8C" w14:textId="77777777"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14:paraId="28A0F5FE" w14:textId="77777777" w:rsidR="00D94935" w:rsidRPr="00140BF9" w:rsidRDefault="00D94935" w:rsidP="00D94935">
      <w:pPr>
        <w:pStyle w:val="AmdtsEntryHd"/>
        <w:rPr>
          <w:rFonts w:cs="Arial"/>
        </w:rPr>
      </w:pPr>
      <w:r w:rsidRPr="00140BF9">
        <w:rPr>
          <w:rFonts w:cs="Arial"/>
        </w:rPr>
        <w:t>Enforcement orders generally</w:t>
      </w:r>
    </w:p>
    <w:p w14:paraId="4209CF8A" w14:textId="77777777"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14:paraId="0D6BB8CD" w14:textId="77777777" w:rsidR="00D94935" w:rsidRPr="00140BF9" w:rsidRDefault="00D94935" w:rsidP="00D94935">
      <w:pPr>
        <w:pStyle w:val="AmdtsEntryHd"/>
        <w:rPr>
          <w:rFonts w:cs="Arial"/>
        </w:rPr>
      </w:pPr>
      <w:r w:rsidRPr="00140BF9">
        <w:rPr>
          <w:rFonts w:cs="Arial"/>
        </w:rPr>
        <w:t>Enforcement—by or against non-party</w:t>
      </w:r>
    </w:p>
    <w:p w14:paraId="789D57E0" w14:textId="77777777"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14:paraId="4741308C" w14:textId="77777777" w:rsidR="00D94935" w:rsidRPr="00140BF9" w:rsidRDefault="00D94935" w:rsidP="00D94935">
      <w:pPr>
        <w:pStyle w:val="AmdtsEntryHd"/>
        <w:rPr>
          <w:rFonts w:cs="Arial"/>
        </w:rPr>
      </w:pPr>
      <w:r w:rsidRPr="00140BF9">
        <w:rPr>
          <w:rFonts w:cs="Arial"/>
        </w:rPr>
        <w:t>Enforcement—amount recoverable</w:t>
      </w:r>
    </w:p>
    <w:p w14:paraId="2AF05496" w14:textId="77777777"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14:paraId="60E9BD48" w14:textId="7042FE59"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6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14:paraId="020F553E" w14:textId="77777777" w:rsidR="00D94935" w:rsidRPr="00140BF9" w:rsidRDefault="00D94935" w:rsidP="00D94935">
      <w:pPr>
        <w:pStyle w:val="AmdtsEntryHd"/>
        <w:rPr>
          <w:rFonts w:cs="Arial"/>
        </w:rPr>
      </w:pPr>
      <w:r w:rsidRPr="00140BF9">
        <w:rPr>
          <w:rFonts w:cs="Arial"/>
        </w:rPr>
        <w:t>Enforcement—separate enforcement for costs</w:t>
      </w:r>
    </w:p>
    <w:p w14:paraId="2145D616" w14:textId="77777777"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14:paraId="0F32C411" w14:textId="77777777" w:rsidR="00D94935" w:rsidRPr="00140BF9" w:rsidRDefault="00D94935" w:rsidP="00D94935">
      <w:pPr>
        <w:pStyle w:val="AmdtsEntryHd"/>
        <w:rPr>
          <w:rFonts w:cs="Arial"/>
        </w:rPr>
      </w:pPr>
      <w:r w:rsidRPr="00140BF9">
        <w:rPr>
          <w:rFonts w:cs="Arial"/>
        </w:rPr>
        <w:t>Enforcement—order in partnership name</w:t>
      </w:r>
    </w:p>
    <w:p w14:paraId="299881E4" w14:textId="77777777"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14:paraId="5ABBC6C4" w14:textId="77777777" w:rsidR="00D94935" w:rsidRPr="00140BF9" w:rsidRDefault="00D94935" w:rsidP="00D94935">
      <w:pPr>
        <w:pStyle w:val="AmdtsEntryHd"/>
        <w:rPr>
          <w:rFonts w:cs="Arial"/>
        </w:rPr>
      </w:pPr>
      <w:r w:rsidRPr="00140BF9">
        <w:rPr>
          <w:rFonts w:cs="Arial"/>
        </w:rPr>
        <w:t>Enforcement—against property of partnership</w:t>
      </w:r>
    </w:p>
    <w:p w14:paraId="70C53D38" w14:textId="77777777"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14:paraId="59CA7C63" w14:textId="77777777" w:rsidR="00D94935" w:rsidRPr="00140BF9" w:rsidRDefault="00D94935" w:rsidP="00D94935">
      <w:pPr>
        <w:pStyle w:val="AmdtsEntryHd"/>
        <w:rPr>
          <w:rFonts w:cs="Arial"/>
        </w:rPr>
      </w:pPr>
      <w:r w:rsidRPr="00140BF9">
        <w:rPr>
          <w:rFonts w:cs="Arial"/>
        </w:rPr>
        <w:t>Enforcement—against property of business</w:t>
      </w:r>
    </w:p>
    <w:p w14:paraId="4812C34C" w14:textId="77777777"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14:paraId="12DB1294" w14:textId="77777777" w:rsidR="00D94935" w:rsidRPr="00140BF9" w:rsidRDefault="00D94935" w:rsidP="00D94935">
      <w:pPr>
        <w:pStyle w:val="AmdtsEntryHd"/>
        <w:rPr>
          <w:rFonts w:cs="Arial"/>
        </w:rPr>
      </w:pPr>
      <w:r w:rsidRPr="00140BF9">
        <w:rPr>
          <w:rFonts w:cs="Arial"/>
        </w:rPr>
        <w:t>Enforcement—enforcement of Supreme Court order in Magistrates Court</w:t>
      </w:r>
    </w:p>
    <w:p w14:paraId="796474AE" w14:textId="77777777"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14:paraId="1DDD2AE7" w14:textId="77777777" w:rsidR="00D94935" w:rsidRPr="00140BF9" w:rsidRDefault="00D94935" w:rsidP="00D94935">
      <w:pPr>
        <w:pStyle w:val="AmdtsEntryHd"/>
        <w:rPr>
          <w:rFonts w:cs="Arial"/>
        </w:rPr>
      </w:pPr>
      <w:r w:rsidRPr="00140BF9">
        <w:rPr>
          <w:rFonts w:cs="Arial"/>
        </w:rPr>
        <w:t>Enforcement—enforcement of Magistrates Court order in Supreme Court</w:t>
      </w:r>
    </w:p>
    <w:p w14:paraId="48C3A4C7" w14:textId="77777777"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14:paraId="14953D5D" w14:textId="77777777" w:rsidR="00D94935" w:rsidRPr="00140BF9" w:rsidRDefault="00D94935" w:rsidP="00D94935">
      <w:pPr>
        <w:pStyle w:val="AmdtsEntryHd"/>
        <w:rPr>
          <w:rFonts w:cs="Arial"/>
        </w:rPr>
      </w:pPr>
      <w:r w:rsidRPr="00140BF9">
        <w:rPr>
          <w:rFonts w:cs="Arial"/>
        </w:rPr>
        <w:lastRenderedPageBreak/>
        <w:t>Enforcement—certificate of registration of enforceable order under Service and Execution of Process Act</w:t>
      </w:r>
    </w:p>
    <w:p w14:paraId="3C5FCECF" w14:textId="7451B6A8"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6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14:paraId="428DB39D" w14:textId="1419AF45" w:rsidR="00D94935" w:rsidRPr="00140BF9" w:rsidRDefault="00D94935" w:rsidP="00D94935">
      <w:pPr>
        <w:pStyle w:val="AmdtsEntries"/>
        <w:rPr>
          <w:rFonts w:cs="Arial"/>
        </w:rPr>
      </w:pPr>
      <w:r w:rsidRPr="00140BF9">
        <w:rPr>
          <w:rFonts w:cs="Arial"/>
        </w:rPr>
        <w:tab/>
        <w:t xml:space="preserve">am </w:t>
      </w:r>
      <w:hyperlink r:id="rId156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14:paraId="513074C3" w14:textId="77777777" w:rsidR="00D94935" w:rsidRPr="00140BF9" w:rsidRDefault="00D94935" w:rsidP="00D94935">
      <w:pPr>
        <w:pStyle w:val="AmdtsEntryHd"/>
        <w:rPr>
          <w:rFonts w:cs="Arial"/>
        </w:rPr>
      </w:pPr>
      <w:r w:rsidRPr="00140BF9">
        <w:rPr>
          <w:rFonts w:cs="Arial"/>
        </w:rPr>
        <w:t>Enforcement—assessment of costs for certificate of registration</w:t>
      </w:r>
    </w:p>
    <w:p w14:paraId="4AFC37CD" w14:textId="2CB8B669"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6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14:paraId="48F5A0F1" w14:textId="77777777" w:rsidR="00D94935" w:rsidRPr="00140BF9" w:rsidRDefault="00D94935" w:rsidP="00D94935">
      <w:pPr>
        <w:pStyle w:val="AmdtsEntryHd"/>
        <w:rPr>
          <w:rFonts w:cs="Arial"/>
        </w:rPr>
      </w:pPr>
      <w:r w:rsidRPr="00140BF9">
        <w:rPr>
          <w:rFonts w:cs="Arial"/>
        </w:rPr>
        <w:t>Enforcement—demand for compliance unnecessary</w:t>
      </w:r>
    </w:p>
    <w:p w14:paraId="122C25DB" w14:textId="77777777"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14:paraId="42B4F00A" w14:textId="77777777" w:rsidR="00D94935" w:rsidRPr="00140BF9" w:rsidRDefault="00D94935" w:rsidP="00D94935">
      <w:pPr>
        <w:pStyle w:val="AmdtsEntryHd"/>
        <w:rPr>
          <w:rFonts w:cs="Arial"/>
        </w:rPr>
      </w:pPr>
      <w:r w:rsidRPr="00140BF9">
        <w:rPr>
          <w:rFonts w:cs="Arial"/>
        </w:rPr>
        <w:t>Enforcement—when leave required</w:t>
      </w:r>
    </w:p>
    <w:p w14:paraId="3269934A" w14:textId="77777777"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14:paraId="174447B1" w14:textId="77777777" w:rsidR="00D94935" w:rsidRPr="00140BF9" w:rsidRDefault="00D94935" w:rsidP="00D94935">
      <w:pPr>
        <w:pStyle w:val="AmdtsEntryHd"/>
        <w:rPr>
          <w:rFonts w:cs="Arial"/>
        </w:rPr>
      </w:pPr>
      <w:r w:rsidRPr="00140BF9">
        <w:rPr>
          <w:rFonts w:cs="Arial"/>
        </w:rPr>
        <w:t>Enforcement—stay</w:t>
      </w:r>
    </w:p>
    <w:p w14:paraId="317F018E" w14:textId="77777777"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14:paraId="706B7D86" w14:textId="77777777" w:rsidR="00D94935" w:rsidRPr="00140BF9" w:rsidRDefault="00D94935" w:rsidP="00D94935">
      <w:pPr>
        <w:pStyle w:val="AmdtsEntryHd"/>
        <w:rPr>
          <w:rFonts w:cs="Arial"/>
        </w:rPr>
      </w:pPr>
      <w:r w:rsidRPr="00140BF9">
        <w:rPr>
          <w:rFonts w:cs="Arial"/>
        </w:rPr>
        <w:t>Enforcement—conditional orders</w:t>
      </w:r>
    </w:p>
    <w:p w14:paraId="66BB6ED2" w14:textId="77777777"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14:paraId="3F9752EB" w14:textId="77777777" w:rsidR="00D94935" w:rsidRPr="00140BF9" w:rsidRDefault="00D94935" w:rsidP="00D94935">
      <w:pPr>
        <w:pStyle w:val="AmdtsEntryHd"/>
        <w:rPr>
          <w:rFonts w:cs="Arial"/>
        </w:rPr>
      </w:pPr>
      <w:r w:rsidRPr="00140BF9">
        <w:rPr>
          <w:rFonts w:cs="Arial"/>
        </w:rPr>
        <w:t>Enforcement—service of order and related information</w:t>
      </w:r>
    </w:p>
    <w:p w14:paraId="2B54D90A" w14:textId="781D5BF5"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6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14:paraId="71171C09" w14:textId="77777777" w:rsidR="00D94935" w:rsidRPr="00140BF9" w:rsidRDefault="00D94935" w:rsidP="00D94935">
      <w:pPr>
        <w:pStyle w:val="AmdtsEntryHd"/>
        <w:rPr>
          <w:rFonts w:cs="Arial"/>
        </w:rPr>
      </w:pPr>
      <w:r w:rsidRPr="00140BF9">
        <w:rPr>
          <w:rFonts w:cs="Arial"/>
        </w:rPr>
        <w:t>Enforcement—enforcement of payment directed by Energy and Water Consumer Council</w:t>
      </w:r>
    </w:p>
    <w:p w14:paraId="1E9B8972" w14:textId="3C3C4001"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6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14:paraId="4FF49DC6"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76559A14" w14:textId="613C9501"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14:paraId="4D04F9B6" w14:textId="1C0EC62B" w:rsidR="00D94935" w:rsidRPr="00140BF9" w:rsidRDefault="00D94935" w:rsidP="00D94935">
      <w:pPr>
        <w:pStyle w:val="AmdtsEntries"/>
        <w:rPr>
          <w:rFonts w:cs="Arial"/>
        </w:rPr>
      </w:pPr>
      <w:r w:rsidRPr="00140BF9">
        <w:rPr>
          <w:rFonts w:cs="Arial"/>
        </w:rPr>
        <w:tab/>
        <w:t xml:space="preserve">am </w:t>
      </w:r>
      <w:hyperlink r:id="rId156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14:paraId="52EC8C1D" w14:textId="71928007" w:rsidR="00D94935" w:rsidRPr="00140BF9" w:rsidRDefault="00D94935" w:rsidP="00D94935">
      <w:pPr>
        <w:pStyle w:val="AmdtsEntries"/>
        <w:rPr>
          <w:rFonts w:cs="Arial"/>
        </w:rPr>
      </w:pPr>
      <w:r w:rsidRPr="00140BF9">
        <w:rPr>
          <w:rFonts w:cs="Arial"/>
        </w:rPr>
        <w:tab/>
        <w:t xml:space="preserve">om </w:t>
      </w:r>
      <w:hyperlink r:id="rId157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14:paraId="57C81BEF" w14:textId="77777777" w:rsidR="00D94935" w:rsidRPr="00140BF9" w:rsidRDefault="00D94935" w:rsidP="00D94935">
      <w:pPr>
        <w:pStyle w:val="AmdtsEntryHd"/>
        <w:rPr>
          <w:rFonts w:cs="Arial"/>
        </w:rPr>
      </w:pPr>
      <w:r w:rsidRPr="00140BF9">
        <w:rPr>
          <w:rFonts w:cs="Arial"/>
        </w:rPr>
        <w:t>Enforcement orders—content and issue</w:t>
      </w:r>
    </w:p>
    <w:p w14:paraId="32E49324" w14:textId="77777777"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14:paraId="05ED9476" w14:textId="77777777" w:rsidR="00D94935" w:rsidRPr="00140BF9" w:rsidRDefault="00D94935" w:rsidP="00D94935">
      <w:pPr>
        <w:pStyle w:val="AmdtsEntryHd"/>
        <w:rPr>
          <w:rFonts w:cs="Arial"/>
        </w:rPr>
      </w:pPr>
      <w:r w:rsidRPr="00140BF9">
        <w:rPr>
          <w:rFonts w:cs="Arial"/>
        </w:rPr>
        <w:t>Enforcement orders—application to set aside</w:t>
      </w:r>
    </w:p>
    <w:p w14:paraId="0665382E" w14:textId="77777777"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14:paraId="7428F0DC" w14:textId="77777777" w:rsidR="00D94935" w:rsidRPr="00140BF9" w:rsidRDefault="00D94935" w:rsidP="00D94935">
      <w:pPr>
        <w:pStyle w:val="AmdtsEntryHd"/>
        <w:rPr>
          <w:rFonts w:cs="Arial"/>
        </w:rPr>
      </w:pPr>
      <w:r w:rsidRPr="00140BF9">
        <w:rPr>
          <w:rFonts w:cs="Arial"/>
        </w:rPr>
        <w:t>Enforcement orders—duration and renewal of certain enforcement orders given to enforcement officers</w:t>
      </w:r>
    </w:p>
    <w:p w14:paraId="61AD11F2" w14:textId="77777777"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14:paraId="47964BA7" w14:textId="77777777" w:rsidR="00D94935" w:rsidRPr="00140BF9" w:rsidRDefault="00D94935" w:rsidP="00D94935">
      <w:pPr>
        <w:pStyle w:val="AmdtsEntryHd"/>
        <w:rPr>
          <w:rFonts w:cs="Arial"/>
        </w:rPr>
      </w:pPr>
      <w:r w:rsidRPr="00140BF9">
        <w:rPr>
          <w:rFonts w:cs="Arial"/>
        </w:rPr>
        <w:t>Enforcement orders—return by enforcement officer</w:t>
      </w:r>
    </w:p>
    <w:p w14:paraId="6BE11E3B" w14:textId="77777777" w:rsidR="00D94935" w:rsidRDefault="00D94935" w:rsidP="00D94935">
      <w:pPr>
        <w:pStyle w:val="AmdtsEntries"/>
        <w:rPr>
          <w:rFonts w:eastAsiaTheme="minorEastAsia" w:cs="Arial"/>
          <w:szCs w:val="22"/>
          <w:lang w:eastAsia="en-AU"/>
        </w:rPr>
      </w:pPr>
      <w:r w:rsidRPr="00140BF9">
        <w:rPr>
          <w:rFonts w:cs="Arial"/>
        </w:rPr>
        <w:t>r 2053 hdg</w:t>
      </w:r>
      <w:r w:rsidRPr="00140BF9">
        <w:rPr>
          <w:rFonts w:eastAsiaTheme="minorEastAsia" w:cs="Arial"/>
          <w:szCs w:val="22"/>
          <w:lang w:eastAsia="en-AU"/>
        </w:rPr>
        <w:tab/>
        <w:t>bracketed note om R29 LA</w:t>
      </w:r>
    </w:p>
    <w:p w14:paraId="7389148F" w14:textId="58CED5ED" w:rsidR="004745AC" w:rsidRPr="00140BF9" w:rsidRDefault="004745AC" w:rsidP="00D94935">
      <w:pPr>
        <w:pStyle w:val="AmdtsEntries"/>
        <w:rPr>
          <w:rFonts w:cs="Arial"/>
        </w:rPr>
      </w:pPr>
      <w:r>
        <w:rPr>
          <w:rFonts w:eastAsiaTheme="minorEastAsia" w:cs="Arial"/>
          <w:szCs w:val="22"/>
          <w:lang w:eastAsia="en-AU"/>
        </w:rPr>
        <w:t>r 2053</w:t>
      </w:r>
      <w:r>
        <w:rPr>
          <w:rFonts w:eastAsiaTheme="minorEastAsia" w:cs="Arial"/>
          <w:szCs w:val="22"/>
          <w:lang w:eastAsia="en-AU"/>
        </w:rPr>
        <w:tab/>
        <w:t xml:space="preserve">am </w:t>
      </w:r>
      <w:hyperlink r:id="rId1571"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23-26</w:t>
      </w:r>
    </w:p>
    <w:p w14:paraId="3651B219" w14:textId="77777777" w:rsidR="00D94935" w:rsidRPr="00140BF9" w:rsidRDefault="00D94935" w:rsidP="00D94935">
      <w:pPr>
        <w:pStyle w:val="AmdtsEntryHd"/>
        <w:rPr>
          <w:rFonts w:cs="Arial"/>
        </w:rPr>
      </w:pPr>
      <w:r w:rsidRPr="00140BF9">
        <w:rPr>
          <w:rFonts w:cs="Arial"/>
        </w:rPr>
        <w:t>Enforcement orders—priority</w:t>
      </w:r>
    </w:p>
    <w:p w14:paraId="772A3BE0" w14:textId="77777777"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14:paraId="2A47F591" w14:textId="77777777" w:rsidR="00D94935" w:rsidRPr="00140BF9" w:rsidRDefault="00D94935" w:rsidP="00D94935">
      <w:pPr>
        <w:pStyle w:val="AmdtsEntryHd"/>
        <w:rPr>
          <w:rFonts w:cs="Arial"/>
        </w:rPr>
      </w:pPr>
      <w:r w:rsidRPr="00140BF9">
        <w:rPr>
          <w:rFonts w:cs="Arial"/>
        </w:rPr>
        <w:t>Enforcement orders—payment under order</w:t>
      </w:r>
    </w:p>
    <w:p w14:paraId="25A47273" w14:textId="77777777"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14:paraId="30C77727" w14:textId="77777777" w:rsidR="00D94935" w:rsidRPr="00140BF9" w:rsidRDefault="00D94935" w:rsidP="00D94935">
      <w:pPr>
        <w:pStyle w:val="AmdtsEntryHd"/>
        <w:rPr>
          <w:rFonts w:cs="Arial"/>
        </w:rPr>
      </w:pPr>
      <w:r w:rsidRPr="00140BF9">
        <w:rPr>
          <w:rFonts w:cs="Arial"/>
        </w:rPr>
        <w:t>Enforcement orders—orders about enforcement</w:t>
      </w:r>
    </w:p>
    <w:p w14:paraId="6F32D0AE" w14:textId="77777777"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14:paraId="0B7CA84A" w14:textId="77777777" w:rsidR="00D94935" w:rsidRPr="00140BF9" w:rsidRDefault="00D94935" w:rsidP="00D94935">
      <w:pPr>
        <w:pStyle w:val="AmdtsEntryHd"/>
        <w:rPr>
          <w:rFonts w:cs="Arial"/>
        </w:rPr>
      </w:pPr>
      <w:r w:rsidRPr="00140BF9">
        <w:rPr>
          <w:rFonts w:cs="Arial"/>
        </w:rPr>
        <w:lastRenderedPageBreak/>
        <w:t>Enforcement orders—consecutive and concurrent orders</w:t>
      </w:r>
    </w:p>
    <w:p w14:paraId="4850C2C6" w14:textId="77777777"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14:paraId="5D4CFFFE" w14:textId="77777777" w:rsidR="00D94935" w:rsidRPr="00140BF9" w:rsidRDefault="00D94935" w:rsidP="00D94935">
      <w:pPr>
        <w:pStyle w:val="AmdtsEntryHd"/>
        <w:rPr>
          <w:rFonts w:cs="Arial"/>
        </w:rPr>
      </w:pPr>
      <w:r w:rsidRPr="00140BF9">
        <w:rPr>
          <w:rFonts w:cs="Arial"/>
        </w:rPr>
        <w:t>Enforcement orders—deceased enforcement debtor</w:t>
      </w:r>
    </w:p>
    <w:p w14:paraId="6E0599D9" w14:textId="77777777"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14:paraId="67EC0D38" w14:textId="77777777" w:rsidR="00D94935" w:rsidRPr="00140BF9" w:rsidRDefault="00D94935" w:rsidP="00D94935">
      <w:pPr>
        <w:pStyle w:val="AmdtsEntryHd"/>
        <w:rPr>
          <w:rFonts w:cs="Arial"/>
        </w:rPr>
      </w:pPr>
      <w:r w:rsidRPr="00140BF9">
        <w:rPr>
          <w:rFonts w:cs="Arial"/>
        </w:rPr>
        <w:t>Enforcement hearing—application by enforcement creditor</w:t>
      </w:r>
    </w:p>
    <w:p w14:paraId="65C4130E" w14:textId="77777777"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14:paraId="2E1BE7A3" w14:textId="77777777" w:rsidR="00D94935" w:rsidRPr="00140BF9" w:rsidRDefault="00D94935" w:rsidP="00D94935">
      <w:pPr>
        <w:pStyle w:val="AmdtsEntryHd"/>
        <w:rPr>
          <w:rFonts w:cs="Arial"/>
        </w:rPr>
      </w:pPr>
      <w:r w:rsidRPr="00140BF9">
        <w:rPr>
          <w:rFonts w:cs="Arial"/>
        </w:rPr>
        <w:t>Enforcement hearing—otherwise than on enforcement creditor’s application</w:t>
      </w:r>
    </w:p>
    <w:p w14:paraId="7F923319" w14:textId="77777777"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14:paraId="26BF52F3" w14:textId="77777777" w:rsidR="00D94935" w:rsidRPr="00140BF9" w:rsidRDefault="00D94935" w:rsidP="00D94935">
      <w:pPr>
        <w:pStyle w:val="AmdtsEntryHd"/>
        <w:rPr>
          <w:rFonts w:cs="Arial"/>
        </w:rPr>
      </w:pPr>
      <w:r w:rsidRPr="00140BF9">
        <w:rPr>
          <w:rFonts w:cs="Arial"/>
        </w:rPr>
        <w:t>Enforcement hearing—limit on number of applications</w:t>
      </w:r>
    </w:p>
    <w:p w14:paraId="14DDFA57" w14:textId="77777777"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14:paraId="22D988B7" w14:textId="77777777" w:rsidR="00D94935" w:rsidRPr="00140BF9" w:rsidRDefault="00D94935" w:rsidP="00D94935">
      <w:pPr>
        <w:pStyle w:val="AmdtsEntryHd"/>
        <w:rPr>
          <w:rFonts w:cs="Arial"/>
        </w:rPr>
      </w:pPr>
      <w:r w:rsidRPr="00140BF9">
        <w:rPr>
          <w:rFonts w:cs="Arial"/>
        </w:rPr>
        <w:t>Enforcement hearing—order for hearing etc</w:t>
      </w:r>
    </w:p>
    <w:p w14:paraId="0E5E954C" w14:textId="77777777"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14:paraId="5D923CA7" w14:textId="77777777" w:rsidR="00D94935" w:rsidRPr="00140BF9" w:rsidRDefault="00D94935" w:rsidP="00D94935">
      <w:pPr>
        <w:pStyle w:val="AmdtsEntryHd"/>
        <w:rPr>
          <w:rFonts w:cs="Arial"/>
        </w:rPr>
      </w:pPr>
      <w:r w:rsidRPr="00140BF9">
        <w:rPr>
          <w:rFonts w:cs="Arial"/>
        </w:rPr>
        <w:t>Enforcement hearing—who may be directed to attend by enforcement hearing subpoena</w:t>
      </w:r>
    </w:p>
    <w:p w14:paraId="4E2DCDC6" w14:textId="77777777"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14:paraId="4E3C0F7A" w14:textId="77777777" w:rsidR="00D94935" w:rsidRPr="00140BF9" w:rsidRDefault="00D94935" w:rsidP="00D94935">
      <w:pPr>
        <w:pStyle w:val="AmdtsEntryHd"/>
        <w:rPr>
          <w:rFonts w:cs="Arial"/>
        </w:rPr>
      </w:pPr>
      <w:r w:rsidRPr="00140BF9">
        <w:rPr>
          <w:rFonts w:cs="Arial"/>
        </w:rPr>
        <w:t>Enforcement hearing—service of enforcement hearing subpoena</w:t>
      </w:r>
    </w:p>
    <w:p w14:paraId="712AA065" w14:textId="77777777"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14:paraId="0B58442C" w14:textId="77777777" w:rsidR="00D94935" w:rsidRPr="00140BF9" w:rsidRDefault="00D94935" w:rsidP="00D94935">
      <w:pPr>
        <w:pStyle w:val="AmdtsEntryHd"/>
        <w:rPr>
          <w:rFonts w:cs="Arial"/>
        </w:rPr>
      </w:pPr>
      <w:r w:rsidRPr="00140BF9">
        <w:rPr>
          <w:rFonts w:cs="Arial"/>
        </w:rPr>
        <w:t>Enforcement hearing—statement of enforcement debtor’s financial position</w:t>
      </w:r>
    </w:p>
    <w:p w14:paraId="543BFAAA" w14:textId="77777777"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14:paraId="1C0C2BD2" w14:textId="77777777" w:rsidR="00D94935" w:rsidRPr="00140BF9" w:rsidRDefault="00D94935" w:rsidP="00D94935">
      <w:pPr>
        <w:pStyle w:val="AmdtsEntryHd"/>
        <w:rPr>
          <w:rFonts w:cs="Arial"/>
        </w:rPr>
      </w:pPr>
      <w:r w:rsidRPr="00140BF9">
        <w:rPr>
          <w:rFonts w:cs="Arial"/>
        </w:rPr>
        <w:t>Enforcement hearing—subpoena to other person</w:t>
      </w:r>
    </w:p>
    <w:p w14:paraId="19F9C586" w14:textId="77777777"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14:paraId="1E1B5BEE" w14:textId="77777777" w:rsidR="00D94935" w:rsidRPr="00140BF9" w:rsidRDefault="00D94935" w:rsidP="00D94935">
      <w:pPr>
        <w:pStyle w:val="AmdtsEntryHd"/>
        <w:rPr>
          <w:rFonts w:cs="Arial"/>
        </w:rPr>
      </w:pPr>
      <w:r w:rsidRPr="00140BF9">
        <w:rPr>
          <w:rFonts w:cs="Arial"/>
        </w:rPr>
        <w:t>Enforcement hearing—examination</w:t>
      </w:r>
    </w:p>
    <w:p w14:paraId="1AA2806C" w14:textId="77777777"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14:paraId="6725633C" w14:textId="77777777" w:rsidR="00D94935" w:rsidRPr="00140BF9" w:rsidRDefault="00D94935" w:rsidP="00D94935">
      <w:pPr>
        <w:pStyle w:val="AmdtsEntryHd"/>
        <w:rPr>
          <w:rFonts w:cs="Arial"/>
        </w:rPr>
      </w:pPr>
      <w:r w:rsidRPr="00140BF9">
        <w:rPr>
          <w:rFonts w:cs="Arial"/>
        </w:rPr>
        <w:t>Enforcement hearing—enforcement hearing warrant issue</w:t>
      </w:r>
    </w:p>
    <w:p w14:paraId="205CD0E3" w14:textId="77777777"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14:paraId="23C65102" w14:textId="04F14F70"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14:paraId="50B702DE" w14:textId="77777777" w:rsidR="00D94935" w:rsidRPr="00140BF9" w:rsidRDefault="00D94935" w:rsidP="00D94935">
      <w:pPr>
        <w:pStyle w:val="AmdtsEntryHd"/>
        <w:rPr>
          <w:rFonts w:cs="Arial"/>
        </w:rPr>
      </w:pPr>
      <w:r w:rsidRPr="00140BF9">
        <w:rPr>
          <w:rFonts w:cs="Arial"/>
        </w:rPr>
        <w:t>Enforcement hearing—enforcement hearing warrant contents etc</w:t>
      </w:r>
    </w:p>
    <w:p w14:paraId="17F5D3D8" w14:textId="77777777"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14:paraId="4CCCCD1A" w14:textId="77777777" w:rsidR="00D94935" w:rsidRPr="00140BF9" w:rsidRDefault="00D94935" w:rsidP="00D94935">
      <w:pPr>
        <w:pStyle w:val="AmdtsEntryHd"/>
        <w:rPr>
          <w:rFonts w:cs="Arial"/>
        </w:rPr>
      </w:pPr>
      <w:r w:rsidRPr="00140BF9">
        <w:rPr>
          <w:rFonts w:cs="Arial"/>
        </w:rPr>
        <w:t>Enforcement hearing—orders</w:t>
      </w:r>
    </w:p>
    <w:p w14:paraId="67E52ACC" w14:textId="77777777"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14:paraId="5DA7B178" w14:textId="77777777" w:rsidR="00D94935" w:rsidRPr="00140BF9" w:rsidRDefault="00D94935" w:rsidP="00D94935">
      <w:pPr>
        <w:pStyle w:val="AmdtsEntryHd"/>
        <w:rPr>
          <w:rFonts w:cs="Arial"/>
        </w:rPr>
      </w:pPr>
      <w:r w:rsidRPr="00140BF9">
        <w:rPr>
          <w:rFonts w:cs="Arial"/>
        </w:rPr>
        <w:t>Instalment order—making</w:t>
      </w:r>
    </w:p>
    <w:p w14:paraId="05502EE0" w14:textId="77777777"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14:paraId="7022F886" w14:textId="77777777" w:rsidR="00D94935" w:rsidRPr="00140BF9" w:rsidRDefault="00D94935" w:rsidP="00D94935">
      <w:pPr>
        <w:pStyle w:val="AmdtsEntryHd"/>
        <w:rPr>
          <w:rFonts w:cs="Arial"/>
        </w:rPr>
      </w:pPr>
      <w:r w:rsidRPr="00140BF9">
        <w:rPr>
          <w:rFonts w:cs="Arial"/>
        </w:rPr>
        <w:t>Instalment order—application by enforcement debtor</w:t>
      </w:r>
    </w:p>
    <w:p w14:paraId="08A532E1" w14:textId="77777777"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14:paraId="449DA181" w14:textId="77777777" w:rsidR="00D94935" w:rsidRPr="00140BF9" w:rsidRDefault="00D94935" w:rsidP="00D94935">
      <w:pPr>
        <w:pStyle w:val="AmdtsEntryHd"/>
        <w:rPr>
          <w:rFonts w:cs="Arial"/>
        </w:rPr>
      </w:pPr>
      <w:r w:rsidRPr="00140BF9">
        <w:rPr>
          <w:rFonts w:cs="Arial"/>
        </w:rPr>
        <w:t>Instalment order—application by enforcement creditor</w:t>
      </w:r>
    </w:p>
    <w:p w14:paraId="6E499B71" w14:textId="77777777"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14:paraId="18DD2621" w14:textId="77777777" w:rsidR="00D94935" w:rsidRPr="00140BF9" w:rsidRDefault="00D94935" w:rsidP="00D94935">
      <w:pPr>
        <w:pStyle w:val="AmdtsEntryHd"/>
        <w:rPr>
          <w:rFonts w:cs="Arial"/>
        </w:rPr>
      </w:pPr>
      <w:r w:rsidRPr="00140BF9">
        <w:rPr>
          <w:rFonts w:cs="Arial"/>
        </w:rPr>
        <w:t>Instalment order—relevant considerations</w:t>
      </w:r>
    </w:p>
    <w:p w14:paraId="770C7F00" w14:textId="77777777"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14:paraId="357119FD" w14:textId="77777777" w:rsidR="00D94935" w:rsidRPr="00140BF9" w:rsidRDefault="00D94935" w:rsidP="00D94935">
      <w:pPr>
        <w:pStyle w:val="AmdtsEntryHd"/>
        <w:rPr>
          <w:rFonts w:cs="Arial"/>
        </w:rPr>
      </w:pPr>
      <w:r w:rsidRPr="00140BF9">
        <w:rPr>
          <w:rFonts w:cs="Arial"/>
        </w:rPr>
        <w:lastRenderedPageBreak/>
        <w:t>Instalment order—stay of enforcement</w:t>
      </w:r>
    </w:p>
    <w:p w14:paraId="4EFEC378" w14:textId="77777777"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14:paraId="1E9DB427" w14:textId="77777777" w:rsidR="00D94935" w:rsidRPr="00140BF9" w:rsidRDefault="00D94935" w:rsidP="00D94935">
      <w:pPr>
        <w:pStyle w:val="AmdtsEntryHd"/>
        <w:rPr>
          <w:rFonts w:cs="Arial"/>
        </w:rPr>
      </w:pPr>
      <w:r w:rsidRPr="00140BF9">
        <w:rPr>
          <w:rFonts w:cs="Arial"/>
        </w:rPr>
        <w:t>Instalment order—content and issue</w:t>
      </w:r>
    </w:p>
    <w:p w14:paraId="231502AD" w14:textId="77777777"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14:paraId="78147DC3" w14:textId="77777777" w:rsidR="00D94935" w:rsidRPr="00140BF9" w:rsidRDefault="00D94935" w:rsidP="00D94935">
      <w:pPr>
        <w:pStyle w:val="AmdtsEntryHd"/>
        <w:rPr>
          <w:rFonts w:cs="Arial"/>
        </w:rPr>
      </w:pPr>
      <w:r w:rsidRPr="00140BF9">
        <w:rPr>
          <w:rFonts w:cs="Arial"/>
        </w:rPr>
        <w:t>Instalment order—instalment order agreement</w:t>
      </w:r>
    </w:p>
    <w:p w14:paraId="452996A7" w14:textId="77777777"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14:paraId="67856566" w14:textId="77777777" w:rsidR="00D94935" w:rsidRPr="00140BF9" w:rsidRDefault="00D94935" w:rsidP="00D94935">
      <w:pPr>
        <w:pStyle w:val="AmdtsEntryHd"/>
        <w:rPr>
          <w:rFonts w:cs="Arial"/>
        </w:rPr>
      </w:pPr>
      <w:r w:rsidRPr="00140BF9">
        <w:rPr>
          <w:rFonts w:cs="Arial"/>
        </w:rPr>
        <w:t>Instalment order—no other enforcement while in force</w:t>
      </w:r>
    </w:p>
    <w:p w14:paraId="038FE701" w14:textId="77777777"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14:paraId="429DC8E3" w14:textId="77777777" w:rsidR="00D94935" w:rsidRPr="00140BF9" w:rsidRDefault="00D94935" w:rsidP="00D94935">
      <w:pPr>
        <w:pStyle w:val="AmdtsEntryHd"/>
        <w:rPr>
          <w:rFonts w:cs="Arial"/>
        </w:rPr>
      </w:pPr>
      <w:r w:rsidRPr="00140BF9">
        <w:rPr>
          <w:rFonts w:cs="Arial"/>
        </w:rPr>
        <w:t>Instalment order—amending, suspending or setting aside</w:t>
      </w:r>
    </w:p>
    <w:p w14:paraId="3A3076CB" w14:textId="77777777"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14:paraId="704A2AC7" w14:textId="77777777" w:rsidR="00D94935" w:rsidRPr="00140BF9" w:rsidRDefault="00D94935" w:rsidP="00D94935">
      <w:pPr>
        <w:pStyle w:val="AmdtsEntryHd"/>
        <w:rPr>
          <w:rFonts w:cs="Arial"/>
        </w:rPr>
      </w:pPr>
      <w:r w:rsidRPr="00140BF9">
        <w:rPr>
          <w:rFonts w:cs="Arial"/>
        </w:rPr>
        <w:t>Instalment order—ceasing to have effect other than for nonpayment</w:t>
      </w:r>
    </w:p>
    <w:p w14:paraId="6857F6BF" w14:textId="77777777"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14:paraId="11A1F14E" w14:textId="77777777" w:rsidR="00D94935" w:rsidRPr="00140BF9" w:rsidRDefault="00D94935" w:rsidP="00D94935">
      <w:pPr>
        <w:pStyle w:val="AmdtsEntryHd"/>
        <w:rPr>
          <w:rFonts w:cs="Arial"/>
        </w:rPr>
      </w:pPr>
      <w:r w:rsidRPr="00140BF9">
        <w:rPr>
          <w:rFonts w:cs="Arial"/>
        </w:rPr>
        <w:t>Seizure and sale order—making</w:t>
      </w:r>
    </w:p>
    <w:p w14:paraId="0CB2F0BD" w14:textId="77777777"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14:paraId="47CA4D5D" w14:textId="77777777" w:rsidR="00D94935" w:rsidRPr="00140BF9" w:rsidRDefault="00D94935" w:rsidP="00D94935">
      <w:pPr>
        <w:pStyle w:val="AmdtsEntryHd"/>
        <w:rPr>
          <w:rFonts w:cs="Arial"/>
        </w:rPr>
      </w:pPr>
      <w:r w:rsidRPr="00140BF9">
        <w:rPr>
          <w:rFonts w:cs="Arial"/>
        </w:rPr>
        <w:t>Seizure and sale order—application</w:t>
      </w:r>
    </w:p>
    <w:p w14:paraId="3706C64C" w14:textId="77777777"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14:paraId="19F21F76" w14:textId="77777777" w:rsidR="00D94935" w:rsidRPr="00140BF9" w:rsidRDefault="00D94935" w:rsidP="00D94935">
      <w:pPr>
        <w:pStyle w:val="AmdtsEntryHd"/>
        <w:rPr>
          <w:rFonts w:cs="Arial"/>
        </w:rPr>
      </w:pPr>
      <w:r w:rsidRPr="00140BF9">
        <w:rPr>
          <w:rFonts w:cs="Arial"/>
        </w:rPr>
        <w:t>Seizure and sale order—additional exempt property</w:t>
      </w:r>
    </w:p>
    <w:p w14:paraId="78ADC123" w14:textId="77777777"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14:paraId="3CD762A9" w14:textId="77777777" w:rsidR="00D94935" w:rsidRPr="00140BF9" w:rsidRDefault="00D94935" w:rsidP="00D94935">
      <w:pPr>
        <w:pStyle w:val="AmdtsEntryHd"/>
        <w:rPr>
          <w:rFonts w:cs="Arial"/>
        </w:rPr>
      </w:pPr>
      <w:r w:rsidRPr="00140BF9">
        <w:rPr>
          <w:rFonts w:cs="Arial"/>
        </w:rPr>
        <w:t>Seizure and sale order—entry, search and seizure powers if no consent</w:t>
      </w:r>
    </w:p>
    <w:p w14:paraId="2DF0CC7B" w14:textId="77777777"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14:paraId="09E1516B" w14:textId="77777777" w:rsidR="00D94935" w:rsidRPr="00140BF9" w:rsidRDefault="00D94935" w:rsidP="00D94935">
      <w:pPr>
        <w:pStyle w:val="AmdtsEntryHd"/>
        <w:rPr>
          <w:rFonts w:cs="Arial"/>
        </w:rPr>
      </w:pPr>
      <w:r w:rsidRPr="00140BF9">
        <w:rPr>
          <w:rFonts w:cs="Arial"/>
        </w:rPr>
        <w:t>Seizure and sale order—notice of order</w:t>
      </w:r>
    </w:p>
    <w:p w14:paraId="23FD3B55" w14:textId="77777777"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14:paraId="44D9EDF7" w14:textId="77777777" w:rsidR="00D94935" w:rsidRPr="00140BF9" w:rsidRDefault="00D94935" w:rsidP="00D94935">
      <w:pPr>
        <w:pStyle w:val="AmdtsEntryHd"/>
        <w:rPr>
          <w:rFonts w:cs="Arial"/>
        </w:rPr>
      </w:pPr>
      <w:r w:rsidRPr="00140BF9">
        <w:rPr>
          <w:rFonts w:cs="Arial"/>
        </w:rPr>
        <w:t>Seizure and sale order—notice of property seized</w:t>
      </w:r>
    </w:p>
    <w:p w14:paraId="778AFE82" w14:textId="77777777"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14:paraId="2A52C301" w14:textId="77777777" w:rsidR="00D94935" w:rsidRPr="00140BF9" w:rsidRDefault="00D94935" w:rsidP="00D94935">
      <w:pPr>
        <w:pStyle w:val="AmdtsEntryHd"/>
        <w:rPr>
          <w:rFonts w:cs="Arial"/>
        </w:rPr>
      </w:pPr>
      <w:r w:rsidRPr="00140BF9">
        <w:rPr>
          <w:rFonts w:cs="Arial"/>
        </w:rPr>
        <w:t>Seizure and sale order—removal etc of seized property</w:t>
      </w:r>
    </w:p>
    <w:p w14:paraId="440FC7EB" w14:textId="77777777"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14:paraId="2C7551F2" w14:textId="77777777" w:rsidR="00D94935" w:rsidRPr="00140BF9" w:rsidRDefault="00D94935" w:rsidP="00D94935">
      <w:pPr>
        <w:pStyle w:val="AmdtsEntryHd"/>
        <w:rPr>
          <w:rFonts w:cs="Arial"/>
        </w:rPr>
      </w:pPr>
      <w:r w:rsidRPr="00140BF9">
        <w:rPr>
          <w:rFonts w:cs="Arial"/>
        </w:rPr>
        <w:t>Seizure and sale order—application for instalment order stays sale of seized property</w:t>
      </w:r>
    </w:p>
    <w:p w14:paraId="2BD58702" w14:textId="77777777"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14:paraId="39A92641" w14:textId="77777777" w:rsidR="00D94935" w:rsidRPr="00140BF9" w:rsidRDefault="00D94935" w:rsidP="00D94935">
      <w:pPr>
        <w:pStyle w:val="AmdtsEntryHd"/>
        <w:rPr>
          <w:rFonts w:cs="Arial"/>
        </w:rPr>
      </w:pPr>
      <w:r w:rsidRPr="00140BF9">
        <w:rPr>
          <w:rFonts w:cs="Arial"/>
        </w:rPr>
        <w:t>Seizure and sale order—property seized not abandoned</w:t>
      </w:r>
    </w:p>
    <w:p w14:paraId="292D4CE1" w14:textId="77777777"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14:paraId="49EB0F3B" w14:textId="77777777" w:rsidR="00D94935" w:rsidRPr="00140BF9" w:rsidRDefault="00D94935" w:rsidP="00D94935">
      <w:pPr>
        <w:pStyle w:val="AmdtsEntryHd"/>
        <w:rPr>
          <w:rFonts w:cs="Arial"/>
        </w:rPr>
      </w:pPr>
      <w:r w:rsidRPr="00140BF9">
        <w:rPr>
          <w:rFonts w:cs="Arial"/>
        </w:rPr>
        <w:t>Seizure and sale order—seizure of real property</w:t>
      </w:r>
    </w:p>
    <w:p w14:paraId="59B42CD0" w14:textId="70992395" w:rsidR="00D94935" w:rsidRDefault="00D94935" w:rsidP="00D94935">
      <w:pPr>
        <w:pStyle w:val="AmdtsEntries"/>
        <w:rPr>
          <w:rFonts w:eastAsiaTheme="minorEastAsia" w:cs="Arial"/>
          <w:szCs w:val="22"/>
          <w:lang w:eastAsia="en-AU"/>
        </w:rPr>
      </w:pPr>
      <w:r w:rsidRPr="00140BF9">
        <w:rPr>
          <w:rFonts w:cs="Arial"/>
        </w:rPr>
        <w:t>r 2210 hdg</w:t>
      </w:r>
      <w:r w:rsidRPr="00140BF9">
        <w:rPr>
          <w:rFonts w:eastAsiaTheme="minorEastAsia" w:cs="Arial"/>
          <w:szCs w:val="22"/>
          <w:lang w:eastAsia="en-AU"/>
        </w:rPr>
        <w:tab/>
        <w:t>bracketed note om R29 LA</w:t>
      </w:r>
    </w:p>
    <w:p w14:paraId="44BD8434" w14:textId="4E51978F" w:rsidR="00001CA7" w:rsidRPr="00140BF9" w:rsidRDefault="00001CA7" w:rsidP="00001CA7">
      <w:pPr>
        <w:pStyle w:val="AmdtsEntries"/>
        <w:rPr>
          <w:rFonts w:cs="Arial"/>
        </w:rPr>
      </w:pPr>
      <w:r>
        <w:rPr>
          <w:rFonts w:cs="Arial"/>
        </w:rPr>
        <w:t>r 2210</w:t>
      </w:r>
      <w:r w:rsidRPr="00140BF9">
        <w:rPr>
          <w:rFonts w:cs="Arial"/>
        </w:rPr>
        <w:tab/>
        <w:t xml:space="preserve">sub </w:t>
      </w:r>
      <w:hyperlink r:id="rId157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14:paraId="7028145B" w14:textId="77777777" w:rsidR="00D94935" w:rsidRPr="00140BF9" w:rsidRDefault="00D94935" w:rsidP="00D94935">
      <w:pPr>
        <w:pStyle w:val="AmdtsEntryHd"/>
        <w:rPr>
          <w:rFonts w:cs="Arial"/>
        </w:rPr>
      </w:pPr>
      <w:r w:rsidRPr="00140BF9">
        <w:rPr>
          <w:rFonts w:cs="Arial"/>
        </w:rPr>
        <w:t>Seizure and sale order—order of seizing and selling property</w:t>
      </w:r>
    </w:p>
    <w:p w14:paraId="4CA1DD5F" w14:textId="77777777"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14:paraId="78B65828" w14:textId="77777777" w:rsidR="00D94935" w:rsidRPr="00140BF9" w:rsidRDefault="00D94935" w:rsidP="00D94935">
      <w:pPr>
        <w:pStyle w:val="AmdtsEntryHd"/>
        <w:rPr>
          <w:rFonts w:cs="Arial"/>
        </w:rPr>
      </w:pPr>
      <w:r w:rsidRPr="00140BF9">
        <w:rPr>
          <w:rFonts w:cs="Arial"/>
        </w:rPr>
        <w:t>Seizure and sale order—payment before sale</w:t>
      </w:r>
    </w:p>
    <w:p w14:paraId="0660DDC9" w14:textId="77777777"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14:paraId="4D29272F" w14:textId="77777777" w:rsidR="00D94935" w:rsidRPr="00140BF9" w:rsidRDefault="00D94935" w:rsidP="00D94935">
      <w:pPr>
        <w:pStyle w:val="AmdtsEntryHd"/>
        <w:rPr>
          <w:rFonts w:cs="Arial"/>
        </w:rPr>
      </w:pPr>
      <w:r w:rsidRPr="00140BF9">
        <w:rPr>
          <w:rFonts w:cs="Arial"/>
        </w:rPr>
        <w:lastRenderedPageBreak/>
        <w:t>Seizure and sale order—suspension etc of enforcement</w:t>
      </w:r>
    </w:p>
    <w:p w14:paraId="3ED114A2" w14:textId="77777777"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14:paraId="76116D87" w14:textId="77777777"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14:paraId="15A3DCB7" w14:textId="77777777"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14:paraId="4A5717F2" w14:textId="77777777" w:rsidR="00D94935" w:rsidRPr="00140BF9" w:rsidRDefault="00D94935" w:rsidP="00D94935">
      <w:pPr>
        <w:pStyle w:val="AmdtsEntryHd"/>
        <w:rPr>
          <w:rFonts w:cs="Arial"/>
        </w:rPr>
      </w:pPr>
      <w:r w:rsidRPr="00140BF9">
        <w:rPr>
          <w:rFonts w:cs="Arial"/>
        </w:rPr>
        <w:t>Seizure and sale order—nature of sale</w:t>
      </w:r>
    </w:p>
    <w:p w14:paraId="0A3E72FD" w14:textId="77777777"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14:paraId="18CDFFBF" w14:textId="77777777" w:rsidR="00D94935" w:rsidRPr="00140BF9" w:rsidRDefault="00D94935" w:rsidP="00D94935">
      <w:pPr>
        <w:pStyle w:val="AmdtsEntryHd"/>
        <w:rPr>
          <w:rFonts w:cs="Arial"/>
        </w:rPr>
      </w:pPr>
      <w:r w:rsidRPr="00140BF9">
        <w:rPr>
          <w:rFonts w:cs="Arial"/>
        </w:rPr>
        <w:t>Seizure and sale order—setting reasonable amount</w:t>
      </w:r>
    </w:p>
    <w:p w14:paraId="31D8FFD4" w14:textId="77777777"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14:paraId="6CDB3FC1" w14:textId="77777777" w:rsidR="00D94935" w:rsidRPr="00140BF9" w:rsidRDefault="00D94935" w:rsidP="00D94935">
      <w:pPr>
        <w:pStyle w:val="AmdtsEntryHd"/>
        <w:rPr>
          <w:rFonts w:cs="Arial"/>
        </w:rPr>
      </w:pPr>
      <w:r w:rsidRPr="00140BF9">
        <w:rPr>
          <w:rFonts w:cs="Arial"/>
        </w:rPr>
        <w:t>Seizure and sale order—additional provisions relating to land</w:t>
      </w:r>
    </w:p>
    <w:p w14:paraId="3229C3DA" w14:textId="72937B74"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7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14:paraId="074B5C0A" w14:textId="77777777" w:rsidR="00D94935" w:rsidRPr="00140BF9" w:rsidRDefault="00D94935" w:rsidP="00D94935">
      <w:pPr>
        <w:pStyle w:val="AmdtsEntryHd"/>
        <w:rPr>
          <w:rFonts w:cs="Arial"/>
        </w:rPr>
      </w:pPr>
      <w:r w:rsidRPr="00140BF9">
        <w:rPr>
          <w:rFonts w:cs="Arial"/>
        </w:rPr>
        <w:t>Seizure and sale order—appointment of real estate agent</w:t>
      </w:r>
    </w:p>
    <w:p w14:paraId="711696F0" w14:textId="14920B69"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7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14:paraId="0AA974F2" w14:textId="77777777" w:rsidR="00D94935" w:rsidRPr="00140BF9" w:rsidRDefault="00D94935" w:rsidP="00D94935">
      <w:pPr>
        <w:pStyle w:val="AmdtsEntryHd"/>
        <w:rPr>
          <w:rFonts w:cs="Arial"/>
        </w:rPr>
      </w:pPr>
      <w:r w:rsidRPr="00140BF9">
        <w:rPr>
          <w:rFonts w:cs="Arial"/>
        </w:rPr>
        <w:t>Seizure and sale order—power of entry for auction of land</w:t>
      </w:r>
    </w:p>
    <w:p w14:paraId="21F80FDA" w14:textId="77777777"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14:paraId="4484F0EB" w14:textId="77777777" w:rsidR="00D94935" w:rsidRPr="00140BF9" w:rsidRDefault="00D94935" w:rsidP="00D94935">
      <w:pPr>
        <w:pStyle w:val="AmdtsEntryHd"/>
        <w:rPr>
          <w:rFonts w:cs="Arial"/>
        </w:rPr>
      </w:pPr>
      <w:r w:rsidRPr="00140BF9">
        <w:rPr>
          <w:rFonts w:cs="Arial"/>
        </w:rPr>
        <w:t>Seizure and sale order—sale at best price obtainable</w:t>
      </w:r>
    </w:p>
    <w:p w14:paraId="3B1B2F3A" w14:textId="77777777"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14:paraId="1CEFA554" w14:textId="77777777" w:rsidR="00D94935" w:rsidRPr="00140BF9" w:rsidRDefault="00D94935" w:rsidP="00D94935">
      <w:pPr>
        <w:pStyle w:val="AmdtsEntryHd"/>
        <w:rPr>
          <w:rFonts w:cs="Arial"/>
        </w:rPr>
      </w:pPr>
      <w:r w:rsidRPr="00140BF9">
        <w:rPr>
          <w:rFonts w:cs="Arial"/>
        </w:rPr>
        <w:t>Seizure and sale order—advertisement of sale</w:t>
      </w:r>
    </w:p>
    <w:p w14:paraId="30A65884" w14:textId="77777777"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14:paraId="789E80FD" w14:textId="77777777" w:rsidR="00D94935" w:rsidRPr="00140BF9" w:rsidRDefault="00D94935" w:rsidP="00D94935">
      <w:pPr>
        <w:pStyle w:val="AmdtsEntryHd"/>
        <w:rPr>
          <w:rFonts w:cs="Arial"/>
        </w:rPr>
      </w:pPr>
      <w:r w:rsidRPr="00140BF9">
        <w:rPr>
          <w:rFonts w:cs="Arial"/>
        </w:rPr>
        <w:t>Seizure and sale order—postponement of sale</w:t>
      </w:r>
    </w:p>
    <w:p w14:paraId="73C75D39" w14:textId="77777777"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14:paraId="42504287" w14:textId="77777777" w:rsidR="00D94935" w:rsidRPr="00140BF9" w:rsidRDefault="00D94935" w:rsidP="00D94935">
      <w:pPr>
        <w:pStyle w:val="AmdtsEntryHd"/>
        <w:rPr>
          <w:rFonts w:cs="Arial"/>
        </w:rPr>
      </w:pPr>
      <w:r w:rsidRPr="00140BF9">
        <w:rPr>
          <w:rFonts w:cs="Arial"/>
        </w:rPr>
        <w:t>Seizure and sale order—amounts received</w:t>
      </w:r>
    </w:p>
    <w:p w14:paraId="1C150166" w14:textId="77777777"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14:paraId="6CE35D0D" w14:textId="77777777" w:rsidR="00D94935" w:rsidRPr="00140BF9" w:rsidRDefault="00D94935" w:rsidP="00D94935">
      <w:pPr>
        <w:pStyle w:val="AmdtsEntryHd"/>
        <w:rPr>
          <w:rFonts w:cs="Arial"/>
        </w:rPr>
      </w:pPr>
      <w:r w:rsidRPr="00140BF9">
        <w:rPr>
          <w:rFonts w:cs="Arial"/>
        </w:rPr>
        <w:t>Seizure and sale order—terms about payment</w:t>
      </w:r>
    </w:p>
    <w:p w14:paraId="6975A1FF" w14:textId="77777777"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14:paraId="60D4B197" w14:textId="77777777" w:rsidR="00D94935" w:rsidRPr="00140BF9" w:rsidRDefault="00D94935" w:rsidP="00D94935">
      <w:pPr>
        <w:pStyle w:val="AmdtsEntryHd"/>
        <w:rPr>
          <w:rFonts w:cs="Arial"/>
        </w:rPr>
      </w:pPr>
      <w:r w:rsidRPr="00140BF9">
        <w:rPr>
          <w:rFonts w:cs="Arial"/>
        </w:rPr>
        <w:t>Seizure and sale order—securities held by enforcement officer</w:t>
      </w:r>
    </w:p>
    <w:p w14:paraId="5AADD4A8" w14:textId="77777777"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14:paraId="59C412F6" w14:textId="77777777" w:rsidR="00D94935" w:rsidRPr="00140BF9" w:rsidRDefault="00D94935" w:rsidP="00D94935">
      <w:pPr>
        <w:pStyle w:val="AmdtsEntryHd"/>
        <w:rPr>
          <w:rFonts w:cs="Arial"/>
        </w:rPr>
      </w:pPr>
      <w:r w:rsidRPr="00140BF9">
        <w:rPr>
          <w:rFonts w:cs="Arial"/>
        </w:rPr>
        <w:t>Seizure and sale order—personal property subject to conditional bill of sale</w:t>
      </w:r>
    </w:p>
    <w:p w14:paraId="521850B7" w14:textId="77777777"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14:paraId="09DD6529" w14:textId="77777777" w:rsidR="00D94935" w:rsidRPr="00140BF9" w:rsidRDefault="00D94935" w:rsidP="00D94935">
      <w:pPr>
        <w:pStyle w:val="AmdtsEntryHd"/>
        <w:rPr>
          <w:rFonts w:cs="Arial"/>
        </w:rPr>
      </w:pPr>
      <w:r w:rsidRPr="00140BF9">
        <w:rPr>
          <w:rFonts w:cs="Arial"/>
        </w:rPr>
        <w:t>Seizure and sale order—effect of sale of property</w:t>
      </w:r>
    </w:p>
    <w:p w14:paraId="0D7E7FDC" w14:textId="77777777"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14:paraId="48FBC39C" w14:textId="77777777" w:rsidR="00D94935" w:rsidRPr="00140BF9" w:rsidRDefault="00D94935" w:rsidP="00D94935">
      <w:pPr>
        <w:pStyle w:val="AmdtsEntryHd"/>
        <w:rPr>
          <w:rFonts w:cs="Arial"/>
        </w:rPr>
      </w:pPr>
      <w:r w:rsidRPr="00140BF9">
        <w:rPr>
          <w:rFonts w:cs="Arial"/>
        </w:rPr>
        <w:t>Seizure and sale order—effect of ending of order on completion of sale etc</w:t>
      </w:r>
    </w:p>
    <w:p w14:paraId="7D8C0359" w14:textId="77777777"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14:paraId="7F6958B3" w14:textId="77777777" w:rsidR="00D94935" w:rsidRPr="00140BF9" w:rsidRDefault="00D94935" w:rsidP="00D94935">
      <w:pPr>
        <w:pStyle w:val="AmdtsEntryHd"/>
        <w:rPr>
          <w:rFonts w:cs="Arial"/>
        </w:rPr>
      </w:pPr>
      <w:r w:rsidRPr="00140BF9">
        <w:rPr>
          <w:rFonts w:cs="Arial"/>
        </w:rPr>
        <w:t>Seizure and sale order—appropriation of payments towards order debt</w:t>
      </w:r>
    </w:p>
    <w:p w14:paraId="077CD679" w14:textId="77777777"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14:paraId="5B3C94C8" w14:textId="77777777" w:rsidR="00D94935" w:rsidRPr="00140BF9" w:rsidRDefault="00D94935" w:rsidP="00D94935">
      <w:pPr>
        <w:pStyle w:val="AmdtsEntryHd"/>
        <w:rPr>
          <w:rFonts w:cs="Arial"/>
        </w:rPr>
      </w:pPr>
      <w:r w:rsidRPr="00140BF9">
        <w:rPr>
          <w:rFonts w:cs="Arial"/>
        </w:rPr>
        <w:t>Seizure and sale order—documents giving effect to sale</w:t>
      </w:r>
    </w:p>
    <w:p w14:paraId="3E2498AB" w14:textId="77777777"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14:paraId="1D01B410" w14:textId="77777777" w:rsidR="00D94935" w:rsidRPr="00140BF9" w:rsidRDefault="00D94935" w:rsidP="00D94935">
      <w:pPr>
        <w:pStyle w:val="AmdtsEntryHd"/>
        <w:rPr>
          <w:rFonts w:cs="Arial"/>
        </w:rPr>
      </w:pPr>
      <w:r w:rsidRPr="00140BF9">
        <w:rPr>
          <w:rFonts w:cs="Arial"/>
        </w:rPr>
        <w:lastRenderedPageBreak/>
        <w:t>Seizure and sale order—payment to enforcement debtor</w:t>
      </w:r>
    </w:p>
    <w:p w14:paraId="6565786A" w14:textId="77777777"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14:paraId="00C979F7" w14:textId="5C7A2763"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14:paraId="4C58AB15" w14:textId="77777777" w:rsidR="00D94935" w:rsidRPr="00140BF9" w:rsidRDefault="00D94935" w:rsidP="00D94935">
      <w:pPr>
        <w:pStyle w:val="AmdtsEntryHd"/>
        <w:rPr>
          <w:rFonts w:cs="Arial"/>
        </w:rPr>
      </w:pPr>
      <w:r w:rsidRPr="00140BF9">
        <w:rPr>
          <w:rFonts w:cs="Arial"/>
        </w:rPr>
        <w:t>Seizure and sale order—purchase by enforcement officer or auctioneer prohibited</w:t>
      </w:r>
    </w:p>
    <w:p w14:paraId="00A820DF" w14:textId="77777777"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14:paraId="4D01BA97" w14:textId="77777777" w:rsidR="00D94935" w:rsidRPr="00140BF9" w:rsidRDefault="00D94935" w:rsidP="00D94935">
      <w:pPr>
        <w:pStyle w:val="AmdtsEntryHd"/>
        <w:rPr>
          <w:rFonts w:cs="Arial"/>
        </w:rPr>
      </w:pPr>
      <w:r w:rsidRPr="00140BF9">
        <w:rPr>
          <w:rFonts w:cs="Arial"/>
        </w:rPr>
        <w:t>Seizure and sale order—account etc</w:t>
      </w:r>
    </w:p>
    <w:p w14:paraId="566019CF" w14:textId="77777777"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14:paraId="3FCAEF2B" w14:textId="77777777" w:rsidR="00D94935" w:rsidRPr="00140BF9" w:rsidRDefault="00D94935" w:rsidP="00D94935">
      <w:pPr>
        <w:pStyle w:val="AmdtsEntryHd"/>
        <w:rPr>
          <w:rFonts w:cs="Arial"/>
        </w:rPr>
      </w:pPr>
      <w:r w:rsidRPr="00140BF9">
        <w:rPr>
          <w:rFonts w:cs="Arial"/>
        </w:rPr>
        <w:t>Seizure and sale order—report by enforcement officer</w:t>
      </w:r>
    </w:p>
    <w:p w14:paraId="67461DB5" w14:textId="77777777"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14:paraId="07EEA7D6" w14:textId="77777777" w:rsidR="00D94935" w:rsidRPr="00140BF9" w:rsidRDefault="00D94935" w:rsidP="00D94935">
      <w:pPr>
        <w:pStyle w:val="AmdtsEntryHd"/>
        <w:rPr>
          <w:rFonts w:cs="Arial"/>
        </w:rPr>
      </w:pPr>
      <w:r w:rsidRPr="00140BF9">
        <w:rPr>
          <w:rFonts w:cs="Arial"/>
        </w:rPr>
        <w:t>Seizure and sale order—order for disposal and return of property to enforcement debtor</w:t>
      </w:r>
    </w:p>
    <w:p w14:paraId="69A9729D" w14:textId="77777777"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14:paraId="249EE1E1" w14:textId="77777777" w:rsidR="00D94935" w:rsidRPr="00140BF9" w:rsidRDefault="00D94935" w:rsidP="00D94935">
      <w:pPr>
        <w:pStyle w:val="AmdtsEntryHd"/>
        <w:rPr>
          <w:rFonts w:cs="Arial"/>
        </w:rPr>
      </w:pPr>
      <w:r w:rsidRPr="00140BF9">
        <w:rPr>
          <w:rFonts w:cs="Arial"/>
        </w:rPr>
        <w:t>Application—div 2.18.6</w:t>
      </w:r>
    </w:p>
    <w:p w14:paraId="7E4C3D57" w14:textId="77777777"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14:paraId="4DDA332F" w14:textId="77777777" w:rsidR="00D94935" w:rsidRPr="00140BF9" w:rsidRDefault="00D94935" w:rsidP="00D94935">
      <w:pPr>
        <w:pStyle w:val="AmdtsEntryHd"/>
        <w:rPr>
          <w:rFonts w:cs="Arial"/>
        </w:rPr>
      </w:pPr>
      <w:r w:rsidRPr="00140BF9">
        <w:rPr>
          <w:rFonts w:cs="Arial"/>
        </w:rPr>
        <w:t>Debt redirection order—making</w:t>
      </w:r>
    </w:p>
    <w:p w14:paraId="46EA6039" w14:textId="77777777"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14:paraId="287A55DB" w14:textId="77777777" w:rsidR="00D94935" w:rsidRPr="00140BF9" w:rsidRDefault="00D94935" w:rsidP="00D94935">
      <w:pPr>
        <w:pStyle w:val="AmdtsEntryHd"/>
        <w:rPr>
          <w:rFonts w:cs="Arial"/>
        </w:rPr>
      </w:pPr>
      <w:r w:rsidRPr="00140BF9">
        <w:rPr>
          <w:rFonts w:cs="Arial"/>
        </w:rPr>
        <w:t>Debt redirection order—relevant considerations</w:t>
      </w:r>
    </w:p>
    <w:p w14:paraId="783C82A7" w14:textId="77777777"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14:paraId="446D478A" w14:textId="77777777" w:rsidR="00D94935" w:rsidRPr="00140BF9" w:rsidRDefault="00D94935" w:rsidP="00D94935">
      <w:pPr>
        <w:pStyle w:val="AmdtsEntryHd"/>
        <w:rPr>
          <w:rFonts w:cs="Arial"/>
        </w:rPr>
      </w:pPr>
      <w:r w:rsidRPr="00140BF9">
        <w:rPr>
          <w:rFonts w:cs="Arial"/>
        </w:rPr>
        <w:t>Debt redirection order—joint funds</w:t>
      </w:r>
    </w:p>
    <w:p w14:paraId="2F5E512D" w14:textId="77777777"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14:paraId="505CEF3B" w14:textId="77777777" w:rsidR="00D94935" w:rsidRPr="00140BF9" w:rsidRDefault="00D94935" w:rsidP="00D94935">
      <w:pPr>
        <w:pStyle w:val="AmdtsEntryHd"/>
        <w:rPr>
          <w:rFonts w:cs="Arial"/>
        </w:rPr>
      </w:pPr>
      <w:r w:rsidRPr="00140BF9">
        <w:rPr>
          <w:rFonts w:cs="Arial"/>
        </w:rPr>
        <w:t>Debt redirection order—partnership debts</w:t>
      </w:r>
    </w:p>
    <w:p w14:paraId="18529A01" w14:textId="77777777"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14:paraId="33EADD99" w14:textId="77777777" w:rsidR="00D94935" w:rsidRPr="00140BF9" w:rsidRDefault="00D94935" w:rsidP="00D94935">
      <w:pPr>
        <w:pStyle w:val="AmdtsEntryHd"/>
        <w:rPr>
          <w:rFonts w:cs="Arial"/>
        </w:rPr>
      </w:pPr>
      <w:r w:rsidRPr="00140BF9">
        <w:rPr>
          <w:rFonts w:cs="Arial"/>
        </w:rPr>
        <w:t>Debt redirection order—account with financial institution</w:t>
      </w:r>
    </w:p>
    <w:p w14:paraId="54440A20" w14:textId="77777777"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14:paraId="51455BC5" w14:textId="77777777" w:rsidR="00D94935" w:rsidRPr="00140BF9" w:rsidRDefault="00D94935" w:rsidP="00D94935">
      <w:pPr>
        <w:pStyle w:val="AmdtsEntryHd"/>
        <w:rPr>
          <w:rFonts w:cs="Arial"/>
        </w:rPr>
      </w:pPr>
      <w:r w:rsidRPr="00140BF9">
        <w:rPr>
          <w:rFonts w:cs="Arial"/>
        </w:rPr>
        <w:t>Debt redirection order—claim by someone else</w:t>
      </w:r>
    </w:p>
    <w:p w14:paraId="6CDE6EDA" w14:textId="77777777"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14:paraId="2C4F9CAE" w14:textId="77777777" w:rsidR="00D94935" w:rsidRPr="00140BF9" w:rsidRDefault="00D94935" w:rsidP="00D94935">
      <w:pPr>
        <w:pStyle w:val="AmdtsEntryHd"/>
        <w:rPr>
          <w:rFonts w:cs="Arial"/>
        </w:rPr>
      </w:pPr>
      <w:r w:rsidRPr="00140BF9">
        <w:rPr>
          <w:rFonts w:cs="Arial"/>
        </w:rPr>
        <w:t>Debt redirection order—when debt redirected</w:t>
      </w:r>
    </w:p>
    <w:p w14:paraId="053A7FE1" w14:textId="77777777"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14:paraId="304884D9" w14:textId="77777777" w:rsidR="00D94935" w:rsidRPr="00140BF9" w:rsidRDefault="00D94935" w:rsidP="00D94935">
      <w:pPr>
        <w:pStyle w:val="AmdtsEntryHd"/>
        <w:rPr>
          <w:rFonts w:cs="Arial"/>
        </w:rPr>
      </w:pPr>
      <w:r w:rsidRPr="00140BF9">
        <w:rPr>
          <w:rFonts w:cs="Arial"/>
        </w:rPr>
        <w:t>Debt redirection order—notice by third person to enforcement creditor</w:t>
      </w:r>
    </w:p>
    <w:p w14:paraId="691D55D1" w14:textId="77777777"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14:paraId="25721CBA" w14:textId="77777777" w:rsidR="00D94935" w:rsidRPr="00140BF9" w:rsidRDefault="00D94935" w:rsidP="00D94935">
      <w:pPr>
        <w:pStyle w:val="AmdtsEntryHd"/>
        <w:rPr>
          <w:rFonts w:cs="Arial"/>
        </w:rPr>
      </w:pPr>
      <w:r w:rsidRPr="00140BF9">
        <w:rPr>
          <w:rFonts w:cs="Arial"/>
        </w:rPr>
        <w:t>Debt redirection order—payments by third person</w:t>
      </w:r>
    </w:p>
    <w:p w14:paraId="25C4D155" w14:textId="77777777"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14:paraId="0A9F617B" w14:textId="77777777" w:rsidR="00D94935" w:rsidRPr="00140BF9" w:rsidRDefault="00D94935" w:rsidP="00D94935">
      <w:pPr>
        <w:pStyle w:val="AmdtsEntryHd"/>
        <w:rPr>
          <w:rFonts w:cs="Arial"/>
        </w:rPr>
      </w:pPr>
      <w:r w:rsidRPr="00140BF9">
        <w:rPr>
          <w:rFonts w:cs="Arial"/>
        </w:rPr>
        <w:t>Debt redirection order—third person disputes liability</w:t>
      </w:r>
    </w:p>
    <w:p w14:paraId="1F6B569F" w14:textId="77777777"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14:paraId="73E6C84F" w14:textId="77777777" w:rsidR="00D94935" w:rsidRPr="00140BF9" w:rsidRDefault="00D94935" w:rsidP="00D94935">
      <w:pPr>
        <w:pStyle w:val="AmdtsEntryHd"/>
        <w:rPr>
          <w:rFonts w:cs="Arial"/>
        </w:rPr>
      </w:pPr>
      <w:r w:rsidRPr="00140BF9">
        <w:rPr>
          <w:rFonts w:cs="Arial"/>
        </w:rPr>
        <w:t>Debt redirection order—discharge of third person</w:t>
      </w:r>
    </w:p>
    <w:p w14:paraId="779F6187" w14:textId="77777777"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14:paraId="386D685C" w14:textId="77777777" w:rsidR="00D94935" w:rsidRPr="00140BF9" w:rsidRDefault="00D94935" w:rsidP="00D94935">
      <w:pPr>
        <w:pStyle w:val="AmdtsEntryHd"/>
        <w:rPr>
          <w:rFonts w:cs="Arial"/>
        </w:rPr>
      </w:pPr>
      <w:r w:rsidRPr="00140BF9">
        <w:rPr>
          <w:rFonts w:cs="Arial"/>
        </w:rPr>
        <w:lastRenderedPageBreak/>
        <w:t>Debt redirection order—payment to enforcement debtor despite redirection</w:t>
      </w:r>
    </w:p>
    <w:p w14:paraId="5849760D" w14:textId="77777777"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14:paraId="1542A864" w14:textId="77777777" w:rsidR="00D94935" w:rsidRPr="00140BF9" w:rsidRDefault="00D94935" w:rsidP="00D94935">
      <w:pPr>
        <w:pStyle w:val="AmdtsEntryHd"/>
        <w:rPr>
          <w:rFonts w:cs="Arial"/>
        </w:rPr>
      </w:pPr>
      <w:r w:rsidRPr="00140BF9">
        <w:rPr>
          <w:rFonts w:cs="Arial"/>
        </w:rPr>
        <w:t>Debt redirection order—amending, suspending or setting aside</w:t>
      </w:r>
    </w:p>
    <w:p w14:paraId="3942CBBC" w14:textId="77777777"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14:paraId="528EC91B" w14:textId="77777777" w:rsidR="00D94935" w:rsidRPr="00140BF9" w:rsidRDefault="00D94935" w:rsidP="00D94935">
      <w:pPr>
        <w:pStyle w:val="AmdtsEntryHd"/>
        <w:rPr>
          <w:rFonts w:cs="Arial"/>
        </w:rPr>
      </w:pPr>
      <w:r w:rsidRPr="00140BF9">
        <w:rPr>
          <w:rFonts w:cs="Arial"/>
        </w:rPr>
        <w:t>Debt redirection order—procedure if order not complied with</w:t>
      </w:r>
    </w:p>
    <w:p w14:paraId="4AC5FA88" w14:textId="77777777"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14:paraId="28291890" w14:textId="77777777" w:rsidR="00D94935" w:rsidRPr="00140BF9" w:rsidRDefault="00D94935" w:rsidP="00D94935">
      <w:pPr>
        <w:pStyle w:val="AmdtsEntryHd"/>
        <w:rPr>
          <w:rFonts w:cs="Arial"/>
        </w:rPr>
      </w:pPr>
      <w:r w:rsidRPr="00140BF9">
        <w:rPr>
          <w:rFonts w:cs="Arial"/>
        </w:rPr>
        <w:t>Application—div 2.18.7</w:t>
      </w:r>
    </w:p>
    <w:p w14:paraId="4BA00808" w14:textId="77777777"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14:paraId="5560EBD4" w14:textId="77777777" w:rsidR="00D94935" w:rsidRPr="00140BF9" w:rsidRDefault="00D94935" w:rsidP="00D94935">
      <w:pPr>
        <w:pStyle w:val="AmdtsEntryHd"/>
        <w:rPr>
          <w:rFonts w:cs="Arial"/>
        </w:rPr>
      </w:pPr>
      <w:r w:rsidRPr="00140BF9">
        <w:rPr>
          <w:rFonts w:cs="Arial"/>
        </w:rPr>
        <w:t>Regular redirection order—application of div 2.18.6</w:t>
      </w:r>
    </w:p>
    <w:p w14:paraId="02440474" w14:textId="77777777"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14:paraId="066B80DB" w14:textId="77777777" w:rsidR="00D94935" w:rsidRPr="00140BF9" w:rsidRDefault="00D94935" w:rsidP="00D94935">
      <w:pPr>
        <w:pStyle w:val="AmdtsEntryHd"/>
        <w:rPr>
          <w:rFonts w:cs="Arial"/>
        </w:rPr>
      </w:pPr>
      <w:r w:rsidRPr="00140BF9">
        <w:rPr>
          <w:rFonts w:cs="Arial"/>
        </w:rPr>
        <w:t>Regular redirection order—making</w:t>
      </w:r>
    </w:p>
    <w:p w14:paraId="653AF334" w14:textId="77777777"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14:paraId="2190F1B7" w14:textId="77777777" w:rsidR="00D94935" w:rsidRPr="00140BF9" w:rsidRDefault="00D94935" w:rsidP="00D94935">
      <w:pPr>
        <w:pStyle w:val="AmdtsEntryHd"/>
        <w:rPr>
          <w:rFonts w:cs="Arial"/>
        </w:rPr>
      </w:pPr>
      <w:r w:rsidRPr="00140BF9">
        <w:rPr>
          <w:rFonts w:cs="Arial"/>
        </w:rPr>
        <w:t>Regular redirection order—content</w:t>
      </w:r>
    </w:p>
    <w:p w14:paraId="5095D03F" w14:textId="77777777"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14:paraId="1E62E7C4" w14:textId="77777777" w:rsidR="00D94935" w:rsidRPr="00140BF9" w:rsidRDefault="00D94935" w:rsidP="00D94935">
      <w:pPr>
        <w:pStyle w:val="AmdtsEntryHd"/>
        <w:rPr>
          <w:rFonts w:cs="Arial"/>
        </w:rPr>
      </w:pPr>
      <w:r w:rsidRPr="00140BF9">
        <w:rPr>
          <w:rFonts w:cs="Arial"/>
        </w:rPr>
        <w:t>Regular redirection order—service and coming into force</w:t>
      </w:r>
    </w:p>
    <w:p w14:paraId="53620CBD" w14:textId="77777777" w:rsidR="00D94935" w:rsidRDefault="00D94935" w:rsidP="00D94935">
      <w:pPr>
        <w:pStyle w:val="AmdtsEntries"/>
        <w:rPr>
          <w:rFonts w:eastAsiaTheme="minorEastAsia" w:cs="Arial"/>
          <w:szCs w:val="22"/>
          <w:lang w:eastAsia="en-AU"/>
        </w:rPr>
      </w:pPr>
      <w:r w:rsidRPr="00140BF9">
        <w:rPr>
          <w:rFonts w:cs="Arial"/>
        </w:rPr>
        <w:t>r 2334 hdg</w:t>
      </w:r>
      <w:r w:rsidRPr="00140BF9">
        <w:rPr>
          <w:rFonts w:eastAsiaTheme="minorEastAsia" w:cs="Arial"/>
          <w:szCs w:val="22"/>
          <w:lang w:eastAsia="en-AU"/>
        </w:rPr>
        <w:tab/>
        <w:t>bracketed note om R29 LA</w:t>
      </w:r>
    </w:p>
    <w:p w14:paraId="0BAE6BCA" w14:textId="75D92C22" w:rsidR="004745AC" w:rsidRPr="00140BF9" w:rsidRDefault="004745AC" w:rsidP="00D94935">
      <w:pPr>
        <w:pStyle w:val="AmdtsEntries"/>
        <w:rPr>
          <w:rFonts w:cs="Arial"/>
        </w:rPr>
      </w:pPr>
      <w:r>
        <w:rPr>
          <w:rFonts w:eastAsiaTheme="minorEastAsia" w:cs="Arial"/>
          <w:szCs w:val="22"/>
          <w:lang w:eastAsia="en-AU"/>
        </w:rPr>
        <w:t>r 2334</w:t>
      </w:r>
      <w:r>
        <w:rPr>
          <w:rFonts w:eastAsiaTheme="minorEastAsia" w:cs="Arial"/>
          <w:szCs w:val="22"/>
          <w:lang w:eastAsia="en-AU"/>
        </w:rPr>
        <w:tab/>
        <w:t xml:space="preserve">am </w:t>
      </w:r>
      <w:hyperlink r:id="rId1577"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27</w:t>
      </w:r>
    </w:p>
    <w:p w14:paraId="738F93E3" w14:textId="77777777" w:rsidR="00D94935" w:rsidRPr="00140BF9" w:rsidRDefault="00D94935" w:rsidP="00D94935">
      <w:pPr>
        <w:pStyle w:val="AmdtsEntryHd"/>
        <w:rPr>
          <w:rFonts w:cs="Arial"/>
        </w:rPr>
      </w:pPr>
      <w:r w:rsidRPr="00140BF9">
        <w:rPr>
          <w:rFonts w:cs="Arial"/>
        </w:rPr>
        <w:t>Regular redirection order—financial institution to make payments etc</w:t>
      </w:r>
    </w:p>
    <w:p w14:paraId="66295483" w14:textId="77777777"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14:paraId="5A9C18E7" w14:textId="77777777" w:rsidR="00D94935" w:rsidRPr="00140BF9" w:rsidRDefault="00D94935" w:rsidP="00D94935">
      <w:pPr>
        <w:pStyle w:val="AmdtsEntryHd"/>
        <w:rPr>
          <w:rFonts w:cs="Arial"/>
        </w:rPr>
      </w:pPr>
      <w:r w:rsidRPr="00140BF9">
        <w:rPr>
          <w:rFonts w:cs="Arial"/>
        </w:rPr>
        <w:t>Regular redirection order—enforcement debtor not to defeat order</w:t>
      </w:r>
    </w:p>
    <w:p w14:paraId="317444AA" w14:textId="77777777"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14:paraId="547AF311" w14:textId="77777777" w:rsidR="00D94935" w:rsidRPr="00140BF9" w:rsidRDefault="00D94935" w:rsidP="00D94935">
      <w:pPr>
        <w:pStyle w:val="AmdtsEntryHd"/>
        <w:rPr>
          <w:rFonts w:cs="Arial"/>
        </w:rPr>
      </w:pPr>
      <w:r w:rsidRPr="00140BF9">
        <w:rPr>
          <w:rFonts w:cs="Arial"/>
        </w:rPr>
        <w:t>Regular redirection order—no other enforcement while in force</w:t>
      </w:r>
    </w:p>
    <w:p w14:paraId="0BCBADB1" w14:textId="77777777"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14:paraId="1FD322F7" w14:textId="77777777" w:rsidR="00D94935" w:rsidRPr="00140BF9" w:rsidRDefault="00D94935" w:rsidP="00D94935">
      <w:pPr>
        <w:pStyle w:val="AmdtsEntryHd"/>
        <w:rPr>
          <w:rFonts w:cs="Arial"/>
        </w:rPr>
      </w:pPr>
      <w:r w:rsidRPr="00140BF9">
        <w:rPr>
          <w:rFonts w:cs="Arial"/>
        </w:rPr>
        <w:t>Regular redirection order—ceasing to have effect</w:t>
      </w:r>
    </w:p>
    <w:p w14:paraId="01F11209" w14:textId="77777777"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14:paraId="184D8E82" w14:textId="77777777" w:rsidR="00D94935" w:rsidRPr="00140BF9" w:rsidRDefault="00D94935" w:rsidP="00D94935">
      <w:pPr>
        <w:pStyle w:val="AmdtsEntryHd"/>
        <w:rPr>
          <w:rFonts w:cs="Arial"/>
        </w:rPr>
      </w:pPr>
      <w:r w:rsidRPr="00140BF9">
        <w:rPr>
          <w:rFonts w:cs="Arial"/>
        </w:rPr>
        <w:t>Earnings redirection order—making</w:t>
      </w:r>
    </w:p>
    <w:p w14:paraId="7260BD49" w14:textId="77777777"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14:paraId="044A82DF" w14:textId="77777777" w:rsidR="00D94935" w:rsidRPr="00140BF9" w:rsidRDefault="00D94935" w:rsidP="00D94935">
      <w:pPr>
        <w:pStyle w:val="AmdtsEntryHd"/>
        <w:rPr>
          <w:rFonts w:cs="Arial"/>
        </w:rPr>
      </w:pPr>
      <w:r w:rsidRPr="00140BF9">
        <w:rPr>
          <w:rFonts w:cs="Arial"/>
        </w:rPr>
        <w:t>Earnings redirection order—relevant considerations</w:t>
      </w:r>
    </w:p>
    <w:p w14:paraId="398B6779" w14:textId="77777777"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14:paraId="340D6B38" w14:textId="77777777" w:rsidR="00D94935" w:rsidRPr="00140BF9" w:rsidRDefault="0012661C" w:rsidP="00D94935">
      <w:pPr>
        <w:pStyle w:val="AmdtsEntryHd"/>
        <w:rPr>
          <w:rFonts w:cs="Arial"/>
        </w:rPr>
      </w:pPr>
      <w:r w:rsidRPr="00CE5D4D">
        <w:t>Earnings redirection order—limit</w:t>
      </w:r>
    </w:p>
    <w:p w14:paraId="01D70A28" w14:textId="77777777"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14:paraId="31AD4699" w14:textId="4DD7A4DA"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7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14:paraId="5F7A198C" w14:textId="77777777" w:rsidR="00D94935" w:rsidRPr="00140BF9" w:rsidRDefault="00D94935" w:rsidP="00D94935">
      <w:pPr>
        <w:pStyle w:val="AmdtsEntryHd"/>
        <w:rPr>
          <w:rFonts w:cs="Arial"/>
        </w:rPr>
      </w:pPr>
      <w:r w:rsidRPr="00140BF9">
        <w:rPr>
          <w:rFonts w:cs="Arial"/>
        </w:rPr>
        <w:t>Earnings redirection order—information about enforcement debtor’s earnings</w:t>
      </w:r>
    </w:p>
    <w:p w14:paraId="6A330904" w14:textId="77777777"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14:paraId="42EDD3A4" w14:textId="77777777" w:rsidR="00D94935" w:rsidRPr="00140BF9" w:rsidRDefault="00D94935" w:rsidP="00D94935">
      <w:pPr>
        <w:pStyle w:val="AmdtsEntryHd"/>
        <w:rPr>
          <w:rFonts w:cs="Arial"/>
        </w:rPr>
      </w:pPr>
      <w:r w:rsidRPr="00140BF9">
        <w:rPr>
          <w:rFonts w:cs="Arial"/>
        </w:rPr>
        <w:t>Earnings redirection order—content</w:t>
      </w:r>
    </w:p>
    <w:p w14:paraId="38DD17B7" w14:textId="77777777"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14:paraId="14E398DB" w14:textId="77777777" w:rsidR="00D94935" w:rsidRPr="00140BF9" w:rsidRDefault="00D94935" w:rsidP="00D94935">
      <w:pPr>
        <w:pStyle w:val="AmdtsEntryHd"/>
        <w:rPr>
          <w:rFonts w:cs="Arial"/>
        </w:rPr>
      </w:pPr>
      <w:r w:rsidRPr="00140BF9">
        <w:rPr>
          <w:rFonts w:cs="Arial"/>
        </w:rPr>
        <w:lastRenderedPageBreak/>
        <w:t>Earnings redirection order—service and coming into force</w:t>
      </w:r>
    </w:p>
    <w:p w14:paraId="7A6BC712" w14:textId="77777777"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14:paraId="093F7277" w14:textId="6B62D84F" w:rsidR="004745AC" w:rsidRPr="00140BF9" w:rsidRDefault="004745AC" w:rsidP="004745AC">
      <w:pPr>
        <w:pStyle w:val="AmdtsEntries"/>
        <w:rPr>
          <w:rFonts w:cs="Arial"/>
        </w:rPr>
      </w:pPr>
      <w:r>
        <w:rPr>
          <w:rFonts w:eastAsiaTheme="minorEastAsia" w:cs="Arial"/>
          <w:szCs w:val="22"/>
          <w:lang w:eastAsia="en-AU"/>
        </w:rPr>
        <w:t>r 2356</w:t>
      </w:r>
      <w:r>
        <w:rPr>
          <w:rFonts w:eastAsiaTheme="minorEastAsia" w:cs="Arial"/>
          <w:szCs w:val="22"/>
          <w:lang w:eastAsia="en-AU"/>
        </w:rPr>
        <w:tab/>
        <w:t xml:space="preserve">am </w:t>
      </w:r>
      <w:hyperlink r:id="rId157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28</w:t>
      </w:r>
    </w:p>
    <w:p w14:paraId="13C1029D" w14:textId="77777777" w:rsidR="00D94935" w:rsidRPr="00140BF9" w:rsidRDefault="00D94935" w:rsidP="00D94935">
      <w:pPr>
        <w:pStyle w:val="AmdtsEntryHd"/>
        <w:rPr>
          <w:rFonts w:cs="Arial"/>
        </w:rPr>
      </w:pPr>
      <w:r w:rsidRPr="00140BF9">
        <w:rPr>
          <w:rFonts w:cs="Arial"/>
        </w:rPr>
        <w:t>Earnings redirection order—person served not employer</w:t>
      </w:r>
    </w:p>
    <w:p w14:paraId="6E8E0B49" w14:textId="77777777"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14:paraId="5A53EFF2" w14:textId="77777777" w:rsidR="00D94935" w:rsidRPr="00140BF9" w:rsidRDefault="00D94935" w:rsidP="00D94935">
      <w:pPr>
        <w:pStyle w:val="AmdtsEntryHd"/>
        <w:rPr>
          <w:rFonts w:cs="Arial"/>
        </w:rPr>
      </w:pPr>
      <w:r w:rsidRPr="00140BF9">
        <w:rPr>
          <w:rFonts w:cs="Arial"/>
        </w:rPr>
        <w:t>Earnings redirection order—employer to make payments etc</w:t>
      </w:r>
    </w:p>
    <w:p w14:paraId="6128FDA4" w14:textId="77777777" w:rsidR="00D94935" w:rsidRDefault="00D94935" w:rsidP="00745DAF">
      <w:pPr>
        <w:pStyle w:val="AmdtsEntries"/>
        <w:keepNext/>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14:paraId="7C97578A" w14:textId="130A3CBE"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8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14:paraId="5506369A" w14:textId="77777777" w:rsidR="00D94935" w:rsidRPr="00140BF9" w:rsidRDefault="00D94935" w:rsidP="00D94935">
      <w:pPr>
        <w:pStyle w:val="AmdtsEntryHd"/>
        <w:rPr>
          <w:rFonts w:cs="Arial"/>
        </w:rPr>
      </w:pPr>
      <w:r w:rsidRPr="00140BF9">
        <w:rPr>
          <w:rFonts w:cs="Arial"/>
        </w:rPr>
        <w:t>Earnings redirection order—no other enforcement while in force</w:t>
      </w:r>
    </w:p>
    <w:p w14:paraId="6A699A51" w14:textId="77777777"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14:paraId="70521699" w14:textId="77777777" w:rsidR="00D94935" w:rsidRPr="00140BF9" w:rsidRDefault="00D94935" w:rsidP="00D94935">
      <w:pPr>
        <w:pStyle w:val="AmdtsEntryHd"/>
        <w:rPr>
          <w:rFonts w:cs="Arial"/>
        </w:rPr>
      </w:pPr>
      <w:r w:rsidRPr="00140BF9">
        <w:rPr>
          <w:rFonts w:cs="Arial"/>
        </w:rPr>
        <w:t>Earnings redirection order—amending, suspending or setting aside</w:t>
      </w:r>
    </w:p>
    <w:p w14:paraId="1839F17B" w14:textId="77777777"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14:paraId="01F1C5F1" w14:textId="77777777" w:rsidR="00D94935" w:rsidRPr="00140BF9" w:rsidRDefault="00D94935" w:rsidP="00D94935">
      <w:pPr>
        <w:pStyle w:val="AmdtsEntryHd"/>
        <w:rPr>
          <w:rFonts w:cs="Arial"/>
        </w:rPr>
      </w:pPr>
      <w:r w:rsidRPr="00140BF9">
        <w:rPr>
          <w:rFonts w:cs="Arial"/>
        </w:rPr>
        <w:t>Earnings redirection order—ceasing to have effect</w:t>
      </w:r>
    </w:p>
    <w:p w14:paraId="33436241" w14:textId="77777777"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14:paraId="3B1D17D4" w14:textId="77777777" w:rsidR="00D94935" w:rsidRPr="00140BF9" w:rsidRDefault="00D94935" w:rsidP="00D94935">
      <w:pPr>
        <w:pStyle w:val="AmdtsEntryHd"/>
        <w:rPr>
          <w:rFonts w:cs="Arial"/>
        </w:rPr>
      </w:pPr>
      <w:r w:rsidRPr="00140BF9">
        <w:rPr>
          <w:rFonts w:cs="Arial"/>
        </w:rPr>
        <w:t>Earnings redirection order—return of excess</w:t>
      </w:r>
    </w:p>
    <w:p w14:paraId="6628040B" w14:textId="77777777"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14:paraId="283006A5" w14:textId="77777777" w:rsidR="00D94935" w:rsidRPr="00140BF9" w:rsidRDefault="00D94935" w:rsidP="00D94935">
      <w:pPr>
        <w:pStyle w:val="AmdtsEntryHd"/>
        <w:rPr>
          <w:rFonts w:cs="Arial"/>
        </w:rPr>
      </w:pPr>
      <w:r w:rsidRPr="00140BF9">
        <w:rPr>
          <w:rFonts w:cs="Arial"/>
        </w:rPr>
        <w:t>Earnings redirection order—record of payments</w:t>
      </w:r>
    </w:p>
    <w:p w14:paraId="557BA9F4" w14:textId="5C3129D1"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14:paraId="0433D075" w14:textId="77777777" w:rsidR="00D94935" w:rsidRPr="00140BF9" w:rsidRDefault="00D94935" w:rsidP="00D94935">
      <w:pPr>
        <w:pStyle w:val="AmdtsEntryHd"/>
        <w:rPr>
          <w:rFonts w:cs="Arial"/>
        </w:rPr>
      </w:pPr>
      <w:r w:rsidRPr="00140BF9">
        <w:rPr>
          <w:rFonts w:cs="Arial"/>
        </w:rPr>
        <w:t>Earnings redirection order—2 or more orders in force</w:t>
      </w:r>
    </w:p>
    <w:p w14:paraId="52D0D1AC" w14:textId="77777777"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14:paraId="3008A407" w14:textId="77777777" w:rsidR="00D94935" w:rsidRPr="00140BF9" w:rsidRDefault="00D94935" w:rsidP="00D94935">
      <w:pPr>
        <w:pStyle w:val="AmdtsEntryHd"/>
        <w:rPr>
          <w:rFonts w:cs="Arial"/>
        </w:rPr>
      </w:pPr>
      <w:r w:rsidRPr="00140BF9">
        <w:rPr>
          <w:rFonts w:cs="Arial"/>
        </w:rPr>
        <w:t>Earnings redirection order—person served ceasing to be employer</w:t>
      </w:r>
    </w:p>
    <w:p w14:paraId="568973A3" w14:textId="77777777"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14:paraId="72261EE9" w14:textId="77777777" w:rsidR="00D94935" w:rsidRPr="00140BF9" w:rsidRDefault="00D94935" w:rsidP="00D94935">
      <w:pPr>
        <w:pStyle w:val="AmdtsEntryHd"/>
        <w:rPr>
          <w:rFonts w:cs="Arial"/>
        </w:rPr>
      </w:pPr>
      <w:r w:rsidRPr="00140BF9">
        <w:rPr>
          <w:rFonts w:cs="Arial"/>
        </w:rPr>
        <w:t>Earnings redirection order—enforcement debtor changes or ceases employment</w:t>
      </w:r>
    </w:p>
    <w:p w14:paraId="3B7CC3A9" w14:textId="77777777"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14:paraId="3C6AFD57" w14:textId="77777777" w:rsidR="00D94935" w:rsidRPr="00140BF9" w:rsidRDefault="00D94935" w:rsidP="00D94935">
      <w:pPr>
        <w:pStyle w:val="AmdtsEntryHd"/>
        <w:rPr>
          <w:rFonts w:cs="Arial"/>
        </w:rPr>
      </w:pPr>
      <w:r w:rsidRPr="00140BF9">
        <w:rPr>
          <w:rFonts w:cs="Arial"/>
        </w:rPr>
        <w:t>Earnings redirection order—directions</w:t>
      </w:r>
    </w:p>
    <w:p w14:paraId="6F85CF5D" w14:textId="77777777"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14:paraId="7B711E0A" w14:textId="77777777" w:rsidR="00D94935" w:rsidRPr="00140BF9" w:rsidRDefault="00D94935" w:rsidP="00D94935">
      <w:pPr>
        <w:pStyle w:val="AmdtsEntryHd"/>
        <w:rPr>
          <w:rFonts w:cs="Arial"/>
        </w:rPr>
      </w:pPr>
      <w:r w:rsidRPr="00140BF9">
        <w:rPr>
          <w:rFonts w:cs="Arial"/>
        </w:rPr>
        <w:t>Earnings redirection order—employment protection</w:t>
      </w:r>
    </w:p>
    <w:p w14:paraId="3D9A5E31" w14:textId="77777777"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14:paraId="661C61AE" w14:textId="77777777" w:rsidR="00D94935" w:rsidRPr="00140BF9" w:rsidRDefault="00D94935" w:rsidP="00D94935">
      <w:pPr>
        <w:pStyle w:val="AmdtsEntryHd"/>
        <w:rPr>
          <w:rFonts w:cs="Arial"/>
        </w:rPr>
      </w:pPr>
      <w:r w:rsidRPr="00140BF9">
        <w:rPr>
          <w:rFonts w:cs="Arial"/>
        </w:rPr>
        <w:t>Earnings redirection order—procedure if order not complied with</w:t>
      </w:r>
    </w:p>
    <w:p w14:paraId="69DC2EEB" w14:textId="77777777"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14:paraId="3F00DDFD" w14:textId="77777777" w:rsidR="00D94935" w:rsidRPr="00140BF9" w:rsidRDefault="00D94935" w:rsidP="00D94935">
      <w:pPr>
        <w:pStyle w:val="AmdtsEntryHd"/>
        <w:rPr>
          <w:rFonts w:cs="Arial"/>
        </w:rPr>
      </w:pPr>
      <w:r w:rsidRPr="00140BF9">
        <w:rPr>
          <w:rFonts w:cs="Arial"/>
        </w:rPr>
        <w:t>Application—div 2.18.9</w:t>
      </w:r>
    </w:p>
    <w:p w14:paraId="1F510CFA" w14:textId="77777777"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14:paraId="036B930A" w14:textId="77777777" w:rsidR="00D94935" w:rsidRPr="00140BF9" w:rsidRDefault="00D94935" w:rsidP="00D94935">
      <w:pPr>
        <w:pStyle w:val="AmdtsEntryHd"/>
        <w:rPr>
          <w:rFonts w:cs="Arial"/>
        </w:rPr>
      </w:pPr>
      <w:r w:rsidRPr="00140BF9">
        <w:rPr>
          <w:rFonts w:cs="Arial"/>
        </w:rPr>
        <w:t>Charging order—making</w:t>
      </w:r>
    </w:p>
    <w:p w14:paraId="50F48D4C" w14:textId="77777777"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14:paraId="50DD6BF5" w14:textId="77777777" w:rsidR="00D94935" w:rsidRPr="00140BF9" w:rsidRDefault="00D94935" w:rsidP="00D94935">
      <w:pPr>
        <w:pStyle w:val="AmdtsEntryHd"/>
        <w:rPr>
          <w:rFonts w:cs="Arial"/>
        </w:rPr>
      </w:pPr>
      <w:r w:rsidRPr="00140BF9">
        <w:rPr>
          <w:rFonts w:cs="Arial"/>
        </w:rPr>
        <w:t>Charging order—effect</w:t>
      </w:r>
    </w:p>
    <w:p w14:paraId="59837D8E" w14:textId="77777777"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14:paraId="24748B7A" w14:textId="77777777" w:rsidR="00D94935" w:rsidRPr="00140BF9" w:rsidRDefault="00D94935" w:rsidP="00D94935">
      <w:pPr>
        <w:pStyle w:val="AmdtsEntryHd"/>
        <w:rPr>
          <w:rFonts w:cs="Arial"/>
        </w:rPr>
      </w:pPr>
      <w:r w:rsidRPr="00140BF9">
        <w:rPr>
          <w:rFonts w:cs="Arial"/>
        </w:rPr>
        <w:lastRenderedPageBreak/>
        <w:t>Charging order—enforcement debtor dealing with charged property</w:t>
      </w:r>
    </w:p>
    <w:p w14:paraId="26178776" w14:textId="77777777"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14:paraId="6FB47FEC" w14:textId="77777777" w:rsidR="00D94935" w:rsidRPr="00140BF9" w:rsidRDefault="00D94935" w:rsidP="00D94935">
      <w:pPr>
        <w:pStyle w:val="AmdtsEntryHd"/>
        <w:rPr>
          <w:rFonts w:cs="Arial"/>
        </w:rPr>
      </w:pPr>
      <w:r w:rsidRPr="00140BF9">
        <w:rPr>
          <w:rFonts w:cs="Arial"/>
        </w:rPr>
        <w:t>Charging order—issuer etc dealing with charged property</w:t>
      </w:r>
    </w:p>
    <w:p w14:paraId="7A9C7A91" w14:textId="77777777"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14:paraId="6016F400" w14:textId="77777777" w:rsidR="00D94935" w:rsidRPr="00140BF9" w:rsidRDefault="00D94935" w:rsidP="00D94935">
      <w:pPr>
        <w:pStyle w:val="AmdtsEntryHd"/>
        <w:rPr>
          <w:rFonts w:cs="Arial"/>
        </w:rPr>
      </w:pPr>
      <w:r w:rsidRPr="00140BF9">
        <w:rPr>
          <w:rFonts w:cs="Arial"/>
        </w:rPr>
        <w:t>Charging order—application to enforce charge</w:t>
      </w:r>
    </w:p>
    <w:p w14:paraId="6B9B906B" w14:textId="77777777"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14:paraId="4A0052B4" w14:textId="77777777" w:rsidR="00D94935" w:rsidRPr="00140BF9" w:rsidRDefault="00D94935" w:rsidP="00D94935">
      <w:pPr>
        <w:pStyle w:val="AmdtsEntryHd"/>
        <w:rPr>
          <w:rFonts w:cs="Arial"/>
        </w:rPr>
      </w:pPr>
      <w:r w:rsidRPr="00140BF9">
        <w:rPr>
          <w:rFonts w:cs="Arial"/>
        </w:rPr>
        <w:t>Charging order—procedure against partnership property for partner’s separate order debt</w:t>
      </w:r>
    </w:p>
    <w:p w14:paraId="0971AAB8" w14:textId="77777777"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14:paraId="68AF1AD3" w14:textId="77777777" w:rsidR="00D94935" w:rsidRPr="00140BF9" w:rsidRDefault="00D94935" w:rsidP="00D94935">
      <w:pPr>
        <w:pStyle w:val="AmdtsEntryHd"/>
        <w:rPr>
          <w:rFonts w:cs="Arial"/>
        </w:rPr>
      </w:pPr>
      <w:r w:rsidRPr="00140BF9">
        <w:rPr>
          <w:rFonts w:cs="Arial"/>
        </w:rPr>
        <w:t>Enforcement orders—amounts in court</w:t>
      </w:r>
    </w:p>
    <w:p w14:paraId="20A50385" w14:textId="77777777"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14:paraId="7584CA3F" w14:textId="77777777" w:rsidR="00D94935" w:rsidRPr="00140BF9" w:rsidRDefault="00D94935" w:rsidP="00D94935">
      <w:pPr>
        <w:pStyle w:val="AmdtsEntryHd"/>
        <w:rPr>
          <w:rFonts w:cs="Arial"/>
        </w:rPr>
      </w:pPr>
      <w:r w:rsidRPr="00140BF9">
        <w:rPr>
          <w:rFonts w:cs="Arial"/>
          <w:lang w:val="en-US"/>
        </w:rPr>
        <w:t>Enforcement orders—stop orders</w:t>
      </w:r>
    </w:p>
    <w:p w14:paraId="024FD74A" w14:textId="77777777"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14:paraId="4C02E3DC" w14:textId="77777777" w:rsidR="00D94935" w:rsidRPr="00140BF9" w:rsidRDefault="00D94935" w:rsidP="00D94935">
      <w:pPr>
        <w:pStyle w:val="AmdtsEntryHd"/>
        <w:rPr>
          <w:rFonts w:cs="Arial"/>
        </w:rPr>
      </w:pPr>
      <w:r w:rsidRPr="00140BF9">
        <w:rPr>
          <w:rFonts w:cs="Arial"/>
        </w:rPr>
        <w:t>Application—div 2.18.11</w:t>
      </w:r>
    </w:p>
    <w:p w14:paraId="25EC4EAF" w14:textId="77777777"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14:paraId="75935F4C" w14:textId="77777777" w:rsidR="00D94935" w:rsidRPr="00140BF9" w:rsidRDefault="00D94935" w:rsidP="00D94935">
      <w:pPr>
        <w:pStyle w:val="AmdtsEntryHd"/>
        <w:rPr>
          <w:rFonts w:cs="Arial"/>
        </w:rPr>
      </w:pPr>
      <w:r w:rsidRPr="00140BF9">
        <w:rPr>
          <w:rFonts w:cs="Arial"/>
        </w:rPr>
        <w:t>Receiver—appointment</w:t>
      </w:r>
    </w:p>
    <w:p w14:paraId="31BBCAA4" w14:textId="77777777"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14:paraId="0C59BBF0" w14:textId="77777777" w:rsidR="00D94935" w:rsidRPr="00140BF9" w:rsidRDefault="00D94935" w:rsidP="00D94935">
      <w:pPr>
        <w:pStyle w:val="AmdtsEntryHd"/>
        <w:rPr>
          <w:rFonts w:cs="Arial"/>
        </w:rPr>
      </w:pPr>
      <w:r w:rsidRPr="00140BF9">
        <w:rPr>
          <w:rFonts w:cs="Arial"/>
        </w:rPr>
        <w:t>Receiver—relevant considerations for appointment</w:t>
      </w:r>
    </w:p>
    <w:p w14:paraId="698BAF2A" w14:textId="77777777"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14:paraId="2ECBDB51" w14:textId="77777777" w:rsidR="00D94935" w:rsidRPr="00140BF9" w:rsidRDefault="00D94935" w:rsidP="00D94935">
      <w:pPr>
        <w:pStyle w:val="AmdtsEntryHd"/>
        <w:rPr>
          <w:rFonts w:cs="Arial"/>
        </w:rPr>
      </w:pPr>
      <w:r w:rsidRPr="00140BF9">
        <w:rPr>
          <w:rFonts w:cs="Arial"/>
        </w:rPr>
        <w:t>Receiver—powers</w:t>
      </w:r>
    </w:p>
    <w:p w14:paraId="5DA96BF8" w14:textId="77777777"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14:paraId="479FF61D" w14:textId="77777777" w:rsidR="00D94935" w:rsidRPr="00140BF9" w:rsidRDefault="00D94935" w:rsidP="00D94935">
      <w:pPr>
        <w:pStyle w:val="AmdtsEntryHd"/>
        <w:rPr>
          <w:rFonts w:cs="Arial"/>
        </w:rPr>
      </w:pPr>
      <w:r w:rsidRPr="00140BF9">
        <w:rPr>
          <w:rFonts w:cs="Arial"/>
        </w:rPr>
        <w:t>Receiver—general provisions apply</w:t>
      </w:r>
    </w:p>
    <w:p w14:paraId="5EB19B63" w14:textId="77777777"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14:paraId="5EA31189" w14:textId="77777777" w:rsidR="00D94935" w:rsidRPr="00140BF9" w:rsidRDefault="00D94935" w:rsidP="00D94935">
      <w:pPr>
        <w:pStyle w:val="AmdtsEntryHd"/>
        <w:rPr>
          <w:rFonts w:cs="Arial"/>
        </w:rPr>
      </w:pPr>
      <w:r w:rsidRPr="00140BF9">
        <w:rPr>
          <w:rFonts w:cs="Arial"/>
        </w:rPr>
        <w:t>Enforcement—orders for possession of land</w:t>
      </w:r>
    </w:p>
    <w:p w14:paraId="30E4962D" w14:textId="77777777"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14:paraId="4C621B48" w14:textId="77777777" w:rsidR="00D94935" w:rsidRPr="00140BF9" w:rsidRDefault="00D94935" w:rsidP="00D94935">
      <w:pPr>
        <w:pStyle w:val="AmdtsEntryHd"/>
        <w:rPr>
          <w:rFonts w:cs="Arial"/>
        </w:rPr>
      </w:pPr>
      <w:r w:rsidRPr="00140BF9">
        <w:rPr>
          <w:rFonts w:cs="Arial"/>
        </w:rPr>
        <w:t>Enforcement—orders for return of goods etc</w:t>
      </w:r>
    </w:p>
    <w:p w14:paraId="6ABD7850" w14:textId="77777777"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14:paraId="01BD8921" w14:textId="4DD4DC9B"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8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14:paraId="5F427853" w14:textId="77777777" w:rsidR="00D94935" w:rsidRPr="00140BF9" w:rsidRDefault="00D94935" w:rsidP="00D94935">
      <w:pPr>
        <w:pStyle w:val="AmdtsEntryHd"/>
        <w:rPr>
          <w:rFonts w:cs="Arial"/>
        </w:rPr>
      </w:pPr>
      <w:r w:rsidRPr="00140BF9">
        <w:rPr>
          <w:rFonts w:cs="Arial"/>
        </w:rPr>
        <w:t>Enforcement—orders to do or not do an act</w:t>
      </w:r>
    </w:p>
    <w:p w14:paraId="140EF0FB" w14:textId="77777777"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14:paraId="1C3F9C16" w14:textId="3B3F061F"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8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14:paraId="4F53B5BC" w14:textId="77777777" w:rsidR="00D94935" w:rsidRPr="00140BF9" w:rsidRDefault="00D94935" w:rsidP="00D94935">
      <w:pPr>
        <w:pStyle w:val="AmdtsEntryHd"/>
        <w:rPr>
          <w:rFonts w:cs="Arial"/>
        </w:rPr>
      </w:pPr>
      <w:r w:rsidRPr="00140BF9">
        <w:rPr>
          <w:rFonts w:cs="Arial"/>
        </w:rPr>
        <w:t>Enforcement—undertakings</w:t>
      </w:r>
    </w:p>
    <w:p w14:paraId="596FBA8C" w14:textId="77777777"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14:paraId="2E54711D" w14:textId="0CEAEA3F"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8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14:paraId="788440B8" w14:textId="77777777" w:rsidR="00D94935" w:rsidRPr="00140BF9" w:rsidRDefault="00D94935" w:rsidP="00D94935">
      <w:pPr>
        <w:pStyle w:val="AmdtsEntryHd"/>
        <w:rPr>
          <w:rFonts w:cs="Arial"/>
        </w:rPr>
      </w:pPr>
      <w:r w:rsidRPr="00140BF9">
        <w:rPr>
          <w:rFonts w:cs="Arial"/>
        </w:rPr>
        <w:t>Enforcement—failure of individual to comply with subpoena etc</w:t>
      </w:r>
    </w:p>
    <w:p w14:paraId="04B3D539" w14:textId="77777777"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14:paraId="0207A149" w14:textId="62E5A426"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14:paraId="79C31C1F" w14:textId="77777777" w:rsidR="00D94935" w:rsidRPr="00140BF9" w:rsidRDefault="00D94935" w:rsidP="00D94935">
      <w:pPr>
        <w:pStyle w:val="AmdtsEntryHd"/>
        <w:rPr>
          <w:rFonts w:cs="Arial"/>
        </w:rPr>
      </w:pPr>
      <w:r w:rsidRPr="00140BF9">
        <w:rPr>
          <w:rFonts w:cs="Arial"/>
        </w:rPr>
        <w:lastRenderedPageBreak/>
        <w:t>Enforcement—failure of corporation to comply with subpoena etc</w:t>
      </w:r>
    </w:p>
    <w:p w14:paraId="4D1AD0B7" w14:textId="77777777"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14:paraId="18C5EC34" w14:textId="3EE882F9"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14:paraId="7C0333B2" w14:textId="77777777" w:rsidR="00D94935" w:rsidRPr="00140BF9" w:rsidRDefault="00D94935" w:rsidP="00D94935">
      <w:pPr>
        <w:pStyle w:val="AmdtsEntryHd"/>
        <w:rPr>
          <w:rFonts w:cs="Arial"/>
        </w:rPr>
      </w:pPr>
      <w:r w:rsidRPr="00140BF9">
        <w:rPr>
          <w:rFonts w:cs="Arial"/>
        </w:rPr>
        <w:t>Enforcement by contempt or seizing and detaining property—preconditions</w:t>
      </w:r>
    </w:p>
    <w:p w14:paraId="21E32555" w14:textId="77777777"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14:paraId="221BF67D" w14:textId="7AECF412"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8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14:paraId="25CBCD43" w14:textId="77777777" w:rsidR="00D94935" w:rsidRPr="00140BF9" w:rsidRDefault="00D94935" w:rsidP="00D94935">
      <w:pPr>
        <w:pStyle w:val="AmdtsEntryHd"/>
        <w:rPr>
          <w:rFonts w:cs="Arial"/>
        </w:rPr>
      </w:pPr>
      <w:r w:rsidRPr="00140BF9">
        <w:rPr>
          <w:rFonts w:cs="Arial"/>
        </w:rPr>
        <w:t>Order for delivery of possession of land—making</w:t>
      </w:r>
    </w:p>
    <w:p w14:paraId="168E517E" w14:textId="77777777"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14:paraId="6CD9138E" w14:textId="77777777" w:rsidR="00D94935" w:rsidRPr="00140BF9" w:rsidRDefault="00D94935" w:rsidP="00D94935">
      <w:pPr>
        <w:pStyle w:val="AmdtsEntryHd"/>
        <w:rPr>
          <w:rFonts w:cs="Arial"/>
        </w:rPr>
      </w:pPr>
      <w:r w:rsidRPr="00140BF9">
        <w:rPr>
          <w:rFonts w:cs="Arial"/>
        </w:rPr>
        <w:t>Orders for delivery of possession of land—preconditions</w:t>
      </w:r>
    </w:p>
    <w:p w14:paraId="5ED0250C" w14:textId="77777777"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14:paraId="722A1DF0" w14:textId="77777777" w:rsidR="00D94935" w:rsidRPr="00140BF9" w:rsidRDefault="00D94935" w:rsidP="00D94935">
      <w:pPr>
        <w:pStyle w:val="AmdtsEntryHd"/>
        <w:rPr>
          <w:rFonts w:cs="Arial"/>
        </w:rPr>
      </w:pPr>
      <w:r w:rsidRPr="00140BF9">
        <w:rPr>
          <w:rFonts w:cs="Arial"/>
        </w:rPr>
        <w:t>Order for seizure and delivery of goods—making</w:t>
      </w:r>
    </w:p>
    <w:p w14:paraId="54CB858F" w14:textId="77777777"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14:paraId="1ECFA514" w14:textId="77777777" w:rsidR="00D94935" w:rsidRPr="00140BF9" w:rsidRDefault="00D94935" w:rsidP="00D94935">
      <w:pPr>
        <w:pStyle w:val="AmdtsEntryHd"/>
        <w:rPr>
          <w:rFonts w:cs="Arial"/>
        </w:rPr>
      </w:pPr>
      <w:r w:rsidRPr="00140BF9">
        <w:rPr>
          <w:rFonts w:cs="Arial"/>
        </w:rPr>
        <w:t>Order for seizure and detention of property—making</w:t>
      </w:r>
    </w:p>
    <w:p w14:paraId="1EFCB9D9" w14:textId="77777777"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14:paraId="60727B8B" w14:textId="77777777" w:rsidR="00D94935" w:rsidRPr="00140BF9" w:rsidRDefault="00D94935" w:rsidP="00D94935">
      <w:pPr>
        <w:pStyle w:val="AmdtsEntryHd"/>
        <w:rPr>
          <w:rFonts w:cs="Arial"/>
        </w:rPr>
      </w:pPr>
      <w:r w:rsidRPr="00140BF9">
        <w:rPr>
          <w:rFonts w:cs="Arial"/>
        </w:rPr>
        <w:t>Order for seizure and detention of property—preconditions</w:t>
      </w:r>
    </w:p>
    <w:p w14:paraId="22FA68CD" w14:textId="77777777"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14:paraId="7B934A20" w14:textId="77777777" w:rsidR="00D94935" w:rsidRPr="00140BF9" w:rsidRDefault="00D94935" w:rsidP="00D94935">
      <w:pPr>
        <w:pStyle w:val="AmdtsEntryHd"/>
        <w:rPr>
          <w:rFonts w:cs="Arial"/>
        </w:rPr>
      </w:pPr>
      <w:r w:rsidRPr="00140BF9">
        <w:rPr>
          <w:rFonts w:cs="Arial"/>
        </w:rPr>
        <w:t>Order for seizure and detention of property—against officer of corporation</w:t>
      </w:r>
    </w:p>
    <w:p w14:paraId="5C8F9CAB" w14:textId="77777777"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14:paraId="0C7A2D75" w14:textId="77777777" w:rsidR="00D94935" w:rsidRPr="00140BF9" w:rsidRDefault="00D94935" w:rsidP="00D94935">
      <w:pPr>
        <w:pStyle w:val="AmdtsEntryHd"/>
        <w:rPr>
          <w:rFonts w:cs="Arial"/>
        </w:rPr>
      </w:pPr>
      <w:r w:rsidRPr="00140BF9">
        <w:rPr>
          <w:rFonts w:cs="Arial"/>
        </w:rPr>
        <w:t>Order for seizure and detention of property—return of seized property</w:t>
      </w:r>
    </w:p>
    <w:p w14:paraId="462E931B" w14:textId="77777777"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14:paraId="03CE5618" w14:textId="77777777" w:rsidR="00D94935" w:rsidRPr="00140BF9" w:rsidRDefault="00D94935" w:rsidP="00D94935">
      <w:pPr>
        <w:pStyle w:val="AmdtsEntryHd"/>
        <w:rPr>
          <w:rFonts w:cs="Arial"/>
        </w:rPr>
      </w:pPr>
      <w:r w:rsidRPr="00140BF9">
        <w:rPr>
          <w:rFonts w:cs="Arial"/>
        </w:rPr>
        <w:t>Contempt—application of div 2.18.16</w:t>
      </w:r>
    </w:p>
    <w:p w14:paraId="1DC97DAF" w14:textId="77777777"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14:paraId="55E7676F" w14:textId="02C9506B"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8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8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r w:rsidR="0004289A">
        <w:rPr>
          <w:rFonts w:cs="Arial"/>
        </w:rPr>
        <w:t xml:space="preserve">; </w:t>
      </w:r>
      <w:hyperlink r:id="rId1590" w:tooltip="Court Procedures Amendment Rules 2020 (No 4)" w:history="1">
        <w:r w:rsidR="0004289A">
          <w:rPr>
            <w:rStyle w:val="charCitHyperlinkAbbrev"/>
          </w:rPr>
          <w:t>SL2020</w:t>
        </w:r>
        <w:r w:rsidR="0004289A">
          <w:rPr>
            <w:rStyle w:val="charCitHyperlinkAbbrev"/>
          </w:rPr>
          <w:noBreakHyphen/>
          <w:t>34</w:t>
        </w:r>
      </w:hyperlink>
      <w:r w:rsidR="0004289A">
        <w:rPr>
          <w:rFonts w:cs="Arial"/>
        </w:rPr>
        <w:t xml:space="preserve"> r 4</w:t>
      </w:r>
    </w:p>
    <w:p w14:paraId="2977E465" w14:textId="77777777" w:rsidR="00D94935" w:rsidRPr="00140BF9" w:rsidRDefault="00D94935" w:rsidP="00D94935">
      <w:pPr>
        <w:pStyle w:val="AmdtsEntryHd"/>
        <w:rPr>
          <w:rFonts w:cs="Arial"/>
        </w:rPr>
      </w:pPr>
      <w:r w:rsidRPr="00140BF9">
        <w:rPr>
          <w:rFonts w:cs="Arial"/>
        </w:rPr>
        <w:t>Contempt—applications generally</w:t>
      </w:r>
    </w:p>
    <w:p w14:paraId="7781ACB6" w14:textId="77777777"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14:paraId="44CBC0E5" w14:textId="77777777" w:rsidR="00D94935" w:rsidRPr="00140BF9" w:rsidRDefault="00D94935" w:rsidP="00D94935">
      <w:pPr>
        <w:pStyle w:val="AmdtsEntryHd"/>
        <w:rPr>
          <w:rFonts w:cs="Arial"/>
        </w:rPr>
      </w:pPr>
      <w:r w:rsidRPr="00140BF9">
        <w:rPr>
          <w:rFonts w:cs="Arial"/>
        </w:rPr>
        <w:t>Contempt—application by registrar</w:t>
      </w:r>
    </w:p>
    <w:p w14:paraId="57B3F7EB" w14:textId="77777777"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14:paraId="2E3ACD56" w14:textId="77777777" w:rsidR="00D94935" w:rsidRPr="00140BF9" w:rsidRDefault="00D94935" w:rsidP="00D94935">
      <w:pPr>
        <w:pStyle w:val="AmdtsEntryHd"/>
        <w:rPr>
          <w:rFonts w:cs="Arial"/>
        </w:rPr>
      </w:pPr>
      <w:r w:rsidRPr="00140BF9">
        <w:rPr>
          <w:rFonts w:cs="Arial"/>
        </w:rPr>
        <w:t>Contempt of the Australian Crime Commission</w:t>
      </w:r>
    </w:p>
    <w:p w14:paraId="20E4235A" w14:textId="382AC8AA"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9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14:paraId="6B2CF5A1" w14:textId="77777777" w:rsidR="0004289A" w:rsidRDefault="0004289A" w:rsidP="00D94935">
      <w:pPr>
        <w:pStyle w:val="AmdtsEntryHd"/>
      </w:pPr>
      <w:r w:rsidRPr="00A005D4">
        <w:t>Contempt of the ACT Integrity Commission</w:t>
      </w:r>
    </w:p>
    <w:p w14:paraId="36D81BB2" w14:textId="0C7EBBB7" w:rsidR="0004289A" w:rsidRPr="0004289A" w:rsidRDefault="0004289A" w:rsidP="0004289A">
      <w:pPr>
        <w:pStyle w:val="AmdtsEntries"/>
      </w:pPr>
      <w:r>
        <w:t>r 2502B</w:t>
      </w:r>
      <w:r>
        <w:tab/>
        <w:t xml:space="preserve">ins </w:t>
      </w:r>
      <w:hyperlink r:id="rId1592" w:tooltip="Court Procedures Amendment Rules 2020 (No 4)" w:history="1">
        <w:r>
          <w:rPr>
            <w:rStyle w:val="charCitHyperlinkAbbrev"/>
          </w:rPr>
          <w:t>SL2020</w:t>
        </w:r>
        <w:r>
          <w:rPr>
            <w:rStyle w:val="charCitHyperlinkAbbrev"/>
          </w:rPr>
          <w:noBreakHyphen/>
          <w:t>34</w:t>
        </w:r>
      </w:hyperlink>
      <w:r>
        <w:t xml:space="preserve"> r 5</w:t>
      </w:r>
    </w:p>
    <w:p w14:paraId="1BAB5F65" w14:textId="77777777" w:rsidR="00D94935" w:rsidRPr="00140BF9" w:rsidRDefault="00D94935" w:rsidP="00D94935">
      <w:pPr>
        <w:pStyle w:val="AmdtsEntryHd"/>
        <w:rPr>
          <w:rFonts w:cs="Arial"/>
        </w:rPr>
      </w:pPr>
      <w:r w:rsidRPr="00140BF9">
        <w:rPr>
          <w:rFonts w:cs="Arial"/>
        </w:rPr>
        <w:t>Contempt—arrest warrant if respondent likely to abscond etc</w:t>
      </w:r>
    </w:p>
    <w:p w14:paraId="18777678" w14:textId="77777777"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14:paraId="3A0885BA" w14:textId="77777777" w:rsidR="00D94935" w:rsidRPr="00140BF9" w:rsidRDefault="00D94935" w:rsidP="00D94935">
      <w:pPr>
        <w:pStyle w:val="AmdtsEntryHd"/>
        <w:rPr>
          <w:rFonts w:cs="Arial"/>
        </w:rPr>
      </w:pPr>
      <w:r w:rsidRPr="00140BF9">
        <w:rPr>
          <w:rFonts w:cs="Arial"/>
        </w:rPr>
        <w:t>Contempt in face or hearing of court—alternative procedure</w:t>
      </w:r>
    </w:p>
    <w:p w14:paraId="73FF09E2" w14:textId="77777777"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14:paraId="1A2B10B9" w14:textId="77777777" w:rsidR="00D94935" w:rsidRPr="00140BF9" w:rsidRDefault="00D94935" w:rsidP="00D94935">
      <w:pPr>
        <w:pStyle w:val="AmdtsEntryHd"/>
        <w:rPr>
          <w:rFonts w:cs="Arial"/>
        </w:rPr>
      </w:pPr>
      <w:r w:rsidRPr="00140BF9">
        <w:rPr>
          <w:rFonts w:cs="Arial"/>
        </w:rPr>
        <w:t>Contempt—arrest warrant</w:t>
      </w:r>
    </w:p>
    <w:p w14:paraId="012D5929" w14:textId="77777777"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14:paraId="43C2261A" w14:textId="77777777" w:rsidR="00D94935" w:rsidRPr="00140BF9" w:rsidRDefault="00D94935" w:rsidP="00D94935">
      <w:pPr>
        <w:pStyle w:val="AmdtsEntryHd"/>
        <w:rPr>
          <w:rFonts w:cs="Arial"/>
        </w:rPr>
      </w:pPr>
      <w:r w:rsidRPr="00140BF9">
        <w:rPr>
          <w:rFonts w:cs="Arial"/>
        </w:rPr>
        <w:lastRenderedPageBreak/>
        <w:t>Contempt—punishment</w:t>
      </w:r>
    </w:p>
    <w:p w14:paraId="0A3C93BC" w14:textId="77777777"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14:paraId="50FC3B88" w14:textId="77777777" w:rsidR="00D94935" w:rsidRPr="00140BF9" w:rsidRDefault="00D94935" w:rsidP="00D94935">
      <w:pPr>
        <w:pStyle w:val="AmdtsEntryHd"/>
        <w:rPr>
          <w:rFonts w:cs="Arial"/>
        </w:rPr>
      </w:pPr>
      <w:r w:rsidRPr="00140BF9">
        <w:rPr>
          <w:rFonts w:cs="Arial"/>
        </w:rPr>
        <w:t>Contempt—costs</w:t>
      </w:r>
    </w:p>
    <w:p w14:paraId="7784BEFF" w14:textId="77777777"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14:paraId="3AA040BC" w14:textId="77777777" w:rsidR="00D94935" w:rsidRPr="00140BF9" w:rsidRDefault="00D94935" w:rsidP="00D94935">
      <w:pPr>
        <w:pStyle w:val="AmdtsEntryHd"/>
        <w:rPr>
          <w:rFonts w:cs="Arial"/>
        </w:rPr>
      </w:pPr>
      <w:r w:rsidRPr="00140BF9">
        <w:rPr>
          <w:rFonts w:cs="Arial"/>
        </w:rPr>
        <w:t>Application—div 2.18.17</w:t>
      </w:r>
    </w:p>
    <w:p w14:paraId="30E04F21" w14:textId="77777777"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14:paraId="28486EDF" w14:textId="77777777" w:rsidR="00D94935" w:rsidRPr="00140BF9" w:rsidRDefault="00D94935" w:rsidP="00D94935">
      <w:pPr>
        <w:pStyle w:val="AmdtsEntryHd"/>
        <w:rPr>
          <w:rFonts w:cs="Arial"/>
        </w:rPr>
      </w:pPr>
      <w:r w:rsidRPr="00140BF9">
        <w:rPr>
          <w:rFonts w:cs="Arial"/>
        </w:rPr>
        <w:t>Arrest warrant for defendant—application</w:t>
      </w:r>
    </w:p>
    <w:p w14:paraId="7DD2183B" w14:textId="77777777"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14:paraId="7FF88A9D" w14:textId="77777777" w:rsidR="00D94935" w:rsidRPr="00140BF9" w:rsidRDefault="00D94935" w:rsidP="00D94935">
      <w:pPr>
        <w:pStyle w:val="AmdtsEntryHd"/>
        <w:rPr>
          <w:rFonts w:cs="Arial"/>
        </w:rPr>
      </w:pPr>
      <w:r w:rsidRPr="00140BF9">
        <w:rPr>
          <w:rFonts w:cs="Arial"/>
        </w:rPr>
        <w:t>Arrest warrant for defendant—issue</w:t>
      </w:r>
    </w:p>
    <w:p w14:paraId="7CEA9A8C" w14:textId="77777777"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14:paraId="4F37F441" w14:textId="77777777" w:rsidR="00D94935" w:rsidRPr="00140BF9" w:rsidRDefault="00D94935" w:rsidP="00D94935">
      <w:pPr>
        <w:pStyle w:val="AmdtsEntryHd"/>
        <w:rPr>
          <w:rFonts w:cs="Arial"/>
        </w:rPr>
      </w:pPr>
      <w:r w:rsidRPr="00140BF9">
        <w:rPr>
          <w:rFonts w:cs="Arial"/>
        </w:rPr>
        <w:t>Arrest warrant for defendant—enforcement</w:t>
      </w:r>
    </w:p>
    <w:p w14:paraId="30A24425" w14:textId="77777777"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14:paraId="52C12B46" w14:textId="550DBAB9" w:rsidR="004745AC" w:rsidRPr="00140BF9" w:rsidRDefault="004745AC" w:rsidP="004745AC">
      <w:pPr>
        <w:pStyle w:val="AmdtsEntries"/>
        <w:rPr>
          <w:rFonts w:cs="Arial"/>
        </w:rPr>
      </w:pPr>
      <w:r>
        <w:rPr>
          <w:rFonts w:eastAsiaTheme="minorEastAsia" w:cs="Arial"/>
          <w:szCs w:val="22"/>
          <w:lang w:eastAsia="en-AU"/>
        </w:rPr>
        <w:t>r 2554</w:t>
      </w:r>
      <w:r>
        <w:rPr>
          <w:rFonts w:eastAsiaTheme="minorEastAsia" w:cs="Arial"/>
          <w:szCs w:val="22"/>
          <w:lang w:eastAsia="en-AU"/>
        </w:rPr>
        <w:tab/>
        <w:t xml:space="preserve">am </w:t>
      </w:r>
      <w:hyperlink r:id="rId159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29</w:t>
      </w:r>
    </w:p>
    <w:p w14:paraId="5C1D13CF" w14:textId="77777777" w:rsidR="00D94935" w:rsidRPr="00140BF9" w:rsidRDefault="00D94935" w:rsidP="00D94935">
      <w:pPr>
        <w:pStyle w:val="AmdtsEntryHd"/>
        <w:rPr>
          <w:rFonts w:cs="Arial"/>
        </w:rPr>
      </w:pPr>
      <w:r w:rsidRPr="00140BF9">
        <w:rPr>
          <w:rFonts w:cs="Arial"/>
        </w:rPr>
        <w:t>Arrest warrant for defendant—costs of enforcement</w:t>
      </w:r>
    </w:p>
    <w:p w14:paraId="628DDA44" w14:textId="77777777"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14:paraId="76FB5C62" w14:textId="77777777" w:rsidR="00D94935" w:rsidRPr="00140BF9" w:rsidRDefault="00D94935" w:rsidP="00D94935">
      <w:pPr>
        <w:pStyle w:val="AmdtsEntryHd"/>
        <w:rPr>
          <w:rFonts w:cs="Arial"/>
        </w:rPr>
      </w:pPr>
      <w:r w:rsidRPr="00140BF9">
        <w:rPr>
          <w:rFonts w:cs="Arial"/>
        </w:rPr>
        <w:t>Arrest warrant for defendant—service of warrant and claim</w:t>
      </w:r>
    </w:p>
    <w:p w14:paraId="24141B35" w14:textId="77777777"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14:paraId="3264809E" w14:textId="77777777" w:rsidR="00D94935" w:rsidRPr="00140BF9" w:rsidRDefault="00D94935" w:rsidP="00D94935">
      <w:pPr>
        <w:pStyle w:val="AmdtsEntryHd"/>
        <w:rPr>
          <w:rFonts w:cs="Arial"/>
        </w:rPr>
      </w:pPr>
      <w:r w:rsidRPr="00140BF9">
        <w:rPr>
          <w:rFonts w:cs="Arial"/>
        </w:rPr>
        <w:t>Arrest warrant for defendant—record of enforcement</w:t>
      </w:r>
    </w:p>
    <w:p w14:paraId="54A7085C" w14:textId="77777777"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14:paraId="26F89EE5" w14:textId="77777777" w:rsidR="00D94935" w:rsidRPr="00140BF9" w:rsidRDefault="00D94935" w:rsidP="00D94935">
      <w:pPr>
        <w:pStyle w:val="AmdtsEntryHd"/>
        <w:rPr>
          <w:rFonts w:cs="Arial"/>
        </w:rPr>
      </w:pPr>
      <w:r w:rsidRPr="00140BF9">
        <w:rPr>
          <w:rFonts w:cs="Arial"/>
        </w:rPr>
        <w:t>Arrest warrant for defendant—procedure after arrest</w:t>
      </w:r>
    </w:p>
    <w:p w14:paraId="2AF47921" w14:textId="77777777"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14:paraId="7FD7BAD4" w14:textId="77777777" w:rsidR="00D94935" w:rsidRPr="00140BF9" w:rsidRDefault="00D94935" w:rsidP="00D94935">
      <w:pPr>
        <w:pStyle w:val="AmdtsEntryHd"/>
        <w:rPr>
          <w:rFonts w:cs="Arial"/>
        </w:rPr>
      </w:pPr>
      <w:r w:rsidRPr="00140BF9">
        <w:rPr>
          <w:rFonts w:cs="Arial"/>
        </w:rPr>
        <w:t>Arrest warrant for defendant—release of defendant</w:t>
      </w:r>
    </w:p>
    <w:p w14:paraId="12276109" w14:textId="77777777"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14:paraId="0BC2603A" w14:textId="77777777" w:rsidR="00D94935" w:rsidRPr="00140BF9" w:rsidRDefault="00D94935" w:rsidP="00D94935">
      <w:pPr>
        <w:pStyle w:val="AmdtsEntryHd"/>
        <w:rPr>
          <w:rFonts w:cs="Arial"/>
        </w:rPr>
      </w:pPr>
      <w:r w:rsidRPr="00140BF9">
        <w:rPr>
          <w:rFonts w:cs="Arial"/>
        </w:rPr>
        <w:t>Arrest warrant for defendant—court powers</w:t>
      </w:r>
    </w:p>
    <w:p w14:paraId="3AF24F43" w14:textId="77777777"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14:paraId="7CD78E09" w14:textId="77777777" w:rsidR="00D94935" w:rsidRPr="00140BF9" w:rsidRDefault="00D94935" w:rsidP="00D94935">
      <w:pPr>
        <w:pStyle w:val="AmdtsEntryHd"/>
        <w:rPr>
          <w:rFonts w:cs="Arial"/>
        </w:rPr>
      </w:pPr>
      <w:r w:rsidRPr="00140BF9">
        <w:rPr>
          <w:rFonts w:cs="Arial"/>
        </w:rPr>
        <w:t>Arrest warrant for defendant—failure to comply with conditions</w:t>
      </w:r>
    </w:p>
    <w:p w14:paraId="7470E128" w14:textId="77777777"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14:paraId="297ABF55" w14:textId="77777777" w:rsidR="00D94935" w:rsidRPr="00140BF9" w:rsidRDefault="00D94935" w:rsidP="00D94935">
      <w:pPr>
        <w:pStyle w:val="AmdtsEntryHd"/>
        <w:rPr>
          <w:rFonts w:cs="Arial"/>
        </w:rPr>
      </w:pPr>
      <w:r w:rsidRPr="00140BF9">
        <w:rPr>
          <w:rFonts w:cs="Arial"/>
        </w:rPr>
        <w:t>Arrest warrant for defendant—review</w:t>
      </w:r>
    </w:p>
    <w:p w14:paraId="650AE6D6" w14:textId="77777777"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14:paraId="6E467A1A" w14:textId="77777777" w:rsidR="00D94935" w:rsidRPr="00140BF9" w:rsidRDefault="00D94935" w:rsidP="00D94935">
      <w:pPr>
        <w:pStyle w:val="AmdtsEntryHd"/>
        <w:rPr>
          <w:rFonts w:cs="Arial"/>
        </w:rPr>
      </w:pPr>
      <w:r w:rsidRPr="00140BF9">
        <w:rPr>
          <w:rFonts w:cs="Arial"/>
        </w:rPr>
        <w:t>Arrest warrant for defendant—restriction on further applications</w:t>
      </w:r>
    </w:p>
    <w:p w14:paraId="20C739E6" w14:textId="77777777"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14:paraId="1604E92D" w14:textId="77777777" w:rsidR="00D94935" w:rsidRPr="00140BF9" w:rsidRDefault="00D94935" w:rsidP="00D94935">
      <w:pPr>
        <w:pStyle w:val="AmdtsEntryHd"/>
        <w:rPr>
          <w:rFonts w:cs="Arial"/>
        </w:rPr>
      </w:pPr>
      <w:r w:rsidRPr="00140BF9">
        <w:rPr>
          <w:rFonts w:cs="Arial"/>
        </w:rPr>
        <w:t>Arrest warrant for defendant—costs</w:t>
      </w:r>
    </w:p>
    <w:p w14:paraId="557214CD" w14:textId="77777777"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14:paraId="1494D1D2" w14:textId="77777777" w:rsidR="00D94935" w:rsidRPr="00140BF9" w:rsidRDefault="00D94935" w:rsidP="00D94935">
      <w:pPr>
        <w:pStyle w:val="AmdtsEntryHd"/>
        <w:rPr>
          <w:rFonts w:cs="Arial"/>
        </w:rPr>
      </w:pPr>
      <w:r w:rsidRPr="00140BF9">
        <w:rPr>
          <w:rFonts w:cs="Arial"/>
        </w:rPr>
        <w:t>Interpleader—application by stakeholder</w:t>
      </w:r>
    </w:p>
    <w:p w14:paraId="2C42147F" w14:textId="77777777"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14:paraId="7E19103E" w14:textId="77777777" w:rsidR="00D94935" w:rsidRPr="00140BF9" w:rsidRDefault="00D94935" w:rsidP="00D94935">
      <w:pPr>
        <w:pStyle w:val="AmdtsEntryHd"/>
        <w:rPr>
          <w:rFonts w:cs="Arial"/>
        </w:rPr>
      </w:pPr>
      <w:r w:rsidRPr="00140BF9">
        <w:rPr>
          <w:rFonts w:cs="Arial"/>
        </w:rPr>
        <w:t>Interpleader—notice of claim to enforcement officer</w:t>
      </w:r>
    </w:p>
    <w:p w14:paraId="22911F00" w14:textId="77777777"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14:paraId="345EFBDF" w14:textId="77777777" w:rsidR="00D94935" w:rsidRPr="00140BF9" w:rsidRDefault="00D94935" w:rsidP="00D94935">
      <w:pPr>
        <w:pStyle w:val="AmdtsEntryHd"/>
        <w:rPr>
          <w:rFonts w:cs="Arial"/>
        </w:rPr>
      </w:pPr>
      <w:r w:rsidRPr="00140BF9">
        <w:rPr>
          <w:rFonts w:cs="Arial"/>
        </w:rPr>
        <w:lastRenderedPageBreak/>
        <w:t>Interpleader—failure to give notice of claim</w:t>
      </w:r>
    </w:p>
    <w:p w14:paraId="3AF16EAE" w14:textId="77777777"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14:paraId="5B2FECCA" w14:textId="77777777" w:rsidR="00D94935" w:rsidRPr="00140BF9" w:rsidRDefault="00D94935" w:rsidP="00D94935">
      <w:pPr>
        <w:pStyle w:val="AmdtsEntryHd"/>
        <w:rPr>
          <w:rFonts w:cs="Arial"/>
        </w:rPr>
      </w:pPr>
      <w:r w:rsidRPr="00140BF9">
        <w:rPr>
          <w:rFonts w:cs="Arial"/>
        </w:rPr>
        <w:t>Interpleader—notice to enforcement creditor</w:t>
      </w:r>
    </w:p>
    <w:p w14:paraId="589BEA95" w14:textId="77777777"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14:paraId="708330DD" w14:textId="77777777" w:rsidR="00D94935" w:rsidRPr="00140BF9" w:rsidRDefault="00D94935" w:rsidP="00D94935">
      <w:pPr>
        <w:pStyle w:val="AmdtsEntryHd"/>
        <w:rPr>
          <w:rFonts w:cs="Arial"/>
        </w:rPr>
      </w:pPr>
      <w:r w:rsidRPr="00140BF9">
        <w:rPr>
          <w:rFonts w:cs="Arial"/>
        </w:rPr>
        <w:t>Interpleader—admission of claim</w:t>
      </w:r>
    </w:p>
    <w:p w14:paraId="73F68D36" w14:textId="77777777"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14:paraId="5494456E" w14:textId="77777777" w:rsidR="00D94935" w:rsidRPr="00140BF9" w:rsidRDefault="00D94935" w:rsidP="00D94935">
      <w:pPr>
        <w:pStyle w:val="AmdtsEntryHd"/>
        <w:rPr>
          <w:rFonts w:cs="Arial"/>
        </w:rPr>
      </w:pPr>
      <w:r w:rsidRPr="00140BF9">
        <w:rPr>
          <w:rFonts w:cs="Arial"/>
        </w:rPr>
        <w:t>Interpleader—enforcement officer’s interpleader application</w:t>
      </w:r>
    </w:p>
    <w:p w14:paraId="57386DB1" w14:textId="77777777"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14:paraId="2AD50C40" w14:textId="77777777" w:rsidR="00D94935" w:rsidRPr="00140BF9" w:rsidRDefault="00D94935" w:rsidP="00D94935">
      <w:pPr>
        <w:pStyle w:val="AmdtsEntryHd"/>
        <w:rPr>
          <w:rFonts w:cs="Arial"/>
        </w:rPr>
      </w:pPr>
      <w:r w:rsidRPr="00140BF9">
        <w:rPr>
          <w:rFonts w:cs="Arial"/>
        </w:rPr>
        <w:t>Interpleader—enforcement debtor’s rights not affected</w:t>
      </w:r>
    </w:p>
    <w:p w14:paraId="4A43AAC6" w14:textId="77777777"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14:paraId="20FB3843" w14:textId="77777777" w:rsidR="00D94935" w:rsidRPr="00140BF9" w:rsidRDefault="00D94935" w:rsidP="00D94935">
      <w:pPr>
        <w:pStyle w:val="AmdtsEntryHd"/>
        <w:rPr>
          <w:rFonts w:cs="Arial"/>
        </w:rPr>
      </w:pPr>
      <w:r w:rsidRPr="00140BF9">
        <w:rPr>
          <w:rFonts w:cs="Arial"/>
        </w:rPr>
        <w:t>Interpleader—orders</w:t>
      </w:r>
    </w:p>
    <w:p w14:paraId="60AA1D02" w14:textId="77777777"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14:paraId="7927B82E" w14:textId="77777777" w:rsidR="00D94935" w:rsidRPr="00140BF9" w:rsidRDefault="00D94935" w:rsidP="00D94935">
      <w:pPr>
        <w:pStyle w:val="AmdtsEntryHd"/>
        <w:rPr>
          <w:rFonts w:cs="Arial"/>
        </w:rPr>
      </w:pPr>
      <w:r w:rsidRPr="00140BF9">
        <w:rPr>
          <w:rFonts w:cs="Arial"/>
        </w:rPr>
        <w:t>Interpleader—summary disposal of proceeding</w:t>
      </w:r>
    </w:p>
    <w:p w14:paraId="03D1B07B" w14:textId="77777777"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14:paraId="1E6C043A" w14:textId="77777777" w:rsidR="00D94935" w:rsidRPr="00140BF9" w:rsidRDefault="00D94935" w:rsidP="00D94935">
      <w:pPr>
        <w:pStyle w:val="AmdtsEntryHd"/>
        <w:rPr>
          <w:rFonts w:cs="Arial"/>
        </w:rPr>
      </w:pPr>
      <w:r w:rsidRPr="00140BF9">
        <w:rPr>
          <w:rFonts w:cs="Arial"/>
        </w:rPr>
        <w:t>Interpleader—adverse claims</w:t>
      </w:r>
    </w:p>
    <w:p w14:paraId="30EAD89F" w14:textId="77777777"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14:paraId="3C852467" w14:textId="77777777" w:rsidR="00D94935" w:rsidRPr="00140BF9" w:rsidRDefault="00D94935" w:rsidP="00D94935">
      <w:pPr>
        <w:pStyle w:val="AmdtsEntryHd"/>
        <w:rPr>
          <w:rFonts w:cs="Arial"/>
        </w:rPr>
      </w:pPr>
      <w:r w:rsidRPr="00140BF9">
        <w:rPr>
          <w:rFonts w:cs="Arial"/>
        </w:rPr>
        <w:t>Interpleader—default by claimant</w:t>
      </w:r>
    </w:p>
    <w:p w14:paraId="5AD258AF" w14:textId="77777777"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14:paraId="52A12689" w14:textId="77777777" w:rsidR="00D94935" w:rsidRPr="00140BF9" w:rsidRDefault="00D94935" w:rsidP="00D94935">
      <w:pPr>
        <w:pStyle w:val="AmdtsEntryHd"/>
        <w:rPr>
          <w:rFonts w:cs="Arial"/>
        </w:rPr>
      </w:pPr>
      <w:r w:rsidRPr="00140BF9">
        <w:rPr>
          <w:rFonts w:cs="Arial"/>
        </w:rPr>
        <w:t>Interpleader—neutrality of applicant</w:t>
      </w:r>
    </w:p>
    <w:p w14:paraId="0B50445E" w14:textId="77777777"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14:paraId="215B8186" w14:textId="77777777" w:rsidR="00D94935" w:rsidRPr="00140BF9" w:rsidRDefault="00D94935" w:rsidP="00D94935">
      <w:pPr>
        <w:pStyle w:val="AmdtsEntryHd"/>
        <w:rPr>
          <w:rFonts w:cs="Arial"/>
        </w:rPr>
      </w:pPr>
      <w:r w:rsidRPr="00140BF9">
        <w:rPr>
          <w:rFonts w:cs="Arial"/>
        </w:rPr>
        <w:t>Interpleader order—2 or more proceedings</w:t>
      </w:r>
    </w:p>
    <w:p w14:paraId="4E84AE12" w14:textId="77777777"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14:paraId="5316D1D0" w14:textId="77777777" w:rsidR="00D94935" w:rsidRPr="00140BF9" w:rsidRDefault="00D94935" w:rsidP="00D94935">
      <w:pPr>
        <w:pStyle w:val="AmdtsEntryHd"/>
        <w:rPr>
          <w:rFonts w:cs="Arial"/>
        </w:rPr>
      </w:pPr>
      <w:r w:rsidRPr="00140BF9">
        <w:rPr>
          <w:rFonts w:cs="Arial"/>
        </w:rPr>
        <w:t>Interpleader—trial</w:t>
      </w:r>
    </w:p>
    <w:p w14:paraId="2D7BFA45" w14:textId="77777777"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14:paraId="083CFD84" w14:textId="77777777" w:rsidR="00D94935" w:rsidRPr="00140BF9" w:rsidRDefault="00D94935" w:rsidP="00D94935">
      <w:pPr>
        <w:pStyle w:val="AmdtsEntryHd"/>
        <w:rPr>
          <w:rFonts w:cs="Arial"/>
        </w:rPr>
      </w:pPr>
      <w:r w:rsidRPr="00140BF9">
        <w:rPr>
          <w:rFonts w:cs="Arial"/>
        </w:rPr>
        <w:t>Interpleader—disposal of amounts in court</w:t>
      </w:r>
    </w:p>
    <w:p w14:paraId="26D65944" w14:textId="77777777"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14:paraId="082B54E8" w14:textId="77777777" w:rsidR="00D94935" w:rsidRPr="00140BF9" w:rsidRDefault="00D94935" w:rsidP="00D94935">
      <w:pPr>
        <w:pStyle w:val="AmdtsEntryHd"/>
        <w:rPr>
          <w:rFonts w:cs="Arial"/>
        </w:rPr>
      </w:pPr>
      <w:r w:rsidRPr="00140BF9">
        <w:rPr>
          <w:rFonts w:cs="Arial"/>
        </w:rPr>
        <w:t>Trusts and estates—decision without order for administration</w:t>
      </w:r>
    </w:p>
    <w:p w14:paraId="0164FB89" w14:textId="77777777"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14:paraId="1A12738A" w14:textId="77777777" w:rsidR="00D94935" w:rsidRPr="00140BF9" w:rsidRDefault="00D94935" w:rsidP="00D94935">
      <w:pPr>
        <w:pStyle w:val="AmdtsEntryHd"/>
        <w:rPr>
          <w:rFonts w:cs="Arial"/>
        </w:rPr>
      </w:pPr>
      <w:r w:rsidRPr="00140BF9">
        <w:rPr>
          <w:rFonts w:cs="Arial"/>
        </w:rPr>
        <w:t>Trusts and estates—application not to affect powers</w:t>
      </w:r>
    </w:p>
    <w:p w14:paraId="50E73486" w14:textId="77777777"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14:paraId="50D6D148" w14:textId="77777777" w:rsidR="00D94935" w:rsidRPr="00140BF9" w:rsidRDefault="00D94935" w:rsidP="00D94935">
      <w:pPr>
        <w:pStyle w:val="AmdtsEntryHd"/>
        <w:rPr>
          <w:rFonts w:cs="Arial"/>
        </w:rPr>
      </w:pPr>
      <w:r w:rsidRPr="00140BF9">
        <w:rPr>
          <w:rFonts w:cs="Arial"/>
        </w:rPr>
        <w:t>Trusts and estates—conduct of sale</w:t>
      </w:r>
    </w:p>
    <w:p w14:paraId="5C279C28" w14:textId="77777777"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14:paraId="769EA509" w14:textId="77777777" w:rsidR="00D94935" w:rsidRPr="00140BF9" w:rsidRDefault="00D94935" w:rsidP="00D94935">
      <w:pPr>
        <w:pStyle w:val="AmdtsEntryHd"/>
        <w:rPr>
          <w:rFonts w:cs="Arial"/>
        </w:rPr>
      </w:pPr>
      <w:r w:rsidRPr="00140BF9">
        <w:rPr>
          <w:rFonts w:cs="Arial"/>
        </w:rPr>
        <w:t>Account—order for account</w:t>
      </w:r>
    </w:p>
    <w:p w14:paraId="3F2E49CC" w14:textId="77777777"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14:paraId="6DD1F6F1" w14:textId="77777777" w:rsidR="00D94935" w:rsidRPr="00140BF9" w:rsidRDefault="00D94935" w:rsidP="00D94935">
      <w:pPr>
        <w:pStyle w:val="AmdtsEntryHd"/>
        <w:rPr>
          <w:rFonts w:cs="Arial"/>
        </w:rPr>
      </w:pPr>
      <w:r w:rsidRPr="00140BF9">
        <w:rPr>
          <w:rFonts w:cs="Arial"/>
        </w:rPr>
        <w:t>Account—orders</w:t>
      </w:r>
    </w:p>
    <w:p w14:paraId="2AFB619B" w14:textId="77777777"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14:paraId="08DC3A13" w14:textId="77777777" w:rsidR="00D94935" w:rsidRPr="00140BF9" w:rsidRDefault="00D94935" w:rsidP="00D94935">
      <w:pPr>
        <w:pStyle w:val="AmdtsEntryHd"/>
        <w:rPr>
          <w:rFonts w:cs="Arial"/>
        </w:rPr>
      </w:pPr>
      <w:r w:rsidRPr="00140BF9">
        <w:rPr>
          <w:rFonts w:cs="Arial"/>
        </w:rPr>
        <w:lastRenderedPageBreak/>
        <w:t>Accounts—service of order etc</w:t>
      </w:r>
    </w:p>
    <w:p w14:paraId="03AC9850" w14:textId="77777777"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14:paraId="0F5BEB64" w14:textId="77777777" w:rsidR="00D94935" w:rsidRPr="00140BF9" w:rsidRDefault="00D94935" w:rsidP="00D94935">
      <w:pPr>
        <w:pStyle w:val="AmdtsEntryHd"/>
        <w:rPr>
          <w:rFonts w:cs="Arial"/>
        </w:rPr>
      </w:pPr>
      <w:r w:rsidRPr="00140BF9">
        <w:rPr>
          <w:rFonts w:cs="Arial"/>
        </w:rPr>
        <w:t>Accounts—form and verification</w:t>
      </w:r>
    </w:p>
    <w:p w14:paraId="546202E4" w14:textId="77777777"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14:paraId="4F15BB12" w14:textId="77777777" w:rsidR="00D94935" w:rsidRPr="00140BF9" w:rsidRDefault="00D94935" w:rsidP="00D94935">
      <w:pPr>
        <w:pStyle w:val="AmdtsEntryHd"/>
        <w:rPr>
          <w:rFonts w:cs="Arial"/>
        </w:rPr>
      </w:pPr>
      <w:r w:rsidRPr="00140BF9">
        <w:rPr>
          <w:rFonts w:cs="Arial"/>
        </w:rPr>
        <w:t>Accounts—filing and service</w:t>
      </w:r>
    </w:p>
    <w:p w14:paraId="0FB67E01" w14:textId="77777777"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14:paraId="670CA562" w14:textId="77777777" w:rsidR="00D94935" w:rsidRPr="00140BF9" w:rsidRDefault="00D94935" w:rsidP="00D94935">
      <w:pPr>
        <w:pStyle w:val="AmdtsEntryHd"/>
        <w:rPr>
          <w:rFonts w:cs="Arial"/>
        </w:rPr>
      </w:pPr>
      <w:r w:rsidRPr="00140BF9">
        <w:rPr>
          <w:rFonts w:cs="Arial"/>
        </w:rPr>
        <w:t>Accounts—challenging account</w:t>
      </w:r>
    </w:p>
    <w:p w14:paraId="6B318334" w14:textId="77777777"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14:paraId="65836397" w14:textId="77777777" w:rsidR="00D94935" w:rsidRPr="00140BF9" w:rsidRDefault="00D94935" w:rsidP="00D94935">
      <w:pPr>
        <w:pStyle w:val="AmdtsEntryHd"/>
        <w:rPr>
          <w:rFonts w:cs="Arial"/>
        </w:rPr>
      </w:pPr>
      <w:r w:rsidRPr="00140BF9">
        <w:rPr>
          <w:rFonts w:cs="Arial"/>
        </w:rPr>
        <w:t>Accounts—witness</w:t>
      </w:r>
    </w:p>
    <w:p w14:paraId="7C9081E0" w14:textId="77777777"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14:paraId="4ED36F67" w14:textId="77777777" w:rsidR="00D94935" w:rsidRPr="00140BF9" w:rsidRDefault="00D94935" w:rsidP="00D94935">
      <w:pPr>
        <w:pStyle w:val="AmdtsEntryHd"/>
        <w:rPr>
          <w:rFonts w:cs="Arial"/>
        </w:rPr>
      </w:pPr>
      <w:r w:rsidRPr="00140BF9">
        <w:rPr>
          <w:rFonts w:cs="Arial"/>
        </w:rPr>
        <w:t>Accounts—allowances</w:t>
      </w:r>
    </w:p>
    <w:p w14:paraId="2065942B" w14:textId="77777777"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14:paraId="73F1EF9D" w14:textId="77777777" w:rsidR="00D94935" w:rsidRPr="00140BF9" w:rsidRDefault="00D94935" w:rsidP="00D94935">
      <w:pPr>
        <w:pStyle w:val="AmdtsEntryHd"/>
        <w:rPr>
          <w:rFonts w:cs="Arial"/>
        </w:rPr>
      </w:pPr>
      <w:r w:rsidRPr="00140BF9">
        <w:rPr>
          <w:rFonts w:cs="Arial"/>
        </w:rPr>
        <w:t>Accounts—delay</w:t>
      </w:r>
    </w:p>
    <w:p w14:paraId="23824A81" w14:textId="77777777"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14:paraId="58710310" w14:textId="77777777" w:rsidR="00D94935" w:rsidRPr="00140BF9" w:rsidRDefault="00D94935" w:rsidP="00D94935">
      <w:pPr>
        <w:pStyle w:val="AmdtsEntryHd"/>
        <w:rPr>
          <w:rFonts w:cs="Arial"/>
        </w:rPr>
      </w:pPr>
      <w:r w:rsidRPr="00140BF9">
        <w:rPr>
          <w:rFonts w:cs="Arial"/>
        </w:rPr>
        <w:t>Accounts—powers exercisable on taking account</w:t>
      </w:r>
    </w:p>
    <w:p w14:paraId="028F729B" w14:textId="77777777"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14:paraId="542C461A" w14:textId="77777777" w:rsidR="00D94935" w:rsidRPr="00140BF9" w:rsidRDefault="00D94935" w:rsidP="00D94935">
      <w:pPr>
        <w:pStyle w:val="AmdtsEntryHd"/>
        <w:rPr>
          <w:rFonts w:cs="Arial"/>
        </w:rPr>
      </w:pPr>
      <w:r w:rsidRPr="00140BF9">
        <w:rPr>
          <w:rFonts w:cs="Arial"/>
        </w:rPr>
        <w:t>Accounts—class interests</w:t>
      </w:r>
    </w:p>
    <w:p w14:paraId="418A2A37" w14:textId="77777777"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14:paraId="6C82577F" w14:textId="77777777" w:rsidR="00D94935" w:rsidRPr="00140BF9" w:rsidRDefault="00D94935" w:rsidP="00D94935">
      <w:pPr>
        <w:pStyle w:val="AmdtsEntryHd"/>
        <w:rPr>
          <w:rFonts w:cs="Arial"/>
        </w:rPr>
      </w:pPr>
      <w:r w:rsidRPr="00140BF9">
        <w:rPr>
          <w:rFonts w:cs="Arial"/>
        </w:rPr>
        <w:t>Accounts—reference to judicial officer</w:t>
      </w:r>
    </w:p>
    <w:p w14:paraId="5F6382F8" w14:textId="77777777"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14:paraId="07A44A3A" w14:textId="7D18CB1F"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9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r w:rsidR="00DB365E">
        <w:rPr>
          <w:rFonts w:cs="Arial"/>
        </w:rPr>
        <w:t xml:space="preserve">; </w:t>
      </w:r>
      <w:hyperlink r:id="rId1595"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6</w:t>
      </w:r>
      <w:r w:rsidR="00A855C7">
        <w:rPr>
          <w:rFonts w:cs="Arial"/>
        </w:rPr>
        <w:t xml:space="preserve">; </w:t>
      </w:r>
      <w:hyperlink r:id="rId1596" w:tooltip="Court Procedures Amendment Rules 2024 (No 1)" w:history="1">
        <w:r w:rsidR="008E1456">
          <w:rPr>
            <w:rStyle w:val="charCitHyperlinkAbbrev"/>
          </w:rPr>
          <w:t>SL2024</w:t>
        </w:r>
        <w:r w:rsidR="008E1456">
          <w:rPr>
            <w:rStyle w:val="charCitHyperlinkAbbrev"/>
          </w:rPr>
          <w:noBreakHyphen/>
          <w:t>9</w:t>
        </w:r>
      </w:hyperlink>
      <w:r w:rsidR="00A855C7">
        <w:rPr>
          <w:rFonts w:cs="Arial"/>
        </w:rPr>
        <w:t xml:space="preserve"> rr 12-14</w:t>
      </w:r>
    </w:p>
    <w:p w14:paraId="44C03649" w14:textId="77777777" w:rsidR="00D94935" w:rsidRPr="00140BF9" w:rsidRDefault="00D94935" w:rsidP="00D94935">
      <w:pPr>
        <w:pStyle w:val="AmdtsEntryHd"/>
        <w:rPr>
          <w:rFonts w:cs="Arial"/>
        </w:rPr>
      </w:pPr>
      <w:r w:rsidRPr="00140BF9">
        <w:rPr>
          <w:rFonts w:cs="Arial"/>
        </w:rPr>
        <w:t>Accounts—certificate about taking of account</w:t>
      </w:r>
    </w:p>
    <w:p w14:paraId="1CEF7699" w14:textId="77777777"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14:paraId="29A58A86" w14:textId="77777777" w:rsidR="00D94935" w:rsidRPr="00140BF9" w:rsidRDefault="00D94935" w:rsidP="00D94935">
      <w:pPr>
        <w:pStyle w:val="AmdtsEntryHd"/>
        <w:rPr>
          <w:rFonts w:cs="Arial"/>
        </w:rPr>
      </w:pPr>
      <w:r w:rsidRPr="00140BF9">
        <w:rPr>
          <w:rFonts w:cs="Arial"/>
        </w:rPr>
        <w:t>Accounts—further consideration</w:t>
      </w:r>
    </w:p>
    <w:p w14:paraId="4EC00055" w14:textId="77777777"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14:paraId="36D9ABEC" w14:textId="77777777" w:rsidR="00D94935" w:rsidRPr="00140BF9" w:rsidRDefault="00D94935" w:rsidP="00D94935">
      <w:pPr>
        <w:pStyle w:val="AmdtsEntryHd"/>
        <w:rPr>
          <w:rFonts w:cs="Arial"/>
        </w:rPr>
      </w:pPr>
      <w:r w:rsidRPr="00140BF9">
        <w:rPr>
          <w:rFonts w:cs="Arial"/>
        </w:rPr>
        <w:t>Inquiries—procedure for inquiries</w:t>
      </w:r>
    </w:p>
    <w:p w14:paraId="57A55DEA" w14:textId="77777777"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14:paraId="7E10CA66" w14:textId="77777777" w:rsidR="00D94935" w:rsidRPr="00140BF9" w:rsidRDefault="00D94935" w:rsidP="00D94935">
      <w:pPr>
        <w:pStyle w:val="AmdtsEntryHd"/>
        <w:rPr>
          <w:rFonts w:cs="Arial"/>
        </w:rPr>
      </w:pPr>
      <w:r w:rsidRPr="00140BF9">
        <w:rPr>
          <w:rFonts w:cs="Arial"/>
        </w:rPr>
        <w:t>Inquiries—orders</w:t>
      </w:r>
    </w:p>
    <w:p w14:paraId="65319693" w14:textId="77777777"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14:paraId="3A6A786B" w14:textId="77777777" w:rsidR="00D94935" w:rsidRPr="00140BF9" w:rsidRDefault="00D94935" w:rsidP="00D94935">
      <w:pPr>
        <w:pStyle w:val="AmdtsEntryHd"/>
        <w:rPr>
          <w:rFonts w:cs="Arial"/>
        </w:rPr>
      </w:pPr>
      <w:r w:rsidRPr="00140BF9">
        <w:rPr>
          <w:rFonts w:cs="Arial"/>
        </w:rPr>
        <w:t>Estate and trust accounts—order requiring examination and passing of accounts</w:t>
      </w:r>
    </w:p>
    <w:p w14:paraId="219A73BE" w14:textId="77777777"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14:paraId="3D5715D1" w14:textId="77777777" w:rsidR="00D94935" w:rsidRPr="00140BF9" w:rsidRDefault="00D94935" w:rsidP="00D94935">
      <w:pPr>
        <w:pStyle w:val="AmdtsEntryHd"/>
        <w:rPr>
          <w:rFonts w:cs="Arial"/>
        </w:rPr>
      </w:pPr>
      <w:r w:rsidRPr="00140BF9">
        <w:rPr>
          <w:rFonts w:cs="Arial"/>
        </w:rPr>
        <w:t>Estate and trust accounts—compliance with order for examination and passing of accounts</w:t>
      </w:r>
    </w:p>
    <w:p w14:paraId="50ECCBF1" w14:textId="77777777"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14:paraId="2758AE4D" w14:textId="77777777" w:rsidR="00D94935" w:rsidRPr="00140BF9" w:rsidRDefault="00D94935" w:rsidP="00D94935">
      <w:pPr>
        <w:pStyle w:val="AmdtsEntryHd"/>
        <w:rPr>
          <w:rFonts w:cs="Arial"/>
        </w:rPr>
      </w:pPr>
      <w:r w:rsidRPr="00140BF9">
        <w:rPr>
          <w:rFonts w:cs="Arial"/>
        </w:rPr>
        <w:t>Estate and trust accounts—application for commission</w:t>
      </w:r>
    </w:p>
    <w:p w14:paraId="102379F8" w14:textId="77777777"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14:paraId="3C0AE933" w14:textId="77777777" w:rsidR="00D94935" w:rsidRPr="00140BF9" w:rsidRDefault="00D94935" w:rsidP="00D94935">
      <w:pPr>
        <w:pStyle w:val="AmdtsEntryHd"/>
        <w:rPr>
          <w:rFonts w:cs="Arial"/>
        </w:rPr>
      </w:pPr>
      <w:r w:rsidRPr="00140BF9">
        <w:rPr>
          <w:rFonts w:cs="Arial"/>
        </w:rPr>
        <w:lastRenderedPageBreak/>
        <w:t>Estate and trust accounts—notice of filing of accounts etc</w:t>
      </w:r>
    </w:p>
    <w:p w14:paraId="09A115A8" w14:textId="77777777"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14:paraId="7F8090BF" w14:textId="0E2A13DB" w:rsidR="004745AC" w:rsidRPr="00140BF9" w:rsidRDefault="00D94935" w:rsidP="004745AC">
      <w:pPr>
        <w:pStyle w:val="AmdtsEntries"/>
        <w:rPr>
          <w:rFonts w:cs="Arial"/>
        </w:rPr>
      </w:pPr>
      <w:r w:rsidRPr="00140BF9">
        <w:rPr>
          <w:rFonts w:cs="Arial"/>
        </w:rPr>
        <w:t>r 2749</w:t>
      </w:r>
      <w:r w:rsidRPr="00140BF9">
        <w:rPr>
          <w:rFonts w:cs="Arial"/>
        </w:rPr>
        <w:tab/>
        <w:t xml:space="preserve">am </w:t>
      </w:r>
      <w:hyperlink r:id="rId15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r w:rsidR="004745AC">
        <w:rPr>
          <w:rFonts w:cs="Arial"/>
        </w:rPr>
        <w:t>;</w:t>
      </w:r>
      <w:r w:rsidR="004745AC">
        <w:rPr>
          <w:rFonts w:eastAsiaTheme="minorEastAsia" w:cs="Arial"/>
          <w:szCs w:val="22"/>
          <w:lang w:eastAsia="en-AU"/>
        </w:rPr>
        <w:t xml:space="preserve"> </w:t>
      </w:r>
      <w:hyperlink r:id="rId1598" w:tooltip="Court Procedures Amendment Rules 2023 (No 2)" w:history="1">
        <w:r w:rsidR="004745AC">
          <w:rPr>
            <w:rStyle w:val="charCitHyperlinkAbbrev"/>
          </w:rPr>
          <w:t>SL2023</w:t>
        </w:r>
        <w:r w:rsidR="004745AC">
          <w:rPr>
            <w:rStyle w:val="charCitHyperlinkAbbrev"/>
          </w:rPr>
          <w:noBreakHyphen/>
          <w:t>36</w:t>
        </w:r>
      </w:hyperlink>
      <w:r w:rsidR="004745AC">
        <w:rPr>
          <w:rFonts w:eastAsiaTheme="minorEastAsia" w:cs="Arial"/>
          <w:szCs w:val="22"/>
          <w:lang w:eastAsia="en-AU"/>
        </w:rPr>
        <w:t xml:space="preserve"> r 30</w:t>
      </w:r>
    </w:p>
    <w:p w14:paraId="414205B0" w14:textId="77777777" w:rsidR="00D94935" w:rsidRPr="00140BF9" w:rsidRDefault="00D94935" w:rsidP="00D94935">
      <w:pPr>
        <w:pStyle w:val="AmdtsEntryHd"/>
        <w:rPr>
          <w:rFonts w:cs="Arial"/>
        </w:rPr>
      </w:pPr>
      <w:r w:rsidRPr="00140BF9">
        <w:rPr>
          <w:rFonts w:cs="Arial"/>
        </w:rPr>
        <w:t>Estate and trust accounts—appearance of beneficiary at examination</w:t>
      </w:r>
    </w:p>
    <w:p w14:paraId="1CE10755" w14:textId="77777777"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14:paraId="7FE30BE9" w14:textId="19317DC3"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14:paraId="444CE726" w14:textId="77777777" w:rsidR="00D94935" w:rsidRPr="00140BF9" w:rsidRDefault="00D94935" w:rsidP="00D94935">
      <w:pPr>
        <w:pStyle w:val="AmdtsEntryHd"/>
        <w:rPr>
          <w:rFonts w:cs="Arial"/>
        </w:rPr>
      </w:pPr>
      <w:r w:rsidRPr="00140BF9">
        <w:rPr>
          <w:rFonts w:cs="Arial"/>
        </w:rPr>
        <w:t>Estate and trust accounts—examination</w:t>
      </w:r>
    </w:p>
    <w:p w14:paraId="554C803C" w14:textId="77777777"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14:paraId="72E0590F" w14:textId="77777777" w:rsidR="00D94935" w:rsidRPr="00140BF9" w:rsidRDefault="00D94935" w:rsidP="00D94935">
      <w:pPr>
        <w:pStyle w:val="AmdtsEntryHd"/>
        <w:rPr>
          <w:rFonts w:cs="Arial"/>
        </w:rPr>
      </w:pPr>
      <w:r w:rsidRPr="00140BF9">
        <w:rPr>
          <w:rFonts w:cs="Arial"/>
        </w:rPr>
        <w:t>Estate and trust accounts—conduct of examination</w:t>
      </w:r>
    </w:p>
    <w:p w14:paraId="23C5776E" w14:textId="77777777"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14:paraId="69838EDA" w14:textId="77777777" w:rsidR="00D94935" w:rsidRPr="00140BF9" w:rsidRDefault="00D94935" w:rsidP="00D94935">
      <w:pPr>
        <w:pStyle w:val="AmdtsEntryHd"/>
        <w:rPr>
          <w:rFonts w:cs="Arial"/>
        </w:rPr>
      </w:pPr>
      <w:r w:rsidRPr="00140BF9">
        <w:rPr>
          <w:rFonts w:cs="Arial"/>
        </w:rPr>
        <w:t>Estate and trust accounts—application for passing accounts etc</w:t>
      </w:r>
    </w:p>
    <w:p w14:paraId="770C1D81" w14:textId="77777777"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14:paraId="26D4D5AD" w14:textId="77777777" w:rsidR="00D94935" w:rsidRPr="00140BF9" w:rsidRDefault="00D94935" w:rsidP="00D94935">
      <w:pPr>
        <w:pStyle w:val="AmdtsEntryHd"/>
        <w:rPr>
          <w:rFonts w:cs="Arial"/>
        </w:rPr>
      </w:pPr>
      <w:r w:rsidRPr="00140BF9">
        <w:rPr>
          <w:rFonts w:cs="Arial"/>
        </w:rPr>
        <w:t>Estate and trust accounts—passing of accounts etc</w:t>
      </w:r>
    </w:p>
    <w:p w14:paraId="4E161268" w14:textId="77777777"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14:paraId="3FCD0157" w14:textId="77777777" w:rsidR="00D94935" w:rsidRPr="00140BF9" w:rsidRDefault="00D94935" w:rsidP="00D94935">
      <w:pPr>
        <w:pStyle w:val="AmdtsEntryHd"/>
        <w:rPr>
          <w:rFonts w:cs="Arial"/>
        </w:rPr>
      </w:pPr>
      <w:r w:rsidRPr="00140BF9">
        <w:rPr>
          <w:rFonts w:cs="Arial"/>
        </w:rPr>
        <w:t>Estate and trust accounts—amended or further accounts</w:t>
      </w:r>
    </w:p>
    <w:p w14:paraId="36B92D1D" w14:textId="77777777"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14:paraId="79048873" w14:textId="77777777" w:rsidR="00D94935" w:rsidRPr="00140BF9" w:rsidRDefault="00D94935" w:rsidP="00D94935">
      <w:pPr>
        <w:pStyle w:val="AmdtsEntryHd"/>
        <w:rPr>
          <w:rFonts w:cs="Arial"/>
        </w:rPr>
      </w:pPr>
      <w:r w:rsidRPr="00140BF9">
        <w:rPr>
          <w:rFonts w:cs="Arial"/>
        </w:rPr>
        <w:t>Estate and trust accounts—renewal of objection in subsequent proceeding</w:t>
      </w:r>
    </w:p>
    <w:p w14:paraId="3DF39897" w14:textId="77777777"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14:paraId="4531B997" w14:textId="77777777" w:rsidR="00D94935" w:rsidRPr="00140BF9" w:rsidRDefault="00D94935" w:rsidP="00D94935">
      <w:pPr>
        <w:pStyle w:val="AmdtsEntryHd"/>
        <w:rPr>
          <w:rFonts w:cs="Arial"/>
        </w:rPr>
      </w:pPr>
      <w:r w:rsidRPr="00140BF9">
        <w:rPr>
          <w:rFonts w:cs="Arial"/>
        </w:rPr>
        <w:t>Estate and trust accounts—evidence in subsequent proceeding</w:t>
      </w:r>
    </w:p>
    <w:p w14:paraId="1FA99C71" w14:textId="77777777"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14:paraId="48E35293" w14:textId="77777777" w:rsidR="00D94935" w:rsidRPr="00140BF9" w:rsidRDefault="00D94935" w:rsidP="00D94935">
      <w:pPr>
        <w:pStyle w:val="AmdtsEntryHd"/>
        <w:rPr>
          <w:rFonts w:cs="Arial"/>
        </w:rPr>
      </w:pPr>
      <w:r w:rsidRPr="00140BF9">
        <w:rPr>
          <w:rFonts w:cs="Arial"/>
        </w:rPr>
        <w:t>Estate and trust accounts—general practice to apply</w:t>
      </w:r>
    </w:p>
    <w:p w14:paraId="53E39BBB" w14:textId="77777777"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14:paraId="5DDA35F7" w14:textId="77777777" w:rsidR="00D94935" w:rsidRPr="00140BF9" w:rsidRDefault="00D94935" w:rsidP="00D94935">
      <w:pPr>
        <w:pStyle w:val="AmdtsEntryHd"/>
        <w:rPr>
          <w:rFonts w:cs="Arial"/>
        </w:rPr>
      </w:pPr>
      <w:r w:rsidRPr="00140BF9">
        <w:rPr>
          <w:rFonts w:cs="Arial"/>
        </w:rPr>
        <w:t>Estate and trust accounts—combined executors’ and trustees’ account</w:t>
      </w:r>
    </w:p>
    <w:p w14:paraId="17552730" w14:textId="77777777"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14:paraId="38CD29D7" w14:textId="77777777" w:rsidR="00D94935" w:rsidRPr="00140BF9" w:rsidRDefault="00D94935" w:rsidP="00D94935">
      <w:pPr>
        <w:pStyle w:val="AmdtsEntryHd"/>
        <w:rPr>
          <w:rFonts w:cs="Arial"/>
        </w:rPr>
      </w:pPr>
      <w:r w:rsidRPr="00140BF9">
        <w:rPr>
          <w:rFonts w:cs="Arial"/>
        </w:rPr>
        <w:t>Trustees—allowance of commission in proceeding</w:t>
      </w:r>
    </w:p>
    <w:p w14:paraId="31CAE8EF" w14:textId="77777777"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14:paraId="5056EBC5" w14:textId="77777777" w:rsidR="00D94935" w:rsidRPr="00140BF9" w:rsidRDefault="00D94935" w:rsidP="00D94935">
      <w:pPr>
        <w:pStyle w:val="AmdtsEntryHd"/>
        <w:rPr>
          <w:rFonts w:cs="Arial"/>
        </w:rPr>
      </w:pPr>
      <w:r w:rsidRPr="00140BF9">
        <w:rPr>
          <w:rFonts w:cs="Arial"/>
        </w:rPr>
        <w:t>Power to act by solicitor</w:t>
      </w:r>
    </w:p>
    <w:p w14:paraId="319FC154" w14:textId="77777777"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14:paraId="58C88868" w14:textId="77777777" w:rsidR="00D94935" w:rsidRPr="00140BF9" w:rsidRDefault="00D94935" w:rsidP="00D94935">
      <w:pPr>
        <w:pStyle w:val="AmdtsEntryHd"/>
        <w:rPr>
          <w:rFonts w:cs="Arial"/>
        </w:rPr>
      </w:pPr>
      <w:r w:rsidRPr="00140BF9">
        <w:rPr>
          <w:rFonts w:cs="Arial"/>
        </w:rPr>
        <w:t>Appointment of solicitor</w:t>
      </w:r>
    </w:p>
    <w:p w14:paraId="2025F645" w14:textId="77777777"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14:paraId="6B656B89" w14:textId="77777777" w:rsidR="00D94935" w:rsidRPr="00140BF9" w:rsidRDefault="00D94935" w:rsidP="00D94935">
      <w:pPr>
        <w:pStyle w:val="AmdtsEntryHd"/>
        <w:rPr>
          <w:rFonts w:cs="Arial"/>
        </w:rPr>
      </w:pPr>
      <w:r w:rsidRPr="00140BF9">
        <w:rPr>
          <w:rFonts w:cs="Arial"/>
        </w:rPr>
        <w:t>Change between acting personally and acting by solicitor</w:t>
      </w:r>
    </w:p>
    <w:p w14:paraId="2CDB68FF" w14:textId="77777777"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14:paraId="7857CCC9" w14:textId="48967E0B"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600"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14:paraId="5B58262A" w14:textId="77777777" w:rsidR="00D94935" w:rsidRPr="00140BF9" w:rsidRDefault="00D94935" w:rsidP="00D94935">
      <w:pPr>
        <w:pStyle w:val="AmdtsEntryHd"/>
        <w:rPr>
          <w:rFonts w:cs="Arial"/>
        </w:rPr>
      </w:pPr>
      <w:r w:rsidRPr="00140BF9">
        <w:rPr>
          <w:rFonts w:cs="Arial"/>
        </w:rPr>
        <w:t>Change of solicitor</w:t>
      </w:r>
    </w:p>
    <w:p w14:paraId="5FBD0FDE" w14:textId="77777777"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14:paraId="7316A617" w14:textId="77777777" w:rsidR="00D94935" w:rsidRPr="00140BF9" w:rsidRDefault="00D94935" w:rsidP="00D94935">
      <w:pPr>
        <w:pStyle w:val="AmdtsEntryHd"/>
        <w:rPr>
          <w:rFonts w:cs="Arial"/>
        </w:rPr>
      </w:pPr>
      <w:r w:rsidRPr="00140BF9">
        <w:rPr>
          <w:rFonts w:cs="Arial"/>
        </w:rPr>
        <w:t>Removal of solicitor by court</w:t>
      </w:r>
    </w:p>
    <w:p w14:paraId="46EEB684" w14:textId="77777777"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14:paraId="4EDCD106" w14:textId="77777777" w:rsidR="00D94935" w:rsidRPr="00140BF9" w:rsidRDefault="00D94935" w:rsidP="00D94935">
      <w:pPr>
        <w:pStyle w:val="AmdtsEntryHd"/>
        <w:rPr>
          <w:rFonts w:cs="Arial"/>
        </w:rPr>
      </w:pPr>
      <w:r w:rsidRPr="00140BF9">
        <w:rPr>
          <w:rFonts w:cs="Arial"/>
        </w:rPr>
        <w:lastRenderedPageBreak/>
        <w:t>Solicitor removed from roll etc</w:t>
      </w:r>
    </w:p>
    <w:p w14:paraId="084BC2AD" w14:textId="072871DF" w:rsidR="00D94935" w:rsidRDefault="00D94935" w:rsidP="00D94935">
      <w:pPr>
        <w:pStyle w:val="AmdtsEntries"/>
        <w:rPr>
          <w:rFonts w:eastAsiaTheme="minorEastAsia" w:cs="Arial"/>
          <w:szCs w:val="22"/>
          <w:lang w:eastAsia="en-AU"/>
        </w:rPr>
      </w:pPr>
      <w:r w:rsidRPr="00140BF9">
        <w:rPr>
          <w:rFonts w:cs="Arial"/>
        </w:rPr>
        <w:t>r 2805 hdg</w:t>
      </w:r>
      <w:r w:rsidRPr="00140BF9">
        <w:rPr>
          <w:rFonts w:eastAsiaTheme="minorEastAsia" w:cs="Arial"/>
          <w:szCs w:val="22"/>
          <w:lang w:eastAsia="en-AU"/>
        </w:rPr>
        <w:tab/>
        <w:t>bracketed note om R29 LA</w:t>
      </w:r>
    </w:p>
    <w:p w14:paraId="5D78251D" w14:textId="62AA96D9" w:rsidR="00D94935" w:rsidRPr="00140BF9" w:rsidRDefault="006175F4" w:rsidP="00D94935">
      <w:pPr>
        <w:pStyle w:val="AmdtsEntryHd"/>
        <w:rPr>
          <w:rFonts w:cs="Arial"/>
        </w:rPr>
      </w:pPr>
      <w:r w:rsidRPr="00E31D57">
        <w:t>Withdrawal as solicitor</w:t>
      </w:r>
    </w:p>
    <w:p w14:paraId="6534A133" w14:textId="77777777"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14:paraId="6997AAA7" w14:textId="318573E6" w:rsidR="006175F4" w:rsidRDefault="006175F4" w:rsidP="006175F4">
      <w:pPr>
        <w:pStyle w:val="AmdtsEntries"/>
        <w:rPr>
          <w:rFonts w:eastAsiaTheme="minorEastAsia" w:cs="Arial"/>
          <w:szCs w:val="22"/>
          <w:lang w:eastAsia="en-AU"/>
        </w:rPr>
      </w:pPr>
      <w:r>
        <w:rPr>
          <w:rFonts w:eastAsiaTheme="minorEastAsia" w:cs="Arial"/>
          <w:szCs w:val="22"/>
          <w:lang w:eastAsia="en-AU"/>
        </w:rPr>
        <w:t>r 2806</w:t>
      </w:r>
      <w:r>
        <w:rPr>
          <w:rFonts w:eastAsiaTheme="minorEastAsia" w:cs="Arial"/>
          <w:szCs w:val="22"/>
          <w:lang w:eastAsia="en-AU"/>
        </w:rPr>
        <w:tab/>
        <w:t xml:space="preserve">sub </w:t>
      </w:r>
      <w:hyperlink r:id="rId1601"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4</w:t>
      </w:r>
    </w:p>
    <w:p w14:paraId="416BF187" w14:textId="33770998" w:rsidR="00A855C7" w:rsidRPr="00140BF9" w:rsidRDefault="00A855C7" w:rsidP="006175F4">
      <w:pPr>
        <w:pStyle w:val="AmdtsEntries"/>
        <w:rPr>
          <w:rFonts w:cs="Arial"/>
        </w:rPr>
      </w:pPr>
      <w:r>
        <w:rPr>
          <w:rFonts w:eastAsiaTheme="minorEastAsia" w:cs="Arial"/>
          <w:szCs w:val="22"/>
          <w:lang w:eastAsia="en-AU"/>
        </w:rPr>
        <w:tab/>
        <w:t xml:space="preserve">am </w:t>
      </w:r>
      <w:hyperlink r:id="rId1602"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15</w:t>
      </w:r>
    </w:p>
    <w:p w14:paraId="2F190F4C" w14:textId="77777777" w:rsidR="00D94935" w:rsidRPr="00140BF9" w:rsidRDefault="00D94935" w:rsidP="00D94935">
      <w:pPr>
        <w:pStyle w:val="AmdtsEntryHd"/>
        <w:rPr>
          <w:rFonts w:cs="Arial"/>
        </w:rPr>
      </w:pPr>
      <w:r w:rsidRPr="00140BF9">
        <w:rPr>
          <w:rFonts w:cs="Arial"/>
        </w:rPr>
        <w:t>Leave to withdraw as solicitor</w:t>
      </w:r>
    </w:p>
    <w:p w14:paraId="6F6CB46B" w14:textId="203B9535" w:rsidR="00D94935" w:rsidRDefault="00D94935" w:rsidP="00D94935">
      <w:pPr>
        <w:pStyle w:val="AmdtsEntries"/>
        <w:rPr>
          <w:rFonts w:eastAsiaTheme="minorEastAsia" w:cs="Arial"/>
          <w:szCs w:val="22"/>
          <w:lang w:eastAsia="en-AU"/>
        </w:rPr>
      </w:pPr>
      <w:r w:rsidRPr="00140BF9">
        <w:rPr>
          <w:rFonts w:cs="Arial"/>
        </w:rPr>
        <w:t>r 2807 hdg</w:t>
      </w:r>
      <w:r w:rsidRPr="00140BF9">
        <w:rPr>
          <w:rFonts w:eastAsiaTheme="minorEastAsia" w:cs="Arial"/>
          <w:szCs w:val="22"/>
          <w:lang w:eastAsia="en-AU"/>
        </w:rPr>
        <w:tab/>
        <w:t>bracketed note om R29 LA</w:t>
      </w:r>
    </w:p>
    <w:p w14:paraId="28D7C5E2" w14:textId="3DC8CFC0" w:rsidR="006175F4" w:rsidRPr="00140BF9" w:rsidRDefault="006175F4" w:rsidP="00D94935">
      <w:pPr>
        <w:pStyle w:val="AmdtsEntries"/>
        <w:rPr>
          <w:rFonts w:cs="Arial"/>
        </w:rPr>
      </w:pPr>
      <w:r>
        <w:rPr>
          <w:rFonts w:eastAsiaTheme="minorEastAsia" w:cs="Arial"/>
          <w:szCs w:val="22"/>
          <w:lang w:eastAsia="en-AU"/>
        </w:rPr>
        <w:t>r 2807</w:t>
      </w:r>
      <w:r>
        <w:rPr>
          <w:rFonts w:eastAsiaTheme="minorEastAsia" w:cs="Arial"/>
          <w:szCs w:val="22"/>
          <w:lang w:eastAsia="en-AU"/>
        </w:rPr>
        <w:tab/>
        <w:t xml:space="preserve">am </w:t>
      </w:r>
      <w:hyperlink r:id="rId1603"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5, r 6; </w:t>
      </w:r>
      <w:r w:rsidR="00854445">
        <w:rPr>
          <w:rFonts w:eastAsiaTheme="minorEastAsia" w:cs="Arial"/>
          <w:szCs w:val="22"/>
          <w:lang w:eastAsia="en-AU"/>
        </w:rPr>
        <w:t>rr</w:t>
      </w:r>
      <w:r>
        <w:rPr>
          <w:rFonts w:eastAsiaTheme="minorEastAsia" w:cs="Arial"/>
          <w:szCs w:val="22"/>
          <w:lang w:eastAsia="en-AU"/>
        </w:rPr>
        <w:t xml:space="preserve"> renum R61 LA</w:t>
      </w:r>
    </w:p>
    <w:p w14:paraId="38525699" w14:textId="77777777" w:rsidR="00D94935" w:rsidRPr="00140BF9" w:rsidRDefault="00D94935" w:rsidP="00D94935">
      <w:pPr>
        <w:pStyle w:val="AmdtsEntryHd"/>
        <w:rPr>
          <w:rFonts w:cs="Arial"/>
        </w:rPr>
      </w:pPr>
      <w:r w:rsidRPr="00140BF9">
        <w:rPr>
          <w:rFonts w:cs="Arial"/>
        </w:rPr>
        <w:t>Effect of removal of, or leave to withdraw as, solicitor</w:t>
      </w:r>
    </w:p>
    <w:p w14:paraId="49D0EA72" w14:textId="77777777"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14:paraId="7C745629" w14:textId="57CD6565" w:rsidR="006175F4" w:rsidRPr="00140BF9" w:rsidRDefault="006175F4" w:rsidP="006175F4">
      <w:pPr>
        <w:pStyle w:val="AmdtsEntries"/>
        <w:rPr>
          <w:rFonts w:cs="Arial"/>
        </w:rPr>
      </w:pPr>
      <w:r>
        <w:rPr>
          <w:rFonts w:eastAsiaTheme="minorEastAsia" w:cs="Arial"/>
          <w:szCs w:val="22"/>
          <w:lang w:eastAsia="en-AU"/>
        </w:rPr>
        <w:t>r 2808</w:t>
      </w:r>
      <w:r>
        <w:rPr>
          <w:rFonts w:eastAsiaTheme="minorEastAsia" w:cs="Arial"/>
          <w:szCs w:val="22"/>
          <w:lang w:eastAsia="en-AU"/>
        </w:rPr>
        <w:tab/>
        <w:t xml:space="preserve">am </w:t>
      </w:r>
      <w:hyperlink r:id="rId1604"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7</w:t>
      </w:r>
    </w:p>
    <w:p w14:paraId="6EBF0076" w14:textId="77777777" w:rsidR="00D94935" w:rsidRPr="00140BF9" w:rsidRDefault="00D94935" w:rsidP="00D94935">
      <w:pPr>
        <w:pStyle w:val="AmdtsEntryHd"/>
        <w:rPr>
          <w:rFonts w:cs="Arial"/>
        </w:rPr>
      </w:pPr>
      <w:r w:rsidRPr="00140BF9">
        <w:rPr>
          <w:rFonts w:cs="Arial"/>
        </w:rPr>
        <w:t>Withdrawal of solicitor’s agent</w:t>
      </w:r>
    </w:p>
    <w:p w14:paraId="3081A209" w14:textId="77777777"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14:paraId="7831EDC9" w14:textId="77777777" w:rsidR="00D94935" w:rsidRPr="00140BF9" w:rsidRDefault="00D94935" w:rsidP="00D94935">
      <w:pPr>
        <w:pStyle w:val="AmdtsEntryHd"/>
        <w:rPr>
          <w:rFonts w:cs="Arial"/>
        </w:rPr>
      </w:pPr>
      <w:r w:rsidRPr="00140BF9">
        <w:rPr>
          <w:rFonts w:cs="Arial"/>
        </w:rPr>
        <w:t>Solicitor not to act for adverse parties</w:t>
      </w:r>
    </w:p>
    <w:p w14:paraId="2E7C32E7" w14:textId="77777777"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14:paraId="6DB99D8F" w14:textId="77777777" w:rsidR="00D94935" w:rsidRPr="00140BF9" w:rsidRDefault="00D94935" w:rsidP="00D94935">
      <w:pPr>
        <w:pStyle w:val="AmdtsEntryHd"/>
        <w:rPr>
          <w:rFonts w:cs="Arial"/>
        </w:rPr>
      </w:pPr>
      <w:r w:rsidRPr="00140BF9">
        <w:rPr>
          <w:rFonts w:cs="Arial"/>
        </w:rPr>
        <w:t>Declaratory order</w:t>
      </w:r>
    </w:p>
    <w:p w14:paraId="04DE6865" w14:textId="77777777"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14:paraId="63579E77" w14:textId="77777777" w:rsidR="00D94935" w:rsidRPr="00140BF9" w:rsidRDefault="00D94935" w:rsidP="00D94935">
      <w:pPr>
        <w:pStyle w:val="AmdtsEntryHd"/>
        <w:rPr>
          <w:rFonts w:cs="Arial"/>
        </w:rPr>
      </w:pPr>
      <w:r w:rsidRPr="00140BF9">
        <w:rPr>
          <w:rFonts w:cs="Arial"/>
        </w:rPr>
        <w:t>Copies of documents from registrar</w:t>
      </w:r>
    </w:p>
    <w:p w14:paraId="336728C7" w14:textId="77777777"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14:paraId="17942333" w14:textId="0A27507B"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605"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14:paraId="29172B41" w14:textId="77777777" w:rsidR="00D94935" w:rsidRPr="00140BF9" w:rsidRDefault="00D94935" w:rsidP="00D94935">
      <w:pPr>
        <w:pStyle w:val="AmdtsEntryHd"/>
        <w:rPr>
          <w:rFonts w:cs="Arial"/>
        </w:rPr>
      </w:pPr>
      <w:r w:rsidRPr="00140BF9">
        <w:rPr>
          <w:rFonts w:cs="Arial"/>
        </w:rPr>
        <w:t>Searches of registers etc</w:t>
      </w:r>
    </w:p>
    <w:p w14:paraId="78E31A47" w14:textId="77777777"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14:paraId="3B740271" w14:textId="77777777" w:rsidR="00D94935" w:rsidRPr="00140BF9" w:rsidRDefault="00D94935" w:rsidP="00D94935">
      <w:pPr>
        <w:pStyle w:val="AmdtsEntryHd"/>
        <w:rPr>
          <w:rFonts w:cs="Arial"/>
        </w:rPr>
      </w:pPr>
      <w:r w:rsidRPr="00140BF9">
        <w:rPr>
          <w:rFonts w:cs="Arial"/>
        </w:rPr>
        <w:t>Inspection of registry files</w:t>
      </w:r>
    </w:p>
    <w:p w14:paraId="6C8E6B36" w14:textId="77777777"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14:paraId="2EB3DF5E" w14:textId="414B385D"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606"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14:paraId="458CF097" w14:textId="77777777" w:rsidR="00D94935" w:rsidRPr="00140BF9" w:rsidRDefault="00D94935" w:rsidP="00D94935">
      <w:pPr>
        <w:pStyle w:val="AmdtsEntryHd"/>
        <w:rPr>
          <w:rFonts w:cs="Arial"/>
        </w:rPr>
      </w:pPr>
      <w:r w:rsidRPr="00140BF9">
        <w:rPr>
          <w:rFonts w:cs="Arial"/>
        </w:rPr>
        <w:t>Definitions—pt 3.1</w:t>
      </w:r>
    </w:p>
    <w:p w14:paraId="4AF6A9B8" w14:textId="77777777"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14:paraId="73D9E204" w14:textId="77777777" w:rsidR="00D94935" w:rsidRPr="00140BF9" w:rsidRDefault="00D94935" w:rsidP="00D94935">
      <w:pPr>
        <w:pStyle w:val="AmdtsEntryHd"/>
        <w:rPr>
          <w:rFonts w:cs="Arial"/>
        </w:rPr>
      </w:pPr>
      <w:r w:rsidRPr="00140BF9">
        <w:rPr>
          <w:rFonts w:cs="Arial"/>
        </w:rPr>
        <w:t>Terms used in Administration and Probate Act</w:t>
      </w:r>
    </w:p>
    <w:p w14:paraId="08C09C0F" w14:textId="77777777"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14:paraId="602F8E70" w14:textId="00B29919"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607"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14:paraId="1B785839" w14:textId="77777777" w:rsidR="00D94935" w:rsidRPr="00140BF9" w:rsidRDefault="00D94935" w:rsidP="00D94935">
      <w:pPr>
        <w:pStyle w:val="AmdtsEntryHd"/>
        <w:rPr>
          <w:rFonts w:cs="Arial"/>
        </w:rPr>
      </w:pPr>
      <w:r w:rsidRPr="00140BF9">
        <w:rPr>
          <w:rFonts w:cs="Arial"/>
        </w:rPr>
        <w:t>Grant of representation—application</w:t>
      </w:r>
    </w:p>
    <w:p w14:paraId="72DD4E02" w14:textId="77777777" w:rsidR="00D94935" w:rsidRPr="00140BF9" w:rsidRDefault="00D94935" w:rsidP="00EC318A">
      <w:pPr>
        <w:pStyle w:val="AmdtsEntries"/>
        <w:keepNext/>
        <w:rPr>
          <w:rFonts w:cs="Arial"/>
        </w:rPr>
      </w:pPr>
      <w:r w:rsidRPr="00140BF9">
        <w:rPr>
          <w:rFonts w:cs="Arial"/>
        </w:rPr>
        <w:t>r 3005 hdg</w:t>
      </w:r>
      <w:r w:rsidRPr="00140BF9">
        <w:rPr>
          <w:rFonts w:eastAsiaTheme="minorEastAsia" w:cs="Arial"/>
          <w:szCs w:val="22"/>
          <w:lang w:eastAsia="en-AU"/>
        </w:rPr>
        <w:tab/>
        <w:t>bracketed note om R29 LA</w:t>
      </w:r>
    </w:p>
    <w:p w14:paraId="2F06919F" w14:textId="2A5AF607"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60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w:t>
      </w:r>
      <w:r w:rsidR="00854445">
        <w:rPr>
          <w:rFonts w:cs="Arial"/>
        </w:rPr>
        <w:t>rr</w:t>
      </w:r>
      <w:r w:rsidRPr="00140BF9">
        <w:rPr>
          <w:rFonts w:cs="Arial"/>
        </w:rPr>
        <w:t xml:space="preserve"> renum R26 LA</w:t>
      </w:r>
      <w:r w:rsidR="009D3351">
        <w:rPr>
          <w:rFonts w:cs="Arial"/>
        </w:rPr>
        <w:t xml:space="preserve">; </w:t>
      </w:r>
      <w:hyperlink r:id="rId1609"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610" w:tooltip="Court Procedures Amendment Rules 2022 (No 1)" w:history="1">
        <w:r w:rsidR="00D93AC9">
          <w:rPr>
            <w:rStyle w:val="charCitHyperlinkAbbrev"/>
          </w:rPr>
          <w:t>SL2022</w:t>
        </w:r>
        <w:r w:rsidR="00D93AC9">
          <w:rPr>
            <w:rStyle w:val="charCitHyperlinkAbbrev"/>
          </w:rPr>
          <w:noBreakHyphen/>
          <w:t>2</w:t>
        </w:r>
      </w:hyperlink>
      <w:r w:rsidR="00D93AC9">
        <w:t xml:space="preserve"> r 4</w:t>
      </w:r>
    </w:p>
    <w:p w14:paraId="2A0D5402" w14:textId="62753D20" w:rsidR="00D94935" w:rsidRPr="00140BF9" w:rsidRDefault="00D93AC9" w:rsidP="00D94935">
      <w:pPr>
        <w:pStyle w:val="AmdtsEntryHd"/>
        <w:rPr>
          <w:rFonts w:cs="Arial"/>
        </w:rPr>
      </w:pPr>
      <w:r w:rsidRPr="00D8116A">
        <w:t>Grant of representation—notice of intention to apply to be published online etc</w:t>
      </w:r>
    </w:p>
    <w:p w14:paraId="5C5CA2FF" w14:textId="470AE15D" w:rsidR="00D94935" w:rsidRDefault="00D94935" w:rsidP="00D94935">
      <w:pPr>
        <w:pStyle w:val="AmdtsEntries"/>
        <w:rPr>
          <w:rFonts w:eastAsiaTheme="minorEastAsia" w:cs="Arial"/>
          <w:szCs w:val="22"/>
          <w:lang w:eastAsia="en-AU"/>
        </w:rPr>
      </w:pPr>
      <w:r w:rsidRPr="00140BF9">
        <w:rPr>
          <w:rFonts w:cs="Arial"/>
        </w:rPr>
        <w:t>r 3006 hdg</w:t>
      </w:r>
      <w:r w:rsidRPr="00140BF9">
        <w:rPr>
          <w:rFonts w:eastAsiaTheme="minorEastAsia" w:cs="Arial"/>
          <w:szCs w:val="22"/>
          <w:lang w:eastAsia="en-AU"/>
        </w:rPr>
        <w:tab/>
        <w:t>bracketed note om R29 LA</w:t>
      </w:r>
    </w:p>
    <w:p w14:paraId="077479BE" w14:textId="6DFCC752" w:rsidR="00D93AC9" w:rsidRPr="00140BF9" w:rsidRDefault="00D93AC9" w:rsidP="00D94935">
      <w:pPr>
        <w:pStyle w:val="AmdtsEntries"/>
        <w:rPr>
          <w:rFonts w:cs="Arial"/>
        </w:rPr>
      </w:pPr>
      <w:r>
        <w:rPr>
          <w:rFonts w:eastAsiaTheme="minorEastAsia" w:cs="Arial"/>
          <w:szCs w:val="22"/>
          <w:lang w:eastAsia="en-AU"/>
        </w:rPr>
        <w:tab/>
        <w:t xml:space="preserve">sub </w:t>
      </w:r>
      <w:hyperlink r:id="rId1611"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5</w:t>
      </w:r>
    </w:p>
    <w:p w14:paraId="68E5FB68" w14:textId="6EC3D108"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6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r w:rsidR="00D93AC9">
        <w:rPr>
          <w:rFonts w:cs="Arial"/>
        </w:rPr>
        <w:t xml:space="preserve">; </w:t>
      </w:r>
      <w:hyperlink r:id="rId1613" w:tooltip="Court Procedures Amendment Rules 2022 (No 1)" w:history="1">
        <w:r w:rsidR="00D93AC9">
          <w:rPr>
            <w:rStyle w:val="charCitHyperlinkAbbrev"/>
          </w:rPr>
          <w:t>SL2022</w:t>
        </w:r>
        <w:r w:rsidR="00D93AC9">
          <w:rPr>
            <w:rStyle w:val="charCitHyperlinkAbbrev"/>
          </w:rPr>
          <w:noBreakHyphen/>
          <w:t>2</w:t>
        </w:r>
      </w:hyperlink>
      <w:r w:rsidR="00D93AC9">
        <w:rPr>
          <w:rFonts w:cs="Arial"/>
        </w:rPr>
        <w:t xml:space="preserve"> r 6</w:t>
      </w:r>
    </w:p>
    <w:p w14:paraId="59EABEC3" w14:textId="77777777" w:rsidR="00D94935" w:rsidRPr="00140BF9" w:rsidRDefault="00D94935" w:rsidP="00D94935">
      <w:pPr>
        <w:pStyle w:val="AmdtsEntryHd"/>
        <w:rPr>
          <w:rFonts w:cs="Arial"/>
        </w:rPr>
      </w:pPr>
      <w:r w:rsidRPr="00140BF9">
        <w:rPr>
          <w:rFonts w:cs="Arial"/>
        </w:rPr>
        <w:lastRenderedPageBreak/>
        <w:t>Grant of administration—notice of intention to apply to be served on non-applicant domestic partner or next of kin</w:t>
      </w:r>
    </w:p>
    <w:p w14:paraId="1DA533F5" w14:textId="77777777"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14:paraId="65C6EDCE" w14:textId="7E45B87A"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6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1B9DF3B2" w14:textId="77777777"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14:paraId="159AB0CF" w14:textId="77777777"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14:paraId="6A7DB111" w14:textId="7E1739C4"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6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72FEB808" w14:textId="77777777"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14:paraId="30E70976" w14:textId="77777777"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14:paraId="2A62C5C4" w14:textId="71F9B3EF"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616" w:tooltip="Court Procedures Amendment Rules 2016 (No 1)" w:history="1">
        <w:r>
          <w:rPr>
            <w:rStyle w:val="charCitHyperlinkAbbrev"/>
          </w:rPr>
          <w:t>SL2016</w:t>
        </w:r>
        <w:r>
          <w:rPr>
            <w:rStyle w:val="charCitHyperlinkAbbrev"/>
          </w:rPr>
          <w:noBreakHyphen/>
          <w:t>17</w:t>
        </w:r>
      </w:hyperlink>
      <w:r>
        <w:t xml:space="preserve"> r 11</w:t>
      </w:r>
    </w:p>
    <w:p w14:paraId="2A49B823" w14:textId="1C410AAC"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617" w:tooltip="Court Procedures Amendment Rules 2016 (No 1)" w:history="1">
        <w:r>
          <w:rPr>
            <w:rStyle w:val="charCitHyperlinkAbbrev"/>
          </w:rPr>
          <w:t>SL2016</w:t>
        </w:r>
        <w:r>
          <w:rPr>
            <w:rStyle w:val="charCitHyperlinkAbbrev"/>
          </w:rPr>
          <w:noBreakHyphen/>
          <w:t>17</w:t>
        </w:r>
      </w:hyperlink>
      <w:r>
        <w:t xml:space="preserve"> r 11</w:t>
      </w:r>
    </w:p>
    <w:p w14:paraId="6929D893" w14:textId="77777777" w:rsidR="00D94935" w:rsidRPr="00140BF9" w:rsidRDefault="00D94935" w:rsidP="00D94935">
      <w:pPr>
        <w:pStyle w:val="AmdtsEntryHd"/>
        <w:rPr>
          <w:rFonts w:cs="Arial"/>
        </w:rPr>
      </w:pPr>
      <w:r w:rsidRPr="00140BF9">
        <w:rPr>
          <w:rFonts w:cs="Arial"/>
        </w:rPr>
        <w:t>Grant of representation—supporting affidavit for application</w:t>
      </w:r>
    </w:p>
    <w:p w14:paraId="056672A5" w14:textId="77777777"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14:paraId="4648E55B" w14:textId="13DCB4B7"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6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619"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6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621"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622" w:tooltip="Court Procedures Amendment Rules 2022 (No 1)" w:history="1">
        <w:r w:rsidR="00D93AC9">
          <w:rPr>
            <w:rStyle w:val="charCitHyperlinkAbbrev"/>
          </w:rPr>
          <w:t>SL2022</w:t>
        </w:r>
        <w:r w:rsidR="00D93AC9">
          <w:rPr>
            <w:rStyle w:val="charCitHyperlinkAbbrev"/>
          </w:rPr>
          <w:noBreakHyphen/>
          <w:t>2</w:t>
        </w:r>
      </w:hyperlink>
      <w:r w:rsidR="00D93AC9">
        <w:t xml:space="preserve"> r 7, r 8</w:t>
      </w:r>
    </w:p>
    <w:p w14:paraId="75939D7C" w14:textId="77777777" w:rsidR="00D94935" w:rsidRPr="00140BF9" w:rsidRDefault="00D94935" w:rsidP="00D94935">
      <w:pPr>
        <w:pStyle w:val="AmdtsEntryHd"/>
        <w:rPr>
          <w:rFonts w:cs="Arial"/>
        </w:rPr>
      </w:pPr>
      <w:r w:rsidRPr="00140BF9">
        <w:rPr>
          <w:rFonts w:cs="Arial"/>
        </w:rPr>
        <w:t>Grant of representation—affidavit of search</w:t>
      </w:r>
    </w:p>
    <w:p w14:paraId="3B0D9E8D" w14:textId="77777777"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14:paraId="14884E7C" w14:textId="77777777" w:rsidR="00D94935" w:rsidRPr="00140BF9" w:rsidRDefault="00D94935" w:rsidP="00D94935">
      <w:pPr>
        <w:pStyle w:val="AmdtsEntryHd"/>
        <w:rPr>
          <w:rFonts w:cs="Arial"/>
        </w:rPr>
      </w:pPr>
      <w:r w:rsidRPr="00140BF9">
        <w:rPr>
          <w:rFonts w:cs="Arial"/>
        </w:rPr>
        <w:t>Grant of representation—proof of identity and death</w:t>
      </w:r>
    </w:p>
    <w:p w14:paraId="4C37948F" w14:textId="77777777"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14:paraId="0B4AFD8E" w14:textId="77777777" w:rsidR="00D94935" w:rsidRPr="00140BF9" w:rsidRDefault="00D94935" w:rsidP="00D94935">
      <w:pPr>
        <w:pStyle w:val="AmdtsEntryHd"/>
        <w:rPr>
          <w:rFonts w:cs="Arial"/>
        </w:rPr>
      </w:pPr>
      <w:r w:rsidRPr="00140BF9">
        <w:rPr>
          <w:rFonts w:cs="Arial"/>
        </w:rPr>
        <w:t>Grant of representation—further evidence, documents and notices</w:t>
      </w:r>
    </w:p>
    <w:p w14:paraId="56EDEEA0" w14:textId="77777777"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14:paraId="00E85941" w14:textId="77777777" w:rsidR="00D94935" w:rsidRPr="00140BF9" w:rsidRDefault="00D94935" w:rsidP="00D94935">
      <w:pPr>
        <w:pStyle w:val="AmdtsEntryHd"/>
        <w:rPr>
          <w:rFonts w:cs="Arial"/>
        </w:rPr>
      </w:pPr>
      <w:r w:rsidRPr="00140BF9">
        <w:rPr>
          <w:rFonts w:cs="Arial"/>
        </w:rPr>
        <w:t>Grant of representation—no grant to executor etc who has renounced</w:t>
      </w:r>
    </w:p>
    <w:p w14:paraId="6CB4C004" w14:textId="77777777"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14:paraId="6D375C80" w14:textId="462C95E7"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6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14:paraId="7FE49A66" w14:textId="77777777" w:rsidR="00D94935" w:rsidRPr="00140BF9" w:rsidRDefault="00D94935" w:rsidP="00D94935">
      <w:pPr>
        <w:pStyle w:val="AmdtsEntryHd"/>
        <w:rPr>
          <w:rFonts w:cs="Arial"/>
        </w:rPr>
      </w:pPr>
      <w:r w:rsidRPr="00140BF9">
        <w:rPr>
          <w:rFonts w:cs="Arial"/>
        </w:rPr>
        <w:t>Reseal of foreign grant—application</w:t>
      </w:r>
    </w:p>
    <w:p w14:paraId="00043DA9" w14:textId="77777777"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14:paraId="3DBE2096" w14:textId="24068536" w:rsidR="00D94935" w:rsidRPr="00140BF9" w:rsidRDefault="00D93AC9" w:rsidP="00D94935">
      <w:pPr>
        <w:pStyle w:val="AmdtsEntryHd"/>
        <w:rPr>
          <w:rFonts w:cs="Arial"/>
        </w:rPr>
      </w:pPr>
      <w:r w:rsidRPr="00D8116A">
        <w:t>Reseal of foreign grant—notice of intention to apply to be published online etc</w:t>
      </w:r>
    </w:p>
    <w:p w14:paraId="41F4EA11" w14:textId="48F7E720" w:rsidR="00D94935" w:rsidRDefault="00D94935" w:rsidP="00EC318A">
      <w:pPr>
        <w:pStyle w:val="AmdtsEntries"/>
        <w:keepNext/>
        <w:rPr>
          <w:rFonts w:eastAsiaTheme="minorEastAsia" w:cs="Arial"/>
          <w:szCs w:val="22"/>
          <w:lang w:eastAsia="en-AU"/>
        </w:rPr>
      </w:pPr>
      <w:r w:rsidRPr="00140BF9">
        <w:rPr>
          <w:rFonts w:cs="Arial"/>
        </w:rPr>
        <w:t>r 3021 hdg</w:t>
      </w:r>
      <w:r w:rsidRPr="00140BF9">
        <w:rPr>
          <w:rFonts w:eastAsiaTheme="minorEastAsia" w:cs="Arial"/>
          <w:szCs w:val="22"/>
          <w:lang w:eastAsia="en-AU"/>
        </w:rPr>
        <w:tab/>
        <w:t>bracketed note om R29 LA</w:t>
      </w:r>
    </w:p>
    <w:p w14:paraId="696A8D51" w14:textId="36C068E1" w:rsidR="00D93AC9" w:rsidRDefault="00D93AC9" w:rsidP="00EC318A">
      <w:pPr>
        <w:pStyle w:val="AmdtsEntries"/>
        <w:keepNext/>
        <w:rPr>
          <w:rFonts w:eastAsiaTheme="minorEastAsia" w:cs="Arial"/>
          <w:szCs w:val="22"/>
          <w:lang w:eastAsia="en-AU"/>
        </w:rPr>
      </w:pPr>
      <w:r>
        <w:rPr>
          <w:rFonts w:eastAsiaTheme="minorEastAsia" w:cs="Arial"/>
          <w:szCs w:val="22"/>
          <w:lang w:eastAsia="en-AU"/>
        </w:rPr>
        <w:tab/>
        <w:t xml:space="preserve">sub </w:t>
      </w:r>
      <w:hyperlink r:id="rId1624"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9</w:t>
      </w:r>
    </w:p>
    <w:p w14:paraId="32C97D67" w14:textId="0653759B" w:rsidR="00D93AC9" w:rsidRPr="00140BF9" w:rsidRDefault="00D93AC9" w:rsidP="00D94935">
      <w:pPr>
        <w:pStyle w:val="AmdtsEntries"/>
        <w:rPr>
          <w:rFonts w:cs="Arial"/>
        </w:rPr>
      </w:pPr>
      <w:r>
        <w:rPr>
          <w:rFonts w:eastAsiaTheme="minorEastAsia" w:cs="Arial"/>
          <w:szCs w:val="22"/>
          <w:lang w:eastAsia="en-AU"/>
        </w:rPr>
        <w:t>r 3021</w:t>
      </w:r>
      <w:r>
        <w:rPr>
          <w:rFonts w:eastAsiaTheme="minorEastAsia" w:cs="Arial"/>
          <w:szCs w:val="22"/>
          <w:lang w:eastAsia="en-AU"/>
        </w:rPr>
        <w:tab/>
        <w:t xml:space="preserve">am </w:t>
      </w:r>
      <w:hyperlink r:id="rId1625"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10</w:t>
      </w:r>
    </w:p>
    <w:p w14:paraId="6BC47221" w14:textId="77777777" w:rsidR="00D94935" w:rsidRPr="00140BF9" w:rsidRDefault="00D94935" w:rsidP="00D94935">
      <w:pPr>
        <w:pStyle w:val="AmdtsEntryHd"/>
        <w:rPr>
          <w:rFonts w:cs="Arial"/>
        </w:rPr>
      </w:pPr>
      <w:r w:rsidRPr="00140BF9">
        <w:rPr>
          <w:rFonts w:cs="Arial"/>
        </w:rPr>
        <w:t>Reseal of foreign grant—supporting affidavit for application</w:t>
      </w:r>
    </w:p>
    <w:p w14:paraId="6A5B41AA" w14:textId="2FE7A436" w:rsidR="00D94935" w:rsidRDefault="00D94935" w:rsidP="00D94935">
      <w:pPr>
        <w:pStyle w:val="AmdtsEntries"/>
        <w:rPr>
          <w:rFonts w:eastAsiaTheme="minorEastAsia" w:cs="Arial"/>
          <w:szCs w:val="22"/>
          <w:lang w:eastAsia="en-AU"/>
        </w:rPr>
      </w:pPr>
      <w:r w:rsidRPr="00140BF9">
        <w:rPr>
          <w:rFonts w:cs="Arial"/>
        </w:rPr>
        <w:t>r 3022 hdg</w:t>
      </w:r>
      <w:r w:rsidRPr="00140BF9">
        <w:rPr>
          <w:rFonts w:eastAsiaTheme="minorEastAsia" w:cs="Arial"/>
          <w:szCs w:val="22"/>
          <w:lang w:eastAsia="en-AU"/>
        </w:rPr>
        <w:tab/>
        <w:t>bracketed note om R29 LA</w:t>
      </w:r>
    </w:p>
    <w:p w14:paraId="64937AF7" w14:textId="2C0BC9AB" w:rsidR="00D93AC9" w:rsidRPr="00140BF9" w:rsidRDefault="00D93AC9" w:rsidP="00D94935">
      <w:pPr>
        <w:pStyle w:val="AmdtsEntries"/>
        <w:rPr>
          <w:rFonts w:cs="Arial"/>
        </w:rPr>
      </w:pPr>
      <w:r>
        <w:rPr>
          <w:rFonts w:eastAsiaTheme="minorEastAsia" w:cs="Arial"/>
          <w:szCs w:val="22"/>
          <w:lang w:eastAsia="en-AU"/>
        </w:rPr>
        <w:t>r 3022</w:t>
      </w:r>
      <w:r>
        <w:rPr>
          <w:rFonts w:eastAsiaTheme="minorEastAsia" w:cs="Arial"/>
          <w:szCs w:val="22"/>
          <w:lang w:eastAsia="en-AU"/>
        </w:rPr>
        <w:tab/>
        <w:t xml:space="preserve">am </w:t>
      </w:r>
      <w:hyperlink r:id="rId1626"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11, r 12</w:t>
      </w:r>
    </w:p>
    <w:p w14:paraId="49F30354" w14:textId="77777777" w:rsidR="00D94935" w:rsidRPr="00140BF9" w:rsidRDefault="00D94935" w:rsidP="00D94935">
      <w:pPr>
        <w:pStyle w:val="AmdtsEntryHd"/>
        <w:rPr>
          <w:rFonts w:cs="Arial"/>
        </w:rPr>
      </w:pPr>
      <w:r w:rsidRPr="00140BF9">
        <w:rPr>
          <w:rFonts w:cs="Arial"/>
        </w:rPr>
        <w:t>Reseal of foreign grant—affidavit of search</w:t>
      </w:r>
    </w:p>
    <w:p w14:paraId="0AD38EED" w14:textId="77777777"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14:paraId="711ED2AA" w14:textId="77777777" w:rsidR="00D94935" w:rsidRPr="00140BF9" w:rsidRDefault="00D94935" w:rsidP="00D94935">
      <w:pPr>
        <w:pStyle w:val="AmdtsEntryHd"/>
        <w:rPr>
          <w:rFonts w:cs="Arial"/>
        </w:rPr>
      </w:pPr>
      <w:r w:rsidRPr="00140BF9">
        <w:rPr>
          <w:rFonts w:cs="Arial"/>
        </w:rPr>
        <w:t>Grant of representation—evidence of proper attestation of will</w:t>
      </w:r>
    </w:p>
    <w:p w14:paraId="4684C948" w14:textId="77777777"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14:paraId="6F2A9D01" w14:textId="77777777" w:rsidR="00D94935" w:rsidRPr="00140BF9" w:rsidRDefault="00D94935" w:rsidP="00D94935">
      <w:pPr>
        <w:pStyle w:val="AmdtsEntryHd"/>
        <w:rPr>
          <w:rFonts w:cs="Arial"/>
        </w:rPr>
      </w:pPr>
      <w:r w:rsidRPr="00140BF9">
        <w:rPr>
          <w:rFonts w:cs="Arial"/>
        </w:rPr>
        <w:lastRenderedPageBreak/>
        <w:t>Grant of representation—will by blind or illiterate person</w:t>
      </w:r>
    </w:p>
    <w:p w14:paraId="50D62500" w14:textId="77777777"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14:paraId="425651BC" w14:textId="77777777" w:rsidR="00D94935" w:rsidRPr="00140BF9" w:rsidRDefault="00D94935" w:rsidP="00D94935">
      <w:pPr>
        <w:pStyle w:val="AmdtsEntryHd"/>
        <w:rPr>
          <w:rFonts w:cs="Arial"/>
        </w:rPr>
      </w:pPr>
      <w:r w:rsidRPr="00140BF9">
        <w:rPr>
          <w:rFonts w:cs="Arial"/>
        </w:rPr>
        <w:t>Grant of representation—alterations in will</w:t>
      </w:r>
    </w:p>
    <w:p w14:paraId="048A5FE2" w14:textId="77777777"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14:paraId="4B8D18A0" w14:textId="77777777" w:rsidR="00D94935" w:rsidRPr="00140BF9" w:rsidRDefault="00D94935" w:rsidP="00D94935">
      <w:pPr>
        <w:pStyle w:val="AmdtsEntryHd"/>
        <w:rPr>
          <w:rFonts w:cs="Arial"/>
        </w:rPr>
      </w:pPr>
      <w:r w:rsidRPr="00140BF9">
        <w:rPr>
          <w:rFonts w:cs="Arial"/>
        </w:rPr>
        <w:t>Grant of representation—documents mentioned in or attached to will</w:t>
      </w:r>
    </w:p>
    <w:p w14:paraId="7EF67C73" w14:textId="77777777"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14:paraId="51114F2C" w14:textId="77777777" w:rsidR="00D94935" w:rsidRPr="00140BF9" w:rsidRDefault="00D94935" w:rsidP="00D94935">
      <w:pPr>
        <w:pStyle w:val="AmdtsEntryHd"/>
        <w:rPr>
          <w:rFonts w:cs="Arial"/>
        </w:rPr>
      </w:pPr>
      <w:r w:rsidRPr="00140BF9">
        <w:rPr>
          <w:rFonts w:cs="Arial"/>
        </w:rPr>
        <w:t>Grant of representation—evidence of proper execution of will etc</w:t>
      </w:r>
    </w:p>
    <w:p w14:paraId="20172D84" w14:textId="77777777"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14:paraId="3439F553" w14:textId="77777777" w:rsidR="00D94935" w:rsidRPr="00140BF9" w:rsidRDefault="00D94935" w:rsidP="00D94935">
      <w:pPr>
        <w:pStyle w:val="AmdtsEntryHd"/>
        <w:rPr>
          <w:rFonts w:cs="Arial"/>
        </w:rPr>
      </w:pPr>
      <w:r w:rsidRPr="00140BF9">
        <w:rPr>
          <w:rFonts w:cs="Arial"/>
        </w:rPr>
        <w:t>Grant of representation—will inoperative or partly inoperative</w:t>
      </w:r>
    </w:p>
    <w:p w14:paraId="2E8538DC" w14:textId="77777777"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14:paraId="47E3233E" w14:textId="77777777" w:rsidR="00D94935" w:rsidRPr="00140BF9" w:rsidRDefault="00D94935" w:rsidP="00D94935">
      <w:pPr>
        <w:pStyle w:val="AmdtsEntryHd"/>
        <w:rPr>
          <w:rFonts w:cs="Arial"/>
        </w:rPr>
      </w:pPr>
      <w:r w:rsidRPr="00140BF9">
        <w:rPr>
          <w:rFonts w:cs="Arial"/>
        </w:rPr>
        <w:t>Administration bond—requirement for bond</w:t>
      </w:r>
    </w:p>
    <w:p w14:paraId="6FCBDAC3" w14:textId="77777777"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14:paraId="7A94517D" w14:textId="6AAB38DC"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627" w:tooltip="Court Procedures Amendment Rules 2016 (No 1)" w:history="1">
        <w:r>
          <w:rPr>
            <w:rStyle w:val="charCitHyperlinkAbbrev"/>
          </w:rPr>
          <w:t>SL2016</w:t>
        </w:r>
        <w:r>
          <w:rPr>
            <w:rStyle w:val="charCitHyperlinkAbbrev"/>
          </w:rPr>
          <w:noBreakHyphen/>
          <w:t>17</w:t>
        </w:r>
      </w:hyperlink>
      <w:r>
        <w:t xml:space="preserve"> r 11</w:t>
      </w:r>
    </w:p>
    <w:p w14:paraId="270722EB" w14:textId="77777777" w:rsidR="00D94935" w:rsidRPr="00140BF9" w:rsidRDefault="00D94935" w:rsidP="00D94935">
      <w:pPr>
        <w:pStyle w:val="AmdtsEntryHd"/>
        <w:rPr>
          <w:rFonts w:cs="Arial"/>
        </w:rPr>
      </w:pPr>
      <w:r w:rsidRPr="00140BF9">
        <w:rPr>
          <w:rFonts w:cs="Arial"/>
        </w:rPr>
        <w:t>Administration bond—dispensing with bond</w:t>
      </w:r>
    </w:p>
    <w:p w14:paraId="57D36A9C" w14:textId="77777777"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14:paraId="64ADC952" w14:textId="77777777" w:rsidR="00D94935" w:rsidRPr="00140BF9" w:rsidRDefault="00D94935" w:rsidP="00D94935">
      <w:pPr>
        <w:pStyle w:val="AmdtsEntryHd"/>
        <w:rPr>
          <w:rFonts w:cs="Arial"/>
        </w:rPr>
      </w:pPr>
      <w:r w:rsidRPr="00140BF9">
        <w:rPr>
          <w:rFonts w:cs="Arial"/>
        </w:rPr>
        <w:t>Administration bond—affidavit of justification</w:t>
      </w:r>
    </w:p>
    <w:p w14:paraId="7A114925" w14:textId="77777777"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14:paraId="04300209" w14:textId="77777777" w:rsidR="00D94935" w:rsidRPr="00140BF9" w:rsidRDefault="00D94935" w:rsidP="00D94935">
      <w:pPr>
        <w:pStyle w:val="AmdtsEntryHd"/>
        <w:rPr>
          <w:rFonts w:cs="Arial"/>
        </w:rPr>
      </w:pPr>
      <w:r w:rsidRPr="00140BF9">
        <w:rPr>
          <w:rFonts w:cs="Arial"/>
        </w:rPr>
        <w:t>Administration bond—exempt surety</w:t>
      </w:r>
    </w:p>
    <w:p w14:paraId="40CAD4D5" w14:textId="77777777"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14:paraId="4053C6BF" w14:textId="77777777" w:rsidR="00D94935" w:rsidRPr="00140BF9" w:rsidRDefault="00D94935" w:rsidP="00D94935">
      <w:pPr>
        <w:pStyle w:val="AmdtsEntryHd"/>
        <w:rPr>
          <w:rFonts w:cs="Arial"/>
        </w:rPr>
      </w:pPr>
      <w:r w:rsidRPr="00140BF9">
        <w:rPr>
          <w:rFonts w:cs="Arial"/>
        </w:rPr>
        <w:t>Administration bond—addition or reduction after required but before given</w:t>
      </w:r>
    </w:p>
    <w:p w14:paraId="68FC5F48" w14:textId="77777777"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14:paraId="34E03B74" w14:textId="77777777" w:rsidR="00D94935" w:rsidRPr="00140BF9" w:rsidRDefault="00D94935" w:rsidP="00D94935">
      <w:pPr>
        <w:pStyle w:val="AmdtsEntryHd"/>
        <w:rPr>
          <w:rFonts w:cs="Arial"/>
        </w:rPr>
      </w:pPr>
      <w:r w:rsidRPr="00140BF9">
        <w:rPr>
          <w:rFonts w:cs="Arial"/>
        </w:rPr>
        <w:t>Administration bond—addition or reduction after given</w:t>
      </w:r>
    </w:p>
    <w:p w14:paraId="19559301" w14:textId="77777777"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14:paraId="02F55A3E" w14:textId="77777777" w:rsidR="00D94935" w:rsidRPr="00140BF9" w:rsidRDefault="00D94935" w:rsidP="00D94935">
      <w:pPr>
        <w:pStyle w:val="AmdtsEntryHd"/>
        <w:rPr>
          <w:rFonts w:cs="Arial"/>
        </w:rPr>
      </w:pPr>
      <w:r w:rsidRPr="00140BF9">
        <w:rPr>
          <w:rFonts w:cs="Arial"/>
        </w:rPr>
        <w:t>Administration bond—proceeding on bond</w:t>
      </w:r>
    </w:p>
    <w:p w14:paraId="1993BDF0" w14:textId="77777777"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14:paraId="53EA699E" w14:textId="77777777" w:rsidR="00D94935" w:rsidRPr="00140BF9" w:rsidRDefault="00D94935" w:rsidP="00D94935">
      <w:pPr>
        <w:pStyle w:val="AmdtsEntryHd"/>
        <w:rPr>
          <w:rFonts w:cs="Arial"/>
        </w:rPr>
      </w:pPr>
      <w:r w:rsidRPr="00140BF9">
        <w:rPr>
          <w:rFonts w:cs="Arial"/>
        </w:rPr>
        <w:t>Administration bond—application by surety</w:t>
      </w:r>
    </w:p>
    <w:p w14:paraId="62E2C38A" w14:textId="77777777"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14:paraId="3074699D" w14:textId="77777777" w:rsidR="00D94935" w:rsidRPr="00140BF9" w:rsidRDefault="00D94935" w:rsidP="00D94935">
      <w:pPr>
        <w:pStyle w:val="AmdtsEntryHd"/>
        <w:rPr>
          <w:rFonts w:cs="Arial"/>
        </w:rPr>
      </w:pPr>
      <w:r w:rsidRPr="00140BF9">
        <w:rPr>
          <w:rFonts w:cs="Arial"/>
        </w:rPr>
        <w:t>Administration bond—reseal of foreign grant</w:t>
      </w:r>
    </w:p>
    <w:p w14:paraId="7D0475C3" w14:textId="77777777"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14:paraId="2F26AFDA" w14:textId="77777777"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14:paraId="7A351B54" w14:textId="3CE31E3D" w:rsidR="009D3351" w:rsidRPr="009D3351" w:rsidRDefault="009D3351" w:rsidP="009D3351">
      <w:pPr>
        <w:pStyle w:val="AmdtsEntries"/>
      </w:pPr>
      <w:r>
        <w:t>div 3.1.6 hdg</w:t>
      </w:r>
      <w:r>
        <w:tab/>
        <w:t xml:space="preserve">am </w:t>
      </w:r>
      <w:hyperlink r:id="rId1628" w:tooltip="Court Procedures Amendment Rules 2016 (No 1)" w:history="1">
        <w:r>
          <w:rPr>
            <w:rStyle w:val="charCitHyperlinkAbbrev"/>
          </w:rPr>
          <w:t>SL2016</w:t>
        </w:r>
        <w:r>
          <w:rPr>
            <w:rStyle w:val="charCitHyperlinkAbbrev"/>
          </w:rPr>
          <w:noBreakHyphen/>
          <w:t>17</w:t>
        </w:r>
      </w:hyperlink>
      <w:r>
        <w:t xml:space="preserve"> r 11</w:t>
      </w:r>
    </w:p>
    <w:p w14:paraId="62665D40"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14:paraId="0C144448" w14:textId="77777777"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14:paraId="008C4471" w14:textId="138FC1AA"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629" w:tooltip="Court Procedures Amendment Rules 2016 (No 1)" w:history="1">
        <w:r>
          <w:rPr>
            <w:rStyle w:val="charCitHyperlinkAbbrev"/>
          </w:rPr>
          <w:t>SL2016</w:t>
        </w:r>
        <w:r>
          <w:rPr>
            <w:rStyle w:val="charCitHyperlinkAbbrev"/>
          </w:rPr>
          <w:noBreakHyphen/>
          <w:t>17</w:t>
        </w:r>
      </w:hyperlink>
      <w:r>
        <w:t xml:space="preserve"> r 11</w:t>
      </w:r>
    </w:p>
    <w:p w14:paraId="202A6511" w14:textId="22C945C2"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630" w:tooltip="Court Procedures Amendment Rules 2016 (No 1)" w:history="1">
        <w:r>
          <w:rPr>
            <w:rStyle w:val="charCitHyperlinkAbbrev"/>
          </w:rPr>
          <w:t>SL2016</w:t>
        </w:r>
        <w:r>
          <w:rPr>
            <w:rStyle w:val="charCitHyperlinkAbbrev"/>
          </w:rPr>
          <w:noBreakHyphen/>
          <w:t>17</w:t>
        </w:r>
      </w:hyperlink>
      <w:r>
        <w:t xml:space="preserve"> r 11</w:t>
      </w:r>
    </w:p>
    <w:p w14:paraId="1573F1A1" w14:textId="77777777" w:rsidR="00D94935" w:rsidRPr="00140BF9" w:rsidRDefault="00D94935" w:rsidP="00A47A62">
      <w:pPr>
        <w:pStyle w:val="AmdtsEntryHd"/>
        <w:rPr>
          <w:rFonts w:cs="Arial"/>
        </w:rPr>
      </w:pPr>
      <w:r w:rsidRPr="00140BF9">
        <w:rPr>
          <w:rFonts w:cs="Arial"/>
        </w:rPr>
        <w:lastRenderedPageBreak/>
        <w:t xml:space="preserve">Administration by </w:t>
      </w:r>
      <w:r w:rsidR="00E439D1">
        <w:rPr>
          <w:rFonts w:cs="Arial"/>
        </w:rPr>
        <w:t>public trustee and guardian</w:t>
      </w:r>
      <w:r w:rsidRPr="00140BF9">
        <w:rPr>
          <w:rFonts w:cs="Arial"/>
        </w:rPr>
        <w:t>—renunciation of probate by executors</w:t>
      </w:r>
    </w:p>
    <w:p w14:paraId="1C09722A" w14:textId="77777777" w:rsidR="00D94935" w:rsidRPr="00140BF9" w:rsidRDefault="00D94935" w:rsidP="00A47A62">
      <w:pPr>
        <w:pStyle w:val="AmdtsEntries"/>
        <w:keepNext/>
        <w:rPr>
          <w:rFonts w:cs="Arial"/>
        </w:rPr>
      </w:pPr>
      <w:r w:rsidRPr="00140BF9">
        <w:rPr>
          <w:rFonts w:cs="Arial"/>
        </w:rPr>
        <w:t>r 3056 hdg</w:t>
      </w:r>
      <w:r w:rsidRPr="00140BF9">
        <w:rPr>
          <w:rFonts w:eastAsiaTheme="minorEastAsia" w:cs="Arial"/>
          <w:szCs w:val="22"/>
          <w:lang w:eastAsia="en-AU"/>
        </w:rPr>
        <w:tab/>
        <w:t>bracketed note om R29 LA</w:t>
      </w:r>
    </w:p>
    <w:p w14:paraId="316D67B9" w14:textId="137C734F" w:rsidR="00647281" w:rsidRDefault="00647281" w:rsidP="00A47A62">
      <w:pPr>
        <w:pStyle w:val="AmdtsEntries"/>
        <w:keepNext/>
        <w:rPr>
          <w:rFonts w:eastAsiaTheme="minorEastAsia" w:cs="Arial"/>
          <w:szCs w:val="22"/>
          <w:lang w:eastAsia="en-AU"/>
        </w:rPr>
      </w:pPr>
      <w:r>
        <w:rPr>
          <w:rFonts w:eastAsiaTheme="minorEastAsia" w:cs="Arial"/>
          <w:szCs w:val="22"/>
          <w:lang w:eastAsia="en-AU"/>
        </w:rPr>
        <w:tab/>
        <w:t xml:space="preserve">am </w:t>
      </w:r>
      <w:hyperlink r:id="rId1631" w:tooltip="Court Procedures Amendment Rules 2016 (No 1)" w:history="1">
        <w:r>
          <w:rPr>
            <w:rStyle w:val="charCitHyperlinkAbbrev"/>
          </w:rPr>
          <w:t>SL2016</w:t>
        </w:r>
        <w:r>
          <w:rPr>
            <w:rStyle w:val="charCitHyperlinkAbbrev"/>
          </w:rPr>
          <w:noBreakHyphen/>
          <w:t>17</w:t>
        </w:r>
      </w:hyperlink>
      <w:r>
        <w:t xml:space="preserve"> r 11</w:t>
      </w:r>
    </w:p>
    <w:p w14:paraId="4D30F7B7" w14:textId="61FA1856" w:rsidR="00D94935" w:rsidRPr="00140BF9" w:rsidRDefault="00D94935" w:rsidP="00A47A62">
      <w:pPr>
        <w:pStyle w:val="AmdtsEntries"/>
        <w:keepNext/>
        <w:rPr>
          <w:rFonts w:cs="Arial"/>
        </w:rPr>
      </w:pPr>
      <w:r w:rsidRPr="00140BF9">
        <w:rPr>
          <w:rFonts w:cs="Arial"/>
        </w:rPr>
        <w:t>r 3056</w:t>
      </w:r>
      <w:r w:rsidRPr="00140BF9">
        <w:rPr>
          <w:rFonts w:cs="Arial"/>
        </w:rPr>
        <w:tab/>
        <w:t xml:space="preserve">am </w:t>
      </w:r>
      <w:hyperlink r:id="rId16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633"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6A9BFEF5"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letters of administration by entitled people</w:t>
      </w:r>
    </w:p>
    <w:p w14:paraId="7D90EC7E" w14:textId="77777777"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14:paraId="3BCDA8C4" w14:textId="3F8F2CA9"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634" w:tooltip="Court Procedures Amendment Rules 2016 (No 1)" w:history="1">
        <w:r>
          <w:rPr>
            <w:rStyle w:val="charCitHyperlinkAbbrev"/>
          </w:rPr>
          <w:t>SL2016</w:t>
        </w:r>
        <w:r>
          <w:rPr>
            <w:rStyle w:val="charCitHyperlinkAbbrev"/>
          </w:rPr>
          <w:noBreakHyphen/>
          <w:t>17</w:t>
        </w:r>
      </w:hyperlink>
      <w:r>
        <w:t xml:space="preserve"> r 11</w:t>
      </w:r>
    </w:p>
    <w:p w14:paraId="5BD03EF1" w14:textId="65370AC4"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6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636"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5F0B984A"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14:paraId="5ADE2892" w14:textId="77777777"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14:paraId="17C75324" w14:textId="508AAE9D"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637" w:tooltip="Court Procedures Amendment Rules 2016 (No 1)" w:history="1">
        <w:r>
          <w:rPr>
            <w:rStyle w:val="charCitHyperlinkAbbrev"/>
          </w:rPr>
          <w:t>SL2016</w:t>
        </w:r>
        <w:r>
          <w:rPr>
            <w:rStyle w:val="charCitHyperlinkAbbrev"/>
          </w:rPr>
          <w:noBreakHyphen/>
          <w:t>17</w:t>
        </w:r>
      </w:hyperlink>
      <w:r>
        <w:t xml:space="preserve"> r 11</w:t>
      </w:r>
    </w:p>
    <w:p w14:paraId="54CD4758" w14:textId="4F096087"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638" w:tooltip="Court Procedures Amendment Rules 2016 (No 1)" w:history="1">
        <w:r>
          <w:rPr>
            <w:rStyle w:val="charCitHyperlinkAbbrev"/>
          </w:rPr>
          <w:t>SL2016</w:t>
        </w:r>
        <w:r>
          <w:rPr>
            <w:rStyle w:val="charCitHyperlinkAbbrev"/>
          </w:rPr>
          <w:noBreakHyphen/>
          <w:t>17</w:t>
        </w:r>
      </w:hyperlink>
      <w:r>
        <w:t xml:space="preserve"> r 11</w:t>
      </w:r>
    </w:p>
    <w:p w14:paraId="6236EECE" w14:textId="77777777" w:rsidR="00D94935" w:rsidRPr="00140BF9" w:rsidRDefault="00D94935" w:rsidP="00D94935">
      <w:pPr>
        <w:pStyle w:val="AmdtsEntryHd"/>
        <w:rPr>
          <w:rFonts w:cs="Arial"/>
        </w:rPr>
      </w:pPr>
      <w:r w:rsidRPr="00140BF9">
        <w:rPr>
          <w:rFonts w:cs="Arial"/>
        </w:rPr>
        <w:t>Definitions—div 3.1.7</w:t>
      </w:r>
    </w:p>
    <w:p w14:paraId="70744DFE" w14:textId="77777777"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14:paraId="38E0FE76" w14:textId="77777777" w:rsidR="00D94935" w:rsidRPr="00140BF9" w:rsidRDefault="00D94935" w:rsidP="00D94935">
      <w:pPr>
        <w:pStyle w:val="AmdtsEntryHd"/>
        <w:rPr>
          <w:rFonts w:cs="Arial"/>
        </w:rPr>
      </w:pPr>
      <w:r w:rsidRPr="00140BF9">
        <w:rPr>
          <w:rFonts w:cs="Arial"/>
        </w:rPr>
        <w:t>Caveat—filing</w:t>
      </w:r>
    </w:p>
    <w:p w14:paraId="2A8ED201" w14:textId="20295E91" w:rsidR="00D94935" w:rsidRDefault="00D94935" w:rsidP="00D94935">
      <w:pPr>
        <w:pStyle w:val="AmdtsEntries"/>
        <w:rPr>
          <w:rFonts w:eastAsiaTheme="minorEastAsia" w:cs="Arial"/>
          <w:szCs w:val="22"/>
          <w:lang w:eastAsia="en-AU"/>
        </w:rPr>
      </w:pPr>
      <w:r w:rsidRPr="00140BF9">
        <w:rPr>
          <w:rFonts w:cs="Arial"/>
        </w:rPr>
        <w:t>r 3066 hdg</w:t>
      </w:r>
      <w:r w:rsidRPr="00140BF9">
        <w:rPr>
          <w:rFonts w:eastAsiaTheme="minorEastAsia" w:cs="Arial"/>
          <w:szCs w:val="22"/>
          <w:lang w:eastAsia="en-AU"/>
        </w:rPr>
        <w:tab/>
        <w:t>bracketed note om R29 LA</w:t>
      </w:r>
    </w:p>
    <w:p w14:paraId="6E1DA8C1" w14:textId="7CA32E86" w:rsidR="00DB365E" w:rsidRPr="00140BF9" w:rsidRDefault="00DB365E" w:rsidP="00D94935">
      <w:pPr>
        <w:pStyle w:val="AmdtsEntries"/>
        <w:rPr>
          <w:rFonts w:cs="Arial"/>
        </w:rPr>
      </w:pPr>
      <w:r>
        <w:rPr>
          <w:rFonts w:eastAsiaTheme="minorEastAsia" w:cs="Arial"/>
          <w:szCs w:val="22"/>
          <w:lang w:eastAsia="en-AU"/>
        </w:rPr>
        <w:t>r 3066</w:t>
      </w:r>
      <w:r>
        <w:rPr>
          <w:rFonts w:eastAsiaTheme="minorEastAsia" w:cs="Arial"/>
          <w:szCs w:val="22"/>
          <w:lang w:eastAsia="en-AU"/>
        </w:rPr>
        <w:tab/>
        <w:t xml:space="preserve">am </w:t>
      </w:r>
      <w:hyperlink r:id="rId1639" w:tooltip="Court Procedures Amendment Rules 2020 (No 5)" w:history="1">
        <w:r>
          <w:rPr>
            <w:rStyle w:val="charCitHyperlinkAbbrev"/>
          </w:rPr>
          <w:t>SL2020</w:t>
        </w:r>
        <w:r>
          <w:rPr>
            <w:rStyle w:val="charCitHyperlinkAbbrev"/>
          </w:rPr>
          <w:noBreakHyphen/>
          <w:t>45</w:t>
        </w:r>
      </w:hyperlink>
      <w:r>
        <w:rPr>
          <w:rFonts w:eastAsiaTheme="minorEastAsia" w:cs="Arial"/>
          <w:szCs w:val="22"/>
          <w:lang w:eastAsia="en-AU"/>
        </w:rPr>
        <w:t xml:space="preserve"> r 7</w:t>
      </w:r>
    </w:p>
    <w:p w14:paraId="441B41BC" w14:textId="77777777" w:rsidR="00D94935" w:rsidRPr="00140BF9" w:rsidRDefault="00D94935" w:rsidP="00D94935">
      <w:pPr>
        <w:pStyle w:val="AmdtsEntryHd"/>
        <w:rPr>
          <w:rFonts w:cs="Arial"/>
        </w:rPr>
      </w:pPr>
      <w:r w:rsidRPr="00140BF9">
        <w:rPr>
          <w:rFonts w:cs="Arial"/>
        </w:rPr>
        <w:t>Caveat—service</w:t>
      </w:r>
    </w:p>
    <w:p w14:paraId="64B5AD2D" w14:textId="77777777"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14:paraId="28C1760F" w14:textId="77777777" w:rsidR="00D94935" w:rsidRPr="00140BF9" w:rsidRDefault="00D94935" w:rsidP="00D94935">
      <w:pPr>
        <w:pStyle w:val="AmdtsEntryHd"/>
        <w:rPr>
          <w:rFonts w:cs="Arial"/>
        </w:rPr>
      </w:pPr>
      <w:r w:rsidRPr="00140BF9">
        <w:rPr>
          <w:rFonts w:cs="Arial"/>
        </w:rPr>
        <w:t>Caveat—period of operation</w:t>
      </w:r>
    </w:p>
    <w:p w14:paraId="20DAE7B5" w14:textId="77777777"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14:paraId="08F7BE75" w14:textId="77777777" w:rsidR="00D94935" w:rsidRPr="00140BF9" w:rsidRDefault="00D94935" w:rsidP="00D94935">
      <w:pPr>
        <w:pStyle w:val="AmdtsEntryHd"/>
        <w:rPr>
          <w:rFonts w:cs="Arial"/>
        </w:rPr>
      </w:pPr>
      <w:r w:rsidRPr="00140BF9">
        <w:rPr>
          <w:rFonts w:cs="Arial"/>
        </w:rPr>
        <w:t>Caveat—setting aside</w:t>
      </w:r>
    </w:p>
    <w:p w14:paraId="23524EB8" w14:textId="77777777"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14:paraId="27A2B5DF" w14:textId="77777777" w:rsidR="00D94935" w:rsidRPr="00140BF9" w:rsidRDefault="00D94935" w:rsidP="00D94935">
      <w:pPr>
        <w:pStyle w:val="AmdtsEntryHd"/>
        <w:rPr>
          <w:rFonts w:cs="Arial"/>
        </w:rPr>
      </w:pPr>
      <w:r w:rsidRPr="00140BF9">
        <w:rPr>
          <w:rFonts w:cs="Arial"/>
        </w:rPr>
        <w:t>Caveat—withdrawal if no pending proceeding for grant of representation etc</w:t>
      </w:r>
    </w:p>
    <w:p w14:paraId="2827FB5D" w14:textId="77777777"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14:paraId="20E2DFFA" w14:textId="77777777" w:rsidR="00D94935" w:rsidRPr="00140BF9" w:rsidRDefault="00D94935" w:rsidP="00D94935">
      <w:pPr>
        <w:pStyle w:val="AmdtsEntryHd"/>
        <w:rPr>
          <w:rFonts w:cs="Arial"/>
        </w:rPr>
      </w:pPr>
      <w:r w:rsidRPr="00140BF9">
        <w:rPr>
          <w:rFonts w:cs="Arial"/>
        </w:rPr>
        <w:t>Caveat—leave to withdraw</w:t>
      </w:r>
    </w:p>
    <w:p w14:paraId="3AB72E58" w14:textId="77777777"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14:paraId="2079CC79" w14:textId="77777777" w:rsidR="00D94935" w:rsidRPr="00140BF9" w:rsidRDefault="00D94935" w:rsidP="00D94935">
      <w:pPr>
        <w:pStyle w:val="AmdtsEntryHd"/>
        <w:rPr>
          <w:rFonts w:cs="Arial"/>
        </w:rPr>
      </w:pPr>
      <w:r w:rsidRPr="00140BF9">
        <w:rPr>
          <w:rFonts w:cs="Arial"/>
        </w:rPr>
        <w:t>Caveat—effect if filed on day of grant</w:t>
      </w:r>
    </w:p>
    <w:p w14:paraId="7BA60403" w14:textId="77777777"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14:paraId="2AF4E0ED" w14:textId="77777777" w:rsidR="00D94935" w:rsidRPr="00140BF9" w:rsidRDefault="00D94935" w:rsidP="00D94935">
      <w:pPr>
        <w:pStyle w:val="AmdtsEntryHd"/>
        <w:rPr>
          <w:rFonts w:cs="Arial"/>
        </w:rPr>
      </w:pPr>
      <w:r w:rsidRPr="00140BF9">
        <w:rPr>
          <w:rFonts w:cs="Arial"/>
        </w:rPr>
        <w:t>Revocation of grant—urgent order before start of proceeding</w:t>
      </w:r>
    </w:p>
    <w:p w14:paraId="0F65A510" w14:textId="77777777"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14:paraId="497A1CCC" w14:textId="77777777" w:rsidR="00D94935" w:rsidRPr="00140BF9" w:rsidRDefault="00D94935" w:rsidP="00D94935">
      <w:pPr>
        <w:pStyle w:val="AmdtsEntryHd"/>
        <w:rPr>
          <w:rFonts w:cs="Arial"/>
        </w:rPr>
      </w:pPr>
      <w:r w:rsidRPr="00140BF9">
        <w:rPr>
          <w:rFonts w:cs="Arial"/>
        </w:rPr>
        <w:t>Revocation of grant—application</w:t>
      </w:r>
    </w:p>
    <w:p w14:paraId="6CAF8A9C" w14:textId="77777777"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14:paraId="25656DF9" w14:textId="77777777" w:rsidR="00D94935" w:rsidRPr="00140BF9" w:rsidRDefault="00D94935" w:rsidP="00D94935">
      <w:pPr>
        <w:pStyle w:val="AmdtsEntryHd"/>
        <w:rPr>
          <w:rFonts w:cs="Arial"/>
        </w:rPr>
      </w:pPr>
      <w:r w:rsidRPr="00140BF9">
        <w:rPr>
          <w:rFonts w:cs="Arial"/>
        </w:rPr>
        <w:t>Revocation of grant—orders</w:t>
      </w:r>
    </w:p>
    <w:p w14:paraId="3F38A121" w14:textId="77777777"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14:paraId="7A8A4740" w14:textId="77777777" w:rsidR="00D94935" w:rsidRPr="00140BF9" w:rsidRDefault="00D94935" w:rsidP="00D94935">
      <w:pPr>
        <w:pStyle w:val="AmdtsEntryHd"/>
        <w:rPr>
          <w:rFonts w:cs="Arial"/>
        </w:rPr>
      </w:pPr>
      <w:r w:rsidRPr="00140BF9">
        <w:rPr>
          <w:rFonts w:cs="Arial"/>
        </w:rPr>
        <w:lastRenderedPageBreak/>
        <w:t>Revocation of grant—return of original grant</w:t>
      </w:r>
    </w:p>
    <w:p w14:paraId="25DC6168" w14:textId="77777777"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14:paraId="12918FB3" w14:textId="77777777" w:rsidR="00D94935" w:rsidRPr="00140BF9" w:rsidRDefault="00D94935" w:rsidP="00D94935">
      <w:pPr>
        <w:pStyle w:val="AmdtsEntryHd"/>
        <w:rPr>
          <w:rFonts w:cs="Arial"/>
        </w:rPr>
      </w:pPr>
      <w:r w:rsidRPr="00140BF9">
        <w:rPr>
          <w:rFonts w:cs="Arial"/>
        </w:rPr>
        <w:t>Definitions—div 3.1.9</w:t>
      </w:r>
    </w:p>
    <w:p w14:paraId="7542935A" w14:textId="77777777"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14:paraId="161BCEEC" w14:textId="77777777" w:rsidR="00D94935" w:rsidRPr="00140BF9" w:rsidRDefault="00D94935" w:rsidP="00D94935">
      <w:pPr>
        <w:pStyle w:val="AmdtsEntryHd"/>
        <w:rPr>
          <w:rFonts w:cs="Arial"/>
        </w:rPr>
      </w:pPr>
      <w:r w:rsidRPr="00140BF9">
        <w:rPr>
          <w:rFonts w:cs="Arial"/>
        </w:rPr>
        <w:t>Division 3.1.9 proceeding—application for revocation</w:t>
      </w:r>
    </w:p>
    <w:p w14:paraId="43DDE483" w14:textId="77777777"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14:paraId="329458F2" w14:textId="77777777" w:rsidR="00D94935" w:rsidRPr="00140BF9" w:rsidRDefault="00D94935" w:rsidP="00D94935">
      <w:pPr>
        <w:pStyle w:val="AmdtsEntryHd"/>
        <w:rPr>
          <w:rFonts w:cs="Arial"/>
        </w:rPr>
      </w:pPr>
      <w:r w:rsidRPr="00140BF9">
        <w:rPr>
          <w:rFonts w:cs="Arial"/>
        </w:rPr>
        <w:t>Division 3.1.9 proceeding—affidavits</w:t>
      </w:r>
    </w:p>
    <w:p w14:paraId="00251036" w14:textId="77777777"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14:paraId="28EBA85B" w14:textId="77777777" w:rsidR="00D94935" w:rsidRPr="00140BF9" w:rsidRDefault="00D94935" w:rsidP="00D94935">
      <w:pPr>
        <w:pStyle w:val="AmdtsEntryHd"/>
        <w:rPr>
          <w:rFonts w:cs="Arial"/>
        </w:rPr>
      </w:pPr>
      <w:r w:rsidRPr="00140BF9">
        <w:rPr>
          <w:rFonts w:cs="Arial"/>
        </w:rPr>
        <w:t>Division 3.1.9 proceeding—affidavits of scripts</w:t>
      </w:r>
    </w:p>
    <w:p w14:paraId="73A68280" w14:textId="77777777"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14:paraId="55E94FC0" w14:textId="77777777" w:rsidR="00D94935" w:rsidRPr="00140BF9" w:rsidRDefault="00D94935" w:rsidP="00D94935">
      <w:pPr>
        <w:pStyle w:val="AmdtsEntryHd"/>
        <w:rPr>
          <w:rFonts w:cs="Arial"/>
        </w:rPr>
      </w:pPr>
      <w:r w:rsidRPr="00140BF9">
        <w:rPr>
          <w:rFonts w:cs="Arial"/>
        </w:rPr>
        <w:t>Division 3.1.9 proceeding—directions for notice to people with beneficial interests</w:t>
      </w:r>
    </w:p>
    <w:p w14:paraId="72A55E46" w14:textId="77777777"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14:paraId="4D1EA85A" w14:textId="77777777" w:rsidR="00D94935" w:rsidRPr="00140BF9" w:rsidRDefault="00D94935" w:rsidP="00D94935">
      <w:pPr>
        <w:pStyle w:val="AmdtsEntryHd"/>
        <w:rPr>
          <w:rFonts w:cs="Arial"/>
        </w:rPr>
      </w:pPr>
      <w:r w:rsidRPr="00140BF9">
        <w:rPr>
          <w:rFonts w:cs="Arial"/>
        </w:rPr>
        <w:t>Division 3.1.9 proceeding—notice of intention to intervene</w:t>
      </w:r>
    </w:p>
    <w:p w14:paraId="2C2D6787" w14:textId="77777777"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14:paraId="64E96FEC" w14:textId="77777777" w:rsidR="00D94935" w:rsidRPr="00140BF9" w:rsidRDefault="00D94935" w:rsidP="00D94935">
      <w:pPr>
        <w:pStyle w:val="AmdtsEntryHd"/>
        <w:rPr>
          <w:rFonts w:cs="Arial"/>
        </w:rPr>
      </w:pPr>
      <w:r w:rsidRPr="00140BF9">
        <w:rPr>
          <w:rFonts w:cs="Arial"/>
        </w:rPr>
        <w:t>Division 3.1.9 proceeding—filing of grant of representation</w:t>
      </w:r>
    </w:p>
    <w:p w14:paraId="6A778E51" w14:textId="77777777"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14:paraId="079BB49D" w14:textId="77777777" w:rsidR="00D94935" w:rsidRPr="00140BF9" w:rsidRDefault="00D94935" w:rsidP="00D94935">
      <w:pPr>
        <w:pStyle w:val="AmdtsEntryHd"/>
        <w:rPr>
          <w:rFonts w:cs="Arial"/>
        </w:rPr>
      </w:pPr>
      <w:r w:rsidRPr="00140BF9">
        <w:rPr>
          <w:rFonts w:cs="Arial"/>
        </w:rPr>
        <w:t>Administration and probate—registrar may make inquiries</w:t>
      </w:r>
    </w:p>
    <w:p w14:paraId="7B6C8FD2" w14:textId="77777777"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14:paraId="0ED6729D" w14:textId="77777777" w:rsidR="00D94935" w:rsidRPr="00140BF9" w:rsidRDefault="00D94935" w:rsidP="00D94935">
      <w:pPr>
        <w:pStyle w:val="AmdtsEntryHd"/>
        <w:rPr>
          <w:rFonts w:cs="Arial"/>
        </w:rPr>
      </w:pPr>
      <w:r w:rsidRPr="00140BF9">
        <w:rPr>
          <w:rFonts w:cs="Arial"/>
        </w:rPr>
        <w:t>Administration and probate—subpoenas</w:t>
      </w:r>
    </w:p>
    <w:p w14:paraId="53F7A64F" w14:textId="77777777"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14:paraId="5EB40428" w14:textId="77777777" w:rsidR="00D94935" w:rsidRPr="00140BF9" w:rsidRDefault="00D94935" w:rsidP="00D94935">
      <w:pPr>
        <w:pStyle w:val="AmdtsEntryHd"/>
        <w:rPr>
          <w:rFonts w:cs="Arial"/>
        </w:rPr>
      </w:pPr>
      <w:r w:rsidRPr="00140BF9">
        <w:rPr>
          <w:rFonts w:cs="Arial"/>
        </w:rPr>
        <w:t>Administration and probate—evidence about domicile</w:t>
      </w:r>
    </w:p>
    <w:p w14:paraId="3B105C1B" w14:textId="77777777"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14:paraId="7DAA4F06" w14:textId="77777777" w:rsidR="00D94935" w:rsidRPr="00140BF9" w:rsidRDefault="00D94935" w:rsidP="00D94935">
      <w:pPr>
        <w:pStyle w:val="AmdtsEntryHd"/>
        <w:rPr>
          <w:rFonts w:cs="Arial"/>
        </w:rPr>
      </w:pPr>
      <w:r w:rsidRPr="00140BF9">
        <w:rPr>
          <w:rFonts w:cs="Arial"/>
        </w:rPr>
        <w:t>Administration and probate—proof in solemn form</w:t>
      </w:r>
    </w:p>
    <w:p w14:paraId="09A68382" w14:textId="77777777"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14:paraId="540FBC1C" w14:textId="77777777" w:rsidR="00D94935" w:rsidRPr="00140BF9" w:rsidRDefault="00D94935" w:rsidP="00D94935">
      <w:pPr>
        <w:pStyle w:val="AmdtsEntryHd"/>
        <w:rPr>
          <w:rFonts w:cs="Arial"/>
        </w:rPr>
      </w:pPr>
      <w:r w:rsidRPr="00140BF9">
        <w:rPr>
          <w:rFonts w:cs="Arial"/>
        </w:rPr>
        <w:t>Failure by executor, administrator or trustee to comply with beneficiary’s request etc</w:t>
      </w:r>
    </w:p>
    <w:p w14:paraId="7AB06C9D" w14:textId="77777777"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14:paraId="5D43B932" w14:textId="77777777" w:rsidR="00D94935" w:rsidRPr="00140BF9" w:rsidRDefault="00D94935" w:rsidP="00D94935">
      <w:pPr>
        <w:pStyle w:val="AmdtsEntryHd"/>
        <w:rPr>
          <w:rFonts w:cs="Arial"/>
        </w:rPr>
      </w:pPr>
      <w:r w:rsidRPr="00140BF9">
        <w:rPr>
          <w:rFonts w:cs="Arial"/>
        </w:rPr>
        <w:t>Grant of administration—grant to child</w:t>
      </w:r>
    </w:p>
    <w:p w14:paraId="0A249E3D" w14:textId="77777777" w:rsidR="00D94935" w:rsidRDefault="00D94935" w:rsidP="00EC318A">
      <w:pPr>
        <w:pStyle w:val="AmdtsEntries"/>
        <w:keepNext/>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14:paraId="39D7534A" w14:textId="068ACE7D"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640" w:tooltip="Court Procedures Amendment Rules 2016 (No 1)" w:history="1">
        <w:r>
          <w:rPr>
            <w:rStyle w:val="charCitHyperlinkAbbrev"/>
          </w:rPr>
          <w:t>SL2016</w:t>
        </w:r>
        <w:r>
          <w:rPr>
            <w:rStyle w:val="charCitHyperlinkAbbrev"/>
          </w:rPr>
          <w:noBreakHyphen/>
          <w:t>17</w:t>
        </w:r>
      </w:hyperlink>
      <w:r>
        <w:t xml:space="preserve"> r 11</w:t>
      </w:r>
    </w:p>
    <w:p w14:paraId="14A32284" w14:textId="77777777" w:rsidR="00D94935" w:rsidRPr="00140BF9" w:rsidRDefault="00D94935" w:rsidP="00D94935">
      <w:pPr>
        <w:pStyle w:val="AmdtsEntryHd"/>
        <w:rPr>
          <w:rFonts w:cs="Arial"/>
        </w:rPr>
      </w:pPr>
      <w:r w:rsidRPr="00140BF9">
        <w:rPr>
          <w:rFonts w:cs="Arial"/>
        </w:rPr>
        <w:t>Order about administration of real estate—Administration and Probate Act, s 51</w:t>
      </w:r>
    </w:p>
    <w:p w14:paraId="516FD341" w14:textId="77777777"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14:paraId="4A085262" w14:textId="77777777" w:rsidR="00D94935" w:rsidRPr="00140BF9" w:rsidRDefault="00D94935" w:rsidP="00D94935">
      <w:pPr>
        <w:pStyle w:val="AmdtsEntryHd"/>
        <w:rPr>
          <w:rFonts w:cs="Arial"/>
        </w:rPr>
      </w:pPr>
      <w:r w:rsidRPr="00140BF9">
        <w:rPr>
          <w:rFonts w:cs="Arial"/>
        </w:rPr>
        <w:t>Administration and probate book</w:t>
      </w:r>
    </w:p>
    <w:p w14:paraId="3C4D576A" w14:textId="77777777"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14:paraId="7E1F40DD" w14:textId="77777777" w:rsidR="00D94935" w:rsidRPr="00140BF9" w:rsidRDefault="00D94935" w:rsidP="00D94935">
      <w:pPr>
        <w:pStyle w:val="AmdtsEntryHd"/>
        <w:rPr>
          <w:rFonts w:cs="Arial"/>
        </w:rPr>
      </w:pPr>
      <w:r w:rsidRPr="00140BF9">
        <w:rPr>
          <w:rFonts w:cs="Arial"/>
        </w:rPr>
        <w:lastRenderedPageBreak/>
        <w:t>Proved wills to be kept by court</w:t>
      </w:r>
    </w:p>
    <w:p w14:paraId="100869CE" w14:textId="712A512D" w:rsidR="00D94935" w:rsidRDefault="00D94935" w:rsidP="00AC3C69">
      <w:pPr>
        <w:pStyle w:val="AmdtsEntries"/>
        <w:keepNext/>
        <w:rPr>
          <w:rFonts w:cs="Arial"/>
        </w:rPr>
      </w:pPr>
      <w:r w:rsidRPr="00140BF9">
        <w:rPr>
          <w:rFonts w:cs="Arial"/>
        </w:rPr>
        <w:t>r 3120</w:t>
      </w:r>
      <w:r w:rsidRPr="00140BF9">
        <w:rPr>
          <w:rFonts w:cs="Arial"/>
        </w:rPr>
        <w:tab/>
        <w:t xml:space="preserve">sub </w:t>
      </w:r>
      <w:hyperlink r:id="rId164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14:paraId="2DCFBFB5" w14:textId="62416351" w:rsidR="004C1CC3" w:rsidRPr="00140BF9" w:rsidRDefault="004C1CC3" w:rsidP="00D94935">
      <w:pPr>
        <w:pStyle w:val="AmdtsEntries"/>
        <w:rPr>
          <w:rFonts w:cs="Arial"/>
        </w:rPr>
      </w:pPr>
      <w:r>
        <w:rPr>
          <w:rFonts w:cs="Arial"/>
        </w:rPr>
        <w:tab/>
        <w:t xml:space="preserve">am </w:t>
      </w:r>
      <w:hyperlink r:id="rId1642" w:tooltip="Court Procedures Amendment Rules 2016 (No 1)" w:history="1">
        <w:r>
          <w:rPr>
            <w:rStyle w:val="charCitHyperlinkAbbrev"/>
          </w:rPr>
          <w:t>SL2016</w:t>
        </w:r>
        <w:r>
          <w:rPr>
            <w:rStyle w:val="charCitHyperlinkAbbrev"/>
          </w:rPr>
          <w:noBreakHyphen/>
          <w:t>17</w:t>
        </w:r>
      </w:hyperlink>
      <w:r>
        <w:t xml:space="preserve"> r 11</w:t>
      </w:r>
    </w:p>
    <w:p w14:paraId="15FA3B41" w14:textId="77777777" w:rsidR="00D94935" w:rsidRPr="00140BF9" w:rsidRDefault="00D94935" w:rsidP="003A0AE9">
      <w:pPr>
        <w:pStyle w:val="AmdtsEntryHd"/>
        <w:rPr>
          <w:rFonts w:cs="Arial"/>
        </w:rPr>
      </w:pPr>
      <w:r w:rsidRPr="00140BF9">
        <w:rPr>
          <w:rFonts w:cs="Arial"/>
        </w:rPr>
        <w:t>Definitions—pt 3.2</w:t>
      </w:r>
    </w:p>
    <w:p w14:paraId="3BBFDE71" w14:textId="77777777"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14:paraId="4AC566DF" w14:textId="72C493C0"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643"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14:paraId="12086057" w14:textId="13B749BE" w:rsidR="00D94935" w:rsidRPr="00140BF9" w:rsidRDefault="00D94935" w:rsidP="003A0AE9">
      <w:pPr>
        <w:pStyle w:val="AmdtsEntriesDefL2"/>
        <w:keepNext/>
        <w:rPr>
          <w:rFonts w:cs="Arial"/>
        </w:rPr>
      </w:pPr>
      <w:r w:rsidRPr="00140BF9">
        <w:rPr>
          <w:rFonts w:cs="Arial"/>
        </w:rPr>
        <w:tab/>
        <w:t xml:space="preserve">om </w:t>
      </w:r>
      <w:hyperlink r:id="rId164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14:paraId="6664AF96" w14:textId="5BB1A768"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64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14:paraId="3FB1005C" w14:textId="7051EE0C"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64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14:paraId="04678E5C" w14:textId="5E9B39A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64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14:paraId="13CD1719" w14:textId="77777777" w:rsidR="00D94935" w:rsidRPr="00140BF9" w:rsidRDefault="00D94935" w:rsidP="00D94935">
      <w:pPr>
        <w:pStyle w:val="AmdtsEntryHd"/>
        <w:rPr>
          <w:rFonts w:cs="Arial"/>
        </w:rPr>
      </w:pPr>
      <w:r w:rsidRPr="00140BF9">
        <w:rPr>
          <w:rFonts w:cs="Arial"/>
        </w:rPr>
        <w:t>Terms used in Adoption Act</w:t>
      </w:r>
    </w:p>
    <w:p w14:paraId="3DFBCBFC" w14:textId="77777777"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14:paraId="7FCD5B55" w14:textId="12DD6A29"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64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14:paraId="0435D574"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14:paraId="204A6323" w14:textId="77777777"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14:paraId="60C9FEB1" w14:textId="19126C37"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64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14:paraId="403CC95B" w14:textId="77777777" w:rsidR="00D94935" w:rsidRPr="00140BF9" w:rsidRDefault="00D94935" w:rsidP="00D94935">
      <w:pPr>
        <w:pStyle w:val="AmdtsEntryHd"/>
        <w:rPr>
          <w:rFonts w:cs="Arial"/>
        </w:rPr>
      </w:pPr>
      <w:r w:rsidRPr="00140BF9">
        <w:rPr>
          <w:rFonts w:cs="Arial"/>
        </w:rPr>
        <w:t>Adoption order—application</w:t>
      </w:r>
    </w:p>
    <w:p w14:paraId="770587F7" w14:textId="77777777"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14:paraId="2A3DFBC1" w14:textId="76E1F486"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65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r w:rsidR="00FE3FC3">
        <w:rPr>
          <w:rFonts w:cs="Arial"/>
        </w:rPr>
        <w:t xml:space="preserve">; </w:t>
      </w:r>
      <w:hyperlink r:id="rId1651"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rr 13-15</w:t>
      </w:r>
    </w:p>
    <w:p w14:paraId="26EFD9AE" w14:textId="7F376467" w:rsidR="00D94935" w:rsidRPr="00140BF9" w:rsidRDefault="00FE3FC3" w:rsidP="00D94935">
      <w:pPr>
        <w:pStyle w:val="AmdtsEntryHd"/>
        <w:rPr>
          <w:rFonts w:cs="Arial"/>
        </w:rPr>
      </w:pPr>
      <w:r w:rsidRPr="00D8116A">
        <w:t>Adoption order—supporting affidavit for application for adoption of child or young person</w:t>
      </w:r>
    </w:p>
    <w:p w14:paraId="5A7EB563" w14:textId="22F9A55E" w:rsidR="00D94935" w:rsidRDefault="00D94935" w:rsidP="00D94935">
      <w:pPr>
        <w:pStyle w:val="AmdtsEntries"/>
        <w:rPr>
          <w:rFonts w:eastAsiaTheme="minorEastAsia" w:cs="Arial"/>
          <w:szCs w:val="22"/>
          <w:lang w:eastAsia="en-AU"/>
        </w:rPr>
      </w:pPr>
      <w:r w:rsidRPr="00140BF9">
        <w:rPr>
          <w:rFonts w:cs="Arial"/>
        </w:rPr>
        <w:t>r 3157 hdg</w:t>
      </w:r>
      <w:r w:rsidRPr="00140BF9">
        <w:rPr>
          <w:rFonts w:eastAsiaTheme="minorEastAsia" w:cs="Arial"/>
          <w:szCs w:val="22"/>
          <w:lang w:eastAsia="en-AU"/>
        </w:rPr>
        <w:tab/>
        <w:t>bracketed note om R29 LA</w:t>
      </w:r>
    </w:p>
    <w:p w14:paraId="5E49DE5D" w14:textId="110B66A2" w:rsidR="00FE3FC3" w:rsidRPr="00140BF9" w:rsidRDefault="00FE3FC3" w:rsidP="00D94935">
      <w:pPr>
        <w:pStyle w:val="AmdtsEntries"/>
        <w:rPr>
          <w:rFonts w:cs="Arial"/>
        </w:rPr>
      </w:pPr>
      <w:r>
        <w:rPr>
          <w:rFonts w:eastAsiaTheme="minorEastAsia" w:cs="Arial"/>
          <w:szCs w:val="22"/>
          <w:lang w:eastAsia="en-AU"/>
        </w:rPr>
        <w:tab/>
        <w:t xml:space="preserve">sub </w:t>
      </w:r>
      <w:hyperlink r:id="rId1652"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16</w:t>
      </w:r>
    </w:p>
    <w:p w14:paraId="4A017440" w14:textId="07D099BE"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65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r w:rsidR="00FE3FC3">
        <w:rPr>
          <w:rFonts w:cs="Arial"/>
        </w:rPr>
        <w:t xml:space="preserve">; </w:t>
      </w:r>
      <w:hyperlink r:id="rId1654"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 17</w:t>
      </w:r>
    </w:p>
    <w:p w14:paraId="5EA3CDDF" w14:textId="6CB04A02" w:rsidR="00772046" w:rsidRDefault="00772046" w:rsidP="00D94935">
      <w:pPr>
        <w:pStyle w:val="AmdtsEntryHd"/>
        <w:rPr>
          <w:lang w:eastAsia="en-AU"/>
        </w:rPr>
      </w:pPr>
      <w:r w:rsidRPr="00D8116A">
        <w:t xml:space="preserve">Adoption order—supporting affidavit for application </w:t>
      </w:r>
      <w:r w:rsidRPr="00D8116A">
        <w:rPr>
          <w:lang w:eastAsia="en-AU"/>
        </w:rPr>
        <w:t>for adoption of person 18 years old or older</w:t>
      </w:r>
    </w:p>
    <w:p w14:paraId="4214323A" w14:textId="5FE17998" w:rsidR="00772046" w:rsidRPr="00772046" w:rsidRDefault="00772046" w:rsidP="00772046">
      <w:pPr>
        <w:pStyle w:val="AmdtsEntries"/>
        <w:rPr>
          <w:lang w:eastAsia="en-AU"/>
        </w:rPr>
      </w:pPr>
      <w:r>
        <w:rPr>
          <w:lang w:eastAsia="en-AU"/>
        </w:rPr>
        <w:t>r 3157A</w:t>
      </w:r>
      <w:r>
        <w:rPr>
          <w:lang w:eastAsia="en-AU"/>
        </w:rPr>
        <w:tab/>
        <w:t xml:space="preserve">ins </w:t>
      </w:r>
      <w:hyperlink r:id="rId1655" w:tooltip="Court Procedures Amendment Rules 2022 (No 1)" w:history="1">
        <w:r>
          <w:rPr>
            <w:rStyle w:val="charCitHyperlinkAbbrev"/>
          </w:rPr>
          <w:t>SL2022</w:t>
        </w:r>
        <w:r>
          <w:rPr>
            <w:rStyle w:val="charCitHyperlinkAbbrev"/>
          </w:rPr>
          <w:noBreakHyphen/>
          <w:t>2</w:t>
        </w:r>
      </w:hyperlink>
      <w:r>
        <w:rPr>
          <w:lang w:eastAsia="en-AU"/>
        </w:rPr>
        <w:t xml:space="preserve"> r 18</w:t>
      </w:r>
    </w:p>
    <w:p w14:paraId="34D59A8F" w14:textId="45B2278B" w:rsidR="00D94935" w:rsidRPr="00140BF9" w:rsidRDefault="00D94935" w:rsidP="00D94935">
      <w:pPr>
        <w:pStyle w:val="AmdtsEntryHd"/>
        <w:rPr>
          <w:rFonts w:cs="Arial"/>
        </w:rPr>
      </w:pPr>
      <w:r w:rsidRPr="00140BF9">
        <w:rPr>
          <w:rFonts w:cs="Arial"/>
        </w:rPr>
        <w:t>Adoption order—documents accompanying application</w:t>
      </w:r>
    </w:p>
    <w:p w14:paraId="01973B97" w14:textId="77777777"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14:paraId="21D5C8F4" w14:textId="72A814A9"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65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65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65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r w:rsidR="00963050">
        <w:rPr>
          <w:rFonts w:cs="Arial"/>
        </w:rPr>
        <w:t xml:space="preserve">; </w:t>
      </w:r>
      <w:hyperlink r:id="rId1659"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19, r 20</w:t>
      </w:r>
    </w:p>
    <w:p w14:paraId="218AFBDB" w14:textId="0180A03D" w:rsidR="00D94935" w:rsidRPr="00140BF9" w:rsidRDefault="00963050" w:rsidP="00D94935">
      <w:pPr>
        <w:pStyle w:val="AmdtsEntryHd"/>
        <w:rPr>
          <w:rFonts w:cs="Arial"/>
        </w:rPr>
      </w:pPr>
      <w:r w:rsidRPr="00D8116A">
        <w:t>Adoption order—service of application on CYP director</w:t>
      </w:r>
      <w:r w:rsidRPr="00D8116A">
        <w:noBreakHyphen/>
        <w:t>general</w:t>
      </w:r>
    </w:p>
    <w:p w14:paraId="6BECBCE9" w14:textId="31C172E2"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66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74182F9D" w14:textId="77777777"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14:paraId="5EE79118" w14:textId="59999525"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6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14:paraId="74B637AF" w14:textId="15A88F52" w:rsidR="00D94935" w:rsidRDefault="00D94935" w:rsidP="00D94935">
      <w:pPr>
        <w:pStyle w:val="AmdtsEntries"/>
        <w:rPr>
          <w:rFonts w:cs="Arial"/>
        </w:rPr>
      </w:pPr>
      <w:r w:rsidRPr="00140BF9">
        <w:rPr>
          <w:rFonts w:cs="Arial"/>
        </w:rPr>
        <w:tab/>
        <w:t xml:space="preserve">am </w:t>
      </w:r>
      <w:hyperlink r:id="rId166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49933A9C" w14:textId="4C763472" w:rsidR="00963050" w:rsidRPr="00140BF9" w:rsidRDefault="00963050" w:rsidP="00D94935">
      <w:pPr>
        <w:pStyle w:val="AmdtsEntries"/>
        <w:rPr>
          <w:rFonts w:cs="Arial"/>
        </w:rPr>
      </w:pPr>
      <w:r>
        <w:rPr>
          <w:rFonts w:cs="Arial"/>
        </w:rPr>
        <w:tab/>
        <w:t xml:space="preserve">sub </w:t>
      </w:r>
      <w:hyperlink r:id="rId1663" w:tooltip="Court Procedures Amendment Rules 2022 (No 1)" w:history="1">
        <w:r>
          <w:rPr>
            <w:rStyle w:val="charCitHyperlinkAbbrev"/>
          </w:rPr>
          <w:t>SL2022</w:t>
        </w:r>
        <w:r>
          <w:rPr>
            <w:rStyle w:val="charCitHyperlinkAbbrev"/>
          </w:rPr>
          <w:noBreakHyphen/>
          <w:t>2</w:t>
        </w:r>
      </w:hyperlink>
      <w:r>
        <w:rPr>
          <w:rFonts w:cs="Arial"/>
        </w:rPr>
        <w:t xml:space="preserve"> r 21</w:t>
      </w:r>
    </w:p>
    <w:p w14:paraId="0D8318FB" w14:textId="77777777" w:rsidR="00D94935" w:rsidRPr="00140BF9" w:rsidRDefault="00D94935" w:rsidP="00D94935">
      <w:pPr>
        <w:pStyle w:val="AmdtsEntryHd"/>
        <w:rPr>
          <w:rFonts w:cs="Arial"/>
        </w:rPr>
      </w:pPr>
      <w:r w:rsidRPr="00140BF9">
        <w:rPr>
          <w:rFonts w:cs="Arial"/>
        </w:rPr>
        <w:t>Adoption order—notice of intention to oppose</w:t>
      </w:r>
    </w:p>
    <w:p w14:paraId="796217F1" w14:textId="77777777"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14:paraId="433D72AF" w14:textId="32828032"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66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66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r w:rsidR="00963050">
        <w:rPr>
          <w:rFonts w:cs="Arial"/>
        </w:rPr>
        <w:t xml:space="preserve">; </w:t>
      </w:r>
      <w:hyperlink r:id="rId1666"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22, r 23</w:t>
      </w:r>
    </w:p>
    <w:p w14:paraId="2765806A" w14:textId="77777777" w:rsidR="00D94935" w:rsidRPr="00140BF9" w:rsidRDefault="00D94935" w:rsidP="00D94935">
      <w:pPr>
        <w:pStyle w:val="AmdtsEntryHd"/>
        <w:rPr>
          <w:rFonts w:cs="Arial"/>
        </w:rPr>
      </w:pPr>
      <w:r w:rsidRPr="00140BF9">
        <w:rPr>
          <w:rFonts w:cs="Arial"/>
        </w:rPr>
        <w:lastRenderedPageBreak/>
        <w:t>Dispensing order—application</w:t>
      </w:r>
    </w:p>
    <w:p w14:paraId="7BFC1801" w14:textId="77777777"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14:paraId="1131D2BB" w14:textId="77777777" w:rsidR="00D94935" w:rsidRPr="00140BF9" w:rsidRDefault="00D94935" w:rsidP="00D94935">
      <w:pPr>
        <w:pStyle w:val="AmdtsEntryHd"/>
        <w:rPr>
          <w:rFonts w:cs="Arial"/>
        </w:rPr>
      </w:pPr>
      <w:r w:rsidRPr="00140BF9">
        <w:rPr>
          <w:rFonts w:cs="Arial"/>
        </w:rPr>
        <w:t>Dispensing order—service of application</w:t>
      </w:r>
    </w:p>
    <w:p w14:paraId="3F6E06DB" w14:textId="77777777"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14:paraId="7B09DEDD" w14:textId="759A4580"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6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14:paraId="44B7C649" w14:textId="77777777" w:rsidR="00D94935" w:rsidRPr="00140BF9" w:rsidRDefault="00D94935" w:rsidP="00D94935">
      <w:pPr>
        <w:pStyle w:val="AmdtsEntryHd"/>
        <w:rPr>
          <w:rFonts w:cs="Arial"/>
        </w:rPr>
      </w:pPr>
      <w:r w:rsidRPr="00140BF9">
        <w:rPr>
          <w:rFonts w:cs="Arial"/>
        </w:rPr>
        <w:t>Dispensing order—notice of intention to oppose</w:t>
      </w:r>
    </w:p>
    <w:p w14:paraId="593EBE0D" w14:textId="77777777" w:rsidR="00D94935" w:rsidRPr="00140BF9" w:rsidRDefault="00D94935" w:rsidP="00AC3C69">
      <w:pPr>
        <w:pStyle w:val="AmdtsEntries"/>
        <w:keepNext/>
        <w:rPr>
          <w:rFonts w:cs="Arial"/>
        </w:rPr>
      </w:pPr>
      <w:r w:rsidRPr="00140BF9">
        <w:rPr>
          <w:rFonts w:cs="Arial"/>
        </w:rPr>
        <w:t>r 3172 hdg</w:t>
      </w:r>
      <w:r w:rsidRPr="00140BF9">
        <w:rPr>
          <w:rFonts w:eastAsiaTheme="minorEastAsia" w:cs="Arial"/>
          <w:szCs w:val="22"/>
          <w:lang w:eastAsia="en-AU"/>
        </w:rPr>
        <w:tab/>
        <w:t>bracketed note om R29 LA</w:t>
      </w:r>
    </w:p>
    <w:p w14:paraId="570DE944" w14:textId="71B53A08"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66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14:paraId="4BBAA8CC" w14:textId="77777777" w:rsidR="00D94935" w:rsidRPr="00140BF9" w:rsidRDefault="00D94935" w:rsidP="00D94935">
      <w:pPr>
        <w:pStyle w:val="AmdtsEntryHd"/>
        <w:rPr>
          <w:rFonts w:cs="Arial"/>
        </w:rPr>
      </w:pPr>
      <w:r w:rsidRPr="00140BF9">
        <w:rPr>
          <w:rFonts w:cs="Arial"/>
        </w:rPr>
        <w:t>Amendment order—application</w:t>
      </w:r>
    </w:p>
    <w:p w14:paraId="52EA84CE" w14:textId="77777777"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14:paraId="09F5C5DB" w14:textId="1A59BE68"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66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67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14:paraId="34B40F11" w14:textId="77777777" w:rsidR="00D94935" w:rsidRPr="00140BF9" w:rsidRDefault="00D94935" w:rsidP="00D94935">
      <w:pPr>
        <w:pStyle w:val="AmdtsEntryHd"/>
        <w:rPr>
          <w:rFonts w:cs="Arial"/>
        </w:rPr>
      </w:pPr>
      <w:r w:rsidRPr="00140BF9">
        <w:rPr>
          <w:rFonts w:cs="Arial"/>
        </w:rPr>
        <w:t>Amendment order—service of application</w:t>
      </w:r>
    </w:p>
    <w:p w14:paraId="7AB2D4F7" w14:textId="77777777"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14:paraId="39A1071C" w14:textId="77777777" w:rsidR="00D94935" w:rsidRPr="00140BF9" w:rsidRDefault="00D94935" w:rsidP="00D94935">
      <w:pPr>
        <w:pStyle w:val="AmdtsEntryHd"/>
        <w:rPr>
          <w:rFonts w:cs="Arial"/>
        </w:rPr>
      </w:pPr>
      <w:r w:rsidRPr="00140BF9">
        <w:rPr>
          <w:rFonts w:cs="Arial"/>
        </w:rPr>
        <w:t>Amendment order—notice of intention to oppose</w:t>
      </w:r>
    </w:p>
    <w:p w14:paraId="719A8EEA" w14:textId="77777777"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14:paraId="5169ADBA" w14:textId="77777777" w:rsidR="00D94935" w:rsidRPr="00140BF9" w:rsidRDefault="00D94935" w:rsidP="00D94935">
      <w:pPr>
        <w:pStyle w:val="AmdtsEntryHd"/>
        <w:rPr>
          <w:rFonts w:cs="Arial"/>
        </w:rPr>
      </w:pPr>
      <w:r w:rsidRPr="00140BF9">
        <w:rPr>
          <w:rFonts w:cs="Arial"/>
        </w:rPr>
        <w:t>Discharging order—application</w:t>
      </w:r>
    </w:p>
    <w:p w14:paraId="5E3AA930" w14:textId="77777777"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14:paraId="0B797081" w14:textId="77777777" w:rsidR="00D94935" w:rsidRPr="00140BF9" w:rsidRDefault="00D94935" w:rsidP="00D94935">
      <w:pPr>
        <w:pStyle w:val="AmdtsEntryHd"/>
        <w:rPr>
          <w:rFonts w:cs="Arial"/>
        </w:rPr>
      </w:pPr>
      <w:r w:rsidRPr="00140BF9">
        <w:rPr>
          <w:rFonts w:cs="Arial"/>
        </w:rPr>
        <w:t>Discharging order—service of application</w:t>
      </w:r>
    </w:p>
    <w:p w14:paraId="4CDDC514" w14:textId="77777777"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14:paraId="72DE5D4A" w14:textId="5BF21D02"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67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57ADD598" w14:textId="77777777" w:rsidR="00D94935" w:rsidRPr="00140BF9" w:rsidRDefault="00D94935" w:rsidP="00D94935">
      <w:pPr>
        <w:pStyle w:val="AmdtsEntryHd"/>
        <w:rPr>
          <w:rFonts w:cs="Arial"/>
        </w:rPr>
      </w:pPr>
      <w:r w:rsidRPr="00140BF9">
        <w:rPr>
          <w:rFonts w:cs="Arial"/>
        </w:rPr>
        <w:t>Discharging order—notice of intention to oppose</w:t>
      </w:r>
    </w:p>
    <w:p w14:paraId="42E80FD8" w14:textId="77777777"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14:paraId="5BB4B353" w14:textId="77E68A23"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67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3E505989" w14:textId="77777777" w:rsidR="00D94935" w:rsidRPr="00140BF9" w:rsidRDefault="00D94935" w:rsidP="00D94935">
      <w:pPr>
        <w:pStyle w:val="AmdtsEntryHd"/>
        <w:rPr>
          <w:rFonts w:cs="Arial"/>
        </w:rPr>
      </w:pPr>
      <w:r w:rsidRPr="00140BF9">
        <w:rPr>
          <w:rFonts w:cs="Arial"/>
        </w:rPr>
        <w:t>Order for access to identifying information—application</w:t>
      </w:r>
    </w:p>
    <w:p w14:paraId="2B87A334" w14:textId="77777777"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14:paraId="0D8CD1D8" w14:textId="77777777" w:rsidR="00D94935" w:rsidRPr="00140BF9" w:rsidRDefault="00D94935" w:rsidP="00D94935">
      <w:pPr>
        <w:pStyle w:val="AmdtsEntryHd"/>
        <w:rPr>
          <w:rFonts w:cs="Arial"/>
        </w:rPr>
      </w:pPr>
      <w:r w:rsidRPr="00140BF9">
        <w:rPr>
          <w:rFonts w:cs="Arial"/>
        </w:rPr>
        <w:t>Order for access to identifying information—service of application</w:t>
      </w:r>
    </w:p>
    <w:p w14:paraId="6E5AF7AD" w14:textId="77777777"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14:paraId="32DC8822" w14:textId="5D2F2B86"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6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6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r w:rsidR="00890E45">
        <w:rPr>
          <w:rFonts w:cs="Arial"/>
        </w:rPr>
        <w:t xml:space="preserve">; </w:t>
      </w:r>
      <w:hyperlink r:id="rId1675" w:tooltip="Court Procedures Amendment Rules 2022 (No 1)" w:history="1">
        <w:r w:rsidR="00890E45">
          <w:rPr>
            <w:rStyle w:val="charCitHyperlinkAbbrev"/>
          </w:rPr>
          <w:t>SL2022</w:t>
        </w:r>
        <w:r w:rsidR="00890E45">
          <w:rPr>
            <w:rStyle w:val="charCitHyperlinkAbbrev"/>
          </w:rPr>
          <w:noBreakHyphen/>
          <w:t>2</w:t>
        </w:r>
      </w:hyperlink>
      <w:r w:rsidR="00890E45">
        <w:rPr>
          <w:rFonts w:cs="Arial"/>
        </w:rPr>
        <w:t xml:space="preserve"> r 24</w:t>
      </w:r>
    </w:p>
    <w:p w14:paraId="515F4390" w14:textId="77777777" w:rsidR="00D94935" w:rsidRPr="00140BF9" w:rsidRDefault="00D94935" w:rsidP="00D94935">
      <w:pPr>
        <w:pStyle w:val="AmdtsEntryHd"/>
        <w:rPr>
          <w:rFonts w:cs="Arial"/>
        </w:rPr>
      </w:pPr>
      <w:r w:rsidRPr="00140BF9">
        <w:rPr>
          <w:rFonts w:cs="Arial"/>
        </w:rPr>
        <w:t>Order for access to identifying information—notice of intention to oppose</w:t>
      </w:r>
    </w:p>
    <w:p w14:paraId="4EAFC287" w14:textId="77777777"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14:paraId="47C69F5E" w14:textId="77777777" w:rsidR="00D94935" w:rsidRPr="00140BF9" w:rsidRDefault="00D94935" w:rsidP="00D94935">
      <w:pPr>
        <w:pStyle w:val="AmdtsEntryHd"/>
        <w:rPr>
          <w:rFonts w:cs="Arial"/>
        </w:rPr>
      </w:pPr>
      <w:r w:rsidRPr="00140BF9">
        <w:rPr>
          <w:rFonts w:cs="Arial"/>
        </w:rPr>
        <w:t>Adoption proceedings—service of applications</w:t>
      </w:r>
    </w:p>
    <w:p w14:paraId="29DCA953" w14:textId="77777777"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14:paraId="11589645" w14:textId="69754060"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6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67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14:paraId="0E8982A0" w14:textId="77777777" w:rsidR="00D94935" w:rsidRPr="00140BF9" w:rsidRDefault="00D94935" w:rsidP="00D94935">
      <w:pPr>
        <w:pStyle w:val="AmdtsEntryHd"/>
        <w:rPr>
          <w:rFonts w:cs="Arial"/>
        </w:rPr>
      </w:pPr>
      <w:r w:rsidRPr="00140BF9">
        <w:rPr>
          <w:rFonts w:cs="Arial"/>
        </w:rPr>
        <w:t>Adoption proceedings—service of documents containing identifying information</w:t>
      </w:r>
    </w:p>
    <w:p w14:paraId="4C64F862" w14:textId="21A80C14"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67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14:paraId="5899B3A6" w14:textId="77777777" w:rsidR="00D94935" w:rsidRPr="00140BF9" w:rsidRDefault="00D94935" w:rsidP="00D94935">
      <w:pPr>
        <w:pStyle w:val="AmdtsEntryHd"/>
        <w:rPr>
          <w:rFonts w:cs="Arial"/>
        </w:rPr>
      </w:pPr>
      <w:r w:rsidRPr="00140BF9">
        <w:rPr>
          <w:rFonts w:cs="Arial"/>
        </w:rPr>
        <w:t>Commercial arbitration—general</w:t>
      </w:r>
    </w:p>
    <w:p w14:paraId="1B8DBE4D" w14:textId="38890481"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6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14:paraId="27CA3F08" w14:textId="77777777"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Commercial Arbitration Act</w:t>
      </w:r>
      <w:r w:rsidRPr="00140BF9">
        <w:rPr>
          <w:rFonts w:cs="Arial"/>
        </w:rPr>
        <w:t>—pt 3.3</w:t>
      </w:r>
    </w:p>
    <w:p w14:paraId="14E0CC15" w14:textId="77777777"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14:paraId="0F02019F" w14:textId="41BC4184"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68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14:paraId="5B04E8E2" w14:textId="77777777" w:rsidR="00D94935" w:rsidRPr="00140BF9" w:rsidRDefault="00D94935" w:rsidP="00D94935">
      <w:pPr>
        <w:pStyle w:val="AmdtsEntryHd"/>
        <w:rPr>
          <w:rFonts w:cs="Arial"/>
        </w:rPr>
      </w:pPr>
      <w:r w:rsidRPr="00140BF9">
        <w:rPr>
          <w:rFonts w:cs="Arial"/>
        </w:rPr>
        <w:t>Terms used in Commercial Arbitration Act</w:t>
      </w:r>
    </w:p>
    <w:p w14:paraId="666701D0" w14:textId="638FDC3F" w:rsidR="00D94935" w:rsidRDefault="00D94935" w:rsidP="00D94935">
      <w:pPr>
        <w:pStyle w:val="AmdtsEntries"/>
        <w:rPr>
          <w:rFonts w:cs="Arial"/>
        </w:rPr>
      </w:pPr>
      <w:r w:rsidRPr="00140BF9">
        <w:rPr>
          <w:rFonts w:cs="Arial"/>
        </w:rPr>
        <w:t>r 3251</w:t>
      </w:r>
      <w:r w:rsidRPr="00140BF9">
        <w:rPr>
          <w:rFonts w:cs="Arial"/>
        </w:rPr>
        <w:tab/>
        <w:t xml:space="preserve">am </w:t>
      </w:r>
      <w:hyperlink r:id="rId1681"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14:paraId="18BD6EFE" w14:textId="4A29A660" w:rsidR="00D1366E" w:rsidRPr="00140BF9" w:rsidRDefault="00D1366E" w:rsidP="00D94935">
      <w:pPr>
        <w:pStyle w:val="AmdtsEntries"/>
        <w:rPr>
          <w:rFonts w:cs="Arial"/>
        </w:rPr>
      </w:pPr>
      <w:r>
        <w:rPr>
          <w:rFonts w:cs="Arial"/>
        </w:rPr>
        <w:tab/>
        <w:t xml:space="preserve">sub </w:t>
      </w:r>
      <w:hyperlink r:id="rId168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14:paraId="3657C55D" w14:textId="77777777" w:rsidR="00D94935" w:rsidRPr="00140BF9" w:rsidRDefault="00D94935" w:rsidP="00D94935">
      <w:pPr>
        <w:pStyle w:val="AmdtsEntryHd"/>
        <w:rPr>
          <w:rFonts w:cs="Arial"/>
        </w:rPr>
      </w:pPr>
      <w:r w:rsidRPr="00140BF9">
        <w:rPr>
          <w:rFonts w:cs="Arial"/>
        </w:rPr>
        <w:t>Commercial arbitration—application</w:t>
      </w:r>
    </w:p>
    <w:p w14:paraId="603B5860" w14:textId="77777777"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14:paraId="5FBA41AD" w14:textId="77777777" w:rsidR="00D94935" w:rsidRPr="00140BF9" w:rsidRDefault="00D94935" w:rsidP="00D94935">
      <w:pPr>
        <w:pStyle w:val="AmdtsEntryHd"/>
        <w:rPr>
          <w:rFonts w:cs="Arial"/>
        </w:rPr>
      </w:pPr>
      <w:r w:rsidRPr="00140BF9">
        <w:rPr>
          <w:rFonts w:cs="Arial"/>
        </w:rPr>
        <w:t>Commercial arbitration—leave to appeal under Commercial Arbitration Act, s 3</w:t>
      </w:r>
      <w:r w:rsidR="00D1366E">
        <w:rPr>
          <w:rFonts w:cs="Arial"/>
        </w:rPr>
        <w:t>4A</w:t>
      </w:r>
    </w:p>
    <w:p w14:paraId="07766BC8" w14:textId="77777777"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14:paraId="65119AA4" w14:textId="53759D4E"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68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14:paraId="6F666E40" w14:textId="77777777" w:rsidR="00D94935" w:rsidRPr="00140BF9" w:rsidRDefault="00D94935" w:rsidP="00D94935">
      <w:pPr>
        <w:pStyle w:val="AmdtsEntryHd"/>
        <w:rPr>
          <w:rFonts w:cs="Arial"/>
        </w:rPr>
      </w:pPr>
      <w:r w:rsidRPr="00140BF9">
        <w:rPr>
          <w:rFonts w:cs="Arial"/>
        </w:rPr>
        <w:t>Commercial arbitration—appeal under Commercial Arbitration Act, s 38</w:t>
      </w:r>
    </w:p>
    <w:p w14:paraId="47A083F0" w14:textId="77777777" w:rsidR="00D94935" w:rsidRDefault="00D94935" w:rsidP="00745DAF">
      <w:pPr>
        <w:pStyle w:val="AmdtsEntries"/>
        <w:keepNext/>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14:paraId="73F25D3C" w14:textId="1A52CDA3"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68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14:paraId="33EFB8D7" w14:textId="77777777"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14:paraId="0E92D545" w14:textId="77777777"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14:paraId="320C5E48" w14:textId="3D46845D"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68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1F89BC10" w14:textId="77777777"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14:paraId="0200655E" w14:textId="77777777"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14:paraId="643D796C" w14:textId="1702E3BB"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68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25681FDF" w14:textId="77777777" w:rsidR="00D94935" w:rsidRPr="00140BF9" w:rsidRDefault="00D94935" w:rsidP="00D94935">
      <w:pPr>
        <w:pStyle w:val="AmdtsEntryHd"/>
        <w:rPr>
          <w:rFonts w:cs="Arial"/>
        </w:rPr>
      </w:pPr>
      <w:r w:rsidRPr="00140BF9">
        <w:rPr>
          <w:rFonts w:cs="Arial"/>
        </w:rPr>
        <w:t>Commercial arbitration—offers of compromise</w:t>
      </w:r>
    </w:p>
    <w:p w14:paraId="269B6D41" w14:textId="77777777"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14:paraId="33BB15C7" w14:textId="131F4A7E"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6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14:paraId="2B3F51DB" w14:textId="77777777" w:rsidR="00D94935" w:rsidRPr="00140BF9" w:rsidRDefault="00D94935" w:rsidP="00D94935">
      <w:pPr>
        <w:pStyle w:val="AmdtsEntryHd"/>
        <w:rPr>
          <w:rFonts w:cs="Arial"/>
        </w:rPr>
      </w:pPr>
      <w:r w:rsidRPr="00140BF9">
        <w:rPr>
          <w:rFonts w:cs="Arial"/>
        </w:rPr>
        <w:t>Commercial arbitration—examination of witnesses</w:t>
      </w:r>
    </w:p>
    <w:p w14:paraId="3733FAE0" w14:textId="77777777"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14:paraId="602C45AE" w14:textId="77777777" w:rsidR="00D94935" w:rsidRPr="00140BF9" w:rsidRDefault="00B24FDA" w:rsidP="00D94935">
      <w:pPr>
        <w:pStyle w:val="AmdtsEntryHd"/>
        <w:rPr>
          <w:rFonts w:cs="Arial"/>
        </w:rPr>
      </w:pPr>
      <w:r w:rsidRPr="00A60754">
        <w:t>Commercial arbitration—decision to refuse to issue interim measure</w:t>
      </w:r>
    </w:p>
    <w:p w14:paraId="1D7A0A0A" w14:textId="77777777"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14:paraId="6DDFF5B3" w14:textId="7BD781C7"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68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43E1CC96" w14:textId="77777777" w:rsidR="00D94935" w:rsidRPr="00140BF9" w:rsidRDefault="004E780D" w:rsidP="00D94935">
      <w:pPr>
        <w:pStyle w:val="AmdtsEntryHd"/>
        <w:rPr>
          <w:rFonts w:cs="Arial"/>
        </w:rPr>
      </w:pPr>
      <w:r w:rsidRPr="00A60754">
        <w:t>Commercial arbitration—application to enforce arbitral award</w:t>
      </w:r>
    </w:p>
    <w:p w14:paraId="48727A5F" w14:textId="77777777" w:rsidR="00D94935" w:rsidRPr="00140BF9" w:rsidRDefault="00D94935" w:rsidP="00EC318A">
      <w:pPr>
        <w:pStyle w:val="AmdtsEntries"/>
        <w:keepNext/>
        <w:rPr>
          <w:rFonts w:cs="Arial"/>
        </w:rPr>
      </w:pPr>
      <w:r w:rsidRPr="00140BF9">
        <w:rPr>
          <w:rFonts w:cs="Arial"/>
        </w:rPr>
        <w:t>r 3260 hdg</w:t>
      </w:r>
      <w:r w:rsidRPr="00140BF9">
        <w:rPr>
          <w:rFonts w:eastAsiaTheme="minorEastAsia" w:cs="Arial"/>
          <w:szCs w:val="22"/>
          <w:lang w:eastAsia="en-AU"/>
        </w:rPr>
        <w:tab/>
        <w:t>bracketed note om R29 LA</w:t>
      </w:r>
    </w:p>
    <w:p w14:paraId="6ACD6D38" w14:textId="68294574"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8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5E3EDF6" w14:textId="77777777" w:rsidR="00D94935" w:rsidRPr="00140BF9" w:rsidRDefault="004E780D" w:rsidP="00D94935">
      <w:pPr>
        <w:pStyle w:val="AmdtsEntryHd"/>
        <w:rPr>
          <w:rFonts w:cs="Arial"/>
        </w:rPr>
      </w:pPr>
      <w:r w:rsidRPr="00A60754">
        <w:t>Commercial arbitration—evidence of arbitral award for purposes of enforcement</w:t>
      </w:r>
    </w:p>
    <w:p w14:paraId="742CD081" w14:textId="77777777"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14:paraId="7647D268" w14:textId="309DC472"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9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3C5FCF33" w14:textId="77777777" w:rsidR="00D94935" w:rsidRPr="00140BF9" w:rsidRDefault="004E780D" w:rsidP="00A47A62">
      <w:pPr>
        <w:pStyle w:val="AmdtsEntryHd"/>
        <w:rPr>
          <w:rFonts w:cs="Arial"/>
        </w:rPr>
      </w:pPr>
      <w:r w:rsidRPr="00A60754">
        <w:lastRenderedPageBreak/>
        <w:t>Commercial arbitration—endorsement and service of application for enforcement</w:t>
      </w:r>
    </w:p>
    <w:p w14:paraId="429CB543" w14:textId="77777777" w:rsidR="00D94935" w:rsidRPr="00140BF9" w:rsidRDefault="00D94935" w:rsidP="00A47A62">
      <w:pPr>
        <w:pStyle w:val="AmdtsEntries"/>
        <w:keepNext/>
        <w:rPr>
          <w:rFonts w:cs="Arial"/>
        </w:rPr>
      </w:pPr>
      <w:r w:rsidRPr="00140BF9">
        <w:rPr>
          <w:rFonts w:cs="Arial"/>
        </w:rPr>
        <w:t>r 3262 hdg</w:t>
      </w:r>
      <w:r w:rsidRPr="00140BF9">
        <w:rPr>
          <w:rFonts w:eastAsiaTheme="minorEastAsia" w:cs="Arial"/>
          <w:szCs w:val="22"/>
          <w:lang w:eastAsia="en-AU"/>
        </w:rPr>
        <w:tab/>
        <w:t>bracketed note om R29 LA</w:t>
      </w:r>
    </w:p>
    <w:p w14:paraId="10E2AE19" w14:textId="487EE0B9" w:rsidR="004E780D" w:rsidRPr="00140BF9" w:rsidRDefault="004E780D" w:rsidP="00A47A62">
      <w:pPr>
        <w:pStyle w:val="AmdtsEntries"/>
        <w:keepNext/>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9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33DB7FE" w14:textId="77777777" w:rsidR="00D94935" w:rsidRPr="00140BF9" w:rsidRDefault="00D94935" w:rsidP="00D94935">
      <w:pPr>
        <w:pStyle w:val="AmdtsEntryHd"/>
        <w:rPr>
          <w:rFonts w:cs="Arial"/>
        </w:rPr>
      </w:pPr>
      <w:r w:rsidRPr="00140BF9">
        <w:rPr>
          <w:rFonts w:cs="Arial"/>
        </w:rPr>
        <w:t>Commercial arbitration—payment into court</w:t>
      </w:r>
    </w:p>
    <w:p w14:paraId="51C86CFB" w14:textId="37BB2C97"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109ADA2" w14:textId="77777777" w:rsidR="00D94935" w:rsidRPr="00140BF9" w:rsidRDefault="00D94935" w:rsidP="00D94935">
      <w:pPr>
        <w:pStyle w:val="AmdtsEntryHd"/>
        <w:rPr>
          <w:rFonts w:cs="Arial"/>
        </w:rPr>
      </w:pPr>
      <w:r w:rsidRPr="00140BF9">
        <w:rPr>
          <w:rFonts w:cs="Arial"/>
        </w:rPr>
        <w:t>Commercial arbitration—payment into court</w:t>
      </w:r>
    </w:p>
    <w:p w14:paraId="3B56C82A" w14:textId="7EC99127"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9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B49C276" w14:textId="77777777" w:rsidR="00D94935" w:rsidRPr="00140BF9" w:rsidRDefault="00D94935" w:rsidP="00D94935">
      <w:pPr>
        <w:pStyle w:val="AmdtsEntryHd"/>
        <w:rPr>
          <w:rFonts w:cs="Arial"/>
        </w:rPr>
      </w:pPr>
      <w:r w:rsidRPr="00140BF9">
        <w:rPr>
          <w:rFonts w:cs="Arial"/>
        </w:rPr>
        <w:t>Payment into court—costs</w:t>
      </w:r>
    </w:p>
    <w:p w14:paraId="27B5DC1F" w14:textId="49F42C6E"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9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6CA4E08" w14:textId="77777777" w:rsidR="00D94935" w:rsidRPr="00140BF9" w:rsidRDefault="00D94935" w:rsidP="00D94935">
      <w:pPr>
        <w:pStyle w:val="AmdtsEntryHd"/>
        <w:rPr>
          <w:rFonts w:cs="Arial"/>
        </w:rPr>
      </w:pPr>
      <w:r w:rsidRPr="00140BF9">
        <w:rPr>
          <w:rFonts w:cs="Arial"/>
        </w:rPr>
        <w:t>Payment into court—bond or security</w:t>
      </w:r>
    </w:p>
    <w:p w14:paraId="1A20484C" w14:textId="7B027BDA" w:rsidR="00D94935" w:rsidRDefault="00D94935" w:rsidP="00D94935">
      <w:pPr>
        <w:pStyle w:val="AmdtsEntries"/>
        <w:rPr>
          <w:rFonts w:cs="Arial"/>
        </w:rPr>
      </w:pPr>
      <w:r w:rsidRPr="00140BF9">
        <w:rPr>
          <w:rFonts w:cs="Arial"/>
        </w:rPr>
        <w:t>r 3265</w:t>
      </w:r>
      <w:r w:rsidRPr="00140BF9">
        <w:rPr>
          <w:rFonts w:cs="Arial"/>
        </w:rPr>
        <w:tab/>
        <w:t xml:space="preserve">ins </w:t>
      </w:r>
      <w:hyperlink r:id="rId169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638258B5" w14:textId="72B11763" w:rsidR="00872CC2" w:rsidRPr="00140BF9" w:rsidRDefault="00872CC2" w:rsidP="00D94935">
      <w:pPr>
        <w:pStyle w:val="AmdtsEntries"/>
        <w:rPr>
          <w:rFonts w:cs="Arial"/>
        </w:rPr>
      </w:pPr>
      <w:r>
        <w:rPr>
          <w:rFonts w:cs="Arial"/>
        </w:rPr>
        <w:tab/>
        <w:t xml:space="preserve">am </w:t>
      </w:r>
      <w:hyperlink r:id="rId169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1A921470" w14:textId="77777777" w:rsidR="00D94935" w:rsidRPr="00140BF9" w:rsidRDefault="00D94935" w:rsidP="00D94935">
      <w:pPr>
        <w:pStyle w:val="AmdtsEntryHd"/>
        <w:rPr>
          <w:rFonts w:cs="Arial"/>
        </w:rPr>
      </w:pPr>
      <w:r w:rsidRPr="00140BF9">
        <w:rPr>
          <w:rFonts w:cs="Arial"/>
        </w:rPr>
        <w:t>Payment into court—interest up to payment</w:t>
      </w:r>
    </w:p>
    <w:p w14:paraId="7126C9C0" w14:textId="05BE6134"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9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7816CC5F" w14:textId="77777777" w:rsidR="00D94935" w:rsidRPr="00140BF9" w:rsidRDefault="00D94935" w:rsidP="00D94935">
      <w:pPr>
        <w:pStyle w:val="AmdtsEntryHd"/>
        <w:rPr>
          <w:rFonts w:cs="Arial"/>
        </w:rPr>
      </w:pPr>
      <w:r w:rsidRPr="00140BF9">
        <w:rPr>
          <w:rFonts w:cs="Arial"/>
        </w:rPr>
        <w:t>Payment into court—acceptance</w:t>
      </w:r>
    </w:p>
    <w:p w14:paraId="1DAB6202" w14:textId="6A7A80C7"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52DBA631" w14:textId="5B4A14B1" w:rsidR="00872CC2" w:rsidRPr="00140BF9" w:rsidRDefault="00872CC2" w:rsidP="00872CC2">
      <w:pPr>
        <w:pStyle w:val="AmdtsEntries"/>
        <w:rPr>
          <w:rFonts w:cs="Arial"/>
        </w:rPr>
      </w:pPr>
      <w:r>
        <w:rPr>
          <w:rFonts w:cs="Arial"/>
        </w:rPr>
        <w:tab/>
        <w:t xml:space="preserve">am </w:t>
      </w:r>
      <w:hyperlink r:id="rId169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4F8379DF" w14:textId="77777777" w:rsidR="00D94935" w:rsidRPr="00140BF9" w:rsidRDefault="00D94935" w:rsidP="00D94935">
      <w:pPr>
        <w:pStyle w:val="AmdtsEntryHd"/>
        <w:rPr>
          <w:rFonts w:cs="Arial"/>
        </w:rPr>
      </w:pPr>
      <w:r w:rsidRPr="00140BF9">
        <w:rPr>
          <w:rFonts w:cs="Arial"/>
        </w:rPr>
        <w:t>Payment into court—costs on acceptance by claimant</w:t>
      </w:r>
    </w:p>
    <w:p w14:paraId="01E73236" w14:textId="1DF7A370"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70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D7DFF10" w14:textId="4EDFCDF2" w:rsidR="00872CC2" w:rsidRPr="00140BF9" w:rsidRDefault="00872CC2" w:rsidP="00872CC2">
      <w:pPr>
        <w:pStyle w:val="AmdtsEntries"/>
        <w:rPr>
          <w:rFonts w:cs="Arial"/>
        </w:rPr>
      </w:pPr>
      <w:r>
        <w:rPr>
          <w:rFonts w:cs="Arial"/>
        </w:rPr>
        <w:tab/>
        <w:t xml:space="preserve">am </w:t>
      </w:r>
      <w:hyperlink r:id="rId170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5AEBA32" w14:textId="77777777" w:rsidR="00D94935" w:rsidRPr="00140BF9" w:rsidRDefault="00D94935" w:rsidP="00D94935">
      <w:pPr>
        <w:pStyle w:val="AmdtsEntryHd"/>
        <w:rPr>
          <w:rFonts w:cs="Arial"/>
        </w:rPr>
      </w:pPr>
      <w:r w:rsidRPr="00140BF9">
        <w:rPr>
          <w:rFonts w:cs="Arial"/>
        </w:rPr>
        <w:t>Payment into court—payment out of remaining amount</w:t>
      </w:r>
    </w:p>
    <w:p w14:paraId="1B29CF2E" w14:textId="5FCDCDE4"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70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2DFDE856" w14:textId="11EFD8BA" w:rsidR="00872CC2" w:rsidRPr="00140BF9" w:rsidRDefault="00872CC2" w:rsidP="00872CC2">
      <w:pPr>
        <w:pStyle w:val="AmdtsEntries"/>
        <w:rPr>
          <w:rFonts w:cs="Arial"/>
        </w:rPr>
      </w:pPr>
      <w:r>
        <w:rPr>
          <w:rFonts w:cs="Arial"/>
        </w:rPr>
        <w:tab/>
        <w:t xml:space="preserve">am </w:t>
      </w:r>
      <w:hyperlink r:id="rId170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0C6EFCE" w14:textId="77777777" w:rsidR="00D94935" w:rsidRPr="00140BF9" w:rsidRDefault="00D94935" w:rsidP="00D94935">
      <w:pPr>
        <w:pStyle w:val="AmdtsEntryHd"/>
        <w:rPr>
          <w:rFonts w:cs="Arial"/>
        </w:rPr>
      </w:pPr>
      <w:r w:rsidRPr="00140BF9">
        <w:rPr>
          <w:rFonts w:cs="Arial"/>
        </w:rPr>
        <w:t>Payment into court—nondisclosure</w:t>
      </w:r>
    </w:p>
    <w:p w14:paraId="6AEA6D07" w14:textId="4FF90AED"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7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3E65926A" w14:textId="4630AF39" w:rsidR="00872CC2" w:rsidRPr="00140BF9" w:rsidRDefault="00872CC2" w:rsidP="00872CC2">
      <w:pPr>
        <w:pStyle w:val="AmdtsEntries"/>
        <w:rPr>
          <w:rFonts w:cs="Arial"/>
        </w:rPr>
      </w:pPr>
      <w:r>
        <w:rPr>
          <w:rFonts w:cs="Arial"/>
        </w:rPr>
        <w:tab/>
        <w:t xml:space="preserve">am </w:t>
      </w:r>
      <w:hyperlink r:id="rId170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59AECF0A" w14:textId="77777777" w:rsidR="00D94935" w:rsidRPr="00140BF9" w:rsidRDefault="00D94935" w:rsidP="00D94935">
      <w:pPr>
        <w:pStyle w:val="AmdtsEntryHd"/>
        <w:rPr>
          <w:rFonts w:cs="Arial"/>
        </w:rPr>
      </w:pPr>
      <w:r w:rsidRPr="00140BF9">
        <w:rPr>
          <w:rFonts w:cs="Arial"/>
        </w:rPr>
        <w:t>Definitions—pt 3.5</w:t>
      </w:r>
    </w:p>
    <w:p w14:paraId="22498701" w14:textId="77777777"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14:paraId="79CCF911" w14:textId="77777777" w:rsidR="00D94935" w:rsidRPr="00140BF9" w:rsidRDefault="00D94935" w:rsidP="00D94935">
      <w:pPr>
        <w:pStyle w:val="AmdtsEntryHd"/>
        <w:rPr>
          <w:rFonts w:cs="Arial"/>
        </w:rPr>
      </w:pPr>
      <w:r w:rsidRPr="00140BF9">
        <w:rPr>
          <w:rFonts w:cs="Arial"/>
        </w:rPr>
        <w:t>Terms used in Cross-vesting Act</w:t>
      </w:r>
    </w:p>
    <w:p w14:paraId="477BFADC" w14:textId="77777777"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14:paraId="7A53A329" w14:textId="77777777" w:rsidR="00D94935" w:rsidRPr="00140BF9" w:rsidRDefault="00D94935" w:rsidP="00D94935">
      <w:pPr>
        <w:pStyle w:val="AmdtsEntryHd"/>
        <w:rPr>
          <w:rFonts w:cs="Arial"/>
        </w:rPr>
      </w:pPr>
      <w:r w:rsidRPr="00140BF9">
        <w:rPr>
          <w:rFonts w:cs="Arial"/>
        </w:rPr>
        <w:t>Application—pt 3.5</w:t>
      </w:r>
    </w:p>
    <w:p w14:paraId="75A7428B" w14:textId="77777777"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14:paraId="2CB0C901" w14:textId="77777777" w:rsidR="00D94935" w:rsidRPr="00140BF9" w:rsidRDefault="00D94935" w:rsidP="00D94935">
      <w:pPr>
        <w:pStyle w:val="AmdtsEntryHd"/>
        <w:rPr>
          <w:rFonts w:cs="Arial"/>
        </w:rPr>
      </w:pPr>
      <w:r w:rsidRPr="00140BF9">
        <w:rPr>
          <w:rFonts w:cs="Arial"/>
        </w:rPr>
        <w:t>Cross-vesting—application for transfer or removal of proceedings</w:t>
      </w:r>
    </w:p>
    <w:p w14:paraId="151C049B" w14:textId="77777777"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14:paraId="6EE96E98" w14:textId="77777777" w:rsidR="00D94935" w:rsidRPr="00140BF9" w:rsidRDefault="00D94935" w:rsidP="00D94935">
      <w:pPr>
        <w:pStyle w:val="AmdtsEntryHd"/>
        <w:rPr>
          <w:rFonts w:cs="Arial"/>
        </w:rPr>
      </w:pPr>
      <w:r w:rsidRPr="00140BF9">
        <w:rPr>
          <w:rFonts w:cs="Arial"/>
        </w:rPr>
        <w:t>Cross-vesting—application by Attorney-General</w:t>
      </w:r>
    </w:p>
    <w:p w14:paraId="0C44B795" w14:textId="77777777"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14:paraId="43437412" w14:textId="77777777" w:rsidR="00D94935" w:rsidRPr="00140BF9" w:rsidRDefault="00D94935" w:rsidP="00D94935">
      <w:pPr>
        <w:pStyle w:val="AmdtsEntryHd"/>
        <w:rPr>
          <w:rFonts w:cs="Arial"/>
        </w:rPr>
      </w:pPr>
      <w:r w:rsidRPr="00140BF9">
        <w:rPr>
          <w:rFonts w:cs="Arial"/>
        </w:rPr>
        <w:t>Cross-vesting—removal of proceedings</w:t>
      </w:r>
    </w:p>
    <w:p w14:paraId="0DC89F13" w14:textId="77777777"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14:paraId="648B48C8" w14:textId="77777777" w:rsidR="00D94935" w:rsidRPr="00140BF9" w:rsidRDefault="00D94935" w:rsidP="00D94935">
      <w:pPr>
        <w:pStyle w:val="AmdtsEntryHd"/>
        <w:rPr>
          <w:rFonts w:cs="Arial"/>
        </w:rPr>
      </w:pPr>
      <w:r w:rsidRPr="00140BF9">
        <w:rPr>
          <w:rFonts w:cs="Arial"/>
        </w:rPr>
        <w:lastRenderedPageBreak/>
        <w:t>Cross-vesting—relying on jurisdiction under cross-vesting laws</w:t>
      </w:r>
    </w:p>
    <w:p w14:paraId="4E74194A" w14:textId="77777777"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14:paraId="56FB16A8" w14:textId="77777777" w:rsidR="00D94935" w:rsidRPr="00140BF9" w:rsidRDefault="00D94935" w:rsidP="00D94935">
      <w:pPr>
        <w:pStyle w:val="AmdtsEntryHd"/>
        <w:rPr>
          <w:rFonts w:cs="Arial"/>
        </w:rPr>
      </w:pPr>
      <w:r w:rsidRPr="00140BF9">
        <w:rPr>
          <w:rFonts w:cs="Arial"/>
        </w:rPr>
        <w:t>Cross-vesting—service</w:t>
      </w:r>
    </w:p>
    <w:p w14:paraId="79A0FEA6" w14:textId="77777777"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14:paraId="30561B6B" w14:textId="77777777" w:rsidR="00D94935" w:rsidRPr="00140BF9" w:rsidRDefault="00D94935" w:rsidP="00D94935">
      <w:pPr>
        <w:pStyle w:val="AmdtsEntryHd"/>
        <w:rPr>
          <w:rFonts w:cs="Arial"/>
        </w:rPr>
      </w:pPr>
      <w:r w:rsidRPr="00140BF9">
        <w:rPr>
          <w:rFonts w:cs="Arial"/>
        </w:rPr>
        <w:t>Cross-vesting—directions</w:t>
      </w:r>
    </w:p>
    <w:p w14:paraId="7266AE1C" w14:textId="77777777"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14:paraId="68326AFF" w14:textId="77777777" w:rsidR="00D94935" w:rsidRPr="00140BF9" w:rsidRDefault="00D94935" w:rsidP="00D94935">
      <w:pPr>
        <w:pStyle w:val="AmdtsEntryHd"/>
        <w:rPr>
          <w:rFonts w:cs="Arial"/>
        </w:rPr>
      </w:pPr>
      <w:r w:rsidRPr="00140BF9">
        <w:rPr>
          <w:rFonts w:cs="Arial"/>
        </w:rPr>
        <w:t>Cross-vesting—procedure following transfer of proceeding from court</w:t>
      </w:r>
    </w:p>
    <w:p w14:paraId="713F982B" w14:textId="77777777"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14:paraId="2FBD9A2A" w14:textId="77777777" w:rsidR="00D94935" w:rsidRPr="00140BF9" w:rsidRDefault="00D94935" w:rsidP="00D94935">
      <w:pPr>
        <w:pStyle w:val="AmdtsEntryHd"/>
        <w:rPr>
          <w:rFonts w:cs="Arial"/>
        </w:rPr>
      </w:pPr>
      <w:r w:rsidRPr="00140BF9">
        <w:rPr>
          <w:rFonts w:cs="Arial"/>
        </w:rPr>
        <w:t>Cross-vesting—procedure following transfer of proceeding to court</w:t>
      </w:r>
    </w:p>
    <w:p w14:paraId="17D01082" w14:textId="77777777"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14:paraId="2415F723" w14:textId="77777777" w:rsidR="00D94935" w:rsidRPr="00140BF9" w:rsidRDefault="00D94935" w:rsidP="00D94935">
      <w:pPr>
        <w:pStyle w:val="AmdtsEntryHd"/>
        <w:rPr>
          <w:rFonts w:cs="Arial"/>
        </w:rPr>
      </w:pPr>
      <w:r w:rsidRPr="00140BF9">
        <w:rPr>
          <w:rFonts w:cs="Arial"/>
        </w:rPr>
        <w:t>Cross-vesting—application of another jurisdiction’s written law</w:t>
      </w:r>
    </w:p>
    <w:p w14:paraId="79B6BE1F" w14:textId="77777777"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14:paraId="72A8A53E" w14:textId="77777777" w:rsidR="00D94935" w:rsidRPr="00140BF9" w:rsidRDefault="00D94935" w:rsidP="00D94935">
      <w:pPr>
        <w:pStyle w:val="AmdtsEntryHd"/>
        <w:rPr>
          <w:rFonts w:cs="Arial"/>
        </w:rPr>
      </w:pPr>
      <w:r w:rsidRPr="00140BF9">
        <w:rPr>
          <w:rFonts w:cs="Arial"/>
        </w:rPr>
        <w:t>Cross-vesting—application of another jurisdiction’s rules of evidence and procedure</w:t>
      </w:r>
    </w:p>
    <w:p w14:paraId="4AD830A3" w14:textId="77777777"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14:paraId="62CEB375" w14:textId="77777777" w:rsidR="00D94935" w:rsidRPr="00140BF9" w:rsidRDefault="00D94935" w:rsidP="00D94935">
      <w:pPr>
        <w:pStyle w:val="AmdtsEntryHd"/>
        <w:rPr>
          <w:rFonts w:cs="Arial"/>
        </w:rPr>
      </w:pPr>
      <w:r w:rsidRPr="00140BF9">
        <w:rPr>
          <w:rFonts w:cs="Arial"/>
        </w:rPr>
        <w:t>Definitions—pt 3.6</w:t>
      </w:r>
    </w:p>
    <w:p w14:paraId="2EC76BF7" w14:textId="77777777"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14:paraId="3385C21E" w14:textId="77777777" w:rsidR="00D94935" w:rsidRPr="00140BF9" w:rsidRDefault="00D94935" w:rsidP="00D94935">
      <w:pPr>
        <w:pStyle w:val="AmdtsEntryHd"/>
        <w:rPr>
          <w:rFonts w:cs="Arial"/>
        </w:rPr>
      </w:pPr>
      <w:r w:rsidRPr="00140BF9">
        <w:rPr>
          <w:rFonts w:cs="Arial"/>
        </w:rPr>
        <w:t>Election application etc originating application</w:t>
      </w:r>
    </w:p>
    <w:p w14:paraId="2D74B524" w14:textId="77777777"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14:paraId="7156016A" w14:textId="77777777" w:rsidR="00D94935" w:rsidRPr="00140BF9" w:rsidRDefault="00D94935" w:rsidP="00D94935">
      <w:pPr>
        <w:pStyle w:val="AmdtsEntryHd"/>
        <w:rPr>
          <w:rFonts w:cs="Arial"/>
        </w:rPr>
      </w:pPr>
      <w:r w:rsidRPr="00140BF9">
        <w:rPr>
          <w:rFonts w:cs="Arial"/>
        </w:rPr>
        <w:t>Disputed election—deposit as security for costs</w:t>
      </w:r>
    </w:p>
    <w:p w14:paraId="0B812976" w14:textId="77777777"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14:paraId="75204159" w14:textId="77777777" w:rsidR="00D94935" w:rsidRPr="00140BF9" w:rsidRDefault="00D94935" w:rsidP="00D94935">
      <w:pPr>
        <w:pStyle w:val="AmdtsEntryHd"/>
        <w:rPr>
          <w:rFonts w:cs="Arial"/>
        </w:rPr>
      </w:pPr>
      <w:r w:rsidRPr="00140BF9">
        <w:rPr>
          <w:rFonts w:cs="Arial"/>
        </w:rPr>
        <w:t>Disputed election—public notice of election application</w:t>
      </w:r>
    </w:p>
    <w:p w14:paraId="7177D6FC" w14:textId="77777777"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14:paraId="1D7F71DE" w14:textId="77777777" w:rsidR="00D94935" w:rsidRPr="00140BF9" w:rsidRDefault="00D94935" w:rsidP="00D94935">
      <w:pPr>
        <w:pStyle w:val="AmdtsEntryHd"/>
        <w:rPr>
          <w:rFonts w:cs="Arial"/>
        </w:rPr>
      </w:pPr>
      <w:r w:rsidRPr="00140BF9">
        <w:rPr>
          <w:rFonts w:cs="Arial"/>
        </w:rPr>
        <w:t>Disputed election—parties to proceeding</w:t>
      </w:r>
    </w:p>
    <w:p w14:paraId="3D400FEA" w14:textId="77777777"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14:paraId="5DAF5BAC" w14:textId="77777777" w:rsidR="00D94935" w:rsidRPr="00140BF9" w:rsidRDefault="00D94935" w:rsidP="00D94935">
      <w:pPr>
        <w:pStyle w:val="AmdtsEntryHd"/>
        <w:rPr>
          <w:rFonts w:cs="Arial"/>
        </w:rPr>
      </w:pPr>
      <w:r w:rsidRPr="00140BF9">
        <w:rPr>
          <w:rFonts w:cs="Arial"/>
        </w:rPr>
        <w:t>Disputed election—particulars of contested ballot papers</w:t>
      </w:r>
    </w:p>
    <w:p w14:paraId="2B5CC342" w14:textId="77777777"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14:paraId="20BB726D" w14:textId="77777777" w:rsidR="00D94935" w:rsidRPr="00140BF9" w:rsidRDefault="00D94935" w:rsidP="00D94935">
      <w:pPr>
        <w:pStyle w:val="AmdtsEntryHd"/>
        <w:rPr>
          <w:rFonts w:cs="Arial"/>
        </w:rPr>
      </w:pPr>
      <w:r w:rsidRPr="00140BF9">
        <w:rPr>
          <w:rFonts w:cs="Arial"/>
        </w:rPr>
        <w:t>Disputed election—countercharges</w:t>
      </w:r>
    </w:p>
    <w:p w14:paraId="522182F5" w14:textId="77777777"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14:paraId="6AA9D628" w14:textId="77777777" w:rsidR="00D94935" w:rsidRPr="00140BF9" w:rsidRDefault="00D94935" w:rsidP="00D94935">
      <w:pPr>
        <w:pStyle w:val="AmdtsEntryHd"/>
        <w:rPr>
          <w:rFonts w:cs="Arial"/>
        </w:rPr>
      </w:pPr>
      <w:r w:rsidRPr="00140BF9">
        <w:rPr>
          <w:rFonts w:cs="Arial"/>
        </w:rPr>
        <w:t>Disputed election—time of trial etc</w:t>
      </w:r>
    </w:p>
    <w:p w14:paraId="10899E9E" w14:textId="77777777"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14:paraId="0A96BDF6" w14:textId="77777777" w:rsidR="00D94935" w:rsidRPr="00140BF9" w:rsidRDefault="00D94935" w:rsidP="00D94935">
      <w:pPr>
        <w:pStyle w:val="AmdtsEntryHd"/>
        <w:rPr>
          <w:rFonts w:cs="Arial"/>
        </w:rPr>
      </w:pPr>
      <w:r w:rsidRPr="00140BF9">
        <w:rPr>
          <w:rFonts w:cs="Arial"/>
        </w:rPr>
        <w:t>Disputed election—substitution of plaintiff</w:t>
      </w:r>
    </w:p>
    <w:p w14:paraId="54024070" w14:textId="77777777"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14:paraId="756ED9C2" w14:textId="77777777" w:rsidR="00D94935" w:rsidRPr="00140BF9" w:rsidRDefault="00D94935" w:rsidP="00D94935">
      <w:pPr>
        <w:pStyle w:val="AmdtsEntryHd"/>
        <w:rPr>
          <w:rFonts w:cs="Arial"/>
        </w:rPr>
      </w:pPr>
      <w:r w:rsidRPr="00140BF9">
        <w:rPr>
          <w:rFonts w:cs="Arial"/>
        </w:rPr>
        <w:t>Disputed election—withdrawal of defendant</w:t>
      </w:r>
    </w:p>
    <w:p w14:paraId="38A4D5D9" w14:textId="77777777"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14:paraId="26ACAEBD" w14:textId="77777777" w:rsidR="00D94935" w:rsidRPr="00140BF9" w:rsidRDefault="00D94935" w:rsidP="00D94935">
      <w:pPr>
        <w:pStyle w:val="AmdtsEntryHd"/>
        <w:rPr>
          <w:rFonts w:cs="Arial"/>
        </w:rPr>
      </w:pPr>
      <w:r w:rsidRPr="00140BF9">
        <w:rPr>
          <w:rFonts w:cs="Arial"/>
        </w:rPr>
        <w:t>Disputed election—substitution of defendant</w:t>
      </w:r>
    </w:p>
    <w:p w14:paraId="49B85862" w14:textId="77777777"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14:paraId="40238BA2" w14:textId="77777777" w:rsidR="00D94935" w:rsidRPr="00140BF9" w:rsidRDefault="00D94935" w:rsidP="00D94935">
      <w:pPr>
        <w:pStyle w:val="AmdtsEntryHd"/>
        <w:rPr>
          <w:rFonts w:cs="Arial"/>
        </w:rPr>
      </w:pPr>
      <w:r w:rsidRPr="00140BF9">
        <w:rPr>
          <w:rFonts w:cs="Arial"/>
        </w:rPr>
        <w:lastRenderedPageBreak/>
        <w:t>Question referred—parties to proceeding</w:t>
      </w:r>
    </w:p>
    <w:p w14:paraId="2EB08C23" w14:textId="77777777"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14:paraId="45FCDCBA" w14:textId="77777777" w:rsidR="00D94935" w:rsidRPr="00140BF9" w:rsidRDefault="00D94935" w:rsidP="00D94935">
      <w:pPr>
        <w:pStyle w:val="AmdtsEntryHd"/>
        <w:rPr>
          <w:rFonts w:cs="Arial"/>
        </w:rPr>
      </w:pPr>
      <w:r w:rsidRPr="00140BF9">
        <w:rPr>
          <w:rFonts w:cs="Arial"/>
        </w:rPr>
        <w:t>Electoral matters—better particulars</w:t>
      </w:r>
    </w:p>
    <w:p w14:paraId="10ACA663" w14:textId="77777777"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14:paraId="4A77DD23" w14:textId="77777777" w:rsidR="00D94935" w:rsidRPr="00140BF9" w:rsidRDefault="00D94935" w:rsidP="00D94935">
      <w:pPr>
        <w:pStyle w:val="AmdtsEntryHd"/>
        <w:rPr>
          <w:rFonts w:cs="Arial"/>
        </w:rPr>
      </w:pPr>
      <w:r w:rsidRPr="00140BF9">
        <w:rPr>
          <w:rFonts w:cs="Arial"/>
        </w:rPr>
        <w:t>Definitions—div 3.7.1</w:t>
      </w:r>
    </w:p>
    <w:p w14:paraId="736B51E4" w14:textId="77777777"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14:paraId="77319149" w14:textId="77777777" w:rsidR="00D94935" w:rsidRPr="00140BF9" w:rsidRDefault="00D94935" w:rsidP="00D94935">
      <w:pPr>
        <w:pStyle w:val="AmdtsEntryHd"/>
        <w:rPr>
          <w:rFonts w:cs="Arial"/>
        </w:rPr>
      </w:pPr>
      <w:r w:rsidRPr="00140BF9">
        <w:rPr>
          <w:rFonts w:cs="Arial"/>
        </w:rPr>
        <w:t>Foreign confiscation orders—register</w:t>
      </w:r>
    </w:p>
    <w:p w14:paraId="439F884B" w14:textId="77777777"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14:paraId="5A3C78F1" w14:textId="77777777" w:rsidR="00D94935" w:rsidRPr="00140BF9" w:rsidRDefault="00D94935" w:rsidP="00D94935">
      <w:pPr>
        <w:pStyle w:val="AmdtsEntryHd"/>
        <w:rPr>
          <w:rFonts w:cs="Arial"/>
        </w:rPr>
      </w:pPr>
      <w:r w:rsidRPr="00140BF9">
        <w:rPr>
          <w:rFonts w:cs="Arial"/>
        </w:rPr>
        <w:t>Foreign confiscation orders—registration</w:t>
      </w:r>
    </w:p>
    <w:p w14:paraId="5CF88B44" w14:textId="77777777"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14:paraId="4603A81D" w14:textId="77777777" w:rsidR="00D94935" w:rsidRPr="00140BF9" w:rsidRDefault="00D94935" w:rsidP="00D94935">
      <w:pPr>
        <w:pStyle w:val="AmdtsEntryHd"/>
        <w:rPr>
          <w:rFonts w:cs="Arial"/>
        </w:rPr>
      </w:pPr>
      <w:r w:rsidRPr="00140BF9">
        <w:rPr>
          <w:rFonts w:cs="Arial"/>
        </w:rPr>
        <w:t>Foreign confiscation orders—proceedings for registration</w:t>
      </w:r>
    </w:p>
    <w:p w14:paraId="15553668" w14:textId="77777777"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14:paraId="0114ED68" w14:textId="77777777" w:rsidR="00D94935" w:rsidRPr="00140BF9" w:rsidRDefault="00D94935" w:rsidP="00D94935">
      <w:pPr>
        <w:pStyle w:val="AmdtsEntryHd"/>
        <w:rPr>
          <w:rFonts w:cs="Arial"/>
        </w:rPr>
      </w:pPr>
      <w:r w:rsidRPr="00140BF9">
        <w:rPr>
          <w:rFonts w:cs="Arial"/>
        </w:rPr>
        <w:t>Foreign confiscation orders—when registration cancelled</w:t>
      </w:r>
    </w:p>
    <w:p w14:paraId="1AE4560C" w14:textId="77777777"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14:paraId="44C5C4BB" w14:textId="77777777" w:rsidR="00D94935" w:rsidRPr="00140BF9" w:rsidRDefault="00D94935" w:rsidP="00D94935">
      <w:pPr>
        <w:pStyle w:val="AmdtsEntryHd"/>
        <w:rPr>
          <w:rFonts w:cs="Arial"/>
        </w:rPr>
      </w:pPr>
      <w:r w:rsidRPr="00140BF9">
        <w:rPr>
          <w:rFonts w:cs="Arial"/>
        </w:rPr>
        <w:t>Definitions—div 3.7.2</w:t>
      </w:r>
    </w:p>
    <w:p w14:paraId="72190C04" w14:textId="77777777"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14:paraId="45EEE1F3" w14:textId="77777777" w:rsidR="00D94935" w:rsidRPr="00140BF9" w:rsidRDefault="00D94935" w:rsidP="00D94935">
      <w:pPr>
        <w:pStyle w:val="AmdtsEntryHd"/>
        <w:rPr>
          <w:rFonts w:cs="Arial"/>
        </w:rPr>
      </w:pPr>
      <w:r w:rsidRPr="00140BF9">
        <w:rPr>
          <w:rFonts w:cs="Arial"/>
        </w:rPr>
        <w:t>Interstate confiscation orders—register</w:t>
      </w:r>
    </w:p>
    <w:p w14:paraId="785F01B6" w14:textId="77777777"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14:paraId="6FD1AC88" w14:textId="77777777" w:rsidR="00D94935" w:rsidRPr="00140BF9" w:rsidRDefault="00D94935" w:rsidP="00D94935">
      <w:pPr>
        <w:pStyle w:val="AmdtsEntryHd"/>
        <w:rPr>
          <w:rFonts w:cs="Arial"/>
        </w:rPr>
      </w:pPr>
      <w:r w:rsidRPr="00140BF9">
        <w:rPr>
          <w:rFonts w:cs="Arial"/>
        </w:rPr>
        <w:t>Interstate confiscation orders—registration</w:t>
      </w:r>
    </w:p>
    <w:p w14:paraId="59D4E2B4" w14:textId="77777777"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14:paraId="5709F2A0" w14:textId="77777777" w:rsidR="00D94935" w:rsidRPr="00140BF9" w:rsidRDefault="00D94935" w:rsidP="00D94935">
      <w:pPr>
        <w:pStyle w:val="AmdtsEntryHd"/>
        <w:rPr>
          <w:rFonts w:cs="Arial"/>
        </w:rPr>
      </w:pPr>
      <w:r w:rsidRPr="00140BF9">
        <w:rPr>
          <w:rFonts w:cs="Arial"/>
        </w:rPr>
        <w:t>Interstate confiscation orders—proceedings for registration</w:t>
      </w:r>
    </w:p>
    <w:p w14:paraId="33ADB8CC" w14:textId="77777777"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14:paraId="2A972754" w14:textId="77777777" w:rsidR="00D94935" w:rsidRPr="00140BF9" w:rsidRDefault="00D94935" w:rsidP="00D94935">
      <w:pPr>
        <w:pStyle w:val="AmdtsEntryHd"/>
        <w:rPr>
          <w:rFonts w:cs="Arial"/>
        </w:rPr>
      </w:pPr>
      <w:r w:rsidRPr="00140BF9">
        <w:rPr>
          <w:rFonts w:cs="Arial"/>
        </w:rPr>
        <w:t>Interstate confiscation orders—when registration cancelled</w:t>
      </w:r>
    </w:p>
    <w:p w14:paraId="03CC845B" w14:textId="77777777"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14:paraId="57FE4B6F" w14:textId="77777777" w:rsidR="00D94935" w:rsidRPr="00140BF9" w:rsidRDefault="00D94935" w:rsidP="00D94935">
      <w:pPr>
        <w:pStyle w:val="AmdtsEntryHd"/>
        <w:rPr>
          <w:rFonts w:cs="Arial"/>
        </w:rPr>
      </w:pPr>
      <w:r w:rsidRPr="00140BF9">
        <w:rPr>
          <w:rFonts w:cs="Arial"/>
        </w:rPr>
        <w:t>Interstate confiscation orders—filing of amendments etc</w:t>
      </w:r>
    </w:p>
    <w:p w14:paraId="51A0B9E4" w14:textId="77777777"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14:paraId="1E082E21" w14:textId="77777777" w:rsidR="00D94935" w:rsidRPr="00140BF9" w:rsidRDefault="00D94935" w:rsidP="00D94935">
      <w:pPr>
        <w:pStyle w:val="AmdtsEntryHd"/>
        <w:rPr>
          <w:rFonts w:cs="Arial"/>
        </w:rPr>
      </w:pPr>
      <w:r w:rsidRPr="00140BF9">
        <w:rPr>
          <w:rFonts w:cs="Arial"/>
        </w:rPr>
        <w:t>Definitions—pt 3.8</w:t>
      </w:r>
    </w:p>
    <w:p w14:paraId="3ADE7AB6" w14:textId="77777777"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14:paraId="04165FFA" w14:textId="77777777" w:rsidR="00D94935" w:rsidRPr="00140BF9" w:rsidRDefault="00D94935" w:rsidP="00D94935">
      <w:pPr>
        <w:pStyle w:val="AmdtsEntryHd"/>
        <w:rPr>
          <w:rFonts w:cs="Arial"/>
        </w:rPr>
      </w:pPr>
      <w:r w:rsidRPr="00140BF9">
        <w:rPr>
          <w:rFonts w:cs="Arial"/>
        </w:rPr>
        <w:t>Terms used in Foreign Judgments Act</w:t>
      </w:r>
    </w:p>
    <w:p w14:paraId="696CB4B6" w14:textId="77777777"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14:paraId="0A5DA17B" w14:textId="77777777" w:rsidR="00D94935" w:rsidRPr="00140BF9" w:rsidRDefault="00D94935" w:rsidP="00D94935">
      <w:pPr>
        <w:pStyle w:val="AmdtsEntryHd"/>
        <w:rPr>
          <w:rFonts w:cs="Arial"/>
        </w:rPr>
      </w:pPr>
      <w:r w:rsidRPr="00140BF9">
        <w:rPr>
          <w:rFonts w:cs="Arial"/>
        </w:rPr>
        <w:t>Application—pt 3.8</w:t>
      </w:r>
    </w:p>
    <w:p w14:paraId="4508ACB9" w14:textId="77777777"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14:paraId="78D70228" w14:textId="77777777" w:rsidR="00D94935" w:rsidRPr="00140BF9" w:rsidRDefault="00D94935" w:rsidP="00D94935">
      <w:pPr>
        <w:pStyle w:val="AmdtsEntryHd"/>
        <w:rPr>
          <w:rFonts w:cs="Arial"/>
        </w:rPr>
      </w:pPr>
      <w:r w:rsidRPr="00140BF9">
        <w:rPr>
          <w:rFonts w:cs="Arial"/>
        </w:rPr>
        <w:t>Foreign judgment—application for registration</w:t>
      </w:r>
    </w:p>
    <w:p w14:paraId="6B7AA746" w14:textId="77777777"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14:paraId="5B701440" w14:textId="77777777" w:rsidR="00D94935" w:rsidRPr="00140BF9" w:rsidRDefault="00D94935" w:rsidP="00D94935">
      <w:pPr>
        <w:pStyle w:val="AmdtsEntryHd"/>
        <w:rPr>
          <w:rFonts w:cs="Arial"/>
        </w:rPr>
      </w:pPr>
      <w:r w:rsidRPr="00140BF9">
        <w:rPr>
          <w:rFonts w:cs="Arial"/>
        </w:rPr>
        <w:t>Foreign judgment—evidence in support of application for registration</w:t>
      </w:r>
    </w:p>
    <w:p w14:paraId="75C5C3C6" w14:textId="77777777"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14:paraId="3EF46BAE" w14:textId="3BE99604"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70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14:paraId="41D3C9A7" w14:textId="77777777" w:rsidR="00D94935" w:rsidRPr="00140BF9" w:rsidRDefault="00D94935" w:rsidP="00D94935">
      <w:pPr>
        <w:pStyle w:val="AmdtsEntryHd"/>
        <w:rPr>
          <w:rFonts w:cs="Arial"/>
        </w:rPr>
      </w:pPr>
      <w:r w:rsidRPr="00140BF9">
        <w:rPr>
          <w:rFonts w:cs="Arial"/>
        </w:rPr>
        <w:lastRenderedPageBreak/>
        <w:t>Foreign judgment—security for costs of application for registration</w:t>
      </w:r>
    </w:p>
    <w:p w14:paraId="74EBE488" w14:textId="77777777"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14:paraId="18AB1F95" w14:textId="77777777" w:rsidR="00D94935" w:rsidRPr="00140BF9" w:rsidRDefault="00D94935" w:rsidP="00D94935">
      <w:pPr>
        <w:pStyle w:val="AmdtsEntryHd"/>
        <w:rPr>
          <w:rFonts w:cs="Arial"/>
        </w:rPr>
      </w:pPr>
      <w:r w:rsidRPr="00140BF9">
        <w:rPr>
          <w:rFonts w:cs="Arial"/>
        </w:rPr>
        <w:t>Foreign judgment—order for registration</w:t>
      </w:r>
    </w:p>
    <w:p w14:paraId="77E75970" w14:textId="77777777"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14:paraId="015F1461" w14:textId="77777777" w:rsidR="00D94935" w:rsidRPr="00140BF9" w:rsidRDefault="00D94935" w:rsidP="00D94935">
      <w:pPr>
        <w:pStyle w:val="AmdtsEntryHd"/>
        <w:rPr>
          <w:rFonts w:cs="Arial"/>
        </w:rPr>
      </w:pPr>
      <w:r w:rsidRPr="00140BF9">
        <w:rPr>
          <w:rFonts w:cs="Arial"/>
        </w:rPr>
        <w:t>Foreign judgment—register</w:t>
      </w:r>
    </w:p>
    <w:p w14:paraId="379D75ED" w14:textId="77777777"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14:paraId="2EC1D0C7" w14:textId="77777777" w:rsidR="00D94935" w:rsidRPr="00140BF9" w:rsidRDefault="00D94935" w:rsidP="00D94935">
      <w:pPr>
        <w:pStyle w:val="AmdtsEntryHd"/>
        <w:rPr>
          <w:rFonts w:cs="Arial"/>
        </w:rPr>
      </w:pPr>
      <w:r w:rsidRPr="00140BF9">
        <w:rPr>
          <w:rFonts w:cs="Arial"/>
        </w:rPr>
        <w:t>Foreign judgment—registration</w:t>
      </w:r>
    </w:p>
    <w:p w14:paraId="5C7332C4" w14:textId="77777777"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14:paraId="4A6F6630" w14:textId="564E5AA0"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7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14:paraId="2EB0293D" w14:textId="77777777" w:rsidR="00D94935" w:rsidRPr="00140BF9" w:rsidRDefault="00D94935" w:rsidP="00D94935">
      <w:pPr>
        <w:pStyle w:val="AmdtsEntryHd"/>
        <w:rPr>
          <w:rFonts w:cs="Arial"/>
        </w:rPr>
      </w:pPr>
      <w:r w:rsidRPr="00140BF9">
        <w:rPr>
          <w:rFonts w:cs="Arial"/>
        </w:rPr>
        <w:t>Foreign judgment—notice of registration</w:t>
      </w:r>
    </w:p>
    <w:p w14:paraId="372ACEEB" w14:textId="77777777"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14:paraId="0050EB56" w14:textId="77777777" w:rsidR="00D94935" w:rsidRPr="00140BF9" w:rsidRDefault="00D94935" w:rsidP="00D94935">
      <w:pPr>
        <w:pStyle w:val="AmdtsEntryHd"/>
        <w:rPr>
          <w:rFonts w:cs="Arial"/>
        </w:rPr>
      </w:pPr>
      <w:r w:rsidRPr="00140BF9">
        <w:rPr>
          <w:rFonts w:cs="Arial"/>
        </w:rPr>
        <w:t>Notice of registration—affidavit of service to be filed</w:t>
      </w:r>
    </w:p>
    <w:p w14:paraId="3B60ED2D" w14:textId="77777777"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14:paraId="1077B443" w14:textId="77777777" w:rsidR="00D94935" w:rsidRPr="00140BF9" w:rsidRDefault="00D94935" w:rsidP="00D94935">
      <w:pPr>
        <w:pStyle w:val="AmdtsEntryHd"/>
        <w:rPr>
          <w:rFonts w:cs="Arial"/>
        </w:rPr>
      </w:pPr>
      <w:r w:rsidRPr="00140BF9">
        <w:rPr>
          <w:rFonts w:cs="Arial"/>
        </w:rPr>
        <w:t>Registration of judgment—application to set aside</w:t>
      </w:r>
    </w:p>
    <w:p w14:paraId="5B4B3931" w14:textId="77777777"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14:paraId="6FDDF83F" w14:textId="77777777" w:rsidR="00D94935" w:rsidRPr="00140BF9" w:rsidRDefault="00D94935" w:rsidP="00D94935">
      <w:pPr>
        <w:pStyle w:val="AmdtsEntryHd"/>
        <w:rPr>
          <w:rFonts w:cs="Arial"/>
        </w:rPr>
      </w:pPr>
      <w:r w:rsidRPr="00140BF9">
        <w:rPr>
          <w:rFonts w:cs="Arial"/>
        </w:rPr>
        <w:t>Foreign judgment—enforcement</w:t>
      </w:r>
    </w:p>
    <w:p w14:paraId="318974DC" w14:textId="77777777"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14:paraId="0154EC06" w14:textId="77777777" w:rsidR="00D94935" w:rsidRPr="00140BF9" w:rsidRDefault="00D94935" w:rsidP="00D94935">
      <w:pPr>
        <w:pStyle w:val="AmdtsEntryHd"/>
        <w:rPr>
          <w:rFonts w:cs="Arial"/>
        </w:rPr>
      </w:pPr>
      <w:r w:rsidRPr="00140BF9">
        <w:rPr>
          <w:rFonts w:cs="Arial"/>
        </w:rPr>
        <w:t>Australian judgment—certificate for foreign registration</w:t>
      </w:r>
    </w:p>
    <w:p w14:paraId="31EF5C53" w14:textId="77777777"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14:paraId="46B5B432" w14:textId="305CAC18"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7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14:paraId="43CEB18D" w14:textId="77777777" w:rsidR="00D94935" w:rsidRPr="00140BF9" w:rsidRDefault="00D94935" w:rsidP="00D94935">
      <w:pPr>
        <w:pStyle w:val="AmdtsEntryHd"/>
        <w:rPr>
          <w:rFonts w:cs="Arial"/>
        </w:rPr>
      </w:pPr>
      <w:r w:rsidRPr="00140BF9">
        <w:rPr>
          <w:rFonts w:cs="Arial"/>
        </w:rPr>
        <w:t>Definitions—pt 3.9</w:t>
      </w:r>
    </w:p>
    <w:p w14:paraId="6B7E4609" w14:textId="77777777"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14:paraId="6651C2F9" w14:textId="77777777" w:rsidR="00D94935" w:rsidRPr="00140BF9" w:rsidRDefault="00D94935" w:rsidP="00D94935">
      <w:pPr>
        <w:pStyle w:val="AmdtsEntryHd"/>
        <w:rPr>
          <w:rFonts w:cs="Arial"/>
        </w:rPr>
      </w:pPr>
      <w:r w:rsidRPr="00140BF9">
        <w:rPr>
          <w:rFonts w:cs="Arial"/>
        </w:rPr>
        <w:t>Application—pt 3.9</w:t>
      </w:r>
    </w:p>
    <w:p w14:paraId="69B1C676" w14:textId="77777777"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14:paraId="64178E4F" w14:textId="77777777" w:rsidR="00D94935" w:rsidRPr="00140BF9" w:rsidRDefault="00D94935" w:rsidP="00D94935">
      <w:pPr>
        <w:pStyle w:val="AmdtsEntryHd"/>
        <w:rPr>
          <w:rFonts w:cs="Arial"/>
        </w:rPr>
      </w:pPr>
      <w:r w:rsidRPr="00140BF9">
        <w:rPr>
          <w:rFonts w:cs="Arial"/>
        </w:rPr>
        <w:t>Habeas corpus—application and service</w:t>
      </w:r>
    </w:p>
    <w:p w14:paraId="76BB46AF" w14:textId="77777777"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14:paraId="0993AD8D" w14:textId="17230881"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70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14:paraId="0175A503" w14:textId="77777777" w:rsidR="00D94935" w:rsidRPr="00140BF9" w:rsidRDefault="00D94935" w:rsidP="00D94935">
      <w:pPr>
        <w:pStyle w:val="AmdtsEntryHd"/>
        <w:rPr>
          <w:rFonts w:cs="Arial"/>
        </w:rPr>
      </w:pPr>
      <w:r w:rsidRPr="00140BF9">
        <w:rPr>
          <w:rFonts w:cs="Arial"/>
        </w:rPr>
        <w:t>Habeas corpus—parties</w:t>
      </w:r>
    </w:p>
    <w:p w14:paraId="19480CB4" w14:textId="77777777"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14:paraId="7C1C1A19" w14:textId="77777777" w:rsidR="00D94935" w:rsidRPr="00140BF9" w:rsidRDefault="00D94935" w:rsidP="00D94935">
      <w:pPr>
        <w:pStyle w:val="AmdtsEntryHd"/>
        <w:rPr>
          <w:rFonts w:cs="Arial"/>
        </w:rPr>
      </w:pPr>
      <w:r w:rsidRPr="00140BF9">
        <w:rPr>
          <w:rFonts w:cs="Arial"/>
        </w:rPr>
        <w:t>Habeas corpus—procedure on application etc</w:t>
      </w:r>
    </w:p>
    <w:p w14:paraId="5D222C13" w14:textId="77777777"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14:paraId="0301C839" w14:textId="3A32DECA"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71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766AD4B9" w14:textId="77777777" w:rsidR="00D94935" w:rsidRPr="00140BF9" w:rsidRDefault="00D94935" w:rsidP="00D94935">
      <w:pPr>
        <w:pStyle w:val="AmdtsEntryHd"/>
        <w:rPr>
          <w:rFonts w:cs="Arial"/>
        </w:rPr>
      </w:pPr>
      <w:r w:rsidRPr="00140BF9">
        <w:rPr>
          <w:rFonts w:cs="Arial"/>
        </w:rPr>
        <w:t>Habeas corpus—return of order</w:t>
      </w:r>
    </w:p>
    <w:p w14:paraId="7B6FA8E1" w14:textId="77777777"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14:paraId="05AEB142" w14:textId="77777777" w:rsidR="00D94935" w:rsidRPr="00140BF9" w:rsidRDefault="00D94935" w:rsidP="00D94935">
      <w:pPr>
        <w:pStyle w:val="AmdtsEntryHd"/>
        <w:rPr>
          <w:rFonts w:cs="Arial"/>
        </w:rPr>
      </w:pPr>
      <w:r w:rsidRPr="00140BF9">
        <w:rPr>
          <w:rFonts w:cs="Arial"/>
        </w:rPr>
        <w:t>Definitions—pt 3.10</w:t>
      </w:r>
    </w:p>
    <w:p w14:paraId="19D2EBA6" w14:textId="77777777"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14:paraId="4BA6FB66" w14:textId="77777777" w:rsidR="00D94935" w:rsidRPr="00140BF9" w:rsidRDefault="00D94935" w:rsidP="00D94935">
      <w:pPr>
        <w:pStyle w:val="AmdtsEntryHd"/>
        <w:rPr>
          <w:rFonts w:cs="Arial"/>
        </w:rPr>
      </w:pPr>
      <w:r w:rsidRPr="00140BF9">
        <w:rPr>
          <w:rFonts w:cs="Arial"/>
        </w:rPr>
        <w:t>Application—pt 3.10</w:t>
      </w:r>
    </w:p>
    <w:p w14:paraId="60074574" w14:textId="77777777"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14:paraId="12006556" w14:textId="77777777" w:rsidR="00D94935" w:rsidRPr="00140BF9" w:rsidRDefault="00D94935" w:rsidP="00D94935">
      <w:pPr>
        <w:pStyle w:val="AmdtsEntryHd"/>
        <w:rPr>
          <w:rFonts w:cs="Arial"/>
        </w:rPr>
      </w:pPr>
      <w:r w:rsidRPr="00140BF9">
        <w:rPr>
          <w:rFonts w:cs="Arial"/>
        </w:rPr>
        <w:lastRenderedPageBreak/>
        <w:t>Judicial review—prerogative writs etc abolished</w:t>
      </w:r>
    </w:p>
    <w:p w14:paraId="343C40D3" w14:textId="77777777"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14:paraId="068FBB6B" w14:textId="77777777" w:rsidR="00D94935" w:rsidRPr="00140BF9" w:rsidRDefault="00D94935" w:rsidP="00D94935">
      <w:pPr>
        <w:pStyle w:val="AmdtsEntryHd"/>
        <w:rPr>
          <w:rFonts w:cs="Arial"/>
        </w:rPr>
      </w:pPr>
      <w:r w:rsidRPr="00140BF9">
        <w:rPr>
          <w:rFonts w:cs="Arial"/>
        </w:rPr>
        <w:t>Judicial review—relief previously granted by prerogative writ etc</w:t>
      </w:r>
    </w:p>
    <w:p w14:paraId="5315A667" w14:textId="77777777"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14:paraId="009D8F8B" w14:textId="77777777" w:rsidR="00D94935" w:rsidRPr="00140BF9" w:rsidRDefault="00D94935" w:rsidP="00D94935">
      <w:pPr>
        <w:pStyle w:val="AmdtsEntryHd"/>
        <w:rPr>
          <w:rFonts w:cs="Arial"/>
        </w:rPr>
      </w:pPr>
      <w:r w:rsidRPr="00140BF9">
        <w:rPr>
          <w:rFonts w:cs="Arial"/>
        </w:rPr>
        <w:t>Judicial review—other jurisdiction not excluded</w:t>
      </w:r>
    </w:p>
    <w:p w14:paraId="37987DF8" w14:textId="77777777"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14:paraId="70256EF4" w14:textId="77777777" w:rsidR="00D94935" w:rsidRPr="00140BF9" w:rsidRDefault="00D94935" w:rsidP="00D94935">
      <w:pPr>
        <w:pStyle w:val="AmdtsEntryHd"/>
        <w:rPr>
          <w:rFonts w:cs="Arial"/>
        </w:rPr>
      </w:pPr>
      <w:r w:rsidRPr="00140BF9">
        <w:rPr>
          <w:rFonts w:cs="Arial"/>
        </w:rPr>
        <w:t>Judicial review—application etc</w:t>
      </w:r>
    </w:p>
    <w:p w14:paraId="671E8677" w14:textId="77777777"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14:paraId="19197EF1" w14:textId="77777777" w:rsidR="00D94935" w:rsidRPr="00140BF9" w:rsidRDefault="00D94935" w:rsidP="00D94935">
      <w:pPr>
        <w:pStyle w:val="AmdtsEntryHd"/>
        <w:rPr>
          <w:rFonts w:cs="Arial"/>
        </w:rPr>
      </w:pPr>
      <w:r w:rsidRPr="00140BF9">
        <w:rPr>
          <w:rFonts w:cs="Arial"/>
        </w:rPr>
        <w:t>Judicial review—time for starting proceeding</w:t>
      </w:r>
    </w:p>
    <w:p w14:paraId="022792C2" w14:textId="77777777"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14:paraId="4335E096" w14:textId="77777777" w:rsidR="00D94935" w:rsidRPr="00140BF9" w:rsidRDefault="00D94935" w:rsidP="00D94935">
      <w:pPr>
        <w:pStyle w:val="AmdtsEntryHd"/>
        <w:rPr>
          <w:rFonts w:cs="Arial"/>
        </w:rPr>
      </w:pPr>
      <w:r w:rsidRPr="00140BF9">
        <w:rPr>
          <w:rFonts w:cs="Arial"/>
        </w:rPr>
        <w:t>Judicial review—declaration or injunction</w:t>
      </w:r>
    </w:p>
    <w:p w14:paraId="04F5B89C" w14:textId="77777777"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14:paraId="61B7E22E" w14:textId="77777777" w:rsidR="00D94935" w:rsidRPr="00140BF9" w:rsidRDefault="00D94935" w:rsidP="00D94935">
      <w:pPr>
        <w:pStyle w:val="AmdtsEntryHd"/>
        <w:rPr>
          <w:rFonts w:cs="Arial"/>
        </w:rPr>
      </w:pPr>
      <w:r w:rsidRPr="00140BF9">
        <w:rPr>
          <w:rFonts w:cs="Arial"/>
        </w:rPr>
        <w:t>Judicial review—other prerogative relief etc</w:t>
      </w:r>
    </w:p>
    <w:p w14:paraId="666CF0AD" w14:textId="77777777"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14:paraId="7C5A0140" w14:textId="77777777" w:rsidR="00D94935" w:rsidRPr="00140BF9" w:rsidRDefault="00D94935" w:rsidP="00D94935">
      <w:pPr>
        <w:pStyle w:val="AmdtsEntryHd"/>
        <w:rPr>
          <w:rFonts w:cs="Arial"/>
        </w:rPr>
      </w:pPr>
      <w:r w:rsidRPr="00140BF9">
        <w:rPr>
          <w:rFonts w:cs="Arial"/>
        </w:rPr>
        <w:t>Judicial review—additional orders</w:t>
      </w:r>
    </w:p>
    <w:p w14:paraId="23EEDD60" w14:textId="77777777"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14:paraId="1DAF7FB9" w14:textId="77777777" w:rsidR="00D94935" w:rsidRPr="00140BF9" w:rsidRDefault="00D94935" w:rsidP="00D94935">
      <w:pPr>
        <w:pStyle w:val="AmdtsEntryHd"/>
        <w:rPr>
          <w:rFonts w:cs="Arial"/>
        </w:rPr>
      </w:pPr>
      <w:r w:rsidRPr="00140BF9">
        <w:rPr>
          <w:rFonts w:cs="Arial"/>
        </w:rPr>
        <w:t>Judicial review—application for statutory order of review and prerogative relief etc</w:t>
      </w:r>
    </w:p>
    <w:p w14:paraId="70C3997F" w14:textId="77777777"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14:paraId="1AE48D4F" w14:textId="77777777"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14:paraId="4D0DC007" w14:textId="77777777"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14:paraId="238CAC74" w14:textId="77777777" w:rsidR="00D94935" w:rsidRPr="00140BF9" w:rsidRDefault="00D94935" w:rsidP="00D94935">
      <w:pPr>
        <w:pStyle w:val="AmdtsEntryHd"/>
        <w:rPr>
          <w:rFonts w:cs="Arial"/>
        </w:rPr>
      </w:pPr>
      <w:r w:rsidRPr="00140BF9">
        <w:rPr>
          <w:rFonts w:cs="Arial"/>
        </w:rPr>
        <w:t>Judicial review—filing and serving statements</w:t>
      </w:r>
    </w:p>
    <w:p w14:paraId="66C0A4CC" w14:textId="77777777"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14:paraId="077F0AF7" w14:textId="4263AB0D"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7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14:paraId="2FD46BF1" w14:textId="77777777"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14:paraId="033DB799" w14:textId="77777777"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14:paraId="71B92126" w14:textId="77777777" w:rsidR="00D94935" w:rsidRPr="00140BF9" w:rsidRDefault="00D94935" w:rsidP="00D94935">
      <w:pPr>
        <w:pStyle w:val="AmdtsEntryHd"/>
        <w:rPr>
          <w:rFonts w:cs="Arial"/>
        </w:rPr>
      </w:pPr>
      <w:r w:rsidRPr="00140BF9">
        <w:rPr>
          <w:rFonts w:cs="Arial"/>
        </w:rPr>
        <w:t>Judicial review—directions on return date</w:t>
      </w:r>
    </w:p>
    <w:p w14:paraId="6639B454" w14:textId="77777777"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14:paraId="4EC7DF4B" w14:textId="77777777"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14:paraId="64CE25D9" w14:textId="77777777"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14:paraId="538EDB5C" w14:textId="77777777" w:rsidR="00D94935" w:rsidRPr="00140BF9" w:rsidRDefault="00D94935" w:rsidP="00D94935">
      <w:pPr>
        <w:pStyle w:val="AmdtsEntryHd"/>
        <w:rPr>
          <w:rFonts w:cs="Arial"/>
        </w:rPr>
      </w:pPr>
      <w:r w:rsidRPr="00140BF9">
        <w:rPr>
          <w:rFonts w:cs="Arial"/>
        </w:rPr>
        <w:t>Judicial review—additional requirements for certiorari order</w:t>
      </w:r>
    </w:p>
    <w:p w14:paraId="2A8236FC" w14:textId="77777777"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14:paraId="60841DDD" w14:textId="77777777" w:rsidR="00D94935" w:rsidRPr="00140BF9" w:rsidRDefault="00D94935" w:rsidP="00D94935">
      <w:pPr>
        <w:pStyle w:val="AmdtsEntryHd"/>
        <w:rPr>
          <w:rFonts w:cs="Arial"/>
        </w:rPr>
      </w:pPr>
      <w:r w:rsidRPr="00140BF9">
        <w:rPr>
          <w:rFonts w:cs="Arial"/>
        </w:rPr>
        <w:t>Judicial review—no proceeding in relation to things done under mandamus order</w:t>
      </w:r>
    </w:p>
    <w:p w14:paraId="477A8997" w14:textId="77777777"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14:paraId="42FD4BAF" w14:textId="77777777" w:rsidR="00D94935" w:rsidRPr="00140BF9" w:rsidRDefault="00D94935" w:rsidP="00D94935">
      <w:pPr>
        <w:pStyle w:val="AmdtsEntryHd"/>
        <w:rPr>
          <w:rFonts w:cs="Arial"/>
        </w:rPr>
      </w:pPr>
      <w:r w:rsidRPr="00140BF9">
        <w:rPr>
          <w:rFonts w:cs="Arial"/>
        </w:rPr>
        <w:lastRenderedPageBreak/>
        <w:t>Judicial review—disclaimer in relation to quo warranto order</w:t>
      </w:r>
    </w:p>
    <w:p w14:paraId="0A4D4CA6" w14:textId="77777777"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14:paraId="52822823" w14:textId="6C9B415C"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71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14:paraId="664AAA84" w14:textId="77777777" w:rsidR="00D94935" w:rsidRPr="00140BF9" w:rsidRDefault="00D94935" w:rsidP="00D94935">
      <w:pPr>
        <w:pStyle w:val="AmdtsEntryHd"/>
        <w:rPr>
          <w:rFonts w:cs="Arial"/>
        </w:rPr>
      </w:pPr>
      <w:r w:rsidRPr="00140BF9">
        <w:rPr>
          <w:rFonts w:cs="Arial"/>
        </w:rPr>
        <w:t>Judicial review—proceeding in relation to statement of reasons</w:t>
      </w:r>
    </w:p>
    <w:p w14:paraId="597C880E" w14:textId="77777777"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14:paraId="197C75D4" w14:textId="77777777" w:rsidR="00D94935" w:rsidRPr="00140BF9" w:rsidRDefault="00D94935" w:rsidP="00D94935">
      <w:pPr>
        <w:pStyle w:val="AmdtsEntryHd"/>
        <w:rPr>
          <w:rFonts w:cs="Arial"/>
        </w:rPr>
      </w:pPr>
      <w:r w:rsidRPr="00140BF9">
        <w:rPr>
          <w:rFonts w:cs="Arial"/>
        </w:rPr>
        <w:t>Definitions—pt 3.11</w:t>
      </w:r>
    </w:p>
    <w:p w14:paraId="56C0F957" w14:textId="517C1B2A"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71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42A68B4" w14:textId="094A849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71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29FFA306" w14:textId="0395B17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71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F1DEAA8" w14:textId="394EF77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application for a costs assessment </w:t>
      </w:r>
      <w:r w:rsidRPr="00140BF9">
        <w:rPr>
          <w:rFonts w:cs="Arial"/>
        </w:rPr>
        <w:t xml:space="preserve">ins </w:t>
      </w:r>
      <w:hyperlink r:id="rId171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14:paraId="49C001D4" w14:textId="07F159D9" w:rsidR="00D94935" w:rsidRPr="00140BF9" w:rsidRDefault="00D94935" w:rsidP="00D94935">
      <w:pPr>
        <w:pStyle w:val="AmdtsEntriesDefL2"/>
        <w:rPr>
          <w:rFonts w:cs="Arial"/>
        </w:rPr>
      </w:pPr>
      <w:r w:rsidRPr="00140BF9">
        <w:rPr>
          <w:rFonts w:cs="Arial"/>
        </w:rPr>
        <w:tab/>
        <w:t xml:space="preserve">sub </w:t>
      </w:r>
      <w:hyperlink r:id="rId171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612F0D7" w14:textId="042C345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71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7FAE453D" w14:textId="531E5A9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71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5BA32CE5" w14:textId="3C7F30B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72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1DFE3139" w14:textId="07965F2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72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3BB31DFE" w14:textId="6179C82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72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1925B49" w14:textId="4A2BD20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72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6C4DA55" w14:textId="325679B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72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08F8CE6B" w14:textId="2B6C233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72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C1382B0" w14:textId="77777777" w:rsidR="00D94935" w:rsidRPr="00140BF9" w:rsidRDefault="00D94935" w:rsidP="00D94935">
      <w:pPr>
        <w:pStyle w:val="AmdtsEntryHd"/>
        <w:rPr>
          <w:rFonts w:cs="Arial"/>
        </w:rPr>
      </w:pPr>
      <w:r w:rsidRPr="00140BF9">
        <w:rPr>
          <w:rFonts w:cs="Arial"/>
        </w:rPr>
        <w:t>Terms used in Legal Profession Act</w:t>
      </w:r>
    </w:p>
    <w:p w14:paraId="23896D09" w14:textId="77777777"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14:paraId="6A28B69A" w14:textId="2EC49EC0"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7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14:paraId="36F224F6" w14:textId="77777777" w:rsidR="00D94935" w:rsidRPr="00140BF9" w:rsidRDefault="00D94935" w:rsidP="00D94935">
      <w:pPr>
        <w:pStyle w:val="AmdtsEntryHd"/>
        <w:rPr>
          <w:rFonts w:cs="Arial"/>
        </w:rPr>
      </w:pPr>
      <w:r w:rsidRPr="00140BF9">
        <w:rPr>
          <w:rFonts w:cs="Arial"/>
        </w:rPr>
        <w:t>Academic qualifications</w:t>
      </w:r>
    </w:p>
    <w:p w14:paraId="0280C43E" w14:textId="670264A2"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72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0F52DF5" w14:textId="77777777" w:rsidR="00D94935" w:rsidRPr="00140BF9" w:rsidRDefault="00D94935" w:rsidP="00D94935">
      <w:pPr>
        <w:pStyle w:val="AmdtsEntryHd"/>
        <w:rPr>
          <w:rFonts w:cs="Arial"/>
        </w:rPr>
      </w:pPr>
      <w:r w:rsidRPr="00140BF9">
        <w:rPr>
          <w:rFonts w:cs="Arial"/>
        </w:rPr>
        <w:t>Admission—approved academic qualifications—Legal Profession Act, s 21 (5)</w:t>
      </w:r>
    </w:p>
    <w:p w14:paraId="78F0C2A8" w14:textId="77777777"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14:paraId="47688FC8" w14:textId="3DE71BA4"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72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14:paraId="1160C31A" w14:textId="650A1DBF" w:rsidR="00D94935" w:rsidRDefault="00D94935" w:rsidP="00D94935">
      <w:pPr>
        <w:pStyle w:val="AmdtsEntries"/>
        <w:rPr>
          <w:rFonts w:cs="Arial"/>
        </w:rPr>
      </w:pPr>
      <w:r w:rsidRPr="00140BF9">
        <w:rPr>
          <w:rFonts w:cs="Arial"/>
        </w:rPr>
        <w:tab/>
        <w:t xml:space="preserve">sub </w:t>
      </w:r>
      <w:hyperlink r:id="rId172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8296EF2" w14:textId="14644F7B" w:rsidR="00FA6D40" w:rsidRPr="00FA6D40" w:rsidRDefault="00FA6D40" w:rsidP="00D94935">
      <w:pPr>
        <w:pStyle w:val="AmdtsEntries"/>
      </w:pPr>
      <w:r>
        <w:rPr>
          <w:rFonts w:cs="Arial"/>
        </w:rPr>
        <w:tab/>
        <w:t xml:space="preserve">am </w:t>
      </w:r>
      <w:hyperlink r:id="rId1730"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14:paraId="78922416" w14:textId="77777777" w:rsidR="00D94935" w:rsidRPr="00140BF9" w:rsidRDefault="00D94935" w:rsidP="00D94935">
      <w:pPr>
        <w:pStyle w:val="AmdtsEntryHd"/>
        <w:rPr>
          <w:rFonts w:cs="Arial"/>
        </w:rPr>
      </w:pPr>
      <w:r w:rsidRPr="00140BF9">
        <w:rPr>
          <w:rFonts w:cs="Arial"/>
        </w:rPr>
        <w:t>Approval of academic institutions</w:t>
      </w:r>
    </w:p>
    <w:p w14:paraId="197F4898" w14:textId="18C23DB4"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73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310B893" w14:textId="77777777" w:rsidR="00D94935" w:rsidRPr="00140BF9" w:rsidRDefault="00D94935" w:rsidP="00D94935">
      <w:pPr>
        <w:pStyle w:val="AmdtsEntryHd"/>
        <w:rPr>
          <w:rFonts w:cs="Arial"/>
        </w:rPr>
      </w:pPr>
      <w:r w:rsidRPr="00140BF9">
        <w:rPr>
          <w:rFonts w:cs="Arial"/>
        </w:rPr>
        <w:t>Approved academic institutions</w:t>
      </w:r>
    </w:p>
    <w:p w14:paraId="7385B292" w14:textId="77777777"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14:paraId="6B207CB4" w14:textId="399015F4"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73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14:paraId="585CF45C" w14:textId="1002AD41" w:rsidR="00D94935" w:rsidRDefault="00D94935" w:rsidP="00D94935">
      <w:pPr>
        <w:pStyle w:val="AmdtsEntries"/>
        <w:rPr>
          <w:rFonts w:cs="Arial"/>
        </w:rPr>
      </w:pPr>
      <w:r w:rsidRPr="00140BF9">
        <w:rPr>
          <w:rFonts w:cs="Arial"/>
        </w:rPr>
        <w:tab/>
        <w:t xml:space="preserve">sub </w:t>
      </w:r>
      <w:hyperlink r:id="rId17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11747B7" w14:textId="65856963" w:rsidR="00D94935" w:rsidRPr="00140BF9" w:rsidRDefault="00D94935" w:rsidP="00D94935">
      <w:pPr>
        <w:pStyle w:val="AmdtsEntries"/>
        <w:rPr>
          <w:rFonts w:cs="Arial"/>
        </w:rPr>
      </w:pPr>
      <w:r>
        <w:rPr>
          <w:rFonts w:cs="Arial"/>
        </w:rPr>
        <w:tab/>
        <w:t xml:space="preserve">am </w:t>
      </w:r>
      <w:hyperlink r:id="rId173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14:paraId="7526E63C" w14:textId="77777777" w:rsidR="00D94935" w:rsidRPr="00140BF9" w:rsidRDefault="00D94935" w:rsidP="00D94935">
      <w:pPr>
        <w:pStyle w:val="AmdtsEntryHd"/>
        <w:rPr>
          <w:rFonts w:cs="Arial"/>
        </w:rPr>
      </w:pPr>
      <w:r w:rsidRPr="00140BF9">
        <w:rPr>
          <w:rFonts w:cs="Arial"/>
        </w:rPr>
        <w:t>Monitoring and review</w:t>
      </w:r>
    </w:p>
    <w:p w14:paraId="705B72D2" w14:textId="77777777"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14:paraId="7F50E4BC" w14:textId="1FF680C8" w:rsidR="00EA4DFC" w:rsidRPr="00EA4DFC" w:rsidRDefault="00D94935" w:rsidP="00D94935">
      <w:pPr>
        <w:pStyle w:val="AmdtsEntries"/>
        <w:rPr>
          <w:rFonts w:cs="Arial"/>
        </w:rPr>
      </w:pPr>
      <w:r w:rsidRPr="00140BF9">
        <w:rPr>
          <w:rFonts w:cs="Arial"/>
        </w:rPr>
        <w:tab/>
        <w:t xml:space="preserve">sub </w:t>
      </w:r>
      <w:hyperlink r:id="rId173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5D6409A4" w14:textId="77777777" w:rsidR="00D94935" w:rsidRPr="00140BF9" w:rsidRDefault="00D94935" w:rsidP="00D94935">
      <w:pPr>
        <w:pStyle w:val="AmdtsEntryHd"/>
        <w:rPr>
          <w:rFonts w:cs="Arial"/>
        </w:rPr>
      </w:pPr>
      <w:r w:rsidRPr="00140BF9">
        <w:rPr>
          <w:rFonts w:cs="Arial"/>
        </w:rPr>
        <w:t>Approval of course of study</w:t>
      </w:r>
    </w:p>
    <w:p w14:paraId="61D2B078" w14:textId="6441A4BA"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73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AC8C7E7" w14:textId="77777777" w:rsidR="00D94935" w:rsidRPr="00140BF9" w:rsidRDefault="00D94935" w:rsidP="00D94935">
      <w:pPr>
        <w:pStyle w:val="AmdtsEntryHd"/>
        <w:rPr>
          <w:rFonts w:cs="Arial"/>
        </w:rPr>
      </w:pPr>
      <w:r w:rsidRPr="00140BF9">
        <w:rPr>
          <w:rFonts w:cs="Arial"/>
        </w:rPr>
        <w:lastRenderedPageBreak/>
        <w:t>Approval of course of study</w:t>
      </w:r>
    </w:p>
    <w:p w14:paraId="33A9E0BB" w14:textId="133CCA4C"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73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171F2A7F" w14:textId="77777777" w:rsidR="00D94935" w:rsidRPr="00140BF9" w:rsidRDefault="00D94935" w:rsidP="00D94935">
      <w:pPr>
        <w:pStyle w:val="AmdtsEntryHd"/>
        <w:rPr>
          <w:rFonts w:cs="Arial"/>
        </w:rPr>
      </w:pPr>
      <w:r w:rsidRPr="00140BF9">
        <w:rPr>
          <w:rFonts w:cs="Arial"/>
        </w:rPr>
        <w:t>Approval of subjects</w:t>
      </w:r>
    </w:p>
    <w:p w14:paraId="21AE0555" w14:textId="3673658C"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7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C0F5463" w14:textId="77777777" w:rsidR="00D94935" w:rsidRPr="00140BF9" w:rsidRDefault="00D94935" w:rsidP="00D94935">
      <w:pPr>
        <w:pStyle w:val="AmdtsEntryHd"/>
        <w:rPr>
          <w:rFonts w:cs="Arial"/>
        </w:rPr>
      </w:pPr>
      <w:r w:rsidRPr="00140BF9">
        <w:rPr>
          <w:rFonts w:cs="Arial"/>
        </w:rPr>
        <w:t>Changes to approved courses of study</w:t>
      </w:r>
    </w:p>
    <w:p w14:paraId="632530E1" w14:textId="47320B6D"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73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4D11C8E" w14:textId="77777777" w:rsidR="00D94935" w:rsidRPr="00140BF9" w:rsidRDefault="00D94935" w:rsidP="00D94935">
      <w:pPr>
        <w:pStyle w:val="AmdtsEntryHd"/>
        <w:rPr>
          <w:rFonts w:cs="Arial"/>
        </w:rPr>
      </w:pPr>
      <w:r w:rsidRPr="00140BF9">
        <w:rPr>
          <w:rFonts w:cs="Arial"/>
        </w:rPr>
        <w:t>Practical legal training</w:t>
      </w:r>
    </w:p>
    <w:p w14:paraId="05412DE2" w14:textId="574F0E08"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74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089F6B8" w14:textId="77777777" w:rsidR="00D94935" w:rsidRPr="00140BF9" w:rsidRDefault="00D94935" w:rsidP="00D94935">
      <w:pPr>
        <w:pStyle w:val="AmdtsEntryHd"/>
        <w:rPr>
          <w:rFonts w:cs="Arial"/>
        </w:rPr>
      </w:pPr>
      <w:r w:rsidRPr="00140BF9">
        <w:rPr>
          <w:rFonts w:cs="Arial"/>
        </w:rPr>
        <w:t>Practical legal training</w:t>
      </w:r>
    </w:p>
    <w:p w14:paraId="37CAAC7D" w14:textId="61C44770" w:rsidR="00D94935" w:rsidRDefault="00D94935" w:rsidP="00D94935">
      <w:pPr>
        <w:pStyle w:val="AmdtsEntries"/>
        <w:rPr>
          <w:rFonts w:cs="Arial"/>
        </w:rPr>
      </w:pPr>
      <w:r w:rsidRPr="00140BF9">
        <w:rPr>
          <w:rFonts w:cs="Arial"/>
        </w:rPr>
        <w:t>r 3607D</w:t>
      </w:r>
      <w:r w:rsidRPr="00140BF9">
        <w:rPr>
          <w:rFonts w:cs="Arial"/>
        </w:rPr>
        <w:tab/>
        <w:t xml:space="preserve">ins </w:t>
      </w:r>
      <w:hyperlink r:id="rId174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7548015D" w14:textId="7F5AE701" w:rsidR="00C11C83" w:rsidRDefault="00C11C83" w:rsidP="00D94935">
      <w:pPr>
        <w:pStyle w:val="AmdtsEntries"/>
      </w:pPr>
      <w:r>
        <w:rPr>
          <w:rFonts w:cs="Arial"/>
        </w:rPr>
        <w:tab/>
        <w:t xml:space="preserve">am </w:t>
      </w:r>
      <w:hyperlink r:id="rId1742" w:tooltip="Court Procedures Amendment Rules 2019 (No 1)" w:history="1">
        <w:r>
          <w:rPr>
            <w:rStyle w:val="charCitHyperlinkAbbrev"/>
          </w:rPr>
          <w:t>SL2019</w:t>
        </w:r>
        <w:r>
          <w:rPr>
            <w:rStyle w:val="charCitHyperlinkAbbrev"/>
          </w:rPr>
          <w:noBreakHyphen/>
          <w:t>11</w:t>
        </w:r>
      </w:hyperlink>
      <w:r>
        <w:t xml:space="preserve"> r 5</w:t>
      </w:r>
    </w:p>
    <w:p w14:paraId="66693156" w14:textId="77777777" w:rsidR="00C11C83" w:rsidRDefault="00C11C83" w:rsidP="00C11C83">
      <w:pPr>
        <w:pStyle w:val="AmdtsEntryHd"/>
      </w:pPr>
      <w:r w:rsidRPr="008B7490">
        <w:rPr>
          <w:color w:val="000000"/>
        </w:rPr>
        <w:t>Early commencement of practical legal training</w:t>
      </w:r>
    </w:p>
    <w:p w14:paraId="6C96A773" w14:textId="56D3B548" w:rsidR="00C11C83" w:rsidRPr="00C11C83" w:rsidRDefault="00C11C83" w:rsidP="00D94935">
      <w:pPr>
        <w:pStyle w:val="AmdtsEntries"/>
      </w:pPr>
      <w:r>
        <w:t>r 3607DA</w:t>
      </w:r>
      <w:r>
        <w:tab/>
        <w:t xml:space="preserve">ins </w:t>
      </w:r>
      <w:hyperlink r:id="rId1743" w:tooltip="Court Procedures Amendment Rules 2019 (No 1)" w:history="1">
        <w:r>
          <w:rPr>
            <w:rStyle w:val="charCitHyperlinkAbbrev"/>
          </w:rPr>
          <w:t>SL2019</w:t>
        </w:r>
        <w:r>
          <w:rPr>
            <w:rStyle w:val="charCitHyperlinkAbbrev"/>
          </w:rPr>
          <w:noBreakHyphen/>
          <w:t>11</w:t>
        </w:r>
      </w:hyperlink>
      <w:r>
        <w:t xml:space="preserve"> r 6</w:t>
      </w:r>
    </w:p>
    <w:p w14:paraId="6AA2E69A" w14:textId="77777777" w:rsidR="00D94935" w:rsidRPr="00140BF9" w:rsidRDefault="00D94935" w:rsidP="00D94935">
      <w:pPr>
        <w:pStyle w:val="AmdtsEntryHd"/>
        <w:rPr>
          <w:rFonts w:cs="Arial"/>
        </w:rPr>
      </w:pPr>
      <w:r w:rsidRPr="00140BF9">
        <w:rPr>
          <w:rFonts w:cs="Arial"/>
        </w:rPr>
        <w:t>Practical legal training providers and courses</w:t>
      </w:r>
    </w:p>
    <w:p w14:paraId="06759DA8" w14:textId="7D0B4BCF"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74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92DE53C" w14:textId="77777777" w:rsidR="00D94935" w:rsidRPr="00140BF9" w:rsidRDefault="00D94935" w:rsidP="00D94935">
      <w:pPr>
        <w:pStyle w:val="AmdtsEntryHd"/>
        <w:rPr>
          <w:rFonts w:cs="Arial"/>
        </w:rPr>
      </w:pPr>
      <w:r w:rsidRPr="00140BF9">
        <w:rPr>
          <w:rFonts w:cs="Arial"/>
        </w:rPr>
        <w:t>Approval of PLT providers</w:t>
      </w:r>
    </w:p>
    <w:p w14:paraId="20C01946" w14:textId="7A62E89D" w:rsidR="00D94935" w:rsidRDefault="00D94935" w:rsidP="00D94935">
      <w:pPr>
        <w:pStyle w:val="AmdtsEntries"/>
        <w:rPr>
          <w:rFonts w:cs="Arial"/>
        </w:rPr>
      </w:pPr>
      <w:r w:rsidRPr="00140BF9">
        <w:rPr>
          <w:rFonts w:cs="Arial"/>
        </w:rPr>
        <w:t>r 3607E</w:t>
      </w:r>
      <w:r w:rsidRPr="00140BF9">
        <w:rPr>
          <w:rFonts w:cs="Arial"/>
        </w:rPr>
        <w:tab/>
        <w:t xml:space="preserve">ins </w:t>
      </w:r>
      <w:hyperlink r:id="rId174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4964A2E" w14:textId="1988BB26" w:rsidR="009628A8" w:rsidRPr="009628A8" w:rsidRDefault="009628A8" w:rsidP="00D94935">
      <w:pPr>
        <w:pStyle w:val="AmdtsEntries"/>
      </w:pPr>
      <w:r>
        <w:rPr>
          <w:rFonts w:cs="Arial"/>
        </w:rPr>
        <w:tab/>
        <w:t xml:space="preserve">am </w:t>
      </w:r>
      <w:hyperlink r:id="rId1746" w:tooltip="Court Procedures Amendment Rules 2017 (No 4)" w:history="1">
        <w:r>
          <w:rPr>
            <w:rStyle w:val="charCitHyperlinkAbbrev"/>
          </w:rPr>
          <w:t>SL2017</w:t>
        </w:r>
        <w:r>
          <w:rPr>
            <w:rStyle w:val="charCitHyperlinkAbbrev"/>
          </w:rPr>
          <w:noBreakHyphen/>
          <w:t>40</w:t>
        </w:r>
      </w:hyperlink>
      <w:r>
        <w:t xml:space="preserve"> r 5</w:t>
      </w:r>
    </w:p>
    <w:p w14:paraId="14A87F96" w14:textId="77777777" w:rsidR="00D94935" w:rsidRPr="00140BF9" w:rsidRDefault="00D94935" w:rsidP="00D94935">
      <w:pPr>
        <w:pStyle w:val="AmdtsEntryHd"/>
        <w:rPr>
          <w:rFonts w:cs="Arial"/>
        </w:rPr>
      </w:pPr>
      <w:r w:rsidRPr="00140BF9">
        <w:rPr>
          <w:rFonts w:cs="Arial"/>
        </w:rPr>
        <w:t>Monitoring and review of approved PLT provider</w:t>
      </w:r>
    </w:p>
    <w:p w14:paraId="1F334BCD" w14:textId="2E5C4945"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7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DEFB4B1" w14:textId="77777777" w:rsidR="00D94935" w:rsidRPr="00140BF9" w:rsidRDefault="00D94935" w:rsidP="00D94935">
      <w:pPr>
        <w:pStyle w:val="AmdtsEntryHd"/>
        <w:rPr>
          <w:rFonts w:cs="Arial"/>
        </w:rPr>
      </w:pPr>
      <w:r w:rsidRPr="00140BF9">
        <w:rPr>
          <w:rFonts w:cs="Arial"/>
        </w:rPr>
        <w:t>Approval of training course</w:t>
      </w:r>
    </w:p>
    <w:p w14:paraId="3FF3AD23" w14:textId="621C4234"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74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245F275" w14:textId="77777777" w:rsidR="00D94935" w:rsidRPr="00140BF9" w:rsidRDefault="00D94935" w:rsidP="00D94935">
      <w:pPr>
        <w:pStyle w:val="AmdtsEntryHd"/>
        <w:rPr>
          <w:rFonts w:cs="Arial"/>
        </w:rPr>
      </w:pPr>
      <w:r w:rsidRPr="00140BF9">
        <w:rPr>
          <w:rFonts w:cs="Arial"/>
        </w:rPr>
        <w:t>Changes to approved courses of study</w:t>
      </w:r>
    </w:p>
    <w:p w14:paraId="507324B5" w14:textId="26D5C77E"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74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C54020E" w14:textId="77777777" w:rsidR="00D94935" w:rsidRPr="00140BF9" w:rsidRDefault="00D94935" w:rsidP="00D94935">
      <w:pPr>
        <w:pStyle w:val="AmdtsEntryHd"/>
        <w:rPr>
          <w:rFonts w:cs="Arial"/>
        </w:rPr>
      </w:pPr>
      <w:r w:rsidRPr="00140BF9">
        <w:rPr>
          <w:rFonts w:cs="Arial"/>
        </w:rPr>
        <w:t>Admission—application and related matters</w:t>
      </w:r>
    </w:p>
    <w:p w14:paraId="6DDFBCCF" w14:textId="7403DFCB"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75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B5B366E" w14:textId="77777777" w:rsidR="00D94935" w:rsidRPr="00140BF9" w:rsidRDefault="00D94935" w:rsidP="00D94935">
      <w:pPr>
        <w:pStyle w:val="AmdtsEntryHd"/>
        <w:rPr>
          <w:rFonts w:cs="Arial"/>
        </w:rPr>
      </w:pPr>
      <w:r w:rsidRPr="00140BF9">
        <w:rPr>
          <w:rFonts w:cs="Arial"/>
        </w:rPr>
        <w:t>Admission—application for admission</w:t>
      </w:r>
    </w:p>
    <w:p w14:paraId="3543DCB9" w14:textId="77777777"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14:paraId="221985D2" w14:textId="7209F792" w:rsidR="004745AC" w:rsidRPr="004745AC" w:rsidRDefault="00D94935" w:rsidP="004745AC">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7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752"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r w:rsidR="004745AC">
        <w:t>;</w:t>
      </w:r>
      <w:r w:rsidR="004745AC">
        <w:rPr>
          <w:rFonts w:eastAsiaTheme="minorEastAsia" w:cs="Arial"/>
          <w:szCs w:val="22"/>
          <w:lang w:eastAsia="en-AU"/>
        </w:rPr>
        <w:t xml:space="preserve"> </w:t>
      </w:r>
      <w:hyperlink r:id="rId1753" w:tooltip="Court Procedures Amendment Rules 2023 (No 2)" w:history="1">
        <w:r w:rsidR="004745AC">
          <w:rPr>
            <w:rStyle w:val="charCitHyperlinkAbbrev"/>
          </w:rPr>
          <w:t>SL2023</w:t>
        </w:r>
        <w:r w:rsidR="004745AC">
          <w:rPr>
            <w:rStyle w:val="charCitHyperlinkAbbrev"/>
          </w:rPr>
          <w:noBreakHyphen/>
          <w:t>36</w:t>
        </w:r>
      </w:hyperlink>
      <w:r w:rsidR="004745AC">
        <w:rPr>
          <w:rFonts w:eastAsiaTheme="minorEastAsia" w:cs="Arial"/>
          <w:szCs w:val="22"/>
          <w:lang w:eastAsia="en-AU"/>
        </w:rPr>
        <w:t xml:space="preserve"> r 31</w:t>
      </w:r>
    </w:p>
    <w:p w14:paraId="0D68EB83" w14:textId="77777777" w:rsidR="00D94935" w:rsidRPr="00140BF9" w:rsidRDefault="00D94935" w:rsidP="00D94935">
      <w:pPr>
        <w:pStyle w:val="AmdtsEntryHd"/>
        <w:rPr>
          <w:rFonts w:cs="Arial"/>
        </w:rPr>
      </w:pPr>
      <w:r w:rsidRPr="00140BF9">
        <w:rPr>
          <w:rFonts w:cs="Arial"/>
        </w:rPr>
        <w:t>Admission—when application must be made</w:t>
      </w:r>
    </w:p>
    <w:p w14:paraId="0D1FA828" w14:textId="77777777"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14:paraId="1282B66A" w14:textId="3ABA3912" w:rsidR="00D94935" w:rsidRDefault="00D94935" w:rsidP="00D94935">
      <w:pPr>
        <w:pStyle w:val="AmdtsEntries"/>
        <w:rPr>
          <w:rFonts w:cs="Arial"/>
        </w:rPr>
      </w:pPr>
      <w:r w:rsidRPr="00140BF9">
        <w:rPr>
          <w:rFonts w:cs="Arial"/>
        </w:rPr>
        <w:t>r 3609</w:t>
      </w:r>
      <w:r w:rsidRPr="00140BF9">
        <w:rPr>
          <w:rFonts w:cs="Arial"/>
        </w:rPr>
        <w:tab/>
        <w:t xml:space="preserve">am </w:t>
      </w:r>
      <w:hyperlink r:id="rId175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r w:rsidR="00DB365E">
        <w:rPr>
          <w:rFonts w:cs="Arial"/>
        </w:rPr>
        <w:t xml:space="preserve">; </w:t>
      </w:r>
      <w:hyperlink r:id="rId1755"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8</w:t>
      </w:r>
    </w:p>
    <w:p w14:paraId="3B9CB69B" w14:textId="77777777" w:rsidR="002529C8" w:rsidRDefault="002529C8" w:rsidP="002529C8">
      <w:pPr>
        <w:pStyle w:val="AmdtsEntryHd"/>
        <w:rPr>
          <w:rFonts w:cs="Arial"/>
        </w:rPr>
      </w:pPr>
      <w:r w:rsidRPr="008B7490">
        <w:rPr>
          <w:color w:val="000000"/>
        </w:rPr>
        <w:t>Request for absentee admission</w:t>
      </w:r>
    </w:p>
    <w:p w14:paraId="061637B2" w14:textId="5F19C94B" w:rsidR="003C02A2" w:rsidRPr="002529C8" w:rsidRDefault="002529C8" w:rsidP="00D94935">
      <w:pPr>
        <w:pStyle w:val="AmdtsEntries"/>
      </w:pPr>
      <w:r>
        <w:rPr>
          <w:rFonts w:cs="Arial"/>
        </w:rPr>
        <w:t>r 3609A</w:t>
      </w:r>
      <w:r>
        <w:rPr>
          <w:rFonts w:cs="Arial"/>
        </w:rPr>
        <w:tab/>
        <w:t xml:space="preserve">ins </w:t>
      </w:r>
      <w:hyperlink r:id="rId1756" w:tooltip="Court Procedures Amendment Rules 2019 (No 1)" w:history="1">
        <w:r>
          <w:rPr>
            <w:rStyle w:val="charCitHyperlinkAbbrev"/>
          </w:rPr>
          <w:t>SL2019</w:t>
        </w:r>
        <w:r>
          <w:rPr>
            <w:rStyle w:val="charCitHyperlinkAbbrev"/>
          </w:rPr>
          <w:noBreakHyphen/>
          <w:t>11</w:t>
        </w:r>
      </w:hyperlink>
      <w:r>
        <w:t xml:space="preserve"> r 9</w:t>
      </w:r>
    </w:p>
    <w:p w14:paraId="1D6363E9" w14:textId="77777777" w:rsidR="00D94935" w:rsidRPr="00140BF9" w:rsidRDefault="00D94935" w:rsidP="00D94935">
      <w:pPr>
        <w:pStyle w:val="AmdtsEntryHd"/>
        <w:rPr>
          <w:rFonts w:cs="Arial"/>
        </w:rPr>
      </w:pPr>
      <w:r w:rsidRPr="00140BF9">
        <w:rPr>
          <w:rFonts w:cs="Arial"/>
        </w:rPr>
        <w:t>Admission—objection by bar council or law society council</w:t>
      </w:r>
    </w:p>
    <w:p w14:paraId="08FC969F" w14:textId="77777777"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14:paraId="5D2B1558" w14:textId="77777777" w:rsidR="00D94935" w:rsidRPr="00140BF9" w:rsidRDefault="00D94935" w:rsidP="00D94935">
      <w:pPr>
        <w:pStyle w:val="AmdtsEntryHd"/>
        <w:rPr>
          <w:rFonts w:cs="Arial"/>
        </w:rPr>
      </w:pPr>
      <w:r w:rsidRPr="00140BF9">
        <w:rPr>
          <w:rFonts w:cs="Arial"/>
        </w:rPr>
        <w:lastRenderedPageBreak/>
        <w:t>Admission—appearance by bar council or law society council</w:t>
      </w:r>
    </w:p>
    <w:p w14:paraId="58DECB07" w14:textId="77777777"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14:paraId="761FA142" w14:textId="77777777" w:rsidR="00D94935" w:rsidRPr="00140BF9" w:rsidRDefault="00D94935" w:rsidP="00D94935">
      <w:pPr>
        <w:pStyle w:val="AmdtsEntryHd"/>
        <w:rPr>
          <w:rFonts w:cs="Arial"/>
        </w:rPr>
      </w:pPr>
      <w:r w:rsidRPr="00140BF9">
        <w:rPr>
          <w:rFonts w:cs="Arial"/>
        </w:rPr>
        <w:t>Admission—applicant’s duty of frankness</w:t>
      </w:r>
    </w:p>
    <w:p w14:paraId="367A5963" w14:textId="77777777"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14:paraId="0EC400E9" w14:textId="77777777" w:rsidR="00D94935" w:rsidRPr="00140BF9" w:rsidRDefault="00D94935" w:rsidP="00D94935">
      <w:pPr>
        <w:pStyle w:val="AmdtsEntryHd"/>
        <w:rPr>
          <w:rFonts w:cs="Arial"/>
        </w:rPr>
      </w:pPr>
      <w:r w:rsidRPr="00140BF9">
        <w:rPr>
          <w:rFonts w:cs="Arial"/>
        </w:rPr>
        <w:t>Admission—oath or affirmation</w:t>
      </w:r>
    </w:p>
    <w:p w14:paraId="1063AB3C" w14:textId="36C0B168" w:rsidR="00D94935" w:rsidRDefault="00D94935" w:rsidP="00AC3C69">
      <w:pPr>
        <w:pStyle w:val="AmdtsEntries"/>
        <w:keepNext/>
        <w:rPr>
          <w:rFonts w:cs="Arial"/>
        </w:rPr>
      </w:pPr>
      <w:r w:rsidRPr="00140BF9">
        <w:rPr>
          <w:rFonts w:cs="Arial"/>
        </w:rPr>
        <w:t>r 3614</w:t>
      </w:r>
      <w:r w:rsidRPr="00140BF9">
        <w:rPr>
          <w:rFonts w:cs="Arial"/>
        </w:rPr>
        <w:tab/>
        <w:t xml:space="preserve">sub </w:t>
      </w:r>
      <w:hyperlink r:id="rId1757"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5AACE64D" w14:textId="7D6C201A" w:rsidR="00E17301" w:rsidRDefault="00E17301" w:rsidP="00D94935">
      <w:pPr>
        <w:pStyle w:val="AmdtsEntries"/>
      </w:pPr>
      <w:r>
        <w:rPr>
          <w:rFonts w:cs="Arial"/>
        </w:rPr>
        <w:tab/>
        <w:t xml:space="preserve">am </w:t>
      </w:r>
      <w:hyperlink r:id="rId1758" w:tooltip="Court Procedures Amendment Rules 2019 (No 1)" w:history="1">
        <w:r>
          <w:rPr>
            <w:rStyle w:val="charCitHyperlinkAbbrev"/>
          </w:rPr>
          <w:t>SL2019</w:t>
        </w:r>
        <w:r>
          <w:rPr>
            <w:rStyle w:val="charCitHyperlinkAbbrev"/>
          </w:rPr>
          <w:noBreakHyphen/>
          <w:t>11</w:t>
        </w:r>
      </w:hyperlink>
      <w:r>
        <w:t xml:space="preserve"> r 10</w:t>
      </w:r>
    </w:p>
    <w:p w14:paraId="360BF915" w14:textId="77777777" w:rsidR="00E17301" w:rsidRDefault="00E17301" w:rsidP="00E17301">
      <w:pPr>
        <w:pStyle w:val="AmdtsEntryHd"/>
      </w:pPr>
      <w:r w:rsidRPr="008B7490">
        <w:rPr>
          <w:color w:val="000000"/>
        </w:rPr>
        <w:t>Admission—absentee admission</w:t>
      </w:r>
    </w:p>
    <w:p w14:paraId="045F5DB2" w14:textId="1D761DF4" w:rsidR="00E17301" w:rsidRPr="00E17301" w:rsidRDefault="00E17301" w:rsidP="00D94935">
      <w:pPr>
        <w:pStyle w:val="AmdtsEntries"/>
      </w:pPr>
      <w:r>
        <w:t>r 3614A</w:t>
      </w:r>
      <w:r>
        <w:tab/>
        <w:t xml:space="preserve">ins </w:t>
      </w:r>
      <w:hyperlink r:id="rId1759" w:tooltip="Court Procedures Amendment Rules 2019 (No 1)" w:history="1">
        <w:r>
          <w:rPr>
            <w:rStyle w:val="charCitHyperlinkAbbrev"/>
          </w:rPr>
          <w:t>SL2019</w:t>
        </w:r>
        <w:r>
          <w:rPr>
            <w:rStyle w:val="charCitHyperlinkAbbrev"/>
          </w:rPr>
          <w:noBreakHyphen/>
          <w:t>11</w:t>
        </w:r>
      </w:hyperlink>
      <w:r>
        <w:t xml:space="preserve"> r 11</w:t>
      </w:r>
    </w:p>
    <w:p w14:paraId="599A1894" w14:textId="77777777" w:rsidR="00D94935" w:rsidRPr="00140BF9" w:rsidRDefault="00D94935" w:rsidP="00D94935">
      <w:pPr>
        <w:pStyle w:val="AmdtsEntryHd"/>
        <w:rPr>
          <w:rFonts w:cs="Arial"/>
        </w:rPr>
      </w:pPr>
      <w:r w:rsidRPr="00140BF9">
        <w:rPr>
          <w:rFonts w:cs="Arial"/>
        </w:rPr>
        <w:t>Admission—entry on local roll</w:t>
      </w:r>
    </w:p>
    <w:p w14:paraId="07ADD856" w14:textId="4728C78F" w:rsidR="00D94935" w:rsidRDefault="00D94935" w:rsidP="00D94935">
      <w:pPr>
        <w:pStyle w:val="AmdtsEntries"/>
        <w:rPr>
          <w:rFonts w:cs="Arial"/>
        </w:rPr>
      </w:pPr>
      <w:r w:rsidRPr="00140BF9">
        <w:rPr>
          <w:rFonts w:cs="Arial"/>
        </w:rPr>
        <w:t>r 3615</w:t>
      </w:r>
      <w:r w:rsidRPr="00140BF9">
        <w:rPr>
          <w:rFonts w:cs="Arial"/>
        </w:rPr>
        <w:tab/>
        <w:t xml:space="preserve">ins </w:t>
      </w:r>
      <w:hyperlink r:id="rId1760"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3351044E" w14:textId="7E941283" w:rsidR="00662498" w:rsidRPr="0024295E" w:rsidRDefault="00662498" w:rsidP="00D94935">
      <w:pPr>
        <w:pStyle w:val="AmdtsEntries"/>
      </w:pPr>
      <w:r>
        <w:rPr>
          <w:rFonts w:cs="Arial"/>
        </w:rPr>
        <w:tab/>
        <w:t xml:space="preserve">am </w:t>
      </w:r>
      <w:hyperlink r:id="rId1761"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14:paraId="461EEC7E" w14:textId="77777777" w:rsidR="00D94935" w:rsidRPr="00140BF9" w:rsidRDefault="00D94935" w:rsidP="00D94935">
      <w:pPr>
        <w:pStyle w:val="AmdtsEntryHd"/>
        <w:rPr>
          <w:rFonts w:cs="Arial"/>
        </w:rPr>
      </w:pPr>
      <w:r w:rsidRPr="00140BF9">
        <w:rPr>
          <w:rFonts w:cs="Arial"/>
        </w:rPr>
        <w:t>Assessment of client costs</w:t>
      </w:r>
    </w:p>
    <w:p w14:paraId="2B63748B" w14:textId="6C89B53F"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76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17AB903" w14:textId="77777777" w:rsidR="00D94935" w:rsidRPr="00140BF9" w:rsidRDefault="00D94935" w:rsidP="00D94935">
      <w:pPr>
        <w:pStyle w:val="AmdtsEntryHd"/>
        <w:rPr>
          <w:rFonts w:cs="Arial"/>
        </w:rPr>
      </w:pPr>
      <w:r w:rsidRPr="00140BF9">
        <w:rPr>
          <w:rFonts w:cs="Arial"/>
        </w:rPr>
        <w:t>Application—div 3.11.3</w:t>
      </w:r>
    </w:p>
    <w:p w14:paraId="7C186A9F" w14:textId="34924FF8"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76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FBF615A" w14:textId="77777777" w:rsidR="00D94935" w:rsidRPr="00140BF9" w:rsidRDefault="00D94935" w:rsidP="00D94935">
      <w:pPr>
        <w:pStyle w:val="AmdtsEntryHd"/>
        <w:rPr>
          <w:rFonts w:cs="Arial"/>
        </w:rPr>
      </w:pPr>
      <w:r w:rsidRPr="00140BF9">
        <w:rPr>
          <w:rFonts w:cs="Arial"/>
        </w:rPr>
        <w:t>Form of application</w:t>
      </w:r>
    </w:p>
    <w:p w14:paraId="7C06A2D1" w14:textId="22B65AE1"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76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07B4B992" w14:textId="6BA85CA5" w:rsidR="004745AC" w:rsidRPr="00140BF9" w:rsidRDefault="004745AC" w:rsidP="004745AC">
      <w:pPr>
        <w:pStyle w:val="AmdtsEntries"/>
        <w:rPr>
          <w:rFonts w:cs="Arial"/>
        </w:rPr>
      </w:pPr>
      <w:r>
        <w:rPr>
          <w:rFonts w:eastAsiaTheme="minorEastAsia" w:cs="Arial"/>
          <w:szCs w:val="22"/>
          <w:lang w:eastAsia="en-AU"/>
        </w:rPr>
        <w:tab/>
        <w:t xml:space="preserve">am </w:t>
      </w:r>
      <w:hyperlink r:id="rId1765"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32</w:t>
      </w:r>
    </w:p>
    <w:p w14:paraId="25A12610" w14:textId="77777777" w:rsidR="00D94935" w:rsidRPr="00140BF9" w:rsidRDefault="00D94935" w:rsidP="00D94935">
      <w:pPr>
        <w:pStyle w:val="AmdtsEntryHd"/>
        <w:rPr>
          <w:rFonts w:cs="Arial"/>
        </w:rPr>
      </w:pPr>
      <w:r w:rsidRPr="00140BF9">
        <w:rPr>
          <w:rFonts w:cs="Arial"/>
        </w:rPr>
        <w:t>Application for leave to apply out of time</w:t>
      </w:r>
    </w:p>
    <w:p w14:paraId="323DEA49" w14:textId="039423D6"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76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0C51CE63" w14:textId="77777777" w:rsidR="00D94935" w:rsidRPr="00140BF9" w:rsidRDefault="00D94935" w:rsidP="00D94935">
      <w:pPr>
        <w:pStyle w:val="AmdtsEntryHd"/>
        <w:rPr>
          <w:rFonts w:cs="Arial"/>
        </w:rPr>
      </w:pPr>
      <w:r w:rsidRPr="00140BF9">
        <w:rPr>
          <w:rFonts w:cs="Arial"/>
        </w:rPr>
        <w:t>Directions</w:t>
      </w:r>
    </w:p>
    <w:p w14:paraId="3967539A" w14:textId="6B021366"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7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BFF1828" w14:textId="77777777" w:rsidR="00D94935" w:rsidRPr="00140BF9" w:rsidRDefault="00D94935" w:rsidP="00D94935">
      <w:pPr>
        <w:pStyle w:val="AmdtsEntryHd"/>
        <w:rPr>
          <w:rFonts w:cs="Arial"/>
        </w:rPr>
      </w:pPr>
      <w:r w:rsidRPr="00140BF9">
        <w:rPr>
          <w:rFonts w:cs="Arial"/>
        </w:rPr>
        <w:t>Response to application</w:t>
      </w:r>
    </w:p>
    <w:p w14:paraId="144E8EE0" w14:textId="5FFDCFC1"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76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4CBE0C6" w14:textId="77777777" w:rsidR="00D94935" w:rsidRPr="00140BF9" w:rsidRDefault="00D94935" w:rsidP="00D94935">
      <w:pPr>
        <w:pStyle w:val="AmdtsEntryHd"/>
        <w:rPr>
          <w:rFonts w:cs="Arial"/>
        </w:rPr>
      </w:pPr>
      <w:r w:rsidRPr="00140BF9">
        <w:rPr>
          <w:rFonts w:cs="Arial"/>
        </w:rPr>
        <w:t>Notice of objections to legal costs</w:t>
      </w:r>
    </w:p>
    <w:p w14:paraId="3C7AC4A7" w14:textId="614B710E"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76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CD70166" w14:textId="77777777" w:rsidR="00D94935" w:rsidRPr="00140BF9" w:rsidRDefault="00D94935" w:rsidP="00D94935">
      <w:pPr>
        <w:pStyle w:val="AmdtsEntryHd"/>
        <w:rPr>
          <w:rFonts w:cs="Arial"/>
        </w:rPr>
      </w:pPr>
      <w:r w:rsidRPr="00140BF9">
        <w:rPr>
          <w:rFonts w:cs="Arial"/>
        </w:rPr>
        <w:t>Small Claims Court</w:t>
      </w:r>
    </w:p>
    <w:p w14:paraId="6F5D91E0" w14:textId="1157A90D"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7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B226D2" w14:textId="0AA5FE0E" w:rsidR="00D94935" w:rsidRPr="00140BF9" w:rsidRDefault="00D94935" w:rsidP="00D94935">
      <w:pPr>
        <w:pStyle w:val="AmdtsEntries"/>
        <w:rPr>
          <w:rFonts w:cs="Arial"/>
        </w:rPr>
      </w:pPr>
      <w:r w:rsidRPr="00140BF9">
        <w:rPr>
          <w:rFonts w:cs="Arial"/>
        </w:rPr>
        <w:tab/>
        <w:t xml:space="preserve">om </w:t>
      </w:r>
      <w:hyperlink r:id="rId17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4884E96" w14:textId="77777777" w:rsidR="00D94935" w:rsidRPr="00140BF9" w:rsidRDefault="00D94935" w:rsidP="00D94935">
      <w:pPr>
        <w:pStyle w:val="AmdtsEntryHd"/>
        <w:rPr>
          <w:rFonts w:cs="Arial"/>
        </w:rPr>
      </w:pPr>
      <w:r w:rsidRPr="00140BF9">
        <w:rPr>
          <w:rFonts w:cs="Arial"/>
        </w:rPr>
        <w:t>Small Claims Court—preliminary</w:t>
      </w:r>
    </w:p>
    <w:p w14:paraId="4C3B938D" w14:textId="0B463FC4" w:rsidR="00D94935" w:rsidRPr="00140BF9" w:rsidRDefault="00D94935" w:rsidP="00EC318A">
      <w:pPr>
        <w:pStyle w:val="AmdtsEntries"/>
        <w:keepNext/>
        <w:rPr>
          <w:rFonts w:cs="Arial"/>
        </w:rPr>
      </w:pPr>
      <w:r w:rsidRPr="00140BF9">
        <w:rPr>
          <w:rFonts w:cs="Arial"/>
        </w:rPr>
        <w:t>div 3.12.1 hdg</w:t>
      </w:r>
      <w:r w:rsidRPr="00140BF9">
        <w:rPr>
          <w:rFonts w:cs="Arial"/>
        </w:rPr>
        <w:tab/>
        <w:t xml:space="preserve">ins </w:t>
      </w:r>
      <w:hyperlink r:id="rId17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9877DE" w14:textId="704FDFAC" w:rsidR="00D94935" w:rsidRPr="00140BF9" w:rsidRDefault="00D94935" w:rsidP="00D94935">
      <w:pPr>
        <w:pStyle w:val="AmdtsEntries"/>
        <w:rPr>
          <w:rFonts w:cs="Arial"/>
        </w:rPr>
      </w:pPr>
      <w:r w:rsidRPr="00140BF9">
        <w:rPr>
          <w:rFonts w:cs="Arial"/>
        </w:rPr>
        <w:tab/>
        <w:t xml:space="preserve">om </w:t>
      </w:r>
      <w:hyperlink r:id="rId17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83B4BDB" w14:textId="77777777" w:rsidR="00D94935" w:rsidRPr="00140BF9" w:rsidRDefault="00D94935" w:rsidP="00D94935">
      <w:pPr>
        <w:pStyle w:val="AmdtsEntryHd"/>
        <w:rPr>
          <w:rFonts w:cs="Arial"/>
        </w:rPr>
      </w:pPr>
      <w:r w:rsidRPr="00140BF9">
        <w:rPr>
          <w:rFonts w:cs="Arial"/>
        </w:rPr>
        <w:t>Definitions—pt 3.12</w:t>
      </w:r>
    </w:p>
    <w:p w14:paraId="65D9B99E" w14:textId="400301CE"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7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B2D0EA" w14:textId="32CA247E" w:rsidR="00D94935" w:rsidRPr="00140BF9" w:rsidRDefault="00D94935" w:rsidP="00D94935">
      <w:pPr>
        <w:pStyle w:val="AmdtsEntries"/>
        <w:rPr>
          <w:rFonts w:cs="Arial"/>
        </w:rPr>
      </w:pPr>
      <w:r w:rsidRPr="00140BF9">
        <w:rPr>
          <w:rFonts w:cs="Arial"/>
        </w:rPr>
        <w:tab/>
        <w:t xml:space="preserve">om </w:t>
      </w:r>
      <w:hyperlink r:id="rId17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059E24" w14:textId="220E4A5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7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908BBE" w14:textId="64A2B19C" w:rsidR="00D94935" w:rsidRPr="00140BF9" w:rsidRDefault="00D94935" w:rsidP="00D94935">
      <w:pPr>
        <w:pStyle w:val="AmdtsEntriesDefL2"/>
        <w:rPr>
          <w:rFonts w:cs="Arial"/>
        </w:rPr>
      </w:pPr>
      <w:r w:rsidRPr="00140BF9">
        <w:rPr>
          <w:rFonts w:cs="Arial"/>
        </w:rPr>
        <w:tab/>
        <w:t xml:space="preserve">om </w:t>
      </w:r>
      <w:hyperlink r:id="rId17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94DC880" w14:textId="098B8488" w:rsidR="00D94935" w:rsidRPr="00140BF9" w:rsidRDefault="00D94935" w:rsidP="00CC1410">
      <w:pPr>
        <w:pStyle w:val="AmdtsEntries"/>
        <w:keepNext/>
        <w:rPr>
          <w:rFonts w:cs="Arial"/>
        </w:rPr>
      </w:pPr>
      <w:r w:rsidRPr="00140BF9">
        <w:rPr>
          <w:rFonts w:cs="Arial"/>
        </w:rPr>
        <w:lastRenderedPageBreak/>
        <w:tab/>
        <w:t xml:space="preserve">def </w:t>
      </w:r>
      <w:r w:rsidRPr="00140BF9">
        <w:rPr>
          <w:rStyle w:val="charBoldItals"/>
          <w:rFonts w:cs="Arial"/>
        </w:rPr>
        <w:t>court</w:t>
      </w:r>
      <w:r w:rsidRPr="00140BF9">
        <w:rPr>
          <w:rFonts w:cs="Arial"/>
        </w:rPr>
        <w:t xml:space="preserve"> ins </w:t>
      </w:r>
      <w:hyperlink r:id="rId17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8118D20" w14:textId="57ED9182" w:rsidR="00D94935" w:rsidRPr="00140BF9" w:rsidRDefault="00D94935" w:rsidP="00D94935">
      <w:pPr>
        <w:pStyle w:val="AmdtsEntriesDefL2"/>
        <w:rPr>
          <w:rFonts w:cs="Arial"/>
        </w:rPr>
      </w:pPr>
      <w:r w:rsidRPr="00140BF9">
        <w:rPr>
          <w:rFonts w:cs="Arial"/>
        </w:rPr>
        <w:tab/>
        <w:t xml:space="preserve">om </w:t>
      </w:r>
      <w:hyperlink r:id="rId17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5FC80F" w14:textId="61199FA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7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8AD393" w14:textId="705023D9" w:rsidR="00D94935" w:rsidRPr="00140BF9" w:rsidRDefault="00D94935" w:rsidP="00D94935">
      <w:pPr>
        <w:pStyle w:val="AmdtsEntriesDefL2"/>
        <w:rPr>
          <w:rFonts w:cs="Arial"/>
        </w:rPr>
      </w:pPr>
      <w:r w:rsidRPr="00140BF9">
        <w:rPr>
          <w:rFonts w:cs="Arial"/>
        </w:rPr>
        <w:tab/>
        <w:t xml:space="preserve">om </w:t>
      </w:r>
      <w:hyperlink r:id="rId17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DE36600" w14:textId="2F073A6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7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CCDF4D" w14:textId="2817BC34" w:rsidR="00D94935" w:rsidRPr="00140BF9" w:rsidRDefault="00D94935" w:rsidP="00D94935">
      <w:pPr>
        <w:pStyle w:val="AmdtsEntriesDefL2"/>
        <w:rPr>
          <w:rFonts w:cs="Arial"/>
        </w:rPr>
      </w:pPr>
      <w:r w:rsidRPr="00140BF9">
        <w:rPr>
          <w:rFonts w:cs="Arial"/>
        </w:rPr>
        <w:tab/>
        <w:t xml:space="preserve">om </w:t>
      </w:r>
      <w:hyperlink r:id="rId17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9F4384" w14:textId="44C87A9E" w:rsidR="00D94935" w:rsidRPr="00140BF9" w:rsidRDefault="00D94935" w:rsidP="00881E7C">
      <w:pPr>
        <w:pStyle w:val="AmdtsEntries"/>
        <w:keepNext/>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7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EE2825" w14:textId="6B99F972" w:rsidR="00D94935" w:rsidRPr="00140BF9" w:rsidRDefault="00D94935" w:rsidP="00D94935">
      <w:pPr>
        <w:pStyle w:val="AmdtsEntriesDefL2"/>
        <w:rPr>
          <w:rFonts w:cs="Arial"/>
        </w:rPr>
      </w:pPr>
      <w:r w:rsidRPr="00140BF9">
        <w:rPr>
          <w:rFonts w:cs="Arial"/>
        </w:rPr>
        <w:tab/>
        <w:t xml:space="preserve">om </w:t>
      </w:r>
      <w:hyperlink r:id="rId17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703C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14:paraId="2AA80E1B" w14:textId="56E4BAE1"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7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31F97A" w14:textId="4184560D" w:rsidR="00D94935" w:rsidRPr="00140BF9" w:rsidRDefault="00D94935" w:rsidP="00D94935">
      <w:pPr>
        <w:pStyle w:val="AmdtsEntries"/>
        <w:rPr>
          <w:rFonts w:cs="Arial"/>
        </w:rPr>
      </w:pPr>
      <w:r w:rsidRPr="00140BF9">
        <w:rPr>
          <w:rFonts w:cs="Arial"/>
        </w:rPr>
        <w:tab/>
        <w:t xml:space="preserve">om </w:t>
      </w:r>
      <w:hyperlink r:id="rId17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43C84B9" w14:textId="77777777" w:rsidR="00D94935" w:rsidRPr="00140BF9" w:rsidRDefault="00D94935" w:rsidP="00D94935">
      <w:pPr>
        <w:pStyle w:val="AmdtsEntryHd"/>
        <w:rPr>
          <w:rFonts w:cs="Arial"/>
        </w:rPr>
      </w:pPr>
      <w:r w:rsidRPr="00140BF9">
        <w:rPr>
          <w:rFonts w:cs="Arial"/>
        </w:rPr>
        <w:t>Terms used in Magistrates Court Act</w:t>
      </w:r>
    </w:p>
    <w:p w14:paraId="50BCB161" w14:textId="6E447E19"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7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EDBFF6" w14:textId="0FA25DE5" w:rsidR="00D94935" w:rsidRPr="00140BF9" w:rsidRDefault="00D94935" w:rsidP="00D94935">
      <w:pPr>
        <w:pStyle w:val="AmdtsEntries"/>
        <w:rPr>
          <w:rFonts w:cs="Arial"/>
        </w:rPr>
      </w:pPr>
      <w:r w:rsidRPr="00140BF9">
        <w:rPr>
          <w:rFonts w:cs="Arial"/>
        </w:rPr>
        <w:tab/>
        <w:t xml:space="preserve">om </w:t>
      </w:r>
      <w:hyperlink r:id="rId17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8EA2585" w14:textId="77777777" w:rsidR="00D94935" w:rsidRPr="00140BF9" w:rsidRDefault="00D94935" w:rsidP="00D94935">
      <w:pPr>
        <w:pStyle w:val="AmdtsEntryHd"/>
        <w:rPr>
          <w:rFonts w:cs="Arial"/>
        </w:rPr>
      </w:pPr>
      <w:r w:rsidRPr="00140BF9">
        <w:rPr>
          <w:rFonts w:cs="Arial"/>
        </w:rPr>
        <w:t>Application—pt 3.12</w:t>
      </w:r>
    </w:p>
    <w:p w14:paraId="59AE418C" w14:textId="7C339F18"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7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D1576B9" w14:textId="27DAA81C" w:rsidR="00D94935" w:rsidRPr="00140BF9" w:rsidRDefault="00D94935" w:rsidP="00D94935">
      <w:pPr>
        <w:pStyle w:val="AmdtsEntries"/>
        <w:rPr>
          <w:rFonts w:cs="Arial"/>
        </w:rPr>
      </w:pPr>
      <w:r w:rsidRPr="00140BF9">
        <w:rPr>
          <w:rFonts w:cs="Arial"/>
        </w:rPr>
        <w:tab/>
        <w:t xml:space="preserve">om </w:t>
      </w:r>
      <w:hyperlink r:id="rId17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B78490A" w14:textId="77777777" w:rsidR="00D94935" w:rsidRPr="00140BF9" w:rsidRDefault="00D94935" w:rsidP="00D94935">
      <w:pPr>
        <w:pStyle w:val="AmdtsEntryHd"/>
        <w:rPr>
          <w:rFonts w:cs="Arial"/>
        </w:rPr>
      </w:pPr>
      <w:r w:rsidRPr="00140BF9">
        <w:rPr>
          <w:rFonts w:cs="Arial"/>
        </w:rPr>
        <w:t>Small Claims Court—application of ch 2 generally</w:t>
      </w:r>
    </w:p>
    <w:p w14:paraId="2096B018" w14:textId="033EE802"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EE49AE" w14:textId="6FB3C481" w:rsidR="00D94935" w:rsidRPr="00140BF9" w:rsidRDefault="00D94935" w:rsidP="00D94935">
      <w:pPr>
        <w:pStyle w:val="AmdtsEntries"/>
        <w:rPr>
          <w:rFonts w:cs="Arial"/>
        </w:rPr>
      </w:pPr>
      <w:r w:rsidRPr="00140BF9">
        <w:rPr>
          <w:rFonts w:cs="Arial"/>
        </w:rPr>
        <w:tab/>
        <w:t xml:space="preserve">om </w:t>
      </w:r>
      <w:hyperlink r:id="rId17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8D8490" w14:textId="77777777" w:rsidR="00D94935" w:rsidRPr="00140BF9" w:rsidRDefault="00D94935" w:rsidP="00D94935">
      <w:pPr>
        <w:pStyle w:val="AmdtsEntryHd"/>
        <w:rPr>
          <w:rFonts w:cs="Arial"/>
        </w:rPr>
      </w:pPr>
      <w:r w:rsidRPr="00140BF9">
        <w:rPr>
          <w:rFonts w:cs="Arial"/>
        </w:rPr>
        <w:t>Small Claims Court—starting proceeding</w:t>
      </w:r>
    </w:p>
    <w:p w14:paraId="67232E73" w14:textId="6AF75AE7"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B9DD13" w14:textId="49A80765" w:rsidR="00D94935" w:rsidRPr="00140BF9" w:rsidRDefault="00D94935" w:rsidP="00D94935">
      <w:pPr>
        <w:pStyle w:val="AmdtsEntries"/>
        <w:rPr>
          <w:rFonts w:cs="Arial"/>
        </w:rPr>
      </w:pPr>
      <w:r w:rsidRPr="00140BF9">
        <w:rPr>
          <w:rFonts w:cs="Arial"/>
        </w:rPr>
        <w:tab/>
        <w:t xml:space="preserve">om </w:t>
      </w:r>
      <w:hyperlink r:id="rId17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462FFF0" w14:textId="77777777" w:rsidR="00D94935" w:rsidRPr="00140BF9" w:rsidRDefault="00D94935" w:rsidP="00D94935">
      <w:pPr>
        <w:pStyle w:val="AmdtsEntryHd"/>
        <w:rPr>
          <w:rFonts w:cs="Arial"/>
        </w:rPr>
      </w:pPr>
      <w:r w:rsidRPr="00140BF9">
        <w:rPr>
          <w:rFonts w:cs="Arial"/>
        </w:rPr>
        <w:t>Small Claims Court—assistance to members of public</w:t>
      </w:r>
    </w:p>
    <w:p w14:paraId="55017274" w14:textId="36846150"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90A4EF" w14:textId="09A64C31" w:rsidR="00D94935" w:rsidRPr="00140BF9" w:rsidRDefault="00D94935" w:rsidP="00D94935">
      <w:pPr>
        <w:pStyle w:val="AmdtsEntries"/>
        <w:rPr>
          <w:rFonts w:cs="Arial"/>
        </w:rPr>
      </w:pPr>
      <w:r w:rsidRPr="00140BF9">
        <w:rPr>
          <w:rFonts w:cs="Arial"/>
        </w:rPr>
        <w:tab/>
        <w:t xml:space="preserve">om </w:t>
      </w:r>
      <w:hyperlink r:id="rId17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1421AA" w14:textId="77777777" w:rsidR="00D94935" w:rsidRPr="00140BF9" w:rsidRDefault="00D94935" w:rsidP="00D94935">
      <w:pPr>
        <w:pStyle w:val="AmdtsEntryHd"/>
        <w:rPr>
          <w:rFonts w:cs="Arial"/>
        </w:rPr>
      </w:pPr>
      <w:r w:rsidRPr="00140BF9">
        <w:rPr>
          <w:rFonts w:cs="Arial"/>
        </w:rPr>
        <w:t>Small Claims Court—who may start and carry on a proceeding</w:t>
      </w:r>
    </w:p>
    <w:p w14:paraId="525C637A" w14:textId="7844C53F"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12EAA" w14:textId="7536607B" w:rsidR="00D94935" w:rsidRPr="00140BF9" w:rsidRDefault="00D94935" w:rsidP="00D94935">
      <w:pPr>
        <w:pStyle w:val="AmdtsEntries"/>
        <w:rPr>
          <w:rFonts w:cs="Arial"/>
        </w:rPr>
      </w:pPr>
      <w:r w:rsidRPr="00140BF9">
        <w:rPr>
          <w:rFonts w:cs="Arial"/>
        </w:rPr>
        <w:tab/>
        <w:t xml:space="preserve">am </w:t>
      </w:r>
      <w:hyperlink r:id="rId179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14:paraId="54480673" w14:textId="6CAA55BC" w:rsidR="00D94935" w:rsidRPr="00140BF9" w:rsidRDefault="00D94935" w:rsidP="00D94935">
      <w:pPr>
        <w:pStyle w:val="AmdtsEntries"/>
        <w:rPr>
          <w:rFonts w:cs="Arial"/>
        </w:rPr>
      </w:pPr>
      <w:r w:rsidRPr="00140BF9">
        <w:rPr>
          <w:rFonts w:cs="Arial"/>
        </w:rPr>
        <w:tab/>
        <w:t xml:space="preserve">om </w:t>
      </w:r>
      <w:hyperlink r:id="rId18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A2C49AF" w14:textId="77777777" w:rsidR="00D94935" w:rsidRPr="00140BF9" w:rsidRDefault="00D94935" w:rsidP="00D94935">
      <w:pPr>
        <w:pStyle w:val="AmdtsEntryHd"/>
        <w:rPr>
          <w:rFonts w:cs="Arial"/>
        </w:rPr>
      </w:pPr>
      <w:r w:rsidRPr="00140BF9">
        <w:rPr>
          <w:rFonts w:cs="Arial"/>
        </w:rPr>
        <w:t>Small Claims Court—originating application etc</w:t>
      </w:r>
    </w:p>
    <w:p w14:paraId="4013AB98" w14:textId="0F5D8464"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8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AACB12" w14:textId="27C9FF5D" w:rsidR="00D94935" w:rsidRPr="00140BF9" w:rsidRDefault="00D94935" w:rsidP="00D94935">
      <w:pPr>
        <w:pStyle w:val="AmdtsEntries"/>
        <w:rPr>
          <w:rFonts w:cs="Arial"/>
        </w:rPr>
      </w:pPr>
      <w:r w:rsidRPr="00140BF9">
        <w:rPr>
          <w:rFonts w:cs="Arial"/>
        </w:rPr>
        <w:tab/>
        <w:t xml:space="preserve">om </w:t>
      </w:r>
      <w:hyperlink r:id="rId18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3D5E1D" w14:textId="77777777" w:rsidR="00D94935" w:rsidRPr="00140BF9" w:rsidRDefault="00D94935" w:rsidP="00D94935">
      <w:pPr>
        <w:pStyle w:val="AmdtsEntryHd"/>
        <w:rPr>
          <w:rFonts w:cs="Arial"/>
        </w:rPr>
      </w:pPr>
      <w:r w:rsidRPr="00140BF9">
        <w:rPr>
          <w:rFonts w:cs="Arial"/>
        </w:rPr>
        <w:t>Small Claims Court—single application for each matter</w:t>
      </w:r>
    </w:p>
    <w:p w14:paraId="49503994" w14:textId="09171B67"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8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5BDC1B4" w14:textId="77A959D1" w:rsidR="00D94935" w:rsidRPr="00140BF9" w:rsidRDefault="00D94935" w:rsidP="00D94935">
      <w:pPr>
        <w:pStyle w:val="AmdtsEntries"/>
        <w:rPr>
          <w:rFonts w:cs="Arial"/>
        </w:rPr>
      </w:pPr>
      <w:r w:rsidRPr="00140BF9">
        <w:rPr>
          <w:rFonts w:cs="Arial"/>
        </w:rPr>
        <w:tab/>
        <w:t xml:space="preserve">om </w:t>
      </w:r>
      <w:hyperlink r:id="rId18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BCCF2F" w14:textId="77777777" w:rsidR="00D94935" w:rsidRPr="00140BF9" w:rsidRDefault="00D94935" w:rsidP="00D94935">
      <w:pPr>
        <w:pStyle w:val="AmdtsEntryHd"/>
        <w:rPr>
          <w:rFonts w:cs="Arial"/>
        </w:rPr>
      </w:pPr>
      <w:r w:rsidRPr="00140BF9">
        <w:rPr>
          <w:rFonts w:cs="Arial"/>
        </w:rPr>
        <w:t>Small Claims Court—debt declaration</w:t>
      </w:r>
    </w:p>
    <w:p w14:paraId="15653224" w14:textId="7181BD75"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8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41507D" w14:textId="661DF25C" w:rsidR="00D94935" w:rsidRPr="00140BF9" w:rsidRDefault="00D94935" w:rsidP="00D94935">
      <w:pPr>
        <w:pStyle w:val="AmdtsEntries"/>
        <w:rPr>
          <w:rFonts w:cs="Arial"/>
        </w:rPr>
      </w:pPr>
      <w:r w:rsidRPr="00140BF9">
        <w:rPr>
          <w:rFonts w:cs="Arial"/>
        </w:rPr>
        <w:tab/>
        <w:t xml:space="preserve">om </w:t>
      </w:r>
      <w:hyperlink r:id="rId18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9BB33" w14:textId="77777777" w:rsidR="00D94935" w:rsidRPr="00140BF9" w:rsidRDefault="00D94935" w:rsidP="00A47A62">
      <w:pPr>
        <w:pStyle w:val="AmdtsEntryHd"/>
        <w:rPr>
          <w:rFonts w:cs="Arial"/>
        </w:rPr>
      </w:pPr>
      <w:r w:rsidRPr="00140BF9">
        <w:rPr>
          <w:rFonts w:cs="Arial"/>
        </w:rPr>
        <w:lastRenderedPageBreak/>
        <w:t>Small Claims Court—claim for interest</w:t>
      </w:r>
    </w:p>
    <w:p w14:paraId="5A4F9407" w14:textId="43A980E5" w:rsidR="00D94935" w:rsidRPr="00140BF9" w:rsidRDefault="00D94935" w:rsidP="00A47A62">
      <w:pPr>
        <w:pStyle w:val="AmdtsEntries"/>
        <w:keepNext/>
        <w:rPr>
          <w:rFonts w:cs="Arial"/>
        </w:rPr>
      </w:pPr>
      <w:r w:rsidRPr="00140BF9">
        <w:rPr>
          <w:rFonts w:cs="Arial"/>
        </w:rPr>
        <w:t>r 3740</w:t>
      </w:r>
      <w:r w:rsidRPr="00140BF9">
        <w:rPr>
          <w:rFonts w:cs="Arial"/>
        </w:rPr>
        <w:tab/>
        <w:t xml:space="preserve">ins </w:t>
      </w:r>
      <w:hyperlink r:id="rId18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EEBE2A" w14:textId="3D6A97A0" w:rsidR="00D94935" w:rsidRPr="00140BF9" w:rsidRDefault="00D94935" w:rsidP="00A47A62">
      <w:pPr>
        <w:pStyle w:val="AmdtsEntries"/>
        <w:keepNext/>
        <w:rPr>
          <w:rFonts w:cs="Arial"/>
        </w:rPr>
      </w:pPr>
      <w:r w:rsidRPr="00140BF9">
        <w:rPr>
          <w:rFonts w:cs="Arial"/>
        </w:rPr>
        <w:tab/>
        <w:t xml:space="preserve">om </w:t>
      </w:r>
      <w:hyperlink r:id="rId18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022122" w14:textId="77777777" w:rsidR="00D94935" w:rsidRPr="00140BF9" w:rsidRDefault="00D94935" w:rsidP="00D94935">
      <w:pPr>
        <w:pStyle w:val="AmdtsEntryHd"/>
        <w:rPr>
          <w:rFonts w:cs="Arial"/>
        </w:rPr>
      </w:pPr>
      <w:r w:rsidRPr="00140BF9">
        <w:rPr>
          <w:rFonts w:cs="Arial"/>
        </w:rPr>
        <w:t>Small Claims Court—service of originating application etc</w:t>
      </w:r>
    </w:p>
    <w:p w14:paraId="47BDE0F4" w14:textId="7FFC4353"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8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A6BD50B" w14:textId="70B3A8E9" w:rsidR="00D94935" w:rsidRPr="00140BF9" w:rsidRDefault="00D94935" w:rsidP="00D94935">
      <w:pPr>
        <w:pStyle w:val="AmdtsEntries"/>
        <w:rPr>
          <w:rFonts w:cs="Arial"/>
        </w:rPr>
      </w:pPr>
      <w:r w:rsidRPr="00140BF9">
        <w:rPr>
          <w:rFonts w:cs="Arial"/>
        </w:rPr>
        <w:tab/>
        <w:t xml:space="preserve">om </w:t>
      </w:r>
      <w:hyperlink r:id="rId18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D8F01E" w14:textId="77777777" w:rsidR="00D94935" w:rsidRPr="00140BF9" w:rsidRDefault="00D94935" w:rsidP="00D94935">
      <w:pPr>
        <w:pStyle w:val="AmdtsEntryHd"/>
        <w:rPr>
          <w:rFonts w:cs="Arial"/>
        </w:rPr>
      </w:pPr>
      <w:r w:rsidRPr="00140BF9">
        <w:rPr>
          <w:rFonts w:cs="Arial"/>
        </w:rPr>
        <w:t>Small Claims Court—response to originating application</w:t>
      </w:r>
    </w:p>
    <w:p w14:paraId="1E80A909" w14:textId="0E31FA22"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8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8E174BE" w14:textId="28889DAD" w:rsidR="00D94935" w:rsidRPr="00140BF9" w:rsidRDefault="00D94935" w:rsidP="00D94935">
      <w:pPr>
        <w:pStyle w:val="AmdtsEntries"/>
        <w:rPr>
          <w:rFonts w:cs="Arial"/>
        </w:rPr>
      </w:pPr>
      <w:r w:rsidRPr="00140BF9">
        <w:rPr>
          <w:rFonts w:cs="Arial"/>
        </w:rPr>
        <w:tab/>
        <w:t xml:space="preserve">om </w:t>
      </w:r>
      <w:hyperlink r:id="rId18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4878E4" w14:textId="77777777" w:rsidR="00D94935" w:rsidRPr="00140BF9" w:rsidRDefault="00D94935" w:rsidP="00D94935">
      <w:pPr>
        <w:pStyle w:val="AmdtsEntryHd"/>
        <w:rPr>
          <w:rFonts w:cs="Arial"/>
        </w:rPr>
      </w:pPr>
      <w:r w:rsidRPr="00140BF9">
        <w:rPr>
          <w:rFonts w:cs="Arial"/>
        </w:rPr>
        <w:t>Small Claims Court—counterclaim and set-off</w:t>
      </w:r>
    </w:p>
    <w:p w14:paraId="53526A77" w14:textId="0A495612"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8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CB3472" w14:textId="1DAD7EAB" w:rsidR="00D94935" w:rsidRPr="00140BF9" w:rsidRDefault="00D94935" w:rsidP="00D94935">
      <w:pPr>
        <w:pStyle w:val="AmdtsEntries"/>
        <w:rPr>
          <w:rFonts w:cs="Arial"/>
        </w:rPr>
      </w:pPr>
      <w:r w:rsidRPr="00140BF9">
        <w:rPr>
          <w:rFonts w:cs="Arial"/>
        </w:rPr>
        <w:tab/>
        <w:t xml:space="preserve">om </w:t>
      </w:r>
      <w:hyperlink r:id="rId18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DA7AB64" w14:textId="77777777" w:rsidR="00D94935" w:rsidRPr="00140BF9" w:rsidRDefault="00D94935" w:rsidP="00D94935">
      <w:pPr>
        <w:pStyle w:val="AmdtsEntryHd"/>
        <w:rPr>
          <w:rFonts w:cs="Arial"/>
        </w:rPr>
      </w:pPr>
      <w:r w:rsidRPr="00140BF9">
        <w:rPr>
          <w:rFonts w:cs="Arial"/>
        </w:rPr>
        <w:t>Small Claims Court—response to nuisance application or trespass application</w:t>
      </w:r>
    </w:p>
    <w:p w14:paraId="0466FB17" w14:textId="0DC53293"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8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DBB5A13" w14:textId="558D5639" w:rsidR="00D94935" w:rsidRPr="00140BF9" w:rsidRDefault="00D94935" w:rsidP="00D94935">
      <w:pPr>
        <w:pStyle w:val="AmdtsEntries"/>
        <w:rPr>
          <w:rFonts w:cs="Arial"/>
        </w:rPr>
      </w:pPr>
      <w:r w:rsidRPr="00140BF9">
        <w:rPr>
          <w:rFonts w:cs="Arial"/>
        </w:rPr>
        <w:tab/>
        <w:t xml:space="preserve">om </w:t>
      </w:r>
      <w:hyperlink r:id="rId18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7B7800" w14:textId="77777777" w:rsidR="00D94935" w:rsidRPr="00140BF9" w:rsidRDefault="00D94935" w:rsidP="00D94935">
      <w:pPr>
        <w:pStyle w:val="AmdtsEntryHd"/>
        <w:rPr>
          <w:rFonts w:cs="Arial"/>
        </w:rPr>
      </w:pPr>
      <w:r w:rsidRPr="00140BF9">
        <w:rPr>
          <w:rFonts w:cs="Arial"/>
        </w:rPr>
        <w:t>Small Claims Court—amendment</w:t>
      </w:r>
    </w:p>
    <w:p w14:paraId="76B75D75" w14:textId="4FBC696F"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8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8939F3" w14:textId="5F9945F5" w:rsidR="00D94935" w:rsidRPr="00140BF9" w:rsidRDefault="00D94935" w:rsidP="00D94935">
      <w:pPr>
        <w:pStyle w:val="AmdtsEntries"/>
        <w:rPr>
          <w:rFonts w:cs="Arial"/>
        </w:rPr>
      </w:pPr>
      <w:r w:rsidRPr="00140BF9">
        <w:rPr>
          <w:rFonts w:cs="Arial"/>
        </w:rPr>
        <w:tab/>
        <w:t xml:space="preserve">om </w:t>
      </w:r>
      <w:hyperlink r:id="rId18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812792" w14:textId="77777777" w:rsidR="00D94935" w:rsidRPr="00140BF9" w:rsidRDefault="00D94935" w:rsidP="00D94935">
      <w:pPr>
        <w:pStyle w:val="AmdtsEntryHd"/>
        <w:rPr>
          <w:rFonts w:cs="Arial"/>
        </w:rPr>
      </w:pPr>
      <w:r w:rsidRPr="00140BF9">
        <w:rPr>
          <w:rFonts w:cs="Arial"/>
        </w:rPr>
        <w:t>Small Claims Court—third-party proceeding</w:t>
      </w:r>
    </w:p>
    <w:p w14:paraId="5FD7F576" w14:textId="09B70E91"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8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F09F95" w14:textId="4BF2B297" w:rsidR="00D94935" w:rsidRPr="00140BF9" w:rsidRDefault="00D94935" w:rsidP="00D94935">
      <w:pPr>
        <w:pStyle w:val="AmdtsEntries"/>
        <w:rPr>
          <w:rFonts w:cs="Arial"/>
        </w:rPr>
      </w:pPr>
      <w:r w:rsidRPr="00140BF9">
        <w:rPr>
          <w:rFonts w:cs="Arial"/>
        </w:rPr>
        <w:tab/>
        <w:t xml:space="preserve">om </w:t>
      </w:r>
      <w:hyperlink r:id="rId18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C2710A9" w14:textId="77777777" w:rsidR="00D94935" w:rsidRPr="00140BF9" w:rsidRDefault="00D94935" w:rsidP="00D94935">
      <w:pPr>
        <w:pStyle w:val="AmdtsEntryHd"/>
        <w:rPr>
          <w:rFonts w:cs="Arial"/>
        </w:rPr>
      </w:pPr>
      <w:r w:rsidRPr="00140BF9">
        <w:rPr>
          <w:rFonts w:cs="Arial"/>
        </w:rPr>
        <w:t>Application of div 3.12.3—common boundary applications</w:t>
      </w:r>
    </w:p>
    <w:p w14:paraId="01B71537" w14:textId="56108A00"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8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58F28" w14:textId="19A3ADF9" w:rsidR="00D94935" w:rsidRPr="00140BF9" w:rsidRDefault="00D94935" w:rsidP="00D94935">
      <w:pPr>
        <w:pStyle w:val="AmdtsEntries"/>
        <w:rPr>
          <w:rFonts w:cs="Arial"/>
        </w:rPr>
      </w:pPr>
      <w:r w:rsidRPr="00140BF9">
        <w:rPr>
          <w:rFonts w:cs="Arial"/>
        </w:rPr>
        <w:tab/>
        <w:t xml:space="preserve">om </w:t>
      </w:r>
      <w:hyperlink r:id="rId18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B41E9DE" w14:textId="77777777" w:rsidR="00D94935" w:rsidRPr="00140BF9" w:rsidRDefault="00D94935" w:rsidP="00D94935">
      <w:pPr>
        <w:pStyle w:val="AmdtsEntryHd"/>
        <w:rPr>
          <w:rFonts w:cs="Arial"/>
        </w:rPr>
      </w:pPr>
      <w:r w:rsidRPr="00140BF9">
        <w:rPr>
          <w:rFonts w:cs="Arial"/>
        </w:rPr>
        <w:t>Small Claims Court—third-party notice</w:t>
      </w:r>
    </w:p>
    <w:p w14:paraId="6AB5CF8C" w14:textId="7684D1E9"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8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BE82F42" w14:textId="2553813B" w:rsidR="00D94935" w:rsidRPr="00140BF9" w:rsidRDefault="00D94935" w:rsidP="00D94935">
      <w:pPr>
        <w:pStyle w:val="AmdtsEntries"/>
        <w:rPr>
          <w:rFonts w:cs="Arial"/>
        </w:rPr>
      </w:pPr>
      <w:r w:rsidRPr="00140BF9">
        <w:rPr>
          <w:rFonts w:cs="Arial"/>
        </w:rPr>
        <w:tab/>
        <w:t xml:space="preserve">om </w:t>
      </w:r>
      <w:hyperlink r:id="rId18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69EB6A" w14:textId="77777777" w:rsidR="00D94935" w:rsidRPr="00140BF9" w:rsidRDefault="00D94935" w:rsidP="00D94935">
      <w:pPr>
        <w:pStyle w:val="AmdtsEntryHd"/>
        <w:rPr>
          <w:rFonts w:cs="Arial"/>
        </w:rPr>
      </w:pPr>
      <w:r w:rsidRPr="00140BF9">
        <w:rPr>
          <w:rFonts w:cs="Arial"/>
        </w:rPr>
        <w:t>Small Claims Court—service of third-party notice</w:t>
      </w:r>
    </w:p>
    <w:p w14:paraId="7B7925AF" w14:textId="5C5F985F"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8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A7A53B" w14:textId="7B7304C0" w:rsidR="00D94935" w:rsidRPr="00140BF9" w:rsidRDefault="00D94935" w:rsidP="00D94935">
      <w:pPr>
        <w:pStyle w:val="AmdtsEntries"/>
        <w:rPr>
          <w:rFonts w:cs="Arial"/>
        </w:rPr>
      </w:pPr>
      <w:r w:rsidRPr="00140BF9">
        <w:rPr>
          <w:rFonts w:cs="Arial"/>
        </w:rPr>
        <w:tab/>
        <w:t xml:space="preserve">om </w:t>
      </w:r>
      <w:hyperlink r:id="rId18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77AAF9C" w14:textId="77777777" w:rsidR="00D94935" w:rsidRPr="00140BF9" w:rsidRDefault="00D94935" w:rsidP="00D94935">
      <w:pPr>
        <w:pStyle w:val="AmdtsEntryHd"/>
        <w:rPr>
          <w:rFonts w:cs="Arial"/>
        </w:rPr>
      </w:pPr>
      <w:r w:rsidRPr="00140BF9">
        <w:rPr>
          <w:rFonts w:cs="Arial"/>
        </w:rPr>
        <w:t>Small Claims Court—response to third-party notice</w:t>
      </w:r>
    </w:p>
    <w:p w14:paraId="48AFD228" w14:textId="01A722E7"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8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1E243F" w14:textId="1135A164" w:rsidR="00D94935" w:rsidRPr="00140BF9" w:rsidRDefault="00D94935" w:rsidP="00D94935">
      <w:pPr>
        <w:pStyle w:val="AmdtsEntries"/>
        <w:rPr>
          <w:rFonts w:cs="Arial"/>
        </w:rPr>
      </w:pPr>
      <w:r w:rsidRPr="00140BF9">
        <w:rPr>
          <w:rFonts w:cs="Arial"/>
        </w:rPr>
        <w:tab/>
        <w:t xml:space="preserve">om </w:t>
      </w:r>
      <w:hyperlink r:id="rId18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B6144F3" w14:textId="77777777" w:rsidR="00D94935" w:rsidRPr="00140BF9" w:rsidRDefault="00D94935" w:rsidP="00D94935">
      <w:pPr>
        <w:pStyle w:val="AmdtsEntryHd"/>
        <w:rPr>
          <w:rFonts w:cs="Arial"/>
        </w:rPr>
      </w:pPr>
      <w:r w:rsidRPr="00140BF9">
        <w:rPr>
          <w:rFonts w:cs="Arial"/>
        </w:rPr>
        <w:t>Small Claims Court—counterclaim and set-off by third party</w:t>
      </w:r>
    </w:p>
    <w:p w14:paraId="6D9F03BA" w14:textId="4C3916EB"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8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85EF487" w14:textId="07019235" w:rsidR="00D94935" w:rsidRPr="00140BF9" w:rsidRDefault="00D94935" w:rsidP="00D94935">
      <w:pPr>
        <w:pStyle w:val="AmdtsEntries"/>
        <w:rPr>
          <w:rFonts w:cs="Arial"/>
        </w:rPr>
      </w:pPr>
      <w:r w:rsidRPr="00140BF9">
        <w:rPr>
          <w:rFonts w:cs="Arial"/>
        </w:rPr>
        <w:tab/>
        <w:t xml:space="preserve">om </w:t>
      </w:r>
      <w:hyperlink r:id="rId18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DD79F8F" w14:textId="77777777" w:rsidR="00D94935" w:rsidRPr="00140BF9" w:rsidRDefault="00D94935" w:rsidP="00D94935">
      <w:pPr>
        <w:pStyle w:val="AmdtsEntryHd"/>
        <w:rPr>
          <w:rFonts w:cs="Arial"/>
        </w:rPr>
      </w:pPr>
      <w:r w:rsidRPr="00140BF9">
        <w:rPr>
          <w:rFonts w:cs="Arial"/>
        </w:rPr>
        <w:t>Small Claims Court—default by third party</w:t>
      </w:r>
    </w:p>
    <w:p w14:paraId="1410F37D" w14:textId="16C72779"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8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59C146" w14:textId="0ECF14B4" w:rsidR="00D94935" w:rsidRPr="00140BF9" w:rsidRDefault="00D94935" w:rsidP="00D94935">
      <w:pPr>
        <w:pStyle w:val="AmdtsEntries"/>
        <w:rPr>
          <w:rFonts w:cs="Arial"/>
        </w:rPr>
      </w:pPr>
      <w:r w:rsidRPr="00140BF9">
        <w:rPr>
          <w:rFonts w:cs="Arial"/>
        </w:rPr>
        <w:tab/>
        <w:t xml:space="preserve">om </w:t>
      </w:r>
      <w:hyperlink r:id="rId18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58837B" w14:textId="77777777" w:rsidR="00D94935" w:rsidRPr="00140BF9" w:rsidRDefault="00D94935" w:rsidP="00D94935">
      <w:pPr>
        <w:pStyle w:val="AmdtsEntryHd"/>
        <w:rPr>
          <w:rFonts w:cs="Arial"/>
        </w:rPr>
      </w:pPr>
      <w:r w:rsidRPr="00140BF9">
        <w:rPr>
          <w:rFonts w:cs="Arial"/>
        </w:rPr>
        <w:lastRenderedPageBreak/>
        <w:t>Small Claims Court—judgment between respondent and third party</w:t>
      </w:r>
    </w:p>
    <w:p w14:paraId="65B8D27C" w14:textId="4A6EC6D6"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8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E6FBFDA" w14:textId="1AE51F21" w:rsidR="00D94935" w:rsidRPr="00140BF9" w:rsidRDefault="00D94935" w:rsidP="00D94935">
      <w:pPr>
        <w:pStyle w:val="AmdtsEntries"/>
        <w:rPr>
          <w:rFonts w:cs="Arial"/>
        </w:rPr>
      </w:pPr>
      <w:r w:rsidRPr="00140BF9">
        <w:rPr>
          <w:rFonts w:cs="Arial"/>
        </w:rPr>
        <w:tab/>
        <w:t xml:space="preserve">om </w:t>
      </w:r>
      <w:hyperlink r:id="rId18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020021D" w14:textId="77777777" w:rsidR="00D94935" w:rsidRPr="00140BF9" w:rsidRDefault="00D94935" w:rsidP="00D94935">
      <w:pPr>
        <w:pStyle w:val="AmdtsEntryHd"/>
        <w:rPr>
          <w:rFonts w:cs="Arial"/>
        </w:rPr>
      </w:pPr>
      <w:r w:rsidRPr="00140BF9">
        <w:rPr>
          <w:rFonts w:cs="Arial"/>
        </w:rPr>
        <w:t>Small Claims Court—admission of liability</w:t>
      </w:r>
    </w:p>
    <w:p w14:paraId="06FDC604" w14:textId="75CDEEE6"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8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A232C3" w14:textId="2066BE00" w:rsidR="00D94935" w:rsidRPr="00140BF9" w:rsidRDefault="00D94935" w:rsidP="00D94935">
      <w:pPr>
        <w:pStyle w:val="AmdtsEntries"/>
        <w:rPr>
          <w:rFonts w:cs="Arial"/>
        </w:rPr>
      </w:pPr>
      <w:r w:rsidRPr="00140BF9">
        <w:rPr>
          <w:rFonts w:cs="Arial"/>
        </w:rPr>
        <w:tab/>
        <w:t xml:space="preserve">om </w:t>
      </w:r>
      <w:hyperlink r:id="rId18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823C3A" w14:textId="77777777" w:rsidR="00D94935" w:rsidRPr="00140BF9" w:rsidRDefault="00D94935" w:rsidP="00D94935">
      <w:pPr>
        <w:pStyle w:val="AmdtsEntryHd"/>
        <w:rPr>
          <w:rFonts w:cs="Arial"/>
        </w:rPr>
      </w:pPr>
      <w:r w:rsidRPr="00140BF9">
        <w:rPr>
          <w:rFonts w:cs="Arial"/>
        </w:rPr>
        <w:t>Application of div 3.12.4—common boundary applications</w:t>
      </w:r>
    </w:p>
    <w:p w14:paraId="144D71A9" w14:textId="62F0D8EF"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8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0E2C25" w14:textId="5C201FBD" w:rsidR="00D94935" w:rsidRPr="00140BF9" w:rsidRDefault="00D94935" w:rsidP="00D94935">
      <w:pPr>
        <w:pStyle w:val="AmdtsEntries"/>
        <w:rPr>
          <w:rFonts w:cs="Arial"/>
        </w:rPr>
      </w:pPr>
      <w:r w:rsidRPr="00140BF9">
        <w:rPr>
          <w:rFonts w:cs="Arial"/>
        </w:rPr>
        <w:tab/>
        <w:t xml:space="preserve">om </w:t>
      </w:r>
      <w:hyperlink r:id="rId18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C079C9" w14:textId="77777777" w:rsidR="00D94935" w:rsidRPr="00140BF9" w:rsidRDefault="00D94935" w:rsidP="00D94935">
      <w:pPr>
        <w:pStyle w:val="AmdtsEntryHd"/>
        <w:rPr>
          <w:rFonts w:cs="Arial"/>
        </w:rPr>
      </w:pPr>
      <w:r w:rsidRPr="00140BF9">
        <w:rPr>
          <w:rFonts w:cs="Arial"/>
        </w:rPr>
        <w:t>Small Claims Court—admission of liability</w:t>
      </w:r>
    </w:p>
    <w:p w14:paraId="4F0CCEB0" w14:textId="443981D8"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8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621865" w14:textId="72E36445" w:rsidR="00D94935" w:rsidRPr="00140BF9" w:rsidRDefault="00D94935" w:rsidP="00D94935">
      <w:pPr>
        <w:pStyle w:val="AmdtsEntries"/>
        <w:rPr>
          <w:rFonts w:cs="Arial"/>
        </w:rPr>
      </w:pPr>
      <w:r w:rsidRPr="00140BF9">
        <w:rPr>
          <w:rFonts w:cs="Arial"/>
        </w:rPr>
        <w:tab/>
        <w:t xml:space="preserve">om </w:t>
      </w:r>
      <w:hyperlink r:id="rId18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4EA819" w14:textId="77777777" w:rsidR="00D94935" w:rsidRPr="00140BF9" w:rsidRDefault="00D94935" w:rsidP="00D94935">
      <w:pPr>
        <w:pStyle w:val="AmdtsEntryHd"/>
        <w:rPr>
          <w:rFonts w:cs="Arial"/>
        </w:rPr>
      </w:pPr>
      <w:r w:rsidRPr="00140BF9">
        <w:rPr>
          <w:rFonts w:cs="Arial"/>
        </w:rPr>
        <w:t>Small Claims Court—payment into court</w:t>
      </w:r>
    </w:p>
    <w:p w14:paraId="7B936C8B" w14:textId="1707F3C9"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8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1B809CE" w14:textId="197B60E7" w:rsidR="00D94935" w:rsidRPr="00140BF9" w:rsidRDefault="00D94935" w:rsidP="00D94935">
      <w:pPr>
        <w:pStyle w:val="AmdtsEntries"/>
        <w:rPr>
          <w:rFonts w:cs="Arial"/>
        </w:rPr>
      </w:pPr>
      <w:r w:rsidRPr="00140BF9">
        <w:rPr>
          <w:rFonts w:cs="Arial"/>
        </w:rPr>
        <w:tab/>
        <w:t xml:space="preserve">om </w:t>
      </w:r>
      <w:hyperlink r:id="rId18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C5D1799" w14:textId="77777777" w:rsidR="00D94935" w:rsidRPr="00140BF9" w:rsidRDefault="00D94935" w:rsidP="00D94935">
      <w:pPr>
        <w:pStyle w:val="AmdtsEntryHd"/>
        <w:rPr>
          <w:rFonts w:cs="Arial"/>
        </w:rPr>
      </w:pPr>
      <w:r w:rsidRPr="00140BF9">
        <w:rPr>
          <w:rFonts w:cs="Arial"/>
        </w:rPr>
        <w:t>Small Claims Court—payment into court by bond</w:t>
      </w:r>
    </w:p>
    <w:p w14:paraId="4A5F3AC6" w14:textId="38392B10"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8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25E90E0" w14:textId="21ED9B5E" w:rsidR="00D94935" w:rsidRPr="00140BF9" w:rsidRDefault="00D94935" w:rsidP="00D94935">
      <w:pPr>
        <w:pStyle w:val="AmdtsEntries"/>
        <w:rPr>
          <w:rFonts w:cs="Arial"/>
        </w:rPr>
      </w:pPr>
      <w:r w:rsidRPr="00140BF9">
        <w:rPr>
          <w:rFonts w:cs="Arial"/>
        </w:rPr>
        <w:tab/>
        <w:t xml:space="preserve">om </w:t>
      </w:r>
      <w:hyperlink r:id="rId18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0E8BE23" w14:textId="77777777" w:rsidR="00D94935" w:rsidRPr="00140BF9" w:rsidRDefault="00D94935" w:rsidP="00D94935">
      <w:pPr>
        <w:pStyle w:val="AmdtsEntryHd"/>
        <w:rPr>
          <w:rFonts w:cs="Arial"/>
        </w:rPr>
      </w:pPr>
      <w:r w:rsidRPr="00140BF9">
        <w:rPr>
          <w:rFonts w:cs="Arial"/>
        </w:rPr>
        <w:t>Small Claims Court—no response to claim</w:t>
      </w:r>
    </w:p>
    <w:p w14:paraId="3BD3199C" w14:textId="24AD4187"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8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8A47CB" w14:textId="106FBC76" w:rsidR="00D94935" w:rsidRPr="00140BF9" w:rsidRDefault="00D94935" w:rsidP="00D94935">
      <w:pPr>
        <w:pStyle w:val="AmdtsEntries"/>
        <w:rPr>
          <w:rFonts w:cs="Arial"/>
        </w:rPr>
      </w:pPr>
      <w:r w:rsidRPr="00140BF9">
        <w:rPr>
          <w:rFonts w:cs="Arial"/>
        </w:rPr>
        <w:tab/>
        <w:t xml:space="preserve">om </w:t>
      </w:r>
      <w:hyperlink r:id="rId18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F11395" w14:textId="77777777" w:rsidR="00D94935" w:rsidRPr="00140BF9" w:rsidRDefault="00D94935" w:rsidP="00D94935">
      <w:pPr>
        <w:pStyle w:val="AmdtsEntryHd"/>
        <w:rPr>
          <w:rFonts w:cs="Arial"/>
        </w:rPr>
      </w:pPr>
      <w:r w:rsidRPr="00140BF9">
        <w:rPr>
          <w:rFonts w:cs="Arial"/>
        </w:rPr>
        <w:t>Small Claims Court—default judgment</w:t>
      </w:r>
    </w:p>
    <w:p w14:paraId="6E8916FD" w14:textId="22F98357"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8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43DC47" w14:textId="2ECB9328" w:rsidR="00D94935" w:rsidRPr="00140BF9" w:rsidRDefault="00D94935" w:rsidP="00D94935">
      <w:pPr>
        <w:pStyle w:val="AmdtsEntries"/>
        <w:rPr>
          <w:rFonts w:cs="Arial"/>
        </w:rPr>
      </w:pPr>
      <w:r w:rsidRPr="00140BF9">
        <w:rPr>
          <w:rFonts w:cs="Arial"/>
        </w:rPr>
        <w:tab/>
        <w:t xml:space="preserve">om </w:t>
      </w:r>
      <w:hyperlink r:id="rId18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6646B6" w14:textId="77777777" w:rsidR="00D94935" w:rsidRPr="00140BF9" w:rsidRDefault="00D94935" w:rsidP="00D94935">
      <w:pPr>
        <w:pStyle w:val="AmdtsEntryHd"/>
        <w:rPr>
          <w:rFonts w:cs="Arial"/>
        </w:rPr>
      </w:pPr>
      <w:r w:rsidRPr="00140BF9">
        <w:rPr>
          <w:rFonts w:cs="Arial"/>
        </w:rPr>
        <w:t>Small Claims Court—striking out application</w:t>
      </w:r>
    </w:p>
    <w:p w14:paraId="58B3B9CA" w14:textId="6EE604C8"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8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EB5606" w14:textId="3949AFB4" w:rsidR="00D94935" w:rsidRPr="00140BF9" w:rsidRDefault="00D94935" w:rsidP="00D94935">
      <w:pPr>
        <w:pStyle w:val="AmdtsEntries"/>
        <w:rPr>
          <w:rFonts w:cs="Arial"/>
        </w:rPr>
      </w:pPr>
      <w:r w:rsidRPr="00140BF9">
        <w:rPr>
          <w:rFonts w:cs="Arial"/>
        </w:rPr>
        <w:tab/>
        <w:t xml:space="preserve">om </w:t>
      </w:r>
      <w:hyperlink r:id="rId18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4FDD47" w14:textId="77777777" w:rsidR="00D94935" w:rsidRPr="00140BF9" w:rsidRDefault="00D94935" w:rsidP="00D94935">
      <w:pPr>
        <w:pStyle w:val="AmdtsEntryHd"/>
        <w:rPr>
          <w:rFonts w:cs="Arial"/>
        </w:rPr>
      </w:pPr>
      <w:r w:rsidRPr="00140BF9">
        <w:rPr>
          <w:rFonts w:cs="Arial"/>
        </w:rPr>
        <w:t>Small Claims Court—disputed claim</w:t>
      </w:r>
    </w:p>
    <w:p w14:paraId="5EE8B001" w14:textId="51C1F011"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8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FB50496" w14:textId="26A3DB9F" w:rsidR="00D94935" w:rsidRPr="00140BF9" w:rsidRDefault="00D94935" w:rsidP="00D94935">
      <w:pPr>
        <w:pStyle w:val="AmdtsEntries"/>
        <w:rPr>
          <w:rFonts w:cs="Arial"/>
        </w:rPr>
      </w:pPr>
      <w:r w:rsidRPr="00140BF9">
        <w:rPr>
          <w:rFonts w:cs="Arial"/>
        </w:rPr>
        <w:tab/>
        <w:t xml:space="preserve">om </w:t>
      </w:r>
      <w:hyperlink r:id="rId18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7DA962" w14:textId="77777777" w:rsidR="00D94935" w:rsidRPr="00140BF9" w:rsidRDefault="00D94935" w:rsidP="00D94935">
      <w:pPr>
        <w:pStyle w:val="AmdtsEntryHd"/>
        <w:rPr>
          <w:rFonts w:cs="Arial"/>
        </w:rPr>
      </w:pPr>
      <w:r w:rsidRPr="00140BF9">
        <w:rPr>
          <w:rFonts w:cs="Arial"/>
        </w:rPr>
        <w:t>Small Claims Court—disputed claim</w:t>
      </w:r>
    </w:p>
    <w:p w14:paraId="35D80BF7" w14:textId="19BD7CAF"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8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4FC3D8" w14:textId="621446F5" w:rsidR="00D94935" w:rsidRPr="00140BF9" w:rsidRDefault="00D94935" w:rsidP="00D94935">
      <w:pPr>
        <w:pStyle w:val="AmdtsEntries"/>
        <w:rPr>
          <w:rFonts w:cs="Arial"/>
        </w:rPr>
      </w:pPr>
      <w:r w:rsidRPr="00140BF9">
        <w:rPr>
          <w:rFonts w:cs="Arial"/>
        </w:rPr>
        <w:tab/>
        <w:t xml:space="preserve">om </w:t>
      </w:r>
      <w:hyperlink r:id="rId18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B190963" w14:textId="77777777" w:rsidR="00D94935" w:rsidRPr="00140BF9" w:rsidRDefault="00D94935" w:rsidP="00D94935">
      <w:pPr>
        <w:pStyle w:val="AmdtsEntryHd"/>
        <w:rPr>
          <w:rFonts w:cs="Arial"/>
        </w:rPr>
      </w:pPr>
      <w:r w:rsidRPr="00140BF9">
        <w:rPr>
          <w:rFonts w:cs="Arial"/>
        </w:rPr>
        <w:t>Small Claims Court—conferences</w:t>
      </w:r>
    </w:p>
    <w:p w14:paraId="6A8A0596" w14:textId="0BB16FF0"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8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05378A" w14:textId="325BFF8E" w:rsidR="00D94935" w:rsidRPr="00140BF9" w:rsidRDefault="00D94935" w:rsidP="00D94935">
      <w:pPr>
        <w:pStyle w:val="AmdtsEntries"/>
        <w:rPr>
          <w:rFonts w:cs="Arial"/>
        </w:rPr>
      </w:pPr>
      <w:r w:rsidRPr="00140BF9">
        <w:rPr>
          <w:rFonts w:cs="Arial"/>
        </w:rPr>
        <w:tab/>
        <w:t xml:space="preserve">om </w:t>
      </w:r>
      <w:hyperlink r:id="rId18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F30801F" w14:textId="77777777" w:rsidR="00D94935" w:rsidRPr="00140BF9" w:rsidRDefault="00D94935" w:rsidP="00D94935">
      <w:pPr>
        <w:pStyle w:val="AmdtsEntryHd"/>
        <w:rPr>
          <w:rFonts w:cs="Arial"/>
        </w:rPr>
      </w:pPr>
      <w:r w:rsidRPr="00140BF9">
        <w:rPr>
          <w:rFonts w:cs="Arial"/>
        </w:rPr>
        <w:t>Application—div 3.12.7</w:t>
      </w:r>
    </w:p>
    <w:p w14:paraId="02B0210C" w14:textId="39750E7C"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8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F07F89" w14:textId="17742970" w:rsidR="00D94935" w:rsidRPr="00140BF9" w:rsidRDefault="00D94935" w:rsidP="00D94935">
      <w:pPr>
        <w:pStyle w:val="AmdtsEntries"/>
        <w:rPr>
          <w:rFonts w:cs="Arial"/>
        </w:rPr>
      </w:pPr>
      <w:r w:rsidRPr="00140BF9">
        <w:rPr>
          <w:rFonts w:cs="Arial"/>
        </w:rPr>
        <w:tab/>
        <w:t xml:space="preserve">om </w:t>
      </w:r>
      <w:hyperlink r:id="rId18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A596AC2" w14:textId="77777777" w:rsidR="00D94935" w:rsidRPr="00140BF9" w:rsidRDefault="00D94935" w:rsidP="00D94935">
      <w:pPr>
        <w:pStyle w:val="AmdtsEntryHd"/>
        <w:rPr>
          <w:rFonts w:cs="Arial"/>
        </w:rPr>
      </w:pPr>
      <w:r w:rsidRPr="00140BF9">
        <w:rPr>
          <w:rFonts w:cs="Arial"/>
        </w:rPr>
        <w:lastRenderedPageBreak/>
        <w:t>Small Claims Court conference—setting conference date</w:t>
      </w:r>
    </w:p>
    <w:p w14:paraId="336189F7" w14:textId="18935AF8"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8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69B60" w14:textId="1D516FCD" w:rsidR="00D94935" w:rsidRPr="00140BF9" w:rsidRDefault="00D94935" w:rsidP="00D94935">
      <w:pPr>
        <w:pStyle w:val="AmdtsEntries"/>
        <w:rPr>
          <w:rFonts w:cs="Arial"/>
        </w:rPr>
      </w:pPr>
      <w:r w:rsidRPr="00140BF9">
        <w:rPr>
          <w:rFonts w:cs="Arial"/>
        </w:rPr>
        <w:tab/>
        <w:t xml:space="preserve">om </w:t>
      </w:r>
      <w:hyperlink r:id="rId186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39920" w14:textId="77777777" w:rsidR="00D94935" w:rsidRPr="00140BF9" w:rsidRDefault="00D94935" w:rsidP="00D94935">
      <w:pPr>
        <w:pStyle w:val="AmdtsEntryHd"/>
        <w:rPr>
          <w:rFonts w:cs="Arial"/>
        </w:rPr>
      </w:pPr>
      <w:r w:rsidRPr="00140BF9">
        <w:rPr>
          <w:rFonts w:cs="Arial"/>
        </w:rPr>
        <w:t>Small Claims Court conference—changing time or place of</w:t>
      </w:r>
    </w:p>
    <w:p w14:paraId="6F064600" w14:textId="62D8A9A2"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8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B8650F" w14:textId="26D4B478" w:rsidR="00D94935" w:rsidRPr="00140BF9" w:rsidRDefault="00D94935" w:rsidP="00D94935">
      <w:pPr>
        <w:pStyle w:val="AmdtsEntries"/>
        <w:rPr>
          <w:rFonts w:cs="Arial"/>
        </w:rPr>
      </w:pPr>
      <w:r w:rsidRPr="00140BF9">
        <w:rPr>
          <w:rFonts w:cs="Arial"/>
        </w:rPr>
        <w:tab/>
        <w:t xml:space="preserve">om </w:t>
      </w:r>
      <w:hyperlink r:id="rId18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309E26A" w14:textId="77777777" w:rsidR="00D94935" w:rsidRPr="00140BF9" w:rsidRDefault="00D94935" w:rsidP="00D94935">
      <w:pPr>
        <w:pStyle w:val="AmdtsEntryHd"/>
        <w:rPr>
          <w:rFonts w:cs="Arial"/>
        </w:rPr>
      </w:pPr>
      <w:r w:rsidRPr="00140BF9">
        <w:rPr>
          <w:rFonts w:cs="Arial"/>
        </w:rPr>
        <w:t>Small Claims Court conference—representation</w:t>
      </w:r>
    </w:p>
    <w:p w14:paraId="0D3FE0EA" w14:textId="573C5261"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8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A433C4" w14:textId="3BB1D1E2" w:rsidR="00D94935" w:rsidRPr="00140BF9" w:rsidRDefault="00D94935" w:rsidP="00D94935">
      <w:pPr>
        <w:pStyle w:val="AmdtsEntries"/>
        <w:rPr>
          <w:rFonts w:cs="Arial"/>
        </w:rPr>
      </w:pPr>
      <w:r w:rsidRPr="00140BF9">
        <w:rPr>
          <w:rFonts w:cs="Arial"/>
        </w:rPr>
        <w:tab/>
        <w:t xml:space="preserve">om </w:t>
      </w:r>
      <w:hyperlink r:id="rId18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62E056" w14:textId="77777777" w:rsidR="00D94935" w:rsidRPr="00140BF9" w:rsidRDefault="00D94935" w:rsidP="00D94935">
      <w:pPr>
        <w:pStyle w:val="AmdtsEntryHd"/>
        <w:rPr>
          <w:rFonts w:cs="Arial"/>
        </w:rPr>
      </w:pPr>
      <w:r w:rsidRPr="00140BF9">
        <w:rPr>
          <w:rFonts w:cs="Arial"/>
        </w:rPr>
        <w:t>Small Claims Court conference—who may attend</w:t>
      </w:r>
    </w:p>
    <w:p w14:paraId="20451FEE" w14:textId="7F4902B4"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8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6E6BB64" w14:textId="39E1FD32" w:rsidR="00D94935" w:rsidRPr="00140BF9" w:rsidRDefault="00D94935" w:rsidP="00D94935">
      <w:pPr>
        <w:pStyle w:val="AmdtsEntries"/>
        <w:rPr>
          <w:rFonts w:cs="Arial"/>
        </w:rPr>
      </w:pPr>
      <w:r w:rsidRPr="00140BF9">
        <w:rPr>
          <w:rFonts w:cs="Arial"/>
        </w:rPr>
        <w:tab/>
        <w:t xml:space="preserve">om </w:t>
      </w:r>
      <w:hyperlink r:id="rId18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AF9B35" w14:textId="77777777" w:rsidR="00D94935" w:rsidRPr="00140BF9" w:rsidRDefault="00D94935" w:rsidP="00D94935">
      <w:pPr>
        <w:pStyle w:val="AmdtsEntryHd"/>
        <w:rPr>
          <w:rFonts w:cs="Arial"/>
        </w:rPr>
      </w:pPr>
      <w:r w:rsidRPr="00140BF9">
        <w:rPr>
          <w:rFonts w:cs="Arial"/>
        </w:rPr>
        <w:t>Small Claims Court conference—failure to attend</w:t>
      </w:r>
    </w:p>
    <w:p w14:paraId="67E21CB7" w14:textId="008C19A3"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8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87477DD" w14:textId="00149F3E" w:rsidR="00D94935" w:rsidRPr="00140BF9" w:rsidRDefault="00D94935" w:rsidP="00D94935">
      <w:pPr>
        <w:pStyle w:val="AmdtsEntries"/>
        <w:rPr>
          <w:rFonts w:cs="Arial"/>
        </w:rPr>
      </w:pPr>
      <w:r w:rsidRPr="00140BF9">
        <w:rPr>
          <w:rFonts w:cs="Arial"/>
        </w:rPr>
        <w:tab/>
        <w:t xml:space="preserve">om </w:t>
      </w:r>
      <w:hyperlink r:id="rId18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7273BE4" w14:textId="77777777" w:rsidR="00D94935" w:rsidRPr="00140BF9" w:rsidRDefault="00D94935" w:rsidP="00D94935">
      <w:pPr>
        <w:pStyle w:val="AmdtsEntryHd"/>
        <w:rPr>
          <w:rFonts w:cs="Arial"/>
        </w:rPr>
      </w:pPr>
      <w:r w:rsidRPr="00140BF9">
        <w:rPr>
          <w:rFonts w:cs="Arial"/>
        </w:rPr>
        <w:t>Small Claims Court conference—procedure</w:t>
      </w:r>
    </w:p>
    <w:p w14:paraId="1731752B" w14:textId="1FCF248F"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8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F68B634" w14:textId="4ED4E7D6" w:rsidR="00D94935" w:rsidRPr="00140BF9" w:rsidRDefault="00D94935" w:rsidP="00D94935">
      <w:pPr>
        <w:pStyle w:val="AmdtsEntries"/>
        <w:rPr>
          <w:rFonts w:cs="Arial"/>
        </w:rPr>
      </w:pPr>
      <w:r w:rsidRPr="00140BF9">
        <w:rPr>
          <w:rFonts w:cs="Arial"/>
        </w:rPr>
        <w:tab/>
        <w:t xml:space="preserve">om </w:t>
      </w:r>
      <w:hyperlink r:id="rId18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22E2F3" w14:textId="77777777" w:rsidR="00D94935" w:rsidRPr="00140BF9" w:rsidRDefault="00D94935" w:rsidP="00D94935">
      <w:pPr>
        <w:pStyle w:val="AmdtsEntryHd"/>
        <w:rPr>
          <w:rFonts w:cs="Arial"/>
        </w:rPr>
      </w:pPr>
      <w:r w:rsidRPr="00140BF9">
        <w:rPr>
          <w:rFonts w:cs="Arial"/>
        </w:rPr>
        <w:t>Small Claims Court—inquiries</w:t>
      </w:r>
    </w:p>
    <w:p w14:paraId="08695A00" w14:textId="1389329A"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8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AE5DAF" w14:textId="39507F7B" w:rsidR="00D94935" w:rsidRPr="00140BF9" w:rsidRDefault="00D94935" w:rsidP="00D94935">
      <w:pPr>
        <w:pStyle w:val="AmdtsEntries"/>
        <w:rPr>
          <w:rFonts w:cs="Arial"/>
        </w:rPr>
      </w:pPr>
      <w:r w:rsidRPr="00140BF9">
        <w:rPr>
          <w:rFonts w:cs="Arial"/>
        </w:rPr>
        <w:tab/>
        <w:t xml:space="preserve">om </w:t>
      </w:r>
      <w:hyperlink r:id="rId18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84CD871" w14:textId="77777777" w:rsidR="00D94935" w:rsidRPr="00140BF9" w:rsidRDefault="00D94935" w:rsidP="00D94935">
      <w:pPr>
        <w:pStyle w:val="AmdtsEntryHd"/>
        <w:rPr>
          <w:rFonts w:cs="Arial"/>
        </w:rPr>
      </w:pPr>
      <w:r w:rsidRPr="00140BF9">
        <w:rPr>
          <w:rFonts w:cs="Arial"/>
        </w:rPr>
        <w:t>Application—div 3.12.8</w:t>
      </w:r>
    </w:p>
    <w:p w14:paraId="17184709" w14:textId="45D4CB81"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8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969F1E6" w14:textId="1DC49967" w:rsidR="00D94935" w:rsidRPr="00140BF9" w:rsidRDefault="00D94935" w:rsidP="00D94935">
      <w:pPr>
        <w:pStyle w:val="AmdtsEntries"/>
        <w:rPr>
          <w:rFonts w:cs="Arial"/>
        </w:rPr>
      </w:pPr>
      <w:r w:rsidRPr="00140BF9">
        <w:rPr>
          <w:rFonts w:cs="Arial"/>
        </w:rPr>
        <w:tab/>
        <w:t xml:space="preserve">om </w:t>
      </w:r>
      <w:hyperlink r:id="rId18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71BEED" w14:textId="77777777" w:rsidR="00D94935" w:rsidRPr="00140BF9" w:rsidRDefault="00D94935" w:rsidP="00D94935">
      <w:pPr>
        <w:pStyle w:val="AmdtsEntryHd"/>
        <w:rPr>
          <w:rFonts w:cs="Arial"/>
        </w:rPr>
      </w:pPr>
      <w:r w:rsidRPr="00140BF9">
        <w:rPr>
          <w:rFonts w:cs="Arial"/>
        </w:rPr>
        <w:t>Small Claims Court inquiry—constitution</w:t>
      </w:r>
    </w:p>
    <w:p w14:paraId="76B650AD" w14:textId="50DDCEA9"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8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420119" w14:textId="129A1516" w:rsidR="00D94935" w:rsidRPr="00140BF9" w:rsidRDefault="00D94935" w:rsidP="00D94935">
      <w:pPr>
        <w:pStyle w:val="AmdtsEntries"/>
        <w:rPr>
          <w:rFonts w:cs="Arial"/>
        </w:rPr>
      </w:pPr>
      <w:r w:rsidRPr="00140BF9">
        <w:rPr>
          <w:rFonts w:cs="Arial"/>
        </w:rPr>
        <w:tab/>
        <w:t xml:space="preserve">om </w:t>
      </w:r>
      <w:hyperlink r:id="rId18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E30E67C" w14:textId="77777777" w:rsidR="00D94935" w:rsidRPr="00140BF9" w:rsidRDefault="00D94935" w:rsidP="00D94935">
      <w:pPr>
        <w:pStyle w:val="AmdtsEntryHd"/>
        <w:rPr>
          <w:rFonts w:cs="Arial"/>
        </w:rPr>
      </w:pPr>
      <w:r w:rsidRPr="00140BF9">
        <w:rPr>
          <w:rFonts w:cs="Arial"/>
        </w:rPr>
        <w:t>Small Claims Court inquiry—changing time or place of</w:t>
      </w:r>
    </w:p>
    <w:p w14:paraId="75070B0B" w14:textId="57FEC4DC"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8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3FA9B2" w14:textId="31997B20" w:rsidR="00D94935" w:rsidRPr="00140BF9" w:rsidRDefault="00D94935" w:rsidP="00D94935">
      <w:pPr>
        <w:pStyle w:val="AmdtsEntries"/>
        <w:rPr>
          <w:rFonts w:cs="Arial"/>
        </w:rPr>
      </w:pPr>
      <w:r w:rsidRPr="00140BF9">
        <w:rPr>
          <w:rFonts w:cs="Arial"/>
        </w:rPr>
        <w:tab/>
        <w:t xml:space="preserve">om </w:t>
      </w:r>
      <w:hyperlink r:id="rId18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75DDF83" w14:textId="77777777" w:rsidR="00D94935" w:rsidRPr="00140BF9" w:rsidRDefault="00D94935" w:rsidP="00D94935">
      <w:pPr>
        <w:pStyle w:val="AmdtsEntryHd"/>
        <w:rPr>
          <w:rFonts w:cs="Arial"/>
        </w:rPr>
      </w:pPr>
      <w:r w:rsidRPr="00140BF9">
        <w:rPr>
          <w:rFonts w:cs="Arial"/>
        </w:rPr>
        <w:t>Small Claims Court inquiry—representation</w:t>
      </w:r>
    </w:p>
    <w:p w14:paraId="17549A3B" w14:textId="136AA105"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3AD83A8" w14:textId="06B04741" w:rsidR="00D94935" w:rsidRPr="00140BF9" w:rsidRDefault="00D94935" w:rsidP="00D94935">
      <w:pPr>
        <w:pStyle w:val="AmdtsEntries"/>
        <w:rPr>
          <w:rFonts w:cs="Arial"/>
        </w:rPr>
      </w:pPr>
      <w:r w:rsidRPr="00140BF9">
        <w:rPr>
          <w:rFonts w:cs="Arial"/>
        </w:rPr>
        <w:tab/>
        <w:t xml:space="preserve">om </w:t>
      </w:r>
      <w:hyperlink r:id="rId18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2A07CAD" w14:textId="77777777" w:rsidR="00D94935" w:rsidRPr="00140BF9" w:rsidRDefault="00D94935" w:rsidP="00D94935">
      <w:pPr>
        <w:pStyle w:val="AmdtsEntryHd"/>
        <w:rPr>
          <w:rFonts w:cs="Arial"/>
        </w:rPr>
      </w:pPr>
      <w:r w:rsidRPr="00140BF9">
        <w:rPr>
          <w:rFonts w:cs="Arial"/>
        </w:rPr>
        <w:t>Small Claims Court inquiry—failure to attend</w:t>
      </w:r>
    </w:p>
    <w:p w14:paraId="71DBDEF9" w14:textId="26B8BA0B"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8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05E667" w14:textId="2314A286" w:rsidR="00D94935" w:rsidRPr="00140BF9" w:rsidRDefault="00D94935" w:rsidP="00D94935">
      <w:pPr>
        <w:pStyle w:val="AmdtsEntries"/>
        <w:rPr>
          <w:rFonts w:cs="Arial"/>
        </w:rPr>
      </w:pPr>
      <w:r w:rsidRPr="00140BF9">
        <w:rPr>
          <w:rFonts w:cs="Arial"/>
        </w:rPr>
        <w:tab/>
        <w:t xml:space="preserve">om </w:t>
      </w:r>
      <w:hyperlink r:id="rId18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C64BF48" w14:textId="77777777" w:rsidR="00D94935" w:rsidRPr="00140BF9" w:rsidRDefault="00D94935" w:rsidP="00D94935">
      <w:pPr>
        <w:pStyle w:val="AmdtsEntryHd"/>
        <w:rPr>
          <w:rFonts w:cs="Arial"/>
        </w:rPr>
      </w:pPr>
      <w:r w:rsidRPr="00140BF9">
        <w:rPr>
          <w:rFonts w:cs="Arial"/>
        </w:rPr>
        <w:t>Small Claims Court inquiry—procedure</w:t>
      </w:r>
    </w:p>
    <w:p w14:paraId="500AFA08" w14:textId="78A0E864"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26ECAE" w14:textId="325B094C" w:rsidR="00D94935" w:rsidRPr="00140BF9" w:rsidRDefault="00D94935" w:rsidP="00D94935">
      <w:pPr>
        <w:pStyle w:val="AmdtsEntries"/>
        <w:rPr>
          <w:rFonts w:cs="Arial"/>
        </w:rPr>
      </w:pPr>
      <w:r w:rsidRPr="00140BF9">
        <w:rPr>
          <w:rFonts w:cs="Arial"/>
        </w:rPr>
        <w:tab/>
        <w:t xml:space="preserve">om </w:t>
      </w:r>
      <w:hyperlink r:id="rId18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052BF02" w14:textId="77777777" w:rsidR="00D94935" w:rsidRPr="00140BF9" w:rsidRDefault="00D94935" w:rsidP="00D94935">
      <w:pPr>
        <w:pStyle w:val="AmdtsEntryHd"/>
        <w:rPr>
          <w:rFonts w:cs="Arial"/>
        </w:rPr>
      </w:pPr>
      <w:r w:rsidRPr="00140BF9">
        <w:rPr>
          <w:rFonts w:cs="Arial"/>
        </w:rPr>
        <w:lastRenderedPageBreak/>
        <w:t>Small Claims Court inquiry—investigators</w:t>
      </w:r>
    </w:p>
    <w:p w14:paraId="01766382" w14:textId="7F64869D"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8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5D4130C" w14:textId="198B1EFB" w:rsidR="00D94935" w:rsidRPr="00140BF9" w:rsidRDefault="00D94935" w:rsidP="00D94935">
      <w:pPr>
        <w:pStyle w:val="AmdtsEntries"/>
        <w:rPr>
          <w:rFonts w:cs="Arial"/>
        </w:rPr>
      </w:pPr>
      <w:r w:rsidRPr="00140BF9">
        <w:rPr>
          <w:rFonts w:cs="Arial"/>
        </w:rPr>
        <w:tab/>
        <w:t xml:space="preserve">om </w:t>
      </w:r>
      <w:hyperlink r:id="rId18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EB8AA4" w14:textId="77777777" w:rsidR="00D94935" w:rsidRPr="00140BF9" w:rsidRDefault="00D94935" w:rsidP="00D94935">
      <w:pPr>
        <w:pStyle w:val="AmdtsEntryHd"/>
        <w:rPr>
          <w:rFonts w:cs="Arial"/>
        </w:rPr>
      </w:pPr>
      <w:r w:rsidRPr="00140BF9">
        <w:rPr>
          <w:rFonts w:cs="Arial"/>
        </w:rPr>
        <w:t>Small Claims Court—transfer of proceedings between courts</w:t>
      </w:r>
    </w:p>
    <w:p w14:paraId="1E32751F" w14:textId="1E063105"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0C3DAF1" w14:textId="247A9360" w:rsidR="00D94935" w:rsidRPr="00140BF9" w:rsidRDefault="00D94935" w:rsidP="00D94935">
      <w:pPr>
        <w:pStyle w:val="AmdtsEntries"/>
        <w:rPr>
          <w:rFonts w:cs="Arial"/>
        </w:rPr>
      </w:pPr>
      <w:r w:rsidRPr="00140BF9">
        <w:rPr>
          <w:rFonts w:cs="Arial"/>
        </w:rPr>
        <w:tab/>
        <w:t xml:space="preserve">om </w:t>
      </w:r>
      <w:hyperlink r:id="rId18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B2F743" w14:textId="77777777" w:rsidR="00D94935" w:rsidRPr="00140BF9" w:rsidRDefault="00D94935" w:rsidP="00D94935">
      <w:pPr>
        <w:pStyle w:val="AmdtsEntryHd"/>
        <w:rPr>
          <w:rFonts w:cs="Arial"/>
        </w:rPr>
      </w:pPr>
      <w:r w:rsidRPr="00140BF9">
        <w:rPr>
          <w:rFonts w:cs="Arial"/>
        </w:rPr>
        <w:t>Application of div 3.12.9—common boundary applications</w:t>
      </w:r>
    </w:p>
    <w:p w14:paraId="20C4A985" w14:textId="499AB020"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8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A82789" w14:textId="5D4189B6" w:rsidR="00D94935" w:rsidRPr="00140BF9" w:rsidRDefault="00D94935" w:rsidP="00D94935">
      <w:pPr>
        <w:pStyle w:val="AmdtsEntries"/>
        <w:rPr>
          <w:rFonts w:cs="Arial"/>
        </w:rPr>
      </w:pPr>
      <w:r w:rsidRPr="00140BF9">
        <w:rPr>
          <w:rFonts w:cs="Arial"/>
        </w:rPr>
        <w:tab/>
        <w:t xml:space="preserve">om </w:t>
      </w:r>
      <w:hyperlink r:id="rId18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50192E7" w14:textId="77777777" w:rsidR="00D94935" w:rsidRPr="00140BF9" w:rsidRDefault="00D94935" w:rsidP="00D94935">
      <w:pPr>
        <w:pStyle w:val="AmdtsEntryHd"/>
        <w:rPr>
          <w:rFonts w:cs="Arial"/>
        </w:rPr>
      </w:pPr>
      <w:r w:rsidRPr="00140BF9">
        <w:rPr>
          <w:rFonts w:cs="Arial"/>
        </w:rPr>
        <w:t>Small Claims Court—transfer of proceedings from Magistrates Court</w:t>
      </w:r>
    </w:p>
    <w:p w14:paraId="386D837B" w14:textId="41CCBC16"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8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C59DE2C" w14:textId="699B0F7B" w:rsidR="00D94935" w:rsidRPr="00140BF9" w:rsidRDefault="00D94935" w:rsidP="00D94935">
      <w:pPr>
        <w:pStyle w:val="AmdtsEntries"/>
        <w:rPr>
          <w:rFonts w:cs="Arial"/>
        </w:rPr>
      </w:pPr>
      <w:r w:rsidRPr="00140BF9">
        <w:rPr>
          <w:rFonts w:cs="Arial"/>
        </w:rPr>
        <w:tab/>
        <w:t xml:space="preserve">om </w:t>
      </w:r>
      <w:hyperlink r:id="rId18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AD2BAD" w14:textId="77777777" w:rsidR="00D94935" w:rsidRPr="00140BF9" w:rsidRDefault="00D94935" w:rsidP="00D94935">
      <w:pPr>
        <w:pStyle w:val="AmdtsEntryHd"/>
        <w:rPr>
          <w:rFonts w:cs="Arial"/>
        </w:rPr>
      </w:pPr>
      <w:r w:rsidRPr="00140BF9">
        <w:rPr>
          <w:rFonts w:cs="Arial"/>
        </w:rPr>
        <w:t>Small Claims Court—transfer of proceeding to Magistrates Court</w:t>
      </w:r>
    </w:p>
    <w:p w14:paraId="5471890D" w14:textId="32DFB43F"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2A3A5A5" w14:textId="23DA88DE" w:rsidR="00D94935" w:rsidRPr="00140BF9" w:rsidRDefault="00D94935" w:rsidP="00D94935">
      <w:pPr>
        <w:pStyle w:val="AmdtsEntries"/>
        <w:rPr>
          <w:rFonts w:cs="Arial"/>
        </w:rPr>
      </w:pPr>
      <w:r w:rsidRPr="00140BF9">
        <w:rPr>
          <w:rFonts w:cs="Arial"/>
        </w:rPr>
        <w:tab/>
        <w:t xml:space="preserve">om </w:t>
      </w:r>
      <w:hyperlink r:id="rId18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167052" w14:textId="77777777" w:rsidR="00D94935" w:rsidRPr="00140BF9" w:rsidRDefault="00D94935" w:rsidP="00D94935">
      <w:pPr>
        <w:pStyle w:val="AmdtsEntryHd"/>
        <w:rPr>
          <w:rFonts w:cs="Arial"/>
        </w:rPr>
      </w:pPr>
      <w:r w:rsidRPr="00140BF9">
        <w:rPr>
          <w:rFonts w:cs="Arial"/>
        </w:rPr>
        <w:t>Small Claims Court—general provisions</w:t>
      </w:r>
    </w:p>
    <w:p w14:paraId="26E001A3" w14:textId="47D88083"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AB89D3" w14:textId="0A885B87" w:rsidR="00D94935" w:rsidRPr="00140BF9" w:rsidRDefault="00D94935" w:rsidP="00D94935">
      <w:pPr>
        <w:pStyle w:val="AmdtsEntries"/>
        <w:rPr>
          <w:rFonts w:cs="Arial"/>
        </w:rPr>
      </w:pPr>
      <w:r w:rsidRPr="00140BF9">
        <w:rPr>
          <w:rFonts w:cs="Arial"/>
        </w:rPr>
        <w:tab/>
        <w:t xml:space="preserve">om </w:t>
      </w:r>
      <w:hyperlink r:id="rId18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36C06" w14:textId="77777777" w:rsidR="00D94935" w:rsidRPr="00140BF9" w:rsidRDefault="00D94935" w:rsidP="00D94935">
      <w:pPr>
        <w:pStyle w:val="AmdtsEntryHd"/>
        <w:rPr>
          <w:rFonts w:cs="Arial"/>
        </w:rPr>
      </w:pPr>
      <w:r w:rsidRPr="00140BF9">
        <w:rPr>
          <w:rFonts w:cs="Arial"/>
        </w:rPr>
        <w:t>Small Claims Court—applications in proceedings</w:t>
      </w:r>
    </w:p>
    <w:p w14:paraId="46E3EC22" w14:textId="317848A8"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0E6B8E8" w14:textId="7A3E69E3" w:rsidR="00D94935" w:rsidRPr="00140BF9" w:rsidRDefault="00D94935" w:rsidP="00D94935">
      <w:pPr>
        <w:pStyle w:val="AmdtsEntries"/>
        <w:rPr>
          <w:rFonts w:cs="Arial"/>
        </w:rPr>
      </w:pPr>
      <w:r w:rsidRPr="00140BF9">
        <w:rPr>
          <w:rFonts w:cs="Arial"/>
        </w:rPr>
        <w:tab/>
        <w:t xml:space="preserve">om </w:t>
      </w:r>
      <w:hyperlink r:id="rId18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E506CFB" w14:textId="77777777" w:rsidR="00D94935" w:rsidRPr="00140BF9" w:rsidRDefault="00D94935" w:rsidP="00D94935">
      <w:pPr>
        <w:pStyle w:val="AmdtsEntryHd"/>
        <w:rPr>
          <w:rFonts w:cs="Arial"/>
        </w:rPr>
      </w:pPr>
      <w:r w:rsidRPr="00140BF9">
        <w:rPr>
          <w:rFonts w:cs="Arial"/>
        </w:rPr>
        <w:t>Small Claims Court—discontinuance of proceeding</w:t>
      </w:r>
    </w:p>
    <w:p w14:paraId="0E71A4B7" w14:textId="598C6B8F"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C8B78E" w14:textId="5E75ED63" w:rsidR="00D94935" w:rsidRPr="00140BF9" w:rsidRDefault="00D94935" w:rsidP="00D94935">
      <w:pPr>
        <w:pStyle w:val="AmdtsEntries"/>
        <w:rPr>
          <w:rFonts w:cs="Arial"/>
        </w:rPr>
      </w:pPr>
      <w:r w:rsidRPr="00140BF9">
        <w:rPr>
          <w:rFonts w:cs="Arial"/>
        </w:rPr>
        <w:tab/>
        <w:t xml:space="preserve">om </w:t>
      </w:r>
      <w:hyperlink r:id="rId19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7368979" w14:textId="77777777" w:rsidR="00D94935" w:rsidRPr="00140BF9" w:rsidRDefault="00D94935" w:rsidP="00D94935">
      <w:pPr>
        <w:pStyle w:val="AmdtsEntryHd"/>
        <w:rPr>
          <w:rFonts w:cs="Arial"/>
        </w:rPr>
      </w:pPr>
      <w:r w:rsidRPr="00140BF9">
        <w:rPr>
          <w:rFonts w:cs="Arial"/>
        </w:rPr>
        <w:t>Small Claims Court—dismissal for abuse of process</w:t>
      </w:r>
    </w:p>
    <w:p w14:paraId="524493FD" w14:textId="1FAD0286"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9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EE311F" w14:textId="6F295A17" w:rsidR="00D94935" w:rsidRPr="00140BF9" w:rsidRDefault="00D94935" w:rsidP="00D94935">
      <w:pPr>
        <w:pStyle w:val="AmdtsEntries"/>
        <w:rPr>
          <w:rFonts w:cs="Arial"/>
        </w:rPr>
      </w:pPr>
      <w:r w:rsidRPr="00140BF9">
        <w:rPr>
          <w:rFonts w:cs="Arial"/>
        </w:rPr>
        <w:tab/>
        <w:t xml:space="preserve">om </w:t>
      </w:r>
      <w:hyperlink r:id="rId19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BDF2E6D" w14:textId="77777777" w:rsidR="00D94935" w:rsidRPr="00140BF9" w:rsidRDefault="00D94935" w:rsidP="00D94935">
      <w:pPr>
        <w:pStyle w:val="AmdtsEntryHd"/>
        <w:rPr>
          <w:rFonts w:cs="Arial"/>
        </w:rPr>
      </w:pPr>
      <w:r w:rsidRPr="00140BF9">
        <w:rPr>
          <w:rFonts w:cs="Arial"/>
        </w:rPr>
        <w:t>Small Claims Court—restoration of proceeding</w:t>
      </w:r>
    </w:p>
    <w:p w14:paraId="6C050654" w14:textId="561991E2"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9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D0B2BD" w14:textId="17477720" w:rsidR="00D94935" w:rsidRPr="00140BF9" w:rsidRDefault="00D94935" w:rsidP="00D94935">
      <w:pPr>
        <w:pStyle w:val="AmdtsEntries"/>
        <w:rPr>
          <w:rFonts w:cs="Arial"/>
        </w:rPr>
      </w:pPr>
      <w:r w:rsidRPr="00140BF9">
        <w:rPr>
          <w:rFonts w:cs="Arial"/>
        </w:rPr>
        <w:tab/>
        <w:t xml:space="preserve">om </w:t>
      </w:r>
      <w:hyperlink r:id="rId19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65B7A1" w14:textId="77777777" w:rsidR="00D94935" w:rsidRPr="00140BF9" w:rsidRDefault="00D94935" w:rsidP="00D94935">
      <w:pPr>
        <w:pStyle w:val="AmdtsEntryHd"/>
        <w:rPr>
          <w:rFonts w:cs="Arial"/>
        </w:rPr>
      </w:pPr>
      <w:r w:rsidRPr="00140BF9">
        <w:rPr>
          <w:rFonts w:cs="Arial"/>
        </w:rPr>
        <w:t>Small Claims Court—costs</w:t>
      </w:r>
    </w:p>
    <w:p w14:paraId="25427375" w14:textId="5E4B5173"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9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540C6D" w14:textId="01058338" w:rsidR="00D94935" w:rsidRPr="00140BF9" w:rsidRDefault="00D94935" w:rsidP="00D94935">
      <w:pPr>
        <w:pStyle w:val="AmdtsEntries"/>
        <w:rPr>
          <w:rFonts w:cs="Arial"/>
        </w:rPr>
      </w:pPr>
      <w:r w:rsidRPr="00140BF9">
        <w:rPr>
          <w:rFonts w:cs="Arial"/>
        </w:rPr>
        <w:tab/>
        <w:t xml:space="preserve">om </w:t>
      </w:r>
      <w:hyperlink r:id="rId19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6D5890" w14:textId="77777777" w:rsidR="00D94935" w:rsidRPr="00140BF9" w:rsidRDefault="00D94935" w:rsidP="00D94935">
      <w:pPr>
        <w:pStyle w:val="AmdtsEntryHd"/>
        <w:rPr>
          <w:rFonts w:cs="Arial"/>
        </w:rPr>
      </w:pPr>
      <w:r w:rsidRPr="00140BF9">
        <w:rPr>
          <w:rFonts w:cs="Arial"/>
        </w:rPr>
        <w:t>Small Claims Court—orders</w:t>
      </w:r>
    </w:p>
    <w:p w14:paraId="4DEB512C" w14:textId="2E562AF5"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95E78D" w14:textId="28DEE0AE" w:rsidR="00D94935" w:rsidRPr="00140BF9" w:rsidRDefault="00D94935" w:rsidP="00D94935">
      <w:pPr>
        <w:pStyle w:val="AmdtsEntries"/>
        <w:rPr>
          <w:rFonts w:cs="Arial"/>
        </w:rPr>
      </w:pPr>
      <w:r w:rsidRPr="00140BF9">
        <w:rPr>
          <w:rFonts w:cs="Arial"/>
        </w:rPr>
        <w:tab/>
        <w:t xml:space="preserve">om </w:t>
      </w:r>
      <w:hyperlink r:id="rId19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E0F739" w14:textId="77777777" w:rsidR="00D94935" w:rsidRPr="00140BF9" w:rsidRDefault="00D94935" w:rsidP="00D94935">
      <w:pPr>
        <w:pStyle w:val="AmdtsEntryHd"/>
        <w:rPr>
          <w:rFonts w:cs="Arial"/>
        </w:rPr>
      </w:pPr>
      <w:r w:rsidRPr="00140BF9">
        <w:rPr>
          <w:rFonts w:cs="Arial"/>
        </w:rPr>
        <w:t>Small Claims Court order—consent judgment</w:t>
      </w:r>
    </w:p>
    <w:p w14:paraId="4D7907DE" w14:textId="01BEBD66"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2FB866" w14:textId="4EEDE4DB" w:rsidR="00D94935" w:rsidRPr="00140BF9" w:rsidRDefault="00D94935" w:rsidP="00D94935">
      <w:pPr>
        <w:pStyle w:val="AmdtsEntries"/>
        <w:rPr>
          <w:rFonts w:cs="Arial"/>
        </w:rPr>
      </w:pPr>
      <w:r w:rsidRPr="00140BF9">
        <w:rPr>
          <w:rFonts w:cs="Arial"/>
        </w:rPr>
        <w:tab/>
        <w:t xml:space="preserve">om </w:t>
      </w:r>
      <w:hyperlink r:id="rId19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C1F859" w14:textId="77777777" w:rsidR="00D94935" w:rsidRPr="00140BF9" w:rsidRDefault="00D94935" w:rsidP="00D94935">
      <w:pPr>
        <w:pStyle w:val="AmdtsEntryHd"/>
        <w:rPr>
          <w:rFonts w:cs="Arial"/>
        </w:rPr>
      </w:pPr>
      <w:r w:rsidRPr="00140BF9">
        <w:rPr>
          <w:rFonts w:cs="Arial"/>
        </w:rPr>
        <w:lastRenderedPageBreak/>
        <w:t>Small Claims Court order—counterclaim or set-off</w:t>
      </w:r>
    </w:p>
    <w:p w14:paraId="78613942" w14:textId="79874E55"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DE8B64" w14:textId="4877B0B9" w:rsidR="00D94935" w:rsidRPr="00140BF9" w:rsidRDefault="00D94935" w:rsidP="00D94935">
      <w:pPr>
        <w:pStyle w:val="AmdtsEntries"/>
        <w:rPr>
          <w:rFonts w:cs="Arial"/>
        </w:rPr>
      </w:pPr>
      <w:r w:rsidRPr="00140BF9">
        <w:rPr>
          <w:rFonts w:cs="Arial"/>
        </w:rPr>
        <w:tab/>
        <w:t xml:space="preserve">om </w:t>
      </w:r>
      <w:hyperlink r:id="rId19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8966341" w14:textId="77777777" w:rsidR="00D94935" w:rsidRPr="00140BF9" w:rsidRDefault="00D94935" w:rsidP="00D94935">
      <w:pPr>
        <w:pStyle w:val="AmdtsEntryHd"/>
        <w:rPr>
          <w:rFonts w:cs="Arial"/>
        </w:rPr>
      </w:pPr>
      <w:r w:rsidRPr="00140BF9">
        <w:rPr>
          <w:rFonts w:cs="Arial"/>
        </w:rPr>
        <w:t>Small Claims Court order—to perform work etc</w:t>
      </w:r>
    </w:p>
    <w:p w14:paraId="2C6A8BFB" w14:textId="0FDAE84E"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88EE15" w14:textId="39D97C9F" w:rsidR="00D94935" w:rsidRPr="00140BF9" w:rsidRDefault="00D94935" w:rsidP="00D94935">
      <w:pPr>
        <w:pStyle w:val="AmdtsEntries"/>
        <w:rPr>
          <w:rFonts w:cs="Arial"/>
        </w:rPr>
      </w:pPr>
      <w:r w:rsidRPr="00140BF9">
        <w:rPr>
          <w:rFonts w:cs="Arial"/>
        </w:rPr>
        <w:tab/>
        <w:t xml:space="preserve">om </w:t>
      </w:r>
      <w:hyperlink r:id="rId19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6226390" w14:textId="77777777" w:rsidR="00D94935" w:rsidRPr="00140BF9" w:rsidRDefault="00D94935" w:rsidP="00D94935">
      <w:pPr>
        <w:pStyle w:val="AmdtsEntryHd"/>
        <w:rPr>
          <w:rFonts w:cs="Arial"/>
        </w:rPr>
      </w:pPr>
      <w:r w:rsidRPr="00140BF9">
        <w:rPr>
          <w:rFonts w:cs="Arial"/>
        </w:rPr>
        <w:t>Small Claims Court order—payment on condition work performed etc</w:t>
      </w:r>
    </w:p>
    <w:p w14:paraId="60524D2C" w14:textId="6B3C260D"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678439" w14:textId="1B4AFBDA" w:rsidR="00D94935" w:rsidRPr="00140BF9" w:rsidRDefault="00D94935" w:rsidP="00D94935">
      <w:pPr>
        <w:pStyle w:val="AmdtsEntries"/>
        <w:rPr>
          <w:rFonts w:cs="Arial"/>
        </w:rPr>
      </w:pPr>
      <w:r w:rsidRPr="00140BF9">
        <w:rPr>
          <w:rFonts w:cs="Arial"/>
        </w:rPr>
        <w:tab/>
        <w:t xml:space="preserve">om </w:t>
      </w:r>
      <w:hyperlink r:id="rId19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E48667C" w14:textId="77777777" w:rsidR="00D94935" w:rsidRPr="00140BF9" w:rsidRDefault="00D94935" w:rsidP="00D94935">
      <w:pPr>
        <w:pStyle w:val="AmdtsEntryHd"/>
        <w:rPr>
          <w:rFonts w:cs="Arial"/>
        </w:rPr>
      </w:pPr>
      <w:r w:rsidRPr="00140BF9">
        <w:rPr>
          <w:rFonts w:cs="Arial"/>
        </w:rPr>
        <w:t>Small Claims Court order—detention of goods</w:t>
      </w:r>
    </w:p>
    <w:p w14:paraId="2A906C7A" w14:textId="44FD4E92"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9E5E77" w14:textId="7CF4A403" w:rsidR="00D94935" w:rsidRPr="00140BF9" w:rsidRDefault="00D94935" w:rsidP="00D94935">
      <w:pPr>
        <w:pStyle w:val="AmdtsEntries"/>
        <w:rPr>
          <w:rFonts w:cs="Arial"/>
        </w:rPr>
      </w:pPr>
      <w:r w:rsidRPr="00140BF9">
        <w:rPr>
          <w:rFonts w:cs="Arial"/>
        </w:rPr>
        <w:tab/>
        <w:t xml:space="preserve">om </w:t>
      </w:r>
      <w:hyperlink r:id="rId19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9A9C0D" w14:textId="77777777" w:rsidR="00D94935" w:rsidRPr="00140BF9" w:rsidRDefault="00D94935" w:rsidP="00D94935">
      <w:pPr>
        <w:pStyle w:val="AmdtsEntryHd"/>
        <w:rPr>
          <w:rFonts w:cs="Arial"/>
        </w:rPr>
      </w:pPr>
      <w:r w:rsidRPr="00140BF9">
        <w:rPr>
          <w:rFonts w:cs="Arial"/>
        </w:rPr>
        <w:t>Small Claims Court order—nuisance application</w:t>
      </w:r>
    </w:p>
    <w:p w14:paraId="4D6167A1" w14:textId="020AA772"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D166B7" w14:textId="734FCCDE" w:rsidR="00D94935" w:rsidRPr="00140BF9" w:rsidRDefault="00D94935" w:rsidP="00D94935">
      <w:pPr>
        <w:pStyle w:val="AmdtsEntries"/>
        <w:rPr>
          <w:rFonts w:cs="Arial"/>
        </w:rPr>
      </w:pPr>
      <w:r w:rsidRPr="00140BF9">
        <w:rPr>
          <w:rFonts w:cs="Arial"/>
        </w:rPr>
        <w:tab/>
        <w:t xml:space="preserve">om </w:t>
      </w:r>
      <w:hyperlink r:id="rId19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85E46C1" w14:textId="77777777" w:rsidR="00D94935" w:rsidRPr="00140BF9" w:rsidRDefault="00D94935" w:rsidP="00D94935">
      <w:pPr>
        <w:pStyle w:val="AmdtsEntryHd"/>
        <w:rPr>
          <w:rFonts w:cs="Arial"/>
        </w:rPr>
      </w:pPr>
      <w:r w:rsidRPr="00140BF9">
        <w:rPr>
          <w:rFonts w:cs="Arial"/>
        </w:rPr>
        <w:t>Small Claims Court order—trespass application</w:t>
      </w:r>
    </w:p>
    <w:p w14:paraId="53CD56DE" w14:textId="7F20EAE8"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9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8A6D20" w14:textId="44DB0400" w:rsidR="00D94935" w:rsidRPr="00140BF9" w:rsidRDefault="00D94935" w:rsidP="00D94935">
      <w:pPr>
        <w:pStyle w:val="AmdtsEntries"/>
        <w:rPr>
          <w:rFonts w:cs="Arial"/>
        </w:rPr>
      </w:pPr>
      <w:r w:rsidRPr="00140BF9">
        <w:rPr>
          <w:rFonts w:cs="Arial"/>
        </w:rPr>
        <w:tab/>
        <w:t xml:space="preserve">om </w:t>
      </w:r>
      <w:hyperlink r:id="rId19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91C5F" w14:textId="77777777" w:rsidR="00D94935" w:rsidRPr="00140BF9" w:rsidRDefault="00D94935" w:rsidP="00D94935">
      <w:pPr>
        <w:pStyle w:val="AmdtsEntryHd"/>
        <w:rPr>
          <w:rFonts w:cs="Arial"/>
        </w:rPr>
      </w:pPr>
      <w:r w:rsidRPr="00140BF9">
        <w:rPr>
          <w:rFonts w:cs="Arial"/>
        </w:rPr>
        <w:t>Small Claims Court order—debt declaration</w:t>
      </w:r>
    </w:p>
    <w:p w14:paraId="7B1247BE" w14:textId="14822815"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9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573F0F" w14:textId="5603E07C" w:rsidR="00D94935" w:rsidRPr="00140BF9" w:rsidRDefault="00D94935" w:rsidP="00D94935">
      <w:pPr>
        <w:pStyle w:val="AmdtsEntries"/>
        <w:rPr>
          <w:rFonts w:cs="Arial"/>
        </w:rPr>
      </w:pPr>
      <w:r w:rsidRPr="00140BF9">
        <w:rPr>
          <w:rFonts w:cs="Arial"/>
        </w:rPr>
        <w:tab/>
        <w:t xml:space="preserve">om </w:t>
      </w:r>
      <w:hyperlink r:id="rId19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91ADFD1" w14:textId="77777777" w:rsidR="00D94935" w:rsidRPr="00140BF9" w:rsidRDefault="00D94935" w:rsidP="00D94935">
      <w:pPr>
        <w:pStyle w:val="AmdtsEntryHd"/>
        <w:rPr>
          <w:rFonts w:cs="Arial"/>
        </w:rPr>
      </w:pPr>
      <w:r w:rsidRPr="00140BF9">
        <w:rPr>
          <w:rFonts w:cs="Arial"/>
        </w:rPr>
        <w:t>Small Claims Court order—joint liability</w:t>
      </w:r>
    </w:p>
    <w:p w14:paraId="570925B3" w14:textId="27A031E3"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9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F81687" w14:textId="5B551711" w:rsidR="00D94935" w:rsidRPr="00140BF9" w:rsidRDefault="00D94935" w:rsidP="00D94935">
      <w:pPr>
        <w:pStyle w:val="AmdtsEntries"/>
        <w:rPr>
          <w:rFonts w:cs="Arial"/>
        </w:rPr>
      </w:pPr>
      <w:r w:rsidRPr="00140BF9">
        <w:rPr>
          <w:rFonts w:cs="Arial"/>
        </w:rPr>
        <w:tab/>
        <w:t xml:space="preserve">om </w:t>
      </w:r>
      <w:hyperlink r:id="rId19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84EBFF" w14:textId="77777777" w:rsidR="00D94935" w:rsidRPr="00140BF9" w:rsidRDefault="00D94935" w:rsidP="00D94935">
      <w:pPr>
        <w:pStyle w:val="AmdtsEntryHd"/>
        <w:rPr>
          <w:rFonts w:cs="Arial"/>
        </w:rPr>
      </w:pPr>
      <w:r w:rsidRPr="00140BF9">
        <w:rPr>
          <w:rFonts w:cs="Arial"/>
        </w:rPr>
        <w:t>Small Claims Court order—notice</w:t>
      </w:r>
    </w:p>
    <w:p w14:paraId="625E5CE4" w14:textId="68F28F5D"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9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1E8D10" w14:textId="1E809553" w:rsidR="00D94935" w:rsidRPr="00140BF9" w:rsidRDefault="00D94935" w:rsidP="00D94935">
      <w:pPr>
        <w:pStyle w:val="AmdtsEntries"/>
        <w:rPr>
          <w:rFonts w:cs="Arial"/>
        </w:rPr>
      </w:pPr>
      <w:r w:rsidRPr="00140BF9">
        <w:rPr>
          <w:rFonts w:cs="Arial"/>
        </w:rPr>
        <w:tab/>
        <w:t xml:space="preserve">om </w:t>
      </w:r>
      <w:hyperlink r:id="rId19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41690C8" w14:textId="77777777" w:rsidR="00D94935" w:rsidRPr="00140BF9" w:rsidRDefault="00D94935" w:rsidP="00D94935">
      <w:pPr>
        <w:pStyle w:val="AmdtsEntryHd"/>
        <w:rPr>
          <w:rFonts w:cs="Arial"/>
        </w:rPr>
      </w:pPr>
      <w:r w:rsidRPr="00140BF9">
        <w:rPr>
          <w:rFonts w:cs="Arial"/>
        </w:rPr>
        <w:t>Small Claims Court order—payment of amount</w:t>
      </w:r>
    </w:p>
    <w:p w14:paraId="70BD06B2" w14:textId="3EE0F2F3"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9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B6C3CA" w14:textId="482C6B0A" w:rsidR="00D94935" w:rsidRPr="00140BF9" w:rsidRDefault="00D94935" w:rsidP="00D94935">
      <w:pPr>
        <w:pStyle w:val="AmdtsEntries"/>
        <w:rPr>
          <w:rFonts w:cs="Arial"/>
        </w:rPr>
      </w:pPr>
      <w:r w:rsidRPr="00140BF9">
        <w:rPr>
          <w:rFonts w:cs="Arial"/>
        </w:rPr>
        <w:tab/>
        <w:t xml:space="preserve">om </w:t>
      </w:r>
      <w:hyperlink r:id="rId19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1F03A" w14:textId="77777777" w:rsidR="00D94935" w:rsidRPr="00140BF9" w:rsidRDefault="00D94935" w:rsidP="00D94935">
      <w:pPr>
        <w:pStyle w:val="AmdtsEntryHd"/>
        <w:rPr>
          <w:rFonts w:cs="Arial"/>
        </w:rPr>
      </w:pPr>
      <w:r w:rsidRPr="00140BF9">
        <w:rPr>
          <w:rFonts w:cs="Arial"/>
        </w:rPr>
        <w:t>Small Claims Court order—other orders</w:t>
      </w:r>
    </w:p>
    <w:p w14:paraId="67E9C4B9" w14:textId="5D083901"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9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2CDD61" w14:textId="0459BAE8" w:rsidR="00D94935" w:rsidRPr="00140BF9" w:rsidRDefault="00D94935" w:rsidP="00D94935">
      <w:pPr>
        <w:pStyle w:val="AmdtsEntries"/>
        <w:rPr>
          <w:rFonts w:cs="Arial"/>
        </w:rPr>
      </w:pPr>
      <w:r w:rsidRPr="00140BF9">
        <w:rPr>
          <w:rFonts w:cs="Arial"/>
        </w:rPr>
        <w:tab/>
        <w:t xml:space="preserve">am </w:t>
      </w:r>
      <w:hyperlink r:id="rId193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14:paraId="6A35827D" w14:textId="76FC5BF4" w:rsidR="00D94935" w:rsidRPr="00140BF9" w:rsidRDefault="00D94935" w:rsidP="00D94935">
      <w:pPr>
        <w:pStyle w:val="AmdtsEntries"/>
        <w:rPr>
          <w:rFonts w:cs="Arial"/>
        </w:rPr>
      </w:pPr>
      <w:r w:rsidRPr="00140BF9">
        <w:rPr>
          <w:rFonts w:cs="Arial"/>
        </w:rPr>
        <w:tab/>
        <w:t xml:space="preserve">om </w:t>
      </w:r>
      <w:hyperlink r:id="rId19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BF4B7" w14:textId="77777777" w:rsidR="00EB0754" w:rsidRDefault="00EB0754" w:rsidP="00D94935">
      <w:pPr>
        <w:pStyle w:val="AmdtsEntryHd"/>
      </w:pPr>
      <w:r w:rsidRPr="00510424">
        <w:t>Family violence and personal violence proceedings</w:t>
      </w:r>
    </w:p>
    <w:p w14:paraId="0E47DB43" w14:textId="780EFCAF" w:rsidR="00EB0754" w:rsidRPr="00EB0754" w:rsidRDefault="00EB0754" w:rsidP="00EB0754">
      <w:pPr>
        <w:pStyle w:val="AmdtsEntries"/>
      </w:pPr>
      <w:r>
        <w:t>pt 3.12 hdg</w:t>
      </w:r>
      <w:r>
        <w:tab/>
        <w:t xml:space="preserve">ins </w:t>
      </w:r>
      <w:hyperlink r:id="rId1934" w:tooltip="Court Procedures Amendment Rules 2017 (No 2)" w:history="1">
        <w:r>
          <w:rPr>
            <w:rStyle w:val="charCitHyperlinkAbbrev"/>
          </w:rPr>
          <w:t>SL2017</w:t>
        </w:r>
        <w:r>
          <w:rPr>
            <w:rStyle w:val="charCitHyperlinkAbbrev"/>
          </w:rPr>
          <w:noBreakHyphen/>
          <w:t>10</w:t>
        </w:r>
      </w:hyperlink>
      <w:r>
        <w:t xml:space="preserve"> r 9</w:t>
      </w:r>
    </w:p>
    <w:p w14:paraId="75B35774" w14:textId="77777777" w:rsidR="00EB0754" w:rsidRDefault="00A016B3" w:rsidP="00EB0754">
      <w:pPr>
        <w:pStyle w:val="AmdtsEntryHd"/>
      </w:pPr>
      <w:r w:rsidRPr="00510424">
        <w:t>Family violence and personal violence proceedings—general</w:t>
      </w:r>
    </w:p>
    <w:p w14:paraId="7C2EED3B" w14:textId="1F603B1E" w:rsidR="00EB0754" w:rsidRPr="00EB0754" w:rsidRDefault="00A016B3" w:rsidP="00EB0754">
      <w:pPr>
        <w:pStyle w:val="AmdtsEntries"/>
      </w:pPr>
      <w:r>
        <w:t>div 3.12.1</w:t>
      </w:r>
      <w:r w:rsidR="00EB0754">
        <w:t xml:space="preserve"> hdg</w:t>
      </w:r>
      <w:r w:rsidR="00EB0754">
        <w:tab/>
        <w:t xml:space="preserve">ins </w:t>
      </w:r>
      <w:hyperlink r:id="rId1935"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14:paraId="2F4FE672" w14:textId="77777777" w:rsidR="00A016B3" w:rsidRDefault="00A016B3" w:rsidP="00A016B3">
      <w:pPr>
        <w:pStyle w:val="AmdtsEntryHd"/>
      </w:pPr>
      <w:r w:rsidRPr="00510424">
        <w:t>Terms used in Family Violence Act and Personal Violence Act</w:t>
      </w:r>
    </w:p>
    <w:p w14:paraId="2748808D" w14:textId="34CC048B" w:rsidR="00A016B3" w:rsidRPr="00EB0754" w:rsidRDefault="00A016B3" w:rsidP="00A016B3">
      <w:pPr>
        <w:pStyle w:val="AmdtsEntries"/>
      </w:pPr>
      <w:r>
        <w:t>r 3800</w:t>
      </w:r>
      <w:r>
        <w:tab/>
        <w:t xml:space="preserve">ins </w:t>
      </w:r>
      <w:hyperlink r:id="rId1936" w:tooltip="Court Procedures Amendment Rules 2017 (No 2)" w:history="1">
        <w:r>
          <w:rPr>
            <w:rStyle w:val="charCitHyperlinkAbbrev"/>
          </w:rPr>
          <w:t>SL2017</w:t>
        </w:r>
        <w:r>
          <w:rPr>
            <w:rStyle w:val="charCitHyperlinkAbbrev"/>
          </w:rPr>
          <w:noBreakHyphen/>
          <w:t>10</w:t>
        </w:r>
      </w:hyperlink>
      <w:r>
        <w:t xml:space="preserve"> r 9</w:t>
      </w:r>
    </w:p>
    <w:p w14:paraId="23787299" w14:textId="77777777" w:rsidR="00A016B3" w:rsidRDefault="00A016B3" w:rsidP="00A016B3">
      <w:pPr>
        <w:pStyle w:val="AmdtsEntryHd"/>
      </w:pPr>
      <w:r w:rsidRPr="00510424">
        <w:lastRenderedPageBreak/>
        <w:t>Application—pt 3.12</w:t>
      </w:r>
    </w:p>
    <w:p w14:paraId="5ED11519" w14:textId="0308690B" w:rsidR="00A016B3" w:rsidRPr="00EB0754" w:rsidRDefault="00A016B3" w:rsidP="00A016B3">
      <w:pPr>
        <w:pStyle w:val="AmdtsEntries"/>
      </w:pPr>
      <w:r>
        <w:t>r 3801</w:t>
      </w:r>
      <w:r>
        <w:tab/>
        <w:t xml:space="preserve">ins </w:t>
      </w:r>
      <w:hyperlink r:id="rId1937" w:tooltip="Court Procedures Amendment Rules 2017 (No 2)" w:history="1">
        <w:r>
          <w:rPr>
            <w:rStyle w:val="charCitHyperlinkAbbrev"/>
          </w:rPr>
          <w:t>SL2017</w:t>
        </w:r>
        <w:r>
          <w:rPr>
            <w:rStyle w:val="charCitHyperlinkAbbrev"/>
          </w:rPr>
          <w:noBreakHyphen/>
          <w:t>10</w:t>
        </w:r>
      </w:hyperlink>
      <w:r>
        <w:t xml:space="preserve"> r 9</w:t>
      </w:r>
    </w:p>
    <w:p w14:paraId="16233ECB" w14:textId="77777777" w:rsidR="00A016B3" w:rsidRDefault="00A016B3" w:rsidP="00A016B3">
      <w:pPr>
        <w:pStyle w:val="AmdtsEntryHd"/>
      </w:pPr>
      <w:r w:rsidRPr="00510424">
        <w:t>Rules in ch 2 disapplied</w:t>
      </w:r>
    </w:p>
    <w:p w14:paraId="612CBC00" w14:textId="7CDECE52" w:rsidR="00A016B3" w:rsidRPr="00EB0754" w:rsidRDefault="00A016B3" w:rsidP="00A016B3">
      <w:pPr>
        <w:pStyle w:val="AmdtsEntries"/>
      </w:pPr>
      <w:r>
        <w:t>r 3802</w:t>
      </w:r>
      <w:r>
        <w:tab/>
        <w:t xml:space="preserve">ins </w:t>
      </w:r>
      <w:hyperlink r:id="rId1938" w:tooltip="Court Procedures Amendment Rules 2017 (No 2)" w:history="1">
        <w:r>
          <w:rPr>
            <w:rStyle w:val="charCitHyperlinkAbbrev"/>
          </w:rPr>
          <w:t>SL2017</w:t>
        </w:r>
        <w:r>
          <w:rPr>
            <w:rStyle w:val="charCitHyperlinkAbbrev"/>
          </w:rPr>
          <w:noBreakHyphen/>
          <w:t>10</w:t>
        </w:r>
      </w:hyperlink>
      <w:r>
        <w:t xml:space="preserve"> r 9</w:t>
      </w:r>
    </w:p>
    <w:p w14:paraId="0C352611" w14:textId="77777777" w:rsidR="00A016B3" w:rsidRDefault="00A016B3" w:rsidP="00A016B3">
      <w:pPr>
        <w:pStyle w:val="AmdtsEntryHd"/>
      </w:pPr>
      <w:r w:rsidRPr="00510424">
        <w:t>Other disapplied rules</w:t>
      </w:r>
    </w:p>
    <w:p w14:paraId="6E021A63" w14:textId="6DF673C3" w:rsidR="00A016B3" w:rsidRDefault="00A016B3" w:rsidP="00A016B3">
      <w:pPr>
        <w:pStyle w:val="AmdtsEntries"/>
      </w:pPr>
      <w:r>
        <w:t>r 3803</w:t>
      </w:r>
      <w:r>
        <w:tab/>
        <w:t xml:space="preserve">ins </w:t>
      </w:r>
      <w:hyperlink r:id="rId1939" w:tooltip="Court Procedures Amendment Rules 2017 (No 2)" w:history="1">
        <w:r>
          <w:rPr>
            <w:rStyle w:val="charCitHyperlinkAbbrev"/>
          </w:rPr>
          <w:t>SL2017</w:t>
        </w:r>
        <w:r>
          <w:rPr>
            <w:rStyle w:val="charCitHyperlinkAbbrev"/>
          </w:rPr>
          <w:noBreakHyphen/>
          <w:t>10</w:t>
        </w:r>
      </w:hyperlink>
      <w:r>
        <w:t xml:space="preserve"> r 9</w:t>
      </w:r>
    </w:p>
    <w:p w14:paraId="61BB3B5A" w14:textId="77777777" w:rsidR="009628A8" w:rsidRDefault="0061293D" w:rsidP="009628A8">
      <w:pPr>
        <w:pStyle w:val="AmdtsEntryHd"/>
      </w:pPr>
      <w:r w:rsidRPr="00266A34">
        <w:t xml:space="preserve">Correction of name of respondent </w:t>
      </w:r>
    </w:p>
    <w:p w14:paraId="66E0E168" w14:textId="50E6FE56" w:rsidR="0061293D" w:rsidRPr="00DC2C12" w:rsidRDefault="0061293D" w:rsidP="0061293D">
      <w:pPr>
        <w:pStyle w:val="AmdtsEntries"/>
      </w:pPr>
      <w:r>
        <w:t>r 3804</w:t>
      </w:r>
      <w:r w:rsidR="00DC2C12">
        <w:tab/>
        <w:t xml:space="preserve">ins </w:t>
      </w:r>
      <w:hyperlink r:id="rId1940"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14:paraId="5C343A55" w14:textId="77777777" w:rsidR="00D94935" w:rsidRPr="00140BF9" w:rsidRDefault="00D94935" w:rsidP="00D94935">
      <w:pPr>
        <w:pStyle w:val="AmdtsEntryHd"/>
        <w:rPr>
          <w:rFonts w:cs="Arial"/>
        </w:rPr>
      </w:pPr>
      <w:r w:rsidRPr="00140BF9">
        <w:rPr>
          <w:rFonts w:cs="Arial"/>
        </w:rPr>
        <w:t>Workers compensation</w:t>
      </w:r>
    </w:p>
    <w:p w14:paraId="5AAEA9C4" w14:textId="56F92730"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B3AAB4" w14:textId="77777777" w:rsidR="00D94935" w:rsidRPr="00140BF9" w:rsidRDefault="00D94935" w:rsidP="00D94935">
      <w:pPr>
        <w:pStyle w:val="AmdtsEntryHd"/>
        <w:rPr>
          <w:rFonts w:cs="Arial"/>
        </w:rPr>
      </w:pPr>
      <w:r w:rsidRPr="00140BF9">
        <w:rPr>
          <w:rFonts w:cs="Arial"/>
        </w:rPr>
        <w:t>Workers compensation proceedings—general</w:t>
      </w:r>
    </w:p>
    <w:p w14:paraId="7CA8A7CF" w14:textId="3FE1EE2A"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9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AAA1B" w14:textId="77777777" w:rsidR="00D94935" w:rsidRPr="00140BF9" w:rsidRDefault="00D94935" w:rsidP="00D94935">
      <w:pPr>
        <w:pStyle w:val="AmdtsEntryHd"/>
        <w:rPr>
          <w:rFonts w:cs="Arial"/>
        </w:rPr>
      </w:pPr>
      <w:r w:rsidRPr="00140BF9">
        <w:rPr>
          <w:rFonts w:cs="Arial"/>
        </w:rPr>
        <w:t>Definitions—pt 3.13</w:t>
      </w:r>
    </w:p>
    <w:p w14:paraId="7E9CBC06" w14:textId="77777777"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14:paraId="5DE639E0" w14:textId="4D389B4D"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471E6A" w14:textId="21DA0FE7"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66B2C2" w14:textId="44AC3C1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485AE" w14:textId="2050BCD6" w:rsidR="00D94935" w:rsidRPr="00140BF9" w:rsidRDefault="00D94935" w:rsidP="00D94935">
      <w:pPr>
        <w:pStyle w:val="AmdtsEntriesDefL2"/>
        <w:rPr>
          <w:rFonts w:cs="Arial"/>
        </w:rPr>
      </w:pPr>
      <w:r w:rsidRPr="00140BF9">
        <w:rPr>
          <w:rFonts w:cs="Arial"/>
        </w:rPr>
        <w:tab/>
        <w:t xml:space="preserve">om </w:t>
      </w:r>
      <w:hyperlink r:id="rId194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2EE94FCF" w14:textId="6304C69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A78BBE" w14:textId="670CA06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9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A8E62C" w14:textId="29E21328" w:rsidR="00D94935" w:rsidRPr="00140BF9" w:rsidRDefault="00D94935" w:rsidP="00D94935">
      <w:pPr>
        <w:pStyle w:val="AmdtsEntriesDefL2"/>
        <w:rPr>
          <w:rFonts w:cs="Arial"/>
        </w:rPr>
      </w:pPr>
      <w:r w:rsidRPr="00140BF9">
        <w:rPr>
          <w:rFonts w:cs="Arial"/>
        </w:rPr>
        <w:tab/>
        <w:t xml:space="preserve">om </w:t>
      </w:r>
      <w:hyperlink r:id="rId194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4792D9E9" w14:textId="34775217"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9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E94C3" w14:textId="5102FF0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EF55" w14:textId="1EFE0F9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9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B35855" w14:textId="6E8C569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50A785" w14:textId="672BE70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9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376FB5" w14:textId="2D394CA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C55D27" w14:textId="21A1A3A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2937850" w14:textId="77777777" w:rsidR="00D94935" w:rsidRPr="00140BF9" w:rsidRDefault="00D94935" w:rsidP="00D94935">
      <w:pPr>
        <w:pStyle w:val="AmdtsEntryHd"/>
        <w:rPr>
          <w:rFonts w:cs="Arial"/>
        </w:rPr>
      </w:pPr>
      <w:r w:rsidRPr="00140BF9">
        <w:rPr>
          <w:rFonts w:cs="Arial"/>
          <w:bCs/>
          <w:iCs/>
        </w:rPr>
        <w:t>Terms used in Workers Compensation Act</w:t>
      </w:r>
    </w:p>
    <w:p w14:paraId="5E7B520D" w14:textId="0F43AFC4"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07B761" w14:textId="77777777" w:rsidR="00D94935" w:rsidRPr="00140BF9" w:rsidRDefault="00D94935" w:rsidP="00D94935">
      <w:pPr>
        <w:pStyle w:val="AmdtsEntryHd"/>
        <w:rPr>
          <w:rFonts w:cs="Arial"/>
        </w:rPr>
      </w:pPr>
      <w:r w:rsidRPr="00140BF9">
        <w:rPr>
          <w:rFonts w:cs="Arial"/>
        </w:rPr>
        <w:t>Application—pt 3.13</w:t>
      </w:r>
    </w:p>
    <w:p w14:paraId="0F12EB58" w14:textId="77777777"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14:paraId="63DB400C" w14:textId="3E3EECB3"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9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4E539" w14:textId="77777777" w:rsidR="00D94935" w:rsidRPr="00140BF9" w:rsidRDefault="00D94935" w:rsidP="00D94935">
      <w:pPr>
        <w:pStyle w:val="AmdtsEntryHd"/>
        <w:rPr>
          <w:rFonts w:cs="Arial"/>
        </w:rPr>
      </w:pPr>
      <w:r w:rsidRPr="00140BF9">
        <w:rPr>
          <w:rFonts w:cs="Arial"/>
        </w:rPr>
        <w:t>Workers compensation proceedings—application of ch 2 generally</w:t>
      </w:r>
    </w:p>
    <w:p w14:paraId="214AA5E2" w14:textId="77777777"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14:paraId="47CA916A" w14:textId="45D6A665"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1395FD5" w14:textId="56904064" w:rsidR="00D94935" w:rsidRPr="00140BF9" w:rsidRDefault="00D94935" w:rsidP="00D94935">
      <w:pPr>
        <w:pStyle w:val="AmdtsEntries"/>
        <w:rPr>
          <w:rFonts w:cs="Arial"/>
        </w:rPr>
      </w:pPr>
      <w:r w:rsidRPr="00140BF9">
        <w:rPr>
          <w:rFonts w:cs="Arial"/>
        </w:rPr>
        <w:tab/>
        <w:t xml:space="preserve">am </w:t>
      </w:r>
      <w:hyperlink r:id="rId196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96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96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14:paraId="511E3D6D" w14:textId="77777777" w:rsidR="00D94935" w:rsidRPr="00140BF9" w:rsidRDefault="00D94935" w:rsidP="00D94935">
      <w:pPr>
        <w:pStyle w:val="AmdtsEntryHd"/>
        <w:rPr>
          <w:rFonts w:cs="Arial"/>
        </w:rPr>
      </w:pPr>
      <w:r w:rsidRPr="00140BF9">
        <w:rPr>
          <w:rFonts w:cs="Arial"/>
        </w:rPr>
        <w:t>Workers compensation—applications for arbitration</w:t>
      </w:r>
    </w:p>
    <w:p w14:paraId="102770A4" w14:textId="4CD51D06"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9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190896" w14:textId="77777777" w:rsidR="00D94935" w:rsidRPr="00140BF9" w:rsidRDefault="00D94935" w:rsidP="00A47A62">
      <w:pPr>
        <w:pStyle w:val="AmdtsEntryHd"/>
        <w:rPr>
          <w:rFonts w:cs="Arial"/>
        </w:rPr>
      </w:pPr>
      <w:r w:rsidRPr="00140BF9">
        <w:rPr>
          <w:rFonts w:cs="Arial"/>
        </w:rPr>
        <w:lastRenderedPageBreak/>
        <w:t>Application for arbitration—Commercial Arbitration Act not apply</w:t>
      </w:r>
    </w:p>
    <w:p w14:paraId="5F6B477E" w14:textId="77777777" w:rsidR="00D94935" w:rsidRPr="00140BF9" w:rsidRDefault="00D94935" w:rsidP="00A47A62">
      <w:pPr>
        <w:pStyle w:val="AmdtsEntries"/>
        <w:keepNext/>
        <w:rPr>
          <w:rFonts w:cs="Arial"/>
        </w:rPr>
      </w:pPr>
      <w:r w:rsidRPr="00140BF9">
        <w:rPr>
          <w:rFonts w:cs="Arial"/>
        </w:rPr>
        <w:t>r 3904 hdg</w:t>
      </w:r>
      <w:r w:rsidRPr="00140BF9">
        <w:rPr>
          <w:rFonts w:eastAsiaTheme="minorEastAsia" w:cs="Arial"/>
          <w:szCs w:val="22"/>
          <w:lang w:eastAsia="en-AU"/>
        </w:rPr>
        <w:tab/>
        <w:t>bracketed note om R29 LA</w:t>
      </w:r>
    </w:p>
    <w:p w14:paraId="31A2A748" w14:textId="48D87900" w:rsidR="00D94935" w:rsidRDefault="00D94935" w:rsidP="00A47A62">
      <w:pPr>
        <w:pStyle w:val="AmdtsEntries"/>
        <w:keepNext/>
        <w:rPr>
          <w:rFonts w:cs="Arial"/>
        </w:rPr>
      </w:pPr>
      <w:r w:rsidRPr="00140BF9">
        <w:rPr>
          <w:rFonts w:cs="Arial"/>
        </w:rPr>
        <w:t>r 3904</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F84E52" w14:textId="2433FEEE" w:rsidR="004E780D" w:rsidRPr="00140BF9" w:rsidRDefault="004E780D" w:rsidP="00A47A62">
      <w:pPr>
        <w:pStyle w:val="AmdtsEntries"/>
        <w:keepNext/>
        <w:rPr>
          <w:rFonts w:cs="Arial"/>
        </w:rPr>
      </w:pPr>
      <w:r>
        <w:rPr>
          <w:rFonts w:cs="Arial"/>
        </w:rPr>
        <w:tab/>
        <w:t>am</w:t>
      </w:r>
      <w:r>
        <w:rPr>
          <w:rFonts w:eastAsiaTheme="minorEastAsia" w:cs="Arial"/>
          <w:szCs w:val="22"/>
          <w:lang w:eastAsia="en-AU"/>
        </w:rPr>
        <w:t xml:space="preserve"> </w:t>
      </w:r>
      <w:hyperlink r:id="rId196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14:paraId="1BE17F7A" w14:textId="77777777" w:rsidR="00D94935" w:rsidRPr="00140BF9" w:rsidRDefault="00D94935" w:rsidP="00D94935">
      <w:pPr>
        <w:pStyle w:val="AmdtsEntryHd"/>
        <w:rPr>
          <w:rFonts w:cs="Arial"/>
        </w:rPr>
      </w:pPr>
      <w:r w:rsidRPr="00140BF9">
        <w:rPr>
          <w:rFonts w:cs="Arial"/>
        </w:rPr>
        <w:t>Application for arbitration—by worker</w:t>
      </w:r>
    </w:p>
    <w:p w14:paraId="34E41D13" w14:textId="77777777"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14:paraId="2E3C2CC2" w14:textId="7EF3D14C"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58DD38F" w14:textId="77777777" w:rsidR="00D94935" w:rsidRPr="00140BF9" w:rsidRDefault="00D94935" w:rsidP="00D94935">
      <w:pPr>
        <w:pStyle w:val="AmdtsEntryHd"/>
        <w:rPr>
          <w:rFonts w:cs="Arial"/>
        </w:rPr>
      </w:pPr>
      <w:r w:rsidRPr="00140BF9">
        <w:rPr>
          <w:rFonts w:cs="Arial"/>
        </w:rPr>
        <w:t>Application for arbitration—by dependant or estate of deceased worker</w:t>
      </w:r>
    </w:p>
    <w:p w14:paraId="3CFA00EC" w14:textId="77777777"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14:paraId="5E022DC2" w14:textId="314D781A"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A24505" w14:textId="77777777" w:rsidR="00D94935" w:rsidRPr="00140BF9" w:rsidRDefault="00D94935" w:rsidP="00D94935">
      <w:pPr>
        <w:pStyle w:val="AmdtsEntryHd"/>
        <w:rPr>
          <w:rFonts w:cs="Arial"/>
        </w:rPr>
      </w:pPr>
      <w:r w:rsidRPr="00140BF9">
        <w:rPr>
          <w:rFonts w:cs="Arial"/>
        </w:rPr>
        <w:t>Application for arbitration—by employer or insurer</w:t>
      </w:r>
    </w:p>
    <w:p w14:paraId="303E869E" w14:textId="77777777"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14:paraId="69BF1EE8" w14:textId="59601ACE"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119D5F" w14:textId="77777777" w:rsidR="00D94935" w:rsidRPr="00140BF9" w:rsidRDefault="00D94935" w:rsidP="00D94935">
      <w:pPr>
        <w:pStyle w:val="AmdtsEntryHd"/>
        <w:rPr>
          <w:rFonts w:cs="Arial"/>
        </w:rPr>
      </w:pPr>
      <w:r w:rsidRPr="00140BF9">
        <w:rPr>
          <w:rFonts w:cs="Arial"/>
        </w:rPr>
        <w:t>Application for arbitration—when application may be filed</w:t>
      </w:r>
    </w:p>
    <w:p w14:paraId="12CF1F5B" w14:textId="77777777"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14:paraId="2EF2915E" w14:textId="00603999"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BF9C8A" w14:textId="1B8B8604" w:rsidR="00D94935" w:rsidRPr="00140BF9" w:rsidRDefault="00D94935" w:rsidP="00D94935">
      <w:pPr>
        <w:pStyle w:val="AmdtsEntries"/>
        <w:rPr>
          <w:rFonts w:cs="Arial"/>
        </w:rPr>
      </w:pPr>
      <w:r w:rsidRPr="00140BF9">
        <w:rPr>
          <w:rFonts w:cs="Arial"/>
        </w:rPr>
        <w:tab/>
        <w:t xml:space="preserve">om </w:t>
      </w:r>
      <w:hyperlink r:id="rId197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14:paraId="13E5285C" w14:textId="77777777" w:rsidR="00D94935" w:rsidRPr="00140BF9" w:rsidRDefault="00D94935" w:rsidP="00D94935">
      <w:pPr>
        <w:pStyle w:val="AmdtsEntryHd"/>
        <w:rPr>
          <w:rFonts w:cs="Arial"/>
        </w:rPr>
      </w:pPr>
      <w:r w:rsidRPr="00140BF9">
        <w:rPr>
          <w:rFonts w:cs="Arial"/>
        </w:rPr>
        <w:t>Application for arbitration—injury notice and medical evidence</w:t>
      </w:r>
    </w:p>
    <w:p w14:paraId="594A1D2C" w14:textId="77777777"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14:paraId="0B4E1354" w14:textId="06F18B32"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9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483809" w14:textId="77777777" w:rsidR="00D94935" w:rsidRPr="00140BF9" w:rsidRDefault="00D94935" w:rsidP="00D94935">
      <w:pPr>
        <w:pStyle w:val="AmdtsEntryHd"/>
        <w:rPr>
          <w:rFonts w:cs="Arial"/>
        </w:rPr>
      </w:pPr>
      <w:r w:rsidRPr="00140BF9">
        <w:rPr>
          <w:rFonts w:cs="Arial"/>
        </w:rPr>
        <w:t>Application for arbitration—copies</w:t>
      </w:r>
    </w:p>
    <w:p w14:paraId="669A85C9" w14:textId="77777777"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14:paraId="510B6C06" w14:textId="6E8A63CA"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9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E3C139F" w14:textId="77777777" w:rsidR="00D94935" w:rsidRPr="00140BF9" w:rsidRDefault="00D94935" w:rsidP="00D94935">
      <w:pPr>
        <w:pStyle w:val="AmdtsEntryHd"/>
        <w:rPr>
          <w:rFonts w:cs="Arial"/>
        </w:rPr>
      </w:pPr>
      <w:r w:rsidRPr="00140BF9">
        <w:rPr>
          <w:rFonts w:cs="Arial"/>
        </w:rPr>
        <w:t>Application for arbitration—service on respondent</w:t>
      </w:r>
    </w:p>
    <w:p w14:paraId="21C994C1" w14:textId="77777777"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14:paraId="4D5C695C" w14:textId="35E6FA20"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9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42BF91" w14:textId="77777777" w:rsidR="00D94935" w:rsidRPr="00140BF9" w:rsidRDefault="00D94935" w:rsidP="00D94935">
      <w:pPr>
        <w:pStyle w:val="AmdtsEntryHd"/>
        <w:rPr>
          <w:rFonts w:cs="Arial"/>
        </w:rPr>
      </w:pPr>
      <w:r w:rsidRPr="00140BF9">
        <w:rPr>
          <w:rFonts w:cs="Arial"/>
        </w:rPr>
        <w:t>Application for arbitration—service on insurer</w:t>
      </w:r>
    </w:p>
    <w:p w14:paraId="34BC1304" w14:textId="77777777"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14:paraId="2E324550" w14:textId="6A00EF4B"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9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99E521" w14:textId="77777777" w:rsidR="00D94935" w:rsidRPr="00140BF9" w:rsidRDefault="00D94935" w:rsidP="00D94935">
      <w:pPr>
        <w:pStyle w:val="AmdtsEntryHd"/>
        <w:rPr>
          <w:rFonts w:cs="Arial"/>
        </w:rPr>
      </w:pPr>
      <w:r w:rsidRPr="00140BF9">
        <w:rPr>
          <w:rFonts w:cs="Arial"/>
        </w:rPr>
        <w:t>Application for arbitration—answer by respondent or third-party respondent</w:t>
      </w:r>
    </w:p>
    <w:p w14:paraId="7FF7FF5F" w14:textId="77777777"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14:paraId="680CDE4A" w14:textId="466871A0"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9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B8A39C" w14:textId="77777777" w:rsidR="00D94935" w:rsidRPr="00140BF9" w:rsidRDefault="00D94935" w:rsidP="00D94935">
      <w:pPr>
        <w:pStyle w:val="AmdtsEntryHd"/>
        <w:rPr>
          <w:rFonts w:cs="Arial"/>
        </w:rPr>
      </w:pPr>
      <w:r w:rsidRPr="00140BF9">
        <w:rPr>
          <w:rFonts w:cs="Arial"/>
        </w:rPr>
        <w:t>Application for arbitration—liability and particulars subject to answer</w:t>
      </w:r>
    </w:p>
    <w:p w14:paraId="566972A2" w14:textId="77777777" w:rsidR="00D94935" w:rsidRPr="00140BF9" w:rsidRDefault="00D94935" w:rsidP="00EC318A">
      <w:pPr>
        <w:pStyle w:val="AmdtsEntries"/>
        <w:keepNext/>
        <w:rPr>
          <w:rFonts w:cs="Arial"/>
        </w:rPr>
      </w:pPr>
      <w:r w:rsidRPr="00140BF9">
        <w:rPr>
          <w:rFonts w:cs="Arial"/>
        </w:rPr>
        <w:t>r 3914 hdg</w:t>
      </w:r>
      <w:r w:rsidRPr="00140BF9">
        <w:rPr>
          <w:rFonts w:eastAsiaTheme="minorEastAsia" w:cs="Arial"/>
          <w:szCs w:val="22"/>
          <w:lang w:eastAsia="en-AU"/>
        </w:rPr>
        <w:tab/>
        <w:t>bracketed note om R29 LA</w:t>
      </w:r>
    </w:p>
    <w:p w14:paraId="265F9E53" w14:textId="1FDC8638"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9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499817" w14:textId="77777777" w:rsidR="00D94935" w:rsidRPr="00140BF9" w:rsidRDefault="00D94935" w:rsidP="00D94935">
      <w:pPr>
        <w:pStyle w:val="AmdtsEntryHd"/>
        <w:rPr>
          <w:rFonts w:cs="Arial"/>
        </w:rPr>
      </w:pPr>
      <w:r w:rsidRPr="00140BF9">
        <w:rPr>
          <w:rFonts w:cs="Arial"/>
        </w:rPr>
        <w:t>Application for arbitration—service of answer</w:t>
      </w:r>
    </w:p>
    <w:p w14:paraId="4B5C7E33" w14:textId="77777777"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14:paraId="36624E2F" w14:textId="600DDE10"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9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45E2AE0" w14:textId="77777777" w:rsidR="00D94935" w:rsidRPr="00140BF9" w:rsidRDefault="00D94935" w:rsidP="00D94935">
      <w:pPr>
        <w:pStyle w:val="AmdtsEntryHd"/>
        <w:rPr>
          <w:rFonts w:cs="Arial"/>
        </w:rPr>
      </w:pPr>
      <w:r w:rsidRPr="00140BF9">
        <w:rPr>
          <w:rFonts w:cs="Arial"/>
        </w:rPr>
        <w:lastRenderedPageBreak/>
        <w:t>Application for arbitration—amendment</w:t>
      </w:r>
    </w:p>
    <w:p w14:paraId="5B9FD05B" w14:textId="77777777"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14:paraId="1D090C00" w14:textId="0014A3D7"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9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E26C6" w14:textId="77777777" w:rsidR="00D94935" w:rsidRPr="00140BF9" w:rsidRDefault="00D94935" w:rsidP="00D94935">
      <w:pPr>
        <w:pStyle w:val="AmdtsEntryHd"/>
        <w:rPr>
          <w:rFonts w:cs="Arial"/>
        </w:rPr>
      </w:pPr>
      <w:r w:rsidRPr="00140BF9">
        <w:rPr>
          <w:rFonts w:cs="Arial"/>
        </w:rPr>
        <w:t>Application for arbitration—minor amendment or amendment by consent</w:t>
      </w:r>
    </w:p>
    <w:p w14:paraId="42C284C6" w14:textId="77777777"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14:paraId="3B6C69BC" w14:textId="0DF00AAB"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9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2127EA" w14:textId="77777777" w:rsidR="00D94935" w:rsidRPr="00140BF9" w:rsidRDefault="00D94935" w:rsidP="00D94935">
      <w:pPr>
        <w:pStyle w:val="AmdtsEntryHd"/>
        <w:rPr>
          <w:rFonts w:cs="Arial"/>
        </w:rPr>
      </w:pPr>
      <w:r w:rsidRPr="00140BF9">
        <w:rPr>
          <w:rFonts w:cs="Arial"/>
        </w:rPr>
        <w:t>Application for arbitration—discontinuance</w:t>
      </w:r>
    </w:p>
    <w:p w14:paraId="180514F3" w14:textId="77777777"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14:paraId="1601790F" w14:textId="495827F1"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9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18DF290" w14:textId="77777777" w:rsidR="00D94935" w:rsidRPr="00140BF9" w:rsidRDefault="00D94935" w:rsidP="00D94935">
      <w:pPr>
        <w:pStyle w:val="AmdtsEntryHd"/>
        <w:rPr>
          <w:rFonts w:cs="Arial"/>
        </w:rPr>
      </w:pPr>
      <w:r w:rsidRPr="00140BF9">
        <w:rPr>
          <w:rFonts w:cs="Arial"/>
        </w:rPr>
        <w:t>Workers compensation—parties for arbitration</w:t>
      </w:r>
    </w:p>
    <w:p w14:paraId="4D9F6E68" w14:textId="036075B6"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9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85B5B6D" w14:textId="77777777" w:rsidR="00D94935" w:rsidRPr="00140BF9" w:rsidRDefault="00D94935" w:rsidP="00D94935">
      <w:pPr>
        <w:pStyle w:val="AmdtsEntryHd"/>
        <w:rPr>
          <w:rFonts w:cs="Arial"/>
        </w:rPr>
      </w:pPr>
      <w:r w:rsidRPr="00140BF9">
        <w:rPr>
          <w:rFonts w:cs="Arial"/>
        </w:rPr>
        <w:t>Arbitration—necessary parties</w:t>
      </w:r>
    </w:p>
    <w:p w14:paraId="63CF6805" w14:textId="77777777"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14:paraId="26D678BC" w14:textId="11E3D210"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9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E293E0" w14:textId="77777777" w:rsidR="00D94935" w:rsidRPr="00140BF9" w:rsidRDefault="00D94935" w:rsidP="00D94935">
      <w:pPr>
        <w:pStyle w:val="AmdtsEntryHd"/>
        <w:rPr>
          <w:rFonts w:cs="Arial"/>
        </w:rPr>
      </w:pPr>
      <w:r w:rsidRPr="00140BF9">
        <w:rPr>
          <w:rFonts w:cs="Arial"/>
        </w:rPr>
        <w:t>Arbitration—determination of Territory or State of connection</w:t>
      </w:r>
    </w:p>
    <w:p w14:paraId="6B4FA81A" w14:textId="1B4A8781"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983"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14:paraId="69F0E255" w14:textId="77777777" w:rsidR="00D94935" w:rsidRPr="00140BF9" w:rsidRDefault="00D94935" w:rsidP="00D94935">
      <w:pPr>
        <w:pStyle w:val="AmdtsEntryHd"/>
        <w:rPr>
          <w:rFonts w:cs="Arial"/>
        </w:rPr>
      </w:pPr>
      <w:r w:rsidRPr="00140BF9">
        <w:rPr>
          <w:rFonts w:cs="Arial"/>
        </w:rPr>
        <w:t>Arbitration—including other parties</w:t>
      </w:r>
    </w:p>
    <w:p w14:paraId="5927BE81" w14:textId="77777777"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14:paraId="64C43CB8" w14:textId="632741C2"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9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5A4139" w14:textId="77777777" w:rsidR="00D94935" w:rsidRPr="00140BF9" w:rsidRDefault="00D94935" w:rsidP="00D94935">
      <w:pPr>
        <w:pStyle w:val="AmdtsEntryHd"/>
        <w:rPr>
          <w:rFonts w:cs="Arial"/>
        </w:rPr>
      </w:pPr>
      <w:r w:rsidRPr="00140BF9">
        <w:rPr>
          <w:rFonts w:cs="Arial"/>
        </w:rPr>
        <w:t>Arbitration—person may apply to be included as party</w:t>
      </w:r>
    </w:p>
    <w:p w14:paraId="3C851481" w14:textId="77777777"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14:paraId="587068D0" w14:textId="0960D51D"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9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B71C622" w14:textId="77777777" w:rsidR="00D94935" w:rsidRPr="00140BF9" w:rsidRDefault="00D94935" w:rsidP="00D94935">
      <w:pPr>
        <w:pStyle w:val="AmdtsEntryHd"/>
        <w:rPr>
          <w:rFonts w:cs="Arial"/>
        </w:rPr>
      </w:pPr>
      <w:r w:rsidRPr="00140BF9">
        <w:rPr>
          <w:rFonts w:cs="Arial"/>
        </w:rPr>
        <w:t>Arbitration—party may apply to be removed as party</w:t>
      </w:r>
    </w:p>
    <w:p w14:paraId="06CAE6A3" w14:textId="77777777"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14:paraId="30FEBE6D" w14:textId="3ED5CC2C"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9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DC32D1" w14:textId="77777777"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14:paraId="15963FE3" w14:textId="77777777"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14:paraId="401DB7A3" w14:textId="37A9503C"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9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1ACFB1" w14:textId="77777777" w:rsidR="00D94935" w:rsidRPr="00140BF9" w:rsidRDefault="00D94935" w:rsidP="00D94935">
      <w:pPr>
        <w:pStyle w:val="AmdtsEntryHd"/>
        <w:rPr>
          <w:rFonts w:cs="Arial"/>
        </w:rPr>
      </w:pPr>
      <w:r w:rsidRPr="00140BF9">
        <w:rPr>
          <w:rFonts w:cs="Arial"/>
        </w:rPr>
        <w:t>Workers compensation—representation in arbitrations</w:t>
      </w:r>
    </w:p>
    <w:p w14:paraId="529E8D38" w14:textId="14D8A010"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9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9C87F8" w14:textId="77777777" w:rsidR="00D94935" w:rsidRPr="00140BF9" w:rsidRDefault="00D94935" w:rsidP="00D94935">
      <w:pPr>
        <w:pStyle w:val="AmdtsEntryHd"/>
        <w:rPr>
          <w:rFonts w:cs="Arial"/>
        </w:rPr>
      </w:pPr>
      <w:r w:rsidRPr="00140BF9">
        <w:rPr>
          <w:rFonts w:cs="Arial"/>
          <w:lang w:val="en-US"/>
        </w:rPr>
        <w:t>Arbitration—party may be represented</w:t>
      </w:r>
    </w:p>
    <w:p w14:paraId="3B18FAC7" w14:textId="77777777"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14:paraId="48597B49" w14:textId="5882A8EF"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9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DB74F0" w14:textId="77777777" w:rsidR="00D94935" w:rsidRPr="00140BF9" w:rsidRDefault="00D94935" w:rsidP="00D94935">
      <w:pPr>
        <w:pStyle w:val="AmdtsEntryHd"/>
        <w:rPr>
          <w:rFonts w:cs="Arial"/>
        </w:rPr>
      </w:pPr>
      <w:r w:rsidRPr="00140BF9">
        <w:rPr>
          <w:rFonts w:cs="Arial"/>
        </w:rPr>
        <w:t>Arbitration—separate representation of employer for insurer’s period on risk</w:t>
      </w:r>
    </w:p>
    <w:p w14:paraId="1D21F7BA" w14:textId="433556BF"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99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14:paraId="3B295A8F" w14:textId="77777777" w:rsidR="00D94935" w:rsidRPr="00140BF9" w:rsidRDefault="00D94935" w:rsidP="00D94935">
      <w:pPr>
        <w:pStyle w:val="AmdtsEntryHd"/>
        <w:rPr>
          <w:rFonts w:cs="Arial"/>
        </w:rPr>
      </w:pPr>
      <w:r w:rsidRPr="00140BF9">
        <w:rPr>
          <w:rFonts w:cs="Arial"/>
        </w:rPr>
        <w:t>Workers compensation—listing procedure for arbitrations</w:t>
      </w:r>
    </w:p>
    <w:p w14:paraId="3C83FE6F" w14:textId="6FD4453E"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C4C40A" w14:textId="3C5AF40C" w:rsidR="00D94935" w:rsidRPr="00140BF9" w:rsidRDefault="00D94935" w:rsidP="00D94935">
      <w:pPr>
        <w:pStyle w:val="AmdtsEntries"/>
        <w:rPr>
          <w:rFonts w:cs="Arial"/>
        </w:rPr>
      </w:pPr>
      <w:r w:rsidRPr="00140BF9">
        <w:rPr>
          <w:rFonts w:cs="Arial"/>
        </w:rPr>
        <w:tab/>
        <w:t xml:space="preserve">om </w:t>
      </w:r>
      <w:hyperlink r:id="rId199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4DA173B2" w14:textId="77777777" w:rsidR="00D94935" w:rsidRPr="00140BF9" w:rsidRDefault="00D94935" w:rsidP="00D94935">
      <w:pPr>
        <w:pStyle w:val="AmdtsEntryHd"/>
        <w:rPr>
          <w:rFonts w:cs="Arial"/>
        </w:rPr>
      </w:pPr>
      <w:r w:rsidRPr="00140BF9">
        <w:rPr>
          <w:rFonts w:cs="Arial"/>
        </w:rPr>
        <w:lastRenderedPageBreak/>
        <w:t>Arbitration listing procedure—certificate of readiness</w:t>
      </w:r>
    </w:p>
    <w:p w14:paraId="45E0591E" w14:textId="77777777"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14:paraId="4AC7AB7D" w14:textId="32646F05"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0AC136" w14:textId="77EEC4FD" w:rsidR="00D94935" w:rsidRPr="00140BF9" w:rsidRDefault="00D94935" w:rsidP="00D94935">
      <w:pPr>
        <w:pStyle w:val="AmdtsEntries"/>
        <w:rPr>
          <w:rFonts w:cs="Arial"/>
        </w:rPr>
      </w:pPr>
      <w:r w:rsidRPr="00140BF9">
        <w:rPr>
          <w:rFonts w:cs="Arial"/>
        </w:rPr>
        <w:tab/>
        <w:t xml:space="preserve">om </w:t>
      </w:r>
      <w:hyperlink r:id="rId199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5CA3168C" w14:textId="77777777" w:rsidR="00D94935" w:rsidRPr="00140BF9" w:rsidRDefault="00D94935" w:rsidP="00D94935">
      <w:pPr>
        <w:pStyle w:val="AmdtsEntryHd"/>
        <w:rPr>
          <w:rFonts w:cs="Arial"/>
        </w:rPr>
      </w:pPr>
      <w:r w:rsidRPr="00140BF9">
        <w:rPr>
          <w:rFonts w:cs="Arial"/>
        </w:rPr>
        <w:t>Arbitration listing procedure—certificate of readiness not signed</w:t>
      </w:r>
    </w:p>
    <w:p w14:paraId="77A4E235" w14:textId="77777777"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14:paraId="0B86F3EF" w14:textId="3921A8BA"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348C1DC" w14:textId="10E6C9EA" w:rsidR="00D94935" w:rsidRPr="00140BF9" w:rsidRDefault="00D94935" w:rsidP="00D94935">
      <w:pPr>
        <w:pStyle w:val="AmdtsEntries"/>
        <w:rPr>
          <w:rFonts w:cs="Arial"/>
        </w:rPr>
      </w:pPr>
      <w:r w:rsidRPr="00140BF9">
        <w:rPr>
          <w:rFonts w:cs="Arial"/>
        </w:rPr>
        <w:tab/>
        <w:t xml:space="preserve">om </w:t>
      </w:r>
      <w:hyperlink r:id="rId199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2941EAF1" w14:textId="77777777" w:rsidR="00D94935" w:rsidRPr="00140BF9" w:rsidRDefault="00D94935" w:rsidP="00D94935">
      <w:pPr>
        <w:pStyle w:val="AmdtsEntryHd"/>
        <w:rPr>
          <w:rFonts w:cs="Arial"/>
        </w:rPr>
      </w:pPr>
      <w:r w:rsidRPr="00140BF9">
        <w:rPr>
          <w:rFonts w:cs="Arial"/>
        </w:rPr>
        <w:t>Workers compensation—medical reports for arbitrations</w:t>
      </w:r>
    </w:p>
    <w:p w14:paraId="60DEE71B" w14:textId="32863C12"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254E28E" w14:textId="77777777" w:rsidR="00D94935" w:rsidRPr="00140BF9" w:rsidRDefault="00D94935" w:rsidP="00D94935">
      <w:pPr>
        <w:pStyle w:val="AmdtsEntryHd"/>
        <w:rPr>
          <w:rFonts w:cs="Arial"/>
        </w:rPr>
      </w:pPr>
      <w:r w:rsidRPr="00140BF9">
        <w:rPr>
          <w:rFonts w:cs="Arial"/>
        </w:rPr>
        <w:t>Arbitration—service of medical reports</w:t>
      </w:r>
    </w:p>
    <w:p w14:paraId="6D844311" w14:textId="77777777"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14:paraId="060DC915" w14:textId="482BFF0F"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7DF4D" w14:textId="77777777" w:rsidR="00D94935" w:rsidRPr="00140BF9" w:rsidRDefault="00D94935" w:rsidP="00D94935">
      <w:pPr>
        <w:pStyle w:val="AmdtsEntryHd"/>
        <w:rPr>
          <w:rFonts w:cs="Arial"/>
        </w:rPr>
      </w:pPr>
      <w:r w:rsidRPr="00140BF9">
        <w:rPr>
          <w:rFonts w:cs="Arial"/>
        </w:rPr>
        <w:t>Arbitration—supplementary medical reports</w:t>
      </w:r>
    </w:p>
    <w:p w14:paraId="2F6E816A" w14:textId="77777777"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14:paraId="3D677D53" w14:textId="13911AA3"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63FAD5F" w14:textId="77777777" w:rsidR="00D94935" w:rsidRPr="00140BF9" w:rsidRDefault="00D94935" w:rsidP="00D94935">
      <w:pPr>
        <w:pStyle w:val="AmdtsEntryHd"/>
        <w:rPr>
          <w:rFonts w:cs="Arial"/>
        </w:rPr>
      </w:pPr>
      <w:r w:rsidRPr="00140BF9">
        <w:rPr>
          <w:rFonts w:cs="Arial"/>
        </w:rPr>
        <w:t>Arbitration—doctor’s evidence to be covered by medical report</w:t>
      </w:r>
    </w:p>
    <w:p w14:paraId="13EAF5A6" w14:textId="77777777"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14:paraId="37DE9681" w14:textId="5DB9FF84"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20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40AB5A" w14:textId="77777777" w:rsidR="00D94935" w:rsidRPr="00140BF9" w:rsidRDefault="00D94935" w:rsidP="00D94935">
      <w:pPr>
        <w:pStyle w:val="AmdtsEntryHd"/>
        <w:rPr>
          <w:rFonts w:cs="Arial"/>
        </w:rPr>
      </w:pPr>
      <w:r w:rsidRPr="00140BF9">
        <w:rPr>
          <w:rFonts w:cs="Arial"/>
        </w:rPr>
        <w:t>Arbitration—medical reports admissible as evidence of opinion etc</w:t>
      </w:r>
    </w:p>
    <w:p w14:paraId="58FA8964" w14:textId="77777777"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14:paraId="1E75982C" w14:textId="76EA54E8"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05B9778" w14:textId="77777777" w:rsidR="00D94935" w:rsidRPr="00140BF9" w:rsidRDefault="00D94935" w:rsidP="00D94935">
      <w:pPr>
        <w:pStyle w:val="AmdtsEntryHd"/>
        <w:rPr>
          <w:rFonts w:cs="Arial"/>
        </w:rPr>
      </w:pPr>
      <w:r w:rsidRPr="00140BF9">
        <w:rPr>
          <w:rFonts w:cs="Arial"/>
        </w:rPr>
        <w:t>Arbitration—requiring attendance of doctor for cross-examination etc</w:t>
      </w:r>
    </w:p>
    <w:p w14:paraId="74CE9502" w14:textId="77777777"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14:paraId="34375355" w14:textId="1BEDB63E"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20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84A30B" w14:textId="77777777" w:rsidR="00D94935" w:rsidRPr="00140BF9" w:rsidRDefault="00D94935" w:rsidP="00D94935">
      <w:pPr>
        <w:pStyle w:val="AmdtsEntryHd"/>
        <w:rPr>
          <w:rFonts w:cs="Arial"/>
        </w:rPr>
      </w:pPr>
      <w:r w:rsidRPr="00140BF9">
        <w:rPr>
          <w:rFonts w:cs="Arial"/>
        </w:rPr>
        <w:t>Arbitration—tender of medical report</w:t>
      </w:r>
    </w:p>
    <w:p w14:paraId="006FBB8F" w14:textId="6F7A7E3E"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7B1944" w14:textId="77777777" w:rsidR="00D94935" w:rsidRPr="00140BF9" w:rsidRDefault="00D94935" w:rsidP="00D94935">
      <w:pPr>
        <w:pStyle w:val="AmdtsEntryHd"/>
        <w:rPr>
          <w:rFonts w:cs="Arial"/>
        </w:rPr>
      </w:pPr>
      <w:r w:rsidRPr="00140BF9">
        <w:rPr>
          <w:rFonts w:cs="Arial"/>
        </w:rPr>
        <w:t>Workers compensation—medical referees for arbitrations</w:t>
      </w:r>
    </w:p>
    <w:p w14:paraId="62852802" w14:textId="38C6E8E0"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20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5CC605" w14:textId="77777777" w:rsidR="00D94935" w:rsidRPr="00140BF9" w:rsidRDefault="00D94935" w:rsidP="00D94935">
      <w:pPr>
        <w:pStyle w:val="AmdtsEntryHd"/>
        <w:rPr>
          <w:rFonts w:cs="Arial"/>
        </w:rPr>
      </w:pPr>
      <w:r w:rsidRPr="00140BF9">
        <w:rPr>
          <w:rFonts w:cs="Arial"/>
          <w:lang w:val="en-US"/>
        </w:rPr>
        <w:t>Arbitration—party may apply for medical referee etc</w:t>
      </w:r>
    </w:p>
    <w:p w14:paraId="672579DE" w14:textId="77777777"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14:paraId="23C12180" w14:textId="60686345"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32EFBE6" w14:textId="77777777" w:rsidR="00D94935" w:rsidRPr="00140BF9" w:rsidRDefault="00D94935" w:rsidP="00D94935">
      <w:pPr>
        <w:pStyle w:val="AmdtsEntryHd"/>
        <w:rPr>
          <w:rFonts w:cs="Arial"/>
        </w:rPr>
      </w:pPr>
      <w:r w:rsidRPr="00140BF9">
        <w:rPr>
          <w:rFonts w:cs="Arial"/>
          <w:lang w:val="en-US"/>
        </w:rPr>
        <w:t>Arbitration—number of medical referees</w:t>
      </w:r>
    </w:p>
    <w:p w14:paraId="7C827C92" w14:textId="77777777"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14:paraId="34F1DAF6" w14:textId="04109DB9"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20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9D4D4" w14:textId="77777777" w:rsidR="00D94935" w:rsidRPr="00140BF9" w:rsidRDefault="00D94935" w:rsidP="00D94935">
      <w:pPr>
        <w:pStyle w:val="AmdtsEntryHd"/>
        <w:rPr>
          <w:rFonts w:cs="Arial"/>
        </w:rPr>
      </w:pPr>
      <w:r w:rsidRPr="00140BF9">
        <w:rPr>
          <w:rFonts w:cs="Arial"/>
          <w:lang w:val="en-US"/>
        </w:rPr>
        <w:t>Arbitration—notice of request to medical referee</w:t>
      </w:r>
    </w:p>
    <w:p w14:paraId="20168B1B" w14:textId="77777777"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14:paraId="1BE3463B" w14:textId="12901834"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09FA7B" w14:textId="77777777" w:rsidR="00D94935" w:rsidRPr="00140BF9" w:rsidRDefault="00D94935" w:rsidP="00D94935">
      <w:pPr>
        <w:pStyle w:val="AmdtsEntryHd"/>
        <w:rPr>
          <w:rFonts w:cs="Arial"/>
        </w:rPr>
      </w:pPr>
      <w:r w:rsidRPr="00140BF9">
        <w:rPr>
          <w:rFonts w:cs="Arial"/>
          <w:lang w:val="en-US"/>
        </w:rPr>
        <w:lastRenderedPageBreak/>
        <w:t>Arbitration—assessment of worker by medical referee</w:t>
      </w:r>
    </w:p>
    <w:p w14:paraId="0EDB319B" w14:textId="77777777"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14:paraId="0A0AB099" w14:textId="5B0CCF72"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20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259447" w14:textId="77777777"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14:paraId="57B6588F" w14:textId="77777777"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14:paraId="09704DF4" w14:textId="4BA4EE84"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20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46B419D" w14:textId="77777777"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14:paraId="11C0F1D0" w14:textId="77777777"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14:paraId="320980DF" w14:textId="06B388D9"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20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1A1A95A" w14:textId="77777777" w:rsidR="00D94935" w:rsidRPr="00140BF9" w:rsidRDefault="00D94935" w:rsidP="00D94935">
      <w:pPr>
        <w:pStyle w:val="AmdtsEntryHd"/>
        <w:rPr>
          <w:rFonts w:cs="Arial"/>
        </w:rPr>
      </w:pPr>
      <w:r w:rsidRPr="00140BF9">
        <w:rPr>
          <w:rFonts w:cs="Arial"/>
          <w:lang w:val="en-US"/>
        </w:rPr>
        <w:t>Arbitration—medical referee’s report to be given to parties</w:t>
      </w:r>
    </w:p>
    <w:p w14:paraId="21EAC055" w14:textId="77777777"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14:paraId="45E1402A" w14:textId="751480D0"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20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676971" w14:textId="77777777" w:rsidR="00D94935" w:rsidRPr="00140BF9" w:rsidRDefault="00D94935" w:rsidP="00D94935">
      <w:pPr>
        <w:pStyle w:val="AmdtsEntryHd"/>
        <w:rPr>
          <w:rFonts w:cs="Arial"/>
        </w:rPr>
      </w:pPr>
      <w:r w:rsidRPr="00140BF9">
        <w:rPr>
          <w:rFonts w:cs="Arial"/>
          <w:lang w:val="en-US"/>
        </w:rPr>
        <w:t>Arbitration—court may decide claim without medical referee report</w:t>
      </w:r>
    </w:p>
    <w:p w14:paraId="3344FA41" w14:textId="77777777"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14:paraId="78416028" w14:textId="141CDED3"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20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2E8D8" w14:textId="77777777" w:rsidR="00D94935" w:rsidRPr="00140BF9" w:rsidRDefault="00D94935" w:rsidP="00D94935">
      <w:pPr>
        <w:pStyle w:val="AmdtsEntryHd"/>
        <w:rPr>
          <w:rFonts w:cs="Arial"/>
        </w:rPr>
      </w:pPr>
      <w:r w:rsidRPr="00140BF9">
        <w:rPr>
          <w:rFonts w:cs="Arial"/>
        </w:rPr>
        <w:t>Workers compensation—dispute resolution conference for arbitration</w:t>
      </w:r>
    </w:p>
    <w:p w14:paraId="137BB2AA" w14:textId="4ACDFCD3"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B81D18B" w14:textId="669C0A6B" w:rsidR="00D94935" w:rsidRPr="00140BF9" w:rsidRDefault="00D94935" w:rsidP="00D94935">
      <w:pPr>
        <w:pStyle w:val="AmdtsEntries"/>
        <w:rPr>
          <w:rFonts w:cs="Arial"/>
        </w:rPr>
      </w:pPr>
      <w:r w:rsidRPr="00140BF9">
        <w:rPr>
          <w:rFonts w:cs="Arial"/>
        </w:rPr>
        <w:tab/>
        <w:t xml:space="preserve">sub </w:t>
      </w:r>
      <w:hyperlink r:id="rId201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E50744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14:paraId="3F8A674B" w14:textId="77777777"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14:paraId="3BA9805D" w14:textId="7ABB8D65"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20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0AE3AA3" w14:textId="2755A2CF" w:rsidR="00D94935" w:rsidRPr="00140BF9" w:rsidRDefault="00D94935" w:rsidP="00D94935">
      <w:pPr>
        <w:pStyle w:val="AmdtsEntries"/>
        <w:rPr>
          <w:rFonts w:cs="Arial"/>
        </w:rPr>
      </w:pPr>
      <w:r w:rsidRPr="00140BF9">
        <w:rPr>
          <w:rFonts w:cs="Arial"/>
        </w:rPr>
        <w:tab/>
        <w:t xml:space="preserve">sub </w:t>
      </w:r>
      <w:hyperlink r:id="rId201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70C6AA9" w14:textId="77777777" w:rsidR="00D94935" w:rsidRPr="00140BF9" w:rsidRDefault="00D94935" w:rsidP="00D94935">
      <w:pPr>
        <w:pStyle w:val="AmdtsEntryHd"/>
        <w:rPr>
          <w:rFonts w:cs="Arial"/>
        </w:rPr>
      </w:pPr>
      <w:r w:rsidRPr="00140BF9">
        <w:rPr>
          <w:rFonts w:cs="Arial"/>
        </w:rPr>
        <w:t>Dispute resolution conference—purpose</w:t>
      </w:r>
    </w:p>
    <w:p w14:paraId="6264C184" w14:textId="77777777"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14:paraId="4E60C2EA" w14:textId="7087E482"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20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225C4D" w14:textId="103AF745" w:rsidR="00D94935" w:rsidRPr="00140BF9" w:rsidRDefault="00D94935" w:rsidP="00D94935">
      <w:pPr>
        <w:pStyle w:val="AmdtsEntries"/>
        <w:rPr>
          <w:rFonts w:cs="Arial"/>
        </w:rPr>
      </w:pPr>
      <w:r w:rsidRPr="00140BF9">
        <w:rPr>
          <w:rFonts w:cs="Arial"/>
        </w:rPr>
        <w:tab/>
        <w:t xml:space="preserve">sub </w:t>
      </w:r>
      <w:hyperlink r:id="rId201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E3BF93F" w14:textId="77777777" w:rsidR="00D94935" w:rsidRPr="00140BF9" w:rsidRDefault="00D94935" w:rsidP="00D94935">
      <w:pPr>
        <w:pStyle w:val="AmdtsEntryHd"/>
        <w:rPr>
          <w:rFonts w:cs="Arial"/>
        </w:rPr>
      </w:pPr>
      <w:r w:rsidRPr="00140BF9">
        <w:rPr>
          <w:rFonts w:cs="Arial"/>
        </w:rPr>
        <w:t>Conciliator for dispute resolution conference—div 3.13.8</w:t>
      </w:r>
    </w:p>
    <w:p w14:paraId="6DD5C8B7" w14:textId="77777777"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14:paraId="3D8204B9" w14:textId="6C69E543"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20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C0AF1" w14:textId="04748938" w:rsidR="00D94935" w:rsidRPr="00140BF9" w:rsidRDefault="00D94935" w:rsidP="00D94935">
      <w:pPr>
        <w:pStyle w:val="AmdtsEntries"/>
        <w:rPr>
          <w:rFonts w:cs="Arial"/>
        </w:rPr>
      </w:pPr>
      <w:r w:rsidRPr="00140BF9">
        <w:rPr>
          <w:rFonts w:cs="Arial"/>
        </w:rPr>
        <w:tab/>
        <w:t xml:space="preserve">sub </w:t>
      </w:r>
      <w:hyperlink r:id="rId202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33CA24E" w14:textId="77777777" w:rsidR="00D94935" w:rsidRPr="00140BF9" w:rsidRDefault="00D94935" w:rsidP="00D94935">
      <w:pPr>
        <w:pStyle w:val="AmdtsEntryHd"/>
        <w:rPr>
          <w:rFonts w:cs="Arial"/>
        </w:rPr>
      </w:pPr>
      <w:r w:rsidRPr="00140BF9">
        <w:rPr>
          <w:rFonts w:cs="Arial"/>
        </w:rPr>
        <w:t>Dispute resolution conference—listings etc</w:t>
      </w:r>
    </w:p>
    <w:p w14:paraId="082B739D" w14:textId="77777777"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14:paraId="05FF0962" w14:textId="50D06DE3"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20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17A2AF" w14:textId="1665A631" w:rsidR="00D94935" w:rsidRPr="00140BF9" w:rsidRDefault="00D94935" w:rsidP="00D94935">
      <w:pPr>
        <w:pStyle w:val="AmdtsEntries"/>
        <w:rPr>
          <w:rFonts w:cs="Arial"/>
        </w:rPr>
      </w:pPr>
      <w:r w:rsidRPr="00140BF9">
        <w:rPr>
          <w:rFonts w:cs="Arial"/>
        </w:rPr>
        <w:tab/>
        <w:t xml:space="preserve">sub </w:t>
      </w:r>
      <w:hyperlink r:id="rId202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39C8E240" w14:textId="77777777" w:rsidR="00D94935" w:rsidRPr="00140BF9" w:rsidRDefault="00D94935" w:rsidP="00D94935">
      <w:pPr>
        <w:pStyle w:val="AmdtsEntryHd"/>
        <w:rPr>
          <w:rFonts w:cs="Arial"/>
        </w:rPr>
      </w:pPr>
      <w:r w:rsidRPr="00140BF9">
        <w:rPr>
          <w:rFonts w:cs="Arial"/>
        </w:rPr>
        <w:t>Dispute resolution conference—requirement to attend</w:t>
      </w:r>
    </w:p>
    <w:p w14:paraId="6A9C8072" w14:textId="77777777"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14:paraId="10F89565" w14:textId="69E841BA"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20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880076" w14:textId="239321DC" w:rsidR="00D94935" w:rsidRPr="00140BF9" w:rsidRDefault="00D94935" w:rsidP="00D94935">
      <w:pPr>
        <w:pStyle w:val="AmdtsEntries"/>
        <w:rPr>
          <w:rFonts w:cs="Arial"/>
        </w:rPr>
      </w:pPr>
      <w:r w:rsidRPr="00140BF9">
        <w:rPr>
          <w:rFonts w:cs="Arial"/>
        </w:rPr>
        <w:tab/>
        <w:t xml:space="preserve">sub </w:t>
      </w:r>
      <w:hyperlink r:id="rId202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B866E42" w14:textId="77777777" w:rsidR="00D94935" w:rsidRPr="00140BF9" w:rsidRDefault="00D94935" w:rsidP="00D94935">
      <w:pPr>
        <w:pStyle w:val="AmdtsEntryHd"/>
        <w:rPr>
          <w:rFonts w:cs="Arial"/>
        </w:rPr>
      </w:pPr>
      <w:r w:rsidRPr="00140BF9">
        <w:rPr>
          <w:rFonts w:cs="Arial"/>
        </w:rPr>
        <w:lastRenderedPageBreak/>
        <w:t>Dispute resolution conference—time</w:t>
      </w:r>
    </w:p>
    <w:p w14:paraId="0F40A715" w14:textId="77777777"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14:paraId="3E568095" w14:textId="73161343"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20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8FB790" w14:textId="30D73002" w:rsidR="00D94935" w:rsidRPr="00140BF9" w:rsidRDefault="00D94935" w:rsidP="00D94935">
      <w:pPr>
        <w:pStyle w:val="AmdtsEntries"/>
        <w:rPr>
          <w:rFonts w:cs="Arial"/>
        </w:rPr>
      </w:pPr>
      <w:r w:rsidRPr="00140BF9">
        <w:rPr>
          <w:rFonts w:cs="Arial"/>
        </w:rPr>
        <w:tab/>
        <w:t xml:space="preserve">sub </w:t>
      </w:r>
      <w:hyperlink r:id="rId202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7F81C435" w14:textId="77777777" w:rsidR="00D94935" w:rsidRPr="00140BF9" w:rsidRDefault="00D94935" w:rsidP="00D94935">
      <w:pPr>
        <w:pStyle w:val="AmdtsEntryHd"/>
        <w:rPr>
          <w:rFonts w:cs="Arial"/>
        </w:rPr>
      </w:pPr>
      <w:r w:rsidRPr="00140BF9">
        <w:rPr>
          <w:rFonts w:cs="Arial"/>
        </w:rPr>
        <w:t>Dispute resolution conference—information to be provided before conference</w:t>
      </w:r>
    </w:p>
    <w:p w14:paraId="30512E99" w14:textId="77777777"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14:paraId="35757B79" w14:textId="699EAE19"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20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0EAD44" w14:textId="4D6C5E8D" w:rsidR="00D94935" w:rsidRPr="00140BF9" w:rsidRDefault="00D94935" w:rsidP="00D94935">
      <w:pPr>
        <w:pStyle w:val="AmdtsEntries"/>
        <w:rPr>
          <w:rFonts w:cs="Arial"/>
        </w:rPr>
      </w:pPr>
      <w:r w:rsidRPr="00140BF9">
        <w:rPr>
          <w:rFonts w:cs="Arial"/>
        </w:rPr>
        <w:tab/>
        <w:t xml:space="preserve">sub </w:t>
      </w:r>
      <w:hyperlink r:id="rId202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91A0184" w14:textId="77777777" w:rsidR="00D94935" w:rsidRPr="00140BF9" w:rsidRDefault="00D94935" w:rsidP="00D94935">
      <w:pPr>
        <w:pStyle w:val="AmdtsEntryHd"/>
        <w:rPr>
          <w:rFonts w:cs="Arial"/>
        </w:rPr>
      </w:pPr>
      <w:r w:rsidRPr="00140BF9">
        <w:rPr>
          <w:rFonts w:cs="Arial"/>
        </w:rPr>
        <w:t>Dispute resolution conference—confidentiality</w:t>
      </w:r>
    </w:p>
    <w:p w14:paraId="45B8E983" w14:textId="70D740F4"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203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1E32825" w14:textId="77777777" w:rsidR="00D94935" w:rsidRPr="00140BF9" w:rsidRDefault="00D94935" w:rsidP="00D94935">
      <w:pPr>
        <w:pStyle w:val="AmdtsEntryHd"/>
        <w:rPr>
          <w:rFonts w:cs="Arial"/>
        </w:rPr>
      </w:pPr>
      <w:r w:rsidRPr="00140BF9">
        <w:rPr>
          <w:rFonts w:cs="Arial"/>
        </w:rPr>
        <w:t>Dispute resolution conference—settlement must be in writing</w:t>
      </w:r>
    </w:p>
    <w:p w14:paraId="6288004F" w14:textId="1979AF88"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203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680D3FB" w14:textId="77777777" w:rsidR="00D94935" w:rsidRPr="00140BF9" w:rsidRDefault="00D94935" w:rsidP="00D94935">
      <w:pPr>
        <w:pStyle w:val="AmdtsEntryHd"/>
        <w:rPr>
          <w:rFonts w:cs="Arial"/>
        </w:rPr>
      </w:pPr>
      <w:r w:rsidRPr="00140BF9">
        <w:rPr>
          <w:rFonts w:cs="Arial"/>
        </w:rPr>
        <w:t>Dispute resolution conference—court orders on outcome of conference</w:t>
      </w:r>
    </w:p>
    <w:p w14:paraId="675112A2" w14:textId="4B57C7B0"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203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2C44B183" w14:textId="77777777" w:rsidR="00D94935" w:rsidRPr="00140BF9" w:rsidRDefault="00D94935" w:rsidP="00D94935">
      <w:pPr>
        <w:pStyle w:val="AmdtsEntryHd"/>
        <w:rPr>
          <w:rFonts w:cs="Arial"/>
        </w:rPr>
      </w:pPr>
      <w:r w:rsidRPr="00140BF9">
        <w:rPr>
          <w:rFonts w:cs="Arial"/>
        </w:rPr>
        <w:t>Workers compensation—conduct of arbitration</w:t>
      </w:r>
    </w:p>
    <w:p w14:paraId="625AAE34" w14:textId="3CECB2FA"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20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D9E2E5" w14:textId="77777777" w:rsidR="00D94935" w:rsidRPr="00140BF9" w:rsidRDefault="00D94935" w:rsidP="00D94935">
      <w:pPr>
        <w:pStyle w:val="AmdtsEntryHd"/>
        <w:rPr>
          <w:rFonts w:cs="Arial"/>
        </w:rPr>
      </w:pPr>
      <w:r w:rsidRPr="00140BF9">
        <w:rPr>
          <w:rFonts w:cs="Arial"/>
        </w:rPr>
        <w:t>Conduct of arbitration—date</w:t>
      </w:r>
    </w:p>
    <w:p w14:paraId="00E25B83" w14:textId="77777777"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14:paraId="06DD6EC9" w14:textId="5915F0F1"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20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EFBF5A" w14:textId="77777777" w:rsidR="00D94935" w:rsidRPr="00140BF9" w:rsidRDefault="00D94935" w:rsidP="00D94935">
      <w:pPr>
        <w:pStyle w:val="AmdtsEntryHd"/>
        <w:rPr>
          <w:rFonts w:cs="Arial"/>
        </w:rPr>
      </w:pPr>
      <w:r w:rsidRPr="00140BF9">
        <w:rPr>
          <w:rFonts w:cs="Arial"/>
        </w:rPr>
        <w:t>Conduct of arbitration—burden of proof on party asserting fact</w:t>
      </w:r>
    </w:p>
    <w:p w14:paraId="438CDD17" w14:textId="77777777"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14:paraId="0E0A811E" w14:textId="75F30DBF"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20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08137F" w14:textId="77777777" w:rsidR="00D94935" w:rsidRPr="00140BF9" w:rsidRDefault="00D94935" w:rsidP="00D94935">
      <w:pPr>
        <w:pStyle w:val="AmdtsEntryHd"/>
        <w:rPr>
          <w:rFonts w:cs="Arial"/>
        </w:rPr>
      </w:pPr>
      <w:r w:rsidRPr="00140BF9">
        <w:rPr>
          <w:rFonts w:cs="Arial"/>
        </w:rPr>
        <w:t>Conduct of arbitration—directions about third-party respondents</w:t>
      </w:r>
    </w:p>
    <w:p w14:paraId="04E0C070" w14:textId="77777777"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14:paraId="3D433F3C" w14:textId="643C6231"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20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DDC3A0" w14:textId="77777777" w:rsidR="00D94935" w:rsidRPr="00140BF9" w:rsidRDefault="00D94935" w:rsidP="00D94935">
      <w:pPr>
        <w:pStyle w:val="AmdtsEntryHd"/>
        <w:rPr>
          <w:rFonts w:cs="Arial"/>
        </w:rPr>
      </w:pPr>
      <w:r w:rsidRPr="00140BF9">
        <w:rPr>
          <w:rFonts w:cs="Arial"/>
        </w:rPr>
        <w:t>Conduct of arbitration—directions and orders if remedy against employer and stranger</w:t>
      </w:r>
    </w:p>
    <w:p w14:paraId="71A6C15D" w14:textId="77777777"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14:paraId="255510BC" w14:textId="5A3B9971"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20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6FD131" w14:textId="77777777" w:rsidR="00D94935" w:rsidRPr="00140BF9" w:rsidRDefault="00D94935" w:rsidP="00D94935">
      <w:pPr>
        <w:pStyle w:val="AmdtsEntryHd"/>
        <w:rPr>
          <w:rFonts w:cs="Arial"/>
        </w:rPr>
      </w:pPr>
      <w:r w:rsidRPr="00140BF9">
        <w:rPr>
          <w:rFonts w:cs="Arial"/>
        </w:rPr>
        <w:t>Conduct of arbitration—directions generally</w:t>
      </w:r>
    </w:p>
    <w:p w14:paraId="1BB916ED" w14:textId="62EEE8CA"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20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6B13893" w14:textId="77777777" w:rsidR="00D94935" w:rsidRPr="00140BF9" w:rsidRDefault="00D94935" w:rsidP="00D94935">
      <w:pPr>
        <w:pStyle w:val="AmdtsEntryHd"/>
        <w:rPr>
          <w:rFonts w:cs="Arial"/>
        </w:rPr>
      </w:pPr>
      <w:r w:rsidRPr="00140BF9">
        <w:rPr>
          <w:rFonts w:cs="Arial"/>
        </w:rPr>
        <w:t>Workers compensation—submission to award and payments into court</w:t>
      </w:r>
    </w:p>
    <w:p w14:paraId="77D414E6" w14:textId="0804BE12"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20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32AFEC" w14:textId="77777777" w:rsidR="00D94935" w:rsidRPr="00140BF9" w:rsidRDefault="00D94935" w:rsidP="00D94935">
      <w:pPr>
        <w:pStyle w:val="AmdtsEntryHd"/>
        <w:rPr>
          <w:rFonts w:cs="Arial"/>
        </w:rPr>
      </w:pPr>
      <w:r w:rsidRPr="00140BF9">
        <w:rPr>
          <w:rFonts w:cs="Arial"/>
        </w:rPr>
        <w:t>Arbitration—payment into court generally</w:t>
      </w:r>
    </w:p>
    <w:p w14:paraId="1993A7A9" w14:textId="77777777"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14:paraId="5093B757" w14:textId="483E6D4E"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20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ED603E" w14:textId="77777777" w:rsidR="00D94935" w:rsidRPr="00140BF9" w:rsidRDefault="00D94935" w:rsidP="00D94935">
      <w:pPr>
        <w:pStyle w:val="AmdtsEntryHd"/>
        <w:rPr>
          <w:rFonts w:cs="Arial"/>
        </w:rPr>
      </w:pPr>
      <w:r w:rsidRPr="00140BF9">
        <w:rPr>
          <w:rFonts w:cs="Arial"/>
        </w:rPr>
        <w:t>Arbitration—admission of liability to claim by worker</w:t>
      </w:r>
    </w:p>
    <w:p w14:paraId="269209FC" w14:textId="77777777"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14:paraId="4B95CBC2" w14:textId="3C324D49"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20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B6A8B1" w14:textId="77777777" w:rsidR="00D94935" w:rsidRPr="00140BF9" w:rsidRDefault="00D94935" w:rsidP="00D94935">
      <w:pPr>
        <w:pStyle w:val="AmdtsEntryHd"/>
        <w:rPr>
          <w:rFonts w:cs="Arial"/>
        </w:rPr>
      </w:pPr>
      <w:r w:rsidRPr="00140BF9">
        <w:rPr>
          <w:rFonts w:cs="Arial"/>
        </w:rPr>
        <w:lastRenderedPageBreak/>
        <w:t>Arbitration—admission of liability to claim for deceased worker</w:t>
      </w:r>
    </w:p>
    <w:p w14:paraId="167278A0" w14:textId="77777777"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14:paraId="408A624C" w14:textId="51D66BD4"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20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E9E517" w14:textId="77777777" w:rsidR="00D94935" w:rsidRPr="00140BF9" w:rsidRDefault="00D94935" w:rsidP="00D94935">
      <w:pPr>
        <w:pStyle w:val="AmdtsEntryHd"/>
        <w:rPr>
          <w:rFonts w:cs="Arial"/>
        </w:rPr>
      </w:pPr>
      <w:r w:rsidRPr="00140BF9">
        <w:rPr>
          <w:rFonts w:cs="Arial"/>
        </w:rPr>
        <w:t>Arbitration—denial and submission to award or payment by employer</w:t>
      </w:r>
    </w:p>
    <w:p w14:paraId="030650EA" w14:textId="77777777"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14:paraId="245AE545" w14:textId="7F4C73EA"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20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E1A4DC0" w14:textId="77777777" w:rsidR="00D94935" w:rsidRPr="00140BF9" w:rsidRDefault="00D94935" w:rsidP="00D94935">
      <w:pPr>
        <w:pStyle w:val="AmdtsEntryHd"/>
        <w:rPr>
          <w:rFonts w:cs="Arial"/>
        </w:rPr>
      </w:pPr>
      <w:r w:rsidRPr="00140BF9">
        <w:rPr>
          <w:rFonts w:cs="Arial"/>
        </w:rPr>
        <w:t>Arbitration—acceptance of payment by worker</w:t>
      </w:r>
    </w:p>
    <w:p w14:paraId="6225ACBE" w14:textId="77777777"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14:paraId="5A60E7BD" w14:textId="4DCDAF12"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20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2A71B05" w14:textId="77777777" w:rsidR="00D94935" w:rsidRPr="00140BF9" w:rsidRDefault="00D94935" w:rsidP="00D94935">
      <w:pPr>
        <w:pStyle w:val="AmdtsEntryHd"/>
        <w:rPr>
          <w:rFonts w:cs="Arial"/>
        </w:rPr>
      </w:pPr>
      <w:r w:rsidRPr="00140BF9">
        <w:rPr>
          <w:rFonts w:cs="Arial"/>
        </w:rPr>
        <w:t>Arbitration—acceptance of payment for deceased worker</w:t>
      </w:r>
    </w:p>
    <w:p w14:paraId="6FC47517" w14:textId="77777777"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14:paraId="5ECCF13C" w14:textId="436DD90D"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20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4F6AA1" w14:textId="77777777" w:rsidR="00D94935" w:rsidRPr="00140BF9" w:rsidRDefault="00D94935" w:rsidP="00D94935">
      <w:pPr>
        <w:pStyle w:val="AmdtsEntryHd"/>
        <w:rPr>
          <w:rFonts w:cs="Arial"/>
        </w:rPr>
      </w:pPr>
      <w:r w:rsidRPr="00140BF9">
        <w:rPr>
          <w:rFonts w:cs="Arial"/>
        </w:rPr>
        <w:t>Arbitration—payment on worker’s acceptance</w:t>
      </w:r>
    </w:p>
    <w:p w14:paraId="3CBA888B" w14:textId="77777777"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14:paraId="5B14FF42" w14:textId="1563EA49"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20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915ABF" w14:textId="77777777" w:rsidR="00D94935" w:rsidRPr="00140BF9" w:rsidRDefault="00D94935" w:rsidP="00D94935">
      <w:pPr>
        <w:pStyle w:val="AmdtsEntryHd"/>
        <w:rPr>
          <w:rFonts w:cs="Arial"/>
        </w:rPr>
      </w:pPr>
      <w:r w:rsidRPr="00140BF9">
        <w:rPr>
          <w:rFonts w:cs="Arial"/>
        </w:rPr>
        <w:t>Arbitration—payment on dependant’s etc acceptance</w:t>
      </w:r>
    </w:p>
    <w:p w14:paraId="16532E13" w14:textId="77777777"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14:paraId="101B5CD5" w14:textId="1CE4BA25"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20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4C50743" w14:textId="77777777" w:rsidR="00D94935" w:rsidRPr="00140BF9" w:rsidRDefault="00D94935" w:rsidP="00D94935">
      <w:pPr>
        <w:pStyle w:val="AmdtsEntryHd"/>
        <w:rPr>
          <w:rFonts w:cs="Arial"/>
        </w:rPr>
      </w:pPr>
      <w:r w:rsidRPr="00140BF9">
        <w:rPr>
          <w:rFonts w:cs="Arial"/>
        </w:rPr>
        <w:t>Arbitration—no prompt acceptance of submission or payment</w:t>
      </w:r>
    </w:p>
    <w:p w14:paraId="15B44B71" w14:textId="77777777"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14:paraId="40BEE712" w14:textId="797F3272"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20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6B38024" w14:textId="77777777" w:rsidR="00D94935" w:rsidRPr="00140BF9" w:rsidRDefault="00D94935" w:rsidP="00D94935">
      <w:pPr>
        <w:pStyle w:val="AmdtsEntryHd"/>
        <w:rPr>
          <w:rFonts w:cs="Arial"/>
        </w:rPr>
      </w:pPr>
      <w:r w:rsidRPr="00140BF9">
        <w:rPr>
          <w:rFonts w:cs="Arial"/>
        </w:rPr>
        <w:t>Arbitration—award not greater than submission or payment</w:t>
      </w:r>
    </w:p>
    <w:p w14:paraId="5F47E6C7" w14:textId="77777777"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14:paraId="646D4A51" w14:textId="0426E289"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20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C8E017" w14:textId="77777777" w:rsidR="00D94935" w:rsidRPr="00140BF9" w:rsidRDefault="00D94935" w:rsidP="00D94935">
      <w:pPr>
        <w:pStyle w:val="AmdtsEntryHd"/>
        <w:rPr>
          <w:rFonts w:cs="Arial"/>
        </w:rPr>
      </w:pPr>
      <w:r w:rsidRPr="00140BF9">
        <w:rPr>
          <w:rFonts w:cs="Arial"/>
        </w:rPr>
        <w:t>Workers compensation—awards</w:t>
      </w:r>
    </w:p>
    <w:p w14:paraId="6849A3F3" w14:textId="7A0446CA"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20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239A0F" w14:textId="77777777" w:rsidR="00D94935" w:rsidRPr="00140BF9" w:rsidRDefault="00D94935" w:rsidP="00D94935">
      <w:pPr>
        <w:pStyle w:val="AmdtsEntryHd"/>
        <w:rPr>
          <w:rFonts w:cs="Arial"/>
        </w:rPr>
      </w:pPr>
      <w:r w:rsidRPr="00140BF9">
        <w:rPr>
          <w:rFonts w:cs="Arial"/>
        </w:rPr>
        <w:t>Arbitration—award</w:t>
      </w:r>
    </w:p>
    <w:p w14:paraId="2CDA2A29" w14:textId="77777777"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14:paraId="48903259" w14:textId="134248C4"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20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E856CC" w14:textId="77777777" w:rsidR="00D94935" w:rsidRPr="00140BF9" w:rsidRDefault="00D94935" w:rsidP="00D94935">
      <w:pPr>
        <w:pStyle w:val="AmdtsEntryHd"/>
        <w:rPr>
          <w:rFonts w:cs="Arial"/>
        </w:rPr>
      </w:pPr>
      <w:r w:rsidRPr="00140BF9">
        <w:rPr>
          <w:rFonts w:cs="Arial"/>
        </w:rPr>
        <w:t>Arbitration—setting aside or amending award</w:t>
      </w:r>
    </w:p>
    <w:p w14:paraId="1256C17B" w14:textId="77777777"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14:paraId="25493858" w14:textId="7DE39BAA"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20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5034557" w14:textId="77777777" w:rsidR="00D94935" w:rsidRPr="00140BF9" w:rsidRDefault="00D94935" w:rsidP="00D94935">
      <w:pPr>
        <w:pStyle w:val="AmdtsEntryHd"/>
        <w:rPr>
          <w:rFonts w:cs="Arial"/>
        </w:rPr>
      </w:pPr>
      <w:r w:rsidRPr="00140BF9">
        <w:rPr>
          <w:rFonts w:cs="Arial"/>
        </w:rPr>
        <w:t>Workers compensation—registered agreements</w:t>
      </w:r>
    </w:p>
    <w:p w14:paraId="6987C503" w14:textId="34119971"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20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89DFCF4" w14:textId="77777777" w:rsidR="00D94935" w:rsidRPr="00140BF9" w:rsidRDefault="00D94935" w:rsidP="00D94935">
      <w:pPr>
        <w:pStyle w:val="AmdtsEntryHd"/>
        <w:rPr>
          <w:rFonts w:cs="Arial"/>
        </w:rPr>
      </w:pPr>
      <w:r w:rsidRPr="00140BF9">
        <w:rPr>
          <w:rFonts w:cs="Arial"/>
        </w:rPr>
        <w:t>Registered agreement—application for registration</w:t>
      </w:r>
    </w:p>
    <w:p w14:paraId="7FFDCF97" w14:textId="77777777"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14:paraId="4711C17A" w14:textId="680F1EA5"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20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F383546" w14:textId="4C59CBCD" w:rsidR="00D94935" w:rsidRPr="00140BF9" w:rsidRDefault="00D94935" w:rsidP="00D94935">
      <w:pPr>
        <w:pStyle w:val="AmdtsEntries"/>
        <w:rPr>
          <w:rFonts w:cs="Arial"/>
        </w:rPr>
      </w:pPr>
      <w:r w:rsidRPr="00140BF9">
        <w:rPr>
          <w:rFonts w:cs="Arial"/>
        </w:rPr>
        <w:tab/>
        <w:t xml:space="preserve">am </w:t>
      </w:r>
      <w:hyperlink r:id="rId205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14:paraId="7A606AA2" w14:textId="77777777" w:rsidR="00D94935" w:rsidRPr="00140BF9" w:rsidRDefault="00D94935" w:rsidP="00D94935">
      <w:pPr>
        <w:pStyle w:val="AmdtsEntryHd"/>
        <w:rPr>
          <w:rFonts w:cs="Arial"/>
        </w:rPr>
      </w:pPr>
      <w:r w:rsidRPr="00140BF9">
        <w:rPr>
          <w:rFonts w:cs="Arial"/>
        </w:rPr>
        <w:lastRenderedPageBreak/>
        <w:t>Registered agreement—application for amendment or cancellation</w:t>
      </w:r>
    </w:p>
    <w:p w14:paraId="5FE7CF7F" w14:textId="77777777"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14:paraId="5B1024B6" w14:textId="22A22B20"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20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3156" w14:textId="77777777" w:rsidR="00D94935" w:rsidRPr="00140BF9" w:rsidRDefault="00D94935" w:rsidP="00D94935">
      <w:pPr>
        <w:pStyle w:val="AmdtsEntryHd"/>
        <w:rPr>
          <w:rFonts w:cs="Arial"/>
        </w:rPr>
      </w:pPr>
      <w:r w:rsidRPr="00140BF9">
        <w:rPr>
          <w:rFonts w:cs="Arial"/>
        </w:rPr>
        <w:t>Workers compensation—costs</w:t>
      </w:r>
    </w:p>
    <w:p w14:paraId="333A7434" w14:textId="0DC80A09"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20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88BF10" w14:textId="77777777" w:rsidR="00D94935" w:rsidRPr="00140BF9" w:rsidRDefault="00D94935" w:rsidP="00D94935">
      <w:pPr>
        <w:pStyle w:val="AmdtsEntryHd"/>
        <w:rPr>
          <w:rFonts w:cs="Arial"/>
        </w:rPr>
      </w:pPr>
      <w:r w:rsidRPr="00140BF9">
        <w:rPr>
          <w:rFonts w:cs="Arial"/>
        </w:rPr>
        <w:t>Workers compensation costs—generally</w:t>
      </w:r>
    </w:p>
    <w:p w14:paraId="6D16B049" w14:textId="77777777"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14:paraId="1A75DACE" w14:textId="7FB0E232"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20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657D519" w14:textId="77777777" w:rsidR="00D94935" w:rsidRPr="00140BF9" w:rsidRDefault="00D94935" w:rsidP="00D94935">
      <w:pPr>
        <w:pStyle w:val="AmdtsEntryHd"/>
        <w:rPr>
          <w:rFonts w:cs="Arial"/>
        </w:rPr>
      </w:pPr>
      <w:r w:rsidRPr="00140BF9">
        <w:rPr>
          <w:rFonts w:cs="Arial"/>
        </w:rPr>
        <w:t>Workers compensation costs—claim against arbitration award</w:t>
      </w:r>
    </w:p>
    <w:p w14:paraId="6296E5C3" w14:textId="77777777"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14:paraId="51F96732" w14:textId="75212744"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20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F8BE95" w14:textId="77777777" w:rsidR="00D94935" w:rsidRPr="00140BF9" w:rsidRDefault="00D94935" w:rsidP="00D94935">
      <w:pPr>
        <w:pStyle w:val="AmdtsEntryHd"/>
        <w:rPr>
          <w:rFonts w:cs="Arial"/>
        </w:rPr>
      </w:pPr>
      <w:r w:rsidRPr="00140BF9">
        <w:rPr>
          <w:rFonts w:cs="Arial"/>
        </w:rPr>
        <w:t>Workers compensation—appeals</w:t>
      </w:r>
    </w:p>
    <w:p w14:paraId="4CB436AA" w14:textId="6C9A5018"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20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A1FE1C" w14:textId="77777777" w:rsidR="00D94935" w:rsidRPr="00140BF9" w:rsidRDefault="00D94935" w:rsidP="00D94935">
      <w:pPr>
        <w:pStyle w:val="AmdtsEntryHd"/>
        <w:rPr>
          <w:rFonts w:cs="Arial"/>
        </w:rPr>
      </w:pPr>
      <w:r w:rsidRPr="00140BF9">
        <w:rPr>
          <w:rFonts w:cs="Arial"/>
        </w:rPr>
        <w:t>Appeal—order of Supreme Court</w:t>
      </w:r>
    </w:p>
    <w:p w14:paraId="399E56A8" w14:textId="77777777"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14:paraId="0A6F46BF" w14:textId="460679D4"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20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221E5AA" w14:textId="544D7FB0" w:rsidR="00786F44" w:rsidRDefault="00786F44" w:rsidP="00D94935">
      <w:pPr>
        <w:pStyle w:val="AmdtsEntryHd"/>
        <w:rPr>
          <w:rStyle w:val="chardivtext0"/>
          <w:rFonts w:cs="Arial"/>
          <w:color w:val="000000"/>
          <w:szCs w:val="28"/>
        </w:rPr>
      </w:pPr>
      <w:r w:rsidRPr="00F13970">
        <w:rPr>
          <w:rStyle w:val="chardivtext0"/>
          <w:rFonts w:cs="Arial"/>
          <w:color w:val="000000"/>
          <w:szCs w:val="28"/>
        </w:rPr>
        <w:t>Criminal proceedings—representation</w:t>
      </w:r>
    </w:p>
    <w:p w14:paraId="15613C6A" w14:textId="22389621" w:rsidR="00786F44" w:rsidRDefault="00786F44" w:rsidP="00786F44">
      <w:pPr>
        <w:pStyle w:val="AmdtsEntries"/>
      </w:pPr>
      <w:r>
        <w:t>div 4.1.1A hdg</w:t>
      </w:r>
      <w:r>
        <w:tab/>
        <w:t xml:space="preserve">ins </w:t>
      </w:r>
      <w:hyperlink r:id="rId2062"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76883664" w14:textId="14E81099" w:rsidR="00786F44" w:rsidRDefault="00786F44" w:rsidP="00786F44">
      <w:pPr>
        <w:pStyle w:val="AmdtsEntryHd"/>
        <w:rPr>
          <w:rStyle w:val="chardivtext0"/>
          <w:rFonts w:cs="Arial"/>
          <w:color w:val="000000"/>
          <w:szCs w:val="28"/>
        </w:rPr>
      </w:pPr>
      <w:r w:rsidRPr="00F13970">
        <w:t>Definitions—div 4.1.1A</w:t>
      </w:r>
    </w:p>
    <w:p w14:paraId="629B980E" w14:textId="23336FBA" w:rsidR="00786F44" w:rsidRPr="00786F44" w:rsidRDefault="00786F44" w:rsidP="00786F44">
      <w:pPr>
        <w:pStyle w:val="AmdtsEntries"/>
      </w:pPr>
      <w:r>
        <w:t>r 4000A</w:t>
      </w:r>
      <w:r>
        <w:tab/>
        <w:t xml:space="preserve">ins </w:t>
      </w:r>
      <w:hyperlink r:id="rId2063"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71AD81A0" w14:textId="6E998D82" w:rsidR="00786F44" w:rsidRPr="00786F44" w:rsidRDefault="00786F44" w:rsidP="00786F44">
      <w:pPr>
        <w:pStyle w:val="AmdtsEntries"/>
      </w:pPr>
      <w:r>
        <w:tab/>
        <w:t xml:space="preserve">def </w:t>
      </w:r>
      <w:r w:rsidRPr="00786F44">
        <w:rPr>
          <w:rStyle w:val="charBoldItals"/>
        </w:rPr>
        <w:t>accused person</w:t>
      </w:r>
      <w:r>
        <w:t xml:space="preserve"> ins </w:t>
      </w:r>
      <w:hyperlink r:id="rId2064"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2852C3B3" w14:textId="2CBE09C4" w:rsidR="00786F44" w:rsidRPr="00786F44" w:rsidRDefault="00786F44" w:rsidP="00786F44">
      <w:pPr>
        <w:pStyle w:val="AmdtsEntries"/>
      </w:pPr>
      <w:r>
        <w:tab/>
        <w:t xml:space="preserve">def </w:t>
      </w:r>
      <w:r>
        <w:rPr>
          <w:rStyle w:val="charBoldItals"/>
        </w:rPr>
        <w:t>criminal proceeding</w:t>
      </w:r>
      <w:r>
        <w:t xml:space="preserve"> ins </w:t>
      </w:r>
      <w:hyperlink r:id="rId2065"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0A2A6526" w14:textId="5DD2D5EC" w:rsidR="00786F44" w:rsidRPr="00786F44" w:rsidRDefault="00786F44" w:rsidP="00786F44">
      <w:pPr>
        <w:pStyle w:val="AmdtsEntries"/>
      </w:pPr>
      <w:r>
        <w:tab/>
        <w:t xml:space="preserve">def </w:t>
      </w:r>
      <w:r>
        <w:rPr>
          <w:rStyle w:val="charBoldItals"/>
        </w:rPr>
        <w:t>defendant</w:t>
      </w:r>
      <w:r>
        <w:t xml:space="preserve"> ins </w:t>
      </w:r>
      <w:hyperlink r:id="rId2066"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0EB23B93" w14:textId="5C607042" w:rsidR="00786F44" w:rsidRDefault="00786F44" w:rsidP="00786F44">
      <w:pPr>
        <w:pStyle w:val="AmdtsEntryHd"/>
        <w:rPr>
          <w:rStyle w:val="chardivtext0"/>
          <w:rFonts w:cs="Arial"/>
          <w:color w:val="000000"/>
          <w:szCs w:val="28"/>
        </w:rPr>
      </w:pPr>
      <w:r w:rsidRPr="00F13970">
        <w:t>Criminal proceedings—notice of solicitor acting</w:t>
      </w:r>
    </w:p>
    <w:p w14:paraId="66A43052" w14:textId="64BA019C" w:rsidR="00786F44" w:rsidRPr="00786F44" w:rsidRDefault="00786F44" w:rsidP="00786F44">
      <w:pPr>
        <w:pStyle w:val="AmdtsEntries"/>
      </w:pPr>
      <w:r>
        <w:t>r 4000B</w:t>
      </w:r>
      <w:r>
        <w:tab/>
        <w:t xml:space="preserve">ins </w:t>
      </w:r>
      <w:hyperlink r:id="rId2067"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2748B8FD" w14:textId="1035F843" w:rsidR="00786F44" w:rsidRDefault="00786F44" w:rsidP="00786F44">
      <w:pPr>
        <w:pStyle w:val="AmdtsEntryHd"/>
        <w:rPr>
          <w:rStyle w:val="chardivtext0"/>
          <w:rFonts w:cs="Arial"/>
          <w:color w:val="000000"/>
          <w:szCs w:val="28"/>
        </w:rPr>
      </w:pPr>
      <w:r w:rsidRPr="00F13970">
        <w:t>Criminal proceedings—solicitor’s instructions to act for accused person ended</w:t>
      </w:r>
    </w:p>
    <w:p w14:paraId="2BED802D" w14:textId="02EEE8C3" w:rsidR="00786F44" w:rsidRPr="00786F44" w:rsidRDefault="00786F44" w:rsidP="00786F44">
      <w:pPr>
        <w:pStyle w:val="AmdtsEntries"/>
      </w:pPr>
      <w:r>
        <w:t>r 4000C</w:t>
      </w:r>
      <w:r>
        <w:tab/>
        <w:t xml:space="preserve">ins </w:t>
      </w:r>
      <w:hyperlink r:id="rId2068"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49E4DE05" w14:textId="05A85BC3" w:rsidR="00786F44" w:rsidRDefault="00786F44" w:rsidP="00786F44">
      <w:pPr>
        <w:pStyle w:val="AmdtsEntryHd"/>
        <w:rPr>
          <w:rStyle w:val="chardivtext0"/>
          <w:rFonts w:cs="Arial"/>
          <w:color w:val="000000"/>
          <w:szCs w:val="28"/>
        </w:rPr>
      </w:pPr>
      <w:r w:rsidRPr="00F13970">
        <w:t>Criminal proceedings—withdrawal of solicitor</w:t>
      </w:r>
    </w:p>
    <w:p w14:paraId="6C2653A9" w14:textId="784663F6" w:rsidR="00786F44" w:rsidRPr="00786F44" w:rsidRDefault="00786F44" w:rsidP="00786F44">
      <w:pPr>
        <w:pStyle w:val="AmdtsEntries"/>
      </w:pPr>
      <w:r>
        <w:t>r 4000D</w:t>
      </w:r>
      <w:r>
        <w:tab/>
        <w:t xml:space="preserve">ins </w:t>
      </w:r>
      <w:hyperlink r:id="rId2069"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728B0040" w14:textId="1F1341FF" w:rsidR="00786F44" w:rsidRDefault="00786F44" w:rsidP="00786F44">
      <w:pPr>
        <w:pStyle w:val="AmdtsEntryHd"/>
        <w:rPr>
          <w:rStyle w:val="chardivtext0"/>
          <w:rFonts w:cs="Arial"/>
          <w:color w:val="000000"/>
          <w:szCs w:val="28"/>
        </w:rPr>
      </w:pPr>
      <w:r w:rsidRPr="00F13970">
        <w:t>Criminal proceedings—removal of solicitor by court</w:t>
      </w:r>
    </w:p>
    <w:p w14:paraId="59958159" w14:textId="242CB073" w:rsidR="00786F44" w:rsidRPr="00786F44" w:rsidRDefault="00786F44" w:rsidP="00786F44">
      <w:pPr>
        <w:pStyle w:val="AmdtsEntries"/>
      </w:pPr>
      <w:r>
        <w:t>r 4000E</w:t>
      </w:r>
      <w:r>
        <w:tab/>
        <w:t xml:space="preserve">ins </w:t>
      </w:r>
      <w:hyperlink r:id="rId2070"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3F500483" w14:textId="08606062" w:rsidR="00786F44" w:rsidRDefault="00786F44" w:rsidP="00786F44">
      <w:pPr>
        <w:pStyle w:val="AmdtsEntryHd"/>
        <w:rPr>
          <w:rStyle w:val="chardivtext0"/>
          <w:rFonts w:cs="Arial"/>
          <w:color w:val="000000"/>
          <w:szCs w:val="28"/>
        </w:rPr>
      </w:pPr>
      <w:r w:rsidRPr="00F13970">
        <w:t>Criminal proceedings—solicitor removed from roll etc</w:t>
      </w:r>
    </w:p>
    <w:p w14:paraId="7BC9E563" w14:textId="1D901A1B" w:rsidR="00786F44" w:rsidRPr="00786F44" w:rsidRDefault="00786F44" w:rsidP="00786F44">
      <w:pPr>
        <w:pStyle w:val="AmdtsEntries"/>
      </w:pPr>
      <w:r>
        <w:t>r 4000F</w:t>
      </w:r>
      <w:r>
        <w:tab/>
        <w:t xml:space="preserve">ins </w:t>
      </w:r>
      <w:hyperlink r:id="rId2071"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6DEBDEAA" w14:textId="5364DC9D" w:rsidR="00786F44" w:rsidRDefault="00786F44" w:rsidP="00786F44">
      <w:pPr>
        <w:pStyle w:val="AmdtsEntryHd"/>
        <w:rPr>
          <w:rStyle w:val="chardivtext0"/>
          <w:rFonts w:cs="Arial"/>
          <w:color w:val="000000"/>
          <w:szCs w:val="28"/>
        </w:rPr>
      </w:pPr>
      <w:r w:rsidRPr="00F13970">
        <w:t>Criminal proceedings—handing over depositions</w:t>
      </w:r>
    </w:p>
    <w:p w14:paraId="0CCA1EC4" w14:textId="6B4AF5C9" w:rsidR="00786F44" w:rsidRPr="00786F44" w:rsidRDefault="00786F44" w:rsidP="00786F44">
      <w:pPr>
        <w:pStyle w:val="AmdtsEntries"/>
      </w:pPr>
      <w:r>
        <w:t>r 4000G</w:t>
      </w:r>
      <w:r>
        <w:tab/>
        <w:t xml:space="preserve">ins </w:t>
      </w:r>
      <w:hyperlink r:id="rId2072" w:tooltip="Court Procedures Amendment Rules 2024 (No 1)" w:history="1">
        <w:r w:rsidR="008E1456">
          <w:rPr>
            <w:rStyle w:val="charCitHyperlinkAbbrev"/>
          </w:rPr>
          <w:t>SL2024</w:t>
        </w:r>
        <w:r w:rsidR="008E1456">
          <w:rPr>
            <w:rStyle w:val="charCitHyperlinkAbbrev"/>
          </w:rPr>
          <w:noBreakHyphen/>
          <w:t>9</w:t>
        </w:r>
      </w:hyperlink>
      <w:r>
        <w:t xml:space="preserve"> r 16</w:t>
      </w:r>
    </w:p>
    <w:p w14:paraId="69F9CD73" w14:textId="6B74926A"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 xml:space="preserve"> for div 4.1.2—bail applications</w:t>
      </w:r>
    </w:p>
    <w:p w14:paraId="2F4B9A3B" w14:textId="77777777"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14:paraId="0268A107" w14:textId="77777777" w:rsidR="00D94935" w:rsidRPr="00140BF9" w:rsidRDefault="00D94935" w:rsidP="00D94935">
      <w:pPr>
        <w:pStyle w:val="AmdtsEntryHd"/>
        <w:rPr>
          <w:rFonts w:cs="Arial"/>
        </w:rPr>
      </w:pPr>
      <w:r w:rsidRPr="00140BF9">
        <w:rPr>
          <w:rFonts w:cs="Arial"/>
        </w:rPr>
        <w:lastRenderedPageBreak/>
        <w:t>Criminal proceedings—application of pt 6.8</w:t>
      </w:r>
    </w:p>
    <w:p w14:paraId="02F649FC" w14:textId="77777777"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14:paraId="3D81041E" w14:textId="6389FB0D"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207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207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2075"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14:paraId="1987CCE3" w14:textId="77777777" w:rsidR="00D94935" w:rsidRPr="00140BF9" w:rsidRDefault="00D94935" w:rsidP="00D94935">
      <w:pPr>
        <w:pStyle w:val="AmdtsEntryHd"/>
        <w:rPr>
          <w:rFonts w:cs="Arial"/>
        </w:rPr>
      </w:pPr>
      <w:r w:rsidRPr="00140BF9">
        <w:rPr>
          <w:rFonts w:cs="Arial"/>
        </w:rPr>
        <w:t>Criminal proceedings—service on accused person by filing if no address for service</w:t>
      </w:r>
    </w:p>
    <w:p w14:paraId="09CBD212" w14:textId="77777777"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14:paraId="6B46B974" w14:textId="77777777" w:rsidR="00D94935" w:rsidRPr="00140BF9" w:rsidRDefault="00D94935" w:rsidP="00D94935">
      <w:pPr>
        <w:pStyle w:val="AmdtsEntryHd"/>
        <w:rPr>
          <w:rFonts w:cs="Arial"/>
        </w:rPr>
      </w:pPr>
      <w:r w:rsidRPr="00140BF9">
        <w:rPr>
          <w:rFonts w:cs="Arial"/>
        </w:rPr>
        <w:t>Criminal proceedings—service if no-one found at accused person’s address for service</w:t>
      </w:r>
    </w:p>
    <w:p w14:paraId="13458AD5" w14:textId="77777777"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14:paraId="6DEBD23C" w14:textId="77777777" w:rsidR="00D94935" w:rsidRPr="00140BF9" w:rsidRDefault="00D94935" w:rsidP="00D94935">
      <w:pPr>
        <w:pStyle w:val="AmdtsEntryHd"/>
        <w:rPr>
          <w:rFonts w:cs="Arial"/>
        </w:rPr>
      </w:pPr>
      <w:r w:rsidRPr="00140BF9">
        <w:rPr>
          <w:rFonts w:cs="Arial"/>
        </w:rPr>
        <w:t>Criminal proceedings—service of documents when unrepresented accused person in custody</w:t>
      </w:r>
    </w:p>
    <w:p w14:paraId="0AED453B" w14:textId="77777777"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14:paraId="4B859E9B" w14:textId="70EA8161"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207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602286A9" w14:textId="77777777" w:rsidR="00D94935" w:rsidRPr="00140BF9" w:rsidRDefault="00D94935" w:rsidP="00D94935">
      <w:pPr>
        <w:pStyle w:val="AmdtsEntryHd"/>
        <w:rPr>
          <w:rFonts w:cs="Arial"/>
        </w:rPr>
      </w:pPr>
      <w:r w:rsidRPr="00140BF9">
        <w:rPr>
          <w:rFonts w:cs="Arial"/>
        </w:rPr>
        <w:t>Criminal proceedings—failure of individual to comply with subpoena etc</w:t>
      </w:r>
    </w:p>
    <w:p w14:paraId="2794DFE2" w14:textId="77777777"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14:paraId="155D9674" w14:textId="138BA652"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207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14:paraId="4261A034" w14:textId="77777777" w:rsidR="00D94935" w:rsidRPr="00140BF9" w:rsidRDefault="00D94935" w:rsidP="00D94935">
      <w:pPr>
        <w:pStyle w:val="AmdtsEntryHd"/>
        <w:rPr>
          <w:rFonts w:cs="Arial"/>
        </w:rPr>
      </w:pPr>
      <w:r w:rsidRPr="00140BF9">
        <w:rPr>
          <w:rFonts w:cs="Arial"/>
        </w:rPr>
        <w:t>Criminal proceedings—failure of corporation to comply with subpoena etc</w:t>
      </w:r>
    </w:p>
    <w:p w14:paraId="364BD058" w14:textId="77777777"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14:paraId="15849790" w14:textId="77777777" w:rsidR="00D94935" w:rsidRPr="00140BF9" w:rsidRDefault="00D94935" w:rsidP="00D94935">
      <w:pPr>
        <w:pStyle w:val="AmdtsEntryHd"/>
        <w:rPr>
          <w:rFonts w:cs="Arial"/>
        </w:rPr>
      </w:pPr>
      <w:r w:rsidRPr="00140BF9">
        <w:rPr>
          <w:rFonts w:cs="Arial"/>
        </w:rPr>
        <w:t>Criminal proceedings—production of person in custody</w:t>
      </w:r>
    </w:p>
    <w:p w14:paraId="1AB72FC1" w14:textId="77777777"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14:paraId="00AFBAAF" w14:textId="77777777" w:rsidR="00D94935" w:rsidRPr="00140BF9" w:rsidRDefault="00D94935" w:rsidP="00D94935">
      <w:pPr>
        <w:pStyle w:val="AmdtsEntryHd"/>
        <w:rPr>
          <w:rFonts w:cs="Arial"/>
        </w:rPr>
      </w:pPr>
      <w:r w:rsidRPr="00140BF9">
        <w:rPr>
          <w:rFonts w:cs="Arial"/>
        </w:rPr>
        <w:t>Criminal proceedings—defence response to prosecutor’s opening address</w:t>
      </w:r>
    </w:p>
    <w:p w14:paraId="70998E8F" w14:textId="77777777"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14:paraId="4DFEECA0" w14:textId="77777777" w:rsidR="00D94935" w:rsidRPr="00140BF9" w:rsidRDefault="00D94935" w:rsidP="00D94935">
      <w:pPr>
        <w:pStyle w:val="AmdtsEntryHd"/>
        <w:rPr>
          <w:rFonts w:cs="Arial"/>
        </w:rPr>
      </w:pPr>
      <w:r w:rsidRPr="00140BF9">
        <w:rPr>
          <w:rFonts w:cs="Arial"/>
        </w:rPr>
        <w:t>Criminal proceedings—execution of documents</w:t>
      </w:r>
    </w:p>
    <w:p w14:paraId="47C89210" w14:textId="77777777"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14:paraId="749844C7" w14:textId="77777777" w:rsidR="00D94935" w:rsidRPr="00140BF9" w:rsidRDefault="00D94935" w:rsidP="00D94935">
      <w:pPr>
        <w:pStyle w:val="AmdtsEntryHd"/>
        <w:rPr>
          <w:rFonts w:cs="Arial"/>
        </w:rPr>
      </w:pPr>
      <w:r w:rsidRPr="00140BF9">
        <w:rPr>
          <w:rFonts w:cs="Arial"/>
        </w:rPr>
        <w:t>Criminal proceedings—inspection of registry files</w:t>
      </w:r>
    </w:p>
    <w:p w14:paraId="109385C0" w14:textId="77777777"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14:paraId="067EC92E" w14:textId="74F7C0DB"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2078" w:tooltip="Court Procedures Amendment Rules 2017 (No 4)" w:history="1">
        <w:r>
          <w:rPr>
            <w:rStyle w:val="charCitHyperlinkAbbrev"/>
          </w:rPr>
          <w:t>SL2017</w:t>
        </w:r>
        <w:r>
          <w:rPr>
            <w:rStyle w:val="charCitHyperlinkAbbrev"/>
          </w:rPr>
          <w:noBreakHyphen/>
          <w:t>40</w:t>
        </w:r>
      </w:hyperlink>
      <w:r>
        <w:t xml:space="preserve"> r 7</w:t>
      </w:r>
    </w:p>
    <w:p w14:paraId="48F8A68D" w14:textId="77777777" w:rsidR="00D94935" w:rsidRPr="00140BF9" w:rsidRDefault="00D94935" w:rsidP="00D94935">
      <w:pPr>
        <w:pStyle w:val="AmdtsEntryHd"/>
        <w:rPr>
          <w:rFonts w:cs="Arial"/>
        </w:rPr>
      </w:pPr>
      <w:r w:rsidRPr="00140BF9">
        <w:rPr>
          <w:rFonts w:cs="Arial"/>
        </w:rPr>
        <w:t>Criminal proceedings—certificate of conviction</w:t>
      </w:r>
    </w:p>
    <w:p w14:paraId="061A5BF3" w14:textId="77777777"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14:paraId="3C461BE5" w14:textId="77777777" w:rsidR="00D94935" w:rsidRPr="00140BF9" w:rsidRDefault="00D94935" w:rsidP="00D94935">
      <w:pPr>
        <w:pStyle w:val="AmdtsEntryHd"/>
        <w:rPr>
          <w:rFonts w:cs="Arial"/>
        </w:rPr>
      </w:pPr>
      <w:r w:rsidRPr="00140BF9">
        <w:rPr>
          <w:rFonts w:cs="Arial"/>
        </w:rPr>
        <w:t>Criminal proceedings—preparation of judgments</w:t>
      </w:r>
    </w:p>
    <w:p w14:paraId="68A8F6E2" w14:textId="77777777"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14:paraId="35141C03" w14:textId="77777777" w:rsidR="00FD3424" w:rsidRDefault="00C97618" w:rsidP="00D94935">
      <w:pPr>
        <w:pStyle w:val="AmdtsEntryHd"/>
      </w:pPr>
      <w:r w:rsidRPr="00EE54A4">
        <w:t>Magistrates Court criminal proceedings—first appearance</w:t>
      </w:r>
    </w:p>
    <w:p w14:paraId="5F8365BF" w14:textId="4496D48E" w:rsidR="00C97618" w:rsidRPr="00C97618" w:rsidRDefault="00C97618" w:rsidP="00C97618">
      <w:pPr>
        <w:pStyle w:val="AmdtsEntries"/>
      </w:pPr>
      <w:r>
        <w:t>div 4.2.1AA hdg</w:t>
      </w:r>
      <w:r>
        <w:tab/>
        <w:t xml:space="preserve">ins </w:t>
      </w:r>
      <w:hyperlink r:id="rId2079" w:tooltip="Court Procedures Amendment Rules 2019 (No 3)" w:history="1">
        <w:r>
          <w:rPr>
            <w:rStyle w:val="charCitHyperlinkAbbrev"/>
          </w:rPr>
          <w:t>SL2019</w:t>
        </w:r>
        <w:r>
          <w:rPr>
            <w:rStyle w:val="charCitHyperlinkAbbrev"/>
          </w:rPr>
          <w:noBreakHyphen/>
          <w:t>30</w:t>
        </w:r>
      </w:hyperlink>
      <w:r>
        <w:t xml:space="preserve"> r 4</w:t>
      </w:r>
    </w:p>
    <w:p w14:paraId="4EE3353D" w14:textId="77777777" w:rsidR="00C97618" w:rsidRDefault="00C97618" w:rsidP="00C97618">
      <w:pPr>
        <w:pStyle w:val="AmdtsEntryHd"/>
      </w:pPr>
      <w:r w:rsidRPr="00EE54A4">
        <w:t>When not necessary for court to read charges to defendant</w:t>
      </w:r>
    </w:p>
    <w:p w14:paraId="7D7E51BA" w14:textId="69AFA8E1" w:rsidR="00C97618" w:rsidRPr="00C97618" w:rsidRDefault="00C97618" w:rsidP="00C97618">
      <w:pPr>
        <w:pStyle w:val="AmdtsEntries"/>
      </w:pPr>
      <w:r>
        <w:t>r 4302</w:t>
      </w:r>
      <w:r>
        <w:tab/>
        <w:t xml:space="preserve">ins </w:t>
      </w:r>
      <w:hyperlink r:id="rId2080" w:tooltip="Court Procedures Amendment Rules 2019 (No 3)" w:history="1">
        <w:r>
          <w:rPr>
            <w:rStyle w:val="charCitHyperlinkAbbrev"/>
          </w:rPr>
          <w:t>SL2019</w:t>
        </w:r>
        <w:r>
          <w:rPr>
            <w:rStyle w:val="charCitHyperlinkAbbrev"/>
          </w:rPr>
          <w:noBreakHyphen/>
          <w:t>30</w:t>
        </w:r>
      </w:hyperlink>
      <w:r>
        <w:t xml:space="preserve"> r 4</w:t>
      </w:r>
    </w:p>
    <w:p w14:paraId="72125456" w14:textId="77777777" w:rsidR="00C97618" w:rsidRDefault="00C97618" w:rsidP="00C97618">
      <w:pPr>
        <w:pStyle w:val="AmdtsEntryHd"/>
      </w:pPr>
      <w:r w:rsidRPr="00EE54A4">
        <w:t>Represented defendant may enter plea or consent to summary disposal of proceeding</w:t>
      </w:r>
    </w:p>
    <w:p w14:paraId="443A6C8A" w14:textId="67B466DB" w:rsidR="00C97618" w:rsidRPr="00C97618" w:rsidRDefault="00C97618" w:rsidP="00C97618">
      <w:pPr>
        <w:pStyle w:val="AmdtsEntries"/>
      </w:pPr>
      <w:r>
        <w:t>r 4303</w:t>
      </w:r>
      <w:r>
        <w:tab/>
        <w:t xml:space="preserve">ins </w:t>
      </w:r>
      <w:hyperlink r:id="rId2081" w:tooltip="Court Procedures Amendment Rules 2019 (No 3)" w:history="1">
        <w:r>
          <w:rPr>
            <w:rStyle w:val="charCitHyperlinkAbbrev"/>
          </w:rPr>
          <w:t>SL2019</w:t>
        </w:r>
        <w:r>
          <w:rPr>
            <w:rStyle w:val="charCitHyperlinkAbbrev"/>
          </w:rPr>
          <w:noBreakHyphen/>
          <w:t>30</w:t>
        </w:r>
      </w:hyperlink>
      <w:r>
        <w:t xml:space="preserve"> r 4</w:t>
      </w:r>
    </w:p>
    <w:p w14:paraId="1062C95F" w14:textId="77777777" w:rsidR="00D94935" w:rsidRPr="00140BF9" w:rsidRDefault="00D94935" w:rsidP="00D94935">
      <w:pPr>
        <w:pStyle w:val="AmdtsEntryHd"/>
        <w:rPr>
          <w:rFonts w:cs="Arial"/>
        </w:rPr>
      </w:pPr>
      <w:r w:rsidRPr="00140BF9">
        <w:rPr>
          <w:rFonts w:cs="Arial"/>
        </w:rPr>
        <w:lastRenderedPageBreak/>
        <w:t>Magistrates Court criminal proceedings—prosecution evidence in committal proceedings</w:t>
      </w:r>
    </w:p>
    <w:p w14:paraId="38D3EFD1" w14:textId="7C1AC0C7"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208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35A40882" w14:textId="77777777" w:rsidR="00D94935" w:rsidRPr="00140BF9" w:rsidRDefault="00D94935" w:rsidP="00D94935">
      <w:pPr>
        <w:pStyle w:val="AmdtsEntryHd"/>
        <w:rPr>
          <w:rFonts w:cs="Arial"/>
        </w:rPr>
      </w:pPr>
      <w:r w:rsidRPr="00140BF9">
        <w:rPr>
          <w:rFonts w:cs="Arial"/>
        </w:rPr>
        <w:t>Prosecution evidence to be given to accused etc—Magistrates Court Act, s 90</w:t>
      </w:r>
    </w:p>
    <w:p w14:paraId="70E7260F" w14:textId="45924432"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208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6EAC0E8C" w14:textId="77777777" w:rsidR="00D94935" w:rsidRPr="00140BF9" w:rsidRDefault="00D94935" w:rsidP="00D94935">
      <w:pPr>
        <w:pStyle w:val="AmdtsEntryHd"/>
        <w:rPr>
          <w:rFonts w:cs="Arial"/>
        </w:rPr>
      </w:pPr>
      <w:r w:rsidRPr="00140BF9">
        <w:rPr>
          <w:rFonts w:cs="Arial"/>
        </w:rPr>
        <w:t>Magistrates Court order made in absence of party may be set aside—general</w:t>
      </w:r>
    </w:p>
    <w:p w14:paraId="59B70FDD" w14:textId="77777777"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14:paraId="5EE866A0" w14:textId="77777777"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14:paraId="14B6040F" w14:textId="77777777"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14:paraId="25C67790" w14:textId="77777777" w:rsidR="00D94935" w:rsidRPr="00140BF9" w:rsidRDefault="00D94935" w:rsidP="00D94935">
      <w:pPr>
        <w:pStyle w:val="AmdtsEntryHd"/>
        <w:rPr>
          <w:rFonts w:cs="Arial"/>
        </w:rPr>
      </w:pPr>
      <w:r w:rsidRPr="00140BF9">
        <w:rPr>
          <w:rFonts w:cs="Arial"/>
        </w:rPr>
        <w:t>Magistrates Court order made in absence of party may be set aside—other offences</w:t>
      </w:r>
    </w:p>
    <w:p w14:paraId="49E5870F" w14:textId="77777777"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14:paraId="057B29B0" w14:textId="77777777"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14:paraId="60FAF33E" w14:textId="77777777"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14:paraId="1652751B" w14:textId="77777777" w:rsidR="00D94935" w:rsidRPr="00140BF9" w:rsidRDefault="00D94935" w:rsidP="00D94935">
      <w:pPr>
        <w:pStyle w:val="AmdtsEntryHd"/>
        <w:rPr>
          <w:rFonts w:cs="Arial"/>
        </w:rPr>
      </w:pPr>
      <w:r w:rsidRPr="00140BF9">
        <w:rPr>
          <w:rFonts w:cs="Arial"/>
        </w:rPr>
        <w:t>Magistrates Court conviction made in absence of party set aside—hearing</w:t>
      </w:r>
    </w:p>
    <w:p w14:paraId="74634FA4" w14:textId="77777777"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14:paraId="20F347AF" w14:textId="77777777" w:rsidR="00D94935" w:rsidRPr="00140BF9" w:rsidRDefault="00D94935" w:rsidP="00D94935">
      <w:pPr>
        <w:pStyle w:val="AmdtsEntryHd"/>
        <w:rPr>
          <w:rFonts w:cs="Arial"/>
        </w:rPr>
      </w:pPr>
      <w:r w:rsidRPr="00140BF9">
        <w:rPr>
          <w:rFonts w:cs="Arial"/>
        </w:rPr>
        <w:t>Magistrates Court order made in absence of party may be set aside—application by informant</w:t>
      </w:r>
    </w:p>
    <w:p w14:paraId="3011B6DA" w14:textId="77777777"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14:paraId="32A09E77" w14:textId="77777777" w:rsidR="00D94935" w:rsidRPr="00140BF9" w:rsidRDefault="00D94935" w:rsidP="00D94935">
      <w:pPr>
        <w:pStyle w:val="AmdtsEntryHd"/>
        <w:rPr>
          <w:rFonts w:cs="Arial"/>
        </w:rPr>
      </w:pPr>
      <w:r w:rsidRPr="00140BF9">
        <w:rPr>
          <w:rFonts w:cs="Arial"/>
        </w:rPr>
        <w:t>Magistrates Court witness—informant may request attendance</w:t>
      </w:r>
    </w:p>
    <w:p w14:paraId="56EC09D4" w14:textId="77777777"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14:paraId="3841F89C" w14:textId="50555F79"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2084"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55EB5668" w14:textId="77777777" w:rsidR="00D94935" w:rsidRPr="00140BF9" w:rsidRDefault="00D94935" w:rsidP="00D94935">
      <w:pPr>
        <w:pStyle w:val="AmdtsEntryHd"/>
        <w:rPr>
          <w:rFonts w:cs="Arial"/>
        </w:rPr>
      </w:pPr>
      <w:r w:rsidRPr="00140BF9">
        <w:rPr>
          <w:rFonts w:cs="Arial"/>
        </w:rPr>
        <w:t>Magistrates Court witness—expenses</w:t>
      </w:r>
    </w:p>
    <w:p w14:paraId="405EB689" w14:textId="77777777"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14:paraId="0C8D8F0C" w14:textId="09520FDD"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2085"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2DB57AB4" w14:textId="77777777" w:rsidR="00D94935" w:rsidRPr="00140BF9" w:rsidRDefault="00D94935" w:rsidP="00D94935">
      <w:pPr>
        <w:pStyle w:val="AmdtsEntryHd"/>
        <w:rPr>
          <w:rFonts w:cs="Arial"/>
        </w:rPr>
      </w:pPr>
      <w:r w:rsidRPr="00140BF9">
        <w:rPr>
          <w:rFonts w:cs="Arial"/>
        </w:rPr>
        <w:t>Magistrates Court criminal proceedings—enforcement of fines</w:t>
      </w:r>
    </w:p>
    <w:p w14:paraId="26311FD6" w14:textId="5F8F3BEC"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20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59F236B" w14:textId="73A92F76" w:rsidR="00D94935" w:rsidRPr="00140BF9" w:rsidRDefault="00D94935" w:rsidP="00D94935">
      <w:pPr>
        <w:pStyle w:val="AmdtsEntries"/>
        <w:rPr>
          <w:rFonts w:cs="Arial"/>
        </w:rPr>
      </w:pPr>
      <w:r w:rsidRPr="00140BF9">
        <w:rPr>
          <w:rFonts w:cs="Arial"/>
        </w:rPr>
        <w:tab/>
        <w:t xml:space="preserve">om </w:t>
      </w:r>
      <w:hyperlink r:id="rId208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51E8F13" w14:textId="77777777" w:rsidR="00D94935" w:rsidRPr="00140BF9" w:rsidRDefault="00D94935" w:rsidP="00D94935">
      <w:pPr>
        <w:pStyle w:val="AmdtsEntryHd"/>
        <w:rPr>
          <w:rFonts w:cs="Arial"/>
        </w:rPr>
      </w:pPr>
      <w:r w:rsidRPr="00140BF9">
        <w:rPr>
          <w:rFonts w:cs="Arial"/>
        </w:rPr>
        <w:t>Definitions—div 4.2.4</w:t>
      </w:r>
    </w:p>
    <w:p w14:paraId="00637F28" w14:textId="4A8D0BBC"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20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411DE4D" w14:textId="70B0EAC1" w:rsidR="00D94935" w:rsidRPr="00140BF9" w:rsidRDefault="00D94935" w:rsidP="00D94935">
      <w:pPr>
        <w:pStyle w:val="AmdtsEntries"/>
        <w:rPr>
          <w:rFonts w:cs="Arial"/>
        </w:rPr>
      </w:pPr>
      <w:r w:rsidRPr="00140BF9">
        <w:rPr>
          <w:rFonts w:cs="Arial"/>
        </w:rPr>
        <w:tab/>
        <w:t xml:space="preserve">om </w:t>
      </w:r>
      <w:hyperlink r:id="rId208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C89EF5D" w14:textId="5B5C80C4"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20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12B09E43" w14:textId="47402709" w:rsidR="00D94935" w:rsidRPr="00140BF9" w:rsidRDefault="00D94935" w:rsidP="00D94935">
      <w:pPr>
        <w:pStyle w:val="AmdtsEntriesDefL2"/>
        <w:rPr>
          <w:rFonts w:cs="Arial"/>
        </w:rPr>
      </w:pPr>
      <w:r w:rsidRPr="00140BF9">
        <w:rPr>
          <w:rFonts w:cs="Arial"/>
        </w:rPr>
        <w:tab/>
        <w:t xml:space="preserve">om </w:t>
      </w:r>
      <w:hyperlink r:id="rId209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CB42B03" w14:textId="70659BD1"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warrant</w:t>
      </w:r>
      <w:r w:rsidRPr="00140BF9">
        <w:rPr>
          <w:rFonts w:cs="Arial"/>
        </w:rPr>
        <w:t xml:space="preserve"> ins </w:t>
      </w:r>
      <w:hyperlink r:id="rId20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6E2CE2F" w14:textId="76177D0A" w:rsidR="00D94935" w:rsidRPr="00140BF9" w:rsidRDefault="00D94935" w:rsidP="00D94935">
      <w:pPr>
        <w:pStyle w:val="AmdtsEntriesDefL2"/>
        <w:rPr>
          <w:rFonts w:cs="Arial"/>
        </w:rPr>
      </w:pPr>
      <w:r w:rsidRPr="00140BF9">
        <w:rPr>
          <w:rFonts w:cs="Arial"/>
        </w:rPr>
        <w:tab/>
        <w:t xml:space="preserve">om </w:t>
      </w:r>
      <w:hyperlink r:id="rId209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60CAE7B" w14:textId="6536B74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20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2F8E4A26" w14:textId="3523A2EA" w:rsidR="00D94935" w:rsidRPr="00140BF9" w:rsidRDefault="00D94935" w:rsidP="00D94935">
      <w:pPr>
        <w:pStyle w:val="AmdtsEntriesDefL2"/>
        <w:rPr>
          <w:rFonts w:cs="Arial"/>
        </w:rPr>
      </w:pPr>
      <w:r w:rsidRPr="00140BF9">
        <w:rPr>
          <w:rFonts w:cs="Arial"/>
        </w:rPr>
        <w:tab/>
        <w:t xml:space="preserve">om </w:t>
      </w:r>
      <w:hyperlink r:id="rId209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0BF66C1" w14:textId="7BE021C7"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fine defaulter</w:t>
      </w:r>
      <w:r w:rsidRPr="00140BF9">
        <w:rPr>
          <w:rFonts w:cs="Arial"/>
        </w:rPr>
        <w:t xml:space="preserve"> ins </w:t>
      </w:r>
      <w:hyperlink r:id="rId20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9D5B083" w14:textId="310E376B" w:rsidR="00D94935" w:rsidRPr="00140BF9" w:rsidRDefault="00D94935" w:rsidP="00D94935">
      <w:pPr>
        <w:pStyle w:val="AmdtsEntriesDefL2"/>
        <w:rPr>
          <w:rFonts w:cs="Arial"/>
        </w:rPr>
      </w:pPr>
      <w:r w:rsidRPr="00140BF9">
        <w:rPr>
          <w:rFonts w:cs="Arial"/>
        </w:rPr>
        <w:tab/>
        <w:t xml:space="preserve">om </w:t>
      </w:r>
      <w:hyperlink r:id="rId209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5E1667D" w14:textId="4627ECA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20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532580A2" w14:textId="198B8B6B" w:rsidR="00D94935" w:rsidRPr="00140BF9" w:rsidRDefault="00D94935" w:rsidP="00D94935">
      <w:pPr>
        <w:pStyle w:val="AmdtsEntriesDefL2"/>
        <w:rPr>
          <w:rFonts w:cs="Arial"/>
        </w:rPr>
      </w:pPr>
      <w:r w:rsidRPr="00140BF9">
        <w:rPr>
          <w:rFonts w:cs="Arial"/>
        </w:rPr>
        <w:tab/>
        <w:t xml:space="preserve">om </w:t>
      </w:r>
      <w:hyperlink r:id="rId209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60C49BAB" w14:textId="77777777" w:rsidR="00D94935" w:rsidRPr="00140BF9" w:rsidRDefault="00D94935" w:rsidP="00D94935">
      <w:pPr>
        <w:pStyle w:val="AmdtsEntryHd"/>
        <w:rPr>
          <w:rFonts w:cs="Arial"/>
        </w:rPr>
      </w:pPr>
      <w:r w:rsidRPr="00140BF9">
        <w:rPr>
          <w:rFonts w:cs="Arial"/>
        </w:rPr>
        <w:t>Enforcement of fine—enforcement hearing</w:t>
      </w:r>
    </w:p>
    <w:p w14:paraId="7194E0A2" w14:textId="05F44538"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21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77AAE2B" w14:textId="0FDB8A68" w:rsidR="00D94935" w:rsidRPr="00140BF9" w:rsidRDefault="00D94935" w:rsidP="00D94935">
      <w:pPr>
        <w:pStyle w:val="AmdtsEntries"/>
        <w:rPr>
          <w:rFonts w:cs="Arial"/>
        </w:rPr>
      </w:pPr>
      <w:r w:rsidRPr="00140BF9">
        <w:rPr>
          <w:rFonts w:cs="Arial"/>
        </w:rPr>
        <w:tab/>
        <w:t xml:space="preserve">om </w:t>
      </w:r>
      <w:hyperlink r:id="rId210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878A99F" w14:textId="77777777" w:rsidR="00D94935" w:rsidRPr="00140BF9" w:rsidRDefault="00D94935" w:rsidP="00D94935">
      <w:pPr>
        <w:pStyle w:val="AmdtsEntryHd"/>
        <w:rPr>
          <w:rFonts w:cs="Arial"/>
        </w:rPr>
      </w:pPr>
      <w:r w:rsidRPr="00140BF9">
        <w:rPr>
          <w:rFonts w:cs="Arial"/>
        </w:rPr>
        <w:t>Enforcement of fine—service of enforcement hearing subpoena</w:t>
      </w:r>
    </w:p>
    <w:p w14:paraId="0810184D" w14:textId="2720E161"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21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C80E5C9" w14:textId="628B71F8" w:rsidR="00D94935" w:rsidRPr="00140BF9" w:rsidRDefault="00D94935" w:rsidP="00D94935">
      <w:pPr>
        <w:pStyle w:val="AmdtsEntries"/>
        <w:rPr>
          <w:rFonts w:cs="Arial"/>
        </w:rPr>
      </w:pPr>
      <w:r w:rsidRPr="00140BF9">
        <w:rPr>
          <w:rFonts w:cs="Arial"/>
        </w:rPr>
        <w:tab/>
        <w:t xml:space="preserve">om </w:t>
      </w:r>
      <w:hyperlink r:id="rId210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7FC497B" w14:textId="77777777" w:rsidR="00D94935" w:rsidRPr="00140BF9" w:rsidRDefault="00D94935" w:rsidP="00D94935">
      <w:pPr>
        <w:pStyle w:val="AmdtsEntryHd"/>
        <w:rPr>
          <w:rFonts w:cs="Arial"/>
        </w:rPr>
      </w:pPr>
      <w:r w:rsidRPr="00140BF9">
        <w:rPr>
          <w:rFonts w:cs="Arial"/>
        </w:rPr>
        <w:t>Enforcement of fine—statement of person’s financial position</w:t>
      </w:r>
    </w:p>
    <w:p w14:paraId="149BB819" w14:textId="0E95FA5F"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21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4F24457" w14:textId="28E54045" w:rsidR="00D94935" w:rsidRPr="00140BF9" w:rsidRDefault="00D94935" w:rsidP="00D94935">
      <w:pPr>
        <w:pStyle w:val="AmdtsEntries"/>
        <w:rPr>
          <w:rFonts w:cs="Arial"/>
        </w:rPr>
      </w:pPr>
      <w:r w:rsidRPr="00140BF9">
        <w:rPr>
          <w:rFonts w:cs="Arial"/>
        </w:rPr>
        <w:tab/>
        <w:t xml:space="preserve">om </w:t>
      </w:r>
      <w:hyperlink r:id="rId210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4D348C5B" w14:textId="77777777" w:rsidR="00D94935" w:rsidRPr="00140BF9" w:rsidRDefault="00D94935" w:rsidP="00D94935">
      <w:pPr>
        <w:pStyle w:val="AmdtsEntryHd"/>
        <w:rPr>
          <w:rFonts w:cs="Arial"/>
        </w:rPr>
      </w:pPr>
      <w:r w:rsidRPr="00140BF9">
        <w:rPr>
          <w:rFonts w:cs="Arial"/>
        </w:rPr>
        <w:t>Enforcement of fine—determining capacity to pay fine</w:t>
      </w:r>
    </w:p>
    <w:p w14:paraId="73F95539" w14:textId="7ECA93A8"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1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F476790" w14:textId="6D5E7AB6" w:rsidR="00D94935" w:rsidRPr="00140BF9" w:rsidRDefault="00D94935" w:rsidP="00D94935">
      <w:pPr>
        <w:pStyle w:val="AmdtsEntries"/>
        <w:rPr>
          <w:rFonts w:cs="Arial"/>
        </w:rPr>
      </w:pPr>
      <w:r w:rsidRPr="00140BF9">
        <w:rPr>
          <w:rFonts w:cs="Arial"/>
        </w:rPr>
        <w:tab/>
        <w:t xml:space="preserve">om </w:t>
      </w:r>
      <w:hyperlink r:id="rId210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15CE2E5" w14:textId="77777777" w:rsidR="00D94935" w:rsidRPr="00140BF9" w:rsidRDefault="00D94935" w:rsidP="00D94935">
      <w:pPr>
        <w:pStyle w:val="AmdtsEntryHd"/>
        <w:rPr>
          <w:rFonts w:cs="Arial"/>
        </w:rPr>
      </w:pPr>
      <w:r w:rsidRPr="00140BF9">
        <w:rPr>
          <w:rFonts w:cs="Arial"/>
        </w:rPr>
        <w:t>Enforcement of fine—enforcement hearing warrant issue</w:t>
      </w:r>
    </w:p>
    <w:p w14:paraId="53792E07" w14:textId="15C091BF"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1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AE79D47" w14:textId="0BCC19BE" w:rsidR="00D94935" w:rsidRPr="00140BF9" w:rsidRDefault="00D94935" w:rsidP="00D94935">
      <w:pPr>
        <w:pStyle w:val="AmdtsEntries"/>
        <w:rPr>
          <w:rFonts w:cs="Arial"/>
        </w:rPr>
      </w:pPr>
      <w:r w:rsidRPr="00140BF9">
        <w:rPr>
          <w:rFonts w:cs="Arial"/>
        </w:rPr>
        <w:tab/>
        <w:t xml:space="preserve">om </w:t>
      </w:r>
      <w:hyperlink r:id="rId210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289ABB8" w14:textId="77777777" w:rsidR="00D94935" w:rsidRPr="00140BF9" w:rsidRDefault="00D94935" w:rsidP="00D94935">
      <w:pPr>
        <w:pStyle w:val="AmdtsEntryHd"/>
        <w:rPr>
          <w:rFonts w:cs="Arial"/>
        </w:rPr>
      </w:pPr>
      <w:r w:rsidRPr="00140BF9">
        <w:rPr>
          <w:rFonts w:cs="Arial"/>
        </w:rPr>
        <w:t>Enforcement of fine—orders</w:t>
      </w:r>
    </w:p>
    <w:p w14:paraId="068DA6A9" w14:textId="2E8DFA75"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1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33F5BB1" w14:textId="5B31175B" w:rsidR="00D94935" w:rsidRPr="00140BF9" w:rsidRDefault="00D94935" w:rsidP="00D94935">
      <w:pPr>
        <w:pStyle w:val="AmdtsEntries"/>
        <w:rPr>
          <w:rFonts w:cs="Arial"/>
        </w:rPr>
      </w:pPr>
      <w:r w:rsidRPr="00140BF9">
        <w:rPr>
          <w:rFonts w:cs="Arial"/>
        </w:rPr>
        <w:tab/>
        <w:t xml:space="preserve">om </w:t>
      </w:r>
      <w:hyperlink r:id="rId211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0AD54EB" w14:textId="77777777" w:rsidR="00D94935" w:rsidRPr="00140BF9" w:rsidRDefault="00D94935" w:rsidP="00D94935">
      <w:pPr>
        <w:pStyle w:val="AmdtsEntryHd"/>
        <w:rPr>
          <w:rFonts w:cs="Arial"/>
        </w:rPr>
      </w:pPr>
      <w:r w:rsidRPr="00140BF9">
        <w:rPr>
          <w:rFonts w:cs="Arial"/>
        </w:rPr>
        <w:t>Application of pt 2.18</w:t>
      </w:r>
    </w:p>
    <w:p w14:paraId="049F7705" w14:textId="66CA158A"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1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4A5B568" w14:textId="02C93C4C" w:rsidR="00D94935" w:rsidRPr="00140BF9" w:rsidRDefault="00D94935" w:rsidP="00D94935">
      <w:pPr>
        <w:pStyle w:val="AmdtsEntries"/>
        <w:rPr>
          <w:rFonts w:cs="Arial"/>
        </w:rPr>
      </w:pPr>
      <w:r w:rsidRPr="00140BF9">
        <w:rPr>
          <w:rFonts w:cs="Arial"/>
        </w:rPr>
        <w:tab/>
        <w:t xml:space="preserve">om </w:t>
      </w:r>
      <w:hyperlink r:id="rId211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42D58A3" w14:textId="77777777" w:rsidR="00D94935" w:rsidRPr="00140BF9" w:rsidRDefault="00D94935" w:rsidP="00D94935">
      <w:pPr>
        <w:pStyle w:val="AmdtsEntryHd"/>
        <w:rPr>
          <w:rFonts w:cs="Arial"/>
        </w:rPr>
      </w:pPr>
      <w:r w:rsidRPr="00140BF9">
        <w:rPr>
          <w:rFonts w:cs="Arial"/>
        </w:rPr>
        <w:t>Enforcement of fine—security for payment</w:t>
      </w:r>
    </w:p>
    <w:p w14:paraId="2AAE1073" w14:textId="08A0F609"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1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2B9DE32" w14:textId="2CCB5EE3" w:rsidR="00D94935" w:rsidRPr="00140BF9" w:rsidRDefault="00D94935" w:rsidP="00D94935">
      <w:pPr>
        <w:pStyle w:val="AmdtsEntries"/>
        <w:rPr>
          <w:rFonts w:cs="Arial"/>
        </w:rPr>
      </w:pPr>
      <w:r w:rsidRPr="00140BF9">
        <w:rPr>
          <w:rFonts w:cs="Arial"/>
        </w:rPr>
        <w:tab/>
        <w:t xml:space="preserve">om </w:t>
      </w:r>
      <w:hyperlink r:id="rId211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F8E1CDF" w14:textId="77777777" w:rsidR="00D94935" w:rsidRPr="00140BF9" w:rsidRDefault="00D94935" w:rsidP="00D94935">
      <w:pPr>
        <w:pStyle w:val="AmdtsEntryHd"/>
        <w:rPr>
          <w:rFonts w:cs="Arial"/>
        </w:rPr>
      </w:pPr>
      <w:r w:rsidRPr="00140BF9">
        <w:rPr>
          <w:rFonts w:cs="Arial"/>
        </w:rPr>
        <w:t>Definitions—pt 4.3</w:t>
      </w:r>
    </w:p>
    <w:p w14:paraId="69F688D3" w14:textId="77777777"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14:paraId="31EC037C" w14:textId="5DB968F6"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116"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14:paraId="73C193F1" w14:textId="7DF93CA3" w:rsidR="00423DF9" w:rsidRDefault="00423DF9" w:rsidP="00D94935">
      <w:pPr>
        <w:pStyle w:val="AmdtsEntryHd"/>
        <w:rPr>
          <w:rStyle w:val="CharDivText"/>
        </w:rPr>
      </w:pPr>
      <w:r w:rsidRPr="00C8328B">
        <w:rPr>
          <w:rStyle w:val="CharDivText"/>
        </w:rPr>
        <w:t>Supreme Court criminal proceedings—representation</w:t>
      </w:r>
    </w:p>
    <w:p w14:paraId="67C87263" w14:textId="6F74D13B" w:rsidR="00423DF9" w:rsidRPr="00423DF9" w:rsidRDefault="00423DF9" w:rsidP="00423DF9">
      <w:pPr>
        <w:pStyle w:val="AmdtsEntries"/>
      </w:pPr>
      <w:r>
        <w:t>div 4.3.2 hdg</w:t>
      </w:r>
      <w:r>
        <w:tab/>
        <w:t xml:space="preserve">om </w:t>
      </w:r>
      <w:hyperlink r:id="rId2117" w:tooltip="Court Procedures Amendment Rules 2024 (No 1)" w:history="1">
        <w:r w:rsidR="008E1456">
          <w:rPr>
            <w:rStyle w:val="charCitHyperlinkAbbrev"/>
          </w:rPr>
          <w:t>SL2024</w:t>
        </w:r>
        <w:r w:rsidR="008E1456">
          <w:rPr>
            <w:rStyle w:val="charCitHyperlinkAbbrev"/>
          </w:rPr>
          <w:noBreakHyphen/>
          <w:t>9</w:t>
        </w:r>
      </w:hyperlink>
      <w:r>
        <w:t xml:space="preserve"> r 17</w:t>
      </w:r>
    </w:p>
    <w:p w14:paraId="464E770D" w14:textId="7BE74EA9"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14:paraId="4B3A00BE" w14:textId="77777777" w:rsidR="00D94935" w:rsidRDefault="00D94935" w:rsidP="00D94935">
      <w:pPr>
        <w:pStyle w:val="AmdtsEntries"/>
        <w:rPr>
          <w:rFonts w:eastAsiaTheme="minorEastAsia" w:cs="Arial"/>
          <w:szCs w:val="22"/>
          <w:lang w:eastAsia="en-AU"/>
        </w:rPr>
      </w:pPr>
      <w:r w:rsidRPr="00140BF9">
        <w:rPr>
          <w:rFonts w:cs="Arial"/>
        </w:rPr>
        <w:t>r 4705 hdg</w:t>
      </w:r>
      <w:r w:rsidRPr="00140BF9">
        <w:rPr>
          <w:rFonts w:eastAsiaTheme="minorEastAsia" w:cs="Arial"/>
          <w:szCs w:val="22"/>
          <w:lang w:eastAsia="en-AU"/>
        </w:rPr>
        <w:tab/>
        <w:t>bracketed note om R29 LA</w:t>
      </w:r>
    </w:p>
    <w:p w14:paraId="58B1776F" w14:textId="5EDE4027" w:rsidR="00423DF9" w:rsidRPr="00140BF9" w:rsidRDefault="00423DF9" w:rsidP="00D94935">
      <w:pPr>
        <w:pStyle w:val="AmdtsEntries"/>
        <w:rPr>
          <w:rFonts w:cs="Arial"/>
        </w:rPr>
      </w:pPr>
      <w:r>
        <w:rPr>
          <w:rFonts w:eastAsiaTheme="minorEastAsia" w:cs="Arial"/>
          <w:szCs w:val="22"/>
          <w:lang w:eastAsia="en-AU"/>
        </w:rPr>
        <w:t>r 4705</w:t>
      </w:r>
      <w:r>
        <w:rPr>
          <w:rFonts w:eastAsiaTheme="minorEastAsia" w:cs="Arial"/>
          <w:szCs w:val="22"/>
          <w:lang w:eastAsia="en-AU"/>
        </w:rPr>
        <w:tab/>
        <w:t xml:space="preserve">om </w:t>
      </w:r>
      <w:hyperlink r:id="rId2118"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0B3B5CC2" w14:textId="77777777" w:rsidR="00D94935" w:rsidRPr="00140BF9" w:rsidRDefault="00D94935" w:rsidP="00D94935">
      <w:pPr>
        <w:pStyle w:val="AmdtsEntryHd"/>
        <w:rPr>
          <w:rFonts w:cs="Arial"/>
        </w:rPr>
      </w:pPr>
      <w:r w:rsidRPr="00140BF9">
        <w:rPr>
          <w:rFonts w:cs="Arial"/>
        </w:rPr>
        <w:t>Supreme Court criminal proceedings—notice of solicitor acting</w:t>
      </w:r>
    </w:p>
    <w:p w14:paraId="7F6228E2" w14:textId="77777777"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14:paraId="20A81FF4" w14:textId="09C1BFDE" w:rsidR="00423DF9" w:rsidRPr="00140BF9" w:rsidRDefault="00423DF9" w:rsidP="00423DF9">
      <w:pPr>
        <w:pStyle w:val="AmdtsEntries"/>
        <w:rPr>
          <w:rFonts w:cs="Arial"/>
        </w:rPr>
      </w:pPr>
      <w:r>
        <w:rPr>
          <w:rFonts w:eastAsiaTheme="minorEastAsia" w:cs="Arial"/>
          <w:szCs w:val="22"/>
          <w:lang w:eastAsia="en-AU"/>
        </w:rPr>
        <w:t>r 4706</w:t>
      </w:r>
      <w:r>
        <w:rPr>
          <w:rFonts w:eastAsiaTheme="minorEastAsia" w:cs="Arial"/>
          <w:szCs w:val="22"/>
          <w:lang w:eastAsia="en-AU"/>
        </w:rPr>
        <w:tab/>
        <w:t xml:space="preserve">om </w:t>
      </w:r>
      <w:hyperlink r:id="rId2119"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73C75EF5" w14:textId="77777777" w:rsidR="00D94935" w:rsidRPr="00140BF9" w:rsidRDefault="00D94935" w:rsidP="00D94935">
      <w:pPr>
        <w:pStyle w:val="AmdtsEntryHd"/>
        <w:rPr>
          <w:rFonts w:cs="Arial"/>
        </w:rPr>
      </w:pPr>
      <w:r w:rsidRPr="00140BF9">
        <w:rPr>
          <w:rFonts w:cs="Arial"/>
        </w:rPr>
        <w:lastRenderedPageBreak/>
        <w:t>Supreme Court criminal proceedings—change of solicitor</w:t>
      </w:r>
    </w:p>
    <w:p w14:paraId="4292DCC2" w14:textId="77777777"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14:paraId="36A452B7" w14:textId="01213307" w:rsidR="00423DF9" w:rsidRPr="00140BF9" w:rsidRDefault="00423DF9" w:rsidP="00423DF9">
      <w:pPr>
        <w:pStyle w:val="AmdtsEntries"/>
        <w:rPr>
          <w:rFonts w:cs="Arial"/>
        </w:rPr>
      </w:pPr>
      <w:r>
        <w:rPr>
          <w:rFonts w:eastAsiaTheme="minorEastAsia" w:cs="Arial"/>
          <w:szCs w:val="22"/>
          <w:lang w:eastAsia="en-AU"/>
        </w:rPr>
        <w:t>r 4707</w:t>
      </w:r>
      <w:r>
        <w:rPr>
          <w:rFonts w:eastAsiaTheme="minorEastAsia" w:cs="Arial"/>
          <w:szCs w:val="22"/>
          <w:lang w:eastAsia="en-AU"/>
        </w:rPr>
        <w:tab/>
        <w:t xml:space="preserve">om </w:t>
      </w:r>
      <w:hyperlink r:id="rId2120"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172BCCC8" w14:textId="77777777" w:rsidR="00D94935" w:rsidRPr="00140BF9" w:rsidRDefault="00D94935" w:rsidP="00D94935">
      <w:pPr>
        <w:pStyle w:val="AmdtsEntryHd"/>
        <w:rPr>
          <w:rFonts w:cs="Arial"/>
        </w:rPr>
      </w:pPr>
      <w:r w:rsidRPr="00140BF9">
        <w:rPr>
          <w:rFonts w:cs="Arial"/>
        </w:rPr>
        <w:t>Supreme Court criminal proceedings—removal of solicitor by court</w:t>
      </w:r>
    </w:p>
    <w:p w14:paraId="065BC105" w14:textId="77777777"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14:paraId="3E22B09C" w14:textId="69D1B8AE" w:rsidR="00423DF9" w:rsidRPr="00140BF9" w:rsidRDefault="00423DF9" w:rsidP="00423DF9">
      <w:pPr>
        <w:pStyle w:val="AmdtsEntries"/>
        <w:rPr>
          <w:rFonts w:cs="Arial"/>
        </w:rPr>
      </w:pPr>
      <w:r>
        <w:rPr>
          <w:rFonts w:eastAsiaTheme="minorEastAsia" w:cs="Arial"/>
          <w:szCs w:val="22"/>
          <w:lang w:eastAsia="en-AU"/>
        </w:rPr>
        <w:t>r 4708</w:t>
      </w:r>
      <w:r>
        <w:rPr>
          <w:rFonts w:eastAsiaTheme="minorEastAsia" w:cs="Arial"/>
          <w:szCs w:val="22"/>
          <w:lang w:eastAsia="en-AU"/>
        </w:rPr>
        <w:tab/>
        <w:t xml:space="preserve">om </w:t>
      </w:r>
      <w:hyperlink r:id="rId2121"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09087E50" w14:textId="77777777" w:rsidR="00D94935" w:rsidRPr="00140BF9" w:rsidRDefault="00D94935" w:rsidP="00D94935">
      <w:pPr>
        <w:pStyle w:val="AmdtsEntryHd"/>
        <w:rPr>
          <w:rFonts w:cs="Arial"/>
        </w:rPr>
      </w:pPr>
      <w:r w:rsidRPr="00140BF9">
        <w:rPr>
          <w:rFonts w:cs="Arial"/>
        </w:rPr>
        <w:t>Supreme Court criminal proceedings—solicitor removed from roll etc</w:t>
      </w:r>
    </w:p>
    <w:p w14:paraId="25E27DF5" w14:textId="77777777"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14:paraId="16FD067B" w14:textId="75F2E693" w:rsidR="00423DF9" w:rsidRPr="00140BF9" w:rsidRDefault="00423DF9" w:rsidP="00423DF9">
      <w:pPr>
        <w:pStyle w:val="AmdtsEntries"/>
        <w:rPr>
          <w:rFonts w:cs="Arial"/>
        </w:rPr>
      </w:pPr>
      <w:r>
        <w:rPr>
          <w:rFonts w:eastAsiaTheme="minorEastAsia" w:cs="Arial"/>
          <w:szCs w:val="22"/>
          <w:lang w:eastAsia="en-AU"/>
        </w:rPr>
        <w:t>r 4709</w:t>
      </w:r>
      <w:r>
        <w:rPr>
          <w:rFonts w:eastAsiaTheme="minorEastAsia" w:cs="Arial"/>
          <w:szCs w:val="22"/>
          <w:lang w:eastAsia="en-AU"/>
        </w:rPr>
        <w:tab/>
        <w:t xml:space="preserve">om </w:t>
      </w:r>
      <w:hyperlink r:id="rId2122"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7D06F0FF" w14:textId="77777777" w:rsidR="00D94935" w:rsidRPr="00140BF9" w:rsidRDefault="00D94935" w:rsidP="00D94935">
      <w:pPr>
        <w:pStyle w:val="AmdtsEntryHd"/>
        <w:rPr>
          <w:rFonts w:cs="Arial"/>
        </w:rPr>
      </w:pPr>
      <w:r w:rsidRPr="00140BF9">
        <w:rPr>
          <w:rFonts w:cs="Arial"/>
        </w:rPr>
        <w:t>Supreme Court criminal proceedings—solicitor’s instructions to act for accused person ended</w:t>
      </w:r>
    </w:p>
    <w:p w14:paraId="0E587468" w14:textId="77777777"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14:paraId="4AE755C7" w14:textId="3401A655" w:rsidR="00423DF9" w:rsidRPr="00140BF9" w:rsidRDefault="00423DF9" w:rsidP="00423DF9">
      <w:pPr>
        <w:pStyle w:val="AmdtsEntries"/>
        <w:rPr>
          <w:rFonts w:cs="Arial"/>
        </w:rPr>
      </w:pPr>
      <w:r>
        <w:rPr>
          <w:rFonts w:eastAsiaTheme="minorEastAsia" w:cs="Arial"/>
          <w:szCs w:val="22"/>
          <w:lang w:eastAsia="en-AU"/>
        </w:rPr>
        <w:t>r 4710</w:t>
      </w:r>
      <w:r>
        <w:rPr>
          <w:rFonts w:eastAsiaTheme="minorEastAsia" w:cs="Arial"/>
          <w:szCs w:val="22"/>
          <w:lang w:eastAsia="en-AU"/>
        </w:rPr>
        <w:tab/>
        <w:t xml:space="preserve">om </w:t>
      </w:r>
      <w:hyperlink r:id="rId2123"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7276605E" w14:textId="77777777" w:rsidR="00D94935" w:rsidRPr="00140BF9" w:rsidRDefault="00D94935" w:rsidP="00D94935">
      <w:pPr>
        <w:pStyle w:val="AmdtsEntryHd"/>
        <w:rPr>
          <w:rFonts w:cs="Arial"/>
        </w:rPr>
      </w:pPr>
      <w:r w:rsidRPr="00140BF9">
        <w:rPr>
          <w:rFonts w:cs="Arial"/>
        </w:rPr>
        <w:t>Supreme Court criminal proceedings—withdrawal of solicitor</w:t>
      </w:r>
    </w:p>
    <w:p w14:paraId="425BE4E5" w14:textId="77777777"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14:paraId="21F13235" w14:textId="242D0B11" w:rsidR="00423DF9" w:rsidRPr="00140BF9" w:rsidRDefault="00423DF9" w:rsidP="00423DF9">
      <w:pPr>
        <w:pStyle w:val="AmdtsEntries"/>
        <w:rPr>
          <w:rFonts w:cs="Arial"/>
        </w:rPr>
      </w:pPr>
      <w:r>
        <w:rPr>
          <w:rFonts w:eastAsiaTheme="minorEastAsia" w:cs="Arial"/>
          <w:szCs w:val="22"/>
          <w:lang w:eastAsia="en-AU"/>
        </w:rPr>
        <w:t>r 4711</w:t>
      </w:r>
      <w:r>
        <w:rPr>
          <w:rFonts w:eastAsiaTheme="minorEastAsia" w:cs="Arial"/>
          <w:szCs w:val="22"/>
          <w:lang w:eastAsia="en-AU"/>
        </w:rPr>
        <w:tab/>
        <w:t xml:space="preserve">om </w:t>
      </w:r>
      <w:hyperlink r:id="rId2124"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5A68EAA6" w14:textId="77777777" w:rsidR="00D94935" w:rsidRPr="00140BF9" w:rsidRDefault="00D94935" w:rsidP="00D94935">
      <w:pPr>
        <w:pStyle w:val="AmdtsEntryHd"/>
        <w:rPr>
          <w:rFonts w:cs="Arial"/>
        </w:rPr>
      </w:pPr>
      <w:r w:rsidRPr="00140BF9">
        <w:rPr>
          <w:rFonts w:cs="Arial"/>
        </w:rPr>
        <w:t>Supreme Court criminal proceedings—handing over depositions</w:t>
      </w:r>
    </w:p>
    <w:p w14:paraId="05FECAC2" w14:textId="77777777"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14:paraId="4245912A" w14:textId="1429B471" w:rsidR="00423DF9" w:rsidRPr="00140BF9" w:rsidRDefault="00423DF9" w:rsidP="00423DF9">
      <w:pPr>
        <w:pStyle w:val="AmdtsEntries"/>
        <w:rPr>
          <w:rFonts w:cs="Arial"/>
        </w:rPr>
      </w:pPr>
      <w:r>
        <w:rPr>
          <w:rFonts w:eastAsiaTheme="minorEastAsia" w:cs="Arial"/>
          <w:szCs w:val="22"/>
          <w:lang w:eastAsia="en-AU"/>
        </w:rPr>
        <w:t>r 4712</w:t>
      </w:r>
      <w:r>
        <w:rPr>
          <w:rFonts w:eastAsiaTheme="minorEastAsia" w:cs="Arial"/>
          <w:szCs w:val="22"/>
          <w:lang w:eastAsia="en-AU"/>
        </w:rPr>
        <w:tab/>
        <w:t xml:space="preserve">om </w:t>
      </w:r>
      <w:hyperlink r:id="rId2125"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17</w:t>
      </w:r>
    </w:p>
    <w:p w14:paraId="1AB52FE6"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14:paraId="33FB3F9B" w14:textId="77777777"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14:paraId="48C3E7DD" w14:textId="77777777" w:rsidR="00D94935" w:rsidRPr="00140BF9" w:rsidRDefault="00D94935" w:rsidP="00D94935">
      <w:pPr>
        <w:pStyle w:val="AmdtsEntryHd"/>
        <w:rPr>
          <w:rFonts w:cs="Arial"/>
        </w:rPr>
      </w:pPr>
      <w:r w:rsidRPr="00140BF9">
        <w:rPr>
          <w:rFonts w:cs="Arial"/>
        </w:rPr>
        <w:t>Supreme Court bail application in relation to accused person</w:t>
      </w:r>
    </w:p>
    <w:p w14:paraId="1EA2D8DD" w14:textId="77777777"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14:paraId="68664603" w14:textId="46A72E4D"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1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14:paraId="3698D5FB" w14:textId="77777777" w:rsidR="00D94935" w:rsidRPr="00140BF9" w:rsidRDefault="00D94935" w:rsidP="00D94935">
      <w:pPr>
        <w:pStyle w:val="AmdtsEntryHd"/>
        <w:rPr>
          <w:rFonts w:cs="Arial"/>
        </w:rPr>
      </w:pPr>
      <w:r w:rsidRPr="00140BF9">
        <w:rPr>
          <w:rFonts w:cs="Arial"/>
        </w:rPr>
        <w:t>Supreme Court bail application by informant</w:t>
      </w:r>
    </w:p>
    <w:p w14:paraId="2055BF73" w14:textId="77777777"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14:paraId="149E5A46" w14:textId="77777777" w:rsidR="00D94935" w:rsidRPr="00140BF9" w:rsidRDefault="00D94935" w:rsidP="00D94935">
      <w:pPr>
        <w:pStyle w:val="AmdtsEntryHd"/>
        <w:rPr>
          <w:rFonts w:cs="Arial"/>
        </w:rPr>
      </w:pPr>
      <w:r w:rsidRPr="00140BF9">
        <w:rPr>
          <w:rFonts w:cs="Arial"/>
        </w:rPr>
        <w:t>Supreme Court application for bail by unrepresented accused person</w:t>
      </w:r>
    </w:p>
    <w:p w14:paraId="19F9EB73" w14:textId="4815E7B4"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12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14:paraId="23CA6136" w14:textId="77777777" w:rsidR="00890E23" w:rsidRDefault="00890E23" w:rsidP="00D94935">
      <w:pPr>
        <w:pStyle w:val="AmdtsEntryHd"/>
      </w:pPr>
      <w:r w:rsidRPr="00876C68">
        <w:t>Prosecution application for review of bail decision</w:t>
      </w:r>
    </w:p>
    <w:p w14:paraId="26002491" w14:textId="7E943B00" w:rsidR="00890E23" w:rsidRPr="00890E23" w:rsidRDefault="00890E23" w:rsidP="00890E23">
      <w:pPr>
        <w:pStyle w:val="AmdtsEntries"/>
      </w:pPr>
      <w:r>
        <w:t>r 4724</w:t>
      </w:r>
      <w:r>
        <w:tab/>
        <w:t xml:space="preserve">ins </w:t>
      </w:r>
      <w:hyperlink r:id="rId2128"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14:paraId="6E87A13F" w14:textId="77777777" w:rsidR="00D94935" w:rsidRPr="00140BF9" w:rsidRDefault="00D94935" w:rsidP="00D94935">
      <w:pPr>
        <w:pStyle w:val="AmdtsEntryHd"/>
        <w:rPr>
          <w:rFonts w:cs="Arial"/>
        </w:rPr>
      </w:pPr>
      <w:r w:rsidRPr="00140BF9">
        <w:rPr>
          <w:rFonts w:cs="Arial"/>
        </w:rPr>
        <w:t>Application—div 4.3.4</w:t>
      </w:r>
    </w:p>
    <w:p w14:paraId="6441CE2B" w14:textId="77777777"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14:paraId="4B8F3132" w14:textId="77777777" w:rsidR="00D94935" w:rsidRPr="00140BF9" w:rsidRDefault="00D94935" w:rsidP="00D94935">
      <w:pPr>
        <w:pStyle w:val="AmdtsEntryHd"/>
        <w:rPr>
          <w:rFonts w:cs="Arial"/>
        </w:rPr>
      </w:pPr>
      <w:r w:rsidRPr="00140BF9">
        <w:rPr>
          <w:rFonts w:cs="Arial"/>
        </w:rPr>
        <w:t>Supreme Court criminal proceedings—appearance of accused person</w:t>
      </w:r>
    </w:p>
    <w:p w14:paraId="4F5F2261" w14:textId="77777777"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14:paraId="0FB6CD91" w14:textId="3301382D"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12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14:paraId="72F8DD7C" w14:textId="77777777" w:rsidR="00D94935" w:rsidRPr="00140BF9" w:rsidRDefault="00D94935" w:rsidP="00D94935">
      <w:pPr>
        <w:pStyle w:val="AmdtsEntryHd"/>
        <w:rPr>
          <w:rFonts w:cs="Arial"/>
        </w:rPr>
      </w:pPr>
      <w:r w:rsidRPr="00140BF9">
        <w:rPr>
          <w:rFonts w:cs="Arial"/>
        </w:rPr>
        <w:t>Supreme Court criminal proceedings—appearance when committed for sentence</w:t>
      </w:r>
    </w:p>
    <w:p w14:paraId="5055C586" w14:textId="77777777"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14:paraId="058779AE" w14:textId="0FCDC421"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13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14:paraId="3953AD14" w14:textId="77777777" w:rsidR="00D94935" w:rsidRPr="00140BF9" w:rsidRDefault="00D94935" w:rsidP="00D94935">
      <w:pPr>
        <w:pStyle w:val="AmdtsEntryHd"/>
        <w:rPr>
          <w:rFonts w:cs="Arial"/>
        </w:rPr>
      </w:pPr>
      <w:r w:rsidRPr="00140BF9">
        <w:rPr>
          <w:rFonts w:cs="Arial"/>
        </w:rPr>
        <w:lastRenderedPageBreak/>
        <w:t>Supreme Court criminal proceedings—appearance when committed for trial</w:t>
      </w:r>
    </w:p>
    <w:p w14:paraId="5A2399D4" w14:textId="77777777"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14:paraId="22D13162" w14:textId="526BF70B"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1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13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133"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13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1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14:paraId="4E604E7F" w14:textId="77777777" w:rsidR="00D94935" w:rsidRPr="00140BF9" w:rsidRDefault="00D94935" w:rsidP="00D94935">
      <w:pPr>
        <w:pStyle w:val="AmdtsEntryHd"/>
        <w:rPr>
          <w:rFonts w:cs="Arial"/>
        </w:rPr>
      </w:pPr>
      <w:r w:rsidRPr="00140BF9">
        <w:rPr>
          <w:rFonts w:cs="Arial"/>
        </w:rPr>
        <w:t>Supreme Court criminal proceedings—pre-trial questionnaire</w:t>
      </w:r>
    </w:p>
    <w:p w14:paraId="5FB04C6E" w14:textId="77777777"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14:paraId="09710031" w14:textId="77777777"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14:paraId="4F20FE50" w14:textId="4C25CD02"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136"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3FC92AD7" w14:textId="77777777" w:rsidR="00D94935" w:rsidRPr="00140BF9" w:rsidRDefault="00D94935" w:rsidP="00D94935">
      <w:pPr>
        <w:pStyle w:val="AmdtsEntryHd"/>
        <w:rPr>
          <w:rFonts w:cs="Arial"/>
        </w:rPr>
      </w:pPr>
      <w:r w:rsidRPr="00140BF9">
        <w:rPr>
          <w:rFonts w:cs="Arial"/>
        </w:rPr>
        <w:t>Supreme Court criminal proceedings—registrar’s directions hearing</w:t>
      </w:r>
    </w:p>
    <w:p w14:paraId="237D438A" w14:textId="079CEEF7"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137"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1794B8E9" w14:textId="434F920A" w:rsidR="00D94935" w:rsidRPr="00140BF9" w:rsidRDefault="00D94935" w:rsidP="00D94935">
      <w:pPr>
        <w:pStyle w:val="AmdtsEntries"/>
        <w:rPr>
          <w:rFonts w:cs="Arial"/>
        </w:rPr>
      </w:pPr>
      <w:r w:rsidRPr="00140BF9">
        <w:rPr>
          <w:rFonts w:cs="Arial"/>
        </w:rPr>
        <w:tab/>
        <w:t xml:space="preserve">am </w:t>
      </w:r>
      <w:hyperlink r:id="rId213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14:paraId="3F8689D4" w14:textId="77777777" w:rsidR="00D94935" w:rsidRPr="00140BF9" w:rsidRDefault="00D94935" w:rsidP="00D94935">
      <w:pPr>
        <w:pStyle w:val="AmdtsEntryHd"/>
        <w:rPr>
          <w:rFonts w:cs="Arial"/>
        </w:rPr>
      </w:pPr>
      <w:r w:rsidRPr="00140BF9">
        <w:rPr>
          <w:rFonts w:cs="Arial"/>
        </w:rPr>
        <w:t>Supreme Court criminal proceedings—arraignment</w:t>
      </w:r>
    </w:p>
    <w:p w14:paraId="276252EC" w14:textId="77777777" w:rsidR="00D94935" w:rsidRDefault="00D94935" w:rsidP="00D94935">
      <w:pPr>
        <w:pStyle w:val="AmdtsEntries"/>
        <w:rPr>
          <w:rFonts w:eastAsiaTheme="minorEastAsia" w:cs="Arial"/>
          <w:szCs w:val="22"/>
          <w:lang w:eastAsia="en-AU"/>
        </w:rPr>
      </w:pPr>
      <w:r w:rsidRPr="00140BF9">
        <w:rPr>
          <w:rFonts w:cs="Arial"/>
        </w:rPr>
        <w:t>r 4736 hdg</w:t>
      </w:r>
      <w:r w:rsidRPr="00140BF9">
        <w:rPr>
          <w:rFonts w:eastAsiaTheme="minorEastAsia" w:cs="Arial"/>
          <w:szCs w:val="22"/>
          <w:lang w:eastAsia="en-AU"/>
        </w:rPr>
        <w:tab/>
        <w:t>bracketed note om R29 LA</w:t>
      </w:r>
    </w:p>
    <w:p w14:paraId="69DC54DC" w14:textId="18DCF2F7" w:rsidR="00423DF9" w:rsidRPr="00140BF9" w:rsidRDefault="00423DF9" w:rsidP="00D94935">
      <w:pPr>
        <w:pStyle w:val="AmdtsEntries"/>
        <w:rPr>
          <w:rFonts w:cs="Arial"/>
        </w:rPr>
      </w:pPr>
      <w:r>
        <w:rPr>
          <w:rFonts w:eastAsiaTheme="minorEastAsia" w:cs="Arial"/>
          <w:szCs w:val="22"/>
          <w:lang w:eastAsia="en-AU"/>
        </w:rPr>
        <w:t>r 4736</w:t>
      </w:r>
      <w:r>
        <w:rPr>
          <w:rFonts w:eastAsiaTheme="minorEastAsia" w:cs="Arial"/>
          <w:szCs w:val="22"/>
          <w:lang w:eastAsia="en-AU"/>
        </w:rPr>
        <w:tab/>
        <w:t xml:space="preserve">am </w:t>
      </w:r>
      <w:hyperlink r:id="rId2139"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18</w:t>
      </w:r>
    </w:p>
    <w:p w14:paraId="0213F776" w14:textId="77777777" w:rsidR="00D94935" w:rsidRPr="00140BF9" w:rsidRDefault="00D94935" w:rsidP="00D94935">
      <w:pPr>
        <w:pStyle w:val="AmdtsEntryHd"/>
        <w:rPr>
          <w:rFonts w:cs="Arial"/>
        </w:rPr>
      </w:pPr>
      <w:r w:rsidRPr="00140BF9">
        <w:rPr>
          <w:rFonts w:cs="Arial"/>
        </w:rPr>
        <w:t>Supreme Court criminal proceedings—pre-trial directions hearing</w:t>
      </w:r>
    </w:p>
    <w:p w14:paraId="53092788" w14:textId="77777777" w:rsidR="00D94935" w:rsidRDefault="00D94935" w:rsidP="00D94935">
      <w:pPr>
        <w:pStyle w:val="AmdtsEntries"/>
        <w:rPr>
          <w:rFonts w:eastAsiaTheme="minorEastAsia" w:cs="Arial"/>
          <w:szCs w:val="22"/>
          <w:lang w:eastAsia="en-AU"/>
        </w:rPr>
      </w:pPr>
      <w:r w:rsidRPr="00140BF9">
        <w:rPr>
          <w:rFonts w:cs="Arial"/>
        </w:rPr>
        <w:t>r 4737 hdg</w:t>
      </w:r>
      <w:r w:rsidRPr="00140BF9">
        <w:rPr>
          <w:rFonts w:eastAsiaTheme="minorEastAsia" w:cs="Arial"/>
          <w:szCs w:val="22"/>
          <w:lang w:eastAsia="en-AU"/>
        </w:rPr>
        <w:tab/>
        <w:t>bracketed note om R29 LA</w:t>
      </w:r>
    </w:p>
    <w:p w14:paraId="36B96751" w14:textId="11580A13" w:rsidR="00423DF9" w:rsidRPr="00140BF9" w:rsidRDefault="00423DF9" w:rsidP="00D94935">
      <w:pPr>
        <w:pStyle w:val="AmdtsEntries"/>
        <w:rPr>
          <w:rFonts w:cs="Arial"/>
        </w:rPr>
      </w:pPr>
      <w:r>
        <w:rPr>
          <w:rFonts w:eastAsiaTheme="minorEastAsia" w:cs="Arial"/>
          <w:szCs w:val="22"/>
          <w:lang w:eastAsia="en-AU"/>
        </w:rPr>
        <w:t>r 4737</w:t>
      </w:r>
      <w:r>
        <w:rPr>
          <w:rFonts w:eastAsiaTheme="minorEastAsia" w:cs="Arial"/>
          <w:szCs w:val="22"/>
          <w:lang w:eastAsia="en-AU"/>
        </w:rPr>
        <w:tab/>
        <w:t xml:space="preserve">om </w:t>
      </w:r>
      <w:hyperlink r:id="rId2140"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19</w:t>
      </w:r>
    </w:p>
    <w:p w14:paraId="213E790F" w14:textId="77777777"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14:paraId="74B6E719" w14:textId="51199BC6"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1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7CCA232" w14:textId="77777777"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14:paraId="7077123B" w14:textId="02FB5A35"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14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30358DF" w14:textId="1189CD13" w:rsidR="00D94935" w:rsidRPr="00140BF9" w:rsidRDefault="00D94935" w:rsidP="00D94935">
      <w:pPr>
        <w:pStyle w:val="AmdtsEntries"/>
        <w:rPr>
          <w:rFonts w:cs="Arial"/>
          <w:lang w:eastAsia="en-AU"/>
        </w:rPr>
      </w:pPr>
      <w:r>
        <w:rPr>
          <w:rFonts w:cs="Arial"/>
          <w:lang w:eastAsia="en-AU"/>
        </w:rPr>
        <w:tab/>
        <w:t xml:space="preserve">am </w:t>
      </w:r>
      <w:hyperlink r:id="rId21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3DD2D07C" w14:textId="35F40ACE" w:rsidR="00423DF9" w:rsidRPr="00140BF9" w:rsidRDefault="00423DF9" w:rsidP="00423DF9">
      <w:pPr>
        <w:pStyle w:val="AmdtsEntries"/>
        <w:rPr>
          <w:rFonts w:cs="Arial"/>
        </w:rPr>
      </w:pPr>
      <w:r>
        <w:rPr>
          <w:rFonts w:eastAsiaTheme="minorEastAsia" w:cs="Arial"/>
          <w:szCs w:val="22"/>
          <w:lang w:eastAsia="en-AU"/>
        </w:rPr>
        <w:tab/>
        <w:t xml:space="preserve">om </w:t>
      </w:r>
      <w:hyperlink r:id="rId2144" w:tooltip="Court Procedures Amendment Rules 2024 (No 1)" w:history="1">
        <w:r w:rsidR="008E1456">
          <w:rPr>
            <w:rStyle w:val="charCitHyperlinkAbbrev"/>
          </w:rPr>
          <w:t>SL2024</w:t>
        </w:r>
        <w:r w:rsidR="008E1456">
          <w:rPr>
            <w:rStyle w:val="charCitHyperlinkAbbrev"/>
          </w:rPr>
          <w:noBreakHyphen/>
          <w:t>9</w:t>
        </w:r>
      </w:hyperlink>
      <w:r>
        <w:rPr>
          <w:rFonts w:eastAsiaTheme="minorEastAsia" w:cs="Arial"/>
          <w:szCs w:val="22"/>
          <w:lang w:eastAsia="en-AU"/>
        </w:rPr>
        <w:t xml:space="preserve"> r 19</w:t>
      </w:r>
    </w:p>
    <w:p w14:paraId="52752B2B" w14:textId="77777777" w:rsidR="00D94935" w:rsidRPr="00140BF9" w:rsidRDefault="00D94935" w:rsidP="00D94935">
      <w:pPr>
        <w:pStyle w:val="AmdtsEntryHd"/>
        <w:rPr>
          <w:rFonts w:cs="Arial"/>
        </w:rPr>
      </w:pPr>
      <w:r w:rsidRPr="00140BF9">
        <w:rPr>
          <w:rFonts w:cs="Arial"/>
        </w:rPr>
        <w:t>Supreme Court criminal proceedings—application to set aside or stay proceeding</w:t>
      </w:r>
    </w:p>
    <w:p w14:paraId="7405E763" w14:textId="77777777"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14:paraId="218AA7D8" w14:textId="77777777" w:rsidR="00D94935" w:rsidRPr="00140BF9" w:rsidRDefault="00D94935" w:rsidP="00D94935">
      <w:pPr>
        <w:pStyle w:val="AmdtsEntryHd"/>
        <w:rPr>
          <w:rFonts w:cs="Arial"/>
        </w:rPr>
      </w:pPr>
      <w:r w:rsidRPr="00140BF9">
        <w:rPr>
          <w:rFonts w:cs="Arial"/>
        </w:rPr>
        <w:t>Supreme Court criminal proceedings—application for separate trials</w:t>
      </w:r>
    </w:p>
    <w:p w14:paraId="5F55CC14" w14:textId="77777777"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14:paraId="79830775" w14:textId="77777777" w:rsidR="00D94935" w:rsidRPr="00140BF9" w:rsidRDefault="00D94935" w:rsidP="00D94935">
      <w:pPr>
        <w:pStyle w:val="AmdtsEntryHd"/>
        <w:rPr>
          <w:rFonts w:cs="Arial"/>
        </w:rPr>
      </w:pPr>
      <w:r w:rsidRPr="00140BF9">
        <w:rPr>
          <w:rFonts w:cs="Arial"/>
        </w:rPr>
        <w:t>Supreme Court criminal proceedings—other pre-trial applications</w:t>
      </w:r>
    </w:p>
    <w:p w14:paraId="32C21ECC" w14:textId="77777777" w:rsidR="00D94935" w:rsidRDefault="00D94935" w:rsidP="00D94935">
      <w:pPr>
        <w:pStyle w:val="AmdtsEntries"/>
        <w:rPr>
          <w:rFonts w:eastAsiaTheme="minorEastAsia" w:cs="Arial"/>
          <w:szCs w:val="22"/>
          <w:lang w:eastAsia="en-AU"/>
        </w:rPr>
      </w:pPr>
      <w:r w:rsidRPr="00140BF9">
        <w:rPr>
          <w:rFonts w:cs="Arial"/>
        </w:rPr>
        <w:t>r 4752 hdg</w:t>
      </w:r>
      <w:r w:rsidRPr="00140BF9">
        <w:rPr>
          <w:rFonts w:eastAsiaTheme="minorEastAsia" w:cs="Arial"/>
          <w:szCs w:val="22"/>
          <w:lang w:eastAsia="en-AU"/>
        </w:rPr>
        <w:tab/>
        <w:t>bracketed note om R29 LA</w:t>
      </w:r>
    </w:p>
    <w:p w14:paraId="6CB15930" w14:textId="726B1224" w:rsidR="00F33DCC" w:rsidRPr="00140BF9" w:rsidRDefault="00F33DCC" w:rsidP="00D94935">
      <w:pPr>
        <w:pStyle w:val="AmdtsEntries"/>
        <w:rPr>
          <w:rFonts w:cs="Arial"/>
        </w:rPr>
      </w:pPr>
      <w:r>
        <w:rPr>
          <w:rFonts w:eastAsiaTheme="minorEastAsia" w:cs="Arial"/>
          <w:szCs w:val="22"/>
          <w:lang w:eastAsia="en-AU"/>
        </w:rPr>
        <w:t>r 4752</w:t>
      </w:r>
      <w:r>
        <w:rPr>
          <w:rFonts w:eastAsiaTheme="minorEastAsia" w:cs="Arial"/>
          <w:szCs w:val="22"/>
          <w:lang w:eastAsia="en-AU"/>
        </w:rPr>
        <w:tab/>
        <w:t xml:space="preserve">am </w:t>
      </w:r>
      <w:hyperlink r:id="rId2145" w:tooltip="Court Procedures Amendment Rules 2024 (No 2)" w:history="1">
        <w:r>
          <w:rPr>
            <w:rStyle w:val="charCitHyperlinkAbbrev"/>
          </w:rPr>
          <w:t>SL2024</w:t>
        </w:r>
        <w:r>
          <w:rPr>
            <w:rStyle w:val="charCitHyperlinkAbbrev"/>
          </w:rPr>
          <w:noBreakHyphen/>
          <w:t>37</w:t>
        </w:r>
      </w:hyperlink>
      <w:r>
        <w:rPr>
          <w:rFonts w:eastAsiaTheme="minorEastAsia" w:cs="Arial"/>
          <w:szCs w:val="22"/>
          <w:lang w:eastAsia="en-AU"/>
        </w:rPr>
        <w:t xml:space="preserve"> r 4</w:t>
      </w:r>
    </w:p>
    <w:p w14:paraId="5C24455C" w14:textId="77777777" w:rsidR="00D94935" w:rsidRPr="00140BF9" w:rsidRDefault="00D94935" w:rsidP="00D94935">
      <w:pPr>
        <w:pStyle w:val="AmdtsEntryHd"/>
        <w:rPr>
          <w:rFonts w:cs="Arial"/>
        </w:rPr>
      </w:pPr>
      <w:r w:rsidRPr="00140BF9">
        <w:rPr>
          <w:rFonts w:cs="Arial"/>
        </w:rPr>
        <w:t>Supreme Court criminal proceedings—applications under r 4750, r 4751 and r 4752</w:t>
      </w:r>
    </w:p>
    <w:p w14:paraId="7685BEAC" w14:textId="77777777"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14:paraId="03F0CE0A" w14:textId="77777777" w:rsidR="00D94935" w:rsidRPr="00140BF9" w:rsidRDefault="00D94935" w:rsidP="00D94935">
      <w:pPr>
        <w:pStyle w:val="AmdtsEntryHd"/>
        <w:rPr>
          <w:rFonts w:cs="Arial"/>
        </w:rPr>
      </w:pPr>
      <w:r w:rsidRPr="00140BF9">
        <w:rPr>
          <w:rFonts w:cs="Arial"/>
        </w:rPr>
        <w:t>Supreme Court criminal proceedings—other provisions</w:t>
      </w:r>
    </w:p>
    <w:p w14:paraId="481D0B5B" w14:textId="7BAC7413"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14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1D4984F7" w14:textId="77777777" w:rsidR="00D94935" w:rsidRPr="00140BF9" w:rsidRDefault="00D94935" w:rsidP="000D1383">
      <w:pPr>
        <w:pStyle w:val="AmdtsEntryHd"/>
        <w:rPr>
          <w:rFonts w:cs="Arial"/>
        </w:rPr>
      </w:pPr>
      <w:r w:rsidRPr="00140BF9">
        <w:rPr>
          <w:rFonts w:cs="Arial"/>
        </w:rPr>
        <w:lastRenderedPageBreak/>
        <w:t>Supreme Court criminal proceedings—arraignment dates</w:t>
      </w:r>
    </w:p>
    <w:p w14:paraId="287EC894" w14:textId="77777777" w:rsidR="00D94935" w:rsidRPr="00140BF9" w:rsidRDefault="00D94935" w:rsidP="000D1383">
      <w:pPr>
        <w:pStyle w:val="AmdtsEntries"/>
        <w:keepNext/>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14:paraId="22E1AF3B" w14:textId="3F0309F0"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1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470C3FA1" w14:textId="77777777" w:rsidR="00D94935" w:rsidRPr="00140BF9" w:rsidRDefault="00D94935" w:rsidP="00D94935">
      <w:pPr>
        <w:pStyle w:val="AmdtsEntryHd"/>
        <w:rPr>
          <w:rFonts w:cs="Arial"/>
        </w:rPr>
      </w:pPr>
      <w:r w:rsidRPr="00140BF9">
        <w:rPr>
          <w:rFonts w:cs="Arial"/>
        </w:rPr>
        <w:t>Forensic proceedings</w:t>
      </w:r>
    </w:p>
    <w:p w14:paraId="3BF1CB1F" w14:textId="26FC918E"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14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0A309D" w14:textId="77777777" w:rsidR="00D94935" w:rsidRPr="00140BF9" w:rsidRDefault="00D94935" w:rsidP="00D94935">
      <w:pPr>
        <w:pStyle w:val="AmdtsEntryHd"/>
        <w:rPr>
          <w:rFonts w:cs="Arial"/>
        </w:rPr>
      </w:pPr>
      <w:r w:rsidRPr="00140BF9">
        <w:rPr>
          <w:rFonts w:cs="Arial"/>
        </w:rPr>
        <w:t>Forensic proceedings—preliminary</w:t>
      </w:r>
    </w:p>
    <w:p w14:paraId="0FF7D466" w14:textId="48205027"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14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19C0CF8" w14:textId="77777777" w:rsidR="00D94935" w:rsidRPr="00140BF9" w:rsidRDefault="00D94935" w:rsidP="00D94935">
      <w:pPr>
        <w:pStyle w:val="AmdtsEntryHd"/>
        <w:rPr>
          <w:rFonts w:cs="Arial"/>
        </w:rPr>
      </w:pPr>
      <w:r w:rsidRPr="00140BF9">
        <w:rPr>
          <w:rFonts w:cs="Arial"/>
        </w:rPr>
        <w:t>Definitions—pt 4.4</w:t>
      </w:r>
    </w:p>
    <w:p w14:paraId="4AAA5D9C" w14:textId="61CFAE20" w:rsidR="00D94935" w:rsidRPr="00140BF9" w:rsidRDefault="00D94935" w:rsidP="00745DAF">
      <w:pPr>
        <w:pStyle w:val="AmdtsEntries"/>
        <w:keepNext/>
        <w:rPr>
          <w:rFonts w:cs="Arial"/>
        </w:rPr>
      </w:pPr>
      <w:r w:rsidRPr="00140BF9">
        <w:rPr>
          <w:rFonts w:cs="Arial"/>
        </w:rPr>
        <w:t>r 4800</w:t>
      </w:r>
      <w:r w:rsidRPr="00140BF9">
        <w:rPr>
          <w:rFonts w:cs="Arial"/>
        </w:rPr>
        <w:tab/>
        <w:t xml:space="preserve">ins </w:t>
      </w:r>
      <w:hyperlink r:id="rId21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4D60982" w14:textId="00BEF394" w:rsidR="00D94935" w:rsidRPr="00140BF9" w:rsidRDefault="00D94935" w:rsidP="00745DAF">
      <w:pPr>
        <w:pStyle w:val="AmdtsEntries"/>
        <w:keepNext/>
        <w:rPr>
          <w:rFonts w:cs="Arial"/>
        </w:rPr>
      </w:pPr>
      <w:r w:rsidRPr="00140BF9">
        <w:rPr>
          <w:rFonts w:cs="Arial"/>
        </w:rPr>
        <w:tab/>
        <w:t xml:space="preserve">sub </w:t>
      </w:r>
      <w:hyperlink r:id="rId2151" w:tooltip="Court Procedures Amendment Rules 2013 (No 1)" w:history="1">
        <w:r w:rsidRPr="00140BF9">
          <w:rPr>
            <w:rStyle w:val="charCitHyperlinkAbbrev"/>
            <w:rFonts w:cs="Arial"/>
          </w:rPr>
          <w:t>SL2013-18</w:t>
        </w:r>
      </w:hyperlink>
      <w:r w:rsidRPr="00140BF9">
        <w:rPr>
          <w:rFonts w:cs="Arial"/>
        </w:rPr>
        <w:t xml:space="preserve"> r 8</w:t>
      </w:r>
    </w:p>
    <w:p w14:paraId="22377FEB" w14:textId="00CC209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forensic proceeding </w:t>
      </w:r>
      <w:r w:rsidRPr="00140BF9">
        <w:rPr>
          <w:rFonts w:cs="Arial"/>
        </w:rPr>
        <w:t xml:space="preserve">ins </w:t>
      </w:r>
      <w:hyperlink r:id="rId215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331CFB" w14:textId="59A806B4" w:rsidR="00D94935" w:rsidRPr="00140BF9" w:rsidRDefault="00D94935" w:rsidP="00D94935">
      <w:pPr>
        <w:pStyle w:val="AmdtsEntriesDefL2"/>
        <w:rPr>
          <w:rFonts w:cs="Arial"/>
        </w:rPr>
      </w:pPr>
      <w:r w:rsidRPr="00140BF9">
        <w:rPr>
          <w:rFonts w:cs="Arial"/>
        </w:rPr>
        <w:tab/>
        <w:t xml:space="preserve">sub </w:t>
      </w:r>
      <w:hyperlink r:id="rId2153" w:tooltip="Court Procedures Amendment Rules 2013 (No 1)" w:history="1">
        <w:r w:rsidRPr="00140BF9">
          <w:rPr>
            <w:rStyle w:val="charCitHyperlinkAbbrev"/>
            <w:rFonts w:cs="Arial"/>
          </w:rPr>
          <w:t>SL2013-18</w:t>
        </w:r>
      </w:hyperlink>
      <w:r w:rsidRPr="00140BF9">
        <w:rPr>
          <w:rFonts w:cs="Arial"/>
        </w:rPr>
        <w:t xml:space="preserve"> r 8</w:t>
      </w:r>
    </w:p>
    <w:p w14:paraId="31EBB562" w14:textId="4CCE3AE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154" w:tooltip="Court Procedures Amendment Rules 2013 (No 1)" w:history="1">
        <w:r w:rsidRPr="00140BF9">
          <w:rPr>
            <w:rStyle w:val="charCitHyperlinkAbbrev"/>
            <w:rFonts w:cs="Arial"/>
          </w:rPr>
          <w:t>SL2013-18</w:t>
        </w:r>
      </w:hyperlink>
      <w:r w:rsidRPr="00140BF9">
        <w:rPr>
          <w:rFonts w:cs="Arial"/>
        </w:rPr>
        <w:t xml:space="preserve"> r 8</w:t>
      </w:r>
    </w:p>
    <w:p w14:paraId="3A9A2F2B" w14:textId="7261653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155" w:tooltip="Court Procedures Amendment Rules 2013 (No 1)" w:history="1">
        <w:r w:rsidRPr="00140BF9">
          <w:rPr>
            <w:rStyle w:val="charCitHyperlinkAbbrev"/>
            <w:rFonts w:cs="Arial"/>
          </w:rPr>
          <w:t>SL2013-18</w:t>
        </w:r>
      </w:hyperlink>
      <w:r w:rsidRPr="00140BF9">
        <w:rPr>
          <w:rFonts w:cs="Arial"/>
        </w:rPr>
        <w:t xml:space="preserve"> r 8</w:t>
      </w:r>
    </w:p>
    <w:p w14:paraId="481051CC" w14:textId="13713407"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1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51EDC65" w14:textId="1E8FB172" w:rsidR="00D94935" w:rsidRPr="00140BF9" w:rsidRDefault="00D94935" w:rsidP="00D94935">
      <w:pPr>
        <w:pStyle w:val="AmdtsEntriesDefL2"/>
        <w:rPr>
          <w:rFonts w:cs="Arial"/>
        </w:rPr>
      </w:pPr>
      <w:r w:rsidRPr="00140BF9">
        <w:rPr>
          <w:rFonts w:cs="Arial"/>
        </w:rPr>
        <w:tab/>
        <w:t xml:space="preserve">sub </w:t>
      </w:r>
      <w:hyperlink r:id="rId2157" w:tooltip="Court Procedures Amendment Rules 2013 (No 1)" w:history="1">
        <w:r w:rsidRPr="00140BF9">
          <w:rPr>
            <w:rStyle w:val="charCitHyperlinkAbbrev"/>
            <w:rFonts w:cs="Arial"/>
          </w:rPr>
          <w:t>SL2013-18</w:t>
        </w:r>
      </w:hyperlink>
      <w:r w:rsidRPr="00140BF9">
        <w:rPr>
          <w:rFonts w:cs="Arial"/>
        </w:rPr>
        <w:t xml:space="preserve"> r 8</w:t>
      </w:r>
    </w:p>
    <w:p w14:paraId="7BF9EDFF" w14:textId="0623C70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158" w:tooltip="Court Procedures Amendment Rules 2013 (No 1)" w:history="1">
        <w:r w:rsidRPr="00140BF9">
          <w:rPr>
            <w:rStyle w:val="charCitHyperlinkAbbrev"/>
            <w:rFonts w:cs="Arial"/>
          </w:rPr>
          <w:t>SL2013-18</w:t>
        </w:r>
      </w:hyperlink>
      <w:r w:rsidRPr="00140BF9">
        <w:rPr>
          <w:rFonts w:cs="Arial"/>
        </w:rPr>
        <w:t xml:space="preserve"> r 8</w:t>
      </w:r>
    </w:p>
    <w:p w14:paraId="3E2C51A3" w14:textId="77777777" w:rsidR="00D94935" w:rsidRPr="00140BF9" w:rsidRDefault="00D94935" w:rsidP="00D94935">
      <w:pPr>
        <w:pStyle w:val="AmdtsEntryHd"/>
        <w:rPr>
          <w:rFonts w:cs="Arial"/>
        </w:rPr>
      </w:pPr>
      <w:r w:rsidRPr="00140BF9">
        <w:rPr>
          <w:rFonts w:cs="Arial"/>
          <w:lang w:eastAsia="en-AU"/>
        </w:rPr>
        <w:t>Forensic proceedings—application of applied civil rules</w:t>
      </w:r>
    </w:p>
    <w:p w14:paraId="4544B9C0" w14:textId="08054C57"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1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896C4ED" w14:textId="77777777" w:rsidR="00D94935" w:rsidRPr="00140BF9" w:rsidRDefault="00D94935" w:rsidP="00D94935">
      <w:pPr>
        <w:pStyle w:val="AmdtsEntryHd"/>
        <w:rPr>
          <w:rFonts w:cs="Arial"/>
        </w:rPr>
      </w:pPr>
      <w:r w:rsidRPr="00140BF9">
        <w:rPr>
          <w:rFonts w:cs="Arial"/>
        </w:rPr>
        <w:t>Forensic proceedings—application of applied criminal rules</w:t>
      </w:r>
    </w:p>
    <w:p w14:paraId="4B0DB18E" w14:textId="2CC822CE" w:rsidR="00D94935" w:rsidRPr="00140BF9" w:rsidRDefault="00D94935" w:rsidP="00AD59F8">
      <w:pPr>
        <w:pStyle w:val="AmdtsEntries"/>
        <w:keepNext/>
        <w:rPr>
          <w:rFonts w:cs="Arial"/>
        </w:rPr>
      </w:pPr>
      <w:r w:rsidRPr="00140BF9">
        <w:rPr>
          <w:rFonts w:cs="Arial"/>
        </w:rPr>
        <w:t>r 4802</w:t>
      </w:r>
      <w:r w:rsidRPr="00140BF9">
        <w:rPr>
          <w:rFonts w:cs="Arial"/>
        </w:rPr>
        <w:tab/>
        <w:t xml:space="preserve">ins </w:t>
      </w:r>
      <w:hyperlink r:id="rId21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7617F5B" w14:textId="11145FBB" w:rsidR="00D94935" w:rsidRPr="00140BF9" w:rsidRDefault="00D94935" w:rsidP="00D94935">
      <w:pPr>
        <w:pStyle w:val="AmdtsEntries"/>
        <w:rPr>
          <w:rFonts w:cs="Arial"/>
        </w:rPr>
      </w:pPr>
      <w:r w:rsidRPr="00140BF9">
        <w:rPr>
          <w:rFonts w:cs="Arial"/>
        </w:rPr>
        <w:tab/>
        <w:t xml:space="preserve">am </w:t>
      </w:r>
      <w:hyperlink r:id="rId2161" w:tooltip="Court Procedures Amendment Rules 2013 (No 1)" w:history="1">
        <w:r w:rsidRPr="00140BF9">
          <w:rPr>
            <w:rStyle w:val="charCitHyperlinkAbbrev"/>
            <w:rFonts w:cs="Arial"/>
          </w:rPr>
          <w:t>SL2013-18</w:t>
        </w:r>
      </w:hyperlink>
      <w:r w:rsidRPr="00140BF9">
        <w:rPr>
          <w:rFonts w:cs="Arial"/>
        </w:rPr>
        <w:t xml:space="preserve"> r 9</w:t>
      </w:r>
      <w:r w:rsidR="004824BE">
        <w:rPr>
          <w:rFonts w:cs="Arial"/>
        </w:rPr>
        <w:t xml:space="preserve">; </w:t>
      </w:r>
      <w:hyperlink r:id="rId2162" w:tooltip="Court Procedures Amendment Rules 2024 (No 1)" w:history="1">
        <w:r w:rsidR="008E1456">
          <w:rPr>
            <w:rStyle w:val="charCitHyperlinkAbbrev"/>
          </w:rPr>
          <w:t>SL2024</w:t>
        </w:r>
        <w:r w:rsidR="008E1456">
          <w:rPr>
            <w:rStyle w:val="charCitHyperlinkAbbrev"/>
          </w:rPr>
          <w:noBreakHyphen/>
          <w:t>9</w:t>
        </w:r>
      </w:hyperlink>
      <w:r w:rsidR="004824BE">
        <w:rPr>
          <w:rFonts w:cs="Arial"/>
        </w:rPr>
        <w:t xml:space="preserve"> r 20</w:t>
      </w:r>
    </w:p>
    <w:p w14:paraId="225FC00B" w14:textId="77777777" w:rsidR="00D94935" w:rsidRPr="00140BF9" w:rsidRDefault="00D94935" w:rsidP="00D94935">
      <w:pPr>
        <w:pStyle w:val="AmdtsEntryHd"/>
        <w:rPr>
          <w:rFonts w:cs="Arial"/>
        </w:rPr>
      </w:pPr>
      <w:r w:rsidRPr="00140BF9">
        <w:rPr>
          <w:rFonts w:cs="Arial"/>
        </w:rPr>
        <w:t>Forensic proceedings under the Act, pt 2.5 and the Crimes Act, pt 1D, div 5</w:t>
      </w:r>
    </w:p>
    <w:p w14:paraId="4E5734BF" w14:textId="56B36E82"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16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28F598F" w14:textId="60865135" w:rsidR="00D94935" w:rsidRPr="00140BF9" w:rsidRDefault="00D94935" w:rsidP="00D94935">
      <w:pPr>
        <w:pStyle w:val="AmdtsEntries"/>
        <w:rPr>
          <w:rFonts w:cs="Arial"/>
        </w:rPr>
      </w:pPr>
      <w:r w:rsidRPr="00140BF9">
        <w:rPr>
          <w:rFonts w:cs="Arial"/>
        </w:rPr>
        <w:tab/>
        <w:t xml:space="preserve">sub </w:t>
      </w:r>
      <w:hyperlink r:id="rId2164" w:tooltip="Court Procedures Amendment Rules 2013 (No 1)" w:history="1">
        <w:r w:rsidRPr="00140BF9">
          <w:rPr>
            <w:rStyle w:val="charCitHyperlinkAbbrev"/>
            <w:rFonts w:cs="Arial"/>
          </w:rPr>
          <w:t>SL2013-18</w:t>
        </w:r>
      </w:hyperlink>
      <w:r w:rsidRPr="00140BF9">
        <w:rPr>
          <w:rFonts w:cs="Arial"/>
        </w:rPr>
        <w:t xml:space="preserve"> r 10</w:t>
      </w:r>
    </w:p>
    <w:p w14:paraId="506B7214" w14:textId="77777777" w:rsidR="00D94935" w:rsidRPr="00140BF9" w:rsidRDefault="00D94935" w:rsidP="00D94935">
      <w:pPr>
        <w:pStyle w:val="AmdtsEntryHd"/>
        <w:rPr>
          <w:rFonts w:cs="Arial"/>
        </w:rPr>
      </w:pPr>
      <w:r w:rsidRPr="00140BF9">
        <w:rPr>
          <w:rFonts w:cs="Arial"/>
          <w:bCs/>
        </w:rPr>
        <w:t>Application—div 4.4.2</w:t>
      </w:r>
    </w:p>
    <w:p w14:paraId="45044CC6" w14:textId="6BDA2D2E"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16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51021ACD" w14:textId="362A7566" w:rsidR="00D94935" w:rsidRPr="00140BF9" w:rsidRDefault="00D94935" w:rsidP="00D94935">
      <w:pPr>
        <w:pStyle w:val="AmdtsEntries"/>
        <w:rPr>
          <w:rFonts w:cs="Arial"/>
        </w:rPr>
      </w:pPr>
      <w:r w:rsidRPr="00140BF9">
        <w:rPr>
          <w:rFonts w:cs="Arial"/>
        </w:rPr>
        <w:tab/>
        <w:t xml:space="preserve">sub </w:t>
      </w:r>
      <w:hyperlink r:id="rId2166" w:tooltip="Court Procedures Amendment Rules 2013 (No 1)" w:history="1">
        <w:r w:rsidRPr="00140BF9">
          <w:rPr>
            <w:rStyle w:val="charCitHyperlinkAbbrev"/>
            <w:rFonts w:cs="Arial"/>
          </w:rPr>
          <w:t>SL2013-18</w:t>
        </w:r>
      </w:hyperlink>
      <w:r w:rsidRPr="00140BF9">
        <w:rPr>
          <w:rFonts w:cs="Arial"/>
        </w:rPr>
        <w:t xml:space="preserve"> r 11</w:t>
      </w:r>
    </w:p>
    <w:p w14:paraId="58CB0044" w14:textId="77777777" w:rsidR="00D94935" w:rsidRPr="00140BF9" w:rsidRDefault="00D94935" w:rsidP="00D94935">
      <w:pPr>
        <w:pStyle w:val="AmdtsEntryHd"/>
        <w:rPr>
          <w:rFonts w:cs="Arial"/>
        </w:rPr>
      </w:pPr>
      <w:r w:rsidRPr="00140BF9">
        <w:rPr>
          <w:rFonts w:cs="Arial"/>
        </w:rPr>
        <w:t>Forensic proceedings—filing of application</w:t>
      </w:r>
    </w:p>
    <w:p w14:paraId="7ED609B7" w14:textId="4AC8C9C5"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1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43FA996" w14:textId="2FCDCE22" w:rsidR="00D94935" w:rsidRPr="00140BF9" w:rsidRDefault="00D94935" w:rsidP="00D94935">
      <w:pPr>
        <w:pStyle w:val="AmdtsEntries"/>
        <w:rPr>
          <w:rFonts w:cs="Arial"/>
        </w:rPr>
      </w:pPr>
      <w:r w:rsidRPr="00140BF9">
        <w:rPr>
          <w:rFonts w:cs="Arial"/>
        </w:rPr>
        <w:tab/>
        <w:t xml:space="preserve">am </w:t>
      </w:r>
      <w:hyperlink r:id="rId2168" w:tooltip="Court Procedures Amendment Rules 2013 (No 1)" w:history="1">
        <w:r w:rsidRPr="00140BF9">
          <w:rPr>
            <w:rStyle w:val="charCitHyperlinkAbbrev"/>
            <w:rFonts w:cs="Arial"/>
          </w:rPr>
          <w:t>SL2013-18</w:t>
        </w:r>
      </w:hyperlink>
      <w:r w:rsidRPr="00140BF9">
        <w:rPr>
          <w:rFonts w:cs="Arial"/>
        </w:rPr>
        <w:t xml:space="preserve"> r 12</w:t>
      </w:r>
    </w:p>
    <w:p w14:paraId="4959E64A" w14:textId="77777777" w:rsidR="00D94935" w:rsidRPr="00140BF9" w:rsidRDefault="00D94935" w:rsidP="00D94935">
      <w:pPr>
        <w:pStyle w:val="AmdtsEntryHd"/>
        <w:rPr>
          <w:rFonts w:cs="Arial"/>
        </w:rPr>
      </w:pPr>
      <w:r w:rsidRPr="00140BF9">
        <w:rPr>
          <w:rFonts w:cs="Arial"/>
        </w:rPr>
        <w:t>Forensic proceedings—personal service</w:t>
      </w:r>
    </w:p>
    <w:p w14:paraId="18E47608" w14:textId="45C1B684"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16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90DFE2" w14:textId="77777777" w:rsidR="00D94935" w:rsidRPr="00140BF9" w:rsidRDefault="00D94935" w:rsidP="00D94935">
      <w:pPr>
        <w:pStyle w:val="AmdtsEntryHd"/>
        <w:rPr>
          <w:rFonts w:cs="Arial"/>
        </w:rPr>
      </w:pPr>
      <w:r w:rsidRPr="00140BF9">
        <w:rPr>
          <w:rFonts w:cs="Arial"/>
        </w:rPr>
        <w:t>Forensic proceedings under the Act, pt 2.7 and the Crimes Act, pt 1D, div 6A</w:t>
      </w:r>
    </w:p>
    <w:p w14:paraId="43E9A5D0" w14:textId="616734A6"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17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58AE5B1" w14:textId="0A081505" w:rsidR="00D94935" w:rsidRPr="00140BF9" w:rsidRDefault="00D94935" w:rsidP="00D94935">
      <w:pPr>
        <w:pStyle w:val="AmdtsEntries"/>
        <w:rPr>
          <w:rFonts w:cs="Arial"/>
        </w:rPr>
      </w:pPr>
      <w:r w:rsidRPr="00140BF9">
        <w:rPr>
          <w:rFonts w:cs="Arial"/>
        </w:rPr>
        <w:tab/>
        <w:t xml:space="preserve">sub </w:t>
      </w:r>
      <w:hyperlink r:id="rId2171" w:tooltip="Court Procedures Amendment Rules 2013 (No 1)" w:history="1">
        <w:r w:rsidRPr="00140BF9">
          <w:rPr>
            <w:rStyle w:val="charCitHyperlinkAbbrev"/>
            <w:rFonts w:cs="Arial"/>
          </w:rPr>
          <w:t>SL2013-18</w:t>
        </w:r>
      </w:hyperlink>
      <w:r w:rsidRPr="00140BF9">
        <w:rPr>
          <w:rFonts w:cs="Arial"/>
        </w:rPr>
        <w:t xml:space="preserve"> r 12</w:t>
      </w:r>
    </w:p>
    <w:p w14:paraId="6C9A9BED" w14:textId="77777777" w:rsidR="00D94935" w:rsidRPr="00140BF9" w:rsidRDefault="00D94935" w:rsidP="00D94935">
      <w:pPr>
        <w:pStyle w:val="AmdtsEntryHd"/>
        <w:rPr>
          <w:rFonts w:cs="Arial"/>
        </w:rPr>
      </w:pPr>
      <w:r w:rsidRPr="00140BF9">
        <w:rPr>
          <w:rFonts w:cs="Arial"/>
          <w:bCs/>
        </w:rPr>
        <w:t>Application—div 4.4.3</w:t>
      </w:r>
    </w:p>
    <w:p w14:paraId="025CD135" w14:textId="7281606C"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1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DD28657" w14:textId="5303E601" w:rsidR="00D94935" w:rsidRPr="00140BF9" w:rsidRDefault="00D94935" w:rsidP="00D94935">
      <w:pPr>
        <w:pStyle w:val="AmdtsEntries"/>
        <w:rPr>
          <w:rFonts w:cs="Arial"/>
        </w:rPr>
      </w:pPr>
      <w:r w:rsidRPr="00140BF9">
        <w:rPr>
          <w:rFonts w:cs="Arial"/>
        </w:rPr>
        <w:tab/>
        <w:t xml:space="preserve">sub </w:t>
      </w:r>
      <w:hyperlink r:id="rId2173" w:tooltip="Court Procedures Amendment Rules 2013 (No 1)" w:history="1">
        <w:r w:rsidRPr="00140BF9">
          <w:rPr>
            <w:rStyle w:val="charCitHyperlinkAbbrev"/>
            <w:rFonts w:cs="Arial"/>
          </w:rPr>
          <w:t>SL2013-18</w:t>
        </w:r>
      </w:hyperlink>
      <w:r w:rsidRPr="00140BF9">
        <w:rPr>
          <w:rFonts w:cs="Arial"/>
        </w:rPr>
        <w:t xml:space="preserve"> r 13</w:t>
      </w:r>
    </w:p>
    <w:p w14:paraId="50789844" w14:textId="77777777" w:rsidR="00D94935" w:rsidRPr="00140BF9" w:rsidRDefault="00D94935" w:rsidP="00D94935">
      <w:pPr>
        <w:pStyle w:val="AmdtsEntryHd"/>
        <w:rPr>
          <w:rFonts w:cs="Arial"/>
        </w:rPr>
      </w:pPr>
      <w:r w:rsidRPr="00140BF9">
        <w:rPr>
          <w:rFonts w:cs="Arial"/>
          <w:bCs/>
        </w:rPr>
        <w:lastRenderedPageBreak/>
        <w:t xml:space="preserve">Forensic </w:t>
      </w:r>
      <w:r w:rsidRPr="00140BF9">
        <w:rPr>
          <w:rFonts w:cs="Arial"/>
        </w:rPr>
        <w:t>proceedings—</w:t>
      </w:r>
      <w:r w:rsidRPr="00140BF9">
        <w:rPr>
          <w:rFonts w:cs="Arial"/>
          <w:bCs/>
        </w:rPr>
        <w:t>application and service</w:t>
      </w:r>
    </w:p>
    <w:p w14:paraId="3D763F52" w14:textId="0900EC28"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1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C6805BA" w14:textId="0BB4AED7" w:rsidR="00D94935" w:rsidRPr="00140BF9" w:rsidRDefault="00D94935" w:rsidP="00D94935">
      <w:pPr>
        <w:pStyle w:val="AmdtsEntries"/>
        <w:rPr>
          <w:rFonts w:cs="Arial"/>
        </w:rPr>
      </w:pPr>
      <w:r w:rsidRPr="00140BF9">
        <w:rPr>
          <w:rFonts w:cs="Arial"/>
        </w:rPr>
        <w:tab/>
        <w:t xml:space="preserve">am </w:t>
      </w:r>
      <w:hyperlink r:id="rId2175" w:tooltip="Court Procedures Amendment Rules 2013 (No 1)" w:history="1">
        <w:r w:rsidRPr="00140BF9">
          <w:rPr>
            <w:rStyle w:val="charCitHyperlinkAbbrev"/>
            <w:rFonts w:cs="Arial"/>
          </w:rPr>
          <w:t>SL2013-18</w:t>
        </w:r>
      </w:hyperlink>
      <w:r w:rsidRPr="00140BF9">
        <w:rPr>
          <w:rFonts w:cs="Arial"/>
        </w:rPr>
        <w:t xml:space="preserve"> r 15, r 16</w:t>
      </w:r>
    </w:p>
    <w:p w14:paraId="3DB0A1B6" w14:textId="77777777" w:rsidR="00D94935" w:rsidRPr="00140BF9" w:rsidRDefault="00D94935" w:rsidP="00D94935">
      <w:pPr>
        <w:pStyle w:val="AmdtsEntryHd"/>
        <w:rPr>
          <w:rFonts w:cs="Arial"/>
        </w:rPr>
      </w:pPr>
      <w:r w:rsidRPr="00140BF9">
        <w:rPr>
          <w:rFonts w:cs="Arial"/>
        </w:rPr>
        <w:t>Forensic proceedings—general</w:t>
      </w:r>
    </w:p>
    <w:p w14:paraId="3C38A7BF" w14:textId="0EC86A5D"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1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488220D"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14:paraId="558F3A7E" w14:textId="0DC481D6"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1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2C3D195" w14:textId="42BDDD43" w:rsidR="00D94935" w:rsidRPr="00140BF9" w:rsidRDefault="00D94935" w:rsidP="00D94935">
      <w:pPr>
        <w:pStyle w:val="AmdtsEntries"/>
        <w:rPr>
          <w:rFonts w:cs="Arial"/>
        </w:rPr>
      </w:pPr>
      <w:r w:rsidRPr="00140BF9">
        <w:rPr>
          <w:rFonts w:cs="Arial"/>
        </w:rPr>
        <w:tab/>
        <w:t xml:space="preserve">am </w:t>
      </w:r>
      <w:hyperlink r:id="rId2178" w:tooltip="Court Procedures Amendment Rules 2013 (No 1)" w:history="1">
        <w:r w:rsidRPr="00140BF9">
          <w:rPr>
            <w:rStyle w:val="charCitHyperlinkAbbrev"/>
            <w:rFonts w:cs="Arial"/>
          </w:rPr>
          <w:t>SL2013-18</w:t>
        </w:r>
      </w:hyperlink>
      <w:r w:rsidRPr="00140BF9">
        <w:rPr>
          <w:rFonts w:cs="Arial"/>
        </w:rPr>
        <w:t xml:space="preserve"> r 17, r 18</w:t>
      </w:r>
    </w:p>
    <w:p w14:paraId="5D4C2ADA"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14:paraId="4E14D26C" w14:textId="50D69418"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1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D96249" w14:textId="77777777" w:rsidR="00D94935" w:rsidRPr="00140BF9" w:rsidRDefault="00D94935" w:rsidP="00D94935">
      <w:pPr>
        <w:pStyle w:val="AmdtsEntryHd"/>
        <w:rPr>
          <w:rFonts w:cs="Arial"/>
        </w:rPr>
      </w:pPr>
      <w:r w:rsidRPr="00140BF9">
        <w:rPr>
          <w:rFonts w:cs="Arial"/>
          <w:lang w:eastAsia="en-AU"/>
        </w:rPr>
        <w:t>Forensic proceedings—costs</w:t>
      </w:r>
    </w:p>
    <w:p w14:paraId="219C5753" w14:textId="32A02849"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1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5CEC59A" w14:textId="4BC6B5D9" w:rsidR="00D94935" w:rsidRPr="00140BF9" w:rsidRDefault="00D94935" w:rsidP="00D94935">
      <w:pPr>
        <w:pStyle w:val="AmdtsEntries"/>
        <w:rPr>
          <w:rFonts w:cs="Arial"/>
        </w:rPr>
      </w:pPr>
      <w:r w:rsidRPr="00140BF9">
        <w:rPr>
          <w:rFonts w:cs="Arial"/>
        </w:rPr>
        <w:tab/>
        <w:t xml:space="preserve">am </w:t>
      </w:r>
      <w:hyperlink r:id="rId2181" w:tooltip="Court Procedures Amendment Rules 2013 (No 1)" w:history="1">
        <w:r w:rsidRPr="00140BF9">
          <w:rPr>
            <w:rStyle w:val="charCitHyperlinkAbbrev"/>
            <w:rFonts w:cs="Arial"/>
          </w:rPr>
          <w:t>SL2013-18</w:t>
        </w:r>
      </w:hyperlink>
      <w:r w:rsidRPr="00140BF9">
        <w:rPr>
          <w:rFonts w:cs="Arial"/>
        </w:rPr>
        <w:t xml:space="preserve"> r 19</w:t>
      </w:r>
    </w:p>
    <w:p w14:paraId="687F4C21" w14:textId="77777777" w:rsidR="00D94935" w:rsidRPr="00140BF9" w:rsidRDefault="00D94935" w:rsidP="00D94935">
      <w:pPr>
        <w:pStyle w:val="AmdtsEntryHd"/>
        <w:rPr>
          <w:rFonts w:cs="Arial"/>
        </w:rPr>
      </w:pPr>
      <w:r w:rsidRPr="00140BF9">
        <w:rPr>
          <w:rFonts w:cs="Arial"/>
        </w:rPr>
        <w:t>Definitions—ch 5</w:t>
      </w:r>
    </w:p>
    <w:p w14:paraId="76988E1D" w14:textId="77069AF3"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182"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14:paraId="5590DF9A" w14:textId="77777777" w:rsidR="00D94935" w:rsidRPr="00140BF9" w:rsidRDefault="00D94935" w:rsidP="00D94935">
      <w:pPr>
        <w:pStyle w:val="AmdtsEntryHd"/>
        <w:rPr>
          <w:rFonts w:cs="Arial"/>
        </w:rPr>
      </w:pPr>
      <w:r w:rsidRPr="00140BF9">
        <w:rPr>
          <w:rFonts w:cs="Arial"/>
        </w:rPr>
        <w:t>Appellate proceedings—application of ch 2 generally</w:t>
      </w:r>
    </w:p>
    <w:p w14:paraId="31DEF488" w14:textId="77777777"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14:paraId="5157DA39" w14:textId="07467EBA"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18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1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14:paraId="325BAE39" w14:textId="77777777" w:rsidR="00D94935" w:rsidRPr="00140BF9" w:rsidRDefault="00D94935" w:rsidP="00D94935">
      <w:pPr>
        <w:pStyle w:val="AmdtsEntryHd"/>
        <w:rPr>
          <w:rFonts w:cs="Arial"/>
        </w:rPr>
      </w:pPr>
      <w:r w:rsidRPr="00140BF9">
        <w:rPr>
          <w:rFonts w:cs="Arial"/>
        </w:rPr>
        <w:t>Appeals from registrar</w:t>
      </w:r>
    </w:p>
    <w:p w14:paraId="0237A1AB" w14:textId="4410BB1B" w:rsidR="00D94935" w:rsidRDefault="00D94935" w:rsidP="00D94935">
      <w:pPr>
        <w:pStyle w:val="AmdtsEntries"/>
        <w:rPr>
          <w:rFonts w:cs="Arial"/>
        </w:rPr>
      </w:pPr>
      <w:r>
        <w:rPr>
          <w:rFonts w:cs="Arial"/>
        </w:rPr>
        <w:t>pt 5.2 hdg</w:t>
      </w:r>
      <w:r>
        <w:rPr>
          <w:rFonts w:cs="Arial"/>
        </w:rPr>
        <w:tab/>
        <w:t xml:space="preserve">sub </w:t>
      </w:r>
      <w:hyperlink r:id="rId218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2B41D23F" w14:textId="43224E59"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1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14:paraId="172B8C6A" w14:textId="10398ECF" w:rsidR="00D94935" w:rsidRPr="00140BF9" w:rsidRDefault="00D94935" w:rsidP="00D94935">
      <w:pPr>
        <w:pStyle w:val="AmdtsEntries"/>
        <w:rPr>
          <w:rFonts w:cs="Arial"/>
        </w:rPr>
      </w:pPr>
      <w:r>
        <w:rPr>
          <w:rFonts w:cs="Arial"/>
        </w:rPr>
        <w:tab/>
        <w:t xml:space="preserve">sub </w:t>
      </w:r>
      <w:hyperlink r:id="rId21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7CB67A99" w14:textId="77777777" w:rsidR="00D94935" w:rsidRPr="00140BF9" w:rsidRDefault="00D94935" w:rsidP="00D94935">
      <w:pPr>
        <w:pStyle w:val="AmdtsEntryHd"/>
        <w:rPr>
          <w:rFonts w:cs="Arial"/>
        </w:rPr>
      </w:pPr>
      <w:r w:rsidRPr="00140BF9">
        <w:rPr>
          <w:rFonts w:cs="Arial"/>
        </w:rPr>
        <w:t>Definitions—pt 5.2</w:t>
      </w:r>
    </w:p>
    <w:p w14:paraId="7F8A3358" w14:textId="77777777"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14:paraId="73E0A93B" w14:textId="259E262B"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18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CC93CCA" w14:textId="6E1BB37C"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18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F2DCAB5" w14:textId="1660D9EF"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1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14:paraId="3AC63382" w14:textId="285ED2D8" w:rsidR="00D94935" w:rsidRPr="00140BF9" w:rsidRDefault="00D94935" w:rsidP="00D94935">
      <w:pPr>
        <w:pStyle w:val="AmdtsEntriesDefL2"/>
      </w:pPr>
      <w:r>
        <w:tab/>
        <w:t xml:space="preserve">sub </w:t>
      </w:r>
      <w:hyperlink r:id="rId21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60B2CD14" w14:textId="77777777" w:rsidR="00D94935" w:rsidRPr="00140BF9" w:rsidRDefault="00D94935" w:rsidP="00D94935">
      <w:pPr>
        <w:pStyle w:val="AmdtsEntryHd"/>
        <w:rPr>
          <w:rFonts w:cs="Arial"/>
        </w:rPr>
      </w:pPr>
      <w:r w:rsidRPr="00140BF9">
        <w:rPr>
          <w:rFonts w:cs="Arial"/>
        </w:rPr>
        <w:t>Application—pt 5.2</w:t>
      </w:r>
    </w:p>
    <w:p w14:paraId="467263B6" w14:textId="77777777"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14:paraId="2D682917" w14:textId="1141CEA9"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1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14:paraId="0FFD2762" w14:textId="71BFBBE1" w:rsidR="00D94935" w:rsidRPr="00140BF9" w:rsidRDefault="00D94935" w:rsidP="00D94935">
      <w:pPr>
        <w:pStyle w:val="AmdtsEntries"/>
        <w:rPr>
          <w:rFonts w:cs="Arial"/>
        </w:rPr>
      </w:pPr>
      <w:r>
        <w:rPr>
          <w:rFonts w:cs="Arial"/>
        </w:rPr>
        <w:tab/>
      </w:r>
      <w:r>
        <w:t xml:space="preserve">sub </w:t>
      </w:r>
      <w:hyperlink r:id="rId219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7DDC8DC6" w14:textId="77777777" w:rsidR="00D94935" w:rsidRPr="00140BF9" w:rsidRDefault="00D94935" w:rsidP="00D94935">
      <w:pPr>
        <w:pStyle w:val="AmdtsEntryHd"/>
        <w:rPr>
          <w:rFonts w:cs="Arial"/>
        </w:rPr>
      </w:pPr>
      <w:r w:rsidRPr="00140BF9">
        <w:rPr>
          <w:rFonts w:cs="Arial"/>
        </w:rPr>
        <w:t>Appeals from registrar—starting appeal</w:t>
      </w:r>
    </w:p>
    <w:p w14:paraId="1137E775" w14:textId="77777777"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14:paraId="28B7372A" w14:textId="4834C808"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19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7CC20EC" w14:textId="77777777" w:rsidR="00D94935" w:rsidRPr="00140BF9" w:rsidRDefault="00D94935" w:rsidP="00D94935">
      <w:pPr>
        <w:pStyle w:val="AmdtsEntryHd"/>
        <w:rPr>
          <w:rFonts w:cs="Arial"/>
        </w:rPr>
      </w:pPr>
      <w:r w:rsidRPr="00140BF9">
        <w:rPr>
          <w:rFonts w:cs="Arial"/>
        </w:rPr>
        <w:t>Appeals from registrar—requirements for notice of appeal</w:t>
      </w:r>
    </w:p>
    <w:p w14:paraId="0D17CF56" w14:textId="77777777"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14:paraId="6579C24C" w14:textId="63871331" w:rsidR="00D94935" w:rsidRDefault="00D94935" w:rsidP="00D94935">
      <w:pPr>
        <w:pStyle w:val="AmdtsEntries"/>
        <w:rPr>
          <w:rFonts w:cs="Arial"/>
        </w:rPr>
      </w:pPr>
      <w:r w:rsidRPr="00140BF9">
        <w:rPr>
          <w:rFonts w:cs="Arial"/>
        </w:rPr>
        <w:t>r 5013</w:t>
      </w:r>
      <w:r w:rsidRPr="00140BF9">
        <w:rPr>
          <w:rFonts w:cs="Arial"/>
        </w:rPr>
        <w:tab/>
        <w:t xml:space="preserve">am </w:t>
      </w:r>
      <w:hyperlink r:id="rId219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14:paraId="0B1FD653" w14:textId="7BEFFC15" w:rsidR="00D94935" w:rsidRPr="00140BF9" w:rsidRDefault="00D94935" w:rsidP="00D94935">
      <w:pPr>
        <w:pStyle w:val="AmdtsEntries"/>
        <w:rPr>
          <w:rFonts w:cs="Arial"/>
        </w:rPr>
      </w:pPr>
      <w:r>
        <w:rPr>
          <w:rFonts w:cs="Arial"/>
        </w:rPr>
        <w:tab/>
      </w:r>
      <w:r>
        <w:t xml:space="preserve">sub </w:t>
      </w:r>
      <w:hyperlink r:id="rId21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5F6DD32A" w14:textId="77777777" w:rsidR="00D94935" w:rsidRPr="00140BF9" w:rsidRDefault="00D94935" w:rsidP="00D94935">
      <w:pPr>
        <w:pStyle w:val="AmdtsEntryHd"/>
        <w:rPr>
          <w:rFonts w:cs="Arial"/>
        </w:rPr>
      </w:pPr>
      <w:r w:rsidRPr="00140BF9">
        <w:rPr>
          <w:rFonts w:cs="Arial"/>
        </w:rPr>
        <w:lastRenderedPageBreak/>
        <w:t>Appeals from registrar—time for filing notice of appeal</w:t>
      </w:r>
    </w:p>
    <w:p w14:paraId="134AE820" w14:textId="77777777"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14:paraId="3BB7BC63" w14:textId="5620A8C7"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1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2C2F49D" w14:textId="77777777" w:rsidR="00D94935" w:rsidRDefault="00D94935" w:rsidP="00D94935">
      <w:pPr>
        <w:pStyle w:val="AmdtsEntryHd"/>
        <w:rPr>
          <w:rFonts w:cs="Arial"/>
        </w:rPr>
      </w:pPr>
      <w:r>
        <w:rPr>
          <w:rFonts w:cs="Arial"/>
        </w:rPr>
        <w:t>Appeals from registrar—notice of appeal to be sealed</w:t>
      </w:r>
    </w:p>
    <w:p w14:paraId="5C2EEBEC" w14:textId="63C062C5" w:rsidR="00D94935" w:rsidRPr="00BF73B6" w:rsidRDefault="00D94935" w:rsidP="00D94935">
      <w:pPr>
        <w:pStyle w:val="AmdtsEntries"/>
      </w:pPr>
      <w:r>
        <w:t>r 5015</w:t>
      </w:r>
      <w:r>
        <w:tab/>
        <w:t xml:space="preserve">sub </w:t>
      </w:r>
      <w:hyperlink r:id="rId219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40BAA34" w14:textId="3FB391E8" w:rsidR="004745AC" w:rsidRPr="00140BF9" w:rsidRDefault="004745AC" w:rsidP="004745AC">
      <w:pPr>
        <w:pStyle w:val="AmdtsEntries"/>
        <w:rPr>
          <w:rFonts w:cs="Arial"/>
        </w:rPr>
      </w:pPr>
      <w:r>
        <w:rPr>
          <w:rFonts w:eastAsiaTheme="minorEastAsia" w:cs="Arial"/>
          <w:szCs w:val="22"/>
          <w:lang w:eastAsia="en-AU"/>
        </w:rPr>
        <w:tab/>
        <w:t xml:space="preserve">am </w:t>
      </w:r>
      <w:hyperlink r:id="rId219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33</w:t>
      </w:r>
    </w:p>
    <w:p w14:paraId="0F1DA21E" w14:textId="77777777" w:rsidR="00D94935" w:rsidRPr="00140BF9" w:rsidRDefault="00D94935" w:rsidP="00D94935">
      <w:pPr>
        <w:pStyle w:val="AmdtsEntryHd"/>
        <w:rPr>
          <w:rFonts w:cs="Arial"/>
        </w:rPr>
      </w:pPr>
      <w:r w:rsidRPr="00140BF9">
        <w:rPr>
          <w:rFonts w:cs="Arial"/>
        </w:rPr>
        <w:t>Appeals from registrar—serving notice of appeal</w:t>
      </w:r>
    </w:p>
    <w:p w14:paraId="7EE10328" w14:textId="77777777"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14:paraId="19430075" w14:textId="4FD36D57"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20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3A7543C6" w14:textId="77777777" w:rsidR="00D94935" w:rsidRPr="00140BF9" w:rsidRDefault="00D94935" w:rsidP="00D94935">
      <w:pPr>
        <w:pStyle w:val="AmdtsEntryHd"/>
        <w:rPr>
          <w:rFonts w:cs="Arial"/>
        </w:rPr>
      </w:pPr>
      <w:r w:rsidRPr="00140BF9">
        <w:rPr>
          <w:rFonts w:cs="Arial"/>
        </w:rPr>
        <w:t>Appeals from registrar—stay and reinstatement</w:t>
      </w:r>
    </w:p>
    <w:p w14:paraId="3FB5D068" w14:textId="77777777"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14:paraId="3D08F894" w14:textId="652C3681"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20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C351498" w14:textId="77777777" w:rsidR="00D94935" w:rsidRPr="00140BF9" w:rsidRDefault="00D94935" w:rsidP="00D94935">
      <w:pPr>
        <w:pStyle w:val="AmdtsEntryHd"/>
        <w:rPr>
          <w:rFonts w:cs="Arial"/>
        </w:rPr>
      </w:pPr>
      <w:r w:rsidRPr="00140BF9">
        <w:rPr>
          <w:rFonts w:cs="Arial"/>
        </w:rPr>
        <w:t>Definitions—pt 5.3</w:t>
      </w:r>
    </w:p>
    <w:p w14:paraId="3B63C1FE" w14:textId="77777777"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14:paraId="7D15FEA4" w14:textId="1BB0D683"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2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14:paraId="4FD6E3D2" w14:textId="77777777" w:rsidR="00D94935" w:rsidRPr="00140BF9" w:rsidRDefault="00D94935" w:rsidP="00D94935">
      <w:pPr>
        <w:pStyle w:val="AmdtsEntryHd"/>
        <w:rPr>
          <w:rFonts w:cs="Arial"/>
        </w:rPr>
      </w:pPr>
      <w:r w:rsidRPr="00140BF9">
        <w:rPr>
          <w:rFonts w:cs="Arial"/>
        </w:rPr>
        <w:t>Application—pt 5.3</w:t>
      </w:r>
    </w:p>
    <w:p w14:paraId="01EECE14" w14:textId="77777777"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14:paraId="41648020" w14:textId="39A6B4D0"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2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14:paraId="47942192" w14:textId="06FC1BF6" w:rsidR="00D94935" w:rsidRPr="00140BF9" w:rsidRDefault="00D94935" w:rsidP="00D94935">
      <w:pPr>
        <w:pStyle w:val="AmdtsEntries"/>
        <w:rPr>
          <w:rFonts w:cs="Arial"/>
        </w:rPr>
      </w:pPr>
      <w:r w:rsidRPr="00140BF9">
        <w:rPr>
          <w:rFonts w:cs="Arial"/>
        </w:rPr>
        <w:tab/>
        <w:t xml:space="preserve">table am </w:t>
      </w:r>
      <w:hyperlink r:id="rId220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20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20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20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2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209"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r w:rsidR="00221F41">
        <w:t xml:space="preserve">; </w:t>
      </w:r>
      <w:hyperlink r:id="rId2210" w:tooltip="Court Procedures Amendment Rules 2024 (No 1)" w:history="1">
        <w:r w:rsidR="008E1456">
          <w:rPr>
            <w:rStyle w:val="charCitHyperlinkAbbrev"/>
          </w:rPr>
          <w:t>SL2024</w:t>
        </w:r>
        <w:r w:rsidR="008E1456">
          <w:rPr>
            <w:rStyle w:val="charCitHyperlinkAbbrev"/>
          </w:rPr>
          <w:noBreakHyphen/>
          <w:t>9</w:t>
        </w:r>
      </w:hyperlink>
      <w:r w:rsidR="00221F41">
        <w:t xml:space="preserve"> r 21</w:t>
      </w:r>
    </w:p>
    <w:p w14:paraId="18D8B5A2" w14:textId="77777777" w:rsidR="00D94935" w:rsidRPr="00140BF9" w:rsidRDefault="00D94935" w:rsidP="00D94935">
      <w:pPr>
        <w:pStyle w:val="AmdtsEntryHd"/>
        <w:rPr>
          <w:rFonts w:cs="Arial"/>
        </w:rPr>
      </w:pPr>
      <w:r w:rsidRPr="00140BF9">
        <w:rPr>
          <w:rFonts w:cs="Arial"/>
        </w:rPr>
        <w:t>Appeals to Supreme Court—general powers</w:t>
      </w:r>
    </w:p>
    <w:p w14:paraId="4CBCC84A" w14:textId="77777777"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14:paraId="015CA0D1" w14:textId="77777777" w:rsidR="00D94935" w:rsidRPr="00140BF9" w:rsidRDefault="00D94935" w:rsidP="00D94935">
      <w:pPr>
        <w:pStyle w:val="AmdtsEntryHd"/>
        <w:rPr>
          <w:rFonts w:cs="Arial"/>
        </w:rPr>
      </w:pPr>
      <w:r w:rsidRPr="00140BF9">
        <w:rPr>
          <w:rFonts w:cs="Arial"/>
        </w:rPr>
        <w:t>Appeals to Supreme Court—non-publication order</w:t>
      </w:r>
    </w:p>
    <w:p w14:paraId="599234E9" w14:textId="77777777"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14:paraId="5904B752" w14:textId="77777777" w:rsidR="00D94935" w:rsidRPr="00140BF9" w:rsidRDefault="00D94935" w:rsidP="00D94935">
      <w:pPr>
        <w:pStyle w:val="AmdtsEntryHd"/>
        <w:rPr>
          <w:rFonts w:cs="Arial"/>
        </w:rPr>
      </w:pPr>
      <w:r w:rsidRPr="00140BF9">
        <w:rPr>
          <w:rFonts w:cs="Arial"/>
        </w:rPr>
        <w:t>Appeals to Supreme Court—stay and reinstatement</w:t>
      </w:r>
    </w:p>
    <w:p w14:paraId="24F9A094" w14:textId="77777777"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14:paraId="179214CD" w14:textId="77777777" w:rsidR="00D94935" w:rsidRPr="00140BF9" w:rsidRDefault="00D94935" w:rsidP="00D94935">
      <w:pPr>
        <w:pStyle w:val="AmdtsEntryHd"/>
        <w:rPr>
          <w:rFonts w:cs="Arial"/>
        </w:rPr>
      </w:pPr>
      <w:r w:rsidRPr="00140BF9">
        <w:rPr>
          <w:rFonts w:cs="Arial"/>
        </w:rPr>
        <w:t>Appeals to Supreme Court—security for costs</w:t>
      </w:r>
    </w:p>
    <w:p w14:paraId="5A34B771" w14:textId="77777777"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14:paraId="336E4205" w14:textId="77777777" w:rsidR="00D94935" w:rsidRPr="00140BF9" w:rsidRDefault="00D94935" w:rsidP="00D94935">
      <w:pPr>
        <w:pStyle w:val="AmdtsEntryHd"/>
        <w:rPr>
          <w:rFonts w:cs="Arial"/>
        </w:rPr>
      </w:pPr>
      <w:r w:rsidRPr="00140BF9">
        <w:rPr>
          <w:rFonts w:cs="Arial"/>
        </w:rPr>
        <w:t>Application—div 5.3.2</w:t>
      </w:r>
    </w:p>
    <w:p w14:paraId="27E776BC" w14:textId="77777777"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14:paraId="75C2D79F" w14:textId="6287DEE4"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2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21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14:paraId="4ED6D9FC" w14:textId="77777777" w:rsidR="00D94935" w:rsidRPr="00140BF9" w:rsidRDefault="00D94935" w:rsidP="00D94935">
      <w:pPr>
        <w:pStyle w:val="AmdtsEntryHd"/>
        <w:rPr>
          <w:rFonts w:cs="Arial"/>
        </w:rPr>
      </w:pPr>
      <w:r w:rsidRPr="00140BF9">
        <w:rPr>
          <w:rFonts w:cs="Arial"/>
        </w:rPr>
        <w:t>Appeals to Supreme Court—application for leave to appeal</w:t>
      </w:r>
    </w:p>
    <w:p w14:paraId="23756FB1" w14:textId="77777777"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14:paraId="6B4A964A" w14:textId="77777777" w:rsidR="00D94935" w:rsidRPr="00140BF9" w:rsidRDefault="00D94935" w:rsidP="00D94935">
      <w:pPr>
        <w:pStyle w:val="AmdtsEntryHd"/>
        <w:rPr>
          <w:rFonts w:cs="Arial"/>
        </w:rPr>
      </w:pPr>
      <w:r w:rsidRPr="00140BF9">
        <w:rPr>
          <w:rFonts w:cs="Arial"/>
        </w:rPr>
        <w:t>Appeals to Supreme Court—time for filing application for leave to appeal</w:t>
      </w:r>
    </w:p>
    <w:p w14:paraId="27748F8B" w14:textId="77777777"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14:paraId="39330A0B" w14:textId="3EC34F16" w:rsidR="000704A4" w:rsidRDefault="000704A4" w:rsidP="00D94935">
      <w:pPr>
        <w:pStyle w:val="AmdtsEntryHd"/>
      </w:pPr>
      <w:r>
        <w:t>Appeals to Supreme Court—application for leave to appeal to be sealed</w:t>
      </w:r>
    </w:p>
    <w:p w14:paraId="01DE361F" w14:textId="46882FB6" w:rsidR="000704A4" w:rsidRPr="000704A4" w:rsidRDefault="000704A4" w:rsidP="000704A4">
      <w:pPr>
        <w:pStyle w:val="AmdtsEntries"/>
      </w:pPr>
      <w:r>
        <w:t>r 5073</w:t>
      </w:r>
      <w:r>
        <w:tab/>
        <w:t xml:space="preserve">am </w:t>
      </w:r>
      <w:hyperlink r:id="rId2213" w:tooltip="Court Procedures Amendment Rules 2023 (No 2)" w:history="1">
        <w:r>
          <w:rPr>
            <w:rStyle w:val="charCitHyperlinkAbbrev"/>
          </w:rPr>
          <w:t>SL2023</w:t>
        </w:r>
        <w:r>
          <w:rPr>
            <w:rStyle w:val="charCitHyperlinkAbbrev"/>
          </w:rPr>
          <w:noBreakHyphen/>
          <w:t>36</w:t>
        </w:r>
      </w:hyperlink>
      <w:r>
        <w:t xml:space="preserve"> r 34</w:t>
      </w:r>
    </w:p>
    <w:p w14:paraId="3DB3884F" w14:textId="255B4356" w:rsidR="00D94935" w:rsidRPr="00140BF9" w:rsidRDefault="00D94935" w:rsidP="00D94935">
      <w:pPr>
        <w:pStyle w:val="AmdtsEntryHd"/>
        <w:rPr>
          <w:rFonts w:cs="Arial"/>
        </w:rPr>
      </w:pPr>
      <w:r w:rsidRPr="00140BF9">
        <w:rPr>
          <w:rFonts w:cs="Arial"/>
        </w:rPr>
        <w:lastRenderedPageBreak/>
        <w:t>Appeals to Supreme Court—serving application for leave to appeal</w:t>
      </w:r>
    </w:p>
    <w:p w14:paraId="2B811D1C" w14:textId="77777777"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14:paraId="13468FEB"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14:paraId="150BEE8F" w14:textId="77777777"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14:paraId="05CBA2AB"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14:paraId="702C2EDE" w14:textId="77777777"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14:paraId="6A0EF60E"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14:paraId="5B025738" w14:textId="77777777"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14:paraId="03D8DAE9" w14:textId="77777777" w:rsidR="00D94935" w:rsidRPr="00140BF9" w:rsidRDefault="00D94935" w:rsidP="00D94935">
      <w:pPr>
        <w:pStyle w:val="AmdtsEntryHd"/>
        <w:rPr>
          <w:rFonts w:cs="Arial"/>
        </w:rPr>
      </w:pPr>
      <w:r w:rsidRPr="00140BF9">
        <w:rPr>
          <w:rFonts w:cs="Arial"/>
        </w:rPr>
        <w:t>Application—div 5.3.3</w:t>
      </w:r>
    </w:p>
    <w:p w14:paraId="3152CEC6" w14:textId="77777777"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14:paraId="50D34943" w14:textId="77777777" w:rsidR="00D94935" w:rsidRPr="00140BF9" w:rsidRDefault="00D94935" w:rsidP="00D94935">
      <w:pPr>
        <w:pStyle w:val="AmdtsEntryHd"/>
        <w:rPr>
          <w:rFonts w:cs="Arial"/>
        </w:rPr>
      </w:pPr>
      <w:r w:rsidRPr="00140BF9">
        <w:rPr>
          <w:rFonts w:cs="Arial"/>
        </w:rPr>
        <w:t>Appeals to Supreme Court—application for leave to appeal out of time</w:t>
      </w:r>
    </w:p>
    <w:p w14:paraId="54AE662E" w14:textId="77777777"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14:paraId="4192E08E" w14:textId="77777777" w:rsidR="00D94935" w:rsidRPr="00140BF9" w:rsidRDefault="00D94935" w:rsidP="00D94935">
      <w:pPr>
        <w:pStyle w:val="AmdtsEntryHd"/>
        <w:rPr>
          <w:rFonts w:cs="Arial"/>
        </w:rPr>
      </w:pPr>
      <w:r w:rsidRPr="00140BF9">
        <w:rPr>
          <w:rFonts w:cs="Arial"/>
        </w:rPr>
        <w:t>Appeals to Supreme Court—filing application for leave to appeal out of time</w:t>
      </w:r>
    </w:p>
    <w:p w14:paraId="3ABD8C5D" w14:textId="77777777"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14:paraId="0D5C0BEF" w14:textId="07905AC5" w:rsidR="000704A4" w:rsidRDefault="000704A4" w:rsidP="000704A4">
      <w:pPr>
        <w:pStyle w:val="AmdtsEntryHd"/>
      </w:pPr>
      <w:r>
        <w:t>Appeals to Supreme Court—application for leave to appeal out of time to be sealed</w:t>
      </w:r>
    </w:p>
    <w:p w14:paraId="1F428F84" w14:textId="6A189182" w:rsidR="000704A4" w:rsidRPr="000704A4" w:rsidRDefault="000704A4" w:rsidP="000704A4">
      <w:pPr>
        <w:pStyle w:val="AmdtsEntries"/>
      </w:pPr>
      <w:r>
        <w:t>r 5084</w:t>
      </w:r>
      <w:r>
        <w:tab/>
        <w:t xml:space="preserve">am </w:t>
      </w:r>
      <w:hyperlink r:id="rId2214" w:tooltip="Court Procedures Amendment Rules 2023 (No 2)" w:history="1">
        <w:r>
          <w:rPr>
            <w:rStyle w:val="charCitHyperlinkAbbrev"/>
          </w:rPr>
          <w:t>SL2023</w:t>
        </w:r>
        <w:r>
          <w:rPr>
            <w:rStyle w:val="charCitHyperlinkAbbrev"/>
          </w:rPr>
          <w:noBreakHyphen/>
          <w:t>36</w:t>
        </w:r>
      </w:hyperlink>
      <w:r>
        <w:t xml:space="preserve"> r 35</w:t>
      </w:r>
    </w:p>
    <w:p w14:paraId="14BEB164" w14:textId="77777777" w:rsidR="00D94935" w:rsidRPr="00140BF9" w:rsidRDefault="00D94935" w:rsidP="00D94935">
      <w:pPr>
        <w:pStyle w:val="AmdtsEntryHd"/>
        <w:rPr>
          <w:rFonts w:cs="Arial"/>
        </w:rPr>
      </w:pPr>
      <w:r w:rsidRPr="00140BF9">
        <w:rPr>
          <w:rFonts w:cs="Arial"/>
        </w:rPr>
        <w:t>Appeals to Supreme Court—serving application for leave to appeal out of time</w:t>
      </w:r>
    </w:p>
    <w:p w14:paraId="72A8087D" w14:textId="77777777"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14:paraId="335AA856"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14:paraId="37F8A7B6" w14:textId="77777777"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14:paraId="5946BAFF"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14:paraId="0980A63A" w14:textId="77777777"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14:paraId="2775AD87" w14:textId="77777777" w:rsidR="00D94935" w:rsidRPr="00140BF9" w:rsidRDefault="00D94935" w:rsidP="00D94935">
      <w:pPr>
        <w:pStyle w:val="AmdtsEntryHd"/>
        <w:rPr>
          <w:rFonts w:cs="Arial"/>
        </w:rPr>
      </w:pPr>
      <w:r w:rsidRPr="00140BF9">
        <w:rPr>
          <w:rFonts w:cs="Arial"/>
        </w:rPr>
        <w:t>Referral of appeal to Supreme Court by ACAT appeal president—leave</w:t>
      </w:r>
    </w:p>
    <w:p w14:paraId="688EDF32" w14:textId="67A55414"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21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C15621F" w14:textId="69E0B82E" w:rsidR="00D94935" w:rsidRPr="00140BF9" w:rsidRDefault="00D94935" w:rsidP="00D94935">
      <w:pPr>
        <w:pStyle w:val="AmdtsEntries"/>
        <w:rPr>
          <w:rFonts w:cs="Arial"/>
        </w:rPr>
      </w:pPr>
      <w:r w:rsidRPr="00140BF9">
        <w:rPr>
          <w:rFonts w:cs="Arial"/>
        </w:rPr>
        <w:tab/>
        <w:t xml:space="preserve">om </w:t>
      </w:r>
      <w:hyperlink r:id="rId221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6B621ABF" w14:textId="77777777" w:rsidR="00D94935" w:rsidRPr="00140BF9" w:rsidRDefault="00D94935" w:rsidP="00D94935">
      <w:pPr>
        <w:pStyle w:val="AmdtsEntryHd"/>
        <w:rPr>
          <w:rFonts w:cs="Arial"/>
        </w:rPr>
      </w:pPr>
      <w:r w:rsidRPr="00140BF9">
        <w:rPr>
          <w:rFonts w:cs="Arial"/>
        </w:rPr>
        <w:t>Application—div 5.3.3A</w:t>
      </w:r>
    </w:p>
    <w:p w14:paraId="2DA90946" w14:textId="33D84DB8"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21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8D58DE2" w14:textId="503E4B3F" w:rsidR="00D94935" w:rsidRPr="00140BF9" w:rsidRDefault="00D94935" w:rsidP="00D94935">
      <w:pPr>
        <w:pStyle w:val="AmdtsEntries"/>
        <w:rPr>
          <w:rFonts w:cs="Arial"/>
        </w:rPr>
      </w:pPr>
      <w:r w:rsidRPr="00140BF9">
        <w:rPr>
          <w:rFonts w:cs="Arial"/>
        </w:rPr>
        <w:tab/>
        <w:t xml:space="preserve">om </w:t>
      </w:r>
      <w:hyperlink r:id="rId221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43B0ED92" w14:textId="77777777" w:rsidR="00D94935" w:rsidRPr="00140BF9" w:rsidRDefault="00D94935" w:rsidP="00D94935">
      <w:pPr>
        <w:pStyle w:val="AmdtsEntryHd"/>
        <w:rPr>
          <w:rFonts w:cs="Arial"/>
        </w:rPr>
      </w:pPr>
      <w:r w:rsidRPr="00140BF9">
        <w:rPr>
          <w:rFonts w:cs="Arial"/>
        </w:rPr>
        <w:t>Referral of appeal—procedure for leave</w:t>
      </w:r>
    </w:p>
    <w:p w14:paraId="7596C50A" w14:textId="371A9880"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21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4120A05" w14:textId="00E45656" w:rsidR="00D94935" w:rsidRPr="00140BF9" w:rsidRDefault="00D94935" w:rsidP="00D94935">
      <w:pPr>
        <w:pStyle w:val="AmdtsEntries"/>
        <w:rPr>
          <w:rFonts w:cs="Arial"/>
        </w:rPr>
      </w:pPr>
      <w:r w:rsidRPr="00140BF9">
        <w:rPr>
          <w:rFonts w:cs="Arial"/>
        </w:rPr>
        <w:tab/>
        <w:t xml:space="preserve">om </w:t>
      </w:r>
      <w:hyperlink r:id="rId222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3171F2F" w14:textId="77777777" w:rsidR="00D94935" w:rsidRPr="00140BF9" w:rsidRDefault="00D94935" w:rsidP="00D94935">
      <w:pPr>
        <w:pStyle w:val="AmdtsEntryHd"/>
        <w:rPr>
          <w:rFonts w:cs="Arial"/>
        </w:rPr>
      </w:pPr>
      <w:r w:rsidRPr="00140BF9">
        <w:rPr>
          <w:rFonts w:cs="Arial"/>
        </w:rPr>
        <w:lastRenderedPageBreak/>
        <w:t>Referral of appeal—notice of intention to respond to application for leave to appeal</w:t>
      </w:r>
    </w:p>
    <w:p w14:paraId="19141EDA" w14:textId="324673F5"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22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3F03D54" w14:textId="1C36BFA6" w:rsidR="00D94935" w:rsidRPr="00140BF9" w:rsidRDefault="00D94935" w:rsidP="00D94935">
      <w:pPr>
        <w:pStyle w:val="AmdtsEntries"/>
        <w:rPr>
          <w:rFonts w:cs="Arial"/>
        </w:rPr>
      </w:pPr>
      <w:r w:rsidRPr="00140BF9">
        <w:rPr>
          <w:rFonts w:cs="Arial"/>
        </w:rPr>
        <w:tab/>
        <w:t xml:space="preserve">om </w:t>
      </w:r>
      <w:hyperlink r:id="rId222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226D98D5" w14:textId="77777777" w:rsidR="00D94935" w:rsidRPr="00140BF9" w:rsidRDefault="00D94935" w:rsidP="00D94935">
      <w:pPr>
        <w:pStyle w:val="AmdtsEntryHd"/>
        <w:rPr>
          <w:rFonts w:cs="Arial"/>
        </w:rPr>
      </w:pPr>
      <w:r w:rsidRPr="00140BF9">
        <w:rPr>
          <w:rFonts w:cs="Arial"/>
        </w:rPr>
        <w:t>Referral of appeal—leave granted</w:t>
      </w:r>
    </w:p>
    <w:p w14:paraId="618CEAA2" w14:textId="2217807F"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22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76123F16" w14:textId="4E968BB3" w:rsidR="00D94935" w:rsidRPr="00140BF9" w:rsidRDefault="00D94935" w:rsidP="00D94935">
      <w:pPr>
        <w:pStyle w:val="AmdtsEntries"/>
        <w:rPr>
          <w:rFonts w:cs="Arial"/>
        </w:rPr>
      </w:pPr>
      <w:r w:rsidRPr="00140BF9">
        <w:rPr>
          <w:rFonts w:cs="Arial"/>
        </w:rPr>
        <w:tab/>
        <w:t xml:space="preserve">om </w:t>
      </w:r>
      <w:hyperlink r:id="rId222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50B20F6" w14:textId="77777777" w:rsidR="00D94935" w:rsidRPr="00140BF9" w:rsidRDefault="00D94935" w:rsidP="00D94935">
      <w:pPr>
        <w:pStyle w:val="AmdtsEntryHd"/>
        <w:rPr>
          <w:rFonts w:cs="Arial"/>
        </w:rPr>
      </w:pPr>
      <w:r w:rsidRPr="00140BF9">
        <w:rPr>
          <w:rFonts w:cs="Arial"/>
        </w:rPr>
        <w:t>Referral of appeal—costs</w:t>
      </w:r>
    </w:p>
    <w:p w14:paraId="06FC3B7D" w14:textId="6ACC2B7D"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22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1582CDC7" w14:textId="557761F6" w:rsidR="00D94935" w:rsidRPr="00140BF9" w:rsidRDefault="00D94935" w:rsidP="00D94935">
      <w:pPr>
        <w:pStyle w:val="AmdtsEntries"/>
        <w:rPr>
          <w:rFonts w:cs="Arial"/>
        </w:rPr>
      </w:pPr>
      <w:r w:rsidRPr="00140BF9">
        <w:rPr>
          <w:rFonts w:cs="Arial"/>
        </w:rPr>
        <w:tab/>
        <w:t xml:space="preserve">om </w:t>
      </w:r>
      <w:hyperlink r:id="rId222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561D1AF1" w14:textId="77777777" w:rsidR="00D94935" w:rsidRPr="00140BF9" w:rsidRDefault="00D94935" w:rsidP="00D94935">
      <w:pPr>
        <w:pStyle w:val="AmdtsEntryHd"/>
        <w:rPr>
          <w:rFonts w:cs="Arial"/>
        </w:rPr>
      </w:pPr>
      <w:r w:rsidRPr="00140BF9">
        <w:rPr>
          <w:rFonts w:cs="Arial"/>
        </w:rPr>
        <w:t>Appeals to Supreme Court—starting appeal</w:t>
      </w:r>
    </w:p>
    <w:p w14:paraId="359F6C9D" w14:textId="77777777"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14:paraId="40168D70" w14:textId="77777777" w:rsidR="00D94935" w:rsidRPr="00140BF9" w:rsidRDefault="00D94935" w:rsidP="00D94935">
      <w:pPr>
        <w:pStyle w:val="AmdtsEntryHd"/>
        <w:rPr>
          <w:rFonts w:cs="Arial"/>
        </w:rPr>
      </w:pPr>
      <w:r w:rsidRPr="00140BF9">
        <w:rPr>
          <w:rFonts w:cs="Arial"/>
        </w:rPr>
        <w:t>Appeals to Supreme Court—requirements for notice of appeal etc</w:t>
      </w:r>
    </w:p>
    <w:p w14:paraId="3C3CE9B0" w14:textId="77777777"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14:paraId="07DDE347" w14:textId="608904F7"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22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r w:rsidR="000704A4">
        <w:rPr>
          <w:rFonts w:cs="Arial"/>
        </w:rPr>
        <w:t xml:space="preserve">; </w:t>
      </w:r>
      <w:hyperlink r:id="rId2228" w:tooltip="Court Procedures Amendment Rules 2023 (No 2)" w:history="1">
        <w:r w:rsidR="000704A4">
          <w:rPr>
            <w:rStyle w:val="charCitHyperlinkAbbrev"/>
          </w:rPr>
          <w:t>SL2023</w:t>
        </w:r>
        <w:r w:rsidR="000704A4">
          <w:rPr>
            <w:rStyle w:val="charCitHyperlinkAbbrev"/>
          </w:rPr>
          <w:noBreakHyphen/>
          <w:t>36</w:t>
        </w:r>
      </w:hyperlink>
      <w:r w:rsidR="000704A4">
        <w:rPr>
          <w:rFonts w:cs="Arial"/>
        </w:rPr>
        <w:t xml:space="preserve"> r 36</w:t>
      </w:r>
    </w:p>
    <w:p w14:paraId="6664C234" w14:textId="77777777" w:rsidR="00D94935" w:rsidRPr="00140BF9" w:rsidRDefault="00D94935" w:rsidP="00D94935">
      <w:pPr>
        <w:pStyle w:val="AmdtsEntryHd"/>
        <w:rPr>
          <w:rFonts w:cs="Arial"/>
        </w:rPr>
      </w:pPr>
      <w:r w:rsidRPr="00140BF9">
        <w:rPr>
          <w:rFonts w:cs="Arial"/>
        </w:rPr>
        <w:t>Appeals to Supreme Court—parties to appeal</w:t>
      </w:r>
    </w:p>
    <w:p w14:paraId="427B338F" w14:textId="77777777"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14:paraId="0B75D9A8" w14:textId="55AC9C25"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22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14:paraId="432BBA4D" w14:textId="77777777" w:rsidR="00D94935" w:rsidRPr="00140BF9" w:rsidRDefault="00D94935" w:rsidP="00D94935">
      <w:pPr>
        <w:pStyle w:val="AmdtsEntryHd"/>
        <w:rPr>
          <w:rFonts w:cs="Arial"/>
        </w:rPr>
      </w:pPr>
      <w:r w:rsidRPr="00140BF9">
        <w:rPr>
          <w:rFonts w:cs="Arial"/>
        </w:rPr>
        <w:t>Appeals to Supreme Court—time for filing notice of appeal</w:t>
      </w:r>
    </w:p>
    <w:p w14:paraId="7F97059E" w14:textId="77777777"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14:paraId="2DC4CCAE" w14:textId="377D51BB" w:rsidR="000704A4" w:rsidRDefault="000704A4" w:rsidP="000704A4">
      <w:pPr>
        <w:pStyle w:val="AmdtsEntryHd"/>
      </w:pPr>
      <w:r>
        <w:t>Appeals to Supreme Court—notice of appeal to be sealed</w:t>
      </w:r>
    </w:p>
    <w:p w14:paraId="71ECF245" w14:textId="46090B36" w:rsidR="000704A4" w:rsidRPr="000704A4" w:rsidRDefault="000704A4" w:rsidP="000704A4">
      <w:pPr>
        <w:pStyle w:val="AmdtsEntries"/>
      </w:pPr>
      <w:r>
        <w:t>r 5104</w:t>
      </w:r>
      <w:r>
        <w:tab/>
        <w:t xml:space="preserve">am </w:t>
      </w:r>
      <w:hyperlink r:id="rId2230" w:tooltip="Court Procedures Amendment Rules 2023 (No 2)" w:history="1">
        <w:r>
          <w:rPr>
            <w:rStyle w:val="charCitHyperlinkAbbrev"/>
          </w:rPr>
          <w:t>SL2023</w:t>
        </w:r>
        <w:r>
          <w:rPr>
            <w:rStyle w:val="charCitHyperlinkAbbrev"/>
          </w:rPr>
          <w:noBreakHyphen/>
          <w:t>36</w:t>
        </w:r>
      </w:hyperlink>
      <w:r>
        <w:t xml:space="preserve"> r 37</w:t>
      </w:r>
    </w:p>
    <w:p w14:paraId="5FBF82F2" w14:textId="77777777" w:rsidR="00D94935" w:rsidRPr="00140BF9" w:rsidRDefault="00D94935" w:rsidP="00D94935">
      <w:pPr>
        <w:pStyle w:val="AmdtsEntryHd"/>
        <w:rPr>
          <w:rFonts w:cs="Arial"/>
        </w:rPr>
      </w:pPr>
      <w:r w:rsidRPr="00140BF9">
        <w:rPr>
          <w:rFonts w:cs="Arial"/>
        </w:rPr>
        <w:t>Appeals to Supreme Court—numbering etc of appeals</w:t>
      </w:r>
    </w:p>
    <w:p w14:paraId="510F6431" w14:textId="77777777" w:rsidR="00D94935" w:rsidRDefault="00D94935" w:rsidP="00D94935">
      <w:pPr>
        <w:pStyle w:val="AmdtsEntries"/>
        <w:rPr>
          <w:rFonts w:eastAsiaTheme="minorEastAsia" w:cs="Arial"/>
          <w:szCs w:val="22"/>
          <w:lang w:eastAsia="en-AU"/>
        </w:rPr>
      </w:pPr>
      <w:r w:rsidRPr="00140BF9">
        <w:rPr>
          <w:rFonts w:cs="Arial"/>
        </w:rPr>
        <w:t>r 5105 hdg</w:t>
      </w:r>
      <w:r w:rsidRPr="00140BF9">
        <w:rPr>
          <w:rFonts w:eastAsiaTheme="minorEastAsia" w:cs="Arial"/>
          <w:szCs w:val="22"/>
          <w:lang w:eastAsia="en-AU"/>
        </w:rPr>
        <w:tab/>
        <w:t>bracketed note om R29 LA</w:t>
      </w:r>
    </w:p>
    <w:p w14:paraId="75BE47E2" w14:textId="6EF49070" w:rsidR="001F0877" w:rsidRPr="00140BF9" w:rsidRDefault="001F0877" w:rsidP="00D94935">
      <w:pPr>
        <w:pStyle w:val="AmdtsEntries"/>
        <w:rPr>
          <w:rFonts w:cs="Arial"/>
        </w:rPr>
      </w:pPr>
      <w:r>
        <w:rPr>
          <w:rFonts w:eastAsiaTheme="minorEastAsia" w:cs="Arial"/>
          <w:szCs w:val="22"/>
          <w:lang w:eastAsia="en-AU"/>
        </w:rPr>
        <w:t>r 5105</w:t>
      </w:r>
      <w:r>
        <w:rPr>
          <w:rFonts w:eastAsiaTheme="minorEastAsia" w:cs="Arial"/>
          <w:szCs w:val="22"/>
          <w:lang w:eastAsia="en-AU"/>
        </w:rPr>
        <w:tab/>
      </w:r>
      <w:r>
        <w:t xml:space="preserve">am </w:t>
      </w:r>
      <w:hyperlink r:id="rId2231" w:tooltip="Court Procedures Amendment Rules 2023 (No 2)" w:history="1">
        <w:r>
          <w:rPr>
            <w:rStyle w:val="charCitHyperlinkAbbrev"/>
          </w:rPr>
          <w:t>SL2023</w:t>
        </w:r>
        <w:r>
          <w:rPr>
            <w:rStyle w:val="charCitHyperlinkAbbrev"/>
          </w:rPr>
          <w:noBreakHyphen/>
          <w:t>36</w:t>
        </w:r>
      </w:hyperlink>
      <w:r>
        <w:t xml:space="preserve"> r 38</w:t>
      </w:r>
    </w:p>
    <w:p w14:paraId="56838351" w14:textId="77777777" w:rsidR="00D94935" w:rsidRPr="00140BF9" w:rsidRDefault="00D94935" w:rsidP="00D94935">
      <w:pPr>
        <w:pStyle w:val="AmdtsEntryHd"/>
        <w:rPr>
          <w:rFonts w:cs="Arial"/>
        </w:rPr>
      </w:pPr>
      <w:r w:rsidRPr="00140BF9">
        <w:rPr>
          <w:rFonts w:cs="Arial"/>
        </w:rPr>
        <w:t>Appeals to Supreme Court—date for settlement of appeal papers</w:t>
      </w:r>
    </w:p>
    <w:p w14:paraId="0E519A43" w14:textId="77777777"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14:paraId="6B97BC07" w14:textId="77777777" w:rsidR="00D94935" w:rsidRPr="00140BF9" w:rsidRDefault="00D94935" w:rsidP="00D94935">
      <w:pPr>
        <w:pStyle w:val="AmdtsEntryHd"/>
        <w:rPr>
          <w:rFonts w:cs="Arial"/>
        </w:rPr>
      </w:pPr>
      <w:r w:rsidRPr="00140BF9">
        <w:rPr>
          <w:rFonts w:cs="Arial"/>
        </w:rPr>
        <w:t>Appeals to Supreme Court—serving notice of appeal</w:t>
      </w:r>
    </w:p>
    <w:p w14:paraId="37154185" w14:textId="77777777"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14:paraId="457F5139" w14:textId="77777777" w:rsidR="00D94935" w:rsidRPr="00140BF9" w:rsidRDefault="00D94935" w:rsidP="00D94935">
      <w:pPr>
        <w:pStyle w:val="AmdtsEntryHd"/>
        <w:rPr>
          <w:rFonts w:cs="Arial"/>
        </w:rPr>
      </w:pPr>
      <w:r w:rsidRPr="00140BF9">
        <w:rPr>
          <w:rFonts w:cs="Arial"/>
        </w:rPr>
        <w:t>Appeals to Supreme Court—notice of intention to respond</w:t>
      </w:r>
    </w:p>
    <w:p w14:paraId="405BE39B" w14:textId="77777777"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14:paraId="20377A5E" w14:textId="7AC9AE3C"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23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14:paraId="0B5E1F73" w14:textId="77777777"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14:paraId="34E93434" w14:textId="77777777"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14:paraId="718475EC" w14:textId="77777777" w:rsidR="00D94935" w:rsidRPr="00140BF9" w:rsidRDefault="00D94935" w:rsidP="00D94935">
      <w:pPr>
        <w:pStyle w:val="AmdtsEntryHd"/>
        <w:rPr>
          <w:rFonts w:cs="Arial"/>
        </w:rPr>
      </w:pPr>
      <w:r w:rsidRPr="00140BF9">
        <w:rPr>
          <w:rFonts w:cs="Arial"/>
        </w:rPr>
        <w:t>Appeals to Supreme Court—documents</w:t>
      </w:r>
    </w:p>
    <w:p w14:paraId="01ACC012" w14:textId="77777777"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14:paraId="5B512437" w14:textId="51E77FDA"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2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14:paraId="52E73C3B" w14:textId="77777777" w:rsidR="00D94935" w:rsidRPr="00140BF9" w:rsidRDefault="00D94935" w:rsidP="00D94935">
      <w:pPr>
        <w:pStyle w:val="AmdtsEntryHd"/>
        <w:rPr>
          <w:rFonts w:cs="Arial"/>
        </w:rPr>
      </w:pPr>
      <w:r w:rsidRPr="00140BF9">
        <w:rPr>
          <w:rFonts w:cs="Arial"/>
        </w:rPr>
        <w:lastRenderedPageBreak/>
        <w:t>Appeals to Supreme Court—amending notice of appeal</w:t>
      </w:r>
    </w:p>
    <w:p w14:paraId="0BFE83A5" w14:textId="77777777"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14:paraId="3E0D0D1C" w14:textId="77777777" w:rsidR="00D94935" w:rsidRPr="00140BF9" w:rsidRDefault="00D94935" w:rsidP="00D94935">
      <w:pPr>
        <w:pStyle w:val="AmdtsEntryHd"/>
        <w:rPr>
          <w:rFonts w:cs="Arial"/>
        </w:rPr>
      </w:pPr>
      <w:r w:rsidRPr="00140BF9">
        <w:rPr>
          <w:rFonts w:cs="Arial"/>
        </w:rPr>
        <w:t>Appeals to Supreme Court—cross-appeal</w:t>
      </w:r>
    </w:p>
    <w:p w14:paraId="15BCBF8B" w14:textId="77777777"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14:paraId="050CFF35" w14:textId="77777777" w:rsidR="00D94935" w:rsidRPr="00140BF9" w:rsidRDefault="00D94935" w:rsidP="00D94935">
      <w:pPr>
        <w:pStyle w:val="AmdtsEntryHd"/>
        <w:rPr>
          <w:rFonts w:cs="Arial"/>
        </w:rPr>
      </w:pPr>
      <w:r w:rsidRPr="00140BF9">
        <w:rPr>
          <w:rFonts w:cs="Arial"/>
        </w:rPr>
        <w:t>Appeals to Supreme Court—application of certain rules to cross-appeals</w:t>
      </w:r>
    </w:p>
    <w:p w14:paraId="5EA74136" w14:textId="77777777"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14:paraId="517D8DDB" w14:textId="77777777" w:rsidR="00D94935" w:rsidRPr="00140BF9" w:rsidRDefault="00D94935" w:rsidP="00D94935">
      <w:pPr>
        <w:pStyle w:val="AmdtsEntryHd"/>
        <w:rPr>
          <w:rFonts w:cs="Arial"/>
        </w:rPr>
      </w:pPr>
      <w:r w:rsidRPr="00140BF9">
        <w:rPr>
          <w:rFonts w:cs="Arial"/>
        </w:rPr>
        <w:t>Appeals to Supreme Court—effect of failure to give notice of cross-appeal</w:t>
      </w:r>
    </w:p>
    <w:p w14:paraId="58B7F136" w14:textId="77777777"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14:paraId="23AD789D" w14:textId="77777777" w:rsidR="00D94935" w:rsidRPr="00140BF9" w:rsidRDefault="00D94935" w:rsidP="00D94935">
      <w:pPr>
        <w:pStyle w:val="AmdtsEntryHd"/>
        <w:rPr>
          <w:rFonts w:cs="Arial"/>
        </w:rPr>
      </w:pPr>
      <w:r w:rsidRPr="00140BF9">
        <w:rPr>
          <w:rFonts w:cs="Arial"/>
        </w:rPr>
        <w:t>Appeals to Supreme Court—notice of contention</w:t>
      </w:r>
    </w:p>
    <w:p w14:paraId="50F8EA43" w14:textId="4A0CEDBA" w:rsidR="00D94935" w:rsidRDefault="00D94935" w:rsidP="00D94935">
      <w:pPr>
        <w:pStyle w:val="AmdtsEntries"/>
        <w:rPr>
          <w:rFonts w:eastAsiaTheme="minorEastAsia" w:cs="Arial"/>
          <w:szCs w:val="22"/>
          <w:lang w:eastAsia="en-AU"/>
        </w:rPr>
      </w:pPr>
      <w:r w:rsidRPr="00140BF9">
        <w:rPr>
          <w:rFonts w:cs="Arial"/>
        </w:rPr>
        <w:t>r 5115 hdg</w:t>
      </w:r>
      <w:r w:rsidRPr="00140BF9">
        <w:rPr>
          <w:rFonts w:eastAsiaTheme="minorEastAsia" w:cs="Arial"/>
          <w:szCs w:val="22"/>
          <w:lang w:eastAsia="en-AU"/>
        </w:rPr>
        <w:tab/>
        <w:t>bracketed note om R29 LA</w:t>
      </w:r>
    </w:p>
    <w:p w14:paraId="6D08D75A" w14:textId="365F417C" w:rsidR="006175F4" w:rsidRPr="00140BF9" w:rsidRDefault="006175F4" w:rsidP="00D94935">
      <w:pPr>
        <w:pStyle w:val="AmdtsEntries"/>
        <w:rPr>
          <w:rFonts w:cs="Arial"/>
        </w:rPr>
      </w:pPr>
      <w:r>
        <w:rPr>
          <w:rFonts w:eastAsiaTheme="minorEastAsia" w:cs="Arial"/>
          <w:szCs w:val="22"/>
          <w:lang w:eastAsia="en-AU"/>
        </w:rPr>
        <w:t>r 5115</w:t>
      </w:r>
      <w:r>
        <w:rPr>
          <w:rFonts w:eastAsiaTheme="minorEastAsia" w:cs="Arial"/>
          <w:szCs w:val="22"/>
          <w:lang w:eastAsia="en-AU"/>
        </w:rPr>
        <w:tab/>
        <w:t xml:space="preserve">am </w:t>
      </w:r>
      <w:hyperlink r:id="rId2234"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8; </w:t>
      </w:r>
      <w:r w:rsidR="00854445">
        <w:rPr>
          <w:rFonts w:eastAsiaTheme="minorEastAsia" w:cs="Arial"/>
          <w:szCs w:val="22"/>
          <w:lang w:eastAsia="en-AU"/>
        </w:rPr>
        <w:t>rr</w:t>
      </w:r>
      <w:r>
        <w:rPr>
          <w:rFonts w:eastAsiaTheme="minorEastAsia" w:cs="Arial"/>
          <w:szCs w:val="22"/>
          <w:lang w:eastAsia="en-AU"/>
        </w:rPr>
        <w:t xml:space="preserve"> renum R61 LA</w:t>
      </w:r>
    </w:p>
    <w:p w14:paraId="783FF443" w14:textId="77777777" w:rsidR="00D94935" w:rsidRPr="00140BF9" w:rsidRDefault="00D94935" w:rsidP="00D94935">
      <w:pPr>
        <w:pStyle w:val="AmdtsEntryHd"/>
        <w:rPr>
          <w:rFonts w:cs="Arial"/>
        </w:rPr>
      </w:pPr>
      <w:r w:rsidRPr="00140BF9">
        <w:rPr>
          <w:rFonts w:cs="Arial"/>
        </w:rPr>
        <w:t>Appeals to Supreme Court—draft index of appeal papers</w:t>
      </w:r>
    </w:p>
    <w:p w14:paraId="488AAC12" w14:textId="77777777"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14:paraId="0AF80097" w14:textId="77777777" w:rsidR="00D94935" w:rsidRPr="00140BF9" w:rsidRDefault="00D94935" w:rsidP="00D94935">
      <w:pPr>
        <w:pStyle w:val="AmdtsEntryHd"/>
        <w:rPr>
          <w:rFonts w:cs="Arial"/>
        </w:rPr>
      </w:pPr>
      <w:r w:rsidRPr="00140BF9">
        <w:rPr>
          <w:rFonts w:cs="Arial"/>
        </w:rPr>
        <w:t>Appeals to Supreme Court—settlement of appeal papers</w:t>
      </w:r>
    </w:p>
    <w:p w14:paraId="673B505C" w14:textId="77777777"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14:paraId="6986B967" w14:textId="77777777" w:rsidR="00D94935" w:rsidRPr="00140BF9" w:rsidRDefault="00D94935" w:rsidP="00D94935">
      <w:pPr>
        <w:pStyle w:val="AmdtsEntryHd"/>
        <w:rPr>
          <w:rFonts w:cs="Arial"/>
        </w:rPr>
      </w:pPr>
      <w:r w:rsidRPr="00140BF9">
        <w:rPr>
          <w:rFonts w:cs="Arial"/>
        </w:rPr>
        <w:t>Appeals to Supreme Court—content of appeal papers</w:t>
      </w:r>
    </w:p>
    <w:p w14:paraId="70839868" w14:textId="77777777"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14:paraId="037AAE85" w14:textId="77777777" w:rsidR="00D94935" w:rsidRPr="00140BF9" w:rsidRDefault="00D94935" w:rsidP="00D94935">
      <w:pPr>
        <w:pStyle w:val="AmdtsEntryHd"/>
        <w:rPr>
          <w:rFonts w:cs="Arial"/>
        </w:rPr>
      </w:pPr>
      <w:r w:rsidRPr="00140BF9">
        <w:rPr>
          <w:rFonts w:cs="Arial"/>
        </w:rPr>
        <w:t>Appeals to Supreme Court—presentation of appeal papers</w:t>
      </w:r>
    </w:p>
    <w:p w14:paraId="1485C49D" w14:textId="77777777"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14:paraId="7F12B457" w14:textId="1FC0D727" w:rsidR="00494C77" w:rsidRPr="00140BF9" w:rsidRDefault="00494C77" w:rsidP="00494C77">
      <w:pPr>
        <w:pStyle w:val="AmdtsEntries"/>
        <w:rPr>
          <w:rFonts w:cs="Arial"/>
        </w:rPr>
      </w:pPr>
      <w:r>
        <w:rPr>
          <w:rFonts w:eastAsiaTheme="minorEastAsia" w:cs="Arial"/>
          <w:szCs w:val="22"/>
          <w:lang w:eastAsia="en-AU"/>
        </w:rPr>
        <w:t>r 5133</w:t>
      </w:r>
      <w:r>
        <w:rPr>
          <w:rFonts w:eastAsiaTheme="minorEastAsia" w:cs="Arial"/>
          <w:szCs w:val="22"/>
          <w:lang w:eastAsia="en-AU"/>
        </w:rPr>
        <w:tab/>
      </w:r>
      <w:r>
        <w:t xml:space="preserve">am </w:t>
      </w:r>
      <w:hyperlink r:id="rId2235" w:tooltip="Court Procedures Amendment Rules 2023 (No 2)" w:history="1">
        <w:r>
          <w:rPr>
            <w:rStyle w:val="charCitHyperlinkAbbrev"/>
          </w:rPr>
          <w:t>SL2023</w:t>
        </w:r>
        <w:r>
          <w:rPr>
            <w:rStyle w:val="charCitHyperlinkAbbrev"/>
          </w:rPr>
          <w:noBreakHyphen/>
          <w:t>36</w:t>
        </w:r>
      </w:hyperlink>
      <w:r>
        <w:t xml:space="preserve"> r 39</w:t>
      </w:r>
    </w:p>
    <w:p w14:paraId="6AD47986" w14:textId="77777777" w:rsidR="00D94935" w:rsidRPr="00140BF9" w:rsidRDefault="00D94935" w:rsidP="00D94935">
      <w:pPr>
        <w:pStyle w:val="AmdtsEntryHd"/>
        <w:rPr>
          <w:rFonts w:cs="Arial"/>
        </w:rPr>
      </w:pPr>
      <w:r w:rsidRPr="00140BF9">
        <w:rPr>
          <w:rFonts w:cs="Arial"/>
        </w:rPr>
        <w:t>Appeals to Supreme Court—filing and serving appeal papers</w:t>
      </w:r>
    </w:p>
    <w:p w14:paraId="7446F63F" w14:textId="77777777"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14:paraId="6161D6BB" w14:textId="77777777" w:rsidR="00D94935" w:rsidRPr="00140BF9" w:rsidRDefault="00D94935" w:rsidP="00D94935">
      <w:pPr>
        <w:pStyle w:val="AmdtsEntryHd"/>
        <w:rPr>
          <w:rFonts w:cs="Arial"/>
        </w:rPr>
      </w:pPr>
      <w:r w:rsidRPr="00140BF9">
        <w:rPr>
          <w:rFonts w:cs="Arial"/>
        </w:rPr>
        <w:t>Appeals to Supreme Court—setting appeal for hearing</w:t>
      </w:r>
    </w:p>
    <w:p w14:paraId="0177A9EA" w14:textId="77777777"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14:paraId="66BE31A6" w14:textId="77777777" w:rsidR="00D94935" w:rsidRPr="00140BF9" w:rsidRDefault="00D94935" w:rsidP="00D94935">
      <w:pPr>
        <w:pStyle w:val="AmdtsEntryHd"/>
        <w:rPr>
          <w:rFonts w:cs="Arial"/>
        </w:rPr>
      </w:pPr>
      <w:r w:rsidRPr="00140BF9">
        <w:rPr>
          <w:rFonts w:cs="Arial"/>
        </w:rPr>
        <w:t>Appeals to Supreme Court—changing appeal hearing date</w:t>
      </w:r>
    </w:p>
    <w:p w14:paraId="29839DA0" w14:textId="77777777"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14:paraId="3942CCC8" w14:textId="77777777" w:rsidR="00D94935" w:rsidRPr="00140BF9" w:rsidRDefault="00D94935" w:rsidP="00D94935">
      <w:pPr>
        <w:pStyle w:val="AmdtsEntryHd"/>
        <w:rPr>
          <w:rFonts w:cs="Arial"/>
        </w:rPr>
      </w:pPr>
      <w:r w:rsidRPr="00140BF9">
        <w:rPr>
          <w:rFonts w:cs="Arial"/>
        </w:rPr>
        <w:t>Appeals to Supreme Court—written summary and list for appeal hearing</w:t>
      </w:r>
    </w:p>
    <w:p w14:paraId="52B6DD56" w14:textId="5B35D3B2" w:rsidR="00D94935" w:rsidRDefault="00D94935" w:rsidP="00D94935">
      <w:pPr>
        <w:pStyle w:val="AmdtsEntries"/>
        <w:rPr>
          <w:rFonts w:eastAsiaTheme="minorEastAsia" w:cs="Arial"/>
          <w:szCs w:val="22"/>
          <w:lang w:eastAsia="en-AU"/>
        </w:rPr>
      </w:pPr>
      <w:r w:rsidRPr="00140BF9">
        <w:rPr>
          <w:rFonts w:cs="Arial"/>
        </w:rPr>
        <w:t>r 5137 hdg</w:t>
      </w:r>
      <w:r w:rsidRPr="00140BF9">
        <w:rPr>
          <w:rFonts w:eastAsiaTheme="minorEastAsia" w:cs="Arial"/>
          <w:szCs w:val="22"/>
          <w:lang w:eastAsia="en-AU"/>
        </w:rPr>
        <w:tab/>
        <w:t>bracketed note om R29 LA</w:t>
      </w:r>
    </w:p>
    <w:p w14:paraId="3B07427C" w14:textId="690C4993" w:rsidR="00DB365E" w:rsidRPr="00140BF9" w:rsidRDefault="00DB365E" w:rsidP="00D94935">
      <w:pPr>
        <w:pStyle w:val="AmdtsEntries"/>
        <w:rPr>
          <w:rFonts w:cs="Arial"/>
        </w:rPr>
      </w:pPr>
      <w:r>
        <w:rPr>
          <w:rFonts w:eastAsiaTheme="minorEastAsia" w:cs="Arial"/>
          <w:szCs w:val="22"/>
          <w:lang w:eastAsia="en-AU"/>
        </w:rPr>
        <w:t>r 5137</w:t>
      </w:r>
      <w:r>
        <w:rPr>
          <w:rFonts w:eastAsiaTheme="minorEastAsia" w:cs="Arial"/>
          <w:szCs w:val="22"/>
          <w:lang w:eastAsia="en-AU"/>
        </w:rPr>
        <w:tab/>
        <w:t xml:space="preserve">am </w:t>
      </w:r>
      <w:hyperlink r:id="rId2236" w:tooltip="Court Procedures Amendment Rules 2020 (No 5)" w:history="1">
        <w:r w:rsidR="009437A5">
          <w:rPr>
            <w:rStyle w:val="charCitHyperlinkAbbrev"/>
          </w:rPr>
          <w:t>SL2020</w:t>
        </w:r>
        <w:r w:rsidR="009437A5">
          <w:rPr>
            <w:rStyle w:val="charCitHyperlinkAbbrev"/>
          </w:rPr>
          <w:noBreakHyphen/>
          <w:t>45</w:t>
        </w:r>
      </w:hyperlink>
      <w:r>
        <w:rPr>
          <w:rFonts w:eastAsiaTheme="minorEastAsia" w:cs="Arial"/>
          <w:szCs w:val="22"/>
          <w:lang w:eastAsia="en-AU"/>
        </w:rPr>
        <w:t xml:space="preserve"> r</w:t>
      </w:r>
      <w:r w:rsidR="009437A5">
        <w:rPr>
          <w:rFonts w:eastAsiaTheme="minorEastAsia" w:cs="Arial"/>
          <w:szCs w:val="22"/>
          <w:lang w:eastAsia="en-AU"/>
        </w:rPr>
        <w:t>r</w:t>
      </w:r>
      <w:r>
        <w:rPr>
          <w:rFonts w:eastAsiaTheme="minorEastAsia" w:cs="Arial"/>
          <w:szCs w:val="22"/>
          <w:lang w:eastAsia="en-AU"/>
        </w:rPr>
        <w:t xml:space="preserve"> </w:t>
      </w:r>
      <w:r w:rsidR="009437A5">
        <w:rPr>
          <w:rFonts w:eastAsiaTheme="minorEastAsia" w:cs="Arial"/>
          <w:szCs w:val="22"/>
          <w:lang w:eastAsia="en-AU"/>
        </w:rPr>
        <w:t>9-</w:t>
      </w:r>
      <w:r>
        <w:rPr>
          <w:rFonts w:eastAsiaTheme="minorEastAsia" w:cs="Arial"/>
          <w:szCs w:val="22"/>
          <w:lang w:eastAsia="en-AU"/>
        </w:rPr>
        <w:t>11</w:t>
      </w:r>
    </w:p>
    <w:p w14:paraId="4C560D6C" w14:textId="77777777" w:rsidR="00D94935" w:rsidRPr="00140BF9" w:rsidRDefault="00D94935" w:rsidP="00D94935">
      <w:pPr>
        <w:pStyle w:val="AmdtsEntryHd"/>
        <w:rPr>
          <w:rFonts w:cs="Arial"/>
        </w:rPr>
      </w:pPr>
      <w:r w:rsidRPr="00140BF9">
        <w:rPr>
          <w:rFonts w:cs="Arial"/>
        </w:rPr>
        <w:t>Appeals to Supreme Court—summaries of arguments</w:t>
      </w:r>
    </w:p>
    <w:p w14:paraId="1C4DD8A1" w14:textId="77777777"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14:paraId="717C5DA5" w14:textId="77777777" w:rsidR="00D94935" w:rsidRPr="00140BF9" w:rsidRDefault="00D94935" w:rsidP="00D94935">
      <w:pPr>
        <w:pStyle w:val="AmdtsEntryHd"/>
        <w:rPr>
          <w:rFonts w:cs="Arial"/>
        </w:rPr>
      </w:pPr>
      <w:r w:rsidRPr="00140BF9">
        <w:rPr>
          <w:rFonts w:cs="Arial"/>
        </w:rPr>
        <w:t>Appeals to Supreme Court—list of authorities, legislation and texts</w:t>
      </w:r>
    </w:p>
    <w:p w14:paraId="4B2175E2" w14:textId="77777777"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14:paraId="5DB42B27" w14:textId="77777777" w:rsidR="00D94935" w:rsidRPr="00140BF9" w:rsidRDefault="00D94935" w:rsidP="00D94935">
      <w:pPr>
        <w:pStyle w:val="AmdtsEntryHd"/>
        <w:rPr>
          <w:rFonts w:cs="Arial"/>
        </w:rPr>
      </w:pPr>
      <w:r w:rsidRPr="00140BF9">
        <w:rPr>
          <w:rFonts w:cs="Arial"/>
        </w:rPr>
        <w:t>Appeals to Supreme Court—absence of party</w:t>
      </w:r>
    </w:p>
    <w:p w14:paraId="63E85F04" w14:textId="77777777"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14:paraId="64921336" w14:textId="2B893DF8"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237" w:tooltip="Court Procedures Amendment Rules 2013 (No 1)" w:history="1">
        <w:r w:rsidRPr="00140BF9">
          <w:rPr>
            <w:rStyle w:val="charCitHyperlinkAbbrev"/>
            <w:rFonts w:cs="Arial"/>
          </w:rPr>
          <w:t>SL2013-18</w:t>
        </w:r>
      </w:hyperlink>
      <w:r w:rsidRPr="00140BF9">
        <w:rPr>
          <w:rFonts w:cs="Arial"/>
        </w:rPr>
        <w:t xml:space="preserve"> r 20</w:t>
      </w:r>
    </w:p>
    <w:p w14:paraId="52F7FAFF" w14:textId="77777777" w:rsidR="00D94935" w:rsidRPr="00140BF9" w:rsidRDefault="00D94935" w:rsidP="00D94935">
      <w:pPr>
        <w:pStyle w:val="AmdtsEntryHd"/>
        <w:rPr>
          <w:rFonts w:cs="Arial"/>
        </w:rPr>
      </w:pPr>
      <w:r w:rsidRPr="00140BF9">
        <w:rPr>
          <w:rFonts w:cs="Arial"/>
        </w:rPr>
        <w:t>Appeals to Supreme Court—insufficient material</w:t>
      </w:r>
    </w:p>
    <w:p w14:paraId="0E64F68F" w14:textId="77777777"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14:paraId="52539155" w14:textId="77777777" w:rsidR="00D94935" w:rsidRPr="00140BF9" w:rsidRDefault="00D94935" w:rsidP="00D94935">
      <w:pPr>
        <w:pStyle w:val="AmdtsEntryHd"/>
        <w:rPr>
          <w:rFonts w:cs="Arial"/>
        </w:rPr>
      </w:pPr>
      <w:r w:rsidRPr="00140BF9">
        <w:rPr>
          <w:rFonts w:cs="Arial"/>
        </w:rPr>
        <w:lastRenderedPageBreak/>
        <w:t>Appeals to Supreme Court—abandonment of ground of appeal</w:t>
      </w:r>
    </w:p>
    <w:p w14:paraId="6AFB4B5C" w14:textId="77777777"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14:paraId="4586EE53" w14:textId="77777777" w:rsidR="00D94935" w:rsidRPr="00140BF9" w:rsidRDefault="00D94935" w:rsidP="00A47A62">
      <w:pPr>
        <w:pStyle w:val="AmdtsEntryHd"/>
        <w:rPr>
          <w:rFonts w:cs="Arial"/>
        </w:rPr>
      </w:pPr>
      <w:r w:rsidRPr="00140BF9">
        <w:rPr>
          <w:rFonts w:cs="Arial"/>
        </w:rPr>
        <w:t>Appeals to Supreme Court—discontinuance of appeal</w:t>
      </w:r>
    </w:p>
    <w:p w14:paraId="6471C130" w14:textId="77777777" w:rsidR="00D94935" w:rsidRPr="00140BF9" w:rsidRDefault="00D94935" w:rsidP="00A47A62">
      <w:pPr>
        <w:pStyle w:val="AmdtsEntries"/>
        <w:keepNext/>
        <w:rPr>
          <w:rFonts w:cs="Arial"/>
        </w:rPr>
      </w:pPr>
      <w:r w:rsidRPr="00140BF9">
        <w:rPr>
          <w:rFonts w:cs="Arial"/>
        </w:rPr>
        <w:t>r 5171 hdg</w:t>
      </w:r>
      <w:r w:rsidRPr="00140BF9">
        <w:rPr>
          <w:rFonts w:eastAsiaTheme="minorEastAsia" w:cs="Arial"/>
          <w:szCs w:val="22"/>
          <w:lang w:eastAsia="en-AU"/>
        </w:rPr>
        <w:tab/>
        <w:t>bracketed note om R29 LA</w:t>
      </w:r>
    </w:p>
    <w:p w14:paraId="7B0D42DF" w14:textId="6847D028" w:rsidR="00D94935" w:rsidRPr="00140BF9" w:rsidRDefault="00D94935" w:rsidP="00A47A62">
      <w:pPr>
        <w:pStyle w:val="AmdtsEntries"/>
        <w:keepNext/>
        <w:rPr>
          <w:rFonts w:cs="Arial"/>
        </w:rPr>
      </w:pPr>
      <w:r w:rsidRPr="00140BF9">
        <w:rPr>
          <w:rFonts w:cs="Arial"/>
        </w:rPr>
        <w:t>r 5171</w:t>
      </w:r>
      <w:r w:rsidRPr="00140BF9">
        <w:rPr>
          <w:rFonts w:cs="Arial"/>
        </w:rPr>
        <w:tab/>
        <w:t xml:space="preserve">am </w:t>
      </w:r>
      <w:hyperlink r:id="rId223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14:paraId="46CB6F8E" w14:textId="77777777" w:rsidR="00D94935" w:rsidRPr="00140BF9" w:rsidRDefault="00D94935" w:rsidP="00D94935">
      <w:pPr>
        <w:pStyle w:val="AmdtsEntryHd"/>
        <w:rPr>
          <w:rFonts w:cs="Arial"/>
        </w:rPr>
      </w:pPr>
      <w:r w:rsidRPr="00140BF9">
        <w:rPr>
          <w:rFonts w:cs="Arial"/>
        </w:rPr>
        <w:t>Appeals to Supreme Court—competency of appeal</w:t>
      </w:r>
    </w:p>
    <w:p w14:paraId="05836EE2" w14:textId="77777777"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14:paraId="1E4194D8" w14:textId="77777777"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14:paraId="54F7D38C" w14:textId="77777777"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14:paraId="427B7AB9" w14:textId="77777777" w:rsidR="00D94935" w:rsidRPr="00140BF9" w:rsidRDefault="00D94935" w:rsidP="00D94935">
      <w:pPr>
        <w:pStyle w:val="AmdtsEntryHd"/>
        <w:rPr>
          <w:rFonts w:cs="Arial"/>
        </w:rPr>
      </w:pPr>
      <w:r w:rsidRPr="00140BF9">
        <w:rPr>
          <w:rFonts w:cs="Arial"/>
        </w:rPr>
        <w:t>Appeals to Supreme Court—dismissal by consent</w:t>
      </w:r>
    </w:p>
    <w:p w14:paraId="161FF562" w14:textId="77777777"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14:paraId="631572D6" w14:textId="77777777" w:rsidR="00D94935" w:rsidRPr="00140BF9" w:rsidRDefault="00D94935" w:rsidP="00D94935">
      <w:pPr>
        <w:pStyle w:val="AmdtsEntryHd"/>
        <w:rPr>
          <w:rFonts w:cs="Arial"/>
        </w:rPr>
      </w:pPr>
      <w:r w:rsidRPr="00140BF9">
        <w:rPr>
          <w:rFonts w:cs="Arial"/>
        </w:rPr>
        <w:t>Appeals to Supreme Court—consent orders</w:t>
      </w:r>
    </w:p>
    <w:p w14:paraId="48E36B76" w14:textId="77777777"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14:paraId="579E6109" w14:textId="77777777" w:rsidR="00D94935" w:rsidRPr="00140BF9" w:rsidRDefault="00D94935" w:rsidP="00D94935">
      <w:pPr>
        <w:pStyle w:val="AmdtsEntryHd"/>
        <w:rPr>
          <w:rFonts w:cs="Arial"/>
        </w:rPr>
      </w:pPr>
      <w:r w:rsidRPr="00140BF9">
        <w:rPr>
          <w:rFonts w:cs="Arial"/>
        </w:rPr>
        <w:t>Appeals to Supreme Court—directions about appeal etc</w:t>
      </w:r>
    </w:p>
    <w:p w14:paraId="71FD87EF" w14:textId="77777777"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14:paraId="2654CAB8" w14:textId="77777777" w:rsidR="00D94935" w:rsidRPr="00140BF9" w:rsidRDefault="00D94935" w:rsidP="00D94935">
      <w:pPr>
        <w:pStyle w:val="AmdtsEntryHd"/>
        <w:rPr>
          <w:rFonts w:cs="Arial"/>
        </w:rPr>
      </w:pPr>
      <w:r w:rsidRPr="00140BF9">
        <w:rPr>
          <w:rFonts w:cs="Arial"/>
        </w:rPr>
        <w:t>Appeals to Supreme Court—want of prosecution of appeal</w:t>
      </w:r>
    </w:p>
    <w:p w14:paraId="1DF1C817" w14:textId="77777777"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14:paraId="5F95ECA0" w14:textId="77777777" w:rsidR="00D94935" w:rsidRPr="00140BF9" w:rsidRDefault="00D94935" w:rsidP="00D94935">
      <w:pPr>
        <w:pStyle w:val="AmdtsEntryHd"/>
        <w:rPr>
          <w:rFonts w:cs="Arial"/>
        </w:rPr>
      </w:pPr>
      <w:r w:rsidRPr="00140BF9">
        <w:rPr>
          <w:rFonts w:cs="Arial"/>
        </w:rPr>
        <w:t>Appeals to Supreme Court—matter happening in court or tribunal appealed from</w:t>
      </w:r>
    </w:p>
    <w:p w14:paraId="15A3A0E7" w14:textId="77777777"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14:paraId="41606B2D" w14:textId="77777777"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14:paraId="2AFC6C19" w14:textId="77777777"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14:paraId="30CBD140" w14:textId="77777777" w:rsidR="00D94935" w:rsidRPr="00140BF9" w:rsidRDefault="00D94935" w:rsidP="00D94935">
      <w:pPr>
        <w:pStyle w:val="AmdtsEntryHd"/>
        <w:rPr>
          <w:rFonts w:cs="Arial"/>
        </w:rPr>
      </w:pPr>
      <w:r w:rsidRPr="00140BF9">
        <w:rPr>
          <w:rFonts w:cs="Arial"/>
        </w:rPr>
        <w:t>Appeals to Supreme Court—keeping exhibits</w:t>
      </w:r>
    </w:p>
    <w:p w14:paraId="162759BF" w14:textId="77777777"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14:paraId="7EAAB186" w14:textId="77777777" w:rsidR="00896C6F" w:rsidRDefault="00896C6F" w:rsidP="00D94935">
      <w:pPr>
        <w:pStyle w:val="AmdtsEntryHd"/>
      </w:pPr>
      <w:r w:rsidRPr="00061096">
        <w:t>Definitions—pt 5.4</w:t>
      </w:r>
    </w:p>
    <w:p w14:paraId="75696A45" w14:textId="53548668" w:rsidR="00896C6F" w:rsidRDefault="00896C6F" w:rsidP="00896C6F">
      <w:pPr>
        <w:pStyle w:val="AmdtsEntries"/>
      </w:pPr>
      <w:r>
        <w:t>r 5300A</w:t>
      </w:r>
      <w:r>
        <w:tab/>
        <w:t xml:space="preserve">ins </w:t>
      </w:r>
      <w:hyperlink r:id="rId2239"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681EDE5D" w14:textId="7A91B631" w:rsidR="00896C6F" w:rsidRPr="00896C6F" w:rsidRDefault="00896C6F" w:rsidP="00896C6F">
      <w:pPr>
        <w:pStyle w:val="AmdtsEntries"/>
      </w:pPr>
      <w:r>
        <w:tab/>
        <w:t xml:space="preserve">def </w:t>
      </w:r>
      <w:r w:rsidRPr="00896C6F">
        <w:rPr>
          <w:rStyle w:val="charBoldItals"/>
        </w:rPr>
        <w:t>practice direction</w:t>
      </w:r>
      <w:r>
        <w:t xml:space="preserve"> ins </w:t>
      </w:r>
      <w:hyperlink r:id="rId2240"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03457506" w14:textId="0D0AFB5C" w:rsidR="00896C6F" w:rsidRPr="00896C6F" w:rsidRDefault="00896C6F" w:rsidP="00896C6F">
      <w:pPr>
        <w:pStyle w:val="AmdtsEntries"/>
      </w:pPr>
      <w:r>
        <w:tab/>
        <w:t xml:space="preserve">def </w:t>
      </w:r>
      <w:r>
        <w:rPr>
          <w:rStyle w:val="charBoldItals"/>
        </w:rPr>
        <w:t>supporting material</w:t>
      </w:r>
      <w:r>
        <w:t xml:space="preserve"> ins </w:t>
      </w:r>
      <w:hyperlink r:id="rId2241"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1AA7157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14:paraId="16F019A2" w14:textId="77777777"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14:paraId="14140F55" w14:textId="5EED7D34"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2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2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r w:rsidR="00221F41">
        <w:t xml:space="preserve">; </w:t>
      </w:r>
      <w:hyperlink r:id="rId2244" w:tooltip="Court Procedures Amendment Rules 2024 (No 1)" w:history="1">
        <w:r w:rsidR="008E1456">
          <w:rPr>
            <w:rStyle w:val="charCitHyperlinkAbbrev"/>
          </w:rPr>
          <w:t>SL2024</w:t>
        </w:r>
        <w:r w:rsidR="008E1456">
          <w:rPr>
            <w:rStyle w:val="charCitHyperlinkAbbrev"/>
          </w:rPr>
          <w:noBreakHyphen/>
          <w:t>9</w:t>
        </w:r>
      </w:hyperlink>
      <w:r w:rsidR="00221F41">
        <w:t xml:space="preserve"> r 22; ss renum R67 LA</w:t>
      </w:r>
    </w:p>
    <w:p w14:paraId="609CDB30" w14:textId="77777777" w:rsidR="00D94935" w:rsidRPr="00140BF9" w:rsidRDefault="00D94935" w:rsidP="00D94935">
      <w:pPr>
        <w:pStyle w:val="AmdtsEntryHd"/>
        <w:rPr>
          <w:rFonts w:cs="Arial"/>
        </w:rPr>
      </w:pPr>
      <w:r w:rsidRPr="00140BF9">
        <w:rPr>
          <w:rFonts w:cs="Arial"/>
        </w:rPr>
        <w:t>Appeals to Court of Appeal—stay and reinstatement</w:t>
      </w:r>
    </w:p>
    <w:p w14:paraId="7C9199D3" w14:textId="77777777"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14:paraId="78C7283D" w14:textId="24B799FA"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245"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14:paraId="0B5F9E48" w14:textId="77777777" w:rsidR="00D94935" w:rsidRPr="00140BF9" w:rsidRDefault="00D94935" w:rsidP="00D94935">
      <w:pPr>
        <w:pStyle w:val="AmdtsEntryHd"/>
        <w:rPr>
          <w:rFonts w:cs="Arial"/>
        </w:rPr>
      </w:pPr>
      <w:r w:rsidRPr="00140BF9">
        <w:rPr>
          <w:rFonts w:cs="Arial"/>
        </w:rPr>
        <w:t>Appeals to Court of Appeal—security for costs</w:t>
      </w:r>
    </w:p>
    <w:p w14:paraId="6E47D5D8" w14:textId="77777777"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14:paraId="54E3A752" w14:textId="77777777" w:rsidR="00D94935" w:rsidRPr="00140BF9" w:rsidRDefault="00D94935" w:rsidP="00D94935">
      <w:pPr>
        <w:pStyle w:val="AmdtsEntryHd"/>
        <w:rPr>
          <w:rFonts w:cs="Arial"/>
        </w:rPr>
      </w:pPr>
      <w:r w:rsidRPr="00140BF9">
        <w:rPr>
          <w:rFonts w:cs="Arial"/>
        </w:rPr>
        <w:lastRenderedPageBreak/>
        <w:t>Appeals to Court of Appeal—leave to appeal from interlocutory orders</w:t>
      </w:r>
    </w:p>
    <w:p w14:paraId="3C96C556" w14:textId="76C06BBC"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2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14:paraId="7F1D5831" w14:textId="77777777" w:rsidR="00D94935" w:rsidRPr="00140BF9" w:rsidRDefault="00D94935" w:rsidP="00D94935">
      <w:pPr>
        <w:pStyle w:val="AmdtsEntryHd"/>
        <w:rPr>
          <w:rFonts w:cs="Arial"/>
        </w:rPr>
      </w:pPr>
      <w:r w:rsidRPr="00140BF9">
        <w:rPr>
          <w:rFonts w:cs="Arial"/>
        </w:rPr>
        <w:t>Application—div 5.4.2</w:t>
      </w:r>
    </w:p>
    <w:p w14:paraId="23CD5BD8" w14:textId="77777777"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14:paraId="184933AE" w14:textId="11DC86EC"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2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2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r w:rsidR="00131E73">
        <w:t xml:space="preserve">; </w:t>
      </w:r>
      <w:hyperlink r:id="rId2249" w:tooltip="Court Procedures Amendment Rules 2024 (No 1)" w:history="1">
        <w:r w:rsidR="008E1456">
          <w:rPr>
            <w:rStyle w:val="charCitHyperlinkAbbrev"/>
          </w:rPr>
          <w:t>SL2024</w:t>
        </w:r>
        <w:r w:rsidR="008E1456">
          <w:rPr>
            <w:rStyle w:val="charCitHyperlinkAbbrev"/>
          </w:rPr>
          <w:noBreakHyphen/>
          <w:t>9</w:t>
        </w:r>
      </w:hyperlink>
      <w:r w:rsidR="00131E73">
        <w:t xml:space="preserve"> r 23</w:t>
      </w:r>
    </w:p>
    <w:p w14:paraId="4B505541" w14:textId="77777777" w:rsidR="00D94935" w:rsidRPr="00140BF9" w:rsidRDefault="00D94935" w:rsidP="00D94935">
      <w:pPr>
        <w:pStyle w:val="AmdtsEntryHd"/>
        <w:rPr>
          <w:rFonts w:cs="Arial"/>
        </w:rPr>
      </w:pPr>
      <w:r w:rsidRPr="00140BF9">
        <w:rPr>
          <w:rFonts w:cs="Arial"/>
        </w:rPr>
        <w:t>Appeals to Court of Appeal—application for leave to appeal</w:t>
      </w:r>
    </w:p>
    <w:p w14:paraId="63E37D8C" w14:textId="77777777"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14:paraId="29544305" w14:textId="6EFBB714" w:rsidR="00896C6F" w:rsidRPr="00140BF9" w:rsidRDefault="00896C6F" w:rsidP="00D94935">
      <w:pPr>
        <w:pStyle w:val="AmdtsEntries"/>
        <w:rPr>
          <w:rFonts w:cs="Arial"/>
        </w:rPr>
      </w:pPr>
      <w:r>
        <w:rPr>
          <w:rFonts w:eastAsiaTheme="minorEastAsia" w:cs="Arial"/>
          <w:szCs w:val="22"/>
          <w:lang w:eastAsia="en-AU"/>
        </w:rPr>
        <w:tab/>
        <w:t xml:space="preserve">am </w:t>
      </w:r>
      <w:hyperlink r:id="rId225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14:paraId="209BE485" w14:textId="77777777" w:rsidR="00D94935" w:rsidRPr="00140BF9" w:rsidRDefault="00D94935" w:rsidP="00D94935">
      <w:pPr>
        <w:pStyle w:val="AmdtsEntryHd"/>
        <w:rPr>
          <w:rFonts w:cs="Arial"/>
        </w:rPr>
      </w:pPr>
      <w:r w:rsidRPr="00140BF9">
        <w:rPr>
          <w:rFonts w:cs="Arial"/>
        </w:rPr>
        <w:t>Appeals to Court of Appeal—time for filing application for leave to appeal</w:t>
      </w:r>
    </w:p>
    <w:p w14:paraId="179A83A8" w14:textId="77777777"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14:paraId="1DB9867F" w14:textId="1765E88C"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2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252"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14:paraId="0A2880FB" w14:textId="1C4438B6" w:rsidR="00A12DA1" w:rsidRDefault="00A12DA1" w:rsidP="00D94935">
      <w:pPr>
        <w:pStyle w:val="AmdtsEntryHd"/>
      </w:pPr>
      <w:r>
        <w:t>Appeals to Court of Appeal—application for leave to appeal to be sealed</w:t>
      </w:r>
    </w:p>
    <w:p w14:paraId="0306F5D0" w14:textId="2A9D2598" w:rsidR="00A12DA1" w:rsidRPr="00A12DA1" w:rsidRDefault="00A12DA1" w:rsidP="00A12DA1">
      <w:pPr>
        <w:pStyle w:val="AmdtsEntries"/>
      </w:pPr>
      <w:r>
        <w:t>r 5313</w:t>
      </w:r>
      <w:r>
        <w:tab/>
        <w:t xml:space="preserve">am </w:t>
      </w:r>
      <w:hyperlink r:id="rId2253" w:tooltip="Court Procedures Amendment Rules 2023 (No 2)" w:history="1">
        <w:r>
          <w:rPr>
            <w:rStyle w:val="charCitHyperlinkAbbrev"/>
          </w:rPr>
          <w:t>SL2023</w:t>
        </w:r>
        <w:r>
          <w:rPr>
            <w:rStyle w:val="charCitHyperlinkAbbrev"/>
          </w:rPr>
          <w:noBreakHyphen/>
          <w:t>36</w:t>
        </w:r>
      </w:hyperlink>
      <w:r>
        <w:t xml:space="preserve"> r 40</w:t>
      </w:r>
    </w:p>
    <w:p w14:paraId="71696E08" w14:textId="24C73AD3" w:rsidR="00D94935" w:rsidRPr="00140BF9" w:rsidRDefault="00D94935" w:rsidP="00D94935">
      <w:pPr>
        <w:pStyle w:val="AmdtsEntryHd"/>
        <w:rPr>
          <w:rFonts w:cs="Arial"/>
        </w:rPr>
      </w:pPr>
      <w:r w:rsidRPr="00140BF9">
        <w:rPr>
          <w:rFonts w:cs="Arial"/>
        </w:rPr>
        <w:t>Appeals to Court of Appeal—serving application for leave to appeal</w:t>
      </w:r>
    </w:p>
    <w:p w14:paraId="74AF1613" w14:textId="77777777"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14:paraId="7BEEC9C4" w14:textId="4A9E15FC"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2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255"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14:paraId="12BF4F94" w14:textId="77777777" w:rsidR="00D94935" w:rsidRPr="00140BF9" w:rsidRDefault="00664D7B" w:rsidP="00D94935">
      <w:pPr>
        <w:pStyle w:val="AmdtsEntryHd"/>
        <w:rPr>
          <w:rFonts w:cs="Arial"/>
        </w:rPr>
      </w:pPr>
      <w:r w:rsidRPr="00061096">
        <w:t>Appeals to Court of Appeal—response to application for leave to appeal</w:t>
      </w:r>
    </w:p>
    <w:p w14:paraId="505C9F7B" w14:textId="77777777"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14:paraId="0C5F0CCD" w14:textId="77A57F89"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5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14:paraId="357AC327" w14:textId="52B8F1C9"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25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14:paraId="419D8F3A"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14:paraId="548C78AA" w14:textId="77777777"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14:paraId="2BFDEE5F" w14:textId="26ADBB3E"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25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14:paraId="47AE7978" w14:textId="77777777" w:rsidR="00D94935" w:rsidRPr="00140BF9" w:rsidRDefault="00D94935" w:rsidP="00D94935">
      <w:pPr>
        <w:pStyle w:val="AmdtsEntryHd"/>
        <w:rPr>
          <w:rFonts w:cs="Arial"/>
        </w:rPr>
      </w:pPr>
      <w:r w:rsidRPr="00140BF9">
        <w:rPr>
          <w:rFonts w:cs="Arial"/>
        </w:rPr>
        <w:t>Definitions—div 5.4.3</w:t>
      </w:r>
    </w:p>
    <w:p w14:paraId="0B76CAF6" w14:textId="77777777"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14:paraId="6754F517" w14:textId="77777777" w:rsidR="00D94935" w:rsidRPr="00140BF9" w:rsidRDefault="00D94935" w:rsidP="00D94935">
      <w:pPr>
        <w:pStyle w:val="AmdtsEntryHd"/>
        <w:rPr>
          <w:rFonts w:cs="Arial"/>
        </w:rPr>
      </w:pPr>
      <w:r w:rsidRPr="00140BF9">
        <w:rPr>
          <w:rFonts w:cs="Arial"/>
        </w:rPr>
        <w:t>Application—div 5.4.3</w:t>
      </w:r>
    </w:p>
    <w:p w14:paraId="414B5643" w14:textId="77777777"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14:paraId="02391931" w14:textId="77777777" w:rsidR="00D94935" w:rsidRPr="00140BF9" w:rsidRDefault="00D94935" w:rsidP="00D94935">
      <w:pPr>
        <w:pStyle w:val="AmdtsEntryHd"/>
        <w:rPr>
          <w:rFonts w:cs="Arial"/>
        </w:rPr>
      </w:pPr>
      <w:r w:rsidRPr="00140BF9">
        <w:rPr>
          <w:rFonts w:cs="Arial"/>
        </w:rPr>
        <w:t>Appeals to Court of Appeal—application for leave to appeal out of time</w:t>
      </w:r>
    </w:p>
    <w:p w14:paraId="63881FE6" w14:textId="77777777"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14:paraId="783CB61C" w14:textId="5F3A27E2"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25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14:paraId="4C23552B" w14:textId="77777777" w:rsidR="00D94935" w:rsidRPr="00140BF9" w:rsidRDefault="00D94935" w:rsidP="00D94935">
      <w:pPr>
        <w:pStyle w:val="AmdtsEntryHd"/>
        <w:rPr>
          <w:rFonts w:cs="Arial"/>
        </w:rPr>
      </w:pPr>
      <w:r w:rsidRPr="00140BF9">
        <w:rPr>
          <w:rFonts w:cs="Arial"/>
        </w:rPr>
        <w:t>Appeals to Court of Appeal—filing application for leave to appeal out of time</w:t>
      </w:r>
    </w:p>
    <w:p w14:paraId="02873C59" w14:textId="77777777"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14:paraId="1922E120" w14:textId="37510304"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26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14:paraId="72FD49F7" w14:textId="77777777" w:rsidR="00A12DA1" w:rsidRDefault="00A12DA1" w:rsidP="00A12DA1">
      <w:pPr>
        <w:pStyle w:val="AmdtsEntryHd"/>
      </w:pPr>
      <w:r>
        <w:t>Appeals to Court of Appeal—application for leave to appeal to be sealed</w:t>
      </w:r>
    </w:p>
    <w:p w14:paraId="7A0B7393" w14:textId="67E7FC0A" w:rsidR="00A12DA1" w:rsidRPr="00A12DA1" w:rsidRDefault="00A12DA1" w:rsidP="00A12DA1">
      <w:pPr>
        <w:pStyle w:val="AmdtsEntries"/>
      </w:pPr>
      <w:r>
        <w:t>r 5334</w:t>
      </w:r>
      <w:r>
        <w:tab/>
        <w:t xml:space="preserve">am </w:t>
      </w:r>
      <w:hyperlink r:id="rId2261" w:tooltip="Court Procedures Amendment Rules 2023 (No 2)" w:history="1">
        <w:r>
          <w:rPr>
            <w:rStyle w:val="charCitHyperlinkAbbrev"/>
          </w:rPr>
          <w:t>SL2023</w:t>
        </w:r>
        <w:r>
          <w:rPr>
            <w:rStyle w:val="charCitHyperlinkAbbrev"/>
          </w:rPr>
          <w:noBreakHyphen/>
          <w:t>36</w:t>
        </w:r>
      </w:hyperlink>
      <w:r>
        <w:t xml:space="preserve"> r 4</w:t>
      </w:r>
      <w:r w:rsidR="00C27D9D">
        <w:t>1</w:t>
      </w:r>
    </w:p>
    <w:p w14:paraId="6A234458" w14:textId="77777777" w:rsidR="00D94935" w:rsidRPr="00140BF9" w:rsidRDefault="00D94935" w:rsidP="00D94935">
      <w:pPr>
        <w:pStyle w:val="AmdtsEntryHd"/>
        <w:rPr>
          <w:rFonts w:cs="Arial"/>
        </w:rPr>
      </w:pPr>
      <w:r w:rsidRPr="00140BF9">
        <w:rPr>
          <w:rFonts w:cs="Arial"/>
        </w:rPr>
        <w:lastRenderedPageBreak/>
        <w:t>Appeals to Court of Appeal—serving application for leave to appeal out of time</w:t>
      </w:r>
    </w:p>
    <w:p w14:paraId="6601CBE4" w14:textId="77777777" w:rsidR="00D94935" w:rsidRDefault="00D94935" w:rsidP="000D1383">
      <w:pPr>
        <w:pStyle w:val="AmdtsEntries"/>
        <w:keepNext/>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14:paraId="6DF7E78E" w14:textId="700995A0"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26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14:paraId="5A7B2AD8" w14:textId="77777777" w:rsidR="00D94935" w:rsidRPr="00140BF9" w:rsidRDefault="00FB299F" w:rsidP="00D94935">
      <w:pPr>
        <w:pStyle w:val="AmdtsEntryHd"/>
        <w:rPr>
          <w:rFonts w:cs="Arial"/>
        </w:rPr>
      </w:pPr>
      <w:r w:rsidRPr="00061096">
        <w:t>Appeals to Court of Appeal—response to application for leave to appeal out of time</w:t>
      </w:r>
    </w:p>
    <w:p w14:paraId="42278ED7" w14:textId="77777777"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14:paraId="029F96F1" w14:textId="27739690"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263"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14:paraId="3F6E3DF1" w14:textId="479BFD10"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26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14:paraId="034B2EB5"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14:paraId="764B8C4C" w14:textId="77777777"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14:paraId="4B5248CE" w14:textId="587A89C8"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26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14:paraId="2EBFE7B8" w14:textId="77777777" w:rsidR="00D94935" w:rsidRPr="00140BF9" w:rsidRDefault="00D94935" w:rsidP="00D94935">
      <w:pPr>
        <w:pStyle w:val="AmdtsEntryHd"/>
        <w:rPr>
          <w:rFonts w:cs="Arial"/>
        </w:rPr>
      </w:pPr>
      <w:r w:rsidRPr="00140BF9">
        <w:rPr>
          <w:rFonts w:cs="Arial"/>
        </w:rPr>
        <w:t>Definitions—divs 5.4.4 to 5.4.6</w:t>
      </w:r>
    </w:p>
    <w:p w14:paraId="1329525E" w14:textId="77777777"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14:paraId="33498F6E" w14:textId="77777777" w:rsidR="002E5964" w:rsidRDefault="002E5964" w:rsidP="00D94935">
      <w:pPr>
        <w:pStyle w:val="AmdtsEntryHd"/>
      </w:pPr>
      <w:r w:rsidRPr="00061096">
        <w:t xml:space="preserve">Meaning of </w:t>
      </w:r>
      <w:r w:rsidRPr="00061096">
        <w:rPr>
          <w:rStyle w:val="charItals"/>
        </w:rPr>
        <w:t>case summary</w:t>
      </w:r>
      <w:r w:rsidRPr="00061096">
        <w:t>—div 5.4.4</w:t>
      </w:r>
    </w:p>
    <w:p w14:paraId="28103A0A" w14:textId="7A3AA00F" w:rsidR="002E5964" w:rsidRPr="002E5964" w:rsidRDefault="002E5964" w:rsidP="002E5964">
      <w:pPr>
        <w:pStyle w:val="AmdtsEntries"/>
      </w:pPr>
      <w:r>
        <w:t>r 5400A</w:t>
      </w:r>
      <w:r>
        <w:tab/>
        <w:t xml:space="preserve">ins </w:t>
      </w:r>
      <w:hyperlink r:id="rId2266"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14:paraId="118F6BA0" w14:textId="77777777" w:rsidR="00D94935" w:rsidRPr="00140BF9" w:rsidRDefault="00D94935" w:rsidP="00D94935">
      <w:pPr>
        <w:pStyle w:val="AmdtsEntryHd"/>
        <w:rPr>
          <w:rFonts w:cs="Arial"/>
        </w:rPr>
      </w:pPr>
      <w:r w:rsidRPr="00140BF9">
        <w:rPr>
          <w:rFonts w:cs="Arial"/>
        </w:rPr>
        <w:t>Application—divs 5.4.4 to 5.4.6</w:t>
      </w:r>
    </w:p>
    <w:p w14:paraId="4620925F" w14:textId="77777777"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14:paraId="6A9C17A8" w14:textId="77777777" w:rsidR="00D94935" w:rsidRPr="00140BF9" w:rsidRDefault="00D94935" w:rsidP="00D94935">
      <w:pPr>
        <w:pStyle w:val="AmdtsEntryHd"/>
        <w:rPr>
          <w:rFonts w:cs="Arial"/>
        </w:rPr>
      </w:pPr>
      <w:r w:rsidRPr="00140BF9">
        <w:rPr>
          <w:rFonts w:cs="Arial"/>
        </w:rPr>
        <w:t>Appeals to Court of Appeal—starting appeal</w:t>
      </w:r>
    </w:p>
    <w:p w14:paraId="01447D60" w14:textId="77777777"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14:paraId="3B8A6A39" w14:textId="77777777" w:rsidR="00D94935" w:rsidRPr="00140BF9" w:rsidRDefault="00D94935" w:rsidP="00D94935">
      <w:pPr>
        <w:pStyle w:val="AmdtsEntryHd"/>
        <w:rPr>
          <w:rFonts w:cs="Arial"/>
        </w:rPr>
      </w:pPr>
      <w:r w:rsidRPr="00140BF9">
        <w:rPr>
          <w:rFonts w:cs="Arial"/>
        </w:rPr>
        <w:t>Appeals to Court of Appeal—requirements for notice of appeal etc</w:t>
      </w:r>
    </w:p>
    <w:p w14:paraId="4819D5D7" w14:textId="77777777"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14:paraId="222D62D6" w14:textId="584421CA"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2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268"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r w:rsidR="00C27D9D">
        <w:rPr>
          <w:rFonts w:cs="Arial"/>
        </w:rPr>
        <w:t xml:space="preserve">; </w:t>
      </w:r>
      <w:hyperlink r:id="rId2269" w:tooltip="Court Procedures Amendment Rules 2023 (No 2)" w:history="1">
        <w:r w:rsidR="00C27D9D">
          <w:rPr>
            <w:rStyle w:val="charCitHyperlinkAbbrev"/>
          </w:rPr>
          <w:t>SL2023</w:t>
        </w:r>
        <w:r w:rsidR="00C27D9D">
          <w:rPr>
            <w:rStyle w:val="charCitHyperlinkAbbrev"/>
          </w:rPr>
          <w:noBreakHyphen/>
          <w:t>36</w:t>
        </w:r>
      </w:hyperlink>
      <w:r w:rsidR="00C27D9D">
        <w:rPr>
          <w:rFonts w:cs="Arial"/>
        </w:rPr>
        <w:t xml:space="preserve"> r 42</w:t>
      </w:r>
    </w:p>
    <w:p w14:paraId="42357B64" w14:textId="77777777" w:rsidR="00D94935" w:rsidRPr="00140BF9" w:rsidRDefault="00D94935" w:rsidP="00D94935">
      <w:pPr>
        <w:pStyle w:val="AmdtsEntryHd"/>
        <w:rPr>
          <w:rFonts w:cs="Arial"/>
        </w:rPr>
      </w:pPr>
      <w:r w:rsidRPr="00140BF9">
        <w:rPr>
          <w:rFonts w:cs="Arial"/>
        </w:rPr>
        <w:t>Appeals to Court of Appeal—parties to appeal</w:t>
      </w:r>
    </w:p>
    <w:p w14:paraId="18CB8864" w14:textId="77777777"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14:paraId="533C2EBB" w14:textId="77777777"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14:paraId="46D9A3EF" w14:textId="77777777"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14:paraId="2672E629" w14:textId="19798547"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7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20F480AC" w14:textId="5E71D594"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27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7EFB3555" w14:textId="722380FA" w:rsidR="00936B00" w:rsidRDefault="00936B00" w:rsidP="00D94935">
      <w:pPr>
        <w:pStyle w:val="AmdtsEntryHd"/>
      </w:pPr>
      <w:r>
        <w:t>Appeals to Court of Appeal—notice of appeal to be sealed</w:t>
      </w:r>
    </w:p>
    <w:p w14:paraId="04C5DA8A" w14:textId="49013787" w:rsidR="00936B00" w:rsidRPr="00936B00" w:rsidRDefault="00936B00" w:rsidP="00936B00">
      <w:pPr>
        <w:pStyle w:val="AmdtsEntries"/>
      </w:pPr>
      <w:r>
        <w:t>r 5406</w:t>
      </w:r>
      <w:r>
        <w:tab/>
        <w:t xml:space="preserve">am </w:t>
      </w:r>
      <w:hyperlink r:id="rId2272" w:tooltip="Court Procedures Amendment Rules 2023 (No 2)" w:history="1">
        <w:r>
          <w:rPr>
            <w:rStyle w:val="charCitHyperlinkAbbrev"/>
          </w:rPr>
          <w:t>SL2023</w:t>
        </w:r>
        <w:r>
          <w:rPr>
            <w:rStyle w:val="charCitHyperlinkAbbrev"/>
          </w:rPr>
          <w:noBreakHyphen/>
          <w:t>36</w:t>
        </w:r>
      </w:hyperlink>
      <w:r>
        <w:t xml:space="preserve"> r 43</w:t>
      </w:r>
    </w:p>
    <w:p w14:paraId="5EF90ECA" w14:textId="1FE7141C" w:rsidR="00D94935" w:rsidRPr="00140BF9" w:rsidRDefault="00D94935" w:rsidP="00D94935">
      <w:pPr>
        <w:pStyle w:val="AmdtsEntryHd"/>
        <w:rPr>
          <w:rFonts w:cs="Arial"/>
        </w:rPr>
      </w:pPr>
      <w:r w:rsidRPr="00140BF9">
        <w:rPr>
          <w:rFonts w:cs="Arial"/>
        </w:rPr>
        <w:t>Appeals to Court of Appeal——numbering etc of appeals</w:t>
      </w:r>
    </w:p>
    <w:p w14:paraId="13B94017" w14:textId="77777777"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14:paraId="71D958C6" w14:textId="21C54B3D" w:rsidR="00936B00" w:rsidRPr="00936B00" w:rsidRDefault="00936B00" w:rsidP="00936B00">
      <w:pPr>
        <w:pStyle w:val="AmdtsEntries"/>
      </w:pPr>
      <w:r>
        <w:t>r 5407</w:t>
      </w:r>
      <w:r>
        <w:tab/>
        <w:t xml:space="preserve">am </w:t>
      </w:r>
      <w:hyperlink r:id="rId2273" w:tooltip="Court Procedures Amendment Rules 2023 (No 2)" w:history="1">
        <w:r>
          <w:rPr>
            <w:rStyle w:val="charCitHyperlinkAbbrev"/>
          </w:rPr>
          <w:t>SL2023</w:t>
        </w:r>
        <w:r>
          <w:rPr>
            <w:rStyle w:val="charCitHyperlinkAbbrev"/>
          </w:rPr>
          <w:noBreakHyphen/>
          <w:t>36</w:t>
        </w:r>
      </w:hyperlink>
      <w:r>
        <w:t xml:space="preserve"> r 44</w:t>
      </w:r>
    </w:p>
    <w:p w14:paraId="44DC6AA0" w14:textId="77777777" w:rsidR="00D94935" w:rsidRPr="00140BF9" w:rsidRDefault="00D94935" w:rsidP="00D94935">
      <w:pPr>
        <w:pStyle w:val="AmdtsEntryHd"/>
        <w:rPr>
          <w:rFonts w:cs="Arial"/>
        </w:rPr>
      </w:pPr>
      <w:r w:rsidRPr="00140BF9">
        <w:rPr>
          <w:rFonts w:cs="Arial"/>
        </w:rPr>
        <w:t>Appeals to Court of Appeal—date for settlement of appeal papers</w:t>
      </w:r>
    </w:p>
    <w:p w14:paraId="56F365C6" w14:textId="77777777"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14:paraId="52943B1D" w14:textId="77777777" w:rsidR="00D94935" w:rsidRPr="00140BF9" w:rsidRDefault="002E5964" w:rsidP="00D94935">
      <w:pPr>
        <w:pStyle w:val="AmdtsEntryHd"/>
        <w:rPr>
          <w:rFonts w:cs="Arial"/>
        </w:rPr>
      </w:pPr>
      <w:r w:rsidRPr="00061096">
        <w:lastRenderedPageBreak/>
        <w:t>Appeals to Court of Appeal—serving notice of appeal and case summary</w:t>
      </w:r>
    </w:p>
    <w:p w14:paraId="1BACADBD" w14:textId="77777777"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14:paraId="4A91FC35" w14:textId="53C91FEB"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7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14:paraId="5D856135" w14:textId="77777777"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14:paraId="60EF13EE" w14:textId="03703235" w:rsidR="007E61E8" w:rsidRPr="00140BF9" w:rsidRDefault="007E61E8" w:rsidP="00D94935">
      <w:pPr>
        <w:pStyle w:val="AmdtsEntries"/>
        <w:rPr>
          <w:rFonts w:cs="Arial"/>
        </w:rPr>
      </w:pPr>
      <w:r>
        <w:rPr>
          <w:rFonts w:eastAsiaTheme="minorEastAsia" w:cs="Arial"/>
          <w:szCs w:val="22"/>
          <w:lang w:eastAsia="en-AU"/>
        </w:rPr>
        <w:tab/>
        <w:t xml:space="preserve">am </w:t>
      </w:r>
      <w:hyperlink r:id="rId227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14:paraId="4EDC7DF5" w14:textId="77777777" w:rsidR="00D94935" w:rsidRPr="00140BF9" w:rsidRDefault="00D94935" w:rsidP="00D94935">
      <w:pPr>
        <w:pStyle w:val="AmdtsEntryHd"/>
        <w:rPr>
          <w:rFonts w:cs="Arial"/>
        </w:rPr>
      </w:pPr>
      <w:r w:rsidRPr="00140BF9">
        <w:rPr>
          <w:rFonts w:cs="Arial"/>
        </w:rPr>
        <w:t>Appeals to Court of Appeal—notice of intention to respond</w:t>
      </w:r>
    </w:p>
    <w:p w14:paraId="7BD8FA70" w14:textId="77777777"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14:paraId="4E0CA41B" w14:textId="77777777"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14:paraId="56007EBE" w14:textId="77777777"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14:paraId="6C0B1E2E" w14:textId="77777777" w:rsidR="00D94935" w:rsidRPr="00140BF9" w:rsidRDefault="00D94935" w:rsidP="00D94935">
      <w:pPr>
        <w:pStyle w:val="AmdtsEntryHd"/>
        <w:rPr>
          <w:rFonts w:cs="Arial"/>
        </w:rPr>
      </w:pPr>
      <w:r w:rsidRPr="00140BF9">
        <w:rPr>
          <w:rFonts w:cs="Arial"/>
        </w:rPr>
        <w:t>Appeals to Court of Appeal—amending notice of appeal</w:t>
      </w:r>
    </w:p>
    <w:p w14:paraId="0191BEC7" w14:textId="77777777"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14:paraId="4F5099B4" w14:textId="77777777" w:rsidR="00D94935" w:rsidRPr="00140BF9" w:rsidRDefault="00D94935" w:rsidP="00D94935">
      <w:pPr>
        <w:pStyle w:val="AmdtsEntryHd"/>
        <w:rPr>
          <w:rFonts w:cs="Arial"/>
        </w:rPr>
      </w:pPr>
      <w:r w:rsidRPr="00140BF9">
        <w:rPr>
          <w:rFonts w:cs="Arial"/>
        </w:rPr>
        <w:t>Appeals to Court of Appeal—cross-appeal</w:t>
      </w:r>
    </w:p>
    <w:p w14:paraId="62257E2F" w14:textId="77777777"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14:paraId="5366B6AD" w14:textId="586928F3"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27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14:paraId="267AF061" w14:textId="77777777" w:rsidR="00D94935" w:rsidRPr="00140BF9" w:rsidRDefault="00D94935" w:rsidP="00D94935">
      <w:pPr>
        <w:pStyle w:val="AmdtsEntryHd"/>
        <w:rPr>
          <w:rFonts w:cs="Arial"/>
        </w:rPr>
      </w:pPr>
      <w:r w:rsidRPr="00140BF9">
        <w:rPr>
          <w:rFonts w:cs="Arial"/>
        </w:rPr>
        <w:t>Appeals to Court of Appeal—application of certain rules to cross-appeals</w:t>
      </w:r>
    </w:p>
    <w:p w14:paraId="5564716F" w14:textId="77777777"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14:paraId="09609202" w14:textId="77777777" w:rsidR="00D94935" w:rsidRPr="00140BF9" w:rsidRDefault="00D94935" w:rsidP="00D94935">
      <w:pPr>
        <w:pStyle w:val="AmdtsEntryHd"/>
        <w:rPr>
          <w:rFonts w:cs="Arial"/>
        </w:rPr>
      </w:pPr>
      <w:r w:rsidRPr="00140BF9">
        <w:rPr>
          <w:rFonts w:cs="Arial"/>
        </w:rPr>
        <w:t>Appeals to Court of Appeal—effect of failure to give notice of cross-appeal</w:t>
      </w:r>
    </w:p>
    <w:p w14:paraId="58CE12AB" w14:textId="77777777"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14:paraId="74AF0FF2" w14:textId="77777777" w:rsidR="00D94935" w:rsidRPr="00140BF9" w:rsidRDefault="00D94935" w:rsidP="00D94935">
      <w:pPr>
        <w:pStyle w:val="AmdtsEntryHd"/>
        <w:rPr>
          <w:rFonts w:cs="Arial"/>
        </w:rPr>
      </w:pPr>
      <w:r w:rsidRPr="00140BF9">
        <w:rPr>
          <w:rFonts w:cs="Arial"/>
        </w:rPr>
        <w:t>Appeals to Court of Appeal—notice of contention</w:t>
      </w:r>
    </w:p>
    <w:p w14:paraId="7B03B158" w14:textId="77777777"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14:paraId="57B775AD" w14:textId="77777777" w:rsidR="00995EF4" w:rsidRDefault="00995EF4" w:rsidP="00D94935">
      <w:pPr>
        <w:pStyle w:val="AmdtsEntryHd"/>
        <w:rPr>
          <w:rStyle w:val="CharDivText"/>
        </w:rPr>
      </w:pPr>
      <w:r w:rsidRPr="00E439D1">
        <w:rPr>
          <w:rStyle w:val="CharDivText"/>
        </w:rPr>
        <w:t>Appeals to Court of Appeal—appeal papers and hearing</w:t>
      </w:r>
    </w:p>
    <w:p w14:paraId="342A5FAA" w14:textId="31D9BB8E" w:rsidR="00995EF4" w:rsidRPr="00995EF4" w:rsidRDefault="00995EF4" w:rsidP="00995EF4">
      <w:pPr>
        <w:pStyle w:val="AmdtsEntries"/>
      </w:pPr>
      <w:r>
        <w:t>div 5.4.5 hdg</w:t>
      </w:r>
      <w:r>
        <w:tab/>
        <w:t xml:space="preserve">note </w:t>
      </w:r>
      <w:r w:rsidR="004C1273">
        <w:t>sub</w:t>
      </w:r>
      <w:r>
        <w:t xml:space="preserve"> </w:t>
      </w:r>
      <w:hyperlink r:id="rId2277"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14:paraId="58A4D339" w14:textId="77777777" w:rsidR="00D94935" w:rsidRPr="00140BF9" w:rsidRDefault="00D94935" w:rsidP="00D94935">
      <w:pPr>
        <w:pStyle w:val="AmdtsEntryHd"/>
        <w:rPr>
          <w:rFonts w:cs="Arial"/>
        </w:rPr>
      </w:pPr>
      <w:r w:rsidRPr="00140BF9">
        <w:rPr>
          <w:rFonts w:cs="Arial"/>
        </w:rPr>
        <w:t>Appeals to Court of Appeal—filing of things before settlement of appeal papers</w:t>
      </w:r>
    </w:p>
    <w:p w14:paraId="46482313" w14:textId="77777777"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14:paraId="587662EC" w14:textId="6FF31130" w:rsidR="00D94935" w:rsidRDefault="00D94935" w:rsidP="00D94935">
      <w:pPr>
        <w:pStyle w:val="AmdtsEntries"/>
        <w:rPr>
          <w:rFonts w:cs="Arial"/>
        </w:rPr>
      </w:pPr>
      <w:r w:rsidRPr="00140BF9">
        <w:rPr>
          <w:rFonts w:cs="Arial"/>
        </w:rPr>
        <w:t>r 5430</w:t>
      </w:r>
      <w:r w:rsidRPr="00140BF9">
        <w:rPr>
          <w:rFonts w:cs="Arial"/>
        </w:rPr>
        <w:tab/>
        <w:t xml:space="preserve">am </w:t>
      </w:r>
      <w:hyperlink r:id="rId22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14:paraId="50BDDB77" w14:textId="78CD6F42" w:rsidR="001E57A5" w:rsidRPr="00140BF9" w:rsidRDefault="001E57A5" w:rsidP="00D94935">
      <w:pPr>
        <w:pStyle w:val="AmdtsEntries"/>
        <w:rPr>
          <w:rFonts w:cs="Arial"/>
        </w:rPr>
      </w:pPr>
      <w:r>
        <w:rPr>
          <w:rFonts w:cs="Arial"/>
        </w:rPr>
        <w:tab/>
        <w:t xml:space="preserve">om </w:t>
      </w:r>
      <w:hyperlink r:id="rId2279"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E993501" w14:textId="77777777" w:rsidR="00D94935" w:rsidRPr="00140BF9" w:rsidRDefault="00D94935" w:rsidP="00D94935">
      <w:pPr>
        <w:pStyle w:val="AmdtsEntryHd"/>
        <w:rPr>
          <w:rFonts w:cs="Arial"/>
        </w:rPr>
      </w:pPr>
      <w:r w:rsidRPr="00140BF9">
        <w:rPr>
          <w:rFonts w:cs="Arial"/>
        </w:rPr>
        <w:t>Appeals to Court of Appeal—draft index of appeal papers</w:t>
      </w:r>
    </w:p>
    <w:p w14:paraId="769339DB" w14:textId="77777777"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14:paraId="091F863D" w14:textId="29907EAB" w:rsidR="001E57A5" w:rsidRPr="00140BF9" w:rsidRDefault="001E57A5" w:rsidP="001E57A5">
      <w:pPr>
        <w:pStyle w:val="AmdtsEntries"/>
        <w:rPr>
          <w:rFonts w:cs="Arial"/>
        </w:rPr>
      </w:pPr>
      <w:r>
        <w:rPr>
          <w:rFonts w:cs="Arial"/>
        </w:rPr>
        <w:t>r 5431</w:t>
      </w:r>
      <w:r>
        <w:rPr>
          <w:rFonts w:cs="Arial"/>
        </w:rPr>
        <w:tab/>
        <w:t xml:space="preserve">om </w:t>
      </w:r>
      <w:hyperlink r:id="rId2280"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96D996B" w14:textId="77777777" w:rsidR="00D94935" w:rsidRPr="00140BF9" w:rsidRDefault="00D94935" w:rsidP="00D94935">
      <w:pPr>
        <w:pStyle w:val="AmdtsEntryHd"/>
        <w:rPr>
          <w:rFonts w:cs="Arial"/>
        </w:rPr>
      </w:pPr>
      <w:r w:rsidRPr="00140BF9">
        <w:rPr>
          <w:rFonts w:cs="Arial"/>
        </w:rPr>
        <w:t>Appeals to Court of Appeal—settlement of appeal papers</w:t>
      </w:r>
    </w:p>
    <w:p w14:paraId="1CA36DBF" w14:textId="77777777"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14:paraId="44B603FD" w14:textId="7EB49C62"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28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14:paraId="15C3E551" w14:textId="77777777" w:rsidR="00D94935" w:rsidRPr="00140BF9" w:rsidRDefault="00D94935" w:rsidP="00D94935">
      <w:pPr>
        <w:pStyle w:val="AmdtsEntryHd"/>
        <w:rPr>
          <w:rFonts w:cs="Arial"/>
        </w:rPr>
      </w:pPr>
      <w:r w:rsidRPr="00140BF9">
        <w:rPr>
          <w:rFonts w:cs="Arial"/>
        </w:rPr>
        <w:t>Appeals to Court of Appeal—content of appeal papers</w:t>
      </w:r>
    </w:p>
    <w:p w14:paraId="17411731" w14:textId="77777777"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14:paraId="37236035" w14:textId="44C79B42"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28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632EADF0" w14:textId="77777777" w:rsidR="00D94935" w:rsidRPr="00140BF9" w:rsidRDefault="00D94935" w:rsidP="00D94935">
      <w:pPr>
        <w:pStyle w:val="AmdtsEntryHd"/>
        <w:rPr>
          <w:rFonts w:cs="Arial"/>
        </w:rPr>
      </w:pPr>
      <w:r w:rsidRPr="00140BF9">
        <w:rPr>
          <w:rFonts w:cs="Arial"/>
        </w:rPr>
        <w:t>Appeals to Court of Appeal—presentation of appeal papers</w:t>
      </w:r>
    </w:p>
    <w:p w14:paraId="10D3C47B" w14:textId="77777777"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14:paraId="27255291" w14:textId="569034FE"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28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5DDD3AC6" w14:textId="77777777" w:rsidR="00D94935" w:rsidRPr="00140BF9" w:rsidRDefault="00D94935" w:rsidP="00D94935">
      <w:pPr>
        <w:pStyle w:val="AmdtsEntryHd"/>
        <w:rPr>
          <w:rFonts w:cs="Arial"/>
        </w:rPr>
      </w:pPr>
      <w:r w:rsidRPr="00140BF9">
        <w:rPr>
          <w:rFonts w:cs="Arial"/>
        </w:rPr>
        <w:lastRenderedPageBreak/>
        <w:t>Appeals to Court of Appeal—filing and serving appeal papers</w:t>
      </w:r>
    </w:p>
    <w:p w14:paraId="0B249D51" w14:textId="77777777"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14:paraId="16B3E8AC" w14:textId="45F1744F"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28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0EF1C376" w14:textId="77777777" w:rsidR="00D94935" w:rsidRPr="00140BF9" w:rsidRDefault="00D94935" w:rsidP="00D94935">
      <w:pPr>
        <w:pStyle w:val="AmdtsEntryHd"/>
        <w:rPr>
          <w:rFonts w:cs="Arial"/>
        </w:rPr>
      </w:pPr>
      <w:r w:rsidRPr="00140BF9">
        <w:rPr>
          <w:rFonts w:cs="Arial"/>
        </w:rPr>
        <w:t>Appeals to Court of Appeal—setting appeal for hearing</w:t>
      </w:r>
    </w:p>
    <w:p w14:paraId="6BE44973" w14:textId="77777777"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14:paraId="2FE2BAD6" w14:textId="77777777" w:rsidR="00D94935" w:rsidRPr="00140BF9" w:rsidRDefault="00D94935" w:rsidP="00D94935">
      <w:pPr>
        <w:pStyle w:val="AmdtsEntryHd"/>
        <w:rPr>
          <w:rFonts w:cs="Arial"/>
        </w:rPr>
      </w:pPr>
      <w:r w:rsidRPr="00140BF9">
        <w:rPr>
          <w:rFonts w:cs="Arial"/>
        </w:rPr>
        <w:t>Appeals to Court of Appeal—changing appeal hearing date</w:t>
      </w:r>
    </w:p>
    <w:p w14:paraId="28267989" w14:textId="77777777"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14:paraId="671155C8" w14:textId="77777777" w:rsidR="00D94935" w:rsidRPr="00140BF9" w:rsidRDefault="00D94935" w:rsidP="00D94935">
      <w:pPr>
        <w:pStyle w:val="AmdtsEntryHd"/>
        <w:rPr>
          <w:rFonts w:cs="Arial"/>
        </w:rPr>
      </w:pPr>
      <w:r w:rsidRPr="00140BF9">
        <w:rPr>
          <w:rFonts w:cs="Arial"/>
        </w:rPr>
        <w:t>Appeals to Court of Appeal—written summary and list for appeal hearing</w:t>
      </w:r>
    </w:p>
    <w:p w14:paraId="1F14D1C5" w14:textId="77777777"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14:paraId="7CC02C8F" w14:textId="57127C90" w:rsidR="00D94935" w:rsidRDefault="00D94935" w:rsidP="00D94935">
      <w:pPr>
        <w:pStyle w:val="AmdtsEntries"/>
        <w:rPr>
          <w:rFonts w:cs="Arial"/>
        </w:rPr>
      </w:pPr>
      <w:r w:rsidRPr="00140BF9">
        <w:rPr>
          <w:rFonts w:cs="Arial"/>
        </w:rPr>
        <w:t>r 5438</w:t>
      </w:r>
      <w:r w:rsidRPr="00140BF9">
        <w:rPr>
          <w:rFonts w:cs="Arial"/>
        </w:rPr>
        <w:tab/>
        <w:t xml:space="preserve">am </w:t>
      </w:r>
      <w:hyperlink r:id="rId2285" w:tooltip="Court Procedures Amendment Rules 2013 (No 1)" w:history="1">
        <w:r w:rsidRPr="00140BF9">
          <w:rPr>
            <w:rStyle w:val="charCitHyperlinkAbbrev"/>
            <w:rFonts w:cs="Arial"/>
          </w:rPr>
          <w:t>SL2013-18</w:t>
        </w:r>
      </w:hyperlink>
      <w:r w:rsidRPr="00140BF9">
        <w:rPr>
          <w:rFonts w:cs="Arial"/>
        </w:rPr>
        <w:t xml:space="preserve"> rr 21-23</w:t>
      </w:r>
    </w:p>
    <w:p w14:paraId="737A5A6A" w14:textId="19CFBDA7" w:rsidR="001E57A5" w:rsidRPr="00140BF9" w:rsidRDefault="001E57A5" w:rsidP="00D94935">
      <w:pPr>
        <w:pStyle w:val="AmdtsEntries"/>
        <w:rPr>
          <w:rFonts w:cs="Arial"/>
        </w:rPr>
      </w:pPr>
      <w:r>
        <w:rPr>
          <w:rFonts w:cs="Arial"/>
        </w:rPr>
        <w:tab/>
        <w:t xml:space="preserve">om </w:t>
      </w:r>
      <w:hyperlink r:id="rId2286"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37EB8713" w14:textId="77777777" w:rsidR="00D94935" w:rsidRPr="00140BF9" w:rsidRDefault="00D94935" w:rsidP="00D94935">
      <w:pPr>
        <w:pStyle w:val="AmdtsEntryHd"/>
        <w:rPr>
          <w:rFonts w:cs="Arial"/>
        </w:rPr>
      </w:pPr>
      <w:r w:rsidRPr="00140BF9">
        <w:rPr>
          <w:rFonts w:cs="Arial"/>
        </w:rPr>
        <w:t>Appeals to Court of Appeal—summaries of arguments</w:t>
      </w:r>
    </w:p>
    <w:p w14:paraId="61A9B366" w14:textId="77777777"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14:paraId="4654458B" w14:textId="39DBB386" w:rsidR="001E57A5" w:rsidRPr="00140BF9" w:rsidRDefault="001E57A5" w:rsidP="001E57A5">
      <w:pPr>
        <w:pStyle w:val="AmdtsEntries"/>
        <w:rPr>
          <w:rFonts w:cs="Arial"/>
        </w:rPr>
      </w:pPr>
      <w:r>
        <w:rPr>
          <w:rFonts w:cs="Arial"/>
        </w:rPr>
        <w:t>r 5439</w:t>
      </w:r>
      <w:r>
        <w:rPr>
          <w:rFonts w:cs="Arial"/>
        </w:rPr>
        <w:tab/>
        <w:t xml:space="preserve">om </w:t>
      </w:r>
      <w:hyperlink r:id="rId2287"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29FCB825" w14:textId="77777777" w:rsidR="00D94935" w:rsidRPr="00140BF9" w:rsidRDefault="00D94935" w:rsidP="00D94935">
      <w:pPr>
        <w:pStyle w:val="AmdtsEntryHd"/>
        <w:rPr>
          <w:rFonts w:cs="Arial"/>
        </w:rPr>
      </w:pPr>
      <w:r w:rsidRPr="00140BF9">
        <w:rPr>
          <w:rFonts w:cs="Arial"/>
        </w:rPr>
        <w:t>Appeals to Court of Appeal—list of authorities, legislation and texts</w:t>
      </w:r>
    </w:p>
    <w:p w14:paraId="5F312454" w14:textId="77777777"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14:paraId="7B4B8FE4" w14:textId="0699066C" w:rsidR="001E57A5" w:rsidRPr="00140BF9" w:rsidRDefault="001E57A5" w:rsidP="001E57A5">
      <w:pPr>
        <w:pStyle w:val="AmdtsEntries"/>
        <w:rPr>
          <w:rFonts w:cs="Arial"/>
        </w:rPr>
      </w:pPr>
      <w:r>
        <w:rPr>
          <w:rFonts w:cs="Arial"/>
        </w:rPr>
        <w:t>r 5440</w:t>
      </w:r>
      <w:r>
        <w:rPr>
          <w:rFonts w:cs="Arial"/>
        </w:rPr>
        <w:tab/>
        <w:t xml:space="preserve">om </w:t>
      </w:r>
      <w:hyperlink r:id="rId2288"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1CDC14D1" w14:textId="77777777" w:rsidR="00D94935" w:rsidRPr="00140BF9" w:rsidRDefault="00D94935" w:rsidP="00D94935">
      <w:pPr>
        <w:pStyle w:val="AmdtsEntryHd"/>
        <w:rPr>
          <w:rFonts w:cs="Arial"/>
        </w:rPr>
      </w:pPr>
      <w:r w:rsidRPr="00140BF9">
        <w:rPr>
          <w:rFonts w:cs="Arial"/>
        </w:rPr>
        <w:t>Appeals to Court of Appeal—absence of party</w:t>
      </w:r>
    </w:p>
    <w:p w14:paraId="42175A7C" w14:textId="77777777"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14:paraId="14F7289B" w14:textId="62A5C6AE"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289"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14:paraId="68DD88D0" w14:textId="77777777" w:rsidR="00D94935" w:rsidRPr="00140BF9" w:rsidRDefault="00D94935" w:rsidP="00D94935">
      <w:pPr>
        <w:pStyle w:val="AmdtsEntryHd"/>
        <w:rPr>
          <w:rFonts w:cs="Arial"/>
        </w:rPr>
      </w:pPr>
      <w:r w:rsidRPr="00140BF9">
        <w:rPr>
          <w:rFonts w:cs="Arial"/>
        </w:rPr>
        <w:t>Appeals to Court of Appeal—insufficient material</w:t>
      </w:r>
    </w:p>
    <w:p w14:paraId="15D690D8" w14:textId="77777777"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14:paraId="637F7CEB" w14:textId="77777777" w:rsidR="00D94935" w:rsidRPr="00140BF9" w:rsidRDefault="00D94935" w:rsidP="00D94935">
      <w:pPr>
        <w:pStyle w:val="AmdtsEntryHd"/>
        <w:rPr>
          <w:rFonts w:cs="Arial"/>
        </w:rPr>
      </w:pPr>
      <w:r w:rsidRPr="00140BF9">
        <w:rPr>
          <w:rFonts w:cs="Arial"/>
        </w:rPr>
        <w:t>Appeals to Court of Appeal—abandonment of ground of appeal</w:t>
      </w:r>
    </w:p>
    <w:p w14:paraId="2CE82408" w14:textId="77777777"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14:paraId="60BB0685" w14:textId="77777777" w:rsidR="00D94935" w:rsidRPr="00140BF9" w:rsidRDefault="00D94935" w:rsidP="00D94935">
      <w:pPr>
        <w:pStyle w:val="AmdtsEntryHd"/>
        <w:rPr>
          <w:rFonts w:cs="Arial"/>
        </w:rPr>
      </w:pPr>
      <w:r w:rsidRPr="00140BF9">
        <w:rPr>
          <w:rFonts w:cs="Arial"/>
        </w:rPr>
        <w:t>Appeals to Court of Appeal—discontinuance of appeal</w:t>
      </w:r>
    </w:p>
    <w:p w14:paraId="01F5FE54" w14:textId="77777777"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14:paraId="552A801B" w14:textId="77777777" w:rsidR="00D94935" w:rsidRPr="00140BF9" w:rsidRDefault="00D94935" w:rsidP="00D94935">
      <w:pPr>
        <w:pStyle w:val="AmdtsEntryHd"/>
        <w:rPr>
          <w:rFonts w:cs="Arial"/>
        </w:rPr>
      </w:pPr>
      <w:r w:rsidRPr="00140BF9">
        <w:rPr>
          <w:rFonts w:cs="Arial"/>
        </w:rPr>
        <w:t>Appeals to Court of Appeal—competency of appeal</w:t>
      </w:r>
    </w:p>
    <w:p w14:paraId="5A81705D" w14:textId="77777777"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14:paraId="32C0877D" w14:textId="5385F310"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2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14:paraId="1F1A88E0" w14:textId="77777777"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14:paraId="5801B145" w14:textId="77777777"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14:paraId="53FA913C" w14:textId="77777777" w:rsidR="00D94935" w:rsidRPr="00140BF9" w:rsidRDefault="00D94935" w:rsidP="00D94935">
      <w:pPr>
        <w:pStyle w:val="AmdtsEntryHd"/>
        <w:rPr>
          <w:rFonts w:cs="Arial"/>
        </w:rPr>
      </w:pPr>
      <w:r w:rsidRPr="00140BF9">
        <w:rPr>
          <w:rFonts w:cs="Arial"/>
        </w:rPr>
        <w:t>Appeals to Court of Appeal—dismissal by consent</w:t>
      </w:r>
    </w:p>
    <w:p w14:paraId="4EA29D96" w14:textId="77777777"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14:paraId="4F8467D2" w14:textId="77777777" w:rsidR="00D94935" w:rsidRPr="00140BF9" w:rsidRDefault="00D94935" w:rsidP="00D94935">
      <w:pPr>
        <w:pStyle w:val="AmdtsEntryHd"/>
        <w:rPr>
          <w:rFonts w:cs="Arial"/>
        </w:rPr>
      </w:pPr>
      <w:r w:rsidRPr="00140BF9">
        <w:rPr>
          <w:rFonts w:cs="Arial"/>
        </w:rPr>
        <w:t>Appeals to Court of Appeal—consent orders</w:t>
      </w:r>
    </w:p>
    <w:p w14:paraId="258FC572" w14:textId="77777777"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14:paraId="17967E4F" w14:textId="77777777" w:rsidR="00D94935" w:rsidRPr="00140BF9" w:rsidRDefault="00D94935" w:rsidP="00D94935">
      <w:pPr>
        <w:pStyle w:val="AmdtsEntryHd"/>
        <w:rPr>
          <w:rFonts w:cs="Arial"/>
        </w:rPr>
      </w:pPr>
      <w:r w:rsidRPr="00140BF9">
        <w:rPr>
          <w:rFonts w:cs="Arial"/>
        </w:rPr>
        <w:t>Definitions—div 5.4.7</w:t>
      </w:r>
    </w:p>
    <w:p w14:paraId="037852A7" w14:textId="77777777"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14:paraId="3A077BC1" w14:textId="77777777" w:rsidR="00D94935" w:rsidRPr="00140BF9" w:rsidRDefault="00D94935" w:rsidP="00D94935">
      <w:pPr>
        <w:pStyle w:val="AmdtsEntryHd"/>
        <w:rPr>
          <w:rFonts w:cs="Arial"/>
        </w:rPr>
      </w:pPr>
      <w:r w:rsidRPr="00140BF9">
        <w:rPr>
          <w:rFonts w:cs="Arial"/>
        </w:rPr>
        <w:lastRenderedPageBreak/>
        <w:t>Application—sdiv 5.4.7.2</w:t>
      </w:r>
    </w:p>
    <w:p w14:paraId="4C235F99" w14:textId="77777777"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14:paraId="04174B2D" w14:textId="77777777"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14:paraId="0CABA19E" w14:textId="77777777"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14:paraId="4179D510" w14:textId="2A7E7E22" w:rsidR="00936B00" w:rsidRDefault="007D5FBD" w:rsidP="00D94935">
      <w:pPr>
        <w:pStyle w:val="AmdtsEntryHd"/>
      </w:pPr>
      <w:r>
        <w:t>Appeals to Court of Appeal—application for leave to appeal out of time against conviction or sentence to be sealed</w:t>
      </w:r>
    </w:p>
    <w:p w14:paraId="1747D2BC" w14:textId="795FFD8B" w:rsidR="007D5FBD" w:rsidRPr="007D5FBD" w:rsidRDefault="007D5FBD" w:rsidP="007D5FBD">
      <w:pPr>
        <w:pStyle w:val="AmdtsEntries"/>
      </w:pPr>
      <w:r>
        <w:t>r 5507</w:t>
      </w:r>
      <w:r>
        <w:tab/>
        <w:t xml:space="preserve">am </w:t>
      </w:r>
      <w:hyperlink r:id="rId2291" w:tooltip="Court Procedures Amendment Rules 2023 (No 2)" w:history="1">
        <w:r>
          <w:rPr>
            <w:rStyle w:val="charCitHyperlinkAbbrev"/>
          </w:rPr>
          <w:t>SL2023</w:t>
        </w:r>
        <w:r>
          <w:rPr>
            <w:rStyle w:val="charCitHyperlinkAbbrev"/>
          </w:rPr>
          <w:noBreakHyphen/>
          <w:t>36</w:t>
        </w:r>
      </w:hyperlink>
      <w:r>
        <w:t xml:space="preserve"> r 45</w:t>
      </w:r>
    </w:p>
    <w:p w14:paraId="2F63DA94" w14:textId="3711D088"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14:paraId="24C531BD" w14:textId="77777777"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14:paraId="3C11EE8F" w14:textId="77777777"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14:paraId="16F9C80E" w14:textId="77777777"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14:paraId="077C8E57" w14:textId="77777777"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14:paraId="506D5D7F" w14:textId="77777777"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14:paraId="0EA8AC54" w14:textId="77777777" w:rsidR="00D94935" w:rsidRPr="00140BF9" w:rsidRDefault="00D94935" w:rsidP="00D94935">
      <w:pPr>
        <w:pStyle w:val="AmdtsEntryHd"/>
        <w:rPr>
          <w:rFonts w:cs="Arial"/>
        </w:rPr>
      </w:pPr>
      <w:r w:rsidRPr="00140BF9">
        <w:rPr>
          <w:rFonts w:cs="Arial"/>
        </w:rPr>
        <w:t>Application of div 5.4.3 to certain appeals by DPP</w:t>
      </w:r>
    </w:p>
    <w:p w14:paraId="77E7C829" w14:textId="77777777"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14:paraId="11F6CF33" w14:textId="77777777" w:rsidR="00D94935" w:rsidRPr="00140BF9" w:rsidRDefault="00D94935" w:rsidP="00D94935">
      <w:pPr>
        <w:pStyle w:val="AmdtsEntryHd"/>
        <w:rPr>
          <w:rFonts w:cs="Arial"/>
        </w:rPr>
      </w:pPr>
      <w:r w:rsidRPr="00140BF9">
        <w:rPr>
          <w:rFonts w:cs="Arial"/>
        </w:rPr>
        <w:t>Appeals to Court of Appeal—treating application for leave to appeal out of time against conviction or sentence as appeal</w:t>
      </w:r>
    </w:p>
    <w:p w14:paraId="44778635" w14:textId="77777777"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14:paraId="38647F50" w14:textId="77777777" w:rsidR="00D94935" w:rsidRPr="00140BF9" w:rsidRDefault="00D94935" w:rsidP="00D94935">
      <w:pPr>
        <w:pStyle w:val="AmdtsEntryHd"/>
        <w:rPr>
          <w:rFonts w:cs="Arial"/>
        </w:rPr>
      </w:pPr>
      <w:r w:rsidRPr="00140BF9">
        <w:rPr>
          <w:rFonts w:cs="Arial"/>
        </w:rPr>
        <w:t>Appeals to Court of Appeal—grounds of appeal against conviction or sentence</w:t>
      </w:r>
    </w:p>
    <w:p w14:paraId="0274F4A9" w14:textId="77777777"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14:paraId="5BDAADA4" w14:textId="77777777"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14:paraId="6F4459E6" w14:textId="77777777"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14:paraId="2C39BDEC" w14:textId="77777777" w:rsidR="00D94935" w:rsidRPr="00140BF9" w:rsidRDefault="00D94935" w:rsidP="00D94935">
      <w:pPr>
        <w:pStyle w:val="AmdtsEntryHd"/>
        <w:rPr>
          <w:rFonts w:cs="Arial"/>
        </w:rPr>
      </w:pPr>
      <w:r w:rsidRPr="00140BF9">
        <w:rPr>
          <w:rFonts w:cs="Arial"/>
        </w:rPr>
        <w:t>Appeals to Court of Appeal—service if convicted person in custody and unrepresented</w:t>
      </w:r>
    </w:p>
    <w:p w14:paraId="3E37D9D5" w14:textId="77777777"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14:paraId="7FAC84B6" w14:textId="673EA2B9"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29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186C2D23" w14:textId="77777777" w:rsidR="00D94935" w:rsidRPr="00140BF9" w:rsidRDefault="00D94935" w:rsidP="00D94935">
      <w:pPr>
        <w:pStyle w:val="AmdtsEntryHd"/>
        <w:rPr>
          <w:rFonts w:cs="Arial"/>
        </w:rPr>
      </w:pPr>
      <w:r w:rsidRPr="00140BF9">
        <w:rPr>
          <w:rFonts w:cs="Arial"/>
        </w:rPr>
        <w:t>Appeals to Court of Appeal—written case and presence if convicted person appellant</w:t>
      </w:r>
    </w:p>
    <w:p w14:paraId="090C444D" w14:textId="77777777"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14:paraId="36A4F45F" w14:textId="77777777" w:rsidR="00D94935" w:rsidRPr="00140BF9" w:rsidRDefault="00D94935" w:rsidP="00D94935">
      <w:pPr>
        <w:pStyle w:val="AmdtsEntryHd"/>
        <w:rPr>
          <w:rFonts w:cs="Arial"/>
        </w:rPr>
      </w:pPr>
      <w:r w:rsidRPr="00140BF9">
        <w:rPr>
          <w:rFonts w:cs="Arial"/>
        </w:rPr>
        <w:t>Appeals to Court of Appeal—order for production of offender</w:t>
      </w:r>
    </w:p>
    <w:p w14:paraId="713FB567" w14:textId="77777777"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14:paraId="341F28E7" w14:textId="77777777" w:rsidR="00D94935" w:rsidRPr="00140BF9" w:rsidRDefault="00D94935" w:rsidP="00D94935">
      <w:pPr>
        <w:pStyle w:val="AmdtsEntryHd"/>
        <w:rPr>
          <w:rFonts w:cs="Arial"/>
        </w:rPr>
      </w:pPr>
      <w:r w:rsidRPr="00140BF9">
        <w:rPr>
          <w:rFonts w:cs="Arial"/>
        </w:rPr>
        <w:t>Appeals to Court of Appeal—fine paid to be kept pending appeal</w:t>
      </w:r>
    </w:p>
    <w:p w14:paraId="2A7102C1" w14:textId="77777777" w:rsidR="00D94935" w:rsidRDefault="00D94935" w:rsidP="00D94935">
      <w:pPr>
        <w:pStyle w:val="AmdtsEntries"/>
        <w:rPr>
          <w:rFonts w:eastAsiaTheme="minorEastAsia" w:cs="Arial"/>
          <w:szCs w:val="22"/>
          <w:lang w:eastAsia="en-AU"/>
        </w:rPr>
      </w:pPr>
      <w:r w:rsidRPr="00140BF9">
        <w:rPr>
          <w:rFonts w:cs="Arial"/>
        </w:rPr>
        <w:t>r 5536 hdg</w:t>
      </w:r>
      <w:r w:rsidRPr="00140BF9">
        <w:rPr>
          <w:rFonts w:eastAsiaTheme="minorEastAsia" w:cs="Arial"/>
          <w:szCs w:val="22"/>
          <w:lang w:eastAsia="en-AU"/>
        </w:rPr>
        <w:tab/>
        <w:t>bracketed note om R29 LA</w:t>
      </w:r>
    </w:p>
    <w:p w14:paraId="6AA21A8D" w14:textId="2DB25103" w:rsidR="00F33DCC" w:rsidRPr="00140BF9" w:rsidRDefault="00F33DCC" w:rsidP="00D94935">
      <w:pPr>
        <w:pStyle w:val="AmdtsEntries"/>
        <w:rPr>
          <w:rFonts w:cs="Arial"/>
        </w:rPr>
      </w:pPr>
      <w:r>
        <w:rPr>
          <w:rFonts w:eastAsiaTheme="minorEastAsia" w:cs="Arial"/>
          <w:szCs w:val="22"/>
          <w:lang w:eastAsia="en-AU"/>
        </w:rPr>
        <w:t>r 5536</w:t>
      </w:r>
      <w:r>
        <w:rPr>
          <w:rFonts w:eastAsiaTheme="minorEastAsia" w:cs="Arial"/>
          <w:szCs w:val="22"/>
          <w:lang w:eastAsia="en-AU"/>
        </w:rPr>
        <w:tab/>
        <w:t xml:space="preserve">am </w:t>
      </w:r>
      <w:hyperlink r:id="rId2293" w:tooltip="Court Procedures Amendment Rules 2024 (No 2)" w:history="1">
        <w:r>
          <w:rPr>
            <w:rStyle w:val="charCitHyperlinkAbbrev"/>
          </w:rPr>
          <w:t>SL2024</w:t>
        </w:r>
        <w:r>
          <w:rPr>
            <w:rStyle w:val="charCitHyperlinkAbbrev"/>
          </w:rPr>
          <w:noBreakHyphen/>
          <w:t>37</w:t>
        </w:r>
      </w:hyperlink>
      <w:r>
        <w:rPr>
          <w:rFonts w:eastAsiaTheme="minorEastAsia" w:cs="Arial"/>
          <w:szCs w:val="22"/>
          <w:lang w:eastAsia="en-AU"/>
        </w:rPr>
        <w:t xml:space="preserve"> r 5</w:t>
      </w:r>
    </w:p>
    <w:p w14:paraId="4C8381FA" w14:textId="77777777" w:rsidR="00D94935" w:rsidRPr="00140BF9" w:rsidRDefault="00D94935" w:rsidP="00D94935">
      <w:pPr>
        <w:pStyle w:val="AmdtsEntryHd"/>
        <w:rPr>
          <w:rFonts w:cs="Arial"/>
        </w:rPr>
      </w:pPr>
      <w:r w:rsidRPr="00140BF9">
        <w:rPr>
          <w:rFonts w:cs="Arial"/>
        </w:rPr>
        <w:lastRenderedPageBreak/>
        <w:t>Appeals to Court of Appeal—solicitor’s instructions to act for convicted person ended</w:t>
      </w:r>
    </w:p>
    <w:p w14:paraId="6C1E21D1" w14:textId="77777777"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14:paraId="6FF2B9B3" w14:textId="5AB1D872" w:rsidR="00F33DCC" w:rsidRPr="00140BF9" w:rsidRDefault="00F33DCC" w:rsidP="00F33DCC">
      <w:pPr>
        <w:pStyle w:val="AmdtsEntries"/>
        <w:rPr>
          <w:rFonts w:cs="Arial"/>
        </w:rPr>
      </w:pPr>
      <w:r>
        <w:rPr>
          <w:rFonts w:eastAsiaTheme="minorEastAsia" w:cs="Arial"/>
          <w:szCs w:val="22"/>
          <w:lang w:eastAsia="en-AU"/>
        </w:rPr>
        <w:t>r 5537</w:t>
      </w:r>
      <w:r>
        <w:rPr>
          <w:rFonts w:eastAsiaTheme="minorEastAsia" w:cs="Arial"/>
          <w:szCs w:val="22"/>
          <w:lang w:eastAsia="en-AU"/>
        </w:rPr>
        <w:tab/>
        <w:t xml:space="preserve">am </w:t>
      </w:r>
      <w:hyperlink r:id="rId2294" w:tooltip="Court Procedures Amendment Rules 2024 (No 2)" w:history="1">
        <w:r>
          <w:rPr>
            <w:rStyle w:val="charCitHyperlinkAbbrev"/>
          </w:rPr>
          <w:t>SL2024</w:t>
        </w:r>
        <w:r>
          <w:rPr>
            <w:rStyle w:val="charCitHyperlinkAbbrev"/>
          </w:rPr>
          <w:noBreakHyphen/>
          <w:t>37</w:t>
        </w:r>
      </w:hyperlink>
      <w:r>
        <w:rPr>
          <w:rFonts w:eastAsiaTheme="minorEastAsia" w:cs="Arial"/>
          <w:szCs w:val="22"/>
          <w:lang w:eastAsia="en-AU"/>
        </w:rPr>
        <w:t xml:space="preserve"> r 6</w:t>
      </w:r>
    </w:p>
    <w:p w14:paraId="5B045280" w14:textId="77777777"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14:paraId="4FDDD0D7" w14:textId="77777777"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14:paraId="65F926DA" w14:textId="143F8F9C" w:rsidR="00F33DCC" w:rsidRPr="00140BF9" w:rsidRDefault="00F33DCC" w:rsidP="00F33DCC">
      <w:pPr>
        <w:pStyle w:val="AmdtsEntries"/>
        <w:rPr>
          <w:rFonts w:cs="Arial"/>
        </w:rPr>
      </w:pPr>
      <w:r>
        <w:rPr>
          <w:rFonts w:eastAsiaTheme="minorEastAsia" w:cs="Arial"/>
          <w:szCs w:val="22"/>
          <w:lang w:eastAsia="en-AU"/>
        </w:rPr>
        <w:t>r 5538</w:t>
      </w:r>
      <w:r>
        <w:rPr>
          <w:rFonts w:eastAsiaTheme="minorEastAsia" w:cs="Arial"/>
          <w:szCs w:val="22"/>
          <w:lang w:eastAsia="en-AU"/>
        </w:rPr>
        <w:tab/>
        <w:t xml:space="preserve">am </w:t>
      </w:r>
      <w:hyperlink r:id="rId2295" w:tooltip="Court Procedures Amendment Rules 2024 (No 2)" w:history="1">
        <w:r>
          <w:rPr>
            <w:rStyle w:val="charCitHyperlinkAbbrev"/>
          </w:rPr>
          <w:t>SL2024</w:t>
        </w:r>
        <w:r>
          <w:rPr>
            <w:rStyle w:val="charCitHyperlinkAbbrev"/>
          </w:rPr>
          <w:noBreakHyphen/>
          <w:t>37</w:t>
        </w:r>
      </w:hyperlink>
      <w:r>
        <w:rPr>
          <w:rFonts w:eastAsiaTheme="minorEastAsia" w:cs="Arial"/>
          <w:szCs w:val="22"/>
          <w:lang w:eastAsia="en-AU"/>
        </w:rPr>
        <w:t xml:space="preserve"> r 6</w:t>
      </w:r>
    </w:p>
    <w:p w14:paraId="0BA1A7DE" w14:textId="77777777" w:rsidR="00D94935" w:rsidRPr="00140BF9" w:rsidRDefault="00D94935" w:rsidP="00D94935">
      <w:pPr>
        <w:pStyle w:val="AmdtsEntryHd"/>
        <w:rPr>
          <w:rFonts w:cs="Arial"/>
        </w:rPr>
      </w:pPr>
      <w:r w:rsidRPr="00140BF9">
        <w:rPr>
          <w:rFonts w:cs="Arial"/>
        </w:rPr>
        <w:t>Appeals to Court of Appeal—notification of result of appeal against conviction etc</w:t>
      </w:r>
    </w:p>
    <w:p w14:paraId="53B1A85E" w14:textId="77777777"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14:paraId="61950B3E" w14:textId="77777777" w:rsidR="00D94935" w:rsidRPr="00140BF9" w:rsidRDefault="00D94935" w:rsidP="00D94935">
      <w:pPr>
        <w:pStyle w:val="AmdtsEntryHd"/>
        <w:rPr>
          <w:rFonts w:cs="Arial"/>
        </w:rPr>
      </w:pPr>
      <w:r w:rsidRPr="00140BF9">
        <w:rPr>
          <w:rFonts w:cs="Arial"/>
        </w:rPr>
        <w:t>Appeals to Court of Appeal—power to amend proceedings in court below</w:t>
      </w:r>
    </w:p>
    <w:p w14:paraId="2DDD3559" w14:textId="77777777"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14:paraId="1A54596C" w14:textId="77777777" w:rsidR="00D94935" w:rsidRPr="00140BF9" w:rsidRDefault="00D94935" w:rsidP="00D94935">
      <w:pPr>
        <w:pStyle w:val="AmdtsEntryHd"/>
        <w:rPr>
          <w:rFonts w:cs="Arial"/>
        </w:rPr>
      </w:pPr>
      <w:r w:rsidRPr="00140BF9">
        <w:rPr>
          <w:rFonts w:cs="Arial"/>
        </w:rPr>
        <w:t>Appeals to Court of Appeal—expediting appeals etc</w:t>
      </w:r>
    </w:p>
    <w:p w14:paraId="30F73FA7" w14:textId="77777777"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14:paraId="1851C515" w14:textId="77777777" w:rsidR="00D94935" w:rsidRPr="00140BF9" w:rsidRDefault="00D94935" w:rsidP="00D94935">
      <w:pPr>
        <w:pStyle w:val="AmdtsEntryHd"/>
        <w:rPr>
          <w:rFonts w:cs="Arial"/>
        </w:rPr>
      </w:pPr>
      <w:r w:rsidRPr="00140BF9">
        <w:rPr>
          <w:rFonts w:cs="Arial"/>
        </w:rPr>
        <w:t>Appeals to Court of Appeal—directions about appeal etc</w:t>
      </w:r>
    </w:p>
    <w:p w14:paraId="14028130" w14:textId="77777777"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14:paraId="3F22B7A6" w14:textId="77777777" w:rsidR="00D94935" w:rsidRPr="00140BF9" w:rsidRDefault="00D94935" w:rsidP="00D94935">
      <w:pPr>
        <w:pStyle w:val="AmdtsEntryHd"/>
        <w:rPr>
          <w:rFonts w:cs="Arial"/>
        </w:rPr>
      </w:pPr>
      <w:r w:rsidRPr="00140BF9">
        <w:rPr>
          <w:rFonts w:cs="Arial"/>
        </w:rPr>
        <w:t>Appeals to Court of Appeal—want of prosecution of appeal</w:t>
      </w:r>
    </w:p>
    <w:p w14:paraId="31EC3166" w14:textId="77777777"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14:paraId="4D2FE494" w14:textId="77777777" w:rsidR="00D94935" w:rsidRPr="00140BF9" w:rsidRDefault="00D94935" w:rsidP="00D94935">
      <w:pPr>
        <w:pStyle w:val="AmdtsEntryHd"/>
        <w:rPr>
          <w:rFonts w:cs="Arial"/>
        </w:rPr>
      </w:pPr>
      <w:r w:rsidRPr="00140BF9">
        <w:rPr>
          <w:rFonts w:cs="Arial"/>
        </w:rPr>
        <w:t>When Court of Appeal may be constituted by single judge—</w:t>
      </w:r>
      <w:r w:rsidRPr="00140BF9">
        <w:rPr>
          <w:rFonts w:cs="Arial"/>
          <w:iCs/>
        </w:rPr>
        <w:t>Supreme Court Act 1933</w:t>
      </w:r>
      <w:r w:rsidRPr="00140BF9">
        <w:rPr>
          <w:rFonts w:cs="Arial"/>
        </w:rPr>
        <w:t>, s 37J (1) (h)</w:t>
      </w:r>
    </w:p>
    <w:p w14:paraId="4160E964" w14:textId="77777777"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14:paraId="3DE6832F" w14:textId="77777777"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14:paraId="4F438474" w14:textId="77777777"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14:paraId="6C3D42EF" w14:textId="77777777" w:rsidR="00D94935" w:rsidRPr="00140BF9" w:rsidRDefault="00D94935" w:rsidP="00D94935">
      <w:pPr>
        <w:pStyle w:val="AmdtsEntryHd"/>
        <w:rPr>
          <w:rFonts w:cs="Arial"/>
        </w:rPr>
      </w:pPr>
      <w:r w:rsidRPr="00140BF9">
        <w:rPr>
          <w:rFonts w:cs="Arial"/>
        </w:rPr>
        <w:t>Appeals to Court of Appeal—further evidence on appeal</w:t>
      </w:r>
    </w:p>
    <w:p w14:paraId="053DC124" w14:textId="77777777" w:rsidR="00D94935" w:rsidRDefault="00D94935" w:rsidP="00D94935">
      <w:pPr>
        <w:pStyle w:val="AmdtsEntries"/>
        <w:rPr>
          <w:rFonts w:eastAsiaTheme="minorEastAsia" w:cs="Arial"/>
          <w:szCs w:val="22"/>
          <w:lang w:eastAsia="en-AU"/>
        </w:rPr>
      </w:pPr>
      <w:r w:rsidRPr="00140BF9">
        <w:rPr>
          <w:rFonts w:cs="Arial"/>
        </w:rPr>
        <w:t>r 5606 hdg</w:t>
      </w:r>
      <w:r w:rsidRPr="00140BF9">
        <w:rPr>
          <w:rFonts w:eastAsiaTheme="minorEastAsia" w:cs="Arial"/>
          <w:szCs w:val="22"/>
          <w:lang w:eastAsia="en-AU"/>
        </w:rPr>
        <w:tab/>
        <w:t>bracketed note om R29 LA</w:t>
      </w:r>
    </w:p>
    <w:p w14:paraId="64A06B69" w14:textId="58B96AC8" w:rsidR="007D5FBD" w:rsidRPr="00140BF9" w:rsidRDefault="007D5FBD" w:rsidP="00D94935">
      <w:pPr>
        <w:pStyle w:val="AmdtsEntries"/>
        <w:rPr>
          <w:rFonts w:cs="Arial"/>
        </w:rPr>
      </w:pPr>
      <w:r>
        <w:rPr>
          <w:rFonts w:eastAsiaTheme="minorEastAsia" w:cs="Arial"/>
          <w:szCs w:val="22"/>
          <w:lang w:eastAsia="en-AU"/>
        </w:rPr>
        <w:t>r 5606</w:t>
      </w:r>
      <w:r>
        <w:rPr>
          <w:rFonts w:eastAsiaTheme="minorEastAsia" w:cs="Arial"/>
          <w:szCs w:val="22"/>
          <w:lang w:eastAsia="en-AU"/>
        </w:rPr>
        <w:tab/>
        <w:t xml:space="preserve">am </w:t>
      </w:r>
      <w:hyperlink r:id="rId2296"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46</w:t>
      </w:r>
    </w:p>
    <w:p w14:paraId="2D272E5D" w14:textId="77777777" w:rsidR="00D94935" w:rsidRPr="00140BF9" w:rsidRDefault="00D94935" w:rsidP="00D94935">
      <w:pPr>
        <w:pStyle w:val="AmdtsEntryHd"/>
        <w:rPr>
          <w:rFonts w:cs="Arial"/>
        </w:rPr>
      </w:pPr>
      <w:r w:rsidRPr="00140BF9">
        <w:rPr>
          <w:rFonts w:cs="Arial"/>
        </w:rPr>
        <w:t>Appeals to Court of Appeal—keeping exhibits</w:t>
      </w:r>
    </w:p>
    <w:p w14:paraId="532A66AC" w14:textId="77777777"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14:paraId="1CB1B9D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14:paraId="693423E8" w14:textId="77777777"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14:paraId="10526635" w14:textId="77777777" w:rsidR="00D94935" w:rsidRPr="00140BF9" w:rsidRDefault="00D94935" w:rsidP="00D94935">
      <w:pPr>
        <w:pStyle w:val="AmdtsEntryHd"/>
        <w:rPr>
          <w:rFonts w:cs="Arial"/>
        </w:rPr>
      </w:pPr>
      <w:r w:rsidRPr="00140BF9">
        <w:rPr>
          <w:rFonts w:cs="Arial"/>
        </w:rPr>
        <w:t>Review orders—application for order</w:t>
      </w:r>
    </w:p>
    <w:p w14:paraId="4427BA73" w14:textId="77777777"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14:paraId="43289449" w14:textId="77777777" w:rsidR="00D94935" w:rsidRPr="00140BF9" w:rsidRDefault="00D94935" w:rsidP="00D94935">
      <w:pPr>
        <w:pStyle w:val="AmdtsEntryHd"/>
        <w:rPr>
          <w:rFonts w:cs="Arial"/>
        </w:rPr>
      </w:pPr>
      <w:r w:rsidRPr="00140BF9">
        <w:rPr>
          <w:rFonts w:cs="Arial"/>
        </w:rPr>
        <w:t>Review orders—affidavits</w:t>
      </w:r>
    </w:p>
    <w:p w14:paraId="06CD8B71" w14:textId="77777777"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14:paraId="166B1624" w14:textId="77777777" w:rsidR="00D94935" w:rsidRPr="00140BF9" w:rsidRDefault="00D94935" w:rsidP="00D94935">
      <w:pPr>
        <w:pStyle w:val="AmdtsEntryHd"/>
        <w:rPr>
          <w:rFonts w:cs="Arial"/>
        </w:rPr>
      </w:pPr>
      <w:r w:rsidRPr="00140BF9">
        <w:rPr>
          <w:rFonts w:cs="Arial"/>
        </w:rPr>
        <w:t>Review orders—service of applications</w:t>
      </w:r>
    </w:p>
    <w:p w14:paraId="253D1D60" w14:textId="77777777"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14:paraId="349CAB7D" w14:textId="77777777" w:rsidR="00D94935" w:rsidRPr="00140BF9" w:rsidRDefault="00D94935" w:rsidP="00D94935">
      <w:pPr>
        <w:pStyle w:val="AmdtsEntryHd"/>
        <w:rPr>
          <w:rFonts w:cs="Arial"/>
        </w:rPr>
      </w:pPr>
      <w:r w:rsidRPr="00140BF9">
        <w:rPr>
          <w:rFonts w:cs="Arial"/>
        </w:rPr>
        <w:lastRenderedPageBreak/>
        <w:t>Review orders—parties</w:t>
      </w:r>
    </w:p>
    <w:p w14:paraId="796BBC6A" w14:textId="77777777"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14:paraId="35281ED4" w14:textId="77777777" w:rsidR="00D94935" w:rsidRPr="00140BF9" w:rsidRDefault="00D94935" w:rsidP="00D94935">
      <w:pPr>
        <w:pStyle w:val="AmdtsEntryHd"/>
        <w:rPr>
          <w:rFonts w:cs="Arial"/>
        </w:rPr>
      </w:pPr>
      <w:r w:rsidRPr="00140BF9">
        <w:rPr>
          <w:rFonts w:cs="Arial"/>
        </w:rPr>
        <w:t>Review orders—service of review order</w:t>
      </w:r>
    </w:p>
    <w:p w14:paraId="5F336948" w14:textId="77777777"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14:paraId="525AC6D2" w14:textId="77777777" w:rsidR="00D94935" w:rsidRPr="00140BF9" w:rsidRDefault="00D94935" w:rsidP="00D94935">
      <w:pPr>
        <w:pStyle w:val="AmdtsEntryHd"/>
        <w:rPr>
          <w:rFonts w:cs="Arial"/>
        </w:rPr>
      </w:pPr>
      <w:r w:rsidRPr="00140BF9">
        <w:rPr>
          <w:rFonts w:cs="Arial"/>
        </w:rPr>
        <w:t>Review orders—notice of intention to respond to review order</w:t>
      </w:r>
    </w:p>
    <w:p w14:paraId="7F8A540E" w14:textId="77777777"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14:paraId="78C7A142" w14:textId="77777777" w:rsidR="00D94935" w:rsidRPr="00140BF9" w:rsidRDefault="00D94935" w:rsidP="00D94935">
      <w:pPr>
        <w:pStyle w:val="AmdtsEntryHd"/>
        <w:rPr>
          <w:rFonts w:cs="Arial"/>
        </w:rPr>
      </w:pPr>
      <w:r w:rsidRPr="00140BF9">
        <w:rPr>
          <w:rFonts w:cs="Arial"/>
        </w:rPr>
        <w:t>Review orders—security for costs</w:t>
      </w:r>
    </w:p>
    <w:p w14:paraId="1D824AB4" w14:textId="77777777"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14:paraId="2A789A42" w14:textId="77777777" w:rsidR="00D94935" w:rsidRPr="00140BF9" w:rsidRDefault="00D94935" w:rsidP="00D94935">
      <w:pPr>
        <w:pStyle w:val="AmdtsEntryHd"/>
        <w:rPr>
          <w:rFonts w:cs="Arial"/>
        </w:rPr>
      </w:pPr>
      <w:r w:rsidRPr="00140BF9">
        <w:rPr>
          <w:rFonts w:cs="Arial"/>
        </w:rPr>
        <w:t>Review orders—stay</w:t>
      </w:r>
    </w:p>
    <w:p w14:paraId="6FC298A9" w14:textId="77777777"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14:paraId="17677E90" w14:textId="77777777" w:rsidR="00D94935" w:rsidRPr="00140BF9" w:rsidRDefault="00D94935" w:rsidP="00D94935">
      <w:pPr>
        <w:pStyle w:val="AmdtsEntryHd"/>
        <w:rPr>
          <w:rFonts w:cs="Arial"/>
        </w:rPr>
      </w:pPr>
      <w:r w:rsidRPr="00140BF9">
        <w:rPr>
          <w:rFonts w:cs="Arial"/>
        </w:rPr>
        <w:t>Review orders—non-appearance of applicant</w:t>
      </w:r>
    </w:p>
    <w:p w14:paraId="786F14D4" w14:textId="77777777"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14:paraId="587F03E6" w14:textId="77777777" w:rsidR="00D94935" w:rsidRPr="00140BF9" w:rsidRDefault="00D94935" w:rsidP="00D94935">
      <w:pPr>
        <w:pStyle w:val="AmdtsEntryHd"/>
        <w:rPr>
          <w:rFonts w:cs="Arial"/>
        </w:rPr>
      </w:pPr>
      <w:r w:rsidRPr="00140BF9">
        <w:rPr>
          <w:rFonts w:cs="Arial"/>
        </w:rPr>
        <w:t>Review orders—application to revoke review order</w:t>
      </w:r>
    </w:p>
    <w:p w14:paraId="1BC56433" w14:textId="77777777"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14:paraId="7EA1C39A" w14:textId="77777777" w:rsidR="00D94935" w:rsidRPr="00140BF9" w:rsidRDefault="00D94935" w:rsidP="00D94935">
      <w:pPr>
        <w:pStyle w:val="AmdtsEntryHd"/>
        <w:rPr>
          <w:rFonts w:cs="Arial"/>
        </w:rPr>
      </w:pPr>
      <w:r w:rsidRPr="00140BF9">
        <w:rPr>
          <w:rFonts w:cs="Arial"/>
        </w:rPr>
        <w:t>Definitions—div 5.6.1</w:t>
      </w:r>
    </w:p>
    <w:p w14:paraId="1ED9EB4D" w14:textId="77777777"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14:paraId="2924A24B" w14:textId="77777777" w:rsidR="00D94935" w:rsidRPr="00140BF9" w:rsidRDefault="00D94935" w:rsidP="00D94935">
      <w:pPr>
        <w:pStyle w:val="AmdtsEntryHd"/>
        <w:rPr>
          <w:rFonts w:cs="Arial"/>
        </w:rPr>
      </w:pPr>
      <w:r w:rsidRPr="00140BF9">
        <w:rPr>
          <w:rFonts w:cs="Arial"/>
        </w:rPr>
        <w:t>Reference appeals to Supreme Court—application for reference appeal</w:t>
      </w:r>
    </w:p>
    <w:p w14:paraId="7D72EF5C" w14:textId="77777777"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14:paraId="3D558DA4" w14:textId="77777777" w:rsidR="00D94935" w:rsidRPr="00140BF9" w:rsidRDefault="00D94935" w:rsidP="00D94935">
      <w:pPr>
        <w:pStyle w:val="AmdtsEntryHd"/>
        <w:rPr>
          <w:rFonts w:cs="Arial"/>
        </w:rPr>
      </w:pPr>
      <w:r w:rsidRPr="00140BF9">
        <w:rPr>
          <w:rFonts w:cs="Arial"/>
        </w:rPr>
        <w:t>Reference appeals to Supreme Court—service of application etc for reference appeal</w:t>
      </w:r>
    </w:p>
    <w:p w14:paraId="162791BD" w14:textId="77777777"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14:paraId="070ECC3E" w14:textId="77777777" w:rsidR="00D94935" w:rsidRPr="00140BF9" w:rsidRDefault="00D94935" w:rsidP="00D94935">
      <w:pPr>
        <w:pStyle w:val="AmdtsEntryHd"/>
        <w:rPr>
          <w:rFonts w:cs="Arial"/>
        </w:rPr>
      </w:pPr>
      <w:r w:rsidRPr="00140BF9">
        <w:rPr>
          <w:rFonts w:cs="Arial"/>
        </w:rPr>
        <w:t>Reference appeals to Supreme Court—notice of intention to respond by interested party</w:t>
      </w:r>
    </w:p>
    <w:p w14:paraId="5DBE0C10" w14:textId="77777777"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14:paraId="5EE19BBA" w14:textId="77777777" w:rsidR="00D94935" w:rsidRPr="00140BF9" w:rsidRDefault="00D94935" w:rsidP="00D94935">
      <w:pPr>
        <w:pStyle w:val="AmdtsEntryHd"/>
        <w:rPr>
          <w:rFonts w:cs="Arial"/>
        </w:rPr>
      </w:pPr>
      <w:r w:rsidRPr="00140BF9">
        <w:rPr>
          <w:rFonts w:cs="Arial"/>
        </w:rPr>
        <w:t>Reference appeals to Supreme Court—discontinuance of reference appeal</w:t>
      </w:r>
    </w:p>
    <w:p w14:paraId="10200737" w14:textId="77777777"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14:paraId="37C177E3" w14:textId="77777777" w:rsidR="00D94935" w:rsidRPr="00140BF9" w:rsidRDefault="00D94935" w:rsidP="00D94935">
      <w:pPr>
        <w:pStyle w:val="AmdtsEntryHd"/>
        <w:rPr>
          <w:rFonts w:cs="Arial"/>
        </w:rPr>
      </w:pPr>
      <w:r w:rsidRPr="00140BF9">
        <w:rPr>
          <w:rFonts w:cs="Arial"/>
        </w:rPr>
        <w:t>Reference appeals to Supreme Court—application of certain rules to reference appeals</w:t>
      </w:r>
    </w:p>
    <w:p w14:paraId="14210E11" w14:textId="77777777"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14:paraId="53256A68" w14:textId="77777777" w:rsidR="00D94935" w:rsidRPr="00140BF9" w:rsidRDefault="00D94935" w:rsidP="00D94935">
      <w:pPr>
        <w:pStyle w:val="AmdtsEntryHd"/>
        <w:rPr>
          <w:rFonts w:cs="Arial"/>
        </w:rPr>
      </w:pPr>
      <w:r w:rsidRPr="00140BF9">
        <w:rPr>
          <w:rFonts w:cs="Arial"/>
        </w:rPr>
        <w:t>Definitions—div 5.6.2</w:t>
      </w:r>
    </w:p>
    <w:p w14:paraId="5D6FF584" w14:textId="77777777"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14:paraId="2B2AABB6" w14:textId="77777777" w:rsidR="00D94935" w:rsidRPr="00140BF9" w:rsidRDefault="00D94935" w:rsidP="00D94935">
      <w:pPr>
        <w:pStyle w:val="AmdtsEntryHd"/>
        <w:rPr>
          <w:rFonts w:cs="Arial"/>
        </w:rPr>
      </w:pPr>
      <w:r w:rsidRPr="00140BF9">
        <w:rPr>
          <w:rFonts w:cs="Arial"/>
        </w:rPr>
        <w:t>Reference appeals to Court of Appeal—application for reference appeal</w:t>
      </w:r>
    </w:p>
    <w:p w14:paraId="1F0A2808" w14:textId="77777777"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14:paraId="63AE763F" w14:textId="77777777" w:rsidR="00D94935" w:rsidRPr="00140BF9" w:rsidRDefault="00D94935" w:rsidP="00D94935">
      <w:pPr>
        <w:pStyle w:val="AmdtsEntryHd"/>
        <w:rPr>
          <w:rFonts w:cs="Arial"/>
        </w:rPr>
      </w:pPr>
      <w:r w:rsidRPr="00140BF9">
        <w:rPr>
          <w:rFonts w:cs="Arial"/>
        </w:rPr>
        <w:t>Reference appeals to Court of Appeal—service of application etc for reference appeal</w:t>
      </w:r>
    </w:p>
    <w:p w14:paraId="36FB49B2" w14:textId="77777777"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14:paraId="61470056" w14:textId="77777777" w:rsidR="00D94935" w:rsidRPr="00140BF9" w:rsidRDefault="00D94935" w:rsidP="00D94935">
      <w:pPr>
        <w:pStyle w:val="AmdtsEntryHd"/>
        <w:rPr>
          <w:rFonts w:cs="Arial"/>
        </w:rPr>
      </w:pPr>
      <w:r w:rsidRPr="00140BF9">
        <w:rPr>
          <w:rFonts w:cs="Arial"/>
        </w:rPr>
        <w:lastRenderedPageBreak/>
        <w:t>Reference appeals to Court of Appeal—notice of intention to respond by interested party</w:t>
      </w:r>
    </w:p>
    <w:p w14:paraId="7BE4D8CD" w14:textId="77777777"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14:paraId="155E3074" w14:textId="77777777" w:rsidR="00D94935" w:rsidRPr="00140BF9" w:rsidRDefault="00D94935" w:rsidP="00D94935">
      <w:pPr>
        <w:pStyle w:val="AmdtsEntryHd"/>
        <w:rPr>
          <w:rFonts w:cs="Arial"/>
        </w:rPr>
      </w:pPr>
      <w:r w:rsidRPr="00140BF9">
        <w:rPr>
          <w:rFonts w:cs="Arial"/>
        </w:rPr>
        <w:t>Reference appeals to Court of Appeal—discontinuance of reference appeal</w:t>
      </w:r>
    </w:p>
    <w:p w14:paraId="59758EE8" w14:textId="77777777"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14:paraId="0DF8400A" w14:textId="77777777" w:rsidR="00D94935" w:rsidRPr="00140BF9" w:rsidRDefault="00D94935" w:rsidP="00D94935">
      <w:pPr>
        <w:pStyle w:val="AmdtsEntryHd"/>
        <w:rPr>
          <w:rFonts w:cs="Arial"/>
        </w:rPr>
      </w:pPr>
      <w:r w:rsidRPr="00140BF9">
        <w:rPr>
          <w:rFonts w:cs="Arial"/>
        </w:rPr>
        <w:t>Reference appeals to Court of Appeal—application of certain rules to reference appeals</w:t>
      </w:r>
    </w:p>
    <w:p w14:paraId="07BD6660" w14:textId="77777777"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14:paraId="080D20D5" w14:textId="77777777" w:rsidR="00D94935" w:rsidRPr="00140BF9" w:rsidRDefault="00D94935" w:rsidP="00D94935">
      <w:pPr>
        <w:pStyle w:val="AmdtsEntryHd"/>
        <w:rPr>
          <w:rFonts w:cs="Arial"/>
        </w:rPr>
      </w:pPr>
      <w:r w:rsidRPr="00140BF9">
        <w:rPr>
          <w:rFonts w:cs="Arial"/>
        </w:rPr>
        <w:t>Application—div 5.7.1</w:t>
      </w:r>
    </w:p>
    <w:p w14:paraId="7AB14871" w14:textId="3EDBB990"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29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2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29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30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31E73">
        <w:t xml:space="preserve">; </w:t>
      </w:r>
      <w:hyperlink r:id="rId2301" w:tooltip="Court Procedures Amendment Rules 2024 (No 1)" w:history="1">
        <w:r w:rsidR="008E1456">
          <w:rPr>
            <w:rStyle w:val="charCitHyperlinkAbbrev"/>
          </w:rPr>
          <w:t>SL2024</w:t>
        </w:r>
        <w:r w:rsidR="008E1456">
          <w:rPr>
            <w:rStyle w:val="charCitHyperlinkAbbrev"/>
          </w:rPr>
          <w:noBreakHyphen/>
          <w:t>9</w:t>
        </w:r>
      </w:hyperlink>
      <w:r w:rsidR="00131E73">
        <w:t xml:space="preserve"> r 24</w:t>
      </w:r>
    </w:p>
    <w:p w14:paraId="7E3518AC" w14:textId="77777777" w:rsidR="00D94935" w:rsidRPr="00140BF9" w:rsidRDefault="00D94935" w:rsidP="00D94935">
      <w:pPr>
        <w:pStyle w:val="AmdtsEntryHd"/>
        <w:rPr>
          <w:rFonts w:cs="Arial"/>
        </w:rPr>
      </w:pPr>
      <w:r w:rsidRPr="00140BF9">
        <w:rPr>
          <w:rFonts w:cs="Arial"/>
        </w:rPr>
        <w:t>Definitions—div 5.7.1</w:t>
      </w:r>
    </w:p>
    <w:p w14:paraId="560087FA" w14:textId="77777777"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14:paraId="6D6D67A5" w14:textId="77777777" w:rsidR="00D94935" w:rsidRPr="00140BF9" w:rsidRDefault="00D94935" w:rsidP="00D94935">
      <w:pPr>
        <w:pStyle w:val="AmdtsEntryHd"/>
        <w:rPr>
          <w:rFonts w:cs="Arial"/>
        </w:rPr>
      </w:pPr>
      <w:r w:rsidRPr="00140BF9">
        <w:rPr>
          <w:rFonts w:cs="Arial"/>
        </w:rPr>
        <w:t>Question referred to Supreme Court—form</w:t>
      </w:r>
    </w:p>
    <w:p w14:paraId="192E1F60" w14:textId="77777777" w:rsidR="00D94935" w:rsidRDefault="00D94935" w:rsidP="00D94935">
      <w:pPr>
        <w:pStyle w:val="AmdtsEntries"/>
        <w:rPr>
          <w:rFonts w:eastAsiaTheme="minorEastAsia" w:cs="Arial"/>
          <w:szCs w:val="22"/>
          <w:lang w:eastAsia="en-AU"/>
        </w:rPr>
      </w:pPr>
      <w:r w:rsidRPr="00140BF9">
        <w:rPr>
          <w:rFonts w:cs="Arial"/>
        </w:rPr>
        <w:t>r 5802 hdg</w:t>
      </w:r>
      <w:r w:rsidRPr="00140BF9">
        <w:rPr>
          <w:rFonts w:eastAsiaTheme="minorEastAsia" w:cs="Arial"/>
          <w:szCs w:val="22"/>
          <w:lang w:eastAsia="en-AU"/>
        </w:rPr>
        <w:tab/>
        <w:t>bracketed note om R29 LA</w:t>
      </w:r>
    </w:p>
    <w:p w14:paraId="4389A1FF" w14:textId="2D5231B6" w:rsidR="007D5FBD" w:rsidRPr="00140BF9" w:rsidRDefault="007D5FBD" w:rsidP="00D94935">
      <w:pPr>
        <w:pStyle w:val="AmdtsEntries"/>
        <w:rPr>
          <w:rFonts w:cs="Arial"/>
        </w:rPr>
      </w:pPr>
      <w:r>
        <w:rPr>
          <w:rFonts w:eastAsiaTheme="minorEastAsia" w:cs="Arial"/>
          <w:szCs w:val="22"/>
          <w:lang w:eastAsia="en-AU"/>
        </w:rPr>
        <w:t>r 5802</w:t>
      </w:r>
      <w:r>
        <w:rPr>
          <w:rFonts w:eastAsiaTheme="minorEastAsia" w:cs="Arial"/>
          <w:szCs w:val="22"/>
          <w:lang w:eastAsia="en-AU"/>
        </w:rPr>
        <w:tab/>
        <w:t xml:space="preserve">am </w:t>
      </w:r>
      <w:hyperlink r:id="rId2302"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47</w:t>
      </w:r>
    </w:p>
    <w:p w14:paraId="19767839" w14:textId="77777777" w:rsidR="00D94935" w:rsidRPr="00140BF9" w:rsidRDefault="00D94935" w:rsidP="00D94935">
      <w:pPr>
        <w:pStyle w:val="AmdtsEntryHd"/>
        <w:rPr>
          <w:rFonts w:cs="Arial"/>
        </w:rPr>
      </w:pPr>
      <w:r w:rsidRPr="00140BF9">
        <w:rPr>
          <w:rFonts w:cs="Arial"/>
        </w:rPr>
        <w:t>Special case to Supreme Court—preparation and settling</w:t>
      </w:r>
    </w:p>
    <w:p w14:paraId="70EEEE15" w14:textId="77777777"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14:paraId="1930917E" w14:textId="77777777" w:rsidR="00D94935" w:rsidRPr="00140BF9" w:rsidRDefault="00D94935" w:rsidP="00D94935">
      <w:pPr>
        <w:pStyle w:val="AmdtsEntryHd"/>
        <w:rPr>
          <w:rFonts w:cs="Arial"/>
        </w:rPr>
      </w:pPr>
      <w:r w:rsidRPr="00140BF9">
        <w:rPr>
          <w:rFonts w:cs="Arial"/>
        </w:rPr>
        <w:t>Special case to Supreme Court—person with legal disability</w:t>
      </w:r>
    </w:p>
    <w:p w14:paraId="774A5DF8" w14:textId="77777777"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14:paraId="7B03F311" w14:textId="77777777" w:rsidR="00D94935" w:rsidRPr="00140BF9" w:rsidRDefault="00D94935" w:rsidP="00D94935">
      <w:pPr>
        <w:pStyle w:val="AmdtsEntryHd"/>
        <w:rPr>
          <w:rFonts w:cs="Arial"/>
        </w:rPr>
      </w:pPr>
      <w:r w:rsidRPr="00140BF9">
        <w:rPr>
          <w:rFonts w:cs="Arial"/>
        </w:rPr>
        <w:t>Special case to Supreme Court—directions hearing</w:t>
      </w:r>
    </w:p>
    <w:p w14:paraId="6190DCAB" w14:textId="77777777"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14:paraId="0D6E71F4" w14:textId="77777777" w:rsidR="00D94935" w:rsidRPr="00140BF9" w:rsidRDefault="00D94935" w:rsidP="00D94935">
      <w:pPr>
        <w:pStyle w:val="AmdtsEntryHd"/>
        <w:rPr>
          <w:rFonts w:cs="Arial"/>
        </w:rPr>
      </w:pPr>
      <w:r w:rsidRPr="00140BF9">
        <w:rPr>
          <w:rFonts w:cs="Arial"/>
        </w:rPr>
        <w:t>Special case to Supreme Court—setting down for hearing</w:t>
      </w:r>
    </w:p>
    <w:p w14:paraId="61164B58" w14:textId="77777777"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14:paraId="2F556788" w14:textId="77777777" w:rsidR="00D94935" w:rsidRPr="00140BF9" w:rsidRDefault="00D94935" w:rsidP="00D94935">
      <w:pPr>
        <w:pStyle w:val="AmdtsEntryHd"/>
        <w:rPr>
          <w:rFonts w:cs="Arial"/>
        </w:rPr>
      </w:pPr>
      <w:r w:rsidRPr="00140BF9">
        <w:rPr>
          <w:rFonts w:cs="Arial"/>
        </w:rPr>
        <w:t>Special case to Supreme Court—insufficient statement of case</w:t>
      </w:r>
    </w:p>
    <w:p w14:paraId="7A7189D8" w14:textId="77777777"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14:paraId="4077D12C" w14:textId="3CBE8B16" w:rsidR="007D5FBD" w:rsidRPr="00140BF9" w:rsidRDefault="007D5FBD" w:rsidP="007D5FBD">
      <w:pPr>
        <w:pStyle w:val="AmdtsEntries"/>
        <w:rPr>
          <w:rFonts w:cs="Arial"/>
        </w:rPr>
      </w:pPr>
      <w:r>
        <w:rPr>
          <w:rFonts w:eastAsiaTheme="minorEastAsia" w:cs="Arial"/>
          <w:szCs w:val="22"/>
          <w:lang w:eastAsia="en-AU"/>
        </w:rPr>
        <w:t>r 5807</w:t>
      </w:r>
      <w:r>
        <w:rPr>
          <w:rFonts w:eastAsiaTheme="minorEastAsia" w:cs="Arial"/>
          <w:szCs w:val="22"/>
          <w:lang w:eastAsia="en-AU"/>
        </w:rPr>
        <w:tab/>
        <w:t xml:space="preserve">am </w:t>
      </w:r>
      <w:hyperlink r:id="rId230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48</w:t>
      </w:r>
    </w:p>
    <w:p w14:paraId="70C22192" w14:textId="77777777" w:rsidR="00D94935" w:rsidRPr="00140BF9" w:rsidRDefault="00D94935" w:rsidP="00D94935">
      <w:pPr>
        <w:pStyle w:val="AmdtsEntryHd"/>
        <w:rPr>
          <w:rFonts w:cs="Arial"/>
        </w:rPr>
      </w:pPr>
      <w:r w:rsidRPr="00140BF9">
        <w:rPr>
          <w:rFonts w:cs="Arial"/>
        </w:rPr>
        <w:t>Special case to Supreme Court—court can draw inferences</w:t>
      </w:r>
    </w:p>
    <w:p w14:paraId="628ED2DA" w14:textId="77777777"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14:paraId="7270FFAB" w14:textId="68243829" w:rsidR="007D5FBD" w:rsidRPr="00140BF9" w:rsidRDefault="007D5FBD" w:rsidP="007D5FBD">
      <w:pPr>
        <w:pStyle w:val="AmdtsEntries"/>
        <w:rPr>
          <w:rFonts w:cs="Arial"/>
        </w:rPr>
      </w:pPr>
      <w:r>
        <w:rPr>
          <w:rFonts w:eastAsiaTheme="minorEastAsia" w:cs="Arial"/>
          <w:szCs w:val="22"/>
          <w:lang w:eastAsia="en-AU"/>
        </w:rPr>
        <w:t>r 5808</w:t>
      </w:r>
      <w:r>
        <w:rPr>
          <w:rFonts w:eastAsiaTheme="minorEastAsia" w:cs="Arial"/>
          <w:szCs w:val="22"/>
          <w:lang w:eastAsia="en-AU"/>
        </w:rPr>
        <w:tab/>
        <w:t xml:space="preserve">am </w:t>
      </w:r>
      <w:hyperlink r:id="rId2304"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49</w:t>
      </w:r>
    </w:p>
    <w:p w14:paraId="1C3BD5EE" w14:textId="77777777" w:rsidR="00D94935" w:rsidRPr="00140BF9" w:rsidRDefault="00D94935" w:rsidP="00D94935">
      <w:pPr>
        <w:pStyle w:val="AmdtsEntryHd"/>
        <w:rPr>
          <w:rFonts w:cs="Arial"/>
        </w:rPr>
      </w:pPr>
      <w:r w:rsidRPr="00140BF9">
        <w:rPr>
          <w:rFonts w:cs="Arial"/>
        </w:rPr>
        <w:t>Special case to Supreme Court—agreement about damages and costs</w:t>
      </w:r>
    </w:p>
    <w:p w14:paraId="3E8AD20B" w14:textId="77777777"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14:paraId="6EA8CDE1" w14:textId="77777777" w:rsidR="00D94935" w:rsidRPr="00140BF9" w:rsidRDefault="00D94935" w:rsidP="00D94935">
      <w:pPr>
        <w:pStyle w:val="AmdtsEntryHd"/>
        <w:rPr>
          <w:rFonts w:cs="Arial"/>
        </w:rPr>
      </w:pPr>
      <w:r w:rsidRPr="00140BF9">
        <w:rPr>
          <w:rFonts w:cs="Arial"/>
        </w:rPr>
        <w:t>Definitions—div 5.7.2</w:t>
      </w:r>
    </w:p>
    <w:p w14:paraId="5CEF216E" w14:textId="77777777"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14:paraId="5CE259FE" w14:textId="77777777" w:rsidR="00D94935" w:rsidRPr="00140BF9" w:rsidRDefault="00D94935" w:rsidP="00D94935">
      <w:pPr>
        <w:pStyle w:val="AmdtsEntryHd"/>
        <w:rPr>
          <w:rFonts w:cs="Arial"/>
        </w:rPr>
      </w:pPr>
      <w:r w:rsidRPr="00140BF9">
        <w:rPr>
          <w:rFonts w:cs="Arial"/>
        </w:rPr>
        <w:t>Question referred to Court of Appeal—form</w:t>
      </w:r>
    </w:p>
    <w:p w14:paraId="72A347BA" w14:textId="77777777"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14:paraId="5CE229A4" w14:textId="11B5807B" w:rsidR="00D76485" w:rsidRPr="00140BF9" w:rsidRDefault="00D76485" w:rsidP="00D76485">
      <w:pPr>
        <w:pStyle w:val="AmdtsEntries"/>
        <w:rPr>
          <w:rFonts w:cs="Arial"/>
        </w:rPr>
      </w:pPr>
      <w:r>
        <w:rPr>
          <w:rFonts w:eastAsiaTheme="minorEastAsia" w:cs="Arial"/>
          <w:szCs w:val="22"/>
          <w:lang w:eastAsia="en-AU"/>
        </w:rPr>
        <w:t>r 5832</w:t>
      </w:r>
      <w:r>
        <w:rPr>
          <w:rFonts w:eastAsiaTheme="minorEastAsia" w:cs="Arial"/>
          <w:szCs w:val="22"/>
          <w:lang w:eastAsia="en-AU"/>
        </w:rPr>
        <w:tab/>
        <w:t xml:space="preserve">am </w:t>
      </w:r>
      <w:hyperlink r:id="rId2305"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50</w:t>
      </w:r>
    </w:p>
    <w:p w14:paraId="7D039E55" w14:textId="77777777" w:rsidR="00D94935" w:rsidRPr="00140BF9" w:rsidRDefault="00D94935" w:rsidP="00D94935">
      <w:pPr>
        <w:pStyle w:val="AmdtsEntryHd"/>
        <w:rPr>
          <w:rFonts w:cs="Arial"/>
        </w:rPr>
      </w:pPr>
      <w:r w:rsidRPr="00140BF9">
        <w:rPr>
          <w:rFonts w:cs="Arial"/>
        </w:rPr>
        <w:lastRenderedPageBreak/>
        <w:t>Special case to Court of Appeal—preparation and settling</w:t>
      </w:r>
    </w:p>
    <w:p w14:paraId="0EDE1526" w14:textId="77777777"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14:paraId="78DE066D" w14:textId="77777777" w:rsidR="00D94935" w:rsidRPr="00140BF9" w:rsidRDefault="00D94935" w:rsidP="00D94935">
      <w:pPr>
        <w:pStyle w:val="AmdtsEntryHd"/>
        <w:rPr>
          <w:rFonts w:cs="Arial"/>
        </w:rPr>
      </w:pPr>
      <w:r w:rsidRPr="00140BF9">
        <w:rPr>
          <w:rFonts w:cs="Arial"/>
        </w:rPr>
        <w:t>Special case to Court of Appeal—setting down for hearing</w:t>
      </w:r>
    </w:p>
    <w:p w14:paraId="78A98991" w14:textId="77777777"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14:paraId="1B0F7730" w14:textId="77777777" w:rsidR="00D94935" w:rsidRPr="00140BF9" w:rsidRDefault="00D94935" w:rsidP="00A47A62">
      <w:pPr>
        <w:pStyle w:val="AmdtsEntryHd"/>
        <w:rPr>
          <w:rFonts w:cs="Arial"/>
        </w:rPr>
      </w:pPr>
      <w:r w:rsidRPr="00140BF9">
        <w:rPr>
          <w:rFonts w:cs="Arial"/>
        </w:rPr>
        <w:t>Special case to Court of Appeal—court can draw inferences</w:t>
      </w:r>
    </w:p>
    <w:p w14:paraId="3B5C3B7D" w14:textId="77777777" w:rsidR="00D94935" w:rsidRPr="00140BF9" w:rsidRDefault="00D94935" w:rsidP="00A47A62">
      <w:pPr>
        <w:pStyle w:val="AmdtsEntries"/>
        <w:keepNext/>
        <w:rPr>
          <w:rFonts w:cs="Arial"/>
        </w:rPr>
      </w:pPr>
      <w:r w:rsidRPr="00140BF9">
        <w:rPr>
          <w:rFonts w:cs="Arial"/>
        </w:rPr>
        <w:t>r 5835 hdg</w:t>
      </w:r>
      <w:r w:rsidRPr="00140BF9">
        <w:rPr>
          <w:rFonts w:eastAsiaTheme="minorEastAsia" w:cs="Arial"/>
          <w:szCs w:val="22"/>
          <w:lang w:eastAsia="en-AU"/>
        </w:rPr>
        <w:tab/>
        <w:t>bracketed note om R29 LA</w:t>
      </w:r>
    </w:p>
    <w:p w14:paraId="6D421E0B" w14:textId="7EBCEA8B" w:rsidR="00D76485" w:rsidRPr="00140BF9" w:rsidRDefault="00D76485" w:rsidP="00A47A62">
      <w:pPr>
        <w:pStyle w:val="AmdtsEntries"/>
        <w:keepNext/>
        <w:rPr>
          <w:rFonts w:cs="Arial"/>
        </w:rPr>
      </w:pPr>
      <w:r>
        <w:rPr>
          <w:rFonts w:eastAsiaTheme="minorEastAsia" w:cs="Arial"/>
          <w:szCs w:val="22"/>
          <w:lang w:eastAsia="en-AU"/>
        </w:rPr>
        <w:t>r 5835</w:t>
      </w:r>
      <w:r>
        <w:rPr>
          <w:rFonts w:eastAsiaTheme="minorEastAsia" w:cs="Arial"/>
          <w:szCs w:val="22"/>
          <w:lang w:eastAsia="en-AU"/>
        </w:rPr>
        <w:tab/>
        <w:t xml:space="preserve">am </w:t>
      </w:r>
      <w:hyperlink r:id="rId2306"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51</w:t>
      </w:r>
    </w:p>
    <w:p w14:paraId="5C62F616" w14:textId="77777777" w:rsidR="00D94935" w:rsidRPr="00140BF9" w:rsidRDefault="00D94935" w:rsidP="00D94935">
      <w:pPr>
        <w:pStyle w:val="AmdtsEntryHd"/>
        <w:rPr>
          <w:rFonts w:cs="Arial"/>
        </w:rPr>
      </w:pPr>
      <w:r w:rsidRPr="00140BF9">
        <w:rPr>
          <w:rFonts w:cs="Arial"/>
        </w:rPr>
        <w:t>Special case to Court of Appeal—agreement about damages and costs</w:t>
      </w:r>
    </w:p>
    <w:p w14:paraId="5B87955D" w14:textId="77777777"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14:paraId="7B79F5C9" w14:textId="77777777" w:rsidR="00D94935" w:rsidRPr="00140BF9" w:rsidRDefault="00D94935" w:rsidP="00D94935">
      <w:pPr>
        <w:pStyle w:val="AmdtsEntryHd"/>
        <w:rPr>
          <w:rFonts w:cs="Arial"/>
        </w:rPr>
      </w:pPr>
      <w:r w:rsidRPr="00140BF9">
        <w:rPr>
          <w:rFonts w:cs="Arial"/>
        </w:rPr>
        <w:t>Definitions—pt 5.8</w:t>
      </w:r>
    </w:p>
    <w:p w14:paraId="10D71A88" w14:textId="77777777"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14:paraId="27218649" w14:textId="09958A18"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3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14:paraId="4C295ECF" w14:textId="77777777" w:rsidR="00D94935" w:rsidRPr="00140BF9" w:rsidRDefault="00D94935" w:rsidP="00D94935">
      <w:pPr>
        <w:pStyle w:val="AmdtsEntryHd"/>
        <w:rPr>
          <w:rFonts w:cs="Arial"/>
        </w:rPr>
      </w:pPr>
      <w:r w:rsidRPr="00140BF9">
        <w:rPr>
          <w:rFonts w:cs="Arial"/>
        </w:rPr>
        <w:t>Application of pt 5.8 to div 5.6.1 etc</w:t>
      </w:r>
    </w:p>
    <w:p w14:paraId="6A26FF31" w14:textId="77777777"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14:paraId="7518EC64" w14:textId="77777777" w:rsidR="00D94935" w:rsidRPr="00140BF9" w:rsidRDefault="00D94935" w:rsidP="00D94935">
      <w:pPr>
        <w:pStyle w:val="AmdtsEntryHd"/>
        <w:rPr>
          <w:rFonts w:cs="Arial"/>
        </w:rPr>
      </w:pPr>
      <w:r w:rsidRPr="00140BF9">
        <w:rPr>
          <w:rFonts w:cs="Arial"/>
        </w:rPr>
        <w:t>Written cases—when used</w:t>
      </w:r>
    </w:p>
    <w:p w14:paraId="5831A041" w14:textId="77777777"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14:paraId="02DDB50F" w14:textId="77777777" w:rsidR="00D94935" w:rsidRPr="00140BF9" w:rsidRDefault="00D94935" w:rsidP="00D94935">
      <w:pPr>
        <w:pStyle w:val="AmdtsEntryHd"/>
        <w:rPr>
          <w:rFonts w:cs="Arial"/>
        </w:rPr>
      </w:pPr>
      <w:r w:rsidRPr="00140BF9">
        <w:rPr>
          <w:rFonts w:cs="Arial"/>
        </w:rPr>
        <w:t>Written cases—appellant wants written case</w:t>
      </w:r>
    </w:p>
    <w:p w14:paraId="0E77B2F4" w14:textId="77777777"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14:paraId="2118FE75" w14:textId="77777777" w:rsidR="00D94935" w:rsidRPr="00140BF9" w:rsidRDefault="00D94935" w:rsidP="00D94935">
      <w:pPr>
        <w:pStyle w:val="AmdtsEntryHd"/>
        <w:rPr>
          <w:rFonts w:cs="Arial"/>
        </w:rPr>
      </w:pPr>
      <w:r w:rsidRPr="00140BF9">
        <w:rPr>
          <w:rFonts w:cs="Arial"/>
        </w:rPr>
        <w:t>Written cases—respondent wants written case</w:t>
      </w:r>
    </w:p>
    <w:p w14:paraId="56E68161" w14:textId="77777777"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14:paraId="63FE4CE3" w14:textId="77777777" w:rsidR="00D94935" w:rsidRPr="00140BF9" w:rsidRDefault="00D94935" w:rsidP="00D94935">
      <w:pPr>
        <w:pStyle w:val="AmdtsEntryHd"/>
        <w:rPr>
          <w:rFonts w:cs="Arial"/>
        </w:rPr>
      </w:pPr>
      <w:r w:rsidRPr="00140BF9">
        <w:rPr>
          <w:rFonts w:cs="Arial"/>
        </w:rPr>
        <w:t>Written cases—filing etc written case for application</w:t>
      </w:r>
    </w:p>
    <w:p w14:paraId="2DD89AD3" w14:textId="77777777"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14:paraId="0C4E911B" w14:textId="3D937159" w:rsidR="00D76485" w:rsidRPr="00140BF9" w:rsidRDefault="00D76485" w:rsidP="00D76485">
      <w:pPr>
        <w:pStyle w:val="AmdtsEntries"/>
        <w:rPr>
          <w:rFonts w:cs="Arial"/>
        </w:rPr>
      </w:pPr>
      <w:r>
        <w:rPr>
          <w:rFonts w:eastAsiaTheme="minorEastAsia" w:cs="Arial"/>
          <w:szCs w:val="22"/>
          <w:lang w:eastAsia="en-AU"/>
        </w:rPr>
        <w:t>r 5855</w:t>
      </w:r>
      <w:r>
        <w:rPr>
          <w:rFonts w:eastAsiaTheme="minorEastAsia" w:cs="Arial"/>
          <w:szCs w:val="22"/>
          <w:lang w:eastAsia="en-AU"/>
        </w:rPr>
        <w:tab/>
        <w:t xml:space="preserve">am </w:t>
      </w:r>
      <w:hyperlink r:id="rId2308"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52</w:t>
      </w:r>
    </w:p>
    <w:p w14:paraId="69B85BE1" w14:textId="77777777" w:rsidR="00D94935" w:rsidRPr="00140BF9" w:rsidRDefault="00D94935" w:rsidP="00D94935">
      <w:pPr>
        <w:pStyle w:val="AmdtsEntryHd"/>
        <w:rPr>
          <w:rFonts w:cs="Arial"/>
        </w:rPr>
      </w:pPr>
      <w:r w:rsidRPr="00140BF9">
        <w:rPr>
          <w:rFonts w:cs="Arial"/>
        </w:rPr>
        <w:t>Written cases—filing etc written case for appeal</w:t>
      </w:r>
    </w:p>
    <w:p w14:paraId="60A9AEAA" w14:textId="77777777"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14:paraId="22DB44B2" w14:textId="564F9088" w:rsidR="00D76485" w:rsidRPr="00140BF9" w:rsidRDefault="00D76485" w:rsidP="00D76485">
      <w:pPr>
        <w:pStyle w:val="AmdtsEntries"/>
        <w:rPr>
          <w:rFonts w:cs="Arial"/>
        </w:rPr>
      </w:pPr>
      <w:r>
        <w:rPr>
          <w:rFonts w:eastAsiaTheme="minorEastAsia" w:cs="Arial"/>
          <w:szCs w:val="22"/>
          <w:lang w:eastAsia="en-AU"/>
        </w:rPr>
        <w:t>r 5856</w:t>
      </w:r>
      <w:r>
        <w:rPr>
          <w:rFonts w:eastAsiaTheme="minorEastAsia" w:cs="Arial"/>
          <w:szCs w:val="22"/>
          <w:lang w:eastAsia="en-AU"/>
        </w:rPr>
        <w:tab/>
        <w:t xml:space="preserve">am </w:t>
      </w:r>
      <w:hyperlink r:id="rId2309"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53</w:t>
      </w:r>
    </w:p>
    <w:p w14:paraId="689E871F" w14:textId="77777777" w:rsidR="00D94935" w:rsidRPr="00140BF9" w:rsidRDefault="00D94935" w:rsidP="00D94935">
      <w:pPr>
        <w:pStyle w:val="AmdtsEntryHd"/>
        <w:rPr>
          <w:rFonts w:cs="Arial"/>
        </w:rPr>
      </w:pPr>
      <w:r w:rsidRPr="00140BF9">
        <w:rPr>
          <w:rFonts w:cs="Arial"/>
        </w:rPr>
        <w:t>Written cases—form</w:t>
      </w:r>
    </w:p>
    <w:p w14:paraId="24B2A886" w14:textId="77777777"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14:paraId="326F28B8" w14:textId="55906E9F" w:rsidR="00D76485" w:rsidRPr="00140BF9" w:rsidRDefault="00D76485" w:rsidP="00D76485">
      <w:pPr>
        <w:pStyle w:val="AmdtsEntries"/>
        <w:rPr>
          <w:rFonts w:cs="Arial"/>
        </w:rPr>
      </w:pPr>
      <w:r>
        <w:rPr>
          <w:rFonts w:eastAsiaTheme="minorEastAsia" w:cs="Arial"/>
          <w:szCs w:val="22"/>
          <w:lang w:eastAsia="en-AU"/>
        </w:rPr>
        <w:t>r 5857</w:t>
      </w:r>
      <w:r>
        <w:rPr>
          <w:rFonts w:eastAsiaTheme="minorEastAsia" w:cs="Arial"/>
          <w:szCs w:val="22"/>
          <w:lang w:eastAsia="en-AU"/>
        </w:rPr>
        <w:tab/>
        <w:t xml:space="preserve">am </w:t>
      </w:r>
      <w:hyperlink r:id="rId2310"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54, r 55</w:t>
      </w:r>
    </w:p>
    <w:p w14:paraId="74F7E49C" w14:textId="77777777" w:rsidR="00D94935" w:rsidRPr="00140BF9" w:rsidRDefault="00D94935" w:rsidP="00D94935">
      <w:pPr>
        <w:pStyle w:val="AmdtsEntryHd"/>
        <w:rPr>
          <w:rFonts w:cs="Arial"/>
        </w:rPr>
      </w:pPr>
      <w:r w:rsidRPr="00140BF9">
        <w:rPr>
          <w:rFonts w:cs="Arial"/>
        </w:rPr>
        <w:t>Written cases—inspection</w:t>
      </w:r>
    </w:p>
    <w:p w14:paraId="650A1CE5" w14:textId="77777777"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14:paraId="50037081" w14:textId="77777777" w:rsidR="00D94935" w:rsidRPr="00140BF9" w:rsidRDefault="00D94935" w:rsidP="00D94935">
      <w:pPr>
        <w:pStyle w:val="AmdtsEntryHd"/>
        <w:rPr>
          <w:rFonts w:cs="Arial"/>
        </w:rPr>
      </w:pPr>
      <w:r w:rsidRPr="00140BF9">
        <w:rPr>
          <w:rFonts w:cs="Arial"/>
        </w:rPr>
        <w:t>Application—ch 6</w:t>
      </w:r>
    </w:p>
    <w:p w14:paraId="2EFFF39C" w14:textId="78E0BCC6"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311"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31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14:paraId="2C316CFB" w14:textId="77777777"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14:paraId="7F2EB3B2" w14:textId="77777777"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14:paraId="3DB09DB0" w14:textId="77777777" w:rsidR="008F7996" w:rsidRDefault="008F7996" w:rsidP="008F7996">
      <w:pPr>
        <w:pStyle w:val="AmdtsEntryHd"/>
        <w:rPr>
          <w:rFonts w:cs="Arial"/>
        </w:rPr>
      </w:pPr>
      <w:r>
        <w:t>Application—pt 6.2</w:t>
      </w:r>
    </w:p>
    <w:p w14:paraId="3B9E43AD" w14:textId="67CCD157" w:rsidR="008F7996" w:rsidRPr="008F7996" w:rsidRDefault="008F7996" w:rsidP="008F7996">
      <w:pPr>
        <w:pStyle w:val="AmdtsEntries"/>
      </w:pPr>
      <w:r>
        <w:t>r 6006</w:t>
      </w:r>
      <w:r>
        <w:tab/>
        <w:t xml:space="preserve">am </w:t>
      </w:r>
      <w:hyperlink r:id="rId2313" w:tooltip="Court Procedures Amendment Rules 2016 (No 1)" w:history="1">
        <w:r>
          <w:rPr>
            <w:rStyle w:val="charCitHyperlinkAbbrev"/>
          </w:rPr>
          <w:t>SL2016</w:t>
        </w:r>
        <w:r>
          <w:rPr>
            <w:rStyle w:val="charCitHyperlinkAbbrev"/>
          </w:rPr>
          <w:noBreakHyphen/>
          <w:t>17</w:t>
        </w:r>
      </w:hyperlink>
      <w:r>
        <w:t xml:space="preserve"> r 6</w:t>
      </w:r>
    </w:p>
    <w:p w14:paraId="41971C6A" w14:textId="77777777" w:rsidR="00D94935" w:rsidRPr="00140BF9" w:rsidRDefault="00D94935" w:rsidP="00D94935">
      <w:pPr>
        <w:pStyle w:val="AmdtsEntryHd"/>
        <w:rPr>
          <w:rFonts w:cs="Arial"/>
        </w:rPr>
      </w:pPr>
      <w:r w:rsidRPr="00140BF9">
        <w:rPr>
          <w:rFonts w:cs="Arial"/>
        </w:rPr>
        <w:lastRenderedPageBreak/>
        <w:t>Application in proceeding</w:t>
      </w:r>
      <w:r w:rsidRPr="00140BF9">
        <w:rPr>
          <w:rFonts w:cs="Arial"/>
          <w:lang w:val="en-US"/>
        </w:rPr>
        <w:t>—contents</w:t>
      </w:r>
    </w:p>
    <w:p w14:paraId="5D29DCCE" w14:textId="77777777"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14:paraId="2A08C3EC" w14:textId="71150E6B"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31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14:paraId="2D50FC98"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14:paraId="16F70E1D" w14:textId="77777777"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14:paraId="1EE53F89" w14:textId="77777777" w:rsidR="00D94935" w:rsidRPr="00140BF9" w:rsidRDefault="00D94935" w:rsidP="00D94935">
      <w:pPr>
        <w:pStyle w:val="AmdtsEntryHd"/>
        <w:rPr>
          <w:rFonts w:cs="Arial"/>
        </w:rPr>
      </w:pPr>
      <w:r w:rsidRPr="00140BF9">
        <w:rPr>
          <w:rFonts w:cs="Arial"/>
        </w:rPr>
        <w:t>Application in proceeding—filing and service of supporting material</w:t>
      </w:r>
    </w:p>
    <w:p w14:paraId="5BC32BCE" w14:textId="77777777"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14:paraId="69747126" w14:textId="77777777" w:rsidR="00D94935" w:rsidRPr="00140BF9" w:rsidRDefault="00D94935" w:rsidP="00D94935">
      <w:pPr>
        <w:pStyle w:val="AmdtsEntryHd"/>
        <w:rPr>
          <w:rFonts w:cs="Arial"/>
        </w:rPr>
      </w:pPr>
      <w:r w:rsidRPr="00140BF9">
        <w:rPr>
          <w:rFonts w:cs="Arial"/>
        </w:rPr>
        <w:t>Application in proceeding—absence of party</w:t>
      </w:r>
    </w:p>
    <w:p w14:paraId="3325AD8D" w14:textId="77777777"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14:paraId="477FBF88" w14:textId="77777777" w:rsidR="00D94935" w:rsidRPr="00140BF9" w:rsidRDefault="00D94935" w:rsidP="00D94935">
      <w:pPr>
        <w:pStyle w:val="AmdtsEntryHd"/>
        <w:rPr>
          <w:rFonts w:cs="Arial"/>
        </w:rPr>
      </w:pPr>
      <w:r w:rsidRPr="00140BF9">
        <w:rPr>
          <w:rFonts w:cs="Arial"/>
        </w:rPr>
        <w:t>Application in proceeding—dismissal or adjournment if application not served etc</w:t>
      </w:r>
    </w:p>
    <w:p w14:paraId="0AE39EEC" w14:textId="77777777"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14:paraId="59548765" w14:textId="77777777" w:rsidR="00D94935" w:rsidRPr="00140BF9" w:rsidRDefault="00D94935" w:rsidP="00D94935">
      <w:pPr>
        <w:pStyle w:val="AmdtsEntryHd"/>
        <w:rPr>
          <w:rFonts w:cs="Arial"/>
        </w:rPr>
      </w:pPr>
      <w:r w:rsidRPr="00140BF9">
        <w:rPr>
          <w:rFonts w:cs="Arial"/>
        </w:rPr>
        <w:t>Application in proceeding—adjournment generally</w:t>
      </w:r>
    </w:p>
    <w:p w14:paraId="1ADB085B" w14:textId="77777777"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14:paraId="5FDC5CA7" w14:textId="77777777" w:rsidR="00D94935" w:rsidRPr="00140BF9" w:rsidRDefault="00D94935" w:rsidP="00D94935">
      <w:pPr>
        <w:pStyle w:val="AmdtsEntryHd"/>
        <w:rPr>
          <w:rFonts w:cs="Arial"/>
        </w:rPr>
      </w:pPr>
      <w:r w:rsidRPr="00140BF9">
        <w:rPr>
          <w:rFonts w:cs="Arial"/>
        </w:rPr>
        <w:t>Application in proceeding—orders by consent without attendance</w:t>
      </w:r>
    </w:p>
    <w:p w14:paraId="23DB6B74" w14:textId="77777777"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14:paraId="33B6137D" w14:textId="099C5B6A"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31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14:paraId="6B166DC9" w14:textId="77777777" w:rsidR="00D94935" w:rsidRPr="00140BF9" w:rsidRDefault="00D94935" w:rsidP="00D94935">
      <w:pPr>
        <w:pStyle w:val="AmdtsEntryHd"/>
        <w:rPr>
          <w:rFonts w:cs="Arial"/>
        </w:rPr>
      </w:pPr>
      <w:r w:rsidRPr="00140BF9">
        <w:rPr>
          <w:rFonts w:cs="Arial"/>
        </w:rPr>
        <w:t>Application in proceeding—further hearing</w:t>
      </w:r>
    </w:p>
    <w:p w14:paraId="567EADE1" w14:textId="77777777"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14:paraId="54E1864D"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14:paraId="6AEA1196" w14:textId="77777777"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14:paraId="30B18AA0"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14:paraId="261FDB97" w14:textId="77777777"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14:paraId="2F3803ED" w14:textId="77777777" w:rsidR="00D94935" w:rsidRPr="00140BF9" w:rsidRDefault="00D94935" w:rsidP="00D94935">
      <w:pPr>
        <w:pStyle w:val="AmdtsEntryHd"/>
        <w:rPr>
          <w:rFonts w:cs="Arial"/>
        </w:rPr>
      </w:pPr>
      <w:r w:rsidRPr="00140BF9">
        <w:rPr>
          <w:rFonts w:cs="Arial"/>
        </w:rPr>
        <w:t>Human rights proceedings</w:t>
      </w:r>
    </w:p>
    <w:p w14:paraId="12FB6D4C" w14:textId="156B2947"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31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529CBA0D" w14:textId="77777777" w:rsidR="00D94935" w:rsidRPr="00140BF9" w:rsidRDefault="00D94935" w:rsidP="00D94935">
      <w:pPr>
        <w:pStyle w:val="AmdtsEntryHd"/>
        <w:rPr>
          <w:rFonts w:cs="Arial"/>
        </w:rPr>
      </w:pPr>
      <w:r w:rsidRPr="00140BF9">
        <w:rPr>
          <w:rFonts w:cs="Arial"/>
        </w:rPr>
        <w:t>Preliminary</w:t>
      </w:r>
    </w:p>
    <w:p w14:paraId="619A5C76" w14:textId="7181B69A"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31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9DA0F9A" w14:textId="77777777" w:rsidR="00D94935" w:rsidRPr="00140BF9" w:rsidRDefault="00D94935" w:rsidP="00D94935">
      <w:pPr>
        <w:pStyle w:val="AmdtsEntryHd"/>
        <w:rPr>
          <w:rFonts w:cs="Arial"/>
        </w:rPr>
      </w:pPr>
      <w:r w:rsidRPr="00140BF9">
        <w:rPr>
          <w:rFonts w:cs="Arial"/>
          <w:lang w:eastAsia="en-AU"/>
        </w:rPr>
        <w:t>Terms used in Human Rights Act 2004</w:t>
      </w:r>
    </w:p>
    <w:p w14:paraId="3D958700" w14:textId="7E1F5057"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31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C68CED0" w14:textId="77777777" w:rsidR="00D94935" w:rsidRPr="00140BF9" w:rsidRDefault="00D94935" w:rsidP="00D94935">
      <w:pPr>
        <w:pStyle w:val="AmdtsEntryHd"/>
        <w:rPr>
          <w:rFonts w:cs="Arial"/>
        </w:rPr>
      </w:pPr>
      <w:r w:rsidRPr="00140BF9">
        <w:rPr>
          <w:rFonts w:cs="Arial"/>
          <w:lang w:eastAsia="en-AU"/>
        </w:rPr>
        <w:t>Application—pt 6.2A</w:t>
      </w:r>
    </w:p>
    <w:p w14:paraId="4BD2C3CC" w14:textId="235B2604"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31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5F2050E" w14:textId="7E8AB8F0" w:rsidR="004A76DE" w:rsidRDefault="004A76DE" w:rsidP="00D94935">
      <w:pPr>
        <w:pStyle w:val="AmdtsEntryHd"/>
        <w:rPr>
          <w:rFonts w:cs="Arial"/>
        </w:rPr>
      </w:pPr>
      <w:r w:rsidRPr="00541115">
        <w:t>Pleadings and originating processes</w:t>
      </w:r>
    </w:p>
    <w:p w14:paraId="68B789FF" w14:textId="55584FAB" w:rsidR="004A76DE" w:rsidRPr="004A76DE" w:rsidRDefault="004A76DE" w:rsidP="004A76DE">
      <w:pPr>
        <w:pStyle w:val="AmdtsEntries"/>
      </w:pPr>
      <w:r>
        <w:t>div 6.2A.1A hdg</w:t>
      </w:r>
      <w:r>
        <w:tab/>
        <w:t xml:space="preserve">ins </w:t>
      </w:r>
      <w:hyperlink r:id="rId2320" w:tooltip="Court Procedures Amendment Rules 2023 (No 1)" w:history="1">
        <w:r>
          <w:rPr>
            <w:rStyle w:val="charCitHyperlinkAbbrev"/>
            <w:rFonts w:cs="Arial"/>
          </w:rPr>
          <w:t>SL2023</w:t>
        </w:r>
        <w:r>
          <w:rPr>
            <w:rStyle w:val="charCitHyperlinkAbbrev"/>
            <w:rFonts w:cs="Arial"/>
          </w:rPr>
          <w:noBreakHyphen/>
          <w:t>15</w:t>
        </w:r>
      </w:hyperlink>
      <w:r>
        <w:t xml:space="preserve"> r 11</w:t>
      </w:r>
    </w:p>
    <w:p w14:paraId="50DE1B1F" w14:textId="3E305156" w:rsidR="004A76DE" w:rsidRDefault="004A76DE" w:rsidP="004A76DE">
      <w:pPr>
        <w:pStyle w:val="AmdtsEntryHd"/>
        <w:rPr>
          <w:rFonts w:cs="Arial"/>
        </w:rPr>
      </w:pPr>
      <w:r w:rsidRPr="00541115">
        <w:t>Contents of pleadings or originating processes</w:t>
      </w:r>
    </w:p>
    <w:p w14:paraId="73C34256" w14:textId="5465E40E" w:rsidR="004A76DE" w:rsidRPr="004A76DE" w:rsidRDefault="004A76DE" w:rsidP="004A76DE">
      <w:pPr>
        <w:pStyle w:val="AmdtsEntries"/>
      </w:pPr>
      <w:r>
        <w:t>r 6022</w:t>
      </w:r>
      <w:r>
        <w:tab/>
        <w:t xml:space="preserve">ins </w:t>
      </w:r>
      <w:hyperlink r:id="rId2321" w:tooltip="Court Procedures Amendment Rules 2023 (No 1)" w:history="1">
        <w:r>
          <w:rPr>
            <w:rStyle w:val="charCitHyperlinkAbbrev"/>
            <w:rFonts w:cs="Arial"/>
          </w:rPr>
          <w:t>SL2023</w:t>
        </w:r>
        <w:r>
          <w:rPr>
            <w:rStyle w:val="charCitHyperlinkAbbrev"/>
            <w:rFonts w:cs="Arial"/>
          </w:rPr>
          <w:noBreakHyphen/>
          <w:t>15</w:t>
        </w:r>
      </w:hyperlink>
      <w:r>
        <w:t xml:space="preserve"> r 11</w:t>
      </w:r>
    </w:p>
    <w:p w14:paraId="6FAE58D3" w14:textId="51CCB96A" w:rsidR="00D94935" w:rsidRPr="00140BF9" w:rsidRDefault="00D94935" w:rsidP="00D94935">
      <w:pPr>
        <w:pStyle w:val="AmdtsEntryHd"/>
        <w:rPr>
          <w:rFonts w:cs="Arial"/>
        </w:rPr>
      </w:pPr>
      <w:r w:rsidRPr="00140BF9">
        <w:rPr>
          <w:rFonts w:cs="Arial"/>
        </w:rPr>
        <w:t>Notice to Attorney-General and commission</w:t>
      </w:r>
    </w:p>
    <w:p w14:paraId="0E929030" w14:textId="41F2375B"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32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7B24CE4" w14:textId="77777777" w:rsidR="00D94935" w:rsidRPr="00140BF9" w:rsidRDefault="00D94935" w:rsidP="00D94935">
      <w:pPr>
        <w:pStyle w:val="AmdtsEntryHd"/>
        <w:rPr>
          <w:rFonts w:cs="Arial"/>
        </w:rPr>
      </w:pPr>
      <w:r w:rsidRPr="00140BF9">
        <w:rPr>
          <w:rFonts w:cs="Arial"/>
        </w:rPr>
        <w:lastRenderedPageBreak/>
        <w:t>Application—div 6.2A.2</w:t>
      </w:r>
    </w:p>
    <w:p w14:paraId="7E3C9D4B" w14:textId="032159B3" w:rsidR="00D94935" w:rsidRDefault="00D94935" w:rsidP="00D94935">
      <w:pPr>
        <w:pStyle w:val="AmdtsEntries"/>
        <w:rPr>
          <w:rFonts w:cs="Arial"/>
        </w:rPr>
      </w:pPr>
      <w:r w:rsidRPr="00140BF9">
        <w:rPr>
          <w:rFonts w:cs="Arial"/>
        </w:rPr>
        <w:t>r 6030</w:t>
      </w:r>
      <w:r w:rsidRPr="00140BF9">
        <w:rPr>
          <w:rFonts w:cs="Arial"/>
        </w:rPr>
        <w:tab/>
        <w:t xml:space="preserve">ins </w:t>
      </w:r>
      <w:hyperlink r:id="rId232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504E221E" w14:textId="503B416F" w:rsidR="00BB713D" w:rsidRPr="00140BF9" w:rsidRDefault="00BB713D" w:rsidP="00D94935">
      <w:pPr>
        <w:pStyle w:val="AmdtsEntries"/>
        <w:rPr>
          <w:rFonts w:cs="Arial"/>
        </w:rPr>
      </w:pPr>
      <w:r>
        <w:rPr>
          <w:rFonts w:cs="Arial"/>
        </w:rPr>
        <w:tab/>
        <w:t xml:space="preserve">am </w:t>
      </w:r>
      <w:hyperlink r:id="rId2324" w:tooltip="Court Procedures Amendment Rules 2024 (No 1)" w:history="1">
        <w:r w:rsidR="008E1456">
          <w:rPr>
            <w:rStyle w:val="charCitHyperlinkAbbrev"/>
          </w:rPr>
          <w:t>SL2024</w:t>
        </w:r>
        <w:r w:rsidR="008E1456">
          <w:rPr>
            <w:rStyle w:val="charCitHyperlinkAbbrev"/>
          </w:rPr>
          <w:noBreakHyphen/>
          <w:t>9</w:t>
        </w:r>
      </w:hyperlink>
      <w:r>
        <w:rPr>
          <w:rFonts w:cs="Arial"/>
        </w:rPr>
        <w:t xml:space="preserve"> r 25</w:t>
      </w:r>
    </w:p>
    <w:p w14:paraId="766B379C" w14:textId="77777777" w:rsidR="00D94935" w:rsidRPr="00140BF9" w:rsidRDefault="00D94935" w:rsidP="00D94935">
      <w:pPr>
        <w:pStyle w:val="AmdtsEntryHd"/>
        <w:rPr>
          <w:rFonts w:cs="Arial"/>
        </w:rPr>
      </w:pPr>
      <w:r w:rsidRPr="00140BF9">
        <w:rPr>
          <w:rFonts w:cs="Arial"/>
        </w:rPr>
        <w:t>Notice—human rights proceedings</w:t>
      </w:r>
    </w:p>
    <w:p w14:paraId="0A415522" w14:textId="1468F2C4"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3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076BBDC4" w14:textId="77777777" w:rsidR="00D94935" w:rsidRPr="00140BF9" w:rsidRDefault="00D94935" w:rsidP="00D94935">
      <w:pPr>
        <w:pStyle w:val="AmdtsEntryHd"/>
        <w:rPr>
          <w:rFonts w:cs="Arial"/>
        </w:rPr>
      </w:pPr>
      <w:r w:rsidRPr="00140BF9">
        <w:rPr>
          <w:rFonts w:cs="Arial"/>
          <w:lang w:eastAsia="en-AU"/>
        </w:rPr>
        <w:t>Notice—direction by court</w:t>
      </w:r>
    </w:p>
    <w:p w14:paraId="4B5BB576" w14:textId="47BE0A49"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32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184D3E9F" w14:textId="77777777" w:rsidR="00D94935" w:rsidRPr="00140BF9" w:rsidRDefault="00D94935" w:rsidP="00D94935">
      <w:pPr>
        <w:pStyle w:val="AmdtsEntryHd"/>
        <w:rPr>
          <w:rFonts w:cs="Arial"/>
        </w:rPr>
      </w:pPr>
      <w:r w:rsidRPr="00140BF9">
        <w:rPr>
          <w:rFonts w:cs="Arial"/>
        </w:rPr>
        <w:t>Contents of notice of human rights matter</w:t>
      </w:r>
    </w:p>
    <w:p w14:paraId="66680990" w14:textId="15411558"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32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43D52B" w14:textId="77777777" w:rsidR="00D94935" w:rsidRPr="00140BF9" w:rsidRDefault="00D94935" w:rsidP="00D94935">
      <w:pPr>
        <w:pStyle w:val="AmdtsEntryHd"/>
        <w:rPr>
          <w:rFonts w:cs="Arial"/>
        </w:rPr>
      </w:pPr>
      <w:r w:rsidRPr="00140BF9">
        <w:rPr>
          <w:rFonts w:cs="Arial"/>
        </w:rPr>
        <w:t>Directions hearing—human rights proceedings</w:t>
      </w:r>
    </w:p>
    <w:p w14:paraId="0555B621" w14:textId="3289FE52"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3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438CBDB" w14:textId="77777777" w:rsidR="00D94935" w:rsidRPr="00140BF9" w:rsidRDefault="00D94935" w:rsidP="00D94935">
      <w:pPr>
        <w:pStyle w:val="AmdtsEntryHd"/>
        <w:rPr>
          <w:rFonts w:cs="Arial"/>
        </w:rPr>
      </w:pPr>
      <w:r w:rsidRPr="00140BF9">
        <w:rPr>
          <w:rFonts w:cs="Arial"/>
        </w:rPr>
        <w:t>Intervention of commission</w:t>
      </w:r>
    </w:p>
    <w:p w14:paraId="51F16F6B" w14:textId="3D79ECA1"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32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64C3410" w14:textId="77777777" w:rsidR="00D94935" w:rsidRPr="00140BF9" w:rsidRDefault="00D94935" w:rsidP="00D94935">
      <w:pPr>
        <w:pStyle w:val="AmdtsEntryHd"/>
        <w:rPr>
          <w:rFonts w:cs="Arial"/>
        </w:rPr>
      </w:pPr>
      <w:r w:rsidRPr="00140BF9">
        <w:rPr>
          <w:rFonts w:cs="Arial"/>
        </w:rPr>
        <w:t>Human rights commissioner—application for leave to intervene</w:t>
      </w:r>
    </w:p>
    <w:p w14:paraId="24761BA3" w14:textId="4F921216"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3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620EFD2D" w14:textId="77777777" w:rsidR="00D94935" w:rsidRPr="00140BF9" w:rsidRDefault="00D94935" w:rsidP="00D94935">
      <w:pPr>
        <w:pStyle w:val="AmdtsEntryHd"/>
        <w:rPr>
          <w:rFonts w:cs="Arial"/>
        </w:rPr>
      </w:pPr>
      <w:r w:rsidRPr="00140BF9">
        <w:rPr>
          <w:rFonts w:cs="Arial"/>
          <w:lang w:eastAsia="en-AU"/>
        </w:rPr>
        <w:t>Intervention of Attorney-General in proceedings</w:t>
      </w:r>
    </w:p>
    <w:p w14:paraId="741393B1" w14:textId="13C49897"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3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E15E02B" w14:textId="77777777" w:rsidR="00D94935" w:rsidRPr="00140BF9" w:rsidRDefault="00D94935" w:rsidP="00D94935">
      <w:pPr>
        <w:pStyle w:val="AmdtsEntryHd"/>
        <w:rPr>
          <w:rFonts w:cs="Arial"/>
        </w:rPr>
      </w:pPr>
      <w:r w:rsidRPr="00140BF9">
        <w:rPr>
          <w:rFonts w:cs="Arial"/>
        </w:rPr>
        <w:t>Attorney-General—notice of intervention</w:t>
      </w:r>
    </w:p>
    <w:p w14:paraId="184596A2" w14:textId="476D6561"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33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B0837E" w14:textId="77777777" w:rsidR="00D94935" w:rsidRPr="00140BF9" w:rsidRDefault="00D94935" w:rsidP="00D94935">
      <w:pPr>
        <w:pStyle w:val="AmdtsEntryHd"/>
        <w:rPr>
          <w:rFonts w:cs="Arial"/>
        </w:rPr>
      </w:pPr>
      <w:r w:rsidRPr="00140BF9">
        <w:rPr>
          <w:rFonts w:cs="Arial"/>
        </w:rPr>
        <w:t>Application—div 6.3.1</w:t>
      </w:r>
    </w:p>
    <w:p w14:paraId="4EB14CEB" w14:textId="77777777"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14:paraId="02E0AC8A" w14:textId="77777777" w:rsidR="00D94935" w:rsidRPr="00140BF9" w:rsidRDefault="00D94935" w:rsidP="00D94935">
      <w:pPr>
        <w:pStyle w:val="AmdtsEntryHd"/>
        <w:rPr>
          <w:rFonts w:cs="Arial"/>
        </w:rPr>
      </w:pPr>
      <w:r w:rsidRPr="00140BF9">
        <w:rPr>
          <w:rFonts w:cs="Arial"/>
        </w:rPr>
        <w:t>Documents—general heading style</w:t>
      </w:r>
    </w:p>
    <w:p w14:paraId="0047E375" w14:textId="77777777"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14:paraId="60EDB142" w14:textId="77777777" w:rsidR="00D94935" w:rsidRPr="00140BF9" w:rsidRDefault="00D94935" w:rsidP="00D94935">
      <w:pPr>
        <w:pStyle w:val="AmdtsEntryHd"/>
        <w:rPr>
          <w:rFonts w:cs="Arial"/>
        </w:rPr>
      </w:pPr>
      <w:r w:rsidRPr="00140BF9">
        <w:rPr>
          <w:rFonts w:cs="Arial"/>
        </w:rPr>
        <w:t>Documents—layout etc</w:t>
      </w:r>
    </w:p>
    <w:p w14:paraId="19B612D4" w14:textId="77777777"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14:paraId="78FD2122" w14:textId="4E0B605C"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333"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334"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14:paraId="02E684F8" w14:textId="1E918109" w:rsidR="00D76485" w:rsidRDefault="00D76485" w:rsidP="00D94935">
      <w:pPr>
        <w:pStyle w:val="AmdtsEntryHd"/>
      </w:pPr>
      <w:r>
        <w:t>Documents—use of copies</w:t>
      </w:r>
    </w:p>
    <w:p w14:paraId="7F2D6768" w14:textId="347F761E" w:rsidR="00D76485" w:rsidRPr="00D76485" w:rsidRDefault="00D76485" w:rsidP="00D76485">
      <w:pPr>
        <w:pStyle w:val="AmdtsEntries"/>
      </w:pPr>
      <w:r>
        <w:t>r 6104</w:t>
      </w:r>
      <w:r>
        <w:tab/>
        <w:t xml:space="preserve">am </w:t>
      </w:r>
      <w:hyperlink r:id="rId2335" w:tooltip="Court Procedures Amendment Rules 2023 (No 2)" w:history="1">
        <w:r>
          <w:rPr>
            <w:rStyle w:val="charCitHyperlinkAbbrev"/>
          </w:rPr>
          <w:t>SL2023</w:t>
        </w:r>
        <w:r>
          <w:rPr>
            <w:rStyle w:val="charCitHyperlinkAbbrev"/>
          </w:rPr>
          <w:noBreakHyphen/>
          <w:t>36</w:t>
        </w:r>
      </w:hyperlink>
      <w:r>
        <w:t xml:space="preserve"> r 56</w:t>
      </w:r>
    </w:p>
    <w:p w14:paraId="21ED188E" w14:textId="42B70924" w:rsidR="00D94935" w:rsidRPr="00140BF9" w:rsidRDefault="00D94935" w:rsidP="00D94935">
      <w:pPr>
        <w:pStyle w:val="AmdtsEntryHd"/>
        <w:rPr>
          <w:rFonts w:cs="Arial"/>
        </w:rPr>
      </w:pPr>
      <w:r w:rsidRPr="00140BF9">
        <w:rPr>
          <w:rFonts w:cs="Arial"/>
        </w:rPr>
        <w:t>Documents—use of figures</w:t>
      </w:r>
    </w:p>
    <w:p w14:paraId="1FD3B529" w14:textId="77777777"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14:paraId="17D9BADE" w14:textId="77777777" w:rsidR="00D94935" w:rsidRPr="00140BF9" w:rsidRDefault="00D94935" w:rsidP="00D94935">
      <w:pPr>
        <w:pStyle w:val="AmdtsEntryHd"/>
        <w:rPr>
          <w:rFonts w:cs="Arial"/>
        </w:rPr>
      </w:pPr>
      <w:r w:rsidRPr="00140BF9">
        <w:rPr>
          <w:rFonts w:cs="Arial"/>
        </w:rPr>
        <w:t>Documents—signing</w:t>
      </w:r>
    </w:p>
    <w:p w14:paraId="16E28961" w14:textId="77777777"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14:paraId="0BBD0098" w14:textId="2CB068D3"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33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r w:rsidR="00355999">
        <w:rPr>
          <w:rFonts w:eastAsiaTheme="minorEastAsia" w:cs="Arial"/>
          <w:szCs w:val="22"/>
          <w:lang w:eastAsia="en-AU"/>
        </w:rPr>
        <w:t xml:space="preserve">; </w:t>
      </w:r>
      <w:hyperlink r:id="rId2337"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4</w:t>
      </w:r>
      <w:r w:rsidR="00D76485">
        <w:rPr>
          <w:rFonts w:eastAsiaTheme="minorEastAsia" w:cs="Arial"/>
          <w:szCs w:val="22"/>
          <w:lang w:eastAsia="en-AU"/>
        </w:rPr>
        <w:t xml:space="preserve">; </w:t>
      </w:r>
      <w:hyperlink r:id="rId2338" w:tooltip="Court Procedures Amendment Rules 2023 (No 2)" w:history="1">
        <w:r w:rsidR="00D76485">
          <w:rPr>
            <w:rStyle w:val="charCitHyperlinkAbbrev"/>
          </w:rPr>
          <w:t>SL2023</w:t>
        </w:r>
        <w:r w:rsidR="00D76485">
          <w:rPr>
            <w:rStyle w:val="charCitHyperlinkAbbrev"/>
          </w:rPr>
          <w:noBreakHyphen/>
          <w:t>36</w:t>
        </w:r>
      </w:hyperlink>
      <w:r w:rsidR="00D76485">
        <w:rPr>
          <w:rFonts w:eastAsiaTheme="minorEastAsia" w:cs="Arial"/>
          <w:szCs w:val="22"/>
          <w:lang w:eastAsia="en-AU"/>
        </w:rPr>
        <w:t xml:space="preserve"> r 57</w:t>
      </w:r>
    </w:p>
    <w:p w14:paraId="6CCC7D17" w14:textId="77777777" w:rsidR="00D94935" w:rsidRPr="00140BF9" w:rsidRDefault="00D94935" w:rsidP="00D94935">
      <w:pPr>
        <w:pStyle w:val="AmdtsEntryHd"/>
        <w:rPr>
          <w:rFonts w:cs="Arial"/>
        </w:rPr>
      </w:pPr>
      <w:r w:rsidRPr="00140BF9">
        <w:rPr>
          <w:rFonts w:cs="Arial"/>
        </w:rPr>
        <w:t>Documents—alterations</w:t>
      </w:r>
    </w:p>
    <w:p w14:paraId="7BE7CC32" w14:textId="77777777"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14:paraId="06918949" w14:textId="77777777" w:rsidR="00D94935" w:rsidRPr="00140BF9" w:rsidRDefault="00D94935" w:rsidP="00D94935">
      <w:pPr>
        <w:pStyle w:val="AmdtsEntryHd"/>
        <w:rPr>
          <w:rFonts w:cs="Arial"/>
        </w:rPr>
      </w:pPr>
      <w:r w:rsidRPr="00140BF9">
        <w:rPr>
          <w:rFonts w:cs="Arial"/>
        </w:rPr>
        <w:lastRenderedPageBreak/>
        <w:t>Filing documents—number of copies</w:t>
      </w:r>
    </w:p>
    <w:p w14:paraId="184C7762" w14:textId="77777777"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14:paraId="488CB77A" w14:textId="22D6E42B"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33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340"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r w:rsidR="00355999">
        <w:rPr>
          <w:rFonts w:eastAsiaTheme="minorEastAsia" w:cs="Arial"/>
          <w:szCs w:val="22"/>
          <w:lang w:eastAsia="en-AU"/>
        </w:rPr>
        <w:t xml:space="preserve">; </w:t>
      </w:r>
      <w:hyperlink r:id="rId2341"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5</w:t>
      </w:r>
      <w:r w:rsidR="00D91F63">
        <w:rPr>
          <w:rFonts w:eastAsiaTheme="minorEastAsia" w:cs="Arial"/>
          <w:szCs w:val="22"/>
          <w:lang w:eastAsia="en-AU"/>
        </w:rPr>
        <w:t xml:space="preserve">; </w:t>
      </w:r>
      <w:hyperlink r:id="rId2342" w:tooltip="Court Procedures Amendment Rules 2023 (No 2)" w:history="1">
        <w:r w:rsidR="00D91F63">
          <w:rPr>
            <w:rStyle w:val="charCitHyperlinkAbbrev"/>
          </w:rPr>
          <w:t>SL2023</w:t>
        </w:r>
        <w:r w:rsidR="00D91F63">
          <w:rPr>
            <w:rStyle w:val="charCitHyperlinkAbbrev"/>
          </w:rPr>
          <w:noBreakHyphen/>
          <w:t>36</w:t>
        </w:r>
      </w:hyperlink>
      <w:r w:rsidR="00D91F63">
        <w:rPr>
          <w:rFonts w:eastAsiaTheme="minorEastAsia" w:cs="Arial"/>
          <w:szCs w:val="22"/>
          <w:lang w:eastAsia="en-AU"/>
        </w:rPr>
        <w:t xml:space="preserve"> r 58</w:t>
      </w:r>
    </w:p>
    <w:p w14:paraId="5967AB18" w14:textId="77777777" w:rsidR="00D94935" w:rsidRPr="00140BF9" w:rsidRDefault="00D94935" w:rsidP="00D94935">
      <w:pPr>
        <w:pStyle w:val="AmdtsEntryHd"/>
        <w:rPr>
          <w:rFonts w:cs="Arial"/>
        </w:rPr>
      </w:pPr>
      <w:r w:rsidRPr="00140BF9">
        <w:rPr>
          <w:rFonts w:cs="Arial"/>
        </w:rPr>
        <w:t>How documents may be filed</w:t>
      </w:r>
    </w:p>
    <w:p w14:paraId="791BA782" w14:textId="77777777"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14:paraId="34F626BB" w14:textId="37A7268A"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34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344"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345"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r w:rsidR="00D91F63">
        <w:rPr>
          <w:rFonts w:eastAsiaTheme="minorEastAsia" w:cs="Arial"/>
          <w:szCs w:val="22"/>
          <w:lang w:eastAsia="en-AU"/>
        </w:rPr>
        <w:t xml:space="preserve">; </w:t>
      </w:r>
      <w:hyperlink r:id="rId2346" w:tooltip="Court Procedures Amendment Rules 2023 (No 2)" w:history="1">
        <w:r w:rsidR="00D91F63">
          <w:rPr>
            <w:rStyle w:val="charCitHyperlinkAbbrev"/>
          </w:rPr>
          <w:t>SL2023</w:t>
        </w:r>
        <w:r w:rsidR="00D91F63">
          <w:rPr>
            <w:rStyle w:val="charCitHyperlinkAbbrev"/>
          </w:rPr>
          <w:noBreakHyphen/>
          <w:t>36</w:t>
        </w:r>
      </w:hyperlink>
      <w:r w:rsidR="00D91F63">
        <w:rPr>
          <w:rFonts w:eastAsiaTheme="minorEastAsia" w:cs="Arial"/>
          <w:szCs w:val="22"/>
          <w:lang w:eastAsia="en-AU"/>
        </w:rPr>
        <w:t xml:space="preserve"> r 59, r 60</w:t>
      </w:r>
    </w:p>
    <w:p w14:paraId="62389B30" w14:textId="77777777" w:rsidR="00D94935" w:rsidRPr="00140BF9" w:rsidRDefault="00D94935" w:rsidP="00D94935">
      <w:pPr>
        <w:pStyle w:val="AmdtsEntryHd"/>
        <w:rPr>
          <w:rFonts w:cs="Arial"/>
        </w:rPr>
      </w:pPr>
      <w:r w:rsidRPr="00140BF9">
        <w:rPr>
          <w:rFonts w:cs="Arial"/>
        </w:rPr>
        <w:t>Filing documents personally</w:t>
      </w:r>
    </w:p>
    <w:p w14:paraId="30A676AD" w14:textId="77777777"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14:paraId="7D239672" w14:textId="77777777" w:rsidR="00D94935" w:rsidRPr="00140BF9" w:rsidRDefault="00D94935" w:rsidP="00D94935">
      <w:pPr>
        <w:pStyle w:val="AmdtsEntryHd"/>
        <w:rPr>
          <w:rFonts w:cs="Arial"/>
        </w:rPr>
      </w:pPr>
      <w:r w:rsidRPr="00140BF9">
        <w:rPr>
          <w:rFonts w:cs="Arial"/>
        </w:rPr>
        <w:t>Filing documents by post</w:t>
      </w:r>
    </w:p>
    <w:p w14:paraId="594F9E2E" w14:textId="77777777"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14:paraId="5E7433D5" w14:textId="639B244A"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34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14:paraId="2AF56C83" w14:textId="77777777" w:rsidR="00D94935" w:rsidRPr="00140BF9" w:rsidRDefault="005E6F9A" w:rsidP="00D94935">
      <w:pPr>
        <w:pStyle w:val="AmdtsEntryHd"/>
        <w:rPr>
          <w:rFonts w:cs="Arial"/>
        </w:rPr>
      </w:pPr>
      <w:r w:rsidRPr="00CE5D4D">
        <w:t>Filing documents electronically</w:t>
      </w:r>
    </w:p>
    <w:p w14:paraId="2450BA47" w14:textId="205B9FA4" w:rsidR="00D94935" w:rsidRDefault="00D94935" w:rsidP="00D94935">
      <w:pPr>
        <w:pStyle w:val="AmdtsEntries"/>
        <w:rPr>
          <w:rFonts w:cs="Arial"/>
        </w:rPr>
      </w:pPr>
      <w:r w:rsidRPr="00140BF9">
        <w:rPr>
          <w:rFonts w:cs="Arial"/>
        </w:rPr>
        <w:t>r 6124</w:t>
      </w:r>
      <w:r w:rsidRPr="00140BF9">
        <w:rPr>
          <w:rFonts w:cs="Arial"/>
        </w:rPr>
        <w:tab/>
        <w:t xml:space="preserve">om </w:t>
      </w:r>
      <w:hyperlink r:id="rId234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14:paraId="480703B8" w14:textId="301A0E5E" w:rsidR="005E6F9A" w:rsidRDefault="005E6F9A" w:rsidP="00D94935">
      <w:pPr>
        <w:pStyle w:val="AmdtsEntries"/>
        <w:rPr>
          <w:rFonts w:cs="Arial"/>
        </w:rPr>
      </w:pPr>
      <w:r>
        <w:rPr>
          <w:rFonts w:cs="Arial"/>
        </w:rPr>
        <w:tab/>
        <w:t xml:space="preserve">ins </w:t>
      </w:r>
      <w:hyperlink r:id="rId2349" w:tooltip="Court Procedures Amendment Rules 2018 (No 1)" w:history="1">
        <w:r>
          <w:rPr>
            <w:rStyle w:val="charCitHyperlinkAbbrev"/>
          </w:rPr>
          <w:t>SL2018</w:t>
        </w:r>
        <w:r>
          <w:rPr>
            <w:rStyle w:val="charCitHyperlinkAbbrev"/>
          </w:rPr>
          <w:noBreakHyphen/>
          <w:t>25</w:t>
        </w:r>
      </w:hyperlink>
      <w:r>
        <w:rPr>
          <w:rFonts w:cs="Arial"/>
        </w:rPr>
        <w:t xml:space="preserve"> r 12</w:t>
      </w:r>
    </w:p>
    <w:p w14:paraId="71D5C8ED" w14:textId="64CADD64" w:rsidR="00D91F63" w:rsidRPr="00140BF9" w:rsidRDefault="00D91F63" w:rsidP="00D94935">
      <w:pPr>
        <w:pStyle w:val="AmdtsEntries"/>
        <w:rPr>
          <w:rFonts w:cs="Arial"/>
        </w:rPr>
      </w:pPr>
      <w:r>
        <w:rPr>
          <w:rFonts w:cs="Arial"/>
        </w:rPr>
        <w:tab/>
        <w:t>am</w:t>
      </w:r>
      <w:r>
        <w:rPr>
          <w:rFonts w:eastAsiaTheme="minorEastAsia" w:cs="Arial"/>
          <w:szCs w:val="22"/>
          <w:lang w:eastAsia="en-AU"/>
        </w:rPr>
        <w:t xml:space="preserve"> </w:t>
      </w:r>
      <w:hyperlink r:id="rId2350"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rr 61-63</w:t>
      </w:r>
      <w:r w:rsidR="00AC3DC6">
        <w:rPr>
          <w:rFonts w:eastAsiaTheme="minorEastAsia" w:cs="Arial"/>
          <w:szCs w:val="22"/>
          <w:lang w:eastAsia="en-AU"/>
        </w:rPr>
        <w:t xml:space="preserve">; </w:t>
      </w:r>
      <w:r w:rsidR="00543BF6">
        <w:rPr>
          <w:rFonts w:eastAsiaTheme="minorEastAsia" w:cs="Arial"/>
          <w:szCs w:val="22"/>
          <w:lang w:eastAsia="en-AU"/>
        </w:rPr>
        <w:t>rr</w:t>
      </w:r>
      <w:r w:rsidR="00AC3DC6">
        <w:rPr>
          <w:rFonts w:eastAsiaTheme="minorEastAsia" w:cs="Arial"/>
          <w:szCs w:val="22"/>
          <w:lang w:eastAsia="en-AU"/>
        </w:rPr>
        <w:t xml:space="preserve"> renum R66 LA</w:t>
      </w:r>
    </w:p>
    <w:p w14:paraId="50268016" w14:textId="77777777" w:rsidR="00D94935" w:rsidRPr="00140BF9" w:rsidRDefault="00D94935" w:rsidP="00D94935">
      <w:pPr>
        <w:pStyle w:val="AmdtsEntryHd"/>
        <w:rPr>
          <w:rFonts w:cs="Arial"/>
        </w:rPr>
      </w:pPr>
      <w:r w:rsidRPr="00140BF9">
        <w:rPr>
          <w:rFonts w:cs="Arial"/>
        </w:rPr>
        <w:t>Practice notes about filing</w:t>
      </w:r>
    </w:p>
    <w:p w14:paraId="700CA873" w14:textId="77777777"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14:paraId="30A74987" w14:textId="77777777" w:rsidR="00D94935" w:rsidRPr="00140BF9" w:rsidRDefault="00D94935" w:rsidP="00D94935">
      <w:pPr>
        <w:pStyle w:val="AmdtsEntryHd"/>
        <w:rPr>
          <w:rFonts w:cs="Arial"/>
        </w:rPr>
      </w:pPr>
      <w:r w:rsidRPr="00140BF9">
        <w:rPr>
          <w:rFonts w:cs="Arial"/>
        </w:rPr>
        <w:t>Date of filing</w:t>
      </w:r>
    </w:p>
    <w:p w14:paraId="1CBC7C5D" w14:textId="77777777"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14:paraId="05FBB7BB" w14:textId="0A07ED2C"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35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352"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353"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r w:rsidR="001B6B90">
        <w:rPr>
          <w:rFonts w:eastAsiaTheme="minorEastAsia" w:cs="Arial"/>
          <w:szCs w:val="22"/>
          <w:lang w:eastAsia="en-AU"/>
        </w:rPr>
        <w:t xml:space="preserve">; </w:t>
      </w:r>
      <w:hyperlink r:id="rId2354" w:tooltip="Court Procedures Amendment Rules 2023 (No 2)" w:history="1">
        <w:r w:rsidR="001B6B90">
          <w:rPr>
            <w:rStyle w:val="charCitHyperlinkAbbrev"/>
          </w:rPr>
          <w:t>SL2023</w:t>
        </w:r>
        <w:r w:rsidR="001B6B90">
          <w:rPr>
            <w:rStyle w:val="charCitHyperlinkAbbrev"/>
          </w:rPr>
          <w:noBreakHyphen/>
          <w:t>36</w:t>
        </w:r>
      </w:hyperlink>
      <w:r w:rsidR="001B6B90">
        <w:rPr>
          <w:rFonts w:eastAsiaTheme="minorEastAsia" w:cs="Arial"/>
          <w:szCs w:val="22"/>
          <w:lang w:eastAsia="en-AU"/>
        </w:rPr>
        <w:t xml:space="preserve"> r 64</w:t>
      </w:r>
    </w:p>
    <w:p w14:paraId="24C44066" w14:textId="77777777" w:rsidR="00411564" w:rsidRDefault="00411564" w:rsidP="00D94935">
      <w:pPr>
        <w:pStyle w:val="AmdtsEntryHd"/>
      </w:pPr>
      <w:r w:rsidRPr="00CE5D4D">
        <w:t>Documents filed electronically</w:t>
      </w:r>
    </w:p>
    <w:p w14:paraId="17E75D21" w14:textId="5CE4C3FC" w:rsidR="00411564" w:rsidRDefault="00411564" w:rsidP="00411564">
      <w:pPr>
        <w:pStyle w:val="AmdtsEntries"/>
      </w:pPr>
      <w:r>
        <w:t>div 6.3.2A hdg</w:t>
      </w:r>
      <w:r>
        <w:tab/>
        <w:t xml:space="preserve">ins </w:t>
      </w:r>
      <w:hyperlink r:id="rId2355" w:tooltip="Court Procedures Amendment Rules 2018 (No 1)" w:history="1">
        <w:r>
          <w:rPr>
            <w:rStyle w:val="charCitHyperlinkAbbrev"/>
          </w:rPr>
          <w:t>SL2018</w:t>
        </w:r>
        <w:r>
          <w:rPr>
            <w:rStyle w:val="charCitHyperlinkAbbrev"/>
          </w:rPr>
          <w:noBreakHyphen/>
          <w:t>25</w:t>
        </w:r>
      </w:hyperlink>
      <w:r>
        <w:t xml:space="preserve"> r 16</w:t>
      </w:r>
    </w:p>
    <w:p w14:paraId="1712F16E" w14:textId="51C53B99" w:rsidR="001B6B90" w:rsidRPr="00411564" w:rsidRDefault="001B6B90" w:rsidP="00411564">
      <w:pPr>
        <w:pStyle w:val="AmdtsEntries"/>
      </w:pPr>
      <w:r>
        <w:tab/>
      </w:r>
      <w:r>
        <w:rPr>
          <w:rFonts w:eastAsiaTheme="minorEastAsia" w:cs="Arial"/>
          <w:szCs w:val="22"/>
          <w:lang w:eastAsia="en-AU"/>
        </w:rPr>
        <w:t xml:space="preserve">om </w:t>
      </w:r>
      <w:hyperlink r:id="rId2356"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65</w:t>
      </w:r>
    </w:p>
    <w:p w14:paraId="21EC66D3" w14:textId="77777777" w:rsidR="00411564" w:rsidRDefault="00411564" w:rsidP="00411564">
      <w:pPr>
        <w:pStyle w:val="AmdtsEntryHd"/>
      </w:pPr>
      <w:r w:rsidRPr="00CE5D4D">
        <w:t>Keeping original documents</w:t>
      </w:r>
    </w:p>
    <w:p w14:paraId="05316A19" w14:textId="1FE7B2AE" w:rsidR="00411564" w:rsidRPr="00411564" w:rsidRDefault="00411564" w:rsidP="00411564">
      <w:pPr>
        <w:pStyle w:val="AmdtsEntries"/>
      </w:pPr>
      <w:r>
        <w:t>r 6130</w:t>
      </w:r>
      <w:r>
        <w:tab/>
        <w:t xml:space="preserve">ins </w:t>
      </w:r>
      <w:hyperlink r:id="rId2357" w:tooltip="Court Procedures Amendment Rules 2018 (No 1)" w:history="1">
        <w:r>
          <w:rPr>
            <w:rStyle w:val="charCitHyperlinkAbbrev"/>
          </w:rPr>
          <w:t>SL2018</w:t>
        </w:r>
        <w:r>
          <w:rPr>
            <w:rStyle w:val="charCitHyperlinkAbbrev"/>
          </w:rPr>
          <w:noBreakHyphen/>
          <w:t>25</w:t>
        </w:r>
      </w:hyperlink>
      <w:r>
        <w:t xml:space="preserve"> r 16</w:t>
      </w:r>
    </w:p>
    <w:p w14:paraId="53BFF275" w14:textId="77777777" w:rsidR="00411564" w:rsidRDefault="00411564" w:rsidP="00411564">
      <w:pPr>
        <w:pStyle w:val="AmdtsEntryHd"/>
      </w:pPr>
      <w:r w:rsidRPr="00CE5D4D">
        <w:t>Signing, sealing and stamping documents filed electronically</w:t>
      </w:r>
    </w:p>
    <w:p w14:paraId="7333E777" w14:textId="2465D10F" w:rsidR="00E925EF" w:rsidRPr="00411564" w:rsidRDefault="00411564" w:rsidP="00A6700C">
      <w:pPr>
        <w:pStyle w:val="AmdtsEntries"/>
      </w:pPr>
      <w:r>
        <w:t>r 6131</w:t>
      </w:r>
      <w:r>
        <w:tab/>
      </w:r>
      <w:r w:rsidR="00A6700C">
        <w:rPr>
          <w:rFonts w:eastAsiaTheme="minorEastAsia" w:cs="Arial"/>
          <w:szCs w:val="22"/>
          <w:lang w:eastAsia="en-AU"/>
        </w:rPr>
        <w:t xml:space="preserve">renum and </w:t>
      </w:r>
      <w:r w:rsidR="00E925EF">
        <w:rPr>
          <w:rFonts w:eastAsiaTheme="minorEastAsia" w:cs="Arial"/>
          <w:szCs w:val="22"/>
          <w:lang w:eastAsia="en-AU"/>
        </w:rPr>
        <w:t>reloc as r 6304</w:t>
      </w:r>
      <w:r w:rsidR="00A6700C">
        <w:rPr>
          <w:rFonts w:eastAsiaTheme="minorEastAsia" w:cs="Arial"/>
          <w:szCs w:val="22"/>
          <w:lang w:eastAsia="en-AU"/>
        </w:rPr>
        <w:t>A</w:t>
      </w:r>
      <w:r w:rsidR="00E925EF">
        <w:rPr>
          <w:rFonts w:eastAsiaTheme="minorEastAsia" w:cs="Arial"/>
          <w:szCs w:val="22"/>
          <w:lang w:eastAsia="en-AU"/>
        </w:rPr>
        <w:t xml:space="preserve"> </w:t>
      </w:r>
      <w:hyperlink r:id="rId2358" w:tooltip="Court Procedures Amendment Rules 2023 (No 2)" w:history="1">
        <w:r w:rsidR="00E925EF">
          <w:rPr>
            <w:rStyle w:val="charCitHyperlinkAbbrev"/>
          </w:rPr>
          <w:t>SL2023</w:t>
        </w:r>
        <w:r w:rsidR="00E925EF">
          <w:rPr>
            <w:rStyle w:val="charCitHyperlinkAbbrev"/>
          </w:rPr>
          <w:noBreakHyphen/>
          <w:t>36</w:t>
        </w:r>
      </w:hyperlink>
      <w:r w:rsidR="00E925EF">
        <w:rPr>
          <w:rFonts w:eastAsiaTheme="minorEastAsia" w:cs="Arial"/>
          <w:szCs w:val="22"/>
          <w:lang w:eastAsia="en-AU"/>
        </w:rPr>
        <w:t xml:space="preserve"> r 67</w:t>
      </w:r>
    </w:p>
    <w:p w14:paraId="5980F4B7" w14:textId="77777777" w:rsidR="00411564" w:rsidRDefault="00411564" w:rsidP="00411564">
      <w:pPr>
        <w:pStyle w:val="AmdtsEntryHd"/>
      </w:pPr>
      <w:r w:rsidRPr="00CE5D4D">
        <w:t>Issue of documents electronically by court</w:t>
      </w:r>
    </w:p>
    <w:p w14:paraId="747C9E2E" w14:textId="572708FE" w:rsidR="00A6700C" w:rsidRPr="00411564" w:rsidRDefault="00411564" w:rsidP="00A6700C">
      <w:pPr>
        <w:pStyle w:val="AmdtsEntries"/>
      </w:pPr>
      <w:r>
        <w:t>r 6132</w:t>
      </w:r>
      <w:r>
        <w:tab/>
      </w:r>
      <w:r w:rsidR="00A6700C">
        <w:t xml:space="preserve">renum and reloc as r 6304B </w:t>
      </w:r>
      <w:hyperlink r:id="rId2359" w:tooltip="Court Procedures Amendment Rules 2023 (No 2)" w:history="1">
        <w:r w:rsidR="00A6700C">
          <w:rPr>
            <w:rStyle w:val="charCitHyperlinkAbbrev"/>
          </w:rPr>
          <w:t>SL2023</w:t>
        </w:r>
        <w:r w:rsidR="00A6700C">
          <w:rPr>
            <w:rStyle w:val="charCitHyperlinkAbbrev"/>
          </w:rPr>
          <w:noBreakHyphen/>
          <w:t>36</w:t>
        </w:r>
      </w:hyperlink>
      <w:r w:rsidR="00A6700C">
        <w:t xml:space="preserve"> r 69</w:t>
      </w:r>
    </w:p>
    <w:p w14:paraId="3E237839" w14:textId="31A9F2BC" w:rsidR="009975F2" w:rsidRDefault="00D57F94" w:rsidP="00D94935">
      <w:pPr>
        <w:pStyle w:val="AmdtsEntryHd"/>
      </w:pPr>
      <w:r w:rsidRPr="00C1177F">
        <w:t>Conversion of documents in paper form to electronic form</w:t>
      </w:r>
    </w:p>
    <w:p w14:paraId="69E95E82" w14:textId="412CFBF8" w:rsidR="00D57F94" w:rsidRPr="00D57F94" w:rsidRDefault="00D57F94" w:rsidP="00D57F94">
      <w:pPr>
        <w:pStyle w:val="AmdtsEntries"/>
      </w:pPr>
      <w:r>
        <w:t>r 6133</w:t>
      </w:r>
      <w:r>
        <w:tab/>
        <w:t xml:space="preserve">ins </w:t>
      </w:r>
      <w:hyperlink r:id="rId2360" w:tooltip="Court Procedures Amendment Rules 2023 (No 2)" w:history="1">
        <w:r>
          <w:rPr>
            <w:rStyle w:val="charCitHyperlinkAbbrev"/>
          </w:rPr>
          <w:t>SL2023</w:t>
        </w:r>
        <w:r>
          <w:rPr>
            <w:rStyle w:val="charCitHyperlinkAbbrev"/>
          </w:rPr>
          <w:noBreakHyphen/>
          <w:t>36</w:t>
        </w:r>
      </w:hyperlink>
      <w:r>
        <w:t xml:space="preserve"> r 70</w:t>
      </w:r>
    </w:p>
    <w:p w14:paraId="7F7D93E4" w14:textId="1FD5F4E1" w:rsidR="00D57F94" w:rsidRDefault="00D57F94" w:rsidP="00D57F94">
      <w:pPr>
        <w:pStyle w:val="AmdtsEntryHd"/>
      </w:pPr>
      <w:r w:rsidRPr="00C1177F">
        <w:t>Official record of the court</w:t>
      </w:r>
    </w:p>
    <w:p w14:paraId="0F9F8944" w14:textId="0C2C3201" w:rsidR="00D57F94" w:rsidRPr="00D57F94" w:rsidRDefault="00D57F94" w:rsidP="00D57F94">
      <w:pPr>
        <w:pStyle w:val="AmdtsEntries"/>
      </w:pPr>
      <w:r>
        <w:t>r 6134</w:t>
      </w:r>
      <w:r>
        <w:tab/>
        <w:t xml:space="preserve">ins </w:t>
      </w:r>
      <w:hyperlink r:id="rId2361" w:tooltip="Court Procedures Amendment Rules 2023 (No 2)" w:history="1">
        <w:r>
          <w:rPr>
            <w:rStyle w:val="charCitHyperlinkAbbrev"/>
          </w:rPr>
          <w:t>SL2023</w:t>
        </w:r>
        <w:r>
          <w:rPr>
            <w:rStyle w:val="charCitHyperlinkAbbrev"/>
          </w:rPr>
          <w:noBreakHyphen/>
          <w:t>36</w:t>
        </w:r>
      </w:hyperlink>
      <w:r>
        <w:t xml:space="preserve"> r 70</w:t>
      </w:r>
    </w:p>
    <w:p w14:paraId="7AAD1B79" w14:textId="429DE33D" w:rsidR="00D94935" w:rsidRPr="00140BF9" w:rsidRDefault="00D94935" w:rsidP="00D94935">
      <w:pPr>
        <w:pStyle w:val="AmdtsEntryHd"/>
        <w:rPr>
          <w:rFonts w:cs="Arial"/>
        </w:rPr>
      </w:pPr>
      <w:r w:rsidRPr="00140BF9">
        <w:rPr>
          <w:rFonts w:cs="Arial"/>
        </w:rPr>
        <w:t>Rejecting documents—noncompliance with rules etc</w:t>
      </w:r>
    </w:p>
    <w:p w14:paraId="5E03E219" w14:textId="77777777"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14:paraId="5605BDB6" w14:textId="557A1777"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36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14:paraId="354BC6C9" w14:textId="77777777" w:rsidR="00D94935" w:rsidRPr="00140BF9" w:rsidRDefault="00D94935" w:rsidP="00D94935">
      <w:pPr>
        <w:pStyle w:val="AmdtsEntryHd"/>
        <w:rPr>
          <w:rFonts w:cs="Arial"/>
        </w:rPr>
      </w:pPr>
      <w:r w:rsidRPr="00140BF9">
        <w:rPr>
          <w:rFonts w:cs="Arial"/>
          <w:lang w:val="en-US"/>
        </w:rPr>
        <w:lastRenderedPageBreak/>
        <w:t>Rejecting documents—inconvenient address for service</w:t>
      </w:r>
    </w:p>
    <w:p w14:paraId="3715D46D" w14:textId="77777777"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14:paraId="5B833768" w14:textId="77777777" w:rsidR="00D94935" w:rsidRPr="00140BF9" w:rsidRDefault="00D94935" w:rsidP="00D94935">
      <w:pPr>
        <w:pStyle w:val="AmdtsEntryHd"/>
        <w:rPr>
          <w:rFonts w:cs="Arial"/>
        </w:rPr>
      </w:pPr>
      <w:r w:rsidRPr="00140BF9">
        <w:rPr>
          <w:rFonts w:cs="Arial"/>
        </w:rPr>
        <w:t>Rejecting documents—abuse of process etc</w:t>
      </w:r>
    </w:p>
    <w:p w14:paraId="53F17A81" w14:textId="77777777"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14:paraId="71F58C04" w14:textId="6F113862"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3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BB713D">
        <w:t xml:space="preserve">; </w:t>
      </w:r>
      <w:hyperlink r:id="rId2364" w:tooltip="Court Procedures Amendment Rules 2024 (No 1)" w:history="1">
        <w:r w:rsidR="008E1456">
          <w:rPr>
            <w:rStyle w:val="charCitHyperlinkAbbrev"/>
          </w:rPr>
          <w:t>SL2024</w:t>
        </w:r>
        <w:r w:rsidR="008E1456">
          <w:rPr>
            <w:rStyle w:val="charCitHyperlinkAbbrev"/>
          </w:rPr>
          <w:noBreakHyphen/>
          <w:t>9</w:t>
        </w:r>
      </w:hyperlink>
      <w:r w:rsidR="00BB713D">
        <w:t xml:space="preserve"> r 26</w:t>
      </w:r>
    </w:p>
    <w:p w14:paraId="74095788" w14:textId="77777777" w:rsidR="00D94935" w:rsidRPr="00140BF9" w:rsidRDefault="00D94935" w:rsidP="00D94935">
      <w:pPr>
        <w:pStyle w:val="AmdtsEntryHd"/>
        <w:rPr>
          <w:rFonts w:cs="Arial"/>
        </w:rPr>
      </w:pPr>
      <w:r w:rsidRPr="00140BF9">
        <w:rPr>
          <w:rFonts w:cs="Arial"/>
        </w:rPr>
        <w:t>Rejecting document—registrar to give notice etc</w:t>
      </w:r>
    </w:p>
    <w:p w14:paraId="256FF3C5" w14:textId="77777777"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14:paraId="52E78DAE" w14:textId="3BCF210A"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36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r w:rsidR="00D57F94">
        <w:rPr>
          <w:rFonts w:eastAsiaTheme="minorEastAsia" w:cs="Arial"/>
          <w:szCs w:val="22"/>
          <w:lang w:eastAsia="en-AU"/>
        </w:rPr>
        <w:t xml:space="preserve">; </w:t>
      </w:r>
      <w:hyperlink r:id="rId2366" w:tooltip="Court Procedures Amendment Rules 2023 (No 2)" w:history="1">
        <w:r w:rsidR="00D57F94">
          <w:rPr>
            <w:rStyle w:val="charCitHyperlinkAbbrev"/>
          </w:rPr>
          <w:t>SL2023</w:t>
        </w:r>
        <w:r w:rsidR="00D57F94">
          <w:rPr>
            <w:rStyle w:val="charCitHyperlinkAbbrev"/>
          </w:rPr>
          <w:noBreakHyphen/>
          <w:t>36</w:t>
        </w:r>
      </w:hyperlink>
      <w:r w:rsidR="00D57F94">
        <w:rPr>
          <w:rFonts w:eastAsiaTheme="minorEastAsia" w:cs="Arial"/>
          <w:szCs w:val="22"/>
          <w:lang w:eastAsia="en-AU"/>
        </w:rPr>
        <w:t xml:space="preserve"> r 71</w:t>
      </w:r>
    </w:p>
    <w:p w14:paraId="18332022" w14:textId="77777777" w:rsidR="00D94935" w:rsidRPr="00140BF9" w:rsidRDefault="00D94935" w:rsidP="00D94935">
      <w:pPr>
        <w:pStyle w:val="AmdtsEntryHd"/>
        <w:rPr>
          <w:rFonts w:cs="Arial"/>
        </w:rPr>
      </w:pPr>
      <w:r w:rsidRPr="00140BF9">
        <w:rPr>
          <w:rFonts w:cs="Arial"/>
        </w:rPr>
        <w:t>Rejecting document—costs</w:t>
      </w:r>
    </w:p>
    <w:p w14:paraId="7C647C9C" w14:textId="77777777"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14:paraId="35FAB9A8" w14:textId="04DEB46F" w:rsidR="00D57F94" w:rsidRDefault="00D57F94" w:rsidP="00D94935">
      <w:pPr>
        <w:pStyle w:val="AmdtsEntryHd"/>
      </w:pPr>
      <w:r>
        <w:t>Filed documents initially rejected</w:t>
      </w:r>
    </w:p>
    <w:p w14:paraId="79556FA7" w14:textId="10A03099" w:rsidR="00D57F94" w:rsidRPr="00D57F94" w:rsidRDefault="00D57F94" w:rsidP="00D57F94">
      <w:pPr>
        <w:pStyle w:val="AmdtsEntries"/>
      </w:pPr>
      <w:r>
        <w:t>r 6145</w:t>
      </w:r>
      <w:r>
        <w:tab/>
        <w:t xml:space="preserve">am </w:t>
      </w:r>
      <w:hyperlink r:id="rId2367" w:tooltip="Court Procedures Amendment Rules 2023 (No 2)" w:history="1">
        <w:r>
          <w:rPr>
            <w:rStyle w:val="charCitHyperlinkAbbrev"/>
          </w:rPr>
          <w:t>SL2023</w:t>
        </w:r>
        <w:r>
          <w:rPr>
            <w:rStyle w:val="charCitHyperlinkAbbrev"/>
          </w:rPr>
          <w:noBreakHyphen/>
          <w:t>36</w:t>
        </w:r>
      </w:hyperlink>
      <w:r>
        <w:t xml:space="preserve"> r 72</w:t>
      </w:r>
    </w:p>
    <w:p w14:paraId="360D58B8" w14:textId="709C4472" w:rsidR="00D94935" w:rsidRDefault="00D94935" w:rsidP="00D94935">
      <w:pPr>
        <w:pStyle w:val="AmdtsEntryHd"/>
        <w:rPr>
          <w:rFonts w:cs="Arial"/>
        </w:rPr>
      </w:pPr>
      <w:r>
        <w:rPr>
          <w:rFonts w:cs="Arial"/>
        </w:rPr>
        <w:t>Associate judge</w:t>
      </w:r>
    </w:p>
    <w:p w14:paraId="391161FC" w14:textId="62D9F595" w:rsidR="00D94935" w:rsidRDefault="00D94935" w:rsidP="00D94935">
      <w:pPr>
        <w:pStyle w:val="AmdtsEntries"/>
      </w:pPr>
      <w:r>
        <w:t>pt 6.4 hdg</w:t>
      </w:r>
      <w:r>
        <w:tab/>
        <w:t xml:space="preserve">sub </w:t>
      </w:r>
      <w:hyperlink r:id="rId23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14:paraId="579FBFE0" w14:textId="06D3F648" w:rsidR="00BB713D" w:rsidRPr="002965DE" w:rsidRDefault="00BB713D" w:rsidP="00D94935">
      <w:pPr>
        <w:pStyle w:val="AmdtsEntries"/>
      </w:pPr>
      <w:r>
        <w:tab/>
        <w:t xml:space="preserve">om </w:t>
      </w:r>
      <w:hyperlink r:id="rId2369" w:tooltip="Court Procedures Amendment Rules 2024 (No 1)" w:history="1">
        <w:r w:rsidR="008E1456">
          <w:rPr>
            <w:rStyle w:val="charCitHyperlinkAbbrev"/>
          </w:rPr>
          <w:t>SL2024</w:t>
        </w:r>
        <w:r w:rsidR="008E1456">
          <w:rPr>
            <w:rStyle w:val="charCitHyperlinkAbbrev"/>
          </w:rPr>
          <w:noBreakHyphen/>
          <w:t>9</w:t>
        </w:r>
      </w:hyperlink>
      <w:r>
        <w:t xml:space="preserve"> r 27</w:t>
      </w:r>
    </w:p>
    <w:p w14:paraId="6AE8E3E6" w14:textId="77777777" w:rsidR="00D94935" w:rsidRPr="00140BF9" w:rsidRDefault="00D94935" w:rsidP="00D94935">
      <w:pPr>
        <w:pStyle w:val="AmdtsEntryHd"/>
        <w:rPr>
          <w:rFonts w:cs="Arial"/>
        </w:rPr>
      </w:pPr>
      <w:r w:rsidRPr="00140BF9">
        <w:rPr>
          <w:rFonts w:cs="Arial"/>
        </w:rPr>
        <w:t>Ju</w:t>
      </w:r>
      <w:r>
        <w:rPr>
          <w:rFonts w:cs="Arial"/>
        </w:rPr>
        <w:t>risdiction exercisable by associate judge</w:t>
      </w:r>
    </w:p>
    <w:p w14:paraId="037BE937" w14:textId="77777777"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14:paraId="43AEA3CB" w14:textId="4FD303B7"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37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14:paraId="1DCE8128" w14:textId="2A4FC95C" w:rsidR="00D94935" w:rsidRDefault="00D94935" w:rsidP="00D94935">
      <w:pPr>
        <w:pStyle w:val="AmdtsEntries"/>
      </w:pPr>
      <w:r w:rsidRPr="00140BF9">
        <w:rPr>
          <w:rFonts w:cs="Arial"/>
        </w:rPr>
        <w:t>r 6200</w:t>
      </w:r>
      <w:r w:rsidRPr="00140BF9">
        <w:rPr>
          <w:rFonts w:cs="Arial"/>
        </w:rPr>
        <w:tab/>
        <w:t xml:space="preserve">am </w:t>
      </w:r>
      <w:hyperlink r:id="rId23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37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3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374"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14:paraId="4CCFEFE3" w14:textId="7A76A3C2" w:rsidR="00DB365E" w:rsidRPr="00140BF9" w:rsidRDefault="00DB365E" w:rsidP="00D94935">
      <w:pPr>
        <w:pStyle w:val="AmdtsEntries"/>
        <w:rPr>
          <w:rFonts w:cs="Arial"/>
        </w:rPr>
      </w:pPr>
      <w:r>
        <w:tab/>
        <w:t xml:space="preserve">om </w:t>
      </w:r>
      <w:hyperlink r:id="rId2375" w:tooltip="Court Procedures Amendment Rules 2020 (No 5)" w:history="1">
        <w:r>
          <w:rPr>
            <w:rStyle w:val="charCitHyperlinkAbbrev"/>
          </w:rPr>
          <w:t>SL2020</w:t>
        </w:r>
        <w:r>
          <w:rPr>
            <w:rStyle w:val="charCitHyperlinkAbbrev"/>
          </w:rPr>
          <w:noBreakHyphen/>
          <w:t>45</w:t>
        </w:r>
      </w:hyperlink>
      <w:r>
        <w:t xml:space="preserve"> r 12</w:t>
      </w:r>
    </w:p>
    <w:p w14:paraId="163DB047" w14:textId="77777777"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14:paraId="57A057FA" w14:textId="77777777"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14:paraId="3D5BF6E6" w14:textId="11425947"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3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0C1BB0AC" w14:textId="57F853DE"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3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1C0A13BC" w14:textId="2AC7D93A" w:rsidR="00DB365E" w:rsidRDefault="00DB365E" w:rsidP="00DB365E">
      <w:pPr>
        <w:pStyle w:val="AmdtsEntries"/>
      </w:pPr>
      <w:r>
        <w:tab/>
        <w:t xml:space="preserve">om </w:t>
      </w:r>
      <w:hyperlink r:id="rId2378" w:tooltip="Court Procedures Amendment Rules 2020 (No 5)" w:history="1">
        <w:r>
          <w:rPr>
            <w:rStyle w:val="charCitHyperlinkAbbrev"/>
          </w:rPr>
          <w:t>SL2020</w:t>
        </w:r>
        <w:r>
          <w:rPr>
            <w:rStyle w:val="charCitHyperlinkAbbrev"/>
          </w:rPr>
          <w:noBreakHyphen/>
          <w:t>45</w:t>
        </w:r>
      </w:hyperlink>
      <w:r>
        <w:t xml:space="preserve"> r 12</w:t>
      </w:r>
    </w:p>
    <w:p w14:paraId="1D55652B" w14:textId="77777777"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14:paraId="7016DC50" w14:textId="77777777"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14:paraId="380EE405" w14:textId="2A0568B4"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3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14:paraId="2E4E7081" w14:textId="723CE243"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3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14:paraId="2913337E" w14:textId="20AF39BA" w:rsidR="00BB713D" w:rsidRPr="002965DE" w:rsidRDefault="00BB713D" w:rsidP="00BB713D">
      <w:pPr>
        <w:pStyle w:val="AmdtsEntries"/>
      </w:pPr>
      <w:r>
        <w:tab/>
        <w:t xml:space="preserve">om </w:t>
      </w:r>
      <w:hyperlink r:id="rId2381" w:tooltip="Court Procedures Amendment Rules 2024 (No 1)" w:history="1">
        <w:r w:rsidR="008E1456">
          <w:rPr>
            <w:rStyle w:val="charCitHyperlinkAbbrev"/>
          </w:rPr>
          <w:t>SL2024</w:t>
        </w:r>
        <w:r w:rsidR="008E1456">
          <w:rPr>
            <w:rStyle w:val="charCitHyperlinkAbbrev"/>
          </w:rPr>
          <w:noBreakHyphen/>
          <w:t>9</w:t>
        </w:r>
      </w:hyperlink>
      <w:r>
        <w:t xml:space="preserve"> r 27</w:t>
      </w:r>
    </w:p>
    <w:p w14:paraId="123ED2CB" w14:textId="77777777" w:rsidR="00D94935" w:rsidRPr="00140BF9" w:rsidRDefault="00D94935" w:rsidP="00D94935">
      <w:pPr>
        <w:pStyle w:val="AmdtsEntryHd"/>
        <w:rPr>
          <w:rFonts w:cs="Arial"/>
        </w:rPr>
      </w:pPr>
      <w:r w:rsidRPr="00140BF9">
        <w:rPr>
          <w:rFonts w:cs="Arial"/>
        </w:rPr>
        <w:lastRenderedPageBreak/>
        <w:t>Jurisdiction exercisable by registrar of Supreme Court</w:t>
      </w:r>
    </w:p>
    <w:p w14:paraId="0F2965A1" w14:textId="77777777"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14:paraId="422C8796" w14:textId="598BFA1A" w:rsidR="00D94935" w:rsidRPr="00D06A3A" w:rsidRDefault="00D94935" w:rsidP="00D754E1">
      <w:pPr>
        <w:pStyle w:val="AmdtsEntries"/>
        <w:keepLines/>
      </w:pPr>
      <w:r w:rsidRPr="00140BF9">
        <w:rPr>
          <w:rFonts w:cs="Arial"/>
        </w:rPr>
        <w:t>r 6250</w:t>
      </w:r>
      <w:r w:rsidRPr="00140BF9">
        <w:rPr>
          <w:rFonts w:cs="Arial"/>
        </w:rPr>
        <w:tab/>
        <w:t xml:space="preserve">am </w:t>
      </w:r>
      <w:hyperlink r:id="rId238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383"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384"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38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38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38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388"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38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3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391"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392"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393"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r w:rsidR="00EF0B38">
        <w:t xml:space="preserve">; </w:t>
      </w:r>
      <w:hyperlink r:id="rId2394" w:tooltip="Court Procedures Amendment Rules 2020 (No 1)" w:history="1">
        <w:r w:rsidR="00EF0B38">
          <w:rPr>
            <w:rStyle w:val="charCitHyperlinkAbbrev"/>
            <w:rFonts w:cs="Arial"/>
          </w:rPr>
          <w:t>SL2020</w:t>
        </w:r>
        <w:r w:rsidR="00EF0B38">
          <w:rPr>
            <w:rStyle w:val="charCitHyperlinkAbbrev"/>
            <w:rFonts w:cs="Arial"/>
          </w:rPr>
          <w:noBreakHyphen/>
          <w:t>6</w:t>
        </w:r>
      </w:hyperlink>
      <w:r w:rsidR="00EF0B38">
        <w:t xml:space="preserve"> r 4; pars renum R56 LA</w:t>
      </w:r>
      <w:r w:rsidR="00355999">
        <w:rPr>
          <w:rFonts w:eastAsiaTheme="minorEastAsia" w:cs="Arial"/>
          <w:szCs w:val="22"/>
          <w:lang w:eastAsia="en-AU"/>
        </w:rPr>
        <w:t xml:space="preserve">; </w:t>
      </w:r>
      <w:hyperlink r:id="rId2395"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6; pars renum R64 LA</w:t>
      </w:r>
      <w:r w:rsidR="004A76DE">
        <w:rPr>
          <w:rFonts w:eastAsiaTheme="minorEastAsia" w:cs="Arial"/>
          <w:szCs w:val="22"/>
          <w:lang w:eastAsia="en-AU"/>
        </w:rPr>
        <w:t xml:space="preserve">; </w:t>
      </w:r>
      <w:hyperlink r:id="rId2396" w:tooltip="Court Procedures Amendment Rules 2023 (No 1)" w:history="1">
        <w:r w:rsidR="004A76DE">
          <w:rPr>
            <w:rStyle w:val="charCitHyperlinkAbbrev"/>
            <w:rFonts w:cs="Arial"/>
          </w:rPr>
          <w:t>SL2023</w:t>
        </w:r>
        <w:r w:rsidR="004A76DE">
          <w:rPr>
            <w:rStyle w:val="charCitHyperlinkAbbrev"/>
            <w:rFonts w:cs="Arial"/>
          </w:rPr>
          <w:noBreakHyphen/>
          <w:t>15</w:t>
        </w:r>
      </w:hyperlink>
      <w:r w:rsidR="004A76DE">
        <w:rPr>
          <w:rFonts w:eastAsiaTheme="minorEastAsia" w:cs="Arial"/>
          <w:szCs w:val="22"/>
          <w:lang w:eastAsia="en-AU"/>
        </w:rPr>
        <w:t xml:space="preserve"> r 12; pars renum R65 LA</w:t>
      </w:r>
    </w:p>
    <w:p w14:paraId="415A64E0" w14:textId="77777777" w:rsidR="00D94935" w:rsidRPr="00140BF9" w:rsidRDefault="00D94935" w:rsidP="00D94935">
      <w:pPr>
        <w:pStyle w:val="AmdtsEntryHd"/>
        <w:rPr>
          <w:rFonts w:cs="Arial"/>
        </w:rPr>
      </w:pPr>
      <w:r w:rsidRPr="00140BF9">
        <w:rPr>
          <w:rFonts w:cs="Arial"/>
        </w:rPr>
        <w:t>Jurisdiction exercisable by registrar of Magistrates Court</w:t>
      </w:r>
    </w:p>
    <w:p w14:paraId="43DCC7FB" w14:textId="18B8926D"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39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14:paraId="07F0C386" w14:textId="3BE55B6A" w:rsidR="00D94935" w:rsidRPr="00140BF9" w:rsidRDefault="00D94935" w:rsidP="00D94935">
      <w:pPr>
        <w:pStyle w:val="AmdtsEntries"/>
        <w:keepLines/>
        <w:rPr>
          <w:rFonts w:cs="Arial"/>
        </w:rPr>
      </w:pPr>
      <w:r w:rsidRPr="00140BF9">
        <w:rPr>
          <w:rFonts w:cs="Arial"/>
        </w:rPr>
        <w:tab/>
        <w:t xml:space="preserve">am </w:t>
      </w:r>
      <w:hyperlink r:id="rId239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399"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400"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4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40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40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40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405"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w:t>
      </w:r>
      <w:r w:rsidR="00332224">
        <w:rPr>
          <w:rFonts w:cs="Arial"/>
        </w:rPr>
        <w:t> </w:t>
      </w:r>
      <w:r w:rsidRPr="00140BF9">
        <w:rPr>
          <w:rFonts w:cs="Arial"/>
        </w:rPr>
        <w:t xml:space="preserve">6; pars renum R36 LA; </w:t>
      </w:r>
      <w:hyperlink r:id="rId2406"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40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40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4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410"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411"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412"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413"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414"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415"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r w:rsidR="00EF0B38">
        <w:t>56</w:t>
      </w:r>
      <w:r w:rsidR="00355999">
        <w:rPr>
          <w:rFonts w:eastAsiaTheme="minorEastAsia" w:cs="Arial"/>
          <w:szCs w:val="22"/>
          <w:lang w:eastAsia="en-AU"/>
        </w:rPr>
        <w:t xml:space="preserve">; </w:t>
      </w:r>
      <w:hyperlink r:id="rId2416"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7; pars renum R64 LA</w:t>
      </w:r>
      <w:r w:rsidR="00F33DCC">
        <w:rPr>
          <w:rFonts w:eastAsiaTheme="minorEastAsia" w:cs="Arial"/>
          <w:szCs w:val="22"/>
          <w:lang w:eastAsia="en-AU"/>
        </w:rPr>
        <w:t xml:space="preserve">; </w:t>
      </w:r>
      <w:hyperlink r:id="rId2417" w:tooltip="Court Procedures Amendment Rules 2024 (No 2)" w:history="1">
        <w:r w:rsidR="00F33DCC">
          <w:rPr>
            <w:rStyle w:val="charCitHyperlinkAbbrev"/>
          </w:rPr>
          <w:t>SL2024</w:t>
        </w:r>
        <w:r w:rsidR="00F33DCC">
          <w:rPr>
            <w:rStyle w:val="charCitHyperlinkAbbrev"/>
          </w:rPr>
          <w:noBreakHyphen/>
          <w:t>37</w:t>
        </w:r>
      </w:hyperlink>
      <w:r w:rsidR="00F33DCC">
        <w:rPr>
          <w:rFonts w:eastAsiaTheme="minorEastAsia" w:cs="Arial"/>
          <w:szCs w:val="22"/>
          <w:lang w:eastAsia="en-AU"/>
        </w:rPr>
        <w:t xml:space="preserve"> r 7; pars renum R69 LA</w:t>
      </w:r>
    </w:p>
    <w:p w14:paraId="3A89AF44" w14:textId="77777777" w:rsidR="00D94935" w:rsidRPr="00140BF9" w:rsidRDefault="00D94935" w:rsidP="00D94935">
      <w:pPr>
        <w:pStyle w:val="AmdtsEntryHd"/>
        <w:rPr>
          <w:rFonts w:cs="Arial"/>
        </w:rPr>
      </w:pPr>
      <w:r w:rsidRPr="00140BF9">
        <w:rPr>
          <w:rFonts w:cs="Arial"/>
        </w:rPr>
        <w:t>Registrar’s powers—postponement of hearing</w:t>
      </w:r>
    </w:p>
    <w:p w14:paraId="4F159766" w14:textId="77777777"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14:paraId="0A5DF9C7" w14:textId="0236F040"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41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7752BB">
        <w:t xml:space="preserve">; </w:t>
      </w:r>
      <w:hyperlink r:id="rId2419" w:tooltip="Court Procedures Amendment Rules 2024 (No 1)" w:history="1">
        <w:r w:rsidR="008E1456">
          <w:rPr>
            <w:rStyle w:val="charCitHyperlinkAbbrev"/>
          </w:rPr>
          <w:t>SL2024</w:t>
        </w:r>
        <w:r w:rsidR="008E1456">
          <w:rPr>
            <w:rStyle w:val="charCitHyperlinkAbbrev"/>
          </w:rPr>
          <w:noBreakHyphen/>
          <w:t>9</w:t>
        </w:r>
      </w:hyperlink>
      <w:r w:rsidR="007752BB">
        <w:t xml:space="preserve"> r 28</w:t>
      </w:r>
    </w:p>
    <w:p w14:paraId="5243F2FA" w14:textId="77777777" w:rsidR="00D94935" w:rsidRPr="00140BF9" w:rsidRDefault="00D94935" w:rsidP="00D94935">
      <w:pPr>
        <w:pStyle w:val="AmdtsEntryHd"/>
        <w:rPr>
          <w:rFonts w:cs="Arial"/>
        </w:rPr>
      </w:pPr>
      <w:r w:rsidRPr="00140BF9">
        <w:rPr>
          <w:rFonts w:cs="Arial"/>
        </w:rPr>
        <w:t>Registrar’s powers—subpoenas</w:t>
      </w:r>
    </w:p>
    <w:p w14:paraId="13CD36B1" w14:textId="77777777"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14:paraId="42B7DDEC" w14:textId="77777777"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14:paraId="22C9745D" w14:textId="77777777"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14:paraId="2581CE28" w14:textId="24581AFD"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42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DD771A">
        <w:t xml:space="preserve">; </w:t>
      </w:r>
      <w:hyperlink r:id="rId2421" w:tooltip="Court Procedures Amendment Rules 2024 (No 1)" w:history="1">
        <w:r w:rsidR="008E1456">
          <w:rPr>
            <w:rStyle w:val="charCitHyperlinkAbbrev"/>
          </w:rPr>
          <w:t>SL2024</w:t>
        </w:r>
        <w:r w:rsidR="008E1456">
          <w:rPr>
            <w:rStyle w:val="charCitHyperlinkAbbrev"/>
          </w:rPr>
          <w:noBreakHyphen/>
          <w:t>9</w:t>
        </w:r>
      </w:hyperlink>
      <w:r w:rsidR="00DD771A">
        <w:t xml:space="preserve"> r 28</w:t>
      </w:r>
    </w:p>
    <w:p w14:paraId="7FCE9B1C" w14:textId="77777777" w:rsidR="00D94935" w:rsidRPr="00140BF9" w:rsidRDefault="00D94935" w:rsidP="00D94935">
      <w:pPr>
        <w:pStyle w:val="AmdtsEntryHd"/>
        <w:rPr>
          <w:rFonts w:cs="Arial"/>
        </w:rPr>
      </w:pPr>
      <w:r w:rsidRPr="00140BF9">
        <w:rPr>
          <w:rFonts w:cs="Arial"/>
        </w:rPr>
        <w:t>Registrar referring proceeding or issue to judicial officer</w:t>
      </w:r>
    </w:p>
    <w:p w14:paraId="3421856C" w14:textId="77777777"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14:paraId="05084AA4" w14:textId="7D9D5553"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42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DD771A">
        <w:t xml:space="preserve">; </w:t>
      </w:r>
      <w:hyperlink r:id="rId2423" w:tooltip="Court Procedures Amendment Rules 2024 (No 1)" w:history="1">
        <w:r w:rsidR="008E1456">
          <w:rPr>
            <w:rStyle w:val="charCitHyperlinkAbbrev"/>
          </w:rPr>
          <w:t>SL2024</w:t>
        </w:r>
        <w:r w:rsidR="008E1456">
          <w:rPr>
            <w:rStyle w:val="charCitHyperlinkAbbrev"/>
          </w:rPr>
          <w:noBreakHyphen/>
          <w:t>9</w:t>
        </w:r>
      </w:hyperlink>
      <w:r w:rsidR="00DD771A">
        <w:t xml:space="preserve"> r 28</w:t>
      </w:r>
    </w:p>
    <w:p w14:paraId="2A243738" w14:textId="77777777" w:rsidR="00D94935" w:rsidRPr="00140BF9" w:rsidRDefault="00D94935" w:rsidP="00D94935">
      <w:pPr>
        <w:pStyle w:val="AmdtsEntryHd"/>
        <w:rPr>
          <w:rFonts w:cs="Arial"/>
        </w:rPr>
      </w:pPr>
      <w:r w:rsidRPr="00140BF9">
        <w:rPr>
          <w:rFonts w:cs="Arial"/>
        </w:rPr>
        <w:t>Appeals from registrar’s orders etc</w:t>
      </w:r>
    </w:p>
    <w:p w14:paraId="4A671751" w14:textId="77777777" w:rsidR="00D94935" w:rsidRPr="00140BF9" w:rsidRDefault="00D94935" w:rsidP="00CC3252">
      <w:pPr>
        <w:pStyle w:val="AmdtsEntries"/>
        <w:keepNext/>
        <w:rPr>
          <w:rFonts w:cs="Arial"/>
        </w:rPr>
      </w:pPr>
      <w:r w:rsidRPr="00140BF9">
        <w:rPr>
          <w:rFonts w:cs="Arial"/>
        </w:rPr>
        <w:t>r 6256 hdg</w:t>
      </w:r>
      <w:r w:rsidRPr="00140BF9">
        <w:rPr>
          <w:rFonts w:eastAsiaTheme="minorEastAsia" w:cs="Arial"/>
          <w:szCs w:val="22"/>
          <w:lang w:eastAsia="en-AU"/>
        </w:rPr>
        <w:tab/>
        <w:t>bracketed note om R29 LA</w:t>
      </w:r>
    </w:p>
    <w:p w14:paraId="6FF64C33" w14:textId="629B0595"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4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42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426"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r w:rsidR="00662222">
        <w:t xml:space="preserve">; </w:t>
      </w:r>
      <w:hyperlink r:id="rId2427" w:tooltip="Court Procedures Amendment Rules 2020 (No 5)" w:history="1">
        <w:r w:rsidR="00662222">
          <w:rPr>
            <w:rStyle w:val="charCitHyperlinkAbbrev"/>
          </w:rPr>
          <w:t>SL2020</w:t>
        </w:r>
        <w:r w:rsidR="00662222">
          <w:rPr>
            <w:rStyle w:val="charCitHyperlinkAbbrev"/>
          </w:rPr>
          <w:noBreakHyphen/>
          <w:t>45</w:t>
        </w:r>
      </w:hyperlink>
      <w:r w:rsidR="00662222">
        <w:t xml:space="preserve"> r 13</w:t>
      </w:r>
      <w:r w:rsidR="007752BB">
        <w:t xml:space="preserve">; </w:t>
      </w:r>
      <w:hyperlink r:id="rId2428" w:tooltip="Court Procedures Amendment Rules 2024 (No 1)" w:history="1">
        <w:r w:rsidR="008E1456">
          <w:rPr>
            <w:rStyle w:val="charCitHyperlinkAbbrev"/>
          </w:rPr>
          <w:t>SL2024</w:t>
        </w:r>
        <w:r w:rsidR="008E1456">
          <w:rPr>
            <w:rStyle w:val="charCitHyperlinkAbbrev"/>
          </w:rPr>
          <w:noBreakHyphen/>
          <w:t>9</w:t>
        </w:r>
      </w:hyperlink>
      <w:r w:rsidR="007752BB">
        <w:t xml:space="preserve"> r 29</w:t>
      </w:r>
    </w:p>
    <w:p w14:paraId="56D62F32" w14:textId="77777777" w:rsidR="00D94935" w:rsidRPr="00140BF9" w:rsidRDefault="00D94935" w:rsidP="00D94935">
      <w:pPr>
        <w:pStyle w:val="AmdtsEntryHd"/>
        <w:rPr>
          <w:rFonts w:cs="Arial"/>
        </w:rPr>
      </w:pPr>
      <w:r w:rsidRPr="00140BF9">
        <w:rPr>
          <w:rFonts w:cs="Arial"/>
        </w:rPr>
        <w:lastRenderedPageBreak/>
        <w:t>Office hours</w:t>
      </w:r>
    </w:p>
    <w:p w14:paraId="71DD75F1" w14:textId="77777777" w:rsidR="00D94935" w:rsidRPr="00140BF9" w:rsidRDefault="00D94935" w:rsidP="00353D2C">
      <w:pPr>
        <w:pStyle w:val="AmdtsEntries"/>
        <w:keepNext/>
        <w:rPr>
          <w:rFonts w:cs="Arial"/>
        </w:rPr>
      </w:pPr>
      <w:r w:rsidRPr="00140BF9">
        <w:rPr>
          <w:rFonts w:cs="Arial"/>
        </w:rPr>
        <w:t>r 6300 hdg</w:t>
      </w:r>
      <w:r w:rsidRPr="00140BF9">
        <w:rPr>
          <w:rFonts w:eastAsiaTheme="minorEastAsia" w:cs="Arial"/>
          <w:szCs w:val="22"/>
          <w:lang w:eastAsia="en-AU"/>
        </w:rPr>
        <w:tab/>
        <w:t>bracketed note om R29 LA</w:t>
      </w:r>
    </w:p>
    <w:p w14:paraId="58028427" w14:textId="2F37AB63" w:rsidR="00C71970" w:rsidRDefault="00D94935" w:rsidP="00353D2C">
      <w:pPr>
        <w:pStyle w:val="AmdtsEntries"/>
        <w:keepNext/>
      </w:pPr>
      <w:r w:rsidRPr="00140BF9">
        <w:rPr>
          <w:rFonts w:cs="Arial"/>
        </w:rPr>
        <w:t>r 6300</w:t>
      </w:r>
      <w:r w:rsidRPr="00140BF9">
        <w:rPr>
          <w:rFonts w:cs="Arial"/>
        </w:rPr>
        <w:tab/>
        <w:t xml:space="preserve">am </w:t>
      </w:r>
      <w:hyperlink r:id="rId242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43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14:paraId="7394B1B1" w14:textId="4CBBF976" w:rsidR="00D94935" w:rsidRPr="00140BF9" w:rsidRDefault="00C71970" w:rsidP="00D94935">
      <w:pPr>
        <w:pStyle w:val="AmdtsEntries"/>
        <w:rPr>
          <w:rFonts w:cs="Arial"/>
        </w:rPr>
      </w:pPr>
      <w:r>
        <w:tab/>
        <w:t>sub</w:t>
      </w:r>
      <w:r w:rsidR="002B25CC">
        <w:t xml:space="preserve"> </w:t>
      </w:r>
      <w:hyperlink r:id="rId2431" w:tooltip="Court Procedures Amendment Rules 2020 (No 2)" w:history="1">
        <w:r w:rsidR="002B25CC">
          <w:rPr>
            <w:rStyle w:val="charCitHyperlinkAbbrev"/>
            <w:rFonts w:cs="Arial"/>
          </w:rPr>
          <w:t>SL2020</w:t>
        </w:r>
        <w:r w:rsidR="002B25CC">
          <w:rPr>
            <w:rStyle w:val="charCitHyperlinkAbbrev"/>
            <w:rFonts w:cs="Arial"/>
          </w:rPr>
          <w:noBreakHyphen/>
          <w:t>9</w:t>
        </w:r>
      </w:hyperlink>
      <w:r w:rsidR="002B25CC">
        <w:t xml:space="preserve"> r 4</w:t>
      </w:r>
    </w:p>
    <w:p w14:paraId="2A71D83A" w14:textId="77777777" w:rsidR="00D94935" w:rsidRPr="00140BF9" w:rsidRDefault="00D94935" w:rsidP="00D94935">
      <w:pPr>
        <w:pStyle w:val="AmdtsEntryHd"/>
        <w:rPr>
          <w:rFonts w:cs="Arial"/>
        </w:rPr>
      </w:pPr>
      <w:r w:rsidRPr="00140BF9">
        <w:rPr>
          <w:rFonts w:cs="Arial"/>
        </w:rPr>
        <w:t>Registrar’s duties</w:t>
      </w:r>
    </w:p>
    <w:p w14:paraId="6C80E589" w14:textId="77777777"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14:paraId="27F2A904" w14:textId="77777777" w:rsidR="00D94935" w:rsidRPr="00140BF9" w:rsidRDefault="00D94935" w:rsidP="00D94935">
      <w:pPr>
        <w:pStyle w:val="AmdtsEntryHd"/>
        <w:rPr>
          <w:rFonts w:cs="Arial"/>
        </w:rPr>
      </w:pPr>
      <w:r w:rsidRPr="00140BF9">
        <w:rPr>
          <w:rFonts w:cs="Arial"/>
        </w:rPr>
        <w:t>Cause book</w:t>
      </w:r>
    </w:p>
    <w:p w14:paraId="234AB5D4" w14:textId="77777777"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14:paraId="042E4269" w14:textId="77777777" w:rsidR="00D94935" w:rsidRPr="00140BF9" w:rsidRDefault="00D94935" w:rsidP="00D94935">
      <w:pPr>
        <w:pStyle w:val="AmdtsEntryHd"/>
        <w:rPr>
          <w:rFonts w:cs="Arial"/>
        </w:rPr>
      </w:pPr>
      <w:r w:rsidRPr="00140BF9">
        <w:rPr>
          <w:rFonts w:cs="Arial"/>
        </w:rPr>
        <w:t>Registrar to keep seals</w:t>
      </w:r>
    </w:p>
    <w:p w14:paraId="7DB6790D" w14:textId="77777777"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14:paraId="5C4EEFCB" w14:textId="5819B894"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43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433"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14:paraId="5B521330" w14:textId="77777777" w:rsidR="00D94935" w:rsidRPr="00140BF9" w:rsidRDefault="00D94935" w:rsidP="00D94935">
      <w:pPr>
        <w:pStyle w:val="AmdtsEntryHd"/>
        <w:rPr>
          <w:rFonts w:cs="Arial"/>
        </w:rPr>
      </w:pPr>
      <w:r w:rsidRPr="00140BF9">
        <w:rPr>
          <w:rFonts w:cs="Arial"/>
        </w:rPr>
        <w:t>Documents—sealing and stamping</w:t>
      </w:r>
    </w:p>
    <w:p w14:paraId="76B70D79" w14:textId="77777777" w:rsidR="00D94935" w:rsidRDefault="00D94935" w:rsidP="00D94935">
      <w:pPr>
        <w:pStyle w:val="AmdtsEntries"/>
        <w:rPr>
          <w:rFonts w:eastAsiaTheme="minorEastAsia" w:cs="Arial"/>
          <w:szCs w:val="22"/>
          <w:lang w:eastAsia="en-AU"/>
        </w:rPr>
      </w:pPr>
      <w:r w:rsidRPr="00140BF9">
        <w:rPr>
          <w:rFonts w:cs="Arial"/>
        </w:rPr>
        <w:t>r 6304 hdg</w:t>
      </w:r>
      <w:r w:rsidRPr="00140BF9">
        <w:rPr>
          <w:rFonts w:eastAsiaTheme="minorEastAsia" w:cs="Arial"/>
          <w:szCs w:val="22"/>
          <w:lang w:eastAsia="en-AU"/>
        </w:rPr>
        <w:tab/>
        <w:t>bracketed note om R29 LA</w:t>
      </w:r>
    </w:p>
    <w:p w14:paraId="5B3C62CE" w14:textId="1AA0929B" w:rsidR="00D57F94" w:rsidRPr="00140BF9" w:rsidRDefault="00D57F94" w:rsidP="00D94935">
      <w:pPr>
        <w:pStyle w:val="AmdtsEntries"/>
        <w:rPr>
          <w:rFonts w:cs="Arial"/>
        </w:rPr>
      </w:pPr>
      <w:r>
        <w:rPr>
          <w:rFonts w:eastAsiaTheme="minorEastAsia" w:cs="Arial"/>
          <w:szCs w:val="22"/>
          <w:lang w:eastAsia="en-AU"/>
        </w:rPr>
        <w:t>r 6304</w:t>
      </w:r>
      <w:r>
        <w:rPr>
          <w:rFonts w:eastAsiaTheme="minorEastAsia" w:cs="Arial"/>
          <w:szCs w:val="22"/>
          <w:lang w:eastAsia="en-AU"/>
        </w:rPr>
        <w:tab/>
        <w:t xml:space="preserve">am </w:t>
      </w:r>
      <w:hyperlink r:id="rId2434"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73; </w:t>
      </w:r>
      <w:r w:rsidR="00543BF6">
        <w:rPr>
          <w:rFonts w:eastAsiaTheme="minorEastAsia" w:cs="Arial"/>
          <w:szCs w:val="22"/>
          <w:lang w:eastAsia="en-AU"/>
        </w:rPr>
        <w:t>rr</w:t>
      </w:r>
      <w:r>
        <w:rPr>
          <w:rFonts w:eastAsiaTheme="minorEastAsia" w:cs="Arial"/>
          <w:szCs w:val="22"/>
          <w:lang w:eastAsia="en-AU"/>
        </w:rPr>
        <w:t xml:space="preserve"> renum R66 LA</w:t>
      </w:r>
    </w:p>
    <w:p w14:paraId="18DBD201" w14:textId="77777777" w:rsidR="00A6700C" w:rsidRDefault="00A6700C" w:rsidP="00A6700C">
      <w:pPr>
        <w:pStyle w:val="AmdtsEntryHd"/>
      </w:pPr>
      <w:r w:rsidRPr="00CE5D4D">
        <w:t>Signing, sealing and stamping documents filed electronically</w:t>
      </w:r>
    </w:p>
    <w:p w14:paraId="44142590" w14:textId="2E42ABB1" w:rsidR="00A6700C" w:rsidRDefault="00A6700C" w:rsidP="00A6700C">
      <w:pPr>
        <w:pStyle w:val="AmdtsEntries"/>
      </w:pPr>
      <w:r>
        <w:t>r 6304A</w:t>
      </w:r>
      <w:r>
        <w:tab/>
        <w:t xml:space="preserve">(prev r 6131) ins </w:t>
      </w:r>
      <w:hyperlink r:id="rId2435" w:tooltip="Court Procedures Amendment Rules 2018 (No 1)" w:history="1">
        <w:r>
          <w:rPr>
            <w:rStyle w:val="charCitHyperlinkAbbrev"/>
          </w:rPr>
          <w:t>SL2018</w:t>
        </w:r>
        <w:r>
          <w:rPr>
            <w:rStyle w:val="charCitHyperlinkAbbrev"/>
          </w:rPr>
          <w:noBreakHyphen/>
          <w:t>25</w:t>
        </w:r>
      </w:hyperlink>
      <w:r>
        <w:t xml:space="preserve"> r 16</w:t>
      </w:r>
    </w:p>
    <w:p w14:paraId="53F1DDCD" w14:textId="722AF629" w:rsidR="00A6700C" w:rsidRDefault="00A6700C" w:rsidP="00A6700C">
      <w:pPr>
        <w:pStyle w:val="AmdtsEntries"/>
        <w:rPr>
          <w:rFonts w:eastAsiaTheme="minorEastAsia" w:cs="Arial"/>
          <w:szCs w:val="22"/>
          <w:lang w:eastAsia="en-AU"/>
        </w:rPr>
      </w:pPr>
      <w:r>
        <w:tab/>
        <w:t xml:space="preserve">am </w:t>
      </w:r>
      <w:hyperlink r:id="rId2436" w:tooltip="Court Procedures Amendment Rules 2019 (No 2)" w:history="1">
        <w:r>
          <w:rPr>
            <w:rStyle w:val="charCitHyperlinkAbbrev"/>
            <w:rFonts w:cs="Arial"/>
          </w:rPr>
          <w:t>SL2019</w:t>
        </w:r>
        <w:r>
          <w:rPr>
            <w:rStyle w:val="charCitHyperlinkAbbrev"/>
            <w:rFonts w:cs="Arial"/>
          </w:rPr>
          <w:noBreakHyphen/>
          <w:t>25</w:t>
        </w:r>
      </w:hyperlink>
      <w:r>
        <w:t xml:space="preserve"> r 5, r 6</w:t>
      </w:r>
      <w:r>
        <w:rPr>
          <w:rFonts w:eastAsiaTheme="minorEastAsia" w:cs="Arial"/>
          <w:szCs w:val="22"/>
          <w:lang w:eastAsia="en-AU"/>
        </w:rPr>
        <w:t xml:space="preserve">; </w:t>
      </w:r>
      <w:hyperlink r:id="rId2437"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66</w:t>
      </w:r>
    </w:p>
    <w:p w14:paraId="00D6EF2C" w14:textId="2A35FD53" w:rsidR="00A6700C" w:rsidRPr="00411564" w:rsidRDefault="00A6700C" w:rsidP="00A6700C">
      <w:pPr>
        <w:pStyle w:val="AmdtsEntries"/>
      </w:pPr>
      <w:r>
        <w:rPr>
          <w:rFonts w:eastAsiaTheme="minorEastAsia" w:cs="Arial"/>
          <w:szCs w:val="22"/>
          <w:lang w:eastAsia="en-AU"/>
        </w:rPr>
        <w:tab/>
        <w:t xml:space="preserve">renum and reloc as r 6304B </w:t>
      </w:r>
      <w:hyperlink r:id="rId2438"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67</w:t>
      </w:r>
    </w:p>
    <w:p w14:paraId="476E99DF" w14:textId="77777777" w:rsidR="00A6700C" w:rsidRDefault="00A6700C" w:rsidP="00A6700C">
      <w:pPr>
        <w:pStyle w:val="AmdtsEntryHd"/>
      </w:pPr>
      <w:r w:rsidRPr="00CE5D4D">
        <w:t>Issue of documents electronically by court</w:t>
      </w:r>
    </w:p>
    <w:p w14:paraId="7911E430" w14:textId="76AD1438" w:rsidR="00A6700C" w:rsidRDefault="00A6700C" w:rsidP="00A6700C">
      <w:pPr>
        <w:pStyle w:val="AmdtsEntries"/>
      </w:pPr>
      <w:r>
        <w:t>r 6304B</w:t>
      </w:r>
      <w:r>
        <w:tab/>
        <w:t xml:space="preserve">(prev r 6132) ins </w:t>
      </w:r>
      <w:hyperlink r:id="rId2439" w:tooltip="Court Procedures Amendment Rules 2018 (No 1)" w:history="1">
        <w:r>
          <w:rPr>
            <w:rStyle w:val="charCitHyperlinkAbbrev"/>
          </w:rPr>
          <w:t>SL2018</w:t>
        </w:r>
        <w:r>
          <w:rPr>
            <w:rStyle w:val="charCitHyperlinkAbbrev"/>
          </w:rPr>
          <w:noBreakHyphen/>
          <w:t>25</w:t>
        </w:r>
      </w:hyperlink>
      <w:r>
        <w:t xml:space="preserve"> r 16</w:t>
      </w:r>
    </w:p>
    <w:p w14:paraId="3E6C0005" w14:textId="7FA45D66" w:rsidR="00A6700C" w:rsidRDefault="00A6700C" w:rsidP="00A6700C">
      <w:pPr>
        <w:pStyle w:val="AmdtsEntries"/>
      </w:pPr>
      <w:r>
        <w:tab/>
        <w:t xml:space="preserve">am </w:t>
      </w:r>
      <w:hyperlink r:id="rId2440" w:tooltip="Court Procedures Amendment Rules 2023 (No 2)" w:history="1">
        <w:r>
          <w:rPr>
            <w:rStyle w:val="charCitHyperlinkAbbrev"/>
          </w:rPr>
          <w:t>SL2023</w:t>
        </w:r>
        <w:r>
          <w:rPr>
            <w:rStyle w:val="charCitHyperlinkAbbrev"/>
          </w:rPr>
          <w:noBreakHyphen/>
          <w:t>36</w:t>
        </w:r>
      </w:hyperlink>
      <w:r>
        <w:t xml:space="preserve"> r 68</w:t>
      </w:r>
    </w:p>
    <w:p w14:paraId="50499FF3" w14:textId="17E40297" w:rsidR="00A6700C" w:rsidRPr="00411564" w:rsidRDefault="00A6700C" w:rsidP="00A6700C">
      <w:pPr>
        <w:pStyle w:val="AmdtsEntries"/>
      </w:pPr>
      <w:r>
        <w:tab/>
        <w:t xml:space="preserve">renum and reloc as r 6304B </w:t>
      </w:r>
      <w:hyperlink r:id="rId2441" w:tooltip="Court Procedures Amendment Rules 2023 (No 2)" w:history="1">
        <w:r>
          <w:rPr>
            <w:rStyle w:val="charCitHyperlinkAbbrev"/>
          </w:rPr>
          <w:t>SL2023</w:t>
        </w:r>
        <w:r>
          <w:rPr>
            <w:rStyle w:val="charCitHyperlinkAbbrev"/>
          </w:rPr>
          <w:noBreakHyphen/>
          <w:t>36</w:t>
        </w:r>
      </w:hyperlink>
      <w:r>
        <w:t xml:space="preserve"> r 69</w:t>
      </w:r>
    </w:p>
    <w:p w14:paraId="678CD084" w14:textId="77777777" w:rsidR="00D94935" w:rsidRPr="00140BF9" w:rsidRDefault="00D94935" w:rsidP="00D94935">
      <w:pPr>
        <w:pStyle w:val="AmdtsEntryHd"/>
        <w:rPr>
          <w:rFonts w:cs="Arial"/>
        </w:rPr>
      </w:pPr>
      <w:r w:rsidRPr="00140BF9">
        <w:rPr>
          <w:rFonts w:cs="Arial"/>
        </w:rPr>
        <w:t>Issue of commissions</w:t>
      </w:r>
    </w:p>
    <w:p w14:paraId="20285802" w14:textId="77777777"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14:paraId="46C50876" w14:textId="77777777" w:rsidR="00D94935" w:rsidRPr="00140BF9" w:rsidRDefault="00D94935" w:rsidP="00D94935">
      <w:pPr>
        <w:pStyle w:val="AmdtsEntryHd"/>
        <w:rPr>
          <w:rFonts w:cs="Arial"/>
        </w:rPr>
      </w:pPr>
      <w:r w:rsidRPr="00140BF9">
        <w:rPr>
          <w:rFonts w:cs="Arial"/>
        </w:rPr>
        <w:t>Duplicate sealed etc documents</w:t>
      </w:r>
    </w:p>
    <w:p w14:paraId="0FE27881" w14:textId="77777777"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14:paraId="7E3593F9" w14:textId="77777777" w:rsidR="00D94935" w:rsidRPr="00140BF9" w:rsidRDefault="00D94935" w:rsidP="00D94935">
      <w:pPr>
        <w:pStyle w:val="AmdtsEntryHd"/>
        <w:rPr>
          <w:rFonts w:cs="Arial"/>
        </w:rPr>
      </w:pPr>
      <w:r w:rsidRPr="00140BF9">
        <w:rPr>
          <w:rFonts w:cs="Arial"/>
        </w:rPr>
        <w:t>Delegation by registrar</w:t>
      </w:r>
    </w:p>
    <w:p w14:paraId="687AB09D" w14:textId="77777777"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14:paraId="45D66C4C" w14:textId="77777777" w:rsidR="00D94935" w:rsidRPr="00140BF9" w:rsidRDefault="00D94935" w:rsidP="00D94935">
      <w:pPr>
        <w:pStyle w:val="AmdtsEntryHd"/>
        <w:rPr>
          <w:rFonts w:cs="Arial"/>
        </w:rPr>
      </w:pPr>
      <w:r w:rsidRPr="00140BF9">
        <w:rPr>
          <w:rFonts w:cs="Arial"/>
        </w:rPr>
        <w:t>Time—certain days excluded in working out</w:t>
      </w:r>
    </w:p>
    <w:p w14:paraId="4E0583B7" w14:textId="77777777"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14:paraId="449AD0BB" w14:textId="77777777" w:rsidR="00D94935" w:rsidRPr="00140BF9" w:rsidRDefault="00D94935" w:rsidP="00D94935">
      <w:pPr>
        <w:pStyle w:val="AmdtsEntryHd"/>
        <w:rPr>
          <w:rFonts w:cs="Arial"/>
        </w:rPr>
      </w:pPr>
      <w:r w:rsidRPr="00140BF9">
        <w:rPr>
          <w:rFonts w:cs="Arial"/>
        </w:rPr>
        <w:t>Time—extending and shortening by court order</w:t>
      </w:r>
    </w:p>
    <w:p w14:paraId="02467A31" w14:textId="77777777"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14:paraId="64CA5EA0" w14:textId="77777777" w:rsidR="00D94935" w:rsidRPr="00140BF9" w:rsidRDefault="00D94935" w:rsidP="00D94935">
      <w:pPr>
        <w:pStyle w:val="AmdtsEntryHd"/>
        <w:rPr>
          <w:rFonts w:cs="Arial"/>
        </w:rPr>
      </w:pPr>
      <w:r w:rsidRPr="00140BF9">
        <w:rPr>
          <w:rFonts w:cs="Arial"/>
        </w:rPr>
        <w:t>Time—fixing by court order</w:t>
      </w:r>
    </w:p>
    <w:p w14:paraId="429CFC24" w14:textId="77777777"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14:paraId="1B81BDA8" w14:textId="77777777" w:rsidR="00D94935" w:rsidRPr="00140BF9" w:rsidRDefault="00D94935" w:rsidP="00D94935">
      <w:pPr>
        <w:pStyle w:val="AmdtsEntryHd"/>
        <w:rPr>
          <w:rFonts w:cs="Arial"/>
        </w:rPr>
      </w:pPr>
      <w:r w:rsidRPr="00140BF9">
        <w:rPr>
          <w:rFonts w:cs="Arial"/>
          <w:lang w:val="en-US"/>
        </w:rPr>
        <w:t>Application—pt 6.8</w:t>
      </w:r>
    </w:p>
    <w:p w14:paraId="5B55A1EF" w14:textId="77777777"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14:paraId="7F3227BC" w14:textId="6164D6D0"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44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443"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444"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14:paraId="422B564D" w14:textId="77777777" w:rsidR="00D94935" w:rsidRPr="00140BF9" w:rsidRDefault="00D94935" w:rsidP="00D94935">
      <w:pPr>
        <w:pStyle w:val="AmdtsEntryHd"/>
        <w:rPr>
          <w:rFonts w:cs="Arial"/>
        </w:rPr>
      </w:pPr>
      <w:r w:rsidRPr="00140BF9">
        <w:rPr>
          <w:rFonts w:cs="Arial"/>
          <w:lang w:val="en-US"/>
        </w:rPr>
        <w:t>Service of filed documents</w:t>
      </w:r>
    </w:p>
    <w:p w14:paraId="139A9D52" w14:textId="77777777"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14:paraId="2D9201FF" w14:textId="77777777" w:rsidR="00D94935" w:rsidRPr="00140BF9" w:rsidRDefault="00D94935" w:rsidP="00D94935">
      <w:pPr>
        <w:pStyle w:val="AmdtsEntryHd"/>
        <w:rPr>
          <w:rFonts w:cs="Arial"/>
        </w:rPr>
      </w:pPr>
      <w:r w:rsidRPr="00140BF9">
        <w:rPr>
          <w:rFonts w:cs="Arial"/>
          <w:lang w:val="en-US"/>
        </w:rPr>
        <w:lastRenderedPageBreak/>
        <w:t>How document is personally served</w:t>
      </w:r>
    </w:p>
    <w:p w14:paraId="556357BF" w14:textId="77777777"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14:paraId="5F2A187F" w14:textId="77777777" w:rsidR="00D94935" w:rsidRPr="00140BF9" w:rsidRDefault="00D94935" w:rsidP="00D94935">
      <w:pPr>
        <w:pStyle w:val="AmdtsEntryHd"/>
        <w:rPr>
          <w:rFonts w:cs="Arial"/>
        </w:rPr>
      </w:pPr>
      <w:r w:rsidRPr="00140BF9">
        <w:rPr>
          <w:rFonts w:cs="Arial"/>
          <w:lang w:val="en-US"/>
        </w:rPr>
        <w:t>Application—div 6.8.3</w:t>
      </w:r>
    </w:p>
    <w:p w14:paraId="6CFA9F5E" w14:textId="77777777"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14:paraId="65C0D42E" w14:textId="77777777" w:rsidR="00D94935" w:rsidRPr="00140BF9" w:rsidRDefault="00D94935" w:rsidP="00D94935">
      <w:pPr>
        <w:pStyle w:val="AmdtsEntryHd"/>
        <w:rPr>
          <w:rFonts w:cs="Arial"/>
        </w:rPr>
      </w:pPr>
      <w:r w:rsidRPr="00140BF9">
        <w:rPr>
          <w:rFonts w:cs="Arial"/>
          <w:lang w:val="en-US"/>
        </w:rPr>
        <w:t>Service on individuals generally—Magistrates Court</w:t>
      </w:r>
    </w:p>
    <w:p w14:paraId="3198CC71" w14:textId="77777777"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14:paraId="4DE7DBD3" w14:textId="19385E9E"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44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14:paraId="52E90026" w14:textId="77777777" w:rsidR="00D94935" w:rsidRPr="00140BF9" w:rsidRDefault="00D94935" w:rsidP="00D94935">
      <w:pPr>
        <w:pStyle w:val="AmdtsEntryHd"/>
        <w:rPr>
          <w:rFonts w:cs="Arial"/>
        </w:rPr>
      </w:pPr>
      <w:r w:rsidRPr="00140BF9">
        <w:rPr>
          <w:rFonts w:cs="Arial"/>
        </w:rPr>
        <w:t>Service of originating process by post—Magistrates Court</w:t>
      </w:r>
    </w:p>
    <w:p w14:paraId="4FB78B1E" w14:textId="77777777"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14:paraId="4F60EB85" w14:textId="77777777" w:rsidR="00D94935" w:rsidRPr="00140BF9" w:rsidRDefault="00D94935" w:rsidP="00D94935">
      <w:pPr>
        <w:pStyle w:val="AmdtsEntryHd"/>
        <w:rPr>
          <w:rFonts w:cs="Arial"/>
        </w:rPr>
      </w:pPr>
      <w:r w:rsidRPr="00140BF9">
        <w:rPr>
          <w:rFonts w:cs="Arial"/>
        </w:rPr>
        <w:t>Doubtful service—Magistrates Court</w:t>
      </w:r>
    </w:p>
    <w:p w14:paraId="54381D30" w14:textId="77777777"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14:paraId="07C4AC68" w14:textId="77777777" w:rsidR="00D94935" w:rsidRPr="00140BF9" w:rsidRDefault="00D94935" w:rsidP="00D94935">
      <w:pPr>
        <w:pStyle w:val="AmdtsEntryHd"/>
        <w:rPr>
          <w:rFonts w:cs="Arial"/>
        </w:rPr>
      </w:pPr>
      <w:r w:rsidRPr="00140BF9">
        <w:rPr>
          <w:rFonts w:cs="Arial"/>
          <w:lang w:val="en-US"/>
        </w:rPr>
        <w:t>Ordinary service—address for service</w:t>
      </w:r>
    </w:p>
    <w:p w14:paraId="1F16CFD3" w14:textId="77777777"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14:paraId="492F946A" w14:textId="69501C6D"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44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14:paraId="415D7A47" w14:textId="77777777" w:rsidR="00D94935" w:rsidRPr="00140BF9" w:rsidRDefault="00D94935" w:rsidP="00D94935">
      <w:pPr>
        <w:pStyle w:val="AmdtsEntryHd"/>
        <w:rPr>
          <w:rFonts w:cs="Arial"/>
        </w:rPr>
      </w:pPr>
      <w:r w:rsidRPr="00140BF9">
        <w:rPr>
          <w:rFonts w:cs="Arial"/>
        </w:rPr>
        <w:t>Service by filing</w:t>
      </w:r>
    </w:p>
    <w:p w14:paraId="3A28D27B" w14:textId="77777777"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14:paraId="4B1F869C" w14:textId="77777777" w:rsidR="00D94935" w:rsidRPr="00140BF9" w:rsidRDefault="00D94935" w:rsidP="00D94935">
      <w:pPr>
        <w:pStyle w:val="AmdtsEntryHd"/>
        <w:rPr>
          <w:rFonts w:cs="Arial"/>
        </w:rPr>
      </w:pPr>
      <w:r w:rsidRPr="00140BF9">
        <w:rPr>
          <w:rFonts w:cs="Arial"/>
          <w:lang w:val="en-US"/>
        </w:rPr>
        <w:t>Service on corporations—generally</w:t>
      </w:r>
    </w:p>
    <w:p w14:paraId="137BE4EB" w14:textId="77777777"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14:paraId="1309C179" w14:textId="04CD4C23"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44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14:paraId="784FF7F9" w14:textId="77777777" w:rsidR="00D94935" w:rsidRPr="00140BF9" w:rsidRDefault="00D94935" w:rsidP="00D94935">
      <w:pPr>
        <w:pStyle w:val="AmdtsEntryHd"/>
        <w:rPr>
          <w:rFonts w:cs="Arial"/>
        </w:rPr>
      </w:pPr>
      <w:r w:rsidRPr="00140BF9">
        <w:rPr>
          <w:rFonts w:cs="Arial"/>
          <w:lang w:val="en-US"/>
        </w:rPr>
        <w:t>Service of originating process on partnership</w:t>
      </w:r>
    </w:p>
    <w:p w14:paraId="2EE9146D" w14:textId="77777777"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14:paraId="3EC174F0" w14:textId="77777777" w:rsidR="00D94935" w:rsidRPr="00140BF9" w:rsidRDefault="00D94935" w:rsidP="00D94935">
      <w:pPr>
        <w:pStyle w:val="AmdtsEntryHd"/>
        <w:rPr>
          <w:rFonts w:cs="Arial"/>
        </w:rPr>
      </w:pPr>
      <w:r w:rsidRPr="00140BF9">
        <w:rPr>
          <w:rFonts w:cs="Arial"/>
        </w:rPr>
        <w:t>Service on defendant operating under business name</w:t>
      </w:r>
    </w:p>
    <w:p w14:paraId="1EAFDEC6" w14:textId="77777777"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14:paraId="5C0225A0" w14:textId="2328529D"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44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14:paraId="596A40D7" w14:textId="6A30EC8C"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44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14:paraId="5C467084" w14:textId="77777777" w:rsidR="00D94935" w:rsidRPr="00140BF9" w:rsidRDefault="00D94935" w:rsidP="00D94935">
      <w:pPr>
        <w:pStyle w:val="AmdtsEntryHd"/>
        <w:rPr>
          <w:rFonts w:cs="Arial"/>
        </w:rPr>
      </w:pPr>
      <w:r w:rsidRPr="00140BF9">
        <w:rPr>
          <w:rFonts w:cs="Arial"/>
          <w:lang w:val="en-US"/>
        </w:rPr>
        <w:t>Service on children</w:t>
      </w:r>
    </w:p>
    <w:p w14:paraId="15574DD3" w14:textId="77777777"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14:paraId="51515145" w14:textId="0FD0E638"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450"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14:paraId="37A7B80E" w14:textId="77777777" w:rsidR="00D94935" w:rsidRPr="00140BF9" w:rsidRDefault="00D94935" w:rsidP="00D94935">
      <w:pPr>
        <w:pStyle w:val="AmdtsEntryHd"/>
        <w:rPr>
          <w:rFonts w:cs="Arial"/>
        </w:rPr>
      </w:pPr>
      <w:r w:rsidRPr="00140BF9">
        <w:rPr>
          <w:rFonts w:cs="Arial"/>
          <w:lang w:val="en-US"/>
        </w:rPr>
        <w:t>Service on people with mental disabilities</w:t>
      </w:r>
    </w:p>
    <w:p w14:paraId="384CD1D2" w14:textId="77777777"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14:paraId="761A2BDE" w14:textId="77777777" w:rsidR="00D94935" w:rsidRPr="00140BF9" w:rsidRDefault="00D94935" w:rsidP="00D94935">
      <w:pPr>
        <w:pStyle w:val="AmdtsEntryHd"/>
        <w:rPr>
          <w:rFonts w:cs="Arial"/>
        </w:rPr>
      </w:pPr>
      <w:r w:rsidRPr="00140BF9">
        <w:rPr>
          <w:rFonts w:cs="Arial"/>
          <w:lang w:val="en-US"/>
        </w:rPr>
        <w:t>Service on detainees</w:t>
      </w:r>
    </w:p>
    <w:p w14:paraId="6511E7E5" w14:textId="77777777"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14:paraId="7AFA2CF5" w14:textId="77777777" w:rsidR="00D94935" w:rsidRPr="00140BF9" w:rsidRDefault="00D94935" w:rsidP="00D94935">
      <w:pPr>
        <w:pStyle w:val="AmdtsEntryHd"/>
        <w:rPr>
          <w:rFonts w:cs="Arial"/>
        </w:rPr>
      </w:pPr>
      <w:r w:rsidRPr="00140BF9">
        <w:rPr>
          <w:rFonts w:cs="Arial"/>
          <w:lang w:val="en-US"/>
        </w:rPr>
        <w:t>Service if no-one found at party’s address for service</w:t>
      </w:r>
    </w:p>
    <w:p w14:paraId="6A9B9B01" w14:textId="77777777"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14:paraId="6E9653B2" w14:textId="77777777" w:rsidR="00D94935" w:rsidRPr="00140BF9" w:rsidRDefault="00D94935" w:rsidP="00D94935">
      <w:pPr>
        <w:pStyle w:val="AmdtsEntryHd"/>
        <w:rPr>
          <w:rFonts w:cs="Arial"/>
        </w:rPr>
      </w:pPr>
      <w:r w:rsidRPr="00140BF9">
        <w:rPr>
          <w:rFonts w:cs="Arial"/>
          <w:lang w:val="en-US"/>
        </w:rPr>
        <w:t>Service of originating application to recover unoccupied land</w:t>
      </w:r>
    </w:p>
    <w:p w14:paraId="1815C7CE" w14:textId="77777777"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14:paraId="169EF24B" w14:textId="77777777" w:rsidR="00D94935" w:rsidRPr="00140BF9" w:rsidRDefault="00D94935" w:rsidP="00D94935">
      <w:pPr>
        <w:pStyle w:val="AmdtsEntryHd"/>
        <w:rPr>
          <w:rFonts w:cs="Arial"/>
        </w:rPr>
      </w:pPr>
      <w:r w:rsidRPr="00140BF9">
        <w:rPr>
          <w:rFonts w:cs="Arial"/>
          <w:lang w:val="en-US"/>
        </w:rPr>
        <w:t>Time of service at address for service</w:t>
      </w:r>
    </w:p>
    <w:p w14:paraId="6AC1F385" w14:textId="77777777"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14:paraId="2DA83213" w14:textId="466844A5"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45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452"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14:paraId="2895C6F0" w14:textId="77777777" w:rsidR="00D94935" w:rsidRPr="00140BF9" w:rsidRDefault="00D94935" w:rsidP="00D94935">
      <w:pPr>
        <w:pStyle w:val="AmdtsEntryHd"/>
        <w:rPr>
          <w:rFonts w:cs="Arial"/>
        </w:rPr>
      </w:pPr>
      <w:r w:rsidRPr="00140BF9">
        <w:rPr>
          <w:rFonts w:cs="Arial"/>
          <w:lang w:val="en-US"/>
        </w:rPr>
        <w:lastRenderedPageBreak/>
        <w:t>Substituted service</w:t>
      </w:r>
    </w:p>
    <w:p w14:paraId="14FDBC55" w14:textId="77777777"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14:paraId="652EC5DE" w14:textId="77777777" w:rsidR="00D94935" w:rsidRPr="00140BF9" w:rsidRDefault="00D94935" w:rsidP="00D94935">
      <w:pPr>
        <w:pStyle w:val="AmdtsEntryHd"/>
        <w:rPr>
          <w:rFonts w:cs="Arial"/>
        </w:rPr>
      </w:pPr>
      <w:r w:rsidRPr="00140BF9">
        <w:rPr>
          <w:rFonts w:cs="Arial"/>
          <w:lang w:val="en-US"/>
        </w:rPr>
        <w:t>Informal service</w:t>
      </w:r>
    </w:p>
    <w:p w14:paraId="4E69D04E" w14:textId="77777777"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14:paraId="4C692770" w14:textId="77777777" w:rsidR="00D94935" w:rsidRPr="00140BF9" w:rsidRDefault="00D94935" w:rsidP="00D94935">
      <w:pPr>
        <w:pStyle w:val="AmdtsEntryHd"/>
        <w:rPr>
          <w:rFonts w:cs="Arial"/>
        </w:rPr>
      </w:pPr>
      <w:r w:rsidRPr="00140BF9">
        <w:rPr>
          <w:rFonts w:cs="Arial"/>
          <w:lang w:val="en-US"/>
        </w:rPr>
        <w:t>Service on agent</w:t>
      </w:r>
    </w:p>
    <w:p w14:paraId="791ACB20" w14:textId="77777777" w:rsidR="00D94935" w:rsidRDefault="00D94935" w:rsidP="00D94935">
      <w:pPr>
        <w:pStyle w:val="AmdtsEntries"/>
        <w:rPr>
          <w:rFonts w:eastAsiaTheme="minorEastAsia" w:cs="Arial"/>
          <w:szCs w:val="22"/>
          <w:lang w:eastAsia="en-AU"/>
        </w:rPr>
      </w:pPr>
      <w:r w:rsidRPr="00140BF9">
        <w:rPr>
          <w:rFonts w:cs="Arial"/>
        </w:rPr>
        <w:t>r 6462 hdg</w:t>
      </w:r>
      <w:r w:rsidRPr="00140BF9">
        <w:rPr>
          <w:rFonts w:eastAsiaTheme="minorEastAsia" w:cs="Arial"/>
          <w:szCs w:val="22"/>
          <w:lang w:eastAsia="en-AU"/>
        </w:rPr>
        <w:tab/>
        <w:t>bracketed note om R29 LA</w:t>
      </w:r>
    </w:p>
    <w:p w14:paraId="2B2A9949" w14:textId="0C668D4C" w:rsidR="002B46FF" w:rsidRPr="00140BF9" w:rsidRDefault="002B46FF" w:rsidP="00D94935">
      <w:pPr>
        <w:pStyle w:val="AmdtsEntries"/>
        <w:rPr>
          <w:rFonts w:cs="Arial"/>
        </w:rPr>
      </w:pPr>
      <w:r>
        <w:rPr>
          <w:rFonts w:eastAsiaTheme="minorEastAsia" w:cs="Arial"/>
          <w:szCs w:val="22"/>
          <w:lang w:eastAsia="en-AU"/>
        </w:rPr>
        <w:t>r 6462</w:t>
      </w:r>
      <w:r>
        <w:rPr>
          <w:rFonts w:eastAsiaTheme="minorEastAsia" w:cs="Arial"/>
          <w:szCs w:val="22"/>
          <w:lang w:eastAsia="en-AU"/>
        </w:rPr>
        <w:tab/>
        <w:t xml:space="preserve">am </w:t>
      </w:r>
      <w:hyperlink r:id="rId2453" w:tooltip="Court Procedures Amendment Rules 2023 (No 2)" w:history="1">
        <w:r>
          <w:rPr>
            <w:rStyle w:val="charCitHyperlinkAbbrev"/>
          </w:rPr>
          <w:t>SL2023</w:t>
        </w:r>
        <w:r>
          <w:rPr>
            <w:rStyle w:val="charCitHyperlinkAbbrev"/>
          </w:rPr>
          <w:noBreakHyphen/>
          <w:t>36</w:t>
        </w:r>
      </w:hyperlink>
      <w:r>
        <w:rPr>
          <w:rFonts w:eastAsiaTheme="minorEastAsia" w:cs="Arial"/>
          <w:szCs w:val="22"/>
          <w:lang w:eastAsia="en-AU"/>
        </w:rPr>
        <w:t xml:space="preserve"> r 74</w:t>
      </w:r>
    </w:p>
    <w:p w14:paraId="13EF89DB" w14:textId="77777777" w:rsidR="00D94935" w:rsidRPr="00140BF9" w:rsidRDefault="00D94935" w:rsidP="00D94935">
      <w:pPr>
        <w:pStyle w:val="AmdtsEntryHd"/>
        <w:rPr>
          <w:rFonts w:cs="Arial"/>
        </w:rPr>
      </w:pPr>
      <w:r w:rsidRPr="00140BF9">
        <w:rPr>
          <w:rFonts w:cs="Arial"/>
          <w:lang w:val="en-US"/>
        </w:rPr>
        <w:t>Service under contract</w:t>
      </w:r>
    </w:p>
    <w:p w14:paraId="67885A84" w14:textId="77777777"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14:paraId="7505707D" w14:textId="77777777" w:rsidR="00D94935" w:rsidRPr="00140BF9" w:rsidRDefault="00D94935" w:rsidP="00D94935">
      <w:pPr>
        <w:pStyle w:val="AmdtsEntryHd"/>
        <w:rPr>
          <w:rFonts w:cs="Arial"/>
        </w:rPr>
      </w:pPr>
      <w:r w:rsidRPr="00140BF9">
        <w:rPr>
          <w:rFonts w:cs="Arial"/>
          <w:lang w:val="en-US"/>
        </w:rPr>
        <w:t>Acceptance of service by solicitor</w:t>
      </w:r>
    </w:p>
    <w:p w14:paraId="6CB952E2" w14:textId="77777777"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14:paraId="1CADA276" w14:textId="77777777" w:rsidR="00D94935" w:rsidRPr="00140BF9" w:rsidRDefault="00D94935" w:rsidP="00D94935">
      <w:pPr>
        <w:pStyle w:val="AmdtsEntryHd"/>
        <w:rPr>
          <w:rFonts w:cs="Arial"/>
        </w:rPr>
      </w:pPr>
      <w:r w:rsidRPr="00140BF9">
        <w:rPr>
          <w:rFonts w:cs="Arial"/>
          <w:lang w:val="en-US"/>
        </w:rPr>
        <w:t>Special requirements for service by fax</w:t>
      </w:r>
    </w:p>
    <w:p w14:paraId="4C3E542B" w14:textId="77777777"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14:paraId="0E2FE485" w14:textId="77777777" w:rsidR="00D94935" w:rsidRPr="00140BF9" w:rsidRDefault="00D94935" w:rsidP="00D94935">
      <w:pPr>
        <w:pStyle w:val="AmdtsEntryHd"/>
        <w:rPr>
          <w:rFonts w:cs="Arial"/>
        </w:rPr>
      </w:pPr>
      <w:r w:rsidRPr="00140BF9">
        <w:rPr>
          <w:rFonts w:cs="Arial"/>
          <w:lang w:val="en-US"/>
        </w:rPr>
        <w:t>Email service—other matters</w:t>
      </w:r>
    </w:p>
    <w:p w14:paraId="5E5E6F32" w14:textId="77777777"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14:paraId="67DCC9CC" w14:textId="2BAD0F9B"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45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14:paraId="1C3681E2" w14:textId="77777777" w:rsidR="00D94935" w:rsidRPr="00140BF9" w:rsidRDefault="00D94935" w:rsidP="00D94935">
      <w:pPr>
        <w:pStyle w:val="AmdtsEntryHd"/>
        <w:rPr>
          <w:rFonts w:cs="Arial"/>
        </w:rPr>
      </w:pPr>
      <w:r w:rsidRPr="00140BF9">
        <w:rPr>
          <w:rFonts w:cs="Arial"/>
          <w:lang w:val="en-US"/>
        </w:rPr>
        <w:t>Proof of service</w:t>
      </w:r>
    </w:p>
    <w:p w14:paraId="72218EB8" w14:textId="77777777"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14:paraId="0C6D1DF6" w14:textId="77777777" w:rsidR="00D94935" w:rsidRPr="00140BF9" w:rsidRDefault="00D94935" w:rsidP="00D94935">
      <w:pPr>
        <w:pStyle w:val="AmdtsEntryHd"/>
        <w:rPr>
          <w:rFonts w:cs="Arial"/>
        </w:rPr>
      </w:pPr>
      <w:r w:rsidRPr="00140BF9">
        <w:rPr>
          <w:rFonts w:cs="Arial"/>
          <w:lang w:val="en-US"/>
        </w:rPr>
        <w:t>Identity of person served</w:t>
      </w:r>
    </w:p>
    <w:p w14:paraId="5123163F" w14:textId="77777777"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14:paraId="4A194B59" w14:textId="77777777" w:rsidR="00D94935" w:rsidRPr="00140BF9" w:rsidRDefault="00D94935" w:rsidP="00D94935">
      <w:pPr>
        <w:pStyle w:val="AmdtsEntryHd"/>
        <w:rPr>
          <w:rFonts w:cs="Arial"/>
        </w:rPr>
      </w:pPr>
      <w:r w:rsidRPr="00140BF9">
        <w:rPr>
          <w:rFonts w:cs="Arial"/>
          <w:lang w:val="en-US"/>
        </w:rPr>
        <w:t>Change of address for service</w:t>
      </w:r>
    </w:p>
    <w:p w14:paraId="476C74B7" w14:textId="77777777"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14:paraId="26C67317" w14:textId="77777777" w:rsidR="00D94935" w:rsidRPr="00140BF9" w:rsidRDefault="00D94935" w:rsidP="00D94935">
      <w:pPr>
        <w:pStyle w:val="AmdtsEntryHd"/>
        <w:rPr>
          <w:rFonts w:cs="Arial"/>
        </w:rPr>
      </w:pPr>
      <w:r w:rsidRPr="00140BF9">
        <w:rPr>
          <w:rFonts w:cs="Arial"/>
        </w:rPr>
        <w:t>Service of subpoenas and notices instead of subpoenas—general</w:t>
      </w:r>
    </w:p>
    <w:p w14:paraId="2639EE55" w14:textId="0FCC48FE"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45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1778F678" w14:textId="77777777" w:rsidR="00D94935" w:rsidRPr="00140BF9" w:rsidRDefault="00D94935" w:rsidP="00D94935">
      <w:pPr>
        <w:pStyle w:val="AmdtsEntryHd"/>
        <w:rPr>
          <w:rFonts w:cs="Arial"/>
        </w:rPr>
      </w:pPr>
      <w:r w:rsidRPr="00140BF9">
        <w:rPr>
          <w:rFonts w:cs="Arial"/>
          <w:lang w:val="en-US"/>
        </w:rPr>
        <w:t>Definitions—div 6.8.8</w:t>
      </w:r>
    </w:p>
    <w:p w14:paraId="169406EE" w14:textId="762755C6"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45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DA87D1" w14:textId="05956785"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45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25992EF9" w14:textId="539B5811"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45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00ABDC54" w14:textId="384BD383" w:rsidR="00D94935" w:rsidRPr="00140BF9" w:rsidRDefault="00D94935" w:rsidP="00D94935">
      <w:pPr>
        <w:pStyle w:val="AmdtsEntriesDefL2"/>
        <w:rPr>
          <w:rFonts w:cs="Arial"/>
          <w:lang w:val="en-US"/>
        </w:rPr>
      </w:pPr>
      <w:r w:rsidRPr="00140BF9">
        <w:rPr>
          <w:rFonts w:cs="Arial"/>
        </w:rPr>
        <w:tab/>
        <w:t xml:space="preserve">sub </w:t>
      </w:r>
      <w:hyperlink r:id="rId24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14:paraId="5C303C22" w14:textId="5FF7F01C"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46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417FD858" w14:textId="77777777" w:rsidR="00D94935" w:rsidRPr="00140BF9" w:rsidRDefault="00D94935" w:rsidP="00D94935">
      <w:pPr>
        <w:pStyle w:val="AmdtsEntryHd"/>
        <w:rPr>
          <w:rFonts w:cs="Arial"/>
        </w:rPr>
      </w:pPr>
      <w:r w:rsidRPr="00140BF9">
        <w:rPr>
          <w:rFonts w:cs="Arial"/>
          <w:lang w:val="en-US"/>
        </w:rPr>
        <w:t>Subpoena—service on solicitor</w:t>
      </w:r>
    </w:p>
    <w:p w14:paraId="609B6DCD" w14:textId="7165C848"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46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5D03667" w14:textId="77777777" w:rsidR="00D94935" w:rsidRPr="00140BF9" w:rsidRDefault="00D94935" w:rsidP="00D94935">
      <w:pPr>
        <w:pStyle w:val="AmdtsEntryHd"/>
        <w:rPr>
          <w:rFonts w:cs="Arial"/>
        </w:rPr>
      </w:pPr>
      <w:r w:rsidRPr="00140BF9">
        <w:rPr>
          <w:rFonts w:cs="Arial"/>
          <w:lang w:val="en-US"/>
        </w:rPr>
        <w:t>Subpoena—service on special witness</w:t>
      </w:r>
    </w:p>
    <w:p w14:paraId="5FC3DA98" w14:textId="5CA6CF46"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46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77A5D680" w14:textId="77777777" w:rsidR="00D94935" w:rsidRPr="00140BF9" w:rsidRDefault="00D94935" w:rsidP="00D94935">
      <w:pPr>
        <w:pStyle w:val="AmdtsEntryHd"/>
        <w:rPr>
          <w:rFonts w:cs="Arial"/>
        </w:rPr>
      </w:pPr>
      <w:r w:rsidRPr="00140BF9">
        <w:rPr>
          <w:rFonts w:cs="Arial"/>
          <w:lang w:val="en-US"/>
        </w:rPr>
        <w:t>Special witness—notice instead of subpoena</w:t>
      </w:r>
    </w:p>
    <w:p w14:paraId="3022F22C" w14:textId="41CB5948"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46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B15D9F" w14:textId="77777777" w:rsidR="00D94935" w:rsidRPr="00140BF9" w:rsidRDefault="00D94935" w:rsidP="00D94935">
      <w:pPr>
        <w:pStyle w:val="AmdtsEntryHd"/>
        <w:rPr>
          <w:rFonts w:cs="Arial"/>
        </w:rPr>
      </w:pPr>
      <w:r w:rsidRPr="00140BF9">
        <w:rPr>
          <w:rFonts w:cs="Arial"/>
          <w:lang w:val="en-US"/>
        </w:rPr>
        <w:t>Special witness—no shortening of time for service</w:t>
      </w:r>
    </w:p>
    <w:p w14:paraId="7A617C38" w14:textId="22652253"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46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08E759EC" w14:textId="77777777" w:rsidR="00D94935" w:rsidRPr="00140BF9" w:rsidRDefault="00454AF1" w:rsidP="00D94935">
      <w:pPr>
        <w:pStyle w:val="AmdtsEntryHd"/>
        <w:rPr>
          <w:rFonts w:cs="Arial"/>
        </w:rPr>
      </w:pPr>
      <w:r w:rsidRPr="00A60754">
        <w:lastRenderedPageBreak/>
        <w:t>Service out of Australia</w:t>
      </w:r>
    </w:p>
    <w:p w14:paraId="2E7163AA" w14:textId="395BEB41"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4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14:paraId="4F093BAF" w14:textId="061D00B0" w:rsidR="00D94935" w:rsidRDefault="00D94935" w:rsidP="00D94935">
      <w:pPr>
        <w:pStyle w:val="AmdtsEntries"/>
        <w:rPr>
          <w:rFonts w:cs="Arial"/>
        </w:rPr>
      </w:pPr>
      <w:r w:rsidRPr="00140BF9">
        <w:rPr>
          <w:rFonts w:cs="Arial"/>
        </w:rPr>
        <w:tab/>
        <w:t xml:space="preserve">note 3 ins </w:t>
      </w:r>
      <w:hyperlink r:id="rId246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14:paraId="30439AFE" w14:textId="7CDCA48B" w:rsidR="00454AF1" w:rsidRPr="00140BF9" w:rsidRDefault="00454AF1" w:rsidP="00D94935">
      <w:pPr>
        <w:pStyle w:val="AmdtsEntries"/>
        <w:rPr>
          <w:rFonts w:cs="Arial"/>
        </w:rPr>
      </w:pPr>
      <w:r>
        <w:rPr>
          <w:rFonts w:cs="Arial"/>
        </w:rPr>
        <w:tab/>
        <w:t xml:space="preserve">sub </w:t>
      </w:r>
      <w:hyperlink r:id="rId2467"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14:paraId="2C9DC3C3" w14:textId="77777777"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14:paraId="3B6BE03D" w14:textId="77777777"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14:paraId="34865A2E" w14:textId="47514028" w:rsidR="005E2127" w:rsidRPr="00140BF9" w:rsidRDefault="00236D73" w:rsidP="005E2127">
      <w:pPr>
        <w:pStyle w:val="AmdtsEntries"/>
        <w:rPr>
          <w:rFonts w:cs="Arial"/>
        </w:rPr>
      </w:pPr>
      <w:r>
        <w:rPr>
          <w:rFonts w:cs="Arial"/>
        </w:rPr>
        <w:t>r 6500</w:t>
      </w:r>
      <w:r w:rsidR="005E2127">
        <w:rPr>
          <w:rFonts w:cs="Arial"/>
        </w:rPr>
        <w:tab/>
        <w:t xml:space="preserve">sub </w:t>
      </w:r>
      <w:hyperlink r:id="rId2468"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14:paraId="213E5E45" w14:textId="77777777" w:rsidR="00D94935" w:rsidRPr="00140BF9" w:rsidRDefault="00D94935" w:rsidP="00D94935">
      <w:pPr>
        <w:pStyle w:val="AmdtsEntryHd"/>
        <w:rPr>
          <w:rFonts w:cs="Arial"/>
        </w:rPr>
      </w:pPr>
    </w:p>
    <w:p w14:paraId="70B34273" w14:textId="77777777"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14:paraId="28091743" w14:textId="759382C3"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46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FCE24F3" w14:textId="77777777" w:rsidR="00D94935" w:rsidRPr="00140BF9" w:rsidRDefault="00236D73" w:rsidP="00D94935">
      <w:pPr>
        <w:pStyle w:val="AmdtsEntryHd"/>
        <w:rPr>
          <w:rFonts w:cs="Arial"/>
        </w:rPr>
      </w:pPr>
      <w:r w:rsidRPr="00A60754">
        <w:t>Service of originating process without leave</w:t>
      </w:r>
    </w:p>
    <w:p w14:paraId="226C86A6" w14:textId="77777777"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14:paraId="38765842" w14:textId="7216B0A4"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47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F24C088" w14:textId="77777777" w:rsidR="00D94935" w:rsidRPr="00140BF9" w:rsidRDefault="00236D73" w:rsidP="00D94935">
      <w:pPr>
        <w:pStyle w:val="AmdtsEntryHd"/>
        <w:rPr>
          <w:rFonts w:cs="Arial"/>
        </w:rPr>
      </w:pPr>
      <w:r w:rsidRPr="00A60754">
        <w:t>Service of originating process with leave</w:t>
      </w:r>
    </w:p>
    <w:p w14:paraId="2FFAF21B" w14:textId="77777777"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14:paraId="4926C156" w14:textId="2EED86C8"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47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6ED3DDAD" w14:textId="77777777" w:rsidR="00D94935" w:rsidRPr="00140BF9" w:rsidRDefault="00236D73" w:rsidP="00D94935">
      <w:pPr>
        <w:pStyle w:val="AmdtsEntryHd"/>
        <w:rPr>
          <w:rFonts w:cs="Arial"/>
        </w:rPr>
      </w:pPr>
      <w:r w:rsidRPr="00A60754">
        <w:t>Court’s discretion whether to assume jurisdiction</w:t>
      </w:r>
    </w:p>
    <w:p w14:paraId="50EC2318" w14:textId="77777777"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14:paraId="0E0B2344" w14:textId="01E1E9D9"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47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14:paraId="5C54AF7C" w14:textId="4D011CF0" w:rsidR="00236D73" w:rsidRPr="00140BF9" w:rsidRDefault="00236D73" w:rsidP="00236D73">
      <w:pPr>
        <w:pStyle w:val="AmdtsEntries"/>
        <w:rPr>
          <w:rFonts w:cs="Arial"/>
        </w:rPr>
      </w:pPr>
      <w:r>
        <w:rPr>
          <w:rFonts w:eastAsiaTheme="minorEastAsia" w:cs="Arial"/>
          <w:szCs w:val="22"/>
          <w:lang w:eastAsia="en-AU"/>
        </w:rPr>
        <w:tab/>
        <w:t xml:space="preserve">sub </w:t>
      </w:r>
      <w:hyperlink r:id="rId247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7DD0256" w14:textId="77777777" w:rsidR="00D94935" w:rsidRPr="00140BF9" w:rsidRDefault="00236D73" w:rsidP="00D94935">
      <w:pPr>
        <w:pStyle w:val="AmdtsEntryHd"/>
        <w:rPr>
          <w:rFonts w:cs="Arial"/>
        </w:rPr>
      </w:pPr>
      <w:r w:rsidRPr="00A60754">
        <w:t>Notice to person served outside Australia</w:t>
      </w:r>
    </w:p>
    <w:p w14:paraId="34AF725D" w14:textId="77777777" w:rsidR="00D94935" w:rsidRPr="00140BF9" w:rsidRDefault="00D94935" w:rsidP="008D6D96">
      <w:pPr>
        <w:pStyle w:val="AmdtsEntries"/>
        <w:keepNext/>
        <w:rPr>
          <w:rFonts w:cs="Arial"/>
        </w:rPr>
      </w:pPr>
      <w:r w:rsidRPr="00140BF9">
        <w:rPr>
          <w:rFonts w:cs="Arial"/>
        </w:rPr>
        <w:t>r 6505 hdg</w:t>
      </w:r>
      <w:r w:rsidRPr="00140BF9">
        <w:rPr>
          <w:rFonts w:eastAsiaTheme="minorEastAsia" w:cs="Arial"/>
          <w:szCs w:val="22"/>
          <w:lang w:eastAsia="en-AU"/>
        </w:rPr>
        <w:tab/>
        <w:t>bracketed note om R29 LA</w:t>
      </w:r>
    </w:p>
    <w:p w14:paraId="49C31A73" w14:textId="69E43E7A"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47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5CDA7E40" w14:textId="77777777" w:rsidR="00D94935" w:rsidRPr="00140BF9" w:rsidRDefault="00236D73" w:rsidP="00D94935">
      <w:pPr>
        <w:pStyle w:val="AmdtsEntryHd"/>
        <w:rPr>
          <w:rFonts w:cs="Arial"/>
        </w:rPr>
      </w:pPr>
      <w:r w:rsidRPr="00A60754">
        <w:t>Time for filing notice of intention to respond</w:t>
      </w:r>
    </w:p>
    <w:p w14:paraId="452A3A3C" w14:textId="77777777"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14:paraId="0008F99A" w14:textId="7D46549B"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47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35C2856" w14:textId="77777777" w:rsidR="00D94935" w:rsidRPr="00140BF9" w:rsidRDefault="00236D73" w:rsidP="00D94935">
      <w:pPr>
        <w:pStyle w:val="AmdtsEntryHd"/>
        <w:rPr>
          <w:rFonts w:cs="Arial"/>
        </w:rPr>
      </w:pPr>
      <w:r w:rsidRPr="00A60754">
        <w:t>Leave to proceed if notice of intention to respond not filed</w:t>
      </w:r>
    </w:p>
    <w:p w14:paraId="31846F91" w14:textId="77777777"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14:paraId="40B8ECC3" w14:textId="4A838BF6"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47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15FBB93" w14:textId="77777777" w:rsidR="00D94935" w:rsidRPr="00140BF9" w:rsidRDefault="0098600D" w:rsidP="00D94935">
      <w:pPr>
        <w:pStyle w:val="AmdtsEntryHd"/>
        <w:rPr>
          <w:rFonts w:cs="Arial"/>
        </w:rPr>
      </w:pPr>
      <w:r w:rsidRPr="00A60754">
        <w:t>Service of other documents outside Australia</w:t>
      </w:r>
    </w:p>
    <w:p w14:paraId="20ABBBDD" w14:textId="77777777"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14:paraId="7752CF5E" w14:textId="2F2198DA"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47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EEA514B" w14:textId="77777777" w:rsidR="00D94935" w:rsidRPr="00140BF9" w:rsidRDefault="0098600D" w:rsidP="00D94935">
      <w:pPr>
        <w:pStyle w:val="AmdtsEntryHd"/>
        <w:rPr>
          <w:rFonts w:cs="Arial"/>
        </w:rPr>
      </w:pPr>
      <w:r w:rsidRPr="00A60754">
        <w:t>Mode of service</w:t>
      </w:r>
    </w:p>
    <w:p w14:paraId="3E3D85BC" w14:textId="77777777"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14:paraId="59404ED1" w14:textId="7221BD1F"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47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31C99BF" w14:textId="77777777" w:rsidR="00D94935" w:rsidRPr="00140BF9" w:rsidRDefault="00D94935" w:rsidP="00D94935">
      <w:pPr>
        <w:pStyle w:val="AmdtsEntryHd"/>
        <w:rPr>
          <w:rFonts w:cs="Arial"/>
        </w:rPr>
      </w:pPr>
      <w:r w:rsidRPr="00140BF9">
        <w:rPr>
          <w:rFonts w:cs="Arial"/>
        </w:rPr>
        <w:t>Service outside Australia—service in convention countries</w:t>
      </w:r>
    </w:p>
    <w:p w14:paraId="4B42E47E" w14:textId="77777777"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14:paraId="604480C6" w14:textId="14D5B688"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47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F0D2550" w14:textId="77777777" w:rsidR="00D94935" w:rsidRPr="00140BF9" w:rsidRDefault="00D94935" w:rsidP="00D94935">
      <w:pPr>
        <w:pStyle w:val="AmdtsEntryHd"/>
        <w:rPr>
          <w:rFonts w:cs="Arial"/>
        </w:rPr>
      </w:pPr>
      <w:r w:rsidRPr="00140BF9">
        <w:rPr>
          <w:rFonts w:cs="Arial"/>
        </w:rPr>
        <w:lastRenderedPageBreak/>
        <w:t>Service outside Australia—service in non-convention countries</w:t>
      </w:r>
    </w:p>
    <w:p w14:paraId="765D51CA" w14:textId="77777777" w:rsidR="00D94935" w:rsidRPr="00140BF9" w:rsidRDefault="00D94935" w:rsidP="00745DAF">
      <w:pPr>
        <w:pStyle w:val="AmdtsEntries"/>
        <w:keepNext/>
        <w:rPr>
          <w:rFonts w:cs="Arial"/>
        </w:rPr>
      </w:pPr>
      <w:r w:rsidRPr="00140BF9">
        <w:rPr>
          <w:rFonts w:cs="Arial"/>
        </w:rPr>
        <w:t>r 6511 hdg</w:t>
      </w:r>
      <w:r w:rsidRPr="00140BF9">
        <w:rPr>
          <w:rFonts w:eastAsiaTheme="minorEastAsia" w:cs="Arial"/>
          <w:szCs w:val="22"/>
          <w:lang w:eastAsia="en-AU"/>
        </w:rPr>
        <w:tab/>
        <w:t>bracketed note om R29 LA</w:t>
      </w:r>
    </w:p>
    <w:p w14:paraId="7517A984" w14:textId="4F48D7C3"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48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7CF25F7" w14:textId="77777777" w:rsidR="00D94935" w:rsidRPr="00140BF9" w:rsidRDefault="00D94935" w:rsidP="00D94935">
      <w:pPr>
        <w:pStyle w:val="AmdtsEntryHd"/>
        <w:rPr>
          <w:rFonts w:cs="Arial"/>
        </w:rPr>
      </w:pPr>
      <w:r w:rsidRPr="00140BF9">
        <w:rPr>
          <w:rFonts w:cs="Arial"/>
        </w:rPr>
        <w:t>Service outside Australia—other orders</w:t>
      </w:r>
    </w:p>
    <w:p w14:paraId="50F035B1" w14:textId="77777777"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14:paraId="2A48B3A6" w14:textId="26832F58"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48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4220B3CF" w14:textId="77777777" w:rsidR="00D94935" w:rsidRPr="00140BF9" w:rsidRDefault="00D94935" w:rsidP="00D94935">
      <w:pPr>
        <w:pStyle w:val="AmdtsEntryHd"/>
        <w:rPr>
          <w:rFonts w:cs="Arial"/>
        </w:rPr>
      </w:pPr>
      <w:r w:rsidRPr="00140BF9">
        <w:rPr>
          <w:rFonts w:cs="Arial"/>
        </w:rPr>
        <w:t>Service of subpoenas in New Zealand</w:t>
      </w:r>
    </w:p>
    <w:p w14:paraId="7B9ED121" w14:textId="75BBC49F"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48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16C9E364" w14:textId="77777777" w:rsidR="00D94935" w:rsidRPr="00140BF9" w:rsidRDefault="00D94935" w:rsidP="00D94935">
      <w:pPr>
        <w:pStyle w:val="AmdtsEntryHd"/>
        <w:rPr>
          <w:rFonts w:cs="Arial"/>
        </w:rPr>
      </w:pPr>
      <w:r w:rsidRPr="00140BF9">
        <w:rPr>
          <w:rFonts w:cs="Arial"/>
        </w:rPr>
        <w:t>Application—div 6.8.10</w:t>
      </w:r>
    </w:p>
    <w:p w14:paraId="5A25254E" w14:textId="3B2ABEB9"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483"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14:paraId="5E150118" w14:textId="411A6E10"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48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6D7D4CD" w14:textId="77777777" w:rsidR="00D94935" w:rsidRPr="00140BF9" w:rsidRDefault="00D94935" w:rsidP="00D94935">
      <w:pPr>
        <w:pStyle w:val="AmdtsEntryHd"/>
        <w:rPr>
          <w:rFonts w:cs="Arial"/>
        </w:rPr>
      </w:pPr>
      <w:r w:rsidRPr="00140BF9">
        <w:rPr>
          <w:rFonts w:cs="Arial"/>
        </w:rPr>
        <w:t>Terms used in Evidence and Procedure (New Zealand) Act</w:t>
      </w:r>
    </w:p>
    <w:p w14:paraId="010BA993" w14:textId="77777777"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14:paraId="37750B80" w14:textId="62C9FE53"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48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2046EF97" w14:textId="77777777" w:rsidR="00D94935" w:rsidRPr="00140BF9" w:rsidRDefault="00D94935" w:rsidP="00D94935">
      <w:pPr>
        <w:pStyle w:val="AmdtsEntryHd"/>
        <w:rPr>
          <w:rFonts w:cs="Arial"/>
        </w:rPr>
      </w:pPr>
      <w:r w:rsidRPr="00140BF9">
        <w:rPr>
          <w:rFonts w:cs="Arial"/>
        </w:rPr>
        <w:t>Application for leave to serve subpoena in New Zealand</w:t>
      </w:r>
    </w:p>
    <w:p w14:paraId="5C623ABC" w14:textId="77777777"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14:paraId="3F74380E" w14:textId="6B6D25DE"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48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897514B" w14:textId="77777777" w:rsidR="00D94935" w:rsidRPr="00140BF9" w:rsidRDefault="00D94935" w:rsidP="00D94935">
      <w:pPr>
        <w:pStyle w:val="AmdtsEntryHd"/>
        <w:rPr>
          <w:rFonts w:cs="Arial"/>
        </w:rPr>
      </w:pPr>
      <w:r w:rsidRPr="00140BF9">
        <w:rPr>
          <w:rFonts w:cs="Arial"/>
        </w:rPr>
        <w:t>Supporting affidavit—application for leave to serve subpoena in New Zealand</w:t>
      </w:r>
    </w:p>
    <w:p w14:paraId="10168CC8" w14:textId="77777777"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14:paraId="4C2382A9" w14:textId="6076452F"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48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9587B78" w14:textId="77777777" w:rsidR="00D94935" w:rsidRPr="00140BF9" w:rsidRDefault="00D94935" w:rsidP="00D94935">
      <w:pPr>
        <w:pStyle w:val="AmdtsEntryHd"/>
        <w:rPr>
          <w:rFonts w:cs="Arial"/>
        </w:rPr>
      </w:pPr>
      <w:r w:rsidRPr="00140BF9">
        <w:rPr>
          <w:rFonts w:cs="Arial"/>
        </w:rPr>
        <w:t>Application for leave to serve subpoena in New Zealand need not be served etc</w:t>
      </w:r>
    </w:p>
    <w:p w14:paraId="2285578E" w14:textId="77777777"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14:paraId="707C9576" w14:textId="6F1FF764"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48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767EB684" w14:textId="77777777"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14:paraId="762CE075" w14:textId="77777777"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14:paraId="32ABE81C" w14:textId="3CE89C6F"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48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7F43A8A" w14:textId="77777777" w:rsidR="00D94935" w:rsidRPr="00140BF9" w:rsidRDefault="00D94935" w:rsidP="00D94935">
      <w:pPr>
        <w:pStyle w:val="AmdtsEntryHd"/>
        <w:rPr>
          <w:rFonts w:cs="Arial"/>
        </w:rPr>
      </w:pPr>
      <w:r w:rsidRPr="00140BF9">
        <w:rPr>
          <w:rFonts w:cs="Arial"/>
        </w:rPr>
        <w:t>Setting aside subpoena for service in New Zealand</w:t>
      </w:r>
    </w:p>
    <w:p w14:paraId="3F7674BC" w14:textId="77777777"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14:paraId="3E691767" w14:textId="467E4AC0"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49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0B3B2B7" w14:textId="77777777" w:rsidR="00D94935" w:rsidRPr="00140BF9" w:rsidRDefault="00D94935" w:rsidP="00D94935">
      <w:pPr>
        <w:pStyle w:val="AmdtsEntryHd"/>
        <w:rPr>
          <w:rFonts w:cs="Arial"/>
        </w:rPr>
      </w:pPr>
      <w:r w:rsidRPr="00140BF9">
        <w:rPr>
          <w:rFonts w:cs="Arial"/>
        </w:rPr>
        <w:t>Noncompliance with subpoena served in New Zealand</w:t>
      </w:r>
    </w:p>
    <w:p w14:paraId="68DC10B0" w14:textId="77777777"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14:paraId="5D791397" w14:textId="71A0BB4B"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49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8F17807" w14:textId="77777777" w:rsidR="00D94935" w:rsidRPr="00140BF9" w:rsidRDefault="00D94935" w:rsidP="00D94935">
      <w:pPr>
        <w:pStyle w:val="AmdtsEntryHd"/>
        <w:rPr>
          <w:rFonts w:cs="Arial"/>
        </w:rPr>
      </w:pPr>
      <w:r w:rsidRPr="00140BF9">
        <w:rPr>
          <w:rFonts w:cs="Arial"/>
        </w:rPr>
        <w:t>Letter of request from foreign tribunal—procedure</w:t>
      </w:r>
    </w:p>
    <w:p w14:paraId="329654CC" w14:textId="77777777"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14:paraId="4C3FEF0D" w14:textId="77777777" w:rsidR="00D94935" w:rsidRPr="00140BF9" w:rsidRDefault="00D94935" w:rsidP="00D94935">
      <w:pPr>
        <w:pStyle w:val="AmdtsEntryHd"/>
        <w:rPr>
          <w:rFonts w:cs="Arial"/>
        </w:rPr>
      </w:pPr>
      <w:r w:rsidRPr="00140BF9">
        <w:rPr>
          <w:rFonts w:cs="Arial"/>
        </w:rPr>
        <w:t>Orders for substituted service etc for div 6.8.11</w:t>
      </w:r>
    </w:p>
    <w:p w14:paraId="4BC29080" w14:textId="77777777" w:rsidR="00D94935" w:rsidRDefault="00D94935" w:rsidP="00D94935">
      <w:pPr>
        <w:pStyle w:val="AmdtsEntries"/>
        <w:rPr>
          <w:rFonts w:eastAsiaTheme="minorEastAsia" w:cs="Arial"/>
          <w:szCs w:val="22"/>
          <w:lang w:eastAsia="en-AU"/>
        </w:rPr>
      </w:pPr>
      <w:r w:rsidRPr="00140BF9">
        <w:rPr>
          <w:rFonts w:cs="Arial"/>
        </w:rPr>
        <w:t>r 6541 hdg</w:t>
      </w:r>
      <w:r w:rsidRPr="00140BF9">
        <w:rPr>
          <w:rFonts w:eastAsiaTheme="minorEastAsia" w:cs="Arial"/>
          <w:szCs w:val="22"/>
          <w:lang w:eastAsia="en-AU"/>
        </w:rPr>
        <w:tab/>
        <w:t>bracketed note om R29 LA</w:t>
      </w:r>
    </w:p>
    <w:p w14:paraId="022E62FC" w14:textId="77777777" w:rsidR="00D94935" w:rsidRPr="00140BF9" w:rsidRDefault="00D94935" w:rsidP="00D94935">
      <w:pPr>
        <w:pStyle w:val="AmdtsEntryHd"/>
        <w:rPr>
          <w:rFonts w:cs="Arial"/>
        </w:rPr>
      </w:pPr>
      <w:r w:rsidRPr="00140BF9">
        <w:rPr>
          <w:rFonts w:cs="Arial"/>
        </w:rPr>
        <w:lastRenderedPageBreak/>
        <w:t>Noncompliance with div 6.8.11</w:t>
      </w:r>
    </w:p>
    <w:p w14:paraId="489800EA" w14:textId="77777777"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14:paraId="0A67E0AA" w14:textId="77777777" w:rsidR="00D94935" w:rsidRPr="00140BF9" w:rsidRDefault="00D94935" w:rsidP="00D94935">
      <w:pPr>
        <w:pStyle w:val="AmdtsEntryHd"/>
        <w:rPr>
          <w:rFonts w:cs="Arial"/>
          <w:lang w:val="en-US"/>
        </w:rPr>
      </w:pPr>
      <w:r w:rsidRPr="00140BF9">
        <w:rPr>
          <w:rFonts w:cs="Arial"/>
        </w:rPr>
        <w:t>Service under the Hague Convention</w:t>
      </w:r>
    </w:p>
    <w:p w14:paraId="4E228118" w14:textId="70E3190A"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4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CBF5D6C" w14:textId="0967C38F" w:rsidR="00760E1D" w:rsidRPr="00140BF9" w:rsidRDefault="00760E1D" w:rsidP="00760E1D">
      <w:pPr>
        <w:pStyle w:val="AmdtsEntries"/>
        <w:rPr>
          <w:rFonts w:cs="Arial"/>
        </w:rPr>
      </w:pPr>
      <w:r>
        <w:rPr>
          <w:rFonts w:eastAsiaTheme="minorEastAsia" w:cs="Arial"/>
          <w:szCs w:val="22"/>
          <w:lang w:eastAsia="en-AU"/>
        </w:rPr>
        <w:tab/>
        <w:t xml:space="preserve">am </w:t>
      </w:r>
      <w:hyperlink r:id="rId2493" w:tooltip="Court Procedures Amendment Rules 2020 (No 3)" w:history="1">
        <w:r w:rsidRPr="007074D3">
          <w:rPr>
            <w:rStyle w:val="charCitHyperlinkAbbrev"/>
            <w:rFonts w:eastAsiaTheme="minorEastAsia"/>
          </w:rPr>
          <w:t>SL2020-20</w:t>
        </w:r>
      </w:hyperlink>
      <w:r>
        <w:rPr>
          <w:rFonts w:eastAsiaTheme="minorEastAsia" w:cs="Arial"/>
          <w:szCs w:val="22"/>
          <w:lang w:eastAsia="en-AU"/>
        </w:rPr>
        <w:t xml:space="preserve"> r 4</w:t>
      </w:r>
    </w:p>
    <w:p w14:paraId="746FBAB1" w14:textId="77777777" w:rsidR="00D94935" w:rsidRPr="00140BF9" w:rsidRDefault="00D94935" w:rsidP="00D94935">
      <w:pPr>
        <w:pStyle w:val="AmdtsEntryHd"/>
        <w:rPr>
          <w:rFonts w:cs="Arial"/>
          <w:lang w:val="en-US"/>
        </w:rPr>
      </w:pPr>
      <w:r w:rsidRPr="00140BF9">
        <w:rPr>
          <w:rFonts w:cs="Arial"/>
        </w:rPr>
        <w:t>Preliminary</w:t>
      </w:r>
    </w:p>
    <w:p w14:paraId="7D5A1CEC" w14:textId="01F7DDDA"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4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514770F" w14:textId="77777777" w:rsidR="00D94935" w:rsidRPr="00140BF9" w:rsidRDefault="00D94935" w:rsidP="00D94935">
      <w:pPr>
        <w:pStyle w:val="AmdtsEntryHd"/>
        <w:rPr>
          <w:rFonts w:cs="Arial"/>
        </w:rPr>
      </w:pPr>
      <w:r w:rsidRPr="00140BF9">
        <w:rPr>
          <w:rFonts w:cs="Arial"/>
        </w:rPr>
        <w:t>Definitions—div 6.8.12</w:t>
      </w:r>
    </w:p>
    <w:p w14:paraId="7D282E85" w14:textId="22418FD6"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4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98DADBD" w14:textId="1D4CA663"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4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4EE43C" w14:textId="7FEE10A7"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4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C968A98" w14:textId="41DC0C7A"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4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64FB6EB" w14:textId="3588201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4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B293D12" w14:textId="6752A70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5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818C45E" w14:textId="23415C61"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5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32021E" w14:textId="1784C8DB"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5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E882D09" w14:textId="73A5FF48"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5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934A0EF" w14:textId="17056C27"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5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30EFBF7" w14:textId="5C7014DC"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5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0E51869" w14:textId="0650CEC0"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5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FE63A5B" w14:textId="6EC42B56"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5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E59701B" w14:textId="2B91C606"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local judicial document </w:t>
      </w:r>
      <w:r w:rsidRPr="00140BF9">
        <w:rPr>
          <w:rFonts w:cs="Arial"/>
          <w:lang w:val="en-US"/>
        </w:rPr>
        <w:t xml:space="preserve">ins </w:t>
      </w:r>
      <w:hyperlink r:id="rId25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2E7462" w14:textId="0451F3FB" w:rsidR="00D94935" w:rsidRPr="00140BF9" w:rsidRDefault="00D94935" w:rsidP="008D6D96">
      <w:pPr>
        <w:pStyle w:val="AmdtsEntries"/>
        <w:keepNext/>
        <w:rPr>
          <w:rFonts w:cs="Arial"/>
          <w:lang w:val="en-US"/>
        </w:rPr>
      </w:pPr>
      <w:r w:rsidRPr="00140BF9">
        <w:rPr>
          <w:rFonts w:cs="Arial"/>
          <w:lang w:val="en-US"/>
        </w:rPr>
        <w:tab/>
        <w:t xml:space="preserve">def </w:t>
      </w:r>
      <w:r w:rsidRPr="00140BF9">
        <w:rPr>
          <w:rStyle w:val="charBoldItals"/>
          <w:rFonts w:cs="Arial"/>
        </w:rPr>
        <w:t xml:space="preserve">registrar </w:t>
      </w:r>
      <w:r w:rsidRPr="00140BF9">
        <w:rPr>
          <w:rFonts w:cs="Arial"/>
          <w:lang w:val="en-US"/>
        </w:rPr>
        <w:t xml:space="preserve">ins </w:t>
      </w:r>
      <w:hyperlink r:id="rId25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9338C66" w14:textId="25B5C3F3" w:rsidR="00D94935" w:rsidRPr="00140BF9" w:rsidRDefault="00D94935" w:rsidP="008D6D96">
      <w:pPr>
        <w:pStyle w:val="AmdtsEntries"/>
        <w:keepNext/>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5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9DF2C1" w14:textId="1132D3D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5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76BDD1" w14:textId="77777777" w:rsidR="00D94935" w:rsidRPr="00140BF9" w:rsidRDefault="00D94935" w:rsidP="00D94935">
      <w:pPr>
        <w:pStyle w:val="AmdtsEntryHd"/>
        <w:rPr>
          <w:rFonts w:cs="Arial"/>
        </w:rPr>
      </w:pPr>
      <w:r w:rsidRPr="00140BF9">
        <w:rPr>
          <w:rFonts w:cs="Arial"/>
        </w:rPr>
        <w:t>Rules under this division prevail</w:t>
      </w:r>
    </w:p>
    <w:p w14:paraId="355CBD63" w14:textId="7E7FA144"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5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1DA5D3A" w14:textId="77777777" w:rsidR="00D94935" w:rsidRPr="00140BF9" w:rsidRDefault="00D94935" w:rsidP="00D94935">
      <w:pPr>
        <w:pStyle w:val="AmdtsEntryHd"/>
        <w:rPr>
          <w:rFonts w:cs="Arial"/>
          <w:lang w:val="en-US"/>
        </w:rPr>
      </w:pPr>
      <w:r w:rsidRPr="00140BF9">
        <w:rPr>
          <w:rFonts w:cs="Arial"/>
        </w:rPr>
        <w:t>Service abroad of local judicial documents</w:t>
      </w:r>
    </w:p>
    <w:p w14:paraId="713740E0" w14:textId="0D3081A8"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5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C0C42A" w14:textId="77777777" w:rsidR="00D94935" w:rsidRPr="00140BF9" w:rsidRDefault="00D94935" w:rsidP="00D94935">
      <w:pPr>
        <w:pStyle w:val="AmdtsEntryHd"/>
        <w:rPr>
          <w:rFonts w:cs="Arial"/>
        </w:rPr>
      </w:pPr>
      <w:r w:rsidRPr="00140BF9">
        <w:rPr>
          <w:rFonts w:cs="Arial"/>
        </w:rPr>
        <w:t>Application—subdiv 6.8.12.2</w:t>
      </w:r>
    </w:p>
    <w:p w14:paraId="51326396" w14:textId="7E613952"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5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52353BA" w14:textId="77777777" w:rsidR="00D94935" w:rsidRPr="00140BF9" w:rsidRDefault="00D94935" w:rsidP="00D94935">
      <w:pPr>
        <w:pStyle w:val="AmdtsEntryHd"/>
        <w:rPr>
          <w:rFonts w:cs="Arial"/>
        </w:rPr>
      </w:pPr>
      <w:r w:rsidRPr="00140BF9">
        <w:rPr>
          <w:rFonts w:cs="Arial"/>
        </w:rPr>
        <w:t>Application for request for service abroad</w:t>
      </w:r>
    </w:p>
    <w:p w14:paraId="074FBF12" w14:textId="3E0907E2"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5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961C75E" w14:textId="77777777" w:rsidR="00D94935" w:rsidRPr="00140BF9" w:rsidRDefault="00D94935" w:rsidP="00D94935">
      <w:pPr>
        <w:pStyle w:val="AmdtsEntryHd"/>
        <w:rPr>
          <w:rFonts w:cs="Arial"/>
        </w:rPr>
      </w:pPr>
      <w:r w:rsidRPr="00140BF9">
        <w:rPr>
          <w:rFonts w:cs="Arial"/>
        </w:rPr>
        <w:t>How application to be dealt with</w:t>
      </w:r>
    </w:p>
    <w:p w14:paraId="572A32F8" w14:textId="00E5BCA0"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5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F23B6C" w14:textId="77777777" w:rsidR="00D94935" w:rsidRPr="00140BF9" w:rsidRDefault="00D94935" w:rsidP="00D94935">
      <w:pPr>
        <w:pStyle w:val="AmdtsEntryHd"/>
        <w:rPr>
          <w:rFonts w:cs="Arial"/>
        </w:rPr>
      </w:pPr>
      <w:r w:rsidRPr="00140BF9">
        <w:rPr>
          <w:rFonts w:cs="Arial"/>
        </w:rPr>
        <w:t>Procedure on receipt of certificate of service</w:t>
      </w:r>
    </w:p>
    <w:p w14:paraId="4FDE6437" w14:textId="7DE6D3E4"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5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1B784D9" w14:textId="77777777" w:rsidR="00D94935" w:rsidRPr="00140BF9" w:rsidRDefault="00D94935" w:rsidP="00D94935">
      <w:pPr>
        <w:pStyle w:val="AmdtsEntryHd"/>
        <w:rPr>
          <w:rFonts w:cs="Arial"/>
        </w:rPr>
      </w:pPr>
      <w:r w:rsidRPr="00140BF9">
        <w:rPr>
          <w:rFonts w:cs="Arial"/>
        </w:rPr>
        <w:t>Payment of costs</w:t>
      </w:r>
    </w:p>
    <w:p w14:paraId="18703DC5" w14:textId="2ADEF26A"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5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4FE663D" w14:textId="77777777" w:rsidR="00D94935" w:rsidRPr="00140BF9" w:rsidRDefault="00D94935" w:rsidP="00D94935">
      <w:pPr>
        <w:pStyle w:val="AmdtsEntryHd"/>
        <w:rPr>
          <w:rFonts w:cs="Arial"/>
        </w:rPr>
      </w:pPr>
      <w:r w:rsidRPr="00140BF9">
        <w:rPr>
          <w:rFonts w:cs="Arial"/>
        </w:rPr>
        <w:t>Evidence of service</w:t>
      </w:r>
    </w:p>
    <w:p w14:paraId="4EA50A6D" w14:textId="061A6DAD"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5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C8DD064" w14:textId="77777777" w:rsidR="00D94935" w:rsidRPr="00140BF9" w:rsidRDefault="00D94935" w:rsidP="00D94935">
      <w:pPr>
        <w:pStyle w:val="AmdtsEntryHd"/>
        <w:rPr>
          <w:rFonts w:cs="Arial"/>
          <w:lang w:val="en-US"/>
        </w:rPr>
      </w:pPr>
      <w:r w:rsidRPr="00140BF9">
        <w:rPr>
          <w:rFonts w:cs="Arial"/>
        </w:rPr>
        <w:lastRenderedPageBreak/>
        <w:t>Default judgment following service abroad of initiating process</w:t>
      </w:r>
    </w:p>
    <w:p w14:paraId="5780492B" w14:textId="5211AE3B"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5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83E357" w14:textId="77777777" w:rsidR="00D94935" w:rsidRPr="00140BF9" w:rsidRDefault="00D94935" w:rsidP="00D94935">
      <w:pPr>
        <w:pStyle w:val="AmdtsEntryHd"/>
        <w:rPr>
          <w:rFonts w:cs="Arial"/>
        </w:rPr>
      </w:pPr>
      <w:r w:rsidRPr="00140BF9">
        <w:rPr>
          <w:rFonts w:cs="Arial"/>
        </w:rPr>
        <w:t>Application—subdiv 6.8.12.3</w:t>
      </w:r>
    </w:p>
    <w:p w14:paraId="31B56FF3" w14:textId="7C117D84"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5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94941F" w14:textId="77777777" w:rsidR="00D94935" w:rsidRPr="00140BF9" w:rsidRDefault="00D94935" w:rsidP="00D94935">
      <w:pPr>
        <w:pStyle w:val="AmdtsEntryHd"/>
        <w:rPr>
          <w:rFonts w:cs="Arial"/>
        </w:rPr>
      </w:pPr>
      <w:r w:rsidRPr="00140BF9">
        <w:rPr>
          <w:rFonts w:cs="Arial"/>
        </w:rPr>
        <w:t>Restriction on power to enter default judgment if certificate of service filed</w:t>
      </w:r>
    </w:p>
    <w:p w14:paraId="170330BF" w14:textId="6B1CACED"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5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071CDCD" w14:textId="77777777" w:rsidR="00D94935" w:rsidRPr="00140BF9" w:rsidRDefault="00D94935" w:rsidP="00D94935">
      <w:pPr>
        <w:pStyle w:val="AmdtsEntryHd"/>
        <w:rPr>
          <w:rFonts w:cs="Arial"/>
        </w:rPr>
      </w:pPr>
      <w:r w:rsidRPr="00140BF9">
        <w:rPr>
          <w:rFonts w:cs="Arial"/>
        </w:rPr>
        <w:t>Restriction on power to enter default judgment if certificate of service not filed</w:t>
      </w:r>
    </w:p>
    <w:p w14:paraId="58F11713" w14:textId="46230F10"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5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40F196E" w14:textId="77777777" w:rsidR="00D94935" w:rsidRPr="00140BF9" w:rsidRDefault="00D94935" w:rsidP="00D94935">
      <w:pPr>
        <w:pStyle w:val="AmdtsEntryHd"/>
        <w:rPr>
          <w:rFonts w:cs="Arial"/>
        </w:rPr>
      </w:pPr>
      <w:r w:rsidRPr="00140BF9">
        <w:rPr>
          <w:rFonts w:cs="Arial"/>
        </w:rPr>
        <w:t>Setting aside default judgment</w:t>
      </w:r>
    </w:p>
    <w:p w14:paraId="424F6F85" w14:textId="59B18AAC"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5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C7623FE" w14:textId="77777777" w:rsidR="00D94935" w:rsidRPr="00140BF9" w:rsidRDefault="00D94935" w:rsidP="00D94935">
      <w:pPr>
        <w:pStyle w:val="AmdtsEntryHd"/>
        <w:rPr>
          <w:rFonts w:cs="Arial"/>
          <w:lang w:val="en-US"/>
        </w:rPr>
      </w:pPr>
      <w:r w:rsidRPr="00140BF9">
        <w:rPr>
          <w:rFonts w:cs="Arial"/>
        </w:rPr>
        <w:t>Local service of foreign judicial documents</w:t>
      </w:r>
    </w:p>
    <w:p w14:paraId="5B4FCFF1" w14:textId="2B0E85F8"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5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FE93661" w14:textId="77777777" w:rsidR="00D94935" w:rsidRPr="00140BF9" w:rsidRDefault="00D94935" w:rsidP="00D94935">
      <w:pPr>
        <w:pStyle w:val="AmdtsEntryHd"/>
        <w:rPr>
          <w:rFonts w:cs="Arial"/>
        </w:rPr>
      </w:pPr>
      <w:r w:rsidRPr="00140BF9">
        <w:rPr>
          <w:rFonts w:cs="Arial"/>
        </w:rPr>
        <w:t>Application—subdiv 6.8.12.4</w:t>
      </w:r>
    </w:p>
    <w:p w14:paraId="50D7FB4F" w14:textId="2970D17E"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5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D0D7E6" w14:textId="77777777"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14:paraId="4EF74FFF" w14:textId="693DFB08"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5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0C4C162" w14:textId="77777777" w:rsidR="00D94935" w:rsidRPr="00140BF9" w:rsidRDefault="00D94935" w:rsidP="00D94935">
      <w:pPr>
        <w:pStyle w:val="AmdtsEntryHd"/>
        <w:rPr>
          <w:rFonts w:cs="Arial"/>
        </w:rPr>
      </w:pPr>
      <w:r w:rsidRPr="00140BF9">
        <w:rPr>
          <w:rFonts w:cs="Arial"/>
        </w:rPr>
        <w:t>Service of foreign judicial documents etc</w:t>
      </w:r>
    </w:p>
    <w:p w14:paraId="173B749E" w14:textId="3085E338"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5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EF584B9" w14:textId="77777777" w:rsidR="00D94935" w:rsidRPr="00140BF9" w:rsidRDefault="00D94935" w:rsidP="00D94935">
      <w:pPr>
        <w:pStyle w:val="AmdtsEntryHd"/>
        <w:rPr>
          <w:rFonts w:cs="Arial"/>
        </w:rPr>
      </w:pPr>
      <w:r w:rsidRPr="00140BF9">
        <w:rPr>
          <w:rFonts w:cs="Arial"/>
        </w:rPr>
        <w:t>Affidavit about service</w:t>
      </w:r>
    </w:p>
    <w:p w14:paraId="0BF1A2CF" w14:textId="67E67B8C"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5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FFFA914" w14:textId="77777777" w:rsidR="00D94935" w:rsidRPr="00140BF9" w:rsidRDefault="00D94935" w:rsidP="00D94935">
      <w:pPr>
        <w:pStyle w:val="AmdtsEntryHd"/>
        <w:rPr>
          <w:rFonts w:cs="Arial"/>
        </w:rPr>
      </w:pPr>
      <w:r w:rsidRPr="00140BF9">
        <w:rPr>
          <w:rFonts w:cs="Arial"/>
        </w:rPr>
        <w:t>Definitions—pt 6.9</w:t>
      </w:r>
    </w:p>
    <w:p w14:paraId="1E0641DA" w14:textId="77777777"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14:paraId="71191D03" w14:textId="77777777" w:rsidR="00D94935" w:rsidRPr="00140BF9" w:rsidRDefault="00D94935" w:rsidP="00D94935">
      <w:pPr>
        <w:pStyle w:val="AmdtsEntryHd"/>
        <w:rPr>
          <w:rFonts w:cs="Arial"/>
        </w:rPr>
      </w:pPr>
      <w:r w:rsidRPr="00140BF9">
        <w:rPr>
          <w:rFonts w:cs="Arial"/>
        </w:rPr>
        <w:t>Issuing subpoena</w:t>
      </w:r>
    </w:p>
    <w:p w14:paraId="6B7AED9B" w14:textId="5036BA4B" w:rsidR="00D94935" w:rsidRDefault="00D94935" w:rsidP="00D94935">
      <w:pPr>
        <w:pStyle w:val="AmdtsEntries"/>
        <w:rPr>
          <w:rFonts w:eastAsiaTheme="minorEastAsia" w:cs="Arial"/>
          <w:szCs w:val="22"/>
          <w:lang w:eastAsia="en-AU"/>
        </w:rPr>
      </w:pPr>
      <w:r w:rsidRPr="00140BF9">
        <w:rPr>
          <w:rFonts w:cs="Arial"/>
        </w:rPr>
        <w:t>r 6601 hdg</w:t>
      </w:r>
      <w:r w:rsidRPr="00140BF9">
        <w:rPr>
          <w:rFonts w:eastAsiaTheme="minorEastAsia" w:cs="Arial"/>
          <w:szCs w:val="22"/>
          <w:lang w:eastAsia="en-AU"/>
        </w:rPr>
        <w:tab/>
        <w:t>bracketed note om R29 LA</w:t>
      </w:r>
    </w:p>
    <w:p w14:paraId="5E95AC61" w14:textId="7E9DD0F6" w:rsidR="003304DB" w:rsidRPr="00140BF9" w:rsidRDefault="003304DB" w:rsidP="00D94935">
      <w:pPr>
        <w:pStyle w:val="AmdtsEntries"/>
        <w:rPr>
          <w:rFonts w:cs="Arial"/>
        </w:rPr>
      </w:pPr>
      <w:r>
        <w:rPr>
          <w:rFonts w:eastAsiaTheme="minorEastAsia" w:cs="Arial"/>
          <w:szCs w:val="22"/>
          <w:lang w:eastAsia="en-AU"/>
        </w:rPr>
        <w:t>r 6601</w:t>
      </w:r>
      <w:r>
        <w:rPr>
          <w:rFonts w:eastAsiaTheme="minorEastAsia" w:cs="Arial"/>
          <w:szCs w:val="22"/>
          <w:lang w:eastAsia="en-AU"/>
        </w:rPr>
        <w:tab/>
        <w:t xml:space="preserve">am </w:t>
      </w:r>
      <w:hyperlink r:id="rId2530" w:tooltip="Court Procedures Amendment Rules 2022 (No 2)" w:history="1">
        <w:r>
          <w:rPr>
            <w:rStyle w:val="charCitHyperlinkAbbrev"/>
            <w:rFonts w:cs="Arial"/>
          </w:rPr>
          <w:t>SL2022</w:t>
        </w:r>
        <w:r>
          <w:rPr>
            <w:rStyle w:val="charCitHyperlinkAbbrev"/>
            <w:rFonts w:cs="Arial"/>
          </w:rPr>
          <w:noBreakHyphen/>
          <w:t>6</w:t>
        </w:r>
      </w:hyperlink>
      <w:r>
        <w:rPr>
          <w:rFonts w:eastAsiaTheme="minorEastAsia" w:cs="Arial"/>
          <w:szCs w:val="22"/>
          <w:lang w:eastAsia="en-AU"/>
        </w:rPr>
        <w:t xml:space="preserve"> r 4</w:t>
      </w:r>
    </w:p>
    <w:p w14:paraId="65FA3457" w14:textId="77777777" w:rsidR="00D94935" w:rsidRPr="00140BF9" w:rsidRDefault="00D94935" w:rsidP="00D94935">
      <w:pPr>
        <w:pStyle w:val="AmdtsEntryHd"/>
        <w:rPr>
          <w:rFonts w:cs="Arial"/>
        </w:rPr>
      </w:pPr>
      <w:r w:rsidRPr="00140BF9">
        <w:rPr>
          <w:rFonts w:cs="Arial"/>
        </w:rPr>
        <w:t>Issuing subpoena to produce—originating claim</w:t>
      </w:r>
    </w:p>
    <w:p w14:paraId="4AB6D023" w14:textId="7FF0A6EC"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53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14:paraId="625BA315" w14:textId="2225071B" w:rsidR="00D94935" w:rsidRDefault="00D94935" w:rsidP="00D94935">
      <w:pPr>
        <w:pStyle w:val="AmdtsEntries"/>
        <w:rPr>
          <w:rFonts w:cs="Arial"/>
        </w:rPr>
      </w:pPr>
      <w:r w:rsidRPr="00140BF9">
        <w:rPr>
          <w:rFonts w:cs="Arial"/>
        </w:rPr>
        <w:tab/>
        <w:t xml:space="preserve">sub </w:t>
      </w:r>
      <w:hyperlink r:id="rId253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708C4AB2" w14:textId="0DF9DC24" w:rsidR="00D94935" w:rsidRPr="00266B63" w:rsidRDefault="00D94935" w:rsidP="00D94935">
      <w:pPr>
        <w:pStyle w:val="AmdtsEntries"/>
      </w:pPr>
      <w:r>
        <w:rPr>
          <w:rFonts w:cs="Arial"/>
        </w:rPr>
        <w:tab/>
        <w:t xml:space="preserve">am </w:t>
      </w:r>
      <w:hyperlink r:id="rId253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534"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r w:rsidR="007752BB">
        <w:t xml:space="preserve">; </w:t>
      </w:r>
      <w:hyperlink r:id="rId2535" w:tooltip="Court Procedures Amendment Rules 2024 (No 1)" w:history="1">
        <w:r w:rsidR="008E1456">
          <w:rPr>
            <w:rStyle w:val="charCitHyperlinkAbbrev"/>
          </w:rPr>
          <w:t>SL2024</w:t>
        </w:r>
        <w:r w:rsidR="008E1456">
          <w:rPr>
            <w:rStyle w:val="charCitHyperlinkAbbrev"/>
          </w:rPr>
          <w:noBreakHyphen/>
          <w:t>9</w:t>
        </w:r>
      </w:hyperlink>
      <w:r w:rsidR="007752BB">
        <w:t xml:space="preserve"> r 30</w:t>
      </w:r>
    </w:p>
    <w:p w14:paraId="511A8859" w14:textId="77777777" w:rsidR="00D94935" w:rsidRPr="00140BF9" w:rsidRDefault="00D94935" w:rsidP="00D94935">
      <w:pPr>
        <w:pStyle w:val="AmdtsEntryHd"/>
        <w:rPr>
          <w:rFonts w:cs="Arial"/>
        </w:rPr>
      </w:pPr>
      <w:r w:rsidRPr="00140BF9">
        <w:rPr>
          <w:rFonts w:cs="Arial"/>
        </w:rPr>
        <w:t>Issuing subpoena to produce—originating application</w:t>
      </w:r>
    </w:p>
    <w:p w14:paraId="01ED9793" w14:textId="32F5E33F"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536"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12DCA2B2" w14:textId="77777777" w:rsidR="00D94935" w:rsidRPr="00140BF9" w:rsidRDefault="00D94935" w:rsidP="00D94935">
      <w:pPr>
        <w:pStyle w:val="AmdtsEntryHd"/>
        <w:rPr>
          <w:rFonts w:cs="Arial"/>
        </w:rPr>
      </w:pPr>
      <w:r w:rsidRPr="00140BF9">
        <w:rPr>
          <w:rFonts w:cs="Arial"/>
        </w:rPr>
        <w:t>Form of subpoena</w:t>
      </w:r>
    </w:p>
    <w:p w14:paraId="355A344C" w14:textId="77777777"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14:paraId="609529D7" w14:textId="0DE70660"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53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538"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14:paraId="5572FBF7" w14:textId="77777777" w:rsidR="00D94935" w:rsidRPr="00140BF9" w:rsidRDefault="00D94935" w:rsidP="00D94935">
      <w:pPr>
        <w:pStyle w:val="AmdtsEntryHd"/>
        <w:rPr>
          <w:rFonts w:cs="Arial"/>
        </w:rPr>
      </w:pPr>
      <w:r w:rsidRPr="00140BF9">
        <w:rPr>
          <w:rFonts w:cs="Arial"/>
        </w:rPr>
        <w:t>Subpoena—leave to serve late</w:t>
      </w:r>
    </w:p>
    <w:p w14:paraId="37390AEC" w14:textId="6C5A8A20"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53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14:paraId="2264D18F" w14:textId="7281D501" w:rsidR="00D94935" w:rsidRPr="00140BF9" w:rsidRDefault="00D94935" w:rsidP="00D94935">
      <w:pPr>
        <w:pStyle w:val="AmdtsEntries"/>
        <w:rPr>
          <w:rFonts w:cs="Arial"/>
        </w:rPr>
      </w:pPr>
      <w:r w:rsidRPr="00140BF9">
        <w:rPr>
          <w:rFonts w:cs="Arial"/>
        </w:rPr>
        <w:tab/>
        <w:t xml:space="preserve">am </w:t>
      </w:r>
      <w:hyperlink r:id="rId254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14:paraId="10C81BEA" w14:textId="77777777" w:rsidR="00D94935" w:rsidRPr="00140BF9" w:rsidRDefault="00D94935" w:rsidP="00D94935">
      <w:pPr>
        <w:pStyle w:val="AmdtsEntryHd"/>
        <w:rPr>
          <w:rFonts w:cs="Arial"/>
        </w:rPr>
      </w:pPr>
      <w:r w:rsidRPr="00140BF9">
        <w:rPr>
          <w:rFonts w:cs="Arial"/>
        </w:rPr>
        <w:lastRenderedPageBreak/>
        <w:t>Subpoena—change of date for attendance of production</w:t>
      </w:r>
    </w:p>
    <w:p w14:paraId="67E3A5FD" w14:textId="105CB063"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54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14:paraId="2363CDC7" w14:textId="77777777" w:rsidR="00D94935" w:rsidRPr="00140BF9" w:rsidRDefault="00D94935" w:rsidP="00D94935">
      <w:pPr>
        <w:pStyle w:val="AmdtsEntryHd"/>
        <w:rPr>
          <w:rFonts w:cs="Arial"/>
        </w:rPr>
      </w:pPr>
      <w:r w:rsidRPr="00140BF9">
        <w:rPr>
          <w:rFonts w:cs="Arial"/>
        </w:rPr>
        <w:t>Setting aside subpoena or other relief</w:t>
      </w:r>
    </w:p>
    <w:p w14:paraId="46DA103A" w14:textId="77777777"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14:paraId="36AD5F1B" w14:textId="77777777" w:rsidR="00D94935" w:rsidRPr="00140BF9" w:rsidRDefault="00D94935" w:rsidP="00D94935">
      <w:pPr>
        <w:pStyle w:val="AmdtsEntryHd"/>
        <w:rPr>
          <w:rFonts w:cs="Arial"/>
        </w:rPr>
      </w:pPr>
      <w:r w:rsidRPr="00140BF9">
        <w:rPr>
          <w:rFonts w:cs="Arial"/>
        </w:rPr>
        <w:t>Service of subpoena</w:t>
      </w:r>
    </w:p>
    <w:p w14:paraId="34266713" w14:textId="77777777"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14:paraId="404D1CB1" w14:textId="0BAD510B"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54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54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14:paraId="69529581" w14:textId="77777777" w:rsidR="00D94935" w:rsidRPr="00140BF9" w:rsidRDefault="00D94935" w:rsidP="00D94935">
      <w:pPr>
        <w:pStyle w:val="AmdtsEntryHd"/>
        <w:rPr>
          <w:rFonts w:cs="Arial"/>
        </w:rPr>
      </w:pPr>
      <w:r w:rsidRPr="00140BF9">
        <w:rPr>
          <w:rFonts w:cs="Arial"/>
        </w:rPr>
        <w:t>Compliance with subpoena</w:t>
      </w:r>
    </w:p>
    <w:p w14:paraId="203E6296" w14:textId="77777777"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14:paraId="1458DD7A" w14:textId="378C69C8"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54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54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546"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r w:rsidR="00F33DCC">
        <w:rPr>
          <w:rFonts w:cs="Arial"/>
        </w:rPr>
        <w:t xml:space="preserve">; </w:t>
      </w:r>
      <w:hyperlink r:id="rId2547" w:tooltip="Court Procedures Amendment Rules 2024 (No 2)" w:history="1">
        <w:r w:rsidR="00F33DCC">
          <w:rPr>
            <w:rStyle w:val="charCitHyperlinkAbbrev"/>
          </w:rPr>
          <w:t>SL2024</w:t>
        </w:r>
        <w:r w:rsidR="00F33DCC">
          <w:rPr>
            <w:rStyle w:val="charCitHyperlinkAbbrev"/>
          </w:rPr>
          <w:noBreakHyphen/>
          <w:t>37</w:t>
        </w:r>
      </w:hyperlink>
      <w:r w:rsidR="00F33DCC">
        <w:rPr>
          <w:rFonts w:cs="Arial"/>
        </w:rPr>
        <w:t xml:space="preserve"> r 8</w:t>
      </w:r>
    </w:p>
    <w:p w14:paraId="303541A6" w14:textId="77777777" w:rsidR="00D94935" w:rsidRPr="00140BF9" w:rsidRDefault="00D94935" w:rsidP="00D94935">
      <w:pPr>
        <w:pStyle w:val="AmdtsEntryHd"/>
        <w:rPr>
          <w:rFonts w:cs="Arial"/>
        </w:rPr>
      </w:pPr>
      <w:r w:rsidRPr="00140BF9">
        <w:rPr>
          <w:rFonts w:cs="Arial"/>
        </w:rPr>
        <w:t>Production of subpoenaed document etc otherwise than on attendance</w:t>
      </w:r>
    </w:p>
    <w:p w14:paraId="06245D37" w14:textId="77777777" w:rsidR="00D94935" w:rsidRDefault="00D94935" w:rsidP="00D94935">
      <w:pPr>
        <w:pStyle w:val="AmdtsEntries"/>
        <w:rPr>
          <w:rFonts w:eastAsiaTheme="minorEastAsia" w:cs="Arial"/>
          <w:szCs w:val="22"/>
          <w:lang w:eastAsia="en-AU"/>
        </w:rPr>
      </w:pPr>
      <w:r w:rsidRPr="00140BF9">
        <w:rPr>
          <w:rFonts w:cs="Arial"/>
        </w:rPr>
        <w:t>r 6607 hdg</w:t>
      </w:r>
      <w:r w:rsidRPr="00140BF9">
        <w:rPr>
          <w:rFonts w:eastAsiaTheme="minorEastAsia" w:cs="Arial"/>
          <w:szCs w:val="22"/>
          <w:lang w:eastAsia="en-AU"/>
        </w:rPr>
        <w:tab/>
        <w:t>bracketed note om R29 LA</w:t>
      </w:r>
    </w:p>
    <w:p w14:paraId="3C36E6DD" w14:textId="7297D510" w:rsidR="00F33DCC" w:rsidRPr="00140BF9" w:rsidRDefault="00F33DCC" w:rsidP="00D94935">
      <w:pPr>
        <w:pStyle w:val="AmdtsEntries"/>
        <w:rPr>
          <w:rFonts w:cs="Arial"/>
        </w:rPr>
      </w:pPr>
      <w:r>
        <w:rPr>
          <w:rFonts w:eastAsiaTheme="minorEastAsia" w:cs="Arial"/>
          <w:szCs w:val="22"/>
          <w:lang w:eastAsia="en-AU"/>
        </w:rPr>
        <w:t>r 6607</w:t>
      </w:r>
      <w:r>
        <w:rPr>
          <w:rFonts w:eastAsiaTheme="minorEastAsia" w:cs="Arial"/>
          <w:szCs w:val="22"/>
          <w:lang w:eastAsia="en-AU"/>
        </w:rPr>
        <w:tab/>
        <w:t xml:space="preserve">am </w:t>
      </w:r>
      <w:hyperlink r:id="rId2548" w:tooltip="Court Procedures Amendment Rules 2024 (No 2)" w:history="1">
        <w:r>
          <w:rPr>
            <w:rStyle w:val="charCitHyperlinkAbbrev"/>
          </w:rPr>
          <w:t>SL2024</w:t>
        </w:r>
        <w:r>
          <w:rPr>
            <w:rStyle w:val="charCitHyperlinkAbbrev"/>
          </w:rPr>
          <w:noBreakHyphen/>
          <w:t>37</w:t>
        </w:r>
      </w:hyperlink>
      <w:r>
        <w:rPr>
          <w:rFonts w:eastAsiaTheme="minorEastAsia" w:cs="Arial"/>
          <w:szCs w:val="22"/>
          <w:lang w:eastAsia="en-AU"/>
        </w:rPr>
        <w:t xml:space="preserve"> r 9</w:t>
      </w:r>
    </w:p>
    <w:p w14:paraId="254AA719" w14:textId="6703FB8A" w:rsidR="00F33DCC" w:rsidRDefault="00F33DCC" w:rsidP="00D94935">
      <w:pPr>
        <w:pStyle w:val="AmdtsEntryHd"/>
      </w:pPr>
      <w:r w:rsidRPr="004D5231">
        <w:t>Addressee declaration on production of subpoenaed document or thing</w:t>
      </w:r>
    </w:p>
    <w:p w14:paraId="6F871695" w14:textId="366BA8C0" w:rsidR="00F33DCC" w:rsidRPr="00F33DCC" w:rsidRDefault="00F33DCC" w:rsidP="00F33DCC">
      <w:pPr>
        <w:pStyle w:val="AmdtsEntries"/>
      </w:pPr>
      <w:r>
        <w:t>r 6607A</w:t>
      </w:r>
      <w:r>
        <w:tab/>
        <w:t xml:space="preserve">ins </w:t>
      </w:r>
      <w:hyperlink r:id="rId2549" w:tooltip="Court Procedures Amendment Rules 2024 (No 2)" w:history="1">
        <w:r>
          <w:rPr>
            <w:rStyle w:val="charCitHyperlinkAbbrev"/>
          </w:rPr>
          <w:t>SL2024</w:t>
        </w:r>
        <w:r>
          <w:rPr>
            <w:rStyle w:val="charCitHyperlinkAbbrev"/>
          </w:rPr>
          <w:noBreakHyphen/>
          <w:t>37</w:t>
        </w:r>
      </w:hyperlink>
      <w:r>
        <w:t xml:space="preserve"> r 10</w:t>
      </w:r>
    </w:p>
    <w:p w14:paraId="3C18CDA3" w14:textId="21BB30C5" w:rsidR="00D94935" w:rsidRPr="00140BF9" w:rsidRDefault="00D94935" w:rsidP="00D94935">
      <w:pPr>
        <w:pStyle w:val="AmdtsEntryHd"/>
        <w:rPr>
          <w:rFonts w:cs="Arial"/>
        </w:rPr>
      </w:pPr>
      <w:r w:rsidRPr="00140BF9">
        <w:rPr>
          <w:rFonts w:cs="Arial"/>
        </w:rPr>
        <w:t>Removal, return, inspection etc of subpoenaed documents and things</w:t>
      </w:r>
    </w:p>
    <w:p w14:paraId="1E95CB12" w14:textId="77777777"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14:paraId="739C37BE" w14:textId="77777777" w:rsidR="00D94935" w:rsidRPr="00140BF9" w:rsidRDefault="00D94935" w:rsidP="00D94935">
      <w:pPr>
        <w:pStyle w:val="AmdtsEntryHd"/>
        <w:rPr>
          <w:rFonts w:cs="Arial"/>
        </w:rPr>
      </w:pPr>
      <w:r w:rsidRPr="00140BF9">
        <w:rPr>
          <w:rFonts w:cs="Arial"/>
        </w:rPr>
        <w:t>Inspection of, and dealing with, subpoenaed documents and things produced otherwise than on attendance</w:t>
      </w:r>
    </w:p>
    <w:p w14:paraId="4B137BCB" w14:textId="77777777"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14:paraId="4580F9AE" w14:textId="2C56BCE5"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55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551"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r w:rsidR="00F33DCC">
        <w:rPr>
          <w:rFonts w:eastAsiaTheme="minorEastAsia" w:cs="Arial"/>
          <w:szCs w:val="22"/>
          <w:lang w:eastAsia="en-AU"/>
        </w:rPr>
        <w:t xml:space="preserve">; </w:t>
      </w:r>
      <w:hyperlink r:id="rId2552" w:tooltip="Court Procedures Amendment Rules 2024 (No 2)" w:history="1">
        <w:r w:rsidR="00F33DCC">
          <w:rPr>
            <w:rStyle w:val="charCitHyperlinkAbbrev"/>
          </w:rPr>
          <w:t>SL2024</w:t>
        </w:r>
        <w:r w:rsidR="00F33DCC">
          <w:rPr>
            <w:rStyle w:val="charCitHyperlinkAbbrev"/>
          </w:rPr>
          <w:noBreakHyphen/>
          <w:t>37</w:t>
        </w:r>
      </w:hyperlink>
      <w:r w:rsidR="00F33DCC">
        <w:rPr>
          <w:rFonts w:eastAsiaTheme="minorEastAsia" w:cs="Arial"/>
          <w:szCs w:val="22"/>
          <w:lang w:eastAsia="en-AU"/>
        </w:rPr>
        <w:t xml:space="preserve"> r 11; </w:t>
      </w:r>
      <w:r w:rsidR="00C32184">
        <w:rPr>
          <w:rFonts w:eastAsiaTheme="minorEastAsia" w:cs="Arial"/>
          <w:szCs w:val="22"/>
          <w:lang w:eastAsia="en-AU"/>
        </w:rPr>
        <w:t>rr </w:t>
      </w:r>
      <w:r w:rsidR="00F33DCC">
        <w:rPr>
          <w:rFonts w:eastAsiaTheme="minorEastAsia" w:cs="Arial"/>
          <w:szCs w:val="22"/>
          <w:lang w:eastAsia="en-AU"/>
        </w:rPr>
        <w:t>renum R69 LA</w:t>
      </w:r>
    </w:p>
    <w:p w14:paraId="7FF7675E" w14:textId="12F9371B" w:rsidR="00D94935" w:rsidRPr="00140BF9" w:rsidRDefault="00F33DCC" w:rsidP="00D94935">
      <w:pPr>
        <w:pStyle w:val="AmdtsEntryHd"/>
        <w:rPr>
          <w:rFonts w:cs="Arial"/>
        </w:rPr>
      </w:pPr>
      <w:r w:rsidRPr="004D5231">
        <w:t>Return or disposal of subpoenaed documents and things produced</w:t>
      </w:r>
    </w:p>
    <w:p w14:paraId="51457536" w14:textId="137ED8DF"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55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14:paraId="70AE8064" w14:textId="72B404EE" w:rsidR="00D94935" w:rsidRDefault="00D94935" w:rsidP="00D94935">
      <w:pPr>
        <w:pStyle w:val="AmdtsEntries"/>
        <w:rPr>
          <w:rFonts w:cs="Arial"/>
        </w:rPr>
      </w:pPr>
      <w:r w:rsidRPr="00140BF9">
        <w:rPr>
          <w:rFonts w:cs="Arial"/>
        </w:rPr>
        <w:tab/>
        <w:t xml:space="preserve">am </w:t>
      </w:r>
      <w:hyperlink r:id="rId2554" w:tooltip="Court Procedures Amendment Rules 2013 (No 1)" w:history="1">
        <w:r w:rsidRPr="00140BF9">
          <w:rPr>
            <w:rStyle w:val="charCitHyperlinkAbbrev"/>
            <w:rFonts w:cs="Arial"/>
          </w:rPr>
          <w:t>SL2013-18</w:t>
        </w:r>
      </w:hyperlink>
      <w:r w:rsidRPr="00140BF9">
        <w:rPr>
          <w:rFonts w:cs="Arial"/>
        </w:rPr>
        <w:t xml:space="preserve"> r 24, r 25; ss renum R34 LA</w:t>
      </w:r>
    </w:p>
    <w:p w14:paraId="4CC4EDDA" w14:textId="23533FDC" w:rsidR="00F33DCC" w:rsidRPr="00140BF9" w:rsidRDefault="00F33DCC" w:rsidP="00D94935">
      <w:pPr>
        <w:pStyle w:val="AmdtsEntries"/>
        <w:rPr>
          <w:rFonts w:cs="Arial"/>
        </w:rPr>
      </w:pPr>
      <w:r>
        <w:rPr>
          <w:rFonts w:cs="Arial"/>
        </w:rPr>
        <w:tab/>
        <w:t xml:space="preserve">sub </w:t>
      </w:r>
      <w:hyperlink r:id="rId2555" w:tooltip="Court Procedures Amendment Rules 2024 (No 2)" w:history="1">
        <w:r>
          <w:rPr>
            <w:rStyle w:val="charCitHyperlinkAbbrev"/>
          </w:rPr>
          <w:t>SL2024</w:t>
        </w:r>
        <w:r>
          <w:rPr>
            <w:rStyle w:val="charCitHyperlinkAbbrev"/>
          </w:rPr>
          <w:noBreakHyphen/>
          <w:t>37</w:t>
        </w:r>
      </w:hyperlink>
      <w:r>
        <w:rPr>
          <w:rFonts w:cs="Arial"/>
        </w:rPr>
        <w:t xml:space="preserve"> r 12</w:t>
      </w:r>
    </w:p>
    <w:p w14:paraId="71806C1E" w14:textId="77777777" w:rsidR="00D94935" w:rsidRPr="00140BF9" w:rsidRDefault="00D94935" w:rsidP="00D94935">
      <w:pPr>
        <w:pStyle w:val="AmdtsEntryHd"/>
        <w:rPr>
          <w:rFonts w:cs="Arial"/>
        </w:rPr>
      </w:pPr>
      <w:r w:rsidRPr="00140BF9">
        <w:rPr>
          <w:rFonts w:cs="Arial"/>
        </w:rPr>
        <w:t>Costs and expenses of compliance with subpoena</w:t>
      </w:r>
    </w:p>
    <w:p w14:paraId="66C0BB66" w14:textId="77777777"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14:paraId="0AE225AE" w14:textId="77777777" w:rsidR="00D94935" w:rsidRPr="00140BF9" w:rsidRDefault="00D94935" w:rsidP="00D94935">
      <w:pPr>
        <w:pStyle w:val="AmdtsEntryHd"/>
        <w:rPr>
          <w:rFonts w:cs="Arial"/>
        </w:rPr>
      </w:pPr>
      <w:r w:rsidRPr="00140BF9">
        <w:rPr>
          <w:rFonts w:cs="Arial"/>
        </w:rPr>
        <w:t>Failure to comply with subpoena—contempt of court</w:t>
      </w:r>
    </w:p>
    <w:p w14:paraId="20CC2DB9" w14:textId="77777777"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14:paraId="5402DDCF" w14:textId="77777777" w:rsidR="00D94935" w:rsidRPr="00140BF9" w:rsidRDefault="00D94935" w:rsidP="00D94935">
      <w:pPr>
        <w:pStyle w:val="AmdtsEntryHd"/>
        <w:rPr>
          <w:rFonts w:cs="Arial"/>
        </w:rPr>
      </w:pPr>
      <w:r w:rsidRPr="00140BF9">
        <w:rPr>
          <w:rFonts w:cs="Arial"/>
        </w:rPr>
        <w:t>Documents and things in custody of court</w:t>
      </w:r>
    </w:p>
    <w:p w14:paraId="0D04329B" w14:textId="77777777"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14:paraId="75162711" w14:textId="77777777" w:rsidR="00D94935" w:rsidRPr="00140BF9" w:rsidRDefault="00D94935" w:rsidP="00D94935">
      <w:pPr>
        <w:pStyle w:val="AmdtsEntryHd"/>
        <w:rPr>
          <w:rFonts w:cs="Arial"/>
        </w:rPr>
      </w:pPr>
      <w:r w:rsidRPr="00140BF9">
        <w:rPr>
          <w:rFonts w:cs="Arial"/>
        </w:rPr>
        <w:t>Application of pt 6.9—subpoena under Commercial Arbitration Act</w:t>
      </w:r>
    </w:p>
    <w:p w14:paraId="6DE5B14E" w14:textId="77777777"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14:paraId="1FD0008A" w14:textId="7703AD40"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55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r w:rsidR="00F33DCC">
        <w:rPr>
          <w:rFonts w:eastAsiaTheme="minorEastAsia" w:cs="Arial"/>
          <w:szCs w:val="22"/>
          <w:lang w:eastAsia="en-AU"/>
        </w:rPr>
        <w:t xml:space="preserve">; </w:t>
      </w:r>
      <w:hyperlink r:id="rId2557" w:tooltip="Court Procedures Amendment Rules 2024 (No 2)" w:history="1">
        <w:r w:rsidR="00F33DCC">
          <w:rPr>
            <w:rStyle w:val="charCitHyperlinkAbbrev"/>
          </w:rPr>
          <w:t>SL2024</w:t>
        </w:r>
        <w:r w:rsidR="00F33DCC">
          <w:rPr>
            <w:rStyle w:val="charCitHyperlinkAbbrev"/>
          </w:rPr>
          <w:noBreakHyphen/>
          <w:t>37</w:t>
        </w:r>
      </w:hyperlink>
      <w:r w:rsidR="00F33DCC">
        <w:rPr>
          <w:rFonts w:eastAsiaTheme="minorEastAsia" w:cs="Arial"/>
          <w:szCs w:val="22"/>
          <w:lang w:eastAsia="en-AU"/>
        </w:rPr>
        <w:t xml:space="preserve"> r 13</w:t>
      </w:r>
    </w:p>
    <w:p w14:paraId="09B163B6" w14:textId="77777777" w:rsidR="00D94935" w:rsidRPr="00140BF9" w:rsidRDefault="00D94935" w:rsidP="00D94935">
      <w:pPr>
        <w:pStyle w:val="AmdtsEntryHd"/>
        <w:rPr>
          <w:rFonts w:cs="Arial"/>
        </w:rPr>
      </w:pPr>
      <w:r w:rsidRPr="00140BF9">
        <w:rPr>
          <w:rFonts w:cs="Arial"/>
        </w:rPr>
        <w:t>Subpoena issued by ACAT—leave to serve outside ACT</w:t>
      </w:r>
    </w:p>
    <w:p w14:paraId="754AEBB8" w14:textId="06E054C2"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55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14:paraId="493D7852" w14:textId="5759E1C0" w:rsidR="00662222" w:rsidRDefault="00662222" w:rsidP="00D94935">
      <w:pPr>
        <w:pStyle w:val="AmdtsEntryHd"/>
        <w:rPr>
          <w:rFonts w:cs="Arial"/>
        </w:rPr>
      </w:pPr>
      <w:r w:rsidRPr="00E41162">
        <w:lastRenderedPageBreak/>
        <w:t>Examination summons issued by ACT Integrity Commission—leave to serve outside ACT</w:t>
      </w:r>
    </w:p>
    <w:p w14:paraId="1772DE92" w14:textId="5D1B034D" w:rsidR="00662222" w:rsidRPr="00662222" w:rsidRDefault="00662222" w:rsidP="00662222">
      <w:pPr>
        <w:pStyle w:val="AmdtsEntries"/>
      </w:pPr>
      <w:r>
        <w:t>r 6615A</w:t>
      </w:r>
      <w:r>
        <w:tab/>
        <w:t xml:space="preserve">ins </w:t>
      </w:r>
      <w:hyperlink r:id="rId2559" w:tooltip="Court Procedures Amendment Rules 2020 (No 5)" w:history="1">
        <w:r>
          <w:rPr>
            <w:rStyle w:val="charCitHyperlinkAbbrev"/>
          </w:rPr>
          <w:t>SL2020</w:t>
        </w:r>
        <w:r>
          <w:rPr>
            <w:rStyle w:val="charCitHyperlinkAbbrev"/>
          </w:rPr>
          <w:noBreakHyphen/>
          <w:t>45</w:t>
        </w:r>
      </w:hyperlink>
      <w:r>
        <w:t xml:space="preserve"> r 14</w:t>
      </w:r>
    </w:p>
    <w:p w14:paraId="5641F14C" w14:textId="563DB3E7" w:rsidR="00D94935" w:rsidRPr="00140BF9" w:rsidRDefault="00D94935" w:rsidP="00D94935">
      <w:pPr>
        <w:pStyle w:val="AmdtsEntryHd"/>
        <w:rPr>
          <w:rFonts w:cs="Arial"/>
        </w:rPr>
      </w:pPr>
      <w:r w:rsidRPr="00140BF9">
        <w:rPr>
          <w:rFonts w:cs="Arial"/>
        </w:rPr>
        <w:t>Way evidence given—civil proceedings</w:t>
      </w:r>
    </w:p>
    <w:p w14:paraId="3AD2C966" w14:textId="77777777"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14:paraId="43853143" w14:textId="4D4B5689"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56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56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56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5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14:paraId="67BF9DB2" w14:textId="77777777" w:rsidR="00D94935" w:rsidRPr="00140BF9" w:rsidRDefault="00D94935" w:rsidP="00D94935">
      <w:pPr>
        <w:pStyle w:val="AmdtsEntryHd"/>
        <w:rPr>
          <w:rFonts w:cs="Arial"/>
        </w:rPr>
      </w:pPr>
      <w:r w:rsidRPr="00140BF9">
        <w:rPr>
          <w:rFonts w:cs="Arial"/>
        </w:rPr>
        <w:t>Evidence on affidavit by agreement—civil proceedings</w:t>
      </w:r>
    </w:p>
    <w:p w14:paraId="3D11A502" w14:textId="77777777"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14:paraId="68F4146B" w14:textId="77777777" w:rsidR="00D94935" w:rsidRPr="00140BF9" w:rsidRDefault="00D94935" w:rsidP="00D94935">
      <w:pPr>
        <w:pStyle w:val="AmdtsEntryHd"/>
        <w:rPr>
          <w:rFonts w:cs="Arial"/>
        </w:rPr>
      </w:pPr>
      <w:r w:rsidRPr="00140BF9">
        <w:rPr>
          <w:rFonts w:cs="Arial"/>
        </w:rPr>
        <w:t>Evidence in another civil proceeding etc</w:t>
      </w:r>
    </w:p>
    <w:p w14:paraId="76C02CC7" w14:textId="77777777"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14:paraId="4582BB50" w14:textId="77777777" w:rsidR="00D94935" w:rsidRPr="00140BF9" w:rsidRDefault="00D94935" w:rsidP="00D94935">
      <w:pPr>
        <w:pStyle w:val="AmdtsEntryHd"/>
        <w:rPr>
          <w:rFonts w:cs="Arial"/>
        </w:rPr>
      </w:pPr>
      <w:r w:rsidRPr="00140BF9">
        <w:rPr>
          <w:rFonts w:cs="Arial"/>
        </w:rPr>
        <w:t>Evidence by telephone etc</w:t>
      </w:r>
    </w:p>
    <w:p w14:paraId="4358D0FE" w14:textId="77777777"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14:paraId="41566D73" w14:textId="7AC7F32C"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56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565" w:tooltip="Crimes (Domestic and Family Violence) Legislation Amendment Act 2015" w:history="1">
        <w:r w:rsidR="00D14070" w:rsidRPr="00C91793">
          <w:rPr>
            <w:rStyle w:val="charCitHyperlinkAbbrev"/>
          </w:rPr>
          <w:t>A2015-40</w:t>
        </w:r>
      </w:hyperlink>
      <w:r w:rsidR="00D14070">
        <w:t xml:space="preserve"> amdt 1.6, amdt 1.7</w:t>
      </w:r>
    </w:p>
    <w:p w14:paraId="2BB1B211" w14:textId="77777777" w:rsidR="00D94935" w:rsidRPr="00140BF9" w:rsidRDefault="00D94935" w:rsidP="00D94935">
      <w:pPr>
        <w:pStyle w:val="AmdtsEntryHd"/>
        <w:rPr>
          <w:rFonts w:cs="Arial"/>
        </w:rPr>
      </w:pPr>
      <w:r w:rsidRPr="00140BF9">
        <w:rPr>
          <w:rFonts w:cs="Arial"/>
        </w:rPr>
        <w:t>Plans, photographs, video or audio recordings and models</w:t>
      </w:r>
    </w:p>
    <w:p w14:paraId="5B08EF1F" w14:textId="77777777"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14:paraId="00CA53E7" w14:textId="77777777" w:rsidR="00D94935" w:rsidRPr="00140BF9" w:rsidRDefault="00D94935" w:rsidP="00D94935">
      <w:pPr>
        <w:pStyle w:val="AmdtsEntryHd"/>
        <w:rPr>
          <w:rFonts w:cs="Arial"/>
        </w:rPr>
      </w:pPr>
      <w:r w:rsidRPr="00140BF9">
        <w:rPr>
          <w:rFonts w:cs="Arial"/>
        </w:rPr>
        <w:t>Affidavit—form</w:t>
      </w:r>
    </w:p>
    <w:p w14:paraId="6D017E03" w14:textId="77777777"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14:paraId="6D4C22AA" w14:textId="2DFB912E"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5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14:paraId="1CDAB697" w14:textId="77777777" w:rsidR="00D94935" w:rsidRPr="00140BF9" w:rsidRDefault="00D94935" w:rsidP="00D94935">
      <w:pPr>
        <w:pStyle w:val="AmdtsEntryHd"/>
        <w:rPr>
          <w:rFonts w:cs="Arial"/>
        </w:rPr>
      </w:pPr>
      <w:r w:rsidRPr="00140BF9">
        <w:rPr>
          <w:rFonts w:cs="Arial"/>
        </w:rPr>
        <w:t>Affidavit—contents</w:t>
      </w:r>
    </w:p>
    <w:p w14:paraId="0D9B88D0" w14:textId="77777777"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14:paraId="22DC51C1" w14:textId="622AFC5E"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56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14:paraId="793929CF" w14:textId="77777777" w:rsidR="00D94935" w:rsidRPr="00140BF9" w:rsidRDefault="00D94935" w:rsidP="00D94935">
      <w:pPr>
        <w:pStyle w:val="AmdtsEntryHd"/>
        <w:rPr>
          <w:rFonts w:cs="Arial"/>
        </w:rPr>
      </w:pPr>
      <w:r w:rsidRPr="00140BF9">
        <w:rPr>
          <w:rFonts w:cs="Arial"/>
        </w:rPr>
        <w:t>Affidavit—annexures and exhibits</w:t>
      </w:r>
    </w:p>
    <w:p w14:paraId="2105DC18" w14:textId="77777777" w:rsidR="00D94935" w:rsidRPr="00140BF9" w:rsidRDefault="00D94935" w:rsidP="00332224">
      <w:pPr>
        <w:pStyle w:val="AmdtsEntries"/>
        <w:keepNext/>
        <w:rPr>
          <w:rFonts w:cs="Arial"/>
        </w:rPr>
      </w:pPr>
      <w:r w:rsidRPr="00140BF9">
        <w:rPr>
          <w:rFonts w:cs="Arial"/>
        </w:rPr>
        <w:t>r 6712 hdg</w:t>
      </w:r>
      <w:r w:rsidRPr="00140BF9">
        <w:rPr>
          <w:rFonts w:eastAsiaTheme="minorEastAsia" w:cs="Arial"/>
          <w:szCs w:val="22"/>
          <w:lang w:eastAsia="en-AU"/>
        </w:rPr>
        <w:tab/>
        <w:t>bracketed note om R29 LA</w:t>
      </w:r>
    </w:p>
    <w:p w14:paraId="78D93BCA" w14:textId="04FADE05"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56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5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570"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r w:rsidR="006175F4">
        <w:rPr>
          <w:rFonts w:eastAsiaTheme="minorEastAsia" w:cs="Arial"/>
          <w:szCs w:val="22"/>
          <w:lang w:eastAsia="en-AU"/>
        </w:rPr>
        <w:t xml:space="preserve">; </w:t>
      </w:r>
      <w:hyperlink r:id="rId2571" w:tooltip="Court Procedures Amendment Rules 2021 (No 1)" w:history="1">
        <w:r w:rsidR="006175F4">
          <w:rPr>
            <w:rStyle w:val="charCitHyperlinkAbbrev"/>
          </w:rPr>
          <w:t>SL2021</w:t>
        </w:r>
        <w:r w:rsidR="006175F4">
          <w:rPr>
            <w:rStyle w:val="charCitHyperlinkAbbrev"/>
          </w:rPr>
          <w:noBreakHyphen/>
          <w:t>15</w:t>
        </w:r>
      </w:hyperlink>
      <w:r w:rsidR="006175F4">
        <w:rPr>
          <w:rFonts w:eastAsiaTheme="minorEastAsia" w:cs="Arial"/>
          <w:szCs w:val="22"/>
          <w:lang w:eastAsia="en-AU"/>
        </w:rPr>
        <w:t xml:space="preserve"> rr 9-11</w:t>
      </w:r>
      <w:r w:rsidR="00A805BE">
        <w:rPr>
          <w:rFonts w:eastAsiaTheme="minorEastAsia" w:cs="Arial"/>
          <w:szCs w:val="22"/>
          <w:lang w:eastAsia="en-AU"/>
        </w:rPr>
        <w:t xml:space="preserve">; </w:t>
      </w:r>
      <w:r w:rsidR="00854445">
        <w:rPr>
          <w:rFonts w:eastAsiaTheme="minorEastAsia" w:cs="Arial"/>
          <w:szCs w:val="22"/>
          <w:lang w:eastAsia="en-AU"/>
        </w:rPr>
        <w:t>rr</w:t>
      </w:r>
      <w:r w:rsidR="00A805BE">
        <w:rPr>
          <w:rFonts w:eastAsiaTheme="minorEastAsia" w:cs="Arial"/>
          <w:szCs w:val="22"/>
          <w:lang w:eastAsia="en-AU"/>
        </w:rPr>
        <w:t xml:space="preserve"> renum R61 LA</w:t>
      </w:r>
    </w:p>
    <w:p w14:paraId="40D7A1A1" w14:textId="77777777" w:rsidR="00D94935" w:rsidRPr="00140BF9" w:rsidRDefault="00D94935" w:rsidP="00D94935">
      <w:pPr>
        <w:pStyle w:val="AmdtsEntryHd"/>
        <w:rPr>
          <w:rFonts w:cs="Arial"/>
        </w:rPr>
      </w:pPr>
      <w:r w:rsidRPr="00140BF9">
        <w:rPr>
          <w:rFonts w:cs="Arial"/>
        </w:rPr>
        <w:t>Affidavit—document included in</w:t>
      </w:r>
    </w:p>
    <w:p w14:paraId="2B607109" w14:textId="77777777"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14:paraId="2DDD2E0D" w14:textId="77777777" w:rsidR="00D94935" w:rsidRPr="00140BF9" w:rsidRDefault="00D94935" w:rsidP="00D94935">
      <w:pPr>
        <w:pStyle w:val="AmdtsEntryHd"/>
        <w:rPr>
          <w:rFonts w:cs="Arial"/>
        </w:rPr>
      </w:pPr>
      <w:r w:rsidRPr="00140BF9">
        <w:rPr>
          <w:rFonts w:cs="Arial"/>
        </w:rPr>
        <w:t>Affidavit—when may be taken</w:t>
      </w:r>
    </w:p>
    <w:p w14:paraId="193C8304" w14:textId="77777777"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14:paraId="417ADF35" w14:textId="77777777" w:rsidR="00D94935" w:rsidRPr="00140BF9" w:rsidRDefault="00D94935" w:rsidP="00D94935">
      <w:pPr>
        <w:pStyle w:val="AmdtsEntryHd"/>
        <w:rPr>
          <w:rFonts w:cs="Arial"/>
        </w:rPr>
      </w:pPr>
      <w:r w:rsidRPr="00140BF9">
        <w:rPr>
          <w:rFonts w:cs="Arial"/>
        </w:rPr>
        <w:t>Affidavit—taking of</w:t>
      </w:r>
    </w:p>
    <w:p w14:paraId="21D1DB48" w14:textId="77777777"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14:paraId="0AD629A2" w14:textId="2E4D0B08"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57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14:paraId="5507E279" w14:textId="77777777" w:rsidR="00D94935" w:rsidRPr="00140BF9" w:rsidRDefault="00D94935" w:rsidP="00D94935">
      <w:pPr>
        <w:pStyle w:val="AmdtsEntryHd"/>
        <w:rPr>
          <w:rFonts w:cs="Arial"/>
        </w:rPr>
      </w:pPr>
      <w:r w:rsidRPr="00140BF9">
        <w:rPr>
          <w:rFonts w:cs="Arial"/>
        </w:rPr>
        <w:t>Affidavit—certificate of reading or signature for person making</w:t>
      </w:r>
    </w:p>
    <w:p w14:paraId="2A8825C2" w14:textId="77777777"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14:paraId="441D493C" w14:textId="77777777" w:rsidR="00D94935" w:rsidRPr="00140BF9" w:rsidRDefault="00D94935" w:rsidP="00D94935">
      <w:pPr>
        <w:pStyle w:val="AmdtsEntryHd"/>
        <w:rPr>
          <w:rFonts w:cs="Arial"/>
        </w:rPr>
      </w:pPr>
      <w:r w:rsidRPr="00140BF9">
        <w:rPr>
          <w:rFonts w:cs="Arial"/>
        </w:rPr>
        <w:t>Affidavit—alterations in</w:t>
      </w:r>
    </w:p>
    <w:p w14:paraId="328F60C2" w14:textId="77777777"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14:paraId="417FC3C6" w14:textId="77777777" w:rsidR="00D94935" w:rsidRPr="00140BF9" w:rsidRDefault="00D94935" w:rsidP="00D94935">
      <w:pPr>
        <w:pStyle w:val="AmdtsEntryHd"/>
        <w:rPr>
          <w:rFonts w:cs="Arial"/>
        </w:rPr>
      </w:pPr>
      <w:r w:rsidRPr="00140BF9">
        <w:rPr>
          <w:rFonts w:cs="Arial"/>
        </w:rPr>
        <w:t>Affidavit—filing and service</w:t>
      </w:r>
    </w:p>
    <w:p w14:paraId="5D865FD7" w14:textId="77777777"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14:paraId="07179DF1" w14:textId="77777777" w:rsidR="00D94935" w:rsidRPr="00140BF9" w:rsidRDefault="00D94935" w:rsidP="00D94935">
      <w:pPr>
        <w:pStyle w:val="AmdtsEntryHd"/>
        <w:rPr>
          <w:rFonts w:cs="Arial"/>
        </w:rPr>
      </w:pPr>
      <w:r w:rsidRPr="00140BF9">
        <w:rPr>
          <w:rFonts w:cs="Arial"/>
        </w:rPr>
        <w:lastRenderedPageBreak/>
        <w:t>Affidavit—irregular in form</w:t>
      </w:r>
    </w:p>
    <w:p w14:paraId="3012CA11" w14:textId="77777777"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14:paraId="5BDECBC3" w14:textId="77777777" w:rsidR="00D94935" w:rsidRPr="00140BF9" w:rsidRDefault="00D94935" w:rsidP="00D94935">
      <w:pPr>
        <w:pStyle w:val="AmdtsEntryHd"/>
        <w:rPr>
          <w:rFonts w:cs="Arial"/>
        </w:rPr>
      </w:pPr>
      <w:r w:rsidRPr="00140BF9">
        <w:rPr>
          <w:rFonts w:cs="Arial"/>
        </w:rPr>
        <w:t>Affidavit—scandalous matter etc</w:t>
      </w:r>
    </w:p>
    <w:p w14:paraId="0D3BCCA9" w14:textId="77777777"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14:paraId="4A273A8C" w14:textId="77777777" w:rsidR="00D94935" w:rsidRPr="00140BF9" w:rsidRDefault="00D94935" w:rsidP="00D94935">
      <w:pPr>
        <w:pStyle w:val="AmdtsEntryHd"/>
        <w:rPr>
          <w:rFonts w:cs="Arial"/>
        </w:rPr>
      </w:pPr>
      <w:r w:rsidRPr="00140BF9">
        <w:rPr>
          <w:rFonts w:cs="Arial"/>
        </w:rPr>
        <w:t>Affidavit—cross-examination of maker</w:t>
      </w:r>
    </w:p>
    <w:p w14:paraId="5DFDEDD1" w14:textId="77777777"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14:paraId="71994669" w14:textId="77777777" w:rsidR="00D94935" w:rsidRPr="00140BF9" w:rsidRDefault="00D94935" w:rsidP="00D94935">
      <w:pPr>
        <w:pStyle w:val="AmdtsEntryHd"/>
        <w:rPr>
          <w:rFonts w:cs="Arial"/>
        </w:rPr>
      </w:pPr>
      <w:r w:rsidRPr="00140BF9">
        <w:rPr>
          <w:rFonts w:cs="Arial"/>
        </w:rPr>
        <w:t>Affidavit—taken before party</w:t>
      </w:r>
    </w:p>
    <w:p w14:paraId="202F2208" w14:textId="77777777"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14:paraId="4B39585C" w14:textId="77777777" w:rsidR="00D94935" w:rsidRDefault="00D94935" w:rsidP="00D94935">
      <w:pPr>
        <w:pStyle w:val="AmdtsEntryHd"/>
        <w:rPr>
          <w:rFonts w:cs="Arial"/>
        </w:rPr>
      </w:pPr>
      <w:r w:rsidRPr="00F724F3">
        <w:t>Exchange of correspondence before making application in proceeding</w:t>
      </w:r>
    </w:p>
    <w:p w14:paraId="71FF97E3" w14:textId="751016E9" w:rsidR="00D94935" w:rsidRPr="00EC548E" w:rsidRDefault="00D94935" w:rsidP="00D94935">
      <w:pPr>
        <w:pStyle w:val="AmdtsEntries"/>
      </w:pPr>
      <w:r>
        <w:t>div 6.10.3 hdg</w:t>
      </w:r>
      <w:r>
        <w:tab/>
        <w:t xml:space="preserve">om </w:t>
      </w:r>
      <w:hyperlink r:id="rId25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572D0D4" w14:textId="77777777" w:rsidR="00D94935" w:rsidRPr="00140BF9" w:rsidRDefault="00D94935" w:rsidP="00D94935">
      <w:pPr>
        <w:pStyle w:val="AmdtsEntryHd"/>
        <w:rPr>
          <w:rFonts w:cs="Arial"/>
        </w:rPr>
      </w:pPr>
      <w:r w:rsidRPr="00140BF9">
        <w:rPr>
          <w:rFonts w:cs="Arial"/>
        </w:rPr>
        <w:t>Definitions—div 6.10.3</w:t>
      </w:r>
    </w:p>
    <w:p w14:paraId="50C24E79" w14:textId="77777777"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14:paraId="494962BB" w14:textId="4A5C1395"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5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1F5D738E" w14:textId="3BD63ECA"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5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5F26DD56" w14:textId="47034826"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5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1060268" w14:textId="188A23BE"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5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0E974BA4" w14:textId="77777777" w:rsidR="00D94935" w:rsidRPr="00140BF9" w:rsidRDefault="00D94935" w:rsidP="00D94935">
      <w:pPr>
        <w:pStyle w:val="AmdtsEntryHd"/>
        <w:rPr>
          <w:rFonts w:cs="Arial"/>
        </w:rPr>
      </w:pPr>
      <w:r w:rsidRPr="00140BF9">
        <w:rPr>
          <w:rFonts w:cs="Arial"/>
        </w:rPr>
        <w:t>Application—div 6.10.3</w:t>
      </w:r>
    </w:p>
    <w:p w14:paraId="5D3D8FCB" w14:textId="77777777"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14:paraId="1DC247F3" w14:textId="768FAD23"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5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14EE9A7" w14:textId="77777777" w:rsidR="00D94935" w:rsidRPr="00140BF9" w:rsidRDefault="00D94935" w:rsidP="00D94935">
      <w:pPr>
        <w:pStyle w:val="AmdtsEntryHd"/>
        <w:rPr>
          <w:rFonts w:cs="Arial"/>
        </w:rPr>
      </w:pPr>
      <w:r w:rsidRPr="00140BF9">
        <w:rPr>
          <w:rFonts w:cs="Arial"/>
        </w:rPr>
        <w:t>Applicant’s letter to respondent</w:t>
      </w:r>
    </w:p>
    <w:p w14:paraId="0B66843D" w14:textId="77777777"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14:paraId="76EBC018" w14:textId="62FC7F26"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5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D3551CD" w14:textId="77777777" w:rsidR="00D94935" w:rsidRPr="00140BF9" w:rsidRDefault="00D94935" w:rsidP="00D94935">
      <w:pPr>
        <w:pStyle w:val="AmdtsEntryHd"/>
        <w:rPr>
          <w:rFonts w:cs="Arial"/>
        </w:rPr>
      </w:pPr>
      <w:r w:rsidRPr="00140BF9">
        <w:rPr>
          <w:rFonts w:cs="Arial"/>
        </w:rPr>
        <w:t>Respondent’s reply to applicant’s letter</w:t>
      </w:r>
    </w:p>
    <w:p w14:paraId="119013B2" w14:textId="77777777"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14:paraId="5F504E8E" w14:textId="15756259"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5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6E294F3" w14:textId="77777777" w:rsidR="00D94935" w:rsidRPr="00140BF9" w:rsidRDefault="00D94935" w:rsidP="00D94935">
      <w:pPr>
        <w:pStyle w:val="AmdtsEntryHd"/>
        <w:rPr>
          <w:rFonts w:cs="Arial"/>
        </w:rPr>
      </w:pPr>
      <w:r w:rsidRPr="00140BF9">
        <w:rPr>
          <w:rFonts w:cs="Arial"/>
        </w:rPr>
        <w:t>Applicant and respondent—additional correspondence</w:t>
      </w:r>
    </w:p>
    <w:p w14:paraId="5D78EF50" w14:textId="77777777"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14:paraId="0381C362" w14:textId="70B1D6EC"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5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431289F" w14:textId="77777777" w:rsidR="00D94935" w:rsidRPr="00140BF9" w:rsidRDefault="00D94935" w:rsidP="00D94935">
      <w:pPr>
        <w:pStyle w:val="AmdtsEntryHd"/>
        <w:rPr>
          <w:rFonts w:cs="Arial"/>
        </w:rPr>
      </w:pPr>
      <w:r w:rsidRPr="00140BF9">
        <w:rPr>
          <w:rFonts w:cs="Arial"/>
        </w:rPr>
        <w:t>Div 6.10.3 application—making application</w:t>
      </w:r>
    </w:p>
    <w:p w14:paraId="0CF02113" w14:textId="77777777"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14:paraId="73318A0D" w14:textId="175B3887"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5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E89FEBF" w14:textId="77777777" w:rsidR="00D94935" w:rsidRPr="00140BF9" w:rsidRDefault="00D94935" w:rsidP="00D94935">
      <w:pPr>
        <w:pStyle w:val="AmdtsEntryHd"/>
        <w:rPr>
          <w:rFonts w:cs="Arial"/>
        </w:rPr>
      </w:pPr>
      <w:r w:rsidRPr="00140BF9">
        <w:rPr>
          <w:rFonts w:cs="Arial"/>
        </w:rPr>
        <w:t>Div 6.10.3 application—hearing</w:t>
      </w:r>
    </w:p>
    <w:p w14:paraId="1EFEC021" w14:textId="77777777"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14:paraId="2E1D6431" w14:textId="51C69DF3"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5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38997A1A" w14:textId="77777777" w:rsidR="00D94935" w:rsidRPr="00140BF9" w:rsidRDefault="00D94935" w:rsidP="00D94935">
      <w:pPr>
        <w:pStyle w:val="AmdtsEntryHd"/>
        <w:rPr>
          <w:rFonts w:cs="Arial"/>
        </w:rPr>
      </w:pPr>
      <w:r w:rsidRPr="00140BF9">
        <w:rPr>
          <w:rFonts w:cs="Arial"/>
        </w:rPr>
        <w:t>Notice to produce</w:t>
      </w:r>
    </w:p>
    <w:p w14:paraId="72EE0A2A" w14:textId="49C05D57"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584"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3108DB7B" w14:textId="77777777" w:rsidR="00D94935" w:rsidRPr="00140BF9" w:rsidRDefault="00D94935" w:rsidP="00D94935">
      <w:pPr>
        <w:pStyle w:val="AmdtsEntryHd"/>
        <w:rPr>
          <w:rFonts w:cs="Arial"/>
        </w:rPr>
      </w:pPr>
      <w:r w:rsidRPr="00140BF9">
        <w:rPr>
          <w:rFonts w:cs="Arial"/>
        </w:rPr>
        <w:t>Notice to produce</w:t>
      </w:r>
    </w:p>
    <w:p w14:paraId="3BD8B8A7" w14:textId="1C595289"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585"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0430B6A3" w14:textId="77777777" w:rsidR="00D94935" w:rsidRPr="00140BF9" w:rsidRDefault="00D94935" w:rsidP="00D94935">
      <w:pPr>
        <w:pStyle w:val="AmdtsEntryHd"/>
        <w:rPr>
          <w:rFonts w:cs="Arial"/>
        </w:rPr>
      </w:pPr>
      <w:r w:rsidRPr="00140BF9">
        <w:rPr>
          <w:rFonts w:cs="Arial"/>
        </w:rPr>
        <w:lastRenderedPageBreak/>
        <w:t>Notices under Evidence Act</w:t>
      </w:r>
    </w:p>
    <w:p w14:paraId="5BDB4821" w14:textId="47FA8386"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58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066B0DAE" w14:textId="77777777" w:rsidR="00D94935" w:rsidRPr="00140BF9" w:rsidRDefault="00D94935" w:rsidP="00D94935">
      <w:pPr>
        <w:pStyle w:val="AmdtsEntryHd"/>
        <w:rPr>
          <w:rFonts w:cs="Arial"/>
        </w:rPr>
      </w:pPr>
      <w:r w:rsidRPr="00140BF9">
        <w:rPr>
          <w:rFonts w:cs="Arial"/>
        </w:rPr>
        <w:t>Evidence of previous representation notice</w:t>
      </w:r>
    </w:p>
    <w:p w14:paraId="53F89112" w14:textId="77777777"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14:paraId="01E2369C" w14:textId="0AEA66FA"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58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E55B4B2" w14:textId="77777777" w:rsidR="00D94935" w:rsidRPr="00140BF9" w:rsidRDefault="00D94935" w:rsidP="00D94935">
      <w:pPr>
        <w:pStyle w:val="AmdtsEntryHd"/>
        <w:rPr>
          <w:rFonts w:cs="Arial"/>
        </w:rPr>
      </w:pPr>
      <w:r w:rsidRPr="00140BF9">
        <w:rPr>
          <w:rFonts w:cs="Arial"/>
        </w:rPr>
        <w:t>Objection to hearsay evidence notice—civil proceedings</w:t>
      </w:r>
    </w:p>
    <w:p w14:paraId="1901E916" w14:textId="77777777"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14:paraId="7957A1FE" w14:textId="29557CBB"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58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1EE8589" w14:textId="77777777" w:rsidR="00D94935" w:rsidRPr="00140BF9" w:rsidRDefault="00D94935" w:rsidP="00D94935">
      <w:pPr>
        <w:pStyle w:val="AmdtsEntryHd"/>
        <w:rPr>
          <w:rFonts w:cs="Arial"/>
        </w:rPr>
      </w:pPr>
      <w:r w:rsidRPr="00140BF9">
        <w:rPr>
          <w:rFonts w:cs="Arial"/>
        </w:rPr>
        <w:t>Tendency evidence notice</w:t>
      </w:r>
    </w:p>
    <w:p w14:paraId="2685A0C7" w14:textId="77777777"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14:paraId="6F75BB1F" w14:textId="1A66CF0B"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58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12988362" w14:textId="77777777" w:rsidR="00D94935" w:rsidRPr="00140BF9" w:rsidRDefault="00D94935" w:rsidP="00D94935">
      <w:pPr>
        <w:pStyle w:val="AmdtsEntryHd"/>
        <w:rPr>
          <w:rFonts w:cs="Arial"/>
        </w:rPr>
      </w:pPr>
      <w:r w:rsidRPr="00140BF9">
        <w:rPr>
          <w:rFonts w:cs="Arial"/>
        </w:rPr>
        <w:t>Coincidence evidence notice</w:t>
      </w:r>
    </w:p>
    <w:p w14:paraId="7FF50876" w14:textId="77777777"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14:paraId="76528A1B" w14:textId="226A5764"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59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78915BC"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14:paraId="4113A4BD" w14:textId="77777777"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14:paraId="29A3BF87" w14:textId="77777777" w:rsidR="00D94935" w:rsidRPr="00140BF9" w:rsidRDefault="00D94935" w:rsidP="00D94935">
      <w:pPr>
        <w:pStyle w:val="AmdtsEntryHd"/>
        <w:rPr>
          <w:rFonts w:cs="Arial"/>
        </w:rPr>
      </w:pPr>
      <w:r w:rsidRPr="00140BF9">
        <w:rPr>
          <w:rFonts w:cs="Arial"/>
        </w:rPr>
        <w:t>Registrar to keep record of proceeding</w:t>
      </w:r>
    </w:p>
    <w:p w14:paraId="09F761DB" w14:textId="77777777"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14:paraId="7271D0CB" w14:textId="77777777" w:rsidR="00D94935" w:rsidRPr="00140BF9" w:rsidRDefault="00D94935" w:rsidP="00D94935">
      <w:pPr>
        <w:pStyle w:val="AmdtsEntryHd"/>
        <w:rPr>
          <w:rFonts w:cs="Arial"/>
        </w:rPr>
      </w:pPr>
      <w:r w:rsidRPr="00140BF9">
        <w:rPr>
          <w:rFonts w:cs="Arial"/>
        </w:rPr>
        <w:t>Custody of exhibits after proceeding</w:t>
      </w:r>
    </w:p>
    <w:p w14:paraId="1363EB78" w14:textId="77777777"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14:paraId="7B4D0779" w14:textId="77777777" w:rsidR="00D94935" w:rsidRPr="00140BF9" w:rsidRDefault="00D94935" w:rsidP="00D94935">
      <w:pPr>
        <w:pStyle w:val="AmdtsEntryHd"/>
        <w:rPr>
          <w:rFonts w:cs="Arial"/>
        </w:rPr>
      </w:pPr>
      <w:r w:rsidRPr="00140BF9">
        <w:rPr>
          <w:rFonts w:cs="Arial"/>
        </w:rPr>
        <w:t>Duty of parties to claim exhibits</w:t>
      </w:r>
    </w:p>
    <w:p w14:paraId="5524A597" w14:textId="77777777"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14:paraId="79F17CC6" w14:textId="0371758B"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591" w:tooltip="Court Procedures Amendment Rules 2013 (No 1)" w:history="1">
        <w:r w:rsidRPr="00140BF9">
          <w:rPr>
            <w:rStyle w:val="charCitHyperlinkAbbrev"/>
            <w:rFonts w:cs="Arial"/>
          </w:rPr>
          <w:t>SL2013-18</w:t>
        </w:r>
      </w:hyperlink>
      <w:r w:rsidRPr="00140BF9">
        <w:rPr>
          <w:rFonts w:cs="Arial"/>
        </w:rPr>
        <w:t xml:space="preserve"> rr 26-28</w:t>
      </w:r>
    </w:p>
    <w:p w14:paraId="404CBFDA" w14:textId="77777777" w:rsidR="00D94935" w:rsidRPr="00140BF9" w:rsidRDefault="00D94935" w:rsidP="00D94935">
      <w:pPr>
        <w:pStyle w:val="AmdtsEntryHd"/>
        <w:rPr>
          <w:rFonts w:cs="Arial"/>
        </w:rPr>
      </w:pPr>
      <w:r w:rsidRPr="00140BF9">
        <w:rPr>
          <w:rFonts w:cs="Arial"/>
        </w:rPr>
        <w:t>Return of subpoenaed document or thing</w:t>
      </w:r>
    </w:p>
    <w:p w14:paraId="5B68D4DA" w14:textId="3272CF0B"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59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14:paraId="5FBA940C" w14:textId="77777777" w:rsidR="00D94935" w:rsidRPr="00140BF9" w:rsidRDefault="00D94935" w:rsidP="00D94935">
      <w:pPr>
        <w:pStyle w:val="AmdtsEntryHd"/>
        <w:rPr>
          <w:rFonts w:cs="Arial"/>
        </w:rPr>
      </w:pPr>
      <w:r w:rsidRPr="00140BF9">
        <w:rPr>
          <w:rFonts w:cs="Arial"/>
        </w:rPr>
        <w:t>Requirement to give or send exhibit</w:t>
      </w:r>
    </w:p>
    <w:p w14:paraId="13CE7CEF" w14:textId="77777777"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14:paraId="739B97DD" w14:textId="66AA08C2"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593" w:tooltip="Court Procedures Amendment Rules 2013 (No 1)" w:history="1">
        <w:r w:rsidRPr="00140BF9">
          <w:rPr>
            <w:rStyle w:val="charCitHyperlinkAbbrev"/>
            <w:rFonts w:cs="Arial"/>
          </w:rPr>
          <w:t>SL2013-18</w:t>
        </w:r>
      </w:hyperlink>
      <w:r w:rsidRPr="00140BF9">
        <w:rPr>
          <w:rFonts w:cs="Arial"/>
        </w:rPr>
        <w:t xml:space="preserve"> r 29</w:t>
      </w:r>
    </w:p>
    <w:p w14:paraId="331DFE95" w14:textId="77777777" w:rsidR="00D94935" w:rsidRPr="00140BF9" w:rsidRDefault="00D94935" w:rsidP="00D94935">
      <w:pPr>
        <w:pStyle w:val="AmdtsEntryHd"/>
        <w:rPr>
          <w:rFonts w:cs="Arial"/>
        </w:rPr>
      </w:pPr>
      <w:r w:rsidRPr="00140BF9">
        <w:rPr>
          <w:rFonts w:cs="Arial"/>
        </w:rPr>
        <w:t>Disposal of exhibits</w:t>
      </w:r>
    </w:p>
    <w:p w14:paraId="20BC795D" w14:textId="77777777"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14:paraId="7988B973" w14:textId="4E7BF0D2"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594" w:tooltip="Court Procedures Amendment Rules 2013 (No 1)" w:history="1">
        <w:r w:rsidRPr="00140BF9">
          <w:rPr>
            <w:rStyle w:val="charCitHyperlinkAbbrev"/>
            <w:rFonts w:cs="Arial"/>
          </w:rPr>
          <w:t>SL2013-18</w:t>
        </w:r>
      </w:hyperlink>
      <w:r w:rsidRPr="00140BF9">
        <w:rPr>
          <w:rFonts w:cs="Arial"/>
        </w:rPr>
        <w:t xml:space="preserve"> r 30, r 31</w:t>
      </w:r>
    </w:p>
    <w:p w14:paraId="0D3F7AB9" w14:textId="77777777" w:rsidR="00D94935" w:rsidRPr="00140BF9" w:rsidRDefault="00D94935" w:rsidP="00D94935">
      <w:pPr>
        <w:pStyle w:val="AmdtsEntryHd"/>
        <w:rPr>
          <w:rFonts w:cs="Arial"/>
        </w:rPr>
      </w:pPr>
      <w:r w:rsidRPr="00140BF9">
        <w:rPr>
          <w:rFonts w:cs="Arial"/>
        </w:rPr>
        <w:t>Power to allow removal of exhibits etc</w:t>
      </w:r>
    </w:p>
    <w:p w14:paraId="5753CE1E" w14:textId="77777777"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14:paraId="4517369B" w14:textId="77777777"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14:paraId="2696ACC1" w14:textId="77777777"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14:paraId="7D6E36C9" w14:textId="3E7DB629"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59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838B296" w14:textId="77777777" w:rsidR="00D94935" w:rsidRPr="00140BF9" w:rsidRDefault="00D94935" w:rsidP="00D94935">
      <w:pPr>
        <w:pStyle w:val="AmdtsEntryHd"/>
        <w:rPr>
          <w:rFonts w:cs="Arial"/>
        </w:rPr>
      </w:pPr>
      <w:r w:rsidRPr="00140BF9">
        <w:rPr>
          <w:rFonts w:cs="Arial"/>
        </w:rPr>
        <w:lastRenderedPageBreak/>
        <w:t>Directions for Evidence (Miscellaneous Provisions) Act, s 20</w:t>
      </w:r>
    </w:p>
    <w:p w14:paraId="0227D7D2" w14:textId="77777777"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14:paraId="4D8F5706" w14:textId="6B70BA01"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59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F0A62D1" w14:textId="77777777" w:rsidR="00D94935" w:rsidRPr="00140BF9" w:rsidRDefault="00D94935" w:rsidP="00D94935">
      <w:pPr>
        <w:pStyle w:val="AmdtsEntryHd"/>
        <w:rPr>
          <w:rFonts w:cs="Arial"/>
        </w:rPr>
      </w:pPr>
      <w:r w:rsidRPr="00140BF9">
        <w:rPr>
          <w:rFonts w:cs="Arial"/>
        </w:rPr>
        <w:t>Taking evidence from New Zealand by video link or telephone</w:t>
      </w:r>
    </w:p>
    <w:p w14:paraId="1C7DAA0B" w14:textId="396D91F2"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59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1BF131BA" w14:textId="77777777" w:rsidR="00D94935" w:rsidRPr="00140BF9" w:rsidRDefault="00D94935" w:rsidP="00D94935">
      <w:pPr>
        <w:pStyle w:val="AmdtsEntryHd"/>
        <w:rPr>
          <w:rFonts w:cs="Arial"/>
        </w:rPr>
      </w:pPr>
      <w:r w:rsidRPr="00140BF9">
        <w:rPr>
          <w:rFonts w:cs="Arial"/>
        </w:rPr>
        <w:t>Terms used in Evidence and Procedure (New Zealand) Act</w:t>
      </w:r>
    </w:p>
    <w:p w14:paraId="0F0D7C39" w14:textId="77777777"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14:paraId="13634D68" w14:textId="704940F2"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59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639D592F" w14:textId="77777777" w:rsidR="00D94935" w:rsidRPr="00140BF9" w:rsidRDefault="00D94935" w:rsidP="00D94935">
      <w:pPr>
        <w:pStyle w:val="AmdtsEntryHd"/>
        <w:rPr>
          <w:rFonts w:cs="Arial"/>
        </w:rPr>
      </w:pPr>
      <w:r w:rsidRPr="00140BF9">
        <w:rPr>
          <w:rFonts w:cs="Arial"/>
        </w:rPr>
        <w:t>Application for direction under Evidence and Procedure (New Zealand) Act, s 25</w:t>
      </w:r>
    </w:p>
    <w:p w14:paraId="26734814" w14:textId="77777777"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14:paraId="2FA0DF3D" w14:textId="4990278B"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59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9A0F4EF" w14:textId="77777777" w:rsidR="00D94935" w:rsidRPr="00140BF9" w:rsidRDefault="00D94935" w:rsidP="00D94935">
      <w:pPr>
        <w:pStyle w:val="AmdtsEntryHd"/>
        <w:rPr>
          <w:rFonts w:cs="Arial"/>
        </w:rPr>
      </w:pPr>
      <w:r w:rsidRPr="00140BF9">
        <w:rPr>
          <w:rFonts w:cs="Arial"/>
        </w:rPr>
        <w:t>Directions for Evidence and Procedure (New Zealand) Act, s 25</w:t>
      </w:r>
    </w:p>
    <w:p w14:paraId="3EE1637E" w14:textId="77777777"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14:paraId="67B2BD7A" w14:textId="40C70B86"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60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F1BCFF4" w14:textId="77777777" w:rsidR="00D94935" w:rsidRPr="00140BF9" w:rsidRDefault="00D94935" w:rsidP="00D94935">
      <w:pPr>
        <w:pStyle w:val="AmdtsEntryHd"/>
        <w:rPr>
          <w:rFonts w:cs="Arial"/>
        </w:rPr>
      </w:pPr>
      <w:r w:rsidRPr="00140BF9">
        <w:rPr>
          <w:rFonts w:cs="Arial"/>
        </w:rPr>
        <w:t>Definitions—div 6.10.8</w:t>
      </w:r>
    </w:p>
    <w:p w14:paraId="7905AD49" w14:textId="77777777"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14:paraId="69D5CE11" w14:textId="77777777" w:rsidR="00D94935" w:rsidRPr="00140BF9" w:rsidRDefault="00D94935" w:rsidP="00D94935">
      <w:pPr>
        <w:pStyle w:val="AmdtsEntryHd"/>
        <w:rPr>
          <w:rFonts w:cs="Arial"/>
        </w:rPr>
      </w:pPr>
      <w:r w:rsidRPr="00140BF9">
        <w:rPr>
          <w:rFonts w:cs="Arial"/>
        </w:rPr>
        <w:t>Effect of court directions for examination order</w:t>
      </w:r>
    </w:p>
    <w:p w14:paraId="4A4F4874" w14:textId="77777777"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14:paraId="5E9B61A8" w14:textId="77777777" w:rsidR="00D94935" w:rsidRPr="00140BF9" w:rsidRDefault="00D94935" w:rsidP="00D94935">
      <w:pPr>
        <w:pStyle w:val="AmdtsEntryHd"/>
        <w:rPr>
          <w:rFonts w:cs="Arial"/>
        </w:rPr>
      </w:pPr>
      <w:r w:rsidRPr="00140BF9">
        <w:rPr>
          <w:rFonts w:cs="Arial"/>
        </w:rPr>
        <w:t>Application of div 6.10.8 to letter of request</w:t>
      </w:r>
    </w:p>
    <w:p w14:paraId="09FE49DE" w14:textId="77777777"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14:paraId="7B648956" w14:textId="77777777" w:rsidR="00D94935" w:rsidRPr="00140BF9" w:rsidRDefault="00D94935" w:rsidP="00D94935">
      <w:pPr>
        <w:pStyle w:val="AmdtsEntryHd"/>
        <w:rPr>
          <w:rFonts w:cs="Arial"/>
        </w:rPr>
      </w:pPr>
      <w:r w:rsidRPr="00140BF9">
        <w:rPr>
          <w:rFonts w:cs="Arial"/>
        </w:rPr>
        <w:t>Order for taking evidence otherwise than at trial</w:t>
      </w:r>
    </w:p>
    <w:p w14:paraId="5AF59137" w14:textId="77777777"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14:paraId="19D0D741" w14:textId="77777777" w:rsidR="00D94935" w:rsidRPr="00140BF9" w:rsidRDefault="00D94935" w:rsidP="00D94935">
      <w:pPr>
        <w:pStyle w:val="AmdtsEntryHd"/>
        <w:rPr>
          <w:rFonts w:cs="Arial"/>
        </w:rPr>
      </w:pPr>
      <w:r w:rsidRPr="00140BF9">
        <w:rPr>
          <w:rFonts w:cs="Arial"/>
        </w:rPr>
        <w:t>When examination order may be made</w:t>
      </w:r>
    </w:p>
    <w:p w14:paraId="7BDE9E25" w14:textId="77777777"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14:paraId="2665E0DD" w14:textId="77777777" w:rsidR="00D94935" w:rsidRPr="00140BF9" w:rsidRDefault="00D94935" w:rsidP="00D94935">
      <w:pPr>
        <w:pStyle w:val="AmdtsEntryHd"/>
        <w:rPr>
          <w:rFonts w:cs="Arial"/>
        </w:rPr>
      </w:pPr>
      <w:r w:rsidRPr="00140BF9">
        <w:rPr>
          <w:rFonts w:cs="Arial"/>
        </w:rPr>
        <w:t>Application for examination order</w:t>
      </w:r>
    </w:p>
    <w:p w14:paraId="2D7035A9" w14:textId="77777777"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14:paraId="44C750C9" w14:textId="77777777" w:rsidR="00D94935" w:rsidRPr="00140BF9" w:rsidRDefault="00D94935" w:rsidP="00D94935">
      <w:pPr>
        <w:pStyle w:val="AmdtsEntryHd"/>
        <w:rPr>
          <w:rFonts w:cs="Arial"/>
        </w:rPr>
      </w:pPr>
      <w:r w:rsidRPr="00140BF9">
        <w:rPr>
          <w:rFonts w:cs="Arial"/>
        </w:rPr>
        <w:t>Appointment of examiner</w:t>
      </w:r>
    </w:p>
    <w:p w14:paraId="2D73184C" w14:textId="77777777"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14:paraId="3377D6F4" w14:textId="77777777" w:rsidR="00D94935" w:rsidRPr="00140BF9" w:rsidRDefault="00D94935" w:rsidP="00D94935">
      <w:pPr>
        <w:pStyle w:val="AmdtsEntryHd"/>
        <w:rPr>
          <w:rFonts w:cs="Arial"/>
        </w:rPr>
      </w:pPr>
      <w:r w:rsidRPr="00140BF9">
        <w:rPr>
          <w:rFonts w:cs="Arial"/>
        </w:rPr>
        <w:t>Documents for examiner</w:t>
      </w:r>
    </w:p>
    <w:p w14:paraId="177E2316" w14:textId="77777777"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14:paraId="5D14D1AA" w14:textId="77777777" w:rsidR="00D94935" w:rsidRPr="00140BF9" w:rsidRDefault="00D94935" w:rsidP="00D94935">
      <w:pPr>
        <w:pStyle w:val="AmdtsEntryHd"/>
        <w:rPr>
          <w:rFonts w:cs="Arial"/>
        </w:rPr>
      </w:pPr>
      <w:r w:rsidRPr="00140BF9">
        <w:rPr>
          <w:rFonts w:cs="Arial"/>
        </w:rPr>
        <w:t>Time and place of examination etc</w:t>
      </w:r>
    </w:p>
    <w:p w14:paraId="02BC5C53" w14:textId="77777777"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14:paraId="0F2E8F68" w14:textId="77777777" w:rsidR="00D94935" w:rsidRPr="00140BF9" w:rsidRDefault="00D94935" w:rsidP="00D94935">
      <w:pPr>
        <w:pStyle w:val="AmdtsEntryHd"/>
        <w:rPr>
          <w:rFonts w:cs="Arial"/>
        </w:rPr>
      </w:pPr>
      <w:r w:rsidRPr="00140BF9">
        <w:rPr>
          <w:rFonts w:cs="Arial"/>
        </w:rPr>
        <w:t>Conduct of examination</w:t>
      </w:r>
    </w:p>
    <w:p w14:paraId="0840458E" w14:textId="77777777"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14:paraId="24B9089E" w14:textId="77777777" w:rsidR="00D94935" w:rsidRPr="00140BF9" w:rsidRDefault="00D94935" w:rsidP="00D94935">
      <w:pPr>
        <w:pStyle w:val="AmdtsEntryHd"/>
        <w:rPr>
          <w:rFonts w:cs="Arial"/>
        </w:rPr>
      </w:pPr>
      <w:r w:rsidRPr="00140BF9">
        <w:rPr>
          <w:rFonts w:cs="Arial"/>
        </w:rPr>
        <w:t>Examination of additional people</w:t>
      </w:r>
    </w:p>
    <w:p w14:paraId="698C596E" w14:textId="77777777"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14:paraId="484FCE77" w14:textId="77777777" w:rsidR="00D94935" w:rsidRPr="00140BF9" w:rsidRDefault="00D94935" w:rsidP="00D94935">
      <w:pPr>
        <w:pStyle w:val="AmdtsEntryHd"/>
        <w:rPr>
          <w:rFonts w:cs="Arial"/>
        </w:rPr>
      </w:pPr>
      <w:r w:rsidRPr="00140BF9">
        <w:rPr>
          <w:rFonts w:cs="Arial"/>
        </w:rPr>
        <w:lastRenderedPageBreak/>
        <w:t>Objections by party or person being examined</w:t>
      </w:r>
    </w:p>
    <w:p w14:paraId="38B08E96" w14:textId="77777777"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14:paraId="685AE4C9" w14:textId="77777777" w:rsidR="00D94935" w:rsidRPr="00140BF9" w:rsidRDefault="00D94935" w:rsidP="00D94935">
      <w:pPr>
        <w:pStyle w:val="AmdtsEntryHd"/>
        <w:rPr>
          <w:rFonts w:cs="Arial"/>
        </w:rPr>
      </w:pPr>
      <w:r w:rsidRPr="00140BF9">
        <w:rPr>
          <w:rFonts w:cs="Arial"/>
        </w:rPr>
        <w:t>Recording evidence of examination</w:t>
      </w:r>
    </w:p>
    <w:p w14:paraId="0207DA20" w14:textId="77777777"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14:paraId="0247AEB5" w14:textId="77777777" w:rsidR="00D94935" w:rsidRPr="00140BF9" w:rsidRDefault="00D94935" w:rsidP="00D94935">
      <w:pPr>
        <w:pStyle w:val="AmdtsEntryHd"/>
        <w:rPr>
          <w:rFonts w:cs="Arial"/>
        </w:rPr>
      </w:pPr>
      <w:r w:rsidRPr="00140BF9">
        <w:rPr>
          <w:rFonts w:cs="Arial"/>
        </w:rPr>
        <w:t>Authentication and filing of deposition of examination etc</w:t>
      </w:r>
    </w:p>
    <w:p w14:paraId="13060843" w14:textId="77777777"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14:paraId="6977A6C8" w14:textId="77777777" w:rsidR="00D94935" w:rsidRPr="00140BF9" w:rsidRDefault="00D94935" w:rsidP="00D94935">
      <w:pPr>
        <w:pStyle w:val="AmdtsEntryHd"/>
        <w:rPr>
          <w:rFonts w:cs="Arial"/>
        </w:rPr>
      </w:pPr>
      <w:r w:rsidRPr="00140BF9">
        <w:rPr>
          <w:rFonts w:cs="Arial"/>
        </w:rPr>
        <w:t>Special report on examination</w:t>
      </w:r>
    </w:p>
    <w:p w14:paraId="2E4644EE" w14:textId="77777777"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14:paraId="58CF32E7" w14:textId="77777777" w:rsidR="00D94935" w:rsidRPr="00140BF9" w:rsidRDefault="00D94935" w:rsidP="00D94935">
      <w:pPr>
        <w:pStyle w:val="AmdtsEntryHd"/>
        <w:rPr>
          <w:rFonts w:cs="Arial"/>
        </w:rPr>
      </w:pPr>
      <w:r w:rsidRPr="00140BF9">
        <w:rPr>
          <w:rFonts w:cs="Arial"/>
        </w:rPr>
        <w:t>Default of witness at examination</w:t>
      </w:r>
    </w:p>
    <w:p w14:paraId="1FE0BCF5" w14:textId="77777777"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14:paraId="0BBDD235" w14:textId="5C5949EE"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6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14:paraId="0C35EE82" w14:textId="77777777" w:rsidR="00D94935" w:rsidRPr="00140BF9" w:rsidRDefault="00D94935" w:rsidP="00D94935">
      <w:pPr>
        <w:pStyle w:val="AmdtsEntryHd"/>
        <w:rPr>
          <w:rFonts w:cs="Arial"/>
        </w:rPr>
      </w:pPr>
      <w:r w:rsidRPr="00140BF9">
        <w:rPr>
          <w:rFonts w:cs="Arial"/>
        </w:rPr>
        <w:t>Costs of examination</w:t>
      </w:r>
    </w:p>
    <w:p w14:paraId="0C0BADFF" w14:textId="77777777"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14:paraId="371ECF07" w14:textId="77777777" w:rsidR="00D94935" w:rsidRPr="00140BF9" w:rsidRDefault="00D94935" w:rsidP="00D94935">
      <w:pPr>
        <w:pStyle w:val="AmdtsEntryHd"/>
        <w:rPr>
          <w:rFonts w:cs="Arial"/>
        </w:rPr>
      </w:pPr>
      <w:r w:rsidRPr="00140BF9">
        <w:rPr>
          <w:rFonts w:cs="Arial"/>
        </w:rPr>
        <w:t>Witness expenses for witness at examination</w:t>
      </w:r>
    </w:p>
    <w:p w14:paraId="33F90CA5" w14:textId="77777777"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14:paraId="7466EC42" w14:textId="77777777" w:rsidR="00D94935" w:rsidRPr="00140BF9" w:rsidRDefault="00D94935" w:rsidP="00D94935">
      <w:pPr>
        <w:pStyle w:val="AmdtsEntryHd"/>
        <w:rPr>
          <w:rFonts w:cs="Arial"/>
        </w:rPr>
      </w:pPr>
      <w:r w:rsidRPr="00140BF9">
        <w:rPr>
          <w:rFonts w:cs="Arial"/>
        </w:rPr>
        <w:t>Admissibility of deposition of examination</w:t>
      </w:r>
    </w:p>
    <w:p w14:paraId="2B828368" w14:textId="77777777"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14:paraId="48F8081E" w14:textId="13A8BCA3"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60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6E5C50D8" w14:textId="77777777" w:rsidR="00D94935" w:rsidRPr="00140BF9" w:rsidRDefault="00D94935" w:rsidP="00D94935">
      <w:pPr>
        <w:pStyle w:val="AmdtsEntryHd"/>
        <w:rPr>
          <w:rFonts w:cs="Arial"/>
        </w:rPr>
      </w:pPr>
      <w:r w:rsidRPr="00140BF9">
        <w:rPr>
          <w:rFonts w:cs="Arial"/>
        </w:rPr>
        <w:t>Letter of request</w:t>
      </w:r>
    </w:p>
    <w:p w14:paraId="66966886" w14:textId="77777777"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14:paraId="3334D8D6" w14:textId="77777777" w:rsidR="00D94935" w:rsidRPr="00140BF9" w:rsidRDefault="00D94935" w:rsidP="00D94935">
      <w:pPr>
        <w:pStyle w:val="AmdtsEntryHd"/>
        <w:rPr>
          <w:rFonts w:cs="Arial"/>
        </w:rPr>
      </w:pPr>
      <w:r w:rsidRPr="00140BF9">
        <w:rPr>
          <w:rFonts w:cs="Arial"/>
        </w:rPr>
        <w:t>Use of evidence taken in examination</w:t>
      </w:r>
    </w:p>
    <w:p w14:paraId="0D6F62C3" w14:textId="77777777"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14:paraId="052C7E3A" w14:textId="77777777" w:rsidR="00D94935" w:rsidRPr="00140BF9" w:rsidRDefault="00D94935" w:rsidP="00D94935">
      <w:pPr>
        <w:pStyle w:val="AmdtsEntryHd"/>
        <w:rPr>
          <w:rFonts w:cs="Arial"/>
        </w:rPr>
      </w:pPr>
      <w:r w:rsidRPr="00140BF9">
        <w:rPr>
          <w:rFonts w:cs="Arial"/>
        </w:rPr>
        <w:t>Use of evidence taken in an examination—subsequent proceedings</w:t>
      </w:r>
    </w:p>
    <w:p w14:paraId="16F33111" w14:textId="77777777"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14:paraId="0AAE2349" w14:textId="77777777" w:rsidR="00D94935" w:rsidRPr="00140BF9" w:rsidRDefault="00D94935" w:rsidP="00D94935">
      <w:pPr>
        <w:pStyle w:val="AmdtsEntryHd"/>
        <w:rPr>
          <w:rFonts w:cs="Arial"/>
        </w:rPr>
      </w:pPr>
      <w:r w:rsidRPr="00140BF9">
        <w:rPr>
          <w:rFonts w:cs="Arial"/>
        </w:rPr>
        <w:t>Amendment and revocation of examination orders</w:t>
      </w:r>
    </w:p>
    <w:p w14:paraId="558C4D48" w14:textId="77777777"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14:paraId="027DB1FB" w14:textId="77777777" w:rsidR="00D94935" w:rsidRPr="00140BF9" w:rsidRDefault="00D94935" w:rsidP="00D94935">
      <w:pPr>
        <w:pStyle w:val="AmdtsEntryHd"/>
        <w:rPr>
          <w:rFonts w:cs="Arial"/>
        </w:rPr>
      </w:pPr>
      <w:r w:rsidRPr="00140BF9">
        <w:rPr>
          <w:rFonts w:cs="Arial"/>
        </w:rPr>
        <w:t>Exclusion of evidence in criminal proceeding</w:t>
      </w:r>
    </w:p>
    <w:p w14:paraId="2B219019" w14:textId="77777777"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14:paraId="41A1E57A" w14:textId="77777777" w:rsidR="00D94935" w:rsidRPr="00140BF9" w:rsidRDefault="00D94935" w:rsidP="00D94935">
      <w:pPr>
        <w:pStyle w:val="AmdtsEntryHd"/>
        <w:rPr>
          <w:rFonts w:cs="Arial"/>
        </w:rPr>
      </w:pPr>
      <w:r w:rsidRPr="00140BF9">
        <w:rPr>
          <w:rFonts w:cs="Arial"/>
        </w:rPr>
        <w:t>Definitions—div 6.10.9</w:t>
      </w:r>
    </w:p>
    <w:p w14:paraId="7AED545B" w14:textId="77777777"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14:paraId="7DCA1B7E" w14:textId="77777777" w:rsidR="00D94935" w:rsidRPr="00140BF9" w:rsidRDefault="00D94935" w:rsidP="00D94935">
      <w:pPr>
        <w:pStyle w:val="AmdtsEntryHd"/>
        <w:rPr>
          <w:rFonts w:cs="Arial"/>
        </w:rPr>
      </w:pPr>
      <w:r w:rsidRPr="00140BF9">
        <w:rPr>
          <w:rFonts w:cs="Arial"/>
        </w:rPr>
        <w:t>Application—div 6.10.9</w:t>
      </w:r>
    </w:p>
    <w:p w14:paraId="4D8DBB77" w14:textId="77777777"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14:paraId="515DA676" w14:textId="77777777" w:rsidR="00D94935" w:rsidRPr="00140BF9" w:rsidRDefault="00D94935" w:rsidP="00D94935">
      <w:pPr>
        <w:pStyle w:val="AmdtsEntryHd"/>
        <w:rPr>
          <w:rFonts w:cs="Arial"/>
        </w:rPr>
      </w:pPr>
      <w:r w:rsidRPr="00140BF9">
        <w:rPr>
          <w:rFonts w:cs="Arial"/>
        </w:rPr>
        <w:t>Application for div 6.10.9 order</w:t>
      </w:r>
    </w:p>
    <w:p w14:paraId="10C7DBBB" w14:textId="77777777"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14:paraId="5E4546C2" w14:textId="77777777" w:rsidR="00D94935" w:rsidRPr="00140BF9" w:rsidRDefault="00D94935" w:rsidP="00D94935">
      <w:pPr>
        <w:pStyle w:val="AmdtsEntryHd"/>
        <w:rPr>
          <w:rFonts w:cs="Arial"/>
        </w:rPr>
      </w:pPr>
      <w:r w:rsidRPr="00140BF9">
        <w:rPr>
          <w:rFonts w:cs="Arial"/>
        </w:rPr>
        <w:t>Order relating to taking evidence for Australian or foreign court or tribunal</w:t>
      </w:r>
    </w:p>
    <w:p w14:paraId="22B878AA" w14:textId="77777777"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14:paraId="19F9D2B9" w14:textId="77777777" w:rsidR="00D94935" w:rsidRPr="00140BF9" w:rsidRDefault="00D94935" w:rsidP="00D94935">
      <w:pPr>
        <w:pStyle w:val="AmdtsEntryHd"/>
        <w:rPr>
          <w:rFonts w:cs="Arial"/>
        </w:rPr>
      </w:pPr>
      <w:r w:rsidRPr="00140BF9">
        <w:rPr>
          <w:rFonts w:cs="Arial"/>
        </w:rPr>
        <w:t>Div 6.10.9 order for criminal proceeding</w:t>
      </w:r>
    </w:p>
    <w:p w14:paraId="2015C931" w14:textId="77777777"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14:paraId="7ED4294D" w14:textId="77777777" w:rsidR="00D94935" w:rsidRPr="00140BF9" w:rsidRDefault="00D94935" w:rsidP="00D94935">
      <w:pPr>
        <w:pStyle w:val="AmdtsEntryHd"/>
        <w:rPr>
          <w:rFonts w:cs="Arial"/>
        </w:rPr>
      </w:pPr>
      <w:r w:rsidRPr="00140BF9">
        <w:rPr>
          <w:rFonts w:cs="Arial"/>
        </w:rPr>
        <w:lastRenderedPageBreak/>
        <w:t>Appointment of examiner for div 6.10.9</w:t>
      </w:r>
    </w:p>
    <w:p w14:paraId="2C415A46" w14:textId="77777777"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14:paraId="6230E71A" w14:textId="77777777" w:rsidR="00D94935" w:rsidRPr="00140BF9" w:rsidRDefault="00D94935" w:rsidP="00D94935">
      <w:pPr>
        <w:pStyle w:val="AmdtsEntryHd"/>
        <w:rPr>
          <w:rFonts w:cs="Arial"/>
        </w:rPr>
      </w:pPr>
      <w:r w:rsidRPr="00140BF9">
        <w:rPr>
          <w:rFonts w:cs="Arial"/>
        </w:rPr>
        <w:t>Attendance by div 6.10.9 order applicant at examination</w:t>
      </w:r>
    </w:p>
    <w:p w14:paraId="091EA8B7" w14:textId="77777777"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14:paraId="783B26E7" w14:textId="77777777" w:rsidR="00D94935" w:rsidRPr="00140BF9" w:rsidRDefault="00D94935" w:rsidP="00D94935">
      <w:pPr>
        <w:pStyle w:val="AmdtsEntryHd"/>
        <w:rPr>
          <w:rFonts w:cs="Arial"/>
        </w:rPr>
      </w:pPr>
      <w:r w:rsidRPr="00140BF9">
        <w:rPr>
          <w:rFonts w:cs="Arial"/>
        </w:rPr>
        <w:t>Procedure for taking evidence under div 6.10.9 order</w:t>
      </w:r>
    </w:p>
    <w:p w14:paraId="1050757D" w14:textId="77777777"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14:paraId="79B802C4" w14:textId="77777777" w:rsidR="00D94935" w:rsidRPr="00140BF9" w:rsidRDefault="00D94935" w:rsidP="00D94935">
      <w:pPr>
        <w:pStyle w:val="AmdtsEntryHd"/>
        <w:rPr>
          <w:rFonts w:cs="Arial"/>
        </w:rPr>
      </w:pPr>
      <w:r w:rsidRPr="00140BF9">
        <w:rPr>
          <w:rFonts w:cs="Arial"/>
        </w:rPr>
        <w:t>Keeping of exhibits at div 6.10.9 examination</w:t>
      </w:r>
    </w:p>
    <w:p w14:paraId="234F088C" w14:textId="77777777"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14:paraId="2A07B9B4" w14:textId="77777777" w:rsidR="00D94935" w:rsidRPr="00140BF9" w:rsidRDefault="00D94935" w:rsidP="00D94935">
      <w:pPr>
        <w:pStyle w:val="AmdtsEntryHd"/>
        <w:rPr>
          <w:rFonts w:cs="Arial"/>
        </w:rPr>
      </w:pPr>
      <w:r w:rsidRPr="00140BF9">
        <w:rPr>
          <w:rFonts w:cs="Arial"/>
        </w:rPr>
        <w:t>Certificate of order and depositions—div 6.10.9 examination</w:t>
      </w:r>
    </w:p>
    <w:p w14:paraId="056BF5E0" w14:textId="77777777"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14:paraId="19C450CB" w14:textId="77777777" w:rsidR="00D94935" w:rsidRPr="00140BF9" w:rsidRDefault="00D94935" w:rsidP="00D94935">
      <w:pPr>
        <w:pStyle w:val="AmdtsEntryHd"/>
        <w:rPr>
          <w:rFonts w:cs="Arial"/>
        </w:rPr>
      </w:pPr>
      <w:r w:rsidRPr="00140BF9">
        <w:rPr>
          <w:rFonts w:cs="Arial"/>
        </w:rPr>
        <w:t>Privilege of witnesses—div 6.10.9 examination</w:t>
      </w:r>
    </w:p>
    <w:p w14:paraId="1B5C3AFD" w14:textId="77777777"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14:paraId="3C4FBB13" w14:textId="77777777" w:rsidR="00D94935" w:rsidRPr="00140BF9" w:rsidRDefault="00D94935" w:rsidP="00D94935">
      <w:pPr>
        <w:pStyle w:val="AmdtsEntryHd"/>
        <w:rPr>
          <w:rFonts w:cs="Arial"/>
        </w:rPr>
      </w:pPr>
      <w:r w:rsidRPr="00140BF9">
        <w:rPr>
          <w:rFonts w:cs="Arial"/>
        </w:rPr>
        <w:t>Privilege of witnesses—unsupported claim etc for div 6.10.9 examination</w:t>
      </w:r>
    </w:p>
    <w:p w14:paraId="59C8A676" w14:textId="77777777"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14:paraId="01A6DF8D" w14:textId="77777777" w:rsidR="00D94935" w:rsidRPr="00140BF9" w:rsidRDefault="00D94935" w:rsidP="00D94935">
      <w:pPr>
        <w:pStyle w:val="AmdtsEntryHd"/>
        <w:rPr>
          <w:rFonts w:cs="Arial"/>
        </w:rPr>
      </w:pPr>
      <w:r w:rsidRPr="00140BF9">
        <w:rPr>
          <w:rFonts w:cs="Arial"/>
        </w:rPr>
        <w:t>Trans-Tasman proceedings</w:t>
      </w:r>
    </w:p>
    <w:p w14:paraId="79DAE029" w14:textId="44744864"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60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D69116" w14:textId="77777777" w:rsidR="00D94935" w:rsidRPr="00140BF9" w:rsidRDefault="00D94935" w:rsidP="00D94935">
      <w:pPr>
        <w:pStyle w:val="AmdtsEntryHd"/>
        <w:rPr>
          <w:rFonts w:cs="Arial"/>
        </w:rPr>
      </w:pPr>
      <w:r w:rsidRPr="00140BF9">
        <w:rPr>
          <w:rFonts w:cs="Arial"/>
        </w:rPr>
        <w:t>Trans-Tasman proceedings—general</w:t>
      </w:r>
    </w:p>
    <w:p w14:paraId="2E88D8AD" w14:textId="652F3763"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60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2ED3CF6" w14:textId="77777777" w:rsidR="00D94935" w:rsidRPr="00140BF9" w:rsidRDefault="00D94935" w:rsidP="00D94935">
      <w:pPr>
        <w:pStyle w:val="AmdtsEntryHd"/>
        <w:rPr>
          <w:rFonts w:cs="Arial"/>
        </w:rPr>
      </w:pPr>
      <w:r w:rsidRPr="00140BF9">
        <w:rPr>
          <w:rFonts w:cs="Arial"/>
        </w:rPr>
        <w:t>Terms in Trans-Tasman Proceedings Act</w:t>
      </w:r>
    </w:p>
    <w:p w14:paraId="72489A95" w14:textId="6AE3A456"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60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5F3193" w14:textId="77777777"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14:paraId="6CFDC085" w14:textId="21F35A2A"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60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DCFB2A3" w14:textId="77777777" w:rsidR="00D94935" w:rsidRPr="00140BF9" w:rsidRDefault="00D94935" w:rsidP="00D94935">
      <w:pPr>
        <w:pStyle w:val="AmdtsEntryHd"/>
        <w:rPr>
          <w:rFonts w:cs="Arial"/>
        </w:rPr>
      </w:pPr>
      <w:r w:rsidRPr="00140BF9">
        <w:rPr>
          <w:rFonts w:cs="Arial"/>
        </w:rPr>
        <w:t>Trans-Tasman proceedings—originating application</w:t>
      </w:r>
    </w:p>
    <w:p w14:paraId="04050F07" w14:textId="3B917F19"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60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11E4407" w14:textId="77777777" w:rsidR="00D94935" w:rsidRPr="00140BF9" w:rsidRDefault="00D94935" w:rsidP="00D94935">
      <w:pPr>
        <w:pStyle w:val="AmdtsEntryHd"/>
        <w:rPr>
          <w:rFonts w:cs="Arial"/>
        </w:rPr>
      </w:pPr>
      <w:r w:rsidRPr="00140BF9">
        <w:rPr>
          <w:rFonts w:cs="Arial"/>
        </w:rPr>
        <w:t>Trans-Tasman proceedings—applications in proceedings</w:t>
      </w:r>
    </w:p>
    <w:p w14:paraId="11249B22" w14:textId="55AD9697"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60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46031FB" w14:textId="77777777" w:rsidR="00D94935" w:rsidRPr="00140BF9" w:rsidRDefault="00D94935" w:rsidP="00D94935">
      <w:pPr>
        <w:pStyle w:val="AmdtsEntryHd"/>
        <w:rPr>
          <w:rFonts w:cs="Arial"/>
        </w:rPr>
      </w:pPr>
      <w:r w:rsidRPr="00140BF9">
        <w:rPr>
          <w:rFonts w:cs="Arial"/>
        </w:rPr>
        <w:t>Trans-Tasman proceedings—application for interim relief</w:t>
      </w:r>
    </w:p>
    <w:p w14:paraId="396A40BA" w14:textId="129FB14C"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60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C41F18B" w14:textId="77777777" w:rsidR="00D94935" w:rsidRPr="00140BF9" w:rsidRDefault="00D94935" w:rsidP="00D94935">
      <w:pPr>
        <w:pStyle w:val="AmdtsEntryHd"/>
        <w:rPr>
          <w:rFonts w:cs="Arial"/>
        </w:rPr>
      </w:pPr>
      <w:r w:rsidRPr="00140BF9">
        <w:rPr>
          <w:rFonts w:cs="Arial"/>
        </w:rPr>
        <w:t>Trans-Tasman proceedings—service of subpoenas in New Zealand</w:t>
      </w:r>
    </w:p>
    <w:p w14:paraId="48DC3065" w14:textId="19243EDC"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61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23976CC" w14:textId="77777777" w:rsidR="00D94935" w:rsidRPr="00140BF9" w:rsidRDefault="00D94935" w:rsidP="00D94935">
      <w:pPr>
        <w:pStyle w:val="AmdtsEntryHd"/>
        <w:rPr>
          <w:rFonts w:cs="Arial"/>
        </w:rPr>
      </w:pPr>
      <w:r w:rsidRPr="00140BF9">
        <w:rPr>
          <w:rFonts w:cs="Arial"/>
        </w:rPr>
        <w:t>Application—div 6.10A.3</w:t>
      </w:r>
    </w:p>
    <w:p w14:paraId="318F3D5D" w14:textId="02FF6B5A" w:rsidR="00D94935" w:rsidRDefault="00D94935" w:rsidP="00D94935">
      <w:pPr>
        <w:pStyle w:val="AmdtsEntries"/>
        <w:rPr>
          <w:rFonts w:cs="Arial"/>
        </w:rPr>
      </w:pPr>
      <w:r w:rsidRPr="00140BF9">
        <w:rPr>
          <w:rFonts w:cs="Arial"/>
        </w:rPr>
        <w:t>r 6864</w:t>
      </w:r>
      <w:r w:rsidRPr="00140BF9">
        <w:rPr>
          <w:rFonts w:cs="Arial"/>
        </w:rPr>
        <w:tab/>
        <w:t xml:space="preserve">ins </w:t>
      </w:r>
      <w:hyperlink r:id="rId261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F31D6AD" w14:textId="183B1CEC" w:rsidR="00176988" w:rsidRPr="00140BF9" w:rsidRDefault="00176988" w:rsidP="00D94935">
      <w:pPr>
        <w:pStyle w:val="AmdtsEntries"/>
        <w:rPr>
          <w:rFonts w:cs="Arial"/>
        </w:rPr>
      </w:pPr>
      <w:r>
        <w:rPr>
          <w:rFonts w:cs="Arial"/>
        </w:rPr>
        <w:tab/>
        <w:t xml:space="preserve">am </w:t>
      </w:r>
      <w:hyperlink r:id="rId2612" w:tooltip="Court Procedures Amendment Rules 2017 (No 2)" w:history="1">
        <w:r>
          <w:rPr>
            <w:rStyle w:val="charCitHyperlinkAbbrev"/>
          </w:rPr>
          <w:t>SL2017</w:t>
        </w:r>
        <w:r>
          <w:rPr>
            <w:rStyle w:val="charCitHyperlinkAbbrev"/>
          </w:rPr>
          <w:noBreakHyphen/>
          <w:t>10</w:t>
        </w:r>
      </w:hyperlink>
      <w:r>
        <w:rPr>
          <w:rFonts w:cs="Arial"/>
        </w:rPr>
        <w:t xml:space="preserve"> r 17</w:t>
      </w:r>
    </w:p>
    <w:p w14:paraId="1605860A" w14:textId="77777777" w:rsidR="00D94935" w:rsidRPr="00140BF9" w:rsidRDefault="00D94935" w:rsidP="00D94935">
      <w:pPr>
        <w:pStyle w:val="AmdtsEntryHd"/>
        <w:rPr>
          <w:rFonts w:cs="Arial"/>
        </w:rPr>
      </w:pPr>
      <w:r w:rsidRPr="00140BF9">
        <w:rPr>
          <w:rFonts w:cs="Arial"/>
        </w:rPr>
        <w:t>Trans-Tasman proceedings—application for leave to serve subpoena in New Zealand</w:t>
      </w:r>
    </w:p>
    <w:p w14:paraId="6CF3E347" w14:textId="2B03BF5A"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61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3631D17" w14:textId="77777777" w:rsidR="00D94935" w:rsidRPr="00140BF9" w:rsidRDefault="00D94935" w:rsidP="00D94935">
      <w:pPr>
        <w:pStyle w:val="AmdtsEntryHd"/>
        <w:rPr>
          <w:rFonts w:cs="Arial"/>
        </w:rPr>
      </w:pPr>
      <w:r w:rsidRPr="00140BF9">
        <w:rPr>
          <w:rFonts w:cs="Arial"/>
        </w:rPr>
        <w:lastRenderedPageBreak/>
        <w:t>Trans-Tasman proceedings—application to set aside subpoena served in New Zealand</w:t>
      </w:r>
    </w:p>
    <w:p w14:paraId="6C5FF6C3" w14:textId="667BF92C"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61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88A76E6" w14:textId="77777777" w:rsidR="00D94935" w:rsidRPr="00140BF9" w:rsidRDefault="00D94935" w:rsidP="00D94935">
      <w:pPr>
        <w:pStyle w:val="AmdtsEntryHd"/>
        <w:rPr>
          <w:rFonts w:cs="Arial"/>
        </w:rPr>
      </w:pPr>
      <w:r w:rsidRPr="00140BF9">
        <w:rPr>
          <w:rFonts w:cs="Arial"/>
        </w:rPr>
        <w:t>Trans-Tasman proceedings—noncompliance with subpoena served in New Zealand</w:t>
      </w:r>
    </w:p>
    <w:p w14:paraId="33002A4D" w14:textId="1E60E273"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61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28639029" w14:textId="77777777" w:rsidR="00D94935" w:rsidRPr="00140BF9" w:rsidRDefault="00D94935" w:rsidP="00D94935">
      <w:pPr>
        <w:pStyle w:val="AmdtsEntryHd"/>
        <w:rPr>
          <w:rFonts w:cs="Arial"/>
        </w:rPr>
      </w:pPr>
      <w:r w:rsidRPr="00140BF9">
        <w:rPr>
          <w:rFonts w:cs="Arial"/>
        </w:rPr>
        <w:t>Trans-Tasman proceedings—remote appearances</w:t>
      </w:r>
    </w:p>
    <w:p w14:paraId="0E9E339D" w14:textId="66CEA39A"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61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2EC2C8" w14:textId="77777777"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14:paraId="2AF36E11" w14:textId="30BB9C07"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61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7D23BDF" w14:textId="77777777" w:rsidR="00D94935" w:rsidRPr="00140BF9" w:rsidRDefault="00D94935" w:rsidP="00D94935">
      <w:pPr>
        <w:pStyle w:val="AmdtsEntryHd"/>
        <w:rPr>
          <w:rFonts w:cs="Arial"/>
        </w:rPr>
      </w:pPr>
      <w:r w:rsidRPr="00140BF9">
        <w:rPr>
          <w:rFonts w:cs="Arial"/>
        </w:rPr>
        <w:t>Trans-Tasman proceedings—enforcement of NZ judgments</w:t>
      </w:r>
    </w:p>
    <w:p w14:paraId="374FAE9B" w14:textId="2791F91D"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61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06EA4CEC" w14:textId="77777777" w:rsidR="00D94935" w:rsidRPr="00140BF9" w:rsidRDefault="00D94935" w:rsidP="00D94935">
      <w:pPr>
        <w:pStyle w:val="AmdtsEntryHd"/>
        <w:rPr>
          <w:rFonts w:cs="Arial"/>
        </w:rPr>
      </w:pPr>
      <w:r w:rsidRPr="00140BF9">
        <w:rPr>
          <w:rFonts w:cs="Arial"/>
        </w:rPr>
        <w:t>Trans-Tasman proceedings—notice of registration of NZ judgment</w:t>
      </w:r>
    </w:p>
    <w:p w14:paraId="6595C0B1" w14:textId="183E21D2" w:rsidR="00D94935" w:rsidRDefault="00D94935" w:rsidP="00D94935">
      <w:pPr>
        <w:pStyle w:val="AmdtsEntries"/>
        <w:rPr>
          <w:rFonts w:cs="Arial"/>
        </w:rPr>
      </w:pPr>
      <w:r w:rsidRPr="00140BF9">
        <w:rPr>
          <w:rFonts w:cs="Arial"/>
        </w:rPr>
        <w:t>r 6869</w:t>
      </w:r>
      <w:r w:rsidRPr="00140BF9">
        <w:rPr>
          <w:rFonts w:cs="Arial"/>
        </w:rPr>
        <w:tab/>
        <w:t xml:space="preserve">ins </w:t>
      </w:r>
      <w:hyperlink r:id="rId261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D0E20AA" w14:textId="115A7ABF" w:rsidR="00520C8F" w:rsidRPr="00140BF9" w:rsidRDefault="00520C8F" w:rsidP="00D94935">
      <w:pPr>
        <w:pStyle w:val="AmdtsEntries"/>
        <w:rPr>
          <w:rFonts w:cs="Arial"/>
        </w:rPr>
      </w:pPr>
      <w:r>
        <w:rPr>
          <w:rFonts w:cs="Arial"/>
        </w:rPr>
        <w:tab/>
        <w:t xml:space="preserve">am </w:t>
      </w:r>
      <w:hyperlink r:id="rId262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14:paraId="6207F5D8" w14:textId="77777777"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14:paraId="666F425F" w14:textId="0D3C26AD"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62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5522DB9" w14:textId="77777777" w:rsidR="00D94935" w:rsidRPr="00140BF9" w:rsidRDefault="00D94935" w:rsidP="00D94935">
      <w:pPr>
        <w:pStyle w:val="AmdtsEntryHd"/>
        <w:rPr>
          <w:rFonts w:cs="Arial"/>
        </w:rPr>
      </w:pPr>
      <w:r w:rsidRPr="00140BF9">
        <w:rPr>
          <w:rFonts w:cs="Arial"/>
        </w:rPr>
        <w:t>Trans-Tasman proceedings—application to set aside registration of NZ judgment</w:t>
      </w:r>
    </w:p>
    <w:p w14:paraId="4CB0EBAC" w14:textId="5B9087A8"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62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A4DFAAE" w14:textId="77777777" w:rsidR="00D94935" w:rsidRPr="00140BF9" w:rsidRDefault="00D94935" w:rsidP="00D94935">
      <w:pPr>
        <w:pStyle w:val="AmdtsEntryHd"/>
        <w:rPr>
          <w:rFonts w:cs="Arial"/>
        </w:rPr>
      </w:pPr>
      <w:r w:rsidRPr="00140BF9">
        <w:rPr>
          <w:rFonts w:cs="Arial"/>
        </w:rPr>
        <w:t>Trans-Tasman proceedings—application for stay of enforcement of registered NZ judgment</w:t>
      </w:r>
    </w:p>
    <w:p w14:paraId="5C96ACD7" w14:textId="71406490"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62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1B71A6D3" w14:textId="77777777" w:rsidR="00D94935" w:rsidRPr="00140BF9" w:rsidRDefault="00D94935" w:rsidP="00D94935">
      <w:pPr>
        <w:pStyle w:val="AmdtsEntryHd"/>
        <w:rPr>
          <w:rFonts w:cs="Arial"/>
        </w:rPr>
      </w:pPr>
      <w:r w:rsidRPr="00140BF9">
        <w:rPr>
          <w:rFonts w:cs="Arial"/>
        </w:rPr>
        <w:t>Trans-Tasman proceedings—application for extension of time to apply for stay of enforcement of registered NZ judgment</w:t>
      </w:r>
    </w:p>
    <w:p w14:paraId="7219A3A6" w14:textId="2AF3B727"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62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A7FD95" w14:textId="77777777" w:rsidR="00D94935" w:rsidRPr="00140BF9" w:rsidRDefault="00D94935" w:rsidP="00D94935">
      <w:pPr>
        <w:pStyle w:val="AmdtsEntryHd"/>
        <w:rPr>
          <w:rFonts w:cs="Arial"/>
        </w:rPr>
      </w:pPr>
      <w:r w:rsidRPr="00140BF9">
        <w:rPr>
          <w:rFonts w:cs="Arial"/>
        </w:rPr>
        <w:t>Mandatory order to registrar etc</w:t>
      </w:r>
    </w:p>
    <w:p w14:paraId="33B814B9" w14:textId="77777777"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14:paraId="37FFBDA5" w14:textId="77777777" w:rsidR="00D94935" w:rsidRPr="00140BF9" w:rsidRDefault="00D94935" w:rsidP="00D94935">
      <w:pPr>
        <w:pStyle w:val="AmdtsEntryHd"/>
        <w:rPr>
          <w:rFonts w:cs="Arial"/>
        </w:rPr>
      </w:pPr>
      <w:r w:rsidRPr="00140BF9">
        <w:rPr>
          <w:rFonts w:cs="Arial"/>
        </w:rPr>
        <w:t>Notices must be written</w:t>
      </w:r>
    </w:p>
    <w:p w14:paraId="691B44DF" w14:textId="77777777"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14:paraId="562E085C" w14:textId="77777777" w:rsidR="00D94935" w:rsidRPr="00140BF9" w:rsidRDefault="00D94935" w:rsidP="00D94935">
      <w:pPr>
        <w:pStyle w:val="AmdtsEntryHd"/>
        <w:rPr>
          <w:rFonts w:cs="Arial"/>
        </w:rPr>
      </w:pPr>
      <w:r w:rsidRPr="00140BF9">
        <w:rPr>
          <w:rFonts w:cs="Arial"/>
        </w:rPr>
        <w:t>Mistakes in orders or court certificates</w:t>
      </w:r>
    </w:p>
    <w:p w14:paraId="3F039A19" w14:textId="77777777"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14:paraId="083B8169" w14:textId="77777777" w:rsidR="001511EA" w:rsidRDefault="001511EA" w:rsidP="00D94935">
      <w:pPr>
        <w:pStyle w:val="AmdtsEntryHd"/>
      </w:pPr>
      <w:r w:rsidRPr="00CE5D4D">
        <w:t>Use of electronic devices in courtrooms</w:t>
      </w:r>
    </w:p>
    <w:p w14:paraId="6DE041D4" w14:textId="63A0469A" w:rsidR="001511EA" w:rsidRDefault="001511EA" w:rsidP="001511EA">
      <w:pPr>
        <w:pStyle w:val="AmdtsEntries"/>
      </w:pPr>
      <w:r>
        <w:t>r 6908</w:t>
      </w:r>
      <w:r>
        <w:tab/>
        <w:t xml:space="preserve">ins </w:t>
      </w:r>
      <w:hyperlink r:id="rId2625" w:tooltip="Court Procedures Amendment Rules 2018 (No 1)" w:history="1">
        <w:r>
          <w:rPr>
            <w:rStyle w:val="charCitHyperlinkAbbrev"/>
          </w:rPr>
          <w:t>SL2018</w:t>
        </w:r>
        <w:r>
          <w:rPr>
            <w:rStyle w:val="charCitHyperlinkAbbrev"/>
          </w:rPr>
          <w:noBreakHyphen/>
          <w:t>25</w:t>
        </w:r>
      </w:hyperlink>
      <w:r>
        <w:t xml:space="preserve"> r 27</w:t>
      </w:r>
    </w:p>
    <w:p w14:paraId="4F4A540E" w14:textId="140D52A2" w:rsidR="00266B63" w:rsidRPr="00266B63" w:rsidRDefault="00266B63" w:rsidP="001511EA">
      <w:pPr>
        <w:pStyle w:val="AmdtsEntries"/>
      </w:pPr>
      <w:r>
        <w:tab/>
        <w:t xml:space="preserve">am </w:t>
      </w:r>
      <w:hyperlink r:id="rId2626" w:tooltip="Court Procedures Amendment Rules 2019 (No 1)" w:history="1">
        <w:r>
          <w:rPr>
            <w:rStyle w:val="charCitHyperlinkAbbrev"/>
          </w:rPr>
          <w:t>SL2019</w:t>
        </w:r>
        <w:r>
          <w:rPr>
            <w:rStyle w:val="charCitHyperlinkAbbrev"/>
          </w:rPr>
          <w:noBreakHyphen/>
          <w:t>11</w:t>
        </w:r>
      </w:hyperlink>
      <w:r>
        <w:t xml:space="preserve"> r 14; ss renum R53 LA</w:t>
      </w:r>
    </w:p>
    <w:p w14:paraId="7187889B" w14:textId="77777777" w:rsidR="00D94935" w:rsidRPr="00140BF9" w:rsidRDefault="00D94935" w:rsidP="00D94935">
      <w:pPr>
        <w:pStyle w:val="AmdtsEntryHd"/>
        <w:rPr>
          <w:rFonts w:cs="Arial"/>
        </w:rPr>
      </w:pPr>
      <w:r w:rsidRPr="00140BF9">
        <w:rPr>
          <w:rFonts w:cs="Arial"/>
        </w:rPr>
        <w:t>Transitional—existing proceedings in Supreme Court on 1 July 2006</w:t>
      </w:r>
    </w:p>
    <w:p w14:paraId="7790953F" w14:textId="77777777"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14:paraId="00BA844E" w14:textId="77777777" w:rsidR="00D94935" w:rsidRPr="00140BF9" w:rsidRDefault="00D94935" w:rsidP="00D94935">
      <w:pPr>
        <w:pStyle w:val="AmdtsEntryHd"/>
        <w:rPr>
          <w:rFonts w:cs="Arial"/>
        </w:rPr>
      </w:pPr>
      <w:r w:rsidRPr="00140BF9">
        <w:rPr>
          <w:rFonts w:cs="Arial"/>
        </w:rPr>
        <w:lastRenderedPageBreak/>
        <w:t>Transitional—approved forms for Supreme Court</w:t>
      </w:r>
    </w:p>
    <w:p w14:paraId="0E7265E7" w14:textId="77777777"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14:paraId="55BBFFEC" w14:textId="77777777"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14:paraId="2855DE22" w14:textId="77777777"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14:paraId="63B6E50C" w14:textId="4FAA2BA6" w:rsidR="004A76DE" w:rsidRDefault="004A76DE" w:rsidP="00D94935">
      <w:pPr>
        <w:pStyle w:val="AmdtsEntryHd"/>
        <w:rPr>
          <w:rStyle w:val="CharChapText"/>
          <w:rFonts w:cs="Arial"/>
        </w:rPr>
      </w:pPr>
      <w:r w:rsidRPr="00541115">
        <w:t>Transitional—interrogatories</w:t>
      </w:r>
    </w:p>
    <w:p w14:paraId="4CF7002F" w14:textId="376FB302" w:rsidR="004A76DE" w:rsidRDefault="004A76DE" w:rsidP="004A76DE">
      <w:pPr>
        <w:pStyle w:val="AmdtsEntries"/>
      </w:pPr>
      <w:r>
        <w:t>pt 7.3 hdg</w:t>
      </w:r>
      <w:r>
        <w:tab/>
        <w:t xml:space="preserve">ins </w:t>
      </w:r>
      <w:hyperlink r:id="rId2627" w:tooltip="Court Procedures Amendment Rules 2023 (No 1)" w:history="1">
        <w:r>
          <w:rPr>
            <w:rStyle w:val="charCitHyperlinkAbbrev"/>
            <w:rFonts w:cs="Arial"/>
          </w:rPr>
          <w:t>SL2023</w:t>
        </w:r>
        <w:r>
          <w:rPr>
            <w:rStyle w:val="charCitHyperlinkAbbrev"/>
            <w:rFonts w:cs="Arial"/>
          </w:rPr>
          <w:noBreakHyphen/>
          <w:t>15</w:t>
        </w:r>
      </w:hyperlink>
      <w:r>
        <w:t xml:space="preserve"> r 13</w:t>
      </w:r>
    </w:p>
    <w:p w14:paraId="2277C43C" w14:textId="415D2B2A" w:rsidR="004A76DE" w:rsidRPr="00F50B11" w:rsidRDefault="004A76DE" w:rsidP="004A76DE">
      <w:pPr>
        <w:pStyle w:val="AmdtsEntries"/>
        <w:rPr>
          <w:rStyle w:val="charUnderline"/>
        </w:rPr>
      </w:pPr>
      <w:r>
        <w:tab/>
      </w:r>
      <w:r w:rsidRPr="00F50B11">
        <w:rPr>
          <w:rStyle w:val="charUnderline"/>
        </w:rPr>
        <w:t>exp 1 July 2025 (r 7012 (3))</w:t>
      </w:r>
    </w:p>
    <w:p w14:paraId="4CB4E51B" w14:textId="154BEB8B" w:rsidR="00F50B11" w:rsidRDefault="00F50B11" w:rsidP="00F50B11">
      <w:pPr>
        <w:pStyle w:val="AmdtsEntryHd"/>
        <w:rPr>
          <w:rStyle w:val="CharChapText"/>
          <w:rFonts w:cs="Arial"/>
        </w:rPr>
      </w:pPr>
      <w:r w:rsidRPr="00541115">
        <w:t>Transitional—interrogatories</w:t>
      </w:r>
    </w:p>
    <w:p w14:paraId="52C628C8" w14:textId="69BBEFA3" w:rsidR="00F50B11" w:rsidRDefault="00F50B11" w:rsidP="00F50B11">
      <w:pPr>
        <w:pStyle w:val="AmdtsEntries"/>
      </w:pPr>
      <w:r>
        <w:t>r 7012</w:t>
      </w:r>
      <w:r>
        <w:tab/>
        <w:t xml:space="preserve">ins </w:t>
      </w:r>
      <w:hyperlink r:id="rId2628" w:tooltip="Court Procedures Amendment Rules 2023 (No 1)" w:history="1">
        <w:r>
          <w:rPr>
            <w:rStyle w:val="charCitHyperlinkAbbrev"/>
            <w:rFonts w:cs="Arial"/>
          </w:rPr>
          <w:t>SL2023</w:t>
        </w:r>
        <w:r>
          <w:rPr>
            <w:rStyle w:val="charCitHyperlinkAbbrev"/>
            <w:rFonts w:cs="Arial"/>
          </w:rPr>
          <w:noBreakHyphen/>
          <w:t>15</w:t>
        </w:r>
      </w:hyperlink>
      <w:r>
        <w:t xml:space="preserve"> r 13</w:t>
      </w:r>
    </w:p>
    <w:p w14:paraId="171750AF" w14:textId="77777777" w:rsidR="00F50B11" w:rsidRPr="00F50B11" w:rsidRDefault="00F50B11" w:rsidP="00F50B11">
      <w:pPr>
        <w:pStyle w:val="AmdtsEntries"/>
        <w:rPr>
          <w:rStyle w:val="charUnderline"/>
        </w:rPr>
      </w:pPr>
      <w:r>
        <w:tab/>
      </w:r>
      <w:r w:rsidRPr="00F50B11">
        <w:rPr>
          <w:rStyle w:val="charUnderline"/>
        </w:rPr>
        <w:t>exp 1 July 2025 (r 7012 (3))</w:t>
      </w:r>
    </w:p>
    <w:p w14:paraId="013794F9" w14:textId="3BA5D3B0" w:rsidR="00D94935" w:rsidRPr="00140BF9" w:rsidRDefault="00D94935" w:rsidP="00D94935">
      <w:pPr>
        <w:pStyle w:val="AmdtsEntryHd"/>
        <w:rPr>
          <w:rStyle w:val="CharChapText"/>
          <w:rFonts w:cs="Arial"/>
        </w:rPr>
      </w:pPr>
      <w:r w:rsidRPr="00140BF9">
        <w:rPr>
          <w:rStyle w:val="CharChapText"/>
          <w:rFonts w:cs="Arial"/>
        </w:rPr>
        <w:t>Expert witness code of conduct</w:t>
      </w:r>
    </w:p>
    <w:p w14:paraId="4C5AC709" w14:textId="15CEF521"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62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14:paraId="51926F0C" w14:textId="482229D6" w:rsidR="006510E2" w:rsidRPr="00140BF9" w:rsidRDefault="006510E2" w:rsidP="00D94935">
      <w:pPr>
        <w:pStyle w:val="AmdtsEntries"/>
        <w:rPr>
          <w:rFonts w:cs="Arial"/>
        </w:rPr>
      </w:pPr>
      <w:r>
        <w:rPr>
          <w:rFonts w:cs="Arial"/>
        </w:rPr>
        <w:tab/>
        <w:t xml:space="preserve">sub </w:t>
      </w:r>
      <w:hyperlink r:id="rId2630" w:tooltip="Court Procedures Amendment Rules 2016 (No 1)" w:history="1">
        <w:r>
          <w:rPr>
            <w:rStyle w:val="charCitHyperlinkAbbrev"/>
          </w:rPr>
          <w:t>SL2016</w:t>
        </w:r>
        <w:r>
          <w:rPr>
            <w:rStyle w:val="charCitHyperlinkAbbrev"/>
          </w:rPr>
          <w:noBreakHyphen/>
          <w:t>17</w:t>
        </w:r>
      </w:hyperlink>
      <w:r>
        <w:t xml:space="preserve"> r 10</w:t>
      </w:r>
    </w:p>
    <w:p w14:paraId="79BB0F4D" w14:textId="77777777" w:rsidR="00D94935" w:rsidRPr="00140BF9" w:rsidRDefault="00D94935" w:rsidP="00D94935">
      <w:pPr>
        <w:pStyle w:val="AmdtsEntryHd"/>
        <w:rPr>
          <w:rFonts w:cs="Arial"/>
        </w:rPr>
      </w:pPr>
      <w:r w:rsidRPr="00140BF9">
        <w:rPr>
          <w:rFonts w:cs="Arial"/>
        </w:rPr>
        <w:t>Application of code</w:t>
      </w:r>
    </w:p>
    <w:p w14:paraId="1846E50D" w14:textId="77777777"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14:paraId="72CDE2BC" w14:textId="18ACC773"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631"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14:paraId="5F803D48" w14:textId="77777777" w:rsidR="00D94935" w:rsidRPr="00140BF9" w:rsidRDefault="00D94935" w:rsidP="00D94935">
      <w:pPr>
        <w:pStyle w:val="AmdtsEntryHd"/>
        <w:rPr>
          <w:rFonts w:cs="Arial"/>
        </w:rPr>
      </w:pPr>
      <w:r w:rsidRPr="00140BF9">
        <w:rPr>
          <w:rFonts w:cs="Arial"/>
        </w:rPr>
        <w:t>General duty to court</w:t>
      </w:r>
    </w:p>
    <w:p w14:paraId="55BBDE14" w14:textId="77777777"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14:paraId="234386D3" w14:textId="4E627D04"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632" w:tooltip="Court Procedures Amendment Rules 2016 (No 1)" w:history="1">
        <w:r>
          <w:rPr>
            <w:rStyle w:val="charCitHyperlinkAbbrev"/>
          </w:rPr>
          <w:t>SL2016</w:t>
        </w:r>
        <w:r>
          <w:rPr>
            <w:rStyle w:val="charCitHyperlinkAbbrev"/>
          </w:rPr>
          <w:noBreakHyphen/>
          <w:t>17</w:t>
        </w:r>
      </w:hyperlink>
      <w:r>
        <w:t xml:space="preserve"> r 10</w:t>
      </w:r>
    </w:p>
    <w:p w14:paraId="70981328" w14:textId="77777777" w:rsidR="00D94935" w:rsidRPr="00140BF9" w:rsidRDefault="001A25C3" w:rsidP="00A47A62">
      <w:pPr>
        <w:pStyle w:val="AmdtsEntryHd"/>
        <w:rPr>
          <w:rFonts w:cs="Arial"/>
        </w:rPr>
      </w:pPr>
      <w:r w:rsidRPr="00122C29">
        <w:t>Content of report</w:t>
      </w:r>
    </w:p>
    <w:p w14:paraId="1523E2D0" w14:textId="77777777" w:rsidR="00D94935" w:rsidRDefault="00D94935" w:rsidP="00A47A62">
      <w:pPr>
        <w:pStyle w:val="AmdtsEntries"/>
        <w:keepNext/>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14:paraId="1CC11404" w14:textId="75367D8F" w:rsidR="001A25C3" w:rsidRPr="00140BF9" w:rsidRDefault="001A25C3" w:rsidP="00A47A62">
      <w:pPr>
        <w:pStyle w:val="AmdtsEntries"/>
        <w:keepNext/>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633" w:tooltip="Court Procedures Amendment Rules 2016 (No 1)" w:history="1">
        <w:r>
          <w:rPr>
            <w:rStyle w:val="charCitHyperlinkAbbrev"/>
          </w:rPr>
          <w:t>SL2016</w:t>
        </w:r>
        <w:r>
          <w:rPr>
            <w:rStyle w:val="charCitHyperlinkAbbrev"/>
          </w:rPr>
          <w:noBreakHyphen/>
          <w:t>17</w:t>
        </w:r>
      </w:hyperlink>
      <w:r>
        <w:t xml:space="preserve"> r 10</w:t>
      </w:r>
    </w:p>
    <w:p w14:paraId="362997C0" w14:textId="77777777" w:rsidR="00D94935" w:rsidRPr="00140BF9" w:rsidRDefault="001A25C3" w:rsidP="00D94935">
      <w:pPr>
        <w:pStyle w:val="AmdtsEntryHd"/>
        <w:rPr>
          <w:rFonts w:cs="Arial"/>
        </w:rPr>
      </w:pPr>
      <w:r w:rsidRPr="00122C29">
        <w:t>Supplementary report following change of opinion</w:t>
      </w:r>
    </w:p>
    <w:p w14:paraId="74AF605C" w14:textId="77777777"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14:paraId="0710B1CC" w14:textId="15B23F19"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634" w:tooltip="Court Procedures Amendment Rules 2016 (No 1)" w:history="1">
        <w:r>
          <w:rPr>
            <w:rStyle w:val="charCitHyperlinkAbbrev"/>
          </w:rPr>
          <w:t>SL2016</w:t>
        </w:r>
        <w:r>
          <w:rPr>
            <w:rStyle w:val="charCitHyperlinkAbbrev"/>
          </w:rPr>
          <w:noBreakHyphen/>
          <w:t>17</w:t>
        </w:r>
      </w:hyperlink>
      <w:r>
        <w:t xml:space="preserve"> r 10</w:t>
      </w:r>
    </w:p>
    <w:p w14:paraId="268182B4" w14:textId="77777777" w:rsidR="001A25C3" w:rsidRDefault="00F5206E" w:rsidP="00D94935">
      <w:pPr>
        <w:pStyle w:val="AmdtsEntryHd"/>
        <w:rPr>
          <w:rStyle w:val="CharPartText"/>
          <w:rFonts w:cs="Arial"/>
        </w:rPr>
      </w:pPr>
      <w:r w:rsidRPr="00122C29">
        <w:t>Duty to comply with court’s directions</w:t>
      </w:r>
    </w:p>
    <w:p w14:paraId="517FF195" w14:textId="02504E34" w:rsidR="001A25C3" w:rsidRPr="001A25C3" w:rsidRDefault="001A25C3" w:rsidP="001A25C3">
      <w:pPr>
        <w:pStyle w:val="AmdtsEntries"/>
      </w:pPr>
      <w:r>
        <w:t>sch 1, r 1.5</w:t>
      </w:r>
      <w:r>
        <w:tab/>
      </w:r>
      <w:r w:rsidR="000F2188">
        <w:rPr>
          <w:rFonts w:cs="Arial"/>
        </w:rPr>
        <w:t>ins</w:t>
      </w:r>
      <w:r>
        <w:rPr>
          <w:rFonts w:cs="Arial"/>
        </w:rPr>
        <w:t xml:space="preserve"> </w:t>
      </w:r>
      <w:hyperlink r:id="rId2635" w:tooltip="Court Procedures Amendment Rules 2016 (No 1)" w:history="1">
        <w:r>
          <w:rPr>
            <w:rStyle w:val="charCitHyperlinkAbbrev"/>
          </w:rPr>
          <w:t>SL2016</w:t>
        </w:r>
        <w:r>
          <w:rPr>
            <w:rStyle w:val="charCitHyperlinkAbbrev"/>
          </w:rPr>
          <w:noBreakHyphen/>
          <w:t>17</w:t>
        </w:r>
      </w:hyperlink>
      <w:r>
        <w:t xml:space="preserve"> r 10</w:t>
      </w:r>
    </w:p>
    <w:p w14:paraId="3463B1D4" w14:textId="77777777" w:rsidR="001A25C3" w:rsidRDefault="00F5206E" w:rsidP="00D94935">
      <w:pPr>
        <w:pStyle w:val="AmdtsEntryHd"/>
        <w:rPr>
          <w:rStyle w:val="CharPartText"/>
          <w:rFonts w:cs="Arial"/>
        </w:rPr>
      </w:pPr>
      <w:r w:rsidRPr="00122C29">
        <w:t>Experts’ conference etc</w:t>
      </w:r>
    </w:p>
    <w:p w14:paraId="6FA9DD8A" w14:textId="4A7099FA"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636"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14:paraId="62A4FAEE" w14:textId="77777777" w:rsidR="00D94935" w:rsidRPr="00140BF9" w:rsidRDefault="00D94935" w:rsidP="00D94935">
      <w:pPr>
        <w:pStyle w:val="AmdtsEntryHd"/>
        <w:rPr>
          <w:rStyle w:val="CharPartText"/>
          <w:rFonts w:cs="Arial"/>
        </w:rPr>
      </w:pPr>
      <w:r w:rsidRPr="00140BF9">
        <w:rPr>
          <w:rStyle w:val="CharPartText"/>
          <w:rFonts w:cs="Arial"/>
        </w:rPr>
        <w:t>Interest up to judgment</w:t>
      </w:r>
    </w:p>
    <w:p w14:paraId="6E3B69C7" w14:textId="77777777"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14:paraId="7855F804" w14:textId="77777777" w:rsidR="00D94935" w:rsidRPr="00140BF9" w:rsidRDefault="00D94935" w:rsidP="00D94935">
      <w:pPr>
        <w:pStyle w:val="AmdtsEntryHd"/>
        <w:rPr>
          <w:rStyle w:val="CharChapText"/>
          <w:rFonts w:cs="Arial"/>
        </w:rPr>
      </w:pPr>
      <w:r w:rsidRPr="00140BF9">
        <w:rPr>
          <w:rFonts w:cs="Arial"/>
        </w:rPr>
        <w:t>Interest up to judgment—Supreme Court</w:t>
      </w:r>
    </w:p>
    <w:p w14:paraId="1518B40E" w14:textId="2D4E85B7"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63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14:paraId="6FC047A3" w14:textId="77777777" w:rsidR="00D94935" w:rsidRPr="00140BF9" w:rsidRDefault="00D94935" w:rsidP="00D94935">
      <w:pPr>
        <w:pStyle w:val="AmdtsEntryHd"/>
        <w:rPr>
          <w:rFonts w:cs="Arial"/>
        </w:rPr>
      </w:pPr>
      <w:r w:rsidRPr="00140BF9">
        <w:rPr>
          <w:rFonts w:cs="Arial"/>
        </w:rPr>
        <w:t>Interest up to judgment after 30 June 2010—Supreme Court</w:t>
      </w:r>
    </w:p>
    <w:p w14:paraId="3E892E27" w14:textId="38E1D75E"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63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14:paraId="2FBC6469" w14:textId="77777777" w:rsidR="00D94935" w:rsidRPr="00140BF9" w:rsidRDefault="00D94935" w:rsidP="00D94935">
      <w:pPr>
        <w:pStyle w:val="AmdtsEntryHd"/>
        <w:rPr>
          <w:rStyle w:val="CharPartText"/>
          <w:rFonts w:cs="Arial"/>
        </w:rPr>
      </w:pPr>
      <w:r w:rsidRPr="00140BF9">
        <w:rPr>
          <w:rStyle w:val="CharPartText"/>
          <w:rFonts w:cs="Arial"/>
        </w:rPr>
        <w:t>Interest after judgment</w:t>
      </w:r>
    </w:p>
    <w:p w14:paraId="6964EC9B" w14:textId="77777777"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14:paraId="5FD5D5B1" w14:textId="40040EC8" w:rsidR="00D94935" w:rsidRPr="00140BF9" w:rsidRDefault="00D94935" w:rsidP="00D94935">
      <w:pPr>
        <w:pStyle w:val="AmdtsEntries"/>
        <w:rPr>
          <w:rFonts w:cs="Arial"/>
        </w:rPr>
      </w:pPr>
      <w:r w:rsidRPr="00140BF9">
        <w:rPr>
          <w:rFonts w:cs="Arial"/>
        </w:rPr>
        <w:tab/>
        <w:t xml:space="preserve">am </w:t>
      </w:r>
      <w:hyperlink r:id="rId263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14:paraId="2973C9E8" w14:textId="77777777" w:rsidR="00D94935" w:rsidRPr="00140BF9" w:rsidRDefault="00D94935" w:rsidP="00D94935">
      <w:pPr>
        <w:pStyle w:val="AmdtsEntryHd"/>
        <w:rPr>
          <w:rFonts w:cs="Arial"/>
        </w:rPr>
      </w:pPr>
      <w:r w:rsidRPr="00140BF9">
        <w:rPr>
          <w:rFonts w:cs="Arial"/>
        </w:rPr>
        <w:lastRenderedPageBreak/>
        <w:t>Interest up to judgment—Magistrates Court</w:t>
      </w:r>
    </w:p>
    <w:p w14:paraId="5A15A49E" w14:textId="09F46F94"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64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14:paraId="0B592B5A" w14:textId="77777777" w:rsidR="00D94935" w:rsidRPr="00140BF9" w:rsidRDefault="00D94935" w:rsidP="00D94935">
      <w:pPr>
        <w:pStyle w:val="AmdtsEntryHd"/>
        <w:rPr>
          <w:rFonts w:cs="Arial"/>
        </w:rPr>
      </w:pPr>
      <w:r w:rsidRPr="00140BF9">
        <w:rPr>
          <w:rFonts w:cs="Arial"/>
        </w:rPr>
        <w:t>Interest up to judgment after 30 June 2010—Magistrates Court</w:t>
      </w:r>
    </w:p>
    <w:p w14:paraId="76E0C906" w14:textId="3B200A8B"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64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14:paraId="288CE743" w14:textId="77777777" w:rsidR="00D94935" w:rsidRPr="00140BF9" w:rsidRDefault="00D94935" w:rsidP="00D94935">
      <w:pPr>
        <w:pStyle w:val="AmdtsEntryHd"/>
        <w:rPr>
          <w:rFonts w:cs="Arial"/>
        </w:rPr>
      </w:pPr>
      <w:r w:rsidRPr="00140BF9">
        <w:rPr>
          <w:rFonts w:cs="Arial"/>
        </w:rPr>
        <w:t>Interest after judgment—Supreme Court</w:t>
      </w:r>
    </w:p>
    <w:p w14:paraId="4090C763" w14:textId="7D4CAC0D"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64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14:paraId="0D3DF6D6" w14:textId="77777777" w:rsidR="00D94935" w:rsidRPr="00140BF9" w:rsidRDefault="00D94935" w:rsidP="00D94935">
      <w:pPr>
        <w:pStyle w:val="AmdtsEntryHd"/>
        <w:rPr>
          <w:rFonts w:cs="Arial"/>
        </w:rPr>
      </w:pPr>
      <w:r w:rsidRPr="00140BF9">
        <w:rPr>
          <w:rFonts w:cs="Arial"/>
        </w:rPr>
        <w:t>Interest on judgment after 30 June 2010—Supreme Court</w:t>
      </w:r>
    </w:p>
    <w:p w14:paraId="1D33295D" w14:textId="76633B28"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64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14:paraId="4EC6A269" w14:textId="77777777" w:rsidR="00D94935" w:rsidRPr="00140BF9" w:rsidRDefault="00D94935" w:rsidP="00D94935">
      <w:pPr>
        <w:pStyle w:val="AmdtsEntryHd"/>
        <w:rPr>
          <w:rFonts w:cs="Arial"/>
        </w:rPr>
      </w:pPr>
      <w:r w:rsidRPr="00140BF9">
        <w:rPr>
          <w:rFonts w:cs="Arial"/>
        </w:rPr>
        <w:t>Interest after judgment—Magistrates Court</w:t>
      </w:r>
    </w:p>
    <w:p w14:paraId="355176E1" w14:textId="7CEB51A3"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64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14:paraId="114A5C53" w14:textId="77777777" w:rsidR="00D94935" w:rsidRPr="00140BF9" w:rsidRDefault="00D94935" w:rsidP="00D94935">
      <w:pPr>
        <w:pStyle w:val="AmdtsEntryHd"/>
        <w:rPr>
          <w:rFonts w:cs="Arial"/>
        </w:rPr>
      </w:pPr>
      <w:r w:rsidRPr="00140BF9">
        <w:rPr>
          <w:rFonts w:cs="Arial"/>
        </w:rPr>
        <w:t>Interest on judgment after 30 June 2010—Magistrates Court</w:t>
      </w:r>
    </w:p>
    <w:p w14:paraId="6CC493AC" w14:textId="41BE4BDC"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64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14:paraId="4C621E2D" w14:textId="77777777" w:rsidR="00D94935" w:rsidRPr="00140BF9" w:rsidRDefault="00520C8F" w:rsidP="00D94935">
      <w:pPr>
        <w:pStyle w:val="AmdtsEntryHd"/>
        <w:rPr>
          <w:rFonts w:cs="Arial"/>
        </w:rPr>
      </w:pPr>
      <w:r w:rsidRPr="00A60754">
        <w:t>Costs amount—debts, liquidated demands, company windings-up, enforcement orders and certificates of registration</w:t>
      </w:r>
    </w:p>
    <w:p w14:paraId="6B2C8561" w14:textId="07123A6F" w:rsidR="00D94935" w:rsidRPr="000076F0" w:rsidRDefault="00D94935" w:rsidP="00D94935">
      <w:pPr>
        <w:pStyle w:val="AmdtsEntries"/>
      </w:pPr>
      <w:r w:rsidRPr="00140BF9">
        <w:rPr>
          <w:rFonts w:cs="Arial"/>
        </w:rPr>
        <w:t>sch 3 hdg</w:t>
      </w:r>
      <w:r w:rsidRPr="00140BF9">
        <w:rPr>
          <w:rFonts w:cs="Arial"/>
        </w:rPr>
        <w:tab/>
        <w:t xml:space="preserve">sub </w:t>
      </w:r>
      <w:hyperlink r:id="rId264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64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648" w:tooltip="Court Procedures Amendment Rules 2013 (No 1)" w:history="1">
        <w:r w:rsidRPr="00140BF9">
          <w:rPr>
            <w:rStyle w:val="charCitHyperlinkAbbrev"/>
            <w:rFonts w:cs="Arial"/>
          </w:rPr>
          <w:t>SL2013-18</w:t>
        </w:r>
      </w:hyperlink>
      <w:r w:rsidRPr="00140BF9">
        <w:rPr>
          <w:rFonts w:cs="Arial"/>
        </w:rPr>
        <w:t xml:space="preserve"> r 32; </w:t>
      </w:r>
      <w:hyperlink r:id="rId264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65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65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2605BCB2" w14:textId="77777777" w:rsidR="00D94935" w:rsidRPr="00140BF9" w:rsidRDefault="00D94935" w:rsidP="00A47A62">
      <w:pPr>
        <w:pStyle w:val="AmdtsEntryHd"/>
        <w:rPr>
          <w:rFonts w:cs="Arial"/>
        </w:rPr>
      </w:pPr>
      <w:r w:rsidRPr="00140BF9">
        <w:rPr>
          <w:rFonts w:cs="Arial"/>
        </w:rPr>
        <w:t>Claim for debt or liquidated demand</w:t>
      </w:r>
    </w:p>
    <w:p w14:paraId="4524C637" w14:textId="167F0190" w:rsidR="00D94935" w:rsidRPr="00140BF9" w:rsidRDefault="00D94935" w:rsidP="00A47A62">
      <w:pPr>
        <w:pStyle w:val="AmdtsEntries"/>
        <w:keepNext/>
        <w:rPr>
          <w:rFonts w:cs="Arial"/>
        </w:rPr>
      </w:pPr>
      <w:r w:rsidRPr="00140BF9">
        <w:rPr>
          <w:rFonts w:cs="Arial"/>
        </w:rPr>
        <w:t>sch 3, pt 3.1</w:t>
      </w:r>
      <w:r w:rsidRPr="00140BF9">
        <w:rPr>
          <w:rFonts w:cs="Arial"/>
        </w:rPr>
        <w:tab/>
        <w:t xml:space="preserve">sub </w:t>
      </w:r>
      <w:hyperlink r:id="rId265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2ED505BF" w14:textId="3B585724" w:rsidR="00D94935" w:rsidRPr="00140BF9" w:rsidRDefault="00D94935" w:rsidP="00A47A62">
      <w:pPr>
        <w:pStyle w:val="AmdtsEntries"/>
        <w:keepNext/>
        <w:rPr>
          <w:rFonts w:cs="Arial"/>
        </w:rPr>
      </w:pPr>
      <w:r w:rsidRPr="00140BF9">
        <w:rPr>
          <w:rFonts w:cs="Arial"/>
        </w:rPr>
        <w:tab/>
        <w:t xml:space="preserve">am </w:t>
      </w:r>
      <w:hyperlink r:id="rId265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14:paraId="3D4A3B17" w14:textId="04B56D69" w:rsidR="00D94935" w:rsidRPr="00140BF9" w:rsidRDefault="00D94935" w:rsidP="00A47A62">
      <w:pPr>
        <w:pStyle w:val="AmdtsEntries"/>
        <w:keepNext/>
        <w:rPr>
          <w:rFonts w:cs="Arial"/>
        </w:rPr>
      </w:pPr>
      <w:r w:rsidRPr="00140BF9">
        <w:rPr>
          <w:rFonts w:cs="Arial"/>
        </w:rPr>
        <w:tab/>
        <w:t xml:space="preserve">sub </w:t>
      </w:r>
      <w:hyperlink r:id="rId265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655" w:tooltip="Court Procedures Amendment Rules 2013 (No 1)" w:history="1">
        <w:r w:rsidRPr="00140BF9">
          <w:rPr>
            <w:rStyle w:val="charCitHyperlinkAbbrev"/>
            <w:rFonts w:cs="Arial"/>
          </w:rPr>
          <w:t>SL2013-18</w:t>
        </w:r>
      </w:hyperlink>
      <w:r w:rsidRPr="00140BF9">
        <w:rPr>
          <w:rFonts w:cs="Arial"/>
        </w:rPr>
        <w:t xml:space="preserve"> r 32; </w:t>
      </w:r>
      <w:hyperlink r:id="rId265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5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65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63C9BEDD" w14:textId="77777777" w:rsidR="00D94935" w:rsidRPr="00140BF9" w:rsidRDefault="00D94935" w:rsidP="00D94935">
      <w:pPr>
        <w:pStyle w:val="AmdtsEntryHd"/>
        <w:rPr>
          <w:rFonts w:cs="Arial"/>
        </w:rPr>
      </w:pPr>
      <w:r w:rsidRPr="00140BF9">
        <w:rPr>
          <w:rStyle w:val="CharPartText"/>
          <w:rFonts w:cs="Arial"/>
        </w:rPr>
        <w:t>Default judgment</w:t>
      </w:r>
    </w:p>
    <w:p w14:paraId="4DAC1880" w14:textId="227FDD37"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65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5E34B5C6" w14:textId="6D9765F7" w:rsidR="00D94935" w:rsidRPr="00140BF9" w:rsidRDefault="00D94935" w:rsidP="00D94935">
      <w:pPr>
        <w:pStyle w:val="AmdtsEntries"/>
        <w:rPr>
          <w:rFonts w:cs="Arial"/>
        </w:rPr>
      </w:pPr>
      <w:r w:rsidRPr="00140BF9">
        <w:rPr>
          <w:rFonts w:cs="Arial"/>
        </w:rPr>
        <w:tab/>
        <w:t xml:space="preserve">am </w:t>
      </w:r>
      <w:hyperlink r:id="rId266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14:paraId="272E4D84" w14:textId="29E2CA4A" w:rsidR="00D94935" w:rsidRPr="00140BF9" w:rsidRDefault="00D94935" w:rsidP="00D94935">
      <w:pPr>
        <w:pStyle w:val="AmdtsEntries"/>
        <w:rPr>
          <w:rFonts w:cs="Arial"/>
        </w:rPr>
      </w:pPr>
      <w:r w:rsidRPr="00140BF9">
        <w:rPr>
          <w:rFonts w:cs="Arial"/>
        </w:rPr>
        <w:tab/>
        <w:t xml:space="preserve">sub </w:t>
      </w:r>
      <w:hyperlink r:id="rId266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662" w:tooltip="Court Procedures Amendment Rules 2013 (No 1)" w:history="1">
        <w:r w:rsidRPr="00140BF9">
          <w:rPr>
            <w:rStyle w:val="charCitHyperlinkAbbrev"/>
            <w:rFonts w:cs="Arial"/>
          </w:rPr>
          <w:t>SL2013-18</w:t>
        </w:r>
      </w:hyperlink>
      <w:r w:rsidRPr="00140BF9">
        <w:rPr>
          <w:rFonts w:cs="Arial"/>
        </w:rPr>
        <w:t xml:space="preserve"> r 32; </w:t>
      </w:r>
      <w:hyperlink r:id="rId266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64"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665"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3660799A" w14:textId="77777777" w:rsidR="00D94935" w:rsidRPr="00140BF9" w:rsidRDefault="00D94935" w:rsidP="00D94935">
      <w:pPr>
        <w:pStyle w:val="AmdtsEntryHd"/>
        <w:rPr>
          <w:rFonts w:cs="Arial"/>
        </w:rPr>
      </w:pPr>
      <w:r w:rsidRPr="00140BF9">
        <w:rPr>
          <w:rStyle w:val="CharPartText"/>
          <w:rFonts w:cs="Arial"/>
        </w:rPr>
        <w:t>Company winding-up</w:t>
      </w:r>
    </w:p>
    <w:p w14:paraId="2E25C8B6" w14:textId="06714E9E"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66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7A91B7B2" w14:textId="10F3C96F" w:rsidR="00D94935" w:rsidRPr="00140BF9" w:rsidRDefault="00D94935" w:rsidP="00D94935">
      <w:pPr>
        <w:pStyle w:val="AmdtsEntries"/>
        <w:rPr>
          <w:rFonts w:cs="Arial"/>
        </w:rPr>
      </w:pPr>
      <w:r w:rsidRPr="00140BF9">
        <w:rPr>
          <w:rFonts w:cs="Arial"/>
        </w:rPr>
        <w:tab/>
        <w:t xml:space="preserve">sub </w:t>
      </w:r>
      <w:hyperlink r:id="rId266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668" w:tooltip="Court Procedures Amendment Rules 2013 (No 1)" w:history="1">
        <w:r w:rsidRPr="00140BF9">
          <w:rPr>
            <w:rStyle w:val="charCitHyperlinkAbbrev"/>
            <w:rFonts w:cs="Arial"/>
          </w:rPr>
          <w:t>SL2013-18</w:t>
        </w:r>
      </w:hyperlink>
      <w:r w:rsidRPr="00140BF9">
        <w:rPr>
          <w:rFonts w:cs="Arial"/>
        </w:rPr>
        <w:t xml:space="preserve"> r 32; </w:t>
      </w:r>
      <w:hyperlink r:id="rId266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7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67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43410FBD" w14:textId="77777777" w:rsidR="00D94935" w:rsidRPr="00140BF9" w:rsidRDefault="00D94935" w:rsidP="00D94935">
      <w:pPr>
        <w:pStyle w:val="AmdtsEntryHd"/>
        <w:rPr>
          <w:rFonts w:cs="Arial"/>
        </w:rPr>
      </w:pPr>
      <w:r w:rsidRPr="00140BF9">
        <w:rPr>
          <w:rFonts w:cs="Arial"/>
        </w:rPr>
        <w:t>Enforcement orders</w:t>
      </w:r>
    </w:p>
    <w:p w14:paraId="3205AB0A" w14:textId="122811AC"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67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14:paraId="1E7F6F42" w14:textId="4A9C2C18" w:rsidR="00D94935" w:rsidRPr="00140BF9" w:rsidRDefault="00D94935" w:rsidP="00D94935">
      <w:pPr>
        <w:pStyle w:val="AmdtsEntries"/>
        <w:rPr>
          <w:rFonts w:cs="Arial"/>
        </w:rPr>
      </w:pPr>
      <w:r w:rsidRPr="00140BF9">
        <w:rPr>
          <w:rFonts w:cs="Arial"/>
        </w:rPr>
        <w:tab/>
        <w:t xml:space="preserve">sub </w:t>
      </w:r>
      <w:hyperlink r:id="rId2673" w:tooltip="Court Procedures Amendment Rules 2013 (No 1)" w:history="1">
        <w:r w:rsidRPr="00140BF9">
          <w:rPr>
            <w:rStyle w:val="charCitHyperlinkAbbrev"/>
            <w:rFonts w:cs="Arial"/>
          </w:rPr>
          <w:t>SL2013-18</w:t>
        </w:r>
      </w:hyperlink>
      <w:r w:rsidRPr="00140BF9">
        <w:rPr>
          <w:rFonts w:cs="Arial"/>
        </w:rPr>
        <w:t xml:space="preserve"> r 32; </w:t>
      </w:r>
      <w:hyperlink r:id="rId267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75"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676"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19DBFB8A" w14:textId="77777777" w:rsidR="00D94935" w:rsidRPr="00140BF9" w:rsidRDefault="00D94935" w:rsidP="00D94935">
      <w:pPr>
        <w:pStyle w:val="AmdtsEntryHd"/>
        <w:rPr>
          <w:rFonts w:cs="Arial"/>
        </w:rPr>
      </w:pPr>
      <w:r w:rsidRPr="00140BF9">
        <w:rPr>
          <w:rFonts w:cs="Arial"/>
        </w:rPr>
        <w:t>Certificate of registration</w:t>
      </w:r>
    </w:p>
    <w:p w14:paraId="274D9854" w14:textId="18ABD865"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67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14:paraId="66D99505" w14:textId="7E0D934F" w:rsidR="00D94935" w:rsidRPr="00140BF9" w:rsidRDefault="00D94935" w:rsidP="00D94935">
      <w:pPr>
        <w:pStyle w:val="AmdtsEntries"/>
        <w:rPr>
          <w:rFonts w:cs="Arial"/>
        </w:rPr>
      </w:pPr>
      <w:r w:rsidRPr="00140BF9">
        <w:rPr>
          <w:rFonts w:cs="Arial"/>
        </w:rPr>
        <w:tab/>
        <w:t xml:space="preserve">sub </w:t>
      </w:r>
      <w:hyperlink r:id="rId2678" w:tooltip="Court Procedures Amendment Rules 2013 (No 1)" w:history="1">
        <w:r w:rsidRPr="00140BF9">
          <w:rPr>
            <w:rStyle w:val="charCitHyperlinkAbbrev"/>
            <w:rFonts w:cs="Arial"/>
          </w:rPr>
          <w:t>SL2013-18</w:t>
        </w:r>
      </w:hyperlink>
      <w:r w:rsidRPr="00140BF9">
        <w:rPr>
          <w:rFonts w:cs="Arial"/>
        </w:rPr>
        <w:t xml:space="preserve"> r 32; </w:t>
      </w:r>
      <w:hyperlink r:id="rId26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68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681"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4436DE19" w14:textId="77777777" w:rsidR="00D94935" w:rsidRPr="00140BF9" w:rsidRDefault="00D94935" w:rsidP="00D94935">
      <w:pPr>
        <w:pStyle w:val="AmdtsEntryHd"/>
        <w:rPr>
          <w:rFonts w:cs="Arial"/>
        </w:rPr>
      </w:pPr>
      <w:r w:rsidRPr="00140BF9">
        <w:rPr>
          <w:rFonts w:cs="Arial"/>
        </w:rPr>
        <w:t>Costs—general care and conduct</w:t>
      </w:r>
    </w:p>
    <w:p w14:paraId="07F33389" w14:textId="77777777"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14:paraId="180CC911" w14:textId="77777777" w:rsidR="00D94935" w:rsidRPr="00140BF9" w:rsidRDefault="00D94935" w:rsidP="00D94935">
      <w:pPr>
        <w:pStyle w:val="AmdtsEntryHd"/>
        <w:rPr>
          <w:rFonts w:cs="Arial"/>
        </w:rPr>
      </w:pPr>
      <w:r w:rsidRPr="00140BF9">
        <w:rPr>
          <w:rFonts w:cs="Arial"/>
        </w:rPr>
        <w:lastRenderedPageBreak/>
        <w:t>Costs—registrar’s discretion</w:t>
      </w:r>
    </w:p>
    <w:p w14:paraId="3D8A50CA" w14:textId="77777777"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14:paraId="7E4A3763" w14:textId="77777777" w:rsidR="00D94935" w:rsidRPr="00140BF9" w:rsidRDefault="00D94935" w:rsidP="00D94935">
      <w:pPr>
        <w:pStyle w:val="AmdtsEntryHd"/>
        <w:rPr>
          <w:rFonts w:cs="Arial"/>
        </w:rPr>
      </w:pPr>
      <w:r w:rsidRPr="00140BF9">
        <w:rPr>
          <w:rFonts w:cs="Arial"/>
        </w:rPr>
        <w:t>Costs—allowance on affidavits to include attendances</w:t>
      </w:r>
    </w:p>
    <w:p w14:paraId="003BC149" w14:textId="77777777"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14:paraId="0F72CBCA" w14:textId="77777777" w:rsidR="00D94935" w:rsidRPr="00140BF9" w:rsidRDefault="00D94935" w:rsidP="00D94935">
      <w:pPr>
        <w:pStyle w:val="AmdtsEntryHd"/>
        <w:rPr>
          <w:rFonts w:cs="Arial"/>
        </w:rPr>
      </w:pPr>
      <w:r w:rsidRPr="00140BF9">
        <w:rPr>
          <w:rFonts w:cs="Arial"/>
        </w:rPr>
        <w:t>Costs—affidavit made by 2 or more people etc</w:t>
      </w:r>
    </w:p>
    <w:p w14:paraId="4200B5B0" w14:textId="77777777"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14:paraId="3046F6B7" w14:textId="77777777" w:rsidR="00D94935" w:rsidRPr="00140BF9" w:rsidRDefault="00D94935" w:rsidP="00D94935">
      <w:pPr>
        <w:pStyle w:val="AmdtsEntryHd"/>
        <w:rPr>
          <w:rFonts w:cs="Arial"/>
        </w:rPr>
      </w:pPr>
      <w:r w:rsidRPr="00140BF9">
        <w:rPr>
          <w:rFonts w:cs="Arial"/>
        </w:rPr>
        <w:t>Costs—documents to be served together</w:t>
      </w:r>
    </w:p>
    <w:p w14:paraId="2D738500" w14:textId="77777777"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14:paraId="43C22585" w14:textId="77777777" w:rsidR="00D94935" w:rsidRPr="00140BF9" w:rsidRDefault="00D94935" w:rsidP="00D94935">
      <w:pPr>
        <w:pStyle w:val="AmdtsEntryHd"/>
        <w:rPr>
          <w:rFonts w:cs="Arial"/>
        </w:rPr>
      </w:pPr>
      <w:r w:rsidRPr="00140BF9">
        <w:rPr>
          <w:rFonts w:cs="Arial"/>
        </w:rPr>
        <w:t>Costs—agency correspondence</w:t>
      </w:r>
    </w:p>
    <w:p w14:paraId="0A2634F7" w14:textId="77777777"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14:paraId="76CA8C71" w14:textId="77777777" w:rsidR="00D94935" w:rsidRPr="00140BF9" w:rsidRDefault="00D94935" w:rsidP="00D94935">
      <w:pPr>
        <w:pStyle w:val="AmdtsEntryHd"/>
        <w:rPr>
          <w:rFonts w:cs="Arial"/>
        </w:rPr>
      </w:pPr>
      <w:r w:rsidRPr="00140BF9">
        <w:rPr>
          <w:rFonts w:cs="Arial"/>
        </w:rPr>
        <w:t>Costs—attendance to instruct counsel</w:t>
      </w:r>
    </w:p>
    <w:p w14:paraId="537ACB67" w14:textId="77777777"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14:paraId="28DA0E1A" w14:textId="77777777" w:rsidR="00D94935" w:rsidRPr="00140BF9" w:rsidRDefault="00D94935" w:rsidP="00D94935">
      <w:pPr>
        <w:pStyle w:val="AmdtsEntryHd"/>
        <w:rPr>
          <w:rFonts w:cs="Arial"/>
        </w:rPr>
      </w:pPr>
      <w:r w:rsidRPr="00140BF9">
        <w:rPr>
          <w:rFonts w:cs="Arial"/>
        </w:rPr>
        <w:t>Costs—parties with same solicitor</w:t>
      </w:r>
    </w:p>
    <w:p w14:paraId="505BD38F" w14:textId="77777777"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14:paraId="6DD0062A" w14:textId="77777777" w:rsidR="00D94935" w:rsidRPr="00140BF9" w:rsidRDefault="00D94935" w:rsidP="00D94935">
      <w:pPr>
        <w:pStyle w:val="AmdtsEntryHd"/>
        <w:rPr>
          <w:rFonts w:cs="Arial"/>
        </w:rPr>
      </w:pPr>
      <w:r w:rsidRPr="00140BF9">
        <w:rPr>
          <w:rFonts w:cs="Arial"/>
        </w:rPr>
        <w:t>Costs—counsel drawing and settling documents</w:t>
      </w:r>
    </w:p>
    <w:p w14:paraId="608964B4" w14:textId="77777777"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14:paraId="11E93984" w14:textId="77777777" w:rsidR="00D94935" w:rsidRPr="00140BF9" w:rsidRDefault="00D94935" w:rsidP="00D94935">
      <w:pPr>
        <w:pStyle w:val="AmdtsEntryHd"/>
        <w:rPr>
          <w:rFonts w:cs="Arial"/>
        </w:rPr>
      </w:pPr>
      <w:r w:rsidRPr="00140BF9">
        <w:rPr>
          <w:rFonts w:cs="Arial"/>
        </w:rPr>
        <w:t>Costs—premature brief</w:t>
      </w:r>
    </w:p>
    <w:p w14:paraId="3B50348D" w14:textId="77777777"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14:paraId="0EFCD686" w14:textId="77777777" w:rsidR="00D94935" w:rsidRPr="00140BF9" w:rsidRDefault="00D94935" w:rsidP="00D94935">
      <w:pPr>
        <w:pStyle w:val="AmdtsEntryHd"/>
        <w:rPr>
          <w:rFonts w:cs="Arial"/>
        </w:rPr>
      </w:pPr>
      <w:r w:rsidRPr="00140BF9">
        <w:rPr>
          <w:rFonts w:cs="Arial"/>
        </w:rPr>
        <w:t>Costs—transitional</w:t>
      </w:r>
    </w:p>
    <w:p w14:paraId="14BE893B" w14:textId="77777777"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14:paraId="6CA358E6" w14:textId="408A99A3"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6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68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684" w:tooltip="Court Procedures Amendment Rules 2013 (No 1)" w:history="1">
        <w:r w:rsidRPr="00140BF9">
          <w:rPr>
            <w:rStyle w:val="charCitHyperlinkAbbrev"/>
            <w:rFonts w:cs="Arial"/>
          </w:rPr>
          <w:t>SL2013-18</w:t>
        </w:r>
      </w:hyperlink>
      <w:r w:rsidRPr="00140BF9">
        <w:rPr>
          <w:rFonts w:cs="Arial"/>
        </w:rPr>
        <w:t xml:space="preserve"> r 33; </w:t>
      </w:r>
      <w:hyperlink r:id="rId26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68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687"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r w:rsidR="00760E1D">
        <w:t>;</w:t>
      </w:r>
      <w:r w:rsidR="00760E1D">
        <w:br/>
      </w:r>
      <w:hyperlink r:id="rId2688" w:tooltip="Court Procedures Amendment Rules 2020 (No 3)" w:history="1">
        <w:r w:rsidR="00760E1D" w:rsidRPr="007074D3">
          <w:rPr>
            <w:rStyle w:val="charCitHyperlinkAbbrev"/>
            <w:rFonts w:eastAsiaTheme="minorEastAsia"/>
          </w:rPr>
          <w:t>SL2020-20</w:t>
        </w:r>
      </w:hyperlink>
      <w:r w:rsidR="00760E1D">
        <w:t xml:space="preserve"> r 5</w:t>
      </w:r>
      <w:r w:rsidR="00355999">
        <w:rPr>
          <w:rFonts w:eastAsiaTheme="minorEastAsia" w:cs="Arial"/>
          <w:szCs w:val="22"/>
          <w:lang w:eastAsia="en-AU"/>
        </w:rPr>
        <w:t xml:space="preserve">; </w:t>
      </w:r>
      <w:hyperlink r:id="rId2689"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8</w:t>
      </w:r>
    </w:p>
    <w:p w14:paraId="51965FCC" w14:textId="77777777" w:rsidR="00D94935" w:rsidRPr="00140BF9" w:rsidRDefault="00D94935" w:rsidP="00D94935">
      <w:pPr>
        <w:pStyle w:val="AmdtsEntryHd"/>
        <w:rPr>
          <w:rFonts w:cs="Arial"/>
        </w:rPr>
      </w:pPr>
      <w:r w:rsidRPr="00140BF9">
        <w:rPr>
          <w:rFonts w:cs="Arial"/>
        </w:rPr>
        <w:t>Costs—transitional</w:t>
      </w:r>
    </w:p>
    <w:p w14:paraId="10E5F2D9" w14:textId="2552A920"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690" w:tooltip="Court Procedures Amendment Rules 2013 (No 1)" w:history="1">
        <w:r w:rsidRPr="00140BF9">
          <w:rPr>
            <w:rStyle w:val="charCitHyperlinkAbbrev"/>
            <w:rFonts w:cs="Arial"/>
          </w:rPr>
          <w:t>SL2013-18</w:t>
        </w:r>
      </w:hyperlink>
      <w:r w:rsidRPr="00140BF9">
        <w:rPr>
          <w:rFonts w:cs="Arial"/>
        </w:rPr>
        <w:t xml:space="preserve"> r 33</w:t>
      </w:r>
    </w:p>
    <w:p w14:paraId="60A22B39" w14:textId="7655FB14" w:rsidR="00D94935" w:rsidRPr="00140BF9" w:rsidRDefault="00D94935" w:rsidP="00D94935">
      <w:pPr>
        <w:pStyle w:val="AmdtsEntries"/>
        <w:rPr>
          <w:rFonts w:cs="Arial"/>
        </w:rPr>
      </w:pPr>
      <w:r w:rsidRPr="00140BF9">
        <w:rPr>
          <w:rFonts w:cs="Arial"/>
        </w:rPr>
        <w:tab/>
        <w:t xml:space="preserve">om </w:t>
      </w:r>
      <w:hyperlink r:id="rId269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14:paraId="486112FB" w14:textId="77777777" w:rsidR="00D94935" w:rsidRPr="00140BF9" w:rsidRDefault="00D94935" w:rsidP="00D94935">
      <w:pPr>
        <w:pStyle w:val="AmdtsEntryHd"/>
        <w:rPr>
          <w:rFonts w:cs="Arial"/>
        </w:rPr>
      </w:pPr>
      <w:r w:rsidRPr="00140BF9">
        <w:rPr>
          <w:rFonts w:cs="Arial"/>
        </w:rPr>
        <w:t>Scale of costs—items</w:t>
      </w:r>
    </w:p>
    <w:p w14:paraId="4F2208E4" w14:textId="4499F56F" w:rsidR="00D94935" w:rsidRDefault="00D94935" w:rsidP="00D94935">
      <w:pPr>
        <w:pStyle w:val="AmdtsEntries"/>
      </w:pPr>
      <w:r w:rsidRPr="00140BF9">
        <w:rPr>
          <w:rFonts w:cs="Arial"/>
        </w:rPr>
        <w:t>sch 4, pt 4.2</w:t>
      </w:r>
      <w:r w:rsidRPr="00140BF9">
        <w:rPr>
          <w:rFonts w:cs="Arial"/>
        </w:rPr>
        <w:tab/>
        <w:t xml:space="preserve">sub </w:t>
      </w:r>
      <w:hyperlink r:id="rId26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69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69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695" w:tooltip="Court Procedures Amendment Rules 2013 (No 1)" w:history="1">
        <w:r w:rsidRPr="00140BF9">
          <w:rPr>
            <w:rStyle w:val="charCitHyperlinkAbbrev"/>
            <w:rFonts w:cs="Arial"/>
          </w:rPr>
          <w:t>SL2013-18</w:t>
        </w:r>
      </w:hyperlink>
      <w:r w:rsidRPr="00140BF9">
        <w:rPr>
          <w:rFonts w:cs="Arial"/>
        </w:rPr>
        <w:t xml:space="preserve"> r 34; </w:t>
      </w:r>
      <w:hyperlink r:id="rId26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69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698"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14:paraId="67BBE745" w14:textId="36B12F31" w:rsidR="00760E1D" w:rsidRDefault="00760E1D" w:rsidP="00D94935">
      <w:pPr>
        <w:pStyle w:val="AmdtsEntries"/>
      </w:pPr>
      <w:r>
        <w:tab/>
        <w:t xml:space="preserve">am </w:t>
      </w:r>
      <w:hyperlink r:id="rId2699" w:tooltip="Court Procedures Amendment Rules 2020 (No 3)" w:history="1">
        <w:r w:rsidR="000318DD" w:rsidRPr="007074D3">
          <w:rPr>
            <w:rStyle w:val="charCitHyperlinkAbbrev"/>
            <w:rFonts w:eastAsiaTheme="minorEastAsia"/>
          </w:rPr>
          <w:t>SL2020-20</w:t>
        </w:r>
      </w:hyperlink>
      <w:r>
        <w:t xml:space="preserve"> r</w:t>
      </w:r>
      <w:r w:rsidR="000318DD">
        <w:t xml:space="preserve"> 6, r 7; items renum R58 LA</w:t>
      </w:r>
      <w:r w:rsidR="00662222">
        <w:t xml:space="preserve">; </w:t>
      </w:r>
      <w:hyperlink r:id="rId2700" w:tooltip="Court Procedures Amendment Rules 2020 (No 5)" w:history="1">
        <w:r w:rsidR="00662222">
          <w:rPr>
            <w:rStyle w:val="charCitHyperlinkAbbrev"/>
          </w:rPr>
          <w:t>SL2020</w:t>
        </w:r>
        <w:r w:rsidR="00662222">
          <w:rPr>
            <w:rStyle w:val="charCitHyperlinkAbbrev"/>
          </w:rPr>
          <w:noBreakHyphen/>
          <w:t>45</w:t>
        </w:r>
      </w:hyperlink>
      <w:r w:rsidR="00662222">
        <w:t xml:space="preserve"> r 15</w:t>
      </w:r>
    </w:p>
    <w:p w14:paraId="3FD565EF" w14:textId="3FD4B8CE" w:rsidR="00355999" w:rsidRPr="00793C3B" w:rsidRDefault="00355999" w:rsidP="00D94935">
      <w:pPr>
        <w:pStyle w:val="AmdtsEntries"/>
      </w:pPr>
      <w:r>
        <w:tab/>
        <w:t>sub</w:t>
      </w:r>
      <w:r>
        <w:rPr>
          <w:rFonts w:eastAsiaTheme="minorEastAsia" w:cs="Arial"/>
          <w:szCs w:val="22"/>
          <w:lang w:eastAsia="en-AU"/>
        </w:rPr>
        <w:t xml:space="preserve"> </w:t>
      </w:r>
      <w:hyperlink r:id="rId2701" w:tooltip="Court Procedures Amendment Rules 2022 (No 3)" w:history="1">
        <w:r w:rsidRPr="00355999">
          <w:rPr>
            <w:rStyle w:val="charCitHyperlinkAbbrev"/>
            <w:rFonts w:eastAsiaTheme="minorEastAsia"/>
          </w:rPr>
          <w:t>SL2022-19</w:t>
        </w:r>
      </w:hyperlink>
      <w:r>
        <w:rPr>
          <w:rFonts w:eastAsiaTheme="minorEastAsia" w:cs="Arial"/>
          <w:szCs w:val="22"/>
          <w:lang w:eastAsia="en-AU"/>
        </w:rPr>
        <w:t xml:space="preserve"> r 9</w:t>
      </w:r>
    </w:p>
    <w:p w14:paraId="2EA4371B"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Supreme Court</w:t>
      </w:r>
    </w:p>
    <w:p w14:paraId="6CE2D601" w14:textId="10CCBABE"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7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70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7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70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70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70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7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w:t>
      </w:r>
      <w:r w:rsidR="009437A5">
        <w:t> </w:t>
      </w:r>
      <w:r>
        <w:t>50, r 61</w:t>
      </w:r>
      <w:r w:rsidR="00703BA4">
        <w:t xml:space="preserve">; </w:t>
      </w:r>
      <w:hyperlink r:id="rId2709"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r w:rsidR="00662222">
        <w:t xml:space="preserve">; </w:t>
      </w:r>
      <w:hyperlink r:id="rId2710" w:tooltip="Court Procedures Amendment Rules 2020 (No 5)" w:history="1">
        <w:r w:rsidR="00662222">
          <w:rPr>
            <w:rStyle w:val="charCitHyperlinkAbbrev"/>
          </w:rPr>
          <w:t>SL2020</w:t>
        </w:r>
        <w:r w:rsidR="00662222">
          <w:rPr>
            <w:rStyle w:val="charCitHyperlinkAbbrev"/>
          </w:rPr>
          <w:noBreakHyphen/>
          <w:t>45</w:t>
        </w:r>
      </w:hyperlink>
      <w:r w:rsidR="00662222">
        <w:t xml:space="preserve"> r 16; items renum R60 LA</w:t>
      </w:r>
      <w:r w:rsidR="00C265C5">
        <w:t xml:space="preserve">; </w:t>
      </w:r>
      <w:hyperlink r:id="rId2711" w:tooltip="Court Procedures Amendment Rules 2024 (No 1)" w:history="1">
        <w:r w:rsidR="008E1456">
          <w:rPr>
            <w:rStyle w:val="charCitHyperlinkAbbrev"/>
          </w:rPr>
          <w:t>SL2024</w:t>
        </w:r>
        <w:r w:rsidR="008E1456">
          <w:rPr>
            <w:rStyle w:val="charCitHyperlinkAbbrev"/>
          </w:rPr>
          <w:noBreakHyphen/>
          <w:t>9</w:t>
        </w:r>
      </w:hyperlink>
      <w:r w:rsidR="00C265C5">
        <w:t xml:space="preserve"> </w:t>
      </w:r>
      <w:r w:rsidR="00A359C0">
        <w:t xml:space="preserve">r 31, </w:t>
      </w:r>
      <w:r w:rsidR="00C265C5">
        <w:t>r 32; items renum R67 LA</w:t>
      </w:r>
    </w:p>
    <w:p w14:paraId="5538E457" w14:textId="77777777" w:rsidR="00D94935" w:rsidRPr="00140BF9" w:rsidRDefault="00D94935" w:rsidP="00D94935">
      <w:pPr>
        <w:pStyle w:val="AmdtsEntryHd"/>
        <w:rPr>
          <w:rStyle w:val="CharPartText"/>
          <w:rFonts w:cs="Arial"/>
        </w:rPr>
      </w:pPr>
      <w:r w:rsidRPr="00140BF9">
        <w:rPr>
          <w:rStyle w:val="CharPartText"/>
          <w:rFonts w:cs="Arial"/>
        </w:rPr>
        <w:lastRenderedPageBreak/>
        <w:t>Jurisdiction related to Corporations Act exercisable by registrar of Supreme Court</w:t>
      </w:r>
    </w:p>
    <w:p w14:paraId="029CC0BD" w14:textId="5327D0EC"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71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71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7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14:paraId="529AD20C"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14:paraId="187909D4" w14:textId="0235E8FE" w:rsidR="00D94935" w:rsidRPr="00140BF9" w:rsidRDefault="00D94935" w:rsidP="00745DAF">
      <w:pPr>
        <w:pStyle w:val="AmdtsEntries"/>
        <w:keepNext/>
        <w:rPr>
          <w:rFonts w:cs="Arial"/>
        </w:rPr>
      </w:pPr>
      <w:r w:rsidRPr="00140BF9">
        <w:rPr>
          <w:rFonts w:cs="Arial"/>
        </w:rPr>
        <w:t>sch 5, pt 5.4</w:t>
      </w:r>
      <w:r w:rsidRPr="00140BF9">
        <w:rPr>
          <w:rFonts w:cs="Arial"/>
        </w:rPr>
        <w:tab/>
        <w:t xml:space="preserve">ins </w:t>
      </w:r>
      <w:hyperlink r:id="rId271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14:paraId="767AD0F8" w14:textId="77777777" w:rsidR="00D94935" w:rsidRPr="00140BF9" w:rsidRDefault="00D94935" w:rsidP="00745DAF">
      <w:pPr>
        <w:pStyle w:val="AmdtsEntries"/>
        <w:keepNext/>
        <w:rPr>
          <w:rFonts w:cs="Arial"/>
        </w:rPr>
      </w:pPr>
      <w:r w:rsidRPr="00140BF9">
        <w:rPr>
          <w:rFonts w:cs="Arial"/>
        </w:rPr>
        <w:tab/>
        <w:t>items renum R7 LA</w:t>
      </w:r>
    </w:p>
    <w:p w14:paraId="60AFBAD2" w14:textId="222D2A04" w:rsidR="00D94935" w:rsidRPr="00140BF9" w:rsidRDefault="00D94935" w:rsidP="00D94935">
      <w:pPr>
        <w:pStyle w:val="AmdtsEntries"/>
        <w:rPr>
          <w:rFonts w:cs="Arial"/>
        </w:rPr>
      </w:pPr>
      <w:r w:rsidRPr="00140BF9">
        <w:rPr>
          <w:rFonts w:cs="Arial"/>
        </w:rPr>
        <w:tab/>
        <w:t xml:space="preserve">am </w:t>
      </w:r>
      <w:hyperlink r:id="rId271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71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7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71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72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721"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r w:rsidR="00F33DCC">
        <w:t xml:space="preserve">; </w:t>
      </w:r>
      <w:hyperlink r:id="rId2722" w:tooltip="Court Procedures Amendment Rules 2024 (No 2)" w:history="1">
        <w:r w:rsidR="00F33DCC">
          <w:rPr>
            <w:rStyle w:val="charCitHyperlinkAbbrev"/>
          </w:rPr>
          <w:t>SL2024</w:t>
        </w:r>
        <w:r w:rsidR="00F33DCC">
          <w:rPr>
            <w:rStyle w:val="charCitHyperlinkAbbrev"/>
          </w:rPr>
          <w:noBreakHyphen/>
          <w:t>37</w:t>
        </w:r>
      </w:hyperlink>
      <w:r w:rsidR="00F33DCC">
        <w:t xml:space="preserve"> r 14; items renum R69 LA</w:t>
      </w:r>
    </w:p>
    <w:p w14:paraId="509EE686" w14:textId="77777777" w:rsidR="00D94935" w:rsidRPr="00140BF9" w:rsidRDefault="00D94935" w:rsidP="00D94935">
      <w:pPr>
        <w:pStyle w:val="AmdtsEntryHd"/>
        <w:rPr>
          <w:rFonts w:cs="Arial"/>
        </w:rPr>
      </w:pPr>
      <w:r w:rsidRPr="00140BF9">
        <w:rPr>
          <w:rFonts w:cs="Arial"/>
        </w:rPr>
        <w:t>Application of sch 6 and provisions of these rules</w:t>
      </w:r>
    </w:p>
    <w:p w14:paraId="7AFE9385" w14:textId="6CFE6409"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72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14:paraId="136E444A" w14:textId="77777777" w:rsidR="00D94935" w:rsidRPr="00140BF9" w:rsidRDefault="00D94935" w:rsidP="00D94935">
      <w:pPr>
        <w:pStyle w:val="AmdtsEntryHd"/>
        <w:rPr>
          <w:rFonts w:cs="Arial"/>
        </w:rPr>
      </w:pPr>
      <w:r w:rsidRPr="00140BF9">
        <w:rPr>
          <w:rFonts w:cs="Arial"/>
        </w:rPr>
        <w:t>Terms used in Corporations Act</w:t>
      </w:r>
    </w:p>
    <w:p w14:paraId="083E7ED0" w14:textId="7BD6F88F"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72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72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72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14:paraId="6093A051" w14:textId="77777777" w:rsidR="00D94935" w:rsidRPr="00140BF9" w:rsidRDefault="00D94935" w:rsidP="00D94935">
      <w:pPr>
        <w:pStyle w:val="AmdtsEntryHd"/>
        <w:rPr>
          <w:rFonts w:cs="Arial"/>
        </w:rPr>
      </w:pPr>
      <w:r w:rsidRPr="00140BF9">
        <w:rPr>
          <w:rFonts w:cs="Arial"/>
        </w:rPr>
        <w:t>Definitions—sch 6</w:t>
      </w:r>
    </w:p>
    <w:p w14:paraId="1A7A2A74" w14:textId="0CD4ABD1"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7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14:paraId="5BBB749D" w14:textId="2D0E80B9"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72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14:paraId="41758805" w14:textId="10810790"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72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14:paraId="54F0119D" w14:textId="017C54B3"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73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14:paraId="18E0A029" w14:textId="77D39F1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73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14:paraId="7C6CFC7D" w14:textId="77777777" w:rsidR="00D94935" w:rsidRPr="00140BF9" w:rsidRDefault="00D94935" w:rsidP="00D94935">
      <w:pPr>
        <w:pStyle w:val="AmdtsEntryHd"/>
        <w:rPr>
          <w:rFonts w:cs="Arial"/>
        </w:rPr>
      </w:pPr>
      <w:r w:rsidRPr="00140BF9">
        <w:rPr>
          <w:rFonts w:cs="Arial"/>
        </w:rPr>
        <w:t>Originating process and interlocutory process</w:t>
      </w:r>
    </w:p>
    <w:p w14:paraId="7C1F3F11" w14:textId="5623531B"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73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14:paraId="55C37286" w14:textId="77777777" w:rsidR="00D94935" w:rsidRPr="00140BF9" w:rsidRDefault="00D94935" w:rsidP="00D94935">
      <w:pPr>
        <w:pStyle w:val="AmdtsEntryHd"/>
        <w:rPr>
          <w:rFonts w:cs="Arial"/>
        </w:rPr>
      </w:pPr>
      <w:r w:rsidRPr="00140BF9">
        <w:rPr>
          <w:rFonts w:cs="Arial"/>
        </w:rPr>
        <w:t>Supporting affidavits</w:t>
      </w:r>
    </w:p>
    <w:p w14:paraId="460D688E" w14:textId="185ACAAC"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73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0B70DC51" w14:textId="77777777" w:rsidR="00D94935" w:rsidRPr="00140BF9" w:rsidRDefault="00D94935" w:rsidP="00D94935">
      <w:pPr>
        <w:pStyle w:val="AmdtsEntryHd"/>
        <w:rPr>
          <w:rFonts w:cs="Arial"/>
        </w:rPr>
      </w:pPr>
      <w:r w:rsidRPr="00140BF9">
        <w:rPr>
          <w:rFonts w:cs="Arial"/>
        </w:rPr>
        <w:t>Application for order setting aside statutory demand (Corporations Act, s 459G)</w:t>
      </w:r>
    </w:p>
    <w:p w14:paraId="03C0C2E8" w14:textId="0E5AB233"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73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501E998" w14:textId="77777777" w:rsidR="00D94935" w:rsidRPr="00140BF9" w:rsidRDefault="00D94935" w:rsidP="00D94935">
      <w:pPr>
        <w:pStyle w:val="AmdtsEntryHd"/>
        <w:rPr>
          <w:rFonts w:cs="Arial"/>
        </w:rPr>
      </w:pPr>
      <w:r w:rsidRPr="00140BF9">
        <w:rPr>
          <w:rFonts w:cs="Arial"/>
        </w:rPr>
        <w:t>Service of originating process or interlocutory process and supporting affidavit</w:t>
      </w:r>
    </w:p>
    <w:p w14:paraId="056B1F40" w14:textId="026DCC04"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73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14:paraId="799A821C" w14:textId="77777777" w:rsidR="00D94935" w:rsidRPr="00140BF9" w:rsidRDefault="00D94935" w:rsidP="00D94935">
      <w:pPr>
        <w:pStyle w:val="AmdtsEntryHd"/>
        <w:rPr>
          <w:rFonts w:cs="Arial"/>
        </w:rPr>
      </w:pPr>
      <w:r w:rsidRPr="00140BF9">
        <w:rPr>
          <w:rFonts w:cs="Arial"/>
        </w:rPr>
        <w:t>Notice of certain applications to be given to ASIC</w:t>
      </w:r>
    </w:p>
    <w:p w14:paraId="377E5E4A" w14:textId="1674293D"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73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14:paraId="05F408F0" w14:textId="2BDEDAB9"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73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14:paraId="7E07A0AC" w14:textId="77777777" w:rsidR="00D94935" w:rsidRPr="00140BF9" w:rsidRDefault="00D94935" w:rsidP="00D94935">
      <w:pPr>
        <w:pStyle w:val="AmdtsEntryHd"/>
        <w:rPr>
          <w:rFonts w:cs="Arial"/>
        </w:rPr>
      </w:pPr>
      <w:r w:rsidRPr="00140BF9">
        <w:rPr>
          <w:rFonts w:cs="Arial"/>
        </w:rPr>
        <w:t>Intervention in proceeding by ASIC (Corporations Act, s 1330)</w:t>
      </w:r>
    </w:p>
    <w:p w14:paraId="05ABDD40" w14:textId="1B0277A2"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73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14:paraId="2D538FFB" w14:textId="4789756E"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73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9C75EB5" w14:textId="77777777" w:rsidR="00D94935" w:rsidRPr="00140BF9" w:rsidRDefault="00D94935" w:rsidP="00D94935">
      <w:pPr>
        <w:pStyle w:val="AmdtsEntryHd"/>
        <w:rPr>
          <w:rFonts w:cs="Arial"/>
        </w:rPr>
      </w:pPr>
      <w:r w:rsidRPr="00140BF9">
        <w:rPr>
          <w:rFonts w:cs="Arial"/>
        </w:rPr>
        <w:t>Publication of notices</w:t>
      </w:r>
    </w:p>
    <w:p w14:paraId="70892D61" w14:textId="3F85F63E"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7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14:paraId="599EC42B" w14:textId="77777777" w:rsidR="00D94935" w:rsidRPr="00140BF9" w:rsidRDefault="00D94935" w:rsidP="00D94935">
      <w:pPr>
        <w:pStyle w:val="AmdtsEntryHd"/>
        <w:rPr>
          <w:rFonts w:cs="Arial"/>
        </w:rPr>
      </w:pPr>
      <w:r w:rsidRPr="00140BF9">
        <w:rPr>
          <w:rFonts w:cs="Arial"/>
        </w:rPr>
        <w:lastRenderedPageBreak/>
        <w:t>Meetings ordered by the court</w:t>
      </w:r>
    </w:p>
    <w:p w14:paraId="3AD88F0C" w14:textId="0A8F4F60"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74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14:paraId="20F488A4" w14:textId="77777777" w:rsidR="00D94935" w:rsidRPr="00140BF9" w:rsidRDefault="00D94935" w:rsidP="00D94935">
      <w:pPr>
        <w:pStyle w:val="AmdtsEntryHd"/>
        <w:rPr>
          <w:rFonts w:cs="Arial"/>
        </w:rPr>
      </w:pPr>
      <w:r w:rsidRPr="00140BF9">
        <w:rPr>
          <w:rFonts w:cs="Arial"/>
        </w:rPr>
        <w:t>Notice of hearing (Corporations Act, s 411 (4) and s 413 (1))</w:t>
      </w:r>
    </w:p>
    <w:p w14:paraId="602AC7C7" w14:textId="5436B182"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74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743"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14:paraId="643F1314" w14:textId="77777777" w:rsidR="00D94935" w:rsidRPr="00140BF9" w:rsidRDefault="00D94935" w:rsidP="00D94935">
      <w:pPr>
        <w:pStyle w:val="AmdtsEntryHd"/>
        <w:rPr>
          <w:rFonts w:cs="Arial"/>
        </w:rPr>
      </w:pPr>
      <w:r w:rsidRPr="00140BF9">
        <w:rPr>
          <w:rFonts w:cs="Arial"/>
        </w:rPr>
        <w:t>Copy of order approving compromise or arrangement to be lodged with ASIC</w:t>
      </w:r>
    </w:p>
    <w:p w14:paraId="62CBD4C8" w14:textId="54DB8BE0"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74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14:paraId="40AEF9C9" w14:textId="4C7F32DF"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74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3B17AE6" w14:textId="77777777" w:rsidR="00D94935" w:rsidRPr="00140BF9" w:rsidRDefault="00D94935" w:rsidP="00D94935">
      <w:pPr>
        <w:pStyle w:val="AmdtsEntryHd"/>
        <w:rPr>
          <w:rFonts w:cs="Arial"/>
        </w:rPr>
      </w:pPr>
      <w:r w:rsidRPr="00140BF9">
        <w:rPr>
          <w:rFonts w:cs="Arial"/>
        </w:rPr>
        <w:t>Notice of application for winding-up</w:t>
      </w:r>
    </w:p>
    <w:p w14:paraId="1AC48C18" w14:textId="24E661A8"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74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747"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14:paraId="013F3396" w14:textId="77777777"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14:paraId="70AAC42D" w14:textId="586372AE"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74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749"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14:paraId="6234E583" w14:textId="77777777" w:rsidR="00D94935" w:rsidRPr="00140BF9" w:rsidRDefault="00D94935" w:rsidP="00D94935">
      <w:pPr>
        <w:pStyle w:val="AmdtsEntryHd"/>
        <w:rPr>
          <w:rFonts w:cs="Arial"/>
        </w:rPr>
      </w:pPr>
      <w:r w:rsidRPr="00140BF9">
        <w:rPr>
          <w:rFonts w:cs="Arial"/>
        </w:rPr>
        <w:t>Notice of winding-up order and appointment of liquidator</w:t>
      </w:r>
    </w:p>
    <w:p w14:paraId="2255BF03" w14:textId="744EC320"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7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751"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14:paraId="4E8DA98F" w14:textId="77777777" w:rsidR="00D94935" w:rsidRPr="00140BF9" w:rsidRDefault="00D94935" w:rsidP="00D94935">
      <w:pPr>
        <w:pStyle w:val="AmdtsEntryHd"/>
        <w:rPr>
          <w:rFonts w:cs="Arial"/>
        </w:rPr>
      </w:pPr>
      <w:r w:rsidRPr="00140BF9">
        <w:rPr>
          <w:rFonts w:cs="Arial"/>
        </w:rPr>
        <w:t>Notice of appointment of provisional liquidator</w:t>
      </w:r>
    </w:p>
    <w:p w14:paraId="2BAEBA21" w14:textId="6B821199"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75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75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754"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14:paraId="69273C08" w14:textId="77777777" w:rsidR="00D94935" w:rsidRPr="00140BF9" w:rsidRDefault="00D94935" w:rsidP="00D94935">
      <w:pPr>
        <w:pStyle w:val="AmdtsEntryHd"/>
        <w:rPr>
          <w:rFonts w:cs="Arial"/>
        </w:rPr>
      </w:pPr>
      <w:r w:rsidRPr="00140BF9">
        <w:rPr>
          <w:rFonts w:cs="Arial"/>
        </w:rPr>
        <w:t>Resignation of liquidator (Corporations Act, s 473 (1))</w:t>
      </w:r>
    </w:p>
    <w:p w14:paraId="2136FA04" w14:textId="67AB69E0"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75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5222FA3" w14:textId="77777777" w:rsidR="00D94935" w:rsidRPr="00140BF9" w:rsidRDefault="00D94935" w:rsidP="00D94935">
      <w:pPr>
        <w:pStyle w:val="AmdtsEntryHd"/>
        <w:rPr>
          <w:rFonts w:cs="Arial"/>
        </w:rPr>
      </w:pPr>
      <w:r w:rsidRPr="00140BF9">
        <w:rPr>
          <w:rFonts w:cs="Arial"/>
        </w:rPr>
        <w:t>Filling vacancy in office of liquidator (Corporations Act, s 473 (7), s 502)</w:t>
      </w:r>
    </w:p>
    <w:p w14:paraId="1B8A654C" w14:textId="2B07BBF6"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75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75CC95C" w14:textId="77777777" w:rsidR="00D94935" w:rsidRPr="00140BF9" w:rsidRDefault="00D94935" w:rsidP="00D94935">
      <w:pPr>
        <w:pStyle w:val="AmdtsEntryHd"/>
        <w:rPr>
          <w:rFonts w:cs="Arial"/>
        </w:rPr>
      </w:pPr>
      <w:r w:rsidRPr="00140BF9">
        <w:rPr>
          <w:rFonts w:cs="Arial"/>
        </w:rPr>
        <w:t>Release of liquidator and deregistration of company (Corporations Act, s 480 (c) and (d))</w:t>
      </w:r>
    </w:p>
    <w:p w14:paraId="2DA5A378" w14:textId="5CA37CA3"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75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467CEC4A" w14:textId="77777777" w:rsidR="00D94935" w:rsidRPr="00140BF9" w:rsidRDefault="00D94935" w:rsidP="00D94935">
      <w:pPr>
        <w:pStyle w:val="AmdtsEntryHd"/>
        <w:rPr>
          <w:rFonts w:cs="Arial"/>
        </w:rPr>
      </w:pPr>
      <w:r w:rsidRPr="00140BF9">
        <w:rPr>
          <w:rFonts w:cs="Arial"/>
        </w:rPr>
        <w:t>Report on accounts of liquidator (Corporations Act, s 481)</w:t>
      </w:r>
    </w:p>
    <w:p w14:paraId="4181A77A" w14:textId="74C0FE19"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75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602CFEF" w14:textId="77777777" w:rsidR="00D94935" w:rsidRPr="00140BF9" w:rsidRDefault="00D94935" w:rsidP="00D94935">
      <w:pPr>
        <w:pStyle w:val="AmdtsEntryHd"/>
        <w:rPr>
          <w:rFonts w:cs="Arial"/>
        </w:rPr>
      </w:pPr>
      <w:r w:rsidRPr="00140BF9">
        <w:rPr>
          <w:rFonts w:cs="Arial"/>
        </w:rPr>
        <w:t>Distribution of surplus by liquidator with special leave of the court (Corporations Act, s 488 (2))</w:t>
      </w:r>
    </w:p>
    <w:p w14:paraId="54EFCAC8" w14:textId="704644A2"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7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760"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14:paraId="0E433506" w14:textId="77777777" w:rsidR="00D94935" w:rsidRPr="00140BF9" w:rsidRDefault="00D94935" w:rsidP="00D94935">
      <w:pPr>
        <w:pStyle w:val="AmdtsEntryHd"/>
        <w:rPr>
          <w:rFonts w:cs="Arial"/>
        </w:rPr>
      </w:pPr>
      <w:r w:rsidRPr="00140BF9">
        <w:rPr>
          <w:rFonts w:cs="Arial"/>
        </w:rPr>
        <w:t>Inquiry into conduct of liquidator (Corporations Act, s 536 (1) and (2))</w:t>
      </w:r>
    </w:p>
    <w:p w14:paraId="4355DCE7" w14:textId="414CD363"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76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0086CD3" w14:textId="77777777" w:rsidR="00D94935" w:rsidRPr="00140BF9" w:rsidRDefault="00D94935" w:rsidP="00D94935">
      <w:pPr>
        <w:pStyle w:val="AmdtsEntryHd"/>
        <w:rPr>
          <w:rFonts w:cs="Arial"/>
        </w:rPr>
      </w:pPr>
      <w:r w:rsidRPr="00140BF9">
        <w:rPr>
          <w:rFonts w:cs="Arial"/>
        </w:rPr>
        <w:t>Remuneration of receiver (Corporations Act, s 425 (1))</w:t>
      </w:r>
    </w:p>
    <w:p w14:paraId="6E43AB7F" w14:textId="77812EB5"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76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14:paraId="351726F7" w14:textId="77777777"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14:paraId="543EA713" w14:textId="713DDB22"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7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029C5979" w14:textId="77777777" w:rsidR="00D94935" w:rsidRPr="00140BF9" w:rsidRDefault="00D94935" w:rsidP="00D94935">
      <w:pPr>
        <w:pStyle w:val="AmdtsEntryHd"/>
        <w:rPr>
          <w:rFonts w:cs="Arial"/>
        </w:rPr>
      </w:pPr>
      <w:r w:rsidRPr="00140BF9">
        <w:rPr>
          <w:rFonts w:cs="Arial"/>
        </w:rPr>
        <w:t>Review of remuneration of administrator (Corporations Act, s 449E (2))</w:t>
      </w:r>
    </w:p>
    <w:p w14:paraId="43213B11" w14:textId="1696862A"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76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6CE3D949" w14:textId="77777777" w:rsidR="00D94935" w:rsidRPr="00140BF9" w:rsidRDefault="00D94935" w:rsidP="00D94935">
      <w:pPr>
        <w:pStyle w:val="AmdtsEntryHd"/>
        <w:rPr>
          <w:rFonts w:cs="Arial"/>
        </w:rPr>
      </w:pPr>
      <w:r w:rsidRPr="00140BF9">
        <w:rPr>
          <w:rFonts w:cs="Arial"/>
        </w:rPr>
        <w:lastRenderedPageBreak/>
        <w:t>Remuneration of provisional liquidator (Corporations Act, s 473 (2))</w:t>
      </w:r>
    </w:p>
    <w:p w14:paraId="7C13BBC1" w14:textId="1C1F601B"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7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14:paraId="1C16CD3B" w14:textId="77777777" w:rsidR="00D94935" w:rsidRPr="00140BF9" w:rsidRDefault="00D94935" w:rsidP="00D94935">
      <w:pPr>
        <w:pStyle w:val="AmdtsEntryHd"/>
        <w:rPr>
          <w:rFonts w:cs="Arial"/>
        </w:rPr>
      </w:pPr>
      <w:r w:rsidRPr="00140BF9">
        <w:rPr>
          <w:rFonts w:cs="Arial"/>
        </w:rPr>
        <w:t>Determination by court of liquidator’s remuneration (Corporations Act, s 473 (3) (b) (ii))</w:t>
      </w:r>
    </w:p>
    <w:p w14:paraId="31CC1C7D" w14:textId="4DEF23D3"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76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14:paraId="7E6DA8E5" w14:textId="70433456"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76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14:paraId="4FF54FF4" w14:textId="77777777" w:rsidR="00D94935" w:rsidRPr="00140BF9" w:rsidRDefault="00D94935" w:rsidP="00D94935">
      <w:pPr>
        <w:pStyle w:val="AmdtsEntryHd"/>
        <w:rPr>
          <w:rFonts w:cs="Arial"/>
        </w:rPr>
      </w:pPr>
      <w:r w:rsidRPr="00140BF9">
        <w:rPr>
          <w:rFonts w:cs="Arial"/>
        </w:rPr>
        <w:t>Review of remuneration of liquidator (Corporations Act, s 473 (5) and (6) and s 504 (1))</w:t>
      </w:r>
    </w:p>
    <w:p w14:paraId="110919BD" w14:textId="59147586"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76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14:paraId="252D0FD3" w14:textId="77777777" w:rsidR="00D94935" w:rsidRPr="00140BF9" w:rsidRDefault="00D94935" w:rsidP="00D94935">
      <w:pPr>
        <w:pStyle w:val="AmdtsEntryHd"/>
        <w:rPr>
          <w:rFonts w:cs="Arial"/>
        </w:rPr>
      </w:pPr>
      <w:r w:rsidRPr="00140BF9">
        <w:rPr>
          <w:rFonts w:cs="Arial"/>
        </w:rPr>
        <w:t>Remuneration of special manager (Corporations Act, s 484 (2))</w:t>
      </w:r>
    </w:p>
    <w:p w14:paraId="4CC4D2EA" w14:textId="2FA57572"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76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14:paraId="35DC3CDD" w14:textId="77777777"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14:paraId="5D17CCAA" w14:textId="41E568D9"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77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513828D" w14:textId="77777777" w:rsidR="00D94935" w:rsidRPr="00140BF9" w:rsidRDefault="00D94935" w:rsidP="00D94935">
      <w:pPr>
        <w:pStyle w:val="AmdtsEntryHd"/>
        <w:rPr>
          <w:rFonts w:cs="Arial"/>
        </w:rPr>
      </w:pPr>
      <w:r w:rsidRPr="00140BF9">
        <w:rPr>
          <w:rFonts w:cs="Arial"/>
        </w:rPr>
        <w:t>Application for examination summons (Corporations Act, s 596A, s 596B)</w:t>
      </w:r>
    </w:p>
    <w:p w14:paraId="0884518A" w14:textId="681DB5EF"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77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38C76A" w14:textId="77777777" w:rsidR="00D94935" w:rsidRPr="00140BF9" w:rsidRDefault="00D94935" w:rsidP="00D94935">
      <w:pPr>
        <w:pStyle w:val="AmdtsEntryHd"/>
        <w:rPr>
          <w:rFonts w:cs="Arial"/>
        </w:rPr>
      </w:pPr>
      <w:r w:rsidRPr="00140BF9">
        <w:rPr>
          <w:rFonts w:cs="Arial"/>
        </w:rPr>
        <w:t>Discharge of examination summons</w:t>
      </w:r>
    </w:p>
    <w:p w14:paraId="384714C3" w14:textId="6E8E2438"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77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9F43BDB" w14:textId="77777777"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14:paraId="49A9112E" w14:textId="37F62FBB"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77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604FCA1" w14:textId="77777777"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14:paraId="385CB469" w14:textId="48B46EC9"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77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81E6CD" w14:textId="77777777" w:rsidR="00D94935" w:rsidRPr="00140BF9" w:rsidRDefault="00D94935" w:rsidP="00D94935">
      <w:pPr>
        <w:pStyle w:val="AmdtsEntryHd"/>
        <w:rPr>
          <w:rFonts w:cs="Arial"/>
        </w:rPr>
      </w:pPr>
      <w:r w:rsidRPr="00140BF9">
        <w:rPr>
          <w:rFonts w:cs="Arial"/>
        </w:rPr>
        <w:t>Warrants (Corporations Act, s 486B and pt 5.4B, div 3, subdiv B)</w:t>
      </w:r>
    </w:p>
    <w:p w14:paraId="2D802B54" w14:textId="3A939BE7"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77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290AFBBA" w14:textId="77777777" w:rsidR="00D94935" w:rsidRPr="00140BF9" w:rsidRDefault="00D94935" w:rsidP="00D94935">
      <w:pPr>
        <w:pStyle w:val="AmdtsEntryHd"/>
        <w:rPr>
          <w:rFonts w:cs="Arial"/>
        </w:rPr>
      </w:pPr>
      <w:r w:rsidRPr="00140BF9">
        <w:rPr>
          <w:rFonts w:cs="Arial"/>
        </w:rPr>
        <w:t>Arrest of person (Corporations Act, s 486B)</w:t>
      </w:r>
    </w:p>
    <w:p w14:paraId="2567C99E" w14:textId="1F9A3DDD"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77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19AE6AF9" w14:textId="77777777"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14:paraId="534A8B40" w14:textId="7BACC8DA"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77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14:paraId="6DCD0A50" w14:textId="2277D80C"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77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6E1186C3" w14:textId="77777777" w:rsidR="00D94935" w:rsidRPr="00140BF9" w:rsidRDefault="00D94935" w:rsidP="00D94935">
      <w:pPr>
        <w:pStyle w:val="AmdtsEntryHd"/>
        <w:rPr>
          <w:rFonts w:cs="Arial"/>
        </w:rPr>
      </w:pPr>
      <w:r w:rsidRPr="00140BF9">
        <w:rPr>
          <w:rFonts w:cs="Arial"/>
        </w:rPr>
        <w:t>Reference to court of question of law arising in proceeding before Takeovers Panel (Corporations Act, s 659A)</w:t>
      </w:r>
    </w:p>
    <w:p w14:paraId="316BCFAA" w14:textId="4C93139B"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7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14:paraId="100A8B19" w14:textId="77777777"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14:paraId="7F86E57E" w14:textId="3621F5E5"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78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14:paraId="751F0171" w14:textId="77777777" w:rsidR="00D94935" w:rsidRPr="00140BF9" w:rsidRDefault="00D94935" w:rsidP="00D94935">
      <w:pPr>
        <w:pStyle w:val="AmdtsEntryHd"/>
        <w:rPr>
          <w:rFonts w:cs="Arial"/>
        </w:rPr>
      </w:pPr>
      <w:r w:rsidRPr="00140BF9">
        <w:rPr>
          <w:rFonts w:cs="Arial"/>
        </w:rPr>
        <w:lastRenderedPageBreak/>
        <w:t>Reference to court of question of law arising at hearing of ASIC (ASIC Act, s 61)</w:t>
      </w:r>
    </w:p>
    <w:p w14:paraId="418730D4" w14:textId="5A8A1027"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78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14:paraId="7A691AB1" w14:textId="072FA967"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78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78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14:paraId="2D31E4CC" w14:textId="77777777"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14:paraId="6E23408C" w14:textId="0E3C5B81"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78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59701DEA" w14:textId="77777777" w:rsidR="0048310D" w:rsidRDefault="0048310D" w:rsidP="00D94935">
      <w:pPr>
        <w:pStyle w:val="AmdtsEntryHd"/>
      </w:pPr>
      <w:r w:rsidRPr="00A60754">
        <w:t>Introduction</w:t>
      </w:r>
    </w:p>
    <w:p w14:paraId="3D3878F1" w14:textId="56F847DD" w:rsidR="0048310D" w:rsidRPr="0048310D" w:rsidRDefault="0048310D" w:rsidP="0048310D">
      <w:pPr>
        <w:pStyle w:val="AmdtsEntries"/>
      </w:pPr>
      <w:r>
        <w:t>div 6.15A.1 hdg</w:t>
      </w:r>
      <w:r>
        <w:tab/>
        <w:t xml:space="preserve">ins </w:t>
      </w:r>
      <w:hyperlink r:id="rId2785"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14:paraId="3A8494B6" w14:textId="77777777" w:rsidR="00D94935" w:rsidRPr="00140BF9" w:rsidRDefault="00D94935" w:rsidP="00D94935">
      <w:pPr>
        <w:pStyle w:val="AmdtsEntryHd"/>
        <w:rPr>
          <w:rFonts w:cs="Arial"/>
        </w:rPr>
      </w:pPr>
      <w:r w:rsidRPr="00140BF9">
        <w:rPr>
          <w:rFonts w:cs="Arial"/>
        </w:rPr>
        <w:t>Application—pt 6.15A and other rules</w:t>
      </w:r>
    </w:p>
    <w:p w14:paraId="0B49D7D2" w14:textId="5F5F0CB9"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78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AE954A1" w14:textId="77777777" w:rsidR="00D94935" w:rsidRPr="00140BF9" w:rsidRDefault="00D94935" w:rsidP="00D94935">
      <w:pPr>
        <w:pStyle w:val="AmdtsEntryHd"/>
        <w:rPr>
          <w:rFonts w:cs="Arial"/>
        </w:rPr>
      </w:pPr>
      <w:r w:rsidRPr="00140BF9">
        <w:rPr>
          <w:rFonts w:cs="Arial"/>
        </w:rPr>
        <w:t>Terms used in Cross-Border Insolvency Act</w:t>
      </w:r>
    </w:p>
    <w:p w14:paraId="546066F3" w14:textId="00C6E947"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78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115A568A" w14:textId="340D1301" w:rsidR="0048310D" w:rsidRPr="00140BF9" w:rsidRDefault="0048310D" w:rsidP="00D94935">
      <w:pPr>
        <w:pStyle w:val="AmdtsEntries"/>
        <w:rPr>
          <w:rFonts w:cs="Arial"/>
        </w:rPr>
      </w:pPr>
      <w:r>
        <w:rPr>
          <w:rFonts w:cs="Arial"/>
        </w:rPr>
        <w:tab/>
        <w:t xml:space="preserve">am </w:t>
      </w:r>
      <w:hyperlink r:id="rId2788"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14:paraId="51B6B2F0" w14:textId="77777777" w:rsidR="0048310D" w:rsidRDefault="0048310D" w:rsidP="00D94935">
      <w:pPr>
        <w:pStyle w:val="AmdtsEntryHd"/>
      </w:pPr>
      <w:r w:rsidRPr="00A60754">
        <w:t>Recognition of a foreign proceeding</w:t>
      </w:r>
    </w:p>
    <w:p w14:paraId="68FB93FA" w14:textId="0BC88DB8" w:rsidR="0048310D" w:rsidRPr="0048310D" w:rsidRDefault="0048310D" w:rsidP="0048310D">
      <w:pPr>
        <w:pStyle w:val="AmdtsEntries"/>
      </w:pPr>
      <w:r>
        <w:t>div 6.15A.2 hdg</w:t>
      </w:r>
      <w:r>
        <w:tab/>
        <w:t xml:space="preserve">ins </w:t>
      </w:r>
      <w:hyperlink r:id="rId2789"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14:paraId="1668C227" w14:textId="77777777" w:rsidR="00D94935" w:rsidRPr="00140BF9" w:rsidRDefault="00D94935" w:rsidP="00D94935">
      <w:pPr>
        <w:pStyle w:val="AmdtsEntryHd"/>
        <w:rPr>
          <w:rFonts w:cs="Arial"/>
        </w:rPr>
      </w:pPr>
      <w:r w:rsidRPr="00140BF9">
        <w:rPr>
          <w:rFonts w:cs="Arial"/>
        </w:rPr>
        <w:t>Application for recognition</w:t>
      </w:r>
    </w:p>
    <w:p w14:paraId="4BED0DF6" w14:textId="74D6D3AB"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79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603D6E42" w14:textId="77777777" w:rsidR="00D94935" w:rsidRPr="00140BF9" w:rsidRDefault="00D94935" w:rsidP="00D94935">
      <w:pPr>
        <w:pStyle w:val="AmdtsEntryHd"/>
        <w:rPr>
          <w:rFonts w:cs="Arial"/>
        </w:rPr>
      </w:pPr>
      <w:r w:rsidRPr="00140BF9">
        <w:rPr>
          <w:rFonts w:cs="Arial"/>
        </w:rPr>
        <w:t>Application for provisional relief under Model Law, art 19</w:t>
      </w:r>
    </w:p>
    <w:p w14:paraId="2FBBB64A" w14:textId="750F6705"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79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F4D0654" w14:textId="77777777" w:rsidR="00D94935" w:rsidRPr="00140BF9" w:rsidRDefault="002D1AA7" w:rsidP="00D94935">
      <w:pPr>
        <w:pStyle w:val="AmdtsEntryHd"/>
        <w:rPr>
          <w:rFonts w:cs="Arial"/>
        </w:rPr>
      </w:pPr>
      <w:r w:rsidRPr="00A60754">
        <w:t>Liquidator’s consent to act</w:t>
      </w:r>
    </w:p>
    <w:p w14:paraId="58F8AF5D" w14:textId="19F1791A" w:rsidR="002D1AA7" w:rsidRDefault="002D1AA7" w:rsidP="00D94935">
      <w:pPr>
        <w:pStyle w:val="AmdtsEntries"/>
        <w:rPr>
          <w:rFonts w:cs="Arial"/>
        </w:rPr>
      </w:pPr>
      <w:r>
        <w:rPr>
          <w:rFonts w:cs="Arial"/>
        </w:rPr>
        <w:t>sch 6 r 15A.5 hdg</w:t>
      </w:r>
      <w:r>
        <w:rPr>
          <w:rFonts w:cs="Arial"/>
        </w:rPr>
        <w:tab/>
        <w:t xml:space="preserve">sub </w:t>
      </w:r>
      <w:hyperlink r:id="rId279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14:paraId="576C5D5F" w14:textId="54359713"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79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7346F680" w14:textId="1F415C62" w:rsidR="00D94935" w:rsidRDefault="00D94935" w:rsidP="00D94935">
      <w:pPr>
        <w:pStyle w:val="AmdtsEntries"/>
        <w:rPr>
          <w:rFonts w:cs="Arial"/>
        </w:rPr>
      </w:pPr>
      <w:r w:rsidRPr="00140BF9">
        <w:rPr>
          <w:rFonts w:cs="Arial"/>
        </w:rPr>
        <w:tab/>
        <w:t xml:space="preserve">sub </w:t>
      </w:r>
      <w:hyperlink r:id="rId279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14:paraId="046B8969" w14:textId="75DAADF3" w:rsidR="002D1AA7" w:rsidRPr="00140BF9" w:rsidRDefault="002D1AA7" w:rsidP="00D94935">
      <w:pPr>
        <w:pStyle w:val="AmdtsEntries"/>
        <w:rPr>
          <w:rFonts w:cs="Arial"/>
        </w:rPr>
      </w:pPr>
      <w:r>
        <w:rPr>
          <w:rFonts w:cs="Arial"/>
        </w:rPr>
        <w:tab/>
        <w:t xml:space="preserve">am </w:t>
      </w:r>
      <w:hyperlink r:id="rId279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14:paraId="2C832CD4" w14:textId="77777777" w:rsidR="00D94935" w:rsidRPr="00140BF9" w:rsidRDefault="00D94935" w:rsidP="00D94935">
      <w:pPr>
        <w:pStyle w:val="AmdtsEntryHd"/>
        <w:rPr>
          <w:rFonts w:cs="Arial"/>
        </w:rPr>
      </w:pPr>
      <w:r w:rsidRPr="00140BF9">
        <w:rPr>
          <w:rFonts w:cs="Arial"/>
        </w:rPr>
        <w:t>Notice of filing application for recognition</w:t>
      </w:r>
    </w:p>
    <w:p w14:paraId="3F5B96E2" w14:textId="5DA72989"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79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37B83C16" w14:textId="74623281" w:rsidR="00D94935" w:rsidRPr="00140BF9" w:rsidRDefault="00D94935" w:rsidP="00D94935">
      <w:pPr>
        <w:pStyle w:val="AmdtsEntries"/>
        <w:rPr>
          <w:rFonts w:cs="Arial"/>
        </w:rPr>
      </w:pPr>
      <w:r w:rsidRPr="00140BF9">
        <w:rPr>
          <w:rFonts w:cs="Arial"/>
        </w:rPr>
        <w:tab/>
        <w:t xml:space="preserve">am </w:t>
      </w:r>
      <w:hyperlink r:id="rId279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14:paraId="31E5E59E" w14:textId="77777777" w:rsidR="00D94935" w:rsidRPr="00140BF9" w:rsidRDefault="00D94935" w:rsidP="00D94935">
      <w:pPr>
        <w:pStyle w:val="AmdtsEntryHd"/>
        <w:rPr>
          <w:rFonts w:cs="Arial"/>
        </w:rPr>
      </w:pPr>
      <w:r w:rsidRPr="00140BF9">
        <w:rPr>
          <w:rFonts w:cs="Arial"/>
        </w:rPr>
        <w:t>Notice of order for recognition, withdrawal etc</w:t>
      </w:r>
    </w:p>
    <w:p w14:paraId="5BA6BF21" w14:textId="6D89E249"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79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6FF41F0" w14:textId="6AF07474" w:rsidR="00D94935" w:rsidRPr="00140BF9" w:rsidRDefault="00D94935" w:rsidP="00D94935">
      <w:pPr>
        <w:pStyle w:val="AmdtsEntries"/>
        <w:rPr>
          <w:rFonts w:cs="Arial"/>
        </w:rPr>
      </w:pPr>
      <w:r w:rsidRPr="00140BF9">
        <w:rPr>
          <w:rFonts w:cs="Arial"/>
        </w:rPr>
        <w:tab/>
        <w:t xml:space="preserve">am </w:t>
      </w:r>
      <w:hyperlink r:id="rId279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14:paraId="29914BB6" w14:textId="77777777" w:rsidR="00D94935" w:rsidRPr="00140BF9" w:rsidRDefault="00D94935" w:rsidP="00D94935">
      <w:pPr>
        <w:pStyle w:val="AmdtsEntryHd"/>
        <w:rPr>
          <w:rFonts w:cs="Arial"/>
        </w:rPr>
      </w:pPr>
      <w:r w:rsidRPr="00140BF9">
        <w:rPr>
          <w:rFonts w:cs="Arial"/>
        </w:rPr>
        <w:t>Relief after recognition</w:t>
      </w:r>
    </w:p>
    <w:p w14:paraId="46124F72" w14:textId="7CAC3757"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80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77EA972" w14:textId="77777777" w:rsidR="00D94935" w:rsidRPr="00140BF9" w:rsidRDefault="00D94935" w:rsidP="00D94935">
      <w:pPr>
        <w:pStyle w:val="AmdtsEntryHd"/>
        <w:rPr>
          <w:rFonts w:cs="Arial"/>
        </w:rPr>
      </w:pPr>
      <w:r w:rsidRPr="00140BF9">
        <w:rPr>
          <w:rFonts w:cs="Arial"/>
        </w:rPr>
        <w:t>Application to modify or terminate order for recognition or other relief</w:t>
      </w:r>
    </w:p>
    <w:p w14:paraId="61375CDE" w14:textId="61986D38"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80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3F2A46A" w14:textId="162E6BDA" w:rsidR="00D94935" w:rsidRPr="00140BF9" w:rsidRDefault="00D94935" w:rsidP="00D94935">
      <w:pPr>
        <w:pStyle w:val="AmdtsEntries"/>
        <w:rPr>
          <w:rFonts w:cs="Arial"/>
        </w:rPr>
      </w:pPr>
      <w:r w:rsidRPr="00140BF9">
        <w:rPr>
          <w:rFonts w:cs="Arial"/>
        </w:rPr>
        <w:tab/>
        <w:t xml:space="preserve">am </w:t>
      </w:r>
      <w:hyperlink r:id="rId280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14:paraId="2E9A4256" w14:textId="77777777" w:rsidR="002D1AA7" w:rsidRDefault="00CA5D31" w:rsidP="00D94935">
      <w:pPr>
        <w:pStyle w:val="AmdtsEntryHd"/>
      </w:pPr>
      <w:r w:rsidRPr="00A60754">
        <w:t>Cooperation with foreign courts and representatives</w:t>
      </w:r>
    </w:p>
    <w:p w14:paraId="6EEFB02F" w14:textId="3BA1FA2C" w:rsidR="00CA5D31" w:rsidRPr="00CA5D31" w:rsidRDefault="00CA5D31" w:rsidP="00CA5D31">
      <w:pPr>
        <w:pStyle w:val="AmdtsEntries"/>
      </w:pPr>
      <w:r>
        <w:t>div 6.15A.3 hdg</w:t>
      </w:r>
      <w:r>
        <w:tab/>
        <w:t xml:space="preserve">ins </w:t>
      </w:r>
      <w:hyperlink r:id="rId280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C46FE32" w14:textId="77777777" w:rsidR="00CA5D31" w:rsidRDefault="00CA5D31" w:rsidP="00CA5D31">
      <w:pPr>
        <w:pStyle w:val="AmdtsEntryHd"/>
      </w:pPr>
      <w:r w:rsidRPr="00A60754">
        <w:t>Cooperation involving court to be under coordination agreement</w:t>
      </w:r>
    </w:p>
    <w:p w14:paraId="4A92BF92" w14:textId="42D5BAE9" w:rsidR="00CA5D31" w:rsidRPr="00CA5D31" w:rsidRDefault="00CA5D31" w:rsidP="00CA5D31">
      <w:pPr>
        <w:pStyle w:val="AmdtsEntries"/>
      </w:pPr>
      <w:r>
        <w:t>r 15A.10</w:t>
      </w:r>
      <w:r>
        <w:tab/>
        <w:t xml:space="preserve">ins </w:t>
      </w:r>
      <w:hyperlink r:id="rId280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ACC242B" w14:textId="77777777" w:rsidR="00CA5D31" w:rsidRDefault="00CA5D31" w:rsidP="00CA5D31">
      <w:pPr>
        <w:pStyle w:val="AmdtsEntryHd"/>
      </w:pPr>
      <w:r w:rsidRPr="00A60754">
        <w:lastRenderedPageBreak/>
        <w:t>Application for approval of coordination agreement</w:t>
      </w:r>
    </w:p>
    <w:p w14:paraId="0494878D" w14:textId="1AD57A30" w:rsidR="00CA5D31" w:rsidRPr="00CA5D31" w:rsidRDefault="00CA5D31" w:rsidP="00CA5D31">
      <w:pPr>
        <w:pStyle w:val="AmdtsEntries"/>
      </w:pPr>
      <w:r>
        <w:t>r 15A.11</w:t>
      </w:r>
      <w:r>
        <w:tab/>
        <w:t xml:space="preserve">ins </w:t>
      </w:r>
      <w:hyperlink r:id="rId280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5120DE80" w14:textId="77777777" w:rsidR="00CA5D31" w:rsidRDefault="00CA5D31" w:rsidP="00CA5D31">
      <w:pPr>
        <w:pStyle w:val="AmdtsEntryHd"/>
      </w:pPr>
      <w:r w:rsidRPr="00A60754">
        <w:t>Appointment of independent intermediary</w:t>
      </w:r>
    </w:p>
    <w:p w14:paraId="7504A9C4" w14:textId="1CA7CA5E" w:rsidR="00CA5D31" w:rsidRPr="00CA5D31" w:rsidRDefault="00CA5D31" w:rsidP="00CA5D31">
      <w:pPr>
        <w:pStyle w:val="AmdtsEntries"/>
      </w:pPr>
      <w:r>
        <w:t>r 15A.12</w:t>
      </w:r>
      <w:r>
        <w:tab/>
        <w:t xml:space="preserve">ins </w:t>
      </w:r>
      <w:hyperlink r:id="rId280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EF1B92A" w14:textId="77777777" w:rsidR="00CA5D31" w:rsidRDefault="00CA5D31" w:rsidP="00CA5D31">
      <w:pPr>
        <w:pStyle w:val="AmdtsEntryHd"/>
      </w:pPr>
      <w:r w:rsidRPr="00A60754">
        <w:t>Concurrent proceedings</w:t>
      </w:r>
    </w:p>
    <w:p w14:paraId="2A596EEE" w14:textId="02D7B356" w:rsidR="00CA5D31" w:rsidRPr="00CA5D31" w:rsidRDefault="00CA5D31" w:rsidP="00CA5D31">
      <w:pPr>
        <w:pStyle w:val="AmdtsEntries"/>
      </w:pPr>
      <w:r>
        <w:t>div 6.15A.4 hdg</w:t>
      </w:r>
      <w:r>
        <w:tab/>
        <w:t xml:space="preserve">ins </w:t>
      </w:r>
      <w:hyperlink r:id="rId2807"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4015ECD" w14:textId="77777777" w:rsidR="00CA5D31" w:rsidRDefault="00CA5D31" w:rsidP="00CA5D31">
      <w:pPr>
        <w:pStyle w:val="AmdtsEntryHd"/>
      </w:pPr>
      <w:r w:rsidRPr="00A60754">
        <w:t>Starting proceeding after recognition of a foreign main proceeding</w:t>
      </w:r>
    </w:p>
    <w:p w14:paraId="039EBD1C" w14:textId="47AD6858" w:rsidR="00CA5D31" w:rsidRPr="00CA5D31" w:rsidRDefault="00CA5D31" w:rsidP="00CA5D31">
      <w:pPr>
        <w:pStyle w:val="AmdtsEntries"/>
      </w:pPr>
      <w:r>
        <w:t>r 15A.13</w:t>
      </w:r>
      <w:r>
        <w:tab/>
        <w:t xml:space="preserve">ins </w:t>
      </w:r>
      <w:hyperlink r:id="rId280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BC99E74" w14:textId="77777777" w:rsidR="00CA5D31" w:rsidRDefault="00CA5D31" w:rsidP="00CA5D31">
      <w:pPr>
        <w:pStyle w:val="AmdtsEntryHd"/>
      </w:pPr>
      <w:r w:rsidRPr="00A60754">
        <w:t>General</w:t>
      </w:r>
    </w:p>
    <w:p w14:paraId="00D0CCB1" w14:textId="3792109A" w:rsidR="00CA5D31" w:rsidRPr="00CA5D31" w:rsidRDefault="00CA5D31" w:rsidP="00CA5D31">
      <w:pPr>
        <w:pStyle w:val="AmdtsEntries"/>
      </w:pPr>
      <w:r>
        <w:t>div 6.15A.5 hdg</w:t>
      </w:r>
      <w:r>
        <w:tab/>
        <w:t xml:space="preserve">ins </w:t>
      </w:r>
      <w:hyperlink r:id="rId280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5496236" w14:textId="77777777" w:rsidR="00CA5D31" w:rsidRDefault="00CA5D31" w:rsidP="00CA5D31">
      <w:pPr>
        <w:pStyle w:val="AmdtsEntryHd"/>
      </w:pPr>
      <w:r w:rsidRPr="00A60754">
        <w:t>Proof of orders or documents of foreign courts</w:t>
      </w:r>
    </w:p>
    <w:p w14:paraId="4B49AF7F" w14:textId="33CABADB" w:rsidR="00CA5D31" w:rsidRPr="00CA5D31" w:rsidRDefault="00CA5D31" w:rsidP="00CA5D31">
      <w:pPr>
        <w:pStyle w:val="AmdtsEntries"/>
      </w:pPr>
      <w:r>
        <w:t>r 15A.14</w:t>
      </w:r>
      <w:r>
        <w:tab/>
        <w:t xml:space="preserve">ins </w:t>
      </w:r>
      <w:hyperlink r:id="rId2810"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4DE866F" w14:textId="77777777" w:rsidR="00B47F10" w:rsidRDefault="00B47F10" w:rsidP="00B47F10">
      <w:pPr>
        <w:pStyle w:val="AmdtsEntryHd"/>
      </w:pPr>
      <w:r w:rsidRPr="00A60754">
        <w:t>Service in accordance with service list</w:t>
      </w:r>
    </w:p>
    <w:p w14:paraId="47D82E5C" w14:textId="5D540692" w:rsidR="00B47F10" w:rsidRPr="00CA5D31" w:rsidRDefault="00B47F10" w:rsidP="00B47F10">
      <w:pPr>
        <w:pStyle w:val="AmdtsEntries"/>
      </w:pPr>
      <w:r>
        <w:t>r 15A.15</w:t>
      </w:r>
      <w:r>
        <w:tab/>
        <w:t xml:space="preserve">ins </w:t>
      </w:r>
      <w:hyperlink r:id="rId281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B7757B0" w14:textId="77777777" w:rsidR="00D94935" w:rsidRDefault="00D94935" w:rsidP="00D94935">
      <w:pPr>
        <w:pStyle w:val="AmdtsEntryHd"/>
        <w:rPr>
          <w:rFonts w:cs="Arial"/>
        </w:rPr>
      </w:pPr>
      <w:r>
        <w:rPr>
          <w:rFonts w:cs="Arial"/>
        </w:rPr>
        <w:t>sch 6, pt 6.16</w:t>
      </w:r>
    </w:p>
    <w:p w14:paraId="3C6BD3BA" w14:textId="69D43A21" w:rsidR="00D94935" w:rsidRDefault="00D94935" w:rsidP="00D94935">
      <w:pPr>
        <w:pStyle w:val="AmdtsEntries"/>
      </w:pPr>
      <w:r>
        <w:t>sch 6, pt 6.16 hdg</w:t>
      </w:r>
      <w:r>
        <w:tab/>
        <w:t xml:space="preserve">note sub </w:t>
      </w:r>
      <w:hyperlink r:id="rId281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14:paraId="24F3C8B9" w14:textId="24FEB43C" w:rsidR="0000223B" w:rsidRPr="00D94A67" w:rsidRDefault="0000223B" w:rsidP="00D94935">
      <w:pPr>
        <w:pStyle w:val="AmdtsEntries"/>
      </w:pPr>
      <w:r>
        <w:tab/>
        <w:t xml:space="preserve">am </w:t>
      </w:r>
      <w:hyperlink r:id="rId2813" w:tooltip="Court Procedures Amendment Rules 2024 (No 1)" w:history="1">
        <w:r w:rsidR="008E1456">
          <w:rPr>
            <w:rStyle w:val="charCitHyperlinkAbbrev"/>
          </w:rPr>
          <w:t>SL2024</w:t>
        </w:r>
        <w:r w:rsidR="008E1456">
          <w:rPr>
            <w:rStyle w:val="charCitHyperlinkAbbrev"/>
          </w:rPr>
          <w:noBreakHyphen/>
          <w:t>9</w:t>
        </w:r>
      </w:hyperlink>
      <w:r>
        <w:t xml:space="preserve"> r 33</w:t>
      </w:r>
    </w:p>
    <w:p w14:paraId="0FA669C7" w14:textId="77777777" w:rsidR="00D94935" w:rsidRPr="00140BF9" w:rsidRDefault="00D94935" w:rsidP="00D94935">
      <w:pPr>
        <w:pStyle w:val="AmdtsEntryHd"/>
        <w:rPr>
          <w:rFonts w:cs="Arial"/>
        </w:rPr>
      </w:pPr>
      <w:r w:rsidRPr="00140BF9">
        <w:rPr>
          <w:rFonts w:cs="Arial"/>
        </w:rPr>
        <w:t>Transitional—modification of rules for Magistrates Court</w:t>
      </w:r>
    </w:p>
    <w:p w14:paraId="7E34BDA6" w14:textId="77777777"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14:paraId="485C78A6" w14:textId="77777777" w:rsidR="00D94935" w:rsidRDefault="00D94935" w:rsidP="00D94935">
      <w:pPr>
        <w:pStyle w:val="AmdtsEntryHd"/>
      </w:pPr>
      <w:r>
        <w:t>Dictionary</w:t>
      </w:r>
    </w:p>
    <w:p w14:paraId="1E8D4F26" w14:textId="2786E4EE" w:rsidR="00D94935" w:rsidRDefault="00D94935" w:rsidP="00D94935">
      <w:pPr>
        <w:pStyle w:val="AmdtsEntries"/>
      </w:pPr>
      <w:r>
        <w:t>dict</w:t>
      </w:r>
      <w:r>
        <w:tab/>
        <w:t xml:space="preserve">am </w:t>
      </w:r>
      <w:hyperlink r:id="rId2814"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815"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816" w:tooltip="Court Procedures Amendment Rules 2011 (No 2)" w:history="1">
        <w:r w:rsidRPr="006364FA">
          <w:rPr>
            <w:rStyle w:val="charCitHyperlinkAbbrev"/>
          </w:rPr>
          <w:t>SL2011</w:t>
        </w:r>
        <w:r w:rsidRPr="006364FA">
          <w:rPr>
            <w:rStyle w:val="charCitHyperlinkAbbrev"/>
          </w:rPr>
          <w:noBreakHyphen/>
          <w:t>17</w:t>
        </w:r>
      </w:hyperlink>
      <w:r>
        <w:t xml:space="preserve"> r 47</w:t>
      </w:r>
      <w:r w:rsidR="002B46FF">
        <w:t xml:space="preserve">; </w:t>
      </w:r>
      <w:hyperlink r:id="rId2817" w:tooltip="Court Procedures Amendment Rules 2023 (No 2)" w:history="1">
        <w:r w:rsidR="002B46FF">
          <w:rPr>
            <w:rStyle w:val="charCitHyperlinkAbbrev"/>
          </w:rPr>
          <w:t>SL2023</w:t>
        </w:r>
        <w:r w:rsidR="002B46FF">
          <w:rPr>
            <w:rStyle w:val="charCitHyperlinkAbbrev"/>
          </w:rPr>
          <w:noBreakHyphen/>
          <w:t>36</w:t>
        </w:r>
      </w:hyperlink>
      <w:r w:rsidR="002B46FF">
        <w:t xml:space="preserve"> r 75</w:t>
      </w:r>
    </w:p>
    <w:p w14:paraId="2E222C4A" w14:textId="6A091997" w:rsidR="00D94935" w:rsidRPr="00E65F06" w:rsidRDefault="00D94935" w:rsidP="00D94935">
      <w:pPr>
        <w:pStyle w:val="AmdtsEntries"/>
      </w:pPr>
      <w:r>
        <w:tab/>
        <w:t xml:space="preserve">def </w:t>
      </w:r>
      <w:r>
        <w:rPr>
          <w:rStyle w:val="charBoldItals"/>
        </w:rPr>
        <w:t xml:space="preserve">accompanying affidavit </w:t>
      </w:r>
      <w:r>
        <w:t xml:space="preserve">om </w:t>
      </w:r>
      <w:hyperlink r:id="rId2818"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52663E2A" w14:textId="6018B3C6" w:rsidR="006E12C8" w:rsidRDefault="006E12C8" w:rsidP="00D94935">
      <w:pPr>
        <w:pStyle w:val="AmdtsEntries"/>
      </w:pPr>
      <w:r>
        <w:tab/>
      </w:r>
      <w:r w:rsidR="00075575">
        <w:t xml:space="preserve">def </w:t>
      </w:r>
      <w:r w:rsidR="00075575" w:rsidRPr="00075575">
        <w:rPr>
          <w:rStyle w:val="charBoldItals"/>
        </w:rPr>
        <w:t>accused person</w:t>
      </w:r>
      <w:r w:rsidR="00075575">
        <w:t xml:space="preserve"> am </w:t>
      </w:r>
      <w:hyperlink r:id="rId2819" w:tooltip="Court Procedures Amendment Rules 2024 (No 1)" w:history="1">
        <w:r w:rsidR="008E1456">
          <w:rPr>
            <w:rStyle w:val="charCitHyperlinkAbbrev"/>
          </w:rPr>
          <w:t>SL2024</w:t>
        </w:r>
        <w:r w:rsidR="008E1456">
          <w:rPr>
            <w:rStyle w:val="charCitHyperlinkAbbrev"/>
          </w:rPr>
          <w:noBreakHyphen/>
          <w:t>9</w:t>
        </w:r>
      </w:hyperlink>
      <w:r w:rsidR="00075575">
        <w:t xml:space="preserve"> r 34; pars renum R67 LA</w:t>
      </w:r>
    </w:p>
    <w:p w14:paraId="7009D14C" w14:textId="0AD6FA57" w:rsidR="00D94935" w:rsidRDefault="00D94935" w:rsidP="00D94935">
      <w:pPr>
        <w:pStyle w:val="AmdtsEntries"/>
      </w:pPr>
      <w:r>
        <w:tab/>
        <w:t xml:space="preserve">def </w:t>
      </w:r>
      <w:r>
        <w:rPr>
          <w:rStyle w:val="charBoldItals"/>
        </w:rPr>
        <w:t xml:space="preserve">additional authority </w:t>
      </w:r>
      <w:r>
        <w:t xml:space="preserve">ins </w:t>
      </w:r>
      <w:hyperlink r:id="rId2820"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14:paraId="43AF3636" w14:textId="033BBCAB" w:rsidR="001511EA" w:rsidRDefault="001511EA" w:rsidP="00D94935">
      <w:pPr>
        <w:pStyle w:val="AmdtsEntries"/>
      </w:pPr>
      <w:r>
        <w:tab/>
        <w:t xml:space="preserve">def </w:t>
      </w:r>
      <w:r w:rsidRPr="001511EA">
        <w:rPr>
          <w:rStyle w:val="charBoldItals"/>
        </w:rPr>
        <w:t>address for service</w:t>
      </w:r>
      <w:r>
        <w:t xml:space="preserve"> sub </w:t>
      </w:r>
      <w:hyperlink r:id="rId2821" w:tooltip="Court Procedures Amendment Rules 2018 (No 1)" w:history="1">
        <w:r>
          <w:rPr>
            <w:rStyle w:val="charCitHyperlinkAbbrev"/>
          </w:rPr>
          <w:t>SL2018</w:t>
        </w:r>
        <w:r>
          <w:rPr>
            <w:rStyle w:val="charCitHyperlinkAbbrev"/>
          </w:rPr>
          <w:noBreakHyphen/>
          <w:t>25</w:t>
        </w:r>
      </w:hyperlink>
      <w:r>
        <w:t xml:space="preserve"> r 28</w:t>
      </w:r>
    </w:p>
    <w:p w14:paraId="06B3B3F8" w14:textId="1178F239" w:rsidR="002B46FF" w:rsidRDefault="002B46FF" w:rsidP="002B46FF">
      <w:pPr>
        <w:pStyle w:val="AmdtsEntriesDefL2"/>
      </w:pPr>
      <w:r>
        <w:tab/>
        <w:t xml:space="preserve">am </w:t>
      </w:r>
      <w:hyperlink r:id="rId2822" w:tooltip="Court Procedures Amendment Rules 2023 (No 2)" w:history="1">
        <w:r>
          <w:rPr>
            <w:rStyle w:val="charCitHyperlinkAbbrev"/>
          </w:rPr>
          <w:t>SL2023</w:t>
        </w:r>
        <w:r>
          <w:rPr>
            <w:rStyle w:val="charCitHyperlinkAbbrev"/>
          </w:rPr>
          <w:noBreakHyphen/>
          <w:t>36</w:t>
        </w:r>
      </w:hyperlink>
      <w:r>
        <w:t xml:space="preserve"> r 76</w:t>
      </w:r>
    </w:p>
    <w:p w14:paraId="33BF9B25" w14:textId="2B293308" w:rsidR="00D94935" w:rsidRDefault="00D94935" w:rsidP="00D94935">
      <w:pPr>
        <w:pStyle w:val="AmdtsEntries"/>
      </w:pPr>
      <w:r>
        <w:tab/>
        <w:t xml:space="preserve">def </w:t>
      </w:r>
      <w:r w:rsidRPr="007B172F">
        <w:rPr>
          <w:rStyle w:val="charBoldItals"/>
        </w:rPr>
        <w:t>APLEC</w:t>
      </w:r>
      <w:r>
        <w:t xml:space="preserve"> ins </w:t>
      </w:r>
      <w:hyperlink r:id="rId2823" w:tooltip="Court Procedures Amendment Rules 2014 (No 2)" w:history="1">
        <w:r>
          <w:rPr>
            <w:rStyle w:val="charCitHyperlinkAbbrev"/>
          </w:rPr>
          <w:t>SL2014</w:t>
        </w:r>
        <w:r>
          <w:rPr>
            <w:rStyle w:val="charCitHyperlinkAbbrev"/>
          </w:rPr>
          <w:noBreakHyphen/>
          <w:t>9</w:t>
        </w:r>
      </w:hyperlink>
      <w:r w:rsidRPr="007B172F">
        <w:t xml:space="preserve"> r 12</w:t>
      </w:r>
    </w:p>
    <w:p w14:paraId="58AFB900" w14:textId="5BDBA84C" w:rsidR="00D94935" w:rsidRDefault="00D94935" w:rsidP="00D94935">
      <w:pPr>
        <w:pStyle w:val="AmdtsEntries"/>
      </w:pPr>
      <w:r>
        <w:tab/>
        <w:t xml:space="preserve">def </w:t>
      </w:r>
      <w:r>
        <w:rPr>
          <w:rStyle w:val="charBoldItals"/>
        </w:rPr>
        <w:t>appeal</w:t>
      </w:r>
      <w:r>
        <w:t xml:space="preserve"> am </w:t>
      </w:r>
      <w:hyperlink r:id="rId282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14:paraId="685917AE" w14:textId="2ECC7AB3" w:rsidR="00D94935" w:rsidRDefault="00D94935" w:rsidP="008147E2">
      <w:pPr>
        <w:pStyle w:val="AmdtsEntries"/>
        <w:keepNext/>
      </w:pPr>
      <w:r>
        <w:tab/>
        <w:t xml:space="preserve">def </w:t>
      </w:r>
      <w:r>
        <w:rPr>
          <w:rStyle w:val="charBoldItals"/>
        </w:rPr>
        <w:t xml:space="preserve">applicant </w:t>
      </w:r>
      <w:r>
        <w:t xml:space="preserve">sub </w:t>
      </w:r>
      <w:hyperlink r:id="rId2825"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14:paraId="3CEE5084" w14:textId="160284BB" w:rsidR="00D94935" w:rsidRDefault="00D94935" w:rsidP="00D94935">
      <w:pPr>
        <w:pStyle w:val="AmdtsEntriesDefL2"/>
      </w:pPr>
      <w:r>
        <w:tab/>
        <w:t xml:space="preserve">am </w:t>
      </w:r>
      <w:hyperlink r:id="rId28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14:paraId="1D93BDC8" w14:textId="23A328A1"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827"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14:paraId="47E475BA" w14:textId="395B43D0" w:rsidR="00D94935" w:rsidRPr="00E65F06" w:rsidRDefault="00D94935" w:rsidP="00D94935">
      <w:pPr>
        <w:pStyle w:val="AmdtsEntries"/>
      </w:pPr>
      <w:r>
        <w:tab/>
        <w:t xml:space="preserve">def </w:t>
      </w:r>
      <w:r>
        <w:rPr>
          <w:rStyle w:val="charBoldItals"/>
        </w:rPr>
        <w:t xml:space="preserve">appointed expert </w:t>
      </w:r>
      <w:r>
        <w:t xml:space="preserve">om </w:t>
      </w:r>
      <w:hyperlink r:id="rId2828"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228532C5" w14:textId="687DF285" w:rsidR="00D94935" w:rsidRDefault="00D94935" w:rsidP="00D94935">
      <w:pPr>
        <w:pStyle w:val="AmdtsEntries"/>
      </w:pPr>
      <w:r>
        <w:tab/>
        <w:t xml:space="preserve">def </w:t>
      </w:r>
      <w:r>
        <w:rPr>
          <w:rStyle w:val="charBoldItals"/>
        </w:rPr>
        <w:t>approved academic institution</w:t>
      </w:r>
      <w:r>
        <w:t xml:space="preserve"> ins </w:t>
      </w:r>
      <w:hyperlink r:id="rId2829" w:tooltip="Court Procedures Amendment Rules 2014 (No 2)" w:history="1">
        <w:r>
          <w:rPr>
            <w:rStyle w:val="charCitHyperlinkAbbrev"/>
          </w:rPr>
          <w:t>SL2014</w:t>
        </w:r>
        <w:r>
          <w:rPr>
            <w:rStyle w:val="charCitHyperlinkAbbrev"/>
          </w:rPr>
          <w:noBreakHyphen/>
          <w:t>9</w:t>
        </w:r>
      </w:hyperlink>
      <w:r w:rsidRPr="007B172F">
        <w:t xml:space="preserve"> r 12</w:t>
      </w:r>
    </w:p>
    <w:p w14:paraId="6AF96D01" w14:textId="6B185918" w:rsidR="00D94935" w:rsidRDefault="00D94935" w:rsidP="00D94935">
      <w:pPr>
        <w:pStyle w:val="AmdtsEntries"/>
      </w:pPr>
      <w:r>
        <w:tab/>
        <w:t xml:space="preserve">def </w:t>
      </w:r>
      <w:r>
        <w:rPr>
          <w:rStyle w:val="charBoldItals"/>
        </w:rPr>
        <w:t>approved course of study</w:t>
      </w:r>
      <w:r>
        <w:t xml:space="preserve"> ins </w:t>
      </w:r>
      <w:hyperlink r:id="rId2830" w:tooltip="Court Procedures Amendment Rules 2014 (No 2)" w:history="1">
        <w:r>
          <w:rPr>
            <w:rStyle w:val="charCitHyperlinkAbbrev"/>
          </w:rPr>
          <w:t>SL2014</w:t>
        </w:r>
        <w:r>
          <w:rPr>
            <w:rStyle w:val="charCitHyperlinkAbbrev"/>
          </w:rPr>
          <w:noBreakHyphen/>
          <w:t>9</w:t>
        </w:r>
      </w:hyperlink>
      <w:r w:rsidRPr="007B172F">
        <w:t xml:space="preserve"> r 12</w:t>
      </w:r>
    </w:p>
    <w:p w14:paraId="7DD7BD77" w14:textId="5AA92A5D" w:rsidR="00D94935" w:rsidRDefault="00D94935" w:rsidP="00D94935">
      <w:pPr>
        <w:pStyle w:val="AmdtsEntries"/>
      </w:pPr>
      <w:r>
        <w:tab/>
        <w:t xml:space="preserve">def </w:t>
      </w:r>
      <w:r>
        <w:rPr>
          <w:rStyle w:val="charBoldItals"/>
        </w:rPr>
        <w:t>approved PLT course</w:t>
      </w:r>
      <w:r>
        <w:t xml:space="preserve"> ins </w:t>
      </w:r>
      <w:hyperlink r:id="rId2831" w:tooltip="Court Procedures Amendment Rules 2014 (No 2)" w:history="1">
        <w:r>
          <w:rPr>
            <w:rStyle w:val="charCitHyperlinkAbbrev"/>
          </w:rPr>
          <w:t>SL2014</w:t>
        </w:r>
        <w:r>
          <w:rPr>
            <w:rStyle w:val="charCitHyperlinkAbbrev"/>
          </w:rPr>
          <w:noBreakHyphen/>
          <w:t>9</w:t>
        </w:r>
      </w:hyperlink>
      <w:r w:rsidRPr="007B172F">
        <w:t xml:space="preserve"> r 12</w:t>
      </w:r>
    </w:p>
    <w:p w14:paraId="588C730B" w14:textId="585895F9" w:rsidR="00D94935" w:rsidRDefault="00D94935" w:rsidP="00D94935">
      <w:pPr>
        <w:pStyle w:val="AmdtsEntries"/>
      </w:pPr>
      <w:r>
        <w:tab/>
        <w:t xml:space="preserve">def </w:t>
      </w:r>
      <w:r>
        <w:rPr>
          <w:rStyle w:val="charBoldItals"/>
        </w:rPr>
        <w:t>approved PLT provider</w:t>
      </w:r>
      <w:r>
        <w:t xml:space="preserve"> ins </w:t>
      </w:r>
      <w:hyperlink r:id="rId2832" w:tooltip="Court Procedures Amendment Rules 2014 (No 2)" w:history="1">
        <w:r>
          <w:rPr>
            <w:rStyle w:val="charCitHyperlinkAbbrev"/>
          </w:rPr>
          <w:t>SL2014</w:t>
        </w:r>
        <w:r>
          <w:rPr>
            <w:rStyle w:val="charCitHyperlinkAbbrev"/>
          </w:rPr>
          <w:noBreakHyphen/>
          <w:t>9</w:t>
        </w:r>
      </w:hyperlink>
      <w:r w:rsidRPr="007B172F">
        <w:t xml:space="preserve"> r 12</w:t>
      </w:r>
    </w:p>
    <w:p w14:paraId="1F264DBB" w14:textId="6117E65E" w:rsidR="00D94935" w:rsidRDefault="00D94935" w:rsidP="00D94935">
      <w:pPr>
        <w:pStyle w:val="AmdtsEntries"/>
      </w:pPr>
      <w:r>
        <w:tab/>
        <w:t xml:space="preserve">def </w:t>
      </w:r>
      <w:r>
        <w:rPr>
          <w:rStyle w:val="charBoldItals"/>
        </w:rPr>
        <w:t>approved subject</w:t>
      </w:r>
      <w:r>
        <w:t xml:space="preserve"> ins </w:t>
      </w:r>
      <w:hyperlink r:id="rId2833" w:tooltip="Court Procedures Amendment Rules 2014 (No 2)" w:history="1">
        <w:r>
          <w:rPr>
            <w:rStyle w:val="charCitHyperlinkAbbrev"/>
          </w:rPr>
          <w:t>SL2014</w:t>
        </w:r>
        <w:r>
          <w:rPr>
            <w:rStyle w:val="charCitHyperlinkAbbrev"/>
          </w:rPr>
          <w:noBreakHyphen/>
          <w:t>9</w:t>
        </w:r>
      </w:hyperlink>
      <w:r w:rsidRPr="007B172F">
        <w:t xml:space="preserve"> r 12</w:t>
      </w:r>
    </w:p>
    <w:p w14:paraId="1B80C585" w14:textId="72EF4C10" w:rsidR="00D94935" w:rsidRDefault="00D94935" w:rsidP="00D94935">
      <w:pPr>
        <w:pStyle w:val="AmdtsEntries"/>
      </w:pPr>
      <w:r>
        <w:tab/>
        <w:t xml:space="preserve">def </w:t>
      </w:r>
      <w:r>
        <w:rPr>
          <w:rStyle w:val="charBoldItals"/>
        </w:rPr>
        <w:t xml:space="preserve">arbitration </w:t>
      </w:r>
      <w:r>
        <w:t xml:space="preserve">ins </w:t>
      </w:r>
      <w:hyperlink r:id="rId2834"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62636D7" w14:textId="560D2218" w:rsidR="00B47F10" w:rsidRDefault="00B47F10" w:rsidP="00D94935">
      <w:pPr>
        <w:pStyle w:val="AmdtsEntries"/>
      </w:pPr>
      <w:r>
        <w:tab/>
        <w:t xml:space="preserve">def </w:t>
      </w:r>
      <w:r w:rsidRPr="00B47F10">
        <w:rPr>
          <w:rStyle w:val="charBoldItals"/>
        </w:rPr>
        <w:t>Australia</w:t>
      </w:r>
      <w:r>
        <w:t xml:space="preserve"> sub </w:t>
      </w:r>
      <w:hyperlink r:id="rId2835"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14:paraId="7312A06E" w14:textId="04D85470" w:rsidR="00D94935" w:rsidRPr="0083230E" w:rsidRDefault="00D94935" w:rsidP="00D94935">
      <w:pPr>
        <w:pStyle w:val="AmdtsEntries"/>
      </w:pPr>
      <w:r>
        <w:tab/>
        <w:t xml:space="preserve">def </w:t>
      </w:r>
      <w:r>
        <w:rPr>
          <w:rStyle w:val="charBoldItals"/>
        </w:rPr>
        <w:t xml:space="preserve">business </w:t>
      </w:r>
      <w:r>
        <w:t xml:space="preserve">sub </w:t>
      </w:r>
      <w:hyperlink r:id="rId2836"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2CA1A35C" w14:textId="0795DFD6" w:rsidR="00D94935" w:rsidRPr="0083230E" w:rsidRDefault="00D94935" w:rsidP="00D94935">
      <w:pPr>
        <w:pStyle w:val="AmdtsEntries"/>
      </w:pPr>
      <w:r>
        <w:tab/>
        <w:t xml:space="preserve">def </w:t>
      </w:r>
      <w:r>
        <w:rPr>
          <w:rStyle w:val="charBoldItals"/>
        </w:rPr>
        <w:t xml:space="preserve">business name </w:t>
      </w:r>
      <w:r>
        <w:t xml:space="preserve">sub </w:t>
      </w:r>
      <w:hyperlink r:id="rId2837"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04BC97" w14:textId="19DD69EB" w:rsidR="00D94935" w:rsidRPr="0083230E" w:rsidRDefault="00D94935" w:rsidP="00D94935">
      <w:pPr>
        <w:pStyle w:val="AmdtsEntries"/>
      </w:pPr>
      <w:r>
        <w:lastRenderedPageBreak/>
        <w:tab/>
        <w:t xml:space="preserve">def </w:t>
      </w:r>
      <w:r>
        <w:rPr>
          <w:rStyle w:val="charBoldItals"/>
        </w:rPr>
        <w:t xml:space="preserve">carrying on </w:t>
      </w:r>
      <w:r>
        <w:t xml:space="preserve">ins </w:t>
      </w:r>
      <w:hyperlink r:id="rId2838"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60C3C139" w14:textId="33F0120A" w:rsidR="00D94935" w:rsidRPr="0083230E" w:rsidRDefault="00D94935" w:rsidP="00D94935">
      <w:pPr>
        <w:pStyle w:val="AmdtsEntries"/>
      </w:pPr>
      <w:r>
        <w:tab/>
        <w:t xml:space="preserve">def </w:t>
      </w:r>
      <w:r>
        <w:rPr>
          <w:rStyle w:val="charBoldItals"/>
        </w:rPr>
        <w:t xml:space="preserve">carrying on business </w:t>
      </w:r>
      <w:r>
        <w:t xml:space="preserve">om </w:t>
      </w:r>
      <w:hyperlink r:id="rId2839"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D895C7" w14:textId="03C66576" w:rsidR="00D94935" w:rsidRDefault="00D94935" w:rsidP="00D94935">
      <w:pPr>
        <w:pStyle w:val="AmdtsEntries"/>
      </w:pPr>
      <w:r>
        <w:tab/>
        <w:t xml:space="preserve">def </w:t>
      </w:r>
      <w:r w:rsidRPr="006364FA">
        <w:rPr>
          <w:rStyle w:val="charBoldItals"/>
        </w:rPr>
        <w:t>case management meeting</w:t>
      </w:r>
      <w:r>
        <w:t xml:space="preserve"> ins </w:t>
      </w:r>
      <w:hyperlink r:id="rId284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1FF6C69E" w14:textId="403FBD13" w:rsidR="00D94935" w:rsidRDefault="00D94935" w:rsidP="00D94935">
      <w:pPr>
        <w:pStyle w:val="AmdtsEntriesDefL2"/>
      </w:pPr>
      <w:r>
        <w:tab/>
        <w:t xml:space="preserve">om </w:t>
      </w:r>
      <w:hyperlink r:id="rId2841" w:tooltip="Court Procedures Amendment Rules 2015 (No 1)" w:history="1">
        <w:r>
          <w:rPr>
            <w:rStyle w:val="charCitHyperlinkAbbrev"/>
          </w:rPr>
          <w:t>SL2015</w:t>
        </w:r>
        <w:r>
          <w:rPr>
            <w:rStyle w:val="charCitHyperlinkAbbrev"/>
          </w:rPr>
          <w:noBreakHyphen/>
          <w:t>12</w:t>
        </w:r>
      </w:hyperlink>
      <w:r>
        <w:t xml:space="preserve"> r 10</w:t>
      </w:r>
    </w:p>
    <w:p w14:paraId="592E4E46" w14:textId="47A3DC48" w:rsidR="00B70009" w:rsidRDefault="00B70009" w:rsidP="00D94935">
      <w:pPr>
        <w:pStyle w:val="AmdtsEntries"/>
      </w:pPr>
      <w:r>
        <w:tab/>
        <w:t xml:space="preserve">def </w:t>
      </w:r>
      <w:r w:rsidRPr="00B70009">
        <w:rPr>
          <w:rStyle w:val="charBoldItals"/>
        </w:rPr>
        <w:t>case summary</w:t>
      </w:r>
      <w:r>
        <w:t xml:space="preserve"> ins </w:t>
      </w:r>
      <w:hyperlink r:id="rId2842"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607DBA14" w14:textId="52D83241"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843"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2588B9F" w14:textId="461831C6" w:rsidR="00D94935" w:rsidRPr="006F7645" w:rsidRDefault="00D94935" w:rsidP="00D94935">
      <w:pPr>
        <w:pStyle w:val="AmdtsEntriesDefL2"/>
      </w:pPr>
      <w:r>
        <w:tab/>
        <w:t xml:space="preserve">om </w:t>
      </w:r>
      <w:hyperlink r:id="rId28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9F1445B" w14:textId="3EB6D388" w:rsidR="00D94935" w:rsidRPr="006F7645" w:rsidRDefault="00D94935" w:rsidP="00CC3252">
      <w:pPr>
        <w:pStyle w:val="AmdtsEntries"/>
        <w:keepNext/>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845"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7D8189F" w14:textId="06F2F6F2" w:rsidR="00D94935" w:rsidRPr="006F7645" w:rsidRDefault="00D94935" w:rsidP="00D94935">
      <w:pPr>
        <w:pStyle w:val="AmdtsEntriesDefL2"/>
      </w:pPr>
      <w:r>
        <w:tab/>
        <w:t xml:space="preserve">om </w:t>
      </w:r>
      <w:hyperlink r:id="rId28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8356321" w14:textId="1E60F578"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847"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328BAE3" w14:textId="3F415C6A" w:rsidR="00D94935" w:rsidRPr="006F7645" w:rsidRDefault="00D94935" w:rsidP="00D94935">
      <w:pPr>
        <w:pStyle w:val="AmdtsEntriesDefL2"/>
      </w:pPr>
      <w:r>
        <w:tab/>
        <w:t xml:space="preserve">om </w:t>
      </w:r>
      <w:hyperlink r:id="rId28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6C965E65" w14:textId="48F76143"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849"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FB030EA" w14:textId="22994475" w:rsidR="00D94935" w:rsidRPr="006F7645" w:rsidRDefault="00D94935" w:rsidP="00D94935">
      <w:pPr>
        <w:pStyle w:val="AmdtsEntriesDefL2"/>
      </w:pPr>
      <w:r>
        <w:tab/>
        <w:t xml:space="preserve">om </w:t>
      </w:r>
      <w:hyperlink r:id="rId28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05517454" w14:textId="007176BD" w:rsidR="00D94935" w:rsidRDefault="00D94935" w:rsidP="00D94935">
      <w:pPr>
        <w:pStyle w:val="AmdtsEntries"/>
      </w:pPr>
      <w:r>
        <w:tab/>
        <w:t xml:space="preserve">def </w:t>
      </w:r>
      <w:r>
        <w:rPr>
          <w:rStyle w:val="charBoldItals"/>
        </w:rPr>
        <w:t xml:space="preserve">central authority </w:t>
      </w:r>
      <w:r>
        <w:t xml:space="preserve">ins </w:t>
      </w:r>
      <w:hyperlink r:id="rId2851"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20E85C89" w14:textId="35A0F4F1" w:rsidR="00D94935" w:rsidRDefault="00D94935" w:rsidP="00D94935">
      <w:pPr>
        <w:pStyle w:val="AmdtsEntries"/>
      </w:pPr>
      <w:r>
        <w:tab/>
        <w:t xml:space="preserve">def </w:t>
      </w:r>
      <w:r>
        <w:rPr>
          <w:rStyle w:val="charBoldItals"/>
        </w:rPr>
        <w:t xml:space="preserve">certificate of service </w:t>
      </w:r>
      <w:r>
        <w:t xml:space="preserve">ins </w:t>
      </w:r>
      <w:hyperlink r:id="rId2852"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0D32B915" w14:textId="3C4B2A84" w:rsidR="00D94935" w:rsidRDefault="00D94935" w:rsidP="00D94935">
      <w:pPr>
        <w:pStyle w:val="AmdtsEntries"/>
      </w:pPr>
      <w:r>
        <w:tab/>
        <w:t xml:space="preserve">def </w:t>
      </w:r>
      <w:r>
        <w:rPr>
          <w:rStyle w:val="charBoldItals"/>
        </w:rPr>
        <w:t xml:space="preserve">certifying authority </w:t>
      </w:r>
      <w:r>
        <w:t xml:space="preserve">ins </w:t>
      </w:r>
      <w:hyperlink r:id="rId2853"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6DF30EC7" w14:textId="78DAB573"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854"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14:paraId="208AD252" w14:textId="5768C504"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855"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14:paraId="08B3482B" w14:textId="66EB1E72" w:rsidR="00D94935" w:rsidRDefault="00D94935" w:rsidP="00D94935">
      <w:pPr>
        <w:pStyle w:val="AmdtsEntries"/>
      </w:pPr>
      <w:r>
        <w:tab/>
        <w:t xml:space="preserve">def </w:t>
      </w:r>
      <w:r>
        <w:rPr>
          <w:rStyle w:val="charBoldItals"/>
        </w:rPr>
        <w:t>claim</w:t>
      </w:r>
      <w:r>
        <w:t xml:space="preserve"> ins </w:t>
      </w:r>
      <w:hyperlink r:id="rId2856"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60E44BD2" w14:textId="3030423F" w:rsidR="00D94935" w:rsidRPr="00467DBA" w:rsidRDefault="00D94935" w:rsidP="00D94935">
      <w:pPr>
        <w:pStyle w:val="AmdtsEntries"/>
      </w:pPr>
      <w:r>
        <w:tab/>
        <w:t xml:space="preserve">def </w:t>
      </w:r>
      <w:r>
        <w:rPr>
          <w:rStyle w:val="charBoldItals"/>
        </w:rPr>
        <w:t xml:space="preserve">code of conduct </w:t>
      </w:r>
      <w:r>
        <w:t xml:space="preserve">am </w:t>
      </w:r>
      <w:hyperlink r:id="rId2857"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14:paraId="313DABF4" w14:textId="77777777" w:rsidR="00D94935" w:rsidRDefault="00D94935" w:rsidP="00D94935">
      <w:pPr>
        <w:pStyle w:val="AmdtsEntries"/>
      </w:pPr>
      <w:r>
        <w:tab/>
        <w:t xml:space="preserve">def </w:t>
      </w:r>
      <w:r w:rsidRPr="006364FA">
        <w:rPr>
          <w:rStyle w:val="charBoldItals"/>
        </w:rPr>
        <w:t xml:space="preserve">commission </w:t>
      </w:r>
      <w:r>
        <w:t>om R10 LA</w:t>
      </w:r>
    </w:p>
    <w:p w14:paraId="25FA825D" w14:textId="7465B60D"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858"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14:paraId="1667F1A5" w14:textId="6C7F28F2" w:rsidR="00D94935" w:rsidRDefault="00D94935" w:rsidP="00D94935">
      <w:pPr>
        <w:pStyle w:val="AmdtsEntries"/>
      </w:pPr>
      <w:r>
        <w:tab/>
        <w:t xml:space="preserve">def </w:t>
      </w:r>
      <w:r w:rsidRPr="006364FA">
        <w:rPr>
          <w:rStyle w:val="charBoldItals"/>
        </w:rPr>
        <w:t>conciliation</w:t>
      </w:r>
      <w:r>
        <w:t xml:space="preserve"> ins </w:t>
      </w:r>
      <w:hyperlink r:id="rId2859"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2CAE01D6" w14:textId="32FD7D33" w:rsidR="00D94935" w:rsidRDefault="00D94935" w:rsidP="00D94935">
      <w:pPr>
        <w:pStyle w:val="AmdtsEntriesDefL2"/>
      </w:pPr>
      <w:r>
        <w:tab/>
        <w:t xml:space="preserve">om </w:t>
      </w:r>
      <w:hyperlink r:id="rId2860" w:tooltip="Court Procedures Amendment Rules 2015 (No 1)" w:history="1">
        <w:r>
          <w:rPr>
            <w:rStyle w:val="charCitHyperlinkAbbrev"/>
          </w:rPr>
          <w:t>SL2015</w:t>
        </w:r>
        <w:r>
          <w:rPr>
            <w:rStyle w:val="charCitHyperlinkAbbrev"/>
          </w:rPr>
          <w:noBreakHyphen/>
          <w:t>12</w:t>
        </w:r>
      </w:hyperlink>
      <w:r>
        <w:t xml:space="preserve"> r 10</w:t>
      </w:r>
    </w:p>
    <w:p w14:paraId="2A893FBE" w14:textId="6D1AF81F" w:rsidR="00D94935" w:rsidRDefault="00D94935" w:rsidP="00D94935">
      <w:pPr>
        <w:pStyle w:val="AmdtsEntries"/>
      </w:pPr>
      <w:r>
        <w:tab/>
        <w:t xml:space="preserve">def </w:t>
      </w:r>
      <w:r w:rsidRPr="009176B2">
        <w:rPr>
          <w:rStyle w:val="charBoldItals"/>
        </w:rPr>
        <w:t>conciliator</w:t>
      </w:r>
      <w:r>
        <w:t xml:space="preserve"> ins </w:t>
      </w:r>
      <w:hyperlink r:id="rId2861" w:tooltip="Court Procedures Amendment Rules 2015 (No 1)" w:history="1">
        <w:r>
          <w:rPr>
            <w:rStyle w:val="charCitHyperlinkAbbrev"/>
          </w:rPr>
          <w:t>SL2015</w:t>
        </w:r>
        <w:r>
          <w:rPr>
            <w:rStyle w:val="charCitHyperlinkAbbrev"/>
          </w:rPr>
          <w:noBreakHyphen/>
          <w:t>12</w:t>
        </w:r>
      </w:hyperlink>
      <w:r>
        <w:t xml:space="preserve"> r 11</w:t>
      </w:r>
    </w:p>
    <w:p w14:paraId="6E5F1D0F" w14:textId="26CC5820" w:rsidR="00B47F10" w:rsidRDefault="00B47F10" w:rsidP="00D94935">
      <w:pPr>
        <w:pStyle w:val="AmdtsEntries"/>
      </w:pPr>
      <w:r>
        <w:tab/>
        <w:t xml:space="preserve">def </w:t>
      </w:r>
      <w:r w:rsidRPr="00B47F10">
        <w:rPr>
          <w:rStyle w:val="charBoldItals"/>
        </w:rPr>
        <w:t>concurrent proceedings</w:t>
      </w:r>
      <w:r>
        <w:t xml:space="preserve"> ins </w:t>
      </w:r>
      <w:hyperlink r:id="rId2862"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14:paraId="51EABBC3" w14:textId="06F677DE" w:rsidR="00D94935" w:rsidRDefault="00D94935" w:rsidP="00D94935">
      <w:pPr>
        <w:pStyle w:val="AmdtsEntries"/>
      </w:pPr>
      <w:r>
        <w:tab/>
        <w:t xml:space="preserve">def </w:t>
      </w:r>
      <w:r w:rsidRPr="006364FA">
        <w:rPr>
          <w:rStyle w:val="charBoldItals"/>
        </w:rPr>
        <w:t>conference</w:t>
      </w:r>
      <w:r>
        <w:t xml:space="preserve"> ins </w:t>
      </w:r>
      <w:hyperlink r:id="rId2863"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53216A9" w14:textId="04FE7846" w:rsidR="00D94935" w:rsidRDefault="00D94935" w:rsidP="00D94935">
      <w:pPr>
        <w:pStyle w:val="AmdtsEntriesDefL2"/>
      </w:pPr>
      <w:r>
        <w:tab/>
        <w:t xml:space="preserve">om </w:t>
      </w:r>
      <w:hyperlink r:id="rId2864"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14:paraId="5D9C1DAC" w14:textId="361D5E15" w:rsidR="00D94935" w:rsidRDefault="00D94935" w:rsidP="00D94935">
      <w:pPr>
        <w:pStyle w:val="AmdtsEntries"/>
      </w:pPr>
      <w:r>
        <w:tab/>
        <w:t xml:space="preserve">def </w:t>
      </w:r>
      <w:r>
        <w:rPr>
          <w:rStyle w:val="charBoldItals"/>
        </w:rPr>
        <w:t>contractor</w:t>
      </w:r>
      <w:r>
        <w:t xml:space="preserve"> ins </w:t>
      </w:r>
      <w:hyperlink r:id="rId2865"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492B25E0" w14:textId="1DCA17EE" w:rsidR="00B47F10" w:rsidRDefault="00B47F10" w:rsidP="003E6484">
      <w:pPr>
        <w:pStyle w:val="AmdtsEntries"/>
        <w:keepNext/>
      </w:pPr>
      <w:r>
        <w:tab/>
        <w:t xml:space="preserve">def </w:t>
      </w:r>
      <w:r w:rsidRPr="00B47F10">
        <w:rPr>
          <w:rStyle w:val="charBoldItals"/>
        </w:rPr>
        <w:t>convention</w:t>
      </w:r>
      <w:r>
        <w:t xml:space="preserve"> om </w:t>
      </w:r>
      <w:hyperlink r:id="rId2866"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1758ECC7" w14:textId="6D6210E1"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867"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49803F12" w14:textId="1D2B7376" w:rsidR="00B47F10" w:rsidRDefault="00B47F10" w:rsidP="003E6484">
      <w:pPr>
        <w:pStyle w:val="AmdtsEntries"/>
        <w:keepNext/>
      </w:pPr>
      <w:r>
        <w:tab/>
        <w:t xml:space="preserve">def </w:t>
      </w:r>
      <w:r w:rsidRPr="00B47F10">
        <w:rPr>
          <w:rStyle w:val="charBoldItals"/>
        </w:rPr>
        <w:t>coordination agreement</w:t>
      </w:r>
      <w:r>
        <w:t xml:space="preserve"> ins </w:t>
      </w:r>
      <w:hyperlink r:id="rId2868"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14:paraId="580078E5" w14:textId="43711B93" w:rsidR="00D94935" w:rsidRDefault="00D94935" w:rsidP="003E6484">
      <w:pPr>
        <w:pStyle w:val="AmdtsEntries"/>
        <w:keepNext/>
      </w:pPr>
      <w:r>
        <w:tab/>
        <w:t xml:space="preserve">def </w:t>
      </w:r>
      <w:r>
        <w:rPr>
          <w:rStyle w:val="charBoldItals"/>
        </w:rPr>
        <w:t>court</w:t>
      </w:r>
      <w:r>
        <w:t xml:space="preserve"> sub </w:t>
      </w:r>
      <w:hyperlink r:id="rId2869"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252ABD7D" w14:textId="3F241DD7" w:rsidR="00D94935" w:rsidRDefault="00D94935" w:rsidP="00D94935">
      <w:pPr>
        <w:pStyle w:val="AmdtsEntriesDefL2"/>
      </w:pPr>
      <w:r>
        <w:tab/>
        <w:t xml:space="preserve">am </w:t>
      </w:r>
      <w:hyperlink r:id="rId2870"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14:paraId="73B42525" w14:textId="0B38E352" w:rsidR="00D94935" w:rsidRDefault="00D94935" w:rsidP="00D94935">
      <w:pPr>
        <w:pStyle w:val="AmdtsEntries"/>
      </w:pPr>
      <w:r>
        <w:tab/>
        <w:t xml:space="preserve">def </w:t>
      </w:r>
      <w:r w:rsidRPr="006364FA">
        <w:rPr>
          <w:rStyle w:val="charBoldItals"/>
        </w:rPr>
        <w:t>criminal proceeding</w:t>
      </w:r>
      <w:r>
        <w:t xml:space="preserve"> sub </w:t>
      </w:r>
      <w:hyperlink r:id="rId2871"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178A0125" w14:textId="5786A904" w:rsidR="00075575" w:rsidRDefault="00075575" w:rsidP="00075575">
      <w:pPr>
        <w:pStyle w:val="AmdtsEntriesDefL2"/>
      </w:pPr>
      <w:r>
        <w:tab/>
        <w:t xml:space="preserve">am </w:t>
      </w:r>
      <w:hyperlink r:id="rId2872" w:tooltip="Court Procedures Amendment Rules 2024 (No 1)" w:history="1">
        <w:r w:rsidR="008E1456">
          <w:rPr>
            <w:rStyle w:val="charCitHyperlinkAbbrev"/>
          </w:rPr>
          <w:t>SL2024</w:t>
        </w:r>
        <w:r w:rsidR="008E1456">
          <w:rPr>
            <w:rStyle w:val="charCitHyperlinkAbbrev"/>
          </w:rPr>
          <w:noBreakHyphen/>
          <w:t>9</w:t>
        </w:r>
      </w:hyperlink>
      <w:r>
        <w:t xml:space="preserve"> r 35</w:t>
      </w:r>
    </w:p>
    <w:p w14:paraId="6101FA3F" w14:textId="2C04BEF5"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873"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23EA1BD4" w14:textId="285FDBB9" w:rsidR="00D94935" w:rsidRDefault="00D94935" w:rsidP="00D94935">
      <w:pPr>
        <w:pStyle w:val="AmdtsEntries"/>
      </w:pPr>
      <w:r>
        <w:tab/>
        <w:t xml:space="preserve">def </w:t>
      </w:r>
      <w:r w:rsidRPr="006364FA">
        <w:rPr>
          <w:rStyle w:val="charBoldItals"/>
        </w:rPr>
        <w:t xml:space="preserve">CYP director-general </w:t>
      </w:r>
      <w:r>
        <w:t xml:space="preserve">ins </w:t>
      </w:r>
      <w:hyperlink r:id="rId2874"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14:paraId="673A5ECB" w14:textId="575A0887"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8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14:paraId="4553763A" w14:textId="40A69178" w:rsidR="00D94935" w:rsidRDefault="00D94935" w:rsidP="00D94935">
      <w:pPr>
        <w:pStyle w:val="AmdtsEntries"/>
      </w:pPr>
      <w:r>
        <w:tab/>
        <w:t xml:space="preserve">def </w:t>
      </w:r>
      <w:r w:rsidRPr="006364FA">
        <w:rPr>
          <w:rStyle w:val="charBoldItals"/>
        </w:rPr>
        <w:t>defendant</w:t>
      </w:r>
      <w:r>
        <w:t xml:space="preserve"> sub </w:t>
      </w:r>
      <w:hyperlink r:id="rId2876"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877"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14:paraId="3076A70B" w14:textId="75E015AE" w:rsidR="00075575" w:rsidRDefault="00075575" w:rsidP="00075575">
      <w:pPr>
        <w:pStyle w:val="AmdtsEntriesDefL2"/>
      </w:pPr>
      <w:r>
        <w:tab/>
        <w:t xml:space="preserve">am </w:t>
      </w:r>
      <w:hyperlink r:id="rId2878" w:tooltip="Court Procedures Amendment Rules 2024 (No 1)" w:history="1">
        <w:r w:rsidR="008E1456">
          <w:rPr>
            <w:rStyle w:val="charCitHyperlinkAbbrev"/>
          </w:rPr>
          <w:t>SL2024</w:t>
        </w:r>
        <w:r w:rsidR="008E1456">
          <w:rPr>
            <w:rStyle w:val="charCitHyperlinkAbbrev"/>
          </w:rPr>
          <w:noBreakHyphen/>
          <w:t>9</w:t>
        </w:r>
      </w:hyperlink>
      <w:r>
        <w:t xml:space="preserve"> r 36; pars renum R67 LA</w:t>
      </w:r>
    </w:p>
    <w:p w14:paraId="2DEB58CD" w14:textId="6B6165F6"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879" w:tooltip="Court Procedures Amendment Rules 2015 (No 1)" w:history="1">
        <w:r>
          <w:rPr>
            <w:rStyle w:val="charCitHyperlinkAbbrev"/>
          </w:rPr>
          <w:t>SL2015</w:t>
        </w:r>
        <w:r>
          <w:rPr>
            <w:rStyle w:val="charCitHyperlinkAbbrev"/>
          </w:rPr>
          <w:noBreakHyphen/>
          <w:t>12</w:t>
        </w:r>
      </w:hyperlink>
      <w:r>
        <w:t xml:space="preserve"> r 11</w:t>
      </w:r>
    </w:p>
    <w:p w14:paraId="38BA801F" w14:textId="728AC611" w:rsidR="00D94935" w:rsidRDefault="00D94935" w:rsidP="00D94935">
      <w:pPr>
        <w:pStyle w:val="AmdtsEntries"/>
        <w:keepNext/>
      </w:pPr>
      <w:r>
        <w:tab/>
        <w:t xml:space="preserve">def </w:t>
      </w:r>
      <w:r w:rsidRPr="006B227E">
        <w:rPr>
          <w:rStyle w:val="charBoldItals"/>
        </w:rPr>
        <w:t>docket</w:t>
      </w:r>
      <w:r>
        <w:rPr>
          <w:rStyle w:val="charBoldItals"/>
        </w:rPr>
        <w:t xml:space="preserve"> </w:t>
      </w:r>
      <w:r>
        <w:t xml:space="preserve">ins </w:t>
      </w:r>
      <w:hyperlink r:id="rId2880"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65D20252" w14:textId="5811F693" w:rsidR="00D94935" w:rsidRDefault="00D94935" w:rsidP="00D94935">
      <w:pPr>
        <w:pStyle w:val="AmdtsEntriesDefL2"/>
      </w:pPr>
      <w:r>
        <w:tab/>
        <w:t xml:space="preserve">am </w:t>
      </w:r>
      <w:hyperlink r:id="rId28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31C02C5" w14:textId="15EBAA31" w:rsidR="00075575" w:rsidRPr="006F7645" w:rsidRDefault="00075575" w:rsidP="00D94935">
      <w:pPr>
        <w:pStyle w:val="AmdtsEntriesDefL2"/>
      </w:pPr>
      <w:r>
        <w:tab/>
        <w:t xml:space="preserve">om </w:t>
      </w:r>
      <w:hyperlink r:id="rId2882" w:tooltip="Court Procedures Amendment Rules 2024 (No 1)" w:history="1">
        <w:r w:rsidR="008E1456">
          <w:rPr>
            <w:rStyle w:val="charCitHyperlinkAbbrev"/>
          </w:rPr>
          <w:t>SL2024</w:t>
        </w:r>
        <w:r w:rsidR="008E1456">
          <w:rPr>
            <w:rStyle w:val="charCitHyperlinkAbbrev"/>
          </w:rPr>
          <w:noBreakHyphen/>
          <w:t>9</w:t>
        </w:r>
      </w:hyperlink>
      <w:r>
        <w:t xml:space="preserve"> r 37</w:t>
      </w:r>
    </w:p>
    <w:p w14:paraId="44AFF48E" w14:textId="743B4693" w:rsidR="001511EA" w:rsidRDefault="001511EA" w:rsidP="00D94935">
      <w:pPr>
        <w:pStyle w:val="AmdtsEntries"/>
        <w:keepNext/>
      </w:pPr>
      <w:r>
        <w:lastRenderedPageBreak/>
        <w:tab/>
        <w:t xml:space="preserve">def </w:t>
      </w:r>
      <w:r w:rsidRPr="001511EA">
        <w:rPr>
          <w:rStyle w:val="charBoldItals"/>
        </w:rPr>
        <w:t>electronic communication</w:t>
      </w:r>
      <w:r>
        <w:t xml:space="preserve"> om </w:t>
      </w:r>
      <w:hyperlink r:id="rId2883" w:tooltip="Court Procedures Amendment Rules 2018 (No 1)" w:history="1">
        <w:r>
          <w:rPr>
            <w:rStyle w:val="charCitHyperlinkAbbrev"/>
          </w:rPr>
          <w:t>SL2018</w:t>
        </w:r>
        <w:r>
          <w:rPr>
            <w:rStyle w:val="charCitHyperlinkAbbrev"/>
          </w:rPr>
          <w:noBreakHyphen/>
          <w:t>25</w:t>
        </w:r>
      </w:hyperlink>
      <w:r>
        <w:t xml:space="preserve"> r 29</w:t>
      </w:r>
    </w:p>
    <w:p w14:paraId="65C307D8" w14:textId="65E0D281" w:rsidR="002B46FF" w:rsidRDefault="002B46FF" w:rsidP="00D94935">
      <w:pPr>
        <w:pStyle w:val="AmdtsEntries"/>
        <w:keepNext/>
      </w:pPr>
      <w:r>
        <w:tab/>
        <w:t xml:space="preserve">def </w:t>
      </w:r>
      <w:r w:rsidRPr="002B46FF">
        <w:rPr>
          <w:rStyle w:val="charBoldItals"/>
        </w:rPr>
        <w:t>electronic lodgment facility</w:t>
      </w:r>
      <w:r>
        <w:t xml:space="preserve"> ins </w:t>
      </w:r>
      <w:hyperlink r:id="rId2884" w:tooltip="Court Procedures Amendment Rules 2023 (No 2)" w:history="1">
        <w:r>
          <w:rPr>
            <w:rStyle w:val="charCitHyperlinkAbbrev"/>
          </w:rPr>
          <w:t>SL2023</w:t>
        </w:r>
        <w:r>
          <w:rPr>
            <w:rStyle w:val="charCitHyperlinkAbbrev"/>
          </w:rPr>
          <w:noBreakHyphen/>
          <w:t>36</w:t>
        </w:r>
      </w:hyperlink>
      <w:r>
        <w:t xml:space="preserve"> r 77</w:t>
      </w:r>
    </w:p>
    <w:p w14:paraId="2D45D396" w14:textId="6582E8CF" w:rsidR="00D94935" w:rsidRDefault="00D94935" w:rsidP="00D94935">
      <w:pPr>
        <w:pStyle w:val="AmdtsEntries"/>
        <w:keepNext/>
      </w:pPr>
      <w:r>
        <w:tab/>
        <w:t xml:space="preserve">def </w:t>
      </w:r>
      <w:r w:rsidRPr="006364FA">
        <w:rPr>
          <w:rStyle w:val="charBoldItals"/>
        </w:rPr>
        <w:t>enforcement hearing subpoena</w:t>
      </w:r>
      <w:r>
        <w:t xml:space="preserve"> sub </w:t>
      </w:r>
      <w:hyperlink r:id="rId2885"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AD2FFD3" w14:textId="77777777" w:rsidR="00D94935" w:rsidRDefault="00D94935" w:rsidP="00D94935">
      <w:pPr>
        <w:pStyle w:val="AmdtsEntriesDefL2"/>
      </w:pPr>
      <w:r>
        <w:tab/>
        <w:t>am R22 LA</w:t>
      </w:r>
    </w:p>
    <w:p w14:paraId="3BAD35CB" w14:textId="6F36B025" w:rsidR="00D94935" w:rsidRDefault="00D94935" w:rsidP="00D94935">
      <w:pPr>
        <w:pStyle w:val="AmdtsEntries"/>
        <w:keepNext/>
      </w:pPr>
      <w:r>
        <w:tab/>
        <w:t xml:space="preserve">def </w:t>
      </w:r>
      <w:r w:rsidRPr="006364FA">
        <w:rPr>
          <w:rStyle w:val="charBoldItals"/>
        </w:rPr>
        <w:t>enforcement hearing warrant</w:t>
      </w:r>
      <w:r>
        <w:t xml:space="preserve"> sub </w:t>
      </w:r>
      <w:hyperlink r:id="rId2886"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7EF57533" w14:textId="77777777" w:rsidR="00D94935" w:rsidRDefault="00D94935" w:rsidP="00D94935">
      <w:pPr>
        <w:pStyle w:val="AmdtsEntriesDefL2"/>
      </w:pPr>
      <w:r>
        <w:tab/>
        <w:t>am R22 LA</w:t>
      </w:r>
    </w:p>
    <w:p w14:paraId="299E182B" w14:textId="32C341EE"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887"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14:paraId="3112002A" w14:textId="31AC6C5C" w:rsidR="00D94935" w:rsidRPr="00467DBA" w:rsidRDefault="00D94935" w:rsidP="00D94935">
      <w:pPr>
        <w:pStyle w:val="AmdtsEntries"/>
      </w:pPr>
      <w:r>
        <w:tab/>
        <w:t xml:space="preserve">def </w:t>
      </w:r>
      <w:r>
        <w:rPr>
          <w:rStyle w:val="charBoldItals"/>
        </w:rPr>
        <w:t xml:space="preserve">expert </w:t>
      </w:r>
      <w:r>
        <w:t xml:space="preserve">sub </w:t>
      </w:r>
      <w:hyperlink r:id="rId2888"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14:paraId="1A9D1D3B" w14:textId="46D3CD5E" w:rsidR="00D94935" w:rsidRDefault="00D94935" w:rsidP="00D94935">
      <w:pPr>
        <w:pStyle w:val="AmdtsEntries"/>
      </w:pPr>
      <w:r>
        <w:tab/>
        <w:t xml:space="preserve">def </w:t>
      </w:r>
      <w:r>
        <w:rPr>
          <w:rStyle w:val="charBoldItals"/>
        </w:rPr>
        <w:t xml:space="preserve">expert medical evidence </w:t>
      </w:r>
      <w:r>
        <w:t xml:space="preserve">om </w:t>
      </w:r>
      <w:hyperlink r:id="rId2889"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14:paraId="18772F56" w14:textId="60992966" w:rsidR="00D94935" w:rsidRDefault="00D94935" w:rsidP="00D94935">
      <w:pPr>
        <w:pStyle w:val="AmdtsEntries"/>
      </w:pPr>
      <w:r>
        <w:tab/>
        <w:t xml:space="preserve">def </w:t>
      </w:r>
      <w:r>
        <w:rPr>
          <w:rStyle w:val="charBoldItals"/>
        </w:rPr>
        <w:t xml:space="preserve">expert report </w:t>
      </w:r>
      <w:r>
        <w:t xml:space="preserve">am </w:t>
      </w:r>
      <w:hyperlink r:id="rId2890"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14:paraId="2F5FB3FC" w14:textId="28B3D76B" w:rsidR="00D94935" w:rsidRPr="00467DBA" w:rsidRDefault="00D94935" w:rsidP="00D94935">
      <w:pPr>
        <w:pStyle w:val="AmdtsEntries"/>
      </w:pPr>
      <w:r>
        <w:tab/>
        <w:t xml:space="preserve">def </w:t>
      </w:r>
      <w:r>
        <w:rPr>
          <w:rStyle w:val="charBoldItals"/>
        </w:rPr>
        <w:t xml:space="preserve">expert witness </w:t>
      </w:r>
      <w:r>
        <w:t xml:space="preserve">am </w:t>
      </w:r>
      <w:hyperlink r:id="rId2891"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14:paraId="058897CD" w14:textId="60C8104E" w:rsidR="00176988" w:rsidRDefault="00176988" w:rsidP="00D94935">
      <w:pPr>
        <w:pStyle w:val="AmdtsEntries"/>
      </w:pPr>
      <w:r>
        <w:tab/>
        <w:t xml:space="preserve">def </w:t>
      </w:r>
      <w:r w:rsidRPr="00176988">
        <w:rPr>
          <w:rStyle w:val="charBoldItals"/>
        </w:rPr>
        <w:t>family violence proceeding</w:t>
      </w:r>
      <w:r>
        <w:t xml:space="preserve"> ins </w:t>
      </w:r>
      <w:hyperlink r:id="rId2892" w:tooltip="Court Procedures Amendment Rules 2017 (No 2)" w:history="1">
        <w:r>
          <w:rPr>
            <w:rStyle w:val="charCitHyperlinkAbbrev"/>
          </w:rPr>
          <w:t>SL2017</w:t>
        </w:r>
        <w:r>
          <w:rPr>
            <w:rStyle w:val="charCitHyperlinkAbbrev"/>
          </w:rPr>
          <w:noBreakHyphen/>
          <w:t>10</w:t>
        </w:r>
      </w:hyperlink>
      <w:r>
        <w:t xml:space="preserve"> r 18</w:t>
      </w:r>
    </w:p>
    <w:p w14:paraId="6434515D" w14:textId="3D6BC7D3" w:rsidR="00BB1338" w:rsidRDefault="00BB1338" w:rsidP="00745DAF">
      <w:pPr>
        <w:pStyle w:val="AmdtsEntries"/>
        <w:keepNext/>
      </w:pPr>
      <w:r>
        <w:tab/>
        <w:t xml:space="preserve">def </w:t>
      </w:r>
      <w:r w:rsidRPr="00BB1338">
        <w:rPr>
          <w:rStyle w:val="charBoldItals"/>
        </w:rPr>
        <w:t>filed</w:t>
      </w:r>
      <w:r>
        <w:t xml:space="preserve"> am </w:t>
      </w:r>
      <w:hyperlink r:id="rId2893"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14:paraId="462237F9" w14:textId="569C21B9" w:rsidR="004C61B6" w:rsidRDefault="004C61B6" w:rsidP="004C61B6">
      <w:pPr>
        <w:pStyle w:val="AmdtsEntriesDefL2"/>
      </w:pPr>
      <w:r>
        <w:tab/>
        <w:t xml:space="preserve">sub </w:t>
      </w:r>
      <w:hyperlink r:id="rId2894" w:tooltip="Court Procedures Amendment Rules 2018 (No 1)" w:history="1">
        <w:r>
          <w:rPr>
            <w:rStyle w:val="charCitHyperlinkAbbrev"/>
          </w:rPr>
          <w:t>SL2018</w:t>
        </w:r>
        <w:r>
          <w:rPr>
            <w:rStyle w:val="charCitHyperlinkAbbrev"/>
          </w:rPr>
          <w:noBreakHyphen/>
          <w:t>25</w:t>
        </w:r>
      </w:hyperlink>
      <w:r>
        <w:t xml:space="preserve"> r 30</w:t>
      </w:r>
    </w:p>
    <w:p w14:paraId="29CA2778" w14:textId="6473D84D" w:rsidR="004C61B6" w:rsidRDefault="004C61B6" w:rsidP="00D94935">
      <w:pPr>
        <w:pStyle w:val="AmdtsEntries"/>
      </w:pPr>
      <w:r>
        <w:tab/>
        <w:t>def</w:t>
      </w:r>
      <w:r w:rsidRPr="004C61B6">
        <w:rPr>
          <w:rStyle w:val="charBoldItals"/>
        </w:rPr>
        <w:t xml:space="preserve"> filed electronically</w:t>
      </w:r>
      <w:r>
        <w:t xml:space="preserve"> ins </w:t>
      </w:r>
      <w:hyperlink r:id="rId2895" w:tooltip="Court Procedures Amendment Rules 2018 (No 1)" w:history="1">
        <w:r>
          <w:rPr>
            <w:rStyle w:val="charCitHyperlinkAbbrev"/>
          </w:rPr>
          <w:t>SL2018</w:t>
        </w:r>
        <w:r>
          <w:rPr>
            <w:rStyle w:val="charCitHyperlinkAbbrev"/>
          </w:rPr>
          <w:noBreakHyphen/>
          <w:t>25</w:t>
        </w:r>
      </w:hyperlink>
      <w:r>
        <w:t xml:space="preserve"> r 31</w:t>
      </w:r>
    </w:p>
    <w:p w14:paraId="1EDA984C" w14:textId="24900DE7" w:rsidR="002B46FF" w:rsidRDefault="002B46FF" w:rsidP="002B46FF">
      <w:pPr>
        <w:pStyle w:val="AmdtsEntriesDefL2"/>
      </w:pPr>
      <w:r>
        <w:tab/>
        <w:t xml:space="preserve">am </w:t>
      </w:r>
      <w:hyperlink r:id="rId2896" w:tooltip="Court Procedures Amendment Rules 2023 (No 2)" w:history="1">
        <w:r>
          <w:rPr>
            <w:rStyle w:val="charCitHyperlinkAbbrev"/>
          </w:rPr>
          <w:t>SL2023</w:t>
        </w:r>
        <w:r>
          <w:rPr>
            <w:rStyle w:val="charCitHyperlinkAbbrev"/>
          </w:rPr>
          <w:noBreakHyphen/>
          <w:t>36</w:t>
        </w:r>
      </w:hyperlink>
      <w:r>
        <w:t xml:space="preserve"> r 78</w:t>
      </w:r>
    </w:p>
    <w:p w14:paraId="4B590288" w14:textId="443C0865" w:rsidR="00D94935" w:rsidRDefault="00D94935" w:rsidP="00D94935">
      <w:pPr>
        <w:pStyle w:val="AmdtsEntries"/>
      </w:pPr>
      <w:r>
        <w:tab/>
        <w:t xml:space="preserve">def </w:t>
      </w:r>
      <w:r>
        <w:rPr>
          <w:rStyle w:val="charBoldItals"/>
        </w:rPr>
        <w:t>fine</w:t>
      </w:r>
      <w:r>
        <w:t xml:space="preserve"> ins </w:t>
      </w:r>
      <w:hyperlink r:id="rId2897"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30C2F060" w14:textId="77777777" w:rsidR="00D94935" w:rsidRDefault="00D94935" w:rsidP="00D94935">
      <w:pPr>
        <w:pStyle w:val="AmdtsEntriesDefL2"/>
      </w:pPr>
      <w:r>
        <w:tab/>
        <w:t>om R22 LA</w:t>
      </w:r>
    </w:p>
    <w:p w14:paraId="418C6BF7" w14:textId="7AF72D78" w:rsidR="00D94935" w:rsidRDefault="00D94935" w:rsidP="00D94935">
      <w:pPr>
        <w:pStyle w:val="AmdtsEntries"/>
      </w:pPr>
      <w:r>
        <w:tab/>
        <w:t xml:space="preserve">def </w:t>
      </w:r>
      <w:r w:rsidRPr="006364FA">
        <w:rPr>
          <w:rStyle w:val="charBoldItals"/>
        </w:rPr>
        <w:t>fine defaulter</w:t>
      </w:r>
      <w:r>
        <w:t xml:space="preserve"> ins </w:t>
      </w:r>
      <w:hyperlink r:id="rId2898"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4316BB72" w14:textId="77777777" w:rsidR="00D94935" w:rsidRDefault="00D94935" w:rsidP="00D94935">
      <w:pPr>
        <w:pStyle w:val="AmdtsEntriesDefL2"/>
      </w:pPr>
      <w:r>
        <w:tab/>
        <w:t>om R22 LA</w:t>
      </w:r>
    </w:p>
    <w:p w14:paraId="5A21E0A6" w14:textId="285BFA7B" w:rsidR="00D94935" w:rsidRDefault="00D94935" w:rsidP="00D94935">
      <w:pPr>
        <w:pStyle w:val="AmdtsEntries"/>
      </w:pPr>
      <w:r>
        <w:tab/>
        <w:t xml:space="preserve">def </w:t>
      </w:r>
      <w:r>
        <w:rPr>
          <w:rStyle w:val="charBoldItals"/>
        </w:rPr>
        <w:t xml:space="preserve">foreign judicial document </w:t>
      </w:r>
      <w:r>
        <w:t xml:space="preserve">ins </w:t>
      </w:r>
      <w:hyperlink r:id="rId2899"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B43125" w14:textId="35E67026" w:rsidR="00BB1338" w:rsidRDefault="00BB1338" w:rsidP="00D94935">
      <w:pPr>
        <w:pStyle w:val="AmdtsEntries"/>
        <w:keepNext/>
      </w:pPr>
      <w:r>
        <w:tab/>
        <w:t>def</w:t>
      </w:r>
      <w:r w:rsidRPr="00BB1338">
        <w:rPr>
          <w:rStyle w:val="charBoldItals"/>
        </w:rPr>
        <w:t xml:space="preserve"> foreign party participation</w:t>
      </w:r>
      <w:r>
        <w:t xml:space="preserve"> ins </w:t>
      </w:r>
      <w:hyperlink r:id="rId2900"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7BCE4768" w14:textId="32BD8AA7"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901"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396615C" w14:textId="4EDC74AE" w:rsidR="00D94935" w:rsidRDefault="00D94935" w:rsidP="00D94935">
      <w:pPr>
        <w:pStyle w:val="AmdtsEntries"/>
      </w:pPr>
      <w:r>
        <w:tab/>
        <w:t xml:space="preserve">def </w:t>
      </w:r>
      <w:r>
        <w:rPr>
          <w:rStyle w:val="charBoldItals"/>
        </w:rPr>
        <w:t xml:space="preserve">forwarding authority </w:t>
      </w:r>
      <w:r>
        <w:t xml:space="preserve">ins </w:t>
      </w:r>
      <w:hyperlink r:id="rId2902"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2B21D493" w14:textId="7832F05B"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903"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4BE4D030" w14:textId="73E7FA4A"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904"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2413918A" w14:textId="50296BBD" w:rsidR="00D94935" w:rsidRDefault="00D94935" w:rsidP="00D94935">
      <w:pPr>
        <w:pStyle w:val="AmdtsEntries"/>
      </w:pPr>
      <w:r>
        <w:tab/>
        <w:t xml:space="preserve">def </w:t>
      </w:r>
      <w:r>
        <w:rPr>
          <w:rStyle w:val="charBoldItals"/>
        </w:rPr>
        <w:t xml:space="preserve">Hague Convention </w:t>
      </w:r>
      <w:r>
        <w:t xml:space="preserve">ins </w:t>
      </w:r>
      <w:hyperlink r:id="rId290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1DC31548" w14:textId="6DC52ED1" w:rsidR="00D94935" w:rsidRDefault="00D94935" w:rsidP="00D94935">
      <w:pPr>
        <w:pStyle w:val="AmdtsEntries"/>
      </w:pPr>
      <w:r>
        <w:tab/>
        <w:t xml:space="preserve">def </w:t>
      </w:r>
      <w:r>
        <w:rPr>
          <w:rStyle w:val="charBoldItals"/>
        </w:rPr>
        <w:t xml:space="preserve">Hague Convention country </w:t>
      </w:r>
      <w:r>
        <w:t xml:space="preserve">ins </w:t>
      </w:r>
      <w:hyperlink r:id="rId2906"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141CD5" w14:textId="230A8C91" w:rsidR="00D94935" w:rsidRDefault="00D94935" w:rsidP="00D94935">
      <w:pPr>
        <w:pStyle w:val="AmdtsEntries"/>
      </w:pPr>
      <w:r>
        <w:tab/>
        <w:t xml:space="preserve">def </w:t>
      </w:r>
      <w:r>
        <w:rPr>
          <w:rStyle w:val="charBoldItals"/>
        </w:rPr>
        <w:t>head of jurisdiction</w:t>
      </w:r>
      <w:r>
        <w:t xml:space="preserve"> sub </w:t>
      </w:r>
      <w:hyperlink r:id="rId29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14:paraId="7EA301A0" w14:textId="57CDFAD3" w:rsidR="00D94935" w:rsidRDefault="00D94935" w:rsidP="00D94935">
      <w:pPr>
        <w:pStyle w:val="AmdtsEntries"/>
      </w:pPr>
      <w:r>
        <w:tab/>
        <w:t xml:space="preserve">def </w:t>
      </w:r>
      <w:r>
        <w:rPr>
          <w:rStyle w:val="charBoldItals"/>
        </w:rPr>
        <w:t xml:space="preserve">initiating process </w:t>
      </w:r>
      <w:r>
        <w:t xml:space="preserve">ins </w:t>
      </w:r>
      <w:hyperlink r:id="rId290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4E8246B1" w14:textId="1DF7E336" w:rsidR="00D94935" w:rsidRDefault="00D94935" w:rsidP="00D94935">
      <w:pPr>
        <w:pStyle w:val="AmdtsEntries"/>
      </w:pPr>
      <w:r>
        <w:tab/>
        <w:t xml:space="preserve">def </w:t>
      </w:r>
      <w:r>
        <w:rPr>
          <w:rStyle w:val="charBoldItals"/>
        </w:rPr>
        <w:t>injury notice</w:t>
      </w:r>
      <w:r>
        <w:t xml:space="preserve"> ins </w:t>
      </w:r>
      <w:hyperlink r:id="rId2909"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76DEDFF8" w14:textId="73CF4CA6"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910" w:tooltip="Court Procedures Amendment Rules 2014 (No 3)" w:history="1">
        <w:r>
          <w:rPr>
            <w:rStyle w:val="charCitHyperlinkAbbrev"/>
          </w:rPr>
          <w:t>SL2014</w:t>
        </w:r>
        <w:r>
          <w:rPr>
            <w:rStyle w:val="charCitHyperlinkAbbrev"/>
          </w:rPr>
          <w:noBreakHyphen/>
          <w:t>34</w:t>
        </w:r>
      </w:hyperlink>
      <w:r>
        <w:t xml:space="preserve"> r 24</w:t>
      </w:r>
    </w:p>
    <w:p w14:paraId="5F432DF8" w14:textId="42384D76" w:rsidR="00D94935" w:rsidRDefault="00D94935" w:rsidP="00D94935">
      <w:pPr>
        <w:pStyle w:val="AmdtsEntries"/>
      </w:pPr>
      <w:r>
        <w:tab/>
        <w:t xml:space="preserve">def </w:t>
      </w:r>
      <w:r>
        <w:rPr>
          <w:rStyle w:val="charBoldItals"/>
        </w:rPr>
        <w:t>LACC</w:t>
      </w:r>
      <w:r>
        <w:t xml:space="preserve"> ins </w:t>
      </w:r>
      <w:hyperlink r:id="rId2911" w:tooltip="Court Procedures Amendment Rules 2014 (No 2)" w:history="1">
        <w:r>
          <w:rPr>
            <w:rStyle w:val="charCitHyperlinkAbbrev"/>
          </w:rPr>
          <w:t>SL2014</w:t>
        </w:r>
        <w:r>
          <w:rPr>
            <w:rStyle w:val="charCitHyperlinkAbbrev"/>
          </w:rPr>
          <w:noBreakHyphen/>
          <w:t>9</w:t>
        </w:r>
      </w:hyperlink>
      <w:r w:rsidRPr="007B172F">
        <w:t xml:space="preserve"> r 12</w:t>
      </w:r>
    </w:p>
    <w:p w14:paraId="2F476D1E" w14:textId="7FE449C4" w:rsidR="00D94935" w:rsidRPr="00C92589" w:rsidRDefault="00D94935" w:rsidP="00D94935">
      <w:pPr>
        <w:pStyle w:val="AmdtsEntries"/>
      </w:pPr>
      <w:r>
        <w:tab/>
        <w:t xml:space="preserve">def </w:t>
      </w:r>
      <w:r>
        <w:rPr>
          <w:rStyle w:val="charBoldItals"/>
        </w:rPr>
        <w:t>listing hearing</w:t>
      </w:r>
      <w:r>
        <w:t xml:space="preserve"> ins </w:t>
      </w:r>
      <w:hyperlink r:id="rId291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14:paraId="6231F28F" w14:textId="2F6F7383" w:rsidR="00D94935" w:rsidRDefault="00D94935" w:rsidP="00D94935">
      <w:pPr>
        <w:pStyle w:val="AmdtsEntries"/>
      </w:pPr>
      <w:r>
        <w:tab/>
        <w:t xml:space="preserve">def </w:t>
      </w:r>
      <w:r>
        <w:rPr>
          <w:rStyle w:val="charBoldItals"/>
        </w:rPr>
        <w:t xml:space="preserve">local judicial document </w:t>
      </w:r>
      <w:r>
        <w:t xml:space="preserve">ins </w:t>
      </w:r>
      <w:hyperlink r:id="rId2913"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31334FE9" w14:textId="18C5A7F8"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914"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188D7012" w14:textId="5AA3250E" w:rsidR="00D94935" w:rsidRDefault="00D94935" w:rsidP="00D94935">
      <w:pPr>
        <w:pStyle w:val="AmdtsEntries"/>
      </w:pPr>
      <w:r>
        <w:tab/>
        <w:t xml:space="preserve">def </w:t>
      </w:r>
      <w:r w:rsidRPr="006364FA">
        <w:rPr>
          <w:rStyle w:val="charBoldItals"/>
        </w:rPr>
        <w:t>Magistrates Court Act</w:t>
      </w:r>
      <w:r>
        <w:t xml:space="preserve"> ins </w:t>
      </w:r>
      <w:hyperlink r:id="rId2915"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05110E87" w14:textId="6251A5F8" w:rsidR="00D94935" w:rsidRDefault="00D94935" w:rsidP="00D94935">
      <w:pPr>
        <w:pStyle w:val="AmdtsEntriesDefL2"/>
      </w:pPr>
      <w:r>
        <w:tab/>
        <w:t xml:space="preserve">om </w:t>
      </w:r>
      <w:hyperlink r:id="rId2916"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14:paraId="7A66F60E" w14:textId="011A5410" w:rsidR="00D94935" w:rsidRDefault="00D94935" w:rsidP="00D94935">
      <w:pPr>
        <w:pStyle w:val="AmdtsEntries"/>
      </w:pPr>
      <w:r>
        <w:tab/>
        <w:t xml:space="preserve">def </w:t>
      </w:r>
      <w:r>
        <w:rPr>
          <w:rStyle w:val="charBoldItals"/>
        </w:rPr>
        <w:t xml:space="preserve">Model Law </w:t>
      </w:r>
      <w:r>
        <w:t xml:space="preserve">ins </w:t>
      </w:r>
      <w:hyperlink r:id="rId2917"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5AFA6CF2" w14:textId="2783EB5A" w:rsidR="00D94935" w:rsidRPr="00C92589" w:rsidRDefault="00D94935" w:rsidP="00D94935">
      <w:pPr>
        <w:pStyle w:val="AmdtsEntries"/>
      </w:pPr>
      <w:r>
        <w:tab/>
        <w:t xml:space="preserve">def </w:t>
      </w:r>
      <w:r>
        <w:rPr>
          <w:rStyle w:val="charBoldItals"/>
        </w:rPr>
        <w:t>nominated time</w:t>
      </w:r>
      <w:r>
        <w:t xml:space="preserve"> om </w:t>
      </w:r>
      <w:hyperlink r:id="rId291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14:paraId="5432757A" w14:textId="1789F3FF" w:rsidR="00BB1338" w:rsidRDefault="00BB1338" w:rsidP="00D94935">
      <w:pPr>
        <w:pStyle w:val="AmdtsEntries"/>
      </w:pPr>
      <w:r>
        <w:tab/>
        <w:t xml:space="preserve">def </w:t>
      </w:r>
      <w:r w:rsidRPr="00BB1338">
        <w:rPr>
          <w:rStyle w:val="charBoldItals"/>
        </w:rPr>
        <w:t>non-convention country</w:t>
      </w:r>
      <w:r>
        <w:t xml:space="preserve"> om </w:t>
      </w:r>
      <w:hyperlink r:id="rId2919"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14:paraId="2ED1A2F0" w14:textId="2ACF650C" w:rsidR="00D94935" w:rsidRPr="00D566A4" w:rsidRDefault="00D94935" w:rsidP="00D94935">
      <w:pPr>
        <w:pStyle w:val="AmdtsEntries"/>
      </w:pPr>
      <w:r>
        <w:tab/>
        <w:t xml:space="preserve">def </w:t>
      </w:r>
      <w:r>
        <w:rPr>
          <w:rStyle w:val="charBoldItals"/>
        </w:rPr>
        <w:t xml:space="preserve">offer </w:t>
      </w:r>
      <w:r>
        <w:t xml:space="preserve">ins </w:t>
      </w:r>
      <w:hyperlink r:id="rId2920" w:tooltip="Court Procedures Amendment Rules 2014 (No 3)" w:history="1">
        <w:r>
          <w:rPr>
            <w:rStyle w:val="charCitHyperlinkAbbrev"/>
          </w:rPr>
          <w:t>SL2014</w:t>
        </w:r>
        <w:r>
          <w:rPr>
            <w:rStyle w:val="charCitHyperlinkAbbrev"/>
          </w:rPr>
          <w:noBreakHyphen/>
          <w:t>34</w:t>
        </w:r>
      </w:hyperlink>
      <w:r>
        <w:t xml:space="preserve"> r 24</w:t>
      </w:r>
    </w:p>
    <w:p w14:paraId="3B648DF4" w14:textId="2E785379" w:rsidR="00D94935" w:rsidRDefault="00D94935" w:rsidP="00D94935">
      <w:pPr>
        <w:pStyle w:val="AmdtsEntries"/>
      </w:pPr>
      <w:r>
        <w:tab/>
        <w:t xml:space="preserve">def </w:t>
      </w:r>
      <w:r w:rsidRPr="006364FA">
        <w:rPr>
          <w:rStyle w:val="charBoldItals"/>
        </w:rPr>
        <w:t>order</w:t>
      </w:r>
      <w:r>
        <w:t xml:space="preserve"> sub </w:t>
      </w:r>
      <w:hyperlink r:id="rId2921"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1BA6AF65" w14:textId="4A4FA1BC" w:rsidR="00D94935" w:rsidRDefault="00D94935" w:rsidP="00D94935">
      <w:pPr>
        <w:pStyle w:val="AmdtsEntriesDefL2"/>
      </w:pPr>
      <w:r>
        <w:tab/>
        <w:t xml:space="preserve">am </w:t>
      </w:r>
      <w:hyperlink r:id="rId2922"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14:paraId="64A382CA" w14:textId="50653137" w:rsidR="00D94935" w:rsidRDefault="00D94935" w:rsidP="00D94935">
      <w:pPr>
        <w:pStyle w:val="AmdtsEntries"/>
      </w:pPr>
      <w:r>
        <w:tab/>
        <w:t xml:space="preserve">def </w:t>
      </w:r>
      <w:r w:rsidRPr="006364FA">
        <w:rPr>
          <w:rStyle w:val="charBoldItals"/>
        </w:rPr>
        <w:t>originating process</w:t>
      </w:r>
      <w:r>
        <w:t xml:space="preserve"> sub </w:t>
      </w:r>
      <w:hyperlink r:id="rId2923"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6FDD7C10" w14:textId="77C6139D" w:rsidR="00D94935" w:rsidRDefault="00D94935" w:rsidP="00D94935">
      <w:pPr>
        <w:pStyle w:val="AmdtsEntries"/>
        <w:keepNext/>
      </w:pPr>
      <w:r>
        <w:lastRenderedPageBreak/>
        <w:tab/>
        <w:t xml:space="preserve">def </w:t>
      </w:r>
      <w:r>
        <w:rPr>
          <w:rStyle w:val="charBoldItals"/>
        </w:rPr>
        <w:t>outstanding fine</w:t>
      </w:r>
      <w:r>
        <w:t xml:space="preserve"> ins </w:t>
      </w:r>
      <w:hyperlink r:id="rId2924"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14:paraId="1EED553F" w14:textId="77777777" w:rsidR="00D94935" w:rsidRDefault="00D94935" w:rsidP="00D94935">
      <w:pPr>
        <w:pStyle w:val="AmdtsEntriesDefL2"/>
      </w:pPr>
      <w:r>
        <w:tab/>
        <w:t>om R22 LA</w:t>
      </w:r>
    </w:p>
    <w:p w14:paraId="11EC06DD" w14:textId="5375D3FF" w:rsidR="00D94935" w:rsidRPr="00D566A4" w:rsidRDefault="00D94935" w:rsidP="00D94935">
      <w:pPr>
        <w:pStyle w:val="AmdtsEntries"/>
      </w:pPr>
      <w:r>
        <w:tab/>
        <w:t xml:space="preserve">def </w:t>
      </w:r>
      <w:r>
        <w:rPr>
          <w:rStyle w:val="charBoldItals"/>
        </w:rPr>
        <w:t xml:space="preserve">period of acceptance </w:t>
      </w:r>
      <w:r>
        <w:t xml:space="preserve">ins </w:t>
      </w:r>
      <w:hyperlink r:id="rId2925" w:tooltip="Court Procedures Amendment Rules 2014 (No 3)" w:history="1">
        <w:r>
          <w:rPr>
            <w:rStyle w:val="charCitHyperlinkAbbrev"/>
          </w:rPr>
          <w:t>SL2014</w:t>
        </w:r>
        <w:r>
          <w:rPr>
            <w:rStyle w:val="charCitHyperlinkAbbrev"/>
          </w:rPr>
          <w:noBreakHyphen/>
          <w:t>34</w:t>
        </w:r>
      </w:hyperlink>
      <w:r>
        <w:t xml:space="preserve"> r 24</w:t>
      </w:r>
    </w:p>
    <w:p w14:paraId="26D00FDF" w14:textId="050A55D4"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926" w:tooltip="Court Procedures Amendment Rules 2017 (No 2)" w:history="1">
        <w:r>
          <w:rPr>
            <w:rStyle w:val="charCitHyperlinkAbbrev"/>
          </w:rPr>
          <w:t>SL2017</w:t>
        </w:r>
        <w:r>
          <w:rPr>
            <w:rStyle w:val="charCitHyperlinkAbbrev"/>
          </w:rPr>
          <w:noBreakHyphen/>
          <w:t>10</w:t>
        </w:r>
      </w:hyperlink>
      <w:r>
        <w:t xml:space="preserve"> r 18</w:t>
      </w:r>
    </w:p>
    <w:p w14:paraId="16FDB1B6" w14:textId="1587A1DA" w:rsidR="00D94935" w:rsidRDefault="00D94935" w:rsidP="00D94935">
      <w:pPr>
        <w:pStyle w:val="AmdtsEntries"/>
      </w:pPr>
      <w:r>
        <w:tab/>
        <w:t xml:space="preserve">def </w:t>
      </w:r>
      <w:r w:rsidRPr="006364FA">
        <w:rPr>
          <w:rStyle w:val="charBoldItals"/>
        </w:rPr>
        <w:t>plaintiff</w:t>
      </w:r>
      <w:r>
        <w:t xml:space="preserve"> sub </w:t>
      </w:r>
      <w:hyperlink r:id="rId2927"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D974279" w14:textId="61E14545" w:rsidR="00D94935" w:rsidRDefault="00D94935" w:rsidP="00D94935">
      <w:pPr>
        <w:pStyle w:val="AmdtsEntries"/>
      </w:pPr>
      <w:r>
        <w:tab/>
        <w:t xml:space="preserve">def </w:t>
      </w:r>
      <w:r w:rsidRPr="006364FA">
        <w:rPr>
          <w:rStyle w:val="charBoldItals"/>
        </w:rPr>
        <w:t>pleading</w:t>
      </w:r>
      <w:r>
        <w:t xml:space="preserve"> sub </w:t>
      </w:r>
      <w:hyperlink r:id="rId2928"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4EDDEE01" w14:textId="0D65FB16" w:rsidR="00B70009" w:rsidRDefault="00B70009" w:rsidP="00B70009">
      <w:pPr>
        <w:pStyle w:val="AmdtsEntries"/>
      </w:pPr>
      <w:r>
        <w:tab/>
        <w:t xml:space="preserve">def </w:t>
      </w:r>
      <w:r>
        <w:rPr>
          <w:rStyle w:val="charBoldItals"/>
        </w:rPr>
        <w:t>practice direction</w:t>
      </w:r>
      <w:r>
        <w:t xml:space="preserve"> ins </w:t>
      </w:r>
      <w:hyperlink r:id="rId2929"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3300723B" w14:textId="67821CB9" w:rsidR="00D94935" w:rsidRDefault="00D94935" w:rsidP="00D94935">
      <w:pPr>
        <w:pStyle w:val="AmdtsEntries"/>
      </w:pPr>
      <w:r>
        <w:tab/>
        <w:t xml:space="preserve">def </w:t>
      </w:r>
      <w:r w:rsidRPr="005B2BAB">
        <w:rPr>
          <w:rStyle w:val="charBoldItals"/>
        </w:rPr>
        <w:t>prescribed offender</w:t>
      </w:r>
      <w:r>
        <w:t xml:space="preserve"> ins </w:t>
      </w:r>
      <w:hyperlink r:id="rId2930" w:tooltip="Court Procedures Amendment Rules 2013 (No 1)" w:history="1">
        <w:r w:rsidRPr="00064EDC">
          <w:rPr>
            <w:rStyle w:val="charCitHyperlinkAbbrev"/>
          </w:rPr>
          <w:t>SL2013-18</w:t>
        </w:r>
      </w:hyperlink>
      <w:r>
        <w:t xml:space="preserve"> r 35</w:t>
      </w:r>
    </w:p>
    <w:p w14:paraId="332B216B" w14:textId="3C0F405E" w:rsidR="00D94935" w:rsidRDefault="00D94935" w:rsidP="00D94935">
      <w:pPr>
        <w:pStyle w:val="AmdtsEntries"/>
      </w:pPr>
      <w:r>
        <w:tab/>
        <w:t xml:space="preserve">def </w:t>
      </w:r>
      <w:r w:rsidRPr="006364FA">
        <w:rPr>
          <w:rStyle w:val="charBoldItals"/>
        </w:rPr>
        <w:t>prescribed scale of costs</w:t>
      </w:r>
      <w:r>
        <w:t xml:space="preserve"> sub </w:t>
      </w:r>
      <w:hyperlink r:id="rId2931"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8ADD380" w14:textId="1F46FC38" w:rsidR="00D94935" w:rsidRDefault="00D94935" w:rsidP="00D94935">
      <w:pPr>
        <w:pStyle w:val="AmdtsEntries"/>
      </w:pPr>
      <w:r>
        <w:tab/>
        <w:t xml:space="preserve">def </w:t>
      </w:r>
      <w:r>
        <w:rPr>
          <w:rStyle w:val="charBoldItals"/>
        </w:rPr>
        <w:t>principal</w:t>
      </w:r>
      <w:r>
        <w:t xml:space="preserve"> ins </w:t>
      </w:r>
      <w:hyperlink r:id="rId2932"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14:paraId="5F978FDE" w14:textId="12405056"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933" w:tooltip="Court Procedures Amendment Rules 2018 (No 1)" w:history="1">
        <w:r>
          <w:rPr>
            <w:rStyle w:val="charCitHyperlinkAbbrev"/>
          </w:rPr>
          <w:t>SL2018</w:t>
        </w:r>
        <w:r>
          <w:rPr>
            <w:rStyle w:val="charCitHyperlinkAbbrev"/>
          </w:rPr>
          <w:noBreakHyphen/>
          <w:t>25</w:t>
        </w:r>
      </w:hyperlink>
      <w:r>
        <w:t xml:space="preserve"> r 31</w:t>
      </w:r>
    </w:p>
    <w:p w14:paraId="54772498" w14:textId="42B65672"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934" w:tooltip="Court Procedures Amendment Rules 2018 (No 1)" w:history="1">
        <w:r>
          <w:rPr>
            <w:rStyle w:val="charCitHyperlinkAbbrev"/>
          </w:rPr>
          <w:t>SL2018</w:t>
        </w:r>
        <w:r>
          <w:rPr>
            <w:rStyle w:val="charCitHyperlinkAbbrev"/>
          </w:rPr>
          <w:noBreakHyphen/>
          <w:t>25</w:t>
        </w:r>
      </w:hyperlink>
      <w:r>
        <w:t xml:space="preserve"> r 31</w:t>
      </w:r>
    </w:p>
    <w:p w14:paraId="79C3B91A" w14:textId="431A61C2" w:rsidR="00D94935" w:rsidRDefault="00D94935" w:rsidP="00D94935">
      <w:pPr>
        <w:pStyle w:val="AmdtsEntries"/>
      </w:pPr>
      <w:r>
        <w:tab/>
        <w:t xml:space="preserve">def </w:t>
      </w:r>
      <w:r w:rsidRPr="006364FA">
        <w:rPr>
          <w:rStyle w:val="charBoldItals"/>
        </w:rPr>
        <w:t>registrar</w:t>
      </w:r>
      <w:r>
        <w:t xml:space="preserve"> sub </w:t>
      </w:r>
      <w:hyperlink r:id="rId2935"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936"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14:paraId="64A10B23" w14:textId="3BFC4B19" w:rsidR="00D94935" w:rsidRDefault="00D94935" w:rsidP="00D94935">
      <w:pPr>
        <w:pStyle w:val="AmdtsEntries"/>
      </w:pPr>
      <w:r>
        <w:tab/>
        <w:t xml:space="preserve">def </w:t>
      </w:r>
      <w:r>
        <w:rPr>
          <w:rStyle w:val="charBoldItals"/>
        </w:rPr>
        <w:t>representative</w:t>
      </w:r>
      <w:r>
        <w:t xml:space="preserve"> ins </w:t>
      </w:r>
      <w:hyperlink r:id="rId2937"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11351EC0" w14:textId="3585A9B4" w:rsidR="00D94935" w:rsidRDefault="00D94935" w:rsidP="00D94935">
      <w:pPr>
        <w:pStyle w:val="AmdtsEntries"/>
      </w:pPr>
      <w:r>
        <w:tab/>
        <w:t xml:space="preserve">def </w:t>
      </w:r>
      <w:r>
        <w:rPr>
          <w:rStyle w:val="charBoldItals"/>
        </w:rPr>
        <w:t xml:space="preserve">request for service abroad </w:t>
      </w:r>
      <w:r>
        <w:t xml:space="preserve">ins </w:t>
      </w:r>
      <w:hyperlink r:id="rId2938"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DE967D8" w14:textId="2C7F0224" w:rsidR="00D94935" w:rsidRDefault="00D94935" w:rsidP="00D94935">
      <w:pPr>
        <w:pStyle w:val="AmdtsEntries"/>
      </w:pPr>
      <w:r>
        <w:tab/>
        <w:t xml:space="preserve">def </w:t>
      </w:r>
      <w:r>
        <w:rPr>
          <w:rStyle w:val="charBoldItals"/>
        </w:rPr>
        <w:t xml:space="preserve">request for service in the ACT </w:t>
      </w:r>
      <w:r>
        <w:t xml:space="preserve">ins </w:t>
      </w:r>
      <w:hyperlink r:id="rId2939"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E4196DF" w14:textId="5756EB21" w:rsidR="00D94935" w:rsidRDefault="00D94935" w:rsidP="00D94935">
      <w:pPr>
        <w:pStyle w:val="AmdtsEntries"/>
      </w:pPr>
      <w:r>
        <w:tab/>
        <w:t xml:space="preserve">def </w:t>
      </w:r>
      <w:r>
        <w:rPr>
          <w:rStyle w:val="charBoldItals"/>
        </w:rPr>
        <w:t>respondent</w:t>
      </w:r>
      <w:r>
        <w:t xml:space="preserve"> am </w:t>
      </w:r>
      <w:hyperlink r:id="rId29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14:paraId="7545B4D6" w14:textId="2A9F4060" w:rsidR="00D94935" w:rsidRDefault="00D94935" w:rsidP="00D94935">
      <w:pPr>
        <w:pStyle w:val="AmdtsEntries"/>
        <w:keepNext/>
      </w:pPr>
      <w:r>
        <w:tab/>
        <w:t xml:space="preserve">def </w:t>
      </w:r>
      <w:r>
        <w:rPr>
          <w:rStyle w:val="charBoldItals"/>
        </w:rPr>
        <w:t>restoration order</w:t>
      </w:r>
      <w:r>
        <w:t xml:space="preserve"> ins </w:t>
      </w:r>
      <w:hyperlink r:id="rId2941"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0E376F0E" w14:textId="470D97DC" w:rsidR="00D94935" w:rsidRDefault="00D94935" w:rsidP="00D94935">
      <w:pPr>
        <w:pStyle w:val="AmdtsEntriesDefL2"/>
      </w:pPr>
      <w:r>
        <w:tab/>
        <w:t xml:space="preserve">om </w:t>
      </w:r>
      <w:hyperlink r:id="rId2942"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14:paraId="7FAC228E" w14:textId="45236DAE"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943" w:tooltip="Court Procedures Amendment Rules 2013 (No 1)" w:history="1">
        <w:r w:rsidRPr="00064EDC">
          <w:rPr>
            <w:rStyle w:val="charCitHyperlinkAbbrev"/>
          </w:rPr>
          <w:t>SL2013-18</w:t>
        </w:r>
      </w:hyperlink>
      <w:r>
        <w:t xml:space="preserve"> r 35</w:t>
      </w:r>
    </w:p>
    <w:p w14:paraId="09B6A3D1" w14:textId="04C6DA16" w:rsidR="00F116D1" w:rsidRDefault="00F116D1" w:rsidP="00B70009">
      <w:pPr>
        <w:pStyle w:val="AmdtsEntries"/>
      </w:pPr>
      <w:r>
        <w:tab/>
        <w:t xml:space="preserve">def </w:t>
      </w:r>
      <w:r w:rsidRPr="00F116D1">
        <w:rPr>
          <w:rStyle w:val="charBoldItals"/>
        </w:rPr>
        <w:t>service list</w:t>
      </w:r>
      <w:r>
        <w:t xml:space="preserve"> ins </w:t>
      </w:r>
      <w:hyperlink r:id="rId2944"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14:paraId="3EB730B7" w14:textId="03B0A7B8"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945"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14D4A145" w14:textId="5E085DDB"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946"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C3B7DCD" w14:textId="2757B2D5" w:rsidR="00D94935" w:rsidRDefault="00D94935" w:rsidP="00D94935">
      <w:pPr>
        <w:pStyle w:val="AmdtsEntries"/>
      </w:pPr>
      <w:r>
        <w:tab/>
        <w:t xml:space="preserve">def </w:t>
      </w:r>
      <w:r>
        <w:rPr>
          <w:rStyle w:val="charBoldItals"/>
        </w:rPr>
        <w:t>the Crimes Act</w:t>
      </w:r>
      <w:r>
        <w:t xml:space="preserve"> ins </w:t>
      </w:r>
      <w:hyperlink r:id="rId2947" w:tooltip="Court Procedures Amendment Rules 2013 (No 1)" w:history="1">
        <w:r w:rsidRPr="00064EDC">
          <w:rPr>
            <w:rStyle w:val="charCitHyperlinkAbbrev"/>
          </w:rPr>
          <w:t>SL2013-18</w:t>
        </w:r>
      </w:hyperlink>
      <w:r>
        <w:t xml:space="preserve"> r 35</w:t>
      </w:r>
    </w:p>
    <w:p w14:paraId="515601FB" w14:textId="0AB71B41" w:rsidR="00D94935" w:rsidRDefault="00D94935" w:rsidP="00D94935">
      <w:pPr>
        <w:pStyle w:val="AmdtsEntries"/>
      </w:pPr>
      <w:r>
        <w:tab/>
        <w:t xml:space="preserve">def </w:t>
      </w:r>
      <w:r>
        <w:rPr>
          <w:rStyle w:val="charBoldItals"/>
        </w:rPr>
        <w:t>third-party respondent</w:t>
      </w:r>
      <w:r>
        <w:t xml:space="preserve"> ins </w:t>
      </w:r>
      <w:hyperlink r:id="rId2948"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6B96D239" w14:textId="0468A744"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949"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14:paraId="140BBEF5" w14:textId="28D29EFB" w:rsidR="00D94935" w:rsidRDefault="00D94935" w:rsidP="00D94935">
      <w:pPr>
        <w:pStyle w:val="AmdtsEntries"/>
      </w:pPr>
      <w:r>
        <w:tab/>
        <w:t xml:space="preserve">def </w:t>
      </w:r>
      <w:r>
        <w:rPr>
          <w:rStyle w:val="charBoldItals"/>
        </w:rPr>
        <w:t>Workers Compensation Act</w:t>
      </w:r>
      <w:r>
        <w:t xml:space="preserve"> ins </w:t>
      </w:r>
      <w:hyperlink r:id="rId2950"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21A9865C" w14:textId="67A6A5A2" w:rsidR="00D94935" w:rsidRPr="00467DBA" w:rsidRDefault="00D94935" w:rsidP="00D94935">
      <w:pPr>
        <w:pStyle w:val="AmdtsEntries"/>
      </w:pPr>
      <w:r>
        <w:tab/>
        <w:t xml:space="preserve">def </w:t>
      </w:r>
      <w:r>
        <w:rPr>
          <w:rStyle w:val="charBoldItals"/>
        </w:rPr>
        <w:t xml:space="preserve">Wrongs Act </w:t>
      </w:r>
      <w:r>
        <w:t xml:space="preserve">om </w:t>
      </w:r>
      <w:hyperlink r:id="rId2951"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14:paraId="7F944A97" w14:textId="77777777" w:rsidR="00D94935" w:rsidRDefault="00D94935" w:rsidP="00D94935">
      <w:pPr>
        <w:pStyle w:val="PageBreak"/>
      </w:pPr>
      <w:r>
        <w:br w:type="page"/>
      </w:r>
    </w:p>
    <w:p w14:paraId="76FE7485" w14:textId="77777777" w:rsidR="00D94935" w:rsidRPr="00C8328B" w:rsidRDefault="00D94935" w:rsidP="00D94935">
      <w:pPr>
        <w:pStyle w:val="Endnote2"/>
      </w:pPr>
      <w:bookmarkStart w:id="2081" w:name="_Toc185515697"/>
      <w:r w:rsidRPr="00C8328B">
        <w:rPr>
          <w:rStyle w:val="charTableNo"/>
        </w:rPr>
        <w:lastRenderedPageBreak/>
        <w:t>5</w:t>
      </w:r>
      <w:r>
        <w:tab/>
      </w:r>
      <w:r w:rsidRPr="00C8328B">
        <w:rPr>
          <w:rStyle w:val="charTableText"/>
        </w:rPr>
        <w:t>Earlier republications</w:t>
      </w:r>
      <w:bookmarkEnd w:id="2081"/>
    </w:p>
    <w:p w14:paraId="1AC9014A" w14:textId="64C8FA62" w:rsidR="00D94935" w:rsidRDefault="00D94935" w:rsidP="00D94935">
      <w:pPr>
        <w:pStyle w:val="EndNoteTextPub"/>
      </w:pPr>
      <w:r>
        <w:t xml:space="preserve">Some earlier republications were not numbered. </w:t>
      </w:r>
      <w:r w:rsidR="000823FF">
        <w:t xml:space="preserve"> </w:t>
      </w:r>
      <w:r>
        <w:t xml:space="preserve">The number in column 1 refers to the publication order.  </w:t>
      </w:r>
    </w:p>
    <w:p w14:paraId="2C4327CF" w14:textId="20F17332"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0823FF">
        <w:t xml:space="preserve"> </w:t>
      </w:r>
      <w:r>
        <w:t xml:space="preserve">These republications are marked with an asterisk (*) in column 1.  Electronic and printed versions of an authorised republication are identical. </w:t>
      </w:r>
    </w:p>
    <w:p w14:paraId="275B0552" w14:textId="77777777"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14:paraId="33A80107" w14:textId="77777777" w:rsidTr="003A681D">
        <w:trPr>
          <w:tblHeader/>
        </w:trPr>
        <w:tc>
          <w:tcPr>
            <w:tcW w:w="1576" w:type="dxa"/>
            <w:tcBorders>
              <w:bottom w:val="single" w:sz="4" w:space="0" w:color="auto"/>
            </w:tcBorders>
          </w:tcPr>
          <w:p w14:paraId="69E7DB73" w14:textId="77777777" w:rsidR="00D94935" w:rsidRDefault="00D94935" w:rsidP="003A681D">
            <w:pPr>
              <w:pStyle w:val="EarlierRepubHdg"/>
            </w:pPr>
            <w:r>
              <w:t>Republication No and date</w:t>
            </w:r>
          </w:p>
        </w:tc>
        <w:tc>
          <w:tcPr>
            <w:tcW w:w="1681" w:type="dxa"/>
            <w:tcBorders>
              <w:bottom w:val="single" w:sz="4" w:space="0" w:color="auto"/>
            </w:tcBorders>
          </w:tcPr>
          <w:p w14:paraId="7EDAC19C" w14:textId="77777777" w:rsidR="00D94935" w:rsidRDefault="00D94935" w:rsidP="003A681D">
            <w:pPr>
              <w:pStyle w:val="EarlierRepubHdg"/>
            </w:pPr>
            <w:r>
              <w:t>Effective</w:t>
            </w:r>
          </w:p>
        </w:tc>
        <w:tc>
          <w:tcPr>
            <w:tcW w:w="1783" w:type="dxa"/>
            <w:tcBorders>
              <w:bottom w:val="single" w:sz="4" w:space="0" w:color="auto"/>
            </w:tcBorders>
          </w:tcPr>
          <w:p w14:paraId="29428106" w14:textId="77777777" w:rsidR="00D94935" w:rsidRDefault="00D94935" w:rsidP="003A681D">
            <w:pPr>
              <w:pStyle w:val="EarlierRepubHdg"/>
            </w:pPr>
            <w:r>
              <w:t>Last amendment made by</w:t>
            </w:r>
          </w:p>
        </w:tc>
        <w:tc>
          <w:tcPr>
            <w:tcW w:w="1783" w:type="dxa"/>
            <w:tcBorders>
              <w:bottom w:val="single" w:sz="4" w:space="0" w:color="auto"/>
            </w:tcBorders>
          </w:tcPr>
          <w:p w14:paraId="775C86B0" w14:textId="77777777" w:rsidR="00D94935" w:rsidRDefault="00D94935" w:rsidP="003A681D">
            <w:pPr>
              <w:pStyle w:val="EarlierRepubHdg"/>
            </w:pPr>
            <w:r>
              <w:t>Republication for</w:t>
            </w:r>
          </w:p>
        </w:tc>
      </w:tr>
      <w:tr w:rsidR="00D94935" w14:paraId="5CE3BFB4" w14:textId="77777777" w:rsidTr="003A681D">
        <w:trPr>
          <w:cantSplit/>
        </w:trPr>
        <w:tc>
          <w:tcPr>
            <w:tcW w:w="1576" w:type="dxa"/>
            <w:tcBorders>
              <w:top w:val="single" w:sz="4" w:space="0" w:color="auto"/>
              <w:bottom w:val="single" w:sz="4" w:space="0" w:color="auto"/>
            </w:tcBorders>
          </w:tcPr>
          <w:p w14:paraId="4F3C4362" w14:textId="77777777"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14:paraId="55F1D846" w14:textId="77777777"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14:paraId="3A02CED2" w14:textId="77777777" w:rsidR="00D94935" w:rsidRDefault="00D94935" w:rsidP="003A681D">
            <w:pPr>
              <w:pStyle w:val="EarlierRepubEntries"/>
            </w:pPr>
            <w:r>
              <w:t>not amended</w:t>
            </w:r>
          </w:p>
        </w:tc>
        <w:tc>
          <w:tcPr>
            <w:tcW w:w="1783" w:type="dxa"/>
            <w:tcBorders>
              <w:top w:val="single" w:sz="4" w:space="0" w:color="auto"/>
              <w:bottom w:val="single" w:sz="4" w:space="0" w:color="auto"/>
            </w:tcBorders>
          </w:tcPr>
          <w:p w14:paraId="18C51C84" w14:textId="77777777" w:rsidR="00D94935" w:rsidRDefault="00D94935" w:rsidP="003A681D">
            <w:pPr>
              <w:pStyle w:val="EarlierRepubEntries"/>
            </w:pPr>
            <w:r>
              <w:t>new rules</w:t>
            </w:r>
          </w:p>
        </w:tc>
      </w:tr>
      <w:tr w:rsidR="00D94935" w14:paraId="67436B86" w14:textId="77777777" w:rsidTr="003A681D">
        <w:trPr>
          <w:cantSplit/>
        </w:trPr>
        <w:tc>
          <w:tcPr>
            <w:tcW w:w="1576" w:type="dxa"/>
            <w:tcBorders>
              <w:top w:val="single" w:sz="4" w:space="0" w:color="auto"/>
              <w:bottom w:val="single" w:sz="4" w:space="0" w:color="auto"/>
            </w:tcBorders>
          </w:tcPr>
          <w:p w14:paraId="283E4EBC" w14:textId="77777777"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14:paraId="795F3CD0" w14:textId="77777777"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14:paraId="55ACF272" w14:textId="0495A538" w:rsidR="00D94935" w:rsidRDefault="001542D1" w:rsidP="003A681D">
            <w:pPr>
              <w:pStyle w:val="EarlierRepubEntries"/>
            </w:pPr>
            <w:hyperlink r:id="rId2952"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66DDD50E" w14:textId="42BD2FE4" w:rsidR="00D94935" w:rsidRDefault="00D94935" w:rsidP="003A681D">
            <w:pPr>
              <w:pStyle w:val="EarlierRepubEntries"/>
            </w:pPr>
            <w:r>
              <w:t xml:space="preserve">amendments by </w:t>
            </w:r>
            <w:hyperlink r:id="rId2953" w:tooltip="Court Procedures Amendment Rules 2006 (No 1)" w:history="1">
              <w:r w:rsidRPr="006364FA">
                <w:rPr>
                  <w:rStyle w:val="charCitHyperlinkAbbrev"/>
                </w:rPr>
                <w:t>SL2006</w:t>
              </w:r>
              <w:r w:rsidRPr="006364FA">
                <w:rPr>
                  <w:rStyle w:val="charCitHyperlinkAbbrev"/>
                </w:rPr>
                <w:noBreakHyphen/>
                <w:t>43</w:t>
              </w:r>
            </w:hyperlink>
          </w:p>
        </w:tc>
      </w:tr>
      <w:tr w:rsidR="00D94935" w14:paraId="363D06F2" w14:textId="77777777" w:rsidTr="003A681D">
        <w:trPr>
          <w:cantSplit/>
        </w:trPr>
        <w:tc>
          <w:tcPr>
            <w:tcW w:w="1576" w:type="dxa"/>
            <w:tcBorders>
              <w:top w:val="single" w:sz="4" w:space="0" w:color="auto"/>
              <w:bottom w:val="single" w:sz="4" w:space="0" w:color="auto"/>
            </w:tcBorders>
          </w:tcPr>
          <w:p w14:paraId="2080F409" w14:textId="77777777"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14:paraId="0E1EB685" w14:textId="77777777"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14:paraId="4B4CB71A" w14:textId="1AA23AB1" w:rsidR="00D94935" w:rsidRDefault="001542D1" w:rsidP="003A681D">
            <w:pPr>
              <w:pStyle w:val="EarlierRepubEntries"/>
            </w:pPr>
            <w:hyperlink r:id="rId2954"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59192F6B" w14:textId="3ECCE612" w:rsidR="00D94935" w:rsidRDefault="00D94935" w:rsidP="003A681D">
            <w:pPr>
              <w:pStyle w:val="EarlierRepubEntries"/>
            </w:pPr>
            <w:r>
              <w:t xml:space="preserve">editorial amendments under </w:t>
            </w:r>
            <w:hyperlink r:id="rId2955" w:tooltip="A2001-14" w:history="1">
              <w:r w:rsidRPr="006364FA">
                <w:rPr>
                  <w:rStyle w:val="charCitHyperlinkAbbrev"/>
                </w:rPr>
                <w:t>Legislation Act</w:t>
              </w:r>
            </w:hyperlink>
            <w:r>
              <w:t xml:space="preserve"> to update approved form notes</w:t>
            </w:r>
          </w:p>
        </w:tc>
      </w:tr>
      <w:tr w:rsidR="00D94935" w14:paraId="1BD132FB" w14:textId="77777777" w:rsidTr="003A681D">
        <w:trPr>
          <w:cantSplit/>
        </w:trPr>
        <w:tc>
          <w:tcPr>
            <w:tcW w:w="1576" w:type="dxa"/>
            <w:tcBorders>
              <w:top w:val="single" w:sz="4" w:space="0" w:color="auto"/>
              <w:bottom w:val="single" w:sz="4" w:space="0" w:color="auto"/>
            </w:tcBorders>
          </w:tcPr>
          <w:p w14:paraId="5E403B0B" w14:textId="77777777"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14:paraId="6125F9A0" w14:textId="77777777"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14:paraId="08E646CB" w14:textId="6AB9A99E" w:rsidR="00D94935" w:rsidRDefault="001542D1" w:rsidP="003A681D">
            <w:pPr>
              <w:pStyle w:val="EarlierRepubEntries"/>
            </w:pPr>
            <w:hyperlink r:id="rId2956"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0536A128" w14:textId="5CBDFA7B" w:rsidR="00D94935" w:rsidRDefault="00D94935" w:rsidP="003A681D">
            <w:pPr>
              <w:pStyle w:val="EarlierRepubEntries"/>
            </w:pPr>
            <w:r>
              <w:t xml:space="preserve">amendments by </w:t>
            </w:r>
            <w:hyperlink r:id="rId2957" w:tooltip="Court Procedures Amendment Rules 2006 (No 2)" w:history="1">
              <w:r w:rsidRPr="006364FA">
                <w:rPr>
                  <w:rStyle w:val="charCitHyperlinkAbbrev"/>
                </w:rPr>
                <w:t>SL2006</w:t>
              </w:r>
              <w:r w:rsidRPr="006364FA">
                <w:rPr>
                  <w:rStyle w:val="charCitHyperlinkAbbrev"/>
                </w:rPr>
                <w:noBreakHyphen/>
                <w:t>58</w:t>
              </w:r>
            </w:hyperlink>
          </w:p>
        </w:tc>
      </w:tr>
      <w:tr w:rsidR="00D94935" w14:paraId="2F11CBE6" w14:textId="77777777" w:rsidTr="003A681D">
        <w:trPr>
          <w:cantSplit/>
        </w:trPr>
        <w:tc>
          <w:tcPr>
            <w:tcW w:w="1576" w:type="dxa"/>
            <w:tcBorders>
              <w:top w:val="single" w:sz="4" w:space="0" w:color="auto"/>
              <w:bottom w:val="single" w:sz="4" w:space="0" w:color="auto"/>
            </w:tcBorders>
          </w:tcPr>
          <w:p w14:paraId="439D8A8B" w14:textId="77777777"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14:paraId="0DD8DBA7" w14:textId="77777777"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14:paraId="536F5163" w14:textId="33005751" w:rsidR="00D94935" w:rsidRDefault="001542D1" w:rsidP="003A681D">
            <w:pPr>
              <w:pStyle w:val="EarlierRepubEntries"/>
            </w:pPr>
            <w:hyperlink r:id="rId2958"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709213E2" w14:textId="77777777" w:rsidR="00D94935" w:rsidRDefault="00D94935" w:rsidP="003A681D">
            <w:pPr>
              <w:pStyle w:val="EarlierRepubEntries"/>
            </w:pPr>
            <w:r>
              <w:t>commenced expiry</w:t>
            </w:r>
          </w:p>
        </w:tc>
      </w:tr>
      <w:tr w:rsidR="00D94935" w14:paraId="5080BD5A" w14:textId="77777777" w:rsidTr="003A681D">
        <w:trPr>
          <w:cantSplit/>
        </w:trPr>
        <w:tc>
          <w:tcPr>
            <w:tcW w:w="1576" w:type="dxa"/>
            <w:tcBorders>
              <w:top w:val="single" w:sz="4" w:space="0" w:color="auto"/>
              <w:bottom w:val="single" w:sz="4" w:space="0" w:color="auto"/>
            </w:tcBorders>
          </w:tcPr>
          <w:p w14:paraId="58C807B3" w14:textId="77777777"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14:paraId="0CDC535E" w14:textId="77777777"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14:paraId="7B7701DB" w14:textId="5DFBB194" w:rsidR="00D94935" w:rsidRDefault="001542D1" w:rsidP="003A681D">
            <w:pPr>
              <w:pStyle w:val="EarlierRepubEntries"/>
            </w:pPr>
            <w:hyperlink r:id="rId2959"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14:paraId="1F8F1E0E" w14:textId="5920A2B7" w:rsidR="00D94935" w:rsidRDefault="00D94935" w:rsidP="003A681D">
            <w:pPr>
              <w:pStyle w:val="EarlierRepubEntries"/>
            </w:pPr>
            <w:r>
              <w:t xml:space="preserve">amendments by </w:t>
            </w:r>
            <w:hyperlink r:id="rId2960" w:tooltip="Statute Law Amendment Act 2007" w:history="1">
              <w:r w:rsidRPr="006364FA">
                <w:rPr>
                  <w:rStyle w:val="charCitHyperlinkAbbrev"/>
                </w:rPr>
                <w:t>A2007</w:t>
              </w:r>
              <w:r w:rsidRPr="006364FA">
                <w:rPr>
                  <w:rStyle w:val="charCitHyperlinkAbbrev"/>
                </w:rPr>
                <w:noBreakHyphen/>
                <w:t>3</w:t>
              </w:r>
            </w:hyperlink>
          </w:p>
        </w:tc>
      </w:tr>
      <w:tr w:rsidR="00D94935" w14:paraId="7D4F10BB" w14:textId="77777777" w:rsidTr="003A681D">
        <w:trPr>
          <w:cantSplit/>
        </w:trPr>
        <w:tc>
          <w:tcPr>
            <w:tcW w:w="1576" w:type="dxa"/>
            <w:tcBorders>
              <w:top w:val="single" w:sz="4" w:space="0" w:color="auto"/>
              <w:bottom w:val="single" w:sz="4" w:space="0" w:color="auto"/>
            </w:tcBorders>
          </w:tcPr>
          <w:p w14:paraId="75ECFD5C" w14:textId="77777777"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14:paraId="1FC0A032" w14:textId="77777777"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14:paraId="3BCE55B0" w14:textId="6596A198" w:rsidR="00D94935" w:rsidRDefault="001542D1" w:rsidP="003A681D">
            <w:pPr>
              <w:pStyle w:val="EarlierRepubEntries"/>
            </w:pPr>
            <w:hyperlink r:id="rId2961"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14:paraId="75BA0B43" w14:textId="5AED95C1" w:rsidR="00D94935" w:rsidRDefault="00D94935" w:rsidP="003A681D">
            <w:pPr>
              <w:pStyle w:val="EarlierRepubEntries"/>
            </w:pPr>
            <w:r>
              <w:t xml:space="preserve">amendments by </w:t>
            </w:r>
            <w:hyperlink r:id="rId2962" w:tooltip="Court Procedures Amendment Rules 2007 (No 1)" w:history="1">
              <w:r w:rsidRPr="006364FA">
                <w:rPr>
                  <w:rStyle w:val="charCitHyperlinkAbbrev"/>
                </w:rPr>
                <w:t>SL2007</w:t>
              </w:r>
              <w:r w:rsidRPr="006364FA">
                <w:rPr>
                  <w:rStyle w:val="charCitHyperlinkAbbrev"/>
                </w:rPr>
                <w:noBreakHyphen/>
                <w:t>16</w:t>
              </w:r>
            </w:hyperlink>
          </w:p>
        </w:tc>
      </w:tr>
      <w:tr w:rsidR="00D94935" w14:paraId="624A1D47" w14:textId="77777777" w:rsidTr="003A681D">
        <w:trPr>
          <w:cantSplit/>
        </w:trPr>
        <w:tc>
          <w:tcPr>
            <w:tcW w:w="1576" w:type="dxa"/>
            <w:tcBorders>
              <w:top w:val="single" w:sz="4" w:space="0" w:color="auto"/>
              <w:bottom w:val="single" w:sz="4" w:space="0" w:color="auto"/>
            </w:tcBorders>
          </w:tcPr>
          <w:p w14:paraId="5D41DED3" w14:textId="77777777"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14:paraId="430E3F76" w14:textId="77777777"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14:paraId="14A5608B" w14:textId="24B95E35" w:rsidR="00D94935" w:rsidRDefault="001542D1" w:rsidP="003A681D">
            <w:pPr>
              <w:pStyle w:val="EarlierRepubEntries"/>
            </w:pPr>
            <w:hyperlink r:id="rId2963"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14:paraId="277583B2" w14:textId="59663AC0" w:rsidR="00D94935" w:rsidRDefault="00D94935" w:rsidP="003A681D">
            <w:pPr>
              <w:pStyle w:val="EarlierRepubEntries"/>
            </w:pPr>
            <w:r>
              <w:t xml:space="preserve">amendments by </w:t>
            </w:r>
            <w:hyperlink r:id="rId2964" w:tooltip="Legal Profession Amendment Act 2007" w:history="1">
              <w:r w:rsidRPr="006364FA">
                <w:rPr>
                  <w:rStyle w:val="charCitHyperlinkAbbrev"/>
                </w:rPr>
                <w:t>A2007</w:t>
              </w:r>
              <w:r w:rsidRPr="006364FA">
                <w:rPr>
                  <w:rStyle w:val="charCitHyperlinkAbbrev"/>
                </w:rPr>
                <w:noBreakHyphen/>
                <w:t>28</w:t>
              </w:r>
            </w:hyperlink>
          </w:p>
        </w:tc>
      </w:tr>
      <w:tr w:rsidR="00D94935" w14:paraId="3F2218A8" w14:textId="77777777" w:rsidTr="003A681D">
        <w:trPr>
          <w:cantSplit/>
        </w:trPr>
        <w:tc>
          <w:tcPr>
            <w:tcW w:w="1576" w:type="dxa"/>
            <w:tcBorders>
              <w:top w:val="single" w:sz="4" w:space="0" w:color="auto"/>
              <w:bottom w:val="single" w:sz="4" w:space="0" w:color="auto"/>
            </w:tcBorders>
          </w:tcPr>
          <w:p w14:paraId="50520FEC" w14:textId="77777777"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14:paraId="7739B67C" w14:textId="77777777"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14:paraId="7C1AA682" w14:textId="1B6F8BCD" w:rsidR="00D94935" w:rsidRDefault="001542D1" w:rsidP="003A681D">
            <w:pPr>
              <w:pStyle w:val="EarlierRepubEntries"/>
            </w:pPr>
            <w:hyperlink r:id="rId2965"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14:paraId="2572C5FC" w14:textId="0528FCA9" w:rsidR="00D94935" w:rsidRDefault="00D94935" w:rsidP="003A681D">
            <w:pPr>
              <w:pStyle w:val="EarlierRepubEntries"/>
            </w:pPr>
            <w:r>
              <w:t xml:space="preserve">amendments by </w:t>
            </w:r>
            <w:hyperlink r:id="rId2966" w:tooltip="Court Procedures Amendment Rules 2007 (No 2)" w:history="1">
              <w:r w:rsidRPr="006364FA">
                <w:rPr>
                  <w:rStyle w:val="charCitHyperlinkAbbrev"/>
                </w:rPr>
                <w:t>SL2007</w:t>
              </w:r>
              <w:r w:rsidRPr="006364FA">
                <w:rPr>
                  <w:rStyle w:val="charCitHyperlinkAbbrev"/>
                </w:rPr>
                <w:noBreakHyphen/>
                <w:t>37</w:t>
              </w:r>
            </w:hyperlink>
          </w:p>
        </w:tc>
      </w:tr>
      <w:tr w:rsidR="00D94935" w14:paraId="1083CFCB" w14:textId="77777777" w:rsidTr="003A681D">
        <w:trPr>
          <w:cantSplit/>
        </w:trPr>
        <w:tc>
          <w:tcPr>
            <w:tcW w:w="1576" w:type="dxa"/>
            <w:tcBorders>
              <w:top w:val="single" w:sz="4" w:space="0" w:color="auto"/>
              <w:bottom w:val="single" w:sz="4" w:space="0" w:color="auto"/>
            </w:tcBorders>
          </w:tcPr>
          <w:p w14:paraId="1A18C325" w14:textId="77777777"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14:paraId="43031B50" w14:textId="77777777"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14:paraId="693BA0BB" w14:textId="6F9DCC5F" w:rsidR="00D94935" w:rsidRPr="006364FA" w:rsidRDefault="001542D1" w:rsidP="003A681D">
            <w:pPr>
              <w:pStyle w:val="EarlierRepubEntries"/>
              <w:rPr>
                <w:rStyle w:val="charUnderline"/>
              </w:rPr>
            </w:pPr>
            <w:hyperlink r:id="rId2967"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14:paraId="2F920984" w14:textId="53D2891C" w:rsidR="00D94935" w:rsidRDefault="00D94935" w:rsidP="003A681D">
            <w:pPr>
              <w:pStyle w:val="EarlierRepubEntries"/>
            </w:pPr>
            <w:r>
              <w:t xml:space="preserve">amendments by </w:t>
            </w:r>
            <w:hyperlink r:id="rId2968"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1B4D76AA" w14:textId="77777777" w:rsidTr="003A681D">
        <w:trPr>
          <w:cantSplit/>
        </w:trPr>
        <w:tc>
          <w:tcPr>
            <w:tcW w:w="1576" w:type="dxa"/>
            <w:tcBorders>
              <w:top w:val="single" w:sz="4" w:space="0" w:color="auto"/>
              <w:bottom w:val="single" w:sz="4" w:space="0" w:color="auto"/>
            </w:tcBorders>
          </w:tcPr>
          <w:p w14:paraId="2BC7531F" w14:textId="77777777"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14:paraId="18CCA4D4" w14:textId="77777777"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14:paraId="7DDC2750" w14:textId="6DA19B75" w:rsidR="00D94935" w:rsidRDefault="001542D1" w:rsidP="003A681D">
            <w:pPr>
              <w:pStyle w:val="EarlierRepubEntries"/>
              <w:rPr>
                <w:rStyle w:val="charUnderline"/>
              </w:rPr>
            </w:pPr>
            <w:hyperlink r:id="rId2969"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14:paraId="01DD2127" w14:textId="0603299B" w:rsidR="00D94935" w:rsidRDefault="00D94935" w:rsidP="003A681D">
            <w:pPr>
              <w:pStyle w:val="EarlierRepubEntries"/>
            </w:pPr>
            <w:r>
              <w:t xml:space="preserve">amendments by </w:t>
            </w:r>
            <w:hyperlink r:id="rId2970"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6E481676" w14:textId="77777777" w:rsidTr="003A681D">
        <w:trPr>
          <w:cantSplit/>
        </w:trPr>
        <w:tc>
          <w:tcPr>
            <w:tcW w:w="1576" w:type="dxa"/>
            <w:tcBorders>
              <w:top w:val="single" w:sz="4" w:space="0" w:color="auto"/>
              <w:bottom w:val="single" w:sz="4" w:space="0" w:color="auto"/>
            </w:tcBorders>
          </w:tcPr>
          <w:p w14:paraId="05CE12A8" w14:textId="77777777"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14:paraId="4DAE78AB" w14:textId="77777777"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14:paraId="39581675" w14:textId="7079C273" w:rsidR="00D94935" w:rsidRPr="006364FA" w:rsidRDefault="001542D1" w:rsidP="003A681D">
            <w:pPr>
              <w:pStyle w:val="EarlierRepubEntries"/>
              <w:rPr>
                <w:rFonts w:cs="Arial"/>
              </w:rPr>
            </w:pPr>
            <w:hyperlink r:id="rId2971"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3625449" w14:textId="6081956F" w:rsidR="00D94935" w:rsidRDefault="00D94935" w:rsidP="003A681D">
            <w:pPr>
              <w:pStyle w:val="EarlierRepubEntries"/>
            </w:pPr>
            <w:r>
              <w:t xml:space="preserve">amendments by </w:t>
            </w:r>
            <w:hyperlink r:id="rId2972" w:tooltip="Court Procedures Amendment Rules 2008 (No 2)" w:history="1">
              <w:r w:rsidRPr="006364FA">
                <w:rPr>
                  <w:rStyle w:val="charCitHyperlinkAbbrev"/>
                </w:rPr>
                <w:t>SL2008</w:t>
              </w:r>
              <w:r w:rsidRPr="006364FA">
                <w:rPr>
                  <w:rStyle w:val="charCitHyperlinkAbbrev"/>
                </w:rPr>
                <w:noBreakHyphen/>
                <w:t>44</w:t>
              </w:r>
            </w:hyperlink>
          </w:p>
        </w:tc>
      </w:tr>
      <w:tr w:rsidR="00D94935" w14:paraId="346117F9" w14:textId="77777777" w:rsidTr="003A681D">
        <w:trPr>
          <w:cantSplit/>
        </w:trPr>
        <w:tc>
          <w:tcPr>
            <w:tcW w:w="1576" w:type="dxa"/>
            <w:tcBorders>
              <w:top w:val="single" w:sz="4" w:space="0" w:color="auto"/>
              <w:bottom w:val="single" w:sz="4" w:space="0" w:color="auto"/>
            </w:tcBorders>
          </w:tcPr>
          <w:p w14:paraId="5E929192" w14:textId="77777777"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14:paraId="37E76CAD" w14:textId="77777777"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14:paraId="4440EC22" w14:textId="72CA7097" w:rsidR="00D94935" w:rsidRPr="006364FA" w:rsidRDefault="001542D1" w:rsidP="003A681D">
            <w:pPr>
              <w:pStyle w:val="EarlierRepubEntries"/>
              <w:rPr>
                <w:rFonts w:cs="Arial"/>
              </w:rPr>
            </w:pPr>
            <w:hyperlink r:id="rId2973"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9AFB28A" w14:textId="624CCF06" w:rsidR="00D94935" w:rsidRDefault="00D94935" w:rsidP="003A681D">
            <w:pPr>
              <w:pStyle w:val="EarlierRepubEntries"/>
            </w:pPr>
            <w:r>
              <w:t xml:space="preserve">amendments by </w:t>
            </w:r>
            <w:hyperlink r:id="rId2974"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49AB63FD" w14:textId="77777777" w:rsidTr="003A681D">
        <w:trPr>
          <w:cantSplit/>
        </w:trPr>
        <w:tc>
          <w:tcPr>
            <w:tcW w:w="1576" w:type="dxa"/>
            <w:tcBorders>
              <w:top w:val="single" w:sz="4" w:space="0" w:color="auto"/>
              <w:bottom w:val="single" w:sz="4" w:space="0" w:color="auto"/>
            </w:tcBorders>
          </w:tcPr>
          <w:p w14:paraId="0BE17C02" w14:textId="77777777"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14:paraId="645F1651" w14:textId="77777777"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14:paraId="2EE8071B" w14:textId="5290403B" w:rsidR="00D94935" w:rsidRPr="008832FB" w:rsidRDefault="001542D1" w:rsidP="003A681D">
            <w:pPr>
              <w:pStyle w:val="EarlierRepubEntries"/>
              <w:rPr>
                <w:rStyle w:val="charUnderline"/>
              </w:rPr>
            </w:pPr>
            <w:hyperlink r:id="rId2975"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16655CF2" w14:textId="3E3F2AE7" w:rsidR="00D94935" w:rsidRDefault="00D94935" w:rsidP="003A681D">
            <w:pPr>
              <w:pStyle w:val="EarlierRepubEntries"/>
            </w:pPr>
            <w:r>
              <w:t xml:space="preserve">amendments by </w:t>
            </w:r>
            <w:hyperlink r:id="rId2976"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232E7FD6" w14:textId="77777777" w:rsidTr="003A681D">
        <w:trPr>
          <w:cantSplit/>
        </w:trPr>
        <w:tc>
          <w:tcPr>
            <w:tcW w:w="1576" w:type="dxa"/>
            <w:tcBorders>
              <w:top w:val="single" w:sz="4" w:space="0" w:color="auto"/>
              <w:bottom w:val="single" w:sz="4" w:space="0" w:color="auto"/>
            </w:tcBorders>
          </w:tcPr>
          <w:p w14:paraId="4F27C3F7" w14:textId="77777777"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14:paraId="4395B984" w14:textId="77777777"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14:paraId="61FACE2C" w14:textId="5CF463F0" w:rsidR="00D94935" w:rsidRPr="000C68A9" w:rsidRDefault="001542D1" w:rsidP="003A681D">
            <w:pPr>
              <w:pStyle w:val="EarlierRepubEntries"/>
            </w:pPr>
            <w:hyperlink r:id="rId2977"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6DC46A4A" w14:textId="01DC79CE" w:rsidR="00D94935" w:rsidRDefault="00D94935" w:rsidP="003A681D">
            <w:pPr>
              <w:pStyle w:val="EarlierRepubEntries"/>
            </w:pPr>
            <w:r>
              <w:t xml:space="preserve">amendments by </w:t>
            </w:r>
            <w:hyperlink r:id="rId2978"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098371A5" w14:textId="77777777" w:rsidTr="003A681D">
        <w:trPr>
          <w:cantSplit/>
        </w:trPr>
        <w:tc>
          <w:tcPr>
            <w:tcW w:w="1576" w:type="dxa"/>
            <w:tcBorders>
              <w:top w:val="single" w:sz="4" w:space="0" w:color="auto"/>
              <w:bottom w:val="single" w:sz="4" w:space="0" w:color="auto"/>
            </w:tcBorders>
          </w:tcPr>
          <w:p w14:paraId="49EAFE65" w14:textId="77777777"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14:paraId="572E57BC" w14:textId="77777777"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14:paraId="27E8A87B" w14:textId="722BAF34" w:rsidR="00D94935" w:rsidRPr="006364FA" w:rsidRDefault="001542D1" w:rsidP="003A681D">
            <w:pPr>
              <w:pStyle w:val="EarlierRepubEntries"/>
              <w:rPr>
                <w:rFonts w:cs="Arial"/>
              </w:rPr>
            </w:pPr>
            <w:hyperlink r:id="rId2979"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239440B7" w14:textId="79E9A8F1" w:rsidR="00D94935" w:rsidRDefault="00D94935" w:rsidP="003A681D">
            <w:pPr>
              <w:pStyle w:val="EarlierRepubEntries"/>
            </w:pPr>
            <w:r>
              <w:t xml:space="preserve">amendments by </w:t>
            </w:r>
            <w:hyperlink r:id="rId2980" w:tooltip="Court Procedures Amendment Rules 2009 (No 1)" w:history="1">
              <w:r w:rsidRPr="006364FA">
                <w:rPr>
                  <w:rStyle w:val="charCitHyperlinkAbbrev"/>
                </w:rPr>
                <w:t>SL2009</w:t>
              </w:r>
              <w:r w:rsidRPr="006364FA">
                <w:rPr>
                  <w:rStyle w:val="charCitHyperlinkAbbrev"/>
                </w:rPr>
                <w:noBreakHyphen/>
                <w:t>11</w:t>
              </w:r>
            </w:hyperlink>
          </w:p>
        </w:tc>
      </w:tr>
      <w:tr w:rsidR="00D94935" w14:paraId="523F64BE" w14:textId="77777777" w:rsidTr="003A681D">
        <w:trPr>
          <w:cantSplit/>
        </w:trPr>
        <w:tc>
          <w:tcPr>
            <w:tcW w:w="1576" w:type="dxa"/>
            <w:tcBorders>
              <w:top w:val="single" w:sz="4" w:space="0" w:color="auto"/>
              <w:bottom w:val="single" w:sz="4" w:space="0" w:color="auto"/>
            </w:tcBorders>
          </w:tcPr>
          <w:p w14:paraId="12AB6D28" w14:textId="77777777"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14:paraId="5587636F" w14:textId="77777777"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14:paraId="45FE733D" w14:textId="563CA0C3" w:rsidR="00D94935" w:rsidRPr="00213873" w:rsidRDefault="001542D1" w:rsidP="003A681D">
            <w:pPr>
              <w:pStyle w:val="EarlierRepubEntries"/>
            </w:pPr>
            <w:hyperlink r:id="rId2981"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4D97C3CD" w14:textId="0F5F3430" w:rsidR="00D94935" w:rsidRDefault="00D94935" w:rsidP="003A681D">
            <w:pPr>
              <w:pStyle w:val="EarlierRepubEntries"/>
            </w:pPr>
            <w:r>
              <w:t xml:space="preserve">amendments by </w:t>
            </w:r>
            <w:hyperlink r:id="rId2982"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376942C6" w14:textId="77777777" w:rsidTr="003A681D">
        <w:trPr>
          <w:cantSplit/>
        </w:trPr>
        <w:tc>
          <w:tcPr>
            <w:tcW w:w="1576" w:type="dxa"/>
            <w:tcBorders>
              <w:top w:val="single" w:sz="4" w:space="0" w:color="auto"/>
              <w:bottom w:val="single" w:sz="4" w:space="0" w:color="auto"/>
            </w:tcBorders>
          </w:tcPr>
          <w:p w14:paraId="65089B9F" w14:textId="77777777"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14:paraId="1647115C" w14:textId="77777777"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14:paraId="3F71ADCB" w14:textId="0EAA308F" w:rsidR="00D94935" w:rsidRDefault="001542D1" w:rsidP="003A681D">
            <w:pPr>
              <w:pStyle w:val="EarlierRepubEntries"/>
            </w:pPr>
            <w:hyperlink r:id="rId2983"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07252781" w14:textId="02224122" w:rsidR="00D94935" w:rsidRDefault="00D94935" w:rsidP="003A681D">
            <w:pPr>
              <w:pStyle w:val="EarlierRepubEntries"/>
            </w:pPr>
            <w:r>
              <w:t xml:space="preserve">amendments by </w:t>
            </w:r>
            <w:hyperlink r:id="rId2984" w:tooltip="Court Procedures Amendment Rules 2009 (No 2)" w:history="1">
              <w:r w:rsidRPr="006364FA">
                <w:rPr>
                  <w:rStyle w:val="charCitHyperlinkAbbrev"/>
                </w:rPr>
                <w:t>SL2009</w:t>
              </w:r>
              <w:r w:rsidRPr="006364FA">
                <w:rPr>
                  <w:rStyle w:val="charCitHyperlinkAbbrev"/>
                </w:rPr>
                <w:noBreakHyphen/>
                <w:t>32</w:t>
              </w:r>
            </w:hyperlink>
          </w:p>
        </w:tc>
      </w:tr>
      <w:tr w:rsidR="00D94935" w14:paraId="29E03747" w14:textId="77777777" w:rsidTr="003A681D">
        <w:trPr>
          <w:cantSplit/>
        </w:trPr>
        <w:tc>
          <w:tcPr>
            <w:tcW w:w="1576" w:type="dxa"/>
            <w:tcBorders>
              <w:top w:val="single" w:sz="4" w:space="0" w:color="auto"/>
              <w:bottom w:val="single" w:sz="4" w:space="0" w:color="auto"/>
            </w:tcBorders>
          </w:tcPr>
          <w:p w14:paraId="5C3387A3" w14:textId="77777777"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14:paraId="3FE74CA9" w14:textId="77777777"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14:paraId="2774BE12" w14:textId="0B2B98BF" w:rsidR="00D94935" w:rsidRDefault="001542D1" w:rsidP="003A681D">
            <w:pPr>
              <w:pStyle w:val="EarlierRepubEntries"/>
            </w:pPr>
            <w:hyperlink r:id="rId2985"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44AC87BD" w14:textId="77777777" w:rsidR="00D94935" w:rsidRDefault="00D94935" w:rsidP="003A681D">
            <w:pPr>
              <w:pStyle w:val="EarlierRepubEntries"/>
            </w:pPr>
            <w:r>
              <w:t>commenced expiry</w:t>
            </w:r>
          </w:p>
        </w:tc>
      </w:tr>
      <w:tr w:rsidR="00D94935" w14:paraId="2A7E8DC9" w14:textId="77777777" w:rsidTr="003A681D">
        <w:trPr>
          <w:cantSplit/>
        </w:trPr>
        <w:tc>
          <w:tcPr>
            <w:tcW w:w="1576" w:type="dxa"/>
            <w:tcBorders>
              <w:top w:val="single" w:sz="4" w:space="0" w:color="auto"/>
              <w:bottom w:val="single" w:sz="4" w:space="0" w:color="auto"/>
            </w:tcBorders>
          </w:tcPr>
          <w:p w14:paraId="19B55B90" w14:textId="77777777"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14:paraId="5D8662B3" w14:textId="77777777"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14:paraId="0785607F" w14:textId="75C9A93C" w:rsidR="00D94935" w:rsidRDefault="001542D1" w:rsidP="003A681D">
            <w:pPr>
              <w:pStyle w:val="EarlierRepubEntries"/>
            </w:pPr>
            <w:hyperlink r:id="rId2986"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14:paraId="22D39818" w14:textId="25F6357F" w:rsidR="00D94935" w:rsidRDefault="00D94935" w:rsidP="003A681D">
            <w:pPr>
              <w:pStyle w:val="EarlierRepubEntries"/>
            </w:pPr>
            <w:r>
              <w:t xml:space="preserve">amendments by </w:t>
            </w:r>
            <w:hyperlink r:id="rId2987" w:tooltip="Statute Law Amendment Act 2009 (No 2)" w:history="1">
              <w:r w:rsidRPr="006364FA">
                <w:rPr>
                  <w:rStyle w:val="charCitHyperlinkAbbrev"/>
                </w:rPr>
                <w:t>A2009</w:t>
              </w:r>
              <w:r w:rsidRPr="006364FA">
                <w:rPr>
                  <w:rStyle w:val="charCitHyperlinkAbbrev"/>
                </w:rPr>
                <w:noBreakHyphen/>
                <w:t>49</w:t>
              </w:r>
            </w:hyperlink>
          </w:p>
        </w:tc>
      </w:tr>
      <w:tr w:rsidR="00D94935" w14:paraId="5CAE8364" w14:textId="77777777" w:rsidTr="003A681D">
        <w:trPr>
          <w:cantSplit/>
        </w:trPr>
        <w:tc>
          <w:tcPr>
            <w:tcW w:w="1576" w:type="dxa"/>
            <w:tcBorders>
              <w:top w:val="single" w:sz="4" w:space="0" w:color="auto"/>
              <w:bottom w:val="single" w:sz="4" w:space="0" w:color="auto"/>
            </w:tcBorders>
          </w:tcPr>
          <w:p w14:paraId="54123348" w14:textId="77777777"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14:paraId="59463423" w14:textId="77777777"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14:paraId="754AFA87" w14:textId="4BCF2E55" w:rsidR="00D94935" w:rsidRDefault="001542D1" w:rsidP="003A681D">
            <w:pPr>
              <w:pStyle w:val="EarlierRepubEntries"/>
            </w:pPr>
            <w:hyperlink r:id="rId2988"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14:paraId="587A08C0" w14:textId="0EAEE59F" w:rsidR="00D94935" w:rsidRDefault="00D94935" w:rsidP="003A681D">
            <w:pPr>
              <w:pStyle w:val="EarlierRepubEntries"/>
            </w:pPr>
            <w:r>
              <w:t xml:space="preserve">amendments by </w:t>
            </w:r>
            <w:hyperlink r:id="rId2989" w:tooltip="Court Procedures Amendment Rules 2009 (No 3)" w:history="1">
              <w:r w:rsidRPr="006364FA">
                <w:rPr>
                  <w:rStyle w:val="charCitHyperlinkAbbrev"/>
                </w:rPr>
                <w:t>SL2009</w:t>
              </w:r>
              <w:r w:rsidRPr="006364FA">
                <w:rPr>
                  <w:rStyle w:val="charCitHyperlinkAbbrev"/>
                </w:rPr>
                <w:noBreakHyphen/>
                <w:t>56</w:t>
              </w:r>
            </w:hyperlink>
          </w:p>
        </w:tc>
      </w:tr>
      <w:tr w:rsidR="00D94935" w14:paraId="7FC5BD09" w14:textId="77777777" w:rsidTr="003A681D">
        <w:trPr>
          <w:cantSplit/>
        </w:trPr>
        <w:tc>
          <w:tcPr>
            <w:tcW w:w="1576" w:type="dxa"/>
            <w:tcBorders>
              <w:top w:val="single" w:sz="4" w:space="0" w:color="auto"/>
              <w:bottom w:val="single" w:sz="4" w:space="0" w:color="auto"/>
            </w:tcBorders>
          </w:tcPr>
          <w:p w14:paraId="2DF384C5" w14:textId="77777777"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14:paraId="7239538D" w14:textId="77777777"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14:paraId="1C474E32" w14:textId="62BCA55E" w:rsidR="00D94935" w:rsidRDefault="001542D1" w:rsidP="003A681D">
            <w:pPr>
              <w:pStyle w:val="EarlierRepubEntries"/>
            </w:pPr>
            <w:hyperlink r:id="rId2990"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14:paraId="768FA54F" w14:textId="436A803F" w:rsidR="00D94935" w:rsidRDefault="00D94935" w:rsidP="003A681D">
            <w:pPr>
              <w:pStyle w:val="EarlierRepubEntries"/>
            </w:pPr>
            <w:r>
              <w:t xml:space="preserve">amendments by </w:t>
            </w:r>
            <w:hyperlink r:id="rId2991"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992" w:tooltip="Crimes (Sentence Administration) Amendment Act 2010" w:history="1">
              <w:r w:rsidRPr="006364FA">
                <w:rPr>
                  <w:rStyle w:val="charCitHyperlinkAbbrev"/>
                </w:rPr>
                <w:t>A2010</w:t>
              </w:r>
              <w:r w:rsidRPr="006364FA">
                <w:rPr>
                  <w:rStyle w:val="charCitHyperlinkAbbrev"/>
                </w:rPr>
                <w:noBreakHyphen/>
                <w:t>21</w:t>
              </w:r>
            </w:hyperlink>
          </w:p>
        </w:tc>
      </w:tr>
      <w:tr w:rsidR="00D94935" w14:paraId="7AE7C370" w14:textId="77777777" w:rsidTr="003A681D">
        <w:trPr>
          <w:cantSplit/>
        </w:trPr>
        <w:tc>
          <w:tcPr>
            <w:tcW w:w="1576" w:type="dxa"/>
            <w:tcBorders>
              <w:top w:val="single" w:sz="4" w:space="0" w:color="auto"/>
              <w:bottom w:val="single" w:sz="4" w:space="0" w:color="auto"/>
            </w:tcBorders>
          </w:tcPr>
          <w:p w14:paraId="5FF1ED7E" w14:textId="77777777"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14:paraId="5F30D1EA" w14:textId="77777777"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14:paraId="6EF1E15C" w14:textId="50D4CDCF" w:rsidR="00D94935" w:rsidRDefault="001542D1" w:rsidP="003A681D">
            <w:pPr>
              <w:pStyle w:val="EarlierRepubEntries"/>
            </w:pPr>
            <w:hyperlink r:id="rId2993"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505F8114" w14:textId="0543A9C1" w:rsidR="00D94935" w:rsidRDefault="00D94935" w:rsidP="003A681D">
            <w:pPr>
              <w:pStyle w:val="EarlierRepubEntries"/>
            </w:pPr>
            <w:r>
              <w:t xml:space="preserve">amendments by </w:t>
            </w:r>
            <w:hyperlink r:id="rId2994" w:tooltip="Health Legislation Amendment Act 2010" w:history="1">
              <w:r w:rsidRPr="006364FA">
                <w:rPr>
                  <w:rStyle w:val="charCitHyperlinkAbbrev"/>
                </w:rPr>
                <w:t>A2010</w:t>
              </w:r>
              <w:r w:rsidRPr="006364FA">
                <w:rPr>
                  <w:rStyle w:val="charCitHyperlinkAbbrev"/>
                </w:rPr>
                <w:noBreakHyphen/>
                <w:t>2</w:t>
              </w:r>
            </w:hyperlink>
          </w:p>
        </w:tc>
      </w:tr>
      <w:tr w:rsidR="00D94935" w14:paraId="4815A517" w14:textId="77777777" w:rsidTr="003A681D">
        <w:trPr>
          <w:cantSplit/>
        </w:trPr>
        <w:tc>
          <w:tcPr>
            <w:tcW w:w="1576" w:type="dxa"/>
            <w:tcBorders>
              <w:top w:val="single" w:sz="4" w:space="0" w:color="auto"/>
              <w:bottom w:val="single" w:sz="4" w:space="0" w:color="auto"/>
            </w:tcBorders>
          </w:tcPr>
          <w:p w14:paraId="2841A476" w14:textId="77777777"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14:paraId="794F179C" w14:textId="77777777"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14:paraId="6A49A638" w14:textId="52793545" w:rsidR="00D94935" w:rsidRDefault="001542D1" w:rsidP="003A681D">
            <w:pPr>
              <w:pStyle w:val="EarlierRepubEntries"/>
            </w:pPr>
            <w:hyperlink r:id="rId2995"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14:paraId="267A9793" w14:textId="2D60936F" w:rsidR="00D94935" w:rsidRDefault="00D94935" w:rsidP="003A681D">
            <w:pPr>
              <w:pStyle w:val="EarlierRepubEntries"/>
            </w:pPr>
            <w:r>
              <w:t xml:space="preserve">amendments by </w:t>
            </w:r>
            <w:hyperlink r:id="rId2996" w:tooltip="Court Procedures Amendment Rules 2010 (No 2)" w:history="1">
              <w:r w:rsidRPr="006364FA">
                <w:rPr>
                  <w:rStyle w:val="charCitHyperlinkAbbrev"/>
                </w:rPr>
                <w:t>SL2010</w:t>
              </w:r>
              <w:r w:rsidRPr="006364FA">
                <w:rPr>
                  <w:rStyle w:val="charCitHyperlinkAbbrev"/>
                </w:rPr>
                <w:noBreakHyphen/>
                <w:t>51</w:t>
              </w:r>
            </w:hyperlink>
          </w:p>
        </w:tc>
      </w:tr>
      <w:tr w:rsidR="00D94935" w14:paraId="5E273C6C" w14:textId="77777777" w:rsidTr="003A681D">
        <w:trPr>
          <w:cantSplit/>
        </w:trPr>
        <w:tc>
          <w:tcPr>
            <w:tcW w:w="1576" w:type="dxa"/>
            <w:tcBorders>
              <w:top w:val="single" w:sz="4" w:space="0" w:color="auto"/>
              <w:bottom w:val="single" w:sz="4" w:space="0" w:color="auto"/>
            </w:tcBorders>
          </w:tcPr>
          <w:p w14:paraId="016B3029" w14:textId="77777777"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14:paraId="08234F58" w14:textId="77777777"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14:paraId="4DA78A28" w14:textId="701B4D76" w:rsidR="00D94935" w:rsidRDefault="001542D1" w:rsidP="003A681D">
            <w:pPr>
              <w:pStyle w:val="EarlierRepubEntries"/>
            </w:pPr>
            <w:hyperlink r:id="rId2997"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14:paraId="2F6C05CC" w14:textId="214425A3" w:rsidR="00D94935" w:rsidRDefault="00D94935" w:rsidP="003A681D">
            <w:pPr>
              <w:pStyle w:val="EarlierRepubEntries"/>
            </w:pPr>
            <w:r>
              <w:t xml:space="preserve">amendments by </w:t>
            </w:r>
            <w:hyperlink r:id="rId2998" w:tooltip="Court Procedures Amendment Rules 2011 (No 1)" w:history="1">
              <w:r w:rsidRPr="006364FA">
                <w:rPr>
                  <w:rStyle w:val="charCitHyperlinkAbbrev"/>
                </w:rPr>
                <w:t>SL2011</w:t>
              </w:r>
              <w:r w:rsidRPr="006364FA">
                <w:rPr>
                  <w:rStyle w:val="charCitHyperlinkAbbrev"/>
                </w:rPr>
                <w:noBreakHyphen/>
                <w:t>6</w:t>
              </w:r>
            </w:hyperlink>
          </w:p>
        </w:tc>
      </w:tr>
      <w:tr w:rsidR="00D94935" w14:paraId="7DD2E17E" w14:textId="77777777" w:rsidTr="003A681D">
        <w:trPr>
          <w:cantSplit/>
        </w:trPr>
        <w:tc>
          <w:tcPr>
            <w:tcW w:w="1576" w:type="dxa"/>
            <w:tcBorders>
              <w:top w:val="single" w:sz="4" w:space="0" w:color="auto"/>
              <w:bottom w:val="single" w:sz="4" w:space="0" w:color="auto"/>
            </w:tcBorders>
          </w:tcPr>
          <w:p w14:paraId="2245E8DB" w14:textId="77777777"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14:paraId="6F02E96E" w14:textId="77777777"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14:paraId="5DC212ED" w14:textId="0480961B" w:rsidR="00D94935" w:rsidRPr="006364FA" w:rsidRDefault="001542D1" w:rsidP="003A681D">
            <w:pPr>
              <w:pStyle w:val="EarlierRepubEntries"/>
              <w:rPr>
                <w:rStyle w:val="charUnderline"/>
              </w:rPr>
            </w:pPr>
            <w:hyperlink r:id="rId2999"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14:paraId="795CF293" w14:textId="4C216360" w:rsidR="00D94935" w:rsidRDefault="00D94935" w:rsidP="003A681D">
            <w:pPr>
              <w:pStyle w:val="EarlierRepubEntries"/>
            </w:pPr>
            <w:r>
              <w:t xml:space="preserve">amendments by </w:t>
            </w:r>
            <w:hyperlink r:id="rId3000"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AD794D3" w14:textId="77777777" w:rsidTr="003A681D">
        <w:trPr>
          <w:cantSplit/>
        </w:trPr>
        <w:tc>
          <w:tcPr>
            <w:tcW w:w="1576" w:type="dxa"/>
            <w:tcBorders>
              <w:top w:val="single" w:sz="4" w:space="0" w:color="auto"/>
              <w:bottom w:val="single" w:sz="4" w:space="0" w:color="auto"/>
            </w:tcBorders>
          </w:tcPr>
          <w:p w14:paraId="1E2194CA" w14:textId="77777777"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14:paraId="0955C029" w14:textId="77777777"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14:paraId="39B98FE7" w14:textId="48B2E01C" w:rsidR="00D94935" w:rsidRPr="0034029B" w:rsidRDefault="001542D1" w:rsidP="003A681D">
            <w:pPr>
              <w:pStyle w:val="EarlierRepubEntries"/>
            </w:pPr>
            <w:hyperlink r:id="rId3001"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1ED274CD" w14:textId="3AB06E15" w:rsidR="00D94935" w:rsidRDefault="00D94935" w:rsidP="003A681D">
            <w:pPr>
              <w:pStyle w:val="EarlierRepubEntries"/>
            </w:pPr>
            <w:r>
              <w:t xml:space="preserve">amendments by </w:t>
            </w:r>
            <w:hyperlink r:id="rId3002"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14:paraId="20C3A9E4" w14:textId="77777777" w:rsidTr="003A681D">
        <w:trPr>
          <w:cantSplit/>
        </w:trPr>
        <w:tc>
          <w:tcPr>
            <w:tcW w:w="1576" w:type="dxa"/>
            <w:tcBorders>
              <w:top w:val="single" w:sz="4" w:space="0" w:color="auto"/>
              <w:bottom w:val="single" w:sz="4" w:space="0" w:color="auto"/>
            </w:tcBorders>
          </w:tcPr>
          <w:p w14:paraId="0B75068C" w14:textId="77777777"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14:paraId="2388DC90" w14:textId="77777777"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14:paraId="54824086" w14:textId="37D26AC6" w:rsidR="00D94935" w:rsidRPr="0034029B" w:rsidRDefault="001542D1" w:rsidP="003A681D">
            <w:pPr>
              <w:pStyle w:val="EarlierRepubEntries"/>
            </w:pPr>
            <w:hyperlink r:id="rId3003"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23F24812" w14:textId="0C533C6C" w:rsidR="00D94935" w:rsidRDefault="00D94935" w:rsidP="003A681D">
            <w:pPr>
              <w:pStyle w:val="EarlierRepubEntries"/>
            </w:pPr>
            <w:r>
              <w:t xml:space="preserve">amendments by </w:t>
            </w:r>
            <w:hyperlink r:id="rId3004"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E0297E8" w14:textId="77777777" w:rsidTr="003A681D">
        <w:trPr>
          <w:cantSplit/>
        </w:trPr>
        <w:tc>
          <w:tcPr>
            <w:tcW w:w="1576" w:type="dxa"/>
            <w:tcBorders>
              <w:top w:val="single" w:sz="4" w:space="0" w:color="auto"/>
              <w:bottom w:val="single" w:sz="4" w:space="0" w:color="auto"/>
            </w:tcBorders>
          </w:tcPr>
          <w:p w14:paraId="0D595105" w14:textId="77777777"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14:paraId="3685E158" w14:textId="77777777"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14:paraId="4922AD1B" w14:textId="23BB6393" w:rsidR="00D94935" w:rsidRPr="006364FA" w:rsidRDefault="001542D1" w:rsidP="003A681D">
            <w:pPr>
              <w:pStyle w:val="EarlierRepubEntries"/>
              <w:rPr>
                <w:rStyle w:val="charUnderline"/>
              </w:rPr>
            </w:pPr>
            <w:hyperlink r:id="rId3005"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5257D13B" w14:textId="6485750B" w:rsidR="00D94935" w:rsidRDefault="00D94935" w:rsidP="003A681D">
            <w:pPr>
              <w:pStyle w:val="EarlierRepubEntries"/>
            </w:pPr>
            <w:r>
              <w:t xml:space="preserve">amendments by </w:t>
            </w:r>
            <w:hyperlink r:id="rId3006"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1A3ACC4" w14:textId="77777777" w:rsidTr="003A681D">
        <w:trPr>
          <w:cantSplit/>
        </w:trPr>
        <w:tc>
          <w:tcPr>
            <w:tcW w:w="1576" w:type="dxa"/>
            <w:tcBorders>
              <w:top w:val="single" w:sz="4" w:space="0" w:color="auto"/>
              <w:bottom w:val="single" w:sz="4" w:space="0" w:color="auto"/>
            </w:tcBorders>
          </w:tcPr>
          <w:p w14:paraId="148A6019" w14:textId="77777777"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14:paraId="1B955722" w14:textId="77777777"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14:paraId="4B3C61BB" w14:textId="5707514F" w:rsidR="00D94935" w:rsidRPr="00362078" w:rsidRDefault="001542D1" w:rsidP="003A681D">
            <w:pPr>
              <w:pStyle w:val="EarlierRepubEntries"/>
              <w:rPr>
                <w:rStyle w:val="charUnderline"/>
              </w:rPr>
            </w:pPr>
            <w:hyperlink r:id="rId3007"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667E2D7B" w14:textId="47800BE9" w:rsidR="00D94935" w:rsidRDefault="00D94935" w:rsidP="003A681D">
            <w:pPr>
              <w:pStyle w:val="EarlierRepubEntries"/>
            </w:pPr>
            <w:r>
              <w:t xml:space="preserve">amendments by </w:t>
            </w:r>
            <w:hyperlink r:id="rId3008"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7761A07" w14:textId="77777777" w:rsidTr="003A681D">
        <w:trPr>
          <w:cantSplit/>
        </w:trPr>
        <w:tc>
          <w:tcPr>
            <w:tcW w:w="1576" w:type="dxa"/>
            <w:tcBorders>
              <w:top w:val="single" w:sz="4" w:space="0" w:color="auto"/>
              <w:bottom w:val="single" w:sz="4" w:space="0" w:color="auto"/>
            </w:tcBorders>
          </w:tcPr>
          <w:p w14:paraId="4F278FF4" w14:textId="77777777"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14:paraId="3BCA58AF" w14:textId="77777777"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14:paraId="5CB911A2" w14:textId="70BB1A6D" w:rsidR="00D94935" w:rsidRPr="00602712" w:rsidRDefault="001542D1" w:rsidP="003A681D">
            <w:pPr>
              <w:pStyle w:val="EarlierRepubEntries"/>
            </w:pPr>
            <w:hyperlink r:id="rId3009"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14:paraId="42E64872" w14:textId="59996015" w:rsidR="00D94935" w:rsidRDefault="00D94935" w:rsidP="003A681D">
            <w:pPr>
              <w:pStyle w:val="EarlierRepubEntries"/>
            </w:pPr>
            <w:r>
              <w:t xml:space="preserve">amendments by </w:t>
            </w:r>
            <w:hyperlink r:id="rId3010"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4BBC398" w14:textId="77777777" w:rsidTr="003A681D">
        <w:trPr>
          <w:cantSplit/>
        </w:trPr>
        <w:tc>
          <w:tcPr>
            <w:tcW w:w="1576" w:type="dxa"/>
            <w:tcBorders>
              <w:top w:val="single" w:sz="4" w:space="0" w:color="auto"/>
              <w:bottom w:val="single" w:sz="4" w:space="0" w:color="auto"/>
            </w:tcBorders>
          </w:tcPr>
          <w:p w14:paraId="28D14580" w14:textId="77777777"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14:paraId="7F6419DC" w14:textId="77777777"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14:paraId="3E410F5F" w14:textId="06316377" w:rsidR="00D94935" w:rsidRDefault="001542D1" w:rsidP="003A681D">
            <w:pPr>
              <w:pStyle w:val="EarlierRepubEntries"/>
            </w:pPr>
            <w:hyperlink r:id="rId3011"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60F7927E" w14:textId="2F583CE4" w:rsidR="00D94935" w:rsidRDefault="00D94935" w:rsidP="003A681D">
            <w:pPr>
              <w:pStyle w:val="EarlierRepubEntries"/>
            </w:pPr>
            <w:r>
              <w:t xml:space="preserve">amendments by </w:t>
            </w:r>
            <w:hyperlink r:id="rId3012" w:tooltip="Court Procedures Amendment Rules 2012 (No 1)" w:history="1">
              <w:r w:rsidRPr="006364FA">
                <w:rPr>
                  <w:rStyle w:val="charCitHyperlinkAbbrev"/>
                </w:rPr>
                <w:t>SL2012</w:t>
              </w:r>
              <w:r w:rsidRPr="006364FA">
                <w:rPr>
                  <w:rStyle w:val="charCitHyperlinkAbbrev"/>
                </w:rPr>
                <w:noBreakHyphen/>
                <w:t>24</w:t>
              </w:r>
            </w:hyperlink>
          </w:p>
        </w:tc>
      </w:tr>
      <w:tr w:rsidR="00D94935" w14:paraId="02B09D2E" w14:textId="77777777" w:rsidTr="003A681D">
        <w:trPr>
          <w:cantSplit/>
        </w:trPr>
        <w:tc>
          <w:tcPr>
            <w:tcW w:w="1576" w:type="dxa"/>
            <w:tcBorders>
              <w:top w:val="single" w:sz="4" w:space="0" w:color="auto"/>
              <w:bottom w:val="single" w:sz="4" w:space="0" w:color="auto"/>
            </w:tcBorders>
          </w:tcPr>
          <w:p w14:paraId="024B4D34" w14:textId="77777777"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14:paraId="1DDD7319" w14:textId="77777777"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14:paraId="53954A31" w14:textId="072A270B" w:rsidR="00D94935" w:rsidRDefault="001542D1" w:rsidP="003A681D">
            <w:pPr>
              <w:pStyle w:val="EarlierRepubEntries"/>
            </w:pPr>
            <w:hyperlink r:id="rId3013"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14:paraId="214C2EEA" w14:textId="6801AC8B" w:rsidR="00D94935" w:rsidRDefault="00D94935" w:rsidP="003A681D">
            <w:pPr>
              <w:pStyle w:val="EarlierRepubEntries"/>
            </w:pPr>
            <w:r>
              <w:t xml:space="preserve">amendments by </w:t>
            </w:r>
            <w:hyperlink r:id="rId3014" w:tooltip="Court Procedures Amendment Rules 2012 (No 2)" w:history="1">
              <w:r w:rsidRPr="001A0C71">
                <w:rPr>
                  <w:rStyle w:val="charCitHyperlinkAbbrev"/>
                </w:rPr>
                <w:t>SL2012</w:t>
              </w:r>
              <w:r w:rsidRPr="001A0C71">
                <w:rPr>
                  <w:rStyle w:val="charCitHyperlinkAbbrev"/>
                </w:rPr>
                <w:noBreakHyphen/>
                <w:t>43</w:t>
              </w:r>
            </w:hyperlink>
          </w:p>
        </w:tc>
      </w:tr>
      <w:tr w:rsidR="00D94935" w14:paraId="606227BB" w14:textId="77777777" w:rsidTr="003A681D">
        <w:trPr>
          <w:cantSplit/>
        </w:trPr>
        <w:tc>
          <w:tcPr>
            <w:tcW w:w="1576" w:type="dxa"/>
            <w:tcBorders>
              <w:top w:val="single" w:sz="4" w:space="0" w:color="auto"/>
              <w:bottom w:val="single" w:sz="4" w:space="0" w:color="auto"/>
            </w:tcBorders>
          </w:tcPr>
          <w:p w14:paraId="4C8A9CD7" w14:textId="77777777"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14:paraId="7CAFC79C" w14:textId="77777777"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14:paraId="7E89A4E7" w14:textId="2FDD7242" w:rsidR="00D94935" w:rsidRDefault="001542D1" w:rsidP="003A681D">
            <w:pPr>
              <w:pStyle w:val="EarlierRepubEntries"/>
            </w:pPr>
            <w:hyperlink r:id="rId3015"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01882E3A" w14:textId="73378694" w:rsidR="00D94935" w:rsidRDefault="00D94935" w:rsidP="003A681D">
            <w:pPr>
              <w:pStyle w:val="EarlierRepubEntries"/>
            </w:pPr>
            <w:r>
              <w:t xml:space="preserve">amendments by </w:t>
            </w:r>
            <w:hyperlink r:id="rId3016" w:tooltip="Court Procedures Amendment Rules 2013 (No 1)" w:history="1">
              <w:r w:rsidRPr="009A0E34">
                <w:rPr>
                  <w:rStyle w:val="charCitHyperlinkAbbrev"/>
                </w:rPr>
                <w:t>SL2013-18</w:t>
              </w:r>
            </w:hyperlink>
          </w:p>
        </w:tc>
      </w:tr>
      <w:tr w:rsidR="00D94935" w14:paraId="79BF472B" w14:textId="77777777" w:rsidTr="003A681D">
        <w:trPr>
          <w:cantSplit/>
        </w:trPr>
        <w:tc>
          <w:tcPr>
            <w:tcW w:w="1576" w:type="dxa"/>
            <w:tcBorders>
              <w:top w:val="single" w:sz="4" w:space="0" w:color="auto"/>
              <w:bottom w:val="single" w:sz="4" w:space="0" w:color="auto"/>
            </w:tcBorders>
          </w:tcPr>
          <w:p w14:paraId="309B27C6" w14:textId="77777777"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14:paraId="4B519904" w14:textId="77777777"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14:paraId="1468103D" w14:textId="1A50B755" w:rsidR="00D94935" w:rsidRDefault="001542D1" w:rsidP="003A681D">
            <w:pPr>
              <w:pStyle w:val="EarlierRepubEntries"/>
            </w:pPr>
            <w:hyperlink r:id="rId3017"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7743A935" w14:textId="0427EB96" w:rsidR="00D94935" w:rsidRDefault="00D94935" w:rsidP="003A681D">
            <w:pPr>
              <w:pStyle w:val="EarlierRepubEntries"/>
            </w:pPr>
            <w:r>
              <w:t xml:space="preserve">amendments by </w:t>
            </w:r>
            <w:hyperlink r:id="rId3018" w:tooltip="Court Procedures Amendment Rules 2011 (No 3)" w:history="1">
              <w:r w:rsidRPr="008F62C1">
                <w:rPr>
                  <w:rStyle w:val="charCitHyperlinkAbbrev"/>
                </w:rPr>
                <w:t>SL2011</w:t>
              </w:r>
              <w:r w:rsidRPr="008F62C1">
                <w:rPr>
                  <w:rStyle w:val="charCitHyperlinkAbbrev"/>
                </w:rPr>
                <w:noBreakHyphen/>
                <w:t>33</w:t>
              </w:r>
            </w:hyperlink>
          </w:p>
        </w:tc>
      </w:tr>
      <w:tr w:rsidR="00D94935" w14:paraId="67F2C1FA" w14:textId="77777777" w:rsidTr="003A681D">
        <w:trPr>
          <w:cantSplit/>
        </w:trPr>
        <w:tc>
          <w:tcPr>
            <w:tcW w:w="1576" w:type="dxa"/>
            <w:tcBorders>
              <w:top w:val="single" w:sz="4" w:space="0" w:color="auto"/>
              <w:bottom w:val="single" w:sz="4" w:space="0" w:color="auto"/>
            </w:tcBorders>
          </w:tcPr>
          <w:p w14:paraId="3A1A32A2" w14:textId="77777777"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14:paraId="1A154DFD" w14:textId="77777777"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14:paraId="3E5DB448" w14:textId="41C2A927" w:rsidR="00D94935" w:rsidRDefault="001542D1" w:rsidP="003A681D">
            <w:pPr>
              <w:pStyle w:val="EarlierRepubEntries"/>
            </w:pPr>
            <w:hyperlink r:id="rId3019"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14:paraId="2BDA120A" w14:textId="2602235C" w:rsidR="00D94935" w:rsidRDefault="00D94935" w:rsidP="003A681D">
            <w:pPr>
              <w:pStyle w:val="EarlierRepubEntries"/>
            </w:pPr>
            <w:r>
              <w:t xml:space="preserve">amendments by </w:t>
            </w:r>
            <w:hyperlink r:id="rId3020" w:tooltip="Court Procedures Amendment Rules 2013 (No 2)" w:history="1">
              <w:r>
                <w:rPr>
                  <w:rStyle w:val="charCitHyperlinkAbbrev"/>
                </w:rPr>
                <w:t>SL2013</w:t>
              </w:r>
              <w:r>
                <w:rPr>
                  <w:rStyle w:val="charCitHyperlinkAbbrev"/>
                </w:rPr>
                <w:noBreakHyphen/>
                <w:t>32</w:t>
              </w:r>
            </w:hyperlink>
          </w:p>
        </w:tc>
      </w:tr>
      <w:tr w:rsidR="00D94935" w14:paraId="62F494D8" w14:textId="77777777" w:rsidTr="003A681D">
        <w:trPr>
          <w:cantSplit/>
        </w:trPr>
        <w:tc>
          <w:tcPr>
            <w:tcW w:w="1576" w:type="dxa"/>
            <w:tcBorders>
              <w:top w:val="single" w:sz="4" w:space="0" w:color="auto"/>
              <w:bottom w:val="single" w:sz="4" w:space="0" w:color="auto"/>
            </w:tcBorders>
          </w:tcPr>
          <w:p w14:paraId="6708846F" w14:textId="77777777"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14:paraId="4CCD96C0" w14:textId="77777777"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14:paraId="061D2A55" w14:textId="6C391F06" w:rsidR="00D94935" w:rsidRDefault="001542D1" w:rsidP="003A681D">
            <w:pPr>
              <w:pStyle w:val="EarlierRepubEntries"/>
            </w:pPr>
            <w:hyperlink r:id="rId3021"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14:paraId="27EDA58B" w14:textId="43509A36" w:rsidR="00D94935" w:rsidRDefault="00D94935" w:rsidP="003A681D">
            <w:pPr>
              <w:pStyle w:val="EarlierRepubEntries"/>
            </w:pPr>
            <w:r>
              <w:t xml:space="preserve">amendments by </w:t>
            </w:r>
            <w:hyperlink r:id="rId3022" w:tooltip="Court Procedures Amendment Rules 2014 (No 1)" w:history="1">
              <w:r w:rsidRPr="00F26443">
                <w:rPr>
                  <w:rStyle w:val="charCitHyperlinkAbbrev"/>
                </w:rPr>
                <w:t>SL2014-4</w:t>
              </w:r>
            </w:hyperlink>
          </w:p>
        </w:tc>
      </w:tr>
      <w:tr w:rsidR="00D94935" w14:paraId="295E08CC" w14:textId="77777777" w:rsidTr="003A681D">
        <w:trPr>
          <w:cantSplit/>
        </w:trPr>
        <w:tc>
          <w:tcPr>
            <w:tcW w:w="1576" w:type="dxa"/>
            <w:tcBorders>
              <w:top w:val="single" w:sz="4" w:space="0" w:color="auto"/>
              <w:bottom w:val="single" w:sz="4" w:space="0" w:color="auto"/>
            </w:tcBorders>
          </w:tcPr>
          <w:p w14:paraId="5BFF0A05" w14:textId="77777777"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14:paraId="62303CB4" w14:textId="77777777"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14:paraId="6F95ABE4" w14:textId="4E417F46" w:rsidR="00D94935" w:rsidRDefault="001542D1" w:rsidP="003A681D">
            <w:pPr>
              <w:pStyle w:val="EarlierRepubEntries"/>
            </w:pPr>
            <w:hyperlink r:id="rId3023"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14:paraId="5BF0363F" w14:textId="74EDEEC8" w:rsidR="00D94935" w:rsidRDefault="00D94935" w:rsidP="003A681D">
            <w:pPr>
              <w:pStyle w:val="EarlierRepubEntries"/>
            </w:pPr>
            <w:r>
              <w:t xml:space="preserve">amendments by </w:t>
            </w:r>
            <w:hyperlink r:id="rId3024" w:tooltip="Court Procedures Amendment Rules 2014 (No 2)" w:history="1">
              <w:r w:rsidRPr="00AD7FDD">
                <w:rPr>
                  <w:rStyle w:val="charCitHyperlinkAbbrev"/>
                </w:rPr>
                <w:t>SL2014-9</w:t>
              </w:r>
            </w:hyperlink>
          </w:p>
        </w:tc>
      </w:tr>
      <w:tr w:rsidR="00D94935" w14:paraId="1398DD29" w14:textId="77777777" w:rsidTr="003A681D">
        <w:trPr>
          <w:cantSplit/>
        </w:trPr>
        <w:tc>
          <w:tcPr>
            <w:tcW w:w="1576" w:type="dxa"/>
            <w:tcBorders>
              <w:top w:val="single" w:sz="4" w:space="0" w:color="auto"/>
              <w:bottom w:val="single" w:sz="4" w:space="0" w:color="auto"/>
            </w:tcBorders>
          </w:tcPr>
          <w:p w14:paraId="178441E5" w14:textId="77777777"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14:paraId="47E0A21E" w14:textId="77777777"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14:paraId="0FB82E05" w14:textId="620BF7AB" w:rsidR="00D94935" w:rsidRDefault="001542D1" w:rsidP="003A681D">
            <w:pPr>
              <w:pStyle w:val="EarlierRepubEntries"/>
            </w:pPr>
            <w:hyperlink r:id="rId3025"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14:paraId="27CA367B" w14:textId="492C242B" w:rsidR="00D94935" w:rsidRDefault="00D94935" w:rsidP="003A681D">
            <w:pPr>
              <w:pStyle w:val="EarlierRepubEntries"/>
            </w:pPr>
            <w:r>
              <w:t xml:space="preserve">amendments by </w:t>
            </w:r>
            <w:hyperlink r:id="rId3026" w:tooltip="Court Procedures Amendment Rules 2014 (No 3)" w:history="1">
              <w:r w:rsidRPr="00FC6C21">
                <w:rPr>
                  <w:rStyle w:val="charCitHyperlinkAbbrev"/>
                </w:rPr>
                <w:t>SL2014-34</w:t>
              </w:r>
            </w:hyperlink>
          </w:p>
        </w:tc>
      </w:tr>
      <w:tr w:rsidR="00D94935" w14:paraId="26591BC2" w14:textId="77777777" w:rsidTr="003A681D">
        <w:trPr>
          <w:cantSplit/>
        </w:trPr>
        <w:tc>
          <w:tcPr>
            <w:tcW w:w="1576" w:type="dxa"/>
            <w:tcBorders>
              <w:top w:val="single" w:sz="4" w:space="0" w:color="auto"/>
              <w:bottom w:val="single" w:sz="4" w:space="0" w:color="auto"/>
            </w:tcBorders>
          </w:tcPr>
          <w:p w14:paraId="6A692484" w14:textId="77777777"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14:paraId="5EAAC5C0" w14:textId="77777777"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14:paraId="587142DF" w14:textId="32658A1C" w:rsidR="00D94935" w:rsidRDefault="001542D1" w:rsidP="003A681D">
            <w:pPr>
              <w:pStyle w:val="EarlierRepubEntries"/>
            </w:pPr>
            <w:hyperlink r:id="rId3027"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14:paraId="0C1F42FA" w14:textId="765A1DFE" w:rsidR="00D94935" w:rsidRDefault="00D94935" w:rsidP="003A681D">
            <w:pPr>
              <w:pStyle w:val="EarlierRepubEntries"/>
            </w:pPr>
            <w:r>
              <w:t xml:space="preserve">amendments by </w:t>
            </w:r>
            <w:hyperlink r:id="rId3028" w:tooltip="Court Procedures Amendment Rules 2015 (No 1)" w:history="1">
              <w:r>
                <w:rPr>
                  <w:rStyle w:val="charCitHyperlinkAbbrev"/>
                </w:rPr>
                <w:t>SL2015</w:t>
              </w:r>
              <w:r>
                <w:rPr>
                  <w:rStyle w:val="charCitHyperlinkAbbrev"/>
                </w:rPr>
                <w:noBreakHyphen/>
                <w:t>12</w:t>
              </w:r>
            </w:hyperlink>
          </w:p>
        </w:tc>
      </w:tr>
      <w:tr w:rsidR="005B012A" w14:paraId="0EA89408" w14:textId="77777777" w:rsidTr="003A681D">
        <w:trPr>
          <w:cantSplit/>
        </w:trPr>
        <w:tc>
          <w:tcPr>
            <w:tcW w:w="1576" w:type="dxa"/>
            <w:tcBorders>
              <w:top w:val="single" w:sz="4" w:space="0" w:color="auto"/>
              <w:bottom w:val="single" w:sz="4" w:space="0" w:color="auto"/>
            </w:tcBorders>
          </w:tcPr>
          <w:p w14:paraId="438A9806" w14:textId="77777777"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14:paraId="36F70103" w14:textId="77777777"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14:paraId="3CEE99F8" w14:textId="26588489" w:rsidR="005B012A" w:rsidRDefault="001542D1" w:rsidP="003A681D">
            <w:pPr>
              <w:pStyle w:val="EarlierRepubEntries"/>
            </w:pPr>
            <w:hyperlink r:id="rId3029"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14:paraId="28959CAE" w14:textId="5BA3D315" w:rsidR="005B012A" w:rsidRDefault="005B012A" w:rsidP="003A681D">
            <w:pPr>
              <w:pStyle w:val="EarlierRepubEntries"/>
            </w:pPr>
            <w:r>
              <w:t xml:space="preserve">amendments by </w:t>
            </w:r>
            <w:hyperlink r:id="rId3030" w:tooltip="Court Procedures Amendment Rules 2015 (No 2)" w:history="1">
              <w:r w:rsidR="004415C2" w:rsidRPr="005B012A">
                <w:rPr>
                  <w:rStyle w:val="charCitHyperlinkAbbrev"/>
                </w:rPr>
                <w:t>SL2015-22</w:t>
              </w:r>
            </w:hyperlink>
          </w:p>
        </w:tc>
      </w:tr>
      <w:tr w:rsidR="0057401D" w14:paraId="7D768316" w14:textId="77777777" w:rsidTr="003A681D">
        <w:trPr>
          <w:cantSplit/>
        </w:trPr>
        <w:tc>
          <w:tcPr>
            <w:tcW w:w="1576" w:type="dxa"/>
            <w:tcBorders>
              <w:top w:val="single" w:sz="4" w:space="0" w:color="auto"/>
              <w:bottom w:val="single" w:sz="4" w:space="0" w:color="auto"/>
            </w:tcBorders>
          </w:tcPr>
          <w:p w14:paraId="7443C20E" w14:textId="77777777"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14:paraId="66789A68" w14:textId="77777777"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14:paraId="3BC8636B" w14:textId="27A2680E" w:rsidR="0057401D" w:rsidRDefault="001542D1" w:rsidP="003A681D">
            <w:pPr>
              <w:pStyle w:val="EarlierRepubEntries"/>
            </w:pPr>
            <w:hyperlink r:id="rId3031"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14:paraId="119ADF55" w14:textId="41AB4C3D" w:rsidR="0057401D" w:rsidRDefault="0057401D" w:rsidP="003A681D">
            <w:pPr>
              <w:pStyle w:val="EarlierRepubEntries"/>
            </w:pPr>
            <w:r>
              <w:t xml:space="preserve">amendments by </w:t>
            </w:r>
            <w:hyperlink r:id="rId3032" w:tooltip="Courts Legislation Amendment Act 2015 (No 2)" w:history="1">
              <w:r w:rsidRPr="0057401D">
                <w:rPr>
                  <w:rStyle w:val="charCitHyperlinkAbbrev"/>
                </w:rPr>
                <w:t>A2015-52</w:t>
              </w:r>
            </w:hyperlink>
          </w:p>
        </w:tc>
      </w:tr>
      <w:tr w:rsidR="009631E3" w14:paraId="6778769A" w14:textId="77777777" w:rsidTr="003A681D">
        <w:trPr>
          <w:cantSplit/>
        </w:trPr>
        <w:tc>
          <w:tcPr>
            <w:tcW w:w="1576" w:type="dxa"/>
            <w:tcBorders>
              <w:top w:val="single" w:sz="4" w:space="0" w:color="auto"/>
              <w:bottom w:val="single" w:sz="4" w:space="0" w:color="auto"/>
            </w:tcBorders>
          </w:tcPr>
          <w:p w14:paraId="468FE092" w14:textId="77777777"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14:paraId="18A72B5D" w14:textId="77777777"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14:paraId="60375EF5" w14:textId="71F6B10C" w:rsidR="009631E3" w:rsidRDefault="001542D1" w:rsidP="003A681D">
            <w:pPr>
              <w:pStyle w:val="EarlierRepubEntries"/>
            </w:pPr>
            <w:hyperlink r:id="rId3033"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4742C47B" w14:textId="49655AE0" w:rsidR="009631E3" w:rsidRDefault="009631E3" w:rsidP="003A681D">
            <w:pPr>
              <w:pStyle w:val="EarlierRepubEntries"/>
            </w:pPr>
            <w:r>
              <w:t xml:space="preserve">amendments by </w:t>
            </w:r>
            <w:hyperlink r:id="rId3034" w:tooltip="Court Procedures Amendment Rules 2015 (No 3)" w:history="1">
              <w:r w:rsidRPr="007752AC">
                <w:rPr>
                  <w:rStyle w:val="charCitHyperlinkAbbrev"/>
                </w:rPr>
                <w:t>SL2015-42</w:t>
              </w:r>
            </w:hyperlink>
          </w:p>
        </w:tc>
      </w:tr>
      <w:tr w:rsidR="00D14070" w14:paraId="74DEFF73" w14:textId="77777777" w:rsidTr="003A681D">
        <w:trPr>
          <w:cantSplit/>
        </w:trPr>
        <w:tc>
          <w:tcPr>
            <w:tcW w:w="1576" w:type="dxa"/>
            <w:tcBorders>
              <w:top w:val="single" w:sz="4" w:space="0" w:color="auto"/>
              <w:bottom w:val="single" w:sz="4" w:space="0" w:color="auto"/>
            </w:tcBorders>
          </w:tcPr>
          <w:p w14:paraId="136ADC92" w14:textId="77777777"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14:paraId="059C92BA" w14:textId="77777777"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14:paraId="62B59A32" w14:textId="7686936B" w:rsidR="00D14070" w:rsidRDefault="001542D1" w:rsidP="003A681D">
            <w:pPr>
              <w:pStyle w:val="EarlierRepubEntries"/>
            </w:pPr>
            <w:hyperlink r:id="rId3035"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6BE96BF1" w14:textId="5C6CEBDA" w:rsidR="00D14070" w:rsidRDefault="00E96161" w:rsidP="003A681D">
            <w:pPr>
              <w:pStyle w:val="EarlierRepubEntries"/>
            </w:pPr>
            <w:r>
              <w:t xml:space="preserve">amendments by </w:t>
            </w:r>
            <w:hyperlink r:id="rId3036" w:tooltip="Court Procedures Amendment Rules 2015 (No 3)" w:history="1">
              <w:r w:rsidRPr="007752AC">
                <w:rPr>
                  <w:rStyle w:val="charCitHyperlinkAbbrev"/>
                </w:rPr>
                <w:t>SL2015-42</w:t>
              </w:r>
            </w:hyperlink>
          </w:p>
        </w:tc>
      </w:tr>
      <w:tr w:rsidR="007E1F5D" w14:paraId="55E63FE2" w14:textId="77777777" w:rsidTr="003A681D">
        <w:trPr>
          <w:cantSplit/>
        </w:trPr>
        <w:tc>
          <w:tcPr>
            <w:tcW w:w="1576" w:type="dxa"/>
            <w:tcBorders>
              <w:top w:val="single" w:sz="4" w:space="0" w:color="auto"/>
              <w:bottom w:val="single" w:sz="4" w:space="0" w:color="auto"/>
            </w:tcBorders>
          </w:tcPr>
          <w:p w14:paraId="29FAC535" w14:textId="77777777"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14:paraId="146C416C" w14:textId="77777777"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14:paraId="1816846F" w14:textId="0C561F13" w:rsidR="007E1F5D" w:rsidRDefault="001542D1" w:rsidP="003A681D">
            <w:pPr>
              <w:pStyle w:val="EarlierRepubEntries"/>
            </w:pPr>
            <w:hyperlink r:id="rId3037"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32E352A5" w14:textId="24976793" w:rsidR="007E1F5D" w:rsidRDefault="007E1F5D" w:rsidP="003A681D">
            <w:pPr>
              <w:pStyle w:val="EarlierRepubEntries"/>
            </w:pPr>
            <w:r>
              <w:t xml:space="preserve">amendments by </w:t>
            </w:r>
            <w:hyperlink r:id="rId3038" w:tooltip="Crimes (Domestic and Family Violence) Legislation Amendment Act 2015" w:history="1">
              <w:r w:rsidRPr="00A2024B">
                <w:rPr>
                  <w:rStyle w:val="charCitHyperlinkAbbrev"/>
                </w:rPr>
                <w:t>A2015-40</w:t>
              </w:r>
            </w:hyperlink>
          </w:p>
        </w:tc>
      </w:tr>
      <w:tr w:rsidR="000858B8" w14:paraId="1B9A3346" w14:textId="77777777" w:rsidTr="003A681D">
        <w:trPr>
          <w:cantSplit/>
        </w:trPr>
        <w:tc>
          <w:tcPr>
            <w:tcW w:w="1576" w:type="dxa"/>
            <w:tcBorders>
              <w:top w:val="single" w:sz="4" w:space="0" w:color="auto"/>
              <w:bottom w:val="single" w:sz="4" w:space="0" w:color="auto"/>
            </w:tcBorders>
          </w:tcPr>
          <w:p w14:paraId="7D2DA6ED" w14:textId="77777777"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14:paraId="5B69CC87" w14:textId="77777777"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14:paraId="04D84FC2" w14:textId="7D7D6A6D" w:rsidR="000858B8" w:rsidRDefault="001542D1" w:rsidP="003A681D">
            <w:pPr>
              <w:pStyle w:val="EarlierRepubEntries"/>
            </w:pPr>
            <w:hyperlink r:id="rId3039"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14:paraId="79786A7D" w14:textId="04F1FC3A" w:rsidR="000858B8" w:rsidRDefault="000858B8" w:rsidP="003A681D">
            <w:pPr>
              <w:pStyle w:val="EarlierRepubEntries"/>
            </w:pPr>
            <w:r>
              <w:t xml:space="preserve">amendments by </w:t>
            </w:r>
            <w:hyperlink r:id="rId3040" w:tooltip="Court Procedures Amendment Rules 2016 (No 1)" w:history="1">
              <w:r>
                <w:rPr>
                  <w:rStyle w:val="charCitHyperlinkAbbrev"/>
                </w:rPr>
                <w:t>SL2016</w:t>
              </w:r>
              <w:r>
                <w:rPr>
                  <w:rStyle w:val="charCitHyperlinkAbbrev"/>
                </w:rPr>
                <w:noBreakHyphen/>
                <w:t>17</w:t>
              </w:r>
            </w:hyperlink>
          </w:p>
        </w:tc>
      </w:tr>
      <w:tr w:rsidR="00B70009" w14:paraId="6D9FF180" w14:textId="77777777" w:rsidTr="003A681D">
        <w:trPr>
          <w:cantSplit/>
        </w:trPr>
        <w:tc>
          <w:tcPr>
            <w:tcW w:w="1576" w:type="dxa"/>
            <w:tcBorders>
              <w:top w:val="single" w:sz="4" w:space="0" w:color="auto"/>
              <w:bottom w:val="single" w:sz="4" w:space="0" w:color="auto"/>
            </w:tcBorders>
          </w:tcPr>
          <w:p w14:paraId="05ADD3A2" w14:textId="77777777"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14:paraId="789CA119" w14:textId="77777777"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14:paraId="2BDD4594" w14:textId="295A3899" w:rsidR="00B70009" w:rsidRDefault="001542D1" w:rsidP="003A681D">
            <w:pPr>
              <w:pStyle w:val="EarlierRepubEntries"/>
            </w:pPr>
            <w:hyperlink r:id="rId3041"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14:paraId="62C2FE3A" w14:textId="1DCC5256" w:rsidR="00B70009" w:rsidRDefault="006F7C79" w:rsidP="003A681D">
            <w:pPr>
              <w:pStyle w:val="EarlierRepubEntries"/>
            </w:pPr>
            <w:r>
              <w:t xml:space="preserve">amendments by </w:t>
            </w:r>
            <w:hyperlink r:id="rId3042" w:tooltip="Court Procedures Amendment Rules 2016 (No 2)" w:history="1">
              <w:r w:rsidRPr="006F7C79">
                <w:rPr>
                  <w:rStyle w:val="charCitHyperlinkAbbrev"/>
                </w:rPr>
                <w:t>SL2016-31</w:t>
              </w:r>
            </w:hyperlink>
          </w:p>
        </w:tc>
      </w:tr>
      <w:tr w:rsidR="00DE207D" w14:paraId="68297937" w14:textId="77777777" w:rsidTr="003A681D">
        <w:trPr>
          <w:cantSplit/>
        </w:trPr>
        <w:tc>
          <w:tcPr>
            <w:tcW w:w="1576" w:type="dxa"/>
            <w:tcBorders>
              <w:top w:val="single" w:sz="4" w:space="0" w:color="auto"/>
              <w:bottom w:val="single" w:sz="4" w:space="0" w:color="auto"/>
            </w:tcBorders>
          </w:tcPr>
          <w:p w14:paraId="2C00B410" w14:textId="77777777"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14:paraId="32088754" w14:textId="77777777"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14:paraId="0C3C803A" w14:textId="2EDBBFEB" w:rsidR="00DE207D" w:rsidRDefault="001542D1" w:rsidP="003A681D">
            <w:pPr>
              <w:pStyle w:val="EarlierRepubEntries"/>
            </w:pPr>
            <w:hyperlink r:id="rId3043"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14:paraId="080FFB54" w14:textId="233E8894" w:rsidR="00DE207D" w:rsidRDefault="00DE207D" w:rsidP="003A681D">
            <w:pPr>
              <w:pStyle w:val="EarlierRepubEntries"/>
            </w:pPr>
            <w:r>
              <w:t xml:space="preserve">amendments by </w:t>
            </w:r>
            <w:hyperlink r:id="rId3044" w:tooltip="Court Procedures Amendment Rules 2016 (No 3)" w:history="1">
              <w:r w:rsidRPr="00DE207D">
                <w:rPr>
                  <w:rStyle w:val="charCitHyperlinkAbbrev"/>
                </w:rPr>
                <w:t>SL2016-33</w:t>
              </w:r>
            </w:hyperlink>
          </w:p>
        </w:tc>
      </w:tr>
      <w:tr w:rsidR="00E4538C" w14:paraId="54724905" w14:textId="77777777" w:rsidTr="003A681D">
        <w:trPr>
          <w:cantSplit/>
        </w:trPr>
        <w:tc>
          <w:tcPr>
            <w:tcW w:w="1576" w:type="dxa"/>
            <w:tcBorders>
              <w:top w:val="single" w:sz="4" w:space="0" w:color="auto"/>
              <w:bottom w:val="single" w:sz="4" w:space="0" w:color="auto"/>
            </w:tcBorders>
          </w:tcPr>
          <w:p w14:paraId="1A1C198F" w14:textId="77777777"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14:paraId="430D4FFA" w14:textId="77777777"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14:paraId="70C1F92B" w14:textId="766B95DE" w:rsidR="00E4538C" w:rsidRDefault="001542D1" w:rsidP="003A681D">
            <w:pPr>
              <w:pStyle w:val="EarlierRepubEntries"/>
            </w:pPr>
            <w:hyperlink r:id="rId3045"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14:paraId="5C80CE2C" w14:textId="15A0D937" w:rsidR="00E4538C" w:rsidRDefault="002B7D1D" w:rsidP="003A681D">
            <w:pPr>
              <w:pStyle w:val="EarlierRepubEntries"/>
            </w:pPr>
            <w:r>
              <w:t xml:space="preserve">amendments by </w:t>
            </w:r>
            <w:hyperlink r:id="rId3046" w:tooltip="Court Procedures Amendment Rules 2017 (No 1)" w:history="1">
              <w:r w:rsidRPr="002B7D1D">
                <w:rPr>
                  <w:rStyle w:val="charCitHyperlinkAbbrev"/>
                </w:rPr>
                <w:t>SL2017-9</w:t>
              </w:r>
            </w:hyperlink>
            <w:r>
              <w:t xml:space="preserve"> and </w:t>
            </w:r>
            <w:hyperlink r:id="rId3047" w:tooltip="Court Procedures Amendment Rules 2017 (No 2)" w:history="1">
              <w:r w:rsidRPr="002B7D1D">
                <w:rPr>
                  <w:rStyle w:val="charCitHyperlinkAbbrev"/>
                </w:rPr>
                <w:t>SL2017-10</w:t>
              </w:r>
            </w:hyperlink>
          </w:p>
        </w:tc>
      </w:tr>
      <w:tr w:rsidR="001E30CC" w14:paraId="62B595D9" w14:textId="77777777" w:rsidTr="003A681D">
        <w:trPr>
          <w:cantSplit/>
        </w:trPr>
        <w:tc>
          <w:tcPr>
            <w:tcW w:w="1576" w:type="dxa"/>
            <w:tcBorders>
              <w:top w:val="single" w:sz="4" w:space="0" w:color="auto"/>
              <w:bottom w:val="single" w:sz="4" w:space="0" w:color="auto"/>
            </w:tcBorders>
          </w:tcPr>
          <w:p w14:paraId="3F683941" w14:textId="77777777"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14:paraId="1C6956CB" w14:textId="77777777"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14:paraId="10337DF8" w14:textId="2F726E84" w:rsidR="001E30CC" w:rsidRPr="001E30CC" w:rsidRDefault="001542D1" w:rsidP="003A681D">
            <w:pPr>
              <w:pStyle w:val="EarlierRepubEntries"/>
            </w:pPr>
            <w:hyperlink r:id="rId3048"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14:paraId="22744CDE" w14:textId="17AD29F4" w:rsidR="001E30CC" w:rsidRDefault="001E30CC" w:rsidP="003A681D">
            <w:pPr>
              <w:pStyle w:val="EarlierRepubEntries"/>
            </w:pPr>
            <w:r>
              <w:t xml:space="preserve">amendments by </w:t>
            </w:r>
            <w:hyperlink r:id="rId3049" w:tooltip="Court Procedures Amendment Rules 2017 (No 3)" w:history="1">
              <w:r>
                <w:rPr>
                  <w:rStyle w:val="charCitHyperlinkAbbrev"/>
                </w:rPr>
                <w:t>SL2017</w:t>
              </w:r>
              <w:r>
                <w:rPr>
                  <w:rStyle w:val="charCitHyperlinkAbbrev"/>
                </w:rPr>
                <w:noBreakHyphen/>
                <w:t>17</w:t>
              </w:r>
            </w:hyperlink>
          </w:p>
        </w:tc>
      </w:tr>
      <w:tr w:rsidR="004C61B6" w14:paraId="67307959" w14:textId="77777777" w:rsidTr="003A681D">
        <w:trPr>
          <w:cantSplit/>
        </w:trPr>
        <w:tc>
          <w:tcPr>
            <w:tcW w:w="1576" w:type="dxa"/>
            <w:tcBorders>
              <w:top w:val="single" w:sz="4" w:space="0" w:color="auto"/>
              <w:bottom w:val="single" w:sz="4" w:space="0" w:color="auto"/>
            </w:tcBorders>
          </w:tcPr>
          <w:p w14:paraId="6B427E52" w14:textId="77777777"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14:paraId="70F4FD7B" w14:textId="77777777"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14:paraId="01AD54E5" w14:textId="5209CCE8" w:rsidR="004C61B6" w:rsidRPr="004C61B6" w:rsidRDefault="001542D1" w:rsidP="003A681D">
            <w:pPr>
              <w:pStyle w:val="EarlierRepubEntries"/>
              <w:rPr>
                <w:rStyle w:val="charCitHyperlinkAbbrev"/>
              </w:rPr>
            </w:pPr>
            <w:hyperlink r:id="rId3050"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14:paraId="719E7662" w14:textId="64EB76C5" w:rsidR="004C61B6" w:rsidRDefault="004C61B6" w:rsidP="003A681D">
            <w:pPr>
              <w:pStyle w:val="EarlierRepubEntries"/>
            </w:pPr>
            <w:r>
              <w:t xml:space="preserve">amendments by </w:t>
            </w:r>
            <w:hyperlink r:id="rId3051" w:tooltip="Court Procedures Amendment Rules 2017 (No 4)" w:history="1">
              <w:r w:rsidRPr="004C61B6">
                <w:rPr>
                  <w:rStyle w:val="charCitHyperlinkAbbrev"/>
                </w:rPr>
                <w:t>SL2017</w:t>
              </w:r>
              <w:r w:rsidRPr="004C61B6">
                <w:rPr>
                  <w:rStyle w:val="charCitHyperlinkAbbrev"/>
                </w:rPr>
                <w:noBreakHyphen/>
                <w:t>40</w:t>
              </w:r>
            </w:hyperlink>
          </w:p>
        </w:tc>
      </w:tr>
      <w:tr w:rsidR="002B1A55" w14:paraId="01EF28DC" w14:textId="77777777" w:rsidTr="003A681D">
        <w:trPr>
          <w:cantSplit/>
        </w:trPr>
        <w:tc>
          <w:tcPr>
            <w:tcW w:w="1576" w:type="dxa"/>
            <w:tcBorders>
              <w:top w:val="single" w:sz="4" w:space="0" w:color="auto"/>
              <w:bottom w:val="single" w:sz="4" w:space="0" w:color="auto"/>
            </w:tcBorders>
          </w:tcPr>
          <w:p w14:paraId="49AC43E4" w14:textId="77777777"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14:paraId="70B565A1" w14:textId="77777777"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14:paraId="7A08CF97" w14:textId="635E9082" w:rsidR="002B1A55" w:rsidRDefault="001542D1" w:rsidP="003A681D">
            <w:pPr>
              <w:pStyle w:val="EarlierRepubEntries"/>
              <w:rPr>
                <w:rStyle w:val="charCitHyperlinkAbbrev"/>
              </w:rPr>
            </w:pPr>
            <w:hyperlink r:id="rId3052"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14:paraId="3F10C8AB" w14:textId="0A9910B8" w:rsidR="002B1A55" w:rsidRDefault="002B1A55" w:rsidP="003A681D">
            <w:pPr>
              <w:pStyle w:val="EarlierRepubEntries"/>
            </w:pPr>
            <w:r>
              <w:t xml:space="preserve">amendments by </w:t>
            </w:r>
            <w:hyperlink r:id="rId3053" w:tooltip="Court Procedures Amendment Rules 2018 (No 1)" w:history="1">
              <w:r>
                <w:rPr>
                  <w:rStyle w:val="charCitHyperlinkAbbrev"/>
                </w:rPr>
                <w:t>SL2018</w:t>
              </w:r>
              <w:r>
                <w:rPr>
                  <w:rStyle w:val="charCitHyperlinkAbbrev"/>
                </w:rPr>
                <w:noBreakHyphen/>
                <w:t>25</w:t>
              </w:r>
            </w:hyperlink>
          </w:p>
        </w:tc>
      </w:tr>
      <w:tr w:rsidR="00C178E1" w14:paraId="13141593" w14:textId="77777777" w:rsidTr="003A681D">
        <w:trPr>
          <w:cantSplit/>
        </w:trPr>
        <w:tc>
          <w:tcPr>
            <w:tcW w:w="1576" w:type="dxa"/>
            <w:tcBorders>
              <w:top w:val="single" w:sz="4" w:space="0" w:color="auto"/>
              <w:bottom w:val="single" w:sz="4" w:space="0" w:color="auto"/>
            </w:tcBorders>
          </w:tcPr>
          <w:p w14:paraId="4EFF2024" w14:textId="77777777"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14:paraId="2C80E2F8" w14:textId="77777777"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14:paraId="678FFF0F" w14:textId="35DFBC2D" w:rsidR="00C178E1" w:rsidRDefault="001542D1" w:rsidP="003A681D">
            <w:pPr>
              <w:pStyle w:val="EarlierRepubEntries"/>
            </w:pPr>
            <w:hyperlink r:id="rId3054"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14:paraId="1A38E0C8" w14:textId="19A026F2" w:rsidR="00C178E1" w:rsidRDefault="00C178E1" w:rsidP="003A681D">
            <w:pPr>
              <w:pStyle w:val="EarlierRepubEntries"/>
            </w:pPr>
            <w:r>
              <w:t xml:space="preserve">amendments by </w:t>
            </w:r>
            <w:hyperlink r:id="rId3055" w:tooltip="Court Procedures Amendment Rules 2019 (No 2)" w:history="1">
              <w:r w:rsidRPr="00C178E1">
                <w:rPr>
                  <w:rStyle w:val="charCitHyperlinkAbbrev"/>
                </w:rPr>
                <w:t>SL2019-11</w:t>
              </w:r>
            </w:hyperlink>
          </w:p>
        </w:tc>
      </w:tr>
      <w:tr w:rsidR="00C97618" w14:paraId="434516B1" w14:textId="77777777" w:rsidTr="003A681D">
        <w:trPr>
          <w:cantSplit/>
        </w:trPr>
        <w:tc>
          <w:tcPr>
            <w:tcW w:w="1576" w:type="dxa"/>
            <w:tcBorders>
              <w:top w:val="single" w:sz="4" w:space="0" w:color="auto"/>
              <w:bottom w:val="single" w:sz="4" w:space="0" w:color="auto"/>
            </w:tcBorders>
          </w:tcPr>
          <w:p w14:paraId="048C75BB" w14:textId="77777777" w:rsidR="00C97618" w:rsidRDefault="00C97618" w:rsidP="003A681D">
            <w:pPr>
              <w:pStyle w:val="EarlierRepubEntries"/>
            </w:pPr>
            <w:r>
              <w:t>R54</w:t>
            </w:r>
            <w:r>
              <w:br/>
            </w:r>
            <w:r w:rsidR="001B4A1E">
              <w:t>24 Sept 2019</w:t>
            </w:r>
          </w:p>
        </w:tc>
        <w:tc>
          <w:tcPr>
            <w:tcW w:w="1681" w:type="dxa"/>
            <w:tcBorders>
              <w:top w:val="single" w:sz="4" w:space="0" w:color="auto"/>
              <w:bottom w:val="single" w:sz="4" w:space="0" w:color="auto"/>
            </w:tcBorders>
          </w:tcPr>
          <w:p w14:paraId="1B8D4BCC" w14:textId="77777777" w:rsidR="00C97618" w:rsidRDefault="001B4A1E" w:rsidP="003A681D">
            <w:pPr>
              <w:pStyle w:val="EarlierRepubEntries"/>
            </w:pPr>
            <w:r>
              <w:t>24 Sept 2019–</w:t>
            </w:r>
            <w:r>
              <w:br/>
              <w:t>31 Dec 2019</w:t>
            </w:r>
          </w:p>
        </w:tc>
        <w:tc>
          <w:tcPr>
            <w:tcW w:w="1783" w:type="dxa"/>
            <w:tcBorders>
              <w:top w:val="single" w:sz="4" w:space="0" w:color="auto"/>
              <w:bottom w:val="single" w:sz="4" w:space="0" w:color="auto"/>
            </w:tcBorders>
          </w:tcPr>
          <w:p w14:paraId="16A181D1" w14:textId="789459E1" w:rsidR="00C97618" w:rsidRDefault="001542D1" w:rsidP="003A681D">
            <w:pPr>
              <w:pStyle w:val="EarlierRepubEntries"/>
            </w:pPr>
            <w:hyperlink r:id="rId3056" w:tooltip="Court Procedures Amendment Rules 2019 (No 2)" w:history="1">
              <w:r w:rsidR="001B4A1E">
                <w:rPr>
                  <w:rStyle w:val="charCitHyperlinkAbbrev"/>
                </w:rPr>
                <w:t>SL2019</w:t>
              </w:r>
              <w:r w:rsidR="001B4A1E">
                <w:rPr>
                  <w:rStyle w:val="charCitHyperlinkAbbrev"/>
                </w:rPr>
                <w:noBreakHyphen/>
                <w:t>25</w:t>
              </w:r>
            </w:hyperlink>
          </w:p>
        </w:tc>
        <w:tc>
          <w:tcPr>
            <w:tcW w:w="1783" w:type="dxa"/>
            <w:tcBorders>
              <w:top w:val="single" w:sz="4" w:space="0" w:color="auto"/>
              <w:bottom w:val="single" w:sz="4" w:space="0" w:color="auto"/>
            </w:tcBorders>
          </w:tcPr>
          <w:p w14:paraId="4CFDE4F3" w14:textId="046B20C0" w:rsidR="00C97618" w:rsidRDefault="001B4A1E" w:rsidP="003A681D">
            <w:pPr>
              <w:pStyle w:val="EarlierRepubEntries"/>
            </w:pPr>
            <w:r>
              <w:t xml:space="preserve">amendments by </w:t>
            </w:r>
            <w:hyperlink r:id="rId3057" w:tooltip="Court Procedures Amendment Rules 2019 (No 2)" w:history="1">
              <w:r>
                <w:rPr>
                  <w:rStyle w:val="charCitHyperlinkAbbrev"/>
                </w:rPr>
                <w:t>SL2019</w:t>
              </w:r>
              <w:r>
                <w:rPr>
                  <w:rStyle w:val="charCitHyperlinkAbbrev"/>
                </w:rPr>
                <w:noBreakHyphen/>
                <w:t>25</w:t>
              </w:r>
            </w:hyperlink>
          </w:p>
        </w:tc>
      </w:tr>
      <w:tr w:rsidR="00EF0B38" w14:paraId="04D6598F" w14:textId="77777777" w:rsidTr="003A681D">
        <w:trPr>
          <w:cantSplit/>
        </w:trPr>
        <w:tc>
          <w:tcPr>
            <w:tcW w:w="1576" w:type="dxa"/>
            <w:tcBorders>
              <w:top w:val="single" w:sz="4" w:space="0" w:color="auto"/>
              <w:bottom w:val="single" w:sz="4" w:space="0" w:color="auto"/>
            </w:tcBorders>
          </w:tcPr>
          <w:p w14:paraId="4C846B07" w14:textId="77777777" w:rsidR="00EF0B38" w:rsidRDefault="00EF0B38" w:rsidP="003A681D">
            <w:pPr>
              <w:pStyle w:val="EarlierRepubEntries"/>
            </w:pPr>
            <w:r>
              <w:t>R55</w:t>
            </w:r>
            <w:r>
              <w:br/>
            </w:r>
            <w:r w:rsidR="00B7416A">
              <w:t>1 Jan 2020</w:t>
            </w:r>
          </w:p>
        </w:tc>
        <w:tc>
          <w:tcPr>
            <w:tcW w:w="1681" w:type="dxa"/>
            <w:tcBorders>
              <w:top w:val="single" w:sz="4" w:space="0" w:color="auto"/>
              <w:bottom w:val="single" w:sz="4" w:space="0" w:color="auto"/>
            </w:tcBorders>
          </w:tcPr>
          <w:p w14:paraId="0F0AC682" w14:textId="77777777" w:rsidR="00EF0B38" w:rsidRDefault="00B7416A" w:rsidP="003A681D">
            <w:pPr>
              <w:pStyle w:val="EarlierRepubEntries"/>
            </w:pPr>
            <w:r>
              <w:t>1 Jan 2020–</w:t>
            </w:r>
            <w:r>
              <w:br/>
              <w:t>8 Mar 2020</w:t>
            </w:r>
          </w:p>
        </w:tc>
        <w:tc>
          <w:tcPr>
            <w:tcW w:w="1783" w:type="dxa"/>
            <w:tcBorders>
              <w:top w:val="single" w:sz="4" w:space="0" w:color="auto"/>
              <w:bottom w:val="single" w:sz="4" w:space="0" w:color="auto"/>
            </w:tcBorders>
          </w:tcPr>
          <w:p w14:paraId="2B6E3056" w14:textId="1182049B" w:rsidR="00EF0B38" w:rsidRDefault="001542D1" w:rsidP="003A681D">
            <w:pPr>
              <w:pStyle w:val="EarlierRepubEntries"/>
            </w:pPr>
            <w:hyperlink r:id="rId3058" w:tooltip="Court Procedures Amendment Rules 2019 (No 3)" w:history="1">
              <w:r w:rsidR="00B7416A">
                <w:rPr>
                  <w:rStyle w:val="charCitHyperlinkAbbrev"/>
                </w:rPr>
                <w:t>SL2019</w:t>
              </w:r>
              <w:r w:rsidR="00B7416A">
                <w:rPr>
                  <w:rStyle w:val="charCitHyperlinkAbbrev"/>
                </w:rPr>
                <w:noBreakHyphen/>
                <w:t>30</w:t>
              </w:r>
            </w:hyperlink>
          </w:p>
        </w:tc>
        <w:tc>
          <w:tcPr>
            <w:tcW w:w="1783" w:type="dxa"/>
            <w:tcBorders>
              <w:top w:val="single" w:sz="4" w:space="0" w:color="auto"/>
              <w:bottom w:val="single" w:sz="4" w:space="0" w:color="auto"/>
            </w:tcBorders>
          </w:tcPr>
          <w:p w14:paraId="3D41152E" w14:textId="04F367BF" w:rsidR="00EF0B38" w:rsidRDefault="00B7416A" w:rsidP="003A681D">
            <w:pPr>
              <w:pStyle w:val="EarlierRepubEntries"/>
            </w:pPr>
            <w:r>
              <w:t xml:space="preserve">amendments by </w:t>
            </w:r>
            <w:hyperlink r:id="rId3059" w:tooltip="Court Procedures Amendment Rules 2019 (No 3)" w:history="1">
              <w:r>
                <w:rPr>
                  <w:rStyle w:val="charCitHyperlinkAbbrev"/>
                </w:rPr>
                <w:t>SL2019</w:t>
              </w:r>
              <w:r>
                <w:rPr>
                  <w:rStyle w:val="charCitHyperlinkAbbrev"/>
                </w:rPr>
                <w:noBreakHyphen/>
                <w:t>30</w:t>
              </w:r>
            </w:hyperlink>
          </w:p>
        </w:tc>
      </w:tr>
      <w:tr w:rsidR="002B25CC" w14:paraId="64DF0E06" w14:textId="77777777" w:rsidTr="003A681D">
        <w:trPr>
          <w:cantSplit/>
        </w:trPr>
        <w:tc>
          <w:tcPr>
            <w:tcW w:w="1576" w:type="dxa"/>
            <w:tcBorders>
              <w:top w:val="single" w:sz="4" w:space="0" w:color="auto"/>
              <w:bottom w:val="single" w:sz="4" w:space="0" w:color="auto"/>
            </w:tcBorders>
          </w:tcPr>
          <w:p w14:paraId="2E36803E" w14:textId="77777777" w:rsidR="002B25CC" w:rsidRDefault="002B25CC" w:rsidP="003A681D">
            <w:pPr>
              <w:pStyle w:val="EarlierRepubEntries"/>
            </w:pPr>
            <w:r>
              <w:t>R56</w:t>
            </w:r>
            <w:r>
              <w:br/>
              <w:t>9 Mar 2020</w:t>
            </w:r>
          </w:p>
        </w:tc>
        <w:tc>
          <w:tcPr>
            <w:tcW w:w="1681" w:type="dxa"/>
            <w:tcBorders>
              <w:top w:val="single" w:sz="4" w:space="0" w:color="auto"/>
              <w:bottom w:val="single" w:sz="4" w:space="0" w:color="auto"/>
            </w:tcBorders>
          </w:tcPr>
          <w:p w14:paraId="7BE29453" w14:textId="77777777" w:rsidR="002B25CC" w:rsidRDefault="002B25CC" w:rsidP="003A681D">
            <w:pPr>
              <w:pStyle w:val="EarlierRepubEntries"/>
            </w:pPr>
            <w:r>
              <w:t>9 Mar 2020–</w:t>
            </w:r>
            <w:r>
              <w:br/>
              <w:t>20 Mar 2020</w:t>
            </w:r>
          </w:p>
        </w:tc>
        <w:tc>
          <w:tcPr>
            <w:tcW w:w="1783" w:type="dxa"/>
            <w:tcBorders>
              <w:top w:val="single" w:sz="4" w:space="0" w:color="auto"/>
              <w:bottom w:val="single" w:sz="4" w:space="0" w:color="auto"/>
            </w:tcBorders>
          </w:tcPr>
          <w:p w14:paraId="3E613122" w14:textId="0AC895DB" w:rsidR="002B25CC" w:rsidRDefault="001542D1" w:rsidP="003A681D">
            <w:pPr>
              <w:pStyle w:val="EarlierRepubEntries"/>
            </w:pPr>
            <w:hyperlink r:id="rId3060" w:tooltip="Court Procedures Amendment Rules 2020 (No 1)" w:history="1">
              <w:r w:rsidR="002B25CC">
                <w:rPr>
                  <w:rStyle w:val="charCitHyperlinkAbbrev"/>
                </w:rPr>
                <w:t>SL2020</w:t>
              </w:r>
              <w:r w:rsidR="002B25CC">
                <w:rPr>
                  <w:rStyle w:val="charCitHyperlinkAbbrev"/>
                </w:rPr>
                <w:noBreakHyphen/>
                <w:t>6</w:t>
              </w:r>
            </w:hyperlink>
          </w:p>
        </w:tc>
        <w:tc>
          <w:tcPr>
            <w:tcW w:w="1783" w:type="dxa"/>
            <w:tcBorders>
              <w:top w:val="single" w:sz="4" w:space="0" w:color="auto"/>
              <w:bottom w:val="single" w:sz="4" w:space="0" w:color="auto"/>
            </w:tcBorders>
          </w:tcPr>
          <w:p w14:paraId="31A6BE4B" w14:textId="772F1DC8" w:rsidR="002B25CC" w:rsidRDefault="002B25CC" w:rsidP="003A681D">
            <w:pPr>
              <w:pStyle w:val="EarlierRepubEntries"/>
            </w:pPr>
            <w:r>
              <w:t xml:space="preserve">amendments by </w:t>
            </w:r>
            <w:hyperlink r:id="rId3061" w:tooltip="Court Procedures Amendment Rules 2020 (No 1)" w:history="1">
              <w:r>
                <w:rPr>
                  <w:rStyle w:val="charCitHyperlinkAbbrev"/>
                </w:rPr>
                <w:t>SL2020</w:t>
              </w:r>
              <w:r>
                <w:rPr>
                  <w:rStyle w:val="charCitHyperlinkAbbrev"/>
                </w:rPr>
                <w:noBreakHyphen/>
                <w:t>6</w:t>
              </w:r>
            </w:hyperlink>
          </w:p>
        </w:tc>
      </w:tr>
      <w:tr w:rsidR="000318DD" w14:paraId="1BEF822E" w14:textId="77777777" w:rsidTr="003A681D">
        <w:trPr>
          <w:cantSplit/>
        </w:trPr>
        <w:tc>
          <w:tcPr>
            <w:tcW w:w="1576" w:type="dxa"/>
            <w:tcBorders>
              <w:top w:val="single" w:sz="4" w:space="0" w:color="auto"/>
              <w:bottom w:val="single" w:sz="4" w:space="0" w:color="auto"/>
            </w:tcBorders>
          </w:tcPr>
          <w:p w14:paraId="5C29E0A8" w14:textId="77777777" w:rsidR="000318DD" w:rsidRDefault="000318DD" w:rsidP="003A681D">
            <w:pPr>
              <w:pStyle w:val="EarlierRepubEntries"/>
            </w:pPr>
            <w:r>
              <w:t>R57</w:t>
            </w:r>
            <w:r>
              <w:br/>
            </w:r>
            <w:r w:rsidR="00C35420">
              <w:t>21 Mar 2020</w:t>
            </w:r>
          </w:p>
        </w:tc>
        <w:tc>
          <w:tcPr>
            <w:tcW w:w="1681" w:type="dxa"/>
            <w:tcBorders>
              <w:top w:val="single" w:sz="4" w:space="0" w:color="auto"/>
              <w:bottom w:val="single" w:sz="4" w:space="0" w:color="auto"/>
            </w:tcBorders>
          </w:tcPr>
          <w:p w14:paraId="4D9C7D20" w14:textId="77777777" w:rsidR="000318DD" w:rsidRDefault="00C35420" w:rsidP="003A681D">
            <w:pPr>
              <w:pStyle w:val="EarlierRepubEntries"/>
            </w:pPr>
            <w:r>
              <w:t>21 Mar 2020–</w:t>
            </w:r>
            <w:r>
              <w:br/>
              <w:t>30 June 2020</w:t>
            </w:r>
          </w:p>
        </w:tc>
        <w:tc>
          <w:tcPr>
            <w:tcW w:w="1783" w:type="dxa"/>
            <w:tcBorders>
              <w:top w:val="single" w:sz="4" w:space="0" w:color="auto"/>
              <w:bottom w:val="single" w:sz="4" w:space="0" w:color="auto"/>
            </w:tcBorders>
          </w:tcPr>
          <w:p w14:paraId="07790447" w14:textId="56B94C6E" w:rsidR="000318DD" w:rsidRDefault="001542D1" w:rsidP="003A681D">
            <w:pPr>
              <w:pStyle w:val="EarlierRepubEntries"/>
            </w:pPr>
            <w:hyperlink r:id="rId3062" w:tooltip="Court Procedures Amendment Rules 2020 (No 2)" w:history="1">
              <w:r w:rsidR="00C35420" w:rsidRPr="00C35420">
                <w:rPr>
                  <w:rStyle w:val="charCitHyperlinkAbbrev"/>
                </w:rPr>
                <w:t>SL2020-9</w:t>
              </w:r>
            </w:hyperlink>
          </w:p>
        </w:tc>
        <w:tc>
          <w:tcPr>
            <w:tcW w:w="1783" w:type="dxa"/>
            <w:tcBorders>
              <w:top w:val="single" w:sz="4" w:space="0" w:color="auto"/>
              <w:bottom w:val="single" w:sz="4" w:space="0" w:color="auto"/>
            </w:tcBorders>
          </w:tcPr>
          <w:p w14:paraId="48A5CE7E" w14:textId="6B209394" w:rsidR="000318DD" w:rsidRDefault="00C35420" w:rsidP="003A681D">
            <w:pPr>
              <w:pStyle w:val="EarlierRepubEntries"/>
            </w:pPr>
            <w:r>
              <w:t xml:space="preserve">amendments by </w:t>
            </w:r>
            <w:hyperlink r:id="rId3063" w:tooltip="Court Procedures Amendment Rules 2020 (No 2)" w:history="1">
              <w:r w:rsidRPr="00C35420">
                <w:rPr>
                  <w:rStyle w:val="charCitHyperlinkAbbrev"/>
                </w:rPr>
                <w:t>SL2020-9</w:t>
              </w:r>
            </w:hyperlink>
          </w:p>
        </w:tc>
      </w:tr>
      <w:tr w:rsidR="0004289A" w14:paraId="3C8138A0" w14:textId="77777777" w:rsidTr="003A681D">
        <w:trPr>
          <w:cantSplit/>
        </w:trPr>
        <w:tc>
          <w:tcPr>
            <w:tcW w:w="1576" w:type="dxa"/>
            <w:tcBorders>
              <w:top w:val="single" w:sz="4" w:space="0" w:color="auto"/>
              <w:bottom w:val="single" w:sz="4" w:space="0" w:color="auto"/>
            </w:tcBorders>
          </w:tcPr>
          <w:p w14:paraId="4E61E059" w14:textId="77777777" w:rsidR="0004289A" w:rsidRDefault="0004289A" w:rsidP="003A681D">
            <w:pPr>
              <w:pStyle w:val="EarlierRepubEntries"/>
            </w:pPr>
            <w:r>
              <w:t>R58</w:t>
            </w:r>
            <w:r>
              <w:br/>
              <w:t>1 July 2020</w:t>
            </w:r>
          </w:p>
        </w:tc>
        <w:tc>
          <w:tcPr>
            <w:tcW w:w="1681" w:type="dxa"/>
            <w:tcBorders>
              <w:top w:val="single" w:sz="4" w:space="0" w:color="auto"/>
              <w:bottom w:val="single" w:sz="4" w:space="0" w:color="auto"/>
            </w:tcBorders>
          </w:tcPr>
          <w:p w14:paraId="1BE894AB" w14:textId="77777777" w:rsidR="0004289A" w:rsidRDefault="0004289A" w:rsidP="003A681D">
            <w:pPr>
              <w:pStyle w:val="EarlierRepubEntries"/>
            </w:pPr>
            <w:r>
              <w:t>1 July 2020–</w:t>
            </w:r>
            <w:r>
              <w:br/>
              <w:t>31 Aug 2020</w:t>
            </w:r>
          </w:p>
        </w:tc>
        <w:tc>
          <w:tcPr>
            <w:tcW w:w="1783" w:type="dxa"/>
            <w:tcBorders>
              <w:top w:val="single" w:sz="4" w:space="0" w:color="auto"/>
              <w:bottom w:val="single" w:sz="4" w:space="0" w:color="auto"/>
            </w:tcBorders>
          </w:tcPr>
          <w:p w14:paraId="449C31E6" w14:textId="0294445E" w:rsidR="0004289A" w:rsidRDefault="001542D1" w:rsidP="003A681D">
            <w:pPr>
              <w:pStyle w:val="EarlierRepubEntries"/>
            </w:pPr>
            <w:hyperlink r:id="rId3064" w:tooltip="Court Procedures Amendment Rules 2020 (No 3)" w:history="1">
              <w:r w:rsidR="0004289A">
                <w:rPr>
                  <w:rStyle w:val="charCitHyperlinkAbbrev"/>
                </w:rPr>
                <w:t>SL2020</w:t>
              </w:r>
              <w:r w:rsidR="0004289A">
                <w:rPr>
                  <w:rStyle w:val="charCitHyperlinkAbbrev"/>
                </w:rPr>
                <w:noBreakHyphen/>
                <w:t>20</w:t>
              </w:r>
            </w:hyperlink>
          </w:p>
        </w:tc>
        <w:tc>
          <w:tcPr>
            <w:tcW w:w="1783" w:type="dxa"/>
            <w:tcBorders>
              <w:top w:val="single" w:sz="4" w:space="0" w:color="auto"/>
              <w:bottom w:val="single" w:sz="4" w:space="0" w:color="auto"/>
            </w:tcBorders>
          </w:tcPr>
          <w:p w14:paraId="37330CDD" w14:textId="288F3B11" w:rsidR="0004289A" w:rsidRDefault="0004289A" w:rsidP="003A681D">
            <w:pPr>
              <w:pStyle w:val="EarlierRepubEntries"/>
            </w:pPr>
            <w:r>
              <w:t xml:space="preserve">amendments by </w:t>
            </w:r>
            <w:hyperlink r:id="rId3065" w:tooltip="Court Procedures Amendment Rules 2020 (No 3)" w:history="1">
              <w:r>
                <w:rPr>
                  <w:rStyle w:val="charCitHyperlinkAbbrev"/>
                </w:rPr>
                <w:t>SL2020</w:t>
              </w:r>
              <w:r>
                <w:rPr>
                  <w:rStyle w:val="charCitHyperlinkAbbrev"/>
                </w:rPr>
                <w:noBreakHyphen/>
                <w:t>20</w:t>
              </w:r>
            </w:hyperlink>
          </w:p>
        </w:tc>
      </w:tr>
      <w:tr w:rsidR="00662222" w14:paraId="1D92BFB2" w14:textId="77777777" w:rsidTr="003A681D">
        <w:trPr>
          <w:cantSplit/>
        </w:trPr>
        <w:tc>
          <w:tcPr>
            <w:tcW w:w="1576" w:type="dxa"/>
            <w:tcBorders>
              <w:top w:val="single" w:sz="4" w:space="0" w:color="auto"/>
              <w:bottom w:val="single" w:sz="4" w:space="0" w:color="auto"/>
            </w:tcBorders>
          </w:tcPr>
          <w:p w14:paraId="332EA3E5" w14:textId="4FC043F2" w:rsidR="00662222" w:rsidRDefault="00662222" w:rsidP="003A681D">
            <w:pPr>
              <w:pStyle w:val="EarlierRepubEntries"/>
            </w:pPr>
            <w:r>
              <w:t>R59</w:t>
            </w:r>
            <w:r>
              <w:br/>
              <w:t>1 Sept 2020</w:t>
            </w:r>
          </w:p>
        </w:tc>
        <w:tc>
          <w:tcPr>
            <w:tcW w:w="1681" w:type="dxa"/>
            <w:tcBorders>
              <w:top w:val="single" w:sz="4" w:space="0" w:color="auto"/>
              <w:bottom w:val="single" w:sz="4" w:space="0" w:color="auto"/>
            </w:tcBorders>
          </w:tcPr>
          <w:p w14:paraId="1F5265B4" w14:textId="1233A72B" w:rsidR="00662222" w:rsidRDefault="00662222" w:rsidP="003A681D">
            <w:pPr>
              <w:pStyle w:val="EarlierRepubEntries"/>
            </w:pPr>
            <w:r>
              <w:t>1 Sept 2020–</w:t>
            </w:r>
            <w:r>
              <w:br/>
              <w:t>31 Dec 2020</w:t>
            </w:r>
          </w:p>
        </w:tc>
        <w:tc>
          <w:tcPr>
            <w:tcW w:w="1783" w:type="dxa"/>
            <w:tcBorders>
              <w:top w:val="single" w:sz="4" w:space="0" w:color="auto"/>
              <w:bottom w:val="single" w:sz="4" w:space="0" w:color="auto"/>
            </w:tcBorders>
          </w:tcPr>
          <w:p w14:paraId="3714783E" w14:textId="50442466" w:rsidR="00662222" w:rsidRDefault="001542D1" w:rsidP="003A681D">
            <w:pPr>
              <w:pStyle w:val="EarlierRepubEntries"/>
            </w:pPr>
            <w:hyperlink r:id="rId3066" w:tooltip="Court Procedures Amendment Rules 2020 (No 4)" w:history="1">
              <w:r w:rsidR="00662222">
                <w:rPr>
                  <w:rStyle w:val="charCitHyperlinkAbbrev"/>
                </w:rPr>
                <w:t>SL2020</w:t>
              </w:r>
              <w:r w:rsidR="00662222">
                <w:rPr>
                  <w:rStyle w:val="charCitHyperlinkAbbrev"/>
                </w:rPr>
                <w:noBreakHyphen/>
                <w:t>34</w:t>
              </w:r>
            </w:hyperlink>
          </w:p>
        </w:tc>
        <w:tc>
          <w:tcPr>
            <w:tcW w:w="1783" w:type="dxa"/>
            <w:tcBorders>
              <w:top w:val="single" w:sz="4" w:space="0" w:color="auto"/>
              <w:bottom w:val="single" w:sz="4" w:space="0" w:color="auto"/>
            </w:tcBorders>
          </w:tcPr>
          <w:p w14:paraId="2755B1CD" w14:textId="511635EF" w:rsidR="00662222" w:rsidRDefault="00662222" w:rsidP="003A681D">
            <w:pPr>
              <w:pStyle w:val="EarlierRepubEntries"/>
            </w:pPr>
            <w:r>
              <w:t xml:space="preserve">amendments by </w:t>
            </w:r>
            <w:hyperlink r:id="rId3067" w:tooltip="Court Procedures Amendment Rules 2020 (No 4)" w:history="1">
              <w:r>
                <w:rPr>
                  <w:rStyle w:val="charCitHyperlinkAbbrev"/>
                </w:rPr>
                <w:t>SL2020</w:t>
              </w:r>
              <w:r>
                <w:rPr>
                  <w:rStyle w:val="charCitHyperlinkAbbrev"/>
                </w:rPr>
                <w:noBreakHyphen/>
                <w:t>34</w:t>
              </w:r>
            </w:hyperlink>
          </w:p>
        </w:tc>
      </w:tr>
      <w:tr w:rsidR="006175F4" w14:paraId="43C443FB" w14:textId="77777777" w:rsidTr="003A681D">
        <w:trPr>
          <w:cantSplit/>
        </w:trPr>
        <w:tc>
          <w:tcPr>
            <w:tcW w:w="1576" w:type="dxa"/>
            <w:tcBorders>
              <w:top w:val="single" w:sz="4" w:space="0" w:color="auto"/>
              <w:bottom w:val="single" w:sz="4" w:space="0" w:color="auto"/>
            </w:tcBorders>
          </w:tcPr>
          <w:p w14:paraId="77A58E23" w14:textId="164E3FC0" w:rsidR="006175F4" w:rsidRDefault="006175F4" w:rsidP="003A681D">
            <w:pPr>
              <w:pStyle w:val="EarlierRepubEntries"/>
            </w:pPr>
            <w:r>
              <w:lastRenderedPageBreak/>
              <w:t>R60</w:t>
            </w:r>
            <w:r>
              <w:br/>
            </w:r>
            <w:r w:rsidR="00847626">
              <w:t>1 Jan 2021</w:t>
            </w:r>
          </w:p>
        </w:tc>
        <w:tc>
          <w:tcPr>
            <w:tcW w:w="1681" w:type="dxa"/>
            <w:tcBorders>
              <w:top w:val="single" w:sz="4" w:space="0" w:color="auto"/>
              <w:bottom w:val="single" w:sz="4" w:space="0" w:color="auto"/>
            </w:tcBorders>
          </w:tcPr>
          <w:p w14:paraId="254ABC7E" w14:textId="5864A2E1" w:rsidR="006175F4" w:rsidRDefault="00847626" w:rsidP="003A681D">
            <w:pPr>
              <w:pStyle w:val="EarlierRepubEntries"/>
            </w:pPr>
            <w:r>
              <w:t>1 Jan 2021–</w:t>
            </w:r>
            <w:r>
              <w:br/>
              <w:t>30 June 2021</w:t>
            </w:r>
          </w:p>
        </w:tc>
        <w:tc>
          <w:tcPr>
            <w:tcW w:w="1783" w:type="dxa"/>
            <w:tcBorders>
              <w:top w:val="single" w:sz="4" w:space="0" w:color="auto"/>
              <w:bottom w:val="single" w:sz="4" w:space="0" w:color="auto"/>
            </w:tcBorders>
          </w:tcPr>
          <w:p w14:paraId="3F2DF747" w14:textId="506FA11E" w:rsidR="006175F4" w:rsidRDefault="001542D1" w:rsidP="003A681D">
            <w:pPr>
              <w:pStyle w:val="EarlierRepubEntries"/>
            </w:pPr>
            <w:hyperlink r:id="rId3068" w:tooltip="Court Procedures Amendment Rules 2020 (No 5)" w:history="1">
              <w:r w:rsidR="00847626" w:rsidRPr="00847626">
                <w:rPr>
                  <w:rStyle w:val="charCitHyperlinkAbbrev"/>
                </w:rPr>
                <w:t>SL2020-45</w:t>
              </w:r>
            </w:hyperlink>
          </w:p>
        </w:tc>
        <w:tc>
          <w:tcPr>
            <w:tcW w:w="1783" w:type="dxa"/>
            <w:tcBorders>
              <w:top w:val="single" w:sz="4" w:space="0" w:color="auto"/>
              <w:bottom w:val="single" w:sz="4" w:space="0" w:color="auto"/>
            </w:tcBorders>
          </w:tcPr>
          <w:p w14:paraId="61743FE6" w14:textId="357E3485" w:rsidR="006175F4" w:rsidRDefault="00847626" w:rsidP="003A681D">
            <w:pPr>
              <w:pStyle w:val="EarlierRepubEntries"/>
            </w:pPr>
            <w:r>
              <w:t xml:space="preserve">amendments by </w:t>
            </w:r>
            <w:hyperlink r:id="rId3069" w:tooltip="Court Procedures Amendment Rules 2020 (No 5)" w:history="1">
              <w:r w:rsidRPr="00847626">
                <w:rPr>
                  <w:rStyle w:val="charCitHyperlinkAbbrev"/>
                </w:rPr>
                <w:t>SL2020-45</w:t>
              </w:r>
            </w:hyperlink>
          </w:p>
        </w:tc>
      </w:tr>
      <w:tr w:rsidR="00890E45" w14:paraId="45C85A69" w14:textId="77777777" w:rsidTr="003A681D">
        <w:trPr>
          <w:cantSplit/>
        </w:trPr>
        <w:tc>
          <w:tcPr>
            <w:tcW w:w="1576" w:type="dxa"/>
            <w:tcBorders>
              <w:top w:val="single" w:sz="4" w:space="0" w:color="auto"/>
              <w:bottom w:val="single" w:sz="4" w:space="0" w:color="auto"/>
            </w:tcBorders>
          </w:tcPr>
          <w:p w14:paraId="492F683D" w14:textId="3244BCF8" w:rsidR="00890E45" w:rsidRDefault="00890E45" w:rsidP="003A681D">
            <w:pPr>
              <w:pStyle w:val="EarlierRepubEntries"/>
            </w:pPr>
            <w:r>
              <w:t>R61</w:t>
            </w:r>
            <w:r>
              <w:br/>
              <w:t>1 July 2021</w:t>
            </w:r>
          </w:p>
        </w:tc>
        <w:tc>
          <w:tcPr>
            <w:tcW w:w="1681" w:type="dxa"/>
            <w:tcBorders>
              <w:top w:val="single" w:sz="4" w:space="0" w:color="auto"/>
              <w:bottom w:val="single" w:sz="4" w:space="0" w:color="auto"/>
            </w:tcBorders>
          </w:tcPr>
          <w:p w14:paraId="3ABEC64D" w14:textId="62EE48AB" w:rsidR="00890E45" w:rsidRDefault="00890E45" w:rsidP="003A681D">
            <w:pPr>
              <w:pStyle w:val="EarlierRepubEntries"/>
            </w:pPr>
            <w:r>
              <w:t>1 July 2021–</w:t>
            </w:r>
            <w:r>
              <w:br/>
              <w:t>28 Feb 2022</w:t>
            </w:r>
          </w:p>
        </w:tc>
        <w:tc>
          <w:tcPr>
            <w:tcW w:w="1783" w:type="dxa"/>
            <w:tcBorders>
              <w:top w:val="single" w:sz="4" w:space="0" w:color="auto"/>
              <w:bottom w:val="single" w:sz="4" w:space="0" w:color="auto"/>
            </w:tcBorders>
          </w:tcPr>
          <w:p w14:paraId="43CA3F28" w14:textId="4C48CAA7" w:rsidR="00890E45" w:rsidRDefault="001542D1" w:rsidP="003A681D">
            <w:pPr>
              <w:pStyle w:val="EarlierRepubEntries"/>
            </w:pPr>
            <w:hyperlink r:id="rId3070" w:tooltip="Court Procedures Amendment Rules 2021 (No 1)" w:history="1">
              <w:r w:rsidR="00890E45">
                <w:rPr>
                  <w:rStyle w:val="charCitHyperlinkAbbrev"/>
                </w:rPr>
                <w:t>SL2021</w:t>
              </w:r>
              <w:r w:rsidR="00890E45">
                <w:rPr>
                  <w:rStyle w:val="charCitHyperlinkAbbrev"/>
                </w:rPr>
                <w:noBreakHyphen/>
                <w:t>15</w:t>
              </w:r>
            </w:hyperlink>
          </w:p>
        </w:tc>
        <w:tc>
          <w:tcPr>
            <w:tcW w:w="1783" w:type="dxa"/>
            <w:tcBorders>
              <w:top w:val="single" w:sz="4" w:space="0" w:color="auto"/>
              <w:bottom w:val="single" w:sz="4" w:space="0" w:color="auto"/>
            </w:tcBorders>
          </w:tcPr>
          <w:p w14:paraId="40E5AA70" w14:textId="6DB09AD0" w:rsidR="00890E45" w:rsidRDefault="00890E45" w:rsidP="003A681D">
            <w:pPr>
              <w:pStyle w:val="EarlierRepubEntries"/>
            </w:pPr>
            <w:r>
              <w:t xml:space="preserve">amendments by </w:t>
            </w:r>
            <w:hyperlink r:id="rId3071" w:tooltip="Court Procedures Amendment Rules 2021 (No 1)" w:history="1">
              <w:r>
                <w:rPr>
                  <w:rStyle w:val="charCitHyperlinkAbbrev"/>
                </w:rPr>
                <w:t>SL2021</w:t>
              </w:r>
              <w:r>
                <w:rPr>
                  <w:rStyle w:val="charCitHyperlinkAbbrev"/>
                </w:rPr>
                <w:noBreakHyphen/>
                <w:t>15</w:t>
              </w:r>
            </w:hyperlink>
          </w:p>
        </w:tc>
      </w:tr>
      <w:tr w:rsidR="003304DB" w14:paraId="6294E126" w14:textId="77777777" w:rsidTr="003A681D">
        <w:trPr>
          <w:cantSplit/>
        </w:trPr>
        <w:tc>
          <w:tcPr>
            <w:tcW w:w="1576" w:type="dxa"/>
            <w:tcBorders>
              <w:top w:val="single" w:sz="4" w:space="0" w:color="auto"/>
              <w:bottom w:val="single" w:sz="4" w:space="0" w:color="auto"/>
            </w:tcBorders>
          </w:tcPr>
          <w:p w14:paraId="4B7E0578" w14:textId="477A3294" w:rsidR="003304DB" w:rsidRDefault="003304DB" w:rsidP="003A681D">
            <w:pPr>
              <w:pStyle w:val="EarlierRepubEntries"/>
            </w:pPr>
            <w:r>
              <w:t>R62</w:t>
            </w:r>
            <w:r>
              <w:br/>
              <w:t>1 Mar 2022</w:t>
            </w:r>
          </w:p>
        </w:tc>
        <w:tc>
          <w:tcPr>
            <w:tcW w:w="1681" w:type="dxa"/>
            <w:tcBorders>
              <w:top w:val="single" w:sz="4" w:space="0" w:color="auto"/>
              <w:bottom w:val="single" w:sz="4" w:space="0" w:color="auto"/>
            </w:tcBorders>
          </w:tcPr>
          <w:p w14:paraId="3CA4AB61" w14:textId="6E4B2010" w:rsidR="003304DB" w:rsidRDefault="003304DB" w:rsidP="003A681D">
            <w:pPr>
              <w:pStyle w:val="EarlierRepubEntries"/>
            </w:pPr>
            <w:r>
              <w:t>1 Mar 2022–</w:t>
            </w:r>
            <w:r>
              <w:br/>
              <w:t>9 May 2022</w:t>
            </w:r>
          </w:p>
        </w:tc>
        <w:tc>
          <w:tcPr>
            <w:tcW w:w="1783" w:type="dxa"/>
            <w:tcBorders>
              <w:top w:val="single" w:sz="4" w:space="0" w:color="auto"/>
              <w:bottom w:val="single" w:sz="4" w:space="0" w:color="auto"/>
            </w:tcBorders>
          </w:tcPr>
          <w:p w14:paraId="144F7977" w14:textId="6D40D8FC" w:rsidR="003304DB" w:rsidRDefault="001542D1" w:rsidP="003A681D">
            <w:pPr>
              <w:pStyle w:val="EarlierRepubEntries"/>
            </w:pPr>
            <w:hyperlink r:id="rId3072" w:tooltip="Court Procedures Amendment Rules 2022 (No 1)" w:history="1">
              <w:r w:rsidR="003304DB">
                <w:rPr>
                  <w:rStyle w:val="charCitHyperlinkAbbrev"/>
                </w:rPr>
                <w:t>SL2022</w:t>
              </w:r>
              <w:r w:rsidR="003304DB">
                <w:rPr>
                  <w:rStyle w:val="charCitHyperlinkAbbrev"/>
                </w:rPr>
                <w:noBreakHyphen/>
                <w:t>2</w:t>
              </w:r>
            </w:hyperlink>
          </w:p>
        </w:tc>
        <w:tc>
          <w:tcPr>
            <w:tcW w:w="1783" w:type="dxa"/>
            <w:tcBorders>
              <w:top w:val="single" w:sz="4" w:space="0" w:color="auto"/>
              <w:bottom w:val="single" w:sz="4" w:space="0" w:color="auto"/>
            </w:tcBorders>
          </w:tcPr>
          <w:p w14:paraId="47F379CF" w14:textId="54A629CE" w:rsidR="003304DB" w:rsidRDefault="003304DB" w:rsidP="003A681D">
            <w:pPr>
              <w:pStyle w:val="EarlierRepubEntries"/>
            </w:pPr>
            <w:r>
              <w:t xml:space="preserve">amendments by </w:t>
            </w:r>
            <w:hyperlink r:id="rId3073" w:tooltip="Court Procedures Amendment Rules 2022 (No 1)" w:history="1">
              <w:r>
                <w:rPr>
                  <w:rStyle w:val="charCitHyperlinkAbbrev"/>
                </w:rPr>
                <w:t>SL2022</w:t>
              </w:r>
              <w:r>
                <w:rPr>
                  <w:rStyle w:val="charCitHyperlinkAbbrev"/>
                </w:rPr>
                <w:noBreakHyphen/>
                <w:t>2</w:t>
              </w:r>
            </w:hyperlink>
          </w:p>
        </w:tc>
      </w:tr>
      <w:tr w:rsidR="00355999" w14:paraId="7505ABBD" w14:textId="77777777" w:rsidTr="003A681D">
        <w:trPr>
          <w:cantSplit/>
        </w:trPr>
        <w:tc>
          <w:tcPr>
            <w:tcW w:w="1576" w:type="dxa"/>
            <w:tcBorders>
              <w:top w:val="single" w:sz="4" w:space="0" w:color="auto"/>
              <w:bottom w:val="single" w:sz="4" w:space="0" w:color="auto"/>
            </w:tcBorders>
          </w:tcPr>
          <w:p w14:paraId="74637706" w14:textId="74F626BD" w:rsidR="00355999" w:rsidRDefault="00355999" w:rsidP="003A681D">
            <w:pPr>
              <w:pStyle w:val="EarlierRepubEntries"/>
            </w:pPr>
            <w:r>
              <w:t>R63</w:t>
            </w:r>
            <w:r>
              <w:br/>
              <w:t>10 May 2022</w:t>
            </w:r>
          </w:p>
        </w:tc>
        <w:tc>
          <w:tcPr>
            <w:tcW w:w="1681" w:type="dxa"/>
            <w:tcBorders>
              <w:top w:val="single" w:sz="4" w:space="0" w:color="auto"/>
              <w:bottom w:val="single" w:sz="4" w:space="0" w:color="auto"/>
            </w:tcBorders>
          </w:tcPr>
          <w:p w14:paraId="26DA0F67" w14:textId="3793FDC5" w:rsidR="00355999" w:rsidRDefault="00355999" w:rsidP="003A681D">
            <w:pPr>
              <w:pStyle w:val="EarlierRepubEntries"/>
            </w:pPr>
            <w:r>
              <w:t>10 May 2022–</w:t>
            </w:r>
            <w:r>
              <w:br/>
              <w:t>31 Dec 2022</w:t>
            </w:r>
          </w:p>
        </w:tc>
        <w:tc>
          <w:tcPr>
            <w:tcW w:w="1783" w:type="dxa"/>
            <w:tcBorders>
              <w:top w:val="single" w:sz="4" w:space="0" w:color="auto"/>
              <w:bottom w:val="single" w:sz="4" w:space="0" w:color="auto"/>
            </w:tcBorders>
          </w:tcPr>
          <w:p w14:paraId="168D9D64" w14:textId="314D44EF" w:rsidR="00355999" w:rsidRDefault="001542D1" w:rsidP="003A681D">
            <w:pPr>
              <w:pStyle w:val="EarlierRepubEntries"/>
            </w:pPr>
            <w:hyperlink r:id="rId3074" w:tooltip="Court Procedures Amendment Rules 2022 (No 2)" w:history="1">
              <w:r w:rsidR="00355999">
                <w:rPr>
                  <w:rStyle w:val="charCitHyperlinkAbbrev"/>
                </w:rPr>
                <w:t>SL2022</w:t>
              </w:r>
              <w:r w:rsidR="00355999">
                <w:rPr>
                  <w:rStyle w:val="charCitHyperlinkAbbrev"/>
                </w:rPr>
                <w:noBreakHyphen/>
                <w:t>6</w:t>
              </w:r>
            </w:hyperlink>
          </w:p>
        </w:tc>
        <w:tc>
          <w:tcPr>
            <w:tcW w:w="1783" w:type="dxa"/>
            <w:tcBorders>
              <w:top w:val="single" w:sz="4" w:space="0" w:color="auto"/>
              <w:bottom w:val="single" w:sz="4" w:space="0" w:color="auto"/>
            </w:tcBorders>
          </w:tcPr>
          <w:p w14:paraId="51DBB6EE" w14:textId="3102BC09" w:rsidR="00355999" w:rsidRDefault="00355999" w:rsidP="003A681D">
            <w:pPr>
              <w:pStyle w:val="EarlierRepubEntries"/>
            </w:pPr>
            <w:r>
              <w:t xml:space="preserve">amendments by </w:t>
            </w:r>
            <w:hyperlink r:id="rId3075" w:tooltip="Court Procedures Amendment Rules 2022 (No 2)" w:history="1">
              <w:r>
                <w:rPr>
                  <w:rStyle w:val="charCitHyperlinkAbbrev"/>
                </w:rPr>
                <w:t>SL2022</w:t>
              </w:r>
              <w:r>
                <w:rPr>
                  <w:rStyle w:val="charCitHyperlinkAbbrev"/>
                </w:rPr>
                <w:noBreakHyphen/>
                <w:t>6</w:t>
              </w:r>
            </w:hyperlink>
          </w:p>
        </w:tc>
      </w:tr>
      <w:tr w:rsidR="00F50B11" w14:paraId="27EB6E6C" w14:textId="77777777" w:rsidTr="003A681D">
        <w:trPr>
          <w:cantSplit/>
        </w:trPr>
        <w:tc>
          <w:tcPr>
            <w:tcW w:w="1576" w:type="dxa"/>
            <w:tcBorders>
              <w:top w:val="single" w:sz="4" w:space="0" w:color="auto"/>
              <w:bottom w:val="single" w:sz="4" w:space="0" w:color="auto"/>
            </w:tcBorders>
          </w:tcPr>
          <w:p w14:paraId="6A299253" w14:textId="51E47CED" w:rsidR="00F50B11" w:rsidRDefault="00F50B11" w:rsidP="003A681D">
            <w:pPr>
              <w:pStyle w:val="EarlierRepubEntries"/>
            </w:pPr>
            <w:r>
              <w:t>R64</w:t>
            </w:r>
            <w:r>
              <w:br/>
              <w:t>1 Jan 2023</w:t>
            </w:r>
          </w:p>
        </w:tc>
        <w:tc>
          <w:tcPr>
            <w:tcW w:w="1681" w:type="dxa"/>
            <w:tcBorders>
              <w:top w:val="single" w:sz="4" w:space="0" w:color="auto"/>
              <w:bottom w:val="single" w:sz="4" w:space="0" w:color="auto"/>
            </w:tcBorders>
          </w:tcPr>
          <w:p w14:paraId="57DF6B38" w14:textId="09EE52DC" w:rsidR="00F50B11" w:rsidRDefault="00F50B11" w:rsidP="003A681D">
            <w:pPr>
              <w:pStyle w:val="EarlierRepubEntries"/>
            </w:pPr>
            <w:r>
              <w:t>1 Jan 2023–</w:t>
            </w:r>
            <w:r>
              <w:br/>
              <w:t>30 June 2023</w:t>
            </w:r>
          </w:p>
        </w:tc>
        <w:tc>
          <w:tcPr>
            <w:tcW w:w="1783" w:type="dxa"/>
            <w:tcBorders>
              <w:top w:val="single" w:sz="4" w:space="0" w:color="auto"/>
              <w:bottom w:val="single" w:sz="4" w:space="0" w:color="auto"/>
            </w:tcBorders>
          </w:tcPr>
          <w:p w14:paraId="312120DB" w14:textId="4D92344B" w:rsidR="00F50B11" w:rsidRDefault="001542D1" w:rsidP="003A681D">
            <w:pPr>
              <w:pStyle w:val="EarlierRepubEntries"/>
            </w:pPr>
            <w:hyperlink r:id="rId3076" w:tooltip="Court Procedures Amendment Rules 2022 (No 3)" w:history="1">
              <w:r w:rsidR="00F50B11">
                <w:rPr>
                  <w:rStyle w:val="charCitHyperlinkAbbrev"/>
                </w:rPr>
                <w:t>SL2022</w:t>
              </w:r>
              <w:r w:rsidR="00F50B11">
                <w:rPr>
                  <w:rStyle w:val="charCitHyperlinkAbbrev"/>
                </w:rPr>
                <w:noBreakHyphen/>
                <w:t>19</w:t>
              </w:r>
            </w:hyperlink>
          </w:p>
        </w:tc>
        <w:tc>
          <w:tcPr>
            <w:tcW w:w="1783" w:type="dxa"/>
            <w:tcBorders>
              <w:top w:val="single" w:sz="4" w:space="0" w:color="auto"/>
              <w:bottom w:val="single" w:sz="4" w:space="0" w:color="auto"/>
            </w:tcBorders>
          </w:tcPr>
          <w:p w14:paraId="5EF63F68" w14:textId="2B550210" w:rsidR="00F50B11" w:rsidRDefault="00F50B11" w:rsidP="003A681D">
            <w:pPr>
              <w:pStyle w:val="EarlierRepubEntries"/>
            </w:pPr>
            <w:r>
              <w:t xml:space="preserve">amendments by </w:t>
            </w:r>
            <w:hyperlink r:id="rId3077" w:tooltip="Court Procedures Amendment Rules 2022 (No 3)" w:history="1">
              <w:r>
                <w:rPr>
                  <w:rStyle w:val="charCitHyperlinkAbbrev"/>
                </w:rPr>
                <w:t>SL2022</w:t>
              </w:r>
              <w:r>
                <w:rPr>
                  <w:rStyle w:val="charCitHyperlinkAbbrev"/>
                </w:rPr>
                <w:noBreakHyphen/>
                <w:t>19</w:t>
              </w:r>
            </w:hyperlink>
          </w:p>
        </w:tc>
      </w:tr>
      <w:tr w:rsidR="002B46FF" w14:paraId="230BC213" w14:textId="77777777" w:rsidTr="003A681D">
        <w:trPr>
          <w:cantSplit/>
        </w:trPr>
        <w:tc>
          <w:tcPr>
            <w:tcW w:w="1576" w:type="dxa"/>
            <w:tcBorders>
              <w:top w:val="single" w:sz="4" w:space="0" w:color="auto"/>
              <w:bottom w:val="single" w:sz="4" w:space="0" w:color="auto"/>
            </w:tcBorders>
          </w:tcPr>
          <w:p w14:paraId="3FEEF0FA" w14:textId="0BFE8EF1" w:rsidR="002B46FF" w:rsidRDefault="002B46FF" w:rsidP="003A681D">
            <w:pPr>
              <w:pStyle w:val="EarlierRepubEntries"/>
            </w:pPr>
            <w:r>
              <w:t>R65</w:t>
            </w:r>
            <w:r>
              <w:br/>
              <w:t>1 July 2023</w:t>
            </w:r>
          </w:p>
        </w:tc>
        <w:tc>
          <w:tcPr>
            <w:tcW w:w="1681" w:type="dxa"/>
            <w:tcBorders>
              <w:top w:val="single" w:sz="4" w:space="0" w:color="auto"/>
              <w:bottom w:val="single" w:sz="4" w:space="0" w:color="auto"/>
            </w:tcBorders>
          </w:tcPr>
          <w:p w14:paraId="4C9F8AB3" w14:textId="0BFCD202" w:rsidR="002B46FF" w:rsidRDefault="002B46FF" w:rsidP="003A681D">
            <w:pPr>
              <w:pStyle w:val="EarlierRepubEntries"/>
            </w:pPr>
            <w:r>
              <w:t>1 July 2023–</w:t>
            </w:r>
            <w:r>
              <w:br/>
              <w:t>31 Dec 2023</w:t>
            </w:r>
          </w:p>
        </w:tc>
        <w:tc>
          <w:tcPr>
            <w:tcW w:w="1783" w:type="dxa"/>
            <w:tcBorders>
              <w:top w:val="single" w:sz="4" w:space="0" w:color="auto"/>
              <w:bottom w:val="single" w:sz="4" w:space="0" w:color="auto"/>
            </w:tcBorders>
          </w:tcPr>
          <w:p w14:paraId="1F98D3BD" w14:textId="748B03A7" w:rsidR="002B46FF" w:rsidRDefault="001542D1" w:rsidP="003A681D">
            <w:pPr>
              <w:pStyle w:val="EarlierRepubEntries"/>
            </w:pPr>
            <w:hyperlink r:id="rId3078" w:tooltip="Court Procedures Amendment Rules 2023 (No 1)" w:history="1">
              <w:r w:rsidR="002B46FF">
                <w:rPr>
                  <w:rStyle w:val="charCitHyperlinkAbbrev"/>
                </w:rPr>
                <w:t>SL2023</w:t>
              </w:r>
              <w:r w:rsidR="002B46FF">
                <w:rPr>
                  <w:rStyle w:val="charCitHyperlinkAbbrev"/>
                </w:rPr>
                <w:noBreakHyphen/>
                <w:t>15</w:t>
              </w:r>
            </w:hyperlink>
          </w:p>
        </w:tc>
        <w:tc>
          <w:tcPr>
            <w:tcW w:w="1783" w:type="dxa"/>
            <w:tcBorders>
              <w:top w:val="single" w:sz="4" w:space="0" w:color="auto"/>
              <w:bottom w:val="single" w:sz="4" w:space="0" w:color="auto"/>
            </w:tcBorders>
          </w:tcPr>
          <w:p w14:paraId="44FFC3EA" w14:textId="7CDFBE83" w:rsidR="002B46FF" w:rsidRDefault="002B46FF" w:rsidP="003A681D">
            <w:pPr>
              <w:pStyle w:val="EarlierRepubEntries"/>
            </w:pPr>
            <w:r>
              <w:t xml:space="preserve">amendments by </w:t>
            </w:r>
            <w:hyperlink r:id="rId3079" w:tooltip="Court Procedures Amendment Rules 2023 (No 1)" w:history="1">
              <w:r>
                <w:rPr>
                  <w:rStyle w:val="charCitHyperlinkAbbrev"/>
                </w:rPr>
                <w:t>SL2023</w:t>
              </w:r>
              <w:r>
                <w:rPr>
                  <w:rStyle w:val="charCitHyperlinkAbbrev"/>
                </w:rPr>
                <w:noBreakHyphen/>
                <w:t>15</w:t>
              </w:r>
            </w:hyperlink>
          </w:p>
        </w:tc>
      </w:tr>
      <w:tr w:rsidR="0055420C" w14:paraId="08A3DC54" w14:textId="77777777" w:rsidTr="003A681D">
        <w:trPr>
          <w:cantSplit/>
        </w:trPr>
        <w:tc>
          <w:tcPr>
            <w:tcW w:w="1576" w:type="dxa"/>
            <w:tcBorders>
              <w:top w:val="single" w:sz="4" w:space="0" w:color="auto"/>
              <w:bottom w:val="single" w:sz="4" w:space="0" w:color="auto"/>
            </w:tcBorders>
          </w:tcPr>
          <w:p w14:paraId="2F4BB626" w14:textId="402B2E6A" w:rsidR="0055420C" w:rsidRDefault="0055420C" w:rsidP="003A681D">
            <w:pPr>
              <w:pStyle w:val="EarlierRepubEntries"/>
            </w:pPr>
            <w:r>
              <w:t>R66</w:t>
            </w:r>
            <w:r>
              <w:br/>
              <w:t>1 Jan 2024</w:t>
            </w:r>
          </w:p>
        </w:tc>
        <w:tc>
          <w:tcPr>
            <w:tcW w:w="1681" w:type="dxa"/>
            <w:tcBorders>
              <w:top w:val="single" w:sz="4" w:space="0" w:color="auto"/>
              <w:bottom w:val="single" w:sz="4" w:space="0" w:color="auto"/>
            </w:tcBorders>
          </w:tcPr>
          <w:p w14:paraId="0697A6E0" w14:textId="6C06BFF4" w:rsidR="0055420C" w:rsidRDefault="0055420C" w:rsidP="003A681D">
            <w:pPr>
              <w:pStyle w:val="EarlierRepubEntries"/>
            </w:pPr>
            <w:r>
              <w:t>1 Jan 2024–</w:t>
            </w:r>
            <w:r>
              <w:br/>
              <w:t>30 June 2024</w:t>
            </w:r>
          </w:p>
        </w:tc>
        <w:tc>
          <w:tcPr>
            <w:tcW w:w="1783" w:type="dxa"/>
            <w:tcBorders>
              <w:top w:val="single" w:sz="4" w:space="0" w:color="auto"/>
              <w:bottom w:val="single" w:sz="4" w:space="0" w:color="auto"/>
            </w:tcBorders>
          </w:tcPr>
          <w:p w14:paraId="02E99567" w14:textId="4BC0FE5A" w:rsidR="0055420C" w:rsidRDefault="001542D1" w:rsidP="003A681D">
            <w:pPr>
              <w:pStyle w:val="EarlierRepubEntries"/>
            </w:pPr>
            <w:hyperlink r:id="rId3080" w:tooltip="Court Procedures Amendment Rules 2023 (No 2)" w:history="1">
              <w:r w:rsidR="0055420C">
                <w:rPr>
                  <w:rStyle w:val="charCitHyperlinkAbbrev"/>
                </w:rPr>
                <w:t>SL2023</w:t>
              </w:r>
              <w:r w:rsidR="0055420C">
                <w:rPr>
                  <w:rStyle w:val="charCitHyperlinkAbbrev"/>
                </w:rPr>
                <w:noBreakHyphen/>
                <w:t>36</w:t>
              </w:r>
            </w:hyperlink>
          </w:p>
        </w:tc>
        <w:tc>
          <w:tcPr>
            <w:tcW w:w="1783" w:type="dxa"/>
            <w:tcBorders>
              <w:top w:val="single" w:sz="4" w:space="0" w:color="auto"/>
              <w:bottom w:val="single" w:sz="4" w:space="0" w:color="auto"/>
            </w:tcBorders>
          </w:tcPr>
          <w:p w14:paraId="56154278" w14:textId="53BDAE5D" w:rsidR="0055420C" w:rsidRDefault="0055420C" w:rsidP="003A681D">
            <w:pPr>
              <w:pStyle w:val="EarlierRepubEntries"/>
            </w:pPr>
            <w:r>
              <w:t xml:space="preserve">amendments by </w:t>
            </w:r>
            <w:hyperlink r:id="rId3081" w:tooltip="Court Procedures Amendment Rules 2023 (No 2)" w:history="1">
              <w:r>
                <w:rPr>
                  <w:rStyle w:val="charCitHyperlinkAbbrev"/>
                </w:rPr>
                <w:t>SL2023</w:t>
              </w:r>
              <w:r>
                <w:rPr>
                  <w:rStyle w:val="charCitHyperlinkAbbrev"/>
                </w:rPr>
                <w:noBreakHyphen/>
                <w:t>36</w:t>
              </w:r>
            </w:hyperlink>
          </w:p>
        </w:tc>
      </w:tr>
      <w:tr w:rsidR="000F0122" w14:paraId="5F115C19" w14:textId="77777777" w:rsidTr="003A681D">
        <w:trPr>
          <w:cantSplit/>
        </w:trPr>
        <w:tc>
          <w:tcPr>
            <w:tcW w:w="1576" w:type="dxa"/>
            <w:tcBorders>
              <w:top w:val="single" w:sz="4" w:space="0" w:color="auto"/>
              <w:bottom w:val="single" w:sz="4" w:space="0" w:color="auto"/>
            </w:tcBorders>
          </w:tcPr>
          <w:p w14:paraId="4A157E40" w14:textId="30F61078" w:rsidR="000F0122" w:rsidRDefault="000F0122" w:rsidP="003A681D">
            <w:pPr>
              <w:pStyle w:val="EarlierRepubEntries"/>
            </w:pPr>
            <w:r>
              <w:t>R67</w:t>
            </w:r>
            <w:r>
              <w:br/>
              <w:t>1 July 2024</w:t>
            </w:r>
          </w:p>
        </w:tc>
        <w:tc>
          <w:tcPr>
            <w:tcW w:w="1681" w:type="dxa"/>
            <w:tcBorders>
              <w:top w:val="single" w:sz="4" w:space="0" w:color="auto"/>
              <w:bottom w:val="single" w:sz="4" w:space="0" w:color="auto"/>
            </w:tcBorders>
          </w:tcPr>
          <w:p w14:paraId="3599330B" w14:textId="5139C65C" w:rsidR="000F0122" w:rsidRDefault="000F0122" w:rsidP="003A681D">
            <w:pPr>
              <w:pStyle w:val="EarlierRepubEntries"/>
            </w:pPr>
            <w:r>
              <w:t>1 July 2024–</w:t>
            </w:r>
            <w:r>
              <w:br/>
              <w:t>30 Sept 2024</w:t>
            </w:r>
          </w:p>
        </w:tc>
        <w:tc>
          <w:tcPr>
            <w:tcW w:w="1783" w:type="dxa"/>
            <w:tcBorders>
              <w:top w:val="single" w:sz="4" w:space="0" w:color="auto"/>
              <w:bottom w:val="single" w:sz="4" w:space="0" w:color="auto"/>
            </w:tcBorders>
          </w:tcPr>
          <w:p w14:paraId="51480603" w14:textId="0B66B44A" w:rsidR="000F0122" w:rsidRPr="00936907" w:rsidRDefault="001542D1" w:rsidP="003A681D">
            <w:pPr>
              <w:pStyle w:val="EarlierRepubEntries"/>
              <w:rPr>
                <w:u w:val="single"/>
              </w:rPr>
            </w:pPr>
            <w:hyperlink r:id="rId3082" w:tooltip="Court Procedures Amendment Rules 2024 (No 1)" w:history="1">
              <w:r w:rsidR="000F0122" w:rsidRPr="00936907">
                <w:rPr>
                  <w:rStyle w:val="charCitHyperlinkAbbrev"/>
                  <w:u w:val="single"/>
                </w:rPr>
                <w:t>SL2024</w:t>
              </w:r>
              <w:r w:rsidR="000F0122" w:rsidRPr="00936907">
                <w:rPr>
                  <w:rStyle w:val="charCitHyperlinkAbbrev"/>
                  <w:u w:val="single"/>
                </w:rPr>
                <w:noBreakHyphen/>
                <w:t>9</w:t>
              </w:r>
            </w:hyperlink>
          </w:p>
        </w:tc>
        <w:tc>
          <w:tcPr>
            <w:tcW w:w="1783" w:type="dxa"/>
            <w:tcBorders>
              <w:top w:val="single" w:sz="4" w:space="0" w:color="auto"/>
              <w:bottom w:val="single" w:sz="4" w:space="0" w:color="auto"/>
            </w:tcBorders>
          </w:tcPr>
          <w:p w14:paraId="531B72D6" w14:textId="0D11734C" w:rsidR="000F0122" w:rsidRDefault="000F0122" w:rsidP="003A681D">
            <w:pPr>
              <w:pStyle w:val="EarlierRepubEntries"/>
            </w:pPr>
            <w:r>
              <w:t xml:space="preserve">amendments by </w:t>
            </w:r>
            <w:hyperlink r:id="rId3083" w:tooltip="Court Procedures Amendment Rules 2024 (No 1)" w:history="1">
              <w:r>
                <w:rPr>
                  <w:rStyle w:val="charCitHyperlinkAbbrev"/>
                </w:rPr>
                <w:t>SL2024</w:t>
              </w:r>
              <w:r>
                <w:rPr>
                  <w:rStyle w:val="charCitHyperlinkAbbrev"/>
                </w:rPr>
                <w:noBreakHyphen/>
                <w:t>9</w:t>
              </w:r>
            </w:hyperlink>
          </w:p>
        </w:tc>
      </w:tr>
      <w:tr w:rsidR="00093BF2" w14:paraId="22BDC1C9" w14:textId="77777777" w:rsidTr="003A681D">
        <w:trPr>
          <w:cantSplit/>
        </w:trPr>
        <w:tc>
          <w:tcPr>
            <w:tcW w:w="1576" w:type="dxa"/>
            <w:tcBorders>
              <w:top w:val="single" w:sz="4" w:space="0" w:color="auto"/>
              <w:bottom w:val="single" w:sz="4" w:space="0" w:color="auto"/>
            </w:tcBorders>
          </w:tcPr>
          <w:p w14:paraId="1DE0ED7F" w14:textId="170DD9A6" w:rsidR="00093BF2" w:rsidRDefault="00093BF2" w:rsidP="003A681D">
            <w:pPr>
              <w:pStyle w:val="EarlierRepubEntries"/>
            </w:pPr>
            <w:r>
              <w:t>R68</w:t>
            </w:r>
            <w:r>
              <w:br/>
              <w:t>1 Oct 2024</w:t>
            </w:r>
          </w:p>
        </w:tc>
        <w:tc>
          <w:tcPr>
            <w:tcW w:w="1681" w:type="dxa"/>
            <w:tcBorders>
              <w:top w:val="single" w:sz="4" w:space="0" w:color="auto"/>
              <w:bottom w:val="single" w:sz="4" w:space="0" w:color="auto"/>
            </w:tcBorders>
          </w:tcPr>
          <w:p w14:paraId="5903DD27" w14:textId="086050AB" w:rsidR="00093BF2" w:rsidRDefault="00093BF2" w:rsidP="003A681D">
            <w:pPr>
              <w:pStyle w:val="EarlierRepubEntries"/>
            </w:pPr>
            <w:r>
              <w:t>1 Oct 2024–</w:t>
            </w:r>
            <w:r>
              <w:br/>
              <w:t>31 Dec 2024</w:t>
            </w:r>
          </w:p>
        </w:tc>
        <w:tc>
          <w:tcPr>
            <w:tcW w:w="1783" w:type="dxa"/>
            <w:tcBorders>
              <w:top w:val="single" w:sz="4" w:space="0" w:color="auto"/>
              <w:bottom w:val="single" w:sz="4" w:space="0" w:color="auto"/>
            </w:tcBorders>
          </w:tcPr>
          <w:p w14:paraId="04480DF8" w14:textId="76C68FD1" w:rsidR="00093BF2" w:rsidRDefault="001542D1" w:rsidP="003A681D">
            <w:pPr>
              <w:pStyle w:val="EarlierRepubEntries"/>
            </w:pPr>
            <w:hyperlink r:id="rId3084" w:tooltip="Court Procedures Amendment Rules 2024 (No 1)" w:history="1">
              <w:r w:rsidR="00093BF2">
                <w:rPr>
                  <w:rStyle w:val="charCitHyperlinkAbbrev"/>
                </w:rPr>
                <w:t>SL2024</w:t>
              </w:r>
              <w:r w:rsidR="00093BF2">
                <w:rPr>
                  <w:rStyle w:val="charCitHyperlinkAbbrev"/>
                </w:rPr>
                <w:noBreakHyphen/>
                <w:t>9</w:t>
              </w:r>
            </w:hyperlink>
          </w:p>
        </w:tc>
        <w:tc>
          <w:tcPr>
            <w:tcW w:w="1783" w:type="dxa"/>
            <w:tcBorders>
              <w:top w:val="single" w:sz="4" w:space="0" w:color="auto"/>
              <w:bottom w:val="single" w:sz="4" w:space="0" w:color="auto"/>
            </w:tcBorders>
          </w:tcPr>
          <w:p w14:paraId="5B4C8CAD" w14:textId="194F4F0C" w:rsidR="00093BF2" w:rsidRDefault="00093BF2" w:rsidP="003A681D">
            <w:pPr>
              <w:pStyle w:val="EarlierRepubEntries"/>
            </w:pPr>
            <w:r>
              <w:t xml:space="preserve">amendments by </w:t>
            </w:r>
            <w:hyperlink r:id="rId3085" w:tooltip="Court Procedures Amendment Rules 2024 (No 1)" w:history="1">
              <w:r>
                <w:rPr>
                  <w:rStyle w:val="charCitHyperlinkAbbrev"/>
                </w:rPr>
                <w:t>SL2024</w:t>
              </w:r>
              <w:r>
                <w:rPr>
                  <w:rStyle w:val="charCitHyperlinkAbbrev"/>
                </w:rPr>
                <w:noBreakHyphen/>
                <w:t>9</w:t>
              </w:r>
            </w:hyperlink>
          </w:p>
        </w:tc>
      </w:tr>
    </w:tbl>
    <w:p w14:paraId="5AC8D859" w14:textId="77777777" w:rsidR="00CA17B0" w:rsidRDefault="00CA17B0" w:rsidP="007B3882">
      <w:pPr>
        <w:pStyle w:val="05EndNote0"/>
        <w:sectPr w:rsidR="00CA17B0" w:rsidSect="00CD3DF7">
          <w:headerReference w:type="even" r:id="rId3086"/>
          <w:headerReference w:type="default" r:id="rId3087"/>
          <w:footerReference w:type="even" r:id="rId3088"/>
          <w:footerReference w:type="default" r:id="rId3089"/>
          <w:pgSz w:w="11907" w:h="16839" w:code="9"/>
          <w:pgMar w:top="3000" w:right="1900" w:bottom="2500" w:left="2300" w:header="2480" w:footer="2100" w:gutter="0"/>
          <w:cols w:space="720"/>
          <w:docGrid w:linePitch="254"/>
        </w:sectPr>
      </w:pPr>
    </w:p>
    <w:p w14:paraId="1F696C21" w14:textId="77777777" w:rsidR="00D94935" w:rsidRDefault="00D94935" w:rsidP="00D94935">
      <w:pPr>
        <w:rPr>
          <w:color w:val="000000"/>
          <w:sz w:val="22"/>
          <w:szCs w:val="22"/>
        </w:rPr>
      </w:pPr>
    </w:p>
    <w:p w14:paraId="2A65E5D0" w14:textId="77777777" w:rsidR="00CA416B" w:rsidRDefault="00CA416B" w:rsidP="00D94935">
      <w:pPr>
        <w:rPr>
          <w:color w:val="000000"/>
          <w:sz w:val="22"/>
          <w:szCs w:val="22"/>
        </w:rPr>
      </w:pPr>
    </w:p>
    <w:p w14:paraId="222E1C67" w14:textId="77777777" w:rsidR="00CA416B" w:rsidRDefault="00CA416B" w:rsidP="00D94935">
      <w:pPr>
        <w:rPr>
          <w:color w:val="000000"/>
          <w:sz w:val="22"/>
          <w:szCs w:val="22"/>
        </w:rPr>
      </w:pPr>
    </w:p>
    <w:p w14:paraId="244EB13B" w14:textId="77777777" w:rsidR="00AF21FB" w:rsidRDefault="00AF21FB" w:rsidP="00D94935">
      <w:pPr>
        <w:rPr>
          <w:color w:val="000000"/>
          <w:sz w:val="22"/>
          <w:szCs w:val="22"/>
        </w:rPr>
      </w:pPr>
    </w:p>
    <w:p w14:paraId="7805D3C8" w14:textId="77777777" w:rsidR="00AF21FB" w:rsidRDefault="00AF21FB" w:rsidP="00D94935">
      <w:pPr>
        <w:rPr>
          <w:color w:val="000000"/>
          <w:sz w:val="22"/>
          <w:szCs w:val="22"/>
        </w:rPr>
      </w:pPr>
    </w:p>
    <w:p w14:paraId="307F76C4" w14:textId="77777777" w:rsidR="00AF21FB" w:rsidRDefault="00AF21FB" w:rsidP="00D94935">
      <w:pPr>
        <w:rPr>
          <w:color w:val="000000"/>
          <w:sz w:val="22"/>
          <w:szCs w:val="22"/>
        </w:rPr>
      </w:pPr>
    </w:p>
    <w:p w14:paraId="628F43ED" w14:textId="77777777" w:rsidR="00AF21FB" w:rsidRDefault="00AF21FB" w:rsidP="00D94935">
      <w:pPr>
        <w:rPr>
          <w:color w:val="000000"/>
          <w:sz w:val="22"/>
          <w:szCs w:val="22"/>
        </w:rPr>
      </w:pPr>
    </w:p>
    <w:p w14:paraId="2347B7C9" w14:textId="77777777" w:rsidR="00CA416B" w:rsidRDefault="00CA416B" w:rsidP="00D94935">
      <w:pPr>
        <w:rPr>
          <w:color w:val="000000"/>
          <w:sz w:val="22"/>
          <w:szCs w:val="22"/>
        </w:rPr>
      </w:pPr>
    </w:p>
    <w:p w14:paraId="11625B5C" w14:textId="77777777" w:rsidR="00CA416B" w:rsidRDefault="00CA416B" w:rsidP="00D94935">
      <w:pPr>
        <w:rPr>
          <w:color w:val="000000"/>
          <w:sz w:val="22"/>
          <w:szCs w:val="22"/>
        </w:rPr>
      </w:pPr>
    </w:p>
    <w:p w14:paraId="05579AE3" w14:textId="7DC3C1B3"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w:t>
      </w:r>
      <w:r w:rsidR="001B4A1E">
        <w:rPr>
          <w:noProof/>
          <w:color w:val="000000"/>
          <w:sz w:val="22"/>
          <w:szCs w:val="22"/>
        </w:rPr>
        <w:t>2</w:t>
      </w:r>
      <w:r w:rsidR="00353D2C">
        <w:rPr>
          <w:noProof/>
          <w:color w:val="000000"/>
          <w:sz w:val="22"/>
          <w:szCs w:val="22"/>
        </w:rPr>
        <w:t>5</w:t>
      </w:r>
    </w:p>
    <w:p w14:paraId="0CDDAE5D" w14:textId="77777777" w:rsidR="00D94935" w:rsidRDefault="00D94935" w:rsidP="00D94935">
      <w:pPr>
        <w:pStyle w:val="06Copyright"/>
        <w:sectPr w:rsidR="00D94935" w:rsidSect="00CD3DF7">
          <w:headerReference w:type="even" r:id="rId3090"/>
          <w:headerReference w:type="default" r:id="rId3091"/>
          <w:footerReference w:type="even" r:id="rId3092"/>
          <w:footerReference w:type="default" r:id="rId3093"/>
          <w:headerReference w:type="first" r:id="rId3094"/>
          <w:footerReference w:type="first" r:id="rId3095"/>
          <w:type w:val="continuous"/>
          <w:pgSz w:w="11907" w:h="16839" w:code="9"/>
          <w:pgMar w:top="3000" w:right="1900" w:bottom="2500" w:left="2300" w:header="2480" w:footer="2100" w:gutter="0"/>
          <w:pgNumType w:fmt="lowerRoman"/>
          <w:cols w:space="720"/>
          <w:titlePg/>
          <w:docGrid w:linePitch="254"/>
        </w:sectPr>
      </w:pPr>
    </w:p>
    <w:p w14:paraId="2F76EC98" w14:textId="77777777" w:rsidR="00BB6F39" w:rsidRPr="00540495" w:rsidRDefault="00BB6F39" w:rsidP="00540495"/>
    <w:sectPr w:rsidR="00BB6F39" w:rsidRPr="00540495" w:rsidSect="00CD3DF7">
      <w:headerReference w:type="even" r:id="rId3096"/>
      <w:headerReference w:type="default" r:id="rId3097"/>
      <w:footerReference w:type="even" r:id="rId3098"/>
      <w:footerReference w:type="default" r:id="rId3099"/>
      <w:footerReference w:type="first" r:id="rId310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6434B" w14:textId="77777777" w:rsidR="00C37CD9" w:rsidRDefault="00C37CD9">
      <w:r>
        <w:separator/>
      </w:r>
    </w:p>
  </w:endnote>
  <w:endnote w:type="continuationSeparator" w:id="0">
    <w:p w14:paraId="7AF22445" w14:textId="77777777" w:rsidR="00C37CD9" w:rsidRDefault="00C37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D8829" w14:textId="684EB62D" w:rsidR="001542D1" w:rsidRPr="001542D1" w:rsidRDefault="001542D1" w:rsidP="001542D1">
    <w:pPr>
      <w:pStyle w:val="Footer"/>
      <w:jc w:val="center"/>
      <w:rPr>
        <w:rFonts w:cs="Arial"/>
        <w:sz w:val="14"/>
      </w:rPr>
    </w:pPr>
    <w:r w:rsidRPr="001542D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5E0B2" w14:textId="77B7FC15" w:rsidR="006145DB" w:rsidRPr="001542D1" w:rsidRDefault="006145DB" w:rsidP="001542D1">
    <w:pPr>
      <w:pStyle w:val="Footer"/>
      <w:jc w:val="center"/>
      <w:rPr>
        <w:rFonts w:cs="Arial"/>
        <w:sz w:val="14"/>
      </w:rPr>
    </w:pPr>
    <w:r w:rsidRPr="001542D1">
      <w:rPr>
        <w:rFonts w:cs="Arial"/>
        <w:sz w:val="14"/>
      </w:rPr>
      <w:fldChar w:fldCharType="begin"/>
    </w:r>
    <w:r w:rsidRPr="001542D1">
      <w:rPr>
        <w:rFonts w:cs="Arial"/>
        <w:sz w:val="14"/>
      </w:rPr>
      <w:instrText xml:space="preserve"> DOCPROPERTY "Status" </w:instrText>
    </w:r>
    <w:r w:rsidRPr="001542D1">
      <w:rPr>
        <w:rFonts w:cs="Arial"/>
        <w:sz w:val="14"/>
      </w:rPr>
      <w:fldChar w:fldCharType="separate"/>
    </w:r>
    <w:r w:rsidR="0020574C" w:rsidRPr="001542D1">
      <w:rPr>
        <w:rFonts w:cs="Arial"/>
        <w:sz w:val="14"/>
      </w:rPr>
      <w:t xml:space="preserve"> </w:t>
    </w:r>
    <w:r w:rsidRPr="001542D1">
      <w:rPr>
        <w:rFonts w:cs="Arial"/>
        <w:sz w:val="14"/>
      </w:rPr>
      <w:fldChar w:fldCharType="end"/>
    </w:r>
    <w:r w:rsidRPr="001542D1">
      <w:rPr>
        <w:rFonts w:cs="Arial"/>
        <w:sz w:val="14"/>
      </w:rPr>
      <w:fldChar w:fldCharType="begin"/>
    </w:r>
    <w:r w:rsidRPr="001542D1">
      <w:rPr>
        <w:rFonts w:cs="Arial"/>
        <w:sz w:val="14"/>
      </w:rPr>
      <w:instrText xml:space="preserve"> COMMENTS  \* MERGEFORMAT </w:instrText>
    </w:r>
    <w:r w:rsidRPr="001542D1">
      <w:rPr>
        <w:rFonts w:cs="Arial"/>
        <w:sz w:val="14"/>
      </w:rPr>
      <w:fldChar w:fldCharType="end"/>
    </w:r>
    <w:r w:rsidR="001542D1" w:rsidRPr="001542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60BE6" w14:textId="63135530" w:rsidR="001542D1" w:rsidRPr="001542D1" w:rsidRDefault="001542D1" w:rsidP="001542D1">
    <w:pPr>
      <w:pStyle w:val="Footer"/>
      <w:jc w:val="center"/>
      <w:rPr>
        <w:rFonts w:cs="Arial"/>
        <w:sz w:val="14"/>
      </w:rPr>
    </w:pPr>
    <w:r w:rsidRPr="001542D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8BF01"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145DB" w14:paraId="25D8D1FD" w14:textId="77777777">
      <w:tc>
        <w:tcPr>
          <w:tcW w:w="846" w:type="pct"/>
        </w:tcPr>
        <w:p w14:paraId="45D450EB"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14:paraId="7D31331D" w14:textId="481E9F58" w:rsidR="006145DB"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6382E761" w14:textId="256D496D" w:rsidR="006145DB" w:rsidRDefault="00F01B65">
          <w:pPr>
            <w:pStyle w:val="FooterInfoCentre"/>
          </w:pPr>
          <w:r>
            <w:fldChar w:fldCharType="begin"/>
          </w:r>
          <w:r>
            <w:instrText xml:space="preserve"> DOCPROPERTY "Eff"  </w:instrText>
          </w:r>
          <w:r>
            <w:fldChar w:fldCharType="separate"/>
          </w:r>
          <w:r w:rsidR="0020574C">
            <w:t xml:space="preserve">Effective:  </w:t>
          </w:r>
          <w:r>
            <w:fldChar w:fldCharType="end"/>
          </w:r>
          <w:r>
            <w:fldChar w:fldCharType="begin"/>
          </w:r>
          <w:r>
            <w:instrText xml:space="preserve"> DOCPROPERTY "StartDt"   </w:instrText>
          </w:r>
          <w:r>
            <w:fldChar w:fldCharType="separate"/>
          </w:r>
          <w:r w:rsidR="0020574C">
            <w:t>01/01/25</w:t>
          </w:r>
          <w:r>
            <w:fldChar w:fldCharType="end"/>
          </w:r>
          <w:r>
            <w:fldChar w:fldCharType="begin"/>
          </w:r>
          <w:r>
            <w:instrText xml:space="preserve"> DOCPROPERTY "EndDt"  </w:instrText>
          </w:r>
          <w:r>
            <w:fldChar w:fldCharType="separate"/>
          </w:r>
          <w:r w:rsidR="0020574C">
            <w:t xml:space="preserve"> </w:t>
          </w:r>
          <w:r>
            <w:fldChar w:fldCharType="end"/>
          </w:r>
        </w:p>
      </w:tc>
      <w:tc>
        <w:tcPr>
          <w:tcW w:w="1061" w:type="pct"/>
        </w:tcPr>
        <w:p w14:paraId="2FF35A38" w14:textId="29A6CA61" w:rsidR="006145DB" w:rsidRDefault="00F01B65">
          <w:pPr>
            <w:pStyle w:val="Footer"/>
            <w:jc w:val="right"/>
          </w:pPr>
          <w:r>
            <w:fldChar w:fldCharType="begin"/>
          </w:r>
          <w:r>
            <w:instrText xml:space="preserve"> DOCPROPERTY "Category"  </w:instrText>
          </w:r>
          <w:r>
            <w:fldChar w:fldCharType="separate"/>
          </w:r>
          <w:r w:rsidR="0020574C">
            <w:t>R69</w:t>
          </w:r>
          <w:r>
            <w:fldChar w:fldCharType="end"/>
          </w:r>
          <w:r w:rsidR="006145DB">
            <w:br/>
          </w:r>
          <w:r>
            <w:fldChar w:fldCharType="begin"/>
          </w:r>
          <w:r>
            <w:instrText xml:space="preserve"> DOCPROPERTY "RepubDt"  </w:instrText>
          </w:r>
          <w:r>
            <w:fldChar w:fldCharType="separate"/>
          </w:r>
          <w:r w:rsidR="0020574C">
            <w:t>01/01/25</w:t>
          </w:r>
          <w:r>
            <w:fldChar w:fldCharType="end"/>
          </w:r>
        </w:p>
      </w:tc>
    </w:tr>
  </w:tbl>
  <w:p w14:paraId="09FCA0DE" w14:textId="16C4B26A" w:rsidR="006145DB"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962CF"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1D407934" w14:textId="77777777">
      <w:tc>
        <w:tcPr>
          <w:tcW w:w="1061" w:type="pct"/>
        </w:tcPr>
        <w:p w14:paraId="6540445D" w14:textId="61ADD271" w:rsidR="006145DB" w:rsidRDefault="00F01B65">
          <w:pPr>
            <w:pStyle w:val="Footer"/>
          </w:pPr>
          <w:r>
            <w:fldChar w:fldCharType="begin"/>
          </w:r>
          <w:r>
            <w:instrText xml:space="preserve"> DOCPROPERTY "Category"  </w:instrText>
          </w:r>
          <w:r>
            <w:fldChar w:fldCharType="separate"/>
          </w:r>
          <w:r w:rsidR="0020574C">
            <w:t>R69</w:t>
          </w:r>
          <w:r>
            <w:fldChar w:fldCharType="end"/>
          </w:r>
          <w:r w:rsidR="006145DB">
            <w:br/>
          </w:r>
          <w:r>
            <w:fldChar w:fldCharType="begin"/>
          </w:r>
          <w:r>
            <w:instrText xml:space="preserve"> DOCPROPERTY "RepubDt"  </w:instrText>
          </w:r>
          <w:r>
            <w:fldChar w:fldCharType="separate"/>
          </w:r>
          <w:r w:rsidR="0020574C">
            <w:t>01/01/25</w:t>
          </w:r>
          <w:r>
            <w:fldChar w:fldCharType="end"/>
          </w:r>
        </w:p>
      </w:tc>
      <w:tc>
        <w:tcPr>
          <w:tcW w:w="3093" w:type="pct"/>
        </w:tcPr>
        <w:p w14:paraId="6D8B8138" w14:textId="1039250B" w:rsidR="006145DB"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1BE92E97" w14:textId="22FBE346" w:rsidR="006145DB" w:rsidRDefault="00F01B65">
          <w:pPr>
            <w:pStyle w:val="FooterInfoCentre"/>
          </w:pPr>
          <w:r>
            <w:fldChar w:fldCharType="begin"/>
          </w:r>
          <w:r>
            <w:instrText xml:space="preserve"> DOCPROPERTY "Eff"  </w:instrText>
          </w:r>
          <w:r>
            <w:fldChar w:fldCharType="separate"/>
          </w:r>
          <w:r w:rsidR="0020574C">
            <w:t xml:space="preserve">Effective:  </w:t>
          </w:r>
          <w:r>
            <w:fldChar w:fldCharType="end"/>
          </w:r>
          <w:r>
            <w:fldChar w:fldCharType="begin"/>
          </w:r>
          <w:r>
            <w:instrText xml:space="preserve"> DOCPROPERTY "StartDt"  </w:instrText>
          </w:r>
          <w:r>
            <w:fldChar w:fldCharType="separate"/>
          </w:r>
          <w:r w:rsidR="0020574C">
            <w:t>01/01/25</w:t>
          </w:r>
          <w:r>
            <w:fldChar w:fldCharType="end"/>
          </w:r>
          <w:r>
            <w:fldChar w:fldCharType="begin"/>
          </w:r>
          <w:r>
            <w:instrText xml:space="preserve"> DOCPROPERTY "EndDt"  </w:instrText>
          </w:r>
          <w:r>
            <w:fldChar w:fldCharType="separate"/>
          </w:r>
          <w:r w:rsidR="0020574C">
            <w:t xml:space="preserve"> </w:t>
          </w:r>
          <w:r>
            <w:fldChar w:fldCharType="end"/>
          </w:r>
        </w:p>
      </w:tc>
      <w:tc>
        <w:tcPr>
          <w:tcW w:w="846" w:type="pct"/>
        </w:tcPr>
        <w:p w14:paraId="5BAD2A66"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4D7673D1" w14:textId="27CA4BA5" w:rsidR="006145DB"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0306"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2FE61D8C" w14:textId="77777777">
      <w:tc>
        <w:tcPr>
          <w:tcW w:w="1061" w:type="pct"/>
        </w:tcPr>
        <w:p w14:paraId="75E2CDA6" w14:textId="18EBB720" w:rsidR="006145DB" w:rsidRDefault="00F01B65">
          <w:pPr>
            <w:pStyle w:val="Footer"/>
          </w:pPr>
          <w:r>
            <w:fldChar w:fldCharType="begin"/>
          </w:r>
          <w:r>
            <w:instrText xml:space="preserve"> DOCPROPERTY "Category"  </w:instrText>
          </w:r>
          <w:r>
            <w:fldChar w:fldCharType="separate"/>
          </w:r>
          <w:r w:rsidR="0020574C">
            <w:t>R69</w:t>
          </w:r>
          <w:r>
            <w:fldChar w:fldCharType="end"/>
          </w:r>
          <w:r w:rsidR="006145DB">
            <w:br/>
          </w:r>
          <w:r>
            <w:fldChar w:fldCharType="begin"/>
          </w:r>
          <w:r>
            <w:instrText xml:space="preserve"> DOCPROPERTY "RepubDt"  </w:instrText>
          </w:r>
          <w:r>
            <w:fldChar w:fldCharType="separate"/>
          </w:r>
          <w:r w:rsidR="0020574C">
            <w:t>01/01/25</w:t>
          </w:r>
          <w:r>
            <w:fldChar w:fldCharType="end"/>
          </w:r>
        </w:p>
      </w:tc>
      <w:tc>
        <w:tcPr>
          <w:tcW w:w="3093" w:type="pct"/>
        </w:tcPr>
        <w:p w14:paraId="18F85CA8" w14:textId="257A176B" w:rsidR="006145DB"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0B075C8C" w14:textId="5CCC87AE" w:rsidR="006145DB" w:rsidRDefault="00F01B65">
          <w:pPr>
            <w:pStyle w:val="FooterInfoCentre"/>
          </w:pPr>
          <w:r>
            <w:fldChar w:fldCharType="begin"/>
          </w:r>
          <w:r>
            <w:instrText xml:space="preserve"> DOCPROPERTY "Eff"  </w:instrText>
          </w:r>
          <w:r>
            <w:fldChar w:fldCharType="separate"/>
          </w:r>
          <w:r w:rsidR="0020574C">
            <w:t xml:space="preserve">Effective:  </w:t>
          </w:r>
          <w:r>
            <w:fldChar w:fldCharType="end"/>
          </w:r>
          <w:r>
            <w:fldChar w:fldCharType="begin"/>
          </w:r>
          <w:r>
            <w:instrText xml:space="preserve"> DOCPROPERTY "StartDt"   </w:instrText>
          </w:r>
          <w:r>
            <w:fldChar w:fldCharType="separate"/>
          </w:r>
          <w:r w:rsidR="0020574C">
            <w:t>01/01/25</w:t>
          </w:r>
          <w:r>
            <w:fldChar w:fldCharType="end"/>
          </w:r>
          <w:r>
            <w:fldChar w:fldCharType="begin"/>
          </w:r>
          <w:r>
            <w:instrText xml:space="preserve"> DOCPROPERTY "EndDt"  </w:instrText>
          </w:r>
          <w:r>
            <w:fldChar w:fldCharType="separate"/>
          </w:r>
          <w:r w:rsidR="0020574C">
            <w:t xml:space="preserve"> </w:t>
          </w:r>
          <w:r>
            <w:fldChar w:fldCharType="end"/>
          </w:r>
        </w:p>
      </w:tc>
      <w:tc>
        <w:tcPr>
          <w:tcW w:w="846" w:type="pct"/>
        </w:tcPr>
        <w:p w14:paraId="34760D39"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85588" w14:textId="2EAFC2A0" w:rsidR="006145DB" w:rsidRPr="001542D1" w:rsidRDefault="001542D1" w:rsidP="001542D1">
    <w:pPr>
      <w:pStyle w:val="Status"/>
      <w:rPr>
        <w:rFonts w:cs="Arial"/>
      </w:rPr>
    </w:pPr>
    <w:r w:rsidRPr="001542D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7C9B1"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6B32FE6D" w14:textId="77777777">
      <w:tc>
        <w:tcPr>
          <w:tcW w:w="847" w:type="pct"/>
        </w:tcPr>
        <w:p w14:paraId="0E814A2B" w14:textId="77777777" w:rsidR="006B04ED" w:rsidRDefault="006B04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1071650" w14:textId="02FF6037" w:rsidR="006B04ED"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57EFAD00" w14:textId="64BD4791" w:rsidR="006B04ED" w:rsidRDefault="00F01B65">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20CCC875" w14:textId="14EE7D63" w:rsidR="006B04ED" w:rsidRDefault="00F01B65">
          <w:pPr>
            <w:pStyle w:val="Footer"/>
            <w:jc w:val="right"/>
          </w:pPr>
          <w:r>
            <w:fldChar w:fldCharType="begin"/>
          </w:r>
          <w:r>
            <w:instrText xml:space="preserve"> DOCPROPERTY "Category"  *\charformat  </w:instrText>
          </w:r>
          <w:r>
            <w:fldChar w:fldCharType="separate"/>
          </w:r>
          <w:r w:rsidR="0020574C">
            <w:t>R69</w:t>
          </w:r>
          <w:r>
            <w:fldChar w:fldCharType="end"/>
          </w:r>
          <w:r w:rsidR="006B04ED">
            <w:br/>
          </w:r>
          <w:r>
            <w:fldChar w:fldCharType="begin"/>
          </w:r>
          <w:r>
            <w:instrText xml:space="preserve"> DOCPROPERTY "RepubDt"  *\charformat  </w:instrText>
          </w:r>
          <w:r>
            <w:fldChar w:fldCharType="separate"/>
          </w:r>
          <w:r w:rsidR="0020574C">
            <w:t>01/01/25</w:t>
          </w:r>
          <w:r>
            <w:fldChar w:fldCharType="end"/>
          </w:r>
        </w:p>
      </w:tc>
    </w:tr>
  </w:tbl>
  <w:p w14:paraId="1E579835" w14:textId="16C241EA" w:rsidR="006B04ED"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3EF3" w14:textId="77777777" w:rsidR="006B04ED" w:rsidRDefault="006B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03D8A313" w14:textId="77777777">
      <w:tc>
        <w:tcPr>
          <w:tcW w:w="1061" w:type="pct"/>
        </w:tcPr>
        <w:p w14:paraId="3589CEC3" w14:textId="69563358" w:rsidR="006B04ED" w:rsidRDefault="00F01B65">
          <w:pPr>
            <w:pStyle w:val="Footer"/>
          </w:pPr>
          <w:r>
            <w:fldChar w:fldCharType="begin"/>
          </w:r>
          <w:r>
            <w:instrText xml:space="preserve"> DOCPROPERTY "Category"  *\charformat  </w:instrText>
          </w:r>
          <w:r>
            <w:fldChar w:fldCharType="separate"/>
          </w:r>
          <w:r w:rsidR="0020574C">
            <w:t>R69</w:t>
          </w:r>
          <w:r>
            <w:fldChar w:fldCharType="end"/>
          </w:r>
          <w:r w:rsidR="006B04ED">
            <w:br/>
          </w:r>
          <w:r>
            <w:fldChar w:fldCharType="begin"/>
          </w:r>
          <w:r>
            <w:instrText xml:space="preserve"> DOCPROPERTY "RepubDt"  *\charformat  </w:instrText>
          </w:r>
          <w:r>
            <w:fldChar w:fldCharType="separate"/>
          </w:r>
          <w:r w:rsidR="0020574C">
            <w:t>01/01/25</w:t>
          </w:r>
          <w:r>
            <w:fldChar w:fldCharType="end"/>
          </w:r>
        </w:p>
      </w:tc>
      <w:tc>
        <w:tcPr>
          <w:tcW w:w="3092" w:type="pct"/>
        </w:tcPr>
        <w:p w14:paraId="02CDEA8E" w14:textId="4708CAA4" w:rsidR="006B04ED"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30AC09A7" w14:textId="02C27B22" w:rsidR="006B04ED" w:rsidRDefault="00F01B65">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52FB0AC2"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8F4C747" w14:textId="1A610324" w:rsidR="006B04ED"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D1359"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14:paraId="36FE435D" w14:textId="77777777">
      <w:tc>
        <w:tcPr>
          <w:tcW w:w="1061" w:type="pct"/>
        </w:tcPr>
        <w:p w14:paraId="1C0C1F0B" w14:textId="5429BAA4" w:rsidR="006B04ED" w:rsidRDefault="00F01B65">
          <w:pPr>
            <w:pStyle w:val="Footer"/>
          </w:pPr>
          <w:r>
            <w:fldChar w:fldCharType="begin"/>
          </w:r>
          <w:r>
            <w:instrText xml:space="preserve"> DOCPROPERTY "Category"  *\charformat  </w:instrText>
          </w:r>
          <w:r>
            <w:fldChar w:fldCharType="separate"/>
          </w:r>
          <w:r w:rsidR="0020574C">
            <w:t>R69</w:t>
          </w:r>
          <w:r>
            <w:fldChar w:fldCharType="end"/>
          </w:r>
          <w:r w:rsidR="006B04ED">
            <w:br/>
          </w:r>
          <w:r>
            <w:fldChar w:fldCharType="begin"/>
          </w:r>
          <w:r>
            <w:instrText xml:space="preserve"> DOCPROPERTY "RepubDt"  *\charformat  </w:instrText>
          </w:r>
          <w:r>
            <w:fldChar w:fldCharType="separate"/>
          </w:r>
          <w:r w:rsidR="0020574C">
            <w:t>01/01/25</w:t>
          </w:r>
          <w:r>
            <w:fldChar w:fldCharType="end"/>
          </w:r>
        </w:p>
      </w:tc>
      <w:tc>
        <w:tcPr>
          <w:tcW w:w="3092" w:type="pct"/>
        </w:tcPr>
        <w:p w14:paraId="180F9714" w14:textId="19A1311E" w:rsidR="006B04ED"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2923A8F1" w14:textId="70D84913" w:rsidR="006B04ED" w:rsidRDefault="00F01B65">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5814F4C0"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6B29EA" w14:textId="12FD4C33" w:rsidR="006B04ED"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B345"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127A6389" w14:textId="77777777" w:rsidTr="007A5E5F">
      <w:tc>
        <w:tcPr>
          <w:tcW w:w="847" w:type="pct"/>
        </w:tcPr>
        <w:p w14:paraId="57F038CE"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5C00F67" w14:textId="70260D04" w:rsidR="006B04ED"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241BB0B8" w14:textId="53E12E2C" w:rsidR="006B04ED"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55575590" w14:textId="069F1D44" w:rsidR="006B04ED" w:rsidRDefault="00F01B65" w:rsidP="007A5E5F">
          <w:pPr>
            <w:pStyle w:val="Footer"/>
            <w:jc w:val="right"/>
          </w:pPr>
          <w:r>
            <w:fldChar w:fldCharType="begin"/>
          </w:r>
          <w:r>
            <w:instrText xml:space="preserve"> DOCPROPERTY "Category"  *\charformat  </w:instrText>
          </w:r>
          <w:r>
            <w:fldChar w:fldCharType="separate"/>
          </w:r>
          <w:r w:rsidR="0020574C">
            <w:t>R69</w:t>
          </w:r>
          <w:r>
            <w:fldChar w:fldCharType="end"/>
          </w:r>
          <w:r w:rsidR="006B04ED">
            <w:br/>
          </w:r>
          <w:r>
            <w:fldChar w:fldCharType="begin"/>
          </w:r>
          <w:r>
            <w:instrText xml:space="preserve"> DOCPROPERTY "RepubDt"  *\charformat  </w:instrText>
          </w:r>
          <w:r>
            <w:fldChar w:fldCharType="separate"/>
          </w:r>
          <w:r w:rsidR="0020574C">
            <w:t>01/01/25</w:t>
          </w:r>
          <w:r>
            <w:fldChar w:fldCharType="end"/>
          </w:r>
        </w:p>
      </w:tc>
    </w:tr>
  </w:tbl>
  <w:p w14:paraId="7C4939A9" w14:textId="5BBD1094" w:rsidR="006B04ED"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17697"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2868DFDF" w14:textId="77777777" w:rsidTr="007A5E5F">
      <w:tc>
        <w:tcPr>
          <w:tcW w:w="1061" w:type="pct"/>
        </w:tcPr>
        <w:p w14:paraId="174F52C7" w14:textId="77E3C413" w:rsidR="006B04ED" w:rsidRDefault="00F01B65" w:rsidP="007A5E5F">
          <w:pPr>
            <w:pStyle w:val="Footer"/>
          </w:pPr>
          <w:r>
            <w:fldChar w:fldCharType="begin"/>
          </w:r>
          <w:r>
            <w:instrText xml:space="preserve"> DOCPROPERTY "Category"  *\charformat  </w:instrText>
          </w:r>
          <w:r>
            <w:fldChar w:fldCharType="separate"/>
          </w:r>
          <w:r w:rsidR="0020574C">
            <w:t>R69</w:t>
          </w:r>
          <w:r>
            <w:fldChar w:fldCharType="end"/>
          </w:r>
          <w:r w:rsidR="006B04ED">
            <w:br/>
          </w:r>
          <w:r>
            <w:fldChar w:fldCharType="begin"/>
          </w:r>
          <w:r>
            <w:instrText xml:space="preserve"> DOCPROPERTY "RepubDt"  *\charformat  </w:instrText>
          </w:r>
          <w:r>
            <w:fldChar w:fldCharType="separate"/>
          </w:r>
          <w:r w:rsidR="0020574C">
            <w:t>01/01/25</w:t>
          </w:r>
          <w:r>
            <w:fldChar w:fldCharType="end"/>
          </w:r>
        </w:p>
      </w:tc>
      <w:tc>
        <w:tcPr>
          <w:tcW w:w="3092" w:type="pct"/>
        </w:tcPr>
        <w:p w14:paraId="5927608D" w14:textId="5FC50754" w:rsidR="006B04ED"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56AFED45" w14:textId="3ACF7B65" w:rsidR="006B04ED"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362E470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61242F" w14:textId="35676C93" w:rsidR="006B04ED"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B0514"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rsidRPr="00CB3D59" w14:paraId="0EF1D0E5" w14:textId="77777777">
      <w:tc>
        <w:tcPr>
          <w:tcW w:w="1061" w:type="pct"/>
        </w:tcPr>
        <w:p w14:paraId="68FED257" w14:textId="086D16A5"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0574C">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12D83A09" w14:textId="628FD539"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0C372A5D" w14:textId="42B8F572"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B60E303"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DE79CC2" w14:textId="23612A14" w:rsidR="006B04ED" w:rsidRDefault="00F01B65">
    <w:pPr>
      <w:pStyle w:val="Status"/>
    </w:pPr>
    <w:r>
      <w:fldChar w:fldCharType="begin"/>
    </w:r>
    <w:r>
      <w:instrText xml:space="preserve"> DOCPROPERTY "Status" </w:instrText>
    </w:r>
    <w:r>
      <w:fldChar w:fldCharType="separate"/>
    </w:r>
    <w:r w:rsidR="0020574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AD333"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B04ED" w14:paraId="1E90DE47" w14:textId="77777777" w:rsidTr="007A5E5F">
      <w:tc>
        <w:tcPr>
          <w:tcW w:w="847" w:type="pct"/>
        </w:tcPr>
        <w:p w14:paraId="1D551004"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541DAD" w14:textId="33962C66" w:rsidR="006B04ED"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2D0366D7" w14:textId="447FAF62" w:rsidR="006B04ED"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768D1CA5" w14:textId="0D173098" w:rsidR="006B04ED" w:rsidRDefault="00F01B65" w:rsidP="007A5E5F">
          <w:pPr>
            <w:pStyle w:val="Footer"/>
            <w:jc w:val="right"/>
          </w:pPr>
          <w:r>
            <w:fldChar w:fldCharType="begin"/>
          </w:r>
          <w:r>
            <w:instrText xml:space="preserve"> DOCPROPERTY "Category"  *\charformat  </w:instrText>
          </w:r>
          <w:r>
            <w:fldChar w:fldCharType="separate"/>
          </w:r>
          <w:r w:rsidR="0020574C">
            <w:t>R69</w:t>
          </w:r>
          <w:r>
            <w:fldChar w:fldCharType="end"/>
          </w:r>
          <w:r w:rsidR="006B04ED">
            <w:br/>
          </w:r>
          <w:r>
            <w:fldChar w:fldCharType="begin"/>
          </w:r>
          <w:r>
            <w:instrText xml:space="preserve"> DOCPROPERTY "RepubDt"  *\charformat  </w:instrText>
          </w:r>
          <w:r>
            <w:fldChar w:fldCharType="separate"/>
          </w:r>
          <w:r w:rsidR="0020574C">
            <w:t>01/01/25</w:t>
          </w:r>
          <w:r>
            <w:fldChar w:fldCharType="end"/>
          </w:r>
        </w:p>
      </w:tc>
    </w:tr>
  </w:tbl>
  <w:p w14:paraId="36AC18D8" w14:textId="36AD6108" w:rsidR="006B04ED"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D90D1"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B04ED" w14:paraId="504DD4CC" w14:textId="77777777" w:rsidTr="007A5E5F">
      <w:tc>
        <w:tcPr>
          <w:tcW w:w="1061" w:type="pct"/>
        </w:tcPr>
        <w:p w14:paraId="7EF96091" w14:textId="0D2B7FBE" w:rsidR="006B04ED" w:rsidRDefault="00F01B65" w:rsidP="007A5E5F">
          <w:pPr>
            <w:pStyle w:val="Footer"/>
          </w:pPr>
          <w:r>
            <w:fldChar w:fldCharType="begin"/>
          </w:r>
          <w:r>
            <w:instrText xml:space="preserve"> DOCPROPERTY "Category"  *\charformat  </w:instrText>
          </w:r>
          <w:r>
            <w:fldChar w:fldCharType="separate"/>
          </w:r>
          <w:r w:rsidR="0020574C">
            <w:t>R69</w:t>
          </w:r>
          <w:r>
            <w:fldChar w:fldCharType="end"/>
          </w:r>
          <w:r w:rsidR="006B04ED">
            <w:br/>
          </w:r>
          <w:r>
            <w:fldChar w:fldCharType="begin"/>
          </w:r>
          <w:r>
            <w:instrText xml:space="preserve"> DOCPROPERTY "RepubDt"  *\charformat  </w:instrText>
          </w:r>
          <w:r>
            <w:fldChar w:fldCharType="separate"/>
          </w:r>
          <w:r w:rsidR="0020574C">
            <w:t>01/01/25</w:t>
          </w:r>
          <w:r>
            <w:fldChar w:fldCharType="end"/>
          </w:r>
        </w:p>
      </w:tc>
      <w:tc>
        <w:tcPr>
          <w:tcW w:w="3092" w:type="pct"/>
        </w:tcPr>
        <w:p w14:paraId="3FFA85D3" w14:textId="6726FA39" w:rsidR="006B04ED"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08ECBFE7" w14:textId="6BEBD037" w:rsidR="006B04ED"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7D8AC8F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4E9812E" w14:textId="7F31DB0C" w:rsidR="006B04ED"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3FC85"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B04ED" w:rsidRPr="00CB3D59" w14:paraId="1D7E1F8C" w14:textId="77777777">
      <w:tc>
        <w:tcPr>
          <w:tcW w:w="1061" w:type="pct"/>
        </w:tcPr>
        <w:p w14:paraId="7E0B51FB" w14:textId="2BE23E3B"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0574C">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1354F7F5" w14:textId="5E0DE942"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3DB92987" w14:textId="51F56C9C"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37AEA60"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A8CF9F5" w14:textId="76870EEE" w:rsidR="006B04ED" w:rsidRDefault="00F01B65">
    <w:pPr>
      <w:pStyle w:val="Status"/>
    </w:pPr>
    <w:r>
      <w:fldChar w:fldCharType="begin"/>
    </w:r>
    <w:r>
      <w:instrText xml:space="preserve"> DOCPROPERTY "Status" </w:instrText>
    </w:r>
    <w:r>
      <w:fldChar w:fldCharType="separate"/>
    </w:r>
    <w:r w:rsidR="0020574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5A23B" w14:textId="77777777" w:rsidR="002E5CF7" w:rsidRDefault="002E5CF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E5CF7" w14:paraId="7AE22C59" w14:textId="77777777" w:rsidTr="007A5E5F">
      <w:tc>
        <w:tcPr>
          <w:tcW w:w="847" w:type="pct"/>
        </w:tcPr>
        <w:p w14:paraId="1DED81D6" w14:textId="77777777" w:rsidR="002E5CF7" w:rsidRDefault="002E5CF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B9A9E66" w14:textId="36EAF2BD" w:rsidR="002E5CF7"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35BB769D" w14:textId="531CFA25" w:rsidR="002E5CF7"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73C22A6A" w14:textId="159D33A9" w:rsidR="002E5CF7" w:rsidRDefault="00F01B65" w:rsidP="007A5E5F">
          <w:pPr>
            <w:pStyle w:val="Footer"/>
            <w:jc w:val="right"/>
          </w:pPr>
          <w:r>
            <w:fldChar w:fldCharType="begin"/>
          </w:r>
          <w:r>
            <w:instrText xml:space="preserve"> DOCPROPERTY "Category"  *\charformat  </w:instrText>
          </w:r>
          <w:r>
            <w:fldChar w:fldCharType="separate"/>
          </w:r>
          <w:r w:rsidR="0020574C">
            <w:t>R69</w:t>
          </w:r>
          <w:r>
            <w:fldChar w:fldCharType="end"/>
          </w:r>
          <w:r w:rsidR="002E5CF7">
            <w:br/>
          </w:r>
          <w:r>
            <w:fldChar w:fldCharType="begin"/>
          </w:r>
          <w:r>
            <w:instrText xml:space="preserve"> DOCPROPERTY "RepubDt"  *\charformat  </w:instrText>
          </w:r>
          <w:r>
            <w:fldChar w:fldCharType="separate"/>
          </w:r>
          <w:r w:rsidR="0020574C">
            <w:t>01/01/25</w:t>
          </w:r>
          <w:r>
            <w:fldChar w:fldCharType="end"/>
          </w:r>
        </w:p>
      </w:tc>
    </w:tr>
  </w:tbl>
  <w:p w14:paraId="51CC5EAC" w14:textId="530EF2F4" w:rsidR="002E5CF7"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96198" w14:textId="77777777" w:rsidR="002E5CF7" w:rsidRDefault="002E5CF7"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E5CF7" w14:paraId="50F7B78B" w14:textId="77777777" w:rsidTr="007A5E5F">
      <w:tc>
        <w:tcPr>
          <w:tcW w:w="1061" w:type="pct"/>
        </w:tcPr>
        <w:p w14:paraId="07220B05" w14:textId="7F553F86" w:rsidR="002E5CF7" w:rsidRDefault="00F01B65" w:rsidP="007A5E5F">
          <w:pPr>
            <w:pStyle w:val="Footer"/>
          </w:pPr>
          <w:r>
            <w:fldChar w:fldCharType="begin"/>
          </w:r>
          <w:r>
            <w:instrText xml:space="preserve"> DOCPROPERTY "Category"  *\charformat  </w:instrText>
          </w:r>
          <w:r>
            <w:fldChar w:fldCharType="separate"/>
          </w:r>
          <w:r w:rsidR="0020574C">
            <w:t>R69</w:t>
          </w:r>
          <w:r>
            <w:fldChar w:fldCharType="end"/>
          </w:r>
          <w:r w:rsidR="002E5CF7">
            <w:br/>
          </w:r>
          <w:r>
            <w:fldChar w:fldCharType="begin"/>
          </w:r>
          <w:r>
            <w:instrText xml:space="preserve"> DOCPROPERTY "RepubDt"  *\charformat  </w:instrText>
          </w:r>
          <w:r>
            <w:fldChar w:fldCharType="separate"/>
          </w:r>
          <w:r w:rsidR="0020574C">
            <w:t>01/01/25</w:t>
          </w:r>
          <w:r>
            <w:fldChar w:fldCharType="end"/>
          </w:r>
        </w:p>
      </w:tc>
      <w:tc>
        <w:tcPr>
          <w:tcW w:w="3092" w:type="pct"/>
        </w:tcPr>
        <w:p w14:paraId="400D699A" w14:textId="0FB8EF85" w:rsidR="002E5CF7"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5D9907EB" w14:textId="12D785DA" w:rsidR="002E5CF7"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52D1AD71" w14:textId="77777777" w:rsidR="002E5CF7" w:rsidRDefault="002E5CF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A493420" w14:textId="34704B8B" w:rsidR="002E5CF7"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0FA7" w14:textId="77777777" w:rsidR="002E5CF7" w:rsidRDefault="002E5C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E5CF7" w:rsidRPr="00CB3D59" w14:paraId="362437E8" w14:textId="77777777">
      <w:tc>
        <w:tcPr>
          <w:tcW w:w="1061" w:type="pct"/>
        </w:tcPr>
        <w:p w14:paraId="66B5578D" w14:textId="778A2322" w:rsidR="002E5CF7" w:rsidRPr="00783A18" w:rsidRDefault="002E5CF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0574C">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55ECACEA" w14:textId="6D13E413" w:rsidR="002E5CF7" w:rsidRPr="00783A18" w:rsidRDefault="002E5CF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73B26E0A" w14:textId="51D014B6" w:rsidR="002E5CF7" w:rsidRPr="00783A18" w:rsidRDefault="002E5CF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F345817" w14:textId="77777777" w:rsidR="002E5CF7" w:rsidRPr="00783A18" w:rsidRDefault="002E5CF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81990C" w14:textId="34E71B26" w:rsidR="002E5CF7" w:rsidRDefault="00F01B65">
    <w:pPr>
      <w:pStyle w:val="Status"/>
    </w:pPr>
    <w:r>
      <w:fldChar w:fldCharType="begin"/>
    </w:r>
    <w:r>
      <w:instrText xml:space="preserve"> DOCPROPERTY "Status" </w:instrText>
    </w:r>
    <w:r>
      <w:fldChar w:fldCharType="separate"/>
    </w:r>
    <w:r w:rsidR="0020574C">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5BE25" w14:textId="77777777" w:rsidR="00C66F4A" w:rsidRDefault="00C66F4A"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6F4A" w14:paraId="4DEBD080" w14:textId="77777777" w:rsidTr="007A5E5F">
      <w:tc>
        <w:tcPr>
          <w:tcW w:w="847" w:type="pct"/>
        </w:tcPr>
        <w:p w14:paraId="388C7D44" w14:textId="77777777" w:rsidR="00C66F4A" w:rsidRDefault="00C66F4A"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0AE5BCB" w14:textId="10126EBD" w:rsidR="00C66F4A"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3C04362A" w14:textId="10483D84" w:rsidR="00C66F4A"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089EC4AD" w14:textId="226E2117" w:rsidR="00C66F4A" w:rsidRDefault="00F01B65" w:rsidP="007A5E5F">
          <w:pPr>
            <w:pStyle w:val="Footer"/>
            <w:jc w:val="right"/>
          </w:pPr>
          <w:r>
            <w:fldChar w:fldCharType="begin"/>
          </w:r>
          <w:r>
            <w:instrText xml:space="preserve"> DOCPROPERTY "Category"  *\charformat  </w:instrText>
          </w:r>
          <w:r>
            <w:fldChar w:fldCharType="separate"/>
          </w:r>
          <w:r w:rsidR="0020574C">
            <w:t>R69</w:t>
          </w:r>
          <w:r>
            <w:fldChar w:fldCharType="end"/>
          </w:r>
          <w:r w:rsidR="00C66F4A">
            <w:br/>
          </w:r>
          <w:r>
            <w:fldChar w:fldCharType="begin"/>
          </w:r>
          <w:r>
            <w:instrText xml:space="preserve"> DOCPROPERTY "RepubDt"  *\charformat  </w:instrText>
          </w:r>
          <w:r>
            <w:fldChar w:fldCharType="separate"/>
          </w:r>
          <w:r w:rsidR="0020574C">
            <w:t>01/01/25</w:t>
          </w:r>
          <w:r>
            <w:fldChar w:fldCharType="end"/>
          </w:r>
        </w:p>
      </w:tc>
    </w:tr>
  </w:tbl>
  <w:p w14:paraId="6AAAAC6B" w14:textId="21906933" w:rsidR="00C66F4A"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E3EE1" w14:textId="77777777" w:rsidR="00C66F4A" w:rsidRDefault="00C66F4A"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6F4A" w14:paraId="6DDA8CEF" w14:textId="77777777" w:rsidTr="007A5E5F">
      <w:tc>
        <w:tcPr>
          <w:tcW w:w="1061" w:type="pct"/>
        </w:tcPr>
        <w:p w14:paraId="4A1F23A4" w14:textId="48735CCA" w:rsidR="00C66F4A" w:rsidRDefault="00F01B65" w:rsidP="007A5E5F">
          <w:pPr>
            <w:pStyle w:val="Footer"/>
          </w:pPr>
          <w:r>
            <w:fldChar w:fldCharType="begin"/>
          </w:r>
          <w:r>
            <w:instrText xml:space="preserve"> DOCPROPERTY "Category"  *\charformat  </w:instrText>
          </w:r>
          <w:r>
            <w:fldChar w:fldCharType="separate"/>
          </w:r>
          <w:r w:rsidR="0020574C">
            <w:t>R69</w:t>
          </w:r>
          <w:r>
            <w:fldChar w:fldCharType="end"/>
          </w:r>
          <w:r w:rsidR="00C66F4A">
            <w:br/>
          </w:r>
          <w:r>
            <w:fldChar w:fldCharType="begin"/>
          </w:r>
          <w:r>
            <w:instrText xml:space="preserve"> DOCPROPERTY "RepubDt"  *\charformat  </w:instrText>
          </w:r>
          <w:r>
            <w:fldChar w:fldCharType="separate"/>
          </w:r>
          <w:r w:rsidR="0020574C">
            <w:t>01/01/25</w:t>
          </w:r>
          <w:r>
            <w:fldChar w:fldCharType="end"/>
          </w:r>
        </w:p>
      </w:tc>
      <w:tc>
        <w:tcPr>
          <w:tcW w:w="3092" w:type="pct"/>
        </w:tcPr>
        <w:p w14:paraId="27A7259E" w14:textId="16489C29" w:rsidR="00C66F4A"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525AEC79" w14:textId="478C53CC" w:rsidR="00C66F4A"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052EC224" w14:textId="77777777" w:rsidR="00C66F4A" w:rsidRDefault="00C66F4A"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45D8CF4" w14:textId="7F8B6436" w:rsidR="00C66F4A"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2691D" w14:textId="77777777" w:rsidR="00C66F4A" w:rsidRDefault="00C66F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6F4A" w:rsidRPr="00CB3D59" w14:paraId="35CA6FF4" w14:textId="77777777">
      <w:tc>
        <w:tcPr>
          <w:tcW w:w="1061" w:type="pct"/>
        </w:tcPr>
        <w:p w14:paraId="26A747B7" w14:textId="5E1099AE" w:rsidR="00C66F4A" w:rsidRPr="00783A18" w:rsidRDefault="00C66F4A"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0574C">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7A770A93" w14:textId="02DC9800" w:rsidR="00C66F4A" w:rsidRPr="00783A18" w:rsidRDefault="00C66F4A"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43DD941A" w14:textId="29B32A3B" w:rsidR="00C66F4A" w:rsidRPr="00783A18" w:rsidRDefault="00C66F4A"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6877619" w14:textId="77777777" w:rsidR="00C66F4A" w:rsidRPr="00783A18" w:rsidRDefault="00C66F4A"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235B96F" w14:textId="7ED9508E" w:rsidR="00C66F4A" w:rsidRDefault="00F01B65">
    <w:pPr>
      <w:pStyle w:val="Status"/>
    </w:pPr>
    <w:r>
      <w:fldChar w:fldCharType="begin"/>
    </w:r>
    <w:r>
      <w:instrText xml:space="preserve"> DOCPROPERTY "Status" </w:instrText>
    </w:r>
    <w:r>
      <w:fldChar w:fldCharType="separate"/>
    </w:r>
    <w:r w:rsidR="0020574C">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8EB1C" w14:textId="77777777" w:rsidR="00F371AE" w:rsidRDefault="00F371A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371AE" w14:paraId="37C78EE6" w14:textId="77777777" w:rsidTr="007A5E5F">
      <w:tc>
        <w:tcPr>
          <w:tcW w:w="847" w:type="pct"/>
        </w:tcPr>
        <w:p w14:paraId="17405848" w14:textId="77777777" w:rsidR="00F371AE" w:rsidRDefault="00F371A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A878419" w14:textId="09C731BA" w:rsidR="00F371AE"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5BE36090" w14:textId="5E3764E5" w:rsidR="00F371AE"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3CFC57F8" w14:textId="5B4F277E" w:rsidR="00F371AE" w:rsidRDefault="00F01B65" w:rsidP="007A5E5F">
          <w:pPr>
            <w:pStyle w:val="Footer"/>
            <w:jc w:val="right"/>
          </w:pPr>
          <w:r>
            <w:fldChar w:fldCharType="begin"/>
          </w:r>
          <w:r>
            <w:instrText xml:space="preserve"> DOCPROPERTY "Category"  *\charformat  </w:instrText>
          </w:r>
          <w:r>
            <w:fldChar w:fldCharType="separate"/>
          </w:r>
          <w:r w:rsidR="0020574C">
            <w:t>R69</w:t>
          </w:r>
          <w:r>
            <w:fldChar w:fldCharType="end"/>
          </w:r>
          <w:r w:rsidR="00F371AE">
            <w:br/>
          </w:r>
          <w:r>
            <w:fldChar w:fldCharType="begin"/>
          </w:r>
          <w:r>
            <w:instrText xml:space="preserve"> DOCPROPERTY "RepubDt"  *\charformat  </w:instrText>
          </w:r>
          <w:r>
            <w:fldChar w:fldCharType="separate"/>
          </w:r>
          <w:r w:rsidR="0020574C">
            <w:t>01/01/25</w:t>
          </w:r>
          <w:r>
            <w:fldChar w:fldCharType="end"/>
          </w:r>
        </w:p>
      </w:tc>
    </w:tr>
  </w:tbl>
  <w:p w14:paraId="7DC1E42B" w14:textId="47E0C495" w:rsidR="00F371AE"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002F3" w14:textId="77777777" w:rsidR="00F371AE" w:rsidRDefault="00F371AE"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371AE" w14:paraId="0D848AFB" w14:textId="77777777" w:rsidTr="007A5E5F">
      <w:tc>
        <w:tcPr>
          <w:tcW w:w="1061" w:type="pct"/>
        </w:tcPr>
        <w:p w14:paraId="2E2E0FBA" w14:textId="6618CF79" w:rsidR="00F371AE" w:rsidRDefault="00F01B65" w:rsidP="007A5E5F">
          <w:pPr>
            <w:pStyle w:val="Footer"/>
          </w:pPr>
          <w:r>
            <w:fldChar w:fldCharType="begin"/>
          </w:r>
          <w:r>
            <w:instrText xml:space="preserve"> DOCPROPERTY "Category"  *\charformat  </w:instrText>
          </w:r>
          <w:r>
            <w:fldChar w:fldCharType="separate"/>
          </w:r>
          <w:r w:rsidR="0020574C">
            <w:t>R69</w:t>
          </w:r>
          <w:r>
            <w:fldChar w:fldCharType="end"/>
          </w:r>
          <w:r w:rsidR="00F371AE">
            <w:br/>
          </w:r>
          <w:r>
            <w:fldChar w:fldCharType="begin"/>
          </w:r>
          <w:r>
            <w:instrText xml:space="preserve"> DOCPROPERTY "RepubDt"  *\charformat  </w:instrText>
          </w:r>
          <w:r>
            <w:fldChar w:fldCharType="separate"/>
          </w:r>
          <w:r w:rsidR="0020574C">
            <w:t>01/01/25</w:t>
          </w:r>
          <w:r>
            <w:fldChar w:fldCharType="end"/>
          </w:r>
        </w:p>
      </w:tc>
      <w:tc>
        <w:tcPr>
          <w:tcW w:w="3092" w:type="pct"/>
        </w:tcPr>
        <w:p w14:paraId="381E182E" w14:textId="480B73DA" w:rsidR="00F371AE"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75926CBB" w14:textId="555BE67E" w:rsidR="00F371AE"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0D6241D7" w14:textId="77777777" w:rsidR="00F371AE" w:rsidRDefault="00F371A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0D489AA" w14:textId="3C208D7D" w:rsidR="00F371AE"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15500" w14:textId="77777777" w:rsidR="00F371AE" w:rsidRDefault="00F371A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371AE" w:rsidRPr="00CB3D59" w14:paraId="540EFB88" w14:textId="77777777">
      <w:tc>
        <w:tcPr>
          <w:tcW w:w="1061" w:type="pct"/>
        </w:tcPr>
        <w:p w14:paraId="25B6AF27" w14:textId="38F8F462" w:rsidR="00F371AE" w:rsidRPr="00783A18" w:rsidRDefault="00F371A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0574C">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6C6A2FF3" w14:textId="048195BE" w:rsidR="00F371AE" w:rsidRPr="00783A18" w:rsidRDefault="00F371A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40BE73BD" w14:textId="7FFDBBB0" w:rsidR="00F371AE" w:rsidRPr="00783A18" w:rsidRDefault="00F371A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56AFA3E" w14:textId="77777777" w:rsidR="00F371AE" w:rsidRPr="00783A18" w:rsidRDefault="00F371A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D47688" w14:textId="291D3046" w:rsidR="00F371AE" w:rsidRDefault="00F01B65">
    <w:pPr>
      <w:pStyle w:val="Status"/>
    </w:pPr>
    <w:r>
      <w:fldChar w:fldCharType="begin"/>
    </w:r>
    <w:r>
      <w:instrText xml:space="preserve"> DOCPROPERTY "Status" </w:instrText>
    </w:r>
    <w:r>
      <w:fldChar w:fldCharType="separate"/>
    </w:r>
    <w:r w:rsidR="0020574C">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4F20E"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7804B1FE" w14:textId="77777777" w:rsidTr="007A5E5F">
      <w:tc>
        <w:tcPr>
          <w:tcW w:w="847" w:type="pct"/>
        </w:tcPr>
        <w:p w14:paraId="7D66D25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A0F401" w14:textId="16C54E8D" w:rsidR="00DF5DB1"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75BDA972" w14:textId="323DFBA6" w:rsidR="00DF5DB1"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081A6797" w14:textId="02EF857E" w:rsidR="00DF5DB1" w:rsidRDefault="00F01B65" w:rsidP="007A5E5F">
          <w:pPr>
            <w:pStyle w:val="Footer"/>
            <w:jc w:val="right"/>
          </w:pPr>
          <w:r>
            <w:fldChar w:fldCharType="begin"/>
          </w:r>
          <w:r>
            <w:instrText xml:space="preserve"> DOCPROPERTY "Category"  *\charformat  </w:instrText>
          </w:r>
          <w:r>
            <w:fldChar w:fldCharType="separate"/>
          </w:r>
          <w:r w:rsidR="0020574C">
            <w:t>R69</w:t>
          </w:r>
          <w:r>
            <w:fldChar w:fldCharType="end"/>
          </w:r>
          <w:r w:rsidR="00DF5DB1">
            <w:br/>
          </w:r>
          <w:r>
            <w:fldChar w:fldCharType="begin"/>
          </w:r>
          <w:r>
            <w:instrText xml:space="preserve"> DOCPROPERTY "RepubDt"  *\charformat  </w:instrText>
          </w:r>
          <w:r>
            <w:fldChar w:fldCharType="separate"/>
          </w:r>
          <w:r w:rsidR="0020574C">
            <w:t>01/01/25</w:t>
          </w:r>
          <w:r>
            <w:fldChar w:fldCharType="end"/>
          </w:r>
        </w:p>
      </w:tc>
    </w:tr>
  </w:tbl>
  <w:p w14:paraId="672D4892" w14:textId="4DE0613A" w:rsidR="00DF5DB1"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E9C2B"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496C08DE" w14:textId="77777777" w:rsidTr="007A5E5F">
      <w:tc>
        <w:tcPr>
          <w:tcW w:w="1061" w:type="pct"/>
        </w:tcPr>
        <w:p w14:paraId="7679F668" w14:textId="5C731AFB" w:rsidR="00DF5DB1" w:rsidRDefault="00F01B65" w:rsidP="007A5E5F">
          <w:pPr>
            <w:pStyle w:val="Footer"/>
          </w:pPr>
          <w:r>
            <w:fldChar w:fldCharType="begin"/>
          </w:r>
          <w:r>
            <w:instrText xml:space="preserve"> DOCPROPERTY "Category"  *\charformat  </w:instrText>
          </w:r>
          <w:r>
            <w:fldChar w:fldCharType="separate"/>
          </w:r>
          <w:r w:rsidR="0020574C">
            <w:t>R69</w:t>
          </w:r>
          <w:r>
            <w:fldChar w:fldCharType="end"/>
          </w:r>
          <w:r w:rsidR="00DF5DB1">
            <w:br/>
          </w:r>
          <w:r>
            <w:fldChar w:fldCharType="begin"/>
          </w:r>
          <w:r>
            <w:instrText xml:space="preserve"> DOCPROPERTY "RepubDt"  *\charformat  </w:instrText>
          </w:r>
          <w:r>
            <w:fldChar w:fldCharType="separate"/>
          </w:r>
          <w:r w:rsidR="0020574C">
            <w:t>01/01/25</w:t>
          </w:r>
          <w:r>
            <w:fldChar w:fldCharType="end"/>
          </w:r>
        </w:p>
      </w:tc>
      <w:tc>
        <w:tcPr>
          <w:tcW w:w="3092" w:type="pct"/>
        </w:tcPr>
        <w:p w14:paraId="3FEEFD5A" w14:textId="5B42EA44" w:rsidR="00DF5DB1"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4E7A2C0D" w14:textId="69A750C2" w:rsidR="00DF5DB1"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3FF8DE11"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9D0C8E" w14:textId="14E26F9C" w:rsidR="00DF5DB1"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36F2A"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6F4ADF4D" w14:textId="77777777">
      <w:tc>
        <w:tcPr>
          <w:tcW w:w="1061" w:type="pct"/>
        </w:tcPr>
        <w:p w14:paraId="567C6477" w14:textId="4CC8D665"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0574C">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7D270AA2" w14:textId="59B01E99"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5DCFEE26" w14:textId="018C922B"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CF0070B"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65708E" w14:textId="35722658" w:rsidR="00DF5DB1" w:rsidRDefault="00F01B65">
    <w:pPr>
      <w:pStyle w:val="Status"/>
    </w:pPr>
    <w:r>
      <w:fldChar w:fldCharType="begin"/>
    </w:r>
    <w:r>
      <w:instrText xml:space="preserve"> DOCPROPERTY "Status" </w:instrText>
    </w:r>
    <w:r>
      <w:fldChar w:fldCharType="separate"/>
    </w:r>
    <w:r w:rsidR="0020574C">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889B4"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4AD5317C" w14:textId="77777777" w:rsidTr="007A5E5F">
      <w:tc>
        <w:tcPr>
          <w:tcW w:w="847" w:type="pct"/>
        </w:tcPr>
        <w:p w14:paraId="1187746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489DEED" w14:textId="20CDD131" w:rsidR="00DF5DB1"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0839EA77" w14:textId="26243B7D" w:rsidR="00DF5DB1"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30E48BD5" w14:textId="1A50F06E" w:rsidR="00DF5DB1" w:rsidRDefault="00F01B65" w:rsidP="007A5E5F">
          <w:pPr>
            <w:pStyle w:val="Footer"/>
            <w:jc w:val="right"/>
          </w:pPr>
          <w:r>
            <w:fldChar w:fldCharType="begin"/>
          </w:r>
          <w:r>
            <w:instrText xml:space="preserve"> DOCPROPERTY "Category"  *\charformat  </w:instrText>
          </w:r>
          <w:r>
            <w:fldChar w:fldCharType="separate"/>
          </w:r>
          <w:r w:rsidR="0020574C">
            <w:t>R69</w:t>
          </w:r>
          <w:r>
            <w:fldChar w:fldCharType="end"/>
          </w:r>
          <w:r w:rsidR="00DF5DB1">
            <w:br/>
          </w:r>
          <w:r>
            <w:fldChar w:fldCharType="begin"/>
          </w:r>
          <w:r>
            <w:instrText xml:space="preserve"> DOCPROPERTY "RepubDt"  *\charformat  </w:instrText>
          </w:r>
          <w:r>
            <w:fldChar w:fldCharType="separate"/>
          </w:r>
          <w:r w:rsidR="0020574C">
            <w:t>01/01/25</w:t>
          </w:r>
          <w:r>
            <w:fldChar w:fldCharType="end"/>
          </w:r>
        </w:p>
      </w:tc>
    </w:tr>
  </w:tbl>
  <w:p w14:paraId="6FD84A58" w14:textId="52CBEA59" w:rsidR="00DF5DB1"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4FE15"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5B262EFB" w14:textId="77777777" w:rsidTr="007A5E5F">
      <w:tc>
        <w:tcPr>
          <w:tcW w:w="1061" w:type="pct"/>
        </w:tcPr>
        <w:p w14:paraId="70D41609" w14:textId="50064685" w:rsidR="00DF5DB1" w:rsidRDefault="00F01B65" w:rsidP="007A5E5F">
          <w:pPr>
            <w:pStyle w:val="Footer"/>
          </w:pPr>
          <w:r>
            <w:fldChar w:fldCharType="begin"/>
          </w:r>
          <w:r>
            <w:instrText xml:space="preserve"> DOCPROPERTY "Category"  *\charformat  </w:instrText>
          </w:r>
          <w:r>
            <w:fldChar w:fldCharType="separate"/>
          </w:r>
          <w:r w:rsidR="0020574C">
            <w:t>R69</w:t>
          </w:r>
          <w:r>
            <w:fldChar w:fldCharType="end"/>
          </w:r>
          <w:r w:rsidR="00DF5DB1">
            <w:br/>
          </w:r>
          <w:r>
            <w:fldChar w:fldCharType="begin"/>
          </w:r>
          <w:r>
            <w:instrText xml:space="preserve"> DOCPROPERTY "RepubDt"  *\charformat  </w:instrText>
          </w:r>
          <w:r>
            <w:fldChar w:fldCharType="separate"/>
          </w:r>
          <w:r w:rsidR="0020574C">
            <w:t>01/01/25</w:t>
          </w:r>
          <w:r>
            <w:fldChar w:fldCharType="end"/>
          </w:r>
        </w:p>
      </w:tc>
      <w:tc>
        <w:tcPr>
          <w:tcW w:w="3092" w:type="pct"/>
        </w:tcPr>
        <w:p w14:paraId="135E5022" w14:textId="6A59C99B" w:rsidR="00DF5DB1" w:rsidRDefault="00F01B65" w:rsidP="007A5E5F">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2434DB61" w14:textId="7DBA0D3B" w:rsidR="00DF5DB1" w:rsidRDefault="00F01B65" w:rsidP="007A5E5F">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1AD0E677"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E54586" w14:textId="33FED8B2" w:rsidR="00DF5DB1"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D96D5"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09A79AC2" w14:textId="77777777">
      <w:tc>
        <w:tcPr>
          <w:tcW w:w="1061" w:type="pct"/>
        </w:tcPr>
        <w:p w14:paraId="6A403F05" w14:textId="6423EA0F"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0574C">
            <w:rPr>
              <w:rFonts w:ascii="Times New Roman" w:hAnsi="Times New Roman"/>
              <w:sz w:val="24"/>
              <w:szCs w:val="24"/>
            </w:rPr>
            <w:t>R69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3DBE9442" w14:textId="5116F95F"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534A81F7" w14:textId="5723F91E"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0574C">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057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C68C056"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DE8AD29" w14:textId="47A49A49" w:rsidR="00DF5DB1" w:rsidRDefault="00F01B65">
    <w:pPr>
      <w:pStyle w:val="Status"/>
    </w:pPr>
    <w:r>
      <w:fldChar w:fldCharType="begin"/>
    </w:r>
    <w:r>
      <w:instrText xml:space="preserve"> DOCPROPERTY "Status" </w:instrText>
    </w:r>
    <w:r>
      <w:fldChar w:fldCharType="separate"/>
    </w:r>
    <w:r w:rsidR="0020574C">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09A18"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3D2E7F8C" w14:textId="77777777">
      <w:tc>
        <w:tcPr>
          <w:tcW w:w="847" w:type="pct"/>
        </w:tcPr>
        <w:p w14:paraId="53046E26"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C028311" w14:textId="1B2E1330"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376B0628" w14:textId="19DCF062"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1FD8046D" w14:textId="71882BA3"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3BDFEF4F" w14:textId="7A265891" w:rsidR="0013532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BDBAA"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0E6414B5" w14:textId="77777777">
      <w:tc>
        <w:tcPr>
          <w:tcW w:w="1061" w:type="pct"/>
        </w:tcPr>
        <w:p w14:paraId="1636D364" w14:textId="16A02EAA"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50585382" w14:textId="08E42BD0"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67887432" w14:textId="0E6CEBFC"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78DE976C"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07B0AA5" w14:textId="73EA2F52" w:rsidR="0013532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3E161"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772F2019" w14:textId="77777777">
      <w:tc>
        <w:tcPr>
          <w:tcW w:w="847" w:type="pct"/>
        </w:tcPr>
        <w:p w14:paraId="5B6A07B9"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DB73AF9" w14:textId="6AF17898"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495E121C" w14:textId="76BE73D2"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38E9AA18" w14:textId="7B623250"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65EF66ED" w14:textId="7DE2AED3" w:rsidR="0013532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752E9"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4DCE2BB4" w14:textId="77777777">
      <w:tc>
        <w:tcPr>
          <w:tcW w:w="1061" w:type="pct"/>
        </w:tcPr>
        <w:p w14:paraId="0A247E9A" w14:textId="76127EA8"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35199823" w14:textId="2634833C"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31EE476A" w14:textId="032779EA"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1D36790A"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F85A2" w14:textId="2C20B594" w:rsidR="0013532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7DE01" w14:textId="77777777" w:rsidR="009C3A13" w:rsidRDefault="009C3A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A13" w:rsidRPr="00CB3D59" w14:paraId="46CDA21D" w14:textId="77777777">
      <w:tc>
        <w:tcPr>
          <w:tcW w:w="847" w:type="pct"/>
        </w:tcPr>
        <w:p w14:paraId="38DCA83A" w14:textId="77777777" w:rsidR="009C3A13" w:rsidRPr="00F02A14" w:rsidRDefault="009C3A1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42E8713" w14:textId="7C5F313F"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08009AC1" w14:textId="502E0D93"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1061" w:type="pct"/>
        </w:tcPr>
        <w:p w14:paraId="1A3D9018" w14:textId="13FCAB92" w:rsidR="009C3A13" w:rsidRPr="00F02A14" w:rsidRDefault="009C3A1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r>
  </w:tbl>
  <w:p w14:paraId="59D1119E" w14:textId="1F053356" w:rsidR="009C3A1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B1898" w14:textId="77777777" w:rsidR="009C3A13" w:rsidRDefault="009C3A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A13" w:rsidRPr="00CB3D59" w14:paraId="5B3C3299" w14:textId="77777777">
      <w:tc>
        <w:tcPr>
          <w:tcW w:w="1061" w:type="pct"/>
        </w:tcPr>
        <w:p w14:paraId="02EB67AC" w14:textId="675D6468" w:rsidR="009C3A13" w:rsidRPr="00F02A14" w:rsidRDefault="009C3A1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c>
        <w:tcPr>
          <w:tcW w:w="3092" w:type="pct"/>
        </w:tcPr>
        <w:p w14:paraId="1BF4ED0E" w14:textId="30EFF8C0"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1E36F514" w14:textId="248C85B8"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847" w:type="pct"/>
        </w:tcPr>
        <w:p w14:paraId="3D64B338" w14:textId="77777777" w:rsidR="009C3A13" w:rsidRPr="00F02A14" w:rsidRDefault="009C3A1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F6E0DD2" w14:textId="7C59E077" w:rsidR="009C3A1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47D8C" w14:textId="77777777" w:rsidR="004E54FA" w:rsidRDefault="004E54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4FA" w:rsidRPr="00CB3D59" w14:paraId="5E2C39AE" w14:textId="77777777">
      <w:tc>
        <w:tcPr>
          <w:tcW w:w="847" w:type="pct"/>
        </w:tcPr>
        <w:p w14:paraId="44814C16" w14:textId="77777777" w:rsidR="004E54FA" w:rsidRPr="00A752AE" w:rsidRDefault="004E54F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F50B4DF" w14:textId="4B56A481"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4637906D" w14:textId="2E2667CC"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5CAC6F07" w14:textId="172D9A19" w:rsidR="004E54FA" w:rsidRPr="00A752AE" w:rsidRDefault="004E54F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61ADB5C1" w14:textId="027EBEF6" w:rsidR="004E54FA"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62B54" w14:textId="77777777" w:rsidR="004E54FA" w:rsidRDefault="004E54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4FA" w:rsidRPr="00CB3D59" w14:paraId="0757F609" w14:textId="77777777">
      <w:tc>
        <w:tcPr>
          <w:tcW w:w="1061" w:type="pct"/>
        </w:tcPr>
        <w:p w14:paraId="7548F32E" w14:textId="00BFBC33" w:rsidR="004E54FA" w:rsidRPr="00A752AE" w:rsidRDefault="004E54F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0AA6185C" w14:textId="47222F85"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21014396" w14:textId="5ABAD469"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488A93E1" w14:textId="77777777" w:rsidR="004E54FA" w:rsidRPr="00A752AE" w:rsidRDefault="004E54F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865BD5" w14:textId="258F38B2" w:rsidR="004E54FA"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60DCE" w14:textId="77777777" w:rsidR="00A00712" w:rsidRDefault="00A00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0712" w:rsidRPr="00CB3D59" w14:paraId="01AE4219" w14:textId="77777777">
      <w:tc>
        <w:tcPr>
          <w:tcW w:w="847" w:type="pct"/>
        </w:tcPr>
        <w:p w14:paraId="5F5C762B" w14:textId="77777777" w:rsidR="00A00712" w:rsidRPr="002E0219" w:rsidRDefault="00A00712"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792E43D5" w14:textId="0939DDC0" w:rsidR="00A00712" w:rsidRPr="002E0219" w:rsidRDefault="00A0071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7EED3803" w14:textId="6D6E0C1C"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0574C">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0574C">
            <w:rPr>
              <w:rFonts w:cs="Arial"/>
              <w:szCs w:val="18"/>
            </w:rPr>
            <w:t>01/01/25</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0574C">
            <w:rPr>
              <w:rFonts w:cs="Arial"/>
              <w:szCs w:val="18"/>
            </w:rPr>
            <w:t xml:space="preserve"> </w:t>
          </w:r>
          <w:r w:rsidRPr="002E0219">
            <w:rPr>
              <w:rFonts w:cs="Arial"/>
              <w:szCs w:val="18"/>
            </w:rPr>
            <w:fldChar w:fldCharType="end"/>
          </w:r>
        </w:p>
      </w:tc>
      <w:tc>
        <w:tcPr>
          <w:tcW w:w="1061" w:type="pct"/>
        </w:tcPr>
        <w:p w14:paraId="6D8AD22F" w14:textId="11A4A42E" w:rsidR="00A00712" w:rsidRPr="002E0219" w:rsidRDefault="00A00712"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0574C">
            <w:rPr>
              <w:rFonts w:cs="Arial"/>
              <w:szCs w:val="18"/>
            </w:rPr>
            <w:t>R69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0574C">
            <w:rPr>
              <w:rFonts w:cs="Arial"/>
              <w:szCs w:val="18"/>
            </w:rPr>
            <w:t>01/01/25</w:t>
          </w:r>
          <w:r w:rsidRPr="002E0219">
            <w:rPr>
              <w:rFonts w:cs="Arial"/>
              <w:szCs w:val="18"/>
            </w:rPr>
            <w:fldChar w:fldCharType="end"/>
          </w:r>
        </w:p>
      </w:tc>
    </w:tr>
  </w:tbl>
  <w:p w14:paraId="152A77A6" w14:textId="23295932" w:rsidR="00A00712"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FAAF9" w14:textId="77777777" w:rsidR="00A00712" w:rsidRDefault="00A00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0712" w:rsidRPr="00CB3D59" w14:paraId="70AA3ED0" w14:textId="77777777">
      <w:tc>
        <w:tcPr>
          <w:tcW w:w="1061" w:type="pct"/>
        </w:tcPr>
        <w:p w14:paraId="7E3EE8B2" w14:textId="26508AFE" w:rsidR="00A00712" w:rsidRPr="002E0219" w:rsidRDefault="00A00712"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0574C">
            <w:rPr>
              <w:rFonts w:cs="Arial"/>
              <w:szCs w:val="18"/>
            </w:rPr>
            <w:t>R69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0574C">
            <w:rPr>
              <w:rFonts w:cs="Arial"/>
              <w:szCs w:val="18"/>
            </w:rPr>
            <w:t>01/01/25</w:t>
          </w:r>
          <w:r w:rsidRPr="002E0219">
            <w:rPr>
              <w:rFonts w:cs="Arial"/>
              <w:szCs w:val="18"/>
            </w:rPr>
            <w:fldChar w:fldCharType="end"/>
          </w:r>
        </w:p>
      </w:tc>
      <w:tc>
        <w:tcPr>
          <w:tcW w:w="3092" w:type="pct"/>
        </w:tcPr>
        <w:p w14:paraId="4E71F77D" w14:textId="50987719" w:rsidR="00A00712" w:rsidRPr="002E0219" w:rsidRDefault="00A00712"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0574C">
            <w:t>Court Procedures Rules 2006</w:t>
          </w:r>
          <w:r w:rsidRPr="00783A18">
            <w:rPr>
              <w:rFonts w:ascii="Times New Roman" w:hAnsi="Times New Roman"/>
              <w:sz w:val="24"/>
              <w:szCs w:val="24"/>
            </w:rPr>
            <w:fldChar w:fldCharType="end"/>
          </w:r>
        </w:p>
        <w:p w14:paraId="053055F3" w14:textId="06426B1A"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0574C">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0574C">
            <w:rPr>
              <w:rFonts w:cs="Arial"/>
              <w:szCs w:val="18"/>
            </w:rPr>
            <w:t>01/01/25</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0574C">
            <w:rPr>
              <w:rFonts w:cs="Arial"/>
              <w:szCs w:val="18"/>
            </w:rPr>
            <w:t xml:space="preserve"> </w:t>
          </w:r>
          <w:r w:rsidRPr="002E0219">
            <w:rPr>
              <w:rFonts w:cs="Arial"/>
              <w:szCs w:val="18"/>
            </w:rPr>
            <w:fldChar w:fldCharType="end"/>
          </w:r>
        </w:p>
      </w:tc>
      <w:tc>
        <w:tcPr>
          <w:tcW w:w="847" w:type="pct"/>
        </w:tcPr>
        <w:p w14:paraId="2A5DEF18" w14:textId="77777777" w:rsidR="00A00712" w:rsidRPr="002E0219" w:rsidRDefault="00A00712"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4E389C43" w14:textId="5370A2FB" w:rsidR="00A00712"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CA09D"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C93EFD7" w14:textId="77777777">
      <w:tc>
        <w:tcPr>
          <w:tcW w:w="847" w:type="pct"/>
        </w:tcPr>
        <w:p w14:paraId="12EA9675"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C9ABDCD" w14:textId="567CEC99"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67703D42" w14:textId="1F34727D"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1061" w:type="pct"/>
        </w:tcPr>
        <w:p w14:paraId="57EAFA5F" w14:textId="3EF86E19"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r>
  </w:tbl>
  <w:p w14:paraId="02650970" w14:textId="7AFE26F6" w:rsidR="00980678"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A2962"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245C36C5" w14:textId="77777777">
      <w:tc>
        <w:tcPr>
          <w:tcW w:w="1061" w:type="pct"/>
        </w:tcPr>
        <w:p w14:paraId="633241EE" w14:textId="7529C9A5"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c>
        <w:tcPr>
          <w:tcW w:w="3092" w:type="pct"/>
        </w:tcPr>
        <w:p w14:paraId="1A18438B" w14:textId="325F1849"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2FE3FD8B" w14:textId="3F3DB1E9"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847" w:type="pct"/>
        </w:tcPr>
        <w:p w14:paraId="5882935D"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DF132" w14:textId="044F8DC3" w:rsidR="00980678"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BD1D0"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F8F73BB" w14:textId="77777777">
      <w:tc>
        <w:tcPr>
          <w:tcW w:w="847" w:type="pct"/>
        </w:tcPr>
        <w:p w14:paraId="7D5CC777"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B5D1532" w14:textId="69DC276D"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6D02FE65" w14:textId="5100C844"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1061" w:type="pct"/>
        </w:tcPr>
        <w:p w14:paraId="26E663CD" w14:textId="6D47E63B"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r>
  </w:tbl>
  <w:p w14:paraId="6D57B8FA" w14:textId="6F68C010" w:rsidR="00980678"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CEF95"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7608DD2D" w14:textId="77777777">
      <w:tc>
        <w:tcPr>
          <w:tcW w:w="1061" w:type="pct"/>
        </w:tcPr>
        <w:p w14:paraId="2E600265" w14:textId="5AFBDA64"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c>
        <w:tcPr>
          <w:tcW w:w="3092" w:type="pct"/>
        </w:tcPr>
        <w:p w14:paraId="3448994F" w14:textId="27156EAC"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602E4383" w14:textId="37F0F31B"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847" w:type="pct"/>
        </w:tcPr>
        <w:p w14:paraId="69E0F44B"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D19F1D2" w14:textId="0329A342" w:rsidR="00980678"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84114"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3903687" w14:textId="77777777">
      <w:tc>
        <w:tcPr>
          <w:tcW w:w="847" w:type="pct"/>
        </w:tcPr>
        <w:p w14:paraId="60657BF3" w14:textId="77777777" w:rsidR="00432CA6" w:rsidRPr="00F02A14" w:rsidRDefault="00432CA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050F165" w14:textId="6756D3AA"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2C497A8C" w14:textId="647ECA9A"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1061" w:type="pct"/>
        </w:tcPr>
        <w:p w14:paraId="19EF11F2" w14:textId="2D8CFA03" w:rsidR="00432CA6" w:rsidRPr="00F02A14" w:rsidRDefault="00432CA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r>
  </w:tbl>
  <w:p w14:paraId="4E8882B4" w14:textId="4746F606" w:rsidR="00432CA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BE29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14FB4264" w14:textId="77777777">
      <w:tc>
        <w:tcPr>
          <w:tcW w:w="1061" w:type="pct"/>
        </w:tcPr>
        <w:p w14:paraId="6A31D7A2" w14:textId="13AF697A" w:rsidR="00432CA6" w:rsidRPr="00F02A14" w:rsidRDefault="00432CA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c>
        <w:tcPr>
          <w:tcW w:w="3092" w:type="pct"/>
        </w:tcPr>
        <w:p w14:paraId="152A54F2" w14:textId="410A3506"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14097B65" w14:textId="7AA7D601"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847" w:type="pct"/>
        </w:tcPr>
        <w:p w14:paraId="4ACF7D00" w14:textId="77777777" w:rsidR="00432CA6" w:rsidRPr="00F02A14" w:rsidRDefault="00432CA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2EC48F" w14:textId="209D22A6" w:rsidR="00432CA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B6127"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959501C" w14:textId="77777777">
      <w:tc>
        <w:tcPr>
          <w:tcW w:w="847" w:type="pct"/>
        </w:tcPr>
        <w:p w14:paraId="43DACD97"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0DEB14" w14:textId="40FEE2A6"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7D003FAB" w14:textId="6175D2F1"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0D97886C" w14:textId="720390A5"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4262F07A" w14:textId="5C8B66E0" w:rsidR="00432CA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26FC1"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3A5D234" w14:textId="77777777">
      <w:tc>
        <w:tcPr>
          <w:tcW w:w="1061" w:type="pct"/>
        </w:tcPr>
        <w:p w14:paraId="4E4619DA" w14:textId="5A319892"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725A98C2" w14:textId="3477EA96"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18A33F25" w14:textId="5436B3F9"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49BA1AE0"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B7DCBAB" w14:textId="0859151B" w:rsidR="00432CA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EF45A"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776A2A72" w14:textId="77777777">
      <w:tc>
        <w:tcPr>
          <w:tcW w:w="847" w:type="pct"/>
        </w:tcPr>
        <w:p w14:paraId="4AC0EB79"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61670EF" w14:textId="4A797623"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05F77F9B" w14:textId="0387B2DC"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02E71DAD" w14:textId="60779EBD"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3EEB44E3" w14:textId="11047192" w:rsidR="00432CA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D0D8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CDBB003" w14:textId="77777777">
      <w:tc>
        <w:tcPr>
          <w:tcW w:w="1061" w:type="pct"/>
        </w:tcPr>
        <w:p w14:paraId="125E0B6E" w14:textId="1255302F"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3CE944B1" w14:textId="4C185D68"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5BFD09F3" w14:textId="5528F904"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15738C57"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FC24BA" w14:textId="6AF696CF" w:rsidR="00432CA6"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1F843"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64A2700" w14:textId="77777777">
      <w:tc>
        <w:tcPr>
          <w:tcW w:w="847" w:type="pct"/>
        </w:tcPr>
        <w:p w14:paraId="543DE5C6"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5A4C90D" w14:textId="170BCDA3"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7DC1D5AE" w14:textId="25B936CA"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102F6BE0" w14:textId="4A406301"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65C6EE6F" w14:textId="0EC831A4"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6760"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4CF2F409" w14:textId="77777777">
      <w:tc>
        <w:tcPr>
          <w:tcW w:w="1061" w:type="pct"/>
        </w:tcPr>
        <w:p w14:paraId="05EB9F2D" w14:textId="67E13E3E"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3B4637E5" w14:textId="6DE09A54"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0FDB2F06" w14:textId="117A0837"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66A7C30F"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F88D217" w14:textId="7285B6F1"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896B0"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8DD87CB" w14:textId="77777777">
      <w:tc>
        <w:tcPr>
          <w:tcW w:w="847" w:type="pct"/>
        </w:tcPr>
        <w:p w14:paraId="6A69E76E"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BE04CC9" w14:textId="0FDA997F"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66EEB573" w14:textId="373E0DC6"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6EB3F57C" w14:textId="2EF09BD8"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35AF2008" w14:textId="78061D2B"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877F"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1AC8C76F" w14:textId="77777777">
      <w:tc>
        <w:tcPr>
          <w:tcW w:w="1061" w:type="pct"/>
        </w:tcPr>
        <w:p w14:paraId="7405FB22" w14:textId="1D37CCD2"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24804C0D" w14:textId="2E1C1883"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68F25C92" w14:textId="32FB85F7"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34D642AD"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97A5F9" w14:textId="31251E3F"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54BCA"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ECBBFCE" w14:textId="77777777">
      <w:tc>
        <w:tcPr>
          <w:tcW w:w="847" w:type="pct"/>
        </w:tcPr>
        <w:p w14:paraId="5C594F4F"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9447C1D" w14:textId="2CA41863"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035A4C64" w14:textId="776EC63D"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1061" w:type="pct"/>
        </w:tcPr>
        <w:p w14:paraId="3A31425D" w14:textId="3AB4233B"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r>
  </w:tbl>
  <w:p w14:paraId="398A0965" w14:textId="33A62B87"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91362"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37FEDBBB" w14:textId="77777777">
      <w:tc>
        <w:tcPr>
          <w:tcW w:w="1061" w:type="pct"/>
        </w:tcPr>
        <w:p w14:paraId="22597C95" w14:textId="5C5C102E"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0574C">
            <w:rPr>
              <w:rFonts w:cs="Arial"/>
              <w:szCs w:val="18"/>
            </w:rPr>
            <w:t>R69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p>
      </w:tc>
      <w:tc>
        <w:tcPr>
          <w:tcW w:w="3092" w:type="pct"/>
        </w:tcPr>
        <w:p w14:paraId="5E0D1BC5" w14:textId="0D7B7D77"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37EF44E2" w14:textId="6CD033D4"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0574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0574C">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0574C">
            <w:rPr>
              <w:rFonts w:cs="Arial"/>
              <w:szCs w:val="18"/>
            </w:rPr>
            <w:t xml:space="preserve"> </w:t>
          </w:r>
          <w:r w:rsidRPr="00A752AE">
            <w:rPr>
              <w:rFonts w:cs="Arial"/>
              <w:szCs w:val="18"/>
            </w:rPr>
            <w:fldChar w:fldCharType="end"/>
          </w:r>
        </w:p>
      </w:tc>
      <w:tc>
        <w:tcPr>
          <w:tcW w:w="847" w:type="pct"/>
        </w:tcPr>
        <w:p w14:paraId="713276A7"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7406089" w14:textId="1D99E300"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0194"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7BD489AF" w14:textId="77777777">
      <w:tc>
        <w:tcPr>
          <w:tcW w:w="847" w:type="pct"/>
        </w:tcPr>
        <w:p w14:paraId="33336EA5" w14:textId="77777777" w:rsidR="004426B3" w:rsidRPr="00F02A14" w:rsidRDefault="004426B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288EA6" w14:textId="04C9BE83"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49F566EC" w14:textId="46A77A4C"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1061" w:type="pct"/>
        </w:tcPr>
        <w:p w14:paraId="667A45CC" w14:textId="79754619" w:rsidR="004426B3" w:rsidRPr="00F02A14" w:rsidRDefault="004426B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r>
  </w:tbl>
  <w:p w14:paraId="23B2F1F7" w14:textId="2B87C322"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7C6D1"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2345FAE2" w14:textId="77777777">
      <w:tc>
        <w:tcPr>
          <w:tcW w:w="1061" w:type="pct"/>
        </w:tcPr>
        <w:p w14:paraId="7DC31ACF" w14:textId="3B836EC0" w:rsidR="004426B3" w:rsidRPr="00F02A14" w:rsidRDefault="004426B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c>
        <w:tcPr>
          <w:tcW w:w="3092" w:type="pct"/>
        </w:tcPr>
        <w:p w14:paraId="40E88411" w14:textId="33EDD02E"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331F463C" w14:textId="026DE052"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847" w:type="pct"/>
        </w:tcPr>
        <w:p w14:paraId="51D63F44" w14:textId="77777777" w:rsidR="004426B3" w:rsidRPr="00F02A14" w:rsidRDefault="004426B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EB66826" w14:textId="08E09A2F" w:rsidR="004426B3"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5D60C"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D30" w:rsidRPr="00CB3D59" w14:paraId="10BFCB34" w14:textId="77777777">
      <w:trPr>
        <w:jc w:val="center"/>
      </w:trPr>
      <w:tc>
        <w:tcPr>
          <w:tcW w:w="1240" w:type="dxa"/>
        </w:tcPr>
        <w:p w14:paraId="6DD17BB9" w14:textId="77777777" w:rsidR="004E1D30" w:rsidRPr="00922BD6" w:rsidRDefault="004E1D30"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18846198" w14:textId="6706AAE1"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29A0C196" w14:textId="4DAD7AF6"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20574C">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20574C">
            <w:rPr>
              <w:rFonts w:cs="Arial"/>
              <w:szCs w:val="18"/>
            </w:rPr>
            <w:t>01/01/25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20574C">
            <w:rPr>
              <w:rFonts w:cs="Arial"/>
              <w:szCs w:val="18"/>
            </w:rPr>
            <w:t xml:space="preserve"> </w:t>
          </w:r>
          <w:r w:rsidRPr="00922BD6">
            <w:rPr>
              <w:rFonts w:cs="Arial"/>
              <w:szCs w:val="18"/>
            </w:rPr>
            <w:fldChar w:fldCharType="end"/>
          </w:r>
        </w:p>
      </w:tc>
      <w:tc>
        <w:tcPr>
          <w:tcW w:w="1553" w:type="dxa"/>
        </w:tcPr>
        <w:p w14:paraId="172F6845" w14:textId="789FC738" w:rsidR="004E1D30" w:rsidRPr="00922BD6" w:rsidRDefault="004E1D30"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20574C">
            <w:rPr>
              <w:rFonts w:cs="Arial"/>
              <w:szCs w:val="18"/>
            </w:rPr>
            <w:t>R69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20574C">
            <w:rPr>
              <w:rFonts w:cs="Arial"/>
              <w:szCs w:val="18"/>
            </w:rPr>
            <w:t>01/01/25</w:t>
          </w:r>
          <w:r w:rsidRPr="00922BD6">
            <w:rPr>
              <w:rFonts w:cs="Arial"/>
              <w:szCs w:val="18"/>
            </w:rPr>
            <w:fldChar w:fldCharType="end"/>
          </w:r>
        </w:p>
      </w:tc>
    </w:tr>
  </w:tbl>
  <w:p w14:paraId="28E33CD8" w14:textId="7F1FD976" w:rsidR="004E1D30"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33C71"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E1D30" w:rsidRPr="00CB3D59" w14:paraId="04195D88" w14:textId="77777777">
      <w:trPr>
        <w:jc w:val="center"/>
      </w:trPr>
      <w:tc>
        <w:tcPr>
          <w:tcW w:w="1963" w:type="dxa"/>
        </w:tcPr>
        <w:p w14:paraId="0FF2AD05" w14:textId="75DE2778" w:rsidR="004E1D30" w:rsidRPr="00922BD6" w:rsidRDefault="004E1D30"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20574C">
            <w:rPr>
              <w:rFonts w:cs="Arial"/>
              <w:szCs w:val="18"/>
            </w:rPr>
            <w:t>R69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20574C">
            <w:rPr>
              <w:rFonts w:cs="Arial"/>
              <w:szCs w:val="18"/>
            </w:rPr>
            <w:t>01/01/25</w:t>
          </w:r>
          <w:r w:rsidRPr="00922BD6">
            <w:rPr>
              <w:rFonts w:cs="Arial"/>
              <w:szCs w:val="18"/>
            </w:rPr>
            <w:fldChar w:fldCharType="end"/>
          </w:r>
        </w:p>
      </w:tc>
      <w:tc>
        <w:tcPr>
          <w:tcW w:w="4527" w:type="dxa"/>
        </w:tcPr>
        <w:p w14:paraId="6BE456DB" w14:textId="61382EF3"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31E4F8AF" w14:textId="377489AA"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20574C">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20574C">
            <w:rPr>
              <w:rFonts w:cs="Arial"/>
              <w:szCs w:val="18"/>
            </w:rPr>
            <w:t>01/01/25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20574C">
            <w:rPr>
              <w:rFonts w:cs="Arial"/>
              <w:szCs w:val="18"/>
            </w:rPr>
            <w:t xml:space="preserve"> </w:t>
          </w:r>
          <w:r w:rsidRPr="00922BD6">
            <w:rPr>
              <w:rFonts w:cs="Arial"/>
              <w:szCs w:val="18"/>
            </w:rPr>
            <w:fldChar w:fldCharType="end"/>
          </w:r>
        </w:p>
      </w:tc>
      <w:tc>
        <w:tcPr>
          <w:tcW w:w="1240" w:type="dxa"/>
        </w:tcPr>
        <w:p w14:paraId="3825256B" w14:textId="77777777" w:rsidR="004E1D30" w:rsidRPr="00922BD6" w:rsidRDefault="004E1D30"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C25CDD9" w14:textId="1255C2D3" w:rsidR="004E1D30"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1376C" w14:textId="77777777" w:rsidR="004E1D30" w:rsidRDefault="004E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1D30" w:rsidRPr="00CB3D59" w14:paraId="1BEF0E61" w14:textId="77777777">
      <w:tc>
        <w:tcPr>
          <w:tcW w:w="847" w:type="pct"/>
        </w:tcPr>
        <w:p w14:paraId="4EC8051F" w14:textId="77777777" w:rsidR="004E1D30" w:rsidRPr="00F02A14" w:rsidRDefault="004E1D3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795CC3" w14:textId="18AAB2C7"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4CE89143" w14:textId="2BAE38E2"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1061" w:type="pct"/>
        </w:tcPr>
        <w:p w14:paraId="11198AD0" w14:textId="0E95E44A" w:rsidR="004E1D30" w:rsidRPr="00F02A14" w:rsidRDefault="004E1D3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r>
  </w:tbl>
  <w:p w14:paraId="3D075749" w14:textId="3E14D053" w:rsidR="004E1D30"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5D4E3" w14:textId="77777777" w:rsidR="004E1D30" w:rsidRDefault="004E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1D30" w:rsidRPr="00CB3D59" w14:paraId="2B4CA3BA" w14:textId="77777777">
      <w:tc>
        <w:tcPr>
          <w:tcW w:w="1061" w:type="pct"/>
        </w:tcPr>
        <w:p w14:paraId="49F4ED8B" w14:textId="28705B8D" w:rsidR="004E1D30" w:rsidRPr="00F02A14" w:rsidRDefault="004E1D3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0574C">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p>
      </w:tc>
      <w:tc>
        <w:tcPr>
          <w:tcW w:w="3092" w:type="pct"/>
        </w:tcPr>
        <w:p w14:paraId="5449C89C" w14:textId="03F32BF6"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0574C" w:rsidRPr="0020574C">
            <w:rPr>
              <w:rFonts w:cs="Arial"/>
              <w:szCs w:val="18"/>
            </w:rPr>
            <w:t>Court Procedures Rules 2006</w:t>
          </w:r>
          <w:r>
            <w:rPr>
              <w:rFonts w:cs="Arial"/>
              <w:szCs w:val="18"/>
            </w:rPr>
            <w:fldChar w:fldCharType="end"/>
          </w:r>
        </w:p>
        <w:p w14:paraId="2DA1DDB8" w14:textId="38DE4E4D"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0574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0574C">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0574C">
            <w:rPr>
              <w:rFonts w:cs="Arial"/>
              <w:szCs w:val="18"/>
            </w:rPr>
            <w:t xml:space="preserve"> </w:t>
          </w:r>
          <w:r w:rsidRPr="00F02A14">
            <w:rPr>
              <w:rFonts w:cs="Arial"/>
              <w:szCs w:val="18"/>
            </w:rPr>
            <w:fldChar w:fldCharType="end"/>
          </w:r>
        </w:p>
      </w:tc>
      <w:tc>
        <w:tcPr>
          <w:tcW w:w="847" w:type="pct"/>
        </w:tcPr>
        <w:p w14:paraId="35C3958A" w14:textId="77777777" w:rsidR="004E1D30" w:rsidRPr="00F02A14" w:rsidRDefault="004E1D3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631F32F" w14:textId="03E688A5" w:rsidR="004E1D30"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82C5" w14:textId="77777777" w:rsidR="00745E18" w:rsidRDefault="00745E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E18" w14:paraId="62118C00" w14:textId="77777777">
      <w:tc>
        <w:tcPr>
          <w:tcW w:w="847" w:type="pct"/>
        </w:tcPr>
        <w:p w14:paraId="254181BB" w14:textId="77777777" w:rsidR="00745E18" w:rsidRDefault="00745E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D1AA552" w14:textId="60789B86" w:rsidR="00745E18"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62451214" w14:textId="02B34297" w:rsidR="00745E18" w:rsidRDefault="00F01B65">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0ED37A8F" w14:textId="0FA98331" w:rsidR="00745E18" w:rsidRDefault="00F01B65">
          <w:pPr>
            <w:pStyle w:val="Footer"/>
            <w:jc w:val="right"/>
          </w:pPr>
          <w:r>
            <w:fldChar w:fldCharType="begin"/>
          </w:r>
          <w:r>
            <w:instrText xml:space="preserve"> DOCPROPERTY "Category"  *\charformat  </w:instrText>
          </w:r>
          <w:r>
            <w:fldChar w:fldCharType="separate"/>
          </w:r>
          <w:r w:rsidR="0020574C">
            <w:t>R69</w:t>
          </w:r>
          <w:r>
            <w:fldChar w:fldCharType="end"/>
          </w:r>
          <w:r w:rsidR="00745E18">
            <w:br/>
          </w:r>
          <w:r>
            <w:fldChar w:fldCharType="begin"/>
          </w:r>
          <w:r>
            <w:instrText xml:space="preserve"> DOCPROPERTY "RepubDt"  *\charformat  </w:instrText>
          </w:r>
          <w:r>
            <w:fldChar w:fldCharType="separate"/>
          </w:r>
          <w:r w:rsidR="0020574C">
            <w:t>01/01/25</w:t>
          </w:r>
          <w:r>
            <w:fldChar w:fldCharType="end"/>
          </w:r>
        </w:p>
      </w:tc>
    </w:tr>
  </w:tbl>
  <w:p w14:paraId="5634C3D9" w14:textId="7CE0FC51" w:rsidR="00745E18"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F673C" w14:textId="77777777" w:rsidR="00745E18" w:rsidRDefault="00745E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E18" w14:paraId="5F53C1A9" w14:textId="77777777">
      <w:tc>
        <w:tcPr>
          <w:tcW w:w="1061" w:type="pct"/>
        </w:tcPr>
        <w:p w14:paraId="103856B8" w14:textId="01293495" w:rsidR="00745E18" w:rsidRDefault="00F01B65">
          <w:pPr>
            <w:pStyle w:val="Footer"/>
          </w:pPr>
          <w:r>
            <w:fldChar w:fldCharType="begin"/>
          </w:r>
          <w:r>
            <w:instrText xml:space="preserve"> DOCPROPERTY "Category"  *\charformat  </w:instrText>
          </w:r>
          <w:r>
            <w:fldChar w:fldCharType="separate"/>
          </w:r>
          <w:r w:rsidR="0020574C">
            <w:t>R69</w:t>
          </w:r>
          <w:r>
            <w:fldChar w:fldCharType="end"/>
          </w:r>
          <w:r w:rsidR="00745E18">
            <w:br/>
          </w:r>
          <w:r>
            <w:fldChar w:fldCharType="begin"/>
          </w:r>
          <w:r>
            <w:instrText xml:space="preserve"> DOCPROPERTY "RepubDt"  *\charformat  </w:instrText>
          </w:r>
          <w:r>
            <w:fldChar w:fldCharType="separate"/>
          </w:r>
          <w:r w:rsidR="0020574C">
            <w:t>01/01/25</w:t>
          </w:r>
          <w:r>
            <w:fldChar w:fldCharType="end"/>
          </w:r>
        </w:p>
      </w:tc>
      <w:tc>
        <w:tcPr>
          <w:tcW w:w="3092" w:type="pct"/>
        </w:tcPr>
        <w:p w14:paraId="5C63963A" w14:textId="31343860" w:rsidR="00745E18"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7387108D" w14:textId="1DCB9003" w:rsidR="00745E18" w:rsidRDefault="00F01B65">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1F92D721" w14:textId="77777777" w:rsidR="00745E18" w:rsidRDefault="00745E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B3964D6" w14:textId="3F88C456" w:rsidR="00745E18"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D4EA7" w14:textId="77777777" w:rsidR="00CA17B0" w:rsidRDefault="00CA17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7B0" w14:paraId="50146587" w14:textId="77777777">
      <w:tc>
        <w:tcPr>
          <w:tcW w:w="847" w:type="pct"/>
        </w:tcPr>
        <w:p w14:paraId="6CEF24D2" w14:textId="77777777" w:rsidR="00CA17B0" w:rsidRDefault="00CA17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64896C" w14:textId="06AB8CA9" w:rsidR="00CA17B0"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04F8B4E7" w14:textId="0DAA8454" w:rsidR="00CA17B0" w:rsidRDefault="00F01B65">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1061" w:type="pct"/>
        </w:tcPr>
        <w:p w14:paraId="5440AC07" w14:textId="6CADC39B" w:rsidR="00CA17B0" w:rsidRDefault="00F01B65">
          <w:pPr>
            <w:pStyle w:val="Footer"/>
            <w:jc w:val="right"/>
          </w:pPr>
          <w:r>
            <w:fldChar w:fldCharType="begin"/>
          </w:r>
          <w:r>
            <w:instrText xml:space="preserve"> DOCPROPERTY "Category"  *\charformat  </w:instrText>
          </w:r>
          <w:r>
            <w:fldChar w:fldCharType="separate"/>
          </w:r>
          <w:r w:rsidR="0020574C">
            <w:t>R69</w:t>
          </w:r>
          <w:r>
            <w:fldChar w:fldCharType="end"/>
          </w:r>
          <w:r w:rsidR="00CA17B0">
            <w:br/>
          </w:r>
          <w:r>
            <w:fldChar w:fldCharType="begin"/>
          </w:r>
          <w:r>
            <w:instrText xml:space="preserve"> DOCPROPERTY "RepubDt"  *\charformat  </w:instrText>
          </w:r>
          <w:r>
            <w:fldChar w:fldCharType="separate"/>
          </w:r>
          <w:r w:rsidR="0020574C">
            <w:t>01/01/25</w:t>
          </w:r>
          <w:r>
            <w:fldChar w:fldCharType="end"/>
          </w:r>
        </w:p>
      </w:tc>
    </w:tr>
  </w:tbl>
  <w:p w14:paraId="3987D5D8" w14:textId="595B62F6" w:rsidR="00CA17B0"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AE009" w14:textId="77777777" w:rsidR="00CA17B0" w:rsidRDefault="00CA17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7B0" w14:paraId="0F2F07B8" w14:textId="77777777">
      <w:tc>
        <w:tcPr>
          <w:tcW w:w="1061" w:type="pct"/>
        </w:tcPr>
        <w:p w14:paraId="78316433" w14:textId="7F5466B4" w:rsidR="00CA17B0" w:rsidRDefault="00F01B65">
          <w:pPr>
            <w:pStyle w:val="Footer"/>
          </w:pPr>
          <w:r>
            <w:fldChar w:fldCharType="begin"/>
          </w:r>
          <w:r>
            <w:instrText xml:space="preserve"> DOCPROPERTY "Category"  *\charformat  </w:instrText>
          </w:r>
          <w:r>
            <w:fldChar w:fldCharType="separate"/>
          </w:r>
          <w:r w:rsidR="0020574C">
            <w:t>R69</w:t>
          </w:r>
          <w:r>
            <w:fldChar w:fldCharType="end"/>
          </w:r>
          <w:r w:rsidR="00CA17B0">
            <w:br/>
          </w:r>
          <w:r>
            <w:fldChar w:fldCharType="begin"/>
          </w:r>
          <w:r>
            <w:instrText xml:space="preserve"> DOCPROPERTY "RepubDt"  *\charformat  </w:instrText>
          </w:r>
          <w:r>
            <w:fldChar w:fldCharType="separate"/>
          </w:r>
          <w:r w:rsidR="0020574C">
            <w:t>01/01/25</w:t>
          </w:r>
          <w:r>
            <w:fldChar w:fldCharType="end"/>
          </w:r>
        </w:p>
      </w:tc>
      <w:tc>
        <w:tcPr>
          <w:tcW w:w="3092" w:type="pct"/>
        </w:tcPr>
        <w:p w14:paraId="19DDFBCE" w14:textId="3EA4372F" w:rsidR="00CA17B0"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7411CA4D" w14:textId="6D4E5026" w:rsidR="00CA17B0" w:rsidRDefault="00F01B65">
          <w:pPr>
            <w:pStyle w:val="FooterInfoCentre"/>
          </w:pPr>
          <w:r>
            <w:fldChar w:fldCharType="begin"/>
          </w:r>
          <w:r>
            <w:instrText xml:space="preserve"> DOCPROPERTY "Eff"  *\charformat </w:instrText>
          </w:r>
          <w:r>
            <w:fldChar w:fldCharType="separate"/>
          </w:r>
          <w:r w:rsidR="0020574C">
            <w:t xml:space="preserve">Effective:  </w:t>
          </w:r>
          <w:r>
            <w:fldChar w:fldCharType="end"/>
          </w:r>
          <w:r>
            <w:fldChar w:fldCharType="begin"/>
          </w:r>
          <w:r>
            <w:instrText xml:space="preserve"> DOCPROPERTY "StartDt"  *\charformat </w:instrText>
          </w:r>
          <w:r>
            <w:fldChar w:fldCharType="separate"/>
          </w:r>
          <w:r w:rsidR="0020574C">
            <w:t>01/01/25</w:t>
          </w:r>
          <w:r>
            <w:fldChar w:fldCharType="end"/>
          </w:r>
          <w:r>
            <w:fldChar w:fldCharType="begin"/>
          </w:r>
          <w:r>
            <w:instrText xml:space="preserve"> DOCPROPERTY "EndDt"  *\charformat </w:instrText>
          </w:r>
          <w:r>
            <w:fldChar w:fldCharType="separate"/>
          </w:r>
          <w:r w:rsidR="0020574C">
            <w:t xml:space="preserve"> </w:t>
          </w:r>
          <w:r>
            <w:fldChar w:fldCharType="end"/>
          </w:r>
        </w:p>
      </w:tc>
      <w:tc>
        <w:tcPr>
          <w:tcW w:w="847" w:type="pct"/>
        </w:tcPr>
        <w:p w14:paraId="698ADC37" w14:textId="77777777" w:rsidR="00CA17B0" w:rsidRDefault="00CA17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47DA3D" w14:textId="5E3CB0E6" w:rsidR="00CA17B0"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C87CB" w14:textId="47D7C569" w:rsidR="006145DB" w:rsidRPr="001542D1" w:rsidRDefault="001542D1" w:rsidP="001542D1">
    <w:pPr>
      <w:pStyle w:val="Footer"/>
      <w:jc w:val="center"/>
      <w:rPr>
        <w:rFonts w:cs="Arial"/>
        <w:sz w:val="14"/>
      </w:rPr>
    </w:pPr>
    <w:r w:rsidRPr="001542D1">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F0C71" w14:textId="1C56C532" w:rsidR="006145DB" w:rsidRPr="001542D1" w:rsidRDefault="006145DB" w:rsidP="001542D1">
    <w:pPr>
      <w:pStyle w:val="Footer"/>
      <w:jc w:val="center"/>
      <w:rPr>
        <w:rFonts w:cs="Arial"/>
        <w:sz w:val="14"/>
      </w:rPr>
    </w:pPr>
    <w:r w:rsidRPr="001542D1">
      <w:rPr>
        <w:rFonts w:cs="Arial"/>
        <w:sz w:val="14"/>
      </w:rPr>
      <w:fldChar w:fldCharType="begin"/>
    </w:r>
    <w:r w:rsidRPr="001542D1">
      <w:rPr>
        <w:rFonts w:cs="Arial"/>
        <w:sz w:val="14"/>
      </w:rPr>
      <w:instrText xml:space="preserve"> COMMENTS  \* MERGEFORMAT </w:instrText>
    </w:r>
    <w:r w:rsidRPr="001542D1">
      <w:rPr>
        <w:rFonts w:cs="Arial"/>
        <w:sz w:val="14"/>
      </w:rPr>
      <w:fldChar w:fldCharType="end"/>
    </w:r>
    <w:r w:rsidR="001542D1" w:rsidRPr="001542D1">
      <w:rPr>
        <w:rFonts w:cs="Arial"/>
        <w:sz w:val="14"/>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9285A" w14:textId="21F0576D" w:rsidR="006145DB" w:rsidRPr="001542D1" w:rsidRDefault="001542D1" w:rsidP="001542D1">
    <w:pPr>
      <w:pStyle w:val="Footer"/>
      <w:jc w:val="center"/>
      <w:rPr>
        <w:rFonts w:cs="Arial"/>
        <w:sz w:val="14"/>
      </w:rPr>
    </w:pPr>
    <w:r w:rsidRPr="001542D1">
      <w:rPr>
        <w:rFonts w:cs="Arial"/>
        <w:sz w:val="14"/>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C5FFB"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145DB" w14:paraId="1A2C8452" w14:textId="77777777">
      <w:tc>
        <w:tcPr>
          <w:tcW w:w="846" w:type="pct"/>
        </w:tcPr>
        <w:p w14:paraId="4BBB215C"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14:paraId="64FBA5F4" w14:textId="5579292A" w:rsidR="006145DB"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251A722F" w14:textId="41616F3A" w:rsidR="006145DB" w:rsidRDefault="00F01B65">
          <w:pPr>
            <w:pStyle w:val="FooterInfoCentre"/>
          </w:pPr>
          <w:r>
            <w:fldChar w:fldCharType="begin"/>
          </w:r>
          <w:r>
            <w:instrText xml:space="preserve"> DOCPROPERTY "Eff"  </w:instrText>
          </w:r>
          <w:r>
            <w:fldChar w:fldCharType="separate"/>
          </w:r>
          <w:r w:rsidR="0020574C">
            <w:t xml:space="preserve">Effective:  </w:t>
          </w:r>
          <w:r>
            <w:fldChar w:fldCharType="end"/>
          </w:r>
          <w:r>
            <w:fldChar w:fldCharType="begin"/>
          </w:r>
          <w:r>
            <w:instrText xml:space="preserve"> DOCPROPERTY "StartDt"   </w:instrText>
          </w:r>
          <w:r>
            <w:fldChar w:fldCharType="separate"/>
          </w:r>
          <w:r w:rsidR="0020574C">
            <w:t>01/01/25</w:t>
          </w:r>
          <w:r>
            <w:fldChar w:fldCharType="end"/>
          </w:r>
          <w:r>
            <w:fldChar w:fldCharType="begin"/>
          </w:r>
          <w:r>
            <w:instrText xml:space="preserve"> DOCPROPERTY "EndDt"  </w:instrText>
          </w:r>
          <w:r>
            <w:fldChar w:fldCharType="separate"/>
          </w:r>
          <w:r w:rsidR="0020574C">
            <w:t xml:space="preserve"> </w:t>
          </w:r>
          <w:r>
            <w:fldChar w:fldCharType="end"/>
          </w:r>
        </w:p>
      </w:tc>
      <w:tc>
        <w:tcPr>
          <w:tcW w:w="1061" w:type="pct"/>
        </w:tcPr>
        <w:p w14:paraId="029B482C" w14:textId="253790B5" w:rsidR="006145DB" w:rsidRDefault="00F01B65">
          <w:pPr>
            <w:pStyle w:val="Footer"/>
            <w:jc w:val="right"/>
          </w:pPr>
          <w:r>
            <w:fldChar w:fldCharType="begin"/>
          </w:r>
          <w:r>
            <w:instrText xml:space="preserve"> DOCPROPERTY "Category"  </w:instrText>
          </w:r>
          <w:r>
            <w:fldChar w:fldCharType="separate"/>
          </w:r>
          <w:r w:rsidR="0020574C">
            <w:t>R69</w:t>
          </w:r>
          <w:r>
            <w:fldChar w:fldCharType="end"/>
          </w:r>
          <w:r w:rsidR="006145DB">
            <w:br/>
          </w:r>
          <w:r>
            <w:fldChar w:fldCharType="begin"/>
          </w:r>
          <w:r>
            <w:instrText xml:space="preserve"> DOCPROPERTY "RepubDt"  </w:instrText>
          </w:r>
          <w:r>
            <w:fldChar w:fldCharType="separate"/>
          </w:r>
          <w:r w:rsidR="0020574C">
            <w:t>01/01/25</w:t>
          </w:r>
          <w:r>
            <w:fldChar w:fldCharType="end"/>
          </w:r>
        </w:p>
      </w:tc>
    </w:tr>
  </w:tbl>
  <w:p w14:paraId="38DD0A72" w14:textId="64A7C04E" w:rsidR="006145DB"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6A2D3"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56F95990" w14:textId="77777777">
      <w:tc>
        <w:tcPr>
          <w:tcW w:w="1061" w:type="pct"/>
        </w:tcPr>
        <w:p w14:paraId="2CA1527E" w14:textId="7DE424D2" w:rsidR="006145DB" w:rsidRDefault="00F01B65">
          <w:pPr>
            <w:pStyle w:val="Footer"/>
          </w:pPr>
          <w:r>
            <w:fldChar w:fldCharType="begin"/>
          </w:r>
          <w:r>
            <w:instrText xml:space="preserve"> DOCPROPERTY "Category"  </w:instrText>
          </w:r>
          <w:r>
            <w:fldChar w:fldCharType="separate"/>
          </w:r>
          <w:r w:rsidR="0020574C">
            <w:t>R69</w:t>
          </w:r>
          <w:r>
            <w:fldChar w:fldCharType="end"/>
          </w:r>
          <w:r w:rsidR="006145DB">
            <w:br/>
          </w:r>
          <w:r>
            <w:fldChar w:fldCharType="begin"/>
          </w:r>
          <w:r>
            <w:instrText xml:space="preserve"> DOCPROPERTY "RepubDt"  </w:instrText>
          </w:r>
          <w:r>
            <w:fldChar w:fldCharType="separate"/>
          </w:r>
          <w:r w:rsidR="0020574C">
            <w:t>01/01/25</w:t>
          </w:r>
          <w:r>
            <w:fldChar w:fldCharType="end"/>
          </w:r>
        </w:p>
      </w:tc>
      <w:tc>
        <w:tcPr>
          <w:tcW w:w="3093" w:type="pct"/>
        </w:tcPr>
        <w:p w14:paraId="43E67D72" w14:textId="6E69EADA" w:rsidR="006145DB"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7C6757CD" w14:textId="55F74105" w:rsidR="006145DB" w:rsidRDefault="00F01B65">
          <w:pPr>
            <w:pStyle w:val="FooterInfoCentre"/>
          </w:pPr>
          <w:r>
            <w:fldChar w:fldCharType="begin"/>
          </w:r>
          <w:r>
            <w:instrText xml:space="preserve"> DOCPROPERTY "Eff"  </w:instrText>
          </w:r>
          <w:r>
            <w:fldChar w:fldCharType="separate"/>
          </w:r>
          <w:r w:rsidR="0020574C">
            <w:t xml:space="preserve">Effective:  </w:t>
          </w:r>
          <w:r>
            <w:fldChar w:fldCharType="end"/>
          </w:r>
          <w:r>
            <w:fldChar w:fldCharType="begin"/>
          </w:r>
          <w:r>
            <w:instrText xml:space="preserve"> DOCPROPERTY "StartDt"  </w:instrText>
          </w:r>
          <w:r>
            <w:fldChar w:fldCharType="separate"/>
          </w:r>
          <w:r w:rsidR="0020574C">
            <w:t>01/01/25</w:t>
          </w:r>
          <w:r>
            <w:fldChar w:fldCharType="end"/>
          </w:r>
          <w:r>
            <w:fldChar w:fldCharType="begin"/>
          </w:r>
          <w:r>
            <w:instrText xml:space="preserve"> DOCPROPERTY "EndDt"  </w:instrText>
          </w:r>
          <w:r>
            <w:fldChar w:fldCharType="separate"/>
          </w:r>
          <w:r w:rsidR="0020574C">
            <w:t xml:space="preserve"> </w:t>
          </w:r>
          <w:r>
            <w:fldChar w:fldCharType="end"/>
          </w:r>
        </w:p>
      </w:tc>
      <w:tc>
        <w:tcPr>
          <w:tcW w:w="846" w:type="pct"/>
        </w:tcPr>
        <w:p w14:paraId="23A04810"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36EDDBA7" w14:textId="6578C198" w:rsidR="006145DB"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0D3BE"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6E301A75" w14:textId="77777777">
      <w:tc>
        <w:tcPr>
          <w:tcW w:w="1061" w:type="pct"/>
        </w:tcPr>
        <w:p w14:paraId="0CE7F5AB" w14:textId="3ED4FCC0" w:rsidR="006145DB" w:rsidRDefault="00F01B65">
          <w:pPr>
            <w:pStyle w:val="Footer"/>
          </w:pPr>
          <w:r>
            <w:fldChar w:fldCharType="begin"/>
          </w:r>
          <w:r>
            <w:instrText xml:space="preserve"> DOCPROPERTY "Category"  </w:instrText>
          </w:r>
          <w:r>
            <w:fldChar w:fldCharType="separate"/>
          </w:r>
          <w:r w:rsidR="0020574C">
            <w:t>R69</w:t>
          </w:r>
          <w:r>
            <w:fldChar w:fldCharType="end"/>
          </w:r>
          <w:r w:rsidR="006145DB">
            <w:br/>
          </w:r>
          <w:r>
            <w:fldChar w:fldCharType="begin"/>
          </w:r>
          <w:r>
            <w:instrText xml:space="preserve"> DOCPROPERTY "RepubDt"  </w:instrText>
          </w:r>
          <w:r>
            <w:fldChar w:fldCharType="separate"/>
          </w:r>
          <w:r w:rsidR="0020574C">
            <w:t>01/01/25</w:t>
          </w:r>
          <w:r>
            <w:fldChar w:fldCharType="end"/>
          </w:r>
        </w:p>
      </w:tc>
      <w:tc>
        <w:tcPr>
          <w:tcW w:w="3093" w:type="pct"/>
        </w:tcPr>
        <w:p w14:paraId="39C86C33" w14:textId="05DF55AF" w:rsidR="006145DB" w:rsidRDefault="00F01B65">
          <w:pPr>
            <w:pStyle w:val="Footer"/>
            <w:jc w:val="center"/>
          </w:pPr>
          <w:r>
            <w:fldChar w:fldCharType="begin"/>
          </w:r>
          <w:r>
            <w:instrText xml:space="preserve"> REF Citation *\charformat </w:instrText>
          </w:r>
          <w:r>
            <w:fldChar w:fldCharType="separate"/>
          </w:r>
          <w:r w:rsidR="0020574C">
            <w:t>Court Procedures Rules 2006</w:t>
          </w:r>
          <w:r>
            <w:fldChar w:fldCharType="end"/>
          </w:r>
        </w:p>
        <w:p w14:paraId="58EBBA84" w14:textId="581194E3" w:rsidR="006145DB" w:rsidRDefault="00F01B65">
          <w:pPr>
            <w:pStyle w:val="FooterInfoCentre"/>
          </w:pPr>
          <w:r>
            <w:fldChar w:fldCharType="begin"/>
          </w:r>
          <w:r>
            <w:instrText xml:space="preserve"> DOCPROPERTY "Eff"  </w:instrText>
          </w:r>
          <w:r>
            <w:fldChar w:fldCharType="separate"/>
          </w:r>
          <w:r w:rsidR="0020574C">
            <w:t xml:space="preserve">Effective:  </w:t>
          </w:r>
          <w:r>
            <w:fldChar w:fldCharType="end"/>
          </w:r>
          <w:r>
            <w:fldChar w:fldCharType="begin"/>
          </w:r>
          <w:r>
            <w:instrText xml:space="preserve"> DOCPROPERTY "StartDt"   </w:instrText>
          </w:r>
          <w:r>
            <w:fldChar w:fldCharType="separate"/>
          </w:r>
          <w:r w:rsidR="0020574C">
            <w:t>01/01/25</w:t>
          </w:r>
          <w:r>
            <w:fldChar w:fldCharType="end"/>
          </w:r>
          <w:r>
            <w:fldChar w:fldCharType="begin"/>
          </w:r>
          <w:r>
            <w:instrText xml:space="preserve"> DOCPROPERTY "EndDt"  </w:instrText>
          </w:r>
          <w:r>
            <w:fldChar w:fldCharType="separate"/>
          </w:r>
          <w:r w:rsidR="0020574C">
            <w:t xml:space="preserve"> </w:t>
          </w:r>
          <w:r>
            <w:fldChar w:fldCharType="end"/>
          </w:r>
        </w:p>
      </w:tc>
      <w:tc>
        <w:tcPr>
          <w:tcW w:w="846" w:type="pct"/>
        </w:tcPr>
        <w:p w14:paraId="665F398F"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4673EFD7" w14:textId="3BBD3A77" w:rsidR="006145DB" w:rsidRPr="001542D1" w:rsidRDefault="00F01B65" w:rsidP="001542D1">
    <w:pPr>
      <w:pStyle w:val="Status"/>
      <w:rPr>
        <w:rFonts w:cs="Arial"/>
      </w:rPr>
    </w:pPr>
    <w:r w:rsidRPr="001542D1">
      <w:rPr>
        <w:rFonts w:cs="Arial"/>
      </w:rPr>
      <w:fldChar w:fldCharType="begin"/>
    </w:r>
    <w:r w:rsidRPr="001542D1">
      <w:rPr>
        <w:rFonts w:cs="Arial"/>
      </w:rPr>
      <w:instrText xml:space="preserve"> DOCPROPERTY "Status" </w:instrText>
    </w:r>
    <w:r w:rsidRPr="001542D1">
      <w:rPr>
        <w:rFonts w:cs="Arial"/>
      </w:rPr>
      <w:fldChar w:fldCharType="separate"/>
    </w:r>
    <w:r w:rsidR="0020574C" w:rsidRPr="001542D1">
      <w:rPr>
        <w:rFonts w:cs="Arial"/>
      </w:rPr>
      <w:t xml:space="preserve"> </w:t>
    </w:r>
    <w:r w:rsidRPr="001542D1">
      <w:rPr>
        <w:rFonts w:cs="Arial"/>
      </w:rPr>
      <w:fldChar w:fldCharType="end"/>
    </w:r>
    <w:r w:rsidR="001542D1" w:rsidRPr="001542D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BF05D" w14:textId="77777777" w:rsidR="00C37CD9" w:rsidRDefault="00C37CD9">
      <w:r>
        <w:separator/>
      </w:r>
    </w:p>
  </w:footnote>
  <w:footnote w:type="continuationSeparator" w:id="0">
    <w:p w14:paraId="46154520" w14:textId="77777777" w:rsidR="00C37CD9" w:rsidRDefault="00C37C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973BA" w14:textId="77777777" w:rsidR="001542D1" w:rsidRDefault="001542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28C43" w14:textId="77777777" w:rsidR="001542D1" w:rsidRDefault="001542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495FC" w14:textId="77777777" w:rsidR="001542D1" w:rsidRDefault="001542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145DB" w14:paraId="3A8251DF" w14:textId="77777777">
      <w:tc>
        <w:tcPr>
          <w:tcW w:w="900" w:type="pct"/>
        </w:tcPr>
        <w:p w14:paraId="21EA002D" w14:textId="77777777" w:rsidR="006145DB" w:rsidRDefault="006145DB">
          <w:pPr>
            <w:pStyle w:val="HeaderEven"/>
          </w:pPr>
        </w:p>
      </w:tc>
      <w:tc>
        <w:tcPr>
          <w:tcW w:w="4100" w:type="pct"/>
        </w:tcPr>
        <w:p w14:paraId="29158B00" w14:textId="77777777" w:rsidR="006145DB" w:rsidRDefault="006145DB">
          <w:pPr>
            <w:pStyle w:val="HeaderEven"/>
          </w:pPr>
        </w:p>
      </w:tc>
    </w:tr>
    <w:tr w:rsidR="006145DB" w14:paraId="6D9790D9" w14:textId="77777777">
      <w:tc>
        <w:tcPr>
          <w:tcW w:w="4100" w:type="pct"/>
          <w:gridSpan w:val="2"/>
          <w:tcBorders>
            <w:bottom w:val="single" w:sz="4" w:space="0" w:color="auto"/>
          </w:tcBorders>
        </w:tcPr>
        <w:p w14:paraId="348BADCE" w14:textId="3A13E03F" w:rsidR="006145DB" w:rsidRDefault="006145DB">
          <w:pPr>
            <w:pStyle w:val="HeaderEven6"/>
          </w:pPr>
          <w:r>
            <w:rPr>
              <w:noProof/>
            </w:rPr>
            <w:fldChar w:fldCharType="begin"/>
          </w:r>
          <w:r>
            <w:rPr>
              <w:noProof/>
            </w:rPr>
            <w:instrText xml:space="preserve"> STYLEREF charContents \* MERGEFORMAT </w:instrText>
          </w:r>
          <w:r>
            <w:rPr>
              <w:noProof/>
            </w:rPr>
            <w:fldChar w:fldCharType="separate"/>
          </w:r>
          <w:r w:rsidR="001542D1">
            <w:rPr>
              <w:noProof/>
            </w:rPr>
            <w:t>Contents</w:t>
          </w:r>
          <w:r>
            <w:rPr>
              <w:noProof/>
            </w:rPr>
            <w:fldChar w:fldCharType="end"/>
          </w:r>
        </w:p>
      </w:tc>
    </w:tr>
  </w:tbl>
  <w:p w14:paraId="6A9CCCF1" w14:textId="26527D97"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1542D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145DB" w14:paraId="79264E78" w14:textId="77777777">
      <w:tc>
        <w:tcPr>
          <w:tcW w:w="4100" w:type="pct"/>
        </w:tcPr>
        <w:p w14:paraId="6D44A99E" w14:textId="77777777" w:rsidR="006145DB" w:rsidRDefault="006145DB">
          <w:pPr>
            <w:pStyle w:val="HeaderOdd"/>
          </w:pPr>
        </w:p>
      </w:tc>
      <w:tc>
        <w:tcPr>
          <w:tcW w:w="900" w:type="pct"/>
        </w:tcPr>
        <w:p w14:paraId="7E2C00C4" w14:textId="77777777" w:rsidR="006145DB" w:rsidRDefault="006145DB">
          <w:pPr>
            <w:pStyle w:val="HeaderOdd"/>
          </w:pPr>
        </w:p>
      </w:tc>
    </w:tr>
    <w:tr w:rsidR="006145DB" w14:paraId="25D6A230" w14:textId="77777777">
      <w:tc>
        <w:tcPr>
          <w:tcW w:w="900" w:type="pct"/>
          <w:gridSpan w:val="2"/>
          <w:tcBorders>
            <w:bottom w:val="single" w:sz="4" w:space="0" w:color="auto"/>
          </w:tcBorders>
        </w:tcPr>
        <w:p w14:paraId="4D9D47C1" w14:textId="7C9836AF" w:rsidR="006145DB" w:rsidRDefault="006145DB">
          <w:pPr>
            <w:pStyle w:val="HeaderOdd6"/>
          </w:pPr>
          <w:r>
            <w:rPr>
              <w:noProof/>
            </w:rPr>
            <w:fldChar w:fldCharType="begin"/>
          </w:r>
          <w:r>
            <w:rPr>
              <w:noProof/>
            </w:rPr>
            <w:instrText xml:space="preserve"> STYLEREF charContents \* MERGEFORMAT </w:instrText>
          </w:r>
          <w:r>
            <w:rPr>
              <w:noProof/>
            </w:rPr>
            <w:fldChar w:fldCharType="separate"/>
          </w:r>
          <w:r w:rsidR="001542D1">
            <w:rPr>
              <w:noProof/>
            </w:rPr>
            <w:t>Contents</w:t>
          </w:r>
          <w:r>
            <w:rPr>
              <w:noProof/>
            </w:rPr>
            <w:fldChar w:fldCharType="end"/>
          </w:r>
        </w:p>
      </w:tc>
    </w:tr>
  </w:tbl>
  <w:p w14:paraId="3618D492" w14:textId="48D35885"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1542D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C7AC5" w14:paraId="64E8F1A8" w14:textId="77777777" w:rsidTr="002A3279">
      <w:tc>
        <w:tcPr>
          <w:tcW w:w="1701" w:type="dxa"/>
        </w:tcPr>
        <w:p w14:paraId="5AB09A88" w14:textId="27473BB5" w:rsidR="006B04ED" w:rsidRDefault="006B04ED">
          <w:pPr>
            <w:pStyle w:val="HeaderEven"/>
            <w:rPr>
              <w:b/>
            </w:rPr>
          </w:pPr>
          <w:r>
            <w:rPr>
              <w:b/>
            </w:rPr>
            <w:fldChar w:fldCharType="begin"/>
          </w:r>
          <w:r>
            <w:rPr>
              <w:b/>
            </w:rPr>
            <w:instrText xml:space="preserve"> STYLEREF CharChapNo \*charformat  </w:instrText>
          </w:r>
          <w:r>
            <w:rPr>
              <w:b/>
            </w:rPr>
            <w:fldChar w:fldCharType="separate"/>
          </w:r>
          <w:r w:rsidR="001542D1">
            <w:rPr>
              <w:b/>
              <w:noProof/>
            </w:rPr>
            <w:t>Chapter 2</w:t>
          </w:r>
          <w:r>
            <w:rPr>
              <w:b/>
            </w:rPr>
            <w:fldChar w:fldCharType="end"/>
          </w:r>
        </w:p>
      </w:tc>
      <w:tc>
        <w:tcPr>
          <w:tcW w:w="6320" w:type="dxa"/>
        </w:tcPr>
        <w:p w14:paraId="44254586" w14:textId="59B9A549" w:rsidR="006B04ED" w:rsidRDefault="006B04ED">
          <w:pPr>
            <w:pStyle w:val="HeaderEven"/>
          </w:pPr>
          <w:r>
            <w:rPr>
              <w:noProof/>
            </w:rPr>
            <w:fldChar w:fldCharType="begin"/>
          </w:r>
          <w:r>
            <w:rPr>
              <w:noProof/>
            </w:rPr>
            <w:instrText xml:space="preserve"> STYLEREF CharChapText \*charformat  </w:instrText>
          </w:r>
          <w:r>
            <w:rPr>
              <w:noProof/>
            </w:rPr>
            <w:fldChar w:fldCharType="separate"/>
          </w:r>
          <w:r w:rsidR="001542D1">
            <w:rPr>
              <w:noProof/>
            </w:rPr>
            <w:t>Civil proceedings generally</w:t>
          </w:r>
          <w:r>
            <w:rPr>
              <w:noProof/>
            </w:rPr>
            <w:fldChar w:fldCharType="end"/>
          </w:r>
        </w:p>
      </w:tc>
    </w:tr>
    <w:tr w:rsidR="00AC7AC5" w14:paraId="4AD32BB0" w14:textId="77777777" w:rsidTr="002A3279">
      <w:tc>
        <w:tcPr>
          <w:tcW w:w="1701" w:type="dxa"/>
        </w:tcPr>
        <w:p w14:paraId="578B9AEA" w14:textId="1AFD5FAD" w:rsidR="006B04ED" w:rsidRDefault="006B04ED">
          <w:pPr>
            <w:pStyle w:val="HeaderEven"/>
            <w:rPr>
              <w:b/>
            </w:rPr>
          </w:pPr>
          <w:r>
            <w:rPr>
              <w:b/>
            </w:rPr>
            <w:fldChar w:fldCharType="begin"/>
          </w:r>
          <w:r>
            <w:rPr>
              <w:b/>
            </w:rPr>
            <w:instrText xml:space="preserve"> STYLEREF CharPartNo \*charformat </w:instrText>
          </w:r>
          <w:r w:rsidR="001542D1">
            <w:rPr>
              <w:b/>
            </w:rPr>
            <w:fldChar w:fldCharType="separate"/>
          </w:r>
          <w:r w:rsidR="001542D1">
            <w:rPr>
              <w:b/>
              <w:noProof/>
            </w:rPr>
            <w:t>Part 2.18</w:t>
          </w:r>
          <w:r>
            <w:rPr>
              <w:b/>
            </w:rPr>
            <w:fldChar w:fldCharType="end"/>
          </w:r>
        </w:p>
      </w:tc>
      <w:tc>
        <w:tcPr>
          <w:tcW w:w="6320" w:type="dxa"/>
        </w:tcPr>
        <w:p w14:paraId="21C2D787" w14:textId="594986E7" w:rsidR="006B04ED" w:rsidRDefault="00F01B65">
          <w:pPr>
            <w:pStyle w:val="HeaderEven"/>
          </w:pPr>
          <w:r>
            <w:fldChar w:fldCharType="begin"/>
          </w:r>
          <w:r>
            <w:instrText xml:space="preserve"> STYLEREF CharPartText \*charformat </w:instrText>
          </w:r>
          <w:r w:rsidR="001542D1">
            <w:fldChar w:fldCharType="separate"/>
          </w:r>
          <w:r w:rsidR="001542D1">
            <w:rPr>
              <w:noProof/>
            </w:rPr>
            <w:t>Enforcement</w:t>
          </w:r>
          <w:r>
            <w:rPr>
              <w:noProof/>
            </w:rPr>
            <w:fldChar w:fldCharType="end"/>
          </w:r>
        </w:p>
      </w:tc>
    </w:tr>
    <w:tr w:rsidR="00AC7AC5" w14:paraId="204A2FA9" w14:textId="77777777" w:rsidTr="002A3279">
      <w:tc>
        <w:tcPr>
          <w:tcW w:w="1701" w:type="dxa"/>
        </w:tcPr>
        <w:p w14:paraId="223FCA05" w14:textId="66BCB27D" w:rsidR="006B04ED" w:rsidRDefault="006B04ED">
          <w:pPr>
            <w:pStyle w:val="HeaderEven"/>
            <w:rPr>
              <w:b/>
            </w:rPr>
          </w:pPr>
          <w:r>
            <w:rPr>
              <w:b/>
            </w:rPr>
            <w:fldChar w:fldCharType="begin"/>
          </w:r>
          <w:r>
            <w:rPr>
              <w:b/>
            </w:rPr>
            <w:instrText xml:space="preserve"> STYLEREF CharDivNo \*charformat </w:instrText>
          </w:r>
          <w:r w:rsidR="001542D1">
            <w:rPr>
              <w:b/>
            </w:rPr>
            <w:fldChar w:fldCharType="separate"/>
          </w:r>
          <w:r w:rsidR="001542D1">
            <w:rPr>
              <w:b/>
              <w:noProof/>
            </w:rPr>
            <w:t>Division 2.18.6</w:t>
          </w:r>
          <w:r>
            <w:rPr>
              <w:b/>
            </w:rPr>
            <w:fldChar w:fldCharType="end"/>
          </w:r>
        </w:p>
      </w:tc>
      <w:tc>
        <w:tcPr>
          <w:tcW w:w="6320" w:type="dxa"/>
        </w:tcPr>
        <w:p w14:paraId="0435D572" w14:textId="6E6A3E78" w:rsidR="006B04ED" w:rsidRDefault="00F01B65">
          <w:pPr>
            <w:pStyle w:val="HeaderEven"/>
          </w:pPr>
          <w:r>
            <w:fldChar w:fldCharType="begin"/>
          </w:r>
          <w:r>
            <w:instrText xml:space="preserve"> STYLEREF CharDivText \*charformat </w:instrText>
          </w:r>
          <w:r w:rsidR="001542D1">
            <w:fldChar w:fldCharType="separate"/>
          </w:r>
          <w:r w:rsidR="001542D1">
            <w:rPr>
              <w:noProof/>
            </w:rPr>
            <w:t>Enforcement of money orders—debt redirection orders generally</w:t>
          </w:r>
          <w:r>
            <w:rPr>
              <w:noProof/>
            </w:rPr>
            <w:fldChar w:fldCharType="end"/>
          </w:r>
        </w:p>
      </w:tc>
    </w:tr>
    <w:tr w:rsidR="006B04ED" w14:paraId="51469E78" w14:textId="77777777" w:rsidTr="002A3279">
      <w:trPr>
        <w:cantSplit/>
      </w:trPr>
      <w:tc>
        <w:tcPr>
          <w:tcW w:w="1701" w:type="dxa"/>
          <w:gridSpan w:val="2"/>
          <w:tcBorders>
            <w:bottom w:val="single" w:sz="4" w:space="0" w:color="auto"/>
          </w:tcBorders>
        </w:tcPr>
        <w:p w14:paraId="5913378A" w14:textId="70D6CCC0" w:rsidR="006B04ED" w:rsidRDefault="001542D1">
          <w:pPr>
            <w:pStyle w:val="HeaderEven6"/>
          </w:pPr>
          <w:r>
            <w:fldChar w:fldCharType="begin"/>
          </w:r>
          <w:r>
            <w:instrText xml:space="preserve"> DOCPROPERTY "Company"  \* MERGEFORMAT </w:instrText>
          </w:r>
          <w:r>
            <w:fldChar w:fldCharType="separate"/>
          </w:r>
          <w:r w:rsidR="0020574C">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2315</w:t>
          </w:r>
          <w:r w:rsidR="006B04ED">
            <w:rPr>
              <w:noProof/>
            </w:rPr>
            <w:fldChar w:fldCharType="end"/>
          </w:r>
        </w:p>
      </w:tc>
    </w:tr>
  </w:tbl>
  <w:p w14:paraId="1D3A4CAB" w14:textId="77777777" w:rsidR="006B04ED" w:rsidRDefault="006B04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AC7AC5" w14:paraId="6CA9FC2F" w14:textId="77777777" w:rsidTr="002A3279">
      <w:tc>
        <w:tcPr>
          <w:tcW w:w="6320" w:type="dxa"/>
        </w:tcPr>
        <w:p w14:paraId="5C824CE1" w14:textId="32118A32" w:rsidR="006B04ED" w:rsidRDefault="006B04ED">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Civil proceedings generally</w:t>
          </w:r>
          <w:r>
            <w:rPr>
              <w:noProof/>
            </w:rPr>
            <w:fldChar w:fldCharType="end"/>
          </w:r>
        </w:p>
      </w:tc>
      <w:tc>
        <w:tcPr>
          <w:tcW w:w="1701" w:type="dxa"/>
        </w:tcPr>
        <w:p w14:paraId="0DCC2B68" w14:textId="2FA1049B" w:rsidR="006B04ED" w:rsidRDefault="006B04ED">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2</w:t>
          </w:r>
          <w:r>
            <w:rPr>
              <w:b/>
            </w:rPr>
            <w:fldChar w:fldCharType="end"/>
          </w:r>
        </w:p>
      </w:tc>
    </w:tr>
    <w:tr w:rsidR="00AC7AC5" w14:paraId="26A3AAD4" w14:textId="77777777" w:rsidTr="002A3279">
      <w:tc>
        <w:tcPr>
          <w:tcW w:w="6320" w:type="dxa"/>
        </w:tcPr>
        <w:p w14:paraId="503C9B3F" w14:textId="10838E24" w:rsidR="006B04ED" w:rsidRDefault="00F01B65">
          <w:pPr>
            <w:pStyle w:val="HeaderEven"/>
            <w:jc w:val="right"/>
          </w:pPr>
          <w:r>
            <w:fldChar w:fldCharType="begin"/>
          </w:r>
          <w:r>
            <w:instrText xml:space="preserve"> STYLEREF CharPartText \*charformat </w:instrText>
          </w:r>
          <w:r w:rsidR="001542D1">
            <w:fldChar w:fldCharType="separate"/>
          </w:r>
          <w:r w:rsidR="001542D1">
            <w:rPr>
              <w:noProof/>
            </w:rPr>
            <w:t>Enforcement</w:t>
          </w:r>
          <w:r>
            <w:rPr>
              <w:noProof/>
            </w:rPr>
            <w:fldChar w:fldCharType="end"/>
          </w:r>
        </w:p>
      </w:tc>
      <w:tc>
        <w:tcPr>
          <w:tcW w:w="1701" w:type="dxa"/>
        </w:tcPr>
        <w:p w14:paraId="401CA99C" w14:textId="281D9E01" w:rsidR="006B04ED" w:rsidRDefault="006B04ED">
          <w:pPr>
            <w:pStyle w:val="HeaderEven"/>
            <w:jc w:val="right"/>
            <w:rPr>
              <w:b/>
            </w:rPr>
          </w:pPr>
          <w:r>
            <w:rPr>
              <w:b/>
            </w:rPr>
            <w:fldChar w:fldCharType="begin"/>
          </w:r>
          <w:r>
            <w:rPr>
              <w:b/>
            </w:rPr>
            <w:instrText xml:space="preserve"> STYLEREF CharPartNo \*charformat </w:instrText>
          </w:r>
          <w:r w:rsidR="001542D1">
            <w:rPr>
              <w:b/>
            </w:rPr>
            <w:fldChar w:fldCharType="separate"/>
          </w:r>
          <w:r w:rsidR="001542D1">
            <w:rPr>
              <w:b/>
              <w:noProof/>
            </w:rPr>
            <w:t>Part 2.18</w:t>
          </w:r>
          <w:r>
            <w:rPr>
              <w:b/>
            </w:rPr>
            <w:fldChar w:fldCharType="end"/>
          </w:r>
        </w:p>
      </w:tc>
    </w:tr>
    <w:tr w:rsidR="00AC7AC5" w14:paraId="7AF9FFC6" w14:textId="77777777" w:rsidTr="002A3279">
      <w:tc>
        <w:tcPr>
          <w:tcW w:w="6320" w:type="dxa"/>
        </w:tcPr>
        <w:p w14:paraId="6FDD42BB" w14:textId="174DDD43" w:rsidR="006B04ED" w:rsidRDefault="00F01B65">
          <w:pPr>
            <w:pStyle w:val="HeaderEven"/>
            <w:jc w:val="right"/>
          </w:pPr>
          <w:r>
            <w:fldChar w:fldCharType="begin"/>
          </w:r>
          <w:r>
            <w:instrText xml:space="preserve"> STYLEREF CharDivText \*charformat </w:instrText>
          </w:r>
          <w:r w:rsidR="001542D1">
            <w:fldChar w:fldCharType="separate"/>
          </w:r>
          <w:r w:rsidR="001542D1">
            <w:rPr>
              <w:noProof/>
            </w:rPr>
            <w:t>Enforcement of money orders—debt redirection orders generally</w:t>
          </w:r>
          <w:r>
            <w:rPr>
              <w:noProof/>
            </w:rPr>
            <w:fldChar w:fldCharType="end"/>
          </w:r>
        </w:p>
      </w:tc>
      <w:tc>
        <w:tcPr>
          <w:tcW w:w="1701" w:type="dxa"/>
        </w:tcPr>
        <w:p w14:paraId="1655F739" w14:textId="7E580B21" w:rsidR="006B04ED" w:rsidRDefault="006B04ED">
          <w:pPr>
            <w:pStyle w:val="HeaderEven"/>
            <w:jc w:val="right"/>
            <w:rPr>
              <w:b/>
            </w:rPr>
          </w:pPr>
          <w:r>
            <w:rPr>
              <w:b/>
            </w:rPr>
            <w:fldChar w:fldCharType="begin"/>
          </w:r>
          <w:r>
            <w:rPr>
              <w:b/>
            </w:rPr>
            <w:instrText xml:space="preserve"> STYLEREF CharDivNo \*charformat </w:instrText>
          </w:r>
          <w:r w:rsidR="001542D1">
            <w:rPr>
              <w:b/>
            </w:rPr>
            <w:fldChar w:fldCharType="separate"/>
          </w:r>
          <w:r w:rsidR="001542D1">
            <w:rPr>
              <w:b/>
              <w:noProof/>
            </w:rPr>
            <w:t>Division 2.18.6</w:t>
          </w:r>
          <w:r>
            <w:rPr>
              <w:b/>
            </w:rPr>
            <w:fldChar w:fldCharType="end"/>
          </w:r>
        </w:p>
      </w:tc>
    </w:tr>
    <w:tr w:rsidR="006B04ED" w14:paraId="2E564C4E" w14:textId="77777777" w:rsidTr="002A3279">
      <w:trPr>
        <w:cantSplit/>
      </w:trPr>
      <w:tc>
        <w:tcPr>
          <w:tcW w:w="1701" w:type="dxa"/>
          <w:gridSpan w:val="2"/>
          <w:tcBorders>
            <w:bottom w:val="single" w:sz="4" w:space="0" w:color="auto"/>
          </w:tcBorders>
        </w:tcPr>
        <w:p w14:paraId="63D6465D" w14:textId="00914FE6" w:rsidR="006B04ED" w:rsidRDefault="001542D1">
          <w:pPr>
            <w:pStyle w:val="HeaderOdd6"/>
          </w:pPr>
          <w:r>
            <w:fldChar w:fldCharType="begin"/>
          </w:r>
          <w:r>
            <w:instrText xml:space="preserve"> DOCPROPERTY "Company"  \* MERGEFORMAT </w:instrText>
          </w:r>
          <w:r>
            <w:fldChar w:fldCharType="separate"/>
          </w:r>
          <w:r w:rsidR="0020574C">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2314</w:t>
          </w:r>
          <w:r w:rsidR="006B04ED">
            <w:rPr>
              <w:noProof/>
            </w:rPr>
            <w:fldChar w:fldCharType="end"/>
          </w:r>
        </w:p>
      </w:tc>
    </w:tr>
  </w:tbl>
  <w:p w14:paraId="3FBA231A" w14:textId="77777777" w:rsidR="006B04ED" w:rsidRDefault="006B04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B04ED" w14:paraId="304AF679" w14:textId="77777777" w:rsidTr="007A5E5F">
      <w:tc>
        <w:tcPr>
          <w:tcW w:w="1701" w:type="dxa"/>
        </w:tcPr>
        <w:p w14:paraId="579FC948" w14:textId="6756F881"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1542D1">
            <w:rPr>
              <w:b/>
              <w:noProof/>
            </w:rPr>
            <w:t>Chapter 2</w:t>
          </w:r>
          <w:r>
            <w:rPr>
              <w:b/>
            </w:rPr>
            <w:fldChar w:fldCharType="end"/>
          </w:r>
        </w:p>
      </w:tc>
      <w:tc>
        <w:tcPr>
          <w:tcW w:w="6320" w:type="dxa"/>
        </w:tcPr>
        <w:p w14:paraId="27F9AC12" w14:textId="20FE2BAC"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1542D1">
            <w:rPr>
              <w:noProof/>
            </w:rPr>
            <w:t>Civil proceedings generally</w:t>
          </w:r>
          <w:r>
            <w:rPr>
              <w:noProof/>
            </w:rPr>
            <w:fldChar w:fldCharType="end"/>
          </w:r>
        </w:p>
      </w:tc>
    </w:tr>
    <w:tr w:rsidR="006B04ED" w14:paraId="45E44D09" w14:textId="77777777" w:rsidTr="007A5E5F">
      <w:tc>
        <w:tcPr>
          <w:tcW w:w="1701" w:type="dxa"/>
        </w:tcPr>
        <w:p w14:paraId="46DE41D2" w14:textId="52113449"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1542D1">
            <w:rPr>
              <w:b/>
              <w:noProof/>
            </w:rPr>
            <w:t>Part 2.18</w:t>
          </w:r>
          <w:r>
            <w:rPr>
              <w:b/>
            </w:rPr>
            <w:fldChar w:fldCharType="end"/>
          </w:r>
        </w:p>
      </w:tc>
      <w:tc>
        <w:tcPr>
          <w:tcW w:w="6320" w:type="dxa"/>
        </w:tcPr>
        <w:p w14:paraId="578FE22A" w14:textId="6BFF55CE" w:rsidR="006B04ED" w:rsidRDefault="00F01B65" w:rsidP="007A5E5F">
          <w:pPr>
            <w:pStyle w:val="HeaderEven"/>
          </w:pPr>
          <w:r>
            <w:fldChar w:fldCharType="begin"/>
          </w:r>
          <w:r>
            <w:instrText xml:space="preserve"> STYLEREF CharPartText \*charformat </w:instrText>
          </w:r>
          <w:r>
            <w:fldChar w:fldCharType="separate"/>
          </w:r>
          <w:r w:rsidR="001542D1">
            <w:rPr>
              <w:noProof/>
            </w:rPr>
            <w:t>Enforcement</w:t>
          </w:r>
          <w:r>
            <w:rPr>
              <w:noProof/>
            </w:rPr>
            <w:fldChar w:fldCharType="end"/>
          </w:r>
        </w:p>
      </w:tc>
    </w:tr>
    <w:tr w:rsidR="006B04ED" w14:paraId="17FB44CE" w14:textId="77777777" w:rsidTr="007A5E5F">
      <w:tc>
        <w:tcPr>
          <w:tcW w:w="1701" w:type="dxa"/>
        </w:tcPr>
        <w:p w14:paraId="626C1BB3" w14:textId="31707E21"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1542D1">
            <w:rPr>
              <w:b/>
              <w:noProof/>
            </w:rPr>
            <w:t>Division 2.18.13</w:t>
          </w:r>
          <w:r>
            <w:rPr>
              <w:b/>
            </w:rPr>
            <w:fldChar w:fldCharType="end"/>
          </w:r>
        </w:p>
      </w:tc>
      <w:tc>
        <w:tcPr>
          <w:tcW w:w="6320" w:type="dxa"/>
        </w:tcPr>
        <w:p w14:paraId="686F7C2A" w14:textId="714FCF87" w:rsidR="006B04ED" w:rsidRDefault="00F01B65" w:rsidP="007A5E5F">
          <w:pPr>
            <w:pStyle w:val="HeaderEven"/>
          </w:pPr>
          <w:r>
            <w:fldChar w:fldCharType="begin"/>
          </w:r>
          <w:r>
            <w:instrText xml:space="preserve"> STYLEREF CharDivText \*charformat </w:instrText>
          </w:r>
          <w:r>
            <w:fldChar w:fldCharType="separate"/>
          </w:r>
          <w:r w:rsidR="001542D1">
            <w:rPr>
              <w:noProof/>
            </w:rPr>
            <w:t>Enforcement of non-money orders—orders for delivery of possession of land</w:t>
          </w:r>
          <w:r>
            <w:rPr>
              <w:noProof/>
            </w:rPr>
            <w:fldChar w:fldCharType="end"/>
          </w:r>
        </w:p>
      </w:tc>
    </w:tr>
    <w:tr w:rsidR="006B04ED" w14:paraId="064B57C0" w14:textId="77777777" w:rsidTr="007A5E5F">
      <w:trPr>
        <w:cantSplit/>
      </w:trPr>
      <w:tc>
        <w:tcPr>
          <w:tcW w:w="1701" w:type="dxa"/>
          <w:gridSpan w:val="2"/>
          <w:tcBorders>
            <w:bottom w:val="single" w:sz="4" w:space="0" w:color="auto"/>
          </w:tcBorders>
        </w:tcPr>
        <w:p w14:paraId="1D8B5BBE" w14:textId="35FA8027" w:rsidR="006B04ED" w:rsidRDefault="001542D1" w:rsidP="007A5E5F">
          <w:pPr>
            <w:pStyle w:val="HeaderEven6"/>
          </w:pPr>
          <w:r>
            <w:fldChar w:fldCharType="begin"/>
          </w:r>
          <w:r>
            <w:instrText xml:space="preserve"> DOCPROPERTY "Company"  \* MERGEFORMAT </w:instrText>
          </w:r>
          <w:r>
            <w:fldChar w:fldCharType="separate"/>
          </w:r>
          <w:r w:rsidR="0020574C">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2450</w:t>
          </w:r>
          <w:r w:rsidR="006B04ED">
            <w:rPr>
              <w:noProof/>
            </w:rPr>
            <w:fldChar w:fldCharType="end"/>
          </w:r>
        </w:p>
      </w:tc>
    </w:tr>
  </w:tbl>
  <w:p w14:paraId="13721E6B" w14:textId="77777777" w:rsidR="006B04ED" w:rsidRDefault="006B04E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B04ED" w14:paraId="004C923D" w14:textId="77777777" w:rsidTr="007A5E5F">
      <w:tc>
        <w:tcPr>
          <w:tcW w:w="6320" w:type="dxa"/>
        </w:tcPr>
        <w:p w14:paraId="2203818C" w14:textId="37F7FF0E"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Civil proceedings generally</w:t>
          </w:r>
          <w:r>
            <w:rPr>
              <w:noProof/>
            </w:rPr>
            <w:fldChar w:fldCharType="end"/>
          </w:r>
        </w:p>
      </w:tc>
      <w:tc>
        <w:tcPr>
          <w:tcW w:w="1701" w:type="dxa"/>
        </w:tcPr>
        <w:p w14:paraId="7B8D8C4E" w14:textId="731404CA"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2</w:t>
          </w:r>
          <w:r>
            <w:rPr>
              <w:b/>
            </w:rPr>
            <w:fldChar w:fldCharType="end"/>
          </w:r>
        </w:p>
      </w:tc>
    </w:tr>
    <w:tr w:rsidR="006B04ED" w14:paraId="5C2411F6" w14:textId="77777777" w:rsidTr="007A5E5F">
      <w:tc>
        <w:tcPr>
          <w:tcW w:w="6320" w:type="dxa"/>
        </w:tcPr>
        <w:p w14:paraId="1492D20E" w14:textId="0417DD6B" w:rsidR="006B04ED" w:rsidRDefault="00F01B65" w:rsidP="007A5E5F">
          <w:pPr>
            <w:pStyle w:val="HeaderEven"/>
            <w:jc w:val="right"/>
          </w:pPr>
          <w:r>
            <w:fldChar w:fldCharType="begin"/>
          </w:r>
          <w:r>
            <w:instrText xml:space="preserve"> STYLEREF CharPartText \*charformat </w:instrText>
          </w:r>
          <w:r>
            <w:fldChar w:fldCharType="separate"/>
          </w:r>
          <w:r w:rsidR="001542D1">
            <w:rPr>
              <w:noProof/>
            </w:rPr>
            <w:t>Enforcement</w:t>
          </w:r>
          <w:r>
            <w:rPr>
              <w:noProof/>
            </w:rPr>
            <w:fldChar w:fldCharType="end"/>
          </w:r>
        </w:p>
      </w:tc>
      <w:tc>
        <w:tcPr>
          <w:tcW w:w="1701" w:type="dxa"/>
        </w:tcPr>
        <w:p w14:paraId="5F9116C9" w14:textId="6F9D2168"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1542D1">
            <w:rPr>
              <w:b/>
              <w:noProof/>
            </w:rPr>
            <w:t>Part 2.18</w:t>
          </w:r>
          <w:r>
            <w:rPr>
              <w:b/>
            </w:rPr>
            <w:fldChar w:fldCharType="end"/>
          </w:r>
        </w:p>
      </w:tc>
    </w:tr>
    <w:tr w:rsidR="006B04ED" w14:paraId="27B8DDB9" w14:textId="77777777" w:rsidTr="007A5E5F">
      <w:tc>
        <w:tcPr>
          <w:tcW w:w="6320" w:type="dxa"/>
        </w:tcPr>
        <w:p w14:paraId="6ED200D4" w14:textId="75438128" w:rsidR="006B04ED" w:rsidRDefault="00F01B65" w:rsidP="007A5E5F">
          <w:pPr>
            <w:pStyle w:val="HeaderEven"/>
            <w:jc w:val="right"/>
          </w:pPr>
          <w:r>
            <w:fldChar w:fldCharType="begin"/>
          </w:r>
          <w:r>
            <w:instrText xml:space="preserve"> STYLEREF CharDivText \*charformat </w:instrText>
          </w:r>
          <w:r>
            <w:fldChar w:fldCharType="separate"/>
          </w:r>
          <w:r w:rsidR="001542D1">
            <w:rPr>
              <w:noProof/>
            </w:rPr>
            <w:t>Enforcement of non-money orders—general</w:t>
          </w:r>
          <w:r>
            <w:rPr>
              <w:noProof/>
            </w:rPr>
            <w:fldChar w:fldCharType="end"/>
          </w:r>
        </w:p>
      </w:tc>
      <w:tc>
        <w:tcPr>
          <w:tcW w:w="1701" w:type="dxa"/>
        </w:tcPr>
        <w:p w14:paraId="0976A587" w14:textId="67B6276D"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1542D1">
            <w:rPr>
              <w:b/>
              <w:noProof/>
            </w:rPr>
            <w:t>Division 2.18.12</w:t>
          </w:r>
          <w:r>
            <w:rPr>
              <w:b/>
            </w:rPr>
            <w:fldChar w:fldCharType="end"/>
          </w:r>
        </w:p>
      </w:tc>
    </w:tr>
    <w:tr w:rsidR="006B04ED" w14:paraId="09A24FED" w14:textId="77777777" w:rsidTr="007A5E5F">
      <w:trPr>
        <w:cantSplit/>
      </w:trPr>
      <w:tc>
        <w:tcPr>
          <w:tcW w:w="1701" w:type="dxa"/>
          <w:gridSpan w:val="2"/>
          <w:tcBorders>
            <w:bottom w:val="single" w:sz="4" w:space="0" w:color="auto"/>
          </w:tcBorders>
        </w:tcPr>
        <w:p w14:paraId="7A1EC617" w14:textId="4BFCE6CC" w:rsidR="006B04ED" w:rsidRDefault="001542D1" w:rsidP="007A5E5F">
          <w:pPr>
            <w:pStyle w:val="HeaderOdd6"/>
          </w:pPr>
          <w:r>
            <w:fldChar w:fldCharType="begin"/>
          </w:r>
          <w:r>
            <w:instrText xml:space="preserve"> DOCPROPERTY "Company"  \* MERGEFORMAT </w:instrText>
          </w:r>
          <w:r>
            <w:fldChar w:fldCharType="separate"/>
          </w:r>
          <w:r w:rsidR="0020574C">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2446</w:t>
          </w:r>
          <w:r w:rsidR="006B04ED">
            <w:rPr>
              <w:noProof/>
            </w:rPr>
            <w:fldChar w:fldCharType="end"/>
          </w:r>
        </w:p>
      </w:tc>
    </w:tr>
  </w:tbl>
  <w:p w14:paraId="32E0FC68" w14:textId="77777777" w:rsidR="006B04ED" w:rsidRDefault="006B04E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6B04ED" w14:paraId="3518388F" w14:textId="77777777" w:rsidTr="007A5E5F">
      <w:tc>
        <w:tcPr>
          <w:tcW w:w="1701" w:type="dxa"/>
        </w:tcPr>
        <w:p w14:paraId="4B7891F1" w14:textId="3AC01366"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1542D1">
            <w:rPr>
              <w:b/>
              <w:noProof/>
            </w:rPr>
            <w:t>Chapter 2</w:t>
          </w:r>
          <w:r>
            <w:rPr>
              <w:b/>
            </w:rPr>
            <w:fldChar w:fldCharType="end"/>
          </w:r>
        </w:p>
      </w:tc>
      <w:tc>
        <w:tcPr>
          <w:tcW w:w="6320" w:type="dxa"/>
        </w:tcPr>
        <w:p w14:paraId="6B83A9DB" w14:textId="3EF89477"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1542D1">
            <w:rPr>
              <w:noProof/>
            </w:rPr>
            <w:t>Civil proceedings generally</w:t>
          </w:r>
          <w:r>
            <w:rPr>
              <w:noProof/>
            </w:rPr>
            <w:fldChar w:fldCharType="end"/>
          </w:r>
        </w:p>
      </w:tc>
    </w:tr>
    <w:tr w:rsidR="006B04ED" w14:paraId="4E959451" w14:textId="77777777" w:rsidTr="007A5E5F">
      <w:tc>
        <w:tcPr>
          <w:tcW w:w="1701" w:type="dxa"/>
        </w:tcPr>
        <w:p w14:paraId="7D3EA57B" w14:textId="64E7537C"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1542D1">
            <w:rPr>
              <w:b/>
              <w:noProof/>
            </w:rPr>
            <w:t>Part 2.18</w:t>
          </w:r>
          <w:r>
            <w:rPr>
              <w:b/>
            </w:rPr>
            <w:fldChar w:fldCharType="end"/>
          </w:r>
        </w:p>
      </w:tc>
      <w:tc>
        <w:tcPr>
          <w:tcW w:w="6320" w:type="dxa"/>
        </w:tcPr>
        <w:p w14:paraId="675F5039" w14:textId="13CB7DFA" w:rsidR="006B04ED" w:rsidRDefault="00F01B65" w:rsidP="007A5E5F">
          <w:pPr>
            <w:pStyle w:val="HeaderEven"/>
          </w:pPr>
          <w:r>
            <w:fldChar w:fldCharType="begin"/>
          </w:r>
          <w:r>
            <w:instrText xml:space="preserve"> STYLEREF CharPartText \*charformat </w:instrText>
          </w:r>
          <w:r>
            <w:fldChar w:fldCharType="separate"/>
          </w:r>
          <w:r w:rsidR="001542D1">
            <w:rPr>
              <w:noProof/>
            </w:rPr>
            <w:t>Enforcement</w:t>
          </w:r>
          <w:r>
            <w:rPr>
              <w:noProof/>
            </w:rPr>
            <w:fldChar w:fldCharType="end"/>
          </w:r>
        </w:p>
      </w:tc>
    </w:tr>
    <w:tr w:rsidR="006B04ED" w14:paraId="37EEB84F" w14:textId="77777777" w:rsidTr="007A5E5F">
      <w:tc>
        <w:tcPr>
          <w:tcW w:w="1701" w:type="dxa"/>
        </w:tcPr>
        <w:p w14:paraId="5B67B9B2" w14:textId="7A86FAA7"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1542D1">
            <w:rPr>
              <w:b/>
              <w:noProof/>
            </w:rPr>
            <w:t>Division 2.18.14</w:t>
          </w:r>
          <w:r>
            <w:rPr>
              <w:b/>
            </w:rPr>
            <w:fldChar w:fldCharType="end"/>
          </w:r>
        </w:p>
      </w:tc>
      <w:tc>
        <w:tcPr>
          <w:tcW w:w="6320" w:type="dxa"/>
        </w:tcPr>
        <w:p w14:paraId="354BCC70" w14:textId="7DC4FC6A" w:rsidR="006B04ED" w:rsidRDefault="00F01B65" w:rsidP="007A5E5F">
          <w:pPr>
            <w:pStyle w:val="HeaderEven"/>
          </w:pPr>
          <w:r>
            <w:fldChar w:fldCharType="begin"/>
          </w:r>
          <w:r>
            <w:instrText xml:space="preserve"> STYLEREF CharDivText \*charformat </w:instrText>
          </w:r>
          <w:r>
            <w:fldChar w:fldCharType="separate"/>
          </w:r>
          <w:r w:rsidR="001542D1">
            <w:rPr>
              <w:noProof/>
            </w:rPr>
            <w:t>Enforcement of non-money orders—orders for seizure and delivery of goods</w:t>
          </w:r>
          <w:r>
            <w:rPr>
              <w:noProof/>
            </w:rPr>
            <w:fldChar w:fldCharType="end"/>
          </w:r>
        </w:p>
      </w:tc>
    </w:tr>
    <w:tr w:rsidR="006B04ED" w14:paraId="0BD67AF3" w14:textId="77777777" w:rsidTr="007A5E5F">
      <w:trPr>
        <w:cantSplit/>
      </w:trPr>
      <w:tc>
        <w:tcPr>
          <w:tcW w:w="1701" w:type="dxa"/>
          <w:gridSpan w:val="2"/>
          <w:tcBorders>
            <w:bottom w:val="single" w:sz="4" w:space="0" w:color="auto"/>
          </w:tcBorders>
        </w:tcPr>
        <w:p w14:paraId="5C217D73" w14:textId="6F72333D" w:rsidR="006B04ED" w:rsidRDefault="001542D1" w:rsidP="007A5E5F">
          <w:pPr>
            <w:pStyle w:val="HeaderEven6"/>
          </w:pPr>
          <w:r>
            <w:fldChar w:fldCharType="begin"/>
          </w:r>
          <w:r>
            <w:instrText xml:space="preserve"> DOCPROPERTY "Company"  \* MERGEFORMAT </w:instrText>
          </w:r>
          <w:r>
            <w:fldChar w:fldCharType="separate"/>
          </w:r>
          <w:r w:rsidR="0020574C">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2452</w:t>
          </w:r>
          <w:r w:rsidR="006B04ED">
            <w:rPr>
              <w:noProof/>
            </w:rPr>
            <w:fldChar w:fldCharType="end"/>
          </w:r>
        </w:p>
      </w:tc>
    </w:tr>
  </w:tbl>
  <w:p w14:paraId="3E376B68" w14:textId="77777777" w:rsidR="006B04ED" w:rsidRDefault="006B04ED"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6B04ED" w14:paraId="29BF46BC" w14:textId="77777777" w:rsidTr="007A5E5F">
      <w:tc>
        <w:tcPr>
          <w:tcW w:w="6320" w:type="dxa"/>
        </w:tcPr>
        <w:p w14:paraId="46E7CAC0" w14:textId="0A1BE0C6"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Civil proceedings generally</w:t>
          </w:r>
          <w:r>
            <w:rPr>
              <w:noProof/>
            </w:rPr>
            <w:fldChar w:fldCharType="end"/>
          </w:r>
        </w:p>
      </w:tc>
      <w:tc>
        <w:tcPr>
          <w:tcW w:w="1701" w:type="dxa"/>
        </w:tcPr>
        <w:p w14:paraId="455A06AF" w14:textId="65DB419A"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2</w:t>
          </w:r>
          <w:r>
            <w:rPr>
              <w:b/>
            </w:rPr>
            <w:fldChar w:fldCharType="end"/>
          </w:r>
        </w:p>
      </w:tc>
    </w:tr>
    <w:tr w:rsidR="006B04ED" w14:paraId="5E8C9111" w14:textId="77777777" w:rsidTr="007A5E5F">
      <w:tc>
        <w:tcPr>
          <w:tcW w:w="6320" w:type="dxa"/>
        </w:tcPr>
        <w:p w14:paraId="2A096800" w14:textId="24C82457" w:rsidR="006B04ED" w:rsidRDefault="00F01B65" w:rsidP="007A5E5F">
          <w:pPr>
            <w:pStyle w:val="HeaderEven"/>
            <w:jc w:val="right"/>
          </w:pPr>
          <w:r>
            <w:fldChar w:fldCharType="begin"/>
          </w:r>
          <w:r>
            <w:instrText xml:space="preserve"> STYLEREF CharPartText \*charformat </w:instrText>
          </w:r>
          <w:r>
            <w:fldChar w:fldCharType="separate"/>
          </w:r>
          <w:r w:rsidR="001542D1">
            <w:rPr>
              <w:noProof/>
            </w:rPr>
            <w:t>Enforcement</w:t>
          </w:r>
          <w:r>
            <w:rPr>
              <w:noProof/>
            </w:rPr>
            <w:fldChar w:fldCharType="end"/>
          </w:r>
        </w:p>
      </w:tc>
      <w:tc>
        <w:tcPr>
          <w:tcW w:w="1701" w:type="dxa"/>
        </w:tcPr>
        <w:p w14:paraId="45E78956" w14:textId="458EC008"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1542D1">
            <w:rPr>
              <w:b/>
              <w:noProof/>
            </w:rPr>
            <w:t>Part 2.18</w:t>
          </w:r>
          <w:r>
            <w:rPr>
              <w:b/>
            </w:rPr>
            <w:fldChar w:fldCharType="end"/>
          </w:r>
        </w:p>
      </w:tc>
    </w:tr>
    <w:tr w:rsidR="006B04ED" w14:paraId="3B79D690" w14:textId="77777777" w:rsidTr="007A5E5F">
      <w:tc>
        <w:tcPr>
          <w:tcW w:w="6320" w:type="dxa"/>
        </w:tcPr>
        <w:p w14:paraId="51A6176F" w14:textId="486D0FB4" w:rsidR="006B04ED" w:rsidRDefault="00F01B65" w:rsidP="007A5E5F">
          <w:pPr>
            <w:pStyle w:val="HeaderEven"/>
            <w:jc w:val="right"/>
          </w:pPr>
          <w:r>
            <w:fldChar w:fldCharType="begin"/>
          </w:r>
          <w:r>
            <w:instrText xml:space="preserve"> STYLEREF CharDivText \*charformat </w:instrText>
          </w:r>
          <w:r>
            <w:fldChar w:fldCharType="separate"/>
          </w:r>
          <w:r w:rsidR="001542D1">
            <w:rPr>
              <w:noProof/>
            </w:rPr>
            <w:t>Enforcement of non-money orders—orders for delivery of possession of land</w:t>
          </w:r>
          <w:r>
            <w:rPr>
              <w:noProof/>
            </w:rPr>
            <w:fldChar w:fldCharType="end"/>
          </w:r>
        </w:p>
      </w:tc>
      <w:tc>
        <w:tcPr>
          <w:tcW w:w="1701" w:type="dxa"/>
        </w:tcPr>
        <w:p w14:paraId="6BDDEA7E" w14:textId="724B915B"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1542D1">
            <w:rPr>
              <w:b/>
              <w:noProof/>
            </w:rPr>
            <w:t>Division 2.18.13</w:t>
          </w:r>
          <w:r>
            <w:rPr>
              <w:b/>
            </w:rPr>
            <w:fldChar w:fldCharType="end"/>
          </w:r>
        </w:p>
      </w:tc>
    </w:tr>
    <w:tr w:rsidR="006B04ED" w14:paraId="642213BB" w14:textId="77777777" w:rsidTr="007A5E5F">
      <w:trPr>
        <w:cantSplit/>
      </w:trPr>
      <w:tc>
        <w:tcPr>
          <w:tcW w:w="1701" w:type="dxa"/>
          <w:gridSpan w:val="2"/>
          <w:tcBorders>
            <w:bottom w:val="single" w:sz="4" w:space="0" w:color="auto"/>
          </w:tcBorders>
        </w:tcPr>
        <w:p w14:paraId="4C2936A4" w14:textId="1D2A19BE" w:rsidR="006B04ED" w:rsidRDefault="001542D1" w:rsidP="007A5E5F">
          <w:pPr>
            <w:pStyle w:val="HeaderOdd6"/>
          </w:pPr>
          <w:r>
            <w:fldChar w:fldCharType="begin"/>
          </w:r>
          <w:r>
            <w:instrText xml:space="preserve"> DOCPROPERTY "Company"  \* MERGEFORMAT </w:instrText>
          </w:r>
          <w:r>
            <w:fldChar w:fldCharType="separate"/>
          </w:r>
          <w:r w:rsidR="0020574C">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2451</w:t>
          </w:r>
          <w:r w:rsidR="006B04ED">
            <w:rPr>
              <w:noProof/>
            </w:rPr>
            <w:fldChar w:fldCharType="end"/>
          </w:r>
        </w:p>
      </w:tc>
    </w:tr>
  </w:tbl>
  <w:p w14:paraId="0A5BEB31" w14:textId="77777777" w:rsidR="006B04ED" w:rsidRDefault="006B04ED"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2E5CF7" w14:paraId="6FC578C8" w14:textId="77777777" w:rsidTr="007A5E5F">
      <w:tc>
        <w:tcPr>
          <w:tcW w:w="1701" w:type="dxa"/>
        </w:tcPr>
        <w:p w14:paraId="0892D519" w14:textId="7B5861DB" w:rsidR="002E5CF7" w:rsidRDefault="002E5CF7" w:rsidP="007A5E5F">
          <w:pPr>
            <w:pStyle w:val="HeaderEven"/>
            <w:rPr>
              <w:b/>
            </w:rPr>
          </w:pPr>
          <w:r>
            <w:rPr>
              <w:b/>
            </w:rPr>
            <w:fldChar w:fldCharType="begin"/>
          </w:r>
          <w:r>
            <w:rPr>
              <w:b/>
            </w:rPr>
            <w:instrText xml:space="preserve"> STYLEREF CharChapNo \*charformat  </w:instrText>
          </w:r>
          <w:r>
            <w:rPr>
              <w:b/>
            </w:rPr>
            <w:fldChar w:fldCharType="separate"/>
          </w:r>
          <w:r w:rsidR="0020574C">
            <w:rPr>
              <w:b/>
              <w:noProof/>
            </w:rPr>
            <w:t>Chapter 2</w:t>
          </w:r>
          <w:r>
            <w:rPr>
              <w:b/>
            </w:rPr>
            <w:fldChar w:fldCharType="end"/>
          </w:r>
        </w:p>
      </w:tc>
      <w:tc>
        <w:tcPr>
          <w:tcW w:w="6320" w:type="dxa"/>
        </w:tcPr>
        <w:p w14:paraId="0405DB94" w14:textId="4090CCAC" w:rsidR="002E5CF7" w:rsidRDefault="002E5CF7" w:rsidP="007A5E5F">
          <w:pPr>
            <w:pStyle w:val="HeaderEven"/>
          </w:pPr>
          <w:r>
            <w:rPr>
              <w:noProof/>
            </w:rPr>
            <w:fldChar w:fldCharType="begin"/>
          </w:r>
          <w:r>
            <w:rPr>
              <w:noProof/>
            </w:rPr>
            <w:instrText xml:space="preserve"> STYLEREF CharChapText \*charformat  </w:instrText>
          </w:r>
          <w:r>
            <w:rPr>
              <w:noProof/>
            </w:rPr>
            <w:fldChar w:fldCharType="separate"/>
          </w:r>
          <w:r w:rsidR="0020574C">
            <w:rPr>
              <w:noProof/>
            </w:rPr>
            <w:t>Civil proceedings generally</w:t>
          </w:r>
          <w:r>
            <w:rPr>
              <w:noProof/>
            </w:rPr>
            <w:fldChar w:fldCharType="end"/>
          </w:r>
        </w:p>
      </w:tc>
    </w:tr>
    <w:tr w:rsidR="002E5CF7" w14:paraId="27CE93EE" w14:textId="77777777" w:rsidTr="007A5E5F">
      <w:tc>
        <w:tcPr>
          <w:tcW w:w="1701" w:type="dxa"/>
        </w:tcPr>
        <w:p w14:paraId="05B77D75" w14:textId="7E088686" w:rsidR="002E5CF7" w:rsidRDefault="002E5CF7" w:rsidP="007A5E5F">
          <w:pPr>
            <w:pStyle w:val="HeaderEven"/>
            <w:rPr>
              <w:b/>
            </w:rPr>
          </w:pPr>
          <w:r>
            <w:rPr>
              <w:b/>
            </w:rPr>
            <w:fldChar w:fldCharType="begin"/>
          </w:r>
          <w:r>
            <w:rPr>
              <w:b/>
            </w:rPr>
            <w:instrText xml:space="preserve"> STYLEREF CharPartNo \*charformat </w:instrText>
          </w:r>
          <w:r>
            <w:rPr>
              <w:b/>
            </w:rPr>
            <w:fldChar w:fldCharType="separate"/>
          </w:r>
          <w:r w:rsidR="0020574C">
            <w:rPr>
              <w:b/>
              <w:noProof/>
            </w:rPr>
            <w:t>Part 2.18</w:t>
          </w:r>
          <w:r>
            <w:rPr>
              <w:b/>
            </w:rPr>
            <w:fldChar w:fldCharType="end"/>
          </w:r>
        </w:p>
      </w:tc>
      <w:tc>
        <w:tcPr>
          <w:tcW w:w="6320" w:type="dxa"/>
        </w:tcPr>
        <w:p w14:paraId="6B549B16" w14:textId="15F2EAA5" w:rsidR="002E5CF7" w:rsidRDefault="00F01B65" w:rsidP="007A5E5F">
          <w:pPr>
            <w:pStyle w:val="HeaderEven"/>
          </w:pPr>
          <w:r>
            <w:fldChar w:fldCharType="begin"/>
          </w:r>
          <w:r>
            <w:instrText xml:space="preserve"> STYLEREF CharPartText \*charformat </w:instrText>
          </w:r>
          <w:r>
            <w:fldChar w:fldCharType="separate"/>
          </w:r>
          <w:r w:rsidR="0020574C">
            <w:rPr>
              <w:noProof/>
            </w:rPr>
            <w:t>Enforcement</w:t>
          </w:r>
          <w:r>
            <w:rPr>
              <w:noProof/>
            </w:rPr>
            <w:fldChar w:fldCharType="end"/>
          </w:r>
        </w:p>
      </w:tc>
    </w:tr>
    <w:tr w:rsidR="002E5CF7" w14:paraId="654DC3B0" w14:textId="77777777" w:rsidTr="007A5E5F">
      <w:tc>
        <w:tcPr>
          <w:tcW w:w="1701" w:type="dxa"/>
        </w:tcPr>
        <w:p w14:paraId="3B0DCB88" w14:textId="316A2A7F" w:rsidR="002E5CF7" w:rsidRDefault="002E5CF7" w:rsidP="007A5E5F">
          <w:pPr>
            <w:pStyle w:val="HeaderEven"/>
            <w:rPr>
              <w:b/>
            </w:rPr>
          </w:pPr>
          <w:r>
            <w:rPr>
              <w:b/>
            </w:rPr>
            <w:fldChar w:fldCharType="begin"/>
          </w:r>
          <w:r>
            <w:rPr>
              <w:b/>
            </w:rPr>
            <w:instrText xml:space="preserve"> STYLEREF CharDivNo \*charformat </w:instrText>
          </w:r>
          <w:r>
            <w:rPr>
              <w:b/>
            </w:rPr>
            <w:fldChar w:fldCharType="separate"/>
          </w:r>
          <w:r w:rsidR="0020574C">
            <w:rPr>
              <w:b/>
              <w:noProof/>
            </w:rPr>
            <w:t>Division 2.18.13</w:t>
          </w:r>
          <w:r>
            <w:rPr>
              <w:b/>
            </w:rPr>
            <w:fldChar w:fldCharType="end"/>
          </w:r>
        </w:p>
      </w:tc>
      <w:tc>
        <w:tcPr>
          <w:tcW w:w="6320" w:type="dxa"/>
        </w:tcPr>
        <w:p w14:paraId="1B45F17B" w14:textId="33D4E7A4" w:rsidR="002E5CF7" w:rsidRDefault="00F01B65" w:rsidP="007A5E5F">
          <w:pPr>
            <w:pStyle w:val="HeaderEven"/>
          </w:pPr>
          <w:r>
            <w:fldChar w:fldCharType="begin"/>
          </w:r>
          <w:r>
            <w:instrText xml:space="preserve"> STYLEREF CharDivText \*charformat </w:instrText>
          </w:r>
          <w:r>
            <w:fldChar w:fldCharType="separate"/>
          </w:r>
          <w:r w:rsidR="0020574C">
            <w:rPr>
              <w:noProof/>
            </w:rPr>
            <w:t>Enforcement of non-money orders—orders for delivery of possession of land</w:t>
          </w:r>
          <w:r>
            <w:rPr>
              <w:noProof/>
            </w:rPr>
            <w:fldChar w:fldCharType="end"/>
          </w:r>
        </w:p>
      </w:tc>
    </w:tr>
    <w:tr w:rsidR="002E5CF7" w14:paraId="3E18AF1B" w14:textId="77777777" w:rsidTr="007A5E5F">
      <w:trPr>
        <w:cantSplit/>
      </w:trPr>
      <w:tc>
        <w:tcPr>
          <w:tcW w:w="1701" w:type="dxa"/>
          <w:gridSpan w:val="2"/>
          <w:tcBorders>
            <w:bottom w:val="single" w:sz="4" w:space="0" w:color="auto"/>
          </w:tcBorders>
        </w:tcPr>
        <w:p w14:paraId="73592621" w14:textId="0C136459" w:rsidR="002E5CF7" w:rsidRDefault="001542D1" w:rsidP="007A5E5F">
          <w:pPr>
            <w:pStyle w:val="HeaderEven6"/>
          </w:pPr>
          <w:r>
            <w:fldChar w:fldCharType="begin"/>
          </w:r>
          <w:r>
            <w:instrText xml:space="preserve"> DOCPROPERTY "Company"  \* MERGEFORMAT </w:instrText>
          </w:r>
          <w:r>
            <w:fldChar w:fldCharType="separate"/>
          </w:r>
          <w:r w:rsidR="0020574C">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sidR="0020574C">
            <w:rPr>
              <w:noProof/>
            </w:rPr>
            <w:t>2452</w:t>
          </w:r>
          <w:r w:rsidR="002E5CF7">
            <w:rPr>
              <w:noProof/>
            </w:rPr>
            <w:fldChar w:fldCharType="end"/>
          </w:r>
        </w:p>
      </w:tc>
    </w:tr>
  </w:tbl>
  <w:p w14:paraId="54028708" w14:textId="77777777" w:rsidR="002E5CF7" w:rsidRDefault="002E5CF7"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2E5CF7" w14:paraId="25452CE5" w14:textId="77777777" w:rsidTr="007A5E5F">
      <w:tc>
        <w:tcPr>
          <w:tcW w:w="6320" w:type="dxa"/>
        </w:tcPr>
        <w:p w14:paraId="15814038" w14:textId="176790C6" w:rsidR="002E5CF7" w:rsidRDefault="002E5CF7" w:rsidP="007A5E5F">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Civil proceedings generally</w:t>
          </w:r>
          <w:r>
            <w:rPr>
              <w:noProof/>
            </w:rPr>
            <w:fldChar w:fldCharType="end"/>
          </w:r>
        </w:p>
      </w:tc>
      <w:tc>
        <w:tcPr>
          <w:tcW w:w="1701" w:type="dxa"/>
        </w:tcPr>
        <w:p w14:paraId="1A896DC7" w14:textId="0DB5E6DB" w:rsidR="002E5CF7" w:rsidRDefault="002E5CF7" w:rsidP="007A5E5F">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2</w:t>
          </w:r>
          <w:r>
            <w:rPr>
              <w:b/>
            </w:rPr>
            <w:fldChar w:fldCharType="end"/>
          </w:r>
        </w:p>
      </w:tc>
    </w:tr>
    <w:tr w:rsidR="002E5CF7" w14:paraId="56A0CBA1" w14:textId="77777777" w:rsidTr="007A5E5F">
      <w:tc>
        <w:tcPr>
          <w:tcW w:w="6320" w:type="dxa"/>
        </w:tcPr>
        <w:p w14:paraId="69D814DC" w14:textId="65B2C967" w:rsidR="002E5CF7" w:rsidRDefault="00F01B65" w:rsidP="007A5E5F">
          <w:pPr>
            <w:pStyle w:val="HeaderEven"/>
            <w:jc w:val="right"/>
          </w:pPr>
          <w:r>
            <w:fldChar w:fldCharType="begin"/>
          </w:r>
          <w:r>
            <w:instrText xml:space="preserve"> STYLEREF CharPartText \*charformat </w:instrText>
          </w:r>
          <w:r>
            <w:fldChar w:fldCharType="separate"/>
          </w:r>
          <w:r w:rsidR="001542D1">
            <w:rPr>
              <w:noProof/>
            </w:rPr>
            <w:t>Enforcement</w:t>
          </w:r>
          <w:r>
            <w:rPr>
              <w:noProof/>
            </w:rPr>
            <w:fldChar w:fldCharType="end"/>
          </w:r>
        </w:p>
      </w:tc>
      <w:tc>
        <w:tcPr>
          <w:tcW w:w="1701" w:type="dxa"/>
        </w:tcPr>
        <w:p w14:paraId="21A51EF1" w14:textId="7B225028" w:rsidR="002E5CF7" w:rsidRDefault="002E5CF7" w:rsidP="007A5E5F">
          <w:pPr>
            <w:pStyle w:val="HeaderEven"/>
            <w:jc w:val="right"/>
            <w:rPr>
              <w:b/>
            </w:rPr>
          </w:pPr>
          <w:r>
            <w:rPr>
              <w:b/>
            </w:rPr>
            <w:fldChar w:fldCharType="begin"/>
          </w:r>
          <w:r>
            <w:rPr>
              <w:b/>
            </w:rPr>
            <w:instrText xml:space="preserve"> STYLEREF CharPartNo \*charformat </w:instrText>
          </w:r>
          <w:r>
            <w:rPr>
              <w:b/>
            </w:rPr>
            <w:fldChar w:fldCharType="separate"/>
          </w:r>
          <w:r w:rsidR="001542D1">
            <w:rPr>
              <w:b/>
              <w:noProof/>
            </w:rPr>
            <w:t>Part 2.18</w:t>
          </w:r>
          <w:r>
            <w:rPr>
              <w:b/>
            </w:rPr>
            <w:fldChar w:fldCharType="end"/>
          </w:r>
        </w:p>
      </w:tc>
    </w:tr>
    <w:tr w:rsidR="002E5CF7" w14:paraId="500D6E7F" w14:textId="77777777" w:rsidTr="007A5E5F">
      <w:tc>
        <w:tcPr>
          <w:tcW w:w="6320" w:type="dxa"/>
        </w:tcPr>
        <w:p w14:paraId="71B0D5A6" w14:textId="7351703C" w:rsidR="002E5CF7" w:rsidRDefault="00F01B65" w:rsidP="007A5E5F">
          <w:pPr>
            <w:pStyle w:val="HeaderEven"/>
            <w:jc w:val="right"/>
          </w:pPr>
          <w:r>
            <w:fldChar w:fldCharType="begin"/>
          </w:r>
          <w:r>
            <w:instrText xml:space="preserve"> STYLEREF CharDivText \*charformat </w:instrText>
          </w:r>
          <w:r>
            <w:fldChar w:fldCharType="separate"/>
          </w:r>
          <w:r w:rsidR="001542D1">
            <w:rPr>
              <w:noProof/>
            </w:rPr>
            <w:t>Enforcement of non-money orders—orders for seizure and delivery of goods</w:t>
          </w:r>
          <w:r>
            <w:rPr>
              <w:noProof/>
            </w:rPr>
            <w:fldChar w:fldCharType="end"/>
          </w:r>
        </w:p>
      </w:tc>
      <w:tc>
        <w:tcPr>
          <w:tcW w:w="1701" w:type="dxa"/>
        </w:tcPr>
        <w:p w14:paraId="28012C4E" w14:textId="6E0362E7" w:rsidR="002E5CF7" w:rsidRDefault="002E5CF7" w:rsidP="007A5E5F">
          <w:pPr>
            <w:pStyle w:val="HeaderEven"/>
            <w:jc w:val="right"/>
            <w:rPr>
              <w:b/>
            </w:rPr>
          </w:pPr>
          <w:r>
            <w:rPr>
              <w:b/>
            </w:rPr>
            <w:fldChar w:fldCharType="begin"/>
          </w:r>
          <w:r>
            <w:rPr>
              <w:b/>
            </w:rPr>
            <w:instrText xml:space="preserve"> STYLEREF CharDivNo \*charformat </w:instrText>
          </w:r>
          <w:r>
            <w:rPr>
              <w:b/>
            </w:rPr>
            <w:fldChar w:fldCharType="separate"/>
          </w:r>
          <w:r w:rsidR="001542D1">
            <w:rPr>
              <w:b/>
              <w:noProof/>
            </w:rPr>
            <w:t>Division 2.18.14</w:t>
          </w:r>
          <w:r>
            <w:rPr>
              <w:b/>
            </w:rPr>
            <w:fldChar w:fldCharType="end"/>
          </w:r>
        </w:p>
      </w:tc>
    </w:tr>
    <w:tr w:rsidR="002E5CF7" w14:paraId="0A2A69C3" w14:textId="77777777" w:rsidTr="007A5E5F">
      <w:trPr>
        <w:cantSplit/>
      </w:trPr>
      <w:tc>
        <w:tcPr>
          <w:tcW w:w="1701" w:type="dxa"/>
          <w:gridSpan w:val="2"/>
          <w:tcBorders>
            <w:bottom w:val="single" w:sz="4" w:space="0" w:color="auto"/>
          </w:tcBorders>
        </w:tcPr>
        <w:p w14:paraId="2E54E6E3" w14:textId="094440EA" w:rsidR="002E5CF7" w:rsidRDefault="001542D1" w:rsidP="007A5E5F">
          <w:pPr>
            <w:pStyle w:val="HeaderOdd6"/>
          </w:pPr>
          <w:r>
            <w:fldChar w:fldCharType="begin"/>
          </w:r>
          <w:r>
            <w:instrText xml:space="preserve"> DOCPROPERTY "Company"  \* MERGEFORMAT </w:instrText>
          </w:r>
          <w:r>
            <w:fldChar w:fldCharType="separate"/>
          </w:r>
          <w:r w:rsidR="0020574C">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Pr>
              <w:noProof/>
            </w:rPr>
            <w:t>2460</w:t>
          </w:r>
          <w:r w:rsidR="002E5CF7">
            <w:rPr>
              <w:noProof/>
            </w:rPr>
            <w:fldChar w:fldCharType="end"/>
          </w:r>
        </w:p>
      </w:tc>
    </w:tr>
  </w:tbl>
  <w:p w14:paraId="18280268" w14:textId="77777777" w:rsidR="002E5CF7" w:rsidRDefault="002E5CF7"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C7AC5" w14:paraId="7B122712" w14:textId="77777777" w:rsidTr="007A5E5F">
      <w:tc>
        <w:tcPr>
          <w:tcW w:w="1701" w:type="dxa"/>
        </w:tcPr>
        <w:p w14:paraId="702CC038" w14:textId="4EB700B3" w:rsidR="00C66F4A" w:rsidRDefault="00C66F4A" w:rsidP="007A5E5F">
          <w:pPr>
            <w:pStyle w:val="HeaderEven"/>
            <w:rPr>
              <w:b/>
            </w:rPr>
          </w:pPr>
          <w:r>
            <w:rPr>
              <w:b/>
            </w:rPr>
            <w:fldChar w:fldCharType="begin"/>
          </w:r>
          <w:r>
            <w:rPr>
              <w:b/>
            </w:rPr>
            <w:instrText xml:space="preserve"> STYLEREF CharChapNo \*charformat  </w:instrText>
          </w:r>
          <w:r>
            <w:rPr>
              <w:b/>
            </w:rPr>
            <w:fldChar w:fldCharType="separate"/>
          </w:r>
          <w:r w:rsidR="001542D1">
            <w:rPr>
              <w:b/>
              <w:noProof/>
            </w:rPr>
            <w:t>Chapter 5</w:t>
          </w:r>
          <w:r>
            <w:rPr>
              <w:b/>
            </w:rPr>
            <w:fldChar w:fldCharType="end"/>
          </w:r>
        </w:p>
      </w:tc>
      <w:tc>
        <w:tcPr>
          <w:tcW w:w="6320" w:type="dxa"/>
        </w:tcPr>
        <w:p w14:paraId="7FD720CC" w14:textId="448F552A" w:rsidR="00C66F4A" w:rsidRDefault="00C66F4A" w:rsidP="007A5E5F">
          <w:pPr>
            <w:pStyle w:val="HeaderEven"/>
          </w:pPr>
          <w:r>
            <w:rPr>
              <w:noProof/>
            </w:rPr>
            <w:fldChar w:fldCharType="begin"/>
          </w:r>
          <w:r>
            <w:rPr>
              <w:noProof/>
            </w:rPr>
            <w:instrText xml:space="preserve"> STYLEREF CharChapText \*charformat  </w:instrText>
          </w:r>
          <w:r>
            <w:rPr>
              <w:noProof/>
            </w:rPr>
            <w:fldChar w:fldCharType="separate"/>
          </w:r>
          <w:r w:rsidR="001542D1">
            <w:rPr>
              <w:noProof/>
            </w:rPr>
            <w:t>Appellate proceedings</w:t>
          </w:r>
          <w:r>
            <w:rPr>
              <w:noProof/>
            </w:rPr>
            <w:fldChar w:fldCharType="end"/>
          </w:r>
        </w:p>
      </w:tc>
    </w:tr>
    <w:tr w:rsidR="00AC7AC5" w14:paraId="2C590283" w14:textId="77777777" w:rsidTr="007A5E5F">
      <w:tc>
        <w:tcPr>
          <w:tcW w:w="1701" w:type="dxa"/>
        </w:tcPr>
        <w:p w14:paraId="0271CC36" w14:textId="5BD32779" w:rsidR="00C66F4A" w:rsidRDefault="00C66F4A" w:rsidP="007A5E5F">
          <w:pPr>
            <w:pStyle w:val="HeaderEven"/>
            <w:rPr>
              <w:b/>
            </w:rPr>
          </w:pPr>
          <w:r>
            <w:rPr>
              <w:b/>
            </w:rPr>
            <w:fldChar w:fldCharType="begin"/>
          </w:r>
          <w:r>
            <w:rPr>
              <w:b/>
            </w:rPr>
            <w:instrText xml:space="preserve"> STYLEREF CharPartNo \*charformat </w:instrText>
          </w:r>
          <w:r>
            <w:rPr>
              <w:b/>
            </w:rPr>
            <w:fldChar w:fldCharType="separate"/>
          </w:r>
          <w:r w:rsidR="001542D1">
            <w:rPr>
              <w:b/>
              <w:noProof/>
            </w:rPr>
            <w:t>Part 5.4</w:t>
          </w:r>
          <w:r>
            <w:rPr>
              <w:b/>
            </w:rPr>
            <w:fldChar w:fldCharType="end"/>
          </w:r>
        </w:p>
      </w:tc>
      <w:tc>
        <w:tcPr>
          <w:tcW w:w="6320" w:type="dxa"/>
        </w:tcPr>
        <w:p w14:paraId="62B3F208" w14:textId="28034697" w:rsidR="00C66F4A" w:rsidRDefault="00F01B65" w:rsidP="007A5E5F">
          <w:pPr>
            <w:pStyle w:val="HeaderEven"/>
          </w:pPr>
          <w:r>
            <w:fldChar w:fldCharType="begin"/>
          </w:r>
          <w:r>
            <w:instrText xml:space="preserve"> STYLEREF CharPartText \*charformat </w:instrText>
          </w:r>
          <w:r>
            <w:fldChar w:fldCharType="separate"/>
          </w:r>
          <w:r w:rsidR="001542D1">
            <w:rPr>
              <w:noProof/>
            </w:rPr>
            <w:t>Appeals to Court of Appeal</w:t>
          </w:r>
          <w:r>
            <w:rPr>
              <w:noProof/>
            </w:rPr>
            <w:fldChar w:fldCharType="end"/>
          </w:r>
        </w:p>
      </w:tc>
    </w:tr>
    <w:tr w:rsidR="00AC7AC5" w14:paraId="4C5A71AC" w14:textId="77777777" w:rsidTr="007A5E5F">
      <w:tc>
        <w:tcPr>
          <w:tcW w:w="1701" w:type="dxa"/>
        </w:tcPr>
        <w:p w14:paraId="6DC231C1" w14:textId="4548014F" w:rsidR="00C66F4A" w:rsidRDefault="00C66F4A" w:rsidP="007A5E5F">
          <w:pPr>
            <w:pStyle w:val="HeaderEven"/>
            <w:rPr>
              <w:b/>
            </w:rPr>
          </w:pPr>
          <w:r>
            <w:rPr>
              <w:b/>
            </w:rPr>
            <w:fldChar w:fldCharType="begin"/>
          </w:r>
          <w:r>
            <w:rPr>
              <w:b/>
            </w:rPr>
            <w:instrText xml:space="preserve"> STYLEREF CharDivNo \*charformat </w:instrText>
          </w:r>
          <w:r w:rsidR="001542D1">
            <w:rPr>
              <w:b/>
            </w:rPr>
            <w:fldChar w:fldCharType="separate"/>
          </w:r>
          <w:r w:rsidR="001542D1">
            <w:rPr>
              <w:b/>
              <w:noProof/>
            </w:rPr>
            <w:t>Division 5.4.2</w:t>
          </w:r>
          <w:r>
            <w:rPr>
              <w:b/>
            </w:rPr>
            <w:fldChar w:fldCharType="end"/>
          </w:r>
        </w:p>
      </w:tc>
      <w:tc>
        <w:tcPr>
          <w:tcW w:w="6320" w:type="dxa"/>
        </w:tcPr>
        <w:p w14:paraId="4DFBB4F8" w14:textId="6A56FA9D" w:rsidR="00C66F4A" w:rsidRDefault="00F01B65" w:rsidP="007A5E5F">
          <w:pPr>
            <w:pStyle w:val="HeaderEven"/>
          </w:pPr>
          <w:r>
            <w:fldChar w:fldCharType="begin"/>
          </w:r>
          <w:r>
            <w:instrText xml:space="preserve"> STYLEREF CharDivText \*charformat </w:instrText>
          </w:r>
          <w:r w:rsidR="001542D1">
            <w:fldChar w:fldCharType="separate"/>
          </w:r>
          <w:r w:rsidR="001542D1">
            <w:rPr>
              <w:noProof/>
            </w:rPr>
            <w:t>Appeals to Court of Appeal—leave to appeal from interlocutory orders</w:t>
          </w:r>
          <w:r>
            <w:rPr>
              <w:noProof/>
            </w:rPr>
            <w:fldChar w:fldCharType="end"/>
          </w:r>
        </w:p>
      </w:tc>
    </w:tr>
    <w:tr w:rsidR="00C66F4A" w14:paraId="3D9E6050" w14:textId="77777777" w:rsidTr="007A5E5F">
      <w:trPr>
        <w:cantSplit/>
      </w:trPr>
      <w:tc>
        <w:tcPr>
          <w:tcW w:w="1701" w:type="dxa"/>
          <w:gridSpan w:val="2"/>
          <w:tcBorders>
            <w:bottom w:val="single" w:sz="4" w:space="0" w:color="auto"/>
          </w:tcBorders>
        </w:tcPr>
        <w:p w14:paraId="44C7BCAF" w14:textId="1B55EC76" w:rsidR="00C66F4A" w:rsidRDefault="001542D1" w:rsidP="007A5E5F">
          <w:pPr>
            <w:pStyle w:val="HeaderEven6"/>
          </w:pPr>
          <w:r>
            <w:fldChar w:fldCharType="begin"/>
          </w:r>
          <w:r>
            <w:instrText xml:space="preserve"> DOCPROPERTY "Company"  \* MERGEFORMAT </w:instrText>
          </w:r>
          <w:r>
            <w:fldChar w:fldCharType="separate"/>
          </w:r>
          <w:r w:rsidR="0020574C">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5302</w:t>
          </w:r>
          <w:r w:rsidR="00C66F4A">
            <w:rPr>
              <w:noProof/>
            </w:rPr>
            <w:fldChar w:fldCharType="end"/>
          </w:r>
        </w:p>
      </w:tc>
    </w:tr>
  </w:tbl>
  <w:p w14:paraId="7FE1B5A0" w14:textId="77777777" w:rsidR="00C66F4A" w:rsidRDefault="00C66F4A"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C7AC5" w14:paraId="4E29AEE8" w14:textId="77777777" w:rsidTr="007A5E5F">
      <w:tc>
        <w:tcPr>
          <w:tcW w:w="6320" w:type="dxa"/>
        </w:tcPr>
        <w:p w14:paraId="08C1AB2F" w14:textId="09075D92" w:rsidR="00C66F4A" w:rsidRDefault="00C66F4A" w:rsidP="007A5E5F">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Appellate proceedings</w:t>
          </w:r>
          <w:r>
            <w:rPr>
              <w:noProof/>
            </w:rPr>
            <w:fldChar w:fldCharType="end"/>
          </w:r>
        </w:p>
      </w:tc>
      <w:tc>
        <w:tcPr>
          <w:tcW w:w="1701" w:type="dxa"/>
        </w:tcPr>
        <w:p w14:paraId="08D0D28A" w14:textId="0404EC84" w:rsidR="00C66F4A" w:rsidRDefault="00C66F4A" w:rsidP="007A5E5F">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5</w:t>
          </w:r>
          <w:r>
            <w:rPr>
              <w:b/>
            </w:rPr>
            <w:fldChar w:fldCharType="end"/>
          </w:r>
        </w:p>
      </w:tc>
    </w:tr>
    <w:tr w:rsidR="00AC7AC5" w14:paraId="3DC13E92" w14:textId="77777777" w:rsidTr="007A5E5F">
      <w:tc>
        <w:tcPr>
          <w:tcW w:w="6320" w:type="dxa"/>
        </w:tcPr>
        <w:p w14:paraId="3027CBA8" w14:textId="2417A1B9" w:rsidR="00C66F4A" w:rsidRDefault="00F01B65" w:rsidP="007A5E5F">
          <w:pPr>
            <w:pStyle w:val="HeaderEven"/>
            <w:jc w:val="right"/>
          </w:pPr>
          <w:r>
            <w:fldChar w:fldCharType="begin"/>
          </w:r>
          <w:r>
            <w:instrText xml:space="preserve"> STYLEREF CharPartText \*charformat </w:instrText>
          </w:r>
          <w:r>
            <w:fldChar w:fldCharType="separate"/>
          </w:r>
          <w:r w:rsidR="001542D1">
            <w:rPr>
              <w:noProof/>
            </w:rPr>
            <w:t>Appeals to Court of Appeal</w:t>
          </w:r>
          <w:r>
            <w:rPr>
              <w:noProof/>
            </w:rPr>
            <w:fldChar w:fldCharType="end"/>
          </w:r>
        </w:p>
      </w:tc>
      <w:tc>
        <w:tcPr>
          <w:tcW w:w="1701" w:type="dxa"/>
        </w:tcPr>
        <w:p w14:paraId="01BCA98D" w14:textId="650B7969" w:rsidR="00C66F4A" w:rsidRDefault="00C66F4A" w:rsidP="007A5E5F">
          <w:pPr>
            <w:pStyle w:val="HeaderEven"/>
            <w:jc w:val="right"/>
            <w:rPr>
              <w:b/>
            </w:rPr>
          </w:pPr>
          <w:r>
            <w:rPr>
              <w:b/>
            </w:rPr>
            <w:fldChar w:fldCharType="begin"/>
          </w:r>
          <w:r>
            <w:rPr>
              <w:b/>
            </w:rPr>
            <w:instrText xml:space="preserve"> STYLEREF CharPartNo \*charformat </w:instrText>
          </w:r>
          <w:r>
            <w:rPr>
              <w:b/>
            </w:rPr>
            <w:fldChar w:fldCharType="separate"/>
          </w:r>
          <w:r w:rsidR="001542D1">
            <w:rPr>
              <w:b/>
              <w:noProof/>
            </w:rPr>
            <w:t>Part 5.4</w:t>
          </w:r>
          <w:r>
            <w:rPr>
              <w:b/>
            </w:rPr>
            <w:fldChar w:fldCharType="end"/>
          </w:r>
        </w:p>
      </w:tc>
    </w:tr>
    <w:tr w:rsidR="00AC7AC5" w14:paraId="4C630993" w14:textId="77777777" w:rsidTr="007A5E5F">
      <w:tc>
        <w:tcPr>
          <w:tcW w:w="6320" w:type="dxa"/>
        </w:tcPr>
        <w:p w14:paraId="398A314C" w14:textId="4A9359FE" w:rsidR="00C66F4A" w:rsidRDefault="00F01B65" w:rsidP="007A5E5F">
          <w:pPr>
            <w:pStyle w:val="HeaderEven"/>
            <w:jc w:val="right"/>
          </w:pPr>
          <w:r>
            <w:fldChar w:fldCharType="begin"/>
          </w:r>
          <w:r>
            <w:instrText xml:space="preserve"> STYLEREF CharDivText \*charformat </w:instrText>
          </w:r>
          <w:r w:rsidR="001542D1">
            <w:fldChar w:fldCharType="separate"/>
          </w:r>
          <w:r w:rsidR="001542D1">
            <w:rPr>
              <w:noProof/>
            </w:rPr>
            <w:t>Appeals to Court of Appeal—preliminary</w:t>
          </w:r>
          <w:r>
            <w:rPr>
              <w:noProof/>
            </w:rPr>
            <w:fldChar w:fldCharType="end"/>
          </w:r>
        </w:p>
      </w:tc>
      <w:tc>
        <w:tcPr>
          <w:tcW w:w="1701" w:type="dxa"/>
        </w:tcPr>
        <w:p w14:paraId="0591FB51" w14:textId="4708A059" w:rsidR="00C66F4A" w:rsidRDefault="00C66F4A" w:rsidP="007A5E5F">
          <w:pPr>
            <w:pStyle w:val="HeaderEven"/>
            <w:jc w:val="right"/>
            <w:rPr>
              <w:b/>
            </w:rPr>
          </w:pPr>
          <w:r>
            <w:rPr>
              <w:b/>
            </w:rPr>
            <w:fldChar w:fldCharType="begin"/>
          </w:r>
          <w:r>
            <w:rPr>
              <w:b/>
            </w:rPr>
            <w:instrText xml:space="preserve"> STYLEREF CharDivNo \*charformat </w:instrText>
          </w:r>
          <w:r w:rsidR="001542D1">
            <w:rPr>
              <w:b/>
            </w:rPr>
            <w:fldChar w:fldCharType="separate"/>
          </w:r>
          <w:r w:rsidR="001542D1">
            <w:rPr>
              <w:b/>
              <w:noProof/>
            </w:rPr>
            <w:t>Division 5.4.1</w:t>
          </w:r>
          <w:r>
            <w:rPr>
              <w:b/>
            </w:rPr>
            <w:fldChar w:fldCharType="end"/>
          </w:r>
        </w:p>
      </w:tc>
    </w:tr>
    <w:tr w:rsidR="00C66F4A" w14:paraId="70C2FEE2" w14:textId="77777777" w:rsidTr="007A5E5F">
      <w:trPr>
        <w:cantSplit/>
      </w:trPr>
      <w:tc>
        <w:tcPr>
          <w:tcW w:w="1701" w:type="dxa"/>
          <w:gridSpan w:val="2"/>
          <w:tcBorders>
            <w:bottom w:val="single" w:sz="4" w:space="0" w:color="auto"/>
          </w:tcBorders>
        </w:tcPr>
        <w:p w14:paraId="0E731A42" w14:textId="59F5C128" w:rsidR="00C66F4A" w:rsidRDefault="001542D1" w:rsidP="007A5E5F">
          <w:pPr>
            <w:pStyle w:val="HeaderOdd6"/>
          </w:pPr>
          <w:r>
            <w:fldChar w:fldCharType="begin"/>
          </w:r>
          <w:r>
            <w:instrText xml:space="preserve"> DOCPROPERTY "Company"  \* MERGEFORMAT </w:instrText>
          </w:r>
          <w:r>
            <w:fldChar w:fldCharType="separate"/>
          </w:r>
          <w:r w:rsidR="0020574C">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5301</w:t>
          </w:r>
          <w:r w:rsidR="00C66F4A">
            <w:rPr>
              <w:noProof/>
            </w:rPr>
            <w:fldChar w:fldCharType="end"/>
          </w:r>
        </w:p>
      </w:tc>
    </w:tr>
  </w:tbl>
  <w:p w14:paraId="03B92B0D" w14:textId="77777777" w:rsidR="00C66F4A" w:rsidRDefault="00C66F4A"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F371AE" w14:paraId="0A195CBC" w14:textId="77777777" w:rsidTr="007A5E5F">
      <w:tc>
        <w:tcPr>
          <w:tcW w:w="1701" w:type="dxa"/>
        </w:tcPr>
        <w:p w14:paraId="09D3D14B" w14:textId="64024199" w:rsidR="00F371AE" w:rsidRDefault="00F371AE" w:rsidP="007A5E5F">
          <w:pPr>
            <w:pStyle w:val="HeaderEven"/>
            <w:rPr>
              <w:b/>
            </w:rPr>
          </w:pPr>
          <w:r>
            <w:rPr>
              <w:b/>
            </w:rPr>
            <w:fldChar w:fldCharType="begin"/>
          </w:r>
          <w:r>
            <w:rPr>
              <w:b/>
            </w:rPr>
            <w:instrText xml:space="preserve"> STYLEREF CharChapNo \*charformat  </w:instrText>
          </w:r>
          <w:r>
            <w:rPr>
              <w:b/>
            </w:rPr>
            <w:fldChar w:fldCharType="separate"/>
          </w:r>
          <w:r w:rsidR="001542D1">
            <w:rPr>
              <w:b/>
              <w:noProof/>
            </w:rPr>
            <w:t>Chapter 5</w:t>
          </w:r>
          <w:r>
            <w:rPr>
              <w:b/>
            </w:rPr>
            <w:fldChar w:fldCharType="end"/>
          </w:r>
        </w:p>
      </w:tc>
      <w:tc>
        <w:tcPr>
          <w:tcW w:w="6320" w:type="dxa"/>
        </w:tcPr>
        <w:p w14:paraId="1E10EB23" w14:textId="7670C901" w:rsidR="00F371AE" w:rsidRDefault="00F371AE" w:rsidP="007A5E5F">
          <w:pPr>
            <w:pStyle w:val="HeaderEven"/>
          </w:pPr>
          <w:r>
            <w:rPr>
              <w:noProof/>
            </w:rPr>
            <w:fldChar w:fldCharType="begin"/>
          </w:r>
          <w:r>
            <w:rPr>
              <w:noProof/>
            </w:rPr>
            <w:instrText xml:space="preserve"> STYLEREF CharChapText \*charformat  </w:instrText>
          </w:r>
          <w:r>
            <w:rPr>
              <w:noProof/>
            </w:rPr>
            <w:fldChar w:fldCharType="separate"/>
          </w:r>
          <w:r w:rsidR="001542D1">
            <w:rPr>
              <w:noProof/>
            </w:rPr>
            <w:t>Appellate proceedings</w:t>
          </w:r>
          <w:r>
            <w:rPr>
              <w:noProof/>
            </w:rPr>
            <w:fldChar w:fldCharType="end"/>
          </w:r>
        </w:p>
      </w:tc>
    </w:tr>
    <w:tr w:rsidR="00F371AE" w14:paraId="036558CA" w14:textId="77777777" w:rsidTr="007A5E5F">
      <w:tc>
        <w:tcPr>
          <w:tcW w:w="1701" w:type="dxa"/>
        </w:tcPr>
        <w:p w14:paraId="0A07428F" w14:textId="1D1B6471" w:rsidR="00F371AE" w:rsidRDefault="00F371AE" w:rsidP="007A5E5F">
          <w:pPr>
            <w:pStyle w:val="HeaderEven"/>
            <w:rPr>
              <w:b/>
            </w:rPr>
          </w:pPr>
          <w:r>
            <w:rPr>
              <w:b/>
            </w:rPr>
            <w:fldChar w:fldCharType="begin"/>
          </w:r>
          <w:r>
            <w:rPr>
              <w:b/>
            </w:rPr>
            <w:instrText xml:space="preserve"> STYLEREF CharPartNo \*charformat </w:instrText>
          </w:r>
          <w:r>
            <w:rPr>
              <w:b/>
            </w:rPr>
            <w:fldChar w:fldCharType="separate"/>
          </w:r>
          <w:r w:rsidR="001542D1">
            <w:rPr>
              <w:b/>
              <w:noProof/>
            </w:rPr>
            <w:t>Part 5.4</w:t>
          </w:r>
          <w:r>
            <w:rPr>
              <w:b/>
            </w:rPr>
            <w:fldChar w:fldCharType="end"/>
          </w:r>
        </w:p>
      </w:tc>
      <w:tc>
        <w:tcPr>
          <w:tcW w:w="6320" w:type="dxa"/>
        </w:tcPr>
        <w:p w14:paraId="53912C82" w14:textId="0C65B247" w:rsidR="00F371AE" w:rsidRDefault="00F01B65" w:rsidP="007A5E5F">
          <w:pPr>
            <w:pStyle w:val="HeaderEven"/>
          </w:pPr>
          <w:r>
            <w:fldChar w:fldCharType="begin"/>
          </w:r>
          <w:r>
            <w:instrText xml:space="preserve"> STYLEREF CharPartText \*charformat </w:instrText>
          </w:r>
          <w:r>
            <w:fldChar w:fldCharType="separate"/>
          </w:r>
          <w:r w:rsidR="001542D1">
            <w:rPr>
              <w:noProof/>
            </w:rPr>
            <w:t>Appeals to Court of Appeal</w:t>
          </w:r>
          <w:r>
            <w:rPr>
              <w:noProof/>
            </w:rPr>
            <w:fldChar w:fldCharType="end"/>
          </w:r>
        </w:p>
      </w:tc>
    </w:tr>
    <w:tr w:rsidR="00F371AE" w14:paraId="7F345DD0" w14:textId="77777777" w:rsidTr="007A5E5F">
      <w:tc>
        <w:tcPr>
          <w:tcW w:w="1701" w:type="dxa"/>
        </w:tcPr>
        <w:p w14:paraId="620BDD86" w14:textId="05EFBA90" w:rsidR="00F371AE" w:rsidRDefault="00F371AE" w:rsidP="007A5E5F">
          <w:pPr>
            <w:pStyle w:val="HeaderEven"/>
            <w:rPr>
              <w:b/>
            </w:rPr>
          </w:pPr>
          <w:r>
            <w:rPr>
              <w:b/>
            </w:rPr>
            <w:fldChar w:fldCharType="begin"/>
          </w:r>
          <w:r>
            <w:rPr>
              <w:b/>
            </w:rPr>
            <w:instrText xml:space="preserve"> STYLEREF CharDivNo \*charformat </w:instrText>
          </w:r>
          <w:r>
            <w:rPr>
              <w:b/>
            </w:rPr>
            <w:fldChar w:fldCharType="separate"/>
          </w:r>
          <w:r w:rsidR="001542D1">
            <w:rPr>
              <w:b/>
              <w:noProof/>
            </w:rPr>
            <w:t>Division 5.4.2</w:t>
          </w:r>
          <w:r>
            <w:rPr>
              <w:b/>
            </w:rPr>
            <w:fldChar w:fldCharType="end"/>
          </w:r>
        </w:p>
      </w:tc>
      <w:tc>
        <w:tcPr>
          <w:tcW w:w="6320" w:type="dxa"/>
        </w:tcPr>
        <w:p w14:paraId="7C3E5AF5" w14:textId="7A54B94D" w:rsidR="00F371AE" w:rsidRDefault="00F01B65" w:rsidP="007A5E5F">
          <w:pPr>
            <w:pStyle w:val="HeaderEven"/>
          </w:pPr>
          <w:r>
            <w:fldChar w:fldCharType="begin"/>
          </w:r>
          <w:r>
            <w:instrText xml:space="preserve"> STYLEREF CharDivText \*charformat </w:instrText>
          </w:r>
          <w:r>
            <w:fldChar w:fldCharType="separate"/>
          </w:r>
          <w:r w:rsidR="001542D1">
            <w:rPr>
              <w:noProof/>
            </w:rPr>
            <w:t>Appeals to Court of Appeal—leave to appeal from interlocutory orders</w:t>
          </w:r>
          <w:r>
            <w:rPr>
              <w:noProof/>
            </w:rPr>
            <w:fldChar w:fldCharType="end"/>
          </w:r>
        </w:p>
      </w:tc>
    </w:tr>
    <w:tr w:rsidR="00F371AE" w14:paraId="7566490D" w14:textId="77777777" w:rsidTr="007A5E5F">
      <w:trPr>
        <w:cantSplit/>
      </w:trPr>
      <w:tc>
        <w:tcPr>
          <w:tcW w:w="1701" w:type="dxa"/>
          <w:gridSpan w:val="2"/>
          <w:tcBorders>
            <w:bottom w:val="single" w:sz="4" w:space="0" w:color="auto"/>
          </w:tcBorders>
        </w:tcPr>
        <w:p w14:paraId="16FFFBA9" w14:textId="3432BA19" w:rsidR="00F371AE" w:rsidRDefault="001542D1" w:rsidP="007A5E5F">
          <w:pPr>
            <w:pStyle w:val="HeaderEven6"/>
          </w:pPr>
          <w:r>
            <w:fldChar w:fldCharType="begin"/>
          </w:r>
          <w:r>
            <w:instrText xml:space="preserve"> DOCPROPERTY "Company"  \* MERGEFORMAT </w:instrText>
          </w:r>
          <w:r>
            <w:fldChar w:fldCharType="separate"/>
          </w:r>
          <w:r w:rsidR="0020574C">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5315</w:t>
          </w:r>
          <w:r w:rsidR="00F371AE">
            <w:rPr>
              <w:noProof/>
            </w:rPr>
            <w:fldChar w:fldCharType="end"/>
          </w:r>
        </w:p>
      </w:tc>
    </w:tr>
  </w:tbl>
  <w:p w14:paraId="700D5C93" w14:textId="77777777" w:rsidR="00F371AE" w:rsidRDefault="00F371AE"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F371AE" w14:paraId="343F8ACD" w14:textId="77777777" w:rsidTr="007A5E5F">
      <w:tc>
        <w:tcPr>
          <w:tcW w:w="6320" w:type="dxa"/>
        </w:tcPr>
        <w:p w14:paraId="226574AF" w14:textId="70E92D12" w:rsidR="00F371AE" w:rsidRDefault="00F371AE" w:rsidP="007A5E5F">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Appellate proceedings</w:t>
          </w:r>
          <w:r>
            <w:rPr>
              <w:noProof/>
            </w:rPr>
            <w:fldChar w:fldCharType="end"/>
          </w:r>
        </w:p>
      </w:tc>
      <w:tc>
        <w:tcPr>
          <w:tcW w:w="1701" w:type="dxa"/>
        </w:tcPr>
        <w:p w14:paraId="293A14DF" w14:textId="21B66AE1" w:rsidR="00F371AE" w:rsidRDefault="00F371AE" w:rsidP="007A5E5F">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5</w:t>
          </w:r>
          <w:r>
            <w:rPr>
              <w:b/>
            </w:rPr>
            <w:fldChar w:fldCharType="end"/>
          </w:r>
        </w:p>
      </w:tc>
    </w:tr>
    <w:tr w:rsidR="00F371AE" w14:paraId="57C35D21" w14:textId="77777777" w:rsidTr="007A5E5F">
      <w:tc>
        <w:tcPr>
          <w:tcW w:w="6320" w:type="dxa"/>
        </w:tcPr>
        <w:p w14:paraId="04BCA182" w14:textId="1D291C4C" w:rsidR="00F371AE" w:rsidRDefault="00F01B65" w:rsidP="007A5E5F">
          <w:pPr>
            <w:pStyle w:val="HeaderEven"/>
            <w:jc w:val="right"/>
          </w:pPr>
          <w:r>
            <w:fldChar w:fldCharType="begin"/>
          </w:r>
          <w:r>
            <w:instrText xml:space="preserve"> STYLEREF CharPartText \*charformat </w:instrText>
          </w:r>
          <w:r>
            <w:fldChar w:fldCharType="separate"/>
          </w:r>
          <w:r w:rsidR="001542D1">
            <w:rPr>
              <w:noProof/>
            </w:rPr>
            <w:t>Appeals to Court of Appeal</w:t>
          </w:r>
          <w:r>
            <w:rPr>
              <w:noProof/>
            </w:rPr>
            <w:fldChar w:fldCharType="end"/>
          </w:r>
        </w:p>
      </w:tc>
      <w:tc>
        <w:tcPr>
          <w:tcW w:w="1701" w:type="dxa"/>
        </w:tcPr>
        <w:p w14:paraId="538CB332" w14:textId="2A022B18" w:rsidR="00F371AE" w:rsidRDefault="00F371AE" w:rsidP="007A5E5F">
          <w:pPr>
            <w:pStyle w:val="HeaderEven"/>
            <w:jc w:val="right"/>
            <w:rPr>
              <w:b/>
            </w:rPr>
          </w:pPr>
          <w:r>
            <w:rPr>
              <w:b/>
            </w:rPr>
            <w:fldChar w:fldCharType="begin"/>
          </w:r>
          <w:r>
            <w:rPr>
              <w:b/>
            </w:rPr>
            <w:instrText xml:space="preserve"> STYLEREF CharPartNo \*charformat </w:instrText>
          </w:r>
          <w:r>
            <w:rPr>
              <w:b/>
            </w:rPr>
            <w:fldChar w:fldCharType="separate"/>
          </w:r>
          <w:r w:rsidR="001542D1">
            <w:rPr>
              <w:b/>
              <w:noProof/>
            </w:rPr>
            <w:t>Part 5.4</w:t>
          </w:r>
          <w:r>
            <w:rPr>
              <w:b/>
            </w:rPr>
            <w:fldChar w:fldCharType="end"/>
          </w:r>
        </w:p>
      </w:tc>
    </w:tr>
    <w:tr w:rsidR="00F371AE" w14:paraId="3696098D" w14:textId="77777777" w:rsidTr="007A5E5F">
      <w:tc>
        <w:tcPr>
          <w:tcW w:w="6320" w:type="dxa"/>
        </w:tcPr>
        <w:p w14:paraId="7CD89E44" w14:textId="0BB3EA0A" w:rsidR="00F371AE" w:rsidRDefault="00F01B65" w:rsidP="007A5E5F">
          <w:pPr>
            <w:pStyle w:val="HeaderEven"/>
            <w:jc w:val="right"/>
          </w:pPr>
          <w:r>
            <w:fldChar w:fldCharType="begin"/>
          </w:r>
          <w:r>
            <w:instrText xml:space="preserve"> STYLEREF CharDivText \*charformat </w:instrText>
          </w:r>
          <w:r>
            <w:fldChar w:fldCharType="separate"/>
          </w:r>
          <w:r w:rsidR="001542D1">
            <w:rPr>
              <w:noProof/>
            </w:rPr>
            <w:t>Appeals to Court of Appeal—leave to appeal from interlocutory orders</w:t>
          </w:r>
          <w:r>
            <w:rPr>
              <w:noProof/>
            </w:rPr>
            <w:fldChar w:fldCharType="end"/>
          </w:r>
        </w:p>
      </w:tc>
      <w:tc>
        <w:tcPr>
          <w:tcW w:w="1701" w:type="dxa"/>
        </w:tcPr>
        <w:p w14:paraId="1D3C8A65" w14:textId="23E48F73" w:rsidR="00F371AE" w:rsidRDefault="00F371AE" w:rsidP="007A5E5F">
          <w:pPr>
            <w:pStyle w:val="HeaderEven"/>
            <w:jc w:val="right"/>
            <w:rPr>
              <w:b/>
            </w:rPr>
          </w:pPr>
          <w:r>
            <w:rPr>
              <w:b/>
            </w:rPr>
            <w:fldChar w:fldCharType="begin"/>
          </w:r>
          <w:r>
            <w:rPr>
              <w:b/>
            </w:rPr>
            <w:instrText xml:space="preserve"> STYLEREF CharDivNo \*charformat </w:instrText>
          </w:r>
          <w:r>
            <w:rPr>
              <w:b/>
            </w:rPr>
            <w:fldChar w:fldCharType="separate"/>
          </w:r>
          <w:r w:rsidR="001542D1">
            <w:rPr>
              <w:b/>
              <w:noProof/>
            </w:rPr>
            <w:t>Division 5.4.2</w:t>
          </w:r>
          <w:r>
            <w:rPr>
              <w:b/>
            </w:rPr>
            <w:fldChar w:fldCharType="end"/>
          </w:r>
        </w:p>
      </w:tc>
    </w:tr>
    <w:tr w:rsidR="00F371AE" w14:paraId="58B11C45" w14:textId="77777777" w:rsidTr="007A5E5F">
      <w:trPr>
        <w:cantSplit/>
      </w:trPr>
      <w:tc>
        <w:tcPr>
          <w:tcW w:w="1701" w:type="dxa"/>
          <w:gridSpan w:val="2"/>
          <w:tcBorders>
            <w:bottom w:val="single" w:sz="4" w:space="0" w:color="auto"/>
          </w:tcBorders>
        </w:tcPr>
        <w:p w14:paraId="34F93D4A" w14:textId="080C7486" w:rsidR="00F371AE" w:rsidRDefault="001542D1" w:rsidP="007A5E5F">
          <w:pPr>
            <w:pStyle w:val="HeaderOdd6"/>
          </w:pPr>
          <w:r>
            <w:fldChar w:fldCharType="begin"/>
          </w:r>
          <w:r>
            <w:instrText xml:space="preserve"> DOCPROPERTY "Company"  \* MERGEFORMAT </w:instrText>
          </w:r>
          <w:r>
            <w:fldChar w:fldCharType="separate"/>
          </w:r>
          <w:r w:rsidR="0020574C">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5312</w:t>
          </w:r>
          <w:r w:rsidR="00F371AE">
            <w:rPr>
              <w:noProof/>
            </w:rPr>
            <w:fldChar w:fldCharType="end"/>
          </w:r>
        </w:p>
      </w:tc>
    </w:tr>
  </w:tbl>
  <w:p w14:paraId="1D965B7C" w14:textId="77777777" w:rsidR="00F371AE" w:rsidRDefault="00F371AE"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AC7AC5" w14:paraId="66B4DF03" w14:textId="77777777" w:rsidTr="007A5E5F">
      <w:tc>
        <w:tcPr>
          <w:tcW w:w="1701" w:type="dxa"/>
        </w:tcPr>
        <w:p w14:paraId="1105508A" w14:textId="45204771"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1542D1">
            <w:rPr>
              <w:b/>
              <w:noProof/>
            </w:rPr>
            <w:t>Chapter 6</w:t>
          </w:r>
          <w:r>
            <w:rPr>
              <w:b/>
            </w:rPr>
            <w:fldChar w:fldCharType="end"/>
          </w:r>
        </w:p>
      </w:tc>
      <w:tc>
        <w:tcPr>
          <w:tcW w:w="6320" w:type="dxa"/>
        </w:tcPr>
        <w:p w14:paraId="13EF8458" w14:textId="72655B2A"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1542D1">
            <w:rPr>
              <w:noProof/>
            </w:rPr>
            <w:t>General rules for all proceedings</w:t>
          </w:r>
          <w:r>
            <w:rPr>
              <w:noProof/>
            </w:rPr>
            <w:fldChar w:fldCharType="end"/>
          </w:r>
        </w:p>
      </w:tc>
    </w:tr>
    <w:tr w:rsidR="00AC7AC5" w14:paraId="5818254E" w14:textId="77777777" w:rsidTr="007A5E5F">
      <w:tc>
        <w:tcPr>
          <w:tcW w:w="1701" w:type="dxa"/>
        </w:tcPr>
        <w:p w14:paraId="43DC5506" w14:textId="56FE0106"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1542D1">
            <w:rPr>
              <w:b/>
              <w:noProof/>
            </w:rPr>
            <w:t>Part 6.10</w:t>
          </w:r>
          <w:r>
            <w:rPr>
              <w:b/>
            </w:rPr>
            <w:fldChar w:fldCharType="end"/>
          </w:r>
        </w:p>
      </w:tc>
      <w:tc>
        <w:tcPr>
          <w:tcW w:w="6320" w:type="dxa"/>
        </w:tcPr>
        <w:p w14:paraId="76B6A656" w14:textId="0EE2E188" w:rsidR="00DF5DB1" w:rsidRDefault="00F01B65" w:rsidP="007A5E5F">
          <w:pPr>
            <w:pStyle w:val="HeaderEven"/>
          </w:pPr>
          <w:r>
            <w:fldChar w:fldCharType="begin"/>
          </w:r>
          <w:r>
            <w:instrText xml:space="preserve"> STYLEREF CharPartText \*charformat </w:instrText>
          </w:r>
          <w:r>
            <w:fldChar w:fldCharType="separate"/>
          </w:r>
          <w:r w:rsidR="001542D1">
            <w:rPr>
              <w:noProof/>
            </w:rPr>
            <w:t>Evidence</w:t>
          </w:r>
          <w:r>
            <w:rPr>
              <w:noProof/>
            </w:rPr>
            <w:fldChar w:fldCharType="end"/>
          </w:r>
        </w:p>
      </w:tc>
    </w:tr>
    <w:tr w:rsidR="00AC7AC5" w14:paraId="6638EBDE" w14:textId="77777777" w:rsidTr="007A5E5F">
      <w:tc>
        <w:tcPr>
          <w:tcW w:w="1701" w:type="dxa"/>
        </w:tcPr>
        <w:p w14:paraId="315C091D" w14:textId="6FE32BD4" w:rsidR="00DF5DB1" w:rsidRDefault="00DF5DB1" w:rsidP="007A5E5F">
          <w:pPr>
            <w:pStyle w:val="HeaderEven"/>
            <w:rPr>
              <w:b/>
            </w:rPr>
          </w:pPr>
          <w:r>
            <w:rPr>
              <w:b/>
            </w:rPr>
            <w:fldChar w:fldCharType="begin"/>
          </w:r>
          <w:r>
            <w:rPr>
              <w:b/>
            </w:rPr>
            <w:instrText xml:space="preserve"> STYLEREF CharDivNo \*charformat </w:instrText>
          </w:r>
          <w:r w:rsidR="001542D1">
            <w:rPr>
              <w:b/>
            </w:rPr>
            <w:fldChar w:fldCharType="separate"/>
          </w:r>
          <w:r w:rsidR="001542D1">
            <w:rPr>
              <w:b/>
              <w:noProof/>
            </w:rPr>
            <w:t>Division 6.10.5</w:t>
          </w:r>
          <w:r>
            <w:rPr>
              <w:b/>
            </w:rPr>
            <w:fldChar w:fldCharType="end"/>
          </w:r>
        </w:p>
      </w:tc>
      <w:tc>
        <w:tcPr>
          <w:tcW w:w="6320" w:type="dxa"/>
        </w:tcPr>
        <w:p w14:paraId="32D666F7" w14:textId="4436EF94" w:rsidR="00DF5DB1" w:rsidRDefault="00F01B65" w:rsidP="007A5E5F">
          <w:pPr>
            <w:pStyle w:val="HeaderEven"/>
          </w:pPr>
          <w:r>
            <w:fldChar w:fldCharType="begin"/>
          </w:r>
          <w:r>
            <w:instrText xml:space="preserve"> STYLEREF CharDivText \*charformat </w:instrText>
          </w:r>
          <w:r w:rsidR="001542D1">
            <w:fldChar w:fldCharType="separate"/>
          </w:r>
          <w:r w:rsidR="001542D1">
            <w:rPr>
              <w:noProof/>
            </w:rPr>
            <w:t>Exhibits, documents and things</w:t>
          </w:r>
          <w:r>
            <w:rPr>
              <w:noProof/>
            </w:rPr>
            <w:fldChar w:fldCharType="end"/>
          </w:r>
        </w:p>
      </w:tc>
    </w:tr>
    <w:tr w:rsidR="00DF5DB1" w14:paraId="7377F411" w14:textId="77777777" w:rsidTr="007A5E5F">
      <w:trPr>
        <w:cantSplit/>
      </w:trPr>
      <w:tc>
        <w:tcPr>
          <w:tcW w:w="1701" w:type="dxa"/>
          <w:gridSpan w:val="2"/>
          <w:tcBorders>
            <w:bottom w:val="single" w:sz="4" w:space="0" w:color="auto"/>
          </w:tcBorders>
        </w:tcPr>
        <w:p w14:paraId="30BD9132" w14:textId="163D57D9" w:rsidR="00DF5DB1" w:rsidRDefault="001542D1" w:rsidP="007A5E5F">
          <w:pPr>
            <w:pStyle w:val="HeaderEven6"/>
          </w:pPr>
          <w:r>
            <w:fldChar w:fldCharType="begin"/>
          </w:r>
          <w:r>
            <w:instrText xml:space="preserve"> DOCPROPERTY "Company"  \* MERGEFORMAT </w:instrText>
          </w:r>
          <w:r>
            <w:fldChar w:fldCharType="separate"/>
          </w:r>
          <w:r w:rsidR="0020574C">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6767</w:t>
          </w:r>
          <w:r w:rsidR="00DF5DB1">
            <w:rPr>
              <w:noProof/>
            </w:rPr>
            <w:fldChar w:fldCharType="end"/>
          </w:r>
        </w:p>
      </w:tc>
    </w:tr>
  </w:tbl>
  <w:p w14:paraId="5BDB2643" w14:textId="77777777" w:rsidR="00DF5DB1" w:rsidRDefault="00DF5DB1"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D0B26" w14:paraId="248C4D94" w14:textId="77777777" w:rsidTr="007A5E5F">
      <w:tc>
        <w:tcPr>
          <w:tcW w:w="6320" w:type="dxa"/>
        </w:tcPr>
        <w:p w14:paraId="1DE24ECC" w14:textId="65E25EFE"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General rules for all proceedings</w:t>
          </w:r>
          <w:r>
            <w:rPr>
              <w:noProof/>
            </w:rPr>
            <w:fldChar w:fldCharType="end"/>
          </w:r>
        </w:p>
      </w:tc>
      <w:tc>
        <w:tcPr>
          <w:tcW w:w="1701" w:type="dxa"/>
        </w:tcPr>
        <w:p w14:paraId="0DF5AA20" w14:textId="51223882"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6</w:t>
          </w:r>
          <w:r>
            <w:rPr>
              <w:b/>
            </w:rPr>
            <w:fldChar w:fldCharType="end"/>
          </w:r>
        </w:p>
      </w:tc>
    </w:tr>
    <w:tr w:rsidR="003D0B26" w14:paraId="6556FAD4" w14:textId="77777777" w:rsidTr="007A5E5F">
      <w:tc>
        <w:tcPr>
          <w:tcW w:w="6320" w:type="dxa"/>
        </w:tcPr>
        <w:p w14:paraId="3588EE96" w14:textId="04095B2D" w:rsidR="00DF5DB1" w:rsidRDefault="00F01B65" w:rsidP="007A5E5F">
          <w:pPr>
            <w:pStyle w:val="HeaderEven"/>
            <w:jc w:val="right"/>
          </w:pPr>
          <w:r>
            <w:fldChar w:fldCharType="begin"/>
          </w:r>
          <w:r>
            <w:instrText xml:space="preserve"> STYLEREF CharPartText \*charformat </w:instrText>
          </w:r>
          <w:r>
            <w:fldChar w:fldCharType="separate"/>
          </w:r>
          <w:r w:rsidR="001542D1">
            <w:rPr>
              <w:noProof/>
            </w:rPr>
            <w:t>Evidence</w:t>
          </w:r>
          <w:r>
            <w:rPr>
              <w:noProof/>
            </w:rPr>
            <w:fldChar w:fldCharType="end"/>
          </w:r>
        </w:p>
      </w:tc>
      <w:tc>
        <w:tcPr>
          <w:tcW w:w="1701" w:type="dxa"/>
        </w:tcPr>
        <w:p w14:paraId="6135BB15" w14:textId="4C89F053"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1542D1">
            <w:rPr>
              <w:b/>
              <w:noProof/>
            </w:rPr>
            <w:t>Part 6.10</w:t>
          </w:r>
          <w:r>
            <w:rPr>
              <w:b/>
            </w:rPr>
            <w:fldChar w:fldCharType="end"/>
          </w:r>
        </w:p>
      </w:tc>
    </w:tr>
    <w:tr w:rsidR="003D0B26" w14:paraId="08455567" w14:textId="77777777" w:rsidTr="007A5E5F">
      <w:tc>
        <w:tcPr>
          <w:tcW w:w="6320" w:type="dxa"/>
        </w:tcPr>
        <w:p w14:paraId="54E18DED" w14:textId="32AA5777" w:rsidR="00DF5DB1" w:rsidRDefault="00F01B65" w:rsidP="007A5E5F">
          <w:pPr>
            <w:pStyle w:val="HeaderEven"/>
            <w:jc w:val="right"/>
          </w:pPr>
          <w:r>
            <w:fldChar w:fldCharType="begin"/>
          </w:r>
          <w:r>
            <w:instrText xml:space="preserve"> STYLEREF CharDivText \*charformat </w:instrText>
          </w:r>
          <w:r w:rsidR="001542D1">
            <w:fldChar w:fldCharType="separate"/>
          </w:r>
          <w:r w:rsidR="001542D1">
            <w:rPr>
              <w:noProof/>
            </w:rPr>
            <w:t>Exhibits, documents and things</w:t>
          </w:r>
          <w:r>
            <w:rPr>
              <w:noProof/>
            </w:rPr>
            <w:fldChar w:fldCharType="end"/>
          </w:r>
        </w:p>
      </w:tc>
      <w:tc>
        <w:tcPr>
          <w:tcW w:w="1701" w:type="dxa"/>
        </w:tcPr>
        <w:p w14:paraId="6C0EA10D" w14:textId="72CFCCBF" w:rsidR="00DF5DB1" w:rsidRDefault="00DF5DB1" w:rsidP="007A5E5F">
          <w:pPr>
            <w:pStyle w:val="HeaderEven"/>
            <w:jc w:val="right"/>
            <w:rPr>
              <w:b/>
            </w:rPr>
          </w:pPr>
          <w:r>
            <w:rPr>
              <w:b/>
            </w:rPr>
            <w:fldChar w:fldCharType="begin"/>
          </w:r>
          <w:r>
            <w:rPr>
              <w:b/>
            </w:rPr>
            <w:instrText xml:space="preserve"> STYLEREF CharDivNo \*charformat </w:instrText>
          </w:r>
          <w:r w:rsidR="001542D1">
            <w:rPr>
              <w:b/>
            </w:rPr>
            <w:fldChar w:fldCharType="separate"/>
          </w:r>
          <w:r w:rsidR="001542D1">
            <w:rPr>
              <w:b/>
              <w:noProof/>
            </w:rPr>
            <w:t>Division 6.10.5</w:t>
          </w:r>
          <w:r>
            <w:rPr>
              <w:b/>
            </w:rPr>
            <w:fldChar w:fldCharType="end"/>
          </w:r>
        </w:p>
      </w:tc>
    </w:tr>
    <w:tr w:rsidR="00DF5DB1" w14:paraId="3D72D988" w14:textId="77777777" w:rsidTr="007A5E5F">
      <w:trPr>
        <w:cantSplit/>
      </w:trPr>
      <w:tc>
        <w:tcPr>
          <w:tcW w:w="1701" w:type="dxa"/>
          <w:gridSpan w:val="2"/>
          <w:tcBorders>
            <w:bottom w:val="single" w:sz="4" w:space="0" w:color="auto"/>
          </w:tcBorders>
        </w:tcPr>
        <w:p w14:paraId="66EA16A0" w14:textId="699F619A" w:rsidR="00DF5DB1" w:rsidRDefault="001542D1" w:rsidP="007A5E5F">
          <w:pPr>
            <w:pStyle w:val="HeaderOdd6"/>
          </w:pPr>
          <w:r>
            <w:fldChar w:fldCharType="begin"/>
          </w:r>
          <w:r>
            <w:instrText xml:space="preserve"> DOCPROPERTY "Company"  \* MERGEFORMAT </w:instrText>
          </w:r>
          <w:r>
            <w:fldChar w:fldCharType="separate"/>
          </w:r>
          <w:r w:rsidR="0020574C">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6765</w:t>
          </w:r>
          <w:r w:rsidR="00DF5DB1">
            <w:rPr>
              <w:noProof/>
            </w:rPr>
            <w:fldChar w:fldCharType="end"/>
          </w:r>
        </w:p>
      </w:tc>
    </w:tr>
  </w:tbl>
  <w:p w14:paraId="7A101556" w14:textId="77777777" w:rsidR="00DF5DB1" w:rsidRDefault="00DF5DB1"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32CA6" w14:paraId="57F75C89" w14:textId="77777777" w:rsidTr="007A5E5F">
      <w:tc>
        <w:tcPr>
          <w:tcW w:w="1701" w:type="dxa"/>
        </w:tcPr>
        <w:p w14:paraId="42547E18" w14:textId="0C412EAE"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1542D1">
            <w:rPr>
              <w:b/>
              <w:noProof/>
            </w:rPr>
            <w:t>Chapter 7</w:t>
          </w:r>
          <w:r>
            <w:rPr>
              <w:b/>
            </w:rPr>
            <w:fldChar w:fldCharType="end"/>
          </w:r>
        </w:p>
      </w:tc>
      <w:tc>
        <w:tcPr>
          <w:tcW w:w="6320" w:type="dxa"/>
        </w:tcPr>
        <w:p w14:paraId="3E7635B6" w14:textId="49963FAE"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1542D1">
            <w:rPr>
              <w:noProof/>
            </w:rPr>
            <w:t>Transitional</w:t>
          </w:r>
          <w:r>
            <w:rPr>
              <w:noProof/>
            </w:rPr>
            <w:fldChar w:fldCharType="end"/>
          </w:r>
        </w:p>
      </w:tc>
    </w:tr>
    <w:tr w:rsidR="00432CA6" w14:paraId="751A0C6B" w14:textId="77777777" w:rsidTr="007A5E5F">
      <w:tc>
        <w:tcPr>
          <w:tcW w:w="1701" w:type="dxa"/>
        </w:tcPr>
        <w:p w14:paraId="47A5D04E" w14:textId="722C27CA"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1542D1">
            <w:rPr>
              <w:b/>
              <w:noProof/>
            </w:rPr>
            <w:t>Part 7.2</w:t>
          </w:r>
          <w:r>
            <w:rPr>
              <w:b/>
            </w:rPr>
            <w:fldChar w:fldCharType="end"/>
          </w:r>
        </w:p>
      </w:tc>
      <w:tc>
        <w:tcPr>
          <w:tcW w:w="6320" w:type="dxa"/>
        </w:tcPr>
        <w:p w14:paraId="3F3526B0" w14:textId="3D247584" w:rsidR="00DF5DB1" w:rsidRDefault="00F01B65" w:rsidP="007A5E5F">
          <w:pPr>
            <w:pStyle w:val="HeaderEven"/>
          </w:pPr>
          <w:r>
            <w:fldChar w:fldCharType="begin"/>
          </w:r>
          <w:r>
            <w:instrText xml:space="preserve"> STYLEREF CharPartText \*charformat </w:instrText>
          </w:r>
          <w:r>
            <w:fldChar w:fldCharType="separate"/>
          </w:r>
          <w:r w:rsidR="001542D1">
            <w:rPr>
              <w:noProof/>
            </w:rPr>
            <w:t>Transitional—Magistrates Court</w:t>
          </w:r>
          <w:r>
            <w:rPr>
              <w:noProof/>
            </w:rPr>
            <w:fldChar w:fldCharType="end"/>
          </w:r>
        </w:p>
      </w:tc>
    </w:tr>
    <w:tr w:rsidR="00432CA6" w14:paraId="7F43470E" w14:textId="77777777" w:rsidTr="007A5E5F">
      <w:tc>
        <w:tcPr>
          <w:tcW w:w="1701" w:type="dxa"/>
        </w:tcPr>
        <w:p w14:paraId="035B66F3" w14:textId="028852F8" w:rsidR="00DF5DB1" w:rsidRDefault="00DF5DB1"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893857" w14:textId="31DFC661" w:rsidR="00DF5DB1" w:rsidRDefault="00DF5DB1" w:rsidP="007A5E5F">
          <w:pPr>
            <w:pStyle w:val="HeaderEven"/>
          </w:pPr>
          <w:r>
            <w:fldChar w:fldCharType="begin"/>
          </w:r>
          <w:r>
            <w:instrText xml:space="preserve"> STYLEREF CharDivText \*charformat </w:instrText>
          </w:r>
          <w:r>
            <w:fldChar w:fldCharType="end"/>
          </w:r>
        </w:p>
      </w:tc>
    </w:tr>
    <w:tr w:rsidR="00DF5DB1" w14:paraId="3D318083" w14:textId="77777777" w:rsidTr="007A5E5F">
      <w:trPr>
        <w:cantSplit/>
      </w:trPr>
      <w:tc>
        <w:tcPr>
          <w:tcW w:w="1701" w:type="dxa"/>
          <w:gridSpan w:val="2"/>
          <w:tcBorders>
            <w:bottom w:val="single" w:sz="4" w:space="0" w:color="auto"/>
          </w:tcBorders>
        </w:tcPr>
        <w:p w14:paraId="5309E20A" w14:textId="1B590C2A" w:rsidR="00DF5DB1" w:rsidRDefault="001542D1" w:rsidP="007A5E5F">
          <w:pPr>
            <w:pStyle w:val="HeaderEven6"/>
          </w:pPr>
          <w:r>
            <w:fldChar w:fldCharType="begin"/>
          </w:r>
          <w:r>
            <w:instrText xml:space="preserve"> DOCPROPERTY "Company"  \* MERGEFORMAT </w:instrText>
          </w:r>
          <w:r>
            <w:fldChar w:fldCharType="separate"/>
          </w:r>
          <w:r w:rsidR="0020574C">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7011</w:t>
          </w:r>
          <w:r w:rsidR="00DF5DB1">
            <w:rPr>
              <w:noProof/>
            </w:rPr>
            <w:fldChar w:fldCharType="end"/>
          </w:r>
        </w:p>
      </w:tc>
    </w:tr>
  </w:tbl>
  <w:p w14:paraId="2F1BE421" w14:textId="77777777" w:rsidR="00DF5DB1" w:rsidRDefault="00DF5DB1"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32CA6" w14:paraId="3FB031BF" w14:textId="77777777" w:rsidTr="007A5E5F">
      <w:tc>
        <w:tcPr>
          <w:tcW w:w="6320" w:type="dxa"/>
        </w:tcPr>
        <w:p w14:paraId="40F4883F" w14:textId="7229FAAF"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1542D1">
            <w:rPr>
              <w:noProof/>
            </w:rPr>
            <w:t>Transitional</w:t>
          </w:r>
          <w:r>
            <w:rPr>
              <w:noProof/>
            </w:rPr>
            <w:fldChar w:fldCharType="end"/>
          </w:r>
        </w:p>
      </w:tc>
      <w:tc>
        <w:tcPr>
          <w:tcW w:w="1701" w:type="dxa"/>
        </w:tcPr>
        <w:p w14:paraId="001BA5B1" w14:textId="6FDAF4E2"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1542D1">
            <w:rPr>
              <w:b/>
              <w:noProof/>
            </w:rPr>
            <w:t>Chapter 7</w:t>
          </w:r>
          <w:r>
            <w:rPr>
              <w:b/>
            </w:rPr>
            <w:fldChar w:fldCharType="end"/>
          </w:r>
        </w:p>
      </w:tc>
    </w:tr>
    <w:tr w:rsidR="00432CA6" w14:paraId="00EF9385" w14:textId="77777777" w:rsidTr="007A5E5F">
      <w:tc>
        <w:tcPr>
          <w:tcW w:w="6320" w:type="dxa"/>
        </w:tcPr>
        <w:p w14:paraId="657139F0" w14:textId="75181C65" w:rsidR="00DF5DB1" w:rsidRDefault="00F01B65" w:rsidP="007A5E5F">
          <w:pPr>
            <w:pStyle w:val="HeaderEven"/>
            <w:jc w:val="right"/>
          </w:pPr>
          <w:r>
            <w:fldChar w:fldCharType="begin"/>
          </w:r>
          <w:r>
            <w:instrText xml:space="preserve"> STYLEREF CharPartText \*charformat </w:instrText>
          </w:r>
          <w:r>
            <w:fldChar w:fldCharType="separate"/>
          </w:r>
          <w:r w:rsidR="001542D1">
            <w:rPr>
              <w:noProof/>
            </w:rPr>
            <w:t>Transitional—interrogatories</w:t>
          </w:r>
          <w:r>
            <w:rPr>
              <w:noProof/>
            </w:rPr>
            <w:fldChar w:fldCharType="end"/>
          </w:r>
        </w:p>
      </w:tc>
      <w:tc>
        <w:tcPr>
          <w:tcW w:w="1701" w:type="dxa"/>
        </w:tcPr>
        <w:p w14:paraId="43C89457" w14:textId="3E16C6AA"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1542D1">
            <w:rPr>
              <w:b/>
              <w:noProof/>
            </w:rPr>
            <w:t>Part 7.3</w:t>
          </w:r>
          <w:r>
            <w:rPr>
              <w:b/>
            </w:rPr>
            <w:fldChar w:fldCharType="end"/>
          </w:r>
        </w:p>
      </w:tc>
    </w:tr>
    <w:tr w:rsidR="00432CA6" w14:paraId="03574665" w14:textId="77777777" w:rsidTr="007A5E5F">
      <w:tc>
        <w:tcPr>
          <w:tcW w:w="6320" w:type="dxa"/>
        </w:tcPr>
        <w:p w14:paraId="01FAF47E" w14:textId="7400EA46" w:rsidR="00DF5DB1" w:rsidRDefault="00DF5DB1" w:rsidP="007A5E5F">
          <w:pPr>
            <w:pStyle w:val="HeaderEven"/>
            <w:jc w:val="right"/>
          </w:pPr>
          <w:r>
            <w:fldChar w:fldCharType="begin"/>
          </w:r>
          <w:r>
            <w:instrText xml:space="preserve"> STYLEREF CharDivText \*charformat </w:instrText>
          </w:r>
          <w:r>
            <w:fldChar w:fldCharType="end"/>
          </w:r>
        </w:p>
      </w:tc>
      <w:tc>
        <w:tcPr>
          <w:tcW w:w="1701" w:type="dxa"/>
        </w:tcPr>
        <w:p w14:paraId="13822878" w14:textId="470897C6" w:rsidR="00DF5DB1" w:rsidRDefault="00DF5DB1" w:rsidP="007A5E5F">
          <w:pPr>
            <w:pStyle w:val="HeaderEven"/>
            <w:jc w:val="right"/>
            <w:rPr>
              <w:b/>
            </w:rPr>
          </w:pPr>
          <w:r>
            <w:rPr>
              <w:b/>
            </w:rPr>
            <w:fldChar w:fldCharType="begin"/>
          </w:r>
          <w:r>
            <w:rPr>
              <w:b/>
            </w:rPr>
            <w:instrText xml:space="preserve"> STYLEREF CharDivNo \*charformat </w:instrText>
          </w:r>
          <w:r>
            <w:rPr>
              <w:b/>
            </w:rPr>
            <w:fldChar w:fldCharType="end"/>
          </w:r>
        </w:p>
      </w:tc>
    </w:tr>
    <w:tr w:rsidR="00DF5DB1" w14:paraId="5D323259" w14:textId="77777777" w:rsidTr="007A5E5F">
      <w:trPr>
        <w:cantSplit/>
      </w:trPr>
      <w:tc>
        <w:tcPr>
          <w:tcW w:w="1701" w:type="dxa"/>
          <w:gridSpan w:val="2"/>
          <w:tcBorders>
            <w:bottom w:val="single" w:sz="4" w:space="0" w:color="auto"/>
          </w:tcBorders>
        </w:tcPr>
        <w:p w14:paraId="46343DC3" w14:textId="0ED95FA6" w:rsidR="00DF5DB1" w:rsidRDefault="001542D1" w:rsidP="007A5E5F">
          <w:pPr>
            <w:pStyle w:val="HeaderOdd6"/>
          </w:pPr>
          <w:r>
            <w:fldChar w:fldCharType="begin"/>
          </w:r>
          <w:r>
            <w:instrText xml:space="preserve"> DOCPROPERTY "Company"  \* MERGEFORMAT </w:instrText>
          </w:r>
          <w:r>
            <w:fldChar w:fldCharType="separate"/>
          </w:r>
          <w:r w:rsidR="0020574C">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7012</w:t>
          </w:r>
          <w:r w:rsidR="00DF5DB1">
            <w:rPr>
              <w:noProof/>
            </w:rPr>
            <w:fldChar w:fldCharType="end"/>
          </w:r>
        </w:p>
      </w:tc>
    </w:tr>
  </w:tbl>
  <w:p w14:paraId="69C27405" w14:textId="77777777" w:rsidR="00DF5DB1" w:rsidRDefault="00DF5DB1"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7E84D3D1" w14:textId="77777777">
      <w:trPr>
        <w:jc w:val="center"/>
      </w:trPr>
      <w:tc>
        <w:tcPr>
          <w:tcW w:w="1560" w:type="dxa"/>
        </w:tcPr>
        <w:p w14:paraId="3AAFE969" w14:textId="6A4AA659"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1</w:t>
          </w:r>
          <w:r w:rsidRPr="00A752AE">
            <w:rPr>
              <w:rFonts w:cs="Arial"/>
              <w:b/>
              <w:szCs w:val="18"/>
            </w:rPr>
            <w:fldChar w:fldCharType="end"/>
          </w:r>
        </w:p>
      </w:tc>
      <w:tc>
        <w:tcPr>
          <w:tcW w:w="5741" w:type="dxa"/>
        </w:tcPr>
        <w:p w14:paraId="099A463A" w14:textId="42850849"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Expert witness code of conduct</w:t>
          </w:r>
          <w:r w:rsidRPr="00A752AE">
            <w:rPr>
              <w:rFonts w:cs="Arial"/>
              <w:szCs w:val="18"/>
            </w:rPr>
            <w:fldChar w:fldCharType="end"/>
          </w:r>
        </w:p>
      </w:tc>
    </w:tr>
    <w:tr w:rsidR="00135326" w:rsidRPr="00CB3D59" w14:paraId="64BAEBA6" w14:textId="77777777">
      <w:trPr>
        <w:jc w:val="center"/>
      </w:trPr>
      <w:tc>
        <w:tcPr>
          <w:tcW w:w="1560" w:type="dxa"/>
        </w:tcPr>
        <w:p w14:paraId="48BEF455" w14:textId="634FEE04"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0B04103" w14:textId="7ED1F967"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35326" w:rsidRPr="00CB3D59" w14:paraId="0230723B" w14:textId="77777777">
      <w:trPr>
        <w:jc w:val="center"/>
      </w:trPr>
      <w:tc>
        <w:tcPr>
          <w:tcW w:w="7296" w:type="dxa"/>
          <w:gridSpan w:val="2"/>
          <w:tcBorders>
            <w:bottom w:val="single" w:sz="4" w:space="0" w:color="auto"/>
          </w:tcBorders>
        </w:tcPr>
        <w:p w14:paraId="71EF3E28" w14:textId="0B739BC9"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1542D1">
            <w:rPr>
              <w:rFonts w:cs="Arial"/>
              <w:noProof/>
              <w:szCs w:val="18"/>
            </w:rPr>
            <w:t>1.4</w:t>
          </w:r>
          <w:r w:rsidR="00135326" w:rsidRPr="00A752AE">
            <w:rPr>
              <w:rFonts w:cs="Arial"/>
              <w:szCs w:val="18"/>
            </w:rPr>
            <w:fldChar w:fldCharType="end"/>
          </w:r>
        </w:p>
      </w:tc>
    </w:tr>
  </w:tbl>
  <w:p w14:paraId="179AF1EA" w14:textId="77777777" w:rsidR="00135326" w:rsidRDefault="0013532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5D4F5598" w14:textId="77777777">
      <w:trPr>
        <w:jc w:val="center"/>
      </w:trPr>
      <w:tc>
        <w:tcPr>
          <w:tcW w:w="5741" w:type="dxa"/>
        </w:tcPr>
        <w:p w14:paraId="51256831" w14:textId="52136B0A"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Expert witness code of conduct</w:t>
          </w:r>
          <w:r w:rsidRPr="00A752AE">
            <w:rPr>
              <w:rFonts w:cs="Arial"/>
              <w:szCs w:val="18"/>
            </w:rPr>
            <w:fldChar w:fldCharType="end"/>
          </w:r>
        </w:p>
      </w:tc>
      <w:tc>
        <w:tcPr>
          <w:tcW w:w="1560" w:type="dxa"/>
        </w:tcPr>
        <w:p w14:paraId="231AFC57" w14:textId="2E057D68"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1</w:t>
          </w:r>
          <w:r w:rsidRPr="00A752AE">
            <w:rPr>
              <w:rFonts w:cs="Arial"/>
              <w:b/>
              <w:szCs w:val="18"/>
            </w:rPr>
            <w:fldChar w:fldCharType="end"/>
          </w:r>
        </w:p>
      </w:tc>
    </w:tr>
    <w:tr w:rsidR="00135326" w:rsidRPr="00CB3D59" w14:paraId="78E962DE" w14:textId="77777777">
      <w:trPr>
        <w:jc w:val="center"/>
      </w:trPr>
      <w:tc>
        <w:tcPr>
          <w:tcW w:w="5741" w:type="dxa"/>
        </w:tcPr>
        <w:p w14:paraId="479386B4" w14:textId="1AC85445"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A3831B" w14:textId="7A5DD8BB"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135326" w:rsidRPr="00CB3D59" w14:paraId="3569BA5D" w14:textId="77777777">
      <w:trPr>
        <w:jc w:val="center"/>
      </w:trPr>
      <w:tc>
        <w:tcPr>
          <w:tcW w:w="7296" w:type="dxa"/>
          <w:gridSpan w:val="2"/>
          <w:tcBorders>
            <w:bottom w:val="single" w:sz="4" w:space="0" w:color="auto"/>
          </w:tcBorders>
        </w:tcPr>
        <w:p w14:paraId="2C82EA78" w14:textId="117473F3"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1542D1">
            <w:rPr>
              <w:rFonts w:cs="Arial"/>
              <w:noProof/>
              <w:szCs w:val="18"/>
            </w:rPr>
            <w:t>1.6</w:t>
          </w:r>
          <w:r w:rsidR="00135326" w:rsidRPr="00A752AE">
            <w:rPr>
              <w:rFonts w:cs="Arial"/>
              <w:szCs w:val="18"/>
            </w:rPr>
            <w:fldChar w:fldCharType="end"/>
          </w:r>
        </w:p>
      </w:tc>
    </w:tr>
  </w:tbl>
  <w:p w14:paraId="341F412D" w14:textId="77777777" w:rsidR="00135326" w:rsidRDefault="0013532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594E602B" w14:textId="77777777">
      <w:trPr>
        <w:jc w:val="center"/>
      </w:trPr>
      <w:tc>
        <w:tcPr>
          <w:tcW w:w="1560" w:type="dxa"/>
        </w:tcPr>
        <w:p w14:paraId="51B3A5E4" w14:textId="47F8F7F9"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2</w:t>
          </w:r>
          <w:r w:rsidRPr="00A752AE">
            <w:rPr>
              <w:rFonts w:cs="Arial"/>
              <w:b/>
              <w:szCs w:val="18"/>
            </w:rPr>
            <w:fldChar w:fldCharType="end"/>
          </w:r>
        </w:p>
      </w:tc>
      <w:tc>
        <w:tcPr>
          <w:tcW w:w="5741" w:type="dxa"/>
        </w:tcPr>
        <w:p w14:paraId="73F00074" w14:textId="08FABF6E"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Interest rates</w:t>
          </w:r>
          <w:r w:rsidRPr="00A752AE">
            <w:rPr>
              <w:rFonts w:cs="Arial"/>
              <w:szCs w:val="18"/>
            </w:rPr>
            <w:fldChar w:fldCharType="end"/>
          </w:r>
        </w:p>
      </w:tc>
    </w:tr>
    <w:tr w:rsidR="00135326" w:rsidRPr="00CB3D59" w14:paraId="7CF9A537" w14:textId="77777777">
      <w:trPr>
        <w:jc w:val="center"/>
      </w:trPr>
      <w:tc>
        <w:tcPr>
          <w:tcW w:w="1560" w:type="dxa"/>
        </w:tcPr>
        <w:p w14:paraId="2ECC3F8B" w14:textId="7846B0D4"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2.2</w:t>
          </w:r>
          <w:r w:rsidRPr="00A752AE">
            <w:rPr>
              <w:rFonts w:cs="Arial"/>
              <w:b/>
              <w:szCs w:val="18"/>
            </w:rPr>
            <w:fldChar w:fldCharType="end"/>
          </w:r>
        </w:p>
      </w:tc>
      <w:tc>
        <w:tcPr>
          <w:tcW w:w="5741" w:type="dxa"/>
        </w:tcPr>
        <w:p w14:paraId="6CAE7CE1" w14:textId="0DB0E669"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Interest after judgment</w:t>
          </w:r>
          <w:r w:rsidRPr="00A752AE">
            <w:rPr>
              <w:rFonts w:cs="Arial"/>
              <w:szCs w:val="18"/>
            </w:rPr>
            <w:fldChar w:fldCharType="end"/>
          </w:r>
        </w:p>
      </w:tc>
    </w:tr>
    <w:tr w:rsidR="00135326" w:rsidRPr="00CB3D59" w14:paraId="24A49ADF" w14:textId="77777777">
      <w:trPr>
        <w:jc w:val="center"/>
      </w:trPr>
      <w:tc>
        <w:tcPr>
          <w:tcW w:w="7296" w:type="dxa"/>
          <w:gridSpan w:val="2"/>
          <w:tcBorders>
            <w:bottom w:val="single" w:sz="4" w:space="0" w:color="auto"/>
          </w:tcBorders>
        </w:tcPr>
        <w:p w14:paraId="10443B53" w14:textId="1F553D91"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1542D1">
            <w:rPr>
              <w:rFonts w:cs="Arial"/>
              <w:noProof/>
              <w:szCs w:val="18"/>
            </w:rPr>
            <w:t>2.4</w:t>
          </w:r>
          <w:r w:rsidR="00135326" w:rsidRPr="00A752AE">
            <w:rPr>
              <w:rFonts w:cs="Arial"/>
              <w:szCs w:val="18"/>
            </w:rPr>
            <w:fldChar w:fldCharType="end"/>
          </w:r>
        </w:p>
      </w:tc>
    </w:tr>
  </w:tbl>
  <w:p w14:paraId="59D62DEF" w14:textId="77777777" w:rsidR="00135326" w:rsidRDefault="0013532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4BC4AFD7" w14:textId="77777777">
      <w:trPr>
        <w:jc w:val="center"/>
      </w:trPr>
      <w:tc>
        <w:tcPr>
          <w:tcW w:w="5741" w:type="dxa"/>
        </w:tcPr>
        <w:p w14:paraId="716F570C" w14:textId="2111BFFC"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Interest rates</w:t>
          </w:r>
          <w:r w:rsidRPr="00A752AE">
            <w:rPr>
              <w:rFonts w:cs="Arial"/>
              <w:szCs w:val="18"/>
            </w:rPr>
            <w:fldChar w:fldCharType="end"/>
          </w:r>
        </w:p>
      </w:tc>
      <w:tc>
        <w:tcPr>
          <w:tcW w:w="1560" w:type="dxa"/>
        </w:tcPr>
        <w:p w14:paraId="576B55BA" w14:textId="0E23F127"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2</w:t>
          </w:r>
          <w:r w:rsidRPr="00A752AE">
            <w:rPr>
              <w:rFonts w:cs="Arial"/>
              <w:b/>
              <w:szCs w:val="18"/>
            </w:rPr>
            <w:fldChar w:fldCharType="end"/>
          </w:r>
        </w:p>
      </w:tc>
    </w:tr>
    <w:tr w:rsidR="00135326" w:rsidRPr="00CB3D59" w14:paraId="4972E1A4" w14:textId="77777777">
      <w:trPr>
        <w:jc w:val="center"/>
      </w:trPr>
      <w:tc>
        <w:tcPr>
          <w:tcW w:w="5741" w:type="dxa"/>
        </w:tcPr>
        <w:p w14:paraId="539A9AD4" w14:textId="265E0473"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Interest after judgment</w:t>
          </w:r>
          <w:r w:rsidRPr="00A752AE">
            <w:rPr>
              <w:rFonts w:cs="Arial"/>
              <w:szCs w:val="18"/>
            </w:rPr>
            <w:fldChar w:fldCharType="end"/>
          </w:r>
        </w:p>
      </w:tc>
      <w:tc>
        <w:tcPr>
          <w:tcW w:w="1560" w:type="dxa"/>
        </w:tcPr>
        <w:p w14:paraId="6D329B0B" w14:textId="6BC81FB0"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2.2</w:t>
          </w:r>
          <w:r w:rsidRPr="00A752AE">
            <w:rPr>
              <w:rFonts w:cs="Arial"/>
              <w:b/>
              <w:szCs w:val="18"/>
            </w:rPr>
            <w:fldChar w:fldCharType="end"/>
          </w:r>
        </w:p>
      </w:tc>
    </w:tr>
    <w:tr w:rsidR="00135326" w:rsidRPr="00CB3D59" w14:paraId="62668331" w14:textId="77777777">
      <w:trPr>
        <w:jc w:val="center"/>
      </w:trPr>
      <w:tc>
        <w:tcPr>
          <w:tcW w:w="7296" w:type="dxa"/>
          <w:gridSpan w:val="2"/>
          <w:tcBorders>
            <w:bottom w:val="single" w:sz="4" w:space="0" w:color="auto"/>
          </w:tcBorders>
        </w:tcPr>
        <w:p w14:paraId="5747391A" w14:textId="4DD4CE28"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1542D1">
            <w:rPr>
              <w:rFonts w:cs="Arial"/>
              <w:noProof/>
              <w:szCs w:val="18"/>
            </w:rPr>
            <w:t>2.4</w:t>
          </w:r>
          <w:r w:rsidR="00135326" w:rsidRPr="00A752AE">
            <w:rPr>
              <w:rFonts w:cs="Arial"/>
              <w:szCs w:val="18"/>
            </w:rPr>
            <w:fldChar w:fldCharType="end"/>
          </w:r>
        </w:p>
      </w:tc>
    </w:tr>
  </w:tbl>
  <w:p w14:paraId="11C3EC75" w14:textId="77777777" w:rsidR="00135326" w:rsidRDefault="0013532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C3A13" w:rsidRPr="00CB3D59" w14:paraId="76266FCF" w14:textId="77777777">
      <w:trPr>
        <w:jc w:val="center"/>
      </w:trPr>
      <w:tc>
        <w:tcPr>
          <w:tcW w:w="1560" w:type="dxa"/>
        </w:tcPr>
        <w:p w14:paraId="5C3A8722" w14:textId="0231F12D"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3</w:t>
          </w:r>
          <w:r w:rsidRPr="00F02A14">
            <w:rPr>
              <w:rFonts w:cs="Arial"/>
              <w:b/>
              <w:szCs w:val="18"/>
            </w:rPr>
            <w:fldChar w:fldCharType="end"/>
          </w:r>
        </w:p>
      </w:tc>
      <w:tc>
        <w:tcPr>
          <w:tcW w:w="5741" w:type="dxa"/>
        </w:tcPr>
        <w:p w14:paraId="4C5F1145" w14:textId="39E0E4F1"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Costs amount—debts, liquidated demands, company windings-up, enforcement orders and certificates of registration</w:t>
          </w:r>
          <w:r w:rsidRPr="00F02A14">
            <w:rPr>
              <w:rFonts w:cs="Arial"/>
              <w:szCs w:val="18"/>
            </w:rPr>
            <w:fldChar w:fldCharType="end"/>
          </w:r>
        </w:p>
      </w:tc>
    </w:tr>
    <w:tr w:rsidR="009C3A13" w:rsidRPr="00CB3D59" w14:paraId="78C41176" w14:textId="77777777">
      <w:trPr>
        <w:jc w:val="center"/>
      </w:trPr>
      <w:tc>
        <w:tcPr>
          <w:tcW w:w="1560" w:type="dxa"/>
        </w:tcPr>
        <w:p w14:paraId="3B9C600B" w14:textId="54E41F1B"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3.5</w:t>
          </w:r>
          <w:r w:rsidRPr="00F02A14">
            <w:rPr>
              <w:rFonts w:cs="Arial"/>
              <w:b/>
              <w:szCs w:val="18"/>
            </w:rPr>
            <w:fldChar w:fldCharType="end"/>
          </w:r>
        </w:p>
      </w:tc>
      <w:tc>
        <w:tcPr>
          <w:tcW w:w="5741" w:type="dxa"/>
        </w:tcPr>
        <w:p w14:paraId="791D6BF8" w14:textId="256E782B"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Certificate of registration</w:t>
          </w:r>
          <w:r w:rsidR="001542D1">
            <w:rPr>
              <w:rFonts w:cs="Arial"/>
              <w:noProof/>
              <w:szCs w:val="18"/>
            </w:rPr>
            <w:cr/>
          </w:r>
          <w:r w:rsidRPr="00F02A14">
            <w:rPr>
              <w:rFonts w:cs="Arial"/>
              <w:szCs w:val="18"/>
            </w:rPr>
            <w:fldChar w:fldCharType="end"/>
          </w:r>
        </w:p>
      </w:tc>
    </w:tr>
    <w:tr w:rsidR="009C3A13" w:rsidRPr="00CB3D59" w14:paraId="424C0BB4" w14:textId="77777777">
      <w:trPr>
        <w:jc w:val="center"/>
      </w:trPr>
      <w:tc>
        <w:tcPr>
          <w:tcW w:w="7296" w:type="dxa"/>
          <w:gridSpan w:val="2"/>
          <w:tcBorders>
            <w:bottom w:val="single" w:sz="4" w:space="0" w:color="auto"/>
          </w:tcBorders>
        </w:tcPr>
        <w:p w14:paraId="14DECC30" w14:textId="77777777" w:rsidR="009C3A13" w:rsidRPr="00783A18" w:rsidRDefault="009C3A13" w:rsidP="00783A18">
          <w:pPr>
            <w:pStyle w:val="HeaderEven6"/>
            <w:spacing w:before="0" w:after="0"/>
            <w:rPr>
              <w:rFonts w:ascii="Times New Roman" w:hAnsi="Times New Roman"/>
              <w:sz w:val="24"/>
              <w:szCs w:val="24"/>
            </w:rPr>
          </w:pPr>
        </w:p>
      </w:tc>
    </w:tr>
  </w:tbl>
  <w:p w14:paraId="7A69D00E" w14:textId="77777777" w:rsidR="009C3A13" w:rsidRDefault="009C3A1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C3A13" w:rsidRPr="00CB3D59" w14:paraId="3F3CB20E" w14:textId="77777777">
      <w:trPr>
        <w:jc w:val="center"/>
      </w:trPr>
      <w:tc>
        <w:tcPr>
          <w:tcW w:w="5741" w:type="dxa"/>
        </w:tcPr>
        <w:p w14:paraId="162B2D72" w14:textId="0997E73E"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Costs amount—debts, liquidated demands, company windings-up, enforcement orders and certificates of registration</w:t>
          </w:r>
          <w:r w:rsidRPr="00F02A14">
            <w:rPr>
              <w:rFonts w:cs="Arial"/>
              <w:szCs w:val="18"/>
            </w:rPr>
            <w:fldChar w:fldCharType="end"/>
          </w:r>
        </w:p>
      </w:tc>
      <w:tc>
        <w:tcPr>
          <w:tcW w:w="1560" w:type="dxa"/>
        </w:tcPr>
        <w:p w14:paraId="117B38BF" w14:textId="3AD5AA76"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3</w:t>
          </w:r>
          <w:r w:rsidRPr="00F02A14">
            <w:rPr>
              <w:rFonts w:cs="Arial"/>
              <w:b/>
              <w:szCs w:val="18"/>
            </w:rPr>
            <w:fldChar w:fldCharType="end"/>
          </w:r>
        </w:p>
      </w:tc>
    </w:tr>
    <w:tr w:rsidR="009C3A13" w:rsidRPr="00CB3D59" w14:paraId="649E4D61" w14:textId="77777777">
      <w:trPr>
        <w:jc w:val="center"/>
      </w:trPr>
      <w:tc>
        <w:tcPr>
          <w:tcW w:w="5741" w:type="dxa"/>
        </w:tcPr>
        <w:p w14:paraId="1687A58B" w14:textId="4063D994"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Company winding-up</w:t>
          </w:r>
          <w:r w:rsidR="001542D1">
            <w:rPr>
              <w:rFonts w:cs="Arial"/>
              <w:noProof/>
              <w:szCs w:val="18"/>
            </w:rPr>
            <w:cr/>
          </w:r>
          <w:r w:rsidRPr="00F02A14">
            <w:rPr>
              <w:rFonts w:cs="Arial"/>
              <w:szCs w:val="18"/>
            </w:rPr>
            <w:fldChar w:fldCharType="end"/>
          </w:r>
        </w:p>
      </w:tc>
      <w:tc>
        <w:tcPr>
          <w:tcW w:w="1560" w:type="dxa"/>
        </w:tcPr>
        <w:p w14:paraId="6CE692E5" w14:textId="54A7AD51"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3.3</w:t>
          </w:r>
          <w:r w:rsidRPr="00F02A14">
            <w:rPr>
              <w:rFonts w:cs="Arial"/>
              <w:b/>
              <w:szCs w:val="18"/>
            </w:rPr>
            <w:fldChar w:fldCharType="end"/>
          </w:r>
        </w:p>
      </w:tc>
    </w:tr>
    <w:tr w:rsidR="009C3A13" w:rsidRPr="00CB3D59" w14:paraId="5B8F869F" w14:textId="77777777">
      <w:trPr>
        <w:jc w:val="center"/>
      </w:trPr>
      <w:tc>
        <w:tcPr>
          <w:tcW w:w="7296" w:type="dxa"/>
          <w:gridSpan w:val="2"/>
          <w:tcBorders>
            <w:bottom w:val="single" w:sz="4" w:space="0" w:color="auto"/>
          </w:tcBorders>
        </w:tcPr>
        <w:p w14:paraId="280B7B8D" w14:textId="77777777" w:rsidR="009C3A13" w:rsidRPr="00783A18" w:rsidRDefault="009C3A13" w:rsidP="00783A18">
          <w:pPr>
            <w:pStyle w:val="HeaderOdd6"/>
            <w:spacing w:before="0" w:after="0"/>
            <w:jc w:val="left"/>
            <w:rPr>
              <w:rFonts w:ascii="Times New Roman" w:hAnsi="Times New Roman"/>
              <w:sz w:val="24"/>
              <w:szCs w:val="24"/>
            </w:rPr>
          </w:pPr>
        </w:p>
      </w:tc>
    </w:tr>
  </w:tbl>
  <w:p w14:paraId="2C2C56A8" w14:textId="77777777" w:rsidR="009C3A13" w:rsidRDefault="009C3A1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54FA" w:rsidRPr="00CB3D59" w14:paraId="02C1297D" w14:textId="77777777">
      <w:trPr>
        <w:jc w:val="center"/>
      </w:trPr>
      <w:tc>
        <w:tcPr>
          <w:tcW w:w="1560" w:type="dxa"/>
        </w:tcPr>
        <w:p w14:paraId="71FFFE60" w14:textId="28CB307F"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4</w:t>
          </w:r>
          <w:r w:rsidRPr="00A752AE">
            <w:rPr>
              <w:rFonts w:cs="Arial"/>
              <w:b/>
              <w:szCs w:val="18"/>
            </w:rPr>
            <w:fldChar w:fldCharType="end"/>
          </w:r>
        </w:p>
      </w:tc>
      <w:tc>
        <w:tcPr>
          <w:tcW w:w="5741" w:type="dxa"/>
        </w:tcPr>
        <w:p w14:paraId="04CE8B43" w14:textId="0A765D62"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Scale of costs</w:t>
          </w:r>
          <w:r w:rsidRPr="00A752AE">
            <w:rPr>
              <w:rFonts w:cs="Arial"/>
              <w:szCs w:val="18"/>
            </w:rPr>
            <w:fldChar w:fldCharType="end"/>
          </w:r>
        </w:p>
      </w:tc>
    </w:tr>
    <w:tr w:rsidR="004E54FA" w:rsidRPr="00CB3D59" w14:paraId="74D0F65E" w14:textId="77777777">
      <w:trPr>
        <w:jc w:val="center"/>
      </w:trPr>
      <w:tc>
        <w:tcPr>
          <w:tcW w:w="1560" w:type="dxa"/>
        </w:tcPr>
        <w:p w14:paraId="476150F7" w14:textId="0469091E"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4.1</w:t>
          </w:r>
          <w:r w:rsidRPr="00A752AE">
            <w:rPr>
              <w:rFonts w:cs="Arial"/>
              <w:b/>
              <w:szCs w:val="18"/>
            </w:rPr>
            <w:fldChar w:fldCharType="end"/>
          </w:r>
        </w:p>
      </w:tc>
      <w:tc>
        <w:tcPr>
          <w:tcW w:w="5741" w:type="dxa"/>
        </w:tcPr>
        <w:p w14:paraId="7B6BE22E" w14:textId="383C6007"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Scale of costs—general</w:t>
          </w:r>
          <w:r w:rsidRPr="00A752AE">
            <w:rPr>
              <w:rFonts w:cs="Arial"/>
              <w:szCs w:val="18"/>
            </w:rPr>
            <w:fldChar w:fldCharType="end"/>
          </w:r>
        </w:p>
      </w:tc>
    </w:tr>
    <w:tr w:rsidR="004E54FA" w:rsidRPr="00CB3D59" w14:paraId="015D2D04" w14:textId="77777777">
      <w:trPr>
        <w:jc w:val="center"/>
      </w:trPr>
      <w:tc>
        <w:tcPr>
          <w:tcW w:w="7296" w:type="dxa"/>
          <w:gridSpan w:val="2"/>
          <w:tcBorders>
            <w:bottom w:val="single" w:sz="4" w:space="0" w:color="auto"/>
          </w:tcBorders>
        </w:tcPr>
        <w:p w14:paraId="0F887780" w14:textId="5A2328CE" w:rsidR="004E54FA" w:rsidRPr="00A752AE" w:rsidRDefault="00EF08E1" w:rsidP="00591817">
          <w:pPr>
            <w:pStyle w:val="HeaderEven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1542D1">
            <w:rPr>
              <w:rFonts w:cs="Arial"/>
              <w:noProof/>
              <w:szCs w:val="18"/>
            </w:rPr>
            <w:t>4.9</w:t>
          </w:r>
          <w:r w:rsidR="004E54FA" w:rsidRPr="00A752AE">
            <w:rPr>
              <w:rFonts w:cs="Arial"/>
              <w:szCs w:val="18"/>
            </w:rPr>
            <w:fldChar w:fldCharType="end"/>
          </w:r>
        </w:p>
      </w:tc>
    </w:tr>
  </w:tbl>
  <w:p w14:paraId="6E9498D0" w14:textId="77777777" w:rsidR="004E54FA" w:rsidRDefault="004E54F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54FA" w:rsidRPr="00CB3D59" w14:paraId="77E16B7A" w14:textId="77777777">
      <w:trPr>
        <w:jc w:val="center"/>
      </w:trPr>
      <w:tc>
        <w:tcPr>
          <w:tcW w:w="5741" w:type="dxa"/>
        </w:tcPr>
        <w:p w14:paraId="777B337C" w14:textId="0D0755A8"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Scale of costs</w:t>
          </w:r>
          <w:r w:rsidRPr="00A752AE">
            <w:rPr>
              <w:rFonts w:cs="Arial"/>
              <w:szCs w:val="18"/>
            </w:rPr>
            <w:fldChar w:fldCharType="end"/>
          </w:r>
        </w:p>
      </w:tc>
      <w:tc>
        <w:tcPr>
          <w:tcW w:w="1560" w:type="dxa"/>
        </w:tcPr>
        <w:p w14:paraId="4C7321B8" w14:textId="26E4A70E"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4</w:t>
          </w:r>
          <w:r w:rsidRPr="00A752AE">
            <w:rPr>
              <w:rFonts w:cs="Arial"/>
              <w:b/>
              <w:szCs w:val="18"/>
            </w:rPr>
            <w:fldChar w:fldCharType="end"/>
          </w:r>
        </w:p>
      </w:tc>
    </w:tr>
    <w:tr w:rsidR="004E54FA" w:rsidRPr="00CB3D59" w14:paraId="668F48A0" w14:textId="77777777">
      <w:trPr>
        <w:jc w:val="center"/>
      </w:trPr>
      <w:tc>
        <w:tcPr>
          <w:tcW w:w="5741" w:type="dxa"/>
        </w:tcPr>
        <w:p w14:paraId="1DE52D25" w14:textId="1734779A"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Scale of costs—general</w:t>
          </w:r>
          <w:r w:rsidRPr="00A752AE">
            <w:rPr>
              <w:rFonts w:cs="Arial"/>
              <w:szCs w:val="18"/>
            </w:rPr>
            <w:fldChar w:fldCharType="end"/>
          </w:r>
        </w:p>
      </w:tc>
      <w:tc>
        <w:tcPr>
          <w:tcW w:w="1560" w:type="dxa"/>
        </w:tcPr>
        <w:p w14:paraId="7C01A7CC" w14:textId="0739524D"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4.1</w:t>
          </w:r>
          <w:r w:rsidRPr="00A752AE">
            <w:rPr>
              <w:rFonts w:cs="Arial"/>
              <w:b/>
              <w:szCs w:val="18"/>
            </w:rPr>
            <w:fldChar w:fldCharType="end"/>
          </w:r>
        </w:p>
      </w:tc>
    </w:tr>
    <w:tr w:rsidR="004E54FA" w:rsidRPr="00CB3D59" w14:paraId="76CDF5EA" w14:textId="77777777">
      <w:trPr>
        <w:jc w:val="center"/>
      </w:trPr>
      <w:tc>
        <w:tcPr>
          <w:tcW w:w="7296" w:type="dxa"/>
          <w:gridSpan w:val="2"/>
          <w:tcBorders>
            <w:bottom w:val="single" w:sz="4" w:space="0" w:color="auto"/>
          </w:tcBorders>
        </w:tcPr>
        <w:p w14:paraId="21E2045C" w14:textId="39010761" w:rsidR="004E54FA" w:rsidRPr="00A752AE" w:rsidRDefault="00EF08E1" w:rsidP="00591817">
          <w:pPr>
            <w:pStyle w:val="HeaderOdd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1542D1">
            <w:rPr>
              <w:rFonts w:cs="Arial"/>
              <w:noProof/>
              <w:szCs w:val="18"/>
            </w:rPr>
            <w:t>4.12</w:t>
          </w:r>
          <w:r w:rsidR="004E54FA" w:rsidRPr="00A752AE">
            <w:rPr>
              <w:rFonts w:cs="Arial"/>
              <w:szCs w:val="18"/>
            </w:rPr>
            <w:fldChar w:fldCharType="end"/>
          </w:r>
        </w:p>
      </w:tc>
    </w:tr>
  </w:tbl>
  <w:p w14:paraId="56601090" w14:textId="77777777" w:rsidR="004E54FA" w:rsidRDefault="004E54F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00712" w:rsidRPr="00CB3D59" w14:paraId="3B678C46" w14:textId="77777777">
      <w:trPr>
        <w:jc w:val="center"/>
      </w:trPr>
      <w:tc>
        <w:tcPr>
          <w:tcW w:w="1560" w:type="dxa"/>
        </w:tcPr>
        <w:p w14:paraId="70656F56" w14:textId="1BA5C67F"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542D1">
            <w:rPr>
              <w:rFonts w:cs="Arial"/>
              <w:b/>
              <w:noProof/>
              <w:szCs w:val="18"/>
            </w:rPr>
            <w:t>Schedule 4</w:t>
          </w:r>
          <w:r w:rsidRPr="002E0219">
            <w:rPr>
              <w:rFonts w:cs="Arial"/>
              <w:b/>
              <w:szCs w:val="18"/>
            </w:rPr>
            <w:fldChar w:fldCharType="end"/>
          </w:r>
        </w:p>
      </w:tc>
      <w:tc>
        <w:tcPr>
          <w:tcW w:w="5741" w:type="dxa"/>
        </w:tcPr>
        <w:p w14:paraId="7E6D1FBD" w14:textId="027547A7"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542D1">
            <w:rPr>
              <w:rFonts w:cs="Arial"/>
              <w:noProof/>
              <w:szCs w:val="18"/>
            </w:rPr>
            <w:t>Scale of costs</w:t>
          </w:r>
          <w:r w:rsidRPr="002E0219">
            <w:rPr>
              <w:rFonts w:cs="Arial"/>
              <w:szCs w:val="18"/>
            </w:rPr>
            <w:fldChar w:fldCharType="end"/>
          </w:r>
        </w:p>
      </w:tc>
    </w:tr>
    <w:tr w:rsidR="00A00712" w:rsidRPr="00CB3D59" w14:paraId="158D20DB" w14:textId="77777777">
      <w:trPr>
        <w:jc w:val="center"/>
      </w:trPr>
      <w:tc>
        <w:tcPr>
          <w:tcW w:w="1560" w:type="dxa"/>
        </w:tcPr>
        <w:p w14:paraId="0E7D2197" w14:textId="0E61286E"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542D1">
            <w:rPr>
              <w:rFonts w:cs="Arial"/>
              <w:b/>
              <w:noProof/>
              <w:szCs w:val="18"/>
            </w:rPr>
            <w:t>Part 4.2</w:t>
          </w:r>
          <w:r w:rsidRPr="002E0219">
            <w:rPr>
              <w:rFonts w:cs="Arial"/>
              <w:b/>
              <w:szCs w:val="18"/>
            </w:rPr>
            <w:fldChar w:fldCharType="end"/>
          </w:r>
        </w:p>
      </w:tc>
      <w:tc>
        <w:tcPr>
          <w:tcW w:w="5741" w:type="dxa"/>
        </w:tcPr>
        <w:p w14:paraId="717E4E42" w14:textId="25B5FE8B"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542D1">
            <w:rPr>
              <w:rFonts w:cs="Arial"/>
              <w:noProof/>
              <w:szCs w:val="18"/>
            </w:rPr>
            <w:t>Scale of costs—items</w:t>
          </w:r>
          <w:r w:rsidRPr="002E0219">
            <w:rPr>
              <w:rFonts w:cs="Arial"/>
              <w:szCs w:val="18"/>
            </w:rPr>
            <w:fldChar w:fldCharType="end"/>
          </w:r>
        </w:p>
      </w:tc>
    </w:tr>
    <w:tr w:rsidR="00A00712" w:rsidRPr="00CB3D59" w14:paraId="46D1D3DB" w14:textId="77777777">
      <w:trPr>
        <w:jc w:val="center"/>
      </w:trPr>
      <w:tc>
        <w:tcPr>
          <w:tcW w:w="1560" w:type="dxa"/>
        </w:tcPr>
        <w:p w14:paraId="6232342B" w14:textId="6E5E1264"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542D1">
            <w:rPr>
              <w:rFonts w:cs="Arial"/>
              <w:b/>
              <w:noProof/>
              <w:szCs w:val="18"/>
            </w:rPr>
            <w:t>Division 4.2.8</w:t>
          </w:r>
          <w:r w:rsidRPr="002E0219">
            <w:rPr>
              <w:rFonts w:cs="Arial"/>
              <w:b/>
              <w:szCs w:val="18"/>
            </w:rPr>
            <w:fldChar w:fldCharType="end"/>
          </w:r>
        </w:p>
      </w:tc>
      <w:tc>
        <w:tcPr>
          <w:tcW w:w="5741" w:type="dxa"/>
        </w:tcPr>
        <w:p w14:paraId="3B0841D1" w14:textId="1FF77956"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542D1">
            <w:rPr>
              <w:rFonts w:cs="Arial"/>
              <w:noProof/>
              <w:szCs w:val="18"/>
            </w:rPr>
            <w:t>Witness expenses</w:t>
          </w:r>
          <w:r w:rsidRPr="002E0219">
            <w:rPr>
              <w:rFonts w:cs="Arial"/>
              <w:szCs w:val="18"/>
            </w:rPr>
            <w:fldChar w:fldCharType="end"/>
          </w:r>
        </w:p>
      </w:tc>
    </w:tr>
    <w:tr w:rsidR="00A00712" w:rsidRPr="00CB3D59" w14:paraId="30B51A95" w14:textId="77777777">
      <w:trPr>
        <w:cantSplit/>
        <w:jc w:val="center"/>
      </w:trPr>
      <w:tc>
        <w:tcPr>
          <w:tcW w:w="7296" w:type="dxa"/>
          <w:gridSpan w:val="2"/>
          <w:tcBorders>
            <w:bottom w:val="single" w:sz="4" w:space="0" w:color="auto"/>
          </w:tcBorders>
        </w:tcPr>
        <w:p w14:paraId="7AB945BB" w14:textId="77777777" w:rsidR="00A00712" w:rsidRPr="00783A18" w:rsidRDefault="00A00712" w:rsidP="00783A18">
          <w:pPr>
            <w:pStyle w:val="HeaderEven6"/>
            <w:spacing w:before="0" w:after="0"/>
            <w:rPr>
              <w:rFonts w:ascii="Times New Roman" w:hAnsi="Times New Roman"/>
              <w:sz w:val="24"/>
              <w:szCs w:val="24"/>
            </w:rPr>
          </w:pPr>
        </w:p>
      </w:tc>
    </w:tr>
  </w:tbl>
  <w:p w14:paraId="2EC9A584" w14:textId="77777777" w:rsidR="00A00712" w:rsidRDefault="00A0071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00712" w:rsidRPr="00CB3D59" w14:paraId="17CAF1A0" w14:textId="77777777">
      <w:trPr>
        <w:jc w:val="center"/>
      </w:trPr>
      <w:tc>
        <w:tcPr>
          <w:tcW w:w="5741" w:type="dxa"/>
        </w:tcPr>
        <w:p w14:paraId="7F9FDA80" w14:textId="5879D40D"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542D1">
            <w:rPr>
              <w:rFonts w:cs="Arial"/>
              <w:noProof/>
              <w:szCs w:val="18"/>
            </w:rPr>
            <w:t>Scale of costs</w:t>
          </w:r>
          <w:r w:rsidRPr="002E0219">
            <w:rPr>
              <w:rFonts w:cs="Arial"/>
              <w:szCs w:val="18"/>
            </w:rPr>
            <w:fldChar w:fldCharType="end"/>
          </w:r>
        </w:p>
      </w:tc>
      <w:tc>
        <w:tcPr>
          <w:tcW w:w="1560" w:type="dxa"/>
        </w:tcPr>
        <w:p w14:paraId="328E4A73" w14:textId="3A37907B"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542D1">
            <w:rPr>
              <w:rFonts w:cs="Arial"/>
              <w:b/>
              <w:noProof/>
              <w:szCs w:val="18"/>
            </w:rPr>
            <w:t>Schedule 4</w:t>
          </w:r>
          <w:r w:rsidRPr="002E0219">
            <w:rPr>
              <w:rFonts w:cs="Arial"/>
              <w:b/>
              <w:szCs w:val="18"/>
            </w:rPr>
            <w:fldChar w:fldCharType="end"/>
          </w:r>
        </w:p>
      </w:tc>
    </w:tr>
    <w:tr w:rsidR="00A00712" w:rsidRPr="00CB3D59" w14:paraId="55F87177" w14:textId="77777777">
      <w:trPr>
        <w:jc w:val="center"/>
      </w:trPr>
      <w:tc>
        <w:tcPr>
          <w:tcW w:w="5741" w:type="dxa"/>
        </w:tcPr>
        <w:p w14:paraId="5FA4446A" w14:textId="442CA937"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542D1">
            <w:rPr>
              <w:rFonts w:cs="Arial"/>
              <w:noProof/>
              <w:szCs w:val="18"/>
            </w:rPr>
            <w:t>Scale of costs—items</w:t>
          </w:r>
          <w:r w:rsidRPr="002E0219">
            <w:rPr>
              <w:rFonts w:cs="Arial"/>
              <w:szCs w:val="18"/>
            </w:rPr>
            <w:fldChar w:fldCharType="end"/>
          </w:r>
        </w:p>
      </w:tc>
      <w:tc>
        <w:tcPr>
          <w:tcW w:w="1560" w:type="dxa"/>
        </w:tcPr>
        <w:p w14:paraId="3BE186AD" w14:textId="2A26A0A7"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542D1">
            <w:rPr>
              <w:rFonts w:cs="Arial"/>
              <w:b/>
              <w:noProof/>
              <w:szCs w:val="18"/>
            </w:rPr>
            <w:t>Part 4.2</w:t>
          </w:r>
          <w:r w:rsidRPr="002E0219">
            <w:rPr>
              <w:rFonts w:cs="Arial"/>
              <w:b/>
              <w:szCs w:val="18"/>
            </w:rPr>
            <w:fldChar w:fldCharType="end"/>
          </w:r>
        </w:p>
      </w:tc>
    </w:tr>
    <w:tr w:rsidR="00A00712" w:rsidRPr="00CB3D59" w14:paraId="7E6F8A51" w14:textId="77777777">
      <w:trPr>
        <w:jc w:val="center"/>
      </w:trPr>
      <w:tc>
        <w:tcPr>
          <w:tcW w:w="5741" w:type="dxa"/>
        </w:tcPr>
        <w:p w14:paraId="3725BB2C" w14:textId="0E9CF494"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542D1">
            <w:rPr>
              <w:rFonts w:cs="Arial"/>
              <w:noProof/>
              <w:szCs w:val="18"/>
            </w:rPr>
            <w:t>Disbursements</w:t>
          </w:r>
          <w:r w:rsidR="001542D1">
            <w:rPr>
              <w:rFonts w:cs="Arial"/>
              <w:noProof/>
              <w:szCs w:val="18"/>
            </w:rPr>
            <w:cr/>
          </w:r>
          <w:r w:rsidRPr="002E0219">
            <w:rPr>
              <w:rFonts w:cs="Arial"/>
              <w:szCs w:val="18"/>
            </w:rPr>
            <w:fldChar w:fldCharType="end"/>
          </w:r>
        </w:p>
      </w:tc>
      <w:tc>
        <w:tcPr>
          <w:tcW w:w="1560" w:type="dxa"/>
        </w:tcPr>
        <w:p w14:paraId="3D8A51C3" w14:textId="0C1F6F53"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542D1">
            <w:rPr>
              <w:rFonts w:cs="Arial"/>
              <w:b/>
              <w:noProof/>
              <w:szCs w:val="18"/>
            </w:rPr>
            <w:t>Division 4.2.9</w:t>
          </w:r>
          <w:r w:rsidRPr="002E0219">
            <w:rPr>
              <w:rFonts w:cs="Arial"/>
              <w:b/>
              <w:szCs w:val="18"/>
            </w:rPr>
            <w:fldChar w:fldCharType="end"/>
          </w:r>
        </w:p>
      </w:tc>
    </w:tr>
    <w:tr w:rsidR="00A00712" w:rsidRPr="00CB3D59" w14:paraId="4083FEF7" w14:textId="77777777">
      <w:trPr>
        <w:jc w:val="center"/>
      </w:trPr>
      <w:tc>
        <w:tcPr>
          <w:tcW w:w="7296" w:type="dxa"/>
          <w:gridSpan w:val="2"/>
          <w:tcBorders>
            <w:bottom w:val="single" w:sz="4" w:space="0" w:color="auto"/>
          </w:tcBorders>
        </w:tcPr>
        <w:p w14:paraId="181A3585" w14:textId="77777777" w:rsidR="00A00712" w:rsidRPr="00783A18" w:rsidRDefault="00A00712" w:rsidP="00783A18">
          <w:pPr>
            <w:pStyle w:val="HeaderOdd6"/>
            <w:spacing w:before="0" w:after="0"/>
            <w:jc w:val="left"/>
            <w:rPr>
              <w:rFonts w:ascii="Times New Roman" w:hAnsi="Times New Roman"/>
              <w:sz w:val="24"/>
              <w:szCs w:val="24"/>
            </w:rPr>
          </w:pPr>
        </w:p>
      </w:tc>
    </w:tr>
  </w:tbl>
  <w:p w14:paraId="22D926CB" w14:textId="77777777" w:rsidR="00A00712" w:rsidRDefault="00A0071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5457B219" w14:textId="77777777">
      <w:trPr>
        <w:jc w:val="center"/>
      </w:trPr>
      <w:tc>
        <w:tcPr>
          <w:tcW w:w="1560" w:type="dxa"/>
        </w:tcPr>
        <w:p w14:paraId="6BB349E3" w14:textId="5227B2B0"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5</w:t>
          </w:r>
          <w:r w:rsidRPr="00F02A14">
            <w:rPr>
              <w:rFonts w:cs="Arial"/>
              <w:b/>
              <w:szCs w:val="18"/>
            </w:rPr>
            <w:fldChar w:fldCharType="end"/>
          </w:r>
        </w:p>
      </w:tc>
      <w:tc>
        <w:tcPr>
          <w:tcW w:w="5741" w:type="dxa"/>
        </w:tcPr>
        <w:p w14:paraId="58266759" w14:textId="6B3DFAE4"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Jurisdiction of registrar</w:t>
          </w:r>
          <w:r w:rsidRPr="00F02A14">
            <w:rPr>
              <w:rFonts w:cs="Arial"/>
              <w:szCs w:val="18"/>
            </w:rPr>
            <w:fldChar w:fldCharType="end"/>
          </w:r>
        </w:p>
      </w:tc>
    </w:tr>
    <w:tr w:rsidR="00980678" w:rsidRPr="00CB3D59" w14:paraId="53998181" w14:textId="77777777">
      <w:trPr>
        <w:jc w:val="center"/>
      </w:trPr>
      <w:tc>
        <w:tcPr>
          <w:tcW w:w="1560" w:type="dxa"/>
        </w:tcPr>
        <w:p w14:paraId="43585115" w14:textId="730DD8D8"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5.1</w:t>
          </w:r>
          <w:r w:rsidRPr="00F02A14">
            <w:rPr>
              <w:rFonts w:cs="Arial"/>
              <w:b/>
              <w:szCs w:val="18"/>
            </w:rPr>
            <w:fldChar w:fldCharType="end"/>
          </w:r>
        </w:p>
      </w:tc>
      <w:tc>
        <w:tcPr>
          <w:tcW w:w="5741" w:type="dxa"/>
        </w:tcPr>
        <w:p w14:paraId="2E2B70F7" w14:textId="6D3432EC"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Jurisdiction under rules in relation to applications in proceedings not exercisable by registrar of Supreme Court</w:t>
          </w:r>
          <w:r w:rsidRPr="00F02A14">
            <w:rPr>
              <w:rFonts w:cs="Arial"/>
              <w:szCs w:val="18"/>
            </w:rPr>
            <w:fldChar w:fldCharType="end"/>
          </w:r>
        </w:p>
      </w:tc>
    </w:tr>
    <w:tr w:rsidR="00980678" w:rsidRPr="00CB3D59" w14:paraId="768EE61B" w14:textId="77777777">
      <w:trPr>
        <w:jc w:val="center"/>
      </w:trPr>
      <w:tc>
        <w:tcPr>
          <w:tcW w:w="7296" w:type="dxa"/>
          <w:gridSpan w:val="2"/>
          <w:tcBorders>
            <w:bottom w:val="single" w:sz="4" w:space="0" w:color="auto"/>
          </w:tcBorders>
        </w:tcPr>
        <w:p w14:paraId="430A2088" w14:textId="77777777" w:rsidR="00980678" w:rsidRPr="00783A18" w:rsidRDefault="00980678" w:rsidP="00783A18">
          <w:pPr>
            <w:pStyle w:val="HeaderEven6"/>
            <w:spacing w:before="0" w:after="0"/>
            <w:rPr>
              <w:rFonts w:ascii="Times New Roman" w:hAnsi="Times New Roman"/>
              <w:sz w:val="24"/>
              <w:szCs w:val="24"/>
            </w:rPr>
          </w:pPr>
        </w:p>
      </w:tc>
    </w:tr>
  </w:tbl>
  <w:p w14:paraId="631E9ECE" w14:textId="77777777" w:rsidR="00980678" w:rsidRDefault="0098067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11A967F8" w14:textId="77777777">
      <w:trPr>
        <w:jc w:val="center"/>
      </w:trPr>
      <w:tc>
        <w:tcPr>
          <w:tcW w:w="5741" w:type="dxa"/>
        </w:tcPr>
        <w:p w14:paraId="496A091A" w14:textId="3A7681FA"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Jurisdiction of registrar</w:t>
          </w:r>
          <w:r w:rsidRPr="00F02A14">
            <w:rPr>
              <w:rFonts w:cs="Arial"/>
              <w:szCs w:val="18"/>
            </w:rPr>
            <w:fldChar w:fldCharType="end"/>
          </w:r>
        </w:p>
      </w:tc>
      <w:tc>
        <w:tcPr>
          <w:tcW w:w="1560" w:type="dxa"/>
        </w:tcPr>
        <w:p w14:paraId="03EC0C88" w14:textId="143444FF"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5</w:t>
          </w:r>
          <w:r w:rsidRPr="00F02A14">
            <w:rPr>
              <w:rFonts w:cs="Arial"/>
              <w:b/>
              <w:szCs w:val="18"/>
            </w:rPr>
            <w:fldChar w:fldCharType="end"/>
          </w:r>
        </w:p>
      </w:tc>
    </w:tr>
    <w:tr w:rsidR="00980678" w:rsidRPr="00CB3D59" w14:paraId="2879B7E3" w14:textId="77777777">
      <w:trPr>
        <w:jc w:val="center"/>
      </w:trPr>
      <w:tc>
        <w:tcPr>
          <w:tcW w:w="5741" w:type="dxa"/>
        </w:tcPr>
        <w:p w14:paraId="2B064F2A" w14:textId="3C66BABD"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Jurisdiction under rules in relation to applications in proceedings not exercisable by registrar of Supreme Court</w:t>
          </w:r>
          <w:r w:rsidRPr="00F02A14">
            <w:rPr>
              <w:rFonts w:cs="Arial"/>
              <w:szCs w:val="18"/>
            </w:rPr>
            <w:fldChar w:fldCharType="end"/>
          </w:r>
        </w:p>
      </w:tc>
      <w:tc>
        <w:tcPr>
          <w:tcW w:w="1560" w:type="dxa"/>
        </w:tcPr>
        <w:p w14:paraId="2C17CF55" w14:textId="207CFBD4"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5.1</w:t>
          </w:r>
          <w:r w:rsidRPr="00F02A14">
            <w:rPr>
              <w:rFonts w:cs="Arial"/>
              <w:b/>
              <w:szCs w:val="18"/>
            </w:rPr>
            <w:fldChar w:fldCharType="end"/>
          </w:r>
        </w:p>
      </w:tc>
    </w:tr>
    <w:tr w:rsidR="00980678" w:rsidRPr="00CB3D59" w14:paraId="1A32545E" w14:textId="77777777">
      <w:trPr>
        <w:jc w:val="center"/>
      </w:trPr>
      <w:tc>
        <w:tcPr>
          <w:tcW w:w="7296" w:type="dxa"/>
          <w:gridSpan w:val="2"/>
          <w:tcBorders>
            <w:bottom w:val="single" w:sz="4" w:space="0" w:color="auto"/>
          </w:tcBorders>
        </w:tcPr>
        <w:p w14:paraId="6090484B" w14:textId="77777777" w:rsidR="00980678" w:rsidRPr="00783A18" w:rsidRDefault="00980678" w:rsidP="00783A18">
          <w:pPr>
            <w:pStyle w:val="HeaderOdd6"/>
            <w:spacing w:before="0" w:after="0"/>
            <w:jc w:val="left"/>
            <w:rPr>
              <w:rFonts w:ascii="Times New Roman" w:hAnsi="Times New Roman"/>
              <w:sz w:val="24"/>
              <w:szCs w:val="24"/>
            </w:rPr>
          </w:pPr>
        </w:p>
      </w:tc>
    </w:tr>
  </w:tbl>
  <w:p w14:paraId="17DB5BF0" w14:textId="77777777" w:rsidR="00980678" w:rsidRDefault="0098067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04674E7D" w14:textId="77777777">
      <w:trPr>
        <w:jc w:val="center"/>
      </w:trPr>
      <w:tc>
        <w:tcPr>
          <w:tcW w:w="1560" w:type="dxa"/>
        </w:tcPr>
        <w:p w14:paraId="244D6578" w14:textId="4E905A28"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5</w:t>
          </w:r>
          <w:r w:rsidRPr="00F02A14">
            <w:rPr>
              <w:rFonts w:cs="Arial"/>
              <w:b/>
              <w:szCs w:val="18"/>
            </w:rPr>
            <w:fldChar w:fldCharType="end"/>
          </w:r>
        </w:p>
      </w:tc>
      <w:tc>
        <w:tcPr>
          <w:tcW w:w="5741" w:type="dxa"/>
        </w:tcPr>
        <w:p w14:paraId="483A6CA8" w14:textId="280DCAAE"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Jurisdiction of registrar</w:t>
          </w:r>
          <w:r w:rsidRPr="00F02A14">
            <w:rPr>
              <w:rFonts w:cs="Arial"/>
              <w:szCs w:val="18"/>
            </w:rPr>
            <w:fldChar w:fldCharType="end"/>
          </w:r>
        </w:p>
      </w:tc>
    </w:tr>
    <w:tr w:rsidR="00980678" w:rsidRPr="00CB3D59" w14:paraId="29715163" w14:textId="77777777">
      <w:trPr>
        <w:jc w:val="center"/>
      </w:trPr>
      <w:tc>
        <w:tcPr>
          <w:tcW w:w="1560" w:type="dxa"/>
        </w:tcPr>
        <w:p w14:paraId="0A3AC2A4" w14:textId="15650243"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5.3</w:t>
          </w:r>
          <w:r w:rsidRPr="00F02A14">
            <w:rPr>
              <w:rFonts w:cs="Arial"/>
              <w:b/>
              <w:szCs w:val="18"/>
            </w:rPr>
            <w:fldChar w:fldCharType="end"/>
          </w:r>
        </w:p>
      </w:tc>
      <w:tc>
        <w:tcPr>
          <w:tcW w:w="5741" w:type="dxa"/>
        </w:tcPr>
        <w:p w14:paraId="0B49CE05" w14:textId="2F569DD3"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Jurisdiction related to ASIC Act exercisable by registrar of Supreme Court</w:t>
          </w:r>
          <w:r w:rsidRPr="00F02A14">
            <w:rPr>
              <w:rFonts w:cs="Arial"/>
              <w:szCs w:val="18"/>
            </w:rPr>
            <w:fldChar w:fldCharType="end"/>
          </w:r>
        </w:p>
      </w:tc>
    </w:tr>
    <w:tr w:rsidR="00980678" w:rsidRPr="00CB3D59" w14:paraId="2E8D23F4" w14:textId="77777777">
      <w:trPr>
        <w:jc w:val="center"/>
      </w:trPr>
      <w:tc>
        <w:tcPr>
          <w:tcW w:w="7296" w:type="dxa"/>
          <w:gridSpan w:val="2"/>
          <w:tcBorders>
            <w:bottom w:val="single" w:sz="4" w:space="0" w:color="auto"/>
          </w:tcBorders>
        </w:tcPr>
        <w:p w14:paraId="7B4C05F3" w14:textId="77777777" w:rsidR="00980678" w:rsidRPr="00783A18" w:rsidRDefault="00980678" w:rsidP="00783A18">
          <w:pPr>
            <w:pStyle w:val="HeaderEven6"/>
            <w:spacing w:before="0" w:after="0"/>
            <w:rPr>
              <w:rFonts w:ascii="Times New Roman" w:hAnsi="Times New Roman"/>
              <w:sz w:val="24"/>
              <w:szCs w:val="24"/>
            </w:rPr>
          </w:pPr>
        </w:p>
      </w:tc>
    </w:tr>
  </w:tbl>
  <w:p w14:paraId="77A91809" w14:textId="77777777" w:rsidR="00980678" w:rsidRDefault="0098067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0F9720A0" w14:textId="77777777">
      <w:trPr>
        <w:jc w:val="center"/>
      </w:trPr>
      <w:tc>
        <w:tcPr>
          <w:tcW w:w="5741" w:type="dxa"/>
        </w:tcPr>
        <w:p w14:paraId="4274873A" w14:textId="25DD0320"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Jurisdiction of registrar</w:t>
          </w:r>
          <w:r w:rsidRPr="00F02A14">
            <w:rPr>
              <w:rFonts w:cs="Arial"/>
              <w:szCs w:val="18"/>
            </w:rPr>
            <w:fldChar w:fldCharType="end"/>
          </w:r>
        </w:p>
      </w:tc>
      <w:tc>
        <w:tcPr>
          <w:tcW w:w="1560" w:type="dxa"/>
        </w:tcPr>
        <w:p w14:paraId="0B748175" w14:textId="302EA523"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5</w:t>
          </w:r>
          <w:r w:rsidRPr="00F02A14">
            <w:rPr>
              <w:rFonts w:cs="Arial"/>
              <w:b/>
              <w:szCs w:val="18"/>
            </w:rPr>
            <w:fldChar w:fldCharType="end"/>
          </w:r>
        </w:p>
      </w:tc>
    </w:tr>
    <w:tr w:rsidR="00980678" w:rsidRPr="00CB3D59" w14:paraId="5AEDC52F" w14:textId="77777777">
      <w:trPr>
        <w:jc w:val="center"/>
      </w:trPr>
      <w:tc>
        <w:tcPr>
          <w:tcW w:w="5741" w:type="dxa"/>
        </w:tcPr>
        <w:p w14:paraId="33CB59AA" w14:textId="007BB557"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Jurisdiction related to Corporations Act exercisable by registrar of Supreme Court</w:t>
          </w:r>
          <w:r w:rsidRPr="00F02A14">
            <w:rPr>
              <w:rFonts w:cs="Arial"/>
              <w:szCs w:val="18"/>
            </w:rPr>
            <w:fldChar w:fldCharType="end"/>
          </w:r>
        </w:p>
      </w:tc>
      <w:tc>
        <w:tcPr>
          <w:tcW w:w="1560" w:type="dxa"/>
        </w:tcPr>
        <w:p w14:paraId="1B3BA9CC" w14:textId="03C9F95F"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5.2</w:t>
          </w:r>
          <w:r w:rsidRPr="00F02A14">
            <w:rPr>
              <w:rFonts w:cs="Arial"/>
              <w:b/>
              <w:szCs w:val="18"/>
            </w:rPr>
            <w:fldChar w:fldCharType="end"/>
          </w:r>
        </w:p>
      </w:tc>
    </w:tr>
    <w:tr w:rsidR="00980678" w:rsidRPr="00CB3D59" w14:paraId="50EF11D5" w14:textId="77777777">
      <w:trPr>
        <w:jc w:val="center"/>
      </w:trPr>
      <w:tc>
        <w:tcPr>
          <w:tcW w:w="7296" w:type="dxa"/>
          <w:gridSpan w:val="2"/>
          <w:tcBorders>
            <w:bottom w:val="single" w:sz="4" w:space="0" w:color="auto"/>
          </w:tcBorders>
        </w:tcPr>
        <w:p w14:paraId="6EB28040" w14:textId="77777777" w:rsidR="00980678" w:rsidRPr="00783A18" w:rsidRDefault="00980678" w:rsidP="00783A18">
          <w:pPr>
            <w:pStyle w:val="HeaderOdd6"/>
            <w:spacing w:before="0" w:after="0"/>
            <w:jc w:val="left"/>
            <w:rPr>
              <w:rFonts w:ascii="Times New Roman" w:hAnsi="Times New Roman"/>
              <w:sz w:val="24"/>
              <w:szCs w:val="24"/>
            </w:rPr>
          </w:pPr>
        </w:p>
      </w:tc>
    </w:tr>
  </w:tbl>
  <w:p w14:paraId="7E8BF882" w14:textId="77777777" w:rsidR="00980678" w:rsidRDefault="00980678">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3C67367E" w14:textId="77777777">
      <w:trPr>
        <w:jc w:val="center"/>
      </w:trPr>
      <w:tc>
        <w:tcPr>
          <w:tcW w:w="1560" w:type="dxa"/>
        </w:tcPr>
        <w:p w14:paraId="3E657EDD" w14:textId="3921C473"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5</w:t>
          </w:r>
          <w:r w:rsidRPr="00F02A14">
            <w:rPr>
              <w:rFonts w:cs="Arial"/>
              <w:b/>
              <w:szCs w:val="18"/>
            </w:rPr>
            <w:fldChar w:fldCharType="end"/>
          </w:r>
        </w:p>
      </w:tc>
      <w:tc>
        <w:tcPr>
          <w:tcW w:w="5741" w:type="dxa"/>
        </w:tcPr>
        <w:p w14:paraId="56C0C58A" w14:textId="72BA34CF"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Jurisdiction of registrar</w:t>
          </w:r>
          <w:r w:rsidRPr="00F02A14">
            <w:rPr>
              <w:rFonts w:cs="Arial"/>
              <w:szCs w:val="18"/>
            </w:rPr>
            <w:fldChar w:fldCharType="end"/>
          </w:r>
        </w:p>
      </w:tc>
    </w:tr>
    <w:tr w:rsidR="00432CA6" w:rsidRPr="00CB3D59" w14:paraId="6461B05A" w14:textId="77777777">
      <w:trPr>
        <w:jc w:val="center"/>
      </w:trPr>
      <w:tc>
        <w:tcPr>
          <w:tcW w:w="1560" w:type="dxa"/>
        </w:tcPr>
        <w:p w14:paraId="5EA2672C" w14:textId="577B13B0"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5.4</w:t>
          </w:r>
          <w:r w:rsidRPr="00F02A14">
            <w:rPr>
              <w:rFonts w:cs="Arial"/>
              <w:b/>
              <w:szCs w:val="18"/>
            </w:rPr>
            <w:fldChar w:fldCharType="end"/>
          </w:r>
        </w:p>
      </w:tc>
      <w:tc>
        <w:tcPr>
          <w:tcW w:w="5741" w:type="dxa"/>
        </w:tcPr>
        <w:p w14:paraId="175CF64D" w14:textId="04724501"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Jurisdiction under rules in relation to applications in proceedings not exercisable by registrar of Magistrates Court</w:t>
          </w:r>
          <w:r w:rsidRPr="00F02A14">
            <w:rPr>
              <w:rFonts w:cs="Arial"/>
              <w:szCs w:val="18"/>
            </w:rPr>
            <w:fldChar w:fldCharType="end"/>
          </w:r>
        </w:p>
      </w:tc>
    </w:tr>
    <w:tr w:rsidR="00432CA6" w:rsidRPr="00CB3D59" w14:paraId="1EC5E8AA" w14:textId="77777777">
      <w:trPr>
        <w:jc w:val="center"/>
      </w:trPr>
      <w:tc>
        <w:tcPr>
          <w:tcW w:w="7296" w:type="dxa"/>
          <w:gridSpan w:val="2"/>
          <w:tcBorders>
            <w:bottom w:val="single" w:sz="4" w:space="0" w:color="auto"/>
          </w:tcBorders>
        </w:tcPr>
        <w:p w14:paraId="12B7585F" w14:textId="77777777" w:rsidR="00432CA6" w:rsidRPr="00783A18" w:rsidRDefault="00432CA6" w:rsidP="00783A18">
          <w:pPr>
            <w:pStyle w:val="HeaderEven6"/>
            <w:spacing w:before="0" w:after="0"/>
            <w:rPr>
              <w:rFonts w:ascii="Times New Roman" w:hAnsi="Times New Roman"/>
              <w:sz w:val="24"/>
              <w:szCs w:val="24"/>
            </w:rPr>
          </w:pPr>
        </w:p>
      </w:tc>
    </w:tr>
  </w:tbl>
  <w:p w14:paraId="297B856B" w14:textId="77777777" w:rsidR="00432CA6" w:rsidRDefault="00432CA6">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7FF764" w14:textId="77777777">
      <w:trPr>
        <w:jc w:val="center"/>
      </w:trPr>
      <w:tc>
        <w:tcPr>
          <w:tcW w:w="5741" w:type="dxa"/>
        </w:tcPr>
        <w:p w14:paraId="3C7E3D5E" w14:textId="2BD6D5DE"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Jurisdiction of registrar</w:t>
          </w:r>
          <w:r w:rsidRPr="00F02A14">
            <w:rPr>
              <w:rFonts w:cs="Arial"/>
              <w:szCs w:val="18"/>
            </w:rPr>
            <w:fldChar w:fldCharType="end"/>
          </w:r>
        </w:p>
      </w:tc>
      <w:tc>
        <w:tcPr>
          <w:tcW w:w="1560" w:type="dxa"/>
        </w:tcPr>
        <w:p w14:paraId="52051192" w14:textId="419F59FC"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5</w:t>
          </w:r>
          <w:r w:rsidRPr="00F02A14">
            <w:rPr>
              <w:rFonts w:cs="Arial"/>
              <w:b/>
              <w:szCs w:val="18"/>
            </w:rPr>
            <w:fldChar w:fldCharType="end"/>
          </w:r>
        </w:p>
      </w:tc>
    </w:tr>
    <w:tr w:rsidR="00432CA6" w:rsidRPr="00CB3D59" w14:paraId="5DFC64F7" w14:textId="77777777">
      <w:trPr>
        <w:jc w:val="center"/>
      </w:trPr>
      <w:tc>
        <w:tcPr>
          <w:tcW w:w="5741" w:type="dxa"/>
        </w:tcPr>
        <w:p w14:paraId="734279A3" w14:textId="10739F17"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542D1">
            <w:rPr>
              <w:rFonts w:cs="Arial"/>
              <w:noProof/>
              <w:szCs w:val="18"/>
            </w:rPr>
            <w:t>Jurisdiction under rules in relation to applications in proceedings not exercisable by registrar of Magistrates Court</w:t>
          </w:r>
          <w:r w:rsidRPr="00F02A14">
            <w:rPr>
              <w:rFonts w:cs="Arial"/>
              <w:szCs w:val="18"/>
            </w:rPr>
            <w:fldChar w:fldCharType="end"/>
          </w:r>
        </w:p>
      </w:tc>
      <w:tc>
        <w:tcPr>
          <w:tcW w:w="1560" w:type="dxa"/>
        </w:tcPr>
        <w:p w14:paraId="584158E6" w14:textId="3E9EBA72"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5.4</w:t>
          </w:r>
          <w:r w:rsidRPr="00F02A14">
            <w:rPr>
              <w:rFonts w:cs="Arial"/>
              <w:b/>
              <w:szCs w:val="18"/>
            </w:rPr>
            <w:fldChar w:fldCharType="end"/>
          </w:r>
        </w:p>
      </w:tc>
    </w:tr>
    <w:tr w:rsidR="00432CA6" w:rsidRPr="00CB3D59" w14:paraId="23ACF5F1" w14:textId="77777777">
      <w:trPr>
        <w:jc w:val="center"/>
      </w:trPr>
      <w:tc>
        <w:tcPr>
          <w:tcW w:w="7296" w:type="dxa"/>
          <w:gridSpan w:val="2"/>
          <w:tcBorders>
            <w:bottom w:val="single" w:sz="4" w:space="0" w:color="auto"/>
          </w:tcBorders>
        </w:tcPr>
        <w:p w14:paraId="36BA49C6" w14:textId="77777777" w:rsidR="00432CA6" w:rsidRPr="00783A18" w:rsidRDefault="00432CA6" w:rsidP="00783A18">
          <w:pPr>
            <w:pStyle w:val="HeaderOdd6"/>
            <w:spacing w:before="0" w:after="0"/>
            <w:jc w:val="left"/>
            <w:rPr>
              <w:rFonts w:ascii="Times New Roman" w:hAnsi="Times New Roman"/>
              <w:sz w:val="24"/>
              <w:szCs w:val="24"/>
            </w:rPr>
          </w:pPr>
        </w:p>
      </w:tc>
    </w:tr>
  </w:tbl>
  <w:p w14:paraId="3D63DD31" w14:textId="77777777" w:rsidR="00432CA6" w:rsidRDefault="00432CA6">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4C7B3085" w14:textId="77777777">
      <w:trPr>
        <w:jc w:val="center"/>
      </w:trPr>
      <w:tc>
        <w:tcPr>
          <w:tcW w:w="1560" w:type="dxa"/>
        </w:tcPr>
        <w:p w14:paraId="127CB395" w14:textId="69671641"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c>
        <w:tcPr>
          <w:tcW w:w="5741" w:type="dxa"/>
        </w:tcPr>
        <w:p w14:paraId="550218B8" w14:textId="155E2422"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r>
    <w:tr w:rsidR="00432CA6" w:rsidRPr="00CB3D59" w14:paraId="02942B0F" w14:textId="77777777">
      <w:trPr>
        <w:jc w:val="center"/>
      </w:trPr>
      <w:tc>
        <w:tcPr>
          <w:tcW w:w="1560" w:type="dxa"/>
        </w:tcPr>
        <w:p w14:paraId="2D014AD0" w14:textId="39043106"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6.3</w:t>
          </w:r>
          <w:r w:rsidRPr="00A752AE">
            <w:rPr>
              <w:rFonts w:cs="Arial"/>
              <w:b/>
              <w:szCs w:val="18"/>
            </w:rPr>
            <w:fldChar w:fldCharType="end"/>
          </w:r>
        </w:p>
      </w:tc>
      <w:tc>
        <w:tcPr>
          <w:tcW w:w="5741" w:type="dxa"/>
        </w:tcPr>
        <w:p w14:paraId="259FE801" w14:textId="63D03853"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Compromises and arrangements in relation to Part 5.1 bodies</w:t>
          </w:r>
          <w:r w:rsidRPr="00A752AE">
            <w:rPr>
              <w:rFonts w:cs="Arial"/>
              <w:szCs w:val="18"/>
            </w:rPr>
            <w:fldChar w:fldCharType="end"/>
          </w:r>
        </w:p>
      </w:tc>
    </w:tr>
    <w:tr w:rsidR="00432CA6" w:rsidRPr="00CB3D59" w14:paraId="275CBA3D" w14:textId="77777777">
      <w:trPr>
        <w:jc w:val="center"/>
      </w:trPr>
      <w:tc>
        <w:tcPr>
          <w:tcW w:w="7296" w:type="dxa"/>
          <w:gridSpan w:val="2"/>
          <w:tcBorders>
            <w:bottom w:val="single" w:sz="4" w:space="0" w:color="auto"/>
          </w:tcBorders>
        </w:tcPr>
        <w:p w14:paraId="094496E0" w14:textId="16D53EE0"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1542D1">
            <w:rPr>
              <w:rFonts w:cs="Arial"/>
              <w:noProof/>
              <w:szCs w:val="18"/>
            </w:rPr>
            <w:t>3.5</w:t>
          </w:r>
          <w:r w:rsidR="00432CA6" w:rsidRPr="00A752AE">
            <w:rPr>
              <w:rFonts w:cs="Arial"/>
              <w:szCs w:val="18"/>
            </w:rPr>
            <w:fldChar w:fldCharType="end"/>
          </w:r>
        </w:p>
      </w:tc>
    </w:tr>
  </w:tbl>
  <w:p w14:paraId="2B617CBC" w14:textId="77777777" w:rsidR="00432CA6" w:rsidRDefault="00432CA6">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140987E9" w14:textId="77777777">
      <w:trPr>
        <w:jc w:val="center"/>
      </w:trPr>
      <w:tc>
        <w:tcPr>
          <w:tcW w:w="5741" w:type="dxa"/>
        </w:tcPr>
        <w:p w14:paraId="1A45DDB9" w14:textId="05589A82"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c>
        <w:tcPr>
          <w:tcW w:w="1560" w:type="dxa"/>
        </w:tcPr>
        <w:p w14:paraId="0557CABE" w14:textId="3DEF9693"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r>
    <w:tr w:rsidR="00432CA6" w:rsidRPr="00CB3D59" w14:paraId="02F57243" w14:textId="77777777">
      <w:trPr>
        <w:jc w:val="center"/>
      </w:trPr>
      <w:tc>
        <w:tcPr>
          <w:tcW w:w="5741" w:type="dxa"/>
        </w:tcPr>
        <w:p w14:paraId="4CAFA18D" w14:textId="0E6A9D13"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Compromises and arrangements in relation to Part 5.1 bodies</w:t>
          </w:r>
          <w:r w:rsidRPr="00A752AE">
            <w:rPr>
              <w:rFonts w:cs="Arial"/>
              <w:szCs w:val="18"/>
            </w:rPr>
            <w:fldChar w:fldCharType="end"/>
          </w:r>
        </w:p>
      </w:tc>
      <w:tc>
        <w:tcPr>
          <w:tcW w:w="1560" w:type="dxa"/>
        </w:tcPr>
        <w:p w14:paraId="08D58900" w14:textId="680528F8"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6.3</w:t>
          </w:r>
          <w:r w:rsidRPr="00A752AE">
            <w:rPr>
              <w:rFonts w:cs="Arial"/>
              <w:b/>
              <w:szCs w:val="18"/>
            </w:rPr>
            <w:fldChar w:fldCharType="end"/>
          </w:r>
        </w:p>
      </w:tc>
    </w:tr>
    <w:tr w:rsidR="00432CA6" w:rsidRPr="00CB3D59" w14:paraId="66B3E1BD" w14:textId="77777777">
      <w:trPr>
        <w:jc w:val="center"/>
      </w:trPr>
      <w:tc>
        <w:tcPr>
          <w:tcW w:w="7296" w:type="dxa"/>
          <w:gridSpan w:val="2"/>
          <w:tcBorders>
            <w:bottom w:val="single" w:sz="4" w:space="0" w:color="auto"/>
          </w:tcBorders>
        </w:tcPr>
        <w:p w14:paraId="1D2D1CBB" w14:textId="40334A04" w:rsidR="00432CA6" w:rsidRPr="00A752AE" w:rsidRDefault="00EF08E1" w:rsidP="00591817">
          <w:pPr>
            <w:pStyle w:val="HeaderOdd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1542D1">
            <w:rPr>
              <w:rFonts w:cs="Arial"/>
              <w:noProof/>
              <w:szCs w:val="18"/>
            </w:rPr>
            <w:t>3.3</w:t>
          </w:r>
          <w:r w:rsidR="00432CA6" w:rsidRPr="00A752AE">
            <w:rPr>
              <w:rFonts w:cs="Arial"/>
              <w:szCs w:val="18"/>
            </w:rPr>
            <w:fldChar w:fldCharType="end"/>
          </w:r>
        </w:p>
      </w:tc>
    </w:tr>
  </w:tbl>
  <w:p w14:paraId="1DE7FC29" w14:textId="77777777" w:rsidR="00432CA6" w:rsidRDefault="00432CA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56B7B87A" w14:textId="77777777">
      <w:trPr>
        <w:jc w:val="center"/>
      </w:trPr>
      <w:tc>
        <w:tcPr>
          <w:tcW w:w="1560" w:type="dxa"/>
        </w:tcPr>
        <w:p w14:paraId="3BED0E2C" w14:textId="66868D9F"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0574C">
            <w:rPr>
              <w:rFonts w:cs="Arial"/>
              <w:b/>
              <w:noProof/>
              <w:szCs w:val="18"/>
            </w:rPr>
            <w:t>Schedule 6</w:t>
          </w:r>
          <w:r w:rsidRPr="00A752AE">
            <w:rPr>
              <w:rFonts w:cs="Arial"/>
              <w:b/>
              <w:szCs w:val="18"/>
            </w:rPr>
            <w:fldChar w:fldCharType="end"/>
          </w:r>
        </w:p>
      </w:tc>
      <w:tc>
        <w:tcPr>
          <w:tcW w:w="5741" w:type="dxa"/>
        </w:tcPr>
        <w:p w14:paraId="1045897A" w14:textId="75B0E7C6"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0574C">
            <w:rPr>
              <w:rFonts w:cs="Arial"/>
              <w:noProof/>
              <w:szCs w:val="18"/>
            </w:rPr>
            <w:t>Corporations Rules</w:t>
          </w:r>
          <w:r w:rsidRPr="00A752AE">
            <w:rPr>
              <w:rFonts w:cs="Arial"/>
              <w:szCs w:val="18"/>
            </w:rPr>
            <w:fldChar w:fldCharType="end"/>
          </w:r>
        </w:p>
      </w:tc>
    </w:tr>
    <w:tr w:rsidR="00432CA6" w:rsidRPr="00CB3D59" w14:paraId="20709914" w14:textId="77777777">
      <w:trPr>
        <w:jc w:val="center"/>
      </w:trPr>
      <w:tc>
        <w:tcPr>
          <w:tcW w:w="1560" w:type="dxa"/>
        </w:tcPr>
        <w:p w14:paraId="612D1222" w14:textId="28154159"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0574C">
            <w:rPr>
              <w:rFonts w:cs="Arial"/>
              <w:b/>
              <w:noProof/>
              <w:szCs w:val="18"/>
            </w:rPr>
            <w:t>Part 6.3</w:t>
          </w:r>
          <w:r w:rsidRPr="00A752AE">
            <w:rPr>
              <w:rFonts w:cs="Arial"/>
              <w:b/>
              <w:szCs w:val="18"/>
            </w:rPr>
            <w:fldChar w:fldCharType="end"/>
          </w:r>
        </w:p>
      </w:tc>
      <w:tc>
        <w:tcPr>
          <w:tcW w:w="5741" w:type="dxa"/>
        </w:tcPr>
        <w:p w14:paraId="191D9F2F" w14:textId="7C9822DB"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0574C">
            <w:rPr>
              <w:rFonts w:cs="Arial"/>
              <w:noProof/>
              <w:szCs w:val="18"/>
            </w:rPr>
            <w:t>Compromises and arrangements in relation to Part 5.1 bodies</w:t>
          </w:r>
          <w:r w:rsidRPr="00A752AE">
            <w:rPr>
              <w:rFonts w:cs="Arial"/>
              <w:szCs w:val="18"/>
            </w:rPr>
            <w:fldChar w:fldCharType="end"/>
          </w:r>
        </w:p>
      </w:tc>
    </w:tr>
    <w:tr w:rsidR="00432CA6" w:rsidRPr="00CB3D59" w14:paraId="09603F41" w14:textId="77777777">
      <w:trPr>
        <w:jc w:val="center"/>
      </w:trPr>
      <w:tc>
        <w:tcPr>
          <w:tcW w:w="7296" w:type="dxa"/>
          <w:gridSpan w:val="2"/>
          <w:tcBorders>
            <w:bottom w:val="single" w:sz="4" w:space="0" w:color="auto"/>
          </w:tcBorders>
        </w:tcPr>
        <w:p w14:paraId="1AAD674A" w14:textId="48DD9AF8"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20574C">
            <w:rPr>
              <w:rFonts w:cs="Arial"/>
              <w:noProof/>
              <w:szCs w:val="18"/>
            </w:rPr>
            <w:t>3.5</w:t>
          </w:r>
          <w:r w:rsidR="00432CA6" w:rsidRPr="00A752AE">
            <w:rPr>
              <w:rFonts w:cs="Arial"/>
              <w:szCs w:val="18"/>
            </w:rPr>
            <w:fldChar w:fldCharType="end"/>
          </w:r>
        </w:p>
      </w:tc>
    </w:tr>
  </w:tbl>
  <w:p w14:paraId="4C674B06" w14:textId="77777777" w:rsidR="00432CA6" w:rsidRDefault="00432CA6">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DF6AD4" w14:textId="77777777">
      <w:trPr>
        <w:jc w:val="center"/>
      </w:trPr>
      <w:tc>
        <w:tcPr>
          <w:tcW w:w="5741" w:type="dxa"/>
        </w:tcPr>
        <w:p w14:paraId="2CEB812A" w14:textId="794787D8"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c>
        <w:tcPr>
          <w:tcW w:w="1560" w:type="dxa"/>
        </w:tcPr>
        <w:p w14:paraId="61C6EF83" w14:textId="76A64606"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r>
    <w:tr w:rsidR="00432CA6" w:rsidRPr="00CB3D59" w14:paraId="41747099" w14:textId="77777777">
      <w:trPr>
        <w:jc w:val="center"/>
      </w:trPr>
      <w:tc>
        <w:tcPr>
          <w:tcW w:w="5741" w:type="dxa"/>
        </w:tcPr>
        <w:p w14:paraId="4112129E" w14:textId="2081C837"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Receivers and other controllers of corporation property (Corporations Act, pt 5.2)</w:t>
          </w:r>
          <w:r w:rsidRPr="00A752AE">
            <w:rPr>
              <w:rFonts w:cs="Arial"/>
              <w:szCs w:val="18"/>
            </w:rPr>
            <w:fldChar w:fldCharType="end"/>
          </w:r>
        </w:p>
      </w:tc>
      <w:tc>
        <w:tcPr>
          <w:tcW w:w="1560" w:type="dxa"/>
        </w:tcPr>
        <w:p w14:paraId="6D611BCD" w14:textId="1D7AFEC1"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6.4</w:t>
          </w:r>
          <w:r w:rsidRPr="00A752AE">
            <w:rPr>
              <w:rFonts w:cs="Arial"/>
              <w:b/>
              <w:szCs w:val="18"/>
            </w:rPr>
            <w:fldChar w:fldCharType="end"/>
          </w:r>
        </w:p>
      </w:tc>
    </w:tr>
    <w:tr w:rsidR="00432CA6" w:rsidRPr="00CB3D59" w14:paraId="30DC4641" w14:textId="77777777">
      <w:trPr>
        <w:jc w:val="center"/>
      </w:trPr>
      <w:tc>
        <w:tcPr>
          <w:tcW w:w="7296" w:type="dxa"/>
          <w:gridSpan w:val="2"/>
          <w:tcBorders>
            <w:bottom w:val="single" w:sz="4" w:space="0" w:color="auto"/>
          </w:tcBorders>
        </w:tcPr>
        <w:p w14:paraId="2B10716E" w14:textId="1DF06CA4" w:rsidR="00432CA6" w:rsidRPr="00A752AE" w:rsidRDefault="00432CA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542D1">
            <w:rPr>
              <w:rFonts w:cs="Arial"/>
              <w:noProof/>
              <w:szCs w:val="18"/>
            </w:rPr>
            <w:t>4.1</w:t>
          </w:r>
          <w:r w:rsidRPr="00A752AE">
            <w:rPr>
              <w:rFonts w:cs="Arial"/>
              <w:szCs w:val="18"/>
            </w:rPr>
            <w:fldChar w:fldCharType="end"/>
          </w:r>
        </w:p>
      </w:tc>
    </w:tr>
  </w:tbl>
  <w:p w14:paraId="0D7FF56C" w14:textId="77777777" w:rsidR="00432CA6" w:rsidRDefault="00432CA6">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33413077" w14:textId="77777777">
      <w:trPr>
        <w:jc w:val="center"/>
      </w:trPr>
      <w:tc>
        <w:tcPr>
          <w:tcW w:w="1560" w:type="dxa"/>
        </w:tcPr>
        <w:p w14:paraId="397F2A9C" w14:textId="04C561DD"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c>
        <w:tcPr>
          <w:tcW w:w="5741" w:type="dxa"/>
        </w:tcPr>
        <w:p w14:paraId="5E92728B" w14:textId="1C153B6A"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r>
    <w:tr w:rsidR="004426B3" w:rsidRPr="00CB3D59" w14:paraId="6E54C691" w14:textId="77777777">
      <w:trPr>
        <w:jc w:val="center"/>
      </w:trPr>
      <w:tc>
        <w:tcPr>
          <w:tcW w:w="1560" w:type="dxa"/>
        </w:tcPr>
        <w:p w14:paraId="66ED0345" w14:textId="72D5B33B"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6.5</w:t>
          </w:r>
          <w:r w:rsidRPr="00A752AE">
            <w:rPr>
              <w:rFonts w:cs="Arial"/>
              <w:b/>
              <w:szCs w:val="18"/>
            </w:rPr>
            <w:fldChar w:fldCharType="end"/>
          </w:r>
        </w:p>
      </w:tc>
      <w:tc>
        <w:tcPr>
          <w:tcW w:w="5741" w:type="dxa"/>
        </w:tcPr>
        <w:p w14:paraId="2DA35731" w14:textId="2A5C7712"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Winding-up proceedings (including oppression proceedings where winding-up is sought)</w:t>
          </w:r>
          <w:r w:rsidRPr="00A752AE">
            <w:rPr>
              <w:rFonts w:cs="Arial"/>
              <w:szCs w:val="18"/>
            </w:rPr>
            <w:fldChar w:fldCharType="end"/>
          </w:r>
        </w:p>
      </w:tc>
    </w:tr>
    <w:tr w:rsidR="004426B3" w:rsidRPr="00CB3D59" w14:paraId="0F92CC93" w14:textId="77777777">
      <w:trPr>
        <w:jc w:val="center"/>
      </w:trPr>
      <w:tc>
        <w:tcPr>
          <w:tcW w:w="7296" w:type="dxa"/>
          <w:gridSpan w:val="2"/>
          <w:tcBorders>
            <w:bottom w:val="single" w:sz="4" w:space="0" w:color="auto"/>
          </w:tcBorders>
        </w:tcPr>
        <w:p w14:paraId="4552ABBA" w14:textId="09717A4A"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1542D1">
            <w:rPr>
              <w:rFonts w:cs="Arial"/>
              <w:noProof/>
              <w:szCs w:val="18"/>
            </w:rPr>
            <w:t>5.11</w:t>
          </w:r>
          <w:r w:rsidR="004426B3" w:rsidRPr="00A752AE">
            <w:rPr>
              <w:rFonts w:cs="Arial"/>
              <w:szCs w:val="18"/>
            </w:rPr>
            <w:fldChar w:fldCharType="end"/>
          </w:r>
        </w:p>
      </w:tc>
    </w:tr>
  </w:tbl>
  <w:p w14:paraId="0DBEDA41" w14:textId="77777777" w:rsidR="004426B3" w:rsidRDefault="004426B3">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3081DEBD" w14:textId="77777777">
      <w:trPr>
        <w:jc w:val="center"/>
      </w:trPr>
      <w:tc>
        <w:tcPr>
          <w:tcW w:w="5741" w:type="dxa"/>
        </w:tcPr>
        <w:p w14:paraId="1E8EFD9E" w14:textId="60C022C8"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c>
        <w:tcPr>
          <w:tcW w:w="1560" w:type="dxa"/>
        </w:tcPr>
        <w:p w14:paraId="6EA44F44" w14:textId="0812F929"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r>
    <w:tr w:rsidR="004426B3" w:rsidRPr="00CB3D59" w14:paraId="73F724EC" w14:textId="77777777">
      <w:trPr>
        <w:jc w:val="center"/>
      </w:trPr>
      <w:tc>
        <w:tcPr>
          <w:tcW w:w="5741" w:type="dxa"/>
        </w:tcPr>
        <w:p w14:paraId="014AB608" w14:textId="5A7C412D"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Winding-up proceedings (including oppression proceedings where winding-up is sought)</w:t>
          </w:r>
          <w:r w:rsidRPr="00A752AE">
            <w:rPr>
              <w:rFonts w:cs="Arial"/>
              <w:szCs w:val="18"/>
            </w:rPr>
            <w:fldChar w:fldCharType="end"/>
          </w:r>
        </w:p>
      </w:tc>
      <w:tc>
        <w:tcPr>
          <w:tcW w:w="1560" w:type="dxa"/>
        </w:tcPr>
        <w:p w14:paraId="2A35FB51" w14:textId="23A3FDB4"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6.5</w:t>
          </w:r>
          <w:r w:rsidRPr="00A752AE">
            <w:rPr>
              <w:rFonts w:cs="Arial"/>
              <w:b/>
              <w:szCs w:val="18"/>
            </w:rPr>
            <w:fldChar w:fldCharType="end"/>
          </w:r>
        </w:p>
      </w:tc>
    </w:tr>
    <w:tr w:rsidR="004426B3" w:rsidRPr="00CB3D59" w14:paraId="0415352B" w14:textId="77777777">
      <w:trPr>
        <w:jc w:val="center"/>
      </w:trPr>
      <w:tc>
        <w:tcPr>
          <w:tcW w:w="7296" w:type="dxa"/>
          <w:gridSpan w:val="2"/>
          <w:tcBorders>
            <w:bottom w:val="single" w:sz="4" w:space="0" w:color="auto"/>
          </w:tcBorders>
        </w:tcPr>
        <w:p w14:paraId="6B50568C" w14:textId="2D28B1A2"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1542D1">
            <w:rPr>
              <w:rFonts w:cs="Arial"/>
              <w:noProof/>
              <w:szCs w:val="18"/>
            </w:rPr>
            <w:t>5.7</w:t>
          </w:r>
          <w:r w:rsidR="004426B3" w:rsidRPr="00A752AE">
            <w:rPr>
              <w:rFonts w:cs="Arial"/>
              <w:szCs w:val="18"/>
            </w:rPr>
            <w:fldChar w:fldCharType="end"/>
          </w:r>
        </w:p>
      </w:tc>
    </w:tr>
  </w:tbl>
  <w:p w14:paraId="3CA57349" w14:textId="77777777" w:rsidR="004426B3" w:rsidRDefault="004426B3">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2F5ED04" w14:textId="77777777">
      <w:trPr>
        <w:jc w:val="center"/>
      </w:trPr>
      <w:tc>
        <w:tcPr>
          <w:tcW w:w="1560" w:type="dxa"/>
        </w:tcPr>
        <w:p w14:paraId="6410A50E" w14:textId="12440872"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c>
        <w:tcPr>
          <w:tcW w:w="5741" w:type="dxa"/>
        </w:tcPr>
        <w:p w14:paraId="6D9908DD" w14:textId="6BB4F8F8"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r>
    <w:tr w:rsidR="004426B3" w:rsidRPr="00CB3D59" w14:paraId="7BFFE8FD" w14:textId="77777777">
      <w:trPr>
        <w:jc w:val="center"/>
      </w:trPr>
      <w:tc>
        <w:tcPr>
          <w:tcW w:w="1560" w:type="dxa"/>
        </w:tcPr>
        <w:p w14:paraId="4F926721" w14:textId="21661EAC"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6.11</w:t>
          </w:r>
          <w:r w:rsidRPr="00A752AE">
            <w:rPr>
              <w:rFonts w:cs="Arial"/>
              <w:b/>
              <w:szCs w:val="18"/>
            </w:rPr>
            <w:fldChar w:fldCharType="end"/>
          </w:r>
        </w:p>
      </w:tc>
      <w:tc>
        <w:tcPr>
          <w:tcW w:w="5741" w:type="dxa"/>
        </w:tcPr>
        <w:p w14:paraId="3E8B2B10" w14:textId="31E49EF5"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Examinations and orders (Corporations Act, pt 5.9, div 1 and div 2)</w:t>
          </w:r>
          <w:r w:rsidRPr="00A752AE">
            <w:rPr>
              <w:rFonts w:cs="Arial"/>
              <w:szCs w:val="18"/>
            </w:rPr>
            <w:fldChar w:fldCharType="end"/>
          </w:r>
        </w:p>
      </w:tc>
    </w:tr>
    <w:tr w:rsidR="004426B3" w:rsidRPr="00CB3D59" w14:paraId="6CA9BDE7" w14:textId="77777777">
      <w:trPr>
        <w:jc w:val="center"/>
      </w:trPr>
      <w:tc>
        <w:tcPr>
          <w:tcW w:w="7296" w:type="dxa"/>
          <w:gridSpan w:val="2"/>
          <w:tcBorders>
            <w:bottom w:val="single" w:sz="4" w:space="0" w:color="auto"/>
          </w:tcBorders>
        </w:tcPr>
        <w:p w14:paraId="239A2C7F" w14:textId="2C280B80"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1542D1">
            <w:rPr>
              <w:rFonts w:cs="Arial"/>
              <w:noProof/>
              <w:szCs w:val="18"/>
            </w:rPr>
            <w:t>11.11</w:t>
          </w:r>
          <w:r w:rsidR="004426B3" w:rsidRPr="00A752AE">
            <w:rPr>
              <w:rFonts w:cs="Arial"/>
              <w:szCs w:val="18"/>
            </w:rPr>
            <w:fldChar w:fldCharType="end"/>
          </w:r>
        </w:p>
      </w:tc>
    </w:tr>
  </w:tbl>
  <w:p w14:paraId="46E748D8" w14:textId="77777777" w:rsidR="004426B3" w:rsidRDefault="004426B3">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0B2ED1E7" w14:textId="77777777">
      <w:trPr>
        <w:jc w:val="center"/>
      </w:trPr>
      <w:tc>
        <w:tcPr>
          <w:tcW w:w="5741" w:type="dxa"/>
        </w:tcPr>
        <w:p w14:paraId="54678A70" w14:textId="23E1AFCB"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c>
        <w:tcPr>
          <w:tcW w:w="1560" w:type="dxa"/>
        </w:tcPr>
        <w:p w14:paraId="2336DFA7" w14:textId="3E73C736"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r>
    <w:tr w:rsidR="004426B3" w:rsidRPr="00CB3D59" w14:paraId="44ED9D7D" w14:textId="77777777">
      <w:trPr>
        <w:jc w:val="center"/>
      </w:trPr>
      <w:tc>
        <w:tcPr>
          <w:tcW w:w="5741" w:type="dxa"/>
        </w:tcPr>
        <w:p w14:paraId="1E37424B" w14:textId="09E4BF95"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Warrants (Corporations Act, s 486B and pt 5.4B, div 3, subdiv B)</w:t>
          </w:r>
          <w:r w:rsidRPr="00A752AE">
            <w:rPr>
              <w:rFonts w:cs="Arial"/>
              <w:szCs w:val="18"/>
            </w:rPr>
            <w:fldChar w:fldCharType="end"/>
          </w:r>
        </w:p>
      </w:tc>
      <w:tc>
        <w:tcPr>
          <w:tcW w:w="1560" w:type="dxa"/>
        </w:tcPr>
        <w:p w14:paraId="48F6F3A3" w14:textId="5375AC19"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6.11A</w:t>
          </w:r>
          <w:r w:rsidRPr="00A752AE">
            <w:rPr>
              <w:rFonts w:cs="Arial"/>
              <w:b/>
              <w:szCs w:val="18"/>
            </w:rPr>
            <w:fldChar w:fldCharType="end"/>
          </w:r>
        </w:p>
      </w:tc>
    </w:tr>
    <w:tr w:rsidR="004426B3" w:rsidRPr="00CB3D59" w14:paraId="5554A157" w14:textId="77777777">
      <w:trPr>
        <w:jc w:val="center"/>
      </w:trPr>
      <w:tc>
        <w:tcPr>
          <w:tcW w:w="7296" w:type="dxa"/>
          <w:gridSpan w:val="2"/>
          <w:tcBorders>
            <w:bottom w:val="single" w:sz="4" w:space="0" w:color="auto"/>
          </w:tcBorders>
        </w:tcPr>
        <w:p w14:paraId="6ABFA61D" w14:textId="21417DC1"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1542D1">
            <w:rPr>
              <w:rFonts w:cs="Arial"/>
              <w:noProof/>
              <w:szCs w:val="18"/>
            </w:rPr>
            <w:t>11A.1</w:t>
          </w:r>
          <w:r w:rsidR="004426B3" w:rsidRPr="00A752AE">
            <w:rPr>
              <w:rFonts w:cs="Arial"/>
              <w:szCs w:val="18"/>
            </w:rPr>
            <w:fldChar w:fldCharType="end"/>
          </w:r>
        </w:p>
      </w:tc>
    </w:tr>
  </w:tbl>
  <w:p w14:paraId="2ABE7BA5" w14:textId="77777777" w:rsidR="004426B3" w:rsidRDefault="004426B3">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3C4D116" w14:textId="77777777">
      <w:trPr>
        <w:jc w:val="center"/>
      </w:trPr>
      <w:tc>
        <w:tcPr>
          <w:tcW w:w="1560" w:type="dxa"/>
        </w:tcPr>
        <w:p w14:paraId="2AEDEA27" w14:textId="62E8F3FD"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c>
        <w:tcPr>
          <w:tcW w:w="5741" w:type="dxa"/>
        </w:tcPr>
        <w:p w14:paraId="043C98F6" w14:textId="76B7BAF9"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r>
    <w:tr w:rsidR="004426B3" w:rsidRPr="00CB3D59" w14:paraId="5AC05E1F" w14:textId="77777777">
      <w:trPr>
        <w:jc w:val="center"/>
      </w:trPr>
      <w:tc>
        <w:tcPr>
          <w:tcW w:w="1560" w:type="dxa"/>
        </w:tcPr>
        <w:p w14:paraId="509609EA" w14:textId="10B8AEFF"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6.12</w:t>
          </w:r>
          <w:r w:rsidRPr="00A752AE">
            <w:rPr>
              <w:rFonts w:cs="Arial"/>
              <w:b/>
              <w:szCs w:val="18"/>
            </w:rPr>
            <w:fldChar w:fldCharType="end"/>
          </w:r>
        </w:p>
      </w:tc>
      <w:tc>
        <w:tcPr>
          <w:tcW w:w="5741" w:type="dxa"/>
        </w:tcPr>
        <w:p w14:paraId="27073671" w14:textId="56473B45"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r>
    <w:tr w:rsidR="004426B3" w:rsidRPr="00CB3D59" w14:paraId="74C944AE" w14:textId="77777777">
      <w:trPr>
        <w:jc w:val="center"/>
      </w:trPr>
      <w:tc>
        <w:tcPr>
          <w:tcW w:w="7296" w:type="dxa"/>
          <w:gridSpan w:val="2"/>
          <w:tcBorders>
            <w:bottom w:val="single" w:sz="4" w:space="0" w:color="auto"/>
          </w:tcBorders>
        </w:tcPr>
        <w:p w14:paraId="20E7B9A2" w14:textId="3D2889A1"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1542D1">
            <w:rPr>
              <w:rFonts w:cs="Arial"/>
              <w:noProof/>
              <w:szCs w:val="18"/>
            </w:rPr>
            <w:t>12.1</w:t>
          </w:r>
          <w:r w:rsidR="004426B3" w:rsidRPr="00A752AE">
            <w:rPr>
              <w:rFonts w:cs="Arial"/>
              <w:szCs w:val="18"/>
            </w:rPr>
            <w:fldChar w:fldCharType="end"/>
          </w:r>
        </w:p>
      </w:tc>
    </w:tr>
  </w:tbl>
  <w:p w14:paraId="685CB654" w14:textId="77777777" w:rsidR="004426B3" w:rsidRDefault="004426B3">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569B424F" w14:textId="77777777">
      <w:trPr>
        <w:jc w:val="center"/>
      </w:trPr>
      <w:tc>
        <w:tcPr>
          <w:tcW w:w="5741" w:type="dxa"/>
        </w:tcPr>
        <w:p w14:paraId="6948F1E6" w14:textId="1AABAD13"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2D1">
            <w:rPr>
              <w:rFonts w:cs="Arial"/>
              <w:noProof/>
              <w:szCs w:val="18"/>
            </w:rPr>
            <w:t>Corporations Rules</w:t>
          </w:r>
          <w:r w:rsidRPr="00A752AE">
            <w:rPr>
              <w:rFonts w:cs="Arial"/>
              <w:szCs w:val="18"/>
            </w:rPr>
            <w:fldChar w:fldCharType="end"/>
          </w:r>
        </w:p>
      </w:tc>
      <w:tc>
        <w:tcPr>
          <w:tcW w:w="1560" w:type="dxa"/>
        </w:tcPr>
        <w:p w14:paraId="2E74EC55" w14:textId="01D0831F"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2D1">
            <w:rPr>
              <w:rFonts w:cs="Arial"/>
              <w:b/>
              <w:noProof/>
              <w:szCs w:val="18"/>
            </w:rPr>
            <w:t>Schedule 6</w:t>
          </w:r>
          <w:r w:rsidRPr="00A752AE">
            <w:rPr>
              <w:rFonts w:cs="Arial"/>
              <w:b/>
              <w:szCs w:val="18"/>
            </w:rPr>
            <w:fldChar w:fldCharType="end"/>
          </w:r>
        </w:p>
      </w:tc>
    </w:tr>
    <w:tr w:rsidR="004426B3" w:rsidRPr="00CB3D59" w14:paraId="5B34FCC9" w14:textId="77777777">
      <w:trPr>
        <w:jc w:val="center"/>
      </w:trPr>
      <w:tc>
        <w:tcPr>
          <w:tcW w:w="5741" w:type="dxa"/>
        </w:tcPr>
        <w:p w14:paraId="1D4BAAD7" w14:textId="1C224C4A"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542D1">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c>
        <w:tcPr>
          <w:tcW w:w="1560" w:type="dxa"/>
        </w:tcPr>
        <w:p w14:paraId="7AE5C149" w14:textId="17B649BE"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542D1">
            <w:rPr>
              <w:rFonts w:cs="Arial"/>
              <w:b/>
              <w:noProof/>
              <w:szCs w:val="18"/>
            </w:rPr>
            <w:t>Part 6.12</w:t>
          </w:r>
          <w:r w:rsidRPr="00A752AE">
            <w:rPr>
              <w:rFonts w:cs="Arial"/>
              <w:b/>
              <w:szCs w:val="18"/>
            </w:rPr>
            <w:fldChar w:fldCharType="end"/>
          </w:r>
        </w:p>
      </w:tc>
    </w:tr>
    <w:tr w:rsidR="004426B3" w:rsidRPr="00CB3D59" w14:paraId="1D7E4CB6" w14:textId="77777777">
      <w:trPr>
        <w:jc w:val="center"/>
      </w:trPr>
      <w:tc>
        <w:tcPr>
          <w:tcW w:w="7296" w:type="dxa"/>
          <w:gridSpan w:val="2"/>
          <w:tcBorders>
            <w:bottom w:val="single" w:sz="4" w:space="0" w:color="auto"/>
          </w:tcBorders>
        </w:tcPr>
        <w:p w14:paraId="1AD2A12F" w14:textId="41A96A41"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1542D1">
            <w:rPr>
              <w:rFonts w:cs="Arial"/>
              <w:noProof/>
              <w:szCs w:val="18"/>
            </w:rPr>
            <w:t>12.2</w:t>
          </w:r>
          <w:r w:rsidR="004426B3" w:rsidRPr="00A752AE">
            <w:rPr>
              <w:rFonts w:cs="Arial"/>
              <w:szCs w:val="18"/>
            </w:rPr>
            <w:fldChar w:fldCharType="end"/>
          </w:r>
        </w:p>
      </w:tc>
    </w:tr>
  </w:tbl>
  <w:p w14:paraId="1151A448" w14:textId="77777777" w:rsidR="004426B3" w:rsidRDefault="004426B3">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13776826" w14:textId="77777777">
      <w:trPr>
        <w:jc w:val="center"/>
      </w:trPr>
      <w:tc>
        <w:tcPr>
          <w:tcW w:w="1560" w:type="dxa"/>
        </w:tcPr>
        <w:p w14:paraId="1A9EF457" w14:textId="03EC49DA"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6</w:t>
          </w:r>
          <w:r w:rsidRPr="00F02A14">
            <w:rPr>
              <w:rFonts w:cs="Arial"/>
              <w:b/>
              <w:szCs w:val="18"/>
            </w:rPr>
            <w:fldChar w:fldCharType="end"/>
          </w:r>
        </w:p>
      </w:tc>
      <w:tc>
        <w:tcPr>
          <w:tcW w:w="5741" w:type="dxa"/>
        </w:tcPr>
        <w:p w14:paraId="5F10681F" w14:textId="331FD93F"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Corporations Rules</w:t>
          </w:r>
          <w:r w:rsidRPr="00F02A14">
            <w:rPr>
              <w:rFonts w:cs="Arial"/>
              <w:szCs w:val="18"/>
            </w:rPr>
            <w:fldChar w:fldCharType="end"/>
          </w:r>
        </w:p>
      </w:tc>
    </w:tr>
    <w:tr w:rsidR="004426B3" w:rsidRPr="00CB3D59" w14:paraId="67F21887" w14:textId="77777777">
      <w:trPr>
        <w:jc w:val="center"/>
      </w:trPr>
      <w:tc>
        <w:tcPr>
          <w:tcW w:w="1560" w:type="dxa"/>
        </w:tcPr>
        <w:p w14:paraId="66E32915" w14:textId="4BD09E25"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6.13</w:t>
          </w:r>
          <w:r w:rsidRPr="00F02A14">
            <w:rPr>
              <w:rFonts w:cs="Arial"/>
              <w:b/>
              <w:szCs w:val="18"/>
            </w:rPr>
            <w:fldChar w:fldCharType="end"/>
          </w:r>
        </w:p>
      </w:tc>
      <w:tc>
        <w:tcPr>
          <w:tcW w:w="5741" w:type="dxa"/>
        </w:tcPr>
        <w:p w14:paraId="33ABFC12" w14:textId="1805A88A"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426B3" w:rsidRPr="00CB3D59" w14:paraId="20D521D1" w14:textId="77777777">
      <w:trPr>
        <w:jc w:val="center"/>
      </w:trPr>
      <w:tc>
        <w:tcPr>
          <w:tcW w:w="7296" w:type="dxa"/>
          <w:gridSpan w:val="2"/>
          <w:tcBorders>
            <w:bottom w:val="single" w:sz="4" w:space="0" w:color="auto"/>
          </w:tcBorders>
        </w:tcPr>
        <w:p w14:paraId="4DA3D2A7" w14:textId="77777777" w:rsidR="004426B3" w:rsidRPr="00783A18" w:rsidRDefault="004426B3" w:rsidP="00783A18">
          <w:pPr>
            <w:pStyle w:val="HeaderEven6"/>
            <w:spacing w:before="0" w:after="0"/>
            <w:rPr>
              <w:rFonts w:ascii="Times New Roman" w:hAnsi="Times New Roman"/>
              <w:sz w:val="24"/>
              <w:szCs w:val="24"/>
            </w:rPr>
          </w:pPr>
        </w:p>
      </w:tc>
    </w:tr>
  </w:tbl>
  <w:p w14:paraId="2B7F1DE7" w14:textId="77777777" w:rsidR="004426B3" w:rsidRDefault="004426B3">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65F17635" w14:textId="77777777">
      <w:trPr>
        <w:jc w:val="center"/>
      </w:trPr>
      <w:tc>
        <w:tcPr>
          <w:tcW w:w="5741" w:type="dxa"/>
        </w:tcPr>
        <w:p w14:paraId="261E489F" w14:textId="64F0E93F"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0574C">
            <w:rPr>
              <w:rFonts w:cs="Arial"/>
              <w:noProof/>
              <w:szCs w:val="18"/>
            </w:rPr>
            <w:t>Corporations Rules</w:t>
          </w:r>
          <w:r w:rsidRPr="00F02A14">
            <w:rPr>
              <w:rFonts w:cs="Arial"/>
              <w:szCs w:val="18"/>
            </w:rPr>
            <w:fldChar w:fldCharType="end"/>
          </w:r>
        </w:p>
      </w:tc>
      <w:tc>
        <w:tcPr>
          <w:tcW w:w="1560" w:type="dxa"/>
        </w:tcPr>
        <w:p w14:paraId="72D4BA06" w14:textId="35EDBE4B"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0574C">
            <w:rPr>
              <w:rFonts w:cs="Arial"/>
              <w:b/>
              <w:noProof/>
              <w:szCs w:val="18"/>
            </w:rPr>
            <w:t>Schedule 6</w:t>
          </w:r>
          <w:r w:rsidRPr="00F02A14">
            <w:rPr>
              <w:rFonts w:cs="Arial"/>
              <w:b/>
              <w:szCs w:val="18"/>
            </w:rPr>
            <w:fldChar w:fldCharType="end"/>
          </w:r>
        </w:p>
      </w:tc>
    </w:tr>
    <w:tr w:rsidR="004426B3" w:rsidRPr="00CB3D59" w14:paraId="479EE391" w14:textId="77777777">
      <w:trPr>
        <w:jc w:val="center"/>
      </w:trPr>
      <w:tc>
        <w:tcPr>
          <w:tcW w:w="5741" w:type="dxa"/>
        </w:tcPr>
        <w:p w14:paraId="7B50BD2C" w14:textId="256FA390"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0574C">
            <w:rPr>
              <w:rFonts w:cs="Arial"/>
              <w:noProof/>
              <w:szCs w:val="18"/>
            </w:rPr>
            <w:t>Takeovers, acquisitions of shares and other matters (Corporations Act, chs 6, 6A, 6B, 6C, 6D and 7) and securities (Corporations Act, ch 7)</w:t>
          </w:r>
          <w:r w:rsidRPr="00F02A14">
            <w:rPr>
              <w:rFonts w:cs="Arial"/>
              <w:szCs w:val="18"/>
            </w:rPr>
            <w:fldChar w:fldCharType="end"/>
          </w:r>
        </w:p>
      </w:tc>
      <w:tc>
        <w:tcPr>
          <w:tcW w:w="1560" w:type="dxa"/>
        </w:tcPr>
        <w:p w14:paraId="63762CBB" w14:textId="7C8841A2"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0574C">
            <w:rPr>
              <w:rFonts w:cs="Arial"/>
              <w:b/>
              <w:noProof/>
              <w:szCs w:val="18"/>
            </w:rPr>
            <w:t>Part 6.12</w:t>
          </w:r>
          <w:r w:rsidRPr="00F02A14">
            <w:rPr>
              <w:rFonts w:cs="Arial"/>
              <w:b/>
              <w:szCs w:val="18"/>
            </w:rPr>
            <w:fldChar w:fldCharType="end"/>
          </w:r>
        </w:p>
      </w:tc>
    </w:tr>
    <w:tr w:rsidR="004426B3" w:rsidRPr="00CB3D59" w14:paraId="7D254DF6" w14:textId="77777777">
      <w:trPr>
        <w:jc w:val="center"/>
      </w:trPr>
      <w:tc>
        <w:tcPr>
          <w:tcW w:w="7296" w:type="dxa"/>
          <w:gridSpan w:val="2"/>
          <w:tcBorders>
            <w:bottom w:val="single" w:sz="4" w:space="0" w:color="auto"/>
          </w:tcBorders>
        </w:tcPr>
        <w:p w14:paraId="358CFF27" w14:textId="77777777" w:rsidR="004426B3" w:rsidRPr="00783A18" w:rsidRDefault="004426B3" w:rsidP="00783A18">
          <w:pPr>
            <w:pStyle w:val="HeaderOdd6"/>
            <w:spacing w:before="0" w:after="0"/>
            <w:jc w:val="left"/>
            <w:rPr>
              <w:rFonts w:ascii="Times New Roman" w:hAnsi="Times New Roman"/>
              <w:sz w:val="24"/>
              <w:szCs w:val="24"/>
            </w:rPr>
          </w:pPr>
        </w:p>
      </w:tc>
    </w:tr>
  </w:tbl>
  <w:p w14:paraId="1B2CCB8F" w14:textId="77777777" w:rsidR="004426B3" w:rsidRDefault="004426B3">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701"/>
      <w:gridCol w:w="5600"/>
    </w:tblGrid>
    <w:tr w:rsidR="004E1D30" w:rsidRPr="00CB3D59" w14:paraId="58E477E5" w14:textId="77777777" w:rsidTr="00E0480D">
      <w:trPr>
        <w:jc w:val="center"/>
      </w:trPr>
      <w:tc>
        <w:tcPr>
          <w:tcW w:w="1701" w:type="dxa"/>
        </w:tcPr>
        <w:p w14:paraId="583D835C" w14:textId="62A4F2B8"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542D1">
            <w:rPr>
              <w:rFonts w:cs="Arial"/>
              <w:b/>
              <w:noProof/>
              <w:szCs w:val="18"/>
            </w:rPr>
            <w:t>Schedule 6</w:t>
          </w:r>
          <w:r w:rsidRPr="00922BD6">
            <w:rPr>
              <w:rFonts w:cs="Arial"/>
              <w:b/>
              <w:szCs w:val="18"/>
            </w:rPr>
            <w:fldChar w:fldCharType="end"/>
          </w:r>
        </w:p>
      </w:tc>
      <w:tc>
        <w:tcPr>
          <w:tcW w:w="5600" w:type="dxa"/>
        </w:tcPr>
        <w:p w14:paraId="4AE54713" w14:textId="464B8CB9"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542D1">
            <w:rPr>
              <w:rFonts w:cs="Arial"/>
              <w:noProof/>
              <w:szCs w:val="18"/>
            </w:rPr>
            <w:t>Corporations Rules</w:t>
          </w:r>
          <w:r w:rsidRPr="00922BD6">
            <w:rPr>
              <w:rFonts w:cs="Arial"/>
              <w:szCs w:val="18"/>
            </w:rPr>
            <w:fldChar w:fldCharType="end"/>
          </w:r>
        </w:p>
      </w:tc>
    </w:tr>
    <w:tr w:rsidR="004E1D30" w:rsidRPr="00CB3D59" w14:paraId="1F39B07F" w14:textId="77777777" w:rsidTr="00E0480D">
      <w:trPr>
        <w:jc w:val="center"/>
      </w:trPr>
      <w:tc>
        <w:tcPr>
          <w:tcW w:w="1701" w:type="dxa"/>
        </w:tcPr>
        <w:p w14:paraId="4FD87DC8" w14:textId="68AD03A7"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542D1">
            <w:rPr>
              <w:rFonts w:cs="Arial"/>
              <w:b/>
              <w:noProof/>
              <w:szCs w:val="18"/>
            </w:rPr>
            <w:t>Part 6.15A</w:t>
          </w:r>
          <w:r w:rsidRPr="00922BD6">
            <w:rPr>
              <w:rFonts w:cs="Arial"/>
              <w:b/>
              <w:szCs w:val="18"/>
            </w:rPr>
            <w:fldChar w:fldCharType="end"/>
          </w:r>
        </w:p>
      </w:tc>
      <w:tc>
        <w:tcPr>
          <w:tcW w:w="5600" w:type="dxa"/>
        </w:tcPr>
        <w:p w14:paraId="3F5E4995" w14:textId="41D1A9A3"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542D1">
            <w:rPr>
              <w:rFonts w:cs="Arial"/>
              <w:noProof/>
              <w:szCs w:val="18"/>
            </w:rPr>
            <w:t>Proceedings under the Cross-Border Insolvency Act</w:t>
          </w:r>
          <w:r w:rsidRPr="00922BD6">
            <w:rPr>
              <w:rFonts w:cs="Arial"/>
              <w:szCs w:val="18"/>
            </w:rPr>
            <w:fldChar w:fldCharType="end"/>
          </w:r>
        </w:p>
      </w:tc>
    </w:tr>
    <w:tr w:rsidR="004E1D30" w:rsidRPr="00CB3D59" w14:paraId="3BB123C1" w14:textId="77777777" w:rsidTr="00E0480D">
      <w:trPr>
        <w:jc w:val="center"/>
      </w:trPr>
      <w:tc>
        <w:tcPr>
          <w:tcW w:w="1701" w:type="dxa"/>
        </w:tcPr>
        <w:p w14:paraId="0334CA0A" w14:textId="0DABF097"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1542D1">
            <w:rPr>
              <w:rFonts w:cs="Arial"/>
              <w:b/>
              <w:szCs w:val="18"/>
            </w:rPr>
            <w:fldChar w:fldCharType="separate"/>
          </w:r>
          <w:r w:rsidR="001542D1">
            <w:rPr>
              <w:rFonts w:cs="Arial"/>
              <w:b/>
              <w:noProof/>
              <w:szCs w:val="18"/>
            </w:rPr>
            <w:t>Division 6.15A.5</w:t>
          </w:r>
          <w:r w:rsidRPr="00922BD6">
            <w:rPr>
              <w:rFonts w:cs="Arial"/>
              <w:b/>
              <w:szCs w:val="18"/>
            </w:rPr>
            <w:fldChar w:fldCharType="end"/>
          </w:r>
        </w:p>
      </w:tc>
      <w:tc>
        <w:tcPr>
          <w:tcW w:w="5600" w:type="dxa"/>
        </w:tcPr>
        <w:p w14:paraId="1B378334" w14:textId="7276B876"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1542D1">
            <w:rPr>
              <w:rFonts w:cs="Arial"/>
              <w:szCs w:val="18"/>
            </w:rPr>
            <w:fldChar w:fldCharType="separate"/>
          </w:r>
          <w:r w:rsidR="001542D1">
            <w:rPr>
              <w:rFonts w:cs="Arial"/>
              <w:noProof/>
              <w:szCs w:val="18"/>
            </w:rPr>
            <w:t>General</w:t>
          </w:r>
          <w:r w:rsidRPr="00922BD6">
            <w:rPr>
              <w:rFonts w:cs="Arial"/>
              <w:szCs w:val="18"/>
            </w:rPr>
            <w:fldChar w:fldCharType="end"/>
          </w:r>
        </w:p>
      </w:tc>
    </w:tr>
    <w:tr w:rsidR="004E1D30" w:rsidRPr="00CB3D59" w14:paraId="70089CFB" w14:textId="77777777" w:rsidTr="00E0480D">
      <w:trPr>
        <w:cantSplit/>
        <w:jc w:val="center"/>
      </w:trPr>
      <w:tc>
        <w:tcPr>
          <w:tcW w:w="7301" w:type="dxa"/>
          <w:gridSpan w:val="2"/>
          <w:tcBorders>
            <w:bottom w:val="single" w:sz="4" w:space="0" w:color="auto"/>
          </w:tcBorders>
        </w:tcPr>
        <w:p w14:paraId="15B586FF" w14:textId="4DFEA927" w:rsidR="004E1D30" w:rsidRPr="00922BD6" w:rsidRDefault="00E0480D" w:rsidP="00B136BA">
          <w:pPr>
            <w:pStyle w:val="HeaderEven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1542D1">
            <w:rPr>
              <w:rFonts w:cs="Arial"/>
              <w:noProof/>
              <w:szCs w:val="18"/>
            </w:rPr>
            <w:t>15A.15</w:t>
          </w:r>
          <w:r w:rsidR="004E1D30" w:rsidRPr="00922BD6">
            <w:rPr>
              <w:rFonts w:cs="Arial"/>
              <w:szCs w:val="18"/>
            </w:rPr>
            <w:fldChar w:fldCharType="end"/>
          </w:r>
        </w:p>
      </w:tc>
    </w:tr>
  </w:tbl>
  <w:p w14:paraId="157B39CE" w14:textId="77777777" w:rsidR="004E1D30" w:rsidRDefault="004E1D30">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725" w:type="dxa"/>
      <w:jc w:val="center"/>
      <w:tblLayout w:type="fixed"/>
      <w:tblLook w:val="0000" w:firstRow="0" w:lastRow="0" w:firstColumn="0" w:lastColumn="0" w:noHBand="0" w:noVBand="0"/>
    </w:tblPr>
    <w:tblGrid>
      <w:gridCol w:w="6096"/>
      <w:gridCol w:w="1629"/>
    </w:tblGrid>
    <w:tr w:rsidR="004E1D30" w:rsidRPr="00CB3D59" w14:paraId="0AFF60FA" w14:textId="77777777" w:rsidTr="00E0480D">
      <w:trPr>
        <w:jc w:val="center"/>
      </w:trPr>
      <w:tc>
        <w:tcPr>
          <w:tcW w:w="6096" w:type="dxa"/>
        </w:tcPr>
        <w:p w14:paraId="4F791937" w14:textId="4130AB79"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542D1">
            <w:rPr>
              <w:rFonts w:cs="Arial"/>
              <w:noProof/>
              <w:szCs w:val="18"/>
            </w:rPr>
            <w:t>Corporations Rules</w:t>
          </w:r>
          <w:r w:rsidRPr="00922BD6">
            <w:rPr>
              <w:rFonts w:cs="Arial"/>
              <w:szCs w:val="18"/>
            </w:rPr>
            <w:fldChar w:fldCharType="end"/>
          </w:r>
        </w:p>
      </w:tc>
      <w:tc>
        <w:tcPr>
          <w:tcW w:w="1629" w:type="dxa"/>
        </w:tcPr>
        <w:p w14:paraId="73C9423F" w14:textId="43379DDB"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542D1">
            <w:rPr>
              <w:rFonts w:cs="Arial"/>
              <w:b/>
              <w:noProof/>
              <w:szCs w:val="18"/>
            </w:rPr>
            <w:t>Schedule 6</w:t>
          </w:r>
          <w:r w:rsidRPr="00922BD6">
            <w:rPr>
              <w:rFonts w:cs="Arial"/>
              <w:b/>
              <w:szCs w:val="18"/>
            </w:rPr>
            <w:fldChar w:fldCharType="end"/>
          </w:r>
        </w:p>
      </w:tc>
    </w:tr>
    <w:tr w:rsidR="004E1D30" w:rsidRPr="00CB3D59" w14:paraId="338AFFAE" w14:textId="77777777" w:rsidTr="00E0480D">
      <w:trPr>
        <w:jc w:val="center"/>
      </w:trPr>
      <w:tc>
        <w:tcPr>
          <w:tcW w:w="6096" w:type="dxa"/>
        </w:tcPr>
        <w:p w14:paraId="0238147E" w14:textId="3B522E1A"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542D1">
            <w:rPr>
              <w:rFonts w:cs="Arial"/>
              <w:noProof/>
              <w:szCs w:val="18"/>
            </w:rPr>
            <w:t>Proceedings under the Cross-Border Insolvency Act</w:t>
          </w:r>
          <w:r w:rsidRPr="00922BD6">
            <w:rPr>
              <w:rFonts w:cs="Arial"/>
              <w:szCs w:val="18"/>
            </w:rPr>
            <w:fldChar w:fldCharType="end"/>
          </w:r>
        </w:p>
      </w:tc>
      <w:tc>
        <w:tcPr>
          <w:tcW w:w="1629" w:type="dxa"/>
        </w:tcPr>
        <w:p w14:paraId="3C76C5B2" w14:textId="7AA4E9FC"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542D1">
            <w:rPr>
              <w:rFonts w:cs="Arial"/>
              <w:b/>
              <w:noProof/>
              <w:szCs w:val="18"/>
            </w:rPr>
            <w:t>Part 6.15A</w:t>
          </w:r>
          <w:r w:rsidRPr="00922BD6">
            <w:rPr>
              <w:rFonts w:cs="Arial"/>
              <w:b/>
              <w:szCs w:val="18"/>
            </w:rPr>
            <w:fldChar w:fldCharType="end"/>
          </w:r>
        </w:p>
      </w:tc>
    </w:tr>
    <w:tr w:rsidR="004E1D30" w:rsidRPr="00CB3D59" w14:paraId="1339D53A" w14:textId="77777777" w:rsidTr="00E0480D">
      <w:trPr>
        <w:jc w:val="center"/>
      </w:trPr>
      <w:tc>
        <w:tcPr>
          <w:tcW w:w="6096" w:type="dxa"/>
        </w:tcPr>
        <w:p w14:paraId="767F81A9" w14:textId="69489145"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1542D1">
            <w:rPr>
              <w:rFonts w:cs="Arial"/>
              <w:szCs w:val="18"/>
            </w:rPr>
            <w:fldChar w:fldCharType="separate"/>
          </w:r>
          <w:r w:rsidR="001542D1">
            <w:rPr>
              <w:rFonts w:cs="Arial"/>
              <w:noProof/>
              <w:szCs w:val="18"/>
            </w:rPr>
            <w:t>Concurrent proceedings</w:t>
          </w:r>
          <w:r w:rsidRPr="00922BD6">
            <w:rPr>
              <w:rFonts w:cs="Arial"/>
              <w:szCs w:val="18"/>
            </w:rPr>
            <w:fldChar w:fldCharType="end"/>
          </w:r>
        </w:p>
      </w:tc>
      <w:tc>
        <w:tcPr>
          <w:tcW w:w="1629" w:type="dxa"/>
        </w:tcPr>
        <w:p w14:paraId="149E2D3A" w14:textId="51CB278B"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1542D1">
            <w:rPr>
              <w:rFonts w:cs="Arial"/>
              <w:b/>
              <w:szCs w:val="18"/>
            </w:rPr>
            <w:fldChar w:fldCharType="separate"/>
          </w:r>
          <w:r w:rsidR="001542D1">
            <w:rPr>
              <w:rFonts w:cs="Arial"/>
              <w:b/>
              <w:noProof/>
              <w:szCs w:val="18"/>
            </w:rPr>
            <w:t>Division 6.15A.4</w:t>
          </w:r>
          <w:r w:rsidRPr="00922BD6">
            <w:rPr>
              <w:rFonts w:cs="Arial"/>
              <w:b/>
              <w:szCs w:val="18"/>
            </w:rPr>
            <w:fldChar w:fldCharType="end"/>
          </w:r>
        </w:p>
      </w:tc>
    </w:tr>
    <w:tr w:rsidR="004E1D30" w:rsidRPr="00CB3D59" w14:paraId="5579713F" w14:textId="77777777" w:rsidTr="00E0480D">
      <w:trPr>
        <w:cantSplit/>
        <w:jc w:val="center"/>
      </w:trPr>
      <w:tc>
        <w:tcPr>
          <w:tcW w:w="7725" w:type="dxa"/>
          <w:gridSpan w:val="2"/>
          <w:tcBorders>
            <w:bottom w:val="single" w:sz="4" w:space="0" w:color="auto"/>
          </w:tcBorders>
        </w:tcPr>
        <w:p w14:paraId="2CB5CCAA" w14:textId="469885D5" w:rsidR="004E1D30" w:rsidRPr="00922BD6" w:rsidRDefault="00E0480D" w:rsidP="00B136BA">
          <w:pPr>
            <w:pStyle w:val="HeaderOdd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1542D1">
            <w:rPr>
              <w:rFonts w:cs="Arial"/>
              <w:noProof/>
              <w:szCs w:val="18"/>
            </w:rPr>
            <w:t>15A.13</w:t>
          </w:r>
          <w:r w:rsidR="004E1D30" w:rsidRPr="00922BD6">
            <w:rPr>
              <w:rFonts w:cs="Arial"/>
              <w:szCs w:val="18"/>
            </w:rPr>
            <w:fldChar w:fldCharType="end"/>
          </w:r>
        </w:p>
      </w:tc>
    </w:tr>
  </w:tbl>
  <w:p w14:paraId="2EFA4F69" w14:textId="77777777" w:rsidR="004E1D30" w:rsidRDefault="004E1D30">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1D30" w:rsidRPr="00CB3D59" w14:paraId="4927658B" w14:textId="77777777">
      <w:trPr>
        <w:jc w:val="center"/>
      </w:trPr>
      <w:tc>
        <w:tcPr>
          <w:tcW w:w="1560" w:type="dxa"/>
        </w:tcPr>
        <w:p w14:paraId="6AD1755F" w14:textId="1C8DDA1A"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0574C">
            <w:rPr>
              <w:rFonts w:cs="Arial"/>
              <w:b/>
              <w:noProof/>
              <w:szCs w:val="18"/>
            </w:rPr>
            <w:t>Schedule 6</w:t>
          </w:r>
          <w:r w:rsidRPr="00F02A14">
            <w:rPr>
              <w:rFonts w:cs="Arial"/>
              <w:b/>
              <w:szCs w:val="18"/>
            </w:rPr>
            <w:fldChar w:fldCharType="end"/>
          </w:r>
        </w:p>
      </w:tc>
      <w:tc>
        <w:tcPr>
          <w:tcW w:w="5741" w:type="dxa"/>
        </w:tcPr>
        <w:p w14:paraId="0090AC1C" w14:textId="34EB10F2"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0574C">
            <w:rPr>
              <w:rFonts w:cs="Arial"/>
              <w:noProof/>
              <w:szCs w:val="18"/>
            </w:rPr>
            <w:t>Corporations Rules</w:t>
          </w:r>
          <w:r w:rsidRPr="00F02A14">
            <w:rPr>
              <w:rFonts w:cs="Arial"/>
              <w:szCs w:val="18"/>
            </w:rPr>
            <w:fldChar w:fldCharType="end"/>
          </w:r>
        </w:p>
      </w:tc>
    </w:tr>
    <w:tr w:rsidR="004E1D30" w:rsidRPr="00CB3D59" w14:paraId="7945EA99" w14:textId="77777777">
      <w:trPr>
        <w:jc w:val="center"/>
      </w:trPr>
      <w:tc>
        <w:tcPr>
          <w:tcW w:w="1560" w:type="dxa"/>
        </w:tcPr>
        <w:p w14:paraId="076F6842" w14:textId="4DD4351A"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0574C">
            <w:rPr>
              <w:rFonts w:cs="Arial"/>
              <w:b/>
              <w:noProof/>
              <w:szCs w:val="18"/>
            </w:rPr>
            <w:t>Part 6.15A</w:t>
          </w:r>
          <w:r w:rsidRPr="00F02A14">
            <w:rPr>
              <w:rFonts w:cs="Arial"/>
              <w:b/>
              <w:szCs w:val="18"/>
            </w:rPr>
            <w:fldChar w:fldCharType="end"/>
          </w:r>
        </w:p>
      </w:tc>
      <w:tc>
        <w:tcPr>
          <w:tcW w:w="5741" w:type="dxa"/>
        </w:tcPr>
        <w:p w14:paraId="57FF53FD" w14:textId="41ACBB01"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0574C">
            <w:rPr>
              <w:rFonts w:cs="Arial"/>
              <w:noProof/>
              <w:szCs w:val="18"/>
            </w:rPr>
            <w:t>Proceedings under the Cross-Border Insolvency Act</w:t>
          </w:r>
          <w:r w:rsidRPr="00F02A14">
            <w:rPr>
              <w:rFonts w:cs="Arial"/>
              <w:szCs w:val="18"/>
            </w:rPr>
            <w:fldChar w:fldCharType="end"/>
          </w:r>
        </w:p>
      </w:tc>
    </w:tr>
    <w:tr w:rsidR="004E1D30" w:rsidRPr="00CB3D59" w14:paraId="34BCC9D8" w14:textId="77777777">
      <w:trPr>
        <w:jc w:val="center"/>
      </w:trPr>
      <w:tc>
        <w:tcPr>
          <w:tcW w:w="7296" w:type="dxa"/>
          <w:gridSpan w:val="2"/>
          <w:tcBorders>
            <w:bottom w:val="single" w:sz="4" w:space="0" w:color="auto"/>
          </w:tcBorders>
        </w:tcPr>
        <w:p w14:paraId="0A45D9AF" w14:textId="77777777" w:rsidR="004E1D30" w:rsidRPr="00783A18" w:rsidRDefault="004E1D30" w:rsidP="00783A18">
          <w:pPr>
            <w:pStyle w:val="HeaderEven6"/>
            <w:spacing w:before="0" w:after="0"/>
            <w:rPr>
              <w:rFonts w:ascii="Times New Roman" w:hAnsi="Times New Roman"/>
              <w:sz w:val="24"/>
              <w:szCs w:val="24"/>
            </w:rPr>
          </w:pPr>
        </w:p>
      </w:tc>
    </w:tr>
  </w:tbl>
  <w:p w14:paraId="499830F2" w14:textId="77777777" w:rsidR="004E1D30" w:rsidRDefault="004E1D30">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1D30" w:rsidRPr="00CB3D59" w14:paraId="69FE554F" w14:textId="77777777">
      <w:trPr>
        <w:jc w:val="center"/>
      </w:trPr>
      <w:tc>
        <w:tcPr>
          <w:tcW w:w="5741" w:type="dxa"/>
        </w:tcPr>
        <w:p w14:paraId="392EC2F1" w14:textId="0BFEB04B"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2D1">
            <w:rPr>
              <w:rFonts w:cs="Arial"/>
              <w:noProof/>
              <w:szCs w:val="18"/>
            </w:rPr>
            <w:t>Corporations Rules</w:t>
          </w:r>
          <w:r w:rsidRPr="00F02A14">
            <w:rPr>
              <w:rFonts w:cs="Arial"/>
              <w:szCs w:val="18"/>
            </w:rPr>
            <w:fldChar w:fldCharType="end"/>
          </w:r>
        </w:p>
      </w:tc>
      <w:tc>
        <w:tcPr>
          <w:tcW w:w="1560" w:type="dxa"/>
        </w:tcPr>
        <w:p w14:paraId="51F974B0" w14:textId="4365CAC0"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2D1">
            <w:rPr>
              <w:rFonts w:cs="Arial"/>
              <w:b/>
              <w:noProof/>
              <w:szCs w:val="18"/>
            </w:rPr>
            <w:t>Schedule 6</w:t>
          </w:r>
          <w:r w:rsidRPr="00F02A14">
            <w:rPr>
              <w:rFonts w:cs="Arial"/>
              <w:b/>
              <w:szCs w:val="18"/>
            </w:rPr>
            <w:fldChar w:fldCharType="end"/>
          </w:r>
        </w:p>
      </w:tc>
    </w:tr>
    <w:tr w:rsidR="004E1D30" w:rsidRPr="00CB3D59" w14:paraId="4BBE2193" w14:textId="77777777">
      <w:trPr>
        <w:jc w:val="center"/>
      </w:trPr>
      <w:tc>
        <w:tcPr>
          <w:tcW w:w="5741" w:type="dxa"/>
        </w:tcPr>
        <w:p w14:paraId="5D1B9B94" w14:textId="6D3A776A"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72C5B7B" w14:textId="71511F2E"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542D1">
            <w:rPr>
              <w:rFonts w:cs="Arial"/>
              <w:b/>
              <w:noProof/>
              <w:szCs w:val="18"/>
            </w:rPr>
            <w:t>Part 6.16</w:t>
          </w:r>
          <w:r w:rsidRPr="00F02A14">
            <w:rPr>
              <w:rFonts w:cs="Arial"/>
              <w:b/>
              <w:szCs w:val="18"/>
            </w:rPr>
            <w:fldChar w:fldCharType="end"/>
          </w:r>
        </w:p>
      </w:tc>
    </w:tr>
    <w:tr w:rsidR="004E1D30" w:rsidRPr="00CB3D59" w14:paraId="19D561CF" w14:textId="77777777">
      <w:trPr>
        <w:jc w:val="center"/>
      </w:trPr>
      <w:tc>
        <w:tcPr>
          <w:tcW w:w="7296" w:type="dxa"/>
          <w:gridSpan w:val="2"/>
          <w:tcBorders>
            <w:bottom w:val="single" w:sz="4" w:space="0" w:color="auto"/>
          </w:tcBorders>
        </w:tcPr>
        <w:p w14:paraId="581ADE77" w14:textId="77777777" w:rsidR="004E1D30" w:rsidRPr="00783A18" w:rsidRDefault="004E1D30" w:rsidP="00783A18">
          <w:pPr>
            <w:pStyle w:val="HeaderOdd6"/>
            <w:spacing w:before="0" w:after="0"/>
            <w:jc w:val="left"/>
            <w:rPr>
              <w:rFonts w:ascii="Times New Roman" w:hAnsi="Times New Roman"/>
              <w:sz w:val="24"/>
              <w:szCs w:val="24"/>
            </w:rPr>
          </w:pPr>
        </w:p>
      </w:tc>
    </w:tr>
  </w:tbl>
  <w:p w14:paraId="2A160F3A" w14:textId="77777777" w:rsidR="004E1D30" w:rsidRDefault="004E1D30">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45E18" w14:paraId="3A094834" w14:textId="77777777">
      <w:trPr>
        <w:jc w:val="center"/>
      </w:trPr>
      <w:tc>
        <w:tcPr>
          <w:tcW w:w="1340" w:type="dxa"/>
        </w:tcPr>
        <w:p w14:paraId="52DEA230" w14:textId="77777777" w:rsidR="00745E18" w:rsidRDefault="00745E18">
          <w:pPr>
            <w:pStyle w:val="HeaderEven"/>
          </w:pPr>
        </w:p>
      </w:tc>
      <w:tc>
        <w:tcPr>
          <w:tcW w:w="6583" w:type="dxa"/>
        </w:tcPr>
        <w:p w14:paraId="4200F6CF" w14:textId="77777777" w:rsidR="00745E18" w:rsidRDefault="00745E18">
          <w:pPr>
            <w:pStyle w:val="HeaderEven"/>
          </w:pPr>
        </w:p>
      </w:tc>
    </w:tr>
    <w:tr w:rsidR="00745E18" w14:paraId="24977D70" w14:textId="77777777">
      <w:trPr>
        <w:jc w:val="center"/>
      </w:trPr>
      <w:tc>
        <w:tcPr>
          <w:tcW w:w="7923" w:type="dxa"/>
          <w:gridSpan w:val="2"/>
          <w:tcBorders>
            <w:bottom w:val="single" w:sz="4" w:space="0" w:color="auto"/>
          </w:tcBorders>
        </w:tcPr>
        <w:p w14:paraId="1123C70A" w14:textId="77777777" w:rsidR="00745E18" w:rsidRDefault="00745E18">
          <w:pPr>
            <w:pStyle w:val="HeaderEven6"/>
          </w:pPr>
          <w:r>
            <w:t>Dictionary</w:t>
          </w:r>
        </w:p>
      </w:tc>
    </w:tr>
  </w:tbl>
  <w:p w14:paraId="62B3EB01" w14:textId="77777777" w:rsidR="00745E18" w:rsidRDefault="00745E18">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45E18" w14:paraId="45A7EAC5" w14:textId="77777777">
      <w:trPr>
        <w:jc w:val="center"/>
      </w:trPr>
      <w:tc>
        <w:tcPr>
          <w:tcW w:w="6583" w:type="dxa"/>
        </w:tcPr>
        <w:p w14:paraId="0B0DC053" w14:textId="77777777" w:rsidR="00745E18" w:rsidRDefault="00745E18">
          <w:pPr>
            <w:pStyle w:val="HeaderOdd"/>
          </w:pPr>
        </w:p>
      </w:tc>
      <w:tc>
        <w:tcPr>
          <w:tcW w:w="1340" w:type="dxa"/>
        </w:tcPr>
        <w:p w14:paraId="2997F53D" w14:textId="77777777" w:rsidR="00745E18" w:rsidRDefault="00745E18">
          <w:pPr>
            <w:pStyle w:val="HeaderOdd"/>
          </w:pPr>
        </w:p>
      </w:tc>
    </w:tr>
    <w:tr w:rsidR="00745E18" w14:paraId="00BB1566" w14:textId="77777777">
      <w:trPr>
        <w:jc w:val="center"/>
      </w:trPr>
      <w:tc>
        <w:tcPr>
          <w:tcW w:w="7923" w:type="dxa"/>
          <w:gridSpan w:val="2"/>
          <w:tcBorders>
            <w:bottom w:val="single" w:sz="4" w:space="0" w:color="auto"/>
          </w:tcBorders>
        </w:tcPr>
        <w:p w14:paraId="55E65797" w14:textId="77777777" w:rsidR="00745E18" w:rsidRDefault="00745E18">
          <w:pPr>
            <w:pStyle w:val="HeaderOdd6"/>
          </w:pPr>
          <w:r>
            <w:t>Dictionary</w:t>
          </w:r>
        </w:p>
      </w:tc>
    </w:tr>
  </w:tbl>
  <w:p w14:paraId="24309FDB" w14:textId="77777777" w:rsidR="00745E18" w:rsidRDefault="00745E18">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17B0" w14:paraId="3E87A148" w14:textId="77777777">
      <w:trPr>
        <w:jc w:val="center"/>
      </w:trPr>
      <w:tc>
        <w:tcPr>
          <w:tcW w:w="1234" w:type="dxa"/>
          <w:gridSpan w:val="2"/>
        </w:tcPr>
        <w:p w14:paraId="6620C7CA" w14:textId="77777777" w:rsidR="00CA17B0" w:rsidRDefault="00CA17B0">
          <w:pPr>
            <w:pStyle w:val="HeaderEven"/>
            <w:rPr>
              <w:b/>
            </w:rPr>
          </w:pPr>
          <w:r>
            <w:rPr>
              <w:b/>
            </w:rPr>
            <w:t>Endnotes</w:t>
          </w:r>
        </w:p>
      </w:tc>
      <w:tc>
        <w:tcPr>
          <w:tcW w:w="6062" w:type="dxa"/>
        </w:tcPr>
        <w:p w14:paraId="129D7B15" w14:textId="77777777" w:rsidR="00CA17B0" w:rsidRDefault="00CA17B0">
          <w:pPr>
            <w:pStyle w:val="HeaderEven"/>
          </w:pPr>
        </w:p>
      </w:tc>
    </w:tr>
    <w:tr w:rsidR="00CA17B0" w14:paraId="4D4A5456" w14:textId="77777777">
      <w:trPr>
        <w:cantSplit/>
        <w:jc w:val="center"/>
      </w:trPr>
      <w:tc>
        <w:tcPr>
          <w:tcW w:w="7296" w:type="dxa"/>
          <w:gridSpan w:val="3"/>
        </w:tcPr>
        <w:p w14:paraId="74431A06" w14:textId="77777777" w:rsidR="00CA17B0" w:rsidRDefault="00CA17B0">
          <w:pPr>
            <w:pStyle w:val="HeaderEven"/>
          </w:pPr>
        </w:p>
      </w:tc>
    </w:tr>
    <w:tr w:rsidR="00CA17B0" w14:paraId="1AA10475" w14:textId="77777777">
      <w:trPr>
        <w:cantSplit/>
        <w:jc w:val="center"/>
      </w:trPr>
      <w:tc>
        <w:tcPr>
          <w:tcW w:w="700" w:type="dxa"/>
          <w:tcBorders>
            <w:bottom w:val="single" w:sz="4" w:space="0" w:color="auto"/>
          </w:tcBorders>
        </w:tcPr>
        <w:p w14:paraId="37924055" w14:textId="0EB06097" w:rsidR="00CA17B0" w:rsidRDefault="00CA17B0">
          <w:pPr>
            <w:pStyle w:val="HeaderEven6"/>
          </w:pPr>
          <w:r>
            <w:rPr>
              <w:noProof/>
            </w:rPr>
            <w:fldChar w:fldCharType="begin"/>
          </w:r>
          <w:r>
            <w:rPr>
              <w:noProof/>
            </w:rPr>
            <w:instrText xml:space="preserve"> STYLEREF charTableNo \*charformat </w:instrText>
          </w:r>
          <w:r>
            <w:rPr>
              <w:noProof/>
            </w:rPr>
            <w:fldChar w:fldCharType="separate"/>
          </w:r>
          <w:r w:rsidR="001542D1">
            <w:rPr>
              <w:noProof/>
            </w:rPr>
            <w:t>5</w:t>
          </w:r>
          <w:r>
            <w:rPr>
              <w:noProof/>
            </w:rPr>
            <w:fldChar w:fldCharType="end"/>
          </w:r>
        </w:p>
      </w:tc>
      <w:tc>
        <w:tcPr>
          <w:tcW w:w="6600" w:type="dxa"/>
          <w:gridSpan w:val="2"/>
          <w:tcBorders>
            <w:bottom w:val="single" w:sz="4" w:space="0" w:color="auto"/>
          </w:tcBorders>
        </w:tcPr>
        <w:p w14:paraId="00BAD599" w14:textId="13D0FD6B" w:rsidR="00CA17B0" w:rsidRDefault="00CA17B0">
          <w:pPr>
            <w:pStyle w:val="HeaderEven6"/>
          </w:pPr>
          <w:r>
            <w:rPr>
              <w:noProof/>
            </w:rPr>
            <w:fldChar w:fldCharType="begin"/>
          </w:r>
          <w:r>
            <w:rPr>
              <w:noProof/>
            </w:rPr>
            <w:instrText xml:space="preserve"> STYLEREF charTableText \*charformat </w:instrText>
          </w:r>
          <w:r>
            <w:rPr>
              <w:noProof/>
            </w:rPr>
            <w:fldChar w:fldCharType="separate"/>
          </w:r>
          <w:r w:rsidR="001542D1">
            <w:rPr>
              <w:noProof/>
            </w:rPr>
            <w:t>Earlier republications</w:t>
          </w:r>
          <w:r>
            <w:rPr>
              <w:noProof/>
            </w:rPr>
            <w:fldChar w:fldCharType="end"/>
          </w:r>
        </w:p>
      </w:tc>
    </w:tr>
  </w:tbl>
  <w:p w14:paraId="2E34C6FC" w14:textId="77777777" w:rsidR="00CA17B0" w:rsidRDefault="00CA17B0">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17B0" w14:paraId="3E28E516" w14:textId="77777777">
      <w:trPr>
        <w:jc w:val="center"/>
      </w:trPr>
      <w:tc>
        <w:tcPr>
          <w:tcW w:w="5741" w:type="dxa"/>
        </w:tcPr>
        <w:p w14:paraId="768E4087" w14:textId="77777777" w:rsidR="00CA17B0" w:rsidRDefault="00CA17B0">
          <w:pPr>
            <w:pStyle w:val="HeaderEven"/>
            <w:jc w:val="right"/>
          </w:pPr>
        </w:p>
      </w:tc>
      <w:tc>
        <w:tcPr>
          <w:tcW w:w="1560" w:type="dxa"/>
          <w:gridSpan w:val="2"/>
        </w:tcPr>
        <w:p w14:paraId="4A4E6FEE" w14:textId="77777777" w:rsidR="00CA17B0" w:rsidRDefault="00CA17B0">
          <w:pPr>
            <w:pStyle w:val="HeaderEven"/>
            <w:jc w:val="right"/>
            <w:rPr>
              <w:b/>
            </w:rPr>
          </w:pPr>
          <w:r>
            <w:rPr>
              <w:b/>
            </w:rPr>
            <w:t>Endnotes</w:t>
          </w:r>
        </w:p>
      </w:tc>
    </w:tr>
    <w:tr w:rsidR="00CA17B0" w14:paraId="30E88D37" w14:textId="77777777">
      <w:trPr>
        <w:jc w:val="center"/>
      </w:trPr>
      <w:tc>
        <w:tcPr>
          <w:tcW w:w="7301" w:type="dxa"/>
          <w:gridSpan w:val="3"/>
        </w:tcPr>
        <w:p w14:paraId="41E95ED9" w14:textId="77777777" w:rsidR="00CA17B0" w:rsidRDefault="00CA17B0">
          <w:pPr>
            <w:pStyle w:val="HeaderEven"/>
            <w:jc w:val="right"/>
            <w:rPr>
              <w:b/>
            </w:rPr>
          </w:pPr>
        </w:p>
      </w:tc>
    </w:tr>
    <w:tr w:rsidR="00CA17B0" w14:paraId="541DEA13" w14:textId="77777777">
      <w:trPr>
        <w:jc w:val="center"/>
      </w:trPr>
      <w:tc>
        <w:tcPr>
          <w:tcW w:w="6600" w:type="dxa"/>
          <w:gridSpan w:val="2"/>
          <w:tcBorders>
            <w:bottom w:val="single" w:sz="4" w:space="0" w:color="auto"/>
          </w:tcBorders>
        </w:tcPr>
        <w:p w14:paraId="647E3D69" w14:textId="0F23F5D7" w:rsidR="00CA17B0" w:rsidRDefault="00CA17B0">
          <w:pPr>
            <w:pStyle w:val="HeaderOdd6"/>
          </w:pPr>
          <w:r>
            <w:rPr>
              <w:noProof/>
            </w:rPr>
            <w:fldChar w:fldCharType="begin"/>
          </w:r>
          <w:r>
            <w:rPr>
              <w:noProof/>
            </w:rPr>
            <w:instrText xml:space="preserve"> STYLEREF charTableText \*charformat </w:instrText>
          </w:r>
          <w:r>
            <w:rPr>
              <w:noProof/>
            </w:rPr>
            <w:fldChar w:fldCharType="separate"/>
          </w:r>
          <w:r w:rsidR="001542D1">
            <w:rPr>
              <w:noProof/>
            </w:rPr>
            <w:t>Earlier republications</w:t>
          </w:r>
          <w:r>
            <w:rPr>
              <w:noProof/>
            </w:rPr>
            <w:fldChar w:fldCharType="end"/>
          </w:r>
        </w:p>
      </w:tc>
      <w:tc>
        <w:tcPr>
          <w:tcW w:w="700" w:type="dxa"/>
          <w:tcBorders>
            <w:bottom w:val="single" w:sz="4" w:space="0" w:color="auto"/>
          </w:tcBorders>
        </w:tcPr>
        <w:p w14:paraId="5A06DB74" w14:textId="6230423E" w:rsidR="00CA17B0" w:rsidRDefault="00CA17B0">
          <w:pPr>
            <w:pStyle w:val="HeaderOdd6"/>
          </w:pPr>
          <w:r>
            <w:rPr>
              <w:noProof/>
            </w:rPr>
            <w:fldChar w:fldCharType="begin"/>
          </w:r>
          <w:r>
            <w:rPr>
              <w:noProof/>
            </w:rPr>
            <w:instrText xml:space="preserve"> STYLEREF charTableNo \*charformat </w:instrText>
          </w:r>
          <w:r>
            <w:rPr>
              <w:noProof/>
            </w:rPr>
            <w:fldChar w:fldCharType="separate"/>
          </w:r>
          <w:r w:rsidR="001542D1">
            <w:rPr>
              <w:noProof/>
            </w:rPr>
            <w:t>5</w:t>
          </w:r>
          <w:r>
            <w:rPr>
              <w:noProof/>
            </w:rPr>
            <w:fldChar w:fldCharType="end"/>
          </w:r>
        </w:p>
      </w:tc>
    </w:tr>
  </w:tbl>
  <w:p w14:paraId="1AA9BB30" w14:textId="77777777" w:rsidR="00CA17B0" w:rsidRDefault="00CA17B0">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FB8F" w14:textId="77777777" w:rsidR="006145DB" w:rsidRDefault="006145DB">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FDA27" w14:textId="77777777" w:rsidR="006145DB" w:rsidRDefault="006145DB">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F995A" w14:textId="77777777" w:rsidR="006145DB" w:rsidRDefault="006145DB">
    <w:pPr>
      <w:pStyle w:val="Header"/>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145DB" w14:paraId="232C7959" w14:textId="77777777">
      <w:tc>
        <w:tcPr>
          <w:tcW w:w="900" w:type="pct"/>
        </w:tcPr>
        <w:p w14:paraId="58675456" w14:textId="77777777" w:rsidR="006145DB" w:rsidRDefault="006145DB">
          <w:pPr>
            <w:pStyle w:val="HeaderEven"/>
          </w:pPr>
        </w:p>
      </w:tc>
      <w:tc>
        <w:tcPr>
          <w:tcW w:w="4100" w:type="pct"/>
        </w:tcPr>
        <w:p w14:paraId="0F1B3E2A" w14:textId="77777777" w:rsidR="006145DB" w:rsidRDefault="006145DB">
          <w:pPr>
            <w:pStyle w:val="HeaderEven"/>
          </w:pPr>
        </w:p>
      </w:tc>
    </w:tr>
    <w:tr w:rsidR="006145DB" w14:paraId="0C3CB11B" w14:textId="77777777">
      <w:tc>
        <w:tcPr>
          <w:tcW w:w="4100" w:type="pct"/>
          <w:gridSpan w:val="2"/>
          <w:tcBorders>
            <w:bottom w:val="single" w:sz="4" w:space="0" w:color="auto"/>
          </w:tcBorders>
        </w:tcPr>
        <w:p w14:paraId="7C38059F" w14:textId="2D3C19F4" w:rsidR="006145DB" w:rsidRDefault="006145DB">
          <w:pPr>
            <w:pStyle w:val="HeaderEven6"/>
          </w:pPr>
          <w:r>
            <w:fldChar w:fldCharType="begin"/>
          </w:r>
          <w:r>
            <w:instrText xml:space="preserve"> STYLEREF charContents \* MERGEFORMAT </w:instrText>
          </w:r>
          <w:r>
            <w:fldChar w:fldCharType="end"/>
          </w:r>
        </w:p>
      </w:tc>
    </w:tr>
  </w:tbl>
  <w:p w14:paraId="0F631488" w14:textId="577F90E1" w:rsidR="006145DB" w:rsidRDefault="006145DB">
    <w:pPr>
      <w:pStyle w:val="N-9pt"/>
    </w:pPr>
    <w:r>
      <w:tab/>
    </w:r>
    <w:r>
      <w:fldChar w:fldCharType="begin"/>
    </w:r>
    <w:r>
      <w:instrText xml:space="preserve"> STYLEREF charPage \* MERGEFORMAT </w:instrText>
    </w:r>
    <w:r>
      <w:fldChar w:fldCharType="end"/>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145DB" w14:paraId="68DF3FE2" w14:textId="77777777">
      <w:tc>
        <w:tcPr>
          <w:tcW w:w="4100" w:type="pct"/>
        </w:tcPr>
        <w:p w14:paraId="0463972B" w14:textId="77777777" w:rsidR="006145DB" w:rsidRDefault="006145DB">
          <w:pPr>
            <w:pStyle w:val="HeaderOdd"/>
          </w:pPr>
        </w:p>
      </w:tc>
      <w:tc>
        <w:tcPr>
          <w:tcW w:w="900" w:type="pct"/>
        </w:tcPr>
        <w:p w14:paraId="7BAAF754" w14:textId="77777777" w:rsidR="006145DB" w:rsidRDefault="006145DB">
          <w:pPr>
            <w:pStyle w:val="HeaderOdd"/>
          </w:pPr>
        </w:p>
      </w:tc>
    </w:tr>
    <w:tr w:rsidR="006145DB" w14:paraId="1754FC3D" w14:textId="77777777">
      <w:tc>
        <w:tcPr>
          <w:tcW w:w="900" w:type="pct"/>
          <w:gridSpan w:val="2"/>
          <w:tcBorders>
            <w:bottom w:val="single" w:sz="4" w:space="0" w:color="auto"/>
          </w:tcBorders>
        </w:tcPr>
        <w:p w14:paraId="57A2B05E" w14:textId="2A9BE376" w:rsidR="006145DB" w:rsidRDefault="006145DB">
          <w:pPr>
            <w:pStyle w:val="HeaderOdd6"/>
          </w:pPr>
          <w:r>
            <w:fldChar w:fldCharType="begin"/>
          </w:r>
          <w:r>
            <w:instrText xml:space="preserve"> STYLEREF charContents \* MERGEFORMAT </w:instrText>
          </w:r>
          <w:r>
            <w:fldChar w:fldCharType="end"/>
          </w:r>
        </w:p>
      </w:tc>
    </w:tr>
  </w:tbl>
  <w:p w14:paraId="325D6DD4" w14:textId="616C4277" w:rsidR="006145DB" w:rsidRDefault="006145D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16cid:durableId="877547135">
    <w:abstractNumId w:val="12"/>
  </w:num>
  <w:num w:numId="2" w16cid:durableId="1739740687">
    <w:abstractNumId w:val="12"/>
  </w:num>
  <w:num w:numId="3" w16cid:durableId="439642725">
    <w:abstractNumId w:val="12"/>
  </w:num>
  <w:num w:numId="4" w16cid:durableId="2068648709">
    <w:abstractNumId w:val="12"/>
  </w:num>
  <w:num w:numId="5" w16cid:durableId="1426731661">
    <w:abstractNumId w:val="19"/>
  </w:num>
  <w:num w:numId="6" w16cid:durableId="1578855524">
    <w:abstractNumId w:val="22"/>
  </w:num>
  <w:num w:numId="7" w16cid:durableId="1932426321">
    <w:abstractNumId w:val="29"/>
  </w:num>
  <w:num w:numId="8" w16cid:durableId="2039818623">
    <w:abstractNumId w:val="22"/>
  </w:num>
  <w:num w:numId="9" w16cid:durableId="2070110281">
    <w:abstractNumId w:val="29"/>
  </w:num>
  <w:num w:numId="10" w16cid:durableId="37752232">
    <w:abstractNumId w:val="9"/>
  </w:num>
  <w:num w:numId="11" w16cid:durableId="1404794231">
    <w:abstractNumId w:val="7"/>
  </w:num>
  <w:num w:numId="12" w16cid:durableId="1081024307">
    <w:abstractNumId w:val="6"/>
  </w:num>
  <w:num w:numId="13" w16cid:durableId="638458232">
    <w:abstractNumId w:val="5"/>
  </w:num>
  <w:num w:numId="14" w16cid:durableId="922296319">
    <w:abstractNumId w:val="4"/>
  </w:num>
  <w:num w:numId="15" w16cid:durableId="2143694742">
    <w:abstractNumId w:val="8"/>
  </w:num>
  <w:num w:numId="16" w16cid:durableId="1733504971">
    <w:abstractNumId w:val="3"/>
  </w:num>
  <w:num w:numId="17" w16cid:durableId="710109339">
    <w:abstractNumId w:val="2"/>
  </w:num>
  <w:num w:numId="18" w16cid:durableId="2110352199">
    <w:abstractNumId w:val="1"/>
  </w:num>
  <w:num w:numId="19" w16cid:durableId="693919307">
    <w:abstractNumId w:val="0"/>
  </w:num>
  <w:num w:numId="20" w16cid:durableId="1257134819">
    <w:abstractNumId w:val="25"/>
  </w:num>
  <w:num w:numId="21" w16cid:durableId="1695378042">
    <w:abstractNumId w:val="19"/>
  </w:num>
  <w:num w:numId="22" w16cid:durableId="1683582472">
    <w:abstractNumId w:val="22"/>
  </w:num>
  <w:num w:numId="23" w16cid:durableId="850293183">
    <w:abstractNumId w:val="29"/>
  </w:num>
  <w:num w:numId="24" w16cid:durableId="1518349177">
    <w:abstractNumId w:val="19"/>
  </w:num>
  <w:num w:numId="25" w16cid:durableId="426386382">
    <w:abstractNumId w:val="22"/>
  </w:num>
  <w:num w:numId="26" w16cid:durableId="859322733">
    <w:abstractNumId w:val="29"/>
  </w:num>
  <w:num w:numId="27" w16cid:durableId="219874770">
    <w:abstractNumId w:val="25"/>
  </w:num>
  <w:num w:numId="28" w16cid:durableId="827748492">
    <w:abstractNumId w:val="17"/>
  </w:num>
  <w:num w:numId="29" w16cid:durableId="1271158253">
    <w:abstractNumId w:val="18"/>
  </w:num>
  <w:num w:numId="30" w16cid:durableId="1714186664">
    <w:abstractNumId w:val="24"/>
  </w:num>
  <w:num w:numId="31" w16cid:durableId="555236464">
    <w:abstractNumId w:val="10"/>
  </w:num>
  <w:num w:numId="32" w16cid:durableId="1995837883">
    <w:abstractNumId w:val="26"/>
  </w:num>
  <w:num w:numId="33" w16cid:durableId="253519989">
    <w:abstractNumId w:val="16"/>
  </w:num>
  <w:num w:numId="34" w16cid:durableId="978536843">
    <w:abstractNumId w:val="11"/>
  </w:num>
  <w:num w:numId="35" w16cid:durableId="201751929">
    <w:abstractNumId w:val="23"/>
  </w:num>
  <w:num w:numId="36" w16cid:durableId="224609560">
    <w:abstractNumId w:val="15"/>
  </w:num>
  <w:num w:numId="37" w16cid:durableId="122578497">
    <w:abstractNumId w:val="27"/>
  </w:num>
  <w:num w:numId="38" w16cid:durableId="1309898831">
    <w:abstractNumId w:val="14"/>
  </w:num>
  <w:num w:numId="39" w16cid:durableId="1338849976">
    <w:abstractNumId w:val="20"/>
  </w:num>
  <w:num w:numId="40" w16cid:durableId="322666139">
    <w:abstractNumId w:val="21"/>
  </w:num>
  <w:num w:numId="41" w16cid:durableId="1095129962">
    <w:abstractNumId w:val="13"/>
  </w:num>
  <w:num w:numId="42" w16cid:durableId="6463230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15167266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90919556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337997553">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1CA7"/>
    <w:rsid w:val="000021F1"/>
    <w:rsid w:val="0000223B"/>
    <w:rsid w:val="00002551"/>
    <w:rsid w:val="00003FE9"/>
    <w:rsid w:val="00004B9B"/>
    <w:rsid w:val="000056BA"/>
    <w:rsid w:val="00006002"/>
    <w:rsid w:val="0000605A"/>
    <w:rsid w:val="000076F0"/>
    <w:rsid w:val="00007A5D"/>
    <w:rsid w:val="00007ADE"/>
    <w:rsid w:val="0001301D"/>
    <w:rsid w:val="00013117"/>
    <w:rsid w:val="000148A4"/>
    <w:rsid w:val="00015E9C"/>
    <w:rsid w:val="000167DA"/>
    <w:rsid w:val="0001712F"/>
    <w:rsid w:val="000172BF"/>
    <w:rsid w:val="000205F2"/>
    <w:rsid w:val="00020A3E"/>
    <w:rsid w:val="00020EE5"/>
    <w:rsid w:val="00022591"/>
    <w:rsid w:val="0002269F"/>
    <w:rsid w:val="00022AEA"/>
    <w:rsid w:val="0002398A"/>
    <w:rsid w:val="00023F05"/>
    <w:rsid w:val="000259E5"/>
    <w:rsid w:val="000273B7"/>
    <w:rsid w:val="000318DD"/>
    <w:rsid w:val="00031A61"/>
    <w:rsid w:val="00032783"/>
    <w:rsid w:val="00033B22"/>
    <w:rsid w:val="000349C5"/>
    <w:rsid w:val="000365F3"/>
    <w:rsid w:val="00036EE1"/>
    <w:rsid w:val="0003771E"/>
    <w:rsid w:val="000377F0"/>
    <w:rsid w:val="00040F03"/>
    <w:rsid w:val="00042819"/>
    <w:rsid w:val="0004289A"/>
    <w:rsid w:val="00042A48"/>
    <w:rsid w:val="00044D83"/>
    <w:rsid w:val="0004686D"/>
    <w:rsid w:val="00050A2C"/>
    <w:rsid w:val="00050DA6"/>
    <w:rsid w:val="00051161"/>
    <w:rsid w:val="00052341"/>
    <w:rsid w:val="00052E9E"/>
    <w:rsid w:val="00053059"/>
    <w:rsid w:val="00053147"/>
    <w:rsid w:val="00054CAA"/>
    <w:rsid w:val="00055120"/>
    <w:rsid w:val="00056392"/>
    <w:rsid w:val="00056F97"/>
    <w:rsid w:val="000574E5"/>
    <w:rsid w:val="00060530"/>
    <w:rsid w:val="00061048"/>
    <w:rsid w:val="000616C9"/>
    <w:rsid w:val="00062861"/>
    <w:rsid w:val="00063393"/>
    <w:rsid w:val="000634CE"/>
    <w:rsid w:val="000646E4"/>
    <w:rsid w:val="00065AC8"/>
    <w:rsid w:val="000671F6"/>
    <w:rsid w:val="000704A4"/>
    <w:rsid w:val="000710A9"/>
    <w:rsid w:val="0007160D"/>
    <w:rsid w:val="000719DC"/>
    <w:rsid w:val="0007357F"/>
    <w:rsid w:val="00074B7A"/>
    <w:rsid w:val="00075575"/>
    <w:rsid w:val="00075B57"/>
    <w:rsid w:val="00077374"/>
    <w:rsid w:val="000802DA"/>
    <w:rsid w:val="000804FC"/>
    <w:rsid w:val="0008060D"/>
    <w:rsid w:val="00082222"/>
    <w:rsid w:val="000823FF"/>
    <w:rsid w:val="00083506"/>
    <w:rsid w:val="00084081"/>
    <w:rsid w:val="000843C2"/>
    <w:rsid w:val="00084ADB"/>
    <w:rsid w:val="000858B8"/>
    <w:rsid w:val="00086CB3"/>
    <w:rsid w:val="00087C4C"/>
    <w:rsid w:val="00090E6A"/>
    <w:rsid w:val="000915BF"/>
    <w:rsid w:val="00093133"/>
    <w:rsid w:val="00093BF2"/>
    <w:rsid w:val="00094848"/>
    <w:rsid w:val="000951F6"/>
    <w:rsid w:val="00095EB8"/>
    <w:rsid w:val="00097360"/>
    <w:rsid w:val="00097589"/>
    <w:rsid w:val="00097733"/>
    <w:rsid w:val="000A05D8"/>
    <w:rsid w:val="000A0689"/>
    <w:rsid w:val="000A222C"/>
    <w:rsid w:val="000A480B"/>
    <w:rsid w:val="000A69BB"/>
    <w:rsid w:val="000A779F"/>
    <w:rsid w:val="000A7F93"/>
    <w:rsid w:val="000B1541"/>
    <w:rsid w:val="000B1865"/>
    <w:rsid w:val="000B709E"/>
    <w:rsid w:val="000C1450"/>
    <w:rsid w:val="000C38C9"/>
    <w:rsid w:val="000C3944"/>
    <w:rsid w:val="000C3ED7"/>
    <w:rsid w:val="000C513A"/>
    <w:rsid w:val="000C54E0"/>
    <w:rsid w:val="000C56E6"/>
    <w:rsid w:val="000C789C"/>
    <w:rsid w:val="000C7EAE"/>
    <w:rsid w:val="000D1383"/>
    <w:rsid w:val="000D13D8"/>
    <w:rsid w:val="000D2B01"/>
    <w:rsid w:val="000D2C74"/>
    <w:rsid w:val="000D401F"/>
    <w:rsid w:val="000D4227"/>
    <w:rsid w:val="000D5D0B"/>
    <w:rsid w:val="000E1091"/>
    <w:rsid w:val="000E176F"/>
    <w:rsid w:val="000E23C1"/>
    <w:rsid w:val="000E2641"/>
    <w:rsid w:val="000E41C8"/>
    <w:rsid w:val="000E42E3"/>
    <w:rsid w:val="000F0122"/>
    <w:rsid w:val="000F1AE2"/>
    <w:rsid w:val="000F2188"/>
    <w:rsid w:val="000F4BCE"/>
    <w:rsid w:val="000F4D71"/>
    <w:rsid w:val="000F50D5"/>
    <w:rsid w:val="0010026C"/>
    <w:rsid w:val="00100602"/>
    <w:rsid w:val="00100B34"/>
    <w:rsid w:val="00101448"/>
    <w:rsid w:val="00101933"/>
    <w:rsid w:val="00101BC2"/>
    <w:rsid w:val="0010256D"/>
    <w:rsid w:val="00102B9D"/>
    <w:rsid w:val="00102C05"/>
    <w:rsid w:val="00102E19"/>
    <w:rsid w:val="00110A92"/>
    <w:rsid w:val="001151F7"/>
    <w:rsid w:val="00116619"/>
    <w:rsid w:val="00117E78"/>
    <w:rsid w:val="001200CB"/>
    <w:rsid w:val="00120B1E"/>
    <w:rsid w:val="00120C45"/>
    <w:rsid w:val="00121BB3"/>
    <w:rsid w:val="00124B7F"/>
    <w:rsid w:val="00124E4D"/>
    <w:rsid w:val="0012535F"/>
    <w:rsid w:val="001260FF"/>
    <w:rsid w:val="0012661C"/>
    <w:rsid w:val="00126805"/>
    <w:rsid w:val="00126D01"/>
    <w:rsid w:val="00126FC5"/>
    <w:rsid w:val="001309DE"/>
    <w:rsid w:val="00131242"/>
    <w:rsid w:val="00131E73"/>
    <w:rsid w:val="00134D29"/>
    <w:rsid w:val="00134F70"/>
    <w:rsid w:val="00135326"/>
    <w:rsid w:val="00140C55"/>
    <w:rsid w:val="00141DB6"/>
    <w:rsid w:val="0014278B"/>
    <w:rsid w:val="0014345B"/>
    <w:rsid w:val="001445C6"/>
    <w:rsid w:val="00144E7F"/>
    <w:rsid w:val="00144FAE"/>
    <w:rsid w:val="00144FF3"/>
    <w:rsid w:val="00146166"/>
    <w:rsid w:val="00146609"/>
    <w:rsid w:val="00150290"/>
    <w:rsid w:val="001511EA"/>
    <w:rsid w:val="001515EF"/>
    <w:rsid w:val="001530D8"/>
    <w:rsid w:val="00153D78"/>
    <w:rsid w:val="001542D1"/>
    <w:rsid w:val="00154E3D"/>
    <w:rsid w:val="0015571B"/>
    <w:rsid w:val="00156958"/>
    <w:rsid w:val="00156D8E"/>
    <w:rsid w:val="00161F41"/>
    <w:rsid w:val="001621EE"/>
    <w:rsid w:val="001651BD"/>
    <w:rsid w:val="00167AB3"/>
    <w:rsid w:val="00167BB5"/>
    <w:rsid w:val="001714D5"/>
    <w:rsid w:val="00173D4D"/>
    <w:rsid w:val="00176988"/>
    <w:rsid w:val="00177969"/>
    <w:rsid w:val="001817D5"/>
    <w:rsid w:val="00184C16"/>
    <w:rsid w:val="00185005"/>
    <w:rsid w:val="00185AAD"/>
    <w:rsid w:val="001861C5"/>
    <w:rsid w:val="001866B1"/>
    <w:rsid w:val="001873D0"/>
    <w:rsid w:val="00187652"/>
    <w:rsid w:val="001879B7"/>
    <w:rsid w:val="00187A7C"/>
    <w:rsid w:val="00190060"/>
    <w:rsid w:val="00190EC4"/>
    <w:rsid w:val="0019207D"/>
    <w:rsid w:val="00192683"/>
    <w:rsid w:val="00193511"/>
    <w:rsid w:val="00193DDD"/>
    <w:rsid w:val="0019691A"/>
    <w:rsid w:val="00197067"/>
    <w:rsid w:val="001A25C3"/>
    <w:rsid w:val="001A2BB6"/>
    <w:rsid w:val="001A2E3F"/>
    <w:rsid w:val="001A60D4"/>
    <w:rsid w:val="001B4A1E"/>
    <w:rsid w:val="001B55F5"/>
    <w:rsid w:val="001B595B"/>
    <w:rsid w:val="001B6B90"/>
    <w:rsid w:val="001C27AD"/>
    <w:rsid w:val="001C2F77"/>
    <w:rsid w:val="001C7BE3"/>
    <w:rsid w:val="001D01B1"/>
    <w:rsid w:val="001D0838"/>
    <w:rsid w:val="001D2153"/>
    <w:rsid w:val="001D2643"/>
    <w:rsid w:val="001D5CAF"/>
    <w:rsid w:val="001D6109"/>
    <w:rsid w:val="001D629E"/>
    <w:rsid w:val="001D690E"/>
    <w:rsid w:val="001D6AD8"/>
    <w:rsid w:val="001D71D6"/>
    <w:rsid w:val="001D7719"/>
    <w:rsid w:val="001E03F4"/>
    <w:rsid w:val="001E0754"/>
    <w:rsid w:val="001E100E"/>
    <w:rsid w:val="001E2462"/>
    <w:rsid w:val="001E256C"/>
    <w:rsid w:val="001E30CC"/>
    <w:rsid w:val="001E4DEF"/>
    <w:rsid w:val="001E50E4"/>
    <w:rsid w:val="001E57A5"/>
    <w:rsid w:val="001E71CA"/>
    <w:rsid w:val="001E7EF9"/>
    <w:rsid w:val="001F0877"/>
    <w:rsid w:val="001F0888"/>
    <w:rsid w:val="001F185C"/>
    <w:rsid w:val="001F2048"/>
    <w:rsid w:val="001F2335"/>
    <w:rsid w:val="001F32B7"/>
    <w:rsid w:val="001F3FE1"/>
    <w:rsid w:val="001F4134"/>
    <w:rsid w:val="001F65ED"/>
    <w:rsid w:val="001F7037"/>
    <w:rsid w:val="001F70AA"/>
    <w:rsid w:val="00200CE8"/>
    <w:rsid w:val="002011EF"/>
    <w:rsid w:val="00201C49"/>
    <w:rsid w:val="002031C2"/>
    <w:rsid w:val="0020402E"/>
    <w:rsid w:val="0020574C"/>
    <w:rsid w:val="002060A0"/>
    <w:rsid w:val="00207863"/>
    <w:rsid w:val="00210A2C"/>
    <w:rsid w:val="00211825"/>
    <w:rsid w:val="00211FBF"/>
    <w:rsid w:val="00211FF7"/>
    <w:rsid w:val="00212D22"/>
    <w:rsid w:val="00213664"/>
    <w:rsid w:val="00214693"/>
    <w:rsid w:val="00215A23"/>
    <w:rsid w:val="00220280"/>
    <w:rsid w:val="00220AA2"/>
    <w:rsid w:val="00221F41"/>
    <w:rsid w:val="0022268E"/>
    <w:rsid w:val="00222997"/>
    <w:rsid w:val="00222CCD"/>
    <w:rsid w:val="00226D89"/>
    <w:rsid w:val="00227986"/>
    <w:rsid w:val="00231BCC"/>
    <w:rsid w:val="00231FEE"/>
    <w:rsid w:val="002322A9"/>
    <w:rsid w:val="002332F7"/>
    <w:rsid w:val="00234FBE"/>
    <w:rsid w:val="00235652"/>
    <w:rsid w:val="00235998"/>
    <w:rsid w:val="002368A2"/>
    <w:rsid w:val="00236D73"/>
    <w:rsid w:val="0024175F"/>
    <w:rsid w:val="00241A52"/>
    <w:rsid w:val="0024271F"/>
    <w:rsid w:val="0024295E"/>
    <w:rsid w:val="00242E47"/>
    <w:rsid w:val="00243CB4"/>
    <w:rsid w:val="0024442D"/>
    <w:rsid w:val="0024443A"/>
    <w:rsid w:val="002450A6"/>
    <w:rsid w:val="002454D4"/>
    <w:rsid w:val="00246601"/>
    <w:rsid w:val="00250833"/>
    <w:rsid w:val="00250BB8"/>
    <w:rsid w:val="0025124C"/>
    <w:rsid w:val="002529C8"/>
    <w:rsid w:val="0025383D"/>
    <w:rsid w:val="00254558"/>
    <w:rsid w:val="00256150"/>
    <w:rsid w:val="002563E1"/>
    <w:rsid w:val="002569EE"/>
    <w:rsid w:val="00257569"/>
    <w:rsid w:val="00257742"/>
    <w:rsid w:val="0026155C"/>
    <w:rsid w:val="00261B19"/>
    <w:rsid w:val="00262735"/>
    <w:rsid w:val="002650BD"/>
    <w:rsid w:val="002659BE"/>
    <w:rsid w:val="00265E9D"/>
    <w:rsid w:val="0026636A"/>
    <w:rsid w:val="00266B63"/>
    <w:rsid w:val="002700E6"/>
    <w:rsid w:val="00270998"/>
    <w:rsid w:val="002712E3"/>
    <w:rsid w:val="00271CEE"/>
    <w:rsid w:val="00272476"/>
    <w:rsid w:val="00272708"/>
    <w:rsid w:val="00273478"/>
    <w:rsid w:val="002743C3"/>
    <w:rsid w:val="00275B96"/>
    <w:rsid w:val="002804DA"/>
    <w:rsid w:val="00280C62"/>
    <w:rsid w:val="00281DE0"/>
    <w:rsid w:val="00281FDC"/>
    <w:rsid w:val="00282217"/>
    <w:rsid w:val="00282437"/>
    <w:rsid w:val="00282F00"/>
    <w:rsid w:val="002873BD"/>
    <w:rsid w:val="002879D6"/>
    <w:rsid w:val="002908A3"/>
    <w:rsid w:val="0029130B"/>
    <w:rsid w:val="00291901"/>
    <w:rsid w:val="00293B84"/>
    <w:rsid w:val="0029476F"/>
    <w:rsid w:val="00294CAF"/>
    <w:rsid w:val="00295D71"/>
    <w:rsid w:val="00295F63"/>
    <w:rsid w:val="0029726E"/>
    <w:rsid w:val="00297993"/>
    <w:rsid w:val="002A489B"/>
    <w:rsid w:val="002A5D94"/>
    <w:rsid w:val="002B01EA"/>
    <w:rsid w:val="002B0C1C"/>
    <w:rsid w:val="002B1A55"/>
    <w:rsid w:val="002B25CC"/>
    <w:rsid w:val="002B2764"/>
    <w:rsid w:val="002B2DB8"/>
    <w:rsid w:val="002B2ED8"/>
    <w:rsid w:val="002B3241"/>
    <w:rsid w:val="002B46FF"/>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1DD0"/>
    <w:rsid w:val="002E21C3"/>
    <w:rsid w:val="002E2254"/>
    <w:rsid w:val="002E43EB"/>
    <w:rsid w:val="002E4E21"/>
    <w:rsid w:val="002E531A"/>
    <w:rsid w:val="002E5964"/>
    <w:rsid w:val="002E5CF7"/>
    <w:rsid w:val="002E7549"/>
    <w:rsid w:val="002E7731"/>
    <w:rsid w:val="002E780C"/>
    <w:rsid w:val="002E784F"/>
    <w:rsid w:val="002E7C77"/>
    <w:rsid w:val="002F0862"/>
    <w:rsid w:val="002F0BFC"/>
    <w:rsid w:val="002F2C09"/>
    <w:rsid w:val="002F30AA"/>
    <w:rsid w:val="002F3B0C"/>
    <w:rsid w:val="002F4E16"/>
    <w:rsid w:val="002F67B2"/>
    <w:rsid w:val="002F6A03"/>
    <w:rsid w:val="002F6BBE"/>
    <w:rsid w:val="002F72D8"/>
    <w:rsid w:val="002F7619"/>
    <w:rsid w:val="00300183"/>
    <w:rsid w:val="00300D7D"/>
    <w:rsid w:val="00301E7F"/>
    <w:rsid w:val="00304604"/>
    <w:rsid w:val="00310388"/>
    <w:rsid w:val="003109CA"/>
    <w:rsid w:val="00311807"/>
    <w:rsid w:val="00312FB9"/>
    <w:rsid w:val="003136CF"/>
    <w:rsid w:val="0031381E"/>
    <w:rsid w:val="00314147"/>
    <w:rsid w:val="003148E4"/>
    <w:rsid w:val="00315C67"/>
    <w:rsid w:val="003200B9"/>
    <w:rsid w:val="00321689"/>
    <w:rsid w:val="003216B4"/>
    <w:rsid w:val="0032258C"/>
    <w:rsid w:val="00322DEF"/>
    <w:rsid w:val="00322E4B"/>
    <w:rsid w:val="0032463E"/>
    <w:rsid w:val="00325AD1"/>
    <w:rsid w:val="00330466"/>
    <w:rsid w:val="003304DB"/>
    <w:rsid w:val="00330984"/>
    <w:rsid w:val="00331EEE"/>
    <w:rsid w:val="00332224"/>
    <w:rsid w:val="00333925"/>
    <w:rsid w:val="00334387"/>
    <w:rsid w:val="00334B10"/>
    <w:rsid w:val="00334F73"/>
    <w:rsid w:val="00335466"/>
    <w:rsid w:val="00337257"/>
    <w:rsid w:val="00337BE6"/>
    <w:rsid w:val="0034088E"/>
    <w:rsid w:val="00340E9A"/>
    <w:rsid w:val="00341246"/>
    <w:rsid w:val="00341256"/>
    <w:rsid w:val="0034144A"/>
    <w:rsid w:val="003419C1"/>
    <w:rsid w:val="00342415"/>
    <w:rsid w:val="003455E7"/>
    <w:rsid w:val="00346C07"/>
    <w:rsid w:val="003477BF"/>
    <w:rsid w:val="00350933"/>
    <w:rsid w:val="00350C91"/>
    <w:rsid w:val="0035175E"/>
    <w:rsid w:val="003519F7"/>
    <w:rsid w:val="00353D16"/>
    <w:rsid w:val="00353D2C"/>
    <w:rsid w:val="00355999"/>
    <w:rsid w:val="003562BD"/>
    <w:rsid w:val="00356BA0"/>
    <w:rsid w:val="0036126D"/>
    <w:rsid w:val="00364237"/>
    <w:rsid w:val="003642F5"/>
    <w:rsid w:val="0036508D"/>
    <w:rsid w:val="00365501"/>
    <w:rsid w:val="0036738F"/>
    <w:rsid w:val="00371A50"/>
    <w:rsid w:val="00372BB8"/>
    <w:rsid w:val="00373086"/>
    <w:rsid w:val="003745D6"/>
    <w:rsid w:val="0037793C"/>
    <w:rsid w:val="003819D0"/>
    <w:rsid w:val="00382925"/>
    <w:rsid w:val="00382E0E"/>
    <w:rsid w:val="00384DD3"/>
    <w:rsid w:val="00387335"/>
    <w:rsid w:val="00387F16"/>
    <w:rsid w:val="003938E6"/>
    <w:rsid w:val="0039509E"/>
    <w:rsid w:val="00395B46"/>
    <w:rsid w:val="00396CFE"/>
    <w:rsid w:val="00397A24"/>
    <w:rsid w:val="00397C21"/>
    <w:rsid w:val="003A0620"/>
    <w:rsid w:val="003A0AE9"/>
    <w:rsid w:val="003A18B6"/>
    <w:rsid w:val="003A19A3"/>
    <w:rsid w:val="003A5044"/>
    <w:rsid w:val="003A681D"/>
    <w:rsid w:val="003A68DA"/>
    <w:rsid w:val="003B17C9"/>
    <w:rsid w:val="003B3E48"/>
    <w:rsid w:val="003B65F8"/>
    <w:rsid w:val="003C02A2"/>
    <w:rsid w:val="003C1F1F"/>
    <w:rsid w:val="003C35B0"/>
    <w:rsid w:val="003D0B26"/>
    <w:rsid w:val="003D0BBC"/>
    <w:rsid w:val="003D1B6E"/>
    <w:rsid w:val="003D208D"/>
    <w:rsid w:val="003D214E"/>
    <w:rsid w:val="003D2870"/>
    <w:rsid w:val="003D4FF5"/>
    <w:rsid w:val="003D51A9"/>
    <w:rsid w:val="003D632C"/>
    <w:rsid w:val="003D6652"/>
    <w:rsid w:val="003E0E9E"/>
    <w:rsid w:val="003E2D76"/>
    <w:rsid w:val="003E3AC7"/>
    <w:rsid w:val="003E4059"/>
    <w:rsid w:val="003E5CFB"/>
    <w:rsid w:val="003E6484"/>
    <w:rsid w:val="003E6BC7"/>
    <w:rsid w:val="003E763A"/>
    <w:rsid w:val="003E7AEF"/>
    <w:rsid w:val="003F03B1"/>
    <w:rsid w:val="003F08BB"/>
    <w:rsid w:val="003F11CF"/>
    <w:rsid w:val="003F1B43"/>
    <w:rsid w:val="003F21CF"/>
    <w:rsid w:val="003F2927"/>
    <w:rsid w:val="003F534F"/>
    <w:rsid w:val="003F77DA"/>
    <w:rsid w:val="003F7BE0"/>
    <w:rsid w:val="00402AE9"/>
    <w:rsid w:val="00402E89"/>
    <w:rsid w:val="004038A4"/>
    <w:rsid w:val="00405402"/>
    <w:rsid w:val="00405C67"/>
    <w:rsid w:val="00405DE3"/>
    <w:rsid w:val="00406C15"/>
    <w:rsid w:val="00407424"/>
    <w:rsid w:val="004079C8"/>
    <w:rsid w:val="00407AA8"/>
    <w:rsid w:val="00410CF8"/>
    <w:rsid w:val="00411564"/>
    <w:rsid w:val="00411B6A"/>
    <w:rsid w:val="00412FB6"/>
    <w:rsid w:val="00416781"/>
    <w:rsid w:val="00416A74"/>
    <w:rsid w:val="004201D1"/>
    <w:rsid w:val="00420D37"/>
    <w:rsid w:val="00421CB3"/>
    <w:rsid w:val="00423DF9"/>
    <w:rsid w:val="00425CE2"/>
    <w:rsid w:val="004261CC"/>
    <w:rsid w:val="004265A9"/>
    <w:rsid w:val="00426E3C"/>
    <w:rsid w:val="004277CF"/>
    <w:rsid w:val="0043005E"/>
    <w:rsid w:val="00432CA6"/>
    <w:rsid w:val="004335A2"/>
    <w:rsid w:val="004348F9"/>
    <w:rsid w:val="00436965"/>
    <w:rsid w:val="00436B1E"/>
    <w:rsid w:val="004415C2"/>
    <w:rsid w:val="004426B3"/>
    <w:rsid w:val="00442C70"/>
    <w:rsid w:val="00444693"/>
    <w:rsid w:val="0044566A"/>
    <w:rsid w:val="00446EDE"/>
    <w:rsid w:val="0045091B"/>
    <w:rsid w:val="00451017"/>
    <w:rsid w:val="0045245F"/>
    <w:rsid w:val="00452C0E"/>
    <w:rsid w:val="004547FC"/>
    <w:rsid w:val="00454AF1"/>
    <w:rsid w:val="00454FB1"/>
    <w:rsid w:val="004552B4"/>
    <w:rsid w:val="00455CDE"/>
    <w:rsid w:val="004624D0"/>
    <w:rsid w:val="004625F0"/>
    <w:rsid w:val="00462B68"/>
    <w:rsid w:val="0046440B"/>
    <w:rsid w:val="0046469E"/>
    <w:rsid w:val="00465468"/>
    <w:rsid w:val="0046630E"/>
    <w:rsid w:val="0046770F"/>
    <w:rsid w:val="00467785"/>
    <w:rsid w:val="004704B5"/>
    <w:rsid w:val="0047191E"/>
    <w:rsid w:val="00471F46"/>
    <w:rsid w:val="004745AC"/>
    <w:rsid w:val="00474BDE"/>
    <w:rsid w:val="00475B99"/>
    <w:rsid w:val="00475F40"/>
    <w:rsid w:val="004824BE"/>
    <w:rsid w:val="0048308D"/>
    <w:rsid w:val="0048310D"/>
    <w:rsid w:val="00483AF0"/>
    <w:rsid w:val="004850E8"/>
    <w:rsid w:val="00487FE8"/>
    <w:rsid w:val="004902AC"/>
    <w:rsid w:val="00491D4A"/>
    <w:rsid w:val="004922E1"/>
    <w:rsid w:val="00492A01"/>
    <w:rsid w:val="00494C77"/>
    <w:rsid w:val="00495223"/>
    <w:rsid w:val="00496713"/>
    <w:rsid w:val="00496D92"/>
    <w:rsid w:val="004A2395"/>
    <w:rsid w:val="004A2EC3"/>
    <w:rsid w:val="004A379C"/>
    <w:rsid w:val="004A3967"/>
    <w:rsid w:val="004A47C0"/>
    <w:rsid w:val="004A4A81"/>
    <w:rsid w:val="004A72DB"/>
    <w:rsid w:val="004A76DE"/>
    <w:rsid w:val="004B0B18"/>
    <w:rsid w:val="004B15E0"/>
    <w:rsid w:val="004B301A"/>
    <w:rsid w:val="004B30B4"/>
    <w:rsid w:val="004B3701"/>
    <w:rsid w:val="004B6261"/>
    <w:rsid w:val="004B694B"/>
    <w:rsid w:val="004B77D9"/>
    <w:rsid w:val="004C006C"/>
    <w:rsid w:val="004C0DA2"/>
    <w:rsid w:val="004C1273"/>
    <w:rsid w:val="004C1CC3"/>
    <w:rsid w:val="004C2304"/>
    <w:rsid w:val="004C2D79"/>
    <w:rsid w:val="004C336F"/>
    <w:rsid w:val="004C3C26"/>
    <w:rsid w:val="004C3D3F"/>
    <w:rsid w:val="004C53FC"/>
    <w:rsid w:val="004C5818"/>
    <w:rsid w:val="004C61B6"/>
    <w:rsid w:val="004D0072"/>
    <w:rsid w:val="004D12C5"/>
    <w:rsid w:val="004D1419"/>
    <w:rsid w:val="004D4287"/>
    <w:rsid w:val="004D5D12"/>
    <w:rsid w:val="004D7B0D"/>
    <w:rsid w:val="004D7F72"/>
    <w:rsid w:val="004E0133"/>
    <w:rsid w:val="004E12B5"/>
    <w:rsid w:val="004E1D30"/>
    <w:rsid w:val="004E2EE4"/>
    <w:rsid w:val="004E302B"/>
    <w:rsid w:val="004E432A"/>
    <w:rsid w:val="004E43DB"/>
    <w:rsid w:val="004E473A"/>
    <w:rsid w:val="004E54FA"/>
    <w:rsid w:val="004E5525"/>
    <w:rsid w:val="004E780D"/>
    <w:rsid w:val="004F16E2"/>
    <w:rsid w:val="004F21DF"/>
    <w:rsid w:val="004F2F41"/>
    <w:rsid w:val="004F2FFC"/>
    <w:rsid w:val="004F369D"/>
    <w:rsid w:val="004F64AB"/>
    <w:rsid w:val="004F6D17"/>
    <w:rsid w:val="004F6EE2"/>
    <w:rsid w:val="00500568"/>
    <w:rsid w:val="005011FE"/>
    <w:rsid w:val="00501A9D"/>
    <w:rsid w:val="00501B41"/>
    <w:rsid w:val="00502908"/>
    <w:rsid w:val="00502AEB"/>
    <w:rsid w:val="00504478"/>
    <w:rsid w:val="005044DC"/>
    <w:rsid w:val="005062D1"/>
    <w:rsid w:val="00506775"/>
    <w:rsid w:val="00507809"/>
    <w:rsid w:val="0051727A"/>
    <w:rsid w:val="0052073A"/>
    <w:rsid w:val="00520BB8"/>
    <w:rsid w:val="00520C8F"/>
    <w:rsid w:val="0052184D"/>
    <w:rsid w:val="005220F8"/>
    <w:rsid w:val="00522ECB"/>
    <w:rsid w:val="005234DC"/>
    <w:rsid w:val="0052405B"/>
    <w:rsid w:val="00524416"/>
    <w:rsid w:val="0052453C"/>
    <w:rsid w:val="0052516F"/>
    <w:rsid w:val="00526038"/>
    <w:rsid w:val="005264F5"/>
    <w:rsid w:val="00530860"/>
    <w:rsid w:val="005309FF"/>
    <w:rsid w:val="0053469B"/>
    <w:rsid w:val="005352D9"/>
    <w:rsid w:val="00535D69"/>
    <w:rsid w:val="0053606D"/>
    <w:rsid w:val="00536D93"/>
    <w:rsid w:val="00540326"/>
    <w:rsid w:val="00540495"/>
    <w:rsid w:val="00540D29"/>
    <w:rsid w:val="005410BF"/>
    <w:rsid w:val="005423AC"/>
    <w:rsid w:val="00543BF6"/>
    <w:rsid w:val="00544642"/>
    <w:rsid w:val="0054521A"/>
    <w:rsid w:val="00545589"/>
    <w:rsid w:val="00545695"/>
    <w:rsid w:val="005473D9"/>
    <w:rsid w:val="005475ED"/>
    <w:rsid w:val="00547763"/>
    <w:rsid w:val="005479EC"/>
    <w:rsid w:val="00547D4F"/>
    <w:rsid w:val="005535D3"/>
    <w:rsid w:val="0055420C"/>
    <w:rsid w:val="00555189"/>
    <w:rsid w:val="005568A2"/>
    <w:rsid w:val="00561D96"/>
    <w:rsid w:val="00564BEF"/>
    <w:rsid w:val="00565A0C"/>
    <w:rsid w:val="00565BE7"/>
    <w:rsid w:val="00570680"/>
    <w:rsid w:val="005717EF"/>
    <w:rsid w:val="005718F5"/>
    <w:rsid w:val="00573DAB"/>
    <w:rsid w:val="00573DF9"/>
    <w:rsid w:val="0057401D"/>
    <w:rsid w:val="00574317"/>
    <w:rsid w:val="00574A10"/>
    <w:rsid w:val="00576666"/>
    <w:rsid w:val="00577169"/>
    <w:rsid w:val="005802A2"/>
    <w:rsid w:val="00580F93"/>
    <w:rsid w:val="00582A38"/>
    <w:rsid w:val="005866A1"/>
    <w:rsid w:val="00590A20"/>
    <w:rsid w:val="00591D6C"/>
    <w:rsid w:val="00592194"/>
    <w:rsid w:val="005944EC"/>
    <w:rsid w:val="00594ACF"/>
    <w:rsid w:val="00595414"/>
    <w:rsid w:val="005960EF"/>
    <w:rsid w:val="0059662E"/>
    <w:rsid w:val="00597349"/>
    <w:rsid w:val="005A00A5"/>
    <w:rsid w:val="005A062C"/>
    <w:rsid w:val="005A10DA"/>
    <w:rsid w:val="005A24EB"/>
    <w:rsid w:val="005A28DE"/>
    <w:rsid w:val="005A2ABC"/>
    <w:rsid w:val="005A48C8"/>
    <w:rsid w:val="005A5608"/>
    <w:rsid w:val="005A670F"/>
    <w:rsid w:val="005A7EF6"/>
    <w:rsid w:val="005B008C"/>
    <w:rsid w:val="005B012A"/>
    <w:rsid w:val="005B0515"/>
    <w:rsid w:val="005B4EB1"/>
    <w:rsid w:val="005B50B3"/>
    <w:rsid w:val="005B63D9"/>
    <w:rsid w:val="005B65A6"/>
    <w:rsid w:val="005C024A"/>
    <w:rsid w:val="005C0691"/>
    <w:rsid w:val="005C2648"/>
    <w:rsid w:val="005C48C7"/>
    <w:rsid w:val="005C4CD6"/>
    <w:rsid w:val="005C521F"/>
    <w:rsid w:val="005C52E6"/>
    <w:rsid w:val="005C55B1"/>
    <w:rsid w:val="005C627B"/>
    <w:rsid w:val="005D14C4"/>
    <w:rsid w:val="005D4E79"/>
    <w:rsid w:val="005D5B03"/>
    <w:rsid w:val="005D6585"/>
    <w:rsid w:val="005E084B"/>
    <w:rsid w:val="005E1A41"/>
    <w:rsid w:val="005E2127"/>
    <w:rsid w:val="005E308D"/>
    <w:rsid w:val="005E3E71"/>
    <w:rsid w:val="005E4382"/>
    <w:rsid w:val="005E4CBF"/>
    <w:rsid w:val="005E66A8"/>
    <w:rsid w:val="005E6F9A"/>
    <w:rsid w:val="005E7DD1"/>
    <w:rsid w:val="005F3544"/>
    <w:rsid w:val="005F41CE"/>
    <w:rsid w:val="005F4923"/>
    <w:rsid w:val="005F5D3E"/>
    <w:rsid w:val="005F7B1F"/>
    <w:rsid w:val="006002FA"/>
    <w:rsid w:val="00607B41"/>
    <w:rsid w:val="00607FDE"/>
    <w:rsid w:val="00610C7B"/>
    <w:rsid w:val="006111C5"/>
    <w:rsid w:val="0061293D"/>
    <w:rsid w:val="0061366B"/>
    <w:rsid w:val="006145DB"/>
    <w:rsid w:val="006146E5"/>
    <w:rsid w:val="00615858"/>
    <w:rsid w:val="00615B4D"/>
    <w:rsid w:val="00616795"/>
    <w:rsid w:val="006175F4"/>
    <w:rsid w:val="00623740"/>
    <w:rsid w:val="0062520D"/>
    <w:rsid w:val="0062560E"/>
    <w:rsid w:val="00626250"/>
    <w:rsid w:val="00627629"/>
    <w:rsid w:val="006310C9"/>
    <w:rsid w:val="00631D12"/>
    <w:rsid w:val="0063232A"/>
    <w:rsid w:val="006337D8"/>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2EBE"/>
    <w:rsid w:val="006530F9"/>
    <w:rsid w:val="00654D1D"/>
    <w:rsid w:val="006555C8"/>
    <w:rsid w:val="006557A2"/>
    <w:rsid w:val="00662222"/>
    <w:rsid w:val="00662498"/>
    <w:rsid w:val="00664D7B"/>
    <w:rsid w:val="00670CD8"/>
    <w:rsid w:val="00671CF3"/>
    <w:rsid w:val="00672030"/>
    <w:rsid w:val="00674264"/>
    <w:rsid w:val="006838C8"/>
    <w:rsid w:val="00690217"/>
    <w:rsid w:val="00690FF1"/>
    <w:rsid w:val="00691845"/>
    <w:rsid w:val="006920BD"/>
    <w:rsid w:val="006934D1"/>
    <w:rsid w:val="00694C7A"/>
    <w:rsid w:val="0069548A"/>
    <w:rsid w:val="00695852"/>
    <w:rsid w:val="006963D0"/>
    <w:rsid w:val="006A1EC5"/>
    <w:rsid w:val="006A2944"/>
    <w:rsid w:val="006A4E8D"/>
    <w:rsid w:val="006A6899"/>
    <w:rsid w:val="006A747E"/>
    <w:rsid w:val="006B04ED"/>
    <w:rsid w:val="006B08D7"/>
    <w:rsid w:val="006B194E"/>
    <w:rsid w:val="006B2426"/>
    <w:rsid w:val="006B2977"/>
    <w:rsid w:val="006B2D11"/>
    <w:rsid w:val="006B398F"/>
    <w:rsid w:val="006B3C0C"/>
    <w:rsid w:val="006B3D88"/>
    <w:rsid w:val="006B5700"/>
    <w:rsid w:val="006B59B7"/>
    <w:rsid w:val="006B6341"/>
    <w:rsid w:val="006C0E7C"/>
    <w:rsid w:val="006C167B"/>
    <w:rsid w:val="006C2631"/>
    <w:rsid w:val="006C3BD1"/>
    <w:rsid w:val="006C3C99"/>
    <w:rsid w:val="006C4089"/>
    <w:rsid w:val="006C4A1C"/>
    <w:rsid w:val="006C4FA2"/>
    <w:rsid w:val="006C59CD"/>
    <w:rsid w:val="006D0511"/>
    <w:rsid w:val="006D0C42"/>
    <w:rsid w:val="006D0FEE"/>
    <w:rsid w:val="006D1400"/>
    <w:rsid w:val="006D175A"/>
    <w:rsid w:val="006D2425"/>
    <w:rsid w:val="006D25B4"/>
    <w:rsid w:val="006D33F4"/>
    <w:rsid w:val="006D7503"/>
    <w:rsid w:val="006D76B5"/>
    <w:rsid w:val="006E12C8"/>
    <w:rsid w:val="006E27D4"/>
    <w:rsid w:val="006E3774"/>
    <w:rsid w:val="006E5336"/>
    <w:rsid w:val="006F0ED5"/>
    <w:rsid w:val="006F185F"/>
    <w:rsid w:val="006F35EE"/>
    <w:rsid w:val="006F3AA9"/>
    <w:rsid w:val="006F4310"/>
    <w:rsid w:val="006F44B2"/>
    <w:rsid w:val="006F4D26"/>
    <w:rsid w:val="006F56B6"/>
    <w:rsid w:val="006F7C79"/>
    <w:rsid w:val="00700AA7"/>
    <w:rsid w:val="00700D02"/>
    <w:rsid w:val="00701B82"/>
    <w:rsid w:val="007023C7"/>
    <w:rsid w:val="00703BA4"/>
    <w:rsid w:val="007043A2"/>
    <w:rsid w:val="0070513D"/>
    <w:rsid w:val="0070536B"/>
    <w:rsid w:val="007061DB"/>
    <w:rsid w:val="007074D3"/>
    <w:rsid w:val="00710CB8"/>
    <w:rsid w:val="007133D1"/>
    <w:rsid w:val="00713A4F"/>
    <w:rsid w:val="00714CFF"/>
    <w:rsid w:val="00715C2B"/>
    <w:rsid w:val="00716AC9"/>
    <w:rsid w:val="00717409"/>
    <w:rsid w:val="00717C26"/>
    <w:rsid w:val="007209A6"/>
    <w:rsid w:val="00723E7C"/>
    <w:rsid w:val="00723F76"/>
    <w:rsid w:val="007264DF"/>
    <w:rsid w:val="00726E58"/>
    <w:rsid w:val="00731A41"/>
    <w:rsid w:val="00732FBE"/>
    <w:rsid w:val="00734726"/>
    <w:rsid w:val="00735391"/>
    <w:rsid w:val="00736AA2"/>
    <w:rsid w:val="007416B0"/>
    <w:rsid w:val="0074177E"/>
    <w:rsid w:val="00741AB4"/>
    <w:rsid w:val="0074278C"/>
    <w:rsid w:val="007439DA"/>
    <w:rsid w:val="00744731"/>
    <w:rsid w:val="007450AA"/>
    <w:rsid w:val="0074598E"/>
    <w:rsid w:val="00745DAF"/>
    <w:rsid w:val="00745E18"/>
    <w:rsid w:val="0074607B"/>
    <w:rsid w:val="0074654D"/>
    <w:rsid w:val="00747759"/>
    <w:rsid w:val="0074777F"/>
    <w:rsid w:val="00751AD4"/>
    <w:rsid w:val="00752463"/>
    <w:rsid w:val="00754410"/>
    <w:rsid w:val="0075540E"/>
    <w:rsid w:val="007569B7"/>
    <w:rsid w:val="00756B31"/>
    <w:rsid w:val="00757171"/>
    <w:rsid w:val="007603D0"/>
    <w:rsid w:val="007603EC"/>
    <w:rsid w:val="00760E1D"/>
    <w:rsid w:val="0076104E"/>
    <w:rsid w:val="007620CA"/>
    <w:rsid w:val="0076249A"/>
    <w:rsid w:val="00764802"/>
    <w:rsid w:val="00764B89"/>
    <w:rsid w:val="00764DDE"/>
    <w:rsid w:val="00766CF8"/>
    <w:rsid w:val="007675C6"/>
    <w:rsid w:val="007712AE"/>
    <w:rsid w:val="00772046"/>
    <w:rsid w:val="00773534"/>
    <w:rsid w:val="00773EC4"/>
    <w:rsid w:val="00774419"/>
    <w:rsid w:val="00774B42"/>
    <w:rsid w:val="007752AC"/>
    <w:rsid w:val="007752BB"/>
    <w:rsid w:val="00775A1C"/>
    <w:rsid w:val="00777F20"/>
    <w:rsid w:val="00782B6E"/>
    <w:rsid w:val="00782F7C"/>
    <w:rsid w:val="00784229"/>
    <w:rsid w:val="00786F44"/>
    <w:rsid w:val="00787978"/>
    <w:rsid w:val="0079166E"/>
    <w:rsid w:val="007920BB"/>
    <w:rsid w:val="00793C3B"/>
    <w:rsid w:val="00796AA6"/>
    <w:rsid w:val="007970E4"/>
    <w:rsid w:val="00797B9C"/>
    <w:rsid w:val="007A1866"/>
    <w:rsid w:val="007A25BA"/>
    <w:rsid w:val="007A4F18"/>
    <w:rsid w:val="007A5721"/>
    <w:rsid w:val="007A6175"/>
    <w:rsid w:val="007A62DA"/>
    <w:rsid w:val="007A76F4"/>
    <w:rsid w:val="007B0FCA"/>
    <w:rsid w:val="007B1159"/>
    <w:rsid w:val="007B2071"/>
    <w:rsid w:val="007B42FE"/>
    <w:rsid w:val="007B4846"/>
    <w:rsid w:val="007B4A40"/>
    <w:rsid w:val="007B7441"/>
    <w:rsid w:val="007C2BCC"/>
    <w:rsid w:val="007C3A88"/>
    <w:rsid w:val="007C4CF6"/>
    <w:rsid w:val="007C5C5C"/>
    <w:rsid w:val="007C5E1F"/>
    <w:rsid w:val="007C6EC8"/>
    <w:rsid w:val="007C6FA7"/>
    <w:rsid w:val="007C78C9"/>
    <w:rsid w:val="007D0485"/>
    <w:rsid w:val="007D0740"/>
    <w:rsid w:val="007D0CA1"/>
    <w:rsid w:val="007D10CD"/>
    <w:rsid w:val="007D11F1"/>
    <w:rsid w:val="007D310D"/>
    <w:rsid w:val="007D4D91"/>
    <w:rsid w:val="007D5FBD"/>
    <w:rsid w:val="007D7D81"/>
    <w:rsid w:val="007E1CE7"/>
    <w:rsid w:val="007E1F5D"/>
    <w:rsid w:val="007E540F"/>
    <w:rsid w:val="007E61E8"/>
    <w:rsid w:val="007E65A0"/>
    <w:rsid w:val="007E684B"/>
    <w:rsid w:val="007E757A"/>
    <w:rsid w:val="007E79F4"/>
    <w:rsid w:val="007E7B80"/>
    <w:rsid w:val="007F47A9"/>
    <w:rsid w:val="007F4D17"/>
    <w:rsid w:val="007F4E3E"/>
    <w:rsid w:val="007F6CCD"/>
    <w:rsid w:val="008001A5"/>
    <w:rsid w:val="00800584"/>
    <w:rsid w:val="00800733"/>
    <w:rsid w:val="0080346F"/>
    <w:rsid w:val="00803799"/>
    <w:rsid w:val="00804968"/>
    <w:rsid w:val="00804D8A"/>
    <w:rsid w:val="00806602"/>
    <w:rsid w:val="008067F7"/>
    <w:rsid w:val="0081003A"/>
    <w:rsid w:val="00810181"/>
    <w:rsid w:val="008112BD"/>
    <w:rsid w:val="008119D1"/>
    <w:rsid w:val="00811BEC"/>
    <w:rsid w:val="00812D4B"/>
    <w:rsid w:val="00813E3B"/>
    <w:rsid w:val="008147E2"/>
    <w:rsid w:val="00815F0E"/>
    <w:rsid w:val="00816292"/>
    <w:rsid w:val="008165EB"/>
    <w:rsid w:val="00820DB3"/>
    <w:rsid w:val="0082205C"/>
    <w:rsid w:val="00822506"/>
    <w:rsid w:val="00822721"/>
    <w:rsid w:val="008232B9"/>
    <w:rsid w:val="00824E2F"/>
    <w:rsid w:val="00827BA8"/>
    <w:rsid w:val="008315DF"/>
    <w:rsid w:val="0083181D"/>
    <w:rsid w:val="00832566"/>
    <w:rsid w:val="008340AE"/>
    <w:rsid w:val="00835F02"/>
    <w:rsid w:val="0083650B"/>
    <w:rsid w:val="00836729"/>
    <w:rsid w:val="008370AE"/>
    <w:rsid w:val="008403F9"/>
    <w:rsid w:val="00840652"/>
    <w:rsid w:val="0084160E"/>
    <w:rsid w:val="0084271B"/>
    <w:rsid w:val="00843144"/>
    <w:rsid w:val="008433BC"/>
    <w:rsid w:val="00844626"/>
    <w:rsid w:val="008446D6"/>
    <w:rsid w:val="00844E01"/>
    <w:rsid w:val="00845142"/>
    <w:rsid w:val="00847626"/>
    <w:rsid w:val="00852C48"/>
    <w:rsid w:val="00853F33"/>
    <w:rsid w:val="00854445"/>
    <w:rsid w:val="00855A59"/>
    <w:rsid w:val="008573CF"/>
    <w:rsid w:val="00861837"/>
    <w:rsid w:val="008625B4"/>
    <w:rsid w:val="0086328F"/>
    <w:rsid w:val="00863A11"/>
    <w:rsid w:val="00865C6B"/>
    <w:rsid w:val="00867568"/>
    <w:rsid w:val="0087011F"/>
    <w:rsid w:val="00872243"/>
    <w:rsid w:val="00872CC2"/>
    <w:rsid w:val="0087336E"/>
    <w:rsid w:val="00873F45"/>
    <w:rsid w:val="00875EA2"/>
    <w:rsid w:val="00877971"/>
    <w:rsid w:val="00880F3E"/>
    <w:rsid w:val="00881E7C"/>
    <w:rsid w:val="0088339D"/>
    <w:rsid w:val="00884976"/>
    <w:rsid w:val="0088575B"/>
    <w:rsid w:val="00885E26"/>
    <w:rsid w:val="00887A30"/>
    <w:rsid w:val="00887B12"/>
    <w:rsid w:val="00890E23"/>
    <w:rsid w:val="00890E45"/>
    <w:rsid w:val="00892E9D"/>
    <w:rsid w:val="008947B7"/>
    <w:rsid w:val="00896C6F"/>
    <w:rsid w:val="008A031A"/>
    <w:rsid w:val="008A48CC"/>
    <w:rsid w:val="008A4FF3"/>
    <w:rsid w:val="008A6342"/>
    <w:rsid w:val="008A6645"/>
    <w:rsid w:val="008B00BB"/>
    <w:rsid w:val="008B055F"/>
    <w:rsid w:val="008B0D12"/>
    <w:rsid w:val="008B12AE"/>
    <w:rsid w:val="008B17EF"/>
    <w:rsid w:val="008B1A6F"/>
    <w:rsid w:val="008B20AB"/>
    <w:rsid w:val="008B227A"/>
    <w:rsid w:val="008B29DE"/>
    <w:rsid w:val="008B2E70"/>
    <w:rsid w:val="008B456B"/>
    <w:rsid w:val="008B4EEA"/>
    <w:rsid w:val="008B7FC6"/>
    <w:rsid w:val="008C404A"/>
    <w:rsid w:val="008C698C"/>
    <w:rsid w:val="008C701A"/>
    <w:rsid w:val="008D0C95"/>
    <w:rsid w:val="008D3178"/>
    <w:rsid w:val="008D3552"/>
    <w:rsid w:val="008D4295"/>
    <w:rsid w:val="008D465B"/>
    <w:rsid w:val="008D4BBE"/>
    <w:rsid w:val="008D4D04"/>
    <w:rsid w:val="008D5ED0"/>
    <w:rsid w:val="008D6D96"/>
    <w:rsid w:val="008E011A"/>
    <w:rsid w:val="008E0680"/>
    <w:rsid w:val="008E093C"/>
    <w:rsid w:val="008E1456"/>
    <w:rsid w:val="008E20C9"/>
    <w:rsid w:val="008E4ADC"/>
    <w:rsid w:val="008E4CA7"/>
    <w:rsid w:val="008E51BF"/>
    <w:rsid w:val="008E5876"/>
    <w:rsid w:val="008E5D74"/>
    <w:rsid w:val="008E6101"/>
    <w:rsid w:val="008E629C"/>
    <w:rsid w:val="008E68B7"/>
    <w:rsid w:val="008E6ADE"/>
    <w:rsid w:val="008E7B18"/>
    <w:rsid w:val="008F0BA6"/>
    <w:rsid w:val="008F186A"/>
    <w:rsid w:val="008F18B8"/>
    <w:rsid w:val="008F31D4"/>
    <w:rsid w:val="008F32DB"/>
    <w:rsid w:val="008F333F"/>
    <w:rsid w:val="008F4C18"/>
    <w:rsid w:val="008F4C29"/>
    <w:rsid w:val="008F52FA"/>
    <w:rsid w:val="008F724C"/>
    <w:rsid w:val="008F7996"/>
    <w:rsid w:val="008F7EFC"/>
    <w:rsid w:val="00900B01"/>
    <w:rsid w:val="00902531"/>
    <w:rsid w:val="009029CA"/>
    <w:rsid w:val="009043E7"/>
    <w:rsid w:val="00905FC5"/>
    <w:rsid w:val="0090693B"/>
    <w:rsid w:val="00911A07"/>
    <w:rsid w:val="00914A07"/>
    <w:rsid w:val="00914D31"/>
    <w:rsid w:val="00915E52"/>
    <w:rsid w:val="0091632B"/>
    <w:rsid w:val="0091761B"/>
    <w:rsid w:val="0092104D"/>
    <w:rsid w:val="00921793"/>
    <w:rsid w:val="009221A2"/>
    <w:rsid w:val="00924EEC"/>
    <w:rsid w:val="009253BB"/>
    <w:rsid w:val="009263F8"/>
    <w:rsid w:val="00926C21"/>
    <w:rsid w:val="009272BC"/>
    <w:rsid w:val="0092761B"/>
    <w:rsid w:val="00934B50"/>
    <w:rsid w:val="0093527E"/>
    <w:rsid w:val="0093538A"/>
    <w:rsid w:val="00936907"/>
    <w:rsid w:val="00936B00"/>
    <w:rsid w:val="00936B46"/>
    <w:rsid w:val="0093710E"/>
    <w:rsid w:val="00937140"/>
    <w:rsid w:val="0094093F"/>
    <w:rsid w:val="0094162C"/>
    <w:rsid w:val="009427D2"/>
    <w:rsid w:val="009431F9"/>
    <w:rsid w:val="009437A5"/>
    <w:rsid w:val="009446AA"/>
    <w:rsid w:val="00947239"/>
    <w:rsid w:val="00951EBF"/>
    <w:rsid w:val="009528BE"/>
    <w:rsid w:val="009529E8"/>
    <w:rsid w:val="00954CF7"/>
    <w:rsid w:val="00961839"/>
    <w:rsid w:val="009628A8"/>
    <w:rsid w:val="00962E81"/>
    <w:rsid w:val="00963050"/>
    <w:rsid w:val="009631E3"/>
    <w:rsid w:val="00964756"/>
    <w:rsid w:val="00964DA9"/>
    <w:rsid w:val="00965A9F"/>
    <w:rsid w:val="00971484"/>
    <w:rsid w:val="00971FD2"/>
    <w:rsid w:val="00973EC9"/>
    <w:rsid w:val="00976928"/>
    <w:rsid w:val="00976DC2"/>
    <w:rsid w:val="0097775A"/>
    <w:rsid w:val="00977B49"/>
    <w:rsid w:val="00980654"/>
    <w:rsid w:val="00980678"/>
    <w:rsid w:val="00981ADB"/>
    <w:rsid w:val="00982192"/>
    <w:rsid w:val="00982F5F"/>
    <w:rsid w:val="009848B1"/>
    <w:rsid w:val="0098600D"/>
    <w:rsid w:val="00991213"/>
    <w:rsid w:val="00995EF4"/>
    <w:rsid w:val="0099612B"/>
    <w:rsid w:val="009969FC"/>
    <w:rsid w:val="009975F2"/>
    <w:rsid w:val="009A1114"/>
    <w:rsid w:val="009A1E27"/>
    <w:rsid w:val="009A3E47"/>
    <w:rsid w:val="009A5A62"/>
    <w:rsid w:val="009A737B"/>
    <w:rsid w:val="009B19C7"/>
    <w:rsid w:val="009B264A"/>
    <w:rsid w:val="009B2A42"/>
    <w:rsid w:val="009B3F8D"/>
    <w:rsid w:val="009B4D9E"/>
    <w:rsid w:val="009B549B"/>
    <w:rsid w:val="009B57F9"/>
    <w:rsid w:val="009B5959"/>
    <w:rsid w:val="009B5E2A"/>
    <w:rsid w:val="009B66B7"/>
    <w:rsid w:val="009B7701"/>
    <w:rsid w:val="009C0BC6"/>
    <w:rsid w:val="009C2FED"/>
    <w:rsid w:val="009C3A13"/>
    <w:rsid w:val="009C4514"/>
    <w:rsid w:val="009C6041"/>
    <w:rsid w:val="009C6FC5"/>
    <w:rsid w:val="009C7486"/>
    <w:rsid w:val="009D0C15"/>
    <w:rsid w:val="009D3351"/>
    <w:rsid w:val="009D48BE"/>
    <w:rsid w:val="009D586A"/>
    <w:rsid w:val="009D7CAA"/>
    <w:rsid w:val="009E22CD"/>
    <w:rsid w:val="009E27EF"/>
    <w:rsid w:val="009E2C8C"/>
    <w:rsid w:val="009E3384"/>
    <w:rsid w:val="009E3BAD"/>
    <w:rsid w:val="009E4496"/>
    <w:rsid w:val="009E5F71"/>
    <w:rsid w:val="009F0301"/>
    <w:rsid w:val="009F0526"/>
    <w:rsid w:val="009F3598"/>
    <w:rsid w:val="009F360E"/>
    <w:rsid w:val="009F3DCF"/>
    <w:rsid w:val="009F5B52"/>
    <w:rsid w:val="009F67F6"/>
    <w:rsid w:val="009F71BE"/>
    <w:rsid w:val="009F738B"/>
    <w:rsid w:val="009F7DE3"/>
    <w:rsid w:val="00A00712"/>
    <w:rsid w:val="00A016B3"/>
    <w:rsid w:val="00A052D8"/>
    <w:rsid w:val="00A05A0F"/>
    <w:rsid w:val="00A1027D"/>
    <w:rsid w:val="00A1040E"/>
    <w:rsid w:val="00A11C5A"/>
    <w:rsid w:val="00A12464"/>
    <w:rsid w:val="00A1253D"/>
    <w:rsid w:val="00A12AA8"/>
    <w:rsid w:val="00A12DA1"/>
    <w:rsid w:val="00A12E4D"/>
    <w:rsid w:val="00A1570B"/>
    <w:rsid w:val="00A15D4A"/>
    <w:rsid w:val="00A16198"/>
    <w:rsid w:val="00A16380"/>
    <w:rsid w:val="00A1667D"/>
    <w:rsid w:val="00A21251"/>
    <w:rsid w:val="00A22718"/>
    <w:rsid w:val="00A23883"/>
    <w:rsid w:val="00A26C70"/>
    <w:rsid w:val="00A27701"/>
    <w:rsid w:val="00A27D23"/>
    <w:rsid w:val="00A3117D"/>
    <w:rsid w:val="00A320B1"/>
    <w:rsid w:val="00A32F68"/>
    <w:rsid w:val="00A3317A"/>
    <w:rsid w:val="00A3583D"/>
    <w:rsid w:val="00A359C0"/>
    <w:rsid w:val="00A35B61"/>
    <w:rsid w:val="00A36AE3"/>
    <w:rsid w:val="00A36FE1"/>
    <w:rsid w:val="00A374D4"/>
    <w:rsid w:val="00A3759C"/>
    <w:rsid w:val="00A40364"/>
    <w:rsid w:val="00A409D0"/>
    <w:rsid w:val="00A41274"/>
    <w:rsid w:val="00A4349A"/>
    <w:rsid w:val="00A44570"/>
    <w:rsid w:val="00A457E1"/>
    <w:rsid w:val="00A4585D"/>
    <w:rsid w:val="00A45C84"/>
    <w:rsid w:val="00A470C9"/>
    <w:rsid w:val="00A47A62"/>
    <w:rsid w:val="00A50DB3"/>
    <w:rsid w:val="00A532CE"/>
    <w:rsid w:val="00A538F2"/>
    <w:rsid w:val="00A540FA"/>
    <w:rsid w:val="00A545F6"/>
    <w:rsid w:val="00A54E0E"/>
    <w:rsid w:val="00A56327"/>
    <w:rsid w:val="00A56668"/>
    <w:rsid w:val="00A56DB2"/>
    <w:rsid w:val="00A60829"/>
    <w:rsid w:val="00A609AB"/>
    <w:rsid w:val="00A61F01"/>
    <w:rsid w:val="00A64288"/>
    <w:rsid w:val="00A6484B"/>
    <w:rsid w:val="00A65CD6"/>
    <w:rsid w:val="00A65E69"/>
    <w:rsid w:val="00A66143"/>
    <w:rsid w:val="00A66D80"/>
    <w:rsid w:val="00A6700C"/>
    <w:rsid w:val="00A7149C"/>
    <w:rsid w:val="00A71C03"/>
    <w:rsid w:val="00A7437E"/>
    <w:rsid w:val="00A75B89"/>
    <w:rsid w:val="00A766B5"/>
    <w:rsid w:val="00A76D38"/>
    <w:rsid w:val="00A774EC"/>
    <w:rsid w:val="00A805BE"/>
    <w:rsid w:val="00A81E50"/>
    <w:rsid w:val="00A8295F"/>
    <w:rsid w:val="00A82974"/>
    <w:rsid w:val="00A82A4E"/>
    <w:rsid w:val="00A834A3"/>
    <w:rsid w:val="00A834D3"/>
    <w:rsid w:val="00A835F6"/>
    <w:rsid w:val="00A8457E"/>
    <w:rsid w:val="00A84E4C"/>
    <w:rsid w:val="00A855C7"/>
    <w:rsid w:val="00A86900"/>
    <w:rsid w:val="00A869BD"/>
    <w:rsid w:val="00A908A6"/>
    <w:rsid w:val="00A91E53"/>
    <w:rsid w:val="00A92CDB"/>
    <w:rsid w:val="00A93996"/>
    <w:rsid w:val="00A943F9"/>
    <w:rsid w:val="00A94CFA"/>
    <w:rsid w:val="00A95850"/>
    <w:rsid w:val="00A95A5B"/>
    <w:rsid w:val="00A96299"/>
    <w:rsid w:val="00A965CD"/>
    <w:rsid w:val="00AA0316"/>
    <w:rsid w:val="00AA383D"/>
    <w:rsid w:val="00AA49B8"/>
    <w:rsid w:val="00AA575C"/>
    <w:rsid w:val="00AB53F7"/>
    <w:rsid w:val="00AB57F5"/>
    <w:rsid w:val="00AB6E96"/>
    <w:rsid w:val="00AB714A"/>
    <w:rsid w:val="00AB774A"/>
    <w:rsid w:val="00AC02F3"/>
    <w:rsid w:val="00AC0959"/>
    <w:rsid w:val="00AC1E5E"/>
    <w:rsid w:val="00AC3C69"/>
    <w:rsid w:val="00AC3DC6"/>
    <w:rsid w:val="00AC46D0"/>
    <w:rsid w:val="00AC5392"/>
    <w:rsid w:val="00AC5901"/>
    <w:rsid w:val="00AC6913"/>
    <w:rsid w:val="00AC6C56"/>
    <w:rsid w:val="00AC7832"/>
    <w:rsid w:val="00AC7AC5"/>
    <w:rsid w:val="00AD0630"/>
    <w:rsid w:val="00AD0A32"/>
    <w:rsid w:val="00AD0CCB"/>
    <w:rsid w:val="00AD0DD5"/>
    <w:rsid w:val="00AD144A"/>
    <w:rsid w:val="00AD15D8"/>
    <w:rsid w:val="00AD2BB3"/>
    <w:rsid w:val="00AD3EC4"/>
    <w:rsid w:val="00AD498D"/>
    <w:rsid w:val="00AD5227"/>
    <w:rsid w:val="00AD59F8"/>
    <w:rsid w:val="00AD5ED3"/>
    <w:rsid w:val="00AD6834"/>
    <w:rsid w:val="00AD7B20"/>
    <w:rsid w:val="00AE05A0"/>
    <w:rsid w:val="00AE0EA7"/>
    <w:rsid w:val="00AE4563"/>
    <w:rsid w:val="00AE6557"/>
    <w:rsid w:val="00AE72B5"/>
    <w:rsid w:val="00AE7B99"/>
    <w:rsid w:val="00AF0578"/>
    <w:rsid w:val="00AF0A5C"/>
    <w:rsid w:val="00AF21FB"/>
    <w:rsid w:val="00AF314A"/>
    <w:rsid w:val="00AF3588"/>
    <w:rsid w:val="00AF3D7A"/>
    <w:rsid w:val="00AF4C69"/>
    <w:rsid w:val="00AF5D90"/>
    <w:rsid w:val="00AF5E71"/>
    <w:rsid w:val="00AF7193"/>
    <w:rsid w:val="00AF7DE9"/>
    <w:rsid w:val="00B002C1"/>
    <w:rsid w:val="00B0098E"/>
    <w:rsid w:val="00B00FBD"/>
    <w:rsid w:val="00B014C2"/>
    <w:rsid w:val="00B0311E"/>
    <w:rsid w:val="00B03D28"/>
    <w:rsid w:val="00B0495E"/>
    <w:rsid w:val="00B05A95"/>
    <w:rsid w:val="00B1067E"/>
    <w:rsid w:val="00B1177A"/>
    <w:rsid w:val="00B1239D"/>
    <w:rsid w:val="00B12FBB"/>
    <w:rsid w:val="00B15563"/>
    <w:rsid w:val="00B163EA"/>
    <w:rsid w:val="00B16A1F"/>
    <w:rsid w:val="00B1775C"/>
    <w:rsid w:val="00B20B77"/>
    <w:rsid w:val="00B24FDA"/>
    <w:rsid w:val="00B26377"/>
    <w:rsid w:val="00B26552"/>
    <w:rsid w:val="00B26D11"/>
    <w:rsid w:val="00B27091"/>
    <w:rsid w:val="00B277F2"/>
    <w:rsid w:val="00B27E37"/>
    <w:rsid w:val="00B3182C"/>
    <w:rsid w:val="00B326B1"/>
    <w:rsid w:val="00B33F20"/>
    <w:rsid w:val="00B34E71"/>
    <w:rsid w:val="00B3573B"/>
    <w:rsid w:val="00B35FAF"/>
    <w:rsid w:val="00B3613E"/>
    <w:rsid w:val="00B36EB3"/>
    <w:rsid w:val="00B37628"/>
    <w:rsid w:val="00B37931"/>
    <w:rsid w:val="00B40D76"/>
    <w:rsid w:val="00B42310"/>
    <w:rsid w:val="00B4256E"/>
    <w:rsid w:val="00B427FF"/>
    <w:rsid w:val="00B43640"/>
    <w:rsid w:val="00B44567"/>
    <w:rsid w:val="00B445E7"/>
    <w:rsid w:val="00B44F64"/>
    <w:rsid w:val="00B45AAE"/>
    <w:rsid w:val="00B461B6"/>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71CC"/>
    <w:rsid w:val="00B6747C"/>
    <w:rsid w:val="00B70009"/>
    <w:rsid w:val="00B706CA"/>
    <w:rsid w:val="00B72998"/>
    <w:rsid w:val="00B72E8D"/>
    <w:rsid w:val="00B7416A"/>
    <w:rsid w:val="00B757F8"/>
    <w:rsid w:val="00B7593E"/>
    <w:rsid w:val="00B75DFE"/>
    <w:rsid w:val="00B761FF"/>
    <w:rsid w:val="00B812A2"/>
    <w:rsid w:val="00B813C3"/>
    <w:rsid w:val="00B8162F"/>
    <w:rsid w:val="00B82627"/>
    <w:rsid w:val="00B83B20"/>
    <w:rsid w:val="00B84C38"/>
    <w:rsid w:val="00B87CCE"/>
    <w:rsid w:val="00B925C3"/>
    <w:rsid w:val="00B93D22"/>
    <w:rsid w:val="00B93FEF"/>
    <w:rsid w:val="00B94513"/>
    <w:rsid w:val="00B9551B"/>
    <w:rsid w:val="00B9612D"/>
    <w:rsid w:val="00B9664F"/>
    <w:rsid w:val="00BA0078"/>
    <w:rsid w:val="00BA0E24"/>
    <w:rsid w:val="00BA2D43"/>
    <w:rsid w:val="00BA3021"/>
    <w:rsid w:val="00BA5980"/>
    <w:rsid w:val="00BB0207"/>
    <w:rsid w:val="00BB1338"/>
    <w:rsid w:val="00BB23F5"/>
    <w:rsid w:val="00BB28AC"/>
    <w:rsid w:val="00BB3352"/>
    <w:rsid w:val="00BB3A8A"/>
    <w:rsid w:val="00BB5C70"/>
    <w:rsid w:val="00BB63D2"/>
    <w:rsid w:val="00BB6F39"/>
    <w:rsid w:val="00BB713D"/>
    <w:rsid w:val="00BB7BB3"/>
    <w:rsid w:val="00BC008F"/>
    <w:rsid w:val="00BC1380"/>
    <w:rsid w:val="00BC1CC8"/>
    <w:rsid w:val="00BC2BC4"/>
    <w:rsid w:val="00BC35D6"/>
    <w:rsid w:val="00BC4045"/>
    <w:rsid w:val="00BD0251"/>
    <w:rsid w:val="00BD2188"/>
    <w:rsid w:val="00BD253A"/>
    <w:rsid w:val="00BD27C6"/>
    <w:rsid w:val="00BD2BD0"/>
    <w:rsid w:val="00BD37BD"/>
    <w:rsid w:val="00BD46FF"/>
    <w:rsid w:val="00BD531F"/>
    <w:rsid w:val="00BD7D27"/>
    <w:rsid w:val="00BE0C11"/>
    <w:rsid w:val="00BE164F"/>
    <w:rsid w:val="00BE1F58"/>
    <w:rsid w:val="00BE372E"/>
    <w:rsid w:val="00BE3962"/>
    <w:rsid w:val="00BE554B"/>
    <w:rsid w:val="00BE5FA5"/>
    <w:rsid w:val="00BE742F"/>
    <w:rsid w:val="00BE775C"/>
    <w:rsid w:val="00BF1695"/>
    <w:rsid w:val="00BF20FD"/>
    <w:rsid w:val="00BF4351"/>
    <w:rsid w:val="00BF7B4F"/>
    <w:rsid w:val="00C00ED0"/>
    <w:rsid w:val="00C01141"/>
    <w:rsid w:val="00C016FF"/>
    <w:rsid w:val="00C02EBD"/>
    <w:rsid w:val="00C03842"/>
    <w:rsid w:val="00C03F64"/>
    <w:rsid w:val="00C1005E"/>
    <w:rsid w:val="00C10D7B"/>
    <w:rsid w:val="00C11C83"/>
    <w:rsid w:val="00C12BC8"/>
    <w:rsid w:val="00C151AE"/>
    <w:rsid w:val="00C1675F"/>
    <w:rsid w:val="00C174FA"/>
    <w:rsid w:val="00C17794"/>
    <w:rsid w:val="00C178E1"/>
    <w:rsid w:val="00C20599"/>
    <w:rsid w:val="00C218D6"/>
    <w:rsid w:val="00C265C5"/>
    <w:rsid w:val="00C27D9D"/>
    <w:rsid w:val="00C3029E"/>
    <w:rsid w:val="00C32184"/>
    <w:rsid w:val="00C3221D"/>
    <w:rsid w:val="00C32E5D"/>
    <w:rsid w:val="00C3358C"/>
    <w:rsid w:val="00C35139"/>
    <w:rsid w:val="00C35420"/>
    <w:rsid w:val="00C35766"/>
    <w:rsid w:val="00C35866"/>
    <w:rsid w:val="00C36F0E"/>
    <w:rsid w:val="00C371D6"/>
    <w:rsid w:val="00C37CD9"/>
    <w:rsid w:val="00C37DF4"/>
    <w:rsid w:val="00C41E44"/>
    <w:rsid w:val="00C4379A"/>
    <w:rsid w:val="00C43E76"/>
    <w:rsid w:val="00C4603F"/>
    <w:rsid w:val="00C47876"/>
    <w:rsid w:val="00C47DE7"/>
    <w:rsid w:val="00C51043"/>
    <w:rsid w:val="00C51BA4"/>
    <w:rsid w:val="00C54081"/>
    <w:rsid w:val="00C54706"/>
    <w:rsid w:val="00C5613A"/>
    <w:rsid w:val="00C5657F"/>
    <w:rsid w:val="00C56C3A"/>
    <w:rsid w:val="00C5715C"/>
    <w:rsid w:val="00C6068B"/>
    <w:rsid w:val="00C61155"/>
    <w:rsid w:val="00C61842"/>
    <w:rsid w:val="00C61F70"/>
    <w:rsid w:val="00C62DDE"/>
    <w:rsid w:val="00C6602C"/>
    <w:rsid w:val="00C66A97"/>
    <w:rsid w:val="00C66F4A"/>
    <w:rsid w:val="00C66F51"/>
    <w:rsid w:val="00C671CF"/>
    <w:rsid w:val="00C7105E"/>
    <w:rsid w:val="00C71221"/>
    <w:rsid w:val="00C71970"/>
    <w:rsid w:val="00C727A7"/>
    <w:rsid w:val="00C72C41"/>
    <w:rsid w:val="00C76A55"/>
    <w:rsid w:val="00C76E69"/>
    <w:rsid w:val="00C80481"/>
    <w:rsid w:val="00C8200F"/>
    <w:rsid w:val="00C82843"/>
    <w:rsid w:val="00C828BA"/>
    <w:rsid w:val="00C8328B"/>
    <w:rsid w:val="00C83B92"/>
    <w:rsid w:val="00C83F17"/>
    <w:rsid w:val="00C85F9A"/>
    <w:rsid w:val="00C87624"/>
    <w:rsid w:val="00C9107A"/>
    <w:rsid w:val="00C9317D"/>
    <w:rsid w:val="00C946D4"/>
    <w:rsid w:val="00C94D4D"/>
    <w:rsid w:val="00C96C6A"/>
    <w:rsid w:val="00C97618"/>
    <w:rsid w:val="00C97776"/>
    <w:rsid w:val="00C97E34"/>
    <w:rsid w:val="00CA17B0"/>
    <w:rsid w:val="00CA2F7C"/>
    <w:rsid w:val="00CA3A84"/>
    <w:rsid w:val="00CA3F21"/>
    <w:rsid w:val="00CA416B"/>
    <w:rsid w:val="00CA4E7C"/>
    <w:rsid w:val="00CA5415"/>
    <w:rsid w:val="00CA5D31"/>
    <w:rsid w:val="00CB040E"/>
    <w:rsid w:val="00CB0A45"/>
    <w:rsid w:val="00CB2739"/>
    <w:rsid w:val="00CB3447"/>
    <w:rsid w:val="00CB346A"/>
    <w:rsid w:val="00CB3F92"/>
    <w:rsid w:val="00CB6251"/>
    <w:rsid w:val="00CB6D82"/>
    <w:rsid w:val="00CC1410"/>
    <w:rsid w:val="00CC3252"/>
    <w:rsid w:val="00CC3D5D"/>
    <w:rsid w:val="00CC73C0"/>
    <w:rsid w:val="00CD01B3"/>
    <w:rsid w:val="00CD24D3"/>
    <w:rsid w:val="00CD3DF7"/>
    <w:rsid w:val="00CD4718"/>
    <w:rsid w:val="00CD4EF2"/>
    <w:rsid w:val="00CD52E5"/>
    <w:rsid w:val="00CD5664"/>
    <w:rsid w:val="00CD5742"/>
    <w:rsid w:val="00CD6488"/>
    <w:rsid w:val="00CD7897"/>
    <w:rsid w:val="00CE1DA6"/>
    <w:rsid w:val="00CE294E"/>
    <w:rsid w:val="00CE2BE7"/>
    <w:rsid w:val="00CE2E80"/>
    <w:rsid w:val="00CE3833"/>
    <w:rsid w:val="00CE3D75"/>
    <w:rsid w:val="00CF023E"/>
    <w:rsid w:val="00CF0286"/>
    <w:rsid w:val="00CF21B0"/>
    <w:rsid w:val="00CF6CCB"/>
    <w:rsid w:val="00CF7DDB"/>
    <w:rsid w:val="00D00E56"/>
    <w:rsid w:val="00D01788"/>
    <w:rsid w:val="00D01F1B"/>
    <w:rsid w:val="00D024DF"/>
    <w:rsid w:val="00D03193"/>
    <w:rsid w:val="00D03756"/>
    <w:rsid w:val="00D048ED"/>
    <w:rsid w:val="00D06089"/>
    <w:rsid w:val="00D06A3A"/>
    <w:rsid w:val="00D07869"/>
    <w:rsid w:val="00D11C6D"/>
    <w:rsid w:val="00D1330B"/>
    <w:rsid w:val="00D1366E"/>
    <w:rsid w:val="00D14070"/>
    <w:rsid w:val="00D16439"/>
    <w:rsid w:val="00D202C0"/>
    <w:rsid w:val="00D20B46"/>
    <w:rsid w:val="00D22DA0"/>
    <w:rsid w:val="00D236B0"/>
    <w:rsid w:val="00D2579C"/>
    <w:rsid w:val="00D2579F"/>
    <w:rsid w:val="00D2628D"/>
    <w:rsid w:val="00D27262"/>
    <w:rsid w:val="00D27746"/>
    <w:rsid w:val="00D27BD6"/>
    <w:rsid w:val="00D3023A"/>
    <w:rsid w:val="00D30C72"/>
    <w:rsid w:val="00D30FEA"/>
    <w:rsid w:val="00D310A6"/>
    <w:rsid w:val="00D31EE3"/>
    <w:rsid w:val="00D325BA"/>
    <w:rsid w:val="00D32CD9"/>
    <w:rsid w:val="00D331F1"/>
    <w:rsid w:val="00D3489A"/>
    <w:rsid w:val="00D36DB6"/>
    <w:rsid w:val="00D4036A"/>
    <w:rsid w:val="00D41CA9"/>
    <w:rsid w:val="00D41E58"/>
    <w:rsid w:val="00D428D4"/>
    <w:rsid w:val="00D430A2"/>
    <w:rsid w:val="00D43285"/>
    <w:rsid w:val="00D4355E"/>
    <w:rsid w:val="00D43D35"/>
    <w:rsid w:val="00D50A2E"/>
    <w:rsid w:val="00D54085"/>
    <w:rsid w:val="00D55C0C"/>
    <w:rsid w:val="00D56151"/>
    <w:rsid w:val="00D57F94"/>
    <w:rsid w:val="00D60519"/>
    <w:rsid w:val="00D60791"/>
    <w:rsid w:val="00D61368"/>
    <w:rsid w:val="00D61DEB"/>
    <w:rsid w:val="00D63B24"/>
    <w:rsid w:val="00D64BA9"/>
    <w:rsid w:val="00D66B7E"/>
    <w:rsid w:val="00D670BB"/>
    <w:rsid w:val="00D710C2"/>
    <w:rsid w:val="00D715A9"/>
    <w:rsid w:val="00D71B9A"/>
    <w:rsid w:val="00D746EE"/>
    <w:rsid w:val="00D754E1"/>
    <w:rsid w:val="00D75A67"/>
    <w:rsid w:val="00D76485"/>
    <w:rsid w:val="00D81614"/>
    <w:rsid w:val="00D81B03"/>
    <w:rsid w:val="00D8227A"/>
    <w:rsid w:val="00D822A2"/>
    <w:rsid w:val="00D825E5"/>
    <w:rsid w:val="00D8452D"/>
    <w:rsid w:val="00D91E0C"/>
    <w:rsid w:val="00D91F63"/>
    <w:rsid w:val="00D93AC9"/>
    <w:rsid w:val="00D94935"/>
    <w:rsid w:val="00D95748"/>
    <w:rsid w:val="00DA002C"/>
    <w:rsid w:val="00DA2792"/>
    <w:rsid w:val="00DA3BAF"/>
    <w:rsid w:val="00DA3DFC"/>
    <w:rsid w:val="00DA5194"/>
    <w:rsid w:val="00DA5432"/>
    <w:rsid w:val="00DA58AC"/>
    <w:rsid w:val="00DA5DA0"/>
    <w:rsid w:val="00DA5DC2"/>
    <w:rsid w:val="00DA5DD0"/>
    <w:rsid w:val="00DB06CA"/>
    <w:rsid w:val="00DB1696"/>
    <w:rsid w:val="00DB365E"/>
    <w:rsid w:val="00DB4D79"/>
    <w:rsid w:val="00DC1FC6"/>
    <w:rsid w:val="00DC2C12"/>
    <w:rsid w:val="00DC2ECD"/>
    <w:rsid w:val="00DC3098"/>
    <w:rsid w:val="00DC31E8"/>
    <w:rsid w:val="00DC4303"/>
    <w:rsid w:val="00DC550E"/>
    <w:rsid w:val="00DC615B"/>
    <w:rsid w:val="00DD1776"/>
    <w:rsid w:val="00DD6141"/>
    <w:rsid w:val="00DD645B"/>
    <w:rsid w:val="00DD7103"/>
    <w:rsid w:val="00DD7528"/>
    <w:rsid w:val="00DD771A"/>
    <w:rsid w:val="00DE08B0"/>
    <w:rsid w:val="00DE122D"/>
    <w:rsid w:val="00DE207D"/>
    <w:rsid w:val="00DE6187"/>
    <w:rsid w:val="00DE63E5"/>
    <w:rsid w:val="00DF05D5"/>
    <w:rsid w:val="00DF10CE"/>
    <w:rsid w:val="00DF18AD"/>
    <w:rsid w:val="00DF198D"/>
    <w:rsid w:val="00DF1C49"/>
    <w:rsid w:val="00DF5DB1"/>
    <w:rsid w:val="00DF7937"/>
    <w:rsid w:val="00DF7A62"/>
    <w:rsid w:val="00E00DAB"/>
    <w:rsid w:val="00E0375D"/>
    <w:rsid w:val="00E0480D"/>
    <w:rsid w:val="00E05159"/>
    <w:rsid w:val="00E06105"/>
    <w:rsid w:val="00E06990"/>
    <w:rsid w:val="00E075F9"/>
    <w:rsid w:val="00E07EF9"/>
    <w:rsid w:val="00E11B2E"/>
    <w:rsid w:val="00E11C86"/>
    <w:rsid w:val="00E11E65"/>
    <w:rsid w:val="00E1447C"/>
    <w:rsid w:val="00E153F2"/>
    <w:rsid w:val="00E16B4D"/>
    <w:rsid w:val="00E17301"/>
    <w:rsid w:val="00E20851"/>
    <w:rsid w:val="00E20A35"/>
    <w:rsid w:val="00E212F8"/>
    <w:rsid w:val="00E2394C"/>
    <w:rsid w:val="00E24AF9"/>
    <w:rsid w:val="00E262B8"/>
    <w:rsid w:val="00E26868"/>
    <w:rsid w:val="00E27B66"/>
    <w:rsid w:val="00E30060"/>
    <w:rsid w:val="00E31098"/>
    <w:rsid w:val="00E318DA"/>
    <w:rsid w:val="00E31930"/>
    <w:rsid w:val="00E322C7"/>
    <w:rsid w:val="00E3291A"/>
    <w:rsid w:val="00E337DD"/>
    <w:rsid w:val="00E34AA7"/>
    <w:rsid w:val="00E3662E"/>
    <w:rsid w:val="00E374CE"/>
    <w:rsid w:val="00E377DD"/>
    <w:rsid w:val="00E403F1"/>
    <w:rsid w:val="00E4068A"/>
    <w:rsid w:val="00E40F30"/>
    <w:rsid w:val="00E4199B"/>
    <w:rsid w:val="00E43708"/>
    <w:rsid w:val="00E439D1"/>
    <w:rsid w:val="00E43E1C"/>
    <w:rsid w:val="00E44474"/>
    <w:rsid w:val="00E44634"/>
    <w:rsid w:val="00E4516C"/>
    <w:rsid w:val="00E4538C"/>
    <w:rsid w:val="00E461F8"/>
    <w:rsid w:val="00E50C67"/>
    <w:rsid w:val="00E551B9"/>
    <w:rsid w:val="00E55904"/>
    <w:rsid w:val="00E57A14"/>
    <w:rsid w:val="00E61220"/>
    <w:rsid w:val="00E615C5"/>
    <w:rsid w:val="00E62831"/>
    <w:rsid w:val="00E631A2"/>
    <w:rsid w:val="00E63389"/>
    <w:rsid w:val="00E63746"/>
    <w:rsid w:val="00E6423C"/>
    <w:rsid w:val="00E7391D"/>
    <w:rsid w:val="00E7419A"/>
    <w:rsid w:val="00E7506A"/>
    <w:rsid w:val="00E75E02"/>
    <w:rsid w:val="00E75F7A"/>
    <w:rsid w:val="00E83D43"/>
    <w:rsid w:val="00E86342"/>
    <w:rsid w:val="00E86A62"/>
    <w:rsid w:val="00E87BCD"/>
    <w:rsid w:val="00E925EF"/>
    <w:rsid w:val="00E92D4C"/>
    <w:rsid w:val="00E93B01"/>
    <w:rsid w:val="00E93B0F"/>
    <w:rsid w:val="00E957C5"/>
    <w:rsid w:val="00E9582B"/>
    <w:rsid w:val="00E96161"/>
    <w:rsid w:val="00E964D4"/>
    <w:rsid w:val="00EA0064"/>
    <w:rsid w:val="00EA33CF"/>
    <w:rsid w:val="00EA4546"/>
    <w:rsid w:val="00EA4DFC"/>
    <w:rsid w:val="00EA62B9"/>
    <w:rsid w:val="00EA6336"/>
    <w:rsid w:val="00EB0754"/>
    <w:rsid w:val="00EB0F65"/>
    <w:rsid w:val="00EB3EFE"/>
    <w:rsid w:val="00EB59D3"/>
    <w:rsid w:val="00EB5A8C"/>
    <w:rsid w:val="00EB7CCD"/>
    <w:rsid w:val="00EC079A"/>
    <w:rsid w:val="00EC0C19"/>
    <w:rsid w:val="00EC0FC7"/>
    <w:rsid w:val="00EC10C8"/>
    <w:rsid w:val="00EC132E"/>
    <w:rsid w:val="00EC1C2D"/>
    <w:rsid w:val="00EC1ECB"/>
    <w:rsid w:val="00EC1F5B"/>
    <w:rsid w:val="00EC2197"/>
    <w:rsid w:val="00EC318A"/>
    <w:rsid w:val="00EC3C92"/>
    <w:rsid w:val="00EC660F"/>
    <w:rsid w:val="00ED32F4"/>
    <w:rsid w:val="00ED77DE"/>
    <w:rsid w:val="00EE0507"/>
    <w:rsid w:val="00EE0869"/>
    <w:rsid w:val="00EE1278"/>
    <w:rsid w:val="00EE2219"/>
    <w:rsid w:val="00EE4673"/>
    <w:rsid w:val="00EE4E00"/>
    <w:rsid w:val="00EE4F2A"/>
    <w:rsid w:val="00EE601D"/>
    <w:rsid w:val="00EF08E1"/>
    <w:rsid w:val="00EF0B38"/>
    <w:rsid w:val="00EF16BE"/>
    <w:rsid w:val="00EF1F39"/>
    <w:rsid w:val="00EF26B5"/>
    <w:rsid w:val="00EF5891"/>
    <w:rsid w:val="00EF5F1F"/>
    <w:rsid w:val="00EF6274"/>
    <w:rsid w:val="00F00492"/>
    <w:rsid w:val="00F009C2"/>
    <w:rsid w:val="00F01B65"/>
    <w:rsid w:val="00F02960"/>
    <w:rsid w:val="00F031BA"/>
    <w:rsid w:val="00F06A1E"/>
    <w:rsid w:val="00F07FF8"/>
    <w:rsid w:val="00F10AE1"/>
    <w:rsid w:val="00F116D1"/>
    <w:rsid w:val="00F12117"/>
    <w:rsid w:val="00F122D7"/>
    <w:rsid w:val="00F13D87"/>
    <w:rsid w:val="00F14997"/>
    <w:rsid w:val="00F15B2A"/>
    <w:rsid w:val="00F15D58"/>
    <w:rsid w:val="00F163E0"/>
    <w:rsid w:val="00F1762E"/>
    <w:rsid w:val="00F21AF7"/>
    <w:rsid w:val="00F22CB3"/>
    <w:rsid w:val="00F24EA9"/>
    <w:rsid w:val="00F2593D"/>
    <w:rsid w:val="00F26575"/>
    <w:rsid w:val="00F27429"/>
    <w:rsid w:val="00F300B9"/>
    <w:rsid w:val="00F304AA"/>
    <w:rsid w:val="00F30731"/>
    <w:rsid w:val="00F32DEB"/>
    <w:rsid w:val="00F3351F"/>
    <w:rsid w:val="00F33749"/>
    <w:rsid w:val="00F33DCC"/>
    <w:rsid w:val="00F35748"/>
    <w:rsid w:val="00F358FF"/>
    <w:rsid w:val="00F3627D"/>
    <w:rsid w:val="00F36718"/>
    <w:rsid w:val="00F371AE"/>
    <w:rsid w:val="00F40A04"/>
    <w:rsid w:val="00F40EE3"/>
    <w:rsid w:val="00F415ED"/>
    <w:rsid w:val="00F41976"/>
    <w:rsid w:val="00F41CBA"/>
    <w:rsid w:val="00F445FB"/>
    <w:rsid w:val="00F469A8"/>
    <w:rsid w:val="00F5061D"/>
    <w:rsid w:val="00F50B11"/>
    <w:rsid w:val="00F5206E"/>
    <w:rsid w:val="00F577C4"/>
    <w:rsid w:val="00F578F2"/>
    <w:rsid w:val="00F579F2"/>
    <w:rsid w:val="00F60759"/>
    <w:rsid w:val="00F620C6"/>
    <w:rsid w:val="00F625FB"/>
    <w:rsid w:val="00F62934"/>
    <w:rsid w:val="00F631D9"/>
    <w:rsid w:val="00F6345A"/>
    <w:rsid w:val="00F67021"/>
    <w:rsid w:val="00F67C0B"/>
    <w:rsid w:val="00F71A4A"/>
    <w:rsid w:val="00F7243D"/>
    <w:rsid w:val="00F72701"/>
    <w:rsid w:val="00F775A3"/>
    <w:rsid w:val="00F80ED4"/>
    <w:rsid w:val="00F81955"/>
    <w:rsid w:val="00F83F0B"/>
    <w:rsid w:val="00F84704"/>
    <w:rsid w:val="00F85368"/>
    <w:rsid w:val="00F86887"/>
    <w:rsid w:val="00F86A16"/>
    <w:rsid w:val="00F86FCC"/>
    <w:rsid w:val="00F8725F"/>
    <w:rsid w:val="00F876BF"/>
    <w:rsid w:val="00F87CEB"/>
    <w:rsid w:val="00F932DC"/>
    <w:rsid w:val="00F94E74"/>
    <w:rsid w:val="00F9586B"/>
    <w:rsid w:val="00F97467"/>
    <w:rsid w:val="00F97C8C"/>
    <w:rsid w:val="00FA145F"/>
    <w:rsid w:val="00FA1C3D"/>
    <w:rsid w:val="00FA6524"/>
    <w:rsid w:val="00FA6B51"/>
    <w:rsid w:val="00FA6D40"/>
    <w:rsid w:val="00FA7132"/>
    <w:rsid w:val="00FB199C"/>
    <w:rsid w:val="00FB1A2E"/>
    <w:rsid w:val="00FB299F"/>
    <w:rsid w:val="00FB2F85"/>
    <w:rsid w:val="00FB36F1"/>
    <w:rsid w:val="00FB44AB"/>
    <w:rsid w:val="00FB4862"/>
    <w:rsid w:val="00FB5433"/>
    <w:rsid w:val="00FC22A9"/>
    <w:rsid w:val="00FC22AE"/>
    <w:rsid w:val="00FC26ED"/>
    <w:rsid w:val="00FC2AD0"/>
    <w:rsid w:val="00FC508C"/>
    <w:rsid w:val="00FC560D"/>
    <w:rsid w:val="00FC7833"/>
    <w:rsid w:val="00FD1306"/>
    <w:rsid w:val="00FD22C1"/>
    <w:rsid w:val="00FD2A28"/>
    <w:rsid w:val="00FD2D65"/>
    <w:rsid w:val="00FD3424"/>
    <w:rsid w:val="00FD42A6"/>
    <w:rsid w:val="00FD448A"/>
    <w:rsid w:val="00FD45AE"/>
    <w:rsid w:val="00FD5385"/>
    <w:rsid w:val="00FD53CC"/>
    <w:rsid w:val="00FD6B8F"/>
    <w:rsid w:val="00FD6CAB"/>
    <w:rsid w:val="00FE0CB8"/>
    <w:rsid w:val="00FE302D"/>
    <w:rsid w:val="00FE3FC3"/>
    <w:rsid w:val="00FE430C"/>
    <w:rsid w:val="00FE4F1B"/>
    <w:rsid w:val="00FE63B4"/>
    <w:rsid w:val="00FE7328"/>
    <w:rsid w:val="00FF2E95"/>
    <w:rsid w:val="00FF2EB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3D81735E"/>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 w:type="paragraph" w:styleId="Revision">
    <w:name w:val="Revision"/>
    <w:hidden/>
    <w:uiPriority w:val="99"/>
    <w:semiHidden/>
    <w:rsid w:val="00D822A2"/>
    <w:rPr>
      <w:sz w:val="24"/>
      <w:lang w:eastAsia="en-US"/>
    </w:rPr>
  </w:style>
  <w:style w:type="character" w:customStyle="1" w:styleId="chardivtext0">
    <w:name w:val="chardivtext"/>
    <w:basedOn w:val="DefaultParagraphFont"/>
    <w:rsid w:val="00786F44"/>
  </w:style>
  <w:style w:type="character" w:customStyle="1" w:styleId="charsectno1">
    <w:name w:val="charsectno"/>
    <w:basedOn w:val="DefaultParagraphFont"/>
    <w:rsid w:val="00334F73"/>
  </w:style>
  <w:style w:type="paragraph" w:customStyle="1" w:styleId="amainreturn0">
    <w:name w:val="amainreturn"/>
    <w:basedOn w:val="Normal"/>
    <w:rsid w:val="00334F73"/>
    <w:pPr>
      <w:spacing w:before="100" w:beforeAutospacing="1" w:after="100" w:afterAutospacing="1"/>
    </w:pPr>
    <w:rPr>
      <w:szCs w:val="24"/>
      <w:lang w:eastAsia="en-AU"/>
    </w:rPr>
  </w:style>
  <w:style w:type="paragraph" w:customStyle="1" w:styleId="adef0">
    <w:name w:val="adef"/>
    <w:basedOn w:val="Normal"/>
    <w:rsid w:val="00334F73"/>
    <w:pPr>
      <w:spacing w:before="100" w:beforeAutospacing="1" w:after="100" w:afterAutospacing="1"/>
    </w:pPr>
    <w:rPr>
      <w:szCs w:val="24"/>
      <w:lang w:eastAsia="en-AU"/>
    </w:rPr>
  </w:style>
  <w:style w:type="character" w:customStyle="1" w:styleId="charbolditals0">
    <w:name w:val="charbolditals"/>
    <w:basedOn w:val="DefaultParagraphFont"/>
    <w:rsid w:val="00334F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sl/2006-58" TargetMode="External"/><Relationship Id="rId3042" Type="http://schemas.openxmlformats.org/officeDocument/2006/relationships/hyperlink" Target="http://www.legislation.act.gov.au/sl/2016-31/default.asp" TargetMode="External"/><Relationship Id="rId170" Type="http://schemas.openxmlformats.org/officeDocument/2006/relationships/hyperlink" Target="http://www.legislation.act.gov.au/a/2001-14" TargetMode="External"/><Relationship Id="rId987" Type="http://schemas.openxmlformats.org/officeDocument/2006/relationships/footer" Target="footer45.xml"/><Relationship Id="rId2668" Type="http://schemas.openxmlformats.org/officeDocument/2006/relationships/hyperlink" Target="http://www.legislation.act.gov.au/sl/2013-18/default.asp" TargetMode="External"/><Relationship Id="rId2875" Type="http://schemas.openxmlformats.org/officeDocument/2006/relationships/hyperlink" Target="http://www.legislation.act.gov.au/sl/2015-22" TargetMode="External"/><Relationship Id="rId847" Type="http://schemas.openxmlformats.org/officeDocument/2006/relationships/hyperlink" Target="http://www.legislation.act.gov.au/a/2002-51" TargetMode="External"/><Relationship Id="rId1477" Type="http://schemas.openxmlformats.org/officeDocument/2006/relationships/hyperlink" Target="http://www.legislation.act.gov.au/sl/2015-22" TargetMode="External"/><Relationship Id="rId1684" Type="http://schemas.openxmlformats.org/officeDocument/2006/relationships/hyperlink" Target="http://www.legislation.act.gov.au/sl/2017-17/default.asp" TargetMode="External"/><Relationship Id="rId1891" Type="http://schemas.openxmlformats.org/officeDocument/2006/relationships/hyperlink" Target="http://www.legislation.act.gov.au/sl/2006-58" TargetMode="External"/><Relationship Id="rId2528" Type="http://schemas.openxmlformats.org/officeDocument/2006/relationships/hyperlink" Target="http://www.legislation.act.gov.au/sl/2009-32" TargetMode="External"/><Relationship Id="rId2735" Type="http://schemas.openxmlformats.org/officeDocument/2006/relationships/hyperlink" Target="http://www.legislation.act.gov.au/sl/2007-16" TargetMode="External"/><Relationship Id="rId2942" Type="http://schemas.openxmlformats.org/officeDocument/2006/relationships/hyperlink" Target="http://www.legislation.act.gov.au/sl/2011-17" TargetMode="External"/><Relationship Id="rId707" Type="http://schemas.openxmlformats.org/officeDocument/2006/relationships/hyperlink" Target="http://www.legislation.act.gov.au/a/1930-21" TargetMode="External"/><Relationship Id="rId914" Type="http://schemas.openxmlformats.org/officeDocument/2006/relationships/hyperlink" Target="http://www.comlaw.gov.au/Series/C2010A00035" TargetMode="External"/><Relationship Id="rId1337" Type="http://schemas.openxmlformats.org/officeDocument/2006/relationships/hyperlink" Target="http://www.legislation.act.gov.au/sl/2023-36/" TargetMode="External"/><Relationship Id="rId1544" Type="http://schemas.openxmlformats.org/officeDocument/2006/relationships/hyperlink" Target="http://www.legislation.act.gov.au/sl/2007-37" TargetMode="External"/><Relationship Id="rId1751" Type="http://schemas.openxmlformats.org/officeDocument/2006/relationships/hyperlink" Target="http://www.legislation.act.gov.au/sl/2015-22" TargetMode="External"/><Relationship Id="rId2802" Type="http://schemas.openxmlformats.org/officeDocument/2006/relationships/hyperlink" Target="http://www.legislation.act.gov.au/sl/2012-43" TargetMode="External"/><Relationship Id="rId43" Type="http://schemas.openxmlformats.org/officeDocument/2006/relationships/hyperlink" Target="http://www.legislation.act.gov.au/af/2006-447/default.asp" TargetMode="External"/><Relationship Id="rId1404" Type="http://schemas.openxmlformats.org/officeDocument/2006/relationships/hyperlink" Target="http://www.legislation.act.gov.au/sl/2011-17" TargetMode="External"/><Relationship Id="rId1611" Type="http://schemas.openxmlformats.org/officeDocument/2006/relationships/hyperlink" Target="http://www.legislation.act.gov.au/sl/2022-2/" TargetMode="External"/><Relationship Id="rId497" Type="http://schemas.openxmlformats.org/officeDocument/2006/relationships/hyperlink" Target="http://www.legislation.act.gov.au/a/2016-43" TargetMode="External"/><Relationship Id="rId2178" Type="http://schemas.openxmlformats.org/officeDocument/2006/relationships/hyperlink" Target="http://www.legislation.act.gov.au/sl/2013-18/default.asp" TargetMode="External"/><Relationship Id="rId2385" Type="http://schemas.openxmlformats.org/officeDocument/2006/relationships/hyperlink" Target="http://www.legislation.act.gov.au/sl/2009-56" TargetMode="External"/><Relationship Id="rId357" Type="http://schemas.openxmlformats.org/officeDocument/2006/relationships/hyperlink" Target="http://www.legislation.act.gov.au/a/1993-20/default.asp" TargetMode="External"/><Relationship Id="rId1194" Type="http://schemas.openxmlformats.org/officeDocument/2006/relationships/hyperlink" Target="http://www.comlaw.gov.au/Series/C2008A00024" TargetMode="External"/><Relationship Id="rId2038" Type="http://schemas.openxmlformats.org/officeDocument/2006/relationships/hyperlink" Target="http://www.legislation.act.gov.au/sl/2006-58" TargetMode="External"/><Relationship Id="rId2592" Type="http://schemas.openxmlformats.org/officeDocument/2006/relationships/hyperlink" Target="http://www.legislation.act.gov.au/sl/2009-56" TargetMode="External"/><Relationship Id="rId217" Type="http://schemas.openxmlformats.org/officeDocument/2006/relationships/footer" Target="footer11.xml"/><Relationship Id="rId564" Type="http://schemas.openxmlformats.org/officeDocument/2006/relationships/hyperlink" Target="http://www.legislation.act.gov.au/a/1992-8" TargetMode="External"/><Relationship Id="rId771" Type="http://schemas.openxmlformats.org/officeDocument/2006/relationships/hyperlink" Target="http://www.legislation.act.gov.au/a/2008-19" TargetMode="External"/><Relationship Id="rId2245" Type="http://schemas.openxmlformats.org/officeDocument/2006/relationships/hyperlink" Target="http://www.legislation.act.gov.au/a/2010-51" TargetMode="External"/><Relationship Id="rId2452" Type="http://schemas.openxmlformats.org/officeDocument/2006/relationships/hyperlink" Target="http://www.legislation.act.gov.au/sl/2018-25/default.asp"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comlaw.gov.au/Details/C2013C00180" TargetMode="External"/><Relationship Id="rId1054" Type="http://schemas.openxmlformats.org/officeDocument/2006/relationships/header" Target="header40.xml"/><Relationship Id="rId1261" Type="http://schemas.openxmlformats.org/officeDocument/2006/relationships/hyperlink" Target="http://www.legislation.act.gov.au/cn/2009-4/default.asp" TargetMode="External"/><Relationship Id="rId2105" Type="http://schemas.openxmlformats.org/officeDocument/2006/relationships/hyperlink" Target="http://www.legislation.act.gov.au/a/2010-21" TargetMode="External"/><Relationship Id="rId2312" Type="http://schemas.openxmlformats.org/officeDocument/2006/relationships/hyperlink" Target="http://www.legislation.act.gov.au/sl/2011-17" TargetMode="External"/><Relationship Id="rId1121" Type="http://schemas.openxmlformats.org/officeDocument/2006/relationships/hyperlink" Target="http://www.comlaw.gov.au/Series/C2007A00132" TargetMode="External"/><Relationship Id="rId3086" Type="http://schemas.openxmlformats.org/officeDocument/2006/relationships/header" Target="header56.xml"/><Relationship Id="rId1938" Type="http://schemas.openxmlformats.org/officeDocument/2006/relationships/hyperlink" Target="http://www.legislation.act.gov.au/sl/2017-10/default.asp" TargetMode="External"/><Relationship Id="rId281" Type="http://schemas.openxmlformats.org/officeDocument/2006/relationships/hyperlink" Target="http://www.legislation.act.gov.au/a/2001-14" TargetMode="External"/><Relationship Id="rId3013" Type="http://schemas.openxmlformats.org/officeDocument/2006/relationships/hyperlink" Target="http://www.legislation.act.gov.au/sl/2012-43"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2779" Type="http://schemas.openxmlformats.org/officeDocument/2006/relationships/hyperlink" Target="http://www.legislation.act.gov.au/sl/2012-43" TargetMode="External"/><Relationship Id="rId2986" Type="http://schemas.openxmlformats.org/officeDocument/2006/relationships/hyperlink" Target="http://www.legislation.act.gov.au/a/2009-49" TargetMode="External"/><Relationship Id="rId958" Type="http://schemas.openxmlformats.org/officeDocument/2006/relationships/header" Target="header24.xml"/><Relationship Id="rId1588" Type="http://schemas.openxmlformats.org/officeDocument/2006/relationships/hyperlink" Target="http://www.legislation.act.gov.au/sl/2007-16" TargetMode="External"/><Relationship Id="rId1795" Type="http://schemas.openxmlformats.org/officeDocument/2006/relationships/hyperlink" Target="http://www.legislation.act.gov.au/sl/2009-32" TargetMode="External"/><Relationship Id="rId2639" Type="http://schemas.openxmlformats.org/officeDocument/2006/relationships/hyperlink" Target="http://www.legislation.act.gov.au/sl/2014-34" TargetMode="External"/><Relationship Id="rId2846" Type="http://schemas.openxmlformats.org/officeDocument/2006/relationships/hyperlink" Target="http://www.legislation.act.gov.au/sl/2015-22" TargetMode="External"/><Relationship Id="rId87" Type="http://schemas.openxmlformats.org/officeDocument/2006/relationships/hyperlink" Target="http://www.legislation.act.gov.au/af/2015-28/default.asp" TargetMode="External"/><Relationship Id="rId818" Type="http://schemas.openxmlformats.org/officeDocument/2006/relationships/hyperlink" Target="http://www.legislation.act.gov.au/a/1963-5" TargetMode="External"/><Relationship Id="rId1448" Type="http://schemas.openxmlformats.org/officeDocument/2006/relationships/hyperlink" Target="http://www.legislation.act.gov.au/sl/2015-42/default.asp" TargetMode="External"/><Relationship Id="rId1655" Type="http://schemas.openxmlformats.org/officeDocument/2006/relationships/hyperlink" Target="http://www.legislation.act.gov.au/sl/2022-2/" TargetMode="External"/><Relationship Id="rId2706" Type="http://schemas.openxmlformats.org/officeDocument/2006/relationships/hyperlink" Target="http://www.legislation.act.gov.au/sl/2011-33" TargetMode="External"/><Relationship Id="rId1308" Type="http://schemas.openxmlformats.org/officeDocument/2006/relationships/hyperlink" Target="http://www.legislation.act.gov.au/sl/2020-6/default.asp" TargetMode="External"/><Relationship Id="rId1862" Type="http://schemas.openxmlformats.org/officeDocument/2006/relationships/hyperlink" Target="http://www.legislation.act.gov.au/sl/2009-32" TargetMode="External"/><Relationship Id="rId2913" Type="http://schemas.openxmlformats.org/officeDocument/2006/relationships/hyperlink" Target="http://www.legislation.act.gov.au/sl/2009-32" TargetMode="External"/><Relationship Id="rId1515" Type="http://schemas.openxmlformats.org/officeDocument/2006/relationships/hyperlink" Target="http://www.legislation.act.gov.au/sl/2015-22" TargetMode="External"/><Relationship Id="rId1722" Type="http://schemas.openxmlformats.org/officeDocument/2006/relationships/hyperlink" Target="http://www.legislation.act.gov.au/sl/2014-9"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sl/2013-32" TargetMode="External"/><Relationship Id="rId2496" Type="http://schemas.openxmlformats.org/officeDocument/2006/relationships/hyperlink" Target="http://www.legislation.act.gov.au/sl/2009-32" TargetMode="External"/><Relationship Id="rId468" Type="http://schemas.openxmlformats.org/officeDocument/2006/relationships/hyperlink" Target="http://www.legislation.act.gov.au/a/alt_a1989-33co/default.asp" TargetMode="External"/><Relationship Id="rId675" Type="http://schemas.openxmlformats.org/officeDocument/2006/relationships/hyperlink" Target="http://www.legislation.act.gov.au/a/2001-14" TargetMode="External"/><Relationship Id="rId882" Type="http://schemas.openxmlformats.org/officeDocument/2006/relationships/header" Target="header18.xml"/><Relationship Id="rId1098" Type="http://schemas.openxmlformats.org/officeDocument/2006/relationships/hyperlink" Target="http://www.comlaw.gov.au/Series/C2004A00818" TargetMode="External"/><Relationship Id="rId2149" Type="http://schemas.openxmlformats.org/officeDocument/2006/relationships/hyperlink" Target="http://www.legislation.act.gov.au/sl/2012-43" TargetMode="External"/><Relationship Id="rId2356" Type="http://schemas.openxmlformats.org/officeDocument/2006/relationships/hyperlink" Target="http://www.legislation.act.gov.au/sl/2023-36/" TargetMode="External"/><Relationship Id="rId2563" Type="http://schemas.openxmlformats.org/officeDocument/2006/relationships/hyperlink" Target="http://www.legislation.act.gov.au/sl/2015-22" TargetMode="External"/><Relationship Id="rId2770" Type="http://schemas.openxmlformats.org/officeDocument/2006/relationships/hyperlink" Target="http://www.legislation.act.gov.au/sl/2008-25" TargetMode="External"/><Relationship Id="rId328" Type="http://schemas.openxmlformats.org/officeDocument/2006/relationships/hyperlink" Target="http://www.legislation.act.gov.au/a/1968-11" TargetMode="External"/><Relationship Id="rId535" Type="http://schemas.openxmlformats.org/officeDocument/2006/relationships/hyperlink" Target="http://www.legislation.act.gov.au/a/1951-2/default.asp" TargetMode="External"/><Relationship Id="rId742" Type="http://schemas.openxmlformats.org/officeDocument/2006/relationships/hyperlink" Target="http://www.legislation.act.gov.au/a/2004-5" TargetMode="External"/><Relationship Id="rId1165" Type="http://schemas.openxmlformats.org/officeDocument/2006/relationships/hyperlink" Target="http://www.legislation.act.gov.au/af/2007-146/default.asp" TargetMode="External"/><Relationship Id="rId1372" Type="http://schemas.openxmlformats.org/officeDocument/2006/relationships/hyperlink" Target="http://www.legislation.act.gov.au/sl/2012-43" TargetMode="External"/><Relationship Id="rId2009" Type="http://schemas.openxmlformats.org/officeDocument/2006/relationships/hyperlink" Target="http://www.legislation.act.gov.au/sl/2006-58" TargetMode="External"/><Relationship Id="rId2216" Type="http://schemas.openxmlformats.org/officeDocument/2006/relationships/hyperlink" Target="http://www.legislation.act.gov.au/sl/2010-51" TargetMode="External"/><Relationship Id="rId2423" Type="http://schemas.openxmlformats.org/officeDocument/2006/relationships/hyperlink" Target="http://www.legislation.act.gov.au/sl/2024-9/" TargetMode="External"/><Relationship Id="rId2630" Type="http://schemas.openxmlformats.org/officeDocument/2006/relationships/hyperlink" Target="http://www.legislation.act.gov.au/sl/2016-17" TargetMode="External"/><Relationship Id="rId602" Type="http://schemas.openxmlformats.org/officeDocument/2006/relationships/hyperlink" Target="http://www.legislation.act.gov.au/a/1933-34" TargetMode="External"/><Relationship Id="rId1025" Type="http://schemas.openxmlformats.org/officeDocument/2006/relationships/hyperlink" Target="http://www.comlaw.gov.au/Series/C2004A00819" TargetMode="External"/><Relationship Id="rId1232" Type="http://schemas.openxmlformats.org/officeDocument/2006/relationships/hyperlink" Target="http://www.legislation.act.gov.au/a/2016-43" TargetMode="External"/><Relationship Id="rId3057" Type="http://schemas.openxmlformats.org/officeDocument/2006/relationships/hyperlink" Target="http://www.legislation.act.gov.au/sl/2019-25/default.asp" TargetMode="External"/><Relationship Id="rId185" Type="http://schemas.openxmlformats.org/officeDocument/2006/relationships/hyperlink" Target="http://www.legislation.act.gov.au/a/1930-21"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2073" Type="http://schemas.openxmlformats.org/officeDocument/2006/relationships/hyperlink" Target="http://www.legislation.act.gov.au/sl/2012-43" TargetMode="External"/><Relationship Id="rId2280" Type="http://schemas.openxmlformats.org/officeDocument/2006/relationships/hyperlink" Target="http://www.legislation.act.gov.au/sl/2016-33" TargetMode="External"/><Relationship Id="rId252" Type="http://schemas.openxmlformats.org/officeDocument/2006/relationships/hyperlink" Target="http://www.legislation.act.gov.au/a/2006-25" TargetMode="External"/><Relationship Id="rId2140" Type="http://schemas.openxmlformats.org/officeDocument/2006/relationships/hyperlink" Target="http://www.legislation.act.gov.au/sl/2024-9/" TargetMode="External"/><Relationship Id="rId112" Type="http://schemas.openxmlformats.org/officeDocument/2006/relationships/hyperlink" Target="http://www.legislation.act.gov.au/a/2011-12/default.asp" TargetMode="External"/><Relationship Id="rId1699" Type="http://schemas.openxmlformats.org/officeDocument/2006/relationships/hyperlink" Target="http://www.legislation.act.gov.au/sl/2017-17/default.asp" TargetMode="External"/><Relationship Id="rId2000" Type="http://schemas.openxmlformats.org/officeDocument/2006/relationships/hyperlink" Target="http://www.legislation.act.gov.au/sl/2006-58" TargetMode="External"/><Relationship Id="rId2957" Type="http://schemas.openxmlformats.org/officeDocument/2006/relationships/hyperlink" Target="http://www.legislation.act.gov.au/sl/2006-58" TargetMode="External"/><Relationship Id="rId929" Type="http://schemas.openxmlformats.org/officeDocument/2006/relationships/hyperlink" Target="http://www.legislation.act.gov.au/af/2011-147/default.asp" TargetMode="External"/><Relationship Id="rId1559" Type="http://schemas.openxmlformats.org/officeDocument/2006/relationships/hyperlink" Target="http://www.legislation.act.gov.au/sl/2008-50" TargetMode="External"/><Relationship Id="rId1766" Type="http://schemas.openxmlformats.org/officeDocument/2006/relationships/hyperlink" Target="http://www.legislation.act.gov.au/sl/2011-17" TargetMode="External"/><Relationship Id="rId1973" Type="http://schemas.openxmlformats.org/officeDocument/2006/relationships/hyperlink" Target="http://www.legislation.act.gov.au/sl/2006-58" TargetMode="External"/><Relationship Id="rId2817" Type="http://schemas.openxmlformats.org/officeDocument/2006/relationships/hyperlink" Target="http://www.legislation.act.gov.au/sl/2023-36/" TargetMode="External"/><Relationship Id="rId58" Type="http://schemas.openxmlformats.org/officeDocument/2006/relationships/hyperlink" Target="http://www.legislation.act.gov.au/af/2021-23/" TargetMode="External"/><Relationship Id="rId1419" Type="http://schemas.openxmlformats.org/officeDocument/2006/relationships/hyperlink" Target="http://www.legislation.act.gov.au/sl/2014-34" TargetMode="External"/><Relationship Id="rId1626" Type="http://schemas.openxmlformats.org/officeDocument/2006/relationships/hyperlink" Target="http://www.legislation.act.gov.au/sl/2022-2/" TargetMode="External"/><Relationship Id="rId1833" Type="http://schemas.openxmlformats.org/officeDocument/2006/relationships/hyperlink" Target="http://www.legislation.act.gov.au/sl/2006-58" TargetMode="External"/><Relationship Id="rId1900" Type="http://schemas.openxmlformats.org/officeDocument/2006/relationships/hyperlink" Target="http://www.legislation.act.gov.au/sl/2009-32" TargetMode="External"/><Relationship Id="rId579" Type="http://schemas.openxmlformats.org/officeDocument/2006/relationships/hyperlink" Target="http://www.legislation.act.gov.au/a/1930-21" TargetMode="External"/><Relationship Id="rId786" Type="http://schemas.openxmlformats.org/officeDocument/2006/relationships/hyperlink" Target="http://www.legislation.act.gov.au/a/2004-59" TargetMode="External"/><Relationship Id="rId993" Type="http://schemas.openxmlformats.org/officeDocument/2006/relationships/hyperlink" Target="http://www.comlaw.gov.au/Series/C2004A00819" TargetMode="External"/><Relationship Id="rId2467" Type="http://schemas.openxmlformats.org/officeDocument/2006/relationships/hyperlink" Target="http://www.legislation.act.gov.au/sl/2017-17/default.asp" TargetMode="External"/><Relationship Id="rId2674" Type="http://schemas.openxmlformats.org/officeDocument/2006/relationships/hyperlink" Target="http://www.legislation.act.gov.au/sl/2014-34" TargetMode="External"/><Relationship Id="rId439" Type="http://schemas.openxmlformats.org/officeDocument/2006/relationships/hyperlink" Target="http://www.legislation.act.gov.au/a/2003-8" TargetMode="External"/><Relationship Id="rId646" Type="http://schemas.openxmlformats.org/officeDocument/2006/relationships/hyperlink" Target="http://www.legislation.act.gov.au/a/2009-50" TargetMode="External"/><Relationship Id="rId1069" Type="http://schemas.openxmlformats.org/officeDocument/2006/relationships/hyperlink" Target="http://www.comlaw.gov.au/Series/C2004A00818" TargetMode="External"/><Relationship Id="rId1276" Type="http://schemas.openxmlformats.org/officeDocument/2006/relationships/hyperlink" Target="http://www.comlaw.gov.au/Series/C2010A00035" TargetMode="External"/><Relationship Id="rId1483" Type="http://schemas.openxmlformats.org/officeDocument/2006/relationships/hyperlink" Target="http://www.legislation.act.gov.au/sl/2015-22" TargetMode="External"/><Relationship Id="rId2327" Type="http://schemas.openxmlformats.org/officeDocument/2006/relationships/hyperlink" Target="http://www.legislation.act.gov.au/sl/2012-43" TargetMode="External"/><Relationship Id="rId2881" Type="http://schemas.openxmlformats.org/officeDocument/2006/relationships/hyperlink" Target="http://www.legislation.act.gov.au/sl/2015-22" TargetMode="External"/><Relationship Id="rId506" Type="http://schemas.openxmlformats.org/officeDocument/2006/relationships/hyperlink" Target="http://www.legislation.act.gov.au/a/1951-2/default.asp" TargetMode="External"/><Relationship Id="rId853" Type="http://schemas.openxmlformats.org/officeDocument/2006/relationships/hyperlink" Target="http://www.legislation.act.gov.au/af/2009-287/default.asp"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17-17/default.asp" TargetMode="External"/><Relationship Id="rId2534" Type="http://schemas.openxmlformats.org/officeDocument/2006/relationships/hyperlink" Target="http://www.legislation.act.gov.au/sl/2019-11/default.asp" TargetMode="External"/><Relationship Id="rId2741" Type="http://schemas.openxmlformats.org/officeDocument/2006/relationships/hyperlink" Target="http://www.legislation.act.gov.au/sl/2008-25" TargetMode="External"/><Relationship Id="rId713" Type="http://schemas.openxmlformats.org/officeDocument/2006/relationships/hyperlink" Target="http://www.legislation.act.gov.au/a/1930-21" TargetMode="External"/><Relationship Id="rId920" Type="http://schemas.openxmlformats.org/officeDocument/2006/relationships/hyperlink" Target="http://www.legislation.act.gov.au/af/2011-145/default.asp" TargetMode="External"/><Relationship Id="rId1343" Type="http://schemas.openxmlformats.org/officeDocument/2006/relationships/hyperlink" Target="http://www.legislation.act.gov.au/sl/2023-36/" TargetMode="External"/><Relationship Id="rId1550" Type="http://schemas.openxmlformats.org/officeDocument/2006/relationships/hyperlink" Target="http://www.legislation.act.gov.au/sl/2014-34" TargetMode="External"/><Relationship Id="rId2601" Type="http://schemas.openxmlformats.org/officeDocument/2006/relationships/hyperlink" Target="http://www.legislation.act.gov.au/sl/2009-56" TargetMode="External"/><Relationship Id="rId1203" Type="http://schemas.openxmlformats.org/officeDocument/2006/relationships/hyperlink" Target="http://www.legislation.act.gov.au/af/2008-144/default.asp" TargetMode="External"/><Relationship Id="rId1410" Type="http://schemas.openxmlformats.org/officeDocument/2006/relationships/hyperlink" Target="http://www.legislation.act.gov.au/sl/2011-34" TargetMode="External"/><Relationship Id="rId296" Type="http://schemas.openxmlformats.org/officeDocument/2006/relationships/hyperlink" Target="http://www.legislation.act.gov.au/a/1997-112" TargetMode="External"/><Relationship Id="rId2184" Type="http://schemas.openxmlformats.org/officeDocument/2006/relationships/hyperlink" Target="http://www.legislation.act.gov.au/sl/2014-34" TargetMode="External"/><Relationship Id="rId2391" Type="http://schemas.openxmlformats.org/officeDocument/2006/relationships/hyperlink" Target="http://www.legislation.act.gov.au/sl/2016-17" TargetMode="External"/><Relationship Id="rId3028" Type="http://schemas.openxmlformats.org/officeDocument/2006/relationships/hyperlink" Target="http://www.legislation.act.gov.au/sl/2015-12"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f/2011-57/default.asp" TargetMode="External"/><Relationship Id="rId570" Type="http://schemas.openxmlformats.org/officeDocument/2006/relationships/hyperlink" Target="http://www.legislation.act.gov.au/af/2024-25/default.asp" TargetMode="External"/><Relationship Id="rId2044" Type="http://schemas.openxmlformats.org/officeDocument/2006/relationships/hyperlink" Target="http://www.legislation.act.gov.au/sl/2006-58" TargetMode="External"/><Relationship Id="rId2251" Type="http://schemas.openxmlformats.org/officeDocument/2006/relationships/hyperlink" Target="http://www.legislation.act.gov.au/sl/2006-58" TargetMode="External"/><Relationship Id="rId223" Type="http://schemas.openxmlformats.org/officeDocument/2006/relationships/footer" Target="footer14.xml"/><Relationship Id="rId430" Type="http://schemas.openxmlformats.org/officeDocument/2006/relationships/hyperlink" Target="http://www.legislation.act.gov.au/a/1992-71/default.asp" TargetMode="External"/><Relationship Id="rId1060" Type="http://schemas.openxmlformats.org/officeDocument/2006/relationships/hyperlink" Target="http://www.comlaw.gov.au/Series/C2004A00818" TargetMode="External"/><Relationship Id="rId2111" Type="http://schemas.openxmlformats.org/officeDocument/2006/relationships/hyperlink" Target="http://www.legislation.act.gov.au/a/2010-21" TargetMode="External"/><Relationship Id="rId1877" Type="http://schemas.openxmlformats.org/officeDocument/2006/relationships/hyperlink" Target="http://www.legislation.act.gov.au/sl/2006-58" TargetMode="External"/><Relationship Id="rId2928" Type="http://schemas.openxmlformats.org/officeDocument/2006/relationships/hyperlink" Target="http://www.legislation.act.gov.au/sl/2006-58" TargetMode="External"/><Relationship Id="rId1737" Type="http://schemas.openxmlformats.org/officeDocument/2006/relationships/hyperlink" Target="http://www.legislation.act.gov.au/sl/2014-9" TargetMode="External"/><Relationship Id="rId1944" Type="http://schemas.openxmlformats.org/officeDocument/2006/relationships/hyperlink" Target="http://www.legislation.act.gov.au/sl/2006-58" TargetMode="External"/><Relationship Id="rId3092" Type="http://schemas.openxmlformats.org/officeDocument/2006/relationships/footer" Target="footer67.xml"/><Relationship Id="rId29" Type="http://schemas.openxmlformats.org/officeDocument/2006/relationships/hyperlink" Target="http://www.legislation.act.gov.au/a/2002-40" TargetMode="External"/><Relationship Id="rId1804" Type="http://schemas.openxmlformats.org/officeDocument/2006/relationships/hyperlink" Target="http://www.legislation.act.gov.au/sl/2009-32" TargetMode="External"/><Relationship Id="rId897" Type="http://schemas.openxmlformats.org/officeDocument/2006/relationships/hyperlink" Target="http://www.comlaw.gov.au/Series/C2004A04735" TargetMode="External"/><Relationship Id="rId2578" Type="http://schemas.openxmlformats.org/officeDocument/2006/relationships/hyperlink" Target="http://www.legislation.act.gov.au/sl/2015-22" TargetMode="External"/><Relationship Id="rId2785" Type="http://schemas.openxmlformats.org/officeDocument/2006/relationships/hyperlink" Target="http://www.legislation.act.gov.au/sl/2017-17/default.asp" TargetMode="External"/><Relationship Id="rId2992" Type="http://schemas.openxmlformats.org/officeDocument/2006/relationships/hyperlink" Target="http://www.legislation.act.gov.au/a/2010-21" TargetMode="External"/><Relationship Id="rId757" Type="http://schemas.openxmlformats.org/officeDocument/2006/relationships/hyperlink" Target="http://www.legislation.act.gov.au/a/2001-14" TargetMode="External"/><Relationship Id="rId964" Type="http://schemas.openxmlformats.org/officeDocument/2006/relationships/footer" Target="footer35.xml"/><Relationship Id="rId1387" Type="http://schemas.openxmlformats.org/officeDocument/2006/relationships/hyperlink" Target="http://www.legislation.act.gov.au/sl/2008-25" TargetMode="External"/><Relationship Id="rId1594" Type="http://schemas.openxmlformats.org/officeDocument/2006/relationships/hyperlink" Target="http://www.legislation.act.gov.au/sl/2015-22" TargetMode="External"/><Relationship Id="rId2438" Type="http://schemas.openxmlformats.org/officeDocument/2006/relationships/hyperlink" Target="http://www.legislation.act.gov.au/sl/2023-36/" TargetMode="External"/><Relationship Id="rId2645" Type="http://schemas.openxmlformats.org/officeDocument/2006/relationships/hyperlink" Target="http://www.legislation.act.gov.au/sl/2010-24" TargetMode="External"/><Relationship Id="rId2852" Type="http://schemas.openxmlformats.org/officeDocument/2006/relationships/hyperlink" Target="http://www.legislation.act.gov.au/sl/2009-32" TargetMode="External"/><Relationship Id="rId93" Type="http://schemas.openxmlformats.org/officeDocument/2006/relationships/hyperlink" Target="http://www.legislation.act.gov.au/af/2006-264/default.asp" TargetMode="External"/><Relationship Id="rId617" Type="http://schemas.openxmlformats.org/officeDocument/2006/relationships/hyperlink" Target="http://www.comlaw.gov.au/Details/C2013C00180" TargetMode="External"/><Relationship Id="rId824" Type="http://schemas.openxmlformats.org/officeDocument/2006/relationships/hyperlink" Target="http://www.legislation.act.gov.au/a/2005-59" TargetMode="External"/><Relationship Id="rId1247" Type="http://schemas.openxmlformats.org/officeDocument/2006/relationships/hyperlink" Target="http://www.legislation.act.gov.au/a/2007-28" TargetMode="External"/><Relationship Id="rId1454" Type="http://schemas.openxmlformats.org/officeDocument/2006/relationships/hyperlink" Target="http://www.legislation.act.gov.au/sl/2012-24" TargetMode="External"/><Relationship Id="rId1661" Type="http://schemas.openxmlformats.org/officeDocument/2006/relationships/hyperlink" Target="http://www.legislation.act.gov.au/sl/2006-58" TargetMode="External"/><Relationship Id="rId2505" Type="http://schemas.openxmlformats.org/officeDocument/2006/relationships/hyperlink" Target="http://www.legislation.act.gov.au/sl/2009-32" TargetMode="External"/><Relationship Id="rId2712" Type="http://schemas.openxmlformats.org/officeDocument/2006/relationships/hyperlink" Target="http://www.legislation.act.gov.au/sl/2007-16" TargetMode="External"/><Relationship Id="rId1107" Type="http://schemas.openxmlformats.org/officeDocument/2006/relationships/hyperlink" Target="http://www.legislation.act.gov.au/af/2007-144/default.asp" TargetMode="External"/><Relationship Id="rId1314" Type="http://schemas.openxmlformats.org/officeDocument/2006/relationships/hyperlink" Target="http://www.legislation.act.gov.au/sl/2020-45/default.asp" TargetMode="External"/><Relationship Id="rId1521" Type="http://schemas.openxmlformats.org/officeDocument/2006/relationships/hyperlink" Target="http://www.legislation.act.gov.au/sl/2007-16" TargetMode="External"/><Relationship Id="rId20" Type="http://schemas.openxmlformats.org/officeDocument/2006/relationships/footer" Target="footer2.xml"/><Relationship Id="rId2088" Type="http://schemas.openxmlformats.org/officeDocument/2006/relationships/hyperlink" Target="http://www.legislation.act.gov.au/sl/2006-58" TargetMode="External"/><Relationship Id="rId2295" Type="http://schemas.openxmlformats.org/officeDocument/2006/relationships/hyperlink" Target="http://www.legislation.act.gov.au/sl/2024-37/" TargetMode="External"/><Relationship Id="rId267" Type="http://schemas.openxmlformats.org/officeDocument/2006/relationships/hyperlink" Target="http://www.legislation.act.gov.au/af/2017-160/default.asp"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13-18/default.asp" TargetMode="External"/><Relationship Id="rId127" Type="http://schemas.openxmlformats.org/officeDocument/2006/relationships/hyperlink" Target="http://www.legislation.act.gov.au/af/2006-279/default.asp" TargetMode="External"/><Relationship Id="rId681" Type="http://schemas.openxmlformats.org/officeDocument/2006/relationships/footer" Target="footer20.xml"/><Relationship Id="rId2362" Type="http://schemas.openxmlformats.org/officeDocument/2006/relationships/hyperlink" Target="http://www.legislation.act.gov.au/sl/2018-25/default.asp" TargetMode="External"/><Relationship Id="rId334" Type="http://schemas.openxmlformats.org/officeDocument/2006/relationships/hyperlink" Target="http://www.legislation.act.gov.au/a/1929-18/default.asp" TargetMode="External"/><Relationship Id="rId541" Type="http://schemas.openxmlformats.org/officeDocument/2006/relationships/hyperlink" Target="http://www.legislation.act.gov.au/af/2006-501/default.asp" TargetMode="External"/><Relationship Id="rId1171" Type="http://schemas.openxmlformats.org/officeDocument/2006/relationships/header" Target="header48.xml"/><Relationship Id="rId2015" Type="http://schemas.openxmlformats.org/officeDocument/2006/relationships/hyperlink" Target="http://www.legislation.act.gov.au/sl/2015-12" TargetMode="External"/><Relationship Id="rId2222" Type="http://schemas.openxmlformats.org/officeDocument/2006/relationships/hyperlink" Target="http://www.legislation.act.gov.au/sl/2010-51" TargetMode="External"/><Relationship Id="rId401" Type="http://schemas.openxmlformats.org/officeDocument/2006/relationships/hyperlink" Target="http://www.comlaw.gov.au/Series/C2004A00818" TargetMode="External"/><Relationship Id="rId1031" Type="http://schemas.openxmlformats.org/officeDocument/2006/relationships/hyperlink" Target="http://www.legislation.act.gov.au/af/2007-134/default.asp" TargetMode="External"/><Relationship Id="rId1988" Type="http://schemas.openxmlformats.org/officeDocument/2006/relationships/hyperlink" Target="http://www.legislation.act.gov.au/sl/2006-58" TargetMode="External"/><Relationship Id="rId1848" Type="http://schemas.openxmlformats.org/officeDocument/2006/relationships/hyperlink" Target="http://www.legislation.act.gov.au/sl/2009-32" TargetMode="External"/><Relationship Id="rId3063" Type="http://schemas.openxmlformats.org/officeDocument/2006/relationships/hyperlink" Target="https://www.legislation.act.gov.au/sl/2020-9/" TargetMode="External"/><Relationship Id="rId191" Type="http://schemas.openxmlformats.org/officeDocument/2006/relationships/hyperlink" Target="http://www.legislation.act.gov.au/af/2006-302/default.asp" TargetMode="External"/><Relationship Id="rId1708" Type="http://schemas.openxmlformats.org/officeDocument/2006/relationships/hyperlink" Target="http://www.legislation.act.gov.au/sl/2006-58" TargetMode="External"/><Relationship Id="rId1915" Type="http://schemas.openxmlformats.org/officeDocument/2006/relationships/hyperlink" Target="http://www.legislation.act.gov.au/sl/2006-58" TargetMode="External"/><Relationship Id="rId2689" Type="http://schemas.openxmlformats.org/officeDocument/2006/relationships/hyperlink" Target="https://legislation.act.gov.au/sl/2022-19/" TargetMode="External"/><Relationship Id="rId2896" Type="http://schemas.openxmlformats.org/officeDocument/2006/relationships/hyperlink" Target="http://www.legislation.act.gov.au/sl/2023-36/" TargetMode="External"/><Relationship Id="rId868" Type="http://schemas.openxmlformats.org/officeDocument/2006/relationships/hyperlink" Target="http://www.comlaw.gov.au/Series/C2004A04858" TargetMode="External"/><Relationship Id="rId1498" Type="http://schemas.openxmlformats.org/officeDocument/2006/relationships/hyperlink" Target="http://www.legislation.act.gov.au/sl/2012-43" TargetMode="External"/><Relationship Id="rId2549" Type="http://schemas.openxmlformats.org/officeDocument/2006/relationships/hyperlink" Target="http://www.legislation.act.gov.au/sl/2024-37/" TargetMode="External"/><Relationship Id="rId2756" Type="http://schemas.openxmlformats.org/officeDocument/2006/relationships/hyperlink" Target="http://www.legislation.act.gov.au/sl/2008-25" TargetMode="External"/><Relationship Id="rId2963" Type="http://schemas.openxmlformats.org/officeDocument/2006/relationships/hyperlink" Target="http://www.legislation.act.gov.au/a/2007-28" TargetMode="External"/><Relationship Id="rId728" Type="http://schemas.openxmlformats.org/officeDocument/2006/relationships/hyperlink" Target="http://www.legislation.act.gov.au/af/2015-60/default.asp" TargetMode="External"/><Relationship Id="rId935" Type="http://schemas.openxmlformats.org/officeDocument/2006/relationships/hyperlink" Target="http://www.legislation.act.gov.au/af/2011-147/default.asp" TargetMode="External"/><Relationship Id="rId1358" Type="http://schemas.openxmlformats.org/officeDocument/2006/relationships/hyperlink" Target="http://www.legislation.act.gov.au/sl/2016-17" TargetMode="External"/><Relationship Id="rId1565" Type="http://schemas.openxmlformats.org/officeDocument/2006/relationships/hyperlink" Target="http://www.legislation.act.gov.au/sl/2011-34" TargetMode="External"/><Relationship Id="rId1772" Type="http://schemas.openxmlformats.org/officeDocument/2006/relationships/hyperlink" Target="http://www.legislation.act.gov.au/sl/2006-58" TargetMode="External"/><Relationship Id="rId2409" Type="http://schemas.openxmlformats.org/officeDocument/2006/relationships/hyperlink" Target="http://www.legislation.act.gov.au/sl/2015-22" TargetMode="External"/><Relationship Id="rId2616" Type="http://schemas.openxmlformats.org/officeDocument/2006/relationships/hyperlink" Target="http://www.legislation.act.gov.au/sl/2011-33" TargetMode="External"/><Relationship Id="rId64" Type="http://schemas.openxmlformats.org/officeDocument/2006/relationships/hyperlink" Target="http://www.legislation.act.gov.au/a/2002-40" TargetMode="External"/><Relationship Id="rId1218" Type="http://schemas.openxmlformats.org/officeDocument/2006/relationships/hyperlink" Target="http://www.comlaw.gov.au/Series/C2011A00126" TargetMode="External"/><Relationship Id="rId1425" Type="http://schemas.openxmlformats.org/officeDocument/2006/relationships/hyperlink" Target="http://www.legislation.act.gov.au/sl/2014-34" TargetMode="External"/><Relationship Id="rId2823" Type="http://schemas.openxmlformats.org/officeDocument/2006/relationships/hyperlink" Target="http://www.legislation.act.gov.au/sl/2014-9" TargetMode="External"/><Relationship Id="rId1632" Type="http://schemas.openxmlformats.org/officeDocument/2006/relationships/hyperlink" Target="http://www.legislation.act.gov.au/sl/2006-58" TargetMode="External"/><Relationship Id="rId2199" Type="http://schemas.openxmlformats.org/officeDocument/2006/relationships/hyperlink" Target="http://www.legislation.act.gov.au/sl/2023-36/" TargetMode="External"/><Relationship Id="rId378" Type="http://schemas.openxmlformats.org/officeDocument/2006/relationships/hyperlink" Target="http://www.legislation.act.gov.au/a/1993-20/default.asp" TargetMode="External"/><Relationship Id="rId585" Type="http://schemas.openxmlformats.org/officeDocument/2006/relationships/hyperlink" Target="http://www.legislation.act.gov.au/af/2024-38/default.asp" TargetMode="External"/><Relationship Id="rId792" Type="http://schemas.openxmlformats.org/officeDocument/2006/relationships/hyperlink" Target="http://www.comlaw.gov.au/Series/C2004A04463" TargetMode="External"/><Relationship Id="rId2059" Type="http://schemas.openxmlformats.org/officeDocument/2006/relationships/hyperlink" Target="http://www.legislation.act.gov.au/sl/2006-58" TargetMode="External"/><Relationship Id="rId2266" Type="http://schemas.openxmlformats.org/officeDocument/2006/relationships/hyperlink" Target="http://www.legislation.act.gov.au/sl/2016-33" TargetMode="External"/><Relationship Id="rId2473" Type="http://schemas.openxmlformats.org/officeDocument/2006/relationships/hyperlink" Target="http://www.legislation.act.gov.au/sl/2017-17/default.asp" TargetMode="External"/><Relationship Id="rId2680" Type="http://schemas.openxmlformats.org/officeDocument/2006/relationships/hyperlink" Target="http://www.legislation.act.gov.au/sl/2017-17/default.asp" TargetMode="Externa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f/2006-368/default.asp" TargetMode="External"/><Relationship Id="rId652" Type="http://schemas.openxmlformats.org/officeDocument/2006/relationships/hyperlink" Target="http://www.legislation.act.gov.au/a/1997-125" TargetMode="External"/><Relationship Id="rId1075" Type="http://schemas.openxmlformats.org/officeDocument/2006/relationships/footer" Target="footer51.xml"/><Relationship Id="rId1282" Type="http://schemas.openxmlformats.org/officeDocument/2006/relationships/hyperlink" Target="http://www.legislation.act.gov.au/sl/2012-24" TargetMode="External"/><Relationship Id="rId2126" Type="http://schemas.openxmlformats.org/officeDocument/2006/relationships/hyperlink" Target="http://www.legislation.act.gov.au/sl/2011-17" TargetMode="External"/><Relationship Id="rId2333" Type="http://schemas.openxmlformats.org/officeDocument/2006/relationships/hyperlink" Target="http://www.legislation.act.gov.au/sl/2017-10/default.asp" TargetMode="External"/><Relationship Id="rId2540" Type="http://schemas.openxmlformats.org/officeDocument/2006/relationships/hyperlink" Target="http://www.legislation.act.gov.au/sl/2009-56" TargetMode="External"/><Relationship Id="rId305" Type="http://schemas.openxmlformats.org/officeDocument/2006/relationships/hyperlink" Target="http://www.legislation.act.gov.au/a/1929-18/default.asp" TargetMode="External"/><Relationship Id="rId512" Type="http://schemas.openxmlformats.org/officeDocument/2006/relationships/hyperlink" Target="http://www.legislation.act.gov.au/a/2001-81" TargetMode="External"/><Relationship Id="rId1142" Type="http://schemas.openxmlformats.org/officeDocument/2006/relationships/hyperlink" Target="http://www.comlaw.gov.au/Series/C2004A00818" TargetMode="External"/><Relationship Id="rId2400" Type="http://schemas.openxmlformats.org/officeDocument/2006/relationships/hyperlink" Target="http://www.legislation.act.gov.au/sl/2009-11" TargetMode="External"/><Relationship Id="rId1002" Type="http://schemas.openxmlformats.org/officeDocument/2006/relationships/hyperlink" Target="http://www.comlaw.gov.au/Series/C2004A00818" TargetMode="External"/><Relationship Id="rId1959" Type="http://schemas.openxmlformats.org/officeDocument/2006/relationships/hyperlink" Target="http://www.legislation.act.gov.au/sl/2006-58" TargetMode="External"/><Relationship Id="rId1819" Type="http://schemas.openxmlformats.org/officeDocument/2006/relationships/hyperlink" Target="http://www.legislation.act.gov.au/sl/2006-58" TargetMode="External"/><Relationship Id="rId2190" Type="http://schemas.openxmlformats.org/officeDocument/2006/relationships/hyperlink" Target="http://www.legislation.act.gov.au/sl/2006-58" TargetMode="External"/><Relationship Id="rId3034" Type="http://schemas.openxmlformats.org/officeDocument/2006/relationships/hyperlink" Target="http://www.legislation.act.gov.au/sl/2015-42/default.asp" TargetMode="External"/><Relationship Id="rId162" Type="http://schemas.openxmlformats.org/officeDocument/2006/relationships/hyperlink" Target="http://www.legislation.act.gov.au/af/2006-293/default.asp" TargetMode="External"/><Relationship Id="rId2050" Type="http://schemas.openxmlformats.org/officeDocument/2006/relationships/hyperlink" Target="http://www.legislation.act.gov.au/sl/2006-58" TargetMode="External"/><Relationship Id="rId3101" Type="http://schemas.openxmlformats.org/officeDocument/2006/relationships/fontTable" Target="fontTable.xml"/><Relationship Id="rId979" Type="http://schemas.openxmlformats.org/officeDocument/2006/relationships/footer" Target="footer41.xml"/><Relationship Id="rId839" Type="http://schemas.openxmlformats.org/officeDocument/2006/relationships/hyperlink" Target="http://www.legislation.act.gov.au/af/2009-149/default.asp" TargetMode="External"/><Relationship Id="rId1469" Type="http://schemas.openxmlformats.org/officeDocument/2006/relationships/hyperlink" Target="http://www.legislation.act.gov.au/sl/2012-24" TargetMode="External"/><Relationship Id="rId2867" Type="http://schemas.openxmlformats.org/officeDocument/2006/relationships/hyperlink" Target="http://www.legislation.act.gov.au/sl/2017-17/default.asp" TargetMode="External"/><Relationship Id="rId1676" Type="http://schemas.openxmlformats.org/officeDocument/2006/relationships/hyperlink" Target="http://www.legislation.act.gov.au/sl/2006-58"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08-25" TargetMode="External"/><Relationship Id="rId2934" Type="http://schemas.openxmlformats.org/officeDocument/2006/relationships/hyperlink" Target="http://www.legislation.act.gov.au/sl/2018-25/default.asp" TargetMode="External"/><Relationship Id="rId906" Type="http://schemas.openxmlformats.org/officeDocument/2006/relationships/hyperlink" Target="http://www.legislation.act.gov.au/af/2010-103/default.asp" TargetMode="External"/><Relationship Id="rId1329" Type="http://schemas.openxmlformats.org/officeDocument/2006/relationships/hyperlink" Target="http://www.legislation.act.gov.au/sl/2014-34" TargetMode="External"/><Relationship Id="rId1536" Type="http://schemas.openxmlformats.org/officeDocument/2006/relationships/hyperlink" Target="http://www.legislation.act.gov.au/sl/2024-9/" TargetMode="External"/><Relationship Id="rId1743" Type="http://schemas.openxmlformats.org/officeDocument/2006/relationships/hyperlink" Target="http://www.legislation.act.gov.au/sl/2019-11/default.asp" TargetMode="External"/><Relationship Id="rId1950" Type="http://schemas.openxmlformats.org/officeDocument/2006/relationships/hyperlink" Target="http://www.legislation.act.gov.au/sl/2006-5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21-15/default.asp" TargetMode="External"/><Relationship Id="rId1810" Type="http://schemas.openxmlformats.org/officeDocument/2006/relationships/hyperlink" Target="http://www.legislation.act.gov.au/sl/2009-32" TargetMode="External"/><Relationship Id="rId489" Type="http://schemas.openxmlformats.org/officeDocument/2006/relationships/hyperlink" Target="http://www.legislation.act.gov.au/a/2006-25/default.asp" TargetMode="External"/><Relationship Id="rId696" Type="http://schemas.openxmlformats.org/officeDocument/2006/relationships/hyperlink" Target="http://www.legislation.act.gov.au/af/2015-59/default.asp" TargetMode="External"/><Relationship Id="rId2377" Type="http://schemas.openxmlformats.org/officeDocument/2006/relationships/hyperlink" Target="http://www.legislation.act.gov.au/sl/2015-22" TargetMode="External"/><Relationship Id="rId2584" Type="http://schemas.openxmlformats.org/officeDocument/2006/relationships/hyperlink" Target="http://www.legislation.act.gov.au/sl/2008-44" TargetMode="External"/><Relationship Id="rId2791" Type="http://schemas.openxmlformats.org/officeDocument/2006/relationships/hyperlink" Target="http://www.legislation.act.gov.au/sl/2008-50"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s://www.legislation.act.gov.au/af/2024-30/" TargetMode="External"/><Relationship Id="rId763" Type="http://schemas.openxmlformats.org/officeDocument/2006/relationships/hyperlink" Target="http://www.legislation.act.gov.au/a/2016-43" TargetMode="External"/><Relationship Id="rId1186" Type="http://schemas.openxmlformats.org/officeDocument/2006/relationships/hyperlink" Target="http://www.comlaw.gov.au/Series/C2004A00818" TargetMode="External"/><Relationship Id="rId1393" Type="http://schemas.openxmlformats.org/officeDocument/2006/relationships/hyperlink" Target="http://www.legislation.act.gov.au/sl/2010-24" TargetMode="External"/><Relationship Id="rId2237" Type="http://schemas.openxmlformats.org/officeDocument/2006/relationships/hyperlink" Target="http://www.legislation.act.gov.au/sl/2013-18/default.asp" TargetMode="External"/><Relationship Id="rId2444" Type="http://schemas.openxmlformats.org/officeDocument/2006/relationships/hyperlink" Target="http://www.legislation.act.gov.au/sl/2017-17/default.asp" TargetMode="External"/><Relationship Id="rId209" Type="http://schemas.openxmlformats.org/officeDocument/2006/relationships/hyperlink" Target="http://www.legislation.act.gov.au/af/2006-314/default.asp" TargetMode="External"/><Relationship Id="rId416" Type="http://schemas.openxmlformats.org/officeDocument/2006/relationships/hyperlink" Target="http://www.legislation.act.gov.au/a/1992-71/default.asp" TargetMode="External"/><Relationship Id="rId970" Type="http://schemas.openxmlformats.org/officeDocument/2006/relationships/footer" Target="footer38.xml"/><Relationship Id="rId1046" Type="http://schemas.openxmlformats.org/officeDocument/2006/relationships/hyperlink" Target="http://www.comlaw.gov.au/Series/C2004A00818" TargetMode="External"/><Relationship Id="rId1253" Type="http://schemas.openxmlformats.org/officeDocument/2006/relationships/hyperlink" Target="http://www.legislation.act.gov.au/a/2008-19" TargetMode="External"/><Relationship Id="rId2651" Type="http://schemas.openxmlformats.org/officeDocument/2006/relationships/hyperlink" Target="http://www.legislation.act.gov.au/sl/2019-11/default.asp" TargetMode="External"/><Relationship Id="rId623" Type="http://schemas.openxmlformats.org/officeDocument/2006/relationships/hyperlink" Target="http://www.comlaw.gov.au/Details/C2013C00180" TargetMode="External"/><Relationship Id="rId830" Type="http://schemas.openxmlformats.org/officeDocument/2006/relationships/hyperlink" Target="http://www.legislation.act.gov.au/a/2010-10" TargetMode="External"/><Relationship Id="rId1460" Type="http://schemas.openxmlformats.org/officeDocument/2006/relationships/hyperlink" Target="http://www.legislation.act.gov.au/sl/2012-24" TargetMode="External"/><Relationship Id="rId2304" Type="http://schemas.openxmlformats.org/officeDocument/2006/relationships/hyperlink" Target="http://www.legislation.act.gov.au/sl/2023-36/" TargetMode="External"/><Relationship Id="rId2511" Type="http://schemas.openxmlformats.org/officeDocument/2006/relationships/hyperlink" Target="http://www.legislation.act.gov.au/sl/2009-32" TargetMode="External"/><Relationship Id="rId1113" Type="http://schemas.openxmlformats.org/officeDocument/2006/relationships/hyperlink" Target="http://www.comlaw.gov.au/Series/C2004A00818" TargetMode="External"/><Relationship Id="rId1320" Type="http://schemas.openxmlformats.org/officeDocument/2006/relationships/hyperlink" Target="http://www.legislation.act.gov.au/sl/2023-36/default.asp" TargetMode="External"/><Relationship Id="rId3078" Type="http://schemas.openxmlformats.org/officeDocument/2006/relationships/hyperlink" Target="http://www.legislation.act.gov.au/sl/2023-15/" TargetMode="External"/><Relationship Id="rId2094" Type="http://schemas.openxmlformats.org/officeDocument/2006/relationships/hyperlink" Target="http://www.legislation.act.gov.au/sl/2006-58"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1984-79" TargetMode="External"/><Relationship Id="rId2161" Type="http://schemas.openxmlformats.org/officeDocument/2006/relationships/hyperlink" Target="http://www.legislation.act.gov.au/sl/2013-18/default.asp" TargetMode="External"/><Relationship Id="rId3005" Type="http://schemas.openxmlformats.org/officeDocument/2006/relationships/hyperlink" Target="http://www.legislation.act.gov.au/sl/2011-3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1993-20/default.asp" TargetMode="External"/><Relationship Id="rId2021" Type="http://schemas.openxmlformats.org/officeDocument/2006/relationships/hyperlink" Target="http://www.legislation.act.gov.au/sl/2015-12" TargetMode="External"/><Relationship Id="rId200" Type="http://schemas.openxmlformats.org/officeDocument/2006/relationships/footer" Target="footer8.xml"/><Relationship Id="rId2978" Type="http://schemas.openxmlformats.org/officeDocument/2006/relationships/hyperlink" Target="http://www.legislation.act.gov.au/a/2008-20" TargetMode="External"/><Relationship Id="rId1787" Type="http://schemas.openxmlformats.org/officeDocument/2006/relationships/hyperlink" Target="http://www.legislation.act.gov.au/sl/2009-32" TargetMode="External"/><Relationship Id="rId1994" Type="http://schemas.openxmlformats.org/officeDocument/2006/relationships/hyperlink" Target="http://www.legislation.act.gov.au/sl/2006-58" TargetMode="External"/><Relationship Id="rId2838" Type="http://schemas.openxmlformats.org/officeDocument/2006/relationships/hyperlink" Target="http://www.legislation.act.gov.au/sl/2011-34" TargetMode="External"/><Relationship Id="rId79" Type="http://schemas.openxmlformats.org/officeDocument/2006/relationships/hyperlink" Target="http://www.legislation.act.gov.au/af/2014-26/default.asp" TargetMode="External"/><Relationship Id="rId1647" Type="http://schemas.openxmlformats.org/officeDocument/2006/relationships/hyperlink" Target="http://www.legislation.act.gov.au/sl/2010-24" TargetMode="External"/><Relationship Id="rId1854" Type="http://schemas.openxmlformats.org/officeDocument/2006/relationships/hyperlink" Target="http://www.legislation.act.gov.au/sl/2009-32" TargetMode="External"/><Relationship Id="rId2905" Type="http://schemas.openxmlformats.org/officeDocument/2006/relationships/hyperlink" Target="http://www.legislation.act.gov.au/sl/2009-32" TargetMode="External"/><Relationship Id="rId1507" Type="http://schemas.openxmlformats.org/officeDocument/2006/relationships/hyperlink" Target="http://www.legislation.act.gov.au/sl/2012-43" TargetMode="External"/><Relationship Id="rId1714" Type="http://schemas.openxmlformats.org/officeDocument/2006/relationships/hyperlink" Target="http://www.legislation.act.gov.au/sl/2014-9" TargetMode="External"/><Relationship Id="rId1921" Type="http://schemas.openxmlformats.org/officeDocument/2006/relationships/hyperlink" Target="http://www.legislation.act.gov.au/sl/2006-58" TargetMode="External"/><Relationship Id="rId2488" Type="http://schemas.openxmlformats.org/officeDocument/2006/relationships/hyperlink" Target="http://www.legislation.act.gov.au/sl/2011-33" TargetMode="External"/><Relationship Id="rId1297" Type="http://schemas.openxmlformats.org/officeDocument/2006/relationships/hyperlink" Target="http://www.legislation.act.gov.au/sl/2016-33" TargetMode="External"/><Relationship Id="rId2695" Type="http://schemas.openxmlformats.org/officeDocument/2006/relationships/hyperlink" Target="http://www.legislation.act.gov.au/sl/2013-18/default.asp" TargetMode="External"/><Relationship Id="rId667" Type="http://schemas.openxmlformats.org/officeDocument/2006/relationships/hyperlink" Target="http://www.legislation.act.gov.au/a/2008-35" TargetMode="External"/><Relationship Id="rId874" Type="http://schemas.openxmlformats.org/officeDocument/2006/relationships/hyperlink" Target="http://www.legislation.act.gov.au/a/2011-12/default.asp" TargetMode="External"/><Relationship Id="rId2348" Type="http://schemas.openxmlformats.org/officeDocument/2006/relationships/hyperlink" Target="http://www.legislation.act.gov.au/sl/2012-24" TargetMode="External"/><Relationship Id="rId2555" Type="http://schemas.openxmlformats.org/officeDocument/2006/relationships/hyperlink" Target="http://www.legislation.act.gov.au/sl/2024-37/" TargetMode="External"/><Relationship Id="rId2762" Type="http://schemas.openxmlformats.org/officeDocument/2006/relationships/hyperlink" Target="http://www.legislation.act.gov.au/sl/2008-25" TargetMode="External"/><Relationship Id="rId527" Type="http://schemas.openxmlformats.org/officeDocument/2006/relationships/hyperlink" Target="http://www.legislation.act.gov.au/a/1951-2" TargetMode="External"/><Relationship Id="rId734" Type="http://schemas.openxmlformats.org/officeDocument/2006/relationships/hyperlink" Target="http://www.legislation.act.gov.au/af/2006-411/default.asp" TargetMode="External"/><Relationship Id="rId941" Type="http://schemas.openxmlformats.org/officeDocument/2006/relationships/hyperlink" Target="http://www.legislation.act.gov.au/sl/1937-85" TargetMode="External"/><Relationship Id="rId1157" Type="http://schemas.openxmlformats.org/officeDocument/2006/relationships/header" Target="header45.xml"/><Relationship Id="rId1364" Type="http://schemas.openxmlformats.org/officeDocument/2006/relationships/hyperlink" Target="http://www.legislation.act.gov.au/sl/2011-34" TargetMode="External"/><Relationship Id="rId1571" Type="http://schemas.openxmlformats.org/officeDocument/2006/relationships/hyperlink" Target="http://www.legislation.act.gov.au/sl/2023-36/" TargetMode="External"/><Relationship Id="rId2208" Type="http://schemas.openxmlformats.org/officeDocument/2006/relationships/hyperlink" Target="http://www.legislation.act.gov.au/sl/2015-22" TargetMode="External"/><Relationship Id="rId2415" Type="http://schemas.openxmlformats.org/officeDocument/2006/relationships/hyperlink" Target="http://www.legislation.act.gov.au/sl/2017-40/default.asp" TargetMode="External"/><Relationship Id="rId2622" Type="http://schemas.openxmlformats.org/officeDocument/2006/relationships/hyperlink" Target="http://www.legislation.act.gov.au/sl/2011-33" TargetMode="External"/><Relationship Id="rId70" Type="http://schemas.openxmlformats.org/officeDocument/2006/relationships/hyperlink" Target="http://www.legislation.act.gov.au/af/2006-255/default.asp" TargetMode="External"/><Relationship Id="rId801" Type="http://schemas.openxmlformats.org/officeDocument/2006/relationships/hyperlink" Target="http://www.legislation.act.gov.au/a/2001-14" TargetMode="External"/><Relationship Id="rId1017" Type="http://schemas.openxmlformats.org/officeDocument/2006/relationships/hyperlink" Target="http://www.comlaw.gov.au/Series/C2004A00819" TargetMode="External"/><Relationship Id="rId1224" Type="http://schemas.openxmlformats.org/officeDocument/2006/relationships/hyperlink" Target="http://www.legislation.act.gov.au/a/1990-22" TargetMode="External"/><Relationship Id="rId1431" Type="http://schemas.openxmlformats.org/officeDocument/2006/relationships/hyperlink" Target="http://www.legislation.act.gov.au/sl/2014-34" TargetMode="External"/><Relationship Id="rId3049" Type="http://schemas.openxmlformats.org/officeDocument/2006/relationships/hyperlink" Target="http://www.legislation.act.gov.au/sl/2017-17/default.asp" TargetMode="External"/><Relationship Id="rId177" Type="http://schemas.openxmlformats.org/officeDocument/2006/relationships/hyperlink" Target="http://www.legislation.act.gov.au/af/2006-296/default.asp" TargetMode="External"/><Relationship Id="rId384" Type="http://schemas.openxmlformats.org/officeDocument/2006/relationships/hyperlink" Target="http://www.legislation.act.gov.au/a/2017-7/default.asp" TargetMode="External"/><Relationship Id="rId591" Type="http://schemas.openxmlformats.org/officeDocument/2006/relationships/hyperlink" Target="http://www.legislation.act.gov.au/af/2011-63/default.asp" TargetMode="External"/><Relationship Id="rId2065" Type="http://schemas.openxmlformats.org/officeDocument/2006/relationships/hyperlink" Target="http://www.legislation.act.gov.au/sl/2024-9/" TargetMode="External"/><Relationship Id="rId2272" Type="http://schemas.openxmlformats.org/officeDocument/2006/relationships/hyperlink" Target="http://www.legislation.act.gov.au/sl/2023-36/" TargetMode="External"/><Relationship Id="rId244" Type="http://schemas.openxmlformats.org/officeDocument/2006/relationships/hyperlink" Target="http://www.legislation.act.gov.au/af/2006-327/default.asp" TargetMode="External"/><Relationship Id="rId1081" Type="http://schemas.openxmlformats.org/officeDocument/2006/relationships/hyperlink" Target="http://www.comlaw.gov.au/Series/C2004A00818" TargetMode="External"/><Relationship Id="rId451" Type="http://schemas.openxmlformats.org/officeDocument/2006/relationships/hyperlink" Target="http://www.legislation.act.gov.au/af/2006-370/default.asp" TargetMode="External"/><Relationship Id="rId2132" Type="http://schemas.openxmlformats.org/officeDocument/2006/relationships/hyperlink" Target="http://www.legislation.act.gov.au/sl/2011-6" TargetMode="External"/><Relationship Id="rId104" Type="http://schemas.openxmlformats.org/officeDocument/2006/relationships/hyperlink" Target="http://www.legislation.act.gov.au/a/2011-12/default.asp" TargetMode="External"/><Relationship Id="rId311" Type="http://schemas.openxmlformats.org/officeDocument/2006/relationships/hyperlink" Target="http://www.legislation.act.gov.au/a/1929-18/default.asp" TargetMode="External"/><Relationship Id="rId1898" Type="http://schemas.openxmlformats.org/officeDocument/2006/relationships/hyperlink" Target="http://www.legislation.act.gov.au/sl/2009-32" TargetMode="External"/><Relationship Id="rId2949" Type="http://schemas.openxmlformats.org/officeDocument/2006/relationships/hyperlink" Target="http://www.legislation.act.gov.au/sl/2011-33" TargetMode="External"/><Relationship Id="rId1758" Type="http://schemas.openxmlformats.org/officeDocument/2006/relationships/hyperlink" Target="http://www.legislation.act.gov.au/sl/2019-11/default.asp" TargetMode="External"/><Relationship Id="rId2809" Type="http://schemas.openxmlformats.org/officeDocument/2006/relationships/hyperlink" Target="http://www.legislation.act.gov.au/sl/2017-17/default.asp" TargetMode="External"/><Relationship Id="rId1965" Type="http://schemas.openxmlformats.org/officeDocument/2006/relationships/hyperlink" Target="http://www.legislation.act.gov.au/sl/2017-17/default.asp" TargetMode="External"/><Relationship Id="rId1618" Type="http://schemas.openxmlformats.org/officeDocument/2006/relationships/hyperlink" Target="http://www.legislation.act.gov.au/sl/2006-58" TargetMode="External"/><Relationship Id="rId1825" Type="http://schemas.openxmlformats.org/officeDocument/2006/relationships/hyperlink" Target="http://www.legislation.act.gov.au/sl/2006-58" TargetMode="External"/><Relationship Id="rId3040" Type="http://schemas.openxmlformats.org/officeDocument/2006/relationships/hyperlink" Target="http://www.legislation.act.gov.au/sl/2016-17" TargetMode="External"/><Relationship Id="rId2599" Type="http://schemas.openxmlformats.org/officeDocument/2006/relationships/hyperlink" Target="http://www.legislation.act.gov.au/sl/2011-33" TargetMode="External"/><Relationship Id="rId778" Type="http://schemas.openxmlformats.org/officeDocument/2006/relationships/hyperlink" Target="http://www.legislation.act.gov.au/a/1991-34" TargetMode="External"/><Relationship Id="rId985" Type="http://schemas.openxmlformats.org/officeDocument/2006/relationships/header" Target="header36.xml"/><Relationship Id="rId2459" Type="http://schemas.openxmlformats.org/officeDocument/2006/relationships/hyperlink" Target="http://www.legislation.act.gov.au/sl/2012-43" TargetMode="External"/><Relationship Id="rId2666" Type="http://schemas.openxmlformats.org/officeDocument/2006/relationships/hyperlink" Target="http://www.legislation.act.gov.au/sl/2008-50" TargetMode="External"/><Relationship Id="rId2873" Type="http://schemas.openxmlformats.org/officeDocument/2006/relationships/hyperlink" Target="http://www.legislation.act.gov.au/sl/2008-50" TargetMode="External"/><Relationship Id="rId638" Type="http://schemas.openxmlformats.org/officeDocument/2006/relationships/hyperlink" Target="http://www.legislation.act.gov.au/a/1930-21" TargetMode="External"/><Relationship Id="rId845" Type="http://schemas.openxmlformats.org/officeDocument/2006/relationships/hyperlink" Target="http://www.legislation.act.gov.au/a/2001-14" TargetMode="External"/><Relationship Id="rId1268" Type="http://schemas.openxmlformats.org/officeDocument/2006/relationships/hyperlink" Target="http://www.legislation.act.gov.au/a/2010-21" TargetMode="External"/><Relationship Id="rId1475" Type="http://schemas.openxmlformats.org/officeDocument/2006/relationships/hyperlink" Target="http://www.legislation.act.gov.au/sl/2012-24" TargetMode="External"/><Relationship Id="rId1682" Type="http://schemas.openxmlformats.org/officeDocument/2006/relationships/hyperlink" Target="http://www.legislation.act.gov.au/sl/2017-17/default.asp" TargetMode="External"/><Relationship Id="rId2319" Type="http://schemas.openxmlformats.org/officeDocument/2006/relationships/hyperlink" Target="http://www.legislation.act.gov.au/sl/2012-43" TargetMode="External"/><Relationship Id="rId2526" Type="http://schemas.openxmlformats.org/officeDocument/2006/relationships/hyperlink" Target="http://www.legislation.act.gov.au/sl/2009-32" TargetMode="External"/><Relationship Id="rId2733" Type="http://schemas.openxmlformats.org/officeDocument/2006/relationships/hyperlink" Target="http://www.legislation.act.gov.au/sl/2008-25" TargetMode="External"/><Relationship Id="rId705" Type="http://schemas.openxmlformats.org/officeDocument/2006/relationships/hyperlink" Target="http://www.legislation.act.gov.au/a/2001-14" TargetMode="External"/><Relationship Id="rId1128" Type="http://schemas.openxmlformats.org/officeDocument/2006/relationships/hyperlink" Target="http://www.comlaw.gov.au/Series/C2007A00132" TargetMode="External"/><Relationship Id="rId1335" Type="http://schemas.openxmlformats.org/officeDocument/2006/relationships/hyperlink" Target="http://www.legislation.act.gov.au/sl/2009-56" TargetMode="External"/><Relationship Id="rId1542" Type="http://schemas.openxmlformats.org/officeDocument/2006/relationships/hyperlink" Target="http://www.legislation.act.gov.au/sl/2016-17" TargetMode="External"/><Relationship Id="rId2940" Type="http://schemas.openxmlformats.org/officeDocument/2006/relationships/hyperlink" Target="http://www.legislation.act.gov.au/sl/2015-22" TargetMode="External"/><Relationship Id="rId912" Type="http://schemas.openxmlformats.org/officeDocument/2006/relationships/hyperlink" Target="http://www.legislation.act.gov.au/af/2024-149/default.asp" TargetMode="External"/><Relationship Id="rId2800" Type="http://schemas.openxmlformats.org/officeDocument/2006/relationships/hyperlink" Target="http://www.legislation.act.gov.au/sl/2008-50" TargetMode="External"/><Relationship Id="rId41" Type="http://schemas.openxmlformats.org/officeDocument/2006/relationships/hyperlink" Target="http://www.legislation.act.gov.au/af/2014-160/default.asp" TargetMode="External"/><Relationship Id="rId1402" Type="http://schemas.openxmlformats.org/officeDocument/2006/relationships/hyperlink" Target="http://www.legislation.act.gov.au/sl/2009-56" TargetMode="External"/><Relationship Id="rId288" Type="http://schemas.openxmlformats.org/officeDocument/2006/relationships/hyperlink" Target="http://www.comlaw.gov.au/Series/C2004A00275" TargetMode="External"/><Relationship Id="rId495" Type="http://schemas.openxmlformats.org/officeDocument/2006/relationships/hyperlink" Target="http://www.legislation.act.gov.au/a/2006-25/default.asp" TargetMode="External"/><Relationship Id="rId2176" Type="http://schemas.openxmlformats.org/officeDocument/2006/relationships/hyperlink" Target="http://www.legislation.act.gov.au/sl/2012-43" TargetMode="External"/><Relationship Id="rId2383" Type="http://schemas.openxmlformats.org/officeDocument/2006/relationships/hyperlink" Target="http://www.legislation.act.gov.au/a/2007-28" TargetMode="External"/><Relationship Id="rId2590" Type="http://schemas.openxmlformats.org/officeDocument/2006/relationships/hyperlink" Target="http://www.legislation.act.gov.au/sl/2011-34" TargetMode="External"/><Relationship Id="rId148" Type="http://schemas.openxmlformats.org/officeDocument/2006/relationships/hyperlink" Target="http://www.comlaw.gov.au/Series/C2004A04121"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06-25" TargetMode="External"/><Relationship Id="rId1192" Type="http://schemas.openxmlformats.org/officeDocument/2006/relationships/hyperlink" Target="http://www.legislation.act.gov.au/af/2008-143/default.asp" TargetMode="External"/><Relationship Id="rId2036" Type="http://schemas.openxmlformats.org/officeDocument/2006/relationships/hyperlink" Target="http://www.legislation.act.gov.au/sl/2006-58" TargetMode="External"/><Relationship Id="rId2243" Type="http://schemas.openxmlformats.org/officeDocument/2006/relationships/hyperlink" Target="http://www.legislation.act.gov.au/sl/2015-22" TargetMode="External"/><Relationship Id="rId2450" Type="http://schemas.openxmlformats.org/officeDocument/2006/relationships/hyperlink" Target="http://www.legislation.act.gov.au/a/2008-20" TargetMode="External"/><Relationship Id="rId215" Type="http://schemas.openxmlformats.org/officeDocument/2006/relationships/header" Target="header9.xml"/><Relationship Id="rId422" Type="http://schemas.openxmlformats.org/officeDocument/2006/relationships/hyperlink" Target="http://www.legislation.act.gov.au/a/1992-71/default.asp" TargetMode="External"/><Relationship Id="rId1052" Type="http://schemas.openxmlformats.org/officeDocument/2006/relationships/footer" Target="footer48.xml"/><Relationship Id="rId2103" Type="http://schemas.openxmlformats.org/officeDocument/2006/relationships/hyperlink" Target="http://www.legislation.act.gov.au/a/2010-21" TargetMode="External"/><Relationship Id="rId2310" Type="http://schemas.openxmlformats.org/officeDocument/2006/relationships/hyperlink" Target="http://www.legislation.act.gov.au/sl/2023-36/" TargetMode="External"/><Relationship Id="rId1869" Type="http://schemas.openxmlformats.org/officeDocument/2006/relationships/hyperlink" Target="http://www.legislation.act.gov.au/sl/2006-58" TargetMode="External"/><Relationship Id="rId3084" Type="http://schemas.openxmlformats.org/officeDocument/2006/relationships/hyperlink" Target="http://www.legislation.act.gov.au/sl/2024-9/" TargetMode="External"/><Relationship Id="rId1729" Type="http://schemas.openxmlformats.org/officeDocument/2006/relationships/hyperlink" Target="http://www.legislation.act.gov.au/sl/2014-9" TargetMode="External"/><Relationship Id="rId1936" Type="http://schemas.openxmlformats.org/officeDocument/2006/relationships/hyperlink" Target="http://www.legislation.act.gov.au/sl/2017-10/default.asp" TargetMode="External"/><Relationship Id="rId3011" Type="http://schemas.openxmlformats.org/officeDocument/2006/relationships/hyperlink" Target="http://www.legislation.act.gov.au/sl/2012-24" TargetMode="External"/><Relationship Id="rId5" Type="http://schemas.openxmlformats.org/officeDocument/2006/relationships/webSettings" Target="webSettings.xml"/><Relationship Id="rId889" Type="http://schemas.openxmlformats.org/officeDocument/2006/relationships/hyperlink" Target="http://www.legislation.act.gov.au/a/1991-34" TargetMode="External"/><Relationship Id="rId2777" Type="http://schemas.openxmlformats.org/officeDocument/2006/relationships/hyperlink" Target="http://www.legislation.act.gov.au/sl/2008-25" TargetMode="External"/><Relationship Id="rId749" Type="http://schemas.openxmlformats.org/officeDocument/2006/relationships/hyperlink" Target="http://www.legislation.act.gov.au/a/2004-5" TargetMode="External"/><Relationship Id="rId1379" Type="http://schemas.openxmlformats.org/officeDocument/2006/relationships/hyperlink" Target="http://www.legislation.act.gov.au/sl/2020-45/" TargetMode="External"/><Relationship Id="rId1586" Type="http://schemas.openxmlformats.org/officeDocument/2006/relationships/hyperlink" Target="http://www.legislation.act.gov.au/sl/2006-58" TargetMode="External"/><Relationship Id="rId2984" Type="http://schemas.openxmlformats.org/officeDocument/2006/relationships/hyperlink" Target="http://www.legislation.act.gov.au/sl/2009-32" TargetMode="External"/><Relationship Id="rId609" Type="http://schemas.openxmlformats.org/officeDocument/2006/relationships/hyperlink" Target="http://www.comlaw.gov.au/Details/C2013C00180" TargetMode="External"/><Relationship Id="rId956" Type="http://schemas.openxmlformats.org/officeDocument/2006/relationships/footer" Target="footer31.xml"/><Relationship Id="rId1239" Type="http://schemas.openxmlformats.org/officeDocument/2006/relationships/header" Target="header55.xml"/><Relationship Id="rId1793" Type="http://schemas.openxmlformats.org/officeDocument/2006/relationships/hyperlink" Target="http://www.legislation.act.gov.au/sl/2009-32" TargetMode="External"/><Relationship Id="rId2637" Type="http://schemas.openxmlformats.org/officeDocument/2006/relationships/hyperlink" Target="http://www.legislation.act.gov.au/sl/2010-24" TargetMode="External"/><Relationship Id="rId2844" Type="http://schemas.openxmlformats.org/officeDocument/2006/relationships/hyperlink" Target="http://www.legislation.act.gov.au/sl/2015-22" TargetMode="External"/><Relationship Id="rId85" Type="http://schemas.openxmlformats.org/officeDocument/2006/relationships/hyperlink" Target="http://www.legislation.act.gov.au/af/2006-259/default.asp" TargetMode="External"/><Relationship Id="rId816" Type="http://schemas.openxmlformats.org/officeDocument/2006/relationships/hyperlink" Target="http://www.legislation.act.gov.au/a/2004-59" TargetMode="External"/><Relationship Id="rId1446" Type="http://schemas.openxmlformats.org/officeDocument/2006/relationships/hyperlink" Target="http://www.legislation.act.gov.au/sl/2015-42/default.asp" TargetMode="External"/><Relationship Id="rId1653" Type="http://schemas.openxmlformats.org/officeDocument/2006/relationships/hyperlink" Target="http://www.legislation.act.gov.au/sl/2010-24" TargetMode="External"/><Relationship Id="rId1860" Type="http://schemas.openxmlformats.org/officeDocument/2006/relationships/hyperlink" Target="http://www.legislation.act.gov.au/sl/2009-32" TargetMode="External"/><Relationship Id="rId2704" Type="http://schemas.openxmlformats.org/officeDocument/2006/relationships/hyperlink" Target="http://www.legislation.act.gov.au/sl/2011-17" TargetMode="External"/><Relationship Id="rId2911" Type="http://schemas.openxmlformats.org/officeDocument/2006/relationships/hyperlink" Target="http://www.legislation.act.gov.au/sl/2014-9" TargetMode="External"/><Relationship Id="rId1306" Type="http://schemas.openxmlformats.org/officeDocument/2006/relationships/hyperlink" Target="http://www.legislation.act.gov.au/sl/2019-25/default.asp" TargetMode="External"/><Relationship Id="rId1513" Type="http://schemas.openxmlformats.org/officeDocument/2006/relationships/hyperlink" Target="http://www.legislation.act.gov.au/sl/2024-9/" TargetMode="External"/><Relationship Id="rId1720" Type="http://schemas.openxmlformats.org/officeDocument/2006/relationships/hyperlink" Target="http://www.legislation.act.gov.au/sl/2014-9" TargetMode="External"/><Relationship Id="rId12" Type="http://schemas.openxmlformats.org/officeDocument/2006/relationships/hyperlink" Target="http://www.legislation.act.gov.au/a/2001-14" TargetMode="External"/><Relationship Id="rId399" Type="http://schemas.openxmlformats.org/officeDocument/2006/relationships/hyperlink" Target="https://www.legislation.gov.au/Series/C2004A00192" TargetMode="External"/><Relationship Id="rId2287" Type="http://schemas.openxmlformats.org/officeDocument/2006/relationships/hyperlink" Target="http://www.legislation.act.gov.au/sl/2016-33" TargetMode="External"/><Relationship Id="rId2494" Type="http://schemas.openxmlformats.org/officeDocument/2006/relationships/hyperlink" Target="http://www.legislation.act.gov.au/sl/2009-32" TargetMode="External"/><Relationship Id="rId259" Type="http://schemas.openxmlformats.org/officeDocument/2006/relationships/hyperlink" Target="http://www.legislation.act.gov.au/af/2006-323/default.asp" TargetMode="External"/><Relationship Id="rId466" Type="http://schemas.openxmlformats.org/officeDocument/2006/relationships/hyperlink" Target="http://www.legislation.act.gov.au/af/2006-373/default.asp" TargetMode="External"/><Relationship Id="rId673" Type="http://schemas.openxmlformats.org/officeDocument/2006/relationships/hyperlink" Target="http://www.legislation.act.gov.au/af/2006-392/default.asp" TargetMode="External"/><Relationship Id="rId880" Type="http://schemas.openxmlformats.org/officeDocument/2006/relationships/hyperlink" Target="http://www.legislation.act.gov.au/a/2004-59" TargetMode="Externa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12-43" TargetMode="External"/><Relationship Id="rId2354" Type="http://schemas.openxmlformats.org/officeDocument/2006/relationships/hyperlink" Target="http://www.legislation.act.gov.au/sl/2023-36/" TargetMode="External"/><Relationship Id="rId2561" Type="http://schemas.openxmlformats.org/officeDocument/2006/relationships/hyperlink" Target="http://www.legislation.act.gov.au/sl/2012-24" TargetMode="External"/><Relationship Id="rId119" Type="http://schemas.openxmlformats.org/officeDocument/2006/relationships/hyperlink" Target="http://www.legislation.act.gov.au/a/1925-1" TargetMode="External"/><Relationship Id="rId326" Type="http://schemas.openxmlformats.org/officeDocument/2006/relationships/hyperlink" Target="http://www.legislation.act.gov.au/a/1929-18" TargetMode="External"/><Relationship Id="rId533" Type="http://schemas.openxmlformats.org/officeDocument/2006/relationships/hyperlink" Target="http://www.legislation.act.gov.au/sl/2002-20" TargetMode="External"/><Relationship Id="rId1163" Type="http://schemas.openxmlformats.org/officeDocument/2006/relationships/hyperlink" Target="http://www.comlaw.gov.au/Series/C2004A00818" TargetMode="External"/><Relationship Id="rId1370" Type="http://schemas.openxmlformats.org/officeDocument/2006/relationships/hyperlink" Target="http://www.legislation.act.gov.au/sl/2009-56" TargetMode="External"/><Relationship Id="rId2007" Type="http://schemas.openxmlformats.org/officeDocument/2006/relationships/hyperlink" Target="http://www.legislation.act.gov.au/sl/2006-58" TargetMode="External"/><Relationship Id="rId2214" Type="http://schemas.openxmlformats.org/officeDocument/2006/relationships/hyperlink" Target="http://www.legislation.act.gov.au/sl/2023-36/" TargetMode="External"/><Relationship Id="rId740" Type="http://schemas.openxmlformats.org/officeDocument/2006/relationships/hyperlink" Target="https://www.legislation.act.gov.au/a/2004-5" TargetMode="External"/><Relationship Id="rId1023" Type="http://schemas.openxmlformats.org/officeDocument/2006/relationships/hyperlink" Target="https://www.legislation.gov.au/Series/F2001B00274" TargetMode="External"/><Relationship Id="rId2421" Type="http://schemas.openxmlformats.org/officeDocument/2006/relationships/hyperlink" Target="http://www.legislation.act.gov.au/sl/2024-9/" TargetMode="External"/><Relationship Id="rId600" Type="http://schemas.openxmlformats.org/officeDocument/2006/relationships/hyperlink" Target="http://www.legislation.act.gov.au/af/2017-107/default.asp" TargetMode="External"/><Relationship Id="rId1230" Type="http://schemas.openxmlformats.org/officeDocument/2006/relationships/hyperlink" Target="http://www.legislation.act.gov.au/a/1999-77" TargetMode="External"/><Relationship Id="rId3055" Type="http://schemas.openxmlformats.org/officeDocument/2006/relationships/hyperlink" Target="https://www.legislation.act.gov.au/sl/2019-11/"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24-9/" TargetMode="External"/><Relationship Id="rId250" Type="http://schemas.openxmlformats.org/officeDocument/2006/relationships/hyperlink" Target="http://www.legislation.act.gov.au/af/2006-319/default.asp" TargetMode="External"/><Relationship Id="rId110" Type="http://schemas.openxmlformats.org/officeDocument/2006/relationships/hyperlink" Target="http://www.legislation.act.gov.au/af/2006-270/default.asp" TargetMode="External"/><Relationship Id="rId2888" Type="http://schemas.openxmlformats.org/officeDocument/2006/relationships/hyperlink" Target="http://www.legislation.act.gov.au/sl/2012-24" TargetMode="External"/><Relationship Id="rId1697" Type="http://schemas.openxmlformats.org/officeDocument/2006/relationships/hyperlink" Target="http://www.legislation.act.gov.au/sl/2014-34" TargetMode="External"/><Relationship Id="rId2748" Type="http://schemas.openxmlformats.org/officeDocument/2006/relationships/hyperlink" Target="http://www.legislation.act.gov.au/sl/2012-43" TargetMode="External"/><Relationship Id="rId2955" Type="http://schemas.openxmlformats.org/officeDocument/2006/relationships/hyperlink" Target="http://www.legislation.act.gov.au/a/2001-14" TargetMode="External"/><Relationship Id="rId927" Type="http://schemas.openxmlformats.org/officeDocument/2006/relationships/hyperlink" Target="http://www.comlaw.gov.au/Series/C2010A00035" TargetMode="External"/><Relationship Id="rId1557" Type="http://schemas.openxmlformats.org/officeDocument/2006/relationships/hyperlink" Target="http://www.legislation.act.gov.au/sl/2011-17" TargetMode="External"/><Relationship Id="rId1764" Type="http://schemas.openxmlformats.org/officeDocument/2006/relationships/hyperlink" Target="http://www.legislation.act.gov.au/sl/2011-17" TargetMode="External"/><Relationship Id="rId1971" Type="http://schemas.openxmlformats.org/officeDocument/2006/relationships/hyperlink" Target="http://www.legislation.act.gov.au/sl/2006-58" TargetMode="External"/><Relationship Id="rId2608" Type="http://schemas.openxmlformats.org/officeDocument/2006/relationships/hyperlink" Target="http://www.legislation.act.gov.au/sl/2011-33" TargetMode="External"/><Relationship Id="rId2815" Type="http://schemas.openxmlformats.org/officeDocument/2006/relationships/hyperlink" Target="http://www.legislation.act.gov.au/a/2009-49" TargetMode="External"/><Relationship Id="rId56" Type="http://schemas.openxmlformats.org/officeDocument/2006/relationships/hyperlink" Target="http://www.legislation.act.gov.au/af/2015-28/default.asp" TargetMode="External"/><Relationship Id="rId1417" Type="http://schemas.openxmlformats.org/officeDocument/2006/relationships/hyperlink" Target="http://www.legislation.act.gov.au/sl/2014-34" TargetMode="External"/><Relationship Id="rId1624" Type="http://schemas.openxmlformats.org/officeDocument/2006/relationships/hyperlink" Target="http://www.legislation.act.gov.au/sl/2022-2/" TargetMode="External"/><Relationship Id="rId1831" Type="http://schemas.openxmlformats.org/officeDocument/2006/relationships/hyperlink" Target="http://www.legislation.act.gov.au/sl/2006-58" TargetMode="External"/><Relationship Id="rId2398" Type="http://schemas.openxmlformats.org/officeDocument/2006/relationships/hyperlink" Target="http://www.legislation.act.gov.au/sl/2007-37" TargetMode="External"/><Relationship Id="rId577" Type="http://schemas.openxmlformats.org/officeDocument/2006/relationships/hyperlink" Target="http://www.legislation.act.gov.au/a/1930-21" TargetMode="External"/><Relationship Id="rId2258" Type="http://schemas.openxmlformats.org/officeDocument/2006/relationships/hyperlink" Target="http://www.legislation.act.gov.au/sl/2016-33" TargetMode="External"/><Relationship Id="rId784" Type="http://schemas.openxmlformats.org/officeDocument/2006/relationships/hyperlink" Target="http://www.legislation.act.gov.au/a/2017-7/default.asp" TargetMode="External"/><Relationship Id="rId991" Type="http://schemas.openxmlformats.org/officeDocument/2006/relationships/hyperlink" Target="http://www.comlaw.gov.au/Series/C2008A00024" TargetMode="External"/><Relationship Id="rId1067" Type="http://schemas.openxmlformats.org/officeDocument/2006/relationships/hyperlink" Target="http://www.comlaw.gov.au/Series/C2004A00818" TargetMode="External"/><Relationship Id="rId2465" Type="http://schemas.openxmlformats.org/officeDocument/2006/relationships/hyperlink" Target="http://www.legislation.act.gov.au/sl/2009-32" TargetMode="External"/><Relationship Id="rId2672" Type="http://schemas.openxmlformats.org/officeDocument/2006/relationships/hyperlink" Target="http://www.legislation.act.gov.au/sl/2011-34" TargetMode="External"/><Relationship Id="rId437" Type="http://schemas.openxmlformats.org/officeDocument/2006/relationships/hyperlink" Target="http://www.comlaw.gov.au/Series/C2004A04874" TargetMode="External"/><Relationship Id="rId644" Type="http://schemas.openxmlformats.org/officeDocument/2006/relationships/hyperlink" Target="http://www.legislation.act.gov.au/a/2008-35" TargetMode="External"/><Relationship Id="rId851" Type="http://schemas.openxmlformats.org/officeDocument/2006/relationships/hyperlink" Target="http://www.legislation.act.gov.au/a/2017-7/default.asp" TargetMode="External"/><Relationship Id="rId1274" Type="http://schemas.openxmlformats.org/officeDocument/2006/relationships/hyperlink" Target="http://www.legislation.act.gov.au/a/2011-20" TargetMode="External"/><Relationship Id="rId1481" Type="http://schemas.openxmlformats.org/officeDocument/2006/relationships/hyperlink" Target="http://www.legislation.act.gov.au/sl/2015-22" TargetMode="External"/><Relationship Id="rId2118" Type="http://schemas.openxmlformats.org/officeDocument/2006/relationships/hyperlink" Target="http://www.legislation.act.gov.au/sl/2024-9/" TargetMode="External"/><Relationship Id="rId2325" Type="http://schemas.openxmlformats.org/officeDocument/2006/relationships/hyperlink" Target="http://www.legislation.act.gov.au/sl/2012-43" TargetMode="External"/><Relationship Id="rId2532" Type="http://schemas.openxmlformats.org/officeDocument/2006/relationships/hyperlink" Target="http://www.legislation.act.gov.au/sl/2011-6" TargetMode="External"/><Relationship Id="rId504" Type="http://schemas.openxmlformats.org/officeDocument/2006/relationships/hyperlink" Target="http://www.legislation.act.gov.au/a/1951-2/default.asp" TargetMode="External"/><Relationship Id="rId711" Type="http://schemas.openxmlformats.org/officeDocument/2006/relationships/hyperlink" Target="http://www.legislation.act.gov.au/a/1930-21" TargetMode="Externa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13-18/default.asp" TargetMode="External"/><Relationship Id="rId1201" Type="http://schemas.openxmlformats.org/officeDocument/2006/relationships/hyperlink" Target="http://www.legislation.act.gov.au/af/2008-150/default.asp" TargetMode="External"/><Relationship Id="rId3099" Type="http://schemas.openxmlformats.org/officeDocument/2006/relationships/footer" Target="footer71.xml"/><Relationship Id="rId294" Type="http://schemas.openxmlformats.org/officeDocument/2006/relationships/hyperlink" Target="http://www.legislation.act.gov.au/a/1994-28" TargetMode="External"/><Relationship Id="rId2182" Type="http://schemas.openxmlformats.org/officeDocument/2006/relationships/hyperlink" Target="http://www.legislation.act.gov.au/a/2010-2" TargetMode="External"/><Relationship Id="rId3026" Type="http://schemas.openxmlformats.org/officeDocument/2006/relationships/hyperlink" Target="http://www.legislation.act.gov.au/sl/2014-34/default.asp" TargetMode="External"/><Relationship Id="rId154" Type="http://schemas.openxmlformats.org/officeDocument/2006/relationships/hyperlink" Target="http://www.legislation.act.gov.au/a/2004-59" TargetMode="External"/><Relationship Id="rId361" Type="http://schemas.openxmlformats.org/officeDocument/2006/relationships/hyperlink" Target="http://www.legislation.act.gov.au/a/1993-20/default.asp" TargetMode="External"/><Relationship Id="rId2042" Type="http://schemas.openxmlformats.org/officeDocument/2006/relationships/hyperlink" Target="http://www.legislation.act.gov.au/sl/2006-58" TargetMode="External"/><Relationship Id="rId2999" Type="http://schemas.openxmlformats.org/officeDocument/2006/relationships/hyperlink" Target="http://www.legislation.act.gov.au/sl/2011-17" TargetMode="External"/><Relationship Id="rId221" Type="http://schemas.openxmlformats.org/officeDocument/2006/relationships/header" Target="header11.xml"/><Relationship Id="rId2859" Type="http://schemas.openxmlformats.org/officeDocument/2006/relationships/hyperlink" Target="http://www.legislation.act.gov.au/sl/2006-58" TargetMode="External"/><Relationship Id="rId1668" Type="http://schemas.openxmlformats.org/officeDocument/2006/relationships/hyperlink" Target="http://www.legislation.act.gov.au/sl/2011-17" TargetMode="External"/><Relationship Id="rId1875" Type="http://schemas.openxmlformats.org/officeDocument/2006/relationships/hyperlink" Target="http://www.legislation.act.gov.au/sl/2006-58" TargetMode="External"/><Relationship Id="rId2719" Type="http://schemas.openxmlformats.org/officeDocument/2006/relationships/hyperlink" Target="http://www.legislation.act.gov.au/sl/2015-12" TargetMode="External"/><Relationship Id="rId1528" Type="http://schemas.openxmlformats.org/officeDocument/2006/relationships/hyperlink" Target="http://www.legislation.act.gov.au/sl/2015-22" TargetMode="External"/><Relationship Id="rId2926" Type="http://schemas.openxmlformats.org/officeDocument/2006/relationships/hyperlink" Target="http://www.legislation.act.gov.au/sl/2017-10/default.asp" TargetMode="External"/><Relationship Id="rId3090" Type="http://schemas.openxmlformats.org/officeDocument/2006/relationships/header" Target="header58.xml"/><Relationship Id="rId1735" Type="http://schemas.openxmlformats.org/officeDocument/2006/relationships/hyperlink" Target="http://www.legislation.act.gov.au/sl/2014-9" TargetMode="External"/><Relationship Id="rId1942" Type="http://schemas.openxmlformats.org/officeDocument/2006/relationships/hyperlink" Target="http://www.legislation.act.gov.au/sl/2006-58" TargetMode="External"/><Relationship Id="rId27" Type="http://schemas.openxmlformats.org/officeDocument/2006/relationships/footer" Target="footer6.xml"/><Relationship Id="rId1802" Type="http://schemas.openxmlformats.org/officeDocument/2006/relationships/hyperlink" Target="http://www.legislation.act.gov.au/sl/2009-32" TargetMode="External"/><Relationship Id="rId688" Type="http://schemas.openxmlformats.org/officeDocument/2006/relationships/footer" Target="footer23.xml"/><Relationship Id="rId895" Type="http://schemas.openxmlformats.org/officeDocument/2006/relationships/hyperlink" Target="http://www.legislation.act.gov.au/a/2011-12/default.asp" TargetMode="External"/><Relationship Id="rId2369" Type="http://schemas.openxmlformats.org/officeDocument/2006/relationships/hyperlink" Target="http://www.legislation.act.gov.au/sl/2024-9/" TargetMode="External"/><Relationship Id="rId2576" Type="http://schemas.openxmlformats.org/officeDocument/2006/relationships/hyperlink" Target="http://www.legislation.act.gov.au/sl/2015-22" TargetMode="External"/><Relationship Id="rId2783" Type="http://schemas.openxmlformats.org/officeDocument/2006/relationships/hyperlink" Target="http://www.legislation.act.gov.au/sl/2012-43" TargetMode="External"/><Relationship Id="rId2990" Type="http://schemas.openxmlformats.org/officeDocument/2006/relationships/hyperlink" Target="http://www.legislation.act.gov.au/a/2010-21" TargetMode="External"/><Relationship Id="rId548" Type="http://schemas.openxmlformats.org/officeDocument/2006/relationships/hyperlink" Target="http://www.legislation.act.gov.au/a/1951-2/default.asp" TargetMode="External"/><Relationship Id="rId755" Type="http://schemas.openxmlformats.org/officeDocument/2006/relationships/hyperlink" Target="http://www.legislation.act.gov.au/a/2004-5" TargetMode="External"/><Relationship Id="rId962" Type="http://schemas.openxmlformats.org/officeDocument/2006/relationships/header" Target="header26.xml"/><Relationship Id="rId1178" Type="http://schemas.openxmlformats.org/officeDocument/2006/relationships/hyperlink" Target="http://www.comlaw.gov.au/Series/C2004A00819" TargetMode="External"/><Relationship Id="rId1385" Type="http://schemas.openxmlformats.org/officeDocument/2006/relationships/hyperlink" Target="http://www.legislation.act.gov.au/sl/2007-16" TargetMode="External"/><Relationship Id="rId1592" Type="http://schemas.openxmlformats.org/officeDocument/2006/relationships/hyperlink" Target="http://www.legislation.act.gov.au/sl/2020-34/" TargetMode="External"/><Relationship Id="rId2229" Type="http://schemas.openxmlformats.org/officeDocument/2006/relationships/hyperlink" Target="http://www.legislation.act.gov.au/sl/2011-17" TargetMode="External"/><Relationship Id="rId2436" Type="http://schemas.openxmlformats.org/officeDocument/2006/relationships/hyperlink" Target="http://www.legislation.act.gov.au/sl/2019-25/default.asp" TargetMode="External"/><Relationship Id="rId2643" Type="http://schemas.openxmlformats.org/officeDocument/2006/relationships/hyperlink" Target="http://www.legislation.act.gov.au/sl/2010-24" TargetMode="External"/><Relationship Id="rId2850" Type="http://schemas.openxmlformats.org/officeDocument/2006/relationships/hyperlink" Target="http://www.legislation.act.gov.au/sl/2015-22" TargetMode="External"/><Relationship Id="rId91" Type="http://schemas.openxmlformats.org/officeDocument/2006/relationships/hyperlink" Target="http://www.legislation.act.gov.au/af/2006-262/default.asp" TargetMode="External"/><Relationship Id="rId408" Type="http://schemas.openxmlformats.org/officeDocument/2006/relationships/hyperlink" Target="http://www.legislation.act.gov.au/a/1993-60/default.asp" TargetMode="External"/><Relationship Id="rId615" Type="http://schemas.openxmlformats.org/officeDocument/2006/relationships/hyperlink" Target="http://www.comlaw.gov.au/Details/C2013C00180" TargetMode="External"/><Relationship Id="rId822" Type="http://schemas.openxmlformats.org/officeDocument/2006/relationships/hyperlink" Target="http://www.legislation.act.gov.au/a/2001-14" TargetMode="External"/><Relationship Id="rId1038" Type="http://schemas.openxmlformats.org/officeDocument/2006/relationships/hyperlink" Target="http://www.comlaw.gov.au/Series/C2004A00818" TargetMode="External"/><Relationship Id="rId1245" Type="http://schemas.openxmlformats.org/officeDocument/2006/relationships/hyperlink" Target="http://www.legislation.act.gov.au/a/2007-3" TargetMode="External"/><Relationship Id="rId1452" Type="http://schemas.openxmlformats.org/officeDocument/2006/relationships/hyperlink" Target="http://www.legislation.act.gov.au/sl/2012-24" TargetMode="External"/><Relationship Id="rId2503" Type="http://schemas.openxmlformats.org/officeDocument/2006/relationships/hyperlink" Target="http://www.legislation.act.gov.au/sl/2009-32"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20-20/default.asp" TargetMode="External"/><Relationship Id="rId2710" Type="http://schemas.openxmlformats.org/officeDocument/2006/relationships/hyperlink" Target="http://www.legislation.act.gov.au/sl/2020-45/" TargetMode="External"/><Relationship Id="rId198" Type="http://schemas.openxmlformats.org/officeDocument/2006/relationships/header" Target="header7.xml"/><Relationship Id="rId2086" Type="http://schemas.openxmlformats.org/officeDocument/2006/relationships/hyperlink" Target="http://www.legislation.act.gov.au/sl/2006-58" TargetMode="External"/><Relationship Id="rId2293" Type="http://schemas.openxmlformats.org/officeDocument/2006/relationships/hyperlink" Target="http://www.legislation.act.gov.au/sl/2024-37/" TargetMode="External"/><Relationship Id="rId265" Type="http://schemas.openxmlformats.org/officeDocument/2006/relationships/hyperlink" Target="http://www.legislation.act.gov.au/a/1929-18/default.asp"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13-18/default.asp" TargetMode="External"/><Relationship Id="rId2360" Type="http://schemas.openxmlformats.org/officeDocument/2006/relationships/hyperlink" Target="http://www.legislation.act.gov.au/sl/2023-36/" TargetMode="External"/><Relationship Id="rId125" Type="http://schemas.openxmlformats.org/officeDocument/2006/relationships/hyperlink" Target="http://www.legislation.act.gov.au/a/2002-40" TargetMode="External"/><Relationship Id="rId332" Type="http://schemas.openxmlformats.org/officeDocument/2006/relationships/hyperlink" Target="http://www.legislation.act.gov.au/a/2001-14" TargetMode="External"/><Relationship Id="rId2013" Type="http://schemas.openxmlformats.org/officeDocument/2006/relationships/hyperlink" Target="http://www.legislation.act.gov.au/sl/2006-58" TargetMode="External"/><Relationship Id="rId2220" Type="http://schemas.openxmlformats.org/officeDocument/2006/relationships/hyperlink" Target="http://www.legislation.act.gov.au/sl/2010-51" TargetMode="External"/><Relationship Id="rId1779" Type="http://schemas.openxmlformats.org/officeDocument/2006/relationships/hyperlink" Target="http://www.legislation.act.gov.au/sl/2009-32" TargetMode="External"/><Relationship Id="rId1986" Type="http://schemas.openxmlformats.org/officeDocument/2006/relationships/hyperlink" Target="http://www.legislation.act.gov.au/sl/2006-58" TargetMode="External"/><Relationship Id="rId1639" Type="http://schemas.openxmlformats.org/officeDocument/2006/relationships/hyperlink" Target="http://www.legislation.act.gov.au/sl/2020-45/" TargetMode="External"/><Relationship Id="rId1846" Type="http://schemas.openxmlformats.org/officeDocument/2006/relationships/hyperlink" Target="http://www.legislation.act.gov.au/sl/2009-32" TargetMode="External"/><Relationship Id="rId3061" Type="http://schemas.openxmlformats.org/officeDocument/2006/relationships/hyperlink" Target="http://www.legislation.act.gov.au/sl/2020-6/" TargetMode="External"/><Relationship Id="rId1706" Type="http://schemas.openxmlformats.org/officeDocument/2006/relationships/hyperlink" Target="http://www.legislation.act.gov.au/sl/2011-33" TargetMode="External"/><Relationship Id="rId1913" Type="http://schemas.openxmlformats.org/officeDocument/2006/relationships/hyperlink" Target="http://www.legislation.act.gov.au/sl/2006-58" TargetMode="External"/><Relationship Id="rId799" Type="http://schemas.openxmlformats.org/officeDocument/2006/relationships/hyperlink" Target="http://www.legislation.act.gov.au/a/2001-14" TargetMode="External"/><Relationship Id="rId2687" Type="http://schemas.openxmlformats.org/officeDocument/2006/relationships/hyperlink" Target="http://www.legislation.act.gov.au/sl/2019-11/default.asp" TargetMode="External"/><Relationship Id="rId2894" Type="http://schemas.openxmlformats.org/officeDocument/2006/relationships/hyperlink" Target="http://www.legislation.act.gov.au/sl/2018-25/default.asp" TargetMode="External"/><Relationship Id="rId659" Type="http://schemas.openxmlformats.org/officeDocument/2006/relationships/hyperlink" Target="http://www.legislation.act.gov.au/a/2008-35" TargetMode="External"/><Relationship Id="rId866" Type="http://schemas.openxmlformats.org/officeDocument/2006/relationships/hyperlink" Target="http://www.legislation.act.gov.au/af/2007-73/default.asp" TargetMode="External"/><Relationship Id="rId1289" Type="http://schemas.openxmlformats.org/officeDocument/2006/relationships/hyperlink" Target="http://www.legislation.act.gov.au/sl/2015-12" TargetMode="External"/><Relationship Id="rId1496" Type="http://schemas.openxmlformats.org/officeDocument/2006/relationships/hyperlink" Target="http://www.legislation.act.gov.au/sl/2015-22" TargetMode="External"/><Relationship Id="rId2547" Type="http://schemas.openxmlformats.org/officeDocument/2006/relationships/hyperlink" Target="http://www.legislation.act.gov.au/sl/2024-37/" TargetMode="External"/><Relationship Id="rId519" Type="http://schemas.openxmlformats.org/officeDocument/2006/relationships/hyperlink" Target="http://www.legislation.act.gov.au/af/2010-150/default.asp" TargetMode="External"/><Relationship Id="rId1149" Type="http://schemas.openxmlformats.org/officeDocument/2006/relationships/hyperlink" Target="http://www.comlaw.gov.au/Series/C2004A00818" TargetMode="External"/><Relationship Id="rId1356" Type="http://schemas.openxmlformats.org/officeDocument/2006/relationships/hyperlink" Target="http://www.legislation.act.gov.au/a/2008-20" TargetMode="External"/><Relationship Id="rId2754" Type="http://schemas.openxmlformats.org/officeDocument/2006/relationships/hyperlink" Target="http://www.legislation.act.gov.au/sl/2017-17/default.asp" TargetMode="External"/><Relationship Id="rId2961" Type="http://schemas.openxmlformats.org/officeDocument/2006/relationships/hyperlink" Target="http://www.legislation.act.gov.au/sl/2007-16" TargetMode="External"/><Relationship Id="rId726" Type="http://schemas.openxmlformats.org/officeDocument/2006/relationships/hyperlink" Target="http://www.legislation.act.gov.au/a/1930-21" TargetMode="External"/><Relationship Id="rId933" Type="http://schemas.openxmlformats.org/officeDocument/2006/relationships/hyperlink" Target="http://www.comlaw.gov.au/Series/C2010A00035" TargetMode="External"/><Relationship Id="rId1009" Type="http://schemas.openxmlformats.org/officeDocument/2006/relationships/hyperlink" Target="http://www.comlaw.gov.au/Series/C2008A00024" TargetMode="External"/><Relationship Id="rId1563" Type="http://schemas.openxmlformats.org/officeDocument/2006/relationships/hyperlink" Target="http://www.legislation.act.gov.au/sl/2008-44" TargetMode="External"/><Relationship Id="rId1770" Type="http://schemas.openxmlformats.org/officeDocument/2006/relationships/hyperlink" Target="http://www.legislation.act.gov.au/sl/2006-58" TargetMode="External"/><Relationship Id="rId2407" Type="http://schemas.openxmlformats.org/officeDocument/2006/relationships/hyperlink" Target="http://www.legislation.act.gov.au/sl/2014-9" TargetMode="External"/><Relationship Id="rId2614" Type="http://schemas.openxmlformats.org/officeDocument/2006/relationships/hyperlink" Target="http://www.legislation.act.gov.au/sl/2011-33" TargetMode="External"/><Relationship Id="rId2821" Type="http://schemas.openxmlformats.org/officeDocument/2006/relationships/hyperlink" Target="http://www.legislation.act.gov.au/sl/2018-25/default.asp" TargetMode="External"/><Relationship Id="rId62" Type="http://schemas.openxmlformats.org/officeDocument/2006/relationships/hyperlink" Target="http://www.legislation.act.gov.au/a/2002-40" TargetMode="External"/><Relationship Id="rId1216" Type="http://schemas.openxmlformats.org/officeDocument/2006/relationships/hyperlink" Target="http://www.legislation.act.gov.au/a/2004-59" TargetMode="External"/><Relationship Id="rId1423" Type="http://schemas.openxmlformats.org/officeDocument/2006/relationships/hyperlink" Target="http://www.legislation.act.gov.au/sl/2014-34" TargetMode="External"/><Relationship Id="rId1630" Type="http://schemas.openxmlformats.org/officeDocument/2006/relationships/hyperlink" Target="http://www.legislation.act.gov.au/sl/2016-17" TargetMode="External"/><Relationship Id="rId2197" Type="http://schemas.openxmlformats.org/officeDocument/2006/relationships/hyperlink" Target="http://www.legislation.act.gov.au/sl/2015-22" TargetMode="External"/><Relationship Id="rId169" Type="http://schemas.openxmlformats.org/officeDocument/2006/relationships/hyperlink" Target="http://www.legislation.act.gov.au/af/2008-120/default.asp" TargetMode="External"/><Relationship Id="rId376" Type="http://schemas.openxmlformats.org/officeDocument/2006/relationships/hyperlink" Target="http://www.legislation.act.gov.au/af/2010-145/default.asp" TargetMode="External"/><Relationship Id="rId583" Type="http://schemas.openxmlformats.org/officeDocument/2006/relationships/hyperlink" Target="http://www.legislation.act.gov.au/af/2024-36/default.asp" TargetMode="External"/><Relationship Id="rId790" Type="http://schemas.openxmlformats.org/officeDocument/2006/relationships/hyperlink" Target="http://www.legislation.act.gov.au/a/2016-43" TargetMode="External"/><Relationship Id="rId2057" Type="http://schemas.openxmlformats.org/officeDocument/2006/relationships/hyperlink" Target="http://www.legislation.act.gov.au/sl/2006-58" TargetMode="External"/><Relationship Id="rId2264" Type="http://schemas.openxmlformats.org/officeDocument/2006/relationships/hyperlink" Target="http://www.legislation.act.gov.au/sl/2016-33" TargetMode="External"/><Relationship Id="rId2471" Type="http://schemas.openxmlformats.org/officeDocument/2006/relationships/hyperlink" Target="http://www.legislation.act.gov.au/sl/2017-17/default.asp" TargetMode="External"/><Relationship Id="rId236" Type="http://schemas.openxmlformats.org/officeDocument/2006/relationships/hyperlink" Target="http://www.legislation.act.gov.au/a/2005-58" TargetMode="External"/><Relationship Id="rId443" Type="http://schemas.openxmlformats.org/officeDocument/2006/relationships/hyperlink" Target="http://www.comlaw.gov.au/Series/C2004A04187" TargetMode="External"/><Relationship Id="rId650" Type="http://schemas.openxmlformats.org/officeDocument/2006/relationships/hyperlink" Target="http://www.legislation.act.gov.au/a/2008-46" TargetMode="External"/><Relationship Id="rId1073" Type="http://schemas.openxmlformats.org/officeDocument/2006/relationships/header" Target="header42.xml"/><Relationship Id="rId1280" Type="http://schemas.openxmlformats.org/officeDocument/2006/relationships/hyperlink" Target="http://www.legislation.act.gov.au/cn/2012-4/default.asp" TargetMode="External"/><Relationship Id="rId2124" Type="http://schemas.openxmlformats.org/officeDocument/2006/relationships/hyperlink" Target="http://www.legislation.act.gov.au/sl/2024-9/" TargetMode="External"/><Relationship Id="rId2331" Type="http://schemas.openxmlformats.org/officeDocument/2006/relationships/hyperlink" Target="http://www.legislation.act.gov.au/sl/2012-43" TargetMode="External"/><Relationship Id="rId303" Type="http://schemas.openxmlformats.org/officeDocument/2006/relationships/hyperlink" Target="http://www.legislation.act.gov.au/a/1929-18/default.asp" TargetMode="External"/><Relationship Id="rId1140" Type="http://schemas.openxmlformats.org/officeDocument/2006/relationships/hyperlink" Target="http://www.comlaw.gov.au/Series/C2004A00818" TargetMode="External"/><Relationship Id="rId510" Type="http://schemas.openxmlformats.org/officeDocument/2006/relationships/hyperlink" Target="http://www.legislation.act.gov.au/a/1951-2/default.asp" TargetMode="External"/><Relationship Id="rId1000" Type="http://schemas.openxmlformats.org/officeDocument/2006/relationships/hyperlink" Target="http://www.comlaw.gov.au/Series/C2004A00818" TargetMode="External"/><Relationship Id="rId1957" Type="http://schemas.openxmlformats.org/officeDocument/2006/relationships/hyperlink" Target="http://www.legislation.act.gov.au/sl/2006-58" TargetMode="External"/><Relationship Id="rId1817" Type="http://schemas.openxmlformats.org/officeDocument/2006/relationships/hyperlink" Target="http://www.legislation.act.gov.au/sl/2006-58" TargetMode="External"/><Relationship Id="rId3032" Type="http://schemas.openxmlformats.org/officeDocument/2006/relationships/hyperlink" Target="http://www.legislation.act.gov.au/a/2015-52/default.asp" TargetMode="External"/><Relationship Id="rId160" Type="http://schemas.openxmlformats.org/officeDocument/2006/relationships/hyperlink" Target="http://www.legislation.act.gov.au/af/2006-291/default.asp" TargetMode="External"/><Relationship Id="rId2798" Type="http://schemas.openxmlformats.org/officeDocument/2006/relationships/hyperlink" Target="http://www.legislation.act.gov.au/sl/2008-50" TargetMode="External"/><Relationship Id="rId977" Type="http://schemas.openxmlformats.org/officeDocument/2006/relationships/header" Target="header32.xml"/><Relationship Id="rId2658" Type="http://schemas.openxmlformats.org/officeDocument/2006/relationships/hyperlink" Target="http://www.legislation.act.gov.au/sl/2019-11/default.asp" TargetMode="External"/><Relationship Id="rId2865" Type="http://schemas.openxmlformats.org/officeDocument/2006/relationships/hyperlink" Target="http://www.legislation.act.gov.au/sl/2006-58" TargetMode="External"/><Relationship Id="rId837" Type="http://schemas.openxmlformats.org/officeDocument/2006/relationships/hyperlink" Target="http://www.legislation.act.gov.au/af/2019-61/default.asp" TargetMode="External"/><Relationship Id="rId1467" Type="http://schemas.openxmlformats.org/officeDocument/2006/relationships/hyperlink" Target="http://www.legislation.act.gov.au/sl/2012-24" TargetMode="External"/><Relationship Id="rId1674" Type="http://schemas.openxmlformats.org/officeDocument/2006/relationships/hyperlink" Target="http://www.legislation.act.gov.au/sl/2011-17" TargetMode="External"/><Relationship Id="rId1881" Type="http://schemas.openxmlformats.org/officeDocument/2006/relationships/hyperlink" Target="http://www.legislation.act.gov.au/sl/2006-58" TargetMode="External"/><Relationship Id="rId2518" Type="http://schemas.openxmlformats.org/officeDocument/2006/relationships/hyperlink" Target="http://www.legislation.act.gov.au/sl/2009-32" TargetMode="External"/><Relationship Id="rId2725" Type="http://schemas.openxmlformats.org/officeDocument/2006/relationships/hyperlink" Target="http://www.legislation.act.gov.au/sl/2008-25" TargetMode="External"/><Relationship Id="rId2932" Type="http://schemas.openxmlformats.org/officeDocument/2006/relationships/hyperlink" Target="http://www.legislation.act.gov.au/sl/2006-58" TargetMode="External"/><Relationship Id="rId904" Type="http://schemas.openxmlformats.org/officeDocument/2006/relationships/hyperlink" Target="http://www.legislation.act.gov.au/af/2006-252/default.asp" TargetMode="External"/><Relationship Id="rId1327" Type="http://schemas.openxmlformats.org/officeDocument/2006/relationships/hyperlink" Target="http://www.legislation.act.gov.au/sl/2015-22" TargetMode="External"/><Relationship Id="rId1534" Type="http://schemas.openxmlformats.org/officeDocument/2006/relationships/hyperlink" Target="http://www.legislation.act.gov.au/sl/2024-9/" TargetMode="External"/><Relationship Id="rId1741" Type="http://schemas.openxmlformats.org/officeDocument/2006/relationships/hyperlink" Target="http://www.legislation.act.gov.au/sl/2014-9"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sl/2021-15/default.asp" TargetMode="External"/><Relationship Id="rId487" Type="http://schemas.openxmlformats.org/officeDocument/2006/relationships/hyperlink" Target="http://www.legislation.act.gov.au/a/2006-25" TargetMode="External"/><Relationship Id="rId694" Type="http://schemas.openxmlformats.org/officeDocument/2006/relationships/hyperlink" Target="http://www.legislation.act.gov.au/af/2015-56/default.asp" TargetMode="External"/><Relationship Id="rId2168" Type="http://schemas.openxmlformats.org/officeDocument/2006/relationships/hyperlink" Target="http://www.legislation.act.gov.au/sl/2013-18/default.asp" TargetMode="External"/><Relationship Id="rId2375" Type="http://schemas.openxmlformats.org/officeDocument/2006/relationships/hyperlink" Target="http://www.legislation.act.gov.au/sl/2020-45/" TargetMode="External"/><Relationship Id="rId347" Type="http://schemas.openxmlformats.org/officeDocument/2006/relationships/hyperlink" Target="http://www.legislation.act.gov.au/a/1993-20/default.asp" TargetMode="External"/><Relationship Id="rId1184" Type="http://schemas.openxmlformats.org/officeDocument/2006/relationships/hyperlink" Target="http://www.comlaw.gov.au/Series/C2008A00024" TargetMode="External"/><Relationship Id="rId2028" Type="http://schemas.openxmlformats.org/officeDocument/2006/relationships/hyperlink" Target="http://www.legislation.act.gov.au/sl/2006-58" TargetMode="External"/><Relationship Id="rId2582" Type="http://schemas.openxmlformats.org/officeDocument/2006/relationships/hyperlink" Target="http://www.legislation.act.gov.au/sl/2015-22" TargetMode="External"/><Relationship Id="rId554" Type="http://schemas.openxmlformats.org/officeDocument/2006/relationships/hyperlink" Target="http://www.legislation.act.gov.au/a/2006-25" TargetMode="External"/><Relationship Id="rId761" Type="http://schemas.openxmlformats.org/officeDocument/2006/relationships/hyperlink" Target="http://www.legislation.act.gov.au/a/2001-14" TargetMode="External"/><Relationship Id="rId1391" Type="http://schemas.openxmlformats.org/officeDocument/2006/relationships/hyperlink" Target="http://www.legislation.act.gov.au/sl/2011-34" TargetMode="External"/><Relationship Id="rId2235" Type="http://schemas.openxmlformats.org/officeDocument/2006/relationships/hyperlink" Target="http://www.legislation.act.gov.au/sl/2023-36/" TargetMode="External"/><Relationship Id="rId2442" Type="http://schemas.openxmlformats.org/officeDocument/2006/relationships/hyperlink" Target="http://www.legislation.act.gov.au/sl/2012-43" TargetMode="External"/><Relationship Id="rId207" Type="http://schemas.openxmlformats.org/officeDocument/2006/relationships/hyperlink" Target="http://www.legislation.act.gov.au/af/2006-312/default.asp" TargetMode="External"/><Relationship Id="rId414" Type="http://schemas.openxmlformats.org/officeDocument/2006/relationships/hyperlink" Target="http://www.legislation.act.gov.au/a/1992-71" TargetMode="External"/><Relationship Id="rId621" Type="http://schemas.openxmlformats.org/officeDocument/2006/relationships/hyperlink" Target="http://www.comlaw.gov.au/Details/C2013C00180" TargetMode="External"/><Relationship Id="rId1044" Type="http://schemas.openxmlformats.org/officeDocument/2006/relationships/hyperlink" Target="http://www.comlaw.gov.au/Series/C2004A00818" TargetMode="External"/><Relationship Id="rId1251" Type="http://schemas.openxmlformats.org/officeDocument/2006/relationships/hyperlink" Target="http://www.legislation.act.gov.au/a/2008-22/default.asp" TargetMode="External"/><Relationship Id="rId2302" Type="http://schemas.openxmlformats.org/officeDocument/2006/relationships/hyperlink" Target="http://www.legislation.act.gov.au/sl/2023-36/" TargetMode="External"/><Relationship Id="rId1111" Type="http://schemas.openxmlformats.org/officeDocument/2006/relationships/hyperlink" Target="http://www.comlaw.gov.au/Series/C2007A00132" TargetMode="External"/><Relationship Id="rId3076" Type="http://schemas.openxmlformats.org/officeDocument/2006/relationships/hyperlink" Target="http://www.legislation.act.gov.au/sl/2022-19/" TargetMode="External"/><Relationship Id="rId1928" Type="http://schemas.openxmlformats.org/officeDocument/2006/relationships/hyperlink" Target="http://www.legislation.act.gov.au/sl/2009-32" TargetMode="External"/><Relationship Id="rId2092" Type="http://schemas.openxmlformats.org/officeDocument/2006/relationships/hyperlink" Target="http://www.legislation.act.gov.au/sl/2006-58" TargetMode="External"/><Relationship Id="rId271" Type="http://schemas.openxmlformats.org/officeDocument/2006/relationships/hyperlink" Target="http://www.legislation.act.gov.au/af/2017-164/default.asp" TargetMode="External"/><Relationship Id="rId3003" Type="http://schemas.openxmlformats.org/officeDocument/2006/relationships/hyperlink" Target="http://www.legislation.act.gov.au/a/2011-20" TargetMode="External"/><Relationship Id="rId131" Type="http://schemas.openxmlformats.org/officeDocument/2006/relationships/hyperlink" Target="http://www.legislation.act.gov.au/a/2001-14" TargetMode="External"/><Relationship Id="rId2769" Type="http://schemas.openxmlformats.org/officeDocument/2006/relationships/hyperlink" Target="http://www.legislation.act.gov.au/sl/2008-25" TargetMode="External"/><Relationship Id="rId2976" Type="http://schemas.openxmlformats.org/officeDocument/2006/relationships/hyperlink" Target="http://www.legislation.act.gov.au/sl/2008-50" TargetMode="External"/><Relationship Id="rId948" Type="http://schemas.openxmlformats.org/officeDocument/2006/relationships/hyperlink" Target="http://www.legislation.act.gov.au/sl/2023-15/default.asp" TargetMode="External"/><Relationship Id="rId1578" Type="http://schemas.openxmlformats.org/officeDocument/2006/relationships/hyperlink" Target="http://www.legislation.act.gov.au/sl/2018-25/default.asp" TargetMode="External"/><Relationship Id="rId1785" Type="http://schemas.openxmlformats.org/officeDocument/2006/relationships/hyperlink" Target="http://www.legislation.act.gov.au/sl/2009-32" TargetMode="External"/><Relationship Id="rId1992" Type="http://schemas.openxmlformats.org/officeDocument/2006/relationships/hyperlink" Target="http://www.legislation.act.gov.au/sl/2006-58" TargetMode="External"/><Relationship Id="rId2629" Type="http://schemas.openxmlformats.org/officeDocument/2006/relationships/hyperlink" Target="http://www.legislation.act.gov.au/sl/2012-24" TargetMode="External"/><Relationship Id="rId2836" Type="http://schemas.openxmlformats.org/officeDocument/2006/relationships/hyperlink" Target="http://www.legislation.act.gov.au/sl/2011-34" TargetMode="External"/><Relationship Id="rId77" Type="http://schemas.openxmlformats.org/officeDocument/2006/relationships/hyperlink" Target="http://www.legislation.act.gov.au/af/2007-60/default.asp" TargetMode="External"/><Relationship Id="rId808" Type="http://schemas.openxmlformats.org/officeDocument/2006/relationships/hyperlink" Target="http://www.comlaw.gov.au/Series/C2004A04463" TargetMode="External"/><Relationship Id="rId1438" Type="http://schemas.openxmlformats.org/officeDocument/2006/relationships/hyperlink" Target="http://www.legislation.act.gov.au/sl/2014-34" TargetMode="External"/><Relationship Id="rId1645" Type="http://schemas.openxmlformats.org/officeDocument/2006/relationships/hyperlink" Target="http://www.legislation.act.gov.au/sl/2011-17" TargetMode="External"/><Relationship Id="rId1852" Type="http://schemas.openxmlformats.org/officeDocument/2006/relationships/hyperlink" Target="http://www.legislation.act.gov.au/sl/2009-32" TargetMode="External"/><Relationship Id="rId2903" Type="http://schemas.openxmlformats.org/officeDocument/2006/relationships/hyperlink" Target="http://www.legislation.act.gov.au/sl/2017-17/default.asp" TargetMode="External"/><Relationship Id="rId1505" Type="http://schemas.openxmlformats.org/officeDocument/2006/relationships/hyperlink" Target="http://www.legislation.act.gov.au/sl/2015-22" TargetMode="External"/><Relationship Id="rId1712" Type="http://schemas.openxmlformats.org/officeDocument/2006/relationships/hyperlink" Target="http://www.legislation.act.gov.au/sl/2011-34" TargetMode="External"/><Relationship Id="rId598" Type="http://schemas.openxmlformats.org/officeDocument/2006/relationships/hyperlink" Target="http://www.legislation.act.gov.au/af/2011-64/default.asp" TargetMode="External"/><Relationship Id="rId2279" Type="http://schemas.openxmlformats.org/officeDocument/2006/relationships/hyperlink" Target="http://www.legislation.act.gov.au/sl/2016-33" TargetMode="External"/><Relationship Id="rId2486" Type="http://schemas.openxmlformats.org/officeDocument/2006/relationships/hyperlink" Target="http://www.legislation.act.gov.au/sl/2011-33" TargetMode="External"/><Relationship Id="rId2693" Type="http://schemas.openxmlformats.org/officeDocument/2006/relationships/hyperlink" Target="http://www.legislation.act.gov.au/sl/2008-44"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1930-21" TargetMode="External"/><Relationship Id="rId872" Type="http://schemas.openxmlformats.org/officeDocument/2006/relationships/hyperlink" Target="http://www.legislation.act.gov.au/a/2004-59"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6-17" TargetMode="External"/><Relationship Id="rId2139" Type="http://schemas.openxmlformats.org/officeDocument/2006/relationships/hyperlink" Target="http://www.legislation.act.gov.au/sl/2024-9/" TargetMode="External"/><Relationship Id="rId2346" Type="http://schemas.openxmlformats.org/officeDocument/2006/relationships/hyperlink" Target="http://www.legislation.act.gov.au/sl/2023-36/" TargetMode="External"/><Relationship Id="rId2553" Type="http://schemas.openxmlformats.org/officeDocument/2006/relationships/hyperlink" Target="http://www.legislation.act.gov.au/sl/2009-56" TargetMode="External"/><Relationship Id="rId2760" Type="http://schemas.openxmlformats.org/officeDocument/2006/relationships/hyperlink" Target="http://www.legislation.act.gov.au/sl/2017-17/default.asp"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f/2010-103/default.asp" TargetMode="External"/><Relationship Id="rId1155" Type="http://schemas.openxmlformats.org/officeDocument/2006/relationships/hyperlink" Target="http://www.comlaw.gov.au/Series/C2004A00818" TargetMode="External"/><Relationship Id="rId1362" Type="http://schemas.openxmlformats.org/officeDocument/2006/relationships/hyperlink" Target="http://www.legislation.act.gov.au/sl/2011-34" TargetMode="External"/><Relationship Id="rId2206" Type="http://schemas.openxmlformats.org/officeDocument/2006/relationships/hyperlink" Target="http://www.legislation.act.gov.au/sl/2011-34" TargetMode="External"/><Relationship Id="rId2413" Type="http://schemas.openxmlformats.org/officeDocument/2006/relationships/hyperlink" Target="http://www.legislation.act.gov.au/sl/2017-10/default.asp" TargetMode="External"/><Relationship Id="rId2620" Type="http://schemas.openxmlformats.org/officeDocument/2006/relationships/hyperlink" Target="http://www.legislation.act.gov.au/sl/2017-17/default.asp" TargetMode="External"/><Relationship Id="rId1015" Type="http://schemas.openxmlformats.org/officeDocument/2006/relationships/hyperlink" Target="http://www.comlaw.gov.au/Series/C2004A00819" TargetMode="External"/><Relationship Id="rId1222" Type="http://schemas.openxmlformats.org/officeDocument/2006/relationships/hyperlink" Target="http://www.comlaw.gov.au/Series/C2004A02830" TargetMode="External"/><Relationship Id="rId3047" Type="http://schemas.openxmlformats.org/officeDocument/2006/relationships/hyperlink" Target="http://www.legislation.act.gov.au/sl/2017-10/default.asp" TargetMode="External"/><Relationship Id="rId175" Type="http://schemas.openxmlformats.org/officeDocument/2006/relationships/hyperlink" Target="http://www.legislation.act.gov.au/af/2006-295/default.asp" TargetMode="External"/><Relationship Id="rId382" Type="http://schemas.openxmlformats.org/officeDocument/2006/relationships/hyperlink" Target="http://www.legislation.act.gov.au/a/1993-20/default.asp" TargetMode="External"/><Relationship Id="rId2063" Type="http://schemas.openxmlformats.org/officeDocument/2006/relationships/hyperlink" Target="http://www.legislation.act.gov.au/sl/2024-9/" TargetMode="External"/><Relationship Id="rId2270" Type="http://schemas.openxmlformats.org/officeDocument/2006/relationships/hyperlink" Target="http://www.legislation.act.gov.au/sl/2016-33" TargetMode="External"/><Relationship Id="rId242" Type="http://schemas.openxmlformats.org/officeDocument/2006/relationships/hyperlink" Target="http://www.legislation.act.gov.au/af/2006-326/default.asp" TargetMode="External"/><Relationship Id="rId2130" Type="http://schemas.openxmlformats.org/officeDocument/2006/relationships/hyperlink" Target="http://www.legislation.act.gov.au/sl/2012-43" TargetMode="External"/><Relationship Id="rId102" Type="http://schemas.openxmlformats.org/officeDocument/2006/relationships/hyperlink" Target="http://www.legislation.act.gov.au/a/2011-12/default.asp" TargetMode="External"/><Relationship Id="rId1689" Type="http://schemas.openxmlformats.org/officeDocument/2006/relationships/hyperlink" Target="http://www.legislation.act.gov.au/sl/2017-17/default.asp" TargetMode="External"/><Relationship Id="rId1896" Type="http://schemas.openxmlformats.org/officeDocument/2006/relationships/hyperlink" Target="http://www.legislation.act.gov.au/sl/2009-32" TargetMode="External"/><Relationship Id="rId2947" Type="http://schemas.openxmlformats.org/officeDocument/2006/relationships/hyperlink" Target="http://www.legislation.act.gov.au/sl/2013-18/default.asp" TargetMode="External"/><Relationship Id="rId919" Type="http://schemas.openxmlformats.org/officeDocument/2006/relationships/hyperlink" Target="http://www.comlaw.gov.au/Series/C2010A00035" TargetMode="External"/><Relationship Id="rId1549" Type="http://schemas.openxmlformats.org/officeDocument/2006/relationships/hyperlink" Target="http://www.legislation.act.gov.au/sl/2017-17/default.asp" TargetMode="External"/><Relationship Id="rId1756" Type="http://schemas.openxmlformats.org/officeDocument/2006/relationships/hyperlink" Target="http://www.legislation.act.gov.au/sl/2019-11/default.asp" TargetMode="External"/><Relationship Id="rId1963" Type="http://schemas.openxmlformats.org/officeDocument/2006/relationships/hyperlink" Target="http://www.legislation.act.gov.au/sl/2006-58" TargetMode="External"/><Relationship Id="rId2807" Type="http://schemas.openxmlformats.org/officeDocument/2006/relationships/hyperlink" Target="http://www.legislation.act.gov.au/sl/2017-17/default.asp" TargetMode="External"/><Relationship Id="rId48" Type="http://schemas.openxmlformats.org/officeDocument/2006/relationships/hyperlink" Target="http://www.legislation.act.gov.au/af/2006-252/default.asp" TargetMode="External"/><Relationship Id="rId1409" Type="http://schemas.openxmlformats.org/officeDocument/2006/relationships/hyperlink" Target="http://www.legislation.act.gov.au/sl/2012-24" TargetMode="External"/><Relationship Id="rId1616" Type="http://schemas.openxmlformats.org/officeDocument/2006/relationships/hyperlink" Target="http://www.legislation.act.gov.au/sl/2016-17" TargetMode="External"/><Relationship Id="rId1823" Type="http://schemas.openxmlformats.org/officeDocument/2006/relationships/hyperlink" Target="http://www.legislation.act.gov.au/sl/2006-58" TargetMode="External"/><Relationship Id="rId2597" Type="http://schemas.openxmlformats.org/officeDocument/2006/relationships/hyperlink" Target="http://www.legislation.act.gov.au/sl/2011-33" TargetMode="External"/><Relationship Id="rId569" Type="http://schemas.openxmlformats.org/officeDocument/2006/relationships/hyperlink" Target="http://www.legislation.act.gov.au/af/2024-24/default.asp" TargetMode="External"/><Relationship Id="rId776" Type="http://schemas.openxmlformats.org/officeDocument/2006/relationships/hyperlink" Target="http://www.legislation.act.gov.au/a/2005-59" TargetMode="External"/><Relationship Id="rId983" Type="http://schemas.openxmlformats.org/officeDocument/2006/relationships/footer" Target="footer43.xml"/><Relationship Id="rId1199" Type="http://schemas.openxmlformats.org/officeDocument/2006/relationships/hyperlink" Target="http://www.legislation.act.gov.au/af/2008-149/default.asp" TargetMode="External"/><Relationship Id="rId2457" Type="http://schemas.openxmlformats.org/officeDocument/2006/relationships/hyperlink" Target="http://www.legislation.act.gov.au/sl/2009-56" TargetMode="External"/><Relationship Id="rId2664" Type="http://schemas.openxmlformats.org/officeDocument/2006/relationships/hyperlink" Target="http://www.legislation.act.gov.au/sl/2017-17/default.asp"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f/2017-183/default.asp" TargetMode="External"/><Relationship Id="rId1059" Type="http://schemas.openxmlformats.org/officeDocument/2006/relationships/hyperlink" Target="http://www.comlaw.gov.au/Series/C2004A00818" TargetMode="External"/><Relationship Id="rId1266" Type="http://schemas.openxmlformats.org/officeDocument/2006/relationships/hyperlink" Target="http://www.legislation.act.gov.au/sl/2009-56" TargetMode="External"/><Relationship Id="rId1473" Type="http://schemas.openxmlformats.org/officeDocument/2006/relationships/hyperlink" Target="http://www.legislation.act.gov.au/sl/2012-24" TargetMode="External"/><Relationship Id="rId2317" Type="http://schemas.openxmlformats.org/officeDocument/2006/relationships/hyperlink" Target="http://www.legislation.act.gov.au/sl/2012-43" TargetMode="External"/><Relationship Id="rId2871" Type="http://schemas.openxmlformats.org/officeDocument/2006/relationships/hyperlink" Target="http://www.legislation.act.gov.au/sl/2006-58" TargetMode="External"/><Relationship Id="rId843" Type="http://schemas.openxmlformats.org/officeDocument/2006/relationships/hyperlink" Target="http://www.legislation.act.gov.au/af/2024-42/default.asp"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17-17/default.asp" TargetMode="External"/><Relationship Id="rId2524" Type="http://schemas.openxmlformats.org/officeDocument/2006/relationships/hyperlink" Target="http://www.legislation.act.gov.au/sl/2009-32" TargetMode="External"/><Relationship Id="rId2731" Type="http://schemas.openxmlformats.org/officeDocument/2006/relationships/hyperlink" Target="http://www.legislation.act.gov.au/sl/2008-50" TargetMode="External"/><Relationship Id="rId703" Type="http://schemas.openxmlformats.org/officeDocument/2006/relationships/hyperlink" Target="http://www.legislation.act.gov.au/af/2006-404/default.asp"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12-43" TargetMode="External"/><Relationship Id="rId1540" Type="http://schemas.openxmlformats.org/officeDocument/2006/relationships/hyperlink" Target="http://www.legislation.act.gov.au/sl/2014-34" TargetMode="External"/><Relationship Id="rId1400" Type="http://schemas.openxmlformats.org/officeDocument/2006/relationships/hyperlink" Target="http://www.legislation.act.gov.au/sl/2023-15/default.asp" TargetMode="External"/><Relationship Id="rId286" Type="http://schemas.openxmlformats.org/officeDocument/2006/relationships/hyperlink" Target="http://www.legislation.act.gov.au/a/1968-11" TargetMode="External"/><Relationship Id="rId493" Type="http://schemas.openxmlformats.org/officeDocument/2006/relationships/hyperlink" Target="http://www.legislation.act.gov.au/af/2011-66/default.asp" TargetMode="External"/><Relationship Id="rId2174" Type="http://schemas.openxmlformats.org/officeDocument/2006/relationships/hyperlink" Target="http://www.legislation.act.gov.au/sl/2012-43" TargetMode="External"/><Relationship Id="rId2381" Type="http://schemas.openxmlformats.org/officeDocument/2006/relationships/hyperlink" Target="http://www.legislation.act.gov.au/sl/2024-9/" TargetMode="External"/><Relationship Id="rId3018" Type="http://schemas.openxmlformats.org/officeDocument/2006/relationships/hyperlink" Target="http://www.legislation.act.gov.au/sl/2011-33" TargetMode="External"/><Relationship Id="rId146" Type="http://schemas.openxmlformats.org/officeDocument/2006/relationships/hyperlink" Target="http://www.legislation.act.gov.au/a/1985-8" TargetMode="External"/><Relationship Id="rId353" Type="http://schemas.openxmlformats.org/officeDocument/2006/relationships/hyperlink" Target="https://www.legislation.act.gov.au/a/1993-20/" TargetMode="External"/><Relationship Id="rId560" Type="http://schemas.openxmlformats.org/officeDocument/2006/relationships/hyperlink" Target="http://www.legislation.act.gov.au/a/2006-25" TargetMode="External"/><Relationship Id="rId1190" Type="http://schemas.openxmlformats.org/officeDocument/2006/relationships/hyperlink" Target="https://www.insol.org/_files/Fellowship%20Class%20of%202014%20-%202015/Literature/Session%2017/ALI%20and%20III%20Court-to-court%20communication%20guidelines.pdf" TargetMode="External"/><Relationship Id="rId2034" Type="http://schemas.openxmlformats.org/officeDocument/2006/relationships/hyperlink" Target="http://www.legislation.act.gov.au/sl/2006-58" TargetMode="External"/><Relationship Id="rId2241" Type="http://schemas.openxmlformats.org/officeDocument/2006/relationships/hyperlink" Target="http://www.legislation.act.gov.au/sl/2016-33" TargetMode="External"/><Relationship Id="rId213" Type="http://schemas.openxmlformats.org/officeDocument/2006/relationships/hyperlink" Target="http://www.legislation.act.gov.au/a/1930-21" TargetMode="External"/><Relationship Id="rId420" Type="http://schemas.openxmlformats.org/officeDocument/2006/relationships/hyperlink" Target="http://www.legislation.act.gov.au/a/1992-71/default.asp" TargetMode="External"/><Relationship Id="rId1050" Type="http://schemas.openxmlformats.org/officeDocument/2006/relationships/header" Target="header39.xml"/><Relationship Id="rId2101" Type="http://schemas.openxmlformats.org/officeDocument/2006/relationships/hyperlink" Target="http://www.legislation.act.gov.au/a/2010-21" TargetMode="External"/><Relationship Id="rId1867" Type="http://schemas.openxmlformats.org/officeDocument/2006/relationships/hyperlink" Target="http://www.legislation.act.gov.au/sl/2006-58" TargetMode="External"/><Relationship Id="rId2918" Type="http://schemas.openxmlformats.org/officeDocument/2006/relationships/hyperlink" Target="http://www.legislation.act.gov.au/sl/2015-22" TargetMode="External"/><Relationship Id="rId1727" Type="http://schemas.openxmlformats.org/officeDocument/2006/relationships/hyperlink" Target="http://www.legislation.act.gov.au/sl/2014-9" TargetMode="External"/><Relationship Id="rId1934" Type="http://schemas.openxmlformats.org/officeDocument/2006/relationships/hyperlink" Target="http://www.legislation.act.gov.au/sl/2017-10/default.asp" TargetMode="External"/><Relationship Id="rId3082" Type="http://schemas.openxmlformats.org/officeDocument/2006/relationships/hyperlink" Target="http://www.legislation.act.gov.au/sl/2024-9/" TargetMode="External"/><Relationship Id="rId19" Type="http://schemas.openxmlformats.org/officeDocument/2006/relationships/footer" Target="footer1.xml"/><Relationship Id="rId3" Type="http://schemas.openxmlformats.org/officeDocument/2006/relationships/styles" Target="styles.xml"/><Relationship Id="rId887" Type="http://schemas.openxmlformats.org/officeDocument/2006/relationships/hyperlink" Target="http://www.legislation.act.gov.au/a/1991-34" TargetMode="External"/><Relationship Id="rId2568" Type="http://schemas.openxmlformats.org/officeDocument/2006/relationships/hyperlink" Target="http://www.legislation.act.gov.au/sl/2007-37" TargetMode="External"/><Relationship Id="rId2775" Type="http://schemas.openxmlformats.org/officeDocument/2006/relationships/hyperlink" Target="http://www.legislation.act.gov.au/sl/2008-25" TargetMode="External"/><Relationship Id="rId2982" Type="http://schemas.openxmlformats.org/officeDocument/2006/relationships/hyperlink" Target="http://www.legislation.act.gov.au/sl/2008-50" TargetMode="External"/><Relationship Id="rId747" Type="http://schemas.openxmlformats.org/officeDocument/2006/relationships/hyperlink" Target="http://www.legislation.act.gov.au/a/2004-5" TargetMode="External"/><Relationship Id="rId954" Type="http://schemas.openxmlformats.org/officeDocument/2006/relationships/header" Target="header22.xml"/><Relationship Id="rId1377" Type="http://schemas.openxmlformats.org/officeDocument/2006/relationships/hyperlink" Target="http://www.legislation.act.gov.au/sl/2015-22" TargetMode="External"/><Relationship Id="rId1584" Type="http://schemas.openxmlformats.org/officeDocument/2006/relationships/hyperlink" Target="http://www.legislation.act.gov.au/sl/2007-16" TargetMode="External"/><Relationship Id="rId1791" Type="http://schemas.openxmlformats.org/officeDocument/2006/relationships/hyperlink" Target="http://www.legislation.act.gov.au/sl/2009-32" TargetMode="External"/><Relationship Id="rId2428" Type="http://schemas.openxmlformats.org/officeDocument/2006/relationships/hyperlink" Target="http://www.legislation.act.gov.au/sl/2024-9/" TargetMode="External"/><Relationship Id="rId2635" Type="http://schemas.openxmlformats.org/officeDocument/2006/relationships/hyperlink" Target="http://www.legislation.act.gov.au/sl/2016-17" TargetMode="External"/><Relationship Id="rId2842" Type="http://schemas.openxmlformats.org/officeDocument/2006/relationships/hyperlink" Target="http://www.legislation.act.gov.au/sl/2016-33" TargetMode="External"/><Relationship Id="rId83" Type="http://schemas.openxmlformats.org/officeDocument/2006/relationships/hyperlink" Target="http://www.legislation.act.gov.au/a/1930-21" TargetMode="External"/><Relationship Id="rId607" Type="http://schemas.openxmlformats.org/officeDocument/2006/relationships/hyperlink" Target="http://www.legislation.act.gov.au/a/2000-61/default.asp" TargetMode="External"/><Relationship Id="rId814" Type="http://schemas.openxmlformats.org/officeDocument/2006/relationships/hyperlink" Target="http://www.legislation.act.gov.au/a/2001-16" TargetMode="External"/><Relationship Id="rId1237" Type="http://schemas.openxmlformats.org/officeDocument/2006/relationships/hyperlink" Target="http://www.comlaw.gov.au/Series/C2010A00035" TargetMode="External"/><Relationship Id="rId1444" Type="http://schemas.openxmlformats.org/officeDocument/2006/relationships/hyperlink" Target="http://www.legislation.act.gov.au/sl/2015-22" TargetMode="External"/><Relationship Id="rId1651" Type="http://schemas.openxmlformats.org/officeDocument/2006/relationships/hyperlink" Target="http://www.legislation.act.gov.au/sl/2022-2/" TargetMode="External"/><Relationship Id="rId2702" Type="http://schemas.openxmlformats.org/officeDocument/2006/relationships/hyperlink" Target="http://www.legislation.act.gov.au/sl/2006-58" TargetMode="External"/><Relationship Id="rId1304" Type="http://schemas.openxmlformats.org/officeDocument/2006/relationships/hyperlink" Target="http://www.legislation.act.gov.au/sl/2018-25/default.asp" TargetMode="External"/><Relationship Id="rId1511" Type="http://schemas.openxmlformats.org/officeDocument/2006/relationships/hyperlink" Target="http://www.legislation.act.gov.au/sl/2012-43"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2017-7/default.asp" TargetMode="External"/><Relationship Id="rId2078" Type="http://schemas.openxmlformats.org/officeDocument/2006/relationships/hyperlink" Target="http://www.legislation.act.gov.au/sl/2017-40/default.asp" TargetMode="External"/><Relationship Id="rId2285" Type="http://schemas.openxmlformats.org/officeDocument/2006/relationships/hyperlink" Target="http://www.legislation.act.gov.au/sl/2013-18/default.asp" TargetMode="External"/><Relationship Id="rId2492" Type="http://schemas.openxmlformats.org/officeDocument/2006/relationships/hyperlink" Target="http://www.legislation.act.gov.au/sl/2009-32" TargetMode="External"/><Relationship Id="rId257" Type="http://schemas.openxmlformats.org/officeDocument/2006/relationships/hyperlink" Target="http://www.legislation.act.gov.au/af/2006-320/default.asp" TargetMode="External"/><Relationship Id="rId464" Type="http://schemas.openxmlformats.org/officeDocument/2006/relationships/hyperlink" Target="http://www.legislation.act.gov.au/a/alt_a1989-33co/default.asp" TargetMode="External"/><Relationship Id="rId1094" Type="http://schemas.openxmlformats.org/officeDocument/2006/relationships/hyperlink" Target="http://www.comlaw.gov.au/Series/C2004A00818" TargetMode="External"/><Relationship Id="rId2145" Type="http://schemas.openxmlformats.org/officeDocument/2006/relationships/hyperlink" Target="http://www.legislation.act.gov.au/sl/2024-37/"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f/2006-391/default.asp" TargetMode="External"/><Relationship Id="rId2352" Type="http://schemas.openxmlformats.org/officeDocument/2006/relationships/hyperlink" Target="http://www.legislation.act.gov.au/sl/2017-17/default.asp" TargetMode="External"/><Relationship Id="rId324" Type="http://schemas.openxmlformats.org/officeDocument/2006/relationships/hyperlink" Target="http://www.legislation.act.gov.au/af/2017-180/default.asp" TargetMode="External"/><Relationship Id="rId531" Type="http://schemas.openxmlformats.org/officeDocument/2006/relationships/hyperlink" Target="http://www.legislation.act.gov.au/sl/2002-20" TargetMode="External"/><Relationship Id="rId1161" Type="http://schemas.openxmlformats.org/officeDocument/2006/relationships/hyperlink" Target="http://www.comlaw.gov.au/Series/F2011L01551" TargetMode="External"/><Relationship Id="rId2005" Type="http://schemas.openxmlformats.org/officeDocument/2006/relationships/hyperlink" Target="http://www.legislation.act.gov.au/sl/2006-58" TargetMode="External"/><Relationship Id="rId2212" Type="http://schemas.openxmlformats.org/officeDocument/2006/relationships/hyperlink" Target="http://www.legislation.act.gov.au/sl/2009-56" TargetMode="External"/><Relationship Id="rId1021" Type="http://schemas.openxmlformats.org/officeDocument/2006/relationships/hyperlink" Target="http://www.comlaw.gov.au/Series/C2004A00818" TargetMode="External"/><Relationship Id="rId1978" Type="http://schemas.openxmlformats.org/officeDocument/2006/relationships/hyperlink" Target="http://www.legislation.act.gov.au/sl/2006-58" TargetMode="External"/><Relationship Id="rId1838" Type="http://schemas.openxmlformats.org/officeDocument/2006/relationships/hyperlink" Target="http://www.legislation.act.gov.au/sl/2009-32" TargetMode="External"/><Relationship Id="rId3053" Type="http://schemas.openxmlformats.org/officeDocument/2006/relationships/hyperlink" Target="http://www.legislation.act.gov.au/sl/2018-25/default.asp"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sl/2006-58" TargetMode="External"/><Relationship Id="rId998" Type="http://schemas.openxmlformats.org/officeDocument/2006/relationships/hyperlink" Target="http://www.comlaw.gov.au/Series/C2004A00819" TargetMode="External"/><Relationship Id="rId2679" Type="http://schemas.openxmlformats.org/officeDocument/2006/relationships/hyperlink" Target="http://www.legislation.act.gov.au/sl/2014-34" TargetMode="External"/><Relationship Id="rId2886" Type="http://schemas.openxmlformats.org/officeDocument/2006/relationships/hyperlink" Target="http://www.legislation.act.gov.au/sl/2006-58" TargetMode="External"/><Relationship Id="rId206" Type="http://schemas.openxmlformats.org/officeDocument/2006/relationships/hyperlink" Target="http://www.legislation.act.gov.au/af/2006-311/default.asp" TargetMode="External"/><Relationship Id="rId413" Type="http://schemas.openxmlformats.org/officeDocument/2006/relationships/hyperlink" Target="http://www.legislation.act.gov.au/a/1992-71/default.asp" TargetMode="External"/><Relationship Id="rId858" Type="http://schemas.openxmlformats.org/officeDocument/2006/relationships/hyperlink" Target="http://www.legislation.act.gov.au/a/2011-12/default.asp" TargetMode="External"/><Relationship Id="rId1043" Type="http://schemas.openxmlformats.org/officeDocument/2006/relationships/hyperlink" Target="http://www.comlaw.gov.au/Series/C2004A00818" TargetMode="External"/><Relationship Id="rId1488" Type="http://schemas.openxmlformats.org/officeDocument/2006/relationships/hyperlink" Target="http://www.legislation.act.gov.au/sl/2015-22" TargetMode="External"/><Relationship Id="rId1695" Type="http://schemas.openxmlformats.org/officeDocument/2006/relationships/hyperlink" Target="http://www.legislation.act.gov.au/sl/2014-34" TargetMode="External"/><Relationship Id="rId2539" Type="http://schemas.openxmlformats.org/officeDocument/2006/relationships/hyperlink" Target="http://www.legislation.act.gov.au/sl/2007-16" TargetMode="External"/><Relationship Id="rId2746" Type="http://schemas.openxmlformats.org/officeDocument/2006/relationships/hyperlink" Target="http://www.legislation.act.gov.au/sl/2012-43" TargetMode="External"/><Relationship Id="rId2953" Type="http://schemas.openxmlformats.org/officeDocument/2006/relationships/hyperlink" Target="http://www.legislation.act.gov.au/sl/2006-43" TargetMode="External"/><Relationship Id="rId620" Type="http://schemas.openxmlformats.org/officeDocument/2006/relationships/hyperlink" Target="http://www.legislation.act.gov.au/a/2000-61/default.asp" TargetMode="External"/><Relationship Id="rId718" Type="http://schemas.openxmlformats.org/officeDocument/2006/relationships/hyperlink" Target="http://www.legislation.act.gov.au/af/2006-406/default.asp"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22" TargetMode="External"/><Relationship Id="rId1348" Type="http://schemas.openxmlformats.org/officeDocument/2006/relationships/hyperlink" Target="http://www.legislation.act.gov.au/sl/2009-56" TargetMode="External"/><Relationship Id="rId1555" Type="http://schemas.openxmlformats.org/officeDocument/2006/relationships/hyperlink" Target="http://www.legislation.act.gov.au/sl/2008-25" TargetMode="External"/><Relationship Id="rId1762" Type="http://schemas.openxmlformats.org/officeDocument/2006/relationships/hyperlink" Target="http://www.legislation.act.gov.au/sl/2011-17" TargetMode="External"/><Relationship Id="rId2301" Type="http://schemas.openxmlformats.org/officeDocument/2006/relationships/hyperlink" Target="http://www.legislation.act.gov.au/sl/2024-9/" TargetMode="External"/><Relationship Id="rId2606" Type="http://schemas.openxmlformats.org/officeDocument/2006/relationships/hyperlink" Target="http://www.legislation.act.gov.au/sl/2011-33" TargetMode="External"/><Relationship Id="rId1110" Type="http://schemas.openxmlformats.org/officeDocument/2006/relationships/hyperlink" Target="http://www.comlaw.gov.au/Series/C2004A00818" TargetMode="External"/><Relationship Id="rId1208" Type="http://schemas.openxmlformats.org/officeDocument/2006/relationships/footer" Target="footer59.xml"/><Relationship Id="rId1415" Type="http://schemas.openxmlformats.org/officeDocument/2006/relationships/hyperlink" Target="http://www.legislation.act.gov.au/sl/2023-36/" TargetMode="External"/><Relationship Id="rId2813" Type="http://schemas.openxmlformats.org/officeDocument/2006/relationships/hyperlink" Target="http://www.legislation.act.gov.au/sl/2024-9/" TargetMode="External"/><Relationship Id="rId54" Type="http://schemas.openxmlformats.org/officeDocument/2006/relationships/hyperlink" Target="http://www.legislation.act.gov.au/af/2015-28/default.asp" TargetMode="External"/><Relationship Id="rId1622" Type="http://schemas.openxmlformats.org/officeDocument/2006/relationships/hyperlink" Target="http://www.legislation.act.gov.au/sl/2022-2/" TargetMode="External"/><Relationship Id="rId1927" Type="http://schemas.openxmlformats.org/officeDocument/2006/relationships/hyperlink" Target="http://www.legislation.act.gov.au/sl/2006-58" TargetMode="External"/><Relationship Id="rId3075" Type="http://schemas.openxmlformats.org/officeDocument/2006/relationships/hyperlink" Target="http://www.legislation.act.gov.au/sl/2022-6/" TargetMode="External"/><Relationship Id="rId2091" Type="http://schemas.openxmlformats.org/officeDocument/2006/relationships/hyperlink" Target="http://www.legislation.act.gov.au/a/2010-21" TargetMode="External"/><Relationship Id="rId2189" Type="http://schemas.openxmlformats.org/officeDocument/2006/relationships/hyperlink" Target="http://www.legislation.act.gov.au/sl/2015-22" TargetMode="External"/><Relationship Id="rId270" Type="http://schemas.openxmlformats.org/officeDocument/2006/relationships/hyperlink" Target="http://www.legislation.act.gov.au/af/2017-163/default.asp" TargetMode="External"/><Relationship Id="rId2396" Type="http://schemas.openxmlformats.org/officeDocument/2006/relationships/hyperlink" Target="http://www.legislation.act.gov.au/sl/2023-15/default.asp" TargetMode="External"/><Relationship Id="rId3002" Type="http://schemas.openxmlformats.org/officeDocument/2006/relationships/hyperlink" Target="http://www.legislation.act.gov.au/a/2011-20" TargetMode="External"/><Relationship Id="rId130" Type="http://schemas.openxmlformats.org/officeDocument/2006/relationships/hyperlink" Target="http://www.legislation.act.gov.au/af/2006-282/default.asp" TargetMode="External"/><Relationship Id="rId368" Type="http://schemas.openxmlformats.org/officeDocument/2006/relationships/hyperlink" Target="http://www.legislation.act.gov.au/af/2011-59/default.asp" TargetMode="External"/><Relationship Id="rId575" Type="http://schemas.openxmlformats.org/officeDocument/2006/relationships/hyperlink" Target="http://www.legislation.act.gov.au/a/1930-21" TargetMode="External"/><Relationship Id="rId782" Type="http://schemas.openxmlformats.org/officeDocument/2006/relationships/hyperlink" Target="http://www.legislation.act.gov.au/a/1992-8" TargetMode="External"/><Relationship Id="rId2049" Type="http://schemas.openxmlformats.org/officeDocument/2006/relationships/hyperlink" Target="http://www.legislation.act.gov.au/sl/2006-58" TargetMode="External"/><Relationship Id="rId2256" Type="http://schemas.openxmlformats.org/officeDocument/2006/relationships/hyperlink" Target="http://www.legislation.act.gov.au/sl/2016-33" TargetMode="External"/><Relationship Id="rId2463" Type="http://schemas.openxmlformats.org/officeDocument/2006/relationships/hyperlink" Target="http://www.legislation.act.gov.au/sl/2009-56" TargetMode="External"/><Relationship Id="rId2670" Type="http://schemas.openxmlformats.org/officeDocument/2006/relationships/hyperlink" Target="http://www.legislation.act.gov.au/sl/2017-17/default.asp" TargetMode="External"/><Relationship Id="rId228" Type="http://schemas.openxmlformats.org/officeDocument/2006/relationships/footer" Target="footer16.xml"/><Relationship Id="rId435" Type="http://schemas.openxmlformats.org/officeDocument/2006/relationships/hyperlink" Target="http://www.comlaw.gov.au/Series/C2004A03494" TargetMode="External"/><Relationship Id="rId642" Type="http://schemas.openxmlformats.org/officeDocument/2006/relationships/hyperlink" Target="http://www.legislation.act.gov.au/a/2006-25" TargetMode="External"/><Relationship Id="rId1065" Type="http://schemas.openxmlformats.org/officeDocument/2006/relationships/hyperlink" Target="http://www.legislation.act.gov.au/af/2012-199/default.asp" TargetMode="External"/><Relationship Id="rId1272" Type="http://schemas.openxmlformats.org/officeDocument/2006/relationships/hyperlink" Target="http://www.legislation.act.gov.au/sl/2011-17" TargetMode="External"/><Relationship Id="rId2116" Type="http://schemas.openxmlformats.org/officeDocument/2006/relationships/hyperlink" Target="http://www.legislation.act.gov.au/a/2010-2" TargetMode="External"/><Relationship Id="rId2323" Type="http://schemas.openxmlformats.org/officeDocument/2006/relationships/hyperlink" Target="http://www.legislation.act.gov.au/sl/2012-43" TargetMode="External"/><Relationship Id="rId2530" Type="http://schemas.openxmlformats.org/officeDocument/2006/relationships/hyperlink" Target="http://www.legislation.act.gov.au/sl/2022-6/default.asp" TargetMode="External"/><Relationship Id="rId2768" Type="http://schemas.openxmlformats.org/officeDocument/2006/relationships/hyperlink" Target="http://www.legislation.act.gov.au/sl/2008-25" TargetMode="External"/><Relationship Id="rId2975" Type="http://schemas.openxmlformats.org/officeDocument/2006/relationships/hyperlink" Target="http://www.legislation.act.gov.au/sl/2008-50" TargetMode="External"/><Relationship Id="rId502" Type="http://schemas.openxmlformats.org/officeDocument/2006/relationships/hyperlink" Target="http://www.legislation.act.gov.au/a/2016-43" TargetMode="External"/><Relationship Id="rId947" Type="http://schemas.openxmlformats.org/officeDocument/2006/relationships/hyperlink" Target="http://www.legislation.act.gov.au/a/2001-14" TargetMode="External"/><Relationship Id="rId1132" Type="http://schemas.openxmlformats.org/officeDocument/2006/relationships/hyperlink" Target="http://www.comlaw.gov.au/Series/C2004A00818" TargetMode="External"/><Relationship Id="rId1577" Type="http://schemas.openxmlformats.org/officeDocument/2006/relationships/hyperlink" Target="http://www.legislation.act.gov.au/sl/2023-36/" TargetMode="External"/><Relationship Id="rId1784" Type="http://schemas.openxmlformats.org/officeDocument/2006/relationships/hyperlink" Target="http://www.legislation.act.gov.au/sl/2006-58" TargetMode="External"/><Relationship Id="rId1991" Type="http://schemas.openxmlformats.org/officeDocument/2006/relationships/hyperlink" Target="http://www.legislation.act.gov.au/sl/2010-51" TargetMode="External"/><Relationship Id="rId2628" Type="http://schemas.openxmlformats.org/officeDocument/2006/relationships/hyperlink" Target="http://www.legislation.act.gov.au/sl/2023-15/default.asp" TargetMode="External"/><Relationship Id="rId2835" Type="http://schemas.openxmlformats.org/officeDocument/2006/relationships/hyperlink" Target="http://www.legislation.act.gov.au/sl/2017-17/default.asp" TargetMode="External"/><Relationship Id="rId76" Type="http://schemas.openxmlformats.org/officeDocument/2006/relationships/hyperlink" Target="http://www.legislation.act.gov.au/af/2006-257/default.asp" TargetMode="External"/><Relationship Id="rId807" Type="http://schemas.openxmlformats.org/officeDocument/2006/relationships/hyperlink" Target="http://www.comlaw.gov.au/Series/C2004A00818" TargetMode="External"/><Relationship Id="rId1437" Type="http://schemas.openxmlformats.org/officeDocument/2006/relationships/hyperlink" Target="http://www.legislation.act.gov.au/sl/2014-34" TargetMode="External"/><Relationship Id="rId1644" Type="http://schemas.openxmlformats.org/officeDocument/2006/relationships/hyperlink" Target="http://www.legislation.act.gov.au/sl/2011-17" TargetMode="External"/><Relationship Id="rId1851" Type="http://schemas.openxmlformats.org/officeDocument/2006/relationships/hyperlink" Target="http://www.legislation.act.gov.au/sl/2006-58" TargetMode="External"/><Relationship Id="rId2902" Type="http://schemas.openxmlformats.org/officeDocument/2006/relationships/hyperlink" Target="http://www.legislation.act.gov.au/sl/2009-32" TargetMode="External"/><Relationship Id="rId3097" Type="http://schemas.openxmlformats.org/officeDocument/2006/relationships/header" Target="header62.xml"/><Relationship Id="rId1504" Type="http://schemas.openxmlformats.org/officeDocument/2006/relationships/hyperlink" Target="http://www.legislation.act.gov.au/sl/2013-18/default.asp" TargetMode="External"/><Relationship Id="rId1711" Type="http://schemas.openxmlformats.org/officeDocument/2006/relationships/hyperlink" Target="http://www.legislation.act.gov.au/sl/2009-32" TargetMode="External"/><Relationship Id="rId1949" Type="http://schemas.openxmlformats.org/officeDocument/2006/relationships/hyperlink" Target="http://www.legislation.act.gov.au/sl/2015-12" TargetMode="External"/><Relationship Id="rId292" Type="http://schemas.openxmlformats.org/officeDocument/2006/relationships/hyperlink" Target="http://www.legislation.act.gov.au/a/2012-40" TargetMode="External"/><Relationship Id="rId1809" Type="http://schemas.openxmlformats.org/officeDocument/2006/relationships/hyperlink" Target="http://www.legislation.act.gov.au/sl/2006-58" TargetMode="External"/><Relationship Id="rId597" Type="http://schemas.openxmlformats.org/officeDocument/2006/relationships/hyperlink" Target="http://www.legislation.act.gov.au/a/1992-8" TargetMode="External"/><Relationship Id="rId2180" Type="http://schemas.openxmlformats.org/officeDocument/2006/relationships/hyperlink" Target="http://www.legislation.act.gov.au/sl/2012-43" TargetMode="External"/><Relationship Id="rId2278" Type="http://schemas.openxmlformats.org/officeDocument/2006/relationships/hyperlink" Target="http://www.legislation.act.gov.au/sl/2006-58" TargetMode="External"/><Relationship Id="rId2485" Type="http://schemas.openxmlformats.org/officeDocument/2006/relationships/hyperlink" Target="http://www.legislation.act.gov.au/sl/2011-33" TargetMode="External"/><Relationship Id="rId3024" Type="http://schemas.openxmlformats.org/officeDocument/2006/relationships/hyperlink" Target="http://www.legislation.act.gov.au/sl/2014-9/default.asp" TargetMode="External"/><Relationship Id="rId152" Type="http://schemas.openxmlformats.org/officeDocument/2006/relationships/hyperlink" Target="http://www.legislation.act.gov.au/a/2002-40" TargetMode="External"/><Relationship Id="rId457" Type="http://schemas.openxmlformats.org/officeDocument/2006/relationships/hyperlink" Target="http://www.legislation.act.gov.au/af/2006-372/default.asp" TargetMode="External"/><Relationship Id="rId1087" Type="http://schemas.openxmlformats.org/officeDocument/2006/relationships/hyperlink" Target="http://www.legislation.act.gov.au/af/2007-141/default.asp" TargetMode="External"/><Relationship Id="rId1294" Type="http://schemas.openxmlformats.org/officeDocument/2006/relationships/hyperlink" Target="http://www.legislation.act.gov.au/a/2015-52/default.asp" TargetMode="External"/><Relationship Id="rId2040" Type="http://schemas.openxmlformats.org/officeDocument/2006/relationships/hyperlink" Target="http://www.legislation.act.gov.au/sl/2006-58" TargetMode="External"/><Relationship Id="rId2138" Type="http://schemas.openxmlformats.org/officeDocument/2006/relationships/hyperlink" Target="http://www.legislation.act.gov.au/sl/2012-43" TargetMode="External"/><Relationship Id="rId2692" Type="http://schemas.openxmlformats.org/officeDocument/2006/relationships/hyperlink" Target="http://www.legislation.act.gov.au/sl/2006-58" TargetMode="External"/><Relationship Id="rId2997" Type="http://schemas.openxmlformats.org/officeDocument/2006/relationships/hyperlink" Target="http://www.legislation.act.gov.au/sl/2011-6" TargetMode="External"/><Relationship Id="rId664" Type="http://schemas.openxmlformats.org/officeDocument/2006/relationships/hyperlink" Target="http://www.legislation.act.gov.au/af/2006-388/default.asp" TargetMode="External"/><Relationship Id="rId871" Type="http://schemas.openxmlformats.org/officeDocument/2006/relationships/hyperlink" Target="http://www.legislation.act.gov.au/a/2011-12/default.asp" TargetMode="External"/><Relationship Id="rId969" Type="http://schemas.openxmlformats.org/officeDocument/2006/relationships/footer" Target="footer37.xml"/><Relationship Id="rId1599" Type="http://schemas.openxmlformats.org/officeDocument/2006/relationships/hyperlink" Target="http://www.legislation.act.gov.au/sl/2006-58" TargetMode="External"/><Relationship Id="rId2345" Type="http://schemas.openxmlformats.org/officeDocument/2006/relationships/hyperlink" Target="http://www.legislation.act.gov.au/sl/2018-25/default.asp" TargetMode="External"/><Relationship Id="rId2552" Type="http://schemas.openxmlformats.org/officeDocument/2006/relationships/hyperlink" Target="http://www.legislation.act.gov.au/sl/2024-37/" TargetMode="External"/><Relationship Id="rId317" Type="http://schemas.openxmlformats.org/officeDocument/2006/relationships/hyperlink" Target="http://www.comlaw.gov.au/Series/C2004A07357" TargetMode="External"/><Relationship Id="rId524" Type="http://schemas.openxmlformats.org/officeDocument/2006/relationships/hyperlink" Target="http://www.legislation.act.gov.au/af/2008-146/default.asp" TargetMode="External"/><Relationship Id="rId731" Type="http://schemas.openxmlformats.org/officeDocument/2006/relationships/hyperlink" Target="http://www.legislation.act.gov.au/a/2001-14" TargetMode="External"/><Relationship Id="rId1154" Type="http://schemas.openxmlformats.org/officeDocument/2006/relationships/hyperlink" Target="http://www.comlaw.gov.au/Series/C2007A00132" TargetMode="External"/><Relationship Id="rId1361" Type="http://schemas.openxmlformats.org/officeDocument/2006/relationships/hyperlink" Target="http://www.legislation.act.gov.au/sl/2012-24" TargetMode="External"/><Relationship Id="rId1459" Type="http://schemas.openxmlformats.org/officeDocument/2006/relationships/hyperlink" Target="http://www.legislation.act.gov.au/sl/2012-24" TargetMode="External"/><Relationship Id="rId2205" Type="http://schemas.openxmlformats.org/officeDocument/2006/relationships/hyperlink" Target="http://www.legislation.act.gov.au/sl/2011-17" TargetMode="External"/><Relationship Id="rId2412" Type="http://schemas.openxmlformats.org/officeDocument/2006/relationships/hyperlink" Target="http://www.legislation.act.gov.au/sl/2016-33" TargetMode="External"/><Relationship Id="rId2857" Type="http://schemas.openxmlformats.org/officeDocument/2006/relationships/hyperlink" Target="http://www.legislation.act.gov.au/sl/2012-24"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04-28" TargetMode="External"/><Relationship Id="rId1014" Type="http://schemas.openxmlformats.org/officeDocument/2006/relationships/hyperlink" Target="http://www.comlaw.gov.au/Series/C2004A00818" TargetMode="External"/><Relationship Id="rId1221" Type="http://schemas.openxmlformats.org/officeDocument/2006/relationships/hyperlink" Target="http://www.legislation.act.gov.au/a/1951-2/default.asp" TargetMode="External"/><Relationship Id="rId1666" Type="http://schemas.openxmlformats.org/officeDocument/2006/relationships/hyperlink" Target="http://www.legislation.act.gov.au/sl/2022-2/" TargetMode="External"/><Relationship Id="rId1873" Type="http://schemas.openxmlformats.org/officeDocument/2006/relationships/hyperlink" Target="http://www.legislation.act.gov.au/sl/2006-58" TargetMode="External"/><Relationship Id="rId2717" Type="http://schemas.openxmlformats.org/officeDocument/2006/relationships/hyperlink" Target="http://www.legislation.act.gov.au/sl/2011-33" TargetMode="External"/><Relationship Id="rId2924" Type="http://schemas.openxmlformats.org/officeDocument/2006/relationships/hyperlink" Target="http://www.legislation.act.gov.au/sl/2006-58" TargetMode="External"/><Relationship Id="rId1319" Type="http://schemas.openxmlformats.org/officeDocument/2006/relationships/hyperlink" Target="http://www.legislation.act.gov.au/sl/2023-15/default.asp" TargetMode="External"/><Relationship Id="rId1526" Type="http://schemas.openxmlformats.org/officeDocument/2006/relationships/hyperlink" Target="http://www.legislation.act.gov.au/sl/2011-17" TargetMode="External"/><Relationship Id="rId1733" Type="http://schemas.openxmlformats.org/officeDocument/2006/relationships/hyperlink" Target="http://www.legislation.act.gov.au/sl/2014-9" TargetMode="External"/><Relationship Id="rId1940" Type="http://schemas.openxmlformats.org/officeDocument/2006/relationships/hyperlink" Target="http://www.legislation.act.gov.au/sl/2017-40/default.asp" TargetMode="External"/><Relationship Id="rId25" Type="http://schemas.openxmlformats.org/officeDocument/2006/relationships/footer" Target="footer4.xml"/><Relationship Id="rId1800" Type="http://schemas.openxmlformats.org/officeDocument/2006/relationships/hyperlink" Target="http://www.legislation.act.gov.au/sl/2009-32" TargetMode="External"/><Relationship Id="rId3046" Type="http://schemas.openxmlformats.org/officeDocument/2006/relationships/hyperlink" Target="http://www.legislation.act.gov.au/sl/2017-9/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1993-20/default.asp" TargetMode="External"/><Relationship Id="rId2062" Type="http://schemas.openxmlformats.org/officeDocument/2006/relationships/hyperlink" Target="http://www.legislation.act.gov.au/sl/2024-9/" TargetMode="External"/><Relationship Id="rId241" Type="http://schemas.openxmlformats.org/officeDocument/2006/relationships/hyperlink" Target="http://www.legislation.act.gov.au/af/2006-325/default.asp" TargetMode="External"/><Relationship Id="rId479" Type="http://schemas.openxmlformats.org/officeDocument/2006/relationships/hyperlink" Target="http://www.comlaw.gov.au/Series/C2004A04858" TargetMode="External"/><Relationship Id="rId686" Type="http://schemas.openxmlformats.org/officeDocument/2006/relationships/header" Target="header17.xml"/><Relationship Id="rId893" Type="http://schemas.openxmlformats.org/officeDocument/2006/relationships/hyperlink" Target="http://www.comlaw.gov.au/Series/C2004A04735" TargetMode="External"/><Relationship Id="rId2367" Type="http://schemas.openxmlformats.org/officeDocument/2006/relationships/hyperlink" Target="http://www.legislation.act.gov.au/sl/2023-36/" TargetMode="External"/><Relationship Id="rId2574" Type="http://schemas.openxmlformats.org/officeDocument/2006/relationships/hyperlink" Target="http://www.legislation.act.gov.au/sl/2015-22" TargetMode="External"/><Relationship Id="rId2781" Type="http://schemas.openxmlformats.org/officeDocument/2006/relationships/hyperlink" Target="http://www.legislation.act.gov.au/sl/2008-25" TargetMode="External"/><Relationship Id="rId339" Type="http://schemas.openxmlformats.org/officeDocument/2006/relationships/hyperlink" Target="http://www.legislation.act.gov.au/a/1993-20/default.asp" TargetMode="External"/><Relationship Id="rId546" Type="http://schemas.openxmlformats.org/officeDocument/2006/relationships/hyperlink" Target="http://www.legislation.act.gov.au/af/2007-71/default.asp" TargetMode="External"/><Relationship Id="rId753" Type="http://schemas.openxmlformats.org/officeDocument/2006/relationships/hyperlink" Target="http://www.legislation.act.gov.au/a/alt_a1989-33co" TargetMode="External"/><Relationship Id="rId1176" Type="http://schemas.openxmlformats.org/officeDocument/2006/relationships/hyperlink" Target="http://www.comlaw.gov.au/Series/C2004A00818" TargetMode="External"/><Relationship Id="rId1383" Type="http://schemas.openxmlformats.org/officeDocument/2006/relationships/hyperlink" Target="http://www.legislation.act.gov.au/sl/2023-36/" TargetMode="External"/><Relationship Id="rId2227" Type="http://schemas.openxmlformats.org/officeDocument/2006/relationships/hyperlink" Target="http://www.legislation.act.gov.au/sl/2007-16" TargetMode="External"/><Relationship Id="rId2434" Type="http://schemas.openxmlformats.org/officeDocument/2006/relationships/hyperlink" Target="http://www.legislation.act.gov.au/sl/2023-36/" TargetMode="External"/><Relationship Id="rId2879" Type="http://schemas.openxmlformats.org/officeDocument/2006/relationships/hyperlink" Target="http://www.legislation.act.gov.au/sl/2015-12" TargetMode="External"/><Relationship Id="rId101" Type="http://schemas.openxmlformats.org/officeDocument/2006/relationships/hyperlink" Target="http://www.legislation.act.gov.au/a/2011-12/default.asp" TargetMode="External"/><Relationship Id="rId406" Type="http://schemas.openxmlformats.org/officeDocument/2006/relationships/hyperlink" Target="http://www.legislation.act.gov.au/a/1993-60/default.asp" TargetMode="External"/><Relationship Id="rId960" Type="http://schemas.openxmlformats.org/officeDocument/2006/relationships/footer" Target="footer33.xml"/><Relationship Id="rId1036" Type="http://schemas.openxmlformats.org/officeDocument/2006/relationships/hyperlink" Target="http://www.comlaw.gov.au/Series/C2004A00818" TargetMode="External"/><Relationship Id="rId1243" Type="http://schemas.openxmlformats.org/officeDocument/2006/relationships/hyperlink" Target="http://www.legislation.act.gov.au/sl/2006-43" TargetMode="External"/><Relationship Id="rId1590" Type="http://schemas.openxmlformats.org/officeDocument/2006/relationships/hyperlink" Target="http://www.legislation.act.gov.au/sl/2020-34/" TargetMode="External"/><Relationship Id="rId1688" Type="http://schemas.openxmlformats.org/officeDocument/2006/relationships/hyperlink" Target="http://www.legislation.act.gov.au/sl/2017-17/default.asp"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www.legislation.act.gov.au/sl/2010-24" TargetMode="External"/><Relationship Id="rId2739" Type="http://schemas.openxmlformats.org/officeDocument/2006/relationships/hyperlink" Target="http://www.legislation.act.gov.au/sl/2008-25" TargetMode="External"/><Relationship Id="rId2946" Type="http://schemas.openxmlformats.org/officeDocument/2006/relationships/hyperlink" Target="http://www.legislation.act.gov.au/sl/2012-43" TargetMode="External"/><Relationship Id="rId613" Type="http://schemas.openxmlformats.org/officeDocument/2006/relationships/hyperlink" Target="http://www.comlaw.gov.au/Details/C2013C00180" TargetMode="External"/><Relationship Id="rId820" Type="http://schemas.openxmlformats.org/officeDocument/2006/relationships/hyperlink" Target="http://www.comlaw.gov.au/Series/C2011A00126" TargetMode="External"/><Relationship Id="rId918" Type="http://schemas.openxmlformats.org/officeDocument/2006/relationships/hyperlink" Target="http://www.comlaw.gov.au/Series/C2010A00035" TargetMode="External"/><Relationship Id="rId1450" Type="http://schemas.openxmlformats.org/officeDocument/2006/relationships/hyperlink" Target="http://www.legislation.act.gov.au/sl/2012-24" TargetMode="External"/><Relationship Id="rId1548" Type="http://schemas.openxmlformats.org/officeDocument/2006/relationships/hyperlink" Target="http://www.legislation.act.gov.au/sl/2015-42/default.asp" TargetMode="External"/><Relationship Id="rId1755" Type="http://schemas.openxmlformats.org/officeDocument/2006/relationships/hyperlink" Target="http://www.legislation.act.gov.au/sl/2020-45/" TargetMode="External"/><Relationship Id="rId2501" Type="http://schemas.openxmlformats.org/officeDocument/2006/relationships/hyperlink" Target="http://www.legislation.act.gov.au/sl/2009-32" TargetMode="External"/><Relationship Id="rId1103" Type="http://schemas.openxmlformats.org/officeDocument/2006/relationships/hyperlink" Target="http://www.comlaw.gov.au/Series/C2004A00818" TargetMode="External"/><Relationship Id="rId1310" Type="http://schemas.openxmlformats.org/officeDocument/2006/relationships/hyperlink" Target="https://www.legislation.act.gov.au/cn/2020-4/" TargetMode="External"/><Relationship Id="rId1408" Type="http://schemas.openxmlformats.org/officeDocument/2006/relationships/hyperlink" Target="http://www.legislation.act.gov.au/sl/2023-15/default.asp" TargetMode="External"/><Relationship Id="rId1962" Type="http://schemas.openxmlformats.org/officeDocument/2006/relationships/hyperlink" Target="http://www.legislation.act.gov.au/sl/2014-34" TargetMode="External"/><Relationship Id="rId2806" Type="http://schemas.openxmlformats.org/officeDocument/2006/relationships/hyperlink" Target="http://www.legislation.act.gov.au/sl/2017-17/default.asp" TargetMode="External"/><Relationship Id="rId47" Type="http://schemas.openxmlformats.org/officeDocument/2006/relationships/hyperlink" Target="http://www.legislation.act.gov.au/af/2014-26/default.asp" TargetMode="External"/><Relationship Id="rId1615" Type="http://schemas.openxmlformats.org/officeDocument/2006/relationships/hyperlink" Target="http://www.legislation.act.gov.au/sl/2006-58" TargetMode="External"/><Relationship Id="rId1822" Type="http://schemas.openxmlformats.org/officeDocument/2006/relationships/hyperlink" Target="http://www.legislation.act.gov.au/sl/2009-32" TargetMode="External"/><Relationship Id="rId3068" Type="http://schemas.openxmlformats.org/officeDocument/2006/relationships/hyperlink" Target="https://legislation.act.gov.au/sl/2020-45/" TargetMode="External"/><Relationship Id="rId196" Type="http://schemas.openxmlformats.org/officeDocument/2006/relationships/hyperlink" Target="http://www.legislation.act.gov.au/af/2006-307/default.asp" TargetMode="External"/><Relationship Id="rId2084" Type="http://schemas.openxmlformats.org/officeDocument/2006/relationships/hyperlink" Target="http://www.legislation.act.gov.au/sl/2006-43" TargetMode="External"/><Relationship Id="rId2291" Type="http://schemas.openxmlformats.org/officeDocument/2006/relationships/hyperlink" Target="http://www.legislation.act.gov.au/sl/2023-36/"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13-18/default.asp" TargetMode="External"/><Relationship Id="rId2389" Type="http://schemas.openxmlformats.org/officeDocument/2006/relationships/hyperlink" Target="http://www.legislation.act.gov.au/sl/2014-9" TargetMode="External"/><Relationship Id="rId2596" Type="http://schemas.openxmlformats.org/officeDocument/2006/relationships/hyperlink" Target="http://www.legislation.act.gov.au/sl/2011-34" TargetMode="External"/><Relationship Id="rId123" Type="http://schemas.openxmlformats.org/officeDocument/2006/relationships/hyperlink" Target="http://www.legislation.act.gov.au/af/2006-273/default.asp" TargetMode="External"/><Relationship Id="rId330" Type="http://schemas.openxmlformats.org/officeDocument/2006/relationships/hyperlink" Target="http://www.legislation.act.gov.au/a/1968-11" TargetMode="External"/><Relationship Id="rId568" Type="http://schemas.openxmlformats.org/officeDocument/2006/relationships/hyperlink" Target="http://www.legislation.act.gov.au/a/2001-14" TargetMode="External"/><Relationship Id="rId775" Type="http://schemas.openxmlformats.org/officeDocument/2006/relationships/hyperlink" Target="http://www.legislation.act.gov.au/a/2004-59" TargetMode="External"/><Relationship Id="rId982" Type="http://schemas.openxmlformats.org/officeDocument/2006/relationships/header" Target="header35.xml"/><Relationship Id="rId1198" Type="http://schemas.openxmlformats.org/officeDocument/2006/relationships/hyperlink" Target="http://www.legislation.act.gov.au/af/2010-149/default.asp" TargetMode="External"/><Relationship Id="rId2011" Type="http://schemas.openxmlformats.org/officeDocument/2006/relationships/hyperlink" Target="http://www.legislation.act.gov.au/sl/2006-58" TargetMode="External"/><Relationship Id="rId2249" Type="http://schemas.openxmlformats.org/officeDocument/2006/relationships/hyperlink" Target="http://www.legislation.act.gov.au/sl/2024-9/" TargetMode="External"/><Relationship Id="rId2456" Type="http://schemas.openxmlformats.org/officeDocument/2006/relationships/hyperlink" Target="http://www.legislation.act.gov.au/sl/2009-56" TargetMode="External"/><Relationship Id="rId2663" Type="http://schemas.openxmlformats.org/officeDocument/2006/relationships/hyperlink" Target="http://www.legislation.act.gov.au/sl/2014-34" TargetMode="External"/><Relationship Id="rId2870" Type="http://schemas.openxmlformats.org/officeDocument/2006/relationships/hyperlink" Target="http://www.legislation.act.gov.au/sl/2011-17"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2001-14" TargetMode="External"/><Relationship Id="rId842" Type="http://schemas.openxmlformats.org/officeDocument/2006/relationships/hyperlink" Target="http://www.legislation.act.gov.au/af/2024-41/default.asp" TargetMode="External"/><Relationship Id="rId1058" Type="http://schemas.openxmlformats.org/officeDocument/2006/relationships/hyperlink" Target="http://www.comlaw.gov.au/Series/C2004A00818" TargetMode="External"/><Relationship Id="rId1265" Type="http://schemas.openxmlformats.org/officeDocument/2006/relationships/hyperlink" Target="http://www.legislation.act.gov.au/a/2009-49" TargetMode="External"/><Relationship Id="rId1472" Type="http://schemas.openxmlformats.org/officeDocument/2006/relationships/hyperlink" Target="http://www.legislation.act.gov.au/sl/2012-24" TargetMode="External"/><Relationship Id="rId2109" Type="http://schemas.openxmlformats.org/officeDocument/2006/relationships/hyperlink" Target="http://www.legislation.act.gov.au/a/2010-21" TargetMode="External"/><Relationship Id="rId2316" Type="http://schemas.openxmlformats.org/officeDocument/2006/relationships/hyperlink" Target="http://www.legislation.act.gov.au/sl/2012-43" TargetMode="External"/><Relationship Id="rId2523" Type="http://schemas.openxmlformats.org/officeDocument/2006/relationships/hyperlink" Target="http://www.legislation.act.gov.au/sl/2009-32" TargetMode="External"/><Relationship Id="rId2730" Type="http://schemas.openxmlformats.org/officeDocument/2006/relationships/hyperlink" Target="http://www.legislation.act.gov.au/sl/2008-50" TargetMode="External"/><Relationship Id="rId2968" Type="http://schemas.openxmlformats.org/officeDocument/2006/relationships/hyperlink" Target="http://www.legislation.act.gov.au/sl/2008-25" TargetMode="External"/><Relationship Id="rId702" Type="http://schemas.openxmlformats.org/officeDocument/2006/relationships/hyperlink" Target="http://www.legislation.act.gov.au/a/2005-58" TargetMode="External"/><Relationship Id="rId1125" Type="http://schemas.openxmlformats.org/officeDocument/2006/relationships/hyperlink" Target="http://www.comlaw.gov.au/Series/C2004A00818" TargetMode="External"/><Relationship Id="rId1332" Type="http://schemas.openxmlformats.org/officeDocument/2006/relationships/hyperlink" Target="http://www.legislation.act.gov.au/sl/2011-17" TargetMode="External"/><Relationship Id="rId1777" Type="http://schemas.openxmlformats.org/officeDocument/2006/relationships/hyperlink" Target="http://www.legislation.act.gov.au/sl/2009-32" TargetMode="External"/><Relationship Id="rId1984" Type="http://schemas.openxmlformats.org/officeDocument/2006/relationships/hyperlink" Target="http://www.legislation.act.gov.au/sl/2006-58" TargetMode="External"/><Relationship Id="rId2828" Type="http://schemas.openxmlformats.org/officeDocument/2006/relationships/hyperlink" Target="http://www.legislation.act.gov.au/sl/2012-24"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6-17" TargetMode="External"/><Relationship Id="rId1844" Type="http://schemas.openxmlformats.org/officeDocument/2006/relationships/hyperlink" Target="http://www.legislation.act.gov.au/sl/2009-32" TargetMode="External"/><Relationship Id="rId1704" Type="http://schemas.openxmlformats.org/officeDocument/2006/relationships/hyperlink" Target="http://www.legislation.act.gov.au/sl/2014-34" TargetMode="External"/><Relationship Id="rId285" Type="http://schemas.openxmlformats.org/officeDocument/2006/relationships/hyperlink" Target="http://www.legislation.act.gov.au/af/2022-3/default.asp"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2006-25"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13-18/default.asp" TargetMode="External"/><Relationship Id="rId2380" Type="http://schemas.openxmlformats.org/officeDocument/2006/relationships/hyperlink" Target="http://www.legislation.act.gov.au/sl/2015-22" TargetMode="External"/><Relationship Id="rId2478" Type="http://schemas.openxmlformats.org/officeDocument/2006/relationships/hyperlink" Target="http://www.legislation.act.gov.au/sl/2017-17/default.asp" TargetMode="External"/><Relationship Id="rId3017" Type="http://schemas.openxmlformats.org/officeDocument/2006/relationships/hyperlink" Target="http://www.legislation.act.gov.au/sl/2013-18/default.asp" TargetMode="External"/><Relationship Id="rId145" Type="http://schemas.openxmlformats.org/officeDocument/2006/relationships/hyperlink" Target="http://www.legislation.act.gov.au/a/2002-40"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sl/2014-9" TargetMode="External"/><Relationship Id="rId2033" Type="http://schemas.openxmlformats.org/officeDocument/2006/relationships/hyperlink" Target="http://www.legislation.act.gov.au/sl/2006-58" TargetMode="External"/><Relationship Id="rId2240" Type="http://schemas.openxmlformats.org/officeDocument/2006/relationships/hyperlink" Target="http://www.legislation.act.gov.au/sl/2016-33" TargetMode="External"/><Relationship Id="rId2685" Type="http://schemas.openxmlformats.org/officeDocument/2006/relationships/hyperlink" Target="http://www.legislation.act.gov.au/sl/2014-34" TargetMode="External"/><Relationship Id="rId2892" Type="http://schemas.openxmlformats.org/officeDocument/2006/relationships/hyperlink" Target="http://www.legislation.act.gov.au/sl/2017-10/default.asp"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1930-21" TargetMode="External"/><Relationship Id="rId864" Type="http://schemas.openxmlformats.org/officeDocument/2006/relationships/hyperlink" Target="http://www.legislation.act.gov.au/af/2007-72/default.asp" TargetMode="External"/><Relationship Id="rId1494" Type="http://schemas.openxmlformats.org/officeDocument/2006/relationships/hyperlink" Target="http://www.legislation.act.gov.au/sl/2015-22" TargetMode="External"/><Relationship Id="rId1799" Type="http://schemas.openxmlformats.org/officeDocument/2006/relationships/hyperlink" Target="http://www.legislation.act.gov.au/sl/2007-16" TargetMode="External"/><Relationship Id="rId2100" Type="http://schemas.openxmlformats.org/officeDocument/2006/relationships/hyperlink" Target="http://www.legislation.act.gov.au/sl/2006-58" TargetMode="External"/><Relationship Id="rId2338" Type="http://schemas.openxmlformats.org/officeDocument/2006/relationships/hyperlink" Target="http://www.legislation.act.gov.au/sl/2023-36/" TargetMode="External"/><Relationship Id="rId2545" Type="http://schemas.openxmlformats.org/officeDocument/2006/relationships/hyperlink" Target="http://www.legislation.act.gov.au/sl/2009-56" TargetMode="External"/><Relationship Id="rId2752" Type="http://schemas.openxmlformats.org/officeDocument/2006/relationships/hyperlink" Target="http://www.legislation.act.gov.au/sl/2008-25" TargetMode="External"/><Relationship Id="rId517" Type="http://schemas.openxmlformats.org/officeDocument/2006/relationships/hyperlink" Target="http://www.legislation.act.gov.au/sl/2002-20" TargetMode="External"/><Relationship Id="rId724" Type="http://schemas.openxmlformats.org/officeDocument/2006/relationships/hyperlink" Target="http://www.legislation.act.gov.au/a/2008-35" TargetMode="External"/><Relationship Id="rId931" Type="http://schemas.openxmlformats.org/officeDocument/2006/relationships/hyperlink" Target="http://www.comlaw.gov.au/Series/C2010A00035" TargetMode="External"/><Relationship Id="rId1147" Type="http://schemas.openxmlformats.org/officeDocument/2006/relationships/hyperlink" Target="http://www.comlaw.gov.au/Series/C2004A00818" TargetMode="External"/><Relationship Id="rId1354" Type="http://schemas.openxmlformats.org/officeDocument/2006/relationships/hyperlink" Target="http://www.legislation.act.gov.au/sl/2010-51" TargetMode="External"/><Relationship Id="rId1561" Type="http://schemas.openxmlformats.org/officeDocument/2006/relationships/hyperlink" Target="http://www.legislation.act.gov.au/sl/2010-24" TargetMode="External"/><Relationship Id="rId2405" Type="http://schemas.openxmlformats.org/officeDocument/2006/relationships/hyperlink" Target="http://www.legislation.act.gov.au/sl/2013-32" TargetMode="External"/><Relationship Id="rId2612" Type="http://schemas.openxmlformats.org/officeDocument/2006/relationships/hyperlink" Target="http://www.legislation.act.gov.au/sl/2017-10/default.asp" TargetMode="External"/><Relationship Id="rId60" Type="http://schemas.openxmlformats.org/officeDocument/2006/relationships/hyperlink" Target="http://www.legislation.act.gov.au/a/2002-40" TargetMode="External"/><Relationship Id="rId1007" Type="http://schemas.openxmlformats.org/officeDocument/2006/relationships/hyperlink" Target="http://www.comlaw.gov.au/Series/C2004A00818" TargetMode="External"/><Relationship Id="rId1214" Type="http://schemas.openxmlformats.org/officeDocument/2006/relationships/hyperlink" Target="http://www.legislation.act.gov.au/a/2001-14" TargetMode="External"/><Relationship Id="rId1421" Type="http://schemas.openxmlformats.org/officeDocument/2006/relationships/hyperlink" Target="http://www.legislation.act.gov.au/sl/2014-34" TargetMode="External"/><Relationship Id="rId1659" Type="http://schemas.openxmlformats.org/officeDocument/2006/relationships/hyperlink" Target="http://www.legislation.act.gov.au/sl/2022-2/" TargetMode="External"/><Relationship Id="rId1866" Type="http://schemas.openxmlformats.org/officeDocument/2006/relationships/hyperlink" Target="http://www.legislation.act.gov.au/sl/2009-32" TargetMode="External"/><Relationship Id="rId2917" Type="http://schemas.openxmlformats.org/officeDocument/2006/relationships/hyperlink" Target="http://www.legislation.act.gov.au/sl/2008-50" TargetMode="External"/><Relationship Id="rId3081" Type="http://schemas.openxmlformats.org/officeDocument/2006/relationships/hyperlink" Target="http://www.legislation.act.gov.au/sl/2023-36/" TargetMode="External"/><Relationship Id="rId1519" Type="http://schemas.openxmlformats.org/officeDocument/2006/relationships/hyperlink" Target="http://www.legislation.act.gov.au/sl/2012-43" TargetMode="External"/><Relationship Id="rId1726" Type="http://schemas.openxmlformats.org/officeDocument/2006/relationships/hyperlink" Target="http://www.legislation.act.gov.au/sl/2011-17" TargetMode="External"/><Relationship Id="rId1933" Type="http://schemas.openxmlformats.org/officeDocument/2006/relationships/hyperlink" Target="http://www.legislation.act.gov.au/sl/2009-32" TargetMode="External"/><Relationship Id="rId18" Type="http://schemas.openxmlformats.org/officeDocument/2006/relationships/header" Target="header2.xml"/><Relationship Id="rId2195" Type="http://schemas.openxmlformats.org/officeDocument/2006/relationships/hyperlink" Target="http://www.legislation.act.gov.au/sl/2009-56" TargetMode="External"/><Relationship Id="rId3039" Type="http://schemas.openxmlformats.org/officeDocument/2006/relationships/hyperlink" Target="http://www.legislation.act.gov.au/sl/2016-17"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f/2011-61/default.asp" TargetMode="External"/><Relationship Id="rId581" Type="http://schemas.openxmlformats.org/officeDocument/2006/relationships/hyperlink" Target="http://www.legislation.act.gov.au/a/1930-21" TargetMode="External"/><Relationship Id="rId2055" Type="http://schemas.openxmlformats.org/officeDocument/2006/relationships/hyperlink" Target="http://www.legislation.act.gov.au/sl/2007-16" TargetMode="External"/><Relationship Id="rId2262" Type="http://schemas.openxmlformats.org/officeDocument/2006/relationships/hyperlink" Target="http://www.legislation.act.gov.au/sl/2016-33" TargetMode="External"/><Relationship Id="rId234" Type="http://schemas.openxmlformats.org/officeDocument/2006/relationships/hyperlink" Target="http://www.legislation.act.gov.au/a/2018-52" TargetMode="External"/><Relationship Id="rId679" Type="http://schemas.openxmlformats.org/officeDocument/2006/relationships/header" Target="header15.xml"/><Relationship Id="rId886" Type="http://schemas.openxmlformats.org/officeDocument/2006/relationships/footer" Target="footer27.xml"/><Relationship Id="rId2567" Type="http://schemas.openxmlformats.org/officeDocument/2006/relationships/hyperlink" Target="http://www.legislation.act.gov.au/sl/2011-34" TargetMode="External"/><Relationship Id="rId2774" Type="http://schemas.openxmlformats.org/officeDocument/2006/relationships/hyperlink" Target="http://www.legislation.act.gov.au/sl/2008-25" TargetMode="External"/><Relationship Id="rId2" Type="http://schemas.openxmlformats.org/officeDocument/2006/relationships/numbering" Target="numbering.xml"/><Relationship Id="rId441" Type="http://schemas.openxmlformats.org/officeDocument/2006/relationships/hyperlink" Target="http://www.comlaw.gov.au/Series/C2004A04187" TargetMode="External"/><Relationship Id="rId539" Type="http://schemas.openxmlformats.org/officeDocument/2006/relationships/hyperlink" Target="http://www.legislation.act.gov.au/af/2006-501/default.asp" TargetMode="External"/><Relationship Id="rId746" Type="http://schemas.openxmlformats.org/officeDocument/2006/relationships/hyperlink" Target="http://www.legislation.act.gov.au/af/2024-51/default.asp" TargetMode="External"/><Relationship Id="rId1071" Type="http://schemas.openxmlformats.org/officeDocument/2006/relationships/hyperlink" Target="http://www.legislation.act.gov.au/af/2007-138/default.asp" TargetMode="External"/><Relationship Id="rId1169" Type="http://schemas.openxmlformats.org/officeDocument/2006/relationships/footer" Target="footer55.xml"/><Relationship Id="rId1376" Type="http://schemas.openxmlformats.org/officeDocument/2006/relationships/hyperlink" Target="http://www.legislation.act.gov.au/sl/2007-37" TargetMode="External"/><Relationship Id="rId1583" Type="http://schemas.openxmlformats.org/officeDocument/2006/relationships/hyperlink" Target="http://www.legislation.act.gov.au/sl/2007-16" TargetMode="External"/><Relationship Id="rId2122" Type="http://schemas.openxmlformats.org/officeDocument/2006/relationships/hyperlink" Target="http://www.legislation.act.gov.au/sl/2024-9/" TargetMode="External"/><Relationship Id="rId2427" Type="http://schemas.openxmlformats.org/officeDocument/2006/relationships/hyperlink" Target="http://www.legislation.act.gov.au/sl/2020-45/" TargetMode="External"/><Relationship Id="rId2981" Type="http://schemas.openxmlformats.org/officeDocument/2006/relationships/hyperlink" Target="http://www.legislation.act.gov.au/sl/2009-11" TargetMode="External"/><Relationship Id="rId301" Type="http://schemas.openxmlformats.org/officeDocument/2006/relationships/hyperlink" Target="http://www.legislation.act.gov.au/af/2017-173/default.asp" TargetMode="External"/><Relationship Id="rId953" Type="http://schemas.openxmlformats.org/officeDocument/2006/relationships/footer" Target="footer30.xml"/><Relationship Id="rId1029" Type="http://schemas.openxmlformats.org/officeDocument/2006/relationships/hyperlink" Target="http://www.comlaw.gov.au/Series/C2004A00818" TargetMode="External"/><Relationship Id="rId1236" Type="http://schemas.openxmlformats.org/officeDocument/2006/relationships/hyperlink" Target="http://www.legislation.act.gov.au/a/2004-59" TargetMode="External"/><Relationship Id="rId1790" Type="http://schemas.openxmlformats.org/officeDocument/2006/relationships/hyperlink" Target="http://www.legislation.act.gov.au/sl/2006-58" TargetMode="External"/><Relationship Id="rId1888" Type="http://schemas.openxmlformats.org/officeDocument/2006/relationships/hyperlink" Target="http://www.legislation.act.gov.au/sl/2009-32" TargetMode="External"/><Relationship Id="rId2634" Type="http://schemas.openxmlformats.org/officeDocument/2006/relationships/hyperlink" Target="http://www.legislation.act.gov.au/sl/2016-17" TargetMode="External"/><Relationship Id="rId2841" Type="http://schemas.openxmlformats.org/officeDocument/2006/relationships/hyperlink" Target="http://www.legislation.act.gov.au/sl/2015-12" TargetMode="External"/><Relationship Id="rId2939" Type="http://schemas.openxmlformats.org/officeDocument/2006/relationships/hyperlink" Target="http://www.legislation.act.gov.au/sl/2009-32" TargetMode="External"/><Relationship Id="rId82" Type="http://schemas.openxmlformats.org/officeDocument/2006/relationships/hyperlink" Target="http://www.legislation.act.gov.au/af/2009-283/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a/2002-45" TargetMode="External"/><Relationship Id="rId1443" Type="http://schemas.openxmlformats.org/officeDocument/2006/relationships/hyperlink" Target="http://www.legislation.act.gov.au/sl/2015-22" TargetMode="External"/><Relationship Id="rId1650" Type="http://schemas.openxmlformats.org/officeDocument/2006/relationships/hyperlink" Target="http://www.legislation.act.gov.au/sl/2011-17" TargetMode="External"/><Relationship Id="rId1748" Type="http://schemas.openxmlformats.org/officeDocument/2006/relationships/hyperlink" Target="http://www.legislation.act.gov.au/sl/2014-9" TargetMode="External"/><Relationship Id="rId2701" Type="http://schemas.openxmlformats.org/officeDocument/2006/relationships/hyperlink" Target="https://legislation.act.gov.au/sl/2022-19/" TargetMode="External"/><Relationship Id="rId1303" Type="http://schemas.openxmlformats.org/officeDocument/2006/relationships/hyperlink" Target="http://www.legislation.act.gov.au/sl/2017-40/default.asp" TargetMode="External"/><Relationship Id="rId1510" Type="http://schemas.openxmlformats.org/officeDocument/2006/relationships/hyperlink" Target="http://www.legislation.act.gov.au/sl/2015-22"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1-17" TargetMode="External"/><Relationship Id="rId1815" Type="http://schemas.openxmlformats.org/officeDocument/2006/relationships/hyperlink" Target="http://www.legislation.act.gov.au/sl/2006-58" TargetMode="External"/><Relationship Id="rId3030" Type="http://schemas.openxmlformats.org/officeDocument/2006/relationships/hyperlink" Target="http://www.legislation.act.gov.au/sl/2015-22/default.asp" TargetMode="External"/><Relationship Id="rId189" Type="http://schemas.openxmlformats.org/officeDocument/2006/relationships/hyperlink" Target="http://www.legislation.act.gov.au/af/2006-300/default.asp" TargetMode="External"/><Relationship Id="rId396" Type="http://schemas.openxmlformats.org/officeDocument/2006/relationships/hyperlink" Target="http://www.legislation.act.gov.au/a/2017-7/default.asp" TargetMode="External"/><Relationship Id="rId2077" Type="http://schemas.openxmlformats.org/officeDocument/2006/relationships/hyperlink" Target="http://www.legislation.act.gov.au/sl/2012-43" TargetMode="External"/><Relationship Id="rId2284" Type="http://schemas.openxmlformats.org/officeDocument/2006/relationships/hyperlink" Target="http://www.legislation.act.gov.au/sl/2016-33" TargetMode="External"/><Relationship Id="rId2491" Type="http://schemas.openxmlformats.org/officeDocument/2006/relationships/hyperlink" Target="http://www.legislation.act.gov.au/sl/2011-33" TargetMode="External"/><Relationship Id="rId256" Type="http://schemas.openxmlformats.org/officeDocument/2006/relationships/hyperlink" Target="https://legislation.act.gov.au/af/2006-320/" TargetMode="External"/><Relationship Id="rId463" Type="http://schemas.openxmlformats.org/officeDocument/2006/relationships/hyperlink" Target="http://www.legislation.act.gov.au/a/alt_a1989-33co/default.asp" TargetMode="External"/><Relationship Id="rId670" Type="http://schemas.openxmlformats.org/officeDocument/2006/relationships/hyperlink" Target="https://legislation.act.gov.au/af/2006-390/" TargetMode="Externa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24-9/" TargetMode="External"/><Relationship Id="rId2351" Type="http://schemas.openxmlformats.org/officeDocument/2006/relationships/hyperlink" Target="http://www.legislation.act.gov.au/sl/2012-24" TargetMode="External"/><Relationship Id="rId2589" Type="http://schemas.openxmlformats.org/officeDocument/2006/relationships/hyperlink" Target="http://www.legislation.act.gov.au/sl/2011-34" TargetMode="External"/><Relationship Id="rId2796" Type="http://schemas.openxmlformats.org/officeDocument/2006/relationships/hyperlink" Target="http://www.legislation.act.gov.au/sl/2008-50" TargetMode="External"/><Relationship Id="rId116" Type="http://schemas.openxmlformats.org/officeDocument/2006/relationships/hyperlink" Target="http://www.legislation.act.gov.au/af/2011-51/default.asp" TargetMode="External"/><Relationship Id="rId323" Type="http://schemas.openxmlformats.org/officeDocument/2006/relationships/hyperlink" Target="http://www.legislation.act.gov.au/af/2017-179/default.asp" TargetMode="External"/><Relationship Id="rId530" Type="http://schemas.openxmlformats.org/officeDocument/2006/relationships/hyperlink" Target="http://www.legislation.act.gov.au/sl/2002-20" TargetMode="External"/><Relationship Id="rId768" Type="http://schemas.openxmlformats.org/officeDocument/2006/relationships/hyperlink" Target="http://www.legislation.act.gov.au/a/1929-18" TargetMode="External"/><Relationship Id="rId975" Type="http://schemas.openxmlformats.org/officeDocument/2006/relationships/hyperlink" Target="http://www.legislation.act.gov.au/a/1929-18/default.asp" TargetMode="External"/><Relationship Id="rId1160" Type="http://schemas.openxmlformats.org/officeDocument/2006/relationships/hyperlink" Target="http://www.comlaw.gov.au/Series/C2004A00818" TargetMode="External"/><Relationship Id="rId1398" Type="http://schemas.openxmlformats.org/officeDocument/2006/relationships/hyperlink" Target="http://www.legislation.act.gov.au/sl/2023-15/default.asp"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09-32" TargetMode="External"/><Relationship Id="rId2449" Type="http://schemas.openxmlformats.org/officeDocument/2006/relationships/hyperlink" Target="http://www.legislation.act.gov.au/sl/2011-34" TargetMode="External"/><Relationship Id="rId2656" Type="http://schemas.openxmlformats.org/officeDocument/2006/relationships/hyperlink" Target="http://www.legislation.act.gov.au/sl/2014-34" TargetMode="External"/><Relationship Id="rId2863" Type="http://schemas.openxmlformats.org/officeDocument/2006/relationships/hyperlink" Target="http://www.legislation.act.gov.au/sl/2006-58" TargetMode="External"/><Relationship Id="rId628" Type="http://schemas.openxmlformats.org/officeDocument/2006/relationships/hyperlink" Target="http://www.legislation.act.gov.au/a/2000-61/default.asp" TargetMode="External"/><Relationship Id="rId835" Type="http://schemas.openxmlformats.org/officeDocument/2006/relationships/hyperlink" Target="http://www.legislation.act.gov.au/af/2017-151/default.asp" TargetMode="External"/><Relationship Id="rId1258" Type="http://schemas.openxmlformats.org/officeDocument/2006/relationships/hyperlink" Target="http://www.legislation.act.gov.au/sl/2008-44" TargetMode="External"/><Relationship Id="rId1465" Type="http://schemas.openxmlformats.org/officeDocument/2006/relationships/hyperlink" Target="http://www.legislation.act.gov.au/sl/2012-24" TargetMode="External"/><Relationship Id="rId1672" Type="http://schemas.openxmlformats.org/officeDocument/2006/relationships/hyperlink" Target="http://www.legislation.act.gov.au/sl/2010-24" TargetMode="External"/><Relationship Id="rId2309" Type="http://schemas.openxmlformats.org/officeDocument/2006/relationships/hyperlink" Target="http://www.legislation.act.gov.au/sl/2023-36/" TargetMode="External"/><Relationship Id="rId2516" Type="http://schemas.openxmlformats.org/officeDocument/2006/relationships/hyperlink" Target="http://www.legislation.act.gov.au/sl/2009-32" TargetMode="External"/><Relationship Id="rId2723" Type="http://schemas.openxmlformats.org/officeDocument/2006/relationships/hyperlink" Target="http://www.legislation.act.gov.au/sl/2008-50" TargetMode="External"/><Relationship Id="rId1020" Type="http://schemas.openxmlformats.org/officeDocument/2006/relationships/hyperlink" Target="http://www.legislation.act.gov.au/af/2008-144/default.asp" TargetMode="External"/><Relationship Id="rId1118" Type="http://schemas.openxmlformats.org/officeDocument/2006/relationships/hyperlink" Target="http://www.comlaw.gov.au/Series/C2004A00818" TargetMode="External"/><Relationship Id="rId1325" Type="http://schemas.openxmlformats.org/officeDocument/2006/relationships/hyperlink" Target="http://www.legislation.act.gov.au/sl/2011-33" TargetMode="External"/><Relationship Id="rId1532" Type="http://schemas.openxmlformats.org/officeDocument/2006/relationships/hyperlink" Target="http://www.legislation.act.gov.au/sl/2015-22" TargetMode="External"/><Relationship Id="rId1977" Type="http://schemas.openxmlformats.org/officeDocument/2006/relationships/hyperlink" Target="http://www.legislation.act.gov.au/sl/2006-58" TargetMode="External"/><Relationship Id="rId2930" Type="http://schemas.openxmlformats.org/officeDocument/2006/relationships/hyperlink" Target="http://www.legislation.act.gov.au/sl/2013-18/default.asp" TargetMode="Externa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6-58"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0-21" TargetMode="External"/><Relationship Id="rId3052" Type="http://schemas.openxmlformats.org/officeDocument/2006/relationships/hyperlink" Target="http://www.legislation.act.gov.au/sl/2018-25/default.asp" TargetMode="External"/><Relationship Id="rId180" Type="http://schemas.openxmlformats.org/officeDocument/2006/relationships/hyperlink" Target="http://www.legislation.act.gov.au/af/2006-297/default.asp" TargetMode="External"/><Relationship Id="rId278" Type="http://schemas.openxmlformats.org/officeDocument/2006/relationships/hyperlink" Target="http://www.legislation.act.gov.au/af/2017-166/default.asp" TargetMode="External"/><Relationship Id="rId1904" Type="http://schemas.openxmlformats.org/officeDocument/2006/relationships/hyperlink" Target="http://www.legislation.act.gov.au/sl/2009-32" TargetMode="External"/><Relationship Id="rId485" Type="http://schemas.openxmlformats.org/officeDocument/2006/relationships/hyperlink" Target="http://www.legislation.act.gov.au/a/2006-25" TargetMode="External"/><Relationship Id="rId692" Type="http://schemas.openxmlformats.org/officeDocument/2006/relationships/hyperlink" Target="http://www.legislation.act.gov.au/a/2001-14" TargetMode="External"/><Relationship Id="rId2166" Type="http://schemas.openxmlformats.org/officeDocument/2006/relationships/hyperlink" Target="http://www.legislation.act.gov.au/sl/2013-18/default.asp" TargetMode="External"/><Relationship Id="rId2373" Type="http://schemas.openxmlformats.org/officeDocument/2006/relationships/hyperlink" Target="http://www.legislation.act.gov.au/sl/2015-22" TargetMode="External"/><Relationship Id="rId2580" Type="http://schemas.openxmlformats.org/officeDocument/2006/relationships/hyperlink" Target="http://www.legislation.act.gov.au/sl/2015-2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s://www.legislation.act.gov.au/af/2024-28/" TargetMode="External"/><Relationship Id="rId997" Type="http://schemas.openxmlformats.org/officeDocument/2006/relationships/hyperlink" Target="http://www.comlaw.gov.au/Series/C2004A00818" TargetMode="External"/><Relationship Id="rId1182" Type="http://schemas.openxmlformats.org/officeDocument/2006/relationships/hyperlink" Target="http://www.comlaw.gov.au/Series/C2008A00024" TargetMode="External"/><Relationship Id="rId2026" Type="http://schemas.openxmlformats.org/officeDocument/2006/relationships/hyperlink" Target="http://www.legislation.act.gov.au/sl/2006-58" TargetMode="External"/><Relationship Id="rId2233" Type="http://schemas.openxmlformats.org/officeDocument/2006/relationships/hyperlink" Target="http://www.legislation.act.gov.au/sl/2009-32" TargetMode="External"/><Relationship Id="rId2440" Type="http://schemas.openxmlformats.org/officeDocument/2006/relationships/hyperlink" Target="http://www.legislation.act.gov.au/sl/2023-36/" TargetMode="External"/><Relationship Id="rId2678" Type="http://schemas.openxmlformats.org/officeDocument/2006/relationships/hyperlink" Target="http://www.legislation.act.gov.au/sl/2013-18/default.asp" TargetMode="External"/><Relationship Id="rId2885" Type="http://schemas.openxmlformats.org/officeDocument/2006/relationships/hyperlink" Target="http://www.legislation.act.gov.au/sl/2006-58" TargetMode="External"/><Relationship Id="rId205" Type="http://schemas.openxmlformats.org/officeDocument/2006/relationships/hyperlink" Target="http://www.legislation.act.gov.au/af/2006-311/default.asp" TargetMode="External"/><Relationship Id="rId412" Type="http://schemas.openxmlformats.org/officeDocument/2006/relationships/hyperlink" Target="http://www.legislation.act.gov.au/a/1992-71/default.asp" TargetMode="External"/><Relationship Id="rId857" Type="http://schemas.openxmlformats.org/officeDocument/2006/relationships/hyperlink" Target="https://www.legislation.act.gov.au/af/2020-101/" TargetMode="External"/><Relationship Id="rId1042" Type="http://schemas.openxmlformats.org/officeDocument/2006/relationships/hyperlink" Target="http://www.comlaw.gov.au/Series/C2004A00818" TargetMode="External"/><Relationship Id="rId1487" Type="http://schemas.openxmlformats.org/officeDocument/2006/relationships/hyperlink" Target="http://www.legislation.act.gov.au/sl/2012-43" TargetMode="External"/><Relationship Id="rId1694" Type="http://schemas.openxmlformats.org/officeDocument/2006/relationships/hyperlink" Target="http://www.legislation.act.gov.au/sl/2014-34" TargetMode="External"/><Relationship Id="rId2300" Type="http://schemas.openxmlformats.org/officeDocument/2006/relationships/hyperlink" Target="http://www.legislation.act.gov.au/sl/2015-22" TargetMode="External"/><Relationship Id="rId2538" Type="http://schemas.openxmlformats.org/officeDocument/2006/relationships/hyperlink" Target="http://www.legislation.act.gov.au/sl/2017-17/default.asp" TargetMode="External"/><Relationship Id="rId2745" Type="http://schemas.openxmlformats.org/officeDocument/2006/relationships/hyperlink" Target="http://www.legislation.act.gov.au/sl/2008-25" TargetMode="External"/><Relationship Id="rId2952" Type="http://schemas.openxmlformats.org/officeDocument/2006/relationships/hyperlink" Target="http://www.legislation.act.gov.au/sl/2006-43" TargetMode="External"/><Relationship Id="rId717" Type="http://schemas.openxmlformats.org/officeDocument/2006/relationships/hyperlink" Target="http://www.legislation.act.gov.au/a/1930-21" TargetMode="External"/><Relationship Id="rId924" Type="http://schemas.openxmlformats.org/officeDocument/2006/relationships/hyperlink" Target="http://www.comlaw.gov.au/Series/C2010A00035" TargetMode="External"/><Relationship Id="rId1347" Type="http://schemas.openxmlformats.org/officeDocument/2006/relationships/hyperlink" Target="http://www.legislation.act.gov.au/sl/2023-15/default.asp" TargetMode="External"/><Relationship Id="rId1554" Type="http://schemas.openxmlformats.org/officeDocument/2006/relationships/hyperlink" Target="http://www.legislation.act.gov.au/sl/2008-50" TargetMode="External"/><Relationship Id="rId1761" Type="http://schemas.openxmlformats.org/officeDocument/2006/relationships/hyperlink" Target="http://www.legislation.act.gov.au/sl/2019-11/default.asp" TargetMode="External"/><Relationship Id="rId1999" Type="http://schemas.openxmlformats.org/officeDocument/2006/relationships/hyperlink" Target="http://www.legislation.act.gov.au/sl/2006-58" TargetMode="External"/><Relationship Id="rId2605" Type="http://schemas.openxmlformats.org/officeDocument/2006/relationships/hyperlink" Target="http://www.legislation.act.gov.au/sl/2011-33" TargetMode="External"/><Relationship Id="rId2812" Type="http://schemas.openxmlformats.org/officeDocument/2006/relationships/hyperlink" Target="http://www.legislation.act.gov.au/sl/2015-22" TargetMode="External"/><Relationship Id="rId53" Type="http://schemas.openxmlformats.org/officeDocument/2006/relationships/hyperlink" Target="http://www.legislation.act.gov.au/af/2021-23/" TargetMode="External"/><Relationship Id="rId1207" Type="http://schemas.openxmlformats.org/officeDocument/2006/relationships/header" Target="header51.xml"/><Relationship Id="rId1414" Type="http://schemas.openxmlformats.org/officeDocument/2006/relationships/hyperlink" Target="http://www.legislation.act.gov.au/sl/2017-17/default.asp" TargetMode="External"/><Relationship Id="rId1621" Type="http://schemas.openxmlformats.org/officeDocument/2006/relationships/hyperlink" Target="http://www.legislation.act.gov.au/sl/2016-17" TargetMode="External"/><Relationship Id="rId1859" Type="http://schemas.openxmlformats.org/officeDocument/2006/relationships/hyperlink" Target="http://www.legislation.act.gov.au/sl/2006-58" TargetMode="External"/><Relationship Id="rId3074" Type="http://schemas.openxmlformats.org/officeDocument/2006/relationships/hyperlink" Target="http://www.legislation.act.gov.au/sl/2022-6/" TargetMode="External"/><Relationship Id="rId1719" Type="http://schemas.openxmlformats.org/officeDocument/2006/relationships/hyperlink" Target="http://www.legislation.act.gov.au/sl/2014-9" TargetMode="External"/><Relationship Id="rId1926" Type="http://schemas.openxmlformats.org/officeDocument/2006/relationships/hyperlink" Target="http://www.legislation.act.gov.au/sl/2009-32" TargetMode="External"/><Relationship Id="rId2090" Type="http://schemas.openxmlformats.org/officeDocument/2006/relationships/hyperlink" Target="http://www.legislation.act.gov.au/sl/2006-58" TargetMode="External"/><Relationship Id="rId2188" Type="http://schemas.openxmlformats.org/officeDocument/2006/relationships/hyperlink" Target="http://www.legislation.act.gov.au/sl/2015-22" TargetMode="External"/><Relationship Id="rId2395" Type="http://schemas.openxmlformats.org/officeDocument/2006/relationships/hyperlink" Target="https://legislation.act.gov.au/sl/2022-19/" TargetMode="External"/><Relationship Id="rId367" Type="http://schemas.openxmlformats.org/officeDocument/2006/relationships/hyperlink" Target="http://www.legislation.act.gov.au/a/1993-20/default.asp" TargetMode="External"/><Relationship Id="rId574" Type="http://schemas.openxmlformats.org/officeDocument/2006/relationships/hyperlink" Target="http://www.legislation.act.gov.au/a/1930-21" TargetMode="External"/><Relationship Id="rId2048" Type="http://schemas.openxmlformats.org/officeDocument/2006/relationships/hyperlink" Target="http://www.legislation.act.gov.au/sl/2006-58" TargetMode="External"/><Relationship Id="rId2255" Type="http://schemas.openxmlformats.org/officeDocument/2006/relationships/hyperlink" Target="http://www.legislation.act.gov.au/sl/2016-33" TargetMode="External"/><Relationship Id="rId3001" Type="http://schemas.openxmlformats.org/officeDocument/2006/relationships/hyperlink" Target="http://www.legislation.act.gov.au/a/2011-20" TargetMode="External"/><Relationship Id="rId227" Type="http://schemas.openxmlformats.org/officeDocument/2006/relationships/header" Target="header13.xml"/><Relationship Id="rId781" Type="http://schemas.openxmlformats.org/officeDocument/2006/relationships/hyperlink" Target="http://www.legislation.act.gov.au/a/1933-34" TargetMode="External"/><Relationship Id="rId879" Type="http://schemas.openxmlformats.org/officeDocument/2006/relationships/hyperlink" Target="http://www.legislation.act.gov.au/a/2011-12/default.asp" TargetMode="External"/><Relationship Id="rId2462" Type="http://schemas.openxmlformats.org/officeDocument/2006/relationships/hyperlink" Target="http://www.legislation.act.gov.au/sl/2009-56" TargetMode="External"/><Relationship Id="rId2767" Type="http://schemas.openxmlformats.org/officeDocument/2006/relationships/hyperlink" Target="http://www.legislation.act.gov.au/sl/2008-25" TargetMode="External"/><Relationship Id="rId434" Type="http://schemas.openxmlformats.org/officeDocument/2006/relationships/hyperlink" Target="http://www.comlaw.gov.au/Series/C2004A04874" TargetMode="External"/><Relationship Id="rId641" Type="http://schemas.openxmlformats.org/officeDocument/2006/relationships/hyperlink" Target="http://www.legislation.act.gov.au/a/2001-14" TargetMode="External"/><Relationship Id="rId739" Type="http://schemas.openxmlformats.org/officeDocument/2006/relationships/hyperlink" Target="http://www.legislation.act.gov.au/a/2004-5" TargetMode="External"/><Relationship Id="rId1064" Type="http://schemas.openxmlformats.org/officeDocument/2006/relationships/hyperlink" Target="http://www.legislation.act.gov.au/af/2008-67/default.asp" TargetMode="External"/><Relationship Id="rId1271" Type="http://schemas.openxmlformats.org/officeDocument/2006/relationships/hyperlink" Target="http://www.legislation.act.gov.au/sl/2011-6" TargetMode="External"/><Relationship Id="rId1369" Type="http://schemas.openxmlformats.org/officeDocument/2006/relationships/hyperlink" Target="http://www.legislation.act.gov.au/sl/2009-56" TargetMode="External"/><Relationship Id="rId1576" Type="http://schemas.openxmlformats.org/officeDocument/2006/relationships/hyperlink" Target="http://www.legislation.act.gov.au/sl/2006-58" TargetMode="External"/><Relationship Id="rId2115" Type="http://schemas.openxmlformats.org/officeDocument/2006/relationships/hyperlink" Target="http://www.legislation.act.gov.au/a/2010-21" TargetMode="External"/><Relationship Id="rId2322" Type="http://schemas.openxmlformats.org/officeDocument/2006/relationships/hyperlink" Target="http://www.legislation.act.gov.au/sl/2012-43" TargetMode="External"/><Relationship Id="rId2974" Type="http://schemas.openxmlformats.org/officeDocument/2006/relationships/hyperlink" Target="http://www.legislation.act.gov.au/a/2008-20" TargetMode="External"/><Relationship Id="rId501" Type="http://schemas.openxmlformats.org/officeDocument/2006/relationships/hyperlink" Target="http://www.legislation.act.gov.au/a/2016-42" TargetMode="External"/><Relationship Id="rId946" Type="http://schemas.openxmlformats.org/officeDocument/2006/relationships/hyperlink" Target="http://www.legislation.act.gov.au/sl/2003-40" TargetMode="External"/><Relationship Id="rId1131" Type="http://schemas.openxmlformats.org/officeDocument/2006/relationships/hyperlink" Target="http://www.legislation.act.gov.au/af/2008-68/default.asp" TargetMode="External"/><Relationship Id="rId1229" Type="http://schemas.openxmlformats.org/officeDocument/2006/relationships/hyperlink" Target="http://www.comlaw.gov.au/Series/C2004A00818" TargetMode="External"/><Relationship Id="rId1783" Type="http://schemas.openxmlformats.org/officeDocument/2006/relationships/hyperlink" Target="http://www.legislation.act.gov.au/sl/2009-32"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23-15/default.asp" TargetMode="External"/><Relationship Id="rId2834" Type="http://schemas.openxmlformats.org/officeDocument/2006/relationships/hyperlink" Target="http://www.legislation.act.gov.au/sl/2006-58"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legislation.act.gov.au/a/2001-14" TargetMode="External"/><Relationship Id="rId1436" Type="http://schemas.openxmlformats.org/officeDocument/2006/relationships/hyperlink" Target="http://www.legislation.act.gov.au/sl/2014-34" TargetMode="External"/><Relationship Id="rId1643" Type="http://schemas.openxmlformats.org/officeDocument/2006/relationships/hyperlink" Target="http://www.legislation.act.gov.au/a/2008-20" TargetMode="External"/><Relationship Id="rId1850" Type="http://schemas.openxmlformats.org/officeDocument/2006/relationships/hyperlink" Target="http://www.legislation.act.gov.au/sl/2009-32" TargetMode="External"/><Relationship Id="rId2901" Type="http://schemas.openxmlformats.org/officeDocument/2006/relationships/hyperlink" Target="http://www.legislation.act.gov.au/sl/2012-43" TargetMode="External"/><Relationship Id="rId3096" Type="http://schemas.openxmlformats.org/officeDocument/2006/relationships/header" Target="header61.xml"/><Relationship Id="rId1503" Type="http://schemas.openxmlformats.org/officeDocument/2006/relationships/hyperlink" Target="http://www.legislation.act.gov.au/sl/2012-43" TargetMode="External"/><Relationship Id="rId1710" Type="http://schemas.openxmlformats.org/officeDocument/2006/relationships/hyperlink" Target="http://www.legislation.act.gov.au/sl/2018-25/default.asp" TargetMode="External"/><Relationship Id="rId1948" Type="http://schemas.openxmlformats.org/officeDocument/2006/relationships/hyperlink" Target="http://www.legislation.act.gov.au/sl/2006-58" TargetMode="External"/><Relationship Id="rId291" Type="http://schemas.openxmlformats.org/officeDocument/2006/relationships/hyperlink" Target="http://www.legislation.act.gov.au/a/1968-11" TargetMode="External"/><Relationship Id="rId1808" Type="http://schemas.openxmlformats.org/officeDocument/2006/relationships/hyperlink" Target="http://www.legislation.act.gov.au/sl/2009-32" TargetMode="External"/><Relationship Id="rId3023" Type="http://schemas.openxmlformats.org/officeDocument/2006/relationships/hyperlink" Target="http://www.legislation.act.gov.au/sl/2014-9/default.asp"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http://www.legislation.act.gov.au/af/2011-63/default.asp" TargetMode="External"/><Relationship Id="rId2277" Type="http://schemas.openxmlformats.org/officeDocument/2006/relationships/hyperlink" Target="http://www.legislation.act.gov.au/sl/2016-33" TargetMode="External"/><Relationship Id="rId2484" Type="http://schemas.openxmlformats.org/officeDocument/2006/relationships/hyperlink" Target="http://www.legislation.act.gov.au/sl/2011-33" TargetMode="External"/><Relationship Id="rId2691" Type="http://schemas.openxmlformats.org/officeDocument/2006/relationships/hyperlink" Target="http://www.legislation.act.gov.au/sl/2014-34" TargetMode="External"/><Relationship Id="rId249" Type="http://schemas.openxmlformats.org/officeDocument/2006/relationships/hyperlink" Target="http://www.legislation.act.gov.au/af/2006-320/default.asp" TargetMode="External"/><Relationship Id="rId456" Type="http://schemas.openxmlformats.org/officeDocument/2006/relationships/hyperlink" Target="http://www.legislation.act.gov.au/a/2011-12/default.asp" TargetMode="External"/><Relationship Id="rId663" Type="http://schemas.openxmlformats.org/officeDocument/2006/relationships/hyperlink" Target="http://www.legislation.act.gov.au/af/2006-387/default.asp" TargetMode="External"/><Relationship Id="rId870" Type="http://schemas.openxmlformats.org/officeDocument/2006/relationships/hyperlink" Target="http://www.legislation.act.gov.au/af/2008-121/default.asp" TargetMode="External"/><Relationship Id="rId1086" Type="http://schemas.openxmlformats.org/officeDocument/2006/relationships/hyperlink" Target="http://www.comlaw.gov.au/Series/C2004A00818" TargetMode="External"/><Relationship Id="rId1293" Type="http://schemas.openxmlformats.org/officeDocument/2006/relationships/hyperlink" Target="http://www.legislation.act.gov.au/sl/2015-42" TargetMode="External"/><Relationship Id="rId2137" Type="http://schemas.openxmlformats.org/officeDocument/2006/relationships/hyperlink" Target="http://www.legislation.act.gov.au/sl/2011-6" TargetMode="External"/><Relationship Id="rId2344" Type="http://schemas.openxmlformats.org/officeDocument/2006/relationships/hyperlink" Target="http://www.legislation.act.gov.au/sl/2017-17/default.asp" TargetMode="External"/><Relationship Id="rId2551" Type="http://schemas.openxmlformats.org/officeDocument/2006/relationships/hyperlink" Target="http://www.legislation.act.gov.au/sl/2018-25/default.asp" TargetMode="External"/><Relationship Id="rId2789" Type="http://schemas.openxmlformats.org/officeDocument/2006/relationships/hyperlink" Target="http://www.legislation.act.gov.au/sl/2017-17/default.asp" TargetMode="External"/><Relationship Id="rId2996" Type="http://schemas.openxmlformats.org/officeDocument/2006/relationships/hyperlink" Target="http://www.legislation.act.gov.au/sl/2010-51" TargetMode="External"/><Relationship Id="rId109" Type="http://schemas.openxmlformats.org/officeDocument/2006/relationships/hyperlink" Target="http://www.legislation.act.gov.au/af/2006-269/default.asp"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f/2008-145/default.asp" TargetMode="External"/><Relationship Id="rId968" Type="http://schemas.openxmlformats.org/officeDocument/2006/relationships/header" Target="header29.xml"/><Relationship Id="rId1153" Type="http://schemas.openxmlformats.org/officeDocument/2006/relationships/hyperlink" Target="http://www.comlaw.gov.au/Series/C2004A00818" TargetMode="External"/><Relationship Id="rId1598" Type="http://schemas.openxmlformats.org/officeDocument/2006/relationships/hyperlink" Target="http://www.legislation.act.gov.au/sl/2023-36/" TargetMode="External"/><Relationship Id="rId2204" Type="http://schemas.openxmlformats.org/officeDocument/2006/relationships/hyperlink" Target="http://www.legislation.act.gov.au/sl/2010-51" TargetMode="External"/><Relationship Id="rId2649" Type="http://schemas.openxmlformats.org/officeDocument/2006/relationships/hyperlink" Target="http://www.legislation.act.gov.au/sl/2014-34" TargetMode="External"/><Relationship Id="rId2856" Type="http://schemas.openxmlformats.org/officeDocument/2006/relationships/hyperlink" Target="http://www.legislation.act.gov.au/sl/2006-58" TargetMode="External"/><Relationship Id="rId97" Type="http://schemas.openxmlformats.org/officeDocument/2006/relationships/hyperlink" Target="http://www.legislation.act.gov.au/a/2011-12/default.asp" TargetMode="External"/><Relationship Id="rId730" Type="http://schemas.openxmlformats.org/officeDocument/2006/relationships/hyperlink" Target="http://www.legislation.act.gov.au/a/2008-1" TargetMode="External"/><Relationship Id="rId828" Type="http://schemas.openxmlformats.org/officeDocument/2006/relationships/hyperlink" Target="http://www.legislation.act.gov.au/af/2006-423/default.asp" TargetMode="External"/><Relationship Id="rId1013" Type="http://schemas.openxmlformats.org/officeDocument/2006/relationships/hyperlink" Target="http://www.comlaw.gov.au/Series/C2008A00024" TargetMode="External"/><Relationship Id="rId1360" Type="http://schemas.openxmlformats.org/officeDocument/2006/relationships/hyperlink" Target="http://www.legislation.act.gov.au/sl/2007-16" TargetMode="External"/><Relationship Id="rId1458" Type="http://schemas.openxmlformats.org/officeDocument/2006/relationships/hyperlink" Target="http://www.legislation.act.gov.au/sl/2012-24" TargetMode="External"/><Relationship Id="rId1665" Type="http://schemas.openxmlformats.org/officeDocument/2006/relationships/hyperlink" Target="http://www.legislation.act.gov.au/sl/2011-17" TargetMode="External"/><Relationship Id="rId1872" Type="http://schemas.openxmlformats.org/officeDocument/2006/relationships/hyperlink" Target="http://www.legislation.act.gov.au/sl/2009-32" TargetMode="External"/><Relationship Id="rId2411" Type="http://schemas.openxmlformats.org/officeDocument/2006/relationships/hyperlink" Target="http://www.legislation.act.gov.au/sl/2016-31" TargetMode="External"/><Relationship Id="rId2509" Type="http://schemas.openxmlformats.org/officeDocument/2006/relationships/hyperlink" Target="http://www.legislation.act.gov.au/sl/2009-32" TargetMode="External"/><Relationship Id="rId2716" Type="http://schemas.openxmlformats.org/officeDocument/2006/relationships/hyperlink" Target="http://www.legislation.act.gov.au/sl/2012-24" TargetMode="External"/><Relationship Id="rId1220" Type="http://schemas.openxmlformats.org/officeDocument/2006/relationships/hyperlink" Target="http://www.comlaw.gov.au/Series/C2011A00126" TargetMode="External"/><Relationship Id="rId1318" Type="http://schemas.openxmlformats.org/officeDocument/2006/relationships/hyperlink" Target="http://www.legislation.act.gov.au/sl/2022-19/default.asp" TargetMode="External"/><Relationship Id="rId1525" Type="http://schemas.openxmlformats.org/officeDocument/2006/relationships/hyperlink" Target="http://www.legislation.act.gov.au/sl/2011-17" TargetMode="External"/><Relationship Id="rId2923" Type="http://schemas.openxmlformats.org/officeDocument/2006/relationships/hyperlink" Target="http://www.legislation.act.gov.au/sl/2006-58" TargetMode="External"/><Relationship Id="rId1732" Type="http://schemas.openxmlformats.org/officeDocument/2006/relationships/hyperlink" Target="http://www.legislation.act.gov.au/sl/2012-24" TargetMode="External"/><Relationship Id="rId24" Type="http://schemas.openxmlformats.org/officeDocument/2006/relationships/header" Target="header5.xml"/><Relationship Id="rId2299" Type="http://schemas.openxmlformats.org/officeDocument/2006/relationships/hyperlink" Target="http://www.legislation.act.gov.au/sl/2011-34" TargetMode="External"/><Relationship Id="rId3045" Type="http://schemas.openxmlformats.org/officeDocument/2006/relationships/hyperlink" Target="http://www.legislation.act.gov.au/sl/2017-10/default.asp" TargetMode="External"/><Relationship Id="rId173" Type="http://schemas.openxmlformats.org/officeDocument/2006/relationships/hyperlink" Target="http://www.comlaw.gov.au/Series/C2004A04463"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06-58" TargetMode="External"/><Relationship Id="rId240" Type="http://schemas.openxmlformats.org/officeDocument/2006/relationships/hyperlink" Target="http://www.legislation.act.gov.au/af/2006-324/default.asp" TargetMode="External"/><Relationship Id="rId478" Type="http://schemas.openxmlformats.org/officeDocument/2006/relationships/hyperlink" Target="http://www.legislation.act.gov.au/a/alt_a1989-33co/default.asp" TargetMode="External"/><Relationship Id="rId685" Type="http://schemas.openxmlformats.org/officeDocument/2006/relationships/header" Target="header16.xml"/><Relationship Id="rId892" Type="http://schemas.openxmlformats.org/officeDocument/2006/relationships/hyperlink" Target="http://www.legislation.act.gov.au/a/2001-14" TargetMode="External"/><Relationship Id="rId2159" Type="http://schemas.openxmlformats.org/officeDocument/2006/relationships/hyperlink" Target="http://www.legislation.act.gov.au/sl/2012-43" TargetMode="External"/><Relationship Id="rId2366" Type="http://schemas.openxmlformats.org/officeDocument/2006/relationships/hyperlink" Target="http://www.legislation.act.gov.au/sl/2023-36/" TargetMode="External"/><Relationship Id="rId2573" Type="http://schemas.openxmlformats.org/officeDocument/2006/relationships/hyperlink" Target="http://www.legislation.act.gov.au/sl/2015-22" TargetMode="External"/><Relationship Id="rId2780" Type="http://schemas.openxmlformats.org/officeDocument/2006/relationships/hyperlink" Target="http://www.legislation.act.gov.au/sl/2007-16" TargetMode="External"/><Relationship Id="rId100" Type="http://schemas.openxmlformats.org/officeDocument/2006/relationships/hyperlink" Target="http://www.legislation.act.gov.au/a/2011-12/default.asp" TargetMode="External"/><Relationship Id="rId338" Type="http://schemas.openxmlformats.org/officeDocument/2006/relationships/hyperlink" Target="http://www.legislation.act.gov.au/a/2008-19" TargetMode="External"/><Relationship Id="rId545" Type="http://schemas.openxmlformats.org/officeDocument/2006/relationships/hyperlink" Target="http://www.legislation.act.gov.au/a/1951-2/default.asp" TargetMode="External"/><Relationship Id="rId752" Type="http://schemas.openxmlformats.org/officeDocument/2006/relationships/hyperlink" Target="http://www.legislation.act.gov.au/af/2024-52/default.asp" TargetMode="External"/><Relationship Id="rId1175" Type="http://schemas.openxmlformats.org/officeDocument/2006/relationships/hyperlink" Target="http://www.comlaw.gov.au/Series/C2004A00818" TargetMode="External"/><Relationship Id="rId1382" Type="http://schemas.openxmlformats.org/officeDocument/2006/relationships/hyperlink" Target="http://www.legislation.act.gov.au/sl/2023-36/" TargetMode="External"/><Relationship Id="rId2019" Type="http://schemas.openxmlformats.org/officeDocument/2006/relationships/hyperlink" Target="http://www.legislation.act.gov.au/sl/2015-12" TargetMode="External"/><Relationship Id="rId2226" Type="http://schemas.openxmlformats.org/officeDocument/2006/relationships/hyperlink" Target="http://www.legislation.act.gov.au/sl/2010-51" TargetMode="External"/><Relationship Id="rId2433" Type="http://schemas.openxmlformats.org/officeDocument/2006/relationships/hyperlink" Target="http://www.legislation.act.gov.au/sl/2017-40/default.asp" TargetMode="External"/><Relationship Id="rId2640" Type="http://schemas.openxmlformats.org/officeDocument/2006/relationships/hyperlink" Target="http://www.legislation.act.gov.au/sl/2010-24" TargetMode="External"/><Relationship Id="rId2878" Type="http://schemas.openxmlformats.org/officeDocument/2006/relationships/hyperlink" Target="http://www.legislation.act.gov.au/sl/2024-9/" TargetMode="External"/><Relationship Id="rId405" Type="http://schemas.openxmlformats.org/officeDocument/2006/relationships/hyperlink" Target="http://www.comlaw.gov.au/Series/C2004A03433" TargetMode="External"/><Relationship Id="rId612" Type="http://schemas.openxmlformats.org/officeDocument/2006/relationships/hyperlink" Target="http://www.comlaw.gov.au/Details/C2013C00180" TargetMode="External"/><Relationship Id="rId1035" Type="http://schemas.openxmlformats.org/officeDocument/2006/relationships/hyperlink" Target="http://www.legislation.act.gov.au/af/2008-66/default.asp" TargetMode="External"/><Relationship Id="rId1242" Type="http://schemas.openxmlformats.org/officeDocument/2006/relationships/hyperlink" Target="http://www.legislation.act.gov.au/a/2001-14" TargetMode="External"/><Relationship Id="rId1687" Type="http://schemas.openxmlformats.org/officeDocument/2006/relationships/hyperlink" Target="http://www.legislation.act.gov.au/sl/2014-34" TargetMode="External"/><Relationship Id="rId1894" Type="http://schemas.openxmlformats.org/officeDocument/2006/relationships/hyperlink" Target="http://www.legislation.act.gov.au/sl/2009-32" TargetMode="External"/><Relationship Id="rId2500" Type="http://schemas.openxmlformats.org/officeDocument/2006/relationships/hyperlink" Target="http://www.legislation.act.gov.au/sl/2009-32" TargetMode="External"/><Relationship Id="rId2738" Type="http://schemas.openxmlformats.org/officeDocument/2006/relationships/hyperlink" Target="http://www.legislation.act.gov.au/sl/2008-25" TargetMode="External"/><Relationship Id="rId2945" Type="http://schemas.openxmlformats.org/officeDocument/2006/relationships/hyperlink" Target="http://www.legislation.act.gov.au/sl/2016-33" TargetMode="External"/><Relationship Id="rId917" Type="http://schemas.openxmlformats.org/officeDocument/2006/relationships/hyperlink" Target="http://www.comlaw.gov.au/Series/C2010A00035" TargetMode="External"/><Relationship Id="rId1102" Type="http://schemas.openxmlformats.org/officeDocument/2006/relationships/hyperlink" Target="http://www.comlaw.gov.au/Series/C2007A00132" TargetMode="External"/><Relationship Id="rId1547" Type="http://schemas.openxmlformats.org/officeDocument/2006/relationships/hyperlink" Target="http://www.legislation.act.gov.au/sl/2014-34" TargetMode="External"/><Relationship Id="rId1754" Type="http://schemas.openxmlformats.org/officeDocument/2006/relationships/hyperlink" Target="http://www.legislation.act.gov.au/sl/2011-34" TargetMode="External"/><Relationship Id="rId1961" Type="http://schemas.openxmlformats.org/officeDocument/2006/relationships/hyperlink" Target="http://www.legislation.act.gov.au/sl/2010-51" TargetMode="External"/><Relationship Id="rId2805" Type="http://schemas.openxmlformats.org/officeDocument/2006/relationships/hyperlink" Target="http://www.legislation.act.gov.au/sl/2017-17/default.asp" TargetMode="External"/><Relationship Id="rId46" Type="http://schemas.openxmlformats.org/officeDocument/2006/relationships/hyperlink" Target="http://www.legislation.act.gov.au/a/1951-2" TargetMode="External"/><Relationship Id="rId1407" Type="http://schemas.openxmlformats.org/officeDocument/2006/relationships/hyperlink" Target="http://www.legislation.act.gov.au/sl/2007-16" TargetMode="External"/><Relationship Id="rId1614" Type="http://schemas.openxmlformats.org/officeDocument/2006/relationships/hyperlink" Target="http://www.legislation.act.gov.au/sl/2006-58" TargetMode="External"/><Relationship Id="rId1821" Type="http://schemas.openxmlformats.org/officeDocument/2006/relationships/hyperlink" Target="http://www.legislation.act.gov.au/sl/2006-58" TargetMode="External"/><Relationship Id="rId3067" Type="http://schemas.openxmlformats.org/officeDocument/2006/relationships/hyperlink" Target="http://www.legislation.act.gov.au/sl/2020-34/" TargetMode="External"/><Relationship Id="rId195" Type="http://schemas.openxmlformats.org/officeDocument/2006/relationships/hyperlink" Target="http://www.legislation.act.gov.au/af/2006-306/default.asp"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08-50" TargetMode="External"/><Relationship Id="rId2290" Type="http://schemas.openxmlformats.org/officeDocument/2006/relationships/hyperlink" Target="http://www.legislation.act.gov.au/sl/2006-58" TargetMode="External"/><Relationship Id="rId2388" Type="http://schemas.openxmlformats.org/officeDocument/2006/relationships/hyperlink" Target="http://www.legislation.act.gov.au/sl/2014-4" TargetMode="External"/><Relationship Id="rId2595" Type="http://schemas.openxmlformats.org/officeDocument/2006/relationships/hyperlink" Target="http://www.legislation.act.gov.au/sl/2011-34" TargetMode="External"/><Relationship Id="rId262" Type="http://schemas.openxmlformats.org/officeDocument/2006/relationships/hyperlink" Target="http://www.comlaw.gov.au/Series/C2004A00275" TargetMode="External"/><Relationship Id="rId567" Type="http://schemas.openxmlformats.org/officeDocument/2006/relationships/hyperlink" Target="http://www.legislation.act.gov.au/a/2004-59" TargetMode="External"/><Relationship Id="rId1197" Type="http://schemas.openxmlformats.org/officeDocument/2006/relationships/hyperlink" Target="http://www.comlaw.gov.au/Series/C2004A00818" TargetMode="External"/><Relationship Id="rId2150" Type="http://schemas.openxmlformats.org/officeDocument/2006/relationships/hyperlink" Target="http://www.legislation.act.gov.au/sl/2012-43" TargetMode="External"/><Relationship Id="rId2248" Type="http://schemas.openxmlformats.org/officeDocument/2006/relationships/hyperlink" Target="http://www.legislation.act.gov.au/sl/2015-22" TargetMode="External"/><Relationship Id="rId122" Type="http://schemas.openxmlformats.org/officeDocument/2006/relationships/hyperlink" Target="http://www.comlaw.gov.au/Series/C2004A00818" TargetMode="External"/><Relationship Id="rId774" Type="http://schemas.openxmlformats.org/officeDocument/2006/relationships/hyperlink" Target="http://www.comlaw.gov.au/Series/C2004A00818" TargetMode="External"/><Relationship Id="rId981" Type="http://schemas.openxmlformats.org/officeDocument/2006/relationships/header" Target="header34.xml"/><Relationship Id="rId1057" Type="http://schemas.openxmlformats.org/officeDocument/2006/relationships/footer" Target="footer50.xml"/><Relationship Id="rId2010" Type="http://schemas.openxmlformats.org/officeDocument/2006/relationships/hyperlink" Target="http://www.legislation.act.gov.au/sl/2006-58" TargetMode="External"/><Relationship Id="rId2455" Type="http://schemas.openxmlformats.org/officeDocument/2006/relationships/hyperlink" Target="http://www.legislation.act.gov.au/sl/2009-56" TargetMode="External"/><Relationship Id="rId2662" Type="http://schemas.openxmlformats.org/officeDocument/2006/relationships/hyperlink" Target="http://www.legislation.act.gov.au/sl/2013-18/default.asp"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2005-58" TargetMode="External"/><Relationship Id="rId841" Type="http://schemas.openxmlformats.org/officeDocument/2006/relationships/hyperlink" Target="http://www.legislation.act.gov.au/af/2009-149/default.asp" TargetMode="External"/><Relationship Id="rId1264" Type="http://schemas.openxmlformats.org/officeDocument/2006/relationships/hyperlink" Target="http://www.legislation.act.gov.au/sl/2009-32" TargetMode="External"/><Relationship Id="rId1471" Type="http://schemas.openxmlformats.org/officeDocument/2006/relationships/hyperlink" Target="http://www.legislation.act.gov.au/sl/2012-24" TargetMode="External"/><Relationship Id="rId1569" Type="http://schemas.openxmlformats.org/officeDocument/2006/relationships/hyperlink" Target="http://www.legislation.act.gov.au/sl/2008-25" TargetMode="External"/><Relationship Id="rId2108" Type="http://schemas.openxmlformats.org/officeDocument/2006/relationships/hyperlink" Target="http://www.legislation.act.gov.au/sl/2006-58" TargetMode="External"/><Relationship Id="rId2315" Type="http://schemas.openxmlformats.org/officeDocument/2006/relationships/hyperlink" Target="http://www.legislation.act.gov.au/sl/2012-24" TargetMode="External"/><Relationship Id="rId2522" Type="http://schemas.openxmlformats.org/officeDocument/2006/relationships/hyperlink" Target="http://www.legislation.act.gov.au/sl/2009-32" TargetMode="External"/><Relationship Id="rId2967" Type="http://schemas.openxmlformats.org/officeDocument/2006/relationships/hyperlink" Target="http://www.legislation.act.gov.au/sl/2008-25" TargetMode="External"/><Relationship Id="rId701" Type="http://schemas.openxmlformats.org/officeDocument/2006/relationships/hyperlink" Target="http://www.legislation.act.gov.au/a/2016-12" TargetMode="External"/><Relationship Id="rId939" Type="http://schemas.openxmlformats.org/officeDocument/2006/relationships/hyperlink" Target="http://www.legislation.act.gov.au/a/2004-59" TargetMode="External"/><Relationship Id="rId1124" Type="http://schemas.openxmlformats.org/officeDocument/2006/relationships/hyperlink" Target="http://www.legislation.act.gov.au/af/2007-144/default.asp" TargetMode="External"/><Relationship Id="rId1331" Type="http://schemas.openxmlformats.org/officeDocument/2006/relationships/hyperlink" Target="http://www.legislation.act.gov.au/a/2008-20" TargetMode="External"/><Relationship Id="rId1776" Type="http://schemas.openxmlformats.org/officeDocument/2006/relationships/hyperlink" Target="http://www.legislation.act.gov.au/sl/2006-58" TargetMode="External"/><Relationship Id="rId1983" Type="http://schemas.openxmlformats.org/officeDocument/2006/relationships/hyperlink" Target="http://www.legislation.act.gov.au/sl/2010-51" TargetMode="External"/><Relationship Id="rId2827" Type="http://schemas.openxmlformats.org/officeDocument/2006/relationships/hyperlink" Target="http://www.legislation.act.gov.au/sl/2011-17"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sl/2014-34" TargetMode="External"/><Relationship Id="rId1636" Type="http://schemas.openxmlformats.org/officeDocument/2006/relationships/hyperlink" Target="http://www.legislation.act.gov.au/sl/2016-17" TargetMode="External"/><Relationship Id="rId1843" Type="http://schemas.openxmlformats.org/officeDocument/2006/relationships/hyperlink" Target="http://www.legislation.act.gov.au/sl/2006-58" TargetMode="External"/><Relationship Id="rId3089" Type="http://schemas.openxmlformats.org/officeDocument/2006/relationships/footer" Target="footer66.xml"/><Relationship Id="rId1703" Type="http://schemas.openxmlformats.org/officeDocument/2006/relationships/hyperlink" Target="http://www.legislation.act.gov.au/sl/2017-17/default.asp" TargetMode="External"/><Relationship Id="rId1910" Type="http://schemas.openxmlformats.org/officeDocument/2006/relationships/hyperlink" Target="http://www.legislation.act.gov.au/sl/2009-32" TargetMode="External"/><Relationship Id="rId284" Type="http://schemas.openxmlformats.org/officeDocument/2006/relationships/hyperlink" Target="http://www.legislation.act.gov.au/af/2022-2/default.asp" TargetMode="External"/><Relationship Id="rId491" Type="http://schemas.openxmlformats.org/officeDocument/2006/relationships/hyperlink" Target="http://www.legislation.act.gov.au/a/2006-25/default.asp" TargetMode="External"/><Relationship Id="rId2172" Type="http://schemas.openxmlformats.org/officeDocument/2006/relationships/hyperlink" Target="http://www.legislation.act.gov.au/sl/2012-43" TargetMode="External"/><Relationship Id="rId3016" Type="http://schemas.openxmlformats.org/officeDocument/2006/relationships/hyperlink" Target="http://www.legislation.act.gov.au/sl/2013-18/default.asp" TargetMode="External"/><Relationship Id="rId144" Type="http://schemas.openxmlformats.org/officeDocument/2006/relationships/hyperlink" Target="http://www.legislation.act.gov.au/a/2004-59" TargetMode="External"/><Relationship Id="rId589" Type="http://schemas.openxmlformats.org/officeDocument/2006/relationships/hyperlink" Target="http://www.legislation.act.gov.au/a/1992-8"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7-17/default.asp" TargetMode="External"/><Relationship Id="rId2684" Type="http://schemas.openxmlformats.org/officeDocument/2006/relationships/hyperlink" Target="http://www.legislation.act.gov.au/sl/2013-18/default.asp" TargetMode="External"/><Relationship Id="rId351" Type="http://schemas.openxmlformats.org/officeDocument/2006/relationships/hyperlink" Target="http://www.legislation.act.gov.au/a/1993-20/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1930-21" TargetMode="External"/><Relationship Id="rId863" Type="http://schemas.openxmlformats.org/officeDocument/2006/relationships/hyperlink" Target="http://www.legislation.act.gov.au/a/1991-34" TargetMode="External"/><Relationship Id="rId1079" Type="http://schemas.openxmlformats.org/officeDocument/2006/relationships/hyperlink" Target="http://www.legislation.act.gov.au/af/2007-140/default.asp" TargetMode="External"/><Relationship Id="rId1286" Type="http://schemas.openxmlformats.org/officeDocument/2006/relationships/hyperlink" Target="http://www.legislation.act.gov.au/sl/2014-4" TargetMode="External"/><Relationship Id="rId1493" Type="http://schemas.openxmlformats.org/officeDocument/2006/relationships/hyperlink" Target="http://www.legislation.act.gov.au/sl/2012-43" TargetMode="External"/><Relationship Id="rId2032" Type="http://schemas.openxmlformats.org/officeDocument/2006/relationships/hyperlink" Target="http://www.legislation.act.gov.au/sl/2015-12" TargetMode="External"/><Relationship Id="rId2337" Type="http://schemas.openxmlformats.org/officeDocument/2006/relationships/hyperlink" Target="https://legislation.act.gov.au/sl/2022-19/" TargetMode="External"/><Relationship Id="rId2544" Type="http://schemas.openxmlformats.org/officeDocument/2006/relationships/hyperlink" Target="http://www.legislation.act.gov.au/sl/2008-50" TargetMode="External"/><Relationship Id="rId2891" Type="http://schemas.openxmlformats.org/officeDocument/2006/relationships/hyperlink" Target="http://www.legislation.act.gov.au/sl/2012-24" TargetMode="External"/><Relationship Id="rId2989" Type="http://schemas.openxmlformats.org/officeDocument/2006/relationships/hyperlink" Target="http://www.legislation.act.gov.au/sl/2009-56" TargetMode="External"/><Relationship Id="rId211" Type="http://schemas.openxmlformats.org/officeDocument/2006/relationships/hyperlink" Target="http://www.legislation.act.gov.au/a/1930-21" TargetMode="External"/><Relationship Id="rId309" Type="http://schemas.openxmlformats.org/officeDocument/2006/relationships/hyperlink" Target="http://www.legislation.act.gov.au/a/1929-18/default.asp" TargetMode="External"/><Relationship Id="rId516" Type="http://schemas.openxmlformats.org/officeDocument/2006/relationships/hyperlink" Target="http://www.legislation.act.gov.au/sl/2002-20" TargetMode="External"/><Relationship Id="rId1146" Type="http://schemas.openxmlformats.org/officeDocument/2006/relationships/hyperlink" Target="http://www.comlaw.gov.au/Series/C2004A00818" TargetMode="External"/><Relationship Id="rId1798" Type="http://schemas.openxmlformats.org/officeDocument/2006/relationships/hyperlink" Target="http://www.legislation.act.gov.au/sl/2006-58" TargetMode="External"/><Relationship Id="rId2751" Type="http://schemas.openxmlformats.org/officeDocument/2006/relationships/hyperlink" Target="http://www.legislation.act.gov.au/sl/2017-17/default.asp" TargetMode="External"/><Relationship Id="rId2849" Type="http://schemas.openxmlformats.org/officeDocument/2006/relationships/hyperlink" Target="http://www.legislation.act.gov.au/sl/2012-43" TargetMode="External"/><Relationship Id="rId723" Type="http://schemas.openxmlformats.org/officeDocument/2006/relationships/hyperlink" Target="http://www.legislation.act.gov.au/a/1933-34" TargetMode="External"/><Relationship Id="rId930" Type="http://schemas.openxmlformats.org/officeDocument/2006/relationships/hyperlink" Target="http://www.comlaw.gov.au/Series/C2010A00035" TargetMode="External"/><Relationship Id="rId1006" Type="http://schemas.openxmlformats.org/officeDocument/2006/relationships/hyperlink" Target="http://www.comlaw.gov.au/Series/C2008A00024" TargetMode="External"/><Relationship Id="rId1353" Type="http://schemas.openxmlformats.org/officeDocument/2006/relationships/hyperlink" Target="http://www.legislation.act.gov.au/sl/2009-56" TargetMode="External"/><Relationship Id="rId1560" Type="http://schemas.openxmlformats.org/officeDocument/2006/relationships/hyperlink" Target="http://www.legislation.act.gov.au/sl/2011-34" TargetMode="External"/><Relationship Id="rId1658" Type="http://schemas.openxmlformats.org/officeDocument/2006/relationships/hyperlink" Target="http://www.legislation.act.gov.au/sl/2011-17" TargetMode="External"/><Relationship Id="rId1865" Type="http://schemas.openxmlformats.org/officeDocument/2006/relationships/hyperlink" Target="http://www.legislation.act.gov.au/sl/2006-58" TargetMode="External"/><Relationship Id="rId2404" Type="http://schemas.openxmlformats.org/officeDocument/2006/relationships/hyperlink" Target="http://www.legislation.act.gov.au/sl/2012-43" TargetMode="External"/><Relationship Id="rId2611" Type="http://schemas.openxmlformats.org/officeDocument/2006/relationships/hyperlink" Target="http://www.legislation.act.gov.au/sl/2011-33" TargetMode="External"/><Relationship Id="rId2709" Type="http://schemas.openxmlformats.org/officeDocument/2006/relationships/hyperlink" Target="http://www.legislation.act.gov.au/sl/2016-31" TargetMode="External"/><Relationship Id="rId1213" Type="http://schemas.openxmlformats.org/officeDocument/2006/relationships/footer" Target="footer62.xml"/><Relationship Id="rId1420" Type="http://schemas.openxmlformats.org/officeDocument/2006/relationships/hyperlink" Target="http://www.legislation.act.gov.au/sl/2014-34" TargetMode="External"/><Relationship Id="rId1518" Type="http://schemas.openxmlformats.org/officeDocument/2006/relationships/hyperlink" Target="http://www.legislation.act.gov.au/sl/2024-9/" TargetMode="External"/><Relationship Id="rId2916" Type="http://schemas.openxmlformats.org/officeDocument/2006/relationships/hyperlink" Target="http://www.legislation.act.gov.au/sl/2011-17" TargetMode="External"/><Relationship Id="rId3080" Type="http://schemas.openxmlformats.org/officeDocument/2006/relationships/hyperlink" Target="http://www.legislation.act.gov.au/sl/2023-36/" TargetMode="External"/><Relationship Id="rId1725" Type="http://schemas.openxmlformats.org/officeDocument/2006/relationships/hyperlink" Target="http://www.legislation.act.gov.au/sl/2014-9" TargetMode="External"/><Relationship Id="rId1932" Type="http://schemas.openxmlformats.org/officeDocument/2006/relationships/hyperlink" Target="http://www.legislation.act.gov.au/sl/2007-16" TargetMode="External"/><Relationship Id="rId17" Type="http://schemas.openxmlformats.org/officeDocument/2006/relationships/header" Target="header1.xml"/><Relationship Id="rId2194" Type="http://schemas.openxmlformats.org/officeDocument/2006/relationships/hyperlink" Target="http://www.legislation.act.gov.au/sl/2015-22" TargetMode="External"/><Relationship Id="rId3038" Type="http://schemas.openxmlformats.org/officeDocument/2006/relationships/hyperlink" Target="http://www.legislation.act.gov.au/a/2015-40/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93-20/default.asp" TargetMode="External"/><Relationship Id="rId580" Type="http://schemas.openxmlformats.org/officeDocument/2006/relationships/hyperlink" Target="http://www.legislation.act.gov.au/a/1930-21" TargetMode="External"/><Relationship Id="rId2054" Type="http://schemas.openxmlformats.org/officeDocument/2006/relationships/hyperlink" Target="http://www.legislation.act.gov.au/sl/2006-58" TargetMode="External"/><Relationship Id="rId2261" Type="http://schemas.openxmlformats.org/officeDocument/2006/relationships/hyperlink" Target="http://www.legislation.act.gov.au/sl/2023-36/" TargetMode="External"/><Relationship Id="rId2499" Type="http://schemas.openxmlformats.org/officeDocument/2006/relationships/hyperlink" Target="http://www.legislation.act.gov.au/sl/2009-32" TargetMode="External"/><Relationship Id="rId1" Type="http://schemas.openxmlformats.org/officeDocument/2006/relationships/customXml" Target="../customXml/item1.xml"/><Relationship Id="rId233" Type="http://schemas.openxmlformats.org/officeDocument/2006/relationships/hyperlink" Target="http://www.comlaw.gov.au/Series/C2004A02905" TargetMode="External"/><Relationship Id="rId440" Type="http://schemas.openxmlformats.org/officeDocument/2006/relationships/hyperlink" Target="http://www.legislation.act.gov.au/a/2003-8" TargetMode="External"/><Relationship Id="rId678" Type="http://schemas.openxmlformats.org/officeDocument/2006/relationships/header" Target="header14.xml"/><Relationship Id="rId885" Type="http://schemas.openxmlformats.org/officeDocument/2006/relationships/footer" Target="footer26.xml"/><Relationship Id="rId1070" Type="http://schemas.openxmlformats.org/officeDocument/2006/relationships/hyperlink" Target="http://www.comlaw.gov.au/Series/C2004A00818" TargetMode="External"/><Relationship Id="rId2121" Type="http://schemas.openxmlformats.org/officeDocument/2006/relationships/hyperlink" Target="http://www.legislation.act.gov.au/sl/2024-9/" TargetMode="External"/><Relationship Id="rId2359" Type="http://schemas.openxmlformats.org/officeDocument/2006/relationships/hyperlink" Target="http://www.legislation.act.gov.au/sl/2023-36/" TargetMode="External"/><Relationship Id="rId2566" Type="http://schemas.openxmlformats.org/officeDocument/2006/relationships/hyperlink" Target="http://www.legislation.act.gov.au/sl/2009-32" TargetMode="External"/><Relationship Id="rId2773" Type="http://schemas.openxmlformats.org/officeDocument/2006/relationships/hyperlink" Target="http://www.legislation.act.gov.au/sl/2008-25" TargetMode="External"/><Relationship Id="rId2980" Type="http://schemas.openxmlformats.org/officeDocument/2006/relationships/hyperlink" Target="http://www.legislation.act.gov.au/sl/2009-11" TargetMode="External"/><Relationship Id="rId300" Type="http://schemas.openxmlformats.org/officeDocument/2006/relationships/hyperlink" Target="http://www.legislation.act.gov.au/af/2017-172/default.asp"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04-5" TargetMode="External"/><Relationship Id="rId952" Type="http://schemas.openxmlformats.org/officeDocument/2006/relationships/footer" Target="footer29.xml"/><Relationship Id="rId1168" Type="http://schemas.openxmlformats.org/officeDocument/2006/relationships/header" Target="header47.xml"/><Relationship Id="rId1375" Type="http://schemas.openxmlformats.org/officeDocument/2006/relationships/hyperlink" Target="http://www.legislation.act.gov.au/sl/2023-15/default.asp" TargetMode="External"/><Relationship Id="rId1582" Type="http://schemas.openxmlformats.org/officeDocument/2006/relationships/hyperlink" Target="http://www.legislation.act.gov.au/sl/2007-16" TargetMode="External"/><Relationship Id="rId2219" Type="http://schemas.openxmlformats.org/officeDocument/2006/relationships/hyperlink" Target="http://www.legislation.act.gov.au/sl/2009-56" TargetMode="External"/><Relationship Id="rId2426" Type="http://schemas.openxmlformats.org/officeDocument/2006/relationships/hyperlink" Target="http://www.legislation.act.gov.au/sl/2017-10/default.asp" TargetMode="External"/><Relationship Id="rId2633" Type="http://schemas.openxmlformats.org/officeDocument/2006/relationships/hyperlink" Target="http://www.legislation.act.gov.au/sl/2016-17" TargetMode="External"/><Relationship Id="rId81" Type="http://schemas.openxmlformats.org/officeDocument/2006/relationships/hyperlink" Target="http://www.legislation.act.gov.au/a/1930-21" TargetMode="External"/><Relationship Id="rId605" Type="http://schemas.openxmlformats.org/officeDocument/2006/relationships/hyperlink" Target="http://www.legislation.act.gov.au/a/1900-40" TargetMode="External"/><Relationship Id="rId812" Type="http://schemas.openxmlformats.org/officeDocument/2006/relationships/hyperlink" Target="http://www.legislation.act.gov.au/a/2001-58"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a/2004-59" TargetMode="External"/><Relationship Id="rId1442" Type="http://schemas.openxmlformats.org/officeDocument/2006/relationships/hyperlink" Target="http://www.legislation.act.gov.au/sl/2017-17/default.asp" TargetMode="External"/><Relationship Id="rId1887" Type="http://schemas.openxmlformats.org/officeDocument/2006/relationships/hyperlink" Target="http://www.legislation.act.gov.au/sl/2006-58" TargetMode="External"/><Relationship Id="rId2840" Type="http://schemas.openxmlformats.org/officeDocument/2006/relationships/hyperlink" Target="http://www.legislation.act.gov.au/sl/2006-58" TargetMode="External"/><Relationship Id="rId2938" Type="http://schemas.openxmlformats.org/officeDocument/2006/relationships/hyperlink" Target="http://www.legislation.act.gov.au/sl/2009-32" TargetMode="External"/><Relationship Id="rId1302" Type="http://schemas.openxmlformats.org/officeDocument/2006/relationships/hyperlink" Target="http://www.legislation.act.gov.au/sl/2017-17/default.asp" TargetMode="External"/><Relationship Id="rId1747" Type="http://schemas.openxmlformats.org/officeDocument/2006/relationships/hyperlink" Target="http://www.legislation.act.gov.au/sl/2014-9" TargetMode="External"/><Relationship Id="rId1954" Type="http://schemas.openxmlformats.org/officeDocument/2006/relationships/hyperlink" Target="http://www.legislation.act.gov.au/sl/2006-58" TargetMode="External"/><Relationship Id="rId2700" Type="http://schemas.openxmlformats.org/officeDocument/2006/relationships/hyperlink" Target="http://www.legislation.act.gov.au/sl/2020-45/" TargetMode="External"/><Relationship Id="rId39" Type="http://schemas.openxmlformats.org/officeDocument/2006/relationships/hyperlink" Target="http://www.legislation.act.gov.au/af/2006-246/default.asp" TargetMode="External"/><Relationship Id="rId1607" Type="http://schemas.openxmlformats.org/officeDocument/2006/relationships/hyperlink" Target="http://www.legislation.act.gov.au/a/2007-3" TargetMode="External"/><Relationship Id="rId1814" Type="http://schemas.openxmlformats.org/officeDocument/2006/relationships/hyperlink" Target="http://www.legislation.act.gov.au/sl/2009-32" TargetMode="External"/><Relationship Id="rId188" Type="http://schemas.openxmlformats.org/officeDocument/2006/relationships/hyperlink" Target="http://www.comlaw.gov.au/Series/C2004A04463"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18-25/default.asp" TargetMode="External"/><Relationship Id="rId2283" Type="http://schemas.openxmlformats.org/officeDocument/2006/relationships/hyperlink" Target="http://www.legislation.act.gov.au/sl/2016-33" TargetMode="External"/><Relationship Id="rId2490" Type="http://schemas.openxmlformats.org/officeDocument/2006/relationships/hyperlink" Target="http://www.legislation.act.gov.au/sl/2011-33" TargetMode="External"/><Relationship Id="rId2588" Type="http://schemas.openxmlformats.org/officeDocument/2006/relationships/hyperlink" Target="http://www.legislation.act.gov.au/sl/2011-34" TargetMode="External"/><Relationship Id="rId255" Type="http://schemas.openxmlformats.org/officeDocument/2006/relationships/hyperlink" Target="https://legislation.act.gov.au/af/2006-319/" TargetMode="External"/><Relationship Id="rId462" Type="http://schemas.openxmlformats.org/officeDocument/2006/relationships/hyperlink" Target="http://www.legislation.act.gov.au/a/alt_a1989-33co/default.asp" TargetMode="External"/><Relationship Id="rId1092" Type="http://schemas.openxmlformats.org/officeDocument/2006/relationships/hyperlink" Target="http://www.legislation.act.gov.au/af/2007-143/default.asp" TargetMode="External"/><Relationship Id="rId1397" Type="http://schemas.openxmlformats.org/officeDocument/2006/relationships/hyperlink" Target="http://www.legislation.act.gov.au/sl/2011-34" TargetMode="External"/><Relationship Id="rId2143" Type="http://schemas.openxmlformats.org/officeDocument/2006/relationships/hyperlink" Target="http://www.legislation.act.gov.au/sl/2015-22" TargetMode="External"/><Relationship Id="rId2350" Type="http://schemas.openxmlformats.org/officeDocument/2006/relationships/hyperlink" Target="http://www.legislation.act.gov.au/sl/2023-36/" TargetMode="External"/><Relationship Id="rId2795" Type="http://schemas.openxmlformats.org/officeDocument/2006/relationships/hyperlink" Target="http://www.legislation.act.gov.au/sl/2017-17/default.asp" TargetMode="External"/><Relationship Id="rId115" Type="http://schemas.openxmlformats.org/officeDocument/2006/relationships/hyperlink" Target="http://www.legislation.act.gov.au/a/1999-77"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04-59" TargetMode="External"/><Relationship Id="rId974" Type="http://schemas.openxmlformats.org/officeDocument/2006/relationships/footer" Target="footer40.xml"/><Relationship Id="rId2003" Type="http://schemas.openxmlformats.org/officeDocument/2006/relationships/hyperlink" Target="http://www.legislation.act.gov.au/sl/2006-58" TargetMode="External"/><Relationship Id="rId2210" Type="http://schemas.openxmlformats.org/officeDocument/2006/relationships/hyperlink" Target="http://www.legislation.act.gov.au/sl/2024-9/" TargetMode="External"/><Relationship Id="rId2448" Type="http://schemas.openxmlformats.org/officeDocument/2006/relationships/hyperlink" Target="http://www.legislation.act.gov.au/sl/2011-34" TargetMode="External"/><Relationship Id="rId2655" Type="http://schemas.openxmlformats.org/officeDocument/2006/relationships/hyperlink" Target="http://www.legislation.act.gov.au/sl/2013-18/default.asp" TargetMode="External"/><Relationship Id="rId2862" Type="http://schemas.openxmlformats.org/officeDocument/2006/relationships/hyperlink" Target="http://www.legislation.act.gov.au/sl/2017-17/default.asp" TargetMode="External"/><Relationship Id="rId627" Type="http://schemas.openxmlformats.org/officeDocument/2006/relationships/hyperlink" Target="http://www.legislation.act.gov.au/a/2000-61/default.asp" TargetMode="External"/><Relationship Id="rId834" Type="http://schemas.openxmlformats.org/officeDocument/2006/relationships/hyperlink" Target="http://www.legislation.act.gov.au/a/1993-60" TargetMode="External"/><Relationship Id="rId1257" Type="http://schemas.openxmlformats.org/officeDocument/2006/relationships/hyperlink" Target="http://www.legislation.act.gov.au/cn/2008-13/default.asp" TargetMode="External"/><Relationship Id="rId1464" Type="http://schemas.openxmlformats.org/officeDocument/2006/relationships/hyperlink" Target="http://www.legislation.act.gov.au/sl/2012-24" TargetMode="External"/><Relationship Id="rId1671" Type="http://schemas.openxmlformats.org/officeDocument/2006/relationships/hyperlink" Target="http://www.legislation.act.gov.au/sl/2010-24" TargetMode="External"/><Relationship Id="rId2308" Type="http://schemas.openxmlformats.org/officeDocument/2006/relationships/hyperlink" Target="http://www.legislation.act.gov.au/sl/2023-36/" TargetMode="External"/><Relationship Id="rId2515" Type="http://schemas.openxmlformats.org/officeDocument/2006/relationships/hyperlink" Target="http://www.legislation.act.gov.au/sl/2009-32" TargetMode="External"/><Relationship Id="rId2722" Type="http://schemas.openxmlformats.org/officeDocument/2006/relationships/hyperlink" Target="http://www.legislation.act.gov.au/sl/2024-37/" TargetMode="External"/><Relationship Id="rId901" Type="http://schemas.openxmlformats.org/officeDocument/2006/relationships/hyperlink" Target="http://www.comlaw.gov.au/Series/C2010A00035" TargetMode="External"/><Relationship Id="rId1117" Type="http://schemas.openxmlformats.org/officeDocument/2006/relationships/hyperlink" Target="http://www.legislation.act.gov.au/af/2007-144/default.asp" TargetMode="External"/><Relationship Id="rId1324" Type="http://schemas.openxmlformats.org/officeDocument/2006/relationships/hyperlink" Target="http://www.legislation.act.gov.au/sl/2011-17" TargetMode="External"/><Relationship Id="rId1531" Type="http://schemas.openxmlformats.org/officeDocument/2006/relationships/hyperlink" Target="http://www.legislation.act.gov.au/sl/2017-17/default.asp" TargetMode="External"/><Relationship Id="rId1769" Type="http://schemas.openxmlformats.org/officeDocument/2006/relationships/hyperlink" Target="http://www.legislation.act.gov.au/sl/2011-17" TargetMode="External"/><Relationship Id="rId1976" Type="http://schemas.openxmlformats.org/officeDocument/2006/relationships/hyperlink" Target="http://www.legislation.act.gov.au/sl/2006-5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16-17" TargetMode="External"/><Relationship Id="rId1836" Type="http://schemas.openxmlformats.org/officeDocument/2006/relationships/hyperlink" Target="http://www.legislation.act.gov.au/sl/2009-32" TargetMode="External"/><Relationship Id="rId1903" Type="http://schemas.openxmlformats.org/officeDocument/2006/relationships/hyperlink" Target="http://www.legislation.act.gov.au/sl/2006-58" TargetMode="External"/><Relationship Id="rId2098" Type="http://schemas.openxmlformats.org/officeDocument/2006/relationships/hyperlink" Target="http://www.legislation.act.gov.au/sl/2006-58" TargetMode="External"/><Relationship Id="rId3051" Type="http://schemas.openxmlformats.org/officeDocument/2006/relationships/hyperlink" Target="http://www.legislation.act.gov.au/sl/2017-40/default.asp" TargetMode="External"/><Relationship Id="rId277" Type="http://schemas.openxmlformats.org/officeDocument/2006/relationships/hyperlink" Target="http://www.legislation.act.gov.au/a/1929-18/default.asp" TargetMode="External"/><Relationship Id="rId484" Type="http://schemas.openxmlformats.org/officeDocument/2006/relationships/hyperlink" Target="http://www.legislation.act.gov.au/a/2006-25" TargetMode="External"/><Relationship Id="rId2165" Type="http://schemas.openxmlformats.org/officeDocument/2006/relationships/hyperlink" Target="http://www.legislation.act.gov.au/sl/2012-43" TargetMode="External"/><Relationship Id="rId3009" Type="http://schemas.openxmlformats.org/officeDocument/2006/relationships/hyperlink" Target="http://www.legislation.act.gov.au/sl/2011-34" TargetMode="External"/><Relationship Id="rId137" Type="http://schemas.openxmlformats.org/officeDocument/2006/relationships/hyperlink" Target="http://www.legislation.act.gov.au/a/2002-40" TargetMode="External"/><Relationship Id="rId344" Type="http://schemas.openxmlformats.org/officeDocument/2006/relationships/hyperlink" Target="http://www.legislation.act.gov.au/a/1993-20/default.asp" TargetMode="External"/><Relationship Id="rId691" Type="http://schemas.openxmlformats.org/officeDocument/2006/relationships/hyperlink" Target="http://www.legislation.act.gov.au/a/1933-34" TargetMode="External"/><Relationship Id="rId789" Type="http://schemas.openxmlformats.org/officeDocument/2006/relationships/hyperlink" Target="http://www.legislation.act.gov.au/a/2016-42" TargetMode="External"/><Relationship Id="rId996" Type="http://schemas.openxmlformats.org/officeDocument/2006/relationships/hyperlink" Target="http://www.comlaw.gov.au/Series/C2004A00819" TargetMode="External"/><Relationship Id="rId2025" Type="http://schemas.openxmlformats.org/officeDocument/2006/relationships/hyperlink" Target="http://www.legislation.act.gov.au/sl/2015-12" TargetMode="External"/><Relationship Id="rId2372" Type="http://schemas.openxmlformats.org/officeDocument/2006/relationships/hyperlink" Target="http://www.legislation.act.gov.au/sl/2008-50" TargetMode="External"/><Relationship Id="rId2677" Type="http://schemas.openxmlformats.org/officeDocument/2006/relationships/hyperlink" Target="http://www.legislation.act.gov.au/sl/2011-34" TargetMode="External"/><Relationship Id="rId2884" Type="http://schemas.openxmlformats.org/officeDocument/2006/relationships/hyperlink" Target="http://www.legislation.act.gov.au/sl/2023-36/" TargetMode="External"/><Relationship Id="rId551" Type="http://schemas.openxmlformats.org/officeDocument/2006/relationships/hyperlink" Target="https://www.legislation.act.gov.au/af/2024-27/" TargetMode="External"/><Relationship Id="rId649" Type="http://schemas.openxmlformats.org/officeDocument/2006/relationships/hyperlink" Target="http://www.legislation.act.gov.au/a/2006-25" TargetMode="External"/><Relationship Id="rId856" Type="http://schemas.openxmlformats.org/officeDocument/2006/relationships/hyperlink" Target="https://www.legislation.act.gov.au/af/2007-72/" TargetMode="External"/><Relationship Id="rId1181" Type="http://schemas.openxmlformats.org/officeDocument/2006/relationships/hyperlink" Target="http://www.comlaw.gov.au/Series/C2008A00024" TargetMode="External"/><Relationship Id="rId1279" Type="http://schemas.openxmlformats.org/officeDocument/2006/relationships/hyperlink" Target="http://www.legislation.act.gov.au/a/2011-12" TargetMode="External"/><Relationship Id="rId1486" Type="http://schemas.openxmlformats.org/officeDocument/2006/relationships/hyperlink" Target="http://www.legislation.act.gov.au/sl/2015-22" TargetMode="External"/><Relationship Id="rId2232" Type="http://schemas.openxmlformats.org/officeDocument/2006/relationships/hyperlink" Target="http://www.legislation.act.gov.au/sl/2009-56" TargetMode="External"/><Relationship Id="rId2537" Type="http://schemas.openxmlformats.org/officeDocument/2006/relationships/hyperlink" Target="http://www.legislation.act.gov.au/sl/2009-56" TargetMode="External"/><Relationship Id="rId204" Type="http://schemas.openxmlformats.org/officeDocument/2006/relationships/hyperlink" Target="http://www.legislation.act.gov.au/af/2018-42/default.asp" TargetMode="Externa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hyperlink" Target="http://www.comlaw.gov.au/Series/C2004A00818" TargetMode="External"/><Relationship Id="rId1139" Type="http://schemas.openxmlformats.org/officeDocument/2006/relationships/hyperlink" Target="http://www.comlaw.gov.au/Series/C2004A00818" TargetMode="External"/><Relationship Id="rId1346" Type="http://schemas.openxmlformats.org/officeDocument/2006/relationships/hyperlink" Target="http://www.legislation.act.gov.au/sl/2009-56" TargetMode="External"/><Relationship Id="rId1693" Type="http://schemas.openxmlformats.org/officeDocument/2006/relationships/hyperlink" Target="http://www.legislation.act.gov.au/sl/2014-34" TargetMode="External"/><Relationship Id="rId1998" Type="http://schemas.openxmlformats.org/officeDocument/2006/relationships/hyperlink" Target="http://www.legislation.act.gov.au/sl/2006-58" TargetMode="External"/><Relationship Id="rId2744" Type="http://schemas.openxmlformats.org/officeDocument/2006/relationships/hyperlink" Target="http://www.legislation.act.gov.au/sl/2008-25" TargetMode="External"/><Relationship Id="rId2951" Type="http://schemas.openxmlformats.org/officeDocument/2006/relationships/hyperlink" Target="http://www.legislation.act.gov.au/sl/2012-24" TargetMode="External"/><Relationship Id="rId716" Type="http://schemas.openxmlformats.org/officeDocument/2006/relationships/hyperlink" Target="http://www.legislation.act.gov.au/a/1930-21" TargetMode="External"/><Relationship Id="rId923" Type="http://schemas.openxmlformats.org/officeDocument/2006/relationships/hyperlink" Target="http://www.comlaw.gov.au/Series/C2010A00035" TargetMode="External"/><Relationship Id="rId1553" Type="http://schemas.openxmlformats.org/officeDocument/2006/relationships/hyperlink" Target="http://www.legislation.act.gov.au/sl/2008-25" TargetMode="External"/><Relationship Id="rId1760" Type="http://schemas.openxmlformats.org/officeDocument/2006/relationships/hyperlink" Target="http://www.legislation.act.gov.au/sl/2006-43" TargetMode="External"/><Relationship Id="rId1858" Type="http://schemas.openxmlformats.org/officeDocument/2006/relationships/hyperlink" Target="http://www.legislation.act.gov.au/sl/2009-32" TargetMode="External"/><Relationship Id="rId2604" Type="http://schemas.openxmlformats.org/officeDocument/2006/relationships/hyperlink" Target="http://www.legislation.act.gov.au/sl/2011-33" TargetMode="External"/><Relationship Id="rId2811" Type="http://schemas.openxmlformats.org/officeDocument/2006/relationships/hyperlink" Target="http://www.legislation.act.gov.au/sl/2017-17/default.asp" TargetMode="External"/><Relationship Id="rId52" Type="http://schemas.openxmlformats.org/officeDocument/2006/relationships/hyperlink" Target="http://www.legislation.act.gov.au/af/2008-3/default.asp" TargetMode="External"/><Relationship Id="rId1206" Type="http://schemas.openxmlformats.org/officeDocument/2006/relationships/header" Target="header50.xml"/><Relationship Id="rId1413" Type="http://schemas.openxmlformats.org/officeDocument/2006/relationships/hyperlink" Target="http://www.legislation.act.gov.au/sl/2017-17/default.asp" TargetMode="External"/><Relationship Id="rId1620" Type="http://schemas.openxmlformats.org/officeDocument/2006/relationships/hyperlink" Target="http://www.legislation.act.gov.au/sl/2014-34" TargetMode="External"/><Relationship Id="rId2909" Type="http://schemas.openxmlformats.org/officeDocument/2006/relationships/hyperlink" Target="http://www.legislation.act.gov.au/sl/2006-58" TargetMode="External"/><Relationship Id="rId3073" Type="http://schemas.openxmlformats.org/officeDocument/2006/relationships/hyperlink" Target="http://www.legislation.act.gov.au/sl/2022-2/" TargetMode="External"/><Relationship Id="rId1718" Type="http://schemas.openxmlformats.org/officeDocument/2006/relationships/hyperlink" Target="http://www.legislation.act.gov.au/sl/2014-9" TargetMode="External"/><Relationship Id="rId1925" Type="http://schemas.openxmlformats.org/officeDocument/2006/relationships/hyperlink" Target="http://www.legislation.act.gov.au/sl/2006-58" TargetMode="External"/><Relationship Id="rId299" Type="http://schemas.openxmlformats.org/officeDocument/2006/relationships/hyperlink" Target="http://www.legislation.act.gov.au/a/1929-18/default.asp" TargetMode="External"/><Relationship Id="rId2187" Type="http://schemas.openxmlformats.org/officeDocument/2006/relationships/hyperlink" Target="http://www.legislation.act.gov.au/sl/2015-22" TargetMode="External"/><Relationship Id="rId2394" Type="http://schemas.openxmlformats.org/officeDocument/2006/relationships/hyperlink" Target="http://www.legislation.act.gov.au/sl/2020-6/default.asp"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f/2024-40/default.asp" TargetMode="External"/><Relationship Id="rId780" Type="http://schemas.openxmlformats.org/officeDocument/2006/relationships/hyperlink" Target="http://www.comlaw.gov.au/Series/C2004A04463" TargetMode="External"/><Relationship Id="rId2047" Type="http://schemas.openxmlformats.org/officeDocument/2006/relationships/hyperlink" Target="http://www.legislation.act.gov.au/sl/2006-58" TargetMode="External"/><Relationship Id="rId2254" Type="http://schemas.openxmlformats.org/officeDocument/2006/relationships/hyperlink" Target="http://www.legislation.act.gov.au/sl/2006-58" TargetMode="External"/><Relationship Id="rId2461" Type="http://schemas.openxmlformats.org/officeDocument/2006/relationships/hyperlink" Target="http://www.legislation.act.gov.au/sl/2009-56" TargetMode="External"/><Relationship Id="rId2699" Type="http://schemas.openxmlformats.org/officeDocument/2006/relationships/hyperlink" Target="https://www.legislation.act.gov.au/sl/2020-20/" TargetMode="External"/><Relationship Id="rId3000" Type="http://schemas.openxmlformats.org/officeDocument/2006/relationships/hyperlink" Target="http://www.legislation.act.gov.au/sl/2011-17" TargetMode="External"/><Relationship Id="rId226" Type="http://schemas.openxmlformats.org/officeDocument/2006/relationships/header" Target="header12.xml"/><Relationship Id="rId433" Type="http://schemas.openxmlformats.org/officeDocument/2006/relationships/hyperlink" Target="http://www.comlaw.gov.au/Series/C2004A03494" TargetMode="External"/><Relationship Id="rId878" Type="http://schemas.openxmlformats.org/officeDocument/2006/relationships/hyperlink" Target="http://www.legislation.act.gov.au/a/2011-12/default.asp" TargetMode="External"/><Relationship Id="rId1063" Type="http://schemas.openxmlformats.org/officeDocument/2006/relationships/hyperlink" Target="http://www.comlaw.gov.au/Series/C2004A00818" TargetMode="External"/><Relationship Id="rId1270" Type="http://schemas.openxmlformats.org/officeDocument/2006/relationships/hyperlink" Target="http://www.legislation.act.gov.au/sl/2010-51" TargetMode="External"/><Relationship Id="rId2114" Type="http://schemas.openxmlformats.org/officeDocument/2006/relationships/hyperlink" Target="http://www.legislation.act.gov.au/sl/2006-58" TargetMode="External"/><Relationship Id="rId2559" Type="http://schemas.openxmlformats.org/officeDocument/2006/relationships/hyperlink" Target="http://www.legislation.act.gov.au/sl/2020-45/" TargetMode="External"/><Relationship Id="rId2766" Type="http://schemas.openxmlformats.org/officeDocument/2006/relationships/hyperlink" Target="http://www.legislation.act.gov.au/sl/2008-25" TargetMode="External"/><Relationship Id="rId2973" Type="http://schemas.openxmlformats.org/officeDocument/2006/relationships/hyperlink" Target="http://www.legislation.act.gov.au/sl/2008-44" TargetMode="External"/><Relationship Id="rId640" Type="http://schemas.openxmlformats.org/officeDocument/2006/relationships/hyperlink" Target="http://www.legislation.act.gov.au/a/1930-21" TargetMode="External"/><Relationship Id="rId738" Type="http://schemas.openxmlformats.org/officeDocument/2006/relationships/hyperlink" Target="http://www.legislation.act.gov.au/a/2004-5" TargetMode="External"/><Relationship Id="rId945" Type="http://schemas.openxmlformats.org/officeDocument/2006/relationships/hyperlink" Target="http://www.legislation.act.gov.au/sl/1998-15" TargetMode="External"/><Relationship Id="rId1368" Type="http://schemas.openxmlformats.org/officeDocument/2006/relationships/hyperlink" Target="http://www.legislation.act.gov.au/sl/2009-56" TargetMode="External"/><Relationship Id="rId1575" Type="http://schemas.openxmlformats.org/officeDocument/2006/relationships/hyperlink" Target="http://www.legislation.act.gov.au/sl/2008-25" TargetMode="External"/><Relationship Id="rId1782" Type="http://schemas.openxmlformats.org/officeDocument/2006/relationships/hyperlink" Target="http://www.legislation.act.gov.au/sl/2006-58" TargetMode="External"/><Relationship Id="rId2321" Type="http://schemas.openxmlformats.org/officeDocument/2006/relationships/hyperlink" Target="http://www.legislation.act.gov.au/sl/2023-15/default.asp" TargetMode="External"/><Relationship Id="rId2419" Type="http://schemas.openxmlformats.org/officeDocument/2006/relationships/hyperlink" Target="http://www.legislation.act.gov.au/sl/2024-9/" TargetMode="External"/><Relationship Id="rId2626" Type="http://schemas.openxmlformats.org/officeDocument/2006/relationships/hyperlink" Target="http://www.legislation.act.gov.au/sl/2019-11/default.asp" TargetMode="External"/><Relationship Id="rId2833" Type="http://schemas.openxmlformats.org/officeDocument/2006/relationships/hyperlink" Target="http://www.legislation.act.gov.au/sl/2014-9"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16-43" TargetMode="External"/><Relationship Id="rId805" Type="http://schemas.openxmlformats.org/officeDocument/2006/relationships/hyperlink" Target="http://www.comlaw.gov.au/Series/C2004A04463" TargetMode="External"/><Relationship Id="rId1130" Type="http://schemas.openxmlformats.org/officeDocument/2006/relationships/hyperlink" Target="http://www.comlaw.gov.au/Series/C2004A00818" TargetMode="External"/><Relationship Id="rId1228" Type="http://schemas.openxmlformats.org/officeDocument/2006/relationships/hyperlink" Target="http://www.legislation.act.gov.au/a/1951-2/default.asp" TargetMode="External"/><Relationship Id="rId1435" Type="http://schemas.openxmlformats.org/officeDocument/2006/relationships/hyperlink" Target="http://www.legislation.act.gov.au/sl/2014-34" TargetMode="External"/><Relationship Id="rId1642" Type="http://schemas.openxmlformats.org/officeDocument/2006/relationships/hyperlink" Target="http://www.legislation.act.gov.au/sl/2016-17" TargetMode="External"/><Relationship Id="rId1947" Type="http://schemas.openxmlformats.org/officeDocument/2006/relationships/hyperlink" Target="http://www.legislation.act.gov.au/sl/2006-58" TargetMode="External"/><Relationship Id="rId2900" Type="http://schemas.openxmlformats.org/officeDocument/2006/relationships/hyperlink" Target="http://www.legislation.act.gov.au/sl/2017-17/default.asp" TargetMode="External"/><Relationship Id="rId3095" Type="http://schemas.openxmlformats.org/officeDocument/2006/relationships/footer" Target="footer69.xml"/><Relationship Id="rId1502" Type="http://schemas.openxmlformats.org/officeDocument/2006/relationships/hyperlink" Target="http://www.legislation.act.gov.au/sl/2015-22" TargetMode="External"/><Relationship Id="rId1807" Type="http://schemas.openxmlformats.org/officeDocument/2006/relationships/hyperlink" Target="http://www.legislation.act.gov.au/sl/2006-58" TargetMode="External"/><Relationship Id="rId290" Type="http://schemas.openxmlformats.org/officeDocument/2006/relationships/hyperlink" Target="http://www.comlaw.gov.au/Series/C2004A00275" TargetMode="External"/><Relationship Id="rId388" Type="http://schemas.openxmlformats.org/officeDocument/2006/relationships/hyperlink" Target="http://www.legislation.act.gov.au/a/2017-7/default.asp" TargetMode="External"/><Relationship Id="rId2069" Type="http://schemas.openxmlformats.org/officeDocument/2006/relationships/hyperlink" Target="http://www.legislation.act.gov.au/sl/2024-9/" TargetMode="External"/><Relationship Id="rId3022" Type="http://schemas.openxmlformats.org/officeDocument/2006/relationships/hyperlink" Target="http://www.legislation.act.gov.au/sl/2014-4/default.asp" TargetMode="External"/><Relationship Id="rId150" Type="http://schemas.openxmlformats.org/officeDocument/2006/relationships/hyperlink" Target="http://www.comlaw.gov.au/Series/C2004A04121" TargetMode="External"/><Relationship Id="rId595" Type="http://schemas.openxmlformats.org/officeDocument/2006/relationships/hyperlink" Target="http://www.legislation.act.gov.au/a/1992-8" TargetMode="External"/><Relationship Id="rId2276" Type="http://schemas.openxmlformats.org/officeDocument/2006/relationships/hyperlink" Target="http://www.legislation.act.gov.au/sl/2016-33" TargetMode="External"/><Relationship Id="rId2483" Type="http://schemas.openxmlformats.org/officeDocument/2006/relationships/hyperlink" Target="http://www.legislation.act.gov.au/sl/2009-11" TargetMode="External"/><Relationship Id="rId2690" Type="http://schemas.openxmlformats.org/officeDocument/2006/relationships/hyperlink" Target="http://www.legislation.act.gov.au/sl/2013-18/default.asp" TargetMode="External"/><Relationship Id="rId248" Type="http://schemas.openxmlformats.org/officeDocument/2006/relationships/hyperlink" Target="http://www.legislation.act.gov.au/af/2006-320/default.asp" TargetMode="External"/><Relationship Id="rId455" Type="http://schemas.openxmlformats.org/officeDocument/2006/relationships/hyperlink" Target="http://www.legislation.act.gov.au/af/2006-371/default.asp" TargetMode="External"/><Relationship Id="rId662" Type="http://schemas.openxmlformats.org/officeDocument/2006/relationships/hyperlink" Target="http://www.legislation.act.gov.au/a/2001-14"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a/2015-52/default.asp" TargetMode="External"/><Relationship Id="rId2136" Type="http://schemas.openxmlformats.org/officeDocument/2006/relationships/hyperlink" Target="http://www.legislation.act.gov.au/sl/2011-6" TargetMode="External"/><Relationship Id="rId2343" Type="http://schemas.openxmlformats.org/officeDocument/2006/relationships/hyperlink" Target="http://www.legislation.act.gov.au/sl/2012-24" TargetMode="External"/><Relationship Id="rId2550" Type="http://schemas.openxmlformats.org/officeDocument/2006/relationships/hyperlink" Target="http://www.legislation.act.gov.au/sl/2008-25" TargetMode="External"/><Relationship Id="rId2788" Type="http://schemas.openxmlformats.org/officeDocument/2006/relationships/hyperlink" Target="http://www.legislation.act.gov.au/sl/2017-17/default.asp" TargetMode="External"/><Relationship Id="rId2995" Type="http://schemas.openxmlformats.org/officeDocument/2006/relationships/hyperlink" Target="http://www.legislation.act.gov.au/sl/2010-51" TargetMode="External"/><Relationship Id="rId108" Type="http://schemas.openxmlformats.org/officeDocument/2006/relationships/hyperlink" Target="http://www.legislation.act.gov.au/af/2006-268/default.asp"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f/2008-153/default.asp" TargetMode="External"/><Relationship Id="rId967" Type="http://schemas.openxmlformats.org/officeDocument/2006/relationships/header" Target="header28.xml"/><Relationship Id="rId1152" Type="http://schemas.openxmlformats.org/officeDocument/2006/relationships/hyperlink" Target="http://www.legislation.act.gov.au/af/2008-69/default.asp" TargetMode="External"/><Relationship Id="rId1597" Type="http://schemas.openxmlformats.org/officeDocument/2006/relationships/hyperlink" Target="http://www.legislation.act.gov.au/sl/2006-58" TargetMode="External"/><Relationship Id="rId2203" Type="http://schemas.openxmlformats.org/officeDocument/2006/relationships/hyperlink" Target="http://www.legislation.act.gov.au/sl/2009-32" TargetMode="External"/><Relationship Id="rId2410" Type="http://schemas.openxmlformats.org/officeDocument/2006/relationships/hyperlink" Target="http://www.legislation.act.gov.au/sl/2016-17" TargetMode="External"/><Relationship Id="rId2648" Type="http://schemas.openxmlformats.org/officeDocument/2006/relationships/hyperlink" Target="http://www.legislation.act.gov.au/sl/2013-18/default.asp" TargetMode="External"/><Relationship Id="rId2855" Type="http://schemas.openxmlformats.org/officeDocument/2006/relationships/hyperlink" Target="http://www.legislation.act.gov.au/sl/2012-43" TargetMode="External"/><Relationship Id="rId96" Type="http://schemas.openxmlformats.org/officeDocument/2006/relationships/hyperlink" Target="http://www.legislation.act.gov.au/af/2006-267/default.asp" TargetMode="External"/><Relationship Id="rId827" Type="http://schemas.openxmlformats.org/officeDocument/2006/relationships/hyperlink" Target="http://www.legislation.act.gov.au/a/2001-14" TargetMode="External"/><Relationship Id="rId1012" Type="http://schemas.openxmlformats.org/officeDocument/2006/relationships/hyperlink" Target="http://www.comlaw.gov.au/Series/C2004A00819" TargetMode="External"/><Relationship Id="rId1457" Type="http://schemas.openxmlformats.org/officeDocument/2006/relationships/hyperlink" Target="http://www.legislation.act.gov.au/sl/2012-43" TargetMode="External"/><Relationship Id="rId1664" Type="http://schemas.openxmlformats.org/officeDocument/2006/relationships/hyperlink" Target="http://www.legislation.act.gov.au/sl/2010-24" TargetMode="External"/><Relationship Id="rId1871" Type="http://schemas.openxmlformats.org/officeDocument/2006/relationships/hyperlink" Target="http://www.legislation.act.gov.au/sl/2006-58" TargetMode="External"/><Relationship Id="rId2508" Type="http://schemas.openxmlformats.org/officeDocument/2006/relationships/hyperlink" Target="http://www.legislation.act.gov.au/sl/2009-32" TargetMode="External"/><Relationship Id="rId2715" Type="http://schemas.openxmlformats.org/officeDocument/2006/relationships/hyperlink" Target="http://www.legislation.act.gov.au/sl/2007-16" TargetMode="External"/><Relationship Id="rId2922" Type="http://schemas.openxmlformats.org/officeDocument/2006/relationships/hyperlink" Target="http://www.legislation.act.gov.au/sl/2011-17" TargetMode="External"/><Relationship Id="rId1317" Type="http://schemas.openxmlformats.org/officeDocument/2006/relationships/hyperlink" Target="http://www.legislation.act.gov.au/sl/2022-6/default.asp" TargetMode="External"/><Relationship Id="rId1524" Type="http://schemas.openxmlformats.org/officeDocument/2006/relationships/hyperlink" Target="http://www.legislation.act.gov.au/sl/2007-16" TargetMode="External"/><Relationship Id="rId1731" Type="http://schemas.openxmlformats.org/officeDocument/2006/relationships/hyperlink" Target="http://www.legislation.act.gov.au/sl/2014-9"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6-58" TargetMode="External"/><Relationship Id="rId2298" Type="http://schemas.openxmlformats.org/officeDocument/2006/relationships/hyperlink" Target="http://www.legislation.act.gov.au/sl/2009-32" TargetMode="External"/><Relationship Id="rId3044" Type="http://schemas.openxmlformats.org/officeDocument/2006/relationships/hyperlink" Target="http://www.legislation.act.gov.au/sl/2016-33/default.asp" TargetMode="External"/><Relationship Id="rId172" Type="http://schemas.openxmlformats.org/officeDocument/2006/relationships/hyperlink" Target="http://www.legislation.act.gov.au/af/2024-23/default.asp"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legislation.act.gov.au/a/2001-14" TargetMode="External"/><Relationship Id="rId2060" Type="http://schemas.openxmlformats.org/officeDocument/2006/relationships/hyperlink" Target="http://www.legislation.act.gov.au/sl/2006-58" TargetMode="External"/><Relationship Id="rId2158" Type="http://schemas.openxmlformats.org/officeDocument/2006/relationships/hyperlink" Target="http://www.legislation.act.gov.au/sl/2013-18/default.asp" TargetMode="External"/><Relationship Id="rId2365" Type="http://schemas.openxmlformats.org/officeDocument/2006/relationships/hyperlink" Target="http://www.legislation.act.gov.au/sl/2018-25/default.asp" TargetMode="External"/><Relationship Id="rId337" Type="http://schemas.openxmlformats.org/officeDocument/2006/relationships/hyperlink" Target="http://www.legislation.act.gov.au/a/1993-20/default.asp" TargetMode="External"/><Relationship Id="rId891" Type="http://schemas.openxmlformats.org/officeDocument/2006/relationships/hyperlink" Target="http://www.comlaw.gov.au/Series/C2004A04735" TargetMode="External"/><Relationship Id="rId989" Type="http://schemas.openxmlformats.org/officeDocument/2006/relationships/hyperlink" Target="http://www.comlaw.gov.au/Series/C2004A00818" TargetMode="External"/><Relationship Id="rId2018" Type="http://schemas.openxmlformats.org/officeDocument/2006/relationships/hyperlink" Target="http://www.legislation.act.gov.au/sl/2006-58" TargetMode="External"/><Relationship Id="rId2572" Type="http://schemas.openxmlformats.org/officeDocument/2006/relationships/hyperlink" Target="http://www.legislation.act.gov.au/sl/2011-34" TargetMode="External"/><Relationship Id="rId2877" Type="http://schemas.openxmlformats.org/officeDocument/2006/relationships/hyperlink" Target="http://www.legislation.act.gov.au/sl/2009-32"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f/2024-53/default.asp" TargetMode="External"/><Relationship Id="rId849" Type="http://schemas.openxmlformats.org/officeDocument/2006/relationships/hyperlink" Target="http://www.legislation.act.gov.au/a/1986-84" TargetMode="External"/><Relationship Id="rId1174" Type="http://schemas.openxmlformats.org/officeDocument/2006/relationships/footer" Target="footer58.xml"/><Relationship Id="rId1381" Type="http://schemas.openxmlformats.org/officeDocument/2006/relationships/hyperlink" Target="http://www.legislation.act.gov.au/sl/2023-36/" TargetMode="External"/><Relationship Id="rId1479" Type="http://schemas.openxmlformats.org/officeDocument/2006/relationships/hyperlink" Target="http://www.legislation.act.gov.au/sl/2015-22" TargetMode="External"/><Relationship Id="rId1686" Type="http://schemas.openxmlformats.org/officeDocument/2006/relationships/hyperlink" Target="http://www.legislation.act.gov.au/sl/2017-17/default.asp" TargetMode="External"/><Relationship Id="rId2225" Type="http://schemas.openxmlformats.org/officeDocument/2006/relationships/hyperlink" Target="http://www.legislation.act.gov.au/sl/2009-56" TargetMode="External"/><Relationship Id="rId2432" Type="http://schemas.openxmlformats.org/officeDocument/2006/relationships/hyperlink" Target="http://www.legislation.act.gov.au/sl/2011-17" TargetMode="External"/><Relationship Id="rId404" Type="http://schemas.openxmlformats.org/officeDocument/2006/relationships/hyperlink" Target="http://www.legislation.act.gov.au/a/1993-60/default.asp" TargetMode="External"/><Relationship Id="rId611" Type="http://schemas.openxmlformats.org/officeDocument/2006/relationships/hyperlink" Target="http://www.legislation.act.gov.au/a/2000-61/default.asp" TargetMode="External"/><Relationship Id="rId1034" Type="http://schemas.openxmlformats.org/officeDocument/2006/relationships/hyperlink" Target="http://www.comlaw.gov.au/Series/C2004A00818" TargetMode="External"/><Relationship Id="rId1241" Type="http://schemas.openxmlformats.org/officeDocument/2006/relationships/footer" Target="footer64.xml"/><Relationship Id="rId1339" Type="http://schemas.openxmlformats.org/officeDocument/2006/relationships/hyperlink" Target="http://www.legislation.act.gov.au/sl/2023-36/" TargetMode="External"/><Relationship Id="rId1893" Type="http://schemas.openxmlformats.org/officeDocument/2006/relationships/hyperlink" Target="http://www.legislation.act.gov.au/sl/2006-58" TargetMode="External"/><Relationship Id="rId2737" Type="http://schemas.openxmlformats.org/officeDocument/2006/relationships/hyperlink" Target="http://www.legislation.act.gov.au/sl/2008-25" TargetMode="External"/><Relationship Id="rId2944" Type="http://schemas.openxmlformats.org/officeDocument/2006/relationships/hyperlink" Target="http://www.legislation.act.gov.au/sl/2017-17/default.asp" TargetMode="External"/><Relationship Id="rId709" Type="http://schemas.openxmlformats.org/officeDocument/2006/relationships/hyperlink" Target="http://www.legislation.act.gov.au/a/1930-21"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comlaw.gov.au/Series/C2004A00818" TargetMode="External"/><Relationship Id="rId1546" Type="http://schemas.openxmlformats.org/officeDocument/2006/relationships/hyperlink" Target="http://www.legislation.act.gov.au/sl/2009-56" TargetMode="External"/><Relationship Id="rId1753" Type="http://schemas.openxmlformats.org/officeDocument/2006/relationships/hyperlink" Target="http://www.legislation.act.gov.au/sl/2023-36/" TargetMode="External"/><Relationship Id="rId1960" Type="http://schemas.openxmlformats.org/officeDocument/2006/relationships/hyperlink" Target="http://www.legislation.act.gov.au/sl/2007-16" TargetMode="External"/><Relationship Id="rId2804" Type="http://schemas.openxmlformats.org/officeDocument/2006/relationships/hyperlink" Target="http://www.legislation.act.gov.au/sl/2017-17/default.asp" TargetMode="External"/><Relationship Id="rId45" Type="http://schemas.openxmlformats.org/officeDocument/2006/relationships/hyperlink" Target="http://www.legislation.act.gov.au/af/2014-160/default.asp" TargetMode="External"/><Relationship Id="rId1406" Type="http://schemas.openxmlformats.org/officeDocument/2006/relationships/hyperlink" Target="http://www.legislation.act.gov.au/sl/2011-17" TargetMode="External"/><Relationship Id="rId1613" Type="http://schemas.openxmlformats.org/officeDocument/2006/relationships/hyperlink" Target="http://www.legislation.act.gov.au/sl/2022-2/" TargetMode="External"/><Relationship Id="rId1820" Type="http://schemas.openxmlformats.org/officeDocument/2006/relationships/hyperlink" Target="http://www.legislation.act.gov.au/sl/2009-32" TargetMode="External"/><Relationship Id="rId3066" Type="http://schemas.openxmlformats.org/officeDocument/2006/relationships/hyperlink" Target="http://www.legislation.act.gov.au/sl/2020-34/" TargetMode="External"/><Relationship Id="rId194" Type="http://schemas.openxmlformats.org/officeDocument/2006/relationships/hyperlink" Target="http://www.legislation.act.gov.au/af/2006-305/default.asp" TargetMode="External"/><Relationship Id="rId1918" Type="http://schemas.openxmlformats.org/officeDocument/2006/relationships/hyperlink" Target="http://www.legislation.act.gov.au/sl/2009-32" TargetMode="External"/><Relationship Id="rId2082" Type="http://schemas.openxmlformats.org/officeDocument/2006/relationships/hyperlink" Target="http://www.legislation.act.gov.au/sl/2008-50" TargetMode="External"/><Relationship Id="rId261" Type="http://schemas.openxmlformats.org/officeDocument/2006/relationships/hyperlink" Target="http://www.legislation.act.gov.au/a/2004-59" TargetMode="External"/><Relationship Id="rId499" Type="http://schemas.openxmlformats.org/officeDocument/2006/relationships/hyperlink" Target="http://www.legislation.act.gov.au/a/2016-42" TargetMode="External"/><Relationship Id="rId2387" Type="http://schemas.openxmlformats.org/officeDocument/2006/relationships/hyperlink" Target="http://www.legislation.act.gov.au/sl/2012-43" TargetMode="External"/><Relationship Id="rId2594" Type="http://schemas.openxmlformats.org/officeDocument/2006/relationships/hyperlink" Target="http://www.legislation.act.gov.au/sl/2013-18/default.asp" TargetMode="External"/><Relationship Id="rId359" Type="http://schemas.openxmlformats.org/officeDocument/2006/relationships/hyperlink" Target="http://www.comlaw.gov.au/Series/C2004A04735" TargetMode="External"/><Relationship Id="rId566" Type="http://schemas.openxmlformats.org/officeDocument/2006/relationships/hyperlink" Target="http://www.legislation.act.gov.au/a/2002-51" TargetMode="External"/><Relationship Id="rId773" Type="http://schemas.openxmlformats.org/officeDocument/2006/relationships/hyperlink" Target="http://www.legislation.act.gov.au/a/2007-15" TargetMode="External"/><Relationship Id="rId1196" Type="http://schemas.openxmlformats.org/officeDocument/2006/relationships/hyperlink" Target="http://www.legislation.act.gov.au/af/2008-144/default.asp" TargetMode="External"/><Relationship Id="rId2247" Type="http://schemas.openxmlformats.org/officeDocument/2006/relationships/hyperlink" Target="http://www.legislation.act.gov.au/sl/2006-58" TargetMode="External"/><Relationship Id="rId2454" Type="http://schemas.openxmlformats.org/officeDocument/2006/relationships/hyperlink" Target="http://www.legislation.act.gov.au/sl/2018-25/default.asp" TargetMode="External"/><Relationship Id="rId2899" Type="http://schemas.openxmlformats.org/officeDocument/2006/relationships/hyperlink" Target="http://www.legislation.act.gov.au/sl/2009-32"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f/2006-315/default.asp" TargetMode="Externa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2005-58" TargetMode="External"/><Relationship Id="rId980" Type="http://schemas.openxmlformats.org/officeDocument/2006/relationships/footer" Target="footer42.xml"/><Relationship Id="rId1056" Type="http://schemas.openxmlformats.org/officeDocument/2006/relationships/footer" Target="footer49.xml"/><Relationship Id="rId1263" Type="http://schemas.openxmlformats.org/officeDocument/2006/relationships/hyperlink" Target="http://www.legislation.act.gov.au/a/2008-46" TargetMode="External"/><Relationship Id="rId2107" Type="http://schemas.openxmlformats.org/officeDocument/2006/relationships/hyperlink" Target="http://www.legislation.act.gov.au/a/2010-21" TargetMode="External"/><Relationship Id="rId2314" Type="http://schemas.openxmlformats.org/officeDocument/2006/relationships/hyperlink" Target="http://www.legislation.act.gov.au/sl/2015-22" TargetMode="External"/><Relationship Id="rId2661" Type="http://schemas.openxmlformats.org/officeDocument/2006/relationships/hyperlink" Target="http://www.legislation.act.gov.au/sl/2011-34" TargetMode="External"/><Relationship Id="rId2759" Type="http://schemas.openxmlformats.org/officeDocument/2006/relationships/hyperlink" Target="http://www.legislation.act.gov.au/sl/2012-43" TargetMode="External"/><Relationship Id="rId2966" Type="http://schemas.openxmlformats.org/officeDocument/2006/relationships/hyperlink" Target="http://www.legislation.act.gov.au/sl/2007-37" TargetMode="External"/><Relationship Id="rId840" Type="http://schemas.openxmlformats.org/officeDocument/2006/relationships/hyperlink" Target="http://www.legislation.act.gov.au/af/2019-61/default.asp" TargetMode="External"/><Relationship Id="rId938" Type="http://schemas.openxmlformats.org/officeDocument/2006/relationships/hyperlink" Target="http://www.legislation.act.gov.au/a/2004-59" TargetMode="External"/><Relationship Id="rId1470" Type="http://schemas.openxmlformats.org/officeDocument/2006/relationships/hyperlink" Target="http://www.legislation.act.gov.au/sl/2012-24" TargetMode="External"/><Relationship Id="rId1568" Type="http://schemas.openxmlformats.org/officeDocument/2006/relationships/hyperlink" Target="http://www.legislation.act.gov.au/sl/2006-58" TargetMode="External"/><Relationship Id="rId1775" Type="http://schemas.openxmlformats.org/officeDocument/2006/relationships/hyperlink" Target="http://www.legislation.act.gov.au/sl/2009-32" TargetMode="External"/><Relationship Id="rId2521" Type="http://schemas.openxmlformats.org/officeDocument/2006/relationships/hyperlink" Target="http://www.legislation.act.gov.au/sl/2009-32" TargetMode="External"/><Relationship Id="rId2619" Type="http://schemas.openxmlformats.org/officeDocument/2006/relationships/hyperlink" Target="http://www.legislation.act.gov.au/sl/2011-33" TargetMode="External"/><Relationship Id="rId2826" Type="http://schemas.openxmlformats.org/officeDocument/2006/relationships/hyperlink" Target="http://www.legislation.act.gov.au/sl/2015-22" TargetMode="External"/><Relationship Id="rId67" Type="http://schemas.openxmlformats.org/officeDocument/2006/relationships/hyperlink" Target="http://www.legislation.act.gov.au/a/1991-62" TargetMode="External"/><Relationship Id="rId700" Type="http://schemas.openxmlformats.org/officeDocument/2006/relationships/hyperlink" Target="http://www.legislation.act.gov.au/af/2006-403/default.asp" TargetMode="External"/><Relationship Id="rId1123" Type="http://schemas.openxmlformats.org/officeDocument/2006/relationships/hyperlink" Target="http://www.comlaw.gov.au/Series/C2004A00818" TargetMode="External"/><Relationship Id="rId1330" Type="http://schemas.openxmlformats.org/officeDocument/2006/relationships/hyperlink" Target="http://www.legislation.act.gov.au/a/2015-52/default.asp" TargetMode="External"/><Relationship Id="rId1428" Type="http://schemas.openxmlformats.org/officeDocument/2006/relationships/hyperlink" Target="http://www.legislation.act.gov.au/sl/2014-34" TargetMode="External"/><Relationship Id="rId1635" Type="http://schemas.openxmlformats.org/officeDocument/2006/relationships/hyperlink" Target="http://www.legislation.act.gov.au/sl/2006-58" TargetMode="External"/><Relationship Id="rId1982" Type="http://schemas.openxmlformats.org/officeDocument/2006/relationships/hyperlink" Target="http://www.legislation.act.gov.au/sl/2006-58" TargetMode="External"/><Relationship Id="rId3088" Type="http://schemas.openxmlformats.org/officeDocument/2006/relationships/footer" Target="footer65.xml"/><Relationship Id="rId1842" Type="http://schemas.openxmlformats.org/officeDocument/2006/relationships/hyperlink" Target="http://www.legislation.act.gov.au/sl/2009-32" TargetMode="External"/><Relationship Id="rId1702" Type="http://schemas.openxmlformats.org/officeDocument/2006/relationships/hyperlink" Target="http://www.legislation.act.gov.au/sl/2014-34" TargetMode="External"/><Relationship Id="rId283" Type="http://schemas.openxmlformats.org/officeDocument/2006/relationships/hyperlink" Target="http://www.legislation.act.gov.au/af/2022-1/default.asp" TargetMode="External"/><Relationship Id="rId490" Type="http://schemas.openxmlformats.org/officeDocument/2006/relationships/hyperlink" Target="http://www.legislation.act.gov.au/af/2007-70/default.asp" TargetMode="External"/><Relationship Id="rId2171" Type="http://schemas.openxmlformats.org/officeDocument/2006/relationships/hyperlink" Target="http://www.legislation.act.gov.au/sl/2013-18/default.asp" TargetMode="External"/><Relationship Id="rId3015" Type="http://schemas.openxmlformats.org/officeDocument/2006/relationships/hyperlink" Target="http://www.legislation.act.gov.au/sl/2013-18/default.asp" TargetMode="External"/><Relationship Id="rId143" Type="http://schemas.openxmlformats.org/officeDocument/2006/relationships/hyperlink" Target="http://www.legislation.act.gov.au/a/2017-7/default.asp"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2005-58" TargetMode="External"/><Relationship Id="rId795" Type="http://schemas.openxmlformats.org/officeDocument/2006/relationships/hyperlink" Target="http://www.legislation.act.gov.au/a/1933-34" TargetMode="External"/><Relationship Id="rId2031" Type="http://schemas.openxmlformats.org/officeDocument/2006/relationships/hyperlink" Target="http://www.legislation.act.gov.au/sl/2015-12" TargetMode="External"/><Relationship Id="rId2269" Type="http://schemas.openxmlformats.org/officeDocument/2006/relationships/hyperlink" Target="http://www.legislation.act.gov.au/sl/2023-36/" TargetMode="External"/><Relationship Id="rId2476" Type="http://schemas.openxmlformats.org/officeDocument/2006/relationships/hyperlink" Target="http://www.legislation.act.gov.au/sl/2017-17/default.asp" TargetMode="External"/><Relationship Id="rId2683" Type="http://schemas.openxmlformats.org/officeDocument/2006/relationships/hyperlink" Target="http://www.legislation.act.gov.au/sl/2008-44" TargetMode="External"/><Relationship Id="rId2890" Type="http://schemas.openxmlformats.org/officeDocument/2006/relationships/hyperlink" Target="http://www.legislation.act.gov.au/sl/2012-2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2016-43" TargetMode="External"/><Relationship Id="rId862" Type="http://schemas.openxmlformats.org/officeDocument/2006/relationships/hyperlink" Target="http://www.comlaw.gov.au/Series/C2010A00035" TargetMode="External"/><Relationship Id="rId1078" Type="http://schemas.openxmlformats.org/officeDocument/2006/relationships/hyperlink" Target="http://www.legislation.act.gov.au/af/2008-67/default.asp" TargetMode="External"/><Relationship Id="rId1285" Type="http://schemas.openxmlformats.org/officeDocument/2006/relationships/hyperlink" Target="http://www.legislation.act.gov.au/sl/2013-32" TargetMode="External"/><Relationship Id="rId1492" Type="http://schemas.openxmlformats.org/officeDocument/2006/relationships/hyperlink" Target="http://www.legislation.act.gov.au/sl/2023-36/" TargetMode="External"/><Relationship Id="rId2129" Type="http://schemas.openxmlformats.org/officeDocument/2006/relationships/hyperlink" Target="http://www.legislation.act.gov.au/sl/2012-43" TargetMode="External"/><Relationship Id="rId2336" Type="http://schemas.openxmlformats.org/officeDocument/2006/relationships/hyperlink" Target="http://www.legislation.act.gov.au/sl/2018-25/default.asp" TargetMode="External"/><Relationship Id="rId2543" Type="http://schemas.openxmlformats.org/officeDocument/2006/relationships/hyperlink" Target="http://www.legislation.act.gov.au/sl/2011-33" TargetMode="External"/><Relationship Id="rId2750" Type="http://schemas.openxmlformats.org/officeDocument/2006/relationships/hyperlink" Target="http://www.legislation.act.gov.au/sl/2012-43" TargetMode="External"/><Relationship Id="rId2988" Type="http://schemas.openxmlformats.org/officeDocument/2006/relationships/hyperlink" Target="http://www.legislation.act.gov.au/sl/2009-56" TargetMode="External"/><Relationship Id="rId308" Type="http://schemas.openxmlformats.org/officeDocument/2006/relationships/hyperlink" Target="http://www.legislation.act.gov.au/a/1929-18/default.asp" TargetMode="External"/><Relationship Id="rId515" Type="http://schemas.openxmlformats.org/officeDocument/2006/relationships/hyperlink" Target="http://www.legislation.act.gov.au/a/2001-81" TargetMode="External"/><Relationship Id="rId722" Type="http://schemas.openxmlformats.org/officeDocument/2006/relationships/hyperlink" Target="http://www.legislation.act.gov.au/af/2006-407/default.asp" TargetMode="External"/><Relationship Id="rId1145" Type="http://schemas.openxmlformats.org/officeDocument/2006/relationships/hyperlink" Target="http://www.legislation.act.gov.au/af/2007-145/default.asp" TargetMode="External"/><Relationship Id="rId1352" Type="http://schemas.openxmlformats.org/officeDocument/2006/relationships/hyperlink" Target="http://www.legislation.act.gov.au/sl/2011-34" TargetMode="External"/><Relationship Id="rId1797" Type="http://schemas.openxmlformats.org/officeDocument/2006/relationships/hyperlink" Target="http://www.legislation.act.gov.au/sl/2009-32" TargetMode="External"/><Relationship Id="rId2403" Type="http://schemas.openxmlformats.org/officeDocument/2006/relationships/hyperlink" Target="http://www.legislation.act.gov.au/sl/2011-17" TargetMode="External"/><Relationship Id="rId2848" Type="http://schemas.openxmlformats.org/officeDocument/2006/relationships/hyperlink" Target="http://www.legislation.act.gov.au/sl/2015-22" TargetMode="External"/><Relationship Id="rId89" Type="http://schemas.openxmlformats.org/officeDocument/2006/relationships/hyperlink" Target="http://www.legislation.act.gov.au/af/2015-28/default.asp" TargetMode="External"/><Relationship Id="rId1005" Type="http://schemas.openxmlformats.org/officeDocument/2006/relationships/hyperlink" Target="https://www.legislation.gov.au/Series/F2001B00274" TargetMode="External"/><Relationship Id="rId1212" Type="http://schemas.openxmlformats.org/officeDocument/2006/relationships/footer" Target="footer61.xml"/><Relationship Id="rId1657" Type="http://schemas.openxmlformats.org/officeDocument/2006/relationships/hyperlink" Target="http://www.legislation.act.gov.au/sl/2010-24" TargetMode="External"/><Relationship Id="rId1864" Type="http://schemas.openxmlformats.org/officeDocument/2006/relationships/hyperlink" Target="http://www.legislation.act.gov.au/sl/2009-32" TargetMode="External"/><Relationship Id="rId2610" Type="http://schemas.openxmlformats.org/officeDocument/2006/relationships/hyperlink" Target="http://www.legislation.act.gov.au/sl/2011-33" TargetMode="External"/><Relationship Id="rId2708" Type="http://schemas.openxmlformats.org/officeDocument/2006/relationships/hyperlink" Target="http://www.legislation.act.gov.au/sl/2015-22" TargetMode="External"/><Relationship Id="rId2915" Type="http://schemas.openxmlformats.org/officeDocument/2006/relationships/hyperlink" Target="http://www.legislation.act.gov.au/sl/2006-58" TargetMode="External"/><Relationship Id="rId1517" Type="http://schemas.openxmlformats.org/officeDocument/2006/relationships/hyperlink" Target="http://www.legislation.act.gov.au/sl/2015-22" TargetMode="External"/><Relationship Id="rId1724" Type="http://schemas.openxmlformats.org/officeDocument/2006/relationships/hyperlink" Target="http://www.legislation.act.gov.au/sl/2014-9"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6-58" TargetMode="External"/><Relationship Id="rId3037" Type="http://schemas.openxmlformats.org/officeDocument/2006/relationships/hyperlink" Target="http://www.legislation.act.gov.au/sl/2015-42/default.asp" TargetMode="External"/><Relationship Id="rId2193" Type="http://schemas.openxmlformats.org/officeDocument/2006/relationships/hyperlink" Target="http://www.legislation.act.gov.au/sl/2015-22" TargetMode="External"/><Relationship Id="rId2498" Type="http://schemas.openxmlformats.org/officeDocument/2006/relationships/hyperlink" Target="http://www.legislation.act.gov.au/sl/2009-3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f/2010-143/default.asp" TargetMode="External"/><Relationship Id="rId677" Type="http://schemas.openxmlformats.org/officeDocument/2006/relationships/hyperlink" Target="http://www.legislation.act.gov.au/a/2001-14" TargetMode="External"/><Relationship Id="rId2053" Type="http://schemas.openxmlformats.org/officeDocument/2006/relationships/hyperlink" Target="http://www.legislation.act.gov.au/sl/2006-58" TargetMode="External"/><Relationship Id="rId2260" Type="http://schemas.openxmlformats.org/officeDocument/2006/relationships/hyperlink" Target="http://www.legislation.act.gov.au/sl/2016-33" TargetMode="External"/><Relationship Id="rId2358" Type="http://schemas.openxmlformats.org/officeDocument/2006/relationships/hyperlink" Target="http://www.legislation.act.gov.au/sl/2023-36/" TargetMode="External"/><Relationship Id="rId232" Type="http://schemas.openxmlformats.org/officeDocument/2006/relationships/hyperlink" Target="http://www.legislation.act.gov.au/a/2018-52" TargetMode="External"/><Relationship Id="rId884" Type="http://schemas.openxmlformats.org/officeDocument/2006/relationships/footer" Target="footer25.xml"/><Relationship Id="rId2120" Type="http://schemas.openxmlformats.org/officeDocument/2006/relationships/hyperlink" Target="http://www.legislation.act.gov.au/sl/2024-9/" TargetMode="External"/><Relationship Id="rId2565" Type="http://schemas.openxmlformats.org/officeDocument/2006/relationships/hyperlink" Target="http://www.legislation.act.gov.au/a/2015-40/default.asp" TargetMode="External"/><Relationship Id="rId2772" Type="http://schemas.openxmlformats.org/officeDocument/2006/relationships/hyperlink" Target="http://www.legislation.act.gov.au/sl/2008-25"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f/2024-51/default.asp" TargetMode="External"/><Relationship Id="rId951" Type="http://schemas.openxmlformats.org/officeDocument/2006/relationships/footer" Target="footer28.xml"/><Relationship Id="rId1167" Type="http://schemas.openxmlformats.org/officeDocument/2006/relationships/header" Target="header46.xml"/><Relationship Id="rId1374" Type="http://schemas.openxmlformats.org/officeDocument/2006/relationships/hyperlink" Target="http://www.legislation.act.gov.au/sl/2012-43" TargetMode="External"/><Relationship Id="rId1581" Type="http://schemas.openxmlformats.org/officeDocument/2006/relationships/hyperlink" Target="http://www.legislation.act.gov.au/sl/2006-58" TargetMode="External"/><Relationship Id="rId1679" Type="http://schemas.openxmlformats.org/officeDocument/2006/relationships/hyperlink" Target="http://www.legislation.act.gov.au/sl/2014-34" TargetMode="External"/><Relationship Id="rId2218" Type="http://schemas.openxmlformats.org/officeDocument/2006/relationships/hyperlink" Target="http://www.legislation.act.gov.au/sl/2010-51" TargetMode="External"/><Relationship Id="rId2425" Type="http://schemas.openxmlformats.org/officeDocument/2006/relationships/hyperlink" Target="http://www.legislation.act.gov.au/sl/2015-22" TargetMode="External"/><Relationship Id="rId2632" Type="http://schemas.openxmlformats.org/officeDocument/2006/relationships/hyperlink" Target="http://www.legislation.act.gov.au/sl/2016-17" TargetMode="External"/><Relationship Id="rId80" Type="http://schemas.openxmlformats.org/officeDocument/2006/relationships/hyperlink" Target="http://www.legislation.act.gov.au/af/2006-447/default.asp" TargetMode="External"/><Relationship Id="rId604" Type="http://schemas.openxmlformats.org/officeDocument/2006/relationships/hyperlink" Target="http://www.legislation.act.gov.au/af/2024-34/default.asp" TargetMode="External"/><Relationship Id="rId811" Type="http://schemas.openxmlformats.org/officeDocument/2006/relationships/hyperlink" Target="http://www.legislation.act.gov.au/a/1991-46" TargetMode="External"/><Relationship Id="rId1027" Type="http://schemas.openxmlformats.org/officeDocument/2006/relationships/hyperlink" Target="http://www.comlaw.gov.au/Series/C2004A00818" TargetMode="External"/><Relationship Id="rId1234" Type="http://schemas.openxmlformats.org/officeDocument/2006/relationships/hyperlink" Target="http://www.legislation.act.gov.au/a/1951-2/default.asp" TargetMode="External"/><Relationship Id="rId1441" Type="http://schemas.openxmlformats.org/officeDocument/2006/relationships/hyperlink" Target="http://www.legislation.act.gov.au/sl/2016-33" TargetMode="External"/><Relationship Id="rId1886" Type="http://schemas.openxmlformats.org/officeDocument/2006/relationships/hyperlink" Target="http://www.legislation.act.gov.au/sl/2009-32" TargetMode="External"/><Relationship Id="rId2937" Type="http://schemas.openxmlformats.org/officeDocument/2006/relationships/hyperlink" Target="http://www.legislation.act.gov.au/sl/2006-58" TargetMode="External"/><Relationship Id="rId909" Type="http://schemas.openxmlformats.org/officeDocument/2006/relationships/hyperlink" Target="http://www.comlaw.gov.au/Series/C2010A00035" TargetMode="External"/><Relationship Id="rId1301" Type="http://schemas.openxmlformats.org/officeDocument/2006/relationships/hyperlink" Target="http://www.legislation.act.gov.au/a/2017-10/default.asp" TargetMode="External"/><Relationship Id="rId1539" Type="http://schemas.openxmlformats.org/officeDocument/2006/relationships/hyperlink" Target="http://www.legislation.act.gov.au/sl/2008-25" TargetMode="External"/><Relationship Id="rId1746" Type="http://schemas.openxmlformats.org/officeDocument/2006/relationships/hyperlink" Target="http://www.legislation.act.gov.au/sl/2017-40/default.asp"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7-10/default.asp" TargetMode="External"/><Relationship Id="rId1813" Type="http://schemas.openxmlformats.org/officeDocument/2006/relationships/hyperlink" Target="http://www.legislation.act.gov.au/sl/2006-58" TargetMode="External"/><Relationship Id="rId3059" Type="http://schemas.openxmlformats.org/officeDocument/2006/relationships/hyperlink" Target="http://www.legislation.act.gov.au/sl/2019-30/" TargetMode="External"/><Relationship Id="rId187" Type="http://schemas.openxmlformats.org/officeDocument/2006/relationships/hyperlink" Target="http://www.legislation.act.gov.au/af/2006-299/default.asp" TargetMode="External"/><Relationship Id="rId394" Type="http://schemas.openxmlformats.org/officeDocument/2006/relationships/hyperlink" Target="http://www.legislation.act.gov.au/a/1986-84/default.asp" TargetMode="External"/><Relationship Id="rId2075" Type="http://schemas.openxmlformats.org/officeDocument/2006/relationships/hyperlink" Target="http://www.legislation.act.gov.au/sl/2017-17/default.asp" TargetMode="External"/><Relationship Id="rId2282" Type="http://schemas.openxmlformats.org/officeDocument/2006/relationships/hyperlink" Target="http://www.legislation.act.gov.au/sl/2016-33" TargetMode="External"/><Relationship Id="rId254" Type="http://schemas.openxmlformats.org/officeDocument/2006/relationships/hyperlink" Target="https://legislation.act.gov.au/af/2021-19/" TargetMode="External"/><Relationship Id="rId699" Type="http://schemas.openxmlformats.org/officeDocument/2006/relationships/hyperlink" Target="http://www.legislation.act.gov.au/af/2006-402/default.asp" TargetMode="External"/><Relationship Id="rId1091" Type="http://schemas.openxmlformats.org/officeDocument/2006/relationships/hyperlink" Target="http://www.legislation.act.gov.au/af/2007-142/default.asp" TargetMode="External"/><Relationship Id="rId2587" Type="http://schemas.openxmlformats.org/officeDocument/2006/relationships/hyperlink" Target="http://www.legislation.act.gov.au/sl/2011-34" TargetMode="External"/><Relationship Id="rId2794" Type="http://schemas.openxmlformats.org/officeDocument/2006/relationships/hyperlink" Target="http://www.legislation.act.gov.au/sl/2010-24" TargetMode="External"/><Relationship Id="rId114" Type="http://schemas.openxmlformats.org/officeDocument/2006/relationships/hyperlink" Target="http://www.legislation.act.gov.au/af/2006-271/default.asp" TargetMode="External"/><Relationship Id="rId461" Type="http://schemas.openxmlformats.org/officeDocument/2006/relationships/hyperlink" Target="http://www.legislation.act.gov.au/a/alt_a1989-33co/default.asp" TargetMode="External"/><Relationship Id="rId559" Type="http://schemas.openxmlformats.org/officeDocument/2006/relationships/hyperlink" Target="https://www.legislation.act.gov.au/af/2024-33/" TargetMode="External"/><Relationship Id="rId766" Type="http://schemas.openxmlformats.org/officeDocument/2006/relationships/hyperlink" Target="http://www.legislation.act.gov.au/a/2004-59" TargetMode="External"/><Relationship Id="rId1189" Type="http://schemas.openxmlformats.org/officeDocument/2006/relationships/hyperlink" Target="http://www.legislation.act.gov.au/a/2001-14" TargetMode="External"/><Relationship Id="rId1396" Type="http://schemas.openxmlformats.org/officeDocument/2006/relationships/hyperlink" Target="http://www.legislation.act.gov.au/sl/2023-15/default.asp" TargetMode="External"/><Relationship Id="rId2142" Type="http://schemas.openxmlformats.org/officeDocument/2006/relationships/hyperlink" Target="http://www.legislation.act.gov.au/sl/2012-43" TargetMode="External"/><Relationship Id="rId2447" Type="http://schemas.openxmlformats.org/officeDocument/2006/relationships/hyperlink" Target="http://www.legislation.act.gov.au/sl/2011-34" TargetMode="External"/><Relationship Id="rId321" Type="http://schemas.openxmlformats.org/officeDocument/2006/relationships/hyperlink" Target="http://www.legislation.act.gov.au/af/2017-178/default.asp" TargetMode="External"/><Relationship Id="rId419" Type="http://schemas.openxmlformats.org/officeDocument/2006/relationships/hyperlink" Target="http://www.legislation.act.gov.au/a/1992-71/default.asp" TargetMode="External"/><Relationship Id="rId626" Type="http://schemas.openxmlformats.org/officeDocument/2006/relationships/hyperlink" Target="http://www.legislation.act.gov.au/a/2000-61/default.asp" TargetMode="External"/><Relationship Id="rId973" Type="http://schemas.openxmlformats.org/officeDocument/2006/relationships/footer" Target="footer39.xml"/><Relationship Id="rId1049" Type="http://schemas.openxmlformats.org/officeDocument/2006/relationships/header" Target="header38.xml"/><Relationship Id="rId1256" Type="http://schemas.openxmlformats.org/officeDocument/2006/relationships/hyperlink" Target="http://www.legislation.act.gov.au/cn/2008-17/default.asp"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06-58" TargetMode="External"/><Relationship Id="rId2654" Type="http://schemas.openxmlformats.org/officeDocument/2006/relationships/hyperlink" Target="http://www.legislation.act.gov.au/sl/2011-34" TargetMode="External"/><Relationship Id="rId2861" Type="http://schemas.openxmlformats.org/officeDocument/2006/relationships/hyperlink" Target="http://www.legislation.act.gov.au/sl/2015-12" TargetMode="External"/><Relationship Id="rId2959" Type="http://schemas.openxmlformats.org/officeDocument/2006/relationships/hyperlink" Target="http://www.legislation.act.gov.au/a/2007-3" TargetMode="External"/><Relationship Id="rId833" Type="http://schemas.openxmlformats.org/officeDocument/2006/relationships/hyperlink" Target="http://www.legislation.act.gov.au/a/2017-7/default.asp" TargetMode="External"/><Relationship Id="rId1116" Type="http://schemas.openxmlformats.org/officeDocument/2006/relationships/hyperlink" Target="http://www.comlaw.gov.au/Series/C2004A00818" TargetMode="External"/><Relationship Id="rId1463" Type="http://schemas.openxmlformats.org/officeDocument/2006/relationships/hyperlink" Target="http://www.legislation.act.gov.au/sl/2012-24" TargetMode="External"/><Relationship Id="rId1670" Type="http://schemas.openxmlformats.org/officeDocument/2006/relationships/hyperlink" Target="http://www.legislation.act.gov.au/sl/2011-17" TargetMode="External"/><Relationship Id="rId1768" Type="http://schemas.openxmlformats.org/officeDocument/2006/relationships/hyperlink" Target="http://www.legislation.act.gov.au/sl/2011-17" TargetMode="External"/><Relationship Id="rId2514" Type="http://schemas.openxmlformats.org/officeDocument/2006/relationships/hyperlink" Target="http://www.legislation.act.gov.au/sl/2009-32" TargetMode="External"/><Relationship Id="rId2721" Type="http://schemas.openxmlformats.org/officeDocument/2006/relationships/hyperlink" Target="http://www.legislation.act.gov.au/sl/2016-31" TargetMode="External"/><Relationship Id="rId2819" Type="http://schemas.openxmlformats.org/officeDocument/2006/relationships/hyperlink" Target="http://www.legislation.act.gov.au/sl/2024-9/" TargetMode="External"/><Relationship Id="rId900" Type="http://schemas.openxmlformats.org/officeDocument/2006/relationships/hyperlink" Target="http://www.legislation.act.gov.au/af/2006-422/default.asp" TargetMode="External"/><Relationship Id="rId1323" Type="http://schemas.openxmlformats.org/officeDocument/2006/relationships/hyperlink" Target="http://www.legislation.act.gov.au/sl/2009-11" TargetMode="External"/><Relationship Id="rId1530" Type="http://schemas.openxmlformats.org/officeDocument/2006/relationships/hyperlink" Target="http://www.legislation.act.gov.au/sl/2009-56" TargetMode="External"/><Relationship Id="rId1628" Type="http://schemas.openxmlformats.org/officeDocument/2006/relationships/hyperlink" Target="http://www.legislation.act.gov.au/sl/2016-17" TargetMode="External"/><Relationship Id="rId1975" Type="http://schemas.openxmlformats.org/officeDocument/2006/relationships/hyperlink" Target="http://www.legislation.act.gov.au/sl/2006-58" TargetMode="External"/><Relationship Id="rId1835" Type="http://schemas.openxmlformats.org/officeDocument/2006/relationships/hyperlink" Target="http://www.legislation.act.gov.au/sl/2006-58" TargetMode="External"/><Relationship Id="rId3050" Type="http://schemas.openxmlformats.org/officeDocument/2006/relationships/hyperlink" Target="http://www.legislation.act.gov.au/sl/2017-40/default.asp" TargetMode="External"/><Relationship Id="rId1902" Type="http://schemas.openxmlformats.org/officeDocument/2006/relationships/hyperlink" Target="http://www.legislation.act.gov.au/sl/2009-32" TargetMode="External"/><Relationship Id="rId2097" Type="http://schemas.openxmlformats.org/officeDocument/2006/relationships/hyperlink" Target="http://www.legislation.act.gov.au/a/2010-21" TargetMode="External"/><Relationship Id="rId276" Type="http://schemas.openxmlformats.org/officeDocument/2006/relationships/hyperlink" Target="http://www.legislation.act.gov.au/af/2022-6/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f/2015-40/default.asp" TargetMode="External"/><Relationship Id="rId2164" Type="http://schemas.openxmlformats.org/officeDocument/2006/relationships/hyperlink" Target="http://www.legislation.act.gov.au/sl/2013-18/default.asp" TargetMode="External"/><Relationship Id="rId2371" Type="http://schemas.openxmlformats.org/officeDocument/2006/relationships/hyperlink" Target="http://www.legislation.act.gov.au/sl/2006-58" TargetMode="External"/><Relationship Id="rId3008" Type="http://schemas.openxmlformats.org/officeDocument/2006/relationships/hyperlink" Target="http://www.legislation.act.gov.au/sl/2011-34" TargetMode="External"/><Relationship Id="rId136" Type="http://schemas.openxmlformats.org/officeDocument/2006/relationships/hyperlink" Target="http://www.legislation.act.gov.au/a/2002-40" TargetMode="External"/><Relationship Id="rId343" Type="http://schemas.openxmlformats.org/officeDocument/2006/relationships/hyperlink" Target="http://www.legislation.act.gov.au/a/1993-20/default.asp" TargetMode="External"/><Relationship Id="rId550" Type="http://schemas.openxmlformats.org/officeDocument/2006/relationships/hyperlink" Target="https://www.legislation.act.gov.au/af/2024-26/" TargetMode="External"/><Relationship Id="rId788" Type="http://schemas.openxmlformats.org/officeDocument/2006/relationships/hyperlink" Target="http://www.legislation.act.gov.au/a/2005-59" TargetMode="External"/><Relationship Id="rId995" Type="http://schemas.openxmlformats.org/officeDocument/2006/relationships/hyperlink" Target="http://www.comlaw.gov.au/Series/C2004A00818" TargetMode="External"/><Relationship Id="rId1180" Type="http://schemas.openxmlformats.org/officeDocument/2006/relationships/hyperlink" Target="http://www.comlaw.gov.au/Series/C2008A00024" TargetMode="External"/><Relationship Id="rId2024" Type="http://schemas.openxmlformats.org/officeDocument/2006/relationships/hyperlink" Target="http://www.legislation.act.gov.au/sl/2006-58" TargetMode="External"/><Relationship Id="rId2231" Type="http://schemas.openxmlformats.org/officeDocument/2006/relationships/hyperlink" Target="http://www.legislation.act.gov.au/sl/2023-36/" TargetMode="External"/><Relationship Id="rId2469" Type="http://schemas.openxmlformats.org/officeDocument/2006/relationships/hyperlink" Target="http://www.legislation.act.gov.au/sl/2017-17/default.asp" TargetMode="External"/><Relationship Id="rId2676" Type="http://schemas.openxmlformats.org/officeDocument/2006/relationships/hyperlink" Target="http://www.legislation.act.gov.au/sl/2019-11/default.asp" TargetMode="External"/><Relationship Id="rId2883" Type="http://schemas.openxmlformats.org/officeDocument/2006/relationships/hyperlink" Target="http://www.legislation.act.gov.au/sl/2018-25/default.asp" TargetMode="External"/><Relationship Id="rId203" Type="http://schemas.openxmlformats.org/officeDocument/2006/relationships/hyperlink" Target="http://www.legislation.act.gov.au/af/2018-41/default.asp" TargetMode="External"/><Relationship Id="rId648" Type="http://schemas.openxmlformats.org/officeDocument/2006/relationships/hyperlink" Target="http://www.legislation.act.gov.au/a/2006-25" TargetMode="External"/><Relationship Id="rId855" Type="http://schemas.openxmlformats.org/officeDocument/2006/relationships/hyperlink" Target="https://www.legislation.gov.au/Series/C2004A04463" TargetMode="External"/><Relationship Id="rId1040" Type="http://schemas.openxmlformats.org/officeDocument/2006/relationships/hyperlink" Target="http://www.comlaw.gov.au/Series/C2004A00818" TargetMode="External"/><Relationship Id="rId1278" Type="http://schemas.openxmlformats.org/officeDocument/2006/relationships/hyperlink" Target="http://www.legislation.act.gov.au/sl/2011-34" TargetMode="External"/><Relationship Id="rId1485" Type="http://schemas.openxmlformats.org/officeDocument/2006/relationships/hyperlink" Target="http://www.legislation.act.gov.au/sl/2013-18/default.asp" TargetMode="External"/><Relationship Id="rId1692" Type="http://schemas.openxmlformats.org/officeDocument/2006/relationships/hyperlink" Target="http://www.legislation.act.gov.au/sl/2014-34" TargetMode="External"/><Relationship Id="rId2329" Type="http://schemas.openxmlformats.org/officeDocument/2006/relationships/hyperlink" Target="http://www.legislation.act.gov.au/sl/2012-43" TargetMode="External"/><Relationship Id="rId2536" Type="http://schemas.openxmlformats.org/officeDocument/2006/relationships/hyperlink" Target="http://www.legislation.act.gov.au/sl/2011-6" TargetMode="External"/><Relationship Id="rId2743" Type="http://schemas.openxmlformats.org/officeDocument/2006/relationships/hyperlink" Target="http://www.legislation.act.gov.au/sl/2017-17/default.asp" TargetMode="External"/><Relationship Id="rId410" Type="http://schemas.openxmlformats.org/officeDocument/2006/relationships/hyperlink" Target="http://www.legislation.act.gov.au/a/1993-60/default.asp" TargetMode="External"/><Relationship Id="rId508" Type="http://schemas.openxmlformats.org/officeDocument/2006/relationships/hyperlink" Target="http://www.legislation.act.gov.au/a/1951-2" TargetMode="External"/><Relationship Id="rId715" Type="http://schemas.openxmlformats.org/officeDocument/2006/relationships/hyperlink" Target="http://www.legislation.act.gov.au/a/1930-21" TargetMode="External"/><Relationship Id="rId922" Type="http://schemas.openxmlformats.org/officeDocument/2006/relationships/hyperlink" Target="http://www.legislation.act.gov.au/af/2024-50/default.asp" TargetMode="External"/><Relationship Id="rId1138" Type="http://schemas.openxmlformats.org/officeDocument/2006/relationships/hyperlink" Target="http://www.legislation.act.gov.au/af/2007-144/default.asp" TargetMode="External"/><Relationship Id="rId1345" Type="http://schemas.openxmlformats.org/officeDocument/2006/relationships/hyperlink" Target="http://www.legislation.act.gov.au/sl/2008-25" TargetMode="External"/><Relationship Id="rId1552" Type="http://schemas.openxmlformats.org/officeDocument/2006/relationships/hyperlink" Target="http://www.legislation.act.gov.au/sl/2014-34" TargetMode="External"/><Relationship Id="rId1997" Type="http://schemas.openxmlformats.org/officeDocument/2006/relationships/hyperlink" Target="http://www.legislation.act.gov.au/sl/2015-12" TargetMode="External"/><Relationship Id="rId2603" Type="http://schemas.openxmlformats.org/officeDocument/2006/relationships/hyperlink" Target="http://www.legislation.act.gov.au/sl/2011-33" TargetMode="External"/><Relationship Id="rId2950" Type="http://schemas.openxmlformats.org/officeDocument/2006/relationships/hyperlink" Target="http://www.legislation.act.gov.au/sl/2006-58" TargetMode="External"/><Relationship Id="rId1205" Type="http://schemas.openxmlformats.org/officeDocument/2006/relationships/hyperlink" Target="http://www.legislation.act.gov.au/af/2008-152/default.asp" TargetMode="External"/><Relationship Id="rId1857" Type="http://schemas.openxmlformats.org/officeDocument/2006/relationships/hyperlink" Target="http://www.legislation.act.gov.au/sl/2006-58" TargetMode="External"/><Relationship Id="rId2810" Type="http://schemas.openxmlformats.org/officeDocument/2006/relationships/hyperlink" Target="http://www.legislation.act.gov.au/sl/2017-17/default.asp" TargetMode="External"/><Relationship Id="rId2908" Type="http://schemas.openxmlformats.org/officeDocument/2006/relationships/hyperlink" Target="http://www.legislation.act.gov.au/sl/2009-32"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sl/2011-34" TargetMode="External"/><Relationship Id="rId1717" Type="http://schemas.openxmlformats.org/officeDocument/2006/relationships/hyperlink" Target="http://www.legislation.act.gov.au/sl/2014-9" TargetMode="External"/><Relationship Id="rId1924" Type="http://schemas.openxmlformats.org/officeDocument/2006/relationships/hyperlink" Target="http://www.legislation.act.gov.au/sl/2009-32" TargetMode="External"/><Relationship Id="rId3072" Type="http://schemas.openxmlformats.org/officeDocument/2006/relationships/hyperlink" Target="http://www.legislation.act.gov.au/sl/2022-2/" TargetMode="External"/><Relationship Id="rId298" Type="http://schemas.openxmlformats.org/officeDocument/2006/relationships/hyperlink" Target="http://www.legislation.act.gov.au/af/2017-171/default.asp" TargetMode="External"/><Relationship Id="rId158" Type="http://schemas.openxmlformats.org/officeDocument/2006/relationships/hyperlink" Target="http://www.legislation.act.gov.au/af/2006-290/default.asp" TargetMode="External"/><Relationship Id="rId2186" Type="http://schemas.openxmlformats.org/officeDocument/2006/relationships/hyperlink" Target="http://www.legislation.act.gov.au/sl/2006-58" TargetMode="External"/><Relationship Id="rId2393" Type="http://schemas.openxmlformats.org/officeDocument/2006/relationships/hyperlink" Target="http://www.legislation.act.gov.au/sl/2017-17/default.asp" TargetMode="External"/><Relationship Id="rId2698" Type="http://schemas.openxmlformats.org/officeDocument/2006/relationships/hyperlink" Target="http://www.legislation.act.gov.au/sl/2019-11/default.asp" TargetMode="External"/><Relationship Id="rId365" Type="http://schemas.openxmlformats.org/officeDocument/2006/relationships/hyperlink" Target="http://www.legislation.act.gov.au/af/2011-58/default.asp" TargetMode="External"/><Relationship Id="rId572" Type="http://schemas.openxmlformats.org/officeDocument/2006/relationships/hyperlink" Target="http://www.legislation.act.gov.au/a/1930-21" TargetMode="External"/><Relationship Id="rId2046" Type="http://schemas.openxmlformats.org/officeDocument/2006/relationships/hyperlink" Target="http://www.legislation.act.gov.au/sl/2006-58" TargetMode="External"/><Relationship Id="rId2253" Type="http://schemas.openxmlformats.org/officeDocument/2006/relationships/hyperlink" Target="http://www.legislation.act.gov.au/sl/2023-36/" TargetMode="External"/><Relationship Id="rId2460" Type="http://schemas.openxmlformats.org/officeDocument/2006/relationships/hyperlink" Target="http://www.legislation.act.gov.au/sl/2009-56" TargetMode="External"/><Relationship Id="rId225" Type="http://schemas.openxmlformats.org/officeDocument/2006/relationships/hyperlink" Target="http://www.legislation.act.gov.au/af/2006-316/default.asp" TargetMode="External"/><Relationship Id="rId432" Type="http://schemas.openxmlformats.org/officeDocument/2006/relationships/hyperlink" Target="http://www.legislation.act.gov.au/a/1992-71/default.asp" TargetMode="External"/><Relationship Id="rId877" Type="http://schemas.openxmlformats.org/officeDocument/2006/relationships/hyperlink" Target="http://www.legislation.act.gov.au/a/2004-59" TargetMode="External"/><Relationship Id="rId1062" Type="http://schemas.openxmlformats.org/officeDocument/2006/relationships/hyperlink" Target="http://www.comlaw.gov.au/Series/C2004A00818" TargetMode="External"/><Relationship Id="rId2113" Type="http://schemas.openxmlformats.org/officeDocument/2006/relationships/hyperlink" Target="http://www.legislation.act.gov.au/a/2010-21" TargetMode="External"/><Relationship Id="rId2320" Type="http://schemas.openxmlformats.org/officeDocument/2006/relationships/hyperlink" Target="http://www.legislation.act.gov.au/sl/2023-15/default.asp" TargetMode="External"/><Relationship Id="rId2558" Type="http://schemas.openxmlformats.org/officeDocument/2006/relationships/hyperlink" Target="http://www.legislation.act.gov.au/sl/2009-56" TargetMode="External"/><Relationship Id="rId2765" Type="http://schemas.openxmlformats.org/officeDocument/2006/relationships/hyperlink" Target="http://www.legislation.act.gov.au/sl/2008-25" TargetMode="External"/><Relationship Id="rId2972" Type="http://schemas.openxmlformats.org/officeDocument/2006/relationships/hyperlink" Target="http://www.legislation.act.gov.au/sl/2008-44" TargetMode="External"/><Relationship Id="rId737" Type="http://schemas.openxmlformats.org/officeDocument/2006/relationships/hyperlink" Target="http://www.legislation.act.gov.au/a/2004-5" TargetMode="External"/><Relationship Id="rId944" Type="http://schemas.openxmlformats.org/officeDocument/2006/relationships/hyperlink" Target="http://www.legislation.act.gov.au/sl/1937-85" TargetMode="External"/><Relationship Id="rId1367" Type="http://schemas.openxmlformats.org/officeDocument/2006/relationships/hyperlink" Target="http://www.legislation.act.gov.au/sl/2023-36/" TargetMode="External"/><Relationship Id="rId1574" Type="http://schemas.openxmlformats.org/officeDocument/2006/relationships/hyperlink" Target="http://www.legislation.act.gov.au/sl/2008-25" TargetMode="External"/><Relationship Id="rId1781" Type="http://schemas.openxmlformats.org/officeDocument/2006/relationships/hyperlink" Target="http://www.legislation.act.gov.au/sl/2009-32" TargetMode="External"/><Relationship Id="rId2418" Type="http://schemas.openxmlformats.org/officeDocument/2006/relationships/hyperlink" Target="http://www.legislation.act.gov.au/sl/2015-22" TargetMode="External"/><Relationship Id="rId2625" Type="http://schemas.openxmlformats.org/officeDocument/2006/relationships/hyperlink" Target="http://www.legislation.act.gov.au/sl/2018-25/default.asp" TargetMode="External"/><Relationship Id="rId2832" Type="http://schemas.openxmlformats.org/officeDocument/2006/relationships/hyperlink" Target="http://www.legislation.act.gov.au/sl/2014-9" TargetMode="External"/><Relationship Id="rId73" Type="http://schemas.openxmlformats.org/officeDocument/2006/relationships/hyperlink" Target="http://www.comlaw.gov.au/Series/C2011A00126" TargetMode="External"/><Relationship Id="rId804" Type="http://schemas.openxmlformats.org/officeDocument/2006/relationships/hyperlink" Target="http://www.legislation.act.gov.au/af/2019-29/default.asp" TargetMode="External"/><Relationship Id="rId1227" Type="http://schemas.openxmlformats.org/officeDocument/2006/relationships/hyperlink" Target="http://www.legislation.act.gov.au/a/1963-5" TargetMode="External"/><Relationship Id="rId1434" Type="http://schemas.openxmlformats.org/officeDocument/2006/relationships/hyperlink" Target="http://www.legislation.act.gov.au/sl/2014-34" TargetMode="External"/><Relationship Id="rId1641" Type="http://schemas.openxmlformats.org/officeDocument/2006/relationships/hyperlink" Target="http://www.legislation.act.gov.au/sl/2011-17" TargetMode="External"/><Relationship Id="rId1879" Type="http://schemas.openxmlformats.org/officeDocument/2006/relationships/hyperlink" Target="http://www.legislation.act.gov.au/sl/2006-58" TargetMode="External"/><Relationship Id="rId3094" Type="http://schemas.openxmlformats.org/officeDocument/2006/relationships/header" Target="header60.xml"/><Relationship Id="rId1501" Type="http://schemas.openxmlformats.org/officeDocument/2006/relationships/hyperlink" Target="http://www.legislation.act.gov.au/sl/2012-43" TargetMode="External"/><Relationship Id="rId1739" Type="http://schemas.openxmlformats.org/officeDocument/2006/relationships/hyperlink" Target="http://www.legislation.act.gov.au/sl/2014-9" TargetMode="External"/><Relationship Id="rId1946" Type="http://schemas.openxmlformats.org/officeDocument/2006/relationships/hyperlink" Target="http://www.legislation.act.gov.au/sl/2015-12" TargetMode="External"/><Relationship Id="rId1806" Type="http://schemas.openxmlformats.org/officeDocument/2006/relationships/hyperlink" Target="http://www.legislation.act.gov.au/sl/2009-32" TargetMode="External"/><Relationship Id="rId387" Type="http://schemas.openxmlformats.org/officeDocument/2006/relationships/hyperlink" Target="http://www.legislation.act.gov.au/a/2017-7/default.asp" TargetMode="External"/><Relationship Id="rId594" Type="http://schemas.openxmlformats.org/officeDocument/2006/relationships/hyperlink" Target="http://www.legislation.act.gov.au/a/1992-8" TargetMode="External"/><Relationship Id="rId2068" Type="http://schemas.openxmlformats.org/officeDocument/2006/relationships/hyperlink" Target="http://www.legislation.act.gov.au/sl/2024-9/" TargetMode="External"/><Relationship Id="rId2275" Type="http://schemas.openxmlformats.org/officeDocument/2006/relationships/hyperlink" Target="http://www.legislation.act.gov.au/sl/2016-33" TargetMode="External"/><Relationship Id="rId3021" Type="http://schemas.openxmlformats.org/officeDocument/2006/relationships/hyperlink" Target="http://www.legislation.act.gov.au/sl/2014-4/default.asp" TargetMode="External"/><Relationship Id="rId247" Type="http://schemas.openxmlformats.org/officeDocument/2006/relationships/hyperlink" Target="http://www.legislation.act.gov.au/af/2006-319/default.asp" TargetMode="External"/><Relationship Id="rId899" Type="http://schemas.openxmlformats.org/officeDocument/2006/relationships/hyperlink" Target="http://www.legislation.act.gov.au/a/2001-14"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1-33" TargetMode="External"/><Relationship Id="rId2787" Type="http://schemas.openxmlformats.org/officeDocument/2006/relationships/hyperlink" Target="http://www.legislation.act.gov.au/sl/2008-50"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legislation.act.gov.au/a/2004-59" TargetMode="External"/><Relationship Id="rId661" Type="http://schemas.openxmlformats.org/officeDocument/2006/relationships/hyperlink" Target="http://www.legislation.act.gov.au/af/2006-386/default.asp" TargetMode="External"/><Relationship Id="rId759" Type="http://schemas.openxmlformats.org/officeDocument/2006/relationships/hyperlink" Target="http://www.legislation.act.gov.au/a/2001-14" TargetMode="External"/><Relationship Id="rId966" Type="http://schemas.openxmlformats.org/officeDocument/2006/relationships/hyperlink" Target="http://www.legislation.act.gov.au/sl/2022-19/default.asp" TargetMode="External"/><Relationship Id="rId1291" Type="http://schemas.openxmlformats.org/officeDocument/2006/relationships/hyperlink" Target="http://www.legislation.act.gov.au/a/2015-40/default.asp" TargetMode="External"/><Relationship Id="rId1389" Type="http://schemas.openxmlformats.org/officeDocument/2006/relationships/hyperlink" Target="http://www.legislation.act.gov.au/sl/2011-34" TargetMode="External"/><Relationship Id="rId1596" Type="http://schemas.openxmlformats.org/officeDocument/2006/relationships/hyperlink" Target="http://www.legislation.act.gov.au/sl/2024-9/" TargetMode="External"/><Relationship Id="rId2135" Type="http://schemas.openxmlformats.org/officeDocument/2006/relationships/hyperlink" Target="http://www.legislation.act.gov.au/sl/2012-43" TargetMode="External"/><Relationship Id="rId2342" Type="http://schemas.openxmlformats.org/officeDocument/2006/relationships/hyperlink" Target="http://www.legislation.act.gov.au/sl/2023-36/" TargetMode="External"/><Relationship Id="rId2647" Type="http://schemas.openxmlformats.org/officeDocument/2006/relationships/hyperlink" Target="http://www.legislation.act.gov.au/sl/2011-34" TargetMode="External"/><Relationship Id="rId2994" Type="http://schemas.openxmlformats.org/officeDocument/2006/relationships/hyperlink" Target="http://www.legislation.act.gov.au/a/2010-2" TargetMode="External"/><Relationship Id="rId314" Type="http://schemas.openxmlformats.org/officeDocument/2006/relationships/hyperlink" Target="http://www.legislation.act.gov.au/af/2017-177/default.asp" TargetMode="External"/><Relationship Id="rId521" Type="http://schemas.openxmlformats.org/officeDocument/2006/relationships/hyperlink" Target="http://www.legislation.act.gov.au/af/2006-496/default.asp" TargetMode="External"/><Relationship Id="rId619" Type="http://schemas.openxmlformats.org/officeDocument/2006/relationships/hyperlink" Target="http://www.comlaw.gov.au/Details/C2013C00180" TargetMode="External"/><Relationship Id="rId1151" Type="http://schemas.openxmlformats.org/officeDocument/2006/relationships/hyperlink" Target="http://www.comlaw.gov.au/Series/C2004A00818" TargetMode="External"/><Relationship Id="rId1249" Type="http://schemas.openxmlformats.org/officeDocument/2006/relationships/hyperlink" Target="http://www.legislation.act.gov.au/sl/2008-25" TargetMode="External"/><Relationship Id="rId2202" Type="http://schemas.openxmlformats.org/officeDocument/2006/relationships/hyperlink" Target="http://www.legislation.act.gov.au/sl/2015-22" TargetMode="External"/><Relationship Id="rId2854" Type="http://schemas.openxmlformats.org/officeDocument/2006/relationships/hyperlink" Target="http://www.legislation.act.gov.au/sl/2011-17" TargetMode="External"/><Relationship Id="rId95" Type="http://schemas.openxmlformats.org/officeDocument/2006/relationships/hyperlink" Target="http://www.legislation.act.gov.au/af/2006-266/default.asp" TargetMode="External"/><Relationship Id="rId826" Type="http://schemas.openxmlformats.org/officeDocument/2006/relationships/hyperlink" Target="http://www.legislation.act.gov.au/a/1930-21" TargetMode="External"/><Relationship Id="rId1011" Type="http://schemas.openxmlformats.org/officeDocument/2006/relationships/hyperlink" Target="http://www.comlaw.gov.au/Series/C2004A00818"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2-24" TargetMode="External"/><Relationship Id="rId1663" Type="http://schemas.openxmlformats.org/officeDocument/2006/relationships/hyperlink" Target="http://www.legislation.act.gov.au/sl/2022-2/" TargetMode="External"/><Relationship Id="rId1870" Type="http://schemas.openxmlformats.org/officeDocument/2006/relationships/hyperlink" Target="http://www.legislation.act.gov.au/sl/2009-32"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09-32" TargetMode="External"/><Relationship Id="rId2714" Type="http://schemas.openxmlformats.org/officeDocument/2006/relationships/hyperlink" Target="http://www.legislation.act.gov.au/sl/2008-25" TargetMode="External"/><Relationship Id="rId2921" Type="http://schemas.openxmlformats.org/officeDocument/2006/relationships/hyperlink" Target="http://www.legislation.act.gov.au/sl/2006-58" TargetMode="External"/><Relationship Id="rId1316" Type="http://schemas.openxmlformats.org/officeDocument/2006/relationships/hyperlink" Target="http://www.legislation.act.gov.au/sl/2022-2/default.asp" TargetMode="External"/><Relationship Id="rId1523" Type="http://schemas.openxmlformats.org/officeDocument/2006/relationships/hyperlink" Target="http://www.legislation.act.gov.au/sl/2007-16" TargetMode="External"/><Relationship Id="rId1730" Type="http://schemas.openxmlformats.org/officeDocument/2006/relationships/hyperlink" Target="http://www.legislation.act.gov.au/sl/2019-11/default.asp" TargetMode="External"/><Relationship Id="rId22" Type="http://schemas.openxmlformats.org/officeDocument/2006/relationships/footer" Target="footer3.xml"/><Relationship Id="rId1828" Type="http://schemas.openxmlformats.org/officeDocument/2006/relationships/hyperlink" Target="http://www.legislation.act.gov.au/sl/2009-32" TargetMode="External"/><Relationship Id="rId3043" Type="http://schemas.openxmlformats.org/officeDocument/2006/relationships/hyperlink" Target="http://www.legislation.act.gov.au/sl/2016-33/default.asp" TargetMode="External"/><Relationship Id="rId171" Type="http://schemas.openxmlformats.org/officeDocument/2006/relationships/hyperlink" Target="http://www.legislation.act.gov.au/a/1985-66" TargetMode="External"/><Relationship Id="rId2297" Type="http://schemas.openxmlformats.org/officeDocument/2006/relationships/hyperlink" Target="http://www.legislation.act.gov.au/sl/2008-25" TargetMode="External"/><Relationship Id="rId269" Type="http://schemas.openxmlformats.org/officeDocument/2006/relationships/hyperlink" Target="http://www.legislation.act.gov.au/af/2017-162/default.asp" TargetMode="External"/><Relationship Id="rId476" Type="http://schemas.openxmlformats.org/officeDocument/2006/relationships/hyperlink" Target="http://www.legislation.act.gov.au/a/alt_a1989-33co/default.asp" TargetMode="External"/><Relationship Id="rId683" Type="http://schemas.openxmlformats.org/officeDocument/2006/relationships/hyperlink" Target="http://www.legislation.act.gov.au/af/2015-36/default.asp" TargetMode="External"/><Relationship Id="rId890" Type="http://schemas.openxmlformats.org/officeDocument/2006/relationships/hyperlink" Target="http://www.comlaw.gov.au/Series/C2004A04735" TargetMode="External"/><Relationship Id="rId2157" Type="http://schemas.openxmlformats.org/officeDocument/2006/relationships/hyperlink" Target="http://www.legislation.act.gov.au/sl/2013-18/default.asp" TargetMode="External"/><Relationship Id="rId2364" Type="http://schemas.openxmlformats.org/officeDocument/2006/relationships/hyperlink" Target="http://www.legislation.act.gov.au/sl/2024-9/" TargetMode="External"/><Relationship Id="rId2571" Type="http://schemas.openxmlformats.org/officeDocument/2006/relationships/hyperlink" Target="http://www.legislation.act.gov.au/sl/2021-15/default.asp" TargetMode="External"/><Relationship Id="rId129" Type="http://schemas.openxmlformats.org/officeDocument/2006/relationships/hyperlink" Target="http://www.legislation.act.gov.au/af/2006-281/default.asp" TargetMode="External"/><Relationship Id="rId336" Type="http://schemas.openxmlformats.org/officeDocument/2006/relationships/hyperlink" Target="http://www.legislation.act.gov.au/a/1993-20" TargetMode="External"/><Relationship Id="rId543" Type="http://schemas.openxmlformats.org/officeDocument/2006/relationships/hyperlink" Target="http://www.legislation.act.gov.au/a/2004-59" TargetMode="External"/><Relationship Id="rId988" Type="http://schemas.openxmlformats.org/officeDocument/2006/relationships/footer" Target="footer46.xml"/><Relationship Id="rId1173" Type="http://schemas.openxmlformats.org/officeDocument/2006/relationships/footer" Target="footer57.xml"/><Relationship Id="rId1380" Type="http://schemas.openxmlformats.org/officeDocument/2006/relationships/hyperlink" Target="http://www.legislation.act.gov.au/sl/2014-34" TargetMode="External"/><Relationship Id="rId2017" Type="http://schemas.openxmlformats.org/officeDocument/2006/relationships/hyperlink" Target="http://www.legislation.act.gov.au/sl/2015-12" TargetMode="External"/><Relationship Id="rId2224" Type="http://schemas.openxmlformats.org/officeDocument/2006/relationships/hyperlink" Target="http://www.legislation.act.gov.au/sl/2010-51" TargetMode="External"/><Relationship Id="rId2669" Type="http://schemas.openxmlformats.org/officeDocument/2006/relationships/hyperlink" Target="http://www.legislation.act.gov.au/sl/2014-34" TargetMode="External"/><Relationship Id="rId2876" Type="http://schemas.openxmlformats.org/officeDocument/2006/relationships/hyperlink" Target="http://www.legislation.act.gov.au/sl/2006-58" TargetMode="External"/><Relationship Id="rId403" Type="http://schemas.openxmlformats.org/officeDocument/2006/relationships/hyperlink" Target="http://www.legislation.act.gov.au/a/1993-60" TargetMode="External"/><Relationship Id="rId750" Type="http://schemas.openxmlformats.org/officeDocument/2006/relationships/hyperlink" Target="http://www.legislation.act.gov.au/a/2004-5" TargetMode="External"/><Relationship Id="rId848" Type="http://schemas.openxmlformats.org/officeDocument/2006/relationships/hyperlink" Target="http://www.legislation.act.gov.au/a/1986-84"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2-43" TargetMode="External"/><Relationship Id="rId1685" Type="http://schemas.openxmlformats.org/officeDocument/2006/relationships/hyperlink" Target="http://www.legislation.act.gov.au/sl/2017-17/default.asp" TargetMode="External"/><Relationship Id="rId1892" Type="http://schemas.openxmlformats.org/officeDocument/2006/relationships/hyperlink" Target="http://www.legislation.act.gov.au/sl/2009-32" TargetMode="External"/><Relationship Id="rId2431" Type="http://schemas.openxmlformats.org/officeDocument/2006/relationships/hyperlink" Target="http://www.legislation.act.gov.au/sl/2020-9/default.asp" TargetMode="External"/><Relationship Id="rId2529" Type="http://schemas.openxmlformats.org/officeDocument/2006/relationships/hyperlink" Target="http://www.legislation.act.gov.au/sl/2009-32" TargetMode="External"/><Relationship Id="rId2736" Type="http://schemas.openxmlformats.org/officeDocument/2006/relationships/hyperlink" Target="http://www.legislation.act.gov.au/sl/2008-25" TargetMode="External"/><Relationship Id="rId610" Type="http://schemas.openxmlformats.org/officeDocument/2006/relationships/hyperlink" Target="http://www.legislation.act.gov.au/a/2000-61/default.asp" TargetMode="External"/><Relationship Id="rId708" Type="http://schemas.openxmlformats.org/officeDocument/2006/relationships/hyperlink" Target="http://www.legislation.act.gov.au/a/1930-21" TargetMode="External"/><Relationship Id="rId915" Type="http://schemas.openxmlformats.org/officeDocument/2006/relationships/hyperlink" Target="http://www.comlaw.gov.au/Series/C2010A00035" TargetMode="External"/><Relationship Id="rId1240" Type="http://schemas.openxmlformats.org/officeDocument/2006/relationships/footer" Target="footer63.xml"/><Relationship Id="rId1338" Type="http://schemas.openxmlformats.org/officeDocument/2006/relationships/hyperlink" Target="http://www.legislation.act.gov.au/sl/2014-9" TargetMode="External"/><Relationship Id="rId1545" Type="http://schemas.openxmlformats.org/officeDocument/2006/relationships/hyperlink" Target="http://www.legislation.act.gov.au/sl/2014-34" TargetMode="External"/><Relationship Id="rId2943" Type="http://schemas.openxmlformats.org/officeDocument/2006/relationships/hyperlink" Target="http://www.legislation.act.gov.au/sl/2013-18/default.asp" TargetMode="Externa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11-17" TargetMode="External"/><Relationship Id="rId1752" Type="http://schemas.openxmlformats.org/officeDocument/2006/relationships/hyperlink" Target="http://www.legislation.act.gov.au/sl/2019-11/default.asp" TargetMode="External"/><Relationship Id="rId2803" Type="http://schemas.openxmlformats.org/officeDocument/2006/relationships/hyperlink" Target="http://www.legislation.act.gov.au/sl/2017-17/default.asp" TargetMode="External"/><Relationship Id="rId44" Type="http://schemas.openxmlformats.org/officeDocument/2006/relationships/hyperlink" Target="http://www.legislation.act.gov.au/a/1930-21" TargetMode="External"/><Relationship Id="rId1612" Type="http://schemas.openxmlformats.org/officeDocument/2006/relationships/hyperlink" Target="http://www.legislation.act.gov.au/sl/2006-58" TargetMode="External"/><Relationship Id="rId1917" Type="http://schemas.openxmlformats.org/officeDocument/2006/relationships/hyperlink" Target="http://www.legislation.act.gov.au/sl/2006-58" TargetMode="External"/><Relationship Id="rId3065" Type="http://schemas.openxmlformats.org/officeDocument/2006/relationships/hyperlink" Target="http://www.legislation.act.gov.au/sl/2020-20/" TargetMode="External"/><Relationship Id="rId193" Type="http://schemas.openxmlformats.org/officeDocument/2006/relationships/hyperlink" Target="http://www.legislation.act.gov.au/af/2006-304/default.asp" TargetMode="External"/><Relationship Id="rId498" Type="http://schemas.openxmlformats.org/officeDocument/2006/relationships/hyperlink" Target="http://www.legislation.act.gov.au/a/2008-46" TargetMode="External"/><Relationship Id="rId2081" Type="http://schemas.openxmlformats.org/officeDocument/2006/relationships/hyperlink" Target="http://www.legislation.act.gov.au/sl/2019-30/" TargetMode="External"/><Relationship Id="rId2179" Type="http://schemas.openxmlformats.org/officeDocument/2006/relationships/hyperlink" Target="http://www.legislation.act.gov.au/sl/2012-43" TargetMode="External"/><Relationship Id="rId260" Type="http://schemas.openxmlformats.org/officeDocument/2006/relationships/hyperlink" Target="http://www.legislation.act.gov.au/a/2004-59" TargetMode="External"/><Relationship Id="rId2386" Type="http://schemas.openxmlformats.org/officeDocument/2006/relationships/hyperlink" Target="http://www.legislation.act.gov.au/sl/2011-17" TargetMode="External"/><Relationship Id="rId2593" Type="http://schemas.openxmlformats.org/officeDocument/2006/relationships/hyperlink" Target="http://www.legislation.act.gov.au/sl/2013-18/default.asp" TargetMode="External"/><Relationship Id="rId120" Type="http://schemas.openxmlformats.org/officeDocument/2006/relationships/hyperlink" Target="http://www.legislation.act.gov.au/a/2011-12/default.asp" TargetMode="External"/><Relationship Id="rId358" Type="http://schemas.openxmlformats.org/officeDocument/2006/relationships/hyperlink" Target="http://www.comlaw.gov.au/Series/C2004A04735" TargetMode="External"/><Relationship Id="rId565" Type="http://schemas.openxmlformats.org/officeDocument/2006/relationships/hyperlink" Target="http://www.legislation.act.gov.au/a/2002-51" TargetMode="External"/><Relationship Id="rId772" Type="http://schemas.openxmlformats.org/officeDocument/2006/relationships/hyperlink" Target="http://www.legislation.act.gov.au/a/2017-7/default.asp" TargetMode="External"/><Relationship Id="rId1195" Type="http://schemas.openxmlformats.org/officeDocument/2006/relationships/hyperlink" Target="http://www.legislation.act.gov.au/af/2008-144/default.asp" TargetMode="External"/><Relationship Id="rId2039" Type="http://schemas.openxmlformats.org/officeDocument/2006/relationships/hyperlink" Target="http://www.legislation.act.gov.au/sl/2006-58" TargetMode="External"/><Relationship Id="rId2246" Type="http://schemas.openxmlformats.org/officeDocument/2006/relationships/hyperlink" Target="http://www.legislation.act.gov.au/sl/2006-58" TargetMode="External"/><Relationship Id="rId2453" Type="http://schemas.openxmlformats.org/officeDocument/2006/relationships/hyperlink" Target="http://www.legislation.act.gov.au/sl/2023-36/" TargetMode="External"/><Relationship Id="rId2660" Type="http://schemas.openxmlformats.org/officeDocument/2006/relationships/hyperlink" Target="http://www.legislation.act.gov.au/sl/2011-17" TargetMode="External"/><Relationship Id="rId2898" Type="http://schemas.openxmlformats.org/officeDocument/2006/relationships/hyperlink" Target="http://www.legislation.act.gov.au/sl/2006-58" TargetMode="External"/><Relationship Id="rId218" Type="http://schemas.openxmlformats.org/officeDocument/2006/relationships/footer" Target="footer12.xm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1930-21" TargetMode="External"/><Relationship Id="rId1055" Type="http://schemas.openxmlformats.org/officeDocument/2006/relationships/header" Target="header41.xml"/><Relationship Id="rId1262" Type="http://schemas.openxmlformats.org/officeDocument/2006/relationships/hyperlink" Target="http://www.legislation.act.gov.au/sl/2009-11" TargetMode="External"/><Relationship Id="rId2106" Type="http://schemas.openxmlformats.org/officeDocument/2006/relationships/hyperlink" Target="http://www.legislation.act.gov.au/sl/2006-58" TargetMode="External"/><Relationship Id="rId2313" Type="http://schemas.openxmlformats.org/officeDocument/2006/relationships/hyperlink" Target="http://www.legislation.act.gov.au/sl/2016-17" TargetMode="External"/><Relationship Id="rId2520" Type="http://schemas.openxmlformats.org/officeDocument/2006/relationships/hyperlink" Target="http://www.legislation.act.gov.au/sl/2009-32" TargetMode="External"/><Relationship Id="rId2758" Type="http://schemas.openxmlformats.org/officeDocument/2006/relationships/hyperlink" Target="http://www.legislation.act.gov.au/sl/2008-25" TargetMode="External"/><Relationship Id="rId2965" Type="http://schemas.openxmlformats.org/officeDocument/2006/relationships/hyperlink" Target="http://www.legislation.act.gov.au/sl/2007-37" TargetMode="External"/><Relationship Id="rId937" Type="http://schemas.openxmlformats.org/officeDocument/2006/relationships/hyperlink" Target="http://www.legislation.act.gov.au/a/2004-59"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08-25" TargetMode="External"/><Relationship Id="rId1774" Type="http://schemas.openxmlformats.org/officeDocument/2006/relationships/hyperlink" Target="http://www.legislation.act.gov.au/sl/2006-58" TargetMode="External"/><Relationship Id="rId1981" Type="http://schemas.openxmlformats.org/officeDocument/2006/relationships/hyperlink" Target="http://www.legislation.act.gov.au/sl/2006-58" TargetMode="External"/><Relationship Id="rId2618" Type="http://schemas.openxmlformats.org/officeDocument/2006/relationships/hyperlink" Target="http://www.legislation.act.gov.au/sl/2011-33" TargetMode="External"/><Relationship Id="rId2825" Type="http://schemas.openxmlformats.org/officeDocument/2006/relationships/hyperlink" Target="http://www.legislation.act.gov.au/sl/2009-32" TargetMode="Externa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sl/2006-58" TargetMode="External"/><Relationship Id="rId1634" Type="http://schemas.openxmlformats.org/officeDocument/2006/relationships/hyperlink" Target="http://www.legislation.act.gov.au/sl/2016-17" TargetMode="External"/><Relationship Id="rId1841" Type="http://schemas.openxmlformats.org/officeDocument/2006/relationships/hyperlink" Target="http://www.legislation.act.gov.au/sl/2006-58" TargetMode="External"/><Relationship Id="rId3087" Type="http://schemas.openxmlformats.org/officeDocument/2006/relationships/header" Target="header57.xml"/><Relationship Id="rId1939" Type="http://schemas.openxmlformats.org/officeDocument/2006/relationships/hyperlink" Target="http://www.legislation.act.gov.au/sl/2017-10/default.asp" TargetMode="External"/><Relationship Id="rId1701" Type="http://schemas.openxmlformats.org/officeDocument/2006/relationships/hyperlink" Target="http://www.legislation.act.gov.au/sl/2017-17/default.asp" TargetMode="External"/><Relationship Id="rId282" Type="http://schemas.openxmlformats.org/officeDocument/2006/relationships/hyperlink" Target="http://www.legislation.act.gov.au/a/1929-18/default.asp" TargetMode="External"/><Relationship Id="rId587" Type="http://schemas.openxmlformats.org/officeDocument/2006/relationships/hyperlink" Target="http://www.legislation.act.gov.au/a/2005-58" TargetMode="External"/><Relationship Id="rId2170" Type="http://schemas.openxmlformats.org/officeDocument/2006/relationships/hyperlink" Target="http://www.legislation.act.gov.au/sl/2012-43" TargetMode="External"/><Relationship Id="rId2268" Type="http://schemas.openxmlformats.org/officeDocument/2006/relationships/hyperlink" Target="http://www.legislation.act.gov.au/sl/2016-33" TargetMode="External"/><Relationship Id="rId3014" Type="http://schemas.openxmlformats.org/officeDocument/2006/relationships/hyperlink" Target="http://www.legislation.act.gov.au/sl/2012-4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comlaw.gov.au/Series/C2004A04187" TargetMode="External"/><Relationship Id="rId794" Type="http://schemas.openxmlformats.org/officeDocument/2006/relationships/hyperlink" Target="http://www.legislation.act.gov.au/a/2001-14" TargetMode="External"/><Relationship Id="rId1077" Type="http://schemas.openxmlformats.org/officeDocument/2006/relationships/hyperlink" Target="http://www.comlaw.gov.au/Series/C2004A00818" TargetMode="External"/><Relationship Id="rId2030" Type="http://schemas.openxmlformats.org/officeDocument/2006/relationships/hyperlink" Target="http://www.legislation.act.gov.au/sl/2015-12" TargetMode="External"/><Relationship Id="rId2128" Type="http://schemas.openxmlformats.org/officeDocument/2006/relationships/hyperlink" Target="http://www.legislation.act.gov.au/sl/2017-9/default.asp" TargetMode="External"/><Relationship Id="rId2475" Type="http://schemas.openxmlformats.org/officeDocument/2006/relationships/hyperlink" Target="http://www.legislation.act.gov.au/sl/2017-17/default.asp" TargetMode="External"/><Relationship Id="rId2682" Type="http://schemas.openxmlformats.org/officeDocument/2006/relationships/hyperlink" Target="http://www.legislation.act.gov.au/sl/2006-58" TargetMode="External"/><Relationship Id="rId2987" Type="http://schemas.openxmlformats.org/officeDocument/2006/relationships/hyperlink" Target="http://www.legislation.act.gov.au/a/2009-49" TargetMode="External"/><Relationship Id="rId654" Type="http://schemas.openxmlformats.org/officeDocument/2006/relationships/hyperlink" Target="http://www.legislation.act.gov.au/a/1930-21" TargetMode="External"/><Relationship Id="rId861" Type="http://schemas.openxmlformats.org/officeDocument/2006/relationships/hyperlink" Target="http://www.legislation.act.gov.au/a/1991-34" TargetMode="External"/><Relationship Id="rId959" Type="http://schemas.openxmlformats.org/officeDocument/2006/relationships/header" Target="header25.xml"/><Relationship Id="rId1284" Type="http://schemas.openxmlformats.org/officeDocument/2006/relationships/hyperlink" Target="http://www.legislation.act.gov.au/sl/2013-18" TargetMode="External"/><Relationship Id="rId1491" Type="http://schemas.openxmlformats.org/officeDocument/2006/relationships/hyperlink" Target="http://www.legislation.act.gov.au/sl/2015-22" TargetMode="External"/><Relationship Id="rId1589" Type="http://schemas.openxmlformats.org/officeDocument/2006/relationships/hyperlink" Target="http://www.legislation.act.gov.au/sl/2010-24" TargetMode="External"/><Relationship Id="rId2335" Type="http://schemas.openxmlformats.org/officeDocument/2006/relationships/hyperlink" Target="http://www.legislation.act.gov.au/sl/2023-36/" TargetMode="External"/><Relationship Id="rId2542" Type="http://schemas.openxmlformats.org/officeDocument/2006/relationships/hyperlink" Target="http://www.legislation.act.gov.au/sl/2009-56" TargetMode="External"/><Relationship Id="rId307" Type="http://schemas.openxmlformats.org/officeDocument/2006/relationships/hyperlink" Target="http://www.legislation.act.gov.au/af/2022-5/default.asp" TargetMode="External"/><Relationship Id="rId514" Type="http://schemas.openxmlformats.org/officeDocument/2006/relationships/hyperlink" Target="http://www.legislation.act.gov.au/a/1951-2/default.asp" TargetMode="External"/><Relationship Id="rId721" Type="http://schemas.openxmlformats.org/officeDocument/2006/relationships/hyperlink" Target="http://www.legislation.act.gov.au/a/1933-34" TargetMode="External"/><Relationship Id="rId1144" Type="http://schemas.openxmlformats.org/officeDocument/2006/relationships/hyperlink" Target="http://www.comlaw.gov.au/Series/C2004A00818" TargetMode="External"/><Relationship Id="rId1351" Type="http://schemas.openxmlformats.org/officeDocument/2006/relationships/hyperlink" Target="http://www.legislation.act.gov.au/sl/2023-36/" TargetMode="External"/><Relationship Id="rId1449" Type="http://schemas.openxmlformats.org/officeDocument/2006/relationships/hyperlink" Target="http://www.legislation.act.gov.au/sl/2012-24" TargetMode="External"/><Relationship Id="rId1796" Type="http://schemas.openxmlformats.org/officeDocument/2006/relationships/hyperlink" Target="http://www.legislation.act.gov.au/sl/2006-58" TargetMode="External"/><Relationship Id="rId2402" Type="http://schemas.openxmlformats.org/officeDocument/2006/relationships/hyperlink" Target="http://www.legislation.act.gov.au/sl/2010-24" TargetMode="External"/><Relationship Id="rId2847" Type="http://schemas.openxmlformats.org/officeDocument/2006/relationships/hyperlink" Target="http://www.legislation.act.gov.au/sl/2012-43" TargetMode="External"/><Relationship Id="rId88" Type="http://schemas.openxmlformats.org/officeDocument/2006/relationships/hyperlink" Target="http://www.legislation.act.gov.au/a/1930-21" TargetMode="External"/><Relationship Id="rId819" Type="http://schemas.openxmlformats.org/officeDocument/2006/relationships/hyperlink" Target="http://www.comlaw.gov.au/Series/C2011A00126" TargetMode="External"/><Relationship Id="rId1004" Type="http://schemas.openxmlformats.org/officeDocument/2006/relationships/hyperlink" Target="http://www.comlaw.gov.au/Series/C2004A00819" TargetMode="External"/><Relationship Id="rId1211" Type="http://schemas.openxmlformats.org/officeDocument/2006/relationships/header" Target="header53.xml"/><Relationship Id="rId1656" Type="http://schemas.openxmlformats.org/officeDocument/2006/relationships/hyperlink" Target="http://www.legislation.act.gov.au/sl/2009-56" TargetMode="External"/><Relationship Id="rId1863" Type="http://schemas.openxmlformats.org/officeDocument/2006/relationships/hyperlink" Target="http://www.legislation.act.gov.au/sl/2006-58" TargetMode="External"/><Relationship Id="rId2707" Type="http://schemas.openxmlformats.org/officeDocument/2006/relationships/hyperlink" Target="http://www.legislation.act.gov.au/sl/2014-34" TargetMode="External"/><Relationship Id="rId2914" Type="http://schemas.openxmlformats.org/officeDocument/2006/relationships/hyperlink" Target="http://www.legislation.act.gov.au/sl/2017-17/default.asp" TargetMode="External"/><Relationship Id="rId1309" Type="http://schemas.openxmlformats.org/officeDocument/2006/relationships/hyperlink" Target="https://www.legislation.act.gov.au/a/2019-41/" TargetMode="External"/><Relationship Id="rId1516" Type="http://schemas.openxmlformats.org/officeDocument/2006/relationships/hyperlink" Target="http://www.legislation.act.gov.au/sl/2012-43" TargetMode="External"/><Relationship Id="rId1723" Type="http://schemas.openxmlformats.org/officeDocument/2006/relationships/hyperlink" Target="http://www.legislation.act.gov.au/sl/2014-9" TargetMode="External"/><Relationship Id="rId1930" Type="http://schemas.openxmlformats.org/officeDocument/2006/relationships/hyperlink" Target="http://www.legislation.act.gov.au/sl/2009-32"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sl/2006-58" TargetMode="External"/><Relationship Id="rId3036" Type="http://schemas.openxmlformats.org/officeDocument/2006/relationships/hyperlink" Target="http://www.legislation.act.gov.au/sl/2015-42/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f/2010-142/default.asp" TargetMode="External"/><Relationship Id="rId2052" Type="http://schemas.openxmlformats.org/officeDocument/2006/relationships/hyperlink" Target="http://www.legislation.act.gov.au/sl/2006-58" TargetMode="External"/><Relationship Id="rId2497" Type="http://schemas.openxmlformats.org/officeDocument/2006/relationships/hyperlink" Target="http://www.legislation.act.gov.au/sl/2009-32" TargetMode="External"/><Relationship Id="rId469" Type="http://schemas.openxmlformats.org/officeDocument/2006/relationships/hyperlink" Target="http://www.legislation.act.gov.au/a/alt_a1989-33co/default.asp" TargetMode="External"/><Relationship Id="rId676" Type="http://schemas.openxmlformats.org/officeDocument/2006/relationships/hyperlink" Target="http://www.legislation.act.gov.au/a/1930-21" TargetMode="External"/><Relationship Id="rId883" Type="http://schemas.openxmlformats.org/officeDocument/2006/relationships/header" Target="header19.xml"/><Relationship Id="rId1099" Type="http://schemas.openxmlformats.org/officeDocument/2006/relationships/hyperlink" Target="http://www.comlaw.gov.au/Series/C2004A00818" TargetMode="External"/><Relationship Id="rId2357" Type="http://schemas.openxmlformats.org/officeDocument/2006/relationships/hyperlink" Target="http://www.legislation.act.gov.au/sl/2018-25/default.asp" TargetMode="External"/><Relationship Id="rId2564" Type="http://schemas.openxmlformats.org/officeDocument/2006/relationships/hyperlink" Target="http://www.legislation.act.gov.au/sl/2011-33" TargetMode="External"/><Relationship Id="rId231" Type="http://schemas.openxmlformats.org/officeDocument/2006/relationships/hyperlink" Target="http://www.comlaw.gov.au/Series/C2004A02905" TargetMode="External"/><Relationship Id="rId329" Type="http://schemas.openxmlformats.org/officeDocument/2006/relationships/hyperlink" Target="http://www.legislation.act.gov.au/af/2017-182/default.asp" TargetMode="External"/><Relationship Id="rId536" Type="http://schemas.openxmlformats.org/officeDocument/2006/relationships/hyperlink" Target="http://www.legislation.act.gov.au/a/1951-2/default.asp" TargetMode="External"/><Relationship Id="rId1166" Type="http://schemas.openxmlformats.org/officeDocument/2006/relationships/hyperlink" Target="http://www.comlaw.gov.au/Series/C2004A00818" TargetMode="External"/><Relationship Id="rId1373" Type="http://schemas.openxmlformats.org/officeDocument/2006/relationships/hyperlink" Target="http://www.legislation.act.gov.au/sl/2023-15/default.asp" TargetMode="External"/><Relationship Id="rId2217" Type="http://schemas.openxmlformats.org/officeDocument/2006/relationships/hyperlink" Target="http://www.legislation.act.gov.au/sl/2009-56" TargetMode="External"/><Relationship Id="rId2771" Type="http://schemas.openxmlformats.org/officeDocument/2006/relationships/hyperlink" Target="http://www.legislation.act.gov.au/sl/2008-25" TargetMode="External"/><Relationship Id="rId2869" Type="http://schemas.openxmlformats.org/officeDocument/2006/relationships/hyperlink" Target="http://www.legislation.act.gov.au/sl/2006-58" TargetMode="External"/><Relationship Id="rId743" Type="http://schemas.openxmlformats.org/officeDocument/2006/relationships/hyperlink" Target="http://www.legislation.act.gov.au/a/2004-5" TargetMode="External"/><Relationship Id="rId950" Type="http://schemas.openxmlformats.org/officeDocument/2006/relationships/header" Target="header21.xml"/><Relationship Id="rId1026" Type="http://schemas.openxmlformats.org/officeDocument/2006/relationships/hyperlink" Target="https://www.legislation.gov.au/Series/F2001B00274" TargetMode="External"/><Relationship Id="rId1580" Type="http://schemas.openxmlformats.org/officeDocument/2006/relationships/hyperlink" Target="http://www.legislation.act.gov.au/sl/2018-25/default.asp" TargetMode="External"/><Relationship Id="rId1678" Type="http://schemas.openxmlformats.org/officeDocument/2006/relationships/hyperlink" Target="http://www.legislation.act.gov.au/sl/2010-24" TargetMode="External"/><Relationship Id="rId1885" Type="http://schemas.openxmlformats.org/officeDocument/2006/relationships/hyperlink" Target="http://www.legislation.act.gov.au/sl/2006-58" TargetMode="External"/><Relationship Id="rId2424" Type="http://schemas.openxmlformats.org/officeDocument/2006/relationships/hyperlink" Target="http://www.legislation.act.gov.au/sl/2006-58" TargetMode="External"/><Relationship Id="rId2631" Type="http://schemas.openxmlformats.org/officeDocument/2006/relationships/hyperlink" Target="http://www.legislation.act.gov.au/sl/2016-17" TargetMode="External"/><Relationship Id="rId2729" Type="http://schemas.openxmlformats.org/officeDocument/2006/relationships/hyperlink" Target="http://www.legislation.act.gov.au/sl/2008-50" TargetMode="External"/><Relationship Id="rId2936" Type="http://schemas.openxmlformats.org/officeDocument/2006/relationships/hyperlink" Target="http://www.legislation.act.gov.au/sl/2009-32" TargetMode="External"/><Relationship Id="rId603" Type="http://schemas.openxmlformats.org/officeDocument/2006/relationships/hyperlink" Target="http://www.legislation.act.gov.au/af/2024-35/default.asp" TargetMode="External"/><Relationship Id="rId810" Type="http://schemas.openxmlformats.org/officeDocument/2006/relationships/hyperlink" Target="http://www.legislation.act.gov.au/a/2001-14" TargetMode="External"/><Relationship Id="rId908" Type="http://schemas.openxmlformats.org/officeDocument/2006/relationships/hyperlink" Target="http://www.legislation.act.gov.au/af/2024-47/default.asp" TargetMode="External"/><Relationship Id="rId1233" Type="http://schemas.openxmlformats.org/officeDocument/2006/relationships/hyperlink" Target="http://www.legislation.act.gov.au/a/1991-62" TargetMode="External"/><Relationship Id="rId1440" Type="http://schemas.openxmlformats.org/officeDocument/2006/relationships/hyperlink" Target="http://www.legislation.act.gov.au/sl/2006-58" TargetMode="External"/><Relationship Id="rId1538" Type="http://schemas.openxmlformats.org/officeDocument/2006/relationships/hyperlink" Target="http://www.legislation.act.gov.au/sl/2014-34" TargetMode="External"/><Relationship Id="rId1300" Type="http://schemas.openxmlformats.org/officeDocument/2006/relationships/hyperlink" Target="http://www.legislation.act.gov.au/a/2016-42/default.asp" TargetMode="External"/><Relationship Id="rId1745" Type="http://schemas.openxmlformats.org/officeDocument/2006/relationships/hyperlink" Target="http://www.legislation.act.gov.au/sl/2014-9" TargetMode="External"/><Relationship Id="rId1952" Type="http://schemas.openxmlformats.org/officeDocument/2006/relationships/hyperlink" Target="http://www.legislation.act.gov.au/sl/2006-58"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sl/2017-10/default.asp" TargetMode="External"/><Relationship Id="rId1812" Type="http://schemas.openxmlformats.org/officeDocument/2006/relationships/hyperlink" Target="http://www.legislation.act.gov.au/sl/2009-32" TargetMode="External"/><Relationship Id="rId3058" Type="http://schemas.openxmlformats.org/officeDocument/2006/relationships/hyperlink" Target="http://www.legislation.act.gov.au/sl/2019-30/" TargetMode="External"/><Relationship Id="rId186" Type="http://schemas.openxmlformats.org/officeDocument/2006/relationships/hyperlink" Target="http://www.legislation.act.gov.au/af/2006-299/default.asp" TargetMode="External"/><Relationship Id="rId393" Type="http://schemas.openxmlformats.org/officeDocument/2006/relationships/hyperlink" Target="http://www.legislation.act.gov.au/a/2017-7/default.asp" TargetMode="External"/><Relationship Id="rId2074" Type="http://schemas.openxmlformats.org/officeDocument/2006/relationships/hyperlink" Target="http://www.legislation.act.gov.au/sl/2011-33" TargetMode="External"/><Relationship Id="rId2281" Type="http://schemas.openxmlformats.org/officeDocument/2006/relationships/hyperlink" Target="http://www.legislation.act.gov.au/sl/2016-33" TargetMode="External"/><Relationship Id="rId253" Type="http://schemas.openxmlformats.org/officeDocument/2006/relationships/hyperlink" Target="https://legislation.act.gov.au/af/2021-22/" TargetMode="External"/><Relationship Id="rId460" Type="http://schemas.openxmlformats.org/officeDocument/2006/relationships/hyperlink" Target="http://www.legislation.act.gov.au/a/alt_a1989-33co/default.asp" TargetMode="External"/><Relationship Id="rId698" Type="http://schemas.openxmlformats.org/officeDocument/2006/relationships/hyperlink" Target="http://www.legislation.act.gov.au/af/2006-401/default.asp" TargetMode="External"/><Relationship Id="rId1090" Type="http://schemas.openxmlformats.org/officeDocument/2006/relationships/hyperlink" Target="http://www.legislation.act.gov.au/a/2004-59" TargetMode="External"/><Relationship Id="rId2141" Type="http://schemas.openxmlformats.org/officeDocument/2006/relationships/hyperlink" Target="http://www.legislation.act.gov.au/sl/2012-43" TargetMode="External"/><Relationship Id="rId2379" Type="http://schemas.openxmlformats.org/officeDocument/2006/relationships/hyperlink" Target="http://www.legislation.act.gov.au/sl/2015-22" TargetMode="External"/><Relationship Id="rId2586" Type="http://schemas.openxmlformats.org/officeDocument/2006/relationships/hyperlink" Target="http://www.legislation.act.gov.au/sl/2011-34" TargetMode="External"/><Relationship Id="rId2793" Type="http://schemas.openxmlformats.org/officeDocument/2006/relationships/hyperlink" Target="http://www.legislation.act.gov.au/sl/2008-50"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1929-18/default.asp" TargetMode="External"/><Relationship Id="rId558" Type="http://schemas.openxmlformats.org/officeDocument/2006/relationships/hyperlink" Target="https://www.legislation.act.gov.au/af/2024-32/" TargetMode="External"/><Relationship Id="rId765" Type="http://schemas.openxmlformats.org/officeDocument/2006/relationships/hyperlink" Target="http://www.legislation.act.gov.au/a/2004-59" TargetMode="External"/><Relationship Id="rId972" Type="http://schemas.openxmlformats.org/officeDocument/2006/relationships/header" Target="header31.xml"/><Relationship Id="rId1188" Type="http://schemas.openxmlformats.org/officeDocument/2006/relationships/hyperlink" Target="http://www.legislation.act.gov.au/a/2001-14" TargetMode="External"/><Relationship Id="rId1395" Type="http://schemas.openxmlformats.org/officeDocument/2006/relationships/hyperlink" Target="http://www.legislation.act.gov.au/sl/2015-22" TargetMode="External"/><Relationship Id="rId2001" Type="http://schemas.openxmlformats.org/officeDocument/2006/relationships/hyperlink" Target="http://www.legislation.act.gov.au/sl/2006-58" TargetMode="External"/><Relationship Id="rId2239" Type="http://schemas.openxmlformats.org/officeDocument/2006/relationships/hyperlink" Target="http://www.legislation.act.gov.au/sl/2016-33" TargetMode="External"/><Relationship Id="rId2446" Type="http://schemas.openxmlformats.org/officeDocument/2006/relationships/hyperlink" Target="http://www.legislation.act.gov.au/sl/2018-25/default.asp" TargetMode="External"/><Relationship Id="rId2653" Type="http://schemas.openxmlformats.org/officeDocument/2006/relationships/hyperlink" Target="http://www.legislation.act.gov.au/sl/2011-17" TargetMode="External"/><Relationship Id="rId2860" Type="http://schemas.openxmlformats.org/officeDocument/2006/relationships/hyperlink" Target="http://www.legislation.act.gov.au/sl/2015-12"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comlaw.gov.au/Details/C2013C00180" TargetMode="External"/><Relationship Id="rId832" Type="http://schemas.openxmlformats.org/officeDocument/2006/relationships/hyperlink" Target="https://www.legislation.gov.au/Series/C2004A00192" TargetMode="External"/><Relationship Id="rId1048" Type="http://schemas.openxmlformats.org/officeDocument/2006/relationships/hyperlink" Target="http://www.comlaw.gov.au/Series/C2004A00818" TargetMode="External"/><Relationship Id="rId1255" Type="http://schemas.openxmlformats.org/officeDocument/2006/relationships/hyperlink" Target="http://www.legislation.act.gov.au/a/2008-19" TargetMode="External"/><Relationship Id="rId1462" Type="http://schemas.openxmlformats.org/officeDocument/2006/relationships/hyperlink" Target="http://www.legislation.act.gov.au/sl/2012-24" TargetMode="External"/><Relationship Id="rId2306" Type="http://schemas.openxmlformats.org/officeDocument/2006/relationships/hyperlink" Target="http://www.legislation.act.gov.au/sl/2023-36/" TargetMode="External"/><Relationship Id="rId2513" Type="http://schemas.openxmlformats.org/officeDocument/2006/relationships/hyperlink" Target="http://www.legislation.act.gov.au/sl/2009-32" TargetMode="External"/><Relationship Id="rId2958" Type="http://schemas.openxmlformats.org/officeDocument/2006/relationships/hyperlink" Target="http://www.legislation.act.gov.au/sl/2006-58" TargetMode="External"/><Relationship Id="rId1115" Type="http://schemas.openxmlformats.org/officeDocument/2006/relationships/hyperlink" Target="http://www.comlaw.gov.au/Series/C2004A00818" TargetMode="External"/><Relationship Id="rId1322" Type="http://schemas.openxmlformats.org/officeDocument/2006/relationships/hyperlink" Target="http://www.legislation.act.gov.au/sl/2024-37/" TargetMode="External"/><Relationship Id="rId1767" Type="http://schemas.openxmlformats.org/officeDocument/2006/relationships/hyperlink" Target="http://www.legislation.act.gov.au/sl/2011-17" TargetMode="External"/><Relationship Id="rId1974" Type="http://schemas.openxmlformats.org/officeDocument/2006/relationships/hyperlink" Target="http://www.legislation.act.gov.au/sl/2006-58" TargetMode="External"/><Relationship Id="rId2720" Type="http://schemas.openxmlformats.org/officeDocument/2006/relationships/hyperlink" Target="http://www.legislation.act.gov.au/sl/2015-22" TargetMode="External"/><Relationship Id="rId2818" Type="http://schemas.openxmlformats.org/officeDocument/2006/relationships/hyperlink" Target="http://www.legislation.act.gov.au/sl/2012-24" TargetMode="External"/><Relationship Id="rId59" Type="http://schemas.openxmlformats.org/officeDocument/2006/relationships/hyperlink" Target="http://www.legislation.act.gov.au/af/2015-28/default.asp" TargetMode="External"/><Relationship Id="rId1627" Type="http://schemas.openxmlformats.org/officeDocument/2006/relationships/hyperlink" Target="http://www.legislation.act.gov.au/sl/2016-17" TargetMode="External"/><Relationship Id="rId1834" Type="http://schemas.openxmlformats.org/officeDocument/2006/relationships/hyperlink" Target="http://www.legislation.act.gov.au/sl/2009-32" TargetMode="External"/><Relationship Id="rId2096" Type="http://schemas.openxmlformats.org/officeDocument/2006/relationships/hyperlink" Target="http://www.legislation.act.gov.au/sl/2006-58" TargetMode="External"/><Relationship Id="rId1901" Type="http://schemas.openxmlformats.org/officeDocument/2006/relationships/hyperlink" Target="http://www.legislation.act.gov.au/sl/2006-58" TargetMode="External"/><Relationship Id="rId275" Type="http://schemas.openxmlformats.org/officeDocument/2006/relationships/hyperlink" Target="http://www.legislation.act.gov.au/af/2022-8/default.asp" TargetMode="External"/><Relationship Id="rId482" Type="http://schemas.openxmlformats.org/officeDocument/2006/relationships/hyperlink" Target="http://www.legislation.act.gov.au/a/alt_a1989-33co/default.asp" TargetMode="External"/><Relationship Id="rId2163" Type="http://schemas.openxmlformats.org/officeDocument/2006/relationships/hyperlink" Target="http://www.legislation.act.gov.au/sl/2012-43" TargetMode="External"/><Relationship Id="rId2370" Type="http://schemas.openxmlformats.org/officeDocument/2006/relationships/hyperlink" Target="http://www.legislation.act.gov.au/sl/2015-22" TargetMode="External"/><Relationship Id="rId3007" Type="http://schemas.openxmlformats.org/officeDocument/2006/relationships/hyperlink" Target="http://www.legislation.act.gov.au/sl/2011-3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1993-20/default.asp" TargetMode="External"/><Relationship Id="rId787" Type="http://schemas.openxmlformats.org/officeDocument/2006/relationships/hyperlink" Target="http://www.legislation.act.gov.au/a/2000-61" TargetMode="External"/><Relationship Id="rId994" Type="http://schemas.openxmlformats.org/officeDocument/2006/relationships/hyperlink" Target="http://www.comlaw.gov.au/Series/C2008A00024" TargetMode="External"/><Relationship Id="rId2023" Type="http://schemas.openxmlformats.org/officeDocument/2006/relationships/hyperlink" Target="http://www.legislation.act.gov.au/sl/2015-12" TargetMode="External"/><Relationship Id="rId2230" Type="http://schemas.openxmlformats.org/officeDocument/2006/relationships/hyperlink" Target="http://www.legislation.act.gov.au/sl/2023-36/" TargetMode="External"/><Relationship Id="rId2468" Type="http://schemas.openxmlformats.org/officeDocument/2006/relationships/hyperlink" Target="http://www.legislation.act.gov.au/sl/2017-17/default.asp" TargetMode="External"/><Relationship Id="rId2675" Type="http://schemas.openxmlformats.org/officeDocument/2006/relationships/hyperlink" Target="http://www.legislation.act.gov.au/sl/2017-17/default.asp" TargetMode="External"/><Relationship Id="rId2882" Type="http://schemas.openxmlformats.org/officeDocument/2006/relationships/hyperlink" Target="http://www.legislation.act.gov.au/sl/2024-9/" TargetMode="External"/><Relationship Id="rId202" Type="http://schemas.openxmlformats.org/officeDocument/2006/relationships/hyperlink" Target="http://www.legislation.act.gov.au/af/2006-308/default.asp" TargetMode="External"/><Relationship Id="rId647" Type="http://schemas.openxmlformats.org/officeDocument/2006/relationships/hyperlink" Target="http://www.legislation.act.gov.au/a/2006-25" TargetMode="External"/><Relationship Id="rId854" Type="http://schemas.openxmlformats.org/officeDocument/2006/relationships/hyperlink" Target="http://www.legislation.act.gov.au/af/2009-288/default.asp" TargetMode="External"/><Relationship Id="rId1277" Type="http://schemas.openxmlformats.org/officeDocument/2006/relationships/hyperlink" Target="http://www.comlaw.gov.au/Details/F2013L01445" TargetMode="External"/><Relationship Id="rId1484" Type="http://schemas.openxmlformats.org/officeDocument/2006/relationships/hyperlink" Target="http://www.legislation.act.gov.au/sl/2012-43" TargetMode="External"/><Relationship Id="rId1691" Type="http://schemas.openxmlformats.org/officeDocument/2006/relationships/hyperlink" Target="http://www.legislation.act.gov.au/sl/2017-17/default.asp" TargetMode="External"/><Relationship Id="rId2328" Type="http://schemas.openxmlformats.org/officeDocument/2006/relationships/hyperlink" Target="http://www.legislation.act.gov.au/sl/2012-43" TargetMode="External"/><Relationship Id="rId2535" Type="http://schemas.openxmlformats.org/officeDocument/2006/relationships/hyperlink" Target="http://www.legislation.act.gov.au/sl/2024-9/" TargetMode="External"/><Relationship Id="rId2742" Type="http://schemas.openxmlformats.org/officeDocument/2006/relationships/hyperlink" Target="http://www.legislation.act.gov.au/sl/2012-43" TargetMode="External"/><Relationship Id="rId507" Type="http://schemas.openxmlformats.org/officeDocument/2006/relationships/hyperlink" Target="http://www.legislation.act.gov.au/a/1951-2/default.asp" TargetMode="External"/><Relationship Id="rId714" Type="http://schemas.openxmlformats.org/officeDocument/2006/relationships/hyperlink" Target="http://www.legislation.act.gov.au/a/1930-21" TargetMode="External"/><Relationship Id="rId921" Type="http://schemas.openxmlformats.org/officeDocument/2006/relationships/hyperlink" Target="http://www.comlaw.gov.au/Series/C2010A00035"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09-56" TargetMode="External"/><Relationship Id="rId1551" Type="http://schemas.openxmlformats.org/officeDocument/2006/relationships/hyperlink" Target="http://www.legislation.act.gov.au/sl/2014-34" TargetMode="External"/><Relationship Id="rId1789" Type="http://schemas.openxmlformats.org/officeDocument/2006/relationships/hyperlink" Target="http://www.legislation.act.gov.au/sl/2009-32" TargetMode="External"/><Relationship Id="rId1996" Type="http://schemas.openxmlformats.org/officeDocument/2006/relationships/hyperlink" Target="http://www.legislation.act.gov.au/sl/2006-58" TargetMode="External"/><Relationship Id="rId2602" Type="http://schemas.openxmlformats.org/officeDocument/2006/relationships/hyperlink" Target="http://www.legislation.act.gov.au/sl/2011-34" TargetMode="External"/><Relationship Id="rId50" Type="http://schemas.openxmlformats.org/officeDocument/2006/relationships/hyperlink" Target="http://www.legislation.act.gov.au/a/1930-21" TargetMode="External"/><Relationship Id="rId1204" Type="http://schemas.openxmlformats.org/officeDocument/2006/relationships/hyperlink" Target="http://www.legislation.act.gov.au/af/2008-144/default.asp" TargetMode="External"/><Relationship Id="rId1411" Type="http://schemas.openxmlformats.org/officeDocument/2006/relationships/hyperlink" Target="http://www.legislation.act.gov.au/sl/2007-37" TargetMode="External"/><Relationship Id="rId1649" Type="http://schemas.openxmlformats.org/officeDocument/2006/relationships/hyperlink" Target="http://www.legislation.act.gov.au/sl/2011-17" TargetMode="External"/><Relationship Id="rId1856" Type="http://schemas.openxmlformats.org/officeDocument/2006/relationships/hyperlink" Target="http://www.legislation.act.gov.au/sl/2009-32" TargetMode="External"/><Relationship Id="rId2907" Type="http://schemas.openxmlformats.org/officeDocument/2006/relationships/hyperlink" Target="http://www.legislation.act.gov.au/sl/2015-22" TargetMode="External"/><Relationship Id="rId3071" Type="http://schemas.openxmlformats.org/officeDocument/2006/relationships/hyperlink" Target="http://www.legislation.act.gov.au/sl/2021-15/" TargetMode="External"/><Relationship Id="rId1509" Type="http://schemas.openxmlformats.org/officeDocument/2006/relationships/hyperlink" Target="http://www.legislation.act.gov.au/sl/2012-43" TargetMode="External"/><Relationship Id="rId1716" Type="http://schemas.openxmlformats.org/officeDocument/2006/relationships/hyperlink" Target="http://www.legislation.act.gov.au/sl/2011-17" TargetMode="External"/><Relationship Id="rId1923" Type="http://schemas.openxmlformats.org/officeDocument/2006/relationships/hyperlink" Target="http://www.legislation.act.gov.au/sl/2006-58" TargetMode="External"/><Relationship Id="rId297" Type="http://schemas.openxmlformats.org/officeDocument/2006/relationships/hyperlink" Target="http://www.legislation.act.gov.au/af/2017-170/default.asp" TargetMode="External"/><Relationship Id="rId2185" Type="http://schemas.openxmlformats.org/officeDocument/2006/relationships/hyperlink" Target="http://www.legislation.act.gov.au/sl/2015-22" TargetMode="External"/><Relationship Id="rId2392" Type="http://schemas.openxmlformats.org/officeDocument/2006/relationships/hyperlink" Target="http://www.legislation.act.gov.au/sl/2016-31" TargetMode="External"/><Relationship Id="rId3029" Type="http://schemas.openxmlformats.org/officeDocument/2006/relationships/hyperlink" Target="http://www.legislation.act.gov.au/sl/2015-22/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s://www.legislation.act.gov.au/a/1993-20/" TargetMode="External"/><Relationship Id="rId2045" Type="http://schemas.openxmlformats.org/officeDocument/2006/relationships/hyperlink" Target="http://www.legislation.act.gov.au/sl/2006-58" TargetMode="External"/><Relationship Id="rId2697" Type="http://schemas.openxmlformats.org/officeDocument/2006/relationships/hyperlink" Target="http://www.legislation.act.gov.au/sl/2017-17/default.asp" TargetMode="External"/><Relationship Id="rId571" Type="http://schemas.openxmlformats.org/officeDocument/2006/relationships/hyperlink" Target="http://www.legislation.act.gov.au/a/1930-21" TargetMode="External"/><Relationship Id="rId669" Type="http://schemas.openxmlformats.org/officeDocument/2006/relationships/hyperlink" Target="http://www.legislation.act.gov.au/af/2006-390/default.asp" TargetMode="External"/><Relationship Id="rId876" Type="http://schemas.openxmlformats.org/officeDocument/2006/relationships/hyperlink" Target="http://www.legislation.act.gov.au/a/2011-12/default.asp" TargetMode="External"/><Relationship Id="rId1299" Type="http://schemas.openxmlformats.org/officeDocument/2006/relationships/hyperlink" Target="http://www.legislation.act.gov.au/sl/2017-10/default.asp" TargetMode="External"/><Relationship Id="rId2252" Type="http://schemas.openxmlformats.org/officeDocument/2006/relationships/hyperlink" Target="http://www.legislation.act.gov.au/sl/2016-33" TargetMode="External"/><Relationship Id="rId2557" Type="http://schemas.openxmlformats.org/officeDocument/2006/relationships/hyperlink" Target="http://www.legislation.act.gov.au/sl/2024-37/" TargetMode="External"/><Relationship Id="rId224" Type="http://schemas.openxmlformats.org/officeDocument/2006/relationships/footer" Target="footer15.xm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f/2006-498/default.asp" TargetMode="External"/><Relationship Id="rId736" Type="http://schemas.openxmlformats.org/officeDocument/2006/relationships/hyperlink" Target="http://www.legislation.act.gov.au/a/2004-5" TargetMode="External"/><Relationship Id="rId1061" Type="http://schemas.openxmlformats.org/officeDocument/2006/relationships/hyperlink" Target="http://www.legislation.act.gov.au/af/2006-432/default.asp" TargetMode="External"/><Relationship Id="rId1159" Type="http://schemas.openxmlformats.org/officeDocument/2006/relationships/footer" Target="footer54.xml"/><Relationship Id="rId1366" Type="http://schemas.openxmlformats.org/officeDocument/2006/relationships/hyperlink" Target="http://www.legislation.act.gov.au/sl/2023-36/" TargetMode="External"/><Relationship Id="rId2112" Type="http://schemas.openxmlformats.org/officeDocument/2006/relationships/hyperlink" Target="http://www.legislation.act.gov.au/sl/2006-58" TargetMode="External"/><Relationship Id="rId2417" Type="http://schemas.openxmlformats.org/officeDocument/2006/relationships/hyperlink" Target="http://www.legislation.act.gov.au/sl/2024-37/" TargetMode="External"/><Relationship Id="rId2764" Type="http://schemas.openxmlformats.org/officeDocument/2006/relationships/hyperlink" Target="http://www.legislation.act.gov.au/sl/2008-25" TargetMode="External"/><Relationship Id="rId2971" Type="http://schemas.openxmlformats.org/officeDocument/2006/relationships/hyperlink" Target="http://www.legislation.act.gov.au/sl/2008-44" TargetMode="External"/><Relationship Id="rId943" Type="http://schemas.openxmlformats.org/officeDocument/2006/relationships/hyperlink" Target="http://www.legislation.act.gov.au/sl/2003-40" TargetMode="External"/><Relationship Id="rId1019" Type="http://schemas.openxmlformats.org/officeDocument/2006/relationships/hyperlink" Target="http://www.legislation.act.gov.au/af/2008-143/default.asp" TargetMode="External"/><Relationship Id="rId1573" Type="http://schemas.openxmlformats.org/officeDocument/2006/relationships/hyperlink" Target="http://www.legislation.act.gov.au/sl/2008-25" TargetMode="External"/><Relationship Id="rId1780" Type="http://schemas.openxmlformats.org/officeDocument/2006/relationships/hyperlink" Target="http://www.legislation.act.gov.au/sl/2006-58" TargetMode="External"/><Relationship Id="rId1878" Type="http://schemas.openxmlformats.org/officeDocument/2006/relationships/hyperlink" Target="http://www.legislation.act.gov.au/sl/2009-32" TargetMode="External"/><Relationship Id="rId2624" Type="http://schemas.openxmlformats.org/officeDocument/2006/relationships/hyperlink" Target="http://www.legislation.act.gov.au/sl/2011-33" TargetMode="External"/><Relationship Id="rId2831" Type="http://schemas.openxmlformats.org/officeDocument/2006/relationships/hyperlink" Target="http://www.legislation.act.gov.au/sl/2014-9" TargetMode="External"/><Relationship Id="rId2929" Type="http://schemas.openxmlformats.org/officeDocument/2006/relationships/hyperlink" Target="http://www.legislation.act.gov.au/sl/2016-33" TargetMode="External"/><Relationship Id="rId72" Type="http://schemas.openxmlformats.org/officeDocument/2006/relationships/hyperlink" Target="http://www.legislation.act.gov.au/a/1963-5" TargetMode="External"/><Relationship Id="rId803" Type="http://schemas.openxmlformats.org/officeDocument/2006/relationships/hyperlink" Target="http://www.legislation.act.gov.au/a/2001-14" TargetMode="External"/><Relationship Id="rId1226" Type="http://schemas.openxmlformats.org/officeDocument/2006/relationships/hyperlink" Target="http://www.legislation.act.gov.au/a/2016-42" TargetMode="External"/><Relationship Id="rId1433" Type="http://schemas.openxmlformats.org/officeDocument/2006/relationships/hyperlink" Target="http://www.legislation.act.gov.au/sl/2014-34" TargetMode="External"/><Relationship Id="rId1640" Type="http://schemas.openxmlformats.org/officeDocument/2006/relationships/hyperlink" Target="http://www.legislation.act.gov.au/sl/2016-17" TargetMode="External"/><Relationship Id="rId1738" Type="http://schemas.openxmlformats.org/officeDocument/2006/relationships/hyperlink" Target="http://www.legislation.act.gov.au/sl/2014-9" TargetMode="External"/><Relationship Id="rId3093" Type="http://schemas.openxmlformats.org/officeDocument/2006/relationships/footer" Target="footer68.xml"/><Relationship Id="rId1500" Type="http://schemas.openxmlformats.org/officeDocument/2006/relationships/hyperlink" Target="http://www.legislation.act.gov.au/sl/2015-22" TargetMode="External"/><Relationship Id="rId1945" Type="http://schemas.openxmlformats.org/officeDocument/2006/relationships/hyperlink" Target="http://www.legislation.act.gov.au/sl/2006-58" TargetMode="External"/><Relationship Id="rId1805" Type="http://schemas.openxmlformats.org/officeDocument/2006/relationships/hyperlink" Target="http://www.legislation.act.gov.au/sl/2006-58" TargetMode="External"/><Relationship Id="rId3020" Type="http://schemas.openxmlformats.org/officeDocument/2006/relationships/hyperlink" Target="http://www.legislation.act.gov.au/sl/2013-32" TargetMode="External"/><Relationship Id="rId179" Type="http://schemas.openxmlformats.org/officeDocument/2006/relationships/hyperlink" Target="http://www.legislation.act.gov.au/a/2001-58" TargetMode="External"/><Relationship Id="rId386" Type="http://schemas.openxmlformats.org/officeDocument/2006/relationships/hyperlink" Target="http://www.legislation.act.gov.au/a/1986-84/default.asp" TargetMode="External"/><Relationship Id="rId593" Type="http://schemas.openxmlformats.org/officeDocument/2006/relationships/hyperlink" Target="http://www.legislation.act.gov.au/a/1992-8" TargetMode="External"/><Relationship Id="rId2067" Type="http://schemas.openxmlformats.org/officeDocument/2006/relationships/hyperlink" Target="http://www.legislation.act.gov.au/sl/2024-9/" TargetMode="External"/><Relationship Id="rId2274" Type="http://schemas.openxmlformats.org/officeDocument/2006/relationships/hyperlink" Target="http://www.legislation.act.gov.au/sl/2016-33" TargetMode="External"/><Relationship Id="rId2481" Type="http://schemas.openxmlformats.org/officeDocument/2006/relationships/hyperlink" Target="http://www.legislation.act.gov.au/sl/2017-17/default.asp" TargetMode="External"/><Relationship Id="rId246" Type="http://schemas.openxmlformats.org/officeDocument/2006/relationships/hyperlink" Target="http://www.legislation.act.gov.au/af/2006-318/default.asp" TargetMode="External"/><Relationship Id="rId453" Type="http://schemas.openxmlformats.org/officeDocument/2006/relationships/hyperlink" Target="http://www.comlaw.gov.au/Series/C2004A04187" TargetMode="External"/><Relationship Id="rId660" Type="http://schemas.openxmlformats.org/officeDocument/2006/relationships/hyperlink" Target="http://www.legislation.act.gov.au/a/1930-21" TargetMode="External"/><Relationship Id="rId898" Type="http://schemas.openxmlformats.org/officeDocument/2006/relationships/hyperlink" Target="http://www.legislation.act.gov.au/a/2003-8"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sl/2015-22" TargetMode="External"/><Relationship Id="rId2134" Type="http://schemas.openxmlformats.org/officeDocument/2006/relationships/hyperlink" Target="http://www.legislation.act.gov.au/sl/2012-24" TargetMode="External"/><Relationship Id="rId2341" Type="http://schemas.openxmlformats.org/officeDocument/2006/relationships/hyperlink" Target="https://legislation.act.gov.au/sl/2022-19/" TargetMode="External"/><Relationship Id="rId2579" Type="http://schemas.openxmlformats.org/officeDocument/2006/relationships/hyperlink" Target="http://www.legislation.act.gov.au/sl/2015-22" TargetMode="External"/><Relationship Id="rId2786" Type="http://schemas.openxmlformats.org/officeDocument/2006/relationships/hyperlink" Target="http://www.legislation.act.gov.au/sl/2008-50" TargetMode="External"/><Relationship Id="rId2993" Type="http://schemas.openxmlformats.org/officeDocument/2006/relationships/hyperlink" Target="http://www.legislation.act.gov.au/sl/2010-24"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f/2017-176/default.asp" TargetMode="External"/><Relationship Id="rId758" Type="http://schemas.openxmlformats.org/officeDocument/2006/relationships/hyperlink" Target="http://www.legislation.act.gov.au/a/2001-14" TargetMode="External"/><Relationship Id="rId965" Type="http://schemas.openxmlformats.org/officeDocument/2006/relationships/footer" Target="footer36.xm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11-34" TargetMode="External"/><Relationship Id="rId1595" Type="http://schemas.openxmlformats.org/officeDocument/2006/relationships/hyperlink" Target="http://www.legislation.act.gov.au/sl/2020-45/" TargetMode="External"/><Relationship Id="rId2439" Type="http://schemas.openxmlformats.org/officeDocument/2006/relationships/hyperlink" Target="http://www.legislation.act.gov.au/sl/2018-25/default.asp" TargetMode="External"/><Relationship Id="rId2646" Type="http://schemas.openxmlformats.org/officeDocument/2006/relationships/hyperlink" Target="http://www.legislation.act.gov.au/sl/2008-50" TargetMode="External"/><Relationship Id="rId2853" Type="http://schemas.openxmlformats.org/officeDocument/2006/relationships/hyperlink" Target="http://www.legislation.act.gov.au/sl/2009-32" TargetMode="External"/><Relationship Id="rId94" Type="http://schemas.openxmlformats.org/officeDocument/2006/relationships/hyperlink" Target="http://www.legislation.act.gov.au/af/2006-265/default.asp" TargetMode="External"/><Relationship Id="rId520" Type="http://schemas.openxmlformats.org/officeDocument/2006/relationships/hyperlink" Target="http://www.legislation.act.gov.au/af/2006-495/default.asp" TargetMode="External"/><Relationship Id="rId618" Type="http://schemas.openxmlformats.org/officeDocument/2006/relationships/hyperlink" Target="http://www.legislation.act.gov.au/a/2000-61/default.asp" TargetMode="External"/><Relationship Id="rId825" Type="http://schemas.openxmlformats.org/officeDocument/2006/relationships/hyperlink" Target="http://www.legislation.act.gov.au/a/2001-14" TargetMode="External"/><Relationship Id="rId1248" Type="http://schemas.openxmlformats.org/officeDocument/2006/relationships/hyperlink" Target="http://www.legislation.act.gov.au/sl/2007-37" TargetMode="External"/><Relationship Id="rId1455" Type="http://schemas.openxmlformats.org/officeDocument/2006/relationships/hyperlink" Target="http://www.legislation.act.gov.au/sl/2012-24" TargetMode="External"/><Relationship Id="rId1662" Type="http://schemas.openxmlformats.org/officeDocument/2006/relationships/hyperlink" Target="http://www.legislation.act.gov.au/sl/2011-17" TargetMode="External"/><Relationship Id="rId2201" Type="http://schemas.openxmlformats.org/officeDocument/2006/relationships/hyperlink" Target="http://www.legislation.act.gov.au/sl/2015-22" TargetMode="External"/><Relationship Id="rId2506" Type="http://schemas.openxmlformats.org/officeDocument/2006/relationships/hyperlink" Target="http://www.legislation.act.gov.au/sl/2009-32" TargetMode="External"/><Relationship Id="rId1010" Type="http://schemas.openxmlformats.org/officeDocument/2006/relationships/hyperlink" Target="http://www.comlaw.gov.au/Series/C2008A00024" TargetMode="External"/><Relationship Id="rId1108" Type="http://schemas.openxmlformats.org/officeDocument/2006/relationships/hyperlink" Target="http://www.comlaw.gov.au/Series/C2004A00818" TargetMode="External"/><Relationship Id="rId1315" Type="http://schemas.openxmlformats.org/officeDocument/2006/relationships/hyperlink" Target="http://www.legislation.act.gov.au/sl/2021-15/default.asp" TargetMode="External"/><Relationship Id="rId1967" Type="http://schemas.openxmlformats.org/officeDocument/2006/relationships/hyperlink" Target="http://www.legislation.act.gov.au/sl/2006-58" TargetMode="External"/><Relationship Id="rId2713" Type="http://schemas.openxmlformats.org/officeDocument/2006/relationships/hyperlink" Target="http://www.legislation.act.gov.au/sl/2007-37" TargetMode="External"/><Relationship Id="rId2920" Type="http://schemas.openxmlformats.org/officeDocument/2006/relationships/hyperlink" Target="http://www.legislation.act.gov.au/sl/2014-34" TargetMode="External"/><Relationship Id="rId1522" Type="http://schemas.openxmlformats.org/officeDocument/2006/relationships/hyperlink" Target="http://www.legislation.act.gov.au/sl/2007-16" TargetMode="External"/><Relationship Id="rId21" Type="http://schemas.openxmlformats.org/officeDocument/2006/relationships/header" Target="header3.xml"/><Relationship Id="rId2089" Type="http://schemas.openxmlformats.org/officeDocument/2006/relationships/hyperlink" Target="http://www.legislation.act.gov.au/a/2010-21" TargetMode="External"/><Relationship Id="rId2296" Type="http://schemas.openxmlformats.org/officeDocument/2006/relationships/hyperlink" Target="http://www.legislation.act.gov.au/sl/2023-36/" TargetMode="External"/><Relationship Id="rId268" Type="http://schemas.openxmlformats.org/officeDocument/2006/relationships/hyperlink" Target="http://www.legislation.act.gov.au/af/2017-161/default.asp" TargetMode="External"/><Relationship Id="rId475" Type="http://schemas.openxmlformats.org/officeDocument/2006/relationships/hyperlink" Target="http://www.legislation.act.gov.au/a/2008-35" TargetMode="External"/><Relationship Id="rId682" Type="http://schemas.openxmlformats.org/officeDocument/2006/relationships/footer" Target="footer21.xml"/><Relationship Id="rId2156" Type="http://schemas.openxmlformats.org/officeDocument/2006/relationships/hyperlink" Target="http://www.legislation.act.gov.au/sl/2012-43" TargetMode="External"/><Relationship Id="rId2363" Type="http://schemas.openxmlformats.org/officeDocument/2006/relationships/hyperlink" Target="http://www.legislation.act.gov.au/sl/2015-22" TargetMode="External"/><Relationship Id="rId2570" Type="http://schemas.openxmlformats.org/officeDocument/2006/relationships/hyperlink" Target="http://www.legislation.act.gov.au/sl/2018-25/default.asp" TargetMode="External"/><Relationship Id="rId128" Type="http://schemas.openxmlformats.org/officeDocument/2006/relationships/hyperlink" Target="http://www.legislation.act.gov.au/af/2016-103/default.asp" TargetMode="External"/><Relationship Id="rId335" Type="http://schemas.openxmlformats.org/officeDocument/2006/relationships/hyperlink" Target="http://www.legislation.act.gov.au/a/1929-18/default.asp" TargetMode="External"/><Relationship Id="rId542" Type="http://schemas.openxmlformats.org/officeDocument/2006/relationships/hyperlink" Target="http://www.legislation.act.gov.au/af/2006-502/default.asp" TargetMode="External"/><Relationship Id="rId1172" Type="http://schemas.openxmlformats.org/officeDocument/2006/relationships/header" Target="header49.xml"/><Relationship Id="rId2016" Type="http://schemas.openxmlformats.org/officeDocument/2006/relationships/hyperlink" Target="http://www.legislation.act.gov.au/sl/2006-58" TargetMode="External"/><Relationship Id="rId2223" Type="http://schemas.openxmlformats.org/officeDocument/2006/relationships/hyperlink" Target="http://www.legislation.act.gov.au/sl/2009-56" TargetMode="External"/><Relationship Id="rId2430" Type="http://schemas.openxmlformats.org/officeDocument/2006/relationships/hyperlink" Target="http://www.legislation.act.gov.au/sl/2015-22" TargetMode="External"/><Relationship Id="rId402" Type="http://schemas.openxmlformats.org/officeDocument/2006/relationships/hyperlink" Target="http://www.comlaw.gov.au/Series/C2004A00819" TargetMode="External"/><Relationship Id="rId1032" Type="http://schemas.openxmlformats.org/officeDocument/2006/relationships/hyperlink" Target="http://www.comlaw.gov.au/Series/C2004A00818" TargetMode="External"/><Relationship Id="rId1989" Type="http://schemas.openxmlformats.org/officeDocument/2006/relationships/hyperlink" Target="http://www.legislation.act.gov.au/sl/2006-58" TargetMode="External"/><Relationship Id="rId1849" Type="http://schemas.openxmlformats.org/officeDocument/2006/relationships/hyperlink" Target="http://www.legislation.act.gov.au/sl/2006-58" TargetMode="External"/><Relationship Id="rId3064" Type="http://schemas.openxmlformats.org/officeDocument/2006/relationships/hyperlink" Target="http://www.legislation.act.gov.au/sl/2020-20/" TargetMode="External"/><Relationship Id="rId192" Type="http://schemas.openxmlformats.org/officeDocument/2006/relationships/hyperlink" Target="http://www.legislation.act.gov.au/af/2006-303/default.asp" TargetMode="External"/><Relationship Id="rId1709" Type="http://schemas.openxmlformats.org/officeDocument/2006/relationships/hyperlink" Target="http://www.legislation.act.gov.au/sl/2011-34" TargetMode="External"/><Relationship Id="rId1916" Type="http://schemas.openxmlformats.org/officeDocument/2006/relationships/hyperlink" Target="http://www.legislation.act.gov.au/sl/2009-32" TargetMode="External"/><Relationship Id="rId2080" Type="http://schemas.openxmlformats.org/officeDocument/2006/relationships/hyperlink" Target="http://www.legislation.act.gov.au/sl/2019-30/" TargetMode="External"/><Relationship Id="rId2897" Type="http://schemas.openxmlformats.org/officeDocument/2006/relationships/hyperlink" Target="http://www.legislation.act.gov.au/sl/2006-58" TargetMode="External"/><Relationship Id="rId869" Type="http://schemas.openxmlformats.org/officeDocument/2006/relationships/hyperlink" Target="http://www.legislation.act.gov.au/a/1984-79" TargetMode="External"/><Relationship Id="rId1499" Type="http://schemas.openxmlformats.org/officeDocument/2006/relationships/hyperlink" Target="http://www.legislation.act.gov.au/sl/2012-43" TargetMode="External"/><Relationship Id="rId729" Type="http://schemas.openxmlformats.org/officeDocument/2006/relationships/hyperlink" Target="http://www.legislation.act.gov.au/a/1930-21" TargetMode="External"/><Relationship Id="rId1359" Type="http://schemas.openxmlformats.org/officeDocument/2006/relationships/hyperlink" Target="http://www.legislation.act.gov.au/sl/2017-40/default.asp" TargetMode="External"/><Relationship Id="rId2757" Type="http://schemas.openxmlformats.org/officeDocument/2006/relationships/hyperlink" Target="http://www.legislation.act.gov.au/sl/2008-25" TargetMode="External"/><Relationship Id="rId2964" Type="http://schemas.openxmlformats.org/officeDocument/2006/relationships/hyperlink" Target="http://www.legislation.act.gov.au/a/2007-28" TargetMode="External"/><Relationship Id="rId936" Type="http://schemas.openxmlformats.org/officeDocument/2006/relationships/hyperlink" Target="http://www.comlaw.gov.au/Series/C2010A00035" TargetMode="External"/><Relationship Id="rId1219" Type="http://schemas.openxmlformats.org/officeDocument/2006/relationships/hyperlink" Target="http://www.comlaw.gov.au/Series/C2011A00126" TargetMode="External"/><Relationship Id="rId1566" Type="http://schemas.openxmlformats.org/officeDocument/2006/relationships/hyperlink" Target="http://www.legislation.act.gov.au/sl/2008-44" TargetMode="External"/><Relationship Id="rId1773" Type="http://schemas.openxmlformats.org/officeDocument/2006/relationships/hyperlink" Target="http://www.legislation.act.gov.au/sl/2009-32" TargetMode="External"/><Relationship Id="rId1980" Type="http://schemas.openxmlformats.org/officeDocument/2006/relationships/hyperlink" Target="http://www.legislation.act.gov.au/sl/2006-58" TargetMode="External"/><Relationship Id="rId2617" Type="http://schemas.openxmlformats.org/officeDocument/2006/relationships/hyperlink" Target="http://www.legislation.act.gov.au/sl/2011-33" TargetMode="External"/><Relationship Id="rId2824" Type="http://schemas.openxmlformats.org/officeDocument/2006/relationships/hyperlink" Target="http://www.legislation.act.gov.au/sl/2015-22" TargetMode="External"/><Relationship Id="rId65" Type="http://schemas.openxmlformats.org/officeDocument/2006/relationships/hyperlink" Target="http://www.legislation.act.gov.au/a/2004-59" TargetMode="External"/><Relationship Id="rId1426" Type="http://schemas.openxmlformats.org/officeDocument/2006/relationships/hyperlink" Target="http://www.legislation.act.gov.au/sl/2014-34" TargetMode="External"/><Relationship Id="rId1633" Type="http://schemas.openxmlformats.org/officeDocument/2006/relationships/hyperlink" Target="http://www.legislation.act.gov.au/sl/2016-17" TargetMode="External"/><Relationship Id="rId1840" Type="http://schemas.openxmlformats.org/officeDocument/2006/relationships/hyperlink" Target="http://www.legislation.act.gov.au/sl/2009-32" TargetMode="External"/><Relationship Id="rId1700" Type="http://schemas.openxmlformats.org/officeDocument/2006/relationships/hyperlink" Target="http://www.legislation.act.gov.au/sl/2014-34" TargetMode="External"/><Relationship Id="rId379" Type="http://schemas.openxmlformats.org/officeDocument/2006/relationships/hyperlink" Target="http://www.legislation.act.gov.au/af/2010-147/default.asp" TargetMode="External"/><Relationship Id="rId586" Type="http://schemas.openxmlformats.org/officeDocument/2006/relationships/hyperlink" Target="http://www.legislation.act.gov.au/a/1930-21" TargetMode="External"/><Relationship Id="rId793" Type="http://schemas.openxmlformats.org/officeDocument/2006/relationships/hyperlink" Target="http://www.legislation.act.gov.au/a/1951-2" TargetMode="External"/><Relationship Id="rId2267" Type="http://schemas.openxmlformats.org/officeDocument/2006/relationships/hyperlink" Target="http://www.legislation.act.gov.au/sl/2006-58" TargetMode="External"/><Relationship Id="rId2474" Type="http://schemas.openxmlformats.org/officeDocument/2006/relationships/hyperlink" Target="http://www.legislation.act.gov.au/sl/2017-17/default.asp" TargetMode="External"/><Relationship Id="rId2681" Type="http://schemas.openxmlformats.org/officeDocument/2006/relationships/hyperlink" Target="http://www.legislation.act.gov.au/sl/2019-11/default.asp" TargetMode="External"/><Relationship Id="rId239" Type="http://schemas.openxmlformats.org/officeDocument/2006/relationships/hyperlink" Target="http://www.legislation.act.gov.au/af/2006-324/default.asp" TargetMode="Externa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2001-18" TargetMode="External"/><Relationship Id="rId1076" Type="http://schemas.openxmlformats.org/officeDocument/2006/relationships/footer" Target="footer52.xml"/><Relationship Id="rId1283" Type="http://schemas.openxmlformats.org/officeDocument/2006/relationships/hyperlink" Target="http://www.legislation.act.gov.au/sl/2012-43" TargetMode="External"/><Relationship Id="rId1490" Type="http://schemas.openxmlformats.org/officeDocument/2006/relationships/hyperlink" Target="http://www.legislation.act.gov.au/sl/2015-22" TargetMode="External"/><Relationship Id="rId2127" Type="http://schemas.openxmlformats.org/officeDocument/2006/relationships/hyperlink" Target="http://www.legislation.act.gov.au/sl/2011-17" TargetMode="External"/><Relationship Id="rId2334" Type="http://schemas.openxmlformats.org/officeDocument/2006/relationships/hyperlink" Target="http://www.legislation.act.gov.au/sl/2018-25/default.asp" TargetMode="External"/><Relationship Id="rId306" Type="http://schemas.openxmlformats.org/officeDocument/2006/relationships/hyperlink" Target="http://www.legislation.act.gov.au/a/1929-18/default.asp" TargetMode="External"/><Relationship Id="rId860" Type="http://schemas.openxmlformats.org/officeDocument/2006/relationships/hyperlink" Target="http://www.legislation.act.gov.au/a/1991-34" TargetMode="External"/><Relationship Id="rId1143" Type="http://schemas.openxmlformats.org/officeDocument/2006/relationships/hyperlink" Target="http://www.comlaw.gov.au/Series/C2004A00818" TargetMode="External"/><Relationship Id="rId2541" Type="http://schemas.openxmlformats.org/officeDocument/2006/relationships/hyperlink" Target="http://www.legislation.act.gov.au/sl/2008-50" TargetMode="External"/><Relationship Id="rId513" Type="http://schemas.openxmlformats.org/officeDocument/2006/relationships/hyperlink" Target="http://www.legislation.act.gov.au/a/1951-2/default.asp" TargetMode="External"/><Relationship Id="rId720" Type="http://schemas.openxmlformats.org/officeDocument/2006/relationships/hyperlink" Target="http://www.legislation.act.gov.au/a/1933-34" TargetMode="External"/><Relationship Id="rId1350" Type="http://schemas.openxmlformats.org/officeDocument/2006/relationships/hyperlink" Target="http://www.legislation.act.gov.au/sl/2023-36/" TargetMode="External"/><Relationship Id="rId2401" Type="http://schemas.openxmlformats.org/officeDocument/2006/relationships/hyperlink" Target="http://www.legislation.act.gov.au/sl/2009-56" TargetMode="External"/><Relationship Id="rId1003" Type="http://schemas.openxmlformats.org/officeDocument/2006/relationships/hyperlink" Target="http://www.comlaw.gov.au/Series/C2004A00818" TargetMode="External"/><Relationship Id="rId1210" Type="http://schemas.openxmlformats.org/officeDocument/2006/relationships/header" Target="header52.xml"/><Relationship Id="rId2191" Type="http://schemas.openxmlformats.org/officeDocument/2006/relationships/hyperlink" Target="http://www.legislation.act.gov.au/sl/2015-22" TargetMode="External"/><Relationship Id="rId3035" Type="http://schemas.openxmlformats.org/officeDocument/2006/relationships/hyperlink" Target="http://www.legislation.act.gov.au/sl/2015-42/default.asp"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1993-20/default.asp" TargetMode="External"/><Relationship Id="rId2051" Type="http://schemas.openxmlformats.org/officeDocument/2006/relationships/hyperlink" Target="http://www.legislation.act.gov.au/sl/2006-58" TargetMode="External"/><Relationship Id="rId3102" Type="http://schemas.openxmlformats.org/officeDocument/2006/relationships/theme" Target="theme/theme1.xml"/><Relationship Id="rId230" Type="http://schemas.openxmlformats.org/officeDocument/2006/relationships/footer" Target="footer18.xml"/><Relationship Id="rId2868" Type="http://schemas.openxmlformats.org/officeDocument/2006/relationships/hyperlink" Target="http://www.legislation.act.gov.au/sl/2017-17/default.asp" TargetMode="External"/><Relationship Id="rId1677" Type="http://schemas.openxmlformats.org/officeDocument/2006/relationships/hyperlink" Target="http://www.legislation.act.gov.au/sl/2011-17" TargetMode="External"/><Relationship Id="rId1884" Type="http://schemas.openxmlformats.org/officeDocument/2006/relationships/hyperlink" Target="http://www.legislation.act.gov.au/sl/2009-32" TargetMode="External"/><Relationship Id="rId2728" Type="http://schemas.openxmlformats.org/officeDocument/2006/relationships/hyperlink" Target="http://www.legislation.act.gov.au/sl/2008-50" TargetMode="External"/><Relationship Id="rId2935" Type="http://schemas.openxmlformats.org/officeDocument/2006/relationships/hyperlink" Target="http://www.legislation.act.gov.au/sl/2006-58" TargetMode="External"/><Relationship Id="rId907" Type="http://schemas.openxmlformats.org/officeDocument/2006/relationships/hyperlink" Target="http://www.comlaw.gov.au/Series/C2010A00035" TargetMode="External"/><Relationship Id="rId1537" Type="http://schemas.openxmlformats.org/officeDocument/2006/relationships/hyperlink" Target="http://www.legislation.act.gov.au/sl/2024-9/" TargetMode="External"/><Relationship Id="rId1744" Type="http://schemas.openxmlformats.org/officeDocument/2006/relationships/hyperlink" Target="http://www.legislation.act.gov.au/sl/2014-9"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21-15/default.asp" TargetMode="External"/><Relationship Id="rId1811" Type="http://schemas.openxmlformats.org/officeDocument/2006/relationships/hyperlink" Target="http://www.legislation.act.gov.au/sl/2006-58" TargetMode="External"/><Relationship Id="rId697" Type="http://schemas.openxmlformats.org/officeDocument/2006/relationships/hyperlink" Target="http://www.legislation.act.gov.au/af/2006-400/default.asp" TargetMode="External"/><Relationship Id="rId2378" Type="http://schemas.openxmlformats.org/officeDocument/2006/relationships/hyperlink" Target="http://www.legislation.act.gov.au/sl/2020-45/" TargetMode="External"/><Relationship Id="rId1187" Type="http://schemas.openxmlformats.org/officeDocument/2006/relationships/hyperlink" Target="http://www.legislation.act.gov.au/a/2001-14" TargetMode="External"/><Relationship Id="rId2585" Type="http://schemas.openxmlformats.org/officeDocument/2006/relationships/hyperlink" Target="http://www.legislation.act.gov.au/sl/2008-44" TargetMode="External"/><Relationship Id="rId2792" Type="http://schemas.openxmlformats.org/officeDocument/2006/relationships/hyperlink" Target="http://www.legislation.act.gov.au/sl/2017-17/default.asp" TargetMode="External"/><Relationship Id="rId557" Type="http://schemas.openxmlformats.org/officeDocument/2006/relationships/hyperlink" Target="https://www.legislation.act.gov.au/af/2024-31/" TargetMode="External"/><Relationship Id="rId764" Type="http://schemas.openxmlformats.org/officeDocument/2006/relationships/hyperlink" Target="http://www.legislation.act.gov.au/a/2001-14" TargetMode="External"/><Relationship Id="rId971" Type="http://schemas.openxmlformats.org/officeDocument/2006/relationships/header" Target="header30.xml"/><Relationship Id="rId1394" Type="http://schemas.openxmlformats.org/officeDocument/2006/relationships/hyperlink" Target="http://www.legislation.act.gov.au/sl/2011-34" TargetMode="External"/><Relationship Id="rId2238" Type="http://schemas.openxmlformats.org/officeDocument/2006/relationships/hyperlink" Target="http://www.legislation.act.gov.au/sl/2011-34" TargetMode="External"/><Relationship Id="rId2445" Type="http://schemas.openxmlformats.org/officeDocument/2006/relationships/hyperlink" Target="http://www.legislation.act.gov.au/sl/2007-16" TargetMode="External"/><Relationship Id="rId2652" Type="http://schemas.openxmlformats.org/officeDocument/2006/relationships/hyperlink" Target="http://www.legislation.act.gov.au/sl/2008-50"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legislation.act.gov.au/a/2000-61/default.asp" TargetMode="External"/><Relationship Id="rId831" Type="http://schemas.openxmlformats.org/officeDocument/2006/relationships/hyperlink" Target="http://www.comlaw.gov.au/Series/C2010A00035" TargetMode="External"/><Relationship Id="rId1047" Type="http://schemas.openxmlformats.org/officeDocument/2006/relationships/hyperlink" Target="http://www.legislation.act.gov.au/af/2006-431/default.asp" TargetMode="External"/><Relationship Id="rId1254" Type="http://schemas.openxmlformats.org/officeDocument/2006/relationships/hyperlink" Target="http://www.legislation.act.gov.au/cn/2008-13/default.asp" TargetMode="External"/><Relationship Id="rId1461" Type="http://schemas.openxmlformats.org/officeDocument/2006/relationships/hyperlink" Target="http://www.legislation.act.gov.au/sl/2012-24" TargetMode="External"/><Relationship Id="rId2305" Type="http://schemas.openxmlformats.org/officeDocument/2006/relationships/hyperlink" Target="http://www.legislation.act.gov.au/sl/2023-36/" TargetMode="External"/><Relationship Id="rId2512" Type="http://schemas.openxmlformats.org/officeDocument/2006/relationships/hyperlink" Target="http://www.legislation.act.gov.au/sl/2009-32" TargetMode="External"/><Relationship Id="rId1114" Type="http://schemas.openxmlformats.org/officeDocument/2006/relationships/hyperlink" Target="http://www.legislation.act.gov.au/af/2008-68/default.asp" TargetMode="External"/><Relationship Id="rId1321" Type="http://schemas.openxmlformats.org/officeDocument/2006/relationships/hyperlink" Target="http://www.legislation.act.gov.au/sl/2024-9/" TargetMode="External"/><Relationship Id="rId3079" Type="http://schemas.openxmlformats.org/officeDocument/2006/relationships/hyperlink" Target="http://www.legislation.act.gov.au/sl/2023-15/" TargetMode="External"/><Relationship Id="rId2095" Type="http://schemas.openxmlformats.org/officeDocument/2006/relationships/hyperlink" Target="http://www.legislation.act.gov.au/a/2010-21" TargetMode="External"/><Relationship Id="rId274" Type="http://schemas.openxmlformats.org/officeDocument/2006/relationships/hyperlink" Target="http://www.legislation.act.gov.au/af/2022-7/default.asp" TargetMode="External"/><Relationship Id="rId481" Type="http://schemas.openxmlformats.org/officeDocument/2006/relationships/hyperlink" Target="http://www.legislation.act.gov.au/a/alt_a1989-33co/default.asp" TargetMode="External"/><Relationship Id="rId2162" Type="http://schemas.openxmlformats.org/officeDocument/2006/relationships/hyperlink" Target="http://www.legislation.act.gov.au/sl/2024-9/" TargetMode="External"/><Relationship Id="rId3006" Type="http://schemas.openxmlformats.org/officeDocument/2006/relationships/hyperlink" Target="http://www.legislation.act.gov.au/sl/2011-34" TargetMode="External"/><Relationship Id="rId134" Type="http://schemas.openxmlformats.org/officeDocument/2006/relationships/hyperlink" Target="http://www.legislation.act.gov.au/a/2004-59/default.asp" TargetMode="External"/><Relationship Id="rId341" Type="http://schemas.openxmlformats.org/officeDocument/2006/relationships/hyperlink" Target="http://www.legislation.act.gov.au/a/1993-20/default.asp" TargetMode="External"/><Relationship Id="rId2022" Type="http://schemas.openxmlformats.org/officeDocument/2006/relationships/hyperlink" Target="http://www.legislation.act.gov.au/sl/2006-58" TargetMode="External"/><Relationship Id="rId2979" Type="http://schemas.openxmlformats.org/officeDocument/2006/relationships/hyperlink" Target="http://www.legislation.act.gov.au/sl/2009-11" TargetMode="External"/><Relationship Id="rId201" Type="http://schemas.openxmlformats.org/officeDocument/2006/relationships/footer" Target="footer9.xml"/><Relationship Id="rId1788" Type="http://schemas.openxmlformats.org/officeDocument/2006/relationships/hyperlink" Target="http://www.legislation.act.gov.au/sl/2006-58" TargetMode="External"/><Relationship Id="rId1995" Type="http://schemas.openxmlformats.org/officeDocument/2006/relationships/hyperlink" Target="http://www.legislation.act.gov.au/sl/2015-12" TargetMode="External"/><Relationship Id="rId2839" Type="http://schemas.openxmlformats.org/officeDocument/2006/relationships/hyperlink" Target="http://www.legislation.act.gov.au/sl/2011-34" TargetMode="External"/><Relationship Id="rId1648" Type="http://schemas.openxmlformats.org/officeDocument/2006/relationships/hyperlink" Target="http://www.legislation.act.gov.au/sl/2010-24" TargetMode="External"/><Relationship Id="rId1508" Type="http://schemas.openxmlformats.org/officeDocument/2006/relationships/hyperlink" Target="http://www.legislation.act.gov.au/sl/2015-22" TargetMode="External"/><Relationship Id="rId1855" Type="http://schemas.openxmlformats.org/officeDocument/2006/relationships/hyperlink" Target="http://www.legislation.act.gov.au/sl/2006-58" TargetMode="External"/><Relationship Id="rId2906" Type="http://schemas.openxmlformats.org/officeDocument/2006/relationships/hyperlink" Target="http://www.legislation.act.gov.au/sl/2009-32" TargetMode="External"/><Relationship Id="rId3070" Type="http://schemas.openxmlformats.org/officeDocument/2006/relationships/hyperlink" Target="http://www.legislation.act.gov.au/sl/2021-15/" TargetMode="External"/><Relationship Id="rId1715" Type="http://schemas.openxmlformats.org/officeDocument/2006/relationships/hyperlink" Target="http://www.legislation.act.gov.au/sl/2014-9" TargetMode="External"/><Relationship Id="rId1922" Type="http://schemas.openxmlformats.org/officeDocument/2006/relationships/hyperlink" Target="http://www.legislation.act.gov.au/sl/2009-32" TargetMode="External"/><Relationship Id="rId2489" Type="http://schemas.openxmlformats.org/officeDocument/2006/relationships/hyperlink" Target="http://www.legislation.act.gov.au/sl/2011-33" TargetMode="External"/><Relationship Id="rId2696" Type="http://schemas.openxmlformats.org/officeDocument/2006/relationships/hyperlink" Target="http://www.legislation.act.gov.au/sl/2014-34" TargetMode="External"/><Relationship Id="rId668" Type="http://schemas.openxmlformats.org/officeDocument/2006/relationships/hyperlink" Target="http://www.legislation.act.gov.au/af/2006-389/default.asp" TargetMode="External"/><Relationship Id="rId875" Type="http://schemas.openxmlformats.org/officeDocument/2006/relationships/hyperlink" Target="http://www.legislation.act.gov.au/a/2004-59" TargetMode="External"/><Relationship Id="rId1298" Type="http://schemas.openxmlformats.org/officeDocument/2006/relationships/hyperlink" Target="http://www.legislation.act.gov.au/sl/2017-9/default.asp" TargetMode="External"/><Relationship Id="rId2349" Type="http://schemas.openxmlformats.org/officeDocument/2006/relationships/hyperlink" Target="http://www.legislation.act.gov.au/sl/2018-25/default.asp" TargetMode="External"/><Relationship Id="rId2556" Type="http://schemas.openxmlformats.org/officeDocument/2006/relationships/hyperlink" Target="http://www.legislation.act.gov.au/sl/2017-17/default.asp" TargetMode="External"/><Relationship Id="rId2763" Type="http://schemas.openxmlformats.org/officeDocument/2006/relationships/hyperlink" Target="http://www.legislation.act.gov.au/sl/2008-25" TargetMode="External"/><Relationship Id="rId2970" Type="http://schemas.openxmlformats.org/officeDocument/2006/relationships/hyperlink" Target="http://www.legislation.act.gov.au/sl/2008-25" TargetMode="External"/><Relationship Id="rId528" Type="http://schemas.openxmlformats.org/officeDocument/2006/relationships/hyperlink" Target="http://www.legislation.act.gov.au/a/1951-2" TargetMode="External"/><Relationship Id="rId735" Type="http://schemas.openxmlformats.org/officeDocument/2006/relationships/hyperlink" Target="http://www.legislation.act.gov.au/a/2004-5" TargetMode="External"/><Relationship Id="rId942" Type="http://schemas.openxmlformats.org/officeDocument/2006/relationships/hyperlink" Target="http://www.legislation.act.gov.au/sl/1998-15" TargetMode="External"/><Relationship Id="rId1158" Type="http://schemas.openxmlformats.org/officeDocument/2006/relationships/footer" Target="footer53.xml"/><Relationship Id="rId1365" Type="http://schemas.openxmlformats.org/officeDocument/2006/relationships/hyperlink" Target="http://www.legislation.act.gov.au/sl/2023-36/" TargetMode="External"/><Relationship Id="rId1572" Type="http://schemas.openxmlformats.org/officeDocument/2006/relationships/hyperlink" Target="http://www.legislation.act.gov.au/sl/2006-58" TargetMode="External"/><Relationship Id="rId2209" Type="http://schemas.openxmlformats.org/officeDocument/2006/relationships/hyperlink" Target="http://www.legislation.act.gov.au/sl/2017-10/default.asp" TargetMode="External"/><Relationship Id="rId2416" Type="http://schemas.openxmlformats.org/officeDocument/2006/relationships/hyperlink" Target="https://legislation.act.gov.au/sl/2022-19/" TargetMode="External"/><Relationship Id="rId2623" Type="http://schemas.openxmlformats.org/officeDocument/2006/relationships/hyperlink" Target="http://www.legislation.act.gov.au/sl/2011-33" TargetMode="External"/><Relationship Id="rId1018" Type="http://schemas.openxmlformats.org/officeDocument/2006/relationships/hyperlink" Target="http://www.comlaw.gov.au/Series/C2004A00818" TargetMode="External"/><Relationship Id="rId1225" Type="http://schemas.openxmlformats.org/officeDocument/2006/relationships/hyperlink" Target="http://www.legislation.act.gov.au/a/2011-12" TargetMode="External"/><Relationship Id="rId1432" Type="http://schemas.openxmlformats.org/officeDocument/2006/relationships/hyperlink" Target="http://www.legislation.act.gov.au/sl/2014-34" TargetMode="External"/><Relationship Id="rId2830" Type="http://schemas.openxmlformats.org/officeDocument/2006/relationships/hyperlink" Target="http://www.legislation.act.gov.au/sl/2014-9" TargetMode="External"/><Relationship Id="rId71" Type="http://schemas.openxmlformats.org/officeDocument/2006/relationships/hyperlink" Target="http://www.legislation.act.gov.au/af/2006-256/default.asp" TargetMode="External"/><Relationship Id="rId802" Type="http://schemas.openxmlformats.org/officeDocument/2006/relationships/hyperlink" Target="http://www.legislation.act.gov.au/a/2001-14" TargetMode="External"/><Relationship Id="rId178" Type="http://schemas.openxmlformats.org/officeDocument/2006/relationships/hyperlink" Target="http://www.legislation.act.gov.au/a/2001-16" TargetMode="External"/><Relationship Id="rId385" Type="http://schemas.openxmlformats.org/officeDocument/2006/relationships/hyperlink" Target="http://www.legislation.act.gov.au/a/2017-7/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sl/2024-9/" TargetMode="External"/><Relationship Id="rId2273" Type="http://schemas.openxmlformats.org/officeDocument/2006/relationships/hyperlink" Target="http://www.legislation.act.gov.au/sl/2023-36/" TargetMode="External"/><Relationship Id="rId2480" Type="http://schemas.openxmlformats.org/officeDocument/2006/relationships/hyperlink" Target="http://www.legislation.act.gov.au/sl/2017-17/default.asp" TargetMode="External"/><Relationship Id="rId245" Type="http://schemas.openxmlformats.org/officeDocument/2006/relationships/hyperlink" Target="http://www.legislation.act.gov.au/af/2006-328/default.asp" TargetMode="External"/><Relationship Id="rId452" Type="http://schemas.openxmlformats.org/officeDocument/2006/relationships/hyperlink" Target="http://www.comlaw.gov.au/Series/C2004A04187" TargetMode="External"/><Relationship Id="rId1082" Type="http://schemas.openxmlformats.org/officeDocument/2006/relationships/hyperlink" Target="http://www.comlaw.gov.au/Series/C2004A00818" TargetMode="External"/><Relationship Id="rId2133" Type="http://schemas.openxmlformats.org/officeDocument/2006/relationships/hyperlink" Target="http://www.legislation.act.gov.au/a/2011-20" TargetMode="External"/><Relationship Id="rId2340" Type="http://schemas.openxmlformats.org/officeDocument/2006/relationships/hyperlink" Target="http://www.legislation.act.gov.au/sl/2018-25/default.asp"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1968-11" TargetMode="External"/><Relationship Id="rId2200" Type="http://schemas.openxmlformats.org/officeDocument/2006/relationships/hyperlink" Target="http://www.legislation.act.gov.au/sl/2015-22" TargetMode="External"/><Relationship Id="rId1899" Type="http://schemas.openxmlformats.org/officeDocument/2006/relationships/hyperlink" Target="http://www.legislation.act.gov.au/sl/2006-58" TargetMode="External"/><Relationship Id="rId1759" Type="http://schemas.openxmlformats.org/officeDocument/2006/relationships/hyperlink" Target="http://www.legislation.act.gov.au/sl/2019-11/default.asp"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a/2007-3" TargetMode="External"/><Relationship Id="rId1826" Type="http://schemas.openxmlformats.org/officeDocument/2006/relationships/hyperlink" Target="http://www.legislation.act.gov.au/sl/2009-32" TargetMode="External"/><Relationship Id="rId3041" Type="http://schemas.openxmlformats.org/officeDocument/2006/relationships/hyperlink" Target="http://www.legislation.act.gov.au/sl/2016-31/default.asp" TargetMode="External"/><Relationship Id="rId779" Type="http://schemas.openxmlformats.org/officeDocument/2006/relationships/hyperlink" Target="http://www.legislation.act.gov.au/a/2006-25" TargetMode="External"/><Relationship Id="rId986" Type="http://schemas.openxmlformats.org/officeDocument/2006/relationships/header" Target="header37.xml"/><Relationship Id="rId2667" Type="http://schemas.openxmlformats.org/officeDocument/2006/relationships/hyperlink" Target="http://www.legislation.act.gov.au/sl/2011-34" TargetMode="External"/><Relationship Id="rId639" Type="http://schemas.openxmlformats.org/officeDocument/2006/relationships/hyperlink" Target="http://www.legislation.act.gov.au/a/1930-21" TargetMode="External"/><Relationship Id="rId1269" Type="http://schemas.openxmlformats.org/officeDocument/2006/relationships/hyperlink" Target="http://www.legislation.act.gov.au/sl/2010-24" TargetMode="External"/><Relationship Id="rId1476" Type="http://schemas.openxmlformats.org/officeDocument/2006/relationships/hyperlink" Target="http://www.legislation.act.gov.au/sl/2012-43" TargetMode="External"/><Relationship Id="rId2874" Type="http://schemas.openxmlformats.org/officeDocument/2006/relationships/hyperlink" Target="http://www.legislation.act.gov.au/sl/2011-17" TargetMode="External"/><Relationship Id="rId846" Type="http://schemas.openxmlformats.org/officeDocument/2006/relationships/hyperlink" Target="http://www.comlaw.gov.au/Series/C2004A04463"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17-17/default.asp" TargetMode="External"/><Relationship Id="rId1890" Type="http://schemas.openxmlformats.org/officeDocument/2006/relationships/hyperlink" Target="http://www.legislation.act.gov.au/sl/2009-32" TargetMode="External"/><Relationship Id="rId2527" Type="http://schemas.openxmlformats.org/officeDocument/2006/relationships/hyperlink" Target="http://www.legislation.act.gov.au/sl/2009-32" TargetMode="External"/><Relationship Id="rId2734" Type="http://schemas.openxmlformats.org/officeDocument/2006/relationships/hyperlink" Target="http://www.legislation.act.gov.au/sl/2008-25" TargetMode="External"/><Relationship Id="rId2941" Type="http://schemas.openxmlformats.org/officeDocument/2006/relationships/hyperlink" Target="http://www.legislation.act.gov.au/sl/2006-58" TargetMode="External"/><Relationship Id="rId706" Type="http://schemas.openxmlformats.org/officeDocument/2006/relationships/hyperlink" Target="http://www.legislation.act.gov.au/a/1930-21"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17-17/default.asp" TargetMode="External"/><Relationship Id="rId1543" Type="http://schemas.openxmlformats.org/officeDocument/2006/relationships/hyperlink" Target="http://www.legislation.act.gov.au/sl/2016-17" TargetMode="External"/><Relationship Id="rId1750" Type="http://schemas.openxmlformats.org/officeDocument/2006/relationships/hyperlink" Target="http://www.legislation.act.gov.au/sl/2014-9" TargetMode="External"/><Relationship Id="rId2801" Type="http://schemas.openxmlformats.org/officeDocument/2006/relationships/hyperlink" Target="http://www.legislation.act.gov.au/sl/2008-50" TargetMode="External"/><Relationship Id="rId42" Type="http://schemas.openxmlformats.org/officeDocument/2006/relationships/hyperlink" Target="http://www.legislation.act.gov.au/af/2014-26/default.asp" TargetMode="External"/><Relationship Id="rId1403" Type="http://schemas.openxmlformats.org/officeDocument/2006/relationships/hyperlink" Target="http://www.legislation.act.gov.au/sl/2015-42/default.asp" TargetMode="External"/><Relationship Id="rId1610" Type="http://schemas.openxmlformats.org/officeDocument/2006/relationships/hyperlink" Target="http://www.legislation.act.gov.au/sl/2022-2/" TargetMode="External"/><Relationship Id="rId289" Type="http://schemas.openxmlformats.org/officeDocument/2006/relationships/hyperlink" Target="http://www.comlaw.gov.au/Series/C2004A00275" TargetMode="External"/><Relationship Id="rId496" Type="http://schemas.openxmlformats.org/officeDocument/2006/relationships/hyperlink" Target="http://www.legislation.act.gov.au/a/2016-42" TargetMode="External"/><Relationship Id="rId2177" Type="http://schemas.openxmlformats.org/officeDocument/2006/relationships/hyperlink" Target="http://www.legislation.act.gov.au/sl/2012-43" TargetMode="External"/><Relationship Id="rId2384" Type="http://schemas.openxmlformats.org/officeDocument/2006/relationships/hyperlink" Target="http://www.legislation.act.gov.au/sl/2008-44" TargetMode="External"/><Relationship Id="rId2591" Type="http://schemas.openxmlformats.org/officeDocument/2006/relationships/hyperlink" Target="http://www.legislation.act.gov.au/sl/2013-18/default.asp" TargetMode="External"/><Relationship Id="rId149" Type="http://schemas.openxmlformats.org/officeDocument/2006/relationships/hyperlink" Target="http://www.comlaw.gov.au/Series/C2004A04121"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1992-8" TargetMode="External"/><Relationship Id="rId1193" Type="http://schemas.openxmlformats.org/officeDocument/2006/relationships/hyperlink" Target="http://www.comlaw.gov.au/Series/C2008A00024" TargetMode="External"/><Relationship Id="rId2037" Type="http://schemas.openxmlformats.org/officeDocument/2006/relationships/hyperlink" Target="http://www.legislation.act.gov.au/sl/2006-58" TargetMode="External"/><Relationship Id="rId2244" Type="http://schemas.openxmlformats.org/officeDocument/2006/relationships/hyperlink" Target="http://www.legislation.act.gov.au/sl/2024-9/" TargetMode="External"/><Relationship Id="rId2451" Type="http://schemas.openxmlformats.org/officeDocument/2006/relationships/hyperlink" Target="http://www.legislation.act.gov.au/sl/2016-33" TargetMode="External"/><Relationship Id="rId216" Type="http://schemas.openxmlformats.org/officeDocument/2006/relationships/footer" Target="footer10.xml"/><Relationship Id="rId423" Type="http://schemas.openxmlformats.org/officeDocument/2006/relationships/hyperlink" Target="http://www.legislation.act.gov.au/a/1992-71/default.asp" TargetMode="External"/><Relationship Id="rId1053" Type="http://schemas.openxmlformats.org/officeDocument/2006/relationships/hyperlink" Target="http://www.comlaw.gov.au/Series/C2004A00818" TargetMode="External"/><Relationship Id="rId1260" Type="http://schemas.openxmlformats.org/officeDocument/2006/relationships/hyperlink" Target="http://www.legislation.act.gov.au/a/2008-44" TargetMode="External"/><Relationship Id="rId2104" Type="http://schemas.openxmlformats.org/officeDocument/2006/relationships/hyperlink" Target="http://www.legislation.act.gov.au/sl/2006-58" TargetMode="External"/><Relationship Id="rId630" Type="http://schemas.openxmlformats.org/officeDocument/2006/relationships/hyperlink" Target="http://www.comlaw.gov.au/Details/C2013C00180" TargetMode="External"/><Relationship Id="rId2311" Type="http://schemas.openxmlformats.org/officeDocument/2006/relationships/hyperlink" Target="http://www.legislation.act.gov.au/a/2008-20" TargetMode="External"/><Relationship Id="rId1120" Type="http://schemas.openxmlformats.org/officeDocument/2006/relationships/hyperlink" Target="http://www.comlaw.gov.au/Series/C2004A00818" TargetMode="External"/><Relationship Id="rId1937" Type="http://schemas.openxmlformats.org/officeDocument/2006/relationships/hyperlink" Target="http://www.legislation.act.gov.au/sl/2017-10/default.asp" TargetMode="External"/><Relationship Id="rId3085" Type="http://schemas.openxmlformats.org/officeDocument/2006/relationships/hyperlink" Target="http://www.legislation.act.gov.au/sl/2024-9/" TargetMode="External"/><Relationship Id="rId280" Type="http://schemas.openxmlformats.org/officeDocument/2006/relationships/hyperlink" Target="http://www.legislation.act.gov.au/af/2006-338/default.asp" TargetMode="External"/><Relationship Id="rId3012" Type="http://schemas.openxmlformats.org/officeDocument/2006/relationships/hyperlink" Target="http://www.legislation.act.gov.au/sl/2012-24" TargetMode="External"/><Relationship Id="rId140" Type="http://schemas.openxmlformats.org/officeDocument/2006/relationships/hyperlink" Target="http://www.legislation.act.gov.au/a/2001-14" TargetMode="External"/><Relationship Id="rId6" Type="http://schemas.openxmlformats.org/officeDocument/2006/relationships/footnotes" Target="footnotes.xml"/><Relationship Id="rId2778" Type="http://schemas.openxmlformats.org/officeDocument/2006/relationships/hyperlink" Target="http://www.legislation.act.gov.au/sl/2008-25" TargetMode="External"/><Relationship Id="rId2985" Type="http://schemas.openxmlformats.org/officeDocument/2006/relationships/hyperlink" Target="http://www.legislation.act.gov.au/sl/2009-32" TargetMode="External"/><Relationship Id="rId957" Type="http://schemas.openxmlformats.org/officeDocument/2006/relationships/footer" Target="footer32.xml"/><Relationship Id="rId1587" Type="http://schemas.openxmlformats.org/officeDocument/2006/relationships/hyperlink" Target="http://www.legislation.act.gov.au/sl/2008-25" TargetMode="External"/><Relationship Id="rId1794" Type="http://schemas.openxmlformats.org/officeDocument/2006/relationships/hyperlink" Target="http://www.legislation.act.gov.au/sl/2006-58" TargetMode="External"/><Relationship Id="rId2638" Type="http://schemas.openxmlformats.org/officeDocument/2006/relationships/hyperlink" Target="http://www.legislation.act.gov.au/sl/2010-24" TargetMode="External"/><Relationship Id="rId2845" Type="http://schemas.openxmlformats.org/officeDocument/2006/relationships/hyperlink" Target="http://www.legislation.act.gov.au/sl/2012-43" TargetMode="External"/><Relationship Id="rId86" Type="http://schemas.openxmlformats.org/officeDocument/2006/relationships/hyperlink" Target="http://www.legislation.act.gov.au/af/2006-260/default.asp" TargetMode="External"/><Relationship Id="rId817" Type="http://schemas.openxmlformats.org/officeDocument/2006/relationships/hyperlink" Target="http://www.comlaw.gov.au/Series/C2004A00818" TargetMode="External"/><Relationship Id="rId1447" Type="http://schemas.openxmlformats.org/officeDocument/2006/relationships/hyperlink" Target="http://www.legislation.act.gov.au/sl/2014-4" TargetMode="External"/><Relationship Id="rId1654" Type="http://schemas.openxmlformats.org/officeDocument/2006/relationships/hyperlink" Target="http://www.legislation.act.gov.au/sl/2022-2/" TargetMode="External"/><Relationship Id="rId1861" Type="http://schemas.openxmlformats.org/officeDocument/2006/relationships/hyperlink" Target="http://www.legislation.act.gov.au/sl/2006-58" TargetMode="External"/><Relationship Id="rId2705" Type="http://schemas.openxmlformats.org/officeDocument/2006/relationships/hyperlink" Target="http://www.legislation.act.gov.au/sl/2012-24" TargetMode="External"/><Relationship Id="rId2912" Type="http://schemas.openxmlformats.org/officeDocument/2006/relationships/hyperlink" Target="http://www.legislation.act.gov.au/sl/2015-22" TargetMode="External"/><Relationship Id="rId1307" Type="http://schemas.openxmlformats.org/officeDocument/2006/relationships/hyperlink" Target="http://www.legislation.act.gov.au/sl/2019-30/default.asp" TargetMode="External"/><Relationship Id="rId1514" Type="http://schemas.openxmlformats.org/officeDocument/2006/relationships/hyperlink" Target="http://www.legislation.act.gov.au/sl/2012-43" TargetMode="External"/><Relationship Id="rId1721" Type="http://schemas.openxmlformats.org/officeDocument/2006/relationships/hyperlink" Target="http://www.legislation.act.gov.au/sl/2014-9"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sl/2016-33" TargetMode="External"/><Relationship Id="rId2495" Type="http://schemas.openxmlformats.org/officeDocument/2006/relationships/hyperlink" Target="http://www.legislation.act.gov.au/sl/2009-32"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comlaw.gov.au/Series/C2004A00818" TargetMode="External"/><Relationship Id="rId2148" Type="http://schemas.openxmlformats.org/officeDocument/2006/relationships/hyperlink" Target="http://www.legislation.act.gov.au/sl/2012-43" TargetMode="External"/><Relationship Id="rId674" Type="http://schemas.openxmlformats.org/officeDocument/2006/relationships/hyperlink" Target="http://www.legislation.act.gov.au/a/1930-21" TargetMode="External"/><Relationship Id="rId881" Type="http://schemas.openxmlformats.org/officeDocument/2006/relationships/hyperlink" Target="http://www.legislation.act.gov.au/a/2011-12/default.asp" TargetMode="External"/><Relationship Id="rId2355" Type="http://schemas.openxmlformats.org/officeDocument/2006/relationships/hyperlink" Target="http://www.legislation.act.gov.au/sl/2018-25/default.asp" TargetMode="External"/><Relationship Id="rId2562" Type="http://schemas.openxmlformats.org/officeDocument/2006/relationships/hyperlink" Target="http://www.legislation.act.gov.au/sl/2011-33" TargetMode="External"/><Relationship Id="rId327" Type="http://schemas.openxmlformats.org/officeDocument/2006/relationships/hyperlink" Target="http://www.legislation.act.gov.au/a/1968-11" TargetMode="External"/><Relationship Id="rId534" Type="http://schemas.openxmlformats.org/officeDocument/2006/relationships/hyperlink" Target="http://www.legislation.act.gov.au/a/1951-2" TargetMode="External"/><Relationship Id="rId741" Type="http://schemas.openxmlformats.org/officeDocument/2006/relationships/hyperlink" Target="http://www.legislation.act.gov.au/a/2004-5" TargetMode="External"/><Relationship Id="rId1164" Type="http://schemas.openxmlformats.org/officeDocument/2006/relationships/hyperlink" Target="http://www.comlaw.gov.au/Series/C2004A00818" TargetMode="External"/><Relationship Id="rId1371" Type="http://schemas.openxmlformats.org/officeDocument/2006/relationships/hyperlink" Target="http://www.legislation.act.gov.au/sl/2009-56"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09-56" TargetMode="External"/><Relationship Id="rId2422" Type="http://schemas.openxmlformats.org/officeDocument/2006/relationships/hyperlink" Target="http://www.legislation.act.gov.au/sl/2015-22" TargetMode="External"/><Relationship Id="rId601" Type="http://schemas.openxmlformats.org/officeDocument/2006/relationships/hyperlink" Target="mailto:s44bailreview@courts.act.gov.au" TargetMode="External"/><Relationship Id="rId1024" Type="http://schemas.openxmlformats.org/officeDocument/2006/relationships/hyperlink" Target="http://www.comlaw.gov.au/Series/C2004A00818" TargetMode="External"/><Relationship Id="rId1231" Type="http://schemas.openxmlformats.org/officeDocument/2006/relationships/hyperlink" Target="http://www.legislation.act.gov.au/a/1963-5" TargetMode="External"/><Relationship Id="rId3056" Type="http://schemas.openxmlformats.org/officeDocument/2006/relationships/hyperlink" Target="http://www.legislation.act.gov.au/sl/2019-25/default.asp" TargetMode="External"/><Relationship Id="rId184" Type="http://schemas.openxmlformats.org/officeDocument/2006/relationships/hyperlink" Target="http://www.legislation.act.gov.au/af/2006-298/default.asp" TargetMode="External"/><Relationship Id="rId391" Type="http://schemas.openxmlformats.org/officeDocument/2006/relationships/hyperlink" Target="http://www.legislation.act.gov.au/a/2017-7/default.asp" TargetMode="External"/><Relationship Id="rId1908" Type="http://schemas.openxmlformats.org/officeDocument/2006/relationships/hyperlink" Target="http://www.legislation.act.gov.au/sl/2009-32" TargetMode="External"/><Relationship Id="rId2072" Type="http://schemas.openxmlformats.org/officeDocument/2006/relationships/hyperlink" Target="http://www.legislation.act.gov.au/sl/2024-9/" TargetMode="External"/><Relationship Id="rId251" Type="http://schemas.openxmlformats.org/officeDocument/2006/relationships/hyperlink" Target="http://www.legislation.act.gov.au/a/2006-25" TargetMode="External"/><Relationship Id="rId2889" Type="http://schemas.openxmlformats.org/officeDocument/2006/relationships/hyperlink" Target="http://www.legislation.act.gov.au/sl/2012-24" TargetMode="External"/><Relationship Id="rId111" Type="http://schemas.openxmlformats.org/officeDocument/2006/relationships/hyperlink" Target="http://www.legislation.act.gov.au/a/2011-12/default.asp" TargetMode="External"/><Relationship Id="rId1698" Type="http://schemas.openxmlformats.org/officeDocument/2006/relationships/hyperlink" Target="http://www.legislation.act.gov.au/sl/2014-34" TargetMode="External"/><Relationship Id="rId2749" Type="http://schemas.openxmlformats.org/officeDocument/2006/relationships/hyperlink" Target="http://www.legislation.act.gov.au/sl/2017-17/default.asp" TargetMode="External"/><Relationship Id="rId2956" Type="http://schemas.openxmlformats.org/officeDocument/2006/relationships/hyperlink" Target="http://www.legislation.act.gov.au/sl/2006-58" TargetMode="External"/><Relationship Id="rId928" Type="http://schemas.openxmlformats.org/officeDocument/2006/relationships/hyperlink" Target="http://www.comlaw.gov.au/Series/C2010A00035" TargetMode="External"/><Relationship Id="rId1558" Type="http://schemas.openxmlformats.org/officeDocument/2006/relationships/hyperlink" Target="http://www.legislation.act.gov.au/sl/2011-34" TargetMode="External"/><Relationship Id="rId1765" Type="http://schemas.openxmlformats.org/officeDocument/2006/relationships/hyperlink" Target="http://www.legislation.act.gov.au/sl/2023-36/" TargetMode="External"/><Relationship Id="rId2609" Type="http://schemas.openxmlformats.org/officeDocument/2006/relationships/hyperlink" Target="http://www.legislation.act.gov.au/sl/2011-33" TargetMode="External"/><Relationship Id="rId57" Type="http://schemas.openxmlformats.org/officeDocument/2006/relationships/hyperlink" Target="http://www.comlaw.gov.au/Series/C2011A00126" TargetMode="External"/><Relationship Id="rId1418" Type="http://schemas.openxmlformats.org/officeDocument/2006/relationships/hyperlink" Target="http://www.legislation.act.gov.au/sl/2014-34" TargetMode="External"/><Relationship Id="rId1972" Type="http://schemas.openxmlformats.org/officeDocument/2006/relationships/hyperlink" Target="http://www.legislation.act.gov.au/sl/2006-58" TargetMode="External"/><Relationship Id="rId2816" Type="http://schemas.openxmlformats.org/officeDocument/2006/relationships/hyperlink" Target="http://www.legislation.act.gov.au/sl/2011-17" TargetMode="External"/><Relationship Id="rId1625" Type="http://schemas.openxmlformats.org/officeDocument/2006/relationships/hyperlink" Target="http://www.legislation.act.gov.au/sl/2022-2/" TargetMode="External"/><Relationship Id="rId1832" Type="http://schemas.openxmlformats.org/officeDocument/2006/relationships/hyperlink" Target="http://www.legislation.act.gov.au/sl/2009-32" TargetMode="External"/><Relationship Id="rId2399" Type="http://schemas.openxmlformats.org/officeDocument/2006/relationships/hyperlink" Target="http://www.legislation.act.gov.au/sl/2008-44" TargetMode="External"/><Relationship Id="rId578" Type="http://schemas.openxmlformats.org/officeDocument/2006/relationships/hyperlink" Target="http://www.legislation.act.gov.au/a/1930-21" TargetMode="External"/><Relationship Id="rId785" Type="http://schemas.openxmlformats.org/officeDocument/2006/relationships/hyperlink" Target="http://www.legislation.act.gov.au/a/2007-15" TargetMode="External"/><Relationship Id="rId992" Type="http://schemas.openxmlformats.org/officeDocument/2006/relationships/hyperlink" Target="http://www.comlaw.gov.au/Series/C2004A00818" TargetMode="External"/><Relationship Id="rId2259" Type="http://schemas.openxmlformats.org/officeDocument/2006/relationships/hyperlink" Target="http://www.legislation.act.gov.au/sl/2016-33" TargetMode="External"/><Relationship Id="rId2466" Type="http://schemas.openxmlformats.org/officeDocument/2006/relationships/hyperlink" Target="http://www.legislation.act.gov.au/sl/2011-33" TargetMode="External"/><Relationship Id="rId2673" Type="http://schemas.openxmlformats.org/officeDocument/2006/relationships/hyperlink" Target="http://www.legislation.act.gov.au/sl/2013-18/default.asp" TargetMode="External"/><Relationship Id="rId2880" Type="http://schemas.openxmlformats.org/officeDocument/2006/relationships/hyperlink" Target="http://www.legislation.act.gov.au/sl/2012-43" TargetMode="External"/><Relationship Id="rId438" Type="http://schemas.openxmlformats.org/officeDocument/2006/relationships/hyperlink" Target="http://www.legislation.act.gov.au/a/2003-8" TargetMode="External"/><Relationship Id="rId645" Type="http://schemas.openxmlformats.org/officeDocument/2006/relationships/hyperlink" Target="http://www.legislation.act.gov.au/a/1994-44" TargetMode="External"/><Relationship Id="rId852" Type="http://schemas.openxmlformats.org/officeDocument/2006/relationships/hyperlink" Target="http://www.comlaw.gov.au/Series/C2004A04463" TargetMode="External"/><Relationship Id="rId1068" Type="http://schemas.openxmlformats.org/officeDocument/2006/relationships/hyperlink" Target="http://www.comlaw.gov.au/Series/C2004A00818" TargetMode="External"/><Relationship Id="rId1275" Type="http://schemas.openxmlformats.org/officeDocument/2006/relationships/hyperlink" Target="http://www.legislation.act.gov.au/sl/2011-33" TargetMode="External"/><Relationship Id="rId1482" Type="http://schemas.openxmlformats.org/officeDocument/2006/relationships/hyperlink" Target="http://www.legislation.act.gov.au/sl/2012-43" TargetMode="External"/><Relationship Id="rId2119" Type="http://schemas.openxmlformats.org/officeDocument/2006/relationships/hyperlink" Target="http://www.legislation.act.gov.au/sl/2024-9/" TargetMode="External"/><Relationship Id="rId2326" Type="http://schemas.openxmlformats.org/officeDocument/2006/relationships/hyperlink" Target="http://www.legislation.act.gov.au/sl/2012-43" TargetMode="External"/><Relationship Id="rId2533" Type="http://schemas.openxmlformats.org/officeDocument/2006/relationships/hyperlink" Target="http://www.legislation.act.gov.au/sl/2015-22" TargetMode="External"/><Relationship Id="rId2740" Type="http://schemas.openxmlformats.org/officeDocument/2006/relationships/hyperlink" Target="http://www.legislation.act.gov.au/sl/2012-43" TargetMode="External"/><Relationship Id="rId505" Type="http://schemas.openxmlformats.org/officeDocument/2006/relationships/hyperlink" Target="http://www.legislation.act.gov.au/a/1951-2/default.asp" TargetMode="External"/><Relationship Id="rId712" Type="http://schemas.openxmlformats.org/officeDocument/2006/relationships/hyperlink" Target="http://www.legislation.act.gov.au/a/1900-40"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23-36/" TargetMode="External"/><Relationship Id="rId1202" Type="http://schemas.openxmlformats.org/officeDocument/2006/relationships/hyperlink" Target="http://www.legislation.act.gov.au/af/2008-151/default.asp" TargetMode="External"/><Relationship Id="rId2600" Type="http://schemas.openxmlformats.org/officeDocument/2006/relationships/hyperlink" Target="http://www.legislation.act.gov.au/sl/2011-33" TargetMode="External"/><Relationship Id="rId295" Type="http://schemas.openxmlformats.org/officeDocument/2006/relationships/hyperlink" Target="http://www.legislation.act.gov.au/a/1968-11" TargetMode="External"/><Relationship Id="rId2183" Type="http://schemas.openxmlformats.org/officeDocument/2006/relationships/hyperlink" Target="http://www.legislation.act.gov.au/sl/2011-34" TargetMode="External"/><Relationship Id="rId2390" Type="http://schemas.openxmlformats.org/officeDocument/2006/relationships/hyperlink" Target="http://www.legislation.act.gov.au/sl/2015-22" TargetMode="External"/><Relationship Id="rId3027" Type="http://schemas.openxmlformats.org/officeDocument/2006/relationships/hyperlink" Target="http://www.legislation.act.gov.au/sl/2015-12"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f/2011-56/default.asp" TargetMode="External"/><Relationship Id="rId2043" Type="http://schemas.openxmlformats.org/officeDocument/2006/relationships/hyperlink" Target="http://www.legislation.act.gov.au/sl/2006-58" TargetMode="External"/><Relationship Id="rId2250" Type="http://schemas.openxmlformats.org/officeDocument/2006/relationships/hyperlink" Target="http://www.legislation.act.gov.au/sl/2016-33" TargetMode="External"/><Relationship Id="rId222" Type="http://schemas.openxmlformats.org/officeDocument/2006/relationships/footer" Target="footer13.xml"/><Relationship Id="rId2110" Type="http://schemas.openxmlformats.org/officeDocument/2006/relationships/hyperlink" Target="http://www.legislation.act.gov.au/sl/2006-58" TargetMode="External"/><Relationship Id="rId1669" Type="http://schemas.openxmlformats.org/officeDocument/2006/relationships/hyperlink" Target="http://www.legislation.act.gov.au/sl/2010-24" TargetMode="External"/><Relationship Id="rId1876" Type="http://schemas.openxmlformats.org/officeDocument/2006/relationships/hyperlink" Target="http://www.legislation.act.gov.au/sl/2009-32" TargetMode="External"/><Relationship Id="rId2927" Type="http://schemas.openxmlformats.org/officeDocument/2006/relationships/hyperlink" Target="http://www.legislation.act.gov.au/sl/2006-58" TargetMode="External"/><Relationship Id="rId3091" Type="http://schemas.openxmlformats.org/officeDocument/2006/relationships/header" Target="header59.xml"/><Relationship Id="rId1529" Type="http://schemas.openxmlformats.org/officeDocument/2006/relationships/hyperlink" Target="http://www.legislation.act.gov.au/sl/2015-22" TargetMode="External"/><Relationship Id="rId1736" Type="http://schemas.openxmlformats.org/officeDocument/2006/relationships/hyperlink" Target="http://www.legislation.act.gov.au/sl/2014-9"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6-58" TargetMode="External"/><Relationship Id="rId689" Type="http://schemas.openxmlformats.org/officeDocument/2006/relationships/footer" Target="footer24.xml"/><Relationship Id="rId896" Type="http://schemas.openxmlformats.org/officeDocument/2006/relationships/hyperlink" Target="http://www.legislation.act.gov.au/a/2001-14" TargetMode="External"/><Relationship Id="rId2577" Type="http://schemas.openxmlformats.org/officeDocument/2006/relationships/hyperlink" Target="http://www.legislation.act.gov.au/sl/2015-22" TargetMode="External"/><Relationship Id="rId2784" Type="http://schemas.openxmlformats.org/officeDocument/2006/relationships/hyperlink" Target="http://www.legislation.act.gov.au/sl/2008-50"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f/2024-52/default.asp" TargetMode="External"/><Relationship Id="rId1179" Type="http://schemas.openxmlformats.org/officeDocument/2006/relationships/hyperlink" Target="http://www.comlaw.gov.au/Series/C2004A00819" TargetMode="External"/><Relationship Id="rId1386" Type="http://schemas.openxmlformats.org/officeDocument/2006/relationships/hyperlink" Target="http://www.legislation.act.gov.au/sl/2007-16" TargetMode="External"/><Relationship Id="rId1593" Type="http://schemas.openxmlformats.org/officeDocument/2006/relationships/hyperlink" Target="http://www.legislation.act.gov.au/sl/2023-36/" TargetMode="External"/><Relationship Id="rId2437" Type="http://schemas.openxmlformats.org/officeDocument/2006/relationships/hyperlink" Target="http://www.legislation.act.gov.au/sl/2023-36/" TargetMode="External"/><Relationship Id="rId2991" Type="http://schemas.openxmlformats.org/officeDocument/2006/relationships/hyperlink" Target="http://www.legislation.act.gov.au/sl/2010-24" TargetMode="External"/><Relationship Id="rId409" Type="http://schemas.openxmlformats.org/officeDocument/2006/relationships/hyperlink" Target="http://www.legislation.act.gov.au/a/1993-60/default.asp" TargetMode="External"/><Relationship Id="rId963" Type="http://schemas.openxmlformats.org/officeDocument/2006/relationships/header" Target="header27.xml"/><Relationship Id="rId1039" Type="http://schemas.openxmlformats.org/officeDocument/2006/relationships/hyperlink" Target="http://www.comlaw.gov.au/Series/C2004A00818" TargetMode="External"/><Relationship Id="rId1246" Type="http://schemas.openxmlformats.org/officeDocument/2006/relationships/hyperlink" Target="http://www.legislation.act.gov.au/sl/2007-16" TargetMode="External"/><Relationship Id="rId2644" Type="http://schemas.openxmlformats.org/officeDocument/2006/relationships/hyperlink" Target="http://www.legislation.act.gov.au/sl/2010-24" TargetMode="External"/><Relationship Id="rId2851" Type="http://schemas.openxmlformats.org/officeDocument/2006/relationships/hyperlink" Target="http://www.legislation.act.gov.au/sl/2009-32" TargetMode="External"/><Relationship Id="rId92" Type="http://schemas.openxmlformats.org/officeDocument/2006/relationships/hyperlink" Target="http://www.legislation.act.gov.au/af/2006-263/default.asp" TargetMode="External"/><Relationship Id="rId616" Type="http://schemas.openxmlformats.org/officeDocument/2006/relationships/hyperlink" Target="http://www.legislation.act.gov.au/a/2000-61/default.asp" TargetMode="External"/><Relationship Id="rId823" Type="http://schemas.openxmlformats.org/officeDocument/2006/relationships/hyperlink" Target="http://www.legislation.act.gov.au/a/2008-19" TargetMode="External"/><Relationship Id="rId1453" Type="http://schemas.openxmlformats.org/officeDocument/2006/relationships/hyperlink" Target="http://www.legislation.act.gov.au/sl/2011-34" TargetMode="External"/><Relationship Id="rId1660" Type="http://schemas.openxmlformats.org/officeDocument/2006/relationships/hyperlink" Target="http://www.legislation.act.gov.au/sl/2011-17" TargetMode="External"/><Relationship Id="rId2504" Type="http://schemas.openxmlformats.org/officeDocument/2006/relationships/hyperlink" Target="http://www.legislation.act.gov.au/sl/2009-32" TargetMode="External"/><Relationship Id="rId2711" Type="http://schemas.openxmlformats.org/officeDocument/2006/relationships/hyperlink" Target="http://www.legislation.act.gov.au/sl/2024-9/" TargetMode="External"/><Relationship Id="rId1106" Type="http://schemas.openxmlformats.org/officeDocument/2006/relationships/hyperlink" Target="http://www.comlaw.gov.au/Series/C2004A00818" TargetMode="External"/><Relationship Id="rId1313" Type="http://schemas.openxmlformats.org/officeDocument/2006/relationships/hyperlink" Target="http://www.legislation.act.gov.au/sl/2020-34/default.asp" TargetMode="External"/><Relationship Id="rId1520" Type="http://schemas.openxmlformats.org/officeDocument/2006/relationships/hyperlink" Target="http://www.legislation.act.gov.au/sl/2007-16" TargetMode="External"/><Relationship Id="rId199" Type="http://schemas.openxmlformats.org/officeDocument/2006/relationships/footer" Target="footer7.xml"/><Relationship Id="rId2087" Type="http://schemas.openxmlformats.org/officeDocument/2006/relationships/hyperlink" Target="http://www.legislation.act.gov.au/a/2010-21" TargetMode="External"/><Relationship Id="rId2294" Type="http://schemas.openxmlformats.org/officeDocument/2006/relationships/hyperlink" Target="http://www.legislation.act.gov.au/sl/2024-37/" TargetMode="External"/><Relationship Id="rId266" Type="http://schemas.openxmlformats.org/officeDocument/2006/relationships/hyperlink" Target="http://www.legislation.act.gov.au/a/1929-18/default.asp" TargetMode="External"/><Relationship Id="rId473" Type="http://schemas.openxmlformats.org/officeDocument/2006/relationships/hyperlink" Target="http://www.legislation.act.gov.au/a/alt_a1989-33co/default.asp" TargetMode="External"/><Relationship Id="rId680" Type="http://schemas.openxmlformats.org/officeDocument/2006/relationships/footer" Target="footer19.xml"/><Relationship Id="rId2154" Type="http://schemas.openxmlformats.org/officeDocument/2006/relationships/hyperlink" Target="http://www.legislation.act.gov.au/sl/2013-18/default.asp" TargetMode="External"/><Relationship Id="rId2361" Type="http://schemas.openxmlformats.org/officeDocument/2006/relationships/hyperlink" Target="http://www.legislation.act.gov.au/sl/2023-36/" TargetMode="External"/><Relationship Id="rId126" Type="http://schemas.openxmlformats.org/officeDocument/2006/relationships/hyperlink" Target="http://www.legislation.act.gov.au/a/2008-1"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f/2006-502/default.asp" TargetMode="External"/><Relationship Id="rId1170" Type="http://schemas.openxmlformats.org/officeDocument/2006/relationships/footer" Target="footer56.xm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09-56" TargetMode="External"/><Relationship Id="rId1030" Type="http://schemas.openxmlformats.org/officeDocument/2006/relationships/hyperlink" Target="http://www.comlaw.gov.au/Series/C2004A00818" TargetMode="External"/><Relationship Id="rId400" Type="http://schemas.openxmlformats.org/officeDocument/2006/relationships/hyperlink" Target="http://www.legislation.act.gov.au/a/2017-7/default.asp" TargetMode="External"/><Relationship Id="rId1987" Type="http://schemas.openxmlformats.org/officeDocument/2006/relationships/hyperlink" Target="http://www.legislation.act.gov.au/sl/2006-58" TargetMode="External"/><Relationship Id="rId1847" Type="http://schemas.openxmlformats.org/officeDocument/2006/relationships/hyperlink" Target="http://www.legislation.act.gov.au/sl/2006-58" TargetMode="External"/><Relationship Id="rId1707" Type="http://schemas.openxmlformats.org/officeDocument/2006/relationships/hyperlink" Target="http://www.legislation.act.gov.au/sl/2006-58" TargetMode="External"/><Relationship Id="rId3062" Type="http://schemas.openxmlformats.org/officeDocument/2006/relationships/hyperlink" Target="https://www.legislation.act.gov.au/sl/2020-9/" TargetMode="External"/><Relationship Id="rId190" Type="http://schemas.openxmlformats.org/officeDocument/2006/relationships/hyperlink" Target="http://www.legislation.act.gov.au/af/2006-301/default.asp" TargetMode="External"/><Relationship Id="rId1914" Type="http://schemas.openxmlformats.org/officeDocument/2006/relationships/hyperlink" Target="http://www.legislation.act.gov.au/sl/2009-32" TargetMode="External"/><Relationship Id="rId2688" Type="http://schemas.openxmlformats.org/officeDocument/2006/relationships/hyperlink" Target="https://www.legislation.act.gov.au/sl/2020-20/" TargetMode="External"/><Relationship Id="rId2895" Type="http://schemas.openxmlformats.org/officeDocument/2006/relationships/hyperlink" Target="http://www.legislation.act.gov.au/sl/2018-25/default.asp" TargetMode="External"/><Relationship Id="rId867" Type="http://schemas.openxmlformats.org/officeDocument/2006/relationships/hyperlink" Target="http://www.legislation.act.gov.au/af/2006-421/default.asp" TargetMode="External"/><Relationship Id="rId1497" Type="http://schemas.openxmlformats.org/officeDocument/2006/relationships/hyperlink" Target="http://www.legislation.act.gov.au/sl/2012-43" TargetMode="External"/><Relationship Id="rId2548" Type="http://schemas.openxmlformats.org/officeDocument/2006/relationships/hyperlink" Target="http://www.legislation.act.gov.au/sl/2024-37/" TargetMode="External"/><Relationship Id="rId2755" Type="http://schemas.openxmlformats.org/officeDocument/2006/relationships/hyperlink" Target="http://www.legislation.act.gov.au/sl/2008-25" TargetMode="External"/><Relationship Id="rId2962" Type="http://schemas.openxmlformats.org/officeDocument/2006/relationships/hyperlink" Target="http://www.legislation.act.gov.au/sl/2007-16" TargetMode="External"/><Relationship Id="rId727" Type="http://schemas.openxmlformats.org/officeDocument/2006/relationships/hyperlink" Target="http://www.legislation.act.gov.au/af/2006-408/default.asp" TargetMode="External"/><Relationship Id="rId934" Type="http://schemas.openxmlformats.org/officeDocument/2006/relationships/hyperlink" Target="http://www.comlaw.gov.au/Series/C2010A00035" TargetMode="External"/><Relationship Id="rId1357" Type="http://schemas.openxmlformats.org/officeDocument/2006/relationships/hyperlink" Target="http://www.legislation.act.gov.au/sl/2009-32" TargetMode="External"/><Relationship Id="rId1564" Type="http://schemas.openxmlformats.org/officeDocument/2006/relationships/hyperlink" Target="http://www.legislation.act.gov.au/sl/2011-17" TargetMode="External"/><Relationship Id="rId1771" Type="http://schemas.openxmlformats.org/officeDocument/2006/relationships/hyperlink" Target="http://www.legislation.act.gov.au/sl/2009-32" TargetMode="External"/><Relationship Id="rId2408" Type="http://schemas.openxmlformats.org/officeDocument/2006/relationships/hyperlink" Target="http://www.legislation.act.gov.au/sl/2015-12" TargetMode="External"/><Relationship Id="rId2615" Type="http://schemas.openxmlformats.org/officeDocument/2006/relationships/hyperlink" Target="http://www.legislation.act.gov.au/sl/2011-33" TargetMode="External"/><Relationship Id="rId2822" Type="http://schemas.openxmlformats.org/officeDocument/2006/relationships/hyperlink" Target="http://www.legislation.act.gov.au/sl/2023-36/"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legislation.act.gov.au/a/1930-21" TargetMode="External"/><Relationship Id="rId1424" Type="http://schemas.openxmlformats.org/officeDocument/2006/relationships/hyperlink" Target="http://www.legislation.act.gov.au/sl/2014-34" TargetMode="External"/><Relationship Id="rId1631" Type="http://schemas.openxmlformats.org/officeDocument/2006/relationships/hyperlink" Target="http://www.legislation.act.gov.au/sl/2016-17" TargetMode="External"/><Relationship Id="rId2198" Type="http://schemas.openxmlformats.org/officeDocument/2006/relationships/hyperlink" Target="http://www.legislation.act.gov.au/sl/2015-22" TargetMode="External"/><Relationship Id="rId377" Type="http://schemas.openxmlformats.org/officeDocument/2006/relationships/hyperlink" Target="http://www.legislation.act.gov.au/af/2011-62/default.asp" TargetMode="External"/><Relationship Id="rId584" Type="http://schemas.openxmlformats.org/officeDocument/2006/relationships/hyperlink" Target="http://www.legislation.act.gov.au/af/2024-37/default.asp" TargetMode="External"/><Relationship Id="rId2058" Type="http://schemas.openxmlformats.org/officeDocument/2006/relationships/hyperlink" Target="http://www.legislation.act.gov.au/sl/2006-58" TargetMode="External"/><Relationship Id="rId2265" Type="http://schemas.openxmlformats.org/officeDocument/2006/relationships/hyperlink" Target="http://www.legislation.act.gov.au/sl/2016-33" TargetMode="Externa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1930-21" TargetMode="External"/><Relationship Id="rId1074" Type="http://schemas.openxmlformats.org/officeDocument/2006/relationships/header" Target="header43.xml"/><Relationship Id="rId2472" Type="http://schemas.openxmlformats.org/officeDocument/2006/relationships/hyperlink" Target="http://www.legislation.act.gov.au/sl/2011-33" TargetMode="External"/><Relationship Id="rId444" Type="http://schemas.openxmlformats.org/officeDocument/2006/relationships/hyperlink" Target="http://www.comlaw.gov.au/Series/C2004A04187" TargetMode="External"/><Relationship Id="rId651" Type="http://schemas.openxmlformats.org/officeDocument/2006/relationships/hyperlink" Target="http://www.legislation.act.gov.au/a/2016-42" TargetMode="External"/><Relationship Id="rId1281" Type="http://schemas.openxmlformats.org/officeDocument/2006/relationships/hyperlink" Target="http://www.legislation.act.gov.au/a/2012-2" TargetMode="External"/><Relationship Id="rId2125" Type="http://schemas.openxmlformats.org/officeDocument/2006/relationships/hyperlink" Target="http://www.legislation.act.gov.au/sl/2024-9/" TargetMode="External"/><Relationship Id="rId2332" Type="http://schemas.openxmlformats.org/officeDocument/2006/relationships/hyperlink" Target="http://www.legislation.act.gov.au/sl/2012-43" TargetMode="External"/><Relationship Id="rId304" Type="http://schemas.openxmlformats.org/officeDocument/2006/relationships/hyperlink" Target="http://www.legislation.act.gov.au/af/2022-4/default.asp" TargetMode="External"/><Relationship Id="rId511" Type="http://schemas.openxmlformats.org/officeDocument/2006/relationships/hyperlink" Target="http://www.legislation.act.gov.au/a/1951-2/default.asp" TargetMode="External"/><Relationship Id="rId1141" Type="http://schemas.openxmlformats.org/officeDocument/2006/relationships/hyperlink" Target="http://www.comlaw.gov.au/Series/C2004A00818" TargetMode="External"/><Relationship Id="rId1001" Type="http://schemas.openxmlformats.org/officeDocument/2006/relationships/hyperlink" Target="http://www.comlaw.gov.au/Series/F1996B01600" TargetMode="External"/><Relationship Id="rId1958" Type="http://schemas.openxmlformats.org/officeDocument/2006/relationships/hyperlink" Target="http://www.legislation.act.gov.au/sl/2006-58" TargetMode="External"/><Relationship Id="rId1818" Type="http://schemas.openxmlformats.org/officeDocument/2006/relationships/hyperlink" Target="http://www.legislation.act.gov.au/sl/2009-32" TargetMode="External"/><Relationship Id="rId3033" Type="http://schemas.openxmlformats.org/officeDocument/2006/relationships/hyperlink" Target="http://www.legislation.act.gov.au/sl/2015-42/default.asp" TargetMode="External"/><Relationship Id="rId161" Type="http://schemas.openxmlformats.org/officeDocument/2006/relationships/hyperlink" Target="http://www.legislation.act.gov.au/af/2006-292/default.asp" TargetMode="External"/><Relationship Id="rId2799" Type="http://schemas.openxmlformats.org/officeDocument/2006/relationships/hyperlink" Target="http://www.legislation.act.gov.au/sl/2012-43" TargetMode="External"/><Relationship Id="rId3100" Type="http://schemas.openxmlformats.org/officeDocument/2006/relationships/footer" Target="footer72.xml"/><Relationship Id="rId978" Type="http://schemas.openxmlformats.org/officeDocument/2006/relationships/header" Target="header33.xml"/><Relationship Id="rId2659" Type="http://schemas.openxmlformats.org/officeDocument/2006/relationships/hyperlink" Target="http://www.legislation.act.gov.au/sl/2008-50" TargetMode="External"/><Relationship Id="rId2866" Type="http://schemas.openxmlformats.org/officeDocument/2006/relationships/hyperlink" Target="http://www.legislation.act.gov.au/sl/2017-17/default.asp" TargetMode="External"/><Relationship Id="rId838" Type="http://schemas.openxmlformats.org/officeDocument/2006/relationships/hyperlink" Target="http://www.legislation.act.gov.au/af/2009-149/default.asp" TargetMode="External"/><Relationship Id="rId1468" Type="http://schemas.openxmlformats.org/officeDocument/2006/relationships/hyperlink" Target="http://www.legislation.act.gov.au/sl/2012-24" TargetMode="External"/><Relationship Id="rId1675" Type="http://schemas.openxmlformats.org/officeDocument/2006/relationships/hyperlink" Target="http://www.legislation.act.gov.au/sl/2022-2/" TargetMode="External"/><Relationship Id="rId1882" Type="http://schemas.openxmlformats.org/officeDocument/2006/relationships/hyperlink" Target="http://www.legislation.act.gov.au/sl/2009-32" TargetMode="External"/><Relationship Id="rId2519" Type="http://schemas.openxmlformats.org/officeDocument/2006/relationships/hyperlink" Target="http://www.legislation.act.gov.au/sl/2009-32" TargetMode="External"/><Relationship Id="rId2726" Type="http://schemas.openxmlformats.org/officeDocument/2006/relationships/hyperlink" Target="http://www.legislation.act.gov.au/sl/2012-43" TargetMode="External"/><Relationship Id="rId1328" Type="http://schemas.openxmlformats.org/officeDocument/2006/relationships/hyperlink" Target="http://www.legislation.act.gov.au/sl/2024-9/" TargetMode="External"/><Relationship Id="rId1535" Type="http://schemas.openxmlformats.org/officeDocument/2006/relationships/hyperlink" Target="http://www.legislation.act.gov.au/sl/2019-25/default.asp" TargetMode="External"/><Relationship Id="rId2933" Type="http://schemas.openxmlformats.org/officeDocument/2006/relationships/hyperlink" Target="http://www.legislation.act.gov.au/sl/2018-25/default.asp" TargetMode="External"/><Relationship Id="rId905" Type="http://schemas.openxmlformats.org/officeDocument/2006/relationships/hyperlink" Target="http://www.comlaw.gov.au/Series/C2010A00035" TargetMode="External"/><Relationship Id="rId1742" Type="http://schemas.openxmlformats.org/officeDocument/2006/relationships/hyperlink" Target="http://www.legislation.act.gov.au/sl/2019-11/default.asp"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24-9/" TargetMode="External"/><Relationship Id="rId488" Type="http://schemas.openxmlformats.org/officeDocument/2006/relationships/hyperlink" Target="http://www.legislation.act.gov.au/a/2006-25/default.asp" TargetMode="External"/><Relationship Id="rId695" Type="http://schemas.openxmlformats.org/officeDocument/2006/relationships/hyperlink" Target="http://www.legislation.act.gov.au/af/2015-57/default.asp" TargetMode="External"/><Relationship Id="rId2169" Type="http://schemas.openxmlformats.org/officeDocument/2006/relationships/hyperlink" Target="http://www.legislation.act.gov.au/sl/2012-43" TargetMode="External"/><Relationship Id="rId2376" Type="http://schemas.openxmlformats.org/officeDocument/2006/relationships/hyperlink" Target="http://www.legislation.act.gov.au/sl/2015-22" TargetMode="External"/><Relationship Id="rId2583" Type="http://schemas.openxmlformats.org/officeDocument/2006/relationships/hyperlink" Target="http://www.legislation.act.gov.au/sl/2015-22" TargetMode="External"/><Relationship Id="rId2790" Type="http://schemas.openxmlformats.org/officeDocument/2006/relationships/hyperlink" Target="http://www.legislation.act.gov.au/sl/2008-50"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2006-25" TargetMode="External"/><Relationship Id="rId762" Type="http://schemas.openxmlformats.org/officeDocument/2006/relationships/hyperlink" Target="http://www.legislation.act.gov.au/a/2016-42" TargetMode="External"/><Relationship Id="rId1185" Type="http://schemas.openxmlformats.org/officeDocument/2006/relationships/hyperlink" Target="http://www.comlaw.gov.au/Series/C2008A00024" TargetMode="External"/><Relationship Id="rId1392" Type="http://schemas.openxmlformats.org/officeDocument/2006/relationships/hyperlink" Target="http://www.legislation.act.gov.au/sl/2015-22" TargetMode="External"/><Relationship Id="rId2029" Type="http://schemas.openxmlformats.org/officeDocument/2006/relationships/hyperlink" Target="http://www.legislation.act.gov.au/sl/2015-12" TargetMode="External"/><Relationship Id="rId2236" Type="http://schemas.openxmlformats.org/officeDocument/2006/relationships/hyperlink" Target="http://www.legislation.act.gov.au/sl/2020-45/" TargetMode="External"/><Relationship Id="rId2443" Type="http://schemas.openxmlformats.org/officeDocument/2006/relationships/hyperlink" Target="http://www.legislation.act.gov.au/sl/2017-10/default.asp" TargetMode="External"/><Relationship Id="rId2650" Type="http://schemas.openxmlformats.org/officeDocument/2006/relationships/hyperlink" Target="http://www.legislation.act.gov.au/sl/2017-17/default.asp" TargetMode="External"/><Relationship Id="rId208" Type="http://schemas.openxmlformats.org/officeDocument/2006/relationships/hyperlink" Target="http://www.legislation.act.gov.au/af/2006-313/default.asp" TargetMode="External"/><Relationship Id="rId415" Type="http://schemas.openxmlformats.org/officeDocument/2006/relationships/hyperlink" Target="http://www.legislation.act.gov.au/a/1992-71/default.asp" TargetMode="External"/><Relationship Id="rId622" Type="http://schemas.openxmlformats.org/officeDocument/2006/relationships/hyperlink" Target="http://www.legislation.act.gov.au/a/2000-61/default.asp" TargetMode="External"/><Relationship Id="rId1045" Type="http://schemas.openxmlformats.org/officeDocument/2006/relationships/hyperlink" Target="http://www.comlaw.gov.au/Series/C2004A00818" TargetMode="External"/><Relationship Id="rId1252" Type="http://schemas.openxmlformats.org/officeDocument/2006/relationships/hyperlink" Target="http://www.legislation.act.gov.au/a/2008-20" TargetMode="External"/><Relationship Id="rId2303" Type="http://schemas.openxmlformats.org/officeDocument/2006/relationships/hyperlink" Target="http://www.legislation.act.gov.au/sl/2023-36/" TargetMode="External"/><Relationship Id="rId2510" Type="http://schemas.openxmlformats.org/officeDocument/2006/relationships/hyperlink" Target="http://www.legislation.act.gov.au/sl/2009-32" TargetMode="External"/><Relationship Id="rId1112" Type="http://schemas.openxmlformats.org/officeDocument/2006/relationships/hyperlink" Target="http://www.comlaw.gov.au/Series/C2004A00818" TargetMode="External"/><Relationship Id="rId3077" Type="http://schemas.openxmlformats.org/officeDocument/2006/relationships/hyperlink" Target="http://www.legislation.act.gov.au/sl/2022-19/" TargetMode="External"/><Relationship Id="rId1929" Type="http://schemas.openxmlformats.org/officeDocument/2006/relationships/hyperlink" Target="http://www.legislation.act.gov.au/sl/2006-58" TargetMode="External"/><Relationship Id="rId2093" Type="http://schemas.openxmlformats.org/officeDocument/2006/relationships/hyperlink" Target="http://www.legislation.act.gov.au/a/2010-21" TargetMode="External"/><Relationship Id="rId272" Type="http://schemas.openxmlformats.org/officeDocument/2006/relationships/hyperlink" Target="http://www.legislation.act.gov.au/af/2017-165/default.asp" TargetMode="External"/><Relationship Id="rId2160" Type="http://schemas.openxmlformats.org/officeDocument/2006/relationships/hyperlink" Target="http://www.legislation.act.gov.au/sl/2012-43" TargetMode="External"/><Relationship Id="rId3004" Type="http://schemas.openxmlformats.org/officeDocument/2006/relationships/hyperlink" Target="http://www.legislation.act.gov.au/sl/2011-17" TargetMode="External"/><Relationship Id="rId132" Type="http://schemas.openxmlformats.org/officeDocument/2006/relationships/hyperlink" Target="http://www.legislation.act.gov.au/a/2004-59/default.asp" TargetMode="External"/><Relationship Id="rId2020" Type="http://schemas.openxmlformats.org/officeDocument/2006/relationships/hyperlink" Target="http://www.legislation.act.gov.au/sl/2006-58" TargetMode="External"/><Relationship Id="rId1579" Type="http://schemas.openxmlformats.org/officeDocument/2006/relationships/hyperlink" Target="http://www.legislation.act.gov.au/sl/2023-36/" TargetMode="External"/><Relationship Id="rId2977" Type="http://schemas.openxmlformats.org/officeDocument/2006/relationships/hyperlink" Target="http://www.legislation.act.gov.au/sl/2008-50" TargetMode="External"/><Relationship Id="rId949" Type="http://schemas.openxmlformats.org/officeDocument/2006/relationships/header" Target="header20.xml"/><Relationship Id="rId1786" Type="http://schemas.openxmlformats.org/officeDocument/2006/relationships/hyperlink" Target="http://www.legislation.act.gov.au/sl/2006-58" TargetMode="External"/><Relationship Id="rId1993" Type="http://schemas.openxmlformats.org/officeDocument/2006/relationships/hyperlink" Target="http://www.legislation.act.gov.au/sl/2015-12" TargetMode="External"/><Relationship Id="rId2837" Type="http://schemas.openxmlformats.org/officeDocument/2006/relationships/hyperlink" Target="http://www.legislation.act.gov.au/sl/2011-34" TargetMode="External"/><Relationship Id="rId78" Type="http://schemas.openxmlformats.org/officeDocument/2006/relationships/hyperlink" Target="http://www.legislation.act.gov.au/af/2014-160/default.asp" TargetMode="External"/><Relationship Id="rId809" Type="http://schemas.openxmlformats.org/officeDocument/2006/relationships/hyperlink" Target="http://www.comlaw.gov.au/Series/C2004A00818" TargetMode="External"/><Relationship Id="rId1439" Type="http://schemas.openxmlformats.org/officeDocument/2006/relationships/hyperlink" Target="http://www.legislation.act.gov.au/sl/2014-34" TargetMode="External"/><Relationship Id="rId1646" Type="http://schemas.openxmlformats.org/officeDocument/2006/relationships/hyperlink" Target="http://www.legislation.act.gov.au/sl/2010-24" TargetMode="External"/><Relationship Id="rId1853" Type="http://schemas.openxmlformats.org/officeDocument/2006/relationships/hyperlink" Target="http://www.legislation.act.gov.au/sl/2006-58" TargetMode="External"/><Relationship Id="rId2904" Type="http://schemas.openxmlformats.org/officeDocument/2006/relationships/hyperlink" Target="http://www.legislation.act.gov.au/sl/2017-17/default.asp" TargetMode="External"/><Relationship Id="rId1506" Type="http://schemas.openxmlformats.org/officeDocument/2006/relationships/hyperlink" Target="http://www.legislation.act.gov.au/sl/2012-43" TargetMode="External"/><Relationship Id="rId1713" Type="http://schemas.openxmlformats.org/officeDocument/2006/relationships/hyperlink" Target="http://www.legislation.act.gov.au/sl/2014-9" TargetMode="External"/><Relationship Id="rId1920" Type="http://schemas.openxmlformats.org/officeDocument/2006/relationships/hyperlink" Target="http://www.legislation.act.gov.au/sl/2009-32" TargetMode="External"/><Relationship Id="rId599" Type="http://schemas.openxmlformats.org/officeDocument/2006/relationships/hyperlink" Target="http://www.legislation.act.gov.au/a/1992-8" TargetMode="External"/><Relationship Id="rId2487" Type="http://schemas.openxmlformats.org/officeDocument/2006/relationships/hyperlink" Target="http://www.legislation.act.gov.au/sl/2011-33" TargetMode="External"/><Relationship Id="rId2694" Type="http://schemas.openxmlformats.org/officeDocument/2006/relationships/hyperlink" Target="http://www.legislation.act.gov.au/sl/2011-17" TargetMode="External"/><Relationship Id="rId459" Type="http://schemas.openxmlformats.org/officeDocument/2006/relationships/hyperlink" Target="http://www.legislation.act.gov.au/a/alt_a1989-33co" TargetMode="External"/><Relationship Id="rId666" Type="http://schemas.openxmlformats.org/officeDocument/2006/relationships/hyperlink" Target="http://www.legislation.act.gov.au/a/1930-21"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4A00818" TargetMode="External"/><Relationship Id="rId1296" Type="http://schemas.openxmlformats.org/officeDocument/2006/relationships/hyperlink" Target="http://www.legislation.act.gov.au/sl/2016-31" TargetMode="External"/><Relationship Id="rId2347" Type="http://schemas.openxmlformats.org/officeDocument/2006/relationships/hyperlink" Target="http://www.legislation.act.gov.au/sl/2018-25/default.asp" TargetMode="External"/><Relationship Id="rId2554" Type="http://schemas.openxmlformats.org/officeDocument/2006/relationships/hyperlink" Target="http://www.legislation.act.gov.au/sl/2013-18/default.asp" TargetMode="External"/><Relationship Id="rId319" Type="http://schemas.openxmlformats.org/officeDocument/2006/relationships/hyperlink" Target="http://www.legislation.act.gov.au/a/1929-18/default.asp" TargetMode="External"/><Relationship Id="rId526" Type="http://schemas.openxmlformats.org/officeDocument/2006/relationships/hyperlink" Target="http://www.legislation.act.gov.au/a/2004-59" TargetMode="External"/><Relationship Id="rId1156" Type="http://schemas.openxmlformats.org/officeDocument/2006/relationships/header" Target="header44.xml"/><Relationship Id="rId1363" Type="http://schemas.openxmlformats.org/officeDocument/2006/relationships/hyperlink" Target="http://www.legislation.act.gov.au/sl/2011-34" TargetMode="External"/><Relationship Id="rId2207" Type="http://schemas.openxmlformats.org/officeDocument/2006/relationships/hyperlink" Target="http://www.legislation.act.gov.au/sl/2014-9" TargetMode="External"/><Relationship Id="rId2761" Type="http://schemas.openxmlformats.org/officeDocument/2006/relationships/hyperlink" Target="http://www.legislation.act.gov.au/sl/2008-25" TargetMode="External"/><Relationship Id="rId733" Type="http://schemas.openxmlformats.org/officeDocument/2006/relationships/hyperlink" Target="http://www.legislation.act.gov.au/a/2001-14" TargetMode="External"/><Relationship Id="rId940" Type="http://schemas.openxmlformats.org/officeDocument/2006/relationships/hyperlink" Target="http://www.legislation.act.gov.au/a/2001-14" TargetMode="External"/><Relationship Id="rId1016" Type="http://schemas.openxmlformats.org/officeDocument/2006/relationships/hyperlink" Target="http://www.comlaw.gov.au/Series/C2004A00818" TargetMode="External"/><Relationship Id="rId1570" Type="http://schemas.openxmlformats.org/officeDocument/2006/relationships/hyperlink" Target="http://www.legislation.act.gov.au/sl/2012-24" TargetMode="External"/><Relationship Id="rId2414" Type="http://schemas.openxmlformats.org/officeDocument/2006/relationships/hyperlink" Target="http://www.legislation.act.gov.au/sl/2017-17/default.asp" TargetMode="External"/><Relationship Id="rId2621" Type="http://schemas.openxmlformats.org/officeDocument/2006/relationships/hyperlink" Target="http://www.legislation.act.gov.au/sl/2011-33" TargetMode="External"/><Relationship Id="rId800" Type="http://schemas.openxmlformats.org/officeDocument/2006/relationships/hyperlink" Target="http://www.legislation.act.gov.au/a/2001-14" TargetMode="External"/><Relationship Id="rId1223" Type="http://schemas.openxmlformats.org/officeDocument/2006/relationships/hyperlink" Target="http://www.legislation.act.gov.au/a/2001-14" TargetMode="External"/><Relationship Id="rId1430" Type="http://schemas.openxmlformats.org/officeDocument/2006/relationships/hyperlink" Target="http://www.legislation.act.gov.au/sl/2014-34" TargetMode="External"/><Relationship Id="rId3048" Type="http://schemas.openxmlformats.org/officeDocument/2006/relationships/hyperlink" Target="http://www.legislation.act.gov.au/sl/2017-17/default.asp" TargetMode="External"/><Relationship Id="rId176" Type="http://schemas.openxmlformats.org/officeDocument/2006/relationships/hyperlink" Target="http://www.legislation.act.gov.au/af/2006-295/default.asp" TargetMode="External"/><Relationship Id="rId383" Type="http://schemas.openxmlformats.org/officeDocument/2006/relationships/hyperlink" Target="http://www.legislation.act.gov.au/a/2017-7/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sl/2024-9/" TargetMode="External"/><Relationship Id="rId2271" Type="http://schemas.openxmlformats.org/officeDocument/2006/relationships/hyperlink" Target="http://www.legislation.act.gov.au/sl/2016-33"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f/2015-34/default.asp" TargetMode="External"/><Relationship Id="rId1080" Type="http://schemas.openxmlformats.org/officeDocument/2006/relationships/hyperlink" Target="http://www.comlaw.gov.au/Series/C2004A00818" TargetMode="External"/><Relationship Id="rId2131" Type="http://schemas.openxmlformats.org/officeDocument/2006/relationships/hyperlink" Target="http://www.legislation.act.gov.au/sl/2006-58"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f/2017-175/default.asp" TargetMode="External"/><Relationship Id="rId1897" Type="http://schemas.openxmlformats.org/officeDocument/2006/relationships/hyperlink" Target="http://www.legislation.act.gov.au/sl/2006-58" TargetMode="External"/><Relationship Id="rId2948" Type="http://schemas.openxmlformats.org/officeDocument/2006/relationships/hyperlink" Target="http://www.legislation.act.gov.au/sl/2006-58" TargetMode="External"/><Relationship Id="rId1757" Type="http://schemas.openxmlformats.org/officeDocument/2006/relationships/hyperlink" Target="http://www.legislation.act.gov.au/sl/2006-43" TargetMode="External"/><Relationship Id="rId1964" Type="http://schemas.openxmlformats.org/officeDocument/2006/relationships/hyperlink" Target="http://www.legislation.act.gov.au/sl/2006-58" TargetMode="External"/><Relationship Id="rId2808" Type="http://schemas.openxmlformats.org/officeDocument/2006/relationships/hyperlink" Target="http://www.legislation.act.gov.au/sl/2017-17/default.asp"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sl/2016-17" TargetMode="External"/><Relationship Id="rId1824" Type="http://schemas.openxmlformats.org/officeDocument/2006/relationships/hyperlink" Target="http://www.legislation.act.gov.au/sl/2009-32" TargetMode="External"/><Relationship Id="rId2598" Type="http://schemas.openxmlformats.org/officeDocument/2006/relationships/hyperlink" Target="http://www.legislation.act.gov.au/sl/2011-33" TargetMode="External"/><Relationship Id="rId777" Type="http://schemas.openxmlformats.org/officeDocument/2006/relationships/hyperlink" Target="http://www.legislation.act.gov.au/a/2005-58" TargetMode="External"/><Relationship Id="rId984" Type="http://schemas.openxmlformats.org/officeDocument/2006/relationships/footer" Target="footer44.xml"/><Relationship Id="rId2458" Type="http://schemas.openxmlformats.org/officeDocument/2006/relationships/hyperlink" Target="http://www.legislation.act.gov.au/sl/2009-56" TargetMode="External"/><Relationship Id="rId2665" Type="http://schemas.openxmlformats.org/officeDocument/2006/relationships/hyperlink" Target="http://www.legislation.act.gov.au/sl/2019-11/default.asp" TargetMode="External"/><Relationship Id="rId2872" Type="http://schemas.openxmlformats.org/officeDocument/2006/relationships/hyperlink" Target="http://www.legislation.act.gov.au/sl/2024-9/" TargetMode="External"/><Relationship Id="rId637" Type="http://schemas.openxmlformats.org/officeDocument/2006/relationships/hyperlink" Target="http://www.legislation.act.gov.au/a/2001-14" TargetMode="External"/><Relationship Id="rId844" Type="http://schemas.openxmlformats.org/officeDocument/2006/relationships/hyperlink" Target="http://www.legislation.act.gov.au/af/2024-43/default.asp" TargetMode="External"/><Relationship Id="rId1267" Type="http://schemas.openxmlformats.org/officeDocument/2006/relationships/hyperlink" Target="http://www.legislation.act.gov.au/a/2010-2" TargetMode="External"/><Relationship Id="rId1474" Type="http://schemas.openxmlformats.org/officeDocument/2006/relationships/hyperlink" Target="http://www.legislation.act.gov.au/sl/2012-24" TargetMode="External"/><Relationship Id="rId1681" Type="http://schemas.openxmlformats.org/officeDocument/2006/relationships/hyperlink" Target="http://www.legislation.act.gov.au/a/2007-3" TargetMode="External"/><Relationship Id="rId2318" Type="http://schemas.openxmlformats.org/officeDocument/2006/relationships/hyperlink" Target="http://www.legislation.act.gov.au/sl/2012-43" TargetMode="External"/><Relationship Id="rId2525" Type="http://schemas.openxmlformats.org/officeDocument/2006/relationships/hyperlink" Target="http://www.legislation.act.gov.au/sl/2009-32" TargetMode="External"/><Relationship Id="rId2732" Type="http://schemas.openxmlformats.org/officeDocument/2006/relationships/hyperlink" Target="http://www.legislation.act.gov.au/sl/2007-16" TargetMode="External"/><Relationship Id="rId704" Type="http://schemas.openxmlformats.org/officeDocument/2006/relationships/hyperlink" Target="http://www.legislation.act.gov.au/af/2006-405/default.asp" TargetMode="External"/><Relationship Id="rId911" Type="http://schemas.openxmlformats.org/officeDocument/2006/relationships/hyperlink" Target="http://www.legislation.act.gov.au/af/2024-48/default.asp" TargetMode="External"/><Relationship Id="rId1127" Type="http://schemas.openxmlformats.org/officeDocument/2006/relationships/hyperlink" Target="http://www.comlaw.gov.au/Series/C2004A00818" TargetMode="External"/><Relationship Id="rId1334" Type="http://schemas.openxmlformats.org/officeDocument/2006/relationships/hyperlink" Target="http://www.legislation.act.gov.au/sl/2017-10/default.asp" TargetMode="External"/><Relationship Id="rId1541" Type="http://schemas.openxmlformats.org/officeDocument/2006/relationships/hyperlink" Target="http://www.legislation.act.gov.au/sl/2014-34" TargetMode="External"/><Relationship Id="rId40" Type="http://schemas.openxmlformats.org/officeDocument/2006/relationships/hyperlink" Target="http://www.legislation.act.gov.au/af/2007-60/default.asp" TargetMode="External"/><Relationship Id="rId1401" Type="http://schemas.openxmlformats.org/officeDocument/2006/relationships/hyperlink" Target="http://www.legislation.act.gov.au/sl/2015-42/default.asp" TargetMode="External"/><Relationship Id="rId287" Type="http://schemas.openxmlformats.org/officeDocument/2006/relationships/hyperlink" Target="http://www.legislation.act.gov.au/a/1968-11" TargetMode="External"/><Relationship Id="rId494" Type="http://schemas.openxmlformats.org/officeDocument/2006/relationships/hyperlink" Target="http://www.legislation.act.gov.au/a/2006-25/default.asp" TargetMode="External"/><Relationship Id="rId2175" Type="http://schemas.openxmlformats.org/officeDocument/2006/relationships/hyperlink" Target="http://www.legislation.act.gov.au/sl/2013-18/default.asp" TargetMode="External"/><Relationship Id="rId2382" Type="http://schemas.openxmlformats.org/officeDocument/2006/relationships/hyperlink" Target="http://www.legislation.act.gov.au/sl/2007-16" TargetMode="External"/><Relationship Id="rId3019" Type="http://schemas.openxmlformats.org/officeDocument/2006/relationships/hyperlink" Target="http://www.legislation.act.gov.au/sl/2013-32" TargetMode="External"/><Relationship Id="rId147" Type="http://schemas.openxmlformats.org/officeDocument/2006/relationships/hyperlink" Target="http://www.legislation.act.gov.au/a/1985-8" TargetMode="External"/><Relationship Id="rId354" Type="http://schemas.openxmlformats.org/officeDocument/2006/relationships/hyperlink" Target="https://www.legislation.act.gov.au/a/1993-20/" TargetMode="External"/><Relationship Id="rId1191" Type="http://schemas.openxmlformats.org/officeDocument/2006/relationships/hyperlink" Target="https://www.iiiglobal.org/sites/default/files/alireportmarch_0.pdf" TargetMode="External"/><Relationship Id="rId2035" Type="http://schemas.openxmlformats.org/officeDocument/2006/relationships/hyperlink" Target="http://www.legislation.act.gov.au/sl/2006-58" TargetMode="External"/><Relationship Id="rId561" Type="http://schemas.openxmlformats.org/officeDocument/2006/relationships/hyperlink" Target="http://www.legislation.act.gov.au/a/2006-25" TargetMode="External"/><Relationship Id="rId2242" Type="http://schemas.openxmlformats.org/officeDocument/2006/relationships/hyperlink" Target="http://www.legislation.act.gov.au/sl/2006-58" TargetMode="External"/><Relationship Id="rId214" Type="http://schemas.openxmlformats.org/officeDocument/2006/relationships/header" Target="header8.xml"/><Relationship Id="rId421" Type="http://schemas.openxmlformats.org/officeDocument/2006/relationships/hyperlink" Target="http://www.legislation.act.gov.au/a/1992-71/default.asp" TargetMode="External"/><Relationship Id="rId1051" Type="http://schemas.openxmlformats.org/officeDocument/2006/relationships/footer" Target="footer47.xml"/><Relationship Id="rId2102" Type="http://schemas.openxmlformats.org/officeDocument/2006/relationships/hyperlink" Target="http://www.legislation.act.gov.au/sl/2006-58" TargetMode="External"/><Relationship Id="rId1868" Type="http://schemas.openxmlformats.org/officeDocument/2006/relationships/hyperlink" Target="http://www.legislation.act.gov.au/sl/2009-32" TargetMode="External"/><Relationship Id="rId2919" Type="http://schemas.openxmlformats.org/officeDocument/2006/relationships/hyperlink" Target="http://www.legislation.act.gov.au/sl/2017-17/default.asp" TargetMode="External"/><Relationship Id="rId3083" Type="http://schemas.openxmlformats.org/officeDocument/2006/relationships/hyperlink" Target="http://www.legislation.act.gov.au/sl/2024-9/" TargetMode="External"/><Relationship Id="rId1728" Type="http://schemas.openxmlformats.org/officeDocument/2006/relationships/hyperlink" Target="http://www.legislation.act.gov.au/sl/2007-37" TargetMode="External"/><Relationship Id="rId1935" Type="http://schemas.openxmlformats.org/officeDocument/2006/relationships/hyperlink" Target="http://www.legislation.act.gov.au/sl/2017-10/default.asp" TargetMode="External"/><Relationship Id="rId3010" Type="http://schemas.openxmlformats.org/officeDocument/2006/relationships/hyperlink" Target="http://www.legislation.act.gov.au/sl/2011-34" TargetMode="External"/><Relationship Id="rId4" Type="http://schemas.openxmlformats.org/officeDocument/2006/relationships/settings" Target="settings.xml"/><Relationship Id="rId888" Type="http://schemas.openxmlformats.org/officeDocument/2006/relationships/hyperlink" Target="http://www.legislation.act.gov.au/a/1991-34" TargetMode="External"/><Relationship Id="rId2569" Type="http://schemas.openxmlformats.org/officeDocument/2006/relationships/hyperlink" Target="http://www.legislation.act.gov.au/sl/2009-32" TargetMode="External"/><Relationship Id="rId2776" Type="http://schemas.openxmlformats.org/officeDocument/2006/relationships/hyperlink" Target="http://www.legislation.act.gov.au/sl/2008-25" TargetMode="External"/><Relationship Id="rId2983" Type="http://schemas.openxmlformats.org/officeDocument/2006/relationships/hyperlink" Target="http://www.legislation.act.gov.au/sl/2009-32" TargetMode="External"/><Relationship Id="rId748" Type="http://schemas.openxmlformats.org/officeDocument/2006/relationships/hyperlink" Target="http://www.legislation.act.gov.au/a/2004-5" TargetMode="External"/><Relationship Id="rId955" Type="http://schemas.openxmlformats.org/officeDocument/2006/relationships/header" Target="header23.xml"/><Relationship Id="rId1378" Type="http://schemas.openxmlformats.org/officeDocument/2006/relationships/hyperlink" Target="http://www.legislation.act.gov.au/sl/2020-45/" TargetMode="External"/><Relationship Id="rId1585" Type="http://schemas.openxmlformats.org/officeDocument/2006/relationships/hyperlink" Target="http://www.legislation.act.gov.au/sl/2006-58" TargetMode="External"/><Relationship Id="rId1792" Type="http://schemas.openxmlformats.org/officeDocument/2006/relationships/hyperlink" Target="http://www.legislation.act.gov.au/sl/2006-58" TargetMode="External"/><Relationship Id="rId2429" Type="http://schemas.openxmlformats.org/officeDocument/2006/relationships/hyperlink" Target="http://www.legislation.act.gov.au/sl/2011-17" TargetMode="External"/><Relationship Id="rId2636" Type="http://schemas.openxmlformats.org/officeDocument/2006/relationships/hyperlink" Target="http://www.legislation.act.gov.au/sl/2016-17" TargetMode="External"/><Relationship Id="rId2843" Type="http://schemas.openxmlformats.org/officeDocument/2006/relationships/hyperlink" Target="http://www.legislation.act.gov.au/sl/2012-43" TargetMode="External"/><Relationship Id="rId84" Type="http://schemas.openxmlformats.org/officeDocument/2006/relationships/hyperlink" Target="http://www.legislation.act.gov.au/a/2002-40" TargetMode="External"/><Relationship Id="rId608" Type="http://schemas.openxmlformats.org/officeDocument/2006/relationships/hyperlink" Target="http://www.comlaw.gov.au/Details/C2013C00180" TargetMode="External"/><Relationship Id="rId815" Type="http://schemas.openxmlformats.org/officeDocument/2006/relationships/hyperlink" Target="http://www.comlaw.gov.au/Series/C2004A07380" TargetMode="External"/><Relationship Id="rId1238" Type="http://schemas.openxmlformats.org/officeDocument/2006/relationships/header" Target="header54.xml"/><Relationship Id="rId1445" Type="http://schemas.openxmlformats.org/officeDocument/2006/relationships/hyperlink" Target="http://www.legislation.act.gov.au/sl/2024-9/" TargetMode="External"/><Relationship Id="rId1652" Type="http://schemas.openxmlformats.org/officeDocument/2006/relationships/hyperlink" Target="http://www.legislation.act.gov.au/sl/2022-2/" TargetMode="External"/><Relationship Id="rId1305" Type="http://schemas.openxmlformats.org/officeDocument/2006/relationships/hyperlink" Target="http://www.legislation.act.gov.au/sl/2019-11/default.asp" TargetMode="External"/><Relationship Id="rId2703" Type="http://schemas.openxmlformats.org/officeDocument/2006/relationships/hyperlink" Target="http://www.legislation.act.gov.au/sl/2007-16" TargetMode="External"/><Relationship Id="rId2910" Type="http://schemas.openxmlformats.org/officeDocument/2006/relationships/hyperlink" Target="http://www.legislation.act.gov.au/sl/2014-34" TargetMode="External"/><Relationship Id="rId1512" Type="http://schemas.openxmlformats.org/officeDocument/2006/relationships/hyperlink" Target="http://www.legislation.act.gov.au/sl/2015-22" TargetMode="External"/><Relationship Id="rId11" Type="http://schemas.openxmlformats.org/officeDocument/2006/relationships/hyperlink" Target="http://www.legislation.act.gov.au/a/2001-14" TargetMode="External"/><Relationship Id="rId398" Type="http://schemas.openxmlformats.org/officeDocument/2006/relationships/hyperlink" Target="https://www.legislation.gov.au/Series/C2004A00192" TargetMode="External"/><Relationship Id="rId2079" Type="http://schemas.openxmlformats.org/officeDocument/2006/relationships/hyperlink" Target="http://www.legislation.act.gov.au/sl/2019-30/" TargetMode="External"/><Relationship Id="rId2286" Type="http://schemas.openxmlformats.org/officeDocument/2006/relationships/hyperlink" Target="http://www.legislation.act.gov.au/sl/2016-33" TargetMode="External"/><Relationship Id="rId2493" Type="http://schemas.openxmlformats.org/officeDocument/2006/relationships/hyperlink" Target="https://www.legislation.act.gov.au/sl/2020-20/" TargetMode="External"/><Relationship Id="rId258" Type="http://schemas.openxmlformats.org/officeDocument/2006/relationships/hyperlink" Target="http://www.legislation.act.gov.au/af/2006-319/default.asp" TargetMode="External"/><Relationship Id="rId465" Type="http://schemas.openxmlformats.org/officeDocument/2006/relationships/hyperlink" Target="http://www.legislation.act.gov.au/a/alt_a1989-33co/default.asp" TargetMode="External"/><Relationship Id="rId672" Type="http://schemas.openxmlformats.org/officeDocument/2006/relationships/hyperlink" Target="http://www.legislation.act.gov.au/a/1930-21" TargetMode="Externa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2-43" TargetMode="External"/><Relationship Id="rId2353" Type="http://schemas.openxmlformats.org/officeDocument/2006/relationships/hyperlink" Target="http://www.legislation.act.gov.au/sl/2018-25/default.asp" TargetMode="External"/><Relationship Id="rId2560" Type="http://schemas.openxmlformats.org/officeDocument/2006/relationships/hyperlink" Target="http://www.legislation.act.gov.au/sl/2011-34" TargetMode="External"/><Relationship Id="rId118" Type="http://schemas.openxmlformats.org/officeDocument/2006/relationships/hyperlink" Target="http://www.legislation.act.gov.au/a/2011-12/default.asp" TargetMode="External"/><Relationship Id="rId325" Type="http://schemas.openxmlformats.org/officeDocument/2006/relationships/hyperlink" Target="http://www.legislation.act.gov.au/af/2017-181/default.asp" TargetMode="External"/><Relationship Id="rId532" Type="http://schemas.openxmlformats.org/officeDocument/2006/relationships/hyperlink" Target="http://www.legislation.act.gov.au/sl/2002-20" TargetMode="External"/><Relationship Id="rId1162" Type="http://schemas.openxmlformats.org/officeDocument/2006/relationships/hyperlink" Target="http://www.comlaw.gov.au/Series/C2004A00818" TargetMode="Externa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23-36/" TargetMode="External"/><Relationship Id="rId2420" Type="http://schemas.openxmlformats.org/officeDocument/2006/relationships/hyperlink" Target="http://www.legislation.act.gov.au/sl/2015-22" TargetMode="External"/><Relationship Id="rId1022" Type="http://schemas.openxmlformats.org/officeDocument/2006/relationships/hyperlink" Target="http://www.comlaw.gov.au/Series/C2004A00819" TargetMode="External"/><Relationship Id="rId1979" Type="http://schemas.openxmlformats.org/officeDocument/2006/relationships/hyperlink" Target="http://www.legislation.act.gov.au/sl/2006-58" TargetMode="External"/><Relationship Id="rId1839" Type="http://schemas.openxmlformats.org/officeDocument/2006/relationships/hyperlink" Target="http://www.legislation.act.gov.au/sl/2006-58" TargetMode="External"/><Relationship Id="rId3054" Type="http://schemas.openxmlformats.org/officeDocument/2006/relationships/hyperlink" Target="https://www.legislation.act.gov.au/sl/2019-11/" TargetMode="External"/><Relationship Id="rId182" Type="http://schemas.openxmlformats.org/officeDocument/2006/relationships/hyperlink" Target="http://www.legislation.act.gov.au/a/2001-14" TargetMode="External"/><Relationship Id="rId1906" Type="http://schemas.openxmlformats.org/officeDocument/2006/relationships/hyperlink" Target="http://www.legislation.act.gov.au/sl/2009-32" TargetMode="External"/><Relationship Id="rId2070" Type="http://schemas.openxmlformats.org/officeDocument/2006/relationships/hyperlink" Target="http://www.legislation.act.gov.au/sl/2024-9/" TargetMode="External"/><Relationship Id="rId999" Type="http://schemas.openxmlformats.org/officeDocument/2006/relationships/hyperlink" Target="http://www.comlaw.gov.au/Series/C2004A00818" TargetMode="External"/><Relationship Id="rId2887" Type="http://schemas.openxmlformats.org/officeDocument/2006/relationships/hyperlink" Target="http://www.legislation.act.gov.au/sl/2011-34" TargetMode="External"/><Relationship Id="rId859" Type="http://schemas.openxmlformats.org/officeDocument/2006/relationships/hyperlink" Target="http://www.comlaw.gov.au/Series/C2010A00035" TargetMode="External"/><Relationship Id="rId1489" Type="http://schemas.openxmlformats.org/officeDocument/2006/relationships/hyperlink" Target="http://www.legislation.act.gov.au/sl/2012-43" TargetMode="External"/><Relationship Id="rId1696" Type="http://schemas.openxmlformats.org/officeDocument/2006/relationships/hyperlink" Target="http://www.legislation.act.gov.au/sl/2017-17/default.asp" TargetMode="External"/><Relationship Id="rId1349" Type="http://schemas.openxmlformats.org/officeDocument/2006/relationships/hyperlink" Target="http://www.legislation.act.gov.au/sl/2009-56" TargetMode="External"/><Relationship Id="rId2747" Type="http://schemas.openxmlformats.org/officeDocument/2006/relationships/hyperlink" Target="http://www.legislation.act.gov.au/sl/2017-17/default.asp" TargetMode="External"/><Relationship Id="rId2954" Type="http://schemas.openxmlformats.org/officeDocument/2006/relationships/hyperlink" Target="http://www.legislation.act.gov.au/sl/2006-43" TargetMode="External"/><Relationship Id="rId719" Type="http://schemas.openxmlformats.org/officeDocument/2006/relationships/hyperlink" Target="http://www.legislation.act.gov.au/a/1933-34" TargetMode="External"/><Relationship Id="rId926" Type="http://schemas.openxmlformats.org/officeDocument/2006/relationships/hyperlink" Target="http://www.legislation.act.gov.au/af/2011-147/default.asp" TargetMode="External"/><Relationship Id="rId1556" Type="http://schemas.openxmlformats.org/officeDocument/2006/relationships/hyperlink" Target="http://www.legislation.act.gov.au/sl/2008-25" TargetMode="External"/><Relationship Id="rId1763" Type="http://schemas.openxmlformats.org/officeDocument/2006/relationships/hyperlink" Target="http://www.legislation.act.gov.au/sl/2011-17" TargetMode="External"/><Relationship Id="rId1970" Type="http://schemas.openxmlformats.org/officeDocument/2006/relationships/hyperlink" Target="http://www.legislation.act.gov.au/sl/2015-12" TargetMode="External"/><Relationship Id="rId2607" Type="http://schemas.openxmlformats.org/officeDocument/2006/relationships/hyperlink" Target="http://www.legislation.act.gov.au/sl/2011-33" TargetMode="External"/><Relationship Id="rId2814" Type="http://schemas.openxmlformats.org/officeDocument/2006/relationships/hyperlink" Target="http://www.legislation.act.gov.au/sl/2009-32" TargetMode="External"/><Relationship Id="rId55" Type="http://schemas.openxmlformats.org/officeDocument/2006/relationships/hyperlink" Target="http://www.legislation.act.gov.au/af/2021-23/" TargetMode="External"/><Relationship Id="rId1209" Type="http://schemas.openxmlformats.org/officeDocument/2006/relationships/footer" Target="footer60.xml"/><Relationship Id="rId1416" Type="http://schemas.openxmlformats.org/officeDocument/2006/relationships/hyperlink" Target="http://www.legislation.act.gov.au/sl/2006-58" TargetMode="External"/><Relationship Id="rId1623" Type="http://schemas.openxmlformats.org/officeDocument/2006/relationships/hyperlink" Target="http://www.legislation.act.gov.au/sl/2006-58" TargetMode="External"/><Relationship Id="rId1830" Type="http://schemas.openxmlformats.org/officeDocument/2006/relationships/hyperlink" Target="http://www.legislation.act.gov.au/sl/2009-32" TargetMode="External"/><Relationship Id="rId2397" Type="http://schemas.openxmlformats.org/officeDocument/2006/relationships/hyperlink" Target="http://www.legislation.act.gov.au/sl/2007-16" TargetMode="External"/><Relationship Id="rId369" Type="http://schemas.openxmlformats.org/officeDocument/2006/relationships/hyperlink" Target="http://www.legislation.act.gov.au/af/2011-60/default.asp" TargetMode="External"/><Relationship Id="rId576" Type="http://schemas.openxmlformats.org/officeDocument/2006/relationships/hyperlink" Target="http://www.legislation.act.gov.au/a/1930-21" TargetMode="External"/><Relationship Id="rId783" Type="http://schemas.openxmlformats.org/officeDocument/2006/relationships/hyperlink" Target="http://www.legislation.act.gov.au/a/2008-19" TargetMode="External"/><Relationship Id="rId990" Type="http://schemas.openxmlformats.org/officeDocument/2006/relationships/hyperlink" Target="http://www.comlaw.gov.au/Series/C2004A00819" TargetMode="External"/><Relationship Id="rId2257" Type="http://schemas.openxmlformats.org/officeDocument/2006/relationships/hyperlink" Target="http://www.legislation.act.gov.au/sl/2016-33" TargetMode="External"/><Relationship Id="rId2464" Type="http://schemas.openxmlformats.org/officeDocument/2006/relationships/hyperlink" Target="http://www.legislation.act.gov.au/sl/2009-56" TargetMode="External"/><Relationship Id="rId2671" Type="http://schemas.openxmlformats.org/officeDocument/2006/relationships/hyperlink" Target="http://www.legislation.act.gov.au/sl/2019-11/default.asp" TargetMode="External"/><Relationship Id="rId229" Type="http://schemas.openxmlformats.org/officeDocument/2006/relationships/footer" Target="footer17.xml"/><Relationship Id="rId436" Type="http://schemas.openxmlformats.org/officeDocument/2006/relationships/hyperlink" Target="http://www.comlaw.gov.au/Series/C2004A04874" TargetMode="External"/><Relationship Id="rId643" Type="http://schemas.openxmlformats.org/officeDocument/2006/relationships/hyperlink" Target="http://www.legislation.act.gov.au/a/1933-34" TargetMode="External"/><Relationship Id="rId1066" Type="http://schemas.openxmlformats.org/officeDocument/2006/relationships/hyperlink" Target="http://www.comlaw.gov.au/Series/C2004A00818" TargetMode="External"/><Relationship Id="rId1273" Type="http://schemas.openxmlformats.org/officeDocument/2006/relationships/hyperlink" Target="http://www.legislation.act.gov.au/a/2011-28" TargetMode="External"/><Relationship Id="rId1480" Type="http://schemas.openxmlformats.org/officeDocument/2006/relationships/hyperlink" Target="http://www.legislation.act.gov.au/sl/2012-43" TargetMode="External"/><Relationship Id="rId2117" Type="http://schemas.openxmlformats.org/officeDocument/2006/relationships/hyperlink" Target="http://www.legislation.act.gov.au/sl/2024-9/" TargetMode="External"/><Relationship Id="rId2324" Type="http://schemas.openxmlformats.org/officeDocument/2006/relationships/hyperlink" Target="http://www.legislation.act.gov.au/sl/2024-9/" TargetMode="External"/><Relationship Id="rId850" Type="http://schemas.openxmlformats.org/officeDocument/2006/relationships/hyperlink" Target="http://www.legislation.act.gov.au/a/2017-7/default.asp" TargetMode="External"/><Relationship Id="rId1133" Type="http://schemas.openxmlformats.org/officeDocument/2006/relationships/hyperlink" Target="http://www.comlaw.gov.au/Series/C2004A00818" TargetMode="External"/><Relationship Id="rId2531" Type="http://schemas.openxmlformats.org/officeDocument/2006/relationships/hyperlink" Target="http://www.legislation.act.gov.au/sl/2010-51" TargetMode="External"/><Relationship Id="rId503" Type="http://schemas.openxmlformats.org/officeDocument/2006/relationships/hyperlink" Target="http://www.legislation.act.gov.au/a/1951-2/default.asp" TargetMode="External"/><Relationship Id="rId710" Type="http://schemas.openxmlformats.org/officeDocument/2006/relationships/hyperlink" Target="http://www.legislation.act.gov.au/a/1992-8" TargetMode="External"/><Relationship Id="rId1340" Type="http://schemas.openxmlformats.org/officeDocument/2006/relationships/hyperlink" Target="http://www.legislation.act.gov.au/sl/2006-58" TargetMode="External"/><Relationship Id="rId3098" Type="http://schemas.openxmlformats.org/officeDocument/2006/relationships/footer" Target="footer70.xml"/><Relationship Id="rId1200" Type="http://schemas.openxmlformats.org/officeDocument/2006/relationships/hyperlink" Target="http://www.comlaw.gov.au/Series/C2008A00024" TargetMode="External"/><Relationship Id="rId293" Type="http://schemas.openxmlformats.org/officeDocument/2006/relationships/hyperlink" Target="http://www.legislation.act.gov.au/a/1968-11" TargetMode="External"/><Relationship Id="rId2181" Type="http://schemas.openxmlformats.org/officeDocument/2006/relationships/hyperlink" Target="http://www.legislation.act.gov.au/sl/2013-18/default.asp" TargetMode="External"/><Relationship Id="rId3025" Type="http://schemas.openxmlformats.org/officeDocument/2006/relationships/hyperlink" Target="http://www.legislation.act.gov.au/sl/2014-34/default.asp" TargetMode="External"/><Relationship Id="rId153" Type="http://schemas.openxmlformats.org/officeDocument/2006/relationships/hyperlink" Target="http://www.legislation.act.gov.au/a/2002-40" TargetMode="External"/><Relationship Id="rId360" Type="http://schemas.openxmlformats.org/officeDocument/2006/relationships/hyperlink" Target="http://www.comlaw.gov.au/Series/C2004A04735" TargetMode="External"/><Relationship Id="rId2041" Type="http://schemas.openxmlformats.org/officeDocument/2006/relationships/hyperlink" Target="http://www.legislation.act.gov.au/sl/2006-58" TargetMode="External"/><Relationship Id="rId220" Type="http://schemas.openxmlformats.org/officeDocument/2006/relationships/header" Target="header10.xml"/><Relationship Id="rId2998" Type="http://schemas.openxmlformats.org/officeDocument/2006/relationships/hyperlink" Target="http://www.legislation.act.gov.au/sl/2011-6" TargetMode="External"/><Relationship Id="rId2858" Type="http://schemas.openxmlformats.org/officeDocument/2006/relationships/hyperlink" Target="http://www.legislation.act.gov.au/sl/2011-34" TargetMode="External"/><Relationship Id="rId99" Type="http://schemas.openxmlformats.org/officeDocument/2006/relationships/hyperlink" Target="http://www.legislation.act.gov.au/a/2011-12/default.asp" TargetMode="External"/><Relationship Id="rId1667" Type="http://schemas.openxmlformats.org/officeDocument/2006/relationships/hyperlink" Target="http://www.legislation.act.gov.au/sl/2011-17" TargetMode="External"/><Relationship Id="rId1874" Type="http://schemas.openxmlformats.org/officeDocument/2006/relationships/hyperlink" Target="http://www.legislation.act.gov.au/sl/2009-32" TargetMode="External"/><Relationship Id="rId2718" Type="http://schemas.openxmlformats.org/officeDocument/2006/relationships/hyperlink" Target="http://www.legislation.act.gov.au/sl/2014-34" TargetMode="External"/><Relationship Id="rId2925" Type="http://schemas.openxmlformats.org/officeDocument/2006/relationships/hyperlink" Target="http://www.legislation.act.gov.au/sl/2014-34" TargetMode="External"/><Relationship Id="rId1527" Type="http://schemas.openxmlformats.org/officeDocument/2006/relationships/hyperlink" Target="http://www.legislation.act.gov.au/sl/2011-17" TargetMode="External"/><Relationship Id="rId1734" Type="http://schemas.openxmlformats.org/officeDocument/2006/relationships/hyperlink" Target="http://www.legislation.act.gov.au/sl/2015-22" TargetMode="External"/><Relationship Id="rId1941" Type="http://schemas.openxmlformats.org/officeDocument/2006/relationships/hyperlink" Target="http://www.legislation.act.gov.au/sl/2006-58" TargetMode="External"/><Relationship Id="rId26" Type="http://schemas.openxmlformats.org/officeDocument/2006/relationships/footer" Target="footer5.xml"/><Relationship Id="rId1801" Type="http://schemas.openxmlformats.org/officeDocument/2006/relationships/hyperlink" Target="http://www.legislation.act.gov.au/sl/2006-58" TargetMode="External"/><Relationship Id="rId687" Type="http://schemas.openxmlformats.org/officeDocument/2006/relationships/footer" Target="footer22.xml"/><Relationship Id="rId2368" Type="http://schemas.openxmlformats.org/officeDocument/2006/relationships/hyperlink" Target="http://www.legislation.act.gov.au/sl/2015-22" TargetMode="External"/><Relationship Id="rId894" Type="http://schemas.openxmlformats.org/officeDocument/2006/relationships/hyperlink" Target="http://www.legislation.act.gov.au/a/2001-14" TargetMode="External"/><Relationship Id="rId1177" Type="http://schemas.openxmlformats.org/officeDocument/2006/relationships/hyperlink" Target="http://www.comlaw.gov.au/Series/F2011L01551" TargetMode="External"/><Relationship Id="rId2575" Type="http://schemas.openxmlformats.org/officeDocument/2006/relationships/hyperlink" Target="http://www.legislation.act.gov.au/sl/2015-22" TargetMode="External"/><Relationship Id="rId2782" Type="http://schemas.openxmlformats.org/officeDocument/2006/relationships/hyperlink" Target="http://www.legislation.act.gov.au/sl/2008-25"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04-59" TargetMode="External"/><Relationship Id="rId961" Type="http://schemas.openxmlformats.org/officeDocument/2006/relationships/footer" Target="footer34.xml"/><Relationship Id="rId1384" Type="http://schemas.openxmlformats.org/officeDocument/2006/relationships/hyperlink" Target="http://www.legislation.act.gov.au/sl/2007-16" TargetMode="External"/><Relationship Id="rId1591" Type="http://schemas.openxmlformats.org/officeDocument/2006/relationships/hyperlink" Target="http://www.legislation.act.gov.au/sl/2010-24" TargetMode="External"/><Relationship Id="rId2228" Type="http://schemas.openxmlformats.org/officeDocument/2006/relationships/hyperlink" Target="http://www.legislation.act.gov.au/sl/2023-36/" TargetMode="External"/><Relationship Id="rId2435" Type="http://schemas.openxmlformats.org/officeDocument/2006/relationships/hyperlink" Target="http://www.legislation.act.gov.au/sl/2018-25/default.asp" TargetMode="External"/><Relationship Id="rId2642" Type="http://schemas.openxmlformats.org/officeDocument/2006/relationships/hyperlink" Target="http://www.legislation.act.gov.au/sl/2010-24" TargetMode="External"/><Relationship Id="rId90" Type="http://schemas.openxmlformats.org/officeDocument/2006/relationships/hyperlink" Target="http://www.legislation.act.gov.au/af/2015-29/default.asp" TargetMode="External"/><Relationship Id="rId407" Type="http://schemas.openxmlformats.org/officeDocument/2006/relationships/hyperlink" Target="http://www.legislation.act.gov.au/a/1993-60/default.asp" TargetMode="External"/><Relationship Id="rId614" Type="http://schemas.openxmlformats.org/officeDocument/2006/relationships/hyperlink" Target="http://www.legislation.act.gov.au/a/2000-61" TargetMode="External"/><Relationship Id="rId821" Type="http://schemas.openxmlformats.org/officeDocument/2006/relationships/hyperlink" Target="http://www.comlaw.gov.au/Series/C2011A00126" TargetMode="External"/><Relationship Id="rId1037" Type="http://schemas.openxmlformats.org/officeDocument/2006/relationships/hyperlink" Target="https://www.legislation.gov.au/Series/F2001B00274" TargetMode="External"/><Relationship Id="rId1244" Type="http://schemas.openxmlformats.org/officeDocument/2006/relationships/hyperlink" Target="http://www.legislation.act.gov.au/sl/2006-58" TargetMode="External"/><Relationship Id="rId1451" Type="http://schemas.openxmlformats.org/officeDocument/2006/relationships/hyperlink" Target="http://www.legislation.act.gov.au/sl/2012-24" TargetMode="External"/><Relationship Id="rId2502" Type="http://schemas.openxmlformats.org/officeDocument/2006/relationships/hyperlink" Target="http://www.legislation.act.gov.au/sl/2009-32" TargetMode="External"/><Relationship Id="rId1104" Type="http://schemas.openxmlformats.org/officeDocument/2006/relationships/hyperlink" Target="http://www.legislation.act.gov.au/af/2007-144/default.asp" TargetMode="External"/><Relationship Id="rId1311" Type="http://schemas.openxmlformats.org/officeDocument/2006/relationships/hyperlink" Target="http://www.legislation.act.gov.au/sl/2020-9/default.asp" TargetMode="External"/><Relationship Id="rId3069" Type="http://schemas.openxmlformats.org/officeDocument/2006/relationships/hyperlink" Target="https://legislation.act.gov.au/sl/2020-45/" TargetMode="External"/><Relationship Id="rId197" Type="http://schemas.openxmlformats.org/officeDocument/2006/relationships/header" Target="header6.xml"/><Relationship Id="rId2085" Type="http://schemas.openxmlformats.org/officeDocument/2006/relationships/hyperlink" Target="http://www.legislation.act.gov.au/sl/2006-43" TargetMode="External"/><Relationship Id="rId2292" Type="http://schemas.openxmlformats.org/officeDocument/2006/relationships/hyperlink" Target="http://www.legislation.act.gov.au/sl/2018-25/default.asp" TargetMode="External"/><Relationship Id="rId264" Type="http://schemas.openxmlformats.org/officeDocument/2006/relationships/hyperlink" Target="http://www.legislation.act.gov.au/a/1929-18" TargetMode="External"/><Relationship Id="rId471" Type="http://schemas.openxmlformats.org/officeDocument/2006/relationships/hyperlink" Target="http://www.legislation.act.gov.au/a/alt_a1989-33co/default.asp" TargetMode="External"/><Relationship Id="rId2152" Type="http://schemas.openxmlformats.org/officeDocument/2006/relationships/hyperlink" Target="http://www.legislation.act.gov.au/sl/2012-43" TargetMode="External"/><Relationship Id="rId124" Type="http://schemas.openxmlformats.org/officeDocument/2006/relationships/hyperlink" Target="http://www.legislation.act.gov.au/af/2006-274/default.asp" TargetMode="External"/><Relationship Id="rId331" Type="http://schemas.openxmlformats.org/officeDocument/2006/relationships/hyperlink" Target="http://www.legislation.act.gov.au/a/1929-18/default.asp" TargetMode="External"/><Relationship Id="rId2012" Type="http://schemas.openxmlformats.org/officeDocument/2006/relationships/hyperlink" Target="http://www.legislation.act.gov.au/sl/2006-58" TargetMode="External"/><Relationship Id="rId2969" Type="http://schemas.openxmlformats.org/officeDocument/2006/relationships/hyperlink" Target="http://www.legislation.act.gov.au/a/2008-20" TargetMode="External"/><Relationship Id="rId1778" Type="http://schemas.openxmlformats.org/officeDocument/2006/relationships/hyperlink" Target="http://www.legislation.act.gov.au/sl/2006-58" TargetMode="External"/><Relationship Id="rId1985" Type="http://schemas.openxmlformats.org/officeDocument/2006/relationships/hyperlink" Target="http://www.legislation.act.gov.au/sl/2006-58" TargetMode="External"/><Relationship Id="rId2829" Type="http://schemas.openxmlformats.org/officeDocument/2006/relationships/hyperlink" Target="http://www.legislation.act.gov.au/sl/2014-9" TargetMode="External"/><Relationship Id="rId1638" Type="http://schemas.openxmlformats.org/officeDocument/2006/relationships/hyperlink" Target="http://www.legislation.act.gov.au/sl/2016-17" TargetMode="External"/><Relationship Id="rId1845" Type="http://schemas.openxmlformats.org/officeDocument/2006/relationships/hyperlink" Target="http://www.legislation.act.gov.au/sl/2006-58" TargetMode="External"/><Relationship Id="rId3060" Type="http://schemas.openxmlformats.org/officeDocument/2006/relationships/hyperlink" Target="http://www.legislation.act.gov.au/sl/2020-6/" TargetMode="External"/><Relationship Id="rId1705" Type="http://schemas.openxmlformats.org/officeDocument/2006/relationships/hyperlink" Target="http://www.legislation.act.gov.au/sl/2017-17/default.asp" TargetMode="External"/><Relationship Id="rId1912" Type="http://schemas.openxmlformats.org/officeDocument/2006/relationships/hyperlink" Target="http://www.legislation.act.gov.au/sl/2009-32" TargetMode="External"/><Relationship Id="rId798" Type="http://schemas.openxmlformats.org/officeDocument/2006/relationships/hyperlink" Target="http://www.legislation.act.gov.au/a/2001-14" TargetMode="External"/><Relationship Id="rId2479" Type="http://schemas.openxmlformats.org/officeDocument/2006/relationships/hyperlink" Target="http://www.legislation.act.gov.au/sl/2017-17/default.asp" TargetMode="External"/><Relationship Id="rId2686" Type="http://schemas.openxmlformats.org/officeDocument/2006/relationships/hyperlink" Target="http://www.legislation.act.gov.au/sl/2017-17/default.asp" TargetMode="External"/><Relationship Id="rId2893" Type="http://schemas.openxmlformats.org/officeDocument/2006/relationships/hyperlink" Target="http://www.legislation.act.gov.au/sl/2017-17/default.asp" TargetMode="External"/><Relationship Id="rId658" Type="http://schemas.openxmlformats.org/officeDocument/2006/relationships/hyperlink" Target="http://www.legislation.act.gov.au/a/1992-8" TargetMode="External"/><Relationship Id="rId865" Type="http://schemas.openxmlformats.org/officeDocument/2006/relationships/hyperlink" Target="http://www.legislation.act.gov.au/a/2011-12/default.asp" TargetMode="External"/><Relationship Id="rId1288" Type="http://schemas.openxmlformats.org/officeDocument/2006/relationships/hyperlink" Target="http://www.legislation.act.gov.au/sl/2014-34" TargetMode="External"/><Relationship Id="rId1495" Type="http://schemas.openxmlformats.org/officeDocument/2006/relationships/hyperlink" Target="http://www.legislation.act.gov.au/sl/2012-43" TargetMode="External"/><Relationship Id="rId2339" Type="http://schemas.openxmlformats.org/officeDocument/2006/relationships/hyperlink" Target="http://www.legislation.act.gov.au/sl/2017-10/default.asp" TargetMode="External"/><Relationship Id="rId2546" Type="http://schemas.openxmlformats.org/officeDocument/2006/relationships/hyperlink" Target="http://www.legislation.act.gov.au/sl/2017-17/default.asp" TargetMode="External"/><Relationship Id="rId2753" Type="http://schemas.openxmlformats.org/officeDocument/2006/relationships/hyperlink" Target="http://www.legislation.act.gov.au/sl/2012-43" TargetMode="External"/><Relationship Id="rId2960" Type="http://schemas.openxmlformats.org/officeDocument/2006/relationships/hyperlink" Target="http://www.legislation.act.gov.au/a/2007-3" TargetMode="External"/><Relationship Id="rId518" Type="http://schemas.openxmlformats.org/officeDocument/2006/relationships/hyperlink" Target="http://www.legislation.act.gov.au/a/2017-7/default.asp" TargetMode="External"/><Relationship Id="rId725" Type="http://schemas.openxmlformats.org/officeDocument/2006/relationships/hyperlink" Target="http://www.legislation.act.gov.au/a/2009-50" TargetMode="External"/><Relationship Id="rId932" Type="http://schemas.openxmlformats.org/officeDocument/2006/relationships/hyperlink" Target="http://www.legislation.act.gov.au/af/2011-147/default.asp" TargetMode="External"/><Relationship Id="rId1148" Type="http://schemas.openxmlformats.org/officeDocument/2006/relationships/hyperlink" Target="http://www.comlaw.gov.au/Series/C2004A00818" TargetMode="External"/><Relationship Id="rId1355" Type="http://schemas.openxmlformats.org/officeDocument/2006/relationships/hyperlink" Target="http://www.legislation.act.gov.au/sl/2010-51" TargetMode="External"/><Relationship Id="rId1562" Type="http://schemas.openxmlformats.org/officeDocument/2006/relationships/hyperlink" Target="http://www.legislation.act.gov.au/sl/2011-34" TargetMode="External"/><Relationship Id="rId2406" Type="http://schemas.openxmlformats.org/officeDocument/2006/relationships/hyperlink" Target="http://www.legislation.act.gov.au/sl/2014-4" TargetMode="External"/><Relationship Id="rId2613" Type="http://schemas.openxmlformats.org/officeDocument/2006/relationships/hyperlink" Target="http://www.legislation.act.gov.au/sl/2011-33" TargetMode="External"/><Relationship Id="rId1008" Type="http://schemas.openxmlformats.org/officeDocument/2006/relationships/hyperlink" Target="http://www.comlaw.gov.au/Series/C2004A00819" TargetMode="External"/><Relationship Id="rId1215" Type="http://schemas.openxmlformats.org/officeDocument/2006/relationships/hyperlink" Target="http://www.legislation.act.gov.au/a/2001-14" TargetMode="External"/><Relationship Id="rId1422" Type="http://schemas.openxmlformats.org/officeDocument/2006/relationships/hyperlink" Target="http://www.legislation.act.gov.au/sl/2014-34" TargetMode="External"/><Relationship Id="rId2820" Type="http://schemas.openxmlformats.org/officeDocument/2006/relationships/hyperlink" Target="http://www.legislation.act.gov.au/sl/2009-32" TargetMode="External"/><Relationship Id="rId61" Type="http://schemas.openxmlformats.org/officeDocument/2006/relationships/hyperlink" Target="http://www.comlaw.gov.au/Series/C2004A07422" TargetMode="External"/><Relationship Id="rId2196" Type="http://schemas.openxmlformats.org/officeDocument/2006/relationships/hyperlink" Target="http://www.legislation.act.gov.au/sl/2015-22" TargetMode="External"/><Relationship Id="rId168" Type="http://schemas.openxmlformats.org/officeDocument/2006/relationships/hyperlink" Target="http://www.comlaw.gov.au/Series/C2004A04463"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1930-21" TargetMode="External"/><Relationship Id="rId2056" Type="http://schemas.openxmlformats.org/officeDocument/2006/relationships/hyperlink" Target="http://www.legislation.act.gov.au/sl/2006-58" TargetMode="External"/><Relationship Id="rId2263" Type="http://schemas.openxmlformats.org/officeDocument/2006/relationships/hyperlink" Target="http://www.legislation.act.gov.au/sl/2016-33" TargetMode="External"/><Relationship Id="rId2470" Type="http://schemas.openxmlformats.org/officeDocument/2006/relationships/hyperlink" Target="http://www.legislation.act.gov.au/sl/2017-17/default.asp" TargetMode="External"/><Relationship Id="rId235" Type="http://schemas.openxmlformats.org/officeDocument/2006/relationships/hyperlink" Target="http://www.legislation.act.gov.au/af/2007-64/default.asp" TargetMode="External"/><Relationship Id="rId442" Type="http://schemas.openxmlformats.org/officeDocument/2006/relationships/hyperlink" Target="http://www.comlaw.gov.au/Series/C2004A04187" TargetMode="External"/><Relationship Id="rId1072" Type="http://schemas.openxmlformats.org/officeDocument/2006/relationships/hyperlink" Target="http://www.legislation.act.gov.au/af/2007-139/default.asp" TargetMode="External"/><Relationship Id="rId2123" Type="http://schemas.openxmlformats.org/officeDocument/2006/relationships/hyperlink" Target="http://www.legislation.act.gov.au/sl/2024-9/" TargetMode="External"/><Relationship Id="rId2330" Type="http://schemas.openxmlformats.org/officeDocument/2006/relationships/hyperlink" Target="http://www.legislation.act.gov.au/sl/2012-43" TargetMode="External"/><Relationship Id="rId302" Type="http://schemas.openxmlformats.org/officeDocument/2006/relationships/hyperlink" Target="http://www.legislation.act.gov.au/a/2001-14" TargetMode="External"/><Relationship Id="rId1889" Type="http://schemas.openxmlformats.org/officeDocument/2006/relationships/hyperlink" Target="http://www.legislation.act.gov.au/sl/2006-58" TargetMode="External"/><Relationship Id="rId1749" Type="http://schemas.openxmlformats.org/officeDocument/2006/relationships/hyperlink" Target="http://www.legislation.act.gov.au/sl/2014-9" TargetMode="External"/><Relationship Id="rId1956" Type="http://schemas.openxmlformats.org/officeDocument/2006/relationships/hyperlink" Target="http://www.legislation.act.gov.au/sl/2006-58" TargetMode="External"/><Relationship Id="rId1609" Type="http://schemas.openxmlformats.org/officeDocument/2006/relationships/hyperlink" Target="http://www.legislation.act.gov.au/sl/2016-17" TargetMode="External"/><Relationship Id="rId1816" Type="http://schemas.openxmlformats.org/officeDocument/2006/relationships/hyperlink" Target="http://www.legislation.act.gov.au/sl/2009-32" TargetMode="External"/><Relationship Id="rId3031" Type="http://schemas.openxmlformats.org/officeDocument/2006/relationships/hyperlink" Target="http://www.legislation.act.gov.au/a/2015-52/default.asp" TargetMode="External"/><Relationship Id="rId2797" Type="http://schemas.openxmlformats.org/officeDocument/2006/relationships/hyperlink" Target="http://www.legislation.act.gov.au/sl/2012-43" TargetMode="External"/><Relationship Id="rId769" Type="http://schemas.openxmlformats.org/officeDocument/2006/relationships/hyperlink" Target="http://www.comlaw.gov.au/Series/C2004A00819" TargetMode="External"/><Relationship Id="rId976" Type="http://schemas.openxmlformats.org/officeDocument/2006/relationships/hyperlink" Target="http://www.legislation.act.gov.au/a/1930-21" TargetMode="External"/><Relationship Id="rId1399" Type="http://schemas.openxmlformats.org/officeDocument/2006/relationships/hyperlink" Target="http://www.legislation.act.gov.au/sl/2011-34" TargetMode="External"/><Relationship Id="rId2657" Type="http://schemas.openxmlformats.org/officeDocument/2006/relationships/hyperlink" Target="http://www.legislation.act.gov.au/sl/2017-17/default.asp" TargetMode="External"/><Relationship Id="rId629" Type="http://schemas.openxmlformats.org/officeDocument/2006/relationships/hyperlink" Target="http://www.comlaw.gov.au/Details/C2013C00180" TargetMode="External"/><Relationship Id="rId1259" Type="http://schemas.openxmlformats.org/officeDocument/2006/relationships/hyperlink" Target="http://www.legislation.act.gov.au/sl/2008-50" TargetMode="External"/><Relationship Id="rId1466" Type="http://schemas.openxmlformats.org/officeDocument/2006/relationships/hyperlink" Target="http://www.legislation.act.gov.au/sl/2012-24" TargetMode="External"/><Relationship Id="rId2864" Type="http://schemas.openxmlformats.org/officeDocument/2006/relationships/hyperlink" Target="http://www.legislation.act.gov.au/sl/2011-17" TargetMode="External"/><Relationship Id="rId836" Type="http://schemas.openxmlformats.org/officeDocument/2006/relationships/hyperlink" Target="http://www.legislation.act.gov.au/af/2009-149/default.asp"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06-58" TargetMode="External"/><Relationship Id="rId1880" Type="http://schemas.openxmlformats.org/officeDocument/2006/relationships/hyperlink" Target="http://www.legislation.act.gov.au/sl/2009-32" TargetMode="External"/><Relationship Id="rId2517" Type="http://schemas.openxmlformats.org/officeDocument/2006/relationships/hyperlink" Target="http://www.legislation.act.gov.au/sl/2009-32" TargetMode="External"/><Relationship Id="rId2724" Type="http://schemas.openxmlformats.org/officeDocument/2006/relationships/hyperlink" Target="http://www.legislation.act.gov.au/sl/2007-37" TargetMode="External"/><Relationship Id="rId2931" Type="http://schemas.openxmlformats.org/officeDocument/2006/relationships/hyperlink" Target="http://www.legislation.act.gov.au/sl/2006-58" TargetMode="External"/><Relationship Id="rId903" Type="http://schemas.openxmlformats.org/officeDocument/2006/relationships/hyperlink" Target="http://www.comlaw.gov.au/Series/C2010A00035" TargetMode="External"/><Relationship Id="rId1326" Type="http://schemas.openxmlformats.org/officeDocument/2006/relationships/hyperlink" Target="http://www.legislation.act.gov.au/sl/2017-10/default.asp" TargetMode="External"/><Relationship Id="rId1533" Type="http://schemas.openxmlformats.org/officeDocument/2006/relationships/hyperlink" Target="http://www.legislation.act.gov.au/sl/2024-9/" TargetMode="External"/><Relationship Id="rId1740" Type="http://schemas.openxmlformats.org/officeDocument/2006/relationships/hyperlink" Target="http://www.legislation.act.gov.au/sl/2014-9" TargetMode="External"/><Relationship Id="rId32" Type="http://schemas.openxmlformats.org/officeDocument/2006/relationships/hyperlink" Target="http://www.legislation.act.gov.au/a/1930-21" TargetMode="External"/><Relationship Id="rId1600" Type="http://schemas.openxmlformats.org/officeDocument/2006/relationships/hyperlink" Target="http://www.legislation.act.gov.au/sl/2017-10/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6-25" TargetMode="External"/><Relationship Id="rId693" Type="http://schemas.openxmlformats.org/officeDocument/2006/relationships/hyperlink" Target="http://www.legislation.act.gov.au/af/2016-104/default.asp" TargetMode="External"/><Relationship Id="rId2167" Type="http://schemas.openxmlformats.org/officeDocument/2006/relationships/hyperlink" Target="http://www.legislation.act.gov.au/sl/2012-43" TargetMode="External"/><Relationship Id="rId2374" Type="http://schemas.openxmlformats.org/officeDocument/2006/relationships/hyperlink" Target="http://www.legislation.act.gov.au/sl/2017-17/default.asp" TargetMode="External"/><Relationship Id="rId2581" Type="http://schemas.openxmlformats.org/officeDocument/2006/relationships/hyperlink" Target="http://www.legislation.act.gov.au/sl/2015-22"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f/2016-44/default.asp" TargetMode="External"/><Relationship Id="rId553" Type="http://schemas.openxmlformats.org/officeDocument/2006/relationships/hyperlink" Target="https://www.legislation.act.gov.au/af/2024-29/" TargetMode="External"/><Relationship Id="rId760" Type="http://schemas.openxmlformats.org/officeDocument/2006/relationships/hyperlink" Target="http://www.legislation.act.gov.au/a/2001-14" TargetMode="External"/><Relationship Id="rId1183" Type="http://schemas.openxmlformats.org/officeDocument/2006/relationships/hyperlink" Target="http://www.comlaw.gov.au/Series/C2008A00024" TargetMode="External"/><Relationship Id="rId1390" Type="http://schemas.openxmlformats.org/officeDocument/2006/relationships/hyperlink" Target="http://www.legislation.act.gov.au/sl/2010-24" TargetMode="External"/><Relationship Id="rId2027" Type="http://schemas.openxmlformats.org/officeDocument/2006/relationships/hyperlink" Target="http://www.legislation.act.gov.au/sl/2015-12" TargetMode="External"/><Relationship Id="rId2234" Type="http://schemas.openxmlformats.org/officeDocument/2006/relationships/hyperlink" Target="http://www.legislation.act.gov.au/sl/2021-15/default.asp" TargetMode="External"/><Relationship Id="rId2441" Type="http://schemas.openxmlformats.org/officeDocument/2006/relationships/hyperlink" Target="http://www.legislation.act.gov.au/sl/2023-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D030A-BF86-4643-98CF-93C89F03F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1469</Pages>
  <Words>331688</Words>
  <Characters>1613451</Characters>
  <Application>Microsoft Office Word</Application>
  <DocSecurity>0</DocSecurity>
  <Lines>41478</Lines>
  <Paragraphs>25039</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1927667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Karen Brown</dc:creator>
  <cp:keywords>R69</cp:keywords>
  <dc:description/>
  <cp:lastModifiedBy>PCODCS</cp:lastModifiedBy>
  <cp:revision>4</cp:revision>
  <cp:lastPrinted>2021-06-30T06:37:00Z</cp:lastPrinted>
  <dcterms:created xsi:type="dcterms:W3CDTF">2024-12-23T00:48:00Z</dcterms:created>
  <dcterms:modified xsi:type="dcterms:W3CDTF">2024-12-23T00:49:00Z</dcterms:modified>
  <cp:category>R69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01/01/25</vt:lpwstr>
  </property>
  <property fmtid="{D5CDD505-2E9C-101B-9397-08002B2CF9AE}" pid="3" name="Eff">
    <vt:lpwstr>Effective:  </vt:lpwstr>
  </property>
  <property fmtid="{D5CDD505-2E9C-101B-9397-08002B2CF9AE}" pid="4" name="StartDt">
    <vt:lpwstr>01/01/25</vt:lpwstr>
  </property>
  <property fmtid="{D5CDD505-2E9C-101B-9397-08002B2CF9AE}" pid="5" name="EndDt">
    <vt:lpwstr> </vt:lpwstr>
  </property>
  <property fmtid="{D5CDD505-2E9C-101B-9397-08002B2CF9AE}" pid="6" name="Status">
    <vt:lpwstr> </vt:lpwstr>
  </property>
  <property fmtid="{D5CDD505-2E9C-101B-9397-08002B2CF9AE}" pid="7" name="DMSID">
    <vt:lpwstr>13531194</vt:lpwstr>
  </property>
  <property fmtid="{D5CDD505-2E9C-101B-9397-08002B2CF9AE}" pid="8" name="JMSREQUIREDCHECKIN">
    <vt:lpwstr>TRUE</vt:lpwstr>
  </property>
  <property fmtid="{D5CDD505-2E9C-101B-9397-08002B2CF9AE}" pid="9" name="CHECKEDOUTFROMJMS">
    <vt:lpwstr>TRUE</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2024-06-20T01:05:01Z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92184438-c6d4-4c30-9af8-2fc3f91cb7c7</vt:lpwstr>
  </property>
  <property fmtid="{D5CDD505-2E9C-101B-9397-08002B2CF9AE}" pid="16" name="MSIP_Label_69af8531-eb46-4968-8cb3-105d2f5ea87e_ContentBits">
    <vt:lpwstr>0</vt:lpwstr>
  </property>
</Properties>
</file>